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0120" w14:textId="77777777" w:rsidR="008A491E" w:rsidRPr="00BA7067" w:rsidRDefault="008A491E" w:rsidP="008A491E">
      <w:pPr>
        <w:spacing w:line="276" w:lineRule="auto"/>
        <w:jc w:val="right"/>
        <w:rPr>
          <w:rFonts w:ascii="Arial" w:eastAsia="Calibri" w:hAnsi="Arial" w:cs="Arial"/>
          <w:b/>
          <w:bCs/>
          <w:sz w:val="22"/>
        </w:rPr>
      </w:pPr>
      <w:bookmarkStart w:id="0" w:name="_Hlk47949675"/>
      <w:bookmarkStart w:id="1" w:name="_Hlk28946138"/>
      <w:bookmarkStart w:id="2" w:name="_Hlk29548183"/>
      <w:r w:rsidRPr="00BA7067">
        <w:rPr>
          <w:rFonts w:ascii="Arial" w:hAnsi="Arial" w:cs="Arial"/>
          <w:b/>
          <w:bCs/>
          <w:sz w:val="16"/>
          <w:szCs w:val="16"/>
          <w:lang w:eastAsia="es-ES"/>
        </w:rPr>
        <w:t>CCE-DES-FM-17</w:t>
      </w:r>
    </w:p>
    <w:bookmarkEnd w:id="0"/>
    <w:p w14:paraId="2D47BA26" w14:textId="4F37EA3D" w:rsidR="00BE1E33" w:rsidRPr="00BA7067" w:rsidRDefault="00BE1E33" w:rsidP="00A32FFB">
      <w:pPr>
        <w:spacing w:line="276" w:lineRule="auto"/>
        <w:jc w:val="right"/>
        <w:rPr>
          <w:rFonts w:ascii="Arial" w:hAnsi="Arial" w:cs="Arial"/>
          <w:bCs/>
          <w:sz w:val="16"/>
          <w:szCs w:val="16"/>
          <w:lang w:val="es-ES_tradnl" w:eastAsia="es-ES"/>
        </w:rPr>
      </w:pPr>
    </w:p>
    <w:p w14:paraId="0B1AE14C" w14:textId="77777777" w:rsidR="00F25EA6" w:rsidRPr="00BA7067" w:rsidRDefault="00F25EA6" w:rsidP="00F25EA6">
      <w:pPr>
        <w:tabs>
          <w:tab w:val="left" w:pos="426"/>
        </w:tabs>
        <w:rPr>
          <w:rFonts w:ascii="Arial" w:eastAsia="Calibri" w:hAnsi="Arial" w:cs="Arial"/>
          <w:b/>
          <w:bCs/>
          <w:sz w:val="22"/>
        </w:rPr>
      </w:pPr>
      <w:bookmarkStart w:id="3" w:name="_Hlk77152637"/>
      <w:bookmarkStart w:id="4" w:name="_Hlk77157066"/>
      <w:r w:rsidRPr="00BA7067">
        <w:rPr>
          <w:rFonts w:ascii="Arial" w:eastAsia="Calibri" w:hAnsi="Arial" w:cs="Arial"/>
          <w:b/>
          <w:bCs/>
          <w:sz w:val="22"/>
        </w:rPr>
        <w:t>LEY DE GARANTÍAS ELECTORALES ‒</w:t>
      </w:r>
      <w:bookmarkEnd w:id="3"/>
      <w:r w:rsidRPr="00BA7067">
        <w:rPr>
          <w:rFonts w:ascii="Arial" w:eastAsia="Calibri" w:hAnsi="Arial" w:cs="Arial"/>
          <w:b/>
          <w:bCs/>
          <w:sz w:val="22"/>
        </w:rPr>
        <w:t xml:space="preserve"> Definición </w:t>
      </w:r>
      <w:bookmarkStart w:id="5" w:name="_Hlk77157034"/>
      <w:r w:rsidRPr="00BA7067">
        <w:rPr>
          <w:rFonts w:ascii="Arial" w:eastAsia="Calibri" w:hAnsi="Arial" w:cs="Arial"/>
          <w:b/>
          <w:bCs/>
          <w:sz w:val="22"/>
        </w:rPr>
        <w:t xml:space="preserve">‒ </w:t>
      </w:r>
      <w:bookmarkStart w:id="6" w:name="_Hlk77153098"/>
      <w:bookmarkEnd w:id="5"/>
      <w:r w:rsidRPr="00BA7067">
        <w:rPr>
          <w:rFonts w:ascii="Arial" w:eastAsia="Calibri" w:hAnsi="Arial" w:cs="Arial"/>
          <w:b/>
          <w:bCs/>
          <w:sz w:val="22"/>
        </w:rPr>
        <w:t xml:space="preserve">Finalidad </w:t>
      </w:r>
      <w:bookmarkEnd w:id="6"/>
    </w:p>
    <w:p w14:paraId="2141D68F" w14:textId="77777777" w:rsidR="00F25EA6" w:rsidRPr="00BA7067" w:rsidRDefault="00F25EA6" w:rsidP="00F25EA6">
      <w:pPr>
        <w:tabs>
          <w:tab w:val="left" w:pos="426"/>
        </w:tabs>
        <w:rPr>
          <w:rFonts w:ascii="Arial" w:eastAsia="Calibri" w:hAnsi="Arial" w:cs="Arial"/>
          <w:b/>
          <w:bCs/>
          <w:sz w:val="20"/>
          <w:szCs w:val="20"/>
        </w:rPr>
      </w:pPr>
    </w:p>
    <w:bookmarkEnd w:id="4"/>
    <w:p w14:paraId="75D0FD65" w14:textId="77777777" w:rsidR="00F25EA6" w:rsidRPr="00BA7067" w:rsidRDefault="00F25EA6" w:rsidP="00F25EA6">
      <w:pPr>
        <w:tabs>
          <w:tab w:val="left" w:pos="426"/>
        </w:tabs>
        <w:jc w:val="both"/>
        <w:rPr>
          <w:rFonts w:ascii="Arial" w:eastAsia="Calibri" w:hAnsi="Arial" w:cs="Arial"/>
          <w:noProof/>
          <w:sz w:val="20"/>
          <w:szCs w:val="20"/>
          <w:lang w:val="es-ES_tradnl"/>
        </w:rPr>
      </w:pPr>
      <w:r w:rsidRPr="00BA7067">
        <w:rPr>
          <w:rFonts w:ascii="Arial" w:eastAsia="Calibri" w:hAnsi="Arial" w:cs="Arial"/>
          <w:noProof/>
          <w:sz w:val="20"/>
          <w:szCs w:val="20"/>
          <w:lang w:val="es-ES_tradnl"/>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6D95F689" w14:textId="77777777" w:rsidR="00F25EA6" w:rsidRPr="00BA7067" w:rsidRDefault="00F25EA6" w:rsidP="00F25EA6">
      <w:pPr>
        <w:tabs>
          <w:tab w:val="left" w:pos="426"/>
        </w:tabs>
        <w:jc w:val="both"/>
        <w:rPr>
          <w:rFonts w:ascii="Arial" w:eastAsia="Calibri" w:hAnsi="Arial" w:cs="Arial"/>
          <w:noProof/>
          <w:sz w:val="20"/>
          <w:szCs w:val="20"/>
          <w:lang w:val="es-ES_tradnl"/>
        </w:rPr>
      </w:pPr>
    </w:p>
    <w:p w14:paraId="2D1FE6DF" w14:textId="77777777" w:rsidR="00F25EA6" w:rsidRPr="00BA7067" w:rsidRDefault="00F25EA6" w:rsidP="00F25EA6">
      <w:pPr>
        <w:tabs>
          <w:tab w:val="left" w:pos="426"/>
        </w:tabs>
        <w:jc w:val="both"/>
        <w:rPr>
          <w:rFonts w:ascii="Arial" w:eastAsia="Calibri" w:hAnsi="Arial" w:cs="Arial"/>
          <w:noProof/>
          <w:sz w:val="20"/>
          <w:szCs w:val="20"/>
          <w:lang w:val="es-ES_tradnl"/>
        </w:rPr>
      </w:pPr>
      <w:r w:rsidRPr="00BA7067">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BE8D1A7" w14:textId="77777777" w:rsidR="00F25EA6" w:rsidRPr="00BA7067" w:rsidRDefault="00F25EA6" w:rsidP="00F25EA6">
      <w:pPr>
        <w:tabs>
          <w:tab w:val="left" w:pos="426"/>
        </w:tabs>
        <w:rPr>
          <w:rFonts w:ascii="Arial" w:eastAsia="Calibri" w:hAnsi="Arial" w:cs="Arial"/>
          <w:noProof/>
          <w:sz w:val="20"/>
          <w:szCs w:val="20"/>
          <w:lang w:val="es-ES_tradnl"/>
        </w:rPr>
      </w:pPr>
    </w:p>
    <w:p w14:paraId="6DBFC8EF" w14:textId="77777777" w:rsidR="00F25EA6" w:rsidRPr="00BA7067" w:rsidRDefault="00F25EA6" w:rsidP="00F25EA6">
      <w:pPr>
        <w:rPr>
          <w:rFonts w:ascii="Arial" w:hAnsi="Arial" w:cs="Arial"/>
          <w:b/>
          <w:sz w:val="22"/>
          <w:lang w:val="es-ES" w:eastAsia="es-CO"/>
        </w:rPr>
      </w:pPr>
      <w:r w:rsidRPr="00BA7067">
        <w:rPr>
          <w:rFonts w:ascii="Arial" w:hAnsi="Arial" w:cs="Arial"/>
          <w:b/>
          <w:bCs/>
          <w:sz w:val="22"/>
          <w:lang w:eastAsia="es-CO"/>
        </w:rPr>
        <w:t xml:space="preserve">LEY DE GARANTÍAS ELECTORALES </w:t>
      </w:r>
      <w:bookmarkStart w:id="7" w:name="_Hlk77166669"/>
      <w:r w:rsidRPr="00BA7067">
        <w:rPr>
          <w:rFonts w:ascii="Arial" w:hAnsi="Arial" w:cs="Arial"/>
          <w:b/>
          <w:bCs/>
          <w:sz w:val="22"/>
          <w:lang w:eastAsia="es-CO"/>
        </w:rPr>
        <w:t>‒</w:t>
      </w:r>
      <w:bookmarkEnd w:id="7"/>
      <w:r w:rsidRPr="00BA7067">
        <w:rPr>
          <w:rFonts w:ascii="Arial" w:hAnsi="Arial" w:cs="Arial"/>
          <w:b/>
          <w:bCs/>
          <w:sz w:val="22"/>
          <w:lang w:eastAsia="es-CO"/>
        </w:rPr>
        <w:t xml:space="preserve"> </w:t>
      </w:r>
      <w:r w:rsidRPr="00BA7067">
        <w:rPr>
          <w:rFonts w:ascii="Arial" w:hAnsi="Arial" w:cs="Arial"/>
          <w:b/>
          <w:sz w:val="22"/>
          <w:lang w:val="es-ES" w:eastAsia="es-CO"/>
        </w:rPr>
        <w:t xml:space="preserve">Prohibición del artículo 33 </w:t>
      </w:r>
      <w:r w:rsidRPr="00BA7067">
        <w:rPr>
          <w:rFonts w:ascii="Arial" w:hAnsi="Arial" w:cs="Arial"/>
          <w:b/>
          <w:bCs/>
          <w:sz w:val="22"/>
          <w:lang w:eastAsia="es-CO"/>
        </w:rPr>
        <w:t xml:space="preserve">‒ Destinatarios </w:t>
      </w:r>
    </w:p>
    <w:p w14:paraId="718C6DC9" w14:textId="77777777" w:rsidR="00F25EA6" w:rsidRPr="00BA7067" w:rsidRDefault="00F25EA6" w:rsidP="00F25EA6">
      <w:pPr>
        <w:tabs>
          <w:tab w:val="left" w:pos="426"/>
        </w:tabs>
        <w:rPr>
          <w:rFonts w:ascii="Arial" w:eastAsia="Calibri" w:hAnsi="Arial" w:cs="Arial"/>
          <w:noProof/>
          <w:sz w:val="20"/>
          <w:szCs w:val="20"/>
          <w:lang w:val="es-ES"/>
        </w:rPr>
      </w:pPr>
    </w:p>
    <w:p w14:paraId="335CA6B1" w14:textId="77777777" w:rsidR="00F25EA6" w:rsidRPr="00BA7067" w:rsidRDefault="00F25EA6" w:rsidP="00F25EA6">
      <w:pPr>
        <w:tabs>
          <w:tab w:val="left" w:pos="426"/>
        </w:tabs>
        <w:jc w:val="both"/>
        <w:rPr>
          <w:rFonts w:ascii="Arial" w:eastAsia="Calibri" w:hAnsi="Arial" w:cs="Arial"/>
          <w:noProof/>
          <w:sz w:val="20"/>
          <w:szCs w:val="20"/>
        </w:rPr>
      </w:pPr>
      <w:r w:rsidRPr="00BA7067">
        <w:rPr>
          <w:rFonts w:ascii="Arial" w:eastAsia="Calibri" w:hAnsi="Arial" w:cs="Arial"/>
          <w:noProof/>
          <w:sz w:val="20"/>
          <w:szCs w:val="20"/>
        </w:rPr>
        <w:t>[…] 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47392B8" w14:textId="77777777" w:rsidR="00F25EA6" w:rsidRPr="00BA7067" w:rsidRDefault="00F25EA6" w:rsidP="00F25EA6">
      <w:pPr>
        <w:tabs>
          <w:tab w:val="left" w:pos="426"/>
        </w:tabs>
        <w:jc w:val="both"/>
        <w:rPr>
          <w:rFonts w:ascii="Arial" w:eastAsia="Calibri" w:hAnsi="Arial" w:cs="Arial"/>
          <w:b/>
          <w:bCs/>
          <w:sz w:val="22"/>
        </w:rPr>
      </w:pPr>
    </w:p>
    <w:p w14:paraId="60D05C15" w14:textId="77777777" w:rsidR="00F25EA6" w:rsidRPr="00BA7067" w:rsidRDefault="00F25EA6"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r w:rsidRPr="00BA7067">
        <w:rPr>
          <w:rFonts w:ascii="Arial" w:eastAsia="Calibri" w:hAnsi="Arial" w:cs="Arial"/>
          <w:noProof/>
          <w:sz w:val="20"/>
          <w:szCs w:val="20"/>
        </w:rPr>
        <w:t xml:space="preserve">[…] </w:t>
      </w:r>
      <w:r w:rsidRPr="00BA7067">
        <w:rPr>
          <w:rFonts w:ascii="Arial" w:eastAsia="Calibri" w:hAnsi="Arial" w:cs="Arial"/>
          <w:noProof/>
          <w:sz w:val="20"/>
          <w:szCs w:val="20"/>
          <w:lang w:val="es-MX" w:eastAsia="en-US"/>
        </w:rPr>
        <w:t xml:space="preserve">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 </w:t>
      </w:r>
    </w:p>
    <w:p w14:paraId="34697728" w14:textId="263C40B7" w:rsidR="00F25EA6" w:rsidRPr="00BA7067" w:rsidRDefault="00F25EA6"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708B6559" w14:textId="2EBC025E" w:rsidR="00025DE5" w:rsidRPr="00BA7067" w:rsidRDefault="00025DE5"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7DB38D83" w14:textId="6C48D1B9" w:rsidR="00025DE5" w:rsidRPr="00BA7067" w:rsidRDefault="00025DE5"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40A29F37" w14:textId="77777777" w:rsidR="00025DE5" w:rsidRPr="00BA7067" w:rsidRDefault="00025DE5"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4D0D1817" w14:textId="77777777" w:rsidR="00F25EA6" w:rsidRPr="00BA7067" w:rsidRDefault="00F25EA6" w:rsidP="00F25EA6">
      <w:pPr>
        <w:tabs>
          <w:tab w:val="left" w:pos="426"/>
        </w:tabs>
        <w:jc w:val="both"/>
        <w:rPr>
          <w:rFonts w:ascii="Arial" w:eastAsia="Calibri" w:hAnsi="Arial" w:cs="Arial"/>
          <w:b/>
          <w:bCs/>
          <w:sz w:val="22"/>
        </w:rPr>
      </w:pPr>
      <w:r w:rsidRPr="00BA7067">
        <w:rPr>
          <w:rFonts w:ascii="Arial" w:eastAsia="Calibri" w:hAnsi="Arial" w:cs="Arial"/>
          <w:b/>
          <w:bCs/>
          <w:sz w:val="22"/>
        </w:rPr>
        <w:lastRenderedPageBreak/>
        <w:t xml:space="preserve">LEY DE GARANTÍAS ELECTORALES ─ Prohibición ‒ Contratación directa ‒ Alcance – </w:t>
      </w:r>
      <w:r w:rsidRPr="00BA7067">
        <w:rPr>
          <w:rFonts w:ascii="Arial" w:hAnsi="Arial" w:cs="Arial"/>
          <w:b/>
          <w:bCs/>
          <w:sz w:val="22"/>
          <w:lang w:eastAsia="es-CO"/>
        </w:rPr>
        <w:t>Excepciones</w:t>
      </w:r>
      <w:r w:rsidRPr="00BA7067">
        <w:rPr>
          <w:rFonts w:ascii="Arial" w:eastAsia="Calibri" w:hAnsi="Arial" w:cs="Arial"/>
          <w:b/>
          <w:bCs/>
          <w:sz w:val="22"/>
        </w:rPr>
        <w:t xml:space="preserve"> </w:t>
      </w:r>
    </w:p>
    <w:p w14:paraId="0A620D0A" w14:textId="77777777" w:rsidR="00F25EA6" w:rsidRPr="00BA7067" w:rsidRDefault="00F25EA6" w:rsidP="00F25EA6">
      <w:pPr>
        <w:tabs>
          <w:tab w:val="left" w:pos="426"/>
        </w:tabs>
        <w:rPr>
          <w:rFonts w:ascii="Arial" w:eastAsia="Calibri" w:hAnsi="Arial" w:cs="Arial"/>
          <w:noProof/>
          <w:sz w:val="20"/>
          <w:szCs w:val="20"/>
        </w:rPr>
      </w:pPr>
    </w:p>
    <w:p w14:paraId="6E9AF493" w14:textId="77777777" w:rsidR="00F25EA6" w:rsidRPr="00BA7067" w:rsidRDefault="00F25EA6" w:rsidP="00F25EA6">
      <w:pPr>
        <w:tabs>
          <w:tab w:val="left" w:pos="426"/>
        </w:tabs>
        <w:jc w:val="both"/>
        <w:rPr>
          <w:rFonts w:ascii="Arial" w:hAnsi="Arial" w:cs="Arial"/>
          <w:sz w:val="20"/>
          <w:szCs w:val="20"/>
          <w:lang w:eastAsia="es-ES"/>
        </w:rPr>
      </w:pPr>
      <w:r w:rsidRPr="00BA7067">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49A5913B" w14:textId="77777777" w:rsidR="00F25EA6" w:rsidRPr="00BA7067" w:rsidRDefault="00F25EA6" w:rsidP="00F25EA6">
      <w:pPr>
        <w:shd w:val="clear" w:color="auto" w:fill="FFFFFF"/>
        <w:jc w:val="both"/>
        <w:rPr>
          <w:rFonts w:ascii="Arial" w:hAnsi="Arial" w:cs="Arial"/>
          <w:sz w:val="20"/>
          <w:szCs w:val="20"/>
          <w:lang w:eastAsia="es-CO"/>
        </w:rPr>
      </w:pPr>
    </w:p>
    <w:p w14:paraId="6FC15893" w14:textId="77777777" w:rsidR="00F25EA6" w:rsidRPr="00BA7067" w:rsidRDefault="00F25EA6" w:rsidP="00F25EA6">
      <w:pPr>
        <w:jc w:val="both"/>
        <w:rPr>
          <w:rFonts w:ascii="Arial" w:hAnsi="Arial" w:cs="Arial"/>
          <w:sz w:val="20"/>
          <w:szCs w:val="20"/>
        </w:rPr>
      </w:pPr>
      <w:r w:rsidRPr="00BA7067">
        <w:rPr>
          <w:rFonts w:ascii="Arial" w:hAnsi="Arial" w:cs="Arial"/>
          <w:sz w:val="20"/>
          <w:szCs w:val="20"/>
          <w:lang w:eastAsia="x-none"/>
        </w:rPr>
        <w:t xml:space="preserve">[…] </w:t>
      </w:r>
      <w:r w:rsidRPr="00BA7067">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BA7067">
        <w:rPr>
          <w:rFonts w:ascii="Arial" w:hAnsi="Arial" w:cs="Arial"/>
          <w:sz w:val="20"/>
          <w:szCs w:val="20"/>
        </w:rPr>
        <w:t>ii</w:t>
      </w:r>
      <w:proofErr w:type="spellEnd"/>
      <w:r w:rsidRPr="00BA7067">
        <w:rPr>
          <w:rFonts w:ascii="Arial" w:hAnsi="Arial" w:cs="Arial"/>
          <w:sz w:val="20"/>
          <w:szCs w:val="20"/>
        </w:rPr>
        <w:t xml:space="preserve">) los contratos de crédito público; </w:t>
      </w:r>
      <w:proofErr w:type="spellStart"/>
      <w:r w:rsidRPr="00BA7067">
        <w:rPr>
          <w:rFonts w:ascii="Arial" w:hAnsi="Arial" w:cs="Arial"/>
          <w:sz w:val="20"/>
          <w:szCs w:val="20"/>
        </w:rPr>
        <w:t>iii</w:t>
      </w:r>
      <w:proofErr w:type="spellEnd"/>
      <w:r w:rsidRPr="00BA7067">
        <w:rPr>
          <w:rFonts w:ascii="Arial" w:hAnsi="Arial" w:cs="Arial"/>
          <w:sz w:val="20"/>
          <w:szCs w:val="20"/>
        </w:rPr>
        <w:t xml:space="preserve">) los requeridos para cubrir las emergencias educativas, sanitarias y desastres; </w:t>
      </w:r>
      <w:proofErr w:type="spellStart"/>
      <w:r w:rsidRPr="00BA7067">
        <w:rPr>
          <w:rFonts w:ascii="Arial" w:hAnsi="Arial" w:cs="Arial"/>
          <w:sz w:val="20"/>
          <w:szCs w:val="20"/>
        </w:rPr>
        <w:t>iv</w:t>
      </w:r>
      <w:proofErr w:type="spellEnd"/>
      <w:r w:rsidRPr="00BA7067">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76FFEEE" w14:textId="77777777" w:rsidR="00F25EA6" w:rsidRPr="00BA7067" w:rsidRDefault="00F25EA6"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77B43F28" w14:textId="77777777" w:rsidR="00954ECE" w:rsidRPr="00BA7067" w:rsidRDefault="00954ECE" w:rsidP="001F7C1D">
      <w:pPr>
        <w:jc w:val="both"/>
        <w:rPr>
          <w:rFonts w:ascii="Arial" w:eastAsia="Calibri" w:hAnsi="Arial" w:cs="Arial"/>
          <w:sz w:val="20"/>
          <w:szCs w:val="20"/>
          <w:lang w:val="es-ES"/>
        </w:rPr>
      </w:pPr>
    </w:p>
    <w:p w14:paraId="0A47E0CE" w14:textId="1F94A725" w:rsidR="007543D1" w:rsidRPr="00BA7067" w:rsidRDefault="007A5FC2">
      <w:pPr>
        <w:spacing w:after="160" w:line="259" w:lineRule="auto"/>
        <w:rPr>
          <w:rFonts w:ascii="Arial" w:eastAsia="Calibri" w:hAnsi="Arial" w:cs="Arial"/>
          <w:b/>
          <w:sz w:val="22"/>
          <w:lang w:val="es-ES_tradnl"/>
        </w:rPr>
      </w:pPr>
      <w:r w:rsidRPr="00BA7067">
        <w:rPr>
          <w:rFonts w:ascii="Arial" w:eastAsia="Calibri" w:hAnsi="Arial" w:cs="Arial"/>
          <w:b/>
          <w:sz w:val="22"/>
          <w:lang w:val="es-ES_tradnl"/>
        </w:rPr>
        <w:t xml:space="preserve">CONTRATO DE TRANSACCIÓN – </w:t>
      </w:r>
      <w:r w:rsidR="007543D1" w:rsidRPr="00BA7067">
        <w:rPr>
          <w:rFonts w:ascii="Arial" w:eastAsia="Calibri" w:hAnsi="Arial" w:cs="Arial"/>
          <w:b/>
          <w:sz w:val="22"/>
          <w:lang w:val="es-ES_tradnl"/>
        </w:rPr>
        <w:t>Noción – Requisitos</w:t>
      </w:r>
    </w:p>
    <w:p w14:paraId="54C478EB" w14:textId="145B1DEC" w:rsidR="007543D1" w:rsidRPr="00BA7067" w:rsidRDefault="007543D1" w:rsidP="007543D1">
      <w:pPr>
        <w:spacing w:line="259" w:lineRule="auto"/>
        <w:jc w:val="both"/>
        <w:rPr>
          <w:rFonts w:ascii="Arial" w:eastAsia="Calibri" w:hAnsi="Arial" w:cs="Arial"/>
          <w:bCs/>
          <w:sz w:val="20"/>
          <w:szCs w:val="20"/>
          <w:lang w:val="es-ES_tradnl"/>
        </w:rPr>
      </w:pPr>
      <w:r w:rsidRPr="00BA7067">
        <w:rPr>
          <w:rFonts w:ascii="Arial" w:eastAsia="Calibri" w:hAnsi="Arial" w:cs="Arial"/>
          <w:bCs/>
          <w:sz w:val="20"/>
          <w:szCs w:val="20"/>
          <w:lang w:val="es-ES_tradnl"/>
        </w:rPr>
        <w:t xml:space="preserve">La transacción es un mecanismo alternativo de resolución de conflictos de carácter autocompositivo, por el cual las partes involucradas en una controversia acuerdan directamente la forma de resolverla. Es decir, solucionan el conflicto por voluntad propia –efectuando concesiones recíprocas– y no por la imposición de un tercero. De ahí que la transacción revista los rasgos de un negocio jurídico o contrato, pues es un acuerdo de voluntades para crear, modificar o extinguir derechos y </w:t>
      </w:r>
      <w:proofErr w:type="gramStart"/>
      <w:r w:rsidRPr="00BA7067">
        <w:rPr>
          <w:rFonts w:ascii="Arial" w:eastAsia="Calibri" w:hAnsi="Arial" w:cs="Arial"/>
          <w:bCs/>
          <w:sz w:val="20"/>
          <w:szCs w:val="20"/>
          <w:lang w:val="es-ES_tradnl"/>
        </w:rPr>
        <w:t>obligaciones .</w:t>
      </w:r>
      <w:proofErr w:type="gramEnd"/>
      <w:r w:rsidRPr="00BA7067">
        <w:rPr>
          <w:rFonts w:ascii="Arial" w:eastAsia="Calibri" w:hAnsi="Arial" w:cs="Arial"/>
          <w:bCs/>
          <w:sz w:val="20"/>
          <w:szCs w:val="20"/>
          <w:lang w:val="es-ES_tradnl"/>
        </w:rPr>
        <w:t xml:space="preserve"> Esto diferencia a la transacción de los mecanismos </w:t>
      </w:r>
      <w:proofErr w:type="spellStart"/>
      <w:r w:rsidRPr="00BA7067">
        <w:rPr>
          <w:rFonts w:ascii="Arial" w:eastAsia="Calibri" w:hAnsi="Arial" w:cs="Arial"/>
          <w:bCs/>
          <w:sz w:val="20"/>
          <w:szCs w:val="20"/>
          <w:lang w:val="es-ES_tradnl"/>
        </w:rPr>
        <w:t>heterocompositivos</w:t>
      </w:r>
      <w:proofErr w:type="spellEnd"/>
      <w:r w:rsidRPr="00BA7067">
        <w:rPr>
          <w:rFonts w:ascii="Arial" w:eastAsia="Calibri" w:hAnsi="Arial" w:cs="Arial"/>
          <w:bCs/>
          <w:sz w:val="20"/>
          <w:szCs w:val="20"/>
          <w:lang w:val="es-ES_tradnl"/>
        </w:rPr>
        <w:t xml:space="preserve">, en los que un sujeto distinto a las partes decide con autoridad de cosa juzgada a cuál de ellas le asiste la razón. 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solo procede sobre derechos inciertos y discutibles; </w:t>
      </w:r>
      <w:proofErr w:type="spellStart"/>
      <w:r w:rsidRPr="00BA7067">
        <w:rPr>
          <w:rFonts w:ascii="Arial" w:eastAsia="Calibri" w:hAnsi="Arial" w:cs="Arial"/>
          <w:bCs/>
          <w:sz w:val="20"/>
          <w:szCs w:val="20"/>
          <w:lang w:val="es-ES_tradnl"/>
        </w:rPr>
        <w:t>ii</w:t>
      </w:r>
      <w:proofErr w:type="spellEnd"/>
      <w:r w:rsidRPr="00BA7067">
        <w:rPr>
          <w:rFonts w:ascii="Arial" w:eastAsia="Calibri" w:hAnsi="Arial" w:cs="Arial"/>
          <w:bCs/>
          <w:sz w:val="20"/>
          <w:szCs w:val="20"/>
          <w:lang w:val="es-ES_tradnl"/>
        </w:rPr>
        <w:t xml:space="preserve">) las partes deben tener capacidad para disponer del objeto del negocio jurídico, lo que no obsta para que se otorgue poder mediante la celebración de un contrato de mandato; </w:t>
      </w:r>
      <w:proofErr w:type="spellStart"/>
      <w:r w:rsidRPr="00BA7067">
        <w:rPr>
          <w:rFonts w:ascii="Arial" w:eastAsia="Calibri" w:hAnsi="Arial" w:cs="Arial"/>
          <w:bCs/>
          <w:sz w:val="20"/>
          <w:szCs w:val="20"/>
          <w:lang w:val="es-ES_tradnl"/>
        </w:rPr>
        <w:t>iii</w:t>
      </w:r>
      <w:proofErr w:type="spellEnd"/>
      <w:r w:rsidRPr="00BA7067">
        <w:rPr>
          <w:rFonts w:ascii="Arial" w:eastAsia="Calibri" w:hAnsi="Arial" w:cs="Arial"/>
          <w:bCs/>
          <w:sz w:val="20"/>
          <w:szCs w:val="20"/>
          <w:lang w:val="es-ES_tradnl"/>
        </w:rPr>
        <w:t xml:space="preserve">) no puede versar sobre materias prohibidas, como el estado civil de las personas, derechos ajenos o que no existen y </w:t>
      </w:r>
      <w:proofErr w:type="spellStart"/>
      <w:r w:rsidRPr="00BA7067">
        <w:rPr>
          <w:rFonts w:ascii="Arial" w:eastAsia="Calibri" w:hAnsi="Arial" w:cs="Arial"/>
          <w:bCs/>
          <w:sz w:val="20"/>
          <w:szCs w:val="20"/>
          <w:lang w:val="es-ES_tradnl"/>
        </w:rPr>
        <w:t>iv</w:t>
      </w:r>
      <w:proofErr w:type="spellEnd"/>
      <w:r w:rsidRPr="00BA7067">
        <w:rPr>
          <w:rFonts w:ascii="Arial" w:eastAsia="Calibri" w:hAnsi="Arial" w:cs="Arial"/>
          <w:bCs/>
          <w:sz w:val="20"/>
          <w:szCs w:val="20"/>
          <w:lang w:val="es-ES_tradnl"/>
        </w:rPr>
        <w:t>) únicamente surte efecto entre las partes. Además, el numeral 3 del artículo 1625 del mismo Código prevé la transacción como uno de los modos de extinción de las obligaciones.</w:t>
      </w:r>
    </w:p>
    <w:p w14:paraId="08C7808A" w14:textId="77777777" w:rsidR="007543D1" w:rsidRPr="00BA7067" w:rsidRDefault="007543D1" w:rsidP="007543D1">
      <w:pPr>
        <w:jc w:val="both"/>
        <w:rPr>
          <w:rFonts w:ascii="Arial" w:eastAsia="Calibri" w:hAnsi="Arial" w:cs="Arial"/>
          <w:sz w:val="20"/>
          <w:szCs w:val="20"/>
          <w:lang w:val="es-ES"/>
        </w:rPr>
      </w:pPr>
    </w:p>
    <w:p w14:paraId="4BDA7210" w14:textId="019CA861" w:rsidR="007543D1" w:rsidRPr="00BA7067" w:rsidRDefault="007543D1" w:rsidP="007543D1">
      <w:pPr>
        <w:spacing w:line="259" w:lineRule="auto"/>
        <w:jc w:val="both"/>
        <w:rPr>
          <w:rFonts w:ascii="Arial" w:eastAsia="Calibri" w:hAnsi="Arial" w:cs="Arial"/>
          <w:b/>
          <w:sz w:val="22"/>
          <w:lang w:val="es-ES_tradnl"/>
        </w:rPr>
      </w:pPr>
      <w:r w:rsidRPr="00BA7067">
        <w:rPr>
          <w:rFonts w:ascii="Arial" w:eastAsia="Calibri" w:hAnsi="Arial" w:cs="Arial"/>
          <w:b/>
          <w:sz w:val="22"/>
          <w:lang w:val="es-ES_tradnl"/>
        </w:rPr>
        <w:t xml:space="preserve">CONTRATO DE TRANSACCIÓN – Mecanismo alternativo de resolución de conflictos – </w:t>
      </w:r>
      <w:r w:rsidR="004835F6" w:rsidRPr="00BA7067">
        <w:rPr>
          <w:rFonts w:ascii="Arial" w:eastAsia="Calibri" w:hAnsi="Arial" w:cs="Arial"/>
          <w:b/>
          <w:sz w:val="22"/>
          <w:lang w:val="es-ES_tradnl"/>
        </w:rPr>
        <w:t>Entidades Estatales</w:t>
      </w:r>
    </w:p>
    <w:p w14:paraId="43F8C54A" w14:textId="77777777" w:rsidR="007543D1" w:rsidRPr="00BA7067" w:rsidRDefault="007543D1" w:rsidP="007543D1">
      <w:pPr>
        <w:spacing w:line="259" w:lineRule="auto"/>
        <w:jc w:val="both"/>
        <w:rPr>
          <w:rFonts w:ascii="Arial" w:eastAsia="Calibri" w:hAnsi="Arial" w:cs="Arial"/>
          <w:bCs/>
          <w:sz w:val="20"/>
          <w:szCs w:val="20"/>
          <w:lang w:val="es-ES_tradnl"/>
        </w:rPr>
      </w:pPr>
    </w:p>
    <w:p w14:paraId="41E5630A" w14:textId="15BEC93C" w:rsidR="007543D1" w:rsidRPr="00BA7067" w:rsidRDefault="007543D1" w:rsidP="007543D1">
      <w:pPr>
        <w:spacing w:line="259" w:lineRule="auto"/>
        <w:jc w:val="both"/>
        <w:rPr>
          <w:rFonts w:ascii="Arial" w:eastAsia="Calibri" w:hAnsi="Arial" w:cs="Arial"/>
          <w:bCs/>
          <w:sz w:val="20"/>
          <w:szCs w:val="20"/>
          <w:lang w:val="es-ES_tradnl"/>
        </w:rPr>
      </w:pPr>
      <w:r w:rsidRPr="00BA7067">
        <w:rPr>
          <w:rFonts w:ascii="Arial" w:eastAsia="Calibri" w:hAnsi="Arial" w:cs="Arial"/>
          <w:bCs/>
          <w:sz w:val="20"/>
          <w:szCs w:val="20"/>
          <w:lang w:val="es-ES_tradnl"/>
        </w:rPr>
        <w:t xml:space="preserve">Como mecanismo alternativo de resolución de conflictos, la transacción puede ser judicial o extrajudicial, dependiendo de si se da o no para terminar un proceso judicial vigente. El artículo 2469 del Código Civil es el fundamento jurídico de la transacción extrajudicial, pues indica que mediante este contrato las partes «[…] terminan extrajudicialmente un litigio pendiente o precaven un litigio eventual» (cursiva fuera de texto). A su vez, los códigos procesales han reconocido la transacción judicial como forma de terminación anticipada de los litigios. Por ejemplo, el artículo 176 del Código de Procedimiento Administrativo y de lo Contencioso Administrativo –Ley 1437 de 2011– establece </w:t>
      </w:r>
      <w:r w:rsidRPr="00BA7067">
        <w:rPr>
          <w:rFonts w:ascii="Arial" w:eastAsia="Calibri" w:hAnsi="Arial" w:cs="Arial"/>
          <w:bCs/>
          <w:sz w:val="20"/>
          <w:szCs w:val="20"/>
          <w:lang w:val="es-ES_tradnl"/>
        </w:rPr>
        <w:lastRenderedPageBreak/>
        <w:t xml:space="preserve">que el proceso judicial puede terminar por </w:t>
      </w:r>
      <w:proofErr w:type="gramStart"/>
      <w:r w:rsidRPr="00BA7067">
        <w:rPr>
          <w:rFonts w:ascii="Arial" w:eastAsia="Calibri" w:hAnsi="Arial" w:cs="Arial"/>
          <w:bCs/>
          <w:sz w:val="20"/>
          <w:szCs w:val="20"/>
          <w:lang w:val="es-ES_tradnl"/>
        </w:rPr>
        <w:t>transacción .</w:t>
      </w:r>
      <w:proofErr w:type="gramEnd"/>
      <w:r w:rsidRPr="00BA7067">
        <w:rPr>
          <w:rFonts w:ascii="Arial" w:eastAsia="Calibri" w:hAnsi="Arial" w:cs="Arial"/>
          <w:bCs/>
          <w:sz w:val="20"/>
          <w:szCs w:val="20"/>
          <w:lang w:val="es-ES_tradnl"/>
        </w:rPr>
        <w:t xml:space="preserve"> De la misma manera, el artículo 103 del Estatuto de Arbitraje Nacional e Internacional –Ley 1563 de 2012– permite la terminación del proceso arbitral por transacción entre las </w:t>
      </w:r>
      <w:proofErr w:type="gramStart"/>
      <w:r w:rsidRPr="00BA7067">
        <w:rPr>
          <w:rFonts w:ascii="Arial" w:eastAsia="Calibri" w:hAnsi="Arial" w:cs="Arial"/>
          <w:bCs/>
          <w:sz w:val="20"/>
          <w:szCs w:val="20"/>
          <w:lang w:val="es-ES_tradnl"/>
        </w:rPr>
        <w:t>partes .</w:t>
      </w:r>
      <w:proofErr w:type="gramEnd"/>
      <w:r w:rsidRPr="00BA7067">
        <w:rPr>
          <w:rFonts w:ascii="Arial" w:eastAsia="Calibri" w:hAnsi="Arial" w:cs="Arial"/>
          <w:bCs/>
          <w:sz w:val="20"/>
          <w:szCs w:val="20"/>
          <w:lang w:val="es-ES_tradnl"/>
        </w:rPr>
        <w:t xml:space="preserve"> El artículo 313 del Código General del Proceso –Ley 1564 de 2012–, por su parte, dispone que «Los representantes de la nación, departamentos y municipios no podrán transigir sin autorización del Gobierno Nacional, del gobernador o alcalde, según fuere el caso»; pero esta última norma –valga resaltar– solo aplica en los procesos jurisdiccionales conforme lo determina el objeto del mismo Código General del </w:t>
      </w:r>
      <w:proofErr w:type="spellStart"/>
      <w:r w:rsidRPr="00BA7067">
        <w:rPr>
          <w:rFonts w:ascii="Arial" w:eastAsia="Calibri" w:hAnsi="Arial" w:cs="Arial"/>
          <w:bCs/>
          <w:sz w:val="20"/>
          <w:szCs w:val="20"/>
          <w:lang w:val="es-ES_tradnl"/>
        </w:rPr>
        <w:t>Proceso.En</w:t>
      </w:r>
      <w:proofErr w:type="spellEnd"/>
      <w:r w:rsidRPr="00BA7067">
        <w:rPr>
          <w:rFonts w:ascii="Arial" w:eastAsia="Calibri" w:hAnsi="Arial" w:cs="Arial"/>
          <w:bCs/>
          <w:sz w:val="20"/>
          <w:szCs w:val="20"/>
          <w:lang w:val="es-ES_tradnl"/>
        </w:rPr>
        <w:t xml:space="preserve"> el ámbito de la contratación estatal, la jurisprudencia del Consejo de Estado  y la doctrina  han reconocido la procedencia de la transacción extrajudicial, como mecanismo apropiado para precaver litigios eventuales o para resolver controversias entre las entidades estatales y sus contratistas. La Subdirección de Gestión Contractual está de acuerdo con dicha postura, pues tanto en las normas civiles como en el Estatuto General de Contratación de la Administración Pública, se encuentra la habilitación legal para que las entidades públicas celebren contratos de transacción. Más aún, los órganos del Estado que se rigen por la Ley 80 de 1993 y sus normas complementarias, no solo tienen la facultad de transigir, sino que además están obligados a resolver oportunamente las controversias contractuales, para evitar que los conflictos escalen y se generen consecuencias jurídicas y pecuniarias más gravosas para el erario. </w:t>
      </w:r>
    </w:p>
    <w:p w14:paraId="009C6B73" w14:textId="77777777" w:rsidR="007543D1" w:rsidRPr="00BA7067" w:rsidRDefault="007543D1" w:rsidP="007543D1">
      <w:pPr>
        <w:spacing w:line="259" w:lineRule="auto"/>
        <w:jc w:val="both"/>
        <w:rPr>
          <w:rFonts w:ascii="Arial" w:eastAsia="Calibri" w:hAnsi="Arial" w:cs="Arial"/>
          <w:bCs/>
          <w:sz w:val="20"/>
          <w:szCs w:val="20"/>
          <w:lang w:val="es-ES_tradnl"/>
        </w:rPr>
      </w:pPr>
    </w:p>
    <w:p w14:paraId="43982B2C" w14:textId="77777777" w:rsidR="004835F6" w:rsidRPr="00BA7067" w:rsidRDefault="007543D1" w:rsidP="007543D1">
      <w:pPr>
        <w:spacing w:line="259" w:lineRule="auto"/>
        <w:jc w:val="both"/>
        <w:rPr>
          <w:rFonts w:ascii="Arial" w:eastAsia="Calibri" w:hAnsi="Arial" w:cs="Arial"/>
          <w:bCs/>
          <w:sz w:val="20"/>
          <w:szCs w:val="20"/>
          <w:lang w:val="es-ES_tradnl"/>
        </w:rPr>
      </w:pPr>
      <w:r w:rsidRPr="00BA7067">
        <w:rPr>
          <w:rFonts w:ascii="Arial" w:eastAsia="Calibri" w:hAnsi="Arial" w:cs="Arial"/>
          <w:bCs/>
          <w:sz w:val="20"/>
          <w:szCs w:val="20"/>
          <w:lang w:val="es-ES_tradnl"/>
        </w:rPr>
        <w:t>Para ilustrar mejor lo anterior, conviene señalar que la transacción se encuentra consagrada en varias disposiciones de la Ley 80 de 1993, como mecanismo alternativo de resolución de conflictos al que pueden acudir las entidades estatales y los contratistas para poner fin a sus diferencias o precaver litigios eventuales. Como muestra de ello, el numeral 9 del artículo 4 ibidem establece que las entidades estatales «Actuarán de tal modo que por causas a ellas imputables, no sobrevenga una mayor onerosidad en el cumplimiento de las obligaciones a cargo del contratista» y que «Con este fin, en el menor tiempo posible, corregirán los desajustes que pudieren presentarse y acordarán los mecanismos y procedimientos pertinentes para precaver o solucionar rápida y eficazmente las diferencias o situaciones litigiosas que llegaren a presentarse». En otras palabras, es deber de las entidades estatales buscar la solución oportuna de las controversias, para evitar que estas cada vez se tornen más complejas. Con ello se logran reducir los litigios y, por lo tanto, la congestión judicial. Además, la resolución rápida de una situación controversial impide que se incrementen los perjuicios de la parte afectada y que el Estado tenga que soportar condenas cuantiosas en el escenario jurisdiccional.</w:t>
      </w:r>
    </w:p>
    <w:p w14:paraId="504A2235" w14:textId="77777777" w:rsidR="004835F6" w:rsidRPr="00BA7067" w:rsidRDefault="004835F6" w:rsidP="007543D1">
      <w:pPr>
        <w:spacing w:line="259" w:lineRule="auto"/>
        <w:jc w:val="both"/>
        <w:rPr>
          <w:rFonts w:ascii="Arial" w:eastAsia="Calibri" w:hAnsi="Arial" w:cs="Arial"/>
          <w:bCs/>
          <w:sz w:val="20"/>
          <w:szCs w:val="20"/>
          <w:lang w:val="es-ES_tradnl"/>
        </w:rPr>
      </w:pPr>
    </w:p>
    <w:p w14:paraId="54897F6B" w14:textId="7A2F6041" w:rsidR="00B16FE3" w:rsidRPr="00BA7067" w:rsidRDefault="00B16FE3" w:rsidP="007A5FC2">
      <w:pPr>
        <w:spacing w:line="259" w:lineRule="auto"/>
        <w:jc w:val="both"/>
        <w:rPr>
          <w:rFonts w:ascii="Arial" w:eastAsia="Calibri" w:hAnsi="Arial" w:cs="Arial"/>
          <w:b/>
          <w:sz w:val="22"/>
          <w:lang w:val="es-ES_tradnl"/>
        </w:rPr>
      </w:pPr>
      <w:r w:rsidRPr="00BA7067">
        <w:rPr>
          <w:rFonts w:ascii="Arial" w:eastAsia="Calibri" w:hAnsi="Arial" w:cs="Arial"/>
          <w:b/>
          <w:sz w:val="22"/>
          <w:lang w:val="es-ES_tradnl"/>
        </w:rPr>
        <w:t xml:space="preserve">CONTRATO DE TRANSACCIÓN – Saneamiento </w:t>
      </w:r>
      <w:r w:rsidR="00E26306" w:rsidRPr="00BA7067">
        <w:rPr>
          <w:rFonts w:ascii="Arial" w:eastAsia="Calibri" w:hAnsi="Arial" w:cs="Arial"/>
          <w:b/>
          <w:sz w:val="22"/>
          <w:lang w:val="es-ES_tradnl"/>
        </w:rPr>
        <w:t xml:space="preserve">financiero del sector salud – </w:t>
      </w:r>
      <w:r w:rsidRPr="00BA7067">
        <w:rPr>
          <w:rFonts w:ascii="Arial" w:eastAsia="Calibri" w:hAnsi="Arial" w:cs="Arial"/>
          <w:b/>
          <w:sz w:val="22"/>
          <w:lang w:val="es-ES_tradnl"/>
        </w:rPr>
        <w:t>Ley 1955 de 2019 – Artículo 238 –</w:t>
      </w:r>
      <w:r w:rsidR="00E26306" w:rsidRPr="00BA7067">
        <w:rPr>
          <w:rFonts w:ascii="Arial" w:eastAsia="Calibri" w:hAnsi="Arial" w:cs="Arial"/>
          <w:b/>
          <w:sz w:val="22"/>
          <w:lang w:val="es-ES_tradnl"/>
        </w:rPr>
        <w:t xml:space="preserve"> Alcance de la compe</w:t>
      </w:r>
      <w:r w:rsidR="007A5FC2" w:rsidRPr="00BA7067">
        <w:rPr>
          <w:rFonts w:ascii="Arial" w:eastAsia="Calibri" w:hAnsi="Arial" w:cs="Arial"/>
          <w:b/>
          <w:sz w:val="22"/>
          <w:lang w:val="es-ES_tradnl"/>
        </w:rPr>
        <w:t>tencia consultiva</w:t>
      </w:r>
    </w:p>
    <w:p w14:paraId="61E9E8CA" w14:textId="77777777" w:rsidR="00B16FE3" w:rsidRPr="00BA7067" w:rsidRDefault="00B16FE3" w:rsidP="007A5FC2">
      <w:pPr>
        <w:spacing w:line="259" w:lineRule="auto"/>
        <w:jc w:val="both"/>
        <w:rPr>
          <w:rFonts w:ascii="Arial" w:eastAsia="Calibri" w:hAnsi="Arial" w:cs="Arial"/>
          <w:bCs/>
          <w:sz w:val="20"/>
          <w:szCs w:val="20"/>
          <w:lang w:val="es-ES_tradnl"/>
        </w:rPr>
      </w:pPr>
    </w:p>
    <w:p w14:paraId="262F9B6E" w14:textId="39EA05B6" w:rsidR="00B16FE3" w:rsidRPr="00BA7067" w:rsidRDefault="00B16FE3" w:rsidP="007A5FC2">
      <w:pPr>
        <w:jc w:val="both"/>
        <w:rPr>
          <w:rFonts w:ascii="Arial" w:eastAsia="Calibri" w:hAnsi="Arial" w:cs="Arial"/>
          <w:bCs/>
          <w:sz w:val="20"/>
          <w:szCs w:val="20"/>
          <w:lang w:val="es-ES_tradnl"/>
        </w:rPr>
      </w:pPr>
      <w:r w:rsidRPr="00BA7067">
        <w:rPr>
          <w:rFonts w:ascii="Arial" w:eastAsia="Calibri" w:hAnsi="Arial" w:cs="Arial"/>
          <w:bCs/>
          <w:sz w:val="20"/>
          <w:szCs w:val="20"/>
          <w:lang w:val="es-ES_tradnl"/>
        </w:rPr>
        <w:t xml:space="preserve">[E]l artículo 238 de la Ley 1955 de 2019 mencionado en la consulta, consiste en una norma dirigida a propiciar el saneamiento financiero del sector salud en las entidades territoriales, propósito en favor del cual, en primer lugar, se establecen una serie de reglas para el saneamiento definitivo de las cuentas de servicios y tecnologías en salud no financiadas por la UPC del régimen subsidiado prestados hasta el 31 de diciembre de </w:t>
      </w:r>
      <w:proofErr w:type="gramStart"/>
      <w:r w:rsidRPr="00BA7067">
        <w:rPr>
          <w:rFonts w:ascii="Arial" w:eastAsia="Calibri" w:hAnsi="Arial" w:cs="Arial"/>
          <w:bCs/>
          <w:sz w:val="20"/>
          <w:szCs w:val="20"/>
          <w:lang w:val="es-ES_tradnl"/>
        </w:rPr>
        <w:t>2019 .</w:t>
      </w:r>
      <w:proofErr w:type="gramEnd"/>
      <w:r w:rsidRPr="00BA7067">
        <w:rPr>
          <w:rFonts w:ascii="Arial" w:eastAsia="Calibri" w:hAnsi="Arial" w:cs="Arial"/>
          <w:bCs/>
          <w:sz w:val="20"/>
          <w:szCs w:val="20"/>
          <w:lang w:val="es-ES_tradnl"/>
        </w:rPr>
        <w:t xml:space="preserve"> Seguidamente, la norma contempla la posibilidad de que la Nación cofinancie […] el pago de las deudas de los servicios y tecnologías en salud no financiadas con cargo a la UPC del régimen subsidiado que agoten el procedimiento descrito en este artículo, </w:t>
      </w:r>
      <w:proofErr w:type="spellStart"/>
      <w:r w:rsidRPr="00BA7067">
        <w:rPr>
          <w:rFonts w:ascii="Arial" w:eastAsia="Calibri" w:hAnsi="Arial" w:cs="Arial"/>
          <w:bCs/>
          <w:sz w:val="20"/>
          <w:szCs w:val="20"/>
          <w:lang w:val="es-ES_tradnl"/>
        </w:rPr>
        <w:t>siem¬pre</w:t>
      </w:r>
      <w:proofErr w:type="spellEnd"/>
      <w:r w:rsidRPr="00BA7067">
        <w:rPr>
          <w:rFonts w:ascii="Arial" w:eastAsia="Calibri" w:hAnsi="Arial" w:cs="Arial"/>
          <w:bCs/>
          <w:sz w:val="20"/>
          <w:szCs w:val="20"/>
          <w:lang w:val="es-ES_tradnl"/>
        </w:rPr>
        <w:t xml:space="preserve"> y cuando se cumplan las siguientes condiciones: […] b) Que la entidad territorial suscriba un contrato de transacción con la entidad acreedora» (Énfasis fuera de texto).  Si bien la disposición continúa estableciendo una serie de reglas a las que deben ajustarse la suscripción de estos acuerdos transaccionales, lo cierto es que tales reglas son formuladas como requisitos para </w:t>
      </w:r>
      <w:r w:rsidRPr="00BA7067">
        <w:rPr>
          <w:rFonts w:ascii="Arial" w:eastAsia="Calibri" w:hAnsi="Arial" w:cs="Arial"/>
          <w:bCs/>
          <w:sz w:val="20"/>
          <w:szCs w:val="20"/>
          <w:lang w:val="es-ES_tradnl"/>
        </w:rPr>
        <w:lastRenderedPageBreak/>
        <w:t xml:space="preserve">acceso a la cofinanciación por parte de la Nación, más no constituyen se relacionan con elementos normativos o negociales del contrato de transacción propiamente dicho. </w:t>
      </w:r>
    </w:p>
    <w:p w14:paraId="59E2E004" w14:textId="77777777" w:rsidR="007A5FC2" w:rsidRPr="00BA7067" w:rsidRDefault="007A5FC2" w:rsidP="007A5FC2">
      <w:pPr>
        <w:jc w:val="both"/>
        <w:rPr>
          <w:rFonts w:ascii="Arial" w:eastAsia="Calibri" w:hAnsi="Arial" w:cs="Arial"/>
          <w:bCs/>
          <w:sz w:val="20"/>
          <w:szCs w:val="20"/>
          <w:lang w:val="es-ES_tradnl"/>
        </w:rPr>
      </w:pPr>
    </w:p>
    <w:p w14:paraId="2A5AE3FE" w14:textId="0B6A8EED" w:rsidR="00B16FE3" w:rsidRPr="00BA7067" w:rsidRDefault="00B16FE3" w:rsidP="007A5FC2">
      <w:pPr>
        <w:jc w:val="both"/>
        <w:rPr>
          <w:rFonts w:ascii="Arial" w:eastAsia="Calibri" w:hAnsi="Arial" w:cs="Arial"/>
          <w:bCs/>
          <w:sz w:val="20"/>
          <w:szCs w:val="20"/>
          <w:lang w:val="es-ES_tradnl"/>
        </w:rPr>
      </w:pPr>
      <w:r w:rsidRPr="00BA7067">
        <w:rPr>
          <w:rFonts w:ascii="Arial" w:eastAsia="Calibri" w:hAnsi="Arial" w:cs="Arial"/>
          <w:bCs/>
          <w:sz w:val="20"/>
          <w:szCs w:val="20"/>
          <w:lang w:val="es-ES_tradnl"/>
        </w:rPr>
        <w:t xml:space="preserve">Visto lo anterior, advierte esta Agencia que, el artículo 238 de la Ley 1955 de 2019 es una disposición dirigida a las entidades del sector salud, que sin perjuicio de la posibilidad de celebración de contratos de transacción que contempla, no hace parte del sistema de compras públicas, ni del Estatuto General de Contratación de la Administración Pública. En virtud de esto, establecer la viabilidad de suscribir contratos en aplicación de esta norma escapa del ámbito de la competencia consultiva atribuida a esta Agencia, máxime aun considerando que las acreencias respecto de los cuales la norma establece el contrato de transacción no tienen origen en contratos estatales, sino en la prestación de servicios y tecnologías en salud no financiadas con cargo a la UPC del régimen subsidiado.         </w:t>
      </w:r>
    </w:p>
    <w:p w14:paraId="1AC5DFFE" w14:textId="2C94ED5F" w:rsidR="00E72676" w:rsidRPr="00BA7067" w:rsidRDefault="00E72676" w:rsidP="00CF2767">
      <w:pPr>
        <w:jc w:val="both"/>
        <w:rPr>
          <w:rFonts w:ascii="Arial" w:hAnsi="Arial" w:cs="Arial"/>
          <w:noProof/>
          <w:sz w:val="22"/>
          <w:lang w:val="es-ES_tradnl"/>
        </w:rPr>
      </w:pPr>
    </w:p>
    <w:p w14:paraId="65B07FA7" w14:textId="77777777" w:rsidR="004835F6" w:rsidRPr="00BA7067" w:rsidRDefault="004835F6" w:rsidP="00CF2767">
      <w:pPr>
        <w:jc w:val="both"/>
        <w:rPr>
          <w:rFonts w:ascii="Arial" w:hAnsi="Arial" w:cs="Arial"/>
          <w:noProof/>
          <w:sz w:val="22"/>
          <w:lang w:val="es-ES_tradnl"/>
        </w:rPr>
      </w:pPr>
    </w:p>
    <w:p w14:paraId="7E25DC23" w14:textId="77777777" w:rsidR="004835F6" w:rsidRPr="00BA7067" w:rsidRDefault="004835F6" w:rsidP="00CF2767">
      <w:pPr>
        <w:jc w:val="both"/>
        <w:rPr>
          <w:rFonts w:ascii="Arial" w:hAnsi="Arial" w:cs="Arial"/>
          <w:noProof/>
          <w:sz w:val="22"/>
          <w:lang w:val="es-ES_tradnl"/>
        </w:rPr>
      </w:pPr>
    </w:p>
    <w:p w14:paraId="4689A961" w14:textId="77777777" w:rsidR="004835F6" w:rsidRPr="00BA7067" w:rsidRDefault="004835F6" w:rsidP="00CF2767">
      <w:pPr>
        <w:jc w:val="both"/>
        <w:rPr>
          <w:rFonts w:ascii="Arial" w:hAnsi="Arial" w:cs="Arial"/>
          <w:noProof/>
          <w:sz w:val="22"/>
          <w:lang w:val="es-ES_tradnl"/>
        </w:rPr>
      </w:pPr>
    </w:p>
    <w:p w14:paraId="2152C4A3" w14:textId="77777777" w:rsidR="004835F6" w:rsidRPr="00BA7067" w:rsidRDefault="004835F6" w:rsidP="00CF2767">
      <w:pPr>
        <w:jc w:val="both"/>
        <w:rPr>
          <w:rFonts w:ascii="Arial" w:hAnsi="Arial" w:cs="Arial"/>
          <w:noProof/>
          <w:sz w:val="22"/>
          <w:lang w:val="es-ES_tradnl"/>
        </w:rPr>
      </w:pPr>
    </w:p>
    <w:p w14:paraId="7BC8F3D2" w14:textId="77777777" w:rsidR="004835F6" w:rsidRPr="00BA7067" w:rsidRDefault="004835F6" w:rsidP="00CF2767">
      <w:pPr>
        <w:jc w:val="both"/>
        <w:rPr>
          <w:rFonts w:ascii="Arial" w:hAnsi="Arial" w:cs="Arial"/>
          <w:noProof/>
          <w:sz w:val="22"/>
          <w:lang w:val="es-ES_tradnl"/>
        </w:rPr>
      </w:pPr>
    </w:p>
    <w:p w14:paraId="6E8CC7C6" w14:textId="77777777" w:rsidR="004835F6" w:rsidRPr="00BA7067" w:rsidRDefault="004835F6" w:rsidP="00CF2767">
      <w:pPr>
        <w:jc w:val="both"/>
        <w:rPr>
          <w:rFonts w:ascii="Arial" w:hAnsi="Arial" w:cs="Arial"/>
          <w:noProof/>
          <w:sz w:val="22"/>
          <w:lang w:val="es-ES_tradnl"/>
        </w:rPr>
      </w:pPr>
    </w:p>
    <w:p w14:paraId="031D8A12" w14:textId="77777777" w:rsidR="004835F6" w:rsidRPr="00BA7067" w:rsidRDefault="004835F6" w:rsidP="00CF2767">
      <w:pPr>
        <w:jc w:val="both"/>
        <w:rPr>
          <w:rFonts w:ascii="Arial" w:hAnsi="Arial" w:cs="Arial"/>
          <w:noProof/>
          <w:sz w:val="22"/>
          <w:lang w:val="es-ES_tradnl"/>
        </w:rPr>
      </w:pPr>
    </w:p>
    <w:p w14:paraId="70E2675B" w14:textId="77777777" w:rsidR="004835F6" w:rsidRPr="00BA7067" w:rsidRDefault="004835F6" w:rsidP="00CF2767">
      <w:pPr>
        <w:jc w:val="both"/>
        <w:rPr>
          <w:rFonts w:ascii="Arial" w:hAnsi="Arial" w:cs="Arial"/>
          <w:noProof/>
          <w:sz w:val="22"/>
          <w:lang w:val="es-ES_tradnl"/>
        </w:rPr>
      </w:pPr>
    </w:p>
    <w:p w14:paraId="07AFFE81" w14:textId="77777777" w:rsidR="004835F6" w:rsidRPr="00BA7067" w:rsidRDefault="004835F6" w:rsidP="00CF2767">
      <w:pPr>
        <w:jc w:val="both"/>
        <w:rPr>
          <w:rFonts w:ascii="Arial" w:hAnsi="Arial" w:cs="Arial"/>
          <w:noProof/>
          <w:sz w:val="22"/>
          <w:lang w:val="es-ES_tradnl"/>
        </w:rPr>
      </w:pPr>
    </w:p>
    <w:p w14:paraId="33673156" w14:textId="77777777" w:rsidR="004835F6" w:rsidRPr="00BA7067" w:rsidRDefault="004835F6" w:rsidP="00CF2767">
      <w:pPr>
        <w:jc w:val="both"/>
        <w:rPr>
          <w:rFonts w:ascii="Arial" w:hAnsi="Arial" w:cs="Arial"/>
          <w:noProof/>
          <w:sz w:val="22"/>
          <w:lang w:val="es-ES_tradnl"/>
        </w:rPr>
      </w:pPr>
    </w:p>
    <w:p w14:paraId="5C881D62" w14:textId="77777777" w:rsidR="004835F6" w:rsidRPr="00BA7067" w:rsidRDefault="004835F6" w:rsidP="00CF2767">
      <w:pPr>
        <w:jc w:val="both"/>
        <w:rPr>
          <w:rFonts w:ascii="Arial" w:hAnsi="Arial" w:cs="Arial"/>
          <w:noProof/>
          <w:sz w:val="22"/>
          <w:lang w:val="es-ES_tradnl"/>
        </w:rPr>
      </w:pPr>
    </w:p>
    <w:p w14:paraId="517FED70" w14:textId="77777777" w:rsidR="004835F6" w:rsidRPr="00BA7067" w:rsidRDefault="004835F6" w:rsidP="00CF2767">
      <w:pPr>
        <w:jc w:val="both"/>
        <w:rPr>
          <w:rFonts w:ascii="Arial" w:hAnsi="Arial" w:cs="Arial"/>
          <w:noProof/>
          <w:sz w:val="22"/>
          <w:lang w:val="es-ES_tradnl"/>
        </w:rPr>
      </w:pPr>
    </w:p>
    <w:p w14:paraId="1EC52B6C" w14:textId="77777777" w:rsidR="004835F6" w:rsidRPr="00BA7067" w:rsidRDefault="004835F6" w:rsidP="00CF2767">
      <w:pPr>
        <w:jc w:val="both"/>
        <w:rPr>
          <w:rFonts w:ascii="Arial" w:hAnsi="Arial" w:cs="Arial"/>
          <w:noProof/>
          <w:sz w:val="22"/>
          <w:lang w:val="es-ES_tradnl"/>
        </w:rPr>
      </w:pPr>
    </w:p>
    <w:p w14:paraId="0F5AD6CA" w14:textId="77777777" w:rsidR="004835F6" w:rsidRPr="00BA7067" w:rsidRDefault="004835F6" w:rsidP="00CF2767">
      <w:pPr>
        <w:jc w:val="both"/>
        <w:rPr>
          <w:rFonts w:ascii="Arial" w:hAnsi="Arial" w:cs="Arial"/>
          <w:noProof/>
          <w:sz w:val="22"/>
          <w:lang w:val="es-ES_tradnl"/>
        </w:rPr>
      </w:pPr>
    </w:p>
    <w:p w14:paraId="234BA333" w14:textId="77777777" w:rsidR="004835F6" w:rsidRPr="00BA7067" w:rsidRDefault="004835F6" w:rsidP="00CF2767">
      <w:pPr>
        <w:jc w:val="both"/>
        <w:rPr>
          <w:rFonts w:ascii="Arial" w:hAnsi="Arial" w:cs="Arial"/>
          <w:noProof/>
          <w:sz w:val="22"/>
          <w:lang w:val="es-ES_tradnl"/>
        </w:rPr>
      </w:pPr>
    </w:p>
    <w:p w14:paraId="232954CB" w14:textId="77777777" w:rsidR="004835F6" w:rsidRPr="00BA7067" w:rsidRDefault="004835F6" w:rsidP="00CF2767">
      <w:pPr>
        <w:jc w:val="both"/>
        <w:rPr>
          <w:rFonts w:ascii="Arial" w:hAnsi="Arial" w:cs="Arial"/>
          <w:noProof/>
          <w:sz w:val="22"/>
          <w:lang w:val="es-ES_tradnl"/>
        </w:rPr>
      </w:pPr>
    </w:p>
    <w:p w14:paraId="2DC1B17F" w14:textId="77777777" w:rsidR="004835F6" w:rsidRPr="00BA7067" w:rsidRDefault="004835F6" w:rsidP="00CF2767">
      <w:pPr>
        <w:jc w:val="both"/>
        <w:rPr>
          <w:rFonts w:ascii="Arial" w:hAnsi="Arial" w:cs="Arial"/>
          <w:noProof/>
          <w:sz w:val="22"/>
          <w:lang w:val="es-ES_tradnl"/>
        </w:rPr>
      </w:pPr>
    </w:p>
    <w:p w14:paraId="2C0808D7" w14:textId="77777777" w:rsidR="004835F6" w:rsidRPr="00BA7067" w:rsidRDefault="004835F6" w:rsidP="00CF2767">
      <w:pPr>
        <w:jc w:val="both"/>
        <w:rPr>
          <w:rFonts w:ascii="Arial" w:hAnsi="Arial" w:cs="Arial"/>
          <w:noProof/>
          <w:sz w:val="22"/>
          <w:lang w:val="es-ES_tradnl"/>
        </w:rPr>
      </w:pPr>
    </w:p>
    <w:p w14:paraId="20EB2601" w14:textId="77777777" w:rsidR="004835F6" w:rsidRPr="00BA7067" w:rsidRDefault="004835F6" w:rsidP="00CF2767">
      <w:pPr>
        <w:jc w:val="both"/>
        <w:rPr>
          <w:rFonts w:ascii="Arial" w:hAnsi="Arial" w:cs="Arial"/>
          <w:noProof/>
          <w:sz w:val="22"/>
          <w:lang w:val="es-ES_tradnl"/>
        </w:rPr>
      </w:pPr>
    </w:p>
    <w:p w14:paraId="291DC258" w14:textId="77777777" w:rsidR="004835F6" w:rsidRPr="00BA7067" w:rsidRDefault="004835F6" w:rsidP="00CF2767">
      <w:pPr>
        <w:jc w:val="both"/>
        <w:rPr>
          <w:rFonts w:ascii="Arial" w:hAnsi="Arial" w:cs="Arial"/>
          <w:noProof/>
          <w:sz w:val="22"/>
          <w:lang w:val="es-ES_tradnl"/>
        </w:rPr>
      </w:pPr>
    </w:p>
    <w:p w14:paraId="4A58A9E1" w14:textId="77777777" w:rsidR="004835F6" w:rsidRPr="00BA7067" w:rsidRDefault="004835F6" w:rsidP="00CF2767">
      <w:pPr>
        <w:jc w:val="both"/>
        <w:rPr>
          <w:rFonts w:ascii="Arial" w:hAnsi="Arial" w:cs="Arial"/>
          <w:noProof/>
          <w:sz w:val="22"/>
          <w:lang w:val="es-ES_tradnl"/>
        </w:rPr>
      </w:pPr>
    </w:p>
    <w:p w14:paraId="4F03E84D" w14:textId="77777777" w:rsidR="004835F6" w:rsidRPr="00BA7067" w:rsidRDefault="004835F6" w:rsidP="00CF2767">
      <w:pPr>
        <w:jc w:val="both"/>
        <w:rPr>
          <w:rFonts w:ascii="Arial" w:hAnsi="Arial" w:cs="Arial"/>
          <w:noProof/>
          <w:sz w:val="22"/>
          <w:lang w:val="es-ES_tradnl"/>
        </w:rPr>
      </w:pPr>
    </w:p>
    <w:p w14:paraId="16245B76" w14:textId="77777777" w:rsidR="004835F6" w:rsidRPr="00BA7067" w:rsidRDefault="004835F6" w:rsidP="00CF2767">
      <w:pPr>
        <w:jc w:val="both"/>
        <w:rPr>
          <w:rFonts w:ascii="Arial" w:hAnsi="Arial" w:cs="Arial"/>
          <w:noProof/>
          <w:sz w:val="22"/>
          <w:lang w:val="es-ES_tradnl"/>
        </w:rPr>
      </w:pPr>
    </w:p>
    <w:p w14:paraId="1863F7E2" w14:textId="77777777" w:rsidR="004835F6" w:rsidRPr="00BA7067" w:rsidRDefault="004835F6" w:rsidP="00CF2767">
      <w:pPr>
        <w:jc w:val="both"/>
        <w:rPr>
          <w:rFonts w:ascii="Arial" w:hAnsi="Arial" w:cs="Arial"/>
          <w:noProof/>
          <w:sz w:val="22"/>
          <w:lang w:val="es-ES_tradnl"/>
        </w:rPr>
      </w:pPr>
    </w:p>
    <w:p w14:paraId="21E45602" w14:textId="77777777" w:rsidR="004835F6" w:rsidRPr="00BA7067" w:rsidRDefault="004835F6" w:rsidP="00CF2767">
      <w:pPr>
        <w:jc w:val="both"/>
        <w:rPr>
          <w:rFonts w:ascii="Arial" w:hAnsi="Arial" w:cs="Arial"/>
          <w:noProof/>
          <w:sz w:val="22"/>
          <w:lang w:val="es-ES_tradnl"/>
        </w:rPr>
      </w:pPr>
    </w:p>
    <w:p w14:paraId="39508302" w14:textId="77777777" w:rsidR="004835F6" w:rsidRPr="00BA7067" w:rsidRDefault="004835F6" w:rsidP="00CF2767">
      <w:pPr>
        <w:jc w:val="both"/>
        <w:rPr>
          <w:rFonts w:ascii="Arial" w:hAnsi="Arial" w:cs="Arial"/>
          <w:noProof/>
          <w:sz w:val="22"/>
          <w:lang w:val="es-ES_tradnl"/>
        </w:rPr>
      </w:pPr>
    </w:p>
    <w:p w14:paraId="0F338418" w14:textId="77777777" w:rsidR="004835F6" w:rsidRPr="00BA7067" w:rsidRDefault="004835F6" w:rsidP="00CF2767">
      <w:pPr>
        <w:jc w:val="both"/>
        <w:rPr>
          <w:rFonts w:ascii="Arial" w:hAnsi="Arial" w:cs="Arial"/>
          <w:noProof/>
          <w:sz w:val="22"/>
          <w:lang w:val="es-ES_tradnl"/>
        </w:rPr>
      </w:pPr>
    </w:p>
    <w:p w14:paraId="50878051" w14:textId="77777777" w:rsidR="004835F6" w:rsidRPr="00BA7067" w:rsidRDefault="004835F6" w:rsidP="00CF2767">
      <w:pPr>
        <w:jc w:val="both"/>
        <w:rPr>
          <w:rFonts w:ascii="Arial" w:hAnsi="Arial" w:cs="Arial"/>
          <w:noProof/>
          <w:sz w:val="22"/>
          <w:lang w:val="es-ES_tradnl"/>
        </w:rPr>
      </w:pPr>
    </w:p>
    <w:p w14:paraId="6D2C24E8" w14:textId="77777777" w:rsidR="004835F6" w:rsidRPr="00BA7067" w:rsidRDefault="004835F6" w:rsidP="00CF2767">
      <w:pPr>
        <w:jc w:val="both"/>
        <w:rPr>
          <w:rFonts w:ascii="Arial" w:hAnsi="Arial" w:cs="Arial"/>
          <w:noProof/>
          <w:sz w:val="22"/>
          <w:lang w:val="es-ES_tradnl"/>
        </w:rPr>
      </w:pPr>
    </w:p>
    <w:p w14:paraId="3A9A7824" w14:textId="77777777" w:rsidR="004835F6" w:rsidRPr="00BA7067" w:rsidRDefault="004835F6" w:rsidP="00CF2767">
      <w:pPr>
        <w:jc w:val="both"/>
        <w:rPr>
          <w:rFonts w:ascii="Arial" w:hAnsi="Arial" w:cs="Arial"/>
          <w:noProof/>
          <w:sz w:val="22"/>
          <w:lang w:val="es-ES_tradnl"/>
        </w:rPr>
      </w:pPr>
    </w:p>
    <w:p w14:paraId="3D2F582C" w14:textId="77777777" w:rsidR="004835F6" w:rsidRPr="00BA7067" w:rsidRDefault="004835F6" w:rsidP="00CF2767">
      <w:pPr>
        <w:jc w:val="both"/>
        <w:rPr>
          <w:rFonts w:ascii="Arial" w:hAnsi="Arial" w:cs="Arial"/>
          <w:noProof/>
          <w:sz w:val="22"/>
          <w:lang w:val="es-ES_tradnl"/>
        </w:rPr>
      </w:pPr>
    </w:p>
    <w:p w14:paraId="780D0D81" w14:textId="77777777" w:rsidR="004835F6" w:rsidRPr="00BA7067" w:rsidRDefault="004835F6" w:rsidP="00CF2767">
      <w:pPr>
        <w:jc w:val="both"/>
        <w:rPr>
          <w:rFonts w:ascii="Arial" w:hAnsi="Arial" w:cs="Arial"/>
          <w:noProof/>
          <w:sz w:val="22"/>
          <w:lang w:val="es-ES_tradnl"/>
        </w:rPr>
      </w:pPr>
    </w:p>
    <w:p w14:paraId="5AB48EF4" w14:textId="77777777" w:rsidR="004835F6" w:rsidRPr="00BA7067" w:rsidRDefault="004835F6" w:rsidP="00CF2767">
      <w:pPr>
        <w:jc w:val="both"/>
        <w:rPr>
          <w:rFonts w:ascii="Arial" w:hAnsi="Arial" w:cs="Arial"/>
          <w:noProof/>
          <w:sz w:val="22"/>
          <w:lang w:val="es-ES_tradnl"/>
        </w:rPr>
      </w:pPr>
    </w:p>
    <w:p w14:paraId="58B3153D" w14:textId="41C6EB7B" w:rsidR="00025DE5" w:rsidRPr="00BA7067" w:rsidRDefault="00025DE5" w:rsidP="00025DE5">
      <w:pPr>
        <w:jc w:val="right"/>
        <w:rPr>
          <w:rFonts w:ascii="Arial" w:hAnsi="Arial" w:cs="Arial"/>
          <w:noProof/>
          <w:sz w:val="22"/>
          <w:lang w:val="es-ES_tradnl"/>
        </w:rPr>
      </w:pPr>
    </w:p>
    <w:p w14:paraId="5F37B7BC" w14:textId="77777777" w:rsidR="00E72676" w:rsidRPr="00BA7067" w:rsidRDefault="00E72676" w:rsidP="00F25EA6">
      <w:pPr>
        <w:spacing w:line="276" w:lineRule="auto"/>
        <w:rPr>
          <w:rFonts w:ascii="Arial" w:hAnsi="Arial" w:cs="Arial"/>
          <w:b/>
          <w:sz w:val="22"/>
        </w:rPr>
      </w:pPr>
    </w:p>
    <w:p w14:paraId="4956D59F" w14:textId="4F349290" w:rsidR="004835F6" w:rsidRDefault="00E92600" w:rsidP="00E92600">
      <w:pPr>
        <w:spacing w:line="276" w:lineRule="auto"/>
        <w:jc w:val="right"/>
        <w:rPr>
          <w:rFonts w:ascii="Arial" w:hAnsi="Arial" w:cs="Arial"/>
          <w:b/>
          <w:sz w:val="22"/>
        </w:rPr>
      </w:pPr>
      <w:r w:rsidRPr="00E92600">
        <w:rPr>
          <w:rFonts w:ascii="Arial" w:hAnsi="Arial" w:cs="Arial"/>
          <w:b/>
          <w:sz w:val="22"/>
        </w:rPr>
        <w:drawing>
          <wp:inline distT="0" distB="0" distL="0" distR="0" wp14:anchorId="2EE789B0" wp14:editId="76775BCE">
            <wp:extent cx="2495898" cy="695422"/>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95898" cy="695422"/>
                    </a:xfrm>
                    <a:prstGeom prst="rect">
                      <a:avLst/>
                    </a:prstGeom>
                  </pic:spPr>
                </pic:pic>
              </a:graphicData>
            </a:graphic>
          </wp:inline>
        </w:drawing>
      </w:r>
    </w:p>
    <w:p w14:paraId="15996A80" w14:textId="39976F98" w:rsidR="00E92600" w:rsidRDefault="00E92600" w:rsidP="00F25EA6">
      <w:pPr>
        <w:spacing w:line="276" w:lineRule="auto"/>
        <w:rPr>
          <w:rFonts w:ascii="Arial" w:hAnsi="Arial" w:cs="Arial"/>
          <w:b/>
          <w:sz w:val="22"/>
        </w:rPr>
      </w:pPr>
    </w:p>
    <w:p w14:paraId="01A0D9D1" w14:textId="77777777" w:rsidR="00E92600" w:rsidRPr="00BA7067" w:rsidRDefault="00E92600" w:rsidP="00F25EA6">
      <w:pPr>
        <w:spacing w:line="276" w:lineRule="auto"/>
        <w:rPr>
          <w:rFonts w:ascii="Arial" w:hAnsi="Arial" w:cs="Arial"/>
          <w:b/>
          <w:sz w:val="22"/>
        </w:rPr>
      </w:pPr>
    </w:p>
    <w:p w14:paraId="105C3F78" w14:textId="63E69561" w:rsidR="00CF4279" w:rsidRPr="00BA7067" w:rsidRDefault="00CF4279" w:rsidP="005135B0">
      <w:pPr>
        <w:spacing w:line="276" w:lineRule="auto"/>
        <w:jc w:val="both"/>
        <w:rPr>
          <w:rFonts w:ascii="Arial" w:hAnsi="Arial" w:cs="Arial"/>
          <w:sz w:val="22"/>
          <w:lang w:val="es-CO"/>
        </w:rPr>
      </w:pPr>
      <w:r w:rsidRPr="00BA7067">
        <w:rPr>
          <w:rFonts w:ascii="Arial" w:hAnsi="Arial" w:cs="Arial"/>
          <w:sz w:val="22"/>
          <w:lang w:val="es-CO"/>
        </w:rPr>
        <w:t>Bogotá</w:t>
      </w:r>
      <w:r w:rsidR="00E92600">
        <w:rPr>
          <w:rFonts w:ascii="Arial" w:hAnsi="Arial" w:cs="Arial"/>
          <w:sz w:val="22"/>
          <w:lang w:val="es-CO"/>
        </w:rPr>
        <w:t xml:space="preserve">, 09 </w:t>
      </w:r>
      <w:proofErr w:type="gramStart"/>
      <w:r w:rsidR="00E92600">
        <w:rPr>
          <w:rFonts w:ascii="Arial" w:hAnsi="Arial" w:cs="Arial"/>
          <w:sz w:val="22"/>
          <w:lang w:val="es-CO"/>
        </w:rPr>
        <w:t>Mayo</w:t>
      </w:r>
      <w:proofErr w:type="gramEnd"/>
      <w:r w:rsidR="00E92600">
        <w:rPr>
          <w:rFonts w:ascii="Arial" w:hAnsi="Arial" w:cs="Arial"/>
          <w:sz w:val="22"/>
          <w:lang w:val="es-CO"/>
        </w:rPr>
        <w:t xml:space="preserve"> 2022</w:t>
      </w:r>
    </w:p>
    <w:p w14:paraId="5701AE2B" w14:textId="77777777" w:rsidR="00CF4279" w:rsidRPr="00BA7067" w:rsidRDefault="00CF4279" w:rsidP="00F25EA6">
      <w:pPr>
        <w:spacing w:line="276" w:lineRule="auto"/>
        <w:rPr>
          <w:rFonts w:ascii="Arial" w:hAnsi="Arial" w:cs="Arial"/>
          <w:b/>
          <w:sz w:val="22"/>
        </w:rPr>
      </w:pPr>
    </w:p>
    <w:p w14:paraId="04FD56D6" w14:textId="77777777" w:rsidR="004835F6" w:rsidRPr="00BA7067" w:rsidRDefault="004835F6" w:rsidP="00F25EA6">
      <w:pPr>
        <w:spacing w:line="276" w:lineRule="auto"/>
        <w:rPr>
          <w:rFonts w:ascii="Arial" w:hAnsi="Arial" w:cs="Arial"/>
          <w:b/>
          <w:sz w:val="22"/>
        </w:rPr>
      </w:pPr>
    </w:p>
    <w:p w14:paraId="6B6535B7" w14:textId="3DC53B90" w:rsidR="00E35B0E" w:rsidRPr="00BA7067" w:rsidRDefault="00220D5A" w:rsidP="00A32FFB">
      <w:pPr>
        <w:spacing w:line="276" w:lineRule="auto"/>
        <w:jc w:val="both"/>
        <w:outlineLvl w:val="0"/>
        <w:rPr>
          <w:rFonts w:ascii="Arial" w:eastAsia="Calibri" w:hAnsi="Arial" w:cs="Arial"/>
          <w:sz w:val="22"/>
          <w:lang w:val="es-ES"/>
        </w:rPr>
      </w:pPr>
      <w:r w:rsidRPr="00BA7067">
        <w:rPr>
          <w:rFonts w:ascii="Arial" w:eastAsia="Calibri" w:hAnsi="Arial" w:cs="Arial"/>
          <w:sz w:val="22"/>
          <w:lang w:val="es-ES"/>
        </w:rPr>
        <w:t>Doctora</w:t>
      </w:r>
    </w:p>
    <w:p w14:paraId="27EB1900" w14:textId="70AAD039" w:rsidR="00220D5A" w:rsidRPr="00BA7067" w:rsidRDefault="00220D5A" w:rsidP="00220D5A">
      <w:pPr>
        <w:spacing w:line="276" w:lineRule="auto"/>
        <w:jc w:val="both"/>
        <w:rPr>
          <w:rFonts w:ascii="Arial" w:hAnsi="Arial" w:cs="Arial"/>
          <w:b/>
          <w:bCs/>
          <w:sz w:val="22"/>
          <w:lang w:val="es-CO"/>
        </w:rPr>
      </w:pPr>
      <w:r w:rsidRPr="00BA7067">
        <w:rPr>
          <w:rFonts w:ascii="Arial" w:hAnsi="Arial" w:cs="Arial"/>
          <w:b/>
          <w:bCs/>
          <w:sz w:val="22"/>
          <w:lang w:val="es-CO"/>
        </w:rPr>
        <w:t>Martha Isabel Li</w:t>
      </w:r>
      <w:r w:rsidR="000C4547" w:rsidRPr="00BA7067">
        <w:rPr>
          <w:rFonts w:ascii="Arial" w:hAnsi="Arial" w:cs="Arial"/>
          <w:b/>
          <w:bCs/>
          <w:sz w:val="22"/>
          <w:lang w:val="es-CO"/>
        </w:rPr>
        <w:t>é</w:t>
      </w:r>
      <w:r w:rsidRPr="00BA7067">
        <w:rPr>
          <w:rFonts w:ascii="Arial" w:hAnsi="Arial" w:cs="Arial"/>
          <w:b/>
          <w:bCs/>
          <w:sz w:val="22"/>
          <w:lang w:val="es-CO"/>
        </w:rPr>
        <w:t>vano Cantor</w:t>
      </w:r>
    </w:p>
    <w:p w14:paraId="012AED6B" w14:textId="77777777" w:rsidR="00220D5A" w:rsidRPr="00BA7067" w:rsidRDefault="00220D5A" w:rsidP="00220D5A">
      <w:pPr>
        <w:spacing w:line="276" w:lineRule="auto"/>
        <w:jc w:val="both"/>
        <w:rPr>
          <w:rFonts w:ascii="Arial" w:hAnsi="Arial" w:cs="Arial"/>
          <w:sz w:val="22"/>
          <w:lang w:val="es-CO"/>
        </w:rPr>
      </w:pPr>
      <w:r w:rsidRPr="00BA7067">
        <w:rPr>
          <w:rFonts w:ascii="Arial" w:hAnsi="Arial" w:cs="Arial"/>
          <w:sz w:val="22"/>
          <w:lang w:val="es-CO"/>
        </w:rPr>
        <w:t>Subdirectora de Asuntos Normativos</w:t>
      </w:r>
    </w:p>
    <w:p w14:paraId="22286B3A" w14:textId="201698DE" w:rsidR="00220D5A" w:rsidRPr="00BA7067" w:rsidRDefault="00220D5A" w:rsidP="00220D5A">
      <w:pPr>
        <w:spacing w:line="276" w:lineRule="auto"/>
        <w:jc w:val="both"/>
        <w:rPr>
          <w:rFonts w:ascii="Arial" w:hAnsi="Arial" w:cs="Arial"/>
          <w:sz w:val="22"/>
          <w:lang w:val="es-CO"/>
        </w:rPr>
      </w:pPr>
      <w:r w:rsidRPr="00BA7067">
        <w:rPr>
          <w:rFonts w:ascii="Arial" w:hAnsi="Arial" w:cs="Arial"/>
          <w:sz w:val="22"/>
          <w:lang w:val="es-CO"/>
        </w:rPr>
        <w:t>Ministerio de Salud</w:t>
      </w:r>
    </w:p>
    <w:p w14:paraId="124CCC92" w14:textId="1FF04E07" w:rsidR="00E82153" w:rsidRPr="00BA7067" w:rsidRDefault="000C4547" w:rsidP="00220D5A">
      <w:pPr>
        <w:spacing w:line="276" w:lineRule="auto"/>
        <w:jc w:val="both"/>
        <w:rPr>
          <w:rFonts w:ascii="Arial" w:hAnsi="Arial" w:cs="Arial"/>
          <w:sz w:val="22"/>
          <w:lang w:val="es-CO"/>
        </w:rPr>
      </w:pPr>
      <w:r w:rsidRPr="00BA7067">
        <w:rPr>
          <w:rFonts w:ascii="Arial" w:hAnsi="Arial" w:cs="Arial"/>
          <w:sz w:val="22"/>
          <w:lang w:val="es-CO"/>
        </w:rPr>
        <w:t xml:space="preserve">Bogotá D.C. </w:t>
      </w:r>
    </w:p>
    <w:p w14:paraId="0973DE01" w14:textId="4CDA44B3" w:rsidR="00E35B0E" w:rsidRPr="00BA7067" w:rsidRDefault="00E35B0E" w:rsidP="00A32FFB">
      <w:pPr>
        <w:spacing w:line="276" w:lineRule="auto"/>
        <w:jc w:val="both"/>
        <w:rPr>
          <w:rFonts w:ascii="Arial" w:hAnsi="Arial" w:cs="Arial"/>
          <w:b/>
          <w:bCs/>
          <w:sz w:val="22"/>
          <w:lang w:val="es-CO"/>
        </w:rPr>
      </w:pPr>
    </w:p>
    <w:p w14:paraId="3D1882E9" w14:textId="77777777" w:rsidR="00E35B0E" w:rsidRPr="00BA7067" w:rsidRDefault="00E35B0E" w:rsidP="00A32FFB">
      <w:pPr>
        <w:spacing w:line="276" w:lineRule="auto"/>
        <w:jc w:val="both"/>
        <w:rPr>
          <w:rFonts w:ascii="Arial" w:eastAsia="Calibri" w:hAnsi="Arial" w:cs="Arial"/>
          <w:sz w:val="22"/>
          <w:lang w:val="es-ES"/>
        </w:rPr>
      </w:pPr>
    </w:p>
    <w:p w14:paraId="70630779" w14:textId="53894DEC" w:rsidR="00E35B0E" w:rsidRPr="00BA7067" w:rsidRDefault="00E35B0E" w:rsidP="00C43160">
      <w:pPr>
        <w:spacing w:line="276" w:lineRule="auto"/>
        <w:ind w:firstLine="2835"/>
        <w:jc w:val="both"/>
        <w:outlineLvl w:val="0"/>
        <w:rPr>
          <w:rFonts w:ascii="Arial" w:eastAsia="Calibri" w:hAnsi="Arial" w:cs="Arial"/>
          <w:b/>
          <w:sz w:val="22"/>
          <w:lang w:val="es-ES"/>
        </w:rPr>
      </w:pPr>
      <w:r w:rsidRPr="00BA7067">
        <w:rPr>
          <w:rFonts w:ascii="Arial" w:eastAsia="Calibri" w:hAnsi="Arial" w:cs="Arial"/>
          <w:b/>
          <w:sz w:val="22"/>
          <w:lang w:val="es-ES"/>
        </w:rPr>
        <w:t xml:space="preserve">Concepto C – </w:t>
      </w:r>
      <w:r w:rsidR="000C4547" w:rsidRPr="00BA7067">
        <w:rPr>
          <w:rFonts w:ascii="Arial" w:eastAsia="Calibri" w:hAnsi="Arial" w:cs="Arial"/>
          <w:b/>
          <w:sz w:val="22"/>
          <w:lang w:val="es-ES"/>
        </w:rPr>
        <w:t>275</w:t>
      </w:r>
      <w:r w:rsidRPr="00BA7067">
        <w:rPr>
          <w:rFonts w:ascii="Arial" w:eastAsia="Calibri" w:hAnsi="Arial" w:cs="Arial"/>
          <w:b/>
          <w:sz w:val="22"/>
          <w:lang w:val="es-ES"/>
        </w:rPr>
        <w:t xml:space="preserve"> de 202</w:t>
      </w:r>
      <w:r w:rsidR="00270563" w:rsidRPr="00BA7067">
        <w:rPr>
          <w:rFonts w:ascii="Arial" w:eastAsia="Calibri" w:hAnsi="Arial" w:cs="Arial"/>
          <w:b/>
          <w:sz w:val="22"/>
          <w:lang w:val="es-ES"/>
        </w:rPr>
        <w:t>2</w:t>
      </w:r>
    </w:p>
    <w:p w14:paraId="234727AD" w14:textId="77777777" w:rsidR="00BE1E33" w:rsidRPr="00BA7067"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4835F6" w:rsidRPr="00BA7067" w14:paraId="2553E4F3" w14:textId="77777777" w:rsidTr="001F7C1D">
        <w:tc>
          <w:tcPr>
            <w:tcW w:w="2835" w:type="dxa"/>
            <w:hideMark/>
          </w:tcPr>
          <w:p w14:paraId="7BC9E971" w14:textId="77777777" w:rsidR="00782A9F" w:rsidRPr="00BA7067" w:rsidRDefault="00782A9F" w:rsidP="001D4B72">
            <w:pPr>
              <w:spacing w:line="276" w:lineRule="auto"/>
              <w:rPr>
                <w:rFonts w:ascii="Arial" w:eastAsia="Calibri" w:hAnsi="Arial" w:cs="Arial"/>
                <w:lang w:val="es-ES_tradnl"/>
              </w:rPr>
            </w:pPr>
            <w:r w:rsidRPr="00BA7067">
              <w:rPr>
                <w:rFonts w:ascii="Arial" w:eastAsia="Calibri" w:hAnsi="Arial" w:cs="Arial"/>
                <w:b/>
                <w:lang w:val="es-ES_tradnl"/>
              </w:rPr>
              <w:t>Temas:</w:t>
            </w:r>
            <w:r w:rsidRPr="00BA7067">
              <w:rPr>
                <w:rFonts w:ascii="Arial" w:eastAsia="Calibri" w:hAnsi="Arial" w:cs="Arial"/>
                <w:lang w:val="es-ES_tradnl"/>
              </w:rPr>
              <w:t xml:space="preserve">           </w:t>
            </w:r>
          </w:p>
          <w:p w14:paraId="0C0D8CD7" w14:textId="77777777" w:rsidR="00782A9F" w:rsidRPr="00BA7067" w:rsidRDefault="00782A9F" w:rsidP="001D4B72">
            <w:pPr>
              <w:spacing w:line="276" w:lineRule="auto"/>
              <w:rPr>
                <w:rFonts w:ascii="Arial" w:eastAsia="Calibri" w:hAnsi="Arial" w:cs="Arial"/>
                <w:lang w:val="es-ES_tradnl"/>
              </w:rPr>
            </w:pPr>
            <w:r w:rsidRPr="00BA7067">
              <w:rPr>
                <w:rFonts w:ascii="Arial" w:eastAsia="Calibri" w:hAnsi="Arial" w:cs="Arial"/>
                <w:lang w:val="es-ES_tradnl"/>
              </w:rPr>
              <w:t xml:space="preserve">                           </w:t>
            </w:r>
          </w:p>
        </w:tc>
        <w:tc>
          <w:tcPr>
            <w:tcW w:w="6091" w:type="dxa"/>
            <w:hideMark/>
          </w:tcPr>
          <w:p w14:paraId="0F35FDBD" w14:textId="60462CD9" w:rsidR="00003E08" w:rsidRPr="00BA7067" w:rsidRDefault="00F25EA6" w:rsidP="001D4B72">
            <w:pPr>
              <w:spacing w:line="276" w:lineRule="auto"/>
              <w:jc w:val="both"/>
              <w:rPr>
                <w:rFonts w:ascii="Arial" w:eastAsia="Calibri" w:hAnsi="Arial" w:cs="Arial"/>
                <w:bCs/>
              </w:rPr>
            </w:pPr>
            <w:r w:rsidRPr="00BA7067">
              <w:rPr>
                <w:rFonts w:ascii="Arial" w:eastAsia="Calibri" w:hAnsi="Arial" w:cs="Arial"/>
                <w:bCs/>
                <w:sz w:val="22"/>
              </w:rPr>
              <w:t xml:space="preserve">LEY DE GARANTÍAS ELECTORALES ‒ Definición ‒ Finalidad / LEY DE GARANTÍAS ELECTORALES ‒ Prohibición del artículo 33 ‒ Destinatarios / LEY DE GARANTÍAS ELECTORALES ─ Prohibición ‒ Contratación directa ‒ Alcance – Excepciones / </w:t>
            </w:r>
            <w:r w:rsidR="004835F6" w:rsidRPr="00BA7067">
              <w:rPr>
                <w:rFonts w:ascii="Arial" w:eastAsia="Calibri" w:hAnsi="Arial" w:cs="Arial"/>
                <w:bCs/>
                <w:sz w:val="22"/>
              </w:rPr>
              <w:t>CONTRATO DE TRANSACCIÓN – Noción – Requisitos / CONTRATO DE TRANSACCIÓN – Mecanismo alternativo de resolución de conflictos – Entidades Estatales / CONTRATO DE TRANSACCIÓN – Saneamiento financiero del sector salud – Ley 1955 de 2019 – Artículo 238 – Alcance de la competencia consultiva</w:t>
            </w:r>
          </w:p>
        </w:tc>
      </w:tr>
      <w:tr w:rsidR="004835F6" w:rsidRPr="00BA7067" w14:paraId="20F2A3B6" w14:textId="77777777" w:rsidTr="00220D5A">
        <w:trPr>
          <w:trHeight w:val="229"/>
        </w:trPr>
        <w:tc>
          <w:tcPr>
            <w:tcW w:w="2835" w:type="dxa"/>
          </w:tcPr>
          <w:p w14:paraId="1E82F4FA" w14:textId="7CD6B3B7" w:rsidR="00782A9F" w:rsidRPr="00BA7067" w:rsidRDefault="00782A9F" w:rsidP="001D4B72">
            <w:pPr>
              <w:spacing w:before="120" w:line="276" w:lineRule="auto"/>
              <w:rPr>
                <w:rFonts w:ascii="Arial" w:eastAsia="Calibri" w:hAnsi="Arial" w:cs="Arial"/>
                <w:b/>
                <w:lang w:val="es-ES_tradnl"/>
              </w:rPr>
            </w:pPr>
            <w:r w:rsidRPr="00BA7067">
              <w:rPr>
                <w:rFonts w:ascii="Arial" w:eastAsia="Calibri" w:hAnsi="Arial" w:cs="Arial"/>
                <w:b/>
                <w:lang w:val="es-ES_tradnl"/>
              </w:rPr>
              <w:t>Radicación:</w:t>
            </w:r>
            <w:r w:rsidRPr="00BA7067">
              <w:rPr>
                <w:rFonts w:ascii="Arial" w:eastAsia="Calibri" w:hAnsi="Arial" w:cs="Arial"/>
                <w:lang w:val="es-ES_tradnl"/>
              </w:rPr>
              <w:t xml:space="preserve">                              </w:t>
            </w:r>
          </w:p>
        </w:tc>
        <w:tc>
          <w:tcPr>
            <w:tcW w:w="6091" w:type="dxa"/>
          </w:tcPr>
          <w:p w14:paraId="20FCE53A" w14:textId="705DE2CE" w:rsidR="00782A9F" w:rsidRPr="00BA7067" w:rsidRDefault="00782A9F" w:rsidP="001D4B72">
            <w:pPr>
              <w:spacing w:before="120" w:line="276" w:lineRule="auto"/>
              <w:jc w:val="both"/>
              <w:rPr>
                <w:rFonts w:ascii="Arial" w:eastAsia="Calibri" w:hAnsi="Arial" w:cs="Arial"/>
                <w:lang w:val="es-ES_tradnl"/>
              </w:rPr>
            </w:pPr>
            <w:r w:rsidRPr="00BA7067">
              <w:rPr>
                <w:rFonts w:ascii="Arial" w:eastAsia="Calibri" w:hAnsi="Arial" w:cs="Arial"/>
                <w:lang w:val="es-ES_tradnl"/>
              </w:rPr>
              <w:t xml:space="preserve">Respuesta a consulta </w:t>
            </w:r>
            <w:r w:rsidR="00220D5A" w:rsidRPr="00BA7067">
              <w:rPr>
                <w:rFonts w:ascii="Arial" w:eastAsia="Calibri" w:hAnsi="Arial" w:cs="Arial"/>
                <w:lang w:val="es-ES_tradnl"/>
              </w:rPr>
              <w:t>P20220324002922</w:t>
            </w:r>
          </w:p>
        </w:tc>
      </w:tr>
    </w:tbl>
    <w:p w14:paraId="267535A7" w14:textId="77777777" w:rsidR="00C84D2D" w:rsidRPr="00BA7067" w:rsidRDefault="00C84D2D" w:rsidP="00A32FFB">
      <w:pPr>
        <w:spacing w:line="276" w:lineRule="auto"/>
        <w:rPr>
          <w:rFonts w:ascii="Arial" w:hAnsi="Arial" w:cs="Arial"/>
          <w:sz w:val="22"/>
        </w:rPr>
      </w:pPr>
    </w:p>
    <w:p w14:paraId="75B7CAC6" w14:textId="77777777" w:rsidR="00C84D2D" w:rsidRPr="00BA7067" w:rsidRDefault="00C84D2D" w:rsidP="00A32FFB">
      <w:pPr>
        <w:spacing w:line="276" w:lineRule="auto"/>
        <w:rPr>
          <w:rFonts w:ascii="Arial" w:hAnsi="Arial" w:cs="Arial"/>
          <w:sz w:val="22"/>
        </w:rPr>
      </w:pPr>
    </w:p>
    <w:p w14:paraId="417ABDA8" w14:textId="434CD5ED" w:rsidR="00BE1E33" w:rsidRPr="00BA7067" w:rsidRDefault="00E0483F" w:rsidP="00A32FFB">
      <w:pPr>
        <w:spacing w:line="276" w:lineRule="auto"/>
        <w:rPr>
          <w:rFonts w:ascii="Arial" w:eastAsia="Calibri" w:hAnsi="Arial" w:cs="Arial"/>
          <w:sz w:val="22"/>
          <w:lang w:val="es-ES_tradnl"/>
        </w:rPr>
      </w:pPr>
      <w:r w:rsidRPr="00BA7067">
        <w:rPr>
          <w:rFonts w:ascii="Arial" w:hAnsi="Arial" w:cs="Arial"/>
          <w:sz w:val="22"/>
        </w:rPr>
        <w:t>Estimad</w:t>
      </w:r>
      <w:r w:rsidR="00924BFA" w:rsidRPr="00BA7067">
        <w:rPr>
          <w:rFonts w:ascii="Arial" w:hAnsi="Arial" w:cs="Arial"/>
          <w:sz w:val="22"/>
        </w:rPr>
        <w:t>a</w:t>
      </w:r>
      <w:r w:rsidRPr="00BA7067">
        <w:rPr>
          <w:rFonts w:ascii="Arial" w:hAnsi="Arial" w:cs="Arial"/>
          <w:sz w:val="22"/>
        </w:rPr>
        <w:t xml:space="preserve"> señor</w:t>
      </w:r>
      <w:r w:rsidR="00924BFA" w:rsidRPr="00BA7067">
        <w:rPr>
          <w:rFonts w:ascii="Arial" w:hAnsi="Arial" w:cs="Arial"/>
          <w:sz w:val="22"/>
        </w:rPr>
        <w:t>a</w:t>
      </w:r>
      <w:r w:rsidRPr="00BA7067">
        <w:rPr>
          <w:rFonts w:ascii="Arial" w:hAnsi="Arial" w:cs="Arial"/>
          <w:sz w:val="22"/>
        </w:rPr>
        <w:t xml:space="preserve"> </w:t>
      </w:r>
      <w:r w:rsidR="000C4547" w:rsidRPr="00BA7067">
        <w:rPr>
          <w:rFonts w:ascii="Arial" w:hAnsi="Arial" w:cs="Arial"/>
          <w:bCs/>
          <w:sz w:val="22"/>
        </w:rPr>
        <w:t>doctora Liévano Cantor</w:t>
      </w:r>
      <w:r w:rsidRPr="00BA7067">
        <w:rPr>
          <w:rFonts w:ascii="Arial" w:hAnsi="Arial" w:cs="Arial"/>
          <w:bCs/>
          <w:sz w:val="22"/>
        </w:rPr>
        <w:t>,</w:t>
      </w:r>
    </w:p>
    <w:p w14:paraId="1CCABABD" w14:textId="77777777" w:rsidR="00BE1E33" w:rsidRPr="00BA7067" w:rsidRDefault="00BE1E33" w:rsidP="00A32FFB">
      <w:pPr>
        <w:spacing w:line="276" w:lineRule="auto"/>
        <w:rPr>
          <w:rFonts w:ascii="Arial" w:eastAsia="Calibri" w:hAnsi="Arial" w:cs="Arial"/>
          <w:sz w:val="22"/>
          <w:lang w:val="es-ES_tradnl"/>
        </w:rPr>
      </w:pPr>
    </w:p>
    <w:p w14:paraId="1D13401D" w14:textId="5AD00169" w:rsidR="00BE1E33" w:rsidRPr="00BA7067" w:rsidRDefault="00EC3979" w:rsidP="00A32FFB">
      <w:pPr>
        <w:spacing w:line="276" w:lineRule="auto"/>
        <w:jc w:val="both"/>
        <w:rPr>
          <w:rFonts w:ascii="Arial" w:hAnsi="Arial" w:cs="Arial"/>
          <w:sz w:val="22"/>
        </w:rPr>
      </w:pPr>
      <w:r w:rsidRPr="00BA7067">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8C244C" w:rsidRPr="00BA7067">
        <w:rPr>
          <w:rFonts w:ascii="Arial" w:hAnsi="Arial" w:cs="Arial"/>
          <w:sz w:val="22"/>
        </w:rPr>
        <w:t>24</w:t>
      </w:r>
      <w:r w:rsidRPr="00BA7067">
        <w:rPr>
          <w:rFonts w:ascii="Arial" w:hAnsi="Arial" w:cs="Arial"/>
          <w:sz w:val="22"/>
        </w:rPr>
        <w:t xml:space="preserve"> de</w:t>
      </w:r>
      <w:r w:rsidR="008C244C" w:rsidRPr="00BA7067">
        <w:rPr>
          <w:rFonts w:ascii="Arial" w:hAnsi="Arial" w:cs="Arial"/>
          <w:sz w:val="22"/>
        </w:rPr>
        <w:t xml:space="preserve"> marzo</w:t>
      </w:r>
      <w:r w:rsidRPr="00BA7067">
        <w:rPr>
          <w:rFonts w:ascii="Arial" w:hAnsi="Arial" w:cs="Arial"/>
          <w:sz w:val="22"/>
        </w:rPr>
        <w:t xml:space="preserve"> de 2022.</w:t>
      </w:r>
    </w:p>
    <w:p w14:paraId="0C764277" w14:textId="77777777" w:rsidR="00EC3979" w:rsidRPr="00BA7067" w:rsidRDefault="00EC3979" w:rsidP="00A32FFB">
      <w:pPr>
        <w:spacing w:line="276" w:lineRule="auto"/>
        <w:jc w:val="both"/>
        <w:rPr>
          <w:rFonts w:ascii="Arial" w:eastAsia="Calibri" w:hAnsi="Arial" w:cs="Arial"/>
          <w:sz w:val="22"/>
          <w:lang w:val="es-ES_tradnl"/>
        </w:rPr>
      </w:pPr>
    </w:p>
    <w:p w14:paraId="068F505C" w14:textId="6EE7386C" w:rsidR="00BE1E33" w:rsidRPr="00BA7067"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BA7067">
        <w:rPr>
          <w:rFonts w:ascii="Arial" w:eastAsia="Calibri" w:hAnsi="Arial" w:cs="Arial"/>
          <w:b/>
          <w:sz w:val="22"/>
          <w:lang w:val="es-ES_tradnl"/>
        </w:rPr>
        <w:t xml:space="preserve">Problema planteado </w:t>
      </w:r>
    </w:p>
    <w:p w14:paraId="78258320" w14:textId="77777777" w:rsidR="00E15E40" w:rsidRPr="00BA7067" w:rsidRDefault="00E15E40" w:rsidP="00F25EA6">
      <w:pPr>
        <w:pStyle w:val="NormalWeb"/>
        <w:shd w:val="clear" w:color="auto" w:fill="FFFFFF"/>
        <w:spacing w:before="0" w:beforeAutospacing="0" w:after="0" w:afterAutospacing="0"/>
        <w:jc w:val="both"/>
        <w:rPr>
          <w:rFonts w:ascii="Arial" w:hAnsi="Arial" w:cs="Arial"/>
          <w:sz w:val="22"/>
          <w:szCs w:val="22"/>
        </w:rPr>
      </w:pPr>
    </w:p>
    <w:p w14:paraId="2CE368D8" w14:textId="22F78AC5" w:rsidR="00575081" w:rsidRPr="00BA7067" w:rsidRDefault="00E15E40" w:rsidP="00F25EA6">
      <w:pPr>
        <w:spacing w:line="276" w:lineRule="auto"/>
        <w:jc w:val="both"/>
        <w:rPr>
          <w:rFonts w:ascii="Arial" w:eastAsia="Times New Roman" w:hAnsi="Arial" w:cs="Arial"/>
          <w:bCs/>
          <w:sz w:val="22"/>
          <w:lang w:eastAsia="es-CO"/>
        </w:rPr>
      </w:pPr>
      <w:r w:rsidRPr="00BA7067">
        <w:rPr>
          <w:rFonts w:ascii="Arial" w:hAnsi="Arial" w:cs="Arial"/>
          <w:sz w:val="22"/>
        </w:rPr>
        <w:t>Usted formula la siguiente consulta:</w:t>
      </w:r>
      <w:r w:rsidR="00E3422A" w:rsidRPr="00BA7067">
        <w:rPr>
          <w:rFonts w:ascii="Arial" w:hAnsi="Arial" w:cs="Arial"/>
          <w:sz w:val="22"/>
        </w:rPr>
        <w:t xml:space="preserve"> </w:t>
      </w:r>
      <w:r w:rsidR="0001049F" w:rsidRPr="00BA7067">
        <w:rPr>
          <w:rFonts w:ascii="Arial" w:hAnsi="Arial" w:cs="Arial"/>
          <w:sz w:val="22"/>
        </w:rPr>
        <w:t xml:space="preserve">«[…] </w:t>
      </w:r>
      <w:r w:rsidR="00684DBB" w:rsidRPr="00BA7067">
        <w:rPr>
          <w:rFonts w:ascii="Arial" w:hAnsi="Arial" w:cs="Arial"/>
          <w:sz w:val="22"/>
        </w:rPr>
        <w:t>acudimos a su despacho con el fin de que emita concepto respecto del contrato de transacción que suscriben las entidades territoriales en el marco del artículo 238 de la Ley 1955 de 2019, en el que se establezca si estos están incluidos en la modalidad de contratación directa y por ende sujetos en su celebración a la restricción contenida en el artículo 33 de la Ley 996 de 2005, teniendo en cuenta que una entidad territorial consultó sobre el particular».</w:t>
      </w:r>
    </w:p>
    <w:p w14:paraId="7586C489" w14:textId="2462ECC8" w:rsidR="00E654BC" w:rsidRPr="00BA7067" w:rsidRDefault="00E654BC" w:rsidP="00575081">
      <w:pPr>
        <w:ind w:left="709" w:right="709"/>
        <w:jc w:val="both"/>
        <w:rPr>
          <w:rFonts w:ascii="Arial" w:eastAsia="Times New Roman" w:hAnsi="Arial" w:cs="Arial"/>
          <w:bCs/>
          <w:sz w:val="21"/>
          <w:szCs w:val="21"/>
          <w:lang w:eastAsia="es-CO"/>
        </w:rPr>
      </w:pPr>
    </w:p>
    <w:p w14:paraId="07C58E28" w14:textId="38DCBCE3" w:rsidR="00AC67B1" w:rsidRPr="00BA7067" w:rsidRDefault="00BE1E33" w:rsidP="00AC67B1">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BA7067">
        <w:rPr>
          <w:rFonts w:ascii="Arial" w:eastAsia="Calibri" w:hAnsi="Arial" w:cs="Arial"/>
          <w:b/>
          <w:sz w:val="22"/>
          <w:lang w:val="es-ES_tradnl"/>
        </w:rPr>
        <w:t>Consideraciones</w:t>
      </w:r>
    </w:p>
    <w:p w14:paraId="07471507" w14:textId="77777777" w:rsidR="00AC67B1" w:rsidRPr="00BA7067" w:rsidRDefault="00AC67B1" w:rsidP="00F25EA6">
      <w:pPr>
        <w:tabs>
          <w:tab w:val="left" w:pos="426"/>
        </w:tabs>
        <w:spacing w:line="276" w:lineRule="auto"/>
        <w:jc w:val="both"/>
        <w:rPr>
          <w:rFonts w:ascii="Arial" w:eastAsia="Calibri" w:hAnsi="Arial" w:cs="Arial"/>
          <w:b/>
          <w:sz w:val="22"/>
          <w:lang w:val="es-ES_tradnl"/>
        </w:rPr>
      </w:pPr>
    </w:p>
    <w:p w14:paraId="251EB6F7" w14:textId="5F677577" w:rsidR="00AC67B1" w:rsidRPr="00BA7067" w:rsidRDefault="00AC67B1" w:rsidP="00AC67B1">
      <w:pPr>
        <w:tabs>
          <w:tab w:val="left" w:pos="426"/>
        </w:tabs>
        <w:spacing w:after="120" w:line="276" w:lineRule="auto"/>
        <w:jc w:val="both"/>
        <w:rPr>
          <w:rFonts w:ascii="Arial" w:eastAsia="Calibri" w:hAnsi="Arial" w:cs="Arial"/>
          <w:bCs/>
          <w:sz w:val="22"/>
          <w:lang w:val="es-ES_tradnl"/>
        </w:rPr>
      </w:pPr>
      <w:r w:rsidRPr="00BA7067">
        <w:rPr>
          <w:rFonts w:ascii="Arial" w:eastAsia="Calibri" w:hAnsi="Arial" w:cs="Arial"/>
          <w:bCs/>
          <w:sz w:val="22"/>
          <w:lang w:val="es-ES_tradnl"/>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o </w:t>
      </w:r>
      <w:r w:rsidR="000A69D8" w:rsidRPr="00BA7067">
        <w:rPr>
          <w:rFonts w:ascii="Arial" w:eastAsia="Calibri" w:hAnsi="Arial" w:cs="Arial"/>
          <w:bCs/>
          <w:sz w:val="22"/>
          <w:lang w:val="es-ES_tradnl"/>
        </w:rPr>
        <w:t>rea</w:t>
      </w:r>
      <w:r w:rsidR="00B4267D" w:rsidRPr="00BA7067">
        <w:rPr>
          <w:rFonts w:ascii="Arial" w:eastAsia="Calibri" w:hAnsi="Arial" w:cs="Arial"/>
          <w:bCs/>
          <w:sz w:val="22"/>
          <w:lang w:val="es-ES_tradnl"/>
        </w:rPr>
        <w:t xml:space="preserve">lizar </w:t>
      </w:r>
      <w:r w:rsidRPr="00BA7067">
        <w:rPr>
          <w:rFonts w:ascii="Arial" w:eastAsia="Calibri" w:hAnsi="Arial" w:cs="Arial"/>
          <w:bCs/>
          <w:sz w:val="22"/>
          <w:lang w:val="es-ES_tradnl"/>
        </w:rPr>
        <w:t>asesorías sobre los mismos desborda las atribuciones asignadas por el legislador extraordinario, que no concibió a Colombia Compra Eficiente como una autoridad para solucionar problemas jurídicos particulares de los partícipes de la contratación estatal.</w:t>
      </w:r>
    </w:p>
    <w:p w14:paraId="265DE9BD" w14:textId="1AC14B5A" w:rsidR="00AC67B1" w:rsidRPr="00BA7067" w:rsidRDefault="00AC67B1" w:rsidP="00AC67B1">
      <w:pPr>
        <w:tabs>
          <w:tab w:val="left" w:pos="426"/>
        </w:tabs>
        <w:spacing w:after="120" w:line="276" w:lineRule="auto"/>
        <w:jc w:val="both"/>
        <w:rPr>
          <w:rFonts w:ascii="Arial" w:eastAsia="Calibri" w:hAnsi="Arial" w:cs="Arial"/>
          <w:bCs/>
          <w:sz w:val="22"/>
          <w:lang w:val="es-ES_tradnl"/>
        </w:rPr>
      </w:pPr>
      <w:r w:rsidRPr="00BA7067">
        <w:rPr>
          <w:rFonts w:ascii="Arial" w:eastAsia="Calibri" w:hAnsi="Arial" w:cs="Arial"/>
          <w:bCs/>
          <w:sz w:val="22"/>
          <w:lang w:val="es-ES_tradnl"/>
        </w:rPr>
        <w:tab/>
      </w:r>
      <w:r w:rsidRPr="00BA7067">
        <w:rPr>
          <w:rFonts w:ascii="Arial" w:eastAsia="Calibri" w:hAnsi="Arial" w:cs="Arial"/>
          <w:bCs/>
          <w:sz w:val="22"/>
          <w:lang w:val="es-ES_tradnl"/>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w:t>
      </w:r>
      <w:r w:rsidR="004E6262" w:rsidRPr="00BA7067">
        <w:rPr>
          <w:rFonts w:ascii="Arial" w:eastAsia="Calibri" w:hAnsi="Arial" w:cs="Arial"/>
          <w:bCs/>
          <w:sz w:val="22"/>
          <w:lang w:val="es-ES_tradnl"/>
        </w:rPr>
        <w:t xml:space="preserve">asuntos que no se encuentran del ámbito de la competencia consultiva, como, por ejemplo, la interpretación de normas </w:t>
      </w:r>
      <w:r w:rsidR="00FC313D" w:rsidRPr="00BA7067">
        <w:rPr>
          <w:rFonts w:ascii="Arial" w:eastAsia="Calibri" w:hAnsi="Arial" w:cs="Arial"/>
          <w:bCs/>
          <w:sz w:val="22"/>
          <w:lang w:val="es-ES_tradnl"/>
        </w:rPr>
        <w:t xml:space="preserve">relacionadas con </w:t>
      </w:r>
      <w:r w:rsidR="00CB5EC0" w:rsidRPr="00BA7067">
        <w:rPr>
          <w:rFonts w:ascii="Arial" w:eastAsia="Calibri" w:hAnsi="Arial" w:cs="Arial"/>
          <w:bCs/>
          <w:sz w:val="22"/>
          <w:lang w:val="es-ES_tradnl"/>
        </w:rPr>
        <w:t>saneamiento financiero del sector salud en las entidades territoriales</w:t>
      </w:r>
      <w:r w:rsidR="00BC515F" w:rsidRPr="00BA7067">
        <w:rPr>
          <w:rFonts w:ascii="Arial" w:eastAsia="Calibri" w:hAnsi="Arial" w:cs="Arial"/>
          <w:bCs/>
          <w:sz w:val="22"/>
          <w:lang w:val="es-ES_tradnl"/>
        </w:rPr>
        <w:t>.</w:t>
      </w:r>
      <w:r w:rsidR="004E6262" w:rsidRPr="00BA7067">
        <w:rPr>
          <w:rFonts w:ascii="Arial" w:eastAsia="Calibri" w:hAnsi="Arial" w:cs="Arial"/>
          <w:bCs/>
          <w:sz w:val="22"/>
          <w:lang w:val="es-ES_tradnl"/>
        </w:rPr>
        <w:t xml:space="preserve"> </w:t>
      </w:r>
      <w:r w:rsidRPr="00BA7067">
        <w:rPr>
          <w:rFonts w:ascii="Arial" w:eastAsia="Calibri" w:hAnsi="Arial" w:cs="Arial"/>
          <w:bCs/>
          <w:sz w:val="22"/>
          <w:lang w:val="es-ES_tradnl"/>
        </w:rPr>
        <w:t xml:space="preserve"> Por lo anterior, previo concepto de sus órganos asesores, la solución de estos temas corresponde a la</w:t>
      </w:r>
      <w:r w:rsidR="004A2FF5" w:rsidRPr="00BA7067">
        <w:rPr>
          <w:rFonts w:ascii="Arial" w:eastAsia="Calibri" w:hAnsi="Arial" w:cs="Arial"/>
          <w:bCs/>
          <w:sz w:val="22"/>
          <w:lang w:val="es-ES_tradnl"/>
        </w:rPr>
        <w:t>s entidades responsables de las respectivas actuaciones administrativa y negocios jurídicos</w:t>
      </w:r>
      <w:r w:rsidRPr="00BA7067">
        <w:rPr>
          <w:rFonts w:ascii="Arial" w:eastAsia="Calibri" w:hAnsi="Arial" w:cs="Arial"/>
          <w:bCs/>
          <w:sz w:val="22"/>
          <w:lang w:val="es-ES_tradnl"/>
        </w:rPr>
        <w:t>,</w:t>
      </w:r>
      <w:r w:rsidR="004A2FF5" w:rsidRPr="00BA7067">
        <w:rPr>
          <w:rFonts w:ascii="Arial" w:eastAsia="Calibri" w:hAnsi="Arial" w:cs="Arial"/>
          <w:bCs/>
          <w:sz w:val="22"/>
          <w:lang w:val="es-ES_tradnl"/>
        </w:rPr>
        <w:t xml:space="preserve"> y,</w:t>
      </w:r>
      <w:r w:rsidRPr="00BA7067">
        <w:rPr>
          <w:rFonts w:ascii="Arial" w:eastAsia="Calibri" w:hAnsi="Arial" w:cs="Arial"/>
          <w:bCs/>
          <w:sz w:val="22"/>
          <w:lang w:val="es-ES_tradnl"/>
        </w:rPr>
        <w:t xml:space="preserve"> en caso de conflicto, a las autoridades judiciales, fiscales y disciplinarias. </w:t>
      </w:r>
    </w:p>
    <w:p w14:paraId="08F0902F" w14:textId="5DE5BCB4" w:rsidR="007F0A1D" w:rsidRPr="00BA7067" w:rsidRDefault="00AC67B1" w:rsidP="005135B0">
      <w:pPr>
        <w:tabs>
          <w:tab w:val="left" w:pos="426"/>
        </w:tabs>
        <w:spacing w:after="120" w:line="276" w:lineRule="auto"/>
        <w:ind w:firstLine="709"/>
        <w:jc w:val="both"/>
        <w:rPr>
          <w:rFonts w:ascii="Arial" w:eastAsia="Calibri" w:hAnsi="Arial" w:cs="Arial"/>
          <w:bCs/>
          <w:sz w:val="22"/>
          <w:lang w:val="es-ES_tradnl"/>
        </w:rPr>
      </w:pPr>
      <w:r w:rsidRPr="00BA7067">
        <w:rPr>
          <w:rFonts w:ascii="Arial" w:eastAsia="Calibri" w:hAnsi="Arial" w:cs="Arial"/>
          <w:bCs/>
          <w:sz w:val="22"/>
          <w:lang w:val="es-ES_tradnl"/>
        </w:rPr>
        <w:t>Sin perjuicio de lo anterior, la Subdirección</w:t>
      </w:r>
      <w:r w:rsidR="004A2FF5" w:rsidRPr="00BA7067">
        <w:rPr>
          <w:rFonts w:ascii="Arial" w:eastAsia="Calibri" w:hAnsi="Arial" w:cs="Arial"/>
          <w:bCs/>
          <w:sz w:val="22"/>
          <w:lang w:val="es-ES_tradnl"/>
        </w:rPr>
        <w:t xml:space="preserve">, </w:t>
      </w:r>
      <w:r w:rsidRPr="00BA7067">
        <w:rPr>
          <w:rFonts w:ascii="Arial" w:eastAsia="Calibri" w:hAnsi="Arial" w:cs="Arial"/>
          <w:bCs/>
          <w:sz w:val="22"/>
          <w:lang w:val="es-ES_tradnl"/>
        </w:rPr>
        <w:t>dentro de los límites de sus atribuciones, resolverá la consulta conforme a las normas generales en materia de contratación estatal</w:t>
      </w:r>
      <w:r w:rsidR="004A2FF5" w:rsidRPr="00BA7067">
        <w:rPr>
          <w:rFonts w:ascii="Arial" w:eastAsia="Calibri" w:hAnsi="Arial" w:cs="Arial"/>
          <w:bCs/>
          <w:sz w:val="22"/>
          <w:lang w:val="es-ES_tradnl"/>
        </w:rPr>
        <w:t xml:space="preserve"> relevantes para el asunto.</w:t>
      </w:r>
      <w:r w:rsidRPr="00BA7067">
        <w:rPr>
          <w:rFonts w:ascii="Arial" w:eastAsia="Calibri" w:hAnsi="Arial" w:cs="Arial"/>
          <w:bCs/>
          <w:sz w:val="22"/>
          <w:lang w:val="es-ES_tradnl"/>
        </w:rPr>
        <w:t xml:space="preserve"> Para esto se analizarán los siguientes temas:</w:t>
      </w:r>
      <w:r w:rsidR="00C329D6" w:rsidRPr="00BA7067">
        <w:rPr>
          <w:rFonts w:ascii="Arial" w:eastAsia="Calibri" w:hAnsi="Arial" w:cs="Arial"/>
          <w:bCs/>
          <w:sz w:val="22"/>
          <w:lang w:val="es-ES_tradnl"/>
        </w:rPr>
        <w:t xml:space="preserve"> </w:t>
      </w:r>
      <w:r w:rsidR="00830500" w:rsidRPr="00BA7067">
        <w:rPr>
          <w:rFonts w:ascii="Arial" w:eastAsia="Calibri" w:hAnsi="Arial" w:cs="Arial"/>
          <w:bCs/>
          <w:sz w:val="22"/>
          <w:lang w:val="es-ES_tradnl"/>
        </w:rPr>
        <w:t>i) definición y finalidad de la Ley de Garantías Electorales: alcance de las restricciones</w:t>
      </w:r>
      <w:r w:rsidR="00F240AB" w:rsidRPr="00BA7067">
        <w:rPr>
          <w:rFonts w:ascii="Arial" w:eastAsia="Calibri" w:hAnsi="Arial" w:cs="Arial"/>
          <w:bCs/>
          <w:sz w:val="22"/>
          <w:lang w:val="es-ES_tradnl"/>
        </w:rPr>
        <w:t>,</w:t>
      </w:r>
      <w:r w:rsidR="00830500" w:rsidRPr="00BA7067">
        <w:rPr>
          <w:rFonts w:ascii="Arial" w:eastAsia="Calibri" w:hAnsi="Arial" w:cs="Arial"/>
          <w:bCs/>
          <w:sz w:val="22"/>
          <w:lang w:val="es-ES_tradnl"/>
        </w:rPr>
        <w:t xml:space="preserve"> </w:t>
      </w:r>
      <w:proofErr w:type="spellStart"/>
      <w:r w:rsidR="00830500" w:rsidRPr="00BA7067">
        <w:rPr>
          <w:rFonts w:ascii="Arial" w:eastAsia="Calibri" w:hAnsi="Arial" w:cs="Arial"/>
          <w:bCs/>
          <w:sz w:val="22"/>
          <w:lang w:val="es-ES_tradnl"/>
        </w:rPr>
        <w:t>ii</w:t>
      </w:r>
      <w:proofErr w:type="spellEnd"/>
      <w:r w:rsidR="00830500" w:rsidRPr="00BA7067">
        <w:rPr>
          <w:rFonts w:ascii="Arial" w:eastAsia="Calibri" w:hAnsi="Arial" w:cs="Arial"/>
          <w:bCs/>
          <w:sz w:val="22"/>
          <w:lang w:val="es-ES_tradnl"/>
        </w:rPr>
        <w:t xml:space="preserve">) </w:t>
      </w:r>
      <w:r w:rsidR="00513B0B" w:rsidRPr="00BA7067">
        <w:rPr>
          <w:rFonts w:ascii="Arial" w:eastAsia="Calibri" w:hAnsi="Arial" w:cs="Arial"/>
          <w:bCs/>
          <w:sz w:val="22"/>
          <w:lang w:val="es-ES_tradnl"/>
        </w:rPr>
        <w:t>restricciones en elecciones presidenciales</w:t>
      </w:r>
      <w:r w:rsidR="00F240AB" w:rsidRPr="00BA7067">
        <w:rPr>
          <w:rFonts w:ascii="Arial" w:eastAsia="Calibri" w:hAnsi="Arial" w:cs="Arial"/>
          <w:bCs/>
          <w:sz w:val="22"/>
          <w:lang w:val="es-ES_tradnl"/>
        </w:rPr>
        <w:t>,</w:t>
      </w:r>
      <w:r w:rsidR="00513B0B" w:rsidRPr="00BA7067">
        <w:rPr>
          <w:rFonts w:ascii="Arial" w:eastAsia="Calibri" w:hAnsi="Arial" w:cs="Arial"/>
          <w:bCs/>
          <w:sz w:val="22"/>
          <w:lang w:val="es-ES_tradnl"/>
        </w:rPr>
        <w:t xml:space="preserve"> </w:t>
      </w:r>
      <w:proofErr w:type="spellStart"/>
      <w:r w:rsidR="00513B0B" w:rsidRPr="00BA7067">
        <w:rPr>
          <w:rFonts w:ascii="Arial" w:eastAsia="Calibri" w:hAnsi="Arial" w:cs="Arial"/>
          <w:bCs/>
          <w:sz w:val="22"/>
          <w:lang w:val="es-ES_tradnl"/>
        </w:rPr>
        <w:t>iii</w:t>
      </w:r>
      <w:proofErr w:type="spellEnd"/>
      <w:r w:rsidR="00513B0B" w:rsidRPr="00BA7067">
        <w:rPr>
          <w:rFonts w:ascii="Arial" w:eastAsia="Calibri" w:hAnsi="Arial" w:cs="Arial"/>
          <w:bCs/>
          <w:sz w:val="22"/>
          <w:lang w:val="es-ES_tradnl"/>
        </w:rPr>
        <w:t xml:space="preserve">) </w:t>
      </w:r>
      <w:r w:rsidR="00513B0B" w:rsidRPr="00BA7067">
        <w:rPr>
          <w:rFonts w:ascii="Arial" w:hAnsi="Arial" w:cs="Arial"/>
          <w:bCs/>
          <w:sz w:val="22"/>
          <w:lang w:eastAsia="es-CO"/>
        </w:rPr>
        <w:t>destinatarios de la restricción del artículo 33 de la Ley 996 de 2005</w:t>
      </w:r>
      <w:r w:rsidR="00F240AB" w:rsidRPr="00BA7067">
        <w:rPr>
          <w:rFonts w:ascii="Arial" w:hAnsi="Arial" w:cs="Arial"/>
          <w:bCs/>
          <w:sz w:val="22"/>
          <w:lang w:eastAsia="es-CO"/>
        </w:rPr>
        <w:t>,</w:t>
      </w:r>
      <w:r w:rsidR="00513B0B" w:rsidRPr="00BA7067">
        <w:rPr>
          <w:rFonts w:ascii="Arial" w:hAnsi="Arial" w:cs="Arial"/>
          <w:bCs/>
          <w:sz w:val="22"/>
          <w:lang w:eastAsia="es-CO"/>
        </w:rPr>
        <w:t xml:space="preserve"> </w:t>
      </w:r>
      <w:r w:rsidR="004835F6" w:rsidRPr="00BA7067">
        <w:rPr>
          <w:rFonts w:ascii="Arial" w:hAnsi="Arial" w:cs="Arial"/>
          <w:bCs/>
          <w:sz w:val="22"/>
          <w:lang w:eastAsia="es-CO"/>
        </w:rPr>
        <w:t xml:space="preserve">y </w:t>
      </w:r>
      <w:proofErr w:type="spellStart"/>
      <w:r w:rsidR="00513B0B" w:rsidRPr="00BA7067">
        <w:rPr>
          <w:rFonts w:ascii="Arial" w:hAnsi="Arial" w:cs="Arial"/>
          <w:bCs/>
          <w:sz w:val="22"/>
          <w:lang w:eastAsia="es-CO"/>
        </w:rPr>
        <w:t>iv</w:t>
      </w:r>
      <w:proofErr w:type="spellEnd"/>
      <w:r w:rsidR="00513B0B" w:rsidRPr="00BA7067">
        <w:rPr>
          <w:rFonts w:ascii="Arial" w:hAnsi="Arial" w:cs="Arial"/>
          <w:bCs/>
          <w:sz w:val="22"/>
          <w:lang w:eastAsia="es-CO"/>
        </w:rPr>
        <w:t>)</w:t>
      </w:r>
      <w:r w:rsidR="004C3974" w:rsidRPr="00BA7067">
        <w:rPr>
          <w:rFonts w:ascii="Arial" w:hAnsi="Arial" w:cs="Arial"/>
          <w:bCs/>
          <w:sz w:val="22"/>
          <w:lang w:eastAsia="es-CO"/>
        </w:rPr>
        <w:t xml:space="preserve"> procedencia de la celebración de contratos de transacción en vigencia de las restricciones de la Ley de Garantías Electorales.</w:t>
      </w:r>
    </w:p>
    <w:p w14:paraId="1CA53006" w14:textId="51851C28" w:rsidR="00DB7FB0" w:rsidRPr="00BA7067" w:rsidRDefault="00E468CE" w:rsidP="0014775F">
      <w:pPr>
        <w:spacing w:line="276" w:lineRule="auto"/>
        <w:ind w:firstLine="708"/>
        <w:jc w:val="both"/>
        <w:rPr>
          <w:rFonts w:ascii="Arial" w:eastAsia="Calibri" w:hAnsi="Arial" w:cs="Arial"/>
          <w:sz w:val="22"/>
        </w:rPr>
      </w:pPr>
      <w:r w:rsidRPr="00BA7067">
        <w:rPr>
          <w:rFonts w:ascii="Arial" w:eastAsia="Calibri" w:hAnsi="Arial" w:cs="Arial"/>
          <w:sz w:val="22"/>
        </w:rPr>
        <w:lastRenderedPageBreak/>
        <w:t xml:space="preserve">La Agencia Nacional de Contratación Pública ‒ Colombia Compra Eficiente, en los conceptos </w:t>
      </w:r>
      <w:r w:rsidRPr="00BA7067">
        <w:rPr>
          <w:rFonts w:ascii="Arial" w:eastAsia="Calibri" w:hAnsi="Arial" w:cs="Arial"/>
          <w:bCs/>
          <w:sz w:val="22"/>
        </w:rPr>
        <w:t>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C-695 del 22 de diciembre de 2021</w:t>
      </w:r>
      <w:r w:rsidR="00570E72" w:rsidRPr="00BA7067">
        <w:rPr>
          <w:rFonts w:ascii="Arial" w:eastAsia="Calibri" w:hAnsi="Arial" w:cs="Arial"/>
          <w:bCs/>
          <w:sz w:val="22"/>
        </w:rPr>
        <w:t>, C-015 del 12 de enero de 2022,</w:t>
      </w:r>
      <w:r w:rsidR="00570E72" w:rsidRPr="00BA7067">
        <w:rPr>
          <w:rFonts w:ascii="Arial" w:eastAsia="Calibri" w:hAnsi="Arial" w:cs="Arial"/>
          <w:sz w:val="22"/>
        </w:rPr>
        <w:t xml:space="preserve"> </w:t>
      </w:r>
      <w:r w:rsidR="00570E72" w:rsidRPr="00BA7067">
        <w:rPr>
          <w:rFonts w:ascii="Arial" w:eastAsia="Calibri" w:hAnsi="Arial" w:cs="Arial"/>
          <w:bCs/>
          <w:sz w:val="22"/>
        </w:rPr>
        <w:t>C-037 del 21 de enero de 2022, C-107 del 18 de marzo de 2022, C-122 del 18 de marzo de 2022 y C-156 del 28 de marzo de 2022,</w:t>
      </w:r>
      <w:r w:rsidR="00570E72" w:rsidRPr="00BA7067">
        <w:rPr>
          <w:rFonts w:ascii="Arial" w:eastAsia="Calibri" w:hAnsi="Arial" w:cs="Arial"/>
          <w:sz w:val="22"/>
        </w:rPr>
        <w:t xml:space="preserve"> estudió el ámbito de aplicación de la Ley 996 de 2005 y la restricción específica contenida en sus artículos 33 y 38</w:t>
      </w:r>
      <w:r w:rsidRPr="00BA7067">
        <w:rPr>
          <w:rFonts w:ascii="Arial" w:eastAsia="Calibri" w:hAnsi="Arial" w:cs="Arial"/>
          <w:sz w:val="22"/>
        </w:rPr>
        <w:t xml:space="preserve">. </w:t>
      </w:r>
      <w:r w:rsidR="00492807" w:rsidRPr="00BA7067">
        <w:rPr>
          <w:rFonts w:ascii="Arial" w:eastAsia="Calibri" w:hAnsi="Arial" w:cs="Arial"/>
          <w:sz w:val="22"/>
        </w:rPr>
        <w:t>Particularmente</w:t>
      </w:r>
      <w:r w:rsidR="00F97AA4" w:rsidRPr="00BA7067">
        <w:rPr>
          <w:rFonts w:ascii="Arial" w:eastAsia="Calibri" w:hAnsi="Arial" w:cs="Arial"/>
          <w:sz w:val="22"/>
        </w:rPr>
        <w:t xml:space="preserve">, en los conceptos </w:t>
      </w:r>
      <w:r w:rsidR="00492807" w:rsidRPr="00BA7067">
        <w:rPr>
          <w:rFonts w:ascii="Arial" w:eastAsia="Calibri" w:hAnsi="Arial" w:cs="Arial"/>
          <w:sz w:val="22"/>
        </w:rPr>
        <w:t>C-003 y C-004 del 1 de abril de 2022</w:t>
      </w:r>
      <w:r w:rsidR="004A111F" w:rsidRPr="00BA7067">
        <w:rPr>
          <w:rFonts w:ascii="Arial" w:eastAsia="Calibri" w:hAnsi="Arial" w:cs="Arial"/>
          <w:sz w:val="22"/>
        </w:rPr>
        <w:t xml:space="preserve"> se estudió la posibilidad de celebrar contratos de transacción durante los periodos en los que rige la restricción contemplada en el artículo 33 de la Ley 996 de 2005. </w:t>
      </w:r>
      <w:r w:rsidR="0014775F" w:rsidRPr="00BA7067">
        <w:rPr>
          <w:rFonts w:ascii="Arial" w:eastAsia="Calibri" w:hAnsi="Arial" w:cs="Arial"/>
          <w:sz w:val="22"/>
        </w:rPr>
        <w:t>Los argumentos y consideraciones expuestos en los conceptos mencionados se reiteran y se complementan en lo pertinente</w:t>
      </w:r>
      <w:r w:rsidR="00F240AB" w:rsidRPr="00BA7067">
        <w:rPr>
          <w:rFonts w:ascii="Arial" w:eastAsia="Calibri" w:hAnsi="Arial" w:cs="Arial"/>
          <w:sz w:val="22"/>
        </w:rPr>
        <w:t>:</w:t>
      </w:r>
    </w:p>
    <w:p w14:paraId="19F817A4" w14:textId="148E2FD9" w:rsidR="00E468CE" w:rsidRPr="00BA7067" w:rsidRDefault="00E468CE" w:rsidP="00F25EA6">
      <w:pPr>
        <w:spacing w:line="276" w:lineRule="auto"/>
        <w:jc w:val="both"/>
        <w:rPr>
          <w:rFonts w:ascii="Arial" w:eastAsia="Calibri" w:hAnsi="Arial" w:cs="Arial"/>
          <w:sz w:val="22"/>
        </w:rPr>
      </w:pPr>
      <w:r w:rsidRPr="00BA7067">
        <w:rPr>
          <w:rFonts w:ascii="Arial" w:eastAsia="Calibri" w:hAnsi="Arial" w:cs="Arial"/>
          <w:sz w:val="22"/>
        </w:rPr>
        <w:t xml:space="preserve"> </w:t>
      </w:r>
    </w:p>
    <w:p w14:paraId="625550F9" w14:textId="77777777" w:rsidR="00DB7FB0" w:rsidRPr="00BA7067" w:rsidRDefault="00DB7FB0" w:rsidP="00DB7FB0">
      <w:pPr>
        <w:tabs>
          <w:tab w:val="left" w:pos="426"/>
        </w:tabs>
        <w:contextualSpacing/>
        <w:jc w:val="both"/>
        <w:rPr>
          <w:rFonts w:ascii="Arial" w:eastAsia="Calibri" w:hAnsi="Arial" w:cs="Arial"/>
          <w:b/>
          <w:bCs/>
          <w:sz w:val="22"/>
          <w:lang w:val="es-CO" w:eastAsia="es-ES_tradnl"/>
        </w:rPr>
      </w:pPr>
      <w:r w:rsidRPr="00BA7067">
        <w:rPr>
          <w:rFonts w:ascii="Arial" w:eastAsia="Calibri" w:hAnsi="Arial" w:cs="Arial"/>
          <w:b/>
          <w:bCs/>
          <w:sz w:val="22"/>
          <w:lang w:val="es-CO" w:eastAsia="es-ES_tradnl"/>
        </w:rPr>
        <w:t>2.1. Definición y finalidad de la Ley de Garantías Electorales: alcance de las restricciones</w:t>
      </w:r>
    </w:p>
    <w:p w14:paraId="7E10502C" w14:textId="77777777" w:rsidR="00DB7FB0" w:rsidRPr="00BA7067" w:rsidRDefault="00DB7FB0" w:rsidP="00DB7FB0">
      <w:pPr>
        <w:tabs>
          <w:tab w:val="left" w:pos="426"/>
        </w:tabs>
        <w:ind w:firstLine="709"/>
        <w:contextualSpacing/>
        <w:rPr>
          <w:rFonts w:ascii="Arial" w:eastAsia="Calibri" w:hAnsi="Arial" w:cs="Arial"/>
          <w:bCs/>
          <w:szCs w:val="24"/>
          <w:lang w:val="es-CO" w:eastAsia="es-ES_tradnl"/>
        </w:rPr>
      </w:pPr>
    </w:p>
    <w:p w14:paraId="52E0A184" w14:textId="77777777" w:rsidR="00DB7FB0" w:rsidRPr="00BA7067" w:rsidRDefault="00DB7FB0" w:rsidP="00F25EA6">
      <w:pPr>
        <w:tabs>
          <w:tab w:val="left" w:pos="426"/>
        </w:tabs>
        <w:spacing w:after="120" w:line="276" w:lineRule="auto"/>
        <w:jc w:val="both"/>
        <w:rPr>
          <w:rFonts w:ascii="Arial" w:eastAsia="Times New Roman" w:hAnsi="Arial" w:cs="Arial"/>
          <w:bCs/>
          <w:sz w:val="22"/>
          <w:lang w:val="es-CO" w:eastAsia="es-CO"/>
        </w:rPr>
      </w:pPr>
      <w:r w:rsidRPr="00BA7067">
        <w:rPr>
          <w:rFonts w:ascii="Arial" w:eastAsia="Calibri" w:hAnsi="Arial" w:cs="Arial"/>
          <w:bCs/>
          <w:sz w:val="22"/>
          <w:lang w:val="es-CO" w:eastAsia="es-ES_tradnl"/>
        </w:rPr>
        <w:t>El ordenamiento jurídico colombiano contempla previsiones claras para evitar la obtención de beneficios personales en asuntos propios de la administración pública</w:t>
      </w:r>
      <w:r w:rsidRPr="00BA7067">
        <w:rPr>
          <w:rFonts w:ascii="Arial" w:eastAsia="Calibri" w:hAnsi="Arial" w:cs="Arial"/>
          <w:bCs/>
          <w:i/>
          <w:iCs/>
          <w:sz w:val="22"/>
          <w:lang w:val="es-CO" w:eastAsia="es-ES_tradnl"/>
        </w:rPr>
        <w:t xml:space="preserve">. </w:t>
      </w:r>
      <w:r w:rsidRPr="00BA7067">
        <w:rPr>
          <w:rFonts w:ascii="Arial" w:eastAsia="Calibri" w:hAnsi="Arial" w:cs="Arial"/>
          <w:bCs/>
          <w:sz w:val="22"/>
          <w:lang w:val="es-CO" w:eastAsia="es-ES_tradnl"/>
        </w:rPr>
        <w:t>Por ejemplo, el artículo 127 de la Constitución Política establece una prohibición contractual a los servidores públicos y en cuanto a aspectos políticos establece restricciones a ciertos empleados del Estado, incluso en época no electoral</w:t>
      </w:r>
      <w:r w:rsidRPr="00BA7067">
        <w:rPr>
          <w:rFonts w:ascii="Arial" w:eastAsia="Calibri" w:hAnsi="Arial" w:cs="Arial"/>
          <w:bCs/>
          <w:sz w:val="22"/>
          <w:vertAlign w:val="superscript"/>
          <w:lang w:val="es-CO" w:eastAsia="es-ES_tradnl"/>
        </w:rPr>
        <w:footnoteReference w:id="1"/>
      </w:r>
      <w:r w:rsidRPr="00BA7067">
        <w:rPr>
          <w:rFonts w:ascii="Arial" w:eastAsia="Calibri" w:hAnsi="Arial" w:cs="Arial"/>
          <w:bCs/>
          <w:sz w:val="22"/>
          <w:lang w:val="es-CO" w:eastAsia="es-ES_tradnl"/>
        </w:rPr>
        <w:t xml:space="preserve">. </w:t>
      </w:r>
    </w:p>
    <w:p w14:paraId="0EA136C6" w14:textId="77777777" w:rsidR="00DB7FB0" w:rsidRPr="00BA7067" w:rsidRDefault="00DB7FB0" w:rsidP="00DB7FB0">
      <w:pPr>
        <w:tabs>
          <w:tab w:val="left" w:pos="426"/>
        </w:tabs>
        <w:spacing w:line="276" w:lineRule="auto"/>
        <w:ind w:firstLine="709"/>
        <w:jc w:val="both"/>
        <w:rPr>
          <w:rFonts w:ascii="Arial" w:eastAsia="Times New Roman" w:hAnsi="Arial" w:cs="Arial"/>
          <w:bCs/>
          <w:sz w:val="22"/>
          <w:lang w:val="es-CO" w:eastAsia="es-CO"/>
        </w:rPr>
      </w:pPr>
      <w:r w:rsidRPr="00BA7067">
        <w:rPr>
          <w:rFonts w:ascii="Arial" w:eastAsia="Times New Roman" w:hAnsi="Arial" w:cs="Arial"/>
          <w:bCs/>
          <w:sz w:val="22"/>
          <w:lang w:val="es-CO" w:eastAsia="es-CO"/>
        </w:rPr>
        <w:lastRenderedPageBreak/>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BA7067">
        <w:rPr>
          <w:rFonts w:ascii="Arial" w:eastAsia="Times New Roman" w:hAnsi="Arial" w:cs="Arial"/>
          <w:bCs/>
          <w:sz w:val="22"/>
          <w:vertAlign w:val="superscript"/>
          <w:lang w:val="es-CO" w:eastAsia="es-CO"/>
        </w:rPr>
        <w:footnoteReference w:id="2"/>
      </w:r>
      <w:r w:rsidRPr="00BA7067">
        <w:rPr>
          <w:rFonts w:ascii="Arial" w:eastAsia="Times New Roman" w:hAnsi="Arial" w:cs="Arial"/>
          <w:bCs/>
          <w:sz w:val="22"/>
          <w:lang w:val="es-CO" w:eastAsia="es-CO"/>
        </w:rPr>
        <w:t>. En esta medida, introduce limitaciones para realizar nombramientos, postulaciones, contrataciones o cualquier otro tipo de actividad que implique destinación de recursos públicos bajo el devenir propio de las entidades estatales.</w:t>
      </w:r>
      <w:r w:rsidRPr="00BA7067">
        <w:rPr>
          <w:rFonts w:ascii="Arial" w:eastAsia="Calibri" w:hAnsi="Arial" w:cs="Arial"/>
          <w:noProof/>
          <w:sz w:val="22"/>
          <w:lang w:val="es-ES_tradnl" w:eastAsia="es-ES_tradnl"/>
        </w:rPr>
        <w:t xml:space="preserve"> </w:t>
      </w:r>
      <w:r w:rsidRPr="00BA7067">
        <w:rPr>
          <w:rFonts w:ascii="Arial" w:eastAsia="Times New Roman" w:hAnsi="Arial" w:cs="Arial"/>
          <w:bCs/>
          <w:sz w:val="22"/>
          <w:lang w:val="es-CO" w:eastAsia="es-CO"/>
        </w:rPr>
        <w:t>En armonía con lo anterior, la Corte Constitucional ha abordado la definición de la Ley de Garantías Electorales, en los siguientes términos:</w:t>
      </w:r>
    </w:p>
    <w:p w14:paraId="59BEFA08" w14:textId="77777777" w:rsidR="00DB7FB0" w:rsidRPr="00BA7067" w:rsidRDefault="00DB7FB0" w:rsidP="00DB7FB0">
      <w:pPr>
        <w:ind w:right="709"/>
        <w:rPr>
          <w:rFonts w:ascii="Arial" w:eastAsia="Times New Roman" w:hAnsi="Arial" w:cs="Arial"/>
          <w:sz w:val="21"/>
          <w:szCs w:val="21"/>
          <w:lang w:eastAsia="es-CO"/>
        </w:rPr>
      </w:pPr>
    </w:p>
    <w:p w14:paraId="0E8AF647" w14:textId="77777777" w:rsidR="00DB7FB0" w:rsidRPr="00BA7067" w:rsidRDefault="00DB7FB0" w:rsidP="00DB7FB0">
      <w:pPr>
        <w:ind w:left="709" w:right="709"/>
        <w:jc w:val="both"/>
        <w:rPr>
          <w:rFonts w:ascii="Arial" w:eastAsia="Times New Roman" w:hAnsi="Arial" w:cs="Arial"/>
          <w:bCs/>
          <w:sz w:val="21"/>
          <w:szCs w:val="21"/>
          <w:lang w:val="es-CO" w:eastAsia="es-CO"/>
        </w:rPr>
      </w:pPr>
      <w:r w:rsidRPr="00BA7067">
        <w:rPr>
          <w:rFonts w:ascii="Arial" w:eastAsia="Times New Roman" w:hAnsi="Arial" w:cs="Arial"/>
          <w:sz w:val="21"/>
          <w:szCs w:val="21"/>
          <w:lang w:eastAsia="es-CO"/>
        </w:rPr>
        <w:t xml:space="preserve">«[…] </w:t>
      </w:r>
      <w:r w:rsidRPr="00BA7067">
        <w:rPr>
          <w:rFonts w:ascii="Arial" w:eastAsia="Times New Roman" w:hAnsi="Arial" w:cs="Arial"/>
          <w:bCs/>
          <w:sz w:val="21"/>
          <w:szCs w:val="21"/>
          <w:lang w:val="es-CO" w:eastAsia="es-CO"/>
        </w:rPr>
        <w:t>la definición de reglas claras que permitan acceder a los canales de expresión democrática de manera efectiva e igualitaria. El objetivo de una ley de garantías es definir esas reglas.</w:t>
      </w:r>
    </w:p>
    <w:p w14:paraId="0416AE74" w14:textId="77777777" w:rsidR="00DB7FB0" w:rsidRPr="00BA7067" w:rsidRDefault="00DB7FB0" w:rsidP="00DB7FB0">
      <w:pPr>
        <w:spacing w:after="120"/>
        <w:ind w:left="709" w:right="709"/>
        <w:jc w:val="both"/>
        <w:rPr>
          <w:rFonts w:ascii="Arial" w:eastAsia="Times New Roman" w:hAnsi="Arial" w:cs="Arial"/>
          <w:bCs/>
          <w:sz w:val="21"/>
          <w:szCs w:val="21"/>
          <w:lang w:val="es-CO" w:eastAsia="es-CO"/>
        </w:rPr>
      </w:pPr>
      <w:r w:rsidRPr="00BA7067">
        <w:rPr>
          <w:rFonts w:ascii="Arial" w:eastAsia="Times New Roman" w:hAnsi="Arial" w:cs="Arial"/>
          <w:bCs/>
          <w:sz w:val="21"/>
          <w:szCs w:val="21"/>
          <w:lang w:val="es-CO" w:eastAsia="es-CO"/>
        </w:rPr>
        <w:t xml:space="preserve">[…] </w:t>
      </w:r>
    </w:p>
    <w:p w14:paraId="752F5581" w14:textId="77777777" w:rsidR="00DB7FB0" w:rsidRPr="00BA7067" w:rsidRDefault="00DB7FB0" w:rsidP="00DB7FB0">
      <w:pPr>
        <w:ind w:left="709" w:right="709"/>
        <w:jc w:val="both"/>
        <w:rPr>
          <w:rFonts w:ascii="Arial" w:hAnsi="Arial" w:cs="Arial"/>
          <w:bCs/>
          <w:sz w:val="21"/>
          <w:szCs w:val="21"/>
          <w:lang w:eastAsia="es-CO"/>
        </w:rPr>
      </w:pPr>
      <w:r w:rsidRPr="00BA7067">
        <w:rPr>
          <w:rFonts w:ascii="Arial" w:hAnsi="Arial" w:cs="Arial"/>
          <w:sz w:val="21"/>
          <w:szCs w:val="21"/>
          <w:lang w:val="es-ES" w:eastAsia="es-CO"/>
        </w:rPr>
        <w:t xml:space="preserve">[…] </w:t>
      </w:r>
      <w:r w:rsidRPr="00BA7067">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BA7067">
        <w:rPr>
          <w:rStyle w:val="Refdenotaalpie"/>
          <w:rFonts w:ascii="Arial" w:hAnsi="Arial" w:cs="Arial"/>
          <w:sz w:val="21"/>
          <w:szCs w:val="21"/>
        </w:rPr>
        <w:footnoteReference w:id="3"/>
      </w:r>
      <w:r w:rsidRPr="00BA7067">
        <w:rPr>
          <w:rFonts w:ascii="Calibri" w:hAnsi="Calibri" w:cs="Calibri"/>
        </w:rPr>
        <w:t xml:space="preserve"> »</w:t>
      </w:r>
    </w:p>
    <w:p w14:paraId="33F02D00" w14:textId="77777777" w:rsidR="00DB7FB0" w:rsidRPr="00BA7067" w:rsidRDefault="00DB7FB0" w:rsidP="00DB7FB0">
      <w:pPr>
        <w:ind w:left="709" w:right="709"/>
        <w:jc w:val="both"/>
        <w:rPr>
          <w:rFonts w:ascii="Arial" w:hAnsi="Arial" w:cs="Arial"/>
          <w:bCs/>
          <w:sz w:val="21"/>
          <w:szCs w:val="21"/>
          <w:lang w:eastAsia="es-CO"/>
        </w:rPr>
      </w:pPr>
    </w:p>
    <w:p w14:paraId="1FFB2BA6" w14:textId="77777777" w:rsidR="00DB7FB0" w:rsidRPr="00BA7067" w:rsidRDefault="00DB7FB0" w:rsidP="00DB7FB0">
      <w:pPr>
        <w:spacing w:line="276" w:lineRule="auto"/>
        <w:ind w:firstLine="709"/>
        <w:jc w:val="both"/>
        <w:rPr>
          <w:rFonts w:ascii="Arial" w:hAnsi="Arial" w:cs="Arial"/>
          <w:bCs/>
          <w:sz w:val="22"/>
          <w:lang w:eastAsia="es-CO"/>
        </w:rPr>
      </w:pPr>
      <w:r w:rsidRPr="00BA7067">
        <w:rPr>
          <w:rFonts w:ascii="Arial"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01C64032" w14:textId="77777777" w:rsidR="00DB7FB0" w:rsidRPr="00BA7067" w:rsidRDefault="00DB7FB0" w:rsidP="00DB7FB0">
      <w:pPr>
        <w:ind w:firstLine="709"/>
        <w:jc w:val="both"/>
        <w:rPr>
          <w:rFonts w:ascii="Arial" w:hAnsi="Arial" w:cs="Arial"/>
          <w:bCs/>
          <w:sz w:val="22"/>
          <w:lang w:eastAsia="es-CO"/>
        </w:rPr>
      </w:pPr>
    </w:p>
    <w:p w14:paraId="2D997D2E" w14:textId="77777777" w:rsidR="00DB7FB0" w:rsidRPr="00BA7067" w:rsidRDefault="00DB7FB0" w:rsidP="00DB7FB0">
      <w:pPr>
        <w:spacing w:after="120"/>
        <w:ind w:left="709" w:right="709"/>
        <w:jc w:val="both"/>
        <w:rPr>
          <w:rFonts w:ascii="Arial" w:hAnsi="Arial" w:cs="Arial"/>
          <w:bCs/>
          <w:sz w:val="21"/>
          <w:szCs w:val="21"/>
          <w:lang w:eastAsia="es-CO"/>
        </w:rPr>
      </w:pPr>
      <w:r w:rsidRPr="00BA7067">
        <w:rPr>
          <w:rFonts w:ascii="Arial" w:hAnsi="Arial" w:cs="Arial"/>
          <w:sz w:val="21"/>
          <w:szCs w:val="21"/>
        </w:rPr>
        <w:t>«</w:t>
      </w:r>
      <w:r w:rsidRPr="00BA7067">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BA7067">
        <w:rPr>
          <w:rFonts w:ascii="Arial" w:hAnsi="Arial" w:cs="Arial"/>
          <w:bCs/>
          <w:sz w:val="21"/>
          <w:szCs w:val="21"/>
          <w:lang w:eastAsia="es-CO"/>
        </w:rPr>
        <w:t>legis</w:t>
      </w:r>
      <w:proofErr w:type="spellEnd"/>
      <w:r w:rsidRPr="00BA7067">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w:t>
      </w:r>
      <w:r w:rsidRPr="00BA7067">
        <w:rPr>
          <w:rFonts w:ascii="Arial" w:hAnsi="Arial" w:cs="Arial"/>
          <w:bCs/>
          <w:sz w:val="21"/>
          <w:szCs w:val="21"/>
          <w:lang w:eastAsia="es-CO"/>
        </w:rPr>
        <w:lastRenderedPageBreak/>
        <w:t>público, razón por la cual no son disponibles ni pueden ser derogadas, modificadas, ampliadas o adicionadas por acuerdo o convenio o acto unilateral.</w:t>
      </w:r>
    </w:p>
    <w:p w14:paraId="74641E55" w14:textId="77777777" w:rsidR="00DB7FB0" w:rsidRPr="00BA7067" w:rsidRDefault="00DB7FB0" w:rsidP="00DB7FB0">
      <w:pPr>
        <w:ind w:left="709" w:right="709"/>
        <w:jc w:val="both"/>
        <w:rPr>
          <w:rFonts w:ascii="Arial" w:hAnsi="Arial" w:cs="Arial"/>
          <w:bCs/>
          <w:sz w:val="21"/>
          <w:szCs w:val="21"/>
          <w:lang w:eastAsia="es-CO"/>
        </w:rPr>
      </w:pPr>
      <w:r w:rsidRPr="00BA7067">
        <w:rPr>
          <w:rFonts w:ascii="Arial" w:hAnsi="Arial" w:cs="Arial"/>
          <w:bCs/>
          <w:sz w:val="21"/>
          <w:szCs w:val="21"/>
          <w:lang w:eastAsia="es-CO"/>
        </w:rPr>
        <w:t>La jurisprudencia de la Corte Constitucional</w:t>
      </w:r>
      <w:r w:rsidRPr="00BA7067">
        <w:rPr>
          <w:rStyle w:val="Refdenotaalpie"/>
          <w:rFonts w:ascii="Arial" w:hAnsi="Arial" w:cs="Arial"/>
          <w:bCs/>
          <w:sz w:val="21"/>
          <w:szCs w:val="21"/>
          <w:lang w:eastAsia="es-CO"/>
        </w:rPr>
        <w:footnoteReference w:id="4"/>
      </w:r>
      <w:r w:rsidRPr="00BA7067">
        <w:rPr>
          <w:rFonts w:ascii="Arial" w:hAnsi="Arial" w:cs="Arial"/>
          <w:bCs/>
          <w:sz w:val="21"/>
          <w:szCs w:val="21"/>
          <w:lang w:eastAsia="es-CO"/>
        </w:rPr>
        <w:t> y del Consejo de Estado</w:t>
      </w:r>
      <w:r w:rsidRPr="00BA7067">
        <w:rPr>
          <w:rStyle w:val="Refdenotaalpie"/>
          <w:rFonts w:ascii="Arial" w:hAnsi="Arial" w:cs="Arial"/>
          <w:bCs/>
          <w:sz w:val="21"/>
          <w:szCs w:val="21"/>
          <w:lang w:eastAsia="es-CO"/>
        </w:rPr>
        <w:footnoteReference w:id="5"/>
      </w:r>
      <w:r w:rsidRPr="00BA7067">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BA7067">
        <w:rPr>
          <w:rStyle w:val="Refdenotaalpie"/>
          <w:rFonts w:ascii="Arial" w:hAnsi="Arial" w:cs="Arial"/>
          <w:bCs/>
          <w:sz w:val="21"/>
          <w:szCs w:val="21"/>
          <w:lang w:eastAsia="es-CO"/>
        </w:rPr>
        <w:footnoteReference w:id="6"/>
      </w:r>
      <w:r w:rsidRPr="00BA7067">
        <w:rPr>
          <w:rFonts w:ascii="Arial" w:hAnsi="Arial" w:cs="Arial"/>
          <w:bCs/>
          <w:sz w:val="21"/>
          <w:szCs w:val="21"/>
          <w:lang w:eastAsia="es-CO"/>
        </w:rPr>
        <w:t>.</w:t>
      </w:r>
      <w:r w:rsidRPr="00BA7067">
        <w:rPr>
          <w:rFonts w:ascii="Calibri" w:hAnsi="Calibri" w:cs="Calibri"/>
        </w:rPr>
        <w:t>»</w:t>
      </w:r>
    </w:p>
    <w:p w14:paraId="3FECA4CE" w14:textId="77777777" w:rsidR="00DB7FB0" w:rsidRPr="00BA7067" w:rsidRDefault="00DB7FB0" w:rsidP="00DB7FB0">
      <w:pPr>
        <w:ind w:right="709"/>
        <w:jc w:val="both"/>
        <w:rPr>
          <w:rFonts w:ascii="Arial" w:hAnsi="Arial" w:cs="Arial"/>
          <w:bCs/>
          <w:sz w:val="21"/>
          <w:szCs w:val="21"/>
          <w:lang w:eastAsia="es-CO"/>
        </w:rPr>
      </w:pPr>
    </w:p>
    <w:p w14:paraId="747B4B79" w14:textId="77777777" w:rsidR="00DB7FB0" w:rsidRPr="00BA7067" w:rsidRDefault="00DB7FB0" w:rsidP="00DB7FB0">
      <w:pPr>
        <w:spacing w:after="120" w:line="276" w:lineRule="auto"/>
        <w:jc w:val="both"/>
        <w:rPr>
          <w:rFonts w:ascii="Arial" w:eastAsia="Arial" w:hAnsi="Arial" w:cs="Arial"/>
          <w:sz w:val="22"/>
          <w:lang w:val="es-ES" w:eastAsia="es-ES" w:bidi="es-ES"/>
        </w:rPr>
      </w:pPr>
      <w:r w:rsidRPr="00BA7067">
        <w:rPr>
          <w:rFonts w:ascii="Arial" w:hAnsi="Arial" w:cs="Arial"/>
          <w:bCs/>
          <w:sz w:val="22"/>
          <w:lang w:eastAsia="es-CO"/>
        </w:rPr>
        <w:tab/>
        <w:t>De</w:t>
      </w:r>
      <w:r w:rsidRPr="00BA7067">
        <w:rPr>
          <w:rFonts w:ascii="Arial" w:eastAsia="Arial" w:hAnsi="Arial" w:cs="Arial"/>
          <w:sz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90B5C97" w14:textId="77777777" w:rsidR="00DB7FB0" w:rsidRPr="00BA7067" w:rsidRDefault="00DB7FB0" w:rsidP="00DB7FB0">
      <w:pPr>
        <w:spacing w:after="120" w:line="276" w:lineRule="auto"/>
        <w:ind w:firstLine="708"/>
        <w:jc w:val="both"/>
        <w:rPr>
          <w:rFonts w:ascii="Arial" w:eastAsia="Calibri" w:hAnsi="Arial" w:cs="Arial"/>
          <w:sz w:val="22"/>
        </w:rPr>
      </w:pPr>
      <w:r w:rsidRPr="00BA7067">
        <w:rPr>
          <w:rFonts w:ascii="Arial" w:eastAsia="Calibri" w:hAnsi="Arial" w:cs="Arial"/>
          <w:sz w:val="22"/>
        </w:rPr>
        <w:t xml:space="preserve">Por un lado, el artículo 33 de la Ley 996 de 2005 prohíbe </w:t>
      </w:r>
      <w:r w:rsidRPr="00BA7067">
        <w:rPr>
          <w:rFonts w:ascii="Arial" w:eastAsia="Calibri" w:hAnsi="Arial" w:cs="Arial"/>
          <w:bCs/>
          <w:sz w:val="22"/>
        </w:rPr>
        <w:t xml:space="preserve">«[…] </w:t>
      </w:r>
      <w:r w:rsidRPr="00BA7067">
        <w:rPr>
          <w:rFonts w:ascii="Arial" w:eastAsia="Calibri" w:hAnsi="Arial" w:cs="Arial"/>
          <w:sz w:val="22"/>
        </w:rPr>
        <w:t>la contratación directa por parte de todos los entes del Estado</w:t>
      </w:r>
      <w:r w:rsidRPr="00BA7067">
        <w:rPr>
          <w:rFonts w:ascii="Arial" w:eastAsia="Calibri" w:hAnsi="Arial" w:cs="Arial"/>
          <w:bCs/>
          <w:sz w:val="22"/>
        </w:rPr>
        <w:t>»</w:t>
      </w:r>
      <w:r w:rsidRPr="00BA7067">
        <w:rPr>
          <w:rFonts w:ascii="Arial" w:eastAsia="Calibri" w:hAnsi="Arial" w:cs="Arial"/>
          <w:sz w:val="22"/>
        </w:rPr>
        <w:t xml:space="preserve"> durante los cuatro (4) meses anteriores a las elecciones presidenciales, salvo </w:t>
      </w:r>
      <w:r w:rsidRPr="00BA7067">
        <w:rPr>
          <w:rFonts w:ascii="Arial" w:eastAsia="Calibri" w:hAnsi="Arial" w:cs="Arial"/>
          <w:bCs/>
          <w:sz w:val="22"/>
        </w:rPr>
        <w:t xml:space="preserve">«[…] </w:t>
      </w:r>
      <w:r w:rsidRPr="00BA7067">
        <w:rPr>
          <w:rFonts w:ascii="Arial" w:eastAsia="Calibri" w:hAnsi="Arial" w:cs="Arial"/>
          <w:sz w:val="22"/>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BA7067">
        <w:rPr>
          <w:rFonts w:ascii="Arial" w:eastAsia="Calibri" w:hAnsi="Arial" w:cs="Arial"/>
          <w:sz w:val="22"/>
        </w:rPr>
        <w:lastRenderedPageBreak/>
        <w:t>sido objeto de atentados, acciones terroristas, desastres naturales o casos de fuerza mayor, y los que deban realizar las entidades sanitarias y hospitalarias</w:t>
      </w:r>
      <w:r w:rsidRPr="00BA7067">
        <w:rPr>
          <w:rFonts w:ascii="Arial" w:eastAsia="Calibri" w:hAnsi="Arial" w:cs="Arial"/>
          <w:bCs/>
          <w:sz w:val="22"/>
        </w:rPr>
        <w:t>»</w:t>
      </w:r>
      <w:r w:rsidRPr="00BA7067">
        <w:rPr>
          <w:rFonts w:ascii="Arial" w:eastAsia="Calibri" w:hAnsi="Arial" w:cs="Arial"/>
          <w:bCs/>
          <w:sz w:val="22"/>
          <w:vertAlign w:val="superscript"/>
        </w:rPr>
        <w:footnoteReference w:id="7"/>
      </w:r>
      <w:r w:rsidRPr="00BA7067">
        <w:rPr>
          <w:rFonts w:ascii="Arial" w:eastAsia="Calibri" w:hAnsi="Arial" w:cs="Arial"/>
          <w:sz w:val="22"/>
        </w:rPr>
        <w:t>.</w:t>
      </w:r>
    </w:p>
    <w:p w14:paraId="03EBDB9C" w14:textId="72D064E5" w:rsidR="00DB7FB0" w:rsidRPr="00BA7067" w:rsidRDefault="0061713F" w:rsidP="00DB7FB0">
      <w:pPr>
        <w:widowControl w:val="0"/>
        <w:autoSpaceDE w:val="0"/>
        <w:autoSpaceDN w:val="0"/>
        <w:spacing w:line="276" w:lineRule="auto"/>
        <w:ind w:right="113" w:firstLine="708"/>
        <w:jc w:val="both"/>
        <w:rPr>
          <w:rFonts w:ascii="Arial" w:eastAsia="Arial" w:hAnsi="Arial" w:cs="Arial"/>
          <w:sz w:val="22"/>
          <w:lang w:val="es-ES" w:eastAsia="es-ES" w:bidi="es-ES"/>
        </w:rPr>
      </w:pPr>
      <w:r w:rsidRPr="00BA7067">
        <w:rPr>
          <w:rFonts w:ascii="Arial" w:eastAsia="Calibri" w:hAnsi="Arial" w:cs="Arial"/>
          <w:sz w:val="22"/>
        </w:rPr>
        <w:t>De otra</w:t>
      </w:r>
      <w:r w:rsidR="00DB7FB0" w:rsidRPr="00BA7067">
        <w:rPr>
          <w:rFonts w:ascii="Arial" w:eastAsia="Calibri" w:hAnsi="Arial" w:cs="Arial"/>
          <w:sz w:val="22"/>
        </w:rPr>
        <w:t xml:space="preserve"> </w:t>
      </w:r>
      <w:r w:rsidRPr="00BA7067">
        <w:rPr>
          <w:rFonts w:ascii="Arial" w:eastAsia="Calibri" w:hAnsi="Arial" w:cs="Arial"/>
          <w:sz w:val="22"/>
        </w:rPr>
        <w:t>parte</w:t>
      </w:r>
      <w:r w:rsidR="00DB7FB0" w:rsidRPr="00BA7067">
        <w:rPr>
          <w:rFonts w:ascii="Arial" w:eastAsia="Calibri" w:hAnsi="Arial" w:cs="Arial"/>
          <w:sz w:val="22"/>
        </w:rPr>
        <w:t xml:space="preserve">,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00DB7FB0" w:rsidRPr="00BA7067">
        <w:rPr>
          <w:rFonts w:ascii="Arial" w:eastAsia="Calibri" w:hAnsi="Arial" w:cs="Arial"/>
          <w:bCs/>
          <w:sz w:val="22"/>
        </w:rPr>
        <w:t xml:space="preserve">«[…] </w:t>
      </w:r>
      <w:r w:rsidR="00DB7FB0" w:rsidRPr="00BA7067">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DB7FB0" w:rsidRPr="00BA7067">
        <w:rPr>
          <w:rFonts w:ascii="Arial" w:eastAsia="Calibri" w:hAnsi="Arial" w:cs="Arial"/>
          <w:bCs/>
          <w:sz w:val="19"/>
          <w:szCs w:val="19"/>
        </w:rPr>
        <w:t>»</w:t>
      </w:r>
      <w:r w:rsidR="00DB7FB0" w:rsidRPr="00BA7067">
        <w:rPr>
          <w:rFonts w:ascii="Arial" w:eastAsia="Calibri" w:hAnsi="Arial" w:cs="Arial"/>
          <w:bCs/>
          <w:sz w:val="19"/>
          <w:szCs w:val="19"/>
          <w:vertAlign w:val="superscript"/>
        </w:rPr>
        <w:footnoteReference w:id="8"/>
      </w:r>
      <w:r w:rsidR="00DB7FB0" w:rsidRPr="00BA7067">
        <w:rPr>
          <w:rFonts w:ascii="Arial" w:eastAsia="Calibri" w:hAnsi="Arial" w:cs="Arial"/>
          <w:sz w:val="22"/>
        </w:rPr>
        <w:t>.</w:t>
      </w:r>
      <w:r w:rsidR="00DB7FB0" w:rsidRPr="00BA7067">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0A549F7B" w14:textId="77777777" w:rsidR="00DB7FB0" w:rsidRPr="00BA7067" w:rsidRDefault="00DB7FB0" w:rsidP="00DB7FB0">
      <w:pPr>
        <w:widowControl w:val="0"/>
        <w:autoSpaceDE w:val="0"/>
        <w:autoSpaceDN w:val="0"/>
        <w:ind w:left="805" w:right="812"/>
        <w:jc w:val="both"/>
        <w:rPr>
          <w:rFonts w:ascii="Arial" w:eastAsia="Arial" w:hAnsi="Arial" w:cs="Arial"/>
          <w:sz w:val="22"/>
          <w:lang w:val="es-ES" w:eastAsia="es-ES" w:bidi="es-ES"/>
        </w:rPr>
      </w:pPr>
    </w:p>
    <w:p w14:paraId="6B76E0D0" w14:textId="77777777" w:rsidR="00DB7FB0" w:rsidRPr="00BA7067" w:rsidRDefault="00DB7FB0" w:rsidP="00DB7FB0">
      <w:pPr>
        <w:widowControl w:val="0"/>
        <w:autoSpaceDE w:val="0"/>
        <w:autoSpaceDN w:val="0"/>
        <w:ind w:left="709" w:right="709"/>
        <w:jc w:val="both"/>
        <w:rPr>
          <w:rFonts w:ascii="Arial" w:eastAsia="Arial" w:hAnsi="Arial" w:cs="Arial"/>
          <w:sz w:val="21"/>
          <w:szCs w:val="21"/>
          <w:lang w:val="es-ES" w:eastAsia="es-ES" w:bidi="es-ES"/>
        </w:rPr>
      </w:pPr>
      <w:r w:rsidRPr="00BA7067">
        <w:rPr>
          <w:rFonts w:ascii="Arial" w:hAnsi="Arial" w:cs="Arial"/>
          <w:sz w:val="21"/>
          <w:szCs w:val="21"/>
        </w:rPr>
        <w:t>«</w:t>
      </w:r>
      <w:r w:rsidRPr="00BA7067">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BA7067">
        <w:rPr>
          <w:rFonts w:ascii="Arial" w:eastAsia="Arial" w:hAnsi="Arial" w:cs="Arial"/>
          <w:bCs/>
          <w:sz w:val="21"/>
          <w:szCs w:val="21"/>
          <w:lang w:val="es-ES" w:eastAsia="es-ES" w:bidi="es-ES"/>
        </w:rPr>
        <w:t xml:space="preserve">En cambio, para elecciones en general, excluyendo las correspondientes a </w:t>
      </w:r>
      <w:proofErr w:type="gramStart"/>
      <w:r w:rsidRPr="00BA7067">
        <w:rPr>
          <w:rFonts w:ascii="Arial" w:eastAsia="Arial" w:hAnsi="Arial" w:cs="Arial"/>
          <w:bCs/>
          <w:sz w:val="21"/>
          <w:szCs w:val="21"/>
          <w:lang w:val="es-ES" w:eastAsia="es-ES" w:bidi="es-ES"/>
        </w:rPr>
        <w:t>Presidente</w:t>
      </w:r>
      <w:proofErr w:type="gramEnd"/>
      <w:r w:rsidRPr="00BA7067">
        <w:rPr>
          <w:rFonts w:ascii="Arial" w:eastAsia="Arial" w:hAnsi="Arial" w:cs="Arial"/>
          <w:bCs/>
          <w:sz w:val="21"/>
          <w:szCs w:val="21"/>
          <w:lang w:val="es-ES" w:eastAsia="es-ES" w:bidi="es-ES"/>
        </w:rPr>
        <w:t xml:space="preserve"> de la República, a las autoridades territoriales allí mencionadas sólo se aplican las </w:t>
      </w:r>
      <w:r w:rsidRPr="00BA7067">
        <w:rPr>
          <w:rFonts w:ascii="Arial" w:eastAsia="Arial" w:hAnsi="Arial" w:cs="Arial"/>
          <w:bCs/>
          <w:sz w:val="21"/>
          <w:szCs w:val="21"/>
          <w:lang w:val="es-ES" w:eastAsia="es-ES" w:bidi="es-ES"/>
        </w:rPr>
        <w:lastRenderedPageBreak/>
        <w:t>restricciones contenidas en el parágrafo del artículo 38</w:t>
      </w:r>
      <w:r w:rsidRPr="00BA7067">
        <w:rPr>
          <w:rFonts w:ascii="Arial" w:eastAsia="Arial" w:hAnsi="Arial" w:cs="Arial"/>
          <w:sz w:val="21"/>
          <w:szCs w:val="21"/>
          <w:lang w:val="es-ES" w:eastAsia="es-ES" w:bidi="es-ES"/>
        </w:rPr>
        <w:t>.</w:t>
      </w:r>
      <w:r w:rsidRPr="00BA7067">
        <w:rPr>
          <w:rFonts w:ascii="Arial" w:eastAsia="Arial" w:hAnsi="Arial" w:cs="Arial"/>
          <w:sz w:val="21"/>
          <w:szCs w:val="21"/>
          <w:vertAlign w:val="superscript"/>
          <w:lang w:val="es-ES" w:eastAsia="es-ES" w:bidi="es-ES"/>
        </w:rPr>
        <w:footnoteReference w:id="9"/>
      </w:r>
      <w:r w:rsidRPr="00BA7067">
        <w:rPr>
          <w:rFonts w:ascii="Calibri" w:hAnsi="Calibri" w:cs="Calibri"/>
        </w:rPr>
        <w:t xml:space="preserve"> »</w:t>
      </w:r>
    </w:p>
    <w:p w14:paraId="4A9B6F11" w14:textId="77777777" w:rsidR="00DB7FB0" w:rsidRPr="00BA7067" w:rsidRDefault="00DB7FB0" w:rsidP="00DB7FB0">
      <w:pPr>
        <w:widowControl w:val="0"/>
        <w:autoSpaceDE w:val="0"/>
        <w:autoSpaceDN w:val="0"/>
        <w:spacing w:before="8"/>
        <w:jc w:val="both"/>
        <w:rPr>
          <w:rFonts w:ascii="Arial" w:eastAsia="Arial" w:hAnsi="Arial" w:cs="Arial"/>
          <w:sz w:val="22"/>
          <w:lang w:val="es-ES" w:eastAsia="es-ES" w:bidi="es-ES"/>
        </w:rPr>
      </w:pPr>
    </w:p>
    <w:p w14:paraId="4800C168" w14:textId="77777777" w:rsidR="00DB7FB0" w:rsidRPr="00BA7067" w:rsidRDefault="00DB7FB0" w:rsidP="00DB7FB0">
      <w:pPr>
        <w:spacing w:after="120" w:line="276" w:lineRule="auto"/>
        <w:ind w:firstLine="709"/>
        <w:jc w:val="both"/>
        <w:rPr>
          <w:rFonts w:ascii="Arial" w:eastAsia="Arial" w:hAnsi="Arial" w:cs="Arial"/>
          <w:sz w:val="22"/>
          <w:lang w:val="es-ES" w:eastAsia="es-ES" w:bidi="es-ES"/>
        </w:rPr>
      </w:pPr>
      <w:r w:rsidRPr="00BA7067">
        <w:rPr>
          <w:rFonts w:ascii="Arial" w:eastAsia="Arial" w:hAnsi="Arial" w:cs="Arial"/>
          <w:sz w:val="22"/>
          <w:lang w:val="es-ES" w:eastAsia="es-ES" w:bidi="es-ES"/>
        </w:rPr>
        <w:t xml:space="preserve">De conformidad con lo anterior, la Ley 996 de 2005 establece dos (2) tipos de restricciones en materia de contratación, las cuales coinciden parcialmente. </w:t>
      </w:r>
      <w:r w:rsidRPr="00BA7067">
        <w:rPr>
          <w:rFonts w:ascii="Arial" w:eastAsia="Arial" w:hAnsi="Arial" w:cs="Arial"/>
          <w:i/>
          <w:iCs/>
          <w:sz w:val="22"/>
          <w:lang w:val="es-ES" w:eastAsia="es-ES" w:bidi="es-ES"/>
        </w:rPr>
        <w:t>En primer lugar</w:t>
      </w:r>
      <w:r w:rsidRPr="00BA7067">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BA7067">
        <w:rPr>
          <w:rFonts w:ascii="Arial" w:eastAsia="Arial" w:hAnsi="Arial" w:cs="Arial"/>
          <w:i/>
          <w:iCs/>
          <w:sz w:val="22"/>
          <w:lang w:val="es-ES" w:eastAsia="es-ES" w:bidi="es-ES"/>
        </w:rPr>
        <w:t>En segundo lugar</w:t>
      </w:r>
      <w:r w:rsidRPr="00BA7067">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600891A4" w14:textId="77777777" w:rsidR="00DB7FB0" w:rsidRPr="00BA7067" w:rsidRDefault="00DB7FB0" w:rsidP="00DB7FB0">
      <w:pPr>
        <w:spacing w:after="120" w:line="276" w:lineRule="auto"/>
        <w:ind w:firstLine="709"/>
        <w:jc w:val="both"/>
        <w:rPr>
          <w:rFonts w:ascii="Arial" w:eastAsia="Arial" w:hAnsi="Arial" w:cs="Arial"/>
          <w:sz w:val="22"/>
          <w:lang w:val="es-ES" w:eastAsia="es-ES" w:bidi="es-ES"/>
        </w:rPr>
      </w:pPr>
      <w:r w:rsidRPr="00BA7067">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BA7067">
        <w:rPr>
          <w:rFonts w:ascii="Arial" w:eastAsia="Arial" w:hAnsi="Arial" w:cs="Arial"/>
          <w:sz w:val="22"/>
          <w:lang w:val="es-ES" w:eastAsia="es-ES" w:bidi="es-ES"/>
        </w:rPr>
        <w:t>Presidente</w:t>
      </w:r>
      <w:proofErr w:type="gramEnd"/>
      <w:r w:rsidRPr="00BA7067">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BA7067">
        <w:rPr>
          <w:rFonts w:ascii="Arial" w:eastAsia="Arial" w:hAnsi="Arial" w:cs="Arial"/>
          <w:sz w:val="22"/>
          <w:lang w:val="es-ES" w:eastAsia="es-ES" w:bidi="es-ES"/>
        </w:rPr>
        <w:t>Presidente</w:t>
      </w:r>
      <w:proofErr w:type="gramEnd"/>
      <w:r w:rsidRPr="00BA7067">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p w14:paraId="43C818C5" w14:textId="77777777" w:rsidR="00DB7FB0" w:rsidRPr="00BA7067" w:rsidRDefault="00DB7FB0" w:rsidP="00DB7FB0">
      <w:pPr>
        <w:spacing w:line="276" w:lineRule="auto"/>
        <w:ind w:firstLine="708"/>
        <w:jc w:val="both"/>
        <w:rPr>
          <w:rFonts w:ascii="Arial" w:eastAsia="Arial" w:hAnsi="Arial" w:cs="Arial"/>
          <w:sz w:val="22"/>
          <w:lang w:val="es-ES" w:eastAsia="es-ES" w:bidi="es-ES"/>
        </w:rPr>
      </w:pPr>
      <w:r w:rsidRPr="00BA7067">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BA7067">
        <w:rPr>
          <w:rFonts w:ascii="Arial" w:eastAsia="Arial" w:hAnsi="Arial" w:cs="Arial"/>
          <w:sz w:val="22"/>
          <w:lang w:val="es-ES" w:eastAsia="es-ES" w:bidi="es-ES"/>
        </w:rPr>
        <w:t>Presidente</w:t>
      </w:r>
      <w:proofErr w:type="gramEnd"/>
      <w:r w:rsidRPr="00BA7067">
        <w:rPr>
          <w:rFonts w:ascii="Arial" w:eastAsia="Arial" w:hAnsi="Arial" w:cs="Arial"/>
          <w:sz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5E44689E" w14:textId="3E0D3D8E" w:rsidR="002521B6" w:rsidRPr="00BA7067" w:rsidRDefault="002521B6" w:rsidP="00C03133">
      <w:pPr>
        <w:spacing w:line="276" w:lineRule="auto"/>
        <w:jc w:val="both"/>
        <w:rPr>
          <w:rFonts w:ascii="Arial" w:hAnsi="Arial" w:cs="Arial"/>
          <w:bCs/>
          <w:sz w:val="22"/>
          <w:lang w:val="es-ES" w:eastAsia="es-CO"/>
        </w:rPr>
      </w:pPr>
    </w:p>
    <w:p w14:paraId="016E5BD4" w14:textId="6E91BC0D" w:rsidR="002521B6" w:rsidRPr="00BA7067" w:rsidRDefault="002521B6" w:rsidP="00C03133">
      <w:pPr>
        <w:spacing w:line="276" w:lineRule="auto"/>
        <w:jc w:val="both"/>
        <w:rPr>
          <w:rFonts w:ascii="Arial" w:hAnsi="Arial" w:cs="Arial"/>
          <w:b/>
          <w:sz w:val="22"/>
          <w:lang w:val="es-ES" w:eastAsia="es-CO"/>
        </w:rPr>
      </w:pPr>
      <w:r w:rsidRPr="00BA7067">
        <w:rPr>
          <w:rFonts w:ascii="Arial" w:hAnsi="Arial" w:cs="Arial"/>
          <w:b/>
          <w:sz w:val="22"/>
          <w:lang w:val="es-ES" w:eastAsia="es-CO"/>
        </w:rPr>
        <w:t xml:space="preserve">2.2. </w:t>
      </w:r>
      <w:r w:rsidR="00D34895" w:rsidRPr="00BA7067">
        <w:rPr>
          <w:rFonts w:ascii="Arial" w:hAnsi="Arial" w:cs="Arial"/>
          <w:b/>
          <w:sz w:val="22"/>
          <w:lang w:val="es-ES" w:eastAsia="es-CO"/>
        </w:rPr>
        <w:t xml:space="preserve">Restricciones en elecciones presidenciales </w:t>
      </w:r>
    </w:p>
    <w:p w14:paraId="01C5931C" w14:textId="77777777" w:rsidR="002521B6" w:rsidRPr="00BA7067" w:rsidRDefault="002521B6" w:rsidP="00C03133">
      <w:pPr>
        <w:spacing w:line="276" w:lineRule="auto"/>
        <w:jc w:val="both"/>
        <w:rPr>
          <w:rFonts w:ascii="Arial" w:hAnsi="Arial" w:cs="Arial"/>
          <w:bCs/>
          <w:sz w:val="22"/>
          <w:lang w:eastAsia="x-none"/>
        </w:rPr>
      </w:pPr>
    </w:p>
    <w:p w14:paraId="13A94A67" w14:textId="77777777" w:rsidR="002521B6" w:rsidRPr="00BA7067" w:rsidRDefault="002521B6" w:rsidP="00C03133">
      <w:pPr>
        <w:spacing w:line="276" w:lineRule="auto"/>
        <w:jc w:val="both"/>
        <w:rPr>
          <w:rFonts w:ascii="Arial" w:hAnsi="Arial" w:cs="Arial"/>
          <w:bCs/>
          <w:sz w:val="22"/>
          <w:lang w:eastAsia="es-CO"/>
        </w:rPr>
      </w:pPr>
      <w:r w:rsidRPr="00BA7067">
        <w:rPr>
          <w:rFonts w:ascii="Arial" w:hAnsi="Arial" w:cs="Arial"/>
          <w:bCs/>
          <w:sz w:val="22"/>
          <w:lang w:eastAsia="x-none"/>
        </w:rPr>
        <w:lastRenderedPageBreak/>
        <w:t xml:space="preserve">El ámbito material de la prohibición contenida </w:t>
      </w:r>
      <w:bookmarkStart w:id="8" w:name="_Hlk75628761"/>
      <w:r w:rsidRPr="00BA7067">
        <w:rPr>
          <w:rFonts w:ascii="Arial" w:hAnsi="Arial" w:cs="Arial"/>
          <w:bCs/>
          <w:sz w:val="22"/>
          <w:lang w:eastAsia="x-none"/>
        </w:rPr>
        <w:t xml:space="preserve">en el artículo 33 de la ley 996 de 2005 </w:t>
      </w:r>
      <w:bookmarkEnd w:id="8"/>
      <w:r w:rsidRPr="00BA7067">
        <w:rPr>
          <w:rFonts w:ascii="Arial" w:hAnsi="Arial" w:cs="Arial"/>
          <w:bCs/>
          <w:sz w:val="22"/>
          <w:lang w:eastAsia="x-none"/>
        </w:rPr>
        <w:t xml:space="preserve">está delimitado por la expresión </w:t>
      </w:r>
      <w:r w:rsidRPr="00BA7067">
        <w:rPr>
          <w:rFonts w:ascii="Arial" w:eastAsia="Calibri" w:hAnsi="Arial" w:cs="Arial"/>
          <w:bCs/>
          <w:sz w:val="20"/>
          <w:szCs w:val="20"/>
        </w:rPr>
        <w:t>«</w:t>
      </w:r>
      <w:r w:rsidRPr="00BA7067">
        <w:rPr>
          <w:rFonts w:ascii="Arial" w:hAnsi="Arial" w:cs="Arial"/>
          <w:bCs/>
          <w:sz w:val="22"/>
          <w:lang w:eastAsia="x-none"/>
        </w:rPr>
        <w:t>queda prohibida la contratación directa</w:t>
      </w:r>
      <w:r w:rsidRPr="00BA7067">
        <w:rPr>
          <w:rFonts w:ascii="Arial" w:hAnsi="Arial" w:cs="Arial"/>
          <w:sz w:val="20"/>
          <w:szCs w:val="20"/>
        </w:rPr>
        <w:t>»</w:t>
      </w:r>
      <w:r w:rsidRPr="00BA7067">
        <w:rPr>
          <w:rFonts w:ascii="Arial" w:hAnsi="Arial" w:cs="Arial"/>
          <w:bCs/>
          <w:sz w:val="22"/>
          <w:lang w:eastAsia="x-none"/>
        </w:rPr>
        <w:t xml:space="preserve">. </w:t>
      </w:r>
      <w:r w:rsidRPr="00BA7067">
        <w:rPr>
          <w:rFonts w:ascii="Arial" w:hAnsi="Arial" w:cs="Arial"/>
          <w:sz w:val="22"/>
          <w:lang w:eastAsia="es-CO"/>
        </w:rPr>
        <w:t>A propósito de esta restricción de la Ley de Garantías Electorales, la Sala de Consulta y Servicio Civil del Consejo de Estado ha considerado que:</w:t>
      </w:r>
    </w:p>
    <w:p w14:paraId="60981D5B" w14:textId="77777777" w:rsidR="002521B6" w:rsidRPr="00BA7067" w:rsidRDefault="002521B6" w:rsidP="002521B6">
      <w:pPr>
        <w:ind w:left="708" w:right="709"/>
        <w:jc w:val="both"/>
        <w:rPr>
          <w:rFonts w:ascii="Arial" w:hAnsi="Arial" w:cs="Arial"/>
          <w:sz w:val="21"/>
          <w:szCs w:val="21"/>
        </w:rPr>
      </w:pPr>
    </w:p>
    <w:p w14:paraId="46AB05A3" w14:textId="77777777" w:rsidR="002521B6" w:rsidRPr="00BA7067" w:rsidRDefault="002521B6" w:rsidP="002521B6">
      <w:pPr>
        <w:spacing w:after="120"/>
        <w:ind w:left="709" w:right="709"/>
        <w:jc w:val="both"/>
        <w:rPr>
          <w:rFonts w:ascii="Arial" w:hAnsi="Arial" w:cs="Arial"/>
          <w:sz w:val="21"/>
          <w:szCs w:val="21"/>
        </w:rPr>
      </w:pPr>
      <w:r w:rsidRPr="00BA7067">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BA7067">
        <w:rPr>
          <w:rFonts w:ascii="Arial" w:hAnsi="Arial" w:cs="Arial"/>
          <w:sz w:val="21"/>
          <w:szCs w:val="21"/>
          <w:vertAlign w:val="superscript"/>
          <w:lang w:eastAsia="es-CO"/>
        </w:rPr>
        <w:footnoteReference w:id="10"/>
      </w:r>
      <w:r w:rsidRPr="00BA7067">
        <w:rPr>
          <w:rFonts w:ascii="Arial" w:hAnsi="Arial" w:cs="Arial"/>
          <w:sz w:val="21"/>
          <w:szCs w:val="21"/>
        </w:rPr>
        <w:t>.</w:t>
      </w:r>
    </w:p>
    <w:p w14:paraId="2A040AA5" w14:textId="417D14F8" w:rsidR="002521B6" w:rsidRPr="00BA7067" w:rsidRDefault="002521B6" w:rsidP="002521B6">
      <w:pPr>
        <w:ind w:left="708" w:right="709"/>
        <w:jc w:val="both"/>
        <w:rPr>
          <w:rFonts w:ascii="Arial" w:hAnsi="Arial" w:cs="Arial"/>
          <w:sz w:val="21"/>
          <w:szCs w:val="21"/>
        </w:rPr>
      </w:pPr>
      <w:r w:rsidRPr="00BA7067">
        <w:rPr>
          <w:rFonts w:ascii="Arial" w:hAnsi="Arial" w:cs="Arial"/>
          <w:sz w:val="21"/>
          <w:szCs w:val="21"/>
        </w:rPr>
        <w:t>Esta Sala ha entendido que</w:t>
      </w:r>
      <w:r w:rsidR="00376C6C" w:rsidRPr="00BA7067">
        <w:rPr>
          <w:rFonts w:ascii="Arial" w:hAnsi="Arial" w:cs="Arial"/>
          <w:sz w:val="21"/>
          <w:szCs w:val="21"/>
        </w:rPr>
        <w:t>,</w:t>
      </w:r>
      <w:r w:rsidRPr="00BA7067">
        <w:rPr>
          <w:rFonts w:ascii="Arial" w:hAnsi="Arial" w:cs="Arial"/>
          <w:sz w:val="21"/>
          <w:szCs w:val="21"/>
        </w:rPr>
        <w:t xml:space="preserve"> para los efectos de la ley de garantías, y dada su finalidad, el enunciado ´contratación directa´ es sinónimo </w:t>
      </w:r>
      <w:bookmarkStart w:id="11" w:name="_Hlk75741738"/>
      <w:r w:rsidRPr="00BA7067">
        <w:rPr>
          <w:rFonts w:ascii="Arial" w:hAnsi="Arial" w:cs="Arial"/>
          <w:sz w:val="21"/>
          <w:szCs w:val="21"/>
        </w:rPr>
        <w:t xml:space="preserve">de cualquier sistema que no implique convocatoria pública y posibilidad de pluralidad de oferentes, </w:t>
      </w:r>
      <w:bookmarkEnd w:id="11"/>
      <w:r w:rsidRPr="00BA7067">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BA7067">
        <w:rPr>
          <w:rFonts w:ascii="Arial" w:hAnsi="Arial" w:cs="Arial"/>
          <w:sz w:val="21"/>
          <w:szCs w:val="21"/>
          <w:vertAlign w:val="superscript"/>
        </w:rPr>
        <w:footnoteReference w:id="11"/>
      </w:r>
      <w:r w:rsidRPr="00BA7067">
        <w:rPr>
          <w:rFonts w:ascii="Arial" w:hAnsi="Arial" w:cs="Arial"/>
          <w:sz w:val="21"/>
          <w:szCs w:val="21"/>
          <w:vertAlign w:val="superscript"/>
        </w:rPr>
        <w:t>.</w:t>
      </w:r>
      <w:r w:rsidRPr="00BA7067">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BA7067">
        <w:rPr>
          <w:rFonts w:ascii="Arial" w:hAnsi="Arial" w:cs="Arial"/>
          <w:sz w:val="21"/>
          <w:szCs w:val="21"/>
          <w:vertAlign w:val="superscript"/>
          <w:lang w:eastAsia="es-CO"/>
        </w:rPr>
        <w:footnoteReference w:id="12"/>
      </w:r>
      <w:r w:rsidRPr="00BA7067">
        <w:rPr>
          <w:rFonts w:ascii="Arial" w:hAnsi="Arial" w:cs="Arial"/>
          <w:sz w:val="21"/>
          <w:szCs w:val="21"/>
        </w:rPr>
        <w:t xml:space="preserve"> .</w:t>
      </w:r>
      <w:r w:rsidRPr="00BA7067">
        <w:rPr>
          <w:rFonts w:ascii="Calibri" w:hAnsi="Calibri" w:cs="Calibri"/>
        </w:rPr>
        <w:t xml:space="preserve"> »</w:t>
      </w:r>
    </w:p>
    <w:p w14:paraId="781919E7" w14:textId="77777777" w:rsidR="002521B6" w:rsidRPr="00BA7067" w:rsidRDefault="002521B6" w:rsidP="002521B6">
      <w:pPr>
        <w:shd w:val="clear" w:color="auto" w:fill="FFFFFF"/>
        <w:ind w:firstLine="709"/>
        <w:jc w:val="both"/>
        <w:rPr>
          <w:rFonts w:ascii="Arial" w:hAnsi="Arial" w:cs="Arial"/>
          <w:sz w:val="22"/>
          <w:lang w:eastAsia="x-none"/>
        </w:rPr>
      </w:pPr>
    </w:p>
    <w:p w14:paraId="7603BB6F" w14:textId="77777777" w:rsidR="002521B6" w:rsidRPr="00BA7067" w:rsidRDefault="002521B6" w:rsidP="00880346">
      <w:pPr>
        <w:spacing w:after="120" w:line="276" w:lineRule="auto"/>
        <w:ind w:firstLine="708"/>
        <w:jc w:val="both"/>
        <w:rPr>
          <w:rFonts w:ascii="Arial" w:hAnsi="Arial" w:cs="Arial"/>
          <w:bCs/>
          <w:sz w:val="22"/>
          <w:lang w:eastAsia="x-none"/>
        </w:rPr>
      </w:pPr>
      <w:r w:rsidRPr="00BA7067">
        <w:rPr>
          <w:rFonts w:ascii="Arial" w:hAnsi="Arial" w:cs="Arial"/>
          <w:sz w:val="22"/>
          <w:lang w:eastAsia="x-none"/>
        </w:rPr>
        <w:t xml:space="preserve">De conformidad con el citado concepto, </w:t>
      </w:r>
      <w:bookmarkStart w:id="13" w:name="_Hlk78818702"/>
      <w:r w:rsidRPr="00BA7067">
        <w:rPr>
          <w:rFonts w:ascii="Arial" w:hAnsi="Arial" w:cs="Arial"/>
          <w:sz w:val="22"/>
          <w:lang w:eastAsia="x-none"/>
        </w:rPr>
        <w:t xml:space="preserve">la prohibición del artículo 33 de la Ley de Garantías Electorales se refiere a </w:t>
      </w:r>
      <w:bookmarkStart w:id="14" w:name="_Hlk74294635"/>
      <w:r w:rsidRPr="00BA7067">
        <w:rPr>
          <w:rFonts w:ascii="Arial" w:hAnsi="Arial" w:cs="Arial"/>
          <w:sz w:val="19"/>
          <w:szCs w:val="19"/>
        </w:rPr>
        <w:t>«</w:t>
      </w:r>
      <w:bookmarkEnd w:id="14"/>
      <w:r w:rsidRPr="00BA7067">
        <w:rPr>
          <w:rFonts w:ascii="Arial" w:hAnsi="Arial" w:cs="Arial"/>
          <w:sz w:val="22"/>
          <w:lang w:eastAsia="x-none"/>
        </w:rPr>
        <w:t>cualquier sistema que no implique convocatoria pública y posibilidad de pluralidad de oferentes</w:t>
      </w:r>
      <w:bookmarkStart w:id="15" w:name="_Hlk74404754"/>
      <w:r w:rsidRPr="00BA7067">
        <w:rPr>
          <w:rFonts w:ascii="Arial" w:hAnsi="Arial" w:cs="Arial"/>
          <w:sz w:val="22"/>
        </w:rPr>
        <w:t>»</w:t>
      </w:r>
      <w:bookmarkEnd w:id="15"/>
      <w:r w:rsidRPr="00BA7067">
        <w:rPr>
          <w:rFonts w:ascii="Arial" w:hAnsi="Arial" w:cs="Arial"/>
          <w:sz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13"/>
      <w:r w:rsidRPr="00BA7067">
        <w:rPr>
          <w:rFonts w:ascii="Arial" w:hAnsi="Arial" w:cs="Arial"/>
          <w:sz w:val="22"/>
          <w:lang w:eastAsia="x-none"/>
        </w:rPr>
        <w:t>Esta posición es congruente con la expedición de la Ley 1150 de 2007 que, entre otras reformas, introdujo la selección abreviada, rediseñó el concurso de méritos</w:t>
      </w:r>
      <w:r w:rsidRPr="00BA7067">
        <w:rPr>
          <w:rFonts w:ascii="Arial" w:hAnsi="Arial" w:cs="Arial"/>
          <w:sz w:val="22"/>
          <w:vertAlign w:val="superscript"/>
          <w:lang w:val="en-GB" w:eastAsia="x-none"/>
        </w:rPr>
        <w:footnoteReference w:id="13"/>
      </w:r>
      <w:r w:rsidRPr="00BA7067">
        <w:rPr>
          <w:rFonts w:ascii="Arial" w:hAnsi="Arial" w:cs="Arial"/>
          <w:sz w:val="22"/>
          <w:lang w:eastAsia="x-none"/>
        </w:rPr>
        <w:t xml:space="preserve"> y sistematizó las causales de contratación directa</w:t>
      </w:r>
      <w:r w:rsidRPr="00BA7067">
        <w:rPr>
          <w:rFonts w:ascii="Arial" w:hAnsi="Arial" w:cs="Arial"/>
          <w:sz w:val="22"/>
          <w:vertAlign w:val="superscript"/>
          <w:lang w:val="en-GB" w:eastAsia="x-none"/>
        </w:rPr>
        <w:footnoteReference w:id="14"/>
      </w:r>
      <w:r w:rsidRPr="00BA7067">
        <w:rPr>
          <w:rFonts w:ascii="Arial" w:hAnsi="Arial" w:cs="Arial"/>
          <w:sz w:val="22"/>
          <w:lang w:eastAsia="x-none"/>
        </w:rPr>
        <w:t xml:space="preserve">. </w:t>
      </w:r>
    </w:p>
    <w:p w14:paraId="083A8FBB" w14:textId="77777777" w:rsidR="002521B6" w:rsidRPr="00BA7067" w:rsidRDefault="002521B6" w:rsidP="00D8152F">
      <w:pPr>
        <w:spacing w:after="120" w:line="276" w:lineRule="auto"/>
        <w:ind w:firstLine="708"/>
        <w:jc w:val="both"/>
        <w:rPr>
          <w:rFonts w:ascii="Arial" w:hAnsi="Arial" w:cs="Arial"/>
          <w:sz w:val="22"/>
          <w:lang w:eastAsia="x-none"/>
        </w:rPr>
      </w:pPr>
      <w:r w:rsidRPr="00BA7067">
        <w:rPr>
          <w:rFonts w:ascii="Arial" w:hAnsi="Arial" w:cs="Arial"/>
          <w:sz w:val="22"/>
          <w:lang w:eastAsia="x-none"/>
        </w:rPr>
        <w:lastRenderedPageBreak/>
        <w:t xml:space="preserve">De esta forma, con fundamento en la evolución de la normativa sobre la contratación pública, se ha depurado la noción de </w:t>
      </w:r>
      <w:r w:rsidRPr="00BA7067">
        <w:rPr>
          <w:rFonts w:ascii="Arial" w:hAnsi="Arial" w:cs="Arial"/>
          <w:sz w:val="19"/>
          <w:szCs w:val="19"/>
        </w:rPr>
        <w:t>«</w:t>
      </w:r>
      <w:r w:rsidRPr="00BA7067">
        <w:rPr>
          <w:rFonts w:ascii="Arial" w:hAnsi="Arial" w:cs="Arial"/>
          <w:sz w:val="22"/>
          <w:lang w:eastAsia="x-none"/>
        </w:rPr>
        <w:t>contratación directa</w:t>
      </w:r>
      <w:r w:rsidRPr="00BA7067">
        <w:rPr>
          <w:rFonts w:ascii="Arial" w:hAnsi="Arial" w:cs="Arial"/>
          <w:sz w:val="22"/>
        </w:rPr>
        <w:t>»</w:t>
      </w:r>
      <w:r w:rsidRPr="00BA7067">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BA7067">
        <w:rPr>
          <w:rFonts w:ascii="Arial" w:hAnsi="Arial" w:cs="Arial"/>
          <w:sz w:val="22"/>
          <w:vertAlign w:val="superscript"/>
          <w:lang w:val="en-GB" w:eastAsia="x-none"/>
        </w:rPr>
        <w:footnoteReference w:id="15"/>
      </w:r>
      <w:r w:rsidRPr="00BA7067">
        <w:rPr>
          <w:rFonts w:ascii="Arial" w:hAnsi="Arial" w:cs="Arial"/>
          <w:sz w:val="22"/>
          <w:lang w:eastAsia="x-none"/>
        </w:rPr>
        <w:t>, han establecido sistemas de contratación que implican convocatoria pública y participación de varios oferentes</w:t>
      </w:r>
      <w:r w:rsidRPr="00BA7067">
        <w:rPr>
          <w:rFonts w:ascii="Arial" w:hAnsi="Arial" w:cs="Arial"/>
          <w:sz w:val="22"/>
        </w:rPr>
        <w:t>»</w:t>
      </w:r>
      <w:r w:rsidRPr="00BA7067">
        <w:rPr>
          <w:rFonts w:ascii="Arial" w:hAnsi="Arial" w:cs="Arial"/>
          <w:sz w:val="22"/>
          <w:lang w:eastAsia="x-none"/>
        </w:rPr>
        <w:t xml:space="preserve">. </w:t>
      </w:r>
    </w:p>
    <w:p w14:paraId="49A8BCE5" w14:textId="77777777" w:rsidR="002521B6" w:rsidRPr="00BA7067" w:rsidRDefault="002521B6" w:rsidP="00D8152F">
      <w:pPr>
        <w:spacing w:after="120" w:line="276" w:lineRule="auto"/>
        <w:ind w:firstLine="708"/>
        <w:jc w:val="both"/>
        <w:rPr>
          <w:rFonts w:ascii="Arial" w:hAnsi="Arial" w:cs="Arial"/>
          <w:bCs/>
          <w:sz w:val="22"/>
          <w:lang w:eastAsia="es-CO"/>
        </w:rPr>
      </w:pPr>
      <w:r w:rsidRPr="00BA7067">
        <w:rPr>
          <w:rFonts w:ascii="Arial" w:hAnsi="Arial" w:cs="Arial"/>
          <w:bCs/>
          <w:sz w:val="22"/>
          <w:lang w:eastAsia="x-none"/>
        </w:rPr>
        <w:t>E</w:t>
      </w:r>
      <w:r w:rsidRPr="00BA7067">
        <w:rPr>
          <w:rFonts w:ascii="Arial" w:hAnsi="Arial" w:cs="Arial"/>
          <w:sz w:val="22"/>
          <w:lang w:eastAsia="x-none"/>
        </w:rPr>
        <w:t xml:space="preserve">n efecto, vale la pena mencionar que, </w:t>
      </w:r>
      <w:bookmarkStart w:id="17" w:name="_Hlk75636073"/>
      <w:r w:rsidRPr="00BA7067">
        <w:rPr>
          <w:rFonts w:ascii="Arial" w:hAnsi="Arial" w:cs="Arial"/>
          <w:sz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17"/>
      <w:r w:rsidRPr="00BA7067">
        <w:rPr>
          <w:rFonts w:ascii="Arial" w:hAnsi="Arial" w:cs="Arial"/>
          <w:sz w:val="22"/>
          <w:vertAlign w:val="superscript"/>
          <w:lang w:eastAsia="x-none"/>
        </w:rPr>
        <w:footnoteReference w:id="16"/>
      </w:r>
      <w:r w:rsidRPr="00BA7067">
        <w:rPr>
          <w:rFonts w:ascii="Arial" w:hAnsi="Arial" w:cs="Arial"/>
          <w:sz w:val="22"/>
          <w:lang w:eastAsia="x-none"/>
        </w:rPr>
        <w:t xml:space="preserve">. </w:t>
      </w:r>
    </w:p>
    <w:p w14:paraId="69636D5D" w14:textId="77777777" w:rsidR="002521B6" w:rsidRPr="00BA7067" w:rsidRDefault="002521B6" w:rsidP="00880346">
      <w:pPr>
        <w:spacing w:after="120" w:line="276" w:lineRule="auto"/>
        <w:ind w:firstLine="708"/>
        <w:jc w:val="both"/>
        <w:rPr>
          <w:rFonts w:ascii="Arial" w:hAnsi="Arial" w:cs="Arial"/>
          <w:bCs/>
          <w:sz w:val="22"/>
          <w:lang w:eastAsia="es-CO"/>
        </w:rPr>
      </w:pPr>
      <w:r w:rsidRPr="00BA7067">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6677043" w14:textId="77777777" w:rsidR="002521B6" w:rsidRPr="00BA7067" w:rsidRDefault="002521B6" w:rsidP="00880346">
      <w:pPr>
        <w:spacing w:after="120" w:line="276" w:lineRule="auto"/>
        <w:ind w:firstLine="708"/>
        <w:jc w:val="both"/>
        <w:rPr>
          <w:rFonts w:ascii="Arial" w:hAnsi="Arial" w:cs="Arial"/>
          <w:bCs/>
          <w:sz w:val="22"/>
          <w:lang w:eastAsia="x-none"/>
        </w:rPr>
      </w:pPr>
      <w:bookmarkStart w:id="18" w:name="_Hlk78818796"/>
      <w:r w:rsidRPr="00BA7067">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BA7067">
        <w:rPr>
          <w:rFonts w:ascii="Arial" w:hAnsi="Arial" w:cs="Arial"/>
          <w:sz w:val="22"/>
          <w:vertAlign w:val="superscript"/>
          <w:lang w:eastAsia="x-none"/>
        </w:rPr>
        <w:footnoteReference w:id="17"/>
      </w:r>
      <w:r w:rsidRPr="00BA7067">
        <w:rPr>
          <w:rFonts w:ascii="Arial" w:hAnsi="Arial" w:cs="Arial"/>
          <w:bCs/>
          <w:sz w:val="22"/>
          <w:lang w:eastAsia="x-none"/>
        </w:rPr>
        <w:t>.</w:t>
      </w:r>
      <w:r w:rsidRPr="00BA7067">
        <w:rPr>
          <w:rFonts w:ascii="Arial" w:hAnsi="Arial" w:cs="Arial"/>
          <w:sz w:val="22"/>
          <w:vertAlign w:val="superscript"/>
          <w:lang w:eastAsia="x-none"/>
        </w:rPr>
        <w:t xml:space="preserve"> </w:t>
      </w:r>
    </w:p>
    <w:bookmarkEnd w:id="18"/>
    <w:p w14:paraId="694A8E42" w14:textId="77777777" w:rsidR="002521B6" w:rsidRPr="00BA7067" w:rsidRDefault="002521B6" w:rsidP="00880346">
      <w:pPr>
        <w:spacing w:after="120" w:line="276" w:lineRule="auto"/>
        <w:ind w:firstLine="708"/>
        <w:jc w:val="both"/>
        <w:rPr>
          <w:rFonts w:ascii="Arial" w:hAnsi="Arial" w:cs="Arial"/>
          <w:sz w:val="22"/>
          <w:lang w:eastAsia="x-none"/>
        </w:rPr>
      </w:pPr>
      <w:r w:rsidRPr="00BA7067">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BA7067">
        <w:rPr>
          <w:rFonts w:ascii="Arial" w:hAnsi="Arial" w:cs="Arial"/>
          <w:sz w:val="22"/>
          <w:lang w:eastAsia="x-none"/>
        </w:rPr>
        <w:t xml:space="preserve"> Por tanto, no son materia de la prohibición las demás modalidades de selección previstas en la Ley 1150 de 2007, es decir, la licitación </w:t>
      </w:r>
      <w:r w:rsidRPr="00BA7067">
        <w:rPr>
          <w:rFonts w:ascii="Arial" w:hAnsi="Arial" w:cs="Arial"/>
          <w:sz w:val="22"/>
          <w:lang w:eastAsia="x-none"/>
        </w:rPr>
        <w:lastRenderedPageBreak/>
        <w:t>pública, el concurso de méritos y la selección abreviada, razón por la cual en ese período preelectoral de que trata la disposición pueden las entidades públicas seguir contratando bajo estos sistemas.</w:t>
      </w:r>
    </w:p>
    <w:p w14:paraId="6C406499" w14:textId="77777777" w:rsidR="002521B6" w:rsidRPr="00BA7067" w:rsidRDefault="002521B6" w:rsidP="00880346">
      <w:pPr>
        <w:spacing w:after="120" w:line="276" w:lineRule="auto"/>
        <w:ind w:firstLine="708"/>
        <w:jc w:val="both"/>
        <w:rPr>
          <w:rFonts w:ascii="Arial" w:hAnsi="Arial" w:cs="Arial"/>
          <w:bCs/>
          <w:sz w:val="22"/>
          <w:lang w:eastAsia="es-CO"/>
        </w:rPr>
      </w:pPr>
      <w:r w:rsidRPr="00BA7067">
        <w:rPr>
          <w:rFonts w:ascii="Arial" w:hAnsi="Arial" w:cs="Arial"/>
          <w:bCs/>
          <w:sz w:val="22"/>
          <w:lang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BA7067">
        <w:rPr>
          <w:rFonts w:ascii="Arial" w:hAnsi="Arial" w:cs="Arial"/>
          <w:bCs/>
          <w:sz w:val="22"/>
          <w:lang w:eastAsia="x-none"/>
        </w:rPr>
        <w:t>ii</w:t>
      </w:r>
      <w:proofErr w:type="spellEnd"/>
      <w:r w:rsidRPr="00BA7067">
        <w:rPr>
          <w:rFonts w:ascii="Arial" w:hAnsi="Arial" w:cs="Arial"/>
          <w:bCs/>
          <w:sz w:val="22"/>
          <w:lang w:eastAsia="x-none"/>
        </w:rPr>
        <w:t xml:space="preserve">) los contratos de crédito público; </w:t>
      </w:r>
      <w:proofErr w:type="spellStart"/>
      <w:r w:rsidRPr="00BA7067">
        <w:rPr>
          <w:rFonts w:ascii="Arial" w:hAnsi="Arial" w:cs="Arial"/>
          <w:bCs/>
          <w:sz w:val="22"/>
          <w:lang w:eastAsia="x-none"/>
        </w:rPr>
        <w:t>iii</w:t>
      </w:r>
      <w:proofErr w:type="spellEnd"/>
      <w:r w:rsidRPr="00BA7067">
        <w:rPr>
          <w:rFonts w:ascii="Arial" w:hAnsi="Arial" w:cs="Arial"/>
          <w:bCs/>
          <w:sz w:val="22"/>
          <w:lang w:eastAsia="x-none"/>
        </w:rPr>
        <w:t xml:space="preserve">) los requeridos para cubrir las emergencias educativas, sanitarias y desastres; </w:t>
      </w:r>
      <w:proofErr w:type="spellStart"/>
      <w:r w:rsidRPr="00BA7067">
        <w:rPr>
          <w:rFonts w:ascii="Arial" w:hAnsi="Arial" w:cs="Arial"/>
          <w:bCs/>
          <w:sz w:val="22"/>
          <w:lang w:eastAsia="x-none"/>
        </w:rPr>
        <w:t>iv</w:t>
      </w:r>
      <w:proofErr w:type="spellEnd"/>
      <w:r w:rsidRPr="00BA7067">
        <w:rPr>
          <w:rFonts w:ascii="Arial"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BA7067">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D602DA0" w14:textId="77777777" w:rsidR="002521B6" w:rsidRPr="00BA7067" w:rsidRDefault="002521B6" w:rsidP="00880346">
      <w:pPr>
        <w:spacing w:line="276" w:lineRule="auto"/>
        <w:ind w:firstLine="708"/>
        <w:jc w:val="both"/>
        <w:rPr>
          <w:rFonts w:ascii="Arial" w:hAnsi="Arial" w:cs="Arial"/>
          <w:bCs/>
          <w:sz w:val="22"/>
          <w:lang w:eastAsia="x-none"/>
        </w:rPr>
      </w:pPr>
      <w:r w:rsidRPr="00BA7067">
        <w:rPr>
          <w:rFonts w:ascii="Arial" w:hAnsi="Arial" w:cs="Arial"/>
          <w:bCs/>
          <w:sz w:val="22"/>
          <w:lang w:eastAsia="x-none"/>
        </w:rPr>
        <w:t>En esta labor es importante tener en cuenta, como lo anotó la Corte Constitucional, en Sentencia C-1153 de noviembre 11 de 2005</w:t>
      </w:r>
      <w:r w:rsidRPr="00BA7067">
        <w:rPr>
          <w:rStyle w:val="Refdenotaalpie"/>
        </w:rPr>
        <w:t>,</w:t>
      </w:r>
      <w:r w:rsidRPr="00BA7067">
        <w:rPr>
          <w:rFonts w:ascii="Arial" w:hAnsi="Arial" w:cs="Arial"/>
          <w:bCs/>
          <w:sz w:val="22"/>
          <w:lang w:eastAsia="x-none"/>
        </w:rPr>
        <w:t xml:space="preserve"> </w:t>
      </w:r>
      <w:bookmarkStart w:id="19" w:name="_Hlk74309042"/>
      <w:r w:rsidRPr="00BA7067">
        <w:rPr>
          <w:rFonts w:ascii="Arial" w:hAnsi="Arial" w:cs="Arial"/>
          <w:bCs/>
          <w:sz w:val="22"/>
          <w:lang w:eastAsia="x-none"/>
        </w:rPr>
        <w:t>que «</w:t>
      </w:r>
      <w:bookmarkEnd w:id="19"/>
      <w:r w:rsidRPr="00BA7067">
        <w:rPr>
          <w:rFonts w:ascii="Arial" w:hAnsi="Arial" w:cs="Arial"/>
          <w:bCs/>
          <w:sz w:val="22"/>
          <w:lang w:eastAsia="x-none"/>
        </w:rPr>
        <w:t xml:space="preserve">si bien la limitación garantiza la igualdad de condiciones, también es necesario que tal limitación que pretende la igualdad </w:t>
      </w:r>
      <w:bookmarkStart w:id="20" w:name="_Hlk75768308"/>
      <w:r w:rsidRPr="00BA7067">
        <w:rPr>
          <w:rFonts w:ascii="Arial" w:hAnsi="Arial" w:cs="Arial"/>
          <w:bCs/>
          <w:sz w:val="22"/>
          <w:lang w:eastAsia="x-none"/>
        </w:rPr>
        <w:t>no termine yendo en detrimento de intereses públicos, cuya garantía está en cabeza del ejecutivo, como son los inmersos en las excepciones para la prohibición de contratación</w:t>
      </w:r>
      <w:bookmarkStart w:id="21" w:name="_Hlk74309060"/>
      <w:r w:rsidRPr="00BA7067">
        <w:rPr>
          <w:rFonts w:ascii="Arial" w:hAnsi="Arial" w:cs="Arial"/>
          <w:bCs/>
          <w:sz w:val="22"/>
          <w:lang w:eastAsia="x-none"/>
        </w:rPr>
        <w:t>»</w:t>
      </w:r>
      <w:bookmarkEnd w:id="21"/>
      <w:r w:rsidRPr="00BA7067">
        <w:rPr>
          <w:rStyle w:val="Refdenotaalpie"/>
          <w:rFonts w:ascii="Arial" w:hAnsi="Arial" w:cs="Arial"/>
          <w:sz w:val="22"/>
        </w:rPr>
        <w:footnoteReference w:id="18"/>
      </w:r>
      <w:r w:rsidRPr="00BA7067">
        <w:rPr>
          <w:rFonts w:ascii="Arial"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2" w:name="_Hlk75783800"/>
      <w:bookmarkEnd w:id="20"/>
    </w:p>
    <w:p w14:paraId="6DC350A1" w14:textId="77777777" w:rsidR="002521B6" w:rsidRPr="00BA7067" w:rsidRDefault="002521B6" w:rsidP="00880346">
      <w:pPr>
        <w:spacing w:line="276" w:lineRule="auto"/>
        <w:ind w:firstLine="708"/>
        <w:jc w:val="both"/>
        <w:rPr>
          <w:rFonts w:ascii="Arial" w:hAnsi="Arial" w:cs="Arial"/>
          <w:bCs/>
          <w:sz w:val="22"/>
          <w:lang w:eastAsia="x-none"/>
        </w:rPr>
      </w:pPr>
    </w:p>
    <w:p w14:paraId="78F913EA" w14:textId="0CA3A1DA" w:rsidR="002521B6" w:rsidRPr="00BA7067" w:rsidRDefault="002521B6" w:rsidP="00880346">
      <w:pPr>
        <w:spacing w:line="276" w:lineRule="auto"/>
        <w:jc w:val="both"/>
        <w:rPr>
          <w:rFonts w:ascii="Arial" w:hAnsi="Arial" w:cs="Arial"/>
          <w:b/>
          <w:sz w:val="22"/>
          <w:lang w:eastAsia="x-none"/>
        </w:rPr>
      </w:pPr>
      <w:r w:rsidRPr="00BA7067">
        <w:rPr>
          <w:rFonts w:ascii="Arial" w:hAnsi="Arial" w:cs="Arial"/>
          <w:b/>
          <w:sz w:val="22"/>
          <w:lang w:eastAsia="x-none"/>
        </w:rPr>
        <w:t xml:space="preserve">2.3.  </w:t>
      </w:r>
      <w:r w:rsidRPr="00BA7067">
        <w:rPr>
          <w:rFonts w:ascii="Arial" w:hAnsi="Arial" w:cs="Arial"/>
          <w:b/>
          <w:bCs/>
          <w:sz w:val="22"/>
          <w:lang w:eastAsia="es-CO"/>
        </w:rPr>
        <w:t>Destinatarios de la restricción del artículo 33 de la Ley 996 de 2005</w:t>
      </w:r>
    </w:p>
    <w:p w14:paraId="067DF9B6" w14:textId="77777777" w:rsidR="002521B6" w:rsidRPr="00BA7067" w:rsidRDefault="002521B6" w:rsidP="00880346">
      <w:pPr>
        <w:spacing w:line="276" w:lineRule="auto"/>
        <w:jc w:val="both"/>
        <w:rPr>
          <w:rFonts w:ascii="Arial" w:hAnsi="Arial" w:cs="Arial"/>
          <w:bCs/>
          <w:sz w:val="22"/>
          <w:lang w:eastAsia="x-none"/>
        </w:rPr>
      </w:pPr>
    </w:p>
    <w:p w14:paraId="29E17EC7" w14:textId="77777777" w:rsidR="002521B6" w:rsidRPr="00BA7067" w:rsidRDefault="002521B6" w:rsidP="00880346">
      <w:pPr>
        <w:spacing w:line="276" w:lineRule="auto"/>
        <w:jc w:val="both"/>
        <w:rPr>
          <w:rFonts w:ascii="Arial" w:hAnsi="Arial" w:cs="Arial"/>
          <w:bCs/>
          <w:sz w:val="22"/>
          <w:lang w:eastAsia="x-none"/>
        </w:rPr>
      </w:pPr>
      <w:r w:rsidRPr="00BA7067">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BA7067">
        <w:t xml:space="preserve"> </w:t>
      </w:r>
      <w:r w:rsidRPr="00BA7067">
        <w:rPr>
          <w:rFonts w:ascii="Arial" w:hAnsi="Arial" w:cs="Arial"/>
          <w:bCs/>
          <w:sz w:val="22"/>
          <w:lang w:eastAsia="x-none"/>
        </w:rPr>
        <w:t xml:space="preserve">En efecto, tal como lo ha sostenido el Consejo de Estado, el vocablo </w:t>
      </w:r>
      <w:bookmarkStart w:id="23" w:name="_Hlk75632581"/>
      <w:r w:rsidRPr="00BA7067">
        <w:rPr>
          <w:rFonts w:ascii="Arial" w:hAnsi="Arial" w:cs="Arial"/>
          <w:bCs/>
          <w:sz w:val="22"/>
          <w:lang w:eastAsia="x-none"/>
        </w:rPr>
        <w:t>«</w:t>
      </w:r>
      <w:bookmarkEnd w:id="23"/>
      <w:r w:rsidRPr="00BA7067">
        <w:rPr>
          <w:rFonts w:ascii="Arial" w:hAnsi="Arial" w:cs="Arial"/>
          <w:bCs/>
          <w:sz w:val="22"/>
          <w:lang w:eastAsia="x-none"/>
        </w:rPr>
        <w:t>todos» utilizado por el legislador comprende</w:t>
      </w:r>
      <w:r w:rsidRPr="00BA7067">
        <w:t xml:space="preserve"> </w:t>
      </w:r>
      <w:r w:rsidRPr="00BA7067">
        <w:rPr>
          <w:rFonts w:ascii="Arial" w:hAnsi="Arial" w:cs="Arial"/>
          <w:bCs/>
          <w:sz w:val="22"/>
          <w:lang w:eastAsia="x-none"/>
        </w:rPr>
        <w:t>a la totalidad de los entes del Estado, sin distinción del régimen jurídico, forma de organización o naturaleza, su pertenencia a una u otra rama del poder público o su autonomía</w:t>
      </w:r>
      <w:bookmarkEnd w:id="22"/>
      <w:r w:rsidRPr="00BA7067">
        <w:rPr>
          <w:rFonts w:ascii="Arial" w:hAnsi="Arial" w:cs="Arial"/>
          <w:bCs/>
          <w:sz w:val="22"/>
          <w:lang w:eastAsia="x-none"/>
        </w:rPr>
        <w:t xml:space="preserve">, e incluso si las entidades estatales tienen régimen especial de </w:t>
      </w:r>
      <w:r w:rsidRPr="00BA7067">
        <w:rPr>
          <w:rFonts w:ascii="Arial" w:hAnsi="Arial" w:cs="Arial"/>
          <w:bCs/>
          <w:sz w:val="22"/>
          <w:lang w:eastAsia="x-none"/>
        </w:rPr>
        <w:lastRenderedPageBreak/>
        <w:t xml:space="preserve">contratación y están exceptuadas del ámbito de aplicación del Estatuto General de Contratación de la Administración Pública. El Consejo de Estado, en Concepto con radicado 1727 de fecha 20 de febrero de 2006, consideró que: </w:t>
      </w:r>
    </w:p>
    <w:p w14:paraId="4AC972F5" w14:textId="77777777" w:rsidR="002521B6" w:rsidRPr="00BA7067" w:rsidRDefault="002521B6" w:rsidP="002521B6">
      <w:pPr>
        <w:ind w:firstLine="708"/>
        <w:jc w:val="both"/>
        <w:rPr>
          <w:rFonts w:ascii="Arial" w:hAnsi="Arial" w:cs="Arial"/>
          <w:bCs/>
          <w:sz w:val="22"/>
          <w:lang w:eastAsia="x-none"/>
        </w:rPr>
      </w:pPr>
    </w:p>
    <w:p w14:paraId="2D4BF29A" w14:textId="77777777" w:rsidR="002521B6" w:rsidRPr="00BA7067" w:rsidRDefault="002521B6" w:rsidP="002521B6">
      <w:pPr>
        <w:ind w:left="708" w:right="709"/>
        <w:jc w:val="both"/>
        <w:rPr>
          <w:rFonts w:ascii="Arial" w:hAnsi="Arial" w:cs="Arial"/>
          <w:bCs/>
          <w:sz w:val="21"/>
          <w:szCs w:val="21"/>
          <w:lang w:eastAsia="es-CO"/>
        </w:rPr>
      </w:pPr>
      <w:r w:rsidRPr="00BA7067">
        <w:rPr>
          <w:rFonts w:ascii="Arial" w:hAnsi="Arial" w:cs="Arial"/>
          <w:sz w:val="21"/>
          <w:szCs w:val="21"/>
        </w:rPr>
        <w:t>«</w:t>
      </w:r>
      <w:r w:rsidRPr="00BA7067">
        <w:rPr>
          <w:rFonts w:ascii="Arial" w:hAnsi="Arial" w:cs="Arial"/>
          <w:bCs/>
          <w:sz w:val="21"/>
          <w:szCs w:val="21"/>
          <w:lang w:eastAsia="x-none"/>
        </w:rPr>
        <w:t xml:space="preserve">El artículo 33 de la ley 996 de 2005, </w:t>
      </w:r>
      <w:bookmarkStart w:id="24" w:name="_Hlk75787147"/>
      <w:r w:rsidRPr="00BA7067">
        <w:rPr>
          <w:rFonts w:ascii="Arial" w:hAnsi="Arial" w:cs="Arial"/>
          <w:bCs/>
          <w:sz w:val="21"/>
          <w:szCs w:val="21"/>
          <w:lang w:eastAsia="x-none"/>
        </w:rPr>
        <w:t xml:space="preserve">efectivamente se aplica </w:t>
      </w:r>
      <w:bookmarkStart w:id="25" w:name="_Hlk76074089"/>
      <w:r w:rsidRPr="00BA7067">
        <w:rPr>
          <w:rFonts w:ascii="Arial"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25"/>
      <w:r w:rsidRPr="00BA7067">
        <w:rPr>
          <w:rFonts w:ascii="Arial" w:hAnsi="Arial" w:cs="Arial"/>
          <w:bCs/>
          <w:sz w:val="21"/>
          <w:szCs w:val="21"/>
          <w:lang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BA7067">
        <w:rPr>
          <w:rStyle w:val="Refdenotaalpie"/>
          <w:rFonts w:ascii="Arial" w:hAnsi="Arial" w:cs="Arial"/>
          <w:bCs/>
          <w:sz w:val="21"/>
          <w:szCs w:val="21"/>
          <w:lang w:eastAsia="x-none"/>
        </w:rPr>
        <w:footnoteReference w:id="19"/>
      </w:r>
      <w:r w:rsidRPr="00BA7067">
        <w:rPr>
          <w:rFonts w:ascii="Arial" w:hAnsi="Arial" w:cs="Arial"/>
          <w:bCs/>
          <w:sz w:val="21"/>
          <w:szCs w:val="21"/>
          <w:lang w:eastAsia="x-none"/>
        </w:rPr>
        <w:t>.</w:t>
      </w:r>
      <w:r w:rsidRPr="00BA7067">
        <w:rPr>
          <w:rFonts w:ascii="Calibri" w:hAnsi="Calibri" w:cs="Calibri"/>
        </w:rPr>
        <w:t>»</w:t>
      </w:r>
      <w:r w:rsidRPr="00BA7067">
        <w:rPr>
          <w:rFonts w:ascii="Arial" w:hAnsi="Arial" w:cs="Arial"/>
          <w:bCs/>
          <w:sz w:val="21"/>
          <w:szCs w:val="21"/>
          <w:lang w:eastAsia="es-CO"/>
        </w:rPr>
        <w:t xml:space="preserve"> </w:t>
      </w:r>
    </w:p>
    <w:p w14:paraId="55A6D05E" w14:textId="77777777" w:rsidR="002521B6" w:rsidRPr="00BA7067" w:rsidRDefault="002521B6" w:rsidP="002521B6">
      <w:pPr>
        <w:ind w:firstLine="708"/>
        <w:jc w:val="both"/>
        <w:rPr>
          <w:rFonts w:ascii="Arial" w:hAnsi="Arial" w:cs="Arial"/>
          <w:bCs/>
          <w:sz w:val="22"/>
          <w:lang w:eastAsia="es-CO"/>
        </w:rPr>
      </w:pPr>
    </w:p>
    <w:bookmarkEnd w:id="24"/>
    <w:p w14:paraId="326E982B" w14:textId="29DED7C5" w:rsidR="00D8152F" w:rsidRPr="00BA7067" w:rsidRDefault="002521B6" w:rsidP="00D20CB4">
      <w:pPr>
        <w:spacing w:line="276" w:lineRule="auto"/>
        <w:ind w:firstLine="709"/>
        <w:jc w:val="both"/>
        <w:rPr>
          <w:rFonts w:ascii="Arial" w:hAnsi="Arial" w:cs="Arial"/>
          <w:bCs/>
          <w:sz w:val="22"/>
          <w:lang w:eastAsia="x-none"/>
        </w:rPr>
      </w:pPr>
      <w:r w:rsidRPr="00BA7067">
        <w:rPr>
          <w:rFonts w:ascii="Arial" w:hAnsi="Arial" w:cs="Arial"/>
          <w:sz w:val="22"/>
        </w:rPr>
        <w:t xml:space="preserve">Por lo tanto, la restricción prevista en la Ley 996 de 2005, </w:t>
      </w:r>
      <w:r w:rsidRPr="00BA7067">
        <w:rPr>
          <w:rFonts w:ascii="Arial"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r w:rsidRPr="00BA7067">
        <w:rPr>
          <w:rFonts w:ascii="Arial" w:eastAsia="Calibri" w:hAnsi="Arial" w:cs="Arial"/>
          <w:bCs/>
          <w:sz w:val="22"/>
          <w:lang w:val="es-ES_tradnl"/>
        </w:rPr>
        <w:tab/>
      </w:r>
      <w:r w:rsidRPr="00BA7067">
        <w:rPr>
          <w:rFonts w:ascii="Arial" w:eastAsia="Calibri" w:hAnsi="Arial" w:cs="Arial"/>
          <w:bCs/>
          <w:sz w:val="22"/>
          <w:lang w:val="es-ES_tradnl"/>
        </w:rPr>
        <w:tab/>
      </w:r>
    </w:p>
    <w:p w14:paraId="578604A4" w14:textId="77777777" w:rsidR="006D56BC" w:rsidRPr="00BA7067" w:rsidRDefault="006D56BC" w:rsidP="00163B60">
      <w:pPr>
        <w:spacing w:line="276" w:lineRule="auto"/>
        <w:jc w:val="both"/>
        <w:rPr>
          <w:rFonts w:ascii="Arial" w:hAnsi="Arial" w:cs="Arial"/>
          <w:b/>
          <w:sz w:val="22"/>
          <w:lang w:eastAsia="es-CO"/>
        </w:rPr>
      </w:pPr>
    </w:p>
    <w:p w14:paraId="46229262" w14:textId="2B7DD2A1" w:rsidR="00163B60" w:rsidRPr="00BA7067" w:rsidRDefault="005E4ABA" w:rsidP="00163B60">
      <w:pPr>
        <w:spacing w:line="276" w:lineRule="auto"/>
        <w:jc w:val="both"/>
        <w:rPr>
          <w:rFonts w:ascii="Arial" w:eastAsia="Calibri" w:hAnsi="Arial" w:cs="Arial"/>
          <w:b/>
          <w:sz w:val="22"/>
          <w:lang w:val="es-ES_tradnl"/>
        </w:rPr>
      </w:pPr>
      <w:r w:rsidRPr="00BA7067">
        <w:rPr>
          <w:rFonts w:ascii="Arial" w:hAnsi="Arial" w:cs="Arial"/>
          <w:b/>
          <w:sz w:val="22"/>
          <w:lang w:eastAsia="es-CO"/>
        </w:rPr>
        <w:t>2.</w:t>
      </w:r>
      <w:r w:rsidR="006D56BC" w:rsidRPr="00BA7067">
        <w:rPr>
          <w:rFonts w:ascii="Arial" w:hAnsi="Arial" w:cs="Arial"/>
          <w:b/>
          <w:sz w:val="22"/>
          <w:lang w:eastAsia="es-CO"/>
        </w:rPr>
        <w:t>4</w:t>
      </w:r>
      <w:r w:rsidRPr="00BA7067">
        <w:rPr>
          <w:rFonts w:ascii="Arial" w:hAnsi="Arial" w:cs="Arial"/>
          <w:b/>
          <w:sz w:val="22"/>
          <w:lang w:eastAsia="es-CO"/>
        </w:rPr>
        <w:t xml:space="preserve">. </w:t>
      </w:r>
      <w:r w:rsidR="00163B60" w:rsidRPr="00BA7067">
        <w:rPr>
          <w:rFonts w:ascii="Arial" w:eastAsia="Calibri" w:hAnsi="Arial" w:cs="Arial"/>
          <w:b/>
          <w:sz w:val="22"/>
          <w:lang w:val="es-ES_tradnl"/>
        </w:rPr>
        <w:t>Procedencia de la</w:t>
      </w:r>
      <w:r w:rsidR="006C41D8" w:rsidRPr="00BA7067">
        <w:rPr>
          <w:rFonts w:ascii="Arial" w:eastAsia="Calibri" w:hAnsi="Arial" w:cs="Arial"/>
          <w:b/>
          <w:sz w:val="22"/>
          <w:lang w:val="es-ES_tradnl"/>
        </w:rPr>
        <w:t xml:space="preserve"> celebración de contratos de</w:t>
      </w:r>
      <w:r w:rsidR="00163B60" w:rsidRPr="00BA7067">
        <w:rPr>
          <w:rFonts w:ascii="Arial" w:eastAsia="Calibri" w:hAnsi="Arial" w:cs="Arial"/>
          <w:b/>
          <w:sz w:val="22"/>
          <w:lang w:val="es-ES_tradnl"/>
        </w:rPr>
        <w:t xml:space="preserve"> transacción en</w:t>
      </w:r>
      <w:r w:rsidR="004C3974" w:rsidRPr="00BA7067">
        <w:rPr>
          <w:rFonts w:ascii="Arial" w:eastAsia="Calibri" w:hAnsi="Arial" w:cs="Arial"/>
          <w:b/>
          <w:sz w:val="22"/>
          <w:lang w:val="es-ES_tradnl"/>
        </w:rPr>
        <w:t xml:space="preserve"> vigencia de las restricciones de la Ley de Garantías Electorales</w:t>
      </w:r>
    </w:p>
    <w:p w14:paraId="37569CA8" w14:textId="77777777" w:rsidR="00163B60" w:rsidRPr="00BA7067" w:rsidRDefault="00163B60" w:rsidP="00163B60">
      <w:pPr>
        <w:spacing w:line="276" w:lineRule="auto"/>
        <w:jc w:val="both"/>
        <w:rPr>
          <w:rFonts w:ascii="Arial" w:eastAsia="Calibri" w:hAnsi="Arial" w:cs="Arial"/>
          <w:b/>
          <w:bCs/>
          <w:sz w:val="22"/>
          <w:lang w:val="es-ES_tradnl"/>
        </w:rPr>
      </w:pPr>
    </w:p>
    <w:p w14:paraId="10C4B7D2" w14:textId="01008C18" w:rsidR="00163B60" w:rsidRPr="00BA7067" w:rsidRDefault="00163B60" w:rsidP="00163B60">
      <w:pPr>
        <w:spacing w:line="276" w:lineRule="auto"/>
        <w:jc w:val="both"/>
        <w:rPr>
          <w:rFonts w:ascii="Arial" w:eastAsia="Calibri" w:hAnsi="Arial" w:cs="Arial"/>
          <w:sz w:val="22"/>
          <w:lang w:val="es-ES_tradnl"/>
        </w:rPr>
      </w:pPr>
      <w:r w:rsidRPr="00BA7067">
        <w:rPr>
          <w:rFonts w:ascii="Arial" w:eastAsia="Calibri" w:hAnsi="Arial" w:cs="Arial"/>
          <w:sz w:val="22"/>
          <w:lang w:val="es-ES_tradnl"/>
        </w:rPr>
        <w:t xml:space="preserve">La transacción es un mecanismo alternativo de resolución de conflictos de carácter </w:t>
      </w:r>
      <w:r w:rsidRPr="00BA7067">
        <w:rPr>
          <w:rFonts w:ascii="Arial" w:eastAsia="Calibri" w:hAnsi="Arial" w:cs="Arial"/>
          <w:i/>
          <w:iCs/>
          <w:sz w:val="22"/>
          <w:lang w:val="es-ES_tradnl"/>
        </w:rPr>
        <w:t>autocompositivo</w:t>
      </w:r>
      <w:r w:rsidR="00923504" w:rsidRPr="00BA7067">
        <w:rPr>
          <w:rFonts w:ascii="Arial" w:eastAsia="Calibri" w:hAnsi="Arial" w:cs="Arial"/>
          <w:sz w:val="22"/>
          <w:lang w:val="es-ES_tradnl"/>
        </w:rPr>
        <w:t>, por el cual</w:t>
      </w:r>
      <w:r w:rsidRPr="00BA7067">
        <w:rPr>
          <w:rFonts w:ascii="Arial" w:eastAsia="Calibri" w:hAnsi="Arial" w:cs="Arial"/>
          <w:sz w:val="22"/>
          <w:lang w:val="es-ES_tradnl"/>
        </w:rPr>
        <w:t xml:space="preserve"> las partes involucradas en una controversia acuerdan directamente la forma de resolverla</w:t>
      </w:r>
      <w:r w:rsidR="00923504" w:rsidRPr="00BA7067">
        <w:rPr>
          <w:rFonts w:ascii="Arial" w:eastAsia="Calibri" w:hAnsi="Arial" w:cs="Arial"/>
          <w:sz w:val="22"/>
          <w:lang w:val="es-ES_tradnl"/>
        </w:rPr>
        <w:t>. Es decir,</w:t>
      </w:r>
      <w:r w:rsidRPr="00BA7067">
        <w:rPr>
          <w:rFonts w:ascii="Arial" w:eastAsia="Calibri" w:hAnsi="Arial" w:cs="Arial"/>
          <w:sz w:val="22"/>
          <w:lang w:val="es-ES_tradnl"/>
        </w:rPr>
        <w:t xml:space="preserve"> solucionan el conflicto por voluntad propia –efectuando concesiones recíprocas– y no por la imposición de un tercero. De ahí que la transacción revista los rasgos de un </w:t>
      </w:r>
      <w:r w:rsidRPr="00BA7067">
        <w:rPr>
          <w:rFonts w:ascii="Arial" w:eastAsia="Calibri" w:hAnsi="Arial" w:cs="Arial"/>
          <w:i/>
          <w:iCs/>
          <w:sz w:val="22"/>
          <w:lang w:val="es-ES_tradnl"/>
        </w:rPr>
        <w:t>negocio jurídico</w:t>
      </w:r>
      <w:r w:rsidRPr="00BA7067">
        <w:rPr>
          <w:rFonts w:ascii="Arial" w:eastAsia="Calibri" w:hAnsi="Arial" w:cs="Arial"/>
          <w:sz w:val="22"/>
          <w:lang w:val="es-ES_tradnl"/>
        </w:rPr>
        <w:t xml:space="preserve"> o </w:t>
      </w:r>
      <w:r w:rsidRPr="00BA7067">
        <w:rPr>
          <w:rFonts w:ascii="Arial" w:eastAsia="Calibri" w:hAnsi="Arial" w:cs="Arial"/>
          <w:i/>
          <w:iCs/>
          <w:sz w:val="22"/>
          <w:lang w:val="es-ES_tradnl"/>
        </w:rPr>
        <w:t>contrato</w:t>
      </w:r>
      <w:r w:rsidRPr="00BA7067">
        <w:rPr>
          <w:rFonts w:ascii="Arial" w:eastAsia="Calibri" w:hAnsi="Arial" w:cs="Arial"/>
          <w:sz w:val="22"/>
          <w:lang w:val="es-ES_tradnl"/>
        </w:rPr>
        <w:t>, pues es un acuerdo de voluntades para crear, modificar o extinguir derechos y obligaciones</w:t>
      </w:r>
      <w:r w:rsidRPr="00BA7067">
        <w:rPr>
          <w:rStyle w:val="Refdenotaalpie"/>
          <w:rFonts w:ascii="Arial" w:eastAsia="Calibri" w:hAnsi="Arial" w:cs="Arial"/>
          <w:sz w:val="22"/>
          <w:lang w:val="es-ES_tradnl"/>
        </w:rPr>
        <w:footnoteReference w:id="20"/>
      </w:r>
      <w:r w:rsidRPr="00BA7067">
        <w:rPr>
          <w:rFonts w:ascii="Arial" w:eastAsia="Calibri" w:hAnsi="Arial" w:cs="Arial"/>
          <w:sz w:val="22"/>
          <w:lang w:val="es-ES_tradnl"/>
        </w:rPr>
        <w:t xml:space="preserve">. Esto diferencia a la </w:t>
      </w:r>
      <w:r w:rsidRPr="00BA7067">
        <w:rPr>
          <w:rFonts w:ascii="Arial" w:eastAsia="Calibri" w:hAnsi="Arial" w:cs="Arial"/>
          <w:sz w:val="22"/>
          <w:lang w:val="es-ES_tradnl"/>
        </w:rPr>
        <w:lastRenderedPageBreak/>
        <w:t xml:space="preserve">transacción de los mecanismos </w:t>
      </w:r>
      <w:proofErr w:type="spellStart"/>
      <w:r w:rsidRPr="00BA7067">
        <w:rPr>
          <w:rFonts w:ascii="Arial" w:eastAsia="Calibri" w:hAnsi="Arial" w:cs="Arial"/>
          <w:i/>
          <w:iCs/>
          <w:sz w:val="22"/>
          <w:lang w:val="es-ES_tradnl"/>
        </w:rPr>
        <w:t>heterocompositivos</w:t>
      </w:r>
      <w:proofErr w:type="spellEnd"/>
      <w:r w:rsidRPr="00BA7067">
        <w:rPr>
          <w:rFonts w:ascii="Arial" w:eastAsia="Calibri" w:hAnsi="Arial" w:cs="Arial"/>
          <w:sz w:val="22"/>
          <w:lang w:val="es-ES_tradnl"/>
        </w:rPr>
        <w:t>, en los que un sujeto distinto a las partes decide con autoridad</w:t>
      </w:r>
      <w:r w:rsidR="009A219E" w:rsidRPr="00BA7067">
        <w:rPr>
          <w:rFonts w:ascii="Arial" w:eastAsia="Calibri" w:hAnsi="Arial" w:cs="Arial"/>
          <w:sz w:val="22"/>
          <w:lang w:val="es-ES_tradnl"/>
        </w:rPr>
        <w:t xml:space="preserve"> de cosa juzgada</w:t>
      </w:r>
      <w:r w:rsidRPr="00BA7067">
        <w:rPr>
          <w:rFonts w:ascii="Arial" w:eastAsia="Calibri" w:hAnsi="Arial" w:cs="Arial"/>
          <w:sz w:val="22"/>
          <w:lang w:val="es-ES_tradnl"/>
        </w:rPr>
        <w:t xml:space="preserve"> a cuál de ellas le asiste la razón.</w:t>
      </w:r>
    </w:p>
    <w:p w14:paraId="65CC9E25" w14:textId="4630E079" w:rsidR="00163B60" w:rsidRPr="00BA7067" w:rsidRDefault="00163B60" w:rsidP="00163B60">
      <w:pPr>
        <w:spacing w:before="120" w:line="276" w:lineRule="auto"/>
        <w:ind w:firstLine="709"/>
        <w:jc w:val="both"/>
        <w:rPr>
          <w:rFonts w:ascii="Arial" w:eastAsia="Calibri" w:hAnsi="Arial" w:cs="Arial"/>
          <w:sz w:val="22"/>
          <w:lang w:val="es-ES_tradnl"/>
        </w:rPr>
      </w:pPr>
      <w:r w:rsidRPr="00BA7067">
        <w:rPr>
          <w:rFonts w:ascii="Arial" w:eastAsia="Calibri" w:hAnsi="Arial" w:cs="Arial"/>
          <w:sz w:val="22"/>
          <w:lang w:val="es-ES_tradnl"/>
        </w:rPr>
        <w:t xml:space="preserve">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w:t>
      </w:r>
      <w:r w:rsidR="00F26ECA" w:rsidRPr="00BA7067">
        <w:rPr>
          <w:rFonts w:ascii="Arial" w:eastAsia="Calibri" w:hAnsi="Arial" w:cs="Arial"/>
          <w:sz w:val="22"/>
          <w:lang w:val="es-ES_tradnl"/>
        </w:rPr>
        <w:t>s</w:t>
      </w:r>
      <w:r w:rsidRPr="00BA7067">
        <w:rPr>
          <w:rFonts w:ascii="Arial" w:eastAsia="Calibri" w:hAnsi="Arial" w:cs="Arial"/>
          <w:sz w:val="22"/>
          <w:lang w:val="es-ES_tradnl"/>
        </w:rPr>
        <w:t>olo procede sobre derechos inciertos y discutibles</w:t>
      </w:r>
      <w:r w:rsidR="00F26ECA" w:rsidRPr="00BA7067">
        <w:rPr>
          <w:rFonts w:ascii="Arial" w:eastAsia="Calibri" w:hAnsi="Arial" w:cs="Arial"/>
          <w:sz w:val="22"/>
          <w:lang w:val="es-ES_tradnl"/>
        </w:rPr>
        <w:t>;</w:t>
      </w:r>
      <w:r w:rsidRPr="00BA7067">
        <w:rPr>
          <w:rFonts w:ascii="Arial" w:eastAsia="Calibri" w:hAnsi="Arial" w:cs="Arial"/>
          <w:sz w:val="22"/>
          <w:lang w:val="es-ES_tradnl"/>
        </w:rPr>
        <w:t xml:space="preserve"> </w:t>
      </w:r>
      <w:proofErr w:type="spellStart"/>
      <w:r w:rsidRPr="00BA7067">
        <w:rPr>
          <w:rFonts w:ascii="Arial" w:eastAsia="Calibri" w:hAnsi="Arial" w:cs="Arial"/>
          <w:sz w:val="22"/>
          <w:lang w:val="es-ES_tradnl"/>
        </w:rPr>
        <w:t>ii</w:t>
      </w:r>
      <w:proofErr w:type="spellEnd"/>
      <w:r w:rsidRPr="00BA7067">
        <w:rPr>
          <w:rFonts w:ascii="Arial" w:eastAsia="Calibri" w:hAnsi="Arial" w:cs="Arial"/>
          <w:sz w:val="22"/>
          <w:lang w:val="es-ES_tradnl"/>
        </w:rPr>
        <w:t xml:space="preserve">) </w:t>
      </w:r>
      <w:r w:rsidR="00F26ECA" w:rsidRPr="00BA7067">
        <w:rPr>
          <w:rFonts w:ascii="Arial" w:eastAsia="Calibri" w:hAnsi="Arial" w:cs="Arial"/>
          <w:sz w:val="22"/>
          <w:lang w:val="es-ES_tradnl"/>
        </w:rPr>
        <w:t>l</w:t>
      </w:r>
      <w:r w:rsidRPr="00BA7067">
        <w:rPr>
          <w:rFonts w:ascii="Arial" w:eastAsia="Calibri" w:hAnsi="Arial" w:cs="Arial"/>
          <w:sz w:val="22"/>
          <w:lang w:val="es-ES_tradnl"/>
        </w:rPr>
        <w:t>as partes deben tener capacidad para disponer del objeto del negocio jurídico, lo que no obsta para que se otorgue poder mediante la celebración de un contrato de mandato</w:t>
      </w:r>
      <w:r w:rsidR="00F26ECA" w:rsidRPr="00BA7067">
        <w:rPr>
          <w:rFonts w:ascii="Arial" w:eastAsia="Calibri" w:hAnsi="Arial" w:cs="Arial"/>
          <w:sz w:val="22"/>
          <w:lang w:val="es-ES_tradnl"/>
        </w:rPr>
        <w:t>;</w:t>
      </w:r>
      <w:r w:rsidRPr="00BA7067">
        <w:rPr>
          <w:rFonts w:ascii="Arial" w:eastAsia="Calibri" w:hAnsi="Arial" w:cs="Arial"/>
          <w:sz w:val="22"/>
          <w:lang w:val="es-ES_tradnl"/>
        </w:rPr>
        <w:t xml:space="preserve"> </w:t>
      </w:r>
      <w:proofErr w:type="spellStart"/>
      <w:r w:rsidRPr="00BA7067">
        <w:rPr>
          <w:rFonts w:ascii="Arial" w:eastAsia="Calibri" w:hAnsi="Arial" w:cs="Arial"/>
          <w:sz w:val="22"/>
          <w:lang w:val="es-ES_tradnl"/>
        </w:rPr>
        <w:t>iii</w:t>
      </w:r>
      <w:proofErr w:type="spellEnd"/>
      <w:r w:rsidRPr="00BA7067">
        <w:rPr>
          <w:rFonts w:ascii="Arial" w:eastAsia="Calibri" w:hAnsi="Arial" w:cs="Arial"/>
          <w:sz w:val="22"/>
          <w:lang w:val="es-ES_tradnl"/>
        </w:rPr>
        <w:t xml:space="preserve">) </w:t>
      </w:r>
      <w:r w:rsidR="00F26ECA" w:rsidRPr="00BA7067">
        <w:rPr>
          <w:rFonts w:ascii="Arial" w:eastAsia="Calibri" w:hAnsi="Arial" w:cs="Arial"/>
          <w:sz w:val="22"/>
          <w:lang w:val="es-ES_tradnl"/>
        </w:rPr>
        <w:t>n</w:t>
      </w:r>
      <w:r w:rsidRPr="00BA7067">
        <w:rPr>
          <w:rFonts w:ascii="Arial" w:eastAsia="Calibri" w:hAnsi="Arial" w:cs="Arial"/>
          <w:sz w:val="22"/>
          <w:lang w:val="es-ES_tradnl"/>
        </w:rPr>
        <w:t>o puede versar sobre materias prohibidas, como el estado civil de las personas, derechos ajenos o que no existen</w:t>
      </w:r>
      <w:r w:rsidR="00F26ECA" w:rsidRPr="00BA7067">
        <w:rPr>
          <w:rFonts w:ascii="Arial" w:eastAsia="Calibri" w:hAnsi="Arial" w:cs="Arial"/>
          <w:sz w:val="22"/>
          <w:lang w:val="es-ES_tradnl"/>
        </w:rPr>
        <w:t xml:space="preserve"> y</w:t>
      </w:r>
      <w:r w:rsidRPr="00BA7067">
        <w:rPr>
          <w:rFonts w:ascii="Arial" w:eastAsia="Calibri" w:hAnsi="Arial" w:cs="Arial"/>
          <w:sz w:val="22"/>
          <w:lang w:val="es-ES_tradnl"/>
        </w:rPr>
        <w:t xml:space="preserve"> </w:t>
      </w:r>
      <w:proofErr w:type="spellStart"/>
      <w:r w:rsidRPr="00BA7067">
        <w:rPr>
          <w:rFonts w:ascii="Arial" w:eastAsia="Calibri" w:hAnsi="Arial" w:cs="Arial"/>
          <w:sz w:val="22"/>
          <w:lang w:val="es-ES_tradnl"/>
        </w:rPr>
        <w:t>iv</w:t>
      </w:r>
      <w:proofErr w:type="spellEnd"/>
      <w:r w:rsidRPr="00BA7067">
        <w:rPr>
          <w:rFonts w:ascii="Arial" w:eastAsia="Calibri" w:hAnsi="Arial" w:cs="Arial"/>
          <w:sz w:val="22"/>
          <w:lang w:val="es-ES_tradnl"/>
        </w:rPr>
        <w:t xml:space="preserve">) </w:t>
      </w:r>
      <w:r w:rsidR="00A37376" w:rsidRPr="00BA7067">
        <w:rPr>
          <w:rFonts w:ascii="Arial" w:eastAsia="Calibri" w:hAnsi="Arial" w:cs="Arial"/>
          <w:sz w:val="22"/>
          <w:lang w:val="es-ES_tradnl"/>
        </w:rPr>
        <w:t>ú</w:t>
      </w:r>
      <w:r w:rsidRPr="00BA7067">
        <w:rPr>
          <w:rFonts w:ascii="Arial" w:eastAsia="Calibri" w:hAnsi="Arial" w:cs="Arial"/>
          <w:sz w:val="22"/>
          <w:lang w:val="es-ES_tradnl"/>
        </w:rPr>
        <w:t>nicamente surte efecto entre las partes. Además, el</w:t>
      </w:r>
      <w:r w:rsidR="00A37376" w:rsidRPr="00BA7067">
        <w:rPr>
          <w:rFonts w:ascii="Arial" w:eastAsia="Calibri" w:hAnsi="Arial" w:cs="Arial"/>
          <w:sz w:val="22"/>
          <w:lang w:val="es-ES_tradnl"/>
        </w:rPr>
        <w:t xml:space="preserve"> numeral 3 del</w:t>
      </w:r>
      <w:r w:rsidRPr="00BA7067">
        <w:rPr>
          <w:rFonts w:ascii="Arial" w:eastAsia="Calibri" w:hAnsi="Arial" w:cs="Arial"/>
          <w:sz w:val="22"/>
          <w:lang w:val="es-ES_tradnl"/>
        </w:rPr>
        <w:t xml:space="preserve"> artículo 1625 del mismo Código prevé la transacción como uno de los modos de extinción de las obligaciones</w:t>
      </w:r>
      <w:r w:rsidRPr="00BA7067">
        <w:rPr>
          <w:rStyle w:val="Refdenotaalpie"/>
          <w:rFonts w:ascii="Arial" w:eastAsia="Calibri" w:hAnsi="Arial" w:cs="Arial"/>
          <w:sz w:val="22"/>
          <w:lang w:val="es-ES_tradnl"/>
        </w:rPr>
        <w:footnoteReference w:id="21"/>
      </w:r>
      <w:r w:rsidRPr="00BA7067">
        <w:rPr>
          <w:rFonts w:ascii="Arial" w:eastAsia="Calibri" w:hAnsi="Arial" w:cs="Arial"/>
          <w:sz w:val="22"/>
          <w:lang w:val="es-ES_tradnl"/>
        </w:rPr>
        <w:t>.</w:t>
      </w:r>
    </w:p>
    <w:p w14:paraId="75DBEDBF" w14:textId="63398315" w:rsidR="00163B60" w:rsidRPr="00BA7067" w:rsidRDefault="00B1643A" w:rsidP="00163B60">
      <w:pPr>
        <w:spacing w:before="120" w:line="276" w:lineRule="auto"/>
        <w:ind w:firstLine="709"/>
        <w:jc w:val="both"/>
        <w:rPr>
          <w:rFonts w:ascii="Arial" w:eastAsia="Calibri" w:hAnsi="Arial" w:cs="Arial"/>
          <w:sz w:val="22"/>
          <w:lang w:val="es-ES_tradnl"/>
        </w:rPr>
      </w:pPr>
      <w:r w:rsidRPr="00BA7067">
        <w:rPr>
          <w:rFonts w:ascii="Arial" w:eastAsia="Calibri" w:hAnsi="Arial" w:cs="Arial"/>
          <w:sz w:val="22"/>
          <w:lang w:val="es-ES_tradnl"/>
        </w:rPr>
        <w:t>C</w:t>
      </w:r>
      <w:r w:rsidR="00163B60" w:rsidRPr="00BA7067">
        <w:rPr>
          <w:rFonts w:ascii="Arial" w:eastAsia="Calibri" w:hAnsi="Arial" w:cs="Arial"/>
          <w:sz w:val="22"/>
          <w:lang w:val="es-ES_tradnl"/>
        </w:rPr>
        <w:t xml:space="preserve">omo mecanismo alternativo de resolución de conflictos, </w:t>
      </w:r>
      <w:r w:rsidRPr="00BA7067">
        <w:rPr>
          <w:rFonts w:ascii="Arial" w:eastAsia="Calibri" w:hAnsi="Arial" w:cs="Arial"/>
          <w:sz w:val="22"/>
          <w:lang w:val="es-ES_tradnl"/>
        </w:rPr>
        <w:t xml:space="preserve">la transacción </w:t>
      </w:r>
      <w:r w:rsidR="00163B60" w:rsidRPr="00BA7067">
        <w:rPr>
          <w:rFonts w:ascii="Arial" w:eastAsia="Calibri" w:hAnsi="Arial" w:cs="Arial"/>
          <w:sz w:val="22"/>
          <w:lang w:val="es-ES_tradnl"/>
        </w:rPr>
        <w:t xml:space="preserve">puede ser </w:t>
      </w:r>
      <w:r w:rsidR="00163B60" w:rsidRPr="00BA7067">
        <w:rPr>
          <w:rFonts w:ascii="Arial" w:eastAsia="Calibri" w:hAnsi="Arial" w:cs="Arial"/>
          <w:i/>
          <w:iCs/>
          <w:sz w:val="22"/>
          <w:lang w:val="es-ES_tradnl"/>
        </w:rPr>
        <w:t>judicial</w:t>
      </w:r>
      <w:r w:rsidR="00163B60" w:rsidRPr="00BA7067">
        <w:rPr>
          <w:rFonts w:ascii="Arial" w:eastAsia="Calibri" w:hAnsi="Arial" w:cs="Arial"/>
          <w:sz w:val="22"/>
          <w:lang w:val="es-ES_tradnl"/>
        </w:rPr>
        <w:t xml:space="preserve"> o </w:t>
      </w:r>
      <w:r w:rsidR="00163B60" w:rsidRPr="00BA7067">
        <w:rPr>
          <w:rFonts w:ascii="Arial" w:eastAsia="Calibri" w:hAnsi="Arial" w:cs="Arial"/>
          <w:i/>
          <w:iCs/>
          <w:sz w:val="22"/>
          <w:lang w:val="es-ES_tradnl"/>
        </w:rPr>
        <w:t>extrajudicial</w:t>
      </w:r>
      <w:r w:rsidR="00163B60" w:rsidRPr="00BA7067">
        <w:rPr>
          <w:rFonts w:ascii="Arial" w:eastAsia="Calibri" w:hAnsi="Arial" w:cs="Arial"/>
          <w:sz w:val="22"/>
          <w:lang w:val="es-ES_tradnl"/>
        </w:rPr>
        <w:t xml:space="preserve">, dependiendo de si se da o no para terminar un proceso judicial vigente. El artículo 2469 del Código Civil es el fundamento jurídico de la transacción extrajudicial, pues indica que mediante este contrato las partes «[…] terminan extrajudicialmente un litigio pendiente </w:t>
      </w:r>
      <w:r w:rsidR="00163B60" w:rsidRPr="00BA7067">
        <w:rPr>
          <w:rFonts w:ascii="Arial" w:eastAsia="Calibri" w:hAnsi="Arial" w:cs="Arial"/>
          <w:i/>
          <w:iCs/>
          <w:sz w:val="22"/>
          <w:lang w:val="es-ES_tradnl"/>
        </w:rPr>
        <w:t>o precaven un litigio eventual</w:t>
      </w:r>
      <w:r w:rsidR="00163B60" w:rsidRPr="00BA7067">
        <w:rPr>
          <w:rFonts w:ascii="Arial" w:eastAsia="Calibri" w:hAnsi="Arial" w:cs="Arial"/>
          <w:sz w:val="22"/>
          <w:lang w:val="es-ES_tradnl"/>
        </w:rPr>
        <w:t xml:space="preserve">» (cursiva fuera de texto). A su vez, los códigos procesales han reconocido la transacción judicial como forma de terminación anticipada de los litigios. </w:t>
      </w:r>
      <w:r w:rsidR="00337FAC" w:rsidRPr="00BA7067">
        <w:rPr>
          <w:rFonts w:ascii="Arial" w:eastAsia="Calibri" w:hAnsi="Arial" w:cs="Arial"/>
          <w:sz w:val="22"/>
          <w:lang w:val="es-ES_tradnl"/>
        </w:rPr>
        <w:t>Por ejemplo</w:t>
      </w:r>
      <w:r w:rsidR="00163B60" w:rsidRPr="00BA7067">
        <w:rPr>
          <w:rFonts w:ascii="Arial" w:eastAsia="Calibri" w:hAnsi="Arial" w:cs="Arial"/>
          <w:sz w:val="22"/>
          <w:lang w:val="es-ES_tradnl"/>
        </w:rPr>
        <w:t>, el artículo 176 del Código de Procedimiento Administrativo y de lo Contencioso Administrativo –Ley 1437 de 2011– establece que el proceso judicial puede terminar por transacción</w:t>
      </w:r>
      <w:r w:rsidR="00163B60" w:rsidRPr="00BA7067">
        <w:rPr>
          <w:rStyle w:val="Refdenotaalpie"/>
          <w:rFonts w:ascii="Arial" w:eastAsia="Calibri" w:hAnsi="Arial" w:cs="Arial"/>
          <w:sz w:val="22"/>
          <w:lang w:val="es-ES_tradnl"/>
        </w:rPr>
        <w:footnoteReference w:id="22"/>
      </w:r>
      <w:r w:rsidR="00163B60" w:rsidRPr="00BA7067">
        <w:rPr>
          <w:rFonts w:ascii="Arial" w:eastAsia="Calibri" w:hAnsi="Arial" w:cs="Arial"/>
          <w:sz w:val="22"/>
          <w:lang w:val="es-ES_tradnl"/>
        </w:rPr>
        <w:t xml:space="preserve">. De la misma manera, el </w:t>
      </w:r>
      <w:r w:rsidR="00163B60" w:rsidRPr="00BA7067">
        <w:rPr>
          <w:rFonts w:ascii="Arial" w:eastAsia="Calibri" w:hAnsi="Arial" w:cs="Arial"/>
          <w:sz w:val="22"/>
          <w:lang w:val="es-ES_tradnl"/>
        </w:rPr>
        <w:lastRenderedPageBreak/>
        <w:t>artículo 103 del Estatuto de Arbitraje Nacional e Internacional –Ley 1563 de 2012– permite la terminación del proceso arbitral por transacción entre las partes</w:t>
      </w:r>
      <w:r w:rsidR="00163B60" w:rsidRPr="00BA7067">
        <w:rPr>
          <w:rStyle w:val="Refdenotaalpie"/>
          <w:rFonts w:ascii="Arial" w:eastAsia="Calibri" w:hAnsi="Arial" w:cs="Arial"/>
          <w:sz w:val="22"/>
          <w:lang w:val="es-ES_tradnl"/>
        </w:rPr>
        <w:footnoteReference w:id="23"/>
      </w:r>
      <w:r w:rsidR="00163B60" w:rsidRPr="00BA7067">
        <w:rPr>
          <w:rFonts w:ascii="Arial" w:eastAsia="Calibri" w:hAnsi="Arial" w:cs="Arial"/>
          <w:sz w:val="22"/>
          <w:lang w:val="es-ES_tradnl"/>
        </w:rPr>
        <w:t>. El artículo 313 del Código General del Proceso –Ley 1564 de 2012–, por su parte, dispone que «Los representantes de la nación, departamentos y municipios no podrán transigir sin autorización del Gobierno Nacional, del gobernador o alcalde, según fuere el caso»; pero esta última norma –valga resaltar– solo aplica en los procesos jurisdiccionales conforme lo determina el objeto del mismo Código General del Proceso.</w:t>
      </w:r>
    </w:p>
    <w:p w14:paraId="113C9F57" w14:textId="3066A827" w:rsidR="00163B60" w:rsidRPr="00BA7067" w:rsidRDefault="00163B60" w:rsidP="00163B60">
      <w:pPr>
        <w:spacing w:before="120" w:line="276" w:lineRule="auto"/>
        <w:ind w:firstLine="709"/>
        <w:jc w:val="both"/>
        <w:rPr>
          <w:rFonts w:ascii="Arial" w:eastAsia="Calibri" w:hAnsi="Arial" w:cs="Arial"/>
          <w:sz w:val="22"/>
          <w:lang w:val="es-ES_tradnl"/>
        </w:rPr>
      </w:pPr>
      <w:r w:rsidRPr="00BA7067">
        <w:rPr>
          <w:rFonts w:ascii="Arial" w:eastAsia="Calibri" w:hAnsi="Arial" w:cs="Arial"/>
          <w:sz w:val="22"/>
          <w:lang w:val="es-ES_tradnl"/>
        </w:rPr>
        <w:t>En el ámbito de la contratación estatal, la jurisprudencia del Consejo de Estado</w:t>
      </w:r>
      <w:r w:rsidRPr="00BA7067">
        <w:rPr>
          <w:rStyle w:val="Refdenotaalpie"/>
          <w:rFonts w:ascii="Arial" w:eastAsia="Calibri" w:hAnsi="Arial" w:cs="Arial"/>
          <w:sz w:val="22"/>
          <w:lang w:val="es-ES_tradnl"/>
        </w:rPr>
        <w:footnoteReference w:id="24"/>
      </w:r>
      <w:r w:rsidRPr="00BA7067">
        <w:rPr>
          <w:rFonts w:ascii="Arial" w:eastAsia="Calibri" w:hAnsi="Arial" w:cs="Arial"/>
          <w:sz w:val="22"/>
          <w:lang w:val="es-ES_tradnl"/>
        </w:rPr>
        <w:t xml:space="preserve"> y la doctrina</w:t>
      </w:r>
      <w:r w:rsidRPr="00BA7067">
        <w:rPr>
          <w:rStyle w:val="Refdenotaalpie"/>
          <w:rFonts w:ascii="Arial" w:eastAsia="Calibri" w:hAnsi="Arial" w:cs="Arial"/>
          <w:sz w:val="22"/>
          <w:lang w:val="es-ES_tradnl"/>
        </w:rPr>
        <w:footnoteReference w:id="25"/>
      </w:r>
      <w:r w:rsidRPr="00BA7067">
        <w:rPr>
          <w:rFonts w:ascii="Arial" w:eastAsia="Calibri" w:hAnsi="Arial" w:cs="Arial"/>
          <w:sz w:val="22"/>
          <w:lang w:val="es-ES_tradnl"/>
        </w:rPr>
        <w:t xml:space="preserve"> han reconocido la procedencia de la transacción extrajudicial, como mecanismo apropiado para precaver litigios eventuales o para resolver controversias entre las entidades estatales y sus contratistas. La Subdirección de Gestión Contractual está de acuerdo con dicha postura, pues tanto en las normas civiles como en el Estatuto General de Contratación de la Administración Pública, se encuentra la habilitación legal para que las entidades públicas celebren contratos de transacción. Más aún, los órganos del Estado que se rigen por la Ley 80 de 1993 y sus normas complementarias, no solo tienen la facultad de transigir, sino que además están obligados a resolver oportunamente las controversias contractuales, para evitar que los conflictos escalen y se generen consecuencias jurídicas y pecuniarias más gravosas para el erario. </w:t>
      </w:r>
    </w:p>
    <w:p w14:paraId="5DB99642" w14:textId="6CF179E8" w:rsidR="00163B60" w:rsidRPr="00BA7067" w:rsidRDefault="00163B60" w:rsidP="00163B60">
      <w:pPr>
        <w:spacing w:before="120" w:line="276" w:lineRule="auto"/>
        <w:ind w:firstLine="709"/>
        <w:jc w:val="both"/>
        <w:rPr>
          <w:rFonts w:ascii="Arial" w:eastAsia="Calibri" w:hAnsi="Arial" w:cs="Arial"/>
          <w:sz w:val="22"/>
        </w:rPr>
      </w:pPr>
      <w:r w:rsidRPr="00BA7067">
        <w:rPr>
          <w:rFonts w:ascii="Arial" w:eastAsia="Calibri" w:hAnsi="Arial" w:cs="Arial"/>
          <w:sz w:val="22"/>
          <w:lang w:val="es-ES_tradnl"/>
        </w:rPr>
        <w:t>Para ilustrar mejor lo anterior, conviene señalar que la transacción se encuentra consagrada en varias disposiciones de la Ley 80 de 1993, como mecanismo alternativo de resolución de conflictos al que pueden acudir las entidades estatales y los contratistas para poner fin a sus diferencias o precaver litigios eventuales. Como muestra de ello, el</w:t>
      </w:r>
      <w:r w:rsidR="002E5F64" w:rsidRPr="00BA7067">
        <w:rPr>
          <w:rFonts w:ascii="Arial" w:eastAsia="Calibri" w:hAnsi="Arial" w:cs="Arial"/>
          <w:sz w:val="22"/>
          <w:lang w:val="es-ES_tradnl"/>
        </w:rPr>
        <w:t xml:space="preserve"> numeral 9 del</w:t>
      </w:r>
      <w:r w:rsidRPr="00BA7067">
        <w:rPr>
          <w:rFonts w:ascii="Arial" w:eastAsia="Calibri" w:hAnsi="Arial" w:cs="Arial"/>
          <w:sz w:val="22"/>
          <w:lang w:val="es-ES_tradnl"/>
        </w:rPr>
        <w:t xml:space="preserve"> artículo 4</w:t>
      </w:r>
      <w:r w:rsidR="002E5F64" w:rsidRPr="00BA7067">
        <w:rPr>
          <w:rFonts w:ascii="Arial" w:eastAsia="Calibri" w:hAnsi="Arial" w:cs="Arial"/>
          <w:sz w:val="22"/>
          <w:lang w:val="es-ES_tradnl"/>
        </w:rPr>
        <w:t xml:space="preserve"> </w:t>
      </w:r>
      <w:r w:rsidR="002E5F64" w:rsidRPr="00BA7067">
        <w:rPr>
          <w:rFonts w:ascii="Arial" w:eastAsia="Calibri" w:hAnsi="Arial" w:cs="Arial"/>
          <w:i/>
          <w:iCs/>
          <w:sz w:val="22"/>
          <w:lang w:val="es-ES_tradnl"/>
        </w:rPr>
        <w:t>ibidem</w:t>
      </w:r>
      <w:r w:rsidRPr="00BA7067">
        <w:rPr>
          <w:rFonts w:ascii="Arial" w:eastAsia="Calibri" w:hAnsi="Arial" w:cs="Arial"/>
          <w:sz w:val="22"/>
          <w:lang w:val="es-ES_tradnl"/>
        </w:rPr>
        <w:t xml:space="preserve"> </w:t>
      </w:r>
      <w:r w:rsidR="003A2CB5" w:rsidRPr="00BA7067">
        <w:rPr>
          <w:rFonts w:ascii="Arial" w:eastAsia="Calibri" w:hAnsi="Arial" w:cs="Arial"/>
          <w:sz w:val="22"/>
          <w:lang w:val="es-ES_tradnl"/>
        </w:rPr>
        <w:t>establece</w:t>
      </w:r>
      <w:r w:rsidRPr="00BA7067">
        <w:rPr>
          <w:rFonts w:ascii="Arial" w:eastAsia="Calibri" w:hAnsi="Arial" w:cs="Arial"/>
          <w:sz w:val="22"/>
          <w:lang w:val="es-ES_tradnl"/>
        </w:rPr>
        <w:t xml:space="preserve"> que las entidades estatales «Actuarán de tal modo que por causas a ellas imputables, no sobrevenga una mayor onerosidad en el cumplimiento de las </w:t>
      </w:r>
      <w:r w:rsidRPr="00BA7067">
        <w:rPr>
          <w:rFonts w:ascii="Arial" w:eastAsia="Calibri" w:hAnsi="Arial" w:cs="Arial"/>
          <w:sz w:val="22"/>
          <w:lang w:val="es-ES_tradnl"/>
        </w:rPr>
        <w:lastRenderedPageBreak/>
        <w:t>obligaciones a cargo del contratista» y que «Con este fin, en el menor tiempo posible, corregirán los desajustes que pudieren presentarse y acordarán los mecanismos y procedimientos pertinentes para precaver o solucionar rápida y eficazmente las diferencias o situaciones litigiosas que llegaren a presentarse». En otras palabras, es deber de las entidades estatales buscar la solución oportuna de las controversias, para evitar que estas cada vez se tornen más complejas. Con ello se logran reducir los litigios y, por lo tanto, la congestión judicial. Además, la resolución rápida de una situación controversial impide que se incrementen los perjuicios de la parte afectada y que el Estado tenga que soportar condenas cuantiosas en el escenario jurisdiccional.</w:t>
      </w:r>
    </w:p>
    <w:p w14:paraId="33C65105" w14:textId="77777777" w:rsidR="00163B60" w:rsidRPr="00BA7067" w:rsidRDefault="00163B60" w:rsidP="00163B60">
      <w:pPr>
        <w:spacing w:before="120" w:line="276" w:lineRule="auto"/>
        <w:ind w:firstLine="709"/>
        <w:jc w:val="both"/>
        <w:rPr>
          <w:rFonts w:ascii="Arial" w:eastAsia="Calibri" w:hAnsi="Arial" w:cs="Arial"/>
          <w:sz w:val="22"/>
          <w:lang w:val="es-ES_tradnl"/>
        </w:rPr>
      </w:pPr>
      <w:r w:rsidRPr="00BA7067">
        <w:rPr>
          <w:rFonts w:ascii="Arial" w:eastAsia="Calibri" w:hAnsi="Arial" w:cs="Arial"/>
          <w:sz w:val="22"/>
          <w:lang w:val="es-ES_tradnl"/>
        </w:rPr>
        <w:t>Por otra parte, el artículo 60 de la Ley 80 de 1993 reconoce la procedencia de la transacción en la etapa de liquidación del contrato, estableciendo que «En el acta de liquidación constarán los acuerdos, conciliaciones y transacciones a que llegaren las partes para poner fin a las divergencias presentadas y poder declararse a paz y salvo». Los beneficios de la transacción en el acta de liquidación bilateral han sido puestos de presente por la doctrina, afirmando que aquella «[…] es un verdadero negocio jurídico que envuelve una transacción, es decir, con su suscripción, cada una de las partes puede tener certeza de la finalización de la relación negocial. Además, los principios de buena fe y del respeto del acto propio guían la ejecución de los contratos, por lo cual si una parte no manifestó explícitamente los motivos de su inconformidad no le es dable volver judicialmente sobre un acto en el que pareció expresar su conformidad con la forma en que quedó finiquitada la relación negocial»</w:t>
      </w:r>
      <w:r w:rsidRPr="00BA7067">
        <w:rPr>
          <w:rStyle w:val="Refdenotaalpie"/>
          <w:rFonts w:ascii="Arial" w:eastAsia="Calibri" w:hAnsi="Arial" w:cs="Arial"/>
          <w:sz w:val="22"/>
          <w:lang w:val="es-ES_tradnl"/>
        </w:rPr>
        <w:footnoteReference w:id="26"/>
      </w:r>
      <w:r w:rsidRPr="00BA7067">
        <w:rPr>
          <w:rFonts w:ascii="Arial" w:eastAsia="Calibri" w:hAnsi="Arial" w:cs="Arial"/>
          <w:sz w:val="22"/>
          <w:lang w:val="es-ES_tradnl"/>
        </w:rPr>
        <w:t xml:space="preserve">.    </w:t>
      </w:r>
    </w:p>
    <w:p w14:paraId="5A1F0DFF" w14:textId="43F55DE7" w:rsidR="00163B60" w:rsidRPr="00BA7067" w:rsidRDefault="00163B60" w:rsidP="00163B60">
      <w:pPr>
        <w:spacing w:before="120" w:line="276" w:lineRule="auto"/>
        <w:ind w:firstLine="709"/>
        <w:jc w:val="both"/>
        <w:rPr>
          <w:rFonts w:ascii="Arial" w:eastAsia="Calibri" w:hAnsi="Arial" w:cs="Arial"/>
          <w:sz w:val="22"/>
          <w:lang w:val="es-ES_tradnl"/>
        </w:rPr>
      </w:pPr>
      <w:r w:rsidRPr="00BA7067">
        <w:rPr>
          <w:rFonts w:ascii="Arial" w:eastAsia="Calibri" w:hAnsi="Arial" w:cs="Arial"/>
          <w:sz w:val="22"/>
          <w:lang w:val="es-ES_tradnl"/>
        </w:rPr>
        <w:t xml:space="preserve"> Adicionalmente, el</w:t>
      </w:r>
      <w:r w:rsidR="00106127" w:rsidRPr="00BA7067">
        <w:rPr>
          <w:rFonts w:ascii="Arial" w:eastAsia="Calibri" w:hAnsi="Arial" w:cs="Arial"/>
          <w:sz w:val="22"/>
          <w:lang w:val="es-ES_tradnl"/>
        </w:rPr>
        <w:t xml:space="preserve"> numeral 5 del</w:t>
      </w:r>
      <w:r w:rsidRPr="00BA7067">
        <w:rPr>
          <w:rFonts w:ascii="Arial" w:eastAsia="Calibri" w:hAnsi="Arial" w:cs="Arial"/>
          <w:sz w:val="22"/>
          <w:lang w:val="es-ES_tradnl"/>
        </w:rPr>
        <w:t xml:space="preserve"> artículo 25 de la Ley 80 de 1993 dispone que, en virtud del principio de economía, deben adoptar</w:t>
      </w:r>
      <w:r w:rsidR="0036611B" w:rsidRPr="00BA7067">
        <w:rPr>
          <w:rFonts w:ascii="Arial" w:eastAsia="Calibri" w:hAnsi="Arial" w:cs="Arial"/>
          <w:sz w:val="22"/>
          <w:lang w:val="es-ES_tradnl"/>
        </w:rPr>
        <w:t>se</w:t>
      </w:r>
      <w:r w:rsidRPr="00BA7067">
        <w:rPr>
          <w:rFonts w:ascii="Arial" w:eastAsia="Calibri" w:hAnsi="Arial" w:cs="Arial"/>
          <w:sz w:val="22"/>
          <w:lang w:val="es-ES_tradnl"/>
        </w:rPr>
        <w:t xml:space="preserve"> «[…] procedimientos que garanticen la pronta solución de las diferencias y controversias que con motivo de la celebración y ejecución del contrato se presenten». Por otra parte, los artículos 32 y 40 permiten a las entidades estatales celebrar todos los contratos que tengan su fuente en el ejercicio de la autonomía de la voluntad, así como en las normas civiles y comerciales. Siendo </w:t>
      </w:r>
      <w:r w:rsidR="00151857" w:rsidRPr="00BA7067">
        <w:rPr>
          <w:rFonts w:ascii="Arial" w:eastAsia="Calibri" w:hAnsi="Arial" w:cs="Arial"/>
          <w:sz w:val="22"/>
          <w:lang w:val="es-ES_tradnl"/>
        </w:rPr>
        <w:t>la</w:t>
      </w:r>
      <w:r w:rsidRPr="00BA7067">
        <w:rPr>
          <w:rFonts w:ascii="Arial" w:eastAsia="Calibri" w:hAnsi="Arial" w:cs="Arial"/>
          <w:sz w:val="22"/>
          <w:lang w:val="es-ES_tradnl"/>
        </w:rPr>
        <w:t xml:space="preserve"> transacción un contrato consagrado en el artículo 2469 del Código Civil, es un negocio jurídico que </w:t>
      </w:r>
      <w:r w:rsidR="008432A7" w:rsidRPr="00BA7067">
        <w:rPr>
          <w:rFonts w:ascii="Arial" w:eastAsia="Calibri" w:hAnsi="Arial" w:cs="Arial"/>
          <w:sz w:val="22"/>
          <w:lang w:val="es-ES_tradnl"/>
        </w:rPr>
        <w:t xml:space="preserve">las entidades estatales </w:t>
      </w:r>
      <w:r w:rsidRPr="00BA7067">
        <w:rPr>
          <w:rFonts w:ascii="Arial" w:eastAsia="Calibri" w:hAnsi="Arial" w:cs="Arial"/>
          <w:sz w:val="22"/>
          <w:lang w:val="es-ES_tradnl"/>
        </w:rPr>
        <w:t>pueden celebrar en el marco de la ejecución de otro contrato. Además, como se indicó, el artículo 1625, numeral 3, del Código Civil establece que la transacción es un modo de extinguir las obligaciones. Esta norma también resulta aplicable en la contratación estatal, en virtud de la remisión a las normas civiles que realiza el artículo 13 de la Ley 80 de 1993, según el cual «Los contratos que celebren las entidades a que se refiere el artículo 2o. del presente estatuto se regirán por las disposiciones comerciales y civiles pertinentes, salvo en las materias particularmente reguladas en esta ley».</w:t>
      </w:r>
    </w:p>
    <w:p w14:paraId="7468E007" w14:textId="6E0D455E" w:rsidR="00163B60" w:rsidRPr="00BA7067" w:rsidRDefault="00163B60" w:rsidP="00163B60">
      <w:pPr>
        <w:spacing w:before="120" w:line="276" w:lineRule="auto"/>
        <w:ind w:firstLine="709"/>
        <w:jc w:val="both"/>
        <w:rPr>
          <w:rFonts w:ascii="Arial" w:eastAsia="Calibri" w:hAnsi="Arial" w:cs="Arial"/>
          <w:sz w:val="22"/>
          <w:lang w:val="es-ES_tradnl"/>
        </w:rPr>
      </w:pPr>
      <w:r w:rsidRPr="00BA7067">
        <w:rPr>
          <w:rFonts w:ascii="Arial" w:eastAsia="Calibri" w:hAnsi="Arial" w:cs="Arial"/>
          <w:sz w:val="22"/>
          <w:lang w:val="es-ES_tradnl"/>
        </w:rPr>
        <w:lastRenderedPageBreak/>
        <w:t xml:space="preserve">Por tal razón, la Sección Tercera del Consejo de Estado </w:t>
      </w:r>
      <w:r w:rsidR="00C06ABB" w:rsidRPr="00BA7067">
        <w:rPr>
          <w:rFonts w:ascii="Arial" w:eastAsia="Calibri" w:hAnsi="Arial" w:cs="Arial"/>
          <w:sz w:val="22"/>
          <w:lang w:val="es-ES_tradnl"/>
        </w:rPr>
        <w:t xml:space="preserve">ha </w:t>
      </w:r>
      <w:r w:rsidRPr="00BA7067">
        <w:rPr>
          <w:rFonts w:ascii="Arial" w:eastAsia="Calibri" w:hAnsi="Arial" w:cs="Arial"/>
          <w:sz w:val="22"/>
          <w:lang w:val="es-ES_tradnl"/>
        </w:rPr>
        <w:t>sosten</w:t>
      </w:r>
      <w:r w:rsidR="00C06ABB" w:rsidRPr="00BA7067">
        <w:rPr>
          <w:rFonts w:ascii="Arial" w:eastAsia="Calibri" w:hAnsi="Arial" w:cs="Arial"/>
          <w:sz w:val="22"/>
          <w:lang w:val="es-ES_tradnl"/>
        </w:rPr>
        <w:t>ido</w:t>
      </w:r>
      <w:r w:rsidRPr="00BA7067">
        <w:rPr>
          <w:rFonts w:ascii="Arial" w:eastAsia="Calibri" w:hAnsi="Arial" w:cs="Arial"/>
          <w:sz w:val="22"/>
          <w:lang w:val="es-ES_tradnl"/>
        </w:rPr>
        <w:t xml:space="preserve"> desde hace varios años que «Con esta perspectiva, la Sala no ha dudado en la procedencia de la celebración de transacciones bajo el imperio de las normas civiles por parte de entidades estatales, con la sola diferencia que en materia de contratación estatal el contrato es solemne y no consensual (arts. 39 y 41 de la ley 80 de 1993). Máxime cuando, como lo ha señalado la doctrina, la resolución de conflictos es un deber de la Administración contratante, la cual a la luz de la ley 80 de 1993 goza de cierta autonomía en la solución de sus eventuales litigios contractuales»</w:t>
      </w:r>
      <w:r w:rsidRPr="00BA7067">
        <w:rPr>
          <w:rStyle w:val="Refdenotaalpie"/>
          <w:rFonts w:ascii="Arial" w:eastAsia="Calibri" w:hAnsi="Arial" w:cs="Arial"/>
          <w:sz w:val="22"/>
          <w:lang w:val="es-ES_tradnl"/>
        </w:rPr>
        <w:footnoteReference w:id="27"/>
      </w:r>
      <w:r w:rsidRPr="00BA7067">
        <w:rPr>
          <w:rFonts w:ascii="Arial" w:eastAsia="Calibri" w:hAnsi="Arial" w:cs="Arial"/>
          <w:sz w:val="22"/>
          <w:lang w:val="es-ES_tradnl"/>
        </w:rPr>
        <w:t>.</w:t>
      </w:r>
    </w:p>
    <w:p w14:paraId="76675810" w14:textId="2E737F1D" w:rsidR="00163B60" w:rsidRPr="00BA7067" w:rsidRDefault="00163B60" w:rsidP="00163B60">
      <w:pPr>
        <w:spacing w:before="120" w:line="276" w:lineRule="auto"/>
        <w:ind w:firstLine="709"/>
        <w:jc w:val="both"/>
        <w:rPr>
          <w:rFonts w:ascii="Arial" w:eastAsia="Calibri" w:hAnsi="Arial" w:cs="Arial"/>
          <w:sz w:val="22"/>
          <w:lang w:val="es-ES_tradnl"/>
        </w:rPr>
      </w:pPr>
      <w:r w:rsidRPr="00BA7067">
        <w:rPr>
          <w:rFonts w:ascii="Arial" w:eastAsia="Calibri" w:hAnsi="Arial" w:cs="Arial"/>
          <w:sz w:val="22"/>
          <w:lang w:val="es-ES_tradnl"/>
        </w:rPr>
        <w:t xml:space="preserve">La transacción se ha destacado, así como un mecanismo alternativo de resolución de conflictos que aporta beneficios a las partes del contrato estatal, cuando </w:t>
      </w:r>
      <w:r w:rsidR="005E3D1C" w:rsidRPr="00BA7067">
        <w:rPr>
          <w:rFonts w:ascii="Arial" w:eastAsia="Calibri" w:hAnsi="Arial" w:cs="Arial"/>
          <w:sz w:val="22"/>
          <w:lang w:val="es-ES_tradnl"/>
        </w:rPr>
        <w:t>se</w:t>
      </w:r>
      <w:r w:rsidRPr="00BA7067">
        <w:rPr>
          <w:rFonts w:ascii="Arial" w:eastAsia="Calibri" w:hAnsi="Arial" w:cs="Arial"/>
          <w:sz w:val="22"/>
          <w:lang w:val="es-ES_tradnl"/>
        </w:rPr>
        <w:t xml:space="preserve"> realiza de manera adecuada. En tal sentido, </w:t>
      </w:r>
      <w:r w:rsidR="002A4198" w:rsidRPr="00BA7067">
        <w:rPr>
          <w:rFonts w:ascii="Arial" w:eastAsia="Calibri" w:hAnsi="Arial" w:cs="Arial"/>
          <w:sz w:val="22"/>
          <w:lang w:val="es-ES_tradnl"/>
        </w:rPr>
        <w:t xml:space="preserve">la jurisprudencia </w:t>
      </w:r>
      <w:r w:rsidRPr="00BA7067">
        <w:rPr>
          <w:rFonts w:ascii="Arial" w:eastAsia="Calibri" w:hAnsi="Arial" w:cs="Arial"/>
          <w:sz w:val="22"/>
          <w:lang w:val="es-ES_tradnl"/>
        </w:rPr>
        <w:t>ha señalado que «</w:t>
      </w:r>
      <w:r w:rsidRPr="00BA7067">
        <w:rPr>
          <w:rFonts w:ascii="Arial" w:hAnsi="Arial" w:cs="Arial"/>
          <w:sz w:val="22"/>
        </w:rPr>
        <w:t xml:space="preserve">[…] </w:t>
      </w:r>
      <w:r w:rsidRPr="00BA7067">
        <w:rPr>
          <w:rFonts w:ascii="Arial" w:eastAsia="Calibri" w:hAnsi="Arial" w:cs="Arial"/>
          <w:sz w:val="22"/>
          <w:lang w:val="es-ES_tradnl"/>
        </w:rPr>
        <w:t>uno de los principales efectos que genera el acuerdo transaccional es el de cosa juzgada, por el pacto de voluntades; en consecuencia, cuando se transa sobre la totalidad de los asuntos discutidos, las partes no pueden reavivar el conflicto acudiendo a la jurisdicción o, en caso de que haya un proceso judicial en curso, habrá lugar a la terminación anormal del mismo»</w:t>
      </w:r>
      <w:r w:rsidRPr="00BA7067">
        <w:rPr>
          <w:rStyle w:val="Refdenotaalpie"/>
          <w:rFonts w:ascii="Arial" w:eastAsia="Calibri" w:hAnsi="Arial" w:cs="Arial"/>
          <w:sz w:val="22"/>
          <w:lang w:val="es-ES_tradnl"/>
        </w:rPr>
        <w:footnoteReference w:id="28"/>
      </w:r>
      <w:r w:rsidRPr="00BA7067">
        <w:rPr>
          <w:rFonts w:ascii="Arial" w:eastAsia="Calibri" w:hAnsi="Arial" w:cs="Arial"/>
          <w:sz w:val="22"/>
          <w:lang w:val="es-ES_tradnl"/>
        </w:rPr>
        <w:t>. Adicionalmente, se ha indicado que la transacción es un modo válido de llegar a acuerdos sobre los aspectos económicos del contrato estatal</w:t>
      </w:r>
      <w:r w:rsidRPr="00BA7067">
        <w:rPr>
          <w:rStyle w:val="Refdenotaalpie"/>
          <w:rFonts w:ascii="Arial" w:eastAsia="Calibri" w:hAnsi="Arial" w:cs="Arial"/>
          <w:sz w:val="22"/>
          <w:lang w:val="es-ES_tradnl"/>
        </w:rPr>
        <w:footnoteReference w:id="29"/>
      </w:r>
      <w:r w:rsidRPr="00BA7067">
        <w:rPr>
          <w:rFonts w:ascii="Arial" w:eastAsia="Calibri" w:hAnsi="Arial" w:cs="Arial"/>
          <w:sz w:val="22"/>
          <w:lang w:val="es-ES_tradnl"/>
        </w:rPr>
        <w:t>, sin afectar los derechos colectivos a la moralidad administrativa y al patrimonio público</w:t>
      </w:r>
      <w:r w:rsidRPr="00BA7067">
        <w:rPr>
          <w:rStyle w:val="Refdenotaalpie"/>
          <w:rFonts w:ascii="Arial" w:eastAsia="Calibri" w:hAnsi="Arial" w:cs="Arial"/>
          <w:sz w:val="22"/>
          <w:lang w:val="es-ES_tradnl"/>
        </w:rPr>
        <w:footnoteReference w:id="30"/>
      </w:r>
      <w:r w:rsidRPr="00BA7067">
        <w:rPr>
          <w:rFonts w:ascii="Arial" w:eastAsia="Calibri" w:hAnsi="Arial" w:cs="Arial"/>
          <w:sz w:val="22"/>
          <w:lang w:val="es-ES_tradnl"/>
        </w:rPr>
        <w:t xml:space="preserve">. Específicamente, el Consejo de Estado también ha concebido la transacción como un mecanismo </w:t>
      </w:r>
      <w:r w:rsidR="008031CF" w:rsidRPr="00BA7067">
        <w:rPr>
          <w:rFonts w:ascii="Arial" w:eastAsia="Calibri" w:hAnsi="Arial" w:cs="Arial"/>
          <w:sz w:val="22"/>
          <w:lang w:val="es-ES_tradnl"/>
        </w:rPr>
        <w:t>adecuado</w:t>
      </w:r>
      <w:r w:rsidRPr="00BA7067">
        <w:rPr>
          <w:rFonts w:ascii="Arial" w:eastAsia="Calibri" w:hAnsi="Arial" w:cs="Arial"/>
          <w:sz w:val="22"/>
          <w:lang w:val="es-ES_tradnl"/>
        </w:rPr>
        <w:t xml:space="preserve"> para restablecer el equilibrio económico del contrato, en cumplimiento del mandato contenido en el</w:t>
      </w:r>
      <w:r w:rsidR="0095079A" w:rsidRPr="00BA7067">
        <w:rPr>
          <w:rFonts w:ascii="Arial" w:eastAsia="Calibri" w:hAnsi="Arial" w:cs="Arial"/>
          <w:sz w:val="22"/>
          <w:lang w:val="es-ES_tradnl"/>
        </w:rPr>
        <w:t xml:space="preserve"> numeral 9 del</w:t>
      </w:r>
      <w:r w:rsidRPr="00BA7067">
        <w:rPr>
          <w:rFonts w:ascii="Arial" w:eastAsia="Calibri" w:hAnsi="Arial" w:cs="Arial"/>
          <w:sz w:val="22"/>
          <w:lang w:val="es-ES_tradnl"/>
        </w:rPr>
        <w:t xml:space="preserve"> artículo 4 de la Ley 80 de 1993</w:t>
      </w:r>
      <w:r w:rsidRPr="00BA7067">
        <w:rPr>
          <w:rStyle w:val="Refdenotaalpie"/>
          <w:rFonts w:ascii="Arial" w:eastAsia="Calibri" w:hAnsi="Arial" w:cs="Arial"/>
          <w:sz w:val="22"/>
          <w:lang w:val="es-ES_tradnl"/>
        </w:rPr>
        <w:footnoteReference w:id="31"/>
      </w:r>
      <w:r w:rsidRPr="00BA7067">
        <w:rPr>
          <w:rFonts w:ascii="Arial" w:eastAsia="Calibri" w:hAnsi="Arial" w:cs="Arial"/>
          <w:sz w:val="22"/>
          <w:lang w:val="es-ES_tradnl"/>
        </w:rPr>
        <w:t xml:space="preserve">. </w:t>
      </w:r>
    </w:p>
    <w:p w14:paraId="41BD551D" w14:textId="57D49160" w:rsidR="00163B60" w:rsidRPr="00BA7067" w:rsidRDefault="00163B60" w:rsidP="00F25EA6">
      <w:pPr>
        <w:spacing w:before="120" w:line="276" w:lineRule="auto"/>
        <w:ind w:firstLine="709"/>
        <w:jc w:val="both"/>
        <w:rPr>
          <w:rFonts w:ascii="Arial" w:eastAsia="Calibri" w:hAnsi="Arial" w:cs="Arial"/>
          <w:sz w:val="22"/>
          <w:lang w:val="es-ES_tradnl"/>
        </w:rPr>
      </w:pPr>
      <w:r w:rsidRPr="00BA7067">
        <w:rPr>
          <w:rFonts w:ascii="Arial" w:eastAsia="Calibri" w:hAnsi="Arial" w:cs="Arial"/>
          <w:sz w:val="22"/>
          <w:lang w:val="es-ES_tradnl"/>
        </w:rPr>
        <w:t>Sin embargo, para que la transacción reporte ventajas a las partes, debe satisfacer las exigencias decantadas por la jurisprudencia. Según el Consejo de Estado: «</w:t>
      </w:r>
      <w:r w:rsidRPr="00BA7067">
        <w:rPr>
          <w:rFonts w:ascii="Arial" w:hAnsi="Arial" w:cs="Arial"/>
          <w:sz w:val="22"/>
          <w:lang w:val="es-ES_tradnl"/>
        </w:rPr>
        <w:t xml:space="preserve">[…] </w:t>
      </w:r>
      <w:r w:rsidRPr="00BA7067">
        <w:rPr>
          <w:rFonts w:ascii="Arial" w:eastAsia="Calibri" w:hAnsi="Arial" w:cs="Arial"/>
          <w:sz w:val="22"/>
          <w:lang w:val="es-ES_tradnl"/>
        </w:rPr>
        <w:t>jurisprudencialmente se ha agregado como elemento esencial de la transacción, las concesiones o sacrificios recíprocos entre las partes»</w:t>
      </w:r>
      <w:r w:rsidRPr="00BA7067">
        <w:rPr>
          <w:rStyle w:val="Refdenotaalpie"/>
          <w:rFonts w:ascii="Arial" w:eastAsia="Calibri" w:hAnsi="Arial" w:cs="Arial"/>
          <w:sz w:val="22"/>
          <w:lang w:val="es-ES_tradnl"/>
        </w:rPr>
        <w:footnoteReference w:id="32"/>
      </w:r>
      <w:r w:rsidR="00F53BA1" w:rsidRPr="00BA7067">
        <w:rPr>
          <w:rFonts w:ascii="Arial" w:eastAsia="Calibri" w:hAnsi="Arial" w:cs="Arial"/>
          <w:sz w:val="22"/>
          <w:lang w:val="es-ES_tradnl"/>
        </w:rPr>
        <w:t>,</w:t>
      </w:r>
      <w:r w:rsidRPr="00BA7067">
        <w:rPr>
          <w:rFonts w:ascii="Arial" w:eastAsia="Calibri" w:hAnsi="Arial" w:cs="Arial"/>
          <w:sz w:val="22"/>
          <w:lang w:val="es-ES_tradnl"/>
        </w:rPr>
        <w:t xml:space="preserve"> es decir, el arreglo directo no puede </w:t>
      </w:r>
      <w:r w:rsidRPr="00BA7067">
        <w:rPr>
          <w:rFonts w:ascii="Arial" w:eastAsia="Calibri" w:hAnsi="Arial" w:cs="Arial"/>
          <w:sz w:val="22"/>
          <w:lang w:val="es-ES_tradnl"/>
        </w:rPr>
        <w:lastRenderedPageBreak/>
        <w:t>«[…] mostrarse abiertamente desproporcionado». Este elemento también ha sido determinante para la justicia arbitral, pues en el evento en el que se celebre un contrato de transacción donde no se pactan concesiones recíprocas entre las partes, se está ante una figura jurídica diferente a la transacción</w:t>
      </w:r>
      <w:r w:rsidRPr="00BA7067">
        <w:rPr>
          <w:rStyle w:val="Refdenotaalpie"/>
          <w:rFonts w:ascii="Arial" w:eastAsia="Calibri" w:hAnsi="Arial" w:cs="Arial"/>
          <w:sz w:val="22"/>
          <w:lang w:val="es-ES_tradnl"/>
        </w:rPr>
        <w:footnoteReference w:id="33"/>
      </w:r>
      <w:r w:rsidRPr="00BA7067">
        <w:rPr>
          <w:rFonts w:ascii="Arial" w:eastAsia="Calibri" w:hAnsi="Arial" w:cs="Arial"/>
          <w:sz w:val="22"/>
          <w:lang w:val="es-ES_tradnl"/>
        </w:rPr>
        <w:t xml:space="preserve">, como por ejemplo una modificación de común acuerdo del contrato estatal. Por lo tanto, el acuerdo transaccional no puede implicar un reconocimiento exorbitante para el contratista, que no tenga ningún sustento, ni una renuncia infundada para la entidad estatal a reclamar la indemnización de los perjuicios que le hayan sido causados. Debe ser, por el contrario, un arreglo basado en elementos objetivos que permitan justificar la utilización de este </w:t>
      </w:r>
      <w:proofErr w:type="gramStart"/>
      <w:r w:rsidRPr="00BA7067">
        <w:rPr>
          <w:rFonts w:ascii="Arial" w:eastAsia="Calibri" w:hAnsi="Arial" w:cs="Arial"/>
          <w:sz w:val="22"/>
          <w:lang w:val="es-ES_tradnl"/>
        </w:rPr>
        <w:t xml:space="preserve">mecanismo </w:t>
      </w:r>
      <w:r w:rsidR="00845A97" w:rsidRPr="00BA7067">
        <w:rPr>
          <w:rFonts w:ascii="Arial" w:eastAsia="Calibri" w:hAnsi="Arial" w:cs="Arial"/>
          <w:sz w:val="22"/>
          <w:lang w:val="es-ES_tradnl"/>
        </w:rPr>
        <w:t>.</w:t>
      </w:r>
      <w:proofErr w:type="gramEnd"/>
      <w:r w:rsidRPr="00BA7067">
        <w:rPr>
          <w:rStyle w:val="Refdenotaalpie"/>
          <w:rFonts w:ascii="Arial" w:eastAsia="Calibri" w:hAnsi="Arial" w:cs="Arial"/>
          <w:sz w:val="22"/>
          <w:lang w:val="es-ES_tradnl"/>
        </w:rPr>
        <w:footnoteReference w:id="34"/>
      </w:r>
      <w:r w:rsidRPr="00BA7067">
        <w:rPr>
          <w:rFonts w:ascii="Arial" w:eastAsia="Calibri" w:hAnsi="Arial" w:cs="Arial"/>
          <w:sz w:val="22"/>
          <w:lang w:val="es-ES_tradnl"/>
        </w:rPr>
        <w:t xml:space="preserve"> </w:t>
      </w:r>
    </w:p>
    <w:p w14:paraId="177716C0" w14:textId="7B98C224" w:rsidR="00163B60" w:rsidRPr="00BA7067" w:rsidRDefault="00163B60" w:rsidP="00163B60">
      <w:pPr>
        <w:spacing w:before="120" w:line="276" w:lineRule="auto"/>
        <w:ind w:firstLine="708"/>
        <w:jc w:val="both"/>
        <w:rPr>
          <w:rFonts w:ascii="Arial" w:eastAsia="Calibri" w:hAnsi="Arial" w:cs="Arial"/>
          <w:sz w:val="22"/>
        </w:rPr>
      </w:pPr>
      <w:r w:rsidRPr="00BA7067">
        <w:rPr>
          <w:rFonts w:ascii="Arial" w:eastAsia="Calibri" w:hAnsi="Arial" w:cs="Arial"/>
          <w:sz w:val="22"/>
        </w:rPr>
        <w:t xml:space="preserve">Por otra parte, aunque la transacción produce el efecto de cosa juzgada en última instancia, es factible demandar su nulidad o rescisión, de conformidad a los artículos 2476 a 2482 del Código Civil, así como por las causales generales de nulidad previstas en los artículos 1740 a 1756 </w:t>
      </w:r>
      <w:r w:rsidR="004E7E2A" w:rsidRPr="00BA7067">
        <w:rPr>
          <w:rFonts w:ascii="Arial" w:eastAsia="Calibri" w:hAnsi="Arial" w:cs="Arial"/>
          <w:i/>
          <w:iCs/>
          <w:sz w:val="22"/>
        </w:rPr>
        <w:t>ibidem</w:t>
      </w:r>
      <w:r w:rsidRPr="00BA7067">
        <w:rPr>
          <w:rFonts w:ascii="Arial" w:eastAsia="Calibri" w:hAnsi="Arial" w:cs="Arial"/>
          <w:sz w:val="22"/>
        </w:rPr>
        <w:t>. Teniendo en cuenta que el contrato de transacción se enmarca en la definición de contrato estatal –pues se trata de un acto jurídico generador de obligaciones celebrado por una entidad estatal</w:t>
      </w:r>
      <w:r w:rsidRPr="00BA7067">
        <w:rPr>
          <w:rStyle w:val="Refdenotaalpie"/>
          <w:rFonts w:ascii="Arial" w:eastAsia="Calibri" w:hAnsi="Arial" w:cs="Arial"/>
          <w:sz w:val="22"/>
        </w:rPr>
        <w:footnoteReference w:id="35"/>
      </w:r>
      <w:r w:rsidR="009C6628" w:rsidRPr="00BA7067">
        <w:rPr>
          <w:rFonts w:ascii="Arial" w:eastAsia="Calibri" w:hAnsi="Arial" w:cs="Arial"/>
          <w:sz w:val="22"/>
        </w:rPr>
        <w:t>–</w:t>
      </w:r>
      <w:r w:rsidRPr="00BA7067">
        <w:rPr>
          <w:rFonts w:ascii="Arial" w:eastAsia="Calibri" w:hAnsi="Arial" w:cs="Arial"/>
          <w:sz w:val="22"/>
        </w:rPr>
        <w:t xml:space="preserve">, el medio de control que debe </w:t>
      </w:r>
      <w:r w:rsidR="00B51FEF" w:rsidRPr="00BA7067">
        <w:rPr>
          <w:rFonts w:ascii="Arial" w:eastAsia="Calibri" w:hAnsi="Arial" w:cs="Arial"/>
          <w:sz w:val="22"/>
        </w:rPr>
        <w:t>emplearse</w:t>
      </w:r>
      <w:r w:rsidRPr="00BA7067">
        <w:rPr>
          <w:rFonts w:ascii="Arial" w:eastAsia="Calibri" w:hAnsi="Arial" w:cs="Arial"/>
          <w:sz w:val="22"/>
        </w:rPr>
        <w:t xml:space="preserve"> en este caso es </w:t>
      </w:r>
      <w:r w:rsidR="0087541D" w:rsidRPr="00BA7067">
        <w:rPr>
          <w:rFonts w:ascii="Arial" w:eastAsia="Calibri" w:hAnsi="Arial" w:cs="Arial"/>
          <w:sz w:val="22"/>
        </w:rPr>
        <w:t>el</w:t>
      </w:r>
      <w:r w:rsidRPr="00BA7067">
        <w:rPr>
          <w:rFonts w:ascii="Arial" w:eastAsia="Calibri" w:hAnsi="Arial" w:cs="Arial"/>
          <w:sz w:val="22"/>
        </w:rPr>
        <w:t xml:space="preserve"> de controversias contractuales</w:t>
      </w:r>
      <w:r w:rsidR="002A4198" w:rsidRPr="00BA7067">
        <w:rPr>
          <w:rFonts w:ascii="Arial" w:eastAsia="Calibri" w:hAnsi="Arial" w:cs="Arial"/>
          <w:sz w:val="22"/>
        </w:rPr>
        <w:t xml:space="preserve"> previsto</w:t>
      </w:r>
      <w:r w:rsidRPr="00BA7067">
        <w:rPr>
          <w:rFonts w:ascii="Arial" w:eastAsia="Calibri" w:hAnsi="Arial" w:cs="Arial"/>
          <w:sz w:val="22"/>
        </w:rPr>
        <w:t xml:space="preserve"> </w:t>
      </w:r>
      <w:r w:rsidR="002A4198" w:rsidRPr="00BA7067">
        <w:rPr>
          <w:rFonts w:ascii="Arial" w:eastAsia="Calibri" w:hAnsi="Arial" w:cs="Arial"/>
          <w:sz w:val="22"/>
        </w:rPr>
        <w:t xml:space="preserve">en </w:t>
      </w:r>
      <w:r w:rsidRPr="00BA7067">
        <w:rPr>
          <w:rFonts w:ascii="Arial" w:eastAsia="Calibri" w:hAnsi="Arial" w:cs="Arial"/>
          <w:sz w:val="22"/>
        </w:rPr>
        <w:t>el artículo 141 del CPACA</w:t>
      </w:r>
      <w:r w:rsidRPr="00BA7067">
        <w:rPr>
          <w:rStyle w:val="Refdenotaalpie"/>
          <w:rFonts w:ascii="Arial" w:eastAsia="Calibri" w:hAnsi="Arial" w:cs="Arial"/>
          <w:sz w:val="22"/>
        </w:rPr>
        <w:footnoteReference w:id="36"/>
      </w:r>
      <w:r w:rsidRPr="00BA7067">
        <w:rPr>
          <w:rFonts w:ascii="Arial" w:eastAsia="Calibri" w:hAnsi="Arial" w:cs="Arial"/>
          <w:sz w:val="22"/>
        </w:rPr>
        <w:t>.</w:t>
      </w:r>
    </w:p>
    <w:p w14:paraId="4EB075BA" w14:textId="433D0990" w:rsidR="00163B60" w:rsidRPr="00BA7067" w:rsidRDefault="005F329C" w:rsidP="00163B60">
      <w:pPr>
        <w:spacing w:before="120" w:line="276" w:lineRule="auto"/>
        <w:ind w:firstLine="708"/>
        <w:jc w:val="both"/>
        <w:rPr>
          <w:rFonts w:ascii="Arial" w:eastAsia="Calibri" w:hAnsi="Arial" w:cs="Arial"/>
          <w:sz w:val="22"/>
        </w:rPr>
      </w:pPr>
      <w:r w:rsidRPr="00BA7067">
        <w:rPr>
          <w:rFonts w:ascii="Arial" w:eastAsia="Calibri" w:hAnsi="Arial" w:cs="Arial"/>
          <w:sz w:val="22"/>
        </w:rPr>
        <w:t>El contrato de transacción debe suscribirlo</w:t>
      </w:r>
      <w:r w:rsidR="00163B60" w:rsidRPr="00BA7067">
        <w:rPr>
          <w:rFonts w:ascii="Arial" w:eastAsia="Calibri" w:hAnsi="Arial" w:cs="Arial"/>
          <w:sz w:val="22"/>
        </w:rPr>
        <w:t xml:space="preserve"> «[…] quien tenga la representación legal de la entidad, quien es el único que tiene la competencia para vincularla contractualmente y debe cumplir con las formalidades previstas en la ley para su procedencia, entre ellas las </w:t>
      </w:r>
      <w:r w:rsidR="00163B60" w:rsidRPr="00BA7067">
        <w:rPr>
          <w:rFonts w:ascii="Arial" w:eastAsia="Calibri" w:hAnsi="Arial" w:cs="Arial"/>
          <w:sz w:val="22"/>
        </w:rPr>
        <w:lastRenderedPageBreak/>
        <w:t>autorizaciones de ley»</w:t>
      </w:r>
      <w:r w:rsidR="00163B60" w:rsidRPr="00BA7067">
        <w:rPr>
          <w:rStyle w:val="Refdenotaalpie"/>
          <w:rFonts w:ascii="Arial" w:eastAsia="Calibri" w:hAnsi="Arial" w:cs="Arial"/>
          <w:sz w:val="22"/>
        </w:rPr>
        <w:footnoteReference w:id="37"/>
      </w:r>
      <w:r w:rsidR="00163B60" w:rsidRPr="00BA7067">
        <w:rPr>
          <w:rFonts w:ascii="Arial" w:eastAsia="Calibri" w:hAnsi="Arial" w:cs="Arial"/>
          <w:sz w:val="22"/>
        </w:rPr>
        <w:t xml:space="preserve">. No obstante, el artículo 313 del Código General del Proceso, dispone que «Los representantes de la nación, departamentos y municipios no podrán transigir sin autorización del Gobierno Nacional, del gobernador o alcalde, según fuere el caso»; </w:t>
      </w:r>
      <w:r w:rsidR="006626B7" w:rsidRPr="00BA7067">
        <w:rPr>
          <w:rFonts w:ascii="Arial" w:eastAsia="Calibri" w:hAnsi="Arial" w:cs="Arial"/>
          <w:sz w:val="22"/>
        </w:rPr>
        <w:t>sin embargo</w:t>
      </w:r>
      <w:r w:rsidR="00163B60" w:rsidRPr="00BA7067">
        <w:rPr>
          <w:rFonts w:ascii="Arial" w:eastAsia="Calibri" w:hAnsi="Arial" w:cs="Arial"/>
          <w:sz w:val="22"/>
        </w:rPr>
        <w:t xml:space="preserve">, </w:t>
      </w:r>
      <w:r w:rsidR="006626B7" w:rsidRPr="00BA7067">
        <w:rPr>
          <w:rFonts w:ascii="Arial" w:eastAsia="Calibri" w:hAnsi="Arial" w:cs="Arial"/>
          <w:sz w:val="22"/>
        </w:rPr>
        <w:t xml:space="preserve">la norma </w:t>
      </w:r>
      <w:r w:rsidR="00163B60" w:rsidRPr="00BA7067">
        <w:rPr>
          <w:rFonts w:ascii="Arial" w:eastAsia="Calibri" w:hAnsi="Arial" w:cs="Arial"/>
          <w:sz w:val="22"/>
        </w:rPr>
        <w:t>solo aplica cuando la transacción se realiza en el trámite de un proceso jurisdiccional conforme lo determina el objeto del mismo Código General del Proceso.</w:t>
      </w:r>
    </w:p>
    <w:p w14:paraId="04F5DDCD" w14:textId="433BD1E4" w:rsidR="0051093C" w:rsidRPr="00BA7067" w:rsidRDefault="00D92115" w:rsidP="00CD0504">
      <w:pPr>
        <w:spacing w:before="120" w:line="276" w:lineRule="auto"/>
        <w:ind w:firstLine="708"/>
        <w:jc w:val="both"/>
        <w:rPr>
          <w:rFonts w:ascii="Arial" w:eastAsia="Calibri" w:hAnsi="Arial" w:cs="Arial"/>
          <w:sz w:val="22"/>
        </w:rPr>
      </w:pPr>
      <w:r w:rsidRPr="00BA7067">
        <w:rPr>
          <w:rFonts w:ascii="Arial" w:eastAsia="Calibri" w:hAnsi="Arial" w:cs="Arial"/>
          <w:sz w:val="22"/>
        </w:rPr>
        <w:t xml:space="preserve">Conforme a </w:t>
      </w:r>
      <w:r w:rsidR="00DA1FB4" w:rsidRPr="00BA7067">
        <w:rPr>
          <w:rFonts w:ascii="Arial" w:eastAsia="Calibri" w:hAnsi="Arial" w:cs="Arial"/>
          <w:sz w:val="22"/>
        </w:rPr>
        <w:t>lo anterior, la transacción es</w:t>
      </w:r>
      <w:r w:rsidR="00AF22D4" w:rsidRPr="00BA7067">
        <w:rPr>
          <w:rFonts w:ascii="Arial" w:eastAsia="Calibri" w:hAnsi="Arial" w:cs="Arial"/>
          <w:sz w:val="22"/>
        </w:rPr>
        <w:t xml:space="preserve"> una</w:t>
      </w:r>
      <w:r w:rsidR="00A32951" w:rsidRPr="00BA7067">
        <w:rPr>
          <w:rFonts w:ascii="Arial" w:eastAsia="Calibri" w:hAnsi="Arial" w:cs="Arial"/>
          <w:sz w:val="22"/>
        </w:rPr>
        <w:t xml:space="preserve"> </w:t>
      </w:r>
      <w:r w:rsidR="00AF22D4" w:rsidRPr="00BA7067">
        <w:rPr>
          <w:rFonts w:ascii="Arial" w:eastAsia="Calibri" w:hAnsi="Arial" w:cs="Arial"/>
          <w:sz w:val="22"/>
        </w:rPr>
        <w:t>modalidad contractual</w:t>
      </w:r>
      <w:r w:rsidR="008A4AA7" w:rsidRPr="00BA7067">
        <w:rPr>
          <w:rFonts w:ascii="Arial" w:eastAsia="Calibri" w:hAnsi="Arial" w:cs="Arial"/>
          <w:sz w:val="22"/>
        </w:rPr>
        <w:t xml:space="preserve"> </w:t>
      </w:r>
      <w:r w:rsidR="00AF22D4" w:rsidRPr="00BA7067">
        <w:rPr>
          <w:rFonts w:ascii="Arial" w:eastAsia="Calibri" w:hAnsi="Arial" w:cs="Arial"/>
          <w:sz w:val="22"/>
        </w:rPr>
        <w:t>que</w:t>
      </w:r>
      <w:r w:rsidR="005D569D" w:rsidRPr="00BA7067">
        <w:rPr>
          <w:rFonts w:ascii="Arial" w:eastAsia="Calibri" w:hAnsi="Arial" w:cs="Arial"/>
          <w:sz w:val="22"/>
        </w:rPr>
        <w:t xml:space="preserve"> en ejercicio de la autonomía de la voluntad</w:t>
      </w:r>
      <w:r w:rsidR="00AF22D4" w:rsidRPr="00BA7067">
        <w:rPr>
          <w:rFonts w:ascii="Arial" w:eastAsia="Calibri" w:hAnsi="Arial" w:cs="Arial"/>
          <w:sz w:val="22"/>
        </w:rPr>
        <w:t xml:space="preserve"> pueden </w:t>
      </w:r>
      <w:r w:rsidR="00AD6471" w:rsidRPr="00BA7067">
        <w:rPr>
          <w:rFonts w:ascii="Arial" w:eastAsia="Calibri" w:hAnsi="Arial" w:cs="Arial"/>
          <w:sz w:val="22"/>
        </w:rPr>
        <w:t>celebrar las</w:t>
      </w:r>
      <w:r w:rsidR="008A4AA7" w:rsidRPr="00BA7067">
        <w:rPr>
          <w:rFonts w:ascii="Arial" w:eastAsia="Calibri" w:hAnsi="Arial" w:cs="Arial"/>
          <w:sz w:val="22"/>
        </w:rPr>
        <w:t xml:space="preserve"> entidades</w:t>
      </w:r>
      <w:r w:rsidR="00AD6471" w:rsidRPr="00BA7067">
        <w:rPr>
          <w:rFonts w:ascii="Arial" w:eastAsia="Calibri" w:hAnsi="Arial" w:cs="Arial"/>
          <w:sz w:val="22"/>
        </w:rPr>
        <w:t xml:space="preserve"> </w:t>
      </w:r>
      <w:r w:rsidR="008A4AA7" w:rsidRPr="00BA7067">
        <w:rPr>
          <w:rFonts w:ascii="Arial" w:eastAsia="Calibri" w:hAnsi="Arial" w:cs="Arial"/>
          <w:sz w:val="22"/>
        </w:rPr>
        <w:t>estatales</w:t>
      </w:r>
      <w:r w:rsidR="00404FF4" w:rsidRPr="00BA7067">
        <w:rPr>
          <w:rFonts w:ascii="Arial" w:eastAsia="Calibri" w:hAnsi="Arial" w:cs="Arial"/>
          <w:sz w:val="22"/>
        </w:rPr>
        <w:t xml:space="preserve"> con el objeto de precaver </w:t>
      </w:r>
      <w:r w:rsidR="00700AC3" w:rsidRPr="00BA7067">
        <w:rPr>
          <w:rFonts w:ascii="Arial" w:eastAsia="Calibri" w:hAnsi="Arial" w:cs="Arial"/>
          <w:sz w:val="22"/>
        </w:rPr>
        <w:t xml:space="preserve">litigios eventuales, </w:t>
      </w:r>
      <w:r w:rsidR="0023176A" w:rsidRPr="00BA7067">
        <w:rPr>
          <w:rFonts w:ascii="Arial" w:eastAsia="Calibri" w:hAnsi="Arial" w:cs="Arial"/>
          <w:sz w:val="22"/>
        </w:rPr>
        <w:t xml:space="preserve">esto </w:t>
      </w:r>
      <w:r w:rsidR="00700AC3" w:rsidRPr="00BA7067">
        <w:rPr>
          <w:rFonts w:ascii="Arial" w:eastAsia="Calibri" w:hAnsi="Arial" w:cs="Arial"/>
          <w:sz w:val="22"/>
        </w:rPr>
        <w:t>con sustento en</w:t>
      </w:r>
      <w:r w:rsidR="006711DA" w:rsidRPr="00BA7067">
        <w:rPr>
          <w:rFonts w:ascii="Arial" w:eastAsia="Calibri" w:hAnsi="Arial" w:cs="Arial"/>
          <w:sz w:val="22"/>
        </w:rPr>
        <w:t xml:space="preserve"> la remisión general a las normas civiles y comerciales establecida en el artículo 13</w:t>
      </w:r>
      <w:r w:rsidR="006C2A33" w:rsidRPr="00BA7067">
        <w:rPr>
          <w:rFonts w:ascii="Arial" w:eastAsia="Calibri" w:hAnsi="Arial" w:cs="Arial"/>
          <w:sz w:val="22"/>
        </w:rPr>
        <w:t xml:space="preserve">, </w:t>
      </w:r>
      <w:r w:rsidR="0051093C" w:rsidRPr="00BA7067">
        <w:rPr>
          <w:rFonts w:ascii="Arial" w:eastAsia="Calibri" w:hAnsi="Arial" w:cs="Arial"/>
          <w:sz w:val="22"/>
        </w:rPr>
        <w:t>32</w:t>
      </w:r>
      <w:r w:rsidR="006711DA" w:rsidRPr="00BA7067">
        <w:rPr>
          <w:rFonts w:ascii="Arial" w:eastAsia="Calibri" w:hAnsi="Arial" w:cs="Arial"/>
          <w:sz w:val="22"/>
        </w:rPr>
        <w:t xml:space="preserve"> </w:t>
      </w:r>
      <w:r w:rsidR="006C2A33" w:rsidRPr="00BA7067">
        <w:rPr>
          <w:rFonts w:ascii="Arial" w:eastAsia="Calibri" w:hAnsi="Arial" w:cs="Arial"/>
          <w:sz w:val="22"/>
        </w:rPr>
        <w:t xml:space="preserve">y 40 </w:t>
      </w:r>
      <w:r w:rsidR="006711DA" w:rsidRPr="00BA7067">
        <w:rPr>
          <w:rFonts w:ascii="Arial" w:eastAsia="Calibri" w:hAnsi="Arial" w:cs="Arial"/>
          <w:sz w:val="22"/>
        </w:rPr>
        <w:t xml:space="preserve">de la Ley </w:t>
      </w:r>
      <w:r w:rsidR="0051093C" w:rsidRPr="00BA7067">
        <w:rPr>
          <w:rFonts w:ascii="Arial" w:eastAsia="Calibri" w:hAnsi="Arial" w:cs="Arial"/>
          <w:sz w:val="22"/>
        </w:rPr>
        <w:t>80</w:t>
      </w:r>
      <w:r w:rsidR="006711DA" w:rsidRPr="00BA7067">
        <w:rPr>
          <w:rFonts w:ascii="Arial" w:eastAsia="Calibri" w:hAnsi="Arial" w:cs="Arial"/>
          <w:sz w:val="22"/>
        </w:rPr>
        <w:t xml:space="preserve"> de </w:t>
      </w:r>
      <w:r w:rsidR="0051093C" w:rsidRPr="00BA7067">
        <w:rPr>
          <w:rFonts w:ascii="Arial" w:eastAsia="Calibri" w:hAnsi="Arial" w:cs="Arial"/>
          <w:sz w:val="22"/>
        </w:rPr>
        <w:t>1993</w:t>
      </w:r>
      <w:r w:rsidR="00865891" w:rsidRPr="00BA7067">
        <w:rPr>
          <w:rFonts w:ascii="Arial" w:eastAsia="Calibri" w:hAnsi="Arial" w:cs="Arial"/>
          <w:sz w:val="22"/>
        </w:rPr>
        <w:t>.</w:t>
      </w:r>
      <w:r w:rsidR="00A154BF" w:rsidRPr="00BA7067">
        <w:rPr>
          <w:rFonts w:ascii="Arial" w:eastAsia="Calibri" w:hAnsi="Arial" w:cs="Arial"/>
          <w:sz w:val="22"/>
        </w:rPr>
        <w:t xml:space="preserve"> De </w:t>
      </w:r>
      <w:r w:rsidR="007E5065" w:rsidRPr="00BA7067">
        <w:rPr>
          <w:rFonts w:ascii="Arial" w:eastAsia="Calibri" w:hAnsi="Arial" w:cs="Arial"/>
          <w:sz w:val="22"/>
        </w:rPr>
        <w:t>hecho,</w:t>
      </w:r>
      <w:r w:rsidR="00A154BF" w:rsidRPr="00BA7067">
        <w:rPr>
          <w:rFonts w:ascii="Arial" w:eastAsia="Calibri" w:hAnsi="Arial" w:cs="Arial"/>
          <w:sz w:val="22"/>
        </w:rPr>
        <w:t xml:space="preserve"> el</w:t>
      </w:r>
      <w:r w:rsidR="00AD6471" w:rsidRPr="00BA7067">
        <w:rPr>
          <w:rFonts w:ascii="Arial" w:eastAsia="Calibri" w:hAnsi="Arial" w:cs="Arial"/>
          <w:sz w:val="22"/>
        </w:rPr>
        <w:t xml:space="preserve"> acuerdo transaccional </w:t>
      </w:r>
      <w:r w:rsidR="00AC702A" w:rsidRPr="00BA7067">
        <w:rPr>
          <w:rFonts w:ascii="Arial" w:eastAsia="Calibri" w:hAnsi="Arial" w:cs="Arial"/>
          <w:sz w:val="22"/>
        </w:rPr>
        <w:t>es</w:t>
      </w:r>
      <w:r w:rsidR="00AD6471" w:rsidRPr="00BA7067">
        <w:rPr>
          <w:rFonts w:ascii="Arial" w:eastAsia="Calibri" w:hAnsi="Arial" w:cs="Arial"/>
          <w:sz w:val="22"/>
        </w:rPr>
        <w:t xml:space="preserve"> un mecanismo </w:t>
      </w:r>
      <w:r w:rsidR="00A86F00" w:rsidRPr="00BA7067">
        <w:rPr>
          <w:rFonts w:ascii="Arial" w:eastAsia="Calibri" w:hAnsi="Arial" w:cs="Arial"/>
          <w:sz w:val="22"/>
        </w:rPr>
        <w:t xml:space="preserve">mediante </w:t>
      </w:r>
      <w:r w:rsidR="001D544D" w:rsidRPr="00BA7067">
        <w:rPr>
          <w:rFonts w:ascii="Arial" w:eastAsia="Calibri" w:hAnsi="Arial" w:cs="Arial"/>
          <w:sz w:val="22"/>
        </w:rPr>
        <w:t xml:space="preserve">el cual las entidades </w:t>
      </w:r>
      <w:r w:rsidR="00A154BF" w:rsidRPr="00BA7067">
        <w:rPr>
          <w:rFonts w:ascii="Arial" w:eastAsia="Calibri" w:hAnsi="Arial" w:cs="Arial"/>
          <w:sz w:val="22"/>
        </w:rPr>
        <w:t xml:space="preserve">estatales pueden </w:t>
      </w:r>
      <w:r w:rsidR="0097755A" w:rsidRPr="00BA7067">
        <w:rPr>
          <w:rFonts w:ascii="Arial" w:eastAsia="Calibri" w:hAnsi="Arial" w:cs="Arial"/>
          <w:sz w:val="22"/>
        </w:rPr>
        <w:t xml:space="preserve">cumplir </w:t>
      </w:r>
      <w:r w:rsidR="007E5065" w:rsidRPr="00BA7067">
        <w:rPr>
          <w:rFonts w:ascii="Arial" w:eastAsia="Calibri" w:hAnsi="Arial" w:cs="Arial"/>
          <w:sz w:val="22"/>
        </w:rPr>
        <w:t xml:space="preserve">con </w:t>
      </w:r>
      <w:r w:rsidR="0097755A" w:rsidRPr="00BA7067">
        <w:rPr>
          <w:rFonts w:ascii="Arial" w:eastAsia="Calibri" w:hAnsi="Arial" w:cs="Arial"/>
          <w:sz w:val="22"/>
        </w:rPr>
        <w:t xml:space="preserve">deberes que derivan de normas como los </w:t>
      </w:r>
      <w:r w:rsidR="00583AD8" w:rsidRPr="00BA7067">
        <w:rPr>
          <w:rFonts w:ascii="Arial" w:eastAsia="Calibri" w:hAnsi="Arial" w:cs="Arial"/>
          <w:sz w:val="22"/>
        </w:rPr>
        <w:t>artículo</w:t>
      </w:r>
      <w:r w:rsidR="00BD3767" w:rsidRPr="00BA7067">
        <w:rPr>
          <w:rFonts w:ascii="Arial" w:eastAsia="Calibri" w:hAnsi="Arial" w:cs="Arial"/>
          <w:sz w:val="22"/>
        </w:rPr>
        <w:t>s</w:t>
      </w:r>
      <w:r w:rsidR="00583AD8" w:rsidRPr="00BA7067">
        <w:rPr>
          <w:rFonts w:ascii="Arial" w:eastAsia="Calibri" w:hAnsi="Arial" w:cs="Arial"/>
          <w:sz w:val="22"/>
        </w:rPr>
        <w:t xml:space="preserve"> 4</w:t>
      </w:r>
      <w:r w:rsidR="007F62D4" w:rsidRPr="00BA7067">
        <w:rPr>
          <w:rFonts w:ascii="Arial" w:eastAsia="Calibri" w:hAnsi="Arial" w:cs="Arial"/>
          <w:sz w:val="22"/>
        </w:rPr>
        <w:t>.</w:t>
      </w:r>
      <w:r w:rsidR="00583AD8" w:rsidRPr="00BA7067">
        <w:rPr>
          <w:rFonts w:ascii="Arial" w:eastAsia="Calibri" w:hAnsi="Arial" w:cs="Arial"/>
          <w:sz w:val="22"/>
        </w:rPr>
        <w:t xml:space="preserve">9 </w:t>
      </w:r>
      <w:r w:rsidR="008A7461" w:rsidRPr="00BA7067">
        <w:rPr>
          <w:rFonts w:ascii="Arial" w:eastAsia="Calibri" w:hAnsi="Arial" w:cs="Arial"/>
          <w:sz w:val="22"/>
        </w:rPr>
        <w:t>y 25</w:t>
      </w:r>
      <w:r w:rsidR="007F62D4" w:rsidRPr="00BA7067">
        <w:rPr>
          <w:rFonts w:ascii="Arial" w:eastAsia="Calibri" w:hAnsi="Arial" w:cs="Arial"/>
          <w:sz w:val="22"/>
        </w:rPr>
        <w:t>.</w:t>
      </w:r>
      <w:r w:rsidR="008A7461" w:rsidRPr="00BA7067">
        <w:rPr>
          <w:rFonts w:ascii="Arial" w:eastAsia="Calibri" w:hAnsi="Arial" w:cs="Arial"/>
          <w:sz w:val="22"/>
        </w:rPr>
        <w:t>5</w:t>
      </w:r>
      <w:r w:rsidR="00791FED" w:rsidRPr="00BA7067">
        <w:rPr>
          <w:rFonts w:ascii="Arial" w:eastAsia="Calibri" w:hAnsi="Arial" w:cs="Arial"/>
          <w:sz w:val="22"/>
        </w:rPr>
        <w:t xml:space="preserve"> de la Ley 80 de 1993,</w:t>
      </w:r>
      <w:r w:rsidR="00BD3767" w:rsidRPr="00BA7067">
        <w:rPr>
          <w:rFonts w:ascii="Arial" w:eastAsia="Calibri" w:hAnsi="Arial" w:cs="Arial"/>
          <w:sz w:val="22"/>
        </w:rPr>
        <w:t xml:space="preserve"> que establecen </w:t>
      </w:r>
      <w:r w:rsidR="007E5065" w:rsidRPr="00BA7067">
        <w:rPr>
          <w:rFonts w:ascii="Arial" w:eastAsia="Calibri" w:hAnsi="Arial" w:cs="Arial"/>
          <w:sz w:val="22"/>
        </w:rPr>
        <w:t>que</w:t>
      </w:r>
      <w:r w:rsidR="00CB6408" w:rsidRPr="00BA7067">
        <w:rPr>
          <w:rFonts w:ascii="Arial" w:eastAsia="Calibri" w:hAnsi="Arial" w:cs="Arial"/>
          <w:sz w:val="22"/>
        </w:rPr>
        <w:t xml:space="preserve"> las entidades de</w:t>
      </w:r>
      <w:r w:rsidR="00CD0504" w:rsidRPr="00BA7067">
        <w:rPr>
          <w:rFonts w:ascii="Arial" w:eastAsia="Calibri" w:hAnsi="Arial" w:cs="Arial"/>
          <w:sz w:val="22"/>
        </w:rPr>
        <w:t>ben</w:t>
      </w:r>
      <w:r w:rsidR="00CB6408" w:rsidRPr="00BA7067">
        <w:rPr>
          <w:rFonts w:ascii="Arial" w:eastAsia="Calibri" w:hAnsi="Arial" w:cs="Arial"/>
          <w:sz w:val="22"/>
        </w:rPr>
        <w:t xml:space="preserve"> </w:t>
      </w:r>
      <w:r w:rsidR="00A36FB9" w:rsidRPr="00BA7067">
        <w:rPr>
          <w:rFonts w:ascii="Arial" w:eastAsia="Calibri" w:hAnsi="Arial" w:cs="Arial"/>
          <w:sz w:val="22"/>
        </w:rPr>
        <w:t>precaver e</w:t>
      </w:r>
      <w:r w:rsidR="00F36CD4" w:rsidRPr="00BA7067">
        <w:rPr>
          <w:rFonts w:ascii="Arial" w:eastAsia="Calibri" w:hAnsi="Arial" w:cs="Arial"/>
          <w:sz w:val="22"/>
        </w:rPr>
        <w:t>ventuales litigios</w:t>
      </w:r>
      <w:r w:rsidR="00791FED" w:rsidRPr="00BA7067">
        <w:rPr>
          <w:rFonts w:ascii="Arial" w:eastAsia="Calibri" w:hAnsi="Arial" w:cs="Arial"/>
          <w:sz w:val="22"/>
        </w:rPr>
        <w:t>,</w:t>
      </w:r>
      <w:r w:rsidR="00F36CD4" w:rsidRPr="00BA7067">
        <w:rPr>
          <w:rFonts w:ascii="Arial" w:eastAsia="Calibri" w:hAnsi="Arial" w:cs="Arial"/>
          <w:sz w:val="22"/>
        </w:rPr>
        <w:t xml:space="preserve"> y en general</w:t>
      </w:r>
      <w:r w:rsidR="00791FED" w:rsidRPr="00BA7067">
        <w:rPr>
          <w:rFonts w:ascii="Arial" w:eastAsia="Calibri" w:hAnsi="Arial" w:cs="Arial"/>
          <w:sz w:val="22"/>
        </w:rPr>
        <w:t>,</w:t>
      </w:r>
      <w:r w:rsidR="00F36CD4" w:rsidRPr="00BA7067">
        <w:rPr>
          <w:rFonts w:ascii="Arial" w:eastAsia="Calibri" w:hAnsi="Arial" w:cs="Arial"/>
          <w:sz w:val="22"/>
        </w:rPr>
        <w:t xml:space="preserve"> </w:t>
      </w:r>
      <w:r w:rsidR="00CB6408" w:rsidRPr="00BA7067">
        <w:rPr>
          <w:rFonts w:ascii="Arial" w:eastAsia="Calibri" w:hAnsi="Arial" w:cs="Arial"/>
          <w:sz w:val="22"/>
        </w:rPr>
        <w:t xml:space="preserve">actuar de manera tal </w:t>
      </w:r>
      <w:r w:rsidR="00F36CD4" w:rsidRPr="00BA7067">
        <w:rPr>
          <w:rFonts w:ascii="Arial" w:eastAsia="Calibri" w:hAnsi="Arial" w:cs="Arial"/>
          <w:sz w:val="22"/>
        </w:rPr>
        <w:t>que se soluci</w:t>
      </w:r>
      <w:r w:rsidR="00791FED" w:rsidRPr="00BA7067">
        <w:rPr>
          <w:rFonts w:ascii="Arial" w:eastAsia="Calibri" w:hAnsi="Arial" w:cs="Arial"/>
          <w:sz w:val="22"/>
        </w:rPr>
        <w:t>onen</w:t>
      </w:r>
      <w:r w:rsidR="00F36CD4" w:rsidRPr="00BA7067">
        <w:rPr>
          <w:rFonts w:ascii="Arial" w:eastAsia="Calibri" w:hAnsi="Arial" w:cs="Arial"/>
          <w:sz w:val="22"/>
        </w:rPr>
        <w:t xml:space="preserve"> </w:t>
      </w:r>
      <w:r w:rsidR="00791FED" w:rsidRPr="00BA7067">
        <w:rPr>
          <w:rFonts w:ascii="Arial" w:eastAsia="Calibri" w:hAnsi="Arial" w:cs="Arial"/>
          <w:sz w:val="22"/>
        </w:rPr>
        <w:t xml:space="preserve">de manera pronta </w:t>
      </w:r>
      <w:r w:rsidR="00F36CD4" w:rsidRPr="00BA7067">
        <w:rPr>
          <w:rFonts w:ascii="Arial" w:eastAsia="Calibri" w:hAnsi="Arial" w:cs="Arial"/>
          <w:sz w:val="22"/>
        </w:rPr>
        <w:t>l</w:t>
      </w:r>
      <w:r w:rsidR="00CD0504" w:rsidRPr="00BA7067">
        <w:rPr>
          <w:rFonts w:ascii="Arial" w:eastAsia="Calibri" w:hAnsi="Arial" w:cs="Arial"/>
          <w:sz w:val="22"/>
        </w:rPr>
        <w:t>a</w:t>
      </w:r>
      <w:r w:rsidR="00F36CD4" w:rsidRPr="00BA7067">
        <w:rPr>
          <w:rFonts w:ascii="Arial" w:eastAsia="Calibri" w:hAnsi="Arial" w:cs="Arial"/>
          <w:sz w:val="22"/>
        </w:rPr>
        <w:t xml:space="preserve">s </w:t>
      </w:r>
      <w:r w:rsidR="00CD0504" w:rsidRPr="00BA7067">
        <w:rPr>
          <w:rFonts w:ascii="Arial" w:eastAsia="Calibri" w:hAnsi="Arial" w:cs="Arial"/>
          <w:sz w:val="22"/>
        </w:rPr>
        <w:t>controversias</w:t>
      </w:r>
      <w:r w:rsidR="00F36CD4" w:rsidRPr="00BA7067">
        <w:rPr>
          <w:rFonts w:ascii="Arial" w:eastAsia="Calibri" w:hAnsi="Arial" w:cs="Arial"/>
          <w:sz w:val="22"/>
        </w:rPr>
        <w:t xml:space="preserve"> que se presenten en la ejecución de los procesos contractuales.</w:t>
      </w:r>
      <w:r w:rsidR="00CD0504" w:rsidRPr="00BA7067">
        <w:rPr>
          <w:rFonts w:ascii="Arial" w:eastAsia="Calibri" w:hAnsi="Arial" w:cs="Arial"/>
          <w:sz w:val="22"/>
        </w:rPr>
        <w:t xml:space="preserve"> Esto sin mencionar </w:t>
      </w:r>
      <w:r w:rsidR="0051093C" w:rsidRPr="00BA7067">
        <w:rPr>
          <w:rFonts w:ascii="Arial" w:eastAsia="Calibri" w:hAnsi="Arial" w:cs="Arial"/>
          <w:sz w:val="22"/>
        </w:rPr>
        <w:t xml:space="preserve">el artículo 60 de la Ley 80 de 1993, que establecen el acta de liquidación bilateral como un </w:t>
      </w:r>
      <w:r w:rsidR="008E1D10" w:rsidRPr="00BA7067">
        <w:rPr>
          <w:rFonts w:ascii="Arial" w:eastAsia="Calibri" w:hAnsi="Arial" w:cs="Arial"/>
          <w:sz w:val="22"/>
        </w:rPr>
        <w:t>documento en el que deben</w:t>
      </w:r>
      <w:r w:rsidR="0051093C" w:rsidRPr="00BA7067">
        <w:rPr>
          <w:rFonts w:ascii="Arial" w:eastAsia="Calibri" w:hAnsi="Arial" w:cs="Arial"/>
          <w:sz w:val="22"/>
        </w:rPr>
        <w:t xml:space="preserve"> </w:t>
      </w:r>
      <w:r w:rsidR="008E1D10" w:rsidRPr="00BA7067">
        <w:rPr>
          <w:rFonts w:ascii="Arial" w:eastAsia="Calibri" w:hAnsi="Arial" w:cs="Arial"/>
          <w:sz w:val="22"/>
        </w:rPr>
        <w:t xml:space="preserve">constar los </w:t>
      </w:r>
      <w:r w:rsidR="008E1D10" w:rsidRPr="00BA7067">
        <w:rPr>
          <w:rFonts w:ascii="Arial" w:eastAsia="Calibri" w:hAnsi="Arial" w:cs="Arial"/>
          <w:i/>
          <w:iCs/>
          <w:sz w:val="22"/>
        </w:rPr>
        <w:t>«[…] acuerdos, conciliaciones y</w:t>
      </w:r>
      <w:r w:rsidR="0051093C" w:rsidRPr="00BA7067">
        <w:rPr>
          <w:rFonts w:ascii="Arial" w:eastAsia="Calibri" w:hAnsi="Arial" w:cs="Arial"/>
          <w:i/>
          <w:iCs/>
          <w:sz w:val="22"/>
        </w:rPr>
        <w:t xml:space="preserve"> transacciones</w:t>
      </w:r>
      <w:r w:rsidR="008E1D10" w:rsidRPr="00BA7067">
        <w:rPr>
          <w:rFonts w:ascii="Arial" w:eastAsia="Calibri" w:hAnsi="Arial" w:cs="Arial"/>
          <w:i/>
          <w:iCs/>
          <w:sz w:val="22"/>
        </w:rPr>
        <w:t>»</w:t>
      </w:r>
      <w:r w:rsidR="0051093C" w:rsidRPr="00BA7067">
        <w:rPr>
          <w:rFonts w:ascii="Arial" w:eastAsia="Calibri" w:hAnsi="Arial" w:cs="Arial"/>
          <w:sz w:val="22"/>
        </w:rPr>
        <w:t xml:space="preserve"> entre las partes de un contrato</w:t>
      </w:r>
      <w:r w:rsidR="008E1D10" w:rsidRPr="00BA7067">
        <w:rPr>
          <w:rFonts w:ascii="Arial" w:eastAsia="Calibri" w:hAnsi="Arial" w:cs="Arial"/>
          <w:sz w:val="22"/>
        </w:rPr>
        <w:t xml:space="preserve">. </w:t>
      </w:r>
    </w:p>
    <w:p w14:paraId="4FE8011D" w14:textId="23560C96" w:rsidR="006C2B29" w:rsidRPr="00BA7067" w:rsidRDefault="006C2B29" w:rsidP="00125503">
      <w:pPr>
        <w:spacing w:before="120" w:line="276" w:lineRule="auto"/>
        <w:ind w:firstLine="708"/>
        <w:jc w:val="both"/>
        <w:rPr>
          <w:rFonts w:ascii="Arial" w:eastAsia="Calibri" w:hAnsi="Arial" w:cs="Arial"/>
          <w:sz w:val="22"/>
        </w:rPr>
      </w:pPr>
      <w:r w:rsidRPr="00BA7067">
        <w:rPr>
          <w:rFonts w:ascii="Arial" w:eastAsia="Calibri" w:hAnsi="Arial" w:cs="Arial"/>
          <w:sz w:val="22"/>
        </w:rPr>
        <w:t xml:space="preserve">En cuanto a la </w:t>
      </w:r>
      <w:r w:rsidR="00093E9C" w:rsidRPr="00BA7067">
        <w:rPr>
          <w:rFonts w:ascii="Arial" w:eastAsia="Calibri" w:hAnsi="Arial" w:cs="Arial"/>
          <w:sz w:val="22"/>
        </w:rPr>
        <w:t>posibilidad</w:t>
      </w:r>
      <w:r w:rsidRPr="00BA7067">
        <w:rPr>
          <w:rFonts w:ascii="Arial" w:eastAsia="Calibri" w:hAnsi="Arial" w:cs="Arial"/>
          <w:sz w:val="22"/>
        </w:rPr>
        <w:t xml:space="preserve"> de que las entidades estatales suscriban transacciones</w:t>
      </w:r>
      <w:r w:rsidR="00093E9C" w:rsidRPr="00BA7067">
        <w:rPr>
          <w:rFonts w:ascii="Arial" w:eastAsia="Calibri" w:hAnsi="Arial" w:cs="Arial"/>
          <w:sz w:val="22"/>
        </w:rPr>
        <w:t xml:space="preserve"> en periodos preelectorales, debe advertirse que la misma estaría condicionada</w:t>
      </w:r>
      <w:r w:rsidRPr="00BA7067">
        <w:rPr>
          <w:rFonts w:ascii="Arial" w:eastAsia="Calibri" w:hAnsi="Arial" w:cs="Arial"/>
          <w:sz w:val="22"/>
        </w:rPr>
        <w:t xml:space="preserve"> </w:t>
      </w:r>
      <w:r w:rsidR="00691092" w:rsidRPr="00BA7067">
        <w:rPr>
          <w:rFonts w:ascii="Arial" w:eastAsia="Calibri" w:hAnsi="Arial" w:cs="Arial"/>
          <w:sz w:val="22"/>
        </w:rPr>
        <w:t>por</w:t>
      </w:r>
      <w:r w:rsidRPr="00BA7067">
        <w:rPr>
          <w:rFonts w:ascii="Arial" w:eastAsia="Calibri" w:hAnsi="Arial" w:cs="Arial"/>
          <w:sz w:val="22"/>
        </w:rPr>
        <w:t xml:space="preserve"> las restricciones</w:t>
      </w:r>
      <w:r w:rsidR="00691092" w:rsidRPr="00BA7067">
        <w:rPr>
          <w:rFonts w:ascii="Arial" w:eastAsia="Calibri" w:hAnsi="Arial" w:cs="Arial"/>
          <w:sz w:val="22"/>
        </w:rPr>
        <w:t xml:space="preserve"> contractuales</w:t>
      </w:r>
      <w:r w:rsidRPr="00BA7067">
        <w:rPr>
          <w:rFonts w:ascii="Arial" w:eastAsia="Calibri" w:hAnsi="Arial" w:cs="Arial"/>
          <w:sz w:val="22"/>
        </w:rPr>
        <w:t xml:space="preserve"> de la </w:t>
      </w:r>
      <w:r w:rsidR="009A19F8" w:rsidRPr="00BA7067">
        <w:rPr>
          <w:rFonts w:ascii="Arial" w:eastAsia="Calibri" w:hAnsi="Arial" w:cs="Arial"/>
          <w:sz w:val="22"/>
        </w:rPr>
        <w:t>L</w:t>
      </w:r>
      <w:r w:rsidRPr="00BA7067">
        <w:rPr>
          <w:rFonts w:ascii="Arial" w:eastAsia="Calibri" w:hAnsi="Arial" w:cs="Arial"/>
          <w:sz w:val="22"/>
        </w:rPr>
        <w:t xml:space="preserve">ey de </w:t>
      </w:r>
      <w:r w:rsidR="009A19F8" w:rsidRPr="00BA7067">
        <w:rPr>
          <w:rFonts w:ascii="Arial" w:eastAsia="Calibri" w:hAnsi="Arial" w:cs="Arial"/>
          <w:sz w:val="22"/>
        </w:rPr>
        <w:t>G</w:t>
      </w:r>
      <w:r w:rsidRPr="00BA7067">
        <w:rPr>
          <w:rFonts w:ascii="Arial" w:eastAsia="Calibri" w:hAnsi="Arial" w:cs="Arial"/>
          <w:sz w:val="22"/>
        </w:rPr>
        <w:t>arantías</w:t>
      </w:r>
      <w:r w:rsidR="009A19F8" w:rsidRPr="00BA7067">
        <w:rPr>
          <w:rFonts w:ascii="Arial" w:eastAsia="Calibri" w:hAnsi="Arial" w:cs="Arial"/>
          <w:sz w:val="22"/>
        </w:rPr>
        <w:t xml:space="preserve"> Electorales</w:t>
      </w:r>
      <w:r w:rsidR="00855988" w:rsidRPr="00BA7067">
        <w:rPr>
          <w:rFonts w:ascii="Arial" w:eastAsia="Calibri" w:hAnsi="Arial" w:cs="Arial"/>
          <w:sz w:val="22"/>
        </w:rPr>
        <w:t>,</w:t>
      </w:r>
      <w:r w:rsidRPr="00BA7067">
        <w:rPr>
          <w:rFonts w:ascii="Arial" w:eastAsia="Calibri" w:hAnsi="Arial" w:cs="Arial"/>
          <w:sz w:val="22"/>
        </w:rPr>
        <w:t xml:space="preserve"> </w:t>
      </w:r>
      <w:r w:rsidR="00691092" w:rsidRPr="00BA7067">
        <w:rPr>
          <w:rFonts w:ascii="Arial" w:eastAsia="Calibri" w:hAnsi="Arial" w:cs="Arial"/>
          <w:sz w:val="22"/>
        </w:rPr>
        <w:t>comoquiera que</w:t>
      </w:r>
      <w:r w:rsidRPr="00BA7067">
        <w:rPr>
          <w:rFonts w:ascii="Arial" w:eastAsia="Calibri" w:hAnsi="Arial" w:cs="Arial"/>
          <w:sz w:val="22"/>
        </w:rPr>
        <w:t xml:space="preserve">, </w:t>
      </w:r>
      <w:r w:rsidR="00093E9C" w:rsidRPr="00BA7067">
        <w:rPr>
          <w:rFonts w:ascii="Arial" w:eastAsia="Calibri" w:hAnsi="Arial" w:cs="Arial"/>
          <w:sz w:val="22"/>
        </w:rPr>
        <w:t>al tratarse</w:t>
      </w:r>
      <w:r w:rsidRPr="00BA7067">
        <w:rPr>
          <w:rFonts w:ascii="Arial" w:eastAsia="Calibri" w:hAnsi="Arial" w:cs="Arial"/>
          <w:sz w:val="22"/>
        </w:rPr>
        <w:t xml:space="preserve"> de acuerdos sometidos a formalidades de la contratación pública, </w:t>
      </w:r>
      <w:r w:rsidR="00691092" w:rsidRPr="00BA7067">
        <w:rPr>
          <w:rFonts w:ascii="Arial" w:eastAsia="Calibri" w:hAnsi="Arial" w:cs="Arial"/>
          <w:sz w:val="22"/>
        </w:rPr>
        <w:t xml:space="preserve">podrían serles aplicables algunas de las mencionadas prohibiciones. Esto supone que, la suscripción de </w:t>
      </w:r>
      <w:r w:rsidR="00327717" w:rsidRPr="00BA7067">
        <w:rPr>
          <w:rFonts w:ascii="Arial" w:eastAsia="Calibri" w:hAnsi="Arial" w:cs="Arial"/>
          <w:sz w:val="22"/>
        </w:rPr>
        <w:t xml:space="preserve">un contrato de </w:t>
      </w:r>
      <w:r w:rsidR="00691092" w:rsidRPr="00BA7067">
        <w:rPr>
          <w:rFonts w:ascii="Arial" w:eastAsia="Calibri" w:hAnsi="Arial" w:cs="Arial"/>
          <w:sz w:val="22"/>
        </w:rPr>
        <w:t>transacci</w:t>
      </w:r>
      <w:r w:rsidR="00327717" w:rsidRPr="00BA7067">
        <w:rPr>
          <w:rFonts w:ascii="Arial" w:eastAsia="Calibri" w:hAnsi="Arial" w:cs="Arial"/>
          <w:sz w:val="22"/>
        </w:rPr>
        <w:t>ón</w:t>
      </w:r>
      <w:r w:rsidR="00691092" w:rsidRPr="00BA7067">
        <w:rPr>
          <w:rFonts w:ascii="Arial" w:eastAsia="Calibri" w:hAnsi="Arial" w:cs="Arial"/>
          <w:sz w:val="22"/>
        </w:rPr>
        <w:t xml:space="preserve"> en la víspera de </w:t>
      </w:r>
      <w:proofErr w:type="gramStart"/>
      <w:r w:rsidR="00691092" w:rsidRPr="00BA7067">
        <w:rPr>
          <w:rFonts w:ascii="Arial" w:eastAsia="Calibri" w:hAnsi="Arial" w:cs="Arial"/>
          <w:sz w:val="22"/>
        </w:rPr>
        <w:t>comicios electorales</w:t>
      </w:r>
      <w:proofErr w:type="gramEnd"/>
      <w:r w:rsidR="00691092" w:rsidRPr="00BA7067">
        <w:rPr>
          <w:rFonts w:ascii="Arial" w:eastAsia="Calibri" w:hAnsi="Arial" w:cs="Arial"/>
          <w:sz w:val="22"/>
        </w:rPr>
        <w:t xml:space="preserve"> solo resulta viable si, consultado el objeto y contenido de la misma, se logra establecer que</w:t>
      </w:r>
      <w:r w:rsidR="008D073A" w:rsidRPr="00BA7067">
        <w:rPr>
          <w:rFonts w:ascii="Arial" w:eastAsia="Calibri" w:hAnsi="Arial" w:cs="Arial"/>
          <w:sz w:val="22"/>
        </w:rPr>
        <w:t xml:space="preserve"> el acuerdo transaccional no se encuentra</w:t>
      </w:r>
      <w:r w:rsidR="00691092" w:rsidRPr="00BA7067">
        <w:rPr>
          <w:rFonts w:ascii="Arial" w:eastAsia="Calibri" w:hAnsi="Arial" w:cs="Arial"/>
          <w:sz w:val="22"/>
        </w:rPr>
        <w:t xml:space="preserve"> </w:t>
      </w:r>
      <w:r w:rsidR="008D073A" w:rsidRPr="00BA7067">
        <w:rPr>
          <w:rFonts w:ascii="Arial" w:eastAsia="Calibri" w:hAnsi="Arial" w:cs="Arial"/>
          <w:sz w:val="22"/>
        </w:rPr>
        <w:t xml:space="preserve">dentro del ámbito material de las restricciones explicadas en los numerales anteriores. Ahora, </w:t>
      </w:r>
      <w:r w:rsidRPr="00BA7067">
        <w:rPr>
          <w:rFonts w:ascii="Arial" w:eastAsia="Calibri" w:hAnsi="Arial" w:cs="Arial"/>
          <w:sz w:val="22"/>
        </w:rPr>
        <w:t xml:space="preserve">para establecer si la celebración de un determinado </w:t>
      </w:r>
      <w:r w:rsidR="008D073A" w:rsidRPr="00BA7067">
        <w:rPr>
          <w:rFonts w:ascii="Arial" w:eastAsia="Calibri" w:hAnsi="Arial" w:cs="Arial"/>
          <w:sz w:val="22"/>
        </w:rPr>
        <w:t xml:space="preserve">contrato de </w:t>
      </w:r>
      <w:r w:rsidRPr="00BA7067">
        <w:rPr>
          <w:rFonts w:ascii="Arial" w:eastAsia="Calibri" w:hAnsi="Arial" w:cs="Arial"/>
          <w:sz w:val="22"/>
        </w:rPr>
        <w:t>transacci</w:t>
      </w:r>
      <w:r w:rsidR="008D073A" w:rsidRPr="00BA7067">
        <w:rPr>
          <w:rFonts w:ascii="Arial" w:eastAsia="Calibri" w:hAnsi="Arial" w:cs="Arial"/>
          <w:sz w:val="22"/>
        </w:rPr>
        <w:t>ón</w:t>
      </w:r>
      <w:r w:rsidRPr="00BA7067">
        <w:rPr>
          <w:rFonts w:ascii="Arial" w:eastAsia="Calibri" w:hAnsi="Arial" w:cs="Arial"/>
          <w:sz w:val="22"/>
        </w:rPr>
        <w:t xml:space="preserve"> se encuentra o no limitada por alguna de las restricciones </w:t>
      </w:r>
      <w:r w:rsidR="009923FE" w:rsidRPr="00BA7067">
        <w:rPr>
          <w:rFonts w:ascii="Arial" w:eastAsia="Calibri" w:hAnsi="Arial" w:cs="Arial"/>
          <w:sz w:val="22"/>
        </w:rPr>
        <w:t>de</w:t>
      </w:r>
      <w:r w:rsidRPr="00BA7067">
        <w:rPr>
          <w:rFonts w:ascii="Arial" w:eastAsia="Calibri" w:hAnsi="Arial" w:cs="Arial"/>
          <w:sz w:val="22"/>
        </w:rPr>
        <w:t xml:space="preserve"> la Ley 996 de 2005, es preciso verificar si en virtud de las condiciones y particularidades </w:t>
      </w:r>
      <w:proofErr w:type="gramStart"/>
      <w:r w:rsidRPr="00BA7067">
        <w:rPr>
          <w:rFonts w:ascii="Arial" w:eastAsia="Calibri" w:hAnsi="Arial" w:cs="Arial"/>
          <w:sz w:val="22"/>
        </w:rPr>
        <w:t>del mismo</w:t>
      </w:r>
      <w:proofErr w:type="gramEnd"/>
      <w:r w:rsidRPr="00BA7067">
        <w:rPr>
          <w:rFonts w:ascii="Arial" w:eastAsia="Calibri" w:hAnsi="Arial" w:cs="Arial"/>
          <w:sz w:val="22"/>
        </w:rPr>
        <w:t xml:space="preserve"> le resultan aplicables las referidas prohibiciones. </w:t>
      </w:r>
    </w:p>
    <w:p w14:paraId="127F8496" w14:textId="63EE4490" w:rsidR="006C2B29" w:rsidRPr="00BA7067" w:rsidRDefault="006C2B29" w:rsidP="006C2B29">
      <w:pPr>
        <w:spacing w:before="120" w:line="276" w:lineRule="auto"/>
        <w:ind w:firstLine="708"/>
        <w:jc w:val="both"/>
        <w:rPr>
          <w:rFonts w:ascii="Arial" w:eastAsia="Calibri" w:hAnsi="Arial" w:cs="Arial"/>
          <w:sz w:val="22"/>
        </w:rPr>
      </w:pPr>
      <w:r w:rsidRPr="00BA7067">
        <w:rPr>
          <w:rFonts w:ascii="Arial" w:eastAsia="Calibri" w:hAnsi="Arial" w:cs="Arial"/>
          <w:sz w:val="22"/>
        </w:rPr>
        <w:t xml:space="preserve">En lo referente a la restricción del artículo 33, la ausencia de pluralidad de oferentes propia del contrato de transacción constituye un asunto importante a considerar, en la medida en que de entrada </w:t>
      </w:r>
      <w:r w:rsidR="00B77BCC" w:rsidRPr="00BA7067">
        <w:rPr>
          <w:rFonts w:ascii="Arial" w:eastAsia="Calibri" w:hAnsi="Arial" w:cs="Arial"/>
          <w:sz w:val="22"/>
        </w:rPr>
        <w:t>genera interrogantes</w:t>
      </w:r>
      <w:r w:rsidR="000B1632" w:rsidRPr="00BA7067">
        <w:rPr>
          <w:rFonts w:ascii="Arial" w:eastAsia="Calibri" w:hAnsi="Arial" w:cs="Arial"/>
          <w:sz w:val="22"/>
        </w:rPr>
        <w:t xml:space="preserve"> </w:t>
      </w:r>
      <w:r w:rsidRPr="00BA7067">
        <w:rPr>
          <w:rFonts w:ascii="Arial" w:eastAsia="Calibri" w:hAnsi="Arial" w:cs="Arial"/>
          <w:sz w:val="22"/>
        </w:rPr>
        <w:t>s</w:t>
      </w:r>
      <w:r w:rsidR="000B1632" w:rsidRPr="00BA7067">
        <w:rPr>
          <w:rFonts w:ascii="Arial" w:eastAsia="Calibri" w:hAnsi="Arial" w:cs="Arial"/>
          <w:sz w:val="22"/>
        </w:rPr>
        <w:t xml:space="preserve">obre </w:t>
      </w:r>
      <w:r w:rsidRPr="00BA7067">
        <w:rPr>
          <w:rFonts w:ascii="Arial" w:eastAsia="Calibri" w:hAnsi="Arial" w:cs="Arial"/>
          <w:sz w:val="22"/>
        </w:rPr>
        <w:t xml:space="preserve">la posibilidad de celebrar estos acuerdos en vigencia de esta prohibición. Esto </w:t>
      </w:r>
      <w:r w:rsidR="00DB6617" w:rsidRPr="00BA7067">
        <w:rPr>
          <w:rFonts w:ascii="Arial" w:eastAsia="Calibri" w:hAnsi="Arial" w:cs="Arial"/>
          <w:sz w:val="22"/>
        </w:rPr>
        <w:t>considerando</w:t>
      </w:r>
      <w:r w:rsidRPr="00BA7067">
        <w:rPr>
          <w:rFonts w:ascii="Arial" w:eastAsia="Calibri" w:hAnsi="Arial" w:cs="Arial"/>
          <w:sz w:val="22"/>
        </w:rPr>
        <w:t xml:space="preserve"> que, dada la naturaleza de estos contratos, dirigida </w:t>
      </w:r>
      <w:r w:rsidR="0085158C" w:rsidRPr="00BA7067">
        <w:rPr>
          <w:rFonts w:ascii="Arial" w:eastAsia="Calibri" w:hAnsi="Arial" w:cs="Arial"/>
          <w:sz w:val="22"/>
        </w:rPr>
        <w:t xml:space="preserve">a </w:t>
      </w:r>
      <w:r w:rsidRPr="00BA7067">
        <w:rPr>
          <w:rFonts w:ascii="Arial" w:eastAsia="Calibri" w:hAnsi="Arial" w:cs="Arial"/>
          <w:sz w:val="22"/>
        </w:rPr>
        <w:t xml:space="preserve">solucionar o precaver controversias que se tienen con sujetos </w:t>
      </w:r>
      <w:r w:rsidRPr="00BA7067">
        <w:rPr>
          <w:rFonts w:ascii="Arial" w:eastAsia="Calibri" w:hAnsi="Arial" w:cs="Arial"/>
          <w:sz w:val="22"/>
        </w:rPr>
        <w:lastRenderedPageBreak/>
        <w:t xml:space="preserve">determinados, necesariamente deben suscribirse de manera directa con quien existe el conflicto, sin que se presente posibilidad </w:t>
      </w:r>
      <w:r w:rsidR="00CC61C0" w:rsidRPr="00BA7067">
        <w:rPr>
          <w:rFonts w:ascii="Arial" w:eastAsia="Calibri" w:hAnsi="Arial" w:cs="Arial"/>
          <w:sz w:val="22"/>
        </w:rPr>
        <w:t>de</w:t>
      </w:r>
      <w:r w:rsidRPr="00BA7067">
        <w:rPr>
          <w:rFonts w:ascii="Arial" w:eastAsia="Calibri" w:hAnsi="Arial" w:cs="Arial"/>
          <w:sz w:val="22"/>
        </w:rPr>
        <w:t xml:space="preserve"> pluralidad de </w:t>
      </w:r>
      <w:r w:rsidR="00CC61C0" w:rsidRPr="00BA7067">
        <w:rPr>
          <w:rFonts w:ascii="Arial" w:eastAsia="Calibri" w:hAnsi="Arial" w:cs="Arial"/>
          <w:sz w:val="22"/>
        </w:rPr>
        <w:t>oferentes</w:t>
      </w:r>
      <w:r w:rsidRPr="00BA7067">
        <w:rPr>
          <w:rFonts w:ascii="Arial" w:eastAsia="Calibri" w:hAnsi="Arial" w:cs="Arial"/>
          <w:sz w:val="22"/>
        </w:rPr>
        <w:t xml:space="preserve">.  </w:t>
      </w:r>
    </w:p>
    <w:p w14:paraId="410E3A2C" w14:textId="49CB1113" w:rsidR="006C2B29" w:rsidRPr="00BA7067" w:rsidRDefault="006C2B29" w:rsidP="006C2B29">
      <w:pPr>
        <w:spacing w:before="120" w:line="276" w:lineRule="auto"/>
        <w:ind w:firstLine="708"/>
        <w:jc w:val="both"/>
        <w:rPr>
          <w:rFonts w:ascii="Arial" w:eastAsia="Calibri" w:hAnsi="Arial" w:cs="Arial"/>
          <w:sz w:val="22"/>
        </w:rPr>
      </w:pPr>
      <w:r w:rsidRPr="00BA7067">
        <w:rPr>
          <w:rFonts w:ascii="Arial" w:eastAsia="Calibri" w:hAnsi="Arial" w:cs="Arial"/>
          <w:sz w:val="22"/>
        </w:rPr>
        <w:t xml:space="preserve">Sin embargo, </w:t>
      </w:r>
      <w:r w:rsidR="008D073A" w:rsidRPr="00BA7067">
        <w:rPr>
          <w:rFonts w:ascii="Arial" w:eastAsia="Calibri" w:hAnsi="Arial" w:cs="Arial"/>
          <w:sz w:val="22"/>
        </w:rPr>
        <w:t>lo anterior no significa que todas</w:t>
      </w:r>
      <w:r w:rsidRPr="00BA7067">
        <w:rPr>
          <w:rFonts w:ascii="Arial" w:eastAsia="Calibri" w:hAnsi="Arial" w:cs="Arial"/>
          <w:sz w:val="22"/>
        </w:rPr>
        <w:t xml:space="preserve"> las transacciones que están en condiciones de celebrar las entidades estatales necesariamente est</w:t>
      </w:r>
      <w:r w:rsidR="008D073A" w:rsidRPr="00BA7067">
        <w:rPr>
          <w:rFonts w:ascii="Arial" w:eastAsia="Calibri" w:hAnsi="Arial" w:cs="Arial"/>
          <w:sz w:val="22"/>
        </w:rPr>
        <w:t>én</w:t>
      </w:r>
      <w:r w:rsidRPr="00BA7067">
        <w:rPr>
          <w:rFonts w:ascii="Arial" w:eastAsia="Calibri" w:hAnsi="Arial" w:cs="Arial"/>
          <w:sz w:val="22"/>
        </w:rPr>
        <w:t xml:space="preserve"> limitadas por la restricción del artículo 33. Por ejemplo, tratándose de transacciones tendientes a </w:t>
      </w:r>
      <w:r w:rsidRPr="00BA7067">
        <w:rPr>
          <w:rFonts w:ascii="Arial" w:eastAsia="Calibri" w:hAnsi="Arial" w:cs="Arial"/>
          <w:sz w:val="22"/>
          <w:lang w:val="es-ES_tradnl"/>
        </w:rPr>
        <w:t>modificar o extinguir derechos u obligaciones</w:t>
      </w:r>
      <w:r w:rsidRPr="00BA7067">
        <w:rPr>
          <w:rFonts w:ascii="Arial" w:eastAsia="Calibri" w:hAnsi="Arial" w:cs="Arial"/>
          <w:sz w:val="22"/>
        </w:rPr>
        <w:t xml:space="preserve"> derivados de contratos estatales vigentes, esta Agencia </w:t>
      </w:r>
      <w:r w:rsidR="007D2F22" w:rsidRPr="00BA7067">
        <w:rPr>
          <w:rFonts w:ascii="Arial" w:eastAsia="Calibri" w:hAnsi="Arial" w:cs="Arial"/>
          <w:sz w:val="22"/>
        </w:rPr>
        <w:t xml:space="preserve">considera </w:t>
      </w:r>
      <w:r w:rsidRPr="00BA7067">
        <w:rPr>
          <w:rFonts w:ascii="Arial" w:eastAsia="Calibri" w:hAnsi="Arial" w:cs="Arial"/>
          <w:sz w:val="22"/>
        </w:rPr>
        <w:t xml:space="preserve">que bien podrían suscribirse, aun en vigencia de la referida prohibición, en el entendido </w:t>
      </w:r>
      <w:r w:rsidR="00CB1457" w:rsidRPr="00BA7067">
        <w:rPr>
          <w:rFonts w:ascii="Arial" w:eastAsia="Calibri" w:hAnsi="Arial" w:cs="Arial"/>
          <w:sz w:val="22"/>
        </w:rPr>
        <w:t>que,</w:t>
      </w:r>
      <w:r w:rsidRPr="00BA7067">
        <w:rPr>
          <w:rFonts w:ascii="Arial" w:eastAsia="Calibri" w:hAnsi="Arial" w:cs="Arial"/>
          <w:sz w:val="22"/>
        </w:rPr>
        <w:t xml:space="preserve"> en estos supuestos, antes que suscribirse un nuevo contrato de manera directa, lo que se hace es modificar el contenido de uno ya vigente, con el propósito de </w:t>
      </w:r>
      <w:r w:rsidR="001957E6" w:rsidRPr="00BA7067">
        <w:rPr>
          <w:rFonts w:ascii="Arial" w:eastAsia="Calibri" w:hAnsi="Arial" w:cs="Arial"/>
          <w:sz w:val="22"/>
        </w:rPr>
        <w:t xml:space="preserve">precaver </w:t>
      </w:r>
      <w:r w:rsidR="00F54130" w:rsidRPr="00BA7067">
        <w:rPr>
          <w:rFonts w:ascii="Arial" w:eastAsia="Calibri" w:hAnsi="Arial" w:cs="Arial"/>
          <w:sz w:val="22"/>
        </w:rPr>
        <w:t xml:space="preserve">eventuales litigios o </w:t>
      </w:r>
      <w:r w:rsidR="001F4494" w:rsidRPr="00BA7067">
        <w:rPr>
          <w:rFonts w:ascii="Arial" w:eastAsia="Calibri" w:hAnsi="Arial" w:cs="Arial"/>
          <w:sz w:val="22"/>
        </w:rPr>
        <w:t>controversias</w:t>
      </w:r>
      <w:r w:rsidR="00F54130" w:rsidRPr="00BA7067">
        <w:rPr>
          <w:rFonts w:ascii="Arial" w:eastAsia="Calibri" w:hAnsi="Arial" w:cs="Arial"/>
          <w:sz w:val="22"/>
        </w:rPr>
        <w:t xml:space="preserve"> entre</w:t>
      </w:r>
      <w:r w:rsidRPr="00BA7067">
        <w:rPr>
          <w:rFonts w:ascii="Arial" w:eastAsia="Calibri" w:hAnsi="Arial" w:cs="Arial"/>
          <w:sz w:val="22"/>
        </w:rPr>
        <w:t xml:space="preserve"> las partes. Lo mismo podría predicarse de las transacciones realizadas </w:t>
      </w:r>
      <w:r w:rsidR="004F3504" w:rsidRPr="00BA7067">
        <w:rPr>
          <w:rFonts w:ascii="Arial" w:eastAsia="Calibri" w:hAnsi="Arial" w:cs="Arial"/>
          <w:sz w:val="22"/>
        </w:rPr>
        <w:t>mediante la suscripción de actas de</w:t>
      </w:r>
      <w:r w:rsidRPr="00BA7067">
        <w:rPr>
          <w:rFonts w:ascii="Arial" w:eastAsia="Calibri" w:hAnsi="Arial" w:cs="Arial"/>
          <w:sz w:val="22"/>
        </w:rPr>
        <w:t xml:space="preserve"> liquidación bilateral, en las que tampoco </w:t>
      </w:r>
      <w:r w:rsidR="00203AA4" w:rsidRPr="00BA7067">
        <w:rPr>
          <w:rFonts w:ascii="Arial" w:eastAsia="Calibri" w:hAnsi="Arial" w:cs="Arial"/>
          <w:sz w:val="22"/>
        </w:rPr>
        <w:t>existe</w:t>
      </w:r>
      <w:r w:rsidRPr="00BA7067">
        <w:rPr>
          <w:rFonts w:ascii="Arial" w:eastAsia="Calibri" w:hAnsi="Arial" w:cs="Arial"/>
          <w:sz w:val="22"/>
        </w:rPr>
        <w:t xml:space="preserve"> la suscripción de un nuevo contrato, sino que se realizan concesiones rec</w:t>
      </w:r>
      <w:r w:rsidR="00F54130" w:rsidRPr="00BA7067">
        <w:rPr>
          <w:rFonts w:ascii="Arial" w:eastAsia="Calibri" w:hAnsi="Arial" w:cs="Arial"/>
          <w:sz w:val="22"/>
        </w:rPr>
        <w:t>í</w:t>
      </w:r>
      <w:r w:rsidRPr="00BA7067">
        <w:rPr>
          <w:rFonts w:ascii="Arial" w:eastAsia="Calibri" w:hAnsi="Arial" w:cs="Arial"/>
          <w:sz w:val="22"/>
        </w:rPr>
        <w:t xml:space="preserve">procas con el objeto de declarar el paz y salvo entre las partes. </w:t>
      </w:r>
    </w:p>
    <w:p w14:paraId="7369DA14" w14:textId="16A5E5C5" w:rsidR="00125503" w:rsidRPr="00BA7067" w:rsidRDefault="00784DE6">
      <w:pPr>
        <w:pStyle w:val="Textoindependiente"/>
        <w:spacing w:before="120" w:line="276" w:lineRule="auto"/>
        <w:ind w:right="49" w:firstLine="709"/>
        <w:jc w:val="both"/>
      </w:pPr>
      <w:r w:rsidRPr="00BA7067">
        <w:t>Es necesario tener en cuenta</w:t>
      </w:r>
      <w:r w:rsidR="006C2B29" w:rsidRPr="00BA7067">
        <w:t xml:space="preserve"> que, respecto de la celebración de actos como adiciones, </w:t>
      </w:r>
      <w:r w:rsidR="007568B4" w:rsidRPr="00BA7067">
        <w:t xml:space="preserve">modificaciones, </w:t>
      </w:r>
      <w:r w:rsidR="006C2B29" w:rsidRPr="00BA7067">
        <w:t>cesiones o pr</w:t>
      </w:r>
      <w:r w:rsidR="007D2F22" w:rsidRPr="00BA7067">
        <w:t>ó</w:t>
      </w:r>
      <w:r w:rsidR="006C2B29" w:rsidRPr="00BA7067">
        <w:t>rrogas de contratos estatales en vigencia de la restricción del artículo 33, se ha pronunciado esta Agencia</w:t>
      </w:r>
      <w:r w:rsidR="00900D41" w:rsidRPr="00BA7067">
        <w:t xml:space="preserve"> en las circulares</w:t>
      </w:r>
      <w:r w:rsidR="006C2B29" w:rsidRPr="00BA7067">
        <w:t xml:space="preserve"> </w:t>
      </w:r>
      <w:r w:rsidR="00900D41" w:rsidRPr="00BA7067">
        <w:t>No</w:t>
      </w:r>
      <w:r w:rsidR="00AD0DD7" w:rsidRPr="00BA7067">
        <w:t>s</w:t>
      </w:r>
      <w:r w:rsidR="00900D41" w:rsidRPr="00BA7067">
        <w:t>. 3 de 16 de agosto de 2013, 19 de 30 de julio de 2015, 24 de 12 de mayo de 2017</w:t>
      </w:r>
      <w:r w:rsidR="00AD0DD7" w:rsidRPr="00BA7067">
        <w:t>, al igual que</w:t>
      </w:r>
      <w:r w:rsidR="00900D41" w:rsidRPr="00BA7067">
        <w:t xml:space="preserve"> en la Circular Externa Única vigente</w:t>
      </w:r>
      <w:r w:rsidR="00AD0DD7" w:rsidRPr="00BA7067">
        <w:t xml:space="preserve">, en las que reiteradamente se ha </w:t>
      </w:r>
      <w:r w:rsidR="006C2B29" w:rsidRPr="00BA7067">
        <w:t>avala</w:t>
      </w:r>
      <w:r w:rsidR="00AD0DD7" w:rsidRPr="00BA7067">
        <w:t>do</w:t>
      </w:r>
      <w:r w:rsidR="006C2B29" w:rsidRPr="00BA7067">
        <w:t xml:space="preserve"> la posibilidad de que tales actuaciones tengan lugar</w:t>
      </w:r>
      <w:r w:rsidR="001216AF" w:rsidRPr="00BA7067">
        <w:t xml:space="preserve"> en periodos prelectorales</w:t>
      </w:r>
      <w:r w:rsidR="006C2B29" w:rsidRPr="00BA7067">
        <w:t>, sin que con ello se transgredan las restricciones explicadas, siempre que se cumplan los principios de planeación, transparencia y responsabilidad</w:t>
      </w:r>
      <w:r w:rsidR="006C2B29" w:rsidRPr="00BA7067">
        <w:rPr>
          <w:rStyle w:val="Refdenotaalpie"/>
        </w:rPr>
        <w:footnoteReference w:id="38"/>
      </w:r>
      <w:r w:rsidR="006C2B29" w:rsidRPr="00BA7067">
        <w:t>. Dicha postura parte de la base de que actuaciones como las prórrogas, modificaciones y adiciones de contratos vigentes, no suponen la celebración de un nuevo</w:t>
      </w:r>
      <w:r w:rsidR="006C2B29" w:rsidRPr="00BA7067">
        <w:rPr>
          <w:spacing w:val="1"/>
        </w:rPr>
        <w:t xml:space="preserve"> </w:t>
      </w:r>
      <w:r w:rsidR="006C2B29" w:rsidRPr="00BA7067">
        <w:t xml:space="preserve">contrato, por lo que no entrarían dentro del supuesto de contratación directa que prohíbe el artículo 33. Esta interpretación ha sido </w:t>
      </w:r>
      <w:r w:rsidR="007568B4" w:rsidRPr="00BA7067">
        <w:t>sostenida</w:t>
      </w:r>
      <w:r w:rsidR="006C2B29" w:rsidRPr="00BA7067">
        <w:t xml:space="preserve"> por entidades como la</w:t>
      </w:r>
      <w:r w:rsidR="006C2B29" w:rsidRPr="00BA7067">
        <w:rPr>
          <w:spacing w:val="-12"/>
        </w:rPr>
        <w:t xml:space="preserve"> </w:t>
      </w:r>
      <w:r w:rsidR="006C2B29" w:rsidRPr="00BA7067">
        <w:t>Procuraduría</w:t>
      </w:r>
      <w:r w:rsidR="006C2B29" w:rsidRPr="00BA7067">
        <w:rPr>
          <w:spacing w:val="-10"/>
        </w:rPr>
        <w:t xml:space="preserve"> </w:t>
      </w:r>
      <w:r w:rsidR="006C2B29" w:rsidRPr="00BA7067">
        <w:t>General</w:t>
      </w:r>
      <w:r w:rsidR="006C2B29" w:rsidRPr="00BA7067">
        <w:rPr>
          <w:spacing w:val="-12"/>
        </w:rPr>
        <w:t xml:space="preserve"> </w:t>
      </w:r>
      <w:r w:rsidR="006C2B29" w:rsidRPr="00BA7067">
        <w:t>de</w:t>
      </w:r>
      <w:r w:rsidR="006C2B29" w:rsidRPr="00BA7067">
        <w:rPr>
          <w:spacing w:val="-13"/>
        </w:rPr>
        <w:t xml:space="preserve"> </w:t>
      </w:r>
      <w:r w:rsidR="006C2B29" w:rsidRPr="00BA7067">
        <w:t>la</w:t>
      </w:r>
      <w:r w:rsidR="006C2B29" w:rsidRPr="00BA7067">
        <w:rPr>
          <w:spacing w:val="-13"/>
        </w:rPr>
        <w:t xml:space="preserve"> </w:t>
      </w:r>
      <w:r w:rsidR="006C2B29" w:rsidRPr="00BA7067">
        <w:t>Nación</w:t>
      </w:r>
      <w:r w:rsidR="00D954BB" w:rsidRPr="00BA7067">
        <w:t xml:space="preserve"> en las circulares Nos. 016 del 3 de septiembre de 2013, 005 del 7 de abril de 2015 y 007 del 22 de mayo de 201</w:t>
      </w:r>
      <w:r w:rsidR="00A0342D" w:rsidRPr="00BA7067">
        <w:t>7</w:t>
      </w:r>
      <w:r w:rsidR="006C2B29" w:rsidRPr="00BA7067">
        <w:rPr>
          <w:rStyle w:val="Refdenotaalpie"/>
        </w:rPr>
        <w:footnoteReference w:id="39"/>
      </w:r>
      <w:r w:rsidR="006C2B29" w:rsidRPr="00BA7067">
        <w:t xml:space="preserve">, </w:t>
      </w:r>
      <w:r w:rsidR="0060008B" w:rsidRPr="00BA7067">
        <w:t>así como</w:t>
      </w:r>
      <w:r w:rsidR="001A17E1" w:rsidRPr="00BA7067">
        <w:t xml:space="preserve"> </w:t>
      </w:r>
      <w:r w:rsidR="006C2B29" w:rsidRPr="00BA7067">
        <w:lastRenderedPageBreak/>
        <w:t>el Departamento Administrativo de la Presidencia de la República y el Departamento</w:t>
      </w:r>
      <w:r w:rsidR="006C2B29" w:rsidRPr="00BA7067">
        <w:rPr>
          <w:spacing w:val="-14"/>
        </w:rPr>
        <w:t xml:space="preserve"> </w:t>
      </w:r>
      <w:r w:rsidR="006C2B29" w:rsidRPr="00BA7067">
        <w:t>Administrativo</w:t>
      </w:r>
      <w:r w:rsidR="006C2B29" w:rsidRPr="00BA7067">
        <w:rPr>
          <w:spacing w:val="-11"/>
        </w:rPr>
        <w:t xml:space="preserve"> </w:t>
      </w:r>
      <w:r w:rsidR="006C2B29" w:rsidRPr="00BA7067">
        <w:t>de</w:t>
      </w:r>
      <w:r w:rsidR="006C2B29" w:rsidRPr="00BA7067">
        <w:rPr>
          <w:spacing w:val="-14"/>
        </w:rPr>
        <w:t xml:space="preserve"> </w:t>
      </w:r>
      <w:r w:rsidR="006C2B29" w:rsidRPr="00BA7067">
        <w:t>la</w:t>
      </w:r>
      <w:r w:rsidR="006C2B29" w:rsidRPr="00BA7067">
        <w:rPr>
          <w:spacing w:val="-13"/>
        </w:rPr>
        <w:t xml:space="preserve"> </w:t>
      </w:r>
      <w:r w:rsidR="006C2B29" w:rsidRPr="00BA7067">
        <w:t>Función</w:t>
      </w:r>
      <w:r w:rsidR="006C2B29" w:rsidRPr="00BA7067">
        <w:rPr>
          <w:spacing w:val="-13"/>
        </w:rPr>
        <w:t xml:space="preserve"> </w:t>
      </w:r>
      <w:r w:rsidR="006C2B29" w:rsidRPr="00BA7067">
        <w:t>Pública</w:t>
      </w:r>
      <w:r w:rsidR="0060008B" w:rsidRPr="00BA7067">
        <w:t>, quienes recientemente expidieron la Circular Conjunta 100-006 del 16 de noviembre de 2021</w:t>
      </w:r>
      <w:r w:rsidR="006C2B29" w:rsidRPr="00BA7067">
        <w:rPr>
          <w:rStyle w:val="Refdenotaalpie"/>
        </w:rPr>
        <w:footnoteReference w:id="40"/>
      </w:r>
      <w:r w:rsidR="00544F9B" w:rsidRPr="00BA7067">
        <w:t>, en la que puntualizan que la celebración de adiciones, prorrogas</w:t>
      </w:r>
      <w:r w:rsidR="002F1A44" w:rsidRPr="00BA7067">
        <w:t xml:space="preserve"> y</w:t>
      </w:r>
      <w:r w:rsidR="00723A6F" w:rsidRPr="00BA7067">
        <w:t xml:space="preserve"> cesiones no estarían prohibidas por la Ley de Garantías</w:t>
      </w:r>
      <w:r w:rsidR="00951DA7" w:rsidRPr="00BA7067">
        <w:t xml:space="preserve"> Electorales</w:t>
      </w:r>
      <w:r w:rsidR="00CD45AB" w:rsidRPr="00BA7067">
        <w:rPr>
          <w:rStyle w:val="Refdenotaalpie"/>
        </w:rPr>
        <w:footnoteReference w:id="41"/>
      </w:r>
      <w:r w:rsidR="00723A6F" w:rsidRPr="00BA7067">
        <w:t>.</w:t>
      </w:r>
      <w:r w:rsidR="00544F9B" w:rsidRPr="00BA7067">
        <w:t xml:space="preserve"> </w:t>
      </w:r>
    </w:p>
    <w:p w14:paraId="2BE0EB47" w14:textId="151A36AA" w:rsidR="006C2B29" w:rsidRPr="00BA7067" w:rsidRDefault="006C2B29" w:rsidP="006C2B29">
      <w:pPr>
        <w:pStyle w:val="Textoindependiente"/>
        <w:spacing w:before="120" w:line="276" w:lineRule="auto"/>
        <w:ind w:right="49" w:firstLine="709"/>
        <w:jc w:val="both"/>
      </w:pPr>
      <w:r w:rsidRPr="00BA7067">
        <w:t>Estas consideraciones sobre la</w:t>
      </w:r>
      <w:r w:rsidR="00AD164D" w:rsidRPr="00BA7067">
        <w:t xml:space="preserve"> celebración de lo</w:t>
      </w:r>
      <w:r w:rsidRPr="00BA7067">
        <w:t>s</w:t>
      </w:r>
      <w:r w:rsidR="00AD164D" w:rsidRPr="00BA7067">
        <w:t xml:space="preserve"> actos jurídicos mencionados</w:t>
      </w:r>
      <w:r w:rsidRPr="00BA7067">
        <w:t xml:space="preserve"> </w:t>
      </w:r>
      <w:r w:rsidR="00E90881" w:rsidRPr="00BA7067">
        <w:t xml:space="preserve">modificaciones, </w:t>
      </w:r>
      <w:r w:rsidRPr="00BA7067">
        <w:t xml:space="preserve">cesiones, </w:t>
      </w:r>
      <w:r w:rsidR="007C453B" w:rsidRPr="00BA7067">
        <w:t xml:space="preserve">y </w:t>
      </w:r>
      <w:r w:rsidRPr="00BA7067">
        <w:t>pr</w:t>
      </w:r>
      <w:r w:rsidR="00A30B2A" w:rsidRPr="00BA7067">
        <w:t>ó</w:t>
      </w:r>
      <w:r w:rsidRPr="00BA7067">
        <w:t xml:space="preserve">rrogas se estiman relevantes para </w:t>
      </w:r>
      <w:r w:rsidR="00D50536" w:rsidRPr="00BA7067">
        <w:t>resolver la presente consulta</w:t>
      </w:r>
      <w:r w:rsidRPr="00BA7067">
        <w:rPr>
          <w:i/>
          <w:iCs/>
        </w:rPr>
        <w:t xml:space="preserve">, </w:t>
      </w:r>
      <w:r w:rsidR="00D50536" w:rsidRPr="00BA7067">
        <w:t>dado</w:t>
      </w:r>
      <w:r w:rsidRPr="00BA7067">
        <w:t xml:space="preserve"> que, así como tales negocios</w:t>
      </w:r>
      <w:r w:rsidR="00631ED8" w:rsidRPr="00BA7067">
        <w:t xml:space="preserve"> jurídicos</w:t>
      </w:r>
      <w:r w:rsidRPr="00BA7067">
        <w:t>, celebrados respecto de contratos vigentes, no implican la celebración de un nuevo contrato de manera directa, tampoco lo implicaría la suscripción de acuerdos transaccionales referidos a contratos cuya ejecución no ha finalizado</w:t>
      </w:r>
      <w:r w:rsidR="00631ED8" w:rsidRPr="00BA7067">
        <w:t xml:space="preserve"> y </w:t>
      </w:r>
      <w:r w:rsidR="00677D7E" w:rsidRPr="00BA7067">
        <w:t>que fueron debidamente perfeccionados antes de la entrada en vigencia</w:t>
      </w:r>
      <w:r w:rsidR="00C0277E" w:rsidRPr="00BA7067">
        <w:t xml:space="preserve"> de las prohibiciones contenidas en la Ley de Garantías</w:t>
      </w:r>
      <w:r w:rsidR="00951DA7" w:rsidRPr="00BA7067">
        <w:t xml:space="preserve"> Electorales</w:t>
      </w:r>
      <w:r w:rsidRPr="00BA7067">
        <w:t xml:space="preserve">. En ese sentido, al presentarse </w:t>
      </w:r>
      <w:r w:rsidRPr="00BA7067">
        <w:rPr>
          <w:i/>
          <w:iCs/>
        </w:rPr>
        <w:t>mutatis mutandis</w:t>
      </w:r>
      <w:r w:rsidRPr="00BA7067">
        <w:t xml:space="preserve"> las mismas circunstancias respecto de los mencionados negocios jurídicos, la conclusión sobre la posibilidad de su celebración en vigencia de la restricción del artículo 33 habría de ser la misma. Esto significa que </w:t>
      </w:r>
      <w:r w:rsidR="0044536F" w:rsidRPr="00BA7067">
        <w:t>no está dentro de la prohibición</w:t>
      </w:r>
      <w:r w:rsidR="002A177F" w:rsidRPr="00BA7067">
        <w:t xml:space="preserve"> citada</w:t>
      </w:r>
      <w:r w:rsidR="0044536F" w:rsidRPr="00BA7067">
        <w:t xml:space="preserve"> los</w:t>
      </w:r>
      <w:r w:rsidRPr="00BA7067">
        <w:t xml:space="preserve"> acuerdos transaccionales respecto de obligaciones o derechos derivados de contratos vigentes</w:t>
      </w:r>
      <w:r w:rsidR="00754CEC" w:rsidRPr="00BA7067">
        <w:t xml:space="preserve"> perfeccionado</w:t>
      </w:r>
      <w:r w:rsidR="007C453B" w:rsidRPr="00BA7067">
        <w:t>s</w:t>
      </w:r>
      <w:r w:rsidR="00754CEC" w:rsidRPr="00BA7067">
        <w:t xml:space="preserve"> antes de</w:t>
      </w:r>
      <w:r w:rsidR="00DD5A5C" w:rsidRPr="00BA7067">
        <w:t>l inicio del período en que rige la prohibición</w:t>
      </w:r>
      <w:r w:rsidRPr="00BA7067">
        <w:t xml:space="preserve">. </w:t>
      </w:r>
    </w:p>
    <w:p w14:paraId="6EAED6EF" w14:textId="6E133504" w:rsidR="006C2B29" w:rsidRPr="00BA7067" w:rsidRDefault="00DD5A5C" w:rsidP="006C2B29">
      <w:pPr>
        <w:pStyle w:val="Textoindependiente"/>
        <w:spacing w:before="120" w:line="276" w:lineRule="auto"/>
        <w:ind w:right="49" w:firstLine="709"/>
        <w:jc w:val="both"/>
      </w:pPr>
      <w:r w:rsidRPr="00BA7067">
        <w:t>De igual forma,</w:t>
      </w:r>
      <w:r w:rsidR="006C2B29" w:rsidRPr="00BA7067">
        <w:t xml:space="preserve"> la Agencia </w:t>
      </w:r>
      <w:r w:rsidRPr="00BA7067">
        <w:t xml:space="preserve">considera </w:t>
      </w:r>
      <w:r w:rsidR="006C2B29" w:rsidRPr="00BA7067">
        <w:t xml:space="preserve">que, en estos casos, en los que se acude a la </w:t>
      </w:r>
      <w:r w:rsidR="006C2B29" w:rsidRPr="00BA7067">
        <w:lastRenderedPageBreak/>
        <w:t xml:space="preserve">transacción para precaver un litigio o definir una controversia originada en un contrato estatal, no resultaría aplicable la restricción del artículo 33, en la medida en que no se está celebrando un nuevo negocio jurídico de manera directa, sino que se acude </w:t>
      </w:r>
      <w:r w:rsidR="00F535DD" w:rsidRPr="00BA7067">
        <w:t xml:space="preserve">a </w:t>
      </w:r>
      <w:r w:rsidR="006C2B29" w:rsidRPr="00BA7067">
        <w:rPr>
          <w:rFonts w:eastAsia="Calibri"/>
          <w:lang w:val="es-ES_tradnl"/>
        </w:rPr>
        <w:t>un mecanismo alternativo de resolución de conflictos de carácter autocompositivo</w:t>
      </w:r>
      <w:r w:rsidR="006C2B29" w:rsidRPr="00BA7067">
        <w:rPr>
          <w:rFonts w:eastAsia="Calibri"/>
          <w:i/>
          <w:iCs/>
          <w:lang w:val="es-ES_tradnl"/>
        </w:rPr>
        <w:t xml:space="preserve"> </w:t>
      </w:r>
      <w:r w:rsidR="006C2B29" w:rsidRPr="00BA7067">
        <w:rPr>
          <w:rFonts w:eastAsia="Calibri"/>
          <w:lang w:val="es-ES_tradnl"/>
        </w:rPr>
        <w:t xml:space="preserve">para </w:t>
      </w:r>
      <w:r w:rsidR="006C2B29" w:rsidRPr="00BA7067">
        <w:t xml:space="preserve">modificar las condiciones de un contrato ya celebrado. Conforme a </w:t>
      </w:r>
      <w:r w:rsidR="00FD4961" w:rsidRPr="00BA7067">
        <w:t>lo anterior</w:t>
      </w:r>
      <w:r w:rsidR="006C2B29" w:rsidRPr="00BA7067">
        <w:t>, tampoco habría lugar a la aplicación de las excepciones establecidas en el artículo</w:t>
      </w:r>
      <w:r w:rsidR="00D73495" w:rsidRPr="00BA7067">
        <w:t xml:space="preserve"> citado</w:t>
      </w:r>
      <w:r w:rsidR="006C2B29" w:rsidRPr="00BA7067">
        <w:t>, en la medida en que estas transacciones no están cobijadas por la prohibición y</w:t>
      </w:r>
      <w:r w:rsidR="00A903F4" w:rsidRPr="00BA7067">
        <w:t>,</w:t>
      </w:r>
      <w:r w:rsidR="006C2B29" w:rsidRPr="00BA7067">
        <w:t xml:space="preserve"> por lo tanto</w:t>
      </w:r>
      <w:r w:rsidR="00A903F4" w:rsidRPr="00BA7067">
        <w:t>,</w:t>
      </w:r>
      <w:r w:rsidR="006C2B29" w:rsidRPr="00BA7067">
        <w:t xml:space="preserve"> tampoco por sus excepciones.</w:t>
      </w:r>
      <w:r w:rsidR="00A903F4" w:rsidRPr="00BA7067">
        <w:t xml:space="preserve"> </w:t>
      </w:r>
    </w:p>
    <w:p w14:paraId="44788E5A" w14:textId="4312D09F" w:rsidR="006C2B29" w:rsidRPr="00BA7067" w:rsidRDefault="006C2B29" w:rsidP="00FA5A46">
      <w:pPr>
        <w:spacing w:before="120" w:line="276" w:lineRule="auto"/>
        <w:jc w:val="both"/>
        <w:rPr>
          <w:rFonts w:ascii="Arial" w:eastAsia="Calibri" w:hAnsi="Arial" w:cs="Arial"/>
          <w:sz w:val="22"/>
        </w:rPr>
      </w:pPr>
      <w:r w:rsidRPr="00BA7067">
        <w:rPr>
          <w:rFonts w:ascii="Arial" w:eastAsia="Calibri" w:hAnsi="Arial" w:cs="Arial"/>
          <w:sz w:val="22"/>
        </w:rPr>
        <w:t xml:space="preserve">         </w:t>
      </w:r>
      <w:r w:rsidR="00723E1A" w:rsidRPr="00BA7067">
        <w:rPr>
          <w:rFonts w:ascii="Arial" w:eastAsia="Calibri" w:hAnsi="Arial" w:cs="Arial"/>
          <w:sz w:val="22"/>
        </w:rPr>
        <w:tab/>
      </w:r>
      <w:r w:rsidR="008D5C3A" w:rsidRPr="00BA7067">
        <w:rPr>
          <w:rFonts w:ascii="Arial" w:eastAsia="Calibri" w:hAnsi="Arial" w:cs="Arial"/>
          <w:sz w:val="22"/>
        </w:rPr>
        <w:t>En virtud de lo anterior, t</w:t>
      </w:r>
      <w:r w:rsidR="00656D48" w:rsidRPr="00BA7067">
        <w:rPr>
          <w:rFonts w:ascii="Arial" w:eastAsia="Calibri" w:hAnsi="Arial" w:cs="Arial"/>
          <w:sz w:val="22"/>
        </w:rPr>
        <w:t xml:space="preserve">ambién </w:t>
      </w:r>
      <w:r w:rsidR="008F246E" w:rsidRPr="00BA7067">
        <w:rPr>
          <w:rFonts w:ascii="Arial" w:eastAsia="Calibri" w:hAnsi="Arial" w:cs="Arial"/>
          <w:sz w:val="22"/>
        </w:rPr>
        <w:t xml:space="preserve">es posible </w:t>
      </w:r>
      <w:r w:rsidR="001A4E65" w:rsidRPr="00BA7067">
        <w:rPr>
          <w:rFonts w:ascii="Arial" w:eastAsia="Calibri" w:hAnsi="Arial" w:cs="Arial"/>
          <w:sz w:val="22"/>
        </w:rPr>
        <w:t>afirmar que la celebración de</w:t>
      </w:r>
      <w:r w:rsidR="00694FB1" w:rsidRPr="00BA7067">
        <w:rPr>
          <w:rFonts w:ascii="Arial" w:eastAsia="Calibri" w:hAnsi="Arial" w:cs="Arial"/>
          <w:sz w:val="22"/>
        </w:rPr>
        <w:t xml:space="preserve"> </w:t>
      </w:r>
      <w:r w:rsidR="00334818" w:rsidRPr="00BA7067">
        <w:rPr>
          <w:rFonts w:ascii="Arial" w:eastAsia="Calibri" w:hAnsi="Arial" w:cs="Arial"/>
          <w:sz w:val="22"/>
        </w:rPr>
        <w:t xml:space="preserve">acuerdos </w:t>
      </w:r>
      <w:r w:rsidR="001A4E65" w:rsidRPr="00BA7067">
        <w:rPr>
          <w:rFonts w:ascii="Arial" w:eastAsia="Calibri" w:hAnsi="Arial" w:cs="Arial"/>
          <w:sz w:val="22"/>
        </w:rPr>
        <w:t>transacci</w:t>
      </w:r>
      <w:r w:rsidR="00694FB1" w:rsidRPr="00BA7067">
        <w:rPr>
          <w:rFonts w:ascii="Arial" w:eastAsia="Calibri" w:hAnsi="Arial" w:cs="Arial"/>
          <w:sz w:val="22"/>
        </w:rPr>
        <w:t>on</w:t>
      </w:r>
      <w:r w:rsidR="00334818" w:rsidRPr="00BA7067">
        <w:rPr>
          <w:rFonts w:ascii="Arial" w:eastAsia="Calibri" w:hAnsi="Arial" w:cs="Arial"/>
          <w:sz w:val="22"/>
        </w:rPr>
        <w:t>ales</w:t>
      </w:r>
      <w:r w:rsidR="001A4E65" w:rsidRPr="00BA7067">
        <w:rPr>
          <w:rFonts w:ascii="Arial" w:eastAsia="Calibri" w:hAnsi="Arial" w:cs="Arial"/>
          <w:sz w:val="22"/>
        </w:rPr>
        <w:t xml:space="preserve"> entre entidades estatales</w:t>
      </w:r>
      <w:r w:rsidR="00694FB1" w:rsidRPr="00BA7067">
        <w:rPr>
          <w:rFonts w:ascii="Arial" w:eastAsia="Calibri" w:hAnsi="Arial" w:cs="Arial"/>
          <w:sz w:val="22"/>
        </w:rPr>
        <w:t>, re</w:t>
      </w:r>
      <w:r w:rsidR="003A4B70" w:rsidRPr="00BA7067">
        <w:rPr>
          <w:rFonts w:ascii="Arial" w:eastAsia="Calibri" w:hAnsi="Arial" w:cs="Arial"/>
          <w:sz w:val="22"/>
        </w:rPr>
        <w:t>ferid</w:t>
      </w:r>
      <w:r w:rsidR="0049570C" w:rsidRPr="00BA7067">
        <w:rPr>
          <w:rFonts w:ascii="Arial" w:eastAsia="Calibri" w:hAnsi="Arial" w:cs="Arial"/>
          <w:sz w:val="22"/>
        </w:rPr>
        <w:t>o</w:t>
      </w:r>
      <w:r w:rsidR="003A4B70" w:rsidRPr="00BA7067">
        <w:rPr>
          <w:rFonts w:ascii="Arial" w:eastAsia="Calibri" w:hAnsi="Arial" w:cs="Arial"/>
          <w:sz w:val="22"/>
        </w:rPr>
        <w:t>s</w:t>
      </w:r>
      <w:r w:rsidR="00694FB1" w:rsidRPr="00BA7067">
        <w:rPr>
          <w:rFonts w:ascii="Arial" w:eastAsia="Calibri" w:hAnsi="Arial" w:cs="Arial"/>
          <w:sz w:val="22"/>
        </w:rPr>
        <w:t xml:space="preserve"> </w:t>
      </w:r>
      <w:r w:rsidR="003A4B70" w:rsidRPr="00BA7067">
        <w:rPr>
          <w:rFonts w:ascii="Arial" w:eastAsia="Calibri" w:hAnsi="Arial" w:cs="Arial"/>
          <w:sz w:val="22"/>
        </w:rPr>
        <w:t>a</w:t>
      </w:r>
      <w:r w:rsidR="00694FB1" w:rsidRPr="00BA7067">
        <w:rPr>
          <w:rFonts w:ascii="Arial" w:eastAsia="Calibri" w:hAnsi="Arial" w:cs="Arial"/>
          <w:sz w:val="22"/>
        </w:rPr>
        <w:t xml:space="preserve"> convenios interadministrativos </w:t>
      </w:r>
      <w:r w:rsidR="003A4B70" w:rsidRPr="00BA7067">
        <w:rPr>
          <w:rFonts w:ascii="Arial" w:eastAsia="Calibri" w:hAnsi="Arial" w:cs="Arial"/>
          <w:sz w:val="22"/>
        </w:rPr>
        <w:t xml:space="preserve">ya </w:t>
      </w:r>
      <w:r w:rsidR="00AA7532" w:rsidRPr="00BA7067">
        <w:rPr>
          <w:rFonts w:ascii="Arial" w:eastAsia="Calibri" w:hAnsi="Arial" w:cs="Arial"/>
          <w:sz w:val="22"/>
        </w:rPr>
        <w:t>perfeccionados</w:t>
      </w:r>
      <w:r w:rsidR="003A4B70" w:rsidRPr="00BA7067">
        <w:rPr>
          <w:rFonts w:ascii="Arial" w:eastAsia="Calibri" w:hAnsi="Arial" w:cs="Arial"/>
          <w:sz w:val="22"/>
        </w:rPr>
        <w:t xml:space="preserve">, tampoco vulnera la restricción del </w:t>
      </w:r>
      <w:r w:rsidR="002119CE" w:rsidRPr="00BA7067">
        <w:rPr>
          <w:rFonts w:ascii="Arial" w:eastAsia="Calibri" w:hAnsi="Arial" w:cs="Arial"/>
          <w:sz w:val="22"/>
        </w:rPr>
        <w:t xml:space="preserve">parágrafo del artículo 38. </w:t>
      </w:r>
      <w:r w:rsidR="0049570C" w:rsidRPr="00BA7067">
        <w:rPr>
          <w:rFonts w:ascii="Arial" w:eastAsia="Calibri" w:hAnsi="Arial" w:cs="Arial"/>
          <w:sz w:val="22"/>
        </w:rPr>
        <w:t>Esto en la medida en que</w:t>
      </w:r>
      <w:r w:rsidR="00516630" w:rsidRPr="00BA7067">
        <w:rPr>
          <w:rFonts w:ascii="Arial" w:eastAsia="Calibri" w:hAnsi="Arial" w:cs="Arial"/>
          <w:sz w:val="22"/>
        </w:rPr>
        <w:t>,</w:t>
      </w:r>
      <w:r w:rsidR="0049570C" w:rsidRPr="00BA7067">
        <w:rPr>
          <w:rFonts w:ascii="Arial" w:eastAsia="Calibri" w:hAnsi="Arial" w:cs="Arial"/>
          <w:sz w:val="22"/>
        </w:rPr>
        <w:t xml:space="preserve"> </w:t>
      </w:r>
      <w:r w:rsidR="00EB359A" w:rsidRPr="00BA7067">
        <w:rPr>
          <w:rFonts w:ascii="Arial" w:eastAsia="Calibri" w:hAnsi="Arial" w:cs="Arial"/>
          <w:sz w:val="22"/>
        </w:rPr>
        <w:t>la suscripción de estos negocios jurídicos</w:t>
      </w:r>
      <w:r w:rsidR="00353CB8" w:rsidRPr="00BA7067">
        <w:rPr>
          <w:rFonts w:ascii="Arial" w:eastAsia="Calibri" w:hAnsi="Arial" w:cs="Arial"/>
          <w:sz w:val="22"/>
        </w:rPr>
        <w:t xml:space="preserve"> no </w:t>
      </w:r>
      <w:r w:rsidR="009A6A4B" w:rsidRPr="00BA7067">
        <w:rPr>
          <w:rFonts w:ascii="Arial" w:eastAsia="Calibri" w:hAnsi="Arial" w:cs="Arial"/>
          <w:sz w:val="22"/>
        </w:rPr>
        <w:t>significa</w:t>
      </w:r>
      <w:r w:rsidR="00F24BC6" w:rsidRPr="00BA7067">
        <w:rPr>
          <w:rFonts w:ascii="Arial" w:eastAsia="Calibri" w:hAnsi="Arial" w:cs="Arial"/>
          <w:sz w:val="22"/>
        </w:rPr>
        <w:t>ría</w:t>
      </w:r>
      <w:r w:rsidR="009A6A4B" w:rsidRPr="00BA7067">
        <w:rPr>
          <w:rFonts w:ascii="Arial" w:eastAsia="Calibri" w:hAnsi="Arial" w:cs="Arial"/>
          <w:sz w:val="22"/>
        </w:rPr>
        <w:t xml:space="preserve"> </w:t>
      </w:r>
      <w:r w:rsidR="00CF1858" w:rsidRPr="00BA7067">
        <w:rPr>
          <w:rFonts w:ascii="Arial" w:eastAsia="Calibri" w:hAnsi="Arial" w:cs="Arial"/>
          <w:sz w:val="22"/>
        </w:rPr>
        <w:t>dar origen</w:t>
      </w:r>
      <w:r w:rsidR="00114159" w:rsidRPr="00BA7067">
        <w:rPr>
          <w:rFonts w:ascii="Arial" w:eastAsia="Calibri" w:hAnsi="Arial" w:cs="Arial"/>
          <w:sz w:val="22"/>
        </w:rPr>
        <w:t xml:space="preserve"> </w:t>
      </w:r>
      <w:r w:rsidR="00F24BC6" w:rsidRPr="00BA7067">
        <w:rPr>
          <w:rFonts w:ascii="Arial" w:eastAsia="Calibri" w:hAnsi="Arial" w:cs="Arial"/>
          <w:sz w:val="22"/>
        </w:rPr>
        <w:t xml:space="preserve">a </w:t>
      </w:r>
      <w:r w:rsidR="00C6308C" w:rsidRPr="00BA7067">
        <w:rPr>
          <w:rFonts w:ascii="Arial" w:eastAsia="Calibri" w:hAnsi="Arial" w:cs="Arial"/>
          <w:sz w:val="22"/>
        </w:rPr>
        <w:t>nuevo</w:t>
      </w:r>
      <w:r w:rsidR="00F24BC6" w:rsidRPr="00BA7067">
        <w:rPr>
          <w:rFonts w:ascii="Arial" w:eastAsia="Calibri" w:hAnsi="Arial" w:cs="Arial"/>
          <w:sz w:val="22"/>
        </w:rPr>
        <w:t>s</w:t>
      </w:r>
      <w:r w:rsidR="00C6308C" w:rsidRPr="00BA7067">
        <w:rPr>
          <w:rFonts w:ascii="Arial" w:eastAsia="Calibri" w:hAnsi="Arial" w:cs="Arial"/>
          <w:sz w:val="22"/>
        </w:rPr>
        <w:t xml:space="preserve"> convenio</w:t>
      </w:r>
      <w:r w:rsidR="00F24BC6" w:rsidRPr="00BA7067">
        <w:rPr>
          <w:rFonts w:ascii="Arial" w:eastAsia="Calibri" w:hAnsi="Arial" w:cs="Arial"/>
          <w:sz w:val="22"/>
        </w:rPr>
        <w:t>s</w:t>
      </w:r>
      <w:r w:rsidR="00C6308C" w:rsidRPr="00BA7067">
        <w:rPr>
          <w:rFonts w:ascii="Arial" w:eastAsia="Calibri" w:hAnsi="Arial" w:cs="Arial"/>
          <w:sz w:val="22"/>
        </w:rPr>
        <w:t xml:space="preserve"> interadministrativo</w:t>
      </w:r>
      <w:r w:rsidR="00F24BC6" w:rsidRPr="00BA7067">
        <w:rPr>
          <w:rFonts w:ascii="Arial" w:eastAsia="Calibri" w:hAnsi="Arial" w:cs="Arial"/>
          <w:sz w:val="22"/>
        </w:rPr>
        <w:t>s</w:t>
      </w:r>
      <w:r w:rsidR="0029333F" w:rsidRPr="00BA7067">
        <w:rPr>
          <w:rFonts w:ascii="Arial" w:eastAsia="Calibri" w:hAnsi="Arial" w:cs="Arial"/>
          <w:sz w:val="22"/>
        </w:rPr>
        <w:t>,</w:t>
      </w:r>
      <w:r w:rsidR="00CF1858" w:rsidRPr="00BA7067">
        <w:rPr>
          <w:rFonts w:ascii="Arial" w:eastAsia="Calibri" w:hAnsi="Arial" w:cs="Arial"/>
          <w:sz w:val="22"/>
        </w:rPr>
        <w:t xml:space="preserve"> que es l</w:t>
      </w:r>
      <w:r w:rsidR="00DA2710" w:rsidRPr="00BA7067">
        <w:rPr>
          <w:rFonts w:ascii="Arial" w:eastAsia="Calibri" w:hAnsi="Arial" w:cs="Arial"/>
          <w:sz w:val="22"/>
        </w:rPr>
        <w:t xml:space="preserve">o </w:t>
      </w:r>
      <w:r w:rsidR="00E23A22" w:rsidRPr="00BA7067">
        <w:rPr>
          <w:rFonts w:ascii="Arial" w:eastAsia="Calibri" w:hAnsi="Arial" w:cs="Arial"/>
          <w:sz w:val="22"/>
        </w:rPr>
        <w:t>pr</w:t>
      </w:r>
      <w:r w:rsidR="00520E2F" w:rsidRPr="00BA7067">
        <w:rPr>
          <w:rFonts w:ascii="Arial" w:eastAsia="Calibri" w:hAnsi="Arial" w:cs="Arial"/>
          <w:sz w:val="22"/>
        </w:rPr>
        <w:t>ohibido por l</w:t>
      </w:r>
      <w:r w:rsidR="00C10978" w:rsidRPr="00BA7067">
        <w:rPr>
          <w:rFonts w:ascii="Arial" w:eastAsia="Calibri" w:hAnsi="Arial" w:cs="Arial"/>
          <w:sz w:val="22"/>
        </w:rPr>
        <w:t>a norma.</w:t>
      </w:r>
      <w:r w:rsidR="00516630" w:rsidRPr="00BA7067">
        <w:rPr>
          <w:rFonts w:ascii="Arial" w:eastAsia="Calibri" w:hAnsi="Arial" w:cs="Arial"/>
          <w:sz w:val="22"/>
        </w:rPr>
        <w:t xml:space="preserve"> Por consiguiente, e</w:t>
      </w:r>
      <w:r w:rsidR="00691E96" w:rsidRPr="00BA7067">
        <w:rPr>
          <w:rFonts w:ascii="Arial" w:eastAsia="Calibri" w:hAnsi="Arial" w:cs="Arial"/>
          <w:sz w:val="22"/>
        </w:rPr>
        <w:t>ventos en los que entes territoriales o entidades descentralizadas del nivel territorial</w:t>
      </w:r>
      <w:r w:rsidR="004B031F" w:rsidRPr="00BA7067">
        <w:rPr>
          <w:rFonts w:ascii="Arial" w:eastAsia="Calibri" w:hAnsi="Arial" w:cs="Arial"/>
          <w:sz w:val="22"/>
        </w:rPr>
        <w:t xml:space="preserve"> se valen de</w:t>
      </w:r>
      <w:r w:rsidR="00916361" w:rsidRPr="00BA7067">
        <w:rPr>
          <w:rFonts w:ascii="Arial" w:eastAsia="Calibri" w:hAnsi="Arial" w:cs="Arial"/>
          <w:sz w:val="22"/>
        </w:rPr>
        <w:t xml:space="preserve"> la transacción </w:t>
      </w:r>
      <w:r w:rsidR="00550948" w:rsidRPr="00BA7067">
        <w:rPr>
          <w:rFonts w:ascii="Arial" w:eastAsia="Calibri" w:hAnsi="Arial" w:cs="Arial"/>
          <w:sz w:val="22"/>
        </w:rPr>
        <w:t xml:space="preserve">para modificar o variar </w:t>
      </w:r>
      <w:r w:rsidR="008600B5" w:rsidRPr="00BA7067">
        <w:rPr>
          <w:rFonts w:ascii="Arial" w:eastAsia="Calibri" w:hAnsi="Arial" w:cs="Arial"/>
          <w:sz w:val="22"/>
        </w:rPr>
        <w:t xml:space="preserve">el contenido de </w:t>
      </w:r>
      <w:r w:rsidR="00550948" w:rsidRPr="00BA7067">
        <w:rPr>
          <w:rFonts w:ascii="Arial" w:eastAsia="Calibri" w:hAnsi="Arial" w:cs="Arial"/>
          <w:sz w:val="22"/>
        </w:rPr>
        <w:t>derechos, obligaciones o prestaciones que devienen de contratos interadministrativos</w:t>
      </w:r>
      <w:r w:rsidR="006F5A92" w:rsidRPr="00BA7067">
        <w:rPr>
          <w:rFonts w:ascii="Arial" w:eastAsia="Calibri" w:hAnsi="Arial" w:cs="Arial"/>
          <w:sz w:val="22"/>
        </w:rPr>
        <w:t>, con el</w:t>
      </w:r>
      <w:r w:rsidR="000D75C6" w:rsidRPr="00BA7067">
        <w:rPr>
          <w:rFonts w:ascii="Arial" w:eastAsia="Calibri" w:hAnsi="Arial" w:cs="Arial"/>
          <w:sz w:val="22"/>
        </w:rPr>
        <w:t xml:space="preserve"> fin</w:t>
      </w:r>
      <w:r w:rsidR="006F5A92" w:rsidRPr="00BA7067">
        <w:rPr>
          <w:rFonts w:ascii="Arial" w:eastAsia="Calibri" w:hAnsi="Arial" w:cs="Arial"/>
          <w:sz w:val="22"/>
        </w:rPr>
        <w:t xml:space="preserve"> de </w:t>
      </w:r>
      <w:r w:rsidR="00916361" w:rsidRPr="00BA7067">
        <w:rPr>
          <w:rFonts w:ascii="Arial" w:eastAsia="Calibri" w:hAnsi="Arial" w:cs="Arial"/>
          <w:sz w:val="22"/>
        </w:rPr>
        <w:t>precaver</w:t>
      </w:r>
      <w:r w:rsidR="006F5A92" w:rsidRPr="00BA7067">
        <w:rPr>
          <w:rFonts w:ascii="Arial" w:eastAsia="Calibri" w:hAnsi="Arial" w:cs="Arial"/>
          <w:sz w:val="22"/>
        </w:rPr>
        <w:t xml:space="preserve"> </w:t>
      </w:r>
      <w:r w:rsidR="00916361" w:rsidRPr="00BA7067">
        <w:rPr>
          <w:rFonts w:ascii="Arial" w:eastAsia="Calibri" w:hAnsi="Arial" w:cs="Arial"/>
          <w:sz w:val="22"/>
        </w:rPr>
        <w:t>litigio</w:t>
      </w:r>
      <w:r w:rsidR="006F5A92" w:rsidRPr="00BA7067">
        <w:rPr>
          <w:rFonts w:ascii="Arial" w:eastAsia="Calibri" w:hAnsi="Arial" w:cs="Arial"/>
          <w:sz w:val="22"/>
        </w:rPr>
        <w:t>s</w:t>
      </w:r>
      <w:r w:rsidR="00916361" w:rsidRPr="00BA7067">
        <w:rPr>
          <w:rFonts w:ascii="Arial" w:eastAsia="Calibri" w:hAnsi="Arial" w:cs="Arial"/>
          <w:sz w:val="22"/>
        </w:rPr>
        <w:t xml:space="preserve"> o solucionar controversia</w:t>
      </w:r>
      <w:r w:rsidR="006F5A92" w:rsidRPr="00BA7067">
        <w:rPr>
          <w:rFonts w:ascii="Arial" w:eastAsia="Calibri" w:hAnsi="Arial" w:cs="Arial"/>
          <w:sz w:val="22"/>
        </w:rPr>
        <w:t>s</w:t>
      </w:r>
      <w:r w:rsidR="00916361" w:rsidRPr="00BA7067">
        <w:rPr>
          <w:rFonts w:ascii="Arial" w:eastAsia="Calibri" w:hAnsi="Arial" w:cs="Arial"/>
          <w:sz w:val="22"/>
        </w:rPr>
        <w:t xml:space="preserve"> con otra</w:t>
      </w:r>
      <w:r w:rsidR="006F5A92" w:rsidRPr="00BA7067">
        <w:rPr>
          <w:rFonts w:ascii="Arial" w:eastAsia="Calibri" w:hAnsi="Arial" w:cs="Arial"/>
          <w:sz w:val="22"/>
        </w:rPr>
        <w:t>s</w:t>
      </w:r>
      <w:r w:rsidR="00916361" w:rsidRPr="00BA7067">
        <w:rPr>
          <w:rFonts w:ascii="Arial" w:eastAsia="Calibri" w:hAnsi="Arial" w:cs="Arial"/>
          <w:sz w:val="22"/>
        </w:rPr>
        <w:t xml:space="preserve"> entidad</w:t>
      </w:r>
      <w:r w:rsidR="006F5A92" w:rsidRPr="00BA7067">
        <w:rPr>
          <w:rFonts w:ascii="Arial" w:eastAsia="Calibri" w:hAnsi="Arial" w:cs="Arial"/>
          <w:sz w:val="22"/>
        </w:rPr>
        <w:t>es</w:t>
      </w:r>
      <w:r w:rsidR="00916361" w:rsidRPr="00BA7067">
        <w:rPr>
          <w:rFonts w:ascii="Arial" w:eastAsia="Calibri" w:hAnsi="Arial" w:cs="Arial"/>
          <w:sz w:val="22"/>
        </w:rPr>
        <w:t xml:space="preserve"> estatal</w:t>
      </w:r>
      <w:r w:rsidR="006F5A92" w:rsidRPr="00BA7067">
        <w:rPr>
          <w:rFonts w:ascii="Arial" w:eastAsia="Calibri" w:hAnsi="Arial" w:cs="Arial"/>
          <w:sz w:val="22"/>
        </w:rPr>
        <w:t>es</w:t>
      </w:r>
      <w:r w:rsidR="00916361" w:rsidRPr="00BA7067">
        <w:rPr>
          <w:rFonts w:ascii="Arial" w:eastAsia="Calibri" w:hAnsi="Arial" w:cs="Arial"/>
          <w:sz w:val="22"/>
        </w:rPr>
        <w:t>,</w:t>
      </w:r>
      <w:r w:rsidR="00B54B81" w:rsidRPr="00BA7067">
        <w:rPr>
          <w:rFonts w:ascii="Arial" w:eastAsia="Calibri" w:hAnsi="Arial" w:cs="Arial"/>
          <w:sz w:val="22"/>
        </w:rPr>
        <w:t xml:space="preserve"> </w:t>
      </w:r>
      <w:r w:rsidR="003B4C99" w:rsidRPr="00BA7067">
        <w:rPr>
          <w:rFonts w:ascii="Arial" w:eastAsia="Calibri" w:hAnsi="Arial" w:cs="Arial"/>
          <w:sz w:val="22"/>
        </w:rPr>
        <w:t xml:space="preserve">no </w:t>
      </w:r>
      <w:r w:rsidR="00B54B81" w:rsidRPr="00BA7067">
        <w:rPr>
          <w:rFonts w:ascii="Arial" w:eastAsia="Calibri" w:hAnsi="Arial" w:cs="Arial"/>
          <w:sz w:val="22"/>
        </w:rPr>
        <w:t xml:space="preserve">entran </w:t>
      </w:r>
      <w:r w:rsidR="00F556E6" w:rsidRPr="00BA7067">
        <w:rPr>
          <w:rFonts w:ascii="Arial" w:eastAsia="Calibri" w:hAnsi="Arial" w:cs="Arial"/>
          <w:sz w:val="22"/>
        </w:rPr>
        <w:t>dentro del ámbito material de la restricción del</w:t>
      </w:r>
      <w:r w:rsidR="007B7D48" w:rsidRPr="00BA7067">
        <w:rPr>
          <w:rFonts w:ascii="Arial" w:eastAsia="Calibri" w:hAnsi="Arial" w:cs="Arial"/>
          <w:sz w:val="22"/>
        </w:rPr>
        <w:t xml:space="preserve"> primer inciso del</w:t>
      </w:r>
      <w:r w:rsidR="00F556E6" w:rsidRPr="00BA7067">
        <w:rPr>
          <w:rFonts w:ascii="Arial" w:eastAsia="Calibri" w:hAnsi="Arial" w:cs="Arial"/>
          <w:sz w:val="22"/>
        </w:rPr>
        <w:t xml:space="preserve"> </w:t>
      </w:r>
      <w:r w:rsidR="007B7D48" w:rsidRPr="00BA7067">
        <w:rPr>
          <w:rFonts w:ascii="Arial" w:eastAsia="Calibri" w:hAnsi="Arial" w:cs="Arial"/>
          <w:sz w:val="22"/>
        </w:rPr>
        <w:t xml:space="preserve">parágrafo del </w:t>
      </w:r>
      <w:r w:rsidR="00F556E6" w:rsidRPr="00BA7067">
        <w:rPr>
          <w:rFonts w:ascii="Arial" w:eastAsia="Calibri" w:hAnsi="Arial" w:cs="Arial"/>
          <w:sz w:val="22"/>
        </w:rPr>
        <w:t>artículo</w:t>
      </w:r>
      <w:r w:rsidR="007B7D48" w:rsidRPr="00BA7067">
        <w:rPr>
          <w:rFonts w:ascii="Arial" w:eastAsia="Calibri" w:hAnsi="Arial" w:cs="Arial"/>
          <w:sz w:val="22"/>
        </w:rPr>
        <w:t xml:space="preserve"> 38,</w:t>
      </w:r>
      <w:r w:rsidR="009B1B03" w:rsidRPr="00BA7067">
        <w:rPr>
          <w:rFonts w:ascii="Arial" w:eastAsia="Calibri" w:hAnsi="Arial" w:cs="Arial"/>
          <w:sz w:val="22"/>
        </w:rPr>
        <w:t xml:space="preserve"> por lo que podrían ser celebrados durante los periodos preelectorales</w:t>
      </w:r>
      <w:r w:rsidR="00333295" w:rsidRPr="00BA7067">
        <w:rPr>
          <w:rFonts w:ascii="Arial" w:eastAsia="Calibri" w:hAnsi="Arial" w:cs="Arial"/>
          <w:sz w:val="22"/>
        </w:rPr>
        <w:t>, incluso de manera directa, ya que</w:t>
      </w:r>
      <w:r w:rsidR="001A267F" w:rsidRPr="00BA7067">
        <w:rPr>
          <w:rFonts w:ascii="Arial" w:eastAsia="Calibri" w:hAnsi="Arial" w:cs="Arial"/>
          <w:sz w:val="22"/>
        </w:rPr>
        <w:t>,</w:t>
      </w:r>
      <w:r w:rsidR="00333295" w:rsidRPr="00BA7067">
        <w:rPr>
          <w:rFonts w:ascii="Arial" w:eastAsia="Calibri" w:hAnsi="Arial" w:cs="Arial"/>
          <w:sz w:val="22"/>
        </w:rPr>
        <w:t xml:space="preserve"> por</w:t>
      </w:r>
      <w:r w:rsidR="001A267F" w:rsidRPr="00BA7067">
        <w:rPr>
          <w:rFonts w:ascii="Arial" w:eastAsia="Calibri" w:hAnsi="Arial" w:cs="Arial"/>
          <w:sz w:val="22"/>
        </w:rPr>
        <w:t xml:space="preserve"> lo</w:t>
      </w:r>
      <w:r w:rsidR="00333295" w:rsidRPr="00BA7067">
        <w:rPr>
          <w:rFonts w:ascii="Arial" w:eastAsia="Calibri" w:hAnsi="Arial" w:cs="Arial"/>
          <w:sz w:val="22"/>
        </w:rPr>
        <w:t xml:space="preserve"> expuesto en p</w:t>
      </w:r>
      <w:r w:rsidR="001A267F" w:rsidRPr="00BA7067">
        <w:rPr>
          <w:rFonts w:ascii="Arial" w:eastAsia="Calibri" w:hAnsi="Arial" w:cs="Arial"/>
          <w:sz w:val="22"/>
        </w:rPr>
        <w:t xml:space="preserve">árrafos anteriores, tampoco aplica la restricción del artículo 33. </w:t>
      </w:r>
      <w:r w:rsidR="003B4C99" w:rsidRPr="00BA7067">
        <w:rPr>
          <w:rFonts w:ascii="Arial" w:eastAsia="Calibri" w:hAnsi="Arial" w:cs="Arial"/>
          <w:sz w:val="22"/>
        </w:rPr>
        <w:t xml:space="preserve"> </w:t>
      </w:r>
      <w:r w:rsidR="007B7D48" w:rsidRPr="00BA7067">
        <w:rPr>
          <w:rFonts w:ascii="Arial" w:eastAsia="Calibri" w:hAnsi="Arial" w:cs="Arial"/>
          <w:sz w:val="22"/>
        </w:rPr>
        <w:t xml:space="preserve"> </w:t>
      </w:r>
    </w:p>
    <w:p w14:paraId="69F52424" w14:textId="68FF43A4" w:rsidR="00120C7A" w:rsidRPr="00BA7067" w:rsidRDefault="00D61D13" w:rsidP="00B30E77">
      <w:pPr>
        <w:spacing w:before="120" w:line="276" w:lineRule="auto"/>
        <w:jc w:val="both"/>
        <w:rPr>
          <w:rFonts w:ascii="Arial" w:hAnsi="Arial" w:cs="Arial"/>
          <w:sz w:val="22"/>
        </w:rPr>
      </w:pPr>
      <w:r w:rsidRPr="00BA7067">
        <w:rPr>
          <w:rFonts w:ascii="Arial" w:eastAsia="Calibri" w:hAnsi="Arial" w:cs="Arial"/>
          <w:sz w:val="22"/>
        </w:rPr>
        <w:tab/>
      </w:r>
      <w:r w:rsidR="00BC617E" w:rsidRPr="00BA7067">
        <w:rPr>
          <w:rFonts w:ascii="Arial" w:eastAsia="Calibri" w:hAnsi="Arial" w:cs="Arial"/>
          <w:sz w:val="22"/>
        </w:rPr>
        <w:t>Ahora bien, e</w:t>
      </w:r>
      <w:r w:rsidR="001F285A" w:rsidRPr="00BA7067">
        <w:rPr>
          <w:rFonts w:ascii="Arial" w:eastAsia="Calibri" w:hAnsi="Arial" w:cs="Arial"/>
          <w:sz w:val="22"/>
        </w:rPr>
        <w:t>l artículo 238 de la Ley 1955 de 2019</w:t>
      </w:r>
      <w:r w:rsidR="00BC617E" w:rsidRPr="00BA7067">
        <w:rPr>
          <w:rFonts w:ascii="Arial" w:eastAsia="Calibri" w:hAnsi="Arial" w:cs="Arial"/>
          <w:sz w:val="22"/>
        </w:rPr>
        <w:t xml:space="preserve"> mencionado en la consulta</w:t>
      </w:r>
      <w:r w:rsidR="00175BA0" w:rsidRPr="00BA7067">
        <w:rPr>
          <w:rFonts w:ascii="Arial" w:eastAsia="Calibri" w:hAnsi="Arial" w:cs="Arial"/>
          <w:sz w:val="22"/>
        </w:rPr>
        <w:t xml:space="preserve"> propicia el saneamiento financiero del sector salud en las entidades territoriales, </w:t>
      </w:r>
      <w:r w:rsidR="00A05FE5" w:rsidRPr="00BA7067">
        <w:rPr>
          <w:rFonts w:ascii="Arial" w:eastAsia="Calibri" w:hAnsi="Arial" w:cs="Arial"/>
          <w:sz w:val="22"/>
        </w:rPr>
        <w:t>propósito en favor del cual</w:t>
      </w:r>
      <w:r w:rsidR="00494C60" w:rsidRPr="00BA7067">
        <w:rPr>
          <w:rFonts w:ascii="Arial" w:eastAsia="Calibri" w:hAnsi="Arial" w:cs="Arial"/>
          <w:sz w:val="22"/>
        </w:rPr>
        <w:t xml:space="preserve">, en primer lugar, </w:t>
      </w:r>
      <w:r w:rsidR="00A05FE5" w:rsidRPr="00BA7067">
        <w:rPr>
          <w:rFonts w:ascii="Arial" w:eastAsia="Calibri" w:hAnsi="Arial" w:cs="Arial"/>
          <w:sz w:val="22"/>
        </w:rPr>
        <w:t xml:space="preserve">se </w:t>
      </w:r>
      <w:r w:rsidR="006F5737" w:rsidRPr="00BA7067">
        <w:rPr>
          <w:rFonts w:ascii="Arial" w:eastAsia="Calibri" w:hAnsi="Arial" w:cs="Arial"/>
          <w:sz w:val="22"/>
        </w:rPr>
        <w:t>establecen una serie de reglas para</w:t>
      </w:r>
      <w:r w:rsidR="00A05FE5" w:rsidRPr="00BA7067">
        <w:rPr>
          <w:rFonts w:ascii="Arial" w:hAnsi="Arial" w:cs="Arial"/>
          <w:sz w:val="22"/>
        </w:rPr>
        <w:t xml:space="preserve"> el saneamiento definitivo de las cuentas de servicios y tecnologías en salud no financiadas por la UPC del régimen subsidiado prestados hasta el 31 de diciembre de 2019</w:t>
      </w:r>
      <w:r w:rsidR="00B93A0E" w:rsidRPr="00BA7067">
        <w:rPr>
          <w:rStyle w:val="Refdenotaalpie"/>
          <w:rFonts w:ascii="Arial" w:hAnsi="Arial" w:cs="Arial"/>
          <w:sz w:val="22"/>
        </w:rPr>
        <w:footnoteReference w:id="42"/>
      </w:r>
      <w:r w:rsidR="006F5737" w:rsidRPr="00BA7067">
        <w:rPr>
          <w:rFonts w:ascii="Arial" w:hAnsi="Arial" w:cs="Arial"/>
          <w:sz w:val="22"/>
        </w:rPr>
        <w:t xml:space="preserve">. </w:t>
      </w:r>
      <w:r w:rsidR="00045238" w:rsidRPr="00BA7067">
        <w:rPr>
          <w:rFonts w:ascii="Arial" w:hAnsi="Arial" w:cs="Arial"/>
          <w:sz w:val="22"/>
        </w:rPr>
        <w:t>L</w:t>
      </w:r>
      <w:r w:rsidR="00A36A2E" w:rsidRPr="00BA7067">
        <w:rPr>
          <w:rFonts w:ascii="Arial" w:hAnsi="Arial" w:cs="Arial"/>
          <w:sz w:val="22"/>
        </w:rPr>
        <w:t xml:space="preserve">a norma contempla la </w:t>
      </w:r>
      <w:r w:rsidR="00A36A2E" w:rsidRPr="00BA7067">
        <w:rPr>
          <w:rFonts w:ascii="Arial" w:hAnsi="Arial" w:cs="Arial"/>
          <w:sz w:val="22"/>
        </w:rPr>
        <w:lastRenderedPageBreak/>
        <w:t xml:space="preserve">posibilidad de que la </w:t>
      </w:r>
      <w:r w:rsidR="00B30E77" w:rsidRPr="00BA7067">
        <w:rPr>
          <w:rFonts w:ascii="Arial" w:hAnsi="Arial" w:cs="Arial"/>
          <w:sz w:val="22"/>
        </w:rPr>
        <w:t>N</w:t>
      </w:r>
      <w:r w:rsidR="00A36A2E" w:rsidRPr="00BA7067">
        <w:rPr>
          <w:rFonts w:ascii="Arial" w:hAnsi="Arial" w:cs="Arial"/>
          <w:sz w:val="22"/>
        </w:rPr>
        <w:t>ación cofinancie el pago de las deudas de los servicios y tecnologías en salud no financiadas con cargo a la UPC del régimen subsidiado que agoten el procedimiento descrito en este artículo, siem</w:t>
      </w:r>
      <w:r w:rsidR="00A36A2E" w:rsidRPr="00BA7067">
        <w:rPr>
          <w:rFonts w:ascii="Arial" w:hAnsi="Arial" w:cs="Arial"/>
          <w:sz w:val="22"/>
        </w:rPr>
        <w:softHyphen/>
        <w:t>pre y cuando se cumplan</w:t>
      </w:r>
      <w:r w:rsidR="001B03DA" w:rsidRPr="00BA7067">
        <w:rPr>
          <w:rFonts w:ascii="Arial" w:hAnsi="Arial" w:cs="Arial"/>
          <w:sz w:val="22"/>
        </w:rPr>
        <w:t xml:space="preserve"> –entre otros–</w:t>
      </w:r>
      <w:r w:rsidR="00A36A2E" w:rsidRPr="00BA7067">
        <w:rPr>
          <w:rFonts w:ascii="Arial" w:hAnsi="Arial" w:cs="Arial"/>
          <w:sz w:val="22"/>
        </w:rPr>
        <w:t xml:space="preserve"> </w:t>
      </w:r>
      <w:r w:rsidR="001B03DA" w:rsidRPr="00BA7067">
        <w:rPr>
          <w:rFonts w:ascii="Arial" w:hAnsi="Arial" w:cs="Arial"/>
          <w:sz w:val="22"/>
        </w:rPr>
        <w:t>e</w:t>
      </w:r>
      <w:r w:rsidR="00A36A2E" w:rsidRPr="00BA7067">
        <w:rPr>
          <w:rFonts w:ascii="Arial" w:hAnsi="Arial" w:cs="Arial"/>
          <w:sz w:val="22"/>
        </w:rPr>
        <w:t xml:space="preserve">l siguiente </w:t>
      </w:r>
      <w:r w:rsidR="001B03DA" w:rsidRPr="00BA7067">
        <w:rPr>
          <w:rFonts w:ascii="Arial" w:hAnsi="Arial" w:cs="Arial"/>
          <w:sz w:val="22"/>
        </w:rPr>
        <w:t>requisito</w:t>
      </w:r>
      <w:r w:rsidR="00A36A2E" w:rsidRPr="00BA7067">
        <w:rPr>
          <w:rFonts w:ascii="Arial" w:hAnsi="Arial" w:cs="Arial"/>
          <w:sz w:val="22"/>
        </w:rPr>
        <w:t>:</w:t>
      </w:r>
      <w:r w:rsidR="00B30E77" w:rsidRPr="00BA7067">
        <w:rPr>
          <w:rFonts w:ascii="Arial" w:hAnsi="Arial" w:cs="Arial"/>
          <w:sz w:val="22"/>
        </w:rPr>
        <w:t xml:space="preserve"> </w:t>
      </w:r>
      <w:r w:rsidR="00D322F9" w:rsidRPr="00BA7067">
        <w:rPr>
          <w:rFonts w:ascii="Arial" w:hAnsi="Arial" w:cs="Arial"/>
          <w:sz w:val="22"/>
        </w:rPr>
        <w:t>«</w:t>
      </w:r>
      <w:r w:rsidR="00B30E77" w:rsidRPr="00BA7067">
        <w:rPr>
          <w:rFonts w:ascii="Arial" w:hAnsi="Arial" w:cs="Arial"/>
          <w:sz w:val="22"/>
        </w:rPr>
        <w:t xml:space="preserve">[…] b) </w:t>
      </w:r>
      <w:r w:rsidR="00B30E77" w:rsidRPr="00BA7067">
        <w:rPr>
          <w:rFonts w:ascii="Arial" w:hAnsi="Arial" w:cs="Arial"/>
          <w:i/>
          <w:iCs/>
          <w:sz w:val="22"/>
        </w:rPr>
        <w:t>Que la entidad territorial suscriba un contrato de transacción con</w:t>
      </w:r>
      <w:r w:rsidR="00B30E77" w:rsidRPr="00BA7067">
        <w:rPr>
          <w:rFonts w:ascii="Arial" w:hAnsi="Arial" w:cs="Arial"/>
          <w:sz w:val="22"/>
        </w:rPr>
        <w:t xml:space="preserve"> la entidad acreedora» (Énfasis fuera de texto). </w:t>
      </w:r>
      <w:r w:rsidR="00A36A2E" w:rsidRPr="00BA7067">
        <w:rPr>
          <w:rFonts w:ascii="Arial" w:hAnsi="Arial" w:cs="Arial"/>
          <w:sz w:val="22"/>
        </w:rPr>
        <w:t> </w:t>
      </w:r>
      <w:r w:rsidR="00134851" w:rsidRPr="00BA7067">
        <w:rPr>
          <w:rFonts w:ascii="Arial" w:hAnsi="Arial" w:cs="Arial"/>
          <w:sz w:val="22"/>
        </w:rPr>
        <w:t xml:space="preserve">Si bien la </w:t>
      </w:r>
      <w:r w:rsidR="00560754" w:rsidRPr="00BA7067">
        <w:rPr>
          <w:rFonts w:ascii="Arial" w:hAnsi="Arial" w:cs="Arial"/>
          <w:sz w:val="22"/>
        </w:rPr>
        <w:t>disposición establec</w:t>
      </w:r>
      <w:r w:rsidR="00E45376" w:rsidRPr="00BA7067">
        <w:rPr>
          <w:rFonts w:ascii="Arial" w:hAnsi="Arial" w:cs="Arial"/>
          <w:sz w:val="22"/>
        </w:rPr>
        <w:t>e</w:t>
      </w:r>
      <w:r w:rsidR="00560754" w:rsidRPr="00BA7067">
        <w:rPr>
          <w:rFonts w:ascii="Arial" w:hAnsi="Arial" w:cs="Arial"/>
          <w:sz w:val="22"/>
        </w:rPr>
        <w:t xml:space="preserve"> una serie de reglas a las que deben ajustarse </w:t>
      </w:r>
      <w:r w:rsidR="00FF7F59" w:rsidRPr="00BA7067">
        <w:rPr>
          <w:rFonts w:ascii="Arial" w:hAnsi="Arial" w:cs="Arial"/>
          <w:sz w:val="22"/>
        </w:rPr>
        <w:t xml:space="preserve">la </w:t>
      </w:r>
      <w:r w:rsidR="00560754" w:rsidRPr="00BA7067">
        <w:rPr>
          <w:rFonts w:ascii="Arial" w:hAnsi="Arial" w:cs="Arial"/>
          <w:sz w:val="22"/>
        </w:rPr>
        <w:t>suscripción de</w:t>
      </w:r>
      <w:r w:rsidR="009647E3" w:rsidRPr="00BA7067">
        <w:rPr>
          <w:rFonts w:ascii="Arial" w:hAnsi="Arial" w:cs="Arial"/>
          <w:sz w:val="22"/>
        </w:rPr>
        <w:t xml:space="preserve"> estos acuerdos </w:t>
      </w:r>
      <w:r w:rsidR="006C5625" w:rsidRPr="00BA7067">
        <w:rPr>
          <w:rFonts w:ascii="Arial" w:hAnsi="Arial" w:cs="Arial"/>
          <w:sz w:val="22"/>
        </w:rPr>
        <w:t>transacci</w:t>
      </w:r>
      <w:r w:rsidR="009647E3" w:rsidRPr="00BA7067">
        <w:rPr>
          <w:rFonts w:ascii="Arial" w:hAnsi="Arial" w:cs="Arial"/>
          <w:sz w:val="22"/>
        </w:rPr>
        <w:t xml:space="preserve">onales, lo cierto es que tales reglas </w:t>
      </w:r>
      <w:r w:rsidR="00674F1D" w:rsidRPr="00BA7067">
        <w:rPr>
          <w:rFonts w:ascii="Arial" w:hAnsi="Arial" w:cs="Arial"/>
          <w:sz w:val="22"/>
        </w:rPr>
        <w:t xml:space="preserve">son formuladas como </w:t>
      </w:r>
      <w:r w:rsidR="0069788E" w:rsidRPr="00BA7067">
        <w:rPr>
          <w:rFonts w:ascii="Arial" w:hAnsi="Arial" w:cs="Arial"/>
          <w:sz w:val="22"/>
        </w:rPr>
        <w:t xml:space="preserve">condición </w:t>
      </w:r>
      <w:r w:rsidR="00674F1D" w:rsidRPr="00BA7067">
        <w:rPr>
          <w:rFonts w:ascii="Arial" w:hAnsi="Arial" w:cs="Arial"/>
          <w:sz w:val="22"/>
        </w:rPr>
        <w:t>para acce</w:t>
      </w:r>
      <w:r w:rsidR="0069788E" w:rsidRPr="00BA7067">
        <w:rPr>
          <w:rFonts w:ascii="Arial" w:hAnsi="Arial" w:cs="Arial"/>
          <w:sz w:val="22"/>
        </w:rPr>
        <w:t>der</w:t>
      </w:r>
      <w:r w:rsidR="00674F1D" w:rsidRPr="00BA7067">
        <w:rPr>
          <w:rFonts w:ascii="Arial" w:hAnsi="Arial" w:cs="Arial"/>
          <w:sz w:val="22"/>
        </w:rPr>
        <w:t xml:space="preserve"> </w:t>
      </w:r>
      <w:r w:rsidR="006C5625" w:rsidRPr="00BA7067">
        <w:rPr>
          <w:rFonts w:ascii="Arial" w:hAnsi="Arial" w:cs="Arial"/>
          <w:sz w:val="22"/>
        </w:rPr>
        <w:t>a</w:t>
      </w:r>
      <w:r w:rsidR="009647E3" w:rsidRPr="00BA7067">
        <w:rPr>
          <w:rFonts w:ascii="Arial" w:hAnsi="Arial" w:cs="Arial"/>
          <w:sz w:val="22"/>
        </w:rPr>
        <w:t xml:space="preserve"> la </w:t>
      </w:r>
      <w:r w:rsidR="00674F1D" w:rsidRPr="00BA7067">
        <w:rPr>
          <w:rFonts w:ascii="Arial" w:hAnsi="Arial" w:cs="Arial"/>
          <w:sz w:val="22"/>
        </w:rPr>
        <w:t xml:space="preserve">cofinanciación por parte de la Nación, más </w:t>
      </w:r>
      <w:r w:rsidR="008C121B" w:rsidRPr="00BA7067">
        <w:rPr>
          <w:rFonts w:ascii="Arial" w:hAnsi="Arial" w:cs="Arial"/>
          <w:sz w:val="22"/>
        </w:rPr>
        <w:t xml:space="preserve">no </w:t>
      </w:r>
      <w:r w:rsidR="008858FF" w:rsidRPr="00BA7067">
        <w:rPr>
          <w:rFonts w:ascii="Arial" w:hAnsi="Arial" w:cs="Arial"/>
          <w:sz w:val="22"/>
        </w:rPr>
        <w:t>se relacionan con</w:t>
      </w:r>
      <w:r w:rsidR="008C121B" w:rsidRPr="00BA7067">
        <w:rPr>
          <w:rFonts w:ascii="Arial" w:hAnsi="Arial" w:cs="Arial"/>
          <w:sz w:val="22"/>
        </w:rPr>
        <w:t xml:space="preserve"> elementos normativos</w:t>
      </w:r>
      <w:r w:rsidR="008858FF" w:rsidRPr="00BA7067">
        <w:rPr>
          <w:rFonts w:ascii="Arial" w:hAnsi="Arial" w:cs="Arial"/>
          <w:sz w:val="22"/>
        </w:rPr>
        <w:t xml:space="preserve"> o negociales del contrato de transacción propiamente dicho.</w:t>
      </w:r>
      <w:r w:rsidR="00882C3E" w:rsidRPr="00BA7067">
        <w:rPr>
          <w:rFonts w:ascii="Arial" w:hAnsi="Arial" w:cs="Arial"/>
          <w:sz w:val="22"/>
        </w:rPr>
        <w:t xml:space="preserve"> </w:t>
      </w:r>
    </w:p>
    <w:p w14:paraId="39106FC0" w14:textId="0EAF9680" w:rsidR="00A36A2E" w:rsidRPr="00BA7067" w:rsidRDefault="00120C7A" w:rsidP="00120C7A">
      <w:pPr>
        <w:spacing w:before="120" w:line="276" w:lineRule="auto"/>
        <w:ind w:firstLine="708"/>
        <w:jc w:val="both"/>
        <w:rPr>
          <w:rFonts w:ascii="Arial" w:hAnsi="Arial" w:cs="Arial"/>
          <w:sz w:val="22"/>
        </w:rPr>
      </w:pPr>
      <w:r w:rsidRPr="00BA7067">
        <w:rPr>
          <w:rFonts w:ascii="Arial" w:hAnsi="Arial" w:cs="Arial"/>
          <w:sz w:val="22"/>
        </w:rPr>
        <w:t>Visto lo anterior</w:t>
      </w:r>
      <w:r w:rsidR="00882C3E" w:rsidRPr="00BA7067">
        <w:rPr>
          <w:rFonts w:ascii="Arial" w:hAnsi="Arial" w:cs="Arial"/>
          <w:sz w:val="22"/>
        </w:rPr>
        <w:t>,</w:t>
      </w:r>
      <w:r w:rsidRPr="00BA7067">
        <w:rPr>
          <w:rFonts w:ascii="Arial" w:hAnsi="Arial" w:cs="Arial"/>
          <w:sz w:val="22"/>
        </w:rPr>
        <w:t xml:space="preserve"> esta Agencia</w:t>
      </w:r>
      <w:r w:rsidR="00FE14E7" w:rsidRPr="00BA7067">
        <w:rPr>
          <w:rFonts w:ascii="Arial" w:hAnsi="Arial" w:cs="Arial"/>
          <w:sz w:val="22"/>
        </w:rPr>
        <w:t xml:space="preserve"> </w:t>
      </w:r>
      <w:r w:rsidR="0060381F" w:rsidRPr="00BA7067">
        <w:rPr>
          <w:rFonts w:ascii="Arial" w:hAnsi="Arial" w:cs="Arial"/>
          <w:sz w:val="22"/>
        </w:rPr>
        <w:t xml:space="preserve">advierte </w:t>
      </w:r>
      <w:r w:rsidR="00FE14E7" w:rsidRPr="00BA7067">
        <w:rPr>
          <w:rFonts w:ascii="Arial" w:hAnsi="Arial" w:cs="Arial"/>
          <w:sz w:val="22"/>
        </w:rPr>
        <w:t>que</w:t>
      </w:r>
      <w:r w:rsidR="00882C3E" w:rsidRPr="00BA7067">
        <w:rPr>
          <w:rFonts w:ascii="Arial" w:hAnsi="Arial" w:cs="Arial"/>
          <w:sz w:val="22"/>
        </w:rPr>
        <w:t xml:space="preserve"> el artículo 238 de la Ley 1955 de 2019</w:t>
      </w:r>
      <w:r w:rsidR="002E25BF" w:rsidRPr="00BA7067">
        <w:rPr>
          <w:rFonts w:ascii="Arial" w:hAnsi="Arial" w:cs="Arial"/>
          <w:sz w:val="22"/>
        </w:rPr>
        <w:t xml:space="preserve"> </w:t>
      </w:r>
      <w:r w:rsidR="00FE14E7" w:rsidRPr="00BA7067">
        <w:rPr>
          <w:rFonts w:ascii="Arial" w:hAnsi="Arial" w:cs="Arial"/>
          <w:sz w:val="22"/>
        </w:rPr>
        <w:t xml:space="preserve">es una disposición </w:t>
      </w:r>
      <w:r w:rsidR="00EF2183" w:rsidRPr="00BA7067">
        <w:rPr>
          <w:rFonts w:ascii="Arial" w:hAnsi="Arial" w:cs="Arial"/>
          <w:sz w:val="22"/>
        </w:rPr>
        <w:t xml:space="preserve">dirigida a las entidades del sector salud, que sin perjuicio de la </w:t>
      </w:r>
      <w:r w:rsidR="00213FFB" w:rsidRPr="00BA7067">
        <w:rPr>
          <w:rFonts w:ascii="Arial" w:hAnsi="Arial" w:cs="Arial"/>
          <w:sz w:val="22"/>
        </w:rPr>
        <w:t>posibilidad de celebración</w:t>
      </w:r>
      <w:r w:rsidR="00B50367" w:rsidRPr="00BA7067">
        <w:rPr>
          <w:rFonts w:ascii="Arial" w:hAnsi="Arial" w:cs="Arial"/>
          <w:sz w:val="22"/>
        </w:rPr>
        <w:t xml:space="preserve"> de</w:t>
      </w:r>
      <w:r w:rsidR="00213FFB" w:rsidRPr="00BA7067">
        <w:rPr>
          <w:rFonts w:ascii="Arial" w:hAnsi="Arial" w:cs="Arial"/>
          <w:sz w:val="22"/>
        </w:rPr>
        <w:t xml:space="preserve"> contrato</w:t>
      </w:r>
      <w:r w:rsidR="00B50367" w:rsidRPr="00BA7067">
        <w:rPr>
          <w:rFonts w:ascii="Arial" w:hAnsi="Arial" w:cs="Arial"/>
          <w:sz w:val="22"/>
        </w:rPr>
        <w:t>s</w:t>
      </w:r>
      <w:r w:rsidR="00213FFB" w:rsidRPr="00BA7067">
        <w:rPr>
          <w:rFonts w:ascii="Arial" w:hAnsi="Arial" w:cs="Arial"/>
          <w:sz w:val="22"/>
        </w:rPr>
        <w:t xml:space="preserve"> de transacción</w:t>
      </w:r>
      <w:r w:rsidR="00FF7F59" w:rsidRPr="00BA7067">
        <w:rPr>
          <w:rFonts w:ascii="Arial" w:hAnsi="Arial" w:cs="Arial"/>
          <w:sz w:val="22"/>
        </w:rPr>
        <w:t xml:space="preserve"> </w:t>
      </w:r>
      <w:r w:rsidR="00B50367" w:rsidRPr="00BA7067">
        <w:rPr>
          <w:rFonts w:ascii="Arial" w:hAnsi="Arial" w:cs="Arial"/>
          <w:sz w:val="22"/>
        </w:rPr>
        <w:t xml:space="preserve">que contempla, no hace parte del sistema de </w:t>
      </w:r>
      <w:r w:rsidR="00E27EED" w:rsidRPr="00BA7067">
        <w:rPr>
          <w:rFonts w:ascii="Arial" w:hAnsi="Arial" w:cs="Arial"/>
          <w:sz w:val="22"/>
        </w:rPr>
        <w:t>compras públicas ni del Estatuto General de Contratación de la Administración Pública</w:t>
      </w:r>
      <w:r w:rsidR="008D36E6" w:rsidRPr="00BA7067">
        <w:rPr>
          <w:rFonts w:ascii="Arial" w:hAnsi="Arial" w:cs="Arial"/>
          <w:sz w:val="22"/>
        </w:rPr>
        <w:t xml:space="preserve">. </w:t>
      </w:r>
      <w:r w:rsidR="00290F47" w:rsidRPr="00BA7067">
        <w:rPr>
          <w:rFonts w:ascii="Arial" w:hAnsi="Arial" w:cs="Arial"/>
          <w:sz w:val="22"/>
        </w:rPr>
        <w:t>En virtud de esto, establecer la viabilidad de suscribir contratos e</w:t>
      </w:r>
      <w:r w:rsidR="00263805" w:rsidRPr="00BA7067">
        <w:rPr>
          <w:rFonts w:ascii="Arial" w:hAnsi="Arial" w:cs="Arial"/>
          <w:sz w:val="22"/>
        </w:rPr>
        <w:t xml:space="preserve">n aplicación de esta norma escapa del ámbito de la competencia consultiva atribuida a esta Agencia, </w:t>
      </w:r>
      <w:r w:rsidR="007124FA" w:rsidRPr="00BA7067">
        <w:rPr>
          <w:rFonts w:ascii="Arial" w:hAnsi="Arial" w:cs="Arial"/>
          <w:sz w:val="22"/>
        </w:rPr>
        <w:t>máxime aun considerando que l</w:t>
      </w:r>
      <w:r w:rsidR="00BC1426" w:rsidRPr="00BA7067">
        <w:rPr>
          <w:rFonts w:ascii="Arial" w:hAnsi="Arial" w:cs="Arial"/>
          <w:sz w:val="22"/>
        </w:rPr>
        <w:t>as acreencias respecto de los cuales</w:t>
      </w:r>
      <w:r w:rsidR="00D45D46" w:rsidRPr="00BA7067">
        <w:rPr>
          <w:rFonts w:ascii="Arial" w:hAnsi="Arial" w:cs="Arial"/>
          <w:sz w:val="22"/>
        </w:rPr>
        <w:t xml:space="preserve"> la norma </w:t>
      </w:r>
      <w:r w:rsidR="00DD7519" w:rsidRPr="00BA7067">
        <w:rPr>
          <w:rFonts w:ascii="Arial" w:hAnsi="Arial" w:cs="Arial"/>
          <w:sz w:val="22"/>
        </w:rPr>
        <w:t xml:space="preserve">establece el contrato de transacción no </w:t>
      </w:r>
      <w:r w:rsidR="00B4410C" w:rsidRPr="00BA7067">
        <w:rPr>
          <w:rFonts w:ascii="Arial" w:hAnsi="Arial" w:cs="Arial"/>
          <w:sz w:val="22"/>
        </w:rPr>
        <w:t>tienen</w:t>
      </w:r>
      <w:r w:rsidR="00DC0D40" w:rsidRPr="00BA7067">
        <w:rPr>
          <w:rFonts w:ascii="Arial" w:hAnsi="Arial" w:cs="Arial"/>
          <w:sz w:val="22"/>
        </w:rPr>
        <w:t xml:space="preserve"> origen en</w:t>
      </w:r>
      <w:r w:rsidR="00DD7519" w:rsidRPr="00BA7067">
        <w:rPr>
          <w:rFonts w:ascii="Arial" w:hAnsi="Arial" w:cs="Arial"/>
          <w:sz w:val="22"/>
        </w:rPr>
        <w:t xml:space="preserve"> contratos estatales</w:t>
      </w:r>
      <w:r w:rsidR="00F24FD7" w:rsidRPr="00BA7067">
        <w:rPr>
          <w:rFonts w:ascii="Arial" w:hAnsi="Arial" w:cs="Arial"/>
          <w:sz w:val="22"/>
        </w:rPr>
        <w:t>, sino en la prestación de serv</w:t>
      </w:r>
      <w:r w:rsidR="00324853" w:rsidRPr="00BA7067">
        <w:rPr>
          <w:rFonts w:ascii="Arial" w:hAnsi="Arial" w:cs="Arial"/>
          <w:sz w:val="22"/>
        </w:rPr>
        <w:t>icios</w:t>
      </w:r>
      <w:r w:rsidR="00E65811" w:rsidRPr="00BA7067">
        <w:rPr>
          <w:rFonts w:ascii="Arial" w:hAnsi="Arial" w:cs="Arial"/>
          <w:sz w:val="22"/>
        </w:rPr>
        <w:t xml:space="preserve"> y tecnologías en salud no financiadas con cargo a la UPC del régimen subsidiado</w:t>
      </w:r>
      <w:r w:rsidR="00840314" w:rsidRPr="00BA7067">
        <w:rPr>
          <w:rFonts w:ascii="Arial" w:hAnsi="Arial" w:cs="Arial"/>
          <w:sz w:val="22"/>
        </w:rPr>
        <w:t>.</w:t>
      </w:r>
      <w:r w:rsidR="00DD7519" w:rsidRPr="00BA7067">
        <w:rPr>
          <w:rFonts w:ascii="Arial" w:hAnsi="Arial" w:cs="Arial"/>
          <w:sz w:val="22"/>
        </w:rPr>
        <w:t xml:space="preserve"> </w:t>
      </w:r>
      <w:r w:rsidR="0050262C" w:rsidRPr="00BA7067">
        <w:rPr>
          <w:rFonts w:ascii="Arial" w:hAnsi="Arial" w:cs="Arial"/>
          <w:sz w:val="22"/>
        </w:rPr>
        <w:t xml:space="preserve"> </w:t>
      </w:r>
      <w:r w:rsidR="00263805" w:rsidRPr="00BA7067">
        <w:rPr>
          <w:rFonts w:ascii="Arial" w:hAnsi="Arial" w:cs="Arial"/>
          <w:sz w:val="22"/>
        </w:rPr>
        <w:t xml:space="preserve"> </w:t>
      </w:r>
      <w:r w:rsidRPr="00BA7067">
        <w:rPr>
          <w:rFonts w:ascii="Arial" w:hAnsi="Arial" w:cs="Arial"/>
          <w:sz w:val="22"/>
        </w:rPr>
        <w:t xml:space="preserve"> </w:t>
      </w:r>
      <w:r w:rsidR="008C121B" w:rsidRPr="00BA7067">
        <w:rPr>
          <w:rFonts w:ascii="Arial" w:hAnsi="Arial" w:cs="Arial"/>
          <w:sz w:val="22"/>
        </w:rPr>
        <w:t xml:space="preserve">  </w:t>
      </w:r>
      <w:r w:rsidR="00674F1D" w:rsidRPr="00BA7067">
        <w:rPr>
          <w:rFonts w:ascii="Arial" w:hAnsi="Arial" w:cs="Arial"/>
          <w:sz w:val="22"/>
        </w:rPr>
        <w:t xml:space="preserve"> </w:t>
      </w:r>
      <w:r w:rsidR="009647E3" w:rsidRPr="00BA7067">
        <w:rPr>
          <w:rFonts w:ascii="Arial" w:hAnsi="Arial" w:cs="Arial"/>
          <w:sz w:val="22"/>
        </w:rPr>
        <w:t xml:space="preserve"> </w:t>
      </w:r>
      <w:r w:rsidR="006C5625" w:rsidRPr="00BA7067">
        <w:rPr>
          <w:rFonts w:ascii="Arial" w:hAnsi="Arial" w:cs="Arial"/>
          <w:sz w:val="22"/>
        </w:rPr>
        <w:t xml:space="preserve"> </w:t>
      </w:r>
    </w:p>
    <w:p w14:paraId="5FF9F287" w14:textId="44C7CB7E" w:rsidR="006C2B29" w:rsidRPr="00BA7067" w:rsidRDefault="00DC0D40" w:rsidP="006C2B29">
      <w:pPr>
        <w:spacing w:before="120" w:line="276" w:lineRule="auto"/>
        <w:ind w:firstLine="708"/>
        <w:jc w:val="both"/>
        <w:rPr>
          <w:rFonts w:ascii="Arial" w:eastAsia="Calibri" w:hAnsi="Arial" w:cs="Arial"/>
          <w:sz w:val="22"/>
        </w:rPr>
      </w:pPr>
      <w:r w:rsidRPr="00BA7067">
        <w:rPr>
          <w:rFonts w:ascii="Arial" w:eastAsia="Calibri" w:hAnsi="Arial" w:cs="Arial"/>
          <w:sz w:val="22"/>
        </w:rPr>
        <w:t>En conclusión, en</w:t>
      </w:r>
      <w:r w:rsidR="006C2B29" w:rsidRPr="00BA7067">
        <w:rPr>
          <w:rFonts w:ascii="Arial" w:eastAsia="Calibri" w:hAnsi="Arial" w:cs="Arial"/>
          <w:sz w:val="22"/>
        </w:rPr>
        <w:t xml:space="preserve"> concordancia con lo expresado </w:t>
      </w:r>
      <w:r w:rsidR="006C2B29" w:rsidRPr="00BA7067">
        <w:rPr>
          <w:rFonts w:ascii="Arial" w:eastAsia="Calibri" w:hAnsi="Arial" w:cs="Arial"/>
          <w:i/>
          <w:iCs/>
          <w:sz w:val="22"/>
        </w:rPr>
        <w:t>ut</w:t>
      </w:r>
      <w:r w:rsidR="006C2B29" w:rsidRPr="00BA7067">
        <w:rPr>
          <w:rFonts w:ascii="Arial" w:eastAsia="Calibri" w:hAnsi="Arial" w:cs="Arial"/>
          <w:sz w:val="22"/>
        </w:rPr>
        <w:t xml:space="preserve"> </w:t>
      </w:r>
      <w:r w:rsidR="006C2B29" w:rsidRPr="00BA7067">
        <w:rPr>
          <w:rFonts w:ascii="Arial" w:eastAsia="Calibri" w:hAnsi="Arial" w:cs="Arial"/>
          <w:i/>
          <w:iCs/>
          <w:sz w:val="22"/>
        </w:rPr>
        <w:t>supra,</w:t>
      </w:r>
      <w:r w:rsidR="006C2B29" w:rsidRPr="00BA7067">
        <w:rPr>
          <w:rFonts w:ascii="Arial" w:eastAsia="Calibri" w:hAnsi="Arial" w:cs="Arial"/>
          <w:sz w:val="22"/>
        </w:rPr>
        <w:t xml:space="preserve"> es </w:t>
      </w:r>
      <w:r w:rsidR="002C2E97" w:rsidRPr="00BA7067">
        <w:rPr>
          <w:rFonts w:ascii="Arial" w:eastAsia="Calibri" w:hAnsi="Arial" w:cs="Arial"/>
          <w:sz w:val="22"/>
        </w:rPr>
        <w:t xml:space="preserve">conveniente </w:t>
      </w:r>
      <w:r w:rsidR="006C2B29" w:rsidRPr="00BA7067">
        <w:rPr>
          <w:rFonts w:ascii="Arial" w:eastAsia="Calibri" w:hAnsi="Arial" w:cs="Arial"/>
          <w:sz w:val="22"/>
        </w:rPr>
        <w:t xml:space="preserve">señalar que, la determinación de la viabilidad de la suscripción de un acuerdo de transacción en vigencia de la </w:t>
      </w:r>
      <w:r w:rsidR="00D61D13" w:rsidRPr="00BA7067">
        <w:rPr>
          <w:rFonts w:ascii="Arial" w:eastAsia="Calibri" w:hAnsi="Arial" w:cs="Arial"/>
          <w:sz w:val="22"/>
        </w:rPr>
        <w:t>L</w:t>
      </w:r>
      <w:r w:rsidR="006C2B29" w:rsidRPr="00BA7067">
        <w:rPr>
          <w:rFonts w:ascii="Arial" w:eastAsia="Calibri" w:hAnsi="Arial" w:cs="Arial"/>
          <w:sz w:val="22"/>
        </w:rPr>
        <w:t xml:space="preserve">ey de </w:t>
      </w:r>
      <w:r w:rsidR="00D61D13" w:rsidRPr="00BA7067">
        <w:rPr>
          <w:rFonts w:ascii="Arial" w:eastAsia="Calibri" w:hAnsi="Arial" w:cs="Arial"/>
          <w:sz w:val="22"/>
        </w:rPr>
        <w:t>G</w:t>
      </w:r>
      <w:r w:rsidR="006C2B29" w:rsidRPr="00BA7067">
        <w:rPr>
          <w:rFonts w:ascii="Arial" w:eastAsia="Calibri" w:hAnsi="Arial" w:cs="Arial"/>
          <w:sz w:val="22"/>
        </w:rPr>
        <w:t>arantías</w:t>
      </w:r>
      <w:r w:rsidR="00D61D13" w:rsidRPr="00BA7067">
        <w:rPr>
          <w:rFonts w:ascii="Arial" w:eastAsia="Calibri" w:hAnsi="Arial" w:cs="Arial"/>
          <w:sz w:val="22"/>
        </w:rPr>
        <w:t xml:space="preserve"> Electorales</w:t>
      </w:r>
      <w:r w:rsidR="006C2B29" w:rsidRPr="00BA7067">
        <w:rPr>
          <w:rFonts w:ascii="Arial" w:eastAsia="Calibri" w:hAnsi="Arial" w:cs="Arial"/>
          <w:sz w:val="22"/>
        </w:rPr>
        <w:t xml:space="preserve">, en una </w:t>
      </w:r>
      <w:r w:rsidR="00785CB6" w:rsidRPr="00BA7067">
        <w:rPr>
          <w:rFonts w:ascii="Arial" w:eastAsia="Calibri" w:hAnsi="Arial" w:cs="Arial"/>
          <w:sz w:val="22"/>
        </w:rPr>
        <w:t>circunstancia particular y concreta</w:t>
      </w:r>
      <w:r w:rsidR="006C2B29" w:rsidRPr="00BA7067">
        <w:rPr>
          <w:rFonts w:ascii="Arial" w:eastAsia="Calibri" w:hAnsi="Arial" w:cs="Arial"/>
          <w:sz w:val="22"/>
        </w:rPr>
        <w:t xml:space="preserve">, es </w:t>
      </w:r>
      <w:r w:rsidR="006C2B29" w:rsidRPr="00BA7067">
        <w:rPr>
          <w:rFonts w:ascii="Arial" w:eastAsia="Calibri" w:hAnsi="Arial" w:cs="Arial"/>
          <w:sz w:val="22"/>
        </w:rPr>
        <w:lastRenderedPageBreak/>
        <w:t xml:space="preserve">un asunto que </w:t>
      </w:r>
      <w:r w:rsidR="009D7F5D" w:rsidRPr="00BA7067">
        <w:rPr>
          <w:rFonts w:ascii="Arial" w:eastAsia="Calibri" w:hAnsi="Arial" w:cs="Arial"/>
          <w:sz w:val="22"/>
        </w:rPr>
        <w:t xml:space="preserve">sobrepasa </w:t>
      </w:r>
      <w:r w:rsidR="006C2B29" w:rsidRPr="00BA7067">
        <w:rPr>
          <w:rFonts w:ascii="Arial" w:eastAsia="Calibri" w:hAnsi="Arial" w:cs="Arial"/>
          <w:sz w:val="22"/>
        </w:rPr>
        <w:t>los límites de la función consultiva</w:t>
      </w:r>
      <w:r w:rsidR="00632F50" w:rsidRPr="00BA7067">
        <w:rPr>
          <w:rFonts w:ascii="Arial" w:eastAsia="Calibri" w:hAnsi="Arial" w:cs="Arial"/>
          <w:sz w:val="22"/>
        </w:rPr>
        <w:t>. Esto</w:t>
      </w:r>
      <w:r w:rsidR="006C2B29" w:rsidRPr="00BA7067">
        <w:rPr>
          <w:rFonts w:ascii="Arial" w:eastAsia="Calibri" w:hAnsi="Arial" w:cs="Arial"/>
          <w:sz w:val="22"/>
        </w:rPr>
        <w:t xml:space="preserve"> en la medida en que el ejercicio de dicha atribución no puede prestarse para la validación de las actuaciones de los partícipes del sistema de compra pública, ni mucho menos para re</w:t>
      </w:r>
      <w:r w:rsidR="00B34A8A" w:rsidRPr="00BA7067">
        <w:rPr>
          <w:rFonts w:ascii="Arial" w:eastAsia="Calibri" w:hAnsi="Arial" w:cs="Arial"/>
          <w:sz w:val="22"/>
        </w:rPr>
        <w:t>e</w:t>
      </w:r>
      <w:r w:rsidR="006C2B29" w:rsidRPr="00BA7067">
        <w:rPr>
          <w:rFonts w:ascii="Arial" w:eastAsia="Calibri" w:hAnsi="Arial" w:cs="Arial"/>
          <w:sz w:val="22"/>
        </w:rPr>
        <w:t xml:space="preserve">mplazar los órganos asesores </w:t>
      </w:r>
      <w:r w:rsidR="00AF2DF3" w:rsidRPr="00BA7067">
        <w:rPr>
          <w:rFonts w:ascii="Arial" w:eastAsia="Calibri" w:hAnsi="Arial" w:cs="Arial"/>
          <w:sz w:val="22"/>
        </w:rPr>
        <w:t xml:space="preserve">jurídicos </w:t>
      </w:r>
      <w:r w:rsidR="00D51621" w:rsidRPr="00BA7067">
        <w:rPr>
          <w:rFonts w:ascii="Arial" w:eastAsia="Calibri" w:hAnsi="Arial" w:cs="Arial"/>
          <w:sz w:val="22"/>
        </w:rPr>
        <w:t>d</w:t>
      </w:r>
      <w:r w:rsidR="00AF2DF3" w:rsidRPr="00BA7067">
        <w:rPr>
          <w:rFonts w:ascii="Arial" w:eastAsia="Calibri" w:hAnsi="Arial" w:cs="Arial"/>
          <w:sz w:val="22"/>
        </w:rPr>
        <w:t>e cada entidad estatal</w:t>
      </w:r>
      <w:r w:rsidR="006C2B29" w:rsidRPr="00BA7067">
        <w:rPr>
          <w:rFonts w:ascii="Arial" w:eastAsia="Calibri" w:hAnsi="Arial" w:cs="Arial"/>
          <w:sz w:val="22"/>
        </w:rPr>
        <w:t xml:space="preserve">. </w:t>
      </w:r>
      <w:r w:rsidR="004E7C62" w:rsidRPr="00BA7067">
        <w:rPr>
          <w:rFonts w:ascii="Arial" w:eastAsia="Calibri" w:hAnsi="Arial" w:cs="Arial"/>
          <w:sz w:val="22"/>
        </w:rPr>
        <w:t>Por ello</w:t>
      </w:r>
      <w:r w:rsidR="006C2B29" w:rsidRPr="00BA7067">
        <w:rPr>
          <w:rFonts w:ascii="Arial" w:eastAsia="Calibri" w:hAnsi="Arial" w:cs="Arial"/>
          <w:sz w:val="22"/>
        </w:rPr>
        <w:t>, lo expuesto en este concepto son consideraciones que recogen de manera general la postura de la Agencia, en lo relativo al tema objeto de consulta, que no eximen a las entidades estatales de hacer los estudios y análisis requeridos en el marco de cada una de las actuaciones que adelantan, considerando los aspectos particulares del negocio jurídico o procedimiento</w:t>
      </w:r>
      <w:r w:rsidR="0044098E" w:rsidRPr="00BA7067">
        <w:rPr>
          <w:rFonts w:ascii="Arial" w:eastAsia="Calibri" w:hAnsi="Arial" w:cs="Arial"/>
          <w:sz w:val="22"/>
        </w:rPr>
        <w:t xml:space="preserve"> respectivo</w:t>
      </w:r>
      <w:r w:rsidR="006C2B29" w:rsidRPr="00BA7067">
        <w:rPr>
          <w:rFonts w:ascii="Arial" w:eastAsia="Calibri" w:hAnsi="Arial" w:cs="Arial"/>
          <w:sz w:val="22"/>
        </w:rPr>
        <w:t xml:space="preserve">.  </w:t>
      </w:r>
    </w:p>
    <w:p w14:paraId="741E0B9F" w14:textId="77777777" w:rsidR="005329C3" w:rsidRPr="00BA7067" w:rsidRDefault="005329C3" w:rsidP="005329C3">
      <w:pPr>
        <w:pStyle w:val="Default"/>
        <w:spacing w:line="276" w:lineRule="auto"/>
        <w:ind w:right="311"/>
        <w:jc w:val="both"/>
        <w:rPr>
          <w:color w:val="auto"/>
          <w:sz w:val="22"/>
          <w:szCs w:val="22"/>
        </w:rPr>
      </w:pPr>
    </w:p>
    <w:p w14:paraId="0E150FFF" w14:textId="591358EA" w:rsidR="00EA660D" w:rsidRPr="00BA7067" w:rsidRDefault="00EA660D" w:rsidP="001F7C1D">
      <w:pPr>
        <w:pStyle w:val="Textoindependiente"/>
        <w:spacing w:line="276" w:lineRule="auto"/>
        <w:jc w:val="both"/>
        <w:rPr>
          <w:u w:val="single"/>
        </w:rPr>
      </w:pPr>
      <w:r w:rsidRPr="00BA7067">
        <w:rPr>
          <w:rFonts w:eastAsia="Calibri"/>
          <w:b/>
          <w:lang w:val="es-ES_tradnl"/>
        </w:rPr>
        <w:t>3. Respuesta</w:t>
      </w:r>
    </w:p>
    <w:p w14:paraId="20E955E8" w14:textId="77777777" w:rsidR="00EA660D" w:rsidRPr="00BA7067" w:rsidRDefault="00EA660D" w:rsidP="00F25EA6">
      <w:pPr>
        <w:jc w:val="both"/>
        <w:rPr>
          <w:rFonts w:ascii="Arial" w:hAnsi="Arial" w:cs="Arial"/>
          <w:sz w:val="22"/>
        </w:rPr>
      </w:pPr>
    </w:p>
    <w:p w14:paraId="52B95351" w14:textId="1C4C5820" w:rsidR="00063B97" w:rsidRPr="00BA7067" w:rsidRDefault="00244B42" w:rsidP="00244B42">
      <w:pPr>
        <w:pStyle w:val="Textoindependiente"/>
        <w:ind w:left="709" w:right="709"/>
        <w:jc w:val="both"/>
        <w:rPr>
          <w:sz w:val="21"/>
          <w:szCs w:val="21"/>
        </w:rPr>
      </w:pPr>
      <w:r w:rsidRPr="00BA7067">
        <w:rPr>
          <w:sz w:val="21"/>
          <w:szCs w:val="21"/>
        </w:rPr>
        <w:t>«[…] acudimos a su despacho con el fin de que emita concepto respecto del contrato de transacción que suscriben las entidades territoriales en el marco del artículo 238 de la Ley 1955 de 2019, en el que se establezca si estos están incluidos en la modalidad de contratación directa y por ende sujetos en su celebración a la restricción contenida en el artículo 33 de la Ley 996 de 2005, teniendo en cuenta que una entidad territorial consultó sobre el particular».</w:t>
      </w:r>
    </w:p>
    <w:p w14:paraId="2035DBDE" w14:textId="77777777" w:rsidR="00244B42" w:rsidRPr="00BA7067" w:rsidRDefault="00244B42" w:rsidP="005B4859">
      <w:pPr>
        <w:pStyle w:val="Textoindependiente"/>
        <w:jc w:val="both"/>
        <w:rPr>
          <w:rFonts w:eastAsia="Times New Roman"/>
          <w:bCs/>
          <w:lang w:eastAsia="es-ES_tradnl"/>
        </w:rPr>
      </w:pPr>
    </w:p>
    <w:p w14:paraId="485CDC8E" w14:textId="3FD67A2A" w:rsidR="005334A9" w:rsidRPr="00BA7067" w:rsidRDefault="00B8300E">
      <w:pPr>
        <w:spacing w:after="120" w:line="276" w:lineRule="auto"/>
        <w:jc w:val="both"/>
        <w:rPr>
          <w:rFonts w:ascii="Arial" w:eastAsia="Arial" w:hAnsi="Arial" w:cs="Arial"/>
          <w:sz w:val="22"/>
          <w:lang w:val="es-ES" w:eastAsia="es-ES" w:bidi="es-ES"/>
        </w:rPr>
      </w:pPr>
      <w:r w:rsidRPr="00BA7067">
        <w:rPr>
          <w:rFonts w:ascii="Arial" w:eastAsia="Arial" w:hAnsi="Arial" w:cs="Arial"/>
          <w:sz w:val="22"/>
          <w:lang w:val="es-ES" w:eastAsia="es-ES" w:bidi="es-ES"/>
        </w:rPr>
        <w:t xml:space="preserve">De conformidad con lo expuesto, las </w:t>
      </w:r>
      <w:r w:rsidRPr="00BA7067">
        <w:rPr>
          <w:rFonts w:ascii="Arial" w:eastAsia="Calibri" w:hAnsi="Arial" w:cs="Arial"/>
          <w:bCs/>
          <w:sz w:val="22"/>
          <w:lang w:val="es-ES_tradnl"/>
        </w:rPr>
        <w:t>competencias atribuidas por los artículos 3.5 y 11.8 del Decreto 4170 de 2011 a la Agencia Nacional de Contratación Pública – Colombia Compra Eficiente solo le permiten resolver consultas sobre los asuntos de su competencia, esto es, sobre la aplicación de normas de carácter general en material de contratación p</w:t>
      </w:r>
      <w:r w:rsidR="00AE0B21" w:rsidRPr="00BA7067">
        <w:rPr>
          <w:rFonts w:ascii="Arial" w:eastAsia="Calibri" w:hAnsi="Arial" w:cs="Arial"/>
          <w:bCs/>
          <w:sz w:val="22"/>
          <w:lang w:val="es-ES_tradnl"/>
        </w:rPr>
        <w:t xml:space="preserve">ública. La resolución de casos particulares y la validación de actuaciones de las entidades estatales son asuntos que escapan del alcance dicha competencia consultiva, </w:t>
      </w:r>
      <w:r w:rsidR="003B42E4" w:rsidRPr="00BA7067">
        <w:rPr>
          <w:rFonts w:ascii="Arial" w:eastAsia="Calibri" w:hAnsi="Arial" w:cs="Arial"/>
          <w:bCs/>
          <w:sz w:val="22"/>
          <w:lang w:val="es-ES_tradnl"/>
        </w:rPr>
        <w:t>por lo</w:t>
      </w:r>
      <w:r w:rsidR="00AE5EE3" w:rsidRPr="00BA7067">
        <w:rPr>
          <w:rFonts w:ascii="Arial" w:eastAsia="Calibri" w:hAnsi="Arial" w:cs="Arial"/>
          <w:bCs/>
          <w:sz w:val="22"/>
          <w:lang w:val="es-ES_tradnl"/>
        </w:rPr>
        <w:t xml:space="preserve"> que incumben en principio a las entidades que adelantan los procedimientos de selección y, en caso de conflicto, a las autoridades judiciales, fiscales y disciplinarias.  </w:t>
      </w:r>
      <w:r w:rsidR="005334A9" w:rsidRPr="00BA7067">
        <w:rPr>
          <w:rFonts w:ascii="Arial" w:eastAsia="Calibri" w:hAnsi="Arial" w:cs="Arial"/>
          <w:bCs/>
          <w:sz w:val="22"/>
          <w:lang w:val="es-ES_tradnl"/>
        </w:rPr>
        <w:tab/>
        <w:t>En el mismo sentido, la competencia</w:t>
      </w:r>
      <w:r w:rsidR="00B148D5" w:rsidRPr="00BA7067">
        <w:rPr>
          <w:rFonts w:ascii="Arial" w:eastAsia="Calibri" w:hAnsi="Arial" w:cs="Arial"/>
          <w:bCs/>
          <w:sz w:val="22"/>
          <w:lang w:val="es-ES_tradnl"/>
        </w:rPr>
        <w:t xml:space="preserve"> consultiva atribuida a esta Agencia no se extiende a la resolución de consultas relacionadas con </w:t>
      </w:r>
      <w:r w:rsidR="00625409" w:rsidRPr="00BA7067">
        <w:rPr>
          <w:rFonts w:ascii="Arial" w:eastAsia="Calibri" w:hAnsi="Arial" w:cs="Arial"/>
          <w:bCs/>
          <w:sz w:val="22"/>
          <w:lang w:val="es-ES_tradnl"/>
        </w:rPr>
        <w:t>la aplicación de normas del sect</w:t>
      </w:r>
      <w:r w:rsidR="002C34DD" w:rsidRPr="00BA7067">
        <w:rPr>
          <w:rFonts w:ascii="Arial" w:eastAsia="Calibri" w:hAnsi="Arial" w:cs="Arial"/>
          <w:bCs/>
          <w:sz w:val="22"/>
          <w:lang w:val="es-ES_tradnl"/>
        </w:rPr>
        <w:t>or salud</w:t>
      </w:r>
      <w:r w:rsidR="008A6EF7" w:rsidRPr="00BA7067">
        <w:rPr>
          <w:rFonts w:ascii="Arial" w:eastAsia="Calibri" w:hAnsi="Arial" w:cs="Arial"/>
          <w:bCs/>
          <w:sz w:val="22"/>
          <w:lang w:val="es-ES_tradnl"/>
        </w:rPr>
        <w:t xml:space="preserve">, como es el caso del artículo 238 de la Ley 1955 de 2019, </w:t>
      </w:r>
      <w:r w:rsidR="007970A6" w:rsidRPr="00BA7067">
        <w:rPr>
          <w:rFonts w:ascii="Arial" w:eastAsia="Calibri" w:hAnsi="Arial" w:cs="Arial"/>
          <w:bCs/>
          <w:sz w:val="22"/>
          <w:lang w:val="es-ES_tradnl"/>
        </w:rPr>
        <w:t>máxime aun considerando que esta se refiere a acreencias que no deriv</w:t>
      </w:r>
      <w:r w:rsidR="00453775" w:rsidRPr="00BA7067">
        <w:rPr>
          <w:rFonts w:ascii="Arial" w:eastAsia="Calibri" w:hAnsi="Arial" w:cs="Arial"/>
          <w:bCs/>
          <w:sz w:val="22"/>
          <w:lang w:val="es-ES_tradnl"/>
        </w:rPr>
        <w:t>e</w:t>
      </w:r>
      <w:r w:rsidR="007970A6" w:rsidRPr="00BA7067">
        <w:rPr>
          <w:rFonts w:ascii="Arial" w:eastAsia="Calibri" w:hAnsi="Arial" w:cs="Arial"/>
          <w:bCs/>
          <w:sz w:val="22"/>
          <w:lang w:val="es-ES_tradnl"/>
        </w:rPr>
        <w:t xml:space="preserve">n de contratos estatales, sino de la prestación de </w:t>
      </w:r>
      <w:r w:rsidR="007970A6" w:rsidRPr="00BA7067">
        <w:rPr>
          <w:rFonts w:ascii="Arial" w:hAnsi="Arial" w:cs="Arial"/>
          <w:sz w:val="22"/>
        </w:rPr>
        <w:t>servicios y tecnologías en salud no financiadas con cargo a la UPC del régimen subsidiado</w:t>
      </w:r>
      <w:r w:rsidR="00453775" w:rsidRPr="00BA7067">
        <w:rPr>
          <w:rFonts w:ascii="Arial" w:hAnsi="Arial" w:cs="Arial"/>
          <w:sz w:val="22"/>
        </w:rPr>
        <w:t>.</w:t>
      </w:r>
      <w:r w:rsidR="007970A6" w:rsidRPr="00BA7067">
        <w:rPr>
          <w:rFonts w:ascii="Arial" w:hAnsi="Arial" w:cs="Arial"/>
          <w:sz w:val="22"/>
        </w:rPr>
        <w:t xml:space="preserve"> </w:t>
      </w:r>
    </w:p>
    <w:p w14:paraId="290AC4BF" w14:textId="698A12F1" w:rsidR="001001D2" w:rsidRPr="00BA7067" w:rsidRDefault="00AE5EE3" w:rsidP="00F25EA6">
      <w:pPr>
        <w:spacing w:after="120" w:line="276" w:lineRule="auto"/>
        <w:ind w:firstLine="708"/>
        <w:jc w:val="both"/>
        <w:rPr>
          <w:rFonts w:ascii="Arial" w:eastAsia="Arial" w:hAnsi="Arial" w:cs="Arial"/>
          <w:sz w:val="22"/>
          <w:lang w:val="es-ES" w:eastAsia="es-ES" w:bidi="es-ES"/>
        </w:rPr>
      </w:pPr>
      <w:r w:rsidRPr="00BA7067">
        <w:rPr>
          <w:rFonts w:ascii="Arial" w:eastAsia="Arial" w:hAnsi="Arial" w:cs="Arial"/>
          <w:sz w:val="22"/>
          <w:lang w:val="es-ES" w:eastAsia="es-ES" w:bidi="es-ES"/>
        </w:rPr>
        <w:t xml:space="preserve">Sin perjuicio de lo anterior, </w:t>
      </w:r>
      <w:r w:rsidR="00C505B0" w:rsidRPr="00BA7067">
        <w:rPr>
          <w:rFonts w:ascii="Arial" w:eastAsia="Arial" w:hAnsi="Arial" w:cs="Arial"/>
          <w:sz w:val="22"/>
          <w:lang w:val="es-ES" w:eastAsia="es-ES" w:bidi="es-ES"/>
        </w:rPr>
        <w:t xml:space="preserve">sobre el objeto de su consulta, </w:t>
      </w:r>
      <w:r w:rsidRPr="00BA7067">
        <w:rPr>
          <w:rFonts w:ascii="Arial" w:eastAsia="Arial" w:hAnsi="Arial" w:cs="Arial"/>
          <w:sz w:val="22"/>
          <w:lang w:val="es-ES" w:eastAsia="es-ES" w:bidi="es-ES"/>
        </w:rPr>
        <w:t xml:space="preserve">dentro de los límites de la </w:t>
      </w:r>
      <w:r w:rsidR="00C505B0" w:rsidRPr="00BA7067">
        <w:rPr>
          <w:rFonts w:ascii="Arial" w:eastAsia="Arial" w:hAnsi="Arial" w:cs="Arial"/>
          <w:sz w:val="22"/>
          <w:lang w:val="es-ES" w:eastAsia="es-ES" w:bidi="es-ES"/>
        </w:rPr>
        <w:t>referida función consultiva, se advierte de manera general que, l</w:t>
      </w:r>
      <w:r w:rsidR="001001D2" w:rsidRPr="00BA7067">
        <w:rPr>
          <w:rFonts w:ascii="Arial" w:eastAsia="Arial" w:hAnsi="Arial" w:cs="Arial"/>
          <w:sz w:val="22"/>
          <w:lang w:val="es-ES" w:eastAsia="es-ES" w:bidi="es-ES"/>
        </w:rPr>
        <w:t xml:space="preserve">a Ley 996 de 2005 establece dos (2) tipos de restricciones en materia de contratación, las cuales coinciden parcialmente. </w:t>
      </w:r>
      <w:r w:rsidR="001001D2" w:rsidRPr="00BA7067">
        <w:rPr>
          <w:rFonts w:ascii="Arial" w:eastAsia="Arial" w:hAnsi="Arial" w:cs="Arial"/>
          <w:i/>
          <w:iCs/>
          <w:sz w:val="22"/>
          <w:lang w:val="es-ES" w:eastAsia="es-ES" w:bidi="es-ES"/>
        </w:rPr>
        <w:t>En primer lugar</w:t>
      </w:r>
      <w:r w:rsidR="001001D2" w:rsidRPr="00BA7067">
        <w:rPr>
          <w:rFonts w:ascii="Arial" w:eastAsia="Arial" w:hAnsi="Arial" w:cs="Arial"/>
          <w:sz w:val="22"/>
          <w:lang w:val="es-ES" w:eastAsia="es-ES" w:bidi="es-ES"/>
        </w:rPr>
        <w:t>, la del artículo 33 que opera solo respecto de las elecciones presidenciales, en virtud de la cual queda proscrita la contratación directa dentro de los cuatro (4) meses anteriores a la celebración de los comicios, salvo las excepciones contempladas en el inciso segundo del mismo artículo. Sin embargo, si ningún candidato obtiene la mitad más uno de los votos que, de manera secreta y directa, depositen los ciudadanos, se celebrará una nueva votación que tendrá lugar tres semanas más tarde, en la que s</w:t>
      </w:r>
      <w:r w:rsidR="004A2500" w:rsidRPr="00BA7067">
        <w:rPr>
          <w:rFonts w:ascii="Arial" w:eastAsia="Arial" w:hAnsi="Arial" w:cs="Arial"/>
          <w:sz w:val="22"/>
          <w:lang w:val="es-ES" w:eastAsia="es-ES" w:bidi="es-ES"/>
        </w:rPr>
        <w:t>o</w:t>
      </w:r>
      <w:r w:rsidR="001001D2" w:rsidRPr="00BA7067">
        <w:rPr>
          <w:rFonts w:ascii="Arial" w:eastAsia="Arial" w:hAnsi="Arial" w:cs="Arial"/>
          <w:sz w:val="22"/>
          <w:lang w:val="es-ES" w:eastAsia="es-ES" w:bidi="es-ES"/>
        </w:rPr>
        <w:t xml:space="preserve">lo participarán los dos candidatos que hubieren obtenido las votaciones más altas, </w:t>
      </w:r>
      <w:r w:rsidR="001001D2" w:rsidRPr="00BA7067">
        <w:rPr>
          <w:rFonts w:ascii="Arial" w:eastAsia="Arial" w:hAnsi="Arial" w:cs="Arial"/>
          <w:sz w:val="22"/>
          <w:lang w:val="es-ES" w:eastAsia="es-ES" w:bidi="es-ES"/>
        </w:rPr>
        <w:lastRenderedPageBreak/>
        <w:t xml:space="preserve">de conformidad con el artículo 190 de la Constitución Política. Para estos efectos, la restricción se extenderá hasta la fecha en la que se realice la segunda vuelta. </w:t>
      </w:r>
      <w:r w:rsidR="001001D2" w:rsidRPr="00BA7067">
        <w:rPr>
          <w:rFonts w:ascii="Arial" w:eastAsia="Arial" w:hAnsi="Arial" w:cs="Arial"/>
          <w:i/>
          <w:iCs/>
          <w:sz w:val="22"/>
          <w:lang w:val="es-ES" w:eastAsia="es-ES" w:bidi="es-ES"/>
        </w:rPr>
        <w:t>En segundo lugar</w:t>
      </w:r>
      <w:r w:rsidR="001001D2" w:rsidRPr="00BA7067">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D2AAF07" w14:textId="7105A7E6" w:rsidR="001001D2" w:rsidRPr="00BA7067" w:rsidRDefault="001001D2" w:rsidP="001001D2">
      <w:pPr>
        <w:spacing w:before="120" w:after="120" w:line="276" w:lineRule="auto"/>
        <w:ind w:firstLine="709"/>
        <w:jc w:val="both"/>
        <w:rPr>
          <w:rFonts w:ascii="Arial" w:eastAsia="Calibri" w:hAnsi="Arial" w:cs="Arial"/>
          <w:sz w:val="22"/>
        </w:rPr>
      </w:pPr>
      <w:r w:rsidRPr="00BA7067">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BA7067">
        <w:rPr>
          <w:rFonts w:ascii="Arial" w:eastAsia="Arial" w:hAnsi="Arial" w:cs="Arial"/>
          <w:sz w:val="22"/>
          <w:lang w:val="es-ES" w:eastAsia="es-ES" w:bidi="es-ES"/>
        </w:rPr>
        <w:t>Presidente</w:t>
      </w:r>
      <w:proofErr w:type="gramEnd"/>
      <w:r w:rsidRPr="00BA7067">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BA7067">
        <w:rPr>
          <w:rFonts w:ascii="Arial" w:eastAsia="Arial" w:hAnsi="Arial" w:cs="Arial"/>
          <w:sz w:val="22"/>
          <w:lang w:val="es-ES" w:eastAsia="es-ES" w:bidi="es-ES"/>
        </w:rPr>
        <w:t>Presidente</w:t>
      </w:r>
      <w:proofErr w:type="gramEnd"/>
      <w:r w:rsidRPr="00BA7067">
        <w:rPr>
          <w:rFonts w:ascii="Arial" w:eastAsia="Arial" w:hAnsi="Arial" w:cs="Arial"/>
          <w:sz w:val="22"/>
          <w:lang w:val="es-ES" w:eastAsia="es-ES" w:bidi="es-ES"/>
        </w:rPr>
        <w:t xml:space="preserve"> de la República, las autoridades allí mencionadas s</w:t>
      </w:r>
      <w:r w:rsidR="00C51757" w:rsidRPr="00BA7067">
        <w:rPr>
          <w:rFonts w:ascii="Arial" w:eastAsia="Arial" w:hAnsi="Arial" w:cs="Arial"/>
          <w:sz w:val="22"/>
          <w:lang w:val="es-ES" w:eastAsia="es-ES" w:bidi="es-ES"/>
        </w:rPr>
        <w:t>o</w:t>
      </w:r>
      <w:r w:rsidRPr="00BA7067">
        <w:rPr>
          <w:rFonts w:ascii="Arial" w:eastAsia="Arial" w:hAnsi="Arial" w:cs="Arial"/>
          <w:sz w:val="22"/>
          <w:lang w:val="es-ES" w:eastAsia="es-ES" w:bidi="es-ES"/>
        </w:rPr>
        <w:t>lo deben aplicar las restricciones contenidas en el parágrafo del artículo 38. Lo anterior, sin perjuicio de la modificación introducida por la Ley 2159 de 2021 a esta última norma.</w:t>
      </w:r>
    </w:p>
    <w:p w14:paraId="098958A4" w14:textId="15A27B82" w:rsidR="001001D2" w:rsidRPr="00BA7067" w:rsidRDefault="001001D2" w:rsidP="001001D2">
      <w:pPr>
        <w:spacing w:before="120" w:after="120" w:line="276" w:lineRule="auto"/>
        <w:ind w:firstLine="709"/>
        <w:jc w:val="both"/>
        <w:rPr>
          <w:rFonts w:ascii="Arial" w:eastAsia="Calibri" w:hAnsi="Arial" w:cs="Arial"/>
          <w:sz w:val="22"/>
        </w:rPr>
      </w:pPr>
      <w:r w:rsidRPr="00BA7067">
        <w:rPr>
          <w:rFonts w:ascii="Arial" w:eastAsia="Calibri" w:hAnsi="Arial" w:cs="Arial"/>
          <w:sz w:val="22"/>
        </w:rPr>
        <w:t>En ese contexto, los gobernadores, alcaldes municipales y/o distritales, secretarios, gerentes y directores de entidades descentralizadas del orden municipal, departamental o distrital, no pueden celebrar convenios interadministrativos con otras entidades estatales dentro de los cuatro meses anteriores a las elecciones legislativas, en los que se pretenda ejecutar recursos públicos. Lo anterior, en razón a la prohibición del parágrafo del artículo 38 de la Ley de Garantías.</w:t>
      </w:r>
    </w:p>
    <w:p w14:paraId="751A4EC9" w14:textId="4BE3A5F3" w:rsidR="001001D2" w:rsidRPr="00BA7067" w:rsidRDefault="001001D2" w:rsidP="001001D2">
      <w:pPr>
        <w:pStyle w:val="Textoindependiente"/>
        <w:tabs>
          <w:tab w:val="left" w:pos="8505"/>
        </w:tabs>
        <w:spacing w:before="120" w:after="120" w:line="276" w:lineRule="auto"/>
        <w:ind w:right="49" w:firstLine="709"/>
        <w:jc w:val="both"/>
        <w:rPr>
          <w:rFonts w:eastAsiaTheme="minorHAnsi"/>
          <w:lang w:val="es-MX"/>
        </w:rPr>
      </w:pPr>
      <w:r w:rsidRPr="00BA7067">
        <w:rPr>
          <w:rFonts w:eastAsia="Calibri"/>
        </w:rPr>
        <w:t xml:space="preserve">Por otra parte, a todos los entes del Estado les queda prohibido celebrar </w:t>
      </w:r>
      <w:r w:rsidR="008002B0" w:rsidRPr="00BA7067">
        <w:rPr>
          <w:rFonts w:eastAsia="Calibri"/>
        </w:rPr>
        <w:t>contratos</w:t>
      </w:r>
      <w:r w:rsidRPr="00BA7067">
        <w:rPr>
          <w:rFonts w:eastAsia="Calibri"/>
        </w:rPr>
        <w:t xml:space="preserve"> con otras entidades estatales o con particulares, bajo la modalidad de contratación directa, durante los cuatro meses anteriores a las elecciones presidenciales y hasta la realización de la segunda vuelta, si fuere el caso. Esto, en virtud de la restricción a la contratación pública del artículo 33 de la Ley 996 de 2005, la cual aplica a cualquier procedimiento sin pluralidad de oferentes, sin importar de que se trate de un contrato que involucre o no la ejecución de recursos públicos. </w:t>
      </w:r>
    </w:p>
    <w:p w14:paraId="0D4D729A" w14:textId="1F36178C" w:rsidR="001001D2" w:rsidRPr="00BA7067" w:rsidRDefault="001001D2" w:rsidP="00F25EA6">
      <w:pPr>
        <w:spacing w:after="120" w:line="276" w:lineRule="auto"/>
        <w:ind w:firstLine="709"/>
        <w:jc w:val="both"/>
        <w:rPr>
          <w:rFonts w:ascii="Arial" w:eastAsia="Calibri" w:hAnsi="Arial" w:cs="Arial"/>
          <w:bCs/>
          <w:sz w:val="22"/>
          <w:lang w:val="es-ES_tradnl"/>
        </w:rPr>
      </w:pPr>
      <w:r w:rsidRPr="00BA7067">
        <w:rPr>
          <w:rFonts w:ascii="Arial" w:hAnsi="Arial" w:cs="Arial"/>
          <w:sz w:val="22"/>
        </w:rPr>
        <w:t xml:space="preserve">Lo anterior, sin perjuicio de la verificación que deben realizar las entidades estatales </w:t>
      </w:r>
      <w:r w:rsidRPr="00BA7067">
        <w:rPr>
          <w:rFonts w:ascii="Arial" w:hAnsi="Arial" w:cs="Arial"/>
          <w:sz w:val="22"/>
          <w:lang w:val="es-ES"/>
        </w:rPr>
        <w:t>frente</w:t>
      </w:r>
      <w:r w:rsidRPr="00BA7067">
        <w:rPr>
          <w:rFonts w:ascii="Arial" w:eastAsia="Calibri" w:hAnsi="Arial" w:cs="Arial"/>
          <w:sz w:val="22"/>
          <w:lang w:val="es-ES"/>
        </w:rPr>
        <w:t xml:space="preserve"> el alcance y ámbito de aplicación de cada una de las excepciones previstas en el </w:t>
      </w:r>
      <w:r w:rsidRPr="00BA7067">
        <w:rPr>
          <w:rFonts w:ascii="Arial" w:hAnsi="Arial" w:cs="Arial"/>
          <w:sz w:val="22"/>
        </w:rPr>
        <w:t>inciso final del citado artículo 33 de la Ley 996 de 2005 en lo referente a</w:t>
      </w:r>
      <w:r w:rsidR="006644F1" w:rsidRPr="00BA7067">
        <w:rPr>
          <w:rFonts w:ascii="Arial" w:hAnsi="Arial" w:cs="Arial"/>
          <w:sz w:val="22"/>
        </w:rPr>
        <w:t>:</w:t>
      </w:r>
      <w:r w:rsidRPr="00BA7067">
        <w:rPr>
          <w:rFonts w:ascii="Arial" w:hAnsi="Arial" w:cs="Arial"/>
          <w:sz w:val="22"/>
        </w:rPr>
        <w:t xml:space="preserve"> i) la defensa y seguridad del Estado; </w:t>
      </w:r>
      <w:proofErr w:type="spellStart"/>
      <w:r w:rsidRPr="00BA7067">
        <w:rPr>
          <w:rFonts w:ascii="Arial" w:hAnsi="Arial" w:cs="Arial"/>
          <w:sz w:val="22"/>
        </w:rPr>
        <w:t>ii</w:t>
      </w:r>
      <w:proofErr w:type="spellEnd"/>
      <w:r w:rsidRPr="00BA7067">
        <w:rPr>
          <w:rFonts w:ascii="Arial" w:hAnsi="Arial" w:cs="Arial"/>
          <w:sz w:val="22"/>
        </w:rPr>
        <w:t xml:space="preserve">) los contratos de crédito público; </w:t>
      </w:r>
      <w:proofErr w:type="spellStart"/>
      <w:r w:rsidRPr="00BA7067">
        <w:rPr>
          <w:rFonts w:ascii="Arial" w:hAnsi="Arial" w:cs="Arial"/>
          <w:sz w:val="22"/>
        </w:rPr>
        <w:t>iii</w:t>
      </w:r>
      <w:proofErr w:type="spellEnd"/>
      <w:r w:rsidRPr="00BA7067">
        <w:rPr>
          <w:rFonts w:ascii="Arial" w:hAnsi="Arial" w:cs="Arial"/>
          <w:sz w:val="22"/>
        </w:rPr>
        <w:t xml:space="preserve">) los requeridos para cubrir las emergencias educativas, sanitarias y desastres; </w:t>
      </w:r>
      <w:proofErr w:type="spellStart"/>
      <w:r w:rsidRPr="00BA7067">
        <w:rPr>
          <w:rFonts w:ascii="Arial" w:hAnsi="Arial" w:cs="Arial"/>
          <w:sz w:val="22"/>
        </w:rPr>
        <w:t>iv</w:t>
      </w:r>
      <w:proofErr w:type="spellEnd"/>
      <w:r w:rsidRPr="00BA7067">
        <w:rPr>
          <w:rFonts w:ascii="Arial" w:hAnsi="Arial" w:cs="Arial"/>
          <w:sz w:val="22"/>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con fundamento en las cuales podrán las entidades públicas adelantar procedimientos de selección directa en períodos previos a la contienda electoral por la Presidencia.</w:t>
      </w:r>
      <w:r w:rsidRPr="00BA7067">
        <w:rPr>
          <w:rFonts w:ascii="Arial" w:eastAsia="Calibri" w:hAnsi="Arial" w:cs="Arial"/>
          <w:bCs/>
          <w:sz w:val="22"/>
          <w:lang w:val="es-ES_tradnl"/>
        </w:rPr>
        <w:t xml:space="preserve"> </w:t>
      </w:r>
    </w:p>
    <w:p w14:paraId="5738DBD5" w14:textId="2D257D51" w:rsidR="00231D0C" w:rsidRPr="00BA7067" w:rsidRDefault="00231D0C" w:rsidP="00231D0C">
      <w:pPr>
        <w:spacing w:before="120" w:line="276" w:lineRule="auto"/>
        <w:ind w:firstLine="708"/>
        <w:jc w:val="both"/>
        <w:rPr>
          <w:rFonts w:ascii="Arial" w:eastAsia="Calibri" w:hAnsi="Arial" w:cs="Arial"/>
          <w:sz w:val="22"/>
        </w:rPr>
      </w:pPr>
      <w:r w:rsidRPr="00BA7067">
        <w:rPr>
          <w:rFonts w:ascii="Arial" w:eastAsia="Calibri" w:hAnsi="Arial" w:cs="Arial"/>
          <w:sz w:val="22"/>
        </w:rPr>
        <w:lastRenderedPageBreak/>
        <w:t>Por otro lado, de acuerdo con lo considerado, la transacción es una modalidad contractual a la que válidamente pueden acudir las entidades estatales, en ejercicio de la autonomía de la voluntad y la remisión a las normas civiles comerciales realizada por los artículos 13 y 32 de la Ley 80 de 1993. La posibilidad de suscribir estos contratos en vigencia de las restricciones contractuales establecidas en la Ley 996 de 2005, debe ser determinada por las entidades estatales, a quienes le</w:t>
      </w:r>
      <w:r w:rsidR="00385871" w:rsidRPr="00BA7067">
        <w:rPr>
          <w:rFonts w:ascii="Arial" w:eastAsia="Calibri" w:hAnsi="Arial" w:cs="Arial"/>
          <w:sz w:val="22"/>
        </w:rPr>
        <w:t>s</w:t>
      </w:r>
      <w:r w:rsidRPr="00BA7067">
        <w:rPr>
          <w:rFonts w:ascii="Arial" w:eastAsia="Calibri" w:hAnsi="Arial" w:cs="Arial"/>
          <w:sz w:val="22"/>
        </w:rPr>
        <w:t xml:space="preserve"> corresponde determinar si las particularidades del respectivo acuerdo transaccional lo ubican dentro del ámbito material de alguna de las mencionadas restricciones. </w:t>
      </w:r>
    </w:p>
    <w:p w14:paraId="3B565797" w14:textId="01072888" w:rsidR="00231D0C" w:rsidRPr="00BA7067" w:rsidRDefault="00231D0C" w:rsidP="00231D0C">
      <w:pPr>
        <w:spacing w:before="120" w:line="276" w:lineRule="auto"/>
        <w:ind w:firstLine="708"/>
        <w:jc w:val="both"/>
        <w:rPr>
          <w:rFonts w:ascii="Arial" w:eastAsia="Calibri" w:hAnsi="Arial" w:cs="Arial"/>
          <w:sz w:val="22"/>
        </w:rPr>
      </w:pPr>
      <w:r w:rsidRPr="00BA7067">
        <w:rPr>
          <w:rFonts w:ascii="Arial" w:eastAsia="Calibri" w:hAnsi="Arial" w:cs="Arial"/>
          <w:sz w:val="22"/>
        </w:rPr>
        <w:t xml:space="preserve">En cuanto a la restricción del artículo 33, la ausencia de pluralidad de oferentes propia de los contratos de transacción es un asunto de relevancia, en la medida en que puede significar la inviabilidad de celebrar el respectivo contrato. Esto comoquiera que, en atención al propósito de este tipo de contratos, dirigido solucionar o precaver controversias con sujetos determinados, necesariamente se suscriben de manera directa con quien existe el conflicto, excluyendo posibilidad alguna para pluralidad.  </w:t>
      </w:r>
    </w:p>
    <w:p w14:paraId="4AC617D9" w14:textId="49901316" w:rsidR="00F42CE9" w:rsidRPr="00BA7067" w:rsidRDefault="00B73662" w:rsidP="00F42CE9">
      <w:pPr>
        <w:spacing w:before="120" w:after="120" w:line="276" w:lineRule="auto"/>
        <w:ind w:firstLine="709"/>
        <w:jc w:val="both"/>
        <w:rPr>
          <w:rFonts w:ascii="Arial" w:eastAsia="Calibri" w:hAnsi="Arial" w:cs="Arial"/>
          <w:sz w:val="22"/>
        </w:rPr>
      </w:pPr>
      <w:r w:rsidRPr="00BA7067">
        <w:rPr>
          <w:rFonts w:ascii="Arial" w:eastAsia="Calibri" w:hAnsi="Arial" w:cs="Arial"/>
          <w:sz w:val="22"/>
        </w:rPr>
        <w:t>No obstante</w:t>
      </w:r>
      <w:r w:rsidR="00231D0C" w:rsidRPr="00BA7067">
        <w:rPr>
          <w:rFonts w:ascii="Arial" w:eastAsia="Calibri" w:hAnsi="Arial" w:cs="Arial"/>
          <w:sz w:val="22"/>
        </w:rPr>
        <w:t xml:space="preserve">, </w:t>
      </w:r>
      <w:r w:rsidR="00B565F1" w:rsidRPr="00BA7067">
        <w:rPr>
          <w:rFonts w:ascii="Arial" w:eastAsia="Calibri" w:hAnsi="Arial" w:cs="Arial"/>
          <w:sz w:val="22"/>
        </w:rPr>
        <w:t>dicha falta de pluralidad no significa que</w:t>
      </w:r>
      <w:r w:rsidR="00231D0C" w:rsidRPr="00BA7067">
        <w:rPr>
          <w:rFonts w:ascii="Arial" w:eastAsia="Calibri" w:hAnsi="Arial" w:cs="Arial"/>
          <w:sz w:val="22"/>
        </w:rPr>
        <w:t xml:space="preserve"> todas las transacciones que están en condiciones de celebrar las entidades estatales </w:t>
      </w:r>
      <w:r w:rsidR="00B565F1" w:rsidRPr="00BA7067">
        <w:rPr>
          <w:rFonts w:ascii="Arial" w:eastAsia="Calibri" w:hAnsi="Arial" w:cs="Arial"/>
          <w:sz w:val="22"/>
        </w:rPr>
        <w:t xml:space="preserve">estén </w:t>
      </w:r>
      <w:r w:rsidR="00231D0C" w:rsidRPr="00BA7067">
        <w:rPr>
          <w:rFonts w:ascii="Arial" w:eastAsia="Calibri" w:hAnsi="Arial" w:cs="Arial"/>
          <w:sz w:val="22"/>
        </w:rPr>
        <w:t>limitadas por la restricción del artículo 33</w:t>
      </w:r>
      <w:r w:rsidR="005616C4" w:rsidRPr="00BA7067">
        <w:rPr>
          <w:rFonts w:ascii="Arial" w:eastAsia="Calibri" w:hAnsi="Arial" w:cs="Arial"/>
          <w:sz w:val="22"/>
        </w:rPr>
        <w:t xml:space="preserve">, ya que </w:t>
      </w:r>
      <w:r w:rsidR="0035702F" w:rsidRPr="00BA7067">
        <w:rPr>
          <w:rFonts w:ascii="Arial" w:eastAsia="Calibri" w:hAnsi="Arial" w:cs="Arial"/>
          <w:sz w:val="22"/>
        </w:rPr>
        <w:t>los acuerdos transaccionales</w:t>
      </w:r>
      <w:r w:rsidR="00096BEE" w:rsidRPr="00BA7067">
        <w:rPr>
          <w:rFonts w:ascii="Arial" w:eastAsia="Calibri" w:hAnsi="Arial" w:cs="Arial"/>
          <w:sz w:val="22"/>
        </w:rPr>
        <w:t xml:space="preserve"> no siempre</w:t>
      </w:r>
      <w:r w:rsidR="0035702F" w:rsidRPr="00BA7067">
        <w:rPr>
          <w:rFonts w:ascii="Arial" w:eastAsia="Calibri" w:hAnsi="Arial" w:cs="Arial"/>
          <w:sz w:val="22"/>
        </w:rPr>
        <w:t xml:space="preserve"> suponen la </w:t>
      </w:r>
      <w:r w:rsidR="00993D31" w:rsidRPr="00BA7067">
        <w:rPr>
          <w:rFonts w:ascii="Arial" w:eastAsia="Calibri" w:hAnsi="Arial" w:cs="Arial"/>
          <w:sz w:val="22"/>
        </w:rPr>
        <w:t>celebración</w:t>
      </w:r>
      <w:r w:rsidR="0035702F" w:rsidRPr="00BA7067">
        <w:rPr>
          <w:rFonts w:ascii="Arial" w:eastAsia="Calibri" w:hAnsi="Arial" w:cs="Arial"/>
          <w:sz w:val="22"/>
        </w:rPr>
        <w:t xml:space="preserve"> de un nuevo</w:t>
      </w:r>
      <w:r w:rsidR="00157ECE" w:rsidRPr="00BA7067">
        <w:rPr>
          <w:rFonts w:ascii="Arial" w:eastAsia="Calibri" w:hAnsi="Arial" w:cs="Arial"/>
          <w:sz w:val="22"/>
        </w:rPr>
        <w:t xml:space="preserve"> contrato de manera directa.</w:t>
      </w:r>
      <w:r w:rsidR="00D729E9" w:rsidRPr="00BA7067">
        <w:rPr>
          <w:rFonts w:ascii="Arial" w:eastAsia="Calibri" w:hAnsi="Arial" w:cs="Arial"/>
          <w:sz w:val="22"/>
        </w:rPr>
        <w:t xml:space="preserve"> </w:t>
      </w:r>
      <w:r w:rsidR="00C70E3C" w:rsidRPr="00BA7067">
        <w:rPr>
          <w:rFonts w:ascii="Arial" w:eastAsia="Calibri" w:hAnsi="Arial" w:cs="Arial"/>
          <w:sz w:val="22"/>
        </w:rPr>
        <w:t>Esto</w:t>
      </w:r>
      <w:r w:rsidR="000945FA" w:rsidRPr="00BA7067">
        <w:rPr>
          <w:rFonts w:ascii="Arial" w:eastAsia="Calibri" w:hAnsi="Arial" w:cs="Arial"/>
          <w:sz w:val="22"/>
        </w:rPr>
        <w:t xml:space="preserve"> </w:t>
      </w:r>
      <w:r w:rsidR="00622C59" w:rsidRPr="00BA7067">
        <w:rPr>
          <w:rFonts w:ascii="Arial" w:eastAsia="Calibri" w:hAnsi="Arial" w:cs="Arial"/>
          <w:sz w:val="22"/>
        </w:rPr>
        <w:t>ocurre</w:t>
      </w:r>
      <w:r w:rsidR="007B26BE" w:rsidRPr="00BA7067">
        <w:rPr>
          <w:rFonts w:ascii="Arial" w:eastAsia="Calibri" w:hAnsi="Arial" w:cs="Arial"/>
          <w:sz w:val="22"/>
        </w:rPr>
        <w:t>,</w:t>
      </w:r>
      <w:r w:rsidR="00EA302A" w:rsidRPr="00BA7067">
        <w:rPr>
          <w:rFonts w:ascii="Arial" w:eastAsia="Calibri" w:hAnsi="Arial" w:cs="Arial"/>
          <w:sz w:val="22"/>
        </w:rPr>
        <w:t xml:space="preserve"> particularmente</w:t>
      </w:r>
      <w:r w:rsidR="007B26BE" w:rsidRPr="00BA7067">
        <w:rPr>
          <w:rFonts w:ascii="Arial" w:eastAsia="Calibri" w:hAnsi="Arial" w:cs="Arial"/>
          <w:sz w:val="22"/>
        </w:rPr>
        <w:t>,</w:t>
      </w:r>
      <w:r w:rsidR="00E77463" w:rsidRPr="00BA7067">
        <w:rPr>
          <w:rFonts w:ascii="Arial" w:eastAsia="Calibri" w:hAnsi="Arial" w:cs="Arial"/>
          <w:sz w:val="22"/>
        </w:rPr>
        <w:t xml:space="preserve"> </w:t>
      </w:r>
      <w:r w:rsidR="00EA302A" w:rsidRPr="00BA7067">
        <w:rPr>
          <w:rFonts w:ascii="Arial" w:eastAsia="Calibri" w:hAnsi="Arial" w:cs="Arial"/>
          <w:sz w:val="22"/>
        </w:rPr>
        <w:t>cuando</w:t>
      </w:r>
      <w:r w:rsidR="00C70E3C" w:rsidRPr="00BA7067">
        <w:rPr>
          <w:rFonts w:ascii="Arial" w:eastAsia="Calibri" w:hAnsi="Arial" w:cs="Arial"/>
          <w:sz w:val="22"/>
        </w:rPr>
        <w:t xml:space="preserve"> </w:t>
      </w:r>
      <w:r w:rsidR="00622C59" w:rsidRPr="00BA7067">
        <w:rPr>
          <w:rFonts w:ascii="Arial" w:eastAsia="Calibri" w:hAnsi="Arial" w:cs="Arial"/>
          <w:sz w:val="22"/>
        </w:rPr>
        <w:t xml:space="preserve">se </w:t>
      </w:r>
      <w:r w:rsidR="00C70E3C" w:rsidRPr="00BA7067">
        <w:rPr>
          <w:rFonts w:ascii="Arial" w:eastAsia="Calibri" w:hAnsi="Arial" w:cs="Arial"/>
          <w:sz w:val="22"/>
        </w:rPr>
        <w:t>acud</w:t>
      </w:r>
      <w:r w:rsidR="00EA302A" w:rsidRPr="00BA7067">
        <w:rPr>
          <w:rFonts w:ascii="Arial" w:eastAsia="Calibri" w:hAnsi="Arial" w:cs="Arial"/>
          <w:sz w:val="22"/>
        </w:rPr>
        <w:t>e</w:t>
      </w:r>
      <w:r w:rsidR="00C70E3C" w:rsidRPr="00BA7067">
        <w:rPr>
          <w:rFonts w:ascii="Arial" w:eastAsia="Calibri" w:hAnsi="Arial" w:cs="Arial"/>
          <w:sz w:val="22"/>
        </w:rPr>
        <w:t xml:space="preserve"> a</w:t>
      </w:r>
      <w:r w:rsidR="00EA302A" w:rsidRPr="00BA7067">
        <w:rPr>
          <w:rFonts w:ascii="Arial" w:eastAsia="Calibri" w:hAnsi="Arial" w:cs="Arial"/>
          <w:sz w:val="22"/>
        </w:rPr>
        <w:t xml:space="preserve"> la transacción</w:t>
      </w:r>
      <w:r w:rsidR="00C70E3C" w:rsidRPr="00BA7067">
        <w:rPr>
          <w:rFonts w:ascii="Arial" w:eastAsia="Calibri" w:hAnsi="Arial" w:cs="Arial"/>
          <w:sz w:val="22"/>
        </w:rPr>
        <w:t xml:space="preserve"> </w:t>
      </w:r>
      <w:r w:rsidR="00EA302A" w:rsidRPr="00BA7067">
        <w:rPr>
          <w:rFonts w:ascii="Arial" w:eastAsia="Calibri" w:hAnsi="Arial" w:cs="Arial"/>
          <w:sz w:val="22"/>
        </w:rPr>
        <w:t>como</w:t>
      </w:r>
      <w:r w:rsidR="00C70E3C" w:rsidRPr="00BA7067">
        <w:rPr>
          <w:rFonts w:ascii="Arial" w:eastAsia="Calibri" w:hAnsi="Arial" w:cs="Arial"/>
          <w:sz w:val="22"/>
        </w:rPr>
        <w:t xml:space="preserve"> mecanismo alternativo </w:t>
      </w:r>
      <w:r w:rsidR="00EA302A" w:rsidRPr="00BA7067">
        <w:rPr>
          <w:rFonts w:ascii="Arial" w:eastAsia="Calibri" w:hAnsi="Arial" w:cs="Arial"/>
          <w:sz w:val="22"/>
        </w:rPr>
        <w:t>para la</w:t>
      </w:r>
      <w:r w:rsidR="00C70E3C" w:rsidRPr="00BA7067">
        <w:rPr>
          <w:rFonts w:ascii="Arial" w:eastAsia="Calibri" w:hAnsi="Arial" w:cs="Arial"/>
          <w:sz w:val="22"/>
        </w:rPr>
        <w:t xml:space="preserve"> solución de conflictos</w:t>
      </w:r>
      <w:r w:rsidR="00622C59" w:rsidRPr="00BA7067">
        <w:rPr>
          <w:rFonts w:ascii="Arial" w:eastAsia="Calibri" w:hAnsi="Arial" w:cs="Arial"/>
          <w:sz w:val="22"/>
        </w:rPr>
        <w:t>,</w:t>
      </w:r>
      <w:r w:rsidR="00E77463" w:rsidRPr="00BA7067">
        <w:rPr>
          <w:rFonts w:ascii="Arial" w:eastAsia="Calibri" w:hAnsi="Arial" w:cs="Arial"/>
          <w:sz w:val="22"/>
        </w:rPr>
        <w:t xml:space="preserve"> buscando</w:t>
      </w:r>
      <w:r w:rsidR="00C70E3C" w:rsidRPr="00BA7067">
        <w:rPr>
          <w:rFonts w:ascii="Arial" w:eastAsia="Calibri" w:hAnsi="Arial" w:cs="Arial"/>
          <w:sz w:val="22"/>
        </w:rPr>
        <w:t xml:space="preserve"> modifica</w:t>
      </w:r>
      <w:r w:rsidR="00E77463" w:rsidRPr="00BA7067">
        <w:rPr>
          <w:rFonts w:ascii="Arial" w:eastAsia="Calibri" w:hAnsi="Arial" w:cs="Arial"/>
          <w:sz w:val="22"/>
        </w:rPr>
        <w:t>r</w:t>
      </w:r>
      <w:r w:rsidR="00622C59" w:rsidRPr="00BA7067">
        <w:rPr>
          <w:rFonts w:ascii="Arial" w:eastAsia="Calibri" w:hAnsi="Arial" w:cs="Arial"/>
          <w:sz w:val="22"/>
        </w:rPr>
        <w:t xml:space="preserve"> a través de </w:t>
      </w:r>
      <w:proofErr w:type="gramStart"/>
      <w:r w:rsidR="00622C59" w:rsidRPr="00BA7067">
        <w:rPr>
          <w:rFonts w:ascii="Arial" w:eastAsia="Calibri" w:hAnsi="Arial" w:cs="Arial"/>
          <w:sz w:val="22"/>
        </w:rPr>
        <w:t>la misma</w:t>
      </w:r>
      <w:proofErr w:type="gramEnd"/>
      <w:r w:rsidR="00C70E3C" w:rsidRPr="00BA7067">
        <w:rPr>
          <w:rFonts w:ascii="Arial" w:eastAsia="Calibri" w:hAnsi="Arial" w:cs="Arial"/>
          <w:sz w:val="22"/>
        </w:rPr>
        <w:t xml:space="preserve"> el contenido de un contrato </w:t>
      </w:r>
      <w:r w:rsidR="00622C59" w:rsidRPr="00BA7067">
        <w:rPr>
          <w:rFonts w:ascii="Arial" w:eastAsia="Calibri" w:hAnsi="Arial" w:cs="Arial"/>
          <w:sz w:val="22"/>
        </w:rPr>
        <w:t>perfeccionado antes de la entrada en vigor de la restricción</w:t>
      </w:r>
      <w:r w:rsidR="00C70E3C" w:rsidRPr="00BA7067">
        <w:rPr>
          <w:rFonts w:ascii="Arial" w:eastAsia="Calibri" w:hAnsi="Arial" w:cs="Arial"/>
          <w:sz w:val="22"/>
        </w:rPr>
        <w:t xml:space="preserve"> con el propósito de salvaguardar los intereses de las partes</w:t>
      </w:r>
      <w:r w:rsidR="000945FA" w:rsidRPr="00BA7067">
        <w:rPr>
          <w:rFonts w:ascii="Arial" w:eastAsia="Calibri" w:hAnsi="Arial" w:cs="Arial"/>
          <w:sz w:val="22"/>
        </w:rPr>
        <w:t>, caso en el que se estima</w:t>
      </w:r>
      <w:r w:rsidR="009B61C3" w:rsidRPr="00BA7067">
        <w:rPr>
          <w:rFonts w:ascii="Arial" w:eastAsia="Calibri" w:hAnsi="Arial" w:cs="Arial"/>
          <w:sz w:val="22"/>
        </w:rPr>
        <w:t xml:space="preserve"> viable</w:t>
      </w:r>
      <w:r w:rsidR="00EB5DCC" w:rsidRPr="00BA7067">
        <w:rPr>
          <w:rFonts w:ascii="Arial" w:eastAsia="Calibri" w:hAnsi="Arial" w:cs="Arial"/>
          <w:sz w:val="22"/>
        </w:rPr>
        <w:t xml:space="preserve"> sus</w:t>
      </w:r>
      <w:r w:rsidR="00CB2E0A" w:rsidRPr="00BA7067">
        <w:rPr>
          <w:rFonts w:ascii="Arial" w:eastAsia="Calibri" w:hAnsi="Arial" w:cs="Arial"/>
          <w:sz w:val="22"/>
        </w:rPr>
        <w:t xml:space="preserve">cribir la transacción </w:t>
      </w:r>
      <w:r w:rsidR="007962E1" w:rsidRPr="00BA7067">
        <w:rPr>
          <w:rFonts w:ascii="Arial" w:eastAsia="Calibri" w:hAnsi="Arial" w:cs="Arial"/>
          <w:sz w:val="22"/>
        </w:rPr>
        <w:t xml:space="preserve">sin que se incurra en una </w:t>
      </w:r>
      <w:r w:rsidR="00F87BD5" w:rsidRPr="00BA7067">
        <w:rPr>
          <w:rFonts w:ascii="Arial" w:eastAsia="Calibri" w:hAnsi="Arial" w:cs="Arial"/>
          <w:sz w:val="22"/>
        </w:rPr>
        <w:t>vulneración de la prohibición del artículo 33</w:t>
      </w:r>
      <w:r w:rsidR="00622C59" w:rsidRPr="00BA7067">
        <w:rPr>
          <w:rFonts w:ascii="Arial" w:eastAsia="Calibri" w:hAnsi="Arial" w:cs="Arial"/>
          <w:sz w:val="22"/>
        </w:rPr>
        <w:t xml:space="preserve">. </w:t>
      </w:r>
      <w:r w:rsidR="005C0632" w:rsidRPr="00BA7067">
        <w:rPr>
          <w:rFonts w:ascii="Arial" w:eastAsia="Calibri" w:hAnsi="Arial" w:cs="Arial"/>
          <w:sz w:val="22"/>
        </w:rPr>
        <w:t>Esto parte de</w:t>
      </w:r>
      <w:r w:rsidR="00E379EB" w:rsidRPr="00BA7067">
        <w:rPr>
          <w:rFonts w:ascii="Arial" w:eastAsia="Calibri" w:hAnsi="Arial" w:cs="Arial"/>
          <w:sz w:val="22"/>
        </w:rPr>
        <w:t xml:space="preserve"> la base que, </w:t>
      </w:r>
      <w:r w:rsidR="00D4656A" w:rsidRPr="00BA7067">
        <w:rPr>
          <w:rFonts w:ascii="Arial" w:eastAsia="Calibri" w:hAnsi="Arial" w:cs="Arial"/>
          <w:sz w:val="22"/>
        </w:rPr>
        <w:t>eventos en l</w:t>
      </w:r>
      <w:r w:rsidR="0041530A" w:rsidRPr="00BA7067">
        <w:rPr>
          <w:rFonts w:ascii="Arial" w:eastAsia="Calibri" w:hAnsi="Arial" w:cs="Arial"/>
          <w:sz w:val="22"/>
        </w:rPr>
        <w:t>os que se</w:t>
      </w:r>
      <w:r w:rsidR="002829D5" w:rsidRPr="00BA7067">
        <w:rPr>
          <w:rFonts w:ascii="Arial" w:eastAsia="Calibri" w:hAnsi="Arial" w:cs="Arial"/>
          <w:sz w:val="22"/>
        </w:rPr>
        <w:t xml:space="preserve"> suscriben actos bilaterales en los que se hacen</w:t>
      </w:r>
      <w:r w:rsidR="0041530A" w:rsidRPr="00BA7067">
        <w:rPr>
          <w:rFonts w:ascii="Arial" w:eastAsia="Calibri" w:hAnsi="Arial" w:cs="Arial"/>
          <w:sz w:val="22"/>
        </w:rPr>
        <w:t xml:space="preserve"> concesiones rec</w:t>
      </w:r>
      <w:r w:rsidR="00BC14A9" w:rsidRPr="00BA7067">
        <w:rPr>
          <w:rFonts w:ascii="Arial" w:eastAsia="Calibri" w:hAnsi="Arial" w:cs="Arial"/>
          <w:sz w:val="22"/>
        </w:rPr>
        <w:t>í</w:t>
      </w:r>
      <w:r w:rsidR="0041530A" w:rsidRPr="00BA7067">
        <w:rPr>
          <w:rFonts w:ascii="Arial" w:eastAsia="Calibri" w:hAnsi="Arial" w:cs="Arial"/>
          <w:sz w:val="22"/>
        </w:rPr>
        <w:t xml:space="preserve">procas </w:t>
      </w:r>
      <w:r w:rsidR="00FF008E" w:rsidRPr="00BA7067">
        <w:rPr>
          <w:rFonts w:ascii="Arial" w:eastAsia="Calibri" w:hAnsi="Arial" w:cs="Arial"/>
          <w:sz w:val="22"/>
        </w:rPr>
        <w:t xml:space="preserve">respecto de contratos ya </w:t>
      </w:r>
      <w:r w:rsidR="00927DF8" w:rsidRPr="00BA7067">
        <w:rPr>
          <w:rFonts w:ascii="Arial" w:eastAsia="Calibri" w:hAnsi="Arial" w:cs="Arial"/>
          <w:sz w:val="22"/>
        </w:rPr>
        <w:t xml:space="preserve">celebrados, no </w:t>
      </w:r>
      <w:r w:rsidR="00672C3A" w:rsidRPr="00BA7067">
        <w:rPr>
          <w:rFonts w:ascii="Arial" w:eastAsia="Calibri" w:hAnsi="Arial" w:cs="Arial"/>
          <w:sz w:val="22"/>
        </w:rPr>
        <w:t>entrañan</w:t>
      </w:r>
      <w:r w:rsidR="009E2760" w:rsidRPr="00BA7067">
        <w:rPr>
          <w:rFonts w:ascii="Arial" w:eastAsia="Calibri" w:hAnsi="Arial" w:cs="Arial"/>
          <w:sz w:val="22"/>
        </w:rPr>
        <w:t xml:space="preserve"> la celebración </w:t>
      </w:r>
      <w:r w:rsidR="009C1EE0" w:rsidRPr="00BA7067">
        <w:rPr>
          <w:rFonts w:ascii="Arial" w:eastAsia="Calibri" w:hAnsi="Arial" w:cs="Arial"/>
          <w:sz w:val="22"/>
        </w:rPr>
        <w:t xml:space="preserve">directa </w:t>
      </w:r>
      <w:r w:rsidR="009E2760" w:rsidRPr="00BA7067">
        <w:rPr>
          <w:rFonts w:ascii="Arial" w:eastAsia="Calibri" w:hAnsi="Arial" w:cs="Arial"/>
          <w:sz w:val="22"/>
        </w:rPr>
        <w:t>de</w:t>
      </w:r>
      <w:r w:rsidR="009C1EE0" w:rsidRPr="00BA7067">
        <w:rPr>
          <w:rFonts w:ascii="Arial" w:eastAsia="Calibri" w:hAnsi="Arial" w:cs="Arial"/>
          <w:sz w:val="22"/>
        </w:rPr>
        <w:t xml:space="preserve"> nuevos negocios jurídicos</w:t>
      </w:r>
      <w:r w:rsidR="00672C3A" w:rsidRPr="00BA7067">
        <w:rPr>
          <w:rFonts w:ascii="Arial" w:eastAsia="Calibri" w:hAnsi="Arial" w:cs="Arial"/>
          <w:sz w:val="22"/>
        </w:rPr>
        <w:t>, por lo que a est</w:t>
      </w:r>
      <w:r w:rsidR="00E5276D" w:rsidRPr="00BA7067">
        <w:rPr>
          <w:rFonts w:ascii="Arial" w:eastAsia="Calibri" w:hAnsi="Arial" w:cs="Arial"/>
          <w:sz w:val="22"/>
        </w:rPr>
        <w:t>os</w:t>
      </w:r>
      <w:r w:rsidR="00672C3A" w:rsidRPr="00BA7067">
        <w:rPr>
          <w:rFonts w:ascii="Arial" w:eastAsia="Calibri" w:hAnsi="Arial" w:cs="Arial"/>
          <w:sz w:val="22"/>
        </w:rPr>
        <w:t xml:space="preserve"> no les resultaría aplicable la restricción del primer inciso del artículo 33, y, por sustracción de materia, tampoco </w:t>
      </w:r>
      <w:r w:rsidR="00E5276D" w:rsidRPr="00BA7067">
        <w:rPr>
          <w:rFonts w:ascii="Arial" w:eastAsia="Calibri" w:hAnsi="Arial" w:cs="Arial"/>
          <w:sz w:val="22"/>
        </w:rPr>
        <w:t>las</w:t>
      </w:r>
      <w:r w:rsidR="00672C3A" w:rsidRPr="00BA7067">
        <w:rPr>
          <w:rFonts w:ascii="Arial" w:eastAsia="Calibri" w:hAnsi="Arial" w:cs="Arial"/>
          <w:sz w:val="22"/>
        </w:rPr>
        <w:t xml:space="preserve"> excepciones</w:t>
      </w:r>
      <w:r w:rsidR="008E69AF" w:rsidRPr="00BA7067">
        <w:rPr>
          <w:rFonts w:ascii="Arial" w:eastAsia="Calibri" w:hAnsi="Arial" w:cs="Arial"/>
          <w:sz w:val="22"/>
        </w:rPr>
        <w:t xml:space="preserve"> </w:t>
      </w:r>
      <w:r w:rsidR="00672C3A" w:rsidRPr="00BA7067">
        <w:rPr>
          <w:rFonts w:ascii="Arial" w:eastAsia="Calibri" w:hAnsi="Arial" w:cs="Arial"/>
          <w:sz w:val="22"/>
        </w:rPr>
        <w:t>del inciso final.</w:t>
      </w:r>
      <w:r w:rsidR="007B26BE" w:rsidRPr="00BA7067">
        <w:rPr>
          <w:rFonts w:ascii="Arial" w:eastAsia="Calibri" w:hAnsi="Arial" w:cs="Arial"/>
          <w:sz w:val="22"/>
        </w:rPr>
        <w:t xml:space="preserve"> </w:t>
      </w:r>
      <w:r w:rsidR="006D74AD" w:rsidRPr="00BA7067">
        <w:rPr>
          <w:rFonts w:ascii="Arial" w:eastAsia="Calibri" w:hAnsi="Arial" w:cs="Arial"/>
          <w:sz w:val="22"/>
        </w:rPr>
        <w:t xml:space="preserve">Lo mismo podría predicarse de </w:t>
      </w:r>
      <w:r w:rsidR="00B565F1" w:rsidRPr="00BA7067">
        <w:rPr>
          <w:rFonts w:ascii="Arial" w:eastAsia="Calibri" w:hAnsi="Arial" w:cs="Arial"/>
          <w:sz w:val="22"/>
        </w:rPr>
        <w:t>las</w:t>
      </w:r>
      <w:r w:rsidR="006D74AD" w:rsidRPr="00BA7067">
        <w:rPr>
          <w:rFonts w:ascii="Arial" w:eastAsia="Calibri" w:hAnsi="Arial" w:cs="Arial"/>
          <w:sz w:val="22"/>
        </w:rPr>
        <w:t xml:space="preserve"> transacci</w:t>
      </w:r>
      <w:r w:rsidR="00B565F1" w:rsidRPr="00BA7067">
        <w:rPr>
          <w:rFonts w:ascii="Arial" w:eastAsia="Calibri" w:hAnsi="Arial" w:cs="Arial"/>
          <w:sz w:val="22"/>
        </w:rPr>
        <w:t>ones</w:t>
      </w:r>
      <w:r w:rsidR="006D74AD" w:rsidRPr="00BA7067">
        <w:rPr>
          <w:rFonts w:ascii="Arial" w:eastAsia="Calibri" w:hAnsi="Arial" w:cs="Arial"/>
          <w:sz w:val="22"/>
        </w:rPr>
        <w:t xml:space="preserve"> realizada</w:t>
      </w:r>
      <w:r w:rsidR="00B565F1" w:rsidRPr="00BA7067">
        <w:rPr>
          <w:rFonts w:ascii="Arial" w:eastAsia="Calibri" w:hAnsi="Arial" w:cs="Arial"/>
          <w:sz w:val="22"/>
        </w:rPr>
        <w:t>s</w:t>
      </w:r>
      <w:r w:rsidR="006D74AD" w:rsidRPr="00BA7067">
        <w:rPr>
          <w:rFonts w:ascii="Arial" w:eastAsia="Calibri" w:hAnsi="Arial" w:cs="Arial"/>
          <w:sz w:val="22"/>
        </w:rPr>
        <w:t xml:space="preserve"> </w:t>
      </w:r>
      <w:r w:rsidR="005B2BAE" w:rsidRPr="00BA7067">
        <w:rPr>
          <w:rFonts w:ascii="Arial" w:eastAsia="Calibri" w:hAnsi="Arial" w:cs="Arial"/>
          <w:sz w:val="22"/>
        </w:rPr>
        <w:t xml:space="preserve">en </w:t>
      </w:r>
      <w:r w:rsidR="006D74AD" w:rsidRPr="00BA7067">
        <w:rPr>
          <w:rFonts w:ascii="Arial" w:eastAsia="Calibri" w:hAnsi="Arial" w:cs="Arial"/>
          <w:sz w:val="22"/>
        </w:rPr>
        <w:t>acta</w:t>
      </w:r>
      <w:r w:rsidR="00B565F1" w:rsidRPr="00BA7067">
        <w:rPr>
          <w:rFonts w:ascii="Arial" w:eastAsia="Calibri" w:hAnsi="Arial" w:cs="Arial"/>
          <w:sz w:val="22"/>
        </w:rPr>
        <w:t>s</w:t>
      </w:r>
      <w:r w:rsidR="006D74AD" w:rsidRPr="00BA7067">
        <w:rPr>
          <w:rFonts w:ascii="Arial" w:eastAsia="Calibri" w:hAnsi="Arial" w:cs="Arial"/>
          <w:sz w:val="22"/>
        </w:rPr>
        <w:t xml:space="preserve"> de liquidación bilateral, en la</w:t>
      </w:r>
      <w:r w:rsidR="00B565F1" w:rsidRPr="00BA7067">
        <w:rPr>
          <w:rFonts w:ascii="Arial" w:eastAsia="Calibri" w:hAnsi="Arial" w:cs="Arial"/>
          <w:sz w:val="22"/>
        </w:rPr>
        <w:t>s</w:t>
      </w:r>
      <w:r w:rsidR="006D74AD" w:rsidRPr="00BA7067">
        <w:rPr>
          <w:rFonts w:ascii="Arial" w:eastAsia="Calibri" w:hAnsi="Arial" w:cs="Arial"/>
          <w:sz w:val="22"/>
        </w:rPr>
        <w:t xml:space="preserve"> que tampoco se da lugar a la suscripción de un nuevo contrato, sino que se realiza</w:t>
      </w:r>
      <w:r w:rsidR="00B565F1" w:rsidRPr="00BA7067">
        <w:rPr>
          <w:rFonts w:ascii="Arial" w:eastAsia="Calibri" w:hAnsi="Arial" w:cs="Arial"/>
          <w:sz w:val="22"/>
        </w:rPr>
        <w:t>n</w:t>
      </w:r>
      <w:r w:rsidR="006D74AD" w:rsidRPr="00BA7067">
        <w:rPr>
          <w:rFonts w:ascii="Arial" w:eastAsia="Calibri" w:hAnsi="Arial" w:cs="Arial"/>
          <w:sz w:val="22"/>
        </w:rPr>
        <w:t xml:space="preserve"> concesiones rec</w:t>
      </w:r>
      <w:r w:rsidR="006E3247" w:rsidRPr="00BA7067">
        <w:rPr>
          <w:rFonts w:ascii="Arial" w:eastAsia="Calibri" w:hAnsi="Arial" w:cs="Arial"/>
          <w:sz w:val="22"/>
        </w:rPr>
        <w:t>í</w:t>
      </w:r>
      <w:r w:rsidR="006D74AD" w:rsidRPr="00BA7067">
        <w:rPr>
          <w:rFonts w:ascii="Arial" w:eastAsia="Calibri" w:hAnsi="Arial" w:cs="Arial"/>
          <w:sz w:val="22"/>
        </w:rPr>
        <w:t>procas con el objeto de poder declarar el paz y salvo entre las partes.</w:t>
      </w:r>
    </w:p>
    <w:p w14:paraId="70B397D4" w14:textId="64C2ECC4" w:rsidR="00EB63AF" w:rsidRPr="00BA7067" w:rsidRDefault="00622C59" w:rsidP="00231D0C">
      <w:pPr>
        <w:spacing w:before="120" w:after="120" w:line="276" w:lineRule="auto"/>
        <w:ind w:firstLine="709"/>
        <w:jc w:val="both"/>
        <w:rPr>
          <w:rFonts w:ascii="Arial" w:hAnsi="Arial" w:cs="Arial"/>
          <w:sz w:val="22"/>
        </w:rPr>
      </w:pPr>
      <w:r w:rsidRPr="00BA7067">
        <w:rPr>
          <w:rFonts w:ascii="Arial" w:eastAsia="Calibri" w:hAnsi="Arial" w:cs="Arial"/>
          <w:sz w:val="22"/>
        </w:rPr>
        <w:t>E</w:t>
      </w:r>
      <w:r w:rsidR="006F53EA" w:rsidRPr="00BA7067">
        <w:rPr>
          <w:rFonts w:ascii="Arial" w:eastAsia="Calibri" w:hAnsi="Arial" w:cs="Arial"/>
          <w:sz w:val="22"/>
        </w:rPr>
        <w:t xml:space="preserve">sta interpretación </w:t>
      </w:r>
      <w:r w:rsidR="00056F23" w:rsidRPr="00BA7067">
        <w:rPr>
          <w:rFonts w:ascii="Arial" w:eastAsia="Calibri" w:hAnsi="Arial" w:cs="Arial"/>
          <w:sz w:val="22"/>
        </w:rPr>
        <w:t>se sustenta en el</w:t>
      </w:r>
      <w:r w:rsidR="006F53EA" w:rsidRPr="00BA7067">
        <w:rPr>
          <w:rFonts w:ascii="Arial" w:eastAsia="Calibri" w:hAnsi="Arial" w:cs="Arial"/>
          <w:sz w:val="22"/>
        </w:rPr>
        <w:t xml:space="preserve"> mismo presupuesto del</w:t>
      </w:r>
      <w:r w:rsidR="00056F23" w:rsidRPr="00BA7067">
        <w:rPr>
          <w:rFonts w:ascii="Arial" w:eastAsia="Calibri" w:hAnsi="Arial" w:cs="Arial"/>
          <w:sz w:val="22"/>
        </w:rPr>
        <w:t xml:space="preserve"> que parte</w:t>
      </w:r>
      <w:r w:rsidR="009145A3" w:rsidRPr="00BA7067">
        <w:rPr>
          <w:rFonts w:ascii="Arial" w:eastAsia="Calibri" w:hAnsi="Arial" w:cs="Arial"/>
          <w:sz w:val="22"/>
        </w:rPr>
        <w:t>n</w:t>
      </w:r>
      <w:r w:rsidR="00C1517D" w:rsidRPr="00BA7067">
        <w:rPr>
          <w:rFonts w:ascii="Arial" w:hAnsi="Arial" w:cs="Arial"/>
          <w:sz w:val="22"/>
        </w:rPr>
        <w:t xml:space="preserve"> las circulares Nos. 016 del 3 de septiembre de 2013, 005 del 7 de abril de 2015 y 007 del 22 de mayo de 2017 de la Procuraduría</w:t>
      </w:r>
      <w:r w:rsidR="00C1517D" w:rsidRPr="00BA7067">
        <w:rPr>
          <w:rFonts w:ascii="Arial" w:hAnsi="Arial" w:cs="Arial"/>
          <w:spacing w:val="-10"/>
          <w:sz w:val="22"/>
        </w:rPr>
        <w:t xml:space="preserve"> </w:t>
      </w:r>
      <w:r w:rsidR="00C1517D" w:rsidRPr="00BA7067">
        <w:rPr>
          <w:rFonts w:ascii="Arial" w:hAnsi="Arial" w:cs="Arial"/>
          <w:sz w:val="22"/>
        </w:rPr>
        <w:t>General</w:t>
      </w:r>
      <w:r w:rsidR="00C1517D" w:rsidRPr="00BA7067">
        <w:rPr>
          <w:rFonts w:ascii="Arial" w:hAnsi="Arial" w:cs="Arial"/>
          <w:spacing w:val="-12"/>
          <w:sz w:val="22"/>
        </w:rPr>
        <w:t xml:space="preserve"> </w:t>
      </w:r>
      <w:r w:rsidR="00C1517D" w:rsidRPr="00BA7067">
        <w:rPr>
          <w:rFonts w:ascii="Arial" w:hAnsi="Arial" w:cs="Arial"/>
          <w:sz w:val="22"/>
        </w:rPr>
        <w:t>de</w:t>
      </w:r>
      <w:r w:rsidR="00C1517D" w:rsidRPr="00BA7067">
        <w:rPr>
          <w:rFonts w:ascii="Arial" w:hAnsi="Arial" w:cs="Arial"/>
          <w:spacing w:val="-13"/>
          <w:sz w:val="22"/>
        </w:rPr>
        <w:t xml:space="preserve"> </w:t>
      </w:r>
      <w:r w:rsidR="00C1517D" w:rsidRPr="00BA7067">
        <w:rPr>
          <w:rFonts w:ascii="Arial" w:hAnsi="Arial" w:cs="Arial"/>
          <w:sz w:val="22"/>
        </w:rPr>
        <w:t>la</w:t>
      </w:r>
      <w:r w:rsidR="00C1517D" w:rsidRPr="00BA7067">
        <w:rPr>
          <w:rFonts w:ascii="Arial" w:hAnsi="Arial" w:cs="Arial"/>
          <w:spacing w:val="-13"/>
          <w:sz w:val="22"/>
        </w:rPr>
        <w:t xml:space="preserve"> </w:t>
      </w:r>
      <w:r w:rsidR="00C1517D" w:rsidRPr="00BA7067">
        <w:rPr>
          <w:rFonts w:ascii="Arial" w:hAnsi="Arial" w:cs="Arial"/>
          <w:sz w:val="22"/>
        </w:rPr>
        <w:t>Nación</w:t>
      </w:r>
      <w:r w:rsidR="00491805" w:rsidRPr="00BA7067">
        <w:rPr>
          <w:rFonts w:ascii="Arial" w:hAnsi="Arial" w:cs="Arial"/>
          <w:sz w:val="22"/>
        </w:rPr>
        <w:t xml:space="preserve">, </w:t>
      </w:r>
      <w:r w:rsidR="00F87BD5" w:rsidRPr="00BA7067">
        <w:rPr>
          <w:rFonts w:ascii="Arial" w:hAnsi="Arial" w:cs="Arial"/>
          <w:sz w:val="22"/>
        </w:rPr>
        <w:t xml:space="preserve"> la </w:t>
      </w:r>
      <w:r w:rsidR="00EB5DCC" w:rsidRPr="00BA7067">
        <w:rPr>
          <w:rFonts w:ascii="Arial" w:hAnsi="Arial" w:cs="Arial"/>
          <w:sz w:val="22"/>
        </w:rPr>
        <w:t xml:space="preserve">Circular Conjunta 100-006 del 16 de noviembre de 2021 </w:t>
      </w:r>
      <w:r w:rsidR="00F87BD5" w:rsidRPr="00BA7067">
        <w:rPr>
          <w:rFonts w:ascii="Arial" w:hAnsi="Arial" w:cs="Arial"/>
          <w:sz w:val="22"/>
        </w:rPr>
        <w:t>d</w:t>
      </w:r>
      <w:r w:rsidR="00EB5DCC" w:rsidRPr="00BA7067">
        <w:rPr>
          <w:rFonts w:ascii="Arial" w:hAnsi="Arial" w:cs="Arial"/>
          <w:sz w:val="22"/>
        </w:rPr>
        <w:t>el Departamento Administrativo de la Presidencia de la República y el Departamento</w:t>
      </w:r>
      <w:r w:rsidR="00EB5DCC" w:rsidRPr="00BA7067">
        <w:rPr>
          <w:rFonts w:ascii="Arial" w:hAnsi="Arial" w:cs="Arial"/>
          <w:spacing w:val="-14"/>
          <w:sz w:val="22"/>
        </w:rPr>
        <w:t xml:space="preserve"> </w:t>
      </w:r>
      <w:r w:rsidR="00EB5DCC" w:rsidRPr="00BA7067">
        <w:rPr>
          <w:rFonts w:ascii="Arial" w:hAnsi="Arial" w:cs="Arial"/>
          <w:sz w:val="22"/>
        </w:rPr>
        <w:t>Administrativo</w:t>
      </w:r>
      <w:r w:rsidR="00EB5DCC" w:rsidRPr="00BA7067">
        <w:rPr>
          <w:rFonts w:ascii="Arial" w:hAnsi="Arial" w:cs="Arial"/>
          <w:spacing w:val="-11"/>
          <w:sz w:val="22"/>
        </w:rPr>
        <w:t xml:space="preserve"> </w:t>
      </w:r>
      <w:r w:rsidR="00EB5DCC" w:rsidRPr="00BA7067">
        <w:rPr>
          <w:rFonts w:ascii="Arial" w:hAnsi="Arial" w:cs="Arial"/>
          <w:sz w:val="22"/>
        </w:rPr>
        <w:t>de</w:t>
      </w:r>
      <w:r w:rsidR="00EB5DCC" w:rsidRPr="00BA7067">
        <w:rPr>
          <w:rFonts w:ascii="Arial" w:hAnsi="Arial" w:cs="Arial"/>
          <w:spacing w:val="-14"/>
          <w:sz w:val="22"/>
        </w:rPr>
        <w:t xml:space="preserve"> </w:t>
      </w:r>
      <w:r w:rsidR="00EB5DCC" w:rsidRPr="00BA7067">
        <w:rPr>
          <w:rFonts w:ascii="Arial" w:hAnsi="Arial" w:cs="Arial"/>
          <w:sz w:val="22"/>
        </w:rPr>
        <w:t>la</w:t>
      </w:r>
      <w:r w:rsidR="00EB5DCC" w:rsidRPr="00BA7067">
        <w:rPr>
          <w:rFonts w:ascii="Arial" w:hAnsi="Arial" w:cs="Arial"/>
          <w:spacing w:val="-13"/>
          <w:sz w:val="22"/>
        </w:rPr>
        <w:t xml:space="preserve"> </w:t>
      </w:r>
      <w:r w:rsidR="00EB5DCC" w:rsidRPr="00BA7067">
        <w:rPr>
          <w:rFonts w:ascii="Arial" w:hAnsi="Arial" w:cs="Arial"/>
          <w:sz w:val="22"/>
        </w:rPr>
        <w:t>Función</w:t>
      </w:r>
      <w:r w:rsidR="00EB5DCC" w:rsidRPr="00BA7067">
        <w:rPr>
          <w:rFonts w:ascii="Arial" w:hAnsi="Arial" w:cs="Arial"/>
          <w:spacing w:val="-13"/>
          <w:sz w:val="22"/>
        </w:rPr>
        <w:t xml:space="preserve"> </w:t>
      </w:r>
      <w:r w:rsidR="00EB5DCC" w:rsidRPr="00BA7067">
        <w:rPr>
          <w:rFonts w:ascii="Arial" w:hAnsi="Arial" w:cs="Arial"/>
          <w:sz w:val="22"/>
        </w:rPr>
        <w:t>Pública</w:t>
      </w:r>
      <w:r w:rsidR="00491805" w:rsidRPr="00BA7067">
        <w:rPr>
          <w:rFonts w:ascii="Arial" w:hAnsi="Arial" w:cs="Arial"/>
          <w:sz w:val="22"/>
        </w:rPr>
        <w:t xml:space="preserve"> y la Circular Externa Única expedida por esta Agencia</w:t>
      </w:r>
      <w:r w:rsidR="00EB5DCC" w:rsidRPr="00BA7067">
        <w:rPr>
          <w:rFonts w:ascii="Arial" w:hAnsi="Arial" w:cs="Arial"/>
          <w:sz w:val="22"/>
        </w:rPr>
        <w:t xml:space="preserve">, </w:t>
      </w:r>
      <w:r w:rsidR="00E80B58" w:rsidRPr="00BA7067">
        <w:rPr>
          <w:rFonts w:ascii="Arial" w:hAnsi="Arial" w:cs="Arial"/>
          <w:sz w:val="22"/>
        </w:rPr>
        <w:t>para avalar la suscripción de cesiones</w:t>
      </w:r>
      <w:r w:rsidR="00227BA2" w:rsidRPr="00BA7067">
        <w:rPr>
          <w:rFonts w:ascii="Arial" w:hAnsi="Arial" w:cs="Arial"/>
          <w:sz w:val="22"/>
        </w:rPr>
        <w:t>, adiciones o pr</w:t>
      </w:r>
      <w:r w:rsidR="00F2287F" w:rsidRPr="00BA7067">
        <w:rPr>
          <w:rFonts w:ascii="Arial" w:hAnsi="Arial" w:cs="Arial"/>
          <w:sz w:val="22"/>
        </w:rPr>
        <w:t>ó</w:t>
      </w:r>
      <w:r w:rsidR="00227BA2" w:rsidRPr="00BA7067">
        <w:rPr>
          <w:rFonts w:ascii="Arial" w:hAnsi="Arial" w:cs="Arial"/>
          <w:sz w:val="22"/>
        </w:rPr>
        <w:t>rrogas de contratos en vigencia de las prohibiciones contractuales de Ley de Garantías Electorales</w:t>
      </w:r>
      <w:r w:rsidR="00F42CE9" w:rsidRPr="00BA7067">
        <w:rPr>
          <w:rFonts w:ascii="Arial" w:hAnsi="Arial" w:cs="Arial"/>
          <w:sz w:val="22"/>
        </w:rPr>
        <w:t>.</w:t>
      </w:r>
      <w:r w:rsidR="00831DD1" w:rsidRPr="00BA7067">
        <w:rPr>
          <w:rFonts w:ascii="Arial" w:hAnsi="Arial" w:cs="Arial"/>
          <w:sz w:val="22"/>
        </w:rPr>
        <w:t xml:space="preserve"> En concordancia con lo establecido en dichas circulares se estima que, del mismo modo en que resulta posible suscribir </w:t>
      </w:r>
      <w:r w:rsidR="00B8321B" w:rsidRPr="00BA7067">
        <w:rPr>
          <w:rFonts w:ascii="Arial" w:hAnsi="Arial" w:cs="Arial"/>
          <w:sz w:val="22"/>
        </w:rPr>
        <w:t xml:space="preserve">cesiones, adiciones o prórrogas a pesar de </w:t>
      </w:r>
      <w:r w:rsidR="00AD4A40" w:rsidRPr="00BA7067">
        <w:rPr>
          <w:rFonts w:ascii="Arial" w:hAnsi="Arial" w:cs="Arial"/>
          <w:sz w:val="22"/>
        </w:rPr>
        <w:lastRenderedPageBreak/>
        <w:t xml:space="preserve">estar cursando el periodo durante el que rigen las </w:t>
      </w:r>
      <w:r w:rsidR="00822868" w:rsidRPr="00BA7067">
        <w:rPr>
          <w:rFonts w:ascii="Arial" w:hAnsi="Arial" w:cs="Arial"/>
          <w:sz w:val="22"/>
        </w:rPr>
        <w:t>mencionadas</w:t>
      </w:r>
      <w:r w:rsidR="00AD4A40" w:rsidRPr="00BA7067">
        <w:rPr>
          <w:rFonts w:ascii="Arial" w:hAnsi="Arial" w:cs="Arial"/>
          <w:sz w:val="22"/>
        </w:rPr>
        <w:t xml:space="preserve"> restricciones contractuales</w:t>
      </w:r>
      <w:r w:rsidR="00285F06" w:rsidRPr="00BA7067">
        <w:rPr>
          <w:rFonts w:ascii="Arial" w:hAnsi="Arial" w:cs="Arial"/>
          <w:sz w:val="22"/>
        </w:rPr>
        <w:t xml:space="preserve">, es válido </w:t>
      </w:r>
      <w:r w:rsidR="006E6F57" w:rsidRPr="00BA7067">
        <w:rPr>
          <w:rFonts w:ascii="Arial" w:hAnsi="Arial" w:cs="Arial"/>
          <w:sz w:val="22"/>
        </w:rPr>
        <w:t xml:space="preserve">suscribir transacciones en dicho </w:t>
      </w:r>
      <w:r w:rsidR="00B63839" w:rsidRPr="00BA7067">
        <w:rPr>
          <w:rFonts w:ascii="Arial" w:hAnsi="Arial" w:cs="Arial"/>
          <w:sz w:val="22"/>
        </w:rPr>
        <w:t>período</w:t>
      </w:r>
      <w:r w:rsidR="006E6F57" w:rsidRPr="00BA7067">
        <w:rPr>
          <w:rFonts w:ascii="Arial" w:hAnsi="Arial" w:cs="Arial"/>
          <w:sz w:val="22"/>
        </w:rPr>
        <w:t xml:space="preserve">, </w:t>
      </w:r>
      <w:r w:rsidR="003235A7" w:rsidRPr="00BA7067">
        <w:rPr>
          <w:rFonts w:ascii="Arial" w:hAnsi="Arial" w:cs="Arial"/>
          <w:sz w:val="22"/>
        </w:rPr>
        <w:t xml:space="preserve">siempre que </w:t>
      </w:r>
      <w:r w:rsidR="00B63839" w:rsidRPr="00BA7067">
        <w:rPr>
          <w:rFonts w:ascii="Arial" w:hAnsi="Arial" w:cs="Arial"/>
          <w:sz w:val="22"/>
        </w:rPr>
        <w:t xml:space="preserve">se </w:t>
      </w:r>
      <w:r w:rsidR="003235A7" w:rsidRPr="00BA7067">
        <w:rPr>
          <w:rFonts w:ascii="Arial" w:hAnsi="Arial" w:cs="Arial"/>
          <w:sz w:val="22"/>
        </w:rPr>
        <w:t xml:space="preserve">deriven de </w:t>
      </w:r>
      <w:r w:rsidR="00AB7B39" w:rsidRPr="00BA7067">
        <w:rPr>
          <w:rFonts w:ascii="Arial" w:hAnsi="Arial" w:cs="Arial"/>
          <w:sz w:val="22"/>
        </w:rPr>
        <w:t>contratos ya perfeccionados, en el entendido de que</w:t>
      </w:r>
      <w:r w:rsidR="006D74AD" w:rsidRPr="00BA7067">
        <w:rPr>
          <w:rFonts w:ascii="Arial" w:hAnsi="Arial" w:cs="Arial"/>
          <w:sz w:val="22"/>
        </w:rPr>
        <w:t xml:space="preserve"> tales actuaciones no suponen una nueva relación contractual originada de manera directa</w:t>
      </w:r>
      <w:r w:rsidR="00822868" w:rsidRPr="00BA7067">
        <w:rPr>
          <w:rFonts w:ascii="Arial" w:hAnsi="Arial" w:cs="Arial"/>
          <w:sz w:val="22"/>
        </w:rPr>
        <w:t xml:space="preserve"> en un per</w:t>
      </w:r>
      <w:r w:rsidR="00B63839" w:rsidRPr="00BA7067">
        <w:rPr>
          <w:rFonts w:ascii="Arial" w:hAnsi="Arial" w:cs="Arial"/>
          <w:sz w:val="22"/>
        </w:rPr>
        <w:t>í</w:t>
      </w:r>
      <w:r w:rsidR="00822868" w:rsidRPr="00BA7067">
        <w:rPr>
          <w:rFonts w:ascii="Arial" w:hAnsi="Arial" w:cs="Arial"/>
          <w:sz w:val="22"/>
        </w:rPr>
        <w:t xml:space="preserve">odo </w:t>
      </w:r>
      <w:r w:rsidR="00125503" w:rsidRPr="00BA7067">
        <w:rPr>
          <w:rFonts w:ascii="Arial" w:hAnsi="Arial" w:cs="Arial"/>
          <w:sz w:val="22"/>
        </w:rPr>
        <w:t>prelectoral</w:t>
      </w:r>
      <w:r w:rsidR="006D74AD" w:rsidRPr="00BA7067">
        <w:rPr>
          <w:rFonts w:ascii="Arial" w:hAnsi="Arial" w:cs="Arial"/>
          <w:sz w:val="22"/>
        </w:rPr>
        <w:t>.</w:t>
      </w:r>
    </w:p>
    <w:p w14:paraId="4C3EB4E0" w14:textId="6468F6BE" w:rsidR="006F283A" w:rsidRPr="00BA7067" w:rsidRDefault="00FA5A46">
      <w:pPr>
        <w:spacing w:before="120" w:line="276" w:lineRule="auto"/>
        <w:jc w:val="both"/>
        <w:rPr>
          <w:rFonts w:ascii="Arial" w:eastAsia="Calibri" w:hAnsi="Arial" w:cs="Arial"/>
          <w:sz w:val="22"/>
        </w:rPr>
      </w:pPr>
      <w:r w:rsidRPr="00BA7067">
        <w:rPr>
          <w:rFonts w:ascii="Arial" w:eastAsia="Calibri" w:hAnsi="Arial" w:cs="Arial"/>
          <w:sz w:val="22"/>
        </w:rPr>
        <w:t xml:space="preserve">         </w:t>
      </w:r>
      <w:r w:rsidRPr="00BA7067">
        <w:rPr>
          <w:rFonts w:ascii="Arial" w:eastAsia="Calibri" w:hAnsi="Arial" w:cs="Arial"/>
          <w:sz w:val="22"/>
        </w:rPr>
        <w:tab/>
      </w:r>
      <w:r w:rsidR="0045792F" w:rsidRPr="00BA7067">
        <w:rPr>
          <w:rFonts w:ascii="Arial" w:eastAsia="Calibri" w:hAnsi="Arial" w:cs="Arial"/>
          <w:sz w:val="22"/>
        </w:rPr>
        <w:t>Con base en lo anterior</w:t>
      </w:r>
      <w:r w:rsidR="0052557B" w:rsidRPr="00BA7067">
        <w:rPr>
          <w:rFonts w:ascii="Arial" w:eastAsia="Calibri" w:hAnsi="Arial" w:cs="Arial"/>
          <w:sz w:val="22"/>
        </w:rPr>
        <w:t xml:space="preserve">, </w:t>
      </w:r>
      <w:r w:rsidR="0045792F" w:rsidRPr="00BA7067">
        <w:rPr>
          <w:rFonts w:ascii="Arial" w:eastAsia="Calibri" w:hAnsi="Arial" w:cs="Arial"/>
          <w:sz w:val="22"/>
        </w:rPr>
        <w:t xml:space="preserve">también </w:t>
      </w:r>
      <w:r w:rsidR="0052557B" w:rsidRPr="00BA7067">
        <w:rPr>
          <w:rFonts w:ascii="Arial" w:eastAsia="Calibri" w:hAnsi="Arial" w:cs="Arial"/>
          <w:sz w:val="22"/>
        </w:rPr>
        <w:t>se estima que</w:t>
      </w:r>
      <w:r w:rsidRPr="00BA7067">
        <w:rPr>
          <w:rFonts w:ascii="Arial" w:eastAsia="Calibri" w:hAnsi="Arial" w:cs="Arial"/>
          <w:sz w:val="22"/>
        </w:rPr>
        <w:t xml:space="preserve"> la celebración de acuerdos transaccionales entre entidades estatales referidos a convenios interadministrativos ya </w:t>
      </w:r>
      <w:r w:rsidR="00E36ED9" w:rsidRPr="00BA7067">
        <w:rPr>
          <w:rFonts w:ascii="Arial" w:eastAsia="Calibri" w:hAnsi="Arial" w:cs="Arial"/>
          <w:sz w:val="22"/>
        </w:rPr>
        <w:t>perfeccionados</w:t>
      </w:r>
      <w:r w:rsidRPr="00BA7067">
        <w:rPr>
          <w:rFonts w:ascii="Arial" w:eastAsia="Calibri" w:hAnsi="Arial" w:cs="Arial"/>
          <w:sz w:val="22"/>
        </w:rPr>
        <w:t xml:space="preserve"> tampoco vulnera la restricción del parágrafo del artículo 38. Esto </w:t>
      </w:r>
      <w:r w:rsidR="002F3E88" w:rsidRPr="00BA7067">
        <w:rPr>
          <w:rFonts w:ascii="Arial" w:eastAsia="Calibri" w:hAnsi="Arial" w:cs="Arial"/>
          <w:sz w:val="22"/>
        </w:rPr>
        <w:t xml:space="preserve">comoquiera </w:t>
      </w:r>
      <w:r w:rsidR="00E54407" w:rsidRPr="00BA7067">
        <w:rPr>
          <w:rFonts w:ascii="Arial" w:eastAsia="Calibri" w:hAnsi="Arial" w:cs="Arial"/>
          <w:sz w:val="22"/>
        </w:rPr>
        <w:t>que</w:t>
      </w:r>
      <w:r w:rsidRPr="00BA7067">
        <w:rPr>
          <w:rFonts w:ascii="Arial" w:eastAsia="Calibri" w:hAnsi="Arial" w:cs="Arial"/>
          <w:sz w:val="22"/>
        </w:rPr>
        <w:t xml:space="preserve">, </w:t>
      </w:r>
      <w:r w:rsidR="005C6686" w:rsidRPr="00BA7067">
        <w:rPr>
          <w:rFonts w:ascii="Arial" w:eastAsia="Calibri" w:hAnsi="Arial" w:cs="Arial"/>
          <w:sz w:val="22"/>
        </w:rPr>
        <w:t>tales transa</w:t>
      </w:r>
      <w:r w:rsidR="00E36ED9" w:rsidRPr="00BA7067">
        <w:rPr>
          <w:rFonts w:ascii="Arial" w:eastAsia="Calibri" w:hAnsi="Arial" w:cs="Arial"/>
          <w:sz w:val="22"/>
        </w:rPr>
        <w:t>cciones</w:t>
      </w:r>
      <w:r w:rsidR="0030243F" w:rsidRPr="00BA7067">
        <w:rPr>
          <w:rFonts w:ascii="Arial" w:eastAsia="Calibri" w:hAnsi="Arial" w:cs="Arial"/>
          <w:sz w:val="22"/>
        </w:rPr>
        <w:t xml:space="preserve"> </w:t>
      </w:r>
      <w:r w:rsidRPr="00BA7067">
        <w:rPr>
          <w:rFonts w:ascii="Arial" w:eastAsia="Calibri" w:hAnsi="Arial" w:cs="Arial"/>
          <w:sz w:val="22"/>
        </w:rPr>
        <w:t>no s</w:t>
      </w:r>
      <w:r w:rsidR="00E54407" w:rsidRPr="00BA7067">
        <w:rPr>
          <w:rFonts w:ascii="Arial" w:eastAsia="Calibri" w:hAnsi="Arial" w:cs="Arial"/>
          <w:sz w:val="22"/>
        </w:rPr>
        <w:t>upone</w:t>
      </w:r>
      <w:r w:rsidR="00B91195" w:rsidRPr="00BA7067">
        <w:rPr>
          <w:rFonts w:ascii="Arial" w:eastAsia="Calibri" w:hAnsi="Arial" w:cs="Arial"/>
          <w:sz w:val="22"/>
        </w:rPr>
        <w:t>n</w:t>
      </w:r>
      <w:r w:rsidRPr="00BA7067">
        <w:rPr>
          <w:rFonts w:ascii="Arial" w:eastAsia="Calibri" w:hAnsi="Arial" w:cs="Arial"/>
          <w:sz w:val="22"/>
        </w:rPr>
        <w:t xml:space="preserve"> dar origen a nuevos convenios interadministrativos, que es l</w:t>
      </w:r>
      <w:r w:rsidR="00E54407" w:rsidRPr="00BA7067">
        <w:rPr>
          <w:rFonts w:ascii="Arial" w:eastAsia="Calibri" w:hAnsi="Arial" w:cs="Arial"/>
          <w:sz w:val="22"/>
        </w:rPr>
        <w:t>a</w:t>
      </w:r>
      <w:r w:rsidRPr="00BA7067">
        <w:rPr>
          <w:rFonts w:ascii="Arial" w:eastAsia="Calibri" w:hAnsi="Arial" w:cs="Arial"/>
          <w:sz w:val="22"/>
        </w:rPr>
        <w:t xml:space="preserve"> </w:t>
      </w:r>
      <w:r w:rsidR="002A5D20" w:rsidRPr="00BA7067">
        <w:rPr>
          <w:rFonts w:ascii="Arial" w:eastAsia="Calibri" w:hAnsi="Arial" w:cs="Arial"/>
          <w:sz w:val="22"/>
        </w:rPr>
        <w:t>actuación</w:t>
      </w:r>
      <w:r w:rsidRPr="00BA7067">
        <w:rPr>
          <w:rFonts w:ascii="Arial" w:eastAsia="Calibri" w:hAnsi="Arial" w:cs="Arial"/>
          <w:sz w:val="22"/>
        </w:rPr>
        <w:t xml:space="preserve"> </w:t>
      </w:r>
      <w:r w:rsidR="002A5D20" w:rsidRPr="00BA7067">
        <w:rPr>
          <w:rFonts w:ascii="Arial" w:eastAsia="Calibri" w:hAnsi="Arial" w:cs="Arial"/>
          <w:sz w:val="22"/>
        </w:rPr>
        <w:t>prohibida</w:t>
      </w:r>
      <w:r w:rsidRPr="00BA7067">
        <w:rPr>
          <w:rFonts w:ascii="Arial" w:eastAsia="Calibri" w:hAnsi="Arial" w:cs="Arial"/>
          <w:sz w:val="22"/>
        </w:rPr>
        <w:t xml:space="preserve"> por </w:t>
      </w:r>
      <w:r w:rsidR="002A5D20" w:rsidRPr="00BA7067">
        <w:rPr>
          <w:rFonts w:ascii="Arial" w:eastAsia="Calibri" w:hAnsi="Arial" w:cs="Arial"/>
          <w:sz w:val="22"/>
        </w:rPr>
        <w:t>el inciso primero del parágrafo del artículo 38</w:t>
      </w:r>
      <w:r w:rsidRPr="00BA7067">
        <w:rPr>
          <w:rFonts w:ascii="Arial" w:eastAsia="Calibri" w:hAnsi="Arial" w:cs="Arial"/>
          <w:sz w:val="22"/>
        </w:rPr>
        <w:t xml:space="preserve">. </w:t>
      </w:r>
      <w:r w:rsidR="00CC6803" w:rsidRPr="00BA7067">
        <w:rPr>
          <w:rFonts w:ascii="Arial" w:eastAsia="Calibri" w:hAnsi="Arial" w:cs="Arial"/>
          <w:sz w:val="22"/>
        </w:rPr>
        <w:t>Conforme a lo considerado, a</w:t>
      </w:r>
      <w:r w:rsidR="006C5C42" w:rsidRPr="00BA7067">
        <w:rPr>
          <w:rFonts w:ascii="Arial" w:eastAsia="Calibri" w:hAnsi="Arial" w:cs="Arial"/>
          <w:sz w:val="22"/>
        </w:rPr>
        <w:t xml:space="preserve">l celebrarse transacciones entre entidades </w:t>
      </w:r>
      <w:r w:rsidR="002351BB" w:rsidRPr="00BA7067">
        <w:rPr>
          <w:rFonts w:ascii="Arial" w:eastAsia="Calibri" w:hAnsi="Arial" w:cs="Arial"/>
          <w:sz w:val="22"/>
        </w:rPr>
        <w:t>estatales</w:t>
      </w:r>
      <w:r w:rsidR="00D136EC" w:rsidRPr="00BA7067">
        <w:rPr>
          <w:rFonts w:ascii="Arial" w:eastAsia="Calibri" w:hAnsi="Arial" w:cs="Arial"/>
          <w:sz w:val="22"/>
        </w:rPr>
        <w:t>,</w:t>
      </w:r>
      <w:r w:rsidR="002351BB" w:rsidRPr="00BA7067">
        <w:rPr>
          <w:rFonts w:ascii="Arial" w:eastAsia="Calibri" w:hAnsi="Arial" w:cs="Arial"/>
          <w:sz w:val="22"/>
        </w:rPr>
        <w:t xml:space="preserve"> tendientes a </w:t>
      </w:r>
      <w:r w:rsidR="00F64E4C" w:rsidRPr="00BA7067">
        <w:rPr>
          <w:rFonts w:ascii="Arial" w:eastAsia="Calibri" w:hAnsi="Arial" w:cs="Arial"/>
          <w:sz w:val="22"/>
        </w:rPr>
        <w:t>precaver litigios relativos a contratos interadministrativos</w:t>
      </w:r>
      <w:r w:rsidR="00D136EC" w:rsidRPr="00BA7067">
        <w:rPr>
          <w:rFonts w:ascii="Arial" w:eastAsia="Calibri" w:hAnsi="Arial" w:cs="Arial"/>
          <w:sz w:val="22"/>
        </w:rPr>
        <w:t xml:space="preserve">, </w:t>
      </w:r>
      <w:r w:rsidR="00CA1A01" w:rsidRPr="00BA7067">
        <w:rPr>
          <w:rFonts w:ascii="Arial" w:eastAsia="Calibri" w:hAnsi="Arial" w:cs="Arial"/>
          <w:sz w:val="22"/>
        </w:rPr>
        <w:t>no se incurre en el supuesto pr</w:t>
      </w:r>
      <w:r w:rsidR="00815FF0" w:rsidRPr="00BA7067">
        <w:rPr>
          <w:rFonts w:ascii="Arial" w:eastAsia="Calibri" w:hAnsi="Arial" w:cs="Arial"/>
          <w:sz w:val="22"/>
        </w:rPr>
        <w:t>ohibido</w:t>
      </w:r>
      <w:r w:rsidR="00CA1A01" w:rsidRPr="00BA7067">
        <w:rPr>
          <w:rFonts w:ascii="Arial" w:eastAsia="Calibri" w:hAnsi="Arial" w:cs="Arial"/>
          <w:sz w:val="22"/>
        </w:rPr>
        <w:t xml:space="preserve"> por </w:t>
      </w:r>
      <w:r w:rsidR="00AC5C3A" w:rsidRPr="00BA7067">
        <w:rPr>
          <w:rFonts w:ascii="Arial" w:eastAsia="Calibri" w:hAnsi="Arial" w:cs="Arial"/>
          <w:sz w:val="22"/>
        </w:rPr>
        <w:t>esta última</w:t>
      </w:r>
      <w:r w:rsidR="00CA1A01" w:rsidRPr="00BA7067">
        <w:rPr>
          <w:rFonts w:ascii="Arial" w:eastAsia="Calibri" w:hAnsi="Arial" w:cs="Arial"/>
          <w:sz w:val="22"/>
        </w:rPr>
        <w:t xml:space="preserve"> norma, en </w:t>
      </w:r>
      <w:r w:rsidR="001864BB" w:rsidRPr="00BA7067">
        <w:rPr>
          <w:rFonts w:ascii="Arial" w:eastAsia="Calibri" w:hAnsi="Arial" w:cs="Arial"/>
          <w:sz w:val="22"/>
        </w:rPr>
        <w:t xml:space="preserve">la </w:t>
      </w:r>
      <w:r w:rsidR="00CA1A01" w:rsidRPr="00BA7067">
        <w:rPr>
          <w:rFonts w:ascii="Arial" w:eastAsia="Calibri" w:hAnsi="Arial" w:cs="Arial"/>
          <w:sz w:val="22"/>
        </w:rPr>
        <w:t>medida en que</w:t>
      </w:r>
      <w:r w:rsidR="001864BB" w:rsidRPr="00BA7067">
        <w:rPr>
          <w:rFonts w:ascii="Arial" w:eastAsia="Calibri" w:hAnsi="Arial" w:cs="Arial"/>
          <w:sz w:val="22"/>
        </w:rPr>
        <w:t xml:space="preserve"> lo que allí tiene lugar no es </w:t>
      </w:r>
      <w:r w:rsidR="00E93530" w:rsidRPr="00BA7067">
        <w:rPr>
          <w:rFonts w:ascii="Arial" w:eastAsia="Calibri" w:hAnsi="Arial" w:cs="Arial"/>
          <w:sz w:val="22"/>
        </w:rPr>
        <w:t xml:space="preserve">la </w:t>
      </w:r>
      <w:r w:rsidR="00AC5C3A" w:rsidRPr="00BA7067">
        <w:rPr>
          <w:rFonts w:ascii="Arial" w:eastAsia="Calibri" w:hAnsi="Arial" w:cs="Arial"/>
          <w:sz w:val="22"/>
        </w:rPr>
        <w:t>suscripción de un nuevo convenio, sino la modificación de las condiciones</w:t>
      </w:r>
      <w:r w:rsidR="0049741E" w:rsidRPr="00BA7067">
        <w:rPr>
          <w:rFonts w:ascii="Arial" w:eastAsia="Calibri" w:hAnsi="Arial" w:cs="Arial"/>
          <w:sz w:val="22"/>
        </w:rPr>
        <w:t xml:space="preserve"> de</w:t>
      </w:r>
      <w:r w:rsidR="00141B24" w:rsidRPr="00BA7067">
        <w:rPr>
          <w:rFonts w:ascii="Arial" w:eastAsia="Calibri" w:hAnsi="Arial" w:cs="Arial"/>
          <w:sz w:val="22"/>
        </w:rPr>
        <w:t xml:space="preserve"> uno</w:t>
      </w:r>
      <w:r w:rsidR="0049741E" w:rsidRPr="00BA7067">
        <w:rPr>
          <w:rFonts w:ascii="Arial" w:eastAsia="Calibri" w:hAnsi="Arial" w:cs="Arial"/>
          <w:sz w:val="22"/>
        </w:rPr>
        <w:t xml:space="preserve"> </w:t>
      </w:r>
      <w:r w:rsidR="00141B24" w:rsidRPr="00BA7067">
        <w:rPr>
          <w:rFonts w:ascii="Arial" w:eastAsia="Calibri" w:hAnsi="Arial" w:cs="Arial"/>
          <w:sz w:val="22"/>
        </w:rPr>
        <w:t>pre</w:t>
      </w:r>
      <w:r w:rsidR="00E37D2F" w:rsidRPr="00BA7067">
        <w:rPr>
          <w:rFonts w:ascii="Arial" w:eastAsia="Calibri" w:hAnsi="Arial" w:cs="Arial"/>
          <w:sz w:val="22"/>
        </w:rPr>
        <w:t>e</w:t>
      </w:r>
      <w:r w:rsidR="00141B24" w:rsidRPr="00BA7067">
        <w:rPr>
          <w:rFonts w:ascii="Arial" w:eastAsia="Calibri" w:hAnsi="Arial" w:cs="Arial"/>
          <w:sz w:val="22"/>
        </w:rPr>
        <w:t>xistente, mediante</w:t>
      </w:r>
      <w:r w:rsidR="007E1279" w:rsidRPr="00BA7067">
        <w:rPr>
          <w:rFonts w:ascii="Arial" w:eastAsia="Calibri" w:hAnsi="Arial" w:cs="Arial"/>
          <w:sz w:val="22"/>
        </w:rPr>
        <w:t xml:space="preserve"> un mecanismo alternativo de soluci</w:t>
      </w:r>
      <w:r w:rsidR="00FB312E" w:rsidRPr="00BA7067">
        <w:rPr>
          <w:rFonts w:ascii="Arial" w:eastAsia="Calibri" w:hAnsi="Arial" w:cs="Arial"/>
          <w:sz w:val="22"/>
        </w:rPr>
        <w:t xml:space="preserve">ón de conflictos de carácter autocompositivo, </w:t>
      </w:r>
      <w:r w:rsidR="00E93530" w:rsidRPr="00BA7067">
        <w:rPr>
          <w:rFonts w:ascii="Arial" w:eastAsia="Calibri" w:hAnsi="Arial" w:cs="Arial"/>
          <w:sz w:val="22"/>
        </w:rPr>
        <w:t>cuy</w:t>
      </w:r>
      <w:r w:rsidR="00267281" w:rsidRPr="00BA7067">
        <w:rPr>
          <w:rFonts w:ascii="Arial" w:eastAsia="Calibri" w:hAnsi="Arial" w:cs="Arial"/>
          <w:sz w:val="22"/>
        </w:rPr>
        <w:t>a suscripción no se encuentra proscrita</w:t>
      </w:r>
      <w:r w:rsidR="00531396" w:rsidRPr="00BA7067">
        <w:rPr>
          <w:rFonts w:ascii="Arial" w:eastAsia="Calibri" w:hAnsi="Arial" w:cs="Arial"/>
          <w:sz w:val="22"/>
        </w:rPr>
        <w:t xml:space="preserve">. </w:t>
      </w:r>
      <w:r w:rsidR="00F660EB" w:rsidRPr="00BA7067">
        <w:rPr>
          <w:rFonts w:ascii="Arial" w:eastAsia="Calibri" w:hAnsi="Arial" w:cs="Arial"/>
          <w:sz w:val="22"/>
        </w:rPr>
        <w:t xml:space="preserve">Conforme a esto, </w:t>
      </w:r>
      <w:r w:rsidR="00C91598" w:rsidRPr="00BA7067">
        <w:rPr>
          <w:rFonts w:ascii="Arial" w:eastAsia="Calibri" w:hAnsi="Arial" w:cs="Arial"/>
          <w:sz w:val="22"/>
        </w:rPr>
        <w:t>así como en</w:t>
      </w:r>
      <w:r w:rsidR="00F660EB" w:rsidRPr="00BA7067">
        <w:rPr>
          <w:rFonts w:ascii="Arial" w:eastAsia="Calibri" w:hAnsi="Arial" w:cs="Arial"/>
          <w:sz w:val="22"/>
        </w:rPr>
        <w:t xml:space="preserve"> las mencionadas circulares </w:t>
      </w:r>
      <w:r w:rsidR="00C91598" w:rsidRPr="00BA7067">
        <w:rPr>
          <w:rFonts w:ascii="Arial" w:eastAsia="Calibri" w:hAnsi="Arial" w:cs="Arial"/>
          <w:sz w:val="22"/>
        </w:rPr>
        <w:t>se considera</w:t>
      </w:r>
      <w:r w:rsidR="003B7921" w:rsidRPr="00BA7067">
        <w:rPr>
          <w:rFonts w:ascii="Arial" w:eastAsia="Calibri" w:hAnsi="Arial" w:cs="Arial"/>
          <w:sz w:val="22"/>
        </w:rPr>
        <w:t xml:space="preserve"> </w:t>
      </w:r>
      <w:r w:rsidR="00C91598" w:rsidRPr="00BA7067">
        <w:rPr>
          <w:rFonts w:ascii="Arial" w:eastAsia="Calibri" w:hAnsi="Arial" w:cs="Arial"/>
          <w:sz w:val="22"/>
        </w:rPr>
        <w:t xml:space="preserve">valida </w:t>
      </w:r>
      <w:r w:rsidR="003B7921" w:rsidRPr="00BA7067">
        <w:rPr>
          <w:rFonts w:ascii="Arial" w:eastAsia="Calibri" w:hAnsi="Arial" w:cs="Arial"/>
          <w:sz w:val="22"/>
        </w:rPr>
        <w:t xml:space="preserve">la celebración de </w:t>
      </w:r>
      <w:r w:rsidR="00EB19F3" w:rsidRPr="00BA7067">
        <w:rPr>
          <w:rFonts w:ascii="Arial" w:eastAsia="Calibri" w:hAnsi="Arial" w:cs="Arial"/>
          <w:sz w:val="22"/>
        </w:rPr>
        <w:t>prórrogas</w:t>
      </w:r>
      <w:r w:rsidR="003B7921" w:rsidRPr="00BA7067">
        <w:rPr>
          <w:rFonts w:ascii="Arial" w:eastAsia="Calibri" w:hAnsi="Arial" w:cs="Arial"/>
          <w:sz w:val="22"/>
        </w:rPr>
        <w:t>, adiciones</w:t>
      </w:r>
      <w:r w:rsidR="00CC6803" w:rsidRPr="00BA7067">
        <w:rPr>
          <w:rFonts w:ascii="Arial" w:eastAsia="Calibri" w:hAnsi="Arial" w:cs="Arial"/>
          <w:sz w:val="22"/>
        </w:rPr>
        <w:t xml:space="preserve"> o</w:t>
      </w:r>
      <w:r w:rsidR="003B7921" w:rsidRPr="00BA7067">
        <w:rPr>
          <w:rFonts w:ascii="Arial" w:eastAsia="Calibri" w:hAnsi="Arial" w:cs="Arial"/>
          <w:sz w:val="22"/>
        </w:rPr>
        <w:t xml:space="preserve"> </w:t>
      </w:r>
      <w:r w:rsidR="00CC6803" w:rsidRPr="00BA7067">
        <w:rPr>
          <w:rFonts w:ascii="Arial" w:eastAsia="Calibri" w:hAnsi="Arial" w:cs="Arial"/>
          <w:sz w:val="22"/>
        </w:rPr>
        <w:t>modificaciones</w:t>
      </w:r>
      <w:r w:rsidR="003B7921" w:rsidRPr="00BA7067">
        <w:rPr>
          <w:rFonts w:ascii="Arial" w:eastAsia="Calibri" w:hAnsi="Arial" w:cs="Arial"/>
          <w:sz w:val="22"/>
        </w:rPr>
        <w:t xml:space="preserve"> de convenios interadministrativos,</w:t>
      </w:r>
      <w:r w:rsidR="00C91598" w:rsidRPr="00BA7067">
        <w:rPr>
          <w:rFonts w:ascii="Arial" w:eastAsia="Calibri" w:hAnsi="Arial" w:cs="Arial"/>
          <w:sz w:val="22"/>
        </w:rPr>
        <w:t xml:space="preserve"> en vigencia de la Ley de Garantías,</w:t>
      </w:r>
      <w:r w:rsidR="003B7921" w:rsidRPr="00BA7067">
        <w:rPr>
          <w:rFonts w:ascii="Arial" w:eastAsia="Calibri" w:hAnsi="Arial" w:cs="Arial"/>
          <w:sz w:val="22"/>
        </w:rPr>
        <w:t xml:space="preserve"> </w:t>
      </w:r>
      <w:r w:rsidR="00D53D9B" w:rsidRPr="00BA7067">
        <w:rPr>
          <w:rFonts w:ascii="Arial" w:eastAsia="Calibri" w:hAnsi="Arial" w:cs="Arial"/>
          <w:sz w:val="22"/>
        </w:rPr>
        <w:t xml:space="preserve">se </w:t>
      </w:r>
      <w:r w:rsidR="003B7921" w:rsidRPr="00BA7067">
        <w:rPr>
          <w:rFonts w:ascii="Arial" w:eastAsia="Calibri" w:hAnsi="Arial" w:cs="Arial"/>
          <w:sz w:val="22"/>
        </w:rPr>
        <w:t>estima</w:t>
      </w:r>
      <w:r w:rsidR="00D53D9B" w:rsidRPr="00BA7067">
        <w:rPr>
          <w:rFonts w:ascii="Arial" w:eastAsia="Calibri" w:hAnsi="Arial" w:cs="Arial"/>
          <w:sz w:val="22"/>
        </w:rPr>
        <w:t xml:space="preserve"> viable suscribir transacciones sobre dicho tipo de contratos en periodos pre</w:t>
      </w:r>
      <w:r w:rsidR="005C6686" w:rsidRPr="00BA7067">
        <w:rPr>
          <w:rFonts w:ascii="Arial" w:eastAsia="Calibri" w:hAnsi="Arial" w:cs="Arial"/>
          <w:sz w:val="22"/>
        </w:rPr>
        <w:t xml:space="preserve">electorales, sin que con ello se vulnere la restricción del inciso primero del parágrafo del artículo 38.  </w:t>
      </w:r>
      <w:r w:rsidR="00D53D9B" w:rsidRPr="00BA7067">
        <w:rPr>
          <w:rFonts w:ascii="Arial" w:eastAsia="Calibri" w:hAnsi="Arial" w:cs="Arial"/>
          <w:sz w:val="22"/>
        </w:rPr>
        <w:t xml:space="preserve"> </w:t>
      </w:r>
      <w:r w:rsidR="00531396" w:rsidRPr="00BA7067">
        <w:rPr>
          <w:rFonts w:ascii="Arial" w:eastAsia="Calibri" w:hAnsi="Arial" w:cs="Arial"/>
          <w:sz w:val="22"/>
        </w:rPr>
        <w:t xml:space="preserve"> </w:t>
      </w:r>
    </w:p>
    <w:p w14:paraId="35E168A1" w14:textId="77777777" w:rsidR="00231D0C" w:rsidRPr="00BA7067" w:rsidRDefault="00231D0C" w:rsidP="005B4859">
      <w:pPr>
        <w:pStyle w:val="Textoindependiente"/>
        <w:tabs>
          <w:tab w:val="left" w:pos="8505"/>
        </w:tabs>
        <w:ind w:right="49" w:firstLine="708"/>
        <w:jc w:val="both"/>
        <w:rPr>
          <w:rFonts w:eastAsiaTheme="minorHAnsi"/>
          <w:u w:val="single"/>
          <w:lang w:val="es-MX"/>
        </w:rPr>
      </w:pPr>
    </w:p>
    <w:p w14:paraId="7A489D82" w14:textId="77777777" w:rsidR="00A44717" w:rsidRPr="00BA7067" w:rsidRDefault="00A44717">
      <w:pPr>
        <w:spacing w:line="276" w:lineRule="auto"/>
        <w:jc w:val="both"/>
        <w:rPr>
          <w:rFonts w:ascii="Arial" w:eastAsia="Calibri" w:hAnsi="Arial" w:cs="Arial"/>
          <w:sz w:val="22"/>
        </w:rPr>
      </w:pPr>
      <w:r w:rsidRPr="00BA7067">
        <w:rPr>
          <w:rFonts w:ascii="Arial" w:eastAsia="Calibri" w:hAnsi="Arial" w:cs="Arial"/>
          <w:sz w:val="22"/>
        </w:rPr>
        <w:t>Este concepto tiene el alcance previsto en el artículo 28 del Código de Procedimiento Administrativo y de lo Contencioso Administrativo.</w:t>
      </w:r>
    </w:p>
    <w:p w14:paraId="6424C936" w14:textId="2DEEFA4E" w:rsidR="00AE5EFD" w:rsidRPr="00BA7067" w:rsidRDefault="00AE5EFD" w:rsidP="00AE5EFD">
      <w:pPr>
        <w:jc w:val="both"/>
        <w:rPr>
          <w:rFonts w:ascii="Arial" w:eastAsia="Times New Roman" w:hAnsi="Arial" w:cs="Arial"/>
          <w:bCs/>
          <w:lang w:eastAsia="es-ES_tradnl"/>
        </w:rPr>
      </w:pPr>
    </w:p>
    <w:p w14:paraId="2B02915D" w14:textId="1FFD8474" w:rsidR="00BE1E33" w:rsidRPr="00BA7067" w:rsidRDefault="00BE1E33" w:rsidP="001F7C1D">
      <w:pPr>
        <w:pStyle w:val="Textoindependiente"/>
        <w:spacing w:line="276" w:lineRule="auto"/>
        <w:ind w:right="107"/>
        <w:jc w:val="both"/>
        <w:rPr>
          <w:rFonts w:eastAsia="Times New Roman"/>
          <w:lang w:val="es-ES_tradnl" w:eastAsia="es-CO"/>
        </w:rPr>
      </w:pPr>
      <w:r w:rsidRPr="00BA7067">
        <w:rPr>
          <w:rFonts w:eastAsia="Times New Roman"/>
          <w:lang w:eastAsia="es-CO"/>
        </w:rPr>
        <w:t>Atentamente,</w:t>
      </w:r>
    </w:p>
    <w:bookmarkEnd w:id="1"/>
    <w:bookmarkEnd w:id="2"/>
    <w:p w14:paraId="3CF7446F" w14:textId="096C48CE" w:rsidR="0020367F" w:rsidRPr="00BA7067" w:rsidRDefault="0020367F" w:rsidP="673CEEA7">
      <w:pPr>
        <w:spacing w:line="276" w:lineRule="auto"/>
        <w:jc w:val="center"/>
        <w:rPr>
          <w:rFonts w:ascii="Arial" w:hAnsi="Arial" w:cs="Arial"/>
          <w:noProof/>
          <w:lang w:val="es-CO" w:eastAsia="es-CO"/>
        </w:rPr>
      </w:pPr>
    </w:p>
    <w:p w14:paraId="1A31BF69" w14:textId="1AED8F1C" w:rsidR="0020367F" w:rsidRPr="00BA7067" w:rsidRDefault="00E92600" w:rsidP="673CEEA7">
      <w:pPr>
        <w:spacing w:line="276" w:lineRule="auto"/>
        <w:jc w:val="center"/>
        <w:rPr>
          <w:rFonts w:ascii="Arial" w:hAnsi="Arial" w:cs="Arial"/>
          <w:noProof/>
          <w:lang w:val="es-CO" w:eastAsia="es-CO"/>
        </w:rPr>
      </w:pPr>
      <w:r>
        <w:rPr>
          <w:rFonts w:ascii="Arial" w:hAnsi="Arial" w:cs="Arial"/>
          <w:noProof/>
          <w:color w:val="1A1A1A" w:themeColor="background1" w:themeShade="1A"/>
          <w:sz w:val="22"/>
          <w:lang w:val="es-ES_tradnl"/>
        </w:rPr>
        <w:drawing>
          <wp:inline distT="0" distB="0" distL="0" distR="0" wp14:anchorId="2697EF34" wp14:editId="3681B0BD">
            <wp:extent cx="2040834" cy="903371"/>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026" cy="910538"/>
                    </a:xfrm>
                    <a:prstGeom prst="rect">
                      <a:avLst/>
                    </a:prstGeom>
                    <a:noFill/>
                    <a:ln>
                      <a:noFill/>
                    </a:ln>
                  </pic:spPr>
                </pic:pic>
              </a:graphicData>
            </a:graphic>
          </wp:inline>
        </w:drawing>
      </w:r>
    </w:p>
    <w:p w14:paraId="5598544B" w14:textId="3F775609" w:rsidR="006D31E1" w:rsidRPr="00BA7067" w:rsidRDefault="006D31E1" w:rsidP="00FE15E4">
      <w:pPr>
        <w:jc w:val="center"/>
      </w:pPr>
    </w:p>
    <w:tbl>
      <w:tblPr>
        <w:tblStyle w:val="Tablaconcuadrcula1"/>
        <w:tblpPr w:leftFromText="141" w:rightFromText="141" w:vertAnchor="text" w:horzAnchor="margin" w:tblpY="10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4835F6" w:rsidRPr="00BA7067" w14:paraId="07D18F15" w14:textId="77777777" w:rsidTr="00D03C35">
        <w:trPr>
          <w:trHeight w:val="286"/>
        </w:trPr>
        <w:tc>
          <w:tcPr>
            <w:tcW w:w="817" w:type="dxa"/>
            <w:vAlign w:val="center"/>
          </w:tcPr>
          <w:p w14:paraId="6DF8EFB8" w14:textId="77777777" w:rsidR="00283B57" w:rsidRPr="00BA7067" w:rsidRDefault="00283B57" w:rsidP="00D03C35">
            <w:pPr>
              <w:rPr>
                <w:rFonts w:ascii="Arial" w:hAnsi="Arial" w:cs="Arial"/>
                <w:sz w:val="16"/>
                <w:szCs w:val="16"/>
                <w:lang w:eastAsia="es-ES"/>
              </w:rPr>
            </w:pPr>
            <w:r w:rsidRPr="00BA7067">
              <w:rPr>
                <w:rFonts w:ascii="Arial" w:hAnsi="Arial" w:cs="Arial"/>
                <w:sz w:val="16"/>
                <w:szCs w:val="16"/>
                <w:lang w:eastAsia="es-ES"/>
              </w:rPr>
              <w:t>Elaboró:</w:t>
            </w:r>
          </w:p>
        </w:tc>
        <w:tc>
          <w:tcPr>
            <w:tcW w:w="4445" w:type="dxa"/>
            <w:tcBorders>
              <w:bottom w:val="dotted" w:sz="4" w:space="0" w:color="7F7F7F"/>
            </w:tcBorders>
            <w:vAlign w:val="center"/>
          </w:tcPr>
          <w:p w14:paraId="547AE28F" w14:textId="77777777" w:rsidR="00695C30" w:rsidRPr="00BA7067" w:rsidRDefault="00695C30" w:rsidP="00D03C35">
            <w:pPr>
              <w:spacing w:before="0"/>
              <w:jc w:val="left"/>
              <w:rPr>
                <w:rFonts w:ascii="Arial" w:eastAsia="Times New Roman" w:hAnsi="Arial" w:cs="Arial"/>
                <w:sz w:val="16"/>
                <w:szCs w:val="16"/>
                <w:lang w:val="es-CO" w:eastAsia="es-ES"/>
              </w:rPr>
            </w:pPr>
            <w:r w:rsidRPr="00BA7067">
              <w:rPr>
                <w:rFonts w:ascii="Arial" w:eastAsia="Times New Roman" w:hAnsi="Arial" w:cs="Arial"/>
                <w:sz w:val="16"/>
                <w:szCs w:val="16"/>
                <w:lang w:val="es-CO" w:eastAsia="es-ES"/>
              </w:rPr>
              <w:t>Alejandro Sarmiento Cantillo</w:t>
            </w:r>
          </w:p>
          <w:p w14:paraId="6DF269CB" w14:textId="0952579A" w:rsidR="00283B57" w:rsidRPr="00BA7067" w:rsidRDefault="00695C30" w:rsidP="00D03C35">
            <w:pPr>
              <w:spacing w:before="0"/>
              <w:jc w:val="left"/>
              <w:rPr>
                <w:rFonts w:ascii="Arial" w:eastAsia="Times New Roman" w:hAnsi="Arial" w:cs="Arial"/>
                <w:sz w:val="16"/>
                <w:szCs w:val="16"/>
                <w:lang w:val="es-CO" w:eastAsia="es-ES"/>
              </w:rPr>
            </w:pPr>
            <w:r w:rsidRPr="00BA7067">
              <w:rPr>
                <w:rFonts w:ascii="Arial" w:eastAsia="Times New Roman" w:hAnsi="Arial" w:cs="Arial"/>
                <w:sz w:val="16"/>
                <w:szCs w:val="16"/>
                <w:lang w:val="es-CO" w:eastAsia="es-ES"/>
              </w:rPr>
              <w:t>Gestor T1-15 de la Subdirección de Gestión Contractual</w:t>
            </w:r>
          </w:p>
        </w:tc>
      </w:tr>
      <w:tr w:rsidR="004835F6" w:rsidRPr="00BA7067" w14:paraId="05B8E051" w14:textId="77777777" w:rsidTr="00D03C35">
        <w:trPr>
          <w:trHeight w:val="299"/>
        </w:trPr>
        <w:tc>
          <w:tcPr>
            <w:tcW w:w="817" w:type="dxa"/>
            <w:vAlign w:val="center"/>
          </w:tcPr>
          <w:p w14:paraId="0D6AC643" w14:textId="77777777" w:rsidR="00283B57" w:rsidRPr="00BA7067" w:rsidRDefault="00283B57" w:rsidP="00D03C35">
            <w:pPr>
              <w:rPr>
                <w:rFonts w:ascii="Arial" w:hAnsi="Arial" w:cs="Arial"/>
                <w:sz w:val="16"/>
                <w:szCs w:val="16"/>
                <w:lang w:eastAsia="es-ES"/>
              </w:rPr>
            </w:pPr>
            <w:r w:rsidRPr="00BA7067">
              <w:rPr>
                <w:rFonts w:ascii="Arial" w:hAnsi="Arial" w:cs="Arial"/>
                <w:sz w:val="16"/>
                <w:szCs w:val="16"/>
                <w:lang w:eastAsia="es-ES"/>
              </w:rPr>
              <w:t>Revisó:</w:t>
            </w:r>
          </w:p>
        </w:tc>
        <w:tc>
          <w:tcPr>
            <w:tcW w:w="4445" w:type="dxa"/>
            <w:tcBorders>
              <w:top w:val="dotted" w:sz="4" w:space="0" w:color="7F7F7F"/>
              <w:bottom w:val="dotted" w:sz="4" w:space="0" w:color="7F7F7F"/>
            </w:tcBorders>
            <w:vAlign w:val="center"/>
          </w:tcPr>
          <w:p w14:paraId="467E75C5" w14:textId="301A7F9D" w:rsidR="00017B23" w:rsidRPr="00BA7067" w:rsidRDefault="00695C30" w:rsidP="00D03C35">
            <w:pPr>
              <w:spacing w:before="0"/>
              <w:jc w:val="left"/>
              <w:rPr>
                <w:rFonts w:ascii="Arial" w:eastAsia="Times New Roman" w:hAnsi="Arial" w:cs="Arial"/>
                <w:sz w:val="16"/>
                <w:szCs w:val="16"/>
                <w:lang w:val="es-CO" w:eastAsia="es-ES"/>
              </w:rPr>
            </w:pPr>
            <w:r w:rsidRPr="00BA7067">
              <w:rPr>
                <w:rFonts w:ascii="Arial" w:eastAsia="Times New Roman" w:hAnsi="Arial" w:cs="Arial"/>
                <w:sz w:val="16"/>
                <w:szCs w:val="16"/>
                <w:lang w:val="es-CO" w:eastAsia="es-ES"/>
              </w:rPr>
              <w:t>Juan David Montoya Penagos</w:t>
            </w:r>
          </w:p>
          <w:p w14:paraId="6D0F7999" w14:textId="6EEB1E85" w:rsidR="00283B57" w:rsidRPr="00BA7067" w:rsidRDefault="001001D2" w:rsidP="00D03C35">
            <w:pPr>
              <w:spacing w:before="0"/>
              <w:jc w:val="left"/>
              <w:rPr>
                <w:rFonts w:ascii="Arial" w:eastAsia="Times New Roman" w:hAnsi="Arial" w:cs="Arial"/>
                <w:sz w:val="16"/>
                <w:szCs w:val="16"/>
                <w:lang w:val="es-CO" w:eastAsia="es-ES"/>
              </w:rPr>
            </w:pPr>
            <w:r w:rsidRPr="00BA7067">
              <w:rPr>
                <w:rFonts w:ascii="Arial" w:eastAsia="Times New Roman" w:hAnsi="Arial" w:cs="Arial"/>
                <w:sz w:val="16"/>
                <w:szCs w:val="16"/>
                <w:lang w:val="es-CO" w:eastAsia="es-ES"/>
              </w:rPr>
              <w:t xml:space="preserve">Gestor T1-15 </w:t>
            </w:r>
            <w:r w:rsidR="00017B23" w:rsidRPr="00BA7067">
              <w:rPr>
                <w:rFonts w:ascii="Arial" w:eastAsia="Times New Roman" w:hAnsi="Arial" w:cs="Arial"/>
                <w:sz w:val="16"/>
                <w:szCs w:val="16"/>
                <w:lang w:val="es-CO" w:eastAsia="es-ES"/>
              </w:rPr>
              <w:t>de la Subdirección de Gestión Contractual</w:t>
            </w:r>
          </w:p>
        </w:tc>
      </w:tr>
      <w:tr w:rsidR="004835F6" w:rsidRPr="004835F6" w14:paraId="71013105" w14:textId="77777777" w:rsidTr="00D03C35">
        <w:trPr>
          <w:trHeight w:val="272"/>
        </w:trPr>
        <w:tc>
          <w:tcPr>
            <w:tcW w:w="817" w:type="dxa"/>
            <w:vAlign w:val="center"/>
          </w:tcPr>
          <w:p w14:paraId="20822F1C" w14:textId="77777777" w:rsidR="00283B57" w:rsidRPr="00BA7067" w:rsidRDefault="00283B57" w:rsidP="00D03C35">
            <w:pPr>
              <w:rPr>
                <w:rFonts w:ascii="Arial" w:hAnsi="Arial" w:cs="Arial"/>
                <w:sz w:val="16"/>
                <w:szCs w:val="16"/>
                <w:lang w:eastAsia="es-ES"/>
              </w:rPr>
            </w:pPr>
            <w:r w:rsidRPr="00BA7067">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3D561B0A" w14:textId="77777777" w:rsidR="00283B57" w:rsidRPr="00BA7067" w:rsidRDefault="00283B57" w:rsidP="00D03C35">
            <w:pPr>
              <w:spacing w:before="0"/>
              <w:jc w:val="left"/>
              <w:rPr>
                <w:rFonts w:ascii="Arial" w:eastAsia="Times New Roman" w:hAnsi="Arial" w:cs="Arial"/>
                <w:sz w:val="16"/>
                <w:szCs w:val="16"/>
                <w:lang w:val="es-CO" w:eastAsia="es-ES"/>
              </w:rPr>
            </w:pPr>
            <w:r w:rsidRPr="00BA7067">
              <w:rPr>
                <w:rFonts w:ascii="Arial" w:eastAsia="Times New Roman" w:hAnsi="Arial" w:cs="Arial"/>
                <w:sz w:val="16"/>
                <w:szCs w:val="16"/>
                <w:lang w:val="es-CO" w:eastAsia="es-ES"/>
              </w:rPr>
              <w:t>Jorge Augusto Tirado Navarro</w:t>
            </w:r>
          </w:p>
          <w:p w14:paraId="2B582E9E" w14:textId="77777777" w:rsidR="00283B57" w:rsidRPr="004835F6" w:rsidRDefault="00283B57" w:rsidP="00D03C35">
            <w:pPr>
              <w:spacing w:before="0"/>
              <w:jc w:val="left"/>
              <w:rPr>
                <w:rFonts w:ascii="Arial" w:eastAsia="Times New Roman" w:hAnsi="Arial" w:cs="Arial"/>
                <w:sz w:val="16"/>
                <w:szCs w:val="16"/>
                <w:lang w:val="es-CO" w:eastAsia="es-ES"/>
              </w:rPr>
            </w:pPr>
            <w:r w:rsidRPr="00BA7067">
              <w:rPr>
                <w:rFonts w:ascii="Arial" w:eastAsia="Times New Roman" w:hAnsi="Arial" w:cs="Arial"/>
                <w:sz w:val="16"/>
                <w:szCs w:val="16"/>
                <w:lang w:val="es-CO" w:eastAsia="es-ES"/>
              </w:rPr>
              <w:t>Subdirector de Gestión Contractual ANCP – CCE</w:t>
            </w:r>
          </w:p>
        </w:tc>
      </w:tr>
    </w:tbl>
    <w:p w14:paraId="085A31AB" w14:textId="5A2FF330" w:rsidR="006C5955" w:rsidRPr="004835F6" w:rsidRDefault="006C5955" w:rsidP="00A277FB">
      <w:pPr>
        <w:rPr>
          <w:rFonts w:ascii="Arial" w:eastAsia="Times New Roman" w:hAnsi="Arial" w:cs="Arial"/>
          <w:sz w:val="16"/>
          <w:szCs w:val="16"/>
          <w:lang w:val="es-CO" w:eastAsia="es-ES"/>
        </w:rPr>
      </w:pPr>
    </w:p>
    <w:p w14:paraId="04004B05" w14:textId="77777777" w:rsidR="00D03C35" w:rsidRPr="004835F6" w:rsidRDefault="00D03C35" w:rsidP="00A277FB">
      <w:pPr>
        <w:rPr>
          <w:rFonts w:ascii="Arial" w:eastAsia="Times New Roman" w:hAnsi="Arial" w:cs="Arial"/>
          <w:sz w:val="16"/>
          <w:szCs w:val="16"/>
          <w:lang w:val="es-CO" w:eastAsia="es-ES"/>
        </w:rPr>
      </w:pPr>
    </w:p>
    <w:p w14:paraId="3E815A99" w14:textId="77777777" w:rsidR="00D03C35" w:rsidRPr="004835F6" w:rsidRDefault="00D03C35" w:rsidP="00A277FB">
      <w:pPr>
        <w:rPr>
          <w:rFonts w:ascii="Arial" w:eastAsia="Times New Roman" w:hAnsi="Arial" w:cs="Arial"/>
          <w:sz w:val="16"/>
          <w:szCs w:val="16"/>
          <w:lang w:val="es-CO" w:eastAsia="es-ES"/>
        </w:rPr>
      </w:pPr>
    </w:p>
    <w:p w14:paraId="18AA8E05" w14:textId="77777777" w:rsidR="00D03C35" w:rsidRPr="004835F6" w:rsidRDefault="00D03C35" w:rsidP="00A277FB">
      <w:pPr>
        <w:rPr>
          <w:rFonts w:ascii="Arial" w:eastAsia="Times New Roman" w:hAnsi="Arial" w:cs="Arial"/>
          <w:sz w:val="16"/>
          <w:szCs w:val="16"/>
          <w:lang w:val="es-CO" w:eastAsia="es-ES"/>
        </w:rPr>
      </w:pPr>
    </w:p>
    <w:p w14:paraId="2B0B09C8" w14:textId="77777777" w:rsidR="00D03C35" w:rsidRPr="004835F6" w:rsidRDefault="00D03C35" w:rsidP="00A277FB">
      <w:pPr>
        <w:rPr>
          <w:rFonts w:ascii="Arial" w:eastAsia="Times New Roman" w:hAnsi="Arial" w:cs="Arial"/>
          <w:sz w:val="16"/>
          <w:szCs w:val="16"/>
          <w:lang w:val="es-CO" w:eastAsia="es-ES"/>
        </w:rPr>
      </w:pPr>
    </w:p>
    <w:p w14:paraId="78D68699" w14:textId="77777777" w:rsidR="00D03C35" w:rsidRPr="004835F6" w:rsidRDefault="00D03C35" w:rsidP="00A277FB">
      <w:pPr>
        <w:rPr>
          <w:rFonts w:ascii="Arial" w:eastAsia="Times New Roman" w:hAnsi="Arial" w:cs="Arial"/>
          <w:sz w:val="16"/>
          <w:szCs w:val="16"/>
          <w:lang w:val="es-CO" w:eastAsia="es-ES"/>
        </w:rPr>
      </w:pPr>
    </w:p>
    <w:p w14:paraId="7C9156C5" w14:textId="51FDBC12" w:rsidR="005E440E" w:rsidRPr="004835F6" w:rsidRDefault="005E440E" w:rsidP="00A277FB">
      <w:pPr>
        <w:rPr>
          <w:rFonts w:ascii="Arial" w:eastAsia="Times New Roman" w:hAnsi="Arial" w:cs="Arial"/>
          <w:sz w:val="16"/>
          <w:szCs w:val="16"/>
          <w:lang w:val="es-CO" w:eastAsia="es-ES"/>
        </w:rPr>
      </w:pPr>
    </w:p>
    <w:p w14:paraId="0E24D948" w14:textId="73D9EFF2" w:rsidR="005E440E" w:rsidRPr="004835F6" w:rsidRDefault="005E440E" w:rsidP="00A277FB">
      <w:pPr>
        <w:rPr>
          <w:rFonts w:ascii="Arial" w:eastAsia="Times New Roman" w:hAnsi="Arial" w:cs="Arial"/>
          <w:sz w:val="16"/>
          <w:szCs w:val="16"/>
          <w:lang w:val="es-CO" w:eastAsia="es-ES"/>
        </w:rPr>
      </w:pPr>
    </w:p>
    <w:p w14:paraId="2277C317" w14:textId="77777777" w:rsidR="005E440E" w:rsidRPr="004835F6" w:rsidRDefault="005E440E" w:rsidP="00A277FB">
      <w:pPr>
        <w:rPr>
          <w:rFonts w:ascii="Arial" w:eastAsia="Times New Roman" w:hAnsi="Arial" w:cs="Arial"/>
          <w:sz w:val="16"/>
          <w:szCs w:val="16"/>
          <w:lang w:val="es-CO" w:eastAsia="es-ES"/>
        </w:rPr>
      </w:pPr>
    </w:p>
    <w:p w14:paraId="67841242" w14:textId="77777777" w:rsidR="005E440E" w:rsidRPr="004835F6" w:rsidRDefault="005E440E" w:rsidP="00A277FB">
      <w:pPr>
        <w:rPr>
          <w:rFonts w:ascii="Arial" w:eastAsia="Times New Roman" w:hAnsi="Arial" w:cs="Arial"/>
          <w:sz w:val="16"/>
          <w:szCs w:val="16"/>
          <w:lang w:val="es-CO" w:eastAsia="es-ES"/>
        </w:rPr>
      </w:pPr>
    </w:p>
    <w:p w14:paraId="0AD7000B" w14:textId="77777777" w:rsidR="005E440E" w:rsidRPr="004835F6" w:rsidRDefault="005E440E" w:rsidP="0025163D">
      <w:pPr>
        <w:spacing w:line="276" w:lineRule="auto"/>
        <w:rPr>
          <w:rFonts w:ascii="Arial" w:hAnsi="Arial" w:cs="Arial"/>
          <w:szCs w:val="24"/>
        </w:rPr>
      </w:pPr>
    </w:p>
    <w:sectPr w:rsidR="005E440E" w:rsidRPr="004835F6"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E2FF" w14:textId="77777777" w:rsidR="00930DFA" w:rsidRDefault="00930DFA" w:rsidP="008C487C">
      <w:r>
        <w:separator/>
      </w:r>
    </w:p>
  </w:endnote>
  <w:endnote w:type="continuationSeparator" w:id="0">
    <w:p w14:paraId="38591AC2" w14:textId="77777777" w:rsidR="00930DFA" w:rsidRDefault="00930DFA"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4330CB" w:rsidRDefault="004330CB" w:rsidP="0043588C">
    <w:pPr>
      <w:pStyle w:val="Sinespaciado"/>
      <w:jc w:val="right"/>
      <w:rPr>
        <w:rFonts w:ascii="Arial" w:hAnsi="Arial" w:cs="Arial"/>
        <w:sz w:val="18"/>
        <w:szCs w:val="18"/>
      </w:rPr>
    </w:pPr>
  </w:p>
  <w:p w14:paraId="709352A1" w14:textId="77777777" w:rsidR="004330CB" w:rsidRDefault="004330CB" w:rsidP="0043588C">
    <w:pPr>
      <w:pStyle w:val="Sinespaciado"/>
      <w:jc w:val="right"/>
      <w:rPr>
        <w:rFonts w:ascii="Arial" w:hAnsi="Arial" w:cs="Arial"/>
        <w:sz w:val="18"/>
        <w:szCs w:val="18"/>
      </w:rPr>
    </w:pPr>
  </w:p>
  <w:p w14:paraId="3D3EB348" w14:textId="52232031" w:rsidR="004330CB" w:rsidRPr="008217B7" w:rsidRDefault="004330CB"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45342">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45342">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29709EEF" w14:textId="77777777" w:rsidR="004330CB" w:rsidRDefault="004330CB" w:rsidP="0043588C">
    <w:pPr>
      <w:pStyle w:val="Piedepgina"/>
      <w:jc w:val="center"/>
      <w:rPr>
        <w:lang w:val="es-ES"/>
      </w:rPr>
    </w:pPr>
    <w:r>
      <w:rPr>
        <w:noProof/>
        <w:lang w:val="es-CO" w:eastAsia="es-CO"/>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4330CB" w:rsidRPr="00E756AC" w:rsidRDefault="004330CB" w:rsidP="0043588C">
    <w:pPr>
      <w:pStyle w:val="Piedepgina"/>
      <w:jc w:val="center"/>
      <w:rPr>
        <w:sz w:val="18"/>
        <w:szCs w:val="18"/>
        <w:lang w:val="es-ES"/>
      </w:rPr>
    </w:pPr>
  </w:p>
  <w:p w14:paraId="428179B1" w14:textId="77777777" w:rsidR="004330CB" w:rsidRPr="00E756AC" w:rsidRDefault="004330CB"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4BA2" w14:textId="77777777" w:rsidR="00930DFA" w:rsidRDefault="00930DFA" w:rsidP="008C487C">
      <w:r>
        <w:separator/>
      </w:r>
    </w:p>
  </w:footnote>
  <w:footnote w:type="continuationSeparator" w:id="0">
    <w:p w14:paraId="1E65F2F1" w14:textId="77777777" w:rsidR="00930DFA" w:rsidRDefault="00930DFA" w:rsidP="008C487C">
      <w:r>
        <w:continuationSeparator/>
      </w:r>
    </w:p>
  </w:footnote>
  <w:footnote w:id="1">
    <w:p w14:paraId="6E6B0F63" w14:textId="77777777" w:rsidR="00DB7FB0" w:rsidRPr="00F25EA6" w:rsidRDefault="00DB7FB0" w:rsidP="00F84B77">
      <w:pPr>
        <w:pStyle w:val="Car1"/>
        <w:spacing w:after="120"/>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C3A304B" w14:textId="77777777" w:rsidR="00DB7FB0" w:rsidRPr="00F25EA6" w:rsidRDefault="00DB7FB0" w:rsidP="0051410F">
      <w:pPr>
        <w:pStyle w:val="Car1"/>
        <w:ind w:firstLine="709"/>
        <w:contextualSpacing/>
        <w:jc w:val="both"/>
        <w:rPr>
          <w:rFonts w:ascii="Arial" w:hAnsi="Arial" w:cs="Arial"/>
          <w:sz w:val="18"/>
          <w:szCs w:val="18"/>
        </w:rPr>
      </w:pPr>
      <w:r w:rsidRPr="00F25EA6">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7F5B734D" w14:textId="77777777" w:rsidR="00DB7FB0" w:rsidRPr="00F25EA6" w:rsidRDefault="00DB7FB0" w:rsidP="00F25EA6">
      <w:pPr>
        <w:pStyle w:val="Textonotapie"/>
        <w:jc w:val="both"/>
        <w:rPr>
          <w:rFonts w:ascii="Arial" w:hAnsi="Arial" w:cs="Arial"/>
          <w:sz w:val="18"/>
          <w:szCs w:val="18"/>
        </w:rPr>
      </w:pPr>
    </w:p>
  </w:footnote>
  <w:footnote w:id="2">
    <w:p w14:paraId="6639A829" w14:textId="34604EE2" w:rsidR="00DB7FB0" w:rsidRPr="00F25EA6" w:rsidRDefault="00DB7FB0" w:rsidP="00F84B77">
      <w:pPr>
        <w:pStyle w:val="Car1"/>
        <w:ind w:firstLine="709"/>
        <w:contextualSpacing/>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Gaceta del Congreso de la República No. 71 del 2005.</w:t>
      </w:r>
    </w:p>
  </w:footnote>
  <w:footnote w:id="3">
    <w:p w14:paraId="4CF51951" w14:textId="77777777" w:rsidR="00DB7FB0" w:rsidRPr="00F25EA6" w:rsidRDefault="00DB7FB0" w:rsidP="00F25EA6">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Corte Constitucional, Sentencia C- 1153 de 2005, </w:t>
      </w:r>
      <w:r w:rsidRPr="00F25EA6">
        <w:rPr>
          <w:rFonts w:ascii="Arial" w:hAnsi="Arial" w:cs="Arial"/>
          <w:sz w:val="18"/>
          <w:szCs w:val="18"/>
        </w:rPr>
        <w:t>M.P. Marco Gerardo Monroy Cabra.</w:t>
      </w:r>
    </w:p>
    <w:p w14:paraId="71D90BE5" w14:textId="77777777" w:rsidR="00DB7FB0" w:rsidRPr="00F25EA6" w:rsidRDefault="00DB7FB0" w:rsidP="00F25EA6">
      <w:pPr>
        <w:pStyle w:val="Textonotapie"/>
        <w:ind w:firstLine="709"/>
        <w:jc w:val="both"/>
        <w:rPr>
          <w:rFonts w:ascii="Arial" w:hAnsi="Arial" w:cs="Arial"/>
          <w:sz w:val="18"/>
          <w:szCs w:val="18"/>
        </w:rPr>
      </w:pPr>
    </w:p>
  </w:footnote>
  <w:footnote w:id="4">
    <w:p w14:paraId="2EAA375E" w14:textId="77777777" w:rsidR="00DB7FB0" w:rsidRPr="00F25EA6" w:rsidRDefault="00DB7FB0" w:rsidP="0051410F">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Corte Constitucional. Sentencias: C-233 de 4 de abril de 2002, expediente: D-3704; C-551 de 9 de julio de 2003, expediente: </w:t>
      </w:r>
      <w:r w:rsidRPr="00F25EA6">
        <w:rPr>
          <w:rFonts w:ascii="Arial" w:hAnsi="Arial" w:cs="Arial"/>
          <w:sz w:val="18"/>
          <w:szCs w:val="18"/>
        </w:rPr>
        <w:t>CRF-001 de 9 de julio de 2003; C-652 de 5 de agosto de 2003, expediente: D-4330; C-353 de 20 de mayo de 2009, expediente: D-7518, C-541 de 30 de junio de 2010, expediente: DD7966; entre otras.</w:t>
      </w:r>
    </w:p>
  </w:footnote>
  <w:footnote w:id="5">
    <w:p w14:paraId="531AEFA2" w14:textId="77777777" w:rsidR="00DB7FB0" w:rsidRPr="00F25EA6" w:rsidRDefault="00DB7FB0" w:rsidP="00F25EA6">
      <w:pPr>
        <w:pStyle w:val="Textonotapie"/>
        <w:ind w:firstLine="708"/>
        <w:jc w:val="both"/>
        <w:rPr>
          <w:rFonts w:ascii="Arial" w:hAnsi="Arial" w:cs="Arial"/>
          <w:sz w:val="18"/>
          <w:szCs w:val="18"/>
          <w:lang w:val="es-CO"/>
        </w:rPr>
      </w:pPr>
    </w:p>
    <w:p w14:paraId="4B67F590" w14:textId="77777777" w:rsidR="00DB7FB0" w:rsidRPr="00F25EA6" w:rsidRDefault="00DB7FB0" w:rsidP="00F25EA6">
      <w:pPr>
        <w:pStyle w:val="Textonotapie"/>
        <w:ind w:firstLine="708"/>
        <w:jc w:val="both"/>
        <w:rPr>
          <w:rFonts w:ascii="Arial" w:hAnsi="Arial" w:cs="Arial"/>
          <w:sz w:val="18"/>
          <w:szCs w:val="18"/>
          <w:lang w:val="es-CO"/>
        </w:rPr>
      </w:pPr>
      <w:r w:rsidRPr="00F25EA6">
        <w:rPr>
          <w:rStyle w:val="Refdenotaalpie"/>
          <w:rFonts w:ascii="Arial" w:hAnsi="Arial" w:cs="Arial"/>
          <w:sz w:val="18"/>
          <w:szCs w:val="18"/>
        </w:rPr>
        <w:footnoteRef/>
      </w:r>
      <w:r w:rsidRPr="00F25EA6">
        <w:rPr>
          <w:rFonts w:ascii="Arial" w:hAnsi="Arial" w:cs="Arial"/>
          <w:sz w:val="18"/>
          <w:szCs w:val="18"/>
          <w:lang w:val="es-CO"/>
        </w:rPr>
        <w:t xml:space="preserve"> Consejo de Estado,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E447BBD" w14:textId="77777777" w:rsidR="00DB7FB0" w:rsidRPr="00F25EA6" w:rsidRDefault="00DB7FB0" w:rsidP="00F25EA6">
      <w:pPr>
        <w:pStyle w:val="Textonotapie"/>
        <w:jc w:val="both"/>
        <w:rPr>
          <w:rFonts w:ascii="Arial" w:hAnsi="Arial" w:cs="Arial"/>
          <w:sz w:val="18"/>
          <w:szCs w:val="18"/>
          <w:lang w:val="es-CO"/>
        </w:rPr>
      </w:pPr>
    </w:p>
  </w:footnote>
  <w:footnote w:id="6">
    <w:p w14:paraId="544BE71D" w14:textId="77777777" w:rsidR="00DB7FB0" w:rsidRPr="00F25EA6" w:rsidRDefault="00DB7FB0" w:rsidP="00F25EA6">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de fecha 24 de julio de 2013, radicado 2166, </w:t>
      </w:r>
      <w:r w:rsidRPr="00F25EA6">
        <w:rPr>
          <w:rFonts w:ascii="Arial" w:hAnsi="Arial" w:cs="Arial"/>
          <w:sz w:val="18"/>
          <w:szCs w:val="18"/>
        </w:rPr>
        <w:t xml:space="preserve">Consejero Ponente: Álvaro Namén Vargas.  </w:t>
      </w:r>
    </w:p>
    <w:p w14:paraId="7EEE1B46" w14:textId="77777777" w:rsidR="00DB7FB0" w:rsidRPr="00F25EA6" w:rsidRDefault="00DB7FB0" w:rsidP="00F25EA6">
      <w:pPr>
        <w:pStyle w:val="Textonotapie"/>
        <w:ind w:firstLine="709"/>
        <w:jc w:val="both"/>
        <w:rPr>
          <w:rFonts w:ascii="Arial" w:hAnsi="Arial" w:cs="Arial"/>
          <w:sz w:val="18"/>
          <w:szCs w:val="18"/>
        </w:rPr>
      </w:pPr>
    </w:p>
  </w:footnote>
  <w:footnote w:id="7">
    <w:p w14:paraId="0F99412C" w14:textId="77777777" w:rsidR="00DB7FB0" w:rsidRPr="00F25EA6" w:rsidRDefault="00DB7FB0" w:rsidP="00F25EA6">
      <w:pPr>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eastAsia="Calibri" w:hAnsi="Arial" w:cs="Arial"/>
          <w:bCs/>
          <w:color w:val="000000"/>
          <w:sz w:val="18"/>
          <w:szCs w:val="18"/>
        </w:rPr>
        <w:t>«</w:t>
      </w:r>
      <w:r w:rsidRPr="00F25EA6">
        <w:rPr>
          <w:rFonts w:ascii="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565E877" w14:textId="77777777" w:rsidR="00DB7FB0" w:rsidRDefault="00DB7FB0" w:rsidP="00F25EA6">
      <w:pPr>
        <w:ind w:firstLine="709"/>
        <w:jc w:val="both"/>
        <w:rPr>
          <w:rFonts w:ascii="Arial" w:hAnsi="Arial" w:cs="Arial"/>
          <w:sz w:val="18"/>
          <w:szCs w:val="18"/>
        </w:rPr>
      </w:pPr>
      <w:r w:rsidRPr="00F25EA6">
        <w:rPr>
          <w:rFonts w:ascii="Arial" w:eastAsia="Calibri" w:hAnsi="Arial" w:cs="Arial"/>
          <w:bCs/>
          <w:color w:val="000000"/>
          <w:sz w:val="18"/>
          <w:szCs w:val="18"/>
        </w:rPr>
        <w:t>»</w:t>
      </w:r>
      <w:r w:rsidRPr="00F25EA6">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25EA6">
        <w:rPr>
          <w:rFonts w:ascii="Arial" w:eastAsia="Calibri" w:hAnsi="Arial" w:cs="Arial"/>
          <w:bCs/>
          <w:color w:val="000000"/>
          <w:sz w:val="18"/>
          <w:szCs w:val="18"/>
        </w:rPr>
        <w:t>»</w:t>
      </w:r>
      <w:r w:rsidRPr="00F25EA6">
        <w:rPr>
          <w:rFonts w:ascii="Arial" w:hAnsi="Arial" w:cs="Arial"/>
          <w:sz w:val="18"/>
          <w:szCs w:val="18"/>
        </w:rPr>
        <w:t>.</w:t>
      </w:r>
    </w:p>
    <w:p w14:paraId="73753D51" w14:textId="77777777" w:rsidR="00F84B77" w:rsidRPr="00F25EA6" w:rsidRDefault="00F84B77" w:rsidP="00F25EA6">
      <w:pPr>
        <w:ind w:firstLine="709"/>
        <w:jc w:val="both"/>
        <w:rPr>
          <w:rFonts w:ascii="Arial" w:hAnsi="Arial" w:cs="Arial"/>
          <w:sz w:val="18"/>
          <w:szCs w:val="18"/>
        </w:rPr>
      </w:pPr>
    </w:p>
  </w:footnote>
  <w:footnote w:id="8">
    <w:p w14:paraId="3193C88A" w14:textId="77777777" w:rsidR="00DB7FB0" w:rsidRPr="00F25EA6" w:rsidRDefault="00DB7FB0" w:rsidP="00F25EA6">
      <w:pPr>
        <w:pStyle w:val="NormalWeb"/>
        <w:spacing w:before="0" w:beforeAutospacing="0" w:after="0" w:afterAutospacing="0"/>
        <w:ind w:firstLine="709"/>
        <w:jc w:val="both"/>
        <w:rPr>
          <w:rFonts w:ascii="Arial" w:hAnsi="Arial" w:cs="Arial"/>
          <w:sz w:val="18"/>
          <w:szCs w:val="18"/>
          <w:lang w:val="es-MX"/>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eastAsia="Calibri" w:hAnsi="Arial" w:cs="Arial"/>
          <w:bCs/>
          <w:color w:val="000000"/>
          <w:sz w:val="18"/>
          <w:szCs w:val="18"/>
        </w:rPr>
        <w:t>«</w:t>
      </w:r>
      <w:r w:rsidRPr="00F25EA6">
        <w:rPr>
          <w:rFonts w:ascii="Arial" w:hAnsi="Arial" w:cs="Arial"/>
          <w:sz w:val="18"/>
          <w:szCs w:val="18"/>
          <w:lang w:val="es-MX"/>
        </w:rPr>
        <w:t>Artículo 38. Prohibiciones para los servidores públicos. A los empleados del Estado les está prohibido:</w:t>
      </w:r>
    </w:p>
    <w:p w14:paraId="0D812F87" w14:textId="77777777" w:rsidR="00DB7FB0" w:rsidRPr="00F25EA6" w:rsidRDefault="00DB7FB0" w:rsidP="00F25EA6">
      <w:pPr>
        <w:pStyle w:val="NormalWeb"/>
        <w:spacing w:before="0" w:beforeAutospacing="0" w:after="0" w:afterAutospacing="0"/>
        <w:ind w:firstLine="709"/>
        <w:jc w:val="both"/>
        <w:rPr>
          <w:rFonts w:ascii="Arial" w:hAnsi="Arial" w:cs="Arial"/>
          <w:sz w:val="18"/>
          <w:szCs w:val="18"/>
          <w:lang w:val="es-MX"/>
        </w:rPr>
      </w:pPr>
      <w:r w:rsidRPr="00F25EA6">
        <w:rPr>
          <w:rFonts w:ascii="Arial" w:eastAsia="Calibri" w:hAnsi="Arial" w:cs="Arial"/>
          <w:bCs/>
          <w:color w:val="000000"/>
          <w:sz w:val="18"/>
          <w:szCs w:val="18"/>
        </w:rPr>
        <w:t>»</w:t>
      </w:r>
      <w:r w:rsidRPr="00F25EA6">
        <w:rPr>
          <w:rFonts w:ascii="Arial" w:hAnsi="Arial" w:cs="Arial"/>
          <w:sz w:val="18"/>
          <w:szCs w:val="18"/>
          <w:lang w:val="es-MX"/>
        </w:rPr>
        <w:t xml:space="preserve"> […]</w:t>
      </w:r>
    </w:p>
    <w:p w14:paraId="3008F5E8" w14:textId="77777777" w:rsidR="00DB7FB0" w:rsidRPr="00F25EA6" w:rsidRDefault="00DB7FB0" w:rsidP="00F25EA6">
      <w:pPr>
        <w:pStyle w:val="NormalWeb"/>
        <w:spacing w:before="0" w:beforeAutospacing="0" w:after="0" w:afterAutospacing="0"/>
        <w:ind w:firstLine="709"/>
        <w:jc w:val="both"/>
        <w:rPr>
          <w:rFonts w:ascii="Arial" w:hAnsi="Arial" w:cs="Arial"/>
          <w:sz w:val="18"/>
          <w:szCs w:val="18"/>
          <w:lang w:val="es-MX"/>
        </w:rPr>
      </w:pPr>
      <w:r w:rsidRPr="00F25EA6">
        <w:rPr>
          <w:rFonts w:ascii="Arial" w:eastAsia="Calibri" w:hAnsi="Arial" w:cs="Arial"/>
          <w:bCs/>
          <w:color w:val="000000"/>
          <w:sz w:val="18"/>
          <w:szCs w:val="18"/>
        </w:rPr>
        <w:t>»</w:t>
      </w:r>
      <w:r w:rsidRPr="00F25EA6">
        <w:rPr>
          <w:rStyle w:val="baj"/>
          <w:rFonts w:ascii="Arial" w:hAnsi="Arial" w:cs="Arial"/>
          <w:sz w:val="18"/>
          <w:szCs w:val="18"/>
        </w:rPr>
        <w:t xml:space="preserve"> Parágrafo.</w:t>
      </w:r>
      <w:r w:rsidRPr="00F25EA6">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25EA6">
        <w:rPr>
          <w:rFonts w:ascii="Arial" w:eastAsia="Calibri" w:hAnsi="Arial" w:cs="Arial"/>
          <w:bCs/>
          <w:color w:val="000000"/>
          <w:sz w:val="18"/>
          <w:szCs w:val="18"/>
        </w:rPr>
        <w:t>»</w:t>
      </w:r>
      <w:r w:rsidRPr="00F25EA6">
        <w:rPr>
          <w:rFonts w:ascii="Arial" w:hAnsi="Arial" w:cs="Arial"/>
          <w:sz w:val="18"/>
          <w:szCs w:val="18"/>
          <w:lang w:val="es-MX"/>
        </w:rPr>
        <w:t>.</w:t>
      </w:r>
    </w:p>
  </w:footnote>
  <w:footnote w:id="9">
    <w:p w14:paraId="62CE9108" w14:textId="77777777" w:rsidR="00DB7FB0" w:rsidRPr="00F25EA6" w:rsidRDefault="00DB7FB0" w:rsidP="00F25EA6">
      <w:pPr>
        <w:ind w:left="100" w:right="244"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0">
    <w:p w14:paraId="6F3BF3C2" w14:textId="77777777" w:rsidR="002521B6" w:rsidRDefault="002521B6" w:rsidP="00F25EA6">
      <w:pPr>
        <w:pStyle w:val="Textonotapie"/>
        <w:ind w:right="51"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w:t>
      </w:r>
      <w:bookmarkStart w:id="9" w:name="_Hlk74272731"/>
      <w:r w:rsidRPr="00F25EA6">
        <w:rPr>
          <w:rFonts w:ascii="Arial" w:hAnsi="Arial" w:cs="Arial"/>
          <w:sz w:val="18"/>
          <w:szCs w:val="18"/>
        </w:rPr>
        <w:t>«</w:t>
      </w:r>
      <w:bookmarkEnd w:id="9"/>
      <w:r w:rsidRPr="00F25EA6">
        <w:rPr>
          <w:rFonts w:ascii="Arial" w:hAnsi="Arial" w:cs="Arial"/>
          <w:sz w:val="18"/>
          <w:szCs w:val="18"/>
          <w:lang w:val="es-ES"/>
        </w:rPr>
        <w:t xml:space="preserve">[25] </w:t>
      </w:r>
      <w:r w:rsidRPr="00F25EA6">
        <w:rPr>
          <w:rFonts w:ascii="Arial" w:hAnsi="Arial" w:cs="Arial"/>
          <w:sz w:val="18"/>
          <w:szCs w:val="18"/>
        </w:rPr>
        <w:t>Cfr. Consejo de Estado. Sección Tercera. Sentencia de 3 de diciembre de 2007. Radicados: 24.715, 25.206, 25.409, 24.524, 27.834, 25.410, 26.105, 28.244, 31.447 -acumulados-</w:t>
      </w:r>
      <w:bookmarkStart w:id="10" w:name="_Hlk74271358"/>
      <w:r w:rsidRPr="00F25EA6">
        <w:rPr>
          <w:rFonts w:ascii="Arial" w:hAnsi="Arial" w:cs="Arial"/>
          <w:sz w:val="18"/>
          <w:szCs w:val="18"/>
        </w:rPr>
        <w:t>»</w:t>
      </w:r>
      <w:bookmarkEnd w:id="10"/>
      <w:r w:rsidRPr="00F25EA6">
        <w:rPr>
          <w:rFonts w:ascii="Arial" w:hAnsi="Arial" w:cs="Arial"/>
          <w:sz w:val="18"/>
          <w:szCs w:val="18"/>
        </w:rPr>
        <w:t>.</w:t>
      </w:r>
    </w:p>
    <w:p w14:paraId="40EB7496" w14:textId="77777777" w:rsidR="00C36479" w:rsidRPr="00F25EA6" w:rsidRDefault="00C36479" w:rsidP="00F25EA6">
      <w:pPr>
        <w:pStyle w:val="Textonotapie"/>
        <w:ind w:right="51" w:firstLine="709"/>
        <w:jc w:val="both"/>
        <w:rPr>
          <w:rFonts w:ascii="Arial" w:hAnsi="Arial" w:cs="Arial"/>
          <w:sz w:val="18"/>
          <w:szCs w:val="18"/>
        </w:rPr>
      </w:pPr>
    </w:p>
  </w:footnote>
  <w:footnote w:id="11">
    <w:p w14:paraId="6A035482" w14:textId="77777777" w:rsidR="002521B6" w:rsidRPr="00F25EA6" w:rsidRDefault="002521B6" w:rsidP="00F25EA6">
      <w:pPr>
        <w:pStyle w:val="Textonotapie"/>
        <w:ind w:right="51"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w:t>
      </w:r>
      <w:bookmarkStart w:id="12" w:name="_Hlk74294506"/>
      <w:r w:rsidRPr="00F25EA6">
        <w:rPr>
          <w:rFonts w:ascii="Arial" w:hAnsi="Arial" w:cs="Arial"/>
          <w:sz w:val="18"/>
          <w:szCs w:val="18"/>
        </w:rPr>
        <w:t>«</w:t>
      </w:r>
      <w:r w:rsidRPr="00F25EA6">
        <w:rPr>
          <w:rFonts w:ascii="Arial" w:hAnsi="Arial" w:cs="Arial"/>
          <w:sz w:val="18"/>
          <w:szCs w:val="18"/>
          <w:lang w:val="es-ES"/>
        </w:rPr>
        <w:t xml:space="preserve">[26] </w:t>
      </w:r>
      <w:bookmarkEnd w:id="12"/>
      <w:r w:rsidRPr="00F25EA6">
        <w:rPr>
          <w:rFonts w:ascii="Arial" w:hAnsi="Arial" w:cs="Arial"/>
          <w:sz w:val="18"/>
          <w:szCs w:val="18"/>
        </w:rPr>
        <w:t>Al respecto ver el concepto 1712 de 2 de febrero de 2006. Consejo de Estado Sala de Consulta y Servicio Civil».</w:t>
      </w:r>
    </w:p>
  </w:footnote>
  <w:footnote w:id="12">
    <w:p w14:paraId="0DE95210" w14:textId="77777777" w:rsidR="00C36479" w:rsidRDefault="00C36479" w:rsidP="00F25EA6">
      <w:pPr>
        <w:pStyle w:val="Textonotapie"/>
        <w:ind w:firstLine="709"/>
        <w:jc w:val="both"/>
        <w:rPr>
          <w:rFonts w:ascii="Arial" w:hAnsi="Arial" w:cs="Arial"/>
          <w:sz w:val="18"/>
          <w:szCs w:val="18"/>
        </w:rPr>
      </w:pPr>
    </w:p>
    <w:p w14:paraId="1CCDE2F5" w14:textId="23E471AA" w:rsidR="002521B6" w:rsidRPr="00F25EA6" w:rsidRDefault="002521B6" w:rsidP="00F25EA6">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3">
    <w:p w14:paraId="0C2D1B38" w14:textId="77777777" w:rsidR="00C36479" w:rsidRDefault="00C36479" w:rsidP="00F25EA6">
      <w:pPr>
        <w:pStyle w:val="Textonotapie"/>
        <w:ind w:firstLine="709"/>
        <w:jc w:val="both"/>
        <w:rPr>
          <w:rFonts w:ascii="Arial" w:hAnsi="Arial" w:cs="Arial"/>
          <w:sz w:val="18"/>
          <w:szCs w:val="18"/>
        </w:rPr>
      </w:pPr>
    </w:p>
    <w:p w14:paraId="2188A1C7" w14:textId="4AFDF858" w:rsidR="002521B6" w:rsidRPr="00F25EA6" w:rsidRDefault="002521B6" w:rsidP="00F25EA6">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hAnsi="Arial" w:cs="Arial"/>
          <w:sz w:val="18"/>
          <w:szCs w:val="18"/>
          <w:lang w:val="es-ES"/>
        </w:rPr>
        <w:t xml:space="preserve">Artículo 2. </w:t>
      </w:r>
    </w:p>
  </w:footnote>
  <w:footnote w:id="14">
    <w:p w14:paraId="13768507" w14:textId="77777777" w:rsidR="00C36479" w:rsidRDefault="00C36479" w:rsidP="00F25EA6">
      <w:pPr>
        <w:pStyle w:val="Textonotapie"/>
        <w:ind w:firstLine="709"/>
        <w:jc w:val="both"/>
        <w:rPr>
          <w:rFonts w:ascii="Arial" w:hAnsi="Arial" w:cs="Arial"/>
          <w:sz w:val="18"/>
          <w:szCs w:val="18"/>
        </w:rPr>
      </w:pPr>
    </w:p>
    <w:p w14:paraId="11B321CB" w14:textId="3979DF41" w:rsidR="002521B6" w:rsidRPr="00F25EA6" w:rsidRDefault="002521B6" w:rsidP="00F25EA6">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hAnsi="Arial" w:cs="Arial"/>
          <w:i/>
          <w:sz w:val="18"/>
          <w:szCs w:val="18"/>
          <w:lang w:val="es-ES"/>
        </w:rPr>
        <w:t>Ídem</w:t>
      </w:r>
      <w:r w:rsidRPr="00F25EA6">
        <w:rPr>
          <w:rFonts w:ascii="Arial" w:hAnsi="Arial" w:cs="Arial"/>
          <w:sz w:val="18"/>
          <w:szCs w:val="18"/>
          <w:lang w:val="es-ES"/>
        </w:rPr>
        <w:t>.</w:t>
      </w:r>
    </w:p>
  </w:footnote>
  <w:footnote w:id="15">
    <w:p w14:paraId="20241BB3" w14:textId="77777777" w:rsidR="002521B6" w:rsidRPr="00F25EA6" w:rsidRDefault="002521B6" w:rsidP="00F25EA6">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Style w:val="Refdenotaalpie"/>
          <w:rFonts w:ascii="Arial" w:hAnsi="Arial" w:cs="Arial"/>
          <w:sz w:val="18"/>
          <w:szCs w:val="18"/>
        </w:rPr>
        <w:t xml:space="preserve"> </w:t>
      </w:r>
      <w:bookmarkStart w:id="16" w:name="_Hlk74297130"/>
      <w:r w:rsidRPr="00F25EA6">
        <w:rPr>
          <w:rFonts w:ascii="Arial" w:hAnsi="Arial" w:cs="Arial"/>
          <w:sz w:val="18"/>
          <w:szCs w:val="18"/>
          <w:lang w:val="es-ES"/>
        </w:rPr>
        <w:t>«</w:t>
      </w:r>
      <w:bookmarkEnd w:id="16"/>
      <w:r w:rsidRPr="00F25EA6">
        <w:rPr>
          <w:rFonts w:ascii="Arial" w:hAnsi="Arial" w:cs="Arial"/>
          <w:sz w:val="18"/>
          <w:szCs w:val="18"/>
          <w:lang w:val="es-ES"/>
        </w:rPr>
        <w:t xml:space="preserve">[…] A este respecto, cabe recordar que el artículo 860 del Código de Comercio regula la licitación en el derecho privado». </w:t>
      </w:r>
    </w:p>
  </w:footnote>
  <w:footnote w:id="16">
    <w:p w14:paraId="24476949" w14:textId="77777777" w:rsidR="002521B6" w:rsidRPr="00F25EA6" w:rsidRDefault="002521B6" w:rsidP="00F25EA6">
      <w:pPr>
        <w:shd w:val="clear" w:color="auto" w:fill="FFFFFF"/>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Style w:val="Refdenotaalpie"/>
          <w:rFonts w:ascii="Arial" w:hAnsi="Arial" w:cs="Arial"/>
          <w:sz w:val="18"/>
          <w:szCs w:val="18"/>
        </w:rPr>
        <w:t xml:space="preserve"> </w:t>
      </w:r>
      <w:r w:rsidRPr="00F25EA6">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17">
    <w:p w14:paraId="629EE564" w14:textId="77777777" w:rsidR="002521B6" w:rsidRPr="00F25EA6" w:rsidRDefault="002521B6" w:rsidP="00F25EA6">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Concepto del 08 de mayo de 2018. Exp. 2.382. C.P. Álvaro Namén Vargas.</w:t>
      </w:r>
    </w:p>
  </w:footnote>
  <w:footnote w:id="18">
    <w:p w14:paraId="04D31F4C" w14:textId="77777777" w:rsidR="002521B6" w:rsidRPr="00F25EA6" w:rsidRDefault="002521B6" w:rsidP="00F25EA6">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326464A7" w14:textId="77777777" w:rsidR="002521B6" w:rsidRDefault="002521B6" w:rsidP="00F25EA6">
      <w:pPr>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75ABB6C4" w14:textId="77777777" w:rsidR="0047363F" w:rsidRPr="00F25EA6" w:rsidRDefault="0047363F" w:rsidP="00F25EA6">
      <w:pPr>
        <w:ind w:firstLine="709"/>
        <w:jc w:val="both"/>
        <w:rPr>
          <w:rFonts w:ascii="Arial" w:hAnsi="Arial" w:cs="Arial"/>
          <w:sz w:val="18"/>
          <w:szCs w:val="18"/>
        </w:rPr>
      </w:pPr>
    </w:p>
  </w:footnote>
  <w:footnote w:id="20">
    <w:p w14:paraId="5F2DB599" w14:textId="77777777" w:rsidR="00163B60" w:rsidRPr="00F25EA6" w:rsidRDefault="00163B60" w:rsidP="00163B60">
      <w:pPr>
        <w:pStyle w:val="Textonotapie"/>
        <w:ind w:firstLine="709"/>
        <w:jc w:val="both"/>
        <w:rPr>
          <w:rFonts w:ascii="Arial" w:hAnsi="Arial" w:cs="Arial"/>
          <w:b/>
          <w:bCs/>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Procuraduría General de la Nación. Los mecanismos alternativos de solución de conflictos en Colombia. MASC. Estudios, caracterización y compilación normativa y jurisprudencial. Tomo III, p. 53. En: </w:t>
      </w:r>
      <w:hyperlink r:id="rId1" w:history="1">
        <w:r w:rsidRPr="00F25EA6">
          <w:rPr>
            <w:rStyle w:val="Hipervnculo"/>
            <w:rFonts w:ascii="Arial" w:hAnsi="Arial" w:cs="Arial"/>
            <w:sz w:val="18"/>
            <w:szCs w:val="18"/>
          </w:rPr>
          <w:t>https://www.procuraduria.gov.co/iemp/media/file/img/noticias/Los%20mecanismos%20alternativos%20%20de%20soluci%C3%B3n%20de%20conflictos%20en%20Colombia%20+%20MASC.pdf</w:t>
        </w:r>
      </w:hyperlink>
    </w:p>
  </w:footnote>
  <w:footnote w:id="21">
    <w:p w14:paraId="779C9BAD"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Style w:val="Refdenotaalpie"/>
          <w:rFonts w:ascii="Arial" w:hAnsi="Arial" w:cs="Arial"/>
          <w:color w:val="000000" w:themeColor="text1"/>
          <w:sz w:val="18"/>
          <w:szCs w:val="18"/>
        </w:rPr>
        <w:footnoteRef/>
      </w:r>
      <w:r w:rsidRPr="00F25EA6">
        <w:rPr>
          <w:rFonts w:ascii="Arial" w:hAnsi="Arial" w:cs="Arial"/>
          <w:color w:val="000000" w:themeColor="text1"/>
          <w:sz w:val="18"/>
          <w:szCs w:val="18"/>
        </w:rPr>
        <w:t xml:space="preserve"> </w:t>
      </w:r>
      <w:r w:rsidRPr="00F25EA6">
        <w:rPr>
          <w:rFonts w:ascii="Arial" w:hAnsi="Arial" w:cs="Arial"/>
          <w:color w:val="000000" w:themeColor="text1"/>
          <w:sz w:val="18"/>
          <w:szCs w:val="18"/>
          <w:lang w:val="es-ES"/>
        </w:rPr>
        <w:t>La redacción del artículo 1.625 es la siguiente: «</w:t>
      </w:r>
      <w:r w:rsidRPr="00F25EA6">
        <w:rPr>
          <w:rFonts w:ascii="Arial" w:hAnsi="Arial" w:cs="Arial"/>
          <w:color w:val="000000" w:themeColor="text1"/>
          <w:sz w:val="18"/>
          <w:szCs w:val="18"/>
        </w:rPr>
        <w:t>Toda obligación puede extinguirse por una convención en que las partes interesadas, siendo capaces de disponer libremente de lo suyo, consientan en darla por nula.</w:t>
      </w:r>
    </w:p>
    <w:p w14:paraId="4E0D27AB"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»Las obligaciones se extinguen además en todo o en parte:</w:t>
      </w:r>
    </w:p>
    <w:p w14:paraId="69B7B3A5"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»1o.) Por la solución o pago efectivo.</w:t>
      </w:r>
    </w:p>
    <w:p w14:paraId="4773A9B1"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»2o.) Por la novación.</w:t>
      </w:r>
    </w:p>
    <w:p w14:paraId="3B41C298"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»3o.) Por la transacción.</w:t>
      </w:r>
    </w:p>
    <w:p w14:paraId="64D30C25"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»4o.) Por la remisión.</w:t>
      </w:r>
    </w:p>
    <w:p w14:paraId="0F85D9DC"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»5o.) Por la compensación.</w:t>
      </w:r>
    </w:p>
    <w:p w14:paraId="1D038E69"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»6o.) Por la confusión.</w:t>
      </w:r>
    </w:p>
    <w:p w14:paraId="2C7B228B"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»7o.) Por la pérdida de la cosa que se debe.</w:t>
      </w:r>
    </w:p>
    <w:p w14:paraId="0AE90484"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»8o.) Por la declaración de nulidad o por la rescisión.</w:t>
      </w:r>
    </w:p>
    <w:p w14:paraId="285F0383"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»9o.) Por el evento de la condición resolutoria.</w:t>
      </w:r>
    </w:p>
    <w:p w14:paraId="60167DF9"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»10.) Por la prescripción.</w:t>
      </w:r>
    </w:p>
    <w:p w14:paraId="59EB9AF0"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»De la transacción y la prescripción se tratará al fin de este libro; de la condición resolutoria se ha tratado en el título De las obligaciones condicionales».</w:t>
      </w:r>
    </w:p>
    <w:p w14:paraId="3EA3CF17" w14:textId="77777777" w:rsidR="00163B60" w:rsidRPr="00F25EA6" w:rsidRDefault="00163B60" w:rsidP="00163B60">
      <w:pPr>
        <w:pStyle w:val="Textonotapie"/>
        <w:ind w:firstLine="709"/>
        <w:jc w:val="both"/>
        <w:rPr>
          <w:rFonts w:ascii="Arial" w:hAnsi="Arial" w:cs="Arial"/>
          <w:color w:val="000000" w:themeColor="text1"/>
          <w:sz w:val="18"/>
          <w:szCs w:val="18"/>
          <w:lang w:val="es-CO"/>
        </w:rPr>
      </w:pPr>
    </w:p>
  </w:footnote>
  <w:footnote w:id="22">
    <w:p w14:paraId="2D4C8065" w14:textId="77777777" w:rsidR="00163B60" w:rsidRPr="00F25EA6" w:rsidRDefault="00163B60" w:rsidP="00163B60">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Así lo indica la norma: </w:t>
      </w:r>
      <w:r w:rsidRPr="00F25EA6">
        <w:rPr>
          <w:rFonts w:ascii="Arial" w:hAnsi="Arial" w:cs="Arial"/>
          <w:sz w:val="18"/>
          <w:szCs w:val="18"/>
          <w:lang w:val="es-ES"/>
        </w:rPr>
        <w:t xml:space="preserve">«Cuando la pretensión comprenda aspectos que por su naturaleza son conciliables, para allanarse a la demanda la Nación requerirá autorización del Gobierno Nacional y las demás entidades públicas requerirán previa autorización expresa y escrita del </w:t>
      </w:r>
      <w:r w:rsidRPr="00F25EA6">
        <w:rPr>
          <w:rFonts w:ascii="Arial" w:hAnsi="Arial" w:cs="Arial"/>
          <w:sz w:val="18"/>
          <w:szCs w:val="18"/>
          <w:lang w:val="es-ES"/>
        </w:rPr>
        <w:t>Ministro,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 entidad.</w:t>
      </w:r>
    </w:p>
    <w:p w14:paraId="6AE670C4" w14:textId="77777777" w:rsidR="00163B60" w:rsidRPr="00F25EA6" w:rsidRDefault="00163B60" w:rsidP="00163B60">
      <w:pPr>
        <w:pStyle w:val="Textonotapie"/>
        <w:ind w:firstLine="709"/>
        <w:jc w:val="both"/>
        <w:rPr>
          <w:rFonts w:ascii="Arial" w:hAnsi="Arial" w:cs="Arial"/>
          <w:sz w:val="18"/>
          <w:szCs w:val="18"/>
          <w:lang w:val="es-ES"/>
        </w:rPr>
      </w:pPr>
      <w:r w:rsidRPr="00F25EA6">
        <w:rPr>
          <w:rFonts w:ascii="Arial" w:hAnsi="Arial" w:cs="Arial"/>
          <w:sz w:val="18"/>
          <w:szCs w:val="18"/>
          <w:lang w:val="es-ES"/>
        </w:rPr>
        <w:t>»En el evento de allanamiento se dictará inmediatamente sentencia. Sin embargo, el juez podrá rechazar el allanamiento y decretar pruebas de oficio cuando advierta fraude o colusión o lo pida un tercero que intervenga en el proceso.</w:t>
      </w:r>
    </w:p>
    <w:p w14:paraId="2580F362" w14:textId="77777777" w:rsidR="00163B60" w:rsidRPr="00F25EA6" w:rsidRDefault="00163B60" w:rsidP="00163B60">
      <w:pPr>
        <w:pStyle w:val="Textonotapie"/>
        <w:ind w:firstLine="709"/>
        <w:jc w:val="both"/>
        <w:rPr>
          <w:rFonts w:ascii="Arial" w:hAnsi="Arial" w:cs="Arial"/>
          <w:sz w:val="18"/>
          <w:szCs w:val="18"/>
          <w:lang w:val="es-ES"/>
        </w:rPr>
      </w:pPr>
      <w:r w:rsidRPr="00F25EA6">
        <w:rPr>
          <w:rFonts w:ascii="Arial" w:hAnsi="Arial" w:cs="Arial"/>
          <w:sz w:val="18"/>
          <w:szCs w:val="18"/>
          <w:lang w:val="es-ES"/>
        </w:rPr>
        <w:t>»Con las mismas formalidades anteriores podrá terminar el proceso por transacción».</w:t>
      </w:r>
    </w:p>
    <w:p w14:paraId="5F05CAE5" w14:textId="77777777" w:rsidR="00163B60" w:rsidRPr="00F25EA6" w:rsidRDefault="00163B60" w:rsidP="00163B60">
      <w:pPr>
        <w:pStyle w:val="Textonotapie"/>
        <w:ind w:firstLine="709"/>
        <w:jc w:val="both"/>
        <w:rPr>
          <w:rFonts w:ascii="Arial" w:hAnsi="Arial" w:cs="Arial"/>
          <w:sz w:val="18"/>
          <w:szCs w:val="18"/>
          <w:lang w:val="es-CO"/>
        </w:rPr>
      </w:pPr>
    </w:p>
  </w:footnote>
  <w:footnote w:id="23">
    <w:p w14:paraId="7C459A4A"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«Si durante las actuaciones arbitrales las partes llegan a una transacción o a una conciliación o mediación que resuelva el litigio, el tribunal dará por terminadas las actuaciones. Caso de que lo pidan ambas partes y el tribunal no se oponga, este verterá en un laudo los términos convenidos por aquellas.</w:t>
      </w:r>
    </w:p>
    <w:p w14:paraId="153D06B1" w14:textId="77777777" w:rsidR="00163B60" w:rsidRPr="00F25EA6" w:rsidRDefault="00163B60" w:rsidP="00163B60">
      <w:pPr>
        <w:pStyle w:val="Textonotapie"/>
        <w:ind w:firstLine="709"/>
        <w:jc w:val="both"/>
        <w:rPr>
          <w:rFonts w:ascii="Arial" w:hAnsi="Arial" w:cs="Arial"/>
          <w:sz w:val="18"/>
          <w:szCs w:val="18"/>
        </w:rPr>
      </w:pPr>
      <w:r w:rsidRPr="00F25EA6">
        <w:rPr>
          <w:rFonts w:ascii="Arial" w:hAnsi="Arial" w:cs="Arial"/>
          <w:sz w:val="18"/>
          <w:szCs w:val="18"/>
        </w:rPr>
        <w:t>»Dicho laudo tendrá los mismos efectos que cualquier otro laudo dictado sobre el fondo del litigio».</w:t>
      </w:r>
    </w:p>
    <w:p w14:paraId="613666E0" w14:textId="77777777" w:rsidR="00163B60" w:rsidRPr="00F25EA6" w:rsidRDefault="00163B60" w:rsidP="00163B60">
      <w:pPr>
        <w:pStyle w:val="Textonotapie"/>
        <w:ind w:firstLine="709"/>
        <w:jc w:val="both"/>
        <w:rPr>
          <w:rFonts w:ascii="Arial" w:hAnsi="Arial" w:cs="Arial"/>
          <w:sz w:val="18"/>
          <w:szCs w:val="18"/>
          <w:lang w:val="es-CO"/>
        </w:rPr>
      </w:pPr>
    </w:p>
  </w:footnote>
  <w:footnote w:id="24">
    <w:p w14:paraId="7F159083" w14:textId="77777777" w:rsidR="00163B60" w:rsidRPr="00F25EA6" w:rsidRDefault="00163B60" w:rsidP="00163B60">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hAnsi="Arial" w:cs="Arial"/>
          <w:sz w:val="18"/>
          <w:szCs w:val="18"/>
          <w:lang w:val="es-ES"/>
        </w:rPr>
        <w:t>Entre las múltiples providencias de la Sección Tercera del Consejo de Estado que han aceptado la transacción como mecanismo de arreglo directo entre las partes en la contratación estatal, pueden consultarse las siguientes, que son las más recientes: Consejo de Estado. Sección Tercera. Auto del 2 de octubre de 2020. Consejero Ponente: Jaime Enrique Rodríguez Navas. Expediente: 64.066A. / Sentencia del 12 de agosto de 2019. Consejera Ponente: María Adriana Marín. Expediente: 38.603. / Auto del 8 de mayo de 2019. Consejero Ponente: Alberto Montaña Plata. Expediente: 41.868 / Sentencia del 2 de marzo de 2017. Consejero Ponente: Ramiro Pazos Guerrero. Expediente: 35.818.</w:t>
      </w:r>
    </w:p>
    <w:p w14:paraId="7955FC6E" w14:textId="77777777" w:rsidR="00163B60" w:rsidRPr="00F25EA6" w:rsidRDefault="00163B60" w:rsidP="00163B60">
      <w:pPr>
        <w:pStyle w:val="Textonotapie"/>
        <w:ind w:firstLine="709"/>
        <w:jc w:val="both"/>
        <w:rPr>
          <w:rFonts w:ascii="Arial" w:hAnsi="Arial" w:cs="Arial"/>
          <w:sz w:val="18"/>
          <w:szCs w:val="18"/>
          <w:lang w:val="es-CO"/>
        </w:rPr>
      </w:pPr>
    </w:p>
  </w:footnote>
  <w:footnote w:id="25">
    <w:p w14:paraId="72C1F820"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CARRILLO, Fernando y GÓMEZ, Iván. En: Procuraduría General de la Nación, Op. Cit., pp. 53-60.</w:t>
      </w:r>
    </w:p>
    <w:p w14:paraId="1658E0AF" w14:textId="77777777" w:rsidR="00163B60" w:rsidRPr="00F25EA6" w:rsidRDefault="00163B60" w:rsidP="00163B60">
      <w:pPr>
        <w:pStyle w:val="Textonotapie"/>
        <w:ind w:firstLine="709"/>
        <w:jc w:val="both"/>
        <w:rPr>
          <w:rFonts w:ascii="Arial" w:hAnsi="Arial" w:cs="Arial"/>
          <w:sz w:val="18"/>
          <w:szCs w:val="18"/>
          <w:lang w:val="es-ES"/>
        </w:rPr>
      </w:pPr>
    </w:p>
  </w:footnote>
  <w:footnote w:id="26">
    <w:p w14:paraId="6AB05331" w14:textId="77777777" w:rsidR="00163B60" w:rsidRPr="00F25EA6" w:rsidRDefault="00163B60" w:rsidP="00163B60">
      <w:pPr>
        <w:pStyle w:val="Textonotapie"/>
        <w:ind w:firstLine="709"/>
        <w:jc w:val="both"/>
        <w:rPr>
          <w:rFonts w:ascii="Arial" w:hAnsi="Arial" w:cs="Arial"/>
          <w:sz w:val="18"/>
          <w:szCs w:val="18"/>
          <w:lang w:val="es-ES_tradnl"/>
        </w:rPr>
      </w:pPr>
      <w:r w:rsidRPr="00F25EA6">
        <w:rPr>
          <w:rStyle w:val="Refdenotaalpie"/>
          <w:rFonts w:ascii="Arial" w:hAnsi="Arial" w:cs="Arial"/>
          <w:sz w:val="18"/>
          <w:szCs w:val="18"/>
        </w:rPr>
        <w:footnoteRef/>
      </w:r>
      <w:r w:rsidRPr="00F25EA6">
        <w:rPr>
          <w:rFonts w:ascii="Arial" w:hAnsi="Arial" w:cs="Arial"/>
          <w:sz w:val="18"/>
          <w:szCs w:val="18"/>
        </w:rPr>
        <w:t xml:space="preserve"> EXPÓSITO VÉLEZ, Juan Carlos. La liquidación bilateral de los contratos estatales: un mecanismo alternativo de solución de conflictos. En: Revista Digital de Derecho Administrativo, No. 1, 2009, pp. 18-19. En: https://revistas.uexternado.edu.co/index.php/Deradm/article/view/2591</w:t>
      </w:r>
    </w:p>
  </w:footnote>
  <w:footnote w:id="27">
    <w:p w14:paraId="097472CB" w14:textId="77777777" w:rsidR="00163B60" w:rsidRPr="00F25EA6" w:rsidRDefault="00163B60" w:rsidP="00163B60">
      <w:pPr>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Sentencia del 19 de mayo de 2005. Consejera Ponente: María Elena Giraldo Gómez. Radicación número: 63001-23-31-000-2002-00719-02.</w:t>
      </w:r>
    </w:p>
    <w:p w14:paraId="5364901D" w14:textId="77777777" w:rsidR="00163B60" w:rsidRPr="00F25EA6" w:rsidRDefault="00163B60" w:rsidP="00163B60">
      <w:pPr>
        <w:pStyle w:val="Textonotapie"/>
        <w:ind w:firstLine="709"/>
        <w:jc w:val="both"/>
        <w:rPr>
          <w:rFonts w:ascii="Arial" w:hAnsi="Arial" w:cs="Arial"/>
          <w:sz w:val="18"/>
          <w:szCs w:val="18"/>
        </w:rPr>
      </w:pPr>
    </w:p>
  </w:footnote>
  <w:footnote w:id="28">
    <w:p w14:paraId="53F9957B"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Auto del 25 de octubre de 2019. Consejero Ponente: Carlos Alberto Zambrano Barrera. Expediente: 64.054.</w:t>
      </w:r>
    </w:p>
    <w:p w14:paraId="28E86D92" w14:textId="77777777" w:rsidR="00163B60" w:rsidRPr="00F25EA6" w:rsidRDefault="00163B60" w:rsidP="00163B60">
      <w:pPr>
        <w:pStyle w:val="Textonotapie"/>
        <w:ind w:firstLine="709"/>
        <w:jc w:val="both"/>
        <w:rPr>
          <w:rFonts w:ascii="Arial" w:hAnsi="Arial" w:cs="Arial"/>
          <w:sz w:val="18"/>
          <w:szCs w:val="18"/>
        </w:rPr>
      </w:pPr>
    </w:p>
  </w:footnote>
  <w:footnote w:id="29">
    <w:p w14:paraId="77C0445D" w14:textId="77777777" w:rsidR="00163B60" w:rsidRPr="00F25EA6" w:rsidRDefault="00163B60" w:rsidP="00163B60">
      <w:pPr>
        <w:ind w:firstLine="709"/>
        <w:jc w:val="both"/>
        <w:rPr>
          <w:rFonts w:ascii="Arial" w:hAnsi="Arial" w:cs="Arial"/>
          <w:color w:val="000000"/>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Sentencia del 12 de agosto de 2019. Consejera Ponente: María Adriana Marín. Expediente: </w:t>
      </w:r>
      <w:r w:rsidRPr="00F25EA6">
        <w:rPr>
          <w:rFonts w:ascii="Arial" w:hAnsi="Arial" w:cs="Arial"/>
          <w:color w:val="000000"/>
          <w:sz w:val="18"/>
          <w:szCs w:val="18"/>
        </w:rPr>
        <w:t>38.603.</w:t>
      </w:r>
    </w:p>
    <w:p w14:paraId="260BAB2F" w14:textId="77777777" w:rsidR="00163B60" w:rsidRPr="00F25EA6" w:rsidRDefault="00163B60" w:rsidP="00163B60">
      <w:pPr>
        <w:ind w:firstLine="709"/>
        <w:jc w:val="both"/>
        <w:rPr>
          <w:rFonts w:ascii="Arial" w:hAnsi="Arial" w:cs="Arial"/>
          <w:sz w:val="18"/>
          <w:szCs w:val="18"/>
        </w:rPr>
      </w:pPr>
    </w:p>
  </w:footnote>
  <w:footnote w:id="30">
    <w:p w14:paraId="28B2E63E"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Sentencia del 19 de mayo de 2005. Consejera Ponente: María Elena Giraldo Gómez. Radicación número: 63001-23-31-000-2002-00719-02.</w:t>
      </w:r>
    </w:p>
    <w:p w14:paraId="7237ACE4" w14:textId="77777777" w:rsidR="00163B60" w:rsidRPr="00F25EA6" w:rsidRDefault="00163B60" w:rsidP="00163B60">
      <w:pPr>
        <w:pStyle w:val="Textonotapie"/>
        <w:ind w:firstLine="709"/>
        <w:jc w:val="both"/>
        <w:rPr>
          <w:rFonts w:ascii="Arial" w:hAnsi="Arial" w:cs="Arial"/>
          <w:sz w:val="18"/>
          <w:szCs w:val="18"/>
        </w:rPr>
      </w:pPr>
    </w:p>
  </w:footnote>
  <w:footnote w:id="31">
    <w:p w14:paraId="5CF094E5"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Auto del 14 de febrero de 2019. Consejera Ponente: Marta Nubia Velásquez Rico. Expediente: 60.049.</w:t>
      </w:r>
    </w:p>
    <w:p w14:paraId="148D0EF4" w14:textId="77777777" w:rsidR="00163B60" w:rsidRPr="00F25EA6" w:rsidRDefault="00163B60" w:rsidP="00163B60">
      <w:pPr>
        <w:pStyle w:val="Textonotapie"/>
        <w:ind w:firstLine="709"/>
        <w:jc w:val="both"/>
        <w:rPr>
          <w:rFonts w:ascii="Arial" w:hAnsi="Arial" w:cs="Arial"/>
          <w:sz w:val="18"/>
          <w:szCs w:val="18"/>
        </w:rPr>
      </w:pPr>
    </w:p>
  </w:footnote>
  <w:footnote w:id="32">
    <w:p w14:paraId="0283607D"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Sentencia del 25 de junio de 2014. Consejero Ponente: Hernán Andrade Rincón. Expediente: 28.067.</w:t>
      </w:r>
    </w:p>
    <w:p w14:paraId="05195795" w14:textId="77777777" w:rsidR="00163B60" w:rsidRPr="00F25EA6" w:rsidRDefault="00163B60" w:rsidP="00163B60">
      <w:pPr>
        <w:pStyle w:val="Textonotapie"/>
        <w:ind w:firstLine="709"/>
        <w:jc w:val="both"/>
        <w:rPr>
          <w:rFonts w:ascii="Arial" w:hAnsi="Arial" w:cs="Arial"/>
          <w:sz w:val="18"/>
          <w:szCs w:val="18"/>
          <w:lang w:val="es-CO"/>
        </w:rPr>
      </w:pPr>
    </w:p>
  </w:footnote>
  <w:footnote w:id="33">
    <w:p w14:paraId="38419D23" w14:textId="46F8C2DB" w:rsidR="00163B60" w:rsidRPr="00F25EA6" w:rsidRDefault="00163B60" w:rsidP="00163B60">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Laudo arbitral. Tren de Occidente S.A. contra la Agencia Nacional de Infraestructura. Laudo del 14 de febrero del 2014. En palabras del Tribunal «En cualquier caso, la simple renuncia de un derecho por una de las partes sin </w:t>
      </w:r>
      <w:r w:rsidR="00EE1AAA" w:rsidRPr="00033AA0">
        <w:rPr>
          <w:rFonts w:ascii="Arial" w:hAnsi="Arial" w:cs="Arial"/>
          <w:sz w:val="18"/>
          <w:szCs w:val="18"/>
        </w:rPr>
        <w:t>contraprestación</w:t>
      </w:r>
      <w:r w:rsidRPr="00F25EA6">
        <w:rPr>
          <w:rFonts w:ascii="Arial" w:hAnsi="Arial" w:cs="Arial"/>
          <w:sz w:val="18"/>
          <w:szCs w:val="18"/>
        </w:rPr>
        <w:t xml:space="preserve"> de la otra, no configura un contrato de </w:t>
      </w:r>
      <w:r w:rsidR="00EE1AAA" w:rsidRPr="00033AA0">
        <w:rPr>
          <w:rFonts w:ascii="Arial" w:hAnsi="Arial" w:cs="Arial"/>
          <w:sz w:val="18"/>
          <w:szCs w:val="18"/>
        </w:rPr>
        <w:t>transacción</w:t>
      </w:r>
      <w:r w:rsidRPr="00F25EA6">
        <w:rPr>
          <w:rFonts w:ascii="Arial" w:hAnsi="Arial" w:cs="Arial"/>
          <w:sz w:val="18"/>
          <w:szCs w:val="18"/>
        </w:rPr>
        <w:t xml:space="preserve">, sino una </w:t>
      </w:r>
      <w:r w:rsidR="00EE1AAA" w:rsidRPr="00033AA0">
        <w:rPr>
          <w:rFonts w:ascii="Arial" w:hAnsi="Arial" w:cs="Arial"/>
          <w:sz w:val="18"/>
          <w:szCs w:val="18"/>
        </w:rPr>
        <w:t>categoría</w:t>
      </w:r>
      <w:r w:rsidRPr="00F25EA6">
        <w:rPr>
          <w:rFonts w:ascii="Arial" w:hAnsi="Arial" w:cs="Arial"/>
          <w:sz w:val="18"/>
          <w:szCs w:val="18"/>
        </w:rPr>
        <w:t xml:space="preserve"> contractual diversa»</w:t>
      </w:r>
      <w:r w:rsidR="00EE1AAA">
        <w:rPr>
          <w:rFonts w:ascii="Arial" w:hAnsi="Arial" w:cs="Arial"/>
          <w:sz w:val="18"/>
          <w:szCs w:val="18"/>
        </w:rPr>
        <w:t>.</w:t>
      </w:r>
    </w:p>
    <w:p w14:paraId="4836266A" w14:textId="77777777" w:rsidR="00163B60" w:rsidRPr="00F25EA6" w:rsidRDefault="00163B60" w:rsidP="00163B60">
      <w:pPr>
        <w:pStyle w:val="Textonotapie"/>
        <w:ind w:firstLine="708"/>
        <w:jc w:val="both"/>
        <w:rPr>
          <w:rFonts w:ascii="Arial" w:hAnsi="Arial" w:cs="Arial"/>
          <w:sz w:val="18"/>
          <w:szCs w:val="18"/>
          <w:lang w:val="es-ES"/>
        </w:rPr>
      </w:pPr>
    </w:p>
  </w:footnote>
  <w:footnote w:id="34">
    <w:p w14:paraId="36193ED2" w14:textId="7DC8823B" w:rsidR="00163B60" w:rsidRPr="00F25EA6" w:rsidRDefault="00163B60" w:rsidP="00F25EA6">
      <w:pPr>
        <w:ind w:firstLine="709"/>
        <w:jc w:val="both"/>
        <w:rPr>
          <w:rFonts w:ascii="Arial" w:hAnsi="Arial" w:cs="Arial"/>
          <w:sz w:val="18"/>
          <w:szCs w:val="18"/>
        </w:rPr>
      </w:pPr>
      <w:r w:rsidRPr="00F25EA6">
        <w:rPr>
          <w:rStyle w:val="Refdenotaalpie"/>
          <w:rFonts w:ascii="Arial" w:hAnsi="Arial" w:cs="Arial"/>
          <w:sz w:val="18"/>
          <w:szCs w:val="18"/>
        </w:rPr>
        <w:footnoteRef/>
      </w:r>
      <w:r w:rsidR="00845A97" w:rsidRPr="00F25EA6">
        <w:rPr>
          <w:rFonts w:ascii="Arial" w:eastAsia="Calibri" w:hAnsi="Arial" w:cs="Arial"/>
          <w:color w:val="000000" w:themeColor="text1"/>
          <w:sz w:val="18"/>
          <w:szCs w:val="18"/>
          <w:lang w:val="es-ES_tradnl"/>
        </w:rPr>
        <w:t xml:space="preserve"> Con el fin de dar claridad sobre los eventos en los que no se está propiamente ante una transacción por falta de concesiones recíprocas, se presentan los siguientes ejemplos: i) En un acuerdo donde el contratista acepte realizar obras no previstas inicialmente en el contrato y la entidad contratante reconozca el valor de estas, no se está ante un contrato de transacción, pues la entidad no está concediendo o renunciando a algo. ii) El reconocimiento de gastos adicionales en los que haya incurrido un contratista no corresponde al pacto de concesiones recíprocas, pues se trata simplemente de un reajuste para continuar con la ejecución del contrato. Al respecto </w:t>
      </w:r>
      <w:r w:rsidR="00845A97" w:rsidRPr="00FA5A46">
        <w:rPr>
          <w:rFonts w:ascii="Arial" w:hAnsi="Arial" w:cs="Arial"/>
          <w:sz w:val="18"/>
          <w:szCs w:val="18"/>
        </w:rPr>
        <w:t>véase</w:t>
      </w:r>
      <w:r w:rsidRPr="00F25EA6">
        <w:rPr>
          <w:rFonts w:ascii="Arial" w:hAnsi="Arial" w:cs="Arial"/>
          <w:sz w:val="18"/>
          <w:szCs w:val="18"/>
        </w:rPr>
        <w:t xml:space="preserve">: Laudo arbitral. Schrader Camargo Ingenieros Asociados S.A. contra Refinería de Cartagena S.A. Laudo del 28 de noviembre de 2018. </w:t>
      </w:r>
    </w:p>
    <w:p w14:paraId="018BCB9F" w14:textId="77777777" w:rsidR="00163B60" w:rsidRPr="00F25EA6" w:rsidRDefault="00163B60" w:rsidP="00163B60">
      <w:pPr>
        <w:pStyle w:val="Textonotapie"/>
        <w:ind w:firstLine="708"/>
        <w:rPr>
          <w:rFonts w:ascii="Arial" w:hAnsi="Arial" w:cs="Arial"/>
          <w:sz w:val="18"/>
          <w:szCs w:val="18"/>
          <w:lang w:val="es-ES"/>
        </w:rPr>
      </w:pPr>
    </w:p>
  </w:footnote>
  <w:footnote w:id="35">
    <w:p w14:paraId="6B0F3141" w14:textId="77777777" w:rsidR="00163B60" w:rsidRPr="00F25EA6" w:rsidRDefault="00163B60" w:rsidP="00163B60">
      <w:pPr>
        <w:pStyle w:val="Textonotapie"/>
        <w:ind w:firstLine="708"/>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Ley 80 de 1993. Artículo 32.</w:t>
      </w:r>
    </w:p>
    <w:p w14:paraId="40E1880B" w14:textId="77777777" w:rsidR="00163B60" w:rsidRPr="00F25EA6" w:rsidRDefault="00163B60" w:rsidP="00163B60">
      <w:pPr>
        <w:pStyle w:val="Textonotapie"/>
        <w:ind w:firstLine="708"/>
        <w:rPr>
          <w:rFonts w:ascii="Arial" w:hAnsi="Arial" w:cs="Arial"/>
          <w:sz w:val="18"/>
          <w:szCs w:val="18"/>
          <w:lang w:val="es-CO"/>
        </w:rPr>
      </w:pPr>
    </w:p>
  </w:footnote>
  <w:footnote w:id="36">
    <w:p w14:paraId="272CF5EC" w14:textId="77777777" w:rsidR="00163B60" w:rsidRPr="00F25EA6" w:rsidRDefault="00163B60" w:rsidP="00163B60">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El artículo 141 de la Ley 1437 de 2011 consagra lo siguiente: «Artículo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 […]»</w:t>
      </w:r>
    </w:p>
    <w:p w14:paraId="02E3361B" w14:textId="77777777" w:rsidR="00163B60" w:rsidRPr="00F25EA6" w:rsidRDefault="00163B60" w:rsidP="00163B60">
      <w:pPr>
        <w:pStyle w:val="Textonotapie"/>
        <w:ind w:firstLine="708"/>
        <w:jc w:val="both"/>
        <w:rPr>
          <w:rFonts w:ascii="Arial" w:hAnsi="Arial" w:cs="Arial"/>
          <w:sz w:val="18"/>
          <w:szCs w:val="18"/>
          <w:lang w:val="es-CO"/>
        </w:rPr>
      </w:pPr>
    </w:p>
  </w:footnote>
  <w:footnote w:id="37">
    <w:p w14:paraId="619F5557" w14:textId="77777777" w:rsidR="00163B60" w:rsidRPr="00F25EA6" w:rsidRDefault="00163B60" w:rsidP="00163B60">
      <w:pPr>
        <w:pStyle w:val="Textonotapie"/>
        <w:ind w:firstLine="708"/>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Laudo arbitral. Tren de Occidente S.A. contra la Agencia Nacional de Infraestructura. Laudo del 14 de febrero del 2014.</w:t>
      </w:r>
    </w:p>
    <w:p w14:paraId="3899D8E7" w14:textId="77777777" w:rsidR="00163B60" w:rsidRPr="00F25EA6" w:rsidRDefault="00163B60" w:rsidP="00163B60">
      <w:pPr>
        <w:pStyle w:val="Textonotapie"/>
        <w:ind w:firstLine="708"/>
        <w:rPr>
          <w:rFonts w:ascii="Arial" w:hAnsi="Arial" w:cs="Arial"/>
          <w:sz w:val="18"/>
          <w:szCs w:val="18"/>
          <w:lang w:val="es-CO"/>
        </w:rPr>
      </w:pPr>
    </w:p>
  </w:footnote>
  <w:footnote w:id="38">
    <w:p w14:paraId="12DA0B19" w14:textId="4DE2AE01" w:rsidR="006C2B29" w:rsidRPr="008A5DF2" w:rsidRDefault="006C2B29" w:rsidP="00F25EA6">
      <w:pPr>
        <w:pStyle w:val="Textoindependiente"/>
        <w:ind w:firstLine="709"/>
        <w:jc w:val="both"/>
        <w:rPr>
          <w:sz w:val="19"/>
          <w:szCs w:val="19"/>
        </w:rPr>
      </w:pPr>
      <w:r w:rsidRPr="008A5DF2">
        <w:rPr>
          <w:rStyle w:val="Refdenotaalpie"/>
          <w:sz w:val="19"/>
          <w:szCs w:val="19"/>
        </w:rPr>
        <w:footnoteRef/>
      </w:r>
      <w:r w:rsidRPr="008A5DF2">
        <w:rPr>
          <w:sz w:val="19"/>
          <w:szCs w:val="19"/>
        </w:rPr>
        <w:t xml:space="preserve"> </w:t>
      </w:r>
      <w:r w:rsidR="00B91E80">
        <w:rPr>
          <w:sz w:val="19"/>
          <w:szCs w:val="19"/>
        </w:rPr>
        <w:t>L</w:t>
      </w:r>
      <w:r w:rsidRPr="008A5DF2">
        <w:rPr>
          <w:sz w:val="19"/>
          <w:szCs w:val="19"/>
        </w:rPr>
        <w:t>a Circular Externa Única vigente</w:t>
      </w:r>
      <w:r w:rsidR="00B91E80">
        <w:rPr>
          <w:sz w:val="19"/>
          <w:szCs w:val="19"/>
        </w:rPr>
        <w:t xml:space="preserve"> </w:t>
      </w:r>
      <w:r w:rsidRPr="008A5DF2">
        <w:rPr>
          <w:sz w:val="19"/>
          <w:szCs w:val="19"/>
        </w:rPr>
        <w:t>en</w:t>
      </w:r>
      <w:r w:rsidRPr="008A5DF2">
        <w:rPr>
          <w:spacing w:val="-14"/>
          <w:sz w:val="19"/>
          <w:szCs w:val="19"/>
        </w:rPr>
        <w:t xml:space="preserve"> </w:t>
      </w:r>
      <w:r w:rsidRPr="008A5DF2">
        <w:rPr>
          <w:sz w:val="19"/>
          <w:szCs w:val="19"/>
        </w:rPr>
        <w:t>su</w:t>
      </w:r>
      <w:r w:rsidRPr="008A5DF2">
        <w:rPr>
          <w:spacing w:val="-14"/>
          <w:sz w:val="19"/>
          <w:szCs w:val="19"/>
        </w:rPr>
        <w:t xml:space="preserve"> </w:t>
      </w:r>
      <w:r w:rsidRPr="008A5DF2">
        <w:rPr>
          <w:sz w:val="19"/>
          <w:szCs w:val="19"/>
        </w:rPr>
        <w:t>numeral</w:t>
      </w:r>
      <w:r w:rsidRPr="008A5DF2">
        <w:rPr>
          <w:spacing w:val="-14"/>
          <w:sz w:val="19"/>
          <w:szCs w:val="19"/>
        </w:rPr>
        <w:t xml:space="preserve"> </w:t>
      </w:r>
      <w:r w:rsidRPr="008A5DF2">
        <w:rPr>
          <w:sz w:val="19"/>
          <w:szCs w:val="19"/>
        </w:rPr>
        <w:t>15.5</w:t>
      </w:r>
      <w:r w:rsidRPr="008A5DF2">
        <w:rPr>
          <w:spacing w:val="-14"/>
          <w:sz w:val="19"/>
          <w:szCs w:val="19"/>
        </w:rPr>
        <w:t xml:space="preserve"> </w:t>
      </w:r>
      <w:r w:rsidRPr="008A5DF2">
        <w:rPr>
          <w:sz w:val="19"/>
          <w:szCs w:val="19"/>
        </w:rPr>
        <w:t>establece: «La</w:t>
      </w:r>
      <w:r w:rsidRPr="008A5DF2">
        <w:rPr>
          <w:spacing w:val="1"/>
          <w:sz w:val="19"/>
          <w:szCs w:val="19"/>
        </w:rPr>
        <w:t xml:space="preserve"> </w:t>
      </w:r>
      <w:r w:rsidRPr="008A5DF2">
        <w:rPr>
          <w:sz w:val="19"/>
          <w:szCs w:val="19"/>
        </w:rPr>
        <w:t>Ley</w:t>
      </w:r>
      <w:r w:rsidRPr="008A5DF2">
        <w:rPr>
          <w:spacing w:val="1"/>
          <w:sz w:val="19"/>
          <w:szCs w:val="19"/>
        </w:rPr>
        <w:t xml:space="preserve"> </w:t>
      </w:r>
      <w:r w:rsidRPr="008A5DF2">
        <w:rPr>
          <w:sz w:val="19"/>
          <w:szCs w:val="19"/>
        </w:rPr>
        <w:t>de</w:t>
      </w:r>
      <w:r w:rsidRPr="008A5DF2">
        <w:rPr>
          <w:spacing w:val="1"/>
          <w:sz w:val="19"/>
          <w:szCs w:val="19"/>
        </w:rPr>
        <w:t xml:space="preserve"> </w:t>
      </w:r>
      <w:r w:rsidRPr="008A5DF2">
        <w:rPr>
          <w:sz w:val="19"/>
          <w:szCs w:val="19"/>
        </w:rPr>
        <w:t>Garantías</w:t>
      </w:r>
      <w:r w:rsidRPr="008A5DF2">
        <w:rPr>
          <w:spacing w:val="1"/>
          <w:sz w:val="19"/>
          <w:szCs w:val="19"/>
        </w:rPr>
        <w:t xml:space="preserve"> </w:t>
      </w:r>
      <w:r w:rsidRPr="008A5DF2">
        <w:rPr>
          <w:sz w:val="19"/>
          <w:szCs w:val="19"/>
        </w:rPr>
        <w:t>no</w:t>
      </w:r>
      <w:r w:rsidRPr="008A5DF2">
        <w:rPr>
          <w:spacing w:val="1"/>
          <w:sz w:val="19"/>
          <w:szCs w:val="19"/>
        </w:rPr>
        <w:t xml:space="preserve"> </w:t>
      </w:r>
      <w:r w:rsidRPr="008A5DF2">
        <w:rPr>
          <w:sz w:val="19"/>
          <w:szCs w:val="19"/>
        </w:rPr>
        <w:t>establece</w:t>
      </w:r>
      <w:r w:rsidRPr="008A5DF2">
        <w:rPr>
          <w:spacing w:val="1"/>
          <w:sz w:val="19"/>
          <w:szCs w:val="19"/>
        </w:rPr>
        <w:t xml:space="preserve"> </w:t>
      </w:r>
      <w:r w:rsidRPr="008A5DF2">
        <w:rPr>
          <w:sz w:val="19"/>
          <w:szCs w:val="19"/>
        </w:rPr>
        <w:t>restricciones</w:t>
      </w:r>
      <w:r w:rsidRPr="008A5DF2">
        <w:rPr>
          <w:spacing w:val="1"/>
          <w:sz w:val="19"/>
          <w:szCs w:val="19"/>
        </w:rPr>
        <w:t xml:space="preserve"> </w:t>
      </w:r>
      <w:r w:rsidRPr="008A5DF2">
        <w:rPr>
          <w:sz w:val="19"/>
          <w:szCs w:val="19"/>
        </w:rPr>
        <w:t>para</w:t>
      </w:r>
      <w:r w:rsidRPr="008A5DF2">
        <w:rPr>
          <w:spacing w:val="1"/>
          <w:sz w:val="19"/>
          <w:szCs w:val="19"/>
        </w:rPr>
        <w:t xml:space="preserve"> </w:t>
      </w:r>
      <w:r w:rsidRPr="008A5DF2">
        <w:rPr>
          <w:sz w:val="19"/>
          <w:szCs w:val="19"/>
        </w:rPr>
        <w:t>las</w:t>
      </w:r>
      <w:r w:rsidRPr="008A5DF2">
        <w:rPr>
          <w:spacing w:val="1"/>
          <w:sz w:val="19"/>
          <w:szCs w:val="19"/>
        </w:rPr>
        <w:t xml:space="preserve"> </w:t>
      </w:r>
      <w:r w:rsidRPr="008A5DF2">
        <w:rPr>
          <w:sz w:val="19"/>
          <w:szCs w:val="19"/>
        </w:rPr>
        <w:t>prórrogas,</w:t>
      </w:r>
      <w:r w:rsidRPr="008A5DF2">
        <w:rPr>
          <w:spacing w:val="1"/>
          <w:sz w:val="19"/>
          <w:szCs w:val="19"/>
        </w:rPr>
        <w:t xml:space="preserve"> </w:t>
      </w:r>
      <w:r w:rsidRPr="008A5DF2">
        <w:rPr>
          <w:sz w:val="19"/>
          <w:szCs w:val="19"/>
        </w:rPr>
        <w:t>modificaciones o adiciones, y la cesión de los contratos suscritos antes del</w:t>
      </w:r>
      <w:r w:rsidRPr="008A5DF2">
        <w:rPr>
          <w:spacing w:val="1"/>
          <w:sz w:val="19"/>
          <w:szCs w:val="19"/>
        </w:rPr>
        <w:t xml:space="preserve"> </w:t>
      </w:r>
      <w:r w:rsidRPr="008A5DF2">
        <w:rPr>
          <w:sz w:val="19"/>
          <w:szCs w:val="19"/>
        </w:rPr>
        <w:t>período electoral, siempre que tales prórrogas, modificaciones, adiciones y</w:t>
      </w:r>
      <w:r w:rsidRPr="008A5DF2">
        <w:rPr>
          <w:spacing w:val="1"/>
          <w:sz w:val="19"/>
          <w:szCs w:val="19"/>
        </w:rPr>
        <w:t xml:space="preserve"> </w:t>
      </w:r>
      <w:r w:rsidRPr="008A5DF2">
        <w:rPr>
          <w:sz w:val="19"/>
          <w:szCs w:val="19"/>
        </w:rPr>
        <w:t>cesiones</w:t>
      </w:r>
      <w:r w:rsidRPr="008A5DF2">
        <w:rPr>
          <w:spacing w:val="1"/>
          <w:sz w:val="19"/>
          <w:szCs w:val="19"/>
        </w:rPr>
        <w:t xml:space="preserve"> </w:t>
      </w:r>
      <w:r w:rsidRPr="008A5DF2">
        <w:rPr>
          <w:sz w:val="19"/>
          <w:szCs w:val="19"/>
        </w:rPr>
        <w:t>cumplan</w:t>
      </w:r>
      <w:r w:rsidRPr="008A5DF2">
        <w:rPr>
          <w:spacing w:val="1"/>
          <w:sz w:val="19"/>
          <w:szCs w:val="19"/>
        </w:rPr>
        <w:t xml:space="preserve"> </w:t>
      </w:r>
      <w:r w:rsidRPr="008A5DF2">
        <w:rPr>
          <w:sz w:val="19"/>
          <w:szCs w:val="19"/>
        </w:rPr>
        <w:t>los</w:t>
      </w:r>
      <w:r w:rsidRPr="008A5DF2">
        <w:rPr>
          <w:spacing w:val="1"/>
          <w:sz w:val="19"/>
          <w:szCs w:val="19"/>
        </w:rPr>
        <w:t xml:space="preserve"> </w:t>
      </w:r>
      <w:r w:rsidRPr="008A5DF2">
        <w:rPr>
          <w:sz w:val="19"/>
          <w:szCs w:val="19"/>
        </w:rPr>
        <w:t>principios</w:t>
      </w:r>
      <w:r w:rsidRPr="008A5DF2">
        <w:rPr>
          <w:spacing w:val="1"/>
          <w:sz w:val="19"/>
          <w:szCs w:val="19"/>
        </w:rPr>
        <w:t xml:space="preserve"> </w:t>
      </w:r>
      <w:r w:rsidRPr="008A5DF2">
        <w:rPr>
          <w:sz w:val="19"/>
          <w:szCs w:val="19"/>
        </w:rPr>
        <w:t>de</w:t>
      </w:r>
      <w:r w:rsidRPr="008A5DF2">
        <w:rPr>
          <w:spacing w:val="1"/>
          <w:sz w:val="19"/>
          <w:szCs w:val="19"/>
        </w:rPr>
        <w:t xml:space="preserve"> </w:t>
      </w:r>
      <w:r w:rsidRPr="008A5DF2">
        <w:rPr>
          <w:sz w:val="19"/>
          <w:szCs w:val="19"/>
        </w:rPr>
        <w:t>planeación,</w:t>
      </w:r>
      <w:r w:rsidRPr="008A5DF2">
        <w:rPr>
          <w:spacing w:val="1"/>
          <w:sz w:val="19"/>
          <w:szCs w:val="19"/>
        </w:rPr>
        <w:t xml:space="preserve"> </w:t>
      </w:r>
      <w:r w:rsidRPr="008A5DF2">
        <w:rPr>
          <w:sz w:val="19"/>
          <w:szCs w:val="19"/>
        </w:rPr>
        <w:t>transparencia</w:t>
      </w:r>
      <w:r w:rsidRPr="008A5DF2">
        <w:rPr>
          <w:spacing w:val="1"/>
          <w:sz w:val="19"/>
          <w:szCs w:val="19"/>
        </w:rPr>
        <w:t xml:space="preserve"> </w:t>
      </w:r>
      <w:r w:rsidRPr="008A5DF2">
        <w:rPr>
          <w:sz w:val="19"/>
          <w:szCs w:val="19"/>
        </w:rPr>
        <w:t>y</w:t>
      </w:r>
      <w:r w:rsidRPr="008A5DF2">
        <w:rPr>
          <w:spacing w:val="1"/>
          <w:sz w:val="19"/>
          <w:szCs w:val="19"/>
        </w:rPr>
        <w:t xml:space="preserve"> </w:t>
      </w:r>
      <w:r w:rsidRPr="008A5DF2">
        <w:rPr>
          <w:sz w:val="19"/>
          <w:szCs w:val="19"/>
        </w:rPr>
        <w:t>responsabilidad.</w:t>
      </w:r>
    </w:p>
    <w:p w14:paraId="51E880B1" w14:textId="77777777" w:rsidR="006C2B29" w:rsidRPr="008A5DF2" w:rsidRDefault="006C2B29" w:rsidP="007568B4">
      <w:pPr>
        <w:ind w:firstLine="709"/>
        <w:jc w:val="both"/>
        <w:rPr>
          <w:rFonts w:ascii="Arial" w:hAnsi="Arial" w:cs="Arial"/>
          <w:sz w:val="19"/>
          <w:szCs w:val="19"/>
          <w:lang w:val="es-CO"/>
        </w:rPr>
      </w:pPr>
      <w:r w:rsidRPr="008A5DF2">
        <w:rPr>
          <w:rFonts w:ascii="Arial" w:hAnsi="Arial" w:cs="Arial"/>
          <w:sz w:val="19"/>
          <w:szCs w:val="19"/>
        </w:rPr>
        <w:t xml:space="preserve">»En este sentido, las prórrogas, modificaciones o adiciones, y la cesión de los contratos suscritos antes del período de la campaña electoral, pueden realizarse en cualquier tiempo antes o después del comienzo de la aplicación </w:t>
      </w:r>
      <w:r w:rsidRPr="008A5DF2">
        <w:rPr>
          <w:rFonts w:ascii="Arial" w:hAnsi="Arial" w:cs="Arial"/>
          <w:sz w:val="19"/>
          <w:szCs w:val="19"/>
          <w:lang w:val="es-CO"/>
        </w:rPr>
        <w:t>de la Ley de Garantías siempre y cuando el contrato se encuentre vigente».</w:t>
      </w:r>
    </w:p>
    <w:p w14:paraId="5F9DF27F" w14:textId="77777777" w:rsidR="006C2B29" w:rsidRPr="008A5DF2" w:rsidRDefault="006C2B29" w:rsidP="006C2B29">
      <w:pPr>
        <w:pStyle w:val="Textonotapie"/>
        <w:ind w:firstLine="708"/>
        <w:jc w:val="both"/>
        <w:rPr>
          <w:rFonts w:ascii="Arial" w:hAnsi="Arial" w:cs="Arial"/>
          <w:sz w:val="19"/>
          <w:szCs w:val="19"/>
        </w:rPr>
      </w:pPr>
    </w:p>
  </w:footnote>
  <w:footnote w:id="39">
    <w:p w14:paraId="496CD711" w14:textId="6A652909" w:rsidR="006C2B29" w:rsidRPr="008A5DF2" w:rsidRDefault="006C2B29">
      <w:pPr>
        <w:pStyle w:val="Textonotapie"/>
        <w:spacing w:after="120"/>
        <w:ind w:firstLine="709"/>
        <w:jc w:val="both"/>
        <w:rPr>
          <w:rFonts w:ascii="Arial" w:hAnsi="Arial" w:cs="Arial"/>
          <w:sz w:val="19"/>
          <w:szCs w:val="19"/>
          <w:lang w:val="es-CO"/>
        </w:rPr>
      </w:pPr>
      <w:r w:rsidRPr="008A5DF2">
        <w:rPr>
          <w:rStyle w:val="Refdenotaalpie"/>
          <w:rFonts w:ascii="Arial" w:hAnsi="Arial" w:cs="Arial"/>
          <w:sz w:val="19"/>
          <w:szCs w:val="19"/>
        </w:rPr>
        <w:footnoteRef/>
      </w:r>
      <w:r w:rsidRPr="008A5DF2">
        <w:rPr>
          <w:rFonts w:ascii="Arial" w:hAnsi="Arial" w:cs="Arial"/>
          <w:sz w:val="19"/>
          <w:szCs w:val="19"/>
        </w:rPr>
        <w:t xml:space="preserve"> </w:t>
      </w:r>
      <w:r w:rsidR="00A0342D">
        <w:rPr>
          <w:rFonts w:ascii="Arial" w:hAnsi="Arial" w:cs="Arial"/>
          <w:sz w:val="19"/>
          <w:szCs w:val="19"/>
        </w:rPr>
        <w:t xml:space="preserve">La </w:t>
      </w:r>
      <w:r w:rsidRPr="008A5DF2">
        <w:rPr>
          <w:rFonts w:ascii="Arial" w:hAnsi="Arial" w:cs="Arial"/>
          <w:sz w:val="19"/>
          <w:szCs w:val="19"/>
        </w:rPr>
        <w:t xml:space="preserve">Circular </w:t>
      </w:r>
      <w:r w:rsidR="00A0342D">
        <w:rPr>
          <w:rFonts w:ascii="Arial" w:hAnsi="Arial" w:cs="Arial"/>
          <w:sz w:val="19"/>
          <w:szCs w:val="19"/>
        </w:rPr>
        <w:t>No.</w:t>
      </w:r>
      <w:r w:rsidRPr="008A5DF2">
        <w:rPr>
          <w:rFonts w:ascii="Arial" w:hAnsi="Arial" w:cs="Arial"/>
          <w:sz w:val="19"/>
          <w:szCs w:val="19"/>
        </w:rPr>
        <w:t xml:space="preserve"> 007 del 22 de mayo de</w:t>
      </w:r>
      <w:r w:rsidRPr="008A5DF2">
        <w:rPr>
          <w:rFonts w:ascii="Arial" w:hAnsi="Arial" w:cs="Arial"/>
          <w:spacing w:val="1"/>
          <w:sz w:val="19"/>
          <w:szCs w:val="19"/>
        </w:rPr>
        <w:t xml:space="preserve"> </w:t>
      </w:r>
      <w:r w:rsidRPr="008A5DF2">
        <w:rPr>
          <w:rFonts w:ascii="Arial" w:hAnsi="Arial" w:cs="Arial"/>
          <w:sz w:val="19"/>
          <w:szCs w:val="19"/>
        </w:rPr>
        <w:t>2017</w:t>
      </w:r>
      <w:r w:rsidR="001A17E1">
        <w:rPr>
          <w:rFonts w:ascii="Arial" w:hAnsi="Arial" w:cs="Arial"/>
          <w:sz w:val="19"/>
          <w:szCs w:val="19"/>
        </w:rPr>
        <w:t>,</w:t>
      </w:r>
      <w:r w:rsidRPr="008A5DF2">
        <w:rPr>
          <w:rFonts w:ascii="Arial" w:hAnsi="Arial" w:cs="Arial"/>
          <w:sz w:val="19"/>
          <w:szCs w:val="19"/>
        </w:rPr>
        <w:t xml:space="preserve"> de manera casi idéntica a lo señalado en las anteriores, previa referencia a las restricciones de los artículos 33 y 38 de la Ley 996 de 20085,  insta a los servidores públicos a:«Verificar el sustento técnico, económico, legal y de cualquier otra índole de las prórrogas, modificaciones o adiciones de los contratos suscritos antes de la entrada en vigencia de las prohibiciones anotadas, así como la cesión de estos, velando porque siempre cumplan las reglas aplicables a la materia, dentro de los principios de selección objetiva, libre concurrencia, planeación, transparencia y responsabilidad» . Consultada</w:t>
      </w:r>
      <w:r w:rsidRPr="008A5DF2">
        <w:rPr>
          <w:rFonts w:ascii="Arial" w:hAnsi="Arial" w:cs="Arial"/>
          <w:spacing w:val="6"/>
          <w:sz w:val="19"/>
          <w:szCs w:val="19"/>
        </w:rPr>
        <w:t xml:space="preserve"> </w:t>
      </w:r>
      <w:r w:rsidRPr="008A5DF2">
        <w:rPr>
          <w:rFonts w:ascii="Arial" w:hAnsi="Arial" w:cs="Arial"/>
          <w:sz w:val="19"/>
          <w:szCs w:val="19"/>
        </w:rPr>
        <w:t>el</w:t>
      </w:r>
      <w:r w:rsidRPr="008A5DF2">
        <w:rPr>
          <w:rFonts w:ascii="Arial" w:hAnsi="Arial" w:cs="Arial"/>
          <w:spacing w:val="6"/>
          <w:sz w:val="19"/>
          <w:szCs w:val="19"/>
        </w:rPr>
        <w:t xml:space="preserve"> </w:t>
      </w:r>
      <w:r w:rsidRPr="008A5DF2">
        <w:rPr>
          <w:rFonts w:ascii="Arial" w:hAnsi="Arial" w:cs="Arial"/>
          <w:sz w:val="19"/>
          <w:szCs w:val="19"/>
        </w:rPr>
        <w:t>29</w:t>
      </w:r>
      <w:r w:rsidRPr="008A5DF2">
        <w:rPr>
          <w:rFonts w:ascii="Arial" w:hAnsi="Arial" w:cs="Arial"/>
          <w:spacing w:val="6"/>
          <w:sz w:val="19"/>
          <w:szCs w:val="19"/>
        </w:rPr>
        <w:t xml:space="preserve"> </w:t>
      </w:r>
      <w:r w:rsidRPr="008A5DF2">
        <w:rPr>
          <w:rFonts w:ascii="Arial" w:hAnsi="Arial" w:cs="Arial"/>
          <w:sz w:val="19"/>
          <w:szCs w:val="19"/>
        </w:rPr>
        <w:t>de</w:t>
      </w:r>
      <w:r w:rsidRPr="008A5DF2">
        <w:rPr>
          <w:rFonts w:ascii="Arial" w:hAnsi="Arial" w:cs="Arial"/>
          <w:spacing w:val="5"/>
          <w:sz w:val="19"/>
          <w:szCs w:val="19"/>
        </w:rPr>
        <w:t xml:space="preserve"> </w:t>
      </w:r>
      <w:r w:rsidRPr="008A5DF2">
        <w:rPr>
          <w:rFonts w:ascii="Arial" w:hAnsi="Arial" w:cs="Arial"/>
          <w:sz w:val="19"/>
          <w:szCs w:val="19"/>
        </w:rPr>
        <w:t>marzo</w:t>
      </w:r>
      <w:r w:rsidRPr="008A5DF2">
        <w:rPr>
          <w:rFonts w:ascii="Arial" w:hAnsi="Arial" w:cs="Arial"/>
          <w:spacing w:val="6"/>
          <w:sz w:val="19"/>
          <w:szCs w:val="19"/>
        </w:rPr>
        <w:t xml:space="preserve"> </w:t>
      </w:r>
      <w:r w:rsidRPr="008A5DF2">
        <w:rPr>
          <w:rFonts w:ascii="Arial" w:hAnsi="Arial" w:cs="Arial"/>
          <w:sz w:val="19"/>
          <w:szCs w:val="19"/>
        </w:rPr>
        <w:t>de</w:t>
      </w:r>
      <w:r w:rsidRPr="008A5DF2">
        <w:rPr>
          <w:rFonts w:ascii="Arial" w:hAnsi="Arial" w:cs="Arial"/>
          <w:spacing w:val="1"/>
          <w:sz w:val="19"/>
          <w:szCs w:val="19"/>
        </w:rPr>
        <w:t xml:space="preserve"> </w:t>
      </w:r>
      <w:r w:rsidRPr="008A5DF2">
        <w:rPr>
          <w:rFonts w:ascii="Arial" w:hAnsi="Arial" w:cs="Arial"/>
          <w:sz w:val="19"/>
          <w:szCs w:val="19"/>
        </w:rPr>
        <w:t>2022</w:t>
      </w:r>
      <w:r w:rsidRPr="008A5DF2">
        <w:rPr>
          <w:rFonts w:ascii="Arial" w:hAnsi="Arial" w:cs="Arial"/>
          <w:spacing w:val="-3"/>
          <w:sz w:val="19"/>
          <w:szCs w:val="19"/>
        </w:rPr>
        <w:t xml:space="preserve"> </w:t>
      </w:r>
      <w:r w:rsidRPr="008A5DF2">
        <w:rPr>
          <w:rFonts w:ascii="Arial" w:hAnsi="Arial" w:cs="Arial"/>
          <w:sz w:val="19"/>
          <w:szCs w:val="19"/>
        </w:rPr>
        <w:t>en</w:t>
      </w:r>
      <w:r w:rsidRPr="008A5DF2">
        <w:rPr>
          <w:rFonts w:ascii="Arial" w:hAnsi="Arial" w:cs="Arial"/>
          <w:spacing w:val="-2"/>
          <w:sz w:val="19"/>
          <w:szCs w:val="19"/>
        </w:rPr>
        <w:t xml:space="preserve"> </w:t>
      </w:r>
      <w:r w:rsidRPr="008A5DF2">
        <w:rPr>
          <w:rFonts w:ascii="Arial" w:hAnsi="Arial" w:cs="Arial"/>
          <w:sz w:val="19"/>
          <w:szCs w:val="19"/>
        </w:rPr>
        <w:t>la</w:t>
      </w:r>
      <w:r w:rsidRPr="008A5DF2">
        <w:rPr>
          <w:rFonts w:ascii="Arial" w:hAnsi="Arial" w:cs="Arial"/>
          <w:spacing w:val="-2"/>
          <w:sz w:val="19"/>
          <w:szCs w:val="19"/>
        </w:rPr>
        <w:t xml:space="preserve"> </w:t>
      </w:r>
      <w:r w:rsidRPr="008A5DF2">
        <w:rPr>
          <w:rFonts w:ascii="Arial" w:hAnsi="Arial" w:cs="Arial"/>
          <w:sz w:val="19"/>
          <w:szCs w:val="19"/>
        </w:rPr>
        <w:t>página</w:t>
      </w:r>
      <w:r w:rsidRPr="008A5DF2">
        <w:rPr>
          <w:rFonts w:ascii="Arial" w:hAnsi="Arial" w:cs="Arial"/>
          <w:spacing w:val="-2"/>
          <w:sz w:val="19"/>
          <w:szCs w:val="19"/>
        </w:rPr>
        <w:t xml:space="preserve"> </w:t>
      </w:r>
      <w:r w:rsidRPr="008A5DF2">
        <w:rPr>
          <w:rFonts w:ascii="Arial" w:hAnsi="Arial" w:cs="Arial"/>
          <w:sz w:val="19"/>
          <w:szCs w:val="19"/>
        </w:rPr>
        <w:t xml:space="preserve">web: </w:t>
      </w:r>
      <w:hyperlink r:id="rId2">
        <w:r w:rsidRPr="008A5DF2">
          <w:rPr>
            <w:rFonts w:ascii="Arial" w:hAnsi="Arial" w:cs="Arial"/>
            <w:sz w:val="19"/>
            <w:szCs w:val="19"/>
            <w:u w:val="single"/>
          </w:rPr>
          <w:t>https://www.procuraduria.gov.co/portal/relatoria_normatividad.page</w:t>
        </w:r>
      </w:hyperlink>
    </w:p>
  </w:footnote>
  <w:footnote w:id="40">
    <w:p w14:paraId="6F837459" w14:textId="77777777" w:rsidR="006C2B29" w:rsidRPr="008A5DF2" w:rsidRDefault="006C2B29" w:rsidP="006C2B29">
      <w:pPr>
        <w:pStyle w:val="Textoindependiente"/>
        <w:ind w:right="49" w:firstLine="709"/>
        <w:jc w:val="both"/>
        <w:rPr>
          <w:sz w:val="19"/>
          <w:szCs w:val="19"/>
        </w:rPr>
      </w:pPr>
      <w:r w:rsidRPr="008A5DF2">
        <w:rPr>
          <w:rStyle w:val="Refdenotaalpie"/>
          <w:sz w:val="19"/>
          <w:szCs w:val="19"/>
        </w:rPr>
        <w:footnoteRef/>
      </w:r>
      <w:r w:rsidRPr="008A5DF2">
        <w:rPr>
          <w:sz w:val="19"/>
          <w:szCs w:val="19"/>
        </w:rPr>
        <w:t xml:space="preserve"> En la Circular Conjunta 100-006 del 16 de noviembre de 2021 expedida por</w:t>
      </w:r>
      <w:r w:rsidRPr="008A5DF2">
        <w:rPr>
          <w:spacing w:val="1"/>
          <w:sz w:val="19"/>
          <w:szCs w:val="19"/>
        </w:rPr>
        <w:t xml:space="preserve"> </w:t>
      </w:r>
      <w:r w:rsidRPr="008A5DF2">
        <w:rPr>
          <w:sz w:val="19"/>
          <w:szCs w:val="19"/>
        </w:rPr>
        <w:t>los directores del Departamento Administrativo de la Presidencia de la República y del</w:t>
      </w:r>
      <w:r w:rsidRPr="008A5DF2">
        <w:rPr>
          <w:spacing w:val="1"/>
          <w:sz w:val="19"/>
          <w:szCs w:val="19"/>
        </w:rPr>
        <w:t xml:space="preserve"> </w:t>
      </w:r>
      <w:r w:rsidRPr="008A5DF2">
        <w:rPr>
          <w:sz w:val="19"/>
          <w:szCs w:val="19"/>
        </w:rPr>
        <w:t>Departamento</w:t>
      </w:r>
      <w:r w:rsidRPr="008A5DF2">
        <w:rPr>
          <w:spacing w:val="-14"/>
          <w:sz w:val="19"/>
          <w:szCs w:val="19"/>
        </w:rPr>
        <w:t xml:space="preserve"> </w:t>
      </w:r>
      <w:r w:rsidRPr="008A5DF2">
        <w:rPr>
          <w:sz w:val="19"/>
          <w:szCs w:val="19"/>
        </w:rPr>
        <w:t>Administrativo</w:t>
      </w:r>
      <w:r w:rsidRPr="008A5DF2">
        <w:rPr>
          <w:spacing w:val="-11"/>
          <w:sz w:val="19"/>
          <w:szCs w:val="19"/>
        </w:rPr>
        <w:t xml:space="preserve"> </w:t>
      </w:r>
      <w:r w:rsidRPr="008A5DF2">
        <w:rPr>
          <w:sz w:val="19"/>
          <w:szCs w:val="19"/>
        </w:rPr>
        <w:t>de</w:t>
      </w:r>
      <w:r w:rsidRPr="008A5DF2">
        <w:rPr>
          <w:spacing w:val="-14"/>
          <w:sz w:val="19"/>
          <w:szCs w:val="19"/>
        </w:rPr>
        <w:t xml:space="preserve"> </w:t>
      </w:r>
      <w:r w:rsidRPr="008A5DF2">
        <w:rPr>
          <w:sz w:val="19"/>
          <w:szCs w:val="19"/>
        </w:rPr>
        <w:t>la</w:t>
      </w:r>
      <w:r w:rsidRPr="008A5DF2">
        <w:rPr>
          <w:spacing w:val="-13"/>
          <w:sz w:val="19"/>
          <w:szCs w:val="19"/>
        </w:rPr>
        <w:t xml:space="preserve"> </w:t>
      </w:r>
      <w:r w:rsidRPr="008A5DF2">
        <w:rPr>
          <w:sz w:val="19"/>
          <w:szCs w:val="19"/>
        </w:rPr>
        <w:t>Función</w:t>
      </w:r>
      <w:r w:rsidRPr="008A5DF2">
        <w:rPr>
          <w:spacing w:val="-13"/>
          <w:sz w:val="19"/>
          <w:szCs w:val="19"/>
        </w:rPr>
        <w:t xml:space="preserve"> </w:t>
      </w:r>
      <w:r w:rsidRPr="008A5DF2">
        <w:rPr>
          <w:sz w:val="19"/>
          <w:szCs w:val="19"/>
        </w:rPr>
        <w:t>Pública,</w:t>
      </w:r>
      <w:r w:rsidRPr="008A5DF2">
        <w:rPr>
          <w:spacing w:val="-13"/>
          <w:sz w:val="19"/>
          <w:szCs w:val="19"/>
        </w:rPr>
        <w:t xml:space="preserve"> </w:t>
      </w:r>
      <w:r w:rsidRPr="008A5DF2">
        <w:rPr>
          <w:sz w:val="19"/>
          <w:szCs w:val="19"/>
        </w:rPr>
        <w:t xml:space="preserve">se indica: «La Ley de Garantías no establece restricciones para las prórrogas, modificaciones o adiciones, ni para la cesión de los contratos suscritos antes del período de la campaña presidencial. Estas se pueden celebrar de conformidad con los principios de planeación, transparencia y de responsabilidad establecidos en la Ley 80 de 1993, y demás normas que resulten aplicables a cada caso». Consultada el 29 de marzo de 2022 en la página web: </w:t>
      </w:r>
      <w:hyperlink r:id="rId3" w:history="1">
        <w:r w:rsidRPr="008A5DF2">
          <w:rPr>
            <w:rStyle w:val="Hipervnculo"/>
            <w:sz w:val="19"/>
            <w:szCs w:val="19"/>
          </w:rPr>
          <w:t>https://dapre.presidencia.gov.co/normativa/normativa/CIRCULAR%20CONJUNTA%20100-06%20DE%202021.pdf</w:t>
        </w:r>
      </w:hyperlink>
    </w:p>
    <w:p w14:paraId="21137DFC" w14:textId="77777777" w:rsidR="006C2B29" w:rsidRPr="00CD45AB" w:rsidRDefault="006C2B29" w:rsidP="006C2B29">
      <w:pPr>
        <w:pStyle w:val="Textonotapie"/>
        <w:ind w:firstLine="708"/>
        <w:jc w:val="both"/>
        <w:rPr>
          <w:rFonts w:ascii="Arial" w:hAnsi="Arial" w:cs="Arial"/>
          <w:sz w:val="19"/>
          <w:szCs w:val="19"/>
        </w:rPr>
      </w:pPr>
      <w:r w:rsidRPr="00CD45AB">
        <w:rPr>
          <w:rFonts w:ascii="Arial" w:hAnsi="Arial" w:cs="Arial"/>
          <w:sz w:val="19"/>
          <w:szCs w:val="19"/>
        </w:rPr>
        <w:t xml:space="preserve"> </w:t>
      </w:r>
    </w:p>
  </w:footnote>
  <w:footnote w:id="41">
    <w:p w14:paraId="0673231D" w14:textId="209624CE" w:rsidR="00CD45AB" w:rsidRPr="00F25EA6" w:rsidRDefault="00CD45AB" w:rsidP="00F25EA6">
      <w:pPr>
        <w:pStyle w:val="Textoindependiente"/>
        <w:ind w:right="49" w:firstLine="709"/>
        <w:jc w:val="both"/>
        <w:rPr>
          <w:sz w:val="19"/>
          <w:szCs w:val="19"/>
        </w:rPr>
      </w:pPr>
      <w:r w:rsidRPr="00F25EA6">
        <w:rPr>
          <w:rStyle w:val="Refdenotaalpie"/>
          <w:sz w:val="19"/>
          <w:szCs w:val="19"/>
        </w:rPr>
        <w:footnoteRef/>
      </w:r>
      <w:r w:rsidRPr="00F25EA6">
        <w:rPr>
          <w:sz w:val="19"/>
          <w:szCs w:val="19"/>
        </w:rPr>
        <w:t xml:space="preserve"> Así lo explicó la Agencia en el concepto C-757 del 30 de diciembre de 2021, en el que se sostuvo: «Conforme a lo expuesto, la suscripción de prórrogas, adiciones, modificaciones o</w:t>
      </w:r>
      <w:r w:rsidRPr="00F25EA6">
        <w:rPr>
          <w:spacing w:val="1"/>
          <w:sz w:val="19"/>
          <w:szCs w:val="19"/>
        </w:rPr>
        <w:t xml:space="preserve"> </w:t>
      </w:r>
      <w:r w:rsidRPr="00F25EA6">
        <w:rPr>
          <w:sz w:val="19"/>
          <w:szCs w:val="19"/>
        </w:rPr>
        <w:t>cesiones de contratos suscritos antes del inicio del periodo durante el que rigen las</w:t>
      </w:r>
      <w:r w:rsidRPr="00F25EA6">
        <w:rPr>
          <w:spacing w:val="1"/>
          <w:sz w:val="19"/>
          <w:szCs w:val="19"/>
        </w:rPr>
        <w:t xml:space="preserve"> </w:t>
      </w:r>
      <w:r w:rsidRPr="00F25EA6">
        <w:rPr>
          <w:sz w:val="19"/>
          <w:szCs w:val="19"/>
        </w:rPr>
        <w:t>restricciones</w:t>
      </w:r>
      <w:r w:rsidRPr="00F25EA6">
        <w:rPr>
          <w:spacing w:val="-5"/>
          <w:sz w:val="19"/>
          <w:szCs w:val="19"/>
        </w:rPr>
        <w:t xml:space="preserve"> </w:t>
      </w:r>
      <w:r w:rsidRPr="00F25EA6">
        <w:rPr>
          <w:sz w:val="19"/>
          <w:szCs w:val="19"/>
        </w:rPr>
        <w:t>de</w:t>
      </w:r>
      <w:r w:rsidRPr="00F25EA6">
        <w:rPr>
          <w:spacing w:val="-4"/>
          <w:sz w:val="19"/>
          <w:szCs w:val="19"/>
        </w:rPr>
        <w:t xml:space="preserve"> </w:t>
      </w:r>
      <w:r w:rsidRPr="00F25EA6">
        <w:rPr>
          <w:sz w:val="19"/>
          <w:szCs w:val="19"/>
        </w:rPr>
        <w:t>los</w:t>
      </w:r>
      <w:r w:rsidRPr="00F25EA6">
        <w:rPr>
          <w:spacing w:val="-4"/>
          <w:sz w:val="19"/>
          <w:szCs w:val="19"/>
        </w:rPr>
        <w:t xml:space="preserve"> </w:t>
      </w:r>
      <w:r w:rsidRPr="00F25EA6">
        <w:rPr>
          <w:sz w:val="19"/>
          <w:szCs w:val="19"/>
        </w:rPr>
        <w:t>artículos</w:t>
      </w:r>
      <w:r w:rsidRPr="00F25EA6">
        <w:rPr>
          <w:spacing w:val="-5"/>
          <w:sz w:val="19"/>
          <w:szCs w:val="19"/>
        </w:rPr>
        <w:t xml:space="preserve"> </w:t>
      </w:r>
      <w:r w:rsidRPr="00F25EA6">
        <w:rPr>
          <w:sz w:val="19"/>
          <w:szCs w:val="19"/>
        </w:rPr>
        <w:t>33</w:t>
      </w:r>
      <w:r w:rsidRPr="00F25EA6">
        <w:rPr>
          <w:spacing w:val="-4"/>
          <w:sz w:val="19"/>
          <w:szCs w:val="19"/>
        </w:rPr>
        <w:t xml:space="preserve"> </w:t>
      </w:r>
      <w:r w:rsidRPr="00F25EA6">
        <w:rPr>
          <w:sz w:val="19"/>
          <w:szCs w:val="19"/>
        </w:rPr>
        <w:t>y</w:t>
      </w:r>
      <w:r w:rsidRPr="00F25EA6">
        <w:rPr>
          <w:spacing w:val="-4"/>
          <w:sz w:val="19"/>
          <w:szCs w:val="19"/>
        </w:rPr>
        <w:t xml:space="preserve"> </w:t>
      </w:r>
      <w:r w:rsidRPr="00F25EA6">
        <w:rPr>
          <w:sz w:val="19"/>
          <w:szCs w:val="19"/>
        </w:rPr>
        <w:t>38</w:t>
      </w:r>
      <w:r w:rsidRPr="00F25EA6">
        <w:rPr>
          <w:spacing w:val="-5"/>
          <w:sz w:val="19"/>
          <w:szCs w:val="19"/>
        </w:rPr>
        <w:t xml:space="preserve"> </w:t>
      </w:r>
      <w:r w:rsidRPr="00F25EA6">
        <w:rPr>
          <w:sz w:val="19"/>
          <w:szCs w:val="19"/>
        </w:rPr>
        <w:t>de</w:t>
      </w:r>
      <w:r w:rsidRPr="00F25EA6">
        <w:rPr>
          <w:spacing w:val="-4"/>
          <w:sz w:val="19"/>
          <w:szCs w:val="19"/>
        </w:rPr>
        <w:t xml:space="preserve"> </w:t>
      </w:r>
      <w:r w:rsidRPr="00F25EA6">
        <w:rPr>
          <w:sz w:val="19"/>
          <w:szCs w:val="19"/>
        </w:rPr>
        <w:t>la</w:t>
      </w:r>
      <w:r w:rsidRPr="00F25EA6">
        <w:rPr>
          <w:spacing w:val="-4"/>
          <w:sz w:val="19"/>
          <w:szCs w:val="19"/>
        </w:rPr>
        <w:t xml:space="preserve"> </w:t>
      </w:r>
      <w:r w:rsidRPr="00F25EA6">
        <w:rPr>
          <w:sz w:val="19"/>
          <w:szCs w:val="19"/>
        </w:rPr>
        <w:t>Ley</w:t>
      </w:r>
      <w:r w:rsidRPr="00F25EA6">
        <w:rPr>
          <w:spacing w:val="-5"/>
          <w:sz w:val="19"/>
          <w:szCs w:val="19"/>
        </w:rPr>
        <w:t xml:space="preserve"> </w:t>
      </w:r>
      <w:r w:rsidRPr="00F25EA6">
        <w:rPr>
          <w:sz w:val="19"/>
          <w:szCs w:val="19"/>
        </w:rPr>
        <w:t>996</w:t>
      </w:r>
      <w:r w:rsidRPr="00F25EA6">
        <w:rPr>
          <w:spacing w:val="-4"/>
          <w:sz w:val="19"/>
          <w:szCs w:val="19"/>
        </w:rPr>
        <w:t xml:space="preserve"> </w:t>
      </w:r>
      <w:r w:rsidRPr="00F25EA6">
        <w:rPr>
          <w:sz w:val="19"/>
          <w:szCs w:val="19"/>
        </w:rPr>
        <w:t>de</w:t>
      </w:r>
      <w:r w:rsidRPr="00F25EA6">
        <w:rPr>
          <w:spacing w:val="-4"/>
          <w:sz w:val="19"/>
          <w:szCs w:val="19"/>
        </w:rPr>
        <w:t xml:space="preserve"> </w:t>
      </w:r>
      <w:r w:rsidRPr="00F25EA6">
        <w:rPr>
          <w:sz w:val="19"/>
          <w:szCs w:val="19"/>
        </w:rPr>
        <w:t>2005,</w:t>
      </w:r>
      <w:r w:rsidRPr="00F25EA6">
        <w:rPr>
          <w:spacing w:val="-5"/>
          <w:sz w:val="19"/>
          <w:szCs w:val="19"/>
        </w:rPr>
        <w:t xml:space="preserve"> </w:t>
      </w:r>
      <w:r w:rsidRPr="00F25EA6">
        <w:rPr>
          <w:sz w:val="19"/>
          <w:szCs w:val="19"/>
        </w:rPr>
        <w:t>no</w:t>
      </w:r>
      <w:r w:rsidRPr="00F25EA6">
        <w:rPr>
          <w:spacing w:val="-4"/>
          <w:sz w:val="19"/>
          <w:szCs w:val="19"/>
        </w:rPr>
        <w:t xml:space="preserve"> </w:t>
      </w:r>
      <w:r w:rsidRPr="00F25EA6">
        <w:rPr>
          <w:sz w:val="19"/>
          <w:szCs w:val="19"/>
        </w:rPr>
        <w:t>se</w:t>
      </w:r>
      <w:r w:rsidRPr="00F25EA6">
        <w:rPr>
          <w:spacing w:val="-4"/>
          <w:sz w:val="19"/>
          <w:szCs w:val="19"/>
        </w:rPr>
        <w:t xml:space="preserve"> </w:t>
      </w:r>
      <w:r w:rsidRPr="00F25EA6">
        <w:rPr>
          <w:sz w:val="19"/>
          <w:szCs w:val="19"/>
        </w:rPr>
        <w:t>encuentra</w:t>
      </w:r>
      <w:r w:rsidRPr="00F25EA6">
        <w:rPr>
          <w:spacing w:val="-4"/>
          <w:sz w:val="19"/>
          <w:szCs w:val="19"/>
        </w:rPr>
        <w:t xml:space="preserve"> </w:t>
      </w:r>
      <w:r w:rsidRPr="00F25EA6">
        <w:rPr>
          <w:sz w:val="19"/>
          <w:szCs w:val="19"/>
        </w:rPr>
        <w:t>dentro</w:t>
      </w:r>
      <w:r w:rsidRPr="00F25EA6">
        <w:rPr>
          <w:spacing w:val="-5"/>
          <w:sz w:val="19"/>
          <w:szCs w:val="19"/>
        </w:rPr>
        <w:t xml:space="preserve"> </w:t>
      </w:r>
      <w:r w:rsidRPr="00F25EA6">
        <w:rPr>
          <w:sz w:val="19"/>
          <w:szCs w:val="19"/>
        </w:rPr>
        <w:t>del</w:t>
      </w:r>
      <w:r w:rsidRPr="00F25EA6">
        <w:rPr>
          <w:spacing w:val="-58"/>
          <w:sz w:val="19"/>
          <w:szCs w:val="19"/>
        </w:rPr>
        <w:t xml:space="preserve"> </w:t>
      </w:r>
      <w:r w:rsidRPr="00F25EA6">
        <w:rPr>
          <w:sz w:val="19"/>
          <w:szCs w:val="19"/>
        </w:rPr>
        <w:t>ámbito de aplicación de dichas normas. Esto significa que, las entidades estatales</w:t>
      </w:r>
      <w:r w:rsidRPr="00F25EA6">
        <w:rPr>
          <w:spacing w:val="1"/>
          <w:sz w:val="19"/>
          <w:szCs w:val="19"/>
        </w:rPr>
        <w:t xml:space="preserve"> </w:t>
      </w:r>
      <w:r w:rsidRPr="00F25EA6">
        <w:rPr>
          <w:sz w:val="19"/>
          <w:szCs w:val="19"/>
        </w:rPr>
        <w:t>pueden válidamente realizar tales actuaciones sobre dichos contratos, incluso en el</w:t>
      </w:r>
      <w:r w:rsidRPr="00F25EA6">
        <w:rPr>
          <w:spacing w:val="1"/>
          <w:sz w:val="19"/>
          <w:szCs w:val="19"/>
        </w:rPr>
        <w:t xml:space="preserve"> </w:t>
      </w:r>
      <w:r w:rsidRPr="00F25EA6">
        <w:rPr>
          <w:sz w:val="19"/>
          <w:szCs w:val="19"/>
        </w:rPr>
        <w:t>transcurso de los periodos prelectorales en los que las aludidas restricciones tienen</w:t>
      </w:r>
      <w:r w:rsidRPr="00F25EA6">
        <w:rPr>
          <w:spacing w:val="1"/>
          <w:sz w:val="19"/>
          <w:szCs w:val="19"/>
        </w:rPr>
        <w:t xml:space="preserve"> </w:t>
      </w:r>
      <w:r w:rsidRPr="00F25EA6">
        <w:rPr>
          <w:sz w:val="19"/>
          <w:szCs w:val="19"/>
        </w:rPr>
        <w:t>vigencia, toda vez que las mismas no prohíben la suscripción de prórrogas, adiciones,</w:t>
      </w:r>
      <w:r w:rsidRPr="00F25EA6">
        <w:rPr>
          <w:spacing w:val="1"/>
          <w:sz w:val="19"/>
          <w:szCs w:val="19"/>
        </w:rPr>
        <w:t xml:space="preserve"> </w:t>
      </w:r>
      <w:r w:rsidRPr="00F25EA6">
        <w:rPr>
          <w:sz w:val="19"/>
          <w:szCs w:val="19"/>
        </w:rPr>
        <w:t>modificaciones</w:t>
      </w:r>
      <w:r w:rsidRPr="00F25EA6">
        <w:rPr>
          <w:spacing w:val="-1"/>
          <w:sz w:val="19"/>
          <w:szCs w:val="19"/>
        </w:rPr>
        <w:t xml:space="preserve"> </w:t>
      </w:r>
      <w:r w:rsidRPr="00F25EA6">
        <w:rPr>
          <w:sz w:val="19"/>
          <w:szCs w:val="19"/>
        </w:rPr>
        <w:t>o</w:t>
      </w:r>
      <w:r w:rsidRPr="00F25EA6">
        <w:rPr>
          <w:spacing w:val="-1"/>
          <w:sz w:val="19"/>
          <w:szCs w:val="19"/>
        </w:rPr>
        <w:t xml:space="preserve"> </w:t>
      </w:r>
      <w:r w:rsidRPr="00F25EA6">
        <w:rPr>
          <w:sz w:val="19"/>
          <w:szCs w:val="19"/>
        </w:rPr>
        <w:t>cesiones.</w:t>
      </w:r>
    </w:p>
    <w:p w14:paraId="0A16D17A" w14:textId="09741800" w:rsidR="00CD45AB" w:rsidRPr="00F25EA6" w:rsidRDefault="00CD45AB" w:rsidP="00F25EA6">
      <w:pPr>
        <w:pStyle w:val="Textoindependiente"/>
        <w:spacing w:before="120"/>
        <w:ind w:right="49" w:firstLine="709"/>
        <w:jc w:val="both"/>
        <w:rPr>
          <w:sz w:val="19"/>
          <w:szCs w:val="19"/>
          <w:highlight w:val="yellow"/>
        </w:rPr>
      </w:pPr>
      <w:r w:rsidRPr="00F25EA6">
        <w:rPr>
          <w:sz w:val="19"/>
          <w:szCs w:val="19"/>
        </w:rPr>
        <w:t>»Tal</w:t>
      </w:r>
      <w:r w:rsidRPr="00F25EA6">
        <w:rPr>
          <w:spacing w:val="1"/>
          <w:sz w:val="19"/>
          <w:szCs w:val="19"/>
        </w:rPr>
        <w:t xml:space="preserve"> </w:t>
      </w:r>
      <w:r w:rsidRPr="00F25EA6">
        <w:rPr>
          <w:sz w:val="19"/>
          <w:szCs w:val="19"/>
        </w:rPr>
        <w:t>posibilidad</w:t>
      </w:r>
      <w:r w:rsidRPr="00F25EA6">
        <w:rPr>
          <w:spacing w:val="1"/>
          <w:sz w:val="19"/>
          <w:szCs w:val="19"/>
        </w:rPr>
        <w:t xml:space="preserve"> </w:t>
      </w:r>
      <w:r w:rsidRPr="00F25EA6">
        <w:rPr>
          <w:sz w:val="19"/>
          <w:szCs w:val="19"/>
        </w:rPr>
        <w:t>se</w:t>
      </w:r>
      <w:r w:rsidRPr="00F25EA6">
        <w:rPr>
          <w:spacing w:val="1"/>
          <w:sz w:val="19"/>
          <w:szCs w:val="19"/>
        </w:rPr>
        <w:t xml:space="preserve"> </w:t>
      </w:r>
      <w:r w:rsidRPr="00F25EA6">
        <w:rPr>
          <w:sz w:val="19"/>
          <w:szCs w:val="19"/>
        </w:rPr>
        <w:t>encuentra</w:t>
      </w:r>
      <w:r w:rsidRPr="00F25EA6">
        <w:rPr>
          <w:spacing w:val="1"/>
          <w:sz w:val="19"/>
          <w:szCs w:val="19"/>
        </w:rPr>
        <w:t xml:space="preserve"> </w:t>
      </w:r>
      <w:r w:rsidRPr="00F25EA6">
        <w:rPr>
          <w:sz w:val="19"/>
          <w:szCs w:val="19"/>
        </w:rPr>
        <w:t>supeditada</w:t>
      </w:r>
      <w:r w:rsidRPr="00F25EA6">
        <w:rPr>
          <w:spacing w:val="1"/>
          <w:sz w:val="19"/>
          <w:szCs w:val="19"/>
        </w:rPr>
        <w:t xml:space="preserve"> </w:t>
      </w:r>
      <w:r w:rsidRPr="00F25EA6">
        <w:rPr>
          <w:sz w:val="19"/>
          <w:szCs w:val="19"/>
        </w:rPr>
        <w:t>a</w:t>
      </w:r>
      <w:r w:rsidRPr="00F25EA6">
        <w:rPr>
          <w:spacing w:val="1"/>
          <w:sz w:val="19"/>
          <w:szCs w:val="19"/>
        </w:rPr>
        <w:t xml:space="preserve"> </w:t>
      </w:r>
      <w:r w:rsidRPr="00F25EA6">
        <w:rPr>
          <w:sz w:val="19"/>
          <w:szCs w:val="19"/>
        </w:rPr>
        <w:t>que</w:t>
      </w:r>
      <w:r w:rsidRPr="00F25EA6">
        <w:rPr>
          <w:spacing w:val="1"/>
          <w:sz w:val="19"/>
          <w:szCs w:val="19"/>
        </w:rPr>
        <w:t xml:space="preserve"> </w:t>
      </w:r>
      <w:r w:rsidRPr="00F25EA6">
        <w:rPr>
          <w:sz w:val="19"/>
          <w:szCs w:val="19"/>
        </w:rPr>
        <w:t>las</w:t>
      </w:r>
      <w:r w:rsidRPr="00F25EA6">
        <w:rPr>
          <w:spacing w:val="1"/>
          <w:sz w:val="19"/>
          <w:szCs w:val="19"/>
        </w:rPr>
        <w:t xml:space="preserve"> </w:t>
      </w:r>
      <w:r w:rsidRPr="00F25EA6">
        <w:rPr>
          <w:sz w:val="19"/>
          <w:szCs w:val="19"/>
        </w:rPr>
        <w:t>prórrogas,</w:t>
      </w:r>
      <w:r w:rsidRPr="00F25EA6">
        <w:rPr>
          <w:spacing w:val="1"/>
          <w:sz w:val="19"/>
          <w:szCs w:val="19"/>
        </w:rPr>
        <w:t xml:space="preserve"> </w:t>
      </w:r>
      <w:r w:rsidRPr="00F25EA6">
        <w:rPr>
          <w:sz w:val="19"/>
          <w:szCs w:val="19"/>
        </w:rPr>
        <w:t>adiciones,</w:t>
      </w:r>
      <w:r w:rsidRPr="00F25EA6">
        <w:rPr>
          <w:spacing w:val="1"/>
          <w:sz w:val="19"/>
          <w:szCs w:val="19"/>
        </w:rPr>
        <w:t xml:space="preserve"> </w:t>
      </w:r>
      <w:r w:rsidRPr="00F25EA6">
        <w:rPr>
          <w:sz w:val="19"/>
          <w:szCs w:val="19"/>
        </w:rPr>
        <w:t>modificaciones o cesiones, se realicen conforme las demás normas que deban ser</w:t>
      </w:r>
      <w:r w:rsidRPr="00F25EA6">
        <w:rPr>
          <w:spacing w:val="1"/>
          <w:sz w:val="19"/>
          <w:szCs w:val="19"/>
        </w:rPr>
        <w:t xml:space="preserve"> </w:t>
      </w:r>
      <w:r w:rsidRPr="00F25EA6">
        <w:rPr>
          <w:sz w:val="19"/>
          <w:szCs w:val="19"/>
        </w:rPr>
        <w:t>aplicadas para la realización de estas actuaciones, de suerte que, al margen de la no</w:t>
      </w:r>
      <w:r w:rsidRPr="00F25EA6">
        <w:rPr>
          <w:spacing w:val="1"/>
          <w:sz w:val="19"/>
          <w:szCs w:val="19"/>
        </w:rPr>
        <w:t xml:space="preserve"> </w:t>
      </w:r>
      <w:r w:rsidRPr="00F25EA6">
        <w:rPr>
          <w:sz w:val="19"/>
          <w:szCs w:val="19"/>
        </w:rPr>
        <w:t>transgresión de la Ley de Garantías, con su celebración no se contravengan otras</w:t>
      </w:r>
      <w:r w:rsidRPr="00F25EA6">
        <w:rPr>
          <w:spacing w:val="1"/>
          <w:sz w:val="19"/>
          <w:szCs w:val="19"/>
        </w:rPr>
        <w:t xml:space="preserve"> </w:t>
      </w:r>
      <w:r w:rsidRPr="00F25EA6">
        <w:rPr>
          <w:sz w:val="19"/>
          <w:szCs w:val="19"/>
        </w:rPr>
        <w:t xml:space="preserve">disposiciones del marco jurídico que les aplica». Colombia Compra Eficiente. Radicado No. P20211229011856. Radicado de salida No. </w:t>
      </w:r>
      <w:r w:rsidR="00B73662" w:rsidRPr="00B73662">
        <w:rPr>
          <w:sz w:val="19"/>
          <w:szCs w:val="19"/>
        </w:rPr>
        <w:t>RS20211230014107</w:t>
      </w:r>
      <w:r w:rsidR="00B73662">
        <w:rPr>
          <w:sz w:val="19"/>
          <w:szCs w:val="19"/>
        </w:rPr>
        <w:t>.</w:t>
      </w:r>
    </w:p>
    <w:p w14:paraId="286EE2CE" w14:textId="77777777" w:rsidR="00CD45AB" w:rsidRDefault="00CD45AB" w:rsidP="00CD45AB">
      <w:pPr>
        <w:pStyle w:val="Textoindependiente"/>
        <w:spacing w:before="120" w:line="276" w:lineRule="auto"/>
        <w:ind w:right="49" w:firstLine="709"/>
        <w:jc w:val="both"/>
        <w:rPr>
          <w:highlight w:val="yellow"/>
        </w:rPr>
      </w:pPr>
    </w:p>
    <w:p w14:paraId="6FAF10BA" w14:textId="40FFB621" w:rsidR="00CD45AB" w:rsidRDefault="00CD45AB" w:rsidP="00F25EA6">
      <w:pPr>
        <w:pStyle w:val="Textonotapie"/>
        <w:ind w:firstLine="708"/>
      </w:pPr>
      <w:r>
        <w:t xml:space="preserve"> </w:t>
      </w:r>
    </w:p>
  </w:footnote>
  <w:footnote w:id="42">
    <w:p w14:paraId="038928A0" w14:textId="766CC436" w:rsidR="00B93A0E" w:rsidRPr="00B93A0E" w:rsidRDefault="00B93A0E" w:rsidP="008D36E6">
      <w:pPr>
        <w:pStyle w:val="NormalWeb"/>
        <w:spacing w:before="0" w:beforeAutospacing="0" w:after="0" w:afterAutospacing="0"/>
        <w:ind w:firstLine="708"/>
        <w:jc w:val="both"/>
        <w:rPr>
          <w:rFonts w:ascii="Arial" w:hAnsi="Arial" w:cs="Arial"/>
          <w:color w:val="000000"/>
          <w:sz w:val="19"/>
          <w:szCs w:val="19"/>
          <w:lang w:eastAsia="es-CO"/>
        </w:rPr>
      </w:pPr>
      <w:r w:rsidRPr="00B93A0E">
        <w:rPr>
          <w:rStyle w:val="Refdenotaalpie"/>
          <w:rFonts w:ascii="Arial" w:hAnsi="Arial" w:cs="Arial"/>
          <w:sz w:val="19"/>
          <w:szCs w:val="19"/>
        </w:rPr>
        <w:footnoteRef/>
      </w:r>
      <w:r w:rsidRPr="00B93A0E">
        <w:rPr>
          <w:rFonts w:ascii="Arial" w:hAnsi="Arial" w:cs="Arial"/>
          <w:sz w:val="19"/>
          <w:szCs w:val="19"/>
        </w:rPr>
        <w:t xml:space="preserve"> </w:t>
      </w:r>
      <w:r>
        <w:rPr>
          <w:rFonts w:ascii="Arial" w:hAnsi="Arial" w:cs="Arial"/>
          <w:sz w:val="19"/>
          <w:szCs w:val="19"/>
        </w:rPr>
        <w:t>Ley 1955 de 20</w:t>
      </w:r>
      <w:r w:rsidR="00B559E9">
        <w:rPr>
          <w:rFonts w:ascii="Arial" w:hAnsi="Arial" w:cs="Arial"/>
          <w:sz w:val="19"/>
          <w:szCs w:val="19"/>
        </w:rPr>
        <w:t xml:space="preserve">19: </w:t>
      </w:r>
      <w:r w:rsidRPr="00B93A0E">
        <w:rPr>
          <w:rFonts w:ascii="Arial" w:hAnsi="Arial" w:cs="Arial"/>
          <w:sz w:val="19"/>
          <w:szCs w:val="19"/>
        </w:rPr>
        <w:t>«</w:t>
      </w:r>
      <w:r w:rsidRPr="00B93A0E">
        <w:rPr>
          <w:rFonts w:ascii="Arial" w:hAnsi="Arial" w:cs="Arial"/>
          <w:color w:val="000000"/>
          <w:sz w:val="19"/>
          <w:szCs w:val="19"/>
          <w:lang w:eastAsia="es-CO"/>
        </w:rPr>
        <w:t>Artículo</w:t>
      </w:r>
      <w:r w:rsidRPr="00B93A0E">
        <w:rPr>
          <w:rFonts w:ascii="Arial" w:hAnsi="Arial" w:cs="Arial"/>
          <w:b/>
          <w:bCs/>
          <w:color w:val="000000"/>
          <w:sz w:val="19"/>
          <w:szCs w:val="19"/>
          <w:lang w:eastAsia="es-CO"/>
        </w:rPr>
        <w:t xml:space="preserve"> </w:t>
      </w:r>
      <w:r w:rsidRPr="00B93A0E">
        <w:rPr>
          <w:rFonts w:ascii="Arial" w:hAnsi="Arial" w:cs="Arial"/>
          <w:color w:val="000000"/>
          <w:sz w:val="19"/>
          <w:szCs w:val="19"/>
          <w:lang w:eastAsia="es-CO"/>
        </w:rPr>
        <w:t>238</w:t>
      </w:r>
      <w:r w:rsidRPr="00B93A0E">
        <w:rPr>
          <w:rFonts w:ascii="Arial" w:hAnsi="Arial" w:cs="Arial"/>
          <w:b/>
          <w:bCs/>
          <w:color w:val="000000"/>
          <w:sz w:val="19"/>
          <w:szCs w:val="19"/>
          <w:lang w:eastAsia="es-CO"/>
        </w:rPr>
        <w:t xml:space="preserve">. </w:t>
      </w:r>
      <w:r w:rsidRPr="00B93A0E">
        <w:rPr>
          <w:rFonts w:ascii="Arial" w:hAnsi="Arial" w:cs="Arial"/>
          <w:color w:val="000000"/>
          <w:sz w:val="19"/>
          <w:szCs w:val="19"/>
          <w:lang w:eastAsia="es-CO"/>
        </w:rPr>
        <w:t>Saneamiento financiero del sector salud en las entida</w:t>
      </w:r>
      <w:r w:rsidRPr="00B93A0E">
        <w:rPr>
          <w:rFonts w:ascii="Arial" w:hAnsi="Arial" w:cs="Arial"/>
          <w:color w:val="000000"/>
          <w:sz w:val="19"/>
          <w:szCs w:val="19"/>
          <w:lang w:eastAsia="es-CO"/>
        </w:rPr>
        <w:softHyphen/>
        <w:t>des territoriales. Para efectos de lograr el saneamiento definitivo de las cuentas de servicios y tecnologías en salud no financiadas por la UPC del régimen subsidiado prestados hasta el 31 de diciembre de 2019, deberán cumplirse las siguientes reglas: </w:t>
      </w:r>
    </w:p>
    <w:p w14:paraId="3BF738A6" w14:textId="3E89DFF2" w:rsidR="00B93A0E" w:rsidRPr="00B93A0E" w:rsidRDefault="00B93A0E" w:rsidP="008D36E6">
      <w:pPr>
        <w:ind w:firstLine="708"/>
        <w:jc w:val="both"/>
        <w:rPr>
          <w:rFonts w:ascii="Arial" w:eastAsia="Times New Roman" w:hAnsi="Arial" w:cs="Arial"/>
          <w:color w:val="000000"/>
          <w:sz w:val="19"/>
          <w:szCs w:val="19"/>
          <w:lang w:val="es-CO" w:eastAsia="es-CO"/>
        </w:rPr>
      </w:pPr>
      <w:r w:rsidRPr="00B93A0E">
        <w:rPr>
          <w:rFonts w:ascii="Arial" w:eastAsia="Times New Roman" w:hAnsi="Arial" w:cs="Arial"/>
          <w:color w:val="000000"/>
          <w:sz w:val="19"/>
          <w:szCs w:val="19"/>
          <w:lang w:val="es-CO" w:eastAsia="es-CO"/>
        </w:rPr>
        <w:t>[….]</w:t>
      </w:r>
    </w:p>
    <w:p w14:paraId="1644FE11" w14:textId="43968B80" w:rsidR="00B93A0E" w:rsidRPr="00B93A0E" w:rsidRDefault="00B93A0E" w:rsidP="008D36E6">
      <w:pPr>
        <w:ind w:firstLine="708"/>
        <w:jc w:val="both"/>
        <w:rPr>
          <w:rFonts w:ascii="Arial" w:eastAsia="Times New Roman" w:hAnsi="Arial" w:cs="Arial"/>
          <w:color w:val="000000"/>
          <w:sz w:val="19"/>
          <w:szCs w:val="19"/>
          <w:lang w:val="es-CO" w:eastAsia="es-CO"/>
        </w:rPr>
      </w:pPr>
      <w:r w:rsidRPr="00B93A0E">
        <w:rPr>
          <w:rFonts w:ascii="Arial" w:eastAsia="Times New Roman" w:hAnsi="Arial" w:cs="Arial"/>
          <w:color w:val="000000"/>
          <w:sz w:val="19"/>
          <w:szCs w:val="19"/>
          <w:lang w:val="es-CO" w:eastAsia="es-CO"/>
        </w:rPr>
        <w:t>»Cumplidas las reglas señaladas en los numerales anteriores, la enti</w:t>
      </w:r>
      <w:r w:rsidRPr="00B93A0E">
        <w:rPr>
          <w:rFonts w:ascii="Arial" w:eastAsia="Times New Roman" w:hAnsi="Arial" w:cs="Arial"/>
          <w:color w:val="000000"/>
          <w:sz w:val="19"/>
          <w:szCs w:val="19"/>
          <w:lang w:val="es-CO" w:eastAsia="es-CO"/>
        </w:rPr>
        <w:softHyphen/>
        <w:t>dad territorial procederá a suscribir los acuerdos de pago con las EPS e IPS de acuerdo con la disponibilidad de recursos del fondo constituido según lo dispuesto en los numerales 3 y 4 de este artículo. </w:t>
      </w:r>
    </w:p>
    <w:p w14:paraId="6FD389C5" w14:textId="01727669" w:rsidR="00B93A0E" w:rsidRPr="00B93A0E" w:rsidRDefault="00B93A0E" w:rsidP="008D36E6">
      <w:pPr>
        <w:ind w:firstLine="708"/>
        <w:jc w:val="both"/>
        <w:rPr>
          <w:rFonts w:ascii="Arial" w:eastAsia="Times New Roman" w:hAnsi="Arial" w:cs="Arial"/>
          <w:color w:val="000000"/>
          <w:sz w:val="19"/>
          <w:szCs w:val="19"/>
          <w:lang w:val="es-CO" w:eastAsia="es-CO"/>
        </w:rPr>
      </w:pPr>
      <w:r w:rsidRPr="00B93A0E">
        <w:rPr>
          <w:rFonts w:ascii="Arial" w:eastAsia="Times New Roman" w:hAnsi="Arial" w:cs="Arial"/>
          <w:color w:val="000000"/>
          <w:sz w:val="19"/>
          <w:szCs w:val="19"/>
          <w:lang w:val="es-CO" w:eastAsia="es-CO"/>
        </w:rPr>
        <w:t>»La Nación podrá cofinanciar el pago de las deudas de los servicios y tecnologías en salud no financiadas con cargo a la UPC del régimen subsidiado que agoten el procedimiento descrito en este artículo, siem</w:t>
      </w:r>
      <w:r w:rsidRPr="00B93A0E">
        <w:rPr>
          <w:rFonts w:ascii="Arial" w:eastAsia="Times New Roman" w:hAnsi="Arial" w:cs="Arial"/>
          <w:color w:val="000000"/>
          <w:sz w:val="19"/>
          <w:szCs w:val="19"/>
          <w:lang w:val="es-CO" w:eastAsia="es-CO"/>
        </w:rPr>
        <w:softHyphen/>
        <w:t>pre y cuando se cumplan las siguientes condiciones: </w:t>
      </w:r>
    </w:p>
    <w:p w14:paraId="2159423B" w14:textId="1F354382" w:rsidR="00B93A0E" w:rsidRPr="00B93A0E" w:rsidRDefault="00B93A0E" w:rsidP="008D36E6">
      <w:pPr>
        <w:ind w:firstLine="708"/>
        <w:jc w:val="both"/>
        <w:rPr>
          <w:rFonts w:ascii="Arial" w:eastAsia="Times New Roman" w:hAnsi="Arial" w:cs="Arial"/>
          <w:color w:val="000000"/>
          <w:sz w:val="19"/>
          <w:szCs w:val="19"/>
          <w:lang w:val="es-CO" w:eastAsia="es-CO"/>
        </w:rPr>
      </w:pPr>
      <w:r w:rsidRPr="00B93A0E">
        <w:rPr>
          <w:rFonts w:ascii="Arial" w:eastAsia="Times New Roman" w:hAnsi="Arial" w:cs="Arial"/>
          <w:color w:val="000000"/>
          <w:sz w:val="19"/>
          <w:szCs w:val="19"/>
          <w:lang w:val="es-CO" w:eastAsia="es-CO"/>
        </w:rPr>
        <w:t>»a) Que se hayan agotado las fuentes de financiación con las que cuenta la entidad territorial para el pago de estas obligaciones. Para el efecto el Ministerio de Hacienda y Crédito Público, con el apoyo del Ministerio de Salud y Protección Social y del Departamento Nacional de Planeación, evaluará el esfuerzo fiscal de las entidades territoriales para el pago de estos pasi</w:t>
      </w:r>
      <w:r w:rsidRPr="00B93A0E">
        <w:rPr>
          <w:rFonts w:ascii="Arial" w:eastAsia="Times New Roman" w:hAnsi="Arial" w:cs="Arial"/>
          <w:color w:val="000000"/>
          <w:sz w:val="19"/>
          <w:szCs w:val="19"/>
          <w:lang w:val="es-CO" w:eastAsia="es-CO"/>
        </w:rPr>
        <w:softHyphen/>
        <w:t>vos y definirá el monto a financiar premiando a aquellas que hayan realizado mayores esfuerzos. </w:t>
      </w:r>
    </w:p>
    <w:p w14:paraId="784E880E" w14:textId="596B8FE4" w:rsidR="00B93A0E" w:rsidRPr="00B93A0E" w:rsidRDefault="00B93A0E" w:rsidP="008D36E6">
      <w:pPr>
        <w:ind w:firstLine="708"/>
        <w:jc w:val="both"/>
        <w:rPr>
          <w:rFonts w:ascii="Arial" w:eastAsia="Times New Roman" w:hAnsi="Arial" w:cs="Arial"/>
          <w:color w:val="000000"/>
          <w:sz w:val="19"/>
          <w:szCs w:val="19"/>
          <w:lang w:val="es-CO" w:eastAsia="es-CO"/>
        </w:rPr>
      </w:pPr>
      <w:r w:rsidRPr="00B93A0E">
        <w:rPr>
          <w:rFonts w:ascii="Arial" w:eastAsia="Times New Roman" w:hAnsi="Arial" w:cs="Arial"/>
          <w:color w:val="000000"/>
          <w:sz w:val="19"/>
          <w:szCs w:val="19"/>
          <w:lang w:val="es-CO" w:eastAsia="es-CO"/>
        </w:rPr>
        <w:t>»b) Que la entidad territorial suscriba un contrato de transacción con la entidad acreedora que incluya como mínimo: </w:t>
      </w:r>
    </w:p>
    <w:p w14:paraId="77C66AE2" w14:textId="0E7C15FB" w:rsidR="00B93A0E" w:rsidRPr="00B93A0E" w:rsidRDefault="00B93A0E" w:rsidP="008D36E6">
      <w:pPr>
        <w:ind w:firstLine="708"/>
        <w:jc w:val="both"/>
        <w:rPr>
          <w:rFonts w:ascii="Arial" w:eastAsia="Times New Roman" w:hAnsi="Arial" w:cs="Arial"/>
          <w:color w:val="000000"/>
          <w:sz w:val="19"/>
          <w:szCs w:val="19"/>
          <w:lang w:val="es-CO" w:eastAsia="es-CO"/>
        </w:rPr>
      </w:pPr>
      <w:r w:rsidRPr="00B93A0E">
        <w:rPr>
          <w:rFonts w:ascii="Arial" w:eastAsia="Times New Roman" w:hAnsi="Arial" w:cs="Arial"/>
          <w:color w:val="000000"/>
          <w:sz w:val="19"/>
          <w:szCs w:val="19"/>
          <w:lang w:val="es-CO" w:eastAsia="es-CO"/>
        </w:rPr>
        <w:t>»i) La renuncia expresa de la entidad que esté realizando el cobro o recobro a instaurar o desistir de cualquier acción judicial o administrativa relacionada con la solicitud de pago elevada. </w:t>
      </w:r>
    </w:p>
    <w:p w14:paraId="11FF4C3A" w14:textId="4963E871" w:rsidR="00B93A0E" w:rsidRPr="00B93A0E" w:rsidRDefault="00B93A0E" w:rsidP="008D36E6">
      <w:pPr>
        <w:ind w:firstLine="708"/>
        <w:jc w:val="both"/>
        <w:rPr>
          <w:rFonts w:ascii="Arial" w:eastAsia="Times New Roman" w:hAnsi="Arial" w:cs="Arial"/>
          <w:color w:val="000000"/>
          <w:sz w:val="19"/>
          <w:szCs w:val="19"/>
          <w:lang w:val="es-CO" w:eastAsia="es-CO"/>
        </w:rPr>
      </w:pPr>
      <w:r w:rsidRPr="00B93A0E">
        <w:rPr>
          <w:rFonts w:ascii="Arial" w:eastAsia="Times New Roman" w:hAnsi="Arial" w:cs="Arial"/>
          <w:color w:val="000000"/>
          <w:sz w:val="19"/>
          <w:szCs w:val="19"/>
          <w:lang w:val="es-CO" w:eastAsia="es-CO"/>
        </w:rPr>
        <w:t>»ii) La obligación de la entidad territorial y la entidad que está realizando el recobro de revelar y depurar en sus estados fi</w:t>
      </w:r>
      <w:r w:rsidRPr="00B93A0E">
        <w:rPr>
          <w:rFonts w:ascii="Arial" w:eastAsia="Times New Roman" w:hAnsi="Arial" w:cs="Arial"/>
          <w:color w:val="000000"/>
          <w:sz w:val="19"/>
          <w:szCs w:val="19"/>
          <w:lang w:val="es-CO" w:eastAsia="es-CO"/>
        </w:rPr>
        <w:softHyphen/>
        <w:t>nancieros los resultados del proceso de verificación y control. </w:t>
      </w:r>
    </w:p>
    <w:p w14:paraId="0A1C04BF" w14:textId="5CF92F03" w:rsidR="00B93A0E" w:rsidRPr="00B93A0E" w:rsidRDefault="00B93A0E" w:rsidP="000054F5">
      <w:pPr>
        <w:spacing w:after="60"/>
        <w:ind w:firstLine="709"/>
        <w:jc w:val="both"/>
        <w:rPr>
          <w:rFonts w:ascii="Arial" w:eastAsia="Times New Roman" w:hAnsi="Arial" w:cs="Arial"/>
          <w:color w:val="000000"/>
          <w:sz w:val="19"/>
          <w:szCs w:val="19"/>
          <w:lang w:val="es-CO" w:eastAsia="es-CO"/>
        </w:rPr>
      </w:pPr>
      <w:r w:rsidRPr="00B93A0E">
        <w:rPr>
          <w:rFonts w:ascii="Arial" w:eastAsia="Times New Roman" w:hAnsi="Arial" w:cs="Arial"/>
          <w:color w:val="000000"/>
          <w:sz w:val="19"/>
          <w:szCs w:val="19"/>
          <w:lang w:val="es-CO" w:eastAsia="es-CO"/>
        </w:rPr>
        <w:t>»iii) La renuncia expresa de la entidad que esté realizando el cobro o recobro a cualquier tipo de interés y otros gastos, indepen</w:t>
      </w:r>
      <w:r w:rsidRPr="00B93A0E">
        <w:rPr>
          <w:rFonts w:ascii="Arial" w:eastAsia="Times New Roman" w:hAnsi="Arial" w:cs="Arial"/>
          <w:color w:val="000000"/>
          <w:sz w:val="19"/>
          <w:szCs w:val="19"/>
          <w:lang w:val="es-CO" w:eastAsia="es-CO"/>
        </w:rPr>
        <w:softHyphen/>
        <w:t>dientemente de su denominación sobre las cuentas presenta</w:t>
      </w:r>
      <w:r w:rsidRPr="00B93A0E">
        <w:rPr>
          <w:rFonts w:ascii="Arial" w:eastAsia="Times New Roman" w:hAnsi="Arial" w:cs="Arial"/>
          <w:color w:val="000000"/>
          <w:sz w:val="19"/>
          <w:szCs w:val="19"/>
          <w:lang w:val="es-CO" w:eastAsia="es-CO"/>
        </w:rPr>
        <w:softHyphen/>
        <w:t>das, al momento de radicarlas por este mecanismo». </w:t>
      </w:r>
    </w:p>
    <w:p w14:paraId="6FEEC549" w14:textId="7D93F445" w:rsidR="00B93A0E" w:rsidRPr="00B93A0E" w:rsidRDefault="00DD18ED" w:rsidP="00DD18ED">
      <w:pPr>
        <w:ind w:firstLine="708"/>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r w:rsidR="00B93A0E" w:rsidRPr="00B93A0E">
        <w:rPr>
          <w:rFonts w:ascii="Arial" w:eastAsia="Times New Roman" w:hAnsi="Arial" w:cs="Arial"/>
          <w:color w:val="000000"/>
          <w:sz w:val="18"/>
          <w:szCs w:val="18"/>
          <w:lang w:val="es-CO" w:eastAsia="es-CO"/>
        </w:rPr>
        <w:t>c) Que el representante legal de la Entidad Territorial certifique los montos resultantes. El Gobierno nacional podrá remitir los resultados de las auditorías a los organismos de control para lo de su competencia. </w:t>
      </w:r>
    </w:p>
    <w:p w14:paraId="361380AC" w14:textId="77777777" w:rsidR="00B93A0E" w:rsidRPr="00B93A0E" w:rsidRDefault="00B93A0E" w:rsidP="00B93A0E">
      <w:pPr>
        <w:jc w:val="both"/>
        <w:rPr>
          <w:rFonts w:ascii="Arial" w:eastAsia="Times New Roman" w:hAnsi="Arial" w:cs="Arial"/>
          <w:color w:val="000000"/>
          <w:sz w:val="18"/>
          <w:szCs w:val="18"/>
          <w:lang w:val="es-CO" w:eastAsia="es-CO"/>
        </w:rPr>
      </w:pPr>
      <w:r w:rsidRPr="00B93A0E">
        <w:rPr>
          <w:rFonts w:ascii="Arial" w:eastAsia="Times New Roman" w:hAnsi="Arial" w:cs="Arial"/>
          <w:color w:val="000000"/>
          <w:sz w:val="18"/>
          <w:szCs w:val="18"/>
          <w:lang w:val="es-CO" w:eastAsia="es-CO"/>
        </w:rPr>
        <w:t>Para cofinanciar el pago de las deudas de los servicios y tecnologías en salud no financiadas con cargo a la Unidad de Pago por Capitación -UPC- del régimen subsidiado, autorícese al Gobierno nacional a realizar operaciones de crédito en las vigencias 2020 y 2021. La Dirección General de Crédito Público y Tesoro Nacional del Ministerio de Hacienda y Crédito Público, administrará, en una cuenta independiente, el cupo de emisión de deuda que se destine a la atención de las obligaciones de pago originadas en este artículo. Para los efectos previstos en este inciso, la Dirección General de Crédito Público y Tesoro Nacional estará facultada para realizar las operaciones necesarias en el mercado monetario y de deuda pública. Las operaciones de crédito público no implican operación presupuestal y solo deberá presupuestarse para efectos de su redención y pago de intereses. El Gobierno nacional reglamentará los términos y condiciones en ros cuales operará la cofinanciación de la Nación. </w:t>
      </w:r>
    </w:p>
    <w:p w14:paraId="253C29C4" w14:textId="77777777" w:rsidR="00B93A0E" w:rsidRPr="00B93A0E" w:rsidRDefault="00B93A0E" w:rsidP="00B93A0E">
      <w:pPr>
        <w:jc w:val="both"/>
        <w:rPr>
          <w:rFonts w:ascii="Arial" w:eastAsia="Times New Roman" w:hAnsi="Arial" w:cs="Arial"/>
          <w:color w:val="000000"/>
          <w:sz w:val="18"/>
          <w:szCs w:val="18"/>
          <w:lang w:val="es-CO" w:eastAsia="es-CO"/>
        </w:rPr>
      </w:pPr>
      <w:r w:rsidRPr="00B93A0E">
        <w:rPr>
          <w:rFonts w:ascii="Arial" w:eastAsia="Times New Roman" w:hAnsi="Arial" w:cs="Arial"/>
          <w:color w:val="000000"/>
          <w:sz w:val="18"/>
          <w:szCs w:val="18"/>
          <w:lang w:val="es-CO" w:eastAsia="es-CO"/>
        </w:rPr>
        <w:t>  </w:t>
      </w:r>
    </w:p>
    <w:p w14:paraId="3F32439D" w14:textId="09AD457D" w:rsidR="00B93A0E" w:rsidRDefault="00B93A0E" w:rsidP="00B93A0E">
      <w:pPr>
        <w:pStyle w:val="Textonotapie"/>
        <w:ind w:firstLine="70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4330CB" w:rsidRDefault="004330CB">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0A25CE"/>
    <w:multiLevelType w:val="hybridMultilevel"/>
    <w:tmpl w:val="02BC3430"/>
    <w:lvl w:ilvl="0" w:tplc="964EA97E">
      <w:start w:val="1"/>
      <w:numFmt w:val="decimal"/>
      <w:lvlText w:val="%1."/>
      <w:lvlJc w:val="left"/>
      <w:pPr>
        <w:ind w:left="660" w:hanging="360"/>
      </w:pPr>
      <w:rPr>
        <w:rFonts w:ascii="Arial" w:eastAsia="Arial" w:hAnsi="Arial" w:cs="Arial" w:hint="default"/>
        <w:b/>
        <w:bCs/>
        <w:color w:val="4E4D4D"/>
        <w:w w:val="100"/>
        <w:sz w:val="22"/>
        <w:szCs w:val="22"/>
        <w:lang w:val="es-ES" w:eastAsia="en-US" w:bidi="ar-SA"/>
      </w:rPr>
    </w:lvl>
    <w:lvl w:ilvl="1" w:tplc="CFA8FEDE">
      <w:numFmt w:val="bullet"/>
      <w:lvlText w:val="•"/>
      <w:lvlJc w:val="left"/>
      <w:pPr>
        <w:ind w:left="1548" w:hanging="360"/>
      </w:pPr>
      <w:rPr>
        <w:rFonts w:hint="default"/>
        <w:lang w:val="es-ES" w:eastAsia="en-US" w:bidi="ar-SA"/>
      </w:rPr>
    </w:lvl>
    <w:lvl w:ilvl="2" w:tplc="45E0329C">
      <w:numFmt w:val="bullet"/>
      <w:lvlText w:val="•"/>
      <w:lvlJc w:val="left"/>
      <w:pPr>
        <w:ind w:left="2436" w:hanging="360"/>
      </w:pPr>
      <w:rPr>
        <w:rFonts w:hint="default"/>
        <w:lang w:val="es-ES" w:eastAsia="en-US" w:bidi="ar-SA"/>
      </w:rPr>
    </w:lvl>
    <w:lvl w:ilvl="3" w:tplc="E72281B6">
      <w:numFmt w:val="bullet"/>
      <w:lvlText w:val="•"/>
      <w:lvlJc w:val="left"/>
      <w:pPr>
        <w:ind w:left="3324" w:hanging="360"/>
      </w:pPr>
      <w:rPr>
        <w:rFonts w:hint="default"/>
        <w:lang w:val="es-ES" w:eastAsia="en-US" w:bidi="ar-SA"/>
      </w:rPr>
    </w:lvl>
    <w:lvl w:ilvl="4" w:tplc="A40A928E">
      <w:numFmt w:val="bullet"/>
      <w:lvlText w:val="•"/>
      <w:lvlJc w:val="left"/>
      <w:pPr>
        <w:ind w:left="4212" w:hanging="360"/>
      </w:pPr>
      <w:rPr>
        <w:rFonts w:hint="default"/>
        <w:lang w:val="es-ES" w:eastAsia="en-US" w:bidi="ar-SA"/>
      </w:rPr>
    </w:lvl>
    <w:lvl w:ilvl="5" w:tplc="F09883AA">
      <w:numFmt w:val="bullet"/>
      <w:lvlText w:val="•"/>
      <w:lvlJc w:val="left"/>
      <w:pPr>
        <w:ind w:left="5100" w:hanging="360"/>
      </w:pPr>
      <w:rPr>
        <w:rFonts w:hint="default"/>
        <w:lang w:val="es-ES" w:eastAsia="en-US" w:bidi="ar-SA"/>
      </w:rPr>
    </w:lvl>
    <w:lvl w:ilvl="6" w:tplc="93FC9E44">
      <w:numFmt w:val="bullet"/>
      <w:lvlText w:val="•"/>
      <w:lvlJc w:val="left"/>
      <w:pPr>
        <w:ind w:left="5988" w:hanging="360"/>
      </w:pPr>
      <w:rPr>
        <w:rFonts w:hint="default"/>
        <w:lang w:val="es-ES" w:eastAsia="en-US" w:bidi="ar-SA"/>
      </w:rPr>
    </w:lvl>
    <w:lvl w:ilvl="7" w:tplc="02944C22">
      <w:numFmt w:val="bullet"/>
      <w:lvlText w:val="•"/>
      <w:lvlJc w:val="left"/>
      <w:pPr>
        <w:ind w:left="6876" w:hanging="360"/>
      </w:pPr>
      <w:rPr>
        <w:rFonts w:hint="default"/>
        <w:lang w:val="es-ES" w:eastAsia="en-US" w:bidi="ar-SA"/>
      </w:rPr>
    </w:lvl>
    <w:lvl w:ilvl="8" w:tplc="278A4A42">
      <w:numFmt w:val="bullet"/>
      <w:lvlText w:val="•"/>
      <w:lvlJc w:val="left"/>
      <w:pPr>
        <w:ind w:left="7764" w:hanging="360"/>
      </w:pPr>
      <w:rPr>
        <w:rFonts w:hint="default"/>
        <w:lang w:val="es-ES" w:eastAsia="en-US" w:bidi="ar-SA"/>
      </w:rPr>
    </w:lvl>
  </w:abstractNum>
  <w:abstractNum w:abstractNumId="2" w15:restartNumberingAfterBreak="0">
    <w:nsid w:val="16D103FC"/>
    <w:multiLevelType w:val="hybridMultilevel"/>
    <w:tmpl w:val="1F685156"/>
    <w:lvl w:ilvl="0" w:tplc="DFCE7A74">
      <w:start w:val="1"/>
      <w:numFmt w:val="upperRoman"/>
      <w:lvlText w:val="%1)."/>
      <w:lvlJc w:val="left"/>
      <w:pPr>
        <w:ind w:left="300" w:hanging="301"/>
      </w:pPr>
      <w:rPr>
        <w:rFonts w:ascii="Arial MT" w:eastAsia="Arial MT" w:hAnsi="Arial MT" w:cs="Arial MT" w:hint="default"/>
        <w:color w:val="4E4D4D"/>
        <w:spacing w:val="-2"/>
        <w:w w:val="100"/>
        <w:sz w:val="22"/>
        <w:szCs w:val="22"/>
        <w:lang w:val="es-ES" w:eastAsia="en-US" w:bidi="ar-SA"/>
      </w:rPr>
    </w:lvl>
    <w:lvl w:ilvl="1" w:tplc="1C0E9D10">
      <w:numFmt w:val="bullet"/>
      <w:lvlText w:val="•"/>
      <w:lvlJc w:val="left"/>
      <w:pPr>
        <w:ind w:left="1224" w:hanging="301"/>
      </w:pPr>
      <w:rPr>
        <w:rFonts w:hint="default"/>
        <w:lang w:val="es-ES" w:eastAsia="en-US" w:bidi="ar-SA"/>
      </w:rPr>
    </w:lvl>
    <w:lvl w:ilvl="2" w:tplc="FD7C2D56">
      <w:numFmt w:val="bullet"/>
      <w:lvlText w:val="•"/>
      <w:lvlJc w:val="left"/>
      <w:pPr>
        <w:ind w:left="2148" w:hanging="301"/>
      </w:pPr>
      <w:rPr>
        <w:rFonts w:hint="default"/>
        <w:lang w:val="es-ES" w:eastAsia="en-US" w:bidi="ar-SA"/>
      </w:rPr>
    </w:lvl>
    <w:lvl w:ilvl="3" w:tplc="87A6774E">
      <w:numFmt w:val="bullet"/>
      <w:lvlText w:val="•"/>
      <w:lvlJc w:val="left"/>
      <w:pPr>
        <w:ind w:left="3072" w:hanging="301"/>
      </w:pPr>
      <w:rPr>
        <w:rFonts w:hint="default"/>
        <w:lang w:val="es-ES" w:eastAsia="en-US" w:bidi="ar-SA"/>
      </w:rPr>
    </w:lvl>
    <w:lvl w:ilvl="4" w:tplc="8C2AAB7C">
      <w:numFmt w:val="bullet"/>
      <w:lvlText w:val="•"/>
      <w:lvlJc w:val="left"/>
      <w:pPr>
        <w:ind w:left="3996" w:hanging="301"/>
      </w:pPr>
      <w:rPr>
        <w:rFonts w:hint="default"/>
        <w:lang w:val="es-ES" w:eastAsia="en-US" w:bidi="ar-SA"/>
      </w:rPr>
    </w:lvl>
    <w:lvl w:ilvl="5" w:tplc="4C9AFE96">
      <w:numFmt w:val="bullet"/>
      <w:lvlText w:val="•"/>
      <w:lvlJc w:val="left"/>
      <w:pPr>
        <w:ind w:left="4920" w:hanging="301"/>
      </w:pPr>
      <w:rPr>
        <w:rFonts w:hint="default"/>
        <w:lang w:val="es-ES" w:eastAsia="en-US" w:bidi="ar-SA"/>
      </w:rPr>
    </w:lvl>
    <w:lvl w:ilvl="6" w:tplc="48822968">
      <w:numFmt w:val="bullet"/>
      <w:lvlText w:val="•"/>
      <w:lvlJc w:val="left"/>
      <w:pPr>
        <w:ind w:left="5844" w:hanging="301"/>
      </w:pPr>
      <w:rPr>
        <w:rFonts w:hint="default"/>
        <w:lang w:val="es-ES" w:eastAsia="en-US" w:bidi="ar-SA"/>
      </w:rPr>
    </w:lvl>
    <w:lvl w:ilvl="7" w:tplc="D74C2B5C">
      <w:numFmt w:val="bullet"/>
      <w:lvlText w:val="•"/>
      <w:lvlJc w:val="left"/>
      <w:pPr>
        <w:ind w:left="6768" w:hanging="301"/>
      </w:pPr>
      <w:rPr>
        <w:rFonts w:hint="default"/>
        <w:lang w:val="es-ES" w:eastAsia="en-US" w:bidi="ar-SA"/>
      </w:rPr>
    </w:lvl>
    <w:lvl w:ilvl="8" w:tplc="F2E49982">
      <w:numFmt w:val="bullet"/>
      <w:lvlText w:val="•"/>
      <w:lvlJc w:val="left"/>
      <w:pPr>
        <w:ind w:left="7692" w:hanging="301"/>
      </w:pPr>
      <w:rPr>
        <w:rFonts w:hint="default"/>
        <w:lang w:val="es-ES" w:eastAsia="en-US" w:bidi="ar-SA"/>
      </w:r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8"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2"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60268597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564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7946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3454310">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5480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338019">
    <w:abstractNumId w:val="14"/>
  </w:num>
  <w:num w:numId="7" w16cid:durableId="1019114760">
    <w:abstractNumId w:val="13"/>
  </w:num>
  <w:num w:numId="8" w16cid:durableId="1102921513">
    <w:abstractNumId w:val="7"/>
  </w:num>
  <w:num w:numId="9" w16cid:durableId="63335354">
    <w:abstractNumId w:val="4"/>
  </w:num>
  <w:num w:numId="10" w16cid:durableId="1181427891">
    <w:abstractNumId w:val="8"/>
  </w:num>
  <w:num w:numId="11" w16cid:durableId="775633039">
    <w:abstractNumId w:val="12"/>
  </w:num>
  <w:num w:numId="12" w16cid:durableId="1920362885">
    <w:abstractNumId w:val="5"/>
  </w:num>
  <w:num w:numId="13" w16cid:durableId="1006247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280407">
    <w:abstractNumId w:val="2"/>
  </w:num>
  <w:num w:numId="15" w16cid:durableId="2001272865">
    <w:abstractNumId w:val="1"/>
  </w:num>
  <w:num w:numId="16" w16cid:durableId="1295990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319"/>
    <w:rsid w:val="0000199E"/>
    <w:rsid w:val="000035BA"/>
    <w:rsid w:val="00003E08"/>
    <w:rsid w:val="000048F5"/>
    <w:rsid w:val="00004AA6"/>
    <w:rsid w:val="000054F5"/>
    <w:rsid w:val="00007FF7"/>
    <w:rsid w:val="0001041B"/>
    <w:rsid w:val="0001049F"/>
    <w:rsid w:val="00010D30"/>
    <w:rsid w:val="0001135B"/>
    <w:rsid w:val="00011D32"/>
    <w:rsid w:val="00017B23"/>
    <w:rsid w:val="000205D6"/>
    <w:rsid w:val="000207A0"/>
    <w:rsid w:val="0002170C"/>
    <w:rsid w:val="00023C1B"/>
    <w:rsid w:val="00023EEE"/>
    <w:rsid w:val="00025DE5"/>
    <w:rsid w:val="0002648F"/>
    <w:rsid w:val="00027907"/>
    <w:rsid w:val="00027B72"/>
    <w:rsid w:val="0003091B"/>
    <w:rsid w:val="000333A2"/>
    <w:rsid w:val="00033AA0"/>
    <w:rsid w:val="00040C88"/>
    <w:rsid w:val="00040D6E"/>
    <w:rsid w:val="00041980"/>
    <w:rsid w:val="00042C0C"/>
    <w:rsid w:val="00044A74"/>
    <w:rsid w:val="00044B5E"/>
    <w:rsid w:val="00044FF2"/>
    <w:rsid w:val="00045053"/>
    <w:rsid w:val="00045238"/>
    <w:rsid w:val="000514D4"/>
    <w:rsid w:val="00052133"/>
    <w:rsid w:val="00055240"/>
    <w:rsid w:val="00055688"/>
    <w:rsid w:val="00055E86"/>
    <w:rsid w:val="00056F23"/>
    <w:rsid w:val="00060575"/>
    <w:rsid w:val="00061E92"/>
    <w:rsid w:val="00061EE4"/>
    <w:rsid w:val="00062291"/>
    <w:rsid w:val="00062B0D"/>
    <w:rsid w:val="00063B97"/>
    <w:rsid w:val="0006519B"/>
    <w:rsid w:val="00065C54"/>
    <w:rsid w:val="00066EDE"/>
    <w:rsid w:val="00067408"/>
    <w:rsid w:val="000707A0"/>
    <w:rsid w:val="00071600"/>
    <w:rsid w:val="00073E7F"/>
    <w:rsid w:val="00075473"/>
    <w:rsid w:val="000757F8"/>
    <w:rsid w:val="00080B81"/>
    <w:rsid w:val="00081FC1"/>
    <w:rsid w:val="00082589"/>
    <w:rsid w:val="00084DC6"/>
    <w:rsid w:val="00086A16"/>
    <w:rsid w:val="00086C02"/>
    <w:rsid w:val="00087288"/>
    <w:rsid w:val="0009027F"/>
    <w:rsid w:val="00090536"/>
    <w:rsid w:val="00090D92"/>
    <w:rsid w:val="00093069"/>
    <w:rsid w:val="00093E9C"/>
    <w:rsid w:val="000945FA"/>
    <w:rsid w:val="00094F86"/>
    <w:rsid w:val="0009519E"/>
    <w:rsid w:val="00096BEE"/>
    <w:rsid w:val="00097117"/>
    <w:rsid w:val="000973F2"/>
    <w:rsid w:val="00097CD6"/>
    <w:rsid w:val="000A12B4"/>
    <w:rsid w:val="000A1894"/>
    <w:rsid w:val="000A1DBA"/>
    <w:rsid w:val="000A50B9"/>
    <w:rsid w:val="000A6338"/>
    <w:rsid w:val="000A69D8"/>
    <w:rsid w:val="000A7A2D"/>
    <w:rsid w:val="000B09B5"/>
    <w:rsid w:val="000B1632"/>
    <w:rsid w:val="000B34BD"/>
    <w:rsid w:val="000B3CF8"/>
    <w:rsid w:val="000B4552"/>
    <w:rsid w:val="000B4C69"/>
    <w:rsid w:val="000B4E6D"/>
    <w:rsid w:val="000C0E39"/>
    <w:rsid w:val="000C4547"/>
    <w:rsid w:val="000C67EA"/>
    <w:rsid w:val="000D088F"/>
    <w:rsid w:val="000D2220"/>
    <w:rsid w:val="000D2FE0"/>
    <w:rsid w:val="000D308A"/>
    <w:rsid w:val="000D3508"/>
    <w:rsid w:val="000D392A"/>
    <w:rsid w:val="000D3A22"/>
    <w:rsid w:val="000D5464"/>
    <w:rsid w:val="000D5552"/>
    <w:rsid w:val="000D75C6"/>
    <w:rsid w:val="000D7BBD"/>
    <w:rsid w:val="000E4A3C"/>
    <w:rsid w:val="000E5038"/>
    <w:rsid w:val="000E6867"/>
    <w:rsid w:val="000E7F3A"/>
    <w:rsid w:val="000F5F52"/>
    <w:rsid w:val="000F6035"/>
    <w:rsid w:val="000F7C02"/>
    <w:rsid w:val="001001D2"/>
    <w:rsid w:val="001003C1"/>
    <w:rsid w:val="001031EB"/>
    <w:rsid w:val="00103CB5"/>
    <w:rsid w:val="001056C0"/>
    <w:rsid w:val="00106127"/>
    <w:rsid w:val="001067CB"/>
    <w:rsid w:val="00107607"/>
    <w:rsid w:val="00110206"/>
    <w:rsid w:val="001120C8"/>
    <w:rsid w:val="00112597"/>
    <w:rsid w:val="00113A71"/>
    <w:rsid w:val="00113AD4"/>
    <w:rsid w:val="00114159"/>
    <w:rsid w:val="00115190"/>
    <w:rsid w:val="00116557"/>
    <w:rsid w:val="00117289"/>
    <w:rsid w:val="0012089B"/>
    <w:rsid w:val="00120C7A"/>
    <w:rsid w:val="001216AF"/>
    <w:rsid w:val="001236B9"/>
    <w:rsid w:val="00125503"/>
    <w:rsid w:val="00127B2C"/>
    <w:rsid w:val="00131937"/>
    <w:rsid w:val="001321AB"/>
    <w:rsid w:val="00133D22"/>
    <w:rsid w:val="00134851"/>
    <w:rsid w:val="00135571"/>
    <w:rsid w:val="00135E98"/>
    <w:rsid w:val="00137B0D"/>
    <w:rsid w:val="00137DDF"/>
    <w:rsid w:val="00140E57"/>
    <w:rsid w:val="00141330"/>
    <w:rsid w:val="00141B24"/>
    <w:rsid w:val="00141C64"/>
    <w:rsid w:val="001421CD"/>
    <w:rsid w:val="00144375"/>
    <w:rsid w:val="0014462B"/>
    <w:rsid w:val="0014628D"/>
    <w:rsid w:val="00146827"/>
    <w:rsid w:val="00147078"/>
    <w:rsid w:val="0014775F"/>
    <w:rsid w:val="00147E4A"/>
    <w:rsid w:val="00151129"/>
    <w:rsid w:val="00151857"/>
    <w:rsid w:val="001520D5"/>
    <w:rsid w:val="00152AE7"/>
    <w:rsid w:val="00154EEF"/>
    <w:rsid w:val="00154F5F"/>
    <w:rsid w:val="001556C8"/>
    <w:rsid w:val="0015637E"/>
    <w:rsid w:val="001568F1"/>
    <w:rsid w:val="001573A6"/>
    <w:rsid w:val="00157ECE"/>
    <w:rsid w:val="00160687"/>
    <w:rsid w:val="00160AB9"/>
    <w:rsid w:val="0016210A"/>
    <w:rsid w:val="0016251D"/>
    <w:rsid w:val="00163B60"/>
    <w:rsid w:val="00164E79"/>
    <w:rsid w:val="00166272"/>
    <w:rsid w:val="00167E21"/>
    <w:rsid w:val="0017154B"/>
    <w:rsid w:val="00173047"/>
    <w:rsid w:val="00173342"/>
    <w:rsid w:val="00173A15"/>
    <w:rsid w:val="0017558C"/>
    <w:rsid w:val="00175BA0"/>
    <w:rsid w:val="0017603D"/>
    <w:rsid w:val="0017615E"/>
    <w:rsid w:val="00176BB5"/>
    <w:rsid w:val="00177397"/>
    <w:rsid w:val="001801A1"/>
    <w:rsid w:val="00180881"/>
    <w:rsid w:val="00180AD1"/>
    <w:rsid w:val="001810AD"/>
    <w:rsid w:val="0018144F"/>
    <w:rsid w:val="00181A3E"/>
    <w:rsid w:val="001822F1"/>
    <w:rsid w:val="00182BF2"/>
    <w:rsid w:val="00182C09"/>
    <w:rsid w:val="001834AF"/>
    <w:rsid w:val="0018361B"/>
    <w:rsid w:val="001848A7"/>
    <w:rsid w:val="001864BB"/>
    <w:rsid w:val="00187FA6"/>
    <w:rsid w:val="001901E3"/>
    <w:rsid w:val="00190B79"/>
    <w:rsid w:val="00190F26"/>
    <w:rsid w:val="00191998"/>
    <w:rsid w:val="00192084"/>
    <w:rsid w:val="0019433A"/>
    <w:rsid w:val="00194C50"/>
    <w:rsid w:val="001957E6"/>
    <w:rsid w:val="001A0536"/>
    <w:rsid w:val="001A17E1"/>
    <w:rsid w:val="001A267F"/>
    <w:rsid w:val="001A4E65"/>
    <w:rsid w:val="001A6A98"/>
    <w:rsid w:val="001B03DA"/>
    <w:rsid w:val="001B0D0D"/>
    <w:rsid w:val="001B13DF"/>
    <w:rsid w:val="001B2E5D"/>
    <w:rsid w:val="001B2EA2"/>
    <w:rsid w:val="001B329B"/>
    <w:rsid w:val="001B5D63"/>
    <w:rsid w:val="001B5D6B"/>
    <w:rsid w:val="001B6C66"/>
    <w:rsid w:val="001B731B"/>
    <w:rsid w:val="001B7D2C"/>
    <w:rsid w:val="001C26BE"/>
    <w:rsid w:val="001C4850"/>
    <w:rsid w:val="001C507E"/>
    <w:rsid w:val="001C628A"/>
    <w:rsid w:val="001C672D"/>
    <w:rsid w:val="001C6D64"/>
    <w:rsid w:val="001D0A04"/>
    <w:rsid w:val="001D339C"/>
    <w:rsid w:val="001D4963"/>
    <w:rsid w:val="001D4B72"/>
    <w:rsid w:val="001D4F98"/>
    <w:rsid w:val="001D544D"/>
    <w:rsid w:val="001D5FF7"/>
    <w:rsid w:val="001E432A"/>
    <w:rsid w:val="001E4AEB"/>
    <w:rsid w:val="001E5438"/>
    <w:rsid w:val="001E5DBB"/>
    <w:rsid w:val="001E63E5"/>
    <w:rsid w:val="001F1051"/>
    <w:rsid w:val="001F285A"/>
    <w:rsid w:val="001F3010"/>
    <w:rsid w:val="001F3457"/>
    <w:rsid w:val="001F34A8"/>
    <w:rsid w:val="001F419E"/>
    <w:rsid w:val="001F4310"/>
    <w:rsid w:val="001F4494"/>
    <w:rsid w:val="001F4CFB"/>
    <w:rsid w:val="001F55EA"/>
    <w:rsid w:val="001F58AC"/>
    <w:rsid w:val="001F7297"/>
    <w:rsid w:val="001F7C1D"/>
    <w:rsid w:val="002001EA"/>
    <w:rsid w:val="002003EB"/>
    <w:rsid w:val="002026F7"/>
    <w:rsid w:val="002034AD"/>
    <w:rsid w:val="0020367F"/>
    <w:rsid w:val="00203AA4"/>
    <w:rsid w:val="002044D6"/>
    <w:rsid w:val="002119CE"/>
    <w:rsid w:val="00212C92"/>
    <w:rsid w:val="00213B48"/>
    <w:rsid w:val="00213FFB"/>
    <w:rsid w:val="002163A3"/>
    <w:rsid w:val="002166C0"/>
    <w:rsid w:val="00220D5A"/>
    <w:rsid w:val="00220F87"/>
    <w:rsid w:val="002218CE"/>
    <w:rsid w:val="002219C9"/>
    <w:rsid w:val="00222032"/>
    <w:rsid w:val="002221D7"/>
    <w:rsid w:val="00223204"/>
    <w:rsid w:val="002239B4"/>
    <w:rsid w:val="00225C5F"/>
    <w:rsid w:val="00227257"/>
    <w:rsid w:val="00227595"/>
    <w:rsid w:val="00227BA2"/>
    <w:rsid w:val="00227E8A"/>
    <w:rsid w:val="00230B24"/>
    <w:rsid w:val="00230CE3"/>
    <w:rsid w:val="0023176A"/>
    <w:rsid w:val="0023180C"/>
    <w:rsid w:val="00231D0C"/>
    <w:rsid w:val="002321B7"/>
    <w:rsid w:val="0023225E"/>
    <w:rsid w:val="00233A04"/>
    <w:rsid w:val="00233B2D"/>
    <w:rsid w:val="00234C6C"/>
    <w:rsid w:val="002351BB"/>
    <w:rsid w:val="00236264"/>
    <w:rsid w:val="0023774F"/>
    <w:rsid w:val="00240CD6"/>
    <w:rsid w:val="0024262C"/>
    <w:rsid w:val="00244B42"/>
    <w:rsid w:val="002454F4"/>
    <w:rsid w:val="00247D11"/>
    <w:rsid w:val="002511E0"/>
    <w:rsid w:val="00251323"/>
    <w:rsid w:val="0025163D"/>
    <w:rsid w:val="002516D4"/>
    <w:rsid w:val="002521B6"/>
    <w:rsid w:val="002551A3"/>
    <w:rsid w:val="00263805"/>
    <w:rsid w:val="00265031"/>
    <w:rsid w:val="00266277"/>
    <w:rsid w:val="00267281"/>
    <w:rsid w:val="002676BB"/>
    <w:rsid w:val="00270156"/>
    <w:rsid w:val="00270563"/>
    <w:rsid w:val="002710DE"/>
    <w:rsid w:val="00271160"/>
    <w:rsid w:val="00272F63"/>
    <w:rsid w:val="0027329E"/>
    <w:rsid w:val="00273B05"/>
    <w:rsid w:val="00274370"/>
    <w:rsid w:val="00274A1B"/>
    <w:rsid w:val="00275260"/>
    <w:rsid w:val="00275A4E"/>
    <w:rsid w:val="002762EC"/>
    <w:rsid w:val="00277781"/>
    <w:rsid w:val="0028035C"/>
    <w:rsid w:val="00280A81"/>
    <w:rsid w:val="00281E4E"/>
    <w:rsid w:val="002829D5"/>
    <w:rsid w:val="00282F42"/>
    <w:rsid w:val="00283250"/>
    <w:rsid w:val="00283B57"/>
    <w:rsid w:val="00284C12"/>
    <w:rsid w:val="002855D8"/>
    <w:rsid w:val="00285F06"/>
    <w:rsid w:val="00286834"/>
    <w:rsid w:val="00290F47"/>
    <w:rsid w:val="00291D1E"/>
    <w:rsid w:val="002928EE"/>
    <w:rsid w:val="0029333F"/>
    <w:rsid w:val="002959FA"/>
    <w:rsid w:val="00296330"/>
    <w:rsid w:val="002972F3"/>
    <w:rsid w:val="002A00A3"/>
    <w:rsid w:val="002A177F"/>
    <w:rsid w:val="002A365B"/>
    <w:rsid w:val="002A4002"/>
    <w:rsid w:val="002A4198"/>
    <w:rsid w:val="002A4BCA"/>
    <w:rsid w:val="002A517F"/>
    <w:rsid w:val="002A5D20"/>
    <w:rsid w:val="002B27BC"/>
    <w:rsid w:val="002B282F"/>
    <w:rsid w:val="002B4B30"/>
    <w:rsid w:val="002C0969"/>
    <w:rsid w:val="002C1261"/>
    <w:rsid w:val="002C2E97"/>
    <w:rsid w:val="002C333F"/>
    <w:rsid w:val="002C34DD"/>
    <w:rsid w:val="002C6B45"/>
    <w:rsid w:val="002C7D43"/>
    <w:rsid w:val="002D1A52"/>
    <w:rsid w:val="002D28E0"/>
    <w:rsid w:val="002D2EC9"/>
    <w:rsid w:val="002D79F3"/>
    <w:rsid w:val="002D7E44"/>
    <w:rsid w:val="002E25BF"/>
    <w:rsid w:val="002E5CE0"/>
    <w:rsid w:val="002E5F64"/>
    <w:rsid w:val="002E6804"/>
    <w:rsid w:val="002E6F0E"/>
    <w:rsid w:val="002E7390"/>
    <w:rsid w:val="002E74CB"/>
    <w:rsid w:val="002E79B6"/>
    <w:rsid w:val="002E7BC2"/>
    <w:rsid w:val="002F1A44"/>
    <w:rsid w:val="002F3529"/>
    <w:rsid w:val="002F3E88"/>
    <w:rsid w:val="002F4073"/>
    <w:rsid w:val="002F5479"/>
    <w:rsid w:val="002F63BB"/>
    <w:rsid w:val="002F66B8"/>
    <w:rsid w:val="002F701E"/>
    <w:rsid w:val="002F76C8"/>
    <w:rsid w:val="0030243F"/>
    <w:rsid w:val="00302F9F"/>
    <w:rsid w:val="00304386"/>
    <w:rsid w:val="00304CF3"/>
    <w:rsid w:val="003051E7"/>
    <w:rsid w:val="00306151"/>
    <w:rsid w:val="003067AC"/>
    <w:rsid w:val="003141AC"/>
    <w:rsid w:val="00314F61"/>
    <w:rsid w:val="003163C5"/>
    <w:rsid w:val="00316686"/>
    <w:rsid w:val="003174DA"/>
    <w:rsid w:val="003177C1"/>
    <w:rsid w:val="003235A7"/>
    <w:rsid w:val="00324853"/>
    <w:rsid w:val="00324C9D"/>
    <w:rsid w:val="00325E03"/>
    <w:rsid w:val="00326752"/>
    <w:rsid w:val="00327717"/>
    <w:rsid w:val="00332ABC"/>
    <w:rsid w:val="00333295"/>
    <w:rsid w:val="00334818"/>
    <w:rsid w:val="003375B0"/>
    <w:rsid w:val="00337FAC"/>
    <w:rsid w:val="003401FE"/>
    <w:rsid w:val="0034042D"/>
    <w:rsid w:val="00340A7A"/>
    <w:rsid w:val="003416DD"/>
    <w:rsid w:val="00346D80"/>
    <w:rsid w:val="00346F88"/>
    <w:rsid w:val="00346F8E"/>
    <w:rsid w:val="00351536"/>
    <w:rsid w:val="00351E44"/>
    <w:rsid w:val="00352532"/>
    <w:rsid w:val="00352BE1"/>
    <w:rsid w:val="00353CB8"/>
    <w:rsid w:val="0035702F"/>
    <w:rsid w:val="003602FA"/>
    <w:rsid w:val="00360470"/>
    <w:rsid w:val="00360F9A"/>
    <w:rsid w:val="003640A3"/>
    <w:rsid w:val="0036476C"/>
    <w:rsid w:val="0036611B"/>
    <w:rsid w:val="0036754F"/>
    <w:rsid w:val="00371192"/>
    <w:rsid w:val="00371E5F"/>
    <w:rsid w:val="003750DA"/>
    <w:rsid w:val="00375552"/>
    <w:rsid w:val="00376C6C"/>
    <w:rsid w:val="00384629"/>
    <w:rsid w:val="00385513"/>
    <w:rsid w:val="00385871"/>
    <w:rsid w:val="00386679"/>
    <w:rsid w:val="00387E9E"/>
    <w:rsid w:val="00390DCF"/>
    <w:rsid w:val="00393B92"/>
    <w:rsid w:val="00393BB9"/>
    <w:rsid w:val="00393E42"/>
    <w:rsid w:val="00396025"/>
    <w:rsid w:val="00397FF3"/>
    <w:rsid w:val="00397FF5"/>
    <w:rsid w:val="003A00C3"/>
    <w:rsid w:val="003A00DA"/>
    <w:rsid w:val="003A0C33"/>
    <w:rsid w:val="003A1876"/>
    <w:rsid w:val="003A1F47"/>
    <w:rsid w:val="003A2944"/>
    <w:rsid w:val="003A2CB5"/>
    <w:rsid w:val="003A2FCD"/>
    <w:rsid w:val="003A3731"/>
    <w:rsid w:val="003A4B70"/>
    <w:rsid w:val="003A633B"/>
    <w:rsid w:val="003A71FD"/>
    <w:rsid w:val="003B0DEF"/>
    <w:rsid w:val="003B42E4"/>
    <w:rsid w:val="003B4C99"/>
    <w:rsid w:val="003B604C"/>
    <w:rsid w:val="003B7921"/>
    <w:rsid w:val="003B7DF3"/>
    <w:rsid w:val="003C0237"/>
    <w:rsid w:val="003C04C4"/>
    <w:rsid w:val="003C200C"/>
    <w:rsid w:val="003C2074"/>
    <w:rsid w:val="003C2744"/>
    <w:rsid w:val="003C3ADB"/>
    <w:rsid w:val="003C3D8A"/>
    <w:rsid w:val="003C5712"/>
    <w:rsid w:val="003C5E88"/>
    <w:rsid w:val="003D11B5"/>
    <w:rsid w:val="003D134C"/>
    <w:rsid w:val="003D13C9"/>
    <w:rsid w:val="003D5087"/>
    <w:rsid w:val="003D6285"/>
    <w:rsid w:val="003D69A5"/>
    <w:rsid w:val="003D6D9F"/>
    <w:rsid w:val="003E0079"/>
    <w:rsid w:val="003E09D5"/>
    <w:rsid w:val="003E14F9"/>
    <w:rsid w:val="003E231A"/>
    <w:rsid w:val="003E7DA5"/>
    <w:rsid w:val="003F045D"/>
    <w:rsid w:val="003F1B0B"/>
    <w:rsid w:val="003F3119"/>
    <w:rsid w:val="003F386E"/>
    <w:rsid w:val="003F3C60"/>
    <w:rsid w:val="003F4D44"/>
    <w:rsid w:val="003F6D32"/>
    <w:rsid w:val="00400FF0"/>
    <w:rsid w:val="00404FF4"/>
    <w:rsid w:val="00405714"/>
    <w:rsid w:val="00405E22"/>
    <w:rsid w:val="00405F92"/>
    <w:rsid w:val="0040662C"/>
    <w:rsid w:val="00406B09"/>
    <w:rsid w:val="0041409E"/>
    <w:rsid w:val="0041530A"/>
    <w:rsid w:val="00416125"/>
    <w:rsid w:val="004176AD"/>
    <w:rsid w:val="00420D5E"/>
    <w:rsid w:val="00421B11"/>
    <w:rsid w:val="00421B2C"/>
    <w:rsid w:val="00423EFE"/>
    <w:rsid w:val="004265FC"/>
    <w:rsid w:val="0042791A"/>
    <w:rsid w:val="00430B5A"/>
    <w:rsid w:val="00431328"/>
    <w:rsid w:val="0043140D"/>
    <w:rsid w:val="0043167A"/>
    <w:rsid w:val="004330CB"/>
    <w:rsid w:val="00433B17"/>
    <w:rsid w:val="0043588C"/>
    <w:rsid w:val="004377A2"/>
    <w:rsid w:val="00437A8B"/>
    <w:rsid w:val="0044029B"/>
    <w:rsid w:val="0044098E"/>
    <w:rsid w:val="00440B11"/>
    <w:rsid w:val="0044207D"/>
    <w:rsid w:val="00443937"/>
    <w:rsid w:val="00443E9C"/>
    <w:rsid w:val="0044536F"/>
    <w:rsid w:val="00445988"/>
    <w:rsid w:val="00447FE5"/>
    <w:rsid w:val="0045004C"/>
    <w:rsid w:val="0045049F"/>
    <w:rsid w:val="00450614"/>
    <w:rsid w:val="0045082C"/>
    <w:rsid w:val="00450B83"/>
    <w:rsid w:val="004535E3"/>
    <w:rsid w:val="00453775"/>
    <w:rsid w:val="00454C53"/>
    <w:rsid w:val="00456CED"/>
    <w:rsid w:val="0045792F"/>
    <w:rsid w:val="00460F24"/>
    <w:rsid w:val="004617B8"/>
    <w:rsid w:val="00461CE9"/>
    <w:rsid w:val="0046264A"/>
    <w:rsid w:val="0046426E"/>
    <w:rsid w:val="0046504E"/>
    <w:rsid w:val="004676F3"/>
    <w:rsid w:val="00467C8E"/>
    <w:rsid w:val="00467EBD"/>
    <w:rsid w:val="004721C3"/>
    <w:rsid w:val="004731F7"/>
    <w:rsid w:val="0047363F"/>
    <w:rsid w:val="00473BA0"/>
    <w:rsid w:val="004758FE"/>
    <w:rsid w:val="00476E72"/>
    <w:rsid w:val="00477293"/>
    <w:rsid w:val="00477BF6"/>
    <w:rsid w:val="00480A07"/>
    <w:rsid w:val="00481DE3"/>
    <w:rsid w:val="004830C8"/>
    <w:rsid w:val="004835F6"/>
    <w:rsid w:val="004837AB"/>
    <w:rsid w:val="00483A2F"/>
    <w:rsid w:val="00483C0A"/>
    <w:rsid w:val="00487877"/>
    <w:rsid w:val="00487ADF"/>
    <w:rsid w:val="00490DBF"/>
    <w:rsid w:val="00491805"/>
    <w:rsid w:val="00492807"/>
    <w:rsid w:val="00494C60"/>
    <w:rsid w:val="00494F12"/>
    <w:rsid w:val="0049570C"/>
    <w:rsid w:val="00496F2F"/>
    <w:rsid w:val="0049741E"/>
    <w:rsid w:val="00497571"/>
    <w:rsid w:val="004A111F"/>
    <w:rsid w:val="004A13B5"/>
    <w:rsid w:val="004A1EFB"/>
    <w:rsid w:val="004A2500"/>
    <w:rsid w:val="004A254B"/>
    <w:rsid w:val="004A2FF5"/>
    <w:rsid w:val="004A414E"/>
    <w:rsid w:val="004A46B5"/>
    <w:rsid w:val="004A5382"/>
    <w:rsid w:val="004A6E34"/>
    <w:rsid w:val="004A6EE1"/>
    <w:rsid w:val="004B031F"/>
    <w:rsid w:val="004B1BEE"/>
    <w:rsid w:val="004B22E7"/>
    <w:rsid w:val="004B2AB8"/>
    <w:rsid w:val="004B438A"/>
    <w:rsid w:val="004B6492"/>
    <w:rsid w:val="004B6AD7"/>
    <w:rsid w:val="004C1BA6"/>
    <w:rsid w:val="004C3974"/>
    <w:rsid w:val="004C3D5C"/>
    <w:rsid w:val="004D04EB"/>
    <w:rsid w:val="004D0DA3"/>
    <w:rsid w:val="004D3C91"/>
    <w:rsid w:val="004D74CC"/>
    <w:rsid w:val="004D770C"/>
    <w:rsid w:val="004E0A28"/>
    <w:rsid w:val="004E3243"/>
    <w:rsid w:val="004E370E"/>
    <w:rsid w:val="004E402A"/>
    <w:rsid w:val="004E5D3D"/>
    <w:rsid w:val="004E6262"/>
    <w:rsid w:val="004E7AD2"/>
    <w:rsid w:val="004E7C62"/>
    <w:rsid w:val="004E7E2A"/>
    <w:rsid w:val="004F006C"/>
    <w:rsid w:val="004F0A29"/>
    <w:rsid w:val="004F1032"/>
    <w:rsid w:val="004F3504"/>
    <w:rsid w:val="004F3D32"/>
    <w:rsid w:val="004F407C"/>
    <w:rsid w:val="004F4387"/>
    <w:rsid w:val="004F6A52"/>
    <w:rsid w:val="004F6CBF"/>
    <w:rsid w:val="004F7059"/>
    <w:rsid w:val="004F7A45"/>
    <w:rsid w:val="004F7F85"/>
    <w:rsid w:val="005015C9"/>
    <w:rsid w:val="00501FCD"/>
    <w:rsid w:val="0050259B"/>
    <w:rsid w:val="0050262C"/>
    <w:rsid w:val="005029C2"/>
    <w:rsid w:val="00502A41"/>
    <w:rsid w:val="00503EB9"/>
    <w:rsid w:val="00506B56"/>
    <w:rsid w:val="00507D35"/>
    <w:rsid w:val="0051093C"/>
    <w:rsid w:val="00510BF5"/>
    <w:rsid w:val="0051318C"/>
    <w:rsid w:val="005135B0"/>
    <w:rsid w:val="00513B0B"/>
    <w:rsid w:val="0051410F"/>
    <w:rsid w:val="0051467B"/>
    <w:rsid w:val="00515265"/>
    <w:rsid w:val="00516630"/>
    <w:rsid w:val="00517E74"/>
    <w:rsid w:val="0052047E"/>
    <w:rsid w:val="00520E2F"/>
    <w:rsid w:val="00521BA7"/>
    <w:rsid w:val="0052324F"/>
    <w:rsid w:val="00525051"/>
    <w:rsid w:val="005252E2"/>
    <w:rsid w:val="0052557B"/>
    <w:rsid w:val="00526D27"/>
    <w:rsid w:val="00527923"/>
    <w:rsid w:val="0053075D"/>
    <w:rsid w:val="00530EAD"/>
    <w:rsid w:val="00531396"/>
    <w:rsid w:val="005329C3"/>
    <w:rsid w:val="005334A9"/>
    <w:rsid w:val="0053486B"/>
    <w:rsid w:val="00534AE0"/>
    <w:rsid w:val="005363A3"/>
    <w:rsid w:val="005370F5"/>
    <w:rsid w:val="0054032B"/>
    <w:rsid w:val="005409D3"/>
    <w:rsid w:val="00541A38"/>
    <w:rsid w:val="00541B55"/>
    <w:rsid w:val="00544F9B"/>
    <w:rsid w:val="0054577D"/>
    <w:rsid w:val="00546BE0"/>
    <w:rsid w:val="00550948"/>
    <w:rsid w:val="00550F22"/>
    <w:rsid w:val="005511D5"/>
    <w:rsid w:val="00551564"/>
    <w:rsid w:val="0055390E"/>
    <w:rsid w:val="00554141"/>
    <w:rsid w:val="005548C5"/>
    <w:rsid w:val="00554E71"/>
    <w:rsid w:val="005560E4"/>
    <w:rsid w:val="0055744F"/>
    <w:rsid w:val="005602CB"/>
    <w:rsid w:val="00560754"/>
    <w:rsid w:val="00560F5F"/>
    <w:rsid w:val="00561350"/>
    <w:rsid w:val="005616C4"/>
    <w:rsid w:val="00563E22"/>
    <w:rsid w:val="005649BF"/>
    <w:rsid w:val="0056768C"/>
    <w:rsid w:val="00570856"/>
    <w:rsid w:val="00570E72"/>
    <w:rsid w:val="00573570"/>
    <w:rsid w:val="00575081"/>
    <w:rsid w:val="00575DC6"/>
    <w:rsid w:val="0058052C"/>
    <w:rsid w:val="00580859"/>
    <w:rsid w:val="00581E25"/>
    <w:rsid w:val="0058233D"/>
    <w:rsid w:val="0058306B"/>
    <w:rsid w:val="005831A0"/>
    <w:rsid w:val="00583AD8"/>
    <w:rsid w:val="00585FB5"/>
    <w:rsid w:val="005875EC"/>
    <w:rsid w:val="00590FD1"/>
    <w:rsid w:val="00591586"/>
    <w:rsid w:val="0059390D"/>
    <w:rsid w:val="005940B2"/>
    <w:rsid w:val="00595B20"/>
    <w:rsid w:val="005A0936"/>
    <w:rsid w:val="005A1143"/>
    <w:rsid w:val="005A14BC"/>
    <w:rsid w:val="005A3EDE"/>
    <w:rsid w:val="005A452A"/>
    <w:rsid w:val="005A4C16"/>
    <w:rsid w:val="005A70C4"/>
    <w:rsid w:val="005B2BAE"/>
    <w:rsid w:val="005B343B"/>
    <w:rsid w:val="005B3F0E"/>
    <w:rsid w:val="005B41F5"/>
    <w:rsid w:val="005B4859"/>
    <w:rsid w:val="005B4DB4"/>
    <w:rsid w:val="005B61D6"/>
    <w:rsid w:val="005B6484"/>
    <w:rsid w:val="005B6F36"/>
    <w:rsid w:val="005B753D"/>
    <w:rsid w:val="005C0632"/>
    <w:rsid w:val="005C08EC"/>
    <w:rsid w:val="005C214C"/>
    <w:rsid w:val="005C298B"/>
    <w:rsid w:val="005C29D9"/>
    <w:rsid w:val="005C6686"/>
    <w:rsid w:val="005D24AD"/>
    <w:rsid w:val="005D3438"/>
    <w:rsid w:val="005D3442"/>
    <w:rsid w:val="005D426A"/>
    <w:rsid w:val="005D4B7E"/>
    <w:rsid w:val="005D569D"/>
    <w:rsid w:val="005D5C8E"/>
    <w:rsid w:val="005D6A51"/>
    <w:rsid w:val="005E3D1C"/>
    <w:rsid w:val="005E440E"/>
    <w:rsid w:val="005E4ABA"/>
    <w:rsid w:val="005E58AA"/>
    <w:rsid w:val="005E5ECC"/>
    <w:rsid w:val="005E7551"/>
    <w:rsid w:val="005F088B"/>
    <w:rsid w:val="005F1007"/>
    <w:rsid w:val="005F329C"/>
    <w:rsid w:val="005F5358"/>
    <w:rsid w:val="005F5D19"/>
    <w:rsid w:val="005F6CBF"/>
    <w:rsid w:val="0060008B"/>
    <w:rsid w:val="00602C2B"/>
    <w:rsid w:val="00602DD2"/>
    <w:rsid w:val="0060381F"/>
    <w:rsid w:val="00605672"/>
    <w:rsid w:val="00606103"/>
    <w:rsid w:val="006062E0"/>
    <w:rsid w:val="00606FE0"/>
    <w:rsid w:val="00607E37"/>
    <w:rsid w:val="0061332C"/>
    <w:rsid w:val="006135E6"/>
    <w:rsid w:val="00613814"/>
    <w:rsid w:val="00615659"/>
    <w:rsid w:val="00616FE1"/>
    <w:rsid w:val="0061713F"/>
    <w:rsid w:val="00617345"/>
    <w:rsid w:val="00617DF2"/>
    <w:rsid w:val="00621810"/>
    <w:rsid w:val="00622C59"/>
    <w:rsid w:val="00624F67"/>
    <w:rsid w:val="00625409"/>
    <w:rsid w:val="006304A5"/>
    <w:rsid w:val="00631ED8"/>
    <w:rsid w:val="00632EA5"/>
    <w:rsid w:val="00632F50"/>
    <w:rsid w:val="00633905"/>
    <w:rsid w:val="00635B35"/>
    <w:rsid w:val="00636427"/>
    <w:rsid w:val="00641087"/>
    <w:rsid w:val="00642D69"/>
    <w:rsid w:val="00643E6E"/>
    <w:rsid w:val="00645447"/>
    <w:rsid w:val="006475C6"/>
    <w:rsid w:val="00651D32"/>
    <w:rsid w:val="006550F8"/>
    <w:rsid w:val="006561DA"/>
    <w:rsid w:val="00656926"/>
    <w:rsid w:val="00656D48"/>
    <w:rsid w:val="0065701C"/>
    <w:rsid w:val="00657994"/>
    <w:rsid w:val="006606E6"/>
    <w:rsid w:val="00660BC7"/>
    <w:rsid w:val="00661CE0"/>
    <w:rsid w:val="006626B7"/>
    <w:rsid w:val="00662792"/>
    <w:rsid w:val="00662C4D"/>
    <w:rsid w:val="006644F1"/>
    <w:rsid w:val="00664C33"/>
    <w:rsid w:val="00666ED7"/>
    <w:rsid w:val="006711DA"/>
    <w:rsid w:val="0067152F"/>
    <w:rsid w:val="00671A31"/>
    <w:rsid w:val="00672C3A"/>
    <w:rsid w:val="00672F75"/>
    <w:rsid w:val="006734CA"/>
    <w:rsid w:val="006744F1"/>
    <w:rsid w:val="0067459C"/>
    <w:rsid w:val="00674F1D"/>
    <w:rsid w:val="00675F04"/>
    <w:rsid w:val="00677D7E"/>
    <w:rsid w:val="006810BE"/>
    <w:rsid w:val="006818B6"/>
    <w:rsid w:val="006824B8"/>
    <w:rsid w:val="006834EE"/>
    <w:rsid w:val="00683BD5"/>
    <w:rsid w:val="00684DBB"/>
    <w:rsid w:val="00690B60"/>
    <w:rsid w:val="0069108F"/>
    <w:rsid w:val="00691092"/>
    <w:rsid w:val="00691E96"/>
    <w:rsid w:val="00693348"/>
    <w:rsid w:val="0069409D"/>
    <w:rsid w:val="00694FB1"/>
    <w:rsid w:val="00695C30"/>
    <w:rsid w:val="00696B32"/>
    <w:rsid w:val="0069788E"/>
    <w:rsid w:val="00697E7F"/>
    <w:rsid w:val="006A01DC"/>
    <w:rsid w:val="006A1142"/>
    <w:rsid w:val="006A602E"/>
    <w:rsid w:val="006A7743"/>
    <w:rsid w:val="006B0B79"/>
    <w:rsid w:val="006B1899"/>
    <w:rsid w:val="006B1F47"/>
    <w:rsid w:val="006B6339"/>
    <w:rsid w:val="006B6C6A"/>
    <w:rsid w:val="006C1567"/>
    <w:rsid w:val="006C15D5"/>
    <w:rsid w:val="006C234F"/>
    <w:rsid w:val="006C2A33"/>
    <w:rsid w:val="006C2B29"/>
    <w:rsid w:val="006C2CB5"/>
    <w:rsid w:val="006C386E"/>
    <w:rsid w:val="006C3D0C"/>
    <w:rsid w:val="006C3FBC"/>
    <w:rsid w:val="006C41D8"/>
    <w:rsid w:val="006C5625"/>
    <w:rsid w:val="006C5955"/>
    <w:rsid w:val="006C5C42"/>
    <w:rsid w:val="006D0F8B"/>
    <w:rsid w:val="006D31E1"/>
    <w:rsid w:val="006D343E"/>
    <w:rsid w:val="006D359C"/>
    <w:rsid w:val="006D3940"/>
    <w:rsid w:val="006D519D"/>
    <w:rsid w:val="006D56BC"/>
    <w:rsid w:val="006D74AD"/>
    <w:rsid w:val="006E1202"/>
    <w:rsid w:val="006E2710"/>
    <w:rsid w:val="006E3247"/>
    <w:rsid w:val="006E63F1"/>
    <w:rsid w:val="006E6F57"/>
    <w:rsid w:val="006E7542"/>
    <w:rsid w:val="006F1249"/>
    <w:rsid w:val="006F1FD7"/>
    <w:rsid w:val="006F283A"/>
    <w:rsid w:val="006F39D0"/>
    <w:rsid w:val="006F53EA"/>
    <w:rsid w:val="006F5737"/>
    <w:rsid w:val="006F5A92"/>
    <w:rsid w:val="006F6897"/>
    <w:rsid w:val="006F7484"/>
    <w:rsid w:val="006F7746"/>
    <w:rsid w:val="00700AC3"/>
    <w:rsid w:val="00701A46"/>
    <w:rsid w:val="007040FA"/>
    <w:rsid w:val="00706847"/>
    <w:rsid w:val="00706A09"/>
    <w:rsid w:val="007071B1"/>
    <w:rsid w:val="007076B4"/>
    <w:rsid w:val="00710422"/>
    <w:rsid w:val="00711157"/>
    <w:rsid w:val="00711475"/>
    <w:rsid w:val="007124FA"/>
    <w:rsid w:val="00714E2B"/>
    <w:rsid w:val="00715B7E"/>
    <w:rsid w:val="00715EB8"/>
    <w:rsid w:val="00720D29"/>
    <w:rsid w:val="00723A6F"/>
    <w:rsid w:val="00723E1A"/>
    <w:rsid w:val="007244C7"/>
    <w:rsid w:val="00726354"/>
    <w:rsid w:val="007307E9"/>
    <w:rsid w:val="00730CDB"/>
    <w:rsid w:val="00731B46"/>
    <w:rsid w:val="00732CC9"/>
    <w:rsid w:val="00736B8A"/>
    <w:rsid w:val="00736C89"/>
    <w:rsid w:val="007413C5"/>
    <w:rsid w:val="007421DC"/>
    <w:rsid w:val="007438ED"/>
    <w:rsid w:val="00745744"/>
    <w:rsid w:val="007462F1"/>
    <w:rsid w:val="0075032A"/>
    <w:rsid w:val="0075092A"/>
    <w:rsid w:val="00753C97"/>
    <w:rsid w:val="007543D1"/>
    <w:rsid w:val="00754CEC"/>
    <w:rsid w:val="0075624E"/>
    <w:rsid w:val="007568B4"/>
    <w:rsid w:val="00761C4B"/>
    <w:rsid w:val="00767B4B"/>
    <w:rsid w:val="007708B1"/>
    <w:rsid w:val="00770D7D"/>
    <w:rsid w:val="00772497"/>
    <w:rsid w:val="007744E3"/>
    <w:rsid w:val="00774770"/>
    <w:rsid w:val="007756D5"/>
    <w:rsid w:val="00776241"/>
    <w:rsid w:val="00776CA9"/>
    <w:rsid w:val="00776F45"/>
    <w:rsid w:val="00781047"/>
    <w:rsid w:val="00782A9F"/>
    <w:rsid w:val="00784474"/>
    <w:rsid w:val="00784DE6"/>
    <w:rsid w:val="00785CB6"/>
    <w:rsid w:val="00787F0A"/>
    <w:rsid w:val="00790BDF"/>
    <w:rsid w:val="00791377"/>
    <w:rsid w:val="007917E6"/>
    <w:rsid w:val="00791FED"/>
    <w:rsid w:val="007928D4"/>
    <w:rsid w:val="00792B9C"/>
    <w:rsid w:val="00795512"/>
    <w:rsid w:val="00795BD1"/>
    <w:rsid w:val="007962E1"/>
    <w:rsid w:val="00796C8D"/>
    <w:rsid w:val="007970A6"/>
    <w:rsid w:val="007972AC"/>
    <w:rsid w:val="007A0EFC"/>
    <w:rsid w:val="007A4F15"/>
    <w:rsid w:val="007A5340"/>
    <w:rsid w:val="007A5FC2"/>
    <w:rsid w:val="007A674B"/>
    <w:rsid w:val="007B26BE"/>
    <w:rsid w:val="007B2DC6"/>
    <w:rsid w:val="007B3429"/>
    <w:rsid w:val="007B56A1"/>
    <w:rsid w:val="007B5FA8"/>
    <w:rsid w:val="007B6C2E"/>
    <w:rsid w:val="007B6FDF"/>
    <w:rsid w:val="007B751B"/>
    <w:rsid w:val="007B7D48"/>
    <w:rsid w:val="007C0C73"/>
    <w:rsid w:val="007C197E"/>
    <w:rsid w:val="007C1E7F"/>
    <w:rsid w:val="007C3F5F"/>
    <w:rsid w:val="007C453B"/>
    <w:rsid w:val="007C4C49"/>
    <w:rsid w:val="007C5825"/>
    <w:rsid w:val="007C7892"/>
    <w:rsid w:val="007C793E"/>
    <w:rsid w:val="007D03DD"/>
    <w:rsid w:val="007D0C7B"/>
    <w:rsid w:val="007D1154"/>
    <w:rsid w:val="007D1D53"/>
    <w:rsid w:val="007D2750"/>
    <w:rsid w:val="007D27F3"/>
    <w:rsid w:val="007D2F22"/>
    <w:rsid w:val="007D4C7B"/>
    <w:rsid w:val="007D62C7"/>
    <w:rsid w:val="007D6BEC"/>
    <w:rsid w:val="007E0B0E"/>
    <w:rsid w:val="007E10EB"/>
    <w:rsid w:val="007E1279"/>
    <w:rsid w:val="007E1611"/>
    <w:rsid w:val="007E2B19"/>
    <w:rsid w:val="007E3F3D"/>
    <w:rsid w:val="007E4466"/>
    <w:rsid w:val="007E4719"/>
    <w:rsid w:val="007E4B98"/>
    <w:rsid w:val="007E5065"/>
    <w:rsid w:val="007E6A15"/>
    <w:rsid w:val="007E6A27"/>
    <w:rsid w:val="007E6A40"/>
    <w:rsid w:val="007E7772"/>
    <w:rsid w:val="007F0A1D"/>
    <w:rsid w:val="007F1BC8"/>
    <w:rsid w:val="007F3EBB"/>
    <w:rsid w:val="007F4B5C"/>
    <w:rsid w:val="007F4CEB"/>
    <w:rsid w:val="007F62D4"/>
    <w:rsid w:val="007F687A"/>
    <w:rsid w:val="007F6AA7"/>
    <w:rsid w:val="007F7AC6"/>
    <w:rsid w:val="008002B0"/>
    <w:rsid w:val="00800E7E"/>
    <w:rsid w:val="00803061"/>
    <w:rsid w:val="008031CF"/>
    <w:rsid w:val="008046DB"/>
    <w:rsid w:val="00805E55"/>
    <w:rsid w:val="00807EEE"/>
    <w:rsid w:val="0081087D"/>
    <w:rsid w:val="008109D6"/>
    <w:rsid w:val="00810F65"/>
    <w:rsid w:val="008135F4"/>
    <w:rsid w:val="00813893"/>
    <w:rsid w:val="008140C0"/>
    <w:rsid w:val="008149E7"/>
    <w:rsid w:val="00814E17"/>
    <w:rsid w:val="00815DBF"/>
    <w:rsid w:val="00815FF0"/>
    <w:rsid w:val="00820274"/>
    <w:rsid w:val="008218D6"/>
    <w:rsid w:val="0082266E"/>
    <w:rsid w:val="00822868"/>
    <w:rsid w:val="008234E2"/>
    <w:rsid w:val="00824361"/>
    <w:rsid w:val="008244ED"/>
    <w:rsid w:val="00824CE3"/>
    <w:rsid w:val="008276C4"/>
    <w:rsid w:val="00830500"/>
    <w:rsid w:val="00830A7C"/>
    <w:rsid w:val="00831DD1"/>
    <w:rsid w:val="008327EE"/>
    <w:rsid w:val="0083350D"/>
    <w:rsid w:val="00834968"/>
    <w:rsid w:val="00835417"/>
    <w:rsid w:val="00840314"/>
    <w:rsid w:val="00840F38"/>
    <w:rsid w:val="00842E74"/>
    <w:rsid w:val="008432A7"/>
    <w:rsid w:val="0084355F"/>
    <w:rsid w:val="0084374B"/>
    <w:rsid w:val="00843BE5"/>
    <w:rsid w:val="0084580C"/>
    <w:rsid w:val="00845A97"/>
    <w:rsid w:val="00846DA0"/>
    <w:rsid w:val="0084777B"/>
    <w:rsid w:val="0085037B"/>
    <w:rsid w:val="0085158C"/>
    <w:rsid w:val="00855030"/>
    <w:rsid w:val="00855988"/>
    <w:rsid w:val="00855F67"/>
    <w:rsid w:val="00856B64"/>
    <w:rsid w:val="0085702A"/>
    <w:rsid w:val="00857381"/>
    <w:rsid w:val="00857DEF"/>
    <w:rsid w:val="008600B5"/>
    <w:rsid w:val="008601F6"/>
    <w:rsid w:val="008602F0"/>
    <w:rsid w:val="00861F13"/>
    <w:rsid w:val="00862C81"/>
    <w:rsid w:val="00863DD9"/>
    <w:rsid w:val="00865891"/>
    <w:rsid w:val="00866446"/>
    <w:rsid w:val="0086741B"/>
    <w:rsid w:val="00870BDD"/>
    <w:rsid w:val="008751A3"/>
    <w:rsid w:val="0087541D"/>
    <w:rsid w:val="008771C4"/>
    <w:rsid w:val="00880204"/>
    <w:rsid w:val="00880346"/>
    <w:rsid w:val="00881A25"/>
    <w:rsid w:val="00882919"/>
    <w:rsid w:val="00882C3E"/>
    <w:rsid w:val="008840CA"/>
    <w:rsid w:val="00884B31"/>
    <w:rsid w:val="008858FF"/>
    <w:rsid w:val="00885CF6"/>
    <w:rsid w:val="00886F29"/>
    <w:rsid w:val="00887F70"/>
    <w:rsid w:val="0089027D"/>
    <w:rsid w:val="00890D7A"/>
    <w:rsid w:val="00892517"/>
    <w:rsid w:val="008927FE"/>
    <w:rsid w:val="00892A25"/>
    <w:rsid w:val="00893608"/>
    <w:rsid w:val="00897DAB"/>
    <w:rsid w:val="008A0633"/>
    <w:rsid w:val="008A0EE2"/>
    <w:rsid w:val="008A1724"/>
    <w:rsid w:val="008A3386"/>
    <w:rsid w:val="008A37D8"/>
    <w:rsid w:val="008A491E"/>
    <w:rsid w:val="008A4AA7"/>
    <w:rsid w:val="008A53F2"/>
    <w:rsid w:val="008A6EF7"/>
    <w:rsid w:val="008A7461"/>
    <w:rsid w:val="008B03A8"/>
    <w:rsid w:val="008B09B1"/>
    <w:rsid w:val="008B09D2"/>
    <w:rsid w:val="008B0CD2"/>
    <w:rsid w:val="008B391A"/>
    <w:rsid w:val="008C121B"/>
    <w:rsid w:val="008C14DA"/>
    <w:rsid w:val="008C1CE8"/>
    <w:rsid w:val="008C244C"/>
    <w:rsid w:val="008C24B6"/>
    <w:rsid w:val="008C3006"/>
    <w:rsid w:val="008C3161"/>
    <w:rsid w:val="008C3987"/>
    <w:rsid w:val="008C3E5B"/>
    <w:rsid w:val="008C487C"/>
    <w:rsid w:val="008C4C28"/>
    <w:rsid w:val="008C5224"/>
    <w:rsid w:val="008D073A"/>
    <w:rsid w:val="008D07ED"/>
    <w:rsid w:val="008D0BF9"/>
    <w:rsid w:val="008D1C77"/>
    <w:rsid w:val="008D2CBA"/>
    <w:rsid w:val="008D36E6"/>
    <w:rsid w:val="008D39EC"/>
    <w:rsid w:val="008D3B97"/>
    <w:rsid w:val="008D3BD3"/>
    <w:rsid w:val="008D40D6"/>
    <w:rsid w:val="008D4381"/>
    <w:rsid w:val="008D5C3A"/>
    <w:rsid w:val="008D66D4"/>
    <w:rsid w:val="008D6D06"/>
    <w:rsid w:val="008D71FA"/>
    <w:rsid w:val="008D797F"/>
    <w:rsid w:val="008E0FCC"/>
    <w:rsid w:val="008E1D10"/>
    <w:rsid w:val="008E2FE3"/>
    <w:rsid w:val="008E4429"/>
    <w:rsid w:val="008E5EB0"/>
    <w:rsid w:val="008E5F34"/>
    <w:rsid w:val="008E69AF"/>
    <w:rsid w:val="008F0FBE"/>
    <w:rsid w:val="008F2267"/>
    <w:rsid w:val="008F246E"/>
    <w:rsid w:val="008F3EE2"/>
    <w:rsid w:val="008F4CB7"/>
    <w:rsid w:val="008F4FBB"/>
    <w:rsid w:val="008F5910"/>
    <w:rsid w:val="008F5D30"/>
    <w:rsid w:val="008F6B23"/>
    <w:rsid w:val="00900D1E"/>
    <w:rsid w:val="00900D41"/>
    <w:rsid w:val="00902DC9"/>
    <w:rsid w:val="00903ADC"/>
    <w:rsid w:val="00910B3C"/>
    <w:rsid w:val="00911243"/>
    <w:rsid w:val="0091202E"/>
    <w:rsid w:val="0091226B"/>
    <w:rsid w:val="009123BA"/>
    <w:rsid w:val="00912EA2"/>
    <w:rsid w:val="00913B94"/>
    <w:rsid w:val="009145A3"/>
    <w:rsid w:val="009161B8"/>
    <w:rsid w:val="0091627F"/>
    <w:rsid w:val="00916361"/>
    <w:rsid w:val="00916488"/>
    <w:rsid w:val="00916D06"/>
    <w:rsid w:val="00917CFA"/>
    <w:rsid w:val="009223EA"/>
    <w:rsid w:val="009231E0"/>
    <w:rsid w:val="00923504"/>
    <w:rsid w:val="00924365"/>
    <w:rsid w:val="00924810"/>
    <w:rsid w:val="00924BFA"/>
    <w:rsid w:val="00926E16"/>
    <w:rsid w:val="009270B9"/>
    <w:rsid w:val="00927DF8"/>
    <w:rsid w:val="00930DFA"/>
    <w:rsid w:val="009326F8"/>
    <w:rsid w:val="00933EF5"/>
    <w:rsid w:val="009348DE"/>
    <w:rsid w:val="00935BE4"/>
    <w:rsid w:val="00935F01"/>
    <w:rsid w:val="00936A7C"/>
    <w:rsid w:val="00943C2E"/>
    <w:rsid w:val="00943FF0"/>
    <w:rsid w:val="0094508D"/>
    <w:rsid w:val="0094544E"/>
    <w:rsid w:val="00945988"/>
    <w:rsid w:val="009506A7"/>
    <w:rsid w:val="0095079A"/>
    <w:rsid w:val="0095189D"/>
    <w:rsid w:val="00951DA7"/>
    <w:rsid w:val="00952146"/>
    <w:rsid w:val="009549DD"/>
    <w:rsid w:val="00954ECE"/>
    <w:rsid w:val="0095686F"/>
    <w:rsid w:val="00956B25"/>
    <w:rsid w:val="00960CAB"/>
    <w:rsid w:val="009629AE"/>
    <w:rsid w:val="00962D6C"/>
    <w:rsid w:val="0096333C"/>
    <w:rsid w:val="009647E3"/>
    <w:rsid w:val="009655F6"/>
    <w:rsid w:val="00965B98"/>
    <w:rsid w:val="00965D9D"/>
    <w:rsid w:val="00967230"/>
    <w:rsid w:val="00967B56"/>
    <w:rsid w:val="00972C13"/>
    <w:rsid w:val="00974EE3"/>
    <w:rsid w:val="00976F3B"/>
    <w:rsid w:val="0097755A"/>
    <w:rsid w:val="00980729"/>
    <w:rsid w:val="00980E30"/>
    <w:rsid w:val="009812D7"/>
    <w:rsid w:val="009820DF"/>
    <w:rsid w:val="00982E99"/>
    <w:rsid w:val="0098491A"/>
    <w:rsid w:val="0098551E"/>
    <w:rsid w:val="00986C66"/>
    <w:rsid w:val="009923FE"/>
    <w:rsid w:val="0099267F"/>
    <w:rsid w:val="00993BFE"/>
    <w:rsid w:val="00993CE0"/>
    <w:rsid w:val="00993D31"/>
    <w:rsid w:val="00995546"/>
    <w:rsid w:val="00995931"/>
    <w:rsid w:val="00995D53"/>
    <w:rsid w:val="009963CB"/>
    <w:rsid w:val="00997B5A"/>
    <w:rsid w:val="009A19F8"/>
    <w:rsid w:val="009A219E"/>
    <w:rsid w:val="009A2770"/>
    <w:rsid w:val="009A3D14"/>
    <w:rsid w:val="009A5714"/>
    <w:rsid w:val="009A5A15"/>
    <w:rsid w:val="009A5DA7"/>
    <w:rsid w:val="009A6A4B"/>
    <w:rsid w:val="009A71F5"/>
    <w:rsid w:val="009A764B"/>
    <w:rsid w:val="009A79B7"/>
    <w:rsid w:val="009B0FED"/>
    <w:rsid w:val="009B1AEC"/>
    <w:rsid w:val="009B1B03"/>
    <w:rsid w:val="009B1BCD"/>
    <w:rsid w:val="009B2845"/>
    <w:rsid w:val="009B51E5"/>
    <w:rsid w:val="009B61C3"/>
    <w:rsid w:val="009C0FAC"/>
    <w:rsid w:val="009C1EE0"/>
    <w:rsid w:val="009C59BA"/>
    <w:rsid w:val="009C5F68"/>
    <w:rsid w:val="009C63BF"/>
    <w:rsid w:val="009C6628"/>
    <w:rsid w:val="009C6F56"/>
    <w:rsid w:val="009D1D57"/>
    <w:rsid w:val="009D1DE1"/>
    <w:rsid w:val="009D2059"/>
    <w:rsid w:val="009D266A"/>
    <w:rsid w:val="009D2E88"/>
    <w:rsid w:val="009D39BD"/>
    <w:rsid w:val="009D6FEF"/>
    <w:rsid w:val="009D7F5D"/>
    <w:rsid w:val="009D7F81"/>
    <w:rsid w:val="009E14F0"/>
    <w:rsid w:val="009E2544"/>
    <w:rsid w:val="009E2760"/>
    <w:rsid w:val="009E2770"/>
    <w:rsid w:val="009E2D72"/>
    <w:rsid w:val="009E3083"/>
    <w:rsid w:val="009E41C2"/>
    <w:rsid w:val="009E4A43"/>
    <w:rsid w:val="009E511A"/>
    <w:rsid w:val="009E581A"/>
    <w:rsid w:val="009E6614"/>
    <w:rsid w:val="009E6C5F"/>
    <w:rsid w:val="009F2261"/>
    <w:rsid w:val="009F3537"/>
    <w:rsid w:val="009F4BD3"/>
    <w:rsid w:val="009F708F"/>
    <w:rsid w:val="009F70CA"/>
    <w:rsid w:val="009F745E"/>
    <w:rsid w:val="00A0342D"/>
    <w:rsid w:val="00A05FE5"/>
    <w:rsid w:val="00A10B36"/>
    <w:rsid w:val="00A11599"/>
    <w:rsid w:val="00A12450"/>
    <w:rsid w:val="00A133E5"/>
    <w:rsid w:val="00A13C4B"/>
    <w:rsid w:val="00A141F1"/>
    <w:rsid w:val="00A154BF"/>
    <w:rsid w:val="00A22663"/>
    <w:rsid w:val="00A24DF9"/>
    <w:rsid w:val="00A25657"/>
    <w:rsid w:val="00A25FA5"/>
    <w:rsid w:val="00A264C7"/>
    <w:rsid w:val="00A26505"/>
    <w:rsid w:val="00A277FB"/>
    <w:rsid w:val="00A27907"/>
    <w:rsid w:val="00A30B2A"/>
    <w:rsid w:val="00A31880"/>
    <w:rsid w:val="00A318F4"/>
    <w:rsid w:val="00A32951"/>
    <w:rsid w:val="00A329B6"/>
    <w:rsid w:val="00A32C19"/>
    <w:rsid w:val="00A32FFB"/>
    <w:rsid w:val="00A362D0"/>
    <w:rsid w:val="00A367A1"/>
    <w:rsid w:val="00A36A2E"/>
    <w:rsid w:val="00A36FB9"/>
    <w:rsid w:val="00A37376"/>
    <w:rsid w:val="00A37CBD"/>
    <w:rsid w:val="00A40CD1"/>
    <w:rsid w:val="00A415D2"/>
    <w:rsid w:val="00A42244"/>
    <w:rsid w:val="00A4231B"/>
    <w:rsid w:val="00A42FA7"/>
    <w:rsid w:val="00A4372E"/>
    <w:rsid w:val="00A43E88"/>
    <w:rsid w:val="00A44093"/>
    <w:rsid w:val="00A44717"/>
    <w:rsid w:val="00A460BA"/>
    <w:rsid w:val="00A47EC1"/>
    <w:rsid w:val="00A510F6"/>
    <w:rsid w:val="00A53684"/>
    <w:rsid w:val="00A54F89"/>
    <w:rsid w:val="00A6018B"/>
    <w:rsid w:val="00A6208C"/>
    <w:rsid w:val="00A62F4C"/>
    <w:rsid w:val="00A645A9"/>
    <w:rsid w:val="00A651C9"/>
    <w:rsid w:val="00A657F1"/>
    <w:rsid w:val="00A6700F"/>
    <w:rsid w:val="00A70A39"/>
    <w:rsid w:val="00A70F57"/>
    <w:rsid w:val="00A71996"/>
    <w:rsid w:val="00A733E0"/>
    <w:rsid w:val="00A758DC"/>
    <w:rsid w:val="00A75B4C"/>
    <w:rsid w:val="00A762A2"/>
    <w:rsid w:val="00A76331"/>
    <w:rsid w:val="00A765EA"/>
    <w:rsid w:val="00A768F9"/>
    <w:rsid w:val="00A80739"/>
    <w:rsid w:val="00A83829"/>
    <w:rsid w:val="00A845EB"/>
    <w:rsid w:val="00A85AFF"/>
    <w:rsid w:val="00A86F00"/>
    <w:rsid w:val="00A903F4"/>
    <w:rsid w:val="00A95100"/>
    <w:rsid w:val="00AA2462"/>
    <w:rsid w:val="00AA2A39"/>
    <w:rsid w:val="00AA3916"/>
    <w:rsid w:val="00AA43A2"/>
    <w:rsid w:val="00AA4E30"/>
    <w:rsid w:val="00AA615B"/>
    <w:rsid w:val="00AA6B2A"/>
    <w:rsid w:val="00AA7209"/>
    <w:rsid w:val="00AA7532"/>
    <w:rsid w:val="00AB0DED"/>
    <w:rsid w:val="00AB254D"/>
    <w:rsid w:val="00AB29D7"/>
    <w:rsid w:val="00AB5F84"/>
    <w:rsid w:val="00AB616D"/>
    <w:rsid w:val="00AB7B39"/>
    <w:rsid w:val="00AC0C81"/>
    <w:rsid w:val="00AC14BE"/>
    <w:rsid w:val="00AC5C3A"/>
    <w:rsid w:val="00AC5C97"/>
    <w:rsid w:val="00AC5FE7"/>
    <w:rsid w:val="00AC67B1"/>
    <w:rsid w:val="00AC702A"/>
    <w:rsid w:val="00AC799F"/>
    <w:rsid w:val="00AD0DD7"/>
    <w:rsid w:val="00AD164D"/>
    <w:rsid w:val="00AD21C2"/>
    <w:rsid w:val="00AD2B3C"/>
    <w:rsid w:val="00AD3ACC"/>
    <w:rsid w:val="00AD4629"/>
    <w:rsid w:val="00AD4A40"/>
    <w:rsid w:val="00AD5FA4"/>
    <w:rsid w:val="00AD6471"/>
    <w:rsid w:val="00AD7725"/>
    <w:rsid w:val="00AE0B21"/>
    <w:rsid w:val="00AE13A1"/>
    <w:rsid w:val="00AE194E"/>
    <w:rsid w:val="00AE1CAD"/>
    <w:rsid w:val="00AE31FA"/>
    <w:rsid w:val="00AE355C"/>
    <w:rsid w:val="00AE3DA9"/>
    <w:rsid w:val="00AE5A27"/>
    <w:rsid w:val="00AE5EE3"/>
    <w:rsid w:val="00AE5EFD"/>
    <w:rsid w:val="00AE6142"/>
    <w:rsid w:val="00AE668A"/>
    <w:rsid w:val="00AE6858"/>
    <w:rsid w:val="00AE721E"/>
    <w:rsid w:val="00AF185A"/>
    <w:rsid w:val="00AF2203"/>
    <w:rsid w:val="00AF22D4"/>
    <w:rsid w:val="00AF2DF3"/>
    <w:rsid w:val="00AF4523"/>
    <w:rsid w:val="00AF5A98"/>
    <w:rsid w:val="00AF5C62"/>
    <w:rsid w:val="00AF6D01"/>
    <w:rsid w:val="00AF706F"/>
    <w:rsid w:val="00AF7270"/>
    <w:rsid w:val="00AF7DE1"/>
    <w:rsid w:val="00AF7F8A"/>
    <w:rsid w:val="00B00651"/>
    <w:rsid w:val="00B00B72"/>
    <w:rsid w:val="00B0135B"/>
    <w:rsid w:val="00B031A8"/>
    <w:rsid w:val="00B06445"/>
    <w:rsid w:val="00B1005D"/>
    <w:rsid w:val="00B100E5"/>
    <w:rsid w:val="00B139DC"/>
    <w:rsid w:val="00B140FE"/>
    <w:rsid w:val="00B148D5"/>
    <w:rsid w:val="00B1643A"/>
    <w:rsid w:val="00B169A0"/>
    <w:rsid w:val="00B16FE3"/>
    <w:rsid w:val="00B17BC5"/>
    <w:rsid w:val="00B2158C"/>
    <w:rsid w:val="00B2365C"/>
    <w:rsid w:val="00B24E57"/>
    <w:rsid w:val="00B2594C"/>
    <w:rsid w:val="00B259A3"/>
    <w:rsid w:val="00B26E57"/>
    <w:rsid w:val="00B30582"/>
    <w:rsid w:val="00B30D96"/>
    <w:rsid w:val="00B30E77"/>
    <w:rsid w:val="00B317BB"/>
    <w:rsid w:val="00B31AF6"/>
    <w:rsid w:val="00B33648"/>
    <w:rsid w:val="00B34A8A"/>
    <w:rsid w:val="00B34CE2"/>
    <w:rsid w:val="00B35792"/>
    <w:rsid w:val="00B370E1"/>
    <w:rsid w:val="00B406AA"/>
    <w:rsid w:val="00B40E44"/>
    <w:rsid w:val="00B411C7"/>
    <w:rsid w:val="00B4267D"/>
    <w:rsid w:val="00B435B8"/>
    <w:rsid w:val="00B43CD5"/>
    <w:rsid w:val="00B4410C"/>
    <w:rsid w:val="00B44EB3"/>
    <w:rsid w:val="00B4570B"/>
    <w:rsid w:val="00B45E47"/>
    <w:rsid w:val="00B46660"/>
    <w:rsid w:val="00B47CBC"/>
    <w:rsid w:val="00B502EC"/>
    <w:rsid w:val="00B50367"/>
    <w:rsid w:val="00B506DA"/>
    <w:rsid w:val="00B5123E"/>
    <w:rsid w:val="00B51FEF"/>
    <w:rsid w:val="00B522C4"/>
    <w:rsid w:val="00B52B0E"/>
    <w:rsid w:val="00B5337D"/>
    <w:rsid w:val="00B536DF"/>
    <w:rsid w:val="00B54318"/>
    <w:rsid w:val="00B54B81"/>
    <w:rsid w:val="00B559E9"/>
    <w:rsid w:val="00B56215"/>
    <w:rsid w:val="00B565F1"/>
    <w:rsid w:val="00B61EFA"/>
    <w:rsid w:val="00B62DD9"/>
    <w:rsid w:val="00B63839"/>
    <w:rsid w:val="00B63A7D"/>
    <w:rsid w:val="00B65290"/>
    <w:rsid w:val="00B66BF3"/>
    <w:rsid w:val="00B676CF"/>
    <w:rsid w:val="00B678C9"/>
    <w:rsid w:val="00B67C63"/>
    <w:rsid w:val="00B70E26"/>
    <w:rsid w:val="00B718F1"/>
    <w:rsid w:val="00B71D17"/>
    <w:rsid w:val="00B73662"/>
    <w:rsid w:val="00B74753"/>
    <w:rsid w:val="00B74D24"/>
    <w:rsid w:val="00B77186"/>
    <w:rsid w:val="00B771D4"/>
    <w:rsid w:val="00B7788C"/>
    <w:rsid w:val="00B77BCC"/>
    <w:rsid w:val="00B77C40"/>
    <w:rsid w:val="00B81CA8"/>
    <w:rsid w:val="00B81F75"/>
    <w:rsid w:val="00B8300E"/>
    <w:rsid w:val="00B8321B"/>
    <w:rsid w:val="00B84BE3"/>
    <w:rsid w:val="00B84E9D"/>
    <w:rsid w:val="00B863F6"/>
    <w:rsid w:val="00B90A41"/>
    <w:rsid w:val="00B91195"/>
    <w:rsid w:val="00B91E80"/>
    <w:rsid w:val="00B9397D"/>
    <w:rsid w:val="00B93A0E"/>
    <w:rsid w:val="00B94DDD"/>
    <w:rsid w:val="00B94E26"/>
    <w:rsid w:val="00B9767F"/>
    <w:rsid w:val="00B9793D"/>
    <w:rsid w:val="00B97D95"/>
    <w:rsid w:val="00BA383B"/>
    <w:rsid w:val="00BA52E1"/>
    <w:rsid w:val="00BA59EC"/>
    <w:rsid w:val="00BA6091"/>
    <w:rsid w:val="00BA7067"/>
    <w:rsid w:val="00BA7E78"/>
    <w:rsid w:val="00BB070A"/>
    <w:rsid w:val="00BB0EA7"/>
    <w:rsid w:val="00BB1E5D"/>
    <w:rsid w:val="00BB3CFF"/>
    <w:rsid w:val="00BB3DBA"/>
    <w:rsid w:val="00BB59F9"/>
    <w:rsid w:val="00BB65E0"/>
    <w:rsid w:val="00BC1426"/>
    <w:rsid w:val="00BC14A9"/>
    <w:rsid w:val="00BC15B8"/>
    <w:rsid w:val="00BC3D32"/>
    <w:rsid w:val="00BC515F"/>
    <w:rsid w:val="00BC5279"/>
    <w:rsid w:val="00BC5929"/>
    <w:rsid w:val="00BC617E"/>
    <w:rsid w:val="00BC6627"/>
    <w:rsid w:val="00BC6C4A"/>
    <w:rsid w:val="00BC6C4E"/>
    <w:rsid w:val="00BC71A3"/>
    <w:rsid w:val="00BD0990"/>
    <w:rsid w:val="00BD0A88"/>
    <w:rsid w:val="00BD23BD"/>
    <w:rsid w:val="00BD3767"/>
    <w:rsid w:val="00BD4E5D"/>
    <w:rsid w:val="00BD5341"/>
    <w:rsid w:val="00BD58A7"/>
    <w:rsid w:val="00BD7FF3"/>
    <w:rsid w:val="00BE1E33"/>
    <w:rsid w:val="00BE2AD3"/>
    <w:rsid w:val="00BE2B56"/>
    <w:rsid w:val="00BE36F7"/>
    <w:rsid w:val="00BE3CD6"/>
    <w:rsid w:val="00BE4E4A"/>
    <w:rsid w:val="00BE50B7"/>
    <w:rsid w:val="00BE5D5D"/>
    <w:rsid w:val="00BE71B4"/>
    <w:rsid w:val="00BF1787"/>
    <w:rsid w:val="00BF2443"/>
    <w:rsid w:val="00BF71B7"/>
    <w:rsid w:val="00BF7C99"/>
    <w:rsid w:val="00C00831"/>
    <w:rsid w:val="00C0277E"/>
    <w:rsid w:val="00C02D09"/>
    <w:rsid w:val="00C03133"/>
    <w:rsid w:val="00C03689"/>
    <w:rsid w:val="00C069D0"/>
    <w:rsid w:val="00C06ABB"/>
    <w:rsid w:val="00C10978"/>
    <w:rsid w:val="00C11BCD"/>
    <w:rsid w:val="00C12201"/>
    <w:rsid w:val="00C12471"/>
    <w:rsid w:val="00C13418"/>
    <w:rsid w:val="00C1388B"/>
    <w:rsid w:val="00C1405A"/>
    <w:rsid w:val="00C1517D"/>
    <w:rsid w:val="00C22412"/>
    <w:rsid w:val="00C247F3"/>
    <w:rsid w:val="00C24EAC"/>
    <w:rsid w:val="00C25E14"/>
    <w:rsid w:val="00C25F56"/>
    <w:rsid w:val="00C26186"/>
    <w:rsid w:val="00C266A5"/>
    <w:rsid w:val="00C31ED6"/>
    <w:rsid w:val="00C32446"/>
    <w:rsid w:val="00C329D6"/>
    <w:rsid w:val="00C350D0"/>
    <w:rsid w:val="00C35A13"/>
    <w:rsid w:val="00C36479"/>
    <w:rsid w:val="00C37AC1"/>
    <w:rsid w:val="00C40C84"/>
    <w:rsid w:val="00C4119A"/>
    <w:rsid w:val="00C42382"/>
    <w:rsid w:val="00C43160"/>
    <w:rsid w:val="00C4526C"/>
    <w:rsid w:val="00C45CC3"/>
    <w:rsid w:val="00C505B0"/>
    <w:rsid w:val="00C50B1B"/>
    <w:rsid w:val="00C51757"/>
    <w:rsid w:val="00C523F2"/>
    <w:rsid w:val="00C52801"/>
    <w:rsid w:val="00C5648B"/>
    <w:rsid w:val="00C6210F"/>
    <w:rsid w:val="00C6308C"/>
    <w:rsid w:val="00C63CE5"/>
    <w:rsid w:val="00C64ADB"/>
    <w:rsid w:val="00C70C7D"/>
    <w:rsid w:val="00C70E3C"/>
    <w:rsid w:val="00C745C6"/>
    <w:rsid w:val="00C75D22"/>
    <w:rsid w:val="00C75DB8"/>
    <w:rsid w:val="00C76A82"/>
    <w:rsid w:val="00C76D92"/>
    <w:rsid w:val="00C84D2D"/>
    <w:rsid w:val="00C85060"/>
    <w:rsid w:val="00C909D4"/>
    <w:rsid w:val="00C91598"/>
    <w:rsid w:val="00C92B82"/>
    <w:rsid w:val="00C945A1"/>
    <w:rsid w:val="00C956D0"/>
    <w:rsid w:val="00C963C2"/>
    <w:rsid w:val="00C964DE"/>
    <w:rsid w:val="00C96C57"/>
    <w:rsid w:val="00C97F69"/>
    <w:rsid w:val="00CA0586"/>
    <w:rsid w:val="00CA1A01"/>
    <w:rsid w:val="00CA3C3B"/>
    <w:rsid w:val="00CA4B8B"/>
    <w:rsid w:val="00CA4DA5"/>
    <w:rsid w:val="00CA5790"/>
    <w:rsid w:val="00CA5895"/>
    <w:rsid w:val="00CA634C"/>
    <w:rsid w:val="00CB004E"/>
    <w:rsid w:val="00CB0D87"/>
    <w:rsid w:val="00CB1457"/>
    <w:rsid w:val="00CB2E0A"/>
    <w:rsid w:val="00CB2FF3"/>
    <w:rsid w:val="00CB5EC0"/>
    <w:rsid w:val="00CB6408"/>
    <w:rsid w:val="00CB7787"/>
    <w:rsid w:val="00CC1134"/>
    <w:rsid w:val="00CC3C9A"/>
    <w:rsid w:val="00CC3DEC"/>
    <w:rsid w:val="00CC5FF7"/>
    <w:rsid w:val="00CC61C0"/>
    <w:rsid w:val="00CC6803"/>
    <w:rsid w:val="00CD0504"/>
    <w:rsid w:val="00CD05DC"/>
    <w:rsid w:val="00CD0CD1"/>
    <w:rsid w:val="00CD3C6F"/>
    <w:rsid w:val="00CD45AB"/>
    <w:rsid w:val="00CD518A"/>
    <w:rsid w:val="00CD5BC0"/>
    <w:rsid w:val="00CD5DF3"/>
    <w:rsid w:val="00CE153F"/>
    <w:rsid w:val="00CE4311"/>
    <w:rsid w:val="00CE473C"/>
    <w:rsid w:val="00CE58C4"/>
    <w:rsid w:val="00CE75AE"/>
    <w:rsid w:val="00CF0BAB"/>
    <w:rsid w:val="00CF0FE1"/>
    <w:rsid w:val="00CF183E"/>
    <w:rsid w:val="00CF1858"/>
    <w:rsid w:val="00CF2767"/>
    <w:rsid w:val="00CF326B"/>
    <w:rsid w:val="00CF4279"/>
    <w:rsid w:val="00CF56D7"/>
    <w:rsid w:val="00CF5EC5"/>
    <w:rsid w:val="00CF605F"/>
    <w:rsid w:val="00CF67BF"/>
    <w:rsid w:val="00CF6C6F"/>
    <w:rsid w:val="00CF6D01"/>
    <w:rsid w:val="00CF729F"/>
    <w:rsid w:val="00CF72D0"/>
    <w:rsid w:val="00D02EBB"/>
    <w:rsid w:val="00D03C35"/>
    <w:rsid w:val="00D058DF"/>
    <w:rsid w:val="00D06366"/>
    <w:rsid w:val="00D0763E"/>
    <w:rsid w:val="00D11F76"/>
    <w:rsid w:val="00D12644"/>
    <w:rsid w:val="00D126DF"/>
    <w:rsid w:val="00D136EC"/>
    <w:rsid w:val="00D13774"/>
    <w:rsid w:val="00D14A23"/>
    <w:rsid w:val="00D1531B"/>
    <w:rsid w:val="00D15CEB"/>
    <w:rsid w:val="00D15EAB"/>
    <w:rsid w:val="00D17CF8"/>
    <w:rsid w:val="00D20C21"/>
    <w:rsid w:val="00D20CB4"/>
    <w:rsid w:val="00D22CDB"/>
    <w:rsid w:val="00D24682"/>
    <w:rsid w:val="00D24F06"/>
    <w:rsid w:val="00D25AEF"/>
    <w:rsid w:val="00D301DA"/>
    <w:rsid w:val="00D30282"/>
    <w:rsid w:val="00D322F9"/>
    <w:rsid w:val="00D34895"/>
    <w:rsid w:val="00D349EE"/>
    <w:rsid w:val="00D3593C"/>
    <w:rsid w:val="00D3779A"/>
    <w:rsid w:val="00D40037"/>
    <w:rsid w:val="00D404BB"/>
    <w:rsid w:val="00D40E8F"/>
    <w:rsid w:val="00D418D5"/>
    <w:rsid w:val="00D421BB"/>
    <w:rsid w:val="00D421E8"/>
    <w:rsid w:val="00D43ADB"/>
    <w:rsid w:val="00D43ECF"/>
    <w:rsid w:val="00D45265"/>
    <w:rsid w:val="00D45342"/>
    <w:rsid w:val="00D45764"/>
    <w:rsid w:val="00D45D46"/>
    <w:rsid w:val="00D4656A"/>
    <w:rsid w:val="00D470E2"/>
    <w:rsid w:val="00D50536"/>
    <w:rsid w:val="00D51621"/>
    <w:rsid w:val="00D516A2"/>
    <w:rsid w:val="00D516F2"/>
    <w:rsid w:val="00D53D9B"/>
    <w:rsid w:val="00D5473B"/>
    <w:rsid w:val="00D56763"/>
    <w:rsid w:val="00D56766"/>
    <w:rsid w:val="00D56CC4"/>
    <w:rsid w:val="00D56D47"/>
    <w:rsid w:val="00D57CC4"/>
    <w:rsid w:val="00D61D13"/>
    <w:rsid w:val="00D644D8"/>
    <w:rsid w:val="00D648B0"/>
    <w:rsid w:val="00D7088A"/>
    <w:rsid w:val="00D70FB4"/>
    <w:rsid w:val="00D729E9"/>
    <w:rsid w:val="00D73495"/>
    <w:rsid w:val="00D73ECA"/>
    <w:rsid w:val="00D74A1C"/>
    <w:rsid w:val="00D74E79"/>
    <w:rsid w:val="00D75BD6"/>
    <w:rsid w:val="00D76E57"/>
    <w:rsid w:val="00D8152F"/>
    <w:rsid w:val="00D815C1"/>
    <w:rsid w:val="00D822D9"/>
    <w:rsid w:val="00D82B45"/>
    <w:rsid w:val="00D82C4D"/>
    <w:rsid w:val="00D838D1"/>
    <w:rsid w:val="00D843FF"/>
    <w:rsid w:val="00D84DC5"/>
    <w:rsid w:val="00D85C85"/>
    <w:rsid w:val="00D87665"/>
    <w:rsid w:val="00D87808"/>
    <w:rsid w:val="00D92115"/>
    <w:rsid w:val="00D923D3"/>
    <w:rsid w:val="00D92F6C"/>
    <w:rsid w:val="00D93CB6"/>
    <w:rsid w:val="00D954BB"/>
    <w:rsid w:val="00D95625"/>
    <w:rsid w:val="00D95879"/>
    <w:rsid w:val="00D95C0B"/>
    <w:rsid w:val="00D95F4A"/>
    <w:rsid w:val="00D961FC"/>
    <w:rsid w:val="00D979C9"/>
    <w:rsid w:val="00D97A6B"/>
    <w:rsid w:val="00DA1FB4"/>
    <w:rsid w:val="00DA2710"/>
    <w:rsid w:val="00DA2FA3"/>
    <w:rsid w:val="00DA35C0"/>
    <w:rsid w:val="00DA492D"/>
    <w:rsid w:val="00DA4DFB"/>
    <w:rsid w:val="00DA585A"/>
    <w:rsid w:val="00DA61A6"/>
    <w:rsid w:val="00DA681A"/>
    <w:rsid w:val="00DB3F57"/>
    <w:rsid w:val="00DB4079"/>
    <w:rsid w:val="00DB6617"/>
    <w:rsid w:val="00DB7208"/>
    <w:rsid w:val="00DB751D"/>
    <w:rsid w:val="00DB7FB0"/>
    <w:rsid w:val="00DC0138"/>
    <w:rsid w:val="00DC0D40"/>
    <w:rsid w:val="00DC0F98"/>
    <w:rsid w:val="00DC10EA"/>
    <w:rsid w:val="00DC1941"/>
    <w:rsid w:val="00DC1FAD"/>
    <w:rsid w:val="00DC22C6"/>
    <w:rsid w:val="00DC4BB8"/>
    <w:rsid w:val="00DC59FA"/>
    <w:rsid w:val="00DC679E"/>
    <w:rsid w:val="00DD0E98"/>
    <w:rsid w:val="00DD18ED"/>
    <w:rsid w:val="00DD1A92"/>
    <w:rsid w:val="00DD265C"/>
    <w:rsid w:val="00DD2D2E"/>
    <w:rsid w:val="00DD4B0B"/>
    <w:rsid w:val="00DD5A5C"/>
    <w:rsid w:val="00DD7519"/>
    <w:rsid w:val="00DE0A9A"/>
    <w:rsid w:val="00DE0E26"/>
    <w:rsid w:val="00DE3047"/>
    <w:rsid w:val="00DE57DD"/>
    <w:rsid w:val="00DE5AA5"/>
    <w:rsid w:val="00DE6220"/>
    <w:rsid w:val="00DE64DE"/>
    <w:rsid w:val="00DE65AE"/>
    <w:rsid w:val="00DE6D8E"/>
    <w:rsid w:val="00DE7AB4"/>
    <w:rsid w:val="00DF0661"/>
    <w:rsid w:val="00DF128A"/>
    <w:rsid w:val="00DF2F9C"/>
    <w:rsid w:val="00DF4D86"/>
    <w:rsid w:val="00DF5FDD"/>
    <w:rsid w:val="00DF6644"/>
    <w:rsid w:val="00DF6A51"/>
    <w:rsid w:val="00DF6FF4"/>
    <w:rsid w:val="00DF7033"/>
    <w:rsid w:val="00DF7BCF"/>
    <w:rsid w:val="00DF7F6E"/>
    <w:rsid w:val="00E0053A"/>
    <w:rsid w:val="00E01D84"/>
    <w:rsid w:val="00E01E05"/>
    <w:rsid w:val="00E03013"/>
    <w:rsid w:val="00E030B1"/>
    <w:rsid w:val="00E0483F"/>
    <w:rsid w:val="00E0556E"/>
    <w:rsid w:val="00E06637"/>
    <w:rsid w:val="00E06CE2"/>
    <w:rsid w:val="00E137BB"/>
    <w:rsid w:val="00E146F7"/>
    <w:rsid w:val="00E15E40"/>
    <w:rsid w:val="00E16A21"/>
    <w:rsid w:val="00E16A8F"/>
    <w:rsid w:val="00E16C6B"/>
    <w:rsid w:val="00E16D8B"/>
    <w:rsid w:val="00E17AA0"/>
    <w:rsid w:val="00E204B4"/>
    <w:rsid w:val="00E221EC"/>
    <w:rsid w:val="00E224A4"/>
    <w:rsid w:val="00E2343A"/>
    <w:rsid w:val="00E23A22"/>
    <w:rsid w:val="00E23AE8"/>
    <w:rsid w:val="00E26306"/>
    <w:rsid w:val="00E2731B"/>
    <w:rsid w:val="00E27EED"/>
    <w:rsid w:val="00E30022"/>
    <w:rsid w:val="00E3036B"/>
    <w:rsid w:val="00E3199C"/>
    <w:rsid w:val="00E320B5"/>
    <w:rsid w:val="00E33820"/>
    <w:rsid w:val="00E3422A"/>
    <w:rsid w:val="00E34A66"/>
    <w:rsid w:val="00E35B0E"/>
    <w:rsid w:val="00E36ED9"/>
    <w:rsid w:val="00E379EB"/>
    <w:rsid w:val="00E37D2F"/>
    <w:rsid w:val="00E42425"/>
    <w:rsid w:val="00E426BE"/>
    <w:rsid w:val="00E45376"/>
    <w:rsid w:val="00E468CE"/>
    <w:rsid w:val="00E510B3"/>
    <w:rsid w:val="00E522D4"/>
    <w:rsid w:val="00E5276D"/>
    <w:rsid w:val="00E534B7"/>
    <w:rsid w:val="00E53A9A"/>
    <w:rsid w:val="00E53ED1"/>
    <w:rsid w:val="00E5400A"/>
    <w:rsid w:val="00E54407"/>
    <w:rsid w:val="00E5460B"/>
    <w:rsid w:val="00E54BB4"/>
    <w:rsid w:val="00E55937"/>
    <w:rsid w:val="00E62E6F"/>
    <w:rsid w:val="00E6312F"/>
    <w:rsid w:val="00E63ADB"/>
    <w:rsid w:val="00E64100"/>
    <w:rsid w:val="00E64988"/>
    <w:rsid w:val="00E64A38"/>
    <w:rsid w:val="00E650D8"/>
    <w:rsid w:val="00E654BC"/>
    <w:rsid w:val="00E65811"/>
    <w:rsid w:val="00E664DA"/>
    <w:rsid w:val="00E72676"/>
    <w:rsid w:val="00E741AC"/>
    <w:rsid w:val="00E75356"/>
    <w:rsid w:val="00E756AC"/>
    <w:rsid w:val="00E77463"/>
    <w:rsid w:val="00E80B58"/>
    <w:rsid w:val="00E82153"/>
    <w:rsid w:val="00E8381A"/>
    <w:rsid w:val="00E84233"/>
    <w:rsid w:val="00E85358"/>
    <w:rsid w:val="00E861B6"/>
    <w:rsid w:val="00E8689B"/>
    <w:rsid w:val="00E87596"/>
    <w:rsid w:val="00E87794"/>
    <w:rsid w:val="00E902A7"/>
    <w:rsid w:val="00E90881"/>
    <w:rsid w:val="00E92600"/>
    <w:rsid w:val="00E93530"/>
    <w:rsid w:val="00E96422"/>
    <w:rsid w:val="00EA1D43"/>
    <w:rsid w:val="00EA2206"/>
    <w:rsid w:val="00EA2F20"/>
    <w:rsid w:val="00EA302A"/>
    <w:rsid w:val="00EA3B7D"/>
    <w:rsid w:val="00EA4081"/>
    <w:rsid w:val="00EA5A59"/>
    <w:rsid w:val="00EA660D"/>
    <w:rsid w:val="00EA6E98"/>
    <w:rsid w:val="00EB19F3"/>
    <w:rsid w:val="00EB359A"/>
    <w:rsid w:val="00EB3D8F"/>
    <w:rsid w:val="00EB42D3"/>
    <w:rsid w:val="00EB5184"/>
    <w:rsid w:val="00EB5DCC"/>
    <w:rsid w:val="00EB622D"/>
    <w:rsid w:val="00EB63AF"/>
    <w:rsid w:val="00EB67D6"/>
    <w:rsid w:val="00EB69CD"/>
    <w:rsid w:val="00EB79B1"/>
    <w:rsid w:val="00EC092E"/>
    <w:rsid w:val="00EC09DC"/>
    <w:rsid w:val="00EC1F05"/>
    <w:rsid w:val="00EC28A2"/>
    <w:rsid w:val="00EC2D1E"/>
    <w:rsid w:val="00EC2D8F"/>
    <w:rsid w:val="00EC372A"/>
    <w:rsid w:val="00EC3979"/>
    <w:rsid w:val="00EC61BF"/>
    <w:rsid w:val="00EC6653"/>
    <w:rsid w:val="00ED0FE3"/>
    <w:rsid w:val="00ED1D57"/>
    <w:rsid w:val="00ED1F11"/>
    <w:rsid w:val="00ED2621"/>
    <w:rsid w:val="00ED3EF0"/>
    <w:rsid w:val="00ED5E06"/>
    <w:rsid w:val="00EE00C4"/>
    <w:rsid w:val="00EE121F"/>
    <w:rsid w:val="00EE1AAA"/>
    <w:rsid w:val="00EE2707"/>
    <w:rsid w:val="00EE451C"/>
    <w:rsid w:val="00EE5D18"/>
    <w:rsid w:val="00EF2183"/>
    <w:rsid w:val="00EF2CA6"/>
    <w:rsid w:val="00EF3CFB"/>
    <w:rsid w:val="00EF4DC4"/>
    <w:rsid w:val="00EF553C"/>
    <w:rsid w:val="00EF5BA2"/>
    <w:rsid w:val="00F01A61"/>
    <w:rsid w:val="00F02216"/>
    <w:rsid w:val="00F03571"/>
    <w:rsid w:val="00F0422A"/>
    <w:rsid w:val="00F0523A"/>
    <w:rsid w:val="00F0717E"/>
    <w:rsid w:val="00F112F3"/>
    <w:rsid w:val="00F117B1"/>
    <w:rsid w:val="00F12D75"/>
    <w:rsid w:val="00F134F9"/>
    <w:rsid w:val="00F172BB"/>
    <w:rsid w:val="00F17730"/>
    <w:rsid w:val="00F17AD4"/>
    <w:rsid w:val="00F218E0"/>
    <w:rsid w:val="00F21DDD"/>
    <w:rsid w:val="00F2287F"/>
    <w:rsid w:val="00F23CE5"/>
    <w:rsid w:val="00F240AB"/>
    <w:rsid w:val="00F24382"/>
    <w:rsid w:val="00F24BC6"/>
    <w:rsid w:val="00F24C62"/>
    <w:rsid w:val="00F24FD7"/>
    <w:rsid w:val="00F250AF"/>
    <w:rsid w:val="00F2578B"/>
    <w:rsid w:val="00F25EA6"/>
    <w:rsid w:val="00F267C7"/>
    <w:rsid w:val="00F26DB6"/>
    <w:rsid w:val="00F26ECA"/>
    <w:rsid w:val="00F27497"/>
    <w:rsid w:val="00F30366"/>
    <w:rsid w:val="00F30BEC"/>
    <w:rsid w:val="00F31211"/>
    <w:rsid w:val="00F33F55"/>
    <w:rsid w:val="00F34138"/>
    <w:rsid w:val="00F34863"/>
    <w:rsid w:val="00F3642B"/>
    <w:rsid w:val="00F36CD4"/>
    <w:rsid w:val="00F3784C"/>
    <w:rsid w:val="00F379D7"/>
    <w:rsid w:val="00F40221"/>
    <w:rsid w:val="00F40FAE"/>
    <w:rsid w:val="00F41276"/>
    <w:rsid w:val="00F418A2"/>
    <w:rsid w:val="00F4230D"/>
    <w:rsid w:val="00F423F5"/>
    <w:rsid w:val="00F42CE9"/>
    <w:rsid w:val="00F45997"/>
    <w:rsid w:val="00F45E31"/>
    <w:rsid w:val="00F46133"/>
    <w:rsid w:val="00F47FCE"/>
    <w:rsid w:val="00F501D2"/>
    <w:rsid w:val="00F5266F"/>
    <w:rsid w:val="00F52BB0"/>
    <w:rsid w:val="00F535DD"/>
    <w:rsid w:val="00F53BA1"/>
    <w:rsid w:val="00F53EA3"/>
    <w:rsid w:val="00F54130"/>
    <w:rsid w:val="00F556E6"/>
    <w:rsid w:val="00F55AB2"/>
    <w:rsid w:val="00F55C60"/>
    <w:rsid w:val="00F56447"/>
    <w:rsid w:val="00F573FF"/>
    <w:rsid w:val="00F619ED"/>
    <w:rsid w:val="00F61FCE"/>
    <w:rsid w:val="00F64055"/>
    <w:rsid w:val="00F645CD"/>
    <w:rsid w:val="00F64BF6"/>
    <w:rsid w:val="00F64E4C"/>
    <w:rsid w:val="00F659B8"/>
    <w:rsid w:val="00F660EB"/>
    <w:rsid w:val="00F67011"/>
    <w:rsid w:val="00F710C6"/>
    <w:rsid w:val="00F7158B"/>
    <w:rsid w:val="00F72327"/>
    <w:rsid w:val="00F7317F"/>
    <w:rsid w:val="00F75012"/>
    <w:rsid w:val="00F759AD"/>
    <w:rsid w:val="00F77002"/>
    <w:rsid w:val="00F8219A"/>
    <w:rsid w:val="00F8284E"/>
    <w:rsid w:val="00F848D2"/>
    <w:rsid w:val="00F84B77"/>
    <w:rsid w:val="00F86CA6"/>
    <w:rsid w:val="00F86EC2"/>
    <w:rsid w:val="00F87BD5"/>
    <w:rsid w:val="00F87FD4"/>
    <w:rsid w:val="00F90890"/>
    <w:rsid w:val="00F911E4"/>
    <w:rsid w:val="00F92839"/>
    <w:rsid w:val="00F92E4A"/>
    <w:rsid w:val="00F94176"/>
    <w:rsid w:val="00F9481A"/>
    <w:rsid w:val="00F964FD"/>
    <w:rsid w:val="00F96AB1"/>
    <w:rsid w:val="00F97692"/>
    <w:rsid w:val="00F9783F"/>
    <w:rsid w:val="00F978B3"/>
    <w:rsid w:val="00F97AA4"/>
    <w:rsid w:val="00FA2523"/>
    <w:rsid w:val="00FA282C"/>
    <w:rsid w:val="00FA2B58"/>
    <w:rsid w:val="00FA547C"/>
    <w:rsid w:val="00FA5A46"/>
    <w:rsid w:val="00FA7068"/>
    <w:rsid w:val="00FB0CCD"/>
    <w:rsid w:val="00FB2170"/>
    <w:rsid w:val="00FB2C7B"/>
    <w:rsid w:val="00FB312E"/>
    <w:rsid w:val="00FB3CE8"/>
    <w:rsid w:val="00FB44F1"/>
    <w:rsid w:val="00FB603A"/>
    <w:rsid w:val="00FB78CA"/>
    <w:rsid w:val="00FC0A0E"/>
    <w:rsid w:val="00FC0C15"/>
    <w:rsid w:val="00FC194C"/>
    <w:rsid w:val="00FC313D"/>
    <w:rsid w:val="00FC3C38"/>
    <w:rsid w:val="00FC4153"/>
    <w:rsid w:val="00FC755D"/>
    <w:rsid w:val="00FD17AB"/>
    <w:rsid w:val="00FD376E"/>
    <w:rsid w:val="00FD4961"/>
    <w:rsid w:val="00FD4AF2"/>
    <w:rsid w:val="00FD724A"/>
    <w:rsid w:val="00FE00F9"/>
    <w:rsid w:val="00FE08F0"/>
    <w:rsid w:val="00FE14E7"/>
    <w:rsid w:val="00FE15E4"/>
    <w:rsid w:val="00FE22E3"/>
    <w:rsid w:val="00FE3DFF"/>
    <w:rsid w:val="00FF008E"/>
    <w:rsid w:val="00FF0CEE"/>
    <w:rsid w:val="00FF3341"/>
    <w:rsid w:val="00FF34F7"/>
    <w:rsid w:val="00FF3519"/>
    <w:rsid w:val="00FF606A"/>
    <w:rsid w:val="00FF6F61"/>
    <w:rsid w:val="00FF780B"/>
    <w:rsid w:val="00FF7F59"/>
    <w:rsid w:val="31552221"/>
    <w:rsid w:val="40866AD6"/>
    <w:rsid w:val="47A4C79F"/>
    <w:rsid w:val="53144014"/>
    <w:rsid w:val="673CEEA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docId w15:val="{54CE36AE-50E6-4587-9AB3-FD5EF4E6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link w:val="Ttulo1Car"/>
    <w:uiPriority w:val="9"/>
    <w:qFormat/>
    <w:rsid w:val="007C793E"/>
    <w:pPr>
      <w:widowControl w:val="0"/>
      <w:autoSpaceDE w:val="0"/>
      <w:autoSpaceDN w:val="0"/>
      <w:spacing w:before="37"/>
      <w:ind w:left="66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nfasis">
    <w:name w:val="Emphasis"/>
    <w:basedOn w:val="Fuentedeprrafopredeter"/>
    <w:uiPriority w:val="20"/>
    <w:qFormat/>
    <w:rsid w:val="00D56CC4"/>
    <w:rPr>
      <w:i/>
      <w:iCs/>
    </w:rPr>
  </w:style>
  <w:style w:type="character" w:customStyle="1" w:styleId="NormalWebCar">
    <w:name w:val="Normal (Web) Car"/>
    <w:link w:val="NormalWeb"/>
    <w:uiPriority w:val="99"/>
    <w:rsid w:val="00D56CC4"/>
    <w:rPr>
      <w:rFonts w:ascii="Times New Roman" w:eastAsia="Times New Roman" w:hAnsi="Times New Roman" w:cs="Times New Roman"/>
      <w:sz w:val="24"/>
      <w:szCs w:val="24"/>
      <w:lang w:eastAsia="es-ES_tradnl"/>
    </w:rPr>
  </w:style>
  <w:style w:type="table" w:customStyle="1" w:styleId="Tablaconcuadrcula1">
    <w:name w:val="Tabla con cuadrícula1"/>
    <w:basedOn w:val="Tablanormal"/>
    <w:next w:val="Tablaconcuadrcula"/>
    <w:uiPriority w:val="59"/>
    <w:rsid w:val="00283B57"/>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1A38"/>
    <w:pPr>
      <w:widowControl w:val="0"/>
      <w:autoSpaceDE w:val="0"/>
      <w:autoSpaceDN w:val="0"/>
      <w:spacing w:before="15"/>
      <w:ind w:left="53"/>
    </w:pPr>
    <w:rPr>
      <w:rFonts w:ascii="Arial MT" w:eastAsia="Arial MT" w:hAnsi="Arial MT" w:cs="Arial MT"/>
      <w:sz w:val="22"/>
      <w:lang w:val="es-ES"/>
    </w:rPr>
  </w:style>
  <w:style w:type="character" w:customStyle="1" w:styleId="Ttulo1Car">
    <w:name w:val="Título 1 Car"/>
    <w:basedOn w:val="Fuentedeprrafopredeter"/>
    <w:link w:val="Ttulo1"/>
    <w:uiPriority w:val="9"/>
    <w:rsid w:val="007C793E"/>
    <w:rPr>
      <w:rFonts w:ascii="Arial" w:eastAsia="Arial" w:hAnsi="Arial" w:cs="Arial"/>
      <w:b/>
      <w:bCs/>
      <w:lang w:val="es-ES"/>
    </w:rPr>
  </w:style>
  <w:style w:type="paragraph" w:customStyle="1" w:styleId="Car1">
    <w:name w:val="Car1"/>
    <w:basedOn w:val="Normal"/>
    <w:next w:val="Textonotapie"/>
    <w:uiPriority w:val="99"/>
    <w:unhideWhenUsed/>
    <w:qFormat/>
    <w:rsid w:val="00DB7FB0"/>
    <w:rPr>
      <w:sz w:val="20"/>
      <w:szCs w:val="20"/>
    </w:rPr>
  </w:style>
  <w:style w:type="character" w:customStyle="1" w:styleId="eop">
    <w:name w:val="eop"/>
    <w:basedOn w:val="Fuentedeprrafopredeter"/>
    <w:rsid w:val="00E7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402526769">
          <w:marLeft w:val="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1367">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2037461834">
              <w:marLeft w:val="0"/>
              <w:marRight w:val="0"/>
              <w:marTop w:val="0"/>
              <w:marBottom w:val="0"/>
              <w:divBdr>
                <w:top w:val="none" w:sz="0" w:space="0" w:color="auto"/>
                <w:left w:val="none" w:sz="0" w:space="0" w:color="auto"/>
                <w:bottom w:val="none" w:sz="0" w:space="0" w:color="auto"/>
                <w:right w:val="none" w:sz="0" w:space="0" w:color="auto"/>
              </w:divBdr>
            </w:div>
            <w:div w:id="2084179664">
              <w:marLeft w:val="0"/>
              <w:marRight w:val="0"/>
              <w:marTop w:val="0"/>
              <w:marBottom w:val="0"/>
              <w:divBdr>
                <w:top w:val="none" w:sz="0" w:space="0" w:color="auto"/>
                <w:left w:val="none" w:sz="0" w:space="0" w:color="auto"/>
                <w:bottom w:val="none" w:sz="0" w:space="0" w:color="auto"/>
                <w:right w:val="none" w:sz="0" w:space="0" w:color="auto"/>
              </w:divBdr>
            </w:div>
          </w:divsChild>
        </w:div>
        <w:div w:id="1200389164">
          <w:marLeft w:val="0"/>
          <w:marRight w:val="0"/>
          <w:marTop w:val="0"/>
          <w:marBottom w:val="0"/>
          <w:divBdr>
            <w:top w:val="none" w:sz="0" w:space="0" w:color="auto"/>
            <w:left w:val="none" w:sz="0" w:space="0" w:color="auto"/>
            <w:bottom w:val="none" w:sz="0" w:space="0" w:color="auto"/>
            <w:right w:val="none" w:sz="0" w:space="0" w:color="auto"/>
          </w:divBdr>
        </w:div>
        <w:div w:id="1202671293">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69194088">
      <w:bodyDiv w:val="1"/>
      <w:marLeft w:val="0"/>
      <w:marRight w:val="0"/>
      <w:marTop w:val="0"/>
      <w:marBottom w:val="0"/>
      <w:divBdr>
        <w:top w:val="none" w:sz="0" w:space="0" w:color="auto"/>
        <w:left w:val="none" w:sz="0" w:space="0" w:color="auto"/>
        <w:bottom w:val="none" w:sz="0" w:space="0" w:color="auto"/>
        <w:right w:val="none" w:sz="0" w:space="0" w:color="auto"/>
      </w:divBdr>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26385364">
          <w:marLeft w:val="0"/>
          <w:marRight w:val="0"/>
          <w:marTop w:val="0"/>
          <w:marBottom w:val="0"/>
          <w:divBdr>
            <w:top w:val="none" w:sz="0" w:space="0" w:color="auto"/>
            <w:left w:val="none" w:sz="0" w:space="0" w:color="auto"/>
            <w:bottom w:val="none" w:sz="0" w:space="0" w:color="auto"/>
            <w:right w:val="none" w:sz="0" w:space="0" w:color="auto"/>
          </w:divBdr>
        </w:div>
        <w:div w:id="453256617">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4260565">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5995620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apre.presidencia.gov.co/normativa/normativa/CIRCULAR%20CONJUNTA%20100-06%20DE%202021.pdf" TargetMode="External"/><Relationship Id="rId2" Type="http://schemas.openxmlformats.org/officeDocument/2006/relationships/hyperlink" Target="https://www.procuraduria.gov.co/portal/relatoria_normatividad.page" TargetMode="External"/><Relationship Id="rId1" Type="http://schemas.openxmlformats.org/officeDocument/2006/relationships/hyperlink" Target="https://www.procuraduria.gov.co/iemp/media/file/img/noticias/Los%20mecanismos%20alternativos%20%20de%20soluci%C3%B3n%20de%20conflictos%20en%20Colombia%20+%20MAS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Juan David Montoya Penagos</DisplayName>
        <AccountId>150</AccountId>
        <AccountType/>
      </UserInfo>
      <UserInfo>
        <DisplayName>Sebastián Ramírez Grisales</DisplayName>
        <AccountId>126</AccountId>
        <AccountType/>
      </UserInfo>
    </SharedWithUsers>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52FACDA-5FEC-4C13-BB8B-F9854CDC9D6F}">
  <ds:schemaRefs>
    <ds:schemaRef ds:uri="http://schemas.openxmlformats.org/officeDocument/2006/bibliography"/>
  </ds:schemaRefs>
</ds:datastoreItem>
</file>

<file path=customXml/itemProps3.xml><?xml version="1.0" encoding="utf-8"?>
<ds:datastoreItem xmlns:ds="http://schemas.openxmlformats.org/officeDocument/2006/customXml" ds:itemID="{305303CE-3423-4AF1-BD12-4F63A90E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11040</Words>
  <Characters>60721</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Edwin Johan Chocontá Quintero</cp:lastModifiedBy>
  <cp:revision>2</cp:revision>
  <cp:lastPrinted>2021-08-12T22:16:00Z</cp:lastPrinted>
  <dcterms:created xsi:type="dcterms:W3CDTF">2022-05-25T22:24:00Z</dcterms:created>
  <dcterms:modified xsi:type="dcterms:W3CDTF">2022-05-25T22:24:00Z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