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FF69"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bookmarkStart w:id="0" w:name="_Hlk77152637"/>
      <w:bookmarkStart w:id="1" w:name="_Hlk77157066"/>
      <w:bookmarkStart w:id="2" w:name="_Hlk78821436"/>
      <w:r w:rsidRPr="002E61F7">
        <w:rPr>
          <w:rFonts w:ascii="Arial" w:eastAsia="Calibri" w:hAnsi="Arial" w:cs="Arial"/>
          <w:b/>
          <w:bCs/>
          <w:lang w:val="es-MX"/>
        </w:rPr>
        <w:t>LEY DE GARANTÍAS ELECTORALES ‒ Finalidad</w:t>
      </w:r>
    </w:p>
    <w:p w14:paraId="0D0C19F7"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244CE2C3"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34A41800"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16398494"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LEY DE GARANTÍAS ELECTORALES ‒</w:t>
      </w:r>
      <w:bookmarkEnd w:id="0"/>
      <w:r w:rsidRPr="002E61F7">
        <w:rPr>
          <w:rFonts w:ascii="Arial" w:eastAsia="Calibri" w:hAnsi="Arial" w:cs="Arial"/>
          <w:b/>
          <w:bCs/>
          <w:lang w:val="es-MX"/>
        </w:rPr>
        <w:t xml:space="preserve"> Tipos de restricciones </w:t>
      </w:r>
      <w:bookmarkStart w:id="3" w:name="_Hlk77157034"/>
      <w:r w:rsidRPr="002E61F7">
        <w:rPr>
          <w:rFonts w:ascii="Arial" w:eastAsia="Calibri" w:hAnsi="Arial" w:cs="Arial"/>
          <w:b/>
          <w:bCs/>
          <w:lang w:val="es-MX"/>
        </w:rPr>
        <w:t xml:space="preserve">‒ </w:t>
      </w:r>
      <w:bookmarkStart w:id="4" w:name="_Hlk77153098"/>
      <w:bookmarkEnd w:id="3"/>
      <w:r w:rsidRPr="002E61F7">
        <w:rPr>
          <w:rFonts w:ascii="Arial" w:eastAsia="Calibri" w:hAnsi="Arial" w:cs="Arial"/>
          <w:b/>
          <w:bCs/>
          <w:lang w:val="es-MX"/>
        </w:rPr>
        <w:t xml:space="preserve">Ámbito temporal </w:t>
      </w:r>
      <w:bookmarkEnd w:id="4"/>
    </w:p>
    <w:p w14:paraId="379FEDAB"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bookmarkEnd w:id="1"/>
    <w:p w14:paraId="0D6D930A" w14:textId="77777777" w:rsidR="00BC5E75" w:rsidRPr="006D076F" w:rsidRDefault="00BC5E75" w:rsidP="00BC5E75">
      <w:pPr>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noProof/>
          <w:sz w:val="20"/>
          <w:szCs w:val="20"/>
          <w:lang w:val="es-ES_tradnl"/>
        </w:rPr>
        <w:t xml:space="preserve">[…] </w:t>
      </w:r>
      <w:bookmarkStart w:id="5" w:name="_Hlk77165666"/>
      <w:r w:rsidRPr="006D076F">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Pr="006D076F">
        <w:rPr>
          <w:rFonts w:ascii="Arial" w:eastAsia="Arial" w:hAnsi="Arial" w:cs="Arial"/>
          <w:i/>
          <w:iCs/>
          <w:sz w:val="20"/>
          <w:szCs w:val="20"/>
          <w:lang w:val="es-ES" w:eastAsia="es-ES" w:bidi="es-ES"/>
        </w:rPr>
        <w:t>En primer lugar</w:t>
      </w:r>
      <w:r w:rsidRPr="006D076F">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076F">
        <w:rPr>
          <w:rFonts w:ascii="Arial" w:eastAsia="Arial" w:hAnsi="Arial" w:cs="Arial"/>
          <w:i/>
          <w:iCs/>
          <w:sz w:val="20"/>
          <w:szCs w:val="20"/>
          <w:lang w:val="es-ES" w:eastAsia="es-ES" w:bidi="es-ES"/>
        </w:rPr>
        <w:t>En segundo lugar</w:t>
      </w:r>
      <w:r w:rsidRPr="006D076F">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FAE98E9" w14:textId="77777777" w:rsidR="00BC5E75" w:rsidRDefault="00BC5E75" w:rsidP="00BC5E75">
      <w:pPr>
        <w:tabs>
          <w:tab w:val="left" w:pos="426"/>
        </w:tabs>
        <w:spacing w:after="0" w:line="240" w:lineRule="auto"/>
        <w:ind w:left="426" w:hanging="426"/>
        <w:contextualSpacing/>
        <w:jc w:val="both"/>
        <w:rPr>
          <w:rFonts w:ascii="Arial" w:eastAsia="Calibri" w:hAnsi="Arial" w:cs="Arial"/>
          <w:b/>
          <w:bCs/>
          <w:sz w:val="20"/>
          <w:szCs w:val="20"/>
          <w:lang w:val="es-MX"/>
        </w:rPr>
      </w:pPr>
    </w:p>
    <w:p w14:paraId="282CF7EA" w14:textId="77777777" w:rsidR="00BC5E75" w:rsidRPr="002E61F7" w:rsidRDefault="00BC5E75" w:rsidP="00BC5E75">
      <w:pPr>
        <w:tabs>
          <w:tab w:val="left" w:pos="426"/>
        </w:tabs>
        <w:spacing w:after="0" w:line="240" w:lineRule="auto"/>
        <w:ind w:left="426" w:hanging="426"/>
        <w:contextualSpacing/>
        <w:jc w:val="both"/>
        <w:rPr>
          <w:rFonts w:ascii="Arial" w:eastAsia="Calibri" w:hAnsi="Arial" w:cs="Arial"/>
          <w:b/>
          <w:bCs/>
          <w:lang w:val="es-MX"/>
        </w:rPr>
      </w:pPr>
      <w:r w:rsidRPr="002E61F7">
        <w:rPr>
          <w:rFonts w:ascii="Arial" w:eastAsia="Calibri" w:hAnsi="Arial" w:cs="Arial"/>
          <w:b/>
          <w:bCs/>
          <w:lang w:val="es-MX"/>
        </w:rPr>
        <w:t xml:space="preserve">LEY DE GARANTÍAS ELECTORALES ─ Prohibición ‒ </w:t>
      </w:r>
      <w:bookmarkEnd w:id="5"/>
      <w:r w:rsidRPr="002E61F7">
        <w:rPr>
          <w:rFonts w:ascii="Arial" w:eastAsia="Calibri" w:hAnsi="Arial" w:cs="Arial"/>
          <w:b/>
          <w:bCs/>
          <w:lang w:val="es-MX"/>
        </w:rPr>
        <w:t xml:space="preserve">Contratación directa ‒ Alcance </w:t>
      </w:r>
    </w:p>
    <w:p w14:paraId="602F9A9B" w14:textId="77777777" w:rsidR="00BC5E75" w:rsidRPr="006D076F" w:rsidRDefault="00BC5E75" w:rsidP="00BC5E75">
      <w:pPr>
        <w:tabs>
          <w:tab w:val="left" w:pos="426"/>
        </w:tabs>
        <w:spacing w:after="0" w:line="240" w:lineRule="auto"/>
        <w:contextualSpacing/>
        <w:jc w:val="both"/>
        <w:rPr>
          <w:rFonts w:ascii="Arial" w:eastAsia="Calibri" w:hAnsi="Arial" w:cs="Arial"/>
          <w:noProof/>
          <w:sz w:val="20"/>
          <w:szCs w:val="20"/>
          <w:lang w:val="es-MX"/>
        </w:rPr>
      </w:pPr>
    </w:p>
    <w:p w14:paraId="1D4B1AE8" w14:textId="77777777" w:rsidR="00BC5E75" w:rsidRPr="006D076F" w:rsidRDefault="00BC5E75" w:rsidP="00BC5E75">
      <w:pPr>
        <w:spacing w:after="0" w:line="240" w:lineRule="auto"/>
        <w:contextualSpacing/>
        <w:jc w:val="both"/>
        <w:rPr>
          <w:rFonts w:ascii="Arial" w:eastAsia="Times New Roman" w:hAnsi="Arial" w:cs="Arial"/>
          <w:bCs/>
          <w:sz w:val="20"/>
          <w:szCs w:val="20"/>
          <w:lang w:val="es-MX" w:eastAsia="x-none"/>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076F">
        <w:rPr>
          <w:rFonts w:ascii="Arial" w:eastAsia="Times New Roman" w:hAnsi="Arial" w:cs="Arial"/>
          <w:sz w:val="20"/>
          <w:szCs w:val="20"/>
          <w:vertAlign w:val="superscript"/>
          <w:lang w:eastAsia="x-none"/>
        </w:rPr>
        <w:t xml:space="preserve"> </w:t>
      </w:r>
    </w:p>
    <w:p w14:paraId="6553EDA7" w14:textId="77777777" w:rsidR="00BC5E75" w:rsidRDefault="00BC5E75" w:rsidP="00BC5E75">
      <w:pPr>
        <w:spacing w:after="0" w:line="240" w:lineRule="auto"/>
        <w:contextualSpacing/>
        <w:jc w:val="both"/>
        <w:rPr>
          <w:rFonts w:ascii="Arial" w:eastAsia="Times New Roman" w:hAnsi="Arial" w:cs="Arial"/>
          <w:bCs/>
          <w:sz w:val="20"/>
          <w:szCs w:val="20"/>
          <w:lang w:val="es-MX" w:eastAsia="x-none"/>
        </w:rPr>
      </w:pPr>
    </w:p>
    <w:p w14:paraId="5FD1026C" w14:textId="77777777" w:rsidR="00BC5E75" w:rsidRPr="006D076F" w:rsidRDefault="00BC5E75" w:rsidP="00BC5E75">
      <w:pPr>
        <w:spacing w:after="0" w:line="240" w:lineRule="auto"/>
        <w:contextualSpacing/>
        <w:jc w:val="both"/>
        <w:rPr>
          <w:rFonts w:ascii="Arial" w:eastAsia="Times New Roman" w:hAnsi="Arial" w:cs="Arial"/>
          <w:sz w:val="20"/>
          <w:szCs w:val="20"/>
          <w:lang w:eastAsia="x-none"/>
        </w:rPr>
      </w:pPr>
      <w:r w:rsidRPr="006D076F">
        <w:rPr>
          <w:rFonts w:ascii="Arial" w:eastAsia="Times New Roman"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076F">
        <w:rPr>
          <w:rFonts w:ascii="Arial" w:eastAsia="Times New Roman"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7056D282" w14:textId="77777777" w:rsidR="00BC5E75" w:rsidRPr="002E61F7" w:rsidRDefault="00BC5E75" w:rsidP="00BC5E75">
      <w:pPr>
        <w:spacing w:after="0" w:line="240" w:lineRule="auto"/>
        <w:contextualSpacing/>
        <w:jc w:val="both"/>
        <w:rPr>
          <w:rFonts w:ascii="Arial" w:eastAsia="Times New Roman" w:hAnsi="Arial" w:cs="Arial"/>
          <w:lang w:eastAsia="x-none"/>
        </w:rPr>
      </w:pPr>
    </w:p>
    <w:p w14:paraId="4DD6A6EF"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r w:rsidRPr="002E61F7">
        <w:rPr>
          <w:rFonts w:ascii="Arial" w:eastAsia="Calibri" w:hAnsi="Arial" w:cs="Arial"/>
          <w:b/>
          <w:bCs/>
          <w:lang w:val="es-MX"/>
        </w:rPr>
        <w:t xml:space="preserve">LEY DE GARANTÍAS ELECTORALES ─ Prohibición ‒ Contratación directa ‒ </w:t>
      </w:r>
      <w:r w:rsidRPr="002E61F7">
        <w:rPr>
          <w:rFonts w:ascii="Arial" w:eastAsia="Times New Roman" w:hAnsi="Arial" w:cs="Arial"/>
          <w:b/>
          <w:bCs/>
          <w:lang w:eastAsia="es-CO"/>
        </w:rPr>
        <w:t>Excepciones</w:t>
      </w:r>
      <w:r w:rsidRPr="002E61F7">
        <w:rPr>
          <w:rFonts w:ascii="Arial" w:eastAsia="Calibri" w:hAnsi="Arial" w:cs="Arial"/>
          <w:b/>
          <w:bCs/>
          <w:lang w:val="es-MX"/>
        </w:rPr>
        <w:t xml:space="preserve"> </w:t>
      </w:r>
    </w:p>
    <w:p w14:paraId="3ECEF345" w14:textId="77777777" w:rsidR="00BC5E75" w:rsidRPr="006D076F" w:rsidRDefault="00BC5E75" w:rsidP="00BC5E75">
      <w:pPr>
        <w:tabs>
          <w:tab w:val="left" w:pos="426"/>
        </w:tabs>
        <w:spacing w:after="0" w:line="240" w:lineRule="auto"/>
        <w:contextualSpacing/>
        <w:jc w:val="both"/>
        <w:rPr>
          <w:rFonts w:ascii="Arial" w:eastAsia="Times New Roman" w:hAnsi="Arial" w:cs="Arial"/>
          <w:sz w:val="20"/>
          <w:szCs w:val="20"/>
          <w:lang w:eastAsia="x-none"/>
        </w:rPr>
      </w:pPr>
    </w:p>
    <w:p w14:paraId="24576CBE" w14:textId="77777777" w:rsidR="00BC5E75" w:rsidRDefault="00BC5E75" w:rsidP="00BC5E75">
      <w:pPr>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w:t>
      </w:r>
      <w:r w:rsidRPr="006D076F">
        <w:rPr>
          <w:rFonts w:ascii="Arial" w:eastAsia="Times New Roman" w:hAnsi="Arial" w:cs="Arial"/>
          <w:bCs/>
          <w:sz w:val="20"/>
          <w:szCs w:val="20"/>
          <w:lang w:val="es-MX" w:eastAsia="x-none"/>
        </w:rPr>
        <w:lastRenderedPageBreak/>
        <w:t>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076F">
        <w:rPr>
          <w:rFonts w:ascii="Arial" w:eastAsia="Times New Roman" w:hAnsi="Arial"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8F38439" w14:textId="77777777" w:rsidR="00BC5E75" w:rsidRPr="006D076F" w:rsidRDefault="00BC5E75" w:rsidP="00BC5E75">
      <w:pPr>
        <w:spacing w:after="0" w:line="240" w:lineRule="auto"/>
        <w:contextualSpacing/>
        <w:jc w:val="both"/>
        <w:rPr>
          <w:rFonts w:ascii="Arial" w:eastAsia="Times New Roman" w:hAnsi="Arial" w:cs="Arial"/>
          <w:bCs/>
          <w:sz w:val="20"/>
          <w:szCs w:val="20"/>
          <w:lang w:val="es-MX" w:eastAsia="es-CO"/>
        </w:rPr>
      </w:pPr>
    </w:p>
    <w:p w14:paraId="41245852" w14:textId="77777777" w:rsidR="00BC5E75" w:rsidRPr="002E61F7" w:rsidRDefault="00BC5E75" w:rsidP="00BC5E75">
      <w:pPr>
        <w:spacing w:after="0" w:line="240" w:lineRule="auto"/>
        <w:contextualSpacing/>
        <w:jc w:val="both"/>
        <w:rPr>
          <w:rFonts w:ascii="Arial" w:eastAsia="Times New Roman" w:hAnsi="Arial" w:cs="Arial"/>
          <w:b/>
          <w:lang w:val="es-ES" w:eastAsia="es-CO"/>
        </w:rPr>
      </w:pPr>
      <w:r w:rsidRPr="002E61F7">
        <w:rPr>
          <w:rFonts w:ascii="Arial" w:eastAsia="Times New Roman" w:hAnsi="Arial" w:cs="Arial"/>
          <w:b/>
          <w:bCs/>
          <w:lang w:eastAsia="es-CO"/>
        </w:rPr>
        <w:t xml:space="preserve">LEY DE GARANTÍAS ELECTORALES </w:t>
      </w:r>
      <w:bookmarkStart w:id="6" w:name="_Hlk77166669"/>
      <w:r w:rsidRPr="002E61F7">
        <w:rPr>
          <w:rFonts w:ascii="Arial" w:eastAsia="Times New Roman" w:hAnsi="Arial" w:cs="Arial"/>
          <w:b/>
          <w:bCs/>
          <w:lang w:eastAsia="es-CO"/>
        </w:rPr>
        <w:t>‒</w:t>
      </w:r>
      <w:bookmarkEnd w:id="6"/>
      <w:r w:rsidRPr="002E61F7">
        <w:rPr>
          <w:rFonts w:ascii="Arial" w:eastAsia="Times New Roman" w:hAnsi="Arial" w:cs="Arial"/>
          <w:b/>
          <w:bCs/>
          <w:lang w:eastAsia="es-CO"/>
        </w:rPr>
        <w:t xml:space="preserve"> </w:t>
      </w:r>
      <w:r w:rsidRPr="002E61F7">
        <w:rPr>
          <w:rFonts w:ascii="Arial" w:eastAsia="Times New Roman" w:hAnsi="Arial" w:cs="Arial"/>
          <w:b/>
          <w:lang w:val="es-ES" w:eastAsia="es-CO"/>
        </w:rPr>
        <w:t xml:space="preserve">Prohibición del artículo 33 </w:t>
      </w:r>
      <w:r w:rsidRPr="002E61F7">
        <w:rPr>
          <w:rFonts w:ascii="Arial" w:eastAsia="Times New Roman" w:hAnsi="Arial" w:cs="Arial"/>
          <w:b/>
          <w:bCs/>
          <w:lang w:eastAsia="es-CO"/>
        </w:rPr>
        <w:t>‒ Destinatarios</w:t>
      </w:r>
    </w:p>
    <w:p w14:paraId="2A5D24EC" w14:textId="77777777" w:rsidR="00BC5E75" w:rsidRPr="006D076F" w:rsidRDefault="00BC5E75" w:rsidP="00BC5E75">
      <w:pPr>
        <w:tabs>
          <w:tab w:val="left" w:pos="426"/>
        </w:tabs>
        <w:spacing w:after="0" w:line="240" w:lineRule="auto"/>
        <w:contextualSpacing/>
        <w:jc w:val="both"/>
        <w:rPr>
          <w:rFonts w:ascii="Arial" w:eastAsia="Calibri" w:hAnsi="Arial" w:cs="Arial"/>
          <w:noProof/>
          <w:sz w:val="20"/>
          <w:szCs w:val="20"/>
          <w:lang w:val="es-ES"/>
        </w:rPr>
      </w:pPr>
    </w:p>
    <w:p w14:paraId="525E311F"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x-none"/>
        </w:rPr>
      </w:pPr>
      <w:r w:rsidRPr="006D076F">
        <w:rPr>
          <w:rFonts w:ascii="Arial" w:eastAsia="Times New Roman"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076F">
        <w:rPr>
          <w:rFonts w:ascii="Arial" w:eastAsia="Calibri" w:hAnsi="Arial" w:cs="Arial"/>
          <w:sz w:val="20"/>
          <w:szCs w:val="20"/>
          <w:lang w:val="es-MX"/>
        </w:rPr>
        <w:t xml:space="preserve"> </w:t>
      </w:r>
      <w:r w:rsidRPr="006D076F">
        <w:rPr>
          <w:rFonts w:ascii="Arial" w:eastAsia="Times New Roman" w:hAnsi="Arial" w:cs="Arial"/>
          <w:bCs/>
          <w:sz w:val="20"/>
          <w:szCs w:val="20"/>
          <w:lang w:val="es-MX" w:eastAsia="x-none"/>
        </w:rPr>
        <w:t>En efecto, como ha sostenido el Consejo de Estado, el vocablo «todos» utilizado por el legislador comprende</w:t>
      </w:r>
      <w:r w:rsidRPr="006D076F">
        <w:rPr>
          <w:rFonts w:ascii="Arial" w:eastAsia="Calibri" w:hAnsi="Arial" w:cs="Arial"/>
          <w:sz w:val="20"/>
          <w:szCs w:val="20"/>
          <w:lang w:val="es-MX"/>
        </w:rPr>
        <w:t xml:space="preserve"> </w:t>
      </w:r>
      <w:r w:rsidRPr="006D076F">
        <w:rPr>
          <w:rFonts w:ascii="Arial" w:eastAsia="Times New Roman"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28F65B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bookmarkEnd w:id="2"/>
    <w:p w14:paraId="1CDD27C1" w14:textId="77777777" w:rsidR="00BC5E75" w:rsidRPr="002E61F7" w:rsidRDefault="00BC5E75" w:rsidP="00BC5E75">
      <w:pPr>
        <w:spacing w:after="0" w:line="240" w:lineRule="auto"/>
        <w:contextualSpacing/>
        <w:jc w:val="both"/>
        <w:rPr>
          <w:rFonts w:ascii="Arial" w:eastAsia="Calibri" w:hAnsi="Arial" w:cs="Arial"/>
          <w:b/>
          <w:bCs/>
          <w:lang w:val="es-MX"/>
        </w:rPr>
      </w:pPr>
      <w:r w:rsidRPr="002E61F7">
        <w:rPr>
          <w:rFonts w:ascii="Arial" w:eastAsia="Arial" w:hAnsi="Arial" w:cs="Arial"/>
          <w:b/>
          <w:bCs/>
          <w:lang w:val="es-ES" w:eastAsia="es-ES" w:bidi="es-ES"/>
        </w:rPr>
        <w:t xml:space="preserve">CONVENIOS DE ASOCIACIÓN – Contratación con ESAL </w:t>
      </w:r>
    </w:p>
    <w:p w14:paraId="6B4ACEEF" w14:textId="77777777" w:rsidR="00BC5E75" w:rsidRPr="006D076F" w:rsidRDefault="00BC5E75" w:rsidP="00BC5E75">
      <w:pPr>
        <w:spacing w:after="0" w:line="240" w:lineRule="auto"/>
        <w:contextualSpacing/>
        <w:jc w:val="both"/>
        <w:rPr>
          <w:rFonts w:ascii="Arial" w:eastAsia="Arial" w:hAnsi="Arial" w:cs="Arial"/>
          <w:b/>
          <w:bCs/>
          <w:sz w:val="20"/>
          <w:szCs w:val="20"/>
          <w:lang w:val="es-ES" w:eastAsia="es-ES" w:bidi="es-ES"/>
        </w:rPr>
      </w:pPr>
    </w:p>
    <w:p w14:paraId="38A8C1C9" w14:textId="384040A4" w:rsidR="00675ECC" w:rsidRPr="00675ECC" w:rsidRDefault="00675ECC" w:rsidP="00675ECC">
      <w:pPr>
        <w:spacing w:line="240" w:lineRule="auto"/>
        <w:jc w:val="both"/>
        <w:rPr>
          <w:rFonts w:ascii="Arial" w:hAnsi="Arial" w:cs="Arial"/>
          <w:bCs/>
          <w:color w:val="000000"/>
          <w:sz w:val="20"/>
          <w:szCs w:val="20"/>
          <w:lang w:eastAsia="es-CO"/>
        </w:rPr>
      </w:pPr>
      <w:r>
        <w:rPr>
          <w:rFonts w:ascii="Arial" w:hAnsi="Arial" w:cs="Arial"/>
          <w:bCs/>
          <w:color w:val="000000"/>
          <w:sz w:val="20"/>
          <w:szCs w:val="20"/>
          <w:lang w:eastAsia="es-CO"/>
        </w:rPr>
        <w:t xml:space="preserve">[…] </w:t>
      </w:r>
      <w:r w:rsidRPr="00675ECC">
        <w:rPr>
          <w:rFonts w:ascii="Arial" w:hAnsi="Arial" w:cs="Arial"/>
          <w:bCs/>
          <w:color w:val="000000"/>
          <w:sz w:val="20"/>
          <w:szCs w:val="20"/>
          <w:lang w:eastAsia="es-CO"/>
        </w:rPr>
        <w:t xml:space="preserve">tratándose de los convenios de asociación del artículo 96 de la Ley 489 de 1998 y la restricción del artículo 33 de la Ley 996 de 2005, es necesario considerar que </w:t>
      </w:r>
      <w:r w:rsidRPr="00675ECC">
        <w:rPr>
          <w:rFonts w:ascii="Arial" w:hAnsi="Arial" w:cs="Arial"/>
          <w:bCs/>
          <w:color w:val="000000"/>
          <w:sz w:val="20"/>
          <w:szCs w:val="20"/>
          <w:lang w:val="es-ES" w:eastAsia="es-CO"/>
        </w:rPr>
        <w:t>el Decreto 092 de 2017</w:t>
      </w:r>
      <w:r w:rsidRPr="00675ECC">
        <w:rPr>
          <w:rFonts w:ascii="Arial" w:hAnsi="Arial" w:cs="Arial"/>
          <w:bCs/>
          <w:color w:val="000000"/>
          <w:sz w:val="20"/>
          <w:szCs w:val="20"/>
          <w:lang w:eastAsia="es-CO"/>
        </w:rPr>
        <w:t xml:space="preserve"> consagra un régimen jurídico que exceptúa la aplicación del Estatuto General de Contratación de la Administración Pública. 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675ECC">
        <w:rPr>
          <w:rFonts w:ascii="Arial" w:hAnsi="Arial" w:cs="Arial"/>
          <w:bCs/>
          <w:i/>
          <w:iCs/>
          <w:color w:val="000000"/>
          <w:sz w:val="20"/>
          <w:szCs w:val="2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675ECC">
        <w:rPr>
          <w:rFonts w:ascii="Arial" w:hAnsi="Arial" w:cs="Arial"/>
          <w:bCs/>
          <w:color w:val="000000"/>
          <w:sz w:val="20"/>
          <w:szCs w:val="20"/>
          <w:lang w:eastAsia="es-CO"/>
        </w:rPr>
        <w:t xml:space="preserve">» (Énfasis fuera de texto). </w:t>
      </w:r>
    </w:p>
    <w:p w14:paraId="3D1F05F9" w14:textId="77777777" w:rsidR="00675ECC" w:rsidRPr="00675ECC" w:rsidRDefault="00675ECC" w:rsidP="00675ECC">
      <w:pPr>
        <w:spacing w:line="240" w:lineRule="auto"/>
        <w:jc w:val="both"/>
        <w:rPr>
          <w:rFonts w:ascii="Arial" w:hAnsi="Arial" w:cs="Arial"/>
          <w:bCs/>
          <w:color w:val="000000"/>
          <w:sz w:val="20"/>
          <w:szCs w:val="20"/>
          <w:lang w:val="es-ES" w:eastAsia="es-CO"/>
        </w:rPr>
      </w:pPr>
      <w:r w:rsidRPr="00675ECC">
        <w:rPr>
          <w:rFonts w:ascii="Arial" w:hAnsi="Arial" w:cs="Arial"/>
          <w:bCs/>
          <w:color w:val="000000"/>
          <w:sz w:val="20"/>
          <w:szCs w:val="20"/>
          <w:lang w:eastAsia="es-CO"/>
        </w:rPr>
        <w:t xml:space="preserve">Por tanto, durante la vigencia de la prohibición del artículo 33 de la Ley 996 de 2005 –sin perjuicio de las excepciones dispuestas en el inciso segundo </w:t>
      </w:r>
      <w:r w:rsidRPr="00675ECC">
        <w:rPr>
          <w:rFonts w:ascii="Arial" w:hAnsi="Arial" w:cs="Arial"/>
          <w:bCs/>
          <w:i/>
          <w:iCs/>
          <w:color w:val="000000"/>
          <w:sz w:val="20"/>
          <w:szCs w:val="20"/>
          <w:lang w:eastAsia="es-CO"/>
        </w:rPr>
        <w:t>ibidem</w:t>
      </w:r>
      <w:r w:rsidRPr="00675ECC">
        <w:rPr>
          <w:rFonts w:ascii="Arial" w:hAnsi="Arial" w:cs="Arial"/>
          <w:bCs/>
          <w:color w:val="000000"/>
          <w:sz w:val="20"/>
          <w:szCs w:val="20"/>
          <w:lang w:eastAsia="es-CO"/>
        </w:rPr>
        <w:t xml:space="preserve">– está restringida cualquier modalidad de selección que excluya la pluralidad de oferentes. Respecto al régimen de contratación de las ESAL, esto es congruente con el numeral 15.4 de </w:t>
      </w:r>
      <w:r w:rsidRPr="00675ECC">
        <w:rPr>
          <w:rFonts w:ascii="Arial" w:hAnsi="Arial" w:cs="Arial"/>
          <w:bCs/>
          <w:color w:val="000000"/>
          <w:sz w:val="20"/>
          <w:szCs w:val="20"/>
          <w:lang w:eastAsia="es-CO" w:bidi="es-ES"/>
        </w:rPr>
        <w:t>la Circular Externa Única de Colombia Compra Eficiente, en el entendido que «</w:t>
      </w:r>
      <w:r w:rsidRPr="00675ECC">
        <w:rPr>
          <w:rFonts w:ascii="Arial" w:hAnsi="Arial" w:cs="Arial"/>
          <w:bCs/>
          <w:color w:val="000000"/>
          <w:sz w:val="20"/>
          <w:szCs w:val="20"/>
          <w:lang w:eastAsia="es-CO"/>
        </w:rPr>
        <w:t xml:space="preserve">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 </w:t>
      </w:r>
      <w:r w:rsidRPr="00675ECC">
        <w:rPr>
          <w:rFonts w:ascii="Arial" w:hAnsi="Arial" w:cs="Arial"/>
          <w:bCs/>
          <w:color w:val="000000"/>
          <w:sz w:val="20"/>
          <w:szCs w:val="20"/>
          <w:lang w:val="es-ES" w:eastAsia="es-CO"/>
        </w:rPr>
        <w:t xml:space="preserve">De esta manera, respecto a la celebración de convenios con ESAL en vigencia de la restricción del artículo 33 de la Ley de Garantías, se concluye que, esto solo será posible cuando dicho tipo de acuerdos se realicen a través de la modalidad </w:t>
      </w:r>
      <w:r w:rsidRPr="00675ECC">
        <w:rPr>
          <w:rFonts w:ascii="Arial" w:hAnsi="Arial" w:cs="Arial"/>
          <w:bCs/>
          <w:i/>
          <w:iCs/>
          <w:color w:val="000000"/>
          <w:sz w:val="20"/>
          <w:szCs w:val="20"/>
          <w:lang w:val="es-ES" w:eastAsia="es-CO"/>
        </w:rPr>
        <w:t>competitiva</w:t>
      </w:r>
      <w:r w:rsidRPr="00675ECC">
        <w:rPr>
          <w:rFonts w:ascii="Arial" w:hAnsi="Arial" w:cs="Arial"/>
          <w:bCs/>
          <w:color w:val="000000"/>
          <w:sz w:val="20"/>
          <w:szCs w:val="20"/>
          <w:lang w:val="es-ES" w:eastAsia="es-CO"/>
        </w:rPr>
        <w:t xml:space="preserve">, mientras que la celebración de este tipo de convenios en la modalidad </w:t>
      </w:r>
      <w:r w:rsidRPr="00675ECC">
        <w:rPr>
          <w:rFonts w:ascii="Arial" w:hAnsi="Arial" w:cs="Arial"/>
          <w:bCs/>
          <w:i/>
          <w:iCs/>
          <w:color w:val="000000"/>
          <w:sz w:val="20"/>
          <w:szCs w:val="20"/>
          <w:lang w:val="es-ES" w:eastAsia="es-CO"/>
        </w:rPr>
        <w:t>no competitiva</w:t>
      </w:r>
      <w:r w:rsidRPr="00675ECC">
        <w:rPr>
          <w:rFonts w:ascii="Arial" w:hAnsi="Arial" w:cs="Arial"/>
          <w:bCs/>
          <w:color w:val="000000"/>
          <w:sz w:val="20"/>
          <w:szCs w:val="20"/>
          <w:lang w:val="es-ES" w:eastAsia="es-CO"/>
        </w:rPr>
        <w:t xml:space="preserve"> sí estaría prohibida durante el periodo de esta restricción.</w:t>
      </w:r>
    </w:p>
    <w:p w14:paraId="7B9ADF08" w14:textId="77777777" w:rsidR="007C773C" w:rsidRPr="006D7E12" w:rsidRDefault="007C773C">
      <w:pPr>
        <w:rPr>
          <w:rFonts w:ascii="Arial" w:eastAsia="Calibri" w:hAnsi="Arial" w:cs="Arial"/>
          <w:b/>
          <w:bCs/>
          <w:lang w:val="es-MX"/>
        </w:rPr>
      </w:pPr>
      <w:r w:rsidRPr="006D7E12">
        <w:rPr>
          <w:rFonts w:ascii="Arial" w:eastAsia="Calibri" w:hAnsi="Arial" w:cs="Arial"/>
          <w:b/>
          <w:bCs/>
          <w:lang w:val="es-MX"/>
        </w:rPr>
        <w:br w:type="page"/>
      </w:r>
    </w:p>
    <w:p w14:paraId="378826D0" w14:textId="11EFA71D" w:rsidR="00883C23" w:rsidRPr="00CB149C" w:rsidRDefault="00883C23" w:rsidP="00CB149C">
      <w:pPr>
        <w:spacing w:after="0" w:line="276" w:lineRule="auto"/>
        <w:jc w:val="right"/>
        <w:rPr>
          <w:rFonts w:ascii="Arial" w:eastAsia="Calibri" w:hAnsi="Arial" w:cs="Arial"/>
          <w:b/>
          <w:bCs/>
          <w:sz w:val="16"/>
          <w:szCs w:val="16"/>
        </w:rPr>
      </w:pPr>
      <w:r w:rsidRPr="006D7E12">
        <w:rPr>
          <w:rFonts w:ascii="Arial" w:eastAsia="Times New Roman" w:hAnsi="Arial" w:cs="Arial"/>
          <w:b/>
          <w:bCs/>
          <w:sz w:val="16"/>
          <w:szCs w:val="16"/>
          <w:lang w:eastAsia="es-ES"/>
        </w:rPr>
        <w:lastRenderedPageBreak/>
        <w:t>CCE-DES-FM-17</w:t>
      </w:r>
    </w:p>
    <w:p w14:paraId="7D45BC78" w14:textId="6D0E344A" w:rsidR="00883C23" w:rsidRPr="006D7E12" w:rsidRDefault="00883C23" w:rsidP="00BC4B5F">
      <w:pPr>
        <w:tabs>
          <w:tab w:val="left" w:pos="3374"/>
        </w:tabs>
        <w:spacing w:after="0" w:line="240" w:lineRule="auto"/>
        <w:rPr>
          <w:rFonts w:ascii="Arial" w:eastAsia="Calibri" w:hAnsi="Arial" w:cs="Arial"/>
          <w:lang w:val="es-MX"/>
        </w:rPr>
      </w:pPr>
    </w:p>
    <w:p w14:paraId="66363838" w14:textId="77777777" w:rsidR="00B918D9" w:rsidRDefault="00B918D9" w:rsidP="00883C23">
      <w:pPr>
        <w:spacing w:after="0" w:line="240" w:lineRule="auto"/>
        <w:jc w:val="both"/>
        <w:rPr>
          <w:rFonts w:ascii="Arial" w:eastAsia="Calibri" w:hAnsi="Arial" w:cs="Arial"/>
        </w:rPr>
      </w:pPr>
      <w:bookmarkStart w:id="7" w:name="_Hlk96417464"/>
      <w:bookmarkStart w:id="8" w:name="_Hlk100170951"/>
    </w:p>
    <w:p w14:paraId="5A283260" w14:textId="659F0879" w:rsidR="00CB149C" w:rsidRDefault="008B6532" w:rsidP="008B6532">
      <w:pPr>
        <w:spacing w:after="0" w:line="240" w:lineRule="auto"/>
        <w:jc w:val="right"/>
        <w:rPr>
          <w:rFonts w:ascii="Arial" w:eastAsia="Calibri" w:hAnsi="Arial" w:cs="Arial"/>
        </w:rPr>
      </w:pPr>
      <w:r>
        <w:rPr>
          <w:noProof/>
          <w:lang w:eastAsia="es-CO"/>
        </w:rPr>
        <w:drawing>
          <wp:inline distT="0" distB="0" distL="0" distR="0" wp14:anchorId="2114ECCA" wp14:editId="289ED149">
            <wp:extent cx="2996440" cy="7871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2203" t="39131" r="4936" b="36183"/>
                    <a:stretch/>
                  </pic:blipFill>
                  <pic:spPr bwMode="auto">
                    <a:xfrm>
                      <a:off x="0" y="0"/>
                      <a:ext cx="2997856" cy="787552"/>
                    </a:xfrm>
                    <a:prstGeom prst="rect">
                      <a:avLst/>
                    </a:prstGeom>
                    <a:ln>
                      <a:noFill/>
                    </a:ln>
                    <a:extLst>
                      <a:ext uri="{53640926-AAD7-44D8-BBD7-CCE9431645EC}">
                        <a14:shadowObscured xmlns:a14="http://schemas.microsoft.com/office/drawing/2010/main"/>
                      </a:ext>
                    </a:extLst>
                  </pic:spPr>
                </pic:pic>
              </a:graphicData>
            </a:graphic>
          </wp:inline>
        </w:drawing>
      </w:r>
    </w:p>
    <w:p w14:paraId="679DBA97" w14:textId="17C6E6D1" w:rsidR="008B6532" w:rsidRDefault="008B6532" w:rsidP="00883C23">
      <w:pPr>
        <w:spacing w:after="0" w:line="240" w:lineRule="auto"/>
        <w:jc w:val="both"/>
        <w:rPr>
          <w:rFonts w:ascii="Arial" w:eastAsia="Calibri" w:hAnsi="Arial" w:cs="Arial"/>
        </w:rPr>
      </w:pPr>
    </w:p>
    <w:p w14:paraId="09DA5164" w14:textId="54546BC9" w:rsidR="00D04C1F" w:rsidRDefault="00D04C1F" w:rsidP="00D04C1F">
      <w:pPr>
        <w:spacing w:after="0" w:line="240" w:lineRule="auto"/>
        <w:jc w:val="both"/>
        <w:rPr>
          <w:rFonts w:ascii="Arial" w:eastAsia="Calibri" w:hAnsi="Arial" w:cs="Arial"/>
        </w:rPr>
      </w:pPr>
      <w:r>
        <w:rPr>
          <w:rFonts w:ascii="Arial" w:eastAsia="Calibri" w:hAnsi="Arial" w:cs="Arial"/>
        </w:rPr>
        <w:t>Bogotá, 11 mayo 2022</w:t>
      </w:r>
    </w:p>
    <w:p w14:paraId="1771170A" w14:textId="77777777" w:rsidR="00D04C1F" w:rsidRDefault="00D04C1F" w:rsidP="00D04C1F">
      <w:pPr>
        <w:spacing w:after="0" w:line="240" w:lineRule="auto"/>
        <w:jc w:val="both"/>
        <w:rPr>
          <w:rFonts w:ascii="Arial" w:eastAsia="Calibri" w:hAnsi="Arial" w:cs="Arial"/>
        </w:rPr>
      </w:pPr>
    </w:p>
    <w:p w14:paraId="462162DB" w14:textId="77777777" w:rsidR="00D04C1F" w:rsidRDefault="00D04C1F" w:rsidP="00883C23">
      <w:pPr>
        <w:spacing w:after="0" w:line="240" w:lineRule="auto"/>
        <w:jc w:val="both"/>
        <w:rPr>
          <w:rFonts w:ascii="Arial" w:eastAsia="Calibri" w:hAnsi="Arial" w:cs="Arial"/>
        </w:rPr>
      </w:pPr>
    </w:p>
    <w:p w14:paraId="706FBDFB" w14:textId="2011E9D3" w:rsidR="00883C23" w:rsidRPr="006D7E12" w:rsidRDefault="004F0F77" w:rsidP="00883C23">
      <w:pPr>
        <w:spacing w:after="0" w:line="240" w:lineRule="auto"/>
        <w:jc w:val="both"/>
        <w:rPr>
          <w:rFonts w:ascii="Arial" w:eastAsia="Calibri" w:hAnsi="Arial" w:cs="Arial"/>
        </w:rPr>
      </w:pPr>
      <w:r>
        <w:rPr>
          <w:rFonts w:ascii="Arial" w:eastAsia="Calibri" w:hAnsi="Arial" w:cs="Arial"/>
        </w:rPr>
        <w:t>Señor</w:t>
      </w:r>
    </w:p>
    <w:p w14:paraId="3389240F" w14:textId="77777777" w:rsidR="004F0F77" w:rsidRPr="004F0F77" w:rsidRDefault="004F0F77" w:rsidP="004F0F77">
      <w:pPr>
        <w:spacing w:after="0" w:line="240" w:lineRule="auto"/>
        <w:jc w:val="both"/>
        <w:rPr>
          <w:rFonts w:ascii="Arial" w:eastAsia="Calibri" w:hAnsi="Arial" w:cs="Arial"/>
          <w:b/>
          <w:lang w:val="es-ES_tradnl"/>
        </w:rPr>
      </w:pPr>
      <w:r w:rsidRPr="004F0F77">
        <w:rPr>
          <w:rFonts w:ascii="Arial" w:eastAsia="Calibri" w:hAnsi="Arial" w:cs="Arial"/>
          <w:b/>
          <w:lang w:val="es-ES_tradnl"/>
        </w:rPr>
        <w:t xml:space="preserve">Carlos Esteban </w:t>
      </w:r>
      <w:proofErr w:type="spellStart"/>
      <w:r w:rsidRPr="004F0F77">
        <w:rPr>
          <w:rFonts w:ascii="Arial" w:eastAsia="Calibri" w:hAnsi="Arial" w:cs="Arial"/>
          <w:b/>
          <w:lang w:val="es-ES_tradnl"/>
        </w:rPr>
        <w:t>Cajicas</w:t>
      </w:r>
      <w:proofErr w:type="spellEnd"/>
      <w:r w:rsidRPr="004F0F77">
        <w:rPr>
          <w:rFonts w:ascii="Arial" w:eastAsia="Calibri" w:hAnsi="Arial" w:cs="Arial"/>
          <w:b/>
          <w:lang w:val="es-ES_tradnl"/>
        </w:rPr>
        <w:t xml:space="preserve"> Álvarez</w:t>
      </w:r>
    </w:p>
    <w:p w14:paraId="4916D574" w14:textId="0688D493" w:rsidR="00883C23" w:rsidRPr="006D7E12" w:rsidRDefault="00D1300E" w:rsidP="00883C23">
      <w:pPr>
        <w:spacing w:after="0" w:line="240" w:lineRule="auto"/>
        <w:jc w:val="both"/>
        <w:rPr>
          <w:rFonts w:ascii="Arial" w:eastAsia="Calibri" w:hAnsi="Arial" w:cs="Arial"/>
        </w:rPr>
      </w:pPr>
      <w:r w:rsidRPr="00D1300E">
        <w:rPr>
          <w:rFonts w:ascii="Arial" w:hAnsi="Arial" w:cs="Arial"/>
        </w:rPr>
        <w:t xml:space="preserve">Pasto, Nariño </w:t>
      </w:r>
      <w:r w:rsidR="00883C23" w:rsidRPr="006D7E12">
        <w:rPr>
          <w:rFonts w:ascii="Arial" w:eastAsia="Calibri" w:hAnsi="Arial" w:cs="Arial"/>
        </w:rPr>
        <w:t xml:space="preserve"> </w:t>
      </w:r>
    </w:p>
    <w:p w14:paraId="42E4525C" w14:textId="77777777" w:rsidR="00CB149C" w:rsidRPr="006D7E12" w:rsidRDefault="00CB149C" w:rsidP="00883C23">
      <w:pPr>
        <w:spacing w:after="0" w:line="240" w:lineRule="auto"/>
        <w:jc w:val="both"/>
        <w:rPr>
          <w:rFonts w:ascii="Arial" w:eastAsia="Calibri" w:hAnsi="Arial" w:cs="Arial"/>
        </w:rPr>
      </w:pPr>
    </w:p>
    <w:p w14:paraId="1ADBFDD5" w14:textId="77777777" w:rsidR="00883C23" w:rsidRPr="006D7E12" w:rsidRDefault="00883C23" w:rsidP="00883C23">
      <w:pPr>
        <w:spacing w:after="0" w:line="240" w:lineRule="auto"/>
        <w:jc w:val="both"/>
        <w:rPr>
          <w:rFonts w:ascii="Arial" w:eastAsia="Calibri" w:hAnsi="Arial" w:cs="Arial"/>
        </w:rPr>
      </w:pPr>
    </w:p>
    <w:p w14:paraId="04A59977" w14:textId="57EBCB26" w:rsidR="00883C23" w:rsidRPr="006D7E12" w:rsidRDefault="00883C23" w:rsidP="00883C23">
      <w:pPr>
        <w:spacing w:after="0" w:line="240" w:lineRule="auto"/>
        <w:jc w:val="both"/>
        <w:rPr>
          <w:rFonts w:ascii="Arial" w:eastAsia="Calibri" w:hAnsi="Arial" w:cs="Arial"/>
        </w:rPr>
      </w:pPr>
      <w:r w:rsidRPr="006D7E12">
        <w:rPr>
          <w:rFonts w:ascii="Arial" w:eastAsia="Calibri" w:hAnsi="Arial" w:cs="Arial"/>
        </w:rPr>
        <w:t xml:space="preserve">                                            </w:t>
      </w:r>
      <w:r w:rsidRPr="006D7E12">
        <w:rPr>
          <w:rFonts w:ascii="Arial" w:eastAsia="Calibri" w:hAnsi="Arial" w:cs="Arial"/>
          <w:b/>
        </w:rPr>
        <w:t xml:space="preserve">Concepto C – </w:t>
      </w:r>
      <w:r w:rsidR="00D1300E">
        <w:rPr>
          <w:rFonts w:ascii="Arial" w:eastAsia="Calibri" w:hAnsi="Arial" w:cs="Arial"/>
          <w:b/>
        </w:rPr>
        <w:t>292</w:t>
      </w:r>
      <w:r w:rsidRPr="006D7E12">
        <w:rPr>
          <w:rFonts w:ascii="Arial" w:eastAsia="Calibri" w:hAnsi="Arial" w:cs="Arial"/>
          <w:b/>
        </w:rPr>
        <w:t xml:space="preserve"> de 2022</w:t>
      </w:r>
      <w:r w:rsidRPr="006D7E12">
        <w:rPr>
          <w:rFonts w:ascii="Arial" w:eastAsia="Calibri" w:hAnsi="Arial" w:cs="Arial"/>
        </w:rPr>
        <w:t xml:space="preserve"> </w:t>
      </w:r>
    </w:p>
    <w:p w14:paraId="5FFD2FD6" w14:textId="77777777" w:rsidR="00883C23" w:rsidRPr="006D7E12" w:rsidRDefault="00883C23" w:rsidP="00883C23">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70B6" w:rsidRPr="006D7E12" w14:paraId="2218F9C4" w14:textId="77777777" w:rsidTr="00301B6D">
        <w:trPr>
          <w:trHeight w:val="485"/>
        </w:trPr>
        <w:tc>
          <w:tcPr>
            <w:tcW w:w="2689" w:type="dxa"/>
            <w:hideMark/>
          </w:tcPr>
          <w:p w14:paraId="0F211B22" w14:textId="77777777" w:rsidR="00883C23" w:rsidRPr="006D7E12" w:rsidRDefault="00883C23" w:rsidP="00883C23">
            <w:pPr>
              <w:contextualSpacing/>
              <w:rPr>
                <w:rFonts w:ascii="Arial" w:eastAsia="Calibri" w:hAnsi="Arial" w:cs="Arial"/>
                <w:noProof/>
                <w:lang w:val="es-ES_tradnl"/>
              </w:rPr>
            </w:pPr>
            <w:r w:rsidRPr="006D7E12">
              <w:rPr>
                <w:rFonts w:ascii="Arial" w:eastAsia="Calibri" w:hAnsi="Arial" w:cs="Arial"/>
                <w:b/>
                <w:noProof/>
                <w:lang w:val="es-ES_tradnl"/>
              </w:rPr>
              <w:t>Temas:</w:t>
            </w:r>
            <w:r w:rsidRPr="006D7E12">
              <w:rPr>
                <w:rFonts w:ascii="Arial" w:eastAsia="Calibri" w:hAnsi="Arial" w:cs="Arial"/>
                <w:noProof/>
                <w:lang w:val="es-ES_tradnl"/>
              </w:rPr>
              <w:t xml:space="preserve">        </w:t>
            </w:r>
          </w:p>
        </w:tc>
        <w:tc>
          <w:tcPr>
            <w:tcW w:w="6237" w:type="dxa"/>
            <w:hideMark/>
          </w:tcPr>
          <w:p w14:paraId="660FAC4E" w14:textId="1DC40E9B" w:rsidR="00647E66" w:rsidRPr="006D7E12" w:rsidRDefault="00647E66" w:rsidP="00647E66">
            <w:pPr>
              <w:tabs>
                <w:tab w:val="left" w:pos="426"/>
              </w:tabs>
              <w:contextualSpacing/>
              <w:jc w:val="both"/>
              <w:rPr>
                <w:rFonts w:ascii="Arial" w:eastAsia="Calibri" w:hAnsi="Arial" w:cs="Arial"/>
                <w:lang w:val="es-MX"/>
              </w:rPr>
            </w:pPr>
            <w:r w:rsidRPr="006D7E12">
              <w:rPr>
                <w:rFonts w:ascii="Arial" w:eastAsia="Calibri" w:hAnsi="Arial" w:cs="Arial"/>
                <w:lang w:val="es-MX"/>
              </w:rPr>
              <w:t xml:space="preserve">LEY DE GARANTÍAS ELECTORALES ‒ Finalidad / LEY DE GARANTÍAS ELECTORALES ‒ Tipos de restricciones ‒ Ámbito temporal / LEY DE GARANTÍAS ELECTORALES ─ Prohibición ‒ Contratación directa ‒ Alcance / LEY DE GARANTÍAS ELECTORALES ─ Prohibición ‒ Contratación directa ‒ </w:t>
            </w:r>
            <w:r w:rsidRPr="006D7E12">
              <w:rPr>
                <w:rFonts w:ascii="Arial" w:eastAsia="Times New Roman" w:hAnsi="Arial" w:cs="Arial"/>
                <w:lang w:eastAsia="es-CO"/>
              </w:rPr>
              <w:t xml:space="preserve">Excepciones / LEY DE GARANTÍAS ELECTORALES ‒ </w:t>
            </w:r>
            <w:r w:rsidRPr="006D7E12">
              <w:rPr>
                <w:rFonts w:ascii="Arial" w:eastAsia="Times New Roman" w:hAnsi="Arial" w:cs="Arial"/>
                <w:lang w:val="es-ES" w:eastAsia="es-CO"/>
              </w:rPr>
              <w:t xml:space="preserve">Prohibición del artículo 33 </w:t>
            </w:r>
            <w:r w:rsidRPr="006D7E12">
              <w:rPr>
                <w:rFonts w:ascii="Arial" w:eastAsia="Times New Roman" w:hAnsi="Arial" w:cs="Arial"/>
                <w:lang w:eastAsia="es-CO"/>
              </w:rPr>
              <w:t xml:space="preserve">‒ Destinatarios </w:t>
            </w:r>
            <w:r w:rsidR="00675ECC">
              <w:rPr>
                <w:rFonts w:ascii="Arial" w:eastAsia="Times New Roman" w:hAnsi="Arial" w:cs="Arial"/>
                <w:lang w:eastAsia="es-CO"/>
              </w:rPr>
              <w:t>/</w:t>
            </w:r>
            <w:r w:rsidRPr="006D7E12">
              <w:rPr>
                <w:rFonts w:ascii="Arial" w:eastAsia="Calibri" w:hAnsi="Arial" w:cs="Arial"/>
                <w:lang w:val="es-MX"/>
              </w:rPr>
              <w:t xml:space="preserve"> </w:t>
            </w:r>
            <w:r w:rsidRPr="006D7E12">
              <w:rPr>
                <w:rFonts w:ascii="Arial" w:eastAsia="Arial" w:hAnsi="Arial" w:cs="Arial"/>
                <w:lang w:val="es-ES" w:eastAsia="es-ES" w:bidi="es-ES"/>
              </w:rPr>
              <w:t>CONVENIOS DE ASOCIACIÓN – Contratación con ESAL</w:t>
            </w:r>
          </w:p>
          <w:p w14:paraId="7A54573B" w14:textId="4F95C6A9" w:rsidR="00647E66" w:rsidRPr="006D7E12" w:rsidRDefault="00647E66" w:rsidP="00647E66">
            <w:pPr>
              <w:tabs>
                <w:tab w:val="left" w:pos="426"/>
              </w:tabs>
              <w:contextualSpacing/>
              <w:jc w:val="both"/>
              <w:rPr>
                <w:rFonts w:ascii="Arial" w:eastAsia="Calibri" w:hAnsi="Arial" w:cs="Arial"/>
                <w:sz w:val="12"/>
                <w:szCs w:val="12"/>
                <w:lang w:val="es-MX"/>
              </w:rPr>
            </w:pPr>
          </w:p>
          <w:p w14:paraId="0BA70935" w14:textId="77777777" w:rsidR="00883C23" w:rsidRPr="006D7E12" w:rsidRDefault="00883C23" w:rsidP="00883C23">
            <w:pPr>
              <w:spacing w:after="120"/>
              <w:rPr>
                <w:rFonts w:ascii="Arial" w:eastAsia="Calibri" w:hAnsi="Arial" w:cs="Arial"/>
                <w:lang w:val="es-MX"/>
              </w:rPr>
            </w:pPr>
          </w:p>
        </w:tc>
      </w:tr>
      <w:tr w:rsidR="000370B6" w:rsidRPr="006D7E12" w14:paraId="222FEFA6" w14:textId="77777777" w:rsidTr="00301B6D">
        <w:tc>
          <w:tcPr>
            <w:tcW w:w="2689" w:type="dxa"/>
          </w:tcPr>
          <w:p w14:paraId="3332A0EE" w14:textId="77777777" w:rsidR="00883C23" w:rsidRPr="006D7E12" w:rsidRDefault="00883C23" w:rsidP="00883C23">
            <w:pPr>
              <w:contextualSpacing/>
              <w:rPr>
                <w:rFonts w:ascii="Arial" w:eastAsia="Calibri" w:hAnsi="Arial" w:cs="Arial"/>
                <w:b/>
                <w:noProof/>
                <w:lang w:val="es-ES_tradnl"/>
              </w:rPr>
            </w:pPr>
            <w:r w:rsidRPr="006D7E12">
              <w:rPr>
                <w:rFonts w:ascii="Arial" w:eastAsia="Calibri" w:hAnsi="Arial" w:cs="Arial"/>
                <w:b/>
                <w:noProof/>
                <w:lang w:val="es-ES_tradnl"/>
              </w:rPr>
              <w:t>Radicación:</w:t>
            </w:r>
            <w:r w:rsidRPr="006D7E12">
              <w:rPr>
                <w:rFonts w:ascii="Arial" w:eastAsia="Calibri" w:hAnsi="Arial" w:cs="Arial"/>
                <w:noProof/>
                <w:lang w:val="es-ES_tradnl"/>
              </w:rPr>
              <w:t xml:space="preserve">                              </w:t>
            </w:r>
          </w:p>
        </w:tc>
        <w:tc>
          <w:tcPr>
            <w:tcW w:w="6237" w:type="dxa"/>
          </w:tcPr>
          <w:p w14:paraId="3854A44D" w14:textId="04C2CEB0" w:rsidR="00883C23" w:rsidRPr="006D7E12" w:rsidRDefault="00883C23" w:rsidP="00883C23">
            <w:pPr>
              <w:contextualSpacing/>
              <w:jc w:val="both"/>
              <w:rPr>
                <w:rFonts w:ascii="Arial" w:eastAsia="Calibri" w:hAnsi="Arial" w:cs="Arial"/>
                <w:noProof/>
                <w:lang w:val="es-ES_tradnl"/>
              </w:rPr>
            </w:pPr>
            <w:r w:rsidRPr="006D7E12">
              <w:rPr>
                <w:rFonts w:ascii="Arial" w:eastAsia="Calibri" w:hAnsi="Arial" w:cs="Arial"/>
                <w:noProof/>
                <w:lang w:val="es-ES_tradnl"/>
              </w:rPr>
              <w:t xml:space="preserve">Respuesta a consulta </w:t>
            </w:r>
            <w:r w:rsidR="001E175E" w:rsidRPr="001E175E">
              <w:rPr>
                <w:rFonts w:ascii="Arial" w:eastAsia="Calibri" w:hAnsi="Arial" w:cs="Arial"/>
                <w:noProof/>
                <w:lang w:val="es-ES_tradnl"/>
              </w:rPr>
              <w:t>P20220328003094</w:t>
            </w:r>
          </w:p>
        </w:tc>
      </w:tr>
    </w:tbl>
    <w:p w14:paraId="24096655" w14:textId="77777777" w:rsidR="00883C23" w:rsidRPr="006D7E12" w:rsidRDefault="00883C23" w:rsidP="00883C23">
      <w:pPr>
        <w:spacing w:after="0" w:line="240" w:lineRule="auto"/>
        <w:jc w:val="both"/>
        <w:rPr>
          <w:rFonts w:ascii="Arial" w:eastAsia="Calibri" w:hAnsi="Arial" w:cs="Arial"/>
        </w:rPr>
      </w:pPr>
    </w:p>
    <w:p w14:paraId="17A7991B" w14:textId="77777777" w:rsidR="00883C23" w:rsidRPr="006D7E12" w:rsidRDefault="00883C23" w:rsidP="00883C23">
      <w:pPr>
        <w:spacing w:after="0" w:line="240" w:lineRule="auto"/>
        <w:contextualSpacing/>
        <w:jc w:val="both"/>
        <w:rPr>
          <w:rFonts w:ascii="Arial" w:eastAsia="Calibri" w:hAnsi="Arial" w:cs="Arial"/>
        </w:rPr>
      </w:pPr>
    </w:p>
    <w:p w14:paraId="13A96C90" w14:textId="0B4F279A" w:rsidR="00883C23" w:rsidRPr="006D7E12" w:rsidRDefault="00883C23" w:rsidP="00883C23">
      <w:pPr>
        <w:spacing w:after="0" w:line="276" w:lineRule="auto"/>
        <w:contextualSpacing/>
        <w:jc w:val="both"/>
        <w:rPr>
          <w:rFonts w:ascii="Arial" w:eastAsia="Calibri" w:hAnsi="Arial" w:cs="Arial"/>
        </w:rPr>
      </w:pPr>
      <w:r w:rsidRPr="006D7E12">
        <w:rPr>
          <w:rFonts w:ascii="Arial" w:eastAsia="Calibri" w:hAnsi="Arial" w:cs="Arial"/>
        </w:rPr>
        <w:t>Estimad</w:t>
      </w:r>
      <w:r w:rsidR="000370B6" w:rsidRPr="006D7E12">
        <w:rPr>
          <w:rFonts w:ascii="Arial" w:eastAsia="Calibri" w:hAnsi="Arial" w:cs="Arial"/>
        </w:rPr>
        <w:t>o</w:t>
      </w:r>
      <w:r w:rsidRPr="006D7E12">
        <w:rPr>
          <w:rFonts w:ascii="Arial" w:eastAsia="Calibri" w:hAnsi="Arial" w:cs="Arial"/>
        </w:rPr>
        <w:t xml:space="preserve"> señor</w:t>
      </w:r>
      <w:r w:rsidR="000370B6" w:rsidRPr="006D7E12">
        <w:rPr>
          <w:rFonts w:ascii="Arial" w:eastAsia="Calibri" w:hAnsi="Arial" w:cs="Arial"/>
        </w:rPr>
        <w:t xml:space="preserve"> </w:t>
      </w:r>
      <w:proofErr w:type="spellStart"/>
      <w:r w:rsidR="004C55C0" w:rsidRPr="004C55C0">
        <w:rPr>
          <w:rFonts w:ascii="Arial" w:eastAsia="Calibri" w:hAnsi="Arial" w:cs="Arial"/>
        </w:rPr>
        <w:t>Cajicas</w:t>
      </w:r>
      <w:proofErr w:type="spellEnd"/>
      <w:r w:rsidR="004C55C0" w:rsidRPr="004C55C0">
        <w:rPr>
          <w:rFonts w:ascii="Arial" w:eastAsia="Calibri" w:hAnsi="Arial" w:cs="Arial"/>
        </w:rPr>
        <w:t xml:space="preserve"> Álvarez</w:t>
      </w:r>
      <w:r w:rsidRPr="006D7E12">
        <w:rPr>
          <w:rFonts w:ascii="Arial" w:eastAsia="Calibri" w:hAnsi="Arial" w:cs="Arial"/>
        </w:rPr>
        <w:t>:</w:t>
      </w:r>
    </w:p>
    <w:p w14:paraId="65B69C4A" w14:textId="77777777" w:rsidR="00883C23" w:rsidRPr="006D7E12" w:rsidRDefault="00883C23" w:rsidP="00883C23">
      <w:pPr>
        <w:spacing w:after="0" w:line="276" w:lineRule="auto"/>
        <w:ind w:firstLine="709"/>
        <w:contextualSpacing/>
        <w:jc w:val="both"/>
        <w:rPr>
          <w:rFonts w:ascii="Arial" w:eastAsia="Calibri" w:hAnsi="Arial" w:cs="Arial"/>
        </w:rPr>
      </w:pPr>
    </w:p>
    <w:p w14:paraId="2996A3C4" w14:textId="5F875692" w:rsidR="00883C23" w:rsidRPr="006D7E12" w:rsidRDefault="00883C23" w:rsidP="00883C23">
      <w:pPr>
        <w:spacing w:after="0" w:line="276" w:lineRule="auto"/>
        <w:ind w:right="51"/>
        <w:contextualSpacing/>
        <w:jc w:val="both"/>
        <w:rPr>
          <w:rFonts w:ascii="Arial" w:eastAsia="Calibri" w:hAnsi="Arial" w:cs="Arial"/>
        </w:rPr>
      </w:pPr>
      <w:r w:rsidRPr="006D7E1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924A75" w:rsidRPr="006D7E12">
        <w:rPr>
          <w:rFonts w:ascii="Arial" w:eastAsia="Calibri" w:hAnsi="Arial" w:cs="Arial"/>
        </w:rPr>
        <w:t>2</w:t>
      </w:r>
      <w:r w:rsidR="004C55C0">
        <w:rPr>
          <w:rFonts w:ascii="Arial" w:eastAsia="Calibri" w:hAnsi="Arial" w:cs="Arial"/>
        </w:rPr>
        <w:t>8</w:t>
      </w:r>
      <w:r w:rsidR="00924A75" w:rsidRPr="006D7E12">
        <w:rPr>
          <w:rFonts w:ascii="Arial" w:eastAsia="Calibri" w:hAnsi="Arial" w:cs="Arial"/>
        </w:rPr>
        <w:t xml:space="preserve"> de </w:t>
      </w:r>
      <w:r w:rsidR="004C55C0">
        <w:rPr>
          <w:rFonts w:ascii="Arial" w:eastAsia="Calibri" w:hAnsi="Arial" w:cs="Arial"/>
        </w:rPr>
        <w:t>marzo</w:t>
      </w:r>
      <w:r w:rsidRPr="006D7E12">
        <w:rPr>
          <w:rFonts w:ascii="Arial" w:eastAsia="Calibri" w:hAnsi="Arial" w:cs="Arial"/>
        </w:rPr>
        <w:t xml:space="preserve"> de 2022. </w:t>
      </w:r>
    </w:p>
    <w:p w14:paraId="13156ABA" w14:textId="77777777" w:rsidR="00883C23" w:rsidRPr="006D7E12" w:rsidRDefault="00883C23" w:rsidP="00883C23">
      <w:pPr>
        <w:spacing w:after="0" w:line="276" w:lineRule="auto"/>
        <w:contextualSpacing/>
        <w:jc w:val="both"/>
        <w:rPr>
          <w:rFonts w:ascii="Arial" w:eastAsia="Calibri" w:hAnsi="Arial" w:cs="Arial"/>
        </w:rPr>
      </w:pPr>
    </w:p>
    <w:p w14:paraId="37AC10DA" w14:textId="77777777" w:rsidR="00883C23" w:rsidRPr="006D7E12" w:rsidRDefault="00883C23" w:rsidP="00883C23">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 xml:space="preserve">1. Problema planteado </w:t>
      </w:r>
    </w:p>
    <w:p w14:paraId="5F0F4646" w14:textId="77777777" w:rsidR="00883C23" w:rsidRPr="006D7E12" w:rsidRDefault="00883C23" w:rsidP="00883C23">
      <w:pPr>
        <w:tabs>
          <w:tab w:val="left" w:pos="284"/>
        </w:tabs>
        <w:spacing w:after="0" w:line="276" w:lineRule="auto"/>
        <w:ind w:firstLine="709"/>
        <w:contextualSpacing/>
        <w:jc w:val="both"/>
        <w:rPr>
          <w:rFonts w:ascii="Arial" w:eastAsia="Calibri" w:hAnsi="Arial" w:cs="Arial"/>
          <w:b/>
        </w:rPr>
      </w:pPr>
    </w:p>
    <w:p w14:paraId="6807C56B" w14:textId="697CE959" w:rsidR="00883C23" w:rsidRPr="006D7E12" w:rsidRDefault="00883C23" w:rsidP="0097663C">
      <w:pPr>
        <w:spacing w:after="0" w:line="276" w:lineRule="auto"/>
        <w:contextualSpacing/>
        <w:jc w:val="both"/>
        <w:rPr>
          <w:rFonts w:ascii="Arial" w:eastAsia="Times New Roman" w:hAnsi="Arial" w:cs="Arial"/>
          <w:lang w:eastAsia="es-ES_tradnl"/>
        </w:rPr>
      </w:pPr>
      <w:bookmarkStart w:id="9" w:name="_Hlk58917991"/>
      <w:bookmarkStart w:id="10" w:name="_Hlk56103000"/>
      <w:r w:rsidRPr="006D7E12">
        <w:rPr>
          <w:rFonts w:ascii="Arial" w:eastAsia="Times New Roman" w:hAnsi="Arial" w:cs="Arial"/>
          <w:lang w:eastAsia="es-ES_tradnl"/>
        </w:rPr>
        <w:t xml:space="preserve">Usted realiza la siguiente pregunta: </w:t>
      </w:r>
      <w:bookmarkStart w:id="11" w:name="_Hlk94514883"/>
      <w:r w:rsidR="0097663C" w:rsidRPr="0097663C">
        <w:rPr>
          <w:rFonts w:ascii="Arial" w:eastAsia="Times New Roman" w:hAnsi="Arial" w:cs="Arial"/>
          <w:lang w:eastAsia="es-ES_tradnl"/>
        </w:rPr>
        <w:t>«</w:t>
      </w:r>
      <w:proofErr w:type="gramStart"/>
      <w:r w:rsidR="0097663C" w:rsidRPr="0097663C">
        <w:rPr>
          <w:rFonts w:ascii="Arial" w:eastAsia="Times New Roman" w:hAnsi="Arial" w:cs="Arial"/>
          <w:lang w:eastAsia="es-ES_tradnl"/>
        </w:rPr>
        <w:t xml:space="preserve">Los convenios de asociación entre entidades públicas que desea asociarse con personas jurídicas privadas, mediante la celebración de convenios de asociación, para el desarrollo conjunto de actividades en relación con los cometidos y </w:t>
      </w:r>
      <w:r w:rsidR="0097663C" w:rsidRPr="0097663C">
        <w:rPr>
          <w:rFonts w:ascii="Arial" w:eastAsia="Times New Roman" w:hAnsi="Arial" w:cs="Arial"/>
          <w:lang w:eastAsia="es-ES_tradnl"/>
        </w:rPr>
        <w:lastRenderedPageBreak/>
        <w:t>funciones asignados por la ley, conforme al artículo 96 de la ley 489 de 1998, se encuentran cobijados por las restricciones del artículo 33 de la ley de garantías?</w:t>
      </w:r>
      <w:proofErr w:type="gramEnd"/>
      <w:r w:rsidR="0097663C" w:rsidRPr="0097663C">
        <w:rPr>
          <w:rFonts w:ascii="Arial" w:eastAsia="Times New Roman" w:hAnsi="Arial" w:cs="Arial"/>
          <w:lang w:eastAsia="es-ES_tradnl"/>
        </w:rPr>
        <w:t>»</w:t>
      </w:r>
      <w:r w:rsidR="004B2675" w:rsidRPr="006D7E12">
        <w:rPr>
          <w:rFonts w:ascii="Arial" w:eastAsia="Times New Roman" w:hAnsi="Arial" w:cs="Arial"/>
          <w:lang w:eastAsia="es-ES_tradnl"/>
        </w:rPr>
        <w:t>.</w:t>
      </w:r>
      <w:r w:rsidR="004B4CA2" w:rsidRPr="006D7E12">
        <w:rPr>
          <w:rFonts w:ascii="Arial" w:eastAsia="Times New Roman" w:hAnsi="Arial" w:cs="Arial"/>
          <w:lang w:eastAsia="es-ES_tradnl"/>
        </w:rPr>
        <w:t xml:space="preserve"> </w:t>
      </w:r>
      <w:bookmarkEnd w:id="11"/>
    </w:p>
    <w:p w14:paraId="0D2D797C" w14:textId="77777777" w:rsidR="00883C23" w:rsidRPr="006D7E12" w:rsidRDefault="00883C23" w:rsidP="005F4339">
      <w:pPr>
        <w:tabs>
          <w:tab w:val="left" w:pos="426"/>
        </w:tabs>
        <w:spacing w:after="0" w:line="276" w:lineRule="auto"/>
        <w:contextualSpacing/>
        <w:jc w:val="both"/>
        <w:rPr>
          <w:rFonts w:ascii="Arial" w:eastAsia="Calibri" w:hAnsi="Arial" w:cs="Arial"/>
        </w:rPr>
      </w:pPr>
    </w:p>
    <w:bookmarkEnd w:id="9"/>
    <w:bookmarkEnd w:id="10"/>
    <w:p w14:paraId="249A34D5" w14:textId="77777777" w:rsidR="00883C23" w:rsidRPr="006D7E12" w:rsidRDefault="00883C23" w:rsidP="005F4339">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2. Consideraciones</w:t>
      </w:r>
    </w:p>
    <w:p w14:paraId="4AE99E5A" w14:textId="77777777" w:rsidR="00883C23" w:rsidRPr="006D7E12" w:rsidRDefault="00883C23" w:rsidP="005F4339">
      <w:pPr>
        <w:tabs>
          <w:tab w:val="left" w:pos="426"/>
        </w:tabs>
        <w:spacing w:after="0" w:line="276" w:lineRule="auto"/>
        <w:ind w:firstLine="709"/>
        <w:contextualSpacing/>
        <w:jc w:val="both"/>
        <w:rPr>
          <w:rFonts w:ascii="Arial" w:eastAsia="Calibri" w:hAnsi="Arial" w:cs="Arial"/>
          <w:bCs/>
        </w:rPr>
      </w:pPr>
    </w:p>
    <w:p w14:paraId="7FD6A583" w14:textId="2940D7B2" w:rsidR="00EF6644" w:rsidRPr="006D7E12" w:rsidRDefault="00E42B09" w:rsidP="00E42B09">
      <w:pPr>
        <w:spacing w:after="120" w:line="276" w:lineRule="auto"/>
        <w:jc w:val="both"/>
        <w:rPr>
          <w:rFonts w:ascii="Arial" w:eastAsia="Calibri" w:hAnsi="Arial" w:cs="Arial"/>
          <w:szCs w:val="24"/>
          <w:lang w:eastAsia="es-ES_tradnl"/>
        </w:rPr>
      </w:pPr>
      <w:bookmarkStart w:id="12" w:name="_Hlk96420693"/>
      <w:r>
        <w:rPr>
          <w:rFonts w:ascii="Arial" w:hAnsi="Arial" w:cs="Arial"/>
          <w:bCs/>
        </w:rPr>
        <w:t>L</w:t>
      </w:r>
      <w:r w:rsidR="00B64ACB" w:rsidRPr="006D7E12">
        <w:rPr>
          <w:rFonts w:ascii="Arial" w:eastAsia="Calibri" w:hAnsi="Arial" w:cs="Arial"/>
          <w:lang w:val="es-ES"/>
        </w:rPr>
        <w:t>a Agencia resolverá la consulta conforme a las normas generales</w:t>
      </w:r>
      <w:r w:rsidR="00E11379" w:rsidRPr="006D7E12">
        <w:rPr>
          <w:rFonts w:ascii="Arial" w:eastAsia="Calibri" w:hAnsi="Arial" w:cs="Arial"/>
          <w:lang w:val="es-ES"/>
        </w:rPr>
        <w:t xml:space="preserve"> del sistema de compras públicas. </w:t>
      </w:r>
      <w:r w:rsidR="00A116E0" w:rsidRPr="006D7E12">
        <w:rPr>
          <w:rFonts w:ascii="Arial" w:eastAsia="Calibri" w:hAnsi="Arial" w:cs="Arial"/>
          <w:lang w:val="es-ES"/>
        </w:rPr>
        <w:t xml:space="preserve">Con este objetivo se analizarán los siguientes temas: </w:t>
      </w:r>
      <w:r w:rsidR="00A116E0" w:rsidRPr="006D7E12">
        <w:rPr>
          <w:rFonts w:ascii="Arial" w:eastAsia="Calibri" w:hAnsi="Arial" w:cs="Arial"/>
          <w:bCs/>
        </w:rPr>
        <w:t xml:space="preserve">i) definición y finalidad de la Ley de Garantías Electorales, ii) restricciones </w:t>
      </w:r>
      <w:r w:rsidR="00A116E0" w:rsidRPr="006D7E12">
        <w:rPr>
          <w:rFonts w:ascii="Arial" w:eastAsia="Calibri" w:hAnsi="Arial" w:cs="Arial"/>
          <w:bCs/>
          <w:lang w:val="es-MX"/>
        </w:rPr>
        <w:t>para elecciones presidenciales, iii) destinatarios de la prohibición del artículo 33 de la Ley 996 de 2005</w:t>
      </w:r>
      <w:r w:rsidR="0026079C">
        <w:rPr>
          <w:rFonts w:ascii="Arial" w:eastAsia="Calibri" w:hAnsi="Arial" w:cs="Arial"/>
          <w:bCs/>
          <w:lang w:val="es-MX"/>
        </w:rPr>
        <w:t xml:space="preserve"> y</w:t>
      </w:r>
      <w:r w:rsidR="00A116E0" w:rsidRPr="006D7E12">
        <w:rPr>
          <w:rFonts w:ascii="Arial" w:eastAsia="Calibri" w:hAnsi="Arial" w:cs="Arial"/>
          <w:bCs/>
          <w:lang w:val="es-MX"/>
        </w:rPr>
        <w:t xml:space="preserve"> iv) </w:t>
      </w:r>
      <w:bookmarkStart w:id="13" w:name="_Hlk76110351"/>
      <w:r w:rsidR="003B045C" w:rsidRPr="006D7E12">
        <w:rPr>
          <w:rFonts w:ascii="Arial" w:eastAsia="Calibri" w:hAnsi="Arial" w:cs="Arial"/>
          <w:lang w:val="es-MX" w:bidi="es-ES"/>
        </w:rPr>
        <w:t>convenios de asociación y restricciones de la Ley de Garantías Electorales</w:t>
      </w:r>
      <w:r w:rsidR="00A116E0" w:rsidRPr="006D7E12">
        <w:rPr>
          <w:rFonts w:ascii="Arial" w:eastAsia="Calibri" w:hAnsi="Arial" w:cs="Arial"/>
          <w:lang w:val="es-MX"/>
        </w:rPr>
        <w:t xml:space="preserve">. </w:t>
      </w:r>
      <w:bookmarkEnd w:id="13"/>
      <w:r w:rsidR="00E11379" w:rsidRPr="006D7E12">
        <w:rPr>
          <w:rFonts w:ascii="Arial" w:eastAsia="Calibri" w:hAnsi="Arial" w:cs="Arial"/>
          <w:lang w:val="es-ES"/>
        </w:rPr>
        <w:t xml:space="preserve"> </w:t>
      </w:r>
      <w:r w:rsidR="00B64ACB" w:rsidRPr="006D7E12">
        <w:rPr>
          <w:rFonts w:ascii="Arial" w:eastAsia="Calibri" w:hAnsi="Arial" w:cs="Arial"/>
          <w:lang w:val="es-ES"/>
        </w:rPr>
        <w:t xml:space="preserve"> </w:t>
      </w:r>
    </w:p>
    <w:p w14:paraId="0E1300EA" w14:textId="6B0B82D7" w:rsidR="00883C23" w:rsidRPr="006D7E12" w:rsidRDefault="00883C23" w:rsidP="00BE1101">
      <w:pPr>
        <w:tabs>
          <w:tab w:val="left" w:pos="426"/>
        </w:tabs>
        <w:spacing w:after="0" w:line="276" w:lineRule="auto"/>
        <w:ind w:firstLine="709"/>
        <w:jc w:val="both"/>
        <w:rPr>
          <w:rFonts w:ascii="Arial" w:eastAsia="Calibri" w:hAnsi="Arial" w:cs="Arial"/>
          <w:bCs/>
        </w:rPr>
      </w:pPr>
      <w:r w:rsidRPr="006D7E12">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w:t>
      </w:r>
      <w:r w:rsidR="007C773C" w:rsidRPr="006D7E12">
        <w:rPr>
          <w:rFonts w:ascii="Arial" w:eastAsia="Calibri" w:hAnsi="Arial" w:cs="Arial"/>
          <w:bCs/>
        </w:rPr>
        <w:t xml:space="preserve">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w:t>
      </w:r>
      <w:r w:rsidR="007C773C" w:rsidRPr="006D7E12">
        <w:rPr>
          <w:rFonts w:ascii="Arial" w:eastAsia="Calibri" w:hAnsi="Arial" w:cs="Arial"/>
          <w:bCs/>
        </w:rPr>
        <w:lastRenderedPageBreak/>
        <w:t>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sidR="0026079C">
        <w:rPr>
          <w:rFonts w:ascii="Arial" w:eastAsia="Calibri" w:hAnsi="Arial" w:cs="Arial"/>
          <w:bCs/>
        </w:rPr>
        <w:t xml:space="preserve">, </w:t>
      </w:r>
      <w:r w:rsidR="007C773C" w:rsidRPr="006D7E12">
        <w:rPr>
          <w:rFonts w:ascii="Arial" w:eastAsia="Calibri" w:hAnsi="Arial" w:cs="Arial"/>
          <w:bCs/>
        </w:rPr>
        <w:t>C-164 del 22 de marzo de 2022</w:t>
      </w:r>
      <w:r w:rsidR="0026079C">
        <w:rPr>
          <w:rFonts w:ascii="Arial" w:eastAsia="Calibri" w:hAnsi="Arial" w:cs="Arial"/>
          <w:bCs/>
        </w:rPr>
        <w:t xml:space="preserve"> y C</w:t>
      </w:r>
      <w:r w:rsidR="00915FF6">
        <w:rPr>
          <w:rFonts w:ascii="Arial" w:eastAsia="Calibri" w:hAnsi="Arial" w:cs="Arial"/>
          <w:bCs/>
        </w:rPr>
        <w:t>-172 del 6 de abril de 2022</w:t>
      </w:r>
      <w:r w:rsidR="007C773C" w:rsidRPr="006D7E12">
        <w:rPr>
          <w:rFonts w:ascii="Arial" w:eastAsia="Calibri" w:hAnsi="Arial" w:cs="Arial"/>
          <w:bCs/>
        </w:rPr>
        <w:t xml:space="preserve">. </w:t>
      </w:r>
      <w:r w:rsidRPr="006D7E12">
        <w:rPr>
          <w:rFonts w:ascii="Arial" w:eastAsia="Calibri" w:hAnsi="Arial" w:cs="Arial"/>
          <w:bCs/>
        </w:rPr>
        <w:t>La tesis desarrollada en estos conceptos se reitera y complementa a continuación:</w:t>
      </w:r>
    </w:p>
    <w:bookmarkEnd w:id="12"/>
    <w:p w14:paraId="0A16D86B"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
          <w:bCs/>
        </w:rPr>
      </w:pPr>
    </w:p>
    <w:p w14:paraId="29793852" w14:textId="77777777" w:rsidR="00883C23" w:rsidRPr="006D7E12" w:rsidRDefault="00883C23" w:rsidP="00883C23">
      <w:pPr>
        <w:tabs>
          <w:tab w:val="left" w:pos="426"/>
        </w:tabs>
        <w:spacing w:after="0" w:line="276" w:lineRule="auto"/>
        <w:contextualSpacing/>
        <w:jc w:val="both"/>
        <w:rPr>
          <w:rFonts w:ascii="Arial" w:eastAsia="Calibri" w:hAnsi="Arial" w:cs="Arial"/>
          <w:b/>
          <w:bCs/>
        </w:rPr>
      </w:pPr>
      <w:r w:rsidRPr="006D7E12">
        <w:rPr>
          <w:rFonts w:ascii="Arial" w:eastAsia="Calibri" w:hAnsi="Arial" w:cs="Arial"/>
          <w:b/>
          <w:bCs/>
        </w:rPr>
        <w:t>2.1. Definición y finalidad de la Ley de Garantías Electorales: alcance de las restricciones</w:t>
      </w:r>
    </w:p>
    <w:p w14:paraId="2A726527"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Cs/>
        </w:rPr>
      </w:pPr>
    </w:p>
    <w:p w14:paraId="019F47F6" w14:textId="5528384D" w:rsidR="00883C23" w:rsidRPr="006D7E12" w:rsidRDefault="00883C23" w:rsidP="00883C23">
      <w:pPr>
        <w:tabs>
          <w:tab w:val="left" w:pos="426"/>
        </w:tabs>
        <w:spacing w:after="120" w:line="276" w:lineRule="auto"/>
        <w:jc w:val="both"/>
        <w:rPr>
          <w:rFonts w:ascii="Arial" w:eastAsia="Times New Roman" w:hAnsi="Arial" w:cs="Arial"/>
          <w:bCs/>
          <w:lang w:eastAsia="es-CO"/>
        </w:rPr>
      </w:pPr>
      <w:r w:rsidRPr="006D7E12">
        <w:rPr>
          <w:rFonts w:ascii="Arial" w:eastAsia="Calibri" w:hAnsi="Arial" w:cs="Arial"/>
          <w:bCs/>
        </w:rPr>
        <w:t>El ordenamiento jurídico colombiano contempla previsiones claras para evitar la obtención de beneficios personales en asuntos propios de la administración pública</w:t>
      </w:r>
      <w:r w:rsidRPr="006D7E12">
        <w:rPr>
          <w:rFonts w:ascii="Arial" w:eastAsia="Calibri" w:hAnsi="Arial" w:cs="Arial"/>
          <w:bCs/>
          <w:i/>
          <w:iCs/>
        </w:rPr>
        <w:t xml:space="preserve">. </w:t>
      </w:r>
      <w:r w:rsidRPr="006D7E12">
        <w:rPr>
          <w:rFonts w:ascii="Arial" w:eastAsia="Calibri" w:hAnsi="Arial" w:cs="Arial"/>
          <w:bCs/>
        </w:rPr>
        <w:t xml:space="preserve">Por ejemplo, el artículo 127 de la Constitución Política establece una prohibición contractual a los servidores públicos y en cuanto a aspectos políticos </w:t>
      </w:r>
      <w:r w:rsidR="004916F0" w:rsidRPr="006D7E12">
        <w:rPr>
          <w:rFonts w:ascii="Arial" w:eastAsia="Calibri" w:hAnsi="Arial" w:cs="Arial"/>
          <w:bCs/>
        </w:rPr>
        <w:t>consagra</w:t>
      </w:r>
      <w:r w:rsidRPr="006D7E12">
        <w:rPr>
          <w:rFonts w:ascii="Arial" w:eastAsia="Calibri" w:hAnsi="Arial" w:cs="Arial"/>
          <w:bCs/>
        </w:rPr>
        <w:t xml:space="preserve"> restricciones a ciertos empleados del Estado, incluso en época no electoral</w:t>
      </w:r>
      <w:r w:rsidRPr="006D7E12">
        <w:rPr>
          <w:rFonts w:ascii="Arial" w:eastAsia="Calibri" w:hAnsi="Arial" w:cs="Arial"/>
          <w:bCs/>
          <w:vertAlign w:val="superscript"/>
        </w:rPr>
        <w:footnoteReference w:id="1"/>
      </w:r>
      <w:r w:rsidRPr="006D7E12">
        <w:rPr>
          <w:rFonts w:ascii="Arial" w:eastAsia="Calibri" w:hAnsi="Arial" w:cs="Arial"/>
          <w:bCs/>
        </w:rPr>
        <w:t xml:space="preserve">. </w:t>
      </w:r>
    </w:p>
    <w:p w14:paraId="56986416" w14:textId="77777777" w:rsidR="00883C23" w:rsidRPr="006D7E12" w:rsidRDefault="00883C23" w:rsidP="00883C23">
      <w:pPr>
        <w:tabs>
          <w:tab w:val="left" w:pos="426"/>
        </w:tabs>
        <w:spacing w:after="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En el mismo sentido</w:t>
      </w:r>
      <w:r w:rsidRPr="006D7E12">
        <w:rPr>
          <w:rFonts w:ascii="Arial" w:eastAsia="Times New Roman" w:hAnsi="Arial" w:cs="Arial"/>
          <w:bCs/>
          <w:lang w:val="es-MX" w:eastAsia="es-CO"/>
        </w:rPr>
        <w:t xml:space="preserve">, </w:t>
      </w:r>
      <w:bookmarkStart w:id="14" w:name="_Hlk99576829"/>
      <w:r w:rsidRPr="006D7E12">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D7E12">
        <w:rPr>
          <w:rFonts w:ascii="Arial" w:eastAsia="Times New Roman" w:hAnsi="Arial" w:cs="Arial"/>
          <w:bCs/>
          <w:vertAlign w:val="superscript"/>
          <w:lang w:val="es-MX" w:eastAsia="es-CO"/>
        </w:rPr>
        <w:footnoteReference w:id="2"/>
      </w:r>
      <w:r w:rsidRPr="006D7E12">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6D7E12">
        <w:rPr>
          <w:rFonts w:ascii="Arial" w:eastAsia="Calibri" w:hAnsi="Arial" w:cs="Arial"/>
          <w:noProof/>
          <w:lang w:val="es-ES_tradnl"/>
        </w:rPr>
        <w:t xml:space="preserve"> </w:t>
      </w:r>
      <w:bookmarkEnd w:id="14"/>
      <w:r w:rsidRPr="006D7E12">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F4470EB" w14:textId="77777777" w:rsidR="00883C23" w:rsidRPr="006D7E12" w:rsidRDefault="00883C23" w:rsidP="00FF661D">
      <w:pPr>
        <w:spacing w:after="0" w:line="276" w:lineRule="auto"/>
        <w:ind w:right="709"/>
        <w:contextualSpacing/>
        <w:jc w:val="both"/>
        <w:rPr>
          <w:rFonts w:ascii="Arial" w:eastAsia="Times New Roman" w:hAnsi="Arial" w:cs="Arial"/>
          <w:sz w:val="21"/>
          <w:szCs w:val="21"/>
          <w:lang w:val="es-ES" w:eastAsia="es-CO"/>
        </w:rPr>
      </w:pPr>
    </w:p>
    <w:p w14:paraId="692F06F5" w14:textId="6E7BB27D" w:rsidR="00FF661D" w:rsidRPr="006D7E12" w:rsidRDefault="00883C2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sz w:val="21"/>
          <w:szCs w:val="21"/>
          <w:lang w:val="es-ES" w:eastAsia="es-CO"/>
        </w:rPr>
        <w:t xml:space="preserve">[…] </w:t>
      </w:r>
      <w:r w:rsidRPr="006D7E12">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E720956" w14:textId="22DF3CDF"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 </w:t>
      </w:r>
    </w:p>
    <w:p w14:paraId="23912079" w14:textId="77777777" w:rsidR="00FF661D" w:rsidRPr="006D7E12" w:rsidRDefault="00FF661D" w:rsidP="00BE1101">
      <w:pPr>
        <w:spacing w:after="0" w:line="240" w:lineRule="auto"/>
        <w:ind w:right="709"/>
        <w:contextualSpacing/>
        <w:jc w:val="both"/>
        <w:rPr>
          <w:rFonts w:ascii="Arial" w:eastAsia="Times New Roman" w:hAnsi="Arial" w:cs="Arial"/>
          <w:bCs/>
          <w:sz w:val="21"/>
          <w:szCs w:val="21"/>
          <w:lang w:val="es-MX" w:eastAsia="es-CO"/>
        </w:rPr>
      </w:pPr>
    </w:p>
    <w:p w14:paraId="07DD05FB" w14:textId="4C2ADDF0"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lastRenderedPageBreak/>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D7E12">
        <w:rPr>
          <w:rFonts w:ascii="Arial" w:eastAsia="Calibri" w:hAnsi="Arial" w:cs="Arial"/>
          <w:sz w:val="20"/>
          <w:szCs w:val="20"/>
          <w:vertAlign w:val="superscript"/>
          <w:lang w:val="es-MX"/>
        </w:rPr>
        <w:footnoteReference w:id="3"/>
      </w:r>
    </w:p>
    <w:p w14:paraId="453B2A93" w14:textId="77777777" w:rsidR="00883C23" w:rsidRPr="006D7E12" w:rsidRDefault="00883C23" w:rsidP="00FF661D">
      <w:pPr>
        <w:spacing w:after="0" w:line="276" w:lineRule="auto"/>
        <w:ind w:left="709" w:right="709"/>
        <w:contextualSpacing/>
        <w:jc w:val="both"/>
        <w:rPr>
          <w:rFonts w:ascii="Arial" w:eastAsia="Times New Roman" w:hAnsi="Arial" w:cs="Arial"/>
          <w:bCs/>
          <w:sz w:val="21"/>
          <w:szCs w:val="21"/>
          <w:lang w:val="es-MX" w:eastAsia="es-CO"/>
        </w:rPr>
      </w:pPr>
    </w:p>
    <w:p w14:paraId="09DD32AE" w14:textId="1A7B6457" w:rsidR="00883C23" w:rsidRPr="006D7E12" w:rsidRDefault="00883C23" w:rsidP="00883C23">
      <w:pPr>
        <w:spacing w:after="0" w:line="276" w:lineRule="auto"/>
        <w:ind w:firstLine="709"/>
        <w:jc w:val="both"/>
        <w:rPr>
          <w:rFonts w:ascii="Arial" w:eastAsia="Times New Roman" w:hAnsi="Arial" w:cs="Arial"/>
          <w:bCs/>
          <w:lang w:val="es-MX" w:eastAsia="es-CO"/>
        </w:rPr>
      </w:pPr>
      <w:bookmarkStart w:id="15" w:name="_Hlk78818186"/>
      <w:r w:rsidRPr="006D7E12">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5"/>
      <w:r w:rsidRPr="006D7E12">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w:t>
      </w:r>
      <w:r w:rsidR="00C0768B" w:rsidRPr="006D7E12">
        <w:rPr>
          <w:rFonts w:ascii="Arial" w:eastAsia="Times New Roman" w:hAnsi="Arial" w:cs="Arial"/>
          <w:bCs/>
          <w:lang w:val="es-MX" w:eastAsia="es-CO"/>
        </w:rPr>
        <w:t xml:space="preserve">, </w:t>
      </w:r>
      <w:r w:rsidRPr="006D7E12">
        <w:rPr>
          <w:rFonts w:ascii="Arial" w:eastAsia="Times New Roman" w:hAnsi="Arial" w:cs="Arial"/>
          <w:bCs/>
          <w:lang w:val="es-MX" w:eastAsia="es-CO"/>
        </w:rPr>
        <w:t>precisó lo siguiente:</w:t>
      </w:r>
    </w:p>
    <w:p w14:paraId="05EDF88F" w14:textId="77777777" w:rsidR="00883C23" w:rsidRPr="006D7E12" w:rsidRDefault="00883C23" w:rsidP="00AC7ED9">
      <w:pPr>
        <w:spacing w:after="0" w:line="276" w:lineRule="auto"/>
        <w:ind w:firstLine="709"/>
        <w:contextualSpacing/>
        <w:jc w:val="both"/>
        <w:rPr>
          <w:rFonts w:ascii="Arial" w:eastAsia="Times New Roman" w:hAnsi="Arial" w:cs="Arial"/>
          <w:bCs/>
          <w:lang w:val="es-MX" w:eastAsia="es-CO"/>
        </w:rPr>
      </w:pPr>
    </w:p>
    <w:p w14:paraId="15653408" w14:textId="77777777"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D7E12">
        <w:rPr>
          <w:rFonts w:ascii="Arial" w:eastAsia="Times New Roman" w:hAnsi="Arial" w:cs="Arial"/>
          <w:bCs/>
          <w:sz w:val="21"/>
          <w:szCs w:val="21"/>
          <w:lang w:val="es-MX" w:eastAsia="es-CO"/>
        </w:rPr>
        <w:t>legis</w:t>
      </w:r>
      <w:proofErr w:type="spellEnd"/>
      <w:r w:rsidRPr="006D7E12">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C1990E" w14:textId="77777777" w:rsidR="00AC7ED9" w:rsidRPr="006D7E12" w:rsidRDefault="00AC7ED9" w:rsidP="00AC7ED9">
      <w:pPr>
        <w:spacing w:after="0" w:line="240" w:lineRule="auto"/>
        <w:ind w:left="709" w:right="709"/>
        <w:contextualSpacing/>
        <w:jc w:val="both"/>
        <w:rPr>
          <w:rFonts w:ascii="Arial" w:eastAsia="Times New Roman" w:hAnsi="Arial" w:cs="Arial"/>
          <w:bCs/>
          <w:sz w:val="21"/>
          <w:szCs w:val="21"/>
          <w:lang w:val="es-MX" w:eastAsia="es-CO"/>
        </w:rPr>
      </w:pPr>
    </w:p>
    <w:p w14:paraId="6689E594" w14:textId="47070E6F"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La jurisprudencia de la Corte Constitucional</w:t>
      </w:r>
      <w:r w:rsidRPr="006D7E12">
        <w:rPr>
          <w:rFonts w:ascii="Arial" w:eastAsia="Times New Roman" w:hAnsi="Arial" w:cs="Arial"/>
          <w:bCs/>
          <w:sz w:val="21"/>
          <w:szCs w:val="21"/>
          <w:vertAlign w:val="superscript"/>
          <w:lang w:val="es-MX" w:eastAsia="es-CO"/>
        </w:rPr>
        <w:footnoteReference w:id="4"/>
      </w:r>
      <w:r w:rsidRPr="006D7E12">
        <w:rPr>
          <w:rFonts w:ascii="Arial" w:eastAsia="Times New Roman" w:hAnsi="Arial" w:cs="Arial"/>
          <w:bCs/>
          <w:sz w:val="21"/>
          <w:szCs w:val="21"/>
          <w:lang w:val="es-MX" w:eastAsia="es-CO"/>
        </w:rPr>
        <w:t> y del Consejo de Estado</w:t>
      </w:r>
      <w:r w:rsidRPr="006D7E12">
        <w:rPr>
          <w:rFonts w:ascii="Arial" w:eastAsia="Times New Roman" w:hAnsi="Arial" w:cs="Arial"/>
          <w:bCs/>
          <w:sz w:val="21"/>
          <w:szCs w:val="21"/>
          <w:vertAlign w:val="superscript"/>
          <w:lang w:val="es-MX" w:eastAsia="es-CO"/>
        </w:rPr>
        <w:footnoteReference w:id="5"/>
      </w:r>
      <w:r w:rsidRPr="006D7E12">
        <w:rPr>
          <w:rFonts w:ascii="Arial" w:eastAsia="Times New Roman"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w:t>
      </w:r>
      <w:r w:rsidRPr="006D7E12">
        <w:rPr>
          <w:rFonts w:ascii="Arial" w:eastAsia="Times New Roman" w:hAnsi="Arial" w:cs="Arial"/>
          <w:bCs/>
          <w:sz w:val="21"/>
          <w:szCs w:val="21"/>
          <w:lang w:val="es-MX" w:eastAsia="es-CO"/>
        </w:rPr>
        <w:lastRenderedPageBreak/>
        <w:t>libertad de actuar o capacidad de obrar, sobrepasar sus precisos términos comporta el desconocimiento de la voluntad del legislador</w:t>
      </w:r>
      <w:r w:rsidRPr="006D7E12">
        <w:rPr>
          <w:rFonts w:ascii="Arial" w:eastAsia="Times New Roman" w:hAnsi="Arial" w:cs="Arial"/>
          <w:bCs/>
          <w:vertAlign w:val="superscript"/>
          <w:lang w:val="es-MX" w:eastAsia="es-CO"/>
        </w:rPr>
        <w:footnoteReference w:id="6"/>
      </w:r>
      <w:r w:rsidRPr="006D7E12">
        <w:rPr>
          <w:rFonts w:ascii="Arial" w:eastAsia="Times New Roman" w:hAnsi="Arial" w:cs="Arial"/>
          <w:bCs/>
          <w:sz w:val="21"/>
          <w:szCs w:val="21"/>
          <w:lang w:val="es-MX" w:eastAsia="es-CO"/>
        </w:rPr>
        <w:t>.</w:t>
      </w:r>
    </w:p>
    <w:p w14:paraId="53395454" w14:textId="77777777" w:rsidR="00883C23" w:rsidRPr="006D7E12" w:rsidRDefault="00883C23" w:rsidP="00AC7ED9">
      <w:pPr>
        <w:spacing w:after="0" w:line="276" w:lineRule="auto"/>
        <w:ind w:right="709"/>
        <w:contextualSpacing/>
        <w:jc w:val="both"/>
        <w:rPr>
          <w:rFonts w:ascii="Arial" w:eastAsia="Times New Roman" w:hAnsi="Arial" w:cs="Arial"/>
          <w:bCs/>
          <w:sz w:val="21"/>
          <w:szCs w:val="21"/>
          <w:lang w:val="es-MX" w:eastAsia="es-CO"/>
        </w:rPr>
      </w:pPr>
    </w:p>
    <w:p w14:paraId="5964F421" w14:textId="4937F5BE" w:rsidR="00883C23" w:rsidRPr="006D7E12" w:rsidRDefault="00883C23" w:rsidP="00883C23">
      <w:pPr>
        <w:spacing w:after="120" w:line="276" w:lineRule="auto"/>
        <w:jc w:val="both"/>
        <w:rPr>
          <w:rFonts w:ascii="Arial" w:eastAsia="Arial" w:hAnsi="Arial" w:cs="Arial"/>
          <w:lang w:val="es-ES" w:eastAsia="es-ES" w:bidi="es-ES"/>
        </w:rPr>
      </w:pPr>
      <w:r w:rsidRPr="006D7E12">
        <w:rPr>
          <w:rFonts w:ascii="Arial" w:eastAsia="Times New Roman" w:hAnsi="Arial" w:cs="Arial"/>
          <w:bCs/>
          <w:lang w:val="es-MX" w:eastAsia="es-CO"/>
        </w:rPr>
        <w:tab/>
        <w:t>De</w:t>
      </w:r>
      <w:r w:rsidRPr="006D7E12">
        <w:rPr>
          <w:rFonts w:ascii="Arial" w:eastAsia="Arial" w:hAnsi="Arial" w:cs="Arial"/>
          <w:lang w:val="es-ES" w:eastAsia="es-ES" w:bidi="es-ES"/>
        </w:rPr>
        <w:t xml:space="preserve"> conformidad con lo anterior, </w:t>
      </w:r>
      <w:bookmarkStart w:id="16" w:name="_Hlk77236098"/>
      <w:bookmarkStart w:id="17" w:name="_Hlk100679383"/>
      <w:r w:rsidRPr="006D7E12">
        <w:rPr>
          <w:rFonts w:ascii="Arial" w:eastAsia="Arial" w:hAnsi="Arial" w:cs="Arial"/>
          <w:lang w:val="es-ES" w:eastAsia="es-ES" w:bidi="es-ES"/>
        </w:rPr>
        <w:t xml:space="preserve">la Ley de Garantías Electorales fijó una serie de regulaciones y prohibiciones dirigidas a los servidores públicos. </w:t>
      </w:r>
      <w:r w:rsidR="00244B1C" w:rsidRPr="006D7E12">
        <w:rPr>
          <w:rFonts w:ascii="Arial" w:eastAsia="Arial" w:hAnsi="Arial" w:cs="Arial"/>
          <w:lang w:val="es-ES" w:eastAsia="es-ES" w:bidi="es-ES"/>
        </w:rPr>
        <w:t>C</w:t>
      </w:r>
      <w:r w:rsidRPr="006D7E12">
        <w:rPr>
          <w:rFonts w:ascii="Arial" w:eastAsia="Arial" w:hAnsi="Arial" w:cs="Arial"/>
          <w:lang w:val="es-ES" w:eastAsia="es-ES" w:bidi="es-ES"/>
        </w:rPr>
        <w:t>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6"/>
    </w:p>
    <w:p w14:paraId="10F6791F" w14:textId="77777777" w:rsidR="00883C23" w:rsidRPr="006D7E12" w:rsidRDefault="00883C23" w:rsidP="00883C23">
      <w:pPr>
        <w:spacing w:after="120" w:line="276" w:lineRule="auto"/>
        <w:ind w:firstLine="708"/>
        <w:jc w:val="both"/>
        <w:rPr>
          <w:rFonts w:ascii="Arial" w:eastAsia="Calibri" w:hAnsi="Arial" w:cs="Arial"/>
        </w:rPr>
      </w:pPr>
      <w:r w:rsidRPr="006D7E12">
        <w:rPr>
          <w:rFonts w:ascii="Arial" w:eastAsia="Calibri" w:hAnsi="Arial" w:cs="Arial"/>
        </w:rPr>
        <w:t xml:space="preserve">Por un lado, el artículo 33 de la Ley 996 de 2005 prohíbe </w:t>
      </w:r>
      <w:r w:rsidRPr="006D7E12">
        <w:rPr>
          <w:rFonts w:ascii="Arial" w:eastAsia="Calibri" w:hAnsi="Arial" w:cs="Arial"/>
          <w:bCs/>
        </w:rPr>
        <w:t xml:space="preserve">«[…] </w:t>
      </w:r>
      <w:r w:rsidRPr="006D7E12">
        <w:rPr>
          <w:rFonts w:ascii="Arial" w:eastAsia="Calibri" w:hAnsi="Arial" w:cs="Arial"/>
        </w:rPr>
        <w:t>la contratación directa por parte de todos los entes del Estado</w:t>
      </w:r>
      <w:r w:rsidRPr="006D7E12">
        <w:rPr>
          <w:rFonts w:ascii="Arial" w:eastAsia="Calibri" w:hAnsi="Arial" w:cs="Arial"/>
          <w:bCs/>
        </w:rPr>
        <w:t>»</w:t>
      </w:r>
      <w:r w:rsidRPr="006D7E12">
        <w:rPr>
          <w:rFonts w:ascii="Arial" w:eastAsia="Calibri" w:hAnsi="Arial" w:cs="Arial"/>
        </w:rPr>
        <w:t xml:space="preserve"> durante los cuatro (4) meses anteriores a las elecciones presidenciales, salvo </w:t>
      </w:r>
      <w:r w:rsidRPr="006D7E12">
        <w:rPr>
          <w:rFonts w:ascii="Arial" w:eastAsia="Calibri" w:hAnsi="Arial" w:cs="Arial"/>
          <w:bCs/>
        </w:rPr>
        <w:t xml:space="preserve">«[…] </w:t>
      </w:r>
      <w:r w:rsidRPr="006D7E12">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D7E12">
        <w:rPr>
          <w:rFonts w:ascii="Arial" w:eastAsia="Calibri" w:hAnsi="Arial" w:cs="Arial"/>
          <w:bCs/>
        </w:rPr>
        <w:t>»</w:t>
      </w:r>
      <w:r w:rsidRPr="006D7E12">
        <w:rPr>
          <w:rFonts w:ascii="Arial" w:eastAsia="Calibri" w:hAnsi="Arial" w:cs="Arial"/>
          <w:bCs/>
          <w:vertAlign w:val="superscript"/>
        </w:rPr>
        <w:footnoteReference w:id="7"/>
      </w:r>
      <w:r w:rsidRPr="006D7E12">
        <w:rPr>
          <w:rFonts w:ascii="Arial" w:eastAsia="Calibri" w:hAnsi="Arial" w:cs="Arial"/>
        </w:rPr>
        <w:t>.</w:t>
      </w:r>
    </w:p>
    <w:p w14:paraId="5A9159A6" w14:textId="77777777" w:rsidR="00883C23" w:rsidRPr="006D7E12" w:rsidRDefault="00883C23" w:rsidP="00FF2BA2">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6D7E12">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D7E12">
        <w:rPr>
          <w:rFonts w:ascii="Arial" w:eastAsia="Calibri" w:hAnsi="Arial" w:cs="Arial"/>
          <w:bCs/>
        </w:rPr>
        <w:t xml:space="preserve">«[…] </w:t>
      </w:r>
      <w:r w:rsidRPr="006D7E1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D7E12">
        <w:rPr>
          <w:rFonts w:ascii="Arial" w:eastAsia="Calibri" w:hAnsi="Arial" w:cs="Arial"/>
          <w:bCs/>
          <w:sz w:val="19"/>
          <w:szCs w:val="19"/>
        </w:rPr>
        <w:t>»</w:t>
      </w:r>
      <w:bookmarkEnd w:id="17"/>
      <w:r w:rsidRPr="006D7E12">
        <w:rPr>
          <w:rFonts w:ascii="Arial" w:eastAsia="Calibri" w:hAnsi="Arial" w:cs="Arial"/>
          <w:bCs/>
          <w:sz w:val="19"/>
          <w:szCs w:val="19"/>
          <w:vertAlign w:val="superscript"/>
        </w:rPr>
        <w:footnoteReference w:id="8"/>
      </w:r>
      <w:r w:rsidRPr="006D7E12">
        <w:rPr>
          <w:rFonts w:ascii="Arial" w:eastAsia="Calibri" w:hAnsi="Arial" w:cs="Arial"/>
          <w:lang w:val="es-MX"/>
        </w:rPr>
        <w:t>.</w:t>
      </w:r>
      <w:r w:rsidRPr="006D7E12">
        <w:rPr>
          <w:rFonts w:ascii="Arial" w:eastAsia="Arial" w:hAnsi="Arial" w:cs="Arial"/>
          <w:lang w:val="es-ES" w:eastAsia="es-ES" w:bidi="es-ES"/>
        </w:rPr>
        <w:t xml:space="preserve"> La Sala de Consulta y Servicio Civil del Consejo de Estado ha aclarado la </w:t>
      </w:r>
      <w:r w:rsidRPr="006D7E12">
        <w:rPr>
          <w:rFonts w:ascii="Arial" w:eastAsia="Arial" w:hAnsi="Arial" w:cs="Arial"/>
          <w:lang w:val="es-ES" w:eastAsia="es-ES" w:bidi="es-ES"/>
        </w:rPr>
        <w:lastRenderedPageBreak/>
        <w:t>distinción en la aplicación de las prohibiciones de la Ley 996 de 2005, dependiendo del tipo de elección que se trate. Al respecto, considera que:</w:t>
      </w:r>
    </w:p>
    <w:p w14:paraId="152928C6" w14:textId="77777777" w:rsidR="00883C23" w:rsidRPr="006D7E12" w:rsidRDefault="00883C23" w:rsidP="00FF2BA2">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670DE3E2" w14:textId="77777777" w:rsidR="00883C23" w:rsidRPr="006D7E12" w:rsidRDefault="00883C23" w:rsidP="00FF2BA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6D7E12">
        <w:rPr>
          <w:rFonts w:ascii="Arial" w:eastAsia="Arial" w:hAnsi="Arial" w:cs="Arial"/>
          <w:sz w:val="21"/>
          <w:szCs w:val="21"/>
          <w:lang w:val="es-ES" w:eastAsia="es-ES" w:bidi="es-ES"/>
        </w:rPr>
        <w:t>se integran parcialmente</w:t>
      </w:r>
      <w:bookmarkEnd w:id="20"/>
      <w:r w:rsidRPr="006D7E1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D7E1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6D7E12">
        <w:rPr>
          <w:rFonts w:ascii="Arial" w:eastAsia="Arial" w:hAnsi="Arial" w:cs="Arial"/>
          <w:sz w:val="21"/>
          <w:szCs w:val="21"/>
          <w:lang w:val="es-ES" w:eastAsia="es-ES" w:bidi="es-ES"/>
        </w:rPr>
        <w:t>.</w:t>
      </w:r>
      <w:r w:rsidRPr="006D7E12">
        <w:rPr>
          <w:rFonts w:ascii="Arial" w:eastAsia="Arial" w:hAnsi="Arial" w:cs="Arial"/>
          <w:sz w:val="21"/>
          <w:szCs w:val="21"/>
          <w:vertAlign w:val="superscript"/>
          <w:lang w:val="es-ES" w:eastAsia="es-ES" w:bidi="es-ES"/>
        </w:rPr>
        <w:footnoteReference w:id="9"/>
      </w:r>
    </w:p>
    <w:p w14:paraId="1AEC3889" w14:textId="77777777" w:rsidR="00883C23" w:rsidRPr="006D7E12" w:rsidRDefault="00883C23" w:rsidP="00FF2BA2">
      <w:pPr>
        <w:widowControl w:val="0"/>
        <w:autoSpaceDE w:val="0"/>
        <w:autoSpaceDN w:val="0"/>
        <w:spacing w:after="0" w:line="276" w:lineRule="auto"/>
        <w:contextualSpacing/>
        <w:rPr>
          <w:rFonts w:ascii="Arial" w:eastAsia="Arial" w:hAnsi="Arial" w:cs="Arial"/>
          <w:lang w:val="es-ES" w:eastAsia="es-ES" w:bidi="es-ES"/>
        </w:rPr>
      </w:pPr>
    </w:p>
    <w:p w14:paraId="734194AB"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De conformidad con lo anterior, </w:t>
      </w:r>
      <w:bookmarkStart w:id="21" w:name="_Hlk77236420"/>
      <w:bookmarkStart w:id="22" w:name="_Hlk78818435"/>
      <w:bookmarkStart w:id="23" w:name="_Hlk75780333"/>
      <w:r w:rsidRPr="006D7E12">
        <w:rPr>
          <w:rFonts w:ascii="Arial" w:eastAsia="Arial" w:hAnsi="Arial" w:cs="Arial"/>
          <w:lang w:val="es-ES" w:eastAsia="es-ES" w:bidi="es-ES"/>
        </w:rPr>
        <w:t xml:space="preserve">la Ley 996 de 2005 establece dos (2) tipos de restricciones en materia de contratación, las cuales coinciden parcialmente. </w:t>
      </w:r>
      <w:r w:rsidRPr="006D7E12">
        <w:rPr>
          <w:rFonts w:ascii="Arial" w:eastAsia="Arial" w:hAnsi="Arial" w:cs="Arial"/>
          <w:i/>
          <w:iCs/>
          <w:lang w:val="es-ES" w:eastAsia="es-ES" w:bidi="es-ES"/>
        </w:rPr>
        <w:t>En primer lugar</w:t>
      </w:r>
      <w:r w:rsidRPr="006D7E1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7E12">
        <w:rPr>
          <w:rFonts w:ascii="Arial" w:eastAsia="Arial" w:hAnsi="Arial" w:cs="Arial"/>
          <w:i/>
          <w:iCs/>
          <w:lang w:val="es-ES" w:eastAsia="es-ES" w:bidi="es-ES"/>
        </w:rPr>
        <w:t>En segundo lugar</w:t>
      </w:r>
      <w:r w:rsidRPr="006D7E1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1"/>
    </w:p>
    <w:bookmarkEnd w:id="22"/>
    <w:p w14:paraId="35F1471A"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Ambas restricciones no son excluyentes, lo que permite concluir que en el período preelectoral para elección de Presidente de la República, a todos los entes del Estado, </w:t>
      </w:r>
      <w:r w:rsidRPr="006D7E12">
        <w:rPr>
          <w:rFonts w:ascii="Arial" w:eastAsia="Arial" w:hAnsi="Arial" w:cs="Arial"/>
          <w:lang w:val="es-ES" w:eastAsia="es-ES" w:bidi="es-ES"/>
        </w:rPr>
        <w:lastRenderedPageBreak/>
        <w:t>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3"/>
    <w:p w14:paraId="04418857" w14:textId="77777777" w:rsidR="00883C23" w:rsidRPr="006D7E12" w:rsidRDefault="00883C23" w:rsidP="00883C23">
      <w:pPr>
        <w:spacing w:after="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118278D" w14:textId="77777777" w:rsidR="00883C23" w:rsidRPr="006D7E12" w:rsidRDefault="00883C23" w:rsidP="00883C23">
      <w:pPr>
        <w:spacing w:after="0" w:line="276" w:lineRule="auto"/>
        <w:contextualSpacing/>
        <w:jc w:val="both"/>
        <w:rPr>
          <w:rFonts w:ascii="Arial" w:eastAsia="Times New Roman" w:hAnsi="Arial" w:cs="Arial"/>
          <w:bCs/>
          <w:lang w:val="es-ES" w:eastAsia="es-CO"/>
        </w:rPr>
      </w:pPr>
    </w:p>
    <w:p w14:paraId="6CC873B5" w14:textId="77777777" w:rsidR="00C83CBC" w:rsidRPr="006D7E12" w:rsidRDefault="00883C23" w:rsidP="00C83CBC">
      <w:pPr>
        <w:spacing w:after="0" w:line="276" w:lineRule="auto"/>
        <w:contextualSpacing/>
        <w:jc w:val="both"/>
        <w:rPr>
          <w:rFonts w:ascii="Arial" w:eastAsia="Times New Roman" w:hAnsi="Arial" w:cs="Arial"/>
          <w:b/>
          <w:lang w:val="es-ES" w:eastAsia="es-CO"/>
        </w:rPr>
      </w:pPr>
      <w:r w:rsidRPr="006D7E12">
        <w:rPr>
          <w:rFonts w:ascii="Arial" w:eastAsia="Times New Roman" w:hAnsi="Arial" w:cs="Arial"/>
          <w:b/>
          <w:lang w:val="es-ES" w:eastAsia="es-CO"/>
        </w:rPr>
        <w:t xml:space="preserve">2.2. </w:t>
      </w:r>
      <w:r w:rsidRPr="006D7E12">
        <w:rPr>
          <w:rFonts w:ascii="Arial" w:eastAsia="Times New Roman" w:hAnsi="Arial" w:cs="Arial"/>
          <w:b/>
          <w:bCs/>
          <w:lang w:val="es-MX" w:eastAsia="es-CO"/>
        </w:rPr>
        <w:t>Restricciones en elecciones presidenciales</w:t>
      </w:r>
      <w:r w:rsidR="00C83CBC" w:rsidRPr="006D7E12">
        <w:rPr>
          <w:rFonts w:ascii="Arial" w:eastAsia="Times New Roman" w:hAnsi="Arial" w:cs="Arial"/>
          <w:b/>
          <w:bCs/>
          <w:lang w:val="es-MX" w:eastAsia="es-CO"/>
        </w:rPr>
        <w:t>: prohibición del artículo 33 de la Ley 996 de 2005</w:t>
      </w:r>
    </w:p>
    <w:p w14:paraId="2FE8D1C1" w14:textId="77777777" w:rsidR="00883C23" w:rsidRPr="006D7E12" w:rsidRDefault="00883C23" w:rsidP="00883C23">
      <w:pPr>
        <w:spacing w:after="0" w:line="276" w:lineRule="auto"/>
        <w:contextualSpacing/>
        <w:jc w:val="both"/>
        <w:rPr>
          <w:rFonts w:ascii="Arial" w:eastAsia="Times New Roman" w:hAnsi="Arial" w:cs="Arial"/>
          <w:bCs/>
          <w:lang w:val="es-MX" w:eastAsia="x-none"/>
        </w:rPr>
      </w:pPr>
    </w:p>
    <w:p w14:paraId="11C3B3DB" w14:textId="245EE56F" w:rsidR="00883C23" w:rsidRPr="006D7E12" w:rsidRDefault="00883C23" w:rsidP="00497B71">
      <w:pPr>
        <w:spacing w:after="0" w:line="276" w:lineRule="auto"/>
        <w:contextualSpacing/>
        <w:jc w:val="both"/>
        <w:rPr>
          <w:rFonts w:ascii="Arial" w:eastAsia="Times New Roman" w:hAnsi="Arial" w:cs="Arial"/>
          <w:bCs/>
          <w:lang w:val="es-MX" w:eastAsia="es-CO"/>
        </w:rPr>
      </w:pPr>
      <w:r w:rsidRPr="006D7E12">
        <w:rPr>
          <w:rFonts w:ascii="Arial" w:eastAsia="Times New Roman" w:hAnsi="Arial" w:cs="Arial"/>
          <w:bCs/>
          <w:lang w:val="es-MX" w:eastAsia="x-none"/>
        </w:rPr>
        <w:t xml:space="preserve">El ámbito material de la prohibición contenida </w:t>
      </w:r>
      <w:bookmarkStart w:id="24" w:name="_Hlk75628761"/>
      <w:r w:rsidRPr="006D7E12">
        <w:rPr>
          <w:rFonts w:ascii="Arial" w:eastAsia="Times New Roman" w:hAnsi="Arial" w:cs="Arial"/>
          <w:bCs/>
          <w:lang w:val="es-MX" w:eastAsia="x-none"/>
        </w:rPr>
        <w:t xml:space="preserve">en el artículo 33 de la </w:t>
      </w:r>
      <w:r w:rsidR="00F05D7E" w:rsidRPr="006D7E12">
        <w:rPr>
          <w:rFonts w:ascii="Arial" w:eastAsia="Times New Roman" w:hAnsi="Arial" w:cs="Arial"/>
          <w:bCs/>
          <w:lang w:val="es-MX" w:eastAsia="x-none"/>
        </w:rPr>
        <w:t xml:space="preserve">Ley </w:t>
      </w:r>
      <w:r w:rsidRPr="006D7E12">
        <w:rPr>
          <w:rFonts w:ascii="Arial" w:eastAsia="Times New Roman" w:hAnsi="Arial" w:cs="Arial"/>
          <w:bCs/>
          <w:lang w:val="es-MX" w:eastAsia="x-none"/>
        </w:rPr>
        <w:t xml:space="preserve">996 de 2005 </w:t>
      </w:r>
      <w:bookmarkEnd w:id="24"/>
      <w:r w:rsidRPr="006D7E12">
        <w:rPr>
          <w:rFonts w:ascii="Arial" w:eastAsia="Times New Roman" w:hAnsi="Arial" w:cs="Arial"/>
          <w:bCs/>
          <w:lang w:val="es-MX" w:eastAsia="x-none"/>
        </w:rPr>
        <w:t xml:space="preserve">está delimitado por la expresión </w:t>
      </w:r>
      <w:r w:rsidRPr="006D7E12">
        <w:rPr>
          <w:rFonts w:ascii="Arial" w:eastAsia="Calibri" w:hAnsi="Arial" w:cs="Arial"/>
          <w:bCs/>
          <w:sz w:val="20"/>
          <w:szCs w:val="20"/>
          <w:lang w:val="es-MX"/>
        </w:rPr>
        <w:t>«</w:t>
      </w:r>
      <w:r w:rsidRPr="006D7E12">
        <w:rPr>
          <w:rFonts w:ascii="Arial" w:eastAsia="Times New Roman" w:hAnsi="Arial" w:cs="Arial"/>
          <w:bCs/>
          <w:lang w:val="es-MX" w:eastAsia="x-none"/>
        </w:rPr>
        <w:t>queda prohibida la contratación directa</w:t>
      </w:r>
      <w:r w:rsidRPr="006D7E12">
        <w:rPr>
          <w:rFonts w:ascii="Arial" w:eastAsia="Calibri" w:hAnsi="Arial" w:cs="Arial"/>
          <w:sz w:val="20"/>
          <w:szCs w:val="20"/>
          <w:lang w:val="es-MX"/>
        </w:rPr>
        <w:t>»</w:t>
      </w:r>
      <w:r w:rsidRPr="006D7E12">
        <w:rPr>
          <w:rFonts w:ascii="Arial" w:eastAsia="Times New Roman" w:hAnsi="Arial" w:cs="Arial"/>
          <w:bCs/>
          <w:lang w:val="es-MX" w:eastAsia="x-none"/>
        </w:rPr>
        <w:t>.</w:t>
      </w:r>
      <w:r w:rsidRPr="006D7E12">
        <w:rPr>
          <w:rFonts w:ascii="Arial" w:eastAsia="Times New Roman" w:hAnsi="Arial" w:cs="Arial"/>
          <w:lang w:val="es-MX" w:eastAsia="es-CO"/>
        </w:rPr>
        <w:t xml:space="preserve"> A propósito de </w:t>
      </w:r>
      <w:r w:rsidRPr="006D7E12">
        <w:rPr>
          <w:rFonts w:ascii="Arial" w:eastAsia="Times New Roman" w:hAnsi="Arial" w:cs="Arial"/>
          <w:lang w:eastAsia="es-CO"/>
        </w:rPr>
        <w:t>esta restricción de la Ley de Garantías Electorales, la Sala de Consulta y Servicio Civil del Consejo de Estado ha considerado que:</w:t>
      </w:r>
    </w:p>
    <w:p w14:paraId="1BD78AC3" w14:textId="77777777" w:rsidR="00883C23" w:rsidRPr="006D7E12" w:rsidRDefault="00883C23" w:rsidP="00497B71">
      <w:pPr>
        <w:spacing w:after="0" w:line="276" w:lineRule="auto"/>
        <w:ind w:left="708" w:right="709"/>
        <w:contextualSpacing/>
        <w:jc w:val="both"/>
        <w:rPr>
          <w:rFonts w:ascii="Arial" w:eastAsia="Calibri" w:hAnsi="Arial" w:cs="Arial"/>
          <w:sz w:val="21"/>
          <w:szCs w:val="21"/>
          <w:lang w:val="es-MX"/>
        </w:rPr>
      </w:pPr>
    </w:p>
    <w:p w14:paraId="36F32924" w14:textId="557F0038" w:rsidR="00883C23" w:rsidRPr="006D7E12" w:rsidRDefault="00883C23" w:rsidP="00497B71">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D7E12">
        <w:rPr>
          <w:rFonts w:ascii="Arial" w:eastAsia="Times New Roman" w:hAnsi="Arial" w:cs="Arial"/>
          <w:vertAlign w:val="superscript"/>
          <w:lang w:eastAsia="es-CO"/>
        </w:rPr>
        <w:footnoteReference w:id="10"/>
      </w:r>
      <w:r w:rsidRPr="006D7E12">
        <w:rPr>
          <w:rFonts w:ascii="Arial" w:eastAsia="Calibri" w:hAnsi="Arial" w:cs="Arial"/>
          <w:sz w:val="21"/>
          <w:szCs w:val="21"/>
          <w:lang w:val="es-MX"/>
        </w:rPr>
        <w:t>.</w:t>
      </w:r>
    </w:p>
    <w:p w14:paraId="0438593C" w14:textId="77777777" w:rsidR="00497B71" w:rsidRPr="006D7E12" w:rsidRDefault="00497B71" w:rsidP="00497B71">
      <w:pPr>
        <w:spacing w:after="0" w:line="240" w:lineRule="auto"/>
        <w:ind w:left="709" w:right="709"/>
        <w:contextualSpacing/>
        <w:jc w:val="both"/>
        <w:rPr>
          <w:rFonts w:ascii="Arial" w:eastAsia="Calibri" w:hAnsi="Arial" w:cs="Arial"/>
          <w:sz w:val="21"/>
          <w:szCs w:val="21"/>
          <w:lang w:val="es-MX"/>
        </w:rPr>
      </w:pPr>
    </w:p>
    <w:p w14:paraId="297E1CCD" w14:textId="77777777" w:rsidR="00883C23" w:rsidRPr="006D7E12" w:rsidRDefault="00883C23" w:rsidP="00497B71">
      <w:pPr>
        <w:spacing w:after="0" w:line="240" w:lineRule="auto"/>
        <w:ind w:left="708"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7" w:name="_Hlk75741738"/>
      <w:r w:rsidRPr="006D7E12">
        <w:rPr>
          <w:rFonts w:ascii="Arial" w:eastAsia="Calibri" w:hAnsi="Arial" w:cs="Arial"/>
          <w:sz w:val="21"/>
          <w:szCs w:val="21"/>
          <w:lang w:val="es-MX"/>
        </w:rPr>
        <w:t xml:space="preserve">de cualquier sistema que no implique convocatoria pública y posibilidad de pluralidad de oferentes, </w:t>
      </w:r>
      <w:bookmarkEnd w:id="27"/>
      <w:r w:rsidRPr="006D7E12">
        <w:rPr>
          <w:rFonts w:ascii="Arial" w:eastAsia="Calibri" w:hAnsi="Arial" w:cs="Arial"/>
          <w:sz w:val="21"/>
          <w:szCs w:val="21"/>
          <w:lang w:val="es-MX"/>
        </w:rPr>
        <w:t xml:space="preserve">y que, además, no necesariamente hace referencia al procedimiento especial regulado por la ley de contratación estatal, sino a cualquier otro que prescinda de </w:t>
      </w:r>
      <w:r w:rsidRPr="006D7E12">
        <w:rPr>
          <w:rFonts w:ascii="Arial" w:eastAsia="Calibri" w:hAnsi="Arial" w:cs="Arial"/>
          <w:sz w:val="21"/>
          <w:szCs w:val="21"/>
          <w:lang w:val="es-MX"/>
        </w:rPr>
        <w:lastRenderedPageBreak/>
        <w:t>un proceso de licitación pública o concurso</w:t>
      </w:r>
      <w:r w:rsidRPr="006D7E12">
        <w:rPr>
          <w:rFonts w:ascii="Arial" w:eastAsia="Times New Roman" w:hAnsi="Arial" w:cs="Arial"/>
          <w:sz w:val="21"/>
          <w:szCs w:val="21"/>
          <w:vertAlign w:val="superscript"/>
          <w:lang w:val="es-MX"/>
        </w:rPr>
        <w:footnoteReference w:id="11"/>
      </w:r>
      <w:r w:rsidRPr="006D7E12">
        <w:rPr>
          <w:rFonts w:ascii="Arial" w:eastAsia="Times New Roman" w:hAnsi="Arial" w:cs="Arial"/>
          <w:sz w:val="21"/>
          <w:szCs w:val="21"/>
          <w:vertAlign w:val="superscript"/>
          <w:lang w:val="es-MX"/>
        </w:rPr>
        <w:t>.</w:t>
      </w:r>
      <w:r w:rsidRPr="006D7E12">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D7E12">
        <w:rPr>
          <w:rFonts w:ascii="Arial" w:eastAsia="Times New Roman" w:hAnsi="Arial" w:cs="Arial"/>
          <w:vertAlign w:val="superscript"/>
          <w:lang w:eastAsia="es-CO"/>
        </w:rPr>
        <w:footnoteReference w:id="12"/>
      </w:r>
      <w:r w:rsidRPr="006D7E12">
        <w:rPr>
          <w:rFonts w:ascii="Arial" w:eastAsia="Calibri" w:hAnsi="Arial" w:cs="Arial"/>
          <w:sz w:val="21"/>
          <w:szCs w:val="21"/>
          <w:lang w:val="es-MX"/>
        </w:rPr>
        <w:t xml:space="preserve"> .</w:t>
      </w:r>
    </w:p>
    <w:p w14:paraId="6623AC54" w14:textId="77777777" w:rsidR="00883C23" w:rsidRPr="006D7E12" w:rsidRDefault="00883C23" w:rsidP="00497B71">
      <w:pPr>
        <w:shd w:val="clear" w:color="auto" w:fill="FFFFFF"/>
        <w:spacing w:after="0" w:line="276" w:lineRule="auto"/>
        <w:ind w:firstLine="709"/>
        <w:contextualSpacing/>
        <w:jc w:val="both"/>
        <w:rPr>
          <w:rFonts w:ascii="Arial" w:eastAsia="Times New Roman" w:hAnsi="Arial" w:cs="Arial"/>
          <w:lang w:eastAsia="x-none"/>
        </w:rPr>
      </w:pPr>
    </w:p>
    <w:p w14:paraId="0196F3C7" w14:textId="77777777" w:rsidR="00883C23" w:rsidRPr="006D7E12" w:rsidRDefault="00883C23" w:rsidP="00D90D8A">
      <w:pPr>
        <w:spacing w:after="120" w:line="276" w:lineRule="auto"/>
        <w:ind w:firstLine="709"/>
        <w:jc w:val="both"/>
        <w:rPr>
          <w:rFonts w:ascii="Arial" w:eastAsia="Times New Roman" w:hAnsi="Arial" w:cs="Arial"/>
          <w:bCs/>
          <w:lang w:eastAsia="x-none"/>
        </w:rPr>
      </w:pPr>
      <w:bookmarkStart w:id="29" w:name="_Hlk94521748"/>
      <w:r w:rsidRPr="006D7E12">
        <w:rPr>
          <w:rFonts w:ascii="Arial" w:eastAsia="Times New Roman" w:hAnsi="Arial" w:cs="Arial"/>
          <w:lang w:eastAsia="x-none"/>
        </w:rPr>
        <w:t xml:space="preserve">De conformidad con el citado concepto, </w:t>
      </w:r>
      <w:bookmarkStart w:id="30" w:name="_Hlk78818702"/>
      <w:r w:rsidRPr="006D7E12">
        <w:rPr>
          <w:rFonts w:ascii="Arial" w:eastAsia="Times New Roman" w:hAnsi="Arial" w:cs="Arial"/>
          <w:lang w:eastAsia="x-none"/>
        </w:rPr>
        <w:t xml:space="preserve">la prohibición del artículo 33 de la Ley de Garantías Electorales se refiere a </w:t>
      </w:r>
      <w:bookmarkStart w:id="31" w:name="_Hlk74294635"/>
      <w:r w:rsidRPr="006D7E12">
        <w:rPr>
          <w:rFonts w:ascii="Arial" w:eastAsia="Times New Roman" w:hAnsi="Arial" w:cs="Arial"/>
          <w:sz w:val="19"/>
          <w:szCs w:val="19"/>
          <w:lang w:eastAsia="en-GB"/>
        </w:rPr>
        <w:t>«</w:t>
      </w:r>
      <w:bookmarkEnd w:id="31"/>
      <w:r w:rsidRPr="006D7E12">
        <w:rPr>
          <w:rFonts w:ascii="Arial" w:eastAsia="Times New Roman" w:hAnsi="Arial" w:cs="Arial"/>
          <w:lang w:eastAsia="x-none"/>
        </w:rPr>
        <w:t>cualquier sistema que no implique convocatoria pública y posibilidad de pluralidad de oferentes</w:t>
      </w:r>
      <w:bookmarkStart w:id="32" w:name="_Hlk74404754"/>
      <w:r w:rsidRPr="006D7E12">
        <w:rPr>
          <w:rFonts w:ascii="Arial" w:eastAsia="Times New Roman" w:hAnsi="Arial" w:cs="Arial"/>
          <w:lang w:eastAsia="en-GB"/>
        </w:rPr>
        <w:t>»</w:t>
      </w:r>
      <w:bookmarkEnd w:id="32"/>
      <w:r w:rsidRPr="006D7E12">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9"/>
      <w:bookmarkEnd w:id="30"/>
      <w:r w:rsidRPr="006D7E12">
        <w:rPr>
          <w:rFonts w:ascii="Arial" w:eastAsia="Times New Roman" w:hAnsi="Arial" w:cs="Arial"/>
          <w:lang w:eastAsia="x-none"/>
        </w:rPr>
        <w:t>Esta posición es congruente con la expedición de la Ley 1150 de 2007 que, entre otras reformas, introdujo la selección abreviada, rediseñó el concurso de méritos</w:t>
      </w:r>
      <w:r w:rsidRPr="006D7E12">
        <w:rPr>
          <w:rFonts w:ascii="Arial" w:eastAsia="Times New Roman" w:hAnsi="Arial" w:cs="Arial"/>
          <w:vertAlign w:val="superscript"/>
          <w:lang w:val="en-GB" w:eastAsia="x-none"/>
        </w:rPr>
        <w:footnoteReference w:id="13"/>
      </w:r>
      <w:r w:rsidRPr="006D7E12">
        <w:rPr>
          <w:rFonts w:ascii="Arial" w:eastAsia="Times New Roman" w:hAnsi="Arial" w:cs="Arial"/>
          <w:lang w:eastAsia="x-none"/>
        </w:rPr>
        <w:t xml:space="preserve"> y sistematizó las causales de contratación directa</w:t>
      </w:r>
      <w:r w:rsidRPr="006D7E12">
        <w:rPr>
          <w:rFonts w:ascii="Arial" w:eastAsia="Times New Roman" w:hAnsi="Arial" w:cs="Arial"/>
          <w:vertAlign w:val="superscript"/>
          <w:lang w:val="en-GB" w:eastAsia="x-none"/>
        </w:rPr>
        <w:footnoteReference w:id="14"/>
      </w:r>
      <w:r w:rsidRPr="006D7E12">
        <w:rPr>
          <w:rFonts w:ascii="Arial" w:eastAsia="Times New Roman" w:hAnsi="Arial" w:cs="Arial"/>
          <w:lang w:eastAsia="x-none"/>
        </w:rPr>
        <w:t xml:space="preserve">. </w:t>
      </w:r>
    </w:p>
    <w:p w14:paraId="1712C3EE" w14:textId="77777777" w:rsidR="00883C23" w:rsidRPr="006D7E12" w:rsidRDefault="00883C23" w:rsidP="00D90D8A">
      <w:pPr>
        <w:spacing w:after="120" w:line="276" w:lineRule="auto"/>
        <w:ind w:firstLine="709"/>
        <w:jc w:val="both"/>
        <w:rPr>
          <w:rFonts w:ascii="Arial" w:eastAsia="Times New Roman" w:hAnsi="Arial" w:cs="Arial"/>
          <w:lang w:val="es-MX" w:eastAsia="x-none"/>
        </w:rPr>
      </w:pPr>
      <w:r w:rsidRPr="006D7E12">
        <w:rPr>
          <w:rFonts w:ascii="Arial" w:eastAsia="Times New Roman" w:hAnsi="Arial" w:cs="Arial"/>
          <w:lang w:eastAsia="x-none"/>
        </w:rPr>
        <w:t xml:space="preserve">De esta forma, se ha depurado la noción de </w:t>
      </w:r>
      <w:r w:rsidRPr="006D7E12">
        <w:rPr>
          <w:rFonts w:ascii="Arial" w:eastAsia="Times New Roman" w:hAnsi="Arial" w:cs="Arial"/>
          <w:sz w:val="19"/>
          <w:szCs w:val="19"/>
          <w:lang w:eastAsia="en-GB"/>
        </w:rPr>
        <w:t>«</w:t>
      </w:r>
      <w:r w:rsidRPr="006D7E12">
        <w:rPr>
          <w:rFonts w:ascii="Arial" w:eastAsia="Times New Roman" w:hAnsi="Arial" w:cs="Arial"/>
          <w:lang w:eastAsia="x-none"/>
        </w:rPr>
        <w:t>contratación directa</w:t>
      </w:r>
      <w:r w:rsidRPr="006D7E12">
        <w:rPr>
          <w:rFonts w:ascii="Arial" w:eastAsia="Times New Roman" w:hAnsi="Arial" w:cs="Arial"/>
          <w:lang w:eastAsia="en-GB"/>
        </w:rPr>
        <w:t>»</w:t>
      </w:r>
      <w:r w:rsidRPr="006D7E12">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D7E12">
        <w:rPr>
          <w:rFonts w:ascii="Arial" w:eastAsia="Times New Roman" w:hAnsi="Arial" w:cs="Arial"/>
          <w:vertAlign w:val="superscript"/>
          <w:lang w:val="en-GB" w:eastAsia="x-none"/>
        </w:rPr>
        <w:footnoteReference w:id="15"/>
      </w:r>
      <w:r w:rsidRPr="006D7E12">
        <w:rPr>
          <w:rFonts w:ascii="Arial" w:eastAsia="Times New Roman" w:hAnsi="Arial" w:cs="Arial"/>
          <w:lang w:eastAsia="x-none"/>
        </w:rPr>
        <w:t>, han establecido sistemas de contratación que implican convocatoria pública y participación de varios oferentes</w:t>
      </w:r>
      <w:r w:rsidRPr="006D7E12">
        <w:rPr>
          <w:rFonts w:ascii="Arial" w:eastAsia="Times New Roman" w:hAnsi="Arial" w:cs="Arial"/>
          <w:lang w:eastAsia="en-GB"/>
        </w:rPr>
        <w:t>»</w:t>
      </w:r>
      <w:r w:rsidRPr="006D7E12">
        <w:rPr>
          <w:rFonts w:ascii="Arial" w:eastAsia="Times New Roman" w:hAnsi="Arial" w:cs="Arial"/>
          <w:lang w:eastAsia="x-none"/>
        </w:rPr>
        <w:t xml:space="preserve">. </w:t>
      </w:r>
    </w:p>
    <w:p w14:paraId="45F34280" w14:textId="77777777"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E</w:t>
      </w:r>
      <w:r w:rsidRPr="006D7E12">
        <w:rPr>
          <w:rFonts w:ascii="Arial" w:eastAsia="Times New Roman" w:hAnsi="Arial" w:cs="Arial"/>
          <w:lang w:eastAsia="x-none"/>
        </w:rPr>
        <w:t xml:space="preserve">n efecto, vale la pena mencionar que, </w:t>
      </w:r>
      <w:bookmarkStart w:id="34" w:name="_Hlk75636073"/>
      <w:r w:rsidRPr="006D7E12">
        <w:rPr>
          <w:rFonts w:ascii="Arial" w:eastAsia="Times New Roman" w:hAnsi="Arial" w:cs="Arial"/>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Pr="006D7E12">
        <w:rPr>
          <w:rFonts w:ascii="Arial" w:eastAsia="Times New Roman" w:hAnsi="Arial" w:cs="Arial"/>
          <w:lang w:eastAsia="x-none"/>
        </w:rPr>
        <w:lastRenderedPageBreak/>
        <w:t>convocatoria para inscribirse en forma previa se haga de manera pública, y que se permita la participación de una pluralidad de oferentes</w:t>
      </w:r>
      <w:bookmarkEnd w:id="34"/>
      <w:r w:rsidRPr="006D7E12">
        <w:rPr>
          <w:rFonts w:ascii="Arial" w:eastAsia="Times New Roman" w:hAnsi="Arial" w:cs="Arial"/>
          <w:vertAlign w:val="superscript"/>
          <w:lang w:eastAsia="x-none"/>
        </w:rPr>
        <w:footnoteReference w:id="16"/>
      </w:r>
      <w:r w:rsidRPr="006D7E12">
        <w:rPr>
          <w:rFonts w:ascii="Arial" w:eastAsia="Times New Roman" w:hAnsi="Arial" w:cs="Arial"/>
          <w:lang w:eastAsia="x-none"/>
        </w:rPr>
        <w:t xml:space="preserve">. </w:t>
      </w:r>
    </w:p>
    <w:p w14:paraId="204B00F5" w14:textId="66932824"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w:t>
      </w:r>
      <w:r w:rsidR="00F2080B" w:rsidRPr="006D7E12">
        <w:rPr>
          <w:rFonts w:ascii="Arial" w:eastAsia="Times New Roman" w:hAnsi="Arial" w:cs="Arial"/>
          <w:bCs/>
          <w:lang w:val="es-MX" w:eastAsia="es-CO"/>
        </w:rPr>
        <w:t xml:space="preserve"> Electorales</w:t>
      </w:r>
      <w:r w:rsidRPr="006D7E12">
        <w:rPr>
          <w:rFonts w:ascii="Arial" w:eastAsia="Times New Roman" w:hAnsi="Arial" w:cs="Arial"/>
          <w:bCs/>
          <w:lang w:val="es-MX" w:eastAsia="es-CO"/>
        </w:rPr>
        <w:t xml:space="preserve">, al señalar que no solo aplica frente a las entidades sometidas al Estatuto </w:t>
      </w:r>
      <w:r w:rsidR="00F820CB" w:rsidRPr="006D7E12">
        <w:rPr>
          <w:rFonts w:ascii="Arial" w:eastAsia="Times New Roman" w:hAnsi="Arial" w:cs="Arial"/>
          <w:bCs/>
          <w:lang w:val="es-MX" w:eastAsia="es-CO"/>
        </w:rPr>
        <w:t xml:space="preserve">General </w:t>
      </w:r>
      <w:r w:rsidRPr="006D7E12">
        <w:rPr>
          <w:rFonts w:ascii="Arial" w:eastAsia="Times New Roman" w:hAnsi="Arial" w:cs="Arial"/>
          <w:bCs/>
          <w:lang w:val="es-MX"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87067B4" w14:textId="02DB6001" w:rsidR="00883C23" w:rsidRPr="006D7E12" w:rsidRDefault="00883C23" w:rsidP="00D90D8A">
      <w:pPr>
        <w:spacing w:after="120" w:line="276" w:lineRule="auto"/>
        <w:ind w:firstLine="709"/>
        <w:jc w:val="both"/>
        <w:rPr>
          <w:rFonts w:ascii="Arial" w:eastAsia="Times New Roman" w:hAnsi="Arial" w:cs="Arial"/>
          <w:bCs/>
          <w:lang w:val="es-MX" w:eastAsia="x-none"/>
        </w:rPr>
      </w:pPr>
      <w:bookmarkStart w:id="35" w:name="_Hlk78818796"/>
      <w:r w:rsidRPr="006D7E12">
        <w:rPr>
          <w:rFonts w:ascii="Arial" w:eastAsia="Times New Roman" w:hAnsi="Arial" w:cs="Arial"/>
          <w:bCs/>
          <w:lang w:val="es-MX" w:eastAsia="x-none"/>
        </w:rPr>
        <w:t xml:space="preserve"> Así las cosas, </w:t>
      </w:r>
      <w:bookmarkStart w:id="36" w:name="_Hlk99577798"/>
      <w:r w:rsidRPr="006D7E12">
        <w:rPr>
          <w:rFonts w:ascii="Arial" w:eastAsia="Times New Roman" w:hAnsi="Arial" w:cs="Arial"/>
          <w:bCs/>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7E12">
        <w:rPr>
          <w:rFonts w:ascii="Arial" w:eastAsia="Times New Roman" w:hAnsi="Arial" w:cs="Arial"/>
          <w:vertAlign w:val="superscript"/>
          <w:lang w:eastAsia="x-none"/>
        </w:rPr>
        <w:footnoteReference w:id="17"/>
      </w:r>
      <w:r w:rsidRPr="006D7E12">
        <w:rPr>
          <w:rFonts w:ascii="Arial" w:eastAsia="Times New Roman" w:hAnsi="Arial" w:cs="Arial"/>
          <w:bCs/>
          <w:lang w:val="es-MX" w:eastAsia="x-none"/>
        </w:rPr>
        <w:t>.</w:t>
      </w:r>
      <w:r w:rsidRPr="006D7E12">
        <w:rPr>
          <w:rFonts w:ascii="Arial" w:eastAsia="Times New Roman" w:hAnsi="Arial" w:cs="Arial"/>
          <w:vertAlign w:val="superscript"/>
          <w:lang w:eastAsia="x-none"/>
        </w:rPr>
        <w:t xml:space="preserve"> </w:t>
      </w:r>
    </w:p>
    <w:bookmarkEnd w:id="35"/>
    <w:p w14:paraId="0B476725" w14:textId="34FEC202" w:rsidR="00883C23" w:rsidRPr="006D7E12" w:rsidRDefault="00883C23" w:rsidP="00D90D8A">
      <w:pPr>
        <w:spacing w:after="120" w:line="276" w:lineRule="auto"/>
        <w:ind w:firstLine="709"/>
        <w:jc w:val="both"/>
        <w:rPr>
          <w:rFonts w:ascii="Arial" w:eastAsia="Times New Roman" w:hAnsi="Arial" w:cs="Arial"/>
          <w:lang w:eastAsia="x-none"/>
        </w:rPr>
      </w:pPr>
      <w:r w:rsidRPr="006D7E12">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7E12">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w:t>
      </w:r>
      <w:r w:rsidR="007D7A6D" w:rsidRPr="006D7E12">
        <w:rPr>
          <w:rFonts w:ascii="Arial" w:eastAsia="Times New Roman" w:hAnsi="Arial" w:cs="Arial"/>
          <w:lang w:eastAsia="x-none"/>
        </w:rPr>
        <w:t xml:space="preserve"> pueden</w:t>
      </w:r>
      <w:r w:rsidRPr="006D7E12">
        <w:rPr>
          <w:rFonts w:ascii="Arial" w:eastAsia="Times New Roman" w:hAnsi="Arial" w:cs="Arial"/>
          <w:lang w:eastAsia="x-none"/>
        </w:rPr>
        <w:t xml:space="preserve"> seguir contratando bajo estos sistemas.</w:t>
      </w:r>
    </w:p>
    <w:p w14:paraId="4D4CA891" w14:textId="77777777" w:rsidR="00883C23" w:rsidRPr="006D7E12" w:rsidRDefault="00883C23" w:rsidP="00D90D8A">
      <w:pPr>
        <w:spacing w:after="120" w:line="276" w:lineRule="auto"/>
        <w:ind w:firstLine="709"/>
        <w:jc w:val="both"/>
        <w:rPr>
          <w:rFonts w:ascii="Arial" w:eastAsia="Times New Roman" w:hAnsi="Arial" w:cs="Arial"/>
          <w:bCs/>
          <w:lang w:val="es-MX" w:eastAsia="x-none"/>
        </w:rPr>
      </w:pPr>
      <w:bookmarkStart w:id="37" w:name="_Hlk77237094"/>
      <w:bookmarkEnd w:id="36"/>
      <w:r w:rsidRPr="006D7E12">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7"/>
    </w:p>
    <w:p w14:paraId="10EBB060" w14:textId="2C6590AF"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 xml:space="preserve">De otro lado, </w:t>
      </w:r>
      <w:bookmarkStart w:id="38" w:name="_Hlk99577887"/>
      <w:bookmarkStart w:id="39" w:name="_Hlk100679762"/>
      <w:r w:rsidRPr="006D7E12">
        <w:rPr>
          <w:rFonts w:ascii="Arial" w:eastAsia="Times New Roman" w:hAnsi="Arial" w:cs="Arial"/>
          <w:bCs/>
          <w:lang w:val="es-MX" w:eastAsia="x-none"/>
        </w:rPr>
        <w:t>las excepciones a la restricción prevista en la Ley de Garantías</w:t>
      </w:r>
      <w:r w:rsidR="00174706" w:rsidRPr="006D7E12">
        <w:rPr>
          <w:rFonts w:ascii="Arial" w:eastAsia="Times New Roman" w:hAnsi="Arial" w:cs="Arial"/>
          <w:bCs/>
          <w:lang w:val="es-MX" w:eastAsia="x-none"/>
        </w:rPr>
        <w:t xml:space="preserve"> Electorales</w:t>
      </w:r>
      <w:r w:rsidRPr="006D7E12">
        <w:rPr>
          <w:rFonts w:ascii="Arial" w:eastAsia="Times New Roman" w:hAnsi="Arial" w:cs="Arial"/>
          <w:bCs/>
          <w:lang w:val="es-MX" w:eastAsia="x-none"/>
        </w:rPr>
        <w:t>,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00DF5A9D" w:rsidRPr="006D7E12">
        <w:rPr>
          <w:rFonts w:ascii="Arial" w:eastAsia="Times New Roman" w:hAnsi="Arial" w:cs="Arial"/>
          <w:bCs/>
          <w:lang w:val="es-MX" w:eastAsia="x-none"/>
        </w:rPr>
        <w:t>:</w:t>
      </w:r>
      <w:r w:rsidRPr="006D7E12">
        <w:rPr>
          <w:rFonts w:ascii="Arial" w:eastAsia="Times New Roman" w:hAnsi="Arial" w:cs="Arial"/>
          <w:bCs/>
          <w:lang w:val="es-MX" w:eastAsia="x-none"/>
        </w:rPr>
        <w:t xml:space="preserve"> i) la defensa y seguridad del Estado; ii) </w:t>
      </w:r>
      <w:r w:rsidRPr="006D7E12">
        <w:rPr>
          <w:rFonts w:ascii="Arial" w:eastAsia="Times New Roman" w:hAnsi="Arial" w:cs="Arial"/>
          <w:bCs/>
          <w:lang w:val="es-MX" w:eastAsia="x-none"/>
        </w:rPr>
        <w:lastRenderedPageBreak/>
        <w:t>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7E12">
        <w:rPr>
          <w:rFonts w:ascii="Arial" w:eastAsia="Times New Roman" w:hAnsi="Arial" w:cs="Arial"/>
          <w:bCs/>
          <w:lang w:val="es-MX" w:eastAsia="es-CO"/>
        </w:rPr>
        <w:t xml:space="preserve"> </w:t>
      </w:r>
      <w:r w:rsidR="007D7A6D" w:rsidRPr="006D7E12">
        <w:rPr>
          <w:rFonts w:ascii="Arial" w:eastAsia="Times New Roman" w:hAnsi="Arial" w:cs="Arial"/>
          <w:bCs/>
          <w:lang w:val="es-MX" w:eastAsia="es-CO"/>
        </w:rPr>
        <w:t>E</w:t>
      </w:r>
      <w:r w:rsidRPr="006D7E12">
        <w:rPr>
          <w:rFonts w:ascii="Arial" w:eastAsia="Times New Roman" w:hAnsi="Arial" w:cs="Arial"/>
          <w:bCs/>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8"/>
    </w:p>
    <w:bookmarkEnd w:id="39"/>
    <w:p w14:paraId="3CDA035B" w14:textId="64863E82" w:rsidR="00883C23" w:rsidRPr="006D7E12" w:rsidRDefault="00883C23" w:rsidP="00883C23">
      <w:pPr>
        <w:spacing w:after="0" w:line="276" w:lineRule="auto"/>
        <w:ind w:firstLine="708"/>
        <w:jc w:val="both"/>
        <w:rPr>
          <w:rFonts w:ascii="Arial" w:eastAsia="Times New Roman" w:hAnsi="Arial" w:cs="Arial"/>
          <w:bCs/>
          <w:lang w:val="es-MX" w:eastAsia="x-none"/>
        </w:rPr>
      </w:pPr>
      <w:r w:rsidRPr="006D7E12">
        <w:rPr>
          <w:rFonts w:ascii="Arial" w:eastAsia="Times New Roman" w:hAnsi="Arial" w:cs="Arial"/>
          <w:bCs/>
          <w:lang w:val="es-MX" w:eastAsia="x-none"/>
        </w:rPr>
        <w:t>En esta labor es importante tener en cuenta, como lo anotó la Corte Constitucional, en Sentencia C-1153 de noviembre 11 de 2005</w:t>
      </w:r>
      <w:r w:rsidR="00F04513" w:rsidRPr="006D7E12">
        <w:rPr>
          <w:rFonts w:ascii="Calibri" w:eastAsia="Calibri" w:hAnsi="Calibri" w:cs="Times New Roman"/>
          <w:sz w:val="24"/>
          <w:lang w:val="es-MX"/>
        </w:rPr>
        <w:t>,</w:t>
      </w:r>
      <w:r w:rsidRPr="006D7E12">
        <w:rPr>
          <w:rFonts w:ascii="Arial" w:eastAsia="Times New Roman" w:hAnsi="Arial" w:cs="Arial"/>
          <w:bCs/>
          <w:lang w:val="es-MX" w:eastAsia="x-none"/>
        </w:rPr>
        <w:t xml:space="preserve"> </w:t>
      </w:r>
      <w:bookmarkStart w:id="40" w:name="_Hlk74309042"/>
      <w:r w:rsidRPr="006D7E12">
        <w:rPr>
          <w:rFonts w:ascii="Arial" w:eastAsia="Times New Roman" w:hAnsi="Arial" w:cs="Arial"/>
          <w:bCs/>
          <w:lang w:val="es-MX" w:eastAsia="x-none"/>
        </w:rPr>
        <w:t>que «</w:t>
      </w:r>
      <w:bookmarkEnd w:id="40"/>
      <w:r w:rsidRPr="006D7E12">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41" w:name="_Hlk75768308"/>
      <w:r w:rsidRPr="006D7E12">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42" w:name="_Hlk74309060"/>
      <w:r w:rsidRPr="006D7E12">
        <w:rPr>
          <w:rFonts w:ascii="Arial" w:eastAsia="Times New Roman" w:hAnsi="Arial" w:cs="Arial"/>
          <w:bCs/>
          <w:lang w:val="es-MX" w:eastAsia="x-none"/>
        </w:rPr>
        <w:t>»</w:t>
      </w:r>
      <w:bookmarkEnd w:id="42"/>
      <w:r w:rsidRPr="006D7E12">
        <w:rPr>
          <w:rFonts w:ascii="Arial" w:eastAsia="Calibri" w:hAnsi="Arial" w:cs="Arial"/>
          <w:vertAlign w:val="superscript"/>
          <w:lang w:val="es-MX"/>
        </w:rPr>
        <w:footnoteReference w:id="18"/>
      </w:r>
      <w:r w:rsidRPr="006D7E12">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3" w:name="_Hlk75783800"/>
      <w:bookmarkEnd w:id="41"/>
    </w:p>
    <w:p w14:paraId="12BF818B" w14:textId="77777777" w:rsidR="00883C23" w:rsidRPr="006D7E12" w:rsidRDefault="00883C23" w:rsidP="00883C23">
      <w:pPr>
        <w:spacing w:after="0" w:line="276" w:lineRule="auto"/>
        <w:ind w:firstLine="708"/>
        <w:jc w:val="both"/>
        <w:rPr>
          <w:rFonts w:ascii="Arial" w:eastAsia="Times New Roman" w:hAnsi="Arial" w:cs="Arial"/>
          <w:bCs/>
          <w:lang w:val="es-MX" w:eastAsia="x-none"/>
        </w:rPr>
      </w:pPr>
    </w:p>
    <w:p w14:paraId="57D96FE9" w14:textId="77777777" w:rsidR="00883C23" w:rsidRPr="006D7E12" w:rsidRDefault="00883C23" w:rsidP="00883C23">
      <w:pPr>
        <w:spacing w:after="0" w:line="276" w:lineRule="auto"/>
        <w:jc w:val="both"/>
        <w:rPr>
          <w:rFonts w:ascii="Arial" w:eastAsia="Times New Roman" w:hAnsi="Arial" w:cs="Arial"/>
          <w:b/>
          <w:lang w:val="es-MX" w:eastAsia="x-none"/>
        </w:rPr>
      </w:pPr>
      <w:r w:rsidRPr="006D7E12">
        <w:rPr>
          <w:rFonts w:ascii="Arial" w:eastAsia="Times New Roman" w:hAnsi="Arial" w:cs="Arial"/>
          <w:b/>
          <w:lang w:val="es-MX" w:eastAsia="x-none"/>
        </w:rPr>
        <w:t>2.3.  Destinatarios de la restricción del artículo 33 de la Ley 996 de 2005</w:t>
      </w:r>
    </w:p>
    <w:p w14:paraId="4BA7233F" w14:textId="77777777" w:rsidR="00883C23" w:rsidRPr="006D7E12" w:rsidRDefault="00883C23" w:rsidP="00883C23">
      <w:pPr>
        <w:spacing w:after="0" w:line="276" w:lineRule="auto"/>
        <w:jc w:val="both"/>
        <w:rPr>
          <w:rFonts w:ascii="Arial" w:eastAsia="Times New Roman" w:hAnsi="Arial" w:cs="Arial"/>
          <w:bCs/>
          <w:lang w:val="es-MX" w:eastAsia="x-none"/>
        </w:rPr>
      </w:pPr>
    </w:p>
    <w:p w14:paraId="66000D6A" w14:textId="0B7C7334" w:rsidR="00883C23" w:rsidRPr="006D7E12" w:rsidRDefault="00883C23" w:rsidP="00883C23">
      <w:pPr>
        <w:spacing w:after="0" w:line="276" w:lineRule="auto"/>
        <w:jc w:val="both"/>
        <w:rPr>
          <w:rFonts w:ascii="Arial" w:eastAsia="Times New Roman" w:hAnsi="Arial" w:cs="Arial"/>
          <w:bCs/>
          <w:lang w:val="es-MX" w:eastAsia="x-none"/>
        </w:rPr>
      </w:pPr>
      <w:bookmarkStart w:id="44" w:name="_Hlk99578018"/>
      <w:r w:rsidRPr="006D7E12">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 xml:space="preserve">En efecto, como ha sostenido el Consejo de Estado, el vocablo </w:t>
      </w:r>
      <w:bookmarkStart w:id="45" w:name="_Hlk75632581"/>
      <w:r w:rsidRPr="006D7E12">
        <w:rPr>
          <w:rFonts w:ascii="Arial" w:eastAsia="Times New Roman" w:hAnsi="Arial" w:cs="Arial"/>
          <w:bCs/>
          <w:lang w:val="es-MX" w:eastAsia="x-none"/>
        </w:rPr>
        <w:t>«</w:t>
      </w:r>
      <w:bookmarkEnd w:id="45"/>
      <w:r w:rsidRPr="006D7E12">
        <w:rPr>
          <w:rFonts w:ascii="Arial" w:eastAsia="Times New Roman" w:hAnsi="Arial" w:cs="Arial"/>
          <w:bCs/>
          <w:lang w:val="es-MX" w:eastAsia="x-none"/>
        </w:rPr>
        <w:t>todos» utilizado por el legislador comprende</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43"/>
      <w:r w:rsidRPr="006D7E12">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44"/>
      <w:r w:rsidRPr="006D7E12">
        <w:rPr>
          <w:rFonts w:ascii="Arial" w:eastAsia="Times New Roman" w:hAnsi="Arial" w:cs="Arial"/>
          <w:bCs/>
          <w:lang w:val="es-MX" w:eastAsia="x-none"/>
        </w:rPr>
        <w:t xml:space="preserve">El Consejo de Estado, en Concepto con radicado 1727 de fecha 20 de febrero de 2006, consideró que: </w:t>
      </w:r>
    </w:p>
    <w:p w14:paraId="2B0F7A12" w14:textId="77777777" w:rsidR="00883C23" w:rsidRPr="006D7E12" w:rsidRDefault="00883C23" w:rsidP="00883C23">
      <w:pPr>
        <w:spacing w:after="0" w:line="276" w:lineRule="auto"/>
        <w:ind w:firstLine="708"/>
        <w:contextualSpacing/>
        <w:jc w:val="both"/>
        <w:rPr>
          <w:rFonts w:ascii="Arial" w:eastAsia="Times New Roman" w:hAnsi="Arial" w:cs="Arial"/>
          <w:bCs/>
          <w:lang w:val="es-MX" w:eastAsia="x-none"/>
        </w:rPr>
      </w:pPr>
    </w:p>
    <w:p w14:paraId="0BCAC0DC" w14:textId="77777777" w:rsidR="00883C23" w:rsidRPr="006D7E12" w:rsidRDefault="00883C23" w:rsidP="00883C23">
      <w:pPr>
        <w:spacing w:after="0" w:line="240" w:lineRule="auto"/>
        <w:ind w:left="708"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x-none"/>
        </w:rPr>
        <w:t xml:space="preserve">El artículo 33 de la ley 996 de 2005, </w:t>
      </w:r>
      <w:bookmarkStart w:id="46" w:name="_Hlk75787147"/>
      <w:r w:rsidRPr="006D7E12">
        <w:rPr>
          <w:rFonts w:ascii="Arial" w:eastAsia="Times New Roman" w:hAnsi="Arial" w:cs="Arial"/>
          <w:bCs/>
          <w:sz w:val="21"/>
          <w:szCs w:val="21"/>
          <w:lang w:val="es-MX" w:eastAsia="x-none"/>
        </w:rPr>
        <w:t xml:space="preserve">efectivamente se aplica </w:t>
      </w:r>
      <w:bookmarkStart w:id="47" w:name="_Hlk76074089"/>
      <w:r w:rsidRPr="006D7E12">
        <w:rPr>
          <w:rFonts w:ascii="Arial" w:eastAsia="Times New Roman" w:hAnsi="Arial" w:cs="Arial"/>
          <w:bCs/>
          <w:sz w:val="21"/>
          <w:szCs w:val="21"/>
          <w:lang w:val="es-MX" w:eastAsia="x-none"/>
        </w:rPr>
        <w:t xml:space="preserve">incluso a las entidades estatales con régimen especial de contratación y que están </w:t>
      </w:r>
      <w:r w:rsidRPr="006D7E12">
        <w:rPr>
          <w:rFonts w:ascii="Arial" w:eastAsia="Times New Roman" w:hAnsi="Arial" w:cs="Arial"/>
          <w:bCs/>
          <w:sz w:val="21"/>
          <w:szCs w:val="21"/>
          <w:lang w:val="es-MX" w:eastAsia="x-none"/>
        </w:rPr>
        <w:lastRenderedPageBreak/>
        <w:t>exceptuadas del ámbito de aplicación del Estatuto General de Contratación de la Administración Pública</w:t>
      </w:r>
      <w:bookmarkEnd w:id="47"/>
      <w:r w:rsidRPr="006D7E12">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D7E12">
        <w:rPr>
          <w:rFonts w:ascii="Arial" w:eastAsia="Times New Roman" w:hAnsi="Arial" w:cs="Arial"/>
          <w:bCs/>
          <w:sz w:val="21"/>
          <w:szCs w:val="21"/>
          <w:vertAlign w:val="superscript"/>
          <w:lang w:val="es-MX" w:eastAsia="x-none"/>
        </w:rPr>
        <w:footnoteReference w:id="19"/>
      </w:r>
      <w:r w:rsidRPr="006D7E12">
        <w:rPr>
          <w:rFonts w:ascii="Arial" w:eastAsia="Times New Roman" w:hAnsi="Arial" w:cs="Arial"/>
          <w:bCs/>
          <w:sz w:val="21"/>
          <w:szCs w:val="21"/>
          <w:lang w:val="es-MX" w:eastAsia="x-none"/>
        </w:rPr>
        <w:t>.</w:t>
      </w:r>
      <w:r w:rsidRPr="006D7E12">
        <w:rPr>
          <w:rFonts w:ascii="Arial" w:eastAsia="Times New Roman" w:hAnsi="Arial" w:cs="Arial"/>
          <w:bCs/>
          <w:sz w:val="21"/>
          <w:szCs w:val="21"/>
          <w:lang w:val="es-MX" w:eastAsia="es-CO"/>
        </w:rPr>
        <w:t xml:space="preserve"> </w:t>
      </w:r>
    </w:p>
    <w:p w14:paraId="7C5573DC" w14:textId="77777777" w:rsidR="00883C23" w:rsidRPr="006D7E12" w:rsidRDefault="00883C23" w:rsidP="00883C23">
      <w:pPr>
        <w:spacing w:after="0" w:line="276" w:lineRule="auto"/>
        <w:ind w:firstLine="708"/>
        <w:contextualSpacing/>
        <w:jc w:val="both"/>
        <w:rPr>
          <w:rFonts w:ascii="Arial" w:eastAsia="Times New Roman" w:hAnsi="Arial" w:cs="Arial"/>
          <w:bCs/>
          <w:lang w:val="es-MX" w:eastAsia="es-CO"/>
        </w:rPr>
      </w:pPr>
    </w:p>
    <w:p w14:paraId="754ACB1C" w14:textId="77777777" w:rsidR="00883C23" w:rsidRPr="006D7E12" w:rsidRDefault="00883C23" w:rsidP="00883C23">
      <w:pPr>
        <w:spacing w:after="0" w:line="276" w:lineRule="auto"/>
        <w:ind w:firstLine="708"/>
        <w:contextualSpacing/>
        <w:jc w:val="both"/>
        <w:rPr>
          <w:rFonts w:ascii="Arial" w:eastAsia="Calibri" w:hAnsi="Arial" w:cs="Arial"/>
          <w:lang w:val="es-MX"/>
        </w:rPr>
      </w:pPr>
      <w:r w:rsidRPr="006D7E12">
        <w:rPr>
          <w:rFonts w:ascii="Arial" w:eastAsia="Times New Roman" w:hAnsi="Arial"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8" w:name="_Hlk75635823"/>
      <w:r w:rsidRPr="006D7E12">
        <w:rPr>
          <w:rFonts w:ascii="Arial" w:eastAsia="Times New Roman" w:hAnsi="Arial" w:cs="Arial"/>
          <w:bCs/>
          <w:lang w:val="es-MX" w:eastAsia="x-none"/>
        </w:rPr>
        <w:t>»</w:t>
      </w:r>
      <w:bookmarkStart w:id="49" w:name="_Hlk75758868"/>
      <w:bookmarkStart w:id="50" w:name="_Hlk75741220"/>
      <w:bookmarkEnd w:id="48"/>
      <w:r w:rsidRPr="006D7E12">
        <w:rPr>
          <w:rFonts w:ascii="Arial" w:eastAsia="Calibri" w:hAnsi="Arial" w:cs="Arial"/>
          <w:sz w:val="24"/>
          <w:vertAlign w:val="superscript"/>
          <w:lang w:val="es-MX"/>
        </w:rPr>
        <w:footnoteReference w:id="20"/>
      </w:r>
      <w:bookmarkEnd w:id="49"/>
      <w:bookmarkEnd w:id="50"/>
      <w:r w:rsidRPr="006D7E12">
        <w:rPr>
          <w:rFonts w:ascii="Arial" w:eastAsia="Times New Roman" w:hAnsi="Arial" w:cs="Arial"/>
          <w:bCs/>
          <w:lang w:val="es-MX" w:eastAsia="x-none"/>
        </w:rPr>
        <w:t>.</w:t>
      </w:r>
      <w:r w:rsidRPr="006D7E12">
        <w:rPr>
          <w:rFonts w:ascii="Arial" w:eastAsia="Calibri" w:hAnsi="Arial" w:cs="Arial"/>
          <w:lang w:val="es-MX"/>
        </w:rPr>
        <w:t xml:space="preserve"> Sin embargo, debe precisarse el siguiente aspecto que distinguió la Sala de Consulta y Servicio Civil:</w:t>
      </w:r>
    </w:p>
    <w:p w14:paraId="515EEBAE" w14:textId="77777777" w:rsidR="00883C23" w:rsidRPr="006D7E12" w:rsidRDefault="00883C23" w:rsidP="00883C23">
      <w:pPr>
        <w:spacing w:after="0" w:line="276" w:lineRule="auto"/>
        <w:contextualSpacing/>
        <w:jc w:val="both"/>
        <w:rPr>
          <w:rFonts w:ascii="Arial" w:eastAsia="Calibri" w:hAnsi="Arial" w:cs="Arial"/>
          <w:lang w:val="es-MX"/>
        </w:rPr>
      </w:pPr>
    </w:p>
    <w:p w14:paraId="41844B73" w14:textId="77777777" w:rsidR="00883C23" w:rsidRPr="006D7E12" w:rsidRDefault="00883C23" w:rsidP="00883C23">
      <w:pPr>
        <w:spacing w:after="0" w:line="240" w:lineRule="auto"/>
        <w:ind w:left="708" w:right="709"/>
        <w:contextualSpacing/>
        <w:jc w:val="both"/>
        <w:rPr>
          <w:rFonts w:ascii="Arial" w:eastAsia="Calibri" w:hAnsi="Arial" w:cs="Arial"/>
          <w:sz w:val="21"/>
          <w:szCs w:val="21"/>
          <w:lang w:val="es-MX"/>
        </w:rPr>
      </w:pPr>
      <w:bookmarkStart w:id="52" w:name="_Hlk75811446"/>
      <w:r w:rsidRPr="006D7E12">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2"/>
      <w:r w:rsidRPr="006D7E12">
        <w:rPr>
          <w:rFonts w:ascii="Arial" w:eastAsia="Calibri" w:hAnsi="Arial" w:cs="Arial"/>
          <w:sz w:val="24"/>
          <w:vertAlign w:val="superscript"/>
          <w:lang w:val="es-MX"/>
        </w:rPr>
        <w:footnoteReference w:id="21"/>
      </w:r>
      <w:r w:rsidRPr="006D7E12">
        <w:rPr>
          <w:rFonts w:ascii="Arial" w:eastAsia="Times New Roman" w:hAnsi="Arial" w:cs="Arial"/>
          <w:bCs/>
          <w:lang w:val="es-MX" w:eastAsia="x-none"/>
        </w:rPr>
        <w:t>.</w:t>
      </w:r>
    </w:p>
    <w:p w14:paraId="0B4F616F" w14:textId="77777777" w:rsidR="00883C23" w:rsidRPr="006D7E12" w:rsidRDefault="00883C23" w:rsidP="00883C23">
      <w:pPr>
        <w:spacing w:after="0" w:line="276" w:lineRule="auto"/>
        <w:contextualSpacing/>
        <w:jc w:val="both"/>
        <w:rPr>
          <w:rFonts w:ascii="Arial" w:eastAsia="Calibri" w:hAnsi="Arial" w:cs="Arial"/>
          <w:lang w:val="es-MX"/>
        </w:rPr>
      </w:pPr>
    </w:p>
    <w:p w14:paraId="7F598CF4" w14:textId="3121CBB7" w:rsidR="00883C23" w:rsidRPr="006D7E12" w:rsidRDefault="00883C23" w:rsidP="00883C23">
      <w:pPr>
        <w:spacing w:after="120" w:line="276" w:lineRule="auto"/>
        <w:ind w:firstLine="709"/>
        <w:jc w:val="both"/>
        <w:rPr>
          <w:rFonts w:ascii="Arial" w:eastAsia="Times New Roman" w:hAnsi="Arial" w:cs="Arial"/>
          <w:bCs/>
          <w:lang w:val="es-MX" w:eastAsia="x-none"/>
        </w:rPr>
      </w:pPr>
      <w:r w:rsidRPr="006D7E12">
        <w:rPr>
          <w:rFonts w:ascii="Arial" w:eastAsia="Calibri" w:hAnsi="Arial" w:cs="Arial"/>
          <w:lang w:val="es-MX"/>
        </w:rPr>
        <w:t>Aplicando este razonamiento,</w:t>
      </w:r>
      <w:bookmarkStart w:id="53" w:name="_Hlk75811096"/>
      <w:r w:rsidRPr="006D7E12">
        <w:rPr>
          <w:rFonts w:ascii="Arial" w:eastAsia="Calibri" w:hAnsi="Arial" w:cs="Arial"/>
          <w:lang w:val="es-MX"/>
        </w:rPr>
        <w:t xml:space="preserve"> se tiene que las empresas industriales y comerciales del estado y las empresas de servicios públicos oficiales y mixtas no pueden adquirir los </w:t>
      </w:r>
      <w:r w:rsidRPr="006D7E12">
        <w:rPr>
          <w:rFonts w:ascii="Arial" w:eastAsia="Calibri" w:hAnsi="Arial" w:cs="Arial"/>
          <w:lang w:val="es-MX"/>
        </w:rPr>
        <w:lastRenderedPageBreak/>
        <w:t xml:space="preserve">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w:t>
      </w:r>
      <w:r w:rsidR="00004152" w:rsidRPr="006D7E12">
        <w:rPr>
          <w:rFonts w:ascii="Arial" w:eastAsia="Calibri" w:hAnsi="Arial" w:cs="Arial"/>
          <w:lang w:val="es-MX"/>
        </w:rPr>
        <w:t xml:space="preserve">Ley </w:t>
      </w:r>
      <w:r w:rsidRPr="006D7E12">
        <w:rPr>
          <w:rFonts w:ascii="Arial" w:eastAsia="Calibri" w:hAnsi="Arial" w:cs="Arial"/>
          <w:lang w:val="es-MX"/>
        </w:rPr>
        <w:t>996 de 2005</w:t>
      </w:r>
      <w:bookmarkEnd w:id="53"/>
      <w:r w:rsidRPr="006D7E12">
        <w:rPr>
          <w:rFonts w:ascii="Arial" w:eastAsia="Calibri" w:hAnsi="Arial" w:cs="Arial"/>
          <w:lang w:val="es-MX"/>
        </w:rPr>
        <w:t>»</w:t>
      </w:r>
      <w:r w:rsidRPr="006D7E12">
        <w:rPr>
          <w:rFonts w:ascii="Arial" w:eastAsia="Calibri" w:hAnsi="Arial" w:cs="Arial"/>
          <w:sz w:val="24"/>
          <w:vertAlign w:val="superscript"/>
          <w:lang w:val="es-MX"/>
        </w:rPr>
        <w:t xml:space="preserve"> </w:t>
      </w:r>
      <w:r w:rsidRPr="006D7E12">
        <w:rPr>
          <w:rFonts w:ascii="Arial" w:eastAsia="Calibri" w:hAnsi="Arial" w:cs="Arial"/>
          <w:vertAlign w:val="superscript"/>
          <w:lang w:val="es-MX"/>
        </w:rPr>
        <w:footnoteReference w:id="22"/>
      </w:r>
      <w:r w:rsidRPr="006D7E12">
        <w:rPr>
          <w:rFonts w:ascii="Arial" w:eastAsia="Calibri" w:hAnsi="Arial" w:cs="Arial"/>
          <w:lang w:val="es-MX"/>
        </w:rPr>
        <w:t>.</w:t>
      </w:r>
    </w:p>
    <w:p w14:paraId="29815E3C" w14:textId="77777777" w:rsidR="00883C23" w:rsidRPr="006D7E12" w:rsidRDefault="00883C23" w:rsidP="00883C23">
      <w:pPr>
        <w:spacing w:after="0" w:line="276" w:lineRule="auto"/>
        <w:ind w:firstLine="708"/>
        <w:jc w:val="both"/>
        <w:rPr>
          <w:rFonts w:ascii="Arial" w:eastAsia="Times New Roman" w:hAnsi="Arial" w:cs="Arial"/>
          <w:bCs/>
          <w:lang w:val="es-MX" w:eastAsia="x-none"/>
        </w:rPr>
      </w:pPr>
      <w:bookmarkStart w:id="54" w:name="_Hlk77237229"/>
      <w:bookmarkEnd w:id="46"/>
      <w:r w:rsidRPr="006D7E12">
        <w:rPr>
          <w:rFonts w:ascii="Arial" w:eastAsia="Calibri" w:hAnsi="Arial" w:cs="Arial"/>
          <w:lang w:val="es-MX"/>
        </w:rPr>
        <w:t>Por lo tanto, la restricción prevista en la Ley 996 de 200</w:t>
      </w:r>
      <w:bookmarkStart w:id="55" w:name="_Hlk75741539"/>
      <w:r w:rsidRPr="006D7E12">
        <w:rPr>
          <w:rFonts w:ascii="Arial" w:eastAsia="Calibri" w:hAnsi="Arial" w:cs="Arial"/>
          <w:lang w:val="es-MX"/>
        </w:rPr>
        <w:t xml:space="preserve">5, </w:t>
      </w:r>
      <w:r w:rsidRPr="006D7E12">
        <w:rPr>
          <w:rFonts w:ascii="Arial" w:eastAsia="Times New Roman" w:hAnsi="Arial" w:cs="Arial"/>
          <w:bCs/>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54"/>
    <w:bookmarkEnd w:id="55"/>
    <w:p w14:paraId="6308E55B" w14:textId="77777777" w:rsidR="00883C23" w:rsidRPr="006D7E12" w:rsidRDefault="00883C23" w:rsidP="00883C23">
      <w:pPr>
        <w:spacing w:after="0" w:line="276" w:lineRule="auto"/>
        <w:jc w:val="both"/>
        <w:rPr>
          <w:rFonts w:ascii="Arial" w:eastAsia="Calibri" w:hAnsi="Arial" w:cs="Arial"/>
          <w:lang w:val="es-MX"/>
        </w:rPr>
      </w:pPr>
    </w:p>
    <w:p w14:paraId="160A3B9B" w14:textId="6B73C6B1" w:rsidR="004F5C70" w:rsidRPr="006D7E12" w:rsidRDefault="00883C23" w:rsidP="00C967A6">
      <w:pPr>
        <w:spacing w:after="0" w:line="276" w:lineRule="auto"/>
        <w:jc w:val="both"/>
        <w:rPr>
          <w:rFonts w:ascii="Arial" w:eastAsia="Arial" w:hAnsi="Arial" w:cs="Arial"/>
          <w:b/>
          <w:bCs/>
          <w:lang w:val="es-ES" w:eastAsia="es-ES" w:bidi="es-ES"/>
        </w:rPr>
      </w:pPr>
      <w:bookmarkStart w:id="56" w:name="_Hlk75784645"/>
      <w:r w:rsidRPr="006D7E12">
        <w:rPr>
          <w:rFonts w:ascii="Arial" w:eastAsia="Calibri" w:hAnsi="Arial" w:cs="Arial"/>
          <w:b/>
          <w:bCs/>
          <w:lang w:val="es-MX"/>
        </w:rPr>
        <w:t xml:space="preserve">2.4. </w:t>
      </w:r>
      <w:bookmarkEnd w:id="56"/>
      <w:r w:rsidR="004F5C70" w:rsidRPr="006D7E12">
        <w:rPr>
          <w:rFonts w:ascii="Arial" w:eastAsia="Arial" w:hAnsi="Arial" w:cs="Arial"/>
          <w:b/>
          <w:bCs/>
          <w:lang w:val="es-ES" w:eastAsia="es-ES" w:bidi="es-ES"/>
        </w:rPr>
        <w:t>Convenios de asociación y restricciones de la Ley de Garantías</w:t>
      </w:r>
      <w:r w:rsidR="00515FAF" w:rsidRPr="006D7E12">
        <w:rPr>
          <w:rFonts w:ascii="Arial" w:eastAsia="Arial" w:hAnsi="Arial" w:cs="Arial"/>
          <w:b/>
          <w:bCs/>
          <w:lang w:val="es-ES" w:eastAsia="es-ES" w:bidi="es-ES"/>
        </w:rPr>
        <w:t xml:space="preserve"> Electorales</w:t>
      </w:r>
    </w:p>
    <w:p w14:paraId="7DA26227" w14:textId="77777777" w:rsidR="00C51624" w:rsidRPr="006D7E12" w:rsidRDefault="00C51624" w:rsidP="00C51624">
      <w:pPr>
        <w:spacing w:after="0" w:line="276" w:lineRule="auto"/>
        <w:contextualSpacing/>
        <w:jc w:val="both"/>
        <w:rPr>
          <w:rFonts w:ascii="Arial" w:eastAsia="Arial" w:hAnsi="Arial" w:cs="Arial"/>
          <w:b/>
          <w:bCs/>
          <w:lang w:val="es-ES" w:eastAsia="es-ES" w:bidi="es-ES"/>
        </w:rPr>
      </w:pPr>
    </w:p>
    <w:p w14:paraId="099B2641" w14:textId="77777777" w:rsidR="00D044F7" w:rsidRPr="006D7E12" w:rsidRDefault="00D044F7" w:rsidP="00D044F7">
      <w:pPr>
        <w:spacing w:line="276" w:lineRule="auto"/>
        <w:jc w:val="both"/>
        <w:rPr>
          <w:rFonts w:ascii="Arial" w:eastAsia="Calibri" w:hAnsi="Arial" w:cs="Arial"/>
          <w:bCs/>
          <w:lang w:val="es-ES_tradnl"/>
        </w:rPr>
      </w:pPr>
      <w:r w:rsidRPr="006D7E12">
        <w:rPr>
          <w:rFonts w:ascii="Arial" w:eastAsia="Calibri" w:hAnsi="Arial"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6D7E12">
        <w:rPr>
          <w:rStyle w:val="Refdenotaalpie"/>
          <w:rFonts w:ascii="Arial" w:hAnsi="Arial" w:cs="Arial"/>
        </w:rPr>
        <w:footnoteReference w:id="23"/>
      </w:r>
      <w:r w:rsidRPr="006D7E12">
        <w:rPr>
          <w:rFonts w:ascii="Arial" w:eastAsia="Calibri" w:hAnsi="Arial"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6D7E12">
        <w:rPr>
          <w:rStyle w:val="Refdenotaalpie"/>
          <w:rFonts w:ascii="Arial" w:eastAsia="Calibri" w:hAnsi="Arial" w:cs="Arial"/>
          <w:bCs/>
          <w:lang w:val="es-ES_tradnl"/>
        </w:rPr>
        <w:footnoteReference w:id="24"/>
      </w:r>
      <w:r w:rsidRPr="006D7E12">
        <w:rPr>
          <w:rFonts w:ascii="Arial" w:eastAsia="Calibri" w:hAnsi="Arial" w:cs="Arial"/>
          <w:bCs/>
          <w:lang w:val="es-ES_tradnl"/>
        </w:rPr>
        <w:t>.</w:t>
      </w:r>
    </w:p>
    <w:p w14:paraId="20172F35" w14:textId="77777777" w:rsidR="00D044F7" w:rsidRPr="006D7E12" w:rsidRDefault="00D044F7" w:rsidP="00D044F7">
      <w:pPr>
        <w:spacing w:before="120" w:after="120" w:line="276" w:lineRule="auto"/>
        <w:ind w:firstLine="709"/>
        <w:jc w:val="both"/>
        <w:rPr>
          <w:rFonts w:ascii="Arial" w:eastAsia="Calibri" w:hAnsi="Arial" w:cs="Arial"/>
          <w:bCs/>
          <w:lang w:val="es-ES_tradnl"/>
        </w:rPr>
      </w:pPr>
      <w:bookmarkStart w:id="58" w:name="_Hlk38819155"/>
      <w:bookmarkStart w:id="59" w:name="_Hlk100680299"/>
      <w:r w:rsidRPr="006D7E12">
        <w:rPr>
          <w:rFonts w:ascii="Arial" w:eastAsia="Calibri" w:hAnsi="Arial" w:cs="Arial"/>
          <w:bCs/>
          <w:lang w:val="es-ES_tradnl"/>
        </w:rPr>
        <w:lastRenderedPageBreak/>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58"/>
    </w:p>
    <w:p w14:paraId="347AC272" w14:textId="77777777" w:rsidR="00D044F7" w:rsidRPr="006D7E12" w:rsidRDefault="00D044F7" w:rsidP="00D044F7">
      <w:pPr>
        <w:spacing w:before="120" w:after="120" w:line="276" w:lineRule="auto"/>
        <w:ind w:firstLine="709"/>
        <w:jc w:val="both"/>
        <w:rPr>
          <w:rFonts w:ascii="Arial" w:eastAsia="Calibri" w:hAnsi="Arial" w:cs="Arial"/>
          <w:bCs/>
          <w:lang w:val="es-ES_tradnl"/>
        </w:rPr>
      </w:pPr>
      <w:bookmarkStart w:id="60" w:name="_Hlk95756032"/>
      <w:bookmarkEnd w:id="59"/>
      <w:r w:rsidRPr="006D7E12">
        <w:rPr>
          <w:rFonts w:ascii="Arial" w:eastAsia="Calibri" w:hAnsi="Arial" w:cs="Arial"/>
          <w:bCs/>
          <w:lang w:val="es-ES_tradnl"/>
        </w:rPr>
        <w:t xml:space="preserve">Los </w:t>
      </w:r>
      <w:r w:rsidRPr="006D7E12">
        <w:rPr>
          <w:rFonts w:ascii="Arial" w:eastAsia="Calibri" w:hAnsi="Arial" w:cs="Arial"/>
          <w:bCs/>
          <w:i/>
          <w:lang w:val="es-ES_tradnl"/>
        </w:rPr>
        <w:t>contratos del artículo 355 de la Constitución Política</w:t>
      </w:r>
      <w:r w:rsidRPr="006D7E12">
        <w:rPr>
          <w:rFonts w:ascii="Arial" w:eastAsia="Calibri" w:hAnsi="Arial"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60"/>
    <w:p w14:paraId="6482601C" w14:textId="36FE4FAF" w:rsidR="00D044F7" w:rsidRPr="006D7E12" w:rsidRDefault="00D044F7" w:rsidP="00D044F7">
      <w:pPr>
        <w:spacing w:before="120" w:after="120" w:line="276" w:lineRule="auto"/>
        <w:ind w:firstLine="709"/>
        <w:jc w:val="both"/>
        <w:rPr>
          <w:rFonts w:ascii="Arial" w:eastAsia="Calibri" w:hAnsi="Arial" w:cs="Arial"/>
          <w:bCs/>
          <w:lang w:val="es-ES_tradnl"/>
        </w:rPr>
      </w:pPr>
      <w:r w:rsidRPr="006D7E12">
        <w:rPr>
          <w:rFonts w:ascii="Arial" w:eastAsia="Calibri" w:hAnsi="Arial" w:cs="Arial"/>
          <w:bCs/>
          <w:lang w:val="es-ES_tradnl"/>
        </w:rPr>
        <w:t xml:space="preserve">De otro lado, los </w:t>
      </w:r>
      <w:r w:rsidRPr="006D7E12">
        <w:rPr>
          <w:rFonts w:ascii="Arial" w:eastAsia="Calibri" w:hAnsi="Arial" w:cs="Arial"/>
          <w:bCs/>
          <w:i/>
          <w:lang w:val="es-ES_tradnl"/>
        </w:rPr>
        <w:t>convenios de asociación</w:t>
      </w:r>
      <w:r w:rsidRPr="006D7E12">
        <w:rPr>
          <w:rFonts w:ascii="Arial" w:eastAsia="Calibri" w:hAnsi="Arial" w:cs="Arial"/>
          <w:bCs/>
          <w:lang w:val="es-ES_tradnl"/>
        </w:rPr>
        <w:t xml:space="preserve"> «[t]</w:t>
      </w:r>
      <w:proofErr w:type="spellStart"/>
      <w:r w:rsidRPr="006D7E12">
        <w:rPr>
          <w:rFonts w:ascii="Arial" w:eastAsia="Calibri" w:hAnsi="Arial" w:cs="Arial"/>
          <w:bCs/>
          <w:lang w:val="es-ES_tradnl"/>
        </w:rPr>
        <w:t>ienen</w:t>
      </w:r>
      <w:proofErr w:type="spellEnd"/>
      <w:r w:rsidRPr="006D7E12">
        <w:rPr>
          <w:rFonts w:ascii="Arial" w:eastAsia="Calibri" w:hAnsi="Arial"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D7E12">
        <w:rPr>
          <w:rStyle w:val="Refdenotaalpie"/>
          <w:rFonts w:ascii="Arial" w:hAnsi="Arial" w:cs="Arial"/>
        </w:rPr>
        <w:footnoteReference w:id="25"/>
      </w:r>
      <w:r w:rsidRPr="006D7E12">
        <w:rPr>
          <w:rFonts w:ascii="Arial" w:eastAsia="Calibri" w:hAnsi="Arial"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por lo que la entidad no instruye al contratista para desarrollar los programas o actividades previstas, sino que se asocia con él para el cumplimiento de objetivos comunes</w:t>
      </w:r>
      <w:r w:rsidRPr="006D7E12">
        <w:rPr>
          <w:rStyle w:val="Refdenotaalpie"/>
          <w:rFonts w:ascii="Arial" w:hAnsi="Arial" w:cs="Arial"/>
        </w:rPr>
        <w:footnoteReference w:id="26"/>
      </w:r>
      <w:r w:rsidRPr="006D7E12">
        <w:rPr>
          <w:rFonts w:ascii="Arial" w:eastAsia="Calibri" w:hAnsi="Arial" w:cs="Arial"/>
          <w:bCs/>
          <w:lang w:val="es-ES_tradnl"/>
        </w:rPr>
        <w:t>.</w:t>
      </w:r>
    </w:p>
    <w:p w14:paraId="78AE040F" w14:textId="20654D1E" w:rsidR="00D044F7" w:rsidRPr="006D7E12" w:rsidRDefault="00D044F7" w:rsidP="00D044F7">
      <w:pPr>
        <w:spacing w:before="120" w:after="120" w:line="276" w:lineRule="auto"/>
        <w:ind w:firstLine="709"/>
        <w:jc w:val="both"/>
        <w:rPr>
          <w:rFonts w:ascii="Arial" w:eastAsia="Calibri" w:hAnsi="Arial" w:cs="Arial"/>
          <w:bCs/>
        </w:rPr>
      </w:pPr>
      <w:r w:rsidRPr="006D7E12">
        <w:rPr>
          <w:rFonts w:ascii="Arial" w:eastAsia="Calibri" w:hAnsi="Arial" w:cs="Arial"/>
          <w:bCs/>
          <w:lang w:val="es-ES_tradnl"/>
        </w:rPr>
        <w:lastRenderedPageBreak/>
        <w:t>La normativa vigente no impide que varias entidades suscriban conjuntamente el convenio de asociación y tampoco que dos o más ESAL puedan hacerlo, a través de las figuras asociativas autorizadas por la ley, por ejemplo, como unión temporal o como consorcio</w:t>
      </w:r>
      <w:r w:rsidRPr="006D7E12">
        <w:rPr>
          <w:rStyle w:val="Refdenotaalpie"/>
          <w:rFonts w:ascii="Arial" w:eastAsia="Calibri" w:hAnsi="Arial" w:cs="Arial"/>
        </w:rPr>
        <w:footnoteReference w:id="27"/>
      </w:r>
      <w:r w:rsidRPr="006D7E12">
        <w:rPr>
          <w:rFonts w:ascii="Arial" w:eastAsia="Calibri" w:hAnsi="Arial" w:cs="Arial"/>
          <w:bCs/>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5B6CD1C6" w14:textId="78B88366" w:rsidR="006112E9" w:rsidRPr="006D7E12" w:rsidRDefault="00D044F7">
      <w:pPr>
        <w:spacing w:before="120" w:after="120" w:line="276" w:lineRule="auto"/>
        <w:ind w:firstLine="709"/>
        <w:jc w:val="both"/>
        <w:rPr>
          <w:rFonts w:ascii="Arial" w:hAnsi="Arial" w:cs="Arial"/>
          <w:color w:val="000000" w:themeColor="text1"/>
        </w:rPr>
      </w:pPr>
      <w:r w:rsidRPr="006D7E12">
        <w:rPr>
          <w:rFonts w:ascii="Arial" w:hAnsi="Arial" w:cs="Arial"/>
          <w:color w:val="000000" w:themeColor="text1"/>
        </w:rPr>
        <w:t xml:space="preserve">La noción «seleccionar de forma objetiva», contenida en la disposición </w:t>
      </w:r>
      <w:r w:rsidRPr="006D7E12">
        <w:rPr>
          <w:rFonts w:ascii="Arial" w:hAnsi="Arial" w:cs="Arial"/>
          <w:i/>
          <w:iCs/>
          <w:color w:val="000000" w:themeColor="text1"/>
        </w:rPr>
        <w:t xml:space="preserve">sub examine </w:t>
      </w:r>
      <w:r w:rsidRPr="006D7E12">
        <w:rPr>
          <w:rFonts w:ascii="Arial" w:hAnsi="Arial" w:cs="Arial"/>
          <w:color w:val="000000" w:themeColor="text1"/>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20050A2E" w14:textId="2D691DE8" w:rsidR="00906730" w:rsidRPr="006D7E12" w:rsidRDefault="00906730" w:rsidP="00D044F7">
      <w:pPr>
        <w:spacing w:before="120" w:after="120" w:line="276" w:lineRule="auto"/>
        <w:ind w:firstLine="709"/>
        <w:jc w:val="both"/>
        <w:rPr>
          <w:rFonts w:ascii="Arial" w:hAnsi="Arial" w:cs="Arial"/>
        </w:rPr>
      </w:pPr>
      <w:r w:rsidRPr="006D7E12">
        <w:rPr>
          <w:rFonts w:ascii="Arial" w:hAnsi="Arial" w:cs="Arial"/>
        </w:rPr>
        <w:t xml:space="preserve">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w:t>
      </w:r>
      <w:r w:rsidRPr="006D7E12">
        <w:rPr>
          <w:rFonts w:ascii="Arial" w:hAnsi="Arial" w:cs="Arial"/>
        </w:rPr>
        <w:lastRenderedPageBreak/>
        <w:t>las ofertas. Este procedimiento puede ser análogo a otros donde existe competencia, como la licitación pública. </w:t>
      </w:r>
    </w:p>
    <w:p w14:paraId="06EFCAEA" w14:textId="359DD743" w:rsidR="004F5C70" w:rsidRPr="006D7E12" w:rsidRDefault="004F5C70" w:rsidP="00820B42">
      <w:pPr>
        <w:spacing w:after="120" w:line="276" w:lineRule="auto"/>
        <w:ind w:firstLine="709"/>
        <w:jc w:val="both"/>
        <w:rPr>
          <w:rFonts w:ascii="Arial" w:eastAsia="Calibri" w:hAnsi="Arial" w:cs="Arial"/>
        </w:rPr>
      </w:pPr>
      <w:r w:rsidRPr="006D7E12">
        <w:rPr>
          <w:rFonts w:ascii="Arial" w:hAnsi="Arial" w:cs="Arial"/>
        </w:rPr>
        <w:t>Ahora bien, e</w:t>
      </w:r>
      <w:r w:rsidRPr="006D7E12">
        <w:rPr>
          <w:rFonts w:ascii="Arial" w:eastAsia="Calibri" w:hAnsi="Arial" w:cs="Arial"/>
        </w:rPr>
        <w:t>l Consejo de Estado, en el Auto del 6 de agosto de 2019 de la Sección Tercera, Subsección A –</w:t>
      </w:r>
      <w:proofErr w:type="spellStart"/>
      <w:r w:rsidRPr="006D7E12">
        <w:rPr>
          <w:rFonts w:ascii="Arial" w:eastAsia="Calibri" w:hAnsi="Arial" w:cs="Arial"/>
        </w:rPr>
        <w:t>Exp</w:t>
      </w:r>
      <w:proofErr w:type="spellEnd"/>
      <w:r w:rsidRPr="006D7E12">
        <w:rPr>
          <w:rFonts w:ascii="Arial" w:eastAsia="Calibri" w:hAnsi="Arial" w:cs="Arial"/>
        </w:rPr>
        <w:t>. 62.003–, estudió la solicitud de suspensión provisional</w:t>
      </w:r>
      <w:r w:rsidRPr="006D7E12">
        <w:rPr>
          <w:rStyle w:val="Refdenotaalpie"/>
          <w:rFonts w:ascii="Arial" w:eastAsia="Calibri" w:hAnsi="Arial" w:cs="Arial"/>
        </w:rPr>
        <w:footnoteReference w:id="28"/>
      </w:r>
      <w:r w:rsidRPr="006D7E12">
        <w:rPr>
          <w:rFonts w:ascii="Arial" w:eastAsia="Calibri" w:hAnsi="Arial" w:cs="Arial"/>
        </w:rPr>
        <w:t xml:space="preserve"> del inciso 2 del artículo 1, literales a y c del artículo 2, inciso 5 del artículo 2, inciso 2 del artículo 3, inciso final del artículo 4 y artículo 5 del Decreto 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6D7E12">
        <w:rPr>
          <w:rFonts w:ascii="Arial" w:eastAsia="Calibri" w:hAnsi="Arial" w:cs="Arial"/>
          <w:i/>
          <w:iCs/>
        </w:rPr>
        <w:t>convenio de asociación</w:t>
      </w:r>
      <w:r w:rsidRPr="006D7E12">
        <w:rPr>
          <w:rFonts w:ascii="Arial" w:eastAsia="Calibri" w:hAnsi="Arial" w:cs="Arial"/>
        </w:rPr>
        <w:t xml:space="preserve"> con ESAL de reconocida idoneidad para el cumplimiento de las funciones que la ley les asigna a las entidades públicas, debe aplicarse lo dispuesto en el artículo 5 del Decreto 092 de 2017. </w:t>
      </w:r>
    </w:p>
    <w:p w14:paraId="3B35BCCC" w14:textId="77777777" w:rsidR="00080F8E" w:rsidRPr="006D7E12" w:rsidRDefault="00080F8E" w:rsidP="00080F8E">
      <w:pPr>
        <w:spacing w:line="276" w:lineRule="auto"/>
        <w:ind w:firstLine="709"/>
        <w:jc w:val="both"/>
        <w:rPr>
          <w:rFonts w:ascii="Arial" w:hAnsi="Arial" w:cs="Arial"/>
          <w:bCs/>
          <w:color w:val="000000"/>
          <w:lang w:eastAsia="es-CO"/>
        </w:rPr>
      </w:pPr>
      <w:r w:rsidRPr="006D7E12">
        <w:rPr>
          <w:rFonts w:ascii="Arial" w:eastAsia="Calibri" w:hAnsi="Arial" w:cs="Arial"/>
          <w:color w:val="000000" w:themeColor="text1"/>
        </w:rPr>
        <w:t xml:space="preserve">En este contexto, para la restricción del artículo 33 de la </w:t>
      </w:r>
      <w:r w:rsidRPr="006D7E12">
        <w:rPr>
          <w:rFonts w:ascii="Arial" w:hAnsi="Arial" w:cs="Arial"/>
          <w:bCs/>
          <w:color w:val="000000"/>
          <w:lang w:eastAsia="es-CO"/>
        </w:rPr>
        <w:t xml:space="preserve">Ley 996 de 2005 es necesario considerar que </w:t>
      </w:r>
      <w:r w:rsidRPr="006D7E12">
        <w:rPr>
          <w:rFonts w:ascii="Arial" w:eastAsia="Calibri" w:hAnsi="Arial" w:cs="Arial"/>
          <w:lang w:val="es-ES"/>
        </w:rPr>
        <w:t>el Decreto 092 de 2017</w:t>
      </w:r>
      <w:r w:rsidRPr="006D7E12">
        <w:rPr>
          <w:rFonts w:ascii="Arial" w:hAnsi="Arial" w:cs="Arial"/>
          <w:bCs/>
          <w:color w:val="000000"/>
          <w:lang w:eastAsia="es-CO"/>
        </w:rPr>
        <w:t xml:space="preserve"> consagra un régimen jurídico que exceptúa la aplicación del Estatuto General de Contratación de la Administración Pública. 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6D7E12">
        <w:rPr>
          <w:rFonts w:ascii="Arial" w:hAnsi="Arial" w:cs="Arial"/>
          <w:bCs/>
          <w:i/>
          <w:iCs/>
          <w:color w:val="00000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6D7E12">
        <w:rPr>
          <w:rFonts w:ascii="Arial" w:hAnsi="Arial" w:cs="Arial"/>
          <w:bCs/>
          <w:color w:val="000000"/>
          <w:lang w:eastAsia="es-CO"/>
        </w:rPr>
        <w:t>»</w:t>
      </w:r>
      <w:r w:rsidRPr="006D7E12">
        <w:rPr>
          <w:rStyle w:val="Refdenotaalpie"/>
          <w:rFonts w:ascii="Arial" w:hAnsi="Arial" w:cs="Arial"/>
          <w:bCs/>
          <w:color w:val="000000"/>
          <w:lang w:eastAsia="es-CO"/>
        </w:rPr>
        <w:footnoteReference w:id="29"/>
      </w:r>
      <w:r w:rsidRPr="006D7E12">
        <w:rPr>
          <w:rFonts w:ascii="Arial" w:hAnsi="Arial" w:cs="Arial"/>
          <w:bCs/>
          <w:color w:val="000000"/>
          <w:lang w:eastAsia="es-CO"/>
        </w:rPr>
        <w:t xml:space="preserve"> (Énfasis fuera de texto). </w:t>
      </w:r>
    </w:p>
    <w:p w14:paraId="7F5B96EF" w14:textId="001B02E1" w:rsidR="00667C06" w:rsidRPr="007C4DF6" w:rsidRDefault="00080F8E" w:rsidP="007C4DF6">
      <w:pPr>
        <w:spacing w:line="276" w:lineRule="auto"/>
        <w:ind w:firstLine="709"/>
        <w:jc w:val="both"/>
        <w:rPr>
          <w:rFonts w:ascii="Arial" w:hAnsi="Arial" w:cs="Arial"/>
          <w:bCs/>
          <w:color w:val="000000"/>
          <w:lang w:eastAsia="es-CO"/>
        </w:rPr>
      </w:pPr>
      <w:bookmarkStart w:id="61" w:name="_Hlk100680351"/>
      <w:r w:rsidRPr="006D7E12">
        <w:rPr>
          <w:rFonts w:ascii="Arial" w:hAnsi="Arial" w:cs="Arial"/>
          <w:bCs/>
          <w:color w:val="000000"/>
          <w:lang w:eastAsia="es-CO"/>
        </w:rPr>
        <w:t>Por tanto, durante la vigencia de la prohibición del artículo 33 de la Ley 996 de 2005</w:t>
      </w:r>
      <w:r w:rsidR="00C94147" w:rsidRPr="006D7E12">
        <w:rPr>
          <w:rFonts w:ascii="Arial" w:hAnsi="Arial" w:cs="Arial"/>
          <w:bCs/>
          <w:color w:val="000000"/>
          <w:lang w:eastAsia="es-CO"/>
        </w:rPr>
        <w:t xml:space="preserve"> –sin perjuicio de las excepciones dispuestas en el inciso segundo </w:t>
      </w:r>
      <w:r w:rsidR="00C94147" w:rsidRPr="006D7E12">
        <w:rPr>
          <w:rFonts w:ascii="Arial" w:hAnsi="Arial" w:cs="Arial"/>
          <w:bCs/>
          <w:i/>
          <w:iCs/>
          <w:color w:val="000000"/>
          <w:lang w:eastAsia="es-CO"/>
        </w:rPr>
        <w:t>ibidem</w:t>
      </w:r>
      <w:r w:rsidR="00C94147" w:rsidRPr="006D7E12">
        <w:rPr>
          <w:rFonts w:ascii="Arial" w:hAnsi="Arial" w:cs="Arial"/>
          <w:bCs/>
          <w:color w:val="000000"/>
          <w:lang w:eastAsia="es-CO"/>
        </w:rPr>
        <w:t>–</w:t>
      </w:r>
      <w:r w:rsidRPr="006D7E12">
        <w:rPr>
          <w:rFonts w:ascii="Arial" w:hAnsi="Arial" w:cs="Arial"/>
          <w:bCs/>
          <w:color w:val="000000"/>
          <w:lang w:eastAsia="es-CO"/>
        </w:rPr>
        <w:t xml:space="preserve"> está restringida cualquier modalidad de selección que excluya la pluralidad de oferentes.</w:t>
      </w:r>
      <w:r w:rsidR="008870AC" w:rsidRPr="006D7E12">
        <w:rPr>
          <w:rFonts w:ascii="Arial" w:hAnsi="Arial" w:cs="Arial"/>
          <w:bCs/>
          <w:color w:val="000000"/>
          <w:lang w:eastAsia="es-CO"/>
        </w:rPr>
        <w:t xml:space="preserve"> </w:t>
      </w:r>
      <w:r w:rsidR="00C94147" w:rsidRPr="006D7E12">
        <w:rPr>
          <w:rFonts w:ascii="Arial" w:hAnsi="Arial" w:cs="Arial"/>
          <w:bCs/>
          <w:color w:val="000000"/>
          <w:lang w:eastAsia="es-CO"/>
        </w:rPr>
        <w:t>Respecto al régimen de contratación de las ESAL</w:t>
      </w:r>
      <w:r w:rsidR="008870AC" w:rsidRPr="006D7E12">
        <w:rPr>
          <w:rFonts w:ascii="Arial" w:hAnsi="Arial" w:cs="Arial"/>
          <w:bCs/>
          <w:color w:val="000000"/>
          <w:lang w:eastAsia="es-CO"/>
        </w:rPr>
        <w:t xml:space="preserve">, </w:t>
      </w:r>
      <w:r w:rsidR="00462FFD" w:rsidRPr="006D7E12">
        <w:rPr>
          <w:rFonts w:ascii="Arial" w:hAnsi="Arial" w:cs="Arial"/>
          <w:bCs/>
          <w:color w:val="000000"/>
          <w:lang w:eastAsia="es-CO"/>
        </w:rPr>
        <w:t>esto</w:t>
      </w:r>
      <w:r w:rsidR="00C94147" w:rsidRPr="006D7E12">
        <w:rPr>
          <w:rFonts w:ascii="Arial" w:hAnsi="Arial" w:cs="Arial"/>
          <w:bCs/>
          <w:color w:val="000000"/>
          <w:lang w:eastAsia="es-CO"/>
        </w:rPr>
        <w:t xml:space="preserve"> es congruente con </w:t>
      </w:r>
      <w:r w:rsidR="008870AC" w:rsidRPr="006D7E12">
        <w:rPr>
          <w:rFonts w:ascii="Arial" w:hAnsi="Arial" w:cs="Arial"/>
          <w:bCs/>
          <w:color w:val="000000"/>
          <w:lang w:eastAsia="es-CO"/>
        </w:rPr>
        <w:t xml:space="preserve">el numeral </w:t>
      </w:r>
      <w:r w:rsidR="00C94147" w:rsidRPr="006D7E12">
        <w:rPr>
          <w:rFonts w:ascii="Arial" w:hAnsi="Arial" w:cs="Arial"/>
          <w:bCs/>
          <w:color w:val="000000"/>
          <w:lang w:eastAsia="es-CO"/>
        </w:rPr>
        <w:t xml:space="preserve">15.4 de </w:t>
      </w:r>
      <w:r w:rsidR="008870AC" w:rsidRPr="006D7E12">
        <w:rPr>
          <w:rFonts w:ascii="Arial" w:eastAsia="Arial" w:hAnsi="Arial" w:cs="Arial"/>
          <w:lang w:val="es-ES" w:eastAsia="es-ES" w:bidi="es-ES"/>
        </w:rPr>
        <w:t>la Circular Externa Única de Colombia Compra Eficiente</w:t>
      </w:r>
      <w:r w:rsidR="00C94147" w:rsidRPr="006D7E12">
        <w:rPr>
          <w:rFonts w:ascii="Arial" w:eastAsia="Arial" w:hAnsi="Arial" w:cs="Arial"/>
          <w:lang w:val="es-ES" w:eastAsia="es-ES" w:bidi="es-ES"/>
        </w:rPr>
        <w:t xml:space="preserve">, </w:t>
      </w:r>
      <w:r w:rsidR="00462FFD" w:rsidRPr="006D7E12">
        <w:rPr>
          <w:rFonts w:ascii="Arial" w:eastAsia="Arial" w:hAnsi="Arial" w:cs="Arial"/>
          <w:lang w:val="es-ES" w:eastAsia="es-ES" w:bidi="es-ES"/>
        </w:rPr>
        <w:t>en el entendido que</w:t>
      </w:r>
      <w:r w:rsidR="00C94147" w:rsidRPr="006D7E12">
        <w:rPr>
          <w:rFonts w:ascii="Arial" w:eastAsia="Arial" w:hAnsi="Arial" w:cs="Arial"/>
          <w:lang w:val="es-ES" w:eastAsia="es-ES" w:bidi="es-ES"/>
        </w:rPr>
        <w:t xml:space="preserve"> «</w:t>
      </w:r>
      <w:r w:rsidR="00C94147" w:rsidRPr="006D7E12">
        <w:rPr>
          <w:rFonts w:ascii="Arial" w:eastAsia="Arial" w:hAnsi="Arial" w:cs="Arial"/>
          <w:lang w:eastAsia="es-ES" w:bidi="es-ES"/>
        </w:rPr>
        <w:t>Se encuentran restringidas las contrataciones que en el marco del Decreto 092 de 2017 se realicen a través de procesos no competitivos […]»</w:t>
      </w:r>
      <w:r w:rsidR="00462FFD" w:rsidRPr="006D7E12">
        <w:rPr>
          <w:rFonts w:ascii="Arial" w:eastAsia="Arial" w:hAnsi="Arial" w:cs="Arial"/>
          <w:lang w:eastAsia="es-ES" w:bidi="es-ES"/>
        </w:rPr>
        <w:t>. Por el contrario</w:t>
      </w:r>
      <w:r w:rsidR="00C94147" w:rsidRPr="006D7E12">
        <w:rPr>
          <w:rFonts w:ascii="Arial" w:eastAsia="Arial" w:hAnsi="Arial" w:cs="Arial"/>
          <w:lang w:eastAsia="es-ES" w:bidi="es-ES"/>
        </w:rPr>
        <w:t xml:space="preserve">, «Los procesos competitivos que se </w:t>
      </w:r>
      <w:r w:rsidR="00C94147" w:rsidRPr="006D7E12">
        <w:rPr>
          <w:rFonts w:ascii="Arial" w:eastAsia="Arial" w:hAnsi="Arial" w:cs="Arial"/>
          <w:lang w:eastAsia="es-ES" w:bidi="es-ES"/>
        </w:rPr>
        <w:lastRenderedPageBreak/>
        <w:t>adelanten en el marco del Decreto 092 de 2017 no se encuentran restringidos por la Ley de Garantías».</w:t>
      </w:r>
      <w:bookmarkEnd w:id="61"/>
      <w:r w:rsidR="008D3293">
        <w:rPr>
          <w:rFonts w:ascii="Arial" w:hAnsi="Arial" w:cs="Arial"/>
          <w:bCs/>
          <w:color w:val="000000"/>
          <w:lang w:eastAsia="es-CO"/>
        </w:rPr>
        <w:t xml:space="preserve"> </w:t>
      </w:r>
      <w:r w:rsidR="000D38A1" w:rsidRPr="006D7E12">
        <w:rPr>
          <w:rFonts w:ascii="Arial" w:eastAsia="Calibri" w:hAnsi="Arial" w:cs="Arial"/>
          <w:color w:val="000000" w:themeColor="text1"/>
          <w:lang w:val="es-ES"/>
        </w:rPr>
        <w:t xml:space="preserve">De esta manera, </w:t>
      </w:r>
      <w:r w:rsidR="00AB2D55" w:rsidRPr="006D7E12">
        <w:rPr>
          <w:rFonts w:ascii="Arial" w:eastAsia="Calibri" w:hAnsi="Arial" w:cs="Arial"/>
          <w:color w:val="000000" w:themeColor="text1"/>
          <w:lang w:val="es-ES"/>
        </w:rPr>
        <w:t>respecto</w:t>
      </w:r>
      <w:r w:rsidR="000D38A1" w:rsidRPr="006D7E12">
        <w:rPr>
          <w:rFonts w:ascii="Arial" w:eastAsia="Calibri" w:hAnsi="Arial" w:cs="Arial"/>
          <w:color w:val="000000" w:themeColor="text1"/>
          <w:lang w:val="es-ES"/>
        </w:rPr>
        <w:t xml:space="preserve"> a la celebración de convenios con ESAL en vigencia de la restricción del artículo 33 de la Ley de Garantías, se concluye que, esto solo será posible cuando dicho tipo de acuerdos se realicen a través de la modalidad </w:t>
      </w:r>
      <w:r w:rsidR="000D38A1" w:rsidRPr="006D7E12">
        <w:rPr>
          <w:rFonts w:ascii="Arial" w:eastAsia="Calibri" w:hAnsi="Arial" w:cs="Arial"/>
          <w:i/>
          <w:iCs/>
          <w:color w:val="000000" w:themeColor="text1"/>
          <w:lang w:val="es-ES"/>
        </w:rPr>
        <w:t>competitiva</w:t>
      </w:r>
      <w:r w:rsidR="000D38A1" w:rsidRPr="006D7E12">
        <w:rPr>
          <w:rFonts w:ascii="Arial" w:eastAsia="Calibri" w:hAnsi="Arial" w:cs="Arial"/>
          <w:color w:val="000000" w:themeColor="text1"/>
          <w:lang w:val="es-ES"/>
        </w:rPr>
        <w:t xml:space="preserve">, mientras que la celebración de este tipo de convenios en la modalidad </w:t>
      </w:r>
      <w:r w:rsidR="000D38A1" w:rsidRPr="006D7E12">
        <w:rPr>
          <w:rFonts w:ascii="Arial" w:eastAsia="Calibri" w:hAnsi="Arial" w:cs="Arial"/>
          <w:i/>
          <w:iCs/>
          <w:color w:val="000000" w:themeColor="text1"/>
          <w:lang w:val="es-ES"/>
        </w:rPr>
        <w:t>no competitiva</w:t>
      </w:r>
      <w:r w:rsidR="000D38A1" w:rsidRPr="006D7E12">
        <w:rPr>
          <w:rFonts w:ascii="Arial" w:eastAsia="Calibri" w:hAnsi="Arial" w:cs="Arial"/>
          <w:color w:val="000000" w:themeColor="text1"/>
          <w:lang w:val="es-ES"/>
        </w:rPr>
        <w:t xml:space="preserve"> sí estaría prohibida durante el periodo de esta restricción. </w:t>
      </w:r>
    </w:p>
    <w:p w14:paraId="2A48EB4D" w14:textId="77777777" w:rsidR="00883C23" w:rsidRPr="006D7E12" w:rsidRDefault="00883C23" w:rsidP="00667C06">
      <w:pPr>
        <w:spacing w:after="0" w:line="276" w:lineRule="auto"/>
        <w:contextualSpacing/>
        <w:jc w:val="both"/>
        <w:rPr>
          <w:rFonts w:ascii="Arial" w:eastAsia="Calibri" w:hAnsi="Arial" w:cs="Arial"/>
          <w:b/>
        </w:rPr>
      </w:pPr>
      <w:r w:rsidRPr="006D7E12">
        <w:rPr>
          <w:rFonts w:ascii="Arial" w:eastAsia="Calibri" w:hAnsi="Arial" w:cs="Arial"/>
          <w:b/>
        </w:rPr>
        <w:t>3. Respuesta</w:t>
      </w:r>
    </w:p>
    <w:p w14:paraId="4A77B27A" w14:textId="77777777" w:rsidR="00883C23" w:rsidRPr="006D7E12" w:rsidRDefault="00883C23" w:rsidP="00667C06">
      <w:pPr>
        <w:spacing w:after="0" w:line="276" w:lineRule="auto"/>
        <w:contextualSpacing/>
        <w:jc w:val="both"/>
        <w:rPr>
          <w:rFonts w:ascii="Arial" w:eastAsia="Calibri" w:hAnsi="Arial" w:cs="Arial"/>
          <w:bCs/>
        </w:rPr>
      </w:pPr>
    </w:p>
    <w:p w14:paraId="498BF32B" w14:textId="42F5A57D" w:rsidR="004F2E72" w:rsidRPr="006D7E12" w:rsidRDefault="005F6C8C" w:rsidP="004F2E72">
      <w:pPr>
        <w:spacing w:after="0" w:line="240" w:lineRule="auto"/>
        <w:ind w:left="709" w:right="709"/>
        <w:jc w:val="both"/>
        <w:rPr>
          <w:rFonts w:ascii="Arial" w:eastAsia="Times New Roman" w:hAnsi="Arial" w:cs="Arial"/>
          <w:sz w:val="21"/>
          <w:szCs w:val="21"/>
          <w:shd w:val="clear" w:color="auto" w:fill="FFFFFF"/>
          <w:lang w:eastAsia="es-CO"/>
        </w:rPr>
      </w:pPr>
      <w:bookmarkStart w:id="62" w:name="_Hlk57650395"/>
      <w:r w:rsidRPr="005F6C8C">
        <w:rPr>
          <w:rFonts w:ascii="Arial" w:eastAsia="Times New Roman" w:hAnsi="Arial" w:cs="Arial"/>
          <w:sz w:val="21"/>
          <w:szCs w:val="21"/>
          <w:shd w:val="clear" w:color="auto" w:fill="FFFFFF"/>
          <w:lang w:eastAsia="es-CO"/>
        </w:rPr>
        <w:t>«</w:t>
      </w:r>
      <w:proofErr w:type="gramStart"/>
      <w:r w:rsidRPr="005F6C8C">
        <w:rPr>
          <w:rFonts w:ascii="Arial" w:eastAsia="Times New Roman" w:hAnsi="Arial" w:cs="Arial"/>
          <w:sz w:val="21"/>
          <w:szCs w:val="21"/>
          <w:shd w:val="clear" w:color="auto" w:fill="FFFFFF"/>
          <w:lang w:eastAsia="es-CO"/>
        </w:rPr>
        <w:t>Los convenios de asociación entre entidades públicas que desea asociarse con personas jurídicas privadas, mediante la celebración de convenios de asociación, para el desarrollo conjunto de actividades en relación con los cometidos y funciones asignados por la ley, conforme al artículo 96 de la ley 489 de 1998, se encuentran cobijados por las restricciones del artículo 33 de la ley de garantías?</w:t>
      </w:r>
      <w:proofErr w:type="gramEnd"/>
      <w:r w:rsidRPr="005F6C8C">
        <w:rPr>
          <w:rFonts w:ascii="Arial" w:eastAsia="Times New Roman" w:hAnsi="Arial" w:cs="Arial"/>
          <w:sz w:val="21"/>
          <w:szCs w:val="21"/>
          <w:shd w:val="clear" w:color="auto" w:fill="FFFFFF"/>
          <w:lang w:eastAsia="es-CO"/>
        </w:rPr>
        <w:t>»</w:t>
      </w:r>
      <w:r w:rsidR="000D38A1" w:rsidRPr="006D7E12">
        <w:rPr>
          <w:rFonts w:ascii="Arial" w:eastAsia="Times New Roman" w:hAnsi="Arial" w:cs="Arial"/>
          <w:sz w:val="21"/>
          <w:szCs w:val="21"/>
          <w:shd w:val="clear" w:color="auto" w:fill="FFFFFF"/>
          <w:lang w:eastAsia="es-CO"/>
        </w:rPr>
        <w:t>.</w:t>
      </w:r>
      <w:r w:rsidR="004F2E72" w:rsidRPr="006D7E12">
        <w:rPr>
          <w:rFonts w:ascii="Arial" w:eastAsia="Times New Roman" w:hAnsi="Arial" w:cs="Arial"/>
          <w:sz w:val="21"/>
          <w:szCs w:val="21"/>
          <w:shd w:val="clear" w:color="auto" w:fill="FFFFFF"/>
          <w:lang w:eastAsia="es-CO"/>
        </w:rPr>
        <w:t xml:space="preserve"> </w:t>
      </w:r>
    </w:p>
    <w:p w14:paraId="03A49C47" w14:textId="77777777" w:rsidR="004F2E72" w:rsidRPr="006D7E12" w:rsidRDefault="004F2E72" w:rsidP="00BE1101">
      <w:pPr>
        <w:spacing w:after="0" w:line="276" w:lineRule="auto"/>
        <w:ind w:left="709" w:right="709"/>
        <w:jc w:val="both"/>
        <w:rPr>
          <w:rFonts w:ascii="Arial" w:eastAsia="Times New Roman" w:hAnsi="Arial" w:cs="Arial"/>
          <w:shd w:val="clear" w:color="auto" w:fill="FFFFFF"/>
          <w:lang w:eastAsia="es-CO"/>
        </w:rPr>
      </w:pPr>
    </w:p>
    <w:p w14:paraId="3175B45E" w14:textId="77777777" w:rsidR="00A14D95" w:rsidRDefault="00486B76" w:rsidP="00A14D95">
      <w:pPr>
        <w:spacing w:after="120" w:line="276" w:lineRule="auto"/>
        <w:jc w:val="both"/>
        <w:rPr>
          <w:rFonts w:ascii="Arial" w:eastAsia="Arial" w:hAnsi="Arial" w:cs="Arial"/>
          <w:bCs/>
          <w:color w:val="1A1A1A" w:themeColor="background1" w:themeShade="1A"/>
          <w:lang w:val="es-MX"/>
        </w:rPr>
      </w:pPr>
      <w:r w:rsidRPr="006D7E12">
        <w:rPr>
          <w:rFonts w:ascii="Arial" w:eastAsia="Times New Roman" w:hAnsi="Arial" w:cs="Arial"/>
          <w:bCs/>
          <w:lang w:val="es-MX" w:eastAsia="es-CO"/>
        </w:rPr>
        <w:t xml:space="preserve">De acuerdo con la interpretación de las normas generales del sistema de compras públicas, </w:t>
      </w:r>
      <w:r w:rsidR="00FE5DD8" w:rsidRPr="006D7E12">
        <w:rPr>
          <w:rFonts w:ascii="Arial" w:eastAsia="Times New Roman" w:hAnsi="Arial" w:cs="Arial"/>
          <w:bCs/>
          <w:lang w:val="es-MX" w:eastAsia="es-CO"/>
        </w:rPr>
        <w:t xml:space="preserve">sin perjuicio de </w:t>
      </w:r>
      <w:r w:rsidR="00FE5DD8" w:rsidRPr="006D7E12">
        <w:rPr>
          <w:rFonts w:ascii="Arial" w:eastAsia="Times New Roman" w:hAnsi="Arial" w:cs="Arial"/>
          <w:bCs/>
          <w:lang w:val="es-ES" w:eastAsia="es-CO"/>
        </w:rPr>
        <w:t>cada entidad defina la viabilidad técnica, jurídica y financiera de celebrar determinado contrato estatal en específico</w:t>
      </w:r>
      <w:r w:rsidRPr="006D7E12">
        <w:rPr>
          <w:rFonts w:ascii="Arial" w:eastAsia="Times New Roman" w:hAnsi="Arial" w:cs="Arial"/>
          <w:bCs/>
          <w:lang w:val="es-MX" w:eastAsia="es-CO"/>
        </w:rPr>
        <w:t>,</w:t>
      </w:r>
      <w:r w:rsidRPr="006D7E12" w:rsidDel="00BF36EC">
        <w:rPr>
          <w:rFonts w:ascii="Arial" w:eastAsia="Times New Roman" w:hAnsi="Arial" w:cs="Arial"/>
          <w:bCs/>
          <w:lang w:val="es-MX" w:eastAsia="es-CO"/>
        </w:rPr>
        <w:t xml:space="preserve"> </w:t>
      </w:r>
      <w:r w:rsidR="00A14D95" w:rsidRPr="00386B37">
        <w:rPr>
          <w:rFonts w:ascii="Arial" w:eastAsia="Arial" w:hAnsi="Arial" w:cs="Arial"/>
          <w:bCs/>
          <w:color w:val="1A1A1A" w:themeColor="background1" w:themeShade="1A"/>
          <w:lang w:val="es-ES_tradnl"/>
        </w:rPr>
        <w:t xml:space="preserve">el 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00A14D95" w:rsidRPr="00386B37">
        <w:rPr>
          <w:rFonts w:ascii="Arial" w:eastAsia="Arial" w:hAnsi="Arial" w:cs="Arial"/>
          <w:bCs/>
          <w:color w:val="1A1A1A" w:themeColor="background1" w:themeShade="1A"/>
          <w:lang w:val="es-MX"/>
        </w:rPr>
        <w:t>Los destinatarios de la prohibición son «todos los entes del Estado», expresión que contempla a los diferentes organismos o entidades autorizadas por la ley para suscribir contratos. En efecto, como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B953652" w14:textId="77777777" w:rsidR="00A14D95" w:rsidRPr="006310DB" w:rsidRDefault="00A14D95" w:rsidP="00A14D95">
      <w:pPr>
        <w:spacing w:after="120" w:line="276" w:lineRule="auto"/>
        <w:ind w:firstLine="709"/>
        <w:jc w:val="both"/>
        <w:rPr>
          <w:rFonts w:ascii="Arial" w:hAnsi="Arial" w:cs="Arial"/>
          <w:bCs/>
          <w:lang w:val="es-MX" w:eastAsia="x-none"/>
        </w:rPr>
      </w:pPr>
      <w:r>
        <w:rPr>
          <w:rFonts w:ascii="Arial" w:hAnsi="Arial" w:cs="Arial"/>
          <w:bCs/>
          <w:lang w:val="es-MX" w:eastAsia="x-none"/>
        </w:rPr>
        <w:t>P</w:t>
      </w:r>
      <w:r w:rsidRPr="00CB3E91">
        <w:rPr>
          <w:rFonts w:ascii="Arial" w:hAnsi="Arial" w:cs="Arial"/>
          <w:bCs/>
          <w:lang w:val="es-MX" w:eastAsia="x-none"/>
        </w:rPr>
        <w:t>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B3E91">
        <w:rPr>
          <w:rFonts w:ascii="Arial" w:hAnsi="Arial" w:cs="Arial"/>
          <w:vertAlign w:val="superscript"/>
          <w:lang w:eastAsia="x-none"/>
        </w:rPr>
        <w:t xml:space="preserve"> </w:t>
      </w:r>
      <w:r w:rsidRPr="00CB3E91">
        <w:rPr>
          <w:rFonts w:ascii="Arial"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B3E91">
        <w:rPr>
          <w:rFonts w:ascii="Arial" w:hAnsi="Arial" w:cs="Arial"/>
          <w:lang w:eastAsia="x-none"/>
        </w:rPr>
        <w:t xml:space="preserve"> </w:t>
      </w:r>
    </w:p>
    <w:p w14:paraId="765195CB" w14:textId="77777777" w:rsidR="00A14D95" w:rsidRPr="00CB3E91" w:rsidRDefault="00A14D95" w:rsidP="00A14D95">
      <w:pPr>
        <w:spacing w:after="120" w:line="276" w:lineRule="auto"/>
        <w:ind w:firstLine="709"/>
        <w:jc w:val="both"/>
        <w:rPr>
          <w:rFonts w:ascii="Arial" w:hAnsi="Arial" w:cs="Arial"/>
          <w:bCs/>
          <w:lang w:val="es-MX" w:eastAsia="es-CO"/>
        </w:rPr>
      </w:pPr>
      <w:r w:rsidRPr="00CB3E91">
        <w:rPr>
          <w:rFonts w:ascii="Arial" w:hAnsi="Arial" w:cs="Arial"/>
          <w:bCs/>
          <w:lang w:val="es-MX" w:eastAsia="x-none"/>
        </w:rPr>
        <w:t xml:space="preserve">De otro lado, las excepciones a la restricción prevista en la Ley de Garantías Electorales, con fundamento en las cuales podrán las entidades públicas adelantar procedimientos de selección directa en períodos previos a la contienda electoral por la </w:t>
      </w:r>
      <w:r w:rsidRPr="00CB3E91">
        <w:rPr>
          <w:rFonts w:ascii="Arial" w:hAnsi="Arial" w:cs="Arial"/>
          <w:bCs/>
          <w:lang w:val="es-MX" w:eastAsia="x-none"/>
        </w:rPr>
        <w:lastRenderedPageBreak/>
        <w:t>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B3E91">
        <w:rPr>
          <w:rFonts w:ascii="Arial" w:hAnsi="Arial" w:cs="Arial"/>
          <w:bCs/>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B258879" w14:textId="758BB75F" w:rsidR="00603567" w:rsidRPr="006D7E12" w:rsidRDefault="00603567" w:rsidP="00603567">
      <w:pPr>
        <w:spacing w:line="276" w:lineRule="auto"/>
        <w:ind w:firstLine="709"/>
        <w:jc w:val="both"/>
        <w:rPr>
          <w:rFonts w:ascii="Arial" w:hAnsi="Arial" w:cs="Arial"/>
          <w:bCs/>
          <w:color w:val="000000"/>
          <w:lang w:eastAsia="es-CO"/>
        </w:rPr>
      </w:pPr>
      <w:r w:rsidRPr="006D7E12">
        <w:rPr>
          <w:rFonts w:ascii="Arial" w:eastAsia="Calibri" w:hAnsi="Arial" w:cs="Arial"/>
          <w:color w:val="000000" w:themeColor="text1"/>
        </w:rPr>
        <w:t>En este contexto,</w:t>
      </w:r>
      <w:r w:rsidR="00DD02BE">
        <w:rPr>
          <w:rFonts w:ascii="Arial" w:eastAsia="Calibri" w:hAnsi="Arial" w:cs="Arial"/>
          <w:color w:val="000000" w:themeColor="text1"/>
        </w:rPr>
        <w:t xml:space="preserve"> </w:t>
      </w:r>
      <w:bookmarkStart w:id="63" w:name="_Hlk103006433"/>
      <w:r w:rsidR="00DD02BE">
        <w:rPr>
          <w:rFonts w:ascii="Arial" w:eastAsia="Calibri" w:hAnsi="Arial" w:cs="Arial"/>
          <w:color w:val="000000" w:themeColor="text1"/>
        </w:rPr>
        <w:t xml:space="preserve">tratándose de los convenios de asociación </w:t>
      </w:r>
      <w:r w:rsidR="00561EC8">
        <w:rPr>
          <w:rFonts w:ascii="Arial" w:eastAsia="Calibri" w:hAnsi="Arial" w:cs="Arial"/>
          <w:color w:val="000000" w:themeColor="text1"/>
        </w:rPr>
        <w:t>del artículo 96 de la Ley 489 de 1998</w:t>
      </w:r>
      <w:r w:rsidR="00BA471E">
        <w:rPr>
          <w:rFonts w:ascii="Arial" w:eastAsia="Calibri" w:hAnsi="Arial" w:cs="Arial"/>
          <w:color w:val="000000" w:themeColor="text1"/>
        </w:rPr>
        <w:t xml:space="preserve"> y </w:t>
      </w:r>
      <w:r w:rsidRPr="006D7E12">
        <w:rPr>
          <w:rFonts w:ascii="Arial" w:eastAsia="Calibri" w:hAnsi="Arial" w:cs="Arial"/>
          <w:color w:val="000000" w:themeColor="text1"/>
        </w:rPr>
        <w:t xml:space="preserve">la restricción del artículo 33 de la </w:t>
      </w:r>
      <w:r w:rsidRPr="006D7E12">
        <w:rPr>
          <w:rFonts w:ascii="Arial" w:hAnsi="Arial" w:cs="Arial"/>
          <w:bCs/>
          <w:color w:val="000000"/>
          <w:lang w:eastAsia="es-CO"/>
        </w:rPr>
        <w:t>Ley 996 de 2005</w:t>
      </w:r>
      <w:r w:rsidR="00BA471E">
        <w:rPr>
          <w:rFonts w:ascii="Arial" w:hAnsi="Arial" w:cs="Arial"/>
          <w:bCs/>
          <w:color w:val="000000"/>
          <w:lang w:eastAsia="es-CO"/>
        </w:rPr>
        <w:t>,</w:t>
      </w:r>
      <w:r w:rsidRPr="006D7E12">
        <w:rPr>
          <w:rFonts w:ascii="Arial" w:hAnsi="Arial" w:cs="Arial"/>
          <w:bCs/>
          <w:color w:val="000000"/>
          <w:lang w:eastAsia="es-CO"/>
        </w:rPr>
        <w:t xml:space="preserve"> es necesario considerar que </w:t>
      </w:r>
      <w:r w:rsidRPr="006D7E12">
        <w:rPr>
          <w:rFonts w:ascii="Arial" w:eastAsia="Calibri" w:hAnsi="Arial" w:cs="Arial"/>
          <w:lang w:val="es-ES"/>
        </w:rPr>
        <w:t>el Decreto 092 de 2017</w:t>
      </w:r>
      <w:r w:rsidRPr="006D7E12">
        <w:rPr>
          <w:rFonts w:ascii="Arial" w:hAnsi="Arial" w:cs="Arial"/>
          <w:bCs/>
          <w:color w:val="000000"/>
          <w:lang w:eastAsia="es-CO"/>
        </w:rPr>
        <w:t xml:space="preserve"> consagra un régimen jurídico que exceptúa la aplicación del Estatuto General de Contratación de la Administración Pública. 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6D7E12">
        <w:rPr>
          <w:rFonts w:ascii="Arial" w:hAnsi="Arial" w:cs="Arial"/>
          <w:bCs/>
          <w:i/>
          <w:iCs/>
          <w:color w:val="00000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6D7E12">
        <w:rPr>
          <w:rFonts w:ascii="Arial" w:hAnsi="Arial" w:cs="Arial"/>
          <w:bCs/>
          <w:color w:val="000000"/>
          <w:lang w:eastAsia="es-CO"/>
        </w:rPr>
        <w:t xml:space="preserve">» (Énfasis fuera de texto). </w:t>
      </w:r>
    </w:p>
    <w:p w14:paraId="5AB8FD5E" w14:textId="274A260A" w:rsidR="000E295C" w:rsidRDefault="00603567" w:rsidP="007C4DF6">
      <w:pPr>
        <w:spacing w:after="0" w:line="276" w:lineRule="auto"/>
        <w:ind w:firstLine="708"/>
        <w:jc w:val="both"/>
        <w:rPr>
          <w:rFonts w:ascii="Arial" w:eastAsia="Calibri" w:hAnsi="Arial" w:cs="Arial"/>
          <w:color w:val="000000" w:themeColor="text1"/>
          <w:lang w:val="es-ES"/>
        </w:rPr>
      </w:pPr>
      <w:r w:rsidRPr="006D7E12">
        <w:rPr>
          <w:rFonts w:ascii="Arial" w:hAnsi="Arial" w:cs="Arial"/>
          <w:bCs/>
          <w:color w:val="000000"/>
          <w:lang w:eastAsia="es-CO"/>
        </w:rPr>
        <w:t xml:space="preserve">Por tanto, durante la vigencia de la prohibición del artículo 33 de la Ley 996 de 2005 –sin perjuicio de las excepciones dispuestas en el inciso segundo </w:t>
      </w:r>
      <w:r w:rsidRPr="006D7E12">
        <w:rPr>
          <w:rFonts w:ascii="Arial" w:hAnsi="Arial" w:cs="Arial"/>
          <w:bCs/>
          <w:i/>
          <w:iCs/>
          <w:color w:val="000000"/>
          <w:lang w:eastAsia="es-CO"/>
        </w:rPr>
        <w:t>ibidem</w:t>
      </w:r>
      <w:r w:rsidRPr="006D7E12">
        <w:rPr>
          <w:rFonts w:ascii="Arial" w:hAnsi="Arial" w:cs="Arial"/>
          <w:bCs/>
          <w:color w:val="000000"/>
          <w:lang w:eastAsia="es-CO"/>
        </w:rPr>
        <w:t xml:space="preserve">– está restringida cualquier modalidad de selección que excluya la pluralidad de oferentes. Respecto al régimen de contratación de las ESAL, esto es congruente con el numeral 15.4 de </w:t>
      </w:r>
      <w:r w:rsidRPr="006D7E12">
        <w:rPr>
          <w:rFonts w:ascii="Arial" w:eastAsia="Arial" w:hAnsi="Arial" w:cs="Arial"/>
          <w:lang w:val="es-ES" w:eastAsia="es-ES" w:bidi="es-ES"/>
        </w:rPr>
        <w:t>la Circular Externa Única de Colombia Compra Eficiente, en el entendido que «</w:t>
      </w:r>
      <w:r w:rsidRPr="006D7E12">
        <w:rPr>
          <w:rFonts w:ascii="Arial" w:eastAsia="Arial" w:hAnsi="Arial" w:cs="Arial"/>
          <w:lang w:eastAsia="es-ES" w:bidi="es-ES"/>
        </w:rPr>
        <w:t>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w:t>
      </w:r>
      <w:r>
        <w:rPr>
          <w:rFonts w:ascii="Arial" w:hAnsi="Arial" w:cs="Arial"/>
          <w:bCs/>
          <w:color w:val="000000"/>
          <w:lang w:eastAsia="es-CO"/>
        </w:rPr>
        <w:t xml:space="preserve"> </w:t>
      </w:r>
      <w:r w:rsidRPr="006D7E12">
        <w:rPr>
          <w:rFonts w:ascii="Arial" w:eastAsia="Calibri" w:hAnsi="Arial" w:cs="Arial"/>
          <w:color w:val="000000" w:themeColor="text1"/>
          <w:lang w:val="es-ES"/>
        </w:rPr>
        <w:t xml:space="preserve">De esta manera, respecto a la celebración de convenios con ESAL en vigencia de la restricción del artículo 33 de la Ley de Garantías, se concluye que, esto solo será posible cuando dicho tipo de acuerdos se realicen a través de la modalidad </w:t>
      </w:r>
      <w:r w:rsidRPr="006D7E12">
        <w:rPr>
          <w:rFonts w:ascii="Arial" w:eastAsia="Calibri" w:hAnsi="Arial" w:cs="Arial"/>
          <w:i/>
          <w:iCs/>
          <w:color w:val="000000" w:themeColor="text1"/>
          <w:lang w:val="es-ES"/>
        </w:rPr>
        <w:t>competitiva</w:t>
      </w:r>
      <w:r w:rsidRPr="006D7E12">
        <w:rPr>
          <w:rFonts w:ascii="Arial" w:eastAsia="Calibri" w:hAnsi="Arial" w:cs="Arial"/>
          <w:color w:val="000000" w:themeColor="text1"/>
          <w:lang w:val="es-ES"/>
        </w:rPr>
        <w:t xml:space="preserve">, mientras que la celebración de este tipo de convenios en la modalidad </w:t>
      </w:r>
      <w:r w:rsidRPr="006D7E12">
        <w:rPr>
          <w:rFonts w:ascii="Arial" w:eastAsia="Calibri" w:hAnsi="Arial" w:cs="Arial"/>
          <w:i/>
          <w:iCs/>
          <w:color w:val="000000" w:themeColor="text1"/>
          <w:lang w:val="es-ES"/>
        </w:rPr>
        <w:t>no competitiva</w:t>
      </w:r>
      <w:r w:rsidRPr="006D7E12">
        <w:rPr>
          <w:rFonts w:ascii="Arial" w:eastAsia="Calibri" w:hAnsi="Arial" w:cs="Arial"/>
          <w:color w:val="000000" w:themeColor="text1"/>
          <w:lang w:val="es-ES"/>
        </w:rPr>
        <w:t xml:space="preserve"> sí estaría prohibida durante el periodo de esta restricción</w:t>
      </w:r>
      <w:r w:rsidR="000E295C">
        <w:rPr>
          <w:rFonts w:ascii="Arial" w:eastAsia="Calibri" w:hAnsi="Arial" w:cs="Arial"/>
          <w:color w:val="000000" w:themeColor="text1"/>
          <w:lang w:val="es-ES"/>
        </w:rPr>
        <w:t>.</w:t>
      </w:r>
      <w:bookmarkEnd w:id="63"/>
    </w:p>
    <w:p w14:paraId="0857DF5E" w14:textId="77777777" w:rsidR="007C4DF6" w:rsidRPr="007C4DF6" w:rsidRDefault="007C4DF6" w:rsidP="007C4DF6">
      <w:pPr>
        <w:spacing w:after="0" w:line="276" w:lineRule="auto"/>
        <w:ind w:firstLine="708"/>
        <w:jc w:val="both"/>
        <w:rPr>
          <w:rFonts w:ascii="Arial" w:eastAsia="Calibri" w:hAnsi="Arial" w:cs="Arial"/>
          <w:color w:val="000000" w:themeColor="text1"/>
          <w:lang w:val="es-ES"/>
        </w:rPr>
      </w:pPr>
    </w:p>
    <w:p w14:paraId="43565C37" w14:textId="70EE7DAA"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r w:rsidRPr="006D7E12">
        <w:rPr>
          <w:rFonts w:ascii="Arial" w:eastAsia="Calibri" w:hAnsi="Arial" w:cs="Arial"/>
        </w:rPr>
        <w:lastRenderedPageBreak/>
        <w:t>Este concepto tiene el alcance previsto en el artículo 28 del Código de Procedimiento Administrativo y de lo Contencioso Administrativo.</w:t>
      </w:r>
    </w:p>
    <w:p w14:paraId="631C94C0" w14:textId="77777777"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p>
    <w:p w14:paraId="5A8383BB" w14:textId="7B1E2605" w:rsidR="00883C23" w:rsidRPr="006D7E12" w:rsidRDefault="00852AC0" w:rsidP="00883C23">
      <w:pPr>
        <w:spacing w:after="200" w:line="276" w:lineRule="auto"/>
        <w:jc w:val="both"/>
        <w:rPr>
          <w:rFonts w:ascii="Arial" w:eastAsia="Times New Roman" w:hAnsi="Arial" w:cs="Arial"/>
          <w:lang w:eastAsia="es-CO"/>
        </w:rPr>
      </w:pPr>
      <w:r w:rsidRPr="00570FD2">
        <w:rPr>
          <w:rFonts w:ascii="Arial" w:hAnsi="Arial" w:cs="Arial"/>
          <w:noProof/>
          <w:color w:val="000000" w:themeColor="text1"/>
          <w:lang w:eastAsia="es-CO"/>
        </w:rPr>
        <w:drawing>
          <wp:anchor distT="0" distB="0" distL="114300" distR="114300" simplePos="0" relativeHeight="251659264" behindDoc="0" locked="0" layoutInCell="1" allowOverlap="1" wp14:anchorId="7BCF30F2" wp14:editId="2B98A130">
            <wp:simplePos x="0" y="0"/>
            <wp:positionH relativeFrom="margin">
              <wp:posOffset>1510747</wp:posOffset>
            </wp:positionH>
            <wp:positionV relativeFrom="paragraph">
              <wp:posOffset>176365</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r w:rsidR="00883C23" w:rsidRPr="006D7E12">
        <w:rPr>
          <w:rFonts w:ascii="Arial" w:eastAsia="Times New Roman" w:hAnsi="Arial" w:cs="Arial"/>
          <w:lang w:eastAsia="es-CO"/>
        </w:rPr>
        <w:t>Atentamente,</w:t>
      </w:r>
    </w:p>
    <w:p w14:paraId="0261920D" w14:textId="4411D4D1" w:rsidR="00883C23" w:rsidRDefault="00883C23" w:rsidP="00883C23">
      <w:pPr>
        <w:spacing w:after="200" w:line="276" w:lineRule="auto"/>
        <w:jc w:val="center"/>
        <w:rPr>
          <w:noProof/>
          <w:lang w:eastAsia="es-CO"/>
        </w:rPr>
      </w:pPr>
    </w:p>
    <w:p w14:paraId="49940964" w14:textId="77777777" w:rsidR="00852AC0" w:rsidRDefault="00852AC0" w:rsidP="00883C23">
      <w:pPr>
        <w:spacing w:after="200" w:line="276" w:lineRule="auto"/>
        <w:jc w:val="center"/>
        <w:rPr>
          <w:noProof/>
          <w:lang w:eastAsia="es-CO"/>
        </w:rPr>
      </w:pPr>
    </w:p>
    <w:p w14:paraId="32F704AC" w14:textId="77777777" w:rsidR="00852AC0" w:rsidRPr="006D7E12" w:rsidRDefault="00852AC0" w:rsidP="00883C23">
      <w:pPr>
        <w:spacing w:after="200" w:line="276" w:lineRule="auto"/>
        <w:jc w:val="center"/>
        <w:rPr>
          <w:rFonts w:ascii="Arial" w:eastAsia="Times New Roman"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6C314F" w:rsidRPr="006D7E12" w14:paraId="0494A309" w14:textId="77777777" w:rsidTr="00883C23">
        <w:trPr>
          <w:trHeight w:val="315"/>
        </w:trPr>
        <w:tc>
          <w:tcPr>
            <w:tcW w:w="812" w:type="dxa"/>
            <w:vAlign w:val="center"/>
            <w:hideMark/>
          </w:tcPr>
          <w:p w14:paraId="742CAC86"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4CFDE1B3" w14:textId="77777777" w:rsidR="00CB7038" w:rsidRDefault="00CB7038" w:rsidP="00883C23">
            <w:pPr>
              <w:rPr>
                <w:rFonts w:ascii="Arial" w:eastAsia="Times New Roman" w:hAnsi="Arial" w:cs="Arial"/>
                <w:sz w:val="16"/>
                <w:szCs w:val="16"/>
                <w:lang w:eastAsia="es-ES"/>
              </w:rPr>
            </w:pPr>
            <w:r w:rsidRPr="00CB7038">
              <w:rPr>
                <w:rFonts w:ascii="Arial" w:eastAsia="Times New Roman" w:hAnsi="Arial" w:cs="Arial"/>
                <w:sz w:val="16"/>
                <w:szCs w:val="16"/>
                <w:lang w:eastAsia="es-ES"/>
              </w:rPr>
              <w:t xml:space="preserve">Diana Fabiola Herrera Hernández </w:t>
            </w:r>
          </w:p>
          <w:p w14:paraId="64935E46" w14:textId="3635E779" w:rsidR="00883C23" w:rsidRPr="006D7E12" w:rsidRDefault="00647E66"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Contratista</w:t>
            </w:r>
            <w:r w:rsidR="00883C23" w:rsidRPr="006D7E12">
              <w:rPr>
                <w:rFonts w:ascii="Arial" w:eastAsia="Times New Roman" w:hAnsi="Arial" w:cs="Arial"/>
                <w:sz w:val="16"/>
                <w:szCs w:val="16"/>
                <w:lang w:eastAsia="es-ES"/>
              </w:rPr>
              <w:t xml:space="preserve"> de la Subdirección de Gestión Contractual</w:t>
            </w:r>
          </w:p>
        </w:tc>
      </w:tr>
      <w:tr w:rsidR="006C314F" w:rsidRPr="006D7E12" w14:paraId="6BBD5900" w14:textId="77777777" w:rsidTr="00883C23">
        <w:trPr>
          <w:trHeight w:val="330"/>
        </w:trPr>
        <w:tc>
          <w:tcPr>
            <w:tcW w:w="812" w:type="dxa"/>
            <w:vAlign w:val="center"/>
            <w:hideMark/>
          </w:tcPr>
          <w:p w14:paraId="553F508F"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90251F1"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Juan David Montoya Penagos</w:t>
            </w:r>
          </w:p>
          <w:p w14:paraId="690E7C24"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Gestor T1-15 de la Subdirección de Gestión Contractual</w:t>
            </w:r>
          </w:p>
        </w:tc>
      </w:tr>
      <w:tr w:rsidR="006C314F" w:rsidRPr="006C314F" w14:paraId="548E02B4" w14:textId="77777777" w:rsidTr="00883C23">
        <w:trPr>
          <w:trHeight w:val="300"/>
        </w:trPr>
        <w:tc>
          <w:tcPr>
            <w:tcW w:w="812" w:type="dxa"/>
            <w:vAlign w:val="center"/>
            <w:hideMark/>
          </w:tcPr>
          <w:p w14:paraId="5A0C52BA"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CF2CF29" w14:textId="77777777" w:rsidR="00FE7352" w:rsidRDefault="00FE7352" w:rsidP="00FE7352">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0328F00E" w14:textId="2A022047" w:rsidR="00883C23" w:rsidRPr="006C314F" w:rsidRDefault="00FE7352" w:rsidP="00FE7352">
            <w:pPr>
              <w:rPr>
                <w:rFonts w:ascii="Arial" w:eastAsia="Times New Roman" w:hAnsi="Arial" w:cs="Arial"/>
                <w:sz w:val="16"/>
                <w:szCs w:val="16"/>
                <w:lang w:eastAsia="es-ES"/>
              </w:rPr>
            </w:pPr>
            <w:r>
              <w:rPr>
                <w:rFonts w:ascii="Arial" w:hAnsi="Arial" w:cs="Arial"/>
                <w:color w:val="000000" w:themeColor="text1"/>
                <w:sz w:val="16"/>
                <w:szCs w:val="16"/>
                <w:lang w:eastAsia="es-ES"/>
              </w:rPr>
              <w:t>Subdirector de Gestión Contractual ANCP – CCE</w:t>
            </w:r>
          </w:p>
        </w:tc>
      </w:tr>
      <w:bookmarkEnd w:id="7"/>
      <w:bookmarkEnd w:id="62"/>
    </w:tbl>
    <w:p w14:paraId="670AA761" w14:textId="77777777" w:rsidR="00883C23" w:rsidRPr="006C314F" w:rsidRDefault="00883C23" w:rsidP="00883C23">
      <w:pPr>
        <w:spacing w:after="120" w:line="276" w:lineRule="auto"/>
        <w:contextualSpacing/>
        <w:jc w:val="both"/>
        <w:rPr>
          <w:rFonts w:ascii="Arial" w:eastAsia="Calibri" w:hAnsi="Arial" w:cs="Arial"/>
          <w:b/>
          <w:bCs/>
          <w:sz w:val="20"/>
          <w:szCs w:val="20"/>
          <w:lang w:val="es-MX"/>
        </w:rPr>
      </w:pPr>
    </w:p>
    <w:bookmarkEnd w:id="8"/>
    <w:p w14:paraId="0EB7EF9B" w14:textId="77777777" w:rsidR="00E71F3C" w:rsidRPr="006C314F" w:rsidRDefault="00E71F3C"/>
    <w:sectPr w:rsidR="00E71F3C" w:rsidRPr="006C314F" w:rsidSect="00BE1101">
      <w:headerReference w:type="default" r:id="rId13"/>
      <w:footerReference w:type="default" r:id="rId14"/>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F431" w14:textId="77777777" w:rsidR="000B0AE7" w:rsidRDefault="000B0AE7" w:rsidP="00883C23">
      <w:pPr>
        <w:spacing w:after="0" w:line="240" w:lineRule="auto"/>
      </w:pPr>
      <w:r>
        <w:separator/>
      </w:r>
    </w:p>
  </w:endnote>
  <w:endnote w:type="continuationSeparator" w:id="0">
    <w:p w14:paraId="73DF79A1" w14:textId="77777777" w:rsidR="000B0AE7" w:rsidRDefault="000B0AE7" w:rsidP="0088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DF35" w14:textId="77777777" w:rsidR="00301B6D" w:rsidRDefault="00301B6D" w:rsidP="00301B6D">
    <w:pPr>
      <w:pStyle w:val="Sinespaciado"/>
      <w:rPr>
        <w:rFonts w:ascii="Arial" w:hAnsi="Arial" w:cs="Arial"/>
        <w:sz w:val="18"/>
        <w:szCs w:val="18"/>
      </w:rPr>
    </w:pPr>
  </w:p>
  <w:p w14:paraId="0D6BD032" w14:textId="77777777" w:rsidR="00301B6D" w:rsidRDefault="00301B6D" w:rsidP="00301B6D">
    <w:pPr>
      <w:pStyle w:val="Sinespaciado"/>
      <w:rPr>
        <w:rFonts w:ascii="Arial" w:hAnsi="Arial" w:cs="Arial"/>
        <w:sz w:val="18"/>
        <w:szCs w:val="18"/>
      </w:rPr>
    </w:pPr>
  </w:p>
  <w:p w14:paraId="7C1EBCC4" w14:textId="77777777" w:rsidR="00301B6D" w:rsidRPr="00883C23" w:rsidRDefault="00DB1FBD"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008B6532">
      <w:rPr>
        <w:rFonts w:ascii="Arial" w:hAnsi="Arial" w:cs="Arial"/>
        <w:b/>
        <w:bCs/>
        <w:noProof/>
        <w:color w:val="7F7F7F"/>
        <w:sz w:val="16"/>
        <w:szCs w:val="16"/>
      </w:rPr>
      <w:t>20</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008B6532">
      <w:rPr>
        <w:rFonts w:ascii="Arial" w:hAnsi="Arial" w:cs="Arial"/>
        <w:b/>
        <w:bCs/>
        <w:noProof/>
        <w:color w:val="7F7F7F"/>
        <w:sz w:val="16"/>
        <w:szCs w:val="16"/>
      </w:rPr>
      <w:t>20</w:t>
    </w:r>
    <w:r w:rsidRPr="00883C23">
      <w:rPr>
        <w:rFonts w:ascii="Arial" w:hAnsi="Arial" w:cs="Arial"/>
        <w:b/>
        <w:bCs/>
        <w:color w:val="7F7F7F"/>
        <w:sz w:val="16"/>
        <w:szCs w:val="16"/>
      </w:rPr>
      <w:fldChar w:fldCharType="end"/>
    </w:r>
  </w:p>
  <w:p w14:paraId="423CAAA8" w14:textId="77777777" w:rsidR="00301B6D" w:rsidRDefault="00DB1FBD" w:rsidP="00301B6D">
    <w:pPr>
      <w:pStyle w:val="Piedepgina"/>
      <w:jc w:val="center"/>
      <w:rPr>
        <w:lang w:val="es-ES"/>
      </w:rPr>
    </w:pPr>
    <w:r>
      <w:rPr>
        <w:noProof/>
        <w:lang w:val="es-CO" w:eastAsia="es-CO"/>
      </w:rPr>
      <w:drawing>
        <wp:inline distT="0" distB="0" distL="0" distR="0" wp14:anchorId="55A8C681" wp14:editId="46D427A4">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C6BC7D3" w14:textId="77777777" w:rsidR="00301B6D" w:rsidRDefault="00301B6D" w:rsidP="00301B6D">
    <w:pPr>
      <w:pStyle w:val="Piedepgina"/>
      <w:jc w:val="center"/>
      <w:rPr>
        <w:lang w:val="es-ES"/>
      </w:rPr>
    </w:pPr>
  </w:p>
  <w:p w14:paraId="3DDDA67F" w14:textId="77777777" w:rsidR="00301B6D" w:rsidRPr="007B0854" w:rsidRDefault="00301B6D"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184B" w14:textId="77777777" w:rsidR="000B0AE7" w:rsidRDefault="000B0AE7" w:rsidP="00883C23">
      <w:pPr>
        <w:spacing w:after="0" w:line="240" w:lineRule="auto"/>
      </w:pPr>
      <w:r>
        <w:separator/>
      </w:r>
    </w:p>
  </w:footnote>
  <w:footnote w:type="continuationSeparator" w:id="0">
    <w:p w14:paraId="3050CC37" w14:textId="77777777" w:rsidR="000B0AE7" w:rsidRDefault="000B0AE7" w:rsidP="00883C23">
      <w:pPr>
        <w:spacing w:after="0" w:line="240" w:lineRule="auto"/>
      </w:pPr>
      <w:r>
        <w:continuationSeparator/>
      </w:r>
    </w:p>
  </w:footnote>
  <w:footnote w:id="1">
    <w:p w14:paraId="7592975B"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A6FC354" w14:textId="4BC44309" w:rsidR="00883C23" w:rsidRPr="00CB149C" w:rsidRDefault="00883C23">
      <w:pPr>
        <w:pStyle w:val="Textonotapie"/>
        <w:spacing w:after="0" w:line="240" w:lineRule="auto"/>
        <w:ind w:firstLine="709"/>
        <w:contextualSpacing/>
        <w:rPr>
          <w:rFonts w:ascii="Arial" w:hAnsi="Arial" w:cs="Arial"/>
          <w:sz w:val="16"/>
          <w:szCs w:val="16"/>
        </w:rPr>
      </w:pPr>
      <w:r w:rsidRPr="00CB149C">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4CA52D34"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Gaceta del Congreso de la República No. 71 del 2005.</w:t>
      </w:r>
    </w:p>
  </w:footnote>
  <w:footnote w:id="3">
    <w:p w14:paraId="77C40CDD"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 C- 1153 de 2005, M.P. Marco Gerardo Monroy Cabra.</w:t>
      </w:r>
    </w:p>
  </w:footnote>
  <w:footnote w:id="4">
    <w:p w14:paraId="372E667C"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0A1E619E" w14:textId="77777777" w:rsidR="00883C23" w:rsidRPr="00CB149C" w:rsidRDefault="00883C23" w:rsidP="00D044F7">
      <w:pPr>
        <w:pStyle w:val="Textonotapie"/>
        <w:spacing w:after="0" w:line="240" w:lineRule="auto"/>
        <w:ind w:firstLine="709"/>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4A939136"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de fecha 24 de julio de 2013, radicado 2166, Consejero Ponente: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  </w:t>
      </w:r>
    </w:p>
  </w:footnote>
  <w:footnote w:id="7">
    <w:p w14:paraId="1A36A1E8"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8" w:name="33"/>
      <w:r w:rsidRPr="00CB149C">
        <w:rPr>
          <w:rFonts w:ascii="Arial" w:eastAsia="Calibri" w:hAnsi="Arial" w:cs="Arial"/>
          <w:bCs/>
          <w:color w:val="000000"/>
          <w:sz w:val="16"/>
          <w:szCs w:val="16"/>
        </w:rPr>
        <w:t>«</w:t>
      </w:r>
      <w:r w:rsidRPr="00CB149C">
        <w:rPr>
          <w:rFonts w:ascii="Arial" w:eastAsia="Times New Roman" w:hAnsi="Arial" w:cs="Arial"/>
          <w:sz w:val="16"/>
          <w:szCs w:val="16"/>
        </w:rPr>
        <w:t>Artículo 33. Restricciones a la contratación pública.</w:t>
      </w:r>
      <w:bookmarkEnd w:id="18"/>
      <w:r w:rsidRPr="00CB149C">
        <w:rPr>
          <w:rFonts w:ascii="Arial" w:eastAsia="Times New Roman"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3CEDFA3A"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Fonts w:ascii="Arial" w:eastAsia="Calibri" w:hAnsi="Arial" w:cs="Arial"/>
          <w:bCs/>
          <w:color w:val="000000"/>
          <w:sz w:val="16"/>
          <w:szCs w:val="16"/>
        </w:rPr>
        <w:t>»</w:t>
      </w:r>
      <w:r w:rsidRPr="00CB149C">
        <w:rPr>
          <w:rFonts w:ascii="Arial" w:eastAsia="Times New Roman"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B149C">
        <w:rPr>
          <w:rFonts w:ascii="Arial" w:eastAsia="Calibri" w:hAnsi="Arial" w:cs="Arial"/>
          <w:bCs/>
          <w:color w:val="000000"/>
          <w:sz w:val="16"/>
          <w:szCs w:val="16"/>
        </w:rPr>
        <w:t>»</w:t>
      </w:r>
      <w:r w:rsidRPr="00CB149C">
        <w:rPr>
          <w:rFonts w:ascii="Arial" w:eastAsia="Times New Roman" w:hAnsi="Arial" w:cs="Arial"/>
          <w:sz w:val="16"/>
          <w:szCs w:val="16"/>
        </w:rPr>
        <w:t>.</w:t>
      </w:r>
    </w:p>
  </w:footnote>
  <w:footnote w:id="8">
    <w:p w14:paraId="10A55EB6"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9" w:name="38"/>
      <w:r w:rsidRPr="00CB149C">
        <w:rPr>
          <w:rFonts w:ascii="Arial" w:eastAsia="Calibri" w:hAnsi="Arial" w:cs="Arial"/>
          <w:bCs/>
          <w:color w:val="000000"/>
          <w:sz w:val="16"/>
          <w:szCs w:val="16"/>
        </w:rPr>
        <w:t>«</w:t>
      </w:r>
      <w:r w:rsidRPr="00CB149C">
        <w:rPr>
          <w:rFonts w:ascii="Arial" w:hAnsi="Arial" w:cs="Arial"/>
          <w:sz w:val="16"/>
          <w:szCs w:val="16"/>
          <w:lang w:val="es-MX"/>
        </w:rPr>
        <w:t>Artículo 38. Prohibiciones para los servidores públicos. A los empleados del Estado les está prohibido:</w:t>
      </w:r>
      <w:bookmarkEnd w:id="19"/>
    </w:p>
    <w:p w14:paraId="332F2537"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Fonts w:ascii="Arial" w:hAnsi="Arial" w:cs="Arial"/>
          <w:sz w:val="16"/>
          <w:szCs w:val="16"/>
          <w:lang w:val="es-MX"/>
        </w:rPr>
        <w:t xml:space="preserve"> […]</w:t>
      </w:r>
    </w:p>
    <w:p w14:paraId="32B37231"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Style w:val="baj"/>
          <w:rFonts w:ascii="Arial" w:hAnsi="Arial" w:cs="Arial"/>
          <w:sz w:val="16"/>
          <w:szCs w:val="16"/>
          <w:lang w:val="es-MX"/>
        </w:rPr>
        <w:t xml:space="preserve"> Parágrafo.</w:t>
      </w:r>
      <w:r w:rsidRPr="00CB149C">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B149C">
        <w:rPr>
          <w:rFonts w:ascii="Arial" w:eastAsia="Calibri" w:hAnsi="Arial" w:cs="Arial"/>
          <w:bCs/>
          <w:color w:val="000000"/>
          <w:sz w:val="16"/>
          <w:szCs w:val="16"/>
        </w:rPr>
        <w:t>»</w:t>
      </w:r>
      <w:r w:rsidRPr="00CB149C">
        <w:rPr>
          <w:rFonts w:ascii="Arial" w:hAnsi="Arial" w:cs="Arial"/>
          <w:sz w:val="16"/>
          <w:szCs w:val="16"/>
          <w:lang w:val="es-MX"/>
        </w:rPr>
        <w:t>.</w:t>
      </w:r>
    </w:p>
  </w:footnote>
  <w:footnote w:id="9">
    <w:p w14:paraId="29309905" w14:textId="77777777" w:rsidR="00883C23" w:rsidRPr="00CB149C" w:rsidRDefault="00883C23" w:rsidP="00D044F7">
      <w:pPr>
        <w:spacing w:after="0" w:line="240" w:lineRule="auto"/>
        <w:ind w:left="100" w:right="244"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0">
    <w:p w14:paraId="486B18C7"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5" w:name="_Hlk74272731"/>
      <w:r w:rsidRPr="00CB149C">
        <w:rPr>
          <w:rFonts w:ascii="Arial" w:hAnsi="Arial" w:cs="Arial"/>
          <w:sz w:val="16"/>
          <w:szCs w:val="16"/>
        </w:rPr>
        <w:t>«</w:t>
      </w:r>
      <w:bookmarkEnd w:id="25"/>
      <w:r w:rsidRPr="00CB149C">
        <w:rPr>
          <w:rFonts w:ascii="Arial" w:hAnsi="Arial" w:cs="Arial"/>
          <w:sz w:val="16"/>
          <w:szCs w:val="16"/>
          <w:lang w:val="es-ES"/>
        </w:rPr>
        <w:t xml:space="preserve">[25] </w:t>
      </w:r>
      <w:r w:rsidRPr="00CB149C">
        <w:rPr>
          <w:rFonts w:ascii="Arial" w:hAnsi="Arial" w:cs="Arial"/>
          <w:sz w:val="16"/>
          <w:szCs w:val="16"/>
        </w:rPr>
        <w:t>Cfr. Consejo de Estado. Sección Tercera. Sentencia de 3 de diciembre de 2007. Radicados: 24.715, 25.206, 25.409, 24.524, 27.834, 25.410, 26.105, 28.244, 31.447 -acumulados-</w:t>
      </w:r>
      <w:bookmarkStart w:id="26" w:name="_Hlk74271358"/>
      <w:r w:rsidRPr="00CB149C">
        <w:rPr>
          <w:rFonts w:ascii="Arial" w:hAnsi="Arial" w:cs="Arial"/>
          <w:sz w:val="16"/>
          <w:szCs w:val="16"/>
        </w:rPr>
        <w:t>»</w:t>
      </w:r>
      <w:bookmarkEnd w:id="26"/>
      <w:r w:rsidRPr="00CB149C">
        <w:rPr>
          <w:rFonts w:ascii="Arial" w:hAnsi="Arial" w:cs="Arial"/>
          <w:sz w:val="16"/>
          <w:szCs w:val="16"/>
        </w:rPr>
        <w:t>.</w:t>
      </w:r>
    </w:p>
  </w:footnote>
  <w:footnote w:id="11">
    <w:p w14:paraId="4FA25A77"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8" w:name="_Hlk74294506"/>
      <w:r w:rsidRPr="00CB149C">
        <w:rPr>
          <w:rFonts w:ascii="Arial" w:hAnsi="Arial" w:cs="Arial"/>
          <w:sz w:val="16"/>
          <w:szCs w:val="16"/>
        </w:rPr>
        <w:t>«</w:t>
      </w:r>
      <w:r w:rsidRPr="00CB149C">
        <w:rPr>
          <w:rFonts w:ascii="Arial" w:hAnsi="Arial" w:cs="Arial"/>
          <w:sz w:val="16"/>
          <w:szCs w:val="16"/>
          <w:lang w:val="es-ES"/>
        </w:rPr>
        <w:t xml:space="preserve">[26] </w:t>
      </w:r>
      <w:bookmarkEnd w:id="28"/>
      <w:r w:rsidRPr="00CB149C">
        <w:rPr>
          <w:rFonts w:ascii="Arial" w:hAnsi="Arial" w:cs="Arial"/>
          <w:sz w:val="16"/>
          <w:szCs w:val="16"/>
        </w:rPr>
        <w:t>Al respecto ver el concepto 1712 de 2 de febrero de 2006. Consejo de Estado Sala de Consulta y Servicio Civil».</w:t>
      </w:r>
    </w:p>
  </w:footnote>
  <w:footnote w:id="12">
    <w:p w14:paraId="22756EB5"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 de septiembre de 2013. Radicación número: 11001-03-06-000-2013-00412-00 (2168). Consejero Ponente: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13">
    <w:p w14:paraId="0E24E9AD"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sz w:val="16"/>
          <w:szCs w:val="16"/>
          <w:lang w:val="es-ES"/>
        </w:rPr>
        <w:t xml:space="preserve">Artículo 2. </w:t>
      </w:r>
    </w:p>
  </w:footnote>
  <w:footnote w:id="14">
    <w:p w14:paraId="3925561C"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i/>
          <w:sz w:val="16"/>
          <w:szCs w:val="16"/>
          <w:lang w:val="es-ES"/>
        </w:rPr>
        <w:t>Ídem</w:t>
      </w:r>
      <w:r w:rsidRPr="00CB149C">
        <w:rPr>
          <w:rFonts w:ascii="Arial" w:hAnsi="Arial" w:cs="Arial"/>
          <w:sz w:val="16"/>
          <w:szCs w:val="16"/>
          <w:lang w:val="es-ES"/>
        </w:rPr>
        <w:t>.</w:t>
      </w:r>
    </w:p>
  </w:footnote>
  <w:footnote w:id="15">
    <w:p w14:paraId="686535DA"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bookmarkStart w:id="33" w:name="_Hlk74297130"/>
      <w:r w:rsidRPr="00CB149C">
        <w:rPr>
          <w:rFonts w:ascii="Arial" w:hAnsi="Arial" w:cs="Arial"/>
          <w:sz w:val="16"/>
          <w:szCs w:val="16"/>
          <w:lang w:val="es-ES"/>
        </w:rPr>
        <w:t>«</w:t>
      </w:r>
      <w:bookmarkEnd w:id="33"/>
      <w:r w:rsidRPr="00CB149C">
        <w:rPr>
          <w:rFonts w:ascii="Arial" w:hAnsi="Arial" w:cs="Arial"/>
          <w:sz w:val="16"/>
          <w:szCs w:val="16"/>
          <w:lang w:val="es-ES"/>
        </w:rPr>
        <w:t xml:space="preserve">[…] A este respecto, cabe recordar que el artículo 860 del Código de Comercio regula la licitación en el derecho privado». </w:t>
      </w:r>
    </w:p>
  </w:footnote>
  <w:footnote w:id="16">
    <w:p w14:paraId="0DCFE98E" w14:textId="77777777" w:rsidR="00883C23" w:rsidRPr="00CB149C" w:rsidRDefault="00883C23" w:rsidP="00D044F7">
      <w:pPr>
        <w:shd w:val="clear" w:color="auto" w:fill="FFFFFF"/>
        <w:spacing w:after="0" w:line="240" w:lineRule="auto"/>
        <w:ind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r w:rsidRPr="00CB149C">
        <w:rPr>
          <w:rFonts w:ascii="Arial" w:hAnsi="Arial" w:cs="Arial"/>
          <w:sz w:val="16"/>
          <w:szCs w:val="16"/>
          <w:lang w:val="es-ES"/>
        </w:rPr>
        <w:t xml:space="preserve">Consejo de Estado. Sala de Consulta y Servicio Civil, Concepto de 8 de mayo de 2018. Radicación Número: 11001-03-06-000-2018-00095-00(2382). Consejero Ponente: Álvaro </w:t>
      </w:r>
      <w:proofErr w:type="spellStart"/>
      <w:r w:rsidRPr="00CB149C">
        <w:rPr>
          <w:rFonts w:ascii="Arial" w:hAnsi="Arial" w:cs="Arial"/>
          <w:sz w:val="16"/>
          <w:szCs w:val="16"/>
          <w:lang w:val="es-ES"/>
        </w:rPr>
        <w:t>Namén</w:t>
      </w:r>
      <w:proofErr w:type="spellEnd"/>
      <w:r w:rsidRPr="00CB149C">
        <w:rPr>
          <w:rFonts w:ascii="Arial" w:hAnsi="Arial" w:cs="Arial"/>
          <w:sz w:val="16"/>
          <w:szCs w:val="16"/>
          <w:lang w:val="es-ES"/>
        </w:rPr>
        <w:t xml:space="preserve"> Vargas.</w:t>
      </w:r>
    </w:p>
  </w:footnote>
  <w:footnote w:id="17">
    <w:p w14:paraId="7C3F9BA3"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08 de mayo de 2018. </w:t>
      </w:r>
      <w:proofErr w:type="spellStart"/>
      <w:r w:rsidRPr="00CB149C">
        <w:rPr>
          <w:rFonts w:ascii="Arial" w:hAnsi="Arial" w:cs="Arial"/>
          <w:sz w:val="16"/>
          <w:szCs w:val="16"/>
        </w:rPr>
        <w:t>Exp</w:t>
      </w:r>
      <w:proofErr w:type="spellEnd"/>
      <w:r w:rsidRPr="00CB149C">
        <w:rPr>
          <w:rFonts w:ascii="Arial" w:hAnsi="Arial" w:cs="Arial"/>
          <w:sz w:val="16"/>
          <w:szCs w:val="16"/>
        </w:rPr>
        <w:t xml:space="preserve">. 2.382. C.P.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18">
    <w:p w14:paraId="2F42BF1E"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EAAA1F7"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63143FD1"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51" w:name="_Hlk75633115"/>
      <w:r w:rsidRPr="00CB149C">
        <w:rPr>
          <w:rFonts w:ascii="Arial" w:hAnsi="Arial" w:cs="Arial"/>
          <w:sz w:val="16"/>
          <w:szCs w:val="16"/>
        </w:rPr>
        <w:t xml:space="preserve">Consejo de Estado. Sala de Consulta y Servicio Civil. Concepto </w:t>
      </w:r>
      <w:bookmarkEnd w:id="51"/>
      <w:r w:rsidRPr="00CB149C">
        <w:rPr>
          <w:rFonts w:ascii="Arial" w:hAnsi="Arial" w:cs="Arial"/>
          <w:sz w:val="16"/>
          <w:szCs w:val="16"/>
        </w:rPr>
        <w:t>de 6 de abril de 2006. Radicación Número: 11001-03-06-000-2006-00038-00(1738). Consejero Ponente: Enrique José Arboleda Perdomo:</w:t>
      </w:r>
      <w:r w:rsidRPr="00CB149C">
        <w:rPr>
          <w:rFonts w:ascii="Arial" w:eastAsia="Times New Roman" w:hAnsi="Arial" w:cs="Arial"/>
          <w:bCs/>
          <w:sz w:val="16"/>
          <w:szCs w:val="16"/>
          <w:lang w:eastAsia="x-none"/>
        </w:rPr>
        <w:t xml:space="preserve"> «</w:t>
      </w:r>
      <w:r w:rsidRPr="00CB149C">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CB149C">
        <w:rPr>
          <w:rFonts w:ascii="Arial" w:eastAsia="Times New Roman" w:hAnsi="Arial" w:cs="Arial"/>
          <w:bCs/>
          <w:sz w:val="16"/>
          <w:szCs w:val="16"/>
          <w:lang w:eastAsia="x-none"/>
        </w:rPr>
        <w:t>».</w:t>
      </w:r>
    </w:p>
  </w:footnote>
  <w:footnote w:id="21">
    <w:p w14:paraId="1AE132E2"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2">
    <w:p w14:paraId="4C69C88A"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ídem.</w:t>
      </w:r>
    </w:p>
  </w:footnote>
  <w:footnote w:id="23">
    <w:p w14:paraId="20BDE542" w14:textId="0AB4E9C1"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Sobre esta norma, consultar los conceptos del 8 de octubre de 2019, con radicado No. 2201913000007532, y del 20 de diciembre de 2019, con radicado No. 4201913000008240.</w:t>
      </w:r>
    </w:p>
  </w:footnote>
  <w:footnote w:id="24">
    <w:p w14:paraId="3010E5D4" w14:textId="77777777"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sz w:val="16"/>
          <w:szCs w:val="16"/>
        </w:rPr>
        <w:footnoteRef/>
      </w:r>
      <w:r w:rsidRPr="00CB149C">
        <w:rPr>
          <w:sz w:val="16"/>
          <w:szCs w:val="16"/>
        </w:rPr>
        <w:t xml:space="preserve"> </w:t>
      </w:r>
      <w:r w:rsidRPr="00CB149C">
        <w:rPr>
          <w:rFonts w:ascii="Arial" w:hAnsi="Arial"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716F53E" w14:textId="583ECD18" w:rsidR="00D044F7" w:rsidRPr="00CB149C" w:rsidRDefault="00D044F7" w:rsidP="00D044F7">
      <w:pPr>
        <w:pStyle w:val="Textonotapie"/>
        <w:spacing w:after="0" w:line="240" w:lineRule="auto"/>
        <w:ind w:firstLine="708"/>
        <w:rPr>
          <w:rFonts w:ascii="Arial" w:hAnsi="Arial" w:cs="Arial"/>
          <w:sz w:val="16"/>
          <w:szCs w:val="16"/>
        </w:rPr>
      </w:pPr>
      <w:r w:rsidRPr="00CB149C">
        <w:rPr>
          <w:rFonts w:ascii="Arial" w:hAnsi="Arial" w:cs="Arial"/>
          <w:sz w:val="16"/>
          <w:szCs w:val="16"/>
        </w:rPr>
        <w:t xml:space="preserve">»Los convenios de asociación a que se refiere el presente artículo </w:t>
      </w:r>
      <w:bookmarkStart w:id="57" w:name="_Hlk36023315"/>
      <w:r w:rsidRPr="00CB149C">
        <w:rPr>
          <w:rFonts w:ascii="Arial" w:hAnsi="Arial" w:cs="Arial"/>
          <w:sz w:val="16"/>
          <w:szCs w:val="16"/>
        </w:rPr>
        <w:t>se celebrarán de conformidad con lo dispuesto en el artículo 355 de la Constitución Política</w:t>
      </w:r>
      <w:bookmarkEnd w:id="57"/>
      <w:r w:rsidRPr="00CB149C">
        <w:rPr>
          <w:rFonts w:ascii="Arial" w:hAnsi="Arial" w:cs="Arial"/>
          <w:sz w:val="16"/>
          <w:szCs w:val="16"/>
        </w:rPr>
        <w:t>, en ellos se determinará con precisión su objeto, término, obligaciones de las partes, aportes, coordinación y todos aquellos aspectos que se consideren pertinentes».</w:t>
      </w:r>
    </w:p>
  </w:footnote>
  <w:footnote w:id="25">
    <w:p w14:paraId="27BA812C" w14:textId="7C4EF392"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Concepto del 3 de septiembre de 2019, con radicado No. 2201913000006512.</w:t>
      </w:r>
    </w:p>
  </w:footnote>
  <w:footnote w:id="26">
    <w:p w14:paraId="38FA4EE6" w14:textId="77777777"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Sobre la naturaleza de los convenios de asociación, se reitera lo expuesto en el concepto del 19 de noviembre de 2019, con radicado No. 2201913000008611.</w:t>
      </w:r>
    </w:p>
    <w:p w14:paraId="75B1A631" w14:textId="77777777" w:rsidR="00D044F7" w:rsidRPr="00CB149C" w:rsidRDefault="00D044F7" w:rsidP="00D044F7">
      <w:pPr>
        <w:pStyle w:val="Textonotapie"/>
        <w:spacing w:after="0" w:line="240" w:lineRule="auto"/>
        <w:ind w:firstLine="708"/>
        <w:rPr>
          <w:rFonts w:ascii="Arial" w:hAnsi="Arial" w:cs="Arial"/>
          <w:sz w:val="16"/>
          <w:szCs w:val="16"/>
        </w:rPr>
      </w:pPr>
    </w:p>
  </w:footnote>
  <w:footnote w:id="27">
    <w:p w14:paraId="6CEC2511" w14:textId="7BE330C8" w:rsidR="00D044F7" w:rsidRPr="00CB149C" w:rsidRDefault="00D044F7" w:rsidP="00D044F7">
      <w:pPr>
        <w:pStyle w:val="Textonotapie"/>
        <w:spacing w:after="0" w:line="240" w:lineRule="auto"/>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28">
    <w:p w14:paraId="1C01D1EF" w14:textId="2CA3607C" w:rsidR="004F5C70" w:rsidRPr="00CB149C" w:rsidRDefault="004F5C70" w:rsidP="00D044F7">
      <w:pPr>
        <w:pStyle w:val="Textonotapie"/>
        <w:spacing w:after="0" w:line="240" w:lineRule="auto"/>
        <w:ind w:firstLine="708"/>
        <w:contextualSpacing/>
        <w:rPr>
          <w:rFonts w:ascii="Arial" w:hAnsi="Arial" w:cs="Arial"/>
          <w:color w:val="000000" w:themeColor="text1"/>
          <w:sz w:val="16"/>
          <w:szCs w:val="16"/>
        </w:rPr>
      </w:pPr>
      <w:r w:rsidRPr="00CB149C">
        <w:rPr>
          <w:rStyle w:val="Refdenotaalpie"/>
          <w:rFonts w:ascii="Arial" w:hAnsi="Arial" w:cs="Arial"/>
          <w:color w:val="000000" w:themeColor="text1"/>
          <w:sz w:val="16"/>
          <w:szCs w:val="16"/>
        </w:rPr>
        <w:footnoteRef/>
      </w:r>
      <w:r w:rsidRPr="00CB149C">
        <w:rPr>
          <w:rFonts w:ascii="Arial" w:hAnsi="Arial"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29">
    <w:p w14:paraId="258967CE" w14:textId="41F01B86" w:rsidR="00080F8E" w:rsidRPr="00CB149C" w:rsidRDefault="00080F8E" w:rsidP="00BE1101">
      <w:pPr>
        <w:pStyle w:val="Textonotapie"/>
        <w:spacing w:after="0"/>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27 de abril de 2006. Rad:1712.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A80" w14:textId="77777777" w:rsidR="00301B6D" w:rsidRDefault="00DB1FBD">
    <w:pPr>
      <w:pStyle w:val="Encabezado"/>
    </w:pPr>
    <w:r>
      <w:rPr>
        <w:noProof/>
        <w:lang w:val="es-CO" w:eastAsia="es-CO"/>
      </w:rPr>
      <w:drawing>
        <wp:anchor distT="0" distB="0" distL="114300" distR="114300" simplePos="0" relativeHeight="251659264" behindDoc="1" locked="0" layoutInCell="1" allowOverlap="1" wp14:anchorId="3ED6FD1E" wp14:editId="58B93EB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14D43" w14:textId="77777777" w:rsidR="00301B6D" w:rsidRDefault="00301B6D" w:rsidP="00301B6D">
    <w:pPr>
      <w:pStyle w:val="Encabezado"/>
      <w:spacing w:after="0"/>
    </w:pPr>
  </w:p>
  <w:p w14:paraId="0E3DD83D" w14:textId="77777777" w:rsidR="00301B6D" w:rsidRDefault="00301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1491629">
    <w:abstractNumId w:val="11"/>
  </w:num>
  <w:num w:numId="2" w16cid:durableId="1106922289">
    <w:abstractNumId w:val="9"/>
  </w:num>
  <w:num w:numId="3" w16cid:durableId="392899145">
    <w:abstractNumId w:val="15"/>
  </w:num>
  <w:num w:numId="4" w16cid:durableId="1859076474">
    <w:abstractNumId w:val="21"/>
  </w:num>
  <w:num w:numId="5" w16cid:durableId="1776707282">
    <w:abstractNumId w:val="23"/>
  </w:num>
  <w:num w:numId="6" w16cid:durableId="836536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2727611">
    <w:abstractNumId w:val="6"/>
  </w:num>
  <w:num w:numId="8" w16cid:durableId="651956440">
    <w:abstractNumId w:val="24"/>
  </w:num>
  <w:num w:numId="9" w16cid:durableId="362442787">
    <w:abstractNumId w:val="6"/>
    <w:lvlOverride w:ilvl="0">
      <w:startOverride w:val="1"/>
    </w:lvlOverride>
  </w:num>
  <w:num w:numId="10" w16cid:durableId="1712413859">
    <w:abstractNumId w:val="25"/>
  </w:num>
  <w:num w:numId="11" w16cid:durableId="2036729565">
    <w:abstractNumId w:val="7"/>
  </w:num>
  <w:num w:numId="12" w16cid:durableId="1736778497">
    <w:abstractNumId w:val="2"/>
  </w:num>
  <w:num w:numId="13" w16cid:durableId="1121462249">
    <w:abstractNumId w:val="4"/>
  </w:num>
  <w:num w:numId="14" w16cid:durableId="1458642967">
    <w:abstractNumId w:val="20"/>
  </w:num>
  <w:num w:numId="15" w16cid:durableId="1511948187">
    <w:abstractNumId w:val="13"/>
  </w:num>
  <w:num w:numId="16" w16cid:durableId="1812166843">
    <w:abstractNumId w:val="10"/>
  </w:num>
  <w:num w:numId="17" w16cid:durableId="1067190014">
    <w:abstractNumId w:val="14"/>
  </w:num>
  <w:num w:numId="18" w16cid:durableId="1257206472">
    <w:abstractNumId w:val="16"/>
  </w:num>
  <w:num w:numId="19" w16cid:durableId="275408173">
    <w:abstractNumId w:val="5"/>
  </w:num>
  <w:num w:numId="20" w16cid:durableId="772283746">
    <w:abstractNumId w:val="27"/>
  </w:num>
  <w:num w:numId="21" w16cid:durableId="2012903075">
    <w:abstractNumId w:val="22"/>
  </w:num>
  <w:num w:numId="22" w16cid:durableId="489102625">
    <w:abstractNumId w:val="18"/>
  </w:num>
  <w:num w:numId="23" w16cid:durableId="1764688904">
    <w:abstractNumId w:val="17"/>
  </w:num>
  <w:num w:numId="24" w16cid:durableId="330184725">
    <w:abstractNumId w:val="8"/>
  </w:num>
  <w:num w:numId="25" w16cid:durableId="1648700617">
    <w:abstractNumId w:val="19"/>
  </w:num>
  <w:num w:numId="26" w16cid:durableId="675890085">
    <w:abstractNumId w:val="1"/>
  </w:num>
  <w:num w:numId="27" w16cid:durableId="1609653183">
    <w:abstractNumId w:val="12"/>
  </w:num>
  <w:num w:numId="28" w16cid:durableId="907350303">
    <w:abstractNumId w:val="26"/>
  </w:num>
  <w:num w:numId="29" w16cid:durableId="195135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23"/>
    <w:rsid w:val="00004152"/>
    <w:rsid w:val="000073BE"/>
    <w:rsid w:val="00007534"/>
    <w:rsid w:val="00007A76"/>
    <w:rsid w:val="000370B6"/>
    <w:rsid w:val="00061344"/>
    <w:rsid w:val="000764A2"/>
    <w:rsid w:val="00080F8E"/>
    <w:rsid w:val="000B0AE7"/>
    <w:rsid w:val="000B0FF6"/>
    <w:rsid w:val="000C1493"/>
    <w:rsid w:val="000D38A1"/>
    <w:rsid w:val="000E295C"/>
    <w:rsid w:val="000F341C"/>
    <w:rsid w:val="00112409"/>
    <w:rsid w:val="0016346E"/>
    <w:rsid w:val="00174706"/>
    <w:rsid w:val="00176B7A"/>
    <w:rsid w:val="00183806"/>
    <w:rsid w:val="00185051"/>
    <w:rsid w:val="00186060"/>
    <w:rsid w:val="001A0BBF"/>
    <w:rsid w:val="001B769B"/>
    <w:rsid w:val="001D21F3"/>
    <w:rsid w:val="001E175E"/>
    <w:rsid w:val="001E4C5E"/>
    <w:rsid w:val="00236548"/>
    <w:rsid w:val="00237FAC"/>
    <w:rsid w:val="00244B1C"/>
    <w:rsid w:val="00252A70"/>
    <w:rsid w:val="0026079C"/>
    <w:rsid w:val="00264194"/>
    <w:rsid w:val="00270618"/>
    <w:rsid w:val="00281B48"/>
    <w:rsid w:val="00291717"/>
    <w:rsid w:val="002B3B3A"/>
    <w:rsid w:val="002C0430"/>
    <w:rsid w:val="002D2ECE"/>
    <w:rsid w:val="002E2D40"/>
    <w:rsid w:val="00300BA8"/>
    <w:rsid w:val="00301B6D"/>
    <w:rsid w:val="0034289F"/>
    <w:rsid w:val="00385DE6"/>
    <w:rsid w:val="00396B95"/>
    <w:rsid w:val="003A49F0"/>
    <w:rsid w:val="003B045C"/>
    <w:rsid w:val="003C2318"/>
    <w:rsid w:val="00425FC0"/>
    <w:rsid w:val="00452837"/>
    <w:rsid w:val="00462FFD"/>
    <w:rsid w:val="004705F0"/>
    <w:rsid w:val="00486B76"/>
    <w:rsid w:val="00486D3B"/>
    <w:rsid w:val="004916F0"/>
    <w:rsid w:val="00497B71"/>
    <w:rsid w:val="004A084E"/>
    <w:rsid w:val="004B2675"/>
    <w:rsid w:val="004B4CA2"/>
    <w:rsid w:val="004C55C0"/>
    <w:rsid w:val="004D41B6"/>
    <w:rsid w:val="004F0F77"/>
    <w:rsid w:val="004F2E72"/>
    <w:rsid w:val="004F432F"/>
    <w:rsid w:val="004F4B17"/>
    <w:rsid w:val="004F5C70"/>
    <w:rsid w:val="00515FAF"/>
    <w:rsid w:val="00536468"/>
    <w:rsid w:val="00561EC8"/>
    <w:rsid w:val="00562E40"/>
    <w:rsid w:val="00574181"/>
    <w:rsid w:val="00580A57"/>
    <w:rsid w:val="00583B9F"/>
    <w:rsid w:val="005A66C6"/>
    <w:rsid w:val="005B2A92"/>
    <w:rsid w:val="005D5767"/>
    <w:rsid w:val="005E415D"/>
    <w:rsid w:val="005F2B73"/>
    <w:rsid w:val="005F4339"/>
    <w:rsid w:val="005F6C8C"/>
    <w:rsid w:val="00603567"/>
    <w:rsid w:val="006112E9"/>
    <w:rsid w:val="006117E7"/>
    <w:rsid w:val="00622CEC"/>
    <w:rsid w:val="00646CF5"/>
    <w:rsid w:val="00647E66"/>
    <w:rsid w:val="00653CB1"/>
    <w:rsid w:val="00667C06"/>
    <w:rsid w:val="00673D55"/>
    <w:rsid w:val="00674123"/>
    <w:rsid w:val="00675ECC"/>
    <w:rsid w:val="00693825"/>
    <w:rsid w:val="006A3BFD"/>
    <w:rsid w:val="006B0314"/>
    <w:rsid w:val="006C1B75"/>
    <w:rsid w:val="006C314F"/>
    <w:rsid w:val="006C4CAF"/>
    <w:rsid w:val="006D7E12"/>
    <w:rsid w:val="006F0121"/>
    <w:rsid w:val="0071069B"/>
    <w:rsid w:val="00726841"/>
    <w:rsid w:val="007861C7"/>
    <w:rsid w:val="00787213"/>
    <w:rsid w:val="007A0699"/>
    <w:rsid w:val="007A6243"/>
    <w:rsid w:val="007B1ADA"/>
    <w:rsid w:val="007C0727"/>
    <w:rsid w:val="007C4DF6"/>
    <w:rsid w:val="007C6B2E"/>
    <w:rsid w:val="007C773C"/>
    <w:rsid w:val="007D666E"/>
    <w:rsid w:val="007D6B81"/>
    <w:rsid w:val="007D7A6D"/>
    <w:rsid w:val="00820B42"/>
    <w:rsid w:val="00852AC0"/>
    <w:rsid w:val="00883C23"/>
    <w:rsid w:val="00886A33"/>
    <w:rsid w:val="008870AC"/>
    <w:rsid w:val="008B41AF"/>
    <w:rsid w:val="008B6532"/>
    <w:rsid w:val="008D3293"/>
    <w:rsid w:val="008E0383"/>
    <w:rsid w:val="008E3661"/>
    <w:rsid w:val="00906730"/>
    <w:rsid w:val="00911176"/>
    <w:rsid w:val="00915FF6"/>
    <w:rsid w:val="00924A75"/>
    <w:rsid w:val="00950E3B"/>
    <w:rsid w:val="0095308E"/>
    <w:rsid w:val="009533DD"/>
    <w:rsid w:val="0097663C"/>
    <w:rsid w:val="009976C6"/>
    <w:rsid w:val="009B5870"/>
    <w:rsid w:val="009C0AE1"/>
    <w:rsid w:val="009C4C67"/>
    <w:rsid w:val="009E08A9"/>
    <w:rsid w:val="009F6248"/>
    <w:rsid w:val="00A116E0"/>
    <w:rsid w:val="00A14D95"/>
    <w:rsid w:val="00A300C6"/>
    <w:rsid w:val="00A351B9"/>
    <w:rsid w:val="00A564F4"/>
    <w:rsid w:val="00A74BE2"/>
    <w:rsid w:val="00AB0C32"/>
    <w:rsid w:val="00AB2D55"/>
    <w:rsid w:val="00AC7ED9"/>
    <w:rsid w:val="00AD3184"/>
    <w:rsid w:val="00AE3863"/>
    <w:rsid w:val="00B05B75"/>
    <w:rsid w:val="00B31385"/>
    <w:rsid w:val="00B52C9B"/>
    <w:rsid w:val="00B64ACB"/>
    <w:rsid w:val="00B918D9"/>
    <w:rsid w:val="00BA170A"/>
    <w:rsid w:val="00BA471E"/>
    <w:rsid w:val="00BB2660"/>
    <w:rsid w:val="00BB7896"/>
    <w:rsid w:val="00BC4B5F"/>
    <w:rsid w:val="00BC5E75"/>
    <w:rsid w:val="00BE1101"/>
    <w:rsid w:val="00BE51F4"/>
    <w:rsid w:val="00BF32CB"/>
    <w:rsid w:val="00BF36EC"/>
    <w:rsid w:val="00C054F3"/>
    <w:rsid w:val="00C0768B"/>
    <w:rsid w:val="00C23407"/>
    <w:rsid w:val="00C5025B"/>
    <w:rsid w:val="00C51624"/>
    <w:rsid w:val="00C52368"/>
    <w:rsid w:val="00C53096"/>
    <w:rsid w:val="00C83CBC"/>
    <w:rsid w:val="00C91855"/>
    <w:rsid w:val="00C94147"/>
    <w:rsid w:val="00C967A6"/>
    <w:rsid w:val="00C97B5F"/>
    <w:rsid w:val="00CA4235"/>
    <w:rsid w:val="00CB034D"/>
    <w:rsid w:val="00CB149C"/>
    <w:rsid w:val="00CB7038"/>
    <w:rsid w:val="00D044F7"/>
    <w:rsid w:val="00D04C1F"/>
    <w:rsid w:val="00D1300E"/>
    <w:rsid w:val="00D15AE1"/>
    <w:rsid w:val="00D406B8"/>
    <w:rsid w:val="00D77C56"/>
    <w:rsid w:val="00D80C84"/>
    <w:rsid w:val="00D90D8A"/>
    <w:rsid w:val="00DB1FBD"/>
    <w:rsid w:val="00DD003E"/>
    <w:rsid w:val="00DD02BE"/>
    <w:rsid w:val="00DF5A9D"/>
    <w:rsid w:val="00E0484E"/>
    <w:rsid w:val="00E11379"/>
    <w:rsid w:val="00E26BD9"/>
    <w:rsid w:val="00E32EEB"/>
    <w:rsid w:val="00E42B09"/>
    <w:rsid w:val="00E6401D"/>
    <w:rsid w:val="00E71F3C"/>
    <w:rsid w:val="00E81AA7"/>
    <w:rsid w:val="00E8294A"/>
    <w:rsid w:val="00ED0228"/>
    <w:rsid w:val="00EE6DF5"/>
    <w:rsid w:val="00EF0791"/>
    <w:rsid w:val="00EF6644"/>
    <w:rsid w:val="00F04513"/>
    <w:rsid w:val="00F05D7E"/>
    <w:rsid w:val="00F2080B"/>
    <w:rsid w:val="00F3081E"/>
    <w:rsid w:val="00F464FE"/>
    <w:rsid w:val="00F51383"/>
    <w:rsid w:val="00F820CB"/>
    <w:rsid w:val="00F82416"/>
    <w:rsid w:val="00F833EF"/>
    <w:rsid w:val="00FB2766"/>
    <w:rsid w:val="00FC1379"/>
    <w:rsid w:val="00FE5DD8"/>
    <w:rsid w:val="00FE7352"/>
    <w:rsid w:val="00FF2BA2"/>
    <w:rsid w:val="00FF66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FDA"/>
  <w15:docId w15:val="{62CC449F-4273-43BB-8634-C33D8BF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83C23"/>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883C23"/>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83C23"/>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883C23"/>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883C23"/>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83C23"/>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83C23"/>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83C23"/>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83C23"/>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3C23"/>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883C23"/>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83C2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83C2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83C2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83C2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83C2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83C2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83C23"/>
    <w:rPr>
      <w:rFonts w:ascii="Arial" w:eastAsia="Times New Roman" w:hAnsi="Arial" w:cs="Arial"/>
      <w:lang w:val="es-ES" w:eastAsia="es-ES"/>
    </w:rPr>
  </w:style>
  <w:style w:type="numbering" w:customStyle="1" w:styleId="Sinlista1">
    <w:name w:val="Sin lista1"/>
    <w:next w:val="Sinlista"/>
    <w:uiPriority w:val="99"/>
    <w:semiHidden/>
    <w:unhideWhenUsed/>
    <w:rsid w:val="00883C23"/>
  </w:style>
  <w:style w:type="paragraph" w:styleId="Piedepgina">
    <w:name w:val="footer"/>
    <w:basedOn w:val="Normal"/>
    <w:link w:val="PiedepginaCar"/>
    <w:uiPriority w:val="99"/>
    <w:unhideWhenUsed/>
    <w:rsid w:val="00883C23"/>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883C23"/>
    <w:rPr>
      <w:sz w:val="24"/>
      <w:lang w:val="es-MX"/>
    </w:rPr>
  </w:style>
  <w:style w:type="paragraph" w:styleId="Textodeglobo">
    <w:name w:val="Balloon Text"/>
    <w:basedOn w:val="Normal"/>
    <w:link w:val="TextodegloboCar"/>
    <w:uiPriority w:val="99"/>
    <w:semiHidden/>
    <w:unhideWhenUsed/>
    <w:rsid w:val="00883C23"/>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883C23"/>
    <w:rPr>
      <w:rFonts w:ascii="Tahoma" w:hAnsi="Tahoma" w:cs="Tahoma"/>
      <w:sz w:val="16"/>
      <w:szCs w:val="16"/>
      <w:lang w:val="es-MX"/>
    </w:rPr>
  </w:style>
  <w:style w:type="paragraph" w:styleId="Encabezado">
    <w:name w:val="header"/>
    <w:basedOn w:val="Normal"/>
    <w:link w:val="EncabezadoCar"/>
    <w:uiPriority w:val="99"/>
    <w:unhideWhenUsed/>
    <w:rsid w:val="00883C23"/>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883C23"/>
    <w:rPr>
      <w:sz w:val="24"/>
      <w:lang w:val="es-MX"/>
    </w:rPr>
  </w:style>
  <w:style w:type="table" w:styleId="Tablaconcuadrcula">
    <w:name w:val="Table Grid"/>
    <w:basedOn w:val="Tablanormal"/>
    <w:uiPriority w:val="39"/>
    <w:rsid w:val="00883C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83C23"/>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883C23"/>
    <w:rPr>
      <w:sz w:val="16"/>
      <w:szCs w:val="16"/>
    </w:rPr>
  </w:style>
  <w:style w:type="paragraph" w:styleId="Textocomentario">
    <w:name w:val="annotation text"/>
    <w:basedOn w:val="Normal"/>
    <w:link w:val="TextocomentarioCar"/>
    <w:uiPriority w:val="99"/>
    <w:unhideWhenUsed/>
    <w:rsid w:val="00883C23"/>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883C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83C23"/>
    <w:rPr>
      <w:b/>
      <w:bCs/>
    </w:rPr>
  </w:style>
  <w:style w:type="character" w:customStyle="1" w:styleId="AsuntodelcomentarioCar">
    <w:name w:val="Asunto del comentario Car"/>
    <w:basedOn w:val="TextocomentarioCar"/>
    <w:link w:val="Asuntodelcomentario"/>
    <w:uiPriority w:val="99"/>
    <w:semiHidden/>
    <w:rsid w:val="00883C23"/>
    <w:rPr>
      <w:b/>
      <w:bCs/>
      <w:sz w:val="20"/>
      <w:szCs w:val="20"/>
      <w:lang w:val="es-MX"/>
    </w:rPr>
  </w:style>
  <w:style w:type="character" w:customStyle="1" w:styleId="Hipervnculo1">
    <w:name w:val="Hipervínculo1"/>
    <w:basedOn w:val="Fuentedeprrafopredeter"/>
    <w:uiPriority w:val="99"/>
    <w:unhideWhenUsed/>
    <w:rsid w:val="00883C23"/>
    <w:rPr>
      <w:color w:val="F2F2F2"/>
      <w:u w:val="single"/>
    </w:rPr>
  </w:style>
  <w:style w:type="paragraph" w:styleId="NormalWeb">
    <w:name w:val="Normal (Web)"/>
    <w:basedOn w:val="Normal"/>
    <w:link w:val="NormalWebCar"/>
    <w:uiPriority w:val="99"/>
    <w:unhideWhenUsed/>
    <w:rsid w:val="00883C23"/>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883C23"/>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3C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83C23"/>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883C23"/>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3C23"/>
    <w:rPr>
      <w:sz w:val="24"/>
      <w:lang w:val="es-MX"/>
    </w:rPr>
  </w:style>
  <w:style w:type="paragraph" w:customStyle="1" w:styleId="Capitulo1">
    <w:name w:val="Capitulo 1"/>
    <w:basedOn w:val="Normal"/>
    <w:uiPriority w:val="99"/>
    <w:qFormat/>
    <w:rsid w:val="00883C23"/>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883C23"/>
    <w:rPr>
      <w:vertAlign w:val="superscript"/>
    </w:rPr>
  </w:style>
  <w:style w:type="paragraph" w:customStyle="1" w:styleId="pa22">
    <w:name w:val="pa22"/>
    <w:basedOn w:val="Normal"/>
    <w:rsid w:val="00883C23"/>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83C23"/>
    <w:rPr>
      <w:b/>
      <w:bCs/>
    </w:rPr>
  </w:style>
  <w:style w:type="character" w:styleId="nfasis">
    <w:name w:val="Emphasis"/>
    <w:basedOn w:val="Fuentedeprrafopredeter"/>
    <w:uiPriority w:val="20"/>
    <w:qFormat/>
    <w:rsid w:val="00883C23"/>
    <w:rPr>
      <w:i/>
      <w:iCs/>
    </w:rPr>
  </w:style>
  <w:style w:type="character" w:customStyle="1" w:styleId="Mencinsinresolver1">
    <w:name w:val="Mención sin resolver1"/>
    <w:basedOn w:val="Fuentedeprrafopredeter"/>
    <w:uiPriority w:val="99"/>
    <w:semiHidden/>
    <w:unhideWhenUsed/>
    <w:rsid w:val="00883C23"/>
    <w:rPr>
      <w:color w:val="605E5C"/>
      <w:shd w:val="clear" w:color="auto" w:fill="E1DFDD"/>
    </w:rPr>
  </w:style>
  <w:style w:type="paragraph" w:customStyle="1" w:styleId="Capitulo3">
    <w:name w:val="Capitulo 3"/>
    <w:basedOn w:val="Normal"/>
    <w:qFormat/>
    <w:rsid w:val="00883C23"/>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883C23"/>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883C23"/>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883C23"/>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883C23"/>
    <w:pPr>
      <w:spacing w:after="0" w:line="240" w:lineRule="auto"/>
      <w:jc w:val="both"/>
    </w:pPr>
    <w:rPr>
      <w:sz w:val="24"/>
      <w:lang w:val="es-MX"/>
    </w:rPr>
  </w:style>
  <w:style w:type="paragraph" w:customStyle="1" w:styleId="Appelnotedebasde">
    <w:name w:val="Appel note de bas de..."/>
    <w:basedOn w:val="Normal"/>
    <w:link w:val="Refdenotaalpie"/>
    <w:uiPriority w:val="99"/>
    <w:rsid w:val="00883C23"/>
    <w:pPr>
      <w:spacing w:line="240" w:lineRule="exact"/>
      <w:jc w:val="both"/>
    </w:pPr>
    <w:rPr>
      <w:vertAlign w:val="superscript"/>
    </w:rPr>
  </w:style>
  <w:style w:type="character" w:customStyle="1" w:styleId="NormalWebCar">
    <w:name w:val="Normal (Web) Car"/>
    <w:link w:val="NormalWeb"/>
    <w:uiPriority w:val="99"/>
    <w:locked/>
    <w:rsid w:val="00883C2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83C23"/>
  </w:style>
  <w:style w:type="paragraph" w:styleId="Textoindependiente">
    <w:name w:val="Body Text"/>
    <w:basedOn w:val="Normal"/>
    <w:link w:val="TextoindependienteCar"/>
    <w:uiPriority w:val="1"/>
    <w:qFormat/>
    <w:rsid w:val="00883C2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83C23"/>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883C23"/>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883C23"/>
    <w:rPr>
      <w:sz w:val="20"/>
      <w:szCs w:val="20"/>
      <w:lang w:val="es-MX"/>
    </w:rPr>
  </w:style>
  <w:style w:type="character" w:styleId="Refdenotaalfinal">
    <w:name w:val="endnote reference"/>
    <w:basedOn w:val="Fuentedeprrafopredeter"/>
    <w:uiPriority w:val="99"/>
    <w:semiHidden/>
    <w:unhideWhenUsed/>
    <w:rsid w:val="00883C23"/>
    <w:rPr>
      <w:vertAlign w:val="superscript"/>
    </w:rPr>
  </w:style>
  <w:style w:type="table" w:customStyle="1" w:styleId="Tablaconcuadrcula1">
    <w:name w:val="Tabla con cuadrícula1"/>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883C23"/>
  </w:style>
  <w:style w:type="table" w:customStyle="1" w:styleId="Tablaconcuadrcula2">
    <w:name w:val="Tabla con cuadrícula2"/>
    <w:basedOn w:val="Tablanormal"/>
    <w:next w:val="Tablaconcuadrcula"/>
    <w:uiPriority w:val="39"/>
    <w:rsid w:val="00883C23"/>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883C23"/>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883C23"/>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883C23"/>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883C23"/>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883C23"/>
    <w:rPr>
      <w:sz w:val="24"/>
      <w:lang w:val="es-MX"/>
    </w:rPr>
  </w:style>
  <w:style w:type="character" w:customStyle="1" w:styleId="apple-converted-space">
    <w:name w:val="apple-converted-space"/>
    <w:basedOn w:val="Fuentedeprrafopredeter"/>
    <w:rsid w:val="00883C23"/>
  </w:style>
  <w:style w:type="character" w:styleId="Hipervnculo">
    <w:name w:val="Hyperlink"/>
    <w:basedOn w:val="Fuentedeprrafopredeter"/>
    <w:uiPriority w:val="99"/>
    <w:semiHidden/>
    <w:unhideWhenUsed/>
    <w:rsid w:val="00883C23"/>
    <w:rPr>
      <w:color w:val="0563C1" w:themeColor="hyperlink"/>
      <w:u w:val="single"/>
    </w:rPr>
  </w:style>
  <w:style w:type="paragraph" w:customStyle="1" w:styleId="xgmail-cuerpodeltexto0">
    <w:name w:val="x_gmail-cuerpodeltexto0"/>
    <w:basedOn w:val="Normal"/>
    <w:rsid w:val="001E4C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cuerpodeltextocursiva">
    <w:name w:val="x_gmail-cuerpodeltextocursiva"/>
    <w:basedOn w:val="Fuentedeprrafopredeter"/>
    <w:rsid w:val="001E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810">
      <w:bodyDiv w:val="1"/>
      <w:marLeft w:val="0"/>
      <w:marRight w:val="0"/>
      <w:marTop w:val="0"/>
      <w:marBottom w:val="0"/>
      <w:divBdr>
        <w:top w:val="none" w:sz="0" w:space="0" w:color="auto"/>
        <w:left w:val="none" w:sz="0" w:space="0" w:color="auto"/>
        <w:bottom w:val="none" w:sz="0" w:space="0" w:color="auto"/>
        <w:right w:val="none" w:sz="0" w:space="0" w:color="auto"/>
      </w:divBdr>
    </w:div>
    <w:div w:id="1271626040">
      <w:bodyDiv w:val="1"/>
      <w:marLeft w:val="0"/>
      <w:marRight w:val="0"/>
      <w:marTop w:val="0"/>
      <w:marBottom w:val="0"/>
      <w:divBdr>
        <w:top w:val="none" w:sz="0" w:space="0" w:color="auto"/>
        <w:left w:val="none" w:sz="0" w:space="0" w:color="auto"/>
        <w:bottom w:val="none" w:sz="0" w:space="0" w:color="auto"/>
        <w:right w:val="none" w:sz="0" w:space="0" w:color="auto"/>
      </w:divBdr>
    </w:div>
    <w:div w:id="189812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BAADE90-F4CE-4DD7-84F5-D2D6D86DB282}">
  <ds:schemaRefs>
    <ds:schemaRef ds:uri="http://schemas.openxmlformats.org/officeDocument/2006/bibliography"/>
  </ds:schemaRefs>
</ds:datastoreItem>
</file>

<file path=customXml/itemProps2.xml><?xml version="1.0" encoding="utf-8"?>
<ds:datastoreItem xmlns:ds="http://schemas.openxmlformats.org/officeDocument/2006/customXml" ds:itemID="{C5230615-F0E1-4492-828C-DC45E881F982}">
  <ds:schemaRefs>
    <ds:schemaRef ds:uri="http://schemas.microsoft.com/sharepoint/v3/contenttype/forms"/>
  </ds:schemaRefs>
</ds:datastoreItem>
</file>

<file path=customXml/itemProps3.xml><?xml version="1.0" encoding="utf-8"?>
<ds:datastoreItem xmlns:ds="http://schemas.openxmlformats.org/officeDocument/2006/customXml" ds:itemID="{47BCBB12-3C31-45E9-9B65-86BF78558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72D9C-B81E-40C2-9B5D-565AAEA853A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7701</Words>
  <Characters>42361</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Edwin Johan Chocontá Quintero</cp:lastModifiedBy>
  <cp:revision>2</cp:revision>
  <dcterms:created xsi:type="dcterms:W3CDTF">2022-05-25T23:25:00Z</dcterms:created>
  <dcterms:modified xsi:type="dcterms:W3CDTF">2022-05-25T23:25:00Z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