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566B" w14:textId="77777777" w:rsidR="0082011E" w:rsidRPr="00691AAC" w:rsidRDefault="0082011E" w:rsidP="0082011E">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47949675"/>
      <w:r w:rsidRPr="00691AAC">
        <w:rPr>
          <w:rFonts w:ascii="Arial" w:hAnsi="Arial" w:cs="Arial"/>
          <w:bCs/>
          <w:color w:val="000000" w:themeColor="text1"/>
          <w:sz w:val="16"/>
          <w:szCs w:val="16"/>
          <w:lang w:val="es-ES_tradnl" w:eastAsia="es-ES"/>
        </w:rPr>
        <w:t>CCE-DES-FM-17</w:t>
      </w:r>
      <w:bookmarkEnd w:id="0"/>
      <w:bookmarkEnd w:id="1"/>
    </w:p>
    <w:p w14:paraId="3E5A2E8F" w14:textId="78B165AB" w:rsidR="00FE4C26" w:rsidRPr="00691AAC" w:rsidRDefault="00FE4C26" w:rsidP="0022167B">
      <w:pPr>
        <w:jc w:val="right"/>
        <w:rPr>
          <w:rFonts w:ascii="Arial" w:eastAsia="Calibri" w:hAnsi="Arial" w:cs="Arial"/>
          <w:b/>
          <w:bCs/>
          <w:color w:val="161616" w:themeColor="background1" w:themeShade="1A"/>
          <w:sz w:val="22"/>
          <w:szCs w:val="22"/>
          <w:lang w:val="es-ES_tradnl"/>
        </w:rPr>
      </w:pPr>
    </w:p>
    <w:p w14:paraId="706978B7" w14:textId="04AEBFE1" w:rsidR="00D04192" w:rsidRPr="00946A8B" w:rsidRDefault="00D04192" w:rsidP="00D04192">
      <w:pPr>
        <w:tabs>
          <w:tab w:val="left" w:pos="426"/>
        </w:tabs>
        <w:rPr>
          <w:rFonts w:ascii="Arial" w:hAnsi="Arial" w:cs="Arial"/>
          <w:b/>
          <w:sz w:val="20"/>
          <w:szCs w:val="20"/>
          <w:lang w:val="es-ES" w:eastAsia="es-CO"/>
        </w:rPr>
      </w:pPr>
      <w:bookmarkStart w:id="3" w:name="_Hlk77152637"/>
      <w:bookmarkStart w:id="4" w:name="_Hlk77157066"/>
      <w:bookmarkEnd w:id="2"/>
      <w:r w:rsidRPr="00946A8B">
        <w:rPr>
          <w:rFonts w:ascii="Arial" w:hAnsi="Arial" w:cs="Arial"/>
          <w:b/>
          <w:sz w:val="20"/>
          <w:szCs w:val="20"/>
          <w:lang w:val="es-ES" w:eastAsia="es-CO"/>
        </w:rPr>
        <w:t>LEY DE GARANTÍAS ELECTORALES ‒</w:t>
      </w:r>
      <w:bookmarkEnd w:id="3"/>
      <w:r w:rsidRPr="00946A8B">
        <w:rPr>
          <w:rFonts w:ascii="Arial" w:hAnsi="Arial" w:cs="Arial"/>
          <w:b/>
          <w:sz w:val="20"/>
          <w:szCs w:val="20"/>
          <w:lang w:val="es-ES" w:eastAsia="es-CO"/>
        </w:rPr>
        <w:t xml:space="preserve"> </w:t>
      </w:r>
      <w:r w:rsidR="007449D2">
        <w:rPr>
          <w:rFonts w:ascii="Arial" w:hAnsi="Arial" w:cs="Arial"/>
          <w:b/>
          <w:sz w:val="20"/>
          <w:szCs w:val="20"/>
          <w:lang w:val="es-ES" w:eastAsia="es-CO"/>
        </w:rPr>
        <w:t>Noción</w:t>
      </w:r>
      <w:r w:rsidRPr="00946A8B">
        <w:rPr>
          <w:rFonts w:ascii="Arial" w:hAnsi="Arial" w:cs="Arial"/>
          <w:b/>
          <w:sz w:val="20"/>
          <w:szCs w:val="20"/>
          <w:lang w:val="es-ES" w:eastAsia="es-CO"/>
        </w:rPr>
        <w:t xml:space="preserve"> </w:t>
      </w:r>
      <w:r w:rsidR="008D36DB" w:rsidRPr="00946A8B">
        <w:rPr>
          <w:rFonts w:ascii="Arial" w:hAnsi="Arial" w:cs="Arial"/>
          <w:b/>
          <w:sz w:val="20"/>
          <w:szCs w:val="20"/>
          <w:lang w:val="es-ES" w:eastAsia="es-CO"/>
        </w:rPr>
        <w:t>– Finalidad</w:t>
      </w:r>
    </w:p>
    <w:p w14:paraId="1948F999" w14:textId="77777777" w:rsidR="00D04192" w:rsidRPr="00691AAC" w:rsidRDefault="00D04192" w:rsidP="00D04192">
      <w:pPr>
        <w:tabs>
          <w:tab w:val="left" w:pos="426"/>
        </w:tabs>
        <w:rPr>
          <w:rFonts w:ascii="Arial" w:eastAsia="Calibri" w:hAnsi="Arial" w:cs="Arial"/>
          <w:b/>
          <w:bCs/>
          <w:sz w:val="20"/>
          <w:szCs w:val="20"/>
        </w:rPr>
      </w:pPr>
    </w:p>
    <w:bookmarkEnd w:id="4"/>
    <w:p w14:paraId="20618E72" w14:textId="5284626C" w:rsidR="00423405" w:rsidRDefault="00D04192" w:rsidP="00423405">
      <w:pPr>
        <w:tabs>
          <w:tab w:val="left" w:pos="426"/>
        </w:tabs>
        <w:jc w:val="both"/>
        <w:rPr>
          <w:rFonts w:ascii="Arial" w:eastAsia="Calibri" w:hAnsi="Arial" w:cs="Arial"/>
          <w:noProof/>
          <w:sz w:val="20"/>
          <w:szCs w:val="20"/>
          <w:lang w:val="es-ES_tradnl"/>
        </w:rPr>
      </w:pPr>
      <w:r w:rsidRPr="00691AAC">
        <w:rPr>
          <w:rFonts w:ascii="Arial" w:eastAsia="Calibri" w:hAnsi="Arial" w:cs="Arial"/>
          <w:noProof/>
          <w:sz w:val="20"/>
          <w:szCs w:val="20"/>
          <w:lang w:val="es-ES_tradnl"/>
        </w:rPr>
        <w:t xml:space="preserve">[…] </w:t>
      </w:r>
      <w:r w:rsidR="007449D2" w:rsidRPr="007449D2">
        <w:rPr>
          <w:rFonts w:ascii="Arial" w:eastAsia="Calibri" w:hAnsi="Arial" w:cs="Arial"/>
          <w:noProof/>
          <w:sz w:val="20"/>
          <w:szCs w:val="20"/>
          <w:lang w:val="es-ES_tradnl"/>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esta medida, introduce limitaciones para realizar nombramientos, postulaciones, contrataciones o cualquier otro tipo de actividad que implique destinación de recursos públicos bajo el devenir propio de las entidades estatales.</w:t>
      </w:r>
    </w:p>
    <w:p w14:paraId="3BC0A826" w14:textId="68FFA0D4" w:rsidR="00D77732" w:rsidRDefault="00D77732" w:rsidP="00423405">
      <w:pPr>
        <w:tabs>
          <w:tab w:val="left" w:pos="426"/>
        </w:tabs>
        <w:jc w:val="both"/>
        <w:rPr>
          <w:rFonts w:ascii="Arial" w:eastAsia="Calibri" w:hAnsi="Arial" w:cs="Arial"/>
          <w:noProof/>
          <w:sz w:val="20"/>
          <w:szCs w:val="20"/>
          <w:lang w:val="es-ES_tradnl"/>
        </w:rPr>
      </w:pPr>
    </w:p>
    <w:p w14:paraId="31C9DBDA" w14:textId="301A1460" w:rsidR="00D77732" w:rsidRPr="00691AAC" w:rsidRDefault="00D77732" w:rsidP="00423405">
      <w:pPr>
        <w:tabs>
          <w:tab w:val="left" w:pos="426"/>
        </w:tabs>
        <w:jc w:val="both"/>
        <w:rPr>
          <w:rFonts w:ascii="Arial" w:eastAsia="Calibri" w:hAnsi="Arial" w:cs="Arial"/>
          <w:noProof/>
          <w:sz w:val="20"/>
          <w:szCs w:val="20"/>
          <w:lang w:val="es-ES_tradnl"/>
        </w:rPr>
      </w:pPr>
      <w:r w:rsidRPr="00D77732">
        <w:rPr>
          <w:rFonts w:ascii="Arial" w:eastAsia="Calibri" w:hAnsi="Arial" w:cs="Arial"/>
          <w:noProof/>
          <w:sz w:val="20"/>
          <w:szCs w:val="20"/>
          <w:lang w:val="es-ES_tradnl"/>
        </w:rPr>
        <w:t>En este contexto, la Ley de Garantías Electorales establece el marco jurídico para el desarrollo de las elecciones, procurando condiciones de igualdad y transparencia para los aspirantes, y paralelamente incluye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093FCF64" w14:textId="77777777" w:rsidR="00423405" w:rsidRPr="00691AAC" w:rsidRDefault="00423405" w:rsidP="00423405">
      <w:pPr>
        <w:rPr>
          <w:rFonts w:ascii="Arial" w:hAnsi="Arial" w:cs="Arial"/>
          <w:b/>
          <w:bCs/>
          <w:sz w:val="20"/>
          <w:szCs w:val="20"/>
          <w:lang w:eastAsia="es-CO"/>
        </w:rPr>
      </w:pPr>
    </w:p>
    <w:p w14:paraId="7003E0A1" w14:textId="005DDE4E" w:rsidR="00423405" w:rsidRPr="00691AAC" w:rsidRDefault="00423405" w:rsidP="00423405">
      <w:pPr>
        <w:rPr>
          <w:rFonts w:ascii="Arial" w:hAnsi="Arial" w:cs="Arial"/>
          <w:b/>
          <w:sz w:val="20"/>
          <w:szCs w:val="20"/>
          <w:lang w:val="es-ES" w:eastAsia="es-CO"/>
        </w:rPr>
      </w:pPr>
      <w:r w:rsidRPr="00691AAC">
        <w:rPr>
          <w:rFonts w:ascii="Arial" w:hAnsi="Arial" w:cs="Arial"/>
          <w:b/>
          <w:bCs/>
          <w:sz w:val="20"/>
          <w:szCs w:val="20"/>
          <w:lang w:eastAsia="es-CO"/>
        </w:rPr>
        <w:t xml:space="preserve">LEY DE GARANTÍAS ELECTORALES </w:t>
      </w:r>
      <w:bookmarkStart w:id="5" w:name="_Hlk77166669"/>
      <w:r w:rsidRPr="00691AAC">
        <w:rPr>
          <w:rFonts w:ascii="Arial" w:hAnsi="Arial" w:cs="Arial"/>
          <w:b/>
          <w:bCs/>
          <w:sz w:val="20"/>
          <w:szCs w:val="20"/>
          <w:lang w:eastAsia="es-CO"/>
        </w:rPr>
        <w:t>‒</w:t>
      </w:r>
      <w:bookmarkEnd w:id="5"/>
      <w:r w:rsidRPr="00691AAC">
        <w:rPr>
          <w:rFonts w:ascii="Arial" w:hAnsi="Arial" w:cs="Arial"/>
          <w:b/>
          <w:bCs/>
          <w:sz w:val="20"/>
          <w:szCs w:val="20"/>
          <w:lang w:eastAsia="es-CO"/>
        </w:rPr>
        <w:t xml:space="preserve"> </w:t>
      </w:r>
      <w:r w:rsidR="00D77732">
        <w:rPr>
          <w:rFonts w:ascii="Arial" w:hAnsi="Arial" w:cs="Arial"/>
          <w:b/>
          <w:sz w:val="20"/>
          <w:szCs w:val="20"/>
          <w:lang w:val="es-ES" w:eastAsia="es-CO"/>
        </w:rPr>
        <w:t>Restricciones</w:t>
      </w:r>
      <w:r w:rsidR="000311CB">
        <w:rPr>
          <w:rFonts w:ascii="Arial" w:hAnsi="Arial" w:cs="Arial"/>
          <w:b/>
          <w:sz w:val="20"/>
          <w:szCs w:val="20"/>
          <w:lang w:val="es-ES" w:eastAsia="es-CO"/>
        </w:rPr>
        <w:t xml:space="preserve"> </w:t>
      </w:r>
    </w:p>
    <w:p w14:paraId="5FCD6E42" w14:textId="77777777" w:rsidR="00423405" w:rsidRPr="00691AAC" w:rsidRDefault="00423405" w:rsidP="00423405">
      <w:pPr>
        <w:tabs>
          <w:tab w:val="left" w:pos="426"/>
        </w:tabs>
        <w:rPr>
          <w:rFonts w:ascii="Arial" w:eastAsia="Calibri" w:hAnsi="Arial" w:cs="Arial"/>
          <w:noProof/>
          <w:sz w:val="20"/>
          <w:szCs w:val="20"/>
          <w:lang w:val="es-ES" w:eastAsia="en-US"/>
        </w:rPr>
      </w:pPr>
    </w:p>
    <w:p w14:paraId="0B846501" w14:textId="4E231A5C" w:rsidR="00423405" w:rsidRDefault="00423405" w:rsidP="00D77732">
      <w:pPr>
        <w:tabs>
          <w:tab w:val="left" w:pos="426"/>
        </w:tabs>
        <w:jc w:val="both"/>
        <w:rPr>
          <w:rFonts w:ascii="Arial" w:eastAsia="Calibri" w:hAnsi="Arial" w:cs="Arial"/>
          <w:noProof/>
          <w:sz w:val="20"/>
          <w:szCs w:val="20"/>
        </w:rPr>
      </w:pPr>
      <w:r w:rsidRPr="00691AAC">
        <w:rPr>
          <w:rFonts w:ascii="Arial" w:eastAsia="Calibri" w:hAnsi="Arial" w:cs="Arial"/>
          <w:noProof/>
          <w:color w:val="161616" w:themeColor="background1" w:themeShade="1A"/>
          <w:sz w:val="20"/>
          <w:szCs w:val="20"/>
          <w:lang w:val="es-ES_tradnl"/>
        </w:rPr>
        <w:t xml:space="preserve">[…] </w:t>
      </w:r>
      <w:r w:rsidR="00D77732" w:rsidRPr="00D77732">
        <w:rPr>
          <w:rFonts w:ascii="Arial" w:eastAsia="Calibri" w:hAnsi="Arial" w:cs="Arial"/>
          <w:noProof/>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el concurso de méritos, la contratación de mínima cuantía u otros previstos en normas especiales. Esta posición es congruente con la expedición de la Ley 1150 de 2007 que, entre otras reformas, introdujo la selección abreviada, rediseñó el concurso de méritos  y sistematizó las causales de contratación directa</w:t>
      </w:r>
      <w:r w:rsidR="00D77732">
        <w:rPr>
          <w:rFonts w:ascii="Arial" w:eastAsia="Calibri" w:hAnsi="Arial" w:cs="Arial"/>
          <w:noProof/>
          <w:sz w:val="20"/>
          <w:szCs w:val="20"/>
        </w:rPr>
        <w:t xml:space="preserve">. </w:t>
      </w:r>
    </w:p>
    <w:p w14:paraId="33B7200D" w14:textId="13556A64" w:rsidR="00D77732" w:rsidRDefault="00D77732" w:rsidP="00D77732">
      <w:pPr>
        <w:tabs>
          <w:tab w:val="left" w:pos="426"/>
        </w:tabs>
        <w:jc w:val="both"/>
        <w:rPr>
          <w:rFonts w:ascii="Arial" w:eastAsia="Calibri" w:hAnsi="Arial" w:cs="Arial"/>
          <w:noProof/>
          <w:sz w:val="20"/>
          <w:szCs w:val="20"/>
        </w:rPr>
      </w:pPr>
    </w:p>
    <w:p w14:paraId="66831B1B" w14:textId="4A2CD194" w:rsidR="00D77732" w:rsidRPr="00691AAC" w:rsidRDefault="00D77732" w:rsidP="00D77732">
      <w:pPr>
        <w:rPr>
          <w:rFonts w:ascii="Arial" w:hAnsi="Arial" w:cs="Arial"/>
          <w:b/>
          <w:sz w:val="20"/>
          <w:szCs w:val="20"/>
          <w:lang w:val="es-ES" w:eastAsia="es-CO"/>
        </w:rPr>
      </w:pPr>
      <w:r w:rsidRPr="00691AAC">
        <w:rPr>
          <w:rFonts w:ascii="Arial" w:hAnsi="Arial" w:cs="Arial"/>
          <w:b/>
          <w:bCs/>
          <w:sz w:val="20"/>
          <w:szCs w:val="20"/>
          <w:lang w:eastAsia="es-CO"/>
        </w:rPr>
        <w:t xml:space="preserve">LEY DE GARANTÍAS ELECTORALES ‒ </w:t>
      </w:r>
      <w:r>
        <w:rPr>
          <w:rFonts w:ascii="Arial" w:hAnsi="Arial" w:cs="Arial"/>
          <w:b/>
          <w:sz w:val="20"/>
          <w:szCs w:val="20"/>
          <w:lang w:val="es-ES" w:eastAsia="es-CO"/>
        </w:rPr>
        <w:t>Destinatarios</w:t>
      </w:r>
    </w:p>
    <w:p w14:paraId="4EB3C488" w14:textId="77777777" w:rsidR="00D77732" w:rsidRPr="00691AAC" w:rsidRDefault="00D77732" w:rsidP="00D77732">
      <w:pPr>
        <w:tabs>
          <w:tab w:val="left" w:pos="426"/>
        </w:tabs>
        <w:rPr>
          <w:rFonts w:ascii="Arial" w:eastAsia="Calibri" w:hAnsi="Arial" w:cs="Arial"/>
          <w:noProof/>
          <w:sz w:val="20"/>
          <w:szCs w:val="20"/>
          <w:lang w:val="es-ES" w:eastAsia="en-US"/>
        </w:rPr>
      </w:pPr>
    </w:p>
    <w:p w14:paraId="4EDF45BC" w14:textId="2AB27153" w:rsidR="00D77732" w:rsidRDefault="00D77732" w:rsidP="00D77732">
      <w:pPr>
        <w:tabs>
          <w:tab w:val="left" w:pos="426"/>
        </w:tabs>
        <w:jc w:val="both"/>
        <w:rPr>
          <w:rFonts w:ascii="Arial" w:eastAsia="Calibri" w:hAnsi="Arial" w:cs="Arial"/>
          <w:noProof/>
          <w:sz w:val="20"/>
          <w:szCs w:val="20"/>
        </w:rPr>
      </w:pPr>
      <w:r w:rsidRPr="00691AAC">
        <w:rPr>
          <w:rFonts w:ascii="Arial" w:eastAsia="Calibri" w:hAnsi="Arial" w:cs="Arial"/>
          <w:noProof/>
          <w:color w:val="161616" w:themeColor="background1" w:themeShade="1A"/>
          <w:sz w:val="20"/>
          <w:szCs w:val="20"/>
          <w:lang w:val="es-ES_tradnl"/>
        </w:rPr>
        <w:t xml:space="preserve">[…] </w:t>
      </w:r>
      <w:r w:rsidRPr="00D77732">
        <w:rPr>
          <w:rFonts w:ascii="Arial" w:eastAsia="Calibri" w:hAnsi="Arial" w:cs="Arial"/>
          <w:noProof/>
          <w:sz w:val="20"/>
          <w:szCs w:val="20"/>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Pr>
          <w:rFonts w:ascii="Arial" w:eastAsia="Calibri" w:hAnsi="Arial" w:cs="Arial"/>
          <w:noProof/>
          <w:sz w:val="20"/>
          <w:szCs w:val="20"/>
        </w:rPr>
        <w:t xml:space="preserve">. </w:t>
      </w:r>
    </w:p>
    <w:p w14:paraId="3057B77D" w14:textId="77777777" w:rsidR="00D77732" w:rsidRDefault="00D77732" w:rsidP="00D77732">
      <w:pPr>
        <w:tabs>
          <w:tab w:val="left" w:pos="426"/>
        </w:tabs>
        <w:jc w:val="both"/>
        <w:rPr>
          <w:rFonts w:ascii="Arial" w:hAnsi="Arial" w:cs="Arial"/>
          <w:bCs/>
          <w:sz w:val="20"/>
          <w:szCs w:val="20"/>
          <w:lang w:eastAsia="es-CO"/>
        </w:rPr>
      </w:pPr>
    </w:p>
    <w:p w14:paraId="04C2BA03" w14:textId="740FD39A" w:rsidR="0002766B" w:rsidRPr="0002766B" w:rsidRDefault="0002766B" w:rsidP="0002766B">
      <w:pPr>
        <w:tabs>
          <w:tab w:val="left" w:pos="426"/>
        </w:tabs>
        <w:jc w:val="both"/>
        <w:rPr>
          <w:rFonts w:ascii="Arial" w:eastAsia="Calibri" w:hAnsi="Arial" w:cs="Arial"/>
          <w:b/>
          <w:bCs/>
          <w:noProof/>
          <w:sz w:val="20"/>
          <w:szCs w:val="20"/>
        </w:rPr>
      </w:pPr>
      <w:r w:rsidRPr="0002766B">
        <w:rPr>
          <w:rFonts w:ascii="Arial" w:eastAsia="Calibri" w:hAnsi="Arial" w:cs="Arial"/>
          <w:b/>
          <w:bCs/>
          <w:noProof/>
          <w:sz w:val="20"/>
          <w:szCs w:val="20"/>
        </w:rPr>
        <w:t xml:space="preserve">LEY DE GARANTÍAS ELECTORALES ‒ </w:t>
      </w:r>
      <w:r w:rsidR="003B5FC5">
        <w:rPr>
          <w:rFonts w:ascii="Arial" w:eastAsia="Calibri" w:hAnsi="Arial" w:cs="Arial"/>
          <w:b/>
          <w:bCs/>
          <w:noProof/>
          <w:sz w:val="20"/>
          <w:szCs w:val="20"/>
        </w:rPr>
        <w:t xml:space="preserve">Restricciones </w:t>
      </w:r>
      <w:r w:rsidRPr="0002766B">
        <w:rPr>
          <w:rFonts w:ascii="Arial" w:eastAsia="Calibri" w:hAnsi="Arial" w:cs="Arial"/>
          <w:b/>
          <w:bCs/>
          <w:noProof/>
          <w:sz w:val="20"/>
          <w:szCs w:val="20"/>
        </w:rPr>
        <w:t>por elección de cargos populares – Convenios y contratos interadministrativos – Definición – Criterio orgánico</w:t>
      </w:r>
    </w:p>
    <w:p w14:paraId="3D66A742" w14:textId="77777777" w:rsidR="0002766B" w:rsidRPr="0002766B" w:rsidRDefault="0002766B" w:rsidP="0002766B">
      <w:pPr>
        <w:tabs>
          <w:tab w:val="left" w:pos="426"/>
        </w:tabs>
        <w:jc w:val="both"/>
        <w:rPr>
          <w:rFonts w:ascii="Arial" w:eastAsia="Calibri" w:hAnsi="Arial" w:cs="Arial"/>
          <w:noProof/>
          <w:sz w:val="20"/>
          <w:szCs w:val="20"/>
        </w:rPr>
      </w:pPr>
    </w:p>
    <w:p w14:paraId="262B6239" w14:textId="77777777" w:rsidR="0002766B" w:rsidRPr="0002766B" w:rsidRDefault="0002766B" w:rsidP="0002766B">
      <w:pPr>
        <w:tabs>
          <w:tab w:val="left" w:pos="426"/>
        </w:tabs>
        <w:jc w:val="both"/>
        <w:rPr>
          <w:rFonts w:ascii="Arial" w:eastAsia="Calibri" w:hAnsi="Arial" w:cs="Arial"/>
          <w:noProof/>
          <w:sz w:val="20"/>
          <w:szCs w:val="20"/>
        </w:rPr>
      </w:pPr>
      <w:r w:rsidRPr="0002766B">
        <w:rPr>
          <w:rFonts w:ascii="Arial" w:eastAsia="Calibri" w:hAnsi="Arial" w:cs="Arial"/>
          <w:noProof/>
          <w:sz w:val="20"/>
          <w:szCs w:val="20"/>
        </w:rPr>
        <w:t xml:space="preserve">Los convenios o contratos interadministrativos que se restringen en el parágrafo del artículo 38 de la Ley 996 de 2005, son únicamente aquellos en que se dispone la ejecución de recursos públicos, </w:t>
      </w:r>
      <w:r w:rsidRPr="0002766B">
        <w:rPr>
          <w:rFonts w:ascii="Arial" w:eastAsia="Calibri" w:hAnsi="Arial" w:cs="Arial"/>
          <w:noProof/>
          <w:sz w:val="20"/>
          <w:szCs w:val="20"/>
        </w:rPr>
        <w:lastRenderedPageBreak/>
        <w:t>para evitar que mediante la suscripción de estos se comprometa el erario con fines políticos o partidistas.</w:t>
      </w:r>
    </w:p>
    <w:p w14:paraId="6963F6FA" w14:textId="77777777" w:rsidR="0002766B" w:rsidRPr="0002766B" w:rsidRDefault="0002766B" w:rsidP="0002766B">
      <w:pPr>
        <w:tabs>
          <w:tab w:val="left" w:pos="426"/>
        </w:tabs>
        <w:jc w:val="both"/>
        <w:rPr>
          <w:rFonts w:ascii="Arial" w:eastAsia="Calibri" w:hAnsi="Arial" w:cs="Arial"/>
          <w:noProof/>
          <w:sz w:val="20"/>
          <w:szCs w:val="20"/>
        </w:rPr>
      </w:pPr>
    </w:p>
    <w:p w14:paraId="3B06BF98" w14:textId="77777777" w:rsidR="0002766B" w:rsidRPr="0002766B" w:rsidRDefault="0002766B" w:rsidP="0002766B">
      <w:pPr>
        <w:tabs>
          <w:tab w:val="left" w:pos="426"/>
        </w:tabs>
        <w:jc w:val="both"/>
        <w:rPr>
          <w:rFonts w:ascii="Arial" w:eastAsia="Calibri" w:hAnsi="Arial" w:cs="Arial"/>
          <w:noProof/>
          <w:sz w:val="20"/>
          <w:szCs w:val="20"/>
        </w:rPr>
      </w:pPr>
      <w:r w:rsidRPr="0002766B">
        <w:rPr>
          <w:rFonts w:ascii="Arial" w:eastAsia="Calibri" w:hAnsi="Arial" w:cs="Arial"/>
          <w:noProof/>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0CF0FDD8" w14:textId="77777777" w:rsidR="0002766B" w:rsidRPr="0002766B" w:rsidRDefault="0002766B" w:rsidP="0002766B">
      <w:pPr>
        <w:tabs>
          <w:tab w:val="left" w:pos="426"/>
        </w:tabs>
        <w:jc w:val="both"/>
        <w:rPr>
          <w:rFonts w:ascii="Arial" w:eastAsia="Calibri" w:hAnsi="Arial" w:cs="Arial"/>
          <w:noProof/>
          <w:sz w:val="20"/>
          <w:szCs w:val="20"/>
        </w:rPr>
      </w:pPr>
    </w:p>
    <w:p w14:paraId="1446EFDC" w14:textId="77777777" w:rsidR="0002766B" w:rsidRPr="0002766B" w:rsidRDefault="0002766B" w:rsidP="0002766B">
      <w:pPr>
        <w:rPr>
          <w:rFonts w:ascii="Arial" w:hAnsi="Arial" w:cs="Arial"/>
          <w:b/>
          <w:color w:val="000000" w:themeColor="text1"/>
          <w:sz w:val="20"/>
          <w:szCs w:val="20"/>
          <w:lang w:eastAsia="en-US"/>
        </w:rPr>
      </w:pPr>
      <w:r w:rsidRPr="0002766B">
        <w:rPr>
          <w:rFonts w:ascii="Arial" w:eastAsia="Calibri" w:hAnsi="Arial" w:cs="Arial"/>
          <w:b/>
          <w:color w:val="000000" w:themeColor="text1"/>
          <w:sz w:val="20"/>
          <w:szCs w:val="20"/>
        </w:rPr>
        <w:t xml:space="preserve">CONTRATOS Y </w:t>
      </w:r>
      <w:r w:rsidRPr="0002766B">
        <w:rPr>
          <w:rFonts w:ascii="Arial" w:hAnsi="Arial" w:cs="Arial"/>
          <w:b/>
          <w:color w:val="000000" w:themeColor="text1"/>
          <w:sz w:val="20"/>
          <w:szCs w:val="20"/>
        </w:rPr>
        <w:t>CONVENIOS INTERADMINISTRATIVOS – Modalidad de selección</w:t>
      </w:r>
    </w:p>
    <w:p w14:paraId="006C7ABB" w14:textId="77777777" w:rsidR="0002766B" w:rsidRPr="0002766B" w:rsidRDefault="0002766B" w:rsidP="0002766B">
      <w:pPr>
        <w:rPr>
          <w:rFonts w:ascii="Arial" w:hAnsi="Arial" w:cs="Arial"/>
          <w:b/>
          <w:color w:val="000000" w:themeColor="text1"/>
          <w:sz w:val="20"/>
          <w:szCs w:val="20"/>
        </w:rPr>
      </w:pPr>
    </w:p>
    <w:p w14:paraId="5CAD0710" w14:textId="77777777" w:rsidR="0002766B" w:rsidRPr="0002766B" w:rsidRDefault="0002766B" w:rsidP="0002766B">
      <w:pPr>
        <w:jc w:val="both"/>
        <w:rPr>
          <w:rFonts w:ascii="Arial" w:eastAsia="Calibri" w:hAnsi="Arial" w:cs="Arial"/>
          <w:bCs/>
          <w:color w:val="000000" w:themeColor="text1"/>
          <w:sz w:val="20"/>
          <w:szCs w:val="20"/>
        </w:rPr>
      </w:pPr>
      <w:r w:rsidRPr="0002766B">
        <w:rPr>
          <w:rFonts w:ascii="Arial" w:eastAsia="Calibri" w:hAnsi="Arial" w:cs="Arial"/>
          <w:noProof/>
          <w:color w:val="161616" w:themeColor="background1" w:themeShade="1A"/>
          <w:sz w:val="20"/>
          <w:szCs w:val="20"/>
          <w:lang w:val="es-ES_tradnl"/>
        </w:rPr>
        <w:t xml:space="preserve">[…] </w:t>
      </w:r>
      <w:r w:rsidRPr="0002766B">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6262D643" w14:textId="1A1F4341" w:rsidR="0002766B" w:rsidRDefault="0002766B" w:rsidP="0002766B">
      <w:pPr>
        <w:tabs>
          <w:tab w:val="left" w:pos="426"/>
        </w:tabs>
        <w:jc w:val="both"/>
        <w:rPr>
          <w:rFonts w:ascii="Arial" w:eastAsia="Calibri" w:hAnsi="Arial" w:cs="Arial"/>
          <w:b/>
          <w:bCs/>
          <w:color w:val="161616" w:themeColor="background1" w:themeShade="1A"/>
          <w:sz w:val="20"/>
          <w:szCs w:val="20"/>
          <w:lang w:val="es-ES_tradnl"/>
        </w:rPr>
      </w:pPr>
    </w:p>
    <w:p w14:paraId="3C63C372" w14:textId="5A4DB40B"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7200FCB5" w14:textId="2AEBAF7B"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2EB7C1C0" w14:textId="5A90A1D7"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799D8CB2" w14:textId="2C2B6F78"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19600A2A" w14:textId="1472B03F"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0EE02334" w14:textId="47B32BDA"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3FA6193F" w14:textId="62235190"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7FFCECAE" w14:textId="2510DA94"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129E33EA" w14:textId="5A3A4ACF"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0954C6E3" w14:textId="145EA438"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0DCEC333" w14:textId="5023409C"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73728CA4" w14:textId="0C8A65F8"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34768E45" w14:textId="433CC93A"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0E009FF3" w14:textId="4904D3A4"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5938146A" w14:textId="57741E8B"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1CC493E3" w14:textId="3C6A39B1"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5234070D" w14:textId="30FF7011"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527AF6B2" w14:textId="5256DF2F"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69BCE3B7" w14:textId="0E78D4ED"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4C8D3BB9" w14:textId="613907D0"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63EDAE12" w14:textId="303BDDE1"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03BBC574" w14:textId="559295E8" w:rsidR="00D169FC" w:rsidRDefault="00D169FC" w:rsidP="0002766B">
      <w:pPr>
        <w:tabs>
          <w:tab w:val="left" w:pos="426"/>
        </w:tabs>
        <w:jc w:val="both"/>
        <w:rPr>
          <w:rFonts w:ascii="Arial" w:eastAsia="Calibri" w:hAnsi="Arial" w:cs="Arial"/>
          <w:b/>
          <w:bCs/>
          <w:color w:val="161616" w:themeColor="background1" w:themeShade="1A"/>
          <w:sz w:val="20"/>
          <w:szCs w:val="20"/>
          <w:lang w:val="es-ES_tradnl"/>
        </w:rPr>
      </w:pPr>
    </w:p>
    <w:p w14:paraId="7FB19500" w14:textId="0F036CEC" w:rsidR="00490F72" w:rsidRDefault="00490F72" w:rsidP="00490F72">
      <w:pPr>
        <w:spacing w:before="120"/>
        <w:jc w:val="right"/>
        <w:rPr>
          <w:rFonts w:ascii="Arial" w:hAnsi="Arial" w:cs="Arial"/>
          <w:color w:val="161616" w:themeColor="background1" w:themeShade="1A"/>
          <w:sz w:val="22"/>
          <w:szCs w:val="22"/>
          <w:lang w:val="es-ES_tradnl"/>
        </w:rPr>
      </w:pPr>
      <w:bookmarkStart w:id="6" w:name="_Hlk70510939"/>
      <w:r>
        <w:rPr>
          <w:noProof/>
          <w:lang w:eastAsia="es-CO"/>
        </w:rPr>
        <w:lastRenderedPageBreak/>
        <w:drawing>
          <wp:inline distT="0" distB="0" distL="0" distR="0" wp14:anchorId="117646D8" wp14:editId="5D97D7A8">
            <wp:extent cx="2933363" cy="76332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2633" t="39043" r="4396" b="36450"/>
                    <a:stretch/>
                  </pic:blipFill>
                  <pic:spPr bwMode="auto">
                    <a:xfrm>
                      <a:off x="0" y="0"/>
                      <a:ext cx="2934516" cy="763625"/>
                    </a:xfrm>
                    <a:prstGeom prst="rect">
                      <a:avLst/>
                    </a:prstGeom>
                    <a:ln>
                      <a:noFill/>
                    </a:ln>
                    <a:extLst>
                      <a:ext uri="{53640926-AAD7-44D8-BBD7-CCE9431645EC}">
                        <a14:shadowObscured xmlns:a14="http://schemas.microsoft.com/office/drawing/2010/main"/>
                      </a:ext>
                    </a:extLst>
                  </pic:spPr>
                </pic:pic>
              </a:graphicData>
            </a:graphic>
          </wp:inline>
        </w:drawing>
      </w:r>
    </w:p>
    <w:p w14:paraId="23572E59" w14:textId="5B626D0F" w:rsidR="00B855EF" w:rsidRDefault="00B855EF" w:rsidP="00B855EF">
      <w:pPr>
        <w:spacing w:before="120"/>
        <w:jc w:val="both"/>
        <w:rPr>
          <w:rFonts w:ascii="Arial" w:hAnsi="Arial" w:cs="Arial"/>
          <w:color w:val="161616" w:themeColor="background1" w:themeShade="1A"/>
          <w:sz w:val="22"/>
          <w:szCs w:val="22"/>
          <w:lang w:val="es-ES_tradnl"/>
        </w:rPr>
      </w:pPr>
      <w:r>
        <w:rPr>
          <w:rFonts w:ascii="Arial" w:hAnsi="Arial" w:cs="Arial"/>
          <w:color w:val="161616" w:themeColor="background1" w:themeShade="1A"/>
          <w:sz w:val="22"/>
          <w:szCs w:val="22"/>
          <w:lang w:val="es-ES_tradnl"/>
        </w:rPr>
        <w:t xml:space="preserve">Bogotá, 10 </w:t>
      </w:r>
      <w:proofErr w:type="gramStart"/>
      <w:r>
        <w:rPr>
          <w:rFonts w:ascii="Arial" w:hAnsi="Arial" w:cs="Arial"/>
          <w:color w:val="161616" w:themeColor="background1" w:themeShade="1A"/>
          <w:sz w:val="22"/>
          <w:szCs w:val="22"/>
          <w:lang w:val="es-ES_tradnl"/>
        </w:rPr>
        <w:t>M</w:t>
      </w:r>
      <w:r>
        <w:rPr>
          <w:rFonts w:ascii="Arial" w:hAnsi="Arial" w:cs="Arial"/>
          <w:color w:val="161616" w:themeColor="background1" w:themeShade="1A"/>
          <w:sz w:val="22"/>
          <w:szCs w:val="22"/>
          <w:lang w:val="es-ES_tradnl"/>
        </w:rPr>
        <w:t>ayo</w:t>
      </w:r>
      <w:proofErr w:type="gramEnd"/>
      <w:r>
        <w:rPr>
          <w:rFonts w:ascii="Arial" w:hAnsi="Arial" w:cs="Arial"/>
          <w:color w:val="161616" w:themeColor="background1" w:themeShade="1A"/>
          <w:sz w:val="22"/>
          <w:szCs w:val="22"/>
          <w:lang w:val="es-ES_tradnl"/>
        </w:rPr>
        <w:t xml:space="preserve"> 2022</w:t>
      </w:r>
    </w:p>
    <w:p w14:paraId="18D41B04" w14:textId="77777777" w:rsidR="00B855EF" w:rsidRDefault="00B855EF" w:rsidP="000164B2">
      <w:pPr>
        <w:spacing w:before="120"/>
        <w:jc w:val="both"/>
        <w:rPr>
          <w:rFonts w:ascii="Arial" w:hAnsi="Arial" w:cs="Arial"/>
          <w:color w:val="161616" w:themeColor="background1" w:themeShade="1A"/>
          <w:sz w:val="22"/>
          <w:szCs w:val="22"/>
          <w:lang w:val="es-ES_tradnl"/>
        </w:rPr>
      </w:pPr>
    </w:p>
    <w:p w14:paraId="26E4672F" w14:textId="77777777" w:rsidR="00B855EF" w:rsidRDefault="00B855EF" w:rsidP="000164B2">
      <w:pPr>
        <w:spacing w:before="120"/>
        <w:jc w:val="both"/>
        <w:rPr>
          <w:rFonts w:ascii="Arial" w:hAnsi="Arial" w:cs="Arial"/>
          <w:color w:val="161616" w:themeColor="background1" w:themeShade="1A"/>
          <w:sz w:val="22"/>
          <w:szCs w:val="22"/>
          <w:lang w:val="es-ES_tradnl"/>
        </w:rPr>
      </w:pPr>
    </w:p>
    <w:p w14:paraId="6E444D61" w14:textId="1C1D30C3" w:rsidR="00E54365" w:rsidRPr="00691AAC" w:rsidRDefault="00E54365" w:rsidP="000164B2">
      <w:pPr>
        <w:spacing w:before="120"/>
        <w:jc w:val="both"/>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Señor</w:t>
      </w:r>
    </w:p>
    <w:p w14:paraId="3AD02B49" w14:textId="275A223A" w:rsidR="006634B1" w:rsidRDefault="006634B1" w:rsidP="000164B2">
      <w:pPr>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Juan Sebastiá</w:t>
      </w:r>
      <w:r w:rsidR="0002766B" w:rsidRPr="0002766B">
        <w:rPr>
          <w:rFonts w:ascii="Arial" w:hAnsi="Arial" w:cs="Arial"/>
          <w:b/>
          <w:color w:val="000000" w:themeColor="text1"/>
          <w:sz w:val="22"/>
          <w:szCs w:val="22"/>
          <w:lang w:val="es-ES_tradnl"/>
        </w:rPr>
        <w:t>n Forero C</w:t>
      </w:r>
      <w:r w:rsidR="0002766B">
        <w:rPr>
          <w:rFonts w:ascii="Arial" w:hAnsi="Arial" w:cs="Arial"/>
          <w:b/>
          <w:color w:val="000000" w:themeColor="text1"/>
          <w:sz w:val="22"/>
          <w:szCs w:val="22"/>
          <w:lang w:val="es-ES_tradnl"/>
        </w:rPr>
        <w:t>ór</w:t>
      </w:r>
      <w:r w:rsidR="0002766B" w:rsidRPr="0002766B">
        <w:rPr>
          <w:rFonts w:ascii="Arial" w:hAnsi="Arial" w:cs="Arial"/>
          <w:b/>
          <w:color w:val="000000" w:themeColor="text1"/>
          <w:sz w:val="22"/>
          <w:szCs w:val="22"/>
          <w:lang w:val="es-ES_tradnl"/>
        </w:rPr>
        <w:t>doba</w:t>
      </w:r>
    </w:p>
    <w:p w14:paraId="0A9E8386" w14:textId="62A62FD2" w:rsidR="0002766B" w:rsidRPr="006634B1" w:rsidRDefault="006634B1" w:rsidP="000164B2">
      <w:pPr>
        <w:rPr>
          <w:rFonts w:ascii="Arial" w:hAnsi="Arial" w:cs="Arial"/>
          <w:color w:val="000000" w:themeColor="text1"/>
          <w:sz w:val="22"/>
          <w:szCs w:val="22"/>
          <w:lang w:val="es-ES_tradnl"/>
        </w:rPr>
      </w:pPr>
      <w:r w:rsidRPr="006634B1">
        <w:rPr>
          <w:rFonts w:ascii="Arial" w:hAnsi="Arial" w:cs="Arial"/>
          <w:color w:val="000000" w:themeColor="text1"/>
          <w:sz w:val="22"/>
          <w:szCs w:val="22"/>
          <w:lang w:val="es-ES_tradnl"/>
        </w:rPr>
        <w:t>Ciudad</w:t>
      </w:r>
      <w:r w:rsidR="0002766B" w:rsidRPr="006634B1">
        <w:rPr>
          <w:rFonts w:ascii="Arial" w:hAnsi="Arial" w:cs="Arial"/>
          <w:color w:val="000000" w:themeColor="text1"/>
          <w:sz w:val="22"/>
          <w:szCs w:val="22"/>
          <w:lang w:val="es-ES_tradnl"/>
        </w:rPr>
        <w:t xml:space="preserve"> </w:t>
      </w:r>
    </w:p>
    <w:p w14:paraId="207B3DB4" w14:textId="77777777" w:rsidR="00C64E43" w:rsidRPr="00691AAC" w:rsidRDefault="00C64E43" w:rsidP="0022167B">
      <w:pPr>
        <w:rPr>
          <w:rFonts w:ascii="Arial" w:hAnsi="Arial" w:cs="Arial"/>
          <w:color w:val="161616" w:themeColor="background1" w:themeShade="1A"/>
          <w:sz w:val="22"/>
          <w:szCs w:val="22"/>
          <w:lang w:val="es-ES_tradnl"/>
        </w:rPr>
      </w:pPr>
    </w:p>
    <w:p w14:paraId="17BA6817" w14:textId="24414DD4" w:rsidR="00E54365" w:rsidRPr="00691AAC" w:rsidRDefault="00E54365" w:rsidP="0022167B">
      <w:pPr>
        <w:ind w:left="2124" w:firstLine="708"/>
        <w:rPr>
          <w:rFonts w:ascii="Arial" w:hAnsi="Arial" w:cs="Arial"/>
          <w:b/>
          <w:bCs/>
          <w:color w:val="161616" w:themeColor="background1" w:themeShade="1A"/>
          <w:sz w:val="22"/>
          <w:szCs w:val="22"/>
          <w:lang w:val="es-ES_tradnl"/>
        </w:rPr>
      </w:pPr>
      <w:r w:rsidRPr="00691AAC">
        <w:rPr>
          <w:rFonts w:ascii="Arial" w:hAnsi="Arial" w:cs="Arial"/>
          <w:b/>
          <w:bCs/>
          <w:color w:val="161616" w:themeColor="background1" w:themeShade="1A"/>
          <w:sz w:val="22"/>
          <w:szCs w:val="22"/>
          <w:lang w:val="es-ES_tradnl"/>
        </w:rPr>
        <w:t>Concepto</w:t>
      </w:r>
      <w:r w:rsidR="006559E3" w:rsidRPr="00691AAC">
        <w:rPr>
          <w:rFonts w:ascii="Arial" w:hAnsi="Arial" w:cs="Arial"/>
          <w:b/>
          <w:bCs/>
          <w:color w:val="161616" w:themeColor="background1" w:themeShade="1A"/>
          <w:sz w:val="22"/>
          <w:szCs w:val="22"/>
          <w:lang w:val="es-ES_tradnl"/>
        </w:rPr>
        <w:t xml:space="preserve"> </w:t>
      </w:r>
      <w:r w:rsidRPr="00691AAC">
        <w:rPr>
          <w:rFonts w:ascii="Arial" w:hAnsi="Arial" w:cs="Arial"/>
          <w:b/>
          <w:bCs/>
          <w:color w:val="161616" w:themeColor="background1" w:themeShade="1A"/>
          <w:sz w:val="22"/>
          <w:szCs w:val="22"/>
          <w:lang w:val="es-ES_tradnl"/>
        </w:rPr>
        <w:t>C</w:t>
      </w:r>
      <w:r w:rsidR="00766A70" w:rsidRPr="00691AAC">
        <w:rPr>
          <w:rFonts w:ascii="Arial" w:hAnsi="Arial" w:cs="Arial"/>
          <w:b/>
          <w:bCs/>
          <w:color w:val="161616" w:themeColor="background1" w:themeShade="1A"/>
          <w:sz w:val="22"/>
          <w:szCs w:val="22"/>
          <w:lang w:val="es-ES_tradnl"/>
        </w:rPr>
        <w:t xml:space="preserve"> </w:t>
      </w:r>
      <w:r w:rsidR="00DD5A52" w:rsidRPr="00691AAC">
        <w:rPr>
          <w:rFonts w:ascii="Arial" w:hAnsi="Arial" w:cs="Arial"/>
          <w:b/>
          <w:bCs/>
          <w:color w:val="161616" w:themeColor="background1" w:themeShade="1A"/>
          <w:sz w:val="22"/>
          <w:szCs w:val="22"/>
          <w:lang w:val="es-ES_tradnl"/>
        </w:rPr>
        <w:t>-</w:t>
      </w:r>
      <w:r w:rsidR="006165B4">
        <w:rPr>
          <w:rFonts w:ascii="Arial" w:hAnsi="Arial" w:cs="Arial"/>
          <w:b/>
          <w:bCs/>
          <w:color w:val="161616" w:themeColor="background1" w:themeShade="1A"/>
          <w:sz w:val="22"/>
          <w:szCs w:val="22"/>
          <w:lang w:val="es-ES_tradnl"/>
        </w:rPr>
        <w:t>297</w:t>
      </w:r>
      <w:r w:rsidR="00423405" w:rsidRPr="00691AAC">
        <w:rPr>
          <w:rFonts w:ascii="Arial" w:hAnsi="Arial" w:cs="Arial"/>
          <w:b/>
          <w:bCs/>
          <w:color w:val="161616" w:themeColor="background1" w:themeShade="1A"/>
          <w:sz w:val="22"/>
          <w:szCs w:val="22"/>
          <w:lang w:val="es-ES_tradnl"/>
        </w:rPr>
        <w:t xml:space="preserve"> de 2022</w:t>
      </w:r>
    </w:p>
    <w:p w14:paraId="3C57C781" w14:textId="77777777" w:rsidR="00FE4C26" w:rsidRPr="00691AAC" w:rsidRDefault="00FE4C26" w:rsidP="0022167B">
      <w:pPr>
        <w:ind w:left="2824" w:hanging="2818"/>
        <w:jc w:val="both"/>
        <w:rPr>
          <w:rFonts w:ascii="Arial" w:eastAsia="Calibri" w:hAnsi="Arial" w:cs="Arial"/>
          <w:b/>
          <w:noProof/>
          <w:color w:val="161616" w:themeColor="background1" w:themeShade="1A"/>
          <w:sz w:val="22"/>
          <w:szCs w:val="22"/>
          <w:lang w:val="es-ES_tradnl" w:eastAsia="en-US"/>
        </w:rPr>
      </w:pPr>
    </w:p>
    <w:p w14:paraId="459318C3" w14:textId="421ED92F" w:rsidR="00675436" w:rsidRPr="00675436" w:rsidRDefault="00E54365" w:rsidP="00675436">
      <w:pPr>
        <w:ind w:left="2824" w:hanging="2818"/>
        <w:jc w:val="both"/>
        <w:rPr>
          <w:rFonts w:ascii="Arial" w:eastAsia="Calibri" w:hAnsi="Arial" w:cs="Arial"/>
          <w:bCs/>
          <w:color w:val="161616" w:themeColor="background1" w:themeShade="1A"/>
          <w:sz w:val="22"/>
          <w:szCs w:val="22"/>
          <w:lang w:val="es-ES_tradnl"/>
        </w:rPr>
      </w:pPr>
      <w:r w:rsidRPr="00691AAC">
        <w:rPr>
          <w:rFonts w:ascii="Arial" w:eastAsia="Calibri" w:hAnsi="Arial" w:cs="Arial"/>
          <w:b/>
          <w:noProof/>
          <w:color w:val="161616" w:themeColor="background1" w:themeShade="1A"/>
          <w:sz w:val="22"/>
          <w:szCs w:val="22"/>
          <w:lang w:val="es-ES_tradnl" w:eastAsia="en-US"/>
        </w:rPr>
        <w:t>Temas</w:t>
      </w:r>
      <w:r w:rsidRPr="00691AAC">
        <w:rPr>
          <w:rFonts w:ascii="Arial" w:eastAsia="Calibri" w:hAnsi="Arial" w:cs="Arial"/>
          <w:bCs/>
          <w:noProof/>
          <w:color w:val="161616" w:themeColor="background1" w:themeShade="1A"/>
          <w:sz w:val="22"/>
          <w:szCs w:val="22"/>
          <w:lang w:val="es-ES_tradnl" w:eastAsia="en-US"/>
        </w:rPr>
        <w:t xml:space="preserve">: </w:t>
      </w:r>
      <w:r w:rsidRPr="00691AAC">
        <w:rPr>
          <w:rFonts w:ascii="Arial" w:eastAsia="Calibri" w:hAnsi="Arial" w:cs="Arial"/>
          <w:bCs/>
          <w:noProof/>
          <w:color w:val="161616" w:themeColor="background1" w:themeShade="1A"/>
          <w:sz w:val="22"/>
          <w:szCs w:val="22"/>
          <w:lang w:val="es-ES_tradnl" w:eastAsia="en-US"/>
        </w:rPr>
        <w:tab/>
      </w:r>
      <w:r w:rsidR="00675436" w:rsidRPr="00675436">
        <w:rPr>
          <w:rFonts w:ascii="Arial" w:eastAsia="Calibri" w:hAnsi="Arial" w:cs="Arial"/>
          <w:bCs/>
          <w:color w:val="161616" w:themeColor="background1" w:themeShade="1A"/>
          <w:sz w:val="22"/>
          <w:szCs w:val="22"/>
          <w:lang w:val="es-ES_tradnl"/>
        </w:rPr>
        <w:t>LEY DE GARANTÍAS ELECTORALES ‒ Noción – Finalidad / LEY DE GARANTÍAS ELECTORALES ‒ Restricciones / LEY DE GARANTÍAS ELECTORALES ‒ Destinatarios / LEY DE GARANTÍAS ELECTORALES ‒ Restricciones por elección de cargos populares – Convenios y contratos interadministrativos – Definición – Criterio orgánico / CONTRATOS Y CONVENIOS INTERADMINISTRATIVOS – Modalidad de selección</w:t>
      </w:r>
    </w:p>
    <w:p w14:paraId="3729C7E8" w14:textId="77777777" w:rsidR="00675436" w:rsidRPr="00675436" w:rsidRDefault="00675436" w:rsidP="00675436">
      <w:pPr>
        <w:jc w:val="both"/>
        <w:rPr>
          <w:rFonts w:ascii="Arial" w:eastAsia="Calibri" w:hAnsi="Arial" w:cs="Arial"/>
          <w:bCs/>
          <w:color w:val="161616" w:themeColor="background1" w:themeShade="1A"/>
          <w:sz w:val="22"/>
          <w:szCs w:val="22"/>
          <w:lang w:val="es-ES_tradnl"/>
        </w:rPr>
      </w:pPr>
    </w:p>
    <w:p w14:paraId="6502F989" w14:textId="34018B3A" w:rsidR="00C366C4" w:rsidRPr="00691AAC" w:rsidRDefault="00E54365" w:rsidP="00133891">
      <w:pPr>
        <w:ind w:left="2835" w:hanging="2835"/>
        <w:jc w:val="both"/>
        <w:rPr>
          <w:rFonts w:ascii="Arial" w:hAnsi="Arial" w:cs="Arial"/>
          <w:color w:val="161616" w:themeColor="background1" w:themeShade="1A"/>
          <w:sz w:val="22"/>
          <w:szCs w:val="22"/>
          <w:lang w:val="es-ES_tradnl"/>
        </w:rPr>
      </w:pPr>
      <w:r w:rsidRPr="00691AAC">
        <w:rPr>
          <w:rFonts w:ascii="Arial" w:eastAsia="Calibri" w:hAnsi="Arial" w:cs="Arial"/>
          <w:b/>
          <w:noProof/>
          <w:color w:val="161616" w:themeColor="background1" w:themeShade="1A"/>
          <w:sz w:val="22"/>
          <w:szCs w:val="22"/>
          <w:lang w:val="es-ES_tradnl" w:eastAsia="en-US"/>
        </w:rPr>
        <w:t>Radicación</w:t>
      </w:r>
      <w:r w:rsidRPr="00691AAC">
        <w:rPr>
          <w:rFonts w:ascii="Arial" w:eastAsia="Calibri" w:hAnsi="Arial" w:cs="Arial"/>
          <w:bCs/>
          <w:noProof/>
          <w:color w:val="161616" w:themeColor="background1" w:themeShade="1A"/>
          <w:sz w:val="22"/>
          <w:szCs w:val="22"/>
          <w:lang w:val="es-ES_tradnl" w:eastAsia="en-US"/>
        </w:rPr>
        <w:t>:</w:t>
      </w:r>
      <w:r w:rsidRPr="00691AAC">
        <w:rPr>
          <w:rFonts w:ascii="Arial" w:eastAsia="Calibri" w:hAnsi="Arial" w:cs="Arial"/>
          <w:bCs/>
          <w:noProof/>
          <w:color w:val="161616" w:themeColor="background1" w:themeShade="1A"/>
          <w:sz w:val="22"/>
          <w:szCs w:val="22"/>
          <w:lang w:val="es-ES_tradnl" w:eastAsia="en-US"/>
        </w:rPr>
        <w:tab/>
        <w:t>Respuesta a consulta</w:t>
      </w:r>
      <w:r w:rsidR="00FB5E3B" w:rsidRPr="00691AAC">
        <w:rPr>
          <w:rFonts w:ascii="Arial" w:eastAsia="Calibri" w:hAnsi="Arial" w:cs="Arial"/>
          <w:bCs/>
          <w:noProof/>
          <w:color w:val="161616" w:themeColor="background1" w:themeShade="1A"/>
          <w:sz w:val="22"/>
          <w:szCs w:val="22"/>
          <w:lang w:val="es-ES_tradnl" w:eastAsia="en-US"/>
        </w:rPr>
        <w:t xml:space="preserve"> </w:t>
      </w:r>
      <w:r w:rsidR="00133891" w:rsidRPr="00133891">
        <w:rPr>
          <w:rFonts w:ascii="Arial" w:eastAsia="Calibri" w:hAnsi="Arial" w:cs="Arial"/>
          <w:bCs/>
          <w:noProof/>
          <w:color w:val="161616" w:themeColor="background1" w:themeShade="1A"/>
          <w:sz w:val="22"/>
          <w:szCs w:val="22"/>
          <w:lang w:val="es-ES_tradnl" w:eastAsia="en-US"/>
        </w:rPr>
        <w:t>P20220330003186</w:t>
      </w:r>
      <w:r w:rsidR="007449D2">
        <w:rPr>
          <w:rFonts w:ascii="Arial" w:eastAsia="Calibri" w:hAnsi="Arial" w:cs="Arial"/>
          <w:bCs/>
          <w:noProof/>
          <w:color w:val="161616" w:themeColor="background1" w:themeShade="1A"/>
          <w:sz w:val="22"/>
          <w:szCs w:val="22"/>
          <w:lang w:val="es-ES_tradnl" w:eastAsia="en-US"/>
        </w:rPr>
        <w:t xml:space="preserve">. </w:t>
      </w:r>
    </w:p>
    <w:p w14:paraId="430D12B4" w14:textId="77777777" w:rsidR="000502EC" w:rsidRDefault="000502EC" w:rsidP="0022167B">
      <w:pPr>
        <w:rPr>
          <w:rFonts w:ascii="Arial" w:hAnsi="Arial" w:cs="Arial"/>
          <w:color w:val="161616" w:themeColor="background1" w:themeShade="1A"/>
          <w:sz w:val="22"/>
          <w:szCs w:val="22"/>
          <w:lang w:val="es-ES_tradnl"/>
        </w:rPr>
      </w:pPr>
    </w:p>
    <w:p w14:paraId="71ED9EB2" w14:textId="587001F0" w:rsidR="00E54365" w:rsidRPr="00691AAC" w:rsidRDefault="00E54365" w:rsidP="0022167B">
      <w:pPr>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Estimad</w:t>
      </w:r>
      <w:r w:rsidR="006165B4">
        <w:rPr>
          <w:rFonts w:ascii="Arial" w:hAnsi="Arial" w:cs="Arial"/>
          <w:color w:val="161616" w:themeColor="background1" w:themeShade="1A"/>
          <w:sz w:val="22"/>
          <w:szCs w:val="22"/>
          <w:lang w:val="es-ES_tradnl"/>
        </w:rPr>
        <w:t xml:space="preserve">o Señor Forero, </w:t>
      </w:r>
      <w:r w:rsidR="007168C5" w:rsidRPr="00691AAC">
        <w:rPr>
          <w:rFonts w:ascii="Arial" w:hAnsi="Arial" w:cs="Arial"/>
          <w:color w:val="161616" w:themeColor="background1" w:themeShade="1A"/>
          <w:sz w:val="22"/>
          <w:szCs w:val="22"/>
          <w:lang w:val="es-ES_tradnl"/>
        </w:rPr>
        <w:t xml:space="preserve"> </w:t>
      </w:r>
      <w:r w:rsidR="006D2519" w:rsidRPr="00691AAC">
        <w:rPr>
          <w:rFonts w:ascii="Arial" w:hAnsi="Arial" w:cs="Arial"/>
          <w:color w:val="161616" w:themeColor="background1" w:themeShade="1A"/>
          <w:sz w:val="22"/>
          <w:szCs w:val="22"/>
          <w:lang w:val="es-ES_tradnl"/>
        </w:rPr>
        <w:t xml:space="preserve"> </w:t>
      </w:r>
      <w:r w:rsidRPr="00691AAC">
        <w:rPr>
          <w:rFonts w:ascii="Arial" w:hAnsi="Arial" w:cs="Arial"/>
          <w:color w:val="161616" w:themeColor="background1" w:themeShade="1A"/>
          <w:sz w:val="22"/>
          <w:szCs w:val="22"/>
          <w:lang w:val="es-ES_tradnl"/>
        </w:rPr>
        <w:t xml:space="preserve"> </w:t>
      </w:r>
    </w:p>
    <w:p w14:paraId="60D2C28E" w14:textId="77777777" w:rsidR="006F56C4" w:rsidRPr="00691AAC" w:rsidRDefault="006F56C4" w:rsidP="0022167B">
      <w:pPr>
        <w:rPr>
          <w:rFonts w:ascii="Arial" w:hAnsi="Arial" w:cs="Arial"/>
          <w:color w:val="161616" w:themeColor="background1" w:themeShade="1A"/>
          <w:sz w:val="22"/>
          <w:szCs w:val="22"/>
          <w:lang w:val="es-ES_tradnl"/>
        </w:rPr>
      </w:pPr>
    </w:p>
    <w:p w14:paraId="43EDF4BF" w14:textId="6DC34C4E" w:rsidR="00E54365" w:rsidRPr="00691AAC" w:rsidRDefault="00E54365" w:rsidP="004102D2">
      <w:pPr>
        <w:spacing w:line="276" w:lineRule="auto"/>
        <w:jc w:val="both"/>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 xml:space="preserve">En ejercicio de la competencia otorgada por el numeral 8 del artículo 11 y el numeral 5 del artículo 3 del Decreto Ley 4170 de 2011, la Agencia Nacional de Contratación Pública− Colombia Compra Eficiente responde su consulta </w:t>
      </w:r>
      <w:r w:rsidR="00133891">
        <w:rPr>
          <w:rFonts w:ascii="Arial" w:hAnsi="Arial" w:cs="Arial"/>
          <w:color w:val="161616" w:themeColor="background1" w:themeShade="1A"/>
          <w:sz w:val="22"/>
          <w:szCs w:val="22"/>
          <w:lang w:val="es-ES_tradnl"/>
        </w:rPr>
        <w:t xml:space="preserve">remitida en fecha </w:t>
      </w:r>
      <w:r w:rsidR="00D81626" w:rsidRPr="00D81626">
        <w:rPr>
          <w:rFonts w:ascii="Arial" w:hAnsi="Arial" w:cs="Arial"/>
          <w:color w:val="161616" w:themeColor="background1" w:themeShade="1A"/>
          <w:sz w:val="22"/>
          <w:szCs w:val="22"/>
          <w:lang w:val="es-ES_tradnl"/>
        </w:rPr>
        <w:t>30</w:t>
      </w:r>
      <w:r w:rsidR="00133891" w:rsidRPr="00D81626">
        <w:rPr>
          <w:rFonts w:ascii="Arial" w:hAnsi="Arial" w:cs="Arial"/>
          <w:color w:val="161616" w:themeColor="background1" w:themeShade="1A"/>
          <w:sz w:val="22"/>
          <w:szCs w:val="22"/>
          <w:lang w:val="es-ES_tradnl"/>
        </w:rPr>
        <w:t xml:space="preserve"> de marzo</w:t>
      </w:r>
      <w:r w:rsidR="00133891">
        <w:rPr>
          <w:rFonts w:ascii="Arial" w:hAnsi="Arial" w:cs="Arial"/>
          <w:color w:val="161616" w:themeColor="background1" w:themeShade="1A"/>
          <w:sz w:val="22"/>
          <w:szCs w:val="22"/>
          <w:lang w:val="es-ES_tradnl"/>
        </w:rPr>
        <w:t xml:space="preserve"> de 2022. </w:t>
      </w:r>
    </w:p>
    <w:p w14:paraId="7163A7AF" w14:textId="77777777" w:rsidR="00015E80" w:rsidRPr="00691AAC" w:rsidRDefault="00015E80" w:rsidP="0022167B">
      <w:pPr>
        <w:rPr>
          <w:rFonts w:ascii="Arial" w:hAnsi="Arial" w:cs="Arial"/>
          <w:color w:val="161616" w:themeColor="background1" w:themeShade="1A"/>
          <w:sz w:val="22"/>
          <w:szCs w:val="22"/>
          <w:lang w:val="es-ES_tradnl"/>
        </w:rPr>
      </w:pPr>
    </w:p>
    <w:p w14:paraId="4CDB27A1" w14:textId="23AF4B73" w:rsidR="00FB5E3B" w:rsidRPr="00691AAC" w:rsidRDefault="00E54365" w:rsidP="0022167B">
      <w:pPr>
        <w:rPr>
          <w:rFonts w:ascii="Arial" w:hAnsi="Arial" w:cs="Arial"/>
          <w:b/>
          <w:color w:val="161616" w:themeColor="background1" w:themeShade="1A"/>
          <w:sz w:val="22"/>
          <w:szCs w:val="22"/>
          <w:lang w:val="es-ES_tradnl"/>
        </w:rPr>
      </w:pPr>
      <w:r w:rsidRPr="00691AAC">
        <w:rPr>
          <w:rFonts w:ascii="Arial" w:hAnsi="Arial" w:cs="Arial"/>
          <w:b/>
          <w:color w:val="161616" w:themeColor="background1" w:themeShade="1A"/>
          <w:sz w:val="22"/>
          <w:szCs w:val="22"/>
          <w:lang w:val="es-ES_tradnl"/>
        </w:rPr>
        <w:t xml:space="preserve">1. Problema planteado </w:t>
      </w:r>
    </w:p>
    <w:p w14:paraId="5834083C" w14:textId="5B5F17F3" w:rsidR="00695B70" w:rsidRPr="00691AAC" w:rsidRDefault="00695B70" w:rsidP="0022167B">
      <w:pPr>
        <w:rPr>
          <w:rFonts w:ascii="Arial" w:hAnsi="Arial" w:cs="Arial"/>
          <w:b/>
          <w:color w:val="161616" w:themeColor="background1" w:themeShade="1A"/>
          <w:sz w:val="22"/>
          <w:szCs w:val="22"/>
          <w:lang w:val="es-ES_tradnl"/>
        </w:rPr>
      </w:pPr>
    </w:p>
    <w:p w14:paraId="45977BEA" w14:textId="5DC89E91" w:rsidR="00EA4714" w:rsidRDefault="00FB5E3B" w:rsidP="00423A36">
      <w:pPr>
        <w:spacing w:line="276" w:lineRule="auto"/>
        <w:jc w:val="both"/>
        <w:rPr>
          <w:rFonts w:ascii="Arial" w:hAnsi="Arial" w:cs="Arial"/>
          <w:color w:val="161616" w:themeColor="background1" w:themeShade="1A"/>
          <w:sz w:val="22"/>
          <w:szCs w:val="22"/>
          <w:lang w:val="es-ES_tradnl"/>
        </w:rPr>
      </w:pPr>
      <w:r w:rsidRPr="00691AAC">
        <w:rPr>
          <w:rFonts w:ascii="Arial" w:hAnsi="Arial" w:cs="Arial"/>
          <w:color w:val="161616" w:themeColor="background1" w:themeShade="1A"/>
          <w:sz w:val="22"/>
          <w:szCs w:val="22"/>
          <w:lang w:val="es-ES_tradnl"/>
        </w:rPr>
        <w:t xml:space="preserve">Usted </w:t>
      </w:r>
      <w:r w:rsidR="00EF64D8" w:rsidRPr="00691AAC">
        <w:rPr>
          <w:rFonts w:ascii="Arial" w:hAnsi="Arial" w:cs="Arial"/>
          <w:color w:val="161616" w:themeColor="background1" w:themeShade="1A"/>
          <w:sz w:val="22"/>
          <w:szCs w:val="22"/>
          <w:lang w:val="es-ES_tradnl"/>
        </w:rPr>
        <w:t>formula</w:t>
      </w:r>
      <w:r w:rsidRPr="00691AAC">
        <w:rPr>
          <w:rFonts w:ascii="Arial" w:hAnsi="Arial" w:cs="Arial"/>
          <w:color w:val="161616" w:themeColor="background1" w:themeShade="1A"/>
          <w:sz w:val="22"/>
          <w:szCs w:val="22"/>
          <w:lang w:val="es-ES_tradnl"/>
        </w:rPr>
        <w:t xml:space="preserve"> la siguiente consulta</w:t>
      </w:r>
      <w:r w:rsidR="00A74544" w:rsidRPr="00691AAC">
        <w:rPr>
          <w:rFonts w:ascii="Arial" w:hAnsi="Arial" w:cs="Arial"/>
          <w:color w:val="161616" w:themeColor="background1" w:themeShade="1A"/>
          <w:sz w:val="22"/>
          <w:szCs w:val="22"/>
          <w:lang w:val="es-ES_tradnl"/>
        </w:rPr>
        <w:t>:</w:t>
      </w:r>
      <w:r w:rsidR="004F362E" w:rsidRPr="008E426F">
        <w:rPr>
          <w:rFonts w:ascii="Arial" w:hAnsi="Arial" w:cs="Arial"/>
          <w:color w:val="161616" w:themeColor="background1" w:themeShade="1A"/>
          <w:sz w:val="22"/>
          <w:szCs w:val="22"/>
          <w:lang w:val="es-ES_tradnl"/>
        </w:rPr>
        <w:t xml:space="preserve"> </w:t>
      </w:r>
      <w:r w:rsidR="006165B4" w:rsidRPr="008E426F">
        <w:rPr>
          <w:rFonts w:ascii="Arial" w:hAnsi="Arial" w:cs="Arial"/>
          <w:color w:val="161616" w:themeColor="background1" w:themeShade="1A"/>
          <w:sz w:val="22"/>
          <w:szCs w:val="22"/>
          <w:lang w:val="es-ES_tradnl"/>
        </w:rPr>
        <w:t>«La presente es para solicitar su colaboración en ampliar el horizonte sobre si es viable jurídicamente la celebración de convenio interadministrativo que no conlleva costo o asignación de presupuesto o un contrato de donación estando en vigencia ley de garantías</w:t>
      </w:r>
      <w:r w:rsidR="00F03776" w:rsidRPr="004F362E">
        <w:rPr>
          <w:rFonts w:ascii="Arial" w:eastAsia="Arial" w:hAnsi="Arial" w:cs="Arial"/>
          <w:color w:val="161616" w:themeColor="background1" w:themeShade="1A"/>
          <w:sz w:val="22"/>
          <w:szCs w:val="22"/>
          <w:lang w:val="es-ES_tradnl"/>
        </w:rPr>
        <w:t>»</w:t>
      </w:r>
      <w:r w:rsidR="004F362E" w:rsidRPr="004F362E">
        <w:rPr>
          <w:rFonts w:ascii="Arial" w:eastAsia="Arial" w:hAnsi="Arial" w:cs="Arial"/>
          <w:color w:val="161616" w:themeColor="background1" w:themeShade="1A"/>
          <w:sz w:val="22"/>
          <w:szCs w:val="22"/>
          <w:lang w:val="es-ES_tradnl"/>
        </w:rPr>
        <w:t>.</w:t>
      </w:r>
      <w:r w:rsidR="006165B4" w:rsidRPr="008E426F">
        <w:rPr>
          <w:rFonts w:ascii="Arial" w:hAnsi="Arial" w:cs="Arial"/>
          <w:color w:val="161616" w:themeColor="background1" w:themeShade="1A"/>
          <w:sz w:val="22"/>
          <w:szCs w:val="22"/>
          <w:lang w:val="es-ES_tradnl"/>
        </w:rPr>
        <w:t xml:space="preserve"> </w:t>
      </w:r>
    </w:p>
    <w:p w14:paraId="0329D468" w14:textId="77777777" w:rsidR="004F362E" w:rsidRPr="004F362E" w:rsidRDefault="004F362E" w:rsidP="008E426F">
      <w:pPr>
        <w:spacing w:line="276" w:lineRule="auto"/>
        <w:jc w:val="both"/>
        <w:rPr>
          <w:rFonts w:ascii="Arial" w:hAnsi="Arial" w:cs="Arial"/>
          <w:color w:val="161616" w:themeColor="background1" w:themeShade="1A"/>
          <w:sz w:val="21"/>
          <w:szCs w:val="21"/>
          <w:lang w:val="es-ES_tradnl"/>
        </w:rPr>
      </w:pPr>
    </w:p>
    <w:p w14:paraId="22C81704" w14:textId="3DCF39A1" w:rsidR="00FB5E3B" w:rsidRDefault="00E54365" w:rsidP="008E426F">
      <w:pPr>
        <w:rPr>
          <w:rFonts w:ascii="Arial" w:hAnsi="Arial" w:cs="Arial"/>
          <w:b/>
          <w:color w:val="161616" w:themeColor="background1" w:themeShade="1A"/>
          <w:sz w:val="22"/>
          <w:szCs w:val="22"/>
          <w:lang w:val="es-ES_tradnl"/>
        </w:rPr>
      </w:pPr>
      <w:r w:rsidRPr="00691AAC">
        <w:rPr>
          <w:rFonts w:ascii="Arial" w:hAnsi="Arial" w:cs="Arial"/>
          <w:b/>
          <w:color w:val="161616" w:themeColor="background1" w:themeShade="1A"/>
          <w:sz w:val="22"/>
          <w:szCs w:val="22"/>
          <w:lang w:val="es-ES_tradnl"/>
        </w:rPr>
        <w:lastRenderedPageBreak/>
        <w:t xml:space="preserve">2. Consideraciones </w:t>
      </w:r>
    </w:p>
    <w:p w14:paraId="704D41D3" w14:textId="77777777" w:rsidR="004F362E" w:rsidRDefault="004F362E" w:rsidP="004F362E">
      <w:pPr>
        <w:spacing w:line="276" w:lineRule="auto"/>
        <w:jc w:val="both"/>
        <w:rPr>
          <w:rFonts w:ascii="Arial" w:hAnsi="Arial" w:cs="Arial"/>
          <w:sz w:val="22"/>
          <w:lang w:val="es-ES"/>
        </w:rPr>
      </w:pPr>
    </w:p>
    <w:p w14:paraId="4C86440B" w14:textId="744759CF" w:rsidR="00D330E0" w:rsidRDefault="0032144D" w:rsidP="00675436">
      <w:pPr>
        <w:spacing w:line="276" w:lineRule="auto"/>
        <w:jc w:val="both"/>
        <w:rPr>
          <w:rFonts w:ascii="Arial" w:hAnsi="Arial" w:cs="Arial"/>
          <w:sz w:val="22"/>
          <w:lang w:val="es-ES"/>
        </w:rPr>
      </w:pPr>
      <w:r w:rsidRPr="00691AAC">
        <w:rPr>
          <w:rFonts w:ascii="Arial"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23BB1">
        <w:rPr>
          <w:rFonts w:ascii="Arial" w:hAnsi="Arial" w:cs="Arial"/>
          <w:sz w:val="22"/>
          <w:lang w:val="es-ES"/>
        </w:rPr>
        <w:t xml:space="preserve"> de todos los partícipes de la contratación estatal.</w:t>
      </w:r>
    </w:p>
    <w:p w14:paraId="66A08A34" w14:textId="55ED3CFA" w:rsidR="00FD2088" w:rsidRPr="00523BB1" w:rsidRDefault="00523BB1" w:rsidP="008E426F">
      <w:pPr>
        <w:spacing w:before="120" w:line="276" w:lineRule="auto"/>
        <w:ind w:firstLine="709"/>
        <w:jc w:val="both"/>
        <w:rPr>
          <w:rFonts w:ascii="Arial" w:hAnsi="Arial" w:cs="Arial"/>
          <w:sz w:val="22"/>
          <w:lang w:val="es-ES"/>
        </w:rPr>
      </w:pPr>
      <w:r>
        <w:rPr>
          <w:rFonts w:ascii="Arial" w:hAnsi="Arial" w:cs="Arial"/>
          <w:sz w:val="22"/>
          <w:lang w:val="es-ES"/>
        </w:rPr>
        <w:t>L</w:t>
      </w:r>
      <w:r w:rsidR="0032144D" w:rsidRPr="00691AAC">
        <w:rPr>
          <w:rFonts w:ascii="Arial" w:hAnsi="Arial" w:cs="Arial"/>
          <w:sz w:val="22"/>
          <w:lang w:val="es-ES"/>
        </w:rPr>
        <w:t>a competencia de esta entidad se fija con límites claros, con el objeto de evitar que la Agencia actúe como una instancia de validación de las actuaciones de las entidades sujetas a la Ley 80 de 1993 o de los demás participantes de la contratación pública</w:t>
      </w:r>
      <w:r w:rsidR="0032144D" w:rsidRPr="00691AAC">
        <w:rPr>
          <w:rStyle w:val="Refdenotaalpie"/>
          <w:rFonts w:ascii="Arial" w:hAnsi="Arial" w:cs="Arial"/>
          <w:sz w:val="22"/>
          <w:lang w:val="es-ES"/>
        </w:rPr>
        <w:footnoteReference w:id="1"/>
      </w:r>
      <w:r w:rsidR="0032144D" w:rsidRPr="00691AAC">
        <w:rPr>
          <w:rFonts w:ascii="Arial" w:hAnsi="Arial" w:cs="Arial"/>
          <w:sz w:val="22"/>
          <w:lang w:val="es-ES"/>
        </w:rPr>
        <w:t>.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entidad estatal definir la viabilidad técnica, jurídica y financiera de celebrar determinado negocio jurídico en específico.</w:t>
      </w:r>
    </w:p>
    <w:p w14:paraId="572FEBDA" w14:textId="79D8BA29" w:rsidR="007C0AB3" w:rsidRPr="00691AAC" w:rsidRDefault="00554A77" w:rsidP="008E426F">
      <w:pPr>
        <w:tabs>
          <w:tab w:val="left" w:pos="426"/>
        </w:tabs>
        <w:spacing w:before="120" w:line="276" w:lineRule="auto"/>
        <w:ind w:firstLine="709"/>
        <w:jc w:val="both"/>
        <w:rPr>
          <w:rFonts w:ascii="Arial" w:hAnsi="Arial" w:cs="Arial"/>
          <w:color w:val="161616" w:themeColor="background1" w:themeShade="1A"/>
          <w:sz w:val="22"/>
          <w:szCs w:val="22"/>
          <w:lang w:val="es-ES_tradnl"/>
        </w:rPr>
      </w:pPr>
      <w:r w:rsidRPr="00691AAC">
        <w:rPr>
          <w:rFonts w:ascii="Arial" w:eastAsia="Calibri" w:hAnsi="Arial" w:cs="Arial"/>
          <w:color w:val="161616" w:themeColor="background1" w:themeShade="1A"/>
          <w:sz w:val="22"/>
          <w:szCs w:val="22"/>
          <w:lang w:val="es-ES_tradnl"/>
        </w:rPr>
        <w:t xml:space="preserve">Es </w:t>
      </w:r>
      <w:r w:rsidR="00A91BEA" w:rsidRPr="00691AAC">
        <w:rPr>
          <w:rFonts w:ascii="Arial" w:eastAsia="Calibri" w:hAnsi="Arial" w:cs="Arial"/>
          <w:color w:val="161616" w:themeColor="background1" w:themeShade="1A"/>
          <w:sz w:val="22"/>
          <w:szCs w:val="22"/>
          <w:lang w:val="es-ES_tradnl"/>
        </w:rPr>
        <w:t>preciso advertir que los conceptos contienen la posición hermenéutica de la Subdirección de Gestión Contractual</w:t>
      </w:r>
      <w:r w:rsidR="001041A9" w:rsidRPr="00691AAC">
        <w:rPr>
          <w:rFonts w:ascii="Arial" w:eastAsia="Calibri" w:hAnsi="Arial" w:cs="Arial"/>
          <w:color w:val="161616" w:themeColor="background1" w:themeShade="1A"/>
          <w:sz w:val="22"/>
          <w:szCs w:val="22"/>
          <w:lang w:val="es-ES_tradnl"/>
        </w:rPr>
        <w:t>,</w:t>
      </w:r>
      <w:r w:rsidR="00A91BEA" w:rsidRPr="00691AAC">
        <w:rPr>
          <w:rFonts w:ascii="Arial" w:eastAsia="Calibri" w:hAnsi="Arial" w:cs="Arial"/>
          <w:color w:val="161616" w:themeColor="background1" w:themeShade="1A"/>
          <w:sz w:val="22"/>
          <w:szCs w:val="22"/>
          <w:lang w:val="es-ES_tradnl"/>
        </w:rPr>
        <w:t xml:space="preserve">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691AAC">
        <w:rPr>
          <w:rFonts w:ascii="Arial" w:eastAsia="Arial" w:hAnsi="Arial" w:cs="Arial"/>
          <w:color w:val="161616" w:themeColor="background1" w:themeShade="1A"/>
          <w:sz w:val="22"/>
          <w:szCs w:val="22"/>
          <w:lang w:val="es-ES_tradnl"/>
        </w:rPr>
        <w:t>de obligatorio cumplimiento para el destinatario, sino que expresan la posición interpretativa del ente que elabora el concepto.</w:t>
      </w:r>
    </w:p>
    <w:p w14:paraId="15C81BF1" w14:textId="56E4BCB9" w:rsidR="00256CE7" w:rsidRPr="00691AAC" w:rsidRDefault="00B16829" w:rsidP="008E426F">
      <w:pPr>
        <w:tabs>
          <w:tab w:val="left" w:pos="426"/>
        </w:tabs>
        <w:spacing w:before="120" w:line="276" w:lineRule="auto"/>
        <w:ind w:firstLine="709"/>
        <w:jc w:val="both"/>
        <w:rPr>
          <w:rFonts w:ascii="Arial" w:eastAsia="Calibri" w:hAnsi="Arial" w:cs="Arial"/>
          <w:color w:val="161616" w:themeColor="background1" w:themeShade="1A"/>
          <w:sz w:val="22"/>
          <w:szCs w:val="22"/>
          <w:lang w:val="es-ES_tradnl"/>
        </w:rPr>
      </w:pPr>
      <w:r w:rsidRPr="00691AAC">
        <w:rPr>
          <w:rFonts w:ascii="Arial" w:eastAsia="Calibri" w:hAnsi="Arial" w:cs="Arial"/>
          <w:color w:val="161616" w:themeColor="background1" w:themeShade="1A"/>
          <w:sz w:val="22"/>
          <w:szCs w:val="22"/>
          <w:lang w:val="es-ES_tradnl"/>
        </w:rPr>
        <w:t xml:space="preserve">La Agencia Nacional de Contratación Pública ‒ Colombia Compra Eficiente </w:t>
      </w:r>
      <w:r w:rsidR="00B04E6F" w:rsidRPr="00691AAC">
        <w:rPr>
          <w:rFonts w:ascii="Arial" w:eastAsia="Calibri" w:hAnsi="Arial" w:cs="Arial"/>
          <w:color w:val="161616" w:themeColor="background1" w:themeShade="1A"/>
          <w:sz w:val="22"/>
          <w:szCs w:val="22"/>
          <w:lang w:val="es-ES_tradnl"/>
        </w:rPr>
        <w:t xml:space="preserve">estudió el ámbito de aplicación de la ley 996 de 2005 y la restricción específica contenida en su </w:t>
      </w:r>
      <w:r w:rsidR="00B04E6F" w:rsidRPr="00691AAC">
        <w:rPr>
          <w:rFonts w:ascii="Arial" w:eastAsia="Calibri" w:hAnsi="Arial" w:cs="Arial"/>
          <w:color w:val="161616" w:themeColor="background1" w:themeShade="1A"/>
          <w:sz w:val="22"/>
          <w:szCs w:val="22"/>
          <w:lang w:val="es-ES_tradnl"/>
        </w:rPr>
        <w:lastRenderedPageBreak/>
        <w:t>artículo 33</w:t>
      </w:r>
      <w:r w:rsidRPr="00691AAC">
        <w:rPr>
          <w:rFonts w:ascii="Arial" w:eastAsia="Calibri" w:hAnsi="Arial" w:cs="Arial"/>
          <w:color w:val="161616" w:themeColor="background1" w:themeShade="1A"/>
          <w:sz w:val="22"/>
          <w:szCs w:val="22"/>
          <w:lang w:val="es-ES_tradnl"/>
        </w:rPr>
        <w:t>, entre otros</w:t>
      </w:r>
      <w:r w:rsidR="00B04E6F" w:rsidRPr="00691AAC">
        <w:rPr>
          <w:rFonts w:ascii="Arial" w:eastAsia="Calibri" w:hAnsi="Arial" w:cs="Arial"/>
          <w:color w:val="161616" w:themeColor="background1" w:themeShade="1A"/>
          <w:sz w:val="22"/>
          <w:szCs w:val="22"/>
          <w:lang w:val="es-ES_tradnl"/>
        </w:rPr>
        <w:t xml:space="preserve"> pronunciamientos</w:t>
      </w:r>
      <w:r w:rsidRPr="00691AAC">
        <w:rPr>
          <w:rFonts w:ascii="Arial" w:eastAsia="Calibri" w:hAnsi="Arial" w:cs="Arial"/>
          <w:color w:val="161616" w:themeColor="background1" w:themeShade="1A"/>
          <w:sz w:val="22"/>
          <w:szCs w:val="22"/>
          <w:lang w:val="es-ES_tradnl"/>
        </w:rPr>
        <w:t>, en los conceptos</w:t>
      </w:r>
      <w:r w:rsidR="001A217F" w:rsidRPr="00691AAC">
        <w:rPr>
          <w:rFonts w:ascii="Arial" w:eastAsia="Calibri" w:hAnsi="Arial" w:cs="Arial"/>
          <w:color w:val="161616" w:themeColor="background1" w:themeShade="1A"/>
          <w:sz w:val="22"/>
          <w:szCs w:val="22"/>
          <w:lang w:val="es-ES_tradnl"/>
        </w:rPr>
        <w:t>:</w:t>
      </w:r>
      <w:r w:rsidRPr="00691AAC">
        <w:rPr>
          <w:rFonts w:ascii="Arial" w:eastAsia="Calibri" w:hAnsi="Arial" w:cs="Arial"/>
          <w:color w:val="161616" w:themeColor="background1" w:themeShade="1A"/>
          <w:sz w:val="22"/>
          <w:szCs w:val="22"/>
          <w:lang w:val="es-ES_tradnl"/>
        </w:rPr>
        <w:t xml:space="preserve"> </w:t>
      </w:r>
      <w:r w:rsidRPr="00691AAC">
        <w:rPr>
          <w:rFonts w:ascii="Arial" w:eastAsia="Arial" w:hAnsi="Arial" w:cs="Arial"/>
          <w:color w:val="161616" w:themeColor="background1" w:themeShade="1A"/>
          <w:sz w:val="22"/>
          <w:szCs w:val="22"/>
          <w:lang w:val="es-ES_tradnl"/>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w:t>
      </w:r>
      <w:r w:rsidR="002E4FB0" w:rsidRPr="002E4FB0">
        <w:rPr>
          <w:rFonts w:ascii="Arial" w:eastAsia="Arial" w:hAnsi="Arial" w:cs="Arial"/>
          <w:color w:val="161616" w:themeColor="background1" w:themeShade="1A"/>
          <w:sz w:val="22"/>
          <w:szCs w:val="22"/>
          <w:lang w:val="es-ES_tradnl"/>
        </w:rPr>
        <w:t>2201913000007760</w:t>
      </w:r>
      <w:r w:rsidR="002E4FB0">
        <w:rPr>
          <w:rFonts w:ascii="Arial" w:eastAsia="Arial" w:hAnsi="Arial" w:cs="Arial"/>
          <w:color w:val="161616" w:themeColor="background1" w:themeShade="1A"/>
          <w:sz w:val="22"/>
          <w:szCs w:val="22"/>
          <w:lang w:val="es-ES_tradnl"/>
        </w:rPr>
        <w:t xml:space="preserve"> del </w:t>
      </w:r>
      <w:r w:rsidR="002E4FB0" w:rsidRPr="00691AAC">
        <w:rPr>
          <w:rFonts w:ascii="Arial" w:eastAsia="Arial" w:hAnsi="Arial" w:cs="Arial"/>
          <w:color w:val="161616" w:themeColor="background1" w:themeShade="1A"/>
          <w:sz w:val="22"/>
          <w:szCs w:val="22"/>
          <w:lang w:val="es-ES_tradnl"/>
        </w:rPr>
        <w:t>1</w:t>
      </w:r>
      <w:r w:rsidR="002E4FB0">
        <w:rPr>
          <w:rFonts w:ascii="Arial" w:eastAsia="Arial" w:hAnsi="Arial" w:cs="Arial"/>
          <w:color w:val="161616" w:themeColor="background1" w:themeShade="1A"/>
          <w:sz w:val="22"/>
          <w:szCs w:val="22"/>
          <w:lang w:val="es-ES_tradnl"/>
        </w:rPr>
        <w:t>7</w:t>
      </w:r>
      <w:r w:rsidR="002E4FB0" w:rsidRPr="00691AAC">
        <w:rPr>
          <w:rFonts w:ascii="Arial" w:eastAsia="Arial" w:hAnsi="Arial" w:cs="Arial"/>
          <w:color w:val="161616" w:themeColor="background1" w:themeShade="1A"/>
          <w:sz w:val="22"/>
          <w:szCs w:val="22"/>
          <w:lang w:val="es-ES_tradnl"/>
        </w:rPr>
        <w:t xml:space="preserve"> de octubre de 2019,</w:t>
      </w:r>
      <w:r w:rsidR="002E4FB0">
        <w:rPr>
          <w:rFonts w:ascii="Arial" w:eastAsia="Arial" w:hAnsi="Arial" w:cs="Arial"/>
          <w:color w:val="161616" w:themeColor="background1" w:themeShade="1A"/>
          <w:sz w:val="22"/>
          <w:szCs w:val="22"/>
          <w:lang w:val="es-ES_tradnl"/>
        </w:rPr>
        <w:t xml:space="preserve"> </w:t>
      </w:r>
      <w:r w:rsidRPr="00691AAC">
        <w:rPr>
          <w:rFonts w:ascii="Arial" w:eastAsia="Arial" w:hAnsi="Arial" w:cs="Arial"/>
          <w:color w:val="161616" w:themeColor="background1" w:themeShade="1A"/>
          <w:sz w:val="22"/>
          <w:szCs w:val="22"/>
          <w:lang w:val="es-ES_tradnl"/>
        </w:rPr>
        <w:t xml:space="preserve">2201913000008259 del 6 de noviembre de 2019, </w:t>
      </w:r>
      <w:r w:rsidR="001B6E10" w:rsidRPr="00691AAC">
        <w:rPr>
          <w:rFonts w:ascii="Arial" w:eastAsia="Arial" w:hAnsi="Arial" w:cs="Arial"/>
          <w:color w:val="161616" w:themeColor="background1" w:themeShade="1A"/>
          <w:sz w:val="22"/>
          <w:szCs w:val="22"/>
          <w:lang w:val="es-ES_tradnl"/>
        </w:rPr>
        <w:t xml:space="preserve">2201913000009312 del 17 de diciembre de 2019, </w:t>
      </w:r>
      <w:r w:rsidRPr="00691AAC">
        <w:rPr>
          <w:rFonts w:ascii="Arial" w:eastAsia="Calibri" w:hAnsi="Arial" w:cs="Arial"/>
          <w:bCs/>
          <w:color w:val="161616" w:themeColor="background1" w:themeShade="1A"/>
          <w:sz w:val="22"/>
          <w:szCs w:val="22"/>
          <w:lang w:val="es-ES_tradnl"/>
        </w:rPr>
        <w:t>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C-695 del 22 de diciembre de 2021</w:t>
      </w:r>
      <w:r w:rsidR="001A217F" w:rsidRPr="00691AAC">
        <w:rPr>
          <w:rFonts w:ascii="Arial" w:eastAsia="Calibri" w:hAnsi="Arial" w:cs="Arial"/>
          <w:bCs/>
          <w:color w:val="161616" w:themeColor="background1" w:themeShade="1A"/>
          <w:sz w:val="22"/>
          <w:szCs w:val="22"/>
          <w:lang w:val="es-ES_tradnl"/>
        </w:rPr>
        <w:t>,</w:t>
      </w:r>
      <w:r w:rsidRPr="00691AAC">
        <w:rPr>
          <w:rFonts w:ascii="Arial" w:eastAsia="Calibri" w:hAnsi="Arial" w:cs="Arial"/>
          <w:bCs/>
          <w:color w:val="161616" w:themeColor="background1" w:themeShade="1A"/>
          <w:sz w:val="22"/>
          <w:szCs w:val="22"/>
          <w:lang w:val="es-ES_tradnl"/>
        </w:rPr>
        <w:t xml:space="preserve"> </w:t>
      </w:r>
      <w:r w:rsidR="00D17985" w:rsidRPr="00691AAC">
        <w:rPr>
          <w:rFonts w:ascii="Arial" w:eastAsia="Calibri" w:hAnsi="Arial" w:cs="Arial"/>
          <w:bCs/>
          <w:sz w:val="22"/>
        </w:rPr>
        <w:t xml:space="preserve">C-015 del 12 de enero de 2022, C-037 del 21 de enero de 2022, </w:t>
      </w:r>
      <w:r w:rsidR="00D17985" w:rsidRPr="00691AAC">
        <w:rPr>
          <w:rFonts w:ascii="Arial" w:eastAsia="Calibri" w:hAnsi="Arial" w:cs="Arial"/>
          <w:color w:val="161616" w:themeColor="background1" w:themeShade="1A"/>
          <w:sz w:val="22"/>
          <w:szCs w:val="22"/>
          <w:lang w:val="es-ES_tradnl"/>
        </w:rPr>
        <w:t xml:space="preserve">C-715 del 21 de enero de 2022, C-718 del 24 de enero de 2022, C-726 del 24 de enero de 2022, C- 023 del 22 de febrero de 2022, </w:t>
      </w:r>
      <w:r w:rsidR="00D17985" w:rsidRPr="00691AAC">
        <w:rPr>
          <w:rFonts w:ascii="Arial" w:eastAsia="Calibri" w:hAnsi="Arial" w:cs="Arial"/>
          <w:bCs/>
          <w:sz w:val="22"/>
        </w:rPr>
        <w:t>C-107 del 18 de marzo de 2022, C-122 del 18 de marzo de 2022</w:t>
      </w:r>
      <w:r w:rsidR="00523BB1">
        <w:rPr>
          <w:rFonts w:ascii="Arial" w:eastAsia="Calibri" w:hAnsi="Arial" w:cs="Arial"/>
          <w:bCs/>
          <w:sz w:val="22"/>
        </w:rPr>
        <w:t xml:space="preserve">, </w:t>
      </w:r>
      <w:r w:rsidR="00D17985" w:rsidRPr="00691AAC">
        <w:rPr>
          <w:rFonts w:ascii="Arial" w:eastAsia="Calibri" w:hAnsi="Arial" w:cs="Arial"/>
          <w:bCs/>
          <w:sz w:val="22"/>
        </w:rPr>
        <w:t>C-156 del 28 de marzo de 2022</w:t>
      </w:r>
      <w:r w:rsidR="00523BB1">
        <w:rPr>
          <w:rFonts w:ascii="Arial" w:eastAsia="Calibri" w:hAnsi="Arial" w:cs="Arial"/>
          <w:bCs/>
          <w:sz w:val="22"/>
        </w:rPr>
        <w:t xml:space="preserve"> y </w:t>
      </w:r>
      <w:r w:rsidR="00523BB1" w:rsidRPr="00691AAC">
        <w:rPr>
          <w:rFonts w:ascii="Arial" w:eastAsia="Calibri" w:hAnsi="Arial" w:cs="Arial"/>
          <w:bCs/>
          <w:sz w:val="22"/>
        </w:rPr>
        <w:t>C-1</w:t>
      </w:r>
      <w:r w:rsidR="00523BB1">
        <w:rPr>
          <w:rFonts w:ascii="Arial" w:eastAsia="Calibri" w:hAnsi="Arial" w:cs="Arial"/>
          <w:bCs/>
          <w:sz w:val="22"/>
        </w:rPr>
        <w:t xml:space="preserve">83 </w:t>
      </w:r>
      <w:r w:rsidR="00523BB1" w:rsidRPr="00691AAC">
        <w:rPr>
          <w:rFonts w:ascii="Arial" w:eastAsia="Calibri" w:hAnsi="Arial" w:cs="Arial"/>
          <w:bCs/>
          <w:sz w:val="22"/>
        </w:rPr>
        <w:t xml:space="preserve">del </w:t>
      </w:r>
      <w:r w:rsidR="00523BB1">
        <w:rPr>
          <w:rFonts w:ascii="Arial" w:eastAsia="Calibri" w:hAnsi="Arial" w:cs="Arial"/>
          <w:bCs/>
          <w:sz w:val="22"/>
        </w:rPr>
        <w:t xml:space="preserve">7 </w:t>
      </w:r>
      <w:r w:rsidR="00523BB1" w:rsidRPr="00691AAC">
        <w:rPr>
          <w:rFonts w:ascii="Arial" w:eastAsia="Calibri" w:hAnsi="Arial" w:cs="Arial"/>
          <w:bCs/>
          <w:sz w:val="22"/>
        </w:rPr>
        <w:t xml:space="preserve">de </w:t>
      </w:r>
      <w:r w:rsidR="00523BB1">
        <w:rPr>
          <w:rFonts w:ascii="Arial" w:eastAsia="Calibri" w:hAnsi="Arial" w:cs="Arial"/>
          <w:bCs/>
          <w:sz w:val="22"/>
        </w:rPr>
        <w:t xml:space="preserve">abril </w:t>
      </w:r>
      <w:r w:rsidR="00523BB1" w:rsidRPr="00691AAC">
        <w:rPr>
          <w:rFonts w:ascii="Arial" w:eastAsia="Calibri" w:hAnsi="Arial" w:cs="Arial"/>
          <w:bCs/>
          <w:sz w:val="22"/>
        </w:rPr>
        <w:t>de 2022</w:t>
      </w:r>
      <w:r w:rsidR="00D17985" w:rsidRPr="00691AAC">
        <w:rPr>
          <w:rFonts w:ascii="Arial" w:eastAsia="Calibri" w:hAnsi="Arial" w:cs="Arial"/>
          <w:color w:val="161616" w:themeColor="background1" w:themeShade="1A"/>
          <w:sz w:val="22"/>
          <w:szCs w:val="22"/>
          <w:lang w:val="es-ES_tradnl"/>
        </w:rPr>
        <w:t>. La tesis desarrollada en estos conceptos se reitera y complementa a continuación</w:t>
      </w:r>
      <w:r w:rsidR="00FD3E1B" w:rsidRPr="00691AAC">
        <w:rPr>
          <w:rFonts w:ascii="Arial" w:eastAsia="Calibri" w:hAnsi="Arial" w:cs="Arial"/>
          <w:color w:val="161616" w:themeColor="background1" w:themeShade="1A"/>
          <w:sz w:val="22"/>
          <w:szCs w:val="22"/>
          <w:lang w:val="es-ES_tradnl"/>
        </w:rPr>
        <w:t>.</w:t>
      </w:r>
    </w:p>
    <w:p w14:paraId="4F11C367" w14:textId="77777777" w:rsidR="00C50170" w:rsidRPr="00691AAC" w:rsidRDefault="00C50170" w:rsidP="008E426F">
      <w:pPr>
        <w:jc w:val="both"/>
        <w:rPr>
          <w:rFonts w:ascii="Arial" w:eastAsia="Calibri" w:hAnsi="Arial" w:cs="Arial"/>
          <w:color w:val="161616" w:themeColor="background1" w:themeShade="1A"/>
          <w:sz w:val="22"/>
          <w:szCs w:val="22"/>
          <w:lang w:val="es-ES_tradnl"/>
        </w:rPr>
      </w:pPr>
    </w:p>
    <w:p w14:paraId="58039A6D" w14:textId="40896FED" w:rsidR="00B40486" w:rsidRDefault="00532B96" w:rsidP="008E426F">
      <w:pPr>
        <w:spacing w:line="276" w:lineRule="auto"/>
        <w:jc w:val="both"/>
        <w:rPr>
          <w:rFonts w:ascii="Arial" w:eastAsia="Calibri" w:hAnsi="Arial" w:cs="Arial"/>
          <w:b/>
          <w:color w:val="161616" w:themeColor="background1" w:themeShade="1A"/>
          <w:sz w:val="22"/>
          <w:szCs w:val="22"/>
          <w:lang w:val="es-ES_tradnl"/>
        </w:rPr>
      </w:pPr>
      <w:r w:rsidRPr="00691AAC">
        <w:rPr>
          <w:rFonts w:ascii="Arial" w:eastAsia="Calibri" w:hAnsi="Arial" w:cs="Arial"/>
          <w:b/>
          <w:bCs/>
          <w:color w:val="161616" w:themeColor="background1" w:themeShade="1A"/>
          <w:sz w:val="22"/>
          <w:szCs w:val="22"/>
          <w:lang w:val="es-ES_tradnl"/>
        </w:rPr>
        <w:t xml:space="preserve">2.1. </w:t>
      </w:r>
      <w:bookmarkStart w:id="7" w:name="_Hlk75783800"/>
      <w:r w:rsidR="000311CB">
        <w:rPr>
          <w:rFonts w:ascii="Arial" w:eastAsia="Calibri" w:hAnsi="Arial" w:cs="Arial"/>
          <w:b/>
          <w:color w:val="161616" w:themeColor="background1" w:themeShade="1A"/>
          <w:sz w:val="22"/>
          <w:szCs w:val="22"/>
          <w:lang w:val="es-ES_tradnl"/>
        </w:rPr>
        <w:t xml:space="preserve">Noción </w:t>
      </w:r>
      <w:r w:rsidR="00B40486" w:rsidRPr="00691AAC">
        <w:rPr>
          <w:rFonts w:ascii="Arial" w:eastAsia="Calibri" w:hAnsi="Arial" w:cs="Arial"/>
          <w:b/>
          <w:color w:val="161616" w:themeColor="background1" w:themeShade="1A"/>
          <w:sz w:val="22"/>
          <w:szCs w:val="22"/>
          <w:lang w:val="es-ES_tradnl"/>
        </w:rPr>
        <w:t xml:space="preserve">y finalidad de la Ley de Garantías Electorales: alcance de las restricciones </w:t>
      </w:r>
    </w:p>
    <w:p w14:paraId="2A62960D" w14:textId="77777777" w:rsidR="007449D2" w:rsidRDefault="007449D2" w:rsidP="008E426F">
      <w:pPr>
        <w:spacing w:line="276" w:lineRule="auto"/>
        <w:jc w:val="both"/>
        <w:rPr>
          <w:rFonts w:ascii="Arial" w:eastAsia="Calibri" w:hAnsi="Arial" w:cs="Arial"/>
          <w:b/>
          <w:color w:val="161616" w:themeColor="background1" w:themeShade="1A"/>
          <w:sz w:val="22"/>
          <w:szCs w:val="22"/>
          <w:lang w:val="es-ES_tradnl"/>
        </w:rPr>
      </w:pPr>
    </w:p>
    <w:p w14:paraId="1D482BA1" w14:textId="1DE1CE55" w:rsidR="00B40486" w:rsidRPr="00691AAC" w:rsidRDefault="00B40486" w:rsidP="00D67FEE">
      <w:pPr>
        <w:spacing w:line="276" w:lineRule="auto"/>
        <w:jc w:val="both"/>
        <w:rPr>
          <w:rFonts w:ascii="Arial" w:eastAsia="Calibri" w:hAnsi="Arial" w:cs="Arial"/>
          <w:bCs/>
          <w:color w:val="161616" w:themeColor="background1" w:themeShade="1A"/>
          <w:sz w:val="22"/>
          <w:szCs w:val="22"/>
          <w:lang w:val="es-ES_tradnl"/>
        </w:rPr>
      </w:pPr>
      <w:r w:rsidRPr="00691AAC">
        <w:rPr>
          <w:rFonts w:ascii="Arial" w:eastAsia="Calibri" w:hAnsi="Arial" w:cs="Arial"/>
          <w:bCs/>
          <w:color w:val="161616" w:themeColor="background1" w:themeShade="1A"/>
          <w:sz w:val="22"/>
          <w:szCs w:val="22"/>
          <w:lang w:val="es-ES_tradnl"/>
        </w:rPr>
        <w:t>El ordenamiento jurídico colombiano contempla previsiones claras para evitar la obtención de beneficios personales en asuntos propios de la administración pública. Por ejemplo, el artículo 127 de la Constitución</w:t>
      </w:r>
      <w:r w:rsidRPr="00691AAC">
        <w:rPr>
          <w:rFonts w:ascii="Arial" w:eastAsia="Arial" w:hAnsi="Arial" w:cs="Arial"/>
          <w:color w:val="161616" w:themeColor="background1" w:themeShade="1A"/>
          <w:sz w:val="22"/>
          <w:szCs w:val="22"/>
          <w:lang w:val="es-ES_tradnl"/>
        </w:rPr>
        <w:t xml:space="preserve"> Política establece una prohibición contractual a los </w:t>
      </w:r>
      <w:r w:rsidRPr="00691AAC">
        <w:rPr>
          <w:rFonts w:ascii="Arial" w:eastAsia="Arial" w:hAnsi="Arial" w:cs="Arial"/>
          <w:color w:val="161616" w:themeColor="background1" w:themeShade="1A"/>
          <w:sz w:val="22"/>
          <w:szCs w:val="22"/>
          <w:lang w:val="es-ES_tradnl"/>
        </w:rPr>
        <w:lastRenderedPageBreak/>
        <w:t>servidores públicos y, en cuanto a aspectos políticos, prevé restricciones a ciertos empleados del Estado, incluso en época no electoral</w:t>
      </w:r>
      <w:r w:rsidRPr="004102D2">
        <w:rPr>
          <w:rStyle w:val="Refdenotaalpie"/>
          <w:rFonts w:ascii="Arial" w:eastAsia="Arial" w:hAnsi="Arial" w:cs="Arial"/>
          <w:sz w:val="20"/>
          <w:szCs w:val="20"/>
        </w:rPr>
        <w:footnoteReference w:id="2"/>
      </w:r>
    </w:p>
    <w:p w14:paraId="74BE85C5" w14:textId="77777777" w:rsidR="00B40486" w:rsidRPr="00691AAC" w:rsidRDefault="00B40486" w:rsidP="00AF6C46">
      <w:pPr>
        <w:spacing w:before="240" w:line="276" w:lineRule="auto"/>
        <w:ind w:firstLine="709"/>
        <w:jc w:val="both"/>
        <w:rPr>
          <w:rFonts w:ascii="Arial" w:eastAsia="Calibri" w:hAnsi="Arial" w:cs="Arial"/>
          <w:bCs/>
          <w:color w:val="161616" w:themeColor="background1" w:themeShade="1A"/>
          <w:sz w:val="22"/>
          <w:szCs w:val="22"/>
          <w:lang w:val="es-ES_tradnl"/>
        </w:rPr>
      </w:pPr>
      <w:r w:rsidRPr="00691AAC">
        <w:rPr>
          <w:rFonts w:ascii="Arial" w:eastAsia="Arial" w:hAnsi="Arial" w:cs="Arial"/>
          <w:color w:val="161616" w:themeColor="background1" w:themeShade="1A"/>
          <w:sz w:val="22"/>
          <w:szCs w:val="22"/>
          <w:lang w:val="es-ES_tradnl"/>
        </w:rPr>
        <w:t xml:space="preserve">En el mismo sentido, la Ley 996 de 2005, conocida como «Ley de Garantías </w:t>
      </w:r>
      <w:r w:rsidRPr="00691AAC">
        <w:rPr>
          <w:rFonts w:ascii="Arial" w:eastAsia="Calibri" w:hAnsi="Arial" w:cs="Arial"/>
          <w:bCs/>
          <w:color w:val="161616" w:themeColor="background1" w:themeShade="1A"/>
          <w:sz w:val="22"/>
          <w:szCs w:val="22"/>
          <w:lang w:val="es-ES_tradnl"/>
        </w:rPr>
        <w:t>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91AAC">
        <w:rPr>
          <w:rStyle w:val="Refdenotaalpie"/>
          <w:rFonts w:ascii="Arial" w:eastAsia="Calibri" w:hAnsi="Arial" w:cs="Arial"/>
          <w:bCs/>
          <w:color w:val="161616" w:themeColor="background1" w:themeShade="1A"/>
          <w:sz w:val="22"/>
          <w:szCs w:val="22"/>
          <w:lang w:val="es-ES_tradnl"/>
        </w:rPr>
        <w:footnoteReference w:id="3"/>
      </w:r>
      <w:r w:rsidRPr="00691AAC">
        <w:rPr>
          <w:rFonts w:ascii="Arial" w:eastAsia="Calibri" w:hAnsi="Arial" w:cs="Arial"/>
          <w:bCs/>
          <w:color w:val="161616" w:themeColor="background1" w:themeShade="1A"/>
          <w:sz w:val="22"/>
          <w:szCs w:val="22"/>
          <w:lang w:val="es-ES_tradnl"/>
        </w:rPr>
        <w:t xml:space="preserve">. En esta medida, introduce limitaciones para realizar nombramientos, postulaciones, contrataciones o cualquier otro tipo de actividad que implique destinación de recursos públicos bajo el devenir propio de las entidades estatales. </w:t>
      </w:r>
    </w:p>
    <w:p w14:paraId="4C1EBEF1" w14:textId="00832255" w:rsidR="00B40486" w:rsidRDefault="00B40486" w:rsidP="008E426F">
      <w:pPr>
        <w:spacing w:before="120" w:line="276" w:lineRule="auto"/>
        <w:ind w:firstLine="709"/>
        <w:jc w:val="both"/>
        <w:rPr>
          <w:rFonts w:ascii="Arial" w:eastAsia="Calibri" w:hAnsi="Arial" w:cs="Arial"/>
          <w:bCs/>
          <w:color w:val="161616" w:themeColor="background1" w:themeShade="1A"/>
          <w:sz w:val="22"/>
          <w:szCs w:val="22"/>
          <w:lang w:val="es-ES_tradnl"/>
        </w:rPr>
      </w:pPr>
      <w:r w:rsidRPr="00691AAC">
        <w:rPr>
          <w:rFonts w:ascii="Arial" w:eastAsia="Calibri" w:hAnsi="Arial" w:cs="Arial"/>
          <w:bCs/>
          <w:color w:val="161616" w:themeColor="background1" w:themeShade="1A"/>
          <w:sz w:val="22"/>
          <w:szCs w:val="22"/>
          <w:lang w:val="es-ES_tradnl"/>
        </w:rPr>
        <w:t>En armonía con lo anterior, la Corte Constitucional ha abordado la definición de la Ley de Garantías Electorales. De esta manera, explica que tiene como propósito:</w:t>
      </w:r>
    </w:p>
    <w:p w14:paraId="41C8CCFA" w14:textId="77777777" w:rsidR="00E614D2" w:rsidRPr="00691AAC" w:rsidRDefault="00E614D2" w:rsidP="008E426F">
      <w:pPr>
        <w:spacing w:line="276" w:lineRule="auto"/>
        <w:ind w:firstLine="709"/>
        <w:jc w:val="both"/>
        <w:rPr>
          <w:rFonts w:ascii="Arial" w:eastAsia="Calibri" w:hAnsi="Arial" w:cs="Arial"/>
          <w:bCs/>
          <w:color w:val="161616" w:themeColor="background1" w:themeShade="1A"/>
          <w:sz w:val="22"/>
          <w:szCs w:val="22"/>
          <w:lang w:val="es-ES_tradnl"/>
        </w:rPr>
      </w:pPr>
    </w:p>
    <w:p w14:paraId="528FFE70" w14:textId="77777777" w:rsidR="00B40486" w:rsidRPr="004F362E" w:rsidRDefault="00B40486" w:rsidP="008E426F">
      <w:pPr>
        <w:ind w:left="567" w:right="786"/>
        <w:jc w:val="both"/>
        <w:rPr>
          <w:rFonts w:ascii="Arial" w:eastAsia="Arial" w:hAnsi="Arial" w:cs="Arial"/>
          <w:color w:val="161616" w:themeColor="background1" w:themeShade="1A"/>
          <w:sz w:val="21"/>
          <w:szCs w:val="21"/>
          <w:lang w:val="es-ES_tradnl"/>
        </w:rPr>
      </w:pPr>
      <w:r w:rsidRPr="004F362E">
        <w:rPr>
          <w:rFonts w:ascii="Arial" w:eastAsia="Arial" w:hAnsi="Arial" w:cs="Arial"/>
          <w:color w:val="161616" w:themeColor="background1" w:themeShade="1A"/>
          <w:sz w:val="21"/>
          <w:szCs w:val="21"/>
          <w:lang w:val="es-ES_tradnl"/>
        </w:rPr>
        <w:t>La definición de reglas claras que permitan acceder a los canales de expresión democrática de manera efectiva e igualitaria. El objetivo de una ley de garantías es definir esas reglas.</w:t>
      </w:r>
    </w:p>
    <w:p w14:paraId="7920F530" w14:textId="77777777" w:rsidR="00B40486" w:rsidRPr="004F362E" w:rsidRDefault="00B40486" w:rsidP="008E426F">
      <w:pPr>
        <w:ind w:left="567" w:right="786"/>
        <w:jc w:val="both"/>
        <w:rPr>
          <w:rFonts w:ascii="Arial" w:eastAsia="Arial" w:hAnsi="Arial" w:cs="Arial"/>
          <w:color w:val="161616" w:themeColor="background1" w:themeShade="1A"/>
          <w:sz w:val="21"/>
          <w:szCs w:val="21"/>
          <w:lang w:val="es-ES_tradnl"/>
        </w:rPr>
      </w:pPr>
      <w:r w:rsidRPr="004F362E">
        <w:rPr>
          <w:rFonts w:ascii="Arial" w:eastAsia="Arial" w:hAnsi="Arial" w:cs="Arial"/>
          <w:color w:val="161616" w:themeColor="background1" w:themeShade="1A"/>
          <w:sz w:val="21"/>
          <w:szCs w:val="21"/>
          <w:lang w:val="es-ES_tradnl"/>
        </w:rPr>
        <w:t xml:space="preserve">[…] </w:t>
      </w:r>
    </w:p>
    <w:p w14:paraId="006B1EDD" w14:textId="77777777" w:rsidR="00B40486" w:rsidRPr="004F362E" w:rsidRDefault="00B40486" w:rsidP="008E426F">
      <w:pPr>
        <w:spacing w:before="240"/>
        <w:ind w:left="567" w:right="786"/>
        <w:jc w:val="both"/>
        <w:rPr>
          <w:rFonts w:ascii="Arial" w:eastAsia="Calibri" w:hAnsi="Arial" w:cs="Arial"/>
          <w:bCs/>
          <w:color w:val="161616" w:themeColor="background1" w:themeShade="1A"/>
          <w:sz w:val="21"/>
          <w:szCs w:val="21"/>
          <w:lang w:val="es-ES_tradnl"/>
        </w:rPr>
      </w:pPr>
      <w:r w:rsidRPr="004F362E">
        <w:rPr>
          <w:rFonts w:ascii="Arial" w:eastAsia="Arial" w:hAnsi="Arial" w:cs="Arial"/>
          <w:color w:val="161616" w:themeColor="background1" w:themeShade="1A"/>
          <w:sz w:val="21"/>
          <w:szCs w:val="21"/>
          <w:lang w:val="es-ES_tradnl"/>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E426F">
        <w:rPr>
          <w:rStyle w:val="Refdenotaalpie"/>
          <w:rFonts w:ascii="Arial" w:eastAsia="Arial" w:hAnsi="Arial" w:cs="Arial"/>
          <w:sz w:val="21"/>
          <w:szCs w:val="21"/>
        </w:rPr>
        <w:footnoteReference w:id="4"/>
      </w:r>
      <w:r w:rsidRPr="004F362E">
        <w:rPr>
          <w:rFonts w:ascii="Arial" w:eastAsia="Calibri" w:hAnsi="Arial" w:cs="Arial"/>
          <w:bCs/>
          <w:color w:val="161616" w:themeColor="background1" w:themeShade="1A"/>
          <w:sz w:val="21"/>
          <w:szCs w:val="21"/>
          <w:lang w:val="es-ES_tradnl"/>
        </w:rPr>
        <w:t>.</w:t>
      </w:r>
      <w:bookmarkStart w:id="9" w:name="_17dp8vu" w:colFirst="0" w:colLast="0"/>
      <w:bookmarkEnd w:id="9"/>
    </w:p>
    <w:p w14:paraId="12241061" w14:textId="57277A0B" w:rsidR="00B40486" w:rsidRDefault="00B40486" w:rsidP="00AF6C46">
      <w:pPr>
        <w:spacing w:before="240" w:line="276" w:lineRule="auto"/>
        <w:ind w:right="77" w:firstLine="709"/>
        <w:jc w:val="both"/>
        <w:rPr>
          <w:rFonts w:ascii="Arial" w:eastAsia="Arial" w:hAnsi="Arial" w:cs="Arial"/>
          <w:color w:val="161616" w:themeColor="background1" w:themeShade="1A"/>
          <w:sz w:val="22"/>
          <w:szCs w:val="22"/>
          <w:lang w:val="es-ES_tradnl"/>
        </w:rPr>
      </w:pPr>
      <w:r w:rsidRPr="00691AAC">
        <w:rPr>
          <w:rFonts w:ascii="Arial" w:eastAsia="Arial" w:hAnsi="Arial" w:cs="Arial"/>
          <w:color w:val="161616" w:themeColor="background1" w:themeShade="1A"/>
          <w:sz w:val="22"/>
          <w:szCs w:val="22"/>
          <w:lang w:val="es-ES_tradnl"/>
        </w:rPr>
        <w:t xml:space="preserve">En este contexto, la Ley de Garantías Electorales establece el marco jurídico para el desarrollo de las elecciones, procurando condiciones de igualdad y transparencia para los aspirantes, y paralelamente incluye restricciones en el actuar de los servidores públicos, evitando interferencias en la contienda electoral, así como la posible desviación </w:t>
      </w:r>
      <w:r w:rsidRPr="00691AAC">
        <w:rPr>
          <w:rFonts w:ascii="Arial" w:eastAsia="Arial" w:hAnsi="Arial" w:cs="Arial"/>
          <w:color w:val="161616" w:themeColor="background1" w:themeShade="1A"/>
          <w:sz w:val="22"/>
          <w:szCs w:val="22"/>
          <w:lang w:val="es-ES_tradnl"/>
        </w:rPr>
        <w:lastRenderedPageBreak/>
        <w:t>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2081D5A9" w14:textId="77777777" w:rsidR="00E614D2" w:rsidRPr="00691AAC" w:rsidRDefault="00E614D2" w:rsidP="008E426F">
      <w:pPr>
        <w:spacing w:line="276" w:lineRule="auto"/>
        <w:ind w:right="77" w:firstLine="709"/>
        <w:jc w:val="both"/>
        <w:rPr>
          <w:rFonts w:ascii="Arial" w:eastAsia="Arial" w:hAnsi="Arial" w:cs="Arial"/>
          <w:color w:val="161616" w:themeColor="background1" w:themeShade="1A"/>
          <w:sz w:val="22"/>
          <w:szCs w:val="22"/>
          <w:lang w:val="es-ES_tradnl"/>
        </w:rPr>
      </w:pPr>
    </w:p>
    <w:p w14:paraId="5F2F4D24" w14:textId="77777777" w:rsidR="00612C53" w:rsidRPr="00E614D2" w:rsidRDefault="00B40486" w:rsidP="008E426F">
      <w:pPr>
        <w:ind w:left="567" w:right="709"/>
        <w:jc w:val="both"/>
        <w:rPr>
          <w:rFonts w:ascii="Arial" w:eastAsia="Arial" w:hAnsi="Arial" w:cs="Arial"/>
          <w:color w:val="161616" w:themeColor="background1" w:themeShade="1A"/>
          <w:sz w:val="21"/>
          <w:szCs w:val="21"/>
          <w:lang w:val="es-ES_tradnl"/>
        </w:rPr>
      </w:pPr>
      <w:r w:rsidRPr="00E614D2">
        <w:rPr>
          <w:rFonts w:ascii="Arial" w:eastAsia="Arial" w:hAnsi="Arial" w:cs="Arial"/>
          <w:color w:val="161616" w:themeColor="background1" w:themeShade="1A"/>
          <w:sz w:val="21"/>
          <w:szCs w:val="21"/>
          <w:lang w:val="es-ES_tradnl"/>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85E6452" w14:textId="77777777" w:rsidR="00E614D2" w:rsidRDefault="00E614D2" w:rsidP="00E614D2">
      <w:pPr>
        <w:ind w:left="567" w:right="709"/>
        <w:jc w:val="both"/>
        <w:rPr>
          <w:rFonts w:ascii="Arial" w:eastAsia="Arial" w:hAnsi="Arial" w:cs="Arial"/>
          <w:color w:val="161616" w:themeColor="background1" w:themeShade="1A"/>
          <w:sz w:val="21"/>
          <w:szCs w:val="21"/>
          <w:lang w:val="es-ES_tradnl"/>
        </w:rPr>
      </w:pPr>
    </w:p>
    <w:p w14:paraId="4EE01586" w14:textId="667F6696" w:rsidR="00B40486" w:rsidRDefault="00B40486" w:rsidP="00E614D2">
      <w:pPr>
        <w:ind w:left="567" w:right="709"/>
        <w:jc w:val="both"/>
        <w:rPr>
          <w:rFonts w:ascii="Arial" w:eastAsia="Arial" w:hAnsi="Arial" w:cs="Arial"/>
          <w:color w:val="161616" w:themeColor="background1" w:themeShade="1A"/>
          <w:sz w:val="21"/>
          <w:szCs w:val="21"/>
          <w:lang w:val="es-ES_tradnl"/>
        </w:rPr>
      </w:pPr>
      <w:r w:rsidRPr="00E614D2">
        <w:rPr>
          <w:rFonts w:ascii="Arial" w:eastAsia="Arial" w:hAnsi="Arial" w:cs="Arial"/>
          <w:color w:val="161616" w:themeColor="background1" w:themeShade="1A"/>
          <w:sz w:val="21"/>
          <w:szCs w:val="21"/>
          <w:lang w:val="es-ES_tradnl"/>
        </w:rPr>
        <w:t>La jurisprudencia de la Corte Constitucional</w:t>
      </w:r>
      <w:r w:rsidRPr="008E426F">
        <w:rPr>
          <w:rStyle w:val="Refdenotaalpie"/>
          <w:rFonts w:ascii="Arial" w:eastAsia="Arial" w:hAnsi="Arial" w:cs="Arial"/>
          <w:sz w:val="21"/>
          <w:szCs w:val="21"/>
        </w:rPr>
        <w:footnoteReference w:id="5"/>
      </w:r>
      <w:r w:rsidRPr="00E614D2">
        <w:rPr>
          <w:rFonts w:ascii="Arial" w:eastAsia="Arial" w:hAnsi="Arial" w:cs="Arial"/>
          <w:color w:val="161616" w:themeColor="background1" w:themeShade="1A"/>
          <w:sz w:val="21"/>
          <w:szCs w:val="21"/>
          <w:lang w:val="es-ES_tradnl"/>
        </w:rPr>
        <w:t> y del Consejo de Estado</w:t>
      </w:r>
      <w:r w:rsidRPr="008E426F">
        <w:rPr>
          <w:rStyle w:val="Refdenotaalpie"/>
          <w:rFonts w:ascii="Arial" w:eastAsia="Arial" w:hAnsi="Arial" w:cs="Arial"/>
          <w:sz w:val="21"/>
          <w:szCs w:val="21"/>
        </w:rPr>
        <w:footnoteReference w:id="6"/>
      </w:r>
      <w:r w:rsidRPr="00E614D2">
        <w:rPr>
          <w:rFonts w:ascii="Arial" w:eastAsia="Arial" w:hAnsi="Arial" w:cs="Arial"/>
          <w:color w:val="161616" w:themeColor="background1" w:themeShade="1A"/>
          <w:sz w:val="21"/>
          <w:szCs w:val="21"/>
          <w:lang w:val="es-ES_tradnl"/>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E426F">
        <w:rPr>
          <w:rStyle w:val="Refdenotaalpie"/>
          <w:rFonts w:ascii="Arial" w:eastAsia="Arial" w:hAnsi="Arial" w:cs="Arial"/>
          <w:sz w:val="21"/>
          <w:szCs w:val="21"/>
        </w:rPr>
        <w:footnoteReference w:id="7"/>
      </w:r>
      <w:r w:rsidRPr="00E614D2">
        <w:rPr>
          <w:rFonts w:ascii="Arial" w:eastAsia="Arial" w:hAnsi="Arial" w:cs="Arial"/>
          <w:color w:val="161616" w:themeColor="background1" w:themeShade="1A"/>
          <w:sz w:val="21"/>
          <w:szCs w:val="21"/>
          <w:lang w:val="es-ES_tradnl"/>
        </w:rPr>
        <w:t>.</w:t>
      </w:r>
    </w:p>
    <w:p w14:paraId="408F68A0" w14:textId="77777777" w:rsidR="004F362E" w:rsidRPr="00E614D2" w:rsidRDefault="004F362E" w:rsidP="008E426F">
      <w:pPr>
        <w:ind w:left="567" w:right="709"/>
        <w:jc w:val="both"/>
        <w:rPr>
          <w:rFonts w:ascii="Arial" w:eastAsia="Arial" w:hAnsi="Arial" w:cs="Arial"/>
          <w:color w:val="161616" w:themeColor="background1" w:themeShade="1A"/>
          <w:sz w:val="21"/>
          <w:szCs w:val="21"/>
          <w:lang w:val="es-ES_tradnl"/>
        </w:rPr>
      </w:pPr>
    </w:p>
    <w:p w14:paraId="63E66B8D" w14:textId="1699D5D7" w:rsidR="00B40486" w:rsidRPr="00691AAC" w:rsidRDefault="00B40486" w:rsidP="008E426F">
      <w:pPr>
        <w:spacing w:line="276" w:lineRule="auto"/>
        <w:ind w:firstLine="567"/>
        <w:jc w:val="both"/>
        <w:rPr>
          <w:rFonts w:ascii="Arial" w:eastAsia="Arial" w:hAnsi="Arial" w:cs="Arial"/>
          <w:color w:val="161616" w:themeColor="background1" w:themeShade="1A"/>
          <w:sz w:val="22"/>
          <w:szCs w:val="22"/>
          <w:lang w:val="es-ES_tradnl"/>
        </w:rPr>
      </w:pPr>
      <w:bookmarkStart w:id="10" w:name="_3rdcrjn" w:colFirst="0" w:colLast="0"/>
      <w:bookmarkEnd w:id="10"/>
      <w:r w:rsidRPr="00691AAC">
        <w:rPr>
          <w:rFonts w:ascii="Arial" w:eastAsia="Arial" w:hAnsi="Arial" w:cs="Arial"/>
          <w:color w:val="161616" w:themeColor="background1" w:themeShade="1A"/>
          <w:sz w:val="22"/>
          <w:szCs w:val="22"/>
          <w:lang w:val="es-ES_tradnl"/>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w:t>
      </w:r>
      <w:r w:rsidR="00565AA1" w:rsidRPr="00691AAC">
        <w:rPr>
          <w:rFonts w:ascii="Arial" w:eastAsia="Arial" w:hAnsi="Arial" w:cs="Arial"/>
          <w:color w:val="161616" w:themeColor="background1" w:themeShade="1A"/>
          <w:sz w:val="22"/>
          <w:szCs w:val="22"/>
          <w:lang w:val="es-ES_tradnl"/>
        </w:rPr>
        <w:t xml:space="preserve"> </w:t>
      </w:r>
      <w:r w:rsidRPr="00691AAC">
        <w:rPr>
          <w:rFonts w:ascii="Arial" w:eastAsia="Arial" w:hAnsi="Arial" w:cs="Arial"/>
          <w:color w:val="161616" w:themeColor="background1" w:themeShade="1A"/>
          <w:sz w:val="22"/>
          <w:szCs w:val="22"/>
          <w:lang w:val="es-ES_tradnl"/>
        </w:rPr>
        <w:t>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19B8F065" w14:textId="77777777" w:rsidR="00B40486" w:rsidRPr="003410F4" w:rsidRDefault="00B40486" w:rsidP="008E426F">
      <w:pPr>
        <w:spacing w:before="120" w:line="276" w:lineRule="auto"/>
        <w:ind w:firstLine="709"/>
        <w:jc w:val="both"/>
        <w:rPr>
          <w:rFonts w:ascii="Arial" w:eastAsia="Arial" w:hAnsi="Arial" w:cs="Arial"/>
          <w:color w:val="161616" w:themeColor="background1" w:themeShade="1A"/>
          <w:sz w:val="22"/>
          <w:szCs w:val="22"/>
          <w:lang w:val="es-ES_tradnl"/>
        </w:rPr>
      </w:pPr>
      <w:r w:rsidRPr="003410F4">
        <w:rPr>
          <w:rFonts w:ascii="Arial" w:eastAsia="Arial" w:hAnsi="Arial" w:cs="Arial"/>
          <w:color w:val="161616" w:themeColor="background1" w:themeShade="1A"/>
          <w:sz w:val="22"/>
          <w:szCs w:val="22"/>
          <w:lang w:val="es-ES_tradnl"/>
        </w:rPr>
        <w:lastRenderedPageBreak/>
        <w:t xml:space="preserve">Por un lado, el artículo 33 de la Ley 996 de 2005 prohíbe «[…] la contratación directa por parte de todos los entes del Estado» durante los cuatro (4) meses anteriores a las elecciones presidenciales, salvo </w:t>
      </w:r>
      <w:r w:rsidRPr="008E426F">
        <w:rPr>
          <w:rFonts w:ascii="Arial" w:eastAsia="Arial" w:hAnsi="Arial" w:cs="Arial"/>
          <w:color w:val="161616" w:themeColor="background1" w:themeShade="1A"/>
          <w:sz w:val="22"/>
          <w:szCs w:val="22"/>
          <w:lang w:val="es-ES_tradnl"/>
        </w:rPr>
        <w:t>«[…]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3410F4">
        <w:rPr>
          <w:rFonts w:ascii="Arial" w:eastAsia="Arial" w:hAnsi="Arial" w:cs="Arial"/>
          <w:color w:val="161616" w:themeColor="background1" w:themeShade="1A"/>
          <w:sz w:val="22"/>
          <w:szCs w:val="22"/>
          <w:lang w:val="es-ES_tradnl"/>
        </w:rPr>
        <w:t>»</w:t>
      </w:r>
      <w:r w:rsidRPr="008E426F">
        <w:rPr>
          <w:rStyle w:val="Refdenotaalpie"/>
          <w:rFonts w:ascii="Arial" w:eastAsia="Arial" w:hAnsi="Arial" w:cs="Arial"/>
          <w:sz w:val="22"/>
          <w:szCs w:val="22"/>
        </w:rPr>
        <w:footnoteReference w:id="8"/>
      </w:r>
      <w:r w:rsidRPr="003410F4">
        <w:rPr>
          <w:rFonts w:ascii="Arial" w:eastAsia="Arial" w:hAnsi="Arial" w:cs="Arial"/>
          <w:color w:val="161616" w:themeColor="background1" w:themeShade="1A"/>
          <w:sz w:val="22"/>
          <w:szCs w:val="22"/>
          <w:lang w:val="es-ES_tradnl"/>
        </w:rPr>
        <w:t>.</w:t>
      </w:r>
    </w:p>
    <w:p w14:paraId="66EB02F1" w14:textId="77777777" w:rsidR="00B40486" w:rsidRPr="003410F4" w:rsidRDefault="00B40486" w:rsidP="00AF6C46">
      <w:pPr>
        <w:spacing w:before="240" w:line="276" w:lineRule="auto"/>
        <w:ind w:firstLine="709"/>
        <w:jc w:val="both"/>
        <w:rPr>
          <w:rFonts w:ascii="Arial" w:eastAsia="Arial" w:hAnsi="Arial" w:cs="Arial"/>
          <w:color w:val="161616" w:themeColor="background1" w:themeShade="1A"/>
          <w:sz w:val="22"/>
          <w:szCs w:val="22"/>
          <w:lang w:val="es-ES_tradnl"/>
        </w:rPr>
      </w:pPr>
      <w:r w:rsidRPr="003410F4">
        <w:rPr>
          <w:rFonts w:ascii="Arial" w:eastAsia="Arial" w:hAnsi="Arial" w:cs="Arial"/>
          <w:color w:val="161616" w:themeColor="background1" w:themeShade="1A"/>
          <w:sz w:val="22"/>
          <w:szCs w:val="22"/>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E426F">
        <w:rPr>
          <w:rFonts w:ascii="Arial" w:eastAsia="Arial" w:hAnsi="Arial" w:cs="Arial"/>
          <w:color w:val="161616" w:themeColor="background1" w:themeShade="1A"/>
          <w:sz w:val="22"/>
          <w:szCs w:val="22"/>
          <w:lang w:val="es-ES_tradnl"/>
        </w:rPr>
        <w:t>«[…]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E426F">
        <w:rPr>
          <w:rStyle w:val="Refdenotaalpie"/>
          <w:rFonts w:ascii="Arial" w:eastAsia="Arial" w:hAnsi="Arial" w:cs="Arial"/>
          <w:sz w:val="22"/>
          <w:szCs w:val="22"/>
        </w:rPr>
        <w:footnoteReference w:id="9"/>
      </w:r>
      <w:r w:rsidRPr="003410F4">
        <w:rPr>
          <w:rFonts w:ascii="Arial" w:eastAsia="Arial" w:hAnsi="Arial" w:cs="Arial"/>
          <w:color w:val="161616" w:themeColor="background1" w:themeShade="1A"/>
          <w:sz w:val="22"/>
          <w:szCs w:val="22"/>
          <w:lang w:val="es-ES_tradnl"/>
        </w:rPr>
        <w:t>. Esta prohibición debe analizarse en armonía con el artículo 124 de la Ley 2159 de 2021</w:t>
      </w:r>
      <w:r w:rsidRPr="003410F4">
        <w:rPr>
          <w:rStyle w:val="Refdenotaalpie"/>
          <w:rFonts w:ascii="Arial" w:eastAsia="Arial" w:hAnsi="Arial" w:cs="Arial"/>
          <w:color w:val="161616" w:themeColor="background1" w:themeShade="1A"/>
          <w:sz w:val="22"/>
          <w:szCs w:val="22"/>
          <w:lang w:val="es-ES_tradnl"/>
        </w:rPr>
        <w:footnoteReference w:id="10"/>
      </w:r>
      <w:r w:rsidRPr="003410F4">
        <w:rPr>
          <w:rFonts w:ascii="Arial" w:eastAsia="Arial" w:hAnsi="Arial" w:cs="Arial"/>
          <w:color w:val="161616" w:themeColor="background1" w:themeShade="1A"/>
          <w:sz w:val="22"/>
          <w:szCs w:val="22"/>
          <w:lang w:val="es-ES_tradnl"/>
        </w:rPr>
        <w:t>. La Sala de Consulta y Servicio Civil del Consejo de Estado ha aclarado la distinción en la aplicación de las prohibiciones de la Ley 996 de 2005, dependiendo del tipo de elección que se trate. Al respecto, considera que:</w:t>
      </w:r>
    </w:p>
    <w:p w14:paraId="60DCD6DA" w14:textId="1CE132A5" w:rsidR="00B40486" w:rsidRDefault="00B40486" w:rsidP="003410F4">
      <w:pPr>
        <w:widowControl w:val="0"/>
        <w:spacing w:before="240"/>
        <w:ind w:left="567" w:right="786"/>
        <w:jc w:val="both"/>
        <w:rPr>
          <w:rFonts w:ascii="Arial" w:eastAsia="Arial" w:hAnsi="Arial" w:cs="Arial"/>
          <w:color w:val="161616" w:themeColor="background1" w:themeShade="1A"/>
          <w:sz w:val="21"/>
          <w:szCs w:val="21"/>
          <w:lang w:val="es-ES_tradnl"/>
        </w:rPr>
      </w:pPr>
      <w:bookmarkStart w:id="13" w:name="_26in1rg" w:colFirst="0" w:colLast="0"/>
      <w:bookmarkEnd w:id="13"/>
      <w:r w:rsidRPr="003410F4">
        <w:rPr>
          <w:rFonts w:ascii="Arial" w:eastAsia="Arial" w:hAnsi="Arial" w:cs="Arial"/>
          <w:color w:val="161616" w:themeColor="background1" w:themeShade="1A"/>
          <w:sz w:val="21"/>
          <w:szCs w:val="21"/>
          <w:lang w:val="es-ES_tradnl"/>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w:t>
      </w:r>
      <w:r w:rsidRPr="003410F4">
        <w:rPr>
          <w:rFonts w:ascii="Arial" w:eastAsia="Arial" w:hAnsi="Arial" w:cs="Arial"/>
          <w:color w:val="161616" w:themeColor="background1" w:themeShade="1A"/>
          <w:sz w:val="21"/>
          <w:szCs w:val="21"/>
          <w:lang w:val="es-ES_tradnl"/>
        </w:rPr>
        <w:lastRenderedPageBreak/>
        <w:t>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8E426F">
        <w:rPr>
          <w:rStyle w:val="Refdenotaalpie"/>
          <w:rFonts w:ascii="Arial" w:eastAsia="Arial" w:hAnsi="Arial" w:cs="Arial"/>
          <w:sz w:val="21"/>
          <w:szCs w:val="21"/>
        </w:rPr>
        <w:footnoteReference w:id="11"/>
      </w:r>
      <w:r w:rsidRPr="008E426F">
        <w:rPr>
          <w:rFonts w:ascii="Arial" w:eastAsia="Arial" w:hAnsi="Arial" w:cs="Arial"/>
          <w:color w:val="161616" w:themeColor="background1" w:themeShade="1A"/>
          <w:sz w:val="21"/>
          <w:szCs w:val="21"/>
          <w:lang w:val="es-ES_tradnl"/>
        </w:rPr>
        <w:t>.</w:t>
      </w:r>
    </w:p>
    <w:p w14:paraId="0660B877" w14:textId="77777777" w:rsidR="004F362E" w:rsidRPr="008E426F" w:rsidRDefault="004F362E" w:rsidP="008E426F">
      <w:pPr>
        <w:widowControl w:val="0"/>
        <w:ind w:left="567" w:right="786"/>
        <w:jc w:val="both"/>
        <w:rPr>
          <w:rFonts w:ascii="Arial" w:hAnsi="Arial" w:cs="Arial"/>
          <w:color w:val="161616" w:themeColor="background1" w:themeShade="1A"/>
          <w:sz w:val="21"/>
          <w:szCs w:val="21"/>
          <w:lang w:val="es-ES_tradnl"/>
        </w:rPr>
      </w:pPr>
    </w:p>
    <w:p w14:paraId="16ABCB84" w14:textId="663A05DA" w:rsidR="00AF6C46" w:rsidRDefault="00B40486" w:rsidP="008E426F">
      <w:pPr>
        <w:spacing w:before="120" w:line="276" w:lineRule="auto"/>
        <w:ind w:firstLine="709"/>
        <w:contextualSpacing/>
        <w:jc w:val="both"/>
        <w:rPr>
          <w:rFonts w:ascii="Arial" w:eastAsia="Arial" w:hAnsi="Arial" w:cs="Arial"/>
          <w:color w:val="161616" w:themeColor="background1" w:themeShade="1A"/>
          <w:sz w:val="22"/>
          <w:szCs w:val="22"/>
          <w:lang w:val="es-ES_tradnl"/>
        </w:rPr>
      </w:pPr>
      <w:bookmarkStart w:id="14" w:name="_lnxbz9" w:colFirst="0" w:colLast="0"/>
      <w:bookmarkEnd w:id="14"/>
      <w:r w:rsidRPr="00691AAC">
        <w:rPr>
          <w:rFonts w:ascii="Arial" w:eastAsia="Arial" w:hAnsi="Arial" w:cs="Arial"/>
          <w:color w:val="161616" w:themeColor="background1" w:themeShade="1A"/>
          <w:sz w:val="22"/>
          <w:szCs w:val="22"/>
          <w:lang w:val="es-ES_tradnl"/>
        </w:rPr>
        <w:t xml:space="preserve">De conformidad con lo anterior, la Ley 996 de 2005 establece dos (2) tipos de restricciones en materia de contratación, las cuales coinciden parcialmente. </w:t>
      </w:r>
      <w:r w:rsidRPr="00691AAC">
        <w:rPr>
          <w:rFonts w:ascii="Arial" w:eastAsia="Arial" w:hAnsi="Arial" w:cs="Arial"/>
          <w:i/>
          <w:color w:val="161616" w:themeColor="background1" w:themeShade="1A"/>
          <w:sz w:val="22"/>
          <w:szCs w:val="22"/>
          <w:lang w:val="es-ES_tradnl"/>
        </w:rPr>
        <w:t>En primer lugar</w:t>
      </w:r>
      <w:r w:rsidRPr="00691AAC">
        <w:rPr>
          <w:rFonts w:ascii="Arial" w:eastAsia="Arial" w:hAnsi="Arial" w:cs="Arial"/>
          <w:color w:val="161616" w:themeColor="background1" w:themeShade="1A"/>
          <w:sz w:val="22"/>
          <w:szCs w:val="22"/>
          <w:lang w:val="es-ES_tradnl"/>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de conformidad con el artículo 190 de la Constitución Política. Para estos efectos, la restricción se extenderá hasta la fecha en la que se realice la segunda vuelta. </w:t>
      </w:r>
      <w:r w:rsidRPr="00691AAC">
        <w:rPr>
          <w:rFonts w:ascii="Arial" w:eastAsia="Arial" w:hAnsi="Arial" w:cs="Arial"/>
          <w:i/>
          <w:color w:val="161616" w:themeColor="background1" w:themeShade="1A"/>
          <w:sz w:val="22"/>
          <w:szCs w:val="22"/>
          <w:lang w:val="es-ES_tradnl"/>
        </w:rPr>
        <w:t>En segundo lugar</w:t>
      </w:r>
      <w:r w:rsidRPr="00691AAC">
        <w:rPr>
          <w:rFonts w:ascii="Arial" w:eastAsia="Arial" w:hAnsi="Arial" w:cs="Arial"/>
          <w:color w:val="161616" w:themeColor="background1" w:themeShade="1A"/>
          <w:sz w:val="22"/>
          <w:szCs w:val="22"/>
          <w:lang w:val="es-ES_tradnl"/>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AFF6C36" w14:textId="77777777" w:rsidR="00423A36" w:rsidRPr="00691AAC" w:rsidRDefault="00423A36" w:rsidP="008E426F">
      <w:pPr>
        <w:spacing w:before="120" w:line="276" w:lineRule="auto"/>
        <w:ind w:firstLine="709"/>
        <w:contextualSpacing/>
        <w:jc w:val="both"/>
        <w:rPr>
          <w:rFonts w:ascii="Arial" w:eastAsia="Arial" w:hAnsi="Arial" w:cs="Arial"/>
          <w:color w:val="161616" w:themeColor="background1" w:themeShade="1A"/>
          <w:sz w:val="22"/>
          <w:szCs w:val="22"/>
          <w:lang w:val="es-ES_tradnl"/>
        </w:rPr>
      </w:pPr>
    </w:p>
    <w:p w14:paraId="37A55DD5" w14:textId="6DCEFE67" w:rsidR="00466F10" w:rsidRPr="00466F10" w:rsidRDefault="00B40486" w:rsidP="008E426F">
      <w:pPr>
        <w:spacing w:before="120" w:line="276" w:lineRule="auto"/>
        <w:ind w:firstLine="709"/>
        <w:contextualSpacing/>
        <w:jc w:val="both"/>
        <w:rPr>
          <w:rFonts w:ascii="Arial" w:eastAsia="Arial" w:hAnsi="Arial" w:cs="Arial"/>
          <w:color w:val="161616" w:themeColor="background1" w:themeShade="1A"/>
          <w:sz w:val="10"/>
          <w:szCs w:val="10"/>
          <w:lang w:val="es-ES_tradnl"/>
        </w:rPr>
      </w:pPr>
      <w:r w:rsidRPr="00691AAC">
        <w:rPr>
          <w:rFonts w:ascii="Arial" w:eastAsia="Arial" w:hAnsi="Arial" w:cs="Arial"/>
          <w:color w:val="161616" w:themeColor="background1" w:themeShade="1A"/>
          <w:sz w:val="22"/>
          <w:szCs w:val="22"/>
          <w:lang w:val="es-ES_tradnl"/>
        </w:rPr>
        <w:t>Ambas restricciones no son excluyentes, lo que permite concluir que en el período preelectoral para la elección del Presidente de la República, a todos los entes del Estado, incluidos los territoriales, 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p w14:paraId="308501D7" w14:textId="17DE8653" w:rsidR="00B40486" w:rsidRPr="00AF6C46" w:rsidRDefault="00B40486" w:rsidP="008E426F">
      <w:pPr>
        <w:spacing w:before="120" w:line="276" w:lineRule="auto"/>
        <w:ind w:firstLine="709"/>
        <w:contextualSpacing/>
        <w:jc w:val="both"/>
        <w:rPr>
          <w:rFonts w:ascii="Arial" w:eastAsia="Arial" w:hAnsi="Arial" w:cs="Arial"/>
          <w:color w:val="161616" w:themeColor="background1" w:themeShade="1A"/>
          <w:sz w:val="22"/>
          <w:szCs w:val="22"/>
          <w:lang w:val="es-ES"/>
        </w:rPr>
      </w:pPr>
      <w:r w:rsidRPr="00691AAC">
        <w:rPr>
          <w:rFonts w:ascii="Arial" w:eastAsia="Arial" w:hAnsi="Arial" w:cs="Arial"/>
          <w:color w:val="161616" w:themeColor="background1" w:themeShade="1A"/>
          <w:sz w:val="22"/>
          <w:szCs w:val="22"/>
          <w:lang w:val="es-ES_tradnl"/>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w:t>
      </w:r>
      <w:r w:rsidRPr="00691AAC">
        <w:rPr>
          <w:rFonts w:ascii="Arial" w:eastAsia="Arial" w:hAnsi="Arial" w:cs="Arial"/>
          <w:color w:val="161616" w:themeColor="background1" w:themeShade="1A"/>
          <w:sz w:val="22"/>
          <w:szCs w:val="22"/>
          <w:lang w:val="es-ES_tradnl"/>
        </w:rPr>
        <w:lastRenderedPageBreak/>
        <w:t>de la elección en primera vuelta, de acuerdo con el artículo 9 de la Ley 996 de 2005. Sin</w:t>
      </w:r>
      <w:r w:rsidRPr="00691AAC">
        <w:rPr>
          <w:rFonts w:ascii="Arial" w:eastAsia="Arial" w:hAnsi="Arial" w:cs="Arial"/>
          <w:color w:val="161616" w:themeColor="background1" w:themeShade="1A"/>
          <w:sz w:val="22"/>
          <w:szCs w:val="22"/>
          <w:lang w:val="es-ES"/>
        </w:rPr>
        <w:t xml:space="preserve">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561B32D" w14:textId="12E2B332" w:rsidR="00691AAC" w:rsidRDefault="00B40486" w:rsidP="00AF6C46">
      <w:pPr>
        <w:tabs>
          <w:tab w:val="left" w:pos="426"/>
        </w:tabs>
        <w:spacing w:before="240" w:line="276" w:lineRule="auto"/>
        <w:jc w:val="both"/>
        <w:rPr>
          <w:rFonts w:ascii="Arial" w:hAnsi="Arial" w:cs="Arial"/>
          <w:b/>
          <w:color w:val="161616" w:themeColor="background1" w:themeShade="1A"/>
          <w:sz w:val="22"/>
          <w:szCs w:val="22"/>
          <w:lang w:val="es-ES_tradnl" w:eastAsia="es-CO"/>
        </w:rPr>
      </w:pPr>
      <w:r w:rsidRPr="00691AAC">
        <w:rPr>
          <w:rFonts w:ascii="Arial" w:hAnsi="Arial" w:cs="Arial"/>
          <w:b/>
          <w:color w:val="161616" w:themeColor="background1" w:themeShade="1A"/>
          <w:sz w:val="22"/>
          <w:szCs w:val="22"/>
          <w:lang w:val="es-ES_tradnl" w:eastAsia="es-CO"/>
        </w:rPr>
        <w:t xml:space="preserve">2.2. </w:t>
      </w:r>
      <w:r w:rsidR="00565AA1" w:rsidRPr="00691AAC">
        <w:rPr>
          <w:rFonts w:ascii="Arial" w:hAnsi="Arial" w:cs="Arial"/>
          <w:b/>
          <w:color w:val="161616" w:themeColor="background1" w:themeShade="1A"/>
          <w:sz w:val="22"/>
          <w:szCs w:val="22"/>
          <w:lang w:val="es-ES_tradnl" w:eastAsia="es-CO"/>
        </w:rPr>
        <w:t>Restricciones en elecciones presidenciales</w:t>
      </w:r>
    </w:p>
    <w:p w14:paraId="1E014DD9" w14:textId="77777777" w:rsidR="008426DA" w:rsidRPr="00AF6C46" w:rsidRDefault="008426DA" w:rsidP="008E426F">
      <w:pPr>
        <w:tabs>
          <w:tab w:val="left" w:pos="426"/>
        </w:tabs>
        <w:spacing w:line="276" w:lineRule="auto"/>
        <w:jc w:val="both"/>
        <w:rPr>
          <w:rFonts w:ascii="Arial" w:hAnsi="Arial" w:cs="Arial"/>
          <w:b/>
          <w:color w:val="161616" w:themeColor="background1" w:themeShade="1A"/>
          <w:sz w:val="22"/>
          <w:szCs w:val="22"/>
          <w:lang w:val="es-ES_tradnl" w:eastAsia="es-CO"/>
        </w:rPr>
      </w:pPr>
    </w:p>
    <w:p w14:paraId="57735873" w14:textId="7B59904B" w:rsidR="00AA69BC" w:rsidRDefault="00B40486" w:rsidP="008426DA">
      <w:pPr>
        <w:spacing w:line="276" w:lineRule="auto"/>
        <w:jc w:val="both"/>
        <w:rPr>
          <w:rFonts w:ascii="Arial" w:hAnsi="Arial" w:cs="Arial"/>
          <w:color w:val="161616" w:themeColor="background1" w:themeShade="1A"/>
          <w:sz w:val="22"/>
          <w:szCs w:val="22"/>
          <w:lang w:val="es-ES_tradnl" w:eastAsia="es-CO"/>
        </w:rPr>
      </w:pPr>
      <w:r w:rsidRPr="00691AAC">
        <w:rPr>
          <w:rFonts w:ascii="Arial" w:hAnsi="Arial" w:cs="Arial"/>
          <w:bCs/>
          <w:color w:val="161616" w:themeColor="background1" w:themeShade="1A"/>
          <w:sz w:val="22"/>
          <w:szCs w:val="22"/>
          <w:lang w:val="es-ES_tradnl" w:eastAsia="x-none"/>
        </w:rPr>
        <w:t xml:space="preserve">El ámbito material de la prohibición contenida </w:t>
      </w:r>
      <w:bookmarkStart w:id="15" w:name="_Hlk75628761"/>
      <w:r w:rsidRPr="00691AAC">
        <w:rPr>
          <w:rFonts w:ascii="Arial" w:hAnsi="Arial" w:cs="Arial"/>
          <w:bCs/>
          <w:color w:val="161616" w:themeColor="background1" w:themeShade="1A"/>
          <w:sz w:val="22"/>
          <w:szCs w:val="22"/>
          <w:lang w:val="es-ES_tradnl" w:eastAsia="x-none"/>
        </w:rPr>
        <w:t>en el artículo 33 de la ley 996 de 2005</w:t>
      </w:r>
      <w:bookmarkEnd w:id="15"/>
      <w:r w:rsidRPr="00691AAC">
        <w:rPr>
          <w:rFonts w:ascii="Arial" w:hAnsi="Arial" w:cs="Arial"/>
          <w:bCs/>
          <w:color w:val="161616" w:themeColor="background1" w:themeShade="1A"/>
          <w:sz w:val="22"/>
          <w:szCs w:val="22"/>
          <w:lang w:val="es-ES_tradnl" w:eastAsia="x-none"/>
        </w:rPr>
        <w:t xml:space="preserve">, está delimitado por la expresión </w:t>
      </w:r>
      <w:r w:rsidRPr="00691AAC">
        <w:rPr>
          <w:rFonts w:ascii="Arial" w:eastAsia="Calibri" w:hAnsi="Arial" w:cs="Arial"/>
          <w:bCs/>
          <w:color w:val="161616" w:themeColor="background1" w:themeShade="1A"/>
          <w:sz w:val="22"/>
          <w:szCs w:val="22"/>
          <w:lang w:val="es-ES_tradnl"/>
        </w:rPr>
        <w:t>«</w:t>
      </w:r>
      <w:r w:rsidRPr="00691AAC">
        <w:rPr>
          <w:rFonts w:ascii="Arial" w:hAnsi="Arial" w:cs="Arial"/>
          <w:bCs/>
          <w:color w:val="161616" w:themeColor="background1" w:themeShade="1A"/>
          <w:sz w:val="22"/>
          <w:szCs w:val="22"/>
          <w:lang w:val="es-ES_tradnl" w:eastAsia="x-none"/>
        </w:rPr>
        <w:t>queda prohibida la contratación directa</w:t>
      </w:r>
      <w:r w:rsidRPr="00691AAC">
        <w:rPr>
          <w:rFonts w:ascii="Arial" w:hAnsi="Arial" w:cs="Arial"/>
          <w:color w:val="161616" w:themeColor="background1" w:themeShade="1A"/>
          <w:sz w:val="22"/>
          <w:szCs w:val="22"/>
          <w:lang w:val="es-ES_tradnl"/>
        </w:rPr>
        <w:t>»</w:t>
      </w:r>
      <w:r w:rsidRPr="00691AAC">
        <w:rPr>
          <w:rFonts w:ascii="Arial" w:hAnsi="Arial" w:cs="Arial"/>
          <w:bCs/>
          <w:color w:val="161616" w:themeColor="background1" w:themeShade="1A"/>
          <w:sz w:val="22"/>
          <w:szCs w:val="22"/>
          <w:lang w:val="es-ES_tradnl" w:eastAsia="x-none"/>
        </w:rPr>
        <w:t xml:space="preserve">. </w:t>
      </w:r>
      <w:r w:rsidRPr="00691AAC">
        <w:rPr>
          <w:rFonts w:ascii="Arial" w:hAnsi="Arial" w:cs="Arial"/>
          <w:color w:val="161616" w:themeColor="background1" w:themeShade="1A"/>
          <w:sz w:val="22"/>
          <w:szCs w:val="22"/>
          <w:lang w:val="es-ES_tradnl" w:eastAsia="es-CO"/>
        </w:rPr>
        <w:t>A propósito de esta restricción de la Ley de Garantías Electorales, la Sala de Consulta y Servicio Civil del Consejo de Estado ha considerado que:</w:t>
      </w:r>
    </w:p>
    <w:p w14:paraId="36019A43" w14:textId="77777777" w:rsidR="008426DA" w:rsidRPr="00AF6C46" w:rsidRDefault="008426DA" w:rsidP="008E426F">
      <w:pPr>
        <w:spacing w:line="276" w:lineRule="auto"/>
        <w:jc w:val="both"/>
        <w:rPr>
          <w:rFonts w:ascii="Arial" w:hAnsi="Arial" w:cs="Arial"/>
          <w:color w:val="161616" w:themeColor="background1" w:themeShade="1A"/>
          <w:sz w:val="22"/>
          <w:szCs w:val="22"/>
          <w:lang w:val="es-ES_tradnl" w:eastAsia="es-CO"/>
        </w:rPr>
      </w:pPr>
    </w:p>
    <w:p w14:paraId="7C087136" w14:textId="7687D07B" w:rsidR="00B40486" w:rsidRDefault="00B40486" w:rsidP="008426DA">
      <w:pPr>
        <w:ind w:left="567" w:right="709"/>
        <w:jc w:val="both"/>
        <w:rPr>
          <w:rFonts w:ascii="Arial" w:hAnsi="Arial" w:cs="Arial"/>
          <w:color w:val="161616" w:themeColor="background1" w:themeShade="1A"/>
          <w:sz w:val="21"/>
          <w:szCs w:val="21"/>
          <w:lang w:val="es-ES_tradnl"/>
        </w:rPr>
      </w:pPr>
      <w:r w:rsidRPr="008426DA">
        <w:rPr>
          <w:rFonts w:ascii="Arial" w:hAnsi="Arial" w:cs="Arial"/>
          <w:color w:val="161616" w:themeColor="background1" w:themeShade="1A"/>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8E426F">
        <w:rPr>
          <w:rStyle w:val="Refdenotaalpie"/>
          <w:rFonts w:ascii="Arial" w:hAnsi="Arial" w:cs="Arial"/>
          <w:sz w:val="21"/>
          <w:szCs w:val="21"/>
        </w:rPr>
        <w:footnoteReference w:id="12"/>
      </w:r>
      <w:r w:rsidRPr="008426DA">
        <w:rPr>
          <w:rFonts w:ascii="Arial" w:hAnsi="Arial" w:cs="Arial"/>
          <w:color w:val="161616" w:themeColor="background1" w:themeShade="1A"/>
          <w:sz w:val="21"/>
          <w:szCs w:val="21"/>
          <w:lang w:val="es-ES_tradnl"/>
        </w:rPr>
        <w:t>.</w:t>
      </w:r>
    </w:p>
    <w:p w14:paraId="5355FE36" w14:textId="77777777" w:rsidR="008426DA" w:rsidRPr="008426DA" w:rsidRDefault="008426DA" w:rsidP="008E426F">
      <w:pPr>
        <w:ind w:left="567" w:right="709"/>
        <w:jc w:val="both"/>
        <w:rPr>
          <w:rFonts w:ascii="Arial" w:hAnsi="Arial" w:cs="Arial"/>
          <w:color w:val="161616" w:themeColor="background1" w:themeShade="1A"/>
          <w:sz w:val="21"/>
          <w:szCs w:val="21"/>
          <w:lang w:val="es-ES_tradnl"/>
        </w:rPr>
      </w:pPr>
    </w:p>
    <w:p w14:paraId="15026219" w14:textId="19BDDBFC" w:rsidR="00691AAC" w:rsidRPr="008426DA" w:rsidRDefault="00B40486" w:rsidP="008E426F">
      <w:pPr>
        <w:ind w:left="567" w:right="709"/>
        <w:jc w:val="both"/>
        <w:rPr>
          <w:rFonts w:ascii="Arial" w:hAnsi="Arial" w:cs="Arial"/>
          <w:color w:val="161616" w:themeColor="background1" w:themeShade="1A"/>
          <w:sz w:val="21"/>
          <w:szCs w:val="21"/>
          <w:lang w:val="es-ES_tradnl"/>
        </w:rPr>
      </w:pPr>
      <w:r w:rsidRPr="008426DA">
        <w:rPr>
          <w:rFonts w:ascii="Arial" w:hAnsi="Arial" w:cs="Arial"/>
          <w:color w:val="161616" w:themeColor="background1" w:themeShade="1A"/>
          <w:sz w:val="21"/>
          <w:szCs w:val="21"/>
          <w:lang w:val="es-ES_tradnl"/>
        </w:rPr>
        <w:t xml:space="preserve">Esta Sala ha entendido que para los efectos de la ley de garantías, y dada su finalidad, el enunciado «contratación directa» es sinónimo </w:t>
      </w:r>
      <w:bookmarkStart w:id="18" w:name="_Hlk75741738"/>
      <w:r w:rsidRPr="008426DA">
        <w:rPr>
          <w:rFonts w:ascii="Arial" w:hAnsi="Arial" w:cs="Arial"/>
          <w:color w:val="161616" w:themeColor="background1" w:themeShade="1A"/>
          <w:sz w:val="21"/>
          <w:szCs w:val="21"/>
          <w:lang w:val="es-ES_tradnl"/>
        </w:rPr>
        <w:t xml:space="preserve">de cualquier sistema que no implique convocatoria pública y posibilidad de pluralidad de oferentes, </w:t>
      </w:r>
      <w:bookmarkEnd w:id="18"/>
      <w:r w:rsidRPr="008426DA">
        <w:rPr>
          <w:rFonts w:ascii="Arial" w:hAnsi="Arial" w:cs="Arial"/>
          <w:color w:val="161616" w:themeColor="background1" w:themeShade="1A"/>
          <w:sz w:val="21"/>
          <w:szCs w:val="21"/>
          <w:lang w:val="es-ES_tradnl"/>
        </w:rPr>
        <w:t>y que, además, no necesariamente hace referencia al procedimiento especial regulado por la ley de contratación estatal, sino a cualquier otro que prescinda de un proceso de licitación pública o concurso</w:t>
      </w:r>
      <w:r w:rsidRPr="008E426F">
        <w:rPr>
          <w:rStyle w:val="Refdenotaalpie"/>
          <w:rFonts w:ascii="Arial" w:hAnsi="Arial" w:cs="Arial"/>
          <w:sz w:val="21"/>
          <w:szCs w:val="21"/>
        </w:rPr>
        <w:footnoteReference w:id="13"/>
      </w:r>
      <w:r w:rsidRPr="008426DA">
        <w:rPr>
          <w:rFonts w:ascii="Arial" w:hAnsi="Arial" w:cs="Arial"/>
          <w:color w:val="161616" w:themeColor="background1" w:themeShade="1A"/>
          <w:sz w:val="21"/>
          <w:szCs w:val="21"/>
          <w:vertAlign w:val="superscript"/>
          <w:lang w:val="es-ES_tradnl"/>
        </w:rPr>
        <w:t>.</w:t>
      </w:r>
      <w:r w:rsidRPr="008426DA">
        <w:rPr>
          <w:rFonts w:ascii="Arial" w:hAnsi="Arial" w:cs="Arial"/>
          <w:color w:val="161616" w:themeColor="background1" w:themeShade="1A"/>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w:t>
      </w:r>
      <w:r w:rsidRPr="008E426F">
        <w:rPr>
          <w:rStyle w:val="Refdenotaalpie"/>
          <w:rFonts w:ascii="Arial" w:hAnsi="Arial" w:cs="Arial"/>
          <w:sz w:val="21"/>
          <w:szCs w:val="21"/>
        </w:rPr>
        <w:footnoteReference w:id="14"/>
      </w:r>
      <w:r w:rsidRPr="008426DA">
        <w:rPr>
          <w:rFonts w:ascii="Arial" w:hAnsi="Arial" w:cs="Arial"/>
          <w:color w:val="161616" w:themeColor="background1" w:themeShade="1A"/>
          <w:sz w:val="21"/>
          <w:szCs w:val="21"/>
          <w:lang w:val="es-ES_tradnl"/>
        </w:rPr>
        <w:t xml:space="preserve"> </w:t>
      </w:r>
    </w:p>
    <w:p w14:paraId="4924123D" w14:textId="77777777" w:rsidR="00B40486" w:rsidRPr="008426DA" w:rsidRDefault="00B40486" w:rsidP="008E426F">
      <w:pPr>
        <w:spacing w:before="120" w:line="276" w:lineRule="auto"/>
        <w:ind w:firstLine="709"/>
        <w:jc w:val="both"/>
        <w:rPr>
          <w:rFonts w:ascii="Arial" w:hAnsi="Arial" w:cs="Arial"/>
          <w:color w:val="161616" w:themeColor="background1" w:themeShade="1A"/>
          <w:sz w:val="22"/>
          <w:szCs w:val="22"/>
          <w:lang w:val="es-ES_tradnl" w:eastAsia="x-none"/>
        </w:rPr>
      </w:pPr>
      <w:r w:rsidRPr="008426DA">
        <w:rPr>
          <w:rFonts w:ascii="Arial" w:hAnsi="Arial" w:cs="Arial"/>
          <w:color w:val="161616" w:themeColor="background1" w:themeShade="1A"/>
          <w:sz w:val="22"/>
          <w:szCs w:val="22"/>
          <w:lang w:val="es-ES_tradnl" w:eastAsia="x-none"/>
        </w:rPr>
        <w:lastRenderedPageBreak/>
        <w:t xml:space="preserve">De conformidad con el citado concepto, </w:t>
      </w:r>
      <w:bookmarkStart w:id="20" w:name="_Hlk78818702"/>
      <w:r w:rsidRPr="008426DA">
        <w:rPr>
          <w:rFonts w:ascii="Arial" w:hAnsi="Arial" w:cs="Arial"/>
          <w:color w:val="161616" w:themeColor="background1" w:themeShade="1A"/>
          <w:sz w:val="22"/>
          <w:szCs w:val="22"/>
          <w:lang w:val="es-ES_tradnl" w:eastAsia="x-none"/>
        </w:rPr>
        <w:t xml:space="preserve">la prohibición del artículo 33 de la Ley de Garantías Electorales se refiere a </w:t>
      </w:r>
      <w:bookmarkStart w:id="21" w:name="_Hlk74294635"/>
      <w:r w:rsidRPr="008426DA">
        <w:rPr>
          <w:rFonts w:ascii="Arial" w:hAnsi="Arial" w:cs="Arial"/>
          <w:color w:val="161616" w:themeColor="background1" w:themeShade="1A"/>
          <w:sz w:val="22"/>
          <w:szCs w:val="22"/>
          <w:lang w:val="es-ES_tradnl"/>
        </w:rPr>
        <w:t>«</w:t>
      </w:r>
      <w:bookmarkEnd w:id="21"/>
      <w:r w:rsidRPr="008426DA">
        <w:rPr>
          <w:rFonts w:ascii="Arial" w:hAnsi="Arial" w:cs="Arial"/>
          <w:color w:val="161616" w:themeColor="background1" w:themeShade="1A"/>
          <w:sz w:val="22"/>
          <w:szCs w:val="22"/>
          <w:lang w:val="es-ES_tradnl" w:eastAsia="x-none"/>
        </w:rPr>
        <w:t>cualquier sistema que no implique convocatoria pública y posibilidad de pluralidad de oferentes</w:t>
      </w:r>
      <w:bookmarkStart w:id="22" w:name="_Hlk74404754"/>
      <w:r w:rsidRPr="008426DA">
        <w:rPr>
          <w:rFonts w:ascii="Arial" w:hAnsi="Arial" w:cs="Arial"/>
          <w:color w:val="161616" w:themeColor="background1" w:themeShade="1A"/>
          <w:sz w:val="22"/>
          <w:szCs w:val="22"/>
          <w:lang w:val="es-ES_tradnl"/>
        </w:rPr>
        <w:t>»</w:t>
      </w:r>
      <w:bookmarkEnd w:id="22"/>
      <w:r w:rsidRPr="008426DA">
        <w:rPr>
          <w:rFonts w:ascii="Arial" w:hAnsi="Arial" w:cs="Arial"/>
          <w:color w:val="161616" w:themeColor="background1" w:themeShade="1A"/>
          <w:sz w:val="22"/>
          <w:szCs w:val="22"/>
          <w:lang w:val="es-ES_tradnl" w:eastAsia="x-none"/>
        </w:rPr>
        <w:t xml:space="preserve">, por lo que excluye las demás modalidades de contratación previstas en la Ley 1150 de 2007, es decir, la licitación pública, la selección abreviada, el concurso de méritos, la contratación de mínima cuantía u otros previstos en normas especiales. </w:t>
      </w:r>
      <w:bookmarkEnd w:id="20"/>
      <w:r w:rsidRPr="008426DA">
        <w:rPr>
          <w:rFonts w:ascii="Arial" w:hAnsi="Arial" w:cs="Arial"/>
          <w:color w:val="161616" w:themeColor="background1" w:themeShade="1A"/>
          <w:sz w:val="22"/>
          <w:szCs w:val="22"/>
          <w:lang w:val="es-ES_tradnl" w:eastAsia="x-none"/>
        </w:rPr>
        <w:t>Esta posición es congruente con la expedición de la Ley 1150 de 2007 que, entre otras reformas, introdujo la selección abreviada, rediseñó el concurso de méritos</w:t>
      </w:r>
      <w:r w:rsidRPr="008E426F">
        <w:rPr>
          <w:rStyle w:val="Refdenotaalpie"/>
          <w:rFonts w:ascii="Arial" w:hAnsi="Arial" w:cs="Arial"/>
          <w:sz w:val="22"/>
          <w:szCs w:val="22"/>
        </w:rPr>
        <w:footnoteReference w:id="15"/>
      </w:r>
      <w:r w:rsidRPr="008426DA">
        <w:rPr>
          <w:rFonts w:ascii="Arial" w:hAnsi="Arial" w:cs="Arial"/>
          <w:color w:val="161616" w:themeColor="background1" w:themeShade="1A"/>
          <w:sz w:val="22"/>
          <w:szCs w:val="22"/>
          <w:lang w:val="es-ES_tradnl" w:eastAsia="x-none"/>
        </w:rPr>
        <w:t xml:space="preserve"> y sistematizó las causales de contratación directa</w:t>
      </w:r>
      <w:r w:rsidRPr="008E426F">
        <w:rPr>
          <w:rStyle w:val="Refdenotaalpie"/>
          <w:rFonts w:ascii="Arial" w:hAnsi="Arial" w:cs="Arial"/>
          <w:sz w:val="22"/>
          <w:szCs w:val="22"/>
        </w:rPr>
        <w:footnoteReference w:id="16"/>
      </w:r>
      <w:r w:rsidRPr="008426DA">
        <w:rPr>
          <w:rFonts w:ascii="Arial" w:hAnsi="Arial" w:cs="Arial"/>
          <w:color w:val="161616" w:themeColor="background1" w:themeShade="1A"/>
          <w:sz w:val="22"/>
          <w:szCs w:val="22"/>
          <w:lang w:val="es-ES_tradnl" w:eastAsia="x-none"/>
        </w:rPr>
        <w:t xml:space="preserve">. </w:t>
      </w:r>
    </w:p>
    <w:p w14:paraId="07DC811C" w14:textId="77777777" w:rsidR="00B40486" w:rsidRPr="008426DA" w:rsidRDefault="00B40486" w:rsidP="008E426F">
      <w:pPr>
        <w:spacing w:before="120" w:line="276" w:lineRule="auto"/>
        <w:ind w:firstLine="709"/>
        <w:jc w:val="both"/>
        <w:rPr>
          <w:rFonts w:ascii="Arial" w:hAnsi="Arial" w:cs="Arial"/>
          <w:color w:val="161616" w:themeColor="background1" w:themeShade="1A"/>
          <w:sz w:val="22"/>
          <w:szCs w:val="22"/>
          <w:lang w:val="es-ES_tradnl" w:eastAsia="x-none"/>
        </w:rPr>
      </w:pPr>
      <w:r w:rsidRPr="008426DA">
        <w:rPr>
          <w:rFonts w:ascii="Arial" w:hAnsi="Arial" w:cs="Arial"/>
          <w:color w:val="161616" w:themeColor="background1" w:themeShade="1A"/>
          <w:sz w:val="22"/>
          <w:szCs w:val="22"/>
          <w:lang w:val="es-ES_tradnl" w:eastAsia="x-none"/>
        </w:rPr>
        <w:t xml:space="preserve">De esta forma, con fundamento en la evolución de la normativa sobre la contratación pública, se ha depurado la noción de </w:t>
      </w:r>
      <w:r w:rsidRPr="008426DA">
        <w:rPr>
          <w:rFonts w:ascii="Arial" w:hAnsi="Arial" w:cs="Arial"/>
          <w:color w:val="161616" w:themeColor="background1" w:themeShade="1A"/>
          <w:sz w:val="22"/>
          <w:szCs w:val="22"/>
          <w:lang w:val="es-ES_tradnl"/>
        </w:rPr>
        <w:t>«</w:t>
      </w:r>
      <w:r w:rsidRPr="008426DA">
        <w:rPr>
          <w:rFonts w:ascii="Arial" w:hAnsi="Arial" w:cs="Arial"/>
          <w:color w:val="161616" w:themeColor="background1" w:themeShade="1A"/>
          <w:sz w:val="22"/>
          <w:szCs w:val="22"/>
          <w:lang w:val="es-ES_tradnl" w:eastAsia="x-none"/>
        </w:rPr>
        <w:t>contratación directa</w:t>
      </w:r>
      <w:r w:rsidRPr="008426DA">
        <w:rPr>
          <w:rFonts w:ascii="Arial" w:hAnsi="Arial" w:cs="Arial"/>
          <w:color w:val="161616" w:themeColor="background1" w:themeShade="1A"/>
          <w:sz w:val="22"/>
          <w:szCs w:val="22"/>
          <w:lang w:val="es-ES_tradnl"/>
        </w:rPr>
        <w:t>»</w:t>
      </w:r>
      <w:r w:rsidRPr="008426DA">
        <w:rPr>
          <w:rFonts w:ascii="Arial" w:hAnsi="Arial" w:cs="Arial"/>
          <w:color w:val="161616" w:themeColor="background1" w:themeShade="1A"/>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8E426F">
        <w:rPr>
          <w:rStyle w:val="Refdenotaalpie"/>
          <w:rFonts w:ascii="Arial" w:hAnsi="Arial" w:cs="Arial"/>
          <w:sz w:val="22"/>
          <w:szCs w:val="22"/>
        </w:rPr>
        <w:footnoteReference w:id="17"/>
      </w:r>
      <w:r w:rsidRPr="008426DA">
        <w:rPr>
          <w:rFonts w:ascii="Arial" w:hAnsi="Arial" w:cs="Arial"/>
          <w:color w:val="161616" w:themeColor="background1" w:themeShade="1A"/>
          <w:sz w:val="22"/>
          <w:szCs w:val="22"/>
          <w:lang w:val="es-ES_tradnl" w:eastAsia="x-none"/>
        </w:rPr>
        <w:t>, han establecido sistemas de contratación que implican convocatoria pública y participación de varios oferentes</w:t>
      </w:r>
      <w:r w:rsidRPr="008426DA">
        <w:rPr>
          <w:rFonts w:ascii="Arial" w:hAnsi="Arial" w:cs="Arial"/>
          <w:color w:val="161616" w:themeColor="background1" w:themeShade="1A"/>
          <w:sz w:val="22"/>
          <w:szCs w:val="22"/>
          <w:lang w:val="es-ES_tradnl"/>
        </w:rPr>
        <w:t>»</w:t>
      </w:r>
      <w:r w:rsidRPr="008426DA">
        <w:rPr>
          <w:rFonts w:ascii="Arial" w:hAnsi="Arial" w:cs="Arial"/>
          <w:color w:val="161616" w:themeColor="background1" w:themeShade="1A"/>
          <w:sz w:val="22"/>
          <w:szCs w:val="22"/>
          <w:lang w:val="es-ES_tradnl" w:eastAsia="x-none"/>
        </w:rPr>
        <w:t xml:space="preserve">. </w:t>
      </w:r>
    </w:p>
    <w:p w14:paraId="3151C592" w14:textId="77777777" w:rsidR="00B40486" w:rsidRPr="008426DA" w:rsidRDefault="00B40486" w:rsidP="008E426F">
      <w:pPr>
        <w:spacing w:before="120" w:line="276" w:lineRule="auto"/>
        <w:ind w:firstLine="709"/>
        <w:jc w:val="both"/>
        <w:rPr>
          <w:rFonts w:ascii="Arial" w:hAnsi="Arial" w:cs="Arial"/>
          <w:color w:val="161616" w:themeColor="background1" w:themeShade="1A"/>
          <w:sz w:val="22"/>
          <w:szCs w:val="22"/>
          <w:lang w:val="es-ES_tradnl" w:eastAsia="x-none"/>
        </w:rPr>
      </w:pPr>
      <w:r w:rsidRPr="008426DA">
        <w:rPr>
          <w:rFonts w:ascii="Arial" w:hAnsi="Arial" w:cs="Arial"/>
          <w:bCs/>
          <w:color w:val="161616" w:themeColor="background1" w:themeShade="1A"/>
          <w:sz w:val="22"/>
          <w:szCs w:val="22"/>
          <w:lang w:val="es-ES_tradnl" w:eastAsia="x-none"/>
        </w:rPr>
        <w:t>E</w:t>
      </w:r>
      <w:r w:rsidRPr="008426DA">
        <w:rPr>
          <w:rFonts w:ascii="Arial" w:hAnsi="Arial" w:cs="Arial"/>
          <w:color w:val="161616" w:themeColor="background1" w:themeShade="1A"/>
          <w:sz w:val="22"/>
          <w:szCs w:val="22"/>
          <w:lang w:val="es-ES_tradnl" w:eastAsia="x-none"/>
        </w:rPr>
        <w:t xml:space="preserve">n efecto, vale la pena mencionar que, </w:t>
      </w:r>
      <w:bookmarkStart w:id="24" w:name="_Hlk75636073"/>
      <w:r w:rsidRPr="008426DA">
        <w:rPr>
          <w:rFonts w:ascii="Arial" w:hAnsi="Arial" w:cs="Arial"/>
          <w:color w:val="161616" w:themeColor="background1" w:themeShade="1A"/>
          <w:sz w:val="22"/>
          <w:szCs w:val="22"/>
          <w:lang w:val="es-ES_tradnl"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4"/>
      <w:r w:rsidRPr="008E426F">
        <w:rPr>
          <w:rStyle w:val="Refdenotaalpie"/>
          <w:rFonts w:ascii="Arial" w:hAnsi="Arial" w:cs="Arial"/>
          <w:sz w:val="22"/>
          <w:szCs w:val="22"/>
        </w:rPr>
        <w:footnoteReference w:id="18"/>
      </w:r>
      <w:r w:rsidRPr="008426DA">
        <w:rPr>
          <w:rFonts w:ascii="Arial" w:hAnsi="Arial" w:cs="Arial"/>
          <w:color w:val="161616" w:themeColor="background1" w:themeShade="1A"/>
          <w:sz w:val="22"/>
          <w:szCs w:val="22"/>
          <w:lang w:val="es-ES_tradnl" w:eastAsia="x-none"/>
        </w:rPr>
        <w:t xml:space="preserve">. </w:t>
      </w:r>
    </w:p>
    <w:p w14:paraId="291546EF" w14:textId="77777777" w:rsidR="00B40486" w:rsidRPr="008426DA" w:rsidRDefault="00B40486" w:rsidP="008E426F">
      <w:pPr>
        <w:spacing w:before="120" w:line="276" w:lineRule="auto"/>
        <w:ind w:firstLine="709"/>
        <w:jc w:val="both"/>
        <w:rPr>
          <w:rFonts w:ascii="Arial" w:hAnsi="Arial" w:cs="Arial"/>
          <w:bCs/>
          <w:color w:val="161616" w:themeColor="background1" w:themeShade="1A"/>
          <w:sz w:val="22"/>
          <w:szCs w:val="22"/>
          <w:lang w:val="es-ES_tradnl" w:eastAsia="es-CO"/>
        </w:rPr>
      </w:pPr>
      <w:r w:rsidRPr="008426DA">
        <w:rPr>
          <w:rFonts w:ascii="Arial" w:hAnsi="Arial" w:cs="Arial"/>
          <w:bCs/>
          <w:color w:val="161616" w:themeColor="background1" w:themeShade="1A"/>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w:t>
      </w:r>
      <w:r w:rsidRPr="008426DA">
        <w:rPr>
          <w:rFonts w:ascii="Arial" w:hAnsi="Arial" w:cs="Arial"/>
          <w:bCs/>
          <w:color w:val="161616" w:themeColor="background1" w:themeShade="1A"/>
          <w:sz w:val="22"/>
          <w:szCs w:val="22"/>
          <w:lang w:val="es-ES_tradnl" w:eastAsia="es-CO"/>
        </w:rPr>
        <w:lastRenderedPageBreak/>
        <w:t>observa que luego de la expedición de Ley 1150 de 2007, el Consejo de Estado comenzó a delimitar con mayor precisión el término de «contratación directa».</w:t>
      </w:r>
    </w:p>
    <w:p w14:paraId="304F10F2" w14:textId="77777777" w:rsidR="00B40486" w:rsidRPr="008426DA" w:rsidRDefault="00B40486" w:rsidP="008E426F">
      <w:pPr>
        <w:spacing w:before="120" w:line="276" w:lineRule="auto"/>
        <w:ind w:firstLine="709"/>
        <w:jc w:val="both"/>
        <w:rPr>
          <w:rFonts w:ascii="Arial" w:hAnsi="Arial" w:cs="Arial"/>
          <w:color w:val="161616" w:themeColor="background1" w:themeShade="1A"/>
          <w:sz w:val="22"/>
          <w:szCs w:val="22"/>
          <w:vertAlign w:val="superscript"/>
          <w:lang w:val="es-ES_tradnl" w:eastAsia="x-none"/>
        </w:rPr>
      </w:pPr>
      <w:bookmarkStart w:id="25" w:name="_Hlk78818796"/>
      <w:r w:rsidRPr="008426DA">
        <w:rPr>
          <w:rFonts w:ascii="Arial" w:hAnsi="Arial" w:cs="Arial"/>
          <w:bCs/>
          <w:color w:val="161616" w:themeColor="background1" w:themeShade="1A"/>
          <w:sz w:val="22"/>
          <w:szCs w:val="22"/>
          <w:lang w:val="es-ES_tradnl" w:eastAsia="x-none"/>
        </w:rPr>
        <w:t>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8E426F">
        <w:rPr>
          <w:rStyle w:val="Refdenotaalpie"/>
          <w:rFonts w:ascii="Arial" w:hAnsi="Arial" w:cs="Arial"/>
          <w:sz w:val="22"/>
          <w:szCs w:val="22"/>
        </w:rPr>
        <w:footnoteReference w:id="19"/>
      </w:r>
      <w:r w:rsidRPr="008426DA">
        <w:rPr>
          <w:rFonts w:ascii="Arial" w:hAnsi="Arial" w:cs="Arial"/>
          <w:bCs/>
          <w:color w:val="161616" w:themeColor="background1" w:themeShade="1A"/>
          <w:sz w:val="22"/>
          <w:szCs w:val="22"/>
          <w:lang w:val="es-ES_tradnl" w:eastAsia="x-none"/>
        </w:rPr>
        <w:t>.</w:t>
      </w:r>
      <w:r w:rsidRPr="008426DA">
        <w:rPr>
          <w:rFonts w:ascii="Arial" w:hAnsi="Arial" w:cs="Arial"/>
          <w:color w:val="161616" w:themeColor="background1" w:themeShade="1A"/>
          <w:sz w:val="22"/>
          <w:szCs w:val="22"/>
          <w:vertAlign w:val="superscript"/>
          <w:lang w:val="es-ES_tradnl" w:eastAsia="x-none"/>
        </w:rPr>
        <w:t xml:space="preserve"> </w:t>
      </w:r>
    </w:p>
    <w:bookmarkEnd w:id="25"/>
    <w:p w14:paraId="6449F0C0" w14:textId="77777777" w:rsidR="00B40486" w:rsidRPr="008426DA" w:rsidRDefault="00B40486" w:rsidP="008E426F">
      <w:pPr>
        <w:spacing w:before="120" w:line="276" w:lineRule="auto"/>
        <w:ind w:firstLine="709"/>
        <w:jc w:val="both"/>
        <w:rPr>
          <w:rFonts w:ascii="Arial" w:hAnsi="Arial" w:cs="Arial"/>
          <w:color w:val="161616" w:themeColor="background1" w:themeShade="1A"/>
          <w:sz w:val="22"/>
          <w:szCs w:val="22"/>
          <w:lang w:val="es-ES_tradnl" w:eastAsia="x-none"/>
        </w:rPr>
      </w:pPr>
      <w:r w:rsidRPr="008426DA">
        <w:rPr>
          <w:rFonts w:ascii="Arial" w:hAnsi="Arial" w:cs="Arial"/>
          <w:bCs/>
          <w:color w:val="161616" w:themeColor="background1" w:themeShade="1A"/>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8426DA">
        <w:rPr>
          <w:rFonts w:ascii="Arial" w:hAnsi="Arial" w:cs="Arial"/>
          <w:color w:val="161616" w:themeColor="background1" w:themeShade="1A"/>
          <w:sz w:val="22"/>
          <w:szCs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pueden las entidades públicas seguir contratando bajo estos sistemas.</w:t>
      </w:r>
    </w:p>
    <w:p w14:paraId="07100D06" w14:textId="23AD1217" w:rsidR="00C55B65" w:rsidRPr="00AF6C46" w:rsidRDefault="00B40486" w:rsidP="00AF6C46">
      <w:pPr>
        <w:spacing w:before="240" w:line="276" w:lineRule="auto"/>
        <w:jc w:val="both"/>
        <w:rPr>
          <w:rFonts w:ascii="Arial" w:hAnsi="Arial" w:cs="Arial"/>
          <w:b/>
          <w:sz w:val="22"/>
          <w:lang w:eastAsia="x-none"/>
        </w:rPr>
      </w:pPr>
      <w:r w:rsidRPr="00691AAC">
        <w:rPr>
          <w:rFonts w:ascii="Arial" w:hAnsi="Arial" w:cs="Arial"/>
          <w:b/>
          <w:color w:val="161616" w:themeColor="background1" w:themeShade="1A"/>
          <w:sz w:val="22"/>
          <w:szCs w:val="22"/>
          <w:lang w:val="es-ES_tradnl" w:eastAsia="es-CO"/>
        </w:rPr>
        <w:t xml:space="preserve">2.3. </w:t>
      </w:r>
      <w:r w:rsidRPr="00691AAC">
        <w:rPr>
          <w:rFonts w:ascii="Arial" w:hAnsi="Arial" w:cs="Arial"/>
          <w:b/>
          <w:sz w:val="22"/>
          <w:lang w:eastAsia="x-none"/>
        </w:rPr>
        <w:t>Destinatarios de la restricción del artículo 33 de la Ley 996 de 2005</w:t>
      </w:r>
      <w:r w:rsidR="00F223B3" w:rsidRPr="00691AAC">
        <w:rPr>
          <w:rFonts w:ascii="Arial" w:hAnsi="Arial" w:cs="Arial"/>
          <w:b/>
          <w:sz w:val="22"/>
          <w:lang w:eastAsia="x-none"/>
        </w:rPr>
        <w:t xml:space="preserve"> </w:t>
      </w:r>
    </w:p>
    <w:p w14:paraId="66C8D4D8" w14:textId="58BEAC07" w:rsidR="003A58BE" w:rsidRDefault="003A58BE" w:rsidP="00D67FEE">
      <w:pPr>
        <w:spacing w:before="240" w:line="276" w:lineRule="auto"/>
        <w:jc w:val="both"/>
        <w:rPr>
          <w:rFonts w:ascii="Arial" w:hAnsi="Arial" w:cs="Arial"/>
          <w:bCs/>
          <w:sz w:val="22"/>
          <w:lang w:eastAsia="x-none"/>
        </w:rPr>
      </w:pPr>
      <w:r w:rsidRPr="00446B03">
        <w:rPr>
          <w:rFonts w:ascii="Arial" w:hAnsi="Arial" w:cs="Arial"/>
          <w:bCs/>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446B03">
        <w:t xml:space="preserve"> </w:t>
      </w:r>
      <w:r w:rsidRPr="00446B03">
        <w:rPr>
          <w:rFonts w:ascii="Arial" w:hAnsi="Arial" w:cs="Arial"/>
          <w:bCs/>
          <w:sz w:val="22"/>
          <w:lang w:eastAsia="x-none"/>
        </w:rPr>
        <w:t xml:space="preserve">En efecto, tal como lo ha sostenido el Consejo de Estado, el vocablo </w:t>
      </w:r>
      <w:bookmarkStart w:id="26" w:name="_Hlk75632581"/>
      <w:r w:rsidRPr="00446B03">
        <w:rPr>
          <w:rFonts w:ascii="Arial" w:hAnsi="Arial" w:cs="Arial"/>
          <w:bCs/>
          <w:sz w:val="22"/>
          <w:lang w:eastAsia="x-none"/>
        </w:rPr>
        <w:t>«</w:t>
      </w:r>
      <w:bookmarkEnd w:id="26"/>
      <w:r w:rsidRPr="00446B03">
        <w:rPr>
          <w:rFonts w:ascii="Arial" w:hAnsi="Arial" w:cs="Arial"/>
          <w:bCs/>
          <w:sz w:val="22"/>
          <w:lang w:eastAsia="x-none"/>
        </w:rPr>
        <w:t>todos» utilizado por el legislador comprende</w:t>
      </w:r>
      <w:r w:rsidRPr="00446B03">
        <w:t xml:space="preserve"> </w:t>
      </w:r>
      <w:r w:rsidRPr="00446B03">
        <w:rPr>
          <w:rFonts w:ascii="Arial" w:hAnsi="Arial" w:cs="Arial"/>
          <w:bCs/>
          <w:sz w:val="22"/>
          <w:lang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7C43EFB1" w14:textId="77777777" w:rsidR="002B7F13" w:rsidRDefault="002B7F13" w:rsidP="008E426F">
      <w:pPr>
        <w:ind w:left="708" w:right="709"/>
        <w:jc w:val="both"/>
        <w:rPr>
          <w:rFonts w:ascii="Arial" w:hAnsi="Arial" w:cs="Arial"/>
          <w:bCs/>
          <w:sz w:val="21"/>
          <w:szCs w:val="21"/>
          <w:lang w:eastAsia="x-none"/>
        </w:rPr>
      </w:pPr>
    </w:p>
    <w:p w14:paraId="419A6119" w14:textId="5D9D72A4" w:rsidR="003A58BE" w:rsidRPr="00446B03" w:rsidRDefault="003A58BE" w:rsidP="008E426F">
      <w:pPr>
        <w:ind w:left="708" w:right="709"/>
        <w:jc w:val="both"/>
        <w:rPr>
          <w:rFonts w:ascii="Arial" w:hAnsi="Arial" w:cs="Arial"/>
          <w:bCs/>
          <w:sz w:val="21"/>
          <w:szCs w:val="21"/>
          <w:lang w:eastAsia="es-CO"/>
        </w:rPr>
      </w:pPr>
      <w:r w:rsidRPr="00446B03">
        <w:rPr>
          <w:rFonts w:ascii="Arial" w:hAnsi="Arial" w:cs="Arial"/>
          <w:bCs/>
          <w:sz w:val="21"/>
          <w:szCs w:val="21"/>
          <w:lang w:eastAsia="x-none"/>
        </w:rPr>
        <w:t xml:space="preserve">El artículo 33 de la ley 996 de 2005, </w:t>
      </w:r>
      <w:bookmarkStart w:id="27" w:name="_Hlk75787147"/>
      <w:r w:rsidRPr="00446B03">
        <w:rPr>
          <w:rFonts w:ascii="Arial" w:hAnsi="Arial" w:cs="Arial"/>
          <w:bCs/>
          <w:sz w:val="21"/>
          <w:szCs w:val="21"/>
          <w:lang w:eastAsia="x-none"/>
        </w:rPr>
        <w:t xml:space="preserve">efectivamente se aplica </w:t>
      </w:r>
      <w:bookmarkStart w:id="28" w:name="_Hlk76074089"/>
      <w:r w:rsidRPr="00446B03">
        <w:rPr>
          <w:rFonts w:ascii="Arial" w:hAnsi="Arial"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28"/>
      <w:r w:rsidRPr="00446B03">
        <w:rPr>
          <w:rFonts w:ascii="Arial" w:hAnsi="Arial" w:cs="Arial"/>
          <w:bCs/>
          <w:sz w:val="21"/>
          <w:szCs w:val="21"/>
          <w:lang w:eastAsia="x-none"/>
        </w:rPr>
        <w:t xml:space="preserve">, como por ejemplo los prestadores de servicios públicos domiciliarios (empresas de servicios públicos oficiales y empresas </w:t>
      </w:r>
      <w:r w:rsidRPr="00446B03">
        <w:rPr>
          <w:rFonts w:ascii="Arial" w:hAnsi="Arial" w:cs="Arial"/>
          <w:bCs/>
          <w:sz w:val="21"/>
          <w:szCs w:val="21"/>
          <w:lang w:eastAsia="x-none"/>
        </w:rPr>
        <w:lastRenderedPageBreak/>
        <w:t>industriales y comerciales del Estado) y a los municipios prestadores directos, incluyendo las excepciones contenidas en el segundo inciso de esta norma</w:t>
      </w:r>
      <w:r w:rsidRPr="00446B03">
        <w:rPr>
          <w:rStyle w:val="Refdenotaalpie"/>
          <w:rFonts w:ascii="Arial" w:hAnsi="Arial" w:cs="Arial"/>
          <w:bCs/>
          <w:sz w:val="21"/>
          <w:szCs w:val="21"/>
          <w:lang w:eastAsia="x-none"/>
        </w:rPr>
        <w:footnoteReference w:id="20"/>
      </w:r>
      <w:r w:rsidRPr="00446B03">
        <w:rPr>
          <w:rFonts w:ascii="Arial" w:hAnsi="Arial" w:cs="Arial"/>
          <w:bCs/>
          <w:sz w:val="21"/>
          <w:szCs w:val="21"/>
          <w:lang w:eastAsia="x-none"/>
        </w:rPr>
        <w:t>.</w:t>
      </w:r>
      <w:r w:rsidRPr="00446B03">
        <w:rPr>
          <w:rFonts w:ascii="Arial" w:hAnsi="Arial" w:cs="Arial"/>
          <w:bCs/>
          <w:sz w:val="21"/>
          <w:szCs w:val="21"/>
          <w:lang w:eastAsia="es-CO"/>
        </w:rPr>
        <w:t xml:space="preserve"> </w:t>
      </w:r>
    </w:p>
    <w:p w14:paraId="5A8BD4DF" w14:textId="59E64A39" w:rsidR="003A58BE" w:rsidRDefault="003A58BE" w:rsidP="00AF6C46">
      <w:pPr>
        <w:spacing w:before="240" w:line="276" w:lineRule="auto"/>
        <w:ind w:firstLine="708"/>
        <w:jc w:val="both"/>
        <w:rPr>
          <w:rFonts w:ascii="Arial" w:hAnsi="Arial" w:cs="Arial"/>
          <w:sz w:val="22"/>
        </w:rPr>
      </w:pPr>
      <w:r w:rsidRPr="00446B03">
        <w:rPr>
          <w:rFonts w:ascii="Arial" w:hAnsi="Arial" w:cs="Arial"/>
          <w:bCs/>
          <w:sz w:val="22"/>
          <w:lang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29" w:name="_Hlk75635823"/>
      <w:r w:rsidRPr="00446B03">
        <w:rPr>
          <w:rFonts w:ascii="Arial" w:hAnsi="Arial" w:cs="Arial"/>
          <w:bCs/>
          <w:sz w:val="22"/>
          <w:lang w:eastAsia="x-none"/>
        </w:rPr>
        <w:t>»</w:t>
      </w:r>
      <w:bookmarkStart w:id="30" w:name="_Hlk75758868"/>
      <w:bookmarkStart w:id="31" w:name="_Hlk75741220"/>
      <w:bookmarkEnd w:id="29"/>
      <w:r w:rsidRPr="00446B03">
        <w:rPr>
          <w:rStyle w:val="Refdenotaalpie"/>
          <w:rFonts w:ascii="Arial" w:hAnsi="Arial" w:cs="Arial"/>
        </w:rPr>
        <w:footnoteReference w:id="21"/>
      </w:r>
      <w:bookmarkEnd w:id="30"/>
      <w:bookmarkEnd w:id="31"/>
      <w:r w:rsidRPr="00446B03">
        <w:rPr>
          <w:rFonts w:ascii="Arial" w:hAnsi="Arial" w:cs="Arial"/>
          <w:bCs/>
          <w:sz w:val="22"/>
          <w:lang w:eastAsia="x-none"/>
        </w:rPr>
        <w:t>.</w:t>
      </w:r>
      <w:r w:rsidRPr="00446B03">
        <w:rPr>
          <w:rFonts w:ascii="Arial" w:hAnsi="Arial" w:cs="Arial"/>
          <w:sz w:val="22"/>
        </w:rPr>
        <w:t xml:space="preserve"> Sin embargo, debe precisarse el siguiente aspecto que distinguió la Sala de Consulta y Servicio Civil:</w:t>
      </w:r>
    </w:p>
    <w:p w14:paraId="72BA4592" w14:textId="77777777" w:rsidR="00967B9B" w:rsidRPr="00446B03" w:rsidRDefault="00967B9B" w:rsidP="008E426F">
      <w:pPr>
        <w:spacing w:line="276" w:lineRule="auto"/>
        <w:ind w:firstLine="708"/>
        <w:jc w:val="both"/>
        <w:rPr>
          <w:rFonts w:ascii="Arial" w:hAnsi="Arial" w:cs="Arial"/>
          <w:sz w:val="22"/>
        </w:rPr>
      </w:pPr>
    </w:p>
    <w:p w14:paraId="41725238" w14:textId="026EE7EE" w:rsidR="003A58BE" w:rsidRDefault="003A58BE" w:rsidP="00967B9B">
      <w:pPr>
        <w:ind w:left="708" w:right="709"/>
        <w:jc w:val="both"/>
        <w:rPr>
          <w:rFonts w:ascii="Arial" w:hAnsi="Arial" w:cs="Arial"/>
          <w:bCs/>
          <w:sz w:val="22"/>
          <w:lang w:eastAsia="x-none"/>
        </w:rPr>
      </w:pPr>
      <w:bookmarkStart w:id="33" w:name="_Hlk75811446"/>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33"/>
      <w:r w:rsidRPr="00446B03">
        <w:rPr>
          <w:rStyle w:val="Refdenotaalpie"/>
          <w:rFonts w:ascii="Arial" w:hAnsi="Arial" w:cs="Arial"/>
        </w:rPr>
        <w:footnoteReference w:id="22"/>
      </w:r>
      <w:r w:rsidRPr="00446B03">
        <w:rPr>
          <w:rFonts w:ascii="Arial" w:hAnsi="Arial" w:cs="Arial"/>
          <w:bCs/>
          <w:sz w:val="22"/>
          <w:lang w:eastAsia="x-none"/>
        </w:rPr>
        <w:t>.</w:t>
      </w:r>
    </w:p>
    <w:p w14:paraId="73C44CE8" w14:textId="77777777" w:rsidR="004F362E" w:rsidRPr="00446B03" w:rsidRDefault="004F362E" w:rsidP="008E426F">
      <w:pPr>
        <w:ind w:left="708" w:right="709"/>
        <w:jc w:val="both"/>
        <w:rPr>
          <w:rFonts w:ascii="Arial" w:hAnsi="Arial" w:cs="Arial"/>
          <w:sz w:val="21"/>
          <w:szCs w:val="21"/>
        </w:rPr>
      </w:pPr>
    </w:p>
    <w:p w14:paraId="0D606660" w14:textId="77777777" w:rsidR="003A58BE" w:rsidRPr="00446B03" w:rsidRDefault="003A58BE" w:rsidP="008E426F">
      <w:pPr>
        <w:spacing w:line="276" w:lineRule="auto"/>
        <w:ind w:firstLine="708"/>
        <w:jc w:val="both"/>
        <w:rPr>
          <w:rFonts w:ascii="Arial" w:hAnsi="Arial" w:cs="Arial"/>
          <w:bCs/>
          <w:sz w:val="22"/>
          <w:lang w:eastAsia="x-none"/>
        </w:rPr>
      </w:pPr>
      <w:bookmarkStart w:id="34" w:name="_Hlk77237229"/>
      <w:bookmarkEnd w:id="27"/>
      <w:r w:rsidRPr="00446B03">
        <w:rPr>
          <w:rFonts w:ascii="Arial" w:hAnsi="Arial" w:cs="Arial"/>
          <w:sz w:val="22"/>
        </w:rPr>
        <w:t>Por lo tanto, la restricción prevista en la Ley 996 de 200</w:t>
      </w:r>
      <w:bookmarkStart w:id="35" w:name="_Hlk75741539"/>
      <w:r w:rsidRPr="00446B03">
        <w:rPr>
          <w:rFonts w:ascii="Arial" w:hAnsi="Arial" w:cs="Arial"/>
          <w:sz w:val="22"/>
        </w:rPr>
        <w:t xml:space="preserve">5, </w:t>
      </w:r>
      <w:r w:rsidRPr="00446B03">
        <w:rPr>
          <w:rFonts w:ascii="Arial" w:hAnsi="Arial" w:cs="Arial"/>
          <w:bCs/>
          <w:sz w:val="22"/>
          <w:lang w:eastAsia="x-none"/>
        </w:rPr>
        <w:t xml:space="preserve">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w:t>
      </w:r>
      <w:r w:rsidRPr="00446B03">
        <w:rPr>
          <w:rFonts w:ascii="Arial" w:hAnsi="Arial" w:cs="Arial"/>
          <w:bCs/>
          <w:sz w:val="22"/>
          <w:lang w:eastAsia="x-none"/>
        </w:rPr>
        <w:lastRenderedPageBreak/>
        <w:t xml:space="preserve">influir a los electores y alterar la voluntad popular en las contiendas electorales, se puede presentar tanto en la contratación regulada por la Ley 80 de 1993 como en la regida por el </w:t>
      </w:r>
      <w:r>
        <w:rPr>
          <w:rFonts w:ascii="Arial" w:hAnsi="Arial" w:cs="Arial"/>
          <w:bCs/>
          <w:sz w:val="22"/>
          <w:lang w:eastAsia="x-none"/>
        </w:rPr>
        <w:t>d</w:t>
      </w:r>
      <w:r w:rsidRPr="00446B03">
        <w:rPr>
          <w:rFonts w:ascii="Arial" w:hAnsi="Arial" w:cs="Arial"/>
          <w:bCs/>
          <w:sz w:val="22"/>
          <w:lang w:eastAsia="x-none"/>
        </w:rPr>
        <w:t xml:space="preserve">erecho </w:t>
      </w:r>
      <w:r>
        <w:rPr>
          <w:rFonts w:ascii="Arial" w:hAnsi="Arial" w:cs="Arial"/>
          <w:bCs/>
          <w:sz w:val="22"/>
          <w:lang w:eastAsia="x-none"/>
        </w:rPr>
        <w:t>p</w:t>
      </w:r>
      <w:r w:rsidRPr="00446B03">
        <w:rPr>
          <w:rFonts w:ascii="Arial" w:hAnsi="Arial" w:cs="Arial"/>
          <w:bCs/>
          <w:sz w:val="22"/>
          <w:lang w:eastAsia="x-none"/>
        </w:rPr>
        <w:t>rivado.</w:t>
      </w:r>
    </w:p>
    <w:p w14:paraId="04635FDB" w14:textId="6CBC54A8" w:rsidR="009E4795" w:rsidRDefault="009E4795" w:rsidP="00AF6C46">
      <w:pPr>
        <w:spacing w:before="240" w:line="276" w:lineRule="auto"/>
        <w:jc w:val="both"/>
        <w:rPr>
          <w:rFonts w:ascii="Arial" w:hAnsi="Arial" w:cs="Arial"/>
          <w:b/>
          <w:bCs/>
          <w:sz w:val="22"/>
          <w:lang w:eastAsia="es-CO"/>
        </w:rPr>
      </w:pPr>
      <w:bookmarkStart w:id="36" w:name="_Hlk77153296"/>
      <w:bookmarkEnd w:id="34"/>
      <w:bookmarkEnd w:id="35"/>
      <w:r>
        <w:rPr>
          <w:rFonts w:ascii="Arial" w:hAnsi="Arial" w:cs="Arial"/>
          <w:b/>
          <w:bCs/>
          <w:sz w:val="22"/>
          <w:lang w:eastAsia="es-CO"/>
        </w:rPr>
        <w:t xml:space="preserve">2.4. </w:t>
      </w:r>
      <w:r w:rsidRPr="00446B03">
        <w:rPr>
          <w:rFonts w:ascii="Arial" w:hAnsi="Arial" w:cs="Arial"/>
          <w:b/>
          <w:bCs/>
          <w:sz w:val="22"/>
          <w:lang w:eastAsia="es-CO"/>
        </w:rPr>
        <w:t xml:space="preserve">Restricciones </w:t>
      </w:r>
      <w:bookmarkStart w:id="37" w:name="_Hlk75643279"/>
      <w:r w:rsidRPr="00446B03">
        <w:rPr>
          <w:rFonts w:ascii="Arial" w:hAnsi="Arial" w:cs="Arial"/>
          <w:b/>
          <w:bCs/>
          <w:sz w:val="22"/>
          <w:lang w:eastAsia="es-CO"/>
        </w:rPr>
        <w:t>para la celebración de contratos y convenios</w:t>
      </w:r>
      <w:r>
        <w:rPr>
          <w:rFonts w:ascii="Arial" w:hAnsi="Arial" w:cs="Arial"/>
          <w:b/>
          <w:bCs/>
          <w:sz w:val="22"/>
          <w:lang w:eastAsia="es-CO"/>
        </w:rPr>
        <w:t xml:space="preserve"> </w:t>
      </w:r>
      <w:r w:rsidRPr="00446B03">
        <w:rPr>
          <w:rFonts w:ascii="Arial" w:hAnsi="Arial" w:cs="Arial"/>
          <w:b/>
          <w:bCs/>
          <w:sz w:val="22"/>
          <w:lang w:eastAsia="es-CO"/>
        </w:rPr>
        <w:t xml:space="preserve">interadministrativos en los comicios </w:t>
      </w:r>
      <w:r>
        <w:rPr>
          <w:rFonts w:ascii="Arial" w:hAnsi="Arial" w:cs="Arial"/>
          <w:b/>
          <w:bCs/>
          <w:sz w:val="22"/>
          <w:lang w:eastAsia="es-CO"/>
        </w:rPr>
        <w:t>para</w:t>
      </w:r>
      <w:r w:rsidRPr="00446B03">
        <w:rPr>
          <w:rFonts w:ascii="Arial" w:hAnsi="Arial" w:cs="Arial"/>
          <w:b/>
          <w:bCs/>
          <w:sz w:val="22"/>
          <w:lang w:eastAsia="es-CO"/>
        </w:rPr>
        <w:t xml:space="preserve"> cargos de elección popular </w:t>
      </w:r>
    </w:p>
    <w:p w14:paraId="100897E9" w14:textId="77777777" w:rsidR="004F362E" w:rsidRPr="00446B03" w:rsidRDefault="004F362E" w:rsidP="008E426F">
      <w:pPr>
        <w:spacing w:line="276" w:lineRule="auto"/>
        <w:jc w:val="both"/>
        <w:rPr>
          <w:rFonts w:ascii="Arial" w:hAnsi="Arial" w:cs="Arial"/>
          <w:b/>
          <w:bCs/>
          <w:sz w:val="22"/>
        </w:rPr>
      </w:pPr>
    </w:p>
    <w:p w14:paraId="7360F646" w14:textId="23A82BF0" w:rsidR="009E4795" w:rsidRPr="00FB5F23" w:rsidRDefault="009E4795" w:rsidP="00D67FEE">
      <w:pPr>
        <w:spacing w:line="276" w:lineRule="auto"/>
        <w:jc w:val="both"/>
        <w:rPr>
          <w:rFonts w:ascii="Arial" w:eastAsia="Calibri" w:hAnsi="Arial" w:cs="Arial"/>
          <w:bCs/>
          <w:sz w:val="22"/>
        </w:rPr>
      </w:pPr>
      <w:bookmarkStart w:id="38" w:name="_Hlk99720150"/>
      <w:bookmarkEnd w:id="36"/>
      <w:bookmarkEnd w:id="37"/>
      <w:r w:rsidRPr="00446B03">
        <w:rPr>
          <w:rFonts w:ascii="Arial" w:eastAsia="Calibri" w:hAnsi="Arial" w:cs="Arial"/>
          <w:bCs/>
          <w:sz w:val="22"/>
        </w:rPr>
        <w:t xml:space="preserve">El parágrafo del artículo 38 de la Ley 996 de 2005 dispone que «[l]os Gobernadores, Alcaldes Municipales y/o Distritales, Secretarios, Gerentes y directores de Entidades </w:t>
      </w:r>
      <w:r w:rsidRPr="00FB5F23">
        <w:rPr>
          <w:rFonts w:ascii="Arial" w:eastAsia="Calibri" w:hAnsi="Arial" w:cs="Arial"/>
          <w:bCs/>
          <w:sz w:val="22"/>
        </w:rPr>
        <w:t>Descentralizadas del orden Municipal, Departamental o Distrital, dentro de los cuatro (4) meses anteriores a las elecciones, no podrán celebrar convenios interadministrativos para la ejecución de recursos públicos».</w:t>
      </w:r>
      <w:r w:rsidRPr="00FB5F23">
        <w:rPr>
          <w:rFonts w:ascii="Arial" w:hAnsi="Arial" w:cs="Arial"/>
          <w:bCs/>
          <w:iCs/>
          <w:sz w:val="22"/>
          <w:lang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FB5F23">
        <w:rPr>
          <w:rStyle w:val="Refdenotaalpie"/>
          <w:rFonts w:ascii="Arial" w:hAnsi="Arial" w:cs="Arial"/>
          <w:bCs/>
          <w:iCs/>
          <w:sz w:val="22"/>
          <w:lang w:eastAsia="x-none"/>
        </w:rPr>
        <w:footnoteReference w:id="23"/>
      </w:r>
      <w:r w:rsidRPr="00FB5F23">
        <w:rPr>
          <w:rFonts w:ascii="Arial" w:hAnsi="Arial" w:cs="Arial"/>
          <w:bCs/>
          <w:iCs/>
          <w:sz w:val="22"/>
          <w:lang w:eastAsia="x-none"/>
        </w:rPr>
        <w:t>.</w:t>
      </w:r>
      <w:r w:rsidRPr="00FB5F23">
        <w:rPr>
          <w:rFonts w:ascii="Arial" w:hAnsi="Arial" w:cs="Arial"/>
        </w:rPr>
        <w:t xml:space="preserve"> </w:t>
      </w:r>
    </w:p>
    <w:p w14:paraId="69D4D197" w14:textId="77777777" w:rsidR="009E4795" w:rsidRPr="00E11408" w:rsidRDefault="009E4795" w:rsidP="008E426F">
      <w:pPr>
        <w:pStyle w:val="Textoindependiente"/>
        <w:spacing w:before="120" w:beforeAutospacing="0" w:after="0" w:afterAutospacing="0" w:line="276" w:lineRule="auto"/>
        <w:ind w:firstLine="709"/>
        <w:jc w:val="both"/>
        <w:rPr>
          <w:rFonts w:ascii="Arial" w:hAnsi="Arial" w:cs="Arial"/>
          <w:sz w:val="22"/>
          <w:szCs w:val="22"/>
        </w:rPr>
      </w:pPr>
      <w:r w:rsidRPr="00E11408">
        <w:rPr>
          <w:rFonts w:ascii="Arial" w:eastAsia="Calibri" w:hAnsi="Arial" w:cs="Arial"/>
          <w:bCs/>
          <w:sz w:val="22"/>
          <w:szCs w:val="22"/>
        </w:rPr>
        <w:t xml:space="preserve">Ahora bien, </w:t>
      </w:r>
      <w:bookmarkStart w:id="39" w:name="_Hlk78820161"/>
      <w:r w:rsidRPr="00E11408">
        <w:rPr>
          <w:rFonts w:ascii="Arial" w:eastAsia="Calibri" w:hAnsi="Arial" w:cs="Arial"/>
          <w:bCs/>
          <w:sz w:val="22"/>
          <w:szCs w:val="22"/>
        </w:rPr>
        <w:t xml:space="preserve">para determinar el alcance de la prohibición consagrada por la Ley de Garantías Electorales, conviene precisar la tipología de convenios o contratos interadministrativos. </w:t>
      </w:r>
      <w:r w:rsidRPr="00E11408">
        <w:rPr>
          <w:rFonts w:ascii="Arial" w:hAnsi="Arial" w:cs="Arial"/>
          <w:sz w:val="22"/>
          <w:szCs w:val="22"/>
        </w:rPr>
        <w:t>Aunque la ley no la definió ni desarrolló, el Decreto 1082 de 2015 califica a los convenios o contratos interadministrativos como aquella contratación entre entidades estatales</w:t>
      </w:r>
      <w:r w:rsidRPr="00E11408">
        <w:rPr>
          <w:rStyle w:val="Refdenotaalpie"/>
          <w:rFonts w:ascii="Arial" w:hAnsi="Arial" w:cs="Arial"/>
          <w:sz w:val="22"/>
          <w:szCs w:val="22"/>
        </w:rPr>
        <w:footnoteReference w:id="24"/>
      </w:r>
      <w:r w:rsidRPr="00E11408">
        <w:rPr>
          <w:rFonts w:ascii="Arial" w:hAnsi="Arial" w:cs="Arial"/>
          <w:sz w:val="22"/>
          <w:szCs w:val="22"/>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E11408">
        <w:rPr>
          <w:rFonts w:ascii="Arial" w:hAnsi="Arial" w:cs="Arial"/>
          <w:spacing w:val="-6"/>
          <w:sz w:val="22"/>
          <w:szCs w:val="22"/>
        </w:rPr>
        <w:t xml:space="preserve"> </w:t>
      </w:r>
      <w:r w:rsidRPr="00E11408">
        <w:rPr>
          <w:rFonts w:ascii="Arial" w:hAnsi="Arial" w:cs="Arial"/>
          <w:sz w:val="22"/>
          <w:szCs w:val="22"/>
        </w:rPr>
        <w:t>estatales.</w:t>
      </w:r>
    </w:p>
    <w:p w14:paraId="247978EE" w14:textId="77777777" w:rsidR="009E4795" w:rsidRPr="00E11408" w:rsidRDefault="009E4795" w:rsidP="008E426F">
      <w:pPr>
        <w:pStyle w:val="Textoindependiente"/>
        <w:spacing w:before="120" w:beforeAutospacing="0" w:after="0" w:afterAutospacing="0" w:line="276" w:lineRule="auto"/>
        <w:ind w:firstLine="709"/>
        <w:jc w:val="both"/>
        <w:rPr>
          <w:rFonts w:ascii="Arial" w:hAnsi="Arial" w:cs="Arial"/>
          <w:sz w:val="22"/>
          <w:szCs w:val="22"/>
        </w:rPr>
      </w:pPr>
      <w:bookmarkStart w:id="40" w:name="_Hlk78820654"/>
      <w:bookmarkEnd w:id="39"/>
      <w:r w:rsidRPr="00E11408">
        <w:rPr>
          <w:rFonts w:ascii="Arial" w:hAnsi="Arial" w:cs="Arial"/>
          <w:sz w:val="22"/>
          <w:szCs w:val="22"/>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w:t>
      </w:r>
      <w:r w:rsidRPr="00E11408">
        <w:rPr>
          <w:rFonts w:ascii="Arial" w:hAnsi="Arial" w:cs="Arial"/>
          <w:sz w:val="22"/>
          <w:szCs w:val="22"/>
        </w:rPr>
        <w:lastRenderedPageBreak/>
        <w:t>esta clase de convenios con una entidad estatal de régimen especial y no por ello dejará de ser un contrato o convenio interadministrativo.</w:t>
      </w:r>
    </w:p>
    <w:bookmarkEnd w:id="40"/>
    <w:p w14:paraId="63210B97" w14:textId="77777777" w:rsidR="009E4795" w:rsidRPr="00E11408" w:rsidRDefault="009E4795" w:rsidP="008E426F">
      <w:pPr>
        <w:pStyle w:val="Textoindependiente"/>
        <w:spacing w:before="120" w:beforeAutospacing="0" w:after="0" w:afterAutospacing="0" w:line="276" w:lineRule="auto"/>
        <w:ind w:firstLine="709"/>
        <w:jc w:val="both"/>
        <w:rPr>
          <w:rFonts w:ascii="Arial" w:hAnsi="Arial" w:cs="Arial"/>
          <w:sz w:val="22"/>
          <w:szCs w:val="22"/>
        </w:rPr>
      </w:pPr>
      <w:r w:rsidRPr="00E11408">
        <w:rPr>
          <w:rFonts w:ascii="Arial" w:hAnsi="Arial" w:cs="Arial"/>
          <w:sz w:val="22"/>
          <w:szCs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E11408">
        <w:rPr>
          <w:rStyle w:val="Refdenotaalpie"/>
          <w:rFonts w:ascii="Arial" w:hAnsi="Arial" w:cs="Arial"/>
          <w:sz w:val="22"/>
          <w:szCs w:val="22"/>
        </w:rPr>
        <w:footnoteReference w:id="25"/>
      </w:r>
      <w:r w:rsidRPr="00E11408">
        <w:rPr>
          <w:rFonts w:ascii="Arial" w:hAnsi="Arial" w:cs="Arial"/>
          <w:sz w:val="22"/>
          <w:szCs w:val="22"/>
        </w:rPr>
        <w:t>. Nótese que, en este caso, lo que cambia es la modalidad de selección y no la naturaleza de contrato</w:t>
      </w:r>
      <w:r w:rsidRPr="00E11408">
        <w:rPr>
          <w:rFonts w:ascii="Arial" w:hAnsi="Arial" w:cs="Arial"/>
          <w:spacing w:val="-18"/>
          <w:sz w:val="22"/>
          <w:szCs w:val="22"/>
        </w:rPr>
        <w:t xml:space="preserve"> </w:t>
      </w:r>
      <w:r w:rsidRPr="00E11408">
        <w:rPr>
          <w:rFonts w:ascii="Arial" w:hAnsi="Arial" w:cs="Arial"/>
          <w:sz w:val="22"/>
          <w:szCs w:val="22"/>
        </w:rPr>
        <w:t>interadministrativo.</w:t>
      </w:r>
    </w:p>
    <w:p w14:paraId="05C6847D" w14:textId="6269A8EE" w:rsidR="009E4795" w:rsidRDefault="009E4795" w:rsidP="00AF6C46">
      <w:pPr>
        <w:pStyle w:val="Textoindependiente"/>
        <w:spacing w:before="240" w:beforeAutospacing="0" w:after="0" w:afterAutospacing="0" w:line="276" w:lineRule="auto"/>
        <w:ind w:firstLine="709"/>
        <w:jc w:val="both"/>
        <w:rPr>
          <w:rFonts w:ascii="Arial" w:hAnsi="Arial" w:cs="Arial"/>
          <w:sz w:val="22"/>
          <w:szCs w:val="22"/>
        </w:rPr>
      </w:pPr>
      <w:r w:rsidRPr="00E11408">
        <w:rPr>
          <w:rFonts w:ascii="Arial" w:hAnsi="Arial" w:cs="Arial"/>
          <w:sz w:val="22"/>
          <w:szCs w:val="22"/>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E11408">
        <w:rPr>
          <w:rFonts w:ascii="Arial" w:hAnsi="Arial" w:cs="Arial"/>
          <w:spacing w:val="-13"/>
          <w:sz w:val="22"/>
          <w:szCs w:val="22"/>
        </w:rPr>
        <w:t xml:space="preserve"> </w:t>
      </w:r>
      <w:r w:rsidRPr="00E11408">
        <w:rPr>
          <w:rFonts w:ascii="Arial" w:hAnsi="Arial" w:cs="Arial"/>
          <w:sz w:val="22"/>
          <w:szCs w:val="22"/>
        </w:rPr>
        <w:t>que:</w:t>
      </w:r>
    </w:p>
    <w:p w14:paraId="0A82AF12" w14:textId="77777777" w:rsidR="004F362E" w:rsidRPr="00E11408" w:rsidRDefault="004F362E" w:rsidP="008E426F">
      <w:pPr>
        <w:pStyle w:val="Textoindependiente"/>
        <w:spacing w:before="0" w:beforeAutospacing="0" w:after="0" w:afterAutospacing="0" w:line="276" w:lineRule="auto"/>
        <w:ind w:firstLine="709"/>
        <w:jc w:val="both"/>
        <w:rPr>
          <w:rFonts w:ascii="Arial" w:hAnsi="Arial" w:cs="Arial"/>
          <w:sz w:val="22"/>
          <w:szCs w:val="22"/>
        </w:rPr>
      </w:pPr>
    </w:p>
    <w:p w14:paraId="2BD560B7" w14:textId="0337E3E8" w:rsidR="009E4795" w:rsidRDefault="009E4795" w:rsidP="004F362E">
      <w:pPr>
        <w:ind w:left="709" w:right="709"/>
        <w:jc w:val="both"/>
        <w:rPr>
          <w:rFonts w:ascii="Arial" w:hAnsi="Arial" w:cs="Arial"/>
          <w:sz w:val="21"/>
        </w:rPr>
      </w:pPr>
      <w:r w:rsidRPr="00FB5F23">
        <w:rPr>
          <w:rFonts w:ascii="Arial" w:hAnsi="Arial" w:cs="Arial"/>
          <w:sz w:val="21"/>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w:t>
      </w:r>
      <w:r w:rsidRPr="00FB5F23">
        <w:rPr>
          <w:rFonts w:ascii="Arial" w:hAnsi="Arial" w:cs="Arial"/>
          <w:sz w:val="21"/>
        </w:rPr>
        <w:lastRenderedPageBreak/>
        <w:t>vinculadas; (viii) la acción mediante la cual se deben ventilar las diferencias que sobre el particular surjan es la de controversias contractuales</w:t>
      </w:r>
      <w:r w:rsidRPr="00FB5F23">
        <w:rPr>
          <w:rStyle w:val="Refdenotaalpie"/>
          <w:rFonts w:ascii="Arial" w:hAnsi="Arial" w:cs="Arial"/>
          <w:sz w:val="21"/>
        </w:rPr>
        <w:footnoteReference w:id="26"/>
      </w:r>
      <w:r w:rsidRPr="00FB5F23">
        <w:rPr>
          <w:rFonts w:ascii="Arial" w:hAnsi="Arial" w:cs="Arial"/>
          <w:sz w:val="21"/>
        </w:rPr>
        <w:t>.</w:t>
      </w:r>
    </w:p>
    <w:p w14:paraId="122EF9D9" w14:textId="77777777" w:rsidR="004F362E" w:rsidRPr="00FB5F23" w:rsidRDefault="004F362E" w:rsidP="008E426F">
      <w:pPr>
        <w:ind w:left="709" w:right="709"/>
        <w:jc w:val="both"/>
        <w:rPr>
          <w:rFonts w:ascii="Arial" w:hAnsi="Arial" w:cs="Arial"/>
          <w:sz w:val="21"/>
        </w:rPr>
      </w:pPr>
    </w:p>
    <w:p w14:paraId="33EC13E3" w14:textId="77777777" w:rsidR="009E4795" w:rsidRPr="00E11408" w:rsidRDefault="009E4795" w:rsidP="008E426F">
      <w:pPr>
        <w:pStyle w:val="Textoindependiente"/>
        <w:spacing w:before="0" w:beforeAutospacing="0" w:after="0" w:afterAutospacing="0" w:line="276" w:lineRule="auto"/>
        <w:ind w:firstLine="709"/>
        <w:jc w:val="both"/>
        <w:rPr>
          <w:rFonts w:ascii="Arial" w:hAnsi="Arial" w:cs="Arial"/>
          <w:sz w:val="22"/>
          <w:szCs w:val="22"/>
        </w:rPr>
      </w:pPr>
      <w:r w:rsidRPr="00E11408">
        <w:rPr>
          <w:rFonts w:ascii="Arial" w:hAnsi="Arial" w:cs="Arial"/>
          <w:sz w:val="22"/>
          <w:szCs w:val="22"/>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2C3C947" w14:textId="77777777" w:rsidR="009E4795" w:rsidRPr="00E359EB" w:rsidRDefault="009E4795" w:rsidP="00AF6C46">
      <w:pPr>
        <w:pStyle w:val="Textoindependiente"/>
        <w:spacing w:before="240" w:beforeAutospacing="0" w:after="0" w:afterAutospacing="0" w:line="276" w:lineRule="auto"/>
        <w:ind w:firstLine="709"/>
        <w:jc w:val="both"/>
        <w:rPr>
          <w:rFonts w:ascii="Arial" w:hAnsi="Arial" w:cs="Arial"/>
          <w:sz w:val="22"/>
          <w:szCs w:val="22"/>
        </w:rPr>
      </w:pPr>
      <w:r w:rsidRPr="00E359EB">
        <w:rPr>
          <w:rFonts w:ascii="Arial" w:hAnsi="Arial" w:cs="Arial"/>
          <w:sz w:val="22"/>
          <w:szCs w:val="22"/>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E359EB">
        <w:rPr>
          <w:rFonts w:ascii="Arial" w:hAnsi="Arial" w:cs="Arial"/>
          <w:spacing w:val="-3"/>
          <w:sz w:val="22"/>
          <w:szCs w:val="22"/>
        </w:rPr>
        <w:t xml:space="preserve"> </w:t>
      </w:r>
      <w:r w:rsidRPr="00E359EB">
        <w:rPr>
          <w:rFonts w:ascii="Arial" w:hAnsi="Arial" w:cs="Arial"/>
          <w:sz w:val="22"/>
          <w:szCs w:val="22"/>
        </w:rPr>
        <w:t>estatales.</w:t>
      </w:r>
    </w:p>
    <w:p w14:paraId="2C0D6C28" w14:textId="77777777" w:rsidR="009E4795" w:rsidRPr="00E359EB" w:rsidRDefault="009E4795" w:rsidP="00AF6C46">
      <w:pPr>
        <w:pStyle w:val="Textoindependiente"/>
        <w:spacing w:before="240" w:beforeAutospacing="0" w:after="0" w:afterAutospacing="0" w:line="276" w:lineRule="auto"/>
        <w:ind w:firstLine="709"/>
        <w:jc w:val="both"/>
        <w:rPr>
          <w:rFonts w:ascii="Arial" w:hAnsi="Arial" w:cs="Arial"/>
          <w:sz w:val="22"/>
          <w:szCs w:val="22"/>
        </w:rPr>
      </w:pPr>
      <w:r w:rsidRPr="00E359EB">
        <w:rPr>
          <w:rFonts w:ascii="Arial" w:hAnsi="Arial" w:cs="Arial"/>
          <w:sz w:val="22"/>
          <w:szCs w:val="22"/>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w:t>
      </w:r>
      <w:r w:rsidRPr="00E359EB">
        <w:rPr>
          <w:rFonts w:ascii="Arial" w:hAnsi="Arial" w:cs="Arial"/>
          <w:sz w:val="22"/>
          <w:szCs w:val="22"/>
        </w:rPr>
        <w:lastRenderedPageBreak/>
        <w:t>acuerdos que permitan la autonomía de la voluntad y requieran el cumplimiento de los fines</w:t>
      </w:r>
      <w:r w:rsidRPr="00E359EB">
        <w:rPr>
          <w:rFonts w:ascii="Arial" w:hAnsi="Arial" w:cs="Arial"/>
          <w:spacing w:val="-4"/>
          <w:sz w:val="22"/>
          <w:szCs w:val="22"/>
        </w:rPr>
        <w:t xml:space="preserve"> </w:t>
      </w:r>
      <w:r w:rsidRPr="00E359EB">
        <w:rPr>
          <w:rFonts w:ascii="Arial" w:hAnsi="Arial" w:cs="Arial"/>
          <w:sz w:val="22"/>
          <w:szCs w:val="22"/>
        </w:rPr>
        <w:t>estatales.</w:t>
      </w:r>
    </w:p>
    <w:p w14:paraId="19FAF953" w14:textId="77777777" w:rsidR="009E4795" w:rsidRPr="00E359EB" w:rsidRDefault="009E4795" w:rsidP="00AF6C46">
      <w:pPr>
        <w:pStyle w:val="Textoindependiente"/>
        <w:spacing w:before="240" w:beforeAutospacing="0" w:after="0" w:afterAutospacing="0" w:line="276" w:lineRule="auto"/>
        <w:ind w:firstLine="708"/>
        <w:jc w:val="both"/>
        <w:rPr>
          <w:rFonts w:ascii="Arial" w:hAnsi="Arial" w:cs="Arial"/>
          <w:sz w:val="22"/>
          <w:szCs w:val="22"/>
        </w:rPr>
      </w:pPr>
      <w:r w:rsidRPr="00E359EB">
        <w:rPr>
          <w:rFonts w:ascii="Arial" w:hAnsi="Arial" w:cs="Arial"/>
          <w:sz w:val="22"/>
          <w:szCs w:val="22"/>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4C3BB7DF" w14:textId="77777777" w:rsidR="009E4795" w:rsidRPr="00E359EB" w:rsidRDefault="009E4795" w:rsidP="00AF6C46">
      <w:pPr>
        <w:pStyle w:val="Textoindependiente"/>
        <w:spacing w:before="240" w:beforeAutospacing="0" w:after="0" w:afterAutospacing="0" w:line="276" w:lineRule="auto"/>
        <w:ind w:firstLine="708"/>
        <w:jc w:val="both"/>
        <w:rPr>
          <w:rFonts w:ascii="Arial" w:eastAsia="Calibri" w:hAnsi="Arial" w:cs="Arial"/>
          <w:bCs/>
          <w:sz w:val="22"/>
          <w:szCs w:val="22"/>
        </w:rPr>
      </w:pPr>
      <w:r w:rsidRPr="00E359EB">
        <w:rPr>
          <w:rFonts w:ascii="Arial" w:hAnsi="Arial" w:cs="Arial"/>
          <w:sz w:val="22"/>
          <w:szCs w:val="22"/>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E359EB">
        <w:rPr>
          <w:rFonts w:ascii="Arial" w:hAnsi="Arial" w:cs="Arial"/>
          <w:spacing w:val="-4"/>
          <w:sz w:val="22"/>
          <w:szCs w:val="22"/>
        </w:rPr>
        <w:t xml:space="preserve"> </w:t>
      </w:r>
      <w:r w:rsidRPr="00E359EB">
        <w:rPr>
          <w:rFonts w:ascii="Arial" w:hAnsi="Arial" w:cs="Arial"/>
          <w:sz w:val="22"/>
          <w:szCs w:val="22"/>
        </w:rPr>
        <w:t>[…]»</w:t>
      </w:r>
      <w:r w:rsidRPr="00E359EB">
        <w:rPr>
          <w:rStyle w:val="Refdenotaalpie"/>
          <w:rFonts w:ascii="Arial" w:hAnsi="Arial" w:cs="Arial"/>
          <w:sz w:val="22"/>
          <w:szCs w:val="22"/>
        </w:rPr>
        <w:footnoteReference w:id="27"/>
      </w:r>
      <w:r w:rsidRPr="00E359EB">
        <w:rPr>
          <w:rFonts w:ascii="Arial" w:hAnsi="Arial" w:cs="Arial"/>
          <w:sz w:val="22"/>
          <w:szCs w:val="22"/>
        </w:rPr>
        <w:t>.</w:t>
      </w:r>
      <w:bookmarkStart w:id="41" w:name="_Hlk77171241"/>
    </w:p>
    <w:p w14:paraId="2A09D43C" w14:textId="77777777" w:rsidR="009E4795" w:rsidRPr="00E359EB" w:rsidRDefault="009E4795" w:rsidP="008E426F">
      <w:pPr>
        <w:pStyle w:val="Textoindependiente"/>
        <w:spacing w:before="120" w:beforeAutospacing="0" w:after="0" w:afterAutospacing="0" w:line="276" w:lineRule="auto"/>
        <w:ind w:firstLine="709"/>
        <w:jc w:val="both"/>
        <w:rPr>
          <w:rFonts w:ascii="Arial" w:hAnsi="Arial" w:cs="Arial"/>
          <w:sz w:val="22"/>
          <w:szCs w:val="22"/>
        </w:rPr>
      </w:pPr>
      <w:r w:rsidRPr="00E359EB">
        <w:rPr>
          <w:rFonts w:ascii="Arial" w:hAnsi="Arial" w:cs="Arial"/>
          <w:sz w:val="22"/>
          <w:szCs w:val="22"/>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61FBCB1" w14:textId="77777777" w:rsidR="009E4795" w:rsidRPr="00FB5F23" w:rsidRDefault="009E4795" w:rsidP="008E426F">
      <w:pPr>
        <w:spacing w:before="240"/>
        <w:ind w:left="709" w:right="709"/>
        <w:jc w:val="both"/>
        <w:rPr>
          <w:rFonts w:ascii="Arial" w:hAnsi="Arial" w:cs="Arial"/>
          <w:sz w:val="21"/>
          <w:szCs w:val="21"/>
          <w:lang w:val="es-ES_tradnl"/>
        </w:rPr>
      </w:pPr>
      <w:r w:rsidRPr="00FB5F23">
        <w:rPr>
          <w:rFonts w:ascii="Arial" w:hAnsi="Arial" w:cs="Arial"/>
          <w:sz w:val="21"/>
          <w:szCs w:val="21"/>
          <w:lang w:val="es-ES_tradnl"/>
        </w:rPr>
        <w:t>La Sala de Consulta y Servicio Civil</w:t>
      </w:r>
      <w:r w:rsidRPr="00FB5F23">
        <w:rPr>
          <w:rStyle w:val="Refdenotaalpie"/>
          <w:rFonts w:ascii="Arial" w:hAnsi="Arial" w:cs="Arial"/>
          <w:sz w:val="21"/>
          <w:szCs w:val="21"/>
          <w:lang w:val="es-ES_tradnl"/>
        </w:rPr>
        <w:footnoteReference w:id="28"/>
      </w:r>
      <w:r w:rsidRPr="00FB5F23">
        <w:rPr>
          <w:rFonts w:ascii="Arial" w:hAnsi="Arial" w:cs="Arial"/>
          <w:sz w:val="21"/>
          <w:szCs w:val="21"/>
          <w:lang w:val="es-ES_tradnl"/>
        </w:rPr>
        <w:t xml:space="preserve"> de esta Corporación se ha referido a los </w:t>
      </w:r>
      <w:r w:rsidRPr="00FB5F23">
        <w:rPr>
          <w:rFonts w:ascii="Arial" w:hAnsi="Arial" w:cs="Arial"/>
          <w:i/>
          <w:sz w:val="21"/>
          <w:szCs w:val="21"/>
          <w:lang w:val="es-ES_tradnl"/>
        </w:rPr>
        <w:t>“convenios interadministrativos”</w:t>
      </w:r>
      <w:r w:rsidRPr="00FB5F23">
        <w:rPr>
          <w:rFonts w:ascii="Arial" w:hAnsi="Arial" w:cs="Arial"/>
          <w:sz w:val="21"/>
          <w:szCs w:val="21"/>
          <w:lang w:val="es-ES_tradnl"/>
        </w:rPr>
        <w:t xml:space="preserve"> a los cuales alude el artículo 95 de la Ley 489 de 1998, calificándolos de </w:t>
      </w:r>
      <w:r w:rsidRPr="00FB5F23">
        <w:rPr>
          <w:rFonts w:ascii="Arial" w:hAnsi="Arial" w:cs="Arial"/>
          <w:i/>
          <w:sz w:val="21"/>
          <w:szCs w:val="21"/>
          <w:lang w:val="es-ES_tradnl"/>
        </w:rPr>
        <w:t xml:space="preserve">“puros” </w:t>
      </w:r>
      <w:r w:rsidRPr="00FB5F23">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FB5F23">
        <w:rPr>
          <w:rFonts w:ascii="Arial" w:hAnsi="Arial" w:cs="Arial"/>
          <w:i/>
          <w:sz w:val="21"/>
          <w:szCs w:val="21"/>
          <w:lang w:val="es-ES_tradnl"/>
        </w:rPr>
        <w:t>“intercambio patrimonial”</w:t>
      </w:r>
      <w:r w:rsidRPr="00FB5F23">
        <w:rPr>
          <w:rFonts w:ascii="Arial" w:hAnsi="Arial" w:cs="Arial"/>
          <w:sz w:val="21"/>
          <w:szCs w:val="21"/>
          <w:lang w:val="es-ES_tradnl"/>
        </w:rPr>
        <w:t>. Sin perjuicio de lo anterior, en otra oportunidad, la misma Sala</w:t>
      </w:r>
      <w:r w:rsidRPr="00FB5F23">
        <w:rPr>
          <w:rStyle w:val="Refdenotaalpie"/>
          <w:rFonts w:ascii="Arial" w:hAnsi="Arial" w:cs="Arial"/>
          <w:sz w:val="21"/>
          <w:szCs w:val="21"/>
          <w:lang w:val="es-ES_tradnl"/>
        </w:rPr>
        <w:footnoteReference w:id="29"/>
      </w:r>
      <w:r w:rsidRPr="00FB5F23">
        <w:rPr>
          <w:rFonts w:ascii="Arial" w:hAnsi="Arial" w:cs="Arial"/>
          <w:sz w:val="21"/>
          <w:szCs w:val="21"/>
          <w:lang w:val="es-ES_tradnl"/>
        </w:rPr>
        <w:t xml:space="preserve"> había indicado </w:t>
      </w:r>
      <w:r w:rsidRPr="00FB5F23">
        <w:rPr>
          <w:rFonts w:ascii="Arial" w:hAnsi="Arial" w:cs="Arial"/>
          <w:sz w:val="21"/>
          <w:szCs w:val="21"/>
          <w:lang w:val="es-ES_tradnl"/>
        </w:rPr>
        <w:lastRenderedPageBreak/>
        <w:t xml:space="preserve">que, si bien en dichos convenios no se daba un </w:t>
      </w:r>
      <w:r w:rsidRPr="00FB5F23">
        <w:rPr>
          <w:rFonts w:ascii="Arial" w:hAnsi="Arial" w:cs="Arial"/>
          <w:i/>
          <w:sz w:val="21"/>
          <w:szCs w:val="21"/>
          <w:lang w:val="es-ES_tradnl"/>
        </w:rPr>
        <w:t>“verdadero intercambio de bienes o servicios (contrato conmutativo)”</w:t>
      </w:r>
      <w:r w:rsidRPr="00FB5F23">
        <w:rPr>
          <w:rFonts w:ascii="Arial" w:hAnsi="Arial" w:cs="Arial"/>
          <w:sz w:val="21"/>
          <w:szCs w:val="21"/>
          <w:lang w:val="es-ES_tradnl"/>
        </w:rPr>
        <w:t>, ello no impedía que se conviniera una remuneración a cargo de alguna(s) entidad(es).</w:t>
      </w:r>
    </w:p>
    <w:p w14:paraId="1A96A34D" w14:textId="3F59C47C" w:rsidR="009E4795" w:rsidRDefault="009E4795" w:rsidP="00473231">
      <w:pPr>
        <w:pStyle w:val="Textoindependiente"/>
        <w:spacing w:before="240" w:beforeAutospacing="0" w:after="0" w:afterAutospacing="0"/>
        <w:ind w:left="709" w:right="709"/>
        <w:jc w:val="both"/>
        <w:rPr>
          <w:rFonts w:ascii="Arial" w:hAnsi="Arial" w:cs="Arial"/>
          <w:sz w:val="21"/>
          <w:szCs w:val="21"/>
          <w:lang w:val="es-ES_tradnl"/>
        </w:rPr>
      </w:pPr>
      <w:r w:rsidRPr="00FB5F23">
        <w:rPr>
          <w:rFonts w:ascii="Arial" w:hAnsi="Arial" w:cs="Arial"/>
          <w:sz w:val="21"/>
          <w:szCs w:val="21"/>
          <w:lang w:val="es-ES_tradnl"/>
        </w:rPr>
        <w:t xml:space="preserve">Lo expuesto evidencia que, en general, las interpretaciones en torno a los </w:t>
      </w:r>
      <w:r w:rsidRPr="00FB5F23">
        <w:rPr>
          <w:rFonts w:ascii="Arial" w:hAnsi="Arial" w:cs="Arial"/>
          <w:i/>
          <w:sz w:val="21"/>
          <w:szCs w:val="21"/>
          <w:lang w:val="es-ES_tradnl"/>
        </w:rPr>
        <w:t>“convenios interadministrativos”</w:t>
      </w:r>
      <w:r w:rsidRPr="00FB5F23">
        <w:rPr>
          <w:rFonts w:ascii="Arial" w:hAnsi="Arial" w:cs="Arial"/>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FB5F23">
        <w:rPr>
          <w:rStyle w:val="Refdenotaalpie"/>
          <w:rFonts w:ascii="Arial" w:hAnsi="Arial" w:cs="Arial"/>
          <w:sz w:val="21"/>
          <w:szCs w:val="21"/>
          <w:lang w:val="es-ES_tradnl"/>
        </w:rPr>
        <w:footnoteReference w:id="30"/>
      </w:r>
      <w:r w:rsidRPr="00FB5F23">
        <w:rPr>
          <w:rStyle w:val="Refdenotaalpie"/>
          <w:rFonts w:ascii="Arial" w:hAnsi="Arial" w:cs="Arial"/>
          <w:sz w:val="21"/>
          <w:szCs w:val="21"/>
          <w:lang w:val="es-ES_tradnl"/>
        </w:rPr>
        <w:footnoteReference w:id="31"/>
      </w:r>
      <w:r w:rsidRPr="00FB5F23">
        <w:rPr>
          <w:rFonts w:ascii="Arial" w:hAnsi="Arial" w:cs="Arial"/>
          <w:sz w:val="21"/>
          <w:szCs w:val="21"/>
          <w:lang w:val="es-ES_tradnl"/>
        </w:rPr>
        <w:t>.</w:t>
      </w:r>
    </w:p>
    <w:p w14:paraId="71D39AA4" w14:textId="77777777" w:rsidR="004F362E" w:rsidRPr="00FB5F23" w:rsidRDefault="004F362E" w:rsidP="008E426F">
      <w:pPr>
        <w:pStyle w:val="Textoindependiente"/>
        <w:spacing w:before="0" w:beforeAutospacing="0" w:after="0" w:afterAutospacing="0"/>
        <w:ind w:left="709" w:right="709"/>
        <w:jc w:val="both"/>
        <w:rPr>
          <w:rFonts w:ascii="Arial" w:hAnsi="Arial" w:cs="Arial"/>
          <w:sz w:val="21"/>
          <w:szCs w:val="21"/>
        </w:rPr>
      </w:pPr>
    </w:p>
    <w:p w14:paraId="20038203" w14:textId="77777777" w:rsidR="009E4795" w:rsidRPr="00E359EB" w:rsidRDefault="009E4795" w:rsidP="008E426F">
      <w:pPr>
        <w:pStyle w:val="Textoindependiente"/>
        <w:spacing w:before="0" w:beforeAutospacing="0" w:after="0" w:afterAutospacing="0" w:line="276" w:lineRule="auto"/>
        <w:jc w:val="both"/>
        <w:rPr>
          <w:rFonts w:ascii="Arial" w:hAnsi="Arial" w:cs="Arial"/>
          <w:sz w:val="22"/>
          <w:szCs w:val="22"/>
        </w:rPr>
      </w:pPr>
      <w:r w:rsidRPr="00FB5F23">
        <w:rPr>
          <w:rFonts w:ascii="Arial" w:hAnsi="Arial" w:cs="Arial"/>
        </w:rPr>
        <w:tab/>
      </w:r>
      <w:r w:rsidRPr="00E359EB">
        <w:rPr>
          <w:rFonts w:ascii="Arial" w:hAnsi="Arial" w:cs="Arial"/>
          <w:sz w:val="22"/>
          <w:szCs w:val="22"/>
        </w:rPr>
        <w:t>Vale la pena reiterar que el legislador y el ordenamiento jurídico, en general, en distintas ocasiones utiliza de forma indistinta los conceptos de contrato o convenio para referirse a la misma institución jurídica</w:t>
      </w:r>
      <w:r w:rsidRPr="00E359EB">
        <w:rPr>
          <w:rStyle w:val="Refdenotaalpie"/>
          <w:rFonts w:ascii="Arial" w:hAnsi="Arial" w:cs="Arial"/>
          <w:sz w:val="22"/>
          <w:szCs w:val="22"/>
        </w:rPr>
        <w:footnoteReference w:id="32"/>
      </w:r>
      <w:r w:rsidRPr="00E359EB">
        <w:rPr>
          <w:rFonts w:ascii="Arial" w:hAnsi="Arial" w:cs="Arial"/>
          <w:sz w:val="22"/>
          <w:szCs w:val="22"/>
        </w:rPr>
        <w:t>. Incluso, la Corte Constitucional fundamenta la posibilidad de celebrar convenios interadministrativos de forma directa, con fundamento en la causal establecida en la Ley 1150 de 2007 respecto a los contratos interadministrativos</w:t>
      </w:r>
      <w:r w:rsidRPr="00E359EB">
        <w:rPr>
          <w:rStyle w:val="Refdenotaalpie"/>
          <w:rFonts w:ascii="Arial" w:hAnsi="Arial" w:cs="Arial"/>
          <w:sz w:val="22"/>
          <w:szCs w:val="22"/>
        </w:rPr>
        <w:footnoteReference w:id="33"/>
      </w:r>
      <w:r w:rsidRPr="00E359EB">
        <w:rPr>
          <w:rFonts w:ascii="Arial" w:hAnsi="Arial" w:cs="Arial"/>
          <w:sz w:val="22"/>
          <w:szCs w:val="22"/>
        </w:rPr>
        <w:t>.</w:t>
      </w:r>
    </w:p>
    <w:p w14:paraId="419F7A0B" w14:textId="455C8AE9" w:rsidR="009E4795" w:rsidRDefault="009E4795">
      <w:pPr>
        <w:pStyle w:val="Textoindependiente"/>
        <w:spacing w:before="120" w:beforeAutospacing="0" w:after="0" w:afterAutospacing="0" w:line="276" w:lineRule="auto"/>
        <w:jc w:val="both"/>
        <w:rPr>
          <w:rFonts w:ascii="Arial" w:hAnsi="Arial" w:cs="Arial"/>
          <w:sz w:val="22"/>
          <w:szCs w:val="22"/>
        </w:rPr>
      </w:pPr>
      <w:r w:rsidRPr="00E359EB">
        <w:rPr>
          <w:rFonts w:ascii="Arial" w:hAnsi="Arial" w:cs="Arial"/>
          <w:sz w:val="22"/>
          <w:szCs w:val="22"/>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0A49D58E" w14:textId="77777777" w:rsidR="004F362E" w:rsidRPr="00E359EB" w:rsidRDefault="004F362E" w:rsidP="008E426F">
      <w:pPr>
        <w:pStyle w:val="Textoindependiente"/>
        <w:spacing w:before="0" w:beforeAutospacing="0" w:after="0" w:afterAutospacing="0" w:line="276" w:lineRule="auto"/>
        <w:jc w:val="both"/>
        <w:rPr>
          <w:rFonts w:ascii="Arial" w:hAnsi="Arial" w:cs="Arial"/>
          <w:sz w:val="22"/>
          <w:szCs w:val="22"/>
        </w:rPr>
      </w:pPr>
    </w:p>
    <w:p w14:paraId="1E19C061" w14:textId="77777777" w:rsidR="009E4795" w:rsidRPr="00FB5F23" w:rsidRDefault="009E4795" w:rsidP="008E426F">
      <w:pPr>
        <w:ind w:left="709" w:right="709"/>
        <w:jc w:val="both"/>
        <w:rPr>
          <w:rFonts w:ascii="Arial" w:hAnsi="Arial" w:cs="Arial"/>
          <w:sz w:val="21"/>
          <w:szCs w:val="21"/>
        </w:rPr>
      </w:pPr>
      <w:r w:rsidRPr="00FB5F23">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FB5F23">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5CF60E8C" w14:textId="77777777" w:rsidR="009E4795" w:rsidRPr="00FB5F23" w:rsidRDefault="009E4795" w:rsidP="008E426F">
      <w:pPr>
        <w:spacing w:before="240"/>
        <w:ind w:left="709" w:right="709"/>
        <w:jc w:val="both"/>
        <w:rPr>
          <w:rFonts w:ascii="Arial" w:hAnsi="Arial" w:cs="Arial"/>
          <w:sz w:val="21"/>
          <w:szCs w:val="21"/>
        </w:rPr>
      </w:pPr>
      <w:r w:rsidRPr="00FB5F23">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698EB5F" w14:textId="77777777" w:rsidR="009E4795" w:rsidRPr="00FB5F23" w:rsidRDefault="009E4795" w:rsidP="008E426F">
      <w:pPr>
        <w:spacing w:before="240"/>
        <w:ind w:left="709" w:right="709"/>
        <w:jc w:val="both"/>
        <w:rPr>
          <w:rFonts w:ascii="Arial" w:hAnsi="Arial" w:cs="Arial"/>
        </w:rPr>
      </w:pPr>
      <w:r w:rsidRPr="00FB5F23">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138A858A" w14:textId="77777777" w:rsidR="009E4795" w:rsidRPr="00E359EB" w:rsidRDefault="009E4795" w:rsidP="008E426F">
      <w:pPr>
        <w:pStyle w:val="Textoindependiente"/>
        <w:spacing w:before="120" w:beforeAutospacing="0" w:after="0" w:afterAutospacing="0" w:line="276" w:lineRule="auto"/>
        <w:jc w:val="both"/>
        <w:rPr>
          <w:rFonts w:ascii="Arial" w:eastAsia="Calibri" w:hAnsi="Arial" w:cs="Arial"/>
          <w:bCs/>
          <w:sz w:val="22"/>
          <w:szCs w:val="22"/>
        </w:rPr>
      </w:pPr>
      <w:r w:rsidRPr="00FB5F23">
        <w:rPr>
          <w:rFonts w:ascii="Arial" w:hAnsi="Arial" w:cs="Arial"/>
          <w:sz w:val="25"/>
        </w:rPr>
        <w:tab/>
      </w:r>
      <w:r w:rsidRPr="00E359EB">
        <w:rPr>
          <w:rFonts w:ascii="Arial" w:hAnsi="Arial" w:cs="Arial"/>
          <w:sz w:val="22"/>
          <w:szCs w:val="22"/>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41"/>
    </w:p>
    <w:p w14:paraId="4431B36F" w14:textId="77777777" w:rsidR="009E4795" w:rsidRPr="004F362E" w:rsidRDefault="009E4795" w:rsidP="008E426F">
      <w:pPr>
        <w:tabs>
          <w:tab w:val="left" w:pos="426"/>
        </w:tabs>
        <w:spacing w:before="120" w:line="276" w:lineRule="auto"/>
        <w:ind w:firstLine="709"/>
        <w:jc w:val="both"/>
        <w:rPr>
          <w:rFonts w:ascii="Arial" w:hAnsi="Arial" w:cs="Arial"/>
          <w:bCs/>
          <w:sz w:val="22"/>
          <w:szCs w:val="22"/>
          <w:lang w:eastAsia="es-CO"/>
        </w:rPr>
      </w:pPr>
      <w:r w:rsidRPr="004F362E">
        <w:rPr>
          <w:rFonts w:ascii="Arial" w:hAnsi="Arial" w:cs="Arial"/>
          <w:bCs/>
          <w:sz w:val="22"/>
          <w:szCs w:val="22"/>
          <w:lang w:eastAsia="es-CO"/>
        </w:rPr>
        <w:lastRenderedPageBreak/>
        <w:t>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ibidem,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8E426F">
        <w:rPr>
          <w:rFonts w:ascii="Arial" w:hAnsi="Arial" w:cs="Arial"/>
          <w:sz w:val="22"/>
          <w:szCs w:val="22"/>
          <w:vertAlign w:val="superscript"/>
        </w:rPr>
        <w:footnoteReference w:id="34"/>
      </w:r>
      <w:r w:rsidRPr="008E426F">
        <w:rPr>
          <w:rFonts w:ascii="Arial" w:hAnsi="Arial" w:cs="Arial"/>
          <w:bCs/>
          <w:sz w:val="22"/>
          <w:szCs w:val="22"/>
          <w:vertAlign w:val="superscript"/>
          <w:lang w:eastAsia="es-CO"/>
        </w:rPr>
        <w:t>.</w:t>
      </w:r>
      <w:r w:rsidRPr="004F362E">
        <w:rPr>
          <w:rFonts w:ascii="Arial" w:hAnsi="Arial" w:cs="Arial"/>
          <w:bCs/>
          <w:sz w:val="22"/>
          <w:szCs w:val="22"/>
          <w:lang w:eastAsia="es-CO"/>
        </w:rPr>
        <w:t xml:space="preserve"> </w:t>
      </w:r>
    </w:p>
    <w:p w14:paraId="41BD7AEC" w14:textId="0C049599" w:rsidR="009E4795" w:rsidRDefault="009E4795" w:rsidP="004F362E">
      <w:pPr>
        <w:pStyle w:val="Textoindependiente"/>
        <w:spacing w:before="120" w:beforeAutospacing="0" w:after="0" w:afterAutospacing="0" w:line="276" w:lineRule="auto"/>
        <w:ind w:firstLine="709"/>
        <w:jc w:val="both"/>
        <w:rPr>
          <w:rFonts w:ascii="Arial" w:eastAsia="Calibri" w:hAnsi="Arial" w:cs="Arial"/>
          <w:sz w:val="22"/>
          <w:szCs w:val="22"/>
        </w:rPr>
      </w:pPr>
      <w:r w:rsidRPr="008E426F">
        <w:rPr>
          <w:rFonts w:ascii="Arial" w:hAnsi="Arial" w:cs="Arial"/>
          <w:bCs/>
          <w:sz w:val="22"/>
          <w:szCs w:val="22"/>
        </w:rPr>
        <w:t>En todo caso</w:t>
      </w:r>
      <w:bookmarkStart w:id="42" w:name="_Hlk77154098"/>
      <w:r w:rsidRPr="008E426F">
        <w:rPr>
          <w:rFonts w:ascii="Arial" w:hAnsi="Arial" w:cs="Arial"/>
          <w:bCs/>
          <w:sz w:val="22"/>
          <w:szCs w:val="22"/>
        </w:rPr>
        <w:t xml:space="preserve">, es importante resaltar que la Sala de Consulta y Servicio Civil del Consejo de Estado se ha pronunciado en el sentido de que </w:t>
      </w:r>
      <w:bookmarkStart w:id="43" w:name="_Hlk78820889"/>
      <w:r w:rsidRPr="008E426F">
        <w:rPr>
          <w:rFonts w:ascii="Arial" w:hAnsi="Arial" w:cs="Arial"/>
          <w:bCs/>
          <w:sz w:val="22"/>
          <w:szCs w:val="22"/>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43"/>
      <w:r w:rsidRPr="008E426F">
        <w:rPr>
          <w:rStyle w:val="Refdenotaalpie"/>
          <w:rFonts w:ascii="Arial" w:hAnsi="Arial" w:cs="Arial"/>
          <w:sz w:val="22"/>
          <w:szCs w:val="22"/>
        </w:rPr>
        <w:footnoteReference w:id="35"/>
      </w:r>
      <w:r w:rsidRPr="008E426F">
        <w:rPr>
          <w:rFonts w:ascii="Arial" w:eastAsia="Calibri" w:hAnsi="Arial" w:cs="Arial"/>
          <w:sz w:val="22"/>
          <w:szCs w:val="22"/>
        </w:rPr>
        <w:t>.</w:t>
      </w:r>
      <w:bookmarkEnd w:id="42"/>
    </w:p>
    <w:p w14:paraId="26EBB732" w14:textId="77777777" w:rsidR="00D169FC" w:rsidRPr="008E426F" w:rsidRDefault="00D169FC" w:rsidP="008E426F">
      <w:pPr>
        <w:pStyle w:val="Textoindependiente"/>
        <w:spacing w:before="0" w:beforeAutospacing="0" w:after="0" w:afterAutospacing="0" w:line="276" w:lineRule="auto"/>
        <w:ind w:firstLine="709"/>
        <w:jc w:val="both"/>
        <w:rPr>
          <w:rFonts w:ascii="Arial" w:eastAsia="Calibri" w:hAnsi="Arial" w:cs="Arial"/>
          <w:sz w:val="22"/>
          <w:szCs w:val="22"/>
        </w:rPr>
      </w:pPr>
    </w:p>
    <w:bookmarkEnd w:id="7"/>
    <w:bookmarkEnd w:id="38"/>
    <w:p w14:paraId="0B5723FA" w14:textId="30C22BC8" w:rsidR="00C32018" w:rsidRDefault="00E54365" w:rsidP="008E426F">
      <w:pPr>
        <w:spacing w:line="276" w:lineRule="auto"/>
        <w:rPr>
          <w:rFonts w:ascii="Arial" w:eastAsia="Calibri" w:hAnsi="Arial" w:cs="Arial"/>
          <w:b/>
          <w:noProof/>
          <w:color w:val="161616" w:themeColor="background1" w:themeShade="1A"/>
          <w:sz w:val="22"/>
          <w:szCs w:val="22"/>
          <w:lang w:val="es-ES_tradnl"/>
        </w:rPr>
      </w:pPr>
      <w:r w:rsidRPr="00691AAC">
        <w:rPr>
          <w:rFonts w:ascii="Arial" w:eastAsia="Calibri" w:hAnsi="Arial" w:cs="Arial"/>
          <w:b/>
          <w:noProof/>
          <w:color w:val="161616" w:themeColor="background1" w:themeShade="1A"/>
          <w:sz w:val="22"/>
          <w:szCs w:val="22"/>
          <w:lang w:val="es-ES_tradnl"/>
        </w:rPr>
        <w:t>3. Respuesta</w:t>
      </w:r>
    </w:p>
    <w:p w14:paraId="241677A4" w14:textId="77777777" w:rsidR="00D169FC" w:rsidRPr="00691AAC" w:rsidRDefault="00D169FC" w:rsidP="008E426F">
      <w:pPr>
        <w:rPr>
          <w:rFonts w:ascii="Arial" w:eastAsia="Calibri" w:hAnsi="Arial" w:cs="Arial"/>
          <w:b/>
          <w:noProof/>
          <w:color w:val="161616" w:themeColor="background1" w:themeShade="1A"/>
          <w:sz w:val="22"/>
          <w:szCs w:val="22"/>
          <w:lang w:val="es-ES_tradnl"/>
        </w:rPr>
      </w:pPr>
    </w:p>
    <w:p w14:paraId="518F7798" w14:textId="12E2E507" w:rsidR="00466F10" w:rsidRDefault="00F03776" w:rsidP="008E426F">
      <w:pPr>
        <w:ind w:left="709" w:right="709"/>
        <w:jc w:val="both"/>
        <w:rPr>
          <w:rFonts w:ascii="Arial" w:hAnsi="Arial" w:cs="Arial"/>
          <w:color w:val="161616" w:themeColor="background1" w:themeShade="1A"/>
          <w:sz w:val="21"/>
          <w:szCs w:val="21"/>
          <w:lang w:val="es-ES_tradnl"/>
        </w:rPr>
      </w:pPr>
      <w:r w:rsidRPr="006165B4">
        <w:rPr>
          <w:rFonts w:ascii="Arial" w:hAnsi="Arial" w:cs="Arial"/>
          <w:color w:val="161616" w:themeColor="background1" w:themeShade="1A"/>
          <w:sz w:val="21"/>
          <w:szCs w:val="21"/>
          <w:lang w:val="es-ES_tradnl"/>
        </w:rPr>
        <w:t>«La presente es para solicitar su colaboración en ampliar el horizonte sobre si es viable jurídicamente la celebración de convenio interadministrativo que no conlleva costo o asignación de presupuesto o un contrato de donación estando en vigencia ley de garantías</w:t>
      </w:r>
      <w:r w:rsidRPr="00691AAC">
        <w:rPr>
          <w:rFonts w:ascii="Arial" w:eastAsia="Arial" w:hAnsi="Arial" w:cs="Arial"/>
          <w:color w:val="161616" w:themeColor="background1" w:themeShade="1A"/>
          <w:sz w:val="22"/>
          <w:szCs w:val="22"/>
          <w:lang w:val="es-ES_tradnl"/>
        </w:rPr>
        <w:t>»</w:t>
      </w:r>
      <w:r w:rsidRPr="006165B4">
        <w:rPr>
          <w:rFonts w:ascii="Arial" w:hAnsi="Arial" w:cs="Arial"/>
          <w:color w:val="161616" w:themeColor="background1" w:themeShade="1A"/>
          <w:sz w:val="21"/>
          <w:szCs w:val="21"/>
          <w:lang w:val="es-ES_tradnl"/>
        </w:rPr>
        <w:t xml:space="preserve"> […]</w:t>
      </w:r>
    </w:p>
    <w:p w14:paraId="2578F0CC" w14:textId="77777777" w:rsidR="00DE5EEB" w:rsidRDefault="00DE5EEB" w:rsidP="008E426F">
      <w:pPr>
        <w:ind w:left="709" w:right="709"/>
        <w:jc w:val="both"/>
        <w:rPr>
          <w:rFonts w:ascii="Arial" w:hAnsi="Arial" w:cs="Arial"/>
          <w:color w:val="161616" w:themeColor="background1" w:themeShade="1A"/>
          <w:sz w:val="21"/>
          <w:szCs w:val="21"/>
          <w:lang w:val="es-ES_tradnl"/>
        </w:rPr>
      </w:pPr>
    </w:p>
    <w:p w14:paraId="2DD1148E" w14:textId="4E03DAA8" w:rsidR="004F362E" w:rsidRPr="000D75DD" w:rsidRDefault="004F362E" w:rsidP="00D81FDB">
      <w:pPr>
        <w:spacing w:after="120" w:line="276" w:lineRule="auto"/>
        <w:jc w:val="both"/>
        <w:rPr>
          <w:rFonts w:ascii="Arial" w:eastAsia="Calibri" w:hAnsi="Arial" w:cs="Arial"/>
          <w:sz w:val="22"/>
        </w:rPr>
      </w:pPr>
      <w:r w:rsidRPr="000D75DD">
        <w:rPr>
          <w:rFonts w:ascii="Arial" w:eastAsia="Calibri" w:hAnsi="Arial" w:cs="Arial"/>
          <w:sz w:val="22"/>
        </w:rPr>
        <w:t>Conforme a lo expuesto, el artículo 33 de la Ley 996 de 2005 establece una restricción en atención a la cual,</w:t>
      </w:r>
      <w:r w:rsidRPr="000D75DD">
        <w:rPr>
          <w:rFonts w:ascii="Arial" w:hAnsi="Arial" w:cs="Arial"/>
          <w:sz w:val="25"/>
          <w:szCs w:val="25"/>
          <w:shd w:val="clear" w:color="auto" w:fill="FFFFFF"/>
        </w:rPr>
        <w:t xml:space="preserve"> </w:t>
      </w:r>
      <w:r w:rsidRPr="000D75DD">
        <w:rPr>
          <w:rFonts w:ascii="Arial" w:eastAsia="Calibri" w:hAnsi="Arial" w:cs="Arial"/>
          <w:sz w:val="22"/>
        </w:rPr>
        <w:t>durante los cuatro meses anteriores a la elección presidencial y hasta la realización de la elección en la segunda vuelta, si fuere el caso, está prohibida la contratación directa</w:t>
      </w:r>
      <w:r w:rsidR="003D3046">
        <w:rPr>
          <w:rFonts w:ascii="Arial" w:eastAsia="Calibri" w:hAnsi="Arial" w:cs="Arial"/>
          <w:sz w:val="22"/>
        </w:rPr>
        <w:t xml:space="preserve"> </w:t>
      </w:r>
      <w:r w:rsidRPr="000D75DD">
        <w:rPr>
          <w:rFonts w:ascii="Arial" w:eastAsia="Calibri" w:hAnsi="Arial" w:cs="Arial"/>
          <w:sz w:val="22"/>
        </w:rPr>
        <w:t>p</w:t>
      </w:r>
      <w:r w:rsidR="003D3046">
        <w:rPr>
          <w:rFonts w:ascii="Arial" w:eastAsia="Calibri" w:hAnsi="Arial" w:cs="Arial"/>
          <w:sz w:val="22"/>
        </w:rPr>
        <w:t>a</w:t>
      </w:r>
      <w:r w:rsidRPr="000D75DD">
        <w:rPr>
          <w:rFonts w:ascii="Arial" w:eastAsia="Calibri" w:hAnsi="Arial" w:cs="Arial"/>
          <w:sz w:val="22"/>
        </w:rPr>
        <w:t>r</w:t>
      </w:r>
      <w:r w:rsidR="003D3046">
        <w:rPr>
          <w:rFonts w:ascii="Arial" w:eastAsia="Calibri" w:hAnsi="Arial" w:cs="Arial"/>
          <w:sz w:val="22"/>
        </w:rPr>
        <w:t>a</w:t>
      </w:r>
      <w:r w:rsidRPr="000D75DD">
        <w:rPr>
          <w:rFonts w:ascii="Arial" w:eastAsia="Calibri" w:hAnsi="Arial" w:cs="Arial"/>
          <w:sz w:val="22"/>
        </w:rPr>
        <w:t xml:space="preserve"> parte de todos las Entidades Estatales</w:t>
      </w:r>
      <w:r w:rsidR="003D3046">
        <w:rPr>
          <w:rFonts w:ascii="Arial" w:eastAsia="Calibri" w:hAnsi="Arial" w:cs="Arial"/>
          <w:sz w:val="22"/>
        </w:rPr>
        <w:t>, prohibición que no está condicionada a que se ejecuten o no recursos públicos en</w:t>
      </w:r>
      <w:r w:rsidR="00504AA5">
        <w:rPr>
          <w:rFonts w:ascii="Arial" w:eastAsia="Calibri" w:hAnsi="Arial" w:cs="Arial"/>
          <w:sz w:val="22"/>
        </w:rPr>
        <w:t xml:space="preserve"> el marco de los correspondientes contratos</w:t>
      </w:r>
      <w:r w:rsidRPr="000D75DD">
        <w:rPr>
          <w:rFonts w:ascii="Arial" w:eastAsia="Calibri" w:hAnsi="Arial" w:cs="Arial"/>
          <w:sz w:val="22"/>
        </w:rPr>
        <w:t>. Esto implica que, la celebración de contratos o convenios interadministrativos, cuya selección se adelante a través de contratación directa, está prohibida durante el período de aplicación de esta restricción</w:t>
      </w:r>
      <w:r w:rsidR="000B254E">
        <w:rPr>
          <w:rFonts w:ascii="Arial" w:eastAsia="Calibri" w:hAnsi="Arial" w:cs="Arial"/>
          <w:sz w:val="22"/>
        </w:rPr>
        <w:t xml:space="preserve">, independientemente de que </w:t>
      </w:r>
      <w:r w:rsidR="00416E7E">
        <w:rPr>
          <w:rFonts w:ascii="Arial" w:eastAsia="Calibri" w:hAnsi="Arial" w:cs="Arial"/>
          <w:sz w:val="22"/>
        </w:rPr>
        <w:t>pretenda</w:t>
      </w:r>
      <w:r w:rsidR="000B254E">
        <w:rPr>
          <w:rFonts w:ascii="Arial" w:eastAsia="Calibri" w:hAnsi="Arial" w:cs="Arial"/>
          <w:sz w:val="22"/>
        </w:rPr>
        <w:t xml:space="preserve"> ejecut</w:t>
      </w:r>
      <w:r w:rsidR="00416E7E">
        <w:rPr>
          <w:rFonts w:ascii="Arial" w:eastAsia="Calibri" w:hAnsi="Arial" w:cs="Arial"/>
          <w:sz w:val="22"/>
        </w:rPr>
        <w:t>ar o no</w:t>
      </w:r>
      <w:r w:rsidR="000B254E">
        <w:rPr>
          <w:rFonts w:ascii="Arial" w:eastAsia="Calibri" w:hAnsi="Arial" w:cs="Arial"/>
          <w:sz w:val="22"/>
        </w:rPr>
        <w:t xml:space="preserve"> recursos públicos </w:t>
      </w:r>
      <w:r w:rsidR="00416E7E">
        <w:rPr>
          <w:rFonts w:ascii="Arial" w:eastAsia="Calibri" w:hAnsi="Arial" w:cs="Arial"/>
          <w:sz w:val="22"/>
        </w:rPr>
        <w:t xml:space="preserve">en el marco de los correspondientes contratos. </w:t>
      </w:r>
    </w:p>
    <w:p w14:paraId="74BBB7FE" w14:textId="608E7119" w:rsidR="00D54B55" w:rsidRDefault="00D54B55" w:rsidP="00AF6C46">
      <w:pPr>
        <w:spacing w:before="240" w:line="276" w:lineRule="auto"/>
        <w:ind w:firstLine="708"/>
        <w:jc w:val="both"/>
        <w:rPr>
          <w:rFonts w:ascii="Arial" w:hAnsi="Arial" w:cs="Arial"/>
          <w:bCs/>
          <w:sz w:val="22"/>
          <w:szCs w:val="22"/>
          <w:lang w:val="es-ES_tradnl" w:eastAsia="es-CO"/>
        </w:rPr>
      </w:pPr>
      <w:bookmarkStart w:id="44" w:name="_Hlk50986665"/>
      <w:bookmarkStart w:id="45" w:name="_Hlk52766744"/>
      <w:r w:rsidRPr="000005C3">
        <w:rPr>
          <w:rFonts w:ascii="Arial" w:eastAsia="Calibri" w:hAnsi="Arial" w:cs="Arial"/>
          <w:bCs/>
          <w:color w:val="000000" w:themeColor="text1"/>
          <w:sz w:val="22"/>
          <w:lang w:val="es-ES_tradnl"/>
        </w:rPr>
        <w:lastRenderedPageBreak/>
        <w:t>Sin perjuicio de lo anterior, el inciso segundo de dicha disposición establece algunas excepciones a esta prohibición, en los siguientes términos: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33EE2493" w14:textId="4D17BE6A" w:rsidR="001218B7" w:rsidRDefault="00CB0F85" w:rsidP="008E426F">
      <w:pPr>
        <w:spacing w:before="120" w:line="276" w:lineRule="auto"/>
        <w:ind w:firstLine="709"/>
        <w:jc w:val="both"/>
        <w:rPr>
          <w:rFonts w:ascii="Arial" w:eastAsia="Arial" w:hAnsi="Arial" w:cs="Arial"/>
          <w:color w:val="161616" w:themeColor="background1" w:themeShade="1A"/>
          <w:sz w:val="22"/>
          <w:szCs w:val="22"/>
          <w:lang w:val="es-ES_tradnl"/>
        </w:rPr>
      </w:pPr>
      <w:r w:rsidRPr="00691AAC">
        <w:rPr>
          <w:rFonts w:ascii="Arial" w:hAnsi="Arial" w:cs="Arial"/>
          <w:bCs/>
          <w:sz w:val="22"/>
          <w:szCs w:val="22"/>
          <w:lang w:val="es-ES_tradnl" w:eastAsia="es-CO"/>
        </w:rPr>
        <w:t xml:space="preserve">En todo caso, corresponde a cada entidad estatal realizar el correspondiente análisis para determinar si aplica o no una determinada excepción de acuerdo con la situación fáctica y jurídica particular del caso concreto, para lo cual las consideraciones expuestas en el presente concepto constituyen un instrumento orientador. </w:t>
      </w:r>
      <w:r w:rsidR="00F64376" w:rsidRPr="00691AAC">
        <w:rPr>
          <w:rFonts w:ascii="Arial" w:hAnsi="Arial" w:cs="Arial"/>
          <w:bCs/>
          <w:sz w:val="22"/>
          <w:szCs w:val="22"/>
          <w:lang w:val="es-ES_tradnl" w:eastAsia="es-CO"/>
        </w:rPr>
        <w:t>De</w:t>
      </w:r>
      <w:r w:rsidRPr="00691AAC">
        <w:rPr>
          <w:rFonts w:ascii="Arial" w:hAnsi="Arial" w:cs="Arial"/>
          <w:bCs/>
          <w:sz w:val="22"/>
          <w:szCs w:val="22"/>
          <w:lang w:val="es-ES_tradnl" w:eastAsia="es-CO"/>
        </w:rPr>
        <w:t xml:space="preserve"> encontrar</w:t>
      </w:r>
      <w:r w:rsidR="00F64376" w:rsidRPr="00691AAC">
        <w:rPr>
          <w:rFonts w:ascii="Arial" w:hAnsi="Arial" w:cs="Arial"/>
          <w:bCs/>
          <w:sz w:val="22"/>
          <w:szCs w:val="22"/>
          <w:lang w:val="es-ES_tradnl" w:eastAsia="es-CO"/>
        </w:rPr>
        <w:t>se</w:t>
      </w:r>
      <w:r w:rsidRPr="00691AAC">
        <w:rPr>
          <w:rFonts w:ascii="Arial" w:hAnsi="Arial" w:cs="Arial"/>
          <w:bCs/>
          <w:sz w:val="22"/>
          <w:szCs w:val="22"/>
          <w:lang w:val="es-ES_tradnl" w:eastAsia="es-CO"/>
        </w:rPr>
        <w:t xml:space="preserve"> procedente </w:t>
      </w:r>
      <w:r w:rsidR="00BF66C2">
        <w:rPr>
          <w:rFonts w:ascii="Arial" w:hAnsi="Arial" w:cs="Arial"/>
          <w:bCs/>
          <w:sz w:val="22"/>
          <w:szCs w:val="22"/>
          <w:lang w:val="es-ES_tradnl" w:eastAsia="es-CO"/>
        </w:rPr>
        <w:t xml:space="preserve">una </w:t>
      </w:r>
      <w:r w:rsidRPr="00691AAC">
        <w:rPr>
          <w:rFonts w:ascii="Arial" w:hAnsi="Arial" w:cs="Arial"/>
          <w:bCs/>
          <w:sz w:val="22"/>
          <w:szCs w:val="22"/>
          <w:lang w:val="es-ES_tradnl" w:eastAsia="es-CO"/>
        </w:rPr>
        <w:t>excepción</w:t>
      </w:r>
      <w:r w:rsidR="00BF66C2">
        <w:rPr>
          <w:rFonts w:ascii="Arial" w:hAnsi="Arial" w:cs="Arial"/>
          <w:bCs/>
          <w:sz w:val="22"/>
          <w:szCs w:val="22"/>
          <w:lang w:val="es-ES_tradnl" w:eastAsia="es-CO"/>
        </w:rPr>
        <w:t xml:space="preserve"> a la restricción</w:t>
      </w:r>
      <w:r w:rsidR="002908F2" w:rsidRPr="002908F2">
        <w:t xml:space="preserve"> </w:t>
      </w:r>
      <w:r w:rsidR="002908F2" w:rsidRPr="002908F2">
        <w:rPr>
          <w:rFonts w:ascii="Arial" w:hAnsi="Arial" w:cs="Arial"/>
          <w:bCs/>
          <w:sz w:val="22"/>
          <w:szCs w:val="22"/>
          <w:lang w:val="es-ES_tradnl" w:eastAsia="es-CO"/>
        </w:rPr>
        <w:t>a la contratación pública</w:t>
      </w:r>
      <w:r w:rsidR="002908F2">
        <w:rPr>
          <w:rFonts w:ascii="Arial" w:hAnsi="Arial" w:cs="Arial"/>
          <w:bCs/>
          <w:sz w:val="22"/>
          <w:szCs w:val="22"/>
          <w:lang w:val="es-ES_tradnl" w:eastAsia="es-CO"/>
        </w:rPr>
        <w:t xml:space="preserve"> de las previstas en el artículo 33 de la </w:t>
      </w:r>
      <w:r w:rsidR="002908F2" w:rsidRPr="00D86474">
        <w:rPr>
          <w:rFonts w:ascii="Arial" w:eastAsia="Arial" w:hAnsi="Arial" w:cs="Arial"/>
          <w:color w:val="161616" w:themeColor="background1" w:themeShade="1A"/>
          <w:sz w:val="22"/>
          <w:szCs w:val="22"/>
          <w:lang w:val="es-ES_tradnl"/>
        </w:rPr>
        <w:t>Ley de Garantías Electorales</w:t>
      </w:r>
      <w:r w:rsidR="00C073B7">
        <w:rPr>
          <w:rFonts w:ascii="Arial" w:eastAsia="Arial" w:hAnsi="Arial" w:cs="Arial"/>
          <w:color w:val="161616" w:themeColor="background1" w:themeShade="1A"/>
          <w:sz w:val="22"/>
          <w:szCs w:val="22"/>
          <w:lang w:val="es-ES_tradnl"/>
        </w:rPr>
        <w:t xml:space="preserve">, </w:t>
      </w:r>
      <w:r w:rsidRPr="00691AAC">
        <w:rPr>
          <w:rFonts w:ascii="Arial" w:hAnsi="Arial" w:cs="Arial"/>
          <w:bCs/>
          <w:sz w:val="22"/>
          <w:szCs w:val="22"/>
          <w:lang w:val="es-ES_tradnl" w:eastAsia="es-CO"/>
        </w:rPr>
        <w:t xml:space="preserve">podrá la entidad realizar la contratación directa, dejando constancia de las razones que justifican su </w:t>
      </w:r>
      <w:r w:rsidR="00F64376" w:rsidRPr="00691AAC">
        <w:rPr>
          <w:rFonts w:ascii="Arial" w:hAnsi="Arial" w:cs="Arial"/>
          <w:bCs/>
          <w:sz w:val="22"/>
          <w:szCs w:val="22"/>
          <w:lang w:val="es-ES_tradnl" w:eastAsia="es-CO"/>
        </w:rPr>
        <w:t>viabilidad</w:t>
      </w:r>
      <w:r w:rsidRPr="00691AAC">
        <w:rPr>
          <w:rFonts w:ascii="Arial" w:hAnsi="Arial" w:cs="Arial"/>
          <w:bCs/>
          <w:sz w:val="22"/>
          <w:szCs w:val="22"/>
          <w:lang w:val="es-ES_tradnl" w:eastAsia="es-CO"/>
        </w:rPr>
        <w:t xml:space="preserve"> a pesar de la restricción. Por el </w:t>
      </w:r>
      <w:r w:rsidR="00691AAC" w:rsidRPr="00691AAC">
        <w:rPr>
          <w:rFonts w:ascii="Arial" w:hAnsi="Arial" w:cs="Arial"/>
          <w:bCs/>
          <w:sz w:val="22"/>
          <w:szCs w:val="22"/>
          <w:lang w:val="es-ES_tradnl" w:eastAsia="es-CO"/>
        </w:rPr>
        <w:t>contrario,</w:t>
      </w:r>
      <w:r w:rsidR="00F64376" w:rsidRPr="00691AAC">
        <w:rPr>
          <w:rFonts w:ascii="Arial" w:hAnsi="Arial" w:cs="Arial"/>
          <w:bCs/>
          <w:sz w:val="22"/>
          <w:szCs w:val="22"/>
          <w:lang w:val="es-ES_tradnl" w:eastAsia="es-CO"/>
        </w:rPr>
        <w:t xml:space="preserve"> </w:t>
      </w:r>
      <w:r w:rsidRPr="00691AAC">
        <w:rPr>
          <w:rFonts w:ascii="Arial" w:hAnsi="Arial" w:cs="Arial"/>
          <w:bCs/>
          <w:sz w:val="22"/>
          <w:szCs w:val="22"/>
          <w:lang w:val="es-ES_tradnl" w:eastAsia="es-CO"/>
        </w:rPr>
        <w:t xml:space="preserve">si el estudio determina que no aplica excepción alguna, deberá abstenerse la respectiva entidad de </w:t>
      </w:r>
      <w:r w:rsidR="00C073B7">
        <w:rPr>
          <w:rFonts w:ascii="Arial" w:hAnsi="Arial" w:cs="Arial"/>
          <w:bCs/>
          <w:sz w:val="22"/>
          <w:szCs w:val="22"/>
          <w:lang w:val="es-ES_tradnl" w:eastAsia="es-CO"/>
        </w:rPr>
        <w:t xml:space="preserve">acudir a la contratación directa, </w:t>
      </w:r>
      <w:r w:rsidRPr="00691AAC">
        <w:rPr>
          <w:rFonts w:ascii="Arial" w:hAnsi="Arial" w:cs="Arial"/>
          <w:bCs/>
          <w:sz w:val="22"/>
          <w:szCs w:val="22"/>
          <w:lang w:val="es-ES_tradnl" w:eastAsia="es-CO"/>
        </w:rPr>
        <w:t>pero bien podrá acudir a los procesos competitivos que resulten procedentes, los cuales no se encuentran restringidos por el artículo 33 de la Ley 996 de 2005.</w:t>
      </w:r>
      <w:r w:rsidR="00A568F2" w:rsidRPr="00691AAC">
        <w:rPr>
          <w:rFonts w:ascii="Arial" w:hAnsi="Arial" w:cs="Arial"/>
          <w:bCs/>
          <w:sz w:val="22"/>
          <w:szCs w:val="22"/>
          <w:lang w:val="es-ES_tradnl" w:eastAsia="es-CO"/>
        </w:rPr>
        <w:t xml:space="preserve"> Por demás se advierte que, </w:t>
      </w:r>
      <w:r w:rsidR="006421F8" w:rsidRPr="00691AAC">
        <w:rPr>
          <w:rFonts w:ascii="Arial" w:hAnsi="Arial" w:cs="Arial"/>
          <w:bCs/>
          <w:sz w:val="22"/>
          <w:szCs w:val="22"/>
          <w:lang w:val="es-ES_tradnl" w:eastAsia="es-CO"/>
        </w:rPr>
        <w:t xml:space="preserve">los límites de </w:t>
      </w:r>
      <w:r w:rsidR="00A568F2" w:rsidRPr="00691AAC">
        <w:rPr>
          <w:rFonts w:ascii="Arial" w:eastAsia="Arial" w:hAnsi="Arial" w:cs="Arial"/>
          <w:color w:val="161616" w:themeColor="background1" w:themeShade="1A"/>
          <w:sz w:val="22"/>
          <w:szCs w:val="22"/>
          <w:lang w:val="es-ES_tradnl"/>
        </w:rPr>
        <w:t xml:space="preserve">la competencia consultiva atribuida por los </w:t>
      </w:r>
      <w:r w:rsidR="00D93661" w:rsidRPr="00691AAC">
        <w:rPr>
          <w:rFonts w:ascii="Arial" w:eastAsia="Arial" w:hAnsi="Arial" w:cs="Arial"/>
          <w:color w:val="161616" w:themeColor="background1" w:themeShade="1A"/>
          <w:sz w:val="22"/>
          <w:szCs w:val="22"/>
          <w:lang w:val="es-ES_tradnl"/>
        </w:rPr>
        <w:t xml:space="preserve">artículos 3, numeral 5, 11, numeral 8, 12, numeral 6, y 13, numeral 4, del Decreto 4170 de 2011, </w:t>
      </w:r>
      <w:r w:rsidR="006421F8" w:rsidRPr="00691AAC">
        <w:rPr>
          <w:rFonts w:ascii="Arial" w:eastAsia="Arial" w:hAnsi="Arial" w:cs="Arial"/>
          <w:color w:val="161616" w:themeColor="background1" w:themeShade="1A"/>
          <w:sz w:val="22"/>
          <w:szCs w:val="22"/>
          <w:lang w:val="es-ES_tradnl"/>
        </w:rPr>
        <w:t xml:space="preserve">no le permiten a esta Agencia </w:t>
      </w:r>
      <w:r w:rsidR="00691AAC">
        <w:rPr>
          <w:rFonts w:ascii="Arial" w:eastAsia="Arial" w:hAnsi="Arial" w:cs="Arial"/>
          <w:color w:val="161616" w:themeColor="background1" w:themeShade="1A"/>
          <w:sz w:val="22"/>
          <w:szCs w:val="22"/>
          <w:lang w:val="es-ES_tradnl"/>
        </w:rPr>
        <w:t xml:space="preserve">establecer </w:t>
      </w:r>
      <w:r w:rsidR="006421F8" w:rsidRPr="00691AAC">
        <w:rPr>
          <w:rFonts w:ascii="Arial" w:eastAsia="Arial" w:hAnsi="Arial" w:cs="Arial"/>
          <w:color w:val="161616" w:themeColor="background1" w:themeShade="1A"/>
          <w:sz w:val="22"/>
          <w:szCs w:val="22"/>
          <w:lang w:val="es-ES_tradnl"/>
        </w:rPr>
        <w:t>que contratos puede o no celebrar un</w:t>
      </w:r>
      <w:r w:rsidR="00691AAC">
        <w:rPr>
          <w:rFonts w:ascii="Arial" w:eastAsia="Arial" w:hAnsi="Arial" w:cs="Arial"/>
          <w:color w:val="161616" w:themeColor="background1" w:themeShade="1A"/>
          <w:sz w:val="22"/>
          <w:szCs w:val="22"/>
          <w:lang w:val="es-ES_tradnl"/>
        </w:rPr>
        <w:t>a</w:t>
      </w:r>
      <w:r w:rsidR="006421F8" w:rsidRPr="00691AAC">
        <w:rPr>
          <w:rFonts w:ascii="Arial" w:eastAsia="Arial" w:hAnsi="Arial" w:cs="Arial"/>
          <w:color w:val="161616" w:themeColor="background1" w:themeShade="1A"/>
          <w:sz w:val="22"/>
          <w:szCs w:val="22"/>
          <w:lang w:val="es-ES_tradnl"/>
        </w:rPr>
        <w:t xml:space="preserve"> entidad pública</w:t>
      </w:r>
      <w:r w:rsidR="00691AAC">
        <w:rPr>
          <w:rFonts w:ascii="Arial" w:eastAsia="Arial" w:hAnsi="Arial" w:cs="Arial"/>
          <w:color w:val="161616" w:themeColor="background1" w:themeShade="1A"/>
          <w:sz w:val="22"/>
          <w:szCs w:val="22"/>
          <w:lang w:val="es-ES_tradnl"/>
        </w:rPr>
        <w:t xml:space="preserve"> en el marco de su gestión contractual</w:t>
      </w:r>
      <w:r w:rsidR="006421F8" w:rsidRPr="00691AAC">
        <w:rPr>
          <w:rFonts w:ascii="Arial" w:eastAsia="Arial" w:hAnsi="Arial" w:cs="Arial"/>
          <w:color w:val="161616" w:themeColor="background1" w:themeShade="1A"/>
          <w:sz w:val="22"/>
          <w:szCs w:val="22"/>
          <w:lang w:val="es-ES_tradnl"/>
        </w:rPr>
        <w:t xml:space="preserve">. </w:t>
      </w:r>
    </w:p>
    <w:p w14:paraId="78532118" w14:textId="77777777" w:rsidR="00C516B0" w:rsidRPr="00691AAC" w:rsidRDefault="00C516B0" w:rsidP="00AF6C46">
      <w:pPr>
        <w:spacing w:before="240" w:line="300" w:lineRule="auto"/>
        <w:jc w:val="both"/>
        <w:rPr>
          <w:rFonts w:ascii="Arial" w:eastAsia="Arial" w:hAnsi="Arial" w:cs="Arial"/>
          <w:color w:val="161616" w:themeColor="background1" w:themeShade="1A"/>
          <w:sz w:val="22"/>
          <w:szCs w:val="22"/>
          <w:lang w:val="es-ES_tradnl"/>
        </w:rPr>
      </w:pPr>
      <w:r w:rsidRPr="00691AAC">
        <w:rPr>
          <w:rFonts w:ascii="Arial" w:eastAsia="Arial" w:hAnsi="Arial" w:cs="Arial"/>
          <w:color w:val="161616" w:themeColor="background1" w:themeShade="1A"/>
          <w:sz w:val="22"/>
          <w:szCs w:val="22"/>
          <w:lang w:val="es-ES_tradnl"/>
        </w:rPr>
        <w:t>Este concepto tiene el alcance previsto en el artículo 28 del Código de Procedimiento Administrativo y de lo Contencioso Administrativo.</w:t>
      </w:r>
    </w:p>
    <w:p w14:paraId="73353508" w14:textId="2995CBEC" w:rsidR="00EE6A82" w:rsidRPr="00691AAC" w:rsidRDefault="00EE6A82" w:rsidP="001F21B5">
      <w:pPr>
        <w:spacing w:before="120" w:line="300" w:lineRule="auto"/>
        <w:jc w:val="both"/>
        <w:rPr>
          <w:rFonts w:ascii="Arial" w:hAnsi="Arial" w:cs="Arial"/>
          <w:color w:val="161616" w:themeColor="background1" w:themeShade="1A"/>
          <w:sz w:val="22"/>
          <w:szCs w:val="22"/>
          <w:lang w:val="es-ES_tradnl" w:eastAsia="es-CO"/>
        </w:rPr>
      </w:pPr>
      <w:r w:rsidRPr="00691AAC">
        <w:rPr>
          <w:rFonts w:ascii="Arial" w:hAnsi="Arial" w:cs="Arial"/>
          <w:color w:val="161616" w:themeColor="background1" w:themeShade="1A"/>
          <w:sz w:val="22"/>
          <w:szCs w:val="22"/>
          <w:lang w:val="es-ES_tradnl" w:eastAsia="es-CO"/>
        </w:rPr>
        <w:t>Atentamente,</w:t>
      </w:r>
    </w:p>
    <w:bookmarkEnd w:id="6"/>
    <w:bookmarkEnd w:id="44"/>
    <w:bookmarkEnd w:id="45"/>
    <w:p w14:paraId="2C71DAF5" w14:textId="368DA934" w:rsidR="00A54C12" w:rsidRDefault="00490F72" w:rsidP="00F46BC5">
      <w:r w:rsidRPr="00570FD2">
        <w:rPr>
          <w:rFonts w:ascii="Arial" w:hAnsi="Arial" w:cs="Arial"/>
          <w:noProof/>
          <w:color w:val="000000" w:themeColor="text1"/>
          <w:sz w:val="22"/>
          <w:lang w:eastAsia="es-CO"/>
        </w:rPr>
        <w:drawing>
          <wp:anchor distT="0" distB="0" distL="114300" distR="114300" simplePos="0" relativeHeight="251659264" behindDoc="0" locked="0" layoutInCell="1" allowOverlap="1" wp14:anchorId="23B8AB09" wp14:editId="7CC98B63">
            <wp:simplePos x="0" y="0"/>
            <wp:positionH relativeFrom="margin">
              <wp:posOffset>1455088</wp:posOffset>
            </wp:positionH>
            <wp:positionV relativeFrom="paragraph">
              <wp:posOffset>39784</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2F395714" w14:textId="161173A1" w:rsidR="00F46BC5" w:rsidRDefault="00F46BC5" w:rsidP="00F46BC5"/>
    <w:p w14:paraId="184C8F65" w14:textId="4C25CDE3" w:rsidR="00F46BC5" w:rsidRDefault="00F46BC5" w:rsidP="00F46BC5"/>
    <w:p w14:paraId="72BCF453" w14:textId="77777777" w:rsidR="00490F72" w:rsidRDefault="00490F72" w:rsidP="00F46BC5"/>
    <w:p w14:paraId="61586025" w14:textId="166D4DC0" w:rsidR="00F46BC5" w:rsidRDefault="00F46BC5" w:rsidP="00F46BC5"/>
    <w:p w14:paraId="7A4C7E36" w14:textId="77777777" w:rsidR="00F46BC5" w:rsidRDefault="00F46BC5" w:rsidP="00F46BC5"/>
    <w:tbl>
      <w:tblPr>
        <w:tblStyle w:val="Tablaconcuadrcula1"/>
        <w:tblpPr w:leftFromText="141" w:rightFromText="141" w:vertAnchor="text" w:horzAnchor="margin"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F46BC5" w:rsidRPr="000005C3" w14:paraId="24665DDA" w14:textId="77777777" w:rsidTr="00F46BC5">
        <w:trPr>
          <w:trHeight w:val="286"/>
        </w:trPr>
        <w:tc>
          <w:tcPr>
            <w:tcW w:w="817" w:type="dxa"/>
            <w:vAlign w:val="center"/>
          </w:tcPr>
          <w:p w14:paraId="16F35EB4" w14:textId="77777777" w:rsidR="00F46BC5" w:rsidRPr="005B36AD" w:rsidRDefault="00F46BC5" w:rsidP="00F46BC5">
            <w:pPr>
              <w:rPr>
                <w:rFonts w:ascii="Arial" w:hAnsi="Arial" w:cs="Arial"/>
                <w:sz w:val="16"/>
                <w:szCs w:val="16"/>
                <w:lang w:eastAsia="es-ES"/>
              </w:rPr>
            </w:pPr>
            <w:r w:rsidRPr="005B36AD">
              <w:rPr>
                <w:rFonts w:ascii="Arial" w:hAnsi="Arial" w:cs="Arial"/>
                <w:sz w:val="16"/>
                <w:szCs w:val="16"/>
                <w:lang w:eastAsia="es-ES"/>
              </w:rPr>
              <w:t>Elaboró:</w:t>
            </w:r>
          </w:p>
        </w:tc>
        <w:tc>
          <w:tcPr>
            <w:tcW w:w="4445" w:type="dxa"/>
            <w:tcBorders>
              <w:bottom w:val="dotted" w:sz="4" w:space="0" w:color="7F7F7F"/>
            </w:tcBorders>
            <w:vAlign w:val="center"/>
          </w:tcPr>
          <w:p w14:paraId="1184EF31" w14:textId="77777777" w:rsidR="00F46BC5" w:rsidRPr="005B36AD" w:rsidRDefault="00F46BC5" w:rsidP="00F46BC5">
            <w:pPr>
              <w:rPr>
                <w:rFonts w:ascii="Arial" w:hAnsi="Arial" w:cs="Arial"/>
                <w:sz w:val="16"/>
                <w:szCs w:val="16"/>
                <w:lang w:eastAsia="es-ES"/>
              </w:rPr>
            </w:pPr>
            <w:r w:rsidRPr="005B36AD">
              <w:rPr>
                <w:rFonts w:ascii="Arial" w:hAnsi="Arial" w:cs="Arial"/>
                <w:sz w:val="16"/>
                <w:szCs w:val="16"/>
                <w:lang w:eastAsia="es-ES"/>
              </w:rPr>
              <w:t xml:space="preserve">Diana Fabiola Herrera Hernández </w:t>
            </w:r>
          </w:p>
          <w:p w14:paraId="33D8EF70" w14:textId="77777777" w:rsidR="00F46BC5" w:rsidRPr="005B36AD" w:rsidRDefault="00F46BC5" w:rsidP="00F46BC5">
            <w:pPr>
              <w:rPr>
                <w:rFonts w:ascii="Arial" w:hAnsi="Arial" w:cs="Arial"/>
                <w:sz w:val="16"/>
                <w:szCs w:val="16"/>
                <w:lang w:eastAsia="es-ES"/>
              </w:rPr>
            </w:pPr>
            <w:r w:rsidRPr="005B36AD">
              <w:rPr>
                <w:rFonts w:ascii="Arial" w:hAnsi="Arial" w:cs="Arial"/>
                <w:sz w:val="16"/>
                <w:szCs w:val="16"/>
                <w:lang w:eastAsia="es-ES"/>
              </w:rPr>
              <w:t>Contratista de la Subdirección de Gestión Contractual</w:t>
            </w:r>
          </w:p>
        </w:tc>
      </w:tr>
      <w:tr w:rsidR="00F46BC5" w:rsidRPr="000005C3" w14:paraId="7F19BA4E" w14:textId="77777777" w:rsidTr="00F46BC5">
        <w:trPr>
          <w:trHeight w:val="299"/>
        </w:trPr>
        <w:tc>
          <w:tcPr>
            <w:tcW w:w="817" w:type="dxa"/>
            <w:vAlign w:val="center"/>
          </w:tcPr>
          <w:p w14:paraId="062B3696" w14:textId="77777777" w:rsidR="00F46BC5" w:rsidRPr="005B36AD" w:rsidRDefault="00F46BC5" w:rsidP="00F46BC5">
            <w:pPr>
              <w:rPr>
                <w:rFonts w:ascii="Arial" w:hAnsi="Arial" w:cs="Arial"/>
                <w:sz w:val="16"/>
                <w:szCs w:val="16"/>
                <w:lang w:eastAsia="es-ES"/>
              </w:rPr>
            </w:pPr>
            <w:r w:rsidRPr="005B36AD">
              <w:rPr>
                <w:rFonts w:ascii="Arial" w:hAnsi="Arial" w:cs="Arial"/>
                <w:sz w:val="16"/>
                <w:szCs w:val="16"/>
                <w:lang w:eastAsia="es-ES"/>
              </w:rPr>
              <w:lastRenderedPageBreak/>
              <w:t>Revisó:</w:t>
            </w:r>
          </w:p>
        </w:tc>
        <w:tc>
          <w:tcPr>
            <w:tcW w:w="4445" w:type="dxa"/>
            <w:tcBorders>
              <w:top w:val="dotted" w:sz="4" w:space="0" w:color="7F7F7F"/>
              <w:bottom w:val="dotted" w:sz="4" w:space="0" w:color="7F7F7F"/>
            </w:tcBorders>
            <w:vAlign w:val="center"/>
          </w:tcPr>
          <w:p w14:paraId="42D9C96C" w14:textId="77777777" w:rsidR="00F46BC5" w:rsidRPr="00691AAC" w:rsidRDefault="00F46BC5" w:rsidP="00F46BC5">
            <w:pPr>
              <w:rPr>
                <w:rFonts w:ascii="Arial" w:hAnsi="Arial" w:cs="Arial"/>
                <w:sz w:val="16"/>
                <w:szCs w:val="16"/>
                <w:lang w:eastAsia="es-ES"/>
              </w:rPr>
            </w:pPr>
            <w:r w:rsidRPr="00691AAC">
              <w:rPr>
                <w:rFonts w:ascii="Arial" w:hAnsi="Arial" w:cs="Arial"/>
                <w:sz w:val="16"/>
                <w:szCs w:val="16"/>
                <w:lang w:eastAsia="es-ES"/>
              </w:rPr>
              <w:t>Alejandro Sarmiento Cantillo</w:t>
            </w:r>
          </w:p>
          <w:p w14:paraId="3810FF2A" w14:textId="77777777" w:rsidR="00F46BC5" w:rsidRPr="005B36AD" w:rsidRDefault="00F46BC5" w:rsidP="00F46BC5">
            <w:pPr>
              <w:rPr>
                <w:rFonts w:ascii="Arial" w:hAnsi="Arial" w:cs="Arial"/>
                <w:sz w:val="16"/>
                <w:szCs w:val="16"/>
                <w:lang w:eastAsia="es-ES"/>
              </w:rPr>
            </w:pPr>
            <w:r w:rsidRPr="00691AAC">
              <w:rPr>
                <w:rFonts w:ascii="Arial" w:hAnsi="Arial" w:cs="Arial"/>
                <w:sz w:val="16"/>
                <w:szCs w:val="16"/>
                <w:lang w:eastAsia="es-ES"/>
              </w:rPr>
              <w:t>Gestor T1-15 de la Subdirección de Gestión Contractual</w:t>
            </w:r>
          </w:p>
        </w:tc>
      </w:tr>
      <w:tr w:rsidR="00F46BC5" w:rsidRPr="000005C3" w14:paraId="4474C1FF" w14:textId="77777777" w:rsidTr="00F46BC5">
        <w:trPr>
          <w:trHeight w:val="272"/>
        </w:trPr>
        <w:tc>
          <w:tcPr>
            <w:tcW w:w="817" w:type="dxa"/>
            <w:vAlign w:val="center"/>
          </w:tcPr>
          <w:p w14:paraId="190D508D" w14:textId="77777777" w:rsidR="00F46BC5" w:rsidRPr="005B36AD" w:rsidRDefault="00F46BC5" w:rsidP="00F46BC5">
            <w:pPr>
              <w:rPr>
                <w:rFonts w:ascii="Arial" w:hAnsi="Arial" w:cs="Arial"/>
                <w:sz w:val="16"/>
                <w:szCs w:val="16"/>
                <w:lang w:eastAsia="es-ES"/>
              </w:rPr>
            </w:pPr>
            <w:r w:rsidRPr="005B36AD">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2ED801C6" w14:textId="77777777" w:rsidR="00F46BC5" w:rsidRPr="005B36AD" w:rsidRDefault="00F46BC5" w:rsidP="00F46BC5">
            <w:pPr>
              <w:rPr>
                <w:rFonts w:ascii="Arial" w:hAnsi="Arial" w:cs="Arial"/>
                <w:sz w:val="16"/>
                <w:szCs w:val="16"/>
                <w:lang w:eastAsia="es-ES"/>
              </w:rPr>
            </w:pPr>
            <w:r w:rsidRPr="005B36AD">
              <w:rPr>
                <w:rFonts w:ascii="Arial" w:hAnsi="Arial" w:cs="Arial"/>
                <w:sz w:val="16"/>
                <w:szCs w:val="16"/>
                <w:lang w:eastAsia="es-ES"/>
              </w:rPr>
              <w:t>Jorge Augusto Tirado Navarro</w:t>
            </w:r>
          </w:p>
          <w:p w14:paraId="2FC8C686" w14:textId="77777777" w:rsidR="00F46BC5" w:rsidRPr="005B36AD" w:rsidRDefault="00F46BC5" w:rsidP="00F46BC5">
            <w:pPr>
              <w:rPr>
                <w:rFonts w:ascii="Arial" w:hAnsi="Arial" w:cs="Arial"/>
                <w:sz w:val="16"/>
                <w:szCs w:val="16"/>
                <w:lang w:eastAsia="es-ES"/>
              </w:rPr>
            </w:pPr>
            <w:r w:rsidRPr="005B36AD">
              <w:rPr>
                <w:rFonts w:ascii="Arial" w:hAnsi="Arial" w:cs="Arial"/>
                <w:sz w:val="16"/>
                <w:szCs w:val="16"/>
                <w:lang w:eastAsia="es-ES"/>
              </w:rPr>
              <w:t>Subdirector de Gestión Contractual ANCP – CCE</w:t>
            </w:r>
          </w:p>
        </w:tc>
      </w:tr>
    </w:tbl>
    <w:p w14:paraId="51D9980D" w14:textId="77777777" w:rsidR="00A54C12" w:rsidRDefault="00A54C12" w:rsidP="00A54C12">
      <w:pPr>
        <w:jc w:val="center"/>
      </w:pPr>
    </w:p>
    <w:p w14:paraId="73145765" w14:textId="77777777" w:rsidR="00A54C12" w:rsidRDefault="00A54C12" w:rsidP="00F46BC5"/>
    <w:p w14:paraId="46A2D6C9" w14:textId="77777777" w:rsidR="00123BE2" w:rsidRPr="00691AAC" w:rsidRDefault="00123BE2" w:rsidP="00A54C12">
      <w:pPr>
        <w:jc w:val="center"/>
        <w:rPr>
          <w:rFonts w:ascii="Arial" w:hAnsi="Arial" w:cs="Arial"/>
          <w:color w:val="161616" w:themeColor="background1" w:themeShade="1A"/>
          <w:sz w:val="22"/>
          <w:szCs w:val="22"/>
          <w:lang w:val="es-ES_tradnl"/>
        </w:rPr>
      </w:pPr>
    </w:p>
    <w:sectPr w:rsidR="00123BE2" w:rsidRPr="00691AAC"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A880" w14:textId="77777777" w:rsidR="007D1296" w:rsidRDefault="007D1296">
      <w:r>
        <w:separator/>
      </w:r>
    </w:p>
  </w:endnote>
  <w:endnote w:type="continuationSeparator" w:id="0">
    <w:p w14:paraId="0C623C5A" w14:textId="77777777" w:rsidR="007D1296" w:rsidRDefault="007D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90F7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90F72">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p w14:paraId="0CDE2B47" w14:textId="77777777" w:rsidR="002C1436" w:rsidRDefault="002C1436"/>
  <w:p w14:paraId="42B6726D" w14:textId="77777777" w:rsidR="002C1436" w:rsidRDefault="002C1436"/>
  <w:p w14:paraId="18C28E3D" w14:textId="77777777" w:rsidR="002C1436" w:rsidRDefault="002C1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E524" w14:textId="77777777" w:rsidR="007D1296" w:rsidRDefault="007D1296">
      <w:r>
        <w:separator/>
      </w:r>
    </w:p>
  </w:footnote>
  <w:footnote w:type="continuationSeparator" w:id="0">
    <w:p w14:paraId="61D7443F" w14:textId="77777777" w:rsidR="007D1296" w:rsidRDefault="007D1296">
      <w:r>
        <w:continuationSeparator/>
      </w:r>
    </w:p>
  </w:footnote>
  <w:footnote w:id="1">
    <w:p w14:paraId="10FA3736" w14:textId="5E20058D" w:rsidR="0032144D" w:rsidRPr="007C3ED7" w:rsidRDefault="0032144D" w:rsidP="007C3ED7">
      <w:pPr>
        <w:pStyle w:val="Textonotapie"/>
        <w:spacing w:before="0" w:after="0" w:line="240" w:lineRule="auto"/>
        <w:ind w:firstLine="709"/>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C3ED7">
        <w:rPr>
          <w:rFonts w:ascii="Arial" w:hAnsi="Arial" w:cs="Arial"/>
          <w:i/>
          <w:iCs/>
          <w:sz w:val="12"/>
          <w:szCs w:val="12"/>
        </w:rPr>
        <w:t xml:space="preserve">ibidem </w:t>
      </w:r>
      <w:r w:rsidRPr="007C3ED7">
        <w:rPr>
          <w:rFonts w:ascii="Arial" w:hAnsi="Arial" w:cs="Arial"/>
          <w:sz w:val="12"/>
          <w:szCs w:val="12"/>
        </w:rPr>
        <w:t>señala, de manera precisa, las funciones de Colombia Compra Eficiente. Concretamente, el numeral 5º de este artículo establece que le corresponde a esta entidad: «[a]</w:t>
      </w:r>
      <w:proofErr w:type="spellStart"/>
      <w:r w:rsidRPr="007C3ED7">
        <w:rPr>
          <w:rFonts w:ascii="Arial" w:hAnsi="Arial" w:cs="Arial"/>
          <w:sz w:val="12"/>
          <w:szCs w:val="12"/>
        </w:rPr>
        <w:t>bsolver</w:t>
      </w:r>
      <w:proofErr w:type="spellEnd"/>
      <w:r w:rsidRPr="007C3ED7">
        <w:rPr>
          <w:rFonts w:ascii="Arial" w:hAnsi="Arial" w:cs="Arial"/>
          <w:sz w:val="12"/>
          <w:szCs w:val="12"/>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7C3ED7">
        <w:rPr>
          <w:rFonts w:ascii="Arial" w:hAnsi="Arial" w:cs="Arial"/>
          <w:sz w:val="12"/>
          <w:szCs w:val="12"/>
        </w:rPr>
        <w:t>bsolver</w:t>
      </w:r>
      <w:proofErr w:type="spellEnd"/>
      <w:r w:rsidRPr="007C3ED7">
        <w:rPr>
          <w:rFonts w:ascii="Arial" w:hAnsi="Arial" w:cs="Arial"/>
          <w:sz w:val="12"/>
          <w:szCs w:val="12"/>
        </w:rPr>
        <w:t xml:space="preserve"> consultas sobre la aplicación de normas de carácter general».</w:t>
      </w:r>
    </w:p>
  </w:footnote>
  <w:footnote w:id="2">
    <w:p w14:paraId="3A666D33" w14:textId="77777777" w:rsidR="00B40486" w:rsidRPr="007C3ED7" w:rsidRDefault="00B40486" w:rsidP="007C3ED7">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eastAsia="Arial" w:hAnsi="Arial" w:cs="Arial"/>
          <w:color w:val="000000" w:themeColor="text1"/>
          <w:sz w:val="12"/>
          <w:szCs w:val="12"/>
        </w:rPr>
        <w:t xml:space="preserve"> El artículo 127 de la Constitución Política señala</w:t>
      </w:r>
      <w:bookmarkStart w:id="8" w:name="_Hlk98878101"/>
      <w:r w:rsidRPr="007C3ED7">
        <w:rPr>
          <w:rFonts w:ascii="Arial" w:eastAsia="Arial" w:hAnsi="Arial" w:cs="Arial"/>
          <w:color w:val="000000" w:themeColor="text1"/>
          <w:sz w:val="12"/>
          <w:szCs w:val="12"/>
        </w:rPr>
        <w:t xml:space="preserve">: «Los servidores públicos no podrán celebrar, por si o por interpuesta persona, o en representación de otro, contrato alguno con entidades públicas o con personas privadas que manejen o administren recursos públicos, salvo las excepciones legales. </w:t>
      </w:r>
    </w:p>
    <w:p w14:paraId="48F938ED" w14:textId="2CBBA8AF" w:rsidR="008A2523" w:rsidRPr="007C3ED7" w:rsidRDefault="00B40486" w:rsidP="00D67FEE">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Fonts w:ascii="Arial" w:eastAsia="Arial" w:hAnsi="Arial" w:cs="Arial"/>
          <w:color w:val="000000" w:themeColor="text1"/>
          <w:sz w:val="12"/>
          <w:szCs w:val="12"/>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bookmarkEnd w:id="8"/>
    </w:p>
  </w:footnote>
  <w:footnote w:id="3">
    <w:p w14:paraId="492AD70D" w14:textId="77777777" w:rsidR="00B40486" w:rsidRPr="007C3ED7" w:rsidRDefault="00B40486" w:rsidP="007C3ED7">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w:t>
      </w:r>
      <w:r w:rsidRPr="007C3ED7">
        <w:rPr>
          <w:rFonts w:ascii="Arial" w:eastAsia="Arial" w:hAnsi="Arial" w:cs="Arial"/>
          <w:color w:val="000000" w:themeColor="text1"/>
          <w:sz w:val="12"/>
          <w:szCs w:val="12"/>
        </w:rPr>
        <w:t>Gaceta del Congreso de la República No. 71 del 2005.</w:t>
      </w:r>
    </w:p>
  </w:footnote>
  <w:footnote w:id="4">
    <w:p w14:paraId="0B88EFBB" w14:textId="1C09B604" w:rsidR="00B40486" w:rsidRPr="007C3ED7" w:rsidRDefault="00B40486" w:rsidP="007C3ED7">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eastAsia="Arial" w:hAnsi="Arial" w:cs="Arial"/>
          <w:color w:val="000000" w:themeColor="text1"/>
          <w:sz w:val="12"/>
          <w:szCs w:val="12"/>
        </w:rPr>
        <w:t xml:space="preserve"> Corte Constitucional, Sentencia C- 1153 de 2005, M.P. Marco Gerardo Monroy Cabra.</w:t>
      </w:r>
    </w:p>
  </w:footnote>
  <w:footnote w:id="5">
    <w:p w14:paraId="557BE719" w14:textId="36431186" w:rsidR="008A2523" w:rsidRPr="007C3ED7" w:rsidRDefault="00B40486" w:rsidP="00D67FEE">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eastAsia="Arial" w:hAnsi="Arial" w:cs="Arial"/>
          <w:color w:val="000000" w:themeColor="text1"/>
          <w:sz w:val="12"/>
          <w:szCs w:val="12"/>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58F0D704" w14:textId="46041440" w:rsidR="008A2523" w:rsidRPr="007C3ED7" w:rsidRDefault="00B40486" w:rsidP="00D67FEE">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eastAsia="Arial" w:hAnsi="Arial" w:cs="Arial"/>
          <w:color w:val="000000" w:themeColor="text1"/>
          <w:sz w:val="12"/>
          <w:szCs w:val="12"/>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1B14F01F" w14:textId="2589BB89" w:rsidR="004F362E" w:rsidRPr="007C3ED7" w:rsidRDefault="00B40486" w:rsidP="00D67FEE">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eastAsia="Arial" w:hAnsi="Arial" w:cs="Arial"/>
          <w:color w:val="000000" w:themeColor="text1"/>
          <w:sz w:val="12"/>
          <w:szCs w:val="12"/>
        </w:rPr>
        <w:t xml:space="preserve"> Consejo de Estado, Sala de Consulta y Servicio Civil de fecha 24 de julio de 2013, radicado 2166, Consejero Ponente: Álvaro </w:t>
      </w:r>
      <w:proofErr w:type="spellStart"/>
      <w:r w:rsidRPr="007C3ED7">
        <w:rPr>
          <w:rFonts w:ascii="Arial" w:eastAsia="Arial" w:hAnsi="Arial" w:cs="Arial"/>
          <w:color w:val="000000" w:themeColor="text1"/>
          <w:sz w:val="12"/>
          <w:szCs w:val="12"/>
        </w:rPr>
        <w:t>Namén</w:t>
      </w:r>
      <w:proofErr w:type="spellEnd"/>
      <w:r w:rsidRPr="007C3ED7">
        <w:rPr>
          <w:rFonts w:ascii="Arial" w:eastAsia="Arial" w:hAnsi="Arial" w:cs="Arial"/>
          <w:color w:val="000000" w:themeColor="text1"/>
          <w:sz w:val="12"/>
          <w:szCs w:val="12"/>
        </w:rPr>
        <w:t xml:space="preserve"> Vargas.  </w:t>
      </w:r>
    </w:p>
  </w:footnote>
  <w:footnote w:id="8">
    <w:p w14:paraId="2CBFFE8F" w14:textId="77777777" w:rsidR="00B40486" w:rsidRPr="007C3ED7" w:rsidRDefault="00B40486" w:rsidP="007C3ED7">
      <w:pPr>
        <w:ind w:firstLine="709"/>
        <w:jc w:val="both"/>
        <w:rPr>
          <w:rFonts w:ascii="Arial" w:eastAsia="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eastAsia="Arial" w:hAnsi="Arial" w:cs="Arial"/>
          <w:color w:val="000000" w:themeColor="text1"/>
          <w:sz w:val="12"/>
          <w:szCs w:val="12"/>
        </w:rPr>
        <w:t xml:space="preserve"> </w:t>
      </w:r>
      <w:bookmarkStart w:id="11" w:name="qsh70q" w:colFirst="0" w:colLast="0"/>
      <w:bookmarkEnd w:id="11"/>
      <w:r w:rsidRPr="007C3ED7">
        <w:rPr>
          <w:rFonts w:ascii="Arial" w:eastAsia="Arial" w:hAnsi="Arial" w:cs="Arial"/>
          <w:color w:val="000000" w:themeColor="text1"/>
          <w:sz w:val="12"/>
          <w:szCs w:val="12"/>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5C9571FD" w14:textId="77777777" w:rsidR="00B40486" w:rsidRPr="007C3ED7" w:rsidRDefault="00B40486" w:rsidP="007C3ED7">
      <w:pPr>
        <w:ind w:firstLine="709"/>
        <w:jc w:val="both"/>
        <w:rPr>
          <w:rFonts w:ascii="Arial" w:eastAsia="Arial" w:hAnsi="Arial" w:cs="Arial"/>
          <w:color w:val="000000" w:themeColor="text1"/>
          <w:sz w:val="12"/>
          <w:szCs w:val="12"/>
        </w:rPr>
      </w:pPr>
      <w:r w:rsidRPr="007C3ED7">
        <w:rPr>
          <w:rFonts w:ascii="Arial" w:eastAsia="Arial" w:hAnsi="Arial" w:cs="Arial"/>
          <w:color w:val="000000" w:themeColor="text1"/>
          <w:sz w:val="12"/>
          <w:szCs w:val="12"/>
        </w:rP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9">
    <w:p w14:paraId="6C42E008" w14:textId="77777777" w:rsidR="00B40486" w:rsidRPr="007C3ED7" w:rsidRDefault="00B40486" w:rsidP="007C3ED7">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eastAsia="Arial" w:hAnsi="Arial" w:cs="Arial"/>
          <w:color w:val="000000" w:themeColor="text1"/>
          <w:sz w:val="12"/>
          <w:szCs w:val="12"/>
        </w:rPr>
        <w:t xml:space="preserve"> </w:t>
      </w:r>
      <w:bookmarkStart w:id="12" w:name="3as4poj" w:colFirst="0" w:colLast="0"/>
      <w:bookmarkEnd w:id="12"/>
      <w:r w:rsidRPr="007C3ED7">
        <w:rPr>
          <w:rFonts w:ascii="Arial" w:eastAsia="Arial" w:hAnsi="Arial" w:cs="Arial"/>
          <w:color w:val="000000" w:themeColor="text1"/>
          <w:sz w:val="12"/>
          <w:szCs w:val="12"/>
        </w:rPr>
        <w:t>«Artículo 38. Prohibiciones para los servidores públicos. A los empleados del Estado les está prohibido:</w:t>
      </w:r>
    </w:p>
    <w:p w14:paraId="5C998D0A" w14:textId="77777777" w:rsidR="00B40486" w:rsidRPr="007C3ED7" w:rsidRDefault="00B40486" w:rsidP="007C3ED7">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Fonts w:ascii="Arial" w:eastAsia="Arial" w:hAnsi="Arial" w:cs="Arial"/>
          <w:color w:val="000000" w:themeColor="text1"/>
          <w:sz w:val="12"/>
          <w:szCs w:val="12"/>
        </w:rPr>
        <w:t>» […]</w:t>
      </w:r>
    </w:p>
    <w:p w14:paraId="55A6F874" w14:textId="2FEC39E8" w:rsidR="00B40486" w:rsidRPr="007C3ED7" w:rsidRDefault="00B40486" w:rsidP="00D67FEE">
      <w:pPr>
        <w:pBdr>
          <w:top w:val="nil"/>
          <w:left w:val="nil"/>
          <w:bottom w:val="nil"/>
          <w:right w:val="nil"/>
          <w:between w:val="nil"/>
        </w:pBdr>
        <w:ind w:firstLine="709"/>
        <w:jc w:val="both"/>
        <w:rPr>
          <w:rFonts w:ascii="Arial" w:eastAsia="Arial" w:hAnsi="Arial" w:cs="Arial"/>
          <w:color w:val="000000" w:themeColor="text1"/>
          <w:sz w:val="12"/>
          <w:szCs w:val="12"/>
        </w:rPr>
      </w:pPr>
      <w:r w:rsidRPr="007C3ED7">
        <w:rPr>
          <w:rFonts w:ascii="Arial" w:eastAsia="Arial" w:hAnsi="Arial" w:cs="Arial"/>
          <w:color w:val="000000" w:themeColor="text1"/>
          <w:sz w:val="12"/>
          <w:szCs w:val="12"/>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footnote>
  <w:footnote w:id="10">
    <w:p w14:paraId="01966E82" w14:textId="77777777" w:rsidR="00B40486" w:rsidRPr="007C3ED7" w:rsidRDefault="00B40486" w:rsidP="007C3ED7">
      <w:pPr>
        <w:ind w:firstLine="709"/>
        <w:jc w:val="both"/>
        <w:rPr>
          <w:rFonts w:ascii="Arial" w:hAnsi="Arial" w:cs="Arial"/>
          <w:color w:val="161616" w:themeColor="background1" w:themeShade="1A"/>
          <w:sz w:val="12"/>
          <w:szCs w:val="12"/>
          <w:lang w:val="es-ES"/>
        </w:rPr>
      </w:pPr>
      <w:r w:rsidRPr="007C3ED7">
        <w:rPr>
          <w:rStyle w:val="Refdenotaalpie"/>
          <w:rFonts w:ascii="Arial" w:hAnsi="Arial" w:cs="Arial"/>
          <w:sz w:val="12"/>
          <w:szCs w:val="12"/>
        </w:rPr>
        <w:footnoteRef/>
      </w:r>
      <w:r w:rsidRPr="007C3ED7">
        <w:rPr>
          <w:rFonts w:ascii="Arial" w:hAnsi="Arial" w:cs="Arial"/>
          <w:sz w:val="12"/>
          <w:szCs w:val="12"/>
        </w:rPr>
        <w:t xml:space="preserve"> </w:t>
      </w:r>
      <w:r w:rsidRPr="007C3ED7">
        <w:rPr>
          <w:rFonts w:ascii="Arial" w:hAnsi="Arial" w:cs="Arial"/>
          <w:color w:val="161616" w:themeColor="background1" w:themeShade="1A"/>
          <w:sz w:val="12"/>
          <w:szCs w:val="12"/>
          <w:lang w:val="es-ES"/>
        </w:rPr>
        <w:t>«</w:t>
      </w:r>
      <w:r w:rsidRPr="007C3ED7">
        <w:rPr>
          <w:rFonts w:ascii="Arial" w:hAnsi="Arial" w:cs="Arial"/>
          <w:color w:val="161616" w:themeColor="background1" w:themeShade="1A"/>
          <w:sz w:val="12"/>
          <w:szCs w:val="12"/>
          <w:shd w:val="clear" w:color="auto" w:fill="FFFFFF"/>
        </w:rPr>
        <w:t>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La presente disposición modifica únicamente en la parte pertinente el inciso primero del parágrafo del artículo </w:t>
      </w:r>
      <w:hyperlink r:id="rId1" w:anchor="38" w:history="1">
        <w:r w:rsidRPr="007C3ED7">
          <w:rPr>
            <w:rFonts w:ascii="Arial" w:hAnsi="Arial" w:cs="Arial"/>
            <w:color w:val="161616" w:themeColor="background1" w:themeShade="1A"/>
            <w:sz w:val="12"/>
            <w:szCs w:val="12"/>
            <w:shd w:val="clear" w:color="auto" w:fill="FFFFFF"/>
          </w:rPr>
          <w:t>38</w:t>
        </w:r>
      </w:hyperlink>
      <w:r w:rsidRPr="007C3ED7">
        <w:rPr>
          <w:rFonts w:ascii="Arial" w:hAnsi="Arial" w:cs="Arial"/>
          <w:color w:val="161616" w:themeColor="background1" w:themeShade="1A"/>
          <w:sz w:val="12"/>
          <w:szCs w:val="12"/>
          <w:shd w:val="clear" w:color="auto" w:fill="FFFFFF"/>
        </w:rPr>
        <w:t> de la Ley 996 de 2005».</w:t>
      </w:r>
    </w:p>
  </w:footnote>
  <w:footnote w:id="11">
    <w:p w14:paraId="1D80393F" w14:textId="14764988" w:rsidR="00B40486" w:rsidRPr="007C3ED7" w:rsidRDefault="00B40486" w:rsidP="00D67FEE">
      <w:pPr>
        <w:ind w:firstLine="709"/>
        <w:jc w:val="both"/>
        <w:rPr>
          <w:rFonts w:ascii="Arial" w:eastAsia="Arial" w:hAnsi="Arial" w:cs="Arial"/>
          <w:color w:val="000000" w:themeColor="text1"/>
          <w:sz w:val="12"/>
          <w:szCs w:val="12"/>
        </w:rPr>
      </w:pPr>
      <w:r w:rsidRPr="007C3ED7">
        <w:rPr>
          <w:rStyle w:val="Refdenotaalpie"/>
          <w:rFonts w:ascii="Arial" w:hAnsi="Arial" w:cs="Arial"/>
          <w:color w:val="161616" w:themeColor="background1" w:themeShade="1A"/>
          <w:sz w:val="12"/>
          <w:szCs w:val="12"/>
        </w:rPr>
        <w:footnoteRef/>
      </w:r>
      <w:r w:rsidRPr="007C3ED7">
        <w:rPr>
          <w:rFonts w:ascii="Arial" w:eastAsia="Arial" w:hAnsi="Arial" w:cs="Arial"/>
          <w:color w:val="161616" w:themeColor="background1" w:themeShade="1A"/>
          <w:sz w:val="12"/>
          <w:szCs w:val="12"/>
        </w:rPr>
        <w:t xml:space="preserve"> Consejo de Estado. Sala de Consulta y Servicio Civil. Concepto del 17 de febrero de 2015. </w:t>
      </w:r>
      <w:r w:rsidRPr="007C3ED7">
        <w:rPr>
          <w:rFonts w:ascii="Arial" w:eastAsia="Arial" w:hAnsi="Arial" w:cs="Arial"/>
          <w:color w:val="000000" w:themeColor="text1"/>
          <w:sz w:val="12"/>
          <w:szCs w:val="12"/>
        </w:rPr>
        <w:t>C.P. William Zambrano Cetina. Radicación No. 11001-03-06-000-2015-00164-00(2269).</w:t>
      </w:r>
    </w:p>
  </w:footnote>
  <w:footnote w:id="12">
    <w:p w14:paraId="75DA6340" w14:textId="18EFAE7D" w:rsidR="00AA69BC" w:rsidRPr="007C3ED7" w:rsidRDefault="00B40486" w:rsidP="00D67FEE">
      <w:pPr>
        <w:pStyle w:val="Textonotapie"/>
        <w:spacing w:before="0" w:after="0" w:line="240" w:lineRule="auto"/>
        <w:ind w:firstLine="709"/>
        <w:rPr>
          <w:rFonts w:ascii="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hAnsi="Arial" w:cs="Arial"/>
          <w:color w:val="000000" w:themeColor="text1"/>
          <w:sz w:val="12"/>
          <w:szCs w:val="12"/>
        </w:rPr>
        <w:t xml:space="preserve"> </w:t>
      </w:r>
      <w:bookmarkStart w:id="16" w:name="_Hlk74272731"/>
      <w:r w:rsidRPr="007C3ED7">
        <w:rPr>
          <w:rFonts w:ascii="Arial" w:hAnsi="Arial" w:cs="Arial"/>
          <w:color w:val="000000" w:themeColor="text1"/>
          <w:sz w:val="12"/>
          <w:szCs w:val="12"/>
        </w:rPr>
        <w:t>«</w:t>
      </w:r>
      <w:bookmarkEnd w:id="16"/>
      <w:r w:rsidRPr="007C3ED7">
        <w:rPr>
          <w:rFonts w:ascii="Arial" w:hAnsi="Arial" w:cs="Arial"/>
          <w:color w:val="000000" w:themeColor="text1"/>
          <w:sz w:val="12"/>
          <w:szCs w:val="12"/>
          <w:lang w:val="es-ES"/>
        </w:rPr>
        <w:t xml:space="preserve">[25] </w:t>
      </w:r>
      <w:r w:rsidRPr="007C3ED7">
        <w:rPr>
          <w:rFonts w:ascii="Arial" w:hAnsi="Arial" w:cs="Arial"/>
          <w:color w:val="000000" w:themeColor="text1"/>
          <w:sz w:val="12"/>
          <w:szCs w:val="12"/>
        </w:rPr>
        <w:t>Cfr. Consejo de Estado. Sección Tercera. Sentencia de 3 de diciembre de 2007. Radicados: 24.715, 25.206, 25.409, 24.524, 27.834, 25.410, 26.105, 28.244, 31.447 -acumulados-</w:t>
      </w:r>
      <w:bookmarkStart w:id="17" w:name="_Hlk74271358"/>
      <w:r w:rsidRPr="007C3ED7">
        <w:rPr>
          <w:rFonts w:ascii="Arial" w:hAnsi="Arial" w:cs="Arial"/>
          <w:color w:val="000000" w:themeColor="text1"/>
          <w:sz w:val="12"/>
          <w:szCs w:val="12"/>
        </w:rPr>
        <w:t>»</w:t>
      </w:r>
      <w:bookmarkEnd w:id="17"/>
      <w:r w:rsidRPr="007C3ED7">
        <w:rPr>
          <w:rFonts w:ascii="Arial" w:hAnsi="Arial" w:cs="Arial"/>
          <w:color w:val="000000" w:themeColor="text1"/>
          <w:sz w:val="12"/>
          <w:szCs w:val="12"/>
        </w:rPr>
        <w:t>.</w:t>
      </w:r>
    </w:p>
  </w:footnote>
  <w:footnote w:id="13">
    <w:p w14:paraId="03FDBC2E" w14:textId="3E05C136" w:rsidR="008426DA" w:rsidRPr="007C3ED7" w:rsidRDefault="00B40486" w:rsidP="00D67FEE">
      <w:pPr>
        <w:pStyle w:val="Textonotapie"/>
        <w:spacing w:before="0" w:after="0" w:line="240" w:lineRule="auto"/>
        <w:ind w:firstLine="709"/>
        <w:rPr>
          <w:rFonts w:ascii="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hAnsi="Arial" w:cs="Arial"/>
          <w:color w:val="000000" w:themeColor="text1"/>
          <w:sz w:val="12"/>
          <w:szCs w:val="12"/>
        </w:rPr>
        <w:t xml:space="preserve"> </w:t>
      </w:r>
      <w:bookmarkStart w:id="19" w:name="_Hlk74294506"/>
      <w:r w:rsidRPr="007C3ED7">
        <w:rPr>
          <w:rFonts w:ascii="Arial" w:hAnsi="Arial" w:cs="Arial"/>
          <w:color w:val="000000" w:themeColor="text1"/>
          <w:sz w:val="12"/>
          <w:szCs w:val="12"/>
        </w:rPr>
        <w:t>«</w:t>
      </w:r>
      <w:r w:rsidRPr="007C3ED7">
        <w:rPr>
          <w:rFonts w:ascii="Arial" w:hAnsi="Arial" w:cs="Arial"/>
          <w:color w:val="000000" w:themeColor="text1"/>
          <w:sz w:val="12"/>
          <w:szCs w:val="12"/>
          <w:lang w:val="es-ES"/>
        </w:rPr>
        <w:t xml:space="preserve">[26] </w:t>
      </w:r>
      <w:bookmarkEnd w:id="19"/>
      <w:r w:rsidRPr="007C3ED7">
        <w:rPr>
          <w:rFonts w:ascii="Arial" w:hAnsi="Arial" w:cs="Arial"/>
          <w:color w:val="000000" w:themeColor="text1"/>
          <w:sz w:val="12"/>
          <w:szCs w:val="12"/>
        </w:rPr>
        <w:t>Al respecto ver el concepto 1712 de 2 de febrero de 2006. Consejo de Estado Sala de Consulta y Servicio Civil».</w:t>
      </w:r>
    </w:p>
  </w:footnote>
  <w:footnote w:id="14">
    <w:p w14:paraId="43FC9323" w14:textId="77777777" w:rsidR="00B40486" w:rsidRPr="007C3ED7" w:rsidRDefault="00B40486" w:rsidP="007C3ED7">
      <w:pPr>
        <w:pStyle w:val="Textonotapie"/>
        <w:spacing w:before="0" w:after="0" w:line="240" w:lineRule="auto"/>
        <w:ind w:firstLine="709"/>
        <w:rPr>
          <w:rFonts w:ascii="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hAnsi="Arial" w:cs="Arial"/>
          <w:color w:val="000000" w:themeColor="text1"/>
          <w:sz w:val="12"/>
          <w:szCs w:val="12"/>
        </w:rPr>
        <w:t xml:space="preserve"> Consejo de Estado. Sala de Consulta y Servicio Civil. Concepto del 2 de septiembre de 2013. Radicación número: 11001-03-06-000-2013-00412-00 (2168). Consejero Ponente: Álvaro </w:t>
      </w:r>
      <w:proofErr w:type="spellStart"/>
      <w:r w:rsidRPr="007C3ED7">
        <w:rPr>
          <w:rFonts w:ascii="Arial" w:hAnsi="Arial" w:cs="Arial"/>
          <w:color w:val="000000" w:themeColor="text1"/>
          <w:sz w:val="12"/>
          <w:szCs w:val="12"/>
        </w:rPr>
        <w:t>Namén</w:t>
      </w:r>
      <w:proofErr w:type="spellEnd"/>
      <w:r w:rsidRPr="007C3ED7">
        <w:rPr>
          <w:rFonts w:ascii="Arial" w:hAnsi="Arial" w:cs="Arial"/>
          <w:color w:val="000000" w:themeColor="text1"/>
          <w:sz w:val="12"/>
          <w:szCs w:val="12"/>
        </w:rPr>
        <w:t xml:space="preserve"> Vargas.</w:t>
      </w:r>
    </w:p>
  </w:footnote>
  <w:footnote w:id="15">
    <w:p w14:paraId="1408F423" w14:textId="7DD1F940" w:rsidR="008426DA" w:rsidRPr="007C3ED7" w:rsidRDefault="00B40486" w:rsidP="00D67FEE">
      <w:pPr>
        <w:pStyle w:val="Textonotapie"/>
        <w:spacing w:before="0" w:after="0" w:line="240" w:lineRule="auto"/>
        <w:ind w:firstLine="709"/>
        <w:rPr>
          <w:rFonts w:ascii="Arial" w:hAnsi="Arial" w:cs="Arial"/>
          <w:color w:val="000000" w:themeColor="text1"/>
          <w:sz w:val="12"/>
          <w:szCs w:val="12"/>
          <w:lang w:val="es-ES"/>
        </w:rPr>
      </w:pPr>
      <w:r w:rsidRPr="007C3ED7">
        <w:rPr>
          <w:rStyle w:val="Refdenotaalpie"/>
          <w:rFonts w:ascii="Arial" w:hAnsi="Arial" w:cs="Arial"/>
          <w:color w:val="000000" w:themeColor="text1"/>
          <w:sz w:val="12"/>
          <w:szCs w:val="12"/>
        </w:rPr>
        <w:footnoteRef/>
      </w:r>
      <w:r w:rsidRPr="007C3ED7">
        <w:rPr>
          <w:rFonts w:ascii="Arial" w:hAnsi="Arial" w:cs="Arial"/>
          <w:color w:val="000000" w:themeColor="text1"/>
          <w:sz w:val="12"/>
          <w:szCs w:val="12"/>
        </w:rPr>
        <w:t xml:space="preserve"> </w:t>
      </w:r>
      <w:r w:rsidRPr="007C3ED7">
        <w:rPr>
          <w:rFonts w:ascii="Arial" w:hAnsi="Arial" w:cs="Arial"/>
          <w:color w:val="000000" w:themeColor="text1"/>
          <w:sz w:val="12"/>
          <w:szCs w:val="12"/>
          <w:lang w:val="es-ES"/>
        </w:rPr>
        <w:t>Artículo 2.</w:t>
      </w:r>
    </w:p>
  </w:footnote>
  <w:footnote w:id="16">
    <w:p w14:paraId="00AA6535" w14:textId="7B53F4C6" w:rsidR="008426DA" w:rsidRPr="00D67FEE" w:rsidRDefault="00B40486" w:rsidP="00D67FEE">
      <w:pPr>
        <w:pStyle w:val="Textonotapie"/>
        <w:spacing w:before="0" w:after="0" w:line="240" w:lineRule="auto"/>
        <w:ind w:firstLine="709"/>
        <w:rPr>
          <w:rFonts w:ascii="Arial" w:hAnsi="Arial" w:cs="Arial"/>
          <w:iCs/>
          <w:color w:val="000000" w:themeColor="text1"/>
          <w:sz w:val="12"/>
          <w:szCs w:val="12"/>
          <w:lang w:val="es-ES"/>
        </w:rPr>
      </w:pPr>
      <w:r w:rsidRPr="007C3ED7">
        <w:rPr>
          <w:rStyle w:val="Refdenotaalpie"/>
          <w:rFonts w:ascii="Arial" w:hAnsi="Arial" w:cs="Arial"/>
          <w:color w:val="000000" w:themeColor="text1"/>
          <w:sz w:val="12"/>
          <w:szCs w:val="12"/>
        </w:rPr>
        <w:footnoteRef/>
      </w:r>
      <w:r w:rsidRPr="007C3ED7">
        <w:rPr>
          <w:rFonts w:ascii="Arial" w:hAnsi="Arial" w:cs="Arial"/>
          <w:color w:val="000000" w:themeColor="text1"/>
          <w:sz w:val="12"/>
          <w:szCs w:val="12"/>
        </w:rPr>
        <w:t xml:space="preserve"> </w:t>
      </w:r>
      <w:r w:rsidRPr="007C3ED7">
        <w:rPr>
          <w:rFonts w:ascii="Arial" w:hAnsi="Arial" w:cs="Arial"/>
          <w:iCs/>
          <w:color w:val="000000" w:themeColor="text1"/>
          <w:sz w:val="12"/>
          <w:szCs w:val="12"/>
          <w:lang w:val="es-ES"/>
        </w:rPr>
        <w:t>Ídem</w:t>
      </w:r>
    </w:p>
  </w:footnote>
  <w:footnote w:id="17">
    <w:p w14:paraId="7DA9F7FE" w14:textId="5EE238C1" w:rsidR="00967B9B" w:rsidRPr="007C3ED7" w:rsidRDefault="00B40486" w:rsidP="00D67FEE">
      <w:pPr>
        <w:pStyle w:val="Textonotapie"/>
        <w:spacing w:before="0" w:after="0" w:line="240" w:lineRule="auto"/>
        <w:ind w:firstLine="709"/>
        <w:rPr>
          <w:rFonts w:ascii="Arial" w:hAnsi="Arial" w:cs="Arial"/>
          <w:color w:val="000000" w:themeColor="text1"/>
          <w:sz w:val="12"/>
          <w:szCs w:val="12"/>
          <w:lang w:val="es-ES"/>
        </w:rPr>
      </w:pPr>
      <w:r w:rsidRPr="007C3ED7">
        <w:rPr>
          <w:rStyle w:val="Refdenotaalpie"/>
          <w:rFonts w:ascii="Arial" w:hAnsi="Arial" w:cs="Arial"/>
          <w:color w:val="000000" w:themeColor="text1"/>
          <w:sz w:val="12"/>
          <w:szCs w:val="12"/>
        </w:rPr>
        <w:footnoteRef/>
      </w:r>
      <w:r w:rsidRPr="007C3ED7">
        <w:rPr>
          <w:rStyle w:val="Refdenotaalpie"/>
          <w:rFonts w:ascii="Arial" w:hAnsi="Arial" w:cs="Arial"/>
          <w:color w:val="000000" w:themeColor="text1"/>
          <w:sz w:val="12"/>
          <w:szCs w:val="12"/>
        </w:rPr>
        <w:t xml:space="preserve"> </w:t>
      </w:r>
      <w:bookmarkStart w:id="23" w:name="_Hlk74297130"/>
      <w:r w:rsidRPr="007C3ED7">
        <w:rPr>
          <w:rFonts w:ascii="Arial" w:hAnsi="Arial" w:cs="Arial"/>
          <w:color w:val="000000" w:themeColor="text1"/>
          <w:sz w:val="12"/>
          <w:szCs w:val="12"/>
          <w:lang w:val="es-ES"/>
        </w:rPr>
        <w:t>«</w:t>
      </w:r>
      <w:bookmarkEnd w:id="23"/>
      <w:r w:rsidRPr="007C3ED7">
        <w:rPr>
          <w:rFonts w:ascii="Arial" w:hAnsi="Arial" w:cs="Arial"/>
          <w:color w:val="000000" w:themeColor="text1"/>
          <w:sz w:val="12"/>
          <w:szCs w:val="12"/>
          <w:lang w:val="es-ES"/>
        </w:rPr>
        <w:t xml:space="preserve">[…] A este respecto, cabe recordar que el artículo 860 del Código de Comercio regula la licitación en el derecho privado». </w:t>
      </w:r>
    </w:p>
  </w:footnote>
  <w:footnote w:id="18">
    <w:p w14:paraId="3E5AAE47" w14:textId="77777777" w:rsidR="00B40486" w:rsidRPr="007C3ED7" w:rsidRDefault="00B40486" w:rsidP="007C3ED7">
      <w:pPr>
        <w:shd w:val="clear" w:color="auto" w:fill="FFFFFF"/>
        <w:ind w:firstLine="709"/>
        <w:jc w:val="both"/>
        <w:rPr>
          <w:rFonts w:ascii="Arial" w:hAnsi="Arial" w:cs="Arial"/>
          <w:color w:val="000000" w:themeColor="text1"/>
          <w:sz w:val="12"/>
          <w:szCs w:val="12"/>
          <w:lang w:val="es-ES"/>
        </w:rPr>
      </w:pPr>
      <w:r w:rsidRPr="007C3ED7">
        <w:rPr>
          <w:rStyle w:val="Refdenotaalpie"/>
          <w:rFonts w:ascii="Arial" w:hAnsi="Arial" w:cs="Arial"/>
          <w:color w:val="000000" w:themeColor="text1"/>
          <w:sz w:val="12"/>
          <w:szCs w:val="12"/>
        </w:rPr>
        <w:footnoteRef/>
      </w:r>
      <w:r w:rsidRPr="007C3ED7">
        <w:rPr>
          <w:rStyle w:val="Refdenotaalpie"/>
          <w:rFonts w:ascii="Arial" w:hAnsi="Arial" w:cs="Arial"/>
          <w:color w:val="000000" w:themeColor="text1"/>
          <w:sz w:val="12"/>
          <w:szCs w:val="12"/>
        </w:rPr>
        <w:t xml:space="preserve"> </w:t>
      </w:r>
      <w:r w:rsidRPr="007C3ED7">
        <w:rPr>
          <w:rFonts w:ascii="Arial" w:hAnsi="Arial" w:cs="Arial"/>
          <w:color w:val="000000" w:themeColor="text1"/>
          <w:sz w:val="12"/>
          <w:szCs w:val="12"/>
          <w:lang w:val="es-ES"/>
        </w:rPr>
        <w:t xml:space="preserve">Consejo de Estado. Sala de Consulta y Servicio Civil, Concepto de 8 de mayo de 2018. Radicación Número: 11001-03-06-000-2018-00095-00(2382). Consejero Ponente: Álvaro </w:t>
      </w:r>
      <w:proofErr w:type="spellStart"/>
      <w:r w:rsidRPr="007C3ED7">
        <w:rPr>
          <w:rFonts w:ascii="Arial" w:hAnsi="Arial" w:cs="Arial"/>
          <w:color w:val="000000" w:themeColor="text1"/>
          <w:sz w:val="12"/>
          <w:szCs w:val="12"/>
          <w:lang w:val="es-ES"/>
        </w:rPr>
        <w:t>Namén</w:t>
      </w:r>
      <w:proofErr w:type="spellEnd"/>
      <w:r w:rsidRPr="007C3ED7">
        <w:rPr>
          <w:rFonts w:ascii="Arial" w:hAnsi="Arial" w:cs="Arial"/>
          <w:color w:val="000000" w:themeColor="text1"/>
          <w:sz w:val="12"/>
          <w:szCs w:val="12"/>
          <w:lang w:val="es-ES"/>
        </w:rPr>
        <w:t xml:space="preserve"> Vargas.</w:t>
      </w:r>
    </w:p>
  </w:footnote>
  <w:footnote w:id="19">
    <w:p w14:paraId="37DCB0C9" w14:textId="77777777" w:rsidR="00B40486" w:rsidRPr="007C3ED7" w:rsidRDefault="00B40486" w:rsidP="007C3ED7">
      <w:pPr>
        <w:pStyle w:val="Textonotapie"/>
        <w:spacing w:before="0" w:after="0" w:line="240" w:lineRule="auto"/>
        <w:ind w:firstLine="709"/>
        <w:rPr>
          <w:rFonts w:ascii="Arial" w:hAnsi="Arial" w:cs="Arial"/>
          <w:color w:val="000000" w:themeColor="text1"/>
          <w:sz w:val="12"/>
          <w:szCs w:val="12"/>
        </w:rPr>
      </w:pPr>
      <w:r w:rsidRPr="007C3ED7">
        <w:rPr>
          <w:rStyle w:val="Refdenotaalpie"/>
          <w:rFonts w:ascii="Arial" w:hAnsi="Arial" w:cs="Arial"/>
          <w:color w:val="000000" w:themeColor="text1"/>
          <w:sz w:val="12"/>
          <w:szCs w:val="12"/>
        </w:rPr>
        <w:footnoteRef/>
      </w:r>
      <w:r w:rsidRPr="007C3ED7">
        <w:rPr>
          <w:rFonts w:ascii="Arial" w:hAnsi="Arial" w:cs="Arial"/>
          <w:color w:val="000000" w:themeColor="text1"/>
          <w:sz w:val="12"/>
          <w:szCs w:val="12"/>
        </w:rPr>
        <w:t xml:space="preserve"> Consejo de Estado. Sala de Consulta y Servicio Civil. Concepto del 08 de mayo de 2018. </w:t>
      </w:r>
      <w:proofErr w:type="spellStart"/>
      <w:r w:rsidRPr="007C3ED7">
        <w:rPr>
          <w:rFonts w:ascii="Arial" w:hAnsi="Arial" w:cs="Arial"/>
          <w:color w:val="000000" w:themeColor="text1"/>
          <w:sz w:val="12"/>
          <w:szCs w:val="12"/>
        </w:rPr>
        <w:t>Exp</w:t>
      </w:r>
      <w:proofErr w:type="spellEnd"/>
      <w:r w:rsidRPr="007C3ED7">
        <w:rPr>
          <w:rFonts w:ascii="Arial" w:hAnsi="Arial" w:cs="Arial"/>
          <w:color w:val="000000" w:themeColor="text1"/>
          <w:sz w:val="12"/>
          <w:szCs w:val="12"/>
        </w:rPr>
        <w:t xml:space="preserve">. 2.382. C.P. Álvaro </w:t>
      </w:r>
      <w:proofErr w:type="spellStart"/>
      <w:r w:rsidRPr="007C3ED7">
        <w:rPr>
          <w:rFonts w:ascii="Arial" w:hAnsi="Arial" w:cs="Arial"/>
          <w:color w:val="000000" w:themeColor="text1"/>
          <w:sz w:val="12"/>
          <w:szCs w:val="12"/>
        </w:rPr>
        <w:t>Namén</w:t>
      </w:r>
      <w:proofErr w:type="spellEnd"/>
      <w:r w:rsidRPr="007C3ED7">
        <w:rPr>
          <w:rFonts w:ascii="Arial" w:hAnsi="Arial" w:cs="Arial"/>
          <w:color w:val="000000" w:themeColor="text1"/>
          <w:sz w:val="12"/>
          <w:szCs w:val="12"/>
        </w:rPr>
        <w:t xml:space="preserve"> Vargas.</w:t>
      </w:r>
    </w:p>
  </w:footnote>
  <w:footnote w:id="20">
    <w:p w14:paraId="0C6894F6" w14:textId="27A82273" w:rsidR="00967B9B" w:rsidRPr="007C3ED7" w:rsidRDefault="003A58BE" w:rsidP="00D67FEE">
      <w:pPr>
        <w:ind w:firstLine="709"/>
        <w:jc w:val="both"/>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3EBAA7CD" w14:textId="77777777" w:rsidR="003A58BE" w:rsidRPr="007C3ED7" w:rsidRDefault="003A58BE" w:rsidP="007C3ED7">
      <w:pPr>
        <w:pStyle w:val="Textonotapie"/>
        <w:spacing w:before="0" w:after="0" w:line="240" w:lineRule="auto"/>
        <w:ind w:right="51" w:firstLine="709"/>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w:t>
      </w:r>
      <w:bookmarkStart w:id="32" w:name="_Hlk75633115"/>
      <w:r w:rsidRPr="007C3ED7">
        <w:rPr>
          <w:rFonts w:ascii="Arial" w:hAnsi="Arial" w:cs="Arial"/>
          <w:sz w:val="12"/>
          <w:szCs w:val="12"/>
        </w:rPr>
        <w:t xml:space="preserve">Consejo de Estado. Sala de Consulta y Servicio Civil. Concepto </w:t>
      </w:r>
      <w:bookmarkEnd w:id="32"/>
      <w:r w:rsidRPr="007C3ED7">
        <w:rPr>
          <w:rFonts w:ascii="Arial" w:hAnsi="Arial" w:cs="Arial"/>
          <w:sz w:val="12"/>
          <w:szCs w:val="12"/>
        </w:rPr>
        <w:t>de 6 de abril de 2006. Radicación Número: 11001-03-06-000-2006-00038-00(1738). Consejero Ponente: Enrique José Arboleda Perdomo:</w:t>
      </w:r>
      <w:r w:rsidRPr="007C3ED7">
        <w:rPr>
          <w:rFonts w:ascii="Arial" w:eastAsia="Times New Roman" w:hAnsi="Arial" w:cs="Arial"/>
          <w:bCs/>
          <w:sz w:val="12"/>
          <w:szCs w:val="12"/>
          <w:lang w:eastAsia="x-none"/>
        </w:rPr>
        <w:t xml:space="preserve"> «</w:t>
      </w:r>
      <w:r w:rsidRPr="007C3ED7">
        <w:rPr>
          <w:rFonts w:ascii="Arial" w:hAnsi="Arial" w:cs="Arial"/>
          <w:sz w:val="12"/>
          <w:szCs w:val="12"/>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7C3ED7">
        <w:rPr>
          <w:rFonts w:ascii="Arial" w:eastAsia="Times New Roman" w:hAnsi="Arial" w:cs="Arial"/>
          <w:bCs/>
          <w:sz w:val="12"/>
          <w:szCs w:val="12"/>
          <w:lang w:eastAsia="x-none"/>
        </w:rPr>
        <w:t>».</w:t>
      </w:r>
    </w:p>
  </w:footnote>
  <w:footnote w:id="22">
    <w:p w14:paraId="6D9022BC" w14:textId="783E638D" w:rsidR="004F362E" w:rsidRPr="007C3ED7" w:rsidRDefault="003A58BE" w:rsidP="00D67FEE">
      <w:pPr>
        <w:pStyle w:val="Textonotapie"/>
        <w:spacing w:before="0" w:after="0" w:line="240" w:lineRule="auto"/>
        <w:ind w:right="51" w:firstLine="709"/>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Consejo de Estado. Sala de Consulta y Servicio Civil. Concepto de 6 de abril de 2006. Radicación Número: 11001-03-06-000-2006-00038-00(1738). Consejero Ponente: Enrique José Arboleda Perdomo.</w:t>
      </w:r>
    </w:p>
  </w:footnote>
  <w:footnote w:id="23">
    <w:p w14:paraId="0EFBB160" w14:textId="77777777" w:rsidR="009E4795" w:rsidRPr="007C3ED7" w:rsidRDefault="009E4795" w:rsidP="007C3ED7">
      <w:pPr>
        <w:pStyle w:val="Textonotapie"/>
        <w:spacing w:before="0" w:after="0" w:line="240" w:lineRule="auto"/>
        <w:ind w:firstLine="709"/>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Consejo de Estado. Sala de Consulta y Servicio Civil. Concepto de 20 de febrero de2006. Radicación 11001-03-06-000-2006-00023-00(1724). Consejero Ponente: Flavio Augusto Rodríguez Arce.</w:t>
      </w:r>
    </w:p>
  </w:footnote>
  <w:footnote w:id="24">
    <w:p w14:paraId="68D0666C" w14:textId="77777777" w:rsidR="009E4795" w:rsidRPr="007C3ED7" w:rsidRDefault="009E4795" w:rsidP="007C3ED7">
      <w:pPr>
        <w:ind w:firstLine="709"/>
        <w:jc w:val="both"/>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1DF62011" w14:textId="77777777" w:rsidR="009E4795" w:rsidRPr="007C3ED7" w:rsidRDefault="009E4795" w:rsidP="007C3ED7">
      <w:pPr>
        <w:ind w:firstLine="709"/>
        <w:jc w:val="both"/>
        <w:rPr>
          <w:rFonts w:ascii="Arial" w:hAnsi="Arial" w:cs="Arial"/>
          <w:sz w:val="12"/>
          <w:szCs w:val="12"/>
        </w:rPr>
      </w:pPr>
      <w:r w:rsidRPr="007C3ED7">
        <w:rPr>
          <w:rFonts w:ascii="Arial" w:hAnsi="Arial" w:cs="Arial"/>
          <w:sz w:val="12"/>
          <w:szCs w:val="1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7C3ED7">
        <w:rPr>
          <w:rFonts w:ascii="Arial" w:hAnsi="Arial" w:cs="Arial"/>
          <w:spacing w:val="-1"/>
          <w:sz w:val="12"/>
          <w:szCs w:val="12"/>
        </w:rPr>
        <w:t xml:space="preserve"> </w:t>
      </w:r>
      <w:r w:rsidRPr="007C3ED7">
        <w:rPr>
          <w:rFonts w:ascii="Arial" w:hAnsi="Arial" w:cs="Arial"/>
          <w:sz w:val="12"/>
          <w:szCs w:val="12"/>
        </w:rPr>
        <w:t>Estatales».</w:t>
      </w:r>
    </w:p>
  </w:footnote>
  <w:footnote w:id="25">
    <w:p w14:paraId="0638F60F" w14:textId="77777777" w:rsidR="009E4795" w:rsidRPr="007C3ED7" w:rsidRDefault="009E4795" w:rsidP="007C3ED7">
      <w:pPr>
        <w:ind w:firstLine="709"/>
        <w:jc w:val="both"/>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7C3ED7">
        <w:rPr>
          <w:rFonts w:ascii="Arial" w:hAnsi="Arial" w:cs="Arial"/>
          <w:spacing w:val="-6"/>
          <w:sz w:val="12"/>
          <w:szCs w:val="12"/>
        </w:rPr>
        <w:t xml:space="preserve"> </w:t>
      </w:r>
      <w:r w:rsidRPr="007C3ED7">
        <w:rPr>
          <w:rFonts w:ascii="Arial" w:hAnsi="Arial" w:cs="Arial"/>
          <w:sz w:val="12"/>
          <w:szCs w:val="12"/>
        </w:rPr>
        <w:t>artículo».</w:t>
      </w:r>
    </w:p>
  </w:footnote>
  <w:footnote w:id="26">
    <w:p w14:paraId="524454AC" w14:textId="77777777" w:rsidR="009E4795" w:rsidRPr="007C3ED7" w:rsidRDefault="009E4795" w:rsidP="007C3ED7">
      <w:pPr>
        <w:ind w:right="454" w:firstLine="709"/>
        <w:jc w:val="both"/>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position w:val="7"/>
          <w:sz w:val="12"/>
          <w:szCs w:val="12"/>
        </w:rPr>
        <w:t xml:space="preserve"> </w:t>
      </w:r>
      <w:r w:rsidRPr="007C3ED7">
        <w:rPr>
          <w:rFonts w:ascii="Arial" w:hAnsi="Arial" w:cs="Arial"/>
          <w:sz w:val="12"/>
          <w:szCs w:val="12"/>
        </w:rPr>
        <w:t>Consejo de Estado. Sección Tercera. Sentencia del 23 de junio de 2010. Radicación No. 66001-23-31-000-1998-00261-01(17.860). Consejero Ponente: Mauricio Fajardo Gómez.</w:t>
      </w:r>
    </w:p>
  </w:footnote>
  <w:footnote w:id="27">
    <w:p w14:paraId="0DA7BBEF" w14:textId="7F3C781B" w:rsidR="004F362E" w:rsidRPr="007C3ED7" w:rsidRDefault="009E4795" w:rsidP="00CA298F">
      <w:pPr>
        <w:ind w:firstLine="709"/>
        <w:jc w:val="both"/>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Consejo de Estado. Sección Tercera. Subsección C. Sentencia del 11 de diciembre de 2019. </w:t>
      </w:r>
      <w:proofErr w:type="spellStart"/>
      <w:r w:rsidRPr="007C3ED7">
        <w:rPr>
          <w:rFonts w:ascii="Arial" w:hAnsi="Arial" w:cs="Arial"/>
          <w:sz w:val="12"/>
          <w:szCs w:val="12"/>
        </w:rPr>
        <w:t>Exp</w:t>
      </w:r>
      <w:proofErr w:type="spellEnd"/>
      <w:r w:rsidRPr="007C3ED7">
        <w:rPr>
          <w:rFonts w:ascii="Arial" w:hAnsi="Arial" w:cs="Arial"/>
          <w:sz w:val="12"/>
          <w:szCs w:val="12"/>
        </w:rPr>
        <w:t>. 46.986. C.P. Jaime Enrique Rodríguez Navas.</w:t>
      </w:r>
    </w:p>
  </w:footnote>
  <w:footnote w:id="28">
    <w:p w14:paraId="4524BF36" w14:textId="4DD89639" w:rsidR="004F362E" w:rsidRPr="007C3ED7" w:rsidRDefault="009E4795" w:rsidP="00CA298F">
      <w:pPr>
        <w:pStyle w:val="Textonotapie"/>
        <w:spacing w:before="0" w:after="0" w:line="240" w:lineRule="auto"/>
        <w:ind w:firstLine="708"/>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[Referencia propia de la cita] «CE. SCSC. Concepto de 1 de noviembre de 2016 [Rad. 11001-03-06-000-2016-00125-00(2305)]. MP. Germán Alberto Bula Escobar».</w:t>
      </w:r>
    </w:p>
  </w:footnote>
  <w:footnote w:id="29">
    <w:p w14:paraId="44FAA25E" w14:textId="77777777" w:rsidR="009E4795" w:rsidRPr="007C3ED7" w:rsidRDefault="009E4795" w:rsidP="007C3ED7">
      <w:pPr>
        <w:pStyle w:val="Textonotapie"/>
        <w:spacing w:before="0" w:after="0" w:line="240" w:lineRule="auto"/>
        <w:ind w:firstLine="708"/>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[Referencia propia de la cita] «CE. SCSC. Concepto de 30 de abril de 2008 [Rad. 11001-03-06-000-2008-00013-00(1881)]. MP. Enrique José Arboleda Perdomo. En esta oportunidad, la Sala indicó que el contenido </w:t>
      </w:r>
      <w:r w:rsidRPr="007C3ED7">
        <w:rPr>
          <w:rFonts w:ascii="Arial" w:hAnsi="Arial" w:cs="Arial"/>
          <w:i/>
          <w:sz w:val="12"/>
          <w:szCs w:val="12"/>
        </w:rPr>
        <w:t>“obligacional”</w:t>
      </w:r>
      <w:r w:rsidRPr="007C3ED7">
        <w:rPr>
          <w:rFonts w:ascii="Arial" w:hAnsi="Arial" w:cs="Arial"/>
          <w:sz w:val="12"/>
          <w:szCs w:val="12"/>
        </w:rPr>
        <w:t xml:space="preserve"> de los convenios se estructura definiendo el resultado querido por las partes y los medios que cada entidad despliega para la obtención del respectivo objeto».</w:t>
      </w:r>
    </w:p>
  </w:footnote>
  <w:footnote w:id="30">
    <w:p w14:paraId="5E33CBA2" w14:textId="77777777" w:rsidR="009E4795" w:rsidRPr="007C3ED7" w:rsidRDefault="009E4795" w:rsidP="007C3ED7">
      <w:pPr>
        <w:pStyle w:val="Textonotapie"/>
        <w:spacing w:before="0" w:after="0" w:line="240" w:lineRule="auto"/>
        <w:ind w:firstLine="708"/>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[Referencia propia de la cita] «La normativa vigente del EGCAP </w:t>
      </w:r>
      <w:r w:rsidRPr="007C3ED7">
        <w:rPr>
          <w:rFonts w:ascii="Arial" w:hAnsi="Arial" w:cs="Arial"/>
          <w:i/>
          <w:sz w:val="12"/>
          <w:szCs w:val="12"/>
        </w:rPr>
        <w:t>[literal c) del numeral 4. del artículo 2 de la Ley 1150/07]</w:t>
      </w:r>
      <w:r w:rsidRPr="007C3ED7">
        <w:rPr>
          <w:rFonts w:ascii="Arial" w:hAnsi="Arial" w:cs="Arial"/>
          <w:sz w:val="12"/>
          <w:szCs w:val="12"/>
        </w:rPr>
        <w:t xml:space="preserve"> se refiere a </w:t>
      </w:r>
      <w:r w:rsidRPr="007C3ED7">
        <w:rPr>
          <w:rFonts w:ascii="Arial" w:hAnsi="Arial" w:cs="Arial"/>
          <w:i/>
          <w:sz w:val="12"/>
          <w:szCs w:val="12"/>
        </w:rPr>
        <w:t>“contratos interadministrativos”</w:t>
      </w:r>
      <w:r w:rsidRPr="007C3ED7">
        <w:rPr>
          <w:rFonts w:ascii="Arial" w:hAnsi="Arial" w:cs="Arial"/>
          <w:sz w:val="12"/>
          <w:szCs w:val="12"/>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1">
    <w:p w14:paraId="0417FDBE" w14:textId="77777777" w:rsidR="009E4795" w:rsidRPr="007C3ED7" w:rsidRDefault="009E4795" w:rsidP="007C3ED7">
      <w:pPr>
        <w:pStyle w:val="Textonotapie"/>
        <w:spacing w:before="0" w:after="0" w:line="240" w:lineRule="auto"/>
        <w:ind w:firstLine="708"/>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7C3ED7">
        <w:rPr>
          <w:rFonts w:ascii="Arial" w:hAnsi="Arial" w:cs="Arial"/>
          <w:sz w:val="12"/>
          <w:szCs w:val="12"/>
        </w:rPr>
        <w:t>Exp</w:t>
      </w:r>
      <w:proofErr w:type="spellEnd"/>
      <w:r w:rsidRPr="007C3ED7">
        <w:rPr>
          <w:rFonts w:ascii="Arial" w:hAnsi="Arial" w:cs="Arial"/>
          <w:sz w:val="12"/>
          <w:szCs w:val="12"/>
        </w:rPr>
        <w:t xml:space="preserve">. 2.257. M.P. Álvaro </w:t>
      </w:r>
      <w:proofErr w:type="spellStart"/>
      <w:r w:rsidRPr="007C3ED7">
        <w:rPr>
          <w:rFonts w:ascii="Arial" w:hAnsi="Arial" w:cs="Arial"/>
          <w:sz w:val="12"/>
          <w:szCs w:val="12"/>
        </w:rPr>
        <w:t>Namén</w:t>
      </w:r>
      <w:proofErr w:type="spellEnd"/>
      <w:r w:rsidRPr="007C3ED7">
        <w:rPr>
          <w:rFonts w:ascii="Arial" w:hAnsi="Arial" w:cs="Arial"/>
          <w:sz w:val="12"/>
          <w:szCs w:val="12"/>
        </w:rPr>
        <w:t xml:space="preserve"> Vargas).</w:t>
      </w:r>
    </w:p>
  </w:footnote>
  <w:footnote w:id="32">
    <w:p w14:paraId="276E071D" w14:textId="77777777" w:rsidR="009E4795" w:rsidRPr="007C3ED7" w:rsidRDefault="009E4795" w:rsidP="007C3ED7">
      <w:pPr>
        <w:pStyle w:val="Textonotapie"/>
        <w:spacing w:before="0" w:after="0" w:line="240" w:lineRule="auto"/>
        <w:ind w:firstLine="708"/>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Es lo que sucede, por ejemplo, con el Decreto 092 de 2017, que en su desarrollo hace referencia tanto a los «contratos» como a los «convenios». </w:t>
      </w:r>
    </w:p>
  </w:footnote>
  <w:footnote w:id="33">
    <w:p w14:paraId="4313BA01" w14:textId="77777777" w:rsidR="009E4795" w:rsidRPr="007C3ED7" w:rsidRDefault="009E4795" w:rsidP="007C3ED7">
      <w:pPr>
        <w:pStyle w:val="Textonotapie"/>
        <w:spacing w:before="0" w:after="0" w:line="240" w:lineRule="auto"/>
        <w:ind w:firstLine="708"/>
        <w:rPr>
          <w:rFonts w:ascii="Arial" w:hAnsi="Arial" w:cs="Arial"/>
          <w:sz w:val="12"/>
          <w:szCs w:val="12"/>
          <w:lang w:val="es-CO"/>
        </w:rPr>
      </w:pPr>
      <w:r w:rsidRPr="007C3ED7">
        <w:rPr>
          <w:rStyle w:val="Refdenotaalpie"/>
          <w:rFonts w:ascii="Arial" w:hAnsi="Arial" w:cs="Arial"/>
          <w:sz w:val="12"/>
          <w:szCs w:val="12"/>
        </w:rPr>
        <w:footnoteRef/>
      </w:r>
      <w:r w:rsidRPr="007C3ED7">
        <w:rPr>
          <w:rFonts w:ascii="Arial" w:hAnsi="Arial" w:cs="Arial"/>
          <w:sz w:val="12"/>
          <w:szCs w:val="12"/>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14:paraId="0E06D196" w14:textId="0907F0A3" w:rsidR="004F362E" w:rsidRPr="007C3ED7" w:rsidRDefault="009E4795" w:rsidP="00CA298F">
      <w:pPr>
        <w:pStyle w:val="Textonotapie"/>
        <w:spacing w:before="0" w:after="0" w:line="240" w:lineRule="auto"/>
        <w:ind w:firstLine="708"/>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5">
    <w:p w14:paraId="5B63802B" w14:textId="77777777" w:rsidR="009E4795" w:rsidRPr="007C3ED7" w:rsidRDefault="009E4795" w:rsidP="007C3ED7">
      <w:pPr>
        <w:pStyle w:val="Textonotapie"/>
        <w:spacing w:before="0" w:after="0" w:line="240" w:lineRule="auto"/>
        <w:ind w:firstLine="709"/>
        <w:rPr>
          <w:rFonts w:ascii="Arial" w:hAnsi="Arial" w:cs="Arial"/>
          <w:sz w:val="12"/>
          <w:szCs w:val="12"/>
        </w:rPr>
      </w:pPr>
      <w:r w:rsidRPr="007C3ED7">
        <w:rPr>
          <w:rStyle w:val="Refdenotaalpie"/>
          <w:rFonts w:ascii="Arial" w:hAnsi="Arial" w:cs="Arial"/>
          <w:sz w:val="12"/>
          <w:szCs w:val="12"/>
        </w:rPr>
        <w:footnoteRef/>
      </w:r>
      <w:r w:rsidRPr="007C3ED7">
        <w:rPr>
          <w:rFonts w:ascii="Arial" w:hAnsi="Arial" w:cs="Arial"/>
          <w:sz w:val="12"/>
          <w:szCs w:val="12"/>
        </w:rPr>
        <w:t xml:space="preserve"> Consejo de Estado. Sala de Consulta y Servicio Civil. Concepto del 15 de noviembre de 2007. Expediente número 1863. Consejero Ponente: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94A116" w14:textId="77777777" w:rsidR="002C1436" w:rsidRDefault="002C1436"/>
  <w:p w14:paraId="6B0C7FDF" w14:textId="77777777" w:rsidR="002C1436" w:rsidRDefault="002C1436"/>
  <w:p w14:paraId="1868BFEF" w14:textId="77777777" w:rsidR="002C1436" w:rsidRDefault="002C14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2F02B9"/>
    <w:multiLevelType w:val="hybridMultilevel"/>
    <w:tmpl w:val="64F6AB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2D41"/>
    <w:multiLevelType w:val="hybridMultilevel"/>
    <w:tmpl w:val="B8CC0D4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29380B19"/>
    <w:multiLevelType w:val="hybridMultilevel"/>
    <w:tmpl w:val="1F66EDE8"/>
    <w:lvl w:ilvl="0" w:tplc="60226B48">
      <w:start w:val="1"/>
      <w:numFmt w:val="decimal"/>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3B1499"/>
    <w:multiLevelType w:val="hybridMultilevel"/>
    <w:tmpl w:val="B5BA0E08"/>
    <w:lvl w:ilvl="0" w:tplc="EC46EAB4">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7B7BA6"/>
    <w:multiLevelType w:val="hybridMultilevel"/>
    <w:tmpl w:val="0A9A1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C1658E"/>
    <w:multiLevelType w:val="hybridMultilevel"/>
    <w:tmpl w:val="6BB45F22"/>
    <w:lvl w:ilvl="0" w:tplc="324E2A2C">
      <w:start w:val="1"/>
      <w:numFmt w:val="upperRoman"/>
      <w:lvlText w:val="%1."/>
      <w:lvlJc w:val="right"/>
      <w:pPr>
        <w:ind w:left="1429" w:hanging="360"/>
      </w:pPr>
      <w:rPr>
        <w:sz w:val="22"/>
        <w:szCs w:val="22"/>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3642528B"/>
    <w:multiLevelType w:val="hybridMultilevel"/>
    <w:tmpl w:val="D408B580"/>
    <w:lvl w:ilvl="0" w:tplc="15DE398A">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DF77F05"/>
    <w:multiLevelType w:val="hybridMultilevel"/>
    <w:tmpl w:val="0E90E834"/>
    <w:lvl w:ilvl="0" w:tplc="073E4240">
      <w:start w:val="1"/>
      <w:numFmt w:val="lowerRoman"/>
      <w:lvlText w:val="%1)"/>
      <w:lvlJc w:val="left"/>
      <w:pPr>
        <w:ind w:left="1429" w:hanging="72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44D0259"/>
    <w:multiLevelType w:val="hybridMultilevel"/>
    <w:tmpl w:val="77FC860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32B27AF"/>
    <w:multiLevelType w:val="hybridMultilevel"/>
    <w:tmpl w:val="BA34E780"/>
    <w:lvl w:ilvl="0" w:tplc="56241FF8">
      <w:start w:val="1"/>
      <w:numFmt w:val="lowerLetter"/>
      <w:lvlText w:val="%1)"/>
      <w:lvlJc w:val="left"/>
      <w:pPr>
        <w:ind w:left="1069" w:hanging="360"/>
      </w:pPr>
      <w:rPr>
        <w:rFonts w:eastAsia="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A9B7B46"/>
    <w:multiLevelType w:val="hybridMultilevel"/>
    <w:tmpl w:val="103E82C4"/>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FEE5641"/>
    <w:multiLevelType w:val="hybridMultilevel"/>
    <w:tmpl w:val="CE064F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0966857"/>
    <w:multiLevelType w:val="hybridMultilevel"/>
    <w:tmpl w:val="2EB8A274"/>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7C703690"/>
    <w:multiLevelType w:val="hybridMultilevel"/>
    <w:tmpl w:val="F9862F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75857661">
    <w:abstractNumId w:val="10"/>
  </w:num>
  <w:num w:numId="2" w16cid:durableId="342319977">
    <w:abstractNumId w:val="8"/>
  </w:num>
  <w:num w:numId="3" w16cid:durableId="1085031714">
    <w:abstractNumId w:val="15"/>
  </w:num>
  <w:num w:numId="4" w16cid:durableId="1885214114">
    <w:abstractNumId w:val="16"/>
  </w:num>
  <w:num w:numId="5" w16cid:durableId="338508613">
    <w:abstractNumId w:val="20"/>
  </w:num>
  <w:num w:numId="6" w16cid:durableId="82490322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51352">
    <w:abstractNumId w:val="17"/>
  </w:num>
  <w:num w:numId="8" w16cid:durableId="1864554">
    <w:abstractNumId w:val="5"/>
  </w:num>
  <w:num w:numId="9" w16cid:durableId="1632247203">
    <w:abstractNumId w:val="1"/>
  </w:num>
  <w:num w:numId="10" w16cid:durableId="410080790">
    <w:abstractNumId w:val="6"/>
  </w:num>
  <w:num w:numId="11" w16cid:durableId="1853911667">
    <w:abstractNumId w:val="2"/>
  </w:num>
  <w:num w:numId="12" w16cid:durableId="903955355">
    <w:abstractNumId w:val="9"/>
  </w:num>
  <w:num w:numId="13" w16cid:durableId="586696014">
    <w:abstractNumId w:val="3"/>
  </w:num>
  <w:num w:numId="14" w16cid:durableId="773784861">
    <w:abstractNumId w:val="18"/>
  </w:num>
  <w:num w:numId="15" w16cid:durableId="1851135941">
    <w:abstractNumId w:val="14"/>
  </w:num>
  <w:num w:numId="16" w16cid:durableId="1800803013">
    <w:abstractNumId w:val="12"/>
  </w:num>
  <w:num w:numId="17" w16cid:durableId="1528984633">
    <w:abstractNumId w:val="22"/>
  </w:num>
  <w:num w:numId="18" w16cid:durableId="518617441">
    <w:abstractNumId w:val="4"/>
  </w:num>
  <w:num w:numId="19" w16cid:durableId="615058819">
    <w:abstractNumId w:val="11"/>
  </w:num>
  <w:num w:numId="20" w16cid:durableId="1329095151">
    <w:abstractNumId w:val="13"/>
  </w:num>
  <w:num w:numId="21" w16cid:durableId="2101438688">
    <w:abstractNumId w:val="19"/>
  </w:num>
  <w:num w:numId="22" w16cid:durableId="493447447">
    <w:abstractNumId w:val="7"/>
  </w:num>
  <w:num w:numId="23" w16cid:durableId="1711689825">
    <w:abstractNumId w:val="23"/>
  </w:num>
  <w:num w:numId="24" w16cid:durableId="1606991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231C"/>
    <w:rsid w:val="000135A1"/>
    <w:rsid w:val="00013F7C"/>
    <w:rsid w:val="00015BF3"/>
    <w:rsid w:val="00015E80"/>
    <w:rsid w:val="00015F78"/>
    <w:rsid w:val="000164B2"/>
    <w:rsid w:val="000169A0"/>
    <w:rsid w:val="00016D26"/>
    <w:rsid w:val="00016D2E"/>
    <w:rsid w:val="00017245"/>
    <w:rsid w:val="00017253"/>
    <w:rsid w:val="00017C1D"/>
    <w:rsid w:val="000205F1"/>
    <w:rsid w:val="000210DF"/>
    <w:rsid w:val="0002271C"/>
    <w:rsid w:val="000229A9"/>
    <w:rsid w:val="00023CD9"/>
    <w:rsid w:val="00024653"/>
    <w:rsid w:val="000268E2"/>
    <w:rsid w:val="0002739B"/>
    <w:rsid w:val="0002766B"/>
    <w:rsid w:val="000300C6"/>
    <w:rsid w:val="00030271"/>
    <w:rsid w:val="000311CB"/>
    <w:rsid w:val="00032989"/>
    <w:rsid w:val="00032A51"/>
    <w:rsid w:val="00033802"/>
    <w:rsid w:val="00033C14"/>
    <w:rsid w:val="00033D8C"/>
    <w:rsid w:val="00034398"/>
    <w:rsid w:val="00034663"/>
    <w:rsid w:val="00040044"/>
    <w:rsid w:val="000414BE"/>
    <w:rsid w:val="000432DF"/>
    <w:rsid w:val="00044D8C"/>
    <w:rsid w:val="000502EC"/>
    <w:rsid w:val="00050C64"/>
    <w:rsid w:val="0005181E"/>
    <w:rsid w:val="00053136"/>
    <w:rsid w:val="000540E1"/>
    <w:rsid w:val="00054817"/>
    <w:rsid w:val="0005748B"/>
    <w:rsid w:val="000636F3"/>
    <w:rsid w:val="000641A8"/>
    <w:rsid w:val="0006467C"/>
    <w:rsid w:val="0006474E"/>
    <w:rsid w:val="00065205"/>
    <w:rsid w:val="00066517"/>
    <w:rsid w:val="00071132"/>
    <w:rsid w:val="00071351"/>
    <w:rsid w:val="000716B2"/>
    <w:rsid w:val="0007405A"/>
    <w:rsid w:val="00074BEE"/>
    <w:rsid w:val="00074D1E"/>
    <w:rsid w:val="00075D07"/>
    <w:rsid w:val="00076B31"/>
    <w:rsid w:val="000770DB"/>
    <w:rsid w:val="0008228E"/>
    <w:rsid w:val="000822A6"/>
    <w:rsid w:val="00082CE0"/>
    <w:rsid w:val="00084B97"/>
    <w:rsid w:val="00086D8D"/>
    <w:rsid w:val="000877B5"/>
    <w:rsid w:val="000902BC"/>
    <w:rsid w:val="00091AC6"/>
    <w:rsid w:val="00092542"/>
    <w:rsid w:val="00092617"/>
    <w:rsid w:val="00092B6A"/>
    <w:rsid w:val="000942EB"/>
    <w:rsid w:val="000943FC"/>
    <w:rsid w:val="00095B25"/>
    <w:rsid w:val="00096C01"/>
    <w:rsid w:val="0009763D"/>
    <w:rsid w:val="000A4DD7"/>
    <w:rsid w:val="000A5915"/>
    <w:rsid w:val="000B076C"/>
    <w:rsid w:val="000B0E61"/>
    <w:rsid w:val="000B103F"/>
    <w:rsid w:val="000B14BA"/>
    <w:rsid w:val="000B254E"/>
    <w:rsid w:val="000B2D9A"/>
    <w:rsid w:val="000B5C13"/>
    <w:rsid w:val="000C00A2"/>
    <w:rsid w:val="000C1515"/>
    <w:rsid w:val="000C3232"/>
    <w:rsid w:val="000C394F"/>
    <w:rsid w:val="000C3F9B"/>
    <w:rsid w:val="000C4E3E"/>
    <w:rsid w:val="000C5512"/>
    <w:rsid w:val="000C5766"/>
    <w:rsid w:val="000C5D99"/>
    <w:rsid w:val="000D1837"/>
    <w:rsid w:val="000D186A"/>
    <w:rsid w:val="000D25BC"/>
    <w:rsid w:val="000D7953"/>
    <w:rsid w:val="000D7A0F"/>
    <w:rsid w:val="000E0DED"/>
    <w:rsid w:val="000E3909"/>
    <w:rsid w:val="000E6563"/>
    <w:rsid w:val="000E71F7"/>
    <w:rsid w:val="000E739D"/>
    <w:rsid w:val="000F091C"/>
    <w:rsid w:val="000F14E8"/>
    <w:rsid w:val="000F2AA2"/>
    <w:rsid w:val="000F2EE1"/>
    <w:rsid w:val="000F3120"/>
    <w:rsid w:val="000F4695"/>
    <w:rsid w:val="000F7FC3"/>
    <w:rsid w:val="00100D69"/>
    <w:rsid w:val="00101018"/>
    <w:rsid w:val="00103915"/>
    <w:rsid w:val="001041A9"/>
    <w:rsid w:val="001072DB"/>
    <w:rsid w:val="001078AA"/>
    <w:rsid w:val="00110CE1"/>
    <w:rsid w:val="001112FD"/>
    <w:rsid w:val="0011178C"/>
    <w:rsid w:val="00111CDF"/>
    <w:rsid w:val="001124EB"/>
    <w:rsid w:val="00113157"/>
    <w:rsid w:val="00114327"/>
    <w:rsid w:val="00114900"/>
    <w:rsid w:val="0011520A"/>
    <w:rsid w:val="001155B8"/>
    <w:rsid w:val="00116C84"/>
    <w:rsid w:val="0011766B"/>
    <w:rsid w:val="00120D67"/>
    <w:rsid w:val="001214BC"/>
    <w:rsid w:val="001218B7"/>
    <w:rsid w:val="00122B23"/>
    <w:rsid w:val="00122B9A"/>
    <w:rsid w:val="00123BE2"/>
    <w:rsid w:val="00124A82"/>
    <w:rsid w:val="00130457"/>
    <w:rsid w:val="001326C7"/>
    <w:rsid w:val="001336B2"/>
    <w:rsid w:val="00133891"/>
    <w:rsid w:val="00133F8F"/>
    <w:rsid w:val="00134D65"/>
    <w:rsid w:val="0013770F"/>
    <w:rsid w:val="001377EC"/>
    <w:rsid w:val="00137E66"/>
    <w:rsid w:val="00137FFA"/>
    <w:rsid w:val="0014071F"/>
    <w:rsid w:val="00141B41"/>
    <w:rsid w:val="00141CCA"/>
    <w:rsid w:val="00141E25"/>
    <w:rsid w:val="0014214B"/>
    <w:rsid w:val="00142560"/>
    <w:rsid w:val="001429C2"/>
    <w:rsid w:val="00143D03"/>
    <w:rsid w:val="00144D68"/>
    <w:rsid w:val="00150CB3"/>
    <w:rsid w:val="00151129"/>
    <w:rsid w:val="00151936"/>
    <w:rsid w:val="00152FDA"/>
    <w:rsid w:val="00154785"/>
    <w:rsid w:val="00155B3D"/>
    <w:rsid w:val="00155C13"/>
    <w:rsid w:val="00156216"/>
    <w:rsid w:val="00160CB0"/>
    <w:rsid w:val="00161A37"/>
    <w:rsid w:val="001643A4"/>
    <w:rsid w:val="00165347"/>
    <w:rsid w:val="00165995"/>
    <w:rsid w:val="00171685"/>
    <w:rsid w:val="0017335A"/>
    <w:rsid w:val="00173B85"/>
    <w:rsid w:val="00180188"/>
    <w:rsid w:val="001824DD"/>
    <w:rsid w:val="001827CB"/>
    <w:rsid w:val="00182A86"/>
    <w:rsid w:val="00182EAE"/>
    <w:rsid w:val="00182EEE"/>
    <w:rsid w:val="0018335C"/>
    <w:rsid w:val="001833D0"/>
    <w:rsid w:val="0018635C"/>
    <w:rsid w:val="00190961"/>
    <w:rsid w:val="00191C4D"/>
    <w:rsid w:val="00192CDC"/>
    <w:rsid w:val="00192CE0"/>
    <w:rsid w:val="001961C8"/>
    <w:rsid w:val="00197BB3"/>
    <w:rsid w:val="001A0A19"/>
    <w:rsid w:val="001A0E7A"/>
    <w:rsid w:val="001A1753"/>
    <w:rsid w:val="001A217F"/>
    <w:rsid w:val="001A40A1"/>
    <w:rsid w:val="001A556D"/>
    <w:rsid w:val="001A69BA"/>
    <w:rsid w:val="001A78DE"/>
    <w:rsid w:val="001A7FD7"/>
    <w:rsid w:val="001B0444"/>
    <w:rsid w:val="001B0BE3"/>
    <w:rsid w:val="001B2F08"/>
    <w:rsid w:val="001B39FA"/>
    <w:rsid w:val="001B5217"/>
    <w:rsid w:val="001B5D90"/>
    <w:rsid w:val="001B6E10"/>
    <w:rsid w:val="001C01AF"/>
    <w:rsid w:val="001C24BF"/>
    <w:rsid w:val="001C47C8"/>
    <w:rsid w:val="001C6F95"/>
    <w:rsid w:val="001C763E"/>
    <w:rsid w:val="001D0C03"/>
    <w:rsid w:val="001D1560"/>
    <w:rsid w:val="001D17C2"/>
    <w:rsid w:val="001D2F93"/>
    <w:rsid w:val="001D2FC9"/>
    <w:rsid w:val="001D30D8"/>
    <w:rsid w:val="001D33DD"/>
    <w:rsid w:val="001D4EA4"/>
    <w:rsid w:val="001D567B"/>
    <w:rsid w:val="001D612F"/>
    <w:rsid w:val="001E01F9"/>
    <w:rsid w:val="001E074F"/>
    <w:rsid w:val="001E1959"/>
    <w:rsid w:val="001E1D46"/>
    <w:rsid w:val="001E1EEE"/>
    <w:rsid w:val="001E2866"/>
    <w:rsid w:val="001E2A7A"/>
    <w:rsid w:val="001E4B0D"/>
    <w:rsid w:val="001E7D79"/>
    <w:rsid w:val="001F21B5"/>
    <w:rsid w:val="001F4D43"/>
    <w:rsid w:val="001F4F5C"/>
    <w:rsid w:val="001F5388"/>
    <w:rsid w:val="001F5745"/>
    <w:rsid w:val="001F5F41"/>
    <w:rsid w:val="001F6290"/>
    <w:rsid w:val="001F6378"/>
    <w:rsid w:val="001F7341"/>
    <w:rsid w:val="001F774C"/>
    <w:rsid w:val="0020001F"/>
    <w:rsid w:val="0020059F"/>
    <w:rsid w:val="00200651"/>
    <w:rsid w:val="002025CC"/>
    <w:rsid w:val="0020324E"/>
    <w:rsid w:val="00203B55"/>
    <w:rsid w:val="00203E16"/>
    <w:rsid w:val="00204675"/>
    <w:rsid w:val="00205185"/>
    <w:rsid w:val="00205753"/>
    <w:rsid w:val="00205CAE"/>
    <w:rsid w:val="0020632A"/>
    <w:rsid w:val="002075B6"/>
    <w:rsid w:val="002076CC"/>
    <w:rsid w:val="00210366"/>
    <w:rsid w:val="00210A2D"/>
    <w:rsid w:val="00210DF2"/>
    <w:rsid w:val="002110EB"/>
    <w:rsid w:val="00211338"/>
    <w:rsid w:val="00213541"/>
    <w:rsid w:val="0021518A"/>
    <w:rsid w:val="00215618"/>
    <w:rsid w:val="00215B97"/>
    <w:rsid w:val="00216AAF"/>
    <w:rsid w:val="00216AEE"/>
    <w:rsid w:val="00216E64"/>
    <w:rsid w:val="002177D9"/>
    <w:rsid w:val="00217988"/>
    <w:rsid w:val="00217C7F"/>
    <w:rsid w:val="00220120"/>
    <w:rsid w:val="00220E20"/>
    <w:rsid w:val="0022167B"/>
    <w:rsid w:val="002232F5"/>
    <w:rsid w:val="002249BC"/>
    <w:rsid w:val="002270C0"/>
    <w:rsid w:val="002309D1"/>
    <w:rsid w:val="00230F89"/>
    <w:rsid w:val="00233909"/>
    <w:rsid w:val="002339D3"/>
    <w:rsid w:val="00234113"/>
    <w:rsid w:val="00234B84"/>
    <w:rsid w:val="00234C1A"/>
    <w:rsid w:val="0023589B"/>
    <w:rsid w:val="002364D4"/>
    <w:rsid w:val="0023691B"/>
    <w:rsid w:val="002379B1"/>
    <w:rsid w:val="002409B6"/>
    <w:rsid w:val="00243EE8"/>
    <w:rsid w:val="002456DB"/>
    <w:rsid w:val="00246944"/>
    <w:rsid w:val="00247C35"/>
    <w:rsid w:val="0025069C"/>
    <w:rsid w:val="0025151A"/>
    <w:rsid w:val="002534F1"/>
    <w:rsid w:val="002538B5"/>
    <w:rsid w:val="00254711"/>
    <w:rsid w:val="00255215"/>
    <w:rsid w:val="00255D2C"/>
    <w:rsid w:val="00256CE7"/>
    <w:rsid w:val="002576FD"/>
    <w:rsid w:val="002627A8"/>
    <w:rsid w:val="0026362F"/>
    <w:rsid w:val="00263755"/>
    <w:rsid w:val="0026403D"/>
    <w:rsid w:val="002647F7"/>
    <w:rsid w:val="00264E94"/>
    <w:rsid w:val="002654C1"/>
    <w:rsid w:val="0026616C"/>
    <w:rsid w:val="00267A47"/>
    <w:rsid w:val="00267C8B"/>
    <w:rsid w:val="00267DDA"/>
    <w:rsid w:val="002708A2"/>
    <w:rsid w:val="00271043"/>
    <w:rsid w:val="002725EE"/>
    <w:rsid w:val="002737FD"/>
    <w:rsid w:val="00273E83"/>
    <w:rsid w:val="00274DDF"/>
    <w:rsid w:val="00275E86"/>
    <w:rsid w:val="002801C7"/>
    <w:rsid w:val="00285503"/>
    <w:rsid w:val="00285AC8"/>
    <w:rsid w:val="00285AC9"/>
    <w:rsid w:val="00286089"/>
    <w:rsid w:val="00287343"/>
    <w:rsid w:val="00287741"/>
    <w:rsid w:val="002908F2"/>
    <w:rsid w:val="00290E9F"/>
    <w:rsid w:val="002914E1"/>
    <w:rsid w:val="00291C4F"/>
    <w:rsid w:val="00291FE3"/>
    <w:rsid w:val="002938BD"/>
    <w:rsid w:val="00293BBD"/>
    <w:rsid w:val="002941C6"/>
    <w:rsid w:val="00296B40"/>
    <w:rsid w:val="002A2E12"/>
    <w:rsid w:val="002A3C35"/>
    <w:rsid w:val="002A4F9E"/>
    <w:rsid w:val="002A5498"/>
    <w:rsid w:val="002A5F87"/>
    <w:rsid w:val="002A695B"/>
    <w:rsid w:val="002B3433"/>
    <w:rsid w:val="002B41FB"/>
    <w:rsid w:val="002B4390"/>
    <w:rsid w:val="002B55C7"/>
    <w:rsid w:val="002B7F13"/>
    <w:rsid w:val="002C1436"/>
    <w:rsid w:val="002C216A"/>
    <w:rsid w:val="002C28E1"/>
    <w:rsid w:val="002C2B56"/>
    <w:rsid w:val="002C2D1E"/>
    <w:rsid w:val="002C32E1"/>
    <w:rsid w:val="002C40FB"/>
    <w:rsid w:val="002C4C0C"/>
    <w:rsid w:val="002C57C8"/>
    <w:rsid w:val="002C6821"/>
    <w:rsid w:val="002C6B70"/>
    <w:rsid w:val="002D08FE"/>
    <w:rsid w:val="002D155C"/>
    <w:rsid w:val="002D2CD0"/>
    <w:rsid w:val="002D3589"/>
    <w:rsid w:val="002D481A"/>
    <w:rsid w:val="002D65E2"/>
    <w:rsid w:val="002D7275"/>
    <w:rsid w:val="002E06A1"/>
    <w:rsid w:val="002E4FB0"/>
    <w:rsid w:val="002E7979"/>
    <w:rsid w:val="002F334B"/>
    <w:rsid w:val="002F4470"/>
    <w:rsid w:val="002F61C9"/>
    <w:rsid w:val="002F7BD7"/>
    <w:rsid w:val="00301092"/>
    <w:rsid w:val="003016E2"/>
    <w:rsid w:val="003033BA"/>
    <w:rsid w:val="00304580"/>
    <w:rsid w:val="00304B38"/>
    <w:rsid w:val="0030589C"/>
    <w:rsid w:val="00306C30"/>
    <w:rsid w:val="00307067"/>
    <w:rsid w:val="003073C0"/>
    <w:rsid w:val="00307855"/>
    <w:rsid w:val="003078D7"/>
    <w:rsid w:val="003108EF"/>
    <w:rsid w:val="0031206F"/>
    <w:rsid w:val="00312204"/>
    <w:rsid w:val="00312D89"/>
    <w:rsid w:val="00314C7D"/>
    <w:rsid w:val="00316214"/>
    <w:rsid w:val="003162C8"/>
    <w:rsid w:val="00316B16"/>
    <w:rsid w:val="00321018"/>
    <w:rsid w:val="0032144D"/>
    <w:rsid w:val="00322937"/>
    <w:rsid w:val="0032350A"/>
    <w:rsid w:val="003238A9"/>
    <w:rsid w:val="00327549"/>
    <w:rsid w:val="00327CEB"/>
    <w:rsid w:val="00330722"/>
    <w:rsid w:val="00334638"/>
    <w:rsid w:val="003404C6"/>
    <w:rsid w:val="0034096E"/>
    <w:rsid w:val="003410F4"/>
    <w:rsid w:val="0034177C"/>
    <w:rsid w:val="00341D52"/>
    <w:rsid w:val="003429F6"/>
    <w:rsid w:val="00344B03"/>
    <w:rsid w:val="00345705"/>
    <w:rsid w:val="0034680A"/>
    <w:rsid w:val="00347024"/>
    <w:rsid w:val="00350AA9"/>
    <w:rsid w:val="00350DA7"/>
    <w:rsid w:val="00353653"/>
    <w:rsid w:val="00353DD5"/>
    <w:rsid w:val="00353EE8"/>
    <w:rsid w:val="00355084"/>
    <w:rsid w:val="00355E8C"/>
    <w:rsid w:val="00357167"/>
    <w:rsid w:val="00361495"/>
    <w:rsid w:val="00364EF6"/>
    <w:rsid w:val="003652E7"/>
    <w:rsid w:val="00365559"/>
    <w:rsid w:val="00366283"/>
    <w:rsid w:val="00366693"/>
    <w:rsid w:val="00366F76"/>
    <w:rsid w:val="00367828"/>
    <w:rsid w:val="00371F43"/>
    <w:rsid w:val="00372E26"/>
    <w:rsid w:val="003754D2"/>
    <w:rsid w:val="003757C2"/>
    <w:rsid w:val="00376930"/>
    <w:rsid w:val="00381C32"/>
    <w:rsid w:val="00384C43"/>
    <w:rsid w:val="00385CF3"/>
    <w:rsid w:val="00386456"/>
    <w:rsid w:val="003901B3"/>
    <w:rsid w:val="003903B0"/>
    <w:rsid w:val="00390C02"/>
    <w:rsid w:val="003912A3"/>
    <w:rsid w:val="0039143D"/>
    <w:rsid w:val="003949EE"/>
    <w:rsid w:val="003964D5"/>
    <w:rsid w:val="00396918"/>
    <w:rsid w:val="003A0878"/>
    <w:rsid w:val="003A0EBE"/>
    <w:rsid w:val="003A4CA4"/>
    <w:rsid w:val="003A581E"/>
    <w:rsid w:val="003A58BE"/>
    <w:rsid w:val="003A5E90"/>
    <w:rsid w:val="003A6751"/>
    <w:rsid w:val="003A7F89"/>
    <w:rsid w:val="003B027A"/>
    <w:rsid w:val="003B2341"/>
    <w:rsid w:val="003B267F"/>
    <w:rsid w:val="003B415C"/>
    <w:rsid w:val="003B4202"/>
    <w:rsid w:val="003B43DB"/>
    <w:rsid w:val="003B49DA"/>
    <w:rsid w:val="003B5FC5"/>
    <w:rsid w:val="003B73DE"/>
    <w:rsid w:val="003C01B1"/>
    <w:rsid w:val="003C6CBA"/>
    <w:rsid w:val="003C75FC"/>
    <w:rsid w:val="003D1BE9"/>
    <w:rsid w:val="003D3046"/>
    <w:rsid w:val="003D33FF"/>
    <w:rsid w:val="003D3D29"/>
    <w:rsid w:val="003D3D9D"/>
    <w:rsid w:val="003D43B0"/>
    <w:rsid w:val="003D45AC"/>
    <w:rsid w:val="003D527E"/>
    <w:rsid w:val="003D7E29"/>
    <w:rsid w:val="003E0D9E"/>
    <w:rsid w:val="003E1992"/>
    <w:rsid w:val="003E1EF3"/>
    <w:rsid w:val="003E4819"/>
    <w:rsid w:val="003E4A30"/>
    <w:rsid w:val="003E6423"/>
    <w:rsid w:val="003E6884"/>
    <w:rsid w:val="003E7AA5"/>
    <w:rsid w:val="003F00C3"/>
    <w:rsid w:val="003F0161"/>
    <w:rsid w:val="003F18DE"/>
    <w:rsid w:val="003F1D3C"/>
    <w:rsid w:val="0040246E"/>
    <w:rsid w:val="004030F2"/>
    <w:rsid w:val="00405913"/>
    <w:rsid w:val="00406251"/>
    <w:rsid w:val="00406A1A"/>
    <w:rsid w:val="00407705"/>
    <w:rsid w:val="0040799E"/>
    <w:rsid w:val="004102D2"/>
    <w:rsid w:val="004129BB"/>
    <w:rsid w:val="00413C8D"/>
    <w:rsid w:val="00413E61"/>
    <w:rsid w:val="00414152"/>
    <w:rsid w:val="00415DDE"/>
    <w:rsid w:val="00416308"/>
    <w:rsid w:val="00416996"/>
    <w:rsid w:val="00416E7E"/>
    <w:rsid w:val="00417025"/>
    <w:rsid w:val="004178F0"/>
    <w:rsid w:val="00421624"/>
    <w:rsid w:val="00421DF6"/>
    <w:rsid w:val="004228D3"/>
    <w:rsid w:val="00423405"/>
    <w:rsid w:val="00423A36"/>
    <w:rsid w:val="00423F66"/>
    <w:rsid w:val="00423F9F"/>
    <w:rsid w:val="00425D74"/>
    <w:rsid w:val="00425FD7"/>
    <w:rsid w:val="00427F2F"/>
    <w:rsid w:val="00430D86"/>
    <w:rsid w:val="00432AD1"/>
    <w:rsid w:val="00432B52"/>
    <w:rsid w:val="00433494"/>
    <w:rsid w:val="00434140"/>
    <w:rsid w:val="00435826"/>
    <w:rsid w:val="0043612C"/>
    <w:rsid w:val="004376B9"/>
    <w:rsid w:val="00437BA7"/>
    <w:rsid w:val="00440848"/>
    <w:rsid w:val="00441DC6"/>
    <w:rsid w:val="00441EE4"/>
    <w:rsid w:val="004422D6"/>
    <w:rsid w:val="0044490E"/>
    <w:rsid w:val="00446E21"/>
    <w:rsid w:val="00447165"/>
    <w:rsid w:val="00447729"/>
    <w:rsid w:val="00452F9A"/>
    <w:rsid w:val="00457110"/>
    <w:rsid w:val="00460D1C"/>
    <w:rsid w:val="00464311"/>
    <w:rsid w:val="00466026"/>
    <w:rsid w:val="0046603E"/>
    <w:rsid w:val="00466082"/>
    <w:rsid w:val="0046653B"/>
    <w:rsid w:val="0046694E"/>
    <w:rsid w:val="00466F10"/>
    <w:rsid w:val="00472B78"/>
    <w:rsid w:val="00473231"/>
    <w:rsid w:val="0047380F"/>
    <w:rsid w:val="0047426F"/>
    <w:rsid w:val="0047453E"/>
    <w:rsid w:val="004746AD"/>
    <w:rsid w:val="00475F18"/>
    <w:rsid w:val="00477514"/>
    <w:rsid w:val="004779F8"/>
    <w:rsid w:val="00480824"/>
    <w:rsid w:val="00480D03"/>
    <w:rsid w:val="00480ECA"/>
    <w:rsid w:val="004861E4"/>
    <w:rsid w:val="0048674D"/>
    <w:rsid w:val="004870BB"/>
    <w:rsid w:val="004872D8"/>
    <w:rsid w:val="0048754A"/>
    <w:rsid w:val="00487C10"/>
    <w:rsid w:val="00490A62"/>
    <w:rsid w:val="00490F72"/>
    <w:rsid w:val="0049241A"/>
    <w:rsid w:val="004956F3"/>
    <w:rsid w:val="004974CD"/>
    <w:rsid w:val="004A0085"/>
    <w:rsid w:val="004A0106"/>
    <w:rsid w:val="004A0F49"/>
    <w:rsid w:val="004A34D2"/>
    <w:rsid w:val="004A4F76"/>
    <w:rsid w:val="004A6841"/>
    <w:rsid w:val="004A7B59"/>
    <w:rsid w:val="004B0B42"/>
    <w:rsid w:val="004B353C"/>
    <w:rsid w:val="004B6500"/>
    <w:rsid w:val="004B6E7D"/>
    <w:rsid w:val="004B7D5F"/>
    <w:rsid w:val="004C246A"/>
    <w:rsid w:val="004C31AF"/>
    <w:rsid w:val="004C3ADF"/>
    <w:rsid w:val="004C3BA4"/>
    <w:rsid w:val="004C59F7"/>
    <w:rsid w:val="004C60C5"/>
    <w:rsid w:val="004C755C"/>
    <w:rsid w:val="004C7603"/>
    <w:rsid w:val="004D087D"/>
    <w:rsid w:val="004D22DE"/>
    <w:rsid w:val="004D4A87"/>
    <w:rsid w:val="004D52FA"/>
    <w:rsid w:val="004D53FA"/>
    <w:rsid w:val="004D5756"/>
    <w:rsid w:val="004D63F7"/>
    <w:rsid w:val="004D65AC"/>
    <w:rsid w:val="004D702B"/>
    <w:rsid w:val="004D7944"/>
    <w:rsid w:val="004D7D21"/>
    <w:rsid w:val="004D7FB4"/>
    <w:rsid w:val="004E07A4"/>
    <w:rsid w:val="004E4C6D"/>
    <w:rsid w:val="004E5463"/>
    <w:rsid w:val="004F1425"/>
    <w:rsid w:val="004F16DB"/>
    <w:rsid w:val="004F30F8"/>
    <w:rsid w:val="004F3492"/>
    <w:rsid w:val="004F3517"/>
    <w:rsid w:val="004F362E"/>
    <w:rsid w:val="004F3CDF"/>
    <w:rsid w:val="004F510B"/>
    <w:rsid w:val="004F5B24"/>
    <w:rsid w:val="004F6048"/>
    <w:rsid w:val="00501473"/>
    <w:rsid w:val="00504AA5"/>
    <w:rsid w:val="005051F8"/>
    <w:rsid w:val="0051074C"/>
    <w:rsid w:val="00510CF8"/>
    <w:rsid w:val="005112E4"/>
    <w:rsid w:val="00511922"/>
    <w:rsid w:val="00512DFA"/>
    <w:rsid w:val="00513AF2"/>
    <w:rsid w:val="00514439"/>
    <w:rsid w:val="00514D99"/>
    <w:rsid w:val="00514E3C"/>
    <w:rsid w:val="00515D32"/>
    <w:rsid w:val="0051759B"/>
    <w:rsid w:val="005216C1"/>
    <w:rsid w:val="00523703"/>
    <w:rsid w:val="00523BB1"/>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4713D"/>
    <w:rsid w:val="005472F5"/>
    <w:rsid w:val="00550567"/>
    <w:rsid w:val="00550D93"/>
    <w:rsid w:val="005514ED"/>
    <w:rsid w:val="00554A77"/>
    <w:rsid w:val="005564CA"/>
    <w:rsid w:val="005601A8"/>
    <w:rsid w:val="00561506"/>
    <w:rsid w:val="0056182B"/>
    <w:rsid w:val="005622EB"/>
    <w:rsid w:val="00562332"/>
    <w:rsid w:val="00565AA1"/>
    <w:rsid w:val="0056728F"/>
    <w:rsid w:val="00567F3B"/>
    <w:rsid w:val="00570F08"/>
    <w:rsid w:val="005721B3"/>
    <w:rsid w:val="005756AA"/>
    <w:rsid w:val="00575A1C"/>
    <w:rsid w:val="0057646F"/>
    <w:rsid w:val="00577148"/>
    <w:rsid w:val="00581C66"/>
    <w:rsid w:val="00582AE3"/>
    <w:rsid w:val="00584D9E"/>
    <w:rsid w:val="0058674C"/>
    <w:rsid w:val="0058679D"/>
    <w:rsid w:val="00586BDB"/>
    <w:rsid w:val="005879CA"/>
    <w:rsid w:val="00590380"/>
    <w:rsid w:val="005930B1"/>
    <w:rsid w:val="00596896"/>
    <w:rsid w:val="00597412"/>
    <w:rsid w:val="005A0414"/>
    <w:rsid w:val="005A119F"/>
    <w:rsid w:val="005A1645"/>
    <w:rsid w:val="005A2130"/>
    <w:rsid w:val="005A4FC5"/>
    <w:rsid w:val="005A6AB9"/>
    <w:rsid w:val="005A7DBD"/>
    <w:rsid w:val="005B1144"/>
    <w:rsid w:val="005B4267"/>
    <w:rsid w:val="005B5BE2"/>
    <w:rsid w:val="005B753A"/>
    <w:rsid w:val="005C00FA"/>
    <w:rsid w:val="005C343C"/>
    <w:rsid w:val="005C3BE4"/>
    <w:rsid w:val="005C5C9A"/>
    <w:rsid w:val="005C6A48"/>
    <w:rsid w:val="005C6C85"/>
    <w:rsid w:val="005C7184"/>
    <w:rsid w:val="005D1BC0"/>
    <w:rsid w:val="005D3155"/>
    <w:rsid w:val="005D35B6"/>
    <w:rsid w:val="005D36B1"/>
    <w:rsid w:val="005D4AEF"/>
    <w:rsid w:val="005D4E8A"/>
    <w:rsid w:val="005D50CE"/>
    <w:rsid w:val="005D51FA"/>
    <w:rsid w:val="005D5B90"/>
    <w:rsid w:val="005D791B"/>
    <w:rsid w:val="005E01CE"/>
    <w:rsid w:val="005E09A6"/>
    <w:rsid w:val="005E139E"/>
    <w:rsid w:val="005E1974"/>
    <w:rsid w:val="005E3B5B"/>
    <w:rsid w:val="005E4765"/>
    <w:rsid w:val="005E5697"/>
    <w:rsid w:val="005E7B52"/>
    <w:rsid w:val="005F055F"/>
    <w:rsid w:val="005F1B0F"/>
    <w:rsid w:val="005F317C"/>
    <w:rsid w:val="005F37CD"/>
    <w:rsid w:val="005F3CD0"/>
    <w:rsid w:val="005F51FB"/>
    <w:rsid w:val="005F53B6"/>
    <w:rsid w:val="005F599B"/>
    <w:rsid w:val="005F650A"/>
    <w:rsid w:val="005F68F7"/>
    <w:rsid w:val="005F788C"/>
    <w:rsid w:val="0060070B"/>
    <w:rsid w:val="00602708"/>
    <w:rsid w:val="00603E4D"/>
    <w:rsid w:val="00603FBE"/>
    <w:rsid w:val="00604893"/>
    <w:rsid w:val="00604B04"/>
    <w:rsid w:val="006058F6"/>
    <w:rsid w:val="00611365"/>
    <w:rsid w:val="00611ED9"/>
    <w:rsid w:val="00612C51"/>
    <w:rsid w:val="00612C53"/>
    <w:rsid w:val="00613FDA"/>
    <w:rsid w:val="006146F1"/>
    <w:rsid w:val="00614817"/>
    <w:rsid w:val="006165B4"/>
    <w:rsid w:val="00616E1F"/>
    <w:rsid w:val="00620FE8"/>
    <w:rsid w:val="00621021"/>
    <w:rsid w:val="00621A1E"/>
    <w:rsid w:val="006230B0"/>
    <w:rsid w:val="00623D2C"/>
    <w:rsid w:val="00624498"/>
    <w:rsid w:val="0062724E"/>
    <w:rsid w:val="00630D7C"/>
    <w:rsid w:val="006318E7"/>
    <w:rsid w:val="00631CE1"/>
    <w:rsid w:val="0063224F"/>
    <w:rsid w:val="0063269D"/>
    <w:rsid w:val="00633DBF"/>
    <w:rsid w:val="00633DC6"/>
    <w:rsid w:val="006341BB"/>
    <w:rsid w:val="00635DED"/>
    <w:rsid w:val="0063667E"/>
    <w:rsid w:val="006421F8"/>
    <w:rsid w:val="00643B51"/>
    <w:rsid w:val="006441CE"/>
    <w:rsid w:val="006447B9"/>
    <w:rsid w:val="00644D7F"/>
    <w:rsid w:val="0064514E"/>
    <w:rsid w:val="00650FE8"/>
    <w:rsid w:val="006518DC"/>
    <w:rsid w:val="00652BAA"/>
    <w:rsid w:val="00653CA3"/>
    <w:rsid w:val="00654069"/>
    <w:rsid w:val="00655371"/>
    <w:rsid w:val="006559E3"/>
    <w:rsid w:val="00657259"/>
    <w:rsid w:val="00657446"/>
    <w:rsid w:val="00660D51"/>
    <w:rsid w:val="00662C7E"/>
    <w:rsid w:val="0066325D"/>
    <w:rsid w:val="006634B1"/>
    <w:rsid w:val="00667768"/>
    <w:rsid w:val="006678A3"/>
    <w:rsid w:val="00667E0E"/>
    <w:rsid w:val="00670466"/>
    <w:rsid w:val="0067148D"/>
    <w:rsid w:val="0067157B"/>
    <w:rsid w:val="00672272"/>
    <w:rsid w:val="006728A0"/>
    <w:rsid w:val="006734E6"/>
    <w:rsid w:val="006748E0"/>
    <w:rsid w:val="00674F99"/>
    <w:rsid w:val="00675436"/>
    <w:rsid w:val="006807C6"/>
    <w:rsid w:val="00680B58"/>
    <w:rsid w:val="00681971"/>
    <w:rsid w:val="00681EED"/>
    <w:rsid w:val="00682E7B"/>
    <w:rsid w:val="006852F3"/>
    <w:rsid w:val="006906D4"/>
    <w:rsid w:val="0069141C"/>
    <w:rsid w:val="006919EA"/>
    <w:rsid w:val="00691AAC"/>
    <w:rsid w:val="00692992"/>
    <w:rsid w:val="00692F57"/>
    <w:rsid w:val="006954E4"/>
    <w:rsid w:val="00695B70"/>
    <w:rsid w:val="00697665"/>
    <w:rsid w:val="00697742"/>
    <w:rsid w:val="00697C55"/>
    <w:rsid w:val="00697DD0"/>
    <w:rsid w:val="006A0EB7"/>
    <w:rsid w:val="006A6ACB"/>
    <w:rsid w:val="006A6C04"/>
    <w:rsid w:val="006A7BB4"/>
    <w:rsid w:val="006A7CB5"/>
    <w:rsid w:val="006A7FD0"/>
    <w:rsid w:val="006B064B"/>
    <w:rsid w:val="006B08EC"/>
    <w:rsid w:val="006B0C4E"/>
    <w:rsid w:val="006B2398"/>
    <w:rsid w:val="006B24DE"/>
    <w:rsid w:val="006B2D45"/>
    <w:rsid w:val="006B318A"/>
    <w:rsid w:val="006B39D4"/>
    <w:rsid w:val="006B5051"/>
    <w:rsid w:val="006B5FA9"/>
    <w:rsid w:val="006C06E6"/>
    <w:rsid w:val="006C116D"/>
    <w:rsid w:val="006C132E"/>
    <w:rsid w:val="006C1463"/>
    <w:rsid w:val="006C18C1"/>
    <w:rsid w:val="006C1A72"/>
    <w:rsid w:val="006C2A51"/>
    <w:rsid w:val="006C2B00"/>
    <w:rsid w:val="006C3B52"/>
    <w:rsid w:val="006C6EE9"/>
    <w:rsid w:val="006C771B"/>
    <w:rsid w:val="006C7CD4"/>
    <w:rsid w:val="006C7EC1"/>
    <w:rsid w:val="006C7F3D"/>
    <w:rsid w:val="006D0BAE"/>
    <w:rsid w:val="006D2519"/>
    <w:rsid w:val="006D4B09"/>
    <w:rsid w:val="006D5552"/>
    <w:rsid w:val="006D582C"/>
    <w:rsid w:val="006D5B2B"/>
    <w:rsid w:val="006D7687"/>
    <w:rsid w:val="006D7CF6"/>
    <w:rsid w:val="006E0572"/>
    <w:rsid w:val="006E131E"/>
    <w:rsid w:val="006E170C"/>
    <w:rsid w:val="006E19D3"/>
    <w:rsid w:val="006E1E98"/>
    <w:rsid w:val="006E37FA"/>
    <w:rsid w:val="006E4AF7"/>
    <w:rsid w:val="006E66D9"/>
    <w:rsid w:val="006F3617"/>
    <w:rsid w:val="006F4EB3"/>
    <w:rsid w:val="006F56C4"/>
    <w:rsid w:val="006F6168"/>
    <w:rsid w:val="006F7679"/>
    <w:rsid w:val="00700B57"/>
    <w:rsid w:val="007014F8"/>
    <w:rsid w:val="00705403"/>
    <w:rsid w:val="00705631"/>
    <w:rsid w:val="00706C8B"/>
    <w:rsid w:val="00707531"/>
    <w:rsid w:val="00710134"/>
    <w:rsid w:val="00711205"/>
    <w:rsid w:val="007136AC"/>
    <w:rsid w:val="00715437"/>
    <w:rsid w:val="00715EAA"/>
    <w:rsid w:val="007168C5"/>
    <w:rsid w:val="00716CC3"/>
    <w:rsid w:val="00720050"/>
    <w:rsid w:val="007213F0"/>
    <w:rsid w:val="00722293"/>
    <w:rsid w:val="00723B38"/>
    <w:rsid w:val="00723E02"/>
    <w:rsid w:val="00724D11"/>
    <w:rsid w:val="00726F60"/>
    <w:rsid w:val="00733BCA"/>
    <w:rsid w:val="0073441F"/>
    <w:rsid w:val="007354E5"/>
    <w:rsid w:val="0073589B"/>
    <w:rsid w:val="00735AEF"/>
    <w:rsid w:val="007412B8"/>
    <w:rsid w:val="00741A9E"/>
    <w:rsid w:val="00742281"/>
    <w:rsid w:val="00742DD2"/>
    <w:rsid w:val="007449D2"/>
    <w:rsid w:val="00746E08"/>
    <w:rsid w:val="00747C96"/>
    <w:rsid w:val="007503E9"/>
    <w:rsid w:val="0075094E"/>
    <w:rsid w:val="007522E8"/>
    <w:rsid w:val="00755CC4"/>
    <w:rsid w:val="0075647A"/>
    <w:rsid w:val="007572F9"/>
    <w:rsid w:val="00760166"/>
    <w:rsid w:val="00762948"/>
    <w:rsid w:val="00762F48"/>
    <w:rsid w:val="007634AD"/>
    <w:rsid w:val="00764011"/>
    <w:rsid w:val="0076432E"/>
    <w:rsid w:val="007668D9"/>
    <w:rsid w:val="00766A70"/>
    <w:rsid w:val="0077057C"/>
    <w:rsid w:val="007707A7"/>
    <w:rsid w:val="00770B28"/>
    <w:rsid w:val="00771DF3"/>
    <w:rsid w:val="00773CB2"/>
    <w:rsid w:val="00775563"/>
    <w:rsid w:val="00776689"/>
    <w:rsid w:val="0078122E"/>
    <w:rsid w:val="00783A83"/>
    <w:rsid w:val="00792E66"/>
    <w:rsid w:val="00792F13"/>
    <w:rsid w:val="007930A5"/>
    <w:rsid w:val="00793373"/>
    <w:rsid w:val="00793E57"/>
    <w:rsid w:val="00794007"/>
    <w:rsid w:val="00795647"/>
    <w:rsid w:val="007973B1"/>
    <w:rsid w:val="007A174B"/>
    <w:rsid w:val="007A3611"/>
    <w:rsid w:val="007A4FE3"/>
    <w:rsid w:val="007A5737"/>
    <w:rsid w:val="007A6125"/>
    <w:rsid w:val="007A76FC"/>
    <w:rsid w:val="007B0854"/>
    <w:rsid w:val="007B1ACE"/>
    <w:rsid w:val="007B27D7"/>
    <w:rsid w:val="007B2D7A"/>
    <w:rsid w:val="007B4F45"/>
    <w:rsid w:val="007B4F4C"/>
    <w:rsid w:val="007B660A"/>
    <w:rsid w:val="007C0AB3"/>
    <w:rsid w:val="007C15C8"/>
    <w:rsid w:val="007C209F"/>
    <w:rsid w:val="007C22B6"/>
    <w:rsid w:val="007C2357"/>
    <w:rsid w:val="007C2D7E"/>
    <w:rsid w:val="007C33A6"/>
    <w:rsid w:val="007C3ED7"/>
    <w:rsid w:val="007C4A1C"/>
    <w:rsid w:val="007C4BE5"/>
    <w:rsid w:val="007C58BD"/>
    <w:rsid w:val="007C5C1C"/>
    <w:rsid w:val="007D00BD"/>
    <w:rsid w:val="007D01F0"/>
    <w:rsid w:val="007D0B72"/>
    <w:rsid w:val="007D1296"/>
    <w:rsid w:val="007D3671"/>
    <w:rsid w:val="007D4919"/>
    <w:rsid w:val="007D4DA8"/>
    <w:rsid w:val="007D4DBE"/>
    <w:rsid w:val="007D5C3E"/>
    <w:rsid w:val="007D6C71"/>
    <w:rsid w:val="007D77C7"/>
    <w:rsid w:val="007D7901"/>
    <w:rsid w:val="007D7DD8"/>
    <w:rsid w:val="007E02AE"/>
    <w:rsid w:val="007E0C58"/>
    <w:rsid w:val="007E1312"/>
    <w:rsid w:val="007E25A3"/>
    <w:rsid w:val="007E3638"/>
    <w:rsid w:val="007E3ACA"/>
    <w:rsid w:val="007E5C16"/>
    <w:rsid w:val="007E676C"/>
    <w:rsid w:val="007E7A93"/>
    <w:rsid w:val="007F15AE"/>
    <w:rsid w:val="007F1C69"/>
    <w:rsid w:val="007F51B0"/>
    <w:rsid w:val="007F54FB"/>
    <w:rsid w:val="007F5623"/>
    <w:rsid w:val="007F573F"/>
    <w:rsid w:val="007F6A64"/>
    <w:rsid w:val="007F6B46"/>
    <w:rsid w:val="007F6D80"/>
    <w:rsid w:val="007F72CB"/>
    <w:rsid w:val="00800C47"/>
    <w:rsid w:val="0080224B"/>
    <w:rsid w:val="0080370F"/>
    <w:rsid w:val="0080514C"/>
    <w:rsid w:val="00806A11"/>
    <w:rsid w:val="00806AD5"/>
    <w:rsid w:val="00810C5F"/>
    <w:rsid w:val="008132FA"/>
    <w:rsid w:val="00813988"/>
    <w:rsid w:val="00814E0D"/>
    <w:rsid w:val="0081553B"/>
    <w:rsid w:val="00815BCC"/>
    <w:rsid w:val="008160B2"/>
    <w:rsid w:val="00817744"/>
    <w:rsid w:val="00817C29"/>
    <w:rsid w:val="0082011E"/>
    <w:rsid w:val="0082065D"/>
    <w:rsid w:val="00820A37"/>
    <w:rsid w:val="008217B7"/>
    <w:rsid w:val="00824BF9"/>
    <w:rsid w:val="00830018"/>
    <w:rsid w:val="00830303"/>
    <w:rsid w:val="0083119B"/>
    <w:rsid w:val="008326A3"/>
    <w:rsid w:val="00833039"/>
    <w:rsid w:val="00835917"/>
    <w:rsid w:val="00836A52"/>
    <w:rsid w:val="00836EAB"/>
    <w:rsid w:val="0083782B"/>
    <w:rsid w:val="008403F6"/>
    <w:rsid w:val="00840960"/>
    <w:rsid w:val="00840A52"/>
    <w:rsid w:val="008420C6"/>
    <w:rsid w:val="008426DA"/>
    <w:rsid w:val="008445AD"/>
    <w:rsid w:val="00844864"/>
    <w:rsid w:val="00845AF5"/>
    <w:rsid w:val="00846235"/>
    <w:rsid w:val="00846B3D"/>
    <w:rsid w:val="0085092D"/>
    <w:rsid w:val="00850F79"/>
    <w:rsid w:val="00851723"/>
    <w:rsid w:val="00851D62"/>
    <w:rsid w:val="00853074"/>
    <w:rsid w:val="00853AE0"/>
    <w:rsid w:val="00853AF8"/>
    <w:rsid w:val="00854D44"/>
    <w:rsid w:val="00854DB7"/>
    <w:rsid w:val="00857EEA"/>
    <w:rsid w:val="0086121D"/>
    <w:rsid w:val="00861F54"/>
    <w:rsid w:val="0086218A"/>
    <w:rsid w:val="008632AF"/>
    <w:rsid w:val="00864821"/>
    <w:rsid w:val="008654BA"/>
    <w:rsid w:val="00870AF9"/>
    <w:rsid w:val="00871990"/>
    <w:rsid w:val="00872A2E"/>
    <w:rsid w:val="008749A9"/>
    <w:rsid w:val="00876146"/>
    <w:rsid w:val="0087668B"/>
    <w:rsid w:val="00876868"/>
    <w:rsid w:val="00876C3A"/>
    <w:rsid w:val="008770F7"/>
    <w:rsid w:val="00880378"/>
    <w:rsid w:val="00880D11"/>
    <w:rsid w:val="00881812"/>
    <w:rsid w:val="00881A23"/>
    <w:rsid w:val="00882C43"/>
    <w:rsid w:val="00882F5E"/>
    <w:rsid w:val="0088409B"/>
    <w:rsid w:val="0088434E"/>
    <w:rsid w:val="0088605D"/>
    <w:rsid w:val="00886E97"/>
    <w:rsid w:val="00887C57"/>
    <w:rsid w:val="00890D42"/>
    <w:rsid w:val="00891FB0"/>
    <w:rsid w:val="008927F9"/>
    <w:rsid w:val="0089306D"/>
    <w:rsid w:val="00894211"/>
    <w:rsid w:val="00894D5C"/>
    <w:rsid w:val="0089774F"/>
    <w:rsid w:val="008A18EE"/>
    <w:rsid w:val="008A1C35"/>
    <w:rsid w:val="008A1C99"/>
    <w:rsid w:val="008A1E91"/>
    <w:rsid w:val="008A2523"/>
    <w:rsid w:val="008A2550"/>
    <w:rsid w:val="008A2823"/>
    <w:rsid w:val="008A3153"/>
    <w:rsid w:val="008A383B"/>
    <w:rsid w:val="008A4934"/>
    <w:rsid w:val="008A519B"/>
    <w:rsid w:val="008A7EB2"/>
    <w:rsid w:val="008B1829"/>
    <w:rsid w:val="008B2C6A"/>
    <w:rsid w:val="008B3AED"/>
    <w:rsid w:val="008B5BDA"/>
    <w:rsid w:val="008B6265"/>
    <w:rsid w:val="008B6B7E"/>
    <w:rsid w:val="008C30C7"/>
    <w:rsid w:val="008C34B5"/>
    <w:rsid w:val="008C3736"/>
    <w:rsid w:val="008C4741"/>
    <w:rsid w:val="008C4BF8"/>
    <w:rsid w:val="008C6F87"/>
    <w:rsid w:val="008C7C2E"/>
    <w:rsid w:val="008D1EFE"/>
    <w:rsid w:val="008D271F"/>
    <w:rsid w:val="008D36DB"/>
    <w:rsid w:val="008D46D3"/>
    <w:rsid w:val="008D56BF"/>
    <w:rsid w:val="008D572E"/>
    <w:rsid w:val="008D711B"/>
    <w:rsid w:val="008D7643"/>
    <w:rsid w:val="008D79F4"/>
    <w:rsid w:val="008D7EE7"/>
    <w:rsid w:val="008E043D"/>
    <w:rsid w:val="008E1C15"/>
    <w:rsid w:val="008E35DC"/>
    <w:rsid w:val="008E3C08"/>
    <w:rsid w:val="008E426F"/>
    <w:rsid w:val="008E4E6A"/>
    <w:rsid w:val="008E5687"/>
    <w:rsid w:val="008E7DBB"/>
    <w:rsid w:val="008F0B5E"/>
    <w:rsid w:val="008F2D5F"/>
    <w:rsid w:val="008F39C7"/>
    <w:rsid w:val="008F538E"/>
    <w:rsid w:val="008F5551"/>
    <w:rsid w:val="008F6CB0"/>
    <w:rsid w:val="008F7712"/>
    <w:rsid w:val="00900304"/>
    <w:rsid w:val="00900817"/>
    <w:rsid w:val="009008CF"/>
    <w:rsid w:val="00900F40"/>
    <w:rsid w:val="009037EE"/>
    <w:rsid w:val="00904534"/>
    <w:rsid w:val="00904785"/>
    <w:rsid w:val="009047C5"/>
    <w:rsid w:val="009065BE"/>
    <w:rsid w:val="00906A56"/>
    <w:rsid w:val="0091187A"/>
    <w:rsid w:val="00911E11"/>
    <w:rsid w:val="009139FF"/>
    <w:rsid w:val="00913DEE"/>
    <w:rsid w:val="00914DA0"/>
    <w:rsid w:val="00914F6A"/>
    <w:rsid w:val="00915799"/>
    <w:rsid w:val="00915933"/>
    <w:rsid w:val="00915B66"/>
    <w:rsid w:val="00916D58"/>
    <w:rsid w:val="009173EE"/>
    <w:rsid w:val="0091758D"/>
    <w:rsid w:val="00917D8E"/>
    <w:rsid w:val="00920A32"/>
    <w:rsid w:val="00921674"/>
    <w:rsid w:val="009224E5"/>
    <w:rsid w:val="00922597"/>
    <w:rsid w:val="00922786"/>
    <w:rsid w:val="009234B9"/>
    <w:rsid w:val="00923802"/>
    <w:rsid w:val="009246D0"/>
    <w:rsid w:val="00924C63"/>
    <w:rsid w:val="00927D00"/>
    <w:rsid w:val="00933C9F"/>
    <w:rsid w:val="009350C1"/>
    <w:rsid w:val="009368B9"/>
    <w:rsid w:val="00937020"/>
    <w:rsid w:val="00940DB9"/>
    <w:rsid w:val="009443C9"/>
    <w:rsid w:val="0094567D"/>
    <w:rsid w:val="009458F0"/>
    <w:rsid w:val="00945F5E"/>
    <w:rsid w:val="00946A8B"/>
    <w:rsid w:val="009471A0"/>
    <w:rsid w:val="00947622"/>
    <w:rsid w:val="00951621"/>
    <w:rsid w:val="00952E98"/>
    <w:rsid w:val="0095385A"/>
    <w:rsid w:val="00955202"/>
    <w:rsid w:val="00955B44"/>
    <w:rsid w:val="00956821"/>
    <w:rsid w:val="00964425"/>
    <w:rsid w:val="00964942"/>
    <w:rsid w:val="009658C0"/>
    <w:rsid w:val="00967268"/>
    <w:rsid w:val="00967B9B"/>
    <w:rsid w:val="00967CD8"/>
    <w:rsid w:val="00970437"/>
    <w:rsid w:val="00971F9D"/>
    <w:rsid w:val="00971FAB"/>
    <w:rsid w:val="009726BB"/>
    <w:rsid w:val="0097606C"/>
    <w:rsid w:val="00976295"/>
    <w:rsid w:val="00981216"/>
    <w:rsid w:val="00982027"/>
    <w:rsid w:val="009820DB"/>
    <w:rsid w:val="0098238F"/>
    <w:rsid w:val="0098489D"/>
    <w:rsid w:val="00984AB9"/>
    <w:rsid w:val="0098623D"/>
    <w:rsid w:val="009900DC"/>
    <w:rsid w:val="009906BE"/>
    <w:rsid w:val="0099095D"/>
    <w:rsid w:val="009916A7"/>
    <w:rsid w:val="00992127"/>
    <w:rsid w:val="009922C8"/>
    <w:rsid w:val="0099237F"/>
    <w:rsid w:val="0099262B"/>
    <w:rsid w:val="00994DF5"/>
    <w:rsid w:val="00994E2D"/>
    <w:rsid w:val="00994FC6"/>
    <w:rsid w:val="009976EE"/>
    <w:rsid w:val="009A0F94"/>
    <w:rsid w:val="009A2B57"/>
    <w:rsid w:val="009A3569"/>
    <w:rsid w:val="009A4826"/>
    <w:rsid w:val="009A60FC"/>
    <w:rsid w:val="009A758C"/>
    <w:rsid w:val="009B031D"/>
    <w:rsid w:val="009B4776"/>
    <w:rsid w:val="009B512E"/>
    <w:rsid w:val="009B5190"/>
    <w:rsid w:val="009B61A4"/>
    <w:rsid w:val="009C0D78"/>
    <w:rsid w:val="009C31BE"/>
    <w:rsid w:val="009C37DC"/>
    <w:rsid w:val="009C57EF"/>
    <w:rsid w:val="009C6959"/>
    <w:rsid w:val="009C713B"/>
    <w:rsid w:val="009D3CF6"/>
    <w:rsid w:val="009D4945"/>
    <w:rsid w:val="009D4B2F"/>
    <w:rsid w:val="009D5C7D"/>
    <w:rsid w:val="009D6E69"/>
    <w:rsid w:val="009E0147"/>
    <w:rsid w:val="009E0B9D"/>
    <w:rsid w:val="009E30D4"/>
    <w:rsid w:val="009E4795"/>
    <w:rsid w:val="009E4C7C"/>
    <w:rsid w:val="009E54F2"/>
    <w:rsid w:val="009E5853"/>
    <w:rsid w:val="009E64D5"/>
    <w:rsid w:val="009F246D"/>
    <w:rsid w:val="009F261D"/>
    <w:rsid w:val="009F3602"/>
    <w:rsid w:val="009F5096"/>
    <w:rsid w:val="009F59C2"/>
    <w:rsid w:val="009F78A0"/>
    <w:rsid w:val="00A0103E"/>
    <w:rsid w:val="00A010FC"/>
    <w:rsid w:val="00A02213"/>
    <w:rsid w:val="00A03425"/>
    <w:rsid w:val="00A04977"/>
    <w:rsid w:val="00A04B5C"/>
    <w:rsid w:val="00A05140"/>
    <w:rsid w:val="00A0528D"/>
    <w:rsid w:val="00A066BD"/>
    <w:rsid w:val="00A10053"/>
    <w:rsid w:val="00A11895"/>
    <w:rsid w:val="00A13886"/>
    <w:rsid w:val="00A14415"/>
    <w:rsid w:val="00A146B7"/>
    <w:rsid w:val="00A16FAB"/>
    <w:rsid w:val="00A1798B"/>
    <w:rsid w:val="00A2084E"/>
    <w:rsid w:val="00A21B32"/>
    <w:rsid w:val="00A228C5"/>
    <w:rsid w:val="00A22C39"/>
    <w:rsid w:val="00A23693"/>
    <w:rsid w:val="00A23CE5"/>
    <w:rsid w:val="00A2433B"/>
    <w:rsid w:val="00A2439B"/>
    <w:rsid w:val="00A24560"/>
    <w:rsid w:val="00A24834"/>
    <w:rsid w:val="00A27708"/>
    <w:rsid w:val="00A32B79"/>
    <w:rsid w:val="00A3420B"/>
    <w:rsid w:val="00A34538"/>
    <w:rsid w:val="00A350AF"/>
    <w:rsid w:val="00A35AD8"/>
    <w:rsid w:val="00A37C18"/>
    <w:rsid w:val="00A37FB6"/>
    <w:rsid w:val="00A40A28"/>
    <w:rsid w:val="00A42365"/>
    <w:rsid w:val="00A426EC"/>
    <w:rsid w:val="00A462AB"/>
    <w:rsid w:val="00A500EF"/>
    <w:rsid w:val="00A514D4"/>
    <w:rsid w:val="00A51659"/>
    <w:rsid w:val="00A5350E"/>
    <w:rsid w:val="00A54C12"/>
    <w:rsid w:val="00A5539A"/>
    <w:rsid w:val="00A568F2"/>
    <w:rsid w:val="00A568F6"/>
    <w:rsid w:val="00A57160"/>
    <w:rsid w:val="00A6121B"/>
    <w:rsid w:val="00A61297"/>
    <w:rsid w:val="00A612F6"/>
    <w:rsid w:val="00A62322"/>
    <w:rsid w:val="00A65AD5"/>
    <w:rsid w:val="00A7090A"/>
    <w:rsid w:val="00A734C1"/>
    <w:rsid w:val="00A73C6F"/>
    <w:rsid w:val="00A74544"/>
    <w:rsid w:val="00A757E2"/>
    <w:rsid w:val="00A771A5"/>
    <w:rsid w:val="00A82473"/>
    <w:rsid w:val="00A83087"/>
    <w:rsid w:val="00A83E55"/>
    <w:rsid w:val="00A83F78"/>
    <w:rsid w:val="00A8570E"/>
    <w:rsid w:val="00A858FD"/>
    <w:rsid w:val="00A87ECD"/>
    <w:rsid w:val="00A91BEA"/>
    <w:rsid w:val="00A944C2"/>
    <w:rsid w:val="00A9502E"/>
    <w:rsid w:val="00A95095"/>
    <w:rsid w:val="00A95142"/>
    <w:rsid w:val="00A957B9"/>
    <w:rsid w:val="00A9641E"/>
    <w:rsid w:val="00A97125"/>
    <w:rsid w:val="00A97234"/>
    <w:rsid w:val="00AA08E7"/>
    <w:rsid w:val="00AA0B78"/>
    <w:rsid w:val="00AA0BE1"/>
    <w:rsid w:val="00AA2094"/>
    <w:rsid w:val="00AA442B"/>
    <w:rsid w:val="00AA669D"/>
    <w:rsid w:val="00AA69BC"/>
    <w:rsid w:val="00AA7403"/>
    <w:rsid w:val="00AA7503"/>
    <w:rsid w:val="00AB0808"/>
    <w:rsid w:val="00AB3212"/>
    <w:rsid w:val="00AB35A6"/>
    <w:rsid w:val="00AB5852"/>
    <w:rsid w:val="00AB5969"/>
    <w:rsid w:val="00AB5C7F"/>
    <w:rsid w:val="00AB628F"/>
    <w:rsid w:val="00AB6591"/>
    <w:rsid w:val="00AC146A"/>
    <w:rsid w:val="00AC27E8"/>
    <w:rsid w:val="00AC4829"/>
    <w:rsid w:val="00AC514C"/>
    <w:rsid w:val="00AC5690"/>
    <w:rsid w:val="00AC5F3A"/>
    <w:rsid w:val="00AC611D"/>
    <w:rsid w:val="00AD1A73"/>
    <w:rsid w:val="00AD45E3"/>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561D"/>
    <w:rsid w:val="00AF6C46"/>
    <w:rsid w:val="00B000D8"/>
    <w:rsid w:val="00B012D7"/>
    <w:rsid w:val="00B014E5"/>
    <w:rsid w:val="00B02774"/>
    <w:rsid w:val="00B04012"/>
    <w:rsid w:val="00B04E6F"/>
    <w:rsid w:val="00B050B8"/>
    <w:rsid w:val="00B05411"/>
    <w:rsid w:val="00B0753B"/>
    <w:rsid w:val="00B12F06"/>
    <w:rsid w:val="00B13EC0"/>
    <w:rsid w:val="00B16829"/>
    <w:rsid w:val="00B179C1"/>
    <w:rsid w:val="00B20525"/>
    <w:rsid w:val="00B21442"/>
    <w:rsid w:val="00B22E22"/>
    <w:rsid w:val="00B2513E"/>
    <w:rsid w:val="00B2548B"/>
    <w:rsid w:val="00B25E66"/>
    <w:rsid w:val="00B27AD4"/>
    <w:rsid w:val="00B30086"/>
    <w:rsid w:val="00B31F22"/>
    <w:rsid w:val="00B32BCD"/>
    <w:rsid w:val="00B35625"/>
    <w:rsid w:val="00B359ED"/>
    <w:rsid w:val="00B36260"/>
    <w:rsid w:val="00B36832"/>
    <w:rsid w:val="00B37C00"/>
    <w:rsid w:val="00B40486"/>
    <w:rsid w:val="00B426AA"/>
    <w:rsid w:val="00B44270"/>
    <w:rsid w:val="00B44AD6"/>
    <w:rsid w:val="00B44E8E"/>
    <w:rsid w:val="00B46C42"/>
    <w:rsid w:val="00B51003"/>
    <w:rsid w:val="00B512FD"/>
    <w:rsid w:val="00B525CB"/>
    <w:rsid w:val="00B5487A"/>
    <w:rsid w:val="00B552B6"/>
    <w:rsid w:val="00B5546E"/>
    <w:rsid w:val="00B5566E"/>
    <w:rsid w:val="00B55851"/>
    <w:rsid w:val="00B5758A"/>
    <w:rsid w:val="00B57B27"/>
    <w:rsid w:val="00B60461"/>
    <w:rsid w:val="00B61B4F"/>
    <w:rsid w:val="00B62A61"/>
    <w:rsid w:val="00B62F95"/>
    <w:rsid w:val="00B633F9"/>
    <w:rsid w:val="00B63872"/>
    <w:rsid w:val="00B63CB2"/>
    <w:rsid w:val="00B641D9"/>
    <w:rsid w:val="00B64EDB"/>
    <w:rsid w:val="00B654E7"/>
    <w:rsid w:val="00B66578"/>
    <w:rsid w:val="00B71C79"/>
    <w:rsid w:val="00B7315F"/>
    <w:rsid w:val="00B750D9"/>
    <w:rsid w:val="00B76967"/>
    <w:rsid w:val="00B77F95"/>
    <w:rsid w:val="00B81F6E"/>
    <w:rsid w:val="00B84416"/>
    <w:rsid w:val="00B84BA7"/>
    <w:rsid w:val="00B85186"/>
    <w:rsid w:val="00B855EF"/>
    <w:rsid w:val="00B91AF0"/>
    <w:rsid w:val="00B91B8E"/>
    <w:rsid w:val="00B9384C"/>
    <w:rsid w:val="00B93C9A"/>
    <w:rsid w:val="00B94548"/>
    <w:rsid w:val="00B94A44"/>
    <w:rsid w:val="00B955AB"/>
    <w:rsid w:val="00B95AC8"/>
    <w:rsid w:val="00B9618B"/>
    <w:rsid w:val="00B97E63"/>
    <w:rsid w:val="00BA05BA"/>
    <w:rsid w:val="00BA19D8"/>
    <w:rsid w:val="00BA3286"/>
    <w:rsid w:val="00BA3871"/>
    <w:rsid w:val="00BA4D28"/>
    <w:rsid w:val="00BA4E77"/>
    <w:rsid w:val="00BB00BC"/>
    <w:rsid w:val="00BB3B04"/>
    <w:rsid w:val="00BB3EE8"/>
    <w:rsid w:val="00BB584D"/>
    <w:rsid w:val="00BB7084"/>
    <w:rsid w:val="00BB7E79"/>
    <w:rsid w:val="00BC2704"/>
    <w:rsid w:val="00BC7280"/>
    <w:rsid w:val="00BD120E"/>
    <w:rsid w:val="00BD2036"/>
    <w:rsid w:val="00BD2700"/>
    <w:rsid w:val="00BD47CA"/>
    <w:rsid w:val="00BD78FE"/>
    <w:rsid w:val="00BE0AD3"/>
    <w:rsid w:val="00BE15DA"/>
    <w:rsid w:val="00BE16E8"/>
    <w:rsid w:val="00BE1CEA"/>
    <w:rsid w:val="00BE5743"/>
    <w:rsid w:val="00BE5EA8"/>
    <w:rsid w:val="00BE642B"/>
    <w:rsid w:val="00BE67A9"/>
    <w:rsid w:val="00BE72D6"/>
    <w:rsid w:val="00BF31BA"/>
    <w:rsid w:val="00BF5E9C"/>
    <w:rsid w:val="00BF66C2"/>
    <w:rsid w:val="00BF6D9D"/>
    <w:rsid w:val="00BF7724"/>
    <w:rsid w:val="00C00B9C"/>
    <w:rsid w:val="00C014AB"/>
    <w:rsid w:val="00C0241E"/>
    <w:rsid w:val="00C02CA7"/>
    <w:rsid w:val="00C0362B"/>
    <w:rsid w:val="00C03773"/>
    <w:rsid w:val="00C0469E"/>
    <w:rsid w:val="00C055D5"/>
    <w:rsid w:val="00C06A57"/>
    <w:rsid w:val="00C06B30"/>
    <w:rsid w:val="00C073B7"/>
    <w:rsid w:val="00C07B9B"/>
    <w:rsid w:val="00C126E0"/>
    <w:rsid w:val="00C1486D"/>
    <w:rsid w:val="00C170AF"/>
    <w:rsid w:val="00C17E35"/>
    <w:rsid w:val="00C20738"/>
    <w:rsid w:val="00C20AB9"/>
    <w:rsid w:val="00C220CE"/>
    <w:rsid w:val="00C22BB6"/>
    <w:rsid w:val="00C239DC"/>
    <w:rsid w:val="00C24150"/>
    <w:rsid w:val="00C245B6"/>
    <w:rsid w:val="00C24D7E"/>
    <w:rsid w:val="00C269AB"/>
    <w:rsid w:val="00C27711"/>
    <w:rsid w:val="00C3033B"/>
    <w:rsid w:val="00C309CE"/>
    <w:rsid w:val="00C32018"/>
    <w:rsid w:val="00C32119"/>
    <w:rsid w:val="00C34208"/>
    <w:rsid w:val="00C366C4"/>
    <w:rsid w:val="00C373C2"/>
    <w:rsid w:val="00C374F0"/>
    <w:rsid w:val="00C404E4"/>
    <w:rsid w:val="00C42508"/>
    <w:rsid w:val="00C42C10"/>
    <w:rsid w:val="00C42D9F"/>
    <w:rsid w:val="00C4437C"/>
    <w:rsid w:val="00C50170"/>
    <w:rsid w:val="00C50A4B"/>
    <w:rsid w:val="00C516B0"/>
    <w:rsid w:val="00C5372F"/>
    <w:rsid w:val="00C54BAF"/>
    <w:rsid w:val="00C55B65"/>
    <w:rsid w:val="00C633A9"/>
    <w:rsid w:val="00C6465E"/>
    <w:rsid w:val="00C64A86"/>
    <w:rsid w:val="00C64E43"/>
    <w:rsid w:val="00C6552A"/>
    <w:rsid w:val="00C65533"/>
    <w:rsid w:val="00C70B9D"/>
    <w:rsid w:val="00C75629"/>
    <w:rsid w:val="00C758C6"/>
    <w:rsid w:val="00C76212"/>
    <w:rsid w:val="00C76AD9"/>
    <w:rsid w:val="00C77849"/>
    <w:rsid w:val="00C77F03"/>
    <w:rsid w:val="00C818AF"/>
    <w:rsid w:val="00C81ADC"/>
    <w:rsid w:val="00C81F3D"/>
    <w:rsid w:val="00C822C2"/>
    <w:rsid w:val="00C841DD"/>
    <w:rsid w:val="00C843D2"/>
    <w:rsid w:val="00C8458D"/>
    <w:rsid w:val="00C8725E"/>
    <w:rsid w:val="00C90701"/>
    <w:rsid w:val="00C9106A"/>
    <w:rsid w:val="00C91242"/>
    <w:rsid w:val="00C91E8D"/>
    <w:rsid w:val="00C9585F"/>
    <w:rsid w:val="00C96C1B"/>
    <w:rsid w:val="00C97AAA"/>
    <w:rsid w:val="00CA059D"/>
    <w:rsid w:val="00CA298F"/>
    <w:rsid w:val="00CA2C72"/>
    <w:rsid w:val="00CA4651"/>
    <w:rsid w:val="00CA6FB7"/>
    <w:rsid w:val="00CA7385"/>
    <w:rsid w:val="00CA770D"/>
    <w:rsid w:val="00CB0765"/>
    <w:rsid w:val="00CB0F85"/>
    <w:rsid w:val="00CB2B36"/>
    <w:rsid w:val="00CB2C0F"/>
    <w:rsid w:val="00CB31A0"/>
    <w:rsid w:val="00CB42FC"/>
    <w:rsid w:val="00CB5943"/>
    <w:rsid w:val="00CB619A"/>
    <w:rsid w:val="00CB63B3"/>
    <w:rsid w:val="00CC00CD"/>
    <w:rsid w:val="00CC0339"/>
    <w:rsid w:val="00CC0B3D"/>
    <w:rsid w:val="00CC0E85"/>
    <w:rsid w:val="00CC4DF1"/>
    <w:rsid w:val="00CC748E"/>
    <w:rsid w:val="00CD2B8C"/>
    <w:rsid w:val="00CD4A86"/>
    <w:rsid w:val="00CD5576"/>
    <w:rsid w:val="00CD7E27"/>
    <w:rsid w:val="00CE12E2"/>
    <w:rsid w:val="00CE15B5"/>
    <w:rsid w:val="00CE2805"/>
    <w:rsid w:val="00CE4E6E"/>
    <w:rsid w:val="00CE7A1A"/>
    <w:rsid w:val="00CF02E0"/>
    <w:rsid w:val="00CF0701"/>
    <w:rsid w:val="00CF600D"/>
    <w:rsid w:val="00CF7275"/>
    <w:rsid w:val="00CF7A13"/>
    <w:rsid w:val="00D01760"/>
    <w:rsid w:val="00D01EBF"/>
    <w:rsid w:val="00D04192"/>
    <w:rsid w:val="00D06596"/>
    <w:rsid w:val="00D077EB"/>
    <w:rsid w:val="00D078B8"/>
    <w:rsid w:val="00D10800"/>
    <w:rsid w:val="00D12085"/>
    <w:rsid w:val="00D13D5F"/>
    <w:rsid w:val="00D15B95"/>
    <w:rsid w:val="00D169FC"/>
    <w:rsid w:val="00D16E39"/>
    <w:rsid w:val="00D170B9"/>
    <w:rsid w:val="00D17379"/>
    <w:rsid w:val="00D17985"/>
    <w:rsid w:val="00D1798A"/>
    <w:rsid w:val="00D21C43"/>
    <w:rsid w:val="00D220D3"/>
    <w:rsid w:val="00D2214A"/>
    <w:rsid w:val="00D223B6"/>
    <w:rsid w:val="00D22BEB"/>
    <w:rsid w:val="00D23AD8"/>
    <w:rsid w:val="00D2423E"/>
    <w:rsid w:val="00D24920"/>
    <w:rsid w:val="00D2686C"/>
    <w:rsid w:val="00D26B57"/>
    <w:rsid w:val="00D32A50"/>
    <w:rsid w:val="00D330E0"/>
    <w:rsid w:val="00D350DE"/>
    <w:rsid w:val="00D35FC1"/>
    <w:rsid w:val="00D41655"/>
    <w:rsid w:val="00D41EE1"/>
    <w:rsid w:val="00D42298"/>
    <w:rsid w:val="00D4320D"/>
    <w:rsid w:val="00D441AC"/>
    <w:rsid w:val="00D44E97"/>
    <w:rsid w:val="00D460D9"/>
    <w:rsid w:val="00D47709"/>
    <w:rsid w:val="00D506C0"/>
    <w:rsid w:val="00D525F7"/>
    <w:rsid w:val="00D53894"/>
    <w:rsid w:val="00D53C6C"/>
    <w:rsid w:val="00D54876"/>
    <w:rsid w:val="00D54B55"/>
    <w:rsid w:val="00D54C45"/>
    <w:rsid w:val="00D60327"/>
    <w:rsid w:val="00D641C3"/>
    <w:rsid w:val="00D64981"/>
    <w:rsid w:val="00D650B5"/>
    <w:rsid w:val="00D66C4F"/>
    <w:rsid w:val="00D679D8"/>
    <w:rsid w:val="00D67FEE"/>
    <w:rsid w:val="00D7075B"/>
    <w:rsid w:val="00D710B9"/>
    <w:rsid w:val="00D71D22"/>
    <w:rsid w:val="00D72126"/>
    <w:rsid w:val="00D72E9D"/>
    <w:rsid w:val="00D73FA7"/>
    <w:rsid w:val="00D74765"/>
    <w:rsid w:val="00D7568C"/>
    <w:rsid w:val="00D7727A"/>
    <w:rsid w:val="00D77732"/>
    <w:rsid w:val="00D77948"/>
    <w:rsid w:val="00D805AB"/>
    <w:rsid w:val="00D81626"/>
    <w:rsid w:val="00D81FDB"/>
    <w:rsid w:val="00D82CE5"/>
    <w:rsid w:val="00D84FE0"/>
    <w:rsid w:val="00D85C8F"/>
    <w:rsid w:val="00D87181"/>
    <w:rsid w:val="00D8736E"/>
    <w:rsid w:val="00D90EFA"/>
    <w:rsid w:val="00D914DB"/>
    <w:rsid w:val="00D92770"/>
    <w:rsid w:val="00D93287"/>
    <w:rsid w:val="00D93661"/>
    <w:rsid w:val="00D94D04"/>
    <w:rsid w:val="00D970D3"/>
    <w:rsid w:val="00D978B4"/>
    <w:rsid w:val="00D97DDD"/>
    <w:rsid w:val="00DA2124"/>
    <w:rsid w:val="00DA41EF"/>
    <w:rsid w:val="00DA583D"/>
    <w:rsid w:val="00DA5AB1"/>
    <w:rsid w:val="00DA7B6E"/>
    <w:rsid w:val="00DA7CCA"/>
    <w:rsid w:val="00DB0DFA"/>
    <w:rsid w:val="00DB1542"/>
    <w:rsid w:val="00DB28B8"/>
    <w:rsid w:val="00DB3D31"/>
    <w:rsid w:val="00DB6234"/>
    <w:rsid w:val="00DB68F9"/>
    <w:rsid w:val="00DC0208"/>
    <w:rsid w:val="00DC02B2"/>
    <w:rsid w:val="00DC1562"/>
    <w:rsid w:val="00DC2AFD"/>
    <w:rsid w:val="00DC3544"/>
    <w:rsid w:val="00DC3A87"/>
    <w:rsid w:val="00DC4E41"/>
    <w:rsid w:val="00DC62E5"/>
    <w:rsid w:val="00DC743F"/>
    <w:rsid w:val="00DC78DC"/>
    <w:rsid w:val="00DD0BB0"/>
    <w:rsid w:val="00DD32A0"/>
    <w:rsid w:val="00DD3E02"/>
    <w:rsid w:val="00DD3E55"/>
    <w:rsid w:val="00DD451F"/>
    <w:rsid w:val="00DD47A2"/>
    <w:rsid w:val="00DD5A52"/>
    <w:rsid w:val="00DD652D"/>
    <w:rsid w:val="00DD6845"/>
    <w:rsid w:val="00DD6847"/>
    <w:rsid w:val="00DD735D"/>
    <w:rsid w:val="00DD7FA8"/>
    <w:rsid w:val="00DE247F"/>
    <w:rsid w:val="00DE308A"/>
    <w:rsid w:val="00DE3119"/>
    <w:rsid w:val="00DE3139"/>
    <w:rsid w:val="00DE53E6"/>
    <w:rsid w:val="00DE5BCA"/>
    <w:rsid w:val="00DE5EEB"/>
    <w:rsid w:val="00DE6872"/>
    <w:rsid w:val="00DF20FB"/>
    <w:rsid w:val="00DF2128"/>
    <w:rsid w:val="00DF236B"/>
    <w:rsid w:val="00DF2804"/>
    <w:rsid w:val="00DF28C7"/>
    <w:rsid w:val="00DF3553"/>
    <w:rsid w:val="00DF3F8D"/>
    <w:rsid w:val="00DF6078"/>
    <w:rsid w:val="00DF64F5"/>
    <w:rsid w:val="00DF6AA5"/>
    <w:rsid w:val="00DF6BA1"/>
    <w:rsid w:val="00DF7086"/>
    <w:rsid w:val="00DF7F9E"/>
    <w:rsid w:val="00E00221"/>
    <w:rsid w:val="00E0048D"/>
    <w:rsid w:val="00E018F9"/>
    <w:rsid w:val="00E04A52"/>
    <w:rsid w:val="00E057C5"/>
    <w:rsid w:val="00E0677C"/>
    <w:rsid w:val="00E06A8D"/>
    <w:rsid w:val="00E10879"/>
    <w:rsid w:val="00E13AB8"/>
    <w:rsid w:val="00E13D3F"/>
    <w:rsid w:val="00E1640E"/>
    <w:rsid w:val="00E16924"/>
    <w:rsid w:val="00E17EA3"/>
    <w:rsid w:val="00E234D7"/>
    <w:rsid w:val="00E25CB3"/>
    <w:rsid w:val="00E27E15"/>
    <w:rsid w:val="00E3074B"/>
    <w:rsid w:val="00E31A47"/>
    <w:rsid w:val="00E32A49"/>
    <w:rsid w:val="00E335EF"/>
    <w:rsid w:val="00E33B62"/>
    <w:rsid w:val="00E34106"/>
    <w:rsid w:val="00E34DEB"/>
    <w:rsid w:val="00E354CF"/>
    <w:rsid w:val="00E356D7"/>
    <w:rsid w:val="00E36139"/>
    <w:rsid w:val="00E40D14"/>
    <w:rsid w:val="00E4143A"/>
    <w:rsid w:val="00E41823"/>
    <w:rsid w:val="00E41943"/>
    <w:rsid w:val="00E42461"/>
    <w:rsid w:val="00E42761"/>
    <w:rsid w:val="00E43624"/>
    <w:rsid w:val="00E44610"/>
    <w:rsid w:val="00E46137"/>
    <w:rsid w:val="00E50774"/>
    <w:rsid w:val="00E510C7"/>
    <w:rsid w:val="00E5199E"/>
    <w:rsid w:val="00E51CF8"/>
    <w:rsid w:val="00E53B77"/>
    <w:rsid w:val="00E54365"/>
    <w:rsid w:val="00E5462E"/>
    <w:rsid w:val="00E56EC0"/>
    <w:rsid w:val="00E57652"/>
    <w:rsid w:val="00E614D2"/>
    <w:rsid w:val="00E62C10"/>
    <w:rsid w:val="00E631C7"/>
    <w:rsid w:val="00E65BDD"/>
    <w:rsid w:val="00E66455"/>
    <w:rsid w:val="00E679F3"/>
    <w:rsid w:val="00E701D8"/>
    <w:rsid w:val="00E70C4B"/>
    <w:rsid w:val="00E73728"/>
    <w:rsid w:val="00E73C2F"/>
    <w:rsid w:val="00E73F9E"/>
    <w:rsid w:val="00E742E7"/>
    <w:rsid w:val="00E75BB9"/>
    <w:rsid w:val="00E76013"/>
    <w:rsid w:val="00E76D64"/>
    <w:rsid w:val="00E76DD0"/>
    <w:rsid w:val="00E81CD9"/>
    <w:rsid w:val="00E81FD0"/>
    <w:rsid w:val="00E87FB5"/>
    <w:rsid w:val="00E91B88"/>
    <w:rsid w:val="00E9622C"/>
    <w:rsid w:val="00E96F1A"/>
    <w:rsid w:val="00EA0C86"/>
    <w:rsid w:val="00EA2015"/>
    <w:rsid w:val="00EA2E7A"/>
    <w:rsid w:val="00EA3761"/>
    <w:rsid w:val="00EA3B8E"/>
    <w:rsid w:val="00EA4714"/>
    <w:rsid w:val="00EA4951"/>
    <w:rsid w:val="00EB03A0"/>
    <w:rsid w:val="00EB0D38"/>
    <w:rsid w:val="00EB23D0"/>
    <w:rsid w:val="00EB2CBD"/>
    <w:rsid w:val="00EB3E6E"/>
    <w:rsid w:val="00EB5263"/>
    <w:rsid w:val="00EB5408"/>
    <w:rsid w:val="00EB55EE"/>
    <w:rsid w:val="00EB5A79"/>
    <w:rsid w:val="00EC238B"/>
    <w:rsid w:val="00EC5592"/>
    <w:rsid w:val="00EC5B1B"/>
    <w:rsid w:val="00EC77E0"/>
    <w:rsid w:val="00ED0181"/>
    <w:rsid w:val="00ED05A8"/>
    <w:rsid w:val="00ED0D83"/>
    <w:rsid w:val="00ED18C9"/>
    <w:rsid w:val="00ED1921"/>
    <w:rsid w:val="00ED1A5E"/>
    <w:rsid w:val="00ED1D54"/>
    <w:rsid w:val="00ED21E1"/>
    <w:rsid w:val="00ED2C7A"/>
    <w:rsid w:val="00ED5E7E"/>
    <w:rsid w:val="00ED6D48"/>
    <w:rsid w:val="00EE084F"/>
    <w:rsid w:val="00EE2C9C"/>
    <w:rsid w:val="00EE336A"/>
    <w:rsid w:val="00EE432C"/>
    <w:rsid w:val="00EE4DB1"/>
    <w:rsid w:val="00EE59B5"/>
    <w:rsid w:val="00EE6A82"/>
    <w:rsid w:val="00EE75CC"/>
    <w:rsid w:val="00EE7C1A"/>
    <w:rsid w:val="00EF0420"/>
    <w:rsid w:val="00EF169E"/>
    <w:rsid w:val="00EF1F7B"/>
    <w:rsid w:val="00EF28A9"/>
    <w:rsid w:val="00EF2D58"/>
    <w:rsid w:val="00EF3258"/>
    <w:rsid w:val="00EF3F42"/>
    <w:rsid w:val="00EF4E3B"/>
    <w:rsid w:val="00EF5547"/>
    <w:rsid w:val="00EF5E27"/>
    <w:rsid w:val="00EF64D8"/>
    <w:rsid w:val="00EF6FEA"/>
    <w:rsid w:val="00EF7353"/>
    <w:rsid w:val="00EF7AD6"/>
    <w:rsid w:val="00F0076F"/>
    <w:rsid w:val="00F01990"/>
    <w:rsid w:val="00F03776"/>
    <w:rsid w:val="00F04156"/>
    <w:rsid w:val="00F04D40"/>
    <w:rsid w:val="00F05E5B"/>
    <w:rsid w:val="00F0608C"/>
    <w:rsid w:val="00F06296"/>
    <w:rsid w:val="00F074DD"/>
    <w:rsid w:val="00F0774D"/>
    <w:rsid w:val="00F077AE"/>
    <w:rsid w:val="00F10954"/>
    <w:rsid w:val="00F11955"/>
    <w:rsid w:val="00F11D29"/>
    <w:rsid w:val="00F128BC"/>
    <w:rsid w:val="00F16AE2"/>
    <w:rsid w:val="00F172E0"/>
    <w:rsid w:val="00F2035B"/>
    <w:rsid w:val="00F2107D"/>
    <w:rsid w:val="00F21B2C"/>
    <w:rsid w:val="00F21BA2"/>
    <w:rsid w:val="00F21D09"/>
    <w:rsid w:val="00F223B3"/>
    <w:rsid w:val="00F24230"/>
    <w:rsid w:val="00F26F3C"/>
    <w:rsid w:val="00F26F4E"/>
    <w:rsid w:val="00F301AD"/>
    <w:rsid w:val="00F3110C"/>
    <w:rsid w:val="00F33364"/>
    <w:rsid w:val="00F34431"/>
    <w:rsid w:val="00F34C8E"/>
    <w:rsid w:val="00F34CBA"/>
    <w:rsid w:val="00F3533F"/>
    <w:rsid w:val="00F35599"/>
    <w:rsid w:val="00F3791E"/>
    <w:rsid w:val="00F42CA4"/>
    <w:rsid w:val="00F4315D"/>
    <w:rsid w:val="00F43A17"/>
    <w:rsid w:val="00F43A68"/>
    <w:rsid w:val="00F46BC5"/>
    <w:rsid w:val="00F476A9"/>
    <w:rsid w:val="00F5101F"/>
    <w:rsid w:val="00F51E02"/>
    <w:rsid w:val="00F520D5"/>
    <w:rsid w:val="00F536CD"/>
    <w:rsid w:val="00F55F3A"/>
    <w:rsid w:val="00F574CC"/>
    <w:rsid w:val="00F6029C"/>
    <w:rsid w:val="00F6064F"/>
    <w:rsid w:val="00F61B1D"/>
    <w:rsid w:val="00F61C41"/>
    <w:rsid w:val="00F61F32"/>
    <w:rsid w:val="00F64376"/>
    <w:rsid w:val="00F64812"/>
    <w:rsid w:val="00F65EC5"/>
    <w:rsid w:val="00F6751F"/>
    <w:rsid w:val="00F71AE6"/>
    <w:rsid w:val="00F72DC9"/>
    <w:rsid w:val="00F73D70"/>
    <w:rsid w:val="00F764CE"/>
    <w:rsid w:val="00F77855"/>
    <w:rsid w:val="00F80D0F"/>
    <w:rsid w:val="00F80E8A"/>
    <w:rsid w:val="00F84899"/>
    <w:rsid w:val="00F859F0"/>
    <w:rsid w:val="00F90DB0"/>
    <w:rsid w:val="00F91287"/>
    <w:rsid w:val="00F91CA1"/>
    <w:rsid w:val="00F92D53"/>
    <w:rsid w:val="00F93250"/>
    <w:rsid w:val="00F94805"/>
    <w:rsid w:val="00F94B44"/>
    <w:rsid w:val="00F95598"/>
    <w:rsid w:val="00F95FAB"/>
    <w:rsid w:val="00FA0BE5"/>
    <w:rsid w:val="00FA1420"/>
    <w:rsid w:val="00FA15DA"/>
    <w:rsid w:val="00FA1947"/>
    <w:rsid w:val="00FA28BF"/>
    <w:rsid w:val="00FA3221"/>
    <w:rsid w:val="00FA3F4F"/>
    <w:rsid w:val="00FA63A7"/>
    <w:rsid w:val="00FA6B54"/>
    <w:rsid w:val="00FB1473"/>
    <w:rsid w:val="00FB48C5"/>
    <w:rsid w:val="00FB5E3B"/>
    <w:rsid w:val="00FC08AD"/>
    <w:rsid w:val="00FC16AE"/>
    <w:rsid w:val="00FC4AF7"/>
    <w:rsid w:val="00FC5EB6"/>
    <w:rsid w:val="00FD1C4A"/>
    <w:rsid w:val="00FD2088"/>
    <w:rsid w:val="00FD2829"/>
    <w:rsid w:val="00FD2EA3"/>
    <w:rsid w:val="00FD3E1B"/>
    <w:rsid w:val="00FD3F65"/>
    <w:rsid w:val="00FD461D"/>
    <w:rsid w:val="00FD46B4"/>
    <w:rsid w:val="00FD4AA4"/>
    <w:rsid w:val="00FD5F1B"/>
    <w:rsid w:val="00FD6C0B"/>
    <w:rsid w:val="00FD7084"/>
    <w:rsid w:val="00FD7D17"/>
    <w:rsid w:val="00FE07B7"/>
    <w:rsid w:val="00FE094E"/>
    <w:rsid w:val="00FE0B32"/>
    <w:rsid w:val="00FE0F74"/>
    <w:rsid w:val="00FE141E"/>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B55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504353">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93744512">
      <w:bodyDiv w:val="1"/>
      <w:marLeft w:val="0"/>
      <w:marRight w:val="0"/>
      <w:marTop w:val="0"/>
      <w:marBottom w:val="0"/>
      <w:divBdr>
        <w:top w:val="none" w:sz="0" w:space="0" w:color="auto"/>
        <w:left w:val="none" w:sz="0" w:space="0" w:color="auto"/>
        <w:bottom w:val="none" w:sz="0" w:space="0" w:color="auto"/>
        <w:right w:val="none" w:sz="0" w:space="0" w:color="auto"/>
      </w:divBdr>
    </w:div>
    <w:div w:id="94375242">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25897397">
      <w:bodyDiv w:val="1"/>
      <w:marLeft w:val="0"/>
      <w:marRight w:val="0"/>
      <w:marTop w:val="0"/>
      <w:marBottom w:val="0"/>
      <w:divBdr>
        <w:top w:val="none" w:sz="0" w:space="0" w:color="auto"/>
        <w:left w:val="none" w:sz="0" w:space="0" w:color="auto"/>
        <w:bottom w:val="none" w:sz="0" w:space="0" w:color="auto"/>
        <w:right w:val="none" w:sz="0" w:space="0" w:color="auto"/>
      </w:divBdr>
    </w:div>
    <w:div w:id="156462446">
      <w:bodyDiv w:val="1"/>
      <w:marLeft w:val="0"/>
      <w:marRight w:val="0"/>
      <w:marTop w:val="0"/>
      <w:marBottom w:val="0"/>
      <w:divBdr>
        <w:top w:val="none" w:sz="0" w:space="0" w:color="auto"/>
        <w:left w:val="none" w:sz="0" w:space="0" w:color="auto"/>
        <w:bottom w:val="none" w:sz="0" w:space="0" w:color="auto"/>
        <w:right w:val="none" w:sz="0" w:space="0" w:color="auto"/>
      </w:divBdr>
    </w:div>
    <w:div w:id="15750103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08289970">
      <w:bodyDiv w:val="1"/>
      <w:marLeft w:val="0"/>
      <w:marRight w:val="0"/>
      <w:marTop w:val="0"/>
      <w:marBottom w:val="0"/>
      <w:divBdr>
        <w:top w:val="none" w:sz="0" w:space="0" w:color="auto"/>
        <w:left w:val="none" w:sz="0" w:space="0" w:color="auto"/>
        <w:bottom w:val="none" w:sz="0" w:space="0" w:color="auto"/>
        <w:right w:val="none" w:sz="0" w:space="0" w:color="auto"/>
      </w:divBdr>
    </w:div>
    <w:div w:id="346564690">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89693172">
      <w:bodyDiv w:val="1"/>
      <w:marLeft w:val="0"/>
      <w:marRight w:val="0"/>
      <w:marTop w:val="0"/>
      <w:marBottom w:val="0"/>
      <w:divBdr>
        <w:top w:val="none" w:sz="0" w:space="0" w:color="auto"/>
        <w:left w:val="none" w:sz="0" w:space="0" w:color="auto"/>
        <w:bottom w:val="none" w:sz="0" w:space="0" w:color="auto"/>
        <w:right w:val="none" w:sz="0" w:space="0" w:color="auto"/>
      </w:divBdr>
      <w:divsChild>
        <w:div w:id="1247421476">
          <w:marLeft w:val="0"/>
          <w:marRight w:val="0"/>
          <w:marTop w:val="0"/>
          <w:marBottom w:val="0"/>
          <w:divBdr>
            <w:top w:val="none" w:sz="0" w:space="0" w:color="auto"/>
            <w:left w:val="none" w:sz="0" w:space="0" w:color="auto"/>
            <w:bottom w:val="none" w:sz="0" w:space="0" w:color="auto"/>
            <w:right w:val="none" w:sz="0" w:space="0" w:color="auto"/>
          </w:divBdr>
        </w:div>
      </w:divsChild>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469787518">
      <w:bodyDiv w:val="1"/>
      <w:marLeft w:val="0"/>
      <w:marRight w:val="0"/>
      <w:marTop w:val="0"/>
      <w:marBottom w:val="0"/>
      <w:divBdr>
        <w:top w:val="none" w:sz="0" w:space="0" w:color="auto"/>
        <w:left w:val="none" w:sz="0" w:space="0" w:color="auto"/>
        <w:bottom w:val="none" w:sz="0" w:space="0" w:color="auto"/>
        <w:right w:val="none" w:sz="0" w:space="0" w:color="auto"/>
      </w:divBdr>
    </w:div>
    <w:div w:id="49630915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649254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6826">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61217209">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01673658">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3967672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36738959">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066427">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0565204">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6910807">
      <w:bodyDiv w:val="1"/>
      <w:marLeft w:val="0"/>
      <w:marRight w:val="0"/>
      <w:marTop w:val="0"/>
      <w:marBottom w:val="0"/>
      <w:divBdr>
        <w:top w:val="none" w:sz="0" w:space="0" w:color="auto"/>
        <w:left w:val="none" w:sz="0" w:space="0" w:color="auto"/>
        <w:bottom w:val="none" w:sz="0" w:space="0" w:color="auto"/>
        <w:right w:val="none" w:sz="0" w:space="0" w:color="auto"/>
      </w:divBdr>
    </w:div>
    <w:div w:id="1341734028">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09482">
      <w:bodyDiv w:val="1"/>
      <w:marLeft w:val="0"/>
      <w:marRight w:val="0"/>
      <w:marTop w:val="0"/>
      <w:marBottom w:val="0"/>
      <w:divBdr>
        <w:top w:val="none" w:sz="0" w:space="0" w:color="auto"/>
        <w:left w:val="none" w:sz="0" w:space="0" w:color="auto"/>
        <w:bottom w:val="none" w:sz="0" w:space="0" w:color="auto"/>
        <w:right w:val="none" w:sz="0" w:space="0" w:color="auto"/>
      </w:divBdr>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1543459">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24600835">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1954940571">
      <w:bodyDiv w:val="1"/>
      <w:marLeft w:val="0"/>
      <w:marRight w:val="0"/>
      <w:marTop w:val="0"/>
      <w:marBottom w:val="0"/>
      <w:divBdr>
        <w:top w:val="none" w:sz="0" w:space="0" w:color="auto"/>
        <w:left w:val="none" w:sz="0" w:space="0" w:color="auto"/>
        <w:bottom w:val="none" w:sz="0" w:space="0" w:color="auto"/>
        <w:right w:val="none" w:sz="0" w:space="0" w:color="auto"/>
      </w:divBdr>
    </w:div>
    <w:div w:id="2016108594">
      <w:bodyDiv w:val="1"/>
      <w:marLeft w:val="0"/>
      <w:marRight w:val="0"/>
      <w:marTop w:val="0"/>
      <w:marBottom w:val="0"/>
      <w:divBdr>
        <w:top w:val="none" w:sz="0" w:space="0" w:color="auto"/>
        <w:left w:val="none" w:sz="0" w:space="0" w:color="auto"/>
        <w:bottom w:val="none" w:sz="0" w:space="0" w:color="auto"/>
        <w:right w:val="none" w:sz="0" w:space="0" w:color="auto"/>
      </w:divBdr>
    </w:div>
    <w:div w:id="2041316034">
      <w:bodyDiv w:val="1"/>
      <w:marLeft w:val="0"/>
      <w:marRight w:val="0"/>
      <w:marTop w:val="0"/>
      <w:marBottom w:val="0"/>
      <w:divBdr>
        <w:top w:val="none" w:sz="0" w:space="0" w:color="auto"/>
        <w:left w:val="none" w:sz="0" w:space="0" w:color="auto"/>
        <w:bottom w:val="none" w:sz="0" w:space="0" w:color="auto"/>
        <w:right w:val="none" w:sz="0" w:space="0" w:color="auto"/>
      </w:divBdr>
    </w:div>
    <w:div w:id="208201915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82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D639B0E-0878-435E-BA63-BE07C3B077D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E9676AB-F17C-4472-82BD-43AB3ECAF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22</Pages>
  <Words>7510</Words>
  <Characters>41311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2022-05-25T23:33:00Z</dcterms:created>
  <dcterms:modified xsi:type="dcterms:W3CDTF">2022-05-25T23:33:00Z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