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386AC3"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386AC3">
        <w:rPr>
          <w:rFonts w:ascii="Arial" w:hAnsi="Arial" w:cs="Arial"/>
          <w:bCs/>
          <w:color w:val="000000" w:themeColor="text1"/>
          <w:sz w:val="16"/>
          <w:szCs w:val="16"/>
          <w:lang w:val="es-ES_tradnl" w:eastAsia="es-ES"/>
        </w:rPr>
        <w:t>CCE-DES-FM-17</w:t>
      </w:r>
      <w:bookmarkEnd w:id="0"/>
      <w:bookmarkEnd w:id="1"/>
    </w:p>
    <w:p w14:paraId="55FBD910" w14:textId="77777777" w:rsidR="008536BB" w:rsidRPr="00386AC3" w:rsidRDefault="008536BB" w:rsidP="00B95C30">
      <w:pPr>
        <w:spacing w:line="276" w:lineRule="auto"/>
        <w:jc w:val="both"/>
        <w:rPr>
          <w:rFonts w:ascii="Arial" w:hAnsi="Arial" w:cs="Arial"/>
          <w:noProof/>
          <w:color w:val="000000" w:themeColor="text1"/>
          <w:sz w:val="22"/>
          <w:lang w:val="es-ES_tradnl"/>
        </w:rPr>
      </w:pPr>
    </w:p>
    <w:p w14:paraId="5D9C92E7" w14:textId="77777777" w:rsidR="00E86C94" w:rsidRPr="00386AC3" w:rsidRDefault="00E86C94" w:rsidP="00E86C94">
      <w:pPr>
        <w:jc w:val="both"/>
        <w:rPr>
          <w:rFonts w:ascii="Arial" w:eastAsia="Calibri" w:hAnsi="Arial" w:cs="Arial"/>
          <w:b/>
          <w:bCs/>
          <w:color w:val="000000" w:themeColor="text1"/>
          <w:sz w:val="22"/>
          <w:lang w:val="es-ES_tradnl"/>
        </w:rPr>
      </w:pPr>
      <w:r w:rsidRPr="00386AC3">
        <w:rPr>
          <w:rFonts w:ascii="Arial" w:eastAsia="Calibri" w:hAnsi="Arial" w:cs="Arial"/>
          <w:b/>
          <w:bCs/>
          <w:color w:val="000000" w:themeColor="text1"/>
          <w:sz w:val="22"/>
          <w:lang w:val="es-ES_tradnl"/>
        </w:rPr>
        <w:t xml:space="preserve">INHABILIDADES E INCOMPATIBILIDADES ― Límites a la capacidad ― Régimen </w:t>
      </w:r>
    </w:p>
    <w:p w14:paraId="5ABC8EA5" w14:textId="77777777" w:rsidR="00E86C94" w:rsidRPr="00386AC3" w:rsidRDefault="00E86C94" w:rsidP="00E86C94">
      <w:pPr>
        <w:jc w:val="both"/>
        <w:rPr>
          <w:rFonts w:ascii="Arial" w:eastAsia="Calibri" w:hAnsi="Arial" w:cs="Arial"/>
          <w:b/>
          <w:bCs/>
          <w:color w:val="000000" w:themeColor="text1"/>
          <w:sz w:val="20"/>
          <w:szCs w:val="20"/>
          <w:lang w:val="es-ES_tradnl"/>
        </w:rPr>
      </w:pPr>
    </w:p>
    <w:p w14:paraId="0EB92AE8" w14:textId="77777777" w:rsidR="00E86C94" w:rsidRPr="00386AC3" w:rsidRDefault="00E86C94" w:rsidP="00E86C94">
      <w:pPr>
        <w:jc w:val="both"/>
        <w:rPr>
          <w:rFonts w:ascii="Arial" w:eastAsia="Calibri" w:hAnsi="Arial" w:cs="Arial"/>
          <w:color w:val="000000" w:themeColor="text1"/>
          <w:sz w:val="20"/>
          <w:szCs w:val="20"/>
          <w:lang w:val="es-ES_tradnl"/>
        </w:rPr>
      </w:pPr>
      <w:r w:rsidRPr="00386AC3">
        <w:rPr>
          <w:rFonts w:ascii="Arial" w:eastAsia="Calibri" w:hAnsi="Arial" w:cs="Arial"/>
          <w:color w:val="000000" w:themeColor="text1"/>
          <w:sz w:val="20"/>
          <w:szCs w:val="20"/>
          <w:lang w:val="es-ES_tradnl"/>
        </w:rPr>
        <w:t xml:space="preserve">En la contratación estatal, la </w:t>
      </w:r>
      <w:r w:rsidRPr="00386AC3">
        <w:rPr>
          <w:rFonts w:ascii="Arial" w:eastAsia="Calibri" w:hAnsi="Arial" w:cs="Arial"/>
          <w:i/>
          <w:iCs/>
          <w:color w:val="000000" w:themeColor="text1"/>
          <w:sz w:val="20"/>
          <w:szCs w:val="20"/>
          <w:lang w:val="es-ES_tradnl"/>
        </w:rPr>
        <w:t>capacidad</w:t>
      </w:r>
      <w:r w:rsidRPr="00386AC3">
        <w:rPr>
          <w:rFonts w:ascii="Arial" w:eastAsia="Calibri" w:hAnsi="Arial" w:cs="Arial"/>
          <w:color w:val="000000" w:themeColor="text1"/>
          <w:sz w:val="20"/>
          <w:szCs w:val="20"/>
          <w:lang w:val="es-ES_tradnl"/>
        </w:rPr>
        <w:t xml:space="preserve"> también es un requisito de validez de los contratos, tanto en el régimen de las entidades sujetas al Estatuto General de Contratación de la Administración Pública como en el de las entidades exceptuadas de aquel. Si bien la regulación de la capacidad se integra por varias disposiciones y exigencias especiales –como el requisito de inscribirse, por regla general, en el Registro Único de Proponentes (RUP), establecido en el artículo 6 de la Ley 1150 de 2007, modificado por el artículo 221 del Decreto 19 de 2012–, se destaca el régimen de inhabilidades e incompatibilidades como un conjunto de enunciados normativos que imponen restricciones para los sujetos que, eventualmente, pretendan participar en los procedimientos de selección o celebrar contratos con las entidades estatales.</w:t>
      </w:r>
    </w:p>
    <w:p w14:paraId="70AFCD63" w14:textId="77777777" w:rsidR="00E86C94" w:rsidRPr="00386AC3" w:rsidRDefault="00E86C94" w:rsidP="00E86C94">
      <w:pPr>
        <w:jc w:val="both"/>
        <w:rPr>
          <w:rFonts w:ascii="Arial" w:eastAsia="Calibri" w:hAnsi="Arial" w:cs="Arial"/>
          <w:color w:val="000000" w:themeColor="text1"/>
          <w:sz w:val="20"/>
          <w:szCs w:val="20"/>
          <w:lang w:val="es-ES_tradnl"/>
        </w:rPr>
      </w:pPr>
    </w:p>
    <w:p w14:paraId="23673744" w14:textId="77777777" w:rsidR="00E86C94" w:rsidRPr="00386AC3" w:rsidRDefault="00E86C94" w:rsidP="00E86C94">
      <w:pPr>
        <w:jc w:val="both"/>
        <w:rPr>
          <w:rFonts w:ascii="Arial" w:eastAsia="Calibri" w:hAnsi="Arial" w:cs="Arial"/>
          <w:b/>
          <w:bCs/>
          <w:color w:val="000000" w:themeColor="text1"/>
          <w:sz w:val="22"/>
          <w:lang w:val="es-ES_tradnl"/>
        </w:rPr>
      </w:pPr>
      <w:r w:rsidRPr="00386AC3">
        <w:rPr>
          <w:rFonts w:ascii="Arial" w:eastAsia="Calibri" w:hAnsi="Arial" w:cs="Arial"/>
          <w:b/>
          <w:bCs/>
          <w:color w:val="000000" w:themeColor="text1"/>
          <w:sz w:val="22"/>
          <w:lang w:val="es-ES_tradnl"/>
        </w:rPr>
        <w:t xml:space="preserve">INHABILIDADES E INCOMPATIBILIDADES ― Concepto ― Diferencias </w:t>
      </w:r>
    </w:p>
    <w:p w14:paraId="49BFFF8C" w14:textId="77777777" w:rsidR="00E86C94" w:rsidRPr="00386AC3" w:rsidRDefault="00E86C94" w:rsidP="00E86C94">
      <w:pPr>
        <w:jc w:val="both"/>
        <w:rPr>
          <w:rFonts w:ascii="Arial" w:eastAsia="Calibri" w:hAnsi="Arial" w:cs="Arial"/>
          <w:color w:val="000000" w:themeColor="text1"/>
          <w:sz w:val="20"/>
          <w:szCs w:val="20"/>
          <w:lang w:val="es-ES_tradnl"/>
        </w:rPr>
      </w:pPr>
    </w:p>
    <w:p w14:paraId="65BB8183" w14:textId="77777777" w:rsidR="00E86C94" w:rsidRPr="00386AC3" w:rsidRDefault="00E86C94" w:rsidP="00E86C94">
      <w:pPr>
        <w:jc w:val="both"/>
        <w:rPr>
          <w:rFonts w:ascii="Arial" w:eastAsia="Calibri" w:hAnsi="Arial" w:cs="Arial"/>
          <w:color w:val="000000" w:themeColor="text1"/>
          <w:sz w:val="20"/>
          <w:szCs w:val="20"/>
          <w:lang w:val="es-ES_tradnl"/>
        </w:rPr>
      </w:pPr>
      <w:r w:rsidRPr="00386AC3">
        <w:rPr>
          <w:rFonts w:ascii="Arial" w:eastAsia="Calibri" w:hAnsi="Arial" w:cs="Arial"/>
          <w:color w:val="000000" w:themeColor="text1"/>
          <w:sz w:val="20"/>
          <w:szCs w:val="20"/>
          <w:lang w:val="es-ES_tradnl"/>
        </w:rPr>
        <w:t xml:space="preserve">Las inhabilidades son prohibiciones para concurrir a los procedimientos de selección y para contratar con el Estado, que se derivan: i) de la existencia de comportamientos reprochables o de sanciones anteriormente impuestas, ii) de vínculos personales relativos al parentesco o al estado civil o iii) de una actividad u oficio que se desempeñó en el pasado. De otro lado, las incompatibilidades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 </w:t>
      </w:r>
    </w:p>
    <w:p w14:paraId="65646EC1" w14:textId="77777777" w:rsidR="00E86C94" w:rsidRPr="00386AC3" w:rsidRDefault="00E86C94" w:rsidP="00E86C94">
      <w:pPr>
        <w:jc w:val="both"/>
        <w:rPr>
          <w:rFonts w:ascii="Arial" w:eastAsia="Calibri" w:hAnsi="Arial" w:cs="Arial"/>
          <w:color w:val="000000" w:themeColor="text1"/>
          <w:sz w:val="20"/>
          <w:szCs w:val="20"/>
          <w:lang w:val="es-ES_tradnl"/>
        </w:rPr>
      </w:pPr>
    </w:p>
    <w:p w14:paraId="58F9DF18" w14:textId="77777777" w:rsidR="00E86C94" w:rsidRPr="00386AC3" w:rsidRDefault="00E86C94" w:rsidP="00E86C94">
      <w:pPr>
        <w:jc w:val="both"/>
        <w:rPr>
          <w:rFonts w:ascii="Arial" w:eastAsia="Calibri" w:hAnsi="Arial" w:cs="Arial"/>
          <w:b/>
          <w:bCs/>
          <w:color w:val="000000" w:themeColor="text1"/>
          <w:sz w:val="22"/>
          <w:lang w:val="es-ES_tradnl"/>
        </w:rPr>
      </w:pPr>
      <w:r w:rsidRPr="00386AC3">
        <w:rPr>
          <w:rFonts w:ascii="Arial" w:eastAsia="Calibri" w:hAnsi="Arial" w:cs="Arial"/>
          <w:b/>
          <w:bCs/>
          <w:color w:val="000000" w:themeColor="text1"/>
          <w:sz w:val="22"/>
          <w:lang w:val="es-ES_tradnl"/>
        </w:rPr>
        <w:t xml:space="preserve">INHABILIDADES E INCOMPATIBILIDADES ― Interpretación restrictiva ― Principio </w:t>
      </w:r>
      <w:r w:rsidRPr="00386AC3">
        <w:rPr>
          <w:rFonts w:ascii="Arial" w:eastAsia="Calibri" w:hAnsi="Arial" w:cs="Arial"/>
          <w:b/>
          <w:bCs/>
          <w:i/>
          <w:iCs/>
          <w:color w:val="000000" w:themeColor="text1"/>
          <w:sz w:val="22"/>
          <w:lang w:val="es-ES_tradnl"/>
        </w:rPr>
        <w:t xml:space="preserve">pro </w:t>
      </w:r>
      <w:proofErr w:type="spellStart"/>
      <w:r w:rsidRPr="00386AC3">
        <w:rPr>
          <w:rFonts w:ascii="Arial" w:eastAsia="Calibri" w:hAnsi="Arial" w:cs="Arial"/>
          <w:b/>
          <w:bCs/>
          <w:i/>
          <w:iCs/>
          <w:color w:val="000000" w:themeColor="text1"/>
          <w:sz w:val="22"/>
          <w:lang w:val="es-ES_tradnl"/>
        </w:rPr>
        <w:t>libertate</w:t>
      </w:r>
      <w:proofErr w:type="spellEnd"/>
    </w:p>
    <w:p w14:paraId="04F074AA" w14:textId="77777777" w:rsidR="00E86C94" w:rsidRPr="00386AC3" w:rsidRDefault="00E86C94" w:rsidP="00E86C94">
      <w:pPr>
        <w:jc w:val="both"/>
        <w:rPr>
          <w:rFonts w:ascii="Arial" w:eastAsia="Calibri" w:hAnsi="Arial" w:cs="Arial"/>
          <w:color w:val="000000" w:themeColor="text1"/>
          <w:sz w:val="20"/>
          <w:szCs w:val="20"/>
          <w:lang w:val="es-ES_tradnl"/>
        </w:rPr>
      </w:pPr>
    </w:p>
    <w:p w14:paraId="17B8422D" w14:textId="77777777" w:rsidR="00E86C94" w:rsidRPr="00386AC3" w:rsidRDefault="00E86C94" w:rsidP="00E86C94">
      <w:pPr>
        <w:jc w:val="both"/>
        <w:rPr>
          <w:rFonts w:ascii="Arial" w:eastAsia="Calibri" w:hAnsi="Arial" w:cs="Arial"/>
          <w:color w:val="000000" w:themeColor="text1"/>
          <w:sz w:val="20"/>
          <w:szCs w:val="20"/>
          <w:lang w:val="es-ES_tradnl"/>
        </w:rPr>
      </w:pPr>
      <w:r w:rsidRPr="00386AC3">
        <w:rPr>
          <w:rFonts w:ascii="Arial" w:eastAsia="Calibri" w:hAnsi="Arial" w:cs="Arial"/>
          <w:color w:val="000000" w:themeColor="text1"/>
          <w:sz w:val="20"/>
          <w:szCs w:val="20"/>
          <w:lang w:val="es-ES_tradnl"/>
        </w:rPr>
        <w:t xml:space="preserve">Ahora bien, las inhabilidades e incompatibilidades –como ya se dijo– al ser restricciones o límites especiales a la capacidad para presentar ofertas y celebrar contratos estatales, solo pueden tipificarse en la ley –o sea, deben satisfacer el principio de legalidad– y su interpretación debe ser </w:t>
      </w:r>
      <w:r w:rsidRPr="00386AC3">
        <w:rPr>
          <w:rFonts w:ascii="Arial" w:eastAsia="Calibri" w:hAnsi="Arial" w:cs="Arial"/>
          <w:i/>
          <w:iCs/>
          <w:color w:val="000000" w:themeColor="text1"/>
          <w:sz w:val="20"/>
          <w:szCs w:val="20"/>
          <w:lang w:val="es-ES_tradnl"/>
        </w:rPr>
        <w:t>restrictiva</w:t>
      </w:r>
      <w:r w:rsidRPr="00386AC3">
        <w:rPr>
          <w:rFonts w:ascii="Arial" w:eastAsia="Calibri" w:hAnsi="Arial" w:cs="Arial"/>
          <w:color w:val="000000" w:themeColor="text1"/>
          <w:sz w:val="20"/>
          <w:szCs w:val="20"/>
          <w:lang w:val="es-ES_tradnl"/>
        </w:rPr>
        <w:t>, pues si se admitiera una interpretación amplia, extensiva o finalista de las mismas, tales enunciados normativos podrían contemplar múltiples supuestos indeterminados, según el parecer o el sentido común de los operadores jurídicos, poniendo en riesgo principios como la igualdad, el debido proceso, la libre concurrencia y el ejercicio de la profesión u oficio. Tal ha sido la postura al interior de la jurisprudencia, tanto de la Corte Constitucional como de la Sección Tercera del Consejo de Estado.</w:t>
      </w:r>
    </w:p>
    <w:p w14:paraId="12CF7677" w14:textId="77777777" w:rsidR="00E86C94" w:rsidRPr="00386AC3" w:rsidRDefault="00E86C94" w:rsidP="00E86C94">
      <w:pPr>
        <w:spacing w:after="120"/>
        <w:jc w:val="both"/>
        <w:rPr>
          <w:rFonts w:ascii="Arial" w:eastAsia="Calibri" w:hAnsi="Arial" w:cs="Arial"/>
          <w:color w:val="000000" w:themeColor="text1"/>
          <w:sz w:val="20"/>
          <w:szCs w:val="20"/>
          <w:lang w:val="es-ES_tradnl"/>
        </w:rPr>
      </w:pPr>
      <w:r w:rsidRPr="00386AC3">
        <w:rPr>
          <w:rFonts w:ascii="Arial" w:eastAsia="Calibri" w:hAnsi="Arial" w:cs="Arial"/>
          <w:color w:val="000000" w:themeColor="text1"/>
          <w:sz w:val="20"/>
          <w:szCs w:val="20"/>
          <w:lang w:val="es-ES_tradnl"/>
        </w:rPr>
        <w:t>[…]</w:t>
      </w:r>
    </w:p>
    <w:p w14:paraId="3C007CF6" w14:textId="77777777" w:rsidR="00E86C94" w:rsidRPr="00386AC3" w:rsidRDefault="00E86C94" w:rsidP="00E86C94">
      <w:pPr>
        <w:jc w:val="both"/>
        <w:rPr>
          <w:rFonts w:ascii="Arial" w:eastAsia="Calibri" w:hAnsi="Arial" w:cs="Arial"/>
          <w:color w:val="000000" w:themeColor="text1"/>
          <w:sz w:val="20"/>
          <w:szCs w:val="20"/>
          <w:lang w:val="es-ES_tradnl"/>
        </w:rPr>
      </w:pPr>
      <w:r w:rsidRPr="00386AC3">
        <w:rPr>
          <w:rFonts w:ascii="Arial" w:eastAsia="Calibri" w:hAnsi="Arial" w:cs="Arial"/>
          <w:color w:val="000000" w:themeColor="text1"/>
          <w:sz w:val="20"/>
          <w:szCs w:val="20"/>
          <w:lang w:val="es-ES_tradnl"/>
        </w:rPr>
        <w:t xml:space="preserve">Como se aprecia, el principio </w:t>
      </w:r>
      <w:r w:rsidRPr="00386AC3">
        <w:rPr>
          <w:rFonts w:ascii="Arial" w:eastAsia="Calibri" w:hAnsi="Arial" w:cs="Arial"/>
          <w:i/>
          <w:iCs/>
          <w:color w:val="000000" w:themeColor="text1"/>
          <w:sz w:val="20"/>
          <w:szCs w:val="20"/>
          <w:lang w:val="es-ES_tradnl"/>
        </w:rPr>
        <w:t xml:space="preserve">pro </w:t>
      </w:r>
      <w:proofErr w:type="spellStart"/>
      <w:r w:rsidRPr="00386AC3">
        <w:rPr>
          <w:rFonts w:ascii="Arial" w:eastAsia="Calibri" w:hAnsi="Arial" w:cs="Arial"/>
          <w:i/>
          <w:iCs/>
          <w:color w:val="000000" w:themeColor="text1"/>
          <w:sz w:val="20"/>
          <w:szCs w:val="20"/>
          <w:lang w:val="es-ES_tradnl"/>
        </w:rPr>
        <w:t>libertate</w:t>
      </w:r>
      <w:proofErr w:type="spellEnd"/>
      <w:r w:rsidRPr="00386AC3">
        <w:rPr>
          <w:rFonts w:ascii="Arial" w:eastAsia="Calibri" w:hAnsi="Arial" w:cs="Arial"/>
          <w:color w:val="000000" w:themeColor="text1"/>
          <w:sz w:val="20"/>
          <w:szCs w:val="20"/>
          <w:lang w:val="es-ES_tradnl"/>
        </w:rPr>
        <w:t xml:space="preserve"> es el que debe dirigir la interpretación de las disposiciones normativas que consagran restricciones de derechos, como sucede con las causales de inhabilidad e incompatibilidad en la contratación estatal.</w:t>
      </w:r>
    </w:p>
    <w:p w14:paraId="4A70FC22" w14:textId="716C0459" w:rsidR="00961D28" w:rsidRPr="00386AC3" w:rsidRDefault="00961D28" w:rsidP="00961D28">
      <w:pPr>
        <w:jc w:val="both"/>
        <w:rPr>
          <w:rFonts w:ascii="Arial" w:hAnsi="Arial" w:cs="Arial"/>
          <w:iCs/>
          <w:color w:val="000000" w:themeColor="text1"/>
          <w:sz w:val="20"/>
          <w:szCs w:val="20"/>
          <w:lang w:val="es-ES_tradnl"/>
        </w:rPr>
      </w:pPr>
    </w:p>
    <w:p w14:paraId="23BB6CCB" w14:textId="75750472" w:rsidR="0035391B" w:rsidRPr="00386AC3" w:rsidRDefault="0035391B" w:rsidP="0035391B">
      <w:pPr>
        <w:jc w:val="both"/>
        <w:rPr>
          <w:rFonts w:ascii="Arial" w:eastAsia="Calibri" w:hAnsi="Arial" w:cs="Arial"/>
          <w:b/>
          <w:bCs/>
          <w:color w:val="000000" w:themeColor="text1"/>
          <w:sz w:val="22"/>
          <w:lang w:val="es-ES_tradnl"/>
        </w:rPr>
      </w:pPr>
      <w:r w:rsidRPr="00386AC3">
        <w:rPr>
          <w:rFonts w:ascii="Arial" w:eastAsia="Calibri" w:hAnsi="Arial" w:cs="Arial"/>
          <w:b/>
          <w:bCs/>
          <w:color w:val="000000" w:themeColor="text1"/>
          <w:sz w:val="22"/>
          <w:lang w:val="es-ES_tradnl"/>
        </w:rPr>
        <w:t>PRINCIPIO DE FAVORABILIDAD ― Inhabilidades ― Incompatibilidades ― Aplicación ― Debido proceso</w:t>
      </w:r>
    </w:p>
    <w:p w14:paraId="57EFC091" w14:textId="107CC217" w:rsidR="0035391B" w:rsidRPr="00386AC3" w:rsidRDefault="0035391B" w:rsidP="00961D28">
      <w:pPr>
        <w:jc w:val="both"/>
        <w:rPr>
          <w:rFonts w:ascii="Arial" w:hAnsi="Arial" w:cs="Arial"/>
          <w:iCs/>
          <w:color w:val="000000" w:themeColor="text1"/>
          <w:sz w:val="20"/>
          <w:szCs w:val="20"/>
          <w:lang w:val="es-ES_tradnl"/>
        </w:rPr>
      </w:pPr>
    </w:p>
    <w:p w14:paraId="6060DA42" w14:textId="2E81C481" w:rsidR="0035391B" w:rsidRPr="00386AC3" w:rsidRDefault="0035391B" w:rsidP="00961D28">
      <w:pPr>
        <w:jc w:val="both"/>
        <w:rPr>
          <w:rFonts w:ascii="Arial" w:eastAsia="Calibri" w:hAnsi="Arial" w:cs="Arial"/>
          <w:color w:val="000000" w:themeColor="text1"/>
          <w:sz w:val="20"/>
          <w:szCs w:val="20"/>
          <w:lang w:val="es-ES_tradnl"/>
        </w:rPr>
      </w:pPr>
      <w:r w:rsidRPr="00386AC3">
        <w:rPr>
          <w:rFonts w:ascii="Arial" w:eastAsia="Calibri" w:hAnsi="Arial" w:cs="Arial"/>
          <w:color w:val="000000" w:themeColor="text1"/>
          <w:sz w:val="20"/>
          <w:szCs w:val="20"/>
          <w:lang w:val="es-ES_tradnl"/>
        </w:rPr>
        <w:t xml:space="preserve">[…] si una disposición normativa consagra un término menos gravoso para una inhabilidad, y es posterior, cronológicamente, debe interpretarse que este es el término vigente, en virtud del </w:t>
      </w:r>
      <w:r w:rsidRPr="00386AC3">
        <w:rPr>
          <w:rFonts w:ascii="Arial" w:eastAsia="Calibri" w:hAnsi="Arial" w:cs="Arial"/>
          <w:i/>
          <w:iCs/>
          <w:color w:val="000000" w:themeColor="text1"/>
          <w:sz w:val="20"/>
          <w:szCs w:val="20"/>
          <w:lang w:val="es-ES_tradnl"/>
        </w:rPr>
        <w:t>principio de favorabilidad</w:t>
      </w:r>
      <w:r w:rsidRPr="00386AC3">
        <w:rPr>
          <w:rFonts w:ascii="Arial" w:eastAsia="Calibri" w:hAnsi="Arial" w:cs="Arial"/>
          <w:color w:val="000000" w:themeColor="text1"/>
          <w:sz w:val="20"/>
          <w:szCs w:val="20"/>
          <w:lang w:val="es-ES_tradnl"/>
        </w:rPr>
        <w:t xml:space="preserve">, que también se aplica en los procedimientos administrativos. Así lo ha reconocido tanto la Corte Constitucional, como el Consejo de Estado, en desarrollo del primer inciso del artículo 29 de la Constitución, que extiende a las actuaciones administrativas el derecho fundamental al debido proceso. Verbigracia, en la sentencia T-1087 de 2005, la Corte Constitucional hizo un </w:t>
      </w:r>
      <w:r w:rsidRPr="00386AC3">
        <w:rPr>
          <w:rFonts w:ascii="Arial" w:eastAsia="Calibri" w:hAnsi="Arial" w:cs="Arial"/>
          <w:color w:val="000000" w:themeColor="text1"/>
          <w:sz w:val="20"/>
          <w:szCs w:val="20"/>
          <w:lang w:val="es-ES_tradnl"/>
        </w:rPr>
        <w:lastRenderedPageBreak/>
        <w:t>interesante recuento de su jurisprudencial, concluyendo que la regla contenida en el tercer inciso del artículo 29 de la Constitución –que establece que «la ley permisiva o favorable, aun cuando sea posterior, se aplicará de preferencia a la restrictiva o desfavorable» también rige en el ámbito del derecho administrativo sancionador, o sea que no puede interpretarse como exclusiva del derecho penal. En armonía con esta tesis, el Consejo de Estado ha admitido la aplicación del principio de favorabilidad en materia sancionatoria y, concretamente, en la contratación estatal, […].</w:t>
      </w:r>
    </w:p>
    <w:p w14:paraId="1D2E9D36" w14:textId="0DB12839" w:rsidR="0035391B" w:rsidRPr="00386AC3" w:rsidRDefault="0035391B" w:rsidP="00961D28">
      <w:pPr>
        <w:jc w:val="both"/>
        <w:rPr>
          <w:rFonts w:ascii="Arial" w:hAnsi="Arial" w:cs="Arial"/>
          <w:iCs/>
          <w:color w:val="000000" w:themeColor="text1"/>
          <w:sz w:val="20"/>
          <w:szCs w:val="20"/>
          <w:lang w:val="es-ES_tradnl"/>
        </w:rPr>
      </w:pPr>
      <w:r w:rsidRPr="00386AC3">
        <w:rPr>
          <w:rFonts w:ascii="Arial" w:eastAsia="Calibri" w:hAnsi="Arial" w:cs="Arial"/>
          <w:color w:val="000000" w:themeColor="text1"/>
          <w:sz w:val="22"/>
          <w:lang w:val="es-ES_tradnl"/>
        </w:rPr>
        <w:t xml:space="preserve"> </w:t>
      </w:r>
    </w:p>
    <w:p w14:paraId="680B0345" w14:textId="23D1E1A1" w:rsidR="00413DF0" w:rsidRPr="00386AC3" w:rsidRDefault="00920A05" w:rsidP="00413DF0">
      <w:pPr>
        <w:jc w:val="both"/>
        <w:rPr>
          <w:rFonts w:ascii="Arial" w:eastAsia="Calibri" w:hAnsi="Arial" w:cs="Arial"/>
          <w:b/>
          <w:bCs/>
          <w:color w:val="000000" w:themeColor="text1"/>
          <w:sz w:val="22"/>
          <w:lang w:val="es-ES_tradnl"/>
        </w:rPr>
      </w:pPr>
      <w:r w:rsidRPr="00386AC3">
        <w:rPr>
          <w:rFonts w:ascii="Arial" w:eastAsia="Calibri" w:hAnsi="Arial" w:cs="Arial"/>
          <w:b/>
          <w:bCs/>
          <w:color w:val="000000" w:themeColor="text1"/>
          <w:sz w:val="22"/>
          <w:lang w:val="es-ES_tradnl"/>
        </w:rPr>
        <w:t>SOBORNO TRANSNACIONAL</w:t>
      </w:r>
      <w:r w:rsidR="00413DF0" w:rsidRPr="00386AC3">
        <w:rPr>
          <w:rFonts w:ascii="Arial" w:eastAsia="Calibri" w:hAnsi="Arial" w:cs="Arial"/>
          <w:b/>
          <w:bCs/>
          <w:color w:val="000000" w:themeColor="text1"/>
          <w:sz w:val="22"/>
          <w:lang w:val="es-ES_tradnl"/>
        </w:rPr>
        <w:t xml:space="preserve"> ― </w:t>
      </w:r>
      <w:r w:rsidR="00095AFB" w:rsidRPr="00386AC3">
        <w:rPr>
          <w:rFonts w:ascii="Arial" w:eastAsia="Calibri" w:hAnsi="Arial" w:cs="Arial"/>
          <w:b/>
          <w:bCs/>
          <w:color w:val="000000" w:themeColor="text1"/>
          <w:sz w:val="22"/>
          <w:lang w:val="es-ES_tradnl"/>
        </w:rPr>
        <w:t xml:space="preserve">Inhabilidad ― </w:t>
      </w:r>
      <w:r w:rsidRPr="00386AC3">
        <w:rPr>
          <w:rFonts w:ascii="Arial" w:eastAsia="Calibri" w:hAnsi="Arial" w:cs="Arial"/>
          <w:b/>
          <w:bCs/>
          <w:color w:val="000000" w:themeColor="text1"/>
          <w:sz w:val="22"/>
          <w:lang w:val="es-ES_tradnl"/>
        </w:rPr>
        <w:t>Personas jurídicas ―</w:t>
      </w:r>
      <w:r w:rsidR="00095AFB" w:rsidRPr="00386AC3">
        <w:rPr>
          <w:rFonts w:ascii="Arial" w:eastAsia="Calibri" w:hAnsi="Arial" w:cs="Arial"/>
          <w:b/>
          <w:bCs/>
          <w:color w:val="000000" w:themeColor="text1"/>
          <w:sz w:val="22"/>
          <w:lang w:val="es-ES_tradnl"/>
        </w:rPr>
        <w:t xml:space="preserve"> Término ― Veinte años</w:t>
      </w:r>
    </w:p>
    <w:p w14:paraId="5FAD9B0D" w14:textId="77777777" w:rsidR="00413DF0" w:rsidRPr="00386AC3" w:rsidRDefault="00413DF0" w:rsidP="00920A05">
      <w:pPr>
        <w:jc w:val="both"/>
        <w:rPr>
          <w:rFonts w:ascii="Arial" w:eastAsia="Calibri" w:hAnsi="Arial" w:cs="Arial"/>
          <w:b/>
          <w:bCs/>
          <w:color w:val="000000" w:themeColor="text1"/>
          <w:sz w:val="20"/>
          <w:szCs w:val="20"/>
          <w:lang w:val="es-ES_tradnl"/>
        </w:rPr>
      </w:pPr>
    </w:p>
    <w:p w14:paraId="79A440C0" w14:textId="77777777" w:rsidR="00920A05" w:rsidRPr="00386AC3" w:rsidRDefault="00920A05" w:rsidP="00920A05">
      <w:pPr>
        <w:jc w:val="both"/>
        <w:rPr>
          <w:rFonts w:ascii="Arial" w:eastAsia="Calibri" w:hAnsi="Arial" w:cs="Arial"/>
          <w:color w:val="000000" w:themeColor="text1"/>
          <w:sz w:val="20"/>
          <w:szCs w:val="20"/>
          <w:lang w:val="es-ES_tradnl"/>
        </w:rPr>
      </w:pPr>
      <w:r w:rsidRPr="00386AC3">
        <w:rPr>
          <w:rFonts w:ascii="Arial" w:eastAsia="Calibri" w:hAnsi="Arial" w:cs="Arial"/>
          <w:color w:val="000000" w:themeColor="text1"/>
          <w:sz w:val="20"/>
          <w:szCs w:val="20"/>
          <w:lang w:val="es-ES_tradnl"/>
        </w:rPr>
        <w:t xml:space="preserve">El artículo 8, numeral 1, literal j), de la Ley 80 de 1993, establece que «La inhabilidad prevista en este literal se extenderá de forma permanente a las sociedades de las que hagan parte dichas personas en las calidades presentadas en los incisos anteriores, y se aplicará de igual forma a las personas naturales que hayan sido declaradas responsables judicialmente por la comisión de delitos mencionados en este literal». Como puede observarse, i) el término de «hasta veinte (20) años» – consagrado en el artículo 5 de la Ley 1778 de 2016, modificado por el artículo 21 de la Ley 2195 de 2022– rige </w:t>
      </w:r>
      <w:r w:rsidRPr="00386AC3">
        <w:rPr>
          <w:rFonts w:ascii="Arial" w:eastAsia="Calibri" w:hAnsi="Arial" w:cs="Arial"/>
          <w:i/>
          <w:iCs/>
          <w:color w:val="000000" w:themeColor="text1"/>
          <w:sz w:val="20"/>
          <w:szCs w:val="20"/>
          <w:lang w:val="es-ES_tradnl"/>
        </w:rPr>
        <w:t>sobre las personas jurídicas</w:t>
      </w:r>
      <w:r w:rsidRPr="00386AC3">
        <w:rPr>
          <w:rFonts w:ascii="Arial" w:eastAsia="Calibri" w:hAnsi="Arial" w:cs="Arial"/>
          <w:color w:val="000000" w:themeColor="text1"/>
          <w:sz w:val="20"/>
          <w:szCs w:val="20"/>
          <w:lang w:val="es-ES_tradnl"/>
        </w:rPr>
        <w:t xml:space="preserve"> sancionadas por la Superintendencia de Sociedades por las conductas enunciadas en el artículo 2 de la Ley 1778 de 2016; ii) en cambio, el término indefinido –o permanente– del artículo 8, numeral 1, literal j), de la Ley 80 de 1993, se aplica </w:t>
      </w:r>
      <w:r w:rsidRPr="00386AC3">
        <w:rPr>
          <w:rFonts w:ascii="Arial" w:eastAsia="Calibri" w:hAnsi="Arial" w:cs="Arial"/>
          <w:i/>
          <w:iCs/>
          <w:color w:val="000000" w:themeColor="text1"/>
          <w:sz w:val="20"/>
          <w:szCs w:val="20"/>
          <w:lang w:val="es-ES_tradnl"/>
        </w:rPr>
        <w:t>no</w:t>
      </w:r>
      <w:r w:rsidRPr="00386AC3">
        <w:rPr>
          <w:rFonts w:ascii="Arial" w:eastAsia="Calibri" w:hAnsi="Arial" w:cs="Arial"/>
          <w:color w:val="000000" w:themeColor="text1"/>
          <w:sz w:val="20"/>
          <w:szCs w:val="20"/>
          <w:lang w:val="es-ES_tradnl"/>
        </w:rPr>
        <w:t xml:space="preserve"> a las personas jurídicas sancionadas directamente por la Superintendencia de Sociedades por las conductas que acaban de indicarse, sino i) «a las sociedades de las que hagan parte dichas personas en las calidades presentadas en los incisos anteriores» y ii) «a las personas naturales que hayan sido declaradas responsables judicialmente por la comisión de delitos mencionados en este literal».</w:t>
      </w:r>
    </w:p>
    <w:p w14:paraId="2D5502A8" w14:textId="77777777" w:rsidR="00920A05" w:rsidRPr="00386AC3" w:rsidRDefault="00920A05" w:rsidP="00920A05">
      <w:pPr>
        <w:spacing w:before="120"/>
        <w:jc w:val="both"/>
        <w:rPr>
          <w:rFonts w:ascii="Arial" w:eastAsia="Calibri" w:hAnsi="Arial" w:cs="Arial"/>
          <w:color w:val="000000" w:themeColor="text1"/>
          <w:sz w:val="20"/>
          <w:szCs w:val="20"/>
          <w:lang w:val="es-ES_tradnl"/>
        </w:rPr>
      </w:pPr>
      <w:r w:rsidRPr="00386AC3">
        <w:rPr>
          <w:rFonts w:ascii="Arial" w:eastAsia="Calibri" w:hAnsi="Arial" w:cs="Arial"/>
          <w:color w:val="000000" w:themeColor="text1"/>
          <w:sz w:val="20"/>
          <w:szCs w:val="20"/>
          <w:lang w:val="es-ES_tradnl"/>
        </w:rPr>
        <w:t>Por tanto, para la Agencia Nacional de Contratación Pública – Colombia Compra Eficiente, el artículo 21 de la Ley 2195 de 2022 no produjo una derogación tácita del artículo 8, numeral 1, literal j), de la Ley 80 de 1993, en cuanto al término de la inhabilidad, porque ambos artículos deben interpretarse y aplicarse de manera armónica, pues el término de «hasta veinte (20) años» se aplica a un supuesto y el término permanente a otro.</w:t>
      </w:r>
    </w:p>
    <w:p w14:paraId="35EC9EA4" w14:textId="77777777" w:rsidR="00411D33" w:rsidRPr="00386AC3" w:rsidRDefault="00411D33" w:rsidP="00D00684">
      <w:pPr>
        <w:jc w:val="both"/>
        <w:rPr>
          <w:rFonts w:ascii="Arial" w:eastAsia="Calibri" w:hAnsi="Arial" w:cs="Arial"/>
          <w:color w:val="000000" w:themeColor="text1"/>
          <w:sz w:val="20"/>
          <w:szCs w:val="20"/>
          <w:lang w:val="es-ES_tradnl"/>
        </w:rPr>
      </w:pPr>
    </w:p>
    <w:p w14:paraId="2377E3C0" w14:textId="77777777" w:rsidR="00D00684" w:rsidRPr="00386AC3" w:rsidRDefault="00D00684" w:rsidP="004D5CD1">
      <w:pPr>
        <w:jc w:val="both"/>
        <w:rPr>
          <w:rFonts w:ascii="Arial" w:hAnsi="Arial" w:cs="Arial"/>
          <w:iCs/>
          <w:color w:val="000000" w:themeColor="text1"/>
          <w:sz w:val="20"/>
          <w:szCs w:val="20"/>
          <w:lang w:val="es-ES_tradnl"/>
        </w:rPr>
      </w:pPr>
    </w:p>
    <w:p w14:paraId="18F2EF27" w14:textId="77777777" w:rsidR="00172944" w:rsidRPr="00386AC3" w:rsidRDefault="00172944" w:rsidP="00172944">
      <w:pPr>
        <w:spacing w:line="276" w:lineRule="auto"/>
        <w:jc w:val="both"/>
        <w:rPr>
          <w:rFonts w:ascii="Arial" w:eastAsia="Calibri" w:hAnsi="Arial" w:cs="Arial"/>
          <w:color w:val="000000" w:themeColor="text1"/>
          <w:sz w:val="22"/>
          <w:lang w:val="es-ES_tradnl"/>
        </w:rPr>
      </w:pPr>
    </w:p>
    <w:p w14:paraId="5ACF30D1" w14:textId="77777777" w:rsidR="00172944" w:rsidRPr="00386AC3" w:rsidRDefault="00172944" w:rsidP="00DF1D63">
      <w:pPr>
        <w:jc w:val="both"/>
        <w:rPr>
          <w:rFonts w:ascii="Arial" w:hAnsi="Arial" w:cs="Arial"/>
          <w:sz w:val="21"/>
          <w:szCs w:val="21"/>
          <w:lang w:val="es-ES_tradnl"/>
        </w:rPr>
      </w:pPr>
    </w:p>
    <w:p w14:paraId="07459730" w14:textId="77777777" w:rsidR="00D6276C" w:rsidRPr="00386AC3" w:rsidRDefault="00D6276C" w:rsidP="005448C8">
      <w:pPr>
        <w:jc w:val="both"/>
        <w:rPr>
          <w:rFonts w:ascii="Arial" w:eastAsia="Calibri" w:hAnsi="Arial" w:cs="Arial"/>
          <w:b/>
          <w:color w:val="000000"/>
          <w:sz w:val="22"/>
          <w:lang w:val="es-ES_tradnl"/>
        </w:rPr>
      </w:pPr>
    </w:p>
    <w:p w14:paraId="13D28F34" w14:textId="77777777" w:rsidR="00611063" w:rsidRPr="00386AC3" w:rsidRDefault="00611063" w:rsidP="00823A45">
      <w:pPr>
        <w:spacing w:line="276" w:lineRule="auto"/>
        <w:jc w:val="both"/>
        <w:rPr>
          <w:rFonts w:ascii="Arial" w:hAnsi="Arial" w:cs="Arial"/>
          <w:noProof/>
          <w:color w:val="000000" w:themeColor="text1"/>
          <w:sz w:val="22"/>
          <w:lang w:val="es-ES_tradnl"/>
        </w:rPr>
      </w:pPr>
    </w:p>
    <w:p w14:paraId="69293F00" w14:textId="77777777" w:rsidR="002450AB" w:rsidRPr="00386AC3" w:rsidRDefault="002450AB" w:rsidP="00823A45">
      <w:pPr>
        <w:spacing w:line="276" w:lineRule="auto"/>
        <w:jc w:val="both"/>
        <w:rPr>
          <w:rFonts w:ascii="Arial" w:hAnsi="Arial" w:cs="Arial"/>
          <w:noProof/>
          <w:color w:val="000000" w:themeColor="text1"/>
          <w:sz w:val="22"/>
          <w:lang w:val="es-ES_tradnl"/>
        </w:rPr>
      </w:pPr>
    </w:p>
    <w:p w14:paraId="61266568" w14:textId="77777777" w:rsidR="002450AB" w:rsidRPr="00386AC3" w:rsidRDefault="002450AB" w:rsidP="00823A45">
      <w:pPr>
        <w:spacing w:line="276" w:lineRule="auto"/>
        <w:jc w:val="both"/>
        <w:rPr>
          <w:rFonts w:ascii="Arial" w:hAnsi="Arial" w:cs="Arial"/>
          <w:noProof/>
          <w:color w:val="000000" w:themeColor="text1"/>
          <w:sz w:val="22"/>
          <w:lang w:val="es-ES_tradnl"/>
        </w:rPr>
      </w:pPr>
    </w:p>
    <w:p w14:paraId="2C550FA3" w14:textId="77777777" w:rsidR="002450AB" w:rsidRPr="00386AC3" w:rsidRDefault="002450AB" w:rsidP="00823A45">
      <w:pPr>
        <w:spacing w:line="276" w:lineRule="auto"/>
        <w:jc w:val="both"/>
        <w:rPr>
          <w:rFonts w:ascii="Arial" w:hAnsi="Arial" w:cs="Arial"/>
          <w:noProof/>
          <w:color w:val="000000" w:themeColor="text1"/>
          <w:sz w:val="22"/>
          <w:lang w:val="es-ES_tradnl"/>
        </w:rPr>
      </w:pPr>
    </w:p>
    <w:p w14:paraId="47FA6B0E" w14:textId="77777777" w:rsidR="002450AB" w:rsidRPr="00386AC3" w:rsidRDefault="002450AB" w:rsidP="00823A45">
      <w:pPr>
        <w:spacing w:line="276" w:lineRule="auto"/>
        <w:jc w:val="both"/>
        <w:rPr>
          <w:rFonts w:ascii="Arial" w:hAnsi="Arial" w:cs="Arial"/>
          <w:noProof/>
          <w:color w:val="000000" w:themeColor="text1"/>
          <w:sz w:val="22"/>
          <w:lang w:val="es-ES_tradnl"/>
        </w:rPr>
      </w:pPr>
    </w:p>
    <w:p w14:paraId="63B6A548" w14:textId="77777777" w:rsidR="002450AB" w:rsidRPr="00386AC3" w:rsidRDefault="002450AB" w:rsidP="00823A45">
      <w:pPr>
        <w:spacing w:line="276" w:lineRule="auto"/>
        <w:jc w:val="both"/>
        <w:rPr>
          <w:rFonts w:ascii="Arial" w:hAnsi="Arial" w:cs="Arial"/>
          <w:noProof/>
          <w:color w:val="000000" w:themeColor="text1"/>
          <w:sz w:val="22"/>
          <w:lang w:val="es-ES_tradnl"/>
        </w:rPr>
      </w:pPr>
    </w:p>
    <w:p w14:paraId="3513AB34" w14:textId="77777777" w:rsidR="002450AB" w:rsidRPr="00386AC3" w:rsidRDefault="002450AB" w:rsidP="00823A45">
      <w:pPr>
        <w:spacing w:line="276" w:lineRule="auto"/>
        <w:jc w:val="both"/>
        <w:rPr>
          <w:rFonts w:ascii="Arial" w:hAnsi="Arial" w:cs="Arial"/>
          <w:noProof/>
          <w:color w:val="000000" w:themeColor="text1"/>
          <w:sz w:val="22"/>
          <w:lang w:val="es-ES_tradnl"/>
        </w:rPr>
      </w:pPr>
    </w:p>
    <w:p w14:paraId="45C5503B" w14:textId="77777777" w:rsidR="002450AB" w:rsidRPr="00386AC3" w:rsidRDefault="002450AB" w:rsidP="00823A45">
      <w:pPr>
        <w:spacing w:line="276" w:lineRule="auto"/>
        <w:jc w:val="both"/>
        <w:rPr>
          <w:rFonts w:ascii="Arial" w:hAnsi="Arial" w:cs="Arial"/>
          <w:noProof/>
          <w:color w:val="000000" w:themeColor="text1"/>
          <w:sz w:val="22"/>
          <w:lang w:val="es-ES_tradnl"/>
        </w:rPr>
      </w:pPr>
    </w:p>
    <w:p w14:paraId="4DC1B188" w14:textId="77777777" w:rsidR="002450AB" w:rsidRPr="00386AC3" w:rsidRDefault="002450AB" w:rsidP="00823A45">
      <w:pPr>
        <w:spacing w:line="276" w:lineRule="auto"/>
        <w:jc w:val="both"/>
        <w:rPr>
          <w:rFonts w:ascii="Arial" w:hAnsi="Arial" w:cs="Arial"/>
          <w:noProof/>
          <w:color w:val="000000" w:themeColor="text1"/>
          <w:sz w:val="22"/>
          <w:lang w:val="es-ES_tradnl"/>
        </w:rPr>
      </w:pPr>
    </w:p>
    <w:p w14:paraId="038B8975" w14:textId="77777777" w:rsidR="002450AB" w:rsidRPr="00386AC3" w:rsidRDefault="002450AB" w:rsidP="00823A45">
      <w:pPr>
        <w:spacing w:line="276" w:lineRule="auto"/>
        <w:jc w:val="both"/>
        <w:rPr>
          <w:rFonts w:ascii="Arial" w:hAnsi="Arial" w:cs="Arial"/>
          <w:noProof/>
          <w:color w:val="000000" w:themeColor="text1"/>
          <w:sz w:val="22"/>
          <w:lang w:val="es-ES_tradnl"/>
        </w:rPr>
      </w:pPr>
    </w:p>
    <w:p w14:paraId="72B250BC" w14:textId="77777777" w:rsidR="002450AB" w:rsidRPr="00386AC3" w:rsidRDefault="002450AB" w:rsidP="00823A45">
      <w:pPr>
        <w:spacing w:line="276" w:lineRule="auto"/>
        <w:jc w:val="both"/>
        <w:rPr>
          <w:rFonts w:ascii="Arial" w:hAnsi="Arial" w:cs="Arial"/>
          <w:noProof/>
          <w:color w:val="000000" w:themeColor="text1"/>
          <w:sz w:val="22"/>
          <w:lang w:val="es-ES_tradnl"/>
        </w:rPr>
      </w:pPr>
    </w:p>
    <w:p w14:paraId="79714373" w14:textId="77777777" w:rsidR="002450AB" w:rsidRPr="00386AC3" w:rsidRDefault="002450AB" w:rsidP="00823A45">
      <w:pPr>
        <w:spacing w:line="276" w:lineRule="auto"/>
        <w:jc w:val="both"/>
        <w:rPr>
          <w:rFonts w:ascii="Arial" w:hAnsi="Arial" w:cs="Arial"/>
          <w:noProof/>
          <w:color w:val="000000" w:themeColor="text1"/>
          <w:sz w:val="22"/>
          <w:lang w:val="es-ES_tradnl"/>
        </w:rPr>
      </w:pPr>
    </w:p>
    <w:p w14:paraId="668E21ED" w14:textId="77777777" w:rsidR="002450AB" w:rsidRPr="00386AC3" w:rsidRDefault="002450AB" w:rsidP="00823A45">
      <w:pPr>
        <w:spacing w:line="276" w:lineRule="auto"/>
        <w:jc w:val="both"/>
        <w:rPr>
          <w:rFonts w:ascii="Arial" w:hAnsi="Arial" w:cs="Arial"/>
          <w:noProof/>
          <w:color w:val="000000" w:themeColor="text1"/>
          <w:sz w:val="22"/>
          <w:lang w:val="es-ES_tradnl"/>
        </w:rPr>
      </w:pPr>
    </w:p>
    <w:p w14:paraId="4B27F9C7" w14:textId="77777777" w:rsidR="008D5D5A" w:rsidRPr="00386AC3" w:rsidRDefault="008D5D5A" w:rsidP="00823A45">
      <w:pPr>
        <w:spacing w:line="276" w:lineRule="auto"/>
        <w:jc w:val="both"/>
        <w:rPr>
          <w:rFonts w:ascii="Arial" w:hAnsi="Arial" w:cs="Arial"/>
          <w:noProof/>
          <w:color w:val="000000" w:themeColor="text1"/>
          <w:sz w:val="22"/>
          <w:lang w:val="es-ES_tradnl"/>
        </w:rPr>
      </w:pPr>
    </w:p>
    <w:p w14:paraId="1B9F8389" w14:textId="77777777" w:rsidR="008D5D5A" w:rsidRPr="00386AC3" w:rsidRDefault="008D5D5A" w:rsidP="00823A45">
      <w:pPr>
        <w:spacing w:line="276" w:lineRule="auto"/>
        <w:jc w:val="both"/>
        <w:rPr>
          <w:rFonts w:ascii="Arial" w:hAnsi="Arial" w:cs="Arial"/>
          <w:noProof/>
          <w:color w:val="000000" w:themeColor="text1"/>
          <w:sz w:val="22"/>
          <w:lang w:val="es-ES_tradnl"/>
        </w:rPr>
      </w:pPr>
    </w:p>
    <w:p w14:paraId="5CA2932D" w14:textId="61361F58" w:rsidR="00823A45" w:rsidRPr="00386AC3" w:rsidRDefault="00823A45" w:rsidP="00823A45">
      <w:pPr>
        <w:spacing w:line="276" w:lineRule="auto"/>
        <w:jc w:val="both"/>
        <w:rPr>
          <w:rFonts w:ascii="Arial" w:hAnsi="Arial" w:cs="Arial"/>
          <w:b/>
          <w:color w:val="000000" w:themeColor="text1"/>
          <w:sz w:val="22"/>
          <w:lang w:val="es-ES_tradnl"/>
        </w:rPr>
      </w:pPr>
      <w:r w:rsidRPr="00386AC3">
        <w:rPr>
          <w:rFonts w:ascii="Arial" w:hAnsi="Arial" w:cs="Arial"/>
          <w:noProof/>
          <w:color w:val="000000" w:themeColor="text1"/>
          <w:sz w:val="22"/>
          <w:lang w:val="es-ES_tradnl"/>
        </w:rPr>
        <w:t xml:space="preserve">Bogotá D.C., </w:t>
      </w:r>
      <w:r w:rsidR="00F84A95">
        <w:rPr>
          <w:rFonts w:ascii="Arial" w:hAnsi="Arial" w:cs="Arial"/>
          <w:b/>
          <w:color w:val="000000" w:themeColor="text1"/>
          <w:sz w:val="22"/>
          <w:lang w:val="es-ES_tradnl"/>
        </w:rPr>
        <w:t>03/05/2022 19:51:46</w:t>
      </w:r>
    </w:p>
    <w:p w14:paraId="63F51A9C" w14:textId="77777777" w:rsidR="00823A45" w:rsidRPr="00386AC3" w:rsidRDefault="00823A45" w:rsidP="00823A45">
      <w:pPr>
        <w:spacing w:line="276" w:lineRule="auto"/>
        <w:jc w:val="both"/>
        <w:rPr>
          <w:rFonts w:ascii="Arial" w:eastAsia="Calibri" w:hAnsi="Arial" w:cs="Arial"/>
          <w:noProof/>
          <w:color w:val="000000" w:themeColor="text1"/>
          <w:sz w:val="22"/>
          <w:szCs w:val="22"/>
          <w:lang w:val="es-ES_tradnl"/>
        </w:rPr>
      </w:pPr>
    </w:p>
    <w:p w14:paraId="54A34115" w14:textId="1832D7C6" w:rsidR="00F84A95" w:rsidRDefault="00F84A95" w:rsidP="00F84A95">
      <w:pPr>
        <w:jc w:val="right"/>
      </w:pPr>
      <w:r>
        <w:fldChar w:fldCharType="begin"/>
      </w:r>
      <w:r>
        <w:instrText xml:space="preserve"> INCLUDEPICTURE "/var/folders/z2/mpmwzz0s3w31yr1_fh2qtrr80000gn/T/com.microsoft.Word/WebArchiveCopyPasteTempFiles/page1image2615674336" \* MERGEFORMATINET </w:instrText>
      </w:r>
      <w:r>
        <w:fldChar w:fldCharType="separate"/>
      </w:r>
      <w:r>
        <w:rPr>
          <w:noProof/>
        </w:rPr>
        <w:drawing>
          <wp:inline distT="0" distB="0" distL="0" distR="0" wp14:anchorId="674EC9DE" wp14:editId="7D17E180">
            <wp:extent cx="2402205" cy="612140"/>
            <wp:effectExtent l="0" t="0" r="0" b="0"/>
            <wp:docPr id="1" name="Imagen 1" descr="page1image2615674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6156743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2205" cy="612140"/>
                    </a:xfrm>
                    <a:prstGeom prst="rect">
                      <a:avLst/>
                    </a:prstGeom>
                    <a:noFill/>
                    <a:ln>
                      <a:noFill/>
                    </a:ln>
                  </pic:spPr>
                </pic:pic>
              </a:graphicData>
            </a:graphic>
          </wp:inline>
        </w:drawing>
      </w:r>
      <w:r>
        <w:fldChar w:fldCharType="end"/>
      </w:r>
    </w:p>
    <w:p w14:paraId="2F12BD8C" w14:textId="5185D59E" w:rsidR="00823A45" w:rsidRPr="00386AC3" w:rsidRDefault="00823A45" w:rsidP="00823A45">
      <w:pPr>
        <w:jc w:val="both"/>
        <w:rPr>
          <w:rFonts w:ascii="Arial" w:hAnsi="Arial" w:cs="Arial"/>
          <w:bCs/>
          <w:color w:val="000000" w:themeColor="text1"/>
          <w:sz w:val="22"/>
          <w:lang w:val="es-ES_tradnl"/>
        </w:rPr>
      </w:pPr>
    </w:p>
    <w:p w14:paraId="1660E6BE" w14:textId="77777777" w:rsidR="008D5D5A" w:rsidRPr="00386AC3" w:rsidRDefault="008D5D5A" w:rsidP="00823A45">
      <w:pPr>
        <w:jc w:val="both"/>
        <w:rPr>
          <w:rFonts w:ascii="Arial" w:hAnsi="Arial" w:cs="Arial"/>
          <w:bCs/>
          <w:color w:val="000000" w:themeColor="text1"/>
          <w:sz w:val="22"/>
          <w:lang w:val="es-ES_tradnl"/>
        </w:rPr>
      </w:pPr>
    </w:p>
    <w:p w14:paraId="7CFE61BF" w14:textId="40CE0AE4" w:rsidR="00823A45" w:rsidRPr="00386AC3" w:rsidRDefault="00823A45" w:rsidP="00823A45">
      <w:pPr>
        <w:rPr>
          <w:rFonts w:ascii="Arial" w:eastAsia="Calibri" w:hAnsi="Arial" w:cs="Arial"/>
          <w:color w:val="000000" w:themeColor="text1"/>
          <w:sz w:val="22"/>
          <w:lang w:val="es-ES_tradnl"/>
        </w:rPr>
      </w:pPr>
      <w:r w:rsidRPr="00386AC3">
        <w:rPr>
          <w:rFonts w:ascii="Arial" w:eastAsia="Calibri" w:hAnsi="Arial" w:cs="Arial"/>
          <w:color w:val="000000" w:themeColor="text1"/>
          <w:sz w:val="22"/>
          <w:lang w:val="es-ES_tradnl"/>
        </w:rPr>
        <w:t>Señor</w:t>
      </w:r>
    </w:p>
    <w:p w14:paraId="45F8DDF0" w14:textId="3A93E210" w:rsidR="00823A45" w:rsidRPr="00386AC3" w:rsidRDefault="00823A45" w:rsidP="00823A45">
      <w:pPr>
        <w:rPr>
          <w:rFonts w:ascii="Arial" w:eastAsia="Calibri" w:hAnsi="Arial" w:cs="Arial"/>
          <w:b/>
          <w:color w:val="000000" w:themeColor="text1"/>
          <w:sz w:val="22"/>
          <w:lang w:val="es-ES_tradnl"/>
        </w:rPr>
      </w:pPr>
      <w:r w:rsidRPr="00386AC3">
        <w:rPr>
          <w:rFonts w:ascii="Arial" w:eastAsia="Calibri" w:hAnsi="Arial" w:cs="Arial"/>
          <w:b/>
          <w:color w:val="000000" w:themeColor="text1"/>
          <w:sz w:val="22"/>
          <w:lang w:val="es-ES_tradnl"/>
        </w:rPr>
        <w:t>Juan David Duque Botero</w:t>
      </w:r>
    </w:p>
    <w:p w14:paraId="2E789017" w14:textId="798FE784" w:rsidR="00823A45" w:rsidRPr="00386AC3" w:rsidRDefault="00823A45" w:rsidP="00823A45">
      <w:pPr>
        <w:rPr>
          <w:rFonts w:ascii="Arial" w:eastAsia="Calibri" w:hAnsi="Arial" w:cs="Arial"/>
          <w:color w:val="000000" w:themeColor="text1"/>
          <w:sz w:val="22"/>
          <w:lang w:val="es-ES_tradnl"/>
        </w:rPr>
      </w:pPr>
      <w:r w:rsidRPr="00386AC3">
        <w:rPr>
          <w:rFonts w:ascii="Arial" w:eastAsia="Calibri" w:hAnsi="Arial" w:cs="Arial"/>
          <w:color w:val="000000" w:themeColor="text1"/>
          <w:sz w:val="22"/>
          <w:lang w:val="es-ES_tradnl"/>
        </w:rPr>
        <w:t>Bogotá, D.C.</w:t>
      </w:r>
    </w:p>
    <w:p w14:paraId="20B19E1A" w14:textId="590B1BB1" w:rsidR="008D5D5A" w:rsidRPr="00386AC3" w:rsidRDefault="008D5D5A" w:rsidP="00823A45">
      <w:pPr>
        <w:rPr>
          <w:rFonts w:ascii="Arial" w:eastAsia="Calibri" w:hAnsi="Arial" w:cs="Arial"/>
          <w:color w:val="000000" w:themeColor="text1"/>
          <w:sz w:val="22"/>
          <w:lang w:val="es-ES_tradnl"/>
        </w:rPr>
      </w:pPr>
    </w:p>
    <w:p w14:paraId="1A3243BF" w14:textId="77777777" w:rsidR="008D5D5A" w:rsidRPr="00386AC3" w:rsidRDefault="008D5D5A" w:rsidP="00823A45">
      <w:pPr>
        <w:rPr>
          <w:rFonts w:ascii="Arial" w:eastAsia="Calibri" w:hAnsi="Arial" w:cs="Arial"/>
          <w:color w:val="000000" w:themeColor="text1"/>
          <w:sz w:val="22"/>
          <w:lang w:val="es-ES_tradnl"/>
        </w:rPr>
      </w:pPr>
    </w:p>
    <w:p w14:paraId="12E66182" w14:textId="575C8221" w:rsidR="00B95C30" w:rsidRPr="00386AC3" w:rsidRDefault="008D5D5A" w:rsidP="00386AC3">
      <w:pPr>
        <w:rPr>
          <w:rFonts w:ascii="Arial" w:eastAsia="Calibri" w:hAnsi="Arial" w:cs="Arial"/>
          <w:b/>
          <w:bCs/>
          <w:color w:val="000000" w:themeColor="text1"/>
          <w:sz w:val="22"/>
          <w:lang w:val="es-ES_tradnl"/>
        </w:rPr>
      </w:pPr>
      <w:r w:rsidRPr="00386AC3">
        <w:rPr>
          <w:rFonts w:ascii="Arial" w:eastAsia="Calibri" w:hAnsi="Arial" w:cs="Arial"/>
          <w:color w:val="000000" w:themeColor="text1"/>
          <w:sz w:val="22"/>
          <w:lang w:val="es-ES_tradnl"/>
        </w:rPr>
        <w:t xml:space="preserve">                                            </w:t>
      </w:r>
      <w:r w:rsidR="00B95C30" w:rsidRPr="00386AC3">
        <w:rPr>
          <w:rFonts w:ascii="Arial" w:eastAsia="Calibri" w:hAnsi="Arial" w:cs="Arial"/>
          <w:b/>
          <w:bCs/>
          <w:color w:val="000000" w:themeColor="text1"/>
          <w:sz w:val="22"/>
          <w:lang w:val="es-ES_tradnl"/>
        </w:rPr>
        <w:t xml:space="preserve">Concepto C ‒ </w:t>
      </w:r>
      <w:r w:rsidR="00526733" w:rsidRPr="00386AC3">
        <w:rPr>
          <w:rFonts w:ascii="Arial" w:eastAsia="Calibri" w:hAnsi="Arial" w:cs="Arial"/>
          <w:b/>
          <w:bCs/>
          <w:color w:val="000000" w:themeColor="text1"/>
          <w:sz w:val="22"/>
          <w:lang w:val="es-ES_tradnl"/>
        </w:rPr>
        <w:t>252</w:t>
      </w:r>
      <w:r w:rsidR="00B95C30" w:rsidRPr="00386AC3">
        <w:rPr>
          <w:rFonts w:ascii="Arial" w:eastAsia="Calibri" w:hAnsi="Arial" w:cs="Arial"/>
          <w:b/>
          <w:bCs/>
          <w:color w:val="000000" w:themeColor="text1"/>
          <w:sz w:val="22"/>
          <w:lang w:val="es-ES_tradnl"/>
        </w:rPr>
        <w:t xml:space="preserve"> de 202</w:t>
      </w:r>
      <w:r w:rsidR="008E04C3" w:rsidRPr="00386AC3">
        <w:rPr>
          <w:rFonts w:ascii="Arial" w:eastAsia="Calibri" w:hAnsi="Arial" w:cs="Arial"/>
          <w:b/>
          <w:bCs/>
          <w:color w:val="000000" w:themeColor="text1"/>
          <w:sz w:val="22"/>
          <w:lang w:val="es-ES_tradnl"/>
        </w:rPr>
        <w:t>2</w:t>
      </w:r>
    </w:p>
    <w:p w14:paraId="08CF82B2" w14:textId="77777777" w:rsidR="00B95C30" w:rsidRPr="00386AC3"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386AC3" w14:paraId="19DFC051" w14:textId="77777777" w:rsidTr="002442D4">
        <w:tc>
          <w:tcPr>
            <w:tcW w:w="2689" w:type="dxa"/>
          </w:tcPr>
          <w:p w14:paraId="6BC0D1AC" w14:textId="77777777" w:rsidR="00B95C30" w:rsidRPr="00386AC3" w:rsidRDefault="00B95C30" w:rsidP="002442D4">
            <w:pPr>
              <w:jc w:val="both"/>
              <w:rPr>
                <w:rFonts w:ascii="Arial" w:eastAsia="Calibri" w:hAnsi="Arial" w:cs="Arial"/>
                <w:color w:val="000000" w:themeColor="text1"/>
                <w:sz w:val="22"/>
                <w:lang w:val="es-ES_tradnl"/>
              </w:rPr>
            </w:pPr>
            <w:r w:rsidRPr="00386AC3">
              <w:rPr>
                <w:rFonts w:ascii="Arial" w:eastAsia="Calibri" w:hAnsi="Arial" w:cs="Arial"/>
                <w:b/>
                <w:color w:val="000000" w:themeColor="text1"/>
                <w:sz w:val="22"/>
                <w:lang w:val="es-ES_tradnl"/>
              </w:rPr>
              <w:t>Temas:</w:t>
            </w:r>
            <w:r w:rsidRPr="00386AC3">
              <w:rPr>
                <w:rFonts w:ascii="Arial" w:eastAsia="Calibri" w:hAnsi="Arial" w:cs="Arial"/>
                <w:color w:val="000000" w:themeColor="text1"/>
                <w:sz w:val="22"/>
                <w:lang w:val="es-ES_tradnl"/>
              </w:rPr>
              <w:t xml:space="preserve">                                      </w:t>
            </w:r>
          </w:p>
        </w:tc>
        <w:tc>
          <w:tcPr>
            <w:tcW w:w="6237" w:type="dxa"/>
          </w:tcPr>
          <w:p w14:paraId="5F389CAF" w14:textId="14350274" w:rsidR="00B95C30" w:rsidRPr="00386AC3" w:rsidRDefault="00672DC2" w:rsidP="0038512F">
            <w:pPr>
              <w:pStyle w:val="Sinespaciado"/>
              <w:jc w:val="both"/>
              <w:rPr>
                <w:rFonts w:ascii="Arial" w:hAnsi="Arial" w:cs="Arial"/>
                <w:bCs/>
                <w:sz w:val="22"/>
                <w:lang w:val="es-ES_tradnl"/>
              </w:rPr>
            </w:pPr>
            <w:r w:rsidRPr="00386AC3">
              <w:rPr>
                <w:rFonts w:ascii="Arial" w:eastAsia="Calibri" w:hAnsi="Arial" w:cs="Arial"/>
                <w:color w:val="000000" w:themeColor="text1"/>
                <w:sz w:val="22"/>
                <w:lang w:val="es-ES_tradnl"/>
              </w:rPr>
              <w:t xml:space="preserve">INHABILIDADES E INCOMPATIBILIDADES ― Límites a la capacidad ― Régimen / INHABILIDADES E INCOMPATIBILIDADES ― Concepto ― Diferencias / INHABILIDADES E INCOMPATIBILIDADES ― Interpretación restrictiva ― Principio </w:t>
            </w:r>
            <w:r w:rsidRPr="00386AC3">
              <w:rPr>
                <w:rFonts w:ascii="Arial" w:eastAsia="Calibri" w:hAnsi="Arial" w:cs="Arial"/>
                <w:i/>
                <w:iCs/>
                <w:color w:val="000000" w:themeColor="text1"/>
                <w:sz w:val="22"/>
                <w:lang w:val="es-ES_tradnl"/>
              </w:rPr>
              <w:t xml:space="preserve">pro </w:t>
            </w:r>
            <w:proofErr w:type="spellStart"/>
            <w:r w:rsidRPr="00386AC3">
              <w:rPr>
                <w:rFonts w:ascii="Arial" w:eastAsia="Calibri" w:hAnsi="Arial" w:cs="Arial"/>
                <w:i/>
                <w:iCs/>
                <w:color w:val="000000" w:themeColor="text1"/>
                <w:sz w:val="22"/>
                <w:lang w:val="es-ES_tradnl"/>
              </w:rPr>
              <w:t>libertate</w:t>
            </w:r>
            <w:proofErr w:type="spellEnd"/>
            <w:r w:rsidRPr="00386AC3">
              <w:rPr>
                <w:rFonts w:ascii="Arial" w:eastAsia="Calibri" w:hAnsi="Arial" w:cs="Arial"/>
                <w:color w:val="000000" w:themeColor="text1"/>
                <w:sz w:val="22"/>
                <w:lang w:val="es-ES_tradnl"/>
              </w:rPr>
              <w:t xml:space="preserve"> / </w:t>
            </w:r>
            <w:r w:rsidR="002450AB" w:rsidRPr="00386AC3">
              <w:rPr>
                <w:rFonts w:ascii="Arial" w:eastAsia="Calibri" w:hAnsi="Arial" w:cs="Arial"/>
                <w:sz w:val="22"/>
                <w:lang w:val="es-ES_tradnl"/>
              </w:rPr>
              <w:t xml:space="preserve">PRINCIPIO DE FAVORABILIDAD ― Inhabilidades ― Incompatibilidades ― Aplicación ― Debido proceso </w:t>
            </w:r>
            <w:r w:rsidR="00A658C0" w:rsidRPr="00386AC3">
              <w:rPr>
                <w:rFonts w:ascii="Arial" w:eastAsia="Calibri" w:hAnsi="Arial" w:cs="Arial"/>
                <w:sz w:val="22"/>
                <w:lang w:val="es-ES_tradnl"/>
              </w:rPr>
              <w:t xml:space="preserve">/ </w:t>
            </w:r>
            <w:r w:rsidR="002450AB" w:rsidRPr="00386AC3">
              <w:rPr>
                <w:rFonts w:ascii="Arial" w:eastAsia="Calibri" w:hAnsi="Arial" w:cs="Arial"/>
                <w:sz w:val="22"/>
                <w:lang w:val="es-ES_tradnl"/>
              </w:rPr>
              <w:t>SOBORNO TRANSNACIONAL ― Inhabilidad ― Personas jurídicas ― Término ― Veinte años.</w:t>
            </w:r>
          </w:p>
        </w:tc>
      </w:tr>
      <w:tr w:rsidR="00B95C30" w:rsidRPr="00386AC3" w14:paraId="27CD52AB" w14:textId="77777777" w:rsidTr="002442D4">
        <w:tc>
          <w:tcPr>
            <w:tcW w:w="2689" w:type="dxa"/>
          </w:tcPr>
          <w:p w14:paraId="37E195A1" w14:textId="4C368209" w:rsidR="00B95C30" w:rsidRPr="00386AC3" w:rsidRDefault="00B95C30" w:rsidP="002442D4">
            <w:pPr>
              <w:spacing w:before="120"/>
              <w:jc w:val="both"/>
              <w:rPr>
                <w:rFonts w:ascii="Arial" w:eastAsia="Calibri" w:hAnsi="Arial" w:cs="Arial"/>
                <w:b/>
                <w:color w:val="000000" w:themeColor="text1"/>
                <w:sz w:val="22"/>
                <w:lang w:val="es-ES_tradnl"/>
              </w:rPr>
            </w:pPr>
            <w:r w:rsidRPr="00386AC3">
              <w:rPr>
                <w:rFonts w:ascii="Arial" w:eastAsia="Calibri" w:hAnsi="Arial" w:cs="Arial"/>
                <w:b/>
                <w:color w:val="000000" w:themeColor="text1"/>
                <w:sz w:val="22"/>
                <w:lang w:val="es-ES_tradnl"/>
              </w:rPr>
              <w:t>Radicación:</w:t>
            </w:r>
            <w:r w:rsidRPr="00386AC3">
              <w:rPr>
                <w:rFonts w:ascii="Arial" w:eastAsia="Calibri" w:hAnsi="Arial" w:cs="Arial"/>
                <w:color w:val="000000" w:themeColor="text1"/>
                <w:sz w:val="22"/>
                <w:lang w:val="es-ES_tradnl"/>
              </w:rPr>
              <w:t xml:space="preserve">                              </w:t>
            </w:r>
          </w:p>
        </w:tc>
        <w:tc>
          <w:tcPr>
            <w:tcW w:w="6237" w:type="dxa"/>
          </w:tcPr>
          <w:p w14:paraId="09088B1B" w14:textId="19CF9449" w:rsidR="00B95C30" w:rsidRPr="00386AC3" w:rsidRDefault="00B95C30">
            <w:pPr>
              <w:spacing w:before="120"/>
              <w:jc w:val="both"/>
              <w:rPr>
                <w:rFonts w:ascii="Arial" w:eastAsia="Calibri" w:hAnsi="Arial" w:cs="Arial"/>
                <w:color w:val="000000" w:themeColor="text1"/>
                <w:sz w:val="22"/>
                <w:lang w:val="es-ES_tradnl"/>
              </w:rPr>
            </w:pPr>
            <w:r w:rsidRPr="00386AC3">
              <w:rPr>
                <w:rFonts w:ascii="Arial" w:eastAsia="Calibri" w:hAnsi="Arial" w:cs="Arial"/>
                <w:color w:val="000000" w:themeColor="text1"/>
                <w:sz w:val="22"/>
                <w:lang w:val="es-ES_tradnl"/>
              </w:rPr>
              <w:t xml:space="preserve">Respuesta a consulta # </w:t>
            </w:r>
            <w:r w:rsidR="00C337CA" w:rsidRPr="00386AC3">
              <w:rPr>
                <w:rFonts w:ascii="Arial" w:eastAsia="Calibri" w:hAnsi="Arial" w:cs="Arial"/>
                <w:color w:val="000000" w:themeColor="text1"/>
                <w:sz w:val="22"/>
                <w:lang w:val="es-ES_tradnl"/>
              </w:rPr>
              <w:t>P20220317002702</w:t>
            </w:r>
          </w:p>
        </w:tc>
      </w:tr>
    </w:tbl>
    <w:p w14:paraId="4988E412" w14:textId="77777777" w:rsidR="008D5D5A" w:rsidRPr="00386AC3" w:rsidRDefault="008D5D5A" w:rsidP="003C3339">
      <w:pPr>
        <w:jc w:val="both"/>
        <w:rPr>
          <w:rFonts w:ascii="Arial" w:eastAsia="Calibri" w:hAnsi="Arial" w:cs="Arial"/>
          <w:color w:val="000000" w:themeColor="text1"/>
          <w:sz w:val="22"/>
          <w:lang w:val="es-ES_tradnl"/>
        </w:rPr>
      </w:pPr>
    </w:p>
    <w:p w14:paraId="298BA190" w14:textId="77777777" w:rsidR="008D5D5A" w:rsidRPr="00386AC3" w:rsidRDefault="008D5D5A" w:rsidP="003C3339">
      <w:pPr>
        <w:jc w:val="both"/>
        <w:rPr>
          <w:rFonts w:ascii="Arial" w:eastAsia="Calibri" w:hAnsi="Arial" w:cs="Arial"/>
          <w:color w:val="000000" w:themeColor="text1"/>
          <w:sz w:val="22"/>
          <w:lang w:val="es-ES_tradnl"/>
        </w:rPr>
      </w:pPr>
    </w:p>
    <w:p w14:paraId="1CF4AEA0" w14:textId="23A26F11" w:rsidR="003C3339" w:rsidRPr="00386AC3" w:rsidRDefault="003C3339" w:rsidP="003C3339">
      <w:pPr>
        <w:jc w:val="both"/>
        <w:rPr>
          <w:rFonts w:ascii="Arial" w:eastAsia="Calibri" w:hAnsi="Arial" w:cs="Arial"/>
          <w:color w:val="000000" w:themeColor="text1"/>
          <w:sz w:val="22"/>
          <w:lang w:val="es-ES_tradnl"/>
        </w:rPr>
      </w:pPr>
      <w:r w:rsidRPr="00386AC3">
        <w:rPr>
          <w:rFonts w:ascii="Arial" w:eastAsia="Calibri" w:hAnsi="Arial" w:cs="Arial"/>
          <w:color w:val="000000" w:themeColor="text1"/>
          <w:sz w:val="22"/>
          <w:lang w:val="es-ES_tradnl"/>
        </w:rPr>
        <w:t>Estimad</w:t>
      </w:r>
      <w:r w:rsidR="00047F84" w:rsidRPr="00386AC3">
        <w:rPr>
          <w:rFonts w:ascii="Arial" w:eastAsia="Calibri" w:hAnsi="Arial" w:cs="Arial"/>
          <w:color w:val="000000" w:themeColor="text1"/>
          <w:sz w:val="22"/>
          <w:lang w:val="es-ES_tradnl"/>
        </w:rPr>
        <w:t>o</w:t>
      </w:r>
      <w:r w:rsidRPr="00386AC3">
        <w:rPr>
          <w:rFonts w:ascii="Arial" w:eastAsia="Calibri" w:hAnsi="Arial" w:cs="Arial"/>
          <w:color w:val="000000" w:themeColor="text1"/>
          <w:sz w:val="22"/>
          <w:lang w:val="es-ES_tradnl"/>
        </w:rPr>
        <w:t xml:space="preserve"> </w:t>
      </w:r>
      <w:r w:rsidR="00677E9C" w:rsidRPr="00386AC3">
        <w:rPr>
          <w:rFonts w:ascii="Arial" w:eastAsia="Calibri" w:hAnsi="Arial" w:cs="Arial"/>
          <w:color w:val="000000" w:themeColor="text1"/>
          <w:sz w:val="22"/>
          <w:lang w:val="es-ES_tradnl"/>
        </w:rPr>
        <w:t xml:space="preserve">señor </w:t>
      </w:r>
      <w:r w:rsidR="00C337CA" w:rsidRPr="00386AC3">
        <w:rPr>
          <w:rFonts w:ascii="Arial" w:eastAsia="Calibri" w:hAnsi="Arial" w:cs="Arial"/>
          <w:color w:val="000000" w:themeColor="text1"/>
          <w:sz w:val="22"/>
          <w:lang w:val="es-ES_tradnl"/>
        </w:rPr>
        <w:t>Duque</w:t>
      </w:r>
      <w:r w:rsidRPr="00386AC3">
        <w:rPr>
          <w:rFonts w:ascii="Arial" w:eastAsia="Calibri" w:hAnsi="Arial" w:cs="Arial"/>
          <w:color w:val="000000" w:themeColor="text1"/>
          <w:sz w:val="22"/>
          <w:lang w:val="es-ES_tradnl"/>
        </w:rPr>
        <w:t>:</w:t>
      </w:r>
    </w:p>
    <w:p w14:paraId="1EAE5543" w14:textId="77777777" w:rsidR="00DD5B04" w:rsidRPr="00386AC3" w:rsidRDefault="00DD5B04" w:rsidP="00DF76A2">
      <w:pPr>
        <w:jc w:val="both"/>
        <w:rPr>
          <w:rFonts w:ascii="Arial" w:eastAsia="Calibri" w:hAnsi="Arial" w:cs="Arial"/>
          <w:color w:val="000000" w:themeColor="text1"/>
          <w:sz w:val="22"/>
          <w:lang w:val="es-ES_tradnl"/>
        </w:rPr>
      </w:pPr>
    </w:p>
    <w:p w14:paraId="2109B2D3" w14:textId="730CFAEE" w:rsidR="00DD5B04" w:rsidRPr="00386AC3" w:rsidRDefault="00DD5B04" w:rsidP="00DF76A2">
      <w:pPr>
        <w:spacing w:line="276" w:lineRule="auto"/>
        <w:jc w:val="both"/>
        <w:rPr>
          <w:rFonts w:ascii="Arial" w:eastAsia="Calibri" w:hAnsi="Arial" w:cs="Arial"/>
          <w:color w:val="000000" w:themeColor="text1"/>
          <w:sz w:val="22"/>
          <w:lang w:val="es-ES_tradnl"/>
        </w:rPr>
      </w:pPr>
      <w:r w:rsidRPr="00386AC3">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386AC3">
        <w:rPr>
          <w:rFonts w:ascii="Arial" w:eastAsia="Calibri" w:hAnsi="Arial" w:cs="Arial"/>
          <w:color w:val="000000" w:themeColor="text1"/>
          <w:sz w:val="22"/>
          <w:lang w:val="es-ES_tradnl"/>
        </w:rPr>
        <w:t xml:space="preserve"> </w:t>
      </w:r>
      <w:r w:rsidRPr="00386AC3">
        <w:rPr>
          <w:rFonts w:ascii="Arial" w:eastAsia="Calibri" w:hAnsi="Arial" w:cs="Arial"/>
          <w:color w:val="000000" w:themeColor="text1"/>
          <w:sz w:val="22"/>
          <w:lang w:val="es-ES_tradnl"/>
        </w:rPr>
        <w:t xml:space="preserve">responde su consulta del </w:t>
      </w:r>
      <w:r w:rsidR="00257A3F" w:rsidRPr="00386AC3">
        <w:rPr>
          <w:rFonts w:ascii="Arial" w:eastAsia="Calibri" w:hAnsi="Arial" w:cs="Arial"/>
          <w:color w:val="000000" w:themeColor="text1"/>
          <w:sz w:val="22"/>
          <w:lang w:val="es-ES_tradnl"/>
        </w:rPr>
        <w:t>7</w:t>
      </w:r>
      <w:r w:rsidR="00FD4AF3" w:rsidRPr="00386AC3">
        <w:rPr>
          <w:rFonts w:ascii="Arial" w:eastAsia="Calibri" w:hAnsi="Arial" w:cs="Arial"/>
          <w:color w:val="000000" w:themeColor="text1"/>
          <w:sz w:val="22"/>
          <w:lang w:val="es-ES_tradnl"/>
        </w:rPr>
        <w:t xml:space="preserve"> de </w:t>
      </w:r>
      <w:r w:rsidR="00257A3F" w:rsidRPr="00386AC3">
        <w:rPr>
          <w:rFonts w:ascii="Arial" w:eastAsia="Calibri" w:hAnsi="Arial" w:cs="Arial"/>
          <w:color w:val="000000" w:themeColor="text1"/>
          <w:sz w:val="22"/>
          <w:lang w:val="es-ES_tradnl"/>
        </w:rPr>
        <w:t>marzo</w:t>
      </w:r>
      <w:r w:rsidRPr="00386AC3">
        <w:rPr>
          <w:rFonts w:ascii="Arial" w:eastAsia="Calibri" w:hAnsi="Arial" w:cs="Arial"/>
          <w:color w:val="000000" w:themeColor="text1"/>
          <w:sz w:val="22"/>
          <w:lang w:val="es-ES_tradnl"/>
        </w:rPr>
        <w:t xml:space="preserve"> del</w:t>
      </w:r>
      <w:r w:rsidR="007E74BF" w:rsidRPr="00386AC3">
        <w:rPr>
          <w:rFonts w:ascii="Arial" w:eastAsia="Calibri" w:hAnsi="Arial" w:cs="Arial"/>
          <w:color w:val="000000" w:themeColor="text1"/>
          <w:sz w:val="22"/>
          <w:lang w:val="es-ES_tradnl"/>
        </w:rPr>
        <w:t xml:space="preserve"> </w:t>
      </w:r>
      <w:r w:rsidRPr="00386AC3">
        <w:rPr>
          <w:rFonts w:ascii="Arial" w:eastAsia="Calibri" w:hAnsi="Arial" w:cs="Arial"/>
          <w:color w:val="000000" w:themeColor="text1"/>
          <w:sz w:val="22"/>
          <w:lang w:val="es-ES_tradnl"/>
        </w:rPr>
        <w:t>202</w:t>
      </w:r>
      <w:r w:rsidR="00154493" w:rsidRPr="00386AC3">
        <w:rPr>
          <w:rFonts w:ascii="Arial" w:eastAsia="Calibri" w:hAnsi="Arial" w:cs="Arial"/>
          <w:color w:val="000000" w:themeColor="text1"/>
          <w:sz w:val="22"/>
          <w:lang w:val="es-ES_tradnl"/>
        </w:rPr>
        <w:t>2</w:t>
      </w:r>
      <w:r w:rsidR="00257A3F" w:rsidRPr="00386AC3">
        <w:rPr>
          <w:rFonts w:ascii="Arial" w:eastAsia="Calibri" w:hAnsi="Arial" w:cs="Arial"/>
          <w:color w:val="000000" w:themeColor="text1"/>
          <w:sz w:val="22"/>
          <w:lang w:val="es-ES_tradnl"/>
        </w:rPr>
        <w:t>, remitida a esta entidad</w:t>
      </w:r>
      <w:r w:rsidR="00187BE5" w:rsidRPr="00386AC3">
        <w:rPr>
          <w:rFonts w:ascii="Arial" w:eastAsia="Calibri" w:hAnsi="Arial" w:cs="Arial"/>
          <w:color w:val="000000" w:themeColor="text1"/>
          <w:sz w:val="22"/>
          <w:lang w:val="es-ES_tradnl"/>
        </w:rPr>
        <w:t>,</w:t>
      </w:r>
      <w:r w:rsidR="00257A3F" w:rsidRPr="00386AC3">
        <w:rPr>
          <w:rFonts w:ascii="Arial" w:eastAsia="Calibri" w:hAnsi="Arial" w:cs="Arial"/>
          <w:color w:val="000000" w:themeColor="text1"/>
          <w:sz w:val="22"/>
          <w:lang w:val="es-ES_tradnl"/>
        </w:rPr>
        <w:t xml:space="preserve"> por </w:t>
      </w:r>
      <w:r w:rsidR="00187BE5" w:rsidRPr="00386AC3">
        <w:rPr>
          <w:rFonts w:ascii="Arial" w:eastAsia="Calibri" w:hAnsi="Arial" w:cs="Arial"/>
          <w:color w:val="000000" w:themeColor="text1"/>
          <w:sz w:val="22"/>
          <w:lang w:val="es-ES_tradnl"/>
        </w:rPr>
        <w:t>falta de competencia, por parte de la Superintendencia de Sociedades</w:t>
      </w:r>
      <w:r w:rsidR="002530C9" w:rsidRPr="00386AC3">
        <w:rPr>
          <w:rFonts w:ascii="Arial" w:eastAsia="Calibri" w:hAnsi="Arial" w:cs="Arial"/>
          <w:color w:val="000000" w:themeColor="text1"/>
          <w:sz w:val="22"/>
          <w:lang w:val="es-ES_tradnl"/>
        </w:rPr>
        <w:t>, mediante oficio con radicado No. 2022-01-</w:t>
      </w:r>
      <w:r w:rsidR="005B1A9B" w:rsidRPr="00386AC3">
        <w:rPr>
          <w:rFonts w:ascii="Arial" w:eastAsia="Calibri" w:hAnsi="Arial" w:cs="Arial"/>
          <w:color w:val="000000" w:themeColor="text1"/>
          <w:sz w:val="22"/>
          <w:lang w:val="es-ES_tradnl"/>
        </w:rPr>
        <w:t>138855 del 15 de marzo del mismo año.</w:t>
      </w:r>
      <w:r w:rsidR="00187BE5" w:rsidRPr="00386AC3">
        <w:rPr>
          <w:rFonts w:ascii="Arial" w:eastAsia="Calibri" w:hAnsi="Arial" w:cs="Arial"/>
          <w:color w:val="000000" w:themeColor="text1"/>
          <w:sz w:val="22"/>
          <w:lang w:val="es-ES_tradnl"/>
        </w:rPr>
        <w:t xml:space="preserve"> </w:t>
      </w:r>
    </w:p>
    <w:p w14:paraId="0C1E0712" w14:textId="77777777" w:rsidR="00DD5B04" w:rsidRPr="00386AC3"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386AC3"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386AC3">
        <w:rPr>
          <w:rFonts w:ascii="Arial" w:eastAsia="Calibri" w:hAnsi="Arial" w:cs="Arial"/>
          <w:b/>
          <w:color w:val="000000" w:themeColor="text1"/>
          <w:sz w:val="22"/>
          <w:lang w:val="es-ES_tradnl"/>
        </w:rPr>
        <w:t xml:space="preserve">Problema planteado </w:t>
      </w:r>
    </w:p>
    <w:p w14:paraId="224B43D3" w14:textId="77777777" w:rsidR="00DD5B04" w:rsidRPr="00386AC3"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4B78770F" w:rsidR="00443B55" w:rsidRPr="00386AC3" w:rsidRDefault="00945A66" w:rsidP="0099583D">
      <w:pPr>
        <w:spacing w:line="276" w:lineRule="auto"/>
        <w:jc w:val="both"/>
        <w:rPr>
          <w:rFonts w:ascii="Arial" w:hAnsi="Arial" w:cs="Arial"/>
          <w:color w:val="000000" w:themeColor="text1"/>
          <w:sz w:val="22"/>
          <w:lang w:val="es-ES_tradnl"/>
        </w:rPr>
      </w:pPr>
      <w:r w:rsidRPr="00386AC3">
        <w:rPr>
          <w:rFonts w:ascii="Arial" w:hAnsi="Arial" w:cs="Arial"/>
          <w:color w:val="000000" w:themeColor="text1"/>
          <w:sz w:val="22"/>
          <w:lang w:val="es-ES_tradnl"/>
        </w:rPr>
        <w:t xml:space="preserve">Luego de exponer </w:t>
      </w:r>
      <w:r w:rsidR="00B66222" w:rsidRPr="00386AC3">
        <w:rPr>
          <w:rFonts w:ascii="Arial" w:hAnsi="Arial" w:cs="Arial"/>
          <w:color w:val="000000" w:themeColor="text1"/>
          <w:sz w:val="22"/>
          <w:lang w:val="es-ES_tradnl"/>
        </w:rPr>
        <w:t>la finalidad del régimen de inhabilidades e incompatibilidades en la contratación estatal</w:t>
      </w:r>
      <w:r w:rsidR="00AA06C3" w:rsidRPr="00386AC3">
        <w:rPr>
          <w:rFonts w:ascii="Arial" w:hAnsi="Arial" w:cs="Arial"/>
          <w:color w:val="000000" w:themeColor="text1"/>
          <w:sz w:val="22"/>
          <w:lang w:val="es-ES_tradnl"/>
        </w:rPr>
        <w:t xml:space="preserve"> y de transcribir lo dispuesto en el artículo </w:t>
      </w:r>
      <w:r w:rsidR="00005210" w:rsidRPr="00386AC3">
        <w:rPr>
          <w:rFonts w:ascii="Arial" w:hAnsi="Arial" w:cs="Arial"/>
          <w:color w:val="000000" w:themeColor="text1"/>
          <w:sz w:val="22"/>
          <w:lang w:val="es-ES_tradnl"/>
        </w:rPr>
        <w:t>8, numeral 1, literal j), de la Ley 80 de 1993 –modificado por el artículo</w:t>
      </w:r>
      <w:r w:rsidR="009012A7" w:rsidRPr="00386AC3">
        <w:rPr>
          <w:rFonts w:ascii="Arial" w:hAnsi="Arial" w:cs="Arial"/>
          <w:color w:val="000000" w:themeColor="text1"/>
          <w:sz w:val="22"/>
          <w:lang w:val="es-ES_tradnl"/>
        </w:rPr>
        <w:t xml:space="preserve"> 2 de la Ley 2014 de 2019–</w:t>
      </w:r>
      <w:r w:rsidR="006A7BB6" w:rsidRPr="00386AC3">
        <w:rPr>
          <w:rFonts w:ascii="Arial" w:hAnsi="Arial" w:cs="Arial"/>
          <w:color w:val="000000" w:themeColor="text1"/>
          <w:sz w:val="22"/>
          <w:lang w:val="es-ES_tradnl"/>
        </w:rPr>
        <w:t xml:space="preserve"> y </w:t>
      </w:r>
      <w:r w:rsidR="000E2BD2" w:rsidRPr="00386AC3">
        <w:rPr>
          <w:rFonts w:ascii="Arial" w:hAnsi="Arial" w:cs="Arial"/>
          <w:color w:val="000000" w:themeColor="text1"/>
          <w:sz w:val="22"/>
          <w:lang w:val="es-ES_tradnl"/>
        </w:rPr>
        <w:t xml:space="preserve">en </w:t>
      </w:r>
      <w:r w:rsidR="006A7BB6" w:rsidRPr="00386AC3">
        <w:rPr>
          <w:rFonts w:ascii="Arial" w:hAnsi="Arial" w:cs="Arial"/>
          <w:color w:val="000000" w:themeColor="text1"/>
          <w:sz w:val="22"/>
          <w:lang w:val="es-ES_tradnl"/>
        </w:rPr>
        <w:t>el artículo 21 de la Ley 2195 de 2022,</w:t>
      </w:r>
      <w:r w:rsidRPr="00386AC3">
        <w:rPr>
          <w:rFonts w:ascii="Arial" w:hAnsi="Arial" w:cs="Arial"/>
          <w:color w:val="000000" w:themeColor="text1"/>
          <w:sz w:val="22"/>
          <w:lang w:val="es-ES_tradnl"/>
        </w:rPr>
        <w:t xml:space="preserve"> </w:t>
      </w:r>
      <w:r w:rsidR="006A7BB6" w:rsidRPr="00386AC3">
        <w:rPr>
          <w:rFonts w:ascii="Arial" w:hAnsi="Arial" w:cs="Arial"/>
          <w:color w:val="000000" w:themeColor="text1"/>
          <w:sz w:val="22"/>
          <w:lang w:val="es-ES_tradnl"/>
        </w:rPr>
        <w:t>u</w:t>
      </w:r>
      <w:r w:rsidR="00DD5B04" w:rsidRPr="00386AC3">
        <w:rPr>
          <w:rFonts w:ascii="Arial" w:hAnsi="Arial" w:cs="Arial"/>
          <w:color w:val="000000" w:themeColor="text1"/>
          <w:sz w:val="22"/>
          <w:lang w:val="es-ES_tradnl"/>
        </w:rPr>
        <w:t xml:space="preserve">sted </w:t>
      </w:r>
      <w:r w:rsidR="003847D1" w:rsidRPr="00386AC3">
        <w:rPr>
          <w:rFonts w:ascii="Arial" w:hAnsi="Arial" w:cs="Arial"/>
          <w:color w:val="000000" w:themeColor="text1"/>
          <w:sz w:val="22"/>
          <w:lang w:val="es-ES_tradnl"/>
        </w:rPr>
        <w:t>realiza</w:t>
      </w:r>
      <w:r w:rsidR="006D46A3" w:rsidRPr="00386AC3">
        <w:rPr>
          <w:rFonts w:ascii="Arial" w:hAnsi="Arial" w:cs="Arial"/>
          <w:color w:val="000000" w:themeColor="text1"/>
          <w:sz w:val="22"/>
          <w:lang w:val="es-ES_tradnl"/>
        </w:rPr>
        <w:t xml:space="preserve"> la siguiente </w:t>
      </w:r>
      <w:r w:rsidR="00B46915" w:rsidRPr="00386AC3">
        <w:rPr>
          <w:rFonts w:ascii="Arial" w:hAnsi="Arial" w:cs="Arial"/>
          <w:color w:val="000000" w:themeColor="text1"/>
          <w:sz w:val="22"/>
          <w:lang w:val="es-ES_tradnl"/>
        </w:rPr>
        <w:t>consulta</w:t>
      </w:r>
      <w:r w:rsidR="000314BD" w:rsidRPr="00386AC3">
        <w:rPr>
          <w:rFonts w:ascii="Arial" w:hAnsi="Arial" w:cs="Arial"/>
          <w:color w:val="000000" w:themeColor="text1"/>
          <w:sz w:val="22"/>
          <w:lang w:val="es-ES_tradnl"/>
        </w:rPr>
        <w:t>:</w:t>
      </w:r>
      <w:r w:rsidR="007E18DF" w:rsidRPr="00386AC3">
        <w:rPr>
          <w:rFonts w:ascii="Arial" w:hAnsi="Arial" w:cs="Arial"/>
          <w:color w:val="000000" w:themeColor="text1"/>
          <w:sz w:val="22"/>
          <w:lang w:val="es-ES_tradnl"/>
        </w:rPr>
        <w:t xml:space="preserve"> </w:t>
      </w:r>
    </w:p>
    <w:p w14:paraId="559EE20C" w14:textId="77777777" w:rsidR="00443B55" w:rsidRPr="00386AC3" w:rsidRDefault="00443B55" w:rsidP="0099583D">
      <w:pPr>
        <w:spacing w:line="276" w:lineRule="auto"/>
        <w:jc w:val="both"/>
        <w:rPr>
          <w:rFonts w:ascii="Arial" w:hAnsi="Arial" w:cs="Arial"/>
          <w:color w:val="000000" w:themeColor="text1"/>
          <w:sz w:val="22"/>
          <w:lang w:val="es-ES_tradnl"/>
        </w:rPr>
      </w:pPr>
    </w:p>
    <w:p w14:paraId="1D0C9BCC" w14:textId="770B9477" w:rsidR="0050703E" w:rsidRPr="00386AC3" w:rsidRDefault="00AF6D46" w:rsidP="00AA5C67">
      <w:pPr>
        <w:ind w:left="709" w:right="709"/>
        <w:jc w:val="both"/>
        <w:rPr>
          <w:rFonts w:ascii="Arial" w:hAnsi="Arial" w:cs="Arial"/>
          <w:color w:val="000000" w:themeColor="text1"/>
          <w:sz w:val="21"/>
          <w:szCs w:val="21"/>
          <w:lang w:val="es-ES_tradnl"/>
        </w:rPr>
      </w:pPr>
      <w:r w:rsidRPr="00386AC3">
        <w:rPr>
          <w:rFonts w:ascii="Arial" w:hAnsi="Arial" w:cs="Arial"/>
          <w:color w:val="000000" w:themeColor="text1"/>
          <w:sz w:val="21"/>
          <w:szCs w:val="21"/>
          <w:lang w:val="es-ES_tradnl"/>
        </w:rPr>
        <w:lastRenderedPageBreak/>
        <w:t>«</w:t>
      </w:r>
      <w:r w:rsidR="004213EA" w:rsidRPr="00386AC3">
        <w:rPr>
          <w:rFonts w:ascii="Arial" w:hAnsi="Arial" w:cs="Arial"/>
          <w:color w:val="000000" w:themeColor="text1"/>
          <w:sz w:val="21"/>
          <w:szCs w:val="21"/>
          <w:lang w:val="es-ES_tradnl"/>
        </w:rPr>
        <w:t xml:space="preserve">¿La imposición de la inhabilidad a personas jurídicas para contratar con el Estado, en el marco de la responsabilidad administrativa sancionatoria de que trata la Ley 2195 de 2022 se </w:t>
      </w:r>
      <w:r w:rsidR="00870FBD" w:rsidRPr="00386AC3">
        <w:rPr>
          <w:rFonts w:ascii="Arial" w:hAnsi="Arial" w:cs="Arial"/>
          <w:color w:val="000000" w:themeColor="text1"/>
          <w:sz w:val="21"/>
          <w:szCs w:val="21"/>
          <w:lang w:val="es-ES_tradnl"/>
        </w:rPr>
        <w:t>hará</w:t>
      </w:r>
      <w:r w:rsidR="004213EA" w:rsidRPr="00386AC3">
        <w:rPr>
          <w:rFonts w:ascii="Arial" w:hAnsi="Arial" w:cs="Arial"/>
          <w:color w:val="000000" w:themeColor="text1"/>
          <w:sz w:val="21"/>
          <w:szCs w:val="21"/>
          <w:lang w:val="es-ES_tradnl"/>
        </w:rPr>
        <w:t xml:space="preserve"> de forma permanente de acuerdo con el </w:t>
      </w:r>
      <w:r w:rsidR="00870FBD" w:rsidRPr="00386AC3">
        <w:rPr>
          <w:rFonts w:ascii="Arial" w:hAnsi="Arial" w:cs="Arial"/>
          <w:color w:val="000000" w:themeColor="text1"/>
          <w:sz w:val="21"/>
          <w:szCs w:val="21"/>
          <w:lang w:val="es-ES_tradnl"/>
        </w:rPr>
        <w:t>artículo</w:t>
      </w:r>
      <w:r w:rsidR="004213EA" w:rsidRPr="00386AC3">
        <w:rPr>
          <w:rFonts w:ascii="Arial" w:hAnsi="Arial" w:cs="Arial"/>
          <w:color w:val="000000" w:themeColor="text1"/>
          <w:sz w:val="21"/>
          <w:szCs w:val="21"/>
          <w:lang w:val="es-ES_tradnl"/>
        </w:rPr>
        <w:t xml:space="preserve"> 8-1-J de la Ley 80 de 1993 o teniendo como </w:t>
      </w:r>
      <w:r w:rsidR="00870FBD" w:rsidRPr="00386AC3">
        <w:rPr>
          <w:rFonts w:ascii="Arial" w:hAnsi="Arial" w:cs="Arial"/>
          <w:color w:val="000000" w:themeColor="text1"/>
          <w:sz w:val="21"/>
          <w:szCs w:val="21"/>
          <w:lang w:val="es-ES_tradnl"/>
        </w:rPr>
        <w:t>límite</w:t>
      </w:r>
      <w:r w:rsidR="004213EA" w:rsidRPr="00386AC3">
        <w:rPr>
          <w:rFonts w:ascii="Arial" w:hAnsi="Arial" w:cs="Arial"/>
          <w:color w:val="000000" w:themeColor="text1"/>
          <w:sz w:val="21"/>
          <w:szCs w:val="21"/>
          <w:lang w:val="es-ES_tradnl"/>
        </w:rPr>
        <w:t xml:space="preserve"> los 20 años que dispone el artículo 21 de esta misma ley?</w:t>
      </w:r>
      <w:r w:rsidRPr="00386AC3">
        <w:rPr>
          <w:rFonts w:ascii="Arial" w:hAnsi="Arial" w:cs="Arial"/>
          <w:color w:val="000000" w:themeColor="text1"/>
          <w:sz w:val="21"/>
          <w:szCs w:val="21"/>
          <w:lang w:val="es-ES_tradnl"/>
        </w:rPr>
        <w:t>»</w:t>
      </w:r>
    </w:p>
    <w:p w14:paraId="771C5199" w14:textId="33584FAA" w:rsidR="00EE65C4" w:rsidRPr="00386AC3" w:rsidRDefault="00EE65C4" w:rsidP="00386AC3">
      <w:pPr>
        <w:spacing w:line="276" w:lineRule="auto"/>
        <w:ind w:left="709" w:right="709"/>
        <w:jc w:val="both"/>
        <w:rPr>
          <w:rFonts w:ascii="Arial" w:hAnsi="Arial" w:cs="Arial"/>
          <w:color w:val="000000" w:themeColor="text1"/>
          <w:sz w:val="22"/>
        </w:rPr>
      </w:pPr>
    </w:p>
    <w:p w14:paraId="124D2DCA" w14:textId="77777777" w:rsidR="00DD5B04" w:rsidRPr="00386AC3"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386AC3">
        <w:rPr>
          <w:rFonts w:ascii="Arial" w:eastAsia="Calibri" w:hAnsi="Arial" w:cs="Arial"/>
          <w:b/>
          <w:color w:val="000000" w:themeColor="text1"/>
          <w:sz w:val="22"/>
          <w:lang w:val="es-ES_tradnl"/>
        </w:rPr>
        <w:t>Consideraciones</w:t>
      </w:r>
    </w:p>
    <w:p w14:paraId="7D050D2E" w14:textId="77777777" w:rsidR="00435703" w:rsidRPr="00386AC3" w:rsidRDefault="00435703" w:rsidP="00DF76A2">
      <w:pPr>
        <w:spacing w:line="276" w:lineRule="auto"/>
        <w:jc w:val="both"/>
        <w:rPr>
          <w:rFonts w:ascii="Arial" w:eastAsia="Calibri" w:hAnsi="Arial" w:cs="Arial"/>
          <w:color w:val="000000" w:themeColor="text1"/>
          <w:sz w:val="22"/>
          <w:szCs w:val="22"/>
          <w:lang w:val="es-ES_tradnl"/>
        </w:rPr>
      </w:pPr>
    </w:p>
    <w:p w14:paraId="2C24D99B" w14:textId="73A8E2E1" w:rsidR="00D71A81" w:rsidRPr="00386AC3" w:rsidRDefault="00D71A81" w:rsidP="00980206">
      <w:pPr>
        <w:spacing w:line="276" w:lineRule="auto"/>
        <w:jc w:val="both"/>
        <w:rPr>
          <w:rFonts w:ascii="Arial" w:hAnsi="Arial" w:cs="Arial"/>
          <w:sz w:val="22"/>
          <w:lang w:val="es-ES_tradnl"/>
        </w:rPr>
      </w:pPr>
      <w:r w:rsidRPr="00386AC3">
        <w:rPr>
          <w:rFonts w:ascii="Arial" w:hAnsi="Arial" w:cs="Arial"/>
          <w:sz w:val="22"/>
          <w:lang w:val="es-ES_tradnl"/>
        </w:rPr>
        <w:t>Para resolver su consulta</w:t>
      </w:r>
      <w:r w:rsidR="002D3552" w:rsidRPr="00386AC3">
        <w:rPr>
          <w:rFonts w:ascii="Arial" w:hAnsi="Arial" w:cs="Arial"/>
          <w:sz w:val="22"/>
          <w:lang w:val="es-ES_tradnl"/>
        </w:rPr>
        <w:t xml:space="preserve">, </w:t>
      </w:r>
      <w:r w:rsidR="00E368BD" w:rsidRPr="00386AC3">
        <w:rPr>
          <w:rFonts w:ascii="Arial" w:hAnsi="Arial" w:cs="Arial"/>
          <w:sz w:val="22"/>
          <w:lang w:val="es-ES_tradnl"/>
        </w:rPr>
        <w:t xml:space="preserve">se analizarán los siguientes temas: </w:t>
      </w:r>
      <w:r w:rsidR="00601709" w:rsidRPr="00386AC3">
        <w:rPr>
          <w:rFonts w:ascii="Arial" w:hAnsi="Arial" w:cs="Arial"/>
          <w:sz w:val="22"/>
          <w:lang w:val="es-ES_tradnl"/>
        </w:rPr>
        <w:t>i)</w:t>
      </w:r>
      <w:r w:rsidR="003E012C" w:rsidRPr="00386AC3">
        <w:rPr>
          <w:rFonts w:ascii="Arial" w:hAnsi="Arial" w:cs="Arial"/>
          <w:sz w:val="22"/>
          <w:lang w:val="es-ES_tradnl"/>
        </w:rPr>
        <w:t xml:space="preserve"> características del régimen de inhabilidades e incompatibilidades en la contratación estatal</w:t>
      </w:r>
      <w:r w:rsidR="006F4477" w:rsidRPr="00386AC3">
        <w:rPr>
          <w:rFonts w:ascii="Arial" w:hAnsi="Arial" w:cs="Arial"/>
          <w:sz w:val="22"/>
          <w:lang w:val="es-ES_tradnl"/>
        </w:rPr>
        <w:t xml:space="preserve"> y principios que orientan su aplicación,</w:t>
      </w:r>
      <w:r w:rsidR="00601709" w:rsidRPr="00386AC3">
        <w:rPr>
          <w:rFonts w:ascii="Arial" w:hAnsi="Arial" w:cs="Arial"/>
          <w:sz w:val="22"/>
          <w:lang w:val="es-ES_tradnl"/>
        </w:rPr>
        <w:t xml:space="preserve"> ii)</w:t>
      </w:r>
      <w:r w:rsidR="003E012C" w:rsidRPr="00386AC3">
        <w:rPr>
          <w:rFonts w:ascii="Arial" w:hAnsi="Arial" w:cs="Arial"/>
          <w:sz w:val="22"/>
          <w:lang w:val="es-ES_tradnl"/>
        </w:rPr>
        <w:t xml:space="preserve"> análisis de la causal de inhabilidad prevista en </w:t>
      </w:r>
      <w:r w:rsidR="003E012C" w:rsidRPr="00386AC3">
        <w:rPr>
          <w:rFonts w:ascii="Arial" w:eastAsia="Calibri" w:hAnsi="Arial" w:cs="Arial"/>
          <w:sz w:val="22"/>
          <w:lang w:val="es-ES"/>
        </w:rPr>
        <w:t xml:space="preserve">el artículo 8, numeral 1, literal j), de la Ley 80 de 1993, modificada por el artículo 2 de la Ley 2014 de 2019, e </w:t>
      </w:r>
      <w:r w:rsidR="005411F3" w:rsidRPr="00386AC3">
        <w:rPr>
          <w:rFonts w:ascii="Arial" w:hAnsi="Arial" w:cs="Arial"/>
          <w:sz w:val="22"/>
          <w:lang w:val="es-ES_tradnl"/>
        </w:rPr>
        <w:t xml:space="preserve">iii) </w:t>
      </w:r>
      <w:r w:rsidR="004462D7" w:rsidRPr="00386AC3">
        <w:rPr>
          <w:rFonts w:ascii="Arial" w:hAnsi="Arial" w:cs="Arial"/>
          <w:sz w:val="22"/>
          <w:lang w:val="es-ES_tradnl"/>
        </w:rPr>
        <w:t>interpretación del artículo 21, numeral 2, de la Ley 2195 de 2022</w:t>
      </w:r>
      <w:r w:rsidR="006F4477" w:rsidRPr="00386AC3">
        <w:rPr>
          <w:rFonts w:ascii="Arial" w:hAnsi="Arial" w:cs="Arial"/>
          <w:sz w:val="22"/>
          <w:lang w:val="es-ES_tradnl"/>
        </w:rPr>
        <w:t xml:space="preserve">, </w:t>
      </w:r>
      <w:r w:rsidR="004462D7" w:rsidRPr="00386AC3">
        <w:rPr>
          <w:rFonts w:ascii="Arial" w:hAnsi="Arial" w:cs="Arial"/>
          <w:sz w:val="22"/>
          <w:lang w:val="es-ES_tradnl"/>
        </w:rPr>
        <w:t>en el marco del régimen de inhabilidades e incompatibilidades para la contratación estatal</w:t>
      </w:r>
      <w:r w:rsidR="005D6D48" w:rsidRPr="00386AC3">
        <w:rPr>
          <w:rFonts w:ascii="Arial" w:hAnsi="Arial" w:cs="Arial"/>
          <w:sz w:val="22"/>
          <w:lang w:val="es-ES_tradnl"/>
        </w:rPr>
        <w:t>.</w:t>
      </w:r>
    </w:p>
    <w:p w14:paraId="6EB6457F" w14:textId="3C87341F" w:rsidR="00190DC9" w:rsidRPr="00386AC3" w:rsidRDefault="00C041DF" w:rsidP="00190DC9">
      <w:pPr>
        <w:spacing w:before="120" w:line="276" w:lineRule="auto"/>
        <w:ind w:firstLine="709"/>
        <w:jc w:val="both"/>
        <w:rPr>
          <w:rFonts w:ascii="Arial" w:hAnsi="Arial" w:cs="Arial"/>
          <w:color w:val="000000" w:themeColor="text1"/>
          <w:sz w:val="22"/>
          <w:lang w:val="es-ES_tradnl"/>
        </w:rPr>
      </w:pPr>
      <w:r w:rsidRPr="00386AC3">
        <w:rPr>
          <w:rFonts w:ascii="Arial" w:eastAsia="Calibri" w:hAnsi="Arial" w:cs="Arial"/>
          <w:color w:val="000000" w:themeColor="text1"/>
          <w:sz w:val="22"/>
          <w:lang w:val="es-ES_tradnl"/>
        </w:rPr>
        <w:t>Recientemente, l</w:t>
      </w:r>
      <w:r w:rsidR="00190DC9" w:rsidRPr="00386AC3">
        <w:rPr>
          <w:rFonts w:ascii="Arial" w:hAnsi="Arial" w:cs="Arial"/>
          <w:color w:val="000000" w:themeColor="text1"/>
          <w:sz w:val="22"/>
          <w:lang w:val="es-ES_tradnl"/>
        </w:rPr>
        <w:t xml:space="preserve">a Agencia Nacional de Contratación Pública ― Colombia Compra Eficiente analizó el régimen de inhabilidades e incompatibilidades en la contratación pública, sus criterios de interpretación –restrictivo y </w:t>
      </w:r>
      <w:r w:rsidR="00190DC9" w:rsidRPr="00386AC3">
        <w:rPr>
          <w:rFonts w:ascii="Arial" w:hAnsi="Arial" w:cs="Arial"/>
          <w:i/>
          <w:iCs/>
          <w:color w:val="000000" w:themeColor="text1"/>
          <w:sz w:val="22"/>
          <w:lang w:val="es-ES_tradnl"/>
        </w:rPr>
        <w:t xml:space="preserve">pro </w:t>
      </w:r>
      <w:proofErr w:type="spellStart"/>
      <w:r w:rsidR="00190DC9" w:rsidRPr="00386AC3">
        <w:rPr>
          <w:rFonts w:ascii="Arial" w:hAnsi="Arial" w:cs="Arial"/>
          <w:i/>
          <w:iCs/>
          <w:color w:val="000000" w:themeColor="text1"/>
          <w:sz w:val="22"/>
          <w:lang w:val="es-ES_tradnl"/>
        </w:rPr>
        <w:t>libertate</w:t>
      </w:r>
      <w:proofErr w:type="spellEnd"/>
      <w:r w:rsidR="00190DC9" w:rsidRPr="00386AC3">
        <w:rPr>
          <w:rFonts w:ascii="Arial" w:hAnsi="Arial" w:cs="Arial"/>
          <w:color w:val="000000" w:themeColor="text1"/>
          <w:sz w:val="22"/>
          <w:lang w:val="es-ES_tradnl"/>
        </w:rPr>
        <w:t>– y sus efectos en la capacidad contractual,</w:t>
      </w:r>
      <w:r w:rsidR="003C7FE4" w:rsidRPr="00386AC3">
        <w:rPr>
          <w:rFonts w:ascii="Arial" w:hAnsi="Arial" w:cs="Arial"/>
          <w:color w:val="000000" w:themeColor="text1"/>
          <w:sz w:val="22"/>
          <w:lang w:val="es-ES_tradnl"/>
        </w:rPr>
        <w:t xml:space="preserve"> entre otros,</w:t>
      </w:r>
      <w:r w:rsidR="00190DC9" w:rsidRPr="00386AC3">
        <w:rPr>
          <w:rFonts w:ascii="Arial" w:hAnsi="Arial" w:cs="Arial"/>
          <w:color w:val="000000" w:themeColor="text1"/>
          <w:sz w:val="22"/>
          <w:lang w:val="es-ES_tradnl"/>
        </w:rPr>
        <w:t xml:space="preserve"> en los conceptos: C-090 del 24 de febrero de 2020, C-125 del 3 de marzo de 2020, C-157 del 17 de marzo de 2020, C-273 del 21 de mayo de 2020</w:t>
      </w:r>
      <w:r w:rsidR="003C7FE4" w:rsidRPr="00386AC3">
        <w:rPr>
          <w:rFonts w:ascii="Arial" w:hAnsi="Arial" w:cs="Arial"/>
          <w:color w:val="000000" w:themeColor="text1"/>
          <w:sz w:val="22"/>
          <w:lang w:val="es-ES_tradnl"/>
        </w:rPr>
        <w:t>, C-402 del 26 de junio de 2020</w:t>
      </w:r>
      <w:r w:rsidR="00460BF1" w:rsidRPr="00386AC3">
        <w:rPr>
          <w:rFonts w:ascii="Arial" w:hAnsi="Arial" w:cs="Arial"/>
          <w:color w:val="000000" w:themeColor="text1"/>
          <w:sz w:val="22"/>
          <w:lang w:val="es-ES_tradnl"/>
        </w:rPr>
        <w:t xml:space="preserve">, </w:t>
      </w:r>
      <w:r w:rsidR="00190DC9" w:rsidRPr="00386AC3">
        <w:rPr>
          <w:rFonts w:ascii="Arial" w:hAnsi="Arial" w:cs="Arial"/>
          <w:color w:val="000000" w:themeColor="text1"/>
          <w:sz w:val="22"/>
          <w:lang w:val="es-ES_tradnl"/>
        </w:rPr>
        <w:t>C-386 del 24 de julio de 2020</w:t>
      </w:r>
      <w:r w:rsidR="00460BF1" w:rsidRPr="00386AC3">
        <w:rPr>
          <w:rFonts w:ascii="Arial" w:hAnsi="Arial" w:cs="Arial"/>
          <w:color w:val="000000" w:themeColor="text1"/>
          <w:sz w:val="22"/>
          <w:lang w:val="es-ES_tradnl"/>
        </w:rPr>
        <w:t>, C</w:t>
      </w:r>
      <w:r w:rsidR="002B717A" w:rsidRPr="00386AC3">
        <w:rPr>
          <w:rFonts w:ascii="Arial" w:hAnsi="Arial" w:cs="Arial"/>
          <w:color w:val="000000" w:themeColor="text1"/>
          <w:sz w:val="22"/>
          <w:lang w:val="es-ES_tradnl"/>
        </w:rPr>
        <w:t xml:space="preserve">-701 del 6 de enero de 2021, </w:t>
      </w:r>
      <w:r w:rsidR="00B06125" w:rsidRPr="00386AC3">
        <w:rPr>
          <w:rFonts w:ascii="Arial" w:hAnsi="Arial" w:cs="Arial"/>
          <w:color w:val="000000" w:themeColor="text1"/>
          <w:sz w:val="22"/>
          <w:lang w:val="es-ES_tradnl"/>
        </w:rPr>
        <w:t xml:space="preserve">C-004 del 12 de febrero de 2021, </w:t>
      </w:r>
      <w:r w:rsidR="00E86240" w:rsidRPr="00386AC3">
        <w:rPr>
          <w:rFonts w:ascii="Arial" w:hAnsi="Arial" w:cs="Arial"/>
          <w:color w:val="000000" w:themeColor="text1"/>
          <w:sz w:val="22"/>
          <w:lang w:val="es-ES_tradnl"/>
        </w:rPr>
        <w:t>C-210 del 12 de mayo de 2021, C-275 del 11 de junio de 2021</w:t>
      </w:r>
      <w:r w:rsidR="00F1458F" w:rsidRPr="00386AC3">
        <w:rPr>
          <w:rFonts w:ascii="Arial" w:hAnsi="Arial" w:cs="Arial"/>
          <w:color w:val="000000" w:themeColor="text1"/>
          <w:sz w:val="22"/>
          <w:lang w:val="es-ES_tradnl"/>
        </w:rPr>
        <w:t xml:space="preserve"> y </w:t>
      </w:r>
      <w:r w:rsidR="000F04BE" w:rsidRPr="00386AC3">
        <w:rPr>
          <w:rFonts w:ascii="Arial" w:hAnsi="Arial" w:cs="Arial"/>
          <w:color w:val="000000" w:themeColor="text1"/>
          <w:sz w:val="22"/>
          <w:lang w:val="es-ES_tradnl"/>
        </w:rPr>
        <w:t>C-449 del 31 de agosto de 2021</w:t>
      </w:r>
      <w:r w:rsidR="00190DC9" w:rsidRPr="00386AC3">
        <w:rPr>
          <w:rFonts w:ascii="Arial" w:hAnsi="Arial" w:cs="Arial"/>
          <w:color w:val="000000" w:themeColor="text1"/>
          <w:sz w:val="22"/>
          <w:lang w:val="es-ES_tradnl"/>
        </w:rPr>
        <w:t xml:space="preserve">. Las tesis expuestas en aquellas oportunidades se reiteran a continuación y se complementan con algunas ideas relacionadas con </w:t>
      </w:r>
      <w:r w:rsidR="003847D1" w:rsidRPr="00386AC3">
        <w:rPr>
          <w:rFonts w:ascii="Arial" w:hAnsi="Arial" w:cs="Arial"/>
          <w:color w:val="000000" w:themeColor="text1"/>
          <w:sz w:val="22"/>
          <w:lang w:val="es-ES_tradnl"/>
        </w:rPr>
        <w:t>el</w:t>
      </w:r>
      <w:r w:rsidR="00190DC9" w:rsidRPr="00386AC3">
        <w:rPr>
          <w:rFonts w:ascii="Arial" w:hAnsi="Arial" w:cs="Arial"/>
          <w:color w:val="000000" w:themeColor="text1"/>
          <w:sz w:val="22"/>
          <w:lang w:val="es-ES_tradnl"/>
        </w:rPr>
        <w:t xml:space="preserve"> objeto de </w:t>
      </w:r>
      <w:r w:rsidR="003847D1" w:rsidRPr="00386AC3">
        <w:rPr>
          <w:rFonts w:ascii="Arial" w:hAnsi="Arial" w:cs="Arial"/>
          <w:color w:val="000000" w:themeColor="text1"/>
          <w:sz w:val="22"/>
          <w:lang w:val="es-ES_tradnl"/>
        </w:rPr>
        <w:t>la solicitud</w:t>
      </w:r>
      <w:r w:rsidR="00190DC9" w:rsidRPr="00386AC3">
        <w:rPr>
          <w:rFonts w:ascii="Arial" w:hAnsi="Arial" w:cs="Arial"/>
          <w:color w:val="000000" w:themeColor="text1"/>
          <w:sz w:val="22"/>
          <w:lang w:val="es-ES_tradnl"/>
        </w:rPr>
        <w:t>.</w:t>
      </w:r>
    </w:p>
    <w:p w14:paraId="24852DD3" w14:textId="77777777" w:rsidR="009415BB" w:rsidRPr="00386AC3" w:rsidRDefault="009415BB" w:rsidP="009415BB">
      <w:pPr>
        <w:spacing w:line="276" w:lineRule="auto"/>
        <w:jc w:val="both"/>
        <w:rPr>
          <w:rFonts w:ascii="Arial" w:eastAsia="Calibri" w:hAnsi="Arial" w:cs="Arial"/>
          <w:b/>
          <w:color w:val="000000" w:themeColor="text1"/>
          <w:sz w:val="22"/>
          <w:lang w:val="es-ES_tradnl"/>
        </w:rPr>
      </w:pPr>
    </w:p>
    <w:p w14:paraId="7DBF07A4" w14:textId="4940D100" w:rsidR="00FC130B" w:rsidRPr="00386AC3" w:rsidRDefault="00FC130B" w:rsidP="00FC130B">
      <w:pPr>
        <w:tabs>
          <w:tab w:val="left" w:pos="426"/>
        </w:tabs>
        <w:spacing w:line="276" w:lineRule="auto"/>
        <w:jc w:val="both"/>
        <w:rPr>
          <w:rFonts w:ascii="Arial" w:eastAsia="Calibri" w:hAnsi="Arial" w:cs="Arial"/>
          <w:b/>
          <w:color w:val="000000" w:themeColor="text1"/>
          <w:sz w:val="22"/>
          <w:lang w:val="es-ES_tradnl"/>
        </w:rPr>
      </w:pPr>
      <w:r w:rsidRPr="00386AC3">
        <w:rPr>
          <w:rFonts w:ascii="Arial" w:eastAsia="Calibri" w:hAnsi="Arial" w:cs="Arial"/>
          <w:b/>
          <w:color w:val="000000" w:themeColor="text1"/>
          <w:sz w:val="22"/>
          <w:lang w:val="es-ES_tradnl"/>
        </w:rPr>
        <w:t>2.1. Régimen de inhabilidades e incompatibilidades en la contratación estatal: un límite a la capacidad contractual.</w:t>
      </w:r>
      <w:r w:rsidR="00C5529C" w:rsidRPr="00386AC3">
        <w:rPr>
          <w:rFonts w:ascii="Arial" w:eastAsia="Calibri" w:hAnsi="Arial" w:cs="Arial"/>
          <w:b/>
          <w:color w:val="000000" w:themeColor="text1"/>
          <w:sz w:val="22"/>
          <w:lang w:val="es-ES_tradnl"/>
        </w:rPr>
        <w:t xml:space="preserve"> </w:t>
      </w:r>
      <w:r w:rsidRPr="00386AC3">
        <w:rPr>
          <w:rFonts w:ascii="Arial" w:eastAsia="Calibri" w:hAnsi="Arial" w:cs="Arial"/>
          <w:b/>
          <w:color w:val="000000" w:themeColor="text1"/>
          <w:sz w:val="22"/>
          <w:lang w:val="es-ES_tradnl"/>
        </w:rPr>
        <w:t xml:space="preserve">La interpretación restrictiva como criterio hermenéutico de los enunciados normativos gravosos </w:t>
      </w:r>
    </w:p>
    <w:p w14:paraId="249514BE" w14:textId="77777777" w:rsidR="00FC130B" w:rsidRPr="00386AC3" w:rsidRDefault="00FC130B" w:rsidP="00FC130B">
      <w:pPr>
        <w:spacing w:line="276" w:lineRule="auto"/>
        <w:jc w:val="both"/>
        <w:rPr>
          <w:rFonts w:ascii="Arial" w:eastAsia="Calibri" w:hAnsi="Arial" w:cs="Arial"/>
          <w:color w:val="000000" w:themeColor="text1"/>
          <w:sz w:val="22"/>
          <w:lang w:val="es-ES_tradnl"/>
        </w:rPr>
      </w:pPr>
    </w:p>
    <w:p w14:paraId="064981BD" w14:textId="1E95FDCB" w:rsidR="00FC130B" w:rsidRPr="00386AC3" w:rsidRDefault="00FC130B" w:rsidP="00FC130B">
      <w:pPr>
        <w:spacing w:line="276" w:lineRule="auto"/>
        <w:jc w:val="both"/>
        <w:rPr>
          <w:rFonts w:ascii="Arial" w:eastAsia="Calibri" w:hAnsi="Arial" w:cs="Arial"/>
          <w:color w:val="000000" w:themeColor="text1"/>
          <w:sz w:val="22"/>
          <w:lang w:val="es-ES_tradnl"/>
        </w:rPr>
      </w:pPr>
      <w:r w:rsidRPr="00386AC3">
        <w:rPr>
          <w:rFonts w:ascii="Arial" w:eastAsia="Calibri" w:hAnsi="Arial" w:cs="Arial"/>
          <w:color w:val="000000" w:themeColor="text1"/>
          <w:sz w:val="22"/>
          <w:lang w:val="es-ES_tradnl"/>
        </w:rPr>
        <w:t xml:space="preserve">En la contratación estatal la </w:t>
      </w:r>
      <w:r w:rsidRPr="00386AC3">
        <w:rPr>
          <w:rFonts w:ascii="Arial" w:eastAsia="Calibri" w:hAnsi="Arial" w:cs="Arial"/>
          <w:i/>
          <w:iCs/>
          <w:color w:val="000000" w:themeColor="text1"/>
          <w:sz w:val="22"/>
          <w:lang w:val="es-ES_tradnl"/>
        </w:rPr>
        <w:t>capacidad</w:t>
      </w:r>
      <w:r w:rsidRPr="00386AC3">
        <w:rPr>
          <w:rFonts w:ascii="Arial" w:eastAsia="Calibri" w:hAnsi="Arial" w:cs="Arial"/>
          <w:color w:val="000000" w:themeColor="text1"/>
          <w:sz w:val="22"/>
          <w:lang w:val="es-ES_tradnl"/>
        </w:rPr>
        <w:t xml:space="preserve"> también es un requisito de validez de los contratos, tanto en el régimen de las entidades sujetas al Estatuto General de Contratación de la Administración Pública</w:t>
      </w:r>
      <w:r w:rsidRPr="00386AC3">
        <w:rPr>
          <w:rFonts w:ascii="Arial" w:eastAsia="Calibri" w:hAnsi="Arial" w:cs="Arial"/>
          <w:color w:val="000000" w:themeColor="text1"/>
          <w:sz w:val="22"/>
          <w:vertAlign w:val="superscript"/>
          <w:lang w:val="es-ES_tradnl"/>
        </w:rPr>
        <w:footnoteReference w:id="2"/>
      </w:r>
      <w:r w:rsidRPr="00386AC3">
        <w:rPr>
          <w:rFonts w:ascii="Arial" w:eastAsia="Calibri" w:hAnsi="Arial" w:cs="Arial"/>
          <w:color w:val="000000" w:themeColor="text1"/>
          <w:sz w:val="22"/>
          <w:lang w:val="es-ES_tradnl"/>
        </w:rPr>
        <w:t xml:space="preserve"> como en el de las entidades exceptuadas de aquel</w:t>
      </w:r>
      <w:r w:rsidRPr="00386AC3">
        <w:rPr>
          <w:rFonts w:ascii="Arial" w:eastAsia="Calibri" w:hAnsi="Arial" w:cs="Arial"/>
          <w:color w:val="000000" w:themeColor="text1"/>
          <w:sz w:val="22"/>
          <w:vertAlign w:val="superscript"/>
          <w:lang w:val="es-ES_tradnl"/>
        </w:rPr>
        <w:footnoteReference w:id="3"/>
      </w:r>
      <w:r w:rsidRPr="00386AC3">
        <w:rPr>
          <w:rFonts w:ascii="Arial" w:eastAsia="Calibri" w:hAnsi="Arial" w:cs="Arial"/>
          <w:color w:val="000000" w:themeColor="text1"/>
          <w:sz w:val="22"/>
          <w:lang w:val="es-ES_tradnl"/>
        </w:rPr>
        <w:t xml:space="preserve">. Si bien la </w:t>
      </w:r>
      <w:r w:rsidRPr="00386AC3">
        <w:rPr>
          <w:rFonts w:ascii="Arial" w:eastAsia="Calibri" w:hAnsi="Arial" w:cs="Arial"/>
          <w:color w:val="000000" w:themeColor="text1"/>
          <w:sz w:val="22"/>
          <w:lang w:val="es-ES_tradnl"/>
        </w:rPr>
        <w:lastRenderedPageBreak/>
        <w:t>regulación de la capacidad se integra por varias disposiciones y exigencias especiales –como el requisito de inscribirse, por regla general, en el Registro Único de Proponentes (RUP), establecido en el artículo 6 de la Ley 1150 de 2007, modificado por el artículo 221 del Decreto 19 de 2012</w:t>
      </w:r>
      <w:r w:rsidRPr="00386AC3">
        <w:rPr>
          <w:rFonts w:ascii="Arial" w:eastAsia="Calibri" w:hAnsi="Arial" w:cs="Arial"/>
          <w:color w:val="000000" w:themeColor="text1"/>
          <w:sz w:val="22"/>
          <w:vertAlign w:val="superscript"/>
          <w:lang w:val="es-ES_tradnl"/>
        </w:rPr>
        <w:footnoteReference w:id="4"/>
      </w:r>
      <w:r w:rsidRPr="00386AC3">
        <w:rPr>
          <w:rFonts w:ascii="Arial" w:eastAsia="Calibri" w:hAnsi="Arial" w:cs="Arial"/>
          <w:color w:val="000000" w:themeColor="text1"/>
          <w:sz w:val="22"/>
          <w:lang w:val="es-ES_tradnl"/>
        </w:rPr>
        <w:t>–, se destaca el régimen de inhabilidades e incompatibilidades como un conjunto de enunciados normativos que imponen restricciones para los sujetos que, eventualmente, pretendan participar en los procedimientos de selección o celebrar contratos con las entidades estatales</w:t>
      </w:r>
      <w:r w:rsidRPr="00386AC3">
        <w:rPr>
          <w:rFonts w:ascii="Arial" w:eastAsia="Calibri" w:hAnsi="Arial" w:cs="Arial"/>
          <w:color w:val="000000" w:themeColor="text1"/>
          <w:sz w:val="22"/>
          <w:vertAlign w:val="superscript"/>
          <w:lang w:val="es-ES_tradnl"/>
        </w:rPr>
        <w:footnoteReference w:id="5"/>
      </w:r>
      <w:r w:rsidRPr="00386AC3">
        <w:rPr>
          <w:rFonts w:ascii="Arial" w:eastAsia="Calibri" w:hAnsi="Arial" w:cs="Arial"/>
          <w:color w:val="000000" w:themeColor="text1"/>
          <w:sz w:val="22"/>
          <w:lang w:val="es-ES_tradnl"/>
        </w:rPr>
        <w:t>.</w:t>
      </w:r>
    </w:p>
    <w:p w14:paraId="4D02D26D" w14:textId="56BA9655" w:rsidR="00FC130B" w:rsidRPr="00386AC3" w:rsidRDefault="00FC130B" w:rsidP="00FC130B">
      <w:pPr>
        <w:spacing w:before="120" w:after="120" w:line="276" w:lineRule="auto"/>
        <w:ind w:firstLine="709"/>
        <w:jc w:val="both"/>
        <w:rPr>
          <w:rFonts w:ascii="Arial" w:eastAsia="Calibri" w:hAnsi="Arial" w:cs="Arial"/>
          <w:color w:val="000000" w:themeColor="text1"/>
          <w:sz w:val="22"/>
          <w:lang w:val="es-ES_tradnl"/>
        </w:rPr>
      </w:pPr>
      <w:r w:rsidRPr="00386AC3">
        <w:rPr>
          <w:rFonts w:ascii="Arial" w:eastAsia="Calibri" w:hAnsi="Arial" w:cs="Arial"/>
          <w:color w:val="000000" w:themeColor="text1"/>
          <w:sz w:val="22"/>
          <w:lang w:val="es-ES_tradnl"/>
        </w:rPr>
        <w:t>Las inhabilidades son prohibiciones para concurrir a los procedimientos de selección y para contratar con el Estado, que se derivan: i) de la existencia de comportamientos reprochables o de sanciones anteriormente impuestas</w:t>
      </w:r>
      <w:r w:rsidRPr="00386AC3">
        <w:rPr>
          <w:rFonts w:ascii="Arial" w:eastAsia="Calibri" w:hAnsi="Arial" w:cs="Arial"/>
          <w:color w:val="000000" w:themeColor="text1"/>
          <w:sz w:val="22"/>
          <w:vertAlign w:val="superscript"/>
          <w:lang w:val="es-ES_tradnl"/>
        </w:rPr>
        <w:footnoteReference w:id="6"/>
      </w:r>
      <w:r w:rsidRPr="00386AC3">
        <w:rPr>
          <w:rFonts w:ascii="Arial" w:eastAsia="Calibri" w:hAnsi="Arial" w:cs="Arial"/>
          <w:color w:val="000000" w:themeColor="text1"/>
          <w:sz w:val="22"/>
          <w:lang w:val="es-ES_tradnl"/>
        </w:rPr>
        <w:t xml:space="preserve">, ii) de vínculos personales relativos </w:t>
      </w:r>
      <w:r w:rsidRPr="00386AC3">
        <w:rPr>
          <w:rFonts w:ascii="Arial" w:eastAsia="Calibri" w:hAnsi="Arial" w:cs="Arial"/>
          <w:color w:val="000000" w:themeColor="text1"/>
          <w:sz w:val="22"/>
          <w:lang w:val="es-ES_tradnl"/>
        </w:rPr>
        <w:lastRenderedPageBreak/>
        <w:t>al parentesco o al estado civil</w:t>
      </w:r>
      <w:r w:rsidRPr="00386AC3">
        <w:rPr>
          <w:rFonts w:ascii="Arial" w:eastAsia="Calibri" w:hAnsi="Arial" w:cs="Arial"/>
          <w:color w:val="000000" w:themeColor="text1"/>
          <w:sz w:val="22"/>
          <w:vertAlign w:val="superscript"/>
          <w:lang w:val="es-ES_tradnl"/>
        </w:rPr>
        <w:footnoteReference w:id="7"/>
      </w:r>
      <w:r w:rsidRPr="00386AC3">
        <w:rPr>
          <w:rFonts w:ascii="Arial" w:eastAsia="Calibri" w:hAnsi="Arial" w:cs="Arial"/>
          <w:color w:val="000000" w:themeColor="text1"/>
          <w:sz w:val="22"/>
          <w:lang w:val="es-ES_tradnl"/>
        </w:rPr>
        <w:t xml:space="preserve"> o iii) de una actividad u oficio que se desempeñó en el pasado</w:t>
      </w:r>
      <w:r w:rsidRPr="00386AC3">
        <w:rPr>
          <w:rFonts w:ascii="Arial" w:eastAsia="Calibri" w:hAnsi="Arial" w:cs="Arial"/>
          <w:color w:val="000000" w:themeColor="text1"/>
          <w:sz w:val="22"/>
          <w:vertAlign w:val="superscript"/>
          <w:lang w:val="es-ES_tradnl"/>
        </w:rPr>
        <w:footnoteReference w:id="8"/>
      </w:r>
      <w:r w:rsidRPr="00386AC3">
        <w:rPr>
          <w:rFonts w:ascii="Arial" w:eastAsia="Calibri" w:hAnsi="Arial" w:cs="Arial"/>
          <w:color w:val="000000" w:themeColor="text1"/>
          <w:sz w:val="22"/>
          <w:lang w:val="es-ES_tradnl"/>
        </w:rPr>
        <w:t xml:space="preserve">. De otro lado, las incompatibilidades son prohibiciones para participar en los </w:t>
      </w:r>
      <w:r w:rsidRPr="00386AC3">
        <w:rPr>
          <w:rFonts w:ascii="Arial" w:eastAsia="Calibri" w:hAnsi="Arial" w:cs="Arial"/>
          <w:color w:val="000000" w:themeColor="text1"/>
          <w:sz w:val="22"/>
          <w:lang w:val="es-ES_tradnl"/>
        </w:rPr>
        <w:lastRenderedPageBreak/>
        <w:t>procedimientos de selección y para celebrar contratos estatales, fundadas en la calidad que ostenta el sujeto interesado en realizar alguna de dichas actividades, que no puede coexistir con su calidad de proponente o contratista del Estado</w:t>
      </w:r>
      <w:r w:rsidRPr="00386AC3">
        <w:rPr>
          <w:rFonts w:ascii="Arial" w:eastAsia="Calibri" w:hAnsi="Arial" w:cs="Arial"/>
          <w:color w:val="000000" w:themeColor="text1"/>
          <w:sz w:val="22"/>
          <w:vertAlign w:val="superscript"/>
          <w:lang w:val="es-ES_tradnl"/>
        </w:rPr>
        <w:footnoteReference w:id="9"/>
      </w:r>
      <w:r w:rsidRPr="00386AC3">
        <w:rPr>
          <w:rFonts w:ascii="Arial" w:eastAsia="Calibri" w:hAnsi="Arial" w:cs="Arial"/>
          <w:color w:val="000000" w:themeColor="text1"/>
          <w:sz w:val="22"/>
          <w:lang w:val="es-ES_tradnl"/>
        </w:rPr>
        <w:t xml:space="preserve">. </w:t>
      </w:r>
    </w:p>
    <w:p w14:paraId="004F843B" w14:textId="77777777" w:rsidR="00FC130B" w:rsidRPr="00386AC3" w:rsidRDefault="00FC130B" w:rsidP="00FC130B">
      <w:pPr>
        <w:spacing w:before="120" w:after="120" w:line="276" w:lineRule="auto"/>
        <w:ind w:firstLine="709"/>
        <w:jc w:val="both"/>
        <w:rPr>
          <w:rFonts w:ascii="Arial" w:eastAsia="Calibri" w:hAnsi="Arial" w:cs="Arial"/>
          <w:color w:val="000000" w:themeColor="text1"/>
          <w:sz w:val="22"/>
          <w:lang w:val="es-ES_tradnl"/>
        </w:rPr>
      </w:pPr>
      <w:r w:rsidRPr="00386AC3">
        <w:rPr>
          <w:rFonts w:ascii="Arial" w:eastAsia="Calibri" w:hAnsi="Arial" w:cs="Arial"/>
          <w:color w:val="000000" w:themeColor="text1"/>
          <w:sz w:val="22"/>
          <w:lang w:val="es-ES_tradnl"/>
        </w:rPr>
        <w:t xml:space="preserve">El régimen de inhabilidades e incompatibilidades en la contratación pública responde a la tendencia, vigente desde hace varias décadas en nuestro país, pero que se ha reforzado en los últimos años, de asegurar que la actividad de provisión de los bienes y servicios por parte de las entidades estatales se efectúe cumpliendo con los principios de la función administrativa y de la gestión fiscal, especialmente con probidad y transparencia. Es por ello </w:t>
      </w:r>
      <w:proofErr w:type="gramStart"/>
      <w:r w:rsidRPr="00386AC3">
        <w:rPr>
          <w:rFonts w:ascii="Arial" w:eastAsia="Calibri" w:hAnsi="Arial" w:cs="Arial"/>
          <w:color w:val="000000" w:themeColor="text1"/>
          <w:sz w:val="22"/>
          <w:lang w:val="es-ES_tradnl"/>
        </w:rPr>
        <w:t>que</w:t>
      </w:r>
      <w:proofErr w:type="gramEnd"/>
      <w:r w:rsidRPr="00386AC3">
        <w:rPr>
          <w:rFonts w:ascii="Arial" w:eastAsia="Calibri" w:hAnsi="Arial" w:cs="Arial"/>
          <w:color w:val="000000" w:themeColor="text1"/>
          <w:sz w:val="22"/>
          <w:lang w:val="es-ES_tradnl"/>
        </w:rPr>
        <w:t>, como lo ha destacado la doctrina, las inhabilidades e incompatibilidades se han convertido en herramientas en la lucha contra la corrupción, adoptando paulatinamente un cariz sancionatorio o «</w:t>
      </w:r>
      <w:proofErr w:type="spellStart"/>
      <w:r w:rsidRPr="00386AC3">
        <w:rPr>
          <w:rFonts w:ascii="Arial" w:eastAsia="Calibri" w:hAnsi="Arial" w:cs="Arial"/>
          <w:color w:val="000000" w:themeColor="text1"/>
          <w:sz w:val="22"/>
          <w:lang w:val="es-ES_tradnl"/>
        </w:rPr>
        <w:t>neopunitivo</w:t>
      </w:r>
      <w:proofErr w:type="spellEnd"/>
      <w:r w:rsidRPr="00386AC3">
        <w:rPr>
          <w:rFonts w:ascii="Arial" w:eastAsia="Calibri" w:hAnsi="Arial" w:cs="Arial"/>
          <w:color w:val="000000" w:themeColor="text1"/>
          <w:sz w:val="22"/>
          <w:lang w:val="es-ES_tradnl"/>
        </w:rPr>
        <w:t>»</w:t>
      </w:r>
      <w:r w:rsidRPr="00386AC3">
        <w:rPr>
          <w:rFonts w:ascii="Arial" w:eastAsia="Calibri" w:hAnsi="Arial" w:cs="Arial"/>
          <w:color w:val="000000" w:themeColor="text1"/>
          <w:sz w:val="22"/>
          <w:vertAlign w:val="superscript"/>
          <w:lang w:val="es-ES_tradnl"/>
        </w:rPr>
        <w:footnoteReference w:id="10"/>
      </w:r>
      <w:r w:rsidRPr="00386AC3">
        <w:rPr>
          <w:rFonts w:ascii="Arial" w:eastAsia="Calibri" w:hAnsi="Arial" w:cs="Arial"/>
          <w:color w:val="000000" w:themeColor="text1"/>
          <w:sz w:val="22"/>
          <w:lang w:val="es-ES_tradnl"/>
        </w:rPr>
        <w:t>. Si bien no todas las causales de inhabilidad y de incompatibilidad son consecuencia de una medida de reproche ni de una sanción previa, como ya se explicó, es indiscutible que en los años más recientes los lamentables hechos de corrupción han generado, como respuesta del legislador, un incremento de las restricciones a la capacidad contractual, dirigidas a prevenir este tipo de situaciones o a sancionar tales conductas.</w:t>
      </w:r>
    </w:p>
    <w:p w14:paraId="05907CBE" w14:textId="77777777" w:rsidR="00FC130B" w:rsidRPr="00386AC3" w:rsidRDefault="00FC130B" w:rsidP="00FC130B">
      <w:pPr>
        <w:spacing w:before="120" w:after="120" w:line="276" w:lineRule="auto"/>
        <w:ind w:firstLine="709"/>
        <w:jc w:val="both"/>
        <w:rPr>
          <w:rFonts w:ascii="Arial" w:eastAsia="Calibri" w:hAnsi="Arial" w:cs="Arial"/>
          <w:color w:val="000000" w:themeColor="text1"/>
          <w:sz w:val="22"/>
          <w:lang w:val="es-ES_tradnl"/>
        </w:rPr>
      </w:pPr>
      <w:r w:rsidRPr="00386AC3">
        <w:rPr>
          <w:rFonts w:ascii="Arial" w:eastAsia="Calibri" w:hAnsi="Arial" w:cs="Arial"/>
          <w:color w:val="000000" w:themeColor="text1"/>
          <w:sz w:val="22"/>
          <w:lang w:val="es-ES_tradnl"/>
        </w:rPr>
        <w:t xml:space="preserve">Ahora bien, las inhabilidades e incompatibilidades –como ya se dijo– al ser restricciones o límites especiales a la capacidad para presentar ofertas y celebrar contratos estatales, solo pueden tipificarse en la ley –o sea, deben satisfacer el principio de legalidad– y su interpretación debe ser </w:t>
      </w:r>
      <w:r w:rsidRPr="00386AC3">
        <w:rPr>
          <w:rFonts w:ascii="Arial" w:eastAsia="Calibri" w:hAnsi="Arial" w:cs="Arial"/>
          <w:i/>
          <w:iCs/>
          <w:color w:val="000000" w:themeColor="text1"/>
          <w:sz w:val="22"/>
          <w:lang w:val="es-ES_tradnl"/>
        </w:rPr>
        <w:t>restrictiva</w:t>
      </w:r>
      <w:r w:rsidRPr="00386AC3">
        <w:rPr>
          <w:rFonts w:ascii="Arial" w:eastAsia="Calibri" w:hAnsi="Arial" w:cs="Arial"/>
          <w:color w:val="000000" w:themeColor="text1"/>
          <w:sz w:val="22"/>
          <w:vertAlign w:val="superscript"/>
          <w:lang w:val="es-ES_tradnl"/>
        </w:rPr>
        <w:footnoteReference w:id="11"/>
      </w:r>
      <w:r w:rsidRPr="00386AC3">
        <w:rPr>
          <w:rFonts w:ascii="Arial" w:eastAsia="Calibri" w:hAnsi="Arial" w:cs="Arial"/>
          <w:color w:val="000000" w:themeColor="text1"/>
          <w:sz w:val="22"/>
          <w:lang w:val="es-ES_tradnl"/>
        </w:rPr>
        <w:t xml:space="preserve">, pues si se admitiera una interpretación amplia, extensiva o finalista de las mismas, tales enunciados normativos podrían contemplar múltiples supuestos indeterminados, según el parecer o el sentido común de los operadores </w:t>
      </w:r>
      <w:r w:rsidRPr="00386AC3">
        <w:rPr>
          <w:rFonts w:ascii="Arial" w:eastAsia="Calibri" w:hAnsi="Arial" w:cs="Arial"/>
          <w:color w:val="000000" w:themeColor="text1"/>
          <w:sz w:val="22"/>
          <w:lang w:val="es-ES_tradnl"/>
        </w:rPr>
        <w:lastRenderedPageBreak/>
        <w:t xml:space="preserve">jurídicos, poniendo en riesgo principios como la igualdad, el debido proceso, la libre concurrencia y el ejercicio de la profesión u oficio. Tal ha sido la postura al interior de la jurisprudencia, tanto de la Corte Constitucional como de la Sección Tercera del Consejo de Estado. </w:t>
      </w:r>
    </w:p>
    <w:p w14:paraId="130E2612" w14:textId="4F261F5B" w:rsidR="00FC130B" w:rsidRPr="00386AC3" w:rsidRDefault="00FC130B" w:rsidP="00FC130B">
      <w:pPr>
        <w:spacing w:line="276" w:lineRule="auto"/>
        <w:ind w:firstLine="709"/>
        <w:jc w:val="both"/>
        <w:rPr>
          <w:rFonts w:ascii="Arial" w:eastAsia="Calibri" w:hAnsi="Arial" w:cs="Arial"/>
          <w:color w:val="000000" w:themeColor="text1"/>
          <w:sz w:val="22"/>
          <w:lang w:val="es-ES_tradnl"/>
        </w:rPr>
      </w:pPr>
      <w:r w:rsidRPr="00386AC3">
        <w:rPr>
          <w:rFonts w:ascii="Arial" w:eastAsia="Calibri" w:hAnsi="Arial" w:cs="Arial"/>
          <w:color w:val="000000" w:themeColor="text1"/>
          <w:sz w:val="22"/>
          <w:lang w:val="es-ES_tradnl"/>
        </w:rPr>
        <w:t>En efecto, el máximo tribunal constitucional ha indicado que, al precisar el sentido de este tipo de normas, «[…]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sidRPr="00386AC3">
        <w:rPr>
          <w:rFonts w:ascii="Arial" w:eastAsia="Calibri" w:hAnsi="Arial" w:cs="Arial"/>
          <w:color w:val="000000" w:themeColor="text1"/>
          <w:sz w:val="22"/>
          <w:vertAlign w:val="superscript"/>
          <w:lang w:val="es-ES_tradnl"/>
        </w:rPr>
        <w:footnoteReference w:id="12"/>
      </w:r>
      <w:r w:rsidRPr="00386AC3">
        <w:rPr>
          <w:rFonts w:ascii="Arial" w:eastAsia="Calibri" w:hAnsi="Arial" w:cs="Arial"/>
          <w:color w:val="000000" w:themeColor="text1"/>
          <w:sz w:val="22"/>
          <w:lang w:val="es-ES_tradnl"/>
        </w:rPr>
        <w:t>. Por su parte, el Consejo de Estado ha acogido también este criterio, considerando –como expresa la Sala de Consulta y Servicio Civil– que «La interpretación restrictiva de las normas que establecen inhabilidades 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w:t>
      </w:r>
      <w:r w:rsidRPr="00386AC3">
        <w:rPr>
          <w:rFonts w:ascii="Arial" w:eastAsia="Calibri" w:hAnsi="Arial" w:cs="Arial"/>
          <w:color w:val="000000" w:themeColor="text1"/>
          <w:sz w:val="22"/>
          <w:vertAlign w:val="superscript"/>
          <w:lang w:val="es-ES_tradnl"/>
        </w:rPr>
        <w:footnoteReference w:id="13"/>
      </w:r>
      <w:r w:rsidRPr="00386AC3">
        <w:rPr>
          <w:rFonts w:ascii="Arial" w:eastAsia="Calibri" w:hAnsi="Arial" w:cs="Arial"/>
          <w:color w:val="000000" w:themeColor="text1"/>
          <w:sz w:val="22"/>
          <w:lang w:val="es-ES_tradnl"/>
        </w:rPr>
        <w:t>. En tal sentido, la Sección Tercera ha señalado que:</w:t>
      </w:r>
    </w:p>
    <w:p w14:paraId="20D7465C" w14:textId="77777777" w:rsidR="00FC130B" w:rsidRPr="00386AC3" w:rsidRDefault="00FC130B" w:rsidP="00FC130B">
      <w:pPr>
        <w:spacing w:line="276" w:lineRule="auto"/>
        <w:ind w:firstLine="709"/>
        <w:jc w:val="both"/>
        <w:rPr>
          <w:rFonts w:ascii="Arial" w:eastAsia="Calibri" w:hAnsi="Arial" w:cs="Arial"/>
          <w:color w:val="000000" w:themeColor="text1"/>
          <w:sz w:val="22"/>
          <w:lang w:val="es-ES_tradnl"/>
        </w:rPr>
      </w:pPr>
    </w:p>
    <w:p w14:paraId="7DB30575" w14:textId="77777777" w:rsidR="00FC130B" w:rsidRPr="00386AC3" w:rsidRDefault="00FC130B" w:rsidP="00FC130B">
      <w:pPr>
        <w:ind w:left="709" w:right="709"/>
        <w:jc w:val="both"/>
        <w:rPr>
          <w:rFonts w:ascii="Arial" w:hAnsi="Arial" w:cs="Arial"/>
          <w:bCs/>
          <w:color w:val="000000" w:themeColor="text1"/>
          <w:sz w:val="21"/>
          <w:szCs w:val="21"/>
          <w:lang w:val="es-ES_tradnl"/>
        </w:rPr>
      </w:pPr>
      <w:r w:rsidRPr="00386AC3">
        <w:rPr>
          <w:rFonts w:ascii="Arial" w:hAnsi="Arial" w:cs="Arial"/>
          <w:color w:val="000000" w:themeColor="text1"/>
          <w:sz w:val="21"/>
          <w:szCs w:val="21"/>
          <w:lang w:val="es-ES_tradnl"/>
        </w:rPr>
        <w:t>[…] 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que no permite su extensión, por vía de la figura de la analogía, a supuestos no contemplados por el ordenamiento</w:t>
      </w:r>
      <w:r w:rsidRPr="00386AC3">
        <w:rPr>
          <w:rFonts w:ascii="Arial" w:hAnsi="Arial" w:cs="Arial"/>
          <w:color w:val="000000" w:themeColor="text1"/>
          <w:sz w:val="21"/>
          <w:szCs w:val="21"/>
          <w:vertAlign w:val="superscript"/>
          <w:lang w:val="es-ES_tradnl"/>
        </w:rPr>
        <w:footnoteReference w:id="14"/>
      </w:r>
      <w:r w:rsidRPr="00386AC3">
        <w:rPr>
          <w:rFonts w:ascii="Arial" w:hAnsi="Arial" w:cs="Arial"/>
          <w:color w:val="000000" w:themeColor="text1"/>
          <w:sz w:val="21"/>
          <w:szCs w:val="21"/>
          <w:lang w:val="es-ES_tradnl"/>
        </w:rPr>
        <w:t>.</w:t>
      </w:r>
    </w:p>
    <w:p w14:paraId="57E54D61" w14:textId="77777777" w:rsidR="00FC130B" w:rsidRPr="00386AC3" w:rsidRDefault="00FC130B" w:rsidP="00FC130B">
      <w:pPr>
        <w:spacing w:line="276" w:lineRule="auto"/>
        <w:ind w:firstLine="709"/>
        <w:jc w:val="both"/>
        <w:rPr>
          <w:rFonts w:ascii="Arial" w:eastAsia="Calibri" w:hAnsi="Arial" w:cs="Arial"/>
          <w:color w:val="000000" w:themeColor="text1"/>
          <w:sz w:val="22"/>
          <w:lang w:val="es-ES_tradnl"/>
        </w:rPr>
      </w:pPr>
    </w:p>
    <w:p w14:paraId="12D66BD1" w14:textId="77777777" w:rsidR="00FC130B" w:rsidRPr="00386AC3" w:rsidRDefault="00FC130B" w:rsidP="00FC130B">
      <w:pPr>
        <w:spacing w:line="276" w:lineRule="auto"/>
        <w:ind w:firstLine="709"/>
        <w:jc w:val="both"/>
        <w:rPr>
          <w:rFonts w:ascii="Arial" w:eastAsia="Calibri" w:hAnsi="Arial" w:cs="Arial"/>
          <w:color w:val="000000" w:themeColor="text1"/>
          <w:sz w:val="22"/>
          <w:lang w:val="es-ES_tradnl"/>
        </w:rPr>
      </w:pPr>
      <w:r w:rsidRPr="00386AC3">
        <w:rPr>
          <w:rFonts w:ascii="Arial" w:eastAsia="Calibri" w:hAnsi="Arial" w:cs="Arial"/>
          <w:color w:val="000000" w:themeColor="text1"/>
          <w:sz w:val="22"/>
          <w:lang w:val="es-ES_tradnl"/>
        </w:rPr>
        <w:t>También ha dicho que:</w:t>
      </w:r>
    </w:p>
    <w:p w14:paraId="46F2E1C7" w14:textId="77777777" w:rsidR="00FC130B" w:rsidRPr="00386AC3" w:rsidRDefault="00FC130B" w:rsidP="00FC130B">
      <w:pPr>
        <w:spacing w:line="276" w:lineRule="auto"/>
        <w:ind w:firstLine="709"/>
        <w:jc w:val="both"/>
        <w:rPr>
          <w:rFonts w:ascii="Arial" w:eastAsia="Calibri" w:hAnsi="Arial" w:cs="Arial"/>
          <w:color w:val="000000" w:themeColor="text1"/>
          <w:sz w:val="22"/>
          <w:lang w:val="es-ES_tradnl"/>
        </w:rPr>
      </w:pPr>
    </w:p>
    <w:p w14:paraId="6ECC799D" w14:textId="77777777" w:rsidR="00FC130B" w:rsidRPr="00386AC3" w:rsidRDefault="00FC130B" w:rsidP="00FC130B">
      <w:pPr>
        <w:ind w:left="709" w:right="709"/>
        <w:jc w:val="both"/>
        <w:rPr>
          <w:rFonts w:ascii="Arial" w:hAnsi="Arial" w:cs="Arial"/>
          <w:color w:val="000000" w:themeColor="text1"/>
          <w:sz w:val="21"/>
          <w:szCs w:val="21"/>
          <w:lang w:val="es-ES_tradnl"/>
        </w:rPr>
      </w:pPr>
      <w:r w:rsidRPr="00386AC3">
        <w:rPr>
          <w:rFonts w:ascii="Arial" w:hAnsi="Arial" w:cs="Arial"/>
          <w:color w:val="000000" w:themeColor="text1"/>
          <w:sz w:val="21"/>
          <w:szCs w:val="21"/>
          <w:lang w:val="es-ES_tradnl"/>
        </w:rPr>
        <w:t xml:space="preserve">[…] la aplicación de estos preceptos exige una interpretación restrictiva, dado que según el principio hermenéutico </w:t>
      </w:r>
      <w:r w:rsidRPr="00386AC3">
        <w:rPr>
          <w:rFonts w:ascii="Arial" w:hAnsi="Arial" w:cs="Arial"/>
          <w:i/>
          <w:iCs/>
          <w:color w:val="000000" w:themeColor="text1"/>
          <w:sz w:val="21"/>
          <w:szCs w:val="21"/>
          <w:lang w:val="es-ES_tradnl"/>
        </w:rPr>
        <w:t xml:space="preserve">pro </w:t>
      </w:r>
      <w:proofErr w:type="spellStart"/>
      <w:r w:rsidRPr="00386AC3">
        <w:rPr>
          <w:rFonts w:ascii="Arial" w:hAnsi="Arial" w:cs="Arial"/>
          <w:i/>
          <w:iCs/>
          <w:color w:val="000000" w:themeColor="text1"/>
          <w:sz w:val="21"/>
          <w:szCs w:val="21"/>
          <w:lang w:val="es-ES_tradnl"/>
        </w:rPr>
        <w:t>libertate</w:t>
      </w:r>
      <w:proofErr w:type="spellEnd"/>
      <w:r w:rsidRPr="00386AC3">
        <w:rPr>
          <w:rFonts w:ascii="Arial" w:hAnsi="Arial" w:cs="Arial"/>
          <w:color w:val="000000" w:themeColor="text1"/>
          <w:sz w:val="21"/>
          <w:szCs w:val="21"/>
          <w:lang w:val="es-ES_tradnl"/>
        </w:rPr>
        <w:t xml:space="preserve">,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w:t>
      </w:r>
      <w:r w:rsidRPr="00386AC3">
        <w:rPr>
          <w:rFonts w:ascii="Arial" w:hAnsi="Arial" w:cs="Arial"/>
          <w:color w:val="000000" w:themeColor="text1"/>
          <w:sz w:val="21"/>
          <w:szCs w:val="21"/>
          <w:lang w:val="es-ES_tradnl"/>
        </w:rPr>
        <w:lastRenderedPageBreak/>
        <w:t>vulnerarían los derechos fundamentales al debido proceso (art. 29 CN) y a la igualdad (art. 13 Ibid.); […]</w:t>
      </w:r>
      <w:r w:rsidRPr="00386AC3">
        <w:rPr>
          <w:rFonts w:ascii="Arial" w:hAnsi="Arial" w:cs="Arial"/>
          <w:color w:val="000000" w:themeColor="text1"/>
          <w:sz w:val="21"/>
          <w:szCs w:val="21"/>
          <w:vertAlign w:val="superscript"/>
          <w:lang w:val="es-ES_tradnl"/>
        </w:rPr>
        <w:footnoteReference w:id="15"/>
      </w:r>
      <w:r w:rsidRPr="00386AC3">
        <w:rPr>
          <w:rFonts w:ascii="Arial" w:hAnsi="Arial" w:cs="Arial"/>
          <w:color w:val="000000" w:themeColor="text1"/>
          <w:sz w:val="21"/>
          <w:szCs w:val="21"/>
          <w:lang w:val="es-ES_tradnl"/>
        </w:rPr>
        <w:t>.</w:t>
      </w:r>
    </w:p>
    <w:p w14:paraId="35627293" w14:textId="77777777" w:rsidR="00FC130B" w:rsidRPr="00386AC3" w:rsidRDefault="00FC130B" w:rsidP="00FC130B">
      <w:pPr>
        <w:spacing w:line="276" w:lineRule="auto"/>
        <w:jc w:val="both"/>
        <w:rPr>
          <w:rFonts w:ascii="Arial" w:eastAsia="Calibri" w:hAnsi="Arial" w:cs="Arial"/>
          <w:color w:val="000000" w:themeColor="text1"/>
          <w:sz w:val="22"/>
          <w:lang w:val="es-ES_tradnl"/>
        </w:rPr>
      </w:pPr>
    </w:p>
    <w:p w14:paraId="1CD232AB" w14:textId="505D65D1" w:rsidR="00FC130B" w:rsidRPr="00386AC3" w:rsidRDefault="00FC130B" w:rsidP="00FC130B">
      <w:pPr>
        <w:spacing w:line="276" w:lineRule="auto"/>
        <w:ind w:firstLine="709"/>
        <w:jc w:val="both"/>
        <w:rPr>
          <w:rFonts w:ascii="Arial" w:eastAsia="Calibri" w:hAnsi="Arial" w:cs="Arial"/>
          <w:color w:val="000000" w:themeColor="text1"/>
          <w:sz w:val="22"/>
          <w:lang w:val="es-ES_tradnl"/>
        </w:rPr>
      </w:pPr>
      <w:r w:rsidRPr="00386AC3">
        <w:rPr>
          <w:rFonts w:ascii="Arial" w:eastAsia="Calibri" w:hAnsi="Arial" w:cs="Arial"/>
          <w:color w:val="000000" w:themeColor="text1"/>
          <w:sz w:val="22"/>
          <w:lang w:val="es-ES_tradnl"/>
        </w:rPr>
        <w:t xml:space="preserve">Como se aprecia, el principio </w:t>
      </w:r>
      <w:r w:rsidRPr="00386AC3">
        <w:rPr>
          <w:rFonts w:ascii="Arial" w:eastAsia="Calibri" w:hAnsi="Arial" w:cs="Arial"/>
          <w:i/>
          <w:iCs/>
          <w:color w:val="000000" w:themeColor="text1"/>
          <w:sz w:val="22"/>
          <w:lang w:val="es-ES_tradnl"/>
        </w:rPr>
        <w:t xml:space="preserve">pro </w:t>
      </w:r>
      <w:proofErr w:type="spellStart"/>
      <w:r w:rsidRPr="00386AC3">
        <w:rPr>
          <w:rFonts w:ascii="Arial" w:eastAsia="Calibri" w:hAnsi="Arial" w:cs="Arial"/>
          <w:i/>
          <w:iCs/>
          <w:color w:val="000000" w:themeColor="text1"/>
          <w:sz w:val="22"/>
          <w:lang w:val="es-ES_tradnl"/>
        </w:rPr>
        <w:t>libertate</w:t>
      </w:r>
      <w:proofErr w:type="spellEnd"/>
      <w:r w:rsidRPr="00386AC3">
        <w:rPr>
          <w:rFonts w:ascii="Arial" w:eastAsia="Calibri" w:hAnsi="Arial" w:cs="Arial"/>
          <w:color w:val="000000" w:themeColor="text1"/>
          <w:sz w:val="22"/>
          <w:lang w:val="es-ES_tradnl"/>
        </w:rPr>
        <w:t xml:space="preserve"> es el que debe dirigir la interpretación de las disposiciones normativas que consagran restricciones de derechos, como sucede con las causales de inhabilidad e incompatibilidad en la contratación estatal.</w:t>
      </w:r>
      <w:r w:rsidR="002670AB" w:rsidRPr="00386AC3">
        <w:rPr>
          <w:rFonts w:ascii="Arial" w:eastAsia="Calibri" w:hAnsi="Arial" w:cs="Arial"/>
          <w:color w:val="000000" w:themeColor="text1"/>
          <w:sz w:val="22"/>
          <w:lang w:val="es-ES_tradnl"/>
        </w:rPr>
        <w:t xml:space="preserve"> </w:t>
      </w:r>
      <w:r w:rsidR="002670AB" w:rsidRPr="00386AC3">
        <w:rPr>
          <w:rStyle w:val="normaltextrun"/>
          <w:rFonts w:ascii="Arial" w:hAnsi="Arial" w:cs="Arial"/>
          <w:color w:val="000000"/>
          <w:sz w:val="22"/>
          <w:szCs w:val="22"/>
          <w:shd w:val="clear" w:color="auto" w:fill="FFFFFF"/>
          <w:lang w:val="es-ES"/>
        </w:rPr>
        <w:t xml:space="preserve">Por lo tanto, no es posible llevar a cabo la interpretación extensiva de </w:t>
      </w:r>
      <w:r w:rsidR="003841EC" w:rsidRPr="00386AC3">
        <w:rPr>
          <w:rStyle w:val="normaltextrun"/>
          <w:rFonts w:ascii="Arial" w:hAnsi="Arial" w:cs="Arial"/>
          <w:color w:val="000000"/>
          <w:sz w:val="22"/>
          <w:szCs w:val="22"/>
          <w:shd w:val="clear" w:color="auto" w:fill="FFFFFF"/>
          <w:lang w:val="es-ES"/>
        </w:rPr>
        <w:t>estas</w:t>
      </w:r>
      <w:r w:rsidR="002670AB" w:rsidRPr="00386AC3">
        <w:rPr>
          <w:rStyle w:val="normaltextrun"/>
          <w:rFonts w:ascii="Arial" w:hAnsi="Arial" w:cs="Arial"/>
          <w:color w:val="000000"/>
          <w:sz w:val="22"/>
          <w:szCs w:val="22"/>
          <w:shd w:val="clear" w:color="auto" w:fill="FFFFFF"/>
          <w:lang w:val="es-ES"/>
        </w:rPr>
        <w:t>, debi</w:t>
      </w:r>
      <w:r w:rsidR="00E857B8" w:rsidRPr="00386AC3">
        <w:rPr>
          <w:rStyle w:val="normaltextrun"/>
          <w:rFonts w:ascii="Arial" w:hAnsi="Arial" w:cs="Arial"/>
          <w:color w:val="000000"/>
          <w:sz w:val="22"/>
          <w:szCs w:val="22"/>
          <w:shd w:val="clear" w:color="auto" w:fill="FFFFFF"/>
          <w:lang w:val="es-ES"/>
        </w:rPr>
        <w:t>e</w:t>
      </w:r>
      <w:r w:rsidR="002670AB" w:rsidRPr="00386AC3">
        <w:rPr>
          <w:rStyle w:val="normaltextrun"/>
          <w:rFonts w:ascii="Arial" w:hAnsi="Arial" w:cs="Arial"/>
          <w:color w:val="000000"/>
          <w:sz w:val="22"/>
          <w:szCs w:val="22"/>
          <w:shd w:val="clear" w:color="auto" w:fill="FFFFFF"/>
          <w:lang w:val="es-ES"/>
        </w:rPr>
        <w:t>ndo preferirse aquella que menos limita el derecho de las personas, salvaguardando el interés general en la contratación pública de manera que implique el menor sacrificio posible al derecho de igualdad.</w:t>
      </w:r>
    </w:p>
    <w:p w14:paraId="32F67E9E" w14:textId="27C37EB7" w:rsidR="00FC130B" w:rsidRPr="00386AC3" w:rsidRDefault="00FC130B" w:rsidP="00313737">
      <w:pPr>
        <w:spacing w:line="276" w:lineRule="auto"/>
        <w:jc w:val="both"/>
        <w:rPr>
          <w:rFonts w:ascii="Arial" w:eastAsia="Calibri" w:hAnsi="Arial" w:cs="Arial"/>
          <w:color w:val="000000" w:themeColor="text1"/>
          <w:sz w:val="22"/>
          <w:lang w:val="es-ES_tradnl"/>
        </w:rPr>
      </w:pPr>
    </w:p>
    <w:p w14:paraId="11E109C6" w14:textId="6AD8805D" w:rsidR="00313737" w:rsidRPr="00386AC3" w:rsidRDefault="00313737" w:rsidP="00313737">
      <w:pPr>
        <w:spacing w:line="276" w:lineRule="auto"/>
        <w:jc w:val="both"/>
        <w:rPr>
          <w:rFonts w:ascii="Arial" w:eastAsia="Calibri" w:hAnsi="Arial" w:cs="Arial"/>
          <w:b/>
          <w:bCs/>
          <w:color w:val="000000" w:themeColor="text1"/>
          <w:sz w:val="22"/>
          <w:lang w:val="es-ES_tradnl"/>
        </w:rPr>
      </w:pPr>
      <w:r w:rsidRPr="00386AC3">
        <w:rPr>
          <w:rFonts w:ascii="Arial" w:eastAsia="Calibri" w:hAnsi="Arial" w:cs="Arial"/>
          <w:b/>
          <w:bCs/>
          <w:color w:val="000000" w:themeColor="text1"/>
          <w:sz w:val="22"/>
          <w:lang w:val="es-ES_tradnl"/>
        </w:rPr>
        <w:t xml:space="preserve">2.2. Inhabilidad </w:t>
      </w:r>
      <w:r w:rsidR="00554703" w:rsidRPr="00386AC3">
        <w:rPr>
          <w:rFonts w:ascii="Arial" w:eastAsia="Calibri" w:hAnsi="Arial" w:cs="Arial"/>
          <w:b/>
          <w:bCs/>
          <w:color w:val="000000" w:themeColor="text1"/>
          <w:sz w:val="22"/>
          <w:lang w:val="es-ES_tradnl"/>
        </w:rPr>
        <w:t>derivada de</w:t>
      </w:r>
      <w:r w:rsidR="001E5322" w:rsidRPr="00386AC3">
        <w:rPr>
          <w:rFonts w:ascii="Arial" w:eastAsia="Calibri" w:hAnsi="Arial" w:cs="Arial"/>
          <w:b/>
          <w:bCs/>
          <w:color w:val="000000" w:themeColor="text1"/>
          <w:sz w:val="22"/>
          <w:lang w:val="es-ES_tradnl"/>
        </w:rPr>
        <w:t xml:space="preserve"> </w:t>
      </w:r>
      <w:r w:rsidR="008608BF" w:rsidRPr="00386AC3">
        <w:rPr>
          <w:rFonts w:ascii="Arial" w:eastAsia="Calibri" w:hAnsi="Arial" w:cs="Arial"/>
          <w:b/>
          <w:bCs/>
          <w:color w:val="000000" w:themeColor="text1"/>
          <w:sz w:val="22"/>
          <w:lang w:val="es-ES_tradnl"/>
        </w:rPr>
        <w:t>condenas judiciales por delitos contra la Administración pública</w:t>
      </w:r>
      <w:r w:rsidR="00284372" w:rsidRPr="00386AC3">
        <w:rPr>
          <w:rFonts w:ascii="Arial" w:eastAsia="Calibri" w:hAnsi="Arial" w:cs="Arial"/>
          <w:b/>
          <w:bCs/>
          <w:color w:val="000000" w:themeColor="text1"/>
          <w:sz w:val="22"/>
          <w:lang w:val="es-ES_tradnl"/>
        </w:rPr>
        <w:t xml:space="preserve">, por actos de corrupción </w:t>
      </w:r>
      <w:r w:rsidR="00554703" w:rsidRPr="00386AC3">
        <w:rPr>
          <w:rFonts w:ascii="Arial" w:eastAsia="Calibri" w:hAnsi="Arial" w:cs="Arial"/>
          <w:b/>
          <w:bCs/>
          <w:color w:val="000000" w:themeColor="text1"/>
          <w:sz w:val="22"/>
          <w:lang w:val="es-ES_tradnl"/>
        </w:rPr>
        <w:t>y</w:t>
      </w:r>
      <w:r w:rsidR="00284372" w:rsidRPr="00386AC3">
        <w:rPr>
          <w:rFonts w:ascii="Arial" w:eastAsia="Calibri" w:hAnsi="Arial" w:cs="Arial"/>
          <w:b/>
          <w:bCs/>
          <w:color w:val="000000" w:themeColor="text1"/>
          <w:sz w:val="22"/>
          <w:lang w:val="es-ES_tradnl"/>
        </w:rPr>
        <w:t xml:space="preserve"> </w:t>
      </w:r>
      <w:r w:rsidR="00554703" w:rsidRPr="00386AC3">
        <w:rPr>
          <w:rFonts w:ascii="Arial" w:eastAsia="Calibri" w:hAnsi="Arial" w:cs="Arial"/>
          <w:b/>
          <w:bCs/>
          <w:color w:val="000000" w:themeColor="text1"/>
          <w:sz w:val="22"/>
          <w:lang w:val="es-ES_tradnl"/>
        </w:rPr>
        <w:t xml:space="preserve">por </w:t>
      </w:r>
      <w:r w:rsidR="00284372" w:rsidRPr="00386AC3">
        <w:rPr>
          <w:rFonts w:ascii="Arial" w:eastAsia="Calibri" w:hAnsi="Arial" w:cs="Arial"/>
          <w:b/>
          <w:bCs/>
          <w:color w:val="000000" w:themeColor="text1"/>
          <w:sz w:val="22"/>
          <w:lang w:val="es-ES_tradnl"/>
        </w:rPr>
        <w:t>soborno transnacional</w:t>
      </w:r>
    </w:p>
    <w:p w14:paraId="522F48DC" w14:textId="7B0B01B3" w:rsidR="00365993" w:rsidRPr="00386AC3" w:rsidRDefault="00365993" w:rsidP="00313737">
      <w:pPr>
        <w:spacing w:line="276" w:lineRule="auto"/>
        <w:jc w:val="both"/>
        <w:rPr>
          <w:rFonts w:ascii="Arial" w:eastAsia="Calibri" w:hAnsi="Arial" w:cs="Arial"/>
          <w:b/>
          <w:bCs/>
          <w:color w:val="000000" w:themeColor="text1"/>
          <w:sz w:val="22"/>
          <w:lang w:val="es-ES_tradnl"/>
        </w:rPr>
      </w:pPr>
    </w:p>
    <w:p w14:paraId="279AED91" w14:textId="77777777" w:rsidR="003839A5" w:rsidRPr="00386AC3" w:rsidRDefault="00F0729B" w:rsidP="00E95EBC">
      <w:pPr>
        <w:spacing w:line="276" w:lineRule="auto"/>
        <w:jc w:val="both"/>
        <w:rPr>
          <w:rFonts w:ascii="Arial" w:eastAsia="Calibri" w:hAnsi="Arial" w:cs="Arial"/>
          <w:sz w:val="22"/>
          <w:lang w:val="es-ES"/>
        </w:rPr>
      </w:pPr>
      <w:r w:rsidRPr="00386AC3">
        <w:rPr>
          <w:rFonts w:ascii="Arial" w:eastAsia="Calibri" w:hAnsi="Arial" w:cs="Arial"/>
          <w:sz w:val="22"/>
          <w:lang w:val="es-ES"/>
        </w:rPr>
        <w:t xml:space="preserve">El </w:t>
      </w:r>
      <w:r w:rsidR="00554703" w:rsidRPr="00386AC3">
        <w:rPr>
          <w:rFonts w:ascii="Arial" w:eastAsia="Calibri" w:hAnsi="Arial" w:cs="Arial"/>
          <w:sz w:val="22"/>
          <w:lang w:val="es-ES"/>
        </w:rPr>
        <w:t>artículo 8, numeral 1, literal j), de la Ley 80 de 1993, modificada por el artículo 2 de la Ley 2014 de 2019, establece</w:t>
      </w:r>
      <w:r w:rsidR="00BE1E72" w:rsidRPr="00386AC3">
        <w:rPr>
          <w:rFonts w:ascii="Arial" w:eastAsia="Calibri" w:hAnsi="Arial" w:cs="Arial"/>
          <w:sz w:val="22"/>
          <w:lang w:val="es-ES"/>
        </w:rPr>
        <w:t xml:space="preserve"> </w:t>
      </w:r>
      <w:r w:rsidR="00205A47" w:rsidRPr="00386AC3">
        <w:rPr>
          <w:rFonts w:ascii="Arial" w:eastAsia="Calibri" w:hAnsi="Arial" w:cs="Arial"/>
          <w:sz w:val="22"/>
          <w:lang w:val="es-ES"/>
        </w:rPr>
        <w:t>la siguiente causal de inhabilidad, para participar en procedimientos de selección</w:t>
      </w:r>
      <w:r w:rsidR="003839A5" w:rsidRPr="00386AC3">
        <w:rPr>
          <w:rFonts w:ascii="Arial" w:eastAsia="Calibri" w:hAnsi="Arial" w:cs="Arial"/>
          <w:sz w:val="22"/>
          <w:lang w:val="es-ES"/>
        </w:rPr>
        <w:t xml:space="preserve"> y contratar con el Estado:</w:t>
      </w:r>
    </w:p>
    <w:p w14:paraId="6253D290" w14:textId="77777777" w:rsidR="00E95EBC" w:rsidRPr="00386AC3" w:rsidRDefault="00E95EBC" w:rsidP="00FD78C4">
      <w:pPr>
        <w:spacing w:line="276" w:lineRule="auto"/>
        <w:ind w:left="709" w:right="709"/>
        <w:jc w:val="both"/>
        <w:rPr>
          <w:rFonts w:ascii="Arial" w:eastAsia="Calibri" w:hAnsi="Arial" w:cs="Arial"/>
          <w:sz w:val="21"/>
          <w:szCs w:val="21"/>
          <w:lang w:val="es-ES"/>
        </w:rPr>
      </w:pPr>
    </w:p>
    <w:p w14:paraId="52D8C4C5" w14:textId="1D871596" w:rsidR="00FD78C4" w:rsidRPr="00386AC3" w:rsidRDefault="00FD78C4" w:rsidP="00FD78C4">
      <w:pPr>
        <w:spacing w:line="276" w:lineRule="auto"/>
        <w:ind w:left="709" w:right="709"/>
        <w:jc w:val="both"/>
        <w:rPr>
          <w:rFonts w:ascii="Arial" w:eastAsia="Calibri" w:hAnsi="Arial" w:cs="Arial"/>
          <w:sz w:val="21"/>
          <w:szCs w:val="21"/>
          <w:lang w:val="es-ES"/>
        </w:rPr>
      </w:pPr>
      <w:r w:rsidRPr="00386AC3">
        <w:rPr>
          <w:rFonts w:ascii="Arial" w:eastAsia="Calibri" w:hAnsi="Arial" w:cs="Arial"/>
          <w:sz w:val="21"/>
          <w:szCs w:val="21"/>
          <w:lang w:val="es-ES"/>
        </w:rPr>
        <w:t>Las personas naturales que hayan sido declaradas responsables judicialmente por la comisión de delitos contra la Administración pública, o de cualquiera de los delitos o faltas contempladas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w:t>
      </w:r>
    </w:p>
    <w:p w14:paraId="17C828B1" w14:textId="13E54E80" w:rsidR="00FD78C4" w:rsidRPr="00386AC3" w:rsidRDefault="00FD78C4" w:rsidP="009E239A">
      <w:pPr>
        <w:spacing w:before="120" w:line="276" w:lineRule="auto"/>
        <w:ind w:left="709" w:right="709"/>
        <w:jc w:val="both"/>
        <w:rPr>
          <w:rFonts w:ascii="Arial" w:eastAsia="Calibri" w:hAnsi="Arial" w:cs="Arial"/>
          <w:sz w:val="21"/>
          <w:szCs w:val="21"/>
          <w:lang w:val="es-ES"/>
        </w:rPr>
      </w:pPr>
      <w:r w:rsidRPr="00386AC3">
        <w:rPr>
          <w:rFonts w:ascii="Arial" w:eastAsia="Calibri" w:hAnsi="Arial" w:cs="Arial"/>
          <w:sz w:val="21"/>
          <w:szCs w:val="21"/>
          <w:lang w:val="es-ES"/>
        </w:rPr>
        <w:t>Esta inhabilidad procederá preventivamente aún en los casos en los que esté pendiente la decisión sobre la impugnación de la sentencia condenatoria.</w:t>
      </w:r>
    </w:p>
    <w:p w14:paraId="65622659" w14:textId="7539B87F" w:rsidR="00FD78C4" w:rsidRPr="00386AC3" w:rsidRDefault="00FD78C4" w:rsidP="009E239A">
      <w:pPr>
        <w:spacing w:before="120" w:line="276" w:lineRule="auto"/>
        <w:ind w:left="709" w:right="709"/>
        <w:jc w:val="both"/>
        <w:rPr>
          <w:rFonts w:ascii="Arial" w:eastAsia="Calibri" w:hAnsi="Arial" w:cs="Arial"/>
          <w:sz w:val="21"/>
          <w:szCs w:val="21"/>
          <w:lang w:val="es-ES"/>
        </w:rPr>
      </w:pPr>
      <w:r w:rsidRPr="00386AC3">
        <w:rPr>
          <w:rFonts w:ascii="Arial" w:eastAsia="Calibri" w:hAnsi="Arial" w:cs="Arial"/>
          <w:sz w:val="21"/>
          <w:szCs w:val="21"/>
          <w:lang w:val="es-ES"/>
        </w:rPr>
        <w:t>Asimismo, la inhabilidad se extenderá a las sociedades de las que hagan parte dichas personas en calidad de administradores, representantes legales, miembros de junta directiva o de socios controlantes, a sus matrices y a sus subordinadas, a los grupos empresariales a los que estas pertenezcan cuando la conducta delictiva haya sido parte de una política del grupo y a las sucursales de sociedades extranjeras, con excepción de las sociedades anónimas abiertas.</w:t>
      </w:r>
    </w:p>
    <w:p w14:paraId="45721A81" w14:textId="49975EA6" w:rsidR="00FD78C4" w:rsidRPr="00386AC3" w:rsidRDefault="00FD78C4" w:rsidP="009E239A">
      <w:pPr>
        <w:spacing w:before="120" w:line="276" w:lineRule="auto"/>
        <w:ind w:left="709" w:right="709"/>
        <w:jc w:val="both"/>
        <w:rPr>
          <w:rFonts w:ascii="Arial" w:eastAsia="Calibri" w:hAnsi="Arial" w:cs="Arial"/>
          <w:sz w:val="21"/>
          <w:szCs w:val="21"/>
          <w:lang w:val="es-ES"/>
        </w:rPr>
      </w:pPr>
      <w:r w:rsidRPr="00386AC3">
        <w:rPr>
          <w:rFonts w:ascii="Arial" w:eastAsia="Calibri" w:hAnsi="Arial" w:cs="Arial"/>
          <w:sz w:val="21"/>
          <w:szCs w:val="21"/>
          <w:lang w:val="es-ES"/>
        </w:rPr>
        <w:t xml:space="preserve">También se considerarán inhabilitadas para contratar, las personas jurídicas sobre las cuales se haya ordenado la suspensión de la personería jurídica en los términos de ley, o cuyos representantes legales, administradores de hecho o de derecho, miembros de junta directiva o sus socios controlantes, sus matrices, </w:t>
      </w:r>
      <w:r w:rsidRPr="00386AC3">
        <w:rPr>
          <w:rFonts w:ascii="Arial" w:eastAsia="Calibri" w:hAnsi="Arial" w:cs="Arial"/>
          <w:sz w:val="21"/>
          <w:szCs w:val="21"/>
          <w:lang w:val="es-ES"/>
        </w:rPr>
        <w:lastRenderedPageBreak/>
        <w:t>subordinadas y/o las sucursales de sociedades extranjeras, hayan sido beneficiados con la aplicación de un principio de oportunidad por cualquier delito contra la Administración pública o el patrimonio del Estado.</w:t>
      </w:r>
    </w:p>
    <w:p w14:paraId="5732B977" w14:textId="621385B2" w:rsidR="0024542B" w:rsidRPr="00386AC3" w:rsidRDefault="00FD78C4" w:rsidP="001D5436">
      <w:pPr>
        <w:spacing w:before="120" w:line="276" w:lineRule="auto"/>
        <w:ind w:left="709" w:right="709"/>
        <w:jc w:val="both"/>
        <w:rPr>
          <w:rFonts w:ascii="Arial" w:eastAsia="Calibri" w:hAnsi="Arial" w:cs="Arial"/>
          <w:sz w:val="21"/>
          <w:szCs w:val="21"/>
          <w:lang w:val="es-ES"/>
        </w:rPr>
      </w:pPr>
      <w:r w:rsidRPr="00386AC3">
        <w:rPr>
          <w:rFonts w:ascii="Arial" w:eastAsia="Calibri" w:hAnsi="Arial" w:cs="Arial"/>
          <w:sz w:val="21"/>
          <w:szCs w:val="21"/>
          <w:lang w:val="es-ES"/>
        </w:rPr>
        <w:t>La inhabilidad prevista en este literal se extenderá de forma permanente a las sociedades de las que hagan parte dichas personas en las calidades presentadas en los incisos anteriores, y se aplicará de igual forma a las personas naturales que hayan sido declaradas responsables judicialmente por la comisión de delitos mencionados en este literal.</w:t>
      </w:r>
    </w:p>
    <w:p w14:paraId="7FD81402" w14:textId="77777777" w:rsidR="001D5436" w:rsidRPr="00386AC3" w:rsidRDefault="001D5436" w:rsidP="001D5436">
      <w:pPr>
        <w:spacing w:line="276" w:lineRule="auto"/>
        <w:ind w:firstLine="709"/>
        <w:jc w:val="both"/>
        <w:rPr>
          <w:rFonts w:ascii="Arial" w:eastAsia="Calibri" w:hAnsi="Arial" w:cs="Arial"/>
          <w:sz w:val="22"/>
          <w:lang w:val="es-ES"/>
        </w:rPr>
      </w:pPr>
    </w:p>
    <w:p w14:paraId="6CE5063A" w14:textId="21FCF1E1" w:rsidR="00C026C8" w:rsidRPr="00386AC3" w:rsidRDefault="007323EF" w:rsidP="00C026C8">
      <w:pPr>
        <w:spacing w:after="120" w:line="276" w:lineRule="auto"/>
        <w:ind w:firstLine="709"/>
        <w:jc w:val="both"/>
        <w:rPr>
          <w:rFonts w:ascii="Arial" w:eastAsia="Calibri" w:hAnsi="Arial" w:cs="Arial"/>
          <w:sz w:val="22"/>
          <w:lang w:val="es-ES"/>
        </w:rPr>
      </w:pPr>
      <w:r w:rsidRPr="00386AC3">
        <w:rPr>
          <w:rFonts w:ascii="Arial" w:eastAsia="Calibri" w:hAnsi="Arial" w:cs="Arial"/>
          <w:sz w:val="22"/>
          <w:lang w:val="es-ES"/>
        </w:rPr>
        <w:t>De</w:t>
      </w:r>
      <w:r w:rsidR="00C026C8" w:rsidRPr="00386AC3">
        <w:rPr>
          <w:rFonts w:ascii="Arial" w:eastAsia="Calibri" w:hAnsi="Arial" w:cs="Arial"/>
          <w:sz w:val="22"/>
          <w:lang w:val="es-ES"/>
        </w:rPr>
        <w:t xml:space="preserve"> la citada disposición normativa, se pueden destacar los siguientes elementos:</w:t>
      </w:r>
    </w:p>
    <w:p w14:paraId="04133C0E" w14:textId="70F8B750" w:rsidR="002D6413" w:rsidRPr="00386AC3" w:rsidRDefault="00C026C8" w:rsidP="007C104F">
      <w:pPr>
        <w:spacing w:line="276" w:lineRule="auto"/>
        <w:ind w:firstLine="709"/>
        <w:jc w:val="both"/>
        <w:rPr>
          <w:rFonts w:ascii="Arial" w:eastAsia="Calibri" w:hAnsi="Arial" w:cs="Arial"/>
          <w:sz w:val="22"/>
          <w:lang w:val="es-ES"/>
        </w:rPr>
      </w:pPr>
      <w:r w:rsidRPr="00386AC3">
        <w:rPr>
          <w:rFonts w:ascii="Arial" w:eastAsia="Calibri" w:hAnsi="Arial" w:cs="Arial"/>
          <w:sz w:val="22"/>
          <w:lang w:val="es-ES"/>
        </w:rPr>
        <w:t xml:space="preserve">i) </w:t>
      </w:r>
      <w:r w:rsidR="002D6413" w:rsidRPr="00386AC3">
        <w:rPr>
          <w:rFonts w:ascii="Arial" w:eastAsia="Calibri" w:hAnsi="Arial" w:cs="Arial"/>
          <w:sz w:val="22"/>
          <w:lang w:val="es-ES"/>
        </w:rPr>
        <w:t>El referido literal j)</w:t>
      </w:r>
      <w:r w:rsidR="0097423A" w:rsidRPr="00386AC3">
        <w:rPr>
          <w:rFonts w:ascii="Arial" w:eastAsia="Calibri" w:hAnsi="Arial" w:cs="Arial"/>
          <w:sz w:val="22"/>
          <w:lang w:val="es-ES"/>
        </w:rPr>
        <w:t xml:space="preserve">, en el primer inciso, </w:t>
      </w:r>
      <w:r w:rsidR="001D5436" w:rsidRPr="00386AC3">
        <w:rPr>
          <w:rFonts w:ascii="Arial" w:eastAsia="Calibri" w:hAnsi="Arial" w:cs="Arial"/>
          <w:sz w:val="22"/>
          <w:lang w:val="es-ES"/>
        </w:rPr>
        <w:t>se dirige</w:t>
      </w:r>
      <w:r w:rsidR="0097423A" w:rsidRPr="00386AC3">
        <w:rPr>
          <w:rFonts w:ascii="Arial" w:eastAsia="Calibri" w:hAnsi="Arial" w:cs="Arial"/>
          <w:sz w:val="22"/>
          <w:lang w:val="es-ES"/>
        </w:rPr>
        <w:t xml:space="preserve"> a dos sujetos distintos, ante circunstancias, también, diversas: a las </w:t>
      </w:r>
      <w:r w:rsidR="0097423A" w:rsidRPr="00386AC3">
        <w:rPr>
          <w:rFonts w:ascii="Arial" w:eastAsia="Calibri" w:hAnsi="Arial" w:cs="Arial"/>
          <w:i/>
          <w:iCs/>
          <w:sz w:val="22"/>
          <w:lang w:val="es-ES"/>
        </w:rPr>
        <w:t>personas naturales</w:t>
      </w:r>
      <w:r w:rsidR="0097423A" w:rsidRPr="00386AC3">
        <w:rPr>
          <w:rFonts w:ascii="Arial" w:eastAsia="Calibri" w:hAnsi="Arial" w:cs="Arial"/>
          <w:sz w:val="22"/>
          <w:lang w:val="es-ES"/>
        </w:rPr>
        <w:t xml:space="preserve"> –por haber sido declaradas </w:t>
      </w:r>
      <w:r w:rsidR="00AF1CDF" w:rsidRPr="00386AC3">
        <w:rPr>
          <w:rFonts w:ascii="Arial" w:eastAsia="Calibri" w:hAnsi="Arial" w:cs="Arial"/>
          <w:sz w:val="22"/>
          <w:lang w:val="es-ES"/>
        </w:rPr>
        <w:t xml:space="preserve">judicialmente responsables por la comisión de delitos contra la </w:t>
      </w:r>
      <w:r w:rsidR="001D5436" w:rsidRPr="00386AC3">
        <w:rPr>
          <w:rFonts w:ascii="Arial" w:eastAsia="Calibri" w:hAnsi="Arial" w:cs="Arial"/>
          <w:sz w:val="22"/>
          <w:lang w:val="es-ES"/>
        </w:rPr>
        <w:t>A</w:t>
      </w:r>
      <w:r w:rsidR="00AF1CDF" w:rsidRPr="00386AC3">
        <w:rPr>
          <w:rFonts w:ascii="Arial" w:eastAsia="Calibri" w:hAnsi="Arial" w:cs="Arial"/>
          <w:sz w:val="22"/>
          <w:lang w:val="es-ES"/>
        </w:rPr>
        <w:t xml:space="preserve">dministración pública, por cualquiera de los delitos </w:t>
      </w:r>
      <w:r w:rsidR="00AA4234" w:rsidRPr="00386AC3">
        <w:rPr>
          <w:rFonts w:ascii="Arial" w:eastAsia="Calibri" w:hAnsi="Arial" w:cs="Arial"/>
          <w:sz w:val="22"/>
          <w:lang w:val="es-ES"/>
        </w:rPr>
        <w:t>o faltas previstas en la Ley 1474 de 2011</w:t>
      </w:r>
      <w:r w:rsidR="00B77666" w:rsidRPr="00386AC3">
        <w:rPr>
          <w:rFonts w:ascii="Arial" w:eastAsia="Calibri" w:hAnsi="Arial" w:cs="Arial"/>
          <w:sz w:val="22"/>
          <w:lang w:val="es-ES"/>
        </w:rPr>
        <w:t xml:space="preserve"> o por conductas delictivas contempladas en las convenciones de lucha contra la corrupción–, y a las </w:t>
      </w:r>
      <w:r w:rsidR="00B77666" w:rsidRPr="00386AC3">
        <w:rPr>
          <w:rFonts w:ascii="Arial" w:eastAsia="Calibri" w:hAnsi="Arial" w:cs="Arial"/>
          <w:i/>
          <w:iCs/>
          <w:sz w:val="22"/>
          <w:lang w:val="es-ES"/>
        </w:rPr>
        <w:t xml:space="preserve">personas jurídicas </w:t>
      </w:r>
      <w:r w:rsidR="00C63B71" w:rsidRPr="00386AC3">
        <w:rPr>
          <w:rFonts w:ascii="Arial" w:eastAsia="Calibri" w:hAnsi="Arial" w:cs="Arial"/>
          <w:i/>
          <w:iCs/>
          <w:sz w:val="22"/>
          <w:lang w:val="es-ES"/>
        </w:rPr>
        <w:t>–</w:t>
      </w:r>
      <w:r w:rsidR="00B77666" w:rsidRPr="00386AC3">
        <w:rPr>
          <w:rFonts w:ascii="Arial" w:eastAsia="Calibri" w:hAnsi="Arial" w:cs="Arial"/>
          <w:sz w:val="22"/>
          <w:lang w:val="es-ES"/>
        </w:rPr>
        <w:t xml:space="preserve">que hayan sido declaradas responsables administrativamente, por la </w:t>
      </w:r>
      <w:r w:rsidR="00C63B71" w:rsidRPr="00386AC3">
        <w:rPr>
          <w:rFonts w:ascii="Arial" w:eastAsia="Calibri" w:hAnsi="Arial" w:cs="Arial"/>
          <w:sz w:val="22"/>
          <w:lang w:val="es-ES"/>
        </w:rPr>
        <w:t xml:space="preserve">conducta de </w:t>
      </w:r>
      <w:r w:rsidR="00C63B71" w:rsidRPr="00386AC3">
        <w:rPr>
          <w:rFonts w:ascii="Arial" w:eastAsia="Calibri" w:hAnsi="Arial" w:cs="Arial"/>
          <w:i/>
          <w:iCs/>
          <w:sz w:val="22"/>
          <w:lang w:val="es-ES"/>
        </w:rPr>
        <w:t>soborno transnacional</w:t>
      </w:r>
      <w:r w:rsidR="00C63B71" w:rsidRPr="00386AC3">
        <w:rPr>
          <w:rFonts w:ascii="Arial" w:eastAsia="Calibri" w:hAnsi="Arial" w:cs="Arial"/>
          <w:sz w:val="22"/>
          <w:lang w:val="es-ES"/>
        </w:rPr>
        <w:t xml:space="preserve">–. Obsérvese que el legislador efectúa una distinción tanto del sujeto como de la circunstancia </w:t>
      </w:r>
      <w:r w:rsidR="00444D13" w:rsidRPr="00386AC3">
        <w:rPr>
          <w:rFonts w:ascii="Arial" w:eastAsia="Calibri" w:hAnsi="Arial" w:cs="Arial"/>
          <w:sz w:val="22"/>
          <w:lang w:val="es-ES"/>
        </w:rPr>
        <w:t>de la condena. Las personas naturales, en el contexto de</w:t>
      </w:r>
      <w:r w:rsidR="00743505" w:rsidRPr="00386AC3">
        <w:rPr>
          <w:rFonts w:ascii="Arial" w:eastAsia="Calibri" w:hAnsi="Arial" w:cs="Arial"/>
          <w:sz w:val="22"/>
          <w:lang w:val="es-ES"/>
        </w:rPr>
        <w:t xml:space="preserve">l </w:t>
      </w:r>
      <w:r w:rsidR="00444D13" w:rsidRPr="00386AC3">
        <w:rPr>
          <w:rFonts w:ascii="Arial" w:eastAsia="Calibri" w:hAnsi="Arial" w:cs="Arial"/>
          <w:sz w:val="22"/>
          <w:lang w:val="es-ES"/>
        </w:rPr>
        <w:t xml:space="preserve">primer inciso, deben haber sido declaradas responsables </w:t>
      </w:r>
      <w:r w:rsidR="00444D13" w:rsidRPr="00386AC3">
        <w:rPr>
          <w:rFonts w:ascii="Arial" w:eastAsia="Calibri" w:hAnsi="Arial" w:cs="Arial"/>
          <w:i/>
          <w:iCs/>
          <w:sz w:val="22"/>
          <w:lang w:val="es-ES"/>
        </w:rPr>
        <w:t>judicialmente</w:t>
      </w:r>
      <w:r w:rsidR="00444D13" w:rsidRPr="00386AC3">
        <w:rPr>
          <w:rFonts w:ascii="Arial" w:eastAsia="Calibri" w:hAnsi="Arial" w:cs="Arial"/>
          <w:sz w:val="22"/>
          <w:lang w:val="es-ES"/>
        </w:rPr>
        <w:t>, mientras que las personas jurídicas, debiero</w:t>
      </w:r>
      <w:r w:rsidR="00E5281C" w:rsidRPr="00386AC3">
        <w:rPr>
          <w:rFonts w:ascii="Arial" w:eastAsia="Calibri" w:hAnsi="Arial" w:cs="Arial"/>
          <w:sz w:val="22"/>
          <w:lang w:val="es-ES"/>
        </w:rPr>
        <w:t xml:space="preserve">n ser </w:t>
      </w:r>
      <w:r w:rsidR="00304EB3" w:rsidRPr="00386AC3">
        <w:rPr>
          <w:rFonts w:ascii="Arial" w:eastAsia="Calibri" w:hAnsi="Arial" w:cs="Arial"/>
          <w:sz w:val="22"/>
          <w:lang w:val="es-ES"/>
        </w:rPr>
        <w:t>declaradas</w:t>
      </w:r>
      <w:r w:rsidR="00833649" w:rsidRPr="00386AC3">
        <w:rPr>
          <w:rFonts w:ascii="Arial" w:eastAsia="Calibri" w:hAnsi="Arial" w:cs="Arial"/>
          <w:sz w:val="22"/>
          <w:lang w:val="es-ES"/>
        </w:rPr>
        <w:t xml:space="preserve"> </w:t>
      </w:r>
      <w:r w:rsidR="00E5281C" w:rsidRPr="00386AC3">
        <w:rPr>
          <w:rFonts w:ascii="Arial" w:eastAsia="Calibri" w:hAnsi="Arial" w:cs="Arial"/>
          <w:sz w:val="22"/>
          <w:lang w:val="es-ES"/>
        </w:rPr>
        <w:t>responsables</w:t>
      </w:r>
      <w:r w:rsidR="00833649" w:rsidRPr="00386AC3">
        <w:rPr>
          <w:rFonts w:ascii="Arial" w:eastAsia="Calibri" w:hAnsi="Arial" w:cs="Arial"/>
          <w:sz w:val="22"/>
          <w:lang w:val="es-ES"/>
        </w:rPr>
        <w:t xml:space="preserve"> </w:t>
      </w:r>
      <w:r w:rsidR="00304EB3" w:rsidRPr="00386AC3">
        <w:rPr>
          <w:rFonts w:ascii="Arial" w:eastAsia="Calibri" w:hAnsi="Arial" w:cs="Arial"/>
          <w:i/>
          <w:iCs/>
          <w:sz w:val="22"/>
          <w:lang w:val="es-ES"/>
        </w:rPr>
        <w:t>administrativamente</w:t>
      </w:r>
      <w:r w:rsidR="00304EB3" w:rsidRPr="00386AC3">
        <w:rPr>
          <w:rFonts w:ascii="Arial" w:eastAsia="Calibri" w:hAnsi="Arial" w:cs="Arial"/>
          <w:sz w:val="22"/>
          <w:lang w:val="es-ES"/>
        </w:rPr>
        <w:t xml:space="preserve"> y por una conducta especial: el </w:t>
      </w:r>
      <w:r w:rsidR="00304EB3" w:rsidRPr="00386AC3">
        <w:rPr>
          <w:rFonts w:ascii="Arial" w:eastAsia="Calibri" w:hAnsi="Arial" w:cs="Arial"/>
          <w:i/>
          <w:iCs/>
          <w:sz w:val="22"/>
          <w:lang w:val="es-ES"/>
        </w:rPr>
        <w:t>soborno transnacional</w:t>
      </w:r>
      <w:r w:rsidR="00DF39F7" w:rsidRPr="00386AC3">
        <w:rPr>
          <w:rFonts w:ascii="Arial" w:eastAsia="Calibri" w:hAnsi="Arial" w:cs="Arial"/>
          <w:sz w:val="22"/>
          <w:lang w:val="es-ES"/>
        </w:rPr>
        <w:t xml:space="preserve">. </w:t>
      </w:r>
      <w:r w:rsidR="001A2015" w:rsidRPr="00386AC3">
        <w:rPr>
          <w:rFonts w:ascii="Arial" w:eastAsia="Calibri" w:hAnsi="Arial" w:cs="Arial"/>
          <w:sz w:val="22"/>
          <w:lang w:val="es-ES"/>
        </w:rPr>
        <w:t>Sobre este tipo</w:t>
      </w:r>
      <w:r w:rsidR="00833649" w:rsidRPr="00386AC3">
        <w:rPr>
          <w:rFonts w:ascii="Arial" w:eastAsia="Calibri" w:hAnsi="Arial" w:cs="Arial"/>
          <w:sz w:val="22"/>
          <w:lang w:val="es-ES"/>
        </w:rPr>
        <w:t xml:space="preserve"> penal</w:t>
      </w:r>
      <w:r w:rsidR="001A2015" w:rsidRPr="00386AC3">
        <w:rPr>
          <w:rFonts w:ascii="Arial" w:eastAsia="Calibri" w:hAnsi="Arial" w:cs="Arial"/>
          <w:sz w:val="22"/>
          <w:lang w:val="es-ES"/>
        </w:rPr>
        <w:t>, e</w:t>
      </w:r>
      <w:r w:rsidR="003C532C" w:rsidRPr="00386AC3">
        <w:rPr>
          <w:rFonts w:ascii="Arial" w:eastAsia="Calibri" w:hAnsi="Arial" w:cs="Arial"/>
          <w:sz w:val="22"/>
          <w:lang w:val="es-ES"/>
        </w:rPr>
        <w:t xml:space="preserve">l artículo 30 de la Ley </w:t>
      </w:r>
      <w:r w:rsidR="00E2539A" w:rsidRPr="00386AC3">
        <w:rPr>
          <w:rFonts w:ascii="Arial" w:eastAsia="Calibri" w:hAnsi="Arial" w:cs="Arial"/>
          <w:sz w:val="22"/>
          <w:lang w:val="es-ES"/>
        </w:rPr>
        <w:t xml:space="preserve">1778 de 2016 </w:t>
      </w:r>
      <w:r w:rsidR="001A2015" w:rsidRPr="00386AC3">
        <w:rPr>
          <w:rFonts w:ascii="Arial" w:eastAsia="Calibri" w:hAnsi="Arial" w:cs="Arial"/>
          <w:sz w:val="22"/>
          <w:lang w:val="es-ES"/>
        </w:rPr>
        <w:t>estableció:</w:t>
      </w:r>
    </w:p>
    <w:p w14:paraId="5F6CFE5C" w14:textId="77777777" w:rsidR="007C104F" w:rsidRPr="00386AC3" w:rsidRDefault="007C104F" w:rsidP="007C104F">
      <w:pPr>
        <w:spacing w:line="276" w:lineRule="auto"/>
        <w:ind w:left="709" w:right="709"/>
        <w:jc w:val="both"/>
        <w:rPr>
          <w:rFonts w:ascii="Arial" w:eastAsia="Calibri" w:hAnsi="Arial" w:cs="Arial"/>
          <w:sz w:val="21"/>
          <w:szCs w:val="21"/>
          <w:lang w:val="es-ES"/>
        </w:rPr>
      </w:pPr>
    </w:p>
    <w:p w14:paraId="0C6AF068" w14:textId="33A1C0C4" w:rsidR="007C104F" w:rsidRPr="00386AC3" w:rsidRDefault="007C104F" w:rsidP="007C104F">
      <w:pPr>
        <w:spacing w:line="276" w:lineRule="auto"/>
        <w:ind w:left="709" w:right="709"/>
        <w:jc w:val="both"/>
        <w:rPr>
          <w:rFonts w:ascii="Arial" w:eastAsia="Calibri" w:hAnsi="Arial" w:cs="Arial"/>
          <w:sz w:val="21"/>
          <w:szCs w:val="21"/>
          <w:lang w:val="es-ES"/>
        </w:rPr>
      </w:pPr>
      <w:r w:rsidRPr="00386AC3">
        <w:rPr>
          <w:rFonts w:ascii="Arial" w:eastAsia="Calibri" w:hAnsi="Arial" w:cs="Arial"/>
          <w:sz w:val="21"/>
          <w:szCs w:val="21"/>
          <w:lang w:val="es-ES"/>
        </w:rPr>
        <w:t>El artículo 30 de la Ley 1474 de 2011 quedara así:</w:t>
      </w:r>
    </w:p>
    <w:p w14:paraId="6BC3DA5A" w14:textId="18A601DA" w:rsidR="007C104F" w:rsidRPr="00386AC3" w:rsidRDefault="007C104F" w:rsidP="007C104F">
      <w:pPr>
        <w:spacing w:before="120" w:line="276" w:lineRule="auto"/>
        <w:ind w:left="709" w:right="709"/>
        <w:jc w:val="both"/>
        <w:rPr>
          <w:rFonts w:ascii="Arial" w:eastAsia="Calibri" w:hAnsi="Arial" w:cs="Arial"/>
          <w:sz w:val="21"/>
          <w:szCs w:val="21"/>
          <w:lang w:val="es-ES"/>
        </w:rPr>
      </w:pPr>
      <w:r w:rsidRPr="00386AC3">
        <w:rPr>
          <w:rFonts w:ascii="Arial" w:eastAsia="Calibri" w:hAnsi="Arial" w:cs="Arial"/>
          <w:sz w:val="21"/>
          <w:szCs w:val="21"/>
          <w:lang w:val="es-ES"/>
        </w:rPr>
        <w:t>Artículo 30. Soborno transnacional. El artículo 433 del Código Penal quedara así:</w:t>
      </w:r>
    </w:p>
    <w:p w14:paraId="39C9A383" w14:textId="0819EF37" w:rsidR="007C104F" w:rsidRPr="00386AC3" w:rsidRDefault="007C104F" w:rsidP="007C104F">
      <w:pPr>
        <w:spacing w:before="120" w:line="276" w:lineRule="auto"/>
        <w:ind w:left="709" w:right="709"/>
        <w:jc w:val="both"/>
        <w:rPr>
          <w:rFonts w:ascii="Arial" w:eastAsia="Calibri" w:hAnsi="Arial" w:cs="Arial"/>
          <w:sz w:val="21"/>
          <w:szCs w:val="21"/>
          <w:lang w:val="es-ES"/>
        </w:rPr>
      </w:pPr>
      <w:r w:rsidRPr="00386AC3">
        <w:rPr>
          <w:rFonts w:ascii="Arial" w:eastAsia="Calibri" w:hAnsi="Arial" w:cs="Arial"/>
          <w:sz w:val="21"/>
          <w:szCs w:val="21"/>
          <w:lang w:val="es-ES"/>
        </w:rPr>
        <w:t>El que dé, prometa u ofrezca a un servidor público extranjero, en provecho de este o de un tercero, directa o indirectamente, sumas de dinero, cualquier objeto de valor pecuniario u otro beneficio o utilidad a cambio de que este realice, omita o retarde cualquier acto relacionado con el ejercicio de sus funciones y en relación con un negocio o transacción internacional, incurrirá en prisión de nueve (9) a quince (15) anos, inhabilitación para el ejercicio de derechos y funciones públicas por el mismo término y multa de seiscientos cincuenta (650) a cincuenta mil (50.000) salarios mínimos legales mensuales vigentes.</w:t>
      </w:r>
    </w:p>
    <w:p w14:paraId="60F9268B" w14:textId="193AE6CB" w:rsidR="007C104F" w:rsidRPr="00386AC3" w:rsidRDefault="00155C0B" w:rsidP="00833649">
      <w:pPr>
        <w:spacing w:before="120" w:line="276" w:lineRule="auto"/>
        <w:ind w:left="709" w:right="709"/>
        <w:jc w:val="both"/>
        <w:rPr>
          <w:rFonts w:ascii="Arial" w:eastAsia="Calibri" w:hAnsi="Arial" w:cs="Arial"/>
          <w:sz w:val="21"/>
          <w:szCs w:val="21"/>
          <w:lang w:val="es-ES"/>
        </w:rPr>
      </w:pPr>
      <w:r w:rsidRPr="00386AC3">
        <w:rPr>
          <w:rFonts w:ascii="Arial" w:eastAsia="Calibri" w:hAnsi="Arial" w:cs="Arial"/>
          <w:sz w:val="21"/>
          <w:szCs w:val="21"/>
          <w:lang w:val="es-ES"/>
        </w:rPr>
        <w:t>Parágrafo</w:t>
      </w:r>
      <w:r w:rsidR="007C104F" w:rsidRPr="00386AC3">
        <w:rPr>
          <w:rFonts w:ascii="Arial" w:eastAsia="Calibri" w:hAnsi="Arial" w:cs="Arial"/>
          <w:sz w:val="21"/>
          <w:szCs w:val="21"/>
          <w:lang w:val="es-ES"/>
        </w:rPr>
        <w:t xml:space="preserve">. Para los efectos de lo dispuesto en el presente artículo, se considera servidor público extranjero toda persona que tenga un cargo legislativo, administrativo o judicial en un Estado, sus subdivisiones políticas o autoridades locales, o una jurisdicción extranjera, sin importar si el individuo hubiere sido nombrado o elegido. También se considera servidor público extranjero toda </w:t>
      </w:r>
      <w:r w:rsidR="007C104F" w:rsidRPr="00386AC3">
        <w:rPr>
          <w:rFonts w:ascii="Arial" w:eastAsia="Calibri" w:hAnsi="Arial" w:cs="Arial"/>
          <w:sz w:val="21"/>
          <w:szCs w:val="21"/>
          <w:lang w:val="es-ES"/>
        </w:rPr>
        <w:lastRenderedPageBreak/>
        <w:t>persona que ejerza una función pública para un Estado, sus subdivisiones políticas o autoridades locales, o en una jurisdicción extranjera, sea dentro de un organismo público, o de una empresa del Estado o una entidad cuyo poder de decisión se encuentre sometido a la voluntad del Estado, sus subdivisiones políticas o autoridades locales, o de una jurisdicción extranjera. También se entenderá que ostenta la referida calidad cualquier funcionario o agente de una organización publica internacional.</w:t>
      </w:r>
    </w:p>
    <w:p w14:paraId="493D4926" w14:textId="77777777" w:rsidR="00833649" w:rsidRPr="00386AC3" w:rsidRDefault="00833649" w:rsidP="00833649">
      <w:pPr>
        <w:spacing w:line="276" w:lineRule="auto"/>
        <w:ind w:firstLine="709"/>
        <w:jc w:val="both"/>
        <w:rPr>
          <w:rFonts w:ascii="Arial" w:eastAsia="Calibri" w:hAnsi="Arial" w:cs="Arial"/>
          <w:sz w:val="22"/>
          <w:lang w:val="es-ES"/>
        </w:rPr>
      </w:pPr>
    </w:p>
    <w:p w14:paraId="10D8897B" w14:textId="46894472" w:rsidR="00DD4108" w:rsidRPr="00386AC3" w:rsidRDefault="00DD4108" w:rsidP="00C026C8">
      <w:pPr>
        <w:spacing w:after="120" w:line="276" w:lineRule="auto"/>
        <w:ind w:firstLine="709"/>
        <w:jc w:val="both"/>
        <w:rPr>
          <w:rFonts w:ascii="Arial" w:eastAsia="Calibri" w:hAnsi="Arial" w:cs="Arial"/>
          <w:sz w:val="22"/>
          <w:lang w:val="es-ES"/>
        </w:rPr>
      </w:pPr>
      <w:r w:rsidRPr="00386AC3">
        <w:rPr>
          <w:rFonts w:ascii="Arial" w:eastAsia="Calibri" w:hAnsi="Arial" w:cs="Arial"/>
          <w:sz w:val="22"/>
          <w:lang w:val="es-ES"/>
        </w:rPr>
        <w:t xml:space="preserve">ii) </w:t>
      </w:r>
      <w:r w:rsidR="00454E77" w:rsidRPr="00386AC3">
        <w:rPr>
          <w:rFonts w:ascii="Arial" w:eastAsia="Calibri" w:hAnsi="Arial" w:cs="Arial"/>
          <w:sz w:val="22"/>
          <w:lang w:val="es-ES"/>
        </w:rPr>
        <w:t>No es necesario que la sentencia</w:t>
      </w:r>
      <w:r w:rsidR="007B35F0" w:rsidRPr="00386AC3">
        <w:rPr>
          <w:rFonts w:ascii="Arial" w:eastAsia="Calibri" w:hAnsi="Arial" w:cs="Arial"/>
          <w:sz w:val="22"/>
          <w:lang w:val="es-ES"/>
        </w:rPr>
        <w:t xml:space="preserve"> que declara la responsabilidad</w:t>
      </w:r>
      <w:r w:rsidR="00454E77" w:rsidRPr="00386AC3">
        <w:rPr>
          <w:rFonts w:ascii="Arial" w:eastAsia="Calibri" w:hAnsi="Arial" w:cs="Arial"/>
          <w:sz w:val="22"/>
          <w:lang w:val="es-ES"/>
        </w:rPr>
        <w:t xml:space="preserve"> se encuentr</w:t>
      </w:r>
      <w:r w:rsidR="006C46CD" w:rsidRPr="00386AC3">
        <w:rPr>
          <w:rFonts w:ascii="Arial" w:eastAsia="Calibri" w:hAnsi="Arial" w:cs="Arial"/>
          <w:sz w:val="22"/>
          <w:lang w:val="es-ES"/>
        </w:rPr>
        <w:t>e</w:t>
      </w:r>
      <w:r w:rsidR="00454E77" w:rsidRPr="00386AC3">
        <w:rPr>
          <w:rFonts w:ascii="Arial" w:eastAsia="Calibri" w:hAnsi="Arial" w:cs="Arial"/>
          <w:sz w:val="22"/>
          <w:lang w:val="es-ES"/>
        </w:rPr>
        <w:t xml:space="preserve"> ejecutoriada</w:t>
      </w:r>
      <w:r w:rsidR="00C41FDE" w:rsidRPr="00386AC3">
        <w:rPr>
          <w:rFonts w:ascii="Arial" w:eastAsia="Calibri" w:hAnsi="Arial" w:cs="Arial"/>
          <w:sz w:val="22"/>
          <w:lang w:val="es-ES"/>
        </w:rPr>
        <w:t xml:space="preserve"> para que la inhabilidad surta efectos</w:t>
      </w:r>
      <w:r w:rsidR="007B35F0" w:rsidRPr="00386AC3">
        <w:rPr>
          <w:rFonts w:ascii="Arial" w:eastAsia="Calibri" w:hAnsi="Arial" w:cs="Arial"/>
          <w:sz w:val="22"/>
          <w:lang w:val="es-ES"/>
        </w:rPr>
        <w:t>, pues el segundo inciso del literal en comento establece que «Esta inhabilidad procederá preventivamente aún en los casos en los que esté pendiente la decisión sobre la impugnación de la sentencia condenatoria».</w:t>
      </w:r>
    </w:p>
    <w:p w14:paraId="0BF47F9F" w14:textId="43774B32" w:rsidR="007B35F0" w:rsidRPr="00386AC3" w:rsidRDefault="007B35F0" w:rsidP="00C026C8">
      <w:pPr>
        <w:spacing w:after="120" w:line="276" w:lineRule="auto"/>
        <w:ind w:firstLine="709"/>
        <w:jc w:val="both"/>
        <w:rPr>
          <w:rFonts w:ascii="Arial" w:eastAsia="Calibri" w:hAnsi="Arial" w:cs="Arial"/>
          <w:sz w:val="22"/>
          <w:lang w:val="es-ES"/>
        </w:rPr>
      </w:pPr>
      <w:r w:rsidRPr="00386AC3">
        <w:rPr>
          <w:rFonts w:ascii="Arial" w:eastAsia="Calibri" w:hAnsi="Arial" w:cs="Arial"/>
          <w:sz w:val="22"/>
          <w:lang w:val="es-ES"/>
        </w:rPr>
        <w:t xml:space="preserve">iii) </w:t>
      </w:r>
      <w:r w:rsidR="00C324D8" w:rsidRPr="00386AC3">
        <w:rPr>
          <w:rFonts w:ascii="Arial" w:eastAsia="Calibri" w:hAnsi="Arial" w:cs="Arial"/>
          <w:sz w:val="22"/>
          <w:lang w:val="es-ES"/>
        </w:rPr>
        <w:t>Por otra parte, el tercer inciso de la norma irradia con los efectos de la inhabilidad a las sociedades</w:t>
      </w:r>
      <w:r w:rsidR="00422180" w:rsidRPr="00386AC3">
        <w:rPr>
          <w:rFonts w:ascii="Arial" w:eastAsia="Calibri" w:hAnsi="Arial" w:cs="Arial"/>
          <w:sz w:val="22"/>
          <w:lang w:val="es-ES"/>
        </w:rPr>
        <w:t>, a las matrices, a las subordinadas</w:t>
      </w:r>
      <w:r w:rsidR="00720217" w:rsidRPr="00386AC3">
        <w:rPr>
          <w:rFonts w:ascii="Arial" w:eastAsia="Calibri" w:hAnsi="Arial" w:cs="Arial"/>
          <w:sz w:val="22"/>
          <w:lang w:val="es-ES"/>
        </w:rPr>
        <w:t xml:space="preserve"> y grupos empresariales,</w:t>
      </w:r>
      <w:r w:rsidR="00C324D8" w:rsidRPr="00386AC3">
        <w:rPr>
          <w:rFonts w:ascii="Arial" w:eastAsia="Calibri" w:hAnsi="Arial" w:cs="Arial"/>
          <w:sz w:val="22"/>
          <w:lang w:val="es-ES"/>
        </w:rPr>
        <w:t xml:space="preserve"> </w:t>
      </w:r>
      <w:r w:rsidR="00720217" w:rsidRPr="00386AC3">
        <w:rPr>
          <w:rFonts w:ascii="Arial" w:eastAsia="Calibri" w:hAnsi="Arial" w:cs="Arial"/>
          <w:sz w:val="22"/>
          <w:lang w:val="es-ES"/>
        </w:rPr>
        <w:t>que integren</w:t>
      </w:r>
      <w:r w:rsidR="00D70DEE" w:rsidRPr="00386AC3">
        <w:rPr>
          <w:rFonts w:ascii="Arial" w:eastAsia="Calibri" w:hAnsi="Arial" w:cs="Arial"/>
          <w:sz w:val="22"/>
          <w:lang w:val="es-ES"/>
        </w:rPr>
        <w:t xml:space="preserve"> –bajo ciertas calidades–</w:t>
      </w:r>
      <w:r w:rsidR="00720217" w:rsidRPr="00386AC3">
        <w:rPr>
          <w:rFonts w:ascii="Arial" w:eastAsia="Calibri" w:hAnsi="Arial" w:cs="Arial"/>
          <w:sz w:val="22"/>
          <w:lang w:val="es-ES"/>
        </w:rPr>
        <w:t xml:space="preserve"> </w:t>
      </w:r>
      <w:r w:rsidR="00C324D8" w:rsidRPr="00386AC3">
        <w:rPr>
          <w:rFonts w:ascii="Arial" w:eastAsia="Calibri" w:hAnsi="Arial" w:cs="Arial"/>
          <w:sz w:val="22"/>
          <w:lang w:val="es-ES"/>
        </w:rPr>
        <w:t xml:space="preserve">las personas que han sido condenadas por las conductas </w:t>
      </w:r>
      <w:r w:rsidR="000F20AE" w:rsidRPr="00386AC3">
        <w:rPr>
          <w:rFonts w:ascii="Arial" w:eastAsia="Calibri" w:hAnsi="Arial" w:cs="Arial"/>
          <w:sz w:val="22"/>
          <w:lang w:val="es-ES"/>
        </w:rPr>
        <w:t>indicadas en el inciso primero, con excepción de las sociedades anónimas abiertas</w:t>
      </w:r>
      <w:r w:rsidR="00925F97" w:rsidRPr="00386AC3">
        <w:rPr>
          <w:rStyle w:val="Refdenotaalpie"/>
          <w:rFonts w:ascii="Arial" w:eastAsia="Calibri" w:hAnsi="Arial" w:cs="Arial"/>
          <w:sz w:val="22"/>
          <w:lang w:val="es-ES"/>
        </w:rPr>
        <w:footnoteReference w:id="16"/>
      </w:r>
      <w:r w:rsidR="000F20AE" w:rsidRPr="00386AC3">
        <w:rPr>
          <w:rFonts w:ascii="Arial" w:eastAsia="Calibri" w:hAnsi="Arial" w:cs="Arial"/>
          <w:sz w:val="22"/>
          <w:lang w:val="es-ES"/>
        </w:rPr>
        <w:t xml:space="preserve">. </w:t>
      </w:r>
    </w:p>
    <w:p w14:paraId="528C9FEB" w14:textId="34D3A5EB" w:rsidR="0040050F" w:rsidRPr="00386AC3" w:rsidRDefault="0040050F" w:rsidP="00C026C8">
      <w:pPr>
        <w:spacing w:after="120" w:line="276" w:lineRule="auto"/>
        <w:ind w:firstLine="709"/>
        <w:jc w:val="both"/>
        <w:rPr>
          <w:rFonts w:ascii="Arial" w:eastAsia="Calibri" w:hAnsi="Arial" w:cs="Arial"/>
          <w:sz w:val="22"/>
          <w:lang w:val="es-ES"/>
        </w:rPr>
      </w:pPr>
      <w:r w:rsidRPr="00386AC3">
        <w:rPr>
          <w:rFonts w:ascii="Arial" w:eastAsia="Calibri" w:hAnsi="Arial" w:cs="Arial"/>
          <w:sz w:val="22"/>
          <w:lang w:val="es-ES"/>
        </w:rPr>
        <w:t>iv) Así mismo, esta inhabilidad cubre, según el cuarto inciso, a las personas jurídicas</w:t>
      </w:r>
      <w:r w:rsidR="005E14B0" w:rsidRPr="00386AC3">
        <w:rPr>
          <w:rFonts w:ascii="Arial" w:eastAsia="Calibri" w:hAnsi="Arial" w:cs="Arial"/>
          <w:sz w:val="22"/>
          <w:lang w:val="es-ES"/>
        </w:rPr>
        <w:t xml:space="preserve">, en los </w:t>
      </w:r>
      <w:r w:rsidR="00684D6F" w:rsidRPr="00386AC3">
        <w:rPr>
          <w:rFonts w:ascii="Arial" w:eastAsia="Calibri" w:hAnsi="Arial" w:cs="Arial"/>
          <w:sz w:val="22"/>
          <w:lang w:val="es-ES"/>
        </w:rPr>
        <w:t xml:space="preserve">dos </w:t>
      </w:r>
      <w:r w:rsidR="005E14B0" w:rsidRPr="00386AC3">
        <w:rPr>
          <w:rFonts w:ascii="Arial" w:eastAsia="Calibri" w:hAnsi="Arial" w:cs="Arial"/>
          <w:sz w:val="22"/>
          <w:lang w:val="es-ES"/>
        </w:rPr>
        <w:t xml:space="preserve">eventos indicados </w:t>
      </w:r>
      <w:r w:rsidR="00A16864" w:rsidRPr="00386AC3">
        <w:rPr>
          <w:rFonts w:ascii="Arial" w:eastAsia="Calibri" w:hAnsi="Arial" w:cs="Arial"/>
          <w:sz w:val="22"/>
          <w:lang w:val="es-ES"/>
        </w:rPr>
        <w:t>allí, esto es: a) cuando contra ellas «se haya ordenado la suspensión de la personería jurídica en los términos de ley» o b) cuando sus «representantes legales, administradores de hecho o de derecho, miembros de junta directiva o sus socios controlantes, sus matrices, subordinadas y/o las sucursales de sociedades extranjeras, hayan sido beneficiados con la aplicación de un principio de oportunidad por cualquier delito contra la Administración pública o el patrimonio del Estado».</w:t>
      </w:r>
    </w:p>
    <w:p w14:paraId="3690F10D" w14:textId="109D6011" w:rsidR="00684D6F" w:rsidRPr="00386AC3" w:rsidRDefault="00684D6F" w:rsidP="009A19A3">
      <w:pPr>
        <w:spacing w:line="276" w:lineRule="auto"/>
        <w:ind w:firstLine="709"/>
        <w:jc w:val="both"/>
        <w:rPr>
          <w:rFonts w:ascii="Arial" w:eastAsia="Calibri" w:hAnsi="Arial" w:cs="Arial"/>
          <w:sz w:val="22"/>
          <w:lang w:val="es-ES"/>
        </w:rPr>
      </w:pPr>
      <w:r w:rsidRPr="00386AC3">
        <w:rPr>
          <w:rFonts w:ascii="Arial" w:eastAsia="Calibri" w:hAnsi="Arial" w:cs="Arial"/>
          <w:sz w:val="22"/>
          <w:lang w:val="es-ES"/>
        </w:rPr>
        <w:t xml:space="preserve">v) Finalmente, el literal bajo análisis </w:t>
      </w:r>
      <w:r w:rsidR="00B4565B" w:rsidRPr="00386AC3">
        <w:rPr>
          <w:rFonts w:ascii="Arial" w:eastAsia="Calibri" w:hAnsi="Arial" w:cs="Arial"/>
          <w:sz w:val="22"/>
          <w:lang w:val="es-ES"/>
        </w:rPr>
        <w:t xml:space="preserve">consagra un término indefinido de duración la inhabilidad, </w:t>
      </w:r>
      <w:r w:rsidR="00AB3CF0" w:rsidRPr="00386AC3">
        <w:rPr>
          <w:rFonts w:ascii="Arial" w:eastAsia="Calibri" w:hAnsi="Arial" w:cs="Arial"/>
          <w:sz w:val="22"/>
          <w:lang w:val="es-ES"/>
        </w:rPr>
        <w:t>al indicar que «se extenderá de forma permanente a las sociedades de las que hagan parte dichas personas en las calidades presentadas en los incisos anteriores, y se aplicará de igual forma a las personas naturales que hayan sido declaradas responsables judicialmente por la comisión de delitos mencionados en este literal».</w:t>
      </w:r>
      <w:r w:rsidR="004A6DBE" w:rsidRPr="00386AC3">
        <w:rPr>
          <w:rFonts w:ascii="Arial" w:eastAsia="Calibri" w:hAnsi="Arial" w:cs="Arial"/>
          <w:sz w:val="22"/>
          <w:lang w:val="es-ES"/>
        </w:rPr>
        <w:t xml:space="preserve"> Sobre el carácter permanente de las inhabilidades para contratar con el Estado, la Corte Constitucional ha indicado que </w:t>
      </w:r>
      <w:r w:rsidR="00576780" w:rsidRPr="00386AC3">
        <w:rPr>
          <w:rFonts w:ascii="Arial" w:eastAsia="Calibri" w:hAnsi="Arial" w:cs="Arial"/>
          <w:sz w:val="22"/>
          <w:lang w:val="es-ES"/>
        </w:rPr>
        <w:t>esto</w:t>
      </w:r>
      <w:r w:rsidR="00196A28" w:rsidRPr="00386AC3">
        <w:rPr>
          <w:rFonts w:ascii="Arial" w:eastAsia="Calibri" w:hAnsi="Arial" w:cs="Arial"/>
          <w:sz w:val="22"/>
          <w:lang w:val="es-ES"/>
        </w:rPr>
        <w:t xml:space="preserve"> no necesariamente contraviene la </w:t>
      </w:r>
      <w:r w:rsidR="00A4720E" w:rsidRPr="00386AC3">
        <w:rPr>
          <w:rFonts w:ascii="Arial" w:eastAsia="Calibri" w:hAnsi="Arial" w:cs="Arial"/>
          <w:sz w:val="22"/>
          <w:lang w:val="es-ES"/>
        </w:rPr>
        <w:t>c</w:t>
      </w:r>
      <w:r w:rsidR="00196A28" w:rsidRPr="00386AC3">
        <w:rPr>
          <w:rFonts w:ascii="Arial" w:eastAsia="Calibri" w:hAnsi="Arial" w:cs="Arial"/>
          <w:sz w:val="22"/>
          <w:lang w:val="es-ES"/>
        </w:rPr>
        <w:t xml:space="preserve">arta </w:t>
      </w:r>
      <w:r w:rsidR="00A4720E" w:rsidRPr="00386AC3">
        <w:rPr>
          <w:rFonts w:ascii="Arial" w:eastAsia="Calibri" w:hAnsi="Arial" w:cs="Arial"/>
          <w:sz w:val="22"/>
          <w:lang w:val="es-ES"/>
        </w:rPr>
        <w:t>p</w:t>
      </w:r>
      <w:r w:rsidR="00196A28" w:rsidRPr="00386AC3">
        <w:rPr>
          <w:rFonts w:ascii="Arial" w:eastAsia="Calibri" w:hAnsi="Arial" w:cs="Arial"/>
          <w:sz w:val="22"/>
          <w:lang w:val="es-ES"/>
        </w:rPr>
        <w:t>olítica</w:t>
      </w:r>
      <w:r w:rsidR="00C21110" w:rsidRPr="00386AC3">
        <w:rPr>
          <w:rFonts w:ascii="Arial" w:eastAsia="Calibri" w:hAnsi="Arial" w:cs="Arial"/>
          <w:sz w:val="22"/>
          <w:lang w:val="es-ES"/>
        </w:rPr>
        <w:t>, porque</w:t>
      </w:r>
      <w:r w:rsidR="00A4720E" w:rsidRPr="00386AC3">
        <w:rPr>
          <w:rFonts w:ascii="Arial" w:eastAsia="Calibri" w:hAnsi="Arial" w:cs="Arial"/>
          <w:sz w:val="22"/>
          <w:lang w:val="es-ES"/>
        </w:rPr>
        <w:t xml:space="preserve"> «En materia de inhabilidades el legislador cuenta con una amplia potestad de configuración de las causales, como también de su duración en el tiempo, siempre y cuando atienda a los valores, principios y derechos consagrados en la Constitución»</w:t>
      </w:r>
      <w:r w:rsidR="00A4720E" w:rsidRPr="00386AC3">
        <w:rPr>
          <w:rStyle w:val="Refdenotaalpie"/>
          <w:rFonts w:ascii="Arial" w:eastAsia="Calibri" w:hAnsi="Arial" w:cs="Arial"/>
          <w:sz w:val="22"/>
          <w:lang w:val="es-ES"/>
        </w:rPr>
        <w:footnoteReference w:id="17"/>
      </w:r>
      <w:r w:rsidR="00A4720E" w:rsidRPr="00386AC3">
        <w:rPr>
          <w:rFonts w:ascii="Arial" w:eastAsia="Calibri" w:hAnsi="Arial" w:cs="Arial"/>
          <w:sz w:val="22"/>
          <w:lang w:val="es-ES"/>
        </w:rPr>
        <w:t xml:space="preserve">. </w:t>
      </w:r>
      <w:r w:rsidR="00C21110" w:rsidRPr="00386AC3">
        <w:rPr>
          <w:rFonts w:ascii="Arial" w:eastAsia="Calibri" w:hAnsi="Arial" w:cs="Arial"/>
          <w:sz w:val="22"/>
          <w:lang w:val="es-ES"/>
        </w:rPr>
        <w:t xml:space="preserve"> </w:t>
      </w:r>
    </w:p>
    <w:p w14:paraId="1C2D77B8" w14:textId="7B0757B5" w:rsidR="006243F5" w:rsidRPr="00386AC3" w:rsidRDefault="006243F5" w:rsidP="006243F5">
      <w:pPr>
        <w:spacing w:before="120" w:line="276" w:lineRule="auto"/>
        <w:ind w:firstLine="709"/>
        <w:jc w:val="both"/>
        <w:rPr>
          <w:rFonts w:ascii="Arial" w:eastAsia="Calibri" w:hAnsi="Arial" w:cs="Arial"/>
          <w:sz w:val="22"/>
          <w:lang w:val="es-ES"/>
        </w:rPr>
      </w:pPr>
      <w:r w:rsidRPr="00386AC3">
        <w:rPr>
          <w:rFonts w:ascii="Arial" w:eastAsia="Calibri" w:hAnsi="Arial" w:cs="Arial"/>
          <w:sz w:val="22"/>
          <w:lang w:val="es-ES"/>
        </w:rPr>
        <w:lastRenderedPageBreak/>
        <w:t xml:space="preserve">A partir de los comentarios previos, se analizará si la causal de inhabilidad consagrada en el artículo 21, numeral 2, de la Ley 2195 de </w:t>
      </w:r>
      <w:r w:rsidR="00323AEC" w:rsidRPr="00386AC3">
        <w:rPr>
          <w:rFonts w:ascii="Arial" w:eastAsia="Calibri" w:hAnsi="Arial" w:cs="Arial"/>
          <w:sz w:val="22"/>
          <w:lang w:val="es-ES"/>
        </w:rPr>
        <w:t>2022 supuso</w:t>
      </w:r>
      <w:r w:rsidR="00177DE1" w:rsidRPr="00386AC3">
        <w:rPr>
          <w:rFonts w:ascii="Arial" w:eastAsia="Calibri" w:hAnsi="Arial" w:cs="Arial"/>
          <w:sz w:val="22"/>
          <w:lang w:val="es-ES"/>
        </w:rPr>
        <w:t xml:space="preserve"> o no</w:t>
      </w:r>
      <w:r w:rsidR="00323AEC" w:rsidRPr="00386AC3">
        <w:rPr>
          <w:rFonts w:ascii="Arial" w:eastAsia="Calibri" w:hAnsi="Arial" w:cs="Arial"/>
          <w:sz w:val="22"/>
          <w:lang w:val="es-ES"/>
        </w:rPr>
        <w:t xml:space="preserve"> una deroga</w:t>
      </w:r>
      <w:r w:rsidR="003A7099" w:rsidRPr="00386AC3">
        <w:rPr>
          <w:rFonts w:ascii="Arial" w:eastAsia="Calibri" w:hAnsi="Arial" w:cs="Arial"/>
          <w:sz w:val="22"/>
          <w:lang w:val="es-ES"/>
        </w:rPr>
        <w:t xml:space="preserve">ción </w:t>
      </w:r>
      <w:r w:rsidR="00323AEC" w:rsidRPr="00386AC3">
        <w:rPr>
          <w:rFonts w:ascii="Arial" w:eastAsia="Calibri" w:hAnsi="Arial" w:cs="Arial"/>
          <w:sz w:val="22"/>
          <w:lang w:val="es-ES"/>
        </w:rPr>
        <w:t xml:space="preserve">tácita de la duración indefinida </w:t>
      </w:r>
      <w:r w:rsidR="00632DEF" w:rsidRPr="00386AC3">
        <w:rPr>
          <w:rFonts w:ascii="Arial" w:eastAsia="Calibri" w:hAnsi="Arial" w:cs="Arial"/>
          <w:sz w:val="22"/>
          <w:lang w:val="es-ES"/>
        </w:rPr>
        <w:t>de la inhabilidad, que, como se indicó, prevé el último inciso del artículo 8, numeral 1, literal j), de la Ley 80 de 1993, modificada por el artículo 2 de la Ley 2014 de 2019; pues esta es la pregunta que se formula en la consulta.</w:t>
      </w:r>
      <w:r w:rsidR="00FF5CC0" w:rsidRPr="00386AC3">
        <w:rPr>
          <w:rFonts w:ascii="Arial" w:eastAsia="Calibri" w:hAnsi="Arial" w:cs="Arial"/>
          <w:sz w:val="22"/>
          <w:lang w:val="es-ES"/>
        </w:rPr>
        <w:t xml:space="preserve"> Para responder esta inquietud, habrá de determinarse si los supuestos fácticos de ambas causales son los mismos o si, por el contrario, </w:t>
      </w:r>
      <w:r w:rsidR="00177DE1" w:rsidRPr="00386AC3">
        <w:rPr>
          <w:rFonts w:ascii="Arial" w:eastAsia="Calibri" w:hAnsi="Arial" w:cs="Arial"/>
          <w:sz w:val="22"/>
          <w:lang w:val="es-ES"/>
        </w:rPr>
        <w:t xml:space="preserve">son diversos y, en consecuencia, </w:t>
      </w:r>
      <w:r w:rsidR="00FF5CC0" w:rsidRPr="00386AC3">
        <w:rPr>
          <w:rFonts w:ascii="Arial" w:eastAsia="Calibri" w:hAnsi="Arial" w:cs="Arial"/>
          <w:sz w:val="22"/>
          <w:lang w:val="es-ES"/>
        </w:rPr>
        <w:t>conservan su autonomía</w:t>
      </w:r>
      <w:r w:rsidR="007A6DEA" w:rsidRPr="00386AC3">
        <w:rPr>
          <w:rFonts w:ascii="Arial" w:eastAsia="Calibri" w:hAnsi="Arial" w:cs="Arial"/>
          <w:sz w:val="22"/>
          <w:lang w:val="es-ES"/>
        </w:rPr>
        <w:t>, p</w:t>
      </w:r>
      <w:r w:rsidR="00FF5CC0" w:rsidRPr="00386AC3">
        <w:rPr>
          <w:rFonts w:ascii="Arial" w:eastAsia="Calibri" w:hAnsi="Arial" w:cs="Arial"/>
          <w:sz w:val="22"/>
          <w:lang w:val="es-ES"/>
        </w:rPr>
        <w:t>ues de esto depende</w:t>
      </w:r>
      <w:r w:rsidR="00694151" w:rsidRPr="00386AC3">
        <w:rPr>
          <w:rFonts w:ascii="Arial" w:eastAsia="Calibri" w:hAnsi="Arial" w:cs="Arial"/>
          <w:sz w:val="22"/>
          <w:lang w:val="es-ES"/>
        </w:rPr>
        <w:t xml:space="preserve"> la decisión interpretativa de </w:t>
      </w:r>
      <w:r w:rsidR="00C2473D" w:rsidRPr="00386AC3">
        <w:rPr>
          <w:rFonts w:ascii="Arial" w:eastAsia="Calibri" w:hAnsi="Arial" w:cs="Arial"/>
          <w:sz w:val="22"/>
          <w:lang w:val="es-ES"/>
        </w:rPr>
        <w:t>entender que actualmente rigen</w:t>
      </w:r>
      <w:r w:rsidR="00694151" w:rsidRPr="00386AC3">
        <w:rPr>
          <w:rFonts w:ascii="Arial" w:eastAsia="Calibri" w:hAnsi="Arial" w:cs="Arial"/>
          <w:sz w:val="22"/>
          <w:lang w:val="es-ES"/>
        </w:rPr>
        <w:t xml:space="preserve"> ambos términos</w:t>
      </w:r>
      <w:r w:rsidR="00C2473D" w:rsidRPr="00386AC3">
        <w:rPr>
          <w:rFonts w:ascii="Arial" w:eastAsia="Calibri" w:hAnsi="Arial" w:cs="Arial"/>
          <w:sz w:val="22"/>
          <w:lang w:val="es-ES"/>
        </w:rPr>
        <w:t xml:space="preserve"> –el indefinido y el de </w:t>
      </w:r>
      <w:r w:rsidR="00F41E00" w:rsidRPr="00386AC3">
        <w:rPr>
          <w:rFonts w:ascii="Arial" w:eastAsia="Calibri" w:hAnsi="Arial" w:cs="Arial"/>
          <w:sz w:val="22"/>
          <w:lang w:val="es-ES"/>
        </w:rPr>
        <w:t xml:space="preserve">«hasta </w:t>
      </w:r>
      <w:r w:rsidR="00C2473D" w:rsidRPr="00386AC3">
        <w:rPr>
          <w:rFonts w:ascii="Arial" w:eastAsia="Calibri" w:hAnsi="Arial" w:cs="Arial"/>
          <w:sz w:val="22"/>
          <w:lang w:val="es-ES"/>
        </w:rPr>
        <w:t>veinte (20) años</w:t>
      </w:r>
      <w:r w:rsidR="00F41E00" w:rsidRPr="00386AC3">
        <w:rPr>
          <w:rFonts w:ascii="Arial" w:eastAsia="Calibri" w:hAnsi="Arial" w:cs="Arial"/>
          <w:sz w:val="22"/>
          <w:lang w:val="es-ES"/>
        </w:rPr>
        <w:t>»</w:t>
      </w:r>
      <w:r w:rsidR="00C2473D" w:rsidRPr="00386AC3">
        <w:rPr>
          <w:rFonts w:ascii="Arial" w:eastAsia="Calibri" w:hAnsi="Arial" w:cs="Arial"/>
          <w:sz w:val="22"/>
          <w:lang w:val="es-ES"/>
        </w:rPr>
        <w:t>–</w:t>
      </w:r>
      <w:r w:rsidR="00694151" w:rsidRPr="00386AC3">
        <w:rPr>
          <w:rFonts w:ascii="Arial" w:eastAsia="Calibri" w:hAnsi="Arial" w:cs="Arial"/>
          <w:sz w:val="22"/>
          <w:lang w:val="es-ES"/>
        </w:rPr>
        <w:t xml:space="preserve"> o de decantarse por el recientemente consagrado en la Ley 2195 de 2022.</w:t>
      </w:r>
      <w:r w:rsidR="007A6DEA" w:rsidRPr="00386AC3">
        <w:rPr>
          <w:rFonts w:ascii="Arial" w:eastAsia="Calibri" w:hAnsi="Arial" w:cs="Arial"/>
          <w:sz w:val="22"/>
          <w:lang w:val="es-ES"/>
        </w:rPr>
        <w:t xml:space="preserve"> Además, deben tenerse en cuenta los criterios hermenéuticos que orientan el régimen de inhabilidades e incompatibilidades, estudiados en el numeral 2.1. del presente concepto.</w:t>
      </w:r>
    </w:p>
    <w:p w14:paraId="72B22CFF" w14:textId="77777777" w:rsidR="009A19A3" w:rsidRPr="00386AC3" w:rsidRDefault="009A19A3" w:rsidP="00DA3A15">
      <w:pPr>
        <w:spacing w:line="276" w:lineRule="auto"/>
        <w:jc w:val="both"/>
        <w:rPr>
          <w:rFonts w:ascii="Arial" w:hAnsi="Arial" w:cs="Arial"/>
          <w:b/>
          <w:bCs/>
          <w:iCs/>
          <w:color w:val="000000" w:themeColor="text1"/>
          <w:sz w:val="22"/>
          <w:lang w:val="es-ES_tradnl"/>
        </w:rPr>
      </w:pPr>
    </w:p>
    <w:p w14:paraId="4AE8B6B9" w14:textId="1CAEA30F" w:rsidR="00DA3A15" w:rsidRPr="00386AC3" w:rsidRDefault="00DA3A15" w:rsidP="00DA3A15">
      <w:pPr>
        <w:spacing w:line="276" w:lineRule="auto"/>
        <w:jc w:val="both"/>
        <w:rPr>
          <w:rFonts w:ascii="Arial" w:hAnsi="Arial" w:cs="Arial"/>
          <w:b/>
          <w:bCs/>
          <w:iCs/>
          <w:color w:val="000000" w:themeColor="text1"/>
          <w:sz w:val="22"/>
          <w:lang w:val="es-ES_tradnl"/>
        </w:rPr>
      </w:pPr>
      <w:r w:rsidRPr="00386AC3">
        <w:rPr>
          <w:rFonts w:ascii="Arial" w:hAnsi="Arial" w:cs="Arial"/>
          <w:b/>
          <w:bCs/>
          <w:iCs/>
          <w:color w:val="000000" w:themeColor="text1"/>
          <w:sz w:val="22"/>
          <w:lang w:val="es-ES_tradnl"/>
        </w:rPr>
        <w:t>2.</w:t>
      </w:r>
      <w:r w:rsidR="005411F3" w:rsidRPr="00386AC3">
        <w:rPr>
          <w:rFonts w:ascii="Arial" w:hAnsi="Arial" w:cs="Arial"/>
          <w:b/>
          <w:bCs/>
          <w:iCs/>
          <w:color w:val="000000" w:themeColor="text1"/>
          <w:sz w:val="22"/>
          <w:lang w:val="es-ES_tradnl"/>
        </w:rPr>
        <w:t>3</w:t>
      </w:r>
      <w:r w:rsidRPr="00386AC3">
        <w:rPr>
          <w:rFonts w:ascii="Arial" w:hAnsi="Arial" w:cs="Arial"/>
          <w:b/>
          <w:bCs/>
          <w:iCs/>
          <w:color w:val="000000" w:themeColor="text1"/>
          <w:sz w:val="22"/>
          <w:lang w:val="es-ES_tradnl"/>
        </w:rPr>
        <w:t xml:space="preserve">. </w:t>
      </w:r>
      <w:r w:rsidR="00681984" w:rsidRPr="00386AC3">
        <w:rPr>
          <w:rFonts w:ascii="Arial" w:hAnsi="Arial" w:cs="Arial"/>
          <w:b/>
          <w:bCs/>
          <w:iCs/>
          <w:color w:val="000000" w:themeColor="text1"/>
          <w:sz w:val="22"/>
          <w:lang w:val="es-ES_tradnl"/>
        </w:rPr>
        <w:t>Interpretación del artículo 21, numeral 2, de la Ley 2195 de 2022, en el marco del régimen de inhabilidades e incompatibilidades para la contratación estatal</w:t>
      </w:r>
    </w:p>
    <w:p w14:paraId="0D1935FA" w14:textId="1C2A83B0" w:rsidR="00826C98" w:rsidRPr="00386AC3" w:rsidRDefault="00826C98" w:rsidP="00826C98">
      <w:pPr>
        <w:spacing w:line="276" w:lineRule="auto"/>
        <w:jc w:val="both"/>
        <w:rPr>
          <w:rFonts w:ascii="Arial" w:eastAsia="Calibri" w:hAnsi="Arial" w:cs="Arial"/>
          <w:color w:val="000000" w:themeColor="text1"/>
          <w:sz w:val="22"/>
          <w:lang w:val="es-ES_tradnl"/>
        </w:rPr>
      </w:pPr>
    </w:p>
    <w:p w14:paraId="260AB894" w14:textId="4A94C385" w:rsidR="00B441D0" w:rsidRPr="00386AC3" w:rsidRDefault="00B441D0" w:rsidP="00826C98">
      <w:pPr>
        <w:spacing w:line="276" w:lineRule="auto"/>
        <w:jc w:val="both"/>
        <w:rPr>
          <w:rFonts w:ascii="Arial" w:eastAsia="Calibri" w:hAnsi="Arial" w:cs="Arial"/>
          <w:color w:val="000000" w:themeColor="text1"/>
          <w:sz w:val="22"/>
          <w:szCs w:val="22"/>
          <w:lang w:val="es-ES_tradnl"/>
        </w:rPr>
      </w:pPr>
      <w:r w:rsidRPr="00386AC3">
        <w:rPr>
          <w:rFonts w:ascii="Arial" w:eastAsia="Calibri" w:hAnsi="Arial" w:cs="Arial"/>
          <w:color w:val="000000" w:themeColor="text1"/>
          <w:sz w:val="22"/>
          <w:szCs w:val="22"/>
          <w:lang w:val="es-ES_tradnl"/>
        </w:rPr>
        <w:t>La Ley 2195</w:t>
      </w:r>
      <w:r w:rsidR="00CF6EC4" w:rsidRPr="00386AC3">
        <w:rPr>
          <w:rFonts w:ascii="Arial" w:eastAsia="Calibri" w:hAnsi="Arial" w:cs="Arial"/>
          <w:color w:val="000000" w:themeColor="text1"/>
          <w:sz w:val="22"/>
          <w:szCs w:val="22"/>
          <w:lang w:val="es-ES_tradnl"/>
        </w:rPr>
        <w:t xml:space="preserve"> de 2022, </w:t>
      </w:r>
      <w:r w:rsidR="0024094F" w:rsidRPr="00386AC3">
        <w:rPr>
          <w:rFonts w:ascii="Arial" w:eastAsia="Calibri" w:hAnsi="Arial" w:cs="Arial"/>
          <w:color w:val="000000" w:themeColor="text1"/>
          <w:sz w:val="22"/>
          <w:szCs w:val="22"/>
          <w:lang w:val="es-ES_tradnl"/>
        </w:rPr>
        <w:t>como</w:t>
      </w:r>
      <w:r w:rsidR="00CF6EC4" w:rsidRPr="00386AC3">
        <w:rPr>
          <w:rFonts w:ascii="Arial" w:eastAsia="Calibri" w:hAnsi="Arial" w:cs="Arial"/>
          <w:color w:val="000000" w:themeColor="text1"/>
          <w:sz w:val="22"/>
          <w:szCs w:val="22"/>
          <w:lang w:val="es-ES_tradnl"/>
        </w:rPr>
        <w:t xml:space="preserve"> lo establece su artículo 1, </w:t>
      </w:r>
      <w:r w:rsidR="00ED1B4C" w:rsidRPr="00386AC3">
        <w:rPr>
          <w:rFonts w:ascii="Arial" w:eastAsia="Calibri" w:hAnsi="Arial" w:cs="Arial"/>
          <w:color w:val="000000" w:themeColor="text1"/>
          <w:sz w:val="22"/>
          <w:szCs w:val="22"/>
          <w:lang w:val="es-ES_tradnl"/>
        </w:rPr>
        <w:t>«</w:t>
      </w:r>
      <w:r w:rsidR="00ED1B4C" w:rsidRPr="00386AC3">
        <w:rPr>
          <w:rFonts w:ascii="Arial" w:hAnsi="Arial" w:cs="Arial"/>
          <w:sz w:val="22"/>
          <w:szCs w:val="22"/>
          <w:lang w:val="es-ES_tradnl"/>
        </w:rPr>
        <w:t xml:space="preserve">[…] </w:t>
      </w:r>
      <w:r w:rsidR="00ED1B4C" w:rsidRPr="00386AC3">
        <w:rPr>
          <w:rFonts w:ascii="Arial" w:eastAsia="Calibri" w:hAnsi="Arial" w:cs="Arial"/>
          <w:color w:val="000000" w:themeColor="text1"/>
          <w:sz w:val="22"/>
          <w:szCs w:val="22"/>
          <w:lang w:val="es-ES_tradnl"/>
        </w:rPr>
        <w:t xml:space="preserve">tiene por objeto adoptar disposiciones tendientes a prevenir los actos de corrupción, a reforzar la articulación y coordinación de las entidades del Estado y a recuperar los daños ocasionados por dichos actos con el fin de asegurar promover </w:t>
      </w:r>
      <w:r w:rsidR="00D17CF3" w:rsidRPr="00386AC3">
        <w:rPr>
          <w:rFonts w:ascii="Arial" w:eastAsia="Calibri" w:hAnsi="Arial" w:cs="Arial"/>
          <w:color w:val="000000" w:themeColor="text1"/>
          <w:sz w:val="22"/>
          <w:szCs w:val="22"/>
          <w:lang w:val="es-ES_tradnl"/>
        </w:rPr>
        <w:t xml:space="preserve">(sic) </w:t>
      </w:r>
      <w:r w:rsidR="00ED1B4C" w:rsidRPr="00386AC3">
        <w:rPr>
          <w:rFonts w:ascii="Arial" w:eastAsia="Calibri" w:hAnsi="Arial" w:cs="Arial"/>
          <w:color w:val="000000" w:themeColor="text1"/>
          <w:sz w:val="22"/>
          <w:szCs w:val="22"/>
          <w:lang w:val="es-ES_tradnl"/>
        </w:rPr>
        <w:t>la cultura de la legalidad e integridad y recuperar la confianza ciudadana y el respeto por lo público».</w:t>
      </w:r>
      <w:r w:rsidR="005C2EB1" w:rsidRPr="00386AC3">
        <w:rPr>
          <w:rFonts w:ascii="Arial" w:eastAsia="Calibri" w:hAnsi="Arial" w:cs="Arial"/>
          <w:color w:val="000000" w:themeColor="text1"/>
          <w:sz w:val="22"/>
          <w:szCs w:val="22"/>
          <w:lang w:val="es-ES_tradnl"/>
        </w:rPr>
        <w:t xml:space="preserve"> Dentro del capítulo VIII de esta Ley</w:t>
      </w:r>
      <w:r w:rsidR="00A614DA" w:rsidRPr="00386AC3">
        <w:rPr>
          <w:rFonts w:ascii="Arial" w:eastAsia="Calibri" w:hAnsi="Arial" w:cs="Arial"/>
          <w:color w:val="000000" w:themeColor="text1"/>
          <w:sz w:val="22"/>
          <w:szCs w:val="22"/>
          <w:lang w:val="es-ES_tradnl"/>
        </w:rPr>
        <w:t>, que lleva por título «Disposiciones en materia contractual</w:t>
      </w:r>
      <w:r w:rsidR="007E182B" w:rsidRPr="00386AC3">
        <w:rPr>
          <w:rFonts w:ascii="Arial" w:eastAsia="Calibri" w:hAnsi="Arial" w:cs="Arial"/>
          <w:color w:val="000000" w:themeColor="text1"/>
          <w:sz w:val="22"/>
          <w:szCs w:val="22"/>
          <w:lang w:val="es-ES_tradnl"/>
        </w:rPr>
        <w:t xml:space="preserve"> para la moralización y la transparencia</w:t>
      </w:r>
      <w:r w:rsidR="005736F5" w:rsidRPr="00386AC3">
        <w:rPr>
          <w:rFonts w:ascii="Arial" w:eastAsia="Calibri" w:hAnsi="Arial" w:cs="Arial"/>
          <w:color w:val="000000" w:themeColor="text1"/>
          <w:sz w:val="22"/>
          <w:szCs w:val="22"/>
          <w:lang w:val="es-ES_tradnl"/>
        </w:rPr>
        <w:t>»</w:t>
      </w:r>
      <w:r w:rsidR="00600344" w:rsidRPr="00386AC3">
        <w:rPr>
          <w:rFonts w:ascii="Arial" w:eastAsia="Calibri" w:hAnsi="Arial" w:cs="Arial"/>
          <w:color w:val="000000" w:themeColor="text1"/>
          <w:sz w:val="22"/>
          <w:szCs w:val="22"/>
          <w:lang w:val="es-ES_tradnl"/>
        </w:rPr>
        <w:t>,</w:t>
      </w:r>
      <w:r w:rsidR="005C2EB1" w:rsidRPr="00386AC3">
        <w:rPr>
          <w:rFonts w:ascii="Arial" w:eastAsia="Calibri" w:hAnsi="Arial" w:cs="Arial"/>
          <w:color w:val="000000" w:themeColor="text1"/>
          <w:sz w:val="22"/>
          <w:szCs w:val="22"/>
          <w:lang w:val="es-ES_tradnl"/>
        </w:rPr>
        <w:t xml:space="preserve"> se ubican</w:t>
      </w:r>
      <w:r w:rsidR="007E182B" w:rsidRPr="00386AC3">
        <w:rPr>
          <w:rFonts w:ascii="Arial" w:eastAsia="Calibri" w:hAnsi="Arial" w:cs="Arial"/>
          <w:color w:val="000000" w:themeColor="text1"/>
          <w:sz w:val="22"/>
          <w:szCs w:val="22"/>
          <w:lang w:val="es-ES_tradnl"/>
        </w:rPr>
        <w:t xml:space="preserve"> los artículos 50 al 58, que</w:t>
      </w:r>
      <w:r w:rsidR="00600344" w:rsidRPr="00386AC3">
        <w:rPr>
          <w:rFonts w:ascii="Arial" w:eastAsia="Calibri" w:hAnsi="Arial" w:cs="Arial"/>
          <w:color w:val="000000" w:themeColor="text1"/>
          <w:sz w:val="22"/>
          <w:szCs w:val="22"/>
          <w:lang w:val="es-ES_tradnl"/>
        </w:rPr>
        <w:t>,</w:t>
      </w:r>
      <w:r w:rsidR="007E182B" w:rsidRPr="00386AC3">
        <w:rPr>
          <w:rFonts w:ascii="Arial" w:eastAsia="Calibri" w:hAnsi="Arial" w:cs="Arial"/>
          <w:color w:val="000000" w:themeColor="text1"/>
          <w:sz w:val="22"/>
          <w:szCs w:val="22"/>
          <w:lang w:val="es-ES_tradnl"/>
        </w:rPr>
        <w:t xml:space="preserve"> en su conjunto</w:t>
      </w:r>
      <w:r w:rsidR="00600344" w:rsidRPr="00386AC3">
        <w:rPr>
          <w:rFonts w:ascii="Arial" w:eastAsia="Calibri" w:hAnsi="Arial" w:cs="Arial"/>
          <w:color w:val="000000" w:themeColor="text1"/>
          <w:sz w:val="22"/>
          <w:szCs w:val="22"/>
          <w:lang w:val="es-ES_tradnl"/>
        </w:rPr>
        <w:t>,</w:t>
      </w:r>
      <w:r w:rsidR="007E182B" w:rsidRPr="00386AC3">
        <w:rPr>
          <w:rFonts w:ascii="Arial" w:eastAsia="Calibri" w:hAnsi="Arial" w:cs="Arial"/>
          <w:color w:val="000000" w:themeColor="text1"/>
          <w:sz w:val="22"/>
          <w:szCs w:val="22"/>
          <w:lang w:val="es-ES_tradnl"/>
        </w:rPr>
        <w:t xml:space="preserve"> regulan los siguientes aspectos: i) </w:t>
      </w:r>
      <w:r w:rsidR="0051430A" w:rsidRPr="00386AC3">
        <w:rPr>
          <w:rFonts w:ascii="Arial" w:eastAsia="Calibri" w:hAnsi="Arial" w:cs="Arial"/>
          <w:color w:val="000000" w:themeColor="text1"/>
          <w:sz w:val="22"/>
          <w:szCs w:val="22"/>
          <w:lang w:val="es-ES_tradnl"/>
        </w:rPr>
        <w:t xml:space="preserve">el registro de </w:t>
      </w:r>
      <w:r w:rsidR="00600344" w:rsidRPr="00386AC3">
        <w:rPr>
          <w:rFonts w:ascii="Arial" w:eastAsia="Calibri" w:hAnsi="Arial" w:cs="Arial"/>
          <w:color w:val="000000" w:themeColor="text1"/>
          <w:sz w:val="22"/>
          <w:szCs w:val="22"/>
          <w:lang w:val="es-ES_tradnl"/>
        </w:rPr>
        <w:t>la</w:t>
      </w:r>
      <w:r w:rsidR="0051430A" w:rsidRPr="00386AC3">
        <w:rPr>
          <w:rFonts w:ascii="Arial" w:eastAsia="Calibri" w:hAnsi="Arial" w:cs="Arial"/>
          <w:color w:val="000000" w:themeColor="text1"/>
          <w:sz w:val="22"/>
          <w:szCs w:val="22"/>
          <w:lang w:val="es-ES_tradnl"/>
        </w:rPr>
        <w:t xml:space="preserve"> contabilidad, por parte de los contratistas del Estado obligados a ello</w:t>
      </w:r>
      <w:r w:rsidR="00996E3D" w:rsidRPr="00386AC3">
        <w:rPr>
          <w:rFonts w:ascii="Arial" w:eastAsia="Calibri" w:hAnsi="Arial" w:cs="Arial"/>
          <w:color w:val="000000" w:themeColor="text1"/>
          <w:sz w:val="22"/>
          <w:szCs w:val="22"/>
          <w:lang w:val="es-ES_tradnl"/>
        </w:rPr>
        <w:t>, que ejecuten recursos públicos</w:t>
      </w:r>
      <w:r w:rsidR="0051430A" w:rsidRPr="00386AC3">
        <w:rPr>
          <w:rFonts w:ascii="Arial" w:eastAsia="Calibri" w:hAnsi="Arial" w:cs="Arial"/>
          <w:color w:val="000000" w:themeColor="text1"/>
          <w:sz w:val="22"/>
          <w:szCs w:val="22"/>
          <w:lang w:val="es-ES_tradnl"/>
        </w:rPr>
        <w:t xml:space="preserve"> –artículo 50–, ii)</w:t>
      </w:r>
      <w:r w:rsidR="00996E3D" w:rsidRPr="00386AC3">
        <w:rPr>
          <w:rFonts w:ascii="Arial" w:eastAsia="Calibri" w:hAnsi="Arial" w:cs="Arial"/>
          <w:color w:val="000000" w:themeColor="text1"/>
          <w:sz w:val="22"/>
          <w:szCs w:val="22"/>
          <w:lang w:val="es-ES_tradnl"/>
        </w:rPr>
        <w:t xml:space="preserve"> la inhabilidad por incumplimiento reiterado en los contratos de alimentación escolar –artículo 51–, iii) </w:t>
      </w:r>
      <w:r w:rsidR="005423F4" w:rsidRPr="00386AC3">
        <w:rPr>
          <w:rFonts w:ascii="Arial" w:eastAsia="Calibri" w:hAnsi="Arial" w:cs="Arial"/>
          <w:color w:val="000000" w:themeColor="text1"/>
          <w:sz w:val="22"/>
          <w:szCs w:val="22"/>
          <w:lang w:val="es-ES_tradnl"/>
        </w:rPr>
        <w:t xml:space="preserve">las cláusulas </w:t>
      </w:r>
      <w:r w:rsidR="00DF7F2B" w:rsidRPr="00386AC3">
        <w:rPr>
          <w:rFonts w:ascii="Arial" w:eastAsia="Calibri" w:hAnsi="Arial" w:cs="Arial"/>
          <w:color w:val="000000" w:themeColor="text1"/>
          <w:sz w:val="22"/>
          <w:szCs w:val="22"/>
          <w:lang w:val="es-ES_tradnl"/>
        </w:rPr>
        <w:t xml:space="preserve">excepcionales </w:t>
      </w:r>
      <w:r w:rsidR="005423F4" w:rsidRPr="00386AC3">
        <w:rPr>
          <w:rFonts w:ascii="Arial" w:eastAsia="Calibri" w:hAnsi="Arial" w:cs="Arial"/>
          <w:color w:val="000000" w:themeColor="text1"/>
          <w:sz w:val="22"/>
          <w:szCs w:val="22"/>
          <w:lang w:val="es-ES_tradnl"/>
        </w:rPr>
        <w:t xml:space="preserve">en </w:t>
      </w:r>
      <w:r w:rsidR="00DF7F2B" w:rsidRPr="00386AC3">
        <w:rPr>
          <w:rFonts w:ascii="Arial" w:eastAsia="Calibri" w:hAnsi="Arial" w:cs="Arial"/>
          <w:color w:val="000000" w:themeColor="text1"/>
          <w:sz w:val="22"/>
          <w:szCs w:val="22"/>
          <w:lang w:val="es-ES_tradnl"/>
        </w:rPr>
        <w:t xml:space="preserve">los </w:t>
      </w:r>
      <w:r w:rsidR="005423F4" w:rsidRPr="00386AC3">
        <w:rPr>
          <w:rFonts w:ascii="Arial" w:eastAsia="Calibri" w:hAnsi="Arial" w:cs="Arial"/>
          <w:color w:val="000000" w:themeColor="text1"/>
          <w:sz w:val="22"/>
          <w:szCs w:val="22"/>
          <w:lang w:val="es-ES_tradnl"/>
        </w:rPr>
        <w:t xml:space="preserve">contratos </w:t>
      </w:r>
      <w:r w:rsidR="00DF7F2B" w:rsidRPr="00386AC3">
        <w:rPr>
          <w:rFonts w:ascii="Arial" w:eastAsia="Calibri" w:hAnsi="Arial" w:cs="Arial"/>
          <w:color w:val="000000" w:themeColor="text1"/>
          <w:sz w:val="22"/>
          <w:szCs w:val="22"/>
          <w:lang w:val="es-ES_tradnl"/>
        </w:rPr>
        <w:t xml:space="preserve">celebrados </w:t>
      </w:r>
      <w:r w:rsidR="005423F4" w:rsidRPr="00386AC3">
        <w:rPr>
          <w:rFonts w:ascii="Arial" w:eastAsia="Calibri" w:hAnsi="Arial" w:cs="Arial"/>
          <w:color w:val="000000" w:themeColor="text1"/>
          <w:sz w:val="22"/>
          <w:szCs w:val="22"/>
          <w:lang w:val="es-ES_tradnl"/>
        </w:rPr>
        <w:t xml:space="preserve">con el objeto señalado </w:t>
      </w:r>
      <w:r w:rsidR="00DF7F2B" w:rsidRPr="00386AC3">
        <w:rPr>
          <w:rFonts w:ascii="Arial" w:eastAsia="Calibri" w:hAnsi="Arial" w:cs="Arial"/>
          <w:color w:val="000000" w:themeColor="text1"/>
          <w:sz w:val="22"/>
          <w:szCs w:val="22"/>
          <w:lang w:val="es-ES_tradnl"/>
        </w:rPr>
        <w:t>anteriormente</w:t>
      </w:r>
      <w:r w:rsidR="005423F4" w:rsidRPr="00386AC3">
        <w:rPr>
          <w:rFonts w:ascii="Arial" w:eastAsia="Calibri" w:hAnsi="Arial" w:cs="Arial"/>
          <w:color w:val="000000" w:themeColor="text1"/>
          <w:sz w:val="22"/>
          <w:szCs w:val="22"/>
          <w:lang w:val="es-ES_tradnl"/>
        </w:rPr>
        <w:t xml:space="preserve"> –artículo 52–, iv)</w:t>
      </w:r>
      <w:r w:rsidR="00854A18" w:rsidRPr="00386AC3">
        <w:rPr>
          <w:rFonts w:ascii="Arial" w:eastAsia="Calibri" w:hAnsi="Arial" w:cs="Arial"/>
          <w:color w:val="000000" w:themeColor="text1"/>
          <w:sz w:val="22"/>
          <w:szCs w:val="22"/>
          <w:lang w:val="es-ES_tradnl"/>
        </w:rPr>
        <w:t xml:space="preserve"> el deber de las entidades que cuentan con un régimen contractual especial, de publicar </w:t>
      </w:r>
      <w:r w:rsidR="002F6B0D" w:rsidRPr="00386AC3">
        <w:rPr>
          <w:rFonts w:ascii="Arial" w:eastAsia="Calibri" w:hAnsi="Arial" w:cs="Arial"/>
          <w:color w:val="000000" w:themeColor="text1"/>
          <w:sz w:val="22"/>
          <w:szCs w:val="22"/>
          <w:lang w:val="es-ES_tradnl"/>
        </w:rPr>
        <w:t>los documentos relacionados con su actividad contractual en el SECO</w:t>
      </w:r>
      <w:r w:rsidR="001757EF" w:rsidRPr="00386AC3">
        <w:rPr>
          <w:rFonts w:ascii="Arial" w:eastAsia="Calibri" w:hAnsi="Arial" w:cs="Arial"/>
          <w:color w:val="000000" w:themeColor="text1"/>
          <w:sz w:val="22"/>
          <w:szCs w:val="22"/>
          <w:lang w:val="es-ES_tradnl"/>
        </w:rPr>
        <w:t>P II –artículo 53–</w:t>
      </w:r>
      <w:r w:rsidR="00282AF6" w:rsidRPr="00386AC3">
        <w:rPr>
          <w:rFonts w:ascii="Arial" w:eastAsia="Calibri" w:hAnsi="Arial" w:cs="Arial"/>
          <w:color w:val="000000" w:themeColor="text1"/>
          <w:sz w:val="22"/>
          <w:szCs w:val="22"/>
          <w:lang w:val="es-ES_tradnl"/>
        </w:rPr>
        <w:t>, v) la nueva causal de selección abreviada</w:t>
      </w:r>
      <w:r w:rsidR="002F29EF" w:rsidRPr="00386AC3">
        <w:rPr>
          <w:rFonts w:ascii="Arial" w:eastAsia="Calibri" w:hAnsi="Arial" w:cs="Arial"/>
          <w:color w:val="000000" w:themeColor="text1"/>
          <w:sz w:val="22"/>
          <w:szCs w:val="22"/>
          <w:lang w:val="es-ES_tradnl"/>
        </w:rPr>
        <w:t xml:space="preserve"> para la adquisición de bienes o servicios </w:t>
      </w:r>
      <w:r w:rsidR="002F29EF" w:rsidRPr="00386AC3">
        <w:rPr>
          <w:rFonts w:ascii="Arial" w:eastAsia="Calibri" w:hAnsi="Arial" w:cs="Arial"/>
          <w:i/>
          <w:iCs/>
          <w:color w:val="000000" w:themeColor="text1"/>
          <w:sz w:val="22"/>
          <w:szCs w:val="22"/>
          <w:lang w:val="es-ES_tradnl"/>
        </w:rPr>
        <w:t>no</w:t>
      </w:r>
      <w:r w:rsidR="002F29EF" w:rsidRPr="00386AC3">
        <w:rPr>
          <w:rFonts w:ascii="Arial" w:eastAsia="Calibri" w:hAnsi="Arial" w:cs="Arial"/>
          <w:color w:val="000000" w:themeColor="text1"/>
          <w:sz w:val="22"/>
          <w:szCs w:val="22"/>
          <w:lang w:val="es-ES_tradnl"/>
        </w:rPr>
        <w:t xml:space="preserve"> uniformes de común utilización</w:t>
      </w:r>
      <w:r w:rsidR="0066444B" w:rsidRPr="00386AC3">
        <w:rPr>
          <w:rFonts w:ascii="Arial" w:eastAsia="Calibri" w:hAnsi="Arial" w:cs="Arial"/>
          <w:color w:val="000000" w:themeColor="text1"/>
          <w:sz w:val="22"/>
          <w:szCs w:val="22"/>
          <w:lang w:val="es-ES_tradnl"/>
        </w:rPr>
        <w:t xml:space="preserve"> –artículo 54–, vi) </w:t>
      </w:r>
      <w:r w:rsidR="001F7374" w:rsidRPr="00386AC3">
        <w:rPr>
          <w:rFonts w:ascii="Arial" w:eastAsia="Calibri" w:hAnsi="Arial" w:cs="Arial"/>
          <w:color w:val="000000" w:themeColor="text1"/>
          <w:sz w:val="22"/>
          <w:szCs w:val="22"/>
          <w:lang w:val="es-ES_tradnl"/>
        </w:rPr>
        <w:t xml:space="preserve">la obligación de </w:t>
      </w:r>
      <w:r w:rsidR="00EC6283" w:rsidRPr="00386AC3">
        <w:rPr>
          <w:rFonts w:ascii="Arial" w:eastAsia="Calibri" w:hAnsi="Arial" w:cs="Arial"/>
          <w:color w:val="000000" w:themeColor="text1"/>
          <w:sz w:val="22"/>
          <w:szCs w:val="22"/>
          <w:lang w:val="es-ES_tradnl"/>
        </w:rPr>
        <w:t>adoptar</w:t>
      </w:r>
      <w:r w:rsidR="001F7374" w:rsidRPr="00386AC3">
        <w:rPr>
          <w:rFonts w:ascii="Arial" w:eastAsia="Calibri" w:hAnsi="Arial" w:cs="Arial"/>
          <w:color w:val="000000" w:themeColor="text1"/>
          <w:sz w:val="22"/>
          <w:szCs w:val="22"/>
          <w:lang w:val="es-ES_tradnl"/>
        </w:rPr>
        <w:t xml:space="preserve"> el modelo de autoevaluación periódico</w:t>
      </w:r>
      <w:r w:rsidR="00EC6283" w:rsidRPr="00386AC3">
        <w:rPr>
          <w:rFonts w:ascii="Arial" w:eastAsia="Calibri" w:hAnsi="Arial" w:cs="Arial"/>
          <w:color w:val="000000" w:themeColor="text1"/>
          <w:sz w:val="22"/>
          <w:szCs w:val="22"/>
          <w:lang w:val="es-ES_tradnl"/>
        </w:rPr>
        <w:t xml:space="preserve"> para los sujetos obligados a implementar políticas de transparencia y ética empresarial –artículo 55–, vii) </w:t>
      </w:r>
      <w:r w:rsidR="00572198" w:rsidRPr="00386AC3">
        <w:rPr>
          <w:rFonts w:ascii="Arial" w:eastAsia="Calibri" w:hAnsi="Arial" w:cs="Arial"/>
          <w:color w:val="000000" w:themeColor="text1"/>
          <w:sz w:val="22"/>
          <w:szCs w:val="22"/>
          <w:lang w:val="es-ES_tradnl"/>
        </w:rPr>
        <w:t>la aplicación de los documentos tipo a entidades con régimen especial –artículo 56–</w:t>
      </w:r>
      <w:r w:rsidR="00DA2715" w:rsidRPr="00386AC3">
        <w:rPr>
          <w:rFonts w:ascii="Arial" w:eastAsia="Calibri" w:hAnsi="Arial" w:cs="Arial"/>
          <w:color w:val="000000" w:themeColor="text1"/>
          <w:sz w:val="22"/>
          <w:szCs w:val="22"/>
          <w:lang w:val="es-ES_tradnl"/>
        </w:rPr>
        <w:t>, viii) la obligación, radicada en los revisores fiscales, de denunciar los actos de corrupción</w:t>
      </w:r>
      <w:r w:rsidR="00FE181B" w:rsidRPr="00386AC3">
        <w:rPr>
          <w:rFonts w:ascii="Arial" w:eastAsia="Calibri" w:hAnsi="Arial" w:cs="Arial"/>
          <w:color w:val="000000" w:themeColor="text1"/>
          <w:sz w:val="22"/>
          <w:szCs w:val="22"/>
          <w:lang w:val="es-ES_tradnl"/>
        </w:rPr>
        <w:t xml:space="preserve"> –artículo 57–</w:t>
      </w:r>
      <w:r w:rsidR="00DA2715" w:rsidRPr="00386AC3">
        <w:rPr>
          <w:rFonts w:ascii="Arial" w:eastAsia="Calibri" w:hAnsi="Arial" w:cs="Arial"/>
          <w:color w:val="000000" w:themeColor="text1"/>
          <w:sz w:val="22"/>
          <w:szCs w:val="22"/>
          <w:lang w:val="es-ES_tradnl"/>
        </w:rPr>
        <w:t xml:space="preserve">, y </w:t>
      </w:r>
      <w:r w:rsidR="005E72B9" w:rsidRPr="00386AC3">
        <w:rPr>
          <w:rFonts w:ascii="Arial" w:eastAsia="Calibri" w:hAnsi="Arial" w:cs="Arial"/>
          <w:color w:val="000000" w:themeColor="text1"/>
          <w:sz w:val="22"/>
          <w:szCs w:val="22"/>
          <w:lang w:val="es-ES_tradnl"/>
        </w:rPr>
        <w:t>ix) la reducción de puntaje por incumplimiento de contratos</w:t>
      </w:r>
      <w:r w:rsidR="00FE181B" w:rsidRPr="00386AC3">
        <w:rPr>
          <w:rFonts w:ascii="Arial" w:eastAsia="Calibri" w:hAnsi="Arial" w:cs="Arial"/>
          <w:color w:val="000000" w:themeColor="text1"/>
          <w:sz w:val="22"/>
          <w:szCs w:val="22"/>
          <w:lang w:val="es-ES_tradnl"/>
        </w:rPr>
        <w:t xml:space="preserve"> –artículo 58–</w:t>
      </w:r>
      <w:r w:rsidR="005E72B9" w:rsidRPr="00386AC3">
        <w:rPr>
          <w:rFonts w:ascii="Arial" w:eastAsia="Calibri" w:hAnsi="Arial" w:cs="Arial"/>
          <w:color w:val="000000" w:themeColor="text1"/>
          <w:sz w:val="22"/>
          <w:szCs w:val="22"/>
          <w:lang w:val="es-ES_tradnl"/>
        </w:rPr>
        <w:t>.</w:t>
      </w:r>
    </w:p>
    <w:p w14:paraId="6E304C17" w14:textId="07B6F9F9" w:rsidR="002C2D41" w:rsidRPr="00386AC3" w:rsidRDefault="00E2094D" w:rsidP="00F80632">
      <w:pPr>
        <w:spacing w:before="120" w:line="276" w:lineRule="auto"/>
        <w:ind w:firstLine="709"/>
        <w:jc w:val="both"/>
        <w:rPr>
          <w:rFonts w:ascii="Arial" w:eastAsia="Calibri" w:hAnsi="Arial" w:cs="Arial"/>
          <w:color w:val="000000" w:themeColor="text1"/>
          <w:sz w:val="22"/>
          <w:szCs w:val="22"/>
          <w:lang w:val="es-ES_tradnl"/>
        </w:rPr>
      </w:pPr>
      <w:r w:rsidRPr="00386AC3">
        <w:rPr>
          <w:rFonts w:ascii="Arial" w:eastAsia="Calibri" w:hAnsi="Arial" w:cs="Arial"/>
          <w:color w:val="000000" w:themeColor="text1"/>
          <w:sz w:val="22"/>
          <w:szCs w:val="22"/>
          <w:lang w:val="es-ES_tradnl"/>
        </w:rPr>
        <w:t>Ahora bien, el artículo 21, numeral 2</w:t>
      </w:r>
      <w:r w:rsidR="005E1472" w:rsidRPr="00386AC3">
        <w:rPr>
          <w:rFonts w:ascii="Arial" w:eastAsia="Calibri" w:hAnsi="Arial" w:cs="Arial"/>
          <w:color w:val="000000" w:themeColor="text1"/>
          <w:sz w:val="22"/>
          <w:szCs w:val="22"/>
          <w:lang w:val="es-ES_tradnl"/>
        </w:rPr>
        <w:t>,</w:t>
      </w:r>
      <w:r w:rsidRPr="00386AC3">
        <w:rPr>
          <w:rFonts w:ascii="Arial" w:eastAsia="Calibri" w:hAnsi="Arial" w:cs="Arial"/>
          <w:color w:val="000000" w:themeColor="text1"/>
          <w:sz w:val="22"/>
          <w:szCs w:val="22"/>
          <w:lang w:val="es-ES_tradnl"/>
        </w:rPr>
        <w:t xml:space="preserve"> de la Ley 2195 de 2022</w:t>
      </w:r>
      <w:r w:rsidR="00362195" w:rsidRPr="00386AC3">
        <w:rPr>
          <w:rFonts w:ascii="Arial" w:eastAsia="Calibri" w:hAnsi="Arial" w:cs="Arial"/>
          <w:color w:val="000000" w:themeColor="text1"/>
          <w:sz w:val="22"/>
          <w:szCs w:val="22"/>
          <w:lang w:val="es-ES_tradnl"/>
        </w:rPr>
        <w:t xml:space="preserve">, a pesar de no </w:t>
      </w:r>
      <w:r w:rsidR="00AE3E84" w:rsidRPr="00386AC3">
        <w:rPr>
          <w:rFonts w:ascii="Arial" w:eastAsia="Calibri" w:hAnsi="Arial" w:cs="Arial"/>
          <w:color w:val="000000" w:themeColor="text1"/>
          <w:sz w:val="22"/>
          <w:szCs w:val="22"/>
          <w:lang w:val="es-ES_tradnl"/>
        </w:rPr>
        <w:t xml:space="preserve">hacer parte del capítulo VIII, también </w:t>
      </w:r>
      <w:r w:rsidR="00CD0A6F" w:rsidRPr="00386AC3">
        <w:rPr>
          <w:rFonts w:ascii="Arial" w:eastAsia="Calibri" w:hAnsi="Arial" w:cs="Arial"/>
          <w:color w:val="000000" w:themeColor="text1"/>
          <w:sz w:val="22"/>
          <w:szCs w:val="22"/>
          <w:lang w:val="es-ES_tradnl"/>
        </w:rPr>
        <w:t>se refiere a un aspecto que atañe a la contratación pública, pues consagra una inhabilidad</w:t>
      </w:r>
      <w:r w:rsidR="00627EF9" w:rsidRPr="00386AC3">
        <w:rPr>
          <w:rFonts w:ascii="Arial" w:eastAsia="Calibri" w:hAnsi="Arial" w:cs="Arial"/>
          <w:color w:val="000000" w:themeColor="text1"/>
          <w:sz w:val="22"/>
          <w:szCs w:val="22"/>
          <w:lang w:val="es-ES_tradnl"/>
        </w:rPr>
        <w:t xml:space="preserve"> que </w:t>
      </w:r>
      <w:r w:rsidR="00B70E98" w:rsidRPr="00386AC3">
        <w:rPr>
          <w:rFonts w:ascii="Arial" w:eastAsia="Calibri" w:hAnsi="Arial" w:cs="Arial"/>
          <w:color w:val="000000" w:themeColor="text1"/>
          <w:sz w:val="22"/>
          <w:szCs w:val="22"/>
          <w:lang w:val="es-ES_tradnl"/>
        </w:rPr>
        <w:t>se aplica a las personas jurídicas</w:t>
      </w:r>
      <w:r w:rsidR="00F31CF5" w:rsidRPr="00386AC3">
        <w:rPr>
          <w:rFonts w:ascii="Arial" w:eastAsia="Calibri" w:hAnsi="Arial" w:cs="Arial"/>
          <w:color w:val="000000" w:themeColor="text1"/>
          <w:sz w:val="22"/>
          <w:szCs w:val="22"/>
          <w:lang w:val="es-ES_tradnl"/>
        </w:rPr>
        <w:t>,</w:t>
      </w:r>
      <w:r w:rsidR="002A6882" w:rsidRPr="00386AC3">
        <w:rPr>
          <w:rFonts w:ascii="Arial" w:eastAsia="Calibri" w:hAnsi="Arial" w:cs="Arial"/>
          <w:color w:val="000000" w:themeColor="text1"/>
          <w:sz w:val="22"/>
          <w:szCs w:val="22"/>
          <w:lang w:val="es-ES_tradnl"/>
        </w:rPr>
        <w:t xml:space="preserve"> en dicho ámbito</w:t>
      </w:r>
      <w:r w:rsidR="00F2134C" w:rsidRPr="00386AC3">
        <w:rPr>
          <w:rFonts w:ascii="Arial" w:eastAsia="Calibri" w:hAnsi="Arial" w:cs="Arial"/>
          <w:color w:val="000000" w:themeColor="text1"/>
          <w:sz w:val="22"/>
          <w:szCs w:val="22"/>
          <w:lang w:val="es-ES_tradnl"/>
        </w:rPr>
        <w:t>.</w:t>
      </w:r>
      <w:r w:rsidR="00674233" w:rsidRPr="00386AC3">
        <w:rPr>
          <w:rFonts w:ascii="Arial" w:eastAsia="Calibri" w:hAnsi="Arial" w:cs="Arial"/>
          <w:color w:val="000000" w:themeColor="text1"/>
          <w:sz w:val="22"/>
          <w:szCs w:val="22"/>
          <w:lang w:val="es-ES_tradnl"/>
        </w:rPr>
        <w:t xml:space="preserve"> En </w:t>
      </w:r>
      <w:r w:rsidR="00674233" w:rsidRPr="00386AC3">
        <w:rPr>
          <w:rFonts w:ascii="Arial" w:eastAsia="Calibri" w:hAnsi="Arial" w:cs="Arial"/>
          <w:color w:val="000000" w:themeColor="text1"/>
          <w:sz w:val="22"/>
          <w:szCs w:val="22"/>
          <w:lang w:val="es-ES_tradnl"/>
        </w:rPr>
        <w:lastRenderedPageBreak/>
        <w:t xml:space="preserve">todo caso, esta inhabilidad no es nueva, pues ya </w:t>
      </w:r>
      <w:r w:rsidR="00107AEA" w:rsidRPr="00386AC3">
        <w:rPr>
          <w:rFonts w:ascii="Arial" w:eastAsia="Calibri" w:hAnsi="Arial" w:cs="Arial"/>
          <w:color w:val="000000" w:themeColor="text1"/>
          <w:sz w:val="22"/>
          <w:szCs w:val="22"/>
          <w:lang w:val="es-ES_tradnl"/>
        </w:rPr>
        <w:t>se encontraba en el artículo 5 de la Ley 1778 de 20</w:t>
      </w:r>
      <w:r w:rsidR="00B21E00" w:rsidRPr="00386AC3">
        <w:rPr>
          <w:rFonts w:ascii="Arial" w:eastAsia="Calibri" w:hAnsi="Arial" w:cs="Arial"/>
          <w:color w:val="000000" w:themeColor="text1"/>
          <w:sz w:val="22"/>
          <w:szCs w:val="22"/>
          <w:lang w:val="es-ES_tradnl"/>
        </w:rPr>
        <w:t xml:space="preserve">16. </w:t>
      </w:r>
      <w:r w:rsidR="00D66CB9" w:rsidRPr="00386AC3">
        <w:rPr>
          <w:rFonts w:ascii="Arial" w:eastAsia="Calibri" w:hAnsi="Arial" w:cs="Arial"/>
          <w:color w:val="000000" w:themeColor="text1"/>
          <w:sz w:val="22"/>
          <w:szCs w:val="22"/>
          <w:lang w:val="es-ES_tradnl"/>
        </w:rPr>
        <w:t>En efecto, el referido artículo 21</w:t>
      </w:r>
      <w:r w:rsidR="00F2134C" w:rsidRPr="00386AC3">
        <w:rPr>
          <w:rFonts w:ascii="Arial" w:eastAsia="Calibri" w:hAnsi="Arial" w:cs="Arial"/>
          <w:color w:val="000000" w:themeColor="text1"/>
          <w:sz w:val="22"/>
          <w:szCs w:val="22"/>
          <w:lang w:val="es-ES_tradnl"/>
        </w:rPr>
        <w:t xml:space="preserve"> dispone lo siguiente:</w:t>
      </w:r>
    </w:p>
    <w:p w14:paraId="18C81118" w14:textId="77777777" w:rsidR="00F80632" w:rsidRPr="00386AC3" w:rsidRDefault="00F80632" w:rsidP="00F80632">
      <w:pPr>
        <w:ind w:left="709" w:right="709"/>
        <w:jc w:val="both"/>
        <w:rPr>
          <w:rFonts w:ascii="Arial" w:eastAsia="Calibri" w:hAnsi="Arial" w:cs="Arial"/>
          <w:color w:val="000000" w:themeColor="text1"/>
          <w:sz w:val="19"/>
          <w:szCs w:val="19"/>
          <w:lang w:val="es-ES_tradnl"/>
        </w:rPr>
      </w:pPr>
    </w:p>
    <w:p w14:paraId="3C5FB2A9" w14:textId="0B5902E9" w:rsidR="007B3E81" w:rsidRPr="00386AC3" w:rsidRDefault="007B3E81" w:rsidP="007B3E81">
      <w:pPr>
        <w:ind w:left="709" w:right="709"/>
        <w:jc w:val="both"/>
        <w:rPr>
          <w:rFonts w:ascii="Arial" w:eastAsia="Calibri" w:hAnsi="Arial" w:cs="Arial"/>
          <w:color w:val="000000" w:themeColor="text1"/>
          <w:sz w:val="21"/>
          <w:szCs w:val="21"/>
          <w:lang w:val="es-ES_tradnl"/>
        </w:rPr>
      </w:pPr>
      <w:r w:rsidRPr="00386AC3">
        <w:rPr>
          <w:rFonts w:ascii="Arial" w:eastAsia="Calibri" w:hAnsi="Arial" w:cs="Arial"/>
          <w:color w:val="000000" w:themeColor="text1"/>
          <w:sz w:val="21"/>
          <w:szCs w:val="21"/>
          <w:lang w:val="es-ES_tradnl"/>
        </w:rPr>
        <w:t>Modifíquese el Artículo 5 de la Ley 1778 de 2016, el cual quedar</w:t>
      </w:r>
      <w:r w:rsidR="00300277" w:rsidRPr="00386AC3">
        <w:rPr>
          <w:rFonts w:ascii="Arial" w:eastAsia="Calibri" w:hAnsi="Arial" w:cs="Arial"/>
          <w:color w:val="000000" w:themeColor="text1"/>
          <w:sz w:val="21"/>
          <w:szCs w:val="21"/>
          <w:lang w:val="es-ES_tradnl"/>
        </w:rPr>
        <w:t>á</w:t>
      </w:r>
      <w:r w:rsidRPr="00386AC3">
        <w:rPr>
          <w:rFonts w:ascii="Arial" w:eastAsia="Calibri" w:hAnsi="Arial" w:cs="Arial"/>
          <w:color w:val="000000" w:themeColor="text1"/>
          <w:sz w:val="21"/>
          <w:szCs w:val="21"/>
          <w:lang w:val="es-ES_tradnl"/>
        </w:rPr>
        <w:t xml:space="preserve"> así:</w:t>
      </w:r>
    </w:p>
    <w:p w14:paraId="3E55C5C7" w14:textId="77777777" w:rsidR="007B3E81" w:rsidRPr="00386AC3" w:rsidRDefault="007B3E81" w:rsidP="007B3E81">
      <w:pPr>
        <w:ind w:left="709" w:right="709"/>
        <w:jc w:val="both"/>
        <w:rPr>
          <w:rFonts w:ascii="Arial" w:eastAsia="Calibri" w:hAnsi="Arial" w:cs="Arial"/>
          <w:color w:val="000000" w:themeColor="text1"/>
          <w:sz w:val="21"/>
          <w:szCs w:val="21"/>
          <w:lang w:val="es-ES_tradnl"/>
        </w:rPr>
      </w:pPr>
    </w:p>
    <w:p w14:paraId="7B912899" w14:textId="77777777" w:rsidR="007B3E81" w:rsidRPr="00386AC3" w:rsidRDefault="007B3E81" w:rsidP="007B3E81">
      <w:pPr>
        <w:ind w:left="709" w:right="709"/>
        <w:jc w:val="both"/>
        <w:rPr>
          <w:rFonts w:ascii="Arial" w:eastAsia="Calibri" w:hAnsi="Arial" w:cs="Arial"/>
          <w:color w:val="000000" w:themeColor="text1"/>
          <w:sz w:val="21"/>
          <w:szCs w:val="21"/>
          <w:lang w:val="es-ES_tradnl"/>
        </w:rPr>
      </w:pPr>
      <w:r w:rsidRPr="00386AC3">
        <w:rPr>
          <w:rFonts w:ascii="Arial" w:eastAsia="Calibri" w:hAnsi="Arial" w:cs="Arial"/>
          <w:color w:val="000000" w:themeColor="text1"/>
          <w:sz w:val="21"/>
          <w:szCs w:val="21"/>
          <w:lang w:val="es-ES_tradnl"/>
        </w:rPr>
        <w:t>Artículo 5. Sanciones. La Superintendencia de Sociedades impondrá una o varias de las siguientes sanciones a las personas jurídicas que incurran en las conductas enunciadas en el Artículo 2 de esta Ley. La imposición de las sanciones se realizará mediante resolución motivada, de acuerdo con los criterios de graduación previstos en el Artículo 7 de la presente ley:</w:t>
      </w:r>
    </w:p>
    <w:p w14:paraId="0ACF7676" w14:textId="77777777" w:rsidR="007B3E81" w:rsidRPr="00386AC3" w:rsidRDefault="007B3E81" w:rsidP="007B3E81">
      <w:pPr>
        <w:ind w:left="709" w:right="709"/>
        <w:jc w:val="both"/>
        <w:rPr>
          <w:rFonts w:ascii="Arial" w:eastAsia="Calibri" w:hAnsi="Arial" w:cs="Arial"/>
          <w:color w:val="000000" w:themeColor="text1"/>
          <w:sz w:val="21"/>
          <w:szCs w:val="21"/>
          <w:lang w:val="es-ES_tradnl"/>
        </w:rPr>
      </w:pPr>
    </w:p>
    <w:p w14:paraId="54005087" w14:textId="77777777" w:rsidR="007B3E81" w:rsidRPr="00386AC3" w:rsidRDefault="007B3E81" w:rsidP="007B3E81">
      <w:pPr>
        <w:ind w:left="709" w:right="709"/>
        <w:jc w:val="both"/>
        <w:rPr>
          <w:rFonts w:ascii="Arial" w:eastAsia="Calibri" w:hAnsi="Arial" w:cs="Arial"/>
          <w:color w:val="000000" w:themeColor="text1"/>
          <w:sz w:val="21"/>
          <w:szCs w:val="21"/>
          <w:lang w:val="es-ES_tradnl"/>
        </w:rPr>
      </w:pPr>
      <w:r w:rsidRPr="00386AC3">
        <w:rPr>
          <w:rFonts w:ascii="Arial" w:eastAsia="Calibri" w:hAnsi="Arial" w:cs="Arial"/>
          <w:color w:val="000000" w:themeColor="text1"/>
          <w:sz w:val="21"/>
          <w:szCs w:val="21"/>
          <w:lang w:val="es-ES_tradnl"/>
        </w:rPr>
        <w:t>1. Multa de hasta doscientos mil (200.000) salarios mínimos mensuales legales vigentes, a la que se le sumara el mayor valor entre el beneficio obtenido o pretendido. El Superintendente de Sociedades podrá ordenar a la persona jurídica sancionada que destine parte de la multa a la implementación o mejora de los programas de transparencia y ética empresarial.</w:t>
      </w:r>
    </w:p>
    <w:p w14:paraId="2B1E25B5" w14:textId="77777777" w:rsidR="007B3E81" w:rsidRPr="00386AC3" w:rsidRDefault="007B3E81" w:rsidP="007B3E81">
      <w:pPr>
        <w:ind w:left="709" w:right="709"/>
        <w:jc w:val="both"/>
        <w:rPr>
          <w:rFonts w:ascii="Arial" w:eastAsia="Calibri" w:hAnsi="Arial" w:cs="Arial"/>
          <w:color w:val="000000" w:themeColor="text1"/>
          <w:sz w:val="21"/>
          <w:szCs w:val="21"/>
          <w:lang w:val="es-ES_tradnl"/>
        </w:rPr>
      </w:pPr>
    </w:p>
    <w:p w14:paraId="3E99625A" w14:textId="77777777" w:rsidR="007B3E81" w:rsidRPr="00386AC3" w:rsidRDefault="007B3E81" w:rsidP="007B3E81">
      <w:pPr>
        <w:ind w:left="709" w:right="709"/>
        <w:jc w:val="both"/>
        <w:rPr>
          <w:rFonts w:ascii="Arial" w:eastAsia="Calibri" w:hAnsi="Arial" w:cs="Arial"/>
          <w:i/>
          <w:iCs/>
          <w:color w:val="000000" w:themeColor="text1"/>
          <w:sz w:val="21"/>
          <w:szCs w:val="21"/>
          <w:lang w:val="es-ES_tradnl"/>
        </w:rPr>
      </w:pPr>
      <w:r w:rsidRPr="00386AC3">
        <w:rPr>
          <w:rFonts w:ascii="Arial" w:eastAsia="Calibri" w:hAnsi="Arial" w:cs="Arial"/>
          <w:i/>
          <w:iCs/>
          <w:color w:val="000000" w:themeColor="text1"/>
          <w:sz w:val="21"/>
          <w:szCs w:val="21"/>
          <w:lang w:val="es-ES_tradnl"/>
        </w:rPr>
        <w:t>2. Inhabilidad para contratar con el Estado colombiano por un término de hasta veinte (20) años. La inhabilidad para contratar con el Estado iniciara a partir de la fecha en que la resolución sancionatoria se encuentre ejecutoriada. Esta inhabilidad será impuesta a las personas jurídicas, de acuerdo con lo previsto en el Artículo 8 de la Ley 80 de 1993 o la norma que la modifique o derogue.</w:t>
      </w:r>
    </w:p>
    <w:p w14:paraId="1D5EE91E" w14:textId="77777777" w:rsidR="007B3E81" w:rsidRPr="00386AC3" w:rsidRDefault="007B3E81" w:rsidP="007B3E81">
      <w:pPr>
        <w:ind w:left="709" w:right="709"/>
        <w:jc w:val="both"/>
        <w:rPr>
          <w:rFonts w:ascii="Arial" w:eastAsia="Calibri" w:hAnsi="Arial" w:cs="Arial"/>
          <w:color w:val="000000" w:themeColor="text1"/>
          <w:sz w:val="21"/>
          <w:szCs w:val="21"/>
          <w:lang w:val="es-ES_tradnl"/>
        </w:rPr>
      </w:pPr>
    </w:p>
    <w:p w14:paraId="5D21F63E" w14:textId="77777777" w:rsidR="007B3E81" w:rsidRPr="00386AC3" w:rsidRDefault="007B3E81" w:rsidP="007B3E81">
      <w:pPr>
        <w:ind w:left="709" w:right="709"/>
        <w:jc w:val="both"/>
        <w:rPr>
          <w:rFonts w:ascii="Arial" w:eastAsia="Calibri" w:hAnsi="Arial" w:cs="Arial"/>
          <w:color w:val="000000" w:themeColor="text1"/>
          <w:sz w:val="21"/>
          <w:szCs w:val="21"/>
          <w:lang w:val="es-ES_tradnl"/>
        </w:rPr>
      </w:pPr>
      <w:r w:rsidRPr="00386AC3">
        <w:rPr>
          <w:rFonts w:ascii="Arial" w:eastAsia="Calibri" w:hAnsi="Arial" w:cs="Arial"/>
          <w:color w:val="000000" w:themeColor="text1"/>
          <w:sz w:val="21"/>
          <w:szCs w:val="21"/>
          <w:lang w:val="es-ES_tradnl"/>
        </w:rPr>
        <w:t>3. Publicación en medios de amplia circulación y en la página web de la persona jurídica sancionada de un extracto de la decisión administrativa sancionatoria por un tiempo máximo de un (1) año. La persona jurídica sancionada asumirá los costos de esa publicación.</w:t>
      </w:r>
    </w:p>
    <w:p w14:paraId="7AF09A43" w14:textId="77777777" w:rsidR="007B3E81" w:rsidRPr="00386AC3" w:rsidRDefault="007B3E81" w:rsidP="007B3E81">
      <w:pPr>
        <w:ind w:left="709" w:right="709"/>
        <w:jc w:val="both"/>
        <w:rPr>
          <w:rFonts w:ascii="Arial" w:eastAsia="Calibri" w:hAnsi="Arial" w:cs="Arial"/>
          <w:color w:val="000000" w:themeColor="text1"/>
          <w:sz w:val="21"/>
          <w:szCs w:val="21"/>
          <w:lang w:val="es-ES_tradnl"/>
        </w:rPr>
      </w:pPr>
    </w:p>
    <w:p w14:paraId="7B5AF233" w14:textId="77777777" w:rsidR="007B3E81" w:rsidRPr="00386AC3" w:rsidRDefault="007B3E81" w:rsidP="007B3E81">
      <w:pPr>
        <w:ind w:left="709" w:right="709"/>
        <w:jc w:val="both"/>
        <w:rPr>
          <w:rFonts w:ascii="Arial" w:eastAsia="Calibri" w:hAnsi="Arial" w:cs="Arial"/>
          <w:color w:val="000000" w:themeColor="text1"/>
          <w:sz w:val="21"/>
          <w:szCs w:val="21"/>
          <w:lang w:val="es-ES_tradnl"/>
        </w:rPr>
      </w:pPr>
      <w:r w:rsidRPr="00386AC3">
        <w:rPr>
          <w:rFonts w:ascii="Arial" w:eastAsia="Calibri" w:hAnsi="Arial" w:cs="Arial"/>
          <w:color w:val="000000" w:themeColor="text1"/>
          <w:sz w:val="21"/>
          <w:szCs w:val="21"/>
          <w:lang w:val="es-ES_tradnl"/>
        </w:rPr>
        <w:t>4. Prohibición de recibir cualquier tipo de incentivo o subsidios del Gobierno, en un plazo de diez (10) años.</w:t>
      </w:r>
    </w:p>
    <w:p w14:paraId="6B0A8416" w14:textId="77777777" w:rsidR="007B3E81" w:rsidRPr="00386AC3" w:rsidRDefault="007B3E81" w:rsidP="007B3E81">
      <w:pPr>
        <w:ind w:left="709" w:right="709"/>
        <w:jc w:val="both"/>
        <w:rPr>
          <w:rFonts w:ascii="Arial" w:eastAsia="Calibri" w:hAnsi="Arial" w:cs="Arial"/>
          <w:color w:val="000000" w:themeColor="text1"/>
          <w:sz w:val="21"/>
          <w:szCs w:val="21"/>
          <w:lang w:val="es-ES_tradnl"/>
        </w:rPr>
      </w:pPr>
    </w:p>
    <w:p w14:paraId="0D7A400C" w14:textId="77777777" w:rsidR="007B3E81" w:rsidRPr="00386AC3" w:rsidRDefault="007B3E81" w:rsidP="007B3E81">
      <w:pPr>
        <w:ind w:left="709" w:right="709"/>
        <w:jc w:val="both"/>
        <w:rPr>
          <w:rFonts w:ascii="Arial" w:eastAsia="Calibri" w:hAnsi="Arial" w:cs="Arial"/>
          <w:color w:val="000000" w:themeColor="text1"/>
          <w:sz w:val="21"/>
          <w:szCs w:val="21"/>
          <w:lang w:val="es-ES_tradnl"/>
        </w:rPr>
      </w:pPr>
      <w:r w:rsidRPr="00386AC3">
        <w:rPr>
          <w:rFonts w:ascii="Arial" w:eastAsia="Calibri" w:hAnsi="Arial" w:cs="Arial"/>
          <w:color w:val="000000" w:themeColor="text1"/>
          <w:sz w:val="21"/>
          <w:szCs w:val="21"/>
          <w:lang w:val="es-ES_tradnl"/>
        </w:rPr>
        <w:t>PARÁGRAFO. Una vez ejecutoriado el acto administrativo por medio del cual se impongan las sanciones de que trata esta ley, este deberá inscribirse en el registro mercantil de la persona jurídica sancionada.</w:t>
      </w:r>
    </w:p>
    <w:p w14:paraId="25F7D02C" w14:textId="77777777" w:rsidR="007B3E81" w:rsidRPr="00386AC3" w:rsidRDefault="007B3E81" w:rsidP="007B3E81">
      <w:pPr>
        <w:ind w:left="709" w:right="709"/>
        <w:jc w:val="both"/>
        <w:rPr>
          <w:rFonts w:ascii="Arial" w:eastAsia="Calibri" w:hAnsi="Arial" w:cs="Arial"/>
          <w:color w:val="000000" w:themeColor="text1"/>
          <w:sz w:val="21"/>
          <w:szCs w:val="21"/>
          <w:lang w:val="es-ES_tradnl"/>
        </w:rPr>
      </w:pPr>
    </w:p>
    <w:p w14:paraId="2EF9EA39" w14:textId="77777777" w:rsidR="007B3E81" w:rsidRPr="00386AC3" w:rsidRDefault="007B3E81" w:rsidP="007B3E81">
      <w:pPr>
        <w:ind w:left="709" w:right="709"/>
        <w:jc w:val="both"/>
        <w:rPr>
          <w:rFonts w:ascii="Arial" w:eastAsia="Calibri" w:hAnsi="Arial" w:cs="Arial"/>
          <w:color w:val="000000" w:themeColor="text1"/>
          <w:sz w:val="21"/>
          <w:szCs w:val="21"/>
          <w:lang w:val="es-ES_tradnl"/>
        </w:rPr>
      </w:pPr>
      <w:r w:rsidRPr="00386AC3">
        <w:rPr>
          <w:rFonts w:ascii="Arial" w:eastAsia="Calibri" w:hAnsi="Arial" w:cs="Arial"/>
          <w:color w:val="000000" w:themeColor="text1"/>
          <w:sz w:val="21"/>
          <w:szCs w:val="21"/>
          <w:lang w:val="es-ES_tradnl"/>
        </w:rPr>
        <w:t>La Superintendencia de Sociedades remitirá el acto administrativo a la Cámara de Comercio del domicilio de la persona jurídica o a la Superintendencia Financiera de Colombia, según sea el caso, para su inscripción en el registro correspondiente a fin de que esta información se refleje en el correspondiente certificado de existencia y representación legal.</w:t>
      </w:r>
    </w:p>
    <w:p w14:paraId="449B5610" w14:textId="77777777" w:rsidR="007B3E81" w:rsidRPr="00386AC3" w:rsidRDefault="007B3E81" w:rsidP="007B3E81">
      <w:pPr>
        <w:ind w:left="709" w:right="709"/>
        <w:jc w:val="both"/>
        <w:rPr>
          <w:rFonts w:ascii="Arial" w:eastAsia="Calibri" w:hAnsi="Arial" w:cs="Arial"/>
          <w:color w:val="000000" w:themeColor="text1"/>
          <w:sz w:val="21"/>
          <w:szCs w:val="21"/>
          <w:lang w:val="es-ES_tradnl"/>
        </w:rPr>
      </w:pPr>
    </w:p>
    <w:p w14:paraId="164176FC" w14:textId="77777777" w:rsidR="007B3E81" w:rsidRPr="00386AC3" w:rsidRDefault="007B3E81" w:rsidP="007B3E81">
      <w:pPr>
        <w:ind w:left="709" w:right="709"/>
        <w:jc w:val="both"/>
        <w:rPr>
          <w:rFonts w:ascii="Arial" w:eastAsia="Calibri" w:hAnsi="Arial" w:cs="Arial"/>
          <w:color w:val="000000" w:themeColor="text1"/>
          <w:sz w:val="21"/>
          <w:szCs w:val="21"/>
          <w:lang w:val="es-ES_tradnl"/>
        </w:rPr>
      </w:pPr>
      <w:r w:rsidRPr="00386AC3">
        <w:rPr>
          <w:rFonts w:ascii="Arial" w:eastAsia="Calibri" w:hAnsi="Arial" w:cs="Arial"/>
          <w:color w:val="000000" w:themeColor="text1"/>
          <w:sz w:val="21"/>
          <w:szCs w:val="21"/>
          <w:lang w:val="es-ES_tradnl"/>
        </w:rPr>
        <w:t>En el caso de personas que no tienen la obligación de tener el registro mercantil que llevan las Cámaras de Comercio, el acto administrativo sancionatorio se remitirá al ente de control que los supervisa o vigila, con el fin de que lo publique en su página web.</w:t>
      </w:r>
    </w:p>
    <w:p w14:paraId="687E6CD9" w14:textId="77777777" w:rsidR="007B3E81" w:rsidRPr="00386AC3" w:rsidRDefault="007B3E81" w:rsidP="007B3E81">
      <w:pPr>
        <w:ind w:left="709" w:right="709"/>
        <w:jc w:val="both"/>
        <w:rPr>
          <w:rFonts w:ascii="Arial" w:eastAsia="Calibri" w:hAnsi="Arial" w:cs="Arial"/>
          <w:color w:val="000000" w:themeColor="text1"/>
          <w:sz w:val="21"/>
          <w:szCs w:val="21"/>
          <w:lang w:val="es-ES_tradnl"/>
        </w:rPr>
      </w:pPr>
    </w:p>
    <w:p w14:paraId="0016BFB9" w14:textId="4852E681" w:rsidR="00812AB0" w:rsidRPr="00386AC3" w:rsidRDefault="007B3E81" w:rsidP="007B3E81">
      <w:pPr>
        <w:ind w:left="709" w:right="709"/>
        <w:jc w:val="both"/>
        <w:rPr>
          <w:rFonts w:ascii="Arial" w:eastAsia="Calibri" w:hAnsi="Arial" w:cs="Arial"/>
          <w:color w:val="000000" w:themeColor="text1"/>
          <w:sz w:val="21"/>
          <w:szCs w:val="21"/>
          <w:lang w:val="es-ES_tradnl"/>
        </w:rPr>
      </w:pPr>
      <w:r w:rsidRPr="00386AC3">
        <w:rPr>
          <w:rFonts w:ascii="Arial" w:eastAsia="Calibri" w:hAnsi="Arial" w:cs="Arial"/>
          <w:color w:val="000000" w:themeColor="text1"/>
          <w:sz w:val="21"/>
          <w:szCs w:val="21"/>
          <w:lang w:val="es-ES_tradnl"/>
        </w:rPr>
        <w:t xml:space="preserve">La publicación deberá realizarse en un aparte que se destine exclusivamente a la divulgación de los nombres y numero de identificación tributaria de las </w:t>
      </w:r>
      <w:r w:rsidRPr="00386AC3">
        <w:rPr>
          <w:rFonts w:ascii="Arial" w:eastAsia="Calibri" w:hAnsi="Arial" w:cs="Arial"/>
          <w:color w:val="000000" w:themeColor="text1"/>
          <w:sz w:val="21"/>
          <w:szCs w:val="21"/>
          <w:lang w:val="es-ES_tradnl"/>
        </w:rPr>
        <w:lastRenderedPageBreak/>
        <w:t>personas que hayan sido sancionadas de conformidad con esta ley</w:t>
      </w:r>
      <w:r w:rsidR="009806F8" w:rsidRPr="00386AC3">
        <w:rPr>
          <w:rFonts w:ascii="Arial" w:eastAsia="Calibri" w:hAnsi="Arial" w:cs="Arial"/>
          <w:color w:val="000000" w:themeColor="text1"/>
          <w:sz w:val="21"/>
          <w:szCs w:val="21"/>
          <w:lang w:val="es-ES_tradnl"/>
        </w:rPr>
        <w:t xml:space="preserve"> (énfasis </w:t>
      </w:r>
      <w:r w:rsidR="00F15FBF" w:rsidRPr="00386AC3">
        <w:rPr>
          <w:rFonts w:ascii="Arial" w:eastAsia="Calibri" w:hAnsi="Arial" w:cs="Arial"/>
          <w:color w:val="000000" w:themeColor="text1"/>
          <w:sz w:val="21"/>
          <w:szCs w:val="21"/>
          <w:lang w:val="es-ES_tradnl"/>
        </w:rPr>
        <w:t>añadido</w:t>
      </w:r>
      <w:r w:rsidR="009806F8" w:rsidRPr="00386AC3">
        <w:rPr>
          <w:rFonts w:ascii="Arial" w:eastAsia="Calibri" w:hAnsi="Arial" w:cs="Arial"/>
          <w:color w:val="000000" w:themeColor="text1"/>
          <w:sz w:val="21"/>
          <w:szCs w:val="21"/>
          <w:lang w:val="es-ES_tradnl"/>
        </w:rPr>
        <w:t>)</w:t>
      </w:r>
      <w:r w:rsidRPr="00386AC3">
        <w:rPr>
          <w:rFonts w:ascii="Arial" w:eastAsia="Calibri" w:hAnsi="Arial" w:cs="Arial"/>
          <w:color w:val="000000" w:themeColor="text1"/>
          <w:sz w:val="21"/>
          <w:szCs w:val="21"/>
          <w:lang w:val="es-ES_tradnl"/>
        </w:rPr>
        <w:t>.</w:t>
      </w:r>
      <w:r w:rsidR="00812AB0" w:rsidRPr="00386AC3">
        <w:rPr>
          <w:rFonts w:ascii="Arial" w:eastAsia="Calibri" w:hAnsi="Arial" w:cs="Arial"/>
          <w:color w:val="000000" w:themeColor="text1"/>
          <w:sz w:val="21"/>
          <w:szCs w:val="21"/>
          <w:lang w:val="es-ES_tradnl"/>
        </w:rPr>
        <w:t xml:space="preserve"> </w:t>
      </w:r>
    </w:p>
    <w:p w14:paraId="6474C594" w14:textId="1BF81298" w:rsidR="00F012C6" w:rsidRPr="00386AC3" w:rsidRDefault="00F012C6" w:rsidP="00F80632">
      <w:pPr>
        <w:ind w:left="709" w:right="709"/>
        <w:jc w:val="both"/>
        <w:rPr>
          <w:rFonts w:ascii="Arial" w:eastAsia="Calibri" w:hAnsi="Arial" w:cs="Arial"/>
          <w:color w:val="000000" w:themeColor="text1"/>
          <w:sz w:val="22"/>
          <w:szCs w:val="22"/>
          <w:lang w:val="es-ES_tradnl"/>
        </w:rPr>
      </w:pPr>
    </w:p>
    <w:p w14:paraId="20FCEE18" w14:textId="0DF167A0" w:rsidR="00E15BB1" w:rsidRPr="00386AC3" w:rsidRDefault="00EB5D15" w:rsidP="00E15BB1">
      <w:pPr>
        <w:spacing w:line="276" w:lineRule="auto"/>
        <w:ind w:firstLine="709"/>
        <w:jc w:val="both"/>
        <w:rPr>
          <w:rFonts w:ascii="Arial" w:eastAsia="Calibri" w:hAnsi="Arial" w:cs="Arial"/>
          <w:color w:val="000000" w:themeColor="text1"/>
          <w:sz w:val="22"/>
          <w:lang w:val="es-ES_tradnl"/>
        </w:rPr>
      </w:pPr>
      <w:r w:rsidRPr="00386AC3">
        <w:rPr>
          <w:rFonts w:ascii="Arial" w:eastAsia="Calibri" w:hAnsi="Arial" w:cs="Arial"/>
          <w:color w:val="000000" w:themeColor="text1"/>
          <w:sz w:val="22"/>
          <w:lang w:val="es-ES_tradnl"/>
        </w:rPr>
        <w:t>Como puede advertirse</w:t>
      </w:r>
      <w:r w:rsidR="00FC630B" w:rsidRPr="00386AC3">
        <w:rPr>
          <w:rFonts w:ascii="Arial" w:eastAsia="Calibri" w:hAnsi="Arial" w:cs="Arial"/>
          <w:color w:val="000000" w:themeColor="text1"/>
          <w:sz w:val="22"/>
          <w:lang w:val="es-ES_tradnl"/>
        </w:rPr>
        <w:t>, este artículo indica que las sanciones que en él se establecen se aplican</w:t>
      </w:r>
      <w:r w:rsidR="00793209" w:rsidRPr="00386AC3">
        <w:rPr>
          <w:rFonts w:ascii="Arial" w:eastAsia="Calibri" w:hAnsi="Arial" w:cs="Arial"/>
          <w:color w:val="000000" w:themeColor="text1"/>
          <w:sz w:val="22"/>
          <w:lang w:val="es-ES_tradnl"/>
        </w:rPr>
        <w:t xml:space="preserve"> por parte de la Superintendencia de Sociedades</w:t>
      </w:r>
      <w:r w:rsidR="00FC630B" w:rsidRPr="00386AC3">
        <w:rPr>
          <w:rFonts w:ascii="Arial" w:eastAsia="Calibri" w:hAnsi="Arial" w:cs="Arial"/>
          <w:color w:val="000000" w:themeColor="text1"/>
          <w:sz w:val="22"/>
          <w:lang w:val="es-ES_tradnl"/>
        </w:rPr>
        <w:t xml:space="preserve"> a las </w:t>
      </w:r>
      <w:r w:rsidR="00FC630B" w:rsidRPr="00386AC3">
        <w:rPr>
          <w:rFonts w:ascii="Arial" w:eastAsia="Calibri" w:hAnsi="Arial" w:cs="Arial"/>
          <w:i/>
          <w:iCs/>
          <w:color w:val="000000" w:themeColor="text1"/>
          <w:sz w:val="22"/>
          <w:lang w:val="es-ES_tradnl"/>
        </w:rPr>
        <w:t>personas jurídicas</w:t>
      </w:r>
      <w:r w:rsidR="00793209" w:rsidRPr="00386AC3">
        <w:rPr>
          <w:rFonts w:ascii="Arial" w:eastAsia="Calibri" w:hAnsi="Arial" w:cs="Arial"/>
          <w:color w:val="000000" w:themeColor="text1"/>
          <w:sz w:val="22"/>
          <w:lang w:val="es-ES_tradnl"/>
        </w:rPr>
        <w:t xml:space="preserve"> que incurran en las conductas tipificadas en el artículo 2 de la Ley </w:t>
      </w:r>
      <w:r w:rsidR="00F24E6C" w:rsidRPr="00386AC3">
        <w:rPr>
          <w:rFonts w:ascii="Arial" w:eastAsia="Calibri" w:hAnsi="Arial" w:cs="Arial"/>
          <w:color w:val="000000" w:themeColor="text1"/>
          <w:sz w:val="22"/>
          <w:lang w:val="es-ES_tradnl"/>
        </w:rPr>
        <w:t>1778 de 2016, hoy modificado por el artículo 19 de la Ley 2195 de 2022</w:t>
      </w:r>
      <w:r w:rsidR="009B7780" w:rsidRPr="00386AC3">
        <w:rPr>
          <w:rFonts w:ascii="Arial" w:eastAsia="Calibri" w:hAnsi="Arial" w:cs="Arial"/>
          <w:color w:val="000000" w:themeColor="text1"/>
          <w:sz w:val="22"/>
          <w:lang w:val="es-ES_tradnl"/>
        </w:rPr>
        <w:t>.</w:t>
      </w:r>
      <w:r w:rsidR="00FD401D" w:rsidRPr="00386AC3">
        <w:rPr>
          <w:rFonts w:ascii="Arial" w:eastAsia="Calibri" w:hAnsi="Arial" w:cs="Arial"/>
          <w:color w:val="000000" w:themeColor="text1"/>
          <w:sz w:val="22"/>
          <w:lang w:val="es-ES_tradnl"/>
        </w:rPr>
        <w:t xml:space="preserve"> </w:t>
      </w:r>
      <w:r w:rsidR="009B7780" w:rsidRPr="00386AC3">
        <w:rPr>
          <w:rFonts w:ascii="Arial" w:eastAsia="Calibri" w:hAnsi="Arial" w:cs="Arial"/>
          <w:color w:val="000000" w:themeColor="text1"/>
          <w:sz w:val="22"/>
          <w:lang w:val="es-ES_tradnl"/>
        </w:rPr>
        <w:t xml:space="preserve">Esta norma </w:t>
      </w:r>
      <w:r w:rsidR="00FD401D" w:rsidRPr="00386AC3">
        <w:rPr>
          <w:rFonts w:ascii="Arial" w:eastAsia="Calibri" w:hAnsi="Arial" w:cs="Arial"/>
          <w:color w:val="000000" w:themeColor="text1"/>
          <w:sz w:val="22"/>
          <w:lang w:val="es-ES_tradnl"/>
        </w:rPr>
        <w:t xml:space="preserve">dispone: </w:t>
      </w:r>
    </w:p>
    <w:p w14:paraId="66569848" w14:textId="231D00B7" w:rsidR="00FD401D" w:rsidRPr="00386AC3" w:rsidRDefault="00FD401D" w:rsidP="00E15BB1">
      <w:pPr>
        <w:spacing w:line="276" w:lineRule="auto"/>
        <w:ind w:firstLine="709"/>
        <w:jc w:val="both"/>
        <w:rPr>
          <w:rFonts w:ascii="Arial" w:eastAsia="Calibri" w:hAnsi="Arial" w:cs="Arial"/>
          <w:color w:val="000000" w:themeColor="text1"/>
          <w:sz w:val="22"/>
          <w:lang w:val="es-ES_tradnl"/>
        </w:rPr>
      </w:pPr>
    </w:p>
    <w:p w14:paraId="7AC7B76B" w14:textId="77777777" w:rsidR="00FD401D" w:rsidRPr="00386AC3" w:rsidRDefault="00FD401D" w:rsidP="00873AFA">
      <w:pPr>
        <w:ind w:left="709" w:right="709"/>
        <w:jc w:val="both"/>
        <w:rPr>
          <w:rFonts w:ascii="Arial" w:eastAsia="Calibri" w:hAnsi="Arial" w:cs="Arial"/>
          <w:color w:val="000000" w:themeColor="text1"/>
          <w:sz w:val="21"/>
          <w:szCs w:val="21"/>
          <w:lang w:val="es-ES_tradnl"/>
        </w:rPr>
      </w:pPr>
      <w:r w:rsidRPr="00386AC3">
        <w:rPr>
          <w:rFonts w:ascii="Arial" w:eastAsia="Calibri" w:hAnsi="Arial" w:cs="Arial"/>
          <w:color w:val="000000" w:themeColor="text1"/>
          <w:sz w:val="21"/>
          <w:szCs w:val="21"/>
          <w:lang w:val="es-ES_tradnl"/>
        </w:rPr>
        <w:t>Modifíquese el Artículo 2 de la Ley 1778 de 2016, el cual quedara así:</w:t>
      </w:r>
    </w:p>
    <w:p w14:paraId="5AD46DE5" w14:textId="77777777" w:rsidR="00FD401D" w:rsidRPr="00386AC3" w:rsidRDefault="00FD401D" w:rsidP="00873AFA">
      <w:pPr>
        <w:ind w:left="709" w:right="709"/>
        <w:jc w:val="both"/>
        <w:rPr>
          <w:rFonts w:ascii="Arial" w:eastAsia="Calibri" w:hAnsi="Arial" w:cs="Arial"/>
          <w:color w:val="000000" w:themeColor="text1"/>
          <w:sz w:val="21"/>
          <w:szCs w:val="21"/>
          <w:lang w:val="es-ES_tradnl"/>
        </w:rPr>
      </w:pPr>
    </w:p>
    <w:p w14:paraId="2288C4EF" w14:textId="77777777" w:rsidR="00FD401D" w:rsidRPr="00386AC3" w:rsidRDefault="00FD401D" w:rsidP="00873AFA">
      <w:pPr>
        <w:ind w:left="709" w:right="709"/>
        <w:jc w:val="both"/>
        <w:rPr>
          <w:rFonts w:ascii="Arial" w:eastAsia="Calibri" w:hAnsi="Arial" w:cs="Arial"/>
          <w:color w:val="000000" w:themeColor="text1"/>
          <w:sz w:val="21"/>
          <w:szCs w:val="21"/>
          <w:lang w:val="es-ES_tradnl"/>
        </w:rPr>
      </w:pPr>
      <w:r w:rsidRPr="00386AC3">
        <w:rPr>
          <w:rFonts w:ascii="Arial" w:eastAsia="Calibri" w:hAnsi="Arial" w:cs="Arial"/>
          <w:color w:val="000000" w:themeColor="text1"/>
          <w:sz w:val="21"/>
          <w:szCs w:val="21"/>
          <w:lang w:val="es-ES_tradnl"/>
        </w:rPr>
        <w:t>Artículo 2. Responsabilidad administrativa de las personas jurídicas. Las personas jurídicas que por medio de uno o varios: (i) empleados, (ii) contratistas, (iii) administradores, o (iv) asociados, propios o de cualquier persona jurídica subordinada den, ofrezcan, o prometan, a un servidor público extranjero, directa o indirectamente: (i) sumas de dinero, (ii) cualquier objeto de valor pecuniario u (iii) otro beneficio o utilidad, a cambio de que el servidor público extranjero; realice, omita, o retarde, cualquier acto relacionado con el ejercicio de sus funciones y en relación con un negocio o transacción internacional.</w:t>
      </w:r>
    </w:p>
    <w:p w14:paraId="73F7B706" w14:textId="77777777" w:rsidR="00FD401D" w:rsidRPr="00386AC3" w:rsidRDefault="00FD401D" w:rsidP="00873AFA">
      <w:pPr>
        <w:ind w:left="709" w:right="709"/>
        <w:jc w:val="both"/>
        <w:rPr>
          <w:rFonts w:ascii="Arial" w:eastAsia="Calibri" w:hAnsi="Arial" w:cs="Arial"/>
          <w:color w:val="000000" w:themeColor="text1"/>
          <w:sz w:val="21"/>
          <w:szCs w:val="21"/>
          <w:lang w:val="es-ES_tradnl"/>
        </w:rPr>
      </w:pPr>
    </w:p>
    <w:p w14:paraId="013555D9" w14:textId="77777777" w:rsidR="00FD401D" w:rsidRPr="00386AC3" w:rsidRDefault="00FD401D" w:rsidP="00873AFA">
      <w:pPr>
        <w:ind w:left="709" w:right="709"/>
        <w:jc w:val="both"/>
        <w:rPr>
          <w:rFonts w:ascii="Arial" w:eastAsia="Calibri" w:hAnsi="Arial" w:cs="Arial"/>
          <w:color w:val="000000" w:themeColor="text1"/>
          <w:sz w:val="21"/>
          <w:szCs w:val="21"/>
          <w:lang w:val="es-ES_tradnl"/>
        </w:rPr>
      </w:pPr>
      <w:r w:rsidRPr="00386AC3">
        <w:rPr>
          <w:rFonts w:ascii="Arial" w:eastAsia="Calibri" w:hAnsi="Arial" w:cs="Arial"/>
          <w:color w:val="000000" w:themeColor="text1"/>
          <w:sz w:val="21"/>
          <w:szCs w:val="21"/>
          <w:lang w:val="es-ES_tradnl"/>
        </w:rPr>
        <w:t>Dichas personas serán sancionadas administrativamente en los términos establecidos por esta ley, sin perjuicio de la responsabilidad penal a la que haya lugar para el representante legal de la persona jurídica.</w:t>
      </w:r>
    </w:p>
    <w:p w14:paraId="762B1243" w14:textId="77777777" w:rsidR="00FD401D" w:rsidRPr="00386AC3" w:rsidRDefault="00FD401D" w:rsidP="00873AFA">
      <w:pPr>
        <w:ind w:left="709" w:right="709"/>
        <w:jc w:val="both"/>
        <w:rPr>
          <w:rFonts w:ascii="Arial" w:eastAsia="Calibri" w:hAnsi="Arial" w:cs="Arial"/>
          <w:color w:val="000000" w:themeColor="text1"/>
          <w:sz w:val="21"/>
          <w:szCs w:val="21"/>
          <w:lang w:val="es-ES_tradnl"/>
        </w:rPr>
      </w:pPr>
    </w:p>
    <w:p w14:paraId="6D688987" w14:textId="77777777" w:rsidR="00FD401D" w:rsidRPr="00386AC3" w:rsidRDefault="00FD401D" w:rsidP="00873AFA">
      <w:pPr>
        <w:ind w:left="709" w:right="709"/>
        <w:jc w:val="both"/>
        <w:rPr>
          <w:rFonts w:ascii="Arial" w:eastAsia="Calibri" w:hAnsi="Arial" w:cs="Arial"/>
          <w:color w:val="000000" w:themeColor="text1"/>
          <w:sz w:val="21"/>
          <w:szCs w:val="21"/>
          <w:lang w:val="es-ES_tradnl"/>
        </w:rPr>
      </w:pPr>
      <w:r w:rsidRPr="00386AC3">
        <w:rPr>
          <w:rFonts w:ascii="Arial" w:eastAsia="Calibri" w:hAnsi="Arial" w:cs="Arial"/>
          <w:color w:val="000000" w:themeColor="text1"/>
          <w:sz w:val="21"/>
          <w:szCs w:val="21"/>
          <w:lang w:val="es-ES_tradnl"/>
        </w:rPr>
        <w:t>Las entidades que tengan la calidad de matrices, conforme al régimen previsto en la Ley 222 de 1995 o la norma que la modifique o sustituya, serán responsables y serán sancionadas, en el evento de que una de sus subordinadas incurra en alguna de las conductas enunciadas en el inciso primero de este Artículo, con el consentimiento o la tolerancia de la matriz.</w:t>
      </w:r>
    </w:p>
    <w:p w14:paraId="5E70E8B7" w14:textId="77777777" w:rsidR="00FD401D" w:rsidRPr="00386AC3" w:rsidRDefault="00FD401D" w:rsidP="00873AFA">
      <w:pPr>
        <w:ind w:left="709" w:right="709"/>
        <w:jc w:val="both"/>
        <w:rPr>
          <w:rFonts w:ascii="Arial" w:eastAsia="Calibri" w:hAnsi="Arial" w:cs="Arial"/>
          <w:color w:val="000000" w:themeColor="text1"/>
          <w:sz w:val="21"/>
          <w:szCs w:val="21"/>
          <w:lang w:val="es-ES_tradnl"/>
        </w:rPr>
      </w:pPr>
    </w:p>
    <w:p w14:paraId="2C9CAB3E" w14:textId="77777777" w:rsidR="00FD401D" w:rsidRPr="00386AC3" w:rsidRDefault="00FD401D" w:rsidP="00873AFA">
      <w:pPr>
        <w:ind w:left="709" w:right="709"/>
        <w:jc w:val="both"/>
        <w:rPr>
          <w:rFonts w:ascii="Arial" w:eastAsia="Calibri" w:hAnsi="Arial" w:cs="Arial"/>
          <w:color w:val="000000" w:themeColor="text1"/>
          <w:sz w:val="21"/>
          <w:szCs w:val="21"/>
          <w:lang w:val="es-ES_tradnl"/>
        </w:rPr>
      </w:pPr>
      <w:r w:rsidRPr="00386AC3">
        <w:rPr>
          <w:rFonts w:ascii="Arial" w:eastAsia="Calibri" w:hAnsi="Arial" w:cs="Arial"/>
          <w:color w:val="000000" w:themeColor="text1"/>
          <w:sz w:val="21"/>
          <w:szCs w:val="21"/>
          <w:lang w:val="es-ES_tradnl"/>
        </w:rPr>
        <w:t>También serán responsables y sancionadas las subordinadas cuando su (i) matriz o (ii) cualquier otra persona jurídica que sea parte del mismo grupo empresarial o que sea controlada directa o indirectamente por la matriz, incurra en alguna de las conductas enunciadas en el inciso primero de este Artículo, en beneficio de las subordinadas.</w:t>
      </w:r>
    </w:p>
    <w:p w14:paraId="11623F8B" w14:textId="77777777" w:rsidR="00FD401D" w:rsidRPr="00386AC3" w:rsidRDefault="00FD401D" w:rsidP="00873AFA">
      <w:pPr>
        <w:ind w:left="709" w:right="709"/>
        <w:jc w:val="both"/>
        <w:rPr>
          <w:rFonts w:ascii="Arial" w:eastAsia="Calibri" w:hAnsi="Arial" w:cs="Arial"/>
          <w:color w:val="000000" w:themeColor="text1"/>
          <w:sz w:val="21"/>
          <w:szCs w:val="21"/>
          <w:lang w:val="es-ES_tradnl"/>
        </w:rPr>
      </w:pPr>
    </w:p>
    <w:p w14:paraId="012C7F0F" w14:textId="7C93EBF1" w:rsidR="00FD401D" w:rsidRPr="00386AC3" w:rsidRDefault="00DC1DC7" w:rsidP="00873AFA">
      <w:pPr>
        <w:ind w:left="709" w:right="709"/>
        <w:jc w:val="both"/>
        <w:rPr>
          <w:rFonts w:ascii="Arial" w:eastAsia="Calibri" w:hAnsi="Arial" w:cs="Arial"/>
          <w:color w:val="000000" w:themeColor="text1"/>
          <w:sz w:val="21"/>
          <w:szCs w:val="21"/>
          <w:lang w:val="es-ES_tradnl"/>
        </w:rPr>
      </w:pPr>
      <w:r w:rsidRPr="00386AC3">
        <w:rPr>
          <w:rFonts w:ascii="Arial" w:eastAsia="Calibri" w:hAnsi="Arial" w:cs="Arial"/>
          <w:color w:val="000000" w:themeColor="text1"/>
          <w:sz w:val="21"/>
          <w:szCs w:val="21"/>
          <w:lang w:val="es-ES_tradnl"/>
        </w:rPr>
        <w:t xml:space="preserve">Parágrafo </w:t>
      </w:r>
      <w:r w:rsidR="00FD401D" w:rsidRPr="00386AC3">
        <w:rPr>
          <w:rFonts w:ascii="Arial" w:eastAsia="Calibri" w:hAnsi="Arial" w:cs="Arial"/>
          <w:color w:val="000000" w:themeColor="text1"/>
          <w:sz w:val="21"/>
          <w:szCs w:val="21"/>
          <w:lang w:val="es-ES_tradnl"/>
        </w:rPr>
        <w:t>1. Para los efectos de lo dispuesto en el presente Artículo, se considera servidor público extranjero toda persona que tenga un cargo legislativo, administrativo o judicial en un Estado, sus subdivisiones políticas o autoridades locales, o una jurisdicción extranjera, sin importar si el individuo hubiere sido nombrado o elegido.</w:t>
      </w:r>
    </w:p>
    <w:p w14:paraId="23130179" w14:textId="77777777" w:rsidR="00FD401D" w:rsidRPr="00386AC3" w:rsidRDefault="00FD401D" w:rsidP="00873AFA">
      <w:pPr>
        <w:ind w:left="709" w:right="709"/>
        <w:jc w:val="both"/>
        <w:rPr>
          <w:rFonts w:ascii="Arial" w:eastAsia="Calibri" w:hAnsi="Arial" w:cs="Arial"/>
          <w:color w:val="000000" w:themeColor="text1"/>
          <w:sz w:val="21"/>
          <w:szCs w:val="21"/>
          <w:lang w:val="es-ES_tradnl"/>
        </w:rPr>
      </w:pPr>
    </w:p>
    <w:p w14:paraId="2B2C3A14" w14:textId="77777777" w:rsidR="00FD401D" w:rsidRPr="00386AC3" w:rsidRDefault="00FD401D" w:rsidP="00873AFA">
      <w:pPr>
        <w:ind w:left="709" w:right="709"/>
        <w:jc w:val="both"/>
        <w:rPr>
          <w:rFonts w:ascii="Arial" w:eastAsia="Calibri" w:hAnsi="Arial" w:cs="Arial"/>
          <w:color w:val="000000" w:themeColor="text1"/>
          <w:sz w:val="21"/>
          <w:szCs w:val="21"/>
          <w:lang w:val="es-ES_tradnl"/>
        </w:rPr>
      </w:pPr>
      <w:r w:rsidRPr="00386AC3">
        <w:rPr>
          <w:rFonts w:ascii="Arial" w:eastAsia="Calibri" w:hAnsi="Arial" w:cs="Arial"/>
          <w:color w:val="000000" w:themeColor="text1"/>
          <w:sz w:val="21"/>
          <w:szCs w:val="21"/>
          <w:lang w:val="es-ES_tradnl"/>
        </w:rPr>
        <w:t xml:space="preserve">También se considera servidor público extranjero toda persona que ejerza una función publica para un Estado, sus subdivisiones políticas o autoridades locales, o en una jurisdicción extranjera, sea dentro de un organismo público, o de una empresa del Estado o una entidad cuyo poder de decisión se encuentre sometido a la voluntad del Estado, sus subdivisiones políticas o autoridades locales, o de una jurisdicción extranjera. Igualmente, se entenderá que ostenta </w:t>
      </w:r>
      <w:r w:rsidRPr="00386AC3">
        <w:rPr>
          <w:rFonts w:ascii="Arial" w:eastAsia="Calibri" w:hAnsi="Arial" w:cs="Arial"/>
          <w:color w:val="000000" w:themeColor="text1"/>
          <w:sz w:val="21"/>
          <w:szCs w:val="21"/>
          <w:lang w:val="es-ES_tradnl"/>
        </w:rPr>
        <w:lastRenderedPageBreak/>
        <w:t>la referida calidad cualquier funcionario o agente de una organización publica internacional.</w:t>
      </w:r>
    </w:p>
    <w:p w14:paraId="5ABCDC4E" w14:textId="77777777" w:rsidR="00FD401D" w:rsidRPr="00386AC3" w:rsidRDefault="00FD401D" w:rsidP="00873AFA">
      <w:pPr>
        <w:ind w:left="709" w:right="709"/>
        <w:jc w:val="both"/>
        <w:rPr>
          <w:rFonts w:ascii="Arial" w:eastAsia="Calibri" w:hAnsi="Arial" w:cs="Arial"/>
          <w:color w:val="000000" w:themeColor="text1"/>
          <w:sz w:val="21"/>
          <w:szCs w:val="21"/>
          <w:lang w:val="es-ES_tradnl"/>
        </w:rPr>
      </w:pPr>
    </w:p>
    <w:p w14:paraId="1A5C8606" w14:textId="3AD34844" w:rsidR="00FD401D" w:rsidRPr="00386AC3" w:rsidRDefault="00DC1DC7" w:rsidP="00873AFA">
      <w:pPr>
        <w:ind w:left="709" w:right="709"/>
        <w:jc w:val="both"/>
        <w:rPr>
          <w:rFonts w:ascii="Arial" w:eastAsia="Calibri" w:hAnsi="Arial" w:cs="Arial"/>
          <w:color w:val="000000" w:themeColor="text1"/>
          <w:sz w:val="21"/>
          <w:szCs w:val="21"/>
          <w:lang w:val="es-ES_tradnl"/>
        </w:rPr>
      </w:pPr>
      <w:r w:rsidRPr="00386AC3">
        <w:rPr>
          <w:rFonts w:ascii="Arial" w:eastAsia="Calibri" w:hAnsi="Arial" w:cs="Arial"/>
          <w:color w:val="000000" w:themeColor="text1"/>
          <w:sz w:val="21"/>
          <w:szCs w:val="21"/>
          <w:lang w:val="es-ES_tradnl"/>
        </w:rPr>
        <w:t xml:space="preserve">Parágrafo </w:t>
      </w:r>
      <w:r w:rsidR="00FD401D" w:rsidRPr="00386AC3">
        <w:rPr>
          <w:rFonts w:ascii="Arial" w:eastAsia="Calibri" w:hAnsi="Arial" w:cs="Arial"/>
          <w:color w:val="000000" w:themeColor="text1"/>
          <w:sz w:val="21"/>
          <w:szCs w:val="21"/>
          <w:lang w:val="es-ES_tradnl"/>
        </w:rPr>
        <w:t xml:space="preserve">2. Lo previsto en esta Ley para las personas jurídicas </w:t>
      </w:r>
      <w:proofErr w:type="gramStart"/>
      <w:r w:rsidR="00FD401D" w:rsidRPr="00386AC3">
        <w:rPr>
          <w:rFonts w:ascii="Arial" w:eastAsia="Calibri" w:hAnsi="Arial" w:cs="Arial"/>
          <w:color w:val="000000" w:themeColor="text1"/>
          <w:sz w:val="21"/>
          <w:szCs w:val="21"/>
          <w:lang w:val="es-ES_tradnl"/>
        </w:rPr>
        <w:t>e</w:t>
      </w:r>
      <w:proofErr w:type="gramEnd"/>
      <w:r w:rsidR="00FD401D" w:rsidRPr="00386AC3">
        <w:rPr>
          <w:rFonts w:ascii="Arial" w:eastAsia="Calibri" w:hAnsi="Arial" w:cs="Arial"/>
          <w:color w:val="000000" w:themeColor="text1"/>
          <w:sz w:val="21"/>
          <w:szCs w:val="21"/>
          <w:lang w:val="es-ES_tradnl"/>
        </w:rPr>
        <w:t xml:space="preserve"> extenderá a las sucursales de sociedades que operen en el exterior, así como a las empresas industriales y comerciales del Estado, sociedades en las que el Estado tenga participación y sociedades de economía mixta.</w:t>
      </w:r>
    </w:p>
    <w:p w14:paraId="6A8E62B4" w14:textId="77777777" w:rsidR="00FD401D" w:rsidRPr="00386AC3" w:rsidRDefault="00FD401D" w:rsidP="00873AFA">
      <w:pPr>
        <w:ind w:left="709" w:right="709"/>
        <w:jc w:val="both"/>
        <w:rPr>
          <w:rFonts w:ascii="Arial" w:eastAsia="Calibri" w:hAnsi="Arial" w:cs="Arial"/>
          <w:color w:val="000000" w:themeColor="text1"/>
          <w:sz w:val="21"/>
          <w:szCs w:val="21"/>
          <w:lang w:val="es-ES_tradnl"/>
        </w:rPr>
      </w:pPr>
    </w:p>
    <w:p w14:paraId="2AB12EF2" w14:textId="3A8DE1A7" w:rsidR="00FD401D" w:rsidRPr="00386AC3" w:rsidRDefault="00DC1DC7" w:rsidP="00873AFA">
      <w:pPr>
        <w:ind w:left="709" w:right="709"/>
        <w:jc w:val="both"/>
        <w:rPr>
          <w:rFonts w:ascii="Arial" w:eastAsia="Calibri" w:hAnsi="Arial" w:cs="Arial"/>
          <w:color w:val="000000" w:themeColor="text1"/>
          <w:sz w:val="21"/>
          <w:szCs w:val="21"/>
          <w:lang w:val="es-ES_tradnl"/>
        </w:rPr>
      </w:pPr>
      <w:r w:rsidRPr="00386AC3">
        <w:rPr>
          <w:rFonts w:ascii="Arial" w:eastAsia="Calibri" w:hAnsi="Arial" w:cs="Arial"/>
          <w:color w:val="000000" w:themeColor="text1"/>
          <w:sz w:val="21"/>
          <w:szCs w:val="21"/>
          <w:lang w:val="es-ES_tradnl"/>
        </w:rPr>
        <w:t xml:space="preserve">Parágrafo </w:t>
      </w:r>
      <w:r w:rsidR="00FD401D" w:rsidRPr="00386AC3">
        <w:rPr>
          <w:rFonts w:ascii="Arial" w:eastAsia="Calibri" w:hAnsi="Arial" w:cs="Arial"/>
          <w:color w:val="000000" w:themeColor="text1"/>
          <w:sz w:val="21"/>
          <w:szCs w:val="21"/>
          <w:lang w:val="es-ES_tradnl"/>
        </w:rPr>
        <w:t>3. Lo previsto en el presente Artículo no se aplica cuando la conducta haya sido realizada por un asociado que no detente el control de la persona jurídica.</w:t>
      </w:r>
    </w:p>
    <w:p w14:paraId="53892902" w14:textId="6C7CD0E5" w:rsidR="009E7AA2" w:rsidRPr="00386AC3" w:rsidRDefault="009E7AA2" w:rsidP="009E7AA2">
      <w:pPr>
        <w:tabs>
          <w:tab w:val="left" w:pos="0"/>
        </w:tabs>
        <w:spacing w:line="276" w:lineRule="auto"/>
        <w:ind w:firstLine="709"/>
        <w:jc w:val="both"/>
        <w:rPr>
          <w:rFonts w:ascii="Arial" w:hAnsi="Arial" w:cs="Arial"/>
          <w:noProof/>
          <w:sz w:val="22"/>
          <w:lang w:val="es-ES_tradnl"/>
        </w:rPr>
      </w:pPr>
    </w:p>
    <w:p w14:paraId="1A9FFC17" w14:textId="655C1BDD" w:rsidR="00BB5C60" w:rsidRPr="00386AC3" w:rsidRDefault="00F8522F" w:rsidP="00F8522F">
      <w:pPr>
        <w:spacing w:line="276" w:lineRule="auto"/>
        <w:ind w:firstLine="709"/>
        <w:jc w:val="both"/>
        <w:rPr>
          <w:rFonts w:ascii="Arial" w:eastAsia="Calibri" w:hAnsi="Arial" w:cs="Arial"/>
          <w:color w:val="000000" w:themeColor="text1"/>
          <w:sz w:val="22"/>
          <w:lang w:val="es-ES_tradnl"/>
        </w:rPr>
      </w:pPr>
      <w:r w:rsidRPr="00386AC3">
        <w:rPr>
          <w:rFonts w:ascii="Arial" w:eastAsia="Calibri" w:hAnsi="Arial" w:cs="Arial"/>
          <w:color w:val="000000" w:themeColor="text1"/>
          <w:sz w:val="22"/>
          <w:lang w:val="es-ES_tradnl"/>
        </w:rPr>
        <w:t xml:space="preserve">A partir de lo establecido en los artículos 2 y </w:t>
      </w:r>
      <w:r w:rsidR="006F1B95" w:rsidRPr="00386AC3">
        <w:rPr>
          <w:rFonts w:ascii="Arial" w:eastAsia="Calibri" w:hAnsi="Arial" w:cs="Arial"/>
          <w:color w:val="000000" w:themeColor="text1"/>
          <w:sz w:val="22"/>
          <w:lang w:val="es-ES_tradnl"/>
        </w:rPr>
        <w:t xml:space="preserve">5 de la Ley 1778 de 2016, modificados, respectivamente, por los artículos </w:t>
      </w:r>
      <w:r w:rsidR="00155B63" w:rsidRPr="00386AC3">
        <w:rPr>
          <w:rFonts w:ascii="Arial" w:eastAsia="Calibri" w:hAnsi="Arial" w:cs="Arial"/>
          <w:color w:val="000000" w:themeColor="text1"/>
          <w:sz w:val="22"/>
          <w:lang w:val="es-ES_tradnl"/>
        </w:rPr>
        <w:t xml:space="preserve">19 y 21, de la Ley 2195 de 2022, se concluye que: i) </w:t>
      </w:r>
      <w:r w:rsidR="0052559C" w:rsidRPr="00386AC3">
        <w:rPr>
          <w:rFonts w:ascii="Arial" w:eastAsia="Calibri" w:hAnsi="Arial" w:cs="Arial"/>
          <w:color w:val="000000" w:themeColor="text1"/>
          <w:sz w:val="22"/>
          <w:lang w:val="es-ES_tradnl"/>
        </w:rPr>
        <w:t>los</w:t>
      </w:r>
      <w:r w:rsidR="00155B63" w:rsidRPr="00386AC3">
        <w:rPr>
          <w:rFonts w:ascii="Arial" w:eastAsia="Calibri" w:hAnsi="Arial" w:cs="Arial"/>
          <w:color w:val="000000" w:themeColor="text1"/>
          <w:sz w:val="22"/>
          <w:lang w:val="es-ES_tradnl"/>
        </w:rPr>
        <w:t xml:space="preserve"> sujeto</w:t>
      </w:r>
      <w:r w:rsidR="0052559C" w:rsidRPr="00386AC3">
        <w:rPr>
          <w:rFonts w:ascii="Arial" w:eastAsia="Calibri" w:hAnsi="Arial" w:cs="Arial"/>
          <w:color w:val="000000" w:themeColor="text1"/>
          <w:sz w:val="22"/>
          <w:lang w:val="es-ES_tradnl"/>
        </w:rPr>
        <w:t>s</w:t>
      </w:r>
      <w:r w:rsidR="00155B63" w:rsidRPr="00386AC3">
        <w:rPr>
          <w:rFonts w:ascii="Arial" w:eastAsia="Calibri" w:hAnsi="Arial" w:cs="Arial"/>
          <w:color w:val="000000" w:themeColor="text1"/>
          <w:sz w:val="22"/>
          <w:lang w:val="es-ES_tradnl"/>
        </w:rPr>
        <w:t xml:space="preserve"> pasivo</w:t>
      </w:r>
      <w:r w:rsidR="005B327B" w:rsidRPr="00386AC3">
        <w:rPr>
          <w:rFonts w:ascii="Arial" w:eastAsia="Calibri" w:hAnsi="Arial" w:cs="Arial"/>
          <w:color w:val="000000" w:themeColor="text1"/>
          <w:sz w:val="22"/>
          <w:lang w:val="es-ES_tradnl"/>
        </w:rPr>
        <w:t>s</w:t>
      </w:r>
      <w:r w:rsidR="00155B63" w:rsidRPr="00386AC3">
        <w:rPr>
          <w:rFonts w:ascii="Arial" w:eastAsia="Calibri" w:hAnsi="Arial" w:cs="Arial"/>
          <w:color w:val="000000" w:themeColor="text1"/>
          <w:sz w:val="22"/>
          <w:lang w:val="es-ES_tradnl"/>
        </w:rPr>
        <w:t xml:space="preserve"> de las sanciones</w:t>
      </w:r>
      <w:r w:rsidR="0052559C" w:rsidRPr="00386AC3">
        <w:rPr>
          <w:rFonts w:ascii="Arial" w:eastAsia="Calibri" w:hAnsi="Arial" w:cs="Arial"/>
          <w:color w:val="000000" w:themeColor="text1"/>
          <w:sz w:val="22"/>
          <w:lang w:val="es-ES_tradnl"/>
        </w:rPr>
        <w:t>,</w:t>
      </w:r>
      <w:r w:rsidR="003B6648" w:rsidRPr="00386AC3">
        <w:rPr>
          <w:rFonts w:ascii="Arial" w:eastAsia="Calibri" w:hAnsi="Arial" w:cs="Arial"/>
          <w:color w:val="000000" w:themeColor="text1"/>
          <w:sz w:val="22"/>
          <w:lang w:val="es-ES_tradnl"/>
        </w:rPr>
        <w:t xml:space="preserve"> y de la consecuente inhabilidad</w:t>
      </w:r>
      <w:r w:rsidR="0052559C" w:rsidRPr="00386AC3">
        <w:rPr>
          <w:rFonts w:ascii="Arial" w:eastAsia="Calibri" w:hAnsi="Arial" w:cs="Arial"/>
          <w:color w:val="000000" w:themeColor="text1"/>
          <w:sz w:val="22"/>
          <w:lang w:val="es-ES_tradnl"/>
        </w:rPr>
        <w:t>,</w:t>
      </w:r>
      <w:r w:rsidR="003B6648" w:rsidRPr="00386AC3">
        <w:rPr>
          <w:rFonts w:ascii="Arial" w:eastAsia="Calibri" w:hAnsi="Arial" w:cs="Arial"/>
          <w:color w:val="000000" w:themeColor="text1"/>
          <w:sz w:val="22"/>
          <w:lang w:val="es-ES_tradnl"/>
        </w:rPr>
        <w:t xml:space="preserve"> son las personas </w:t>
      </w:r>
      <w:r w:rsidR="003B6648" w:rsidRPr="00386AC3">
        <w:rPr>
          <w:rFonts w:ascii="Arial" w:eastAsia="Calibri" w:hAnsi="Arial" w:cs="Arial"/>
          <w:i/>
          <w:iCs/>
          <w:color w:val="000000" w:themeColor="text1"/>
          <w:sz w:val="22"/>
          <w:lang w:val="es-ES_tradnl"/>
        </w:rPr>
        <w:t>jurídicas</w:t>
      </w:r>
      <w:r w:rsidR="004C778B" w:rsidRPr="00386AC3">
        <w:rPr>
          <w:rFonts w:ascii="Arial" w:eastAsia="Calibri" w:hAnsi="Arial" w:cs="Arial"/>
          <w:color w:val="000000" w:themeColor="text1"/>
          <w:sz w:val="22"/>
          <w:lang w:val="es-ES_tradnl"/>
        </w:rPr>
        <w:t xml:space="preserve">; no las personas naturales. </w:t>
      </w:r>
      <w:r w:rsidR="003B428D" w:rsidRPr="00386AC3">
        <w:rPr>
          <w:rFonts w:ascii="Arial" w:eastAsia="Calibri" w:hAnsi="Arial" w:cs="Arial"/>
          <w:color w:val="000000" w:themeColor="text1"/>
          <w:sz w:val="22"/>
          <w:lang w:val="es-ES_tradnl"/>
        </w:rPr>
        <w:t xml:space="preserve">ii) El supuesto fáctico de las sanciones y de la inhabilidad es la incursión </w:t>
      </w:r>
      <w:r w:rsidR="00302FFB" w:rsidRPr="00386AC3">
        <w:rPr>
          <w:rFonts w:ascii="Arial" w:eastAsia="Calibri" w:hAnsi="Arial" w:cs="Arial"/>
          <w:color w:val="000000" w:themeColor="text1"/>
          <w:sz w:val="22"/>
          <w:lang w:val="es-ES_tradnl"/>
        </w:rPr>
        <w:t>en</w:t>
      </w:r>
      <w:r w:rsidR="003B428D" w:rsidRPr="00386AC3">
        <w:rPr>
          <w:rFonts w:ascii="Arial" w:eastAsia="Calibri" w:hAnsi="Arial" w:cs="Arial"/>
          <w:color w:val="000000" w:themeColor="text1"/>
          <w:sz w:val="22"/>
          <w:lang w:val="es-ES_tradnl"/>
        </w:rPr>
        <w:t xml:space="preserve"> conductas que, a la luz del artículo</w:t>
      </w:r>
      <w:r w:rsidR="0064796B" w:rsidRPr="00386AC3">
        <w:rPr>
          <w:rFonts w:ascii="Arial" w:eastAsia="Calibri" w:hAnsi="Arial" w:cs="Arial"/>
          <w:color w:val="000000" w:themeColor="text1"/>
          <w:sz w:val="22"/>
          <w:lang w:val="es-ES_tradnl"/>
        </w:rPr>
        <w:t xml:space="preserve"> 433 del Código Penal –</w:t>
      </w:r>
      <w:r w:rsidR="00C82699" w:rsidRPr="00386AC3">
        <w:rPr>
          <w:rFonts w:ascii="Arial" w:eastAsia="Calibri" w:hAnsi="Arial" w:cs="Arial"/>
          <w:color w:val="000000" w:themeColor="text1"/>
          <w:sz w:val="22"/>
          <w:lang w:val="es-ES_tradnl"/>
        </w:rPr>
        <w:t xml:space="preserve">modificado por el artículo 30 de la Ley 1474 de 2011 y el artículo 30 de la Ley </w:t>
      </w:r>
      <w:r w:rsidR="00403F24" w:rsidRPr="00386AC3">
        <w:rPr>
          <w:rFonts w:ascii="Arial" w:eastAsia="Calibri" w:hAnsi="Arial" w:cs="Arial"/>
          <w:color w:val="000000" w:themeColor="text1"/>
          <w:sz w:val="22"/>
          <w:lang w:val="es-ES_tradnl"/>
        </w:rPr>
        <w:t xml:space="preserve">1778 de 2016– caben en el concepto de </w:t>
      </w:r>
      <w:r w:rsidR="00403F24" w:rsidRPr="00386AC3">
        <w:rPr>
          <w:rFonts w:ascii="Arial" w:eastAsia="Calibri" w:hAnsi="Arial" w:cs="Arial"/>
          <w:i/>
          <w:iCs/>
          <w:color w:val="000000" w:themeColor="text1"/>
          <w:sz w:val="22"/>
          <w:lang w:val="es-ES_tradnl"/>
        </w:rPr>
        <w:t xml:space="preserve">soborno transnacional. </w:t>
      </w:r>
      <w:r w:rsidR="00403F24" w:rsidRPr="00386AC3">
        <w:rPr>
          <w:rFonts w:ascii="Arial" w:eastAsia="Calibri" w:hAnsi="Arial" w:cs="Arial"/>
          <w:color w:val="000000" w:themeColor="text1"/>
          <w:sz w:val="22"/>
          <w:lang w:val="es-ES_tradnl"/>
        </w:rPr>
        <w:t>En efecto, las conductas reguladas en el artículo 2</w:t>
      </w:r>
      <w:r w:rsidR="001D7E0D" w:rsidRPr="00386AC3">
        <w:rPr>
          <w:rFonts w:ascii="Arial" w:eastAsia="Calibri" w:hAnsi="Arial" w:cs="Arial"/>
          <w:color w:val="000000" w:themeColor="text1"/>
          <w:sz w:val="22"/>
          <w:lang w:val="es-ES_tradnl"/>
        </w:rPr>
        <w:t xml:space="preserve"> de la Ley 1778 de 2016 son </w:t>
      </w:r>
      <w:r w:rsidR="001D7E0D" w:rsidRPr="00386AC3">
        <w:rPr>
          <w:rFonts w:ascii="Arial" w:eastAsia="Calibri" w:hAnsi="Arial" w:cs="Arial"/>
          <w:i/>
          <w:iCs/>
          <w:color w:val="000000" w:themeColor="text1"/>
          <w:sz w:val="22"/>
          <w:lang w:val="es-ES_tradnl"/>
        </w:rPr>
        <w:t>dar</w:t>
      </w:r>
      <w:r w:rsidR="001D7E0D" w:rsidRPr="00386AC3">
        <w:rPr>
          <w:rFonts w:ascii="Arial" w:eastAsia="Calibri" w:hAnsi="Arial" w:cs="Arial"/>
          <w:color w:val="000000" w:themeColor="text1"/>
          <w:sz w:val="22"/>
          <w:lang w:val="es-ES_tradnl"/>
        </w:rPr>
        <w:t xml:space="preserve">, </w:t>
      </w:r>
      <w:r w:rsidR="001D7E0D" w:rsidRPr="00386AC3">
        <w:rPr>
          <w:rFonts w:ascii="Arial" w:eastAsia="Calibri" w:hAnsi="Arial" w:cs="Arial"/>
          <w:i/>
          <w:iCs/>
          <w:color w:val="000000" w:themeColor="text1"/>
          <w:sz w:val="22"/>
          <w:lang w:val="es-ES_tradnl"/>
        </w:rPr>
        <w:t>ofrecer</w:t>
      </w:r>
      <w:r w:rsidR="001D7E0D" w:rsidRPr="00386AC3">
        <w:rPr>
          <w:rFonts w:ascii="Arial" w:eastAsia="Calibri" w:hAnsi="Arial" w:cs="Arial"/>
          <w:color w:val="000000" w:themeColor="text1"/>
          <w:sz w:val="22"/>
          <w:lang w:val="es-ES_tradnl"/>
        </w:rPr>
        <w:t xml:space="preserve">, </w:t>
      </w:r>
      <w:r w:rsidR="001D7E0D" w:rsidRPr="00386AC3">
        <w:rPr>
          <w:rFonts w:ascii="Arial" w:eastAsia="Calibri" w:hAnsi="Arial" w:cs="Arial"/>
          <w:i/>
          <w:iCs/>
          <w:color w:val="000000" w:themeColor="text1"/>
          <w:sz w:val="22"/>
          <w:lang w:val="es-ES_tradnl"/>
        </w:rPr>
        <w:t>o prometer</w:t>
      </w:r>
      <w:r w:rsidR="001D7E0D" w:rsidRPr="00386AC3">
        <w:rPr>
          <w:rFonts w:ascii="Arial" w:eastAsia="Calibri" w:hAnsi="Arial" w:cs="Arial"/>
          <w:color w:val="000000" w:themeColor="text1"/>
          <w:sz w:val="22"/>
          <w:lang w:val="es-ES_tradnl"/>
        </w:rPr>
        <w:t>, «a un servidor publico extranjero, directa o indirectamente: (i) sumas de dinero, (ii) cualquier objeto de valor pecuniario u (iii) otro beneficio o utilidad, a cambio de que el servidor publico extranjero; realice, omita, o retarde, cualquier acto relacionado con el ejercicio de sus funciones y en relación con un negocio o transacción internacional».</w:t>
      </w:r>
      <w:r w:rsidR="00306F83" w:rsidRPr="00386AC3">
        <w:rPr>
          <w:rFonts w:ascii="Arial" w:eastAsia="Calibri" w:hAnsi="Arial" w:cs="Arial"/>
          <w:color w:val="000000" w:themeColor="text1"/>
          <w:sz w:val="22"/>
          <w:lang w:val="es-ES_tradnl"/>
        </w:rPr>
        <w:t xml:space="preserve"> </w:t>
      </w:r>
      <w:r w:rsidR="001D7E0D" w:rsidRPr="00386AC3">
        <w:rPr>
          <w:rFonts w:ascii="Arial" w:eastAsia="Calibri" w:hAnsi="Arial" w:cs="Arial"/>
          <w:color w:val="000000" w:themeColor="text1"/>
          <w:sz w:val="22"/>
          <w:lang w:val="es-ES_tradnl"/>
        </w:rPr>
        <w:t xml:space="preserve">Y el artículo 433 del Código Penal define el soborno transnacional con los mismos verbos rectores y sujetos destinatarios de las dádivas, al indicar que </w:t>
      </w:r>
      <w:r w:rsidR="00B16143" w:rsidRPr="00386AC3">
        <w:rPr>
          <w:rFonts w:ascii="Arial" w:eastAsia="Calibri" w:hAnsi="Arial" w:cs="Arial"/>
          <w:color w:val="000000" w:themeColor="text1"/>
          <w:sz w:val="22"/>
          <w:lang w:val="es-ES_tradnl"/>
        </w:rPr>
        <w:t xml:space="preserve">la sanción penal procede para «El que </w:t>
      </w:r>
      <w:r w:rsidR="00B16143" w:rsidRPr="00386AC3">
        <w:rPr>
          <w:rFonts w:ascii="Arial" w:eastAsia="Calibri" w:hAnsi="Arial" w:cs="Arial"/>
          <w:i/>
          <w:iCs/>
          <w:color w:val="000000" w:themeColor="text1"/>
          <w:sz w:val="22"/>
          <w:lang w:val="es-ES_tradnl"/>
        </w:rPr>
        <w:t>dé</w:t>
      </w:r>
      <w:r w:rsidR="00B16143" w:rsidRPr="00386AC3">
        <w:rPr>
          <w:rFonts w:ascii="Arial" w:eastAsia="Calibri" w:hAnsi="Arial" w:cs="Arial"/>
          <w:color w:val="000000" w:themeColor="text1"/>
          <w:sz w:val="22"/>
          <w:lang w:val="es-ES_tradnl"/>
        </w:rPr>
        <w:t xml:space="preserve">, </w:t>
      </w:r>
      <w:r w:rsidR="00B16143" w:rsidRPr="00386AC3">
        <w:rPr>
          <w:rFonts w:ascii="Arial" w:eastAsia="Calibri" w:hAnsi="Arial" w:cs="Arial"/>
          <w:i/>
          <w:iCs/>
          <w:color w:val="000000" w:themeColor="text1"/>
          <w:sz w:val="22"/>
          <w:lang w:val="es-ES_tradnl"/>
        </w:rPr>
        <w:t>prometa</w:t>
      </w:r>
      <w:r w:rsidR="00B16143" w:rsidRPr="00386AC3">
        <w:rPr>
          <w:rFonts w:ascii="Arial" w:eastAsia="Calibri" w:hAnsi="Arial" w:cs="Arial"/>
          <w:color w:val="000000" w:themeColor="text1"/>
          <w:sz w:val="22"/>
          <w:lang w:val="es-ES_tradnl"/>
        </w:rPr>
        <w:t xml:space="preserve"> u </w:t>
      </w:r>
      <w:r w:rsidR="00B16143" w:rsidRPr="00386AC3">
        <w:rPr>
          <w:rFonts w:ascii="Arial" w:eastAsia="Calibri" w:hAnsi="Arial" w:cs="Arial"/>
          <w:i/>
          <w:iCs/>
          <w:color w:val="000000" w:themeColor="text1"/>
          <w:sz w:val="22"/>
          <w:lang w:val="es-ES_tradnl"/>
        </w:rPr>
        <w:t>ofrezca</w:t>
      </w:r>
      <w:r w:rsidR="00B16143" w:rsidRPr="00386AC3">
        <w:rPr>
          <w:rFonts w:ascii="Arial" w:eastAsia="Calibri" w:hAnsi="Arial" w:cs="Arial"/>
          <w:color w:val="000000" w:themeColor="text1"/>
          <w:sz w:val="22"/>
          <w:lang w:val="es-ES_tradnl"/>
        </w:rPr>
        <w:t xml:space="preserve"> a un </w:t>
      </w:r>
      <w:r w:rsidR="00B16143" w:rsidRPr="00386AC3">
        <w:rPr>
          <w:rFonts w:ascii="Arial" w:eastAsia="Calibri" w:hAnsi="Arial" w:cs="Arial"/>
          <w:i/>
          <w:iCs/>
          <w:color w:val="000000" w:themeColor="text1"/>
          <w:sz w:val="22"/>
          <w:lang w:val="es-ES_tradnl"/>
        </w:rPr>
        <w:t>servidor público extranjero</w:t>
      </w:r>
      <w:r w:rsidR="00B16143" w:rsidRPr="00386AC3">
        <w:rPr>
          <w:rFonts w:ascii="Arial" w:eastAsia="Calibri" w:hAnsi="Arial" w:cs="Arial"/>
          <w:color w:val="000000" w:themeColor="text1"/>
          <w:sz w:val="22"/>
          <w:lang w:val="es-ES_tradnl"/>
        </w:rPr>
        <w:t xml:space="preserve">, en provecho de este o de un tercero, directa o indirectamente, sumas de dinero, cualquier objeto de valor pecuniario u otro beneficio o utilidad </w:t>
      </w:r>
      <w:r w:rsidR="00B16143" w:rsidRPr="00386AC3">
        <w:rPr>
          <w:rFonts w:ascii="Arial" w:eastAsia="Calibri" w:hAnsi="Arial" w:cs="Arial"/>
          <w:i/>
          <w:iCs/>
          <w:color w:val="000000" w:themeColor="text1"/>
          <w:sz w:val="22"/>
          <w:lang w:val="es-ES_tradnl"/>
        </w:rPr>
        <w:t>a cambio de que este realice, omita o retarde cualquier acto relacionado con el ejercicio de sus funciones y en relación con un negocio o transacción internacional</w:t>
      </w:r>
      <w:r w:rsidR="008D6639" w:rsidRPr="00386AC3">
        <w:rPr>
          <w:rFonts w:ascii="Arial" w:eastAsia="Calibri" w:hAnsi="Arial" w:cs="Arial"/>
          <w:color w:val="000000" w:themeColor="text1"/>
          <w:sz w:val="22"/>
          <w:lang w:val="es-ES_tradnl"/>
        </w:rPr>
        <w:t>»</w:t>
      </w:r>
      <w:r w:rsidR="003B11E7" w:rsidRPr="00386AC3">
        <w:rPr>
          <w:rFonts w:ascii="Arial" w:eastAsia="Calibri" w:hAnsi="Arial" w:cs="Arial"/>
          <w:color w:val="000000" w:themeColor="text1"/>
          <w:sz w:val="22"/>
          <w:lang w:val="es-ES_tradnl"/>
        </w:rPr>
        <w:t xml:space="preserve"> (énfasis fuera de texto)</w:t>
      </w:r>
      <w:r w:rsidR="008D6639" w:rsidRPr="00386AC3">
        <w:rPr>
          <w:rFonts w:ascii="Arial" w:eastAsia="Calibri" w:hAnsi="Arial" w:cs="Arial"/>
          <w:color w:val="000000" w:themeColor="text1"/>
          <w:sz w:val="22"/>
          <w:lang w:val="es-ES_tradnl"/>
        </w:rPr>
        <w:t>.</w:t>
      </w:r>
      <w:r w:rsidR="002E5CF0" w:rsidRPr="00386AC3">
        <w:rPr>
          <w:rFonts w:ascii="Arial" w:eastAsia="Calibri" w:hAnsi="Arial" w:cs="Arial"/>
          <w:color w:val="000000" w:themeColor="text1"/>
          <w:sz w:val="22"/>
          <w:lang w:val="es-ES_tradnl"/>
        </w:rPr>
        <w:t xml:space="preserve"> iii) Por tanto, la sanción de inhabilidad de </w:t>
      </w:r>
      <w:r w:rsidR="00713CE9" w:rsidRPr="00386AC3">
        <w:rPr>
          <w:rFonts w:ascii="Arial" w:eastAsia="Calibri" w:hAnsi="Arial" w:cs="Arial"/>
          <w:color w:val="000000" w:themeColor="text1"/>
          <w:sz w:val="22"/>
          <w:lang w:val="es-ES_tradnl"/>
        </w:rPr>
        <w:t xml:space="preserve">«hasta </w:t>
      </w:r>
      <w:r w:rsidR="002E5CF0" w:rsidRPr="00386AC3">
        <w:rPr>
          <w:rFonts w:ascii="Arial" w:eastAsia="Calibri" w:hAnsi="Arial" w:cs="Arial"/>
          <w:color w:val="000000" w:themeColor="text1"/>
          <w:sz w:val="22"/>
          <w:lang w:val="es-ES_tradnl"/>
        </w:rPr>
        <w:t>veinte (20) años</w:t>
      </w:r>
      <w:r w:rsidR="00713CE9" w:rsidRPr="00386AC3">
        <w:rPr>
          <w:rFonts w:ascii="Arial" w:eastAsia="Calibri" w:hAnsi="Arial" w:cs="Arial"/>
          <w:color w:val="000000" w:themeColor="text1"/>
          <w:sz w:val="22"/>
          <w:lang w:val="es-ES_tradnl"/>
        </w:rPr>
        <w:t>»</w:t>
      </w:r>
      <w:r w:rsidR="002E5CF0" w:rsidRPr="00386AC3">
        <w:rPr>
          <w:rFonts w:ascii="Arial" w:eastAsia="Calibri" w:hAnsi="Arial" w:cs="Arial"/>
          <w:color w:val="000000" w:themeColor="text1"/>
          <w:sz w:val="22"/>
          <w:lang w:val="es-ES_tradnl"/>
        </w:rPr>
        <w:t xml:space="preserve"> para contratar con el Estado, consagrada</w:t>
      </w:r>
      <w:r w:rsidR="004D3D6C" w:rsidRPr="00386AC3">
        <w:rPr>
          <w:rFonts w:ascii="Arial" w:eastAsia="Calibri" w:hAnsi="Arial" w:cs="Arial"/>
          <w:color w:val="000000" w:themeColor="text1"/>
          <w:sz w:val="22"/>
          <w:lang w:val="es-ES_tradnl"/>
        </w:rPr>
        <w:t>,</w:t>
      </w:r>
      <w:r w:rsidR="002E5CF0" w:rsidRPr="00386AC3">
        <w:rPr>
          <w:rFonts w:ascii="Arial" w:eastAsia="Calibri" w:hAnsi="Arial" w:cs="Arial"/>
          <w:color w:val="000000" w:themeColor="text1"/>
          <w:sz w:val="22"/>
          <w:lang w:val="es-ES_tradnl"/>
        </w:rPr>
        <w:t xml:space="preserve"> actualmente</w:t>
      </w:r>
      <w:r w:rsidR="004D3D6C" w:rsidRPr="00386AC3">
        <w:rPr>
          <w:rFonts w:ascii="Arial" w:eastAsia="Calibri" w:hAnsi="Arial" w:cs="Arial"/>
          <w:color w:val="000000" w:themeColor="text1"/>
          <w:sz w:val="22"/>
          <w:lang w:val="es-ES_tradnl"/>
        </w:rPr>
        <w:t>,</w:t>
      </w:r>
      <w:r w:rsidR="002E5CF0" w:rsidRPr="00386AC3">
        <w:rPr>
          <w:rFonts w:ascii="Arial" w:eastAsia="Calibri" w:hAnsi="Arial" w:cs="Arial"/>
          <w:color w:val="000000" w:themeColor="text1"/>
          <w:sz w:val="22"/>
          <w:lang w:val="es-ES_tradnl"/>
        </w:rPr>
        <w:t xml:space="preserve"> en el artículo</w:t>
      </w:r>
      <w:r w:rsidR="00D03704" w:rsidRPr="00386AC3">
        <w:rPr>
          <w:rFonts w:ascii="Arial" w:eastAsia="Calibri" w:hAnsi="Arial" w:cs="Arial"/>
          <w:color w:val="000000" w:themeColor="text1"/>
          <w:sz w:val="22"/>
          <w:lang w:val="es-ES_tradnl"/>
        </w:rPr>
        <w:t xml:space="preserve"> 5, numeral </w:t>
      </w:r>
      <w:r w:rsidR="00800FA0" w:rsidRPr="00386AC3">
        <w:rPr>
          <w:rFonts w:ascii="Arial" w:eastAsia="Calibri" w:hAnsi="Arial" w:cs="Arial"/>
          <w:color w:val="000000" w:themeColor="text1"/>
          <w:sz w:val="22"/>
          <w:lang w:val="es-ES_tradnl"/>
        </w:rPr>
        <w:t xml:space="preserve">2, de la Ley 1778 de 2016, modificado por el artículo 21 de la Ley 2195 de 2022, se aplica a las </w:t>
      </w:r>
      <w:r w:rsidR="00800FA0" w:rsidRPr="00386AC3">
        <w:rPr>
          <w:rFonts w:ascii="Arial" w:eastAsia="Calibri" w:hAnsi="Arial" w:cs="Arial"/>
          <w:i/>
          <w:iCs/>
          <w:color w:val="000000" w:themeColor="text1"/>
          <w:sz w:val="22"/>
          <w:lang w:val="es-ES_tradnl"/>
        </w:rPr>
        <w:t>personas jurídicas</w:t>
      </w:r>
      <w:r w:rsidR="00800FA0" w:rsidRPr="00386AC3">
        <w:rPr>
          <w:rFonts w:ascii="Arial" w:eastAsia="Calibri" w:hAnsi="Arial" w:cs="Arial"/>
          <w:color w:val="000000" w:themeColor="text1"/>
          <w:sz w:val="22"/>
          <w:lang w:val="es-ES_tradnl"/>
        </w:rPr>
        <w:t xml:space="preserve"> sancionadas</w:t>
      </w:r>
      <w:r w:rsidR="001632C2" w:rsidRPr="00386AC3">
        <w:rPr>
          <w:rFonts w:ascii="Arial" w:eastAsia="Calibri" w:hAnsi="Arial" w:cs="Arial"/>
          <w:color w:val="000000" w:themeColor="text1"/>
          <w:sz w:val="22"/>
          <w:lang w:val="es-ES_tradnl"/>
        </w:rPr>
        <w:t xml:space="preserve"> administrativamente</w:t>
      </w:r>
      <w:r w:rsidR="00800FA0" w:rsidRPr="00386AC3">
        <w:rPr>
          <w:rFonts w:ascii="Arial" w:eastAsia="Calibri" w:hAnsi="Arial" w:cs="Arial"/>
          <w:color w:val="000000" w:themeColor="text1"/>
          <w:sz w:val="22"/>
          <w:lang w:val="es-ES_tradnl"/>
        </w:rPr>
        <w:t xml:space="preserve"> por la comisión de </w:t>
      </w:r>
      <w:r w:rsidR="00470B52" w:rsidRPr="00386AC3">
        <w:rPr>
          <w:rFonts w:ascii="Arial" w:eastAsia="Calibri" w:hAnsi="Arial" w:cs="Arial"/>
          <w:color w:val="000000" w:themeColor="text1"/>
          <w:sz w:val="22"/>
          <w:lang w:val="es-ES_tradnl"/>
        </w:rPr>
        <w:t xml:space="preserve">conductas que ingresan </w:t>
      </w:r>
      <w:r w:rsidR="001632C2" w:rsidRPr="00386AC3">
        <w:rPr>
          <w:rFonts w:ascii="Arial" w:eastAsia="Calibri" w:hAnsi="Arial" w:cs="Arial"/>
          <w:color w:val="000000" w:themeColor="text1"/>
          <w:sz w:val="22"/>
          <w:lang w:val="es-ES_tradnl"/>
        </w:rPr>
        <w:t>en el</w:t>
      </w:r>
      <w:r w:rsidR="00470B52" w:rsidRPr="00386AC3">
        <w:rPr>
          <w:rFonts w:ascii="Arial" w:eastAsia="Calibri" w:hAnsi="Arial" w:cs="Arial"/>
          <w:color w:val="000000" w:themeColor="text1"/>
          <w:sz w:val="22"/>
          <w:lang w:val="es-ES_tradnl"/>
        </w:rPr>
        <w:t xml:space="preserve"> tipo de </w:t>
      </w:r>
      <w:r w:rsidR="00470B52" w:rsidRPr="00386AC3">
        <w:rPr>
          <w:rFonts w:ascii="Arial" w:eastAsia="Calibri" w:hAnsi="Arial" w:cs="Arial"/>
          <w:i/>
          <w:iCs/>
          <w:color w:val="000000" w:themeColor="text1"/>
          <w:sz w:val="22"/>
          <w:lang w:val="es-ES_tradnl"/>
        </w:rPr>
        <w:t>soborno transnacional</w:t>
      </w:r>
      <w:r w:rsidR="00470B52" w:rsidRPr="00386AC3">
        <w:rPr>
          <w:rFonts w:ascii="Arial" w:eastAsia="Calibri" w:hAnsi="Arial" w:cs="Arial"/>
          <w:color w:val="000000" w:themeColor="text1"/>
          <w:sz w:val="22"/>
          <w:lang w:val="es-ES_tradnl"/>
        </w:rPr>
        <w:t>, de acuerdo con lo explicado previamente.</w:t>
      </w:r>
    </w:p>
    <w:p w14:paraId="2C0ACB18" w14:textId="109800DB" w:rsidR="004B47B4" w:rsidRPr="00386AC3" w:rsidRDefault="009E22E8" w:rsidP="004B47B4">
      <w:pPr>
        <w:spacing w:before="120" w:line="276" w:lineRule="auto"/>
        <w:ind w:firstLine="709"/>
        <w:jc w:val="both"/>
        <w:rPr>
          <w:rFonts w:ascii="Arial" w:eastAsia="Calibri" w:hAnsi="Arial" w:cs="Arial"/>
          <w:color w:val="000000" w:themeColor="text1"/>
          <w:sz w:val="22"/>
          <w:lang w:val="es-ES_tradnl"/>
        </w:rPr>
      </w:pPr>
      <w:r w:rsidRPr="00386AC3">
        <w:rPr>
          <w:rFonts w:ascii="Arial" w:eastAsia="Calibri" w:hAnsi="Arial" w:cs="Arial"/>
          <w:color w:val="000000" w:themeColor="text1"/>
          <w:sz w:val="22"/>
          <w:lang w:val="es-ES_tradnl"/>
        </w:rPr>
        <w:t>Corresponde</w:t>
      </w:r>
      <w:r w:rsidR="004B47B4" w:rsidRPr="00386AC3">
        <w:rPr>
          <w:rFonts w:ascii="Arial" w:eastAsia="Calibri" w:hAnsi="Arial" w:cs="Arial"/>
          <w:color w:val="000000" w:themeColor="text1"/>
          <w:sz w:val="22"/>
          <w:lang w:val="es-ES_tradnl"/>
        </w:rPr>
        <w:t>,</w:t>
      </w:r>
      <w:r w:rsidRPr="00386AC3">
        <w:rPr>
          <w:rFonts w:ascii="Arial" w:eastAsia="Calibri" w:hAnsi="Arial" w:cs="Arial"/>
          <w:color w:val="000000" w:themeColor="text1"/>
          <w:sz w:val="22"/>
          <w:lang w:val="es-ES_tradnl"/>
        </w:rPr>
        <w:t xml:space="preserve"> </w:t>
      </w:r>
      <w:r w:rsidR="004B47B4" w:rsidRPr="00386AC3">
        <w:rPr>
          <w:rFonts w:ascii="Arial" w:eastAsia="Calibri" w:hAnsi="Arial" w:cs="Arial"/>
          <w:color w:val="000000" w:themeColor="text1"/>
          <w:sz w:val="22"/>
          <w:lang w:val="es-ES_tradnl"/>
        </w:rPr>
        <w:t xml:space="preserve">por tanto, </w:t>
      </w:r>
      <w:r w:rsidRPr="00386AC3">
        <w:rPr>
          <w:rFonts w:ascii="Arial" w:eastAsia="Calibri" w:hAnsi="Arial" w:cs="Arial"/>
          <w:color w:val="000000" w:themeColor="text1"/>
          <w:sz w:val="22"/>
          <w:lang w:val="es-ES_tradnl"/>
        </w:rPr>
        <w:t>a la Agencia Nacional de Contratación Pública – Colombia Compra Eficiente, determinar</w:t>
      </w:r>
      <w:r w:rsidR="004B47B4" w:rsidRPr="00386AC3">
        <w:rPr>
          <w:rFonts w:ascii="Arial" w:eastAsia="Calibri" w:hAnsi="Arial" w:cs="Arial"/>
          <w:color w:val="000000" w:themeColor="text1"/>
          <w:sz w:val="22"/>
          <w:lang w:val="es-ES_tradnl"/>
        </w:rPr>
        <w:t xml:space="preserve"> </w:t>
      </w:r>
      <w:r w:rsidR="00AB6602" w:rsidRPr="00386AC3">
        <w:rPr>
          <w:rFonts w:ascii="Arial" w:eastAsia="Calibri" w:hAnsi="Arial" w:cs="Arial"/>
          <w:color w:val="000000" w:themeColor="text1"/>
          <w:sz w:val="22"/>
          <w:lang w:val="es-ES_tradnl"/>
        </w:rPr>
        <w:t xml:space="preserve">si </w:t>
      </w:r>
      <w:r w:rsidR="00902F53" w:rsidRPr="00386AC3">
        <w:rPr>
          <w:rFonts w:ascii="Arial" w:eastAsia="Calibri" w:hAnsi="Arial" w:cs="Arial"/>
          <w:color w:val="000000" w:themeColor="text1"/>
          <w:sz w:val="22"/>
          <w:lang w:val="es-ES_tradnl"/>
        </w:rPr>
        <w:t>el artículo 21 de la Ley 2195 de 2022 produjo una derogatoria tácita</w:t>
      </w:r>
      <w:r w:rsidR="008E73D4" w:rsidRPr="00386AC3">
        <w:rPr>
          <w:rStyle w:val="Refdenotaalpie"/>
          <w:rFonts w:ascii="Arial" w:eastAsia="Calibri" w:hAnsi="Arial" w:cs="Arial"/>
          <w:color w:val="000000" w:themeColor="text1"/>
          <w:sz w:val="22"/>
          <w:lang w:val="es-ES_tradnl"/>
        </w:rPr>
        <w:footnoteReference w:id="18"/>
      </w:r>
      <w:r w:rsidR="00902F53" w:rsidRPr="00386AC3">
        <w:rPr>
          <w:rFonts w:ascii="Arial" w:eastAsia="Calibri" w:hAnsi="Arial" w:cs="Arial"/>
          <w:color w:val="000000" w:themeColor="text1"/>
          <w:sz w:val="22"/>
          <w:lang w:val="es-ES_tradnl"/>
        </w:rPr>
        <w:t xml:space="preserve"> </w:t>
      </w:r>
      <w:r w:rsidR="00902F53" w:rsidRPr="00386AC3">
        <w:rPr>
          <w:rFonts w:ascii="Arial" w:eastAsia="Calibri" w:hAnsi="Arial" w:cs="Arial"/>
          <w:i/>
          <w:iCs/>
          <w:color w:val="000000" w:themeColor="text1"/>
          <w:sz w:val="22"/>
          <w:lang w:val="es-ES_tradnl"/>
        </w:rPr>
        <w:t>parcial</w:t>
      </w:r>
      <w:r w:rsidR="00902F53" w:rsidRPr="00386AC3">
        <w:rPr>
          <w:rFonts w:ascii="Arial" w:eastAsia="Calibri" w:hAnsi="Arial" w:cs="Arial"/>
          <w:color w:val="000000" w:themeColor="text1"/>
          <w:sz w:val="22"/>
          <w:lang w:val="es-ES_tradnl"/>
        </w:rPr>
        <w:t xml:space="preserve"> </w:t>
      </w:r>
      <w:r w:rsidR="007158D3" w:rsidRPr="00386AC3">
        <w:rPr>
          <w:rFonts w:ascii="Arial" w:eastAsia="Calibri" w:hAnsi="Arial" w:cs="Arial"/>
          <w:color w:val="000000" w:themeColor="text1"/>
          <w:sz w:val="22"/>
          <w:lang w:val="es-ES_tradnl"/>
        </w:rPr>
        <w:t xml:space="preserve">del </w:t>
      </w:r>
      <w:r w:rsidR="008E73D4" w:rsidRPr="00386AC3">
        <w:rPr>
          <w:rFonts w:ascii="Arial" w:eastAsia="Calibri" w:hAnsi="Arial" w:cs="Arial"/>
          <w:color w:val="000000" w:themeColor="text1"/>
          <w:sz w:val="22"/>
          <w:lang w:val="es-ES_tradnl"/>
        </w:rPr>
        <w:t>artículo 8, numeral 1, literal j) de la Ley 80 de 1993</w:t>
      </w:r>
      <w:r w:rsidR="00AB6602" w:rsidRPr="00386AC3">
        <w:rPr>
          <w:rFonts w:ascii="Arial" w:eastAsia="Calibri" w:hAnsi="Arial" w:cs="Arial"/>
          <w:color w:val="000000" w:themeColor="text1"/>
          <w:sz w:val="22"/>
          <w:lang w:val="es-ES_tradnl"/>
        </w:rPr>
        <w:t xml:space="preserve">, o si </w:t>
      </w:r>
      <w:r w:rsidR="00AB6602" w:rsidRPr="00386AC3">
        <w:rPr>
          <w:rFonts w:ascii="Arial" w:eastAsia="Calibri" w:hAnsi="Arial" w:cs="Arial"/>
          <w:color w:val="000000" w:themeColor="text1"/>
          <w:sz w:val="22"/>
          <w:lang w:val="es-ES_tradnl"/>
        </w:rPr>
        <w:lastRenderedPageBreak/>
        <w:t xml:space="preserve">ambas disposiciones normativas conservan su vigencia y deben aplicarse en un sentido </w:t>
      </w:r>
      <w:r w:rsidR="00AB6602" w:rsidRPr="00386AC3">
        <w:rPr>
          <w:rFonts w:ascii="Arial" w:eastAsia="Calibri" w:hAnsi="Arial" w:cs="Arial"/>
          <w:i/>
          <w:iCs/>
          <w:color w:val="000000" w:themeColor="text1"/>
          <w:sz w:val="22"/>
          <w:lang w:val="es-ES_tradnl"/>
        </w:rPr>
        <w:t>armónico</w:t>
      </w:r>
      <w:r w:rsidR="007D1044" w:rsidRPr="00386AC3">
        <w:rPr>
          <w:rFonts w:ascii="Arial" w:eastAsia="Calibri" w:hAnsi="Arial" w:cs="Arial"/>
          <w:i/>
          <w:iCs/>
          <w:color w:val="000000" w:themeColor="text1"/>
          <w:sz w:val="22"/>
          <w:lang w:val="es-ES_tradnl"/>
        </w:rPr>
        <w:t xml:space="preserve"> o sistemático</w:t>
      </w:r>
      <w:r w:rsidR="00AB6602" w:rsidRPr="00386AC3">
        <w:rPr>
          <w:rFonts w:ascii="Arial" w:eastAsia="Calibri" w:hAnsi="Arial" w:cs="Arial"/>
          <w:color w:val="000000" w:themeColor="text1"/>
          <w:sz w:val="22"/>
          <w:lang w:val="es-ES_tradnl"/>
        </w:rPr>
        <w:t>.</w:t>
      </w:r>
      <w:r w:rsidR="001A7F40" w:rsidRPr="00386AC3">
        <w:rPr>
          <w:rFonts w:ascii="Arial" w:eastAsia="Calibri" w:hAnsi="Arial" w:cs="Arial"/>
          <w:color w:val="000000" w:themeColor="text1"/>
          <w:sz w:val="22"/>
          <w:lang w:val="es-ES_tradnl"/>
        </w:rPr>
        <w:t xml:space="preserve"> C</w:t>
      </w:r>
      <w:r w:rsidR="002B3080" w:rsidRPr="00386AC3">
        <w:rPr>
          <w:rFonts w:ascii="Arial" w:eastAsia="Calibri" w:hAnsi="Arial" w:cs="Arial"/>
          <w:color w:val="000000" w:themeColor="text1"/>
          <w:sz w:val="22"/>
          <w:lang w:val="es-ES_tradnl"/>
        </w:rPr>
        <w:t>omo se indicó en el numeral 2.1. de este concepto, la interpretación del régimen de inhabilidades e incompatibilidades para contratar con el Estado debe gobernarse por parámetros axiológicos garantistas, de manera que no se limiten arbitrariamente los derechos fundamentales de los interesados y proponentes.</w:t>
      </w:r>
      <w:r w:rsidR="00C84F5A" w:rsidRPr="00386AC3">
        <w:rPr>
          <w:rFonts w:ascii="Arial" w:eastAsia="Calibri" w:hAnsi="Arial" w:cs="Arial"/>
          <w:color w:val="000000" w:themeColor="text1"/>
          <w:sz w:val="22"/>
          <w:lang w:val="es-ES_tradnl"/>
        </w:rPr>
        <w:t xml:space="preserve"> </w:t>
      </w:r>
      <w:r w:rsidR="009F230B" w:rsidRPr="00386AC3">
        <w:rPr>
          <w:rFonts w:ascii="Arial" w:eastAsia="Calibri" w:hAnsi="Arial" w:cs="Arial"/>
          <w:color w:val="000000" w:themeColor="text1"/>
          <w:sz w:val="22"/>
          <w:lang w:val="es-ES_tradnl"/>
        </w:rPr>
        <w:t xml:space="preserve">En este orden de ideas, si se llegara a la conclusión de que el término de </w:t>
      </w:r>
      <w:r w:rsidR="007F3885" w:rsidRPr="00386AC3">
        <w:rPr>
          <w:rFonts w:ascii="Arial" w:eastAsia="Calibri" w:hAnsi="Arial" w:cs="Arial"/>
          <w:color w:val="000000" w:themeColor="text1"/>
          <w:sz w:val="22"/>
          <w:lang w:val="es-ES_tradnl"/>
        </w:rPr>
        <w:t>«hasta veinte (20) años», previsto en el artículo 21 de la Ley 2195 de 2022, se aplica</w:t>
      </w:r>
      <w:r w:rsidR="00C3341A" w:rsidRPr="00386AC3">
        <w:rPr>
          <w:rFonts w:ascii="Arial" w:eastAsia="Calibri" w:hAnsi="Arial" w:cs="Arial"/>
          <w:color w:val="000000" w:themeColor="text1"/>
          <w:sz w:val="22"/>
          <w:lang w:val="es-ES_tradnl"/>
        </w:rPr>
        <w:t>, exactamente,</w:t>
      </w:r>
      <w:r w:rsidR="007F3885" w:rsidRPr="00386AC3">
        <w:rPr>
          <w:rFonts w:ascii="Arial" w:eastAsia="Calibri" w:hAnsi="Arial" w:cs="Arial"/>
          <w:color w:val="000000" w:themeColor="text1"/>
          <w:sz w:val="22"/>
          <w:lang w:val="es-ES_tradnl"/>
        </w:rPr>
        <w:t xml:space="preserve"> </w:t>
      </w:r>
      <w:r w:rsidR="007F3885" w:rsidRPr="00386AC3">
        <w:rPr>
          <w:rFonts w:ascii="Arial" w:eastAsia="Calibri" w:hAnsi="Arial" w:cs="Arial"/>
          <w:i/>
          <w:iCs/>
          <w:color w:val="000000" w:themeColor="text1"/>
          <w:sz w:val="22"/>
          <w:lang w:val="es-ES_tradnl"/>
        </w:rPr>
        <w:t>a las mismas conductas</w:t>
      </w:r>
      <w:r w:rsidR="007F3885" w:rsidRPr="00386AC3">
        <w:rPr>
          <w:rFonts w:ascii="Arial" w:eastAsia="Calibri" w:hAnsi="Arial" w:cs="Arial"/>
          <w:color w:val="000000" w:themeColor="text1"/>
          <w:sz w:val="22"/>
          <w:lang w:val="es-ES_tradnl"/>
        </w:rPr>
        <w:t xml:space="preserve"> reguladas en el artículo 8, numeral 1, literal j) de la Ley 80 de 1993, debe</w:t>
      </w:r>
      <w:r w:rsidR="00093F7A" w:rsidRPr="00386AC3">
        <w:rPr>
          <w:rFonts w:ascii="Arial" w:eastAsia="Calibri" w:hAnsi="Arial" w:cs="Arial"/>
          <w:color w:val="000000" w:themeColor="text1"/>
          <w:sz w:val="22"/>
          <w:lang w:val="es-ES_tradnl"/>
        </w:rPr>
        <w:t>ría</w:t>
      </w:r>
      <w:r w:rsidR="007F3885" w:rsidRPr="00386AC3">
        <w:rPr>
          <w:rFonts w:ascii="Arial" w:eastAsia="Calibri" w:hAnsi="Arial" w:cs="Arial"/>
          <w:color w:val="000000" w:themeColor="text1"/>
          <w:sz w:val="22"/>
          <w:lang w:val="es-ES_tradnl"/>
        </w:rPr>
        <w:t xml:space="preserve"> primar</w:t>
      </w:r>
      <w:r w:rsidR="00093F7A" w:rsidRPr="00386AC3">
        <w:rPr>
          <w:rFonts w:ascii="Arial" w:eastAsia="Calibri" w:hAnsi="Arial" w:cs="Arial"/>
          <w:color w:val="000000" w:themeColor="text1"/>
          <w:sz w:val="22"/>
          <w:lang w:val="es-ES_tradnl"/>
        </w:rPr>
        <w:t xml:space="preserve"> aquel.</w:t>
      </w:r>
    </w:p>
    <w:p w14:paraId="62DEB769" w14:textId="2337B9C4" w:rsidR="002B3080" w:rsidRPr="00386AC3" w:rsidRDefault="002B3080" w:rsidP="004B47B4">
      <w:pPr>
        <w:spacing w:before="120" w:line="276" w:lineRule="auto"/>
        <w:ind w:firstLine="709"/>
        <w:jc w:val="both"/>
        <w:rPr>
          <w:rFonts w:ascii="Arial" w:eastAsia="Calibri" w:hAnsi="Arial" w:cs="Arial"/>
          <w:color w:val="000000" w:themeColor="text1"/>
          <w:sz w:val="22"/>
          <w:lang w:val="es-ES_tradnl"/>
        </w:rPr>
      </w:pPr>
      <w:r w:rsidRPr="00386AC3">
        <w:rPr>
          <w:rFonts w:ascii="Arial" w:eastAsia="Calibri" w:hAnsi="Arial" w:cs="Arial"/>
          <w:color w:val="000000" w:themeColor="text1"/>
          <w:sz w:val="22"/>
          <w:lang w:val="es-ES_tradnl"/>
        </w:rPr>
        <w:t xml:space="preserve">En </w:t>
      </w:r>
      <w:r w:rsidR="00C07C09" w:rsidRPr="00386AC3">
        <w:rPr>
          <w:rFonts w:ascii="Arial" w:eastAsia="Calibri" w:hAnsi="Arial" w:cs="Arial"/>
          <w:color w:val="000000" w:themeColor="text1"/>
          <w:sz w:val="22"/>
          <w:lang w:val="es-ES_tradnl"/>
        </w:rPr>
        <w:t>efecto</w:t>
      </w:r>
      <w:r w:rsidRPr="00386AC3">
        <w:rPr>
          <w:rFonts w:ascii="Arial" w:eastAsia="Calibri" w:hAnsi="Arial" w:cs="Arial"/>
          <w:color w:val="000000" w:themeColor="text1"/>
          <w:sz w:val="22"/>
          <w:lang w:val="es-ES_tradnl"/>
        </w:rPr>
        <w:t>, si una disposición normativa consagra un término menos gravoso para una inhabilidad</w:t>
      </w:r>
      <w:r w:rsidR="00C3341A" w:rsidRPr="00386AC3">
        <w:rPr>
          <w:rFonts w:ascii="Arial" w:eastAsia="Calibri" w:hAnsi="Arial" w:cs="Arial"/>
          <w:color w:val="000000" w:themeColor="text1"/>
          <w:sz w:val="22"/>
          <w:lang w:val="es-ES_tradnl"/>
        </w:rPr>
        <w:t>,</w:t>
      </w:r>
      <w:r w:rsidRPr="00386AC3">
        <w:rPr>
          <w:rFonts w:ascii="Arial" w:eastAsia="Calibri" w:hAnsi="Arial" w:cs="Arial"/>
          <w:color w:val="000000" w:themeColor="text1"/>
          <w:sz w:val="22"/>
          <w:lang w:val="es-ES_tradnl"/>
        </w:rPr>
        <w:t xml:space="preserve"> y es posterior</w:t>
      </w:r>
      <w:r w:rsidR="00093F7A" w:rsidRPr="00386AC3">
        <w:rPr>
          <w:rFonts w:ascii="Arial" w:eastAsia="Calibri" w:hAnsi="Arial" w:cs="Arial"/>
          <w:color w:val="000000" w:themeColor="text1"/>
          <w:sz w:val="22"/>
          <w:lang w:val="es-ES_tradnl"/>
        </w:rPr>
        <w:t>,</w:t>
      </w:r>
      <w:r w:rsidRPr="00386AC3">
        <w:rPr>
          <w:rFonts w:ascii="Arial" w:eastAsia="Calibri" w:hAnsi="Arial" w:cs="Arial"/>
          <w:color w:val="000000" w:themeColor="text1"/>
          <w:sz w:val="22"/>
          <w:lang w:val="es-ES_tradnl"/>
        </w:rPr>
        <w:t xml:space="preserve"> cronológicamente, debe interpretarse que este es el término vigente, en virtud del </w:t>
      </w:r>
      <w:r w:rsidRPr="00386AC3">
        <w:rPr>
          <w:rFonts w:ascii="Arial" w:eastAsia="Calibri" w:hAnsi="Arial" w:cs="Arial"/>
          <w:i/>
          <w:iCs/>
          <w:color w:val="000000" w:themeColor="text1"/>
          <w:sz w:val="22"/>
          <w:lang w:val="es-ES_tradnl"/>
        </w:rPr>
        <w:t>principio de favorabilidad</w:t>
      </w:r>
      <w:r w:rsidRPr="00386AC3">
        <w:rPr>
          <w:rFonts w:ascii="Arial" w:eastAsia="Calibri" w:hAnsi="Arial" w:cs="Arial"/>
          <w:color w:val="000000" w:themeColor="text1"/>
          <w:sz w:val="22"/>
          <w:lang w:val="es-ES_tradnl"/>
        </w:rPr>
        <w:t>, que también se aplica en los procedimientos administrativos. Así lo ha reconocido tanto la Corte Constitucional, como el Consejo de Estado, en desarrollo del primer inciso del artículo 29 de la Constitución, que extiende a las actuaciones administrativas el derecho fundamental al debido proceso. Verbigracia, en la sentencia T-1087 de 2005</w:t>
      </w:r>
      <w:r w:rsidRPr="00386AC3">
        <w:rPr>
          <w:rStyle w:val="Refdenotaalpie"/>
          <w:rFonts w:ascii="Arial" w:eastAsia="Calibri" w:hAnsi="Arial" w:cs="Arial"/>
          <w:color w:val="000000" w:themeColor="text1"/>
          <w:sz w:val="22"/>
          <w:lang w:val="es-ES_tradnl"/>
        </w:rPr>
        <w:footnoteReference w:id="19"/>
      </w:r>
      <w:r w:rsidRPr="00386AC3">
        <w:rPr>
          <w:rFonts w:ascii="Arial" w:eastAsia="Calibri" w:hAnsi="Arial" w:cs="Arial"/>
          <w:color w:val="000000" w:themeColor="text1"/>
          <w:sz w:val="22"/>
          <w:lang w:val="es-ES_tradnl"/>
        </w:rPr>
        <w:t>, la Corte Constitucional hizo un interesante recuento de su jurisprudencia, concluyendo que la regla contenida en el tercer inciso del artículo 29 de la Constitución –que establece que «la ley permisiva o favorable, aun cuando sea posterior, se aplicará de preferencia a la restrictiva o desfavorable»</w:t>
      </w:r>
      <w:r w:rsidR="006A6F9D" w:rsidRPr="00386AC3">
        <w:rPr>
          <w:rFonts w:ascii="Arial" w:eastAsia="Calibri" w:hAnsi="Arial" w:cs="Arial"/>
          <w:color w:val="000000" w:themeColor="text1"/>
          <w:sz w:val="22"/>
          <w:lang w:val="es-ES_tradnl"/>
        </w:rPr>
        <w:t>–</w:t>
      </w:r>
      <w:r w:rsidRPr="00386AC3">
        <w:rPr>
          <w:rFonts w:ascii="Arial" w:eastAsia="Calibri" w:hAnsi="Arial" w:cs="Arial"/>
          <w:color w:val="000000" w:themeColor="text1"/>
          <w:sz w:val="22"/>
          <w:lang w:val="es-ES_tradnl"/>
        </w:rPr>
        <w:t xml:space="preserve"> también rige en el ámbito del derecho administrativo sancionador, o sea que no puede interpretarse como exclusiva del derecho penal. En armonía con esta tesis, el Consejo de Estado ha admitido la aplicación del principio de favorabilidad en materia sancionatoria y, concretamente, en la contratación estatal, afirmando lo siguiente:</w:t>
      </w:r>
    </w:p>
    <w:p w14:paraId="152F2451" w14:textId="77777777" w:rsidR="002B3080" w:rsidRPr="00386AC3" w:rsidRDefault="002B3080" w:rsidP="002B3080">
      <w:pPr>
        <w:ind w:left="709" w:right="709"/>
        <w:jc w:val="both"/>
        <w:rPr>
          <w:rFonts w:ascii="Arial" w:eastAsia="Calibri" w:hAnsi="Arial" w:cs="Arial"/>
          <w:color w:val="000000" w:themeColor="text1"/>
          <w:sz w:val="21"/>
          <w:szCs w:val="21"/>
          <w:lang w:val="es-ES_tradnl"/>
        </w:rPr>
      </w:pPr>
    </w:p>
    <w:p w14:paraId="4C9103DA" w14:textId="77777777" w:rsidR="002B3080" w:rsidRPr="00386AC3" w:rsidRDefault="002B3080" w:rsidP="002B3080">
      <w:pPr>
        <w:ind w:left="709" w:right="709"/>
        <w:jc w:val="both"/>
        <w:rPr>
          <w:rFonts w:ascii="Arial" w:eastAsia="Calibri" w:hAnsi="Arial" w:cs="Arial"/>
          <w:color w:val="000000" w:themeColor="text1"/>
          <w:sz w:val="21"/>
          <w:szCs w:val="21"/>
          <w:lang w:val="es-ES_tradnl"/>
        </w:rPr>
      </w:pPr>
      <w:r w:rsidRPr="00386AC3">
        <w:rPr>
          <w:rFonts w:ascii="Arial" w:eastAsia="Calibri" w:hAnsi="Arial" w:cs="Arial"/>
          <w:color w:val="000000" w:themeColor="text1"/>
          <w:sz w:val="21"/>
          <w:szCs w:val="21"/>
          <w:lang w:val="es-ES_tradnl"/>
        </w:rPr>
        <w:t>La manifestación de esta protección constitucional no dista de la que sugiere e inspira el derecho penal, esto es, que una norma posterior más favorable que una anterior debe aplicarse en forma preferente. Este supuesto se presenta cuando una ley establece una sanción por la realización de una conducta, y posteriormente otra ley reduce la pena o incluso la extingue. Del mismo modo, si una cláusula establece una sanción y un acuerdo posterior reduce la pena o la extingue debe darse aplicación al principio de favorabilidad.</w:t>
      </w:r>
    </w:p>
    <w:p w14:paraId="724DA686" w14:textId="77777777" w:rsidR="002B3080" w:rsidRPr="00386AC3" w:rsidRDefault="002B3080" w:rsidP="002B3080">
      <w:pPr>
        <w:ind w:left="709" w:right="709"/>
        <w:jc w:val="both"/>
        <w:rPr>
          <w:rFonts w:ascii="Arial" w:eastAsia="Calibri" w:hAnsi="Arial" w:cs="Arial"/>
          <w:color w:val="000000" w:themeColor="text1"/>
          <w:sz w:val="21"/>
          <w:szCs w:val="21"/>
          <w:lang w:val="es-ES_tradnl"/>
        </w:rPr>
      </w:pPr>
    </w:p>
    <w:p w14:paraId="27FA44D6" w14:textId="77777777" w:rsidR="002B3080" w:rsidRPr="00386AC3" w:rsidRDefault="002B3080" w:rsidP="002B3080">
      <w:pPr>
        <w:ind w:left="709" w:right="709"/>
        <w:jc w:val="both"/>
        <w:rPr>
          <w:rFonts w:ascii="Arial" w:eastAsia="Calibri" w:hAnsi="Arial" w:cs="Arial"/>
          <w:color w:val="000000" w:themeColor="text1"/>
          <w:sz w:val="21"/>
          <w:szCs w:val="21"/>
          <w:lang w:val="es-ES_tradnl"/>
        </w:rPr>
      </w:pPr>
      <w:r w:rsidRPr="00386AC3">
        <w:rPr>
          <w:rFonts w:ascii="Arial" w:eastAsia="Calibri" w:hAnsi="Arial" w:cs="Arial"/>
          <w:color w:val="000000" w:themeColor="text1"/>
          <w:sz w:val="21"/>
          <w:szCs w:val="21"/>
          <w:lang w:val="es-ES_tradnl"/>
        </w:rPr>
        <w:t xml:space="preserve">En estos casos, pese a que existe un principio en la ley 153 de 1887, que señala que en los contratos se entienden incorporadas las leyes vigentes al tiempo de su celebración, debe tenerse como excepcionada esa disposición –según indica la misma norma- cuando se trata de sanciones, pues en tal caso si la nueva ley es más favorable se debe aplicar de preferencia a la restrictiva o desfavorable. </w:t>
      </w:r>
    </w:p>
    <w:p w14:paraId="472F9DC8" w14:textId="77777777" w:rsidR="002B3080" w:rsidRPr="00386AC3" w:rsidRDefault="002B3080" w:rsidP="002B3080">
      <w:pPr>
        <w:ind w:left="709" w:right="709"/>
        <w:jc w:val="both"/>
        <w:rPr>
          <w:rFonts w:ascii="Arial" w:eastAsia="Calibri" w:hAnsi="Arial" w:cs="Arial"/>
          <w:color w:val="000000" w:themeColor="text1"/>
          <w:sz w:val="21"/>
          <w:szCs w:val="21"/>
          <w:lang w:val="es-ES_tradnl"/>
        </w:rPr>
      </w:pPr>
    </w:p>
    <w:p w14:paraId="08C4EBE9" w14:textId="77777777" w:rsidR="002B3080" w:rsidRPr="00386AC3" w:rsidRDefault="002B3080" w:rsidP="002B3080">
      <w:pPr>
        <w:ind w:left="709" w:right="709"/>
        <w:jc w:val="both"/>
        <w:rPr>
          <w:rFonts w:ascii="Arial" w:eastAsia="Calibri" w:hAnsi="Arial" w:cs="Arial"/>
          <w:color w:val="000000" w:themeColor="text1"/>
          <w:sz w:val="21"/>
          <w:szCs w:val="21"/>
          <w:lang w:val="es-ES_tradnl"/>
        </w:rPr>
      </w:pPr>
      <w:r w:rsidRPr="00386AC3">
        <w:rPr>
          <w:rFonts w:ascii="Arial" w:eastAsia="Calibri" w:hAnsi="Arial" w:cs="Arial"/>
          <w:color w:val="000000" w:themeColor="text1"/>
          <w:sz w:val="21"/>
          <w:szCs w:val="21"/>
          <w:lang w:val="es-ES_tradnl"/>
        </w:rPr>
        <w:t>Una razón adicional justifica esta posición: la norma que establece qué rige los contratos es una ley –ley 153 de 1887-, mientras que la que dispone que la favorabilidad rige en materia sancionatoria –sin distinguir el ámbito de aplicación- es la Constitución Política –art. 29-, de allí que aquella debe ceder, en este exclusivo aspecto, ante esta. A su vez, esta postura se fundamenta en el art. 4 CP., que dispone que la Constitución es norma de normas, y que en caso de incompatibilidad entre ella y la ley -como eventualmente podría presentarse en un caso como estos- prevalece la norma fundamental.</w:t>
      </w:r>
    </w:p>
    <w:p w14:paraId="059AEC7D" w14:textId="77777777" w:rsidR="002B3080" w:rsidRPr="00386AC3" w:rsidRDefault="002B3080" w:rsidP="002B3080">
      <w:pPr>
        <w:ind w:left="709" w:right="709"/>
        <w:jc w:val="both"/>
        <w:rPr>
          <w:rFonts w:ascii="Arial" w:eastAsia="Calibri" w:hAnsi="Arial" w:cs="Arial"/>
          <w:color w:val="000000" w:themeColor="text1"/>
          <w:sz w:val="21"/>
          <w:szCs w:val="21"/>
          <w:lang w:val="es-ES_tradnl"/>
        </w:rPr>
      </w:pPr>
    </w:p>
    <w:p w14:paraId="59BDC181" w14:textId="58C53799" w:rsidR="00C34FDB" w:rsidRPr="00386AC3" w:rsidRDefault="002B3080" w:rsidP="00FE703E">
      <w:pPr>
        <w:ind w:left="709" w:right="709"/>
        <w:jc w:val="both"/>
        <w:rPr>
          <w:rFonts w:ascii="Arial" w:eastAsia="Calibri" w:hAnsi="Arial" w:cs="Arial"/>
          <w:color w:val="000000" w:themeColor="text1"/>
          <w:sz w:val="21"/>
          <w:szCs w:val="21"/>
          <w:lang w:val="es-ES_tradnl"/>
        </w:rPr>
      </w:pPr>
      <w:r w:rsidRPr="00386AC3">
        <w:rPr>
          <w:rFonts w:ascii="Arial" w:eastAsia="Calibri" w:hAnsi="Arial" w:cs="Arial"/>
          <w:color w:val="000000" w:themeColor="text1"/>
          <w:sz w:val="21"/>
          <w:szCs w:val="21"/>
          <w:lang w:val="es-ES_tradnl"/>
        </w:rPr>
        <w:t>Todos estos ámbitos del derecho analizado son los que aplican en la contratación estatal</w:t>
      </w:r>
      <w:r w:rsidRPr="00386AC3">
        <w:rPr>
          <w:rStyle w:val="Refdenotaalpie"/>
          <w:rFonts w:ascii="Arial" w:eastAsia="Calibri" w:hAnsi="Arial" w:cs="Arial"/>
          <w:color w:val="000000" w:themeColor="text1"/>
          <w:sz w:val="21"/>
          <w:szCs w:val="21"/>
          <w:lang w:val="es-ES_tradnl"/>
        </w:rPr>
        <w:footnoteReference w:id="20"/>
      </w:r>
      <w:r w:rsidRPr="00386AC3">
        <w:rPr>
          <w:rFonts w:ascii="Arial" w:eastAsia="Calibri" w:hAnsi="Arial" w:cs="Arial"/>
          <w:color w:val="000000" w:themeColor="text1"/>
          <w:sz w:val="21"/>
          <w:szCs w:val="21"/>
          <w:lang w:val="es-ES_tradnl"/>
        </w:rPr>
        <w:t>.</w:t>
      </w:r>
    </w:p>
    <w:p w14:paraId="348D8705" w14:textId="77777777" w:rsidR="00805F45" w:rsidRPr="00386AC3" w:rsidRDefault="00805F45" w:rsidP="00FE703E">
      <w:pPr>
        <w:spacing w:line="276" w:lineRule="auto"/>
        <w:ind w:firstLine="709"/>
        <w:jc w:val="both"/>
        <w:rPr>
          <w:rFonts w:ascii="Arial" w:eastAsia="Calibri" w:hAnsi="Arial" w:cs="Arial"/>
          <w:color w:val="000000" w:themeColor="text1"/>
          <w:sz w:val="22"/>
          <w:lang w:val="es-ES_tradnl"/>
        </w:rPr>
      </w:pPr>
    </w:p>
    <w:p w14:paraId="63FAB9B7" w14:textId="2667CB3F" w:rsidR="00C16163" w:rsidRPr="00386AC3" w:rsidRDefault="00FE703E" w:rsidP="00C16163">
      <w:pPr>
        <w:spacing w:line="276" w:lineRule="auto"/>
        <w:ind w:firstLine="709"/>
        <w:jc w:val="both"/>
        <w:rPr>
          <w:rFonts w:ascii="Arial" w:eastAsia="Calibri" w:hAnsi="Arial" w:cs="Arial"/>
          <w:color w:val="000000" w:themeColor="text1"/>
          <w:sz w:val="22"/>
          <w:lang w:val="es-ES_tradnl"/>
        </w:rPr>
      </w:pPr>
      <w:r w:rsidRPr="00386AC3">
        <w:rPr>
          <w:rFonts w:ascii="Arial" w:eastAsia="Calibri" w:hAnsi="Arial" w:cs="Arial"/>
          <w:color w:val="000000" w:themeColor="text1"/>
          <w:sz w:val="22"/>
          <w:lang w:val="es-ES_tradnl"/>
        </w:rPr>
        <w:t>Ahora bien,</w:t>
      </w:r>
      <w:r w:rsidR="00805F45" w:rsidRPr="00386AC3">
        <w:rPr>
          <w:rFonts w:ascii="Arial" w:eastAsia="Calibri" w:hAnsi="Arial" w:cs="Arial"/>
          <w:color w:val="000000" w:themeColor="text1"/>
          <w:sz w:val="22"/>
          <w:lang w:val="es-ES_tradnl"/>
        </w:rPr>
        <w:t xml:space="preserve"> luego de analizar lo que dispone el artículo 8, numeral 1, literal j), de la Ley 80 de 1993, de un lado, y el artículo </w:t>
      </w:r>
      <w:r w:rsidR="009C352D" w:rsidRPr="00386AC3">
        <w:rPr>
          <w:rFonts w:ascii="Arial" w:eastAsia="Calibri" w:hAnsi="Arial" w:cs="Arial"/>
          <w:color w:val="000000" w:themeColor="text1"/>
          <w:sz w:val="22"/>
          <w:lang w:val="es-ES_tradnl"/>
        </w:rPr>
        <w:t xml:space="preserve">21 de la Ley 2195 de 2022, por otro, esta Agencia considera que </w:t>
      </w:r>
      <w:r w:rsidR="0099676B" w:rsidRPr="00386AC3">
        <w:rPr>
          <w:rFonts w:ascii="Arial" w:eastAsia="Calibri" w:hAnsi="Arial" w:cs="Arial"/>
          <w:color w:val="000000" w:themeColor="text1"/>
          <w:sz w:val="22"/>
          <w:lang w:val="es-ES_tradnl"/>
        </w:rPr>
        <w:t>el segundo enunciado normativo</w:t>
      </w:r>
      <w:r w:rsidR="00B6043F" w:rsidRPr="00386AC3">
        <w:rPr>
          <w:rFonts w:ascii="Arial" w:eastAsia="Calibri" w:hAnsi="Arial" w:cs="Arial"/>
          <w:color w:val="000000" w:themeColor="text1"/>
          <w:sz w:val="22"/>
          <w:lang w:val="es-ES_tradnl"/>
        </w:rPr>
        <w:t xml:space="preserve"> </w:t>
      </w:r>
      <w:r w:rsidR="00B6043F" w:rsidRPr="00386AC3">
        <w:rPr>
          <w:rFonts w:ascii="Arial" w:eastAsia="Calibri" w:hAnsi="Arial" w:cs="Arial"/>
          <w:i/>
          <w:iCs/>
          <w:color w:val="000000" w:themeColor="text1"/>
          <w:sz w:val="22"/>
          <w:lang w:val="es-ES_tradnl"/>
        </w:rPr>
        <w:t>no</w:t>
      </w:r>
      <w:r w:rsidR="00B6043F" w:rsidRPr="00386AC3">
        <w:rPr>
          <w:rFonts w:ascii="Arial" w:eastAsia="Calibri" w:hAnsi="Arial" w:cs="Arial"/>
          <w:color w:val="000000" w:themeColor="text1"/>
          <w:sz w:val="22"/>
          <w:lang w:val="es-ES_tradnl"/>
        </w:rPr>
        <w:t xml:space="preserve"> produjo una derogación tácita del primero</w:t>
      </w:r>
      <w:r w:rsidR="00C16163" w:rsidRPr="00386AC3">
        <w:rPr>
          <w:rFonts w:ascii="Arial" w:eastAsia="Calibri" w:hAnsi="Arial" w:cs="Arial"/>
          <w:color w:val="000000" w:themeColor="text1"/>
          <w:sz w:val="22"/>
          <w:lang w:val="es-ES_tradnl"/>
        </w:rPr>
        <w:t>,</w:t>
      </w:r>
      <w:r w:rsidR="00DD10A3" w:rsidRPr="00386AC3">
        <w:rPr>
          <w:rFonts w:ascii="Arial" w:eastAsia="Calibri" w:hAnsi="Arial" w:cs="Arial"/>
          <w:color w:val="000000" w:themeColor="text1"/>
          <w:sz w:val="22"/>
          <w:lang w:val="es-ES_tradnl"/>
        </w:rPr>
        <w:t xml:space="preserve"> en lo que respecta al término de la inhabilidad </w:t>
      </w:r>
      <w:r w:rsidR="005A4C8E" w:rsidRPr="00386AC3">
        <w:rPr>
          <w:rFonts w:ascii="Arial" w:eastAsia="Calibri" w:hAnsi="Arial" w:cs="Arial"/>
          <w:color w:val="000000" w:themeColor="text1"/>
          <w:sz w:val="22"/>
          <w:lang w:val="es-ES_tradnl"/>
        </w:rPr>
        <w:t xml:space="preserve">aplicable a las personas jurídicas sancionadas por la Superintendencia de Sociedades, </w:t>
      </w:r>
      <w:r w:rsidR="0099676B" w:rsidRPr="00386AC3">
        <w:rPr>
          <w:rFonts w:ascii="Arial" w:eastAsia="Calibri" w:hAnsi="Arial" w:cs="Arial"/>
          <w:color w:val="000000" w:themeColor="text1"/>
          <w:sz w:val="22"/>
          <w:lang w:val="es-ES_tradnl"/>
        </w:rPr>
        <w:t xml:space="preserve">por la comisión de la </w:t>
      </w:r>
      <w:r w:rsidR="005A4C8E" w:rsidRPr="00386AC3">
        <w:rPr>
          <w:rFonts w:ascii="Arial" w:eastAsia="Calibri" w:hAnsi="Arial" w:cs="Arial"/>
          <w:color w:val="000000" w:themeColor="text1"/>
          <w:sz w:val="22"/>
          <w:lang w:val="es-ES_tradnl"/>
        </w:rPr>
        <w:t>conducta de soborno transnacional</w:t>
      </w:r>
      <w:r w:rsidR="009235B0" w:rsidRPr="00386AC3">
        <w:rPr>
          <w:rFonts w:ascii="Arial" w:eastAsia="Calibri" w:hAnsi="Arial" w:cs="Arial"/>
          <w:color w:val="000000" w:themeColor="text1"/>
          <w:sz w:val="22"/>
          <w:lang w:val="es-ES_tradnl"/>
        </w:rPr>
        <w:t>, pues incluso antes de la entrada en vigencia de la Ley 2195 de 2022 dicho término era de «hasta veinte (20) años». Esta conclusión se</w:t>
      </w:r>
      <w:r w:rsidR="00C16163" w:rsidRPr="00386AC3">
        <w:rPr>
          <w:rFonts w:ascii="Arial" w:eastAsia="Calibri" w:hAnsi="Arial" w:cs="Arial"/>
          <w:color w:val="000000" w:themeColor="text1"/>
          <w:sz w:val="22"/>
          <w:lang w:val="es-ES_tradnl"/>
        </w:rPr>
        <w:t xml:space="preserve"> apoya en los siguientes argumentos:</w:t>
      </w:r>
    </w:p>
    <w:p w14:paraId="528EC81E" w14:textId="77777777" w:rsidR="000D5C17" w:rsidRPr="00386AC3" w:rsidRDefault="00595C39" w:rsidP="00741706">
      <w:pPr>
        <w:spacing w:before="120" w:line="276" w:lineRule="auto"/>
        <w:ind w:firstLine="709"/>
        <w:jc w:val="both"/>
        <w:rPr>
          <w:rFonts w:ascii="Arial" w:eastAsia="Calibri" w:hAnsi="Arial" w:cs="Arial"/>
          <w:color w:val="000000" w:themeColor="text1"/>
          <w:sz w:val="22"/>
          <w:lang w:val="es-ES_tradnl"/>
        </w:rPr>
      </w:pPr>
      <w:r w:rsidRPr="00386AC3">
        <w:rPr>
          <w:rFonts w:ascii="Arial" w:eastAsia="Calibri" w:hAnsi="Arial" w:cs="Arial"/>
          <w:color w:val="000000" w:themeColor="text1"/>
          <w:sz w:val="22"/>
          <w:lang w:val="es-ES_tradnl"/>
        </w:rPr>
        <w:t xml:space="preserve">i) El </w:t>
      </w:r>
      <w:r w:rsidR="00FE69C8" w:rsidRPr="00386AC3">
        <w:rPr>
          <w:rFonts w:ascii="Arial" w:eastAsia="Calibri" w:hAnsi="Arial" w:cs="Arial"/>
          <w:color w:val="000000" w:themeColor="text1"/>
          <w:sz w:val="22"/>
          <w:lang w:val="es-ES_tradnl"/>
        </w:rPr>
        <w:t xml:space="preserve">término de la inhabilidad de «hasta veinte (20) años», aplicable </w:t>
      </w:r>
      <w:r w:rsidR="00035851" w:rsidRPr="00386AC3">
        <w:rPr>
          <w:rFonts w:ascii="Arial" w:eastAsia="Calibri" w:hAnsi="Arial" w:cs="Arial"/>
          <w:color w:val="000000" w:themeColor="text1"/>
          <w:sz w:val="22"/>
          <w:lang w:val="es-ES_tradnl"/>
        </w:rPr>
        <w:t xml:space="preserve">a las personas jurídicas que incurran en las conductas del artículo 2 de la Ley </w:t>
      </w:r>
      <w:r w:rsidR="00030167" w:rsidRPr="00386AC3">
        <w:rPr>
          <w:rFonts w:ascii="Arial" w:eastAsia="Calibri" w:hAnsi="Arial" w:cs="Arial"/>
          <w:color w:val="000000" w:themeColor="text1"/>
          <w:sz w:val="22"/>
          <w:lang w:val="es-ES_tradnl"/>
        </w:rPr>
        <w:t xml:space="preserve">1778 de 2016, en virtud de lo dispuesto en el artículo 21 de la Ley 2195 de 2022, </w:t>
      </w:r>
      <w:r w:rsidR="00030167" w:rsidRPr="00386AC3">
        <w:rPr>
          <w:rFonts w:ascii="Arial" w:eastAsia="Calibri" w:hAnsi="Arial" w:cs="Arial"/>
          <w:i/>
          <w:iCs/>
          <w:color w:val="000000" w:themeColor="text1"/>
          <w:sz w:val="22"/>
          <w:lang w:val="es-ES_tradnl"/>
        </w:rPr>
        <w:t>no se opone</w:t>
      </w:r>
      <w:r w:rsidR="00030167" w:rsidRPr="00386AC3">
        <w:rPr>
          <w:rFonts w:ascii="Arial" w:eastAsia="Calibri" w:hAnsi="Arial" w:cs="Arial"/>
          <w:color w:val="000000" w:themeColor="text1"/>
          <w:sz w:val="22"/>
          <w:lang w:val="es-ES_tradnl"/>
        </w:rPr>
        <w:t xml:space="preserve"> </w:t>
      </w:r>
      <w:r w:rsidR="00532ADA" w:rsidRPr="00386AC3">
        <w:rPr>
          <w:rFonts w:ascii="Arial" w:eastAsia="Calibri" w:hAnsi="Arial" w:cs="Arial"/>
          <w:color w:val="000000" w:themeColor="text1"/>
          <w:sz w:val="22"/>
          <w:lang w:val="es-ES_tradnl"/>
        </w:rPr>
        <w:t>al</w:t>
      </w:r>
      <w:r w:rsidR="00030167" w:rsidRPr="00386AC3">
        <w:rPr>
          <w:rFonts w:ascii="Arial" w:eastAsia="Calibri" w:hAnsi="Arial" w:cs="Arial"/>
          <w:color w:val="000000" w:themeColor="text1"/>
          <w:sz w:val="22"/>
          <w:lang w:val="es-ES_tradnl"/>
        </w:rPr>
        <w:t xml:space="preserve"> que </w:t>
      </w:r>
      <w:r w:rsidR="00532ADA" w:rsidRPr="00386AC3">
        <w:rPr>
          <w:rFonts w:ascii="Arial" w:eastAsia="Calibri" w:hAnsi="Arial" w:cs="Arial"/>
          <w:color w:val="000000" w:themeColor="text1"/>
          <w:sz w:val="22"/>
          <w:lang w:val="es-ES_tradnl"/>
        </w:rPr>
        <w:t>señala</w:t>
      </w:r>
      <w:r w:rsidR="00030167" w:rsidRPr="00386AC3">
        <w:rPr>
          <w:rFonts w:ascii="Arial" w:eastAsia="Calibri" w:hAnsi="Arial" w:cs="Arial"/>
          <w:color w:val="000000" w:themeColor="text1"/>
          <w:sz w:val="22"/>
          <w:lang w:val="es-ES_tradnl"/>
        </w:rPr>
        <w:t xml:space="preserve"> el artículo </w:t>
      </w:r>
      <w:r w:rsidR="00C401E6" w:rsidRPr="00386AC3">
        <w:rPr>
          <w:rFonts w:ascii="Arial" w:eastAsia="Calibri" w:hAnsi="Arial" w:cs="Arial"/>
          <w:color w:val="000000" w:themeColor="text1"/>
          <w:sz w:val="22"/>
          <w:lang w:val="es-ES_tradnl"/>
        </w:rPr>
        <w:t>8, numeral 1, literal j), de la Ley 80 de 1993. En efecto,</w:t>
      </w:r>
      <w:r w:rsidR="00B22BC4" w:rsidRPr="00386AC3">
        <w:rPr>
          <w:rFonts w:ascii="Arial" w:eastAsia="Calibri" w:hAnsi="Arial" w:cs="Arial"/>
          <w:color w:val="000000" w:themeColor="text1"/>
          <w:sz w:val="22"/>
          <w:lang w:val="es-ES_tradnl"/>
        </w:rPr>
        <w:t xml:space="preserve"> el artículo 5 de la Ley 1778 de 2016, modificado por el artículo 21 de la Ley 2195 de 2022, establece que «La Superintendencia de Sociedades impondrá una o varias de las siguientes sanciones a las personas jurídicas que incurran en las conductas enunciadas en el Artículo 2 de esta Ley» y dentro de dichas sanciones </w:t>
      </w:r>
      <w:r w:rsidR="009745CF" w:rsidRPr="00386AC3">
        <w:rPr>
          <w:rFonts w:ascii="Arial" w:eastAsia="Calibri" w:hAnsi="Arial" w:cs="Arial"/>
          <w:color w:val="000000" w:themeColor="text1"/>
          <w:sz w:val="22"/>
          <w:lang w:val="es-ES_tradnl"/>
        </w:rPr>
        <w:t xml:space="preserve">prevé, en el numeral 2, la «Inhabilidad para contratar con el Estado colombiano por un término de hasta veinte (20) años». Este término no contradice el previsto en el artículo 8, numeral 1, literal j), de la Ley 80 de 1993, porque el </w:t>
      </w:r>
      <w:r w:rsidR="00C67543" w:rsidRPr="00386AC3">
        <w:rPr>
          <w:rFonts w:ascii="Arial" w:eastAsia="Calibri" w:hAnsi="Arial" w:cs="Arial"/>
          <w:color w:val="000000" w:themeColor="text1"/>
          <w:sz w:val="22"/>
          <w:lang w:val="es-ES_tradnl"/>
        </w:rPr>
        <w:t>quinto inciso de esta última norma</w:t>
      </w:r>
      <w:r w:rsidR="006109A9" w:rsidRPr="00386AC3">
        <w:rPr>
          <w:rFonts w:ascii="Arial" w:eastAsia="Calibri" w:hAnsi="Arial" w:cs="Arial"/>
          <w:color w:val="000000" w:themeColor="text1"/>
          <w:sz w:val="22"/>
          <w:lang w:val="es-ES_tradnl"/>
        </w:rPr>
        <w:t xml:space="preserve"> </w:t>
      </w:r>
      <w:r w:rsidR="00553255" w:rsidRPr="00386AC3">
        <w:rPr>
          <w:rFonts w:ascii="Arial" w:eastAsia="Calibri" w:hAnsi="Arial" w:cs="Arial"/>
          <w:color w:val="000000" w:themeColor="text1"/>
          <w:sz w:val="22"/>
          <w:lang w:val="es-ES_tradnl"/>
        </w:rPr>
        <w:t xml:space="preserve">rige sobre «las sociedades de las que hagan parte dichas personas» y no propiamente sobre las personas jurídicas sancionadas por la Superintendencia de Sociedades, de conformidad con el artículo 5 de la Ley 1778 de 2016, modificado por el artículo 21 de la Ley 2195 de 2022. </w:t>
      </w:r>
    </w:p>
    <w:p w14:paraId="440E99B6" w14:textId="77777777" w:rsidR="00DE2EF1" w:rsidRPr="00386AC3" w:rsidRDefault="000D5C17" w:rsidP="00741706">
      <w:pPr>
        <w:spacing w:before="120" w:line="276" w:lineRule="auto"/>
        <w:ind w:firstLine="709"/>
        <w:jc w:val="both"/>
        <w:rPr>
          <w:rFonts w:ascii="Arial" w:eastAsia="Calibri" w:hAnsi="Arial" w:cs="Arial"/>
          <w:color w:val="000000" w:themeColor="text1"/>
          <w:sz w:val="22"/>
          <w:lang w:val="es-ES_tradnl"/>
        </w:rPr>
      </w:pPr>
      <w:r w:rsidRPr="00386AC3">
        <w:rPr>
          <w:rFonts w:ascii="Arial" w:eastAsia="Calibri" w:hAnsi="Arial" w:cs="Arial"/>
          <w:color w:val="000000" w:themeColor="text1"/>
          <w:sz w:val="22"/>
          <w:lang w:val="es-ES_tradnl"/>
        </w:rPr>
        <w:t xml:space="preserve">ii) </w:t>
      </w:r>
      <w:r w:rsidR="00553255" w:rsidRPr="00386AC3">
        <w:rPr>
          <w:rFonts w:ascii="Arial" w:eastAsia="Calibri" w:hAnsi="Arial" w:cs="Arial"/>
          <w:color w:val="000000" w:themeColor="text1"/>
          <w:sz w:val="22"/>
          <w:lang w:val="es-ES_tradnl"/>
        </w:rPr>
        <w:t xml:space="preserve">En efecto, </w:t>
      </w:r>
      <w:r w:rsidR="00367166" w:rsidRPr="00386AC3">
        <w:rPr>
          <w:rFonts w:ascii="Arial" w:eastAsia="Calibri" w:hAnsi="Arial" w:cs="Arial"/>
          <w:color w:val="000000" w:themeColor="text1"/>
          <w:sz w:val="22"/>
          <w:lang w:val="es-ES_tradnl"/>
        </w:rPr>
        <w:t>el artículo 8, numeral 1, literal j), de la Ley 80 de 1993, establece</w:t>
      </w:r>
      <w:r w:rsidR="00C67543" w:rsidRPr="00386AC3">
        <w:rPr>
          <w:rFonts w:ascii="Arial" w:eastAsia="Calibri" w:hAnsi="Arial" w:cs="Arial"/>
          <w:color w:val="000000" w:themeColor="text1"/>
          <w:sz w:val="22"/>
          <w:lang w:val="es-ES_tradnl"/>
        </w:rPr>
        <w:t xml:space="preserve"> que «</w:t>
      </w:r>
      <w:r w:rsidR="00077245" w:rsidRPr="00386AC3">
        <w:rPr>
          <w:rFonts w:ascii="Arial" w:eastAsia="Calibri" w:hAnsi="Arial" w:cs="Arial"/>
          <w:color w:val="000000" w:themeColor="text1"/>
          <w:sz w:val="22"/>
          <w:lang w:val="es-ES_tradnl"/>
        </w:rPr>
        <w:t xml:space="preserve">La inhabilidad prevista en este literal se extenderá de forma permanente a las sociedades de las que hagan parte dichas personas en las calidades presentadas en los incisos anteriores, y se aplicará de igual forma a las personas naturales que hayan sido declaradas </w:t>
      </w:r>
      <w:r w:rsidR="00077245" w:rsidRPr="00386AC3">
        <w:rPr>
          <w:rFonts w:ascii="Arial" w:eastAsia="Calibri" w:hAnsi="Arial" w:cs="Arial"/>
          <w:color w:val="000000" w:themeColor="text1"/>
          <w:sz w:val="22"/>
          <w:lang w:val="es-ES_tradnl"/>
        </w:rPr>
        <w:lastRenderedPageBreak/>
        <w:t>responsables judicialmente por la comisión de delitos mencionados en este literal». Como puede observarse,</w:t>
      </w:r>
      <w:r w:rsidR="00651F00" w:rsidRPr="00386AC3">
        <w:rPr>
          <w:rFonts w:ascii="Arial" w:eastAsia="Calibri" w:hAnsi="Arial" w:cs="Arial"/>
          <w:color w:val="000000" w:themeColor="text1"/>
          <w:sz w:val="22"/>
          <w:lang w:val="es-ES_tradnl"/>
        </w:rPr>
        <w:t xml:space="preserve"> i) </w:t>
      </w:r>
      <w:r w:rsidR="00077245" w:rsidRPr="00386AC3">
        <w:rPr>
          <w:rFonts w:ascii="Arial" w:eastAsia="Calibri" w:hAnsi="Arial" w:cs="Arial"/>
          <w:color w:val="000000" w:themeColor="text1"/>
          <w:sz w:val="22"/>
          <w:lang w:val="es-ES_tradnl"/>
        </w:rPr>
        <w:t>el término de «hasta veinte (20) años»</w:t>
      </w:r>
      <w:r w:rsidR="00CB74EA" w:rsidRPr="00386AC3">
        <w:rPr>
          <w:rFonts w:ascii="Arial" w:eastAsia="Calibri" w:hAnsi="Arial" w:cs="Arial"/>
          <w:color w:val="000000" w:themeColor="text1"/>
          <w:sz w:val="22"/>
          <w:lang w:val="es-ES_tradnl"/>
        </w:rPr>
        <w:t xml:space="preserve"> – consagrado en el artículo 5 de la Ley 1778 de 2016, modificado por el artículo 21 de la Ley 2195 de 2022–</w:t>
      </w:r>
      <w:r w:rsidR="00077245" w:rsidRPr="00386AC3">
        <w:rPr>
          <w:rFonts w:ascii="Arial" w:eastAsia="Calibri" w:hAnsi="Arial" w:cs="Arial"/>
          <w:color w:val="000000" w:themeColor="text1"/>
          <w:sz w:val="22"/>
          <w:lang w:val="es-ES_tradnl"/>
        </w:rPr>
        <w:t xml:space="preserve"> </w:t>
      </w:r>
      <w:r w:rsidR="00651F00" w:rsidRPr="00386AC3">
        <w:rPr>
          <w:rFonts w:ascii="Arial" w:eastAsia="Calibri" w:hAnsi="Arial" w:cs="Arial"/>
          <w:color w:val="000000" w:themeColor="text1"/>
          <w:sz w:val="22"/>
          <w:lang w:val="es-ES_tradnl"/>
        </w:rPr>
        <w:t xml:space="preserve">rige </w:t>
      </w:r>
      <w:r w:rsidR="00651F00" w:rsidRPr="00386AC3">
        <w:rPr>
          <w:rFonts w:ascii="Arial" w:eastAsia="Calibri" w:hAnsi="Arial" w:cs="Arial"/>
          <w:i/>
          <w:iCs/>
          <w:color w:val="000000" w:themeColor="text1"/>
          <w:sz w:val="22"/>
          <w:lang w:val="es-ES_tradnl"/>
        </w:rPr>
        <w:t>sobre las personas jurídicas</w:t>
      </w:r>
      <w:r w:rsidR="00651F00" w:rsidRPr="00386AC3">
        <w:rPr>
          <w:rFonts w:ascii="Arial" w:eastAsia="Calibri" w:hAnsi="Arial" w:cs="Arial"/>
          <w:color w:val="000000" w:themeColor="text1"/>
          <w:sz w:val="22"/>
          <w:lang w:val="es-ES_tradnl"/>
        </w:rPr>
        <w:t xml:space="preserve"> sancionadas por la Superintendencia de Sociedades por las conductas enunciadas en el artículo 2 de la Ley 1778 de 2016; ii) en cambio, el</w:t>
      </w:r>
      <w:r w:rsidR="00D4075F" w:rsidRPr="00386AC3">
        <w:rPr>
          <w:rFonts w:ascii="Arial" w:eastAsia="Calibri" w:hAnsi="Arial" w:cs="Arial"/>
          <w:color w:val="000000" w:themeColor="text1"/>
          <w:sz w:val="22"/>
          <w:lang w:val="es-ES_tradnl"/>
        </w:rPr>
        <w:t xml:space="preserve"> término indefinido –o permanente– </w:t>
      </w:r>
      <w:r w:rsidR="00CB74EA" w:rsidRPr="00386AC3">
        <w:rPr>
          <w:rFonts w:ascii="Arial" w:eastAsia="Calibri" w:hAnsi="Arial" w:cs="Arial"/>
          <w:color w:val="000000" w:themeColor="text1"/>
          <w:sz w:val="22"/>
          <w:lang w:val="es-ES_tradnl"/>
        </w:rPr>
        <w:t xml:space="preserve">del artículo 8, numeral 1, literal j), de la Ley 80 de 1993, </w:t>
      </w:r>
      <w:r w:rsidR="00D4075F" w:rsidRPr="00386AC3">
        <w:rPr>
          <w:rFonts w:ascii="Arial" w:eastAsia="Calibri" w:hAnsi="Arial" w:cs="Arial"/>
          <w:color w:val="000000" w:themeColor="text1"/>
          <w:sz w:val="22"/>
          <w:lang w:val="es-ES_tradnl"/>
        </w:rPr>
        <w:t xml:space="preserve">se aplica </w:t>
      </w:r>
      <w:r w:rsidR="00D4075F" w:rsidRPr="00386AC3">
        <w:rPr>
          <w:rFonts w:ascii="Arial" w:eastAsia="Calibri" w:hAnsi="Arial" w:cs="Arial"/>
          <w:i/>
          <w:iCs/>
          <w:color w:val="000000" w:themeColor="text1"/>
          <w:sz w:val="22"/>
          <w:lang w:val="es-ES_tradnl"/>
        </w:rPr>
        <w:t>no</w:t>
      </w:r>
      <w:r w:rsidR="00D4075F" w:rsidRPr="00386AC3">
        <w:rPr>
          <w:rFonts w:ascii="Arial" w:eastAsia="Calibri" w:hAnsi="Arial" w:cs="Arial"/>
          <w:color w:val="000000" w:themeColor="text1"/>
          <w:sz w:val="22"/>
          <w:lang w:val="es-ES_tradnl"/>
        </w:rPr>
        <w:t xml:space="preserve"> a las personas jurídicas sancionadas directamente por la Superintendencia de Sociedades por las conductas </w:t>
      </w:r>
      <w:r w:rsidR="003200CF" w:rsidRPr="00386AC3">
        <w:rPr>
          <w:rFonts w:ascii="Arial" w:eastAsia="Calibri" w:hAnsi="Arial" w:cs="Arial"/>
          <w:color w:val="000000" w:themeColor="text1"/>
          <w:sz w:val="22"/>
          <w:lang w:val="es-ES_tradnl"/>
        </w:rPr>
        <w:t xml:space="preserve">que acaban de indicarse, sino </w:t>
      </w:r>
      <w:r w:rsidR="00CB74EA" w:rsidRPr="00386AC3">
        <w:rPr>
          <w:rFonts w:ascii="Arial" w:eastAsia="Calibri" w:hAnsi="Arial" w:cs="Arial"/>
          <w:color w:val="000000" w:themeColor="text1"/>
          <w:sz w:val="22"/>
          <w:lang w:val="es-ES_tradnl"/>
        </w:rPr>
        <w:t xml:space="preserve">i) </w:t>
      </w:r>
      <w:r w:rsidR="003200CF" w:rsidRPr="00386AC3">
        <w:rPr>
          <w:rFonts w:ascii="Arial" w:eastAsia="Calibri" w:hAnsi="Arial" w:cs="Arial"/>
          <w:color w:val="000000" w:themeColor="text1"/>
          <w:sz w:val="22"/>
          <w:lang w:val="es-ES_tradnl"/>
        </w:rPr>
        <w:t>«</w:t>
      </w:r>
      <w:r w:rsidR="00CB74EA" w:rsidRPr="00386AC3">
        <w:rPr>
          <w:rFonts w:ascii="Arial" w:eastAsia="Calibri" w:hAnsi="Arial" w:cs="Arial"/>
          <w:color w:val="000000" w:themeColor="text1"/>
          <w:sz w:val="22"/>
          <w:lang w:val="es-ES_tradnl"/>
        </w:rPr>
        <w:t xml:space="preserve">a </w:t>
      </w:r>
      <w:r w:rsidR="003200CF" w:rsidRPr="00386AC3">
        <w:rPr>
          <w:rFonts w:ascii="Arial" w:eastAsia="Calibri" w:hAnsi="Arial" w:cs="Arial"/>
          <w:color w:val="000000" w:themeColor="text1"/>
          <w:sz w:val="22"/>
          <w:lang w:val="es-ES_tradnl"/>
        </w:rPr>
        <w:t xml:space="preserve">las sociedades de las que hagan parte dichas personas en las calidades presentadas en los incisos anteriores» y </w:t>
      </w:r>
      <w:r w:rsidR="00CB74EA" w:rsidRPr="00386AC3">
        <w:rPr>
          <w:rFonts w:ascii="Arial" w:eastAsia="Calibri" w:hAnsi="Arial" w:cs="Arial"/>
          <w:color w:val="000000" w:themeColor="text1"/>
          <w:sz w:val="22"/>
          <w:lang w:val="es-ES_tradnl"/>
        </w:rPr>
        <w:t>ii</w:t>
      </w:r>
      <w:r w:rsidR="003200CF" w:rsidRPr="00386AC3">
        <w:rPr>
          <w:rFonts w:ascii="Arial" w:eastAsia="Calibri" w:hAnsi="Arial" w:cs="Arial"/>
          <w:color w:val="000000" w:themeColor="text1"/>
          <w:sz w:val="22"/>
          <w:lang w:val="es-ES_tradnl"/>
        </w:rPr>
        <w:t>) «a las personas naturales que hayan sido declaradas responsables judicialmente por la comisión de delitos mencionados en este literal».</w:t>
      </w:r>
    </w:p>
    <w:p w14:paraId="0BE138D6" w14:textId="77777777" w:rsidR="00D954F0" w:rsidRPr="00386AC3" w:rsidRDefault="00DE2EF1" w:rsidP="00741706">
      <w:pPr>
        <w:spacing w:before="120" w:line="276" w:lineRule="auto"/>
        <w:ind w:firstLine="709"/>
        <w:jc w:val="both"/>
        <w:rPr>
          <w:rFonts w:ascii="Arial" w:eastAsia="Calibri" w:hAnsi="Arial" w:cs="Arial"/>
          <w:color w:val="000000" w:themeColor="text1"/>
          <w:sz w:val="22"/>
          <w:lang w:val="es-ES_tradnl"/>
        </w:rPr>
      </w:pPr>
      <w:r w:rsidRPr="00386AC3">
        <w:rPr>
          <w:rFonts w:ascii="Arial" w:eastAsia="Calibri" w:hAnsi="Arial" w:cs="Arial"/>
          <w:color w:val="000000" w:themeColor="text1"/>
          <w:sz w:val="22"/>
          <w:lang w:val="es-ES_tradnl"/>
        </w:rPr>
        <w:t xml:space="preserve">iii) Puede suceder, por tanto, que una persona jurídica sea sancionada por parte de la Superintendencia de Sociedades, con fundamento en el artículo 5 de la Ley 1778 de 2016, modificado por el artículo 21 de la Ley 2195 de 2022, y que </w:t>
      </w:r>
      <w:r w:rsidR="00D551E9" w:rsidRPr="00386AC3">
        <w:rPr>
          <w:rFonts w:ascii="Arial" w:eastAsia="Calibri" w:hAnsi="Arial" w:cs="Arial"/>
          <w:color w:val="000000" w:themeColor="text1"/>
          <w:sz w:val="22"/>
          <w:lang w:val="es-ES_tradnl"/>
        </w:rPr>
        <w:t xml:space="preserve">ni </w:t>
      </w:r>
      <w:r w:rsidRPr="00386AC3">
        <w:rPr>
          <w:rFonts w:ascii="Arial" w:eastAsia="Calibri" w:hAnsi="Arial" w:cs="Arial"/>
          <w:color w:val="000000" w:themeColor="text1"/>
          <w:sz w:val="22"/>
          <w:lang w:val="es-ES_tradnl"/>
        </w:rPr>
        <w:t xml:space="preserve">dicha </w:t>
      </w:r>
      <w:r w:rsidR="006028D1" w:rsidRPr="00386AC3">
        <w:rPr>
          <w:rFonts w:ascii="Arial" w:eastAsia="Calibri" w:hAnsi="Arial" w:cs="Arial"/>
          <w:color w:val="000000" w:themeColor="text1"/>
          <w:sz w:val="22"/>
          <w:lang w:val="es-ES_tradnl"/>
        </w:rPr>
        <w:t>persona jurídica</w:t>
      </w:r>
      <w:r w:rsidRPr="00386AC3">
        <w:rPr>
          <w:rFonts w:ascii="Arial" w:eastAsia="Calibri" w:hAnsi="Arial" w:cs="Arial"/>
          <w:color w:val="000000" w:themeColor="text1"/>
          <w:sz w:val="22"/>
          <w:lang w:val="es-ES_tradnl"/>
        </w:rPr>
        <w:t>, n</w:t>
      </w:r>
      <w:r w:rsidR="00327E5E" w:rsidRPr="00386AC3">
        <w:rPr>
          <w:rFonts w:ascii="Arial" w:eastAsia="Calibri" w:hAnsi="Arial" w:cs="Arial"/>
          <w:color w:val="000000" w:themeColor="text1"/>
          <w:sz w:val="22"/>
          <w:lang w:val="es-ES_tradnl"/>
        </w:rPr>
        <w:t>i las personas naturales que la integren</w:t>
      </w:r>
      <w:r w:rsidRPr="00386AC3">
        <w:rPr>
          <w:rFonts w:ascii="Arial" w:eastAsia="Calibri" w:hAnsi="Arial" w:cs="Arial"/>
          <w:color w:val="000000" w:themeColor="text1"/>
          <w:sz w:val="22"/>
          <w:lang w:val="es-ES_tradnl"/>
        </w:rPr>
        <w:t>,</w:t>
      </w:r>
      <w:r w:rsidR="00327E5E" w:rsidRPr="00386AC3">
        <w:rPr>
          <w:rFonts w:ascii="Arial" w:eastAsia="Calibri" w:hAnsi="Arial" w:cs="Arial"/>
          <w:color w:val="000000" w:themeColor="text1"/>
          <w:sz w:val="22"/>
          <w:lang w:val="es-ES_tradnl"/>
        </w:rPr>
        <w:t xml:space="preserve"> hagan parte de alguna sociedad, actualmente o en el futuro.</w:t>
      </w:r>
      <w:r w:rsidR="00D551E9" w:rsidRPr="00386AC3">
        <w:rPr>
          <w:rFonts w:ascii="Arial" w:eastAsia="Calibri" w:hAnsi="Arial" w:cs="Arial"/>
          <w:color w:val="000000" w:themeColor="text1"/>
          <w:sz w:val="22"/>
          <w:lang w:val="es-ES_tradnl"/>
        </w:rPr>
        <w:t xml:space="preserve"> En este caso, el término de la inhabilidad para contratar con el Estado debe ser </w:t>
      </w:r>
      <w:r w:rsidR="003E60CA" w:rsidRPr="00386AC3">
        <w:rPr>
          <w:rFonts w:ascii="Arial" w:eastAsia="Calibri" w:hAnsi="Arial" w:cs="Arial"/>
          <w:color w:val="000000" w:themeColor="text1"/>
          <w:sz w:val="22"/>
          <w:lang w:val="es-ES_tradnl"/>
        </w:rPr>
        <w:t>el de</w:t>
      </w:r>
      <w:r w:rsidR="00B77E72" w:rsidRPr="00386AC3">
        <w:rPr>
          <w:rFonts w:ascii="Arial" w:eastAsia="Calibri" w:hAnsi="Arial" w:cs="Arial"/>
          <w:color w:val="000000" w:themeColor="text1"/>
          <w:sz w:val="22"/>
          <w:lang w:val="es-ES_tradnl"/>
        </w:rPr>
        <w:t xml:space="preserve"> «hasta veinte (20) años»</w:t>
      </w:r>
      <w:r w:rsidR="00D954F0" w:rsidRPr="00386AC3">
        <w:rPr>
          <w:rFonts w:ascii="Arial" w:eastAsia="Calibri" w:hAnsi="Arial" w:cs="Arial"/>
          <w:color w:val="000000" w:themeColor="text1"/>
          <w:sz w:val="22"/>
          <w:lang w:val="es-ES_tradnl"/>
        </w:rPr>
        <w:t xml:space="preserve"> y no el permanente, porque se presenta el supuesto del artículo 5 de la Ley 1778 de 2016, modificado por el artículo 21 de la Ley 2195 de 2022, más no el del artículo 8, numeral 1, literal j), de la Ley 80 de 1993, inciso quinto.</w:t>
      </w:r>
    </w:p>
    <w:p w14:paraId="69F393C2" w14:textId="7E9B07B7" w:rsidR="0044391F" w:rsidRPr="00386AC3" w:rsidRDefault="00D954F0" w:rsidP="00253F16">
      <w:pPr>
        <w:spacing w:before="120" w:line="276" w:lineRule="auto"/>
        <w:ind w:firstLine="709"/>
        <w:jc w:val="both"/>
        <w:rPr>
          <w:rFonts w:ascii="Arial" w:eastAsia="Calibri" w:hAnsi="Arial" w:cs="Arial"/>
          <w:i/>
          <w:iCs/>
          <w:color w:val="000000" w:themeColor="text1"/>
          <w:sz w:val="22"/>
          <w:lang w:val="es-ES_tradnl"/>
        </w:rPr>
      </w:pPr>
      <w:r w:rsidRPr="00386AC3">
        <w:rPr>
          <w:rFonts w:ascii="Arial" w:eastAsia="Calibri" w:hAnsi="Arial" w:cs="Arial"/>
          <w:color w:val="000000" w:themeColor="text1"/>
          <w:sz w:val="22"/>
          <w:lang w:val="es-ES_tradnl"/>
        </w:rPr>
        <w:t xml:space="preserve">iv) No podría </w:t>
      </w:r>
      <w:r w:rsidR="00991649" w:rsidRPr="00386AC3">
        <w:rPr>
          <w:rFonts w:ascii="Arial" w:eastAsia="Calibri" w:hAnsi="Arial" w:cs="Arial"/>
          <w:color w:val="000000" w:themeColor="text1"/>
          <w:sz w:val="22"/>
          <w:lang w:val="es-ES_tradnl"/>
        </w:rPr>
        <w:t>afirmarse, válidamente,</w:t>
      </w:r>
      <w:r w:rsidRPr="00386AC3">
        <w:rPr>
          <w:rFonts w:ascii="Arial" w:eastAsia="Calibri" w:hAnsi="Arial" w:cs="Arial"/>
          <w:color w:val="000000" w:themeColor="text1"/>
          <w:sz w:val="22"/>
          <w:lang w:val="es-ES_tradnl"/>
        </w:rPr>
        <w:t xml:space="preserve"> que</w:t>
      </w:r>
      <w:r w:rsidR="00991649" w:rsidRPr="00386AC3">
        <w:rPr>
          <w:rFonts w:ascii="Arial" w:eastAsia="Calibri" w:hAnsi="Arial" w:cs="Arial"/>
          <w:color w:val="000000" w:themeColor="text1"/>
          <w:sz w:val="22"/>
          <w:lang w:val="es-ES_tradnl"/>
        </w:rPr>
        <w:t xml:space="preserve"> el término de la inhabilidad es </w:t>
      </w:r>
      <w:r w:rsidR="00991649" w:rsidRPr="00386AC3">
        <w:rPr>
          <w:rFonts w:ascii="Arial" w:eastAsia="Calibri" w:hAnsi="Arial" w:cs="Arial"/>
          <w:i/>
          <w:iCs/>
          <w:color w:val="000000" w:themeColor="text1"/>
          <w:sz w:val="22"/>
          <w:lang w:val="es-ES_tradnl"/>
        </w:rPr>
        <w:t>permanente</w:t>
      </w:r>
      <w:r w:rsidR="00991649" w:rsidRPr="00386AC3">
        <w:rPr>
          <w:rFonts w:ascii="Arial" w:eastAsia="Calibri" w:hAnsi="Arial" w:cs="Arial"/>
          <w:color w:val="000000" w:themeColor="text1"/>
          <w:sz w:val="22"/>
          <w:lang w:val="es-ES_tradnl"/>
        </w:rPr>
        <w:t xml:space="preserve"> en el supuesto indicado en el párrafo anterior, por la circunstancia de que el primer inciso del artículo 8, numeral 1, literal j), de la Ley 80 de 1993, </w:t>
      </w:r>
      <w:r w:rsidR="00253F16" w:rsidRPr="00386AC3">
        <w:rPr>
          <w:rFonts w:ascii="Arial" w:eastAsia="Calibri" w:hAnsi="Arial" w:cs="Arial"/>
          <w:color w:val="000000" w:themeColor="text1"/>
          <w:sz w:val="22"/>
          <w:lang w:val="es-ES_tradnl"/>
        </w:rPr>
        <w:t>incluy</w:t>
      </w:r>
      <w:r w:rsidR="003731A5" w:rsidRPr="00386AC3">
        <w:rPr>
          <w:rFonts w:ascii="Arial" w:eastAsia="Calibri" w:hAnsi="Arial" w:cs="Arial"/>
          <w:color w:val="000000" w:themeColor="text1"/>
          <w:sz w:val="22"/>
          <w:lang w:val="es-ES_tradnl"/>
        </w:rPr>
        <w:t>e</w:t>
      </w:r>
      <w:r w:rsidR="00253F16" w:rsidRPr="00386AC3">
        <w:rPr>
          <w:rFonts w:ascii="Arial" w:eastAsia="Calibri" w:hAnsi="Arial" w:cs="Arial"/>
          <w:color w:val="000000" w:themeColor="text1"/>
          <w:sz w:val="22"/>
          <w:lang w:val="es-ES_tradnl"/>
        </w:rPr>
        <w:t xml:space="preserve"> como sujetos pasivos de la inhabilidad a «las personas jurídicas que hayan sido declaradas responsables administrativamente por la conducta de soborno transnacional»</w:t>
      </w:r>
      <w:r w:rsidR="003230C1" w:rsidRPr="00386AC3">
        <w:rPr>
          <w:rFonts w:ascii="Arial" w:eastAsia="Calibri" w:hAnsi="Arial" w:cs="Arial"/>
          <w:color w:val="000000" w:themeColor="text1"/>
          <w:sz w:val="22"/>
          <w:lang w:val="es-ES_tradnl"/>
        </w:rPr>
        <w:t>. Est</w:t>
      </w:r>
      <w:r w:rsidR="00E540E9" w:rsidRPr="00386AC3">
        <w:rPr>
          <w:rFonts w:ascii="Arial" w:eastAsia="Calibri" w:hAnsi="Arial" w:cs="Arial"/>
          <w:color w:val="000000" w:themeColor="text1"/>
          <w:sz w:val="22"/>
          <w:lang w:val="es-ES_tradnl"/>
        </w:rPr>
        <w:t>a aseveración es inadmisible</w:t>
      </w:r>
      <w:r w:rsidR="003230C1" w:rsidRPr="00386AC3">
        <w:rPr>
          <w:rFonts w:ascii="Arial" w:eastAsia="Calibri" w:hAnsi="Arial" w:cs="Arial"/>
          <w:color w:val="000000" w:themeColor="text1"/>
          <w:sz w:val="22"/>
          <w:lang w:val="es-ES_tradnl"/>
        </w:rPr>
        <w:t xml:space="preserve"> por cuanto –se reitera– el </w:t>
      </w:r>
      <w:r w:rsidR="00EC4E6A" w:rsidRPr="00386AC3">
        <w:rPr>
          <w:rFonts w:ascii="Arial" w:eastAsia="Calibri" w:hAnsi="Arial" w:cs="Arial"/>
          <w:color w:val="000000" w:themeColor="text1"/>
          <w:sz w:val="22"/>
          <w:lang w:val="es-ES_tradnl"/>
        </w:rPr>
        <w:t>carácter</w:t>
      </w:r>
      <w:r w:rsidR="003230C1" w:rsidRPr="00386AC3">
        <w:rPr>
          <w:rFonts w:ascii="Arial" w:eastAsia="Calibri" w:hAnsi="Arial" w:cs="Arial"/>
          <w:color w:val="000000" w:themeColor="text1"/>
          <w:sz w:val="22"/>
          <w:lang w:val="es-ES_tradnl"/>
        </w:rPr>
        <w:t xml:space="preserve"> permanente de la inhabilidad se predica</w:t>
      </w:r>
      <w:r w:rsidR="00130F57" w:rsidRPr="00386AC3">
        <w:rPr>
          <w:rFonts w:ascii="Arial" w:eastAsia="Calibri" w:hAnsi="Arial" w:cs="Arial"/>
          <w:color w:val="000000" w:themeColor="text1"/>
          <w:sz w:val="22"/>
          <w:lang w:val="es-ES_tradnl"/>
        </w:rPr>
        <w:t xml:space="preserve">, según el referido literal de la Ley 80 de 1993, de </w:t>
      </w:r>
      <w:r w:rsidR="00EC4E6A" w:rsidRPr="00386AC3">
        <w:rPr>
          <w:rFonts w:ascii="Arial" w:eastAsia="Calibri" w:hAnsi="Arial" w:cs="Arial"/>
          <w:color w:val="000000" w:themeColor="text1"/>
          <w:sz w:val="22"/>
          <w:lang w:val="es-ES_tradnl"/>
        </w:rPr>
        <w:t xml:space="preserve">«las sociedades de las que hagan parte dichas personas en las calidades presentadas en los incisos anteriores», más no </w:t>
      </w:r>
      <w:r w:rsidR="00F705CD" w:rsidRPr="00386AC3">
        <w:rPr>
          <w:rFonts w:ascii="Arial" w:eastAsia="Calibri" w:hAnsi="Arial" w:cs="Arial"/>
          <w:i/>
          <w:iCs/>
          <w:color w:val="000000" w:themeColor="text1"/>
          <w:sz w:val="22"/>
          <w:lang w:val="es-ES_tradnl"/>
        </w:rPr>
        <w:t>directamente</w:t>
      </w:r>
      <w:r w:rsidR="00F705CD" w:rsidRPr="00386AC3">
        <w:rPr>
          <w:rFonts w:ascii="Arial" w:eastAsia="Calibri" w:hAnsi="Arial" w:cs="Arial"/>
          <w:color w:val="000000" w:themeColor="text1"/>
          <w:sz w:val="22"/>
          <w:lang w:val="es-ES_tradnl"/>
        </w:rPr>
        <w:t xml:space="preserve"> </w:t>
      </w:r>
      <w:r w:rsidR="00EC4E6A" w:rsidRPr="00386AC3">
        <w:rPr>
          <w:rFonts w:ascii="Arial" w:eastAsia="Calibri" w:hAnsi="Arial" w:cs="Arial"/>
          <w:color w:val="000000" w:themeColor="text1"/>
          <w:sz w:val="22"/>
          <w:lang w:val="es-ES_tradnl"/>
        </w:rPr>
        <w:t>de las personas jurídicas</w:t>
      </w:r>
      <w:r w:rsidR="00130F57" w:rsidRPr="00386AC3">
        <w:rPr>
          <w:rFonts w:ascii="Arial" w:eastAsia="Calibri" w:hAnsi="Arial" w:cs="Arial"/>
          <w:color w:val="000000" w:themeColor="text1"/>
          <w:sz w:val="22"/>
          <w:lang w:val="es-ES_tradnl"/>
        </w:rPr>
        <w:t xml:space="preserve"> –en sí mismas consideradas–</w:t>
      </w:r>
      <w:r w:rsidR="00EC4E6A" w:rsidRPr="00386AC3">
        <w:rPr>
          <w:rFonts w:ascii="Arial" w:eastAsia="Calibri" w:hAnsi="Arial" w:cs="Arial"/>
          <w:color w:val="000000" w:themeColor="text1"/>
          <w:sz w:val="22"/>
          <w:lang w:val="es-ES_tradnl"/>
        </w:rPr>
        <w:t xml:space="preserve"> que han sido sancionadas por la Superintendencia de Sociedades por la conducta</w:t>
      </w:r>
      <w:r w:rsidR="00356379" w:rsidRPr="00386AC3">
        <w:rPr>
          <w:rFonts w:ascii="Arial" w:eastAsia="Calibri" w:hAnsi="Arial" w:cs="Arial"/>
          <w:color w:val="000000" w:themeColor="text1"/>
          <w:sz w:val="22"/>
          <w:lang w:val="es-ES_tradnl"/>
        </w:rPr>
        <w:t xml:space="preserve"> de soborno transnacional, es decir, por la consagrada en el artículo 2 de la Ley 1778 de 2016, modificada por el artículo </w:t>
      </w:r>
      <w:r w:rsidR="00CA6018" w:rsidRPr="00386AC3">
        <w:rPr>
          <w:rFonts w:ascii="Arial" w:eastAsia="Calibri" w:hAnsi="Arial" w:cs="Arial"/>
          <w:color w:val="000000" w:themeColor="text1"/>
          <w:sz w:val="22"/>
          <w:lang w:val="es-ES_tradnl"/>
        </w:rPr>
        <w:t>19 de la Ley 2195 de 2022.</w:t>
      </w:r>
      <w:r w:rsidR="00F705CD" w:rsidRPr="00386AC3">
        <w:rPr>
          <w:rFonts w:ascii="Arial" w:eastAsia="Calibri" w:hAnsi="Arial" w:cs="Arial"/>
          <w:color w:val="000000" w:themeColor="text1"/>
          <w:sz w:val="22"/>
          <w:lang w:val="es-ES_tradnl"/>
        </w:rPr>
        <w:t xml:space="preserve"> En otras palabras, si la persona jurídica no hace parte de otra sociedad, no se activa el supuesto de hecho que permite aplicar la inhabilidad </w:t>
      </w:r>
      <w:r w:rsidR="00F705CD" w:rsidRPr="00386AC3">
        <w:rPr>
          <w:rFonts w:ascii="Arial" w:eastAsia="Calibri" w:hAnsi="Arial" w:cs="Arial"/>
          <w:i/>
          <w:iCs/>
          <w:color w:val="000000" w:themeColor="text1"/>
          <w:sz w:val="22"/>
          <w:lang w:val="es-ES_tradnl"/>
        </w:rPr>
        <w:t>permanente.</w:t>
      </w:r>
    </w:p>
    <w:p w14:paraId="281853F7" w14:textId="77777777" w:rsidR="00443ED2" w:rsidRPr="00386AC3" w:rsidRDefault="0044391F" w:rsidP="00443ED2">
      <w:pPr>
        <w:spacing w:before="120" w:line="276" w:lineRule="auto"/>
        <w:ind w:firstLine="709"/>
        <w:jc w:val="both"/>
        <w:rPr>
          <w:rFonts w:ascii="Arial" w:eastAsia="Calibri" w:hAnsi="Arial" w:cs="Arial"/>
          <w:color w:val="000000" w:themeColor="text1"/>
          <w:sz w:val="22"/>
          <w:lang w:val="es-ES_tradnl"/>
        </w:rPr>
      </w:pPr>
      <w:r w:rsidRPr="00386AC3">
        <w:rPr>
          <w:rFonts w:ascii="Arial" w:eastAsia="Calibri" w:hAnsi="Arial" w:cs="Arial"/>
          <w:color w:val="000000" w:themeColor="text1"/>
          <w:sz w:val="22"/>
          <w:lang w:val="es-ES_tradnl"/>
        </w:rPr>
        <w:t>v) Sin embargo, no se puede predicar la existencia de un vacío en el artículo 8, numeral 1, literal j), de la Ley 80 de 1993, frente al término de la inhabilidad de «las personas jurídicas que hayan sido declaradas responsables administrativamente por la conducta de soborno transnacional». Aunque, como se ha indicado, el quinto inciso de dicho literal regula el carácter permanente de la inhabilidad para una circunstancia especial, que podría o no presentarse</w:t>
      </w:r>
      <w:r w:rsidR="000D7DA0" w:rsidRPr="00386AC3">
        <w:rPr>
          <w:rFonts w:ascii="Arial" w:eastAsia="Calibri" w:hAnsi="Arial" w:cs="Arial"/>
          <w:color w:val="000000" w:themeColor="text1"/>
          <w:sz w:val="22"/>
          <w:lang w:val="es-ES_tradnl"/>
        </w:rPr>
        <w:t xml:space="preserve">, el artículo 5, numeral 2, de la Ley 1778 de 2016 es la norma que define </w:t>
      </w:r>
      <w:r w:rsidR="000D7DA0" w:rsidRPr="00386AC3">
        <w:rPr>
          <w:rFonts w:ascii="Arial" w:eastAsia="Calibri" w:hAnsi="Arial" w:cs="Arial"/>
          <w:color w:val="000000" w:themeColor="text1"/>
          <w:sz w:val="22"/>
          <w:lang w:val="es-ES_tradnl"/>
        </w:rPr>
        <w:lastRenderedPageBreak/>
        <w:t xml:space="preserve">el término </w:t>
      </w:r>
      <w:r w:rsidR="001C26E1" w:rsidRPr="00386AC3">
        <w:rPr>
          <w:rFonts w:ascii="Arial" w:eastAsia="Calibri" w:hAnsi="Arial" w:cs="Arial"/>
          <w:color w:val="000000" w:themeColor="text1"/>
          <w:sz w:val="22"/>
          <w:lang w:val="es-ES_tradnl"/>
        </w:rPr>
        <w:t>de la inhabilidad que recae sobre las personas jurídicas sancionadas por la conducta de soborno transnacional</w:t>
      </w:r>
      <w:r w:rsidR="00C12F56" w:rsidRPr="00386AC3">
        <w:rPr>
          <w:rFonts w:ascii="Arial" w:eastAsia="Calibri" w:hAnsi="Arial" w:cs="Arial"/>
          <w:color w:val="000000" w:themeColor="text1"/>
          <w:sz w:val="22"/>
          <w:lang w:val="es-ES_tradnl"/>
        </w:rPr>
        <w:t xml:space="preserve">, indicando que será </w:t>
      </w:r>
      <w:r w:rsidR="0062097E" w:rsidRPr="00386AC3">
        <w:rPr>
          <w:rFonts w:ascii="Arial" w:eastAsia="Calibri" w:hAnsi="Arial" w:cs="Arial"/>
          <w:color w:val="000000" w:themeColor="text1"/>
          <w:sz w:val="22"/>
          <w:lang w:val="es-ES_tradnl"/>
        </w:rPr>
        <w:t xml:space="preserve">de </w:t>
      </w:r>
      <w:r w:rsidR="00C12F56" w:rsidRPr="00386AC3">
        <w:rPr>
          <w:rFonts w:ascii="Arial" w:eastAsia="Calibri" w:hAnsi="Arial" w:cs="Arial"/>
          <w:color w:val="000000" w:themeColor="text1"/>
          <w:sz w:val="22"/>
          <w:lang w:val="es-ES_tradnl"/>
        </w:rPr>
        <w:t>«hasta veinte (20) años». Si se revisa el devenir normativo</w:t>
      </w:r>
      <w:r w:rsidR="00A22A93" w:rsidRPr="00386AC3">
        <w:rPr>
          <w:rFonts w:ascii="Arial" w:eastAsia="Calibri" w:hAnsi="Arial" w:cs="Arial"/>
          <w:color w:val="000000" w:themeColor="text1"/>
          <w:sz w:val="22"/>
          <w:lang w:val="es-ES_tradnl"/>
        </w:rPr>
        <w:t>, se aprecia que este término se ha mantenido invariable a lo largo del tiempo</w:t>
      </w:r>
      <w:r w:rsidR="00E47A50" w:rsidRPr="00386AC3">
        <w:rPr>
          <w:rFonts w:ascii="Arial" w:eastAsia="Calibri" w:hAnsi="Arial" w:cs="Arial"/>
          <w:color w:val="000000" w:themeColor="text1"/>
          <w:sz w:val="22"/>
          <w:lang w:val="es-ES_tradnl"/>
        </w:rPr>
        <w:t xml:space="preserve"> y que no se modificó ni con la Ley 2014 de 2019</w:t>
      </w:r>
      <w:r w:rsidR="00921820" w:rsidRPr="00386AC3">
        <w:rPr>
          <w:rFonts w:ascii="Arial" w:eastAsia="Calibri" w:hAnsi="Arial" w:cs="Arial"/>
          <w:color w:val="000000" w:themeColor="text1"/>
          <w:sz w:val="22"/>
          <w:lang w:val="es-ES_tradnl"/>
        </w:rPr>
        <w:t>, ni</w:t>
      </w:r>
      <w:r w:rsidR="00E47A50" w:rsidRPr="00386AC3">
        <w:rPr>
          <w:rFonts w:ascii="Arial" w:eastAsia="Calibri" w:hAnsi="Arial" w:cs="Arial"/>
          <w:color w:val="000000" w:themeColor="text1"/>
          <w:sz w:val="22"/>
          <w:lang w:val="es-ES_tradnl"/>
        </w:rPr>
        <w:t xml:space="preserve"> con la Ley 2195 de 2022.</w:t>
      </w:r>
    </w:p>
    <w:p w14:paraId="5CF9454B" w14:textId="77777777" w:rsidR="009B7FEE" w:rsidRPr="00386AC3" w:rsidRDefault="00492FD6" w:rsidP="009D44F3">
      <w:pPr>
        <w:spacing w:before="120" w:line="276" w:lineRule="auto"/>
        <w:ind w:firstLine="709"/>
        <w:jc w:val="both"/>
        <w:rPr>
          <w:rFonts w:ascii="Arial" w:eastAsia="Calibri" w:hAnsi="Arial" w:cs="Arial"/>
          <w:color w:val="000000" w:themeColor="text1"/>
          <w:sz w:val="22"/>
          <w:lang w:val="es-ES_tradnl"/>
        </w:rPr>
      </w:pPr>
      <w:r w:rsidRPr="00386AC3">
        <w:rPr>
          <w:rFonts w:ascii="Arial" w:eastAsia="Calibri" w:hAnsi="Arial" w:cs="Arial"/>
          <w:color w:val="000000" w:themeColor="text1"/>
          <w:sz w:val="22"/>
          <w:lang w:val="es-ES_tradnl"/>
        </w:rPr>
        <w:t>vi) La tesis de la interpretación sistemática, que conduce a la armonización del artículo 8, numeral 1, literal j), de la Ley 80 de 1993, con el artículo 5 de la Ley 1778 de 2016, modificado por el artículo 21 de la Ley 2195 de 2022, se</w:t>
      </w:r>
      <w:r w:rsidR="002E7405" w:rsidRPr="00386AC3">
        <w:rPr>
          <w:rFonts w:ascii="Arial" w:eastAsia="Calibri" w:hAnsi="Arial" w:cs="Arial"/>
          <w:color w:val="000000" w:themeColor="text1"/>
          <w:sz w:val="22"/>
          <w:lang w:val="es-ES_tradnl"/>
        </w:rPr>
        <w:t xml:space="preserve"> fundamenta, a su vez, en la remisión que se hace en la última norma indicada. En efecto, el artículo 5, numeral 2, de la Ley 1778 de 2016, modificado por el artículo 21 de la Ley </w:t>
      </w:r>
      <w:r w:rsidR="00424166" w:rsidRPr="00386AC3">
        <w:rPr>
          <w:rFonts w:ascii="Arial" w:eastAsia="Calibri" w:hAnsi="Arial" w:cs="Arial"/>
          <w:color w:val="000000" w:themeColor="text1"/>
          <w:sz w:val="22"/>
          <w:lang w:val="es-ES_tradnl"/>
        </w:rPr>
        <w:t xml:space="preserve">2195 de 2022, establece que «Esta inhabilidad será impuesta a las personas jurídicas, de acuerdo con lo previsto en el artículo 8° de la Ley 80 de 1993». </w:t>
      </w:r>
      <w:r w:rsidR="00B12FBF" w:rsidRPr="00386AC3">
        <w:rPr>
          <w:rFonts w:ascii="Arial" w:eastAsia="Calibri" w:hAnsi="Arial" w:cs="Arial"/>
          <w:color w:val="000000" w:themeColor="text1"/>
          <w:sz w:val="22"/>
          <w:lang w:val="es-ES_tradnl"/>
        </w:rPr>
        <w:t xml:space="preserve">Para el 2016, </w:t>
      </w:r>
      <w:r w:rsidR="009D0A8E" w:rsidRPr="00386AC3">
        <w:rPr>
          <w:rFonts w:ascii="Arial" w:eastAsia="Calibri" w:hAnsi="Arial" w:cs="Arial"/>
          <w:color w:val="000000" w:themeColor="text1"/>
          <w:sz w:val="22"/>
          <w:lang w:val="es-ES_tradnl"/>
        </w:rPr>
        <w:t xml:space="preserve">año </w:t>
      </w:r>
      <w:r w:rsidR="00B12FBF" w:rsidRPr="00386AC3">
        <w:rPr>
          <w:rFonts w:ascii="Arial" w:eastAsia="Calibri" w:hAnsi="Arial" w:cs="Arial"/>
          <w:color w:val="000000" w:themeColor="text1"/>
          <w:sz w:val="22"/>
          <w:lang w:val="es-ES_tradnl"/>
        </w:rPr>
        <w:t>en que se expidió la Ley 1778</w:t>
      </w:r>
      <w:r w:rsidR="00A25D1E" w:rsidRPr="00386AC3">
        <w:rPr>
          <w:rFonts w:ascii="Arial" w:eastAsia="Calibri" w:hAnsi="Arial" w:cs="Arial"/>
          <w:color w:val="000000" w:themeColor="text1"/>
          <w:sz w:val="22"/>
          <w:lang w:val="es-ES_tradnl"/>
        </w:rPr>
        <w:t xml:space="preserve">, estaba vigente </w:t>
      </w:r>
      <w:r w:rsidR="00100DD9" w:rsidRPr="00386AC3">
        <w:rPr>
          <w:rFonts w:ascii="Arial" w:eastAsia="Calibri" w:hAnsi="Arial" w:cs="Arial"/>
          <w:color w:val="000000" w:themeColor="text1"/>
          <w:sz w:val="22"/>
          <w:lang w:val="es-ES_tradnl"/>
        </w:rPr>
        <w:t xml:space="preserve">el literal j) del numeral 1, del artículo 8 de la Ley 80 de 1993, modificado por el artículo </w:t>
      </w:r>
      <w:r w:rsidR="004867CC" w:rsidRPr="00386AC3">
        <w:rPr>
          <w:rFonts w:ascii="Arial" w:eastAsia="Calibri" w:hAnsi="Arial" w:cs="Arial"/>
          <w:color w:val="000000" w:themeColor="text1"/>
          <w:sz w:val="22"/>
          <w:lang w:val="es-ES_tradnl"/>
        </w:rPr>
        <w:t xml:space="preserve">1 de la Ley 1474 de 2011, que establecía que «La inhabilidad prevista en este literal se extenderá por un término de veinte (20) años», con lo cual tanto la norma de la Ley 80, como la de la Ley 1778 </w:t>
      </w:r>
      <w:r w:rsidR="00BD2D95" w:rsidRPr="00386AC3">
        <w:rPr>
          <w:rFonts w:ascii="Arial" w:eastAsia="Calibri" w:hAnsi="Arial" w:cs="Arial"/>
          <w:color w:val="000000" w:themeColor="text1"/>
          <w:sz w:val="22"/>
          <w:lang w:val="es-ES_tradnl"/>
        </w:rPr>
        <w:t>se correspondían</w:t>
      </w:r>
      <w:r w:rsidR="004867CC" w:rsidRPr="00386AC3">
        <w:rPr>
          <w:rFonts w:ascii="Arial" w:eastAsia="Calibri" w:hAnsi="Arial" w:cs="Arial"/>
          <w:color w:val="000000" w:themeColor="text1"/>
          <w:sz w:val="22"/>
          <w:lang w:val="es-ES_tradnl"/>
        </w:rPr>
        <w:t xml:space="preserve"> perfectamente.</w:t>
      </w:r>
      <w:r w:rsidR="00BD2D95" w:rsidRPr="00386AC3">
        <w:rPr>
          <w:rFonts w:ascii="Arial" w:eastAsia="Calibri" w:hAnsi="Arial" w:cs="Arial"/>
          <w:color w:val="000000" w:themeColor="text1"/>
          <w:sz w:val="22"/>
          <w:lang w:val="es-ES_tradnl"/>
        </w:rPr>
        <w:t xml:space="preserve"> </w:t>
      </w:r>
      <w:r w:rsidR="00665860" w:rsidRPr="00386AC3">
        <w:rPr>
          <w:rFonts w:ascii="Arial" w:eastAsia="Calibri" w:hAnsi="Arial" w:cs="Arial"/>
          <w:color w:val="000000" w:themeColor="text1"/>
          <w:sz w:val="22"/>
          <w:lang w:val="es-ES_tradnl"/>
        </w:rPr>
        <w:t>Para ratificarlo y</w:t>
      </w:r>
      <w:r w:rsidR="006B7800" w:rsidRPr="00386AC3">
        <w:rPr>
          <w:rFonts w:ascii="Arial" w:eastAsia="Calibri" w:hAnsi="Arial" w:cs="Arial"/>
          <w:color w:val="000000" w:themeColor="text1"/>
          <w:sz w:val="22"/>
          <w:lang w:val="es-ES_tradnl"/>
        </w:rPr>
        <w:t xml:space="preserve"> otorgar </w:t>
      </w:r>
      <w:r w:rsidR="00665860" w:rsidRPr="00386AC3">
        <w:rPr>
          <w:rFonts w:ascii="Arial" w:eastAsia="Calibri" w:hAnsi="Arial" w:cs="Arial"/>
          <w:color w:val="000000" w:themeColor="text1"/>
          <w:sz w:val="22"/>
          <w:lang w:val="es-ES_tradnl"/>
        </w:rPr>
        <w:t>mayor claridad</w:t>
      </w:r>
      <w:r w:rsidR="006B7800" w:rsidRPr="00386AC3">
        <w:rPr>
          <w:rFonts w:ascii="Arial" w:eastAsia="Calibri" w:hAnsi="Arial" w:cs="Arial"/>
          <w:color w:val="000000" w:themeColor="text1"/>
          <w:sz w:val="22"/>
          <w:lang w:val="es-ES_tradnl"/>
        </w:rPr>
        <w:t xml:space="preserve"> sobre el asunto</w:t>
      </w:r>
      <w:r w:rsidR="00665860" w:rsidRPr="00386AC3">
        <w:rPr>
          <w:rFonts w:ascii="Arial" w:eastAsia="Calibri" w:hAnsi="Arial" w:cs="Arial"/>
          <w:color w:val="000000" w:themeColor="text1"/>
          <w:sz w:val="22"/>
          <w:lang w:val="es-ES_tradnl"/>
        </w:rPr>
        <w:t>, el artículo 31 de la</w:t>
      </w:r>
      <w:r w:rsidR="006B7800" w:rsidRPr="00386AC3">
        <w:rPr>
          <w:rFonts w:ascii="Arial" w:eastAsia="Calibri" w:hAnsi="Arial" w:cs="Arial"/>
          <w:color w:val="000000" w:themeColor="text1"/>
          <w:sz w:val="22"/>
          <w:lang w:val="es-ES_tradnl"/>
        </w:rPr>
        <w:t xml:space="preserve"> Ley 1778 de 2016 modificó el</w:t>
      </w:r>
      <w:r w:rsidR="00F001A5" w:rsidRPr="00386AC3">
        <w:rPr>
          <w:rFonts w:ascii="Arial" w:eastAsia="Calibri" w:hAnsi="Arial" w:cs="Arial"/>
          <w:color w:val="000000" w:themeColor="text1"/>
          <w:sz w:val="22"/>
          <w:lang w:val="es-ES_tradnl"/>
        </w:rPr>
        <w:t xml:space="preserve"> </w:t>
      </w:r>
      <w:r w:rsidR="00687FBF" w:rsidRPr="00386AC3">
        <w:rPr>
          <w:rFonts w:ascii="Arial" w:eastAsia="Calibri" w:hAnsi="Arial" w:cs="Arial"/>
          <w:color w:val="000000" w:themeColor="text1"/>
          <w:sz w:val="22"/>
          <w:lang w:val="es-ES_tradnl"/>
        </w:rPr>
        <w:t>mencionado literal j) indicando lo mismo que ya decía la Ley 1474 de 2011: que «La inhabilidad prevista en este literal se extenderá por un término de veinte (20) años».</w:t>
      </w:r>
      <w:r w:rsidR="00A311C3" w:rsidRPr="00386AC3">
        <w:rPr>
          <w:rFonts w:ascii="Arial" w:eastAsia="Calibri" w:hAnsi="Arial" w:cs="Arial"/>
          <w:color w:val="000000" w:themeColor="text1"/>
          <w:sz w:val="22"/>
          <w:lang w:val="es-ES_tradnl"/>
        </w:rPr>
        <w:t xml:space="preserve"> </w:t>
      </w:r>
    </w:p>
    <w:p w14:paraId="6AB6A217" w14:textId="68173280" w:rsidR="009D44F3" w:rsidRPr="00386AC3" w:rsidRDefault="00A311C3" w:rsidP="009D44F3">
      <w:pPr>
        <w:spacing w:before="120" w:line="276" w:lineRule="auto"/>
        <w:ind w:firstLine="709"/>
        <w:jc w:val="both"/>
        <w:rPr>
          <w:rFonts w:ascii="Arial" w:eastAsia="Calibri" w:hAnsi="Arial" w:cs="Arial"/>
          <w:color w:val="000000" w:themeColor="text1"/>
          <w:sz w:val="22"/>
          <w:lang w:val="es-ES_tradnl"/>
        </w:rPr>
      </w:pPr>
      <w:r w:rsidRPr="00386AC3">
        <w:rPr>
          <w:rFonts w:ascii="Arial" w:eastAsia="Calibri" w:hAnsi="Arial" w:cs="Arial"/>
          <w:color w:val="000000" w:themeColor="text1"/>
          <w:sz w:val="22"/>
          <w:lang w:val="es-ES_tradnl"/>
        </w:rPr>
        <w:t>Fue el artículo</w:t>
      </w:r>
      <w:r w:rsidR="006801A3" w:rsidRPr="00386AC3">
        <w:rPr>
          <w:rFonts w:ascii="Arial" w:eastAsia="Calibri" w:hAnsi="Arial" w:cs="Arial"/>
          <w:color w:val="000000" w:themeColor="text1"/>
          <w:sz w:val="22"/>
          <w:lang w:val="es-ES_tradnl"/>
        </w:rPr>
        <w:t xml:space="preserve"> 2 de la Ley 2014 de 2019</w:t>
      </w:r>
      <w:r w:rsidR="00AA5CAB" w:rsidRPr="00386AC3">
        <w:rPr>
          <w:rFonts w:ascii="Arial" w:eastAsia="Calibri" w:hAnsi="Arial" w:cs="Arial"/>
          <w:color w:val="000000" w:themeColor="text1"/>
          <w:sz w:val="22"/>
          <w:lang w:val="es-ES_tradnl"/>
        </w:rPr>
        <w:t xml:space="preserve"> el que eliminó la referencia a los </w:t>
      </w:r>
      <w:r w:rsidR="00AA5CAB" w:rsidRPr="00386AC3">
        <w:rPr>
          <w:rFonts w:ascii="Arial" w:eastAsia="Calibri" w:hAnsi="Arial" w:cs="Arial"/>
          <w:i/>
          <w:iCs/>
          <w:color w:val="000000" w:themeColor="text1"/>
          <w:sz w:val="22"/>
          <w:lang w:val="es-ES_tradnl"/>
        </w:rPr>
        <w:t>veinte (20) años</w:t>
      </w:r>
      <w:r w:rsidR="005A7FAB" w:rsidRPr="00386AC3">
        <w:rPr>
          <w:rFonts w:ascii="Arial" w:eastAsia="Calibri" w:hAnsi="Arial" w:cs="Arial"/>
          <w:color w:val="000000" w:themeColor="text1"/>
          <w:sz w:val="22"/>
          <w:lang w:val="es-ES_tradnl"/>
        </w:rPr>
        <w:t xml:space="preserve">, pero sin hacer </w:t>
      </w:r>
      <w:r w:rsidR="00F001A5" w:rsidRPr="00386AC3">
        <w:rPr>
          <w:rFonts w:ascii="Arial" w:eastAsia="Calibri" w:hAnsi="Arial" w:cs="Arial"/>
          <w:color w:val="000000" w:themeColor="text1"/>
          <w:sz w:val="22"/>
          <w:lang w:val="es-ES_tradnl"/>
        </w:rPr>
        <w:t>alusión</w:t>
      </w:r>
      <w:r w:rsidR="005A7FAB" w:rsidRPr="00386AC3">
        <w:rPr>
          <w:rFonts w:ascii="Arial" w:eastAsia="Calibri" w:hAnsi="Arial" w:cs="Arial"/>
          <w:color w:val="000000" w:themeColor="text1"/>
          <w:sz w:val="22"/>
          <w:lang w:val="es-ES_tradnl"/>
        </w:rPr>
        <w:t xml:space="preserve"> expresa al término de la inhabilidad de las personas jurídicas sancionadas administrativamente por la conducta de soborno transnacional. Solo reguló un aspecto distinto, indicando un término para otro supuesto, pues señaló que </w:t>
      </w:r>
      <w:r w:rsidR="00443ED2" w:rsidRPr="00386AC3">
        <w:rPr>
          <w:rFonts w:ascii="Arial" w:eastAsia="Calibri" w:hAnsi="Arial" w:cs="Arial"/>
          <w:color w:val="000000" w:themeColor="text1"/>
          <w:sz w:val="22"/>
          <w:lang w:val="es-ES_tradnl"/>
        </w:rPr>
        <w:t>«La inhabilidad prevista en este literal se extenderá de forma permanente a las sociedades de las que hagan parte dichas personas en las calidades presentadas en los incisos anteriores, y se aplicará de igual forma a las personas naturales que hayan sido declaradas responsables judicialmente por la comisión de delitos mencionados en este literal». Com</w:t>
      </w:r>
      <w:r w:rsidR="001427DD" w:rsidRPr="00386AC3">
        <w:rPr>
          <w:rFonts w:ascii="Arial" w:eastAsia="Calibri" w:hAnsi="Arial" w:cs="Arial"/>
          <w:color w:val="000000" w:themeColor="text1"/>
          <w:sz w:val="22"/>
          <w:lang w:val="es-ES_tradnl"/>
        </w:rPr>
        <w:t>o se explicó, este inciso no dice cuál es el término de la inhabilidad que debe regir sobre las personas jurídicas sancionadas administrativamente por soborno transnacional</w:t>
      </w:r>
      <w:r w:rsidR="00306334" w:rsidRPr="00386AC3">
        <w:rPr>
          <w:rFonts w:ascii="Arial" w:eastAsia="Calibri" w:hAnsi="Arial" w:cs="Arial"/>
          <w:color w:val="000000" w:themeColor="text1"/>
          <w:sz w:val="22"/>
          <w:lang w:val="es-ES_tradnl"/>
        </w:rPr>
        <w:t xml:space="preserve">. </w:t>
      </w:r>
      <w:r w:rsidR="0085078B" w:rsidRPr="00386AC3">
        <w:rPr>
          <w:rFonts w:ascii="Arial" w:eastAsia="Calibri" w:hAnsi="Arial" w:cs="Arial"/>
          <w:color w:val="000000" w:themeColor="text1"/>
          <w:sz w:val="22"/>
          <w:lang w:val="es-ES_tradnl"/>
        </w:rPr>
        <w:t>Como</w:t>
      </w:r>
      <w:r w:rsidR="00306334" w:rsidRPr="00386AC3">
        <w:rPr>
          <w:rFonts w:ascii="Arial" w:eastAsia="Calibri" w:hAnsi="Arial" w:cs="Arial"/>
          <w:color w:val="000000" w:themeColor="text1"/>
          <w:sz w:val="22"/>
          <w:lang w:val="es-ES_tradnl"/>
        </w:rPr>
        <w:t xml:space="preserve"> no regul</w:t>
      </w:r>
      <w:r w:rsidR="0085078B" w:rsidRPr="00386AC3">
        <w:rPr>
          <w:rFonts w:ascii="Arial" w:eastAsia="Calibri" w:hAnsi="Arial" w:cs="Arial"/>
          <w:color w:val="000000" w:themeColor="text1"/>
          <w:sz w:val="22"/>
          <w:lang w:val="es-ES_tradnl"/>
        </w:rPr>
        <w:t>ó</w:t>
      </w:r>
      <w:r w:rsidR="00306334" w:rsidRPr="00386AC3">
        <w:rPr>
          <w:rFonts w:ascii="Arial" w:eastAsia="Calibri" w:hAnsi="Arial" w:cs="Arial"/>
          <w:color w:val="000000" w:themeColor="text1"/>
          <w:sz w:val="22"/>
          <w:lang w:val="es-ES_tradnl"/>
        </w:rPr>
        <w:t xml:space="preserve"> este supuesto, sino solo el caso de la integración de sociedades por </w:t>
      </w:r>
      <w:r w:rsidR="00260A30" w:rsidRPr="00386AC3">
        <w:rPr>
          <w:rFonts w:ascii="Arial" w:eastAsia="Calibri" w:hAnsi="Arial" w:cs="Arial"/>
          <w:color w:val="000000" w:themeColor="text1"/>
          <w:sz w:val="22"/>
          <w:lang w:val="es-ES_tradnl"/>
        </w:rPr>
        <w:t xml:space="preserve">las personas mencionadas en el literal, el término de </w:t>
      </w:r>
      <w:r w:rsidR="00C054B5" w:rsidRPr="00386AC3">
        <w:rPr>
          <w:rFonts w:ascii="Arial" w:eastAsia="Calibri" w:hAnsi="Arial" w:cs="Arial"/>
          <w:color w:val="000000" w:themeColor="text1"/>
          <w:sz w:val="22"/>
          <w:lang w:val="es-ES_tradnl"/>
        </w:rPr>
        <w:t>«hasta</w:t>
      </w:r>
      <w:r w:rsidR="00260A30" w:rsidRPr="00386AC3">
        <w:rPr>
          <w:rFonts w:ascii="Arial" w:eastAsia="Calibri" w:hAnsi="Arial" w:cs="Arial"/>
          <w:color w:val="000000" w:themeColor="text1"/>
          <w:sz w:val="22"/>
          <w:lang w:val="es-ES_tradnl"/>
        </w:rPr>
        <w:t xml:space="preserve"> veinte</w:t>
      </w:r>
      <w:r w:rsidR="00C054B5" w:rsidRPr="00386AC3">
        <w:rPr>
          <w:rFonts w:ascii="Arial" w:eastAsia="Calibri" w:hAnsi="Arial" w:cs="Arial"/>
          <w:color w:val="000000" w:themeColor="text1"/>
          <w:sz w:val="22"/>
          <w:lang w:val="es-ES_tradnl"/>
        </w:rPr>
        <w:t xml:space="preserve"> (20)</w:t>
      </w:r>
      <w:r w:rsidR="00260A30" w:rsidRPr="00386AC3">
        <w:rPr>
          <w:rFonts w:ascii="Arial" w:eastAsia="Calibri" w:hAnsi="Arial" w:cs="Arial"/>
          <w:color w:val="000000" w:themeColor="text1"/>
          <w:sz w:val="22"/>
          <w:lang w:val="es-ES_tradnl"/>
        </w:rPr>
        <w:t xml:space="preserve"> años</w:t>
      </w:r>
      <w:r w:rsidR="00C054B5" w:rsidRPr="00386AC3">
        <w:rPr>
          <w:rFonts w:ascii="Arial" w:eastAsia="Calibri" w:hAnsi="Arial" w:cs="Arial"/>
          <w:color w:val="000000" w:themeColor="text1"/>
          <w:sz w:val="22"/>
          <w:lang w:val="es-ES_tradnl"/>
        </w:rPr>
        <w:t>»</w:t>
      </w:r>
      <w:r w:rsidR="00260A30" w:rsidRPr="00386AC3">
        <w:rPr>
          <w:rFonts w:ascii="Arial" w:eastAsia="Calibri" w:hAnsi="Arial" w:cs="Arial"/>
          <w:color w:val="000000" w:themeColor="text1"/>
          <w:sz w:val="22"/>
          <w:lang w:val="es-ES_tradnl"/>
        </w:rPr>
        <w:t xml:space="preserve"> siguió aplicando,</w:t>
      </w:r>
      <w:r w:rsidR="00C054B5" w:rsidRPr="00386AC3">
        <w:rPr>
          <w:rFonts w:ascii="Arial" w:eastAsia="Calibri" w:hAnsi="Arial" w:cs="Arial"/>
          <w:color w:val="000000" w:themeColor="text1"/>
          <w:sz w:val="22"/>
          <w:lang w:val="es-ES_tradnl"/>
        </w:rPr>
        <w:t xml:space="preserve"> porque incluso con la expedición de la Ley 2014 de 2019 </w:t>
      </w:r>
      <w:r w:rsidR="007B56C6" w:rsidRPr="00386AC3">
        <w:rPr>
          <w:rFonts w:ascii="Arial" w:eastAsia="Calibri" w:hAnsi="Arial" w:cs="Arial"/>
          <w:color w:val="000000" w:themeColor="text1"/>
          <w:sz w:val="22"/>
          <w:lang w:val="es-ES_tradnl"/>
        </w:rPr>
        <w:t>continuó</w:t>
      </w:r>
      <w:r w:rsidR="00C054B5" w:rsidRPr="00386AC3">
        <w:rPr>
          <w:rFonts w:ascii="Arial" w:eastAsia="Calibri" w:hAnsi="Arial" w:cs="Arial"/>
          <w:color w:val="000000" w:themeColor="text1"/>
          <w:sz w:val="22"/>
          <w:lang w:val="es-ES_tradnl"/>
        </w:rPr>
        <w:t xml:space="preserve"> vigente el artículo 5, numeral 2, de la Ley 1778 de 2016, que actualmente reitera el artículo 21 de la Ley 2195 de 2022.</w:t>
      </w:r>
    </w:p>
    <w:p w14:paraId="0A374621" w14:textId="3FA27232" w:rsidR="005210EC" w:rsidRPr="00386AC3" w:rsidRDefault="009D44F3" w:rsidP="009D44F3">
      <w:pPr>
        <w:spacing w:before="120" w:line="276" w:lineRule="auto"/>
        <w:ind w:firstLine="709"/>
        <w:jc w:val="both"/>
        <w:rPr>
          <w:rFonts w:ascii="Arial" w:eastAsia="Calibri" w:hAnsi="Arial" w:cs="Arial"/>
          <w:color w:val="000000" w:themeColor="text1"/>
          <w:sz w:val="22"/>
          <w:lang w:val="es-ES_tradnl"/>
        </w:rPr>
      </w:pPr>
      <w:r w:rsidRPr="00386AC3">
        <w:rPr>
          <w:rFonts w:ascii="Arial" w:eastAsia="Calibri" w:hAnsi="Arial" w:cs="Arial"/>
          <w:color w:val="000000" w:themeColor="text1"/>
          <w:sz w:val="22"/>
          <w:lang w:val="es-ES_tradnl"/>
        </w:rPr>
        <w:t xml:space="preserve">vii) Pero si, en gracia de discusión, </w:t>
      </w:r>
      <w:r w:rsidR="004C09B7" w:rsidRPr="00386AC3">
        <w:rPr>
          <w:rFonts w:ascii="Arial" w:eastAsia="Calibri" w:hAnsi="Arial" w:cs="Arial"/>
          <w:color w:val="000000" w:themeColor="text1"/>
          <w:sz w:val="22"/>
          <w:lang w:val="es-ES_tradnl"/>
        </w:rPr>
        <w:t xml:space="preserve">llegara a afirmarse que el artículo 2 de la Ley 2014 de 2019 derogó el término de los veinte (20) años, que preveía el artículo 8, numeral 1, literal j), de la Ley 80 de 1993, </w:t>
      </w:r>
      <w:r w:rsidR="003A1199" w:rsidRPr="00386AC3">
        <w:rPr>
          <w:rFonts w:ascii="Arial" w:eastAsia="Calibri" w:hAnsi="Arial" w:cs="Arial"/>
          <w:color w:val="000000" w:themeColor="text1"/>
          <w:sz w:val="22"/>
          <w:lang w:val="es-ES_tradnl"/>
        </w:rPr>
        <w:t xml:space="preserve">tendría que aceptarse, entonces, </w:t>
      </w:r>
      <w:r w:rsidR="0093621D" w:rsidRPr="00386AC3">
        <w:rPr>
          <w:rFonts w:ascii="Arial" w:eastAsia="Calibri" w:hAnsi="Arial" w:cs="Arial"/>
          <w:color w:val="000000" w:themeColor="text1"/>
          <w:sz w:val="22"/>
          <w:lang w:val="es-ES_tradnl"/>
        </w:rPr>
        <w:t xml:space="preserve">el argumento de que </w:t>
      </w:r>
      <w:r w:rsidR="004C09B7" w:rsidRPr="00386AC3">
        <w:rPr>
          <w:rFonts w:ascii="Arial" w:eastAsia="Calibri" w:hAnsi="Arial" w:cs="Arial"/>
          <w:color w:val="000000" w:themeColor="text1"/>
          <w:sz w:val="22"/>
          <w:lang w:val="es-ES_tradnl"/>
        </w:rPr>
        <w:t xml:space="preserve">el artículo 21 </w:t>
      </w:r>
      <w:r w:rsidR="00722C2F" w:rsidRPr="00386AC3">
        <w:rPr>
          <w:rFonts w:ascii="Arial" w:eastAsia="Calibri" w:hAnsi="Arial" w:cs="Arial"/>
          <w:color w:val="000000" w:themeColor="text1"/>
          <w:sz w:val="22"/>
          <w:lang w:val="es-ES_tradnl"/>
        </w:rPr>
        <w:t>de la Ley 2195 de</w:t>
      </w:r>
      <w:r w:rsidR="0093621D" w:rsidRPr="00386AC3">
        <w:rPr>
          <w:rFonts w:ascii="Arial" w:eastAsia="Calibri" w:hAnsi="Arial" w:cs="Arial"/>
          <w:color w:val="000000" w:themeColor="text1"/>
          <w:sz w:val="22"/>
          <w:lang w:val="es-ES_tradnl"/>
        </w:rPr>
        <w:t xml:space="preserve"> 2022</w:t>
      </w:r>
      <w:r w:rsidR="00CD295E" w:rsidRPr="00386AC3">
        <w:rPr>
          <w:rFonts w:ascii="Arial" w:eastAsia="Calibri" w:hAnsi="Arial" w:cs="Arial"/>
          <w:color w:val="000000" w:themeColor="text1"/>
          <w:sz w:val="22"/>
          <w:lang w:val="es-ES_tradnl"/>
        </w:rPr>
        <w:t xml:space="preserve"> revivió dicho término.</w:t>
      </w:r>
      <w:r w:rsidR="00722C2F" w:rsidRPr="00386AC3">
        <w:rPr>
          <w:rFonts w:ascii="Arial" w:eastAsia="Calibri" w:hAnsi="Arial" w:cs="Arial"/>
          <w:color w:val="000000" w:themeColor="text1"/>
          <w:sz w:val="22"/>
          <w:lang w:val="es-ES_tradnl"/>
        </w:rPr>
        <w:t xml:space="preserve"> </w:t>
      </w:r>
      <w:r w:rsidR="00CD295E" w:rsidRPr="00386AC3">
        <w:rPr>
          <w:rFonts w:ascii="Arial" w:eastAsia="Calibri" w:hAnsi="Arial" w:cs="Arial"/>
          <w:color w:val="000000" w:themeColor="text1"/>
          <w:sz w:val="22"/>
          <w:lang w:val="es-ES_tradnl"/>
        </w:rPr>
        <w:t xml:space="preserve">En otras palabras, en ese supuesto argumentativo, debería aplicarse </w:t>
      </w:r>
      <w:r w:rsidR="002D3973" w:rsidRPr="00386AC3">
        <w:rPr>
          <w:rFonts w:ascii="Arial" w:eastAsia="Calibri" w:hAnsi="Arial" w:cs="Arial"/>
          <w:color w:val="000000" w:themeColor="text1"/>
          <w:sz w:val="22"/>
          <w:lang w:val="es-ES_tradnl"/>
        </w:rPr>
        <w:t xml:space="preserve">la regla hermenéutica según la cual </w:t>
      </w:r>
      <w:r w:rsidR="00722C2F" w:rsidRPr="00386AC3">
        <w:rPr>
          <w:rFonts w:ascii="Arial" w:eastAsia="Calibri" w:hAnsi="Arial" w:cs="Arial"/>
          <w:color w:val="000000" w:themeColor="text1"/>
          <w:sz w:val="22"/>
          <w:lang w:val="es-ES_tradnl"/>
        </w:rPr>
        <w:t xml:space="preserve">ante la existencia de dos consecuencias jurídicas contrarias, en dos leyes de igual jerarquía, debe entenderse </w:t>
      </w:r>
      <w:r w:rsidR="00722C2F" w:rsidRPr="00386AC3">
        <w:rPr>
          <w:rFonts w:ascii="Arial" w:eastAsia="Calibri" w:hAnsi="Arial" w:cs="Arial"/>
          <w:color w:val="000000" w:themeColor="text1"/>
          <w:sz w:val="22"/>
          <w:lang w:val="es-ES_tradnl"/>
        </w:rPr>
        <w:lastRenderedPageBreak/>
        <w:t>que la segunda en el tiempo deroga tácitamente a la anterior, en aplicación de</w:t>
      </w:r>
      <w:r w:rsidR="00A5443F" w:rsidRPr="00386AC3">
        <w:rPr>
          <w:rFonts w:ascii="Arial" w:eastAsia="Calibri" w:hAnsi="Arial" w:cs="Arial"/>
          <w:color w:val="000000" w:themeColor="text1"/>
          <w:sz w:val="22"/>
          <w:lang w:val="es-ES_tradnl"/>
        </w:rPr>
        <w:t xml:space="preserve">l postulado </w:t>
      </w:r>
      <w:r w:rsidR="00722C2F" w:rsidRPr="00386AC3">
        <w:rPr>
          <w:rFonts w:ascii="Arial" w:eastAsia="Calibri" w:hAnsi="Arial" w:cs="Arial"/>
          <w:color w:val="000000" w:themeColor="text1"/>
          <w:sz w:val="22"/>
          <w:lang w:val="es-ES_tradnl"/>
        </w:rPr>
        <w:t>«</w:t>
      </w:r>
      <w:r w:rsidR="00722C2F" w:rsidRPr="00386AC3">
        <w:rPr>
          <w:rFonts w:ascii="Arial" w:eastAsia="Calibri" w:hAnsi="Arial" w:cs="Arial"/>
          <w:i/>
          <w:iCs/>
          <w:color w:val="000000" w:themeColor="text1"/>
          <w:sz w:val="22"/>
          <w:lang w:val="es-ES_tradnl"/>
        </w:rPr>
        <w:t xml:space="preserve">lex posterior </w:t>
      </w:r>
      <w:proofErr w:type="spellStart"/>
      <w:r w:rsidR="00722C2F" w:rsidRPr="00386AC3">
        <w:rPr>
          <w:rFonts w:ascii="Arial" w:eastAsia="Calibri" w:hAnsi="Arial" w:cs="Arial"/>
          <w:i/>
          <w:iCs/>
          <w:color w:val="000000" w:themeColor="text1"/>
          <w:sz w:val="22"/>
          <w:lang w:val="es-ES_tradnl"/>
        </w:rPr>
        <w:t>derogat</w:t>
      </w:r>
      <w:proofErr w:type="spellEnd"/>
      <w:r w:rsidR="00722C2F" w:rsidRPr="00386AC3">
        <w:rPr>
          <w:rFonts w:ascii="Arial" w:eastAsia="Calibri" w:hAnsi="Arial" w:cs="Arial"/>
          <w:i/>
          <w:iCs/>
          <w:color w:val="000000" w:themeColor="text1"/>
          <w:sz w:val="22"/>
          <w:lang w:val="es-ES_tradnl"/>
        </w:rPr>
        <w:t xml:space="preserve"> priori</w:t>
      </w:r>
      <w:r w:rsidR="00722C2F" w:rsidRPr="00386AC3">
        <w:rPr>
          <w:rFonts w:ascii="Arial" w:eastAsia="Calibri" w:hAnsi="Arial" w:cs="Arial"/>
          <w:color w:val="000000" w:themeColor="text1"/>
          <w:sz w:val="22"/>
          <w:lang w:val="es-ES_tradnl"/>
        </w:rPr>
        <w:t>» –ley posterior deroga la anterior–, consagrad</w:t>
      </w:r>
      <w:r w:rsidR="00A5443F" w:rsidRPr="00386AC3">
        <w:rPr>
          <w:rFonts w:ascii="Arial" w:eastAsia="Calibri" w:hAnsi="Arial" w:cs="Arial"/>
          <w:color w:val="000000" w:themeColor="text1"/>
          <w:sz w:val="22"/>
          <w:lang w:val="es-ES_tradnl"/>
        </w:rPr>
        <w:t>o</w:t>
      </w:r>
      <w:r w:rsidR="00722C2F" w:rsidRPr="00386AC3">
        <w:rPr>
          <w:rFonts w:ascii="Arial" w:eastAsia="Calibri" w:hAnsi="Arial" w:cs="Arial"/>
          <w:color w:val="000000" w:themeColor="text1"/>
          <w:sz w:val="22"/>
          <w:lang w:val="es-ES_tradnl"/>
        </w:rPr>
        <w:t xml:space="preserve"> en el artículo 2 de la Ley 153 de 1887</w:t>
      </w:r>
      <w:r w:rsidR="00722C2F" w:rsidRPr="00386AC3">
        <w:rPr>
          <w:rStyle w:val="Refdenotaalpie"/>
          <w:rFonts w:ascii="Arial" w:eastAsia="Calibri" w:hAnsi="Arial" w:cs="Arial"/>
          <w:color w:val="000000" w:themeColor="text1"/>
          <w:sz w:val="22"/>
          <w:lang w:val="es-ES_tradnl"/>
        </w:rPr>
        <w:footnoteReference w:id="21"/>
      </w:r>
      <w:r w:rsidR="002D3973" w:rsidRPr="00386AC3">
        <w:rPr>
          <w:rFonts w:ascii="Arial" w:eastAsia="Calibri" w:hAnsi="Arial" w:cs="Arial"/>
          <w:color w:val="000000" w:themeColor="text1"/>
          <w:sz w:val="22"/>
          <w:lang w:val="es-ES_tradnl"/>
        </w:rPr>
        <w:t>.</w:t>
      </w:r>
    </w:p>
    <w:p w14:paraId="567C0440" w14:textId="34F97782" w:rsidR="002B17C1" w:rsidRPr="00386AC3" w:rsidRDefault="005210EC" w:rsidP="00CD770D">
      <w:pPr>
        <w:spacing w:before="120" w:line="276" w:lineRule="auto"/>
        <w:ind w:firstLine="709"/>
        <w:jc w:val="both"/>
        <w:rPr>
          <w:rFonts w:ascii="Arial" w:eastAsia="Calibri" w:hAnsi="Arial" w:cs="Arial"/>
          <w:color w:val="000000" w:themeColor="text1"/>
          <w:sz w:val="22"/>
          <w:lang w:val="es-ES_tradnl"/>
        </w:rPr>
      </w:pPr>
      <w:r w:rsidRPr="00386AC3">
        <w:rPr>
          <w:rFonts w:ascii="Arial" w:eastAsia="Calibri" w:hAnsi="Arial" w:cs="Arial"/>
          <w:color w:val="000000" w:themeColor="text1"/>
          <w:sz w:val="22"/>
          <w:lang w:val="es-ES_tradnl"/>
        </w:rPr>
        <w:t>viii) Finalmente, se reitera que</w:t>
      </w:r>
      <w:r w:rsidR="00457069" w:rsidRPr="00386AC3">
        <w:rPr>
          <w:rFonts w:ascii="Arial" w:eastAsia="Calibri" w:hAnsi="Arial" w:cs="Arial"/>
          <w:color w:val="000000" w:themeColor="text1"/>
          <w:sz w:val="22"/>
          <w:lang w:val="es-ES_tradnl"/>
        </w:rPr>
        <w:t>,</w:t>
      </w:r>
      <w:r w:rsidRPr="00386AC3">
        <w:rPr>
          <w:rFonts w:ascii="Arial" w:eastAsia="Calibri" w:hAnsi="Arial" w:cs="Arial"/>
          <w:color w:val="000000" w:themeColor="text1"/>
          <w:sz w:val="22"/>
          <w:lang w:val="es-ES_tradnl"/>
        </w:rPr>
        <w:t xml:space="preserve"> para la Agencia Nacional de Contratación Pública – Colombia Compra Eficiente, </w:t>
      </w:r>
      <w:r w:rsidR="00457069" w:rsidRPr="00386AC3">
        <w:rPr>
          <w:rFonts w:ascii="Arial" w:eastAsia="Calibri" w:hAnsi="Arial" w:cs="Arial"/>
          <w:color w:val="000000" w:themeColor="text1"/>
          <w:sz w:val="22"/>
          <w:lang w:val="es-ES_tradnl"/>
        </w:rPr>
        <w:t xml:space="preserve">el artículo 21 de la Ley 2195 de 2022 </w:t>
      </w:r>
      <w:r w:rsidR="00DE78D7" w:rsidRPr="00386AC3">
        <w:rPr>
          <w:rFonts w:ascii="Arial" w:eastAsia="Calibri" w:hAnsi="Arial" w:cs="Arial"/>
          <w:color w:val="000000" w:themeColor="text1"/>
          <w:sz w:val="22"/>
          <w:lang w:val="es-ES_tradnl"/>
        </w:rPr>
        <w:t xml:space="preserve">no </w:t>
      </w:r>
      <w:r w:rsidRPr="00386AC3">
        <w:rPr>
          <w:rFonts w:ascii="Arial" w:eastAsia="Calibri" w:hAnsi="Arial" w:cs="Arial"/>
          <w:color w:val="000000" w:themeColor="text1"/>
          <w:sz w:val="22"/>
          <w:lang w:val="es-ES_tradnl"/>
        </w:rPr>
        <w:t xml:space="preserve">produjo una </w:t>
      </w:r>
      <w:r w:rsidR="00457069" w:rsidRPr="00386AC3">
        <w:rPr>
          <w:rFonts w:ascii="Arial" w:eastAsia="Calibri" w:hAnsi="Arial" w:cs="Arial"/>
          <w:color w:val="000000" w:themeColor="text1"/>
          <w:sz w:val="22"/>
          <w:lang w:val="es-ES_tradnl"/>
        </w:rPr>
        <w:t>derogación tácita del artículo 8, numeral 1, literal j), de la Ley 80 de 1993, en cuanto al término de la inhabilidad, porque ambos artículos deben interpretarse y aplicarse de manera armónica, pues el término de «hasta veinte (20) años»</w:t>
      </w:r>
      <w:r w:rsidR="00CD770D" w:rsidRPr="00386AC3">
        <w:rPr>
          <w:rFonts w:ascii="Arial" w:eastAsia="Calibri" w:hAnsi="Arial" w:cs="Arial"/>
          <w:color w:val="000000" w:themeColor="text1"/>
          <w:sz w:val="22"/>
          <w:lang w:val="es-ES_tradnl"/>
        </w:rPr>
        <w:t xml:space="preserve"> se aplica </w:t>
      </w:r>
      <w:r w:rsidR="00CD770D" w:rsidRPr="00386AC3">
        <w:rPr>
          <w:rFonts w:ascii="Arial" w:eastAsia="Calibri" w:hAnsi="Arial" w:cs="Arial"/>
          <w:i/>
          <w:iCs/>
          <w:color w:val="000000" w:themeColor="text1"/>
          <w:sz w:val="22"/>
          <w:lang w:val="es-ES_tradnl"/>
        </w:rPr>
        <w:t>a un supuesto</w:t>
      </w:r>
      <w:r w:rsidR="00457069" w:rsidRPr="00386AC3">
        <w:rPr>
          <w:rFonts w:ascii="Arial" w:eastAsia="Calibri" w:hAnsi="Arial" w:cs="Arial"/>
          <w:color w:val="000000" w:themeColor="text1"/>
          <w:sz w:val="22"/>
          <w:lang w:val="es-ES_tradnl"/>
        </w:rPr>
        <w:t xml:space="preserve"> y el término </w:t>
      </w:r>
      <w:r w:rsidR="009D638C" w:rsidRPr="00386AC3">
        <w:rPr>
          <w:rFonts w:ascii="Arial" w:eastAsia="Calibri" w:hAnsi="Arial" w:cs="Arial"/>
          <w:color w:val="000000" w:themeColor="text1"/>
          <w:sz w:val="22"/>
          <w:lang w:val="es-ES_tradnl"/>
        </w:rPr>
        <w:t xml:space="preserve">permanente </w:t>
      </w:r>
      <w:r w:rsidR="00DE0DD0" w:rsidRPr="00386AC3">
        <w:rPr>
          <w:rFonts w:ascii="Arial" w:eastAsia="Calibri" w:hAnsi="Arial" w:cs="Arial"/>
          <w:i/>
          <w:iCs/>
          <w:color w:val="000000" w:themeColor="text1"/>
          <w:sz w:val="22"/>
          <w:lang w:val="es-ES_tradnl"/>
        </w:rPr>
        <w:t>a</w:t>
      </w:r>
      <w:r w:rsidR="009D638C" w:rsidRPr="00386AC3">
        <w:rPr>
          <w:rFonts w:ascii="Arial" w:eastAsia="Calibri" w:hAnsi="Arial" w:cs="Arial"/>
          <w:i/>
          <w:iCs/>
          <w:color w:val="000000" w:themeColor="text1"/>
          <w:sz w:val="22"/>
          <w:lang w:val="es-ES_tradnl"/>
        </w:rPr>
        <w:t xml:space="preserve"> otro</w:t>
      </w:r>
      <w:r w:rsidR="009D638C" w:rsidRPr="00386AC3">
        <w:rPr>
          <w:rFonts w:ascii="Arial" w:eastAsia="Calibri" w:hAnsi="Arial" w:cs="Arial"/>
          <w:color w:val="000000" w:themeColor="text1"/>
          <w:sz w:val="22"/>
          <w:lang w:val="es-ES_tradnl"/>
        </w:rPr>
        <w:t>.</w:t>
      </w:r>
      <w:r w:rsidR="00CD770D" w:rsidRPr="00386AC3">
        <w:rPr>
          <w:rFonts w:ascii="Arial" w:eastAsia="Calibri" w:hAnsi="Arial" w:cs="Arial"/>
          <w:color w:val="000000" w:themeColor="text1"/>
          <w:sz w:val="22"/>
          <w:lang w:val="es-ES_tradnl"/>
        </w:rPr>
        <w:t xml:space="preserve"> Así</w:t>
      </w:r>
      <w:r w:rsidR="004676A4" w:rsidRPr="00386AC3">
        <w:rPr>
          <w:rFonts w:ascii="Arial" w:eastAsia="Calibri" w:hAnsi="Arial" w:cs="Arial"/>
          <w:color w:val="000000" w:themeColor="text1"/>
          <w:sz w:val="22"/>
          <w:lang w:val="es-ES_tradnl"/>
        </w:rPr>
        <w:t>, el término vigente para la inhabilidad</w:t>
      </w:r>
      <w:r w:rsidR="00D51C25" w:rsidRPr="00386AC3">
        <w:rPr>
          <w:rFonts w:ascii="Arial" w:eastAsia="Calibri" w:hAnsi="Arial" w:cs="Arial"/>
          <w:color w:val="000000" w:themeColor="text1"/>
          <w:sz w:val="22"/>
          <w:lang w:val="es-ES_tradnl"/>
        </w:rPr>
        <w:t xml:space="preserve"> contractual</w:t>
      </w:r>
      <w:r w:rsidR="004676A4" w:rsidRPr="00386AC3">
        <w:rPr>
          <w:rFonts w:ascii="Arial" w:eastAsia="Calibri" w:hAnsi="Arial" w:cs="Arial"/>
          <w:color w:val="000000" w:themeColor="text1"/>
          <w:sz w:val="22"/>
          <w:lang w:val="es-ES_tradnl"/>
        </w:rPr>
        <w:t xml:space="preserve"> </w:t>
      </w:r>
      <w:r w:rsidR="00BA425B" w:rsidRPr="00386AC3">
        <w:rPr>
          <w:rFonts w:ascii="Arial" w:eastAsia="Calibri" w:hAnsi="Arial" w:cs="Arial"/>
          <w:color w:val="000000" w:themeColor="text1"/>
          <w:sz w:val="22"/>
          <w:lang w:val="es-ES_tradnl"/>
        </w:rPr>
        <w:t>derivada</w:t>
      </w:r>
      <w:r w:rsidR="004676A4" w:rsidRPr="00386AC3">
        <w:rPr>
          <w:rFonts w:ascii="Arial" w:eastAsia="Calibri" w:hAnsi="Arial" w:cs="Arial"/>
          <w:color w:val="000000" w:themeColor="text1"/>
          <w:sz w:val="22"/>
          <w:lang w:val="es-ES_tradnl"/>
        </w:rPr>
        <w:t xml:space="preserve"> </w:t>
      </w:r>
      <w:r w:rsidR="00BA425B" w:rsidRPr="00386AC3">
        <w:rPr>
          <w:rFonts w:ascii="Arial" w:eastAsia="Calibri" w:hAnsi="Arial" w:cs="Arial"/>
          <w:color w:val="000000" w:themeColor="text1"/>
          <w:sz w:val="22"/>
          <w:lang w:val="es-ES_tradnl"/>
        </w:rPr>
        <w:t>de</w:t>
      </w:r>
      <w:r w:rsidR="004676A4" w:rsidRPr="00386AC3">
        <w:rPr>
          <w:rFonts w:ascii="Arial" w:eastAsia="Calibri" w:hAnsi="Arial" w:cs="Arial"/>
          <w:color w:val="000000" w:themeColor="text1"/>
          <w:sz w:val="22"/>
          <w:lang w:val="es-ES_tradnl"/>
        </w:rPr>
        <w:t xml:space="preserve"> la sanción administrativa impuesta por la Superintendencia de Sociedades a una </w:t>
      </w:r>
      <w:r w:rsidR="004676A4" w:rsidRPr="00386AC3">
        <w:rPr>
          <w:rFonts w:ascii="Arial" w:eastAsia="Calibri" w:hAnsi="Arial" w:cs="Arial"/>
          <w:i/>
          <w:iCs/>
          <w:color w:val="000000" w:themeColor="text1"/>
          <w:sz w:val="22"/>
          <w:lang w:val="es-ES_tradnl"/>
        </w:rPr>
        <w:t>persona jurídica</w:t>
      </w:r>
      <w:r w:rsidR="004676A4" w:rsidRPr="00386AC3">
        <w:rPr>
          <w:rFonts w:ascii="Arial" w:eastAsia="Calibri" w:hAnsi="Arial" w:cs="Arial"/>
          <w:color w:val="000000" w:themeColor="text1"/>
          <w:sz w:val="22"/>
          <w:lang w:val="es-ES_tradnl"/>
        </w:rPr>
        <w:t xml:space="preserve">, por la </w:t>
      </w:r>
      <w:r w:rsidR="005C2021" w:rsidRPr="00386AC3">
        <w:rPr>
          <w:rFonts w:ascii="Arial" w:eastAsia="Calibri" w:hAnsi="Arial" w:cs="Arial"/>
          <w:color w:val="000000" w:themeColor="text1"/>
          <w:sz w:val="22"/>
          <w:lang w:val="es-ES_tradnl"/>
        </w:rPr>
        <w:t xml:space="preserve">comisión de las conductas de soborno transnacional enunciadas en el artículo 2 de la Ley 1778 de 2006 es el de </w:t>
      </w:r>
      <w:r w:rsidR="006E3D27" w:rsidRPr="00386AC3">
        <w:rPr>
          <w:rFonts w:ascii="Arial" w:eastAsia="Calibri" w:hAnsi="Arial" w:cs="Arial"/>
          <w:color w:val="000000" w:themeColor="text1"/>
          <w:sz w:val="22"/>
          <w:lang w:val="es-ES_tradnl"/>
        </w:rPr>
        <w:t>«</w:t>
      </w:r>
      <w:r w:rsidR="00BE063E" w:rsidRPr="00386AC3">
        <w:rPr>
          <w:rFonts w:ascii="Arial" w:eastAsia="Calibri" w:hAnsi="Arial" w:cs="Arial"/>
          <w:color w:val="000000" w:themeColor="text1"/>
          <w:sz w:val="22"/>
          <w:lang w:val="es-ES_tradnl"/>
        </w:rPr>
        <w:t xml:space="preserve">hasta </w:t>
      </w:r>
      <w:r w:rsidR="005C2021" w:rsidRPr="00386AC3">
        <w:rPr>
          <w:rFonts w:ascii="Arial" w:eastAsia="Calibri" w:hAnsi="Arial" w:cs="Arial"/>
          <w:color w:val="000000" w:themeColor="text1"/>
          <w:sz w:val="22"/>
          <w:lang w:val="es-ES_tradnl"/>
        </w:rPr>
        <w:t>veinte (20) años</w:t>
      </w:r>
      <w:r w:rsidR="006E3D27" w:rsidRPr="00386AC3">
        <w:rPr>
          <w:rFonts w:ascii="Arial" w:eastAsia="Calibri" w:hAnsi="Arial" w:cs="Arial"/>
          <w:color w:val="000000" w:themeColor="text1"/>
          <w:sz w:val="22"/>
          <w:lang w:val="es-ES_tradnl"/>
        </w:rPr>
        <w:t>»</w:t>
      </w:r>
      <w:r w:rsidR="005C2021" w:rsidRPr="00386AC3">
        <w:rPr>
          <w:rFonts w:ascii="Arial" w:eastAsia="Calibri" w:hAnsi="Arial" w:cs="Arial"/>
          <w:color w:val="000000" w:themeColor="text1"/>
          <w:sz w:val="22"/>
          <w:lang w:val="es-ES_tradnl"/>
        </w:rPr>
        <w:t>, previsto en el artículo</w:t>
      </w:r>
      <w:r w:rsidR="00D51C25" w:rsidRPr="00386AC3">
        <w:rPr>
          <w:rFonts w:ascii="Arial" w:eastAsia="Calibri" w:hAnsi="Arial" w:cs="Arial"/>
          <w:color w:val="000000" w:themeColor="text1"/>
          <w:sz w:val="22"/>
          <w:lang w:val="es-ES_tradnl"/>
        </w:rPr>
        <w:t xml:space="preserve"> 21 de la Ley 2195 de 2022.</w:t>
      </w:r>
      <w:r w:rsidR="006E3D27" w:rsidRPr="00386AC3">
        <w:rPr>
          <w:rFonts w:ascii="Arial" w:eastAsia="Calibri" w:hAnsi="Arial" w:cs="Arial"/>
          <w:color w:val="000000" w:themeColor="text1"/>
          <w:sz w:val="22"/>
          <w:lang w:val="es-ES_tradnl"/>
        </w:rPr>
        <w:t xml:space="preserve"> En los demás aspectos no regulados por los artículos 2 y 5 de la Ley 1778 de 2022 –</w:t>
      </w:r>
      <w:r w:rsidR="008560B0" w:rsidRPr="00386AC3">
        <w:rPr>
          <w:rFonts w:ascii="Arial" w:eastAsia="Calibri" w:hAnsi="Arial" w:cs="Arial"/>
          <w:color w:val="000000" w:themeColor="text1"/>
          <w:sz w:val="22"/>
          <w:lang w:val="es-ES_tradnl"/>
        </w:rPr>
        <w:t>a</w:t>
      </w:r>
      <w:r w:rsidR="00051253" w:rsidRPr="00386AC3">
        <w:rPr>
          <w:rFonts w:ascii="Arial" w:eastAsia="Calibri" w:hAnsi="Arial" w:cs="Arial"/>
          <w:color w:val="000000" w:themeColor="text1"/>
          <w:sz w:val="22"/>
          <w:lang w:val="es-ES_tradnl"/>
        </w:rPr>
        <w:t>ú</w:t>
      </w:r>
      <w:r w:rsidR="008560B0" w:rsidRPr="00386AC3">
        <w:rPr>
          <w:rFonts w:ascii="Arial" w:eastAsia="Calibri" w:hAnsi="Arial" w:cs="Arial"/>
          <w:color w:val="000000" w:themeColor="text1"/>
          <w:sz w:val="22"/>
          <w:lang w:val="es-ES_tradnl"/>
        </w:rPr>
        <w:t xml:space="preserve">n con las modificaciones introducidas por la Ley 2195 de 2022– permanece vigente el carácter </w:t>
      </w:r>
      <w:r w:rsidR="008560B0" w:rsidRPr="00386AC3">
        <w:rPr>
          <w:rFonts w:ascii="Arial" w:eastAsia="Calibri" w:hAnsi="Arial" w:cs="Arial"/>
          <w:i/>
          <w:iCs/>
          <w:color w:val="000000" w:themeColor="text1"/>
          <w:sz w:val="22"/>
          <w:lang w:val="es-ES_tradnl"/>
        </w:rPr>
        <w:t>permanente</w:t>
      </w:r>
      <w:r w:rsidR="008560B0" w:rsidRPr="00386AC3">
        <w:rPr>
          <w:rFonts w:ascii="Arial" w:eastAsia="Calibri" w:hAnsi="Arial" w:cs="Arial"/>
          <w:color w:val="000000" w:themeColor="text1"/>
          <w:sz w:val="22"/>
          <w:lang w:val="es-ES_tradnl"/>
        </w:rPr>
        <w:t xml:space="preserve"> de la inhabilidad</w:t>
      </w:r>
      <w:r w:rsidR="00E765B6" w:rsidRPr="00386AC3">
        <w:rPr>
          <w:rFonts w:ascii="Arial" w:eastAsia="Calibri" w:hAnsi="Arial" w:cs="Arial"/>
          <w:color w:val="000000" w:themeColor="text1"/>
          <w:sz w:val="22"/>
          <w:lang w:val="es-ES_tradnl"/>
        </w:rPr>
        <w:t>, consagrado en el artículo 8, numeral 1, literal j), de la Ley 80 de 1993, pues este último literal consagra sujetos y supuestos fácticos adicionales</w:t>
      </w:r>
      <w:r w:rsidR="00CD770D" w:rsidRPr="00386AC3">
        <w:rPr>
          <w:rFonts w:ascii="Arial" w:eastAsia="Calibri" w:hAnsi="Arial" w:cs="Arial"/>
          <w:color w:val="000000" w:themeColor="text1"/>
          <w:sz w:val="22"/>
          <w:lang w:val="es-ES_tradnl"/>
        </w:rPr>
        <w:t>. Por ejemplo,</w:t>
      </w:r>
      <w:r w:rsidR="009B0331" w:rsidRPr="00386AC3">
        <w:rPr>
          <w:rFonts w:ascii="Arial" w:eastAsia="Calibri" w:hAnsi="Arial" w:cs="Arial"/>
          <w:color w:val="000000" w:themeColor="text1"/>
          <w:sz w:val="22"/>
          <w:lang w:val="es-ES_tradnl"/>
        </w:rPr>
        <w:t xml:space="preserve"> </w:t>
      </w:r>
      <w:r w:rsidR="00057490" w:rsidRPr="00386AC3">
        <w:rPr>
          <w:rFonts w:ascii="Arial" w:eastAsia="Calibri" w:hAnsi="Arial" w:cs="Arial"/>
          <w:color w:val="000000" w:themeColor="text1"/>
          <w:sz w:val="22"/>
          <w:lang w:val="es-ES_tradnl"/>
        </w:rPr>
        <w:t xml:space="preserve">el </w:t>
      </w:r>
      <w:r w:rsidR="00CD770D" w:rsidRPr="00386AC3">
        <w:rPr>
          <w:rFonts w:ascii="Arial" w:eastAsia="Calibri" w:hAnsi="Arial" w:cs="Arial"/>
          <w:color w:val="000000" w:themeColor="text1"/>
          <w:sz w:val="22"/>
          <w:lang w:val="es-ES_tradnl"/>
        </w:rPr>
        <w:t>carácter</w:t>
      </w:r>
      <w:r w:rsidR="00057490" w:rsidRPr="00386AC3">
        <w:rPr>
          <w:rFonts w:ascii="Arial" w:eastAsia="Calibri" w:hAnsi="Arial" w:cs="Arial"/>
          <w:color w:val="000000" w:themeColor="text1"/>
          <w:sz w:val="22"/>
          <w:lang w:val="es-ES_tradnl"/>
        </w:rPr>
        <w:t xml:space="preserve"> </w:t>
      </w:r>
      <w:r w:rsidR="00057490" w:rsidRPr="00386AC3">
        <w:rPr>
          <w:rFonts w:ascii="Arial" w:eastAsia="Calibri" w:hAnsi="Arial" w:cs="Arial"/>
          <w:i/>
          <w:iCs/>
          <w:color w:val="000000" w:themeColor="text1"/>
          <w:sz w:val="22"/>
          <w:lang w:val="es-ES_tradnl"/>
        </w:rPr>
        <w:t>permanente</w:t>
      </w:r>
      <w:r w:rsidR="00057490" w:rsidRPr="00386AC3">
        <w:rPr>
          <w:rFonts w:ascii="Arial" w:eastAsia="Calibri" w:hAnsi="Arial" w:cs="Arial"/>
          <w:color w:val="000000" w:themeColor="text1"/>
          <w:sz w:val="22"/>
          <w:lang w:val="es-ES_tradnl"/>
        </w:rPr>
        <w:t xml:space="preserve"> de la inhabilidad continúa vigente</w:t>
      </w:r>
      <w:r w:rsidR="00610633" w:rsidRPr="00386AC3">
        <w:rPr>
          <w:rFonts w:ascii="Arial" w:eastAsia="Calibri" w:hAnsi="Arial" w:cs="Arial"/>
          <w:color w:val="000000" w:themeColor="text1"/>
          <w:sz w:val="22"/>
          <w:lang w:val="es-ES_tradnl"/>
        </w:rPr>
        <w:t xml:space="preserve">, </w:t>
      </w:r>
      <w:r w:rsidR="00057490" w:rsidRPr="00386AC3">
        <w:rPr>
          <w:rFonts w:ascii="Arial" w:eastAsia="Calibri" w:hAnsi="Arial" w:cs="Arial"/>
          <w:color w:val="000000" w:themeColor="text1"/>
          <w:sz w:val="22"/>
          <w:lang w:val="es-ES_tradnl"/>
        </w:rPr>
        <w:t>para</w:t>
      </w:r>
      <w:r w:rsidR="00CD770D" w:rsidRPr="00386AC3">
        <w:rPr>
          <w:rFonts w:ascii="Arial" w:eastAsia="Calibri" w:hAnsi="Arial" w:cs="Arial"/>
          <w:color w:val="000000" w:themeColor="text1"/>
          <w:sz w:val="22"/>
          <w:lang w:val="es-ES_tradnl"/>
        </w:rPr>
        <w:t xml:space="preserve"> </w:t>
      </w:r>
      <w:r w:rsidR="009225D3" w:rsidRPr="00386AC3">
        <w:rPr>
          <w:rFonts w:ascii="Arial" w:eastAsia="Calibri" w:hAnsi="Arial" w:cs="Arial"/>
          <w:color w:val="000000" w:themeColor="text1"/>
          <w:sz w:val="22"/>
          <w:lang w:val="es-ES_tradnl"/>
        </w:rPr>
        <w:t xml:space="preserve">«las sociedades de las que hagan parte» las personas en las calidades indicadas en los incisos del literal j) y </w:t>
      </w:r>
      <w:r w:rsidR="00051253" w:rsidRPr="00386AC3">
        <w:rPr>
          <w:rFonts w:ascii="Arial" w:eastAsia="Calibri" w:hAnsi="Arial" w:cs="Arial"/>
          <w:color w:val="000000" w:themeColor="text1"/>
          <w:sz w:val="22"/>
          <w:lang w:val="es-ES_tradnl"/>
        </w:rPr>
        <w:t>para</w:t>
      </w:r>
      <w:r w:rsidR="009225D3" w:rsidRPr="00386AC3">
        <w:rPr>
          <w:rFonts w:ascii="Arial" w:eastAsia="Calibri" w:hAnsi="Arial" w:cs="Arial"/>
          <w:color w:val="000000" w:themeColor="text1"/>
          <w:sz w:val="22"/>
          <w:lang w:val="es-ES_tradnl"/>
        </w:rPr>
        <w:t xml:space="preserve"> </w:t>
      </w:r>
      <w:r w:rsidR="00CD770D" w:rsidRPr="00386AC3">
        <w:rPr>
          <w:rFonts w:ascii="Arial" w:eastAsia="Calibri" w:hAnsi="Arial" w:cs="Arial"/>
          <w:color w:val="000000" w:themeColor="text1"/>
          <w:sz w:val="22"/>
          <w:lang w:val="es-ES_tradnl"/>
        </w:rPr>
        <w:t>«</w:t>
      </w:r>
      <w:r w:rsidR="00610633" w:rsidRPr="00386AC3">
        <w:rPr>
          <w:rFonts w:ascii="Arial" w:eastAsia="Calibri" w:hAnsi="Arial" w:cs="Arial"/>
          <w:color w:val="000000" w:themeColor="text1"/>
          <w:sz w:val="22"/>
          <w:lang w:val="es-ES_tradnl"/>
        </w:rPr>
        <w:t>Las personas naturales que hayan sido declaradas responsables judicialmente por la comisión de delitos contra la Administración pública, o de cualquiera de los delitos o faltas contempladas por la Ley 1474 de 2011 y sus normas modificatorias o de cualquiera de las conductas delictivas contempladas por las convenciones o tratados de lucha contra la corrupción suscritos y ratificados por Colombia</w:t>
      </w:r>
      <w:r w:rsidR="00CD770D" w:rsidRPr="00386AC3">
        <w:rPr>
          <w:rFonts w:ascii="Arial" w:eastAsia="Calibri" w:hAnsi="Arial" w:cs="Arial"/>
          <w:color w:val="000000" w:themeColor="text1"/>
          <w:sz w:val="22"/>
          <w:lang w:val="es-ES_tradnl"/>
        </w:rPr>
        <w:t>»</w:t>
      </w:r>
      <w:r w:rsidR="00610633" w:rsidRPr="00386AC3">
        <w:rPr>
          <w:rFonts w:ascii="Arial" w:eastAsia="Calibri" w:hAnsi="Arial" w:cs="Arial"/>
          <w:color w:val="000000" w:themeColor="text1"/>
          <w:sz w:val="22"/>
          <w:lang w:val="es-ES_tradnl"/>
        </w:rPr>
        <w:t>.</w:t>
      </w:r>
      <w:r w:rsidR="00057490" w:rsidRPr="00386AC3">
        <w:rPr>
          <w:rFonts w:ascii="Arial" w:eastAsia="Calibri" w:hAnsi="Arial" w:cs="Arial"/>
          <w:color w:val="000000" w:themeColor="text1"/>
          <w:sz w:val="22"/>
          <w:lang w:val="es-ES_tradnl"/>
        </w:rPr>
        <w:t xml:space="preserve"> </w:t>
      </w:r>
    </w:p>
    <w:p w14:paraId="0B66BF4E" w14:textId="65D40BE1" w:rsidR="00F8522F" w:rsidRPr="00386AC3" w:rsidRDefault="00F8522F" w:rsidP="00920A05">
      <w:pPr>
        <w:spacing w:line="276" w:lineRule="auto"/>
        <w:jc w:val="both"/>
        <w:rPr>
          <w:rFonts w:ascii="Arial" w:eastAsia="Calibri" w:hAnsi="Arial" w:cs="Arial"/>
          <w:color w:val="000000" w:themeColor="text1"/>
          <w:sz w:val="22"/>
        </w:rPr>
      </w:pPr>
    </w:p>
    <w:p w14:paraId="37CA9805" w14:textId="7E6B1FAB" w:rsidR="00DD5B04" w:rsidRPr="00386AC3" w:rsidRDefault="004177A6" w:rsidP="00510DE9">
      <w:pPr>
        <w:tabs>
          <w:tab w:val="left" w:pos="0"/>
        </w:tabs>
        <w:jc w:val="both"/>
        <w:rPr>
          <w:rFonts w:ascii="Arial" w:eastAsia="Calibri" w:hAnsi="Arial" w:cs="Arial"/>
          <w:b/>
          <w:color w:val="000000" w:themeColor="text1"/>
          <w:sz w:val="22"/>
          <w:lang w:val="es-ES_tradnl"/>
        </w:rPr>
      </w:pPr>
      <w:r w:rsidRPr="00386AC3">
        <w:rPr>
          <w:rFonts w:ascii="Arial" w:eastAsia="Calibri" w:hAnsi="Arial" w:cs="Arial"/>
          <w:b/>
          <w:color w:val="000000" w:themeColor="text1"/>
          <w:sz w:val="22"/>
          <w:lang w:val="es-ES_tradnl"/>
        </w:rPr>
        <w:t>3</w:t>
      </w:r>
      <w:r w:rsidR="00B011A9" w:rsidRPr="00386AC3">
        <w:rPr>
          <w:rFonts w:ascii="Arial" w:eastAsia="Calibri" w:hAnsi="Arial" w:cs="Arial"/>
          <w:b/>
          <w:color w:val="000000" w:themeColor="text1"/>
          <w:sz w:val="22"/>
          <w:lang w:val="es-ES_tradnl"/>
        </w:rPr>
        <w:t xml:space="preserve">. </w:t>
      </w:r>
      <w:r w:rsidR="00DD5B04" w:rsidRPr="00386AC3">
        <w:rPr>
          <w:rFonts w:ascii="Arial" w:eastAsia="Calibri" w:hAnsi="Arial" w:cs="Arial"/>
          <w:b/>
          <w:color w:val="000000" w:themeColor="text1"/>
          <w:sz w:val="22"/>
          <w:lang w:val="es-ES_tradnl"/>
        </w:rPr>
        <w:t>Respuest</w:t>
      </w:r>
      <w:r w:rsidR="00BF0E64" w:rsidRPr="00386AC3">
        <w:rPr>
          <w:rFonts w:ascii="Arial" w:eastAsia="Calibri" w:hAnsi="Arial" w:cs="Arial"/>
          <w:b/>
          <w:color w:val="000000" w:themeColor="text1"/>
          <w:sz w:val="22"/>
          <w:lang w:val="es-ES_tradnl"/>
        </w:rPr>
        <w:t>a</w:t>
      </w:r>
    </w:p>
    <w:p w14:paraId="0B74D5B8" w14:textId="7F0A7F13" w:rsidR="00C4581D" w:rsidRPr="00386AC3" w:rsidRDefault="00C4581D" w:rsidP="00510DE9">
      <w:pPr>
        <w:tabs>
          <w:tab w:val="left" w:pos="0"/>
        </w:tabs>
        <w:jc w:val="both"/>
        <w:rPr>
          <w:rFonts w:ascii="Arial" w:eastAsia="Calibri" w:hAnsi="Arial" w:cs="Arial"/>
          <w:color w:val="000000" w:themeColor="text1"/>
          <w:sz w:val="22"/>
          <w:lang w:val="es-ES_tradnl"/>
        </w:rPr>
      </w:pPr>
    </w:p>
    <w:p w14:paraId="0670A6D5" w14:textId="77777777" w:rsidR="00D36D07" w:rsidRPr="00386AC3" w:rsidRDefault="00D36D07" w:rsidP="00D36D07">
      <w:pPr>
        <w:ind w:left="709" w:right="709"/>
        <w:jc w:val="both"/>
        <w:rPr>
          <w:rFonts w:ascii="Arial" w:hAnsi="Arial" w:cs="Arial"/>
          <w:color w:val="000000" w:themeColor="text1"/>
          <w:sz w:val="21"/>
          <w:szCs w:val="21"/>
          <w:lang w:val="es-ES_tradnl"/>
        </w:rPr>
      </w:pPr>
      <w:r w:rsidRPr="00386AC3">
        <w:rPr>
          <w:rFonts w:ascii="Arial" w:hAnsi="Arial" w:cs="Arial"/>
          <w:color w:val="000000" w:themeColor="text1"/>
          <w:sz w:val="21"/>
          <w:szCs w:val="21"/>
          <w:lang w:val="es-ES_tradnl"/>
        </w:rPr>
        <w:t>«¿La imposición de la inhabilidad a personas jurídicas para contratar con el Estado, en el marco de la responsabilidad administrativa sancionatoria de que trata la Ley 2195 de 2022 se hará de forma permanente de acuerdo con el artículo 8-1-J de la Ley 80 de 1993 o teniendo como límite los 20 años que dispone el artículo 21 de esta misma ley?»</w:t>
      </w:r>
    </w:p>
    <w:p w14:paraId="5DC4F1AA" w14:textId="619F642D" w:rsidR="00BF0E64" w:rsidRPr="00386AC3" w:rsidRDefault="00BF0E64" w:rsidP="00853A3C">
      <w:pPr>
        <w:ind w:right="709"/>
        <w:jc w:val="both"/>
        <w:rPr>
          <w:rFonts w:ascii="Arial" w:hAnsi="Arial" w:cs="Arial"/>
          <w:color w:val="000000" w:themeColor="text1"/>
          <w:sz w:val="21"/>
          <w:szCs w:val="21"/>
          <w:lang w:val="es-ES_tradnl"/>
        </w:rPr>
      </w:pPr>
    </w:p>
    <w:p w14:paraId="0CEEFFA5" w14:textId="77777777" w:rsidR="00DE78D7" w:rsidRPr="00386AC3" w:rsidRDefault="00863320" w:rsidP="00DE78D7">
      <w:pPr>
        <w:spacing w:line="276" w:lineRule="auto"/>
        <w:jc w:val="both"/>
        <w:rPr>
          <w:rFonts w:ascii="Arial" w:eastAsia="Calibri" w:hAnsi="Arial" w:cs="Arial"/>
          <w:color w:val="000000" w:themeColor="text1"/>
          <w:sz w:val="22"/>
          <w:lang w:val="es-ES_tradnl"/>
        </w:rPr>
      </w:pPr>
      <w:r w:rsidRPr="00386AC3">
        <w:rPr>
          <w:rFonts w:ascii="Arial" w:eastAsia="Calibri" w:hAnsi="Arial" w:cs="Arial"/>
          <w:color w:val="000000" w:themeColor="text1"/>
          <w:sz w:val="22"/>
          <w:lang w:val="es-ES_tradnl"/>
        </w:rPr>
        <w:t xml:space="preserve">El artículo 8, numeral 1, literal j), de la Ley 80 de 1993, establece que «La inhabilidad prevista en este literal se extenderá de forma permanente a las sociedades de las que hagan parte dichas personas en las calidades presentadas en los incisos anteriores, y se aplicará de igual forma a las personas naturales que hayan sido declaradas responsables judicialmente por la comisión de delitos mencionados en este literal». Como puede </w:t>
      </w:r>
      <w:r w:rsidRPr="00386AC3">
        <w:rPr>
          <w:rFonts w:ascii="Arial" w:eastAsia="Calibri" w:hAnsi="Arial" w:cs="Arial"/>
          <w:color w:val="000000" w:themeColor="text1"/>
          <w:sz w:val="22"/>
          <w:lang w:val="es-ES_tradnl"/>
        </w:rPr>
        <w:lastRenderedPageBreak/>
        <w:t xml:space="preserve">observarse, i) el término de «hasta veinte (20) años» – consagrado en el artículo 5 de la Ley 1778 de 2016, modificado por el artículo 21 de la Ley 2195 de 2022– rige </w:t>
      </w:r>
      <w:r w:rsidRPr="00386AC3">
        <w:rPr>
          <w:rFonts w:ascii="Arial" w:eastAsia="Calibri" w:hAnsi="Arial" w:cs="Arial"/>
          <w:i/>
          <w:iCs/>
          <w:color w:val="000000" w:themeColor="text1"/>
          <w:sz w:val="22"/>
          <w:lang w:val="es-ES_tradnl"/>
        </w:rPr>
        <w:t>sobre las personas jurídicas</w:t>
      </w:r>
      <w:r w:rsidRPr="00386AC3">
        <w:rPr>
          <w:rFonts w:ascii="Arial" w:eastAsia="Calibri" w:hAnsi="Arial" w:cs="Arial"/>
          <w:color w:val="000000" w:themeColor="text1"/>
          <w:sz w:val="22"/>
          <w:lang w:val="es-ES_tradnl"/>
        </w:rPr>
        <w:t xml:space="preserve"> sancionadas por la Superintendencia de Sociedades por las conductas enunciadas en el artículo 2 de la Ley 1778 de 2016; ii) en cambio, el término indefinido –o permanente– del artículo 8, numeral 1, literal j), de la Ley 80 de 1993, se aplica </w:t>
      </w:r>
      <w:r w:rsidRPr="00386AC3">
        <w:rPr>
          <w:rFonts w:ascii="Arial" w:eastAsia="Calibri" w:hAnsi="Arial" w:cs="Arial"/>
          <w:i/>
          <w:iCs/>
          <w:color w:val="000000" w:themeColor="text1"/>
          <w:sz w:val="22"/>
          <w:lang w:val="es-ES_tradnl"/>
        </w:rPr>
        <w:t>no</w:t>
      </w:r>
      <w:r w:rsidRPr="00386AC3">
        <w:rPr>
          <w:rFonts w:ascii="Arial" w:eastAsia="Calibri" w:hAnsi="Arial" w:cs="Arial"/>
          <w:color w:val="000000" w:themeColor="text1"/>
          <w:sz w:val="22"/>
          <w:lang w:val="es-ES_tradnl"/>
        </w:rPr>
        <w:t xml:space="preserve"> a las personas jurídicas sancionadas directamente por la Superintendencia de Sociedades por las conductas que acaban de indicarse, sino i) «a las sociedades de las que hagan parte dichas personas en las calidades presentadas en los incisos anteriores» y ii) «a las personas naturales que hayan sido declaradas responsables judicialmente por la comisión de delitos mencionados en este literal».</w:t>
      </w:r>
    </w:p>
    <w:p w14:paraId="4289827B" w14:textId="79689E5C" w:rsidR="00DE78D7" w:rsidRPr="00386AC3" w:rsidRDefault="00DE78D7" w:rsidP="00DE78D7">
      <w:pPr>
        <w:spacing w:before="120" w:line="276" w:lineRule="auto"/>
        <w:ind w:firstLine="709"/>
        <w:jc w:val="both"/>
        <w:rPr>
          <w:rFonts w:ascii="Arial" w:eastAsia="Calibri" w:hAnsi="Arial" w:cs="Arial"/>
          <w:color w:val="000000" w:themeColor="text1"/>
          <w:sz w:val="22"/>
          <w:lang w:val="es-ES_tradnl"/>
        </w:rPr>
      </w:pPr>
      <w:r w:rsidRPr="00386AC3">
        <w:rPr>
          <w:rFonts w:ascii="Arial" w:eastAsia="Calibri" w:hAnsi="Arial" w:cs="Arial"/>
          <w:color w:val="000000" w:themeColor="text1"/>
          <w:sz w:val="22"/>
          <w:lang w:val="es-ES_tradnl"/>
        </w:rPr>
        <w:t xml:space="preserve">Por tanto, para la Agencia Nacional de Contratación Pública – Colombia Compra Eficiente, el artículo 21 de la Ley 2195 de 2022 no produjo una derogación tácita del artículo 8, numeral 1, literal j), de la Ley 80 de 1993, en cuanto al término de la inhabilidad, porque ambos artículos deben interpretarse y aplicarse de manera armónica, pues el término de «hasta veinte (20) años» se aplica </w:t>
      </w:r>
      <w:r w:rsidRPr="00386AC3">
        <w:rPr>
          <w:rFonts w:ascii="Arial" w:eastAsia="Calibri" w:hAnsi="Arial" w:cs="Arial"/>
          <w:i/>
          <w:iCs/>
          <w:color w:val="000000" w:themeColor="text1"/>
          <w:sz w:val="22"/>
          <w:lang w:val="es-ES_tradnl"/>
        </w:rPr>
        <w:t>a un supuesto</w:t>
      </w:r>
      <w:r w:rsidRPr="00386AC3">
        <w:rPr>
          <w:rFonts w:ascii="Arial" w:eastAsia="Calibri" w:hAnsi="Arial" w:cs="Arial"/>
          <w:color w:val="000000" w:themeColor="text1"/>
          <w:sz w:val="22"/>
          <w:lang w:val="es-ES_tradnl"/>
        </w:rPr>
        <w:t xml:space="preserve"> y el término permanente </w:t>
      </w:r>
      <w:r w:rsidR="00DE0DD0" w:rsidRPr="00386AC3">
        <w:rPr>
          <w:rFonts w:ascii="Arial" w:eastAsia="Calibri" w:hAnsi="Arial" w:cs="Arial"/>
          <w:i/>
          <w:iCs/>
          <w:color w:val="000000" w:themeColor="text1"/>
          <w:sz w:val="22"/>
          <w:lang w:val="es-ES_tradnl"/>
        </w:rPr>
        <w:t>a</w:t>
      </w:r>
      <w:r w:rsidRPr="00386AC3">
        <w:rPr>
          <w:rFonts w:ascii="Arial" w:eastAsia="Calibri" w:hAnsi="Arial" w:cs="Arial"/>
          <w:i/>
          <w:iCs/>
          <w:color w:val="000000" w:themeColor="text1"/>
          <w:sz w:val="22"/>
          <w:lang w:val="es-ES_tradnl"/>
        </w:rPr>
        <w:t xml:space="preserve"> otro</w:t>
      </w:r>
      <w:r w:rsidRPr="00386AC3">
        <w:rPr>
          <w:rFonts w:ascii="Arial" w:eastAsia="Calibri" w:hAnsi="Arial" w:cs="Arial"/>
          <w:color w:val="000000" w:themeColor="text1"/>
          <w:sz w:val="22"/>
          <w:lang w:val="es-ES_tradnl"/>
        </w:rPr>
        <w:t>.</w:t>
      </w:r>
    </w:p>
    <w:p w14:paraId="53005964" w14:textId="7F628143" w:rsidR="00882D24" w:rsidRPr="00386AC3" w:rsidRDefault="00882D24" w:rsidP="005906E8">
      <w:pPr>
        <w:spacing w:before="120" w:line="276" w:lineRule="auto"/>
        <w:jc w:val="both"/>
        <w:rPr>
          <w:rFonts w:ascii="Arial" w:eastAsia="Calibri" w:hAnsi="Arial" w:cs="Arial"/>
          <w:color w:val="000000" w:themeColor="text1"/>
          <w:sz w:val="22"/>
        </w:rPr>
      </w:pPr>
    </w:p>
    <w:p w14:paraId="7B2C921D" w14:textId="0383AF9A" w:rsidR="00DD5B04" w:rsidRPr="00386AC3" w:rsidRDefault="00DD5B04" w:rsidP="00DF76A2">
      <w:pPr>
        <w:spacing w:line="276" w:lineRule="auto"/>
        <w:jc w:val="both"/>
        <w:rPr>
          <w:rFonts w:ascii="Arial" w:hAnsi="Arial" w:cs="Arial"/>
          <w:color w:val="000000" w:themeColor="text1"/>
          <w:sz w:val="22"/>
          <w:lang w:val="es-ES_tradnl"/>
        </w:rPr>
      </w:pPr>
      <w:r w:rsidRPr="00386AC3">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386AC3"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386AC3"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386AC3">
        <w:rPr>
          <w:rFonts w:ascii="Arial" w:hAnsi="Arial" w:cs="Arial"/>
          <w:color w:val="000000" w:themeColor="text1"/>
          <w:sz w:val="22"/>
          <w:szCs w:val="22"/>
          <w:lang w:val="es-ES_tradnl"/>
        </w:rPr>
        <w:t>Atentamente,</w:t>
      </w:r>
    </w:p>
    <w:p w14:paraId="692FC307" w14:textId="210AA6B5" w:rsidR="00921304" w:rsidRPr="00386AC3"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5D88EECC" w14:textId="77777777" w:rsidR="00475023" w:rsidRPr="00386AC3" w:rsidRDefault="00475023" w:rsidP="00475023">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693DFD85" w14:textId="5F2266B3" w:rsidR="00475023" w:rsidRPr="00386AC3" w:rsidRDefault="00953235" w:rsidP="00953235">
      <w:pPr>
        <w:pStyle w:val="NormalWeb"/>
        <w:spacing w:before="0" w:beforeAutospacing="0" w:after="0" w:afterAutospacing="0" w:line="276" w:lineRule="auto"/>
        <w:jc w:val="center"/>
        <w:rPr>
          <w:rFonts w:ascii="Arial" w:hAnsi="Arial" w:cs="Arial"/>
          <w:color w:val="000000" w:themeColor="text1"/>
          <w:lang w:val="es-ES_tradnl"/>
        </w:rPr>
      </w:pPr>
      <w:r>
        <w:rPr>
          <w:noProof/>
        </w:rPr>
        <w:drawing>
          <wp:inline distT="0" distB="0" distL="0" distR="0" wp14:anchorId="45CAD311" wp14:editId="11101E8D">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0A33C95C" w14:textId="77777777" w:rsidR="00475023" w:rsidRPr="00386AC3" w:rsidRDefault="00475023" w:rsidP="00475023">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75023" w:rsidRPr="00386AC3" w14:paraId="16BEC48B" w14:textId="77777777" w:rsidTr="00B460B1">
        <w:trPr>
          <w:trHeight w:val="315"/>
        </w:trPr>
        <w:tc>
          <w:tcPr>
            <w:tcW w:w="812" w:type="dxa"/>
            <w:vAlign w:val="center"/>
            <w:hideMark/>
          </w:tcPr>
          <w:p w14:paraId="7FC0936D" w14:textId="77777777" w:rsidR="00475023" w:rsidRPr="00386AC3" w:rsidRDefault="00475023" w:rsidP="00B460B1">
            <w:pPr>
              <w:jc w:val="both"/>
              <w:rPr>
                <w:rFonts w:ascii="Arial" w:hAnsi="Arial" w:cs="Arial"/>
                <w:color w:val="000000" w:themeColor="text1"/>
                <w:sz w:val="16"/>
                <w:szCs w:val="16"/>
                <w:lang w:val="es-ES_tradnl" w:eastAsia="es-ES"/>
              </w:rPr>
            </w:pPr>
            <w:r w:rsidRPr="00386AC3">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19E4C7F8" w14:textId="77777777" w:rsidR="00475023" w:rsidRPr="00386AC3" w:rsidRDefault="00475023" w:rsidP="00B460B1">
            <w:pPr>
              <w:jc w:val="both"/>
              <w:rPr>
                <w:rFonts w:ascii="Arial" w:hAnsi="Arial" w:cs="Arial"/>
                <w:color w:val="000000" w:themeColor="text1"/>
                <w:sz w:val="16"/>
                <w:szCs w:val="16"/>
                <w:lang w:val="es-ES_tradnl" w:eastAsia="es-ES"/>
              </w:rPr>
            </w:pPr>
            <w:r w:rsidRPr="00386AC3">
              <w:rPr>
                <w:rFonts w:ascii="Arial" w:hAnsi="Arial" w:cs="Arial"/>
                <w:color w:val="000000" w:themeColor="text1"/>
                <w:sz w:val="16"/>
                <w:szCs w:val="16"/>
                <w:lang w:val="es-ES_tradnl" w:eastAsia="es-ES"/>
              </w:rPr>
              <w:t>Cristian Andrés Díaz Díez</w:t>
            </w:r>
          </w:p>
          <w:p w14:paraId="78D822DF" w14:textId="77777777" w:rsidR="00475023" w:rsidRPr="00386AC3" w:rsidRDefault="00475023" w:rsidP="00B460B1">
            <w:pPr>
              <w:jc w:val="both"/>
              <w:rPr>
                <w:rFonts w:ascii="Arial" w:hAnsi="Arial" w:cs="Arial"/>
                <w:color w:val="000000" w:themeColor="text1"/>
                <w:sz w:val="16"/>
                <w:szCs w:val="16"/>
                <w:lang w:val="es-ES_tradnl" w:eastAsia="es-ES"/>
              </w:rPr>
            </w:pPr>
            <w:r w:rsidRPr="00386AC3">
              <w:rPr>
                <w:rFonts w:ascii="Arial" w:hAnsi="Arial" w:cs="Arial"/>
                <w:color w:val="000000" w:themeColor="text1"/>
                <w:sz w:val="16"/>
                <w:szCs w:val="16"/>
                <w:lang w:val="es-ES_tradnl" w:eastAsia="es-ES"/>
              </w:rPr>
              <w:t>Contratista de la Subdirección de Gestión Contractual</w:t>
            </w:r>
          </w:p>
        </w:tc>
      </w:tr>
      <w:tr w:rsidR="00475023" w:rsidRPr="00386AC3" w14:paraId="28BD7FB0" w14:textId="77777777" w:rsidTr="00B460B1">
        <w:trPr>
          <w:trHeight w:val="330"/>
        </w:trPr>
        <w:tc>
          <w:tcPr>
            <w:tcW w:w="812" w:type="dxa"/>
            <w:vAlign w:val="center"/>
            <w:hideMark/>
          </w:tcPr>
          <w:p w14:paraId="2F86C1F8" w14:textId="77777777" w:rsidR="00475023" w:rsidRPr="00386AC3" w:rsidRDefault="00475023" w:rsidP="00B460B1">
            <w:pPr>
              <w:jc w:val="both"/>
              <w:rPr>
                <w:rFonts w:ascii="Arial" w:hAnsi="Arial" w:cs="Arial"/>
                <w:color w:val="000000" w:themeColor="text1"/>
                <w:sz w:val="16"/>
                <w:szCs w:val="16"/>
                <w:lang w:val="es-ES_tradnl" w:eastAsia="es-ES"/>
              </w:rPr>
            </w:pPr>
            <w:r w:rsidRPr="00386AC3">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FCC06C8" w14:textId="77777777" w:rsidR="00475023" w:rsidRPr="00386AC3" w:rsidRDefault="00475023" w:rsidP="00B460B1">
            <w:pPr>
              <w:jc w:val="both"/>
              <w:rPr>
                <w:rFonts w:ascii="Arial" w:hAnsi="Arial" w:cs="Arial"/>
                <w:color w:val="000000" w:themeColor="text1"/>
                <w:sz w:val="16"/>
                <w:szCs w:val="16"/>
                <w:lang w:val="es-ES_tradnl" w:eastAsia="es-ES"/>
              </w:rPr>
            </w:pPr>
            <w:r w:rsidRPr="00386AC3">
              <w:rPr>
                <w:rFonts w:ascii="Arial" w:hAnsi="Arial" w:cs="Arial"/>
                <w:color w:val="000000" w:themeColor="text1"/>
                <w:sz w:val="16"/>
                <w:szCs w:val="16"/>
                <w:lang w:val="es-ES_tradnl" w:eastAsia="es-ES"/>
              </w:rPr>
              <w:t>Juan David Montoya Penagos</w:t>
            </w:r>
          </w:p>
          <w:p w14:paraId="312D0FA2" w14:textId="77777777" w:rsidR="00475023" w:rsidRPr="00386AC3" w:rsidRDefault="00475023" w:rsidP="00B460B1">
            <w:pPr>
              <w:jc w:val="both"/>
              <w:rPr>
                <w:rFonts w:ascii="Arial" w:hAnsi="Arial" w:cs="Arial"/>
                <w:color w:val="000000" w:themeColor="text1"/>
                <w:sz w:val="16"/>
                <w:szCs w:val="16"/>
                <w:lang w:eastAsia="es-ES"/>
              </w:rPr>
            </w:pPr>
            <w:r w:rsidRPr="00386AC3">
              <w:rPr>
                <w:rFonts w:ascii="Arial" w:hAnsi="Arial" w:cs="Arial"/>
                <w:color w:val="000000" w:themeColor="text1"/>
                <w:sz w:val="16"/>
                <w:szCs w:val="16"/>
                <w:lang w:val="es-ES_tradnl" w:eastAsia="es-ES"/>
              </w:rPr>
              <w:t>Gestor T1-15 de la Subdirección de Gestión Contractual</w:t>
            </w:r>
          </w:p>
        </w:tc>
      </w:tr>
      <w:tr w:rsidR="00475023" w:rsidRPr="00365993" w14:paraId="266579C2" w14:textId="77777777" w:rsidTr="00B460B1">
        <w:trPr>
          <w:trHeight w:val="300"/>
        </w:trPr>
        <w:tc>
          <w:tcPr>
            <w:tcW w:w="812" w:type="dxa"/>
            <w:vAlign w:val="center"/>
            <w:hideMark/>
          </w:tcPr>
          <w:p w14:paraId="08D84182" w14:textId="77777777" w:rsidR="00475023" w:rsidRPr="00386AC3" w:rsidRDefault="00475023" w:rsidP="00B460B1">
            <w:pPr>
              <w:jc w:val="both"/>
              <w:rPr>
                <w:rFonts w:ascii="Arial" w:hAnsi="Arial" w:cs="Arial"/>
                <w:color w:val="000000" w:themeColor="text1"/>
                <w:sz w:val="16"/>
                <w:szCs w:val="16"/>
                <w:lang w:val="es-ES_tradnl" w:eastAsia="es-ES"/>
              </w:rPr>
            </w:pPr>
            <w:r w:rsidRPr="00386AC3">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B55BF09" w14:textId="77777777" w:rsidR="00475023" w:rsidRPr="00386AC3" w:rsidRDefault="00475023" w:rsidP="00B460B1">
            <w:pPr>
              <w:jc w:val="both"/>
              <w:rPr>
                <w:rFonts w:ascii="Arial" w:hAnsi="Arial" w:cs="Arial"/>
                <w:color w:val="000000" w:themeColor="text1"/>
                <w:sz w:val="16"/>
                <w:szCs w:val="16"/>
                <w:lang w:val="es-ES_tradnl" w:eastAsia="es-ES"/>
              </w:rPr>
            </w:pPr>
            <w:r w:rsidRPr="00386AC3">
              <w:rPr>
                <w:rFonts w:ascii="Arial" w:hAnsi="Arial" w:cs="Arial"/>
                <w:color w:val="000000" w:themeColor="text1"/>
                <w:sz w:val="16"/>
                <w:szCs w:val="16"/>
                <w:lang w:val="es-ES_tradnl" w:eastAsia="es-ES"/>
              </w:rPr>
              <w:t>Jorge Augusto Tirado Navarro</w:t>
            </w:r>
          </w:p>
          <w:p w14:paraId="538EBFEB" w14:textId="77777777" w:rsidR="00475023" w:rsidRPr="00365993" w:rsidRDefault="00475023" w:rsidP="00B460B1">
            <w:pPr>
              <w:jc w:val="both"/>
              <w:rPr>
                <w:rFonts w:ascii="Arial" w:hAnsi="Arial" w:cs="Arial"/>
                <w:color w:val="000000" w:themeColor="text1"/>
                <w:sz w:val="16"/>
                <w:szCs w:val="16"/>
                <w:lang w:val="es-ES_tradnl" w:eastAsia="es-ES"/>
              </w:rPr>
            </w:pPr>
            <w:r w:rsidRPr="00386AC3">
              <w:rPr>
                <w:rFonts w:ascii="Arial" w:hAnsi="Arial" w:cs="Arial"/>
                <w:color w:val="000000" w:themeColor="text1"/>
                <w:sz w:val="16"/>
                <w:szCs w:val="16"/>
                <w:lang w:val="es-ES_tradnl" w:eastAsia="es-ES"/>
              </w:rPr>
              <w:t>Subdirector de Gestión Contractual ANCP – CCE</w:t>
            </w:r>
          </w:p>
        </w:tc>
      </w:tr>
    </w:tbl>
    <w:p w14:paraId="1DFCC3B9" w14:textId="77777777" w:rsidR="00475023" w:rsidRPr="00365993" w:rsidRDefault="00475023" w:rsidP="00475023">
      <w:pPr>
        <w:rPr>
          <w:rFonts w:ascii="Arial" w:hAnsi="Arial" w:cs="Arial"/>
          <w:color w:val="000000" w:themeColor="text1"/>
          <w:lang w:val="es-ES_tradnl"/>
        </w:rPr>
      </w:pPr>
    </w:p>
    <w:p w14:paraId="04ED452F" w14:textId="77777777" w:rsidR="00475023" w:rsidRPr="00365993" w:rsidRDefault="00475023" w:rsidP="00475023">
      <w:pPr>
        <w:jc w:val="both"/>
        <w:rPr>
          <w:rFonts w:ascii="Arial" w:hAnsi="Arial" w:cs="Arial"/>
          <w:lang w:val="es-ES_tradnl"/>
        </w:rPr>
      </w:pPr>
    </w:p>
    <w:p w14:paraId="35B56F46" w14:textId="77777777" w:rsidR="00746E08" w:rsidRPr="00365993" w:rsidRDefault="00746E08" w:rsidP="00215B8E">
      <w:pPr>
        <w:jc w:val="both"/>
        <w:rPr>
          <w:rFonts w:ascii="Arial" w:hAnsi="Arial" w:cs="Arial"/>
          <w:lang w:val="es-ES_tradnl"/>
        </w:rPr>
      </w:pPr>
    </w:p>
    <w:sectPr w:rsidR="00746E08" w:rsidRPr="00365993"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5FE0D" w14:textId="77777777" w:rsidR="0075643B" w:rsidRDefault="0075643B">
      <w:r>
        <w:separator/>
      </w:r>
    </w:p>
  </w:endnote>
  <w:endnote w:type="continuationSeparator" w:id="0">
    <w:p w14:paraId="0574FC4A" w14:textId="77777777" w:rsidR="0075643B" w:rsidRDefault="0075643B">
      <w:r>
        <w:continuationSeparator/>
      </w:r>
    </w:p>
  </w:endnote>
  <w:endnote w:type="continuationNotice" w:id="1">
    <w:p w14:paraId="27BD40C8" w14:textId="77777777" w:rsidR="0075643B" w:rsidRDefault="007564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6A59DE" w:rsidRDefault="006A59DE" w:rsidP="00322937">
    <w:pPr>
      <w:pStyle w:val="Sinespaciado"/>
      <w:jc w:val="right"/>
      <w:rPr>
        <w:rFonts w:ascii="Arial" w:hAnsi="Arial" w:cs="Arial"/>
        <w:sz w:val="18"/>
        <w:szCs w:val="18"/>
      </w:rPr>
    </w:pPr>
  </w:p>
  <w:p w14:paraId="7A3785F3" w14:textId="2EF28465" w:rsidR="006A59DE" w:rsidRPr="008217B7" w:rsidRDefault="006A59D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6A59DE" w:rsidRDefault="006A59DE"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6A59DE" w:rsidRDefault="006A59DE" w:rsidP="007B0854">
    <w:pPr>
      <w:pStyle w:val="Piedepgina"/>
      <w:jc w:val="center"/>
      <w:rPr>
        <w:lang w:val="es-ES"/>
      </w:rPr>
    </w:pPr>
  </w:p>
  <w:p w14:paraId="6C0EFC49" w14:textId="77777777" w:rsidR="006A59DE" w:rsidRPr="007B0854" w:rsidRDefault="006A59DE"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8F521" w14:textId="77777777" w:rsidR="0075643B" w:rsidRDefault="0075643B">
      <w:r>
        <w:separator/>
      </w:r>
    </w:p>
  </w:footnote>
  <w:footnote w:type="continuationSeparator" w:id="0">
    <w:p w14:paraId="1BCEEA81" w14:textId="77777777" w:rsidR="0075643B" w:rsidRDefault="0075643B">
      <w:r>
        <w:continuationSeparator/>
      </w:r>
    </w:p>
  </w:footnote>
  <w:footnote w:type="continuationNotice" w:id="1">
    <w:p w14:paraId="682C9A5B" w14:textId="77777777" w:rsidR="0075643B" w:rsidRDefault="0075643B"/>
  </w:footnote>
  <w:footnote w:id="2">
    <w:p w14:paraId="46EE859D" w14:textId="77777777" w:rsidR="00FC130B" w:rsidRPr="00984EF2" w:rsidRDefault="00FC130B" w:rsidP="00984EF2">
      <w:pPr>
        <w:pStyle w:val="Textonotapie"/>
        <w:ind w:firstLine="709"/>
        <w:jc w:val="both"/>
        <w:rPr>
          <w:rFonts w:ascii="Arial" w:hAnsi="Arial" w:cs="Arial"/>
          <w:color w:val="000000" w:themeColor="text1"/>
          <w:sz w:val="19"/>
          <w:szCs w:val="19"/>
        </w:rPr>
      </w:pPr>
      <w:r w:rsidRPr="00984EF2">
        <w:rPr>
          <w:rStyle w:val="Refdenotaalpie"/>
          <w:rFonts w:ascii="Arial" w:hAnsi="Arial" w:cs="Arial"/>
          <w:color w:val="000000" w:themeColor="text1"/>
          <w:sz w:val="19"/>
          <w:szCs w:val="19"/>
        </w:rPr>
        <w:footnoteRef/>
      </w:r>
      <w:r w:rsidRPr="00984EF2">
        <w:rPr>
          <w:rFonts w:ascii="Arial" w:hAnsi="Arial" w:cs="Arial"/>
          <w:color w:val="000000" w:themeColor="text1"/>
          <w:sz w:val="19"/>
          <w:szCs w:val="19"/>
        </w:rPr>
        <w:t xml:space="preserve"> El artículo 6 de la Ley 80 de 1993 expresa: «Pueden celebrar contratos con las entidades estatales las personas consideradas legalmente capaces en las disposiciones vigentes. También podrán celebrar contratos con las entidades estatales, los consorcios y uniones temporales.</w:t>
      </w:r>
    </w:p>
    <w:p w14:paraId="4788BA6A" w14:textId="77777777" w:rsidR="00FC130B" w:rsidRPr="00984EF2" w:rsidRDefault="00FC130B" w:rsidP="00984EF2">
      <w:pPr>
        <w:pStyle w:val="Textonotapie"/>
        <w:ind w:firstLine="709"/>
        <w:jc w:val="both"/>
        <w:rPr>
          <w:rFonts w:ascii="Arial" w:hAnsi="Arial" w:cs="Arial"/>
          <w:color w:val="000000" w:themeColor="text1"/>
          <w:sz w:val="19"/>
          <w:szCs w:val="19"/>
        </w:rPr>
      </w:pPr>
      <w:r w:rsidRPr="00984EF2">
        <w:rPr>
          <w:rFonts w:ascii="Arial" w:hAnsi="Arial" w:cs="Arial"/>
          <w:color w:val="000000" w:themeColor="text1"/>
          <w:sz w:val="19"/>
          <w:szCs w:val="19"/>
        </w:rPr>
        <w:t>»Las personas jurídicas nacionales y extranjeras deberán acreditar que su duración no será inferior a la del plazo del contrato y un año más».</w:t>
      </w:r>
    </w:p>
    <w:p w14:paraId="6364614D" w14:textId="77777777" w:rsidR="00FC130B" w:rsidRPr="00984EF2" w:rsidRDefault="00FC130B" w:rsidP="00984EF2">
      <w:pPr>
        <w:pStyle w:val="Textonotapie"/>
        <w:ind w:firstLine="709"/>
        <w:jc w:val="both"/>
        <w:rPr>
          <w:rFonts w:ascii="Arial" w:hAnsi="Arial" w:cs="Arial"/>
          <w:color w:val="000000" w:themeColor="text1"/>
          <w:sz w:val="19"/>
          <w:szCs w:val="19"/>
        </w:rPr>
      </w:pPr>
    </w:p>
  </w:footnote>
  <w:footnote w:id="3">
    <w:p w14:paraId="1CF5BD49" w14:textId="77777777" w:rsidR="00FC130B" w:rsidRPr="00984EF2" w:rsidRDefault="00FC130B" w:rsidP="00984EF2">
      <w:pPr>
        <w:pStyle w:val="Textonotapie"/>
        <w:ind w:firstLine="709"/>
        <w:jc w:val="both"/>
        <w:rPr>
          <w:rFonts w:ascii="Arial" w:hAnsi="Arial" w:cs="Arial"/>
          <w:color w:val="000000" w:themeColor="text1"/>
          <w:sz w:val="19"/>
          <w:szCs w:val="19"/>
        </w:rPr>
      </w:pPr>
      <w:r w:rsidRPr="00984EF2">
        <w:rPr>
          <w:rStyle w:val="Refdenotaalpie"/>
          <w:rFonts w:ascii="Arial" w:hAnsi="Arial" w:cs="Arial"/>
          <w:color w:val="000000" w:themeColor="text1"/>
          <w:sz w:val="19"/>
          <w:szCs w:val="19"/>
        </w:rPr>
        <w:footnoteRef/>
      </w:r>
      <w:r w:rsidRPr="00984EF2">
        <w:rPr>
          <w:rFonts w:ascii="Arial" w:hAnsi="Arial" w:cs="Arial"/>
          <w:color w:val="000000" w:themeColor="text1"/>
          <w:sz w:val="19"/>
          <w:szCs w:val="19"/>
        </w:rPr>
        <w:t xml:space="preserve"> El artículo 1502 del Código Civil prevé la capacidad legal como requisito para obligarse contractualmente, en los siguientes términos: «Para que una persona se obligue a otra por un acto o declaración de voluntad, es necesario:</w:t>
      </w:r>
    </w:p>
    <w:p w14:paraId="1A6B6C18" w14:textId="77777777" w:rsidR="00FC130B" w:rsidRPr="00984EF2" w:rsidRDefault="00FC130B" w:rsidP="00984EF2">
      <w:pPr>
        <w:pStyle w:val="Textonotapie"/>
        <w:ind w:firstLine="709"/>
        <w:jc w:val="both"/>
        <w:rPr>
          <w:rFonts w:ascii="Arial" w:hAnsi="Arial" w:cs="Arial"/>
          <w:color w:val="000000" w:themeColor="text1"/>
          <w:sz w:val="19"/>
          <w:szCs w:val="19"/>
        </w:rPr>
      </w:pPr>
      <w:r w:rsidRPr="00984EF2">
        <w:rPr>
          <w:rFonts w:ascii="Arial" w:hAnsi="Arial" w:cs="Arial"/>
          <w:color w:val="000000" w:themeColor="text1"/>
          <w:sz w:val="19"/>
          <w:szCs w:val="19"/>
        </w:rPr>
        <w:t>»1o.) que sea legalmente capaz.</w:t>
      </w:r>
    </w:p>
    <w:p w14:paraId="261E8EA4" w14:textId="77777777" w:rsidR="00FC130B" w:rsidRPr="00984EF2" w:rsidRDefault="00FC130B" w:rsidP="00984EF2">
      <w:pPr>
        <w:pStyle w:val="Textonotapie"/>
        <w:ind w:firstLine="709"/>
        <w:jc w:val="both"/>
        <w:rPr>
          <w:rFonts w:ascii="Arial" w:hAnsi="Arial" w:cs="Arial"/>
          <w:color w:val="000000" w:themeColor="text1"/>
          <w:sz w:val="19"/>
          <w:szCs w:val="19"/>
        </w:rPr>
      </w:pPr>
      <w:r w:rsidRPr="00984EF2">
        <w:rPr>
          <w:rFonts w:ascii="Arial" w:hAnsi="Arial" w:cs="Arial"/>
          <w:color w:val="000000" w:themeColor="text1"/>
          <w:sz w:val="19"/>
          <w:szCs w:val="19"/>
        </w:rPr>
        <w:t>[…]</w:t>
      </w:r>
    </w:p>
    <w:p w14:paraId="7D52ECB6" w14:textId="77777777" w:rsidR="00FC130B" w:rsidRPr="00984EF2" w:rsidRDefault="00FC130B" w:rsidP="00984EF2">
      <w:pPr>
        <w:pStyle w:val="Textonotapie"/>
        <w:ind w:firstLine="709"/>
        <w:jc w:val="both"/>
        <w:rPr>
          <w:rFonts w:ascii="Arial" w:hAnsi="Arial" w:cs="Arial"/>
          <w:color w:val="000000" w:themeColor="text1"/>
          <w:sz w:val="19"/>
          <w:szCs w:val="19"/>
        </w:rPr>
      </w:pPr>
      <w:r w:rsidRPr="00984EF2">
        <w:rPr>
          <w:rFonts w:ascii="Arial" w:hAnsi="Arial" w:cs="Arial"/>
          <w:color w:val="000000" w:themeColor="text1"/>
          <w:sz w:val="19"/>
          <w:szCs w:val="19"/>
        </w:rPr>
        <w:t>»La capacidad legal de una persona consiste en poderse obligar por sí misma, sin el ministerio o la autorización de otra».</w:t>
      </w:r>
    </w:p>
    <w:p w14:paraId="714FF8BA" w14:textId="77777777" w:rsidR="00FC130B" w:rsidRPr="00984EF2" w:rsidRDefault="00FC130B" w:rsidP="00984EF2">
      <w:pPr>
        <w:pStyle w:val="Textonotapie"/>
        <w:ind w:firstLine="709"/>
        <w:jc w:val="both"/>
        <w:rPr>
          <w:rFonts w:ascii="Arial" w:hAnsi="Arial" w:cs="Arial"/>
          <w:color w:val="000000" w:themeColor="text1"/>
          <w:sz w:val="19"/>
          <w:szCs w:val="19"/>
        </w:rPr>
      </w:pPr>
    </w:p>
  </w:footnote>
  <w:footnote w:id="4">
    <w:p w14:paraId="2405E617" w14:textId="77777777" w:rsidR="00FC130B" w:rsidRPr="00984EF2" w:rsidRDefault="00FC130B" w:rsidP="00984EF2">
      <w:pPr>
        <w:pStyle w:val="Textonotapie"/>
        <w:ind w:firstLine="709"/>
        <w:jc w:val="both"/>
        <w:rPr>
          <w:rFonts w:ascii="Arial" w:hAnsi="Arial" w:cs="Arial"/>
          <w:color w:val="000000" w:themeColor="text1"/>
          <w:sz w:val="19"/>
          <w:szCs w:val="19"/>
          <w:lang w:val="es-ES"/>
        </w:rPr>
      </w:pPr>
      <w:r w:rsidRPr="00984EF2">
        <w:rPr>
          <w:rStyle w:val="Refdenotaalpie"/>
          <w:rFonts w:ascii="Arial" w:hAnsi="Arial" w:cs="Arial"/>
          <w:color w:val="000000" w:themeColor="text1"/>
          <w:sz w:val="19"/>
          <w:szCs w:val="19"/>
        </w:rPr>
        <w:footnoteRef/>
      </w:r>
      <w:r w:rsidRPr="00984EF2">
        <w:rPr>
          <w:rFonts w:ascii="Arial" w:hAnsi="Arial" w:cs="Arial"/>
          <w:color w:val="000000" w:themeColor="text1"/>
          <w:sz w:val="19"/>
          <w:szCs w:val="19"/>
        </w:rPr>
        <w:t xml:space="preserve"> Los incisos 1 y 2 de dicho artículo disponen: </w:t>
      </w:r>
      <w:r w:rsidRPr="00984EF2">
        <w:rPr>
          <w:rFonts w:ascii="Arial" w:hAnsi="Arial" w:cs="Arial"/>
          <w:color w:val="000000" w:themeColor="text1"/>
          <w:sz w:val="19"/>
          <w:szCs w:val="19"/>
          <w:lang w:val="es-ES"/>
        </w:rPr>
        <w:t>«Todas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1158D733" w14:textId="77777777" w:rsidR="00FC130B" w:rsidRPr="00984EF2" w:rsidRDefault="00FC130B" w:rsidP="00984EF2">
      <w:pPr>
        <w:pStyle w:val="Textonotapie"/>
        <w:ind w:firstLine="709"/>
        <w:jc w:val="both"/>
        <w:rPr>
          <w:rFonts w:ascii="Arial" w:hAnsi="Arial" w:cs="Arial"/>
          <w:color w:val="000000" w:themeColor="text1"/>
          <w:sz w:val="19"/>
          <w:szCs w:val="19"/>
          <w:lang w:val="es-ES"/>
        </w:rPr>
      </w:pPr>
      <w:r w:rsidRPr="00984EF2">
        <w:rPr>
          <w:rFonts w:ascii="Arial" w:hAnsi="Arial" w:cs="Arial"/>
          <w:color w:val="000000" w:themeColor="text1"/>
          <w:sz w:val="19"/>
          <w:szCs w:val="19"/>
          <w:lang w:val="es-ES"/>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18448703" w14:textId="77777777" w:rsidR="00FC130B" w:rsidRPr="00984EF2" w:rsidRDefault="00FC130B" w:rsidP="00984EF2">
      <w:pPr>
        <w:pStyle w:val="Textonotapie"/>
        <w:ind w:firstLine="709"/>
        <w:jc w:val="both"/>
        <w:rPr>
          <w:rFonts w:ascii="Arial" w:hAnsi="Arial" w:cs="Arial"/>
          <w:color w:val="000000" w:themeColor="text1"/>
          <w:sz w:val="19"/>
          <w:szCs w:val="19"/>
        </w:rPr>
      </w:pPr>
    </w:p>
  </w:footnote>
  <w:footnote w:id="5">
    <w:p w14:paraId="17FC3C82" w14:textId="77777777" w:rsidR="00FC130B" w:rsidRPr="00984EF2" w:rsidRDefault="00FC130B" w:rsidP="00984EF2">
      <w:pPr>
        <w:pStyle w:val="Textonotapie"/>
        <w:ind w:firstLine="709"/>
        <w:jc w:val="both"/>
        <w:rPr>
          <w:rFonts w:ascii="Arial" w:hAnsi="Arial" w:cs="Arial"/>
          <w:color w:val="000000" w:themeColor="text1"/>
          <w:sz w:val="19"/>
          <w:szCs w:val="19"/>
          <w:lang w:val="es-ES"/>
        </w:rPr>
      </w:pPr>
      <w:r w:rsidRPr="00984EF2">
        <w:rPr>
          <w:rStyle w:val="Refdenotaalpie"/>
          <w:rFonts w:ascii="Arial" w:hAnsi="Arial" w:cs="Arial"/>
          <w:color w:val="000000" w:themeColor="text1"/>
          <w:sz w:val="19"/>
          <w:szCs w:val="19"/>
        </w:rPr>
        <w:footnoteRef/>
      </w:r>
      <w:r w:rsidRPr="00984EF2">
        <w:rPr>
          <w:rFonts w:ascii="Arial" w:hAnsi="Arial" w:cs="Arial"/>
          <w:color w:val="000000" w:themeColor="text1"/>
          <w:sz w:val="19"/>
          <w:szCs w:val="19"/>
        </w:rPr>
        <w:t xml:space="preserve"> </w:t>
      </w:r>
      <w:r w:rsidRPr="00984EF2">
        <w:rPr>
          <w:rFonts w:ascii="Arial" w:hAnsi="Arial" w:cs="Arial"/>
          <w:color w:val="000000" w:themeColor="text1"/>
          <w:sz w:val="19"/>
          <w:szCs w:val="19"/>
          <w:lang w:val="es-ES"/>
        </w:rPr>
        <w:t xml:space="preserve">En tal sentido, José Luis Benavides comenta que «Aunque la mayoría de las reglas limitativas de la responsabilidad contractual se aplican a la administración, existen también algunas restricciones importantes a la capacidad de los contratistas: </w:t>
      </w:r>
      <w:r w:rsidRPr="00984EF2">
        <w:rPr>
          <w:rFonts w:ascii="Arial" w:hAnsi="Arial" w:cs="Arial"/>
          <w:i/>
          <w:iCs/>
          <w:color w:val="000000" w:themeColor="text1"/>
          <w:sz w:val="19"/>
          <w:szCs w:val="19"/>
          <w:lang w:val="es-ES"/>
        </w:rPr>
        <w:t>el régimen de inhabilidades e incompatibilidades</w:t>
      </w:r>
      <w:r w:rsidRPr="00984EF2">
        <w:rPr>
          <w:rFonts w:ascii="Arial" w:hAnsi="Arial" w:cs="Arial"/>
          <w:color w:val="000000" w:themeColor="text1"/>
          <w:sz w:val="19"/>
          <w:szCs w:val="19"/>
          <w:lang w:val="es-ES"/>
        </w:rPr>
        <w:t xml:space="preserve"> (1) y la obligación de ciertos proponentes de inscribirse en el </w:t>
      </w:r>
      <w:r w:rsidRPr="00984EF2">
        <w:rPr>
          <w:rFonts w:ascii="Arial" w:hAnsi="Arial" w:cs="Arial"/>
          <w:i/>
          <w:iCs/>
          <w:color w:val="000000" w:themeColor="text1"/>
          <w:sz w:val="19"/>
          <w:szCs w:val="19"/>
          <w:lang w:val="es-ES"/>
        </w:rPr>
        <w:t>registro único</w:t>
      </w:r>
      <w:r w:rsidRPr="00984EF2">
        <w:rPr>
          <w:rFonts w:ascii="Arial" w:hAnsi="Arial" w:cs="Arial"/>
          <w:color w:val="000000" w:themeColor="text1"/>
          <w:sz w:val="19"/>
          <w:szCs w:val="19"/>
          <w:lang w:val="es-ES"/>
        </w:rPr>
        <w:t xml:space="preserve"> (2)» (BENAVIDES, José Luis. El contrato estatal. Entre el Derecho público y el Derecho privado. 2ª ed. Bogotá: Universidad Externado de Colombia, 2004. p. 278). </w:t>
      </w:r>
    </w:p>
    <w:p w14:paraId="42AA0677" w14:textId="77777777" w:rsidR="00FC130B" w:rsidRPr="00984EF2" w:rsidRDefault="00FC130B" w:rsidP="00984EF2">
      <w:pPr>
        <w:pStyle w:val="Textonotapie"/>
        <w:ind w:firstLine="709"/>
        <w:jc w:val="both"/>
        <w:rPr>
          <w:rFonts w:ascii="Arial" w:hAnsi="Arial" w:cs="Arial"/>
          <w:color w:val="000000" w:themeColor="text1"/>
          <w:sz w:val="19"/>
          <w:szCs w:val="19"/>
          <w:lang w:val="es-ES"/>
        </w:rPr>
      </w:pPr>
    </w:p>
  </w:footnote>
  <w:footnote w:id="6">
    <w:p w14:paraId="0FC6E8C3" w14:textId="77777777" w:rsidR="00FC130B" w:rsidRPr="00984EF2" w:rsidRDefault="00FC130B" w:rsidP="00984EF2">
      <w:pPr>
        <w:ind w:firstLine="709"/>
        <w:jc w:val="both"/>
        <w:rPr>
          <w:rFonts w:ascii="Arial" w:hAnsi="Arial" w:cs="Arial"/>
          <w:color w:val="000000" w:themeColor="text1"/>
          <w:sz w:val="19"/>
          <w:szCs w:val="19"/>
          <w:lang w:val="es-ES"/>
        </w:rPr>
      </w:pPr>
      <w:r w:rsidRPr="00984EF2">
        <w:rPr>
          <w:rStyle w:val="Refdenotaalpie"/>
          <w:rFonts w:ascii="Arial" w:hAnsi="Arial" w:cs="Arial"/>
          <w:color w:val="000000" w:themeColor="text1"/>
          <w:sz w:val="19"/>
          <w:szCs w:val="19"/>
        </w:rPr>
        <w:footnoteRef/>
      </w:r>
      <w:r w:rsidRPr="00984EF2">
        <w:rPr>
          <w:rFonts w:ascii="Arial" w:hAnsi="Arial" w:cs="Arial"/>
          <w:color w:val="000000" w:themeColor="text1"/>
          <w:sz w:val="19"/>
          <w:szCs w:val="19"/>
        </w:rPr>
        <w:t xml:space="preserve"> </w:t>
      </w:r>
      <w:r w:rsidRPr="00984EF2">
        <w:rPr>
          <w:rFonts w:ascii="Arial" w:hAnsi="Arial" w:cs="Arial"/>
          <w:color w:val="000000" w:themeColor="text1"/>
          <w:sz w:val="19"/>
          <w:szCs w:val="19"/>
          <w:lang w:val="es-ES"/>
        </w:rPr>
        <w:t xml:space="preserve">Son inhabilidades que responden a esta circunstancia, entre otras, las siguientes: «Quienes participaron en las licitaciones o celebraron los contratos de que trata el literal anterior estando inhabilitados» (art. 8, </w:t>
      </w:r>
      <w:proofErr w:type="spellStart"/>
      <w:r w:rsidRPr="00984EF2">
        <w:rPr>
          <w:rFonts w:ascii="Arial" w:hAnsi="Arial" w:cs="Arial"/>
          <w:color w:val="000000" w:themeColor="text1"/>
          <w:sz w:val="19"/>
          <w:szCs w:val="19"/>
          <w:lang w:val="es-ES"/>
        </w:rPr>
        <w:t>num</w:t>
      </w:r>
      <w:proofErr w:type="spellEnd"/>
      <w:r w:rsidRPr="00984EF2">
        <w:rPr>
          <w:rFonts w:ascii="Arial" w:hAnsi="Arial" w:cs="Arial"/>
          <w:color w:val="000000" w:themeColor="text1"/>
          <w:sz w:val="19"/>
          <w:szCs w:val="19"/>
          <w:lang w:val="es-ES"/>
        </w:rPr>
        <w:t xml:space="preserve">. 1º, </w:t>
      </w:r>
      <w:proofErr w:type="spellStart"/>
      <w:r w:rsidRPr="00984EF2">
        <w:rPr>
          <w:rFonts w:ascii="Arial" w:hAnsi="Arial" w:cs="Arial"/>
          <w:color w:val="000000" w:themeColor="text1"/>
          <w:sz w:val="19"/>
          <w:szCs w:val="19"/>
          <w:lang w:val="es-ES"/>
        </w:rPr>
        <w:t>lit.</w:t>
      </w:r>
      <w:proofErr w:type="spellEnd"/>
      <w:r w:rsidRPr="00984EF2">
        <w:rPr>
          <w:rFonts w:ascii="Arial" w:hAnsi="Arial" w:cs="Arial"/>
          <w:color w:val="000000" w:themeColor="text1"/>
          <w:sz w:val="19"/>
          <w:szCs w:val="19"/>
          <w:lang w:val="es-ES"/>
        </w:rPr>
        <w:t xml:space="preserve"> b, Ley 80/93); «Quienes dieron lugar a la declaratoria de caducidad» (art. 8, </w:t>
      </w:r>
      <w:proofErr w:type="spellStart"/>
      <w:r w:rsidRPr="00984EF2">
        <w:rPr>
          <w:rFonts w:ascii="Arial" w:hAnsi="Arial" w:cs="Arial"/>
          <w:color w:val="000000" w:themeColor="text1"/>
          <w:sz w:val="19"/>
          <w:szCs w:val="19"/>
          <w:lang w:val="es-ES"/>
        </w:rPr>
        <w:t>num</w:t>
      </w:r>
      <w:proofErr w:type="spellEnd"/>
      <w:r w:rsidRPr="00984EF2">
        <w:rPr>
          <w:rFonts w:ascii="Arial" w:hAnsi="Arial" w:cs="Arial"/>
          <w:color w:val="000000" w:themeColor="text1"/>
          <w:sz w:val="19"/>
          <w:szCs w:val="19"/>
          <w:lang w:val="es-ES"/>
        </w:rPr>
        <w:t xml:space="preserve">. 1º, </w:t>
      </w:r>
      <w:proofErr w:type="spellStart"/>
      <w:r w:rsidRPr="00984EF2">
        <w:rPr>
          <w:rFonts w:ascii="Arial" w:hAnsi="Arial" w:cs="Arial"/>
          <w:color w:val="000000" w:themeColor="text1"/>
          <w:sz w:val="19"/>
          <w:szCs w:val="19"/>
          <w:lang w:val="es-ES"/>
        </w:rPr>
        <w:t>lit.</w:t>
      </w:r>
      <w:proofErr w:type="spellEnd"/>
      <w:r w:rsidRPr="00984EF2">
        <w:rPr>
          <w:rFonts w:ascii="Arial" w:hAnsi="Arial" w:cs="Arial"/>
          <w:color w:val="000000" w:themeColor="text1"/>
          <w:sz w:val="19"/>
          <w:szCs w:val="19"/>
          <w:lang w:val="es-ES"/>
        </w:rPr>
        <w:t xml:space="preserve"> c), Ley 80/93); «Quienes en sentencia judicial hayan sido condenados a la pena accesoria de interdicción de derechos y funciones públicas y quienes hayan sido sancionados disciplinariamente con destitución» (art. 8, </w:t>
      </w:r>
      <w:proofErr w:type="spellStart"/>
      <w:r w:rsidRPr="00984EF2">
        <w:rPr>
          <w:rFonts w:ascii="Arial" w:hAnsi="Arial" w:cs="Arial"/>
          <w:color w:val="000000" w:themeColor="text1"/>
          <w:sz w:val="19"/>
          <w:szCs w:val="19"/>
          <w:lang w:val="es-ES"/>
        </w:rPr>
        <w:t>num</w:t>
      </w:r>
      <w:proofErr w:type="spellEnd"/>
      <w:r w:rsidRPr="00984EF2">
        <w:rPr>
          <w:rFonts w:ascii="Arial" w:hAnsi="Arial" w:cs="Arial"/>
          <w:color w:val="000000" w:themeColor="text1"/>
          <w:sz w:val="19"/>
          <w:szCs w:val="19"/>
          <w:lang w:val="es-ES"/>
        </w:rPr>
        <w:t xml:space="preserve">. 1º, </w:t>
      </w:r>
      <w:proofErr w:type="spellStart"/>
      <w:r w:rsidRPr="00984EF2">
        <w:rPr>
          <w:rFonts w:ascii="Arial" w:hAnsi="Arial" w:cs="Arial"/>
          <w:color w:val="000000" w:themeColor="text1"/>
          <w:sz w:val="19"/>
          <w:szCs w:val="19"/>
          <w:lang w:val="es-ES"/>
        </w:rPr>
        <w:t>lit.</w:t>
      </w:r>
      <w:proofErr w:type="spellEnd"/>
      <w:r w:rsidRPr="00984EF2">
        <w:rPr>
          <w:rFonts w:ascii="Arial" w:hAnsi="Arial" w:cs="Arial"/>
          <w:color w:val="000000" w:themeColor="text1"/>
          <w:sz w:val="19"/>
          <w:szCs w:val="19"/>
          <w:lang w:val="es-ES"/>
        </w:rPr>
        <w:t xml:space="preserve"> d), Ley 80/93); «Quienes sin justa causa se abstengan de suscribir el contrato estatal adjudicado» (art. 8, </w:t>
      </w:r>
      <w:proofErr w:type="spellStart"/>
      <w:r w:rsidRPr="00984EF2">
        <w:rPr>
          <w:rFonts w:ascii="Arial" w:hAnsi="Arial" w:cs="Arial"/>
          <w:color w:val="000000" w:themeColor="text1"/>
          <w:sz w:val="19"/>
          <w:szCs w:val="19"/>
          <w:lang w:val="es-ES"/>
        </w:rPr>
        <w:t>num</w:t>
      </w:r>
      <w:proofErr w:type="spellEnd"/>
      <w:r w:rsidRPr="00984EF2">
        <w:rPr>
          <w:rFonts w:ascii="Arial" w:hAnsi="Arial" w:cs="Arial"/>
          <w:color w:val="000000" w:themeColor="text1"/>
          <w:sz w:val="19"/>
          <w:szCs w:val="19"/>
          <w:lang w:val="es-ES"/>
        </w:rPr>
        <w:t xml:space="preserve">. 1º, </w:t>
      </w:r>
      <w:proofErr w:type="spellStart"/>
      <w:r w:rsidRPr="00984EF2">
        <w:rPr>
          <w:rFonts w:ascii="Arial" w:hAnsi="Arial" w:cs="Arial"/>
          <w:color w:val="000000" w:themeColor="text1"/>
          <w:sz w:val="19"/>
          <w:szCs w:val="19"/>
          <w:lang w:val="es-ES"/>
        </w:rPr>
        <w:t>lit.</w:t>
      </w:r>
      <w:proofErr w:type="spellEnd"/>
      <w:r w:rsidRPr="00984EF2">
        <w:rPr>
          <w:rFonts w:ascii="Arial" w:hAnsi="Arial" w:cs="Arial"/>
          <w:color w:val="000000" w:themeColor="text1"/>
          <w:sz w:val="19"/>
          <w:szCs w:val="19"/>
          <w:lang w:val="es-ES"/>
        </w:rPr>
        <w:t xml:space="preserve"> e), Ley 80/93); «i) Los socios de sociedades de personas a las cuales se haya declarado la caducidad, así como las sociedades de personas de las que aquellos formen parte con posterioridad a dicha declaratoria» (art. 8, </w:t>
      </w:r>
      <w:proofErr w:type="spellStart"/>
      <w:r w:rsidRPr="00984EF2">
        <w:rPr>
          <w:rFonts w:ascii="Arial" w:hAnsi="Arial" w:cs="Arial"/>
          <w:color w:val="000000" w:themeColor="text1"/>
          <w:sz w:val="19"/>
          <w:szCs w:val="19"/>
          <w:lang w:val="es-ES"/>
        </w:rPr>
        <w:t>num</w:t>
      </w:r>
      <w:proofErr w:type="spellEnd"/>
      <w:r w:rsidRPr="00984EF2">
        <w:rPr>
          <w:rFonts w:ascii="Arial" w:hAnsi="Arial" w:cs="Arial"/>
          <w:color w:val="000000" w:themeColor="text1"/>
          <w:sz w:val="19"/>
          <w:szCs w:val="19"/>
          <w:lang w:val="es-ES"/>
        </w:rPr>
        <w:t xml:space="preserve">. 1º, </w:t>
      </w:r>
      <w:proofErr w:type="spellStart"/>
      <w:r w:rsidRPr="00984EF2">
        <w:rPr>
          <w:rFonts w:ascii="Arial" w:hAnsi="Arial" w:cs="Arial"/>
          <w:color w:val="000000" w:themeColor="text1"/>
          <w:sz w:val="19"/>
          <w:szCs w:val="19"/>
          <w:lang w:val="es-ES"/>
        </w:rPr>
        <w:t>lit.</w:t>
      </w:r>
      <w:proofErr w:type="spellEnd"/>
      <w:r w:rsidRPr="00984EF2">
        <w:rPr>
          <w:rFonts w:ascii="Arial" w:hAnsi="Arial" w:cs="Arial"/>
          <w:color w:val="000000" w:themeColor="text1"/>
          <w:sz w:val="19"/>
          <w:szCs w:val="19"/>
          <w:lang w:val="es-ES"/>
        </w:rPr>
        <w:t xml:space="preserve"> i), Ley 80/93); «Las personas naturales que hayan sido declaradas responsables judicialmente por la comisión de delitos contra la Administración Pública o de cualquiera de los delitos o faltas contemplados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(art. 8, </w:t>
      </w:r>
      <w:proofErr w:type="spellStart"/>
      <w:r w:rsidRPr="00984EF2">
        <w:rPr>
          <w:rFonts w:ascii="Arial" w:hAnsi="Arial" w:cs="Arial"/>
          <w:color w:val="000000" w:themeColor="text1"/>
          <w:sz w:val="19"/>
          <w:szCs w:val="19"/>
          <w:lang w:val="es-ES"/>
        </w:rPr>
        <w:t>num</w:t>
      </w:r>
      <w:proofErr w:type="spellEnd"/>
      <w:r w:rsidRPr="00984EF2">
        <w:rPr>
          <w:rFonts w:ascii="Arial" w:hAnsi="Arial" w:cs="Arial"/>
          <w:color w:val="000000" w:themeColor="text1"/>
          <w:sz w:val="19"/>
          <w:szCs w:val="19"/>
          <w:lang w:val="es-ES"/>
        </w:rPr>
        <w:t xml:space="preserve">. 1º, </w:t>
      </w:r>
      <w:proofErr w:type="spellStart"/>
      <w:r w:rsidRPr="00984EF2">
        <w:rPr>
          <w:rFonts w:ascii="Arial" w:hAnsi="Arial" w:cs="Arial"/>
          <w:color w:val="000000" w:themeColor="text1"/>
          <w:sz w:val="19"/>
          <w:szCs w:val="19"/>
          <w:lang w:val="es-ES"/>
        </w:rPr>
        <w:t>lit.</w:t>
      </w:r>
      <w:proofErr w:type="spellEnd"/>
      <w:r w:rsidRPr="00984EF2">
        <w:rPr>
          <w:rFonts w:ascii="Arial" w:hAnsi="Arial" w:cs="Arial"/>
          <w:color w:val="000000" w:themeColor="text1"/>
          <w:sz w:val="19"/>
          <w:szCs w:val="19"/>
          <w:lang w:val="es-ES"/>
        </w:rPr>
        <w:t xml:space="preserve"> j), Ley 80/93); «El interventor que incumpla el deber de entregar información a la entidad contratante relacionada con el incumplimiento del contrato, con hechos o circunstancias que puedan constituir actos de corrupción tipificados como conductas punibles, o que puedan poner o pongan en riesgo el cumplimiento del contrato» (art. 8, </w:t>
      </w:r>
      <w:proofErr w:type="spellStart"/>
      <w:r w:rsidRPr="00984EF2">
        <w:rPr>
          <w:rFonts w:ascii="Arial" w:hAnsi="Arial" w:cs="Arial"/>
          <w:color w:val="000000" w:themeColor="text1"/>
          <w:sz w:val="19"/>
          <w:szCs w:val="19"/>
          <w:lang w:val="es-ES"/>
        </w:rPr>
        <w:t>num</w:t>
      </w:r>
      <w:proofErr w:type="spellEnd"/>
      <w:r w:rsidRPr="00984EF2">
        <w:rPr>
          <w:rFonts w:ascii="Arial" w:hAnsi="Arial" w:cs="Arial"/>
          <w:color w:val="000000" w:themeColor="text1"/>
          <w:sz w:val="19"/>
          <w:szCs w:val="19"/>
          <w:lang w:val="es-ES"/>
        </w:rPr>
        <w:t xml:space="preserve">. 1º, </w:t>
      </w:r>
      <w:proofErr w:type="spellStart"/>
      <w:r w:rsidRPr="00984EF2">
        <w:rPr>
          <w:rFonts w:ascii="Arial" w:hAnsi="Arial" w:cs="Arial"/>
          <w:color w:val="000000" w:themeColor="text1"/>
          <w:sz w:val="19"/>
          <w:szCs w:val="19"/>
          <w:lang w:val="es-ES"/>
        </w:rPr>
        <w:t>lit.</w:t>
      </w:r>
      <w:proofErr w:type="spellEnd"/>
      <w:r w:rsidRPr="00984EF2">
        <w:rPr>
          <w:rFonts w:ascii="Arial" w:hAnsi="Arial" w:cs="Arial"/>
          <w:color w:val="000000" w:themeColor="text1"/>
          <w:sz w:val="19"/>
          <w:szCs w:val="19"/>
          <w:lang w:val="es-ES"/>
        </w:rPr>
        <w:t xml:space="preserve"> k), Ley 80/93); «Haber sido objeto de imposición de cinco (5) o más multas durante la ejecución de uno o varios contratos, con una o varias entidades estatales, durante los últimos tres (3) años; […] Haber sido objeto de declaratorias de incumplimiento contractual en por lo menos dos (2) contratos, con una o varias entidades estatales, durante los últimos tres (3) años; […] Haber sido objeto de imposición de dos (2) multas y un (1) incumplimiento durante una misma vigencia fiscal, con una o varias entidades estatales» (art. 90, </w:t>
      </w:r>
      <w:proofErr w:type="spellStart"/>
      <w:r w:rsidRPr="00984EF2">
        <w:rPr>
          <w:rFonts w:ascii="Arial" w:hAnsi="Arial" w:cs="Arial"/>
          <w:color w:val="000000" w:themeColor="text1"/>
          <w:sz w:val="19"/>
          <w:szCs w:val="19"/>
          <w:lang w:val="es-ES"/>
        </w:rPr>
        <w:t>lit.</w:t>
      </w:r>
      <w:proofErr w:type="spellEnd"/>
      <w:r w:rsidRPr="00984EF2">
        <w:rPr>
          <w:rFonts w:ascii="Arial" w:hAnsi="Arial" w:cs="Arial"/>
          <w:color w:val="000000" w:themeColor="text1"/>
          <w:sz w:val="19"/>
          <w:szCs w:val="19"/>
          <w:lang w:val="es-ES"/>
        </w:rPr>
        <w:t xml:space="preserve"> a), b) y c), Ley 1474/11, modificado por el art. 43, Ley 1955/19).</w:t>
      </w:r>
    </w:p>
    <w:p w14:paraId="5CDC3909" w14:textId="77777777" w:rsidR="00FC130B" w:rsidRPr="00984EF2" w:rsidRDefault="00FC130B" w:rsidP="00984EF2">
      <w:pPr>
        <w:ind w:firstLine="709"/>
        <w:jc w:val="both"/>
        <w:rPr>
          <w:rFonts w:ascii="Arial" w:hAnsi="Arial" w:cs="Arial"/>
          <w:color w:val="000000" w:themeColor="text1"/>
          <w:sz w:val="19"/>
          <w:szCs w:val="19"/>
          <w:lang w:val="es-ES"/>
        </w:rPr>
      </w:pPr>
    </w:p>
  </w:footnote>
  <w:footnote w:id="7">
    <w:p w14:paraId="0784F0F4" w14:textId="77777777" w:rsidR="00FC130B" w:rsidRPr="00984EF2" w:rsidRDefault="00FC130B" w:rsidP="00984EF2">
      <w:pPr>
        <w:pStyle w:val="Textonotapie"/>
        <w:ind w:firstLine="709"/>
        <w:jc w:val="both"/>
        <w:rPr>
          <w:rFonts w:ascii="Arial" w:hAnsi="Arial" w:cs="Arial"/>
          <w:color w:val="000000" w:themeColor="text1"/>
          <w:sz w:val="19"/>
          <w:szCs w:val="19"/>
          <w:lang w:val="es-ES"/>
        </w:rPr>
      </w:pPr>
      <w:r w:rsidRPr="00984EF2">
        <w:rPr>
          <w:rStyle w:val="Refdenotaalpie"/>
          <w:rFonts w:ascii="Arial" w:hAnsi="Arial" w:cs="Arial"/>
          <w:color w:val="000000" w:themeColor="text1"/>
          <w:sz w:val="19"/>
          <w:szCs w:val="19"/>
        </w:rPr>
        <w:footnoteRef/>
      </w:r>
      <w:r w:rsidRPr="00984EF2">
        <w:rPr>
          <w:rFonts w:ascii="Arial" w:hAnsi="Arial" w:cs="Arial"/>
          <w:color w:val="000000" w:themeColor="text1"/>
          <w:sz w:val="19"/>
          <w:szCs w:val="19"/>
        </w:rPr>
        <w:t xml:space="preserve"> </w:t>
      </w:r>
      <w:r w:rsidRPr="00984EF2">
        <w:rPr>
          <w:rFonts w:ascii="Arial" w:hAnsi="Arial" w:cs="Arial"/>
          <w:color w:val="000000" w:themeColor="text1"/>
          <w:sz w:val="19"/>
          <w:szCs w:val="19"/>
          <w:lang w:val="es-ES"/>
        </w:rPr>
        <w:t xml:space="preserve">Por ejemplo, a título enunciativo, las siguientes: «Quienes sean cónyuges o compañeros permanentes y quienes se encuentren dentro del segundo grado de consanguinidad o segundo de afinidad con cualquier otra persona que formalmente haya presentado propuesta para una misma licitación» (art. 8, </w:t>
      </w:r>
      <w:proofErr w:type="spellStart"/>
      <w:r w:rsidRPr="00984EF2">
        <w:rPr>
          <w:rFonts w:ascii="Arial" w:hAnsi="Arial" w:cs="Arial"/>
          <w:color w:val="000000" w:themeColor="text1"/>
          <w:sz w:val="19"/>
          <w:szCs w:val="19"/>
          <w:lang w:val="es-ES"/>
        </w:rPr>
        <w:t>num</w:t>
      </w:r>
      <w:proofErr w:type="spellEnd"/>
      <w:r w:rsidRPr="00984EF2">
        <w:rPr>
          <w:rFonts w:ascii="Arial" w:hAnsi="Arial" w:cs="Arial"/>
          <w:color w:val="000000" w:themeColor="text1"/>
          <w:sz w:val="19"/>
          <w:szCs w:val="19"/>
          <w:lang w:val="es-ES"/>
        </w:rPr>
        <w:t xml:space="preserve">. 1º, </w:t>
      </w:r>
      <w:proofErr w:type="spellStart"/>
      <w:r w:rsidRPr="00984EF2">
        <w:rPr>
          <w:rFonts w:ascii="Arial" w:hAnsi="Arial" w:cs="Arial"/>
          <w:color w:val="000000" w:themeColor="text1"/>
          <w:sz w:val="19"/>
          <w:szCs w:val="19"/>
          <w:lang w:val="es-ES"/>
        </w:rPr>
        <w:t>lit.</w:t>
      </w:r>
      <w:proofErr w:type="spellEnd"/>
      <w:r w:rsidRPr="00984EF2">
        <w:rPr>
          <w:rFonts w:ascii="Arial" w:hAnsi="Arial" w:cs="Arial"/>
          <w:color w:val="000000" w:themeColor="text1"/>
          <w:sz w:val="19"/>
          <w:szCs w:val="19"/>
          <w:lang w:val="es-ES"/>
        </w:rPr>
        <w:t xml:space="preserve"> g), Ley 80/93);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(art. 8, </w:t>
      </w:r>
      <w:proofErr w:type="spellStart"/>
      <w:r w:rsidRPr="00984EF2">
        <w:rPr>
          <w:rFonts w:ascii="Arial" w:hAnsi="Arial" w:cs="Arial"/>
          <w:color w:val="000000" w:themeColor="text1"/>
          <w:sz w:val="19"/>
          <w:szCs w:val="19"/>
          <w:lang w:val="es-ES"/>
        </w:rPr>
        <w:t>num</w:t>
      </w:r>
      <w:proofErr w:type="spellEnd"/>
      <w:r w:rsidRPr="00984EF2">
        <w:rPr>
          <w:rFonts w:ascii="Arial" w:hAnsi="Arial" w:cs="Arial"/>
          <w:color w:val="000000" w:themeColor="text1"/>
          <w:sz w:val="19"/>
          <w:szCs w:val="19"/>
          <w:lang w:val="es-ES"/>
        </w:rPr>
        <w:t xml:space="preserve">. 1º, </w:t>
      </w:r>
      <w:proofErr w:type="spellStart"/>
      <w:r w:rsidRPr="00984EF2">
        <w:rPr>
          <w:rFonts w:ascii="Arial" w:hAnsi="Arial" w:cs="Arial"/>
          <w:color w:val="000000" w:themeColor="text1"/>
          <w:sz w:val="19"/>
          <w:szCs w:val="19"/>
          <w:lang w:val="es-ES"/>
        </w:rPr>
        <w:t>lit.</w:t>
      </w:r>
      <w:proofErr w:type="spellEnd"/>
      <w:r w:rsidRPr="00984EF2">
        <w:rPr>
          <w:rFonts w:ascii="Arial" w:hAnsi="Arial" w:cs="Arial"/>
          <w:color w:val="000000" w:themeColor="text1"/>
          <w:sz w:val="19"/>
          <w:szCs w:val="19"/>
          <w:lang w:val="es-ES"/>
        </w:rPr>
        <w:t xml:space="preserve"> h), Ley 80/93);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(art. 8, </w:t>
      </w:r>
      <w:proofErr w:type="spellStart"/>
      <w:r w:rsidRPr="00984EF2">
        <w:rPr>
          <w:rFonts w:ascii="Arial" w:hAnsi="Arial" w:cs="Arial"/>
          <w:color w:val="000000" w:themeColor="text1"/>
          <w:sz w:val="19"/>
          <w:szCs w:val="19"/>
          <w:lang w:val="es-ES"/>
        </w:rPr>
        <w:t>num</w:t>
      </w:r>
      <w:proofErr w:type="spellEnd"/>
      <w:r w:rsidRPr="00984EF2">
        <w:rPr>
          <w:rFonts w:ascii="Arial" w:hAnsi="Arial" w:cs="Arial"/>
          <w:color w:val="000000" w:themeColor="text1"/>
          <w:sz w:val="19"/>
          <w:szCs w:val="19"/>
          <w:lang w:val="es-ES"/>
        </w:rPr>
        <w:t xml:space="preserve">. 2º, </w:t>
      </w:r>
      <w:proofErr w:type="spellStart"/>
      <w:r w:rsidRPr="00984EF2">
        <w:rPr>
          <w:rFonts w:ascii="Arial" w:hAnsi="Arial" w:cs="Arial"/>
          <w:color w:val="000000" w:themeColor="text1"/>
          <w:sz w:val="19"/>
          <w:szCs w:val="19"/>
          <w:lang w:val="es-ES"/>
        </w:rPr>
        <w:t>lit.</w:t>
      </w:r>
      <w:proofErr w:type="spellEnd"/>
      <w:r w:rsidRPr="00984EF2">
        <w:rPr>
          <w:rFonts w:ascii="Arial" w:hAnsi="Arial" w:cs="Arial"/>
          <w:color w:val="000000" w:themeColor="text1"/>
          <w:sz w:val="19"/>
          <w:szCs w:val="19"/>
          <w:lang w:val="es-ES"/>
        </w:rPr>
        <w:t xml:space="preserve"> b), Ley 80/93); «El cónyuge, compañero o compañera permanente del servidor público en los niveles directivo, asesor, ejecutivo, o de un miembro de la junta o consejo directivo, o de quien ejerza funciones de control interno o de control fiscal» (art. 8, </w:t>
      </w:r>
      <w:proofErr w:type="spellStart"/>
      <w:r w:rsidRPr="00984EF2">
        <w:rPr>
          <w:rFonts w:ascii="Arial" w:hAnsi="Arial" w:cs="Arial"/>
          <w:color w:val="000000" w:themeColor="text1"/>
          <w:sz w:val="19"/>
          <w:szCs w:val="19"/>
          <w:lang w:val="es-ES"/>
        </w:rPr>
        <w:t>num</w:t>
      </w:r>
      <w:proofErr w:type="spellEnd"/>
      <w:r w:rsidRPr="00984EF2">
        <w:rPr>
          <w:rFonts w:ascii="Arial" w:hAnsi="Arial" w:cs="Arial"/>
          <w:color w:val="000000" w:themeColor="text1"/>
          <w:sz w:val="19"/>
          <w:szCs w:val="19"/>
          <w:lang w:val="es-ES"/>
        </w:rPr>
        <w:t xml:space="preserve">. 2º, </w:t>
      </w:r>
      <w:proofErr w:type="spellStart"/>
      <w:r w:rsidRPr="00984EF2">
        <w:rPr>
          <w:rFonts w:ascii="Arial" w:hAnsi="Arial" w:cs="Arial"/>
          <w:color w:val="000000" w:themeColor="text1"/>
          <w:sz w:val="19"/>
          <w:szCs w:val="19"/>
          <w:lang w:val="es-ES"/>
        </w:rPr>
        <w:t>lit.</w:t>
      </w:r>
      <w:proofErr w:type="spellEnd"/>
      <w:r w:rsidRPr="00984EF2">
        <w:rPr>
          <w:rFonts w:ascii="Arial" w:hAnsi="Arial" w:cs="Arial"/>
          <w:color w:val="000000" w:themeColor="text1"/>
          <w:sz w:val="19"/>
          <w:szCs w:val="19"/>
          <w:lang w:val="es-ES"/>
        </w:rPr>
        <w:t xml:space="preserve"> c),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w:t>
      </w:r>
      <w:proofErr w:type="spellStart"/>
      <w:r w:rsidRPr="00984EF2">
        <w:rPr>
          <w:rFonts w:ascii="Arial" w:hAnsi="Arial" w:cs="Arial"/>
          <w:color w:val="000000" w:themeColor="text1"/>
          <w:sz w:val="19"/>
          <w:szCs w:val="19"/>
          <w:lang w:val="es-ES"/>
        </w:rPr>
        <w:t>num</w:t>
      </w:r>
      <w:proofErr w:type="spellEnd"/>
      <w:r w:rsidRPr="00984EF2">
        <w:rPr>
          <w:rFonts w:ascii="Arial" w:hAnsi="Arial" w:cs="Arial"/>
          <w:color w:val="000000" w:themeColor="text1"/>
          <w:sz w:val="19"/>
          <w:szCs w:val="19"/>
          <w:lang w:val="es-ES"/>
        </w:rPr>
        <w:t xml:space="preserve">. 2º, </w:t>
      </w:r>
      <w:proofErr w:type="spellStart"/>
      <w:r w:rsidRPr="00984EF2">
        <w:rPr>
          <w:rFonts w:ascii="Arial" w:hAnsi="Arial" w:cs="Arial"/>
          <w:color w:val="000000" w:themeColor="text1"/>
          <w:sz w:val="19"/>
          <w:szCs w:val="19"/>
          <w:lang w:val="es-ES"/>
        </w:rPr>
        <w:t>lit.</w:t>
      </w:r>
      <w:proofErr w:type="spellEnd"/>
      <w:r w:rsidRPr="00984EF2">
        <w:rPr>
          <w:rFonts w:ascii="Arial" w:hAnsi="Arial" w:cs="Arial"/>
          <w:color w:val="000000" w:themeColor="text1"/>
          <w:sz w:val="19"/>
          <w:szCs w:val="19"/>
          <w:lang w:val="es-ES"/>
        </w:rPr>
        <w:t xml:space="preserve"> d), Ley 80/93).</w:t>
      </w:r>
    </w:p>
    <w:p w14:paraId="121C7C96" w14:textId="77777777" w:rsidR="00FC130B" w:rsidRPr="00984EF2" w:rsidRDefault="00FC130B" w:rsidP="00984EF2">
      <w:pPr>
        <w:pStyle w:val="Textonotapie"/>
        <w:ind w:firstLine="709"/>
        <w:jc w:val="both"/>
        <w:rPr>
          <w:rFonts w:ascii="Arial" w:hAnsi="Arial" w:cs="Arial"/>
          <w:color w:val="000000" w:themeColor="text1"/>
          <w:sz w:val="19"/>
          <w:szCs w:val="19"/>
        </w:rPr>
      </w:pPr>
    </w:p>
  </w:footnote>
  <w:footnote w:id="8">
    <w:p w14:paraId="69E445F4" w14:textId="77777777" w:rsidR="00FC130B" w:rsidRPr="00984EF2" w:rsidRDefault="00FC130B" w:rsidP="00984EF2">
      <w:pPr>
        <w:pStyle w:val="Textonotapie"/>
        <w:ind w:firstLine="709"/>
        <w:jc w:val="both"/>
        <w:rPr>
          <w:rFonts w:ascii="Arial" w:hAnsi="Arial" w:cs="Arial"/>
          <w:color w:val="000000" w:themeColor="text1"/>
          <w:sz w:val="19"/>
          <w:szCs w:val="19"/>
          <w:lang w:val="es-ES"/>
        </w:rPr>
      </w:pPr>
      <w:r w:rsidRPr="00984EF2">
        <w:rPr>
          <w:rStyle w:val="Refdenotaalpie"/>
          <w:rFonts w:ascii="Arial" w:hAnsi="Arial" w:cs="Arial"/>
          <w:color w:val="000000" w:themeColor="text1"/>
          <w:sz w:val="19"/>
          <w:szCs w:val="19"/>
        </w:rPr>
        <w:footnoteRef/>
      </w:r>
      <w:r w:rsidRPr="00984EF2">
        <w:rPr>
          <w:rFonts w:ascii="Arial" w:hAnsi="Arial" w:cs="Arial"/>
          <w:color w:val="000000" w:themeColor="text1"/>
          <w:sz w:val="19"/>
          <w:szCs w:val="19"/>
        </w:rPr>
        <w:t xml:space="preserve"> </w:t>
      </w:r>
      <w:r w:rsidRPr="00984EF2">
        <w:rPr>
          <w:rFonts w:ascii="Arial" w:hAnsi="Arial" w:cs="Arial"/>
          <w:color w:val="000000" w:themeColor="text1"/>
          <w:sz w:val="19"/>
          <w:szCs w:val="19"/>
          <w:lang w:val="es-ES"/>
        </w:rPr>
        <w:t xml:space="preserve">Verbigracia, entre otras, las que se indican a continuación: «Las personas que hayan financiado campañas políticas a la Presidencia de la República, a las gobernaciones o a las alcaldías con aportes superiores al dos punto cinco por ciento (2.5%) de las sumas máximas a invertir por los candidatos en las campañas electorales en cada circunscripción electoral, quienes no podrán celebrar contratos con las entidades públicas, incluso descentralizadas, del respectivo nivel administrativo para el cual fue elegido el candidato» (art. 8, </w:t>
      </w:r>
      <w:proofErr w:type="spellStart"/>
      <w:r w:rsidRPr="00984EF2">
        <w:rPr>
          <w:rFonts w:ascii="Arial" w:hAnsi="Arial" w:cs="Arial"/>
          <w:color w:val="000000" w:themeColor="text1"/>
          <w:sz w:val="19"/>
          <w:szCs w:val="19"/>
          <w:lang w:val="es-ES"/>
        </w:rPr>
        <w:t>num</w:t>
      </w:r>
      <w:proofErr w:type="spellEnd"/>
      <w:r w:rsidRPr="00984EF2">
        <w:rPr>
          <w:rFonts w:ascii="Arial" w:hAnsi="Arial" w:cs="Arial"/>
          <w:color w:val="000000" w:themeColor="text1"/>
          <w:sz w:val="19"/>
          <w:szCs w:val="19"/>
          <w:lang w:val="es-ES"/>
        </w:rPr>
        <w:t xml:space="preserve">. 1º, </w:t>
      </w:r>
      <w:proofErr w:type="spellStart"/>
      <w:r w:rsidRPr="00984EF2">
        <w:rPr>
          <w:rFonts w:ascii="Arial" w:hAnsi="Arial" w:cs="Arial"/>
          <w:color w:val="000000" w:themeColor="text1"/>
          <w:sz w:val="19"/>
          <w:szCs w:val="19"/>
          <w:lang w:val="es-ES"/>
        </w:rPr>
        <w:t>lit.</w:t>
      </w:r>
      <w:proofErr w:type="spellEnd"/>
      <w:r w:rsidRPr="00984EF2">
        <w:rPr>
          <w:rFonts w:ascii="Arial" w:hAnsi="Arial" w:cs="Arial"/>
          <w:color w:val="000000" w:themeColor="text1"/>
          <w:sz w:val="19"/>
          <w:szCs w:val="19"/>
          <w:lang w:val="es-ES"/>
        </w:rPr>
        <w:t xml:space="preserve"> k), Ley 80/93, modificado por el art. 33, Ley 1778/16); «Quienes fueron miembros de la junta o consejo directivo o servidores públicos de la entidad contratante» (art. 8, </w:t>
      </w:r>
      <w:proofErr w:type="spellStart"/>
      <w:r w:rsidRPr="00984EF2">
        <w:rPr>
          <w:rFonts w:ascii="Arial" w:hAnsi="Arial" w:cs="Arial"/>
          <w:color w:val="000000" w:themeColor="text1"/>
          <w:sz w:val="19"/>
          <w:szCs w:val="19"/>
          <w:lang w:val="es-ES"/>
        </w:rPr>
        <w:t>num</w:t>
      </w:r>
      <w:proofErr w:type="spellEnd"/>
      <w:r w:rsidRPr="00984EF2">
        <w:rPr>
          <w:rFonts w:ascii="Arial" w:hAnsi="Arial" w:cs="Arial"/>
          <w:color w:val="000000" w:themeColor="text1"/>
          <w:sz w:val="19"/>
          <w:szCs w:val="19"/>
          <w:lang w:val="es-ES"/>
        </w:rPr>
        <w:t xml:space="preserve">. 2º, </w:t>
      </w:r>
      <w:proofErr w:type="spellStart"/>
      <w:r w:rsidRPr="00984EF2">
        <w:rPr>
          <w:rFonts w:ascii="Arial" w:hAnsi="Arial" w:cs="Arial"/>
          <w:color w:val="000000" w:themeColor="text1"/>
          <w:sz w:val="19"/>
          <w:szCs w:val="19"/>
          <w:lang w:val="es-ES"/>
        </w:rPr>
        <w:t>lit.</w:t>
      </w:r>
      <w:proofErr w:type="spellEnd"/>
      <w:r w:rsidRPr="00984EF2">
        <w:rPr>
          <w:rFonts w:ascii="Arial" w:hAnsi="Arial" w:cs="Arial"/>
          <w:color w:val="000000" w:themeColor="text1"/>
          <w:sz w:val="19"/>
          <w:szCs w:val="19"/>
          <w:lang w:val="es-ES"/>
        </w:rPr>
        <w:t xml:space="preserve"> a), Ley 80/93) [a pesar de que la norma la califica como una incompatibilidad, en realidad se trata de una inhabilidad, ya que en dicha causal no existe concurrencia de calidades en un sujeto];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(art. 8, </w:t>
      </w:r>
      <w:proofErr w:type="spellStart"/>
      <w:r w:rsidRPr="00984EF2">
        <w:rPr>
          <w:rFonts w:ascii="Arial" w:hAnsi="Arial" w:cs="Arial"/>
          <w:color w:val="000000" w:themeColor="text1"/>
          <w:sz w:val="19"/>
          <w:szCs w:val="19"/>
          <w:lang w:val="es-ES"/>
        </w:rPr>
        <w:t>num</w:t>
      </w:r>
      <w:proofErr w:type="spellEnd"/>
      <w:r w:rsidRPr="00984EF2">
        <w:rPr>
          <w:rFonts w:ascii="Arial" w:hAnsi="Arial" w:cs="Arial"/>
          <w:color w:val="000000" w:themeColor="text1"/>
          <w:sz w:val="19"/>
          <w:szCs w:val="19"/>
          <w:lang w:val="es-ES"/>
        </w:rPr>
        <w:t xml:space="preserve">. 2º, </w:t>
      </w:r>
      <w:proofErr w:type="spellStart"/>
      <w:r w:rsidRPr="00984EF2">
        <w:rPr>
          <w:rFonts w:ascii="Arial" w:hAnsi="Arial" w:cs="Arial"/>
          <w:color w:val="000000" w:themeColor="text1"/>
          <w:sz w:val="19"/>
          <w:szCs w:val="19"/>
          <w:lang w:val="es-ES"/>
        </w:rPr>
        <w:t>lit.</w:t>
      </w:r>
      <w:proofErr w:type="spellEnd"/>
      <w:r w:rsidRPr="00984EF2">
        <w:rPr>
          <w:rFonts w:ascii="Arial" w:hAnsi="Arial" w:cs="Arial"/>
          <w:color w:val="000000" w:themeColor="text1"/>
          <w:sz w:val="19"/>
          <w:szCs w:val="19"/>
          <w:lang w:val="es-ES"/>
        </w:rPr>
        <w:t xml:space="preserve"> f), Ley 80/93, adicionado por el art. 4º, Ley 1474/2011) [a pesar de que la norma la califica como una incompatibilidad, en realidad se trata de una inhabilidad, ya que en dicha causal no existe concurrencia de calidades en un sujeto]. </w:t>
      </w:r>
    </w:p>
    <w:p w14:paraId="755C9C12" w14:textId="77777777" w:rsidR="00FC130B" w:rsidRPr="00984EF2" w:rsidRDefault="00FC130B" w:rsidP="00984EF2">
      <w:pPr>
        <w:pStyle w:val="Textonotapie"/>
        <w:ind w:firstLine="709"/>
        <w:jc w:val="both"/>
        <w:rPr>
          <w:rFonts w:ascii="Arial" w:hAnsi="Arial" w:cs="Arial"/>
          <w:color w:val="000000" w:themeColor="text1"/>
          <w:sz w:val="19"/>
          <w:szCs w:val="19"/>
        </w:rPr>
      </w:pPr>
      <w:r w:rsidRPr="00984EF2">
        <w:rPr>
          <w:rFonts w:ascii="Arial" w:hAnsi="Arial" w:cs="Arial"/>
          <w:color w:val="000000" w:themeColor="text1"/>
          <w:sz w:val="19"/>
          <w:szCs w:val="19"/>
          <w:lang w:val="es-ES"/>
        </w:rPr>
        <w:t xml:space="preserve">  </w:t>
      </w:r>
    </w:p>
  </w:footnote>
  <w:footnote w:id="9">
    <w:p w14:paraId="7CDC5718" w14:textId="77777777" w:rsidR="00FC130B" w:rsidRPr="00984EF2" w:rsidRDefault="00FC130B" w:rsidP="00984EF2">
      <w:pPr>
        <w:ind w:firstLine="709"/>
        <w:jc w:val="both"/>
        <w:rPr>
          <w:rFonts w:ascii="Arial" w:hAnsi="Arial" w:cs="Arial"/>
          <w:color w:val="000000" w:themeColor="text1"/>
          <w:sz w:val="19"/>
          <w:szCs w:val="19"/>
          <w:lang w:val="es-ES"/>
        </w:rPr>
      </w:pPr>
      <w:r w:rsidRPr="00984EF2">
        <w:rPr>
          <w:rStyle w:val="Refdenotaalpie"/>
          <w:rFonts w:ascii="Arial" w:hAnsi="Arial" w:cs="Arial"/>
          <w:color w:val="000000" w:themeColor="text1"/>
          <w:sz w:val="19"/>
          <w:szCs w:val="19"/>
        </w:rPr>
        <w:footnoteRef/>
      </w:r>
      <w:r w:rsidRPr="00984EF2">
        <w:rPr>
          <w:rFonts w:ascii="Arial" w:hAnsi="Arial" w:cs="Arial"/>
          <w:color w:val="000000" w:themeColor="text1"/>
          <w:sz w:val="19"/>
          <w:szCs w:val="19"/>
        </w:rPr>
        <w:t xml:space="preserve"> </w:t>
      </w:r>
      <w:r w:rsidRPr="00984EF2">
        <w:rPr>
          <w:rFonts w:ascii="Arial" w:hAnsi="Arial" w:cs="Arial"/>
          <w:color w:val="000000" w:themeColor="text1"/>
          <w:sz w:val="19"/>
          <w:szCs w:val="19"/>
          <w:lang w:val="es-ES"/>
        </w:rPr>
        <w:t xml:space="preserve">Como las señaladas a continuación: «Los servidores públicos» (art. 8, </w:t>
      </w:r>
      <w:proofErr w:type="spellStart"/>
      <w:r w:rsidRPr="00984EF2">
        <w:rPr>
          <w:rFonts w:ascii="Arial" w:hAnsi="Arial" w:cs="Arial"/>
          <w:color w:val="000000" w:themeColor="text1"/>
          <w:sz w:val="19"/>
          <w:szCs w:val="19"/>
          <w:lang w:val="es-ES"/>
        </w:rPr>
        <w:t>num</w:t>
      </w:r>
      <w:proofErr w:type="spellEnd"/>
      <w:r w:rsidRPr="00984EF2">
        <w:rPr>
          <w:rFonts w:ascii="Arial" w:hAnsi="Arial" w:cs="Arial"/>
          <w:color w:val="000000" w:themeColor="text1"/>
          <w:sz w:val="19"/>
          <w:szCs w:val="19"/>
          <w:lang w:val="es-ES"/>
        </w:rPr>
        <w:t xml:space="preserve">. 1º, </w:t>
      </w:r>
      <w:proofErr w:type="spellStart"/>
      <w:r w:rsidRPr="00984EF2">
        <w:rPr>
          <w:rFonts w:ascii="Arial" w:hAnsi="Arial" w:cs="Arial"/>
          <w:color w:val="000000" w:themeColor="text1"/>
          <w:sz w:val="19"/>
          <w:szCs w:val="19"/>
          <w:lang w:val="es-ES"/>
        </w:rPr>
        <w:t>lit.</w:t>
      </w:r>
      <w:proofErr w:type="spellEnd"/>
      <w:r w:rsidRPr="00984EF2">
        <w:rPr>
          <w:rFonts w:ascii="Arial" w:hAnsi="Arial" w:cs="Arial"/>
          <w:color w:val="000000" w:themeColor="text1"/>
          <w:sz w:val="19"/>
          <w:szCs w:val="19"/>
          <w:lang w:val="es-ES"/>
        </w:rPr>
        <w:t xml:space="preserve"> f),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w:t>
      </w:r>
      <w:proofErr w:type="spellStart"/>
      <w:r w:rsidRPr="00984EF2">
        <w:rPr>
          <w:rFonts w:ascii="Arial" w:hAnsi="Arial" w:cs="Arial"/>
          <w:color w:val="000000" w:themeColor="text1"/>
          <w:sz w:val="19"/>
          <w:szCs w:val="19"/>
          <w:lang w:val="es-ES"/>
        </w:rPr>
        <w:t>num</w:t>
      </w:r>
      <w:proofErr w:type="spellEnd"/>
      <w:r w:rsidRPr="00984EF2">
        <w:rPr>
          <w:rFonts w:ascii="Arial" w:hAnsi="Arial" w:cs="Arial"/>
          <w:color w:val="000000" w:themeColor="text1"/>
          <w:sz w:val="19"/>
          <w:szCs w:val="19"/>
          <w:lang w:val="es-ES"/>
        </w:rPr>
        <w:t xml:space="preserve">. 2º, </w:t>
      </w:r>
      <w:proofErr w:type="spellStart"/>
      <w:r w:rsidRPr="00984EF2">
        <w:rPr>
          <w:rFonts w:ascii="Arial" w:hAnsi="Arial" w:cs="Arial"/>
          <w:color w:val="000000" w:themeColor="text1"/>
          <w:sz w:val="19"/>
          <w:szCs w:val="19"/>
          <w:lang w:val="es-ES"/>
        </w:rPr>
        <w:t>lit.</w:t>
      </w:r>
      <w:proofErr w:type="spellEnd"/>
      <w:r w:rsidRPr="00984EF2">
        <w:rPr>
          <w:rFonts w:ascii="Arial" w:hAnsi="Arial" w:cs="Arial"/>
          <w:color w:val="000000" w:themeColor="text1"/>
          <w:sz w:val="19"/>
          <w:szCs w:val="19"/>
          <w:lang w:val="es-ES"/>
        </w:rPr>
        <w:t xml:space="preserve"> d), Ley 80/93); «Los miembros de las juntas o consejos directivos. Esta incompatibilidad sólo se predica respecto de la entidad a la cual prestan sus servicios y de las del sector administrativo al que la misma esté adscrita o vinculada» (art. 8, </w:t>
      </w:r>
      <w:proofErr w:type="spellStart"/>
      <w:r w:rsidRPr="00984EF2">
        <w:rPr>
          <w:rFonts w:ascii="Arial" w:hAnsi="Arial" w:cs="Arial"/>
          <w:color w:val="000000" w:themeColor="text1"/>
          <w:sz w:val="19"/>
          <w:szCs w:val="19"/>
          <w:lang w:val="es-ES"/>
        </w:rPr>
        <w:t>num</w:t>
      </w:r>
      <w:proofErr w:type="spellEnd"/>
      <w:r w:rsidRPr="00984EF2">
        <w:rPr>
          <w:rFonts w:ascii="Arial" w:hAnsi="Arial" w:cs="Arial"/>
          <w:color w:val="000000" w:themeColor="text1"/>
          <w:sz w:val="19"/>
          <w:szCs w:val="19"/>
          <w:lang w:val="es-ES"/>
        </w:rPr>
        <w:t xml:space="preserve">. 2º, </w:t>
      </w:r>
      <w:proofErr w:type="spellStart"/>
      <w:r w:rsidRPr="00984EF2">
        <w:rPr>
          <w:rFonts w:ascii="Arial" w:hAnsi="Arial" w:cs="Arial"/>
          <w:color w:val="000000" w:themeColor="text1"/>
          <w:sz w:val="19"/>
          <w:szCs w:val="19"/>
          <w:lang w:val="es-ES"/>
        </w:rPr>
        <w:t>lit.</w:t>
      </w:r>
      <w:proofErr w:type="spellEnd"/>
      <w:r w:rsidRPr="00984EF2">
        <w:rPr>
          <w:rFonts w:ascii="Arial" w:hAnsi="Arial" w:cs="Arial"/>
          <w:color w:val="000000" w:themeColor="text1"/>
          <w:sz w:val="19"/>
          <w:szCs w:val="19"/>
          <w:lang w:val="es-ES"/>
        </w:rPr>
        <w:t xml:space="preserve"> e), Ley 80/93); «Quien haya celebrado un contrato estatal de obra pública, de concesión, suministro de medicamentos y de alimentos o su cónyuge, compañero o compañera permanente, pariente hasta el segundo grado de </w:t>
      </w:r>
      <w:proofErr w:type="spellStart"/>
      <w:r w:rsidRPr="00984EF2">
        <w:rPr>
          <w:rFonts w:ascii="Arial" w:hAnsi="Arial" w:cs="Arial"/>
          <w:color w:val="000000" w:themeColor="text1"/>
          <w:sz w:val="19"/>
          <w:szCs w:val="19"/>
          <w:lang w:val="es-ES"/>
        </w:rPr>
        <w:t>consaguinidad</w:t>
      </w:r>
      <w:proofErr w:type="spellEnd"/>
      <w:r w:rsidRPr="00984EF2">
        <w:rPr>
          <w:rFonts w:ascii="Arial" w:hAnsi="Arial" w:cs="Arial"/>
          <w:color w:val="000000" w:themeColor="text1"/>
          <w:sz w:val="19"/>
          <w:szCs w:val="19"/>
          <w:lang w:val="es-ES"/>
        </w:rPr>
        <w:t xml:space="preserve">, segundo de afinidad y/o primero civil o sus socios en sociedades distintas de las anónimas abiertas, con las entidades a que se refiere el artículo 2o de la Ley 80 de 1993, durante el plazo de ejecución y hasta la liquidación del mismo, no podrán celebrar contratos de interventoría con la misma entidad» (art. 5, Ley 1474/11). </w:t>
      </w:r>
    </w:p>
    <w:p w14:paraId="2C063DF7" w14:textId="77777777" w:rsidR="00FC130B" w:rsidRPr="00984EF2" w:rsidRDefault="00FC130B" w:rsidP="00984EF2">
      <w:pPr>
        <w:ind w:firstLine="709"/>
        <w:jc w:val="both"/>
        <w:rPr>
          <w:rFonts w:ascii="Arial" w:hAnsi="Arial" w:cs="Arial"/>
          <w:color w:val="000000" w:themeColor="text1"/>
          <w:sz w:val="19"/>
          <w:szCs w:val="19"/>
          <w:lang w:val="es-ES"/>
        </w:rPr>
      </w:pPr>
    </w:p>
  </w:footnote>
  <w:footnote w:id="10">
    <w:p w14:paraId="0683E528" w14:textId="77777777" w:rsidR="00FC130B" w:rsidRPr="00984EF2" w:rsidRDefault="00FC130B" w:rsidP="00984EF2">
      <w:pPr>
        <w:pStyle w:val="Textonotapie"/>
        <w:ind w:firstLine="709"/>
        <w:jc w:val="both"/>
        <w:rPr>
          <w:rFonts w:ascii="Arial" w:hAnsi="Arial" w:cs="Arial"/>
          <w:color w:val="000000" w:themeColor="text1"/>
          <w:sz w:val="19"/>
          <w:szCs w:val="19"/>
          <w:lang w:val="es-ES"/>
        </w:rPr>
      </w:pPr>
      <w:r w:rsidRPr="00984EF2">
        <w:rPr>
          <w:rStyle w:val="Refdenotaalpie"/>
          <w:rFonts w:ascii="Arial" w:hAnsi="Arial" w:cs="Arial"/>
          <w:color w:val="000000" w:themeColor="text1"/>
          <w:sz w:val="19"/>
          <w:szCs w:val="19"/>
        </w:rPr>
        <w:footnoteRef/>
      </w:r>
      <w:r w:rsidRPr="00984EF2">
        <w:rPr>
          <w:rFonts w:ascii="Arial" w:hAnsi="Arial" w:cs="Arial"/>
          <w:color w:val="000000" w:themeColor="text1"/>
          <w:sz w:val="19"/>
          <w:szCs w:val="19"/>
        </w:rPr>
        <w:t xml:space="preserve"> </w:t>
      </w:r>
      <w:r w:rsidRPr="00984EF2">
        <w:rPr>
          <w:rFonts w:ascii="Arial" w:hAnsi="Arial" w:cs="Arial"/>
          <w:color w:val="000000" w:themeColor="text1"/>
          <w:sz w:val="19"/>
          <w:szCs w:val="19"/>
          <w:lang w:val="es-ES"/>
        </w:rPr>
        <w:t xml:space="preserve">BARRETO ROZO, Antonio Alejandro. Inhabilidades de la contratación estatal, efectos y </w:t>
      </w:r>
      <w:proofErr w:type="spellStart"/>
      <w:r w:rsidRPr="00984EF2">
        <w:rPr>
          <w:rFonts w:ascii="Arial" w:hAnsi="Arial" w:cs="Arial"/>
          <w:color w:val="000000" w:themeColor="text1"/>
          <w:sz w:val="19"/>
          <w:szCs w:val="19"/>
          <w:lang w:val="es-ES"/>
        </w:rPr>
        <w:t>neopunitivismo</w:t>
      </w:r>
      <w:proofErr w:type="spellEnd"/>
      <w:r w:rsidRPr="00984EF2">
        <w:rPr>
          <w:rFonts w:ascii="Arial" w:hAnsi="Arial" w:cs="Arial"/>
          <w:color w:val="000000" w:themeColor="text1"/>
          <w:sz w:val="19"/>
          <w:szCs w:val="19"/>
          <w:lang w:val="es-ES"/>
        </w:rPr>
        <w:t xml:space="preserve"> en el Estatuto Anticorrupción. En: ALVIAR GARCÍA, Helena (Coordinadora). Nuevas tendencias del Derecho administrativo. Bogotá: Universidad de los Andes; Temis, 2016. pp. 63-99.</w:t>
      </w:r>
    </w:p>
    <w:p w14:paraId="0CFADA65" w14:textId="77777777" w:rsidR="00FC130B" w:rsidRPr="00984EF2" w:rsidRDefault="00FC130B" w:rsidP="00984EF2">
      <w:pPr>
        <w:pStyle w:val="Textonotapie"/>
        <w:ind w:firstLine="709"/>
        <w:jc w:val="both"/>
        <w:rPr>
          <w:rFonts w:ascii="Arial" w:hAnsi="Arial" w:cs="Arial"/>
          <w:color w:val="000000" w:themeColor="text1"/>
          <w:sz w:val="19"/>
          <w:szCs w:val="19"/>
          <w:lang w:val="es-ES"/>
        </w:rPr>
      </w:pPr>
    </w:p>
  </w:footnote>
  <w:footnote w:id="11">
    <w:p w14:paraId="0E990446" w14:textId="77777777" w:rsidR="00FC130B" w:rsidRPr="00984EF2" w:rsidRDefault="00FC130B" w:rsidP="00984EF2">
      <w:pPr>
        <w:pStyle w:val="Textonotapie"/>
        <w:ind w:firstLine="709"/>
        <w:jc w:val="both"/>
        <w:rPr>
          <w:rFonts w:ascii="Arial" w:hAnsi="Arial" w:cs="Arial"/>
          <w:color w:val="000000" w:themeColor="text1"/>
          <w:sz w:val="19"/>
          <w:szCs w:val="19"/>
          <w:lang w:val="es-ES"/>
        </w:rPr>
      </w:pPr>
      <w:r w:rsidRPr="00984EF2">
        <w:rPr>
          <w:rStyle w:val="Refdenotaalpie"/>
          <w:rFonts w:ascii="Arial" w:hAnsi="Arial" w:cs="Arial"/>
          <w:color w:val="000000" w:themeColor="text1"/>
          <w:sz w:val="19"/>
          <w:szCs w:val="19"/>
        </w:rPr>
        <w:footnoteRef/>
      </w:r>
      <w:r w:rsidRPr="00984EF2">
        <w:rPr>
          <w:rFonts w:ascii="Arial" w:hAnsi="Arial" w:cs="Arial"/>
          <w:color w:val="000000" w:themeColor="text1"/>
          <w:sz w:val="19"/>
          <w:szCs w:val="19"/>
        </w:rPr>
        <w:t xml:space="preserve"> </w:t>
      </w:r>
      <w:r w:rsidRPr="00984EF2">
        <w:rPr>
          <w:rFonts w:ascii="Arial" w:hAnsi="Arial" w:cs="Arial"/>
          <w:color w:val="000000" w:themeColor="text1"/>
          <w:sz w:val="19"/>
          <w:szCs w:val="19"/>
          <w:lang w:val="es-ES"/>
        </w:rPr>
        <w:t>Ibíd., p. 69.</w:t>
      </w:r>
    </w:p>
    <w:p w14:paraId="1F45B205" w14:textId="77777777" w:rsidR="00FC130B" w:rsidRPr="00984EF2" w:rsidRDefault="00FC130B" w:rsidP="00984EF2">
      <w:pPr>
        <w:pStyle w:val="Textonotapie"/>
        <w:ind w:firstLine="709"/>
        <w:jc w:val="both"/>
        <w:rPr>
          <w:rFonts w:ascii="Arial" w:hAnsi="Arial" w:cs="Arial"/>
          <w:color w:val="000000" w:themeColor="text1"/>
          <w:sz w:val="19"/>
          <w:szCs w:val="19"/>
          <w:lang w:val="es-ES"/>
        </w:rPr>
      </w:pPr>
    </w:p>
  </w:footnote>
  <w:footnote w:id="12">
    <w:p w14:paraId="4FCB3352" w14:textId="77777777" w:rsidR="00FC130B" w:rsidRPr="00984EF2" w:rsidRDefault="00FC130B" w:rsidP="00984EF2">
      <w:pPr>
        <w:pStyle w:val="Textonotapie"/>
        <w:ind w:firstLine="709"/>
        <w:jc w:val="both"/>
        <w:rPr>
          <w:rFonts w:ascii="Arial" w:hAnsi="Arial" w:cs="Arial"/>
          <w:color w:val="000000" w:themeColor="text1"/>
          <w:sz w:val="19"/>
          <w:szCs w:val="19"/>
          <w:lang w:val="es-ES"/>
        </w:rPr>
      </w:pPr>
      <w:r w:rsidRPr="00984EF2">
        <w:rPr>
          <w:rStyle w:val="Refdenotaalpie"/>
          <w:rFonts w:ascii="Arial" w:hAnsi="Arial" w:cs="Arial"/>
          <w:color w:val="000000" w:themeColor="text1"/>
          <w:sz w:val="19"/>
          <w:szCs w:val="19"/>
        </w:rPr>
        <w:footnoteRef/>
      </w:r>
      <w:r w:rsidRPr="00984EF2">
        <w:rPr>
          <w:rFonts w:ascii="Arial" w:hAnsi="Arial" w:cs="Arial"/>
          <w:color w:val="000000" w:themeColor="text1"/>
          <w:sz w:val="19"/>
          <w:szCs w:val="19"/>
        </w:rPr>
        <w:t xml:space="preserve"> </w:t>
      </w:r>
      <w:r w:rsidRPr="00984EF2">
        <w:rPr>
          <w:rFonts w:ascii="Arial" w:hAnsi="Arial" w:cs="Arial"/>
          <w:color w:val="000000" w:themeColor="text1"/>
          <w:sz w:val="19"/>
          <w:szCs w:val="19"/>
          <w:lang w:val="es-ES"/>
        </w:rPr>
        <w:t xml:space="preserve">Corte Constitucional. Sentencia T-1039 de 2006. Magistrado Ponente: Humberto Sierra Porto. La Corte ha mantenido este criterio en las sentencias: C-903 de 2008. Magistrado Ponente: Jaime Araujo Rentería; C-101 de 2018. Magistrada Ponente Gloria Stella Ortiz Delgado; entre otras. </w:t>
      </w:r>
    </w:p>
    <w:p w14:paraId="417CB1E5" w14:textId="77777777" w:rsidR="00FC130B" w:rsidRPr="00984EF2" w:rsidRDefault="00FC130B" w:rsidP="00984EF2">
      <w:pPr>
        <w:pStyle w:val="Textonotapie"/>
        <w:ind w:firstLine="709"/>
        <w:jc w:val="both"/>
        <w:rPr>
          <w:rFonts w:ascii="Arial" w:hAnsi="Arial" w:cs="Arial"/>
          <w:color w:val="000000" w:themeColor="text1"/>
          <w:sz w:val="19"/>
          <w:szCs w:val="19"/>
          <w:lang w:val="es-ES"/>
        </w:rPr>
      </w:pPr>
    </w:p>
  </w:footnote>
  <w:footnote w:id="13">
    <w:p w14:paraId="67C1879D" w14:textId="77777777" w:rsidR="00FC130B" w:rsidRPr="00984EF2" w:rsidRDefault="00FC130B" w:rsidP="00984EF2">
      <w:pPr>
        <w:pStyle w:val="Textonotapie"/>
        <w:ind w:firstLine="709"/>
        <w:jc w:val="both"/>
        <w:rPr>
          <w:rFonts w:ascii="Arial" w:hAnsi="Arial" w:cs="Arial"/>
          <w:color w:val="000000" w:themeColor="text1"/>
          <w:sz w:val="19"/>
          <w:szCs w:val="19"/>
          <w:lang w:val="es-ES"/>
        </w:rPr>
      </w:pPr>
      <w:r w:rsidRPr="00984EF2">
        <w:rPr>
          <w:rStyle w:val="Refdenotaalpie"/>
          <w:rFonts w:ascii="Arial" w:hAnsi="Arial" w:cs="Arial"/>
          <w:color w:val="000000" w:themeColor="text1"/>
          <w:sz w:val="19"/>
          <w:szCs w:val="19"/>
        </w:rPr>
        <w:footnoteRef/>
      </w:r>
      <w:r w:rsidRPr="00984EF2">
        <w:rPr>
          <w:rFonts w:ascii="Arial" w:hAnsi="Arial" w:cs="Arial"/>
          <w:color w:val="000000" w:themeColor="text1"/>
          <w:sz w:val="19"/>
          <w:szCs w:val="19"/>
        </w:rPr>
        <w:t xml:space="preserve"> </w:t>
      </w:r>
      <w:r w:rsidRPr="00984EF2">
        <w:rPr>
          <w:rFonts w:ascii="Arial" w:hAnsi="Arial" w:cs="Arial"/>
          <w:color w:val="000000" w:themeColor="text1"/>
          <w:sz w:val="19"/>
          <w:szCs w:val="19"/>
          <w:lang w:val="es-ES"/>
        </w:rPr>
        <w:t xml:space="preserve">Consejo de Estado. Sala de Consulta y Servicio Civil. Concepto del 30 de abril de 2015. Expediente: 2.251. Consejero Ponente: Álvaro </w:t>
      </w:r>
      <w:proofErr w:type="spellStart"/>
      <w:r w:rsidRPr="00984EF2">
        <w:rPr>
          <w:rFonts w:ascii="Arial" w:hAnsi="Arial" w:cs="Arial"/>
          <w:color w:val="000000" w:themeColor="text1"/>
          <w:sz w:val="19"/>
          <w:szCs w:val="19"/>
          <w:lang w:val="es-ES"/>
        </w:rPr>
        <w:t>Namén</w:t>
      </w:r>
      <w:proofErr w:type="spellEnd"/>
      <w:r w:rsidRPr="00984EF2">
        <w:rPr>
          <w:rFonts w:ascii="Arial" w:hAnsi="Arial" w:cs="Arial"/>
          <w:color w:val="000000" w:themeColor="text1"/>
          <w:sz w:val="19"/>
          <w:szCs w:val="19"/>
          <w:lang w:val="es-ES"/>
        </w:rPr>
        <w:t xml:space="preserve"> Vargas.</w:t>
      </w:r>
    </w:p>
    <w:p w14:paraId="067C81AF" w14:textId="77777777" w:rsidR="00FC130B" w:rsidRPr="00984EF2" w:rsidRDefault="00FC130B" w:rsidP="00984EF2">
      <w:pPr>
        <w:pStyle w:val="Textonotapie"/>
        <w:ind w:firstLine="709"/>
        <w:jc w:val="both"/>
        <w:rPr>
          <w:rFonts w:ascii="Arial" w:hAnsi="Arial" w:cs="Arial"/>
          <w:color w:val="000000" w:themeColor="text1"/>
          <w:sz w:val="19"/>
          <w:szCs w:val="19"/>
          <w:lang w:val="es-ES"/>
        </w:rPr>
      </w:pPr>
    </w:p>
  </w:footnote>
  <w:footnote w:id="14">
    <w:p w14:paraId="7187BC69" w14:textId="77777777" w:rsidR="00FC130B" w:rsidRPr="00984EF2" w:rsidRDefault="00FC130B" w:rsidP="00984EF2">
      <w:pPr>
        <w:pStyle w:val="Textonotapie"/>
        <w:ind w:firstLine="709"/>
        <w:jc w:val="both"/>
        <w:rPr>
          <w:rFonts w:ascii="Arial" w:hAnsi="Arial" w:cs="Arial"/>
          <w:color w:val="000000" w:themeColor="text1"/>
          <w:sz w:val="19"/>
          <w:szCs w:val="19"/>
        </w:rPr>
      </w:pPr>
      <w:r w:rsidRPr="00984EF2">
        <w:rPr>
          <w:rStyle w:val="Refdenotaalpie"/>
          <w:rFonts w:ascii="Arial" w:hAnsi="Arial" w:cs="Arial"/>
          <w:color w:val="000000" w:themeColor="text1"/>
          <w:sz w:val="19"/>
          <w:szCs w:val="19"/>
        </w:rPr>
        <w:footnoteRef/>
      </w:r>
      <w:r w:rsidRPr="00984EF2">
        <w:rPr>
          <w:rFonts w:ascii="Arial" w:hAnsi="Arial" w:cs="Arial"/>
          <w:color w:val="000000" w:themeColor="text1"/>
          <w:sz w:val="19"/>
          <w:szCs w:val="19"/>
        </w:rPr>
        <w:t xml:space="preserve"> Consejo de Estado. Sección Tercera. Subsección A. Sentencia del 24 de junio de 2015. Exp. 40.635. Consejero Ponente: Hernán Andrade Rincón (E).</w:t>
      </w:r>
    </w:p>
    <w:p w14:paraId="7F53FDEE" w14:textId="77777777" w:rsidR="00FC130B" w:rsidRPr="00984EF2" w:rsidRDefault="00FC130B" w:rsidP="00984EF2">
      <w:pPr>
        <w:pStyle w:val="Textonotapie"/>
        <w:ind w:firstLine="709"/>
        <w:jc w:val="both"/>
        <w:rPr>
          <w:rFonts w:ascii="Arial" w:hAnsi="Arial" w:cs="Arial"/>
          <w:color w:val="000000" w:themeColor="text1"/>
          <w:sz w:val="19"/>
          <w:szCs w:val="19"/>
          <w:lang w:val="es-ES"/>
        </w:rPr>
      </w:pPr>
    </w:p>
  </w:footnote>
  <w:footnote w:id="15">
    <w:p w14:paraId="544181FB" w14:textId="77777777" w:rsidR="00FC130B" w:rsidRPr="00984EF2" w:rsidRDefault="00FC130B" w:rsidP="00984EF2">
      <w:pPr>
        <w:pStyle w:val="Textonotapie"/>
        <w:ind w:firstLine="709"/>
        <w:jc w:val="both"/>
        <w:rPr>
          <w:rFonts w:ascii="Arial" w:hAnsi="Arial" w:cs="Arial"/>
          <w:color w:val="000000" w:themeColor="text1"/>
          <w:sz w:val="19"/>
          <w:szCs w:val="19"/>
        </w:rPr>
      </w:pPr>
      <w:r w:rsidRPr="00984EF2">
        <w:rPr>
          <w:rStyle w:val="Refdenotaalpie"/>
          <w:rFonts w:ascii="Arial" w:hAnsi="Arial" w:cs="Arial"/>
          <w:color w:val="000000" w:themeColor="text1"/>
          <w:sz w:val="19"/>
          <w:szCs w:val="19"/>
        </w:rPr>
        <w:footnoteRef/>
      </w:r>
      <w:r w:rsidRPr="00984EF2">
        <w:rPr>
          <w:rFonts w:ascii="Arial" w:hAnsi="Arial" w:cs="Arial"/>
          <w:color w:val="000000" w:themeColor="text1"/>
          <w:sz w:val="19"/>
          <w:szCs w:val="19"/>
        </w:rPr>
        <w:t xml:space="preserve"> Consejo de Estado. Sección Tercera. Subsección C. Sentencia del 22 de mayo de 2013. Exp. 24.057. Consejera Ponente: Olga Melida Valle De De La Hoz.</w:t>
      </w:r>
    </w:p>
    <w:p w14:paraId="70245106" w14:textId="77777777" w:rsidR="00FC130B" w:rsidRPr="00984EF2" w:rsidRDefault="00FC130B" w:rsidP="00984EF2">
      <w:pPr>
        <w:pStyle w:val="Textonotapie"/>
        <w:ind w:firstLine="709"/>
        <w:jc w:val="both"/>
        <w:rPr>
          <w:rFonts w:ascii="Arial" w:hAnsi="Arial" w:cs="Arial"/>
          <w:color w:val="000000" w:themeColor="text1"/>
          <w:sz w:val="19"/>
          <w:szCs w:val="19"/>
          <w:lang w:val="es-ES"/>
        </w:rPr>
      </w:pPr>
    </w:p>
  </w:footnote>
  <w:footnote w:id="16">
    <w:p w14:paraId="280D0347" w14:textId="61AE8B7E" w:rsidR="00925F97" w:rsidRPr="00984EF2" w:rsidRDefault="00925F97" w:rsidP="00984EF2">
      <w:pPr>
        <w:pStyle w:val="Textonotapie"/>
        <w:ind w:firstLine="709"/>
        <w:jc w:val="both"/>
        <w:rPr>
          <w:rFonts w:ascii="Arial" w:hAnsi="Arial" w:cs="Arial"/>
          <w:sz w:val="19"/>
          <w:szCs w:val="19"/>
        </w:rPr>
      </w:pPr>
      <w:r w:rsidRPr="00984EF2">
        <w:rPr>
          <w:rStyle w:val="Refdenotaalpie"/>
          <w:rFonts w:ascii="Arial" w:hAnsi="Arial" w:cs="Arial"/>
          <w:sz w:val="19"/>
          <w:szCs w:val="19"/>
        </w:rPr>
        <w:footnoteRef/>
      </w:r>
      <w:r w:rsidRPr="00984EF2">
        <w:rPr>
          <w:rFonts w:ascii="Arial" w:hAnsi="Arial" w:cs="Arial"/>
          <w:sz w:val="19"/>
          <w:szCs w:val="19"/>
        </w:rPr>
        <w:t xml:space="preserve"> La Corte Constitucional ha señalado que </w:t>
      </w:r>
      <w:r w:rsidR="00C5433C" w:rsidRPr="00984EF2">
        <w:rPr>
          <w:rFonts w:ascii="Arial" w:hAnsi="Arial" w:cs="Arial"/>
          <w:sz w:val="19"/>
          <w:szCs w:val="19"/>
        </w:rPr>
        <w:t>«La sociedad anónima abierta aquella que negocia sus acciones en el mercado público de valores, y la sociedad anónima cerrada la que no lo hace»</w:t>
      </w:r>
      <w:r w:rsidR="00813FAB" w:rsidRPr="00984EF2">
        <w:rPr>
          <w:rFonts w:ascii="Arial" w:hAnsi="Arial" w:cs="Arial"/>
          <w:sz w:val="19"/>
          <w:szCs w:val="19"/>
        </w:rPr>
        <w:t xml:space="preserve"> (Sentencia C-188 de 2008, M.P. Manuel José Cepeda Espinosa).</w:t>
      </w:r>
    </w:p>
    <w:p w14:paraId="002A3AB1" w14:textId="77777777" w:rsidR="009A19A3" w:rsidRPr="00984EF2" w:rsidRDefault="009A19A3" w:rsidP="00984EF2">
      <w:pPr>
        <w:pStyle w:val="Textonotapie"/>
        <w:ind w:firstLine="709"/>
        <w:jc w:val="both"/>
        <w:rPr>
          <w:rFonts w:ascii="Arial" w:hAnsi="Arial" w:cs="Arial"/>
          <w:sz w:val="19"/>
          <w:szCs w:val="19"/>
          <w:lang w:val="es-CO"/>
        </w:rPr>
      </w:pPr>
    </w:p>
  </w:footnote>
  <w:footnote w:id="17">
    <w:p w14:paraId="39295C9C" w14:textId="7C5BC9A0" w:rsidR="00A4720E" w:rsidRPr="00984EF2" w:rsidRDefault="00A4720E" w:rsidP="00984EF2">
      <w:pPr>
        <w:pStyle w:val="Textonotapie"/>
        <w:ind w:firstLine="709"/>
        <w:jc w:val="both"/>
        <w:rPr>
          <w:rFonts w:ascii="Arial" w:hAnsi="Arial" w:cs="Arial"/>
          <w:sz w:val="19"/>
          <w:szCs w:val="19"/>
          <w:lang w:val="es-ES"/>
        </w:rPr>
      </w:pPr>
      <w:r w:rsidRPr="00984EF2">
        <w:rPr>
          <w:rStyle w:val="Refdenotaalpie"/>
          <w:rFonts w:ascii="Arial" w:hAnsi="Arial" w:cs="Arial"/>
          <w:sz w:val="19"/>
          <w:szCs w:val="19"/>
        </w:rPr>
        <w:footnoteRef/>
      </w:r>
      <w:r w:rsidRPr="00984EF2">
        <w:rPr>
          <w:rFonts w:ascii="Arial" w:hAnsi="Arial" w:cs="Arial"/>
          <w:sz w:val="19"/>
          <w:szCs w:val="19"/>
        </w:rPr>
        <w:t xml:space="preserve"> </w:t>
      </w:r>
      <w:r w:rsidRPr="00984EF2">
        <w:rPr>
          <w:rFonts w:ascii="Arial" w:hAnsi="Arial" w:cs="Arial"/>
          <w:sz w:val="19"/>
          <w:szCs w:val="19"/>
          <w:lang w:val="es-ES"/>
        </w:rPr>
        <w:t xml:space="preserve">Corte Constitucional. Sentencia </w:t>
      </w:r>
      <w:r w:rsidR="009A19A3" w:rsidRPr="00984EF2">
        <w:rPr>
          <w:rFonts w:ascii="Arial" w:hAnsi="Arial" w:cs="Arial"/>
          <w:sz w:val="19"/>
          <w:szCs w:val="19"/>
          <w:lang w:val="es-ES"/>
        </w:rPr>
        <w:t>C-1016 de 2012 (M.P. Jorge Iván Palacio Palacio).</w:t>
      </w:r>
    </w:p>
  </w:footnote>
  <w:footnote w:id="18">
    <w:p w14:paraId="72383267" w14:textId="29AC6798" w:rsidR="00375A2D" w:rsidRPr="00984EF2" w:rsidRDefault="008E73D4" w:rsidP="00984EF2">
      <w:pPr>
        <w:pStyle w:val="Textonotapie"/>
        <w:ind w:firstLine="709"/>
        <w:jc w:val="both"/>
        <w:rPr>
          <w:rFonts w:ascii="Arial" w:hAnsi="Arial" w:cs="Arial"/>
          <w:sz w:val="19"/>
          <w:szCs w:val="19"/>
          <w:lang w:val="es-ES"/>
        </w:rPr>
      </w:pPr>
      <w:r w:rsidRPr="00984EF2">
        <w:rPr>
          <w:rStyle w:val="Refdenotaalpie"/>
          <w:rFonts w:ascii="Arial" w:hAnsi="Arial" w:cs="Arial"/>
          <w:sz w:val="19"/>
          <w:szCs w:val="19"/>
        </w:rPr>
        <w:footnoteRef/>
      </w:r>
      <w:r w:rsidRPr="00984EF2">
        <w:rPr>
          <w:rFonts w:ascii="Arial" w:hAnsi="Arial" w:cs="Arial"/>
          <w:sz w:val="19"/>
          <w:szCs w:val="19"/>
        </w:rPr>
        <w:t xml:space="preserve"> </w:t>
      </w:r>
      <w:r w:rsidRPr="00984EF2">
        <w:rPr>
          <w:rFonts w:ascii="Arial" w:hAnsi="Arial" w:cs="Arial"/>
          <w:sz w:val="19"/>
          <w:szCs w:val="19"/>
          <w:lang w:val="es-ES"/>
        </w:rPr>
        <w:t xml:space="preserve">El artículo </w:t>
      </w:r>
      <w:r w:rsidR="00375A2D" w:rsidRPr="00984EF2">
        <w:rPr>
          <w:rFonts w:ascii="Arial" w:hAnsi="Arial" w:cs="Arial"/>
          <w:sz w:val="19"/>
          <w:szCs w:val="19"/>
          <w:lang w:val="es-ES"/>
        </w:rPr>
        <w:t>71 del Código Civil establece: «La derogación de las leyes podrá ser expresa o tácita. Es expresa, cuando la nueva ley dice expresamente que deroga la antigua.</w:t>
      </w:r>
    </w:p>
    <w:p w14:paraId="2538C34E" w14:textId="4497FAA7" w:rsidR="00375A2D" w:rsidRPr="00984EF2" w:rsidRDefault="00375A2D" w:rsidP="00984EF2">
      <w:pPr>
        <w:pStyle w:val="Textonotapie"/>
        <w:ind w:firstLine="709"/>
        <w:jc w:val="both"/>
        <w:rPr>
          <w:rFonts w:ascii="Arial" w:hAnsi="Arial" w:cs="Arial"/>
          <w:sz w:val="19"/>
          <w:szCs w:val="19"/>
          <w:lang w:val="es-ES"/>
        </w:rPr>
      </w:pPr>
      <w:proofErr w:type="gramStart"/>
      <w:r w:rsidRPr="00984EF2">
        <w:rPr>
          <w:rFonts w:ascii="Arial" w:hAnsi="Arial" w:cs="Arial"/>
          <w:sz w:val="19"/>
          <w:szCs w:val="19"/>
          <w:lang w:val="es-ES"/>
        </w:rPr>
        <w:t>»Es</w:t>
      </w:r>
      <w:proofErr w:type="gramEnd"/>
      <w:r w:rsidRPr="00984EF2">
        <w:rPr>
          <w:rFonts w:ascii="Arial" w:hAnsi="Arial" w:cs="Arial"/>
          <w:sz w:val="19"/>
          <w:szCs w:val="19"/>
          <w:lang w:val="es-ES"/>
        </w:rPr>
        <w:t xml:space="preserve"> tácita, cuando la nueva ley contiene disposiciones que no pueden conciliarse con las de la ley anterior.</w:t>
      </w:r>
    </w:p>
    <w:p w14:paraId="75599870" w14:textId="2E9A5324" w:rsidR="008E73D4" w:rsidRPr="00984EF2" w:rsidRDefault="00375A2D" w:rsidP="00984EF2">
      <w:pPr>
        <w:pStyle w:val="Textonotapie"/>
        <w:ind w:firstLine="709"/>
        <w:jc w:val="both"/>
        <w:rPr>
          <w:rFonts w:ascii="Arial" w:hAnsi="Arial" w:cs="Arial"/>
          <w:sz w:val="19"/>
          <w:szCs w:val="19"/>
          <w:lang w:val="es-ES"/>
        </w:rPr>
      </w:pPr>
      <w:proofErr w:type="gramStart"/>
      <w:r w:rsidRPr="00984EF2">
        <w:rPr>
          <w:rFonts w:ascii="Arial" w:hAnsi="Arial" w:cs="Arial"/>
          <w:sz w:val="19"/>
          <w:szCs w:val="19"/>
          <w:lang w:val="es-ES"/>
        </w:rPr>
        <w:t>»La</w:t>
      </w:r>
      <w:proofErr w:type="gramEnd"/>
      <w:r w:rsidRPr="00984EF2">
        <w:rPr>
          <w:rFonts w:ascii="Arial" w:hAnsi="Arial" w:cs="Arial"/>
          <w:sz w:val="19"/>
          <w:szCs w:val="19"/>
          <w:lang w:val="es-ES"/>
        </w:rPr>
        <w:t xml:space="preserve"> derogación de una ley puede ser total o parcial».</w:t>
      </w:r>
    </w:p>
  </w:footnote>
  <w:footnote w:id="19">
    <w:p w14:paraId="7D76597C" w14:textId="77777777" w:rsidR="002B3080" w:rsidRDefault="002B3080" w:rsidP="002B3080">
      <w:pPr>
        <w:pStyle w:val="Textonotapie"/>
        <w:ind w:firstLine="709"/>
        <w:jc w:val="both"/>
        <w:rPr>
          <w:rFonts w:ascii="Arial" w:hAnsi="Arial" w:cs="Arial"/>
          <w:sz w:val="19"/>
          <w:szCs w:val="19"/>
        </w:rPr>
      </w:pPr>
    </w:p>
    <w:p w14:paraId="4053D831" w14:textId="77777777" w:rsidR="002B3080" w:rsidRPr="00984EF2" w:rsidRDefault="002B3080" w:rsidP="002B3080">
      <w:pPr>
        <w:pStyle w:val="Textonotapie"/>
        <w:ind w:firstLine="709"/>
        <w:jc w:val="both"/>
        <w:rPr>
          <w:rFonts w:ascii="Arial" w:hAnsi="Arial" w:cs="Arial"/>
          <w:sz w:val="19"/>
          <w:szCs w:val="19"/>
          <w:lang w:val="es-ES"/>
        </w:rPr>
      </w:pPr>
      <w:r w:rsidRPr="00984EF2">
        <w:rPr>
          <w:rStyle w:val="Refdenotaalpie"/>
          <w:rFonts w:ascii="Arial" w:hAnsi="Arial" w:cs="Arial"/>
          <w:sz w:val="19"/>
          <w:szCs w:val="19"/>
        </w:rPr>
        <w:footnoteRef/>
      </w:r>
      <w:r w:rsidRPr="00984EF2">
        <w:rPr>
          <w:rFonts w:ascii="Arial" w:hAnsi="Arial" w:cs="Arial"/>
          <w:sz w:val="19"/>
          <w:szCs w:val="19"/>
        </w:rPr>
        <w:t xml:space="preserve"> </w:t>
      </w:r>
      <w:r w:rsidRPr="00984EF2">
        <w:rPr>
          <w:rFonts w:ascii="Arial" w:hAnsi="Arial" w:cs="Arial"/>
          <w:sz w:val="19"/>
          <w:szCs w:val="19"/>
          <w:lang w:val="es-ES"/>
        </w:rPr>
        <w:t>M.P. Álvaro Tafur Galvis.</w:t>
      </w:r>
    </w:p>
  </w:footnote>
  <w:footnote w:id="20">
    <w:p w14:paraId="6B99AA3D" w14:textId="77777777" w:rsidR="002B3080" w:rsidRPr="00984EF2" w:rsidRDefault="002B3080" w:rsidP="002B3080">
      <w:pPr>
        <w:pStyle w:val="Textonotapie"/>
        <w:ind w:firstLine="709"/>
        <w:jc w:val="both"/>
        <w:rPr>
          <w:rFonts w:ascii="Arial" w:hAnsi="Arial" w:cs="Arial"/>
          <w:sz w:val="19"/>
          <w:szCs w:val="19"/>
          <w:lang w:val="es-ES"/>
        </w:rPr>
      </w:pPr>
      <w:r w:rsidRPr="00984EF2">
        <w:rPr>
          <w:rStyle w:val="Refdenotaalpie"/>
          <w:rFonts w:ascii="Arial" w:hAnsi="Arial" w:cs="Arial"/>
          <w:sz w:val="19"/>
          <w:szCs w:val="19"/>
        </w:rPr>
        <w:footnoteRef/>
      </w:r>
      <w:r w:rsidRPr="00984EF2">
        <w:rPr>
          <w:rFonts w:ascii="Arial" w:hAnsi="Arial" w:cs="Arial"/>
          <w:sz w:val="19"/>
          <w:szCs w:val="19"/>
        </w:rPr>
        <w:t xml:space="preserve"> Consejo de Estado. Sección Tercera. Subsección C. Sentencia del 29 de agosto de 2012. Consejero Ponente: Enrique Gil Botero. Expediente: 21430.</w:t>
      </w:r>
    </w:p>
  </w:footnote>
  <w:footnote w:id="21">
    <w:p w14:paraId="11695A0B" w14:textId="77777777" w:rsidR="00722C2F" w:rsidRPr="00984EF2" w:rsidRDefault="00722C2F" w:rsidP="00722C2F">
      <w:pPr>
        <w:pStyle w:val="Textonotapie"/>
        <w:ind w:firstLine="709"/>
        <w:jc w:val="both"/>
        <w:rPr>
          <w:rFonts w:ascii="Arial" w:hAnsi="Arial" w:cs="Arial"/>
          <w:sz w:val="19"/>
          <w:szCs w:val="19"/>
          <w:lang w:val="es-CO"/>
        </w:rPr>
      </w:pPr>
      <w:r w:rsidRPr="00984EF2">
        <w:rPr>
          <w:rStyle w:val="Refdenotaalpie"/>
          <w:rFonts w:ascii="Arial" w:hAnsi="Arial" w:cs="Arial"/>
          <w:sz w:val="19"/>
          <w:szCs w:val="19"/>
        </w:rPr>
        <w:footnoteRef/>
      </w:r>
      <w:r w:rsidRPr="00984EF2">
        <w:rPr>
          <w:rFonts w:ascii="Arial" w:hAnsi="Arial" w:cs="Arial"/>
          <w:sz w:val="19"/>
          <w:szCs w:val="19"/>
        </w:rPr>
        <w:t xml:space="preserve"> </w:t>
      </w:r>
      <w:r w:rsidRPr="00984EF2">
        <w:rPr>
          <w:rFonts w:ascii="Arial" w:hAnsi="Arial" w:cs="Arial"/>
          <w:sz w:val="19"/>
          <w:szCs w:val="19"/>
          <w:lang w:val="es-ES"/>
        </w:rPr>
        <w:t>Esta norma establece «La ley posterior prevalece sobre la ley anterior. En caso de que una ley posterior sea contraria a otra anterior, y ambas preexistentes al hecho que se juzga, se aplicará la ley posterior».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6A59DE" w:rsidRDefault="006A59DE">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4023316"/>
    <w:multiLevelType w:val="multilevel"/>
    <w:tmpl w:val="27FE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C0214E0"/>
    <w:multiLevelType w:val="hybridMultilevel"/>
    <w:tmpl w:val="449C713E"/>
    <w:lvl w:ilvl="0" w:tplc="E8E686F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9DF3375"/>
    <w:multiLevelType w:val="multilevel"/>
    <w:tmpl w:val="7FCE6E46"/>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738624105">
    <w:abstractNumId w:val="11"/>
  </w:num>
  <w:num w:numId="2" w16cid:durableId="679308296">
    <w:abstractNumId w:val="9"/>
  </w:num>
  <w:num w:numId="3" w16cid:durableId="503977367">
    <w:abstractNumId w:val="14"/>
  </w:num>
  <w:num w:numId="4" w16cid:durableId="993875265">
    <w:abstractNumId w:val="17"/>
  </w:num>
  <w:num w:numId="5" w16cid:durableId="1227108136">
    <w:abstractNumId w:val="21"/>
  </w:num>
  <w:num w:numId="6" w16cid:durableId="99059352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8390933">
    <w:abstractNumId w:val="19"/>
  </w:num>
  <w:num w:numId="8" w16cid:durableId="2112042150">
    <w:abstractNumId w:val="0"/>
  </w:num>
  <w:num w:numId="9" w16cid:durableId="306936298">
    <w:abstractNumId w:val="4"/>
  </w:num>
  <w:num w:numId="10" w16cid:durableId="15740760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56437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5453765">
    <w:abstractNumId w:val="10"/>
  </w:num>
  <w:num w:numId="13" w16cid:durableId="456489243">
    <w:abstractNumId w:val="13"/>
  </w:num>
  <w:num w:numId="14" w16cid:durableId="827089447">
    <w:abstractNumId w:val="8"/>
  </w:num>
  <w:num w:numId="15" w16cid:durableId="472407178">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9545645">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83649495">
    <w:abstractNumId w:val="23"/>
  </w:num>
  <w:num w:numId="18" w16cid:durableId="1578979129">
    <w:abstractNumId w:val="15"/>
  </w:num>
  <w:num w:numId="19" w16cid:durableId="1319651728">
    <w:abstractNumId w:val="3"/>
  </w:num>
  <w:num w:numId="20" w16cid:durableId="157504407">
    <w:abstractNumId w:val="24"/>
  </w:num>
  <w:num w:numId="21" w16cid:durableId="568006665">
    <w:abstractNumId w:val="16"/>
  </w:num>
  <w:num w:numId="22" w16cid:durableId="80950959">
    <w:abstractNumId w:val="6"/>
  </w:num>
  <w:num w:numId="23" w16cid:durableId="1049498429">
    <w:abstractNumId w:val="5"/>
  </w:num>
  <w:num w:numId="24" w16cid:durableId="1614824673">
    <w:abstractNumId w:val="22"/>
  </w:num>
  <w:num w:numId="25" w16cid:durableId="1978144267">
    <w:abstractNumId w:val="18"/>
  </w:num>
  <w:num w:numId="26" w16cid:durableId="650867230">
    <w:abstractNumId w:val="25"/>
  </w:num>
  <w:num w:numId="27" w16cid:durableId="846751764">
    <w:abstractNumId w:val="7"/>
  </w:num>
  <w:num w:numId="28" w16cid:durableId="16327882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004"/>
    <w:rsid w:val="0000162E"/>
    <w:rsid w:val="00001A1C"/>
    <w:rsid w:val="00001FFD"/>
    <w:rsid w:val="00002027"/>
    <w:rsid w:val="000020FE"/>
    <w:rsid w:val="00002173"/>
    <w:rsid w:val="000031A8"/>
    <w:rsid w:val="00003C5C"/>
    <w:rsid w:val="000040D7"/>
    <w:rsid w:val="00004556"/>
    <w:rsid w:val="000051AF"/>
    <w:rsid w:val="00005210"/>
    <w:rsid w:val="000059D3"/>
    <w:rsid w:val="00005B6D"/>
    <w:rsid w:val="00005DBC"/>
    <w:rsid w:val="0000600A"/>
    <w:rsid w:val="00006081"/>
    <w:rsid w:val="00007750"/>
    <w:rsid w:val="000077FD"/>
    <w:rsid w:val="00007E37"/>
    <w:rsid w:val="00010C40"/>
    <w:rsid w:val="000112B4"/>
    <w:rsid w:val="00011DCC"/>
    <w:rsid w:val="00012532"/>
    <w:rsid w:val="00012B9E"/>
    <w:rsid w:val="00012FBA"/>
    <w:rsid w:val="00013C6B"/>
    <w:rsid w:val="0001406B"/>
    <w:rsid w:val="000143F8"/>
    <w:rsid w:val="00014624"/>
    <w:rsid w:val="00015B44"/>
    <w:rsid w:val="00016081"/>
    <w:rsid w:val="000165AC"/>
    <w:rsid w:val="00016651"/>
    <w:rsid w:val="00016FE3"/>
    <w:rsid w:val="000171A2"/>
    <w:rsid w:val="00017B65"/>
    <w:rsid w:val="00020158"/>
    <w:rsid w:val="000207E0"/>
    <w:rsid w:val="000209E2"/>
    <w:rsid w:val="00020F8F"/>
    <w:rsid w:val="00021A95"/>
    <w:rsid w:val="0002256F"/>
    <w:rsid w:val="00023746"/>
    <w:rsid w:val="00023DAE"/>
    <w:rsid w:val="00024896"/>
    <w:rsid w:val="00025D0A"/>
    <w:rsid w:val="000263F0"/>
    <w:rsid w:val="00026407"/>
    <w:rsid w:val="00026608"/>
    <w:rsid w:val="00027787"/>
    <w:rsid w:val="000278D2"/>
    <w:rsid w:val="00030167"/>
    <w:rsid w:val="0003095C"/>
    <w:rsid w:val="00031158"/>
    <w:rsid w:val="00031364"/>
    <w:rsid w:val="000314BD"/>
    <w:rsid w:val="000315E1"/>
    <w:rsid w:val="00031FF6"/>
    <w:rsid w:val="0003236E"/>
    <w:rsid w:val="0003339A"/>
    <w:rsid w:val="0003370C"/>
    <w:rsid w:val="0003377C"/>
    <w:rsid w:val="00033C95"/>
    <w:rsid w:val="000341F2"/>
    <w:rsid w:val="000343F8"/>
    <w:rsid w:val="00035046"/>
    <w:rsid w:val="000351F2"/>
    <w:rsid w:val="00035851"/>
    <w:rsid w:val="00036E03"/>
    <w:rsid w:val="000406DB"/>
    <w:rsid w:val="0004094D"/>
    <w:rsid w:val="00041029"/>
    <w:rsid w:val="00041210"/>
    <w:rsid w:val="0004149B"/>
    <w:rsid w:val="00042961"/>
    <w:rsid w:val="00042C25"/>
    <w:rsid w:val="00042D03"/>
    <w:rsid w:val="00043086"/>
    <w:rsid w:val="000430A0"/>
    <w:rsid w:val="00043D3B"/>
    <w:rsid w:val="0004418C"/>
    <w:rsid w:val="00044204"/>
    <w:rsid w:val="000449D4"/>
    <w:rsid w:val="00045A00"/>
    <w:rsid w:val="000463B5"/>
    <w:rsid w:val="00046717"/>
    <w:rsid w:val="00046A63"/>
    <w:rsid w:val="00046C09"/>
    <w:rsid w:val="0004716A"/>
    <w:rsid w:val="00047385"/>
    <w:rsid w:val="000473E8"/>
    <w:rsid w:val="00047F84"/>
    <w:rsid w:val="000504DE"/>
    <w:rsid w:val="00051074"/>
    <w:rsid w:val="00051253"/>
    <w:rsid w:val="0005168F"/>
    <w:rsid w:val="000526F0"/>
    <w:rsid w:val="0005273D"/>
    <w:rsid w:val="00052B79"/>
    <w:rsid w:val="00052EA0"/>
    <w:rsid w:val="000536A7"/>
    <w:rsid w:val="000536E3"/>
    <w:rsid w:val="00053896"/>
    <w:rsid w:val="0005474D"/>
    <w:rsid w:val="00055CB9"/>
    <w:rsid w:val="00056CD0"/>
    <w:rsid w:val="00056F66"/>
    <w:rsid w:val="0005702F"/>
    <w:rsid w:val="00057490"/>
    <w:rsid w:val="00061010"/>
    <w:rsid w:val="00061D06"/>
    <w:rsid w:val="00062CDD"/>
    <w:rsid w:val="000635D9"/>
    <w:rsid w:val="000640AF"/>
    <w:rsid w:val="00064940"/>
    <w:rsid w:val="00064CAE"/>
    <w:rsid w:val="00064DB7"/>
    <w:rsid w:val="00064FA7"/>
    <w:rsid w:val="00065195"/>
    <w:rsid w:val="0006536C"/>
    <w:rsid w:val="00070AF1"/>
    <w:rsid w:val="000714DE"/>
    <w:rsid w:val="0007254F"/>
    <w:rsid w:val="00073BF8"/>
    <w:rsid w:val="00073C30"/>
    <w:rsid w:val="00074305"/>
    <w:rsid w:val="000744D0"/>
    <w:rsid w:val="00074B2A"/>
    <w:rsid w:val="00074EEE"/>
    <w:rsid w:val="000753D5"/>
    <w:rsid w:val="00075B3E"/>
    <w:rsid w:val="00076456"/>
    <w:rsid w:val="00077173"/>
    <w:rsid w:val="00077245"/>
    <w:rsid w:val="0007779B"/>
    <w:rsid w:val="000777E7"/>
    <w:rsid w:val="0007790A"/>
    <w:rsid w:val="0008017B"/>
    <w:rsid w:val="000808C5"/>
    <w:rsid w:val="00080ACD"/>
    <w:rsid w:val="000811ED"/>
    <w:rsid w:val="00081D62"/>
    <w:rsid w:val="00082B74"/>
    <w:rsid w:val="00083099"/>
    <w:rsid w:val="00083452"/>
    <w:rsid w:val="00083EDC"/>
    <w:rsid w:val="000842BE"/>
    <w:rsid w:val="00084B97"/>
    <w:rsid w:val="0008510E"/>
    <w:rsid w:val="000856DE"/>
    <w:rsid w:val="00085F17"/>
    <w:rsid w:val="00085FB0"/>
    <w:rsid w:val="00085FB3"/>
    <w:rsid w:val="0008686B"/>
    <w:rsid w:val="00086B2A"/>
    <w:rsid w:val="00086ED2"/>
    <w:rsid w:val="000904FE"/>
    <w:rsid w:val="000914D6"/>
    <w:rsid w:val="00091569"/>
    <w:rsid w:val="00092CDB"/>
    <w:rsid w:val="00092DCA"/>
    <w:rsid w:val="00093F7A"/>
    <w:rsid w:val="000942EB"/>
    <w:rsid w:val="00095AFB"/>
    <w:rsid w:val="00095B70"/>
    <w:rsid w:val="0009617E"/>
    <w:rsid w:val="0009628D"/>
    <w:rsid w:val="0009670F"/>
    <w:rsid w:val="00097342"/>
    <w:rsid w:val="000979CF"/>
    <w:rsid w:val="00097FCD"/>
    <w:rsid w:val="000A03C8"/>
    <w:rsid w:val="000A05F2"/>
    <w:rsid w:val="000A06C4"/>
    <w:rsid w:val="000A0861"/>
    <w:rsid w:val="000A0ED1"/>
    <w:rsid w:val="000A12DB"/>
    <w:rsid w:val="000A17C8"/>
    <w:rsid w:val="000A1B74"/>
    <w:rsid w:val="000A20D7"/>
    <w:rsid w:val="000A2128"/>
    <w:rsid w:val="000A31AC"/>
    <w:rsid w:val="000A362F"/>
    <w:rsid w:val="000A3B49"/>
    <w:rsid w:val="000A47E6"/>
    <w:rsid w:val="000A52C0"/>
    <w:rsid w:val="000A5AAF"/>
    <w:rsid w:val="000A5F97"/>
    <w:rsid w:val="000A648E"/>
    <w:rsid w:val="000A73BB"/>
    <w:rsid w:val="000A7EF4"/>
    <w:rsid w:val="000B0A15"/>
    <w:rsid w:val="000B103F"/>
    <w:rsid w:val="000B1437"/>
    <w:rsid w:val="000B1470"/>
    <w:rsid w:val="000B244D"/>
    <w:rsid w:val="000B2570"/>
    <w:rsid w:val="000B2B86"/>
    <w:rsid w:val="000B3051"/>
    <w:rsid w:val="000B3267"/>
    <w:rsid w:val="000B419B"/>
    <w:rsid w:val="000B5781"/>
    <w:rsid w:val="000B5CB1"/>
    <w:rsid w:val="000B6D08"/>
    <w:rsid w:val="000C0185"/>
    <w:rsid w:val="000C0F81"/>
    <w:rsid w:val="000C128D"/>
    <w:rsid w:val="000C17A3"/>
    <w:rsid w:val="000C1D4B"/>
    <w:rsid w:val="000C2DC4"/>
    <w:rsid w:val="000C3260"/>
    <w:rsid w:val="000C3B77"/>
    <w:rsid w:val="000C3F6D"/>
    <w:rsid w:val="000C4F49"/>
    <w:rsid w:val="000C5861"/>
    <w:rsid w:val="000C5BDE"/>
    <w:rsid w:val="000C639D"/>
    <w:rsid w:val="000C6946"/>
    <w:rsid w:val="000C6C31"/>
    <w:rsid w:val="000C6DBC"/>
    <w:rsid w:val="000C6F79"/>
    <w:rsid w:val="000C7476"/>
    <w:rsid w:val="000C75A0"/>
    <w:rsid w:val="000C7711"/>
    <w:rsid w:val="000C7AA2"/>
    <w:rsid w:val="000D0462"/>
    <w:rsid w:val="000D053D"/>
    <w:rsid w:val="000D0ED2"/>
    <w:rsid w:val="000D19FA"/>
    <w:rsid w:val="000D1CE1"/>
    <w:rsid w:val="000D1CEB"/>
    <w:rsid w:val="000D2563"/>
    <w:rsid w:val="000D25BF"/>
    <w:rsid w:val="000D3282"/>
    <w:rsid w:val="000D3FDC"/>
    <w:rsid w:val="000D490B"/>
    <w:rsid w:val="000D4E38"/>
    <w:rsid w:val="000D50DB"/>
    <w:rsid w:val="000D5C17"/>
    <w:rsid w:val="000D5EF9"/>
    <w:rsid w:val="000D6288"/>
    <w:rsid w:val="000D7541"/>
    <w:rsid w:val="000D75E1"/>
    <w:rsid w:val="000D79F4"/>
    <w:rsid w:val="000D7DA0"/>
    <w:rsid w:val="000E047D"/>
    <w:rsid w:val="000E07C7"/>
    <w:rsid w:val="000E22CF"/>
    <w:rsid w:val="000E2977"/>
    <w:rsid w:val="000E2BD2"/>
    <w:rsid w:val="000E2CC0"/>
    <w:rsid w:val="000E30AC"/>
    <w:rsid w:val="000E3B46"/>
    <w:rsid w:val="000E3E11"/>
    <w:rsid w:val="000E4596"/>
    <w:rsid w:val="000E5768"/>
    <w:rsid w:val="000E5843"/>
    <w:rsid w:val="000E6139"/>
    <w:rsid w:val="000E6596"/>
    <w:rsid w:val="000E6BE1"/>
    <w:rsid w:val="000E7E0B"/>
    <w:rsid w:val="000F0136"/>
    <w:rsid w:val="000F04BE"/>
    <w:rsid w:val="000F078A"/>
    <w:rsid w:val="000F122D"/>
    <w:rsid w:val="000F1450"/>
    <w:rsid w:val="000F14E8"/>
    <w:rsid w:val="000F1BBD"/>
    <w:rsid w:val="000F20AE"/>
    <w:rsid w:val="000F290F"/>
    <w:rsid w:val="000F4403"/>
    <w:rsid w:val="000F4702"/>
    <w:rsid w:val="000F480B"/>
    <w:rsid w:val="000F4E17"/>
    <w:rsid w:val="000F5D2E"/>
    <w:rsid w:val="000F6578"/>
    <w:rsid w:val="000F7E8F"/>
    <w:rsid w:val="000F7FBB"/>
    <w:rsid w:val="001000FB"/>
    <w:rsid w:val="00100A9E"/>
    <w:rsid w:val="00100DD9"/>
    <w:rsid w:val="00100F6A"/>
    <w:rsid w:val="001021FA"/>
    <w:rsid w:val="00102605"/>
    <w:rsid w:val="00102686"/>
    <w:rsid w:val="00102745"/>
    <w:rsid w:val="00103795"/>
    <w:rsid w:val="00103915"/>
    <w:rsid w:val="00103EA0"/>
    <w:rsid w:val="00104F1C"/>
    <w:rsid w:val="001051E5"/>
    <w:rsid w:val="00105A74"/>
    <w:rsid w:val="00105ACB"/>
    <w:rsid w:val="00105AEF"/>
    <w:rsid w:val="00106259"/>
    <w:rsid w:val="001068EB"/>
    <w:rsid w:val="001078CE"/>
    <w:rsid w:val="00107AAF"/>
    <w:rsid w:val="00107AEA"/>
    <w:rsid w:val="00110F61"/>
    <w:rsid w:val="001111BD"/>
    <w:rsid w:val="0011165A"/>
    <w:rsid w:val="001116C6"/>
    <w:rsid w:val="00111B2B"/>
    <w:rsid w:val="00112774"/>
    <w:rsid w:val="00112B2E"/>
    <w:rsid w:val="00112B7F"/>
    <w:rsid w:val="00113003"/>
    <w:rsid w:val="00113062"/>
    <w:rsid w:val="00113705"/>
    <w:rsid w:val="00113871"/>
    <w:rsid w:val="00113975"/>
    <w:rsid w:val="00113CFC"/>
    <w:rsid w:val="00113FEA"/>
    <w:rsid w:val="00114631"/>
    <w:rsid w:val="00114A22"/>
    <w:rsid w:val="00114E9D"/>
    <w:rsid w:val="0011507B"/>
    <w:rsid w:val="0011627A"/>
    <w:rsid w:val="00116328"/>
    <w:rsid w:val="001163CF"/>
    <w:rsid w:val="001174C9"/>
    <w:rsid w:val="00117E69"/>
    <w:rsid w:val="001204D2"/>
    <w:rsid w:val="00121103"/>
    <w:rsid w:val="001215B2"/>
    <w:rsid w:val="00121BAB"/>
    <w:rsid w:val="00121E3C"/>
    <w:rsid w:val="001221A5"/>
    <w:rsid w:val="00122B23"/>
    <w:rsid w:val="00122B7E"/>
    <w:rsid w:val="00123FB5"/>
    <w:rsid w:val="0012400F"/>
    <w:rsid w:val="001245D6"/>
    <w:rsid w:val="001249DC"/>
    <w:rsid w:val="0012572D"/>
    <w:rsid w:val="00125BED"/>
    <w:rsid w:val="00125C59"/>
    <w:rsid w:val="00125D4F"/>
    <w:rsid w:val="00125DDE"/>
    <w:rsid w:val="00127004"/>
    <w:rsid w:val="00127AF2"/>
    <w:rsid w:val="00127EDC"/>
    <w:rsid w:val="00127F6D"/>
    <w:rsid w:val="00127FF6"/>
    <w:rsid w:val="00130355"/>
    <w:rsid w:val="00130365"/>
    <w:rsid w:val="00130F57"/>
    <w:rsid w:val="00131B5A"/>
    <w:rsid w:val="00132C30"/>
    <w:rsid w:val="00132EFD"/>
    <w:rsid w:val="00133AED"/>
    <w:rsid w:val="00134E09"/>
    <w:rsid w:val="00134E7E"/>
    <w:rsid w:val="00135DB9"/>
    <w:rsid w:val="0013695C"/>
    <w:rsid w:val="00136BF7"/>
    <w:rsid w:val="001378B9"/>
    <w:rsid w:val="00137FFA"/>
    <w:rsid w:val="00140109"/>
    <w:rsid w:val="0014029B"/>
    <w:rsid w:val="00140464"/>
    <w:rsid w:val="00140832"/>
    <w:rsid w:val="00140A4F"/>
    <w:rsid w:val="001413AB"/>
    <w:rsid w:val="00141DBF"/>
    <w:rsid w:val="001427DD"/>
    <w:rsid w:val="00142EFD"/>
    <w:rsid w:val="00142F55"/>
    <w:rsid w:val="00143A58"/>
    <w:rsid w:val="00144335"/>
    <w:rsid w:val="0014502F"/>
    <w:rsid w:val="00145282"/>
    <w:rsid w:val="001453B0"/>
    <w:rsid w:val="001454D9"/>
    <w:rsid w:val="001455F4"/>
    <w:rsid w:val="00145D8E"/>
    <w:rsid w:val="00146083"/>
    <w:rsid w:val="0014620F"/>
    <w:rsid w:val="001462F7"/>
    <w:rsid w:val="00147F35"/>
    <w:rsid w:val="00150005"/>
    <w:rsid w:val="001510FE"/>
    <w:rsid w:val="001513E6"/>
    <w:rsid w:val="001518D7"/>
    <w:rsid w:val="00151AEB"/>
    <w:rsid w:val="00151B99"/>
    <w:rsid w:val="001521B2"/>
    <w:rsid w:val="00152EDD"/>
    <w:rsid w:val="00153491"/>
    <w:rsid w:val="0015361C"/>
    <w:rsid w:val="0015372F"/>
    <w:rsid w:val="00153BFB"/>
    <w:rsid w:val="0015407E"/>
    <w:rsid w:val="0015448E"/>
    <w:rsid w:val="00154493"/>
    <w:rsid w:val="00154A6F"/>
    <w:rsid w:val="00155B63"/>
    <w:rsid w:val="00155C0B"/>
    <w:rsid w:val="00155D08"/>
    <w:rsid w:val="00156BE5"/>
    <w:rsid w:val="00156DC0"/>
    <w:rsid w:val="00157232"/>
    <w:rsid w:val="001578CC"/>
    <w:rsid w:val="00160401"/>
    <w:rsid w:val="00160D4E"/>
    <w:rsid w:val="00160DF9"/>
    <w:rsid w:val="00161CC9"/>
    <w:rsid w:val="00161DDA"/>
    <w:rsid w:val="00161E62"/>
    <w:rsid w:val="00161F1C"/>
    <w:rsid w:val="0016200B"/>
    <w:rsid w:val="00162013"/>
    <w:rsid w:val="0016229A"/>
    <w:rsid w:val="00162A3A"/>
    <w:rsid w:val="001632C2"/>
    <w:rsid w:val="00163D7A"/>
    <w:rsid w:val="00163E3A"/>
    <w:rsid w:val="00164281"/>
    <w:rsid w:val="00165703"/>
    <w:rsid w:val="00166601"/>
    <w:rsid w:val="0016685F"/>
    <w:rsid w:val="0016712F"/>
    <w:rsid w:val="00167503"/>
    <w:rsid w:val="001676A9"/>
    <w:rsid w:val="00167A15"/>
    <w:rsid w:val="00167A50"/>
    <w:rsid w:val="00167DF5"/>
    <w:rsid w:val="00170001"/>
    <w:rsid w:val="00172198"/>
    <w:rsid w:val="00172612"/>
    <w:rsid w:val="00172817"/>
    <w:rsid w:val="00172944"/>
    <w:rsid w:val="001734E3"/>
    <w:rsid w:val="001742BF"/>
    <w:rsid w:val="001757EF"/>
    <w:rsid w:val="00175E49"/>
    <w:rsid w:val="0017649F"/>
    <w:rsid w:val="001764FD"/>
    <w:rsid w:val="0017655D"/>
    <w:rsid w:val="00177DE1"/>
    <w:rsid w:val="001805C1"/>
    <w:rsid w:val="00180A2E"/>
    <w:rsid w:val="001813AF"/>
    <w:rsid w:val="001829CD"/>
    <w:rsid w:val="00182F01"/>
    <w:rsid w:val="00184902"/>
    <w:rsid w:val="00184F27"/>
    <w:rsid w:val="0018519B"/>
    <w:rsid w:val="00185966"/>
    <w:rsid w:val="00185A2D"/>
    <w:rsid w:val="00185AFE"/>
    <w:rsid w:val="00185E78"/>
    <w:rsid w:val="00187061"/>
    <w:rsid w:val="00187177"/>
    <w:rsid w:val="00187ABD"/>
    <w:rsid w:val="00187BE5"/>
    <w:rsid w:val="001904E3"/>
    <w:rsid w:val="0019087A"/>
    <w:rsid w:val="00190DC9"/>
    <w:rsid w:val="00191C5A"/>
    <w:rsid w:val="00191CEB"/>
    <w:rsid w:val="00191E63"/>
    <w:rsid w:val="00192154"/>
    <w:rsid w:val="00192531"/>
    <w:rsid w:val="0019258A"/>
    <w:rsid w:val="00192D68"/>
    <w:rsid w:val="0019388B"/>
    <w:rsid w:val="00193B9A"/>
    <w:rsid w:val="001940ED"/>
    <w:rsid w:val="001946AE"/>
    <w:rsid w:val="001946D5"/>
    <w:rsid w:val="00194804"/>
    <w:rsid w:val="00194E8C"/>
    <w:rsid w:val="001962EC"/>
    <w:rsid w:val="001963DD"/>
    <w:rsid w:val="001965DB"/>
    <w:rsid w:val="00196A28"/>
    <w:rsid w:val="00196D01"/>
    <w:rsid w:val="00196DC9"/>
    <w:rsid w:val="00196E95"/>
    <w:rsid w:val="00197CF9"/>
    <w:rsid w:val="001A0236"/>
    <w:rsid w:val="001A0427"/>
    <w:rsid w:val="001A0930"/>
    <w:rsid w:val="001A0AF8"/>
    <w:rsid w:val="001A18D5"/>
    <w:rsid w:val="001A1A38"/>
    <w:rsid w:val="001A1BE0"/>
    <w:rsid w:val="001A1D4A"/>
    <w:rsid w:val="001A2015"/>
    <w:rsid w:val="001A3011"/>
    <w:rsid w:val="001A4A9B"/>
    <w:rsid w:val="001A4DAF"/>
    <w:rsid w:val="001A54CD"/>
    <w:rsid w:val="001A66DF"/>
    <w:rsid w:val="001A67D0"/>
    <w:rsid w:val="001A6863"/>
    <w:rsid w:val="001A7591"/>
    <w:rsid w:val="001A75B1"/>
    <w:rsid w:val="001A7B06"/>
    <w:rsid w:val="001A7F40"/>
    <w:rsid w:val="001B0366"/>
    <w:rsid w:val="001B0444"/>
    <w:rsid w:val="001B096B"/>
    <w:rsid w:val="001B09A3"/>
    <w:rsid w:val="001B0F9F"/>
    <w:rsid w:val="001B123C"/>
    <w:rsid w:val="001B1A0D"/>
    <w:rsid w:val="001B1BF1"/>
    <w:rsid w:val="001B1C97"/>
    <w:rsid w:val="001B2456"/>
    <w:rsid w:val="001B246B"/>
    <w:rsid w:val="001B255B"/>
    <w:rsid w:val="001B449C"/>
    <w:rsid w:val="001B4AA2"/>
    <w:rsid w:val="001B4ADE"/>
    <w:rsid w:val="001B5EA7"/>
    <w:rsid w:val="001B5EF8"/>
    <w:rsid w:val="001B615D"/>
    <w:rsid w:val="001C07C6"/>
    <w:rsid w:val="001C19CD"/>
    <w:rsid w:val="001C22D5"/>
    <w:rsid w:val="001C2515"/>
    <w:rsid w:val="001C26E1"/>
    <w:rsid w:val="001C26FB"/>
    <w:rsid w:val="001C2BE4"/>
    <w:rsid w:val="001C33C1"/>
    <w:rsid w:val="001C3E30"/>
    <w:rsid w:val="001C3E5C"/>
    <w:rsid w:val="001C5072"/>
    <w:rsid w:val="001C5B2A"/>
    <w:rsid w:val="001C600B"/>
    <w:rsid w:val="001C6898"/>
    <w:rsid w:val="001C6DD8"/>
    <w:rsid w:val="001C6DFF"/>
    <w:rsid w:val="001C7C7B"/>
    <w:rsid w:val="001D068D"/>
    <w:rsid w:val="001D12D1"/>
    <w:rsid w:val="001D15DF"/>
    <w:rsid w:val="001D26A6"/>
    <w:rsid w:val="001D30F3"/>
    <w:rsid w:val="001D31A0"/>
    <w:rsid w:val="001D338E"/>
    <w:rsid w:val="001D3EF9"/>
    <w:rsid w:val="001D4F13"/>
    <w:rsid w:val="001D5436"/>
    <w:rsid w:val="001D56E9"/>
    <w:rsid w:val="001D5922"/>
    <w:rsid w:val="001D5C1F"/>
    <w:rsid w:val="001D5EE1"/>
    <w:rsid w:val="001D796A"/>
    <w:rsid w:val="001D7A84"/>
    <w:rsid w:val="001D7C79"/>
    <w:rsid w:val="001D7E0D"/>
    <w:rsid w:val="001E003B"/>
    <w:rsid w:val="001E12FF"/>
    <w:rsid w:val="001E1CC4"/>
    <w:rsid w:val="001E1D38"/>
    <w:rsid w:val="001E28A0"/>
    <w:rsid w:val="001E2ECF"/>
    <w:rsid w:val="001E34BD"/>
    <w:rsid w:val="001E3F3C"/>
    <w:rsid w:val="001E4258"/>
    <w:rsid w:val="001E44EA"/>
    <w:rsid w:val="001E50BA"/>
    <w:rsid w:val="001E5322"/>
    <w:rsid w:val="001E5AEF"/>
    <w:rsid w:val="001E5D6A"/>
    <w:rsid w:val="001E6A94"/>
    <w:rsid w:val="001E70FB"/>
    <w:rsid w:val="001E780A"/>
    <w:rsid w:val="001F08E8"/>
    <w:rsid w:val="001F0ADD"/>
    <w:rsid w:val="001F0FA0"/>
    <w:rsid w:val="001F1349"/>
    <w:rsid w:val="001F1863"/>
    <w:rsid w:val="001F2356"/>
    <w:rsid w:val="001F2A68"/>
    <w:rsid w:val="001F4773"/>
    <w:rsid w:val="001F5008"/>
    <w:rsid w:val="001F51A9"/>
    <w:rsid w:val="001F56AA"/>
    <w:rsid w:val="001F58AA"/>
    <w:rsid w:val="001F5A4E"/>
    <w:rsid w:val="001F5EF6"/>
    <w:rsid w:val="001F657F"/>
    <w:rsid w:val="001F6FB6"/>
    <w:rsid w:val="001F72BB"/>
    <w:rsid w:val="001F7374"/>
    <w:rsid w:val="001F7978"/>
    <w:rsid w:val="001F7A0E"/>
    <w:rsid w:val="0020022E"/>
    <w:rsid w:val="0020054E"/>
    <w:rsid w:val="00201260"/>
    <w:rsid w:val="00201AC4"/>
    <w:rsid w:val="00201F1E"/>
    <w:rsid w:val="0020299B"/>
    <w:rsid w:val="00202E44"/>
    <w:rsid w:val="002037AA"/>
    <w:rsid w:val="00203FE3"/>
    <w:rsid w:val="002042D8"/>
    <w:rsid w:val="00204515"/>
    <w:rsid w:val="00204BF5"/>
    <w:rsid w:val="00204E6B"/>
    <w:rsid w:val="00204EF3"/>
    <w:rsid w:val="002053EF"/>
    <w:rsid w:val="002058D4"/>
    <w:rsid w:val="00205A47"/>
    <w:rsid w:val="0020632A"/>
    <w:rsid w:val="0020697F"/>
    <w:rsid w:val="002110EB"/>
    <w:rsid w:val="00211338"/>
    <w:rsid w:val="00211388"/>
    <w:rsid w:val="0021148C"/>
    <w:rsid w:val="00211694"/>
    <w:rsid w:val="0021201A"/>
    <w:rsid w:val="002138FE"/>
    <w:rsid w:val="00213A1F"/>
    <w:rsid w:val="00213C63"/>
    <w:rsid w:val="00214502"/>
    <w:rsid w:val="00214741"/>
    <w:rsid w:val="0021539A"/>
    <w:rsid w:val="00215852"/>
    <w:rsid w:val="00215B8E"/>
    <w:rsid w:val="00216264"/>
    <w:rsid w:val="002176B6"/>
    <w:rsid w:val="0021792D"/>
    <w:rsid w:val="00217DB8"/>
    <w:rsid w:val="002202CE"/>
    <w:rsid w:val="0022032A"/>
    <w:rsid w:val="0022194E"/>
    <w:rsid w:val="002220B1"/>
    <w:rsid w:val="002221CE"/>
    <w:rsid w:val="00222BE8"/>
    <w:rsid w:val="00223102"/>
    <w:rsid w:val="002232CB"/>
    <w:rsid w:val="00224022"/>
    <w:rsid w:val="00224A66"/>
    <w:rsid w:val="00226055"/>
    <w:rsid w:val="0022613F"/>
    <w:rsid w:val="00226236"/>
    <w:rsid w:val="002269B2"/>
    <w:rsid w:val="002270C9"/>
    <w:rsid w:val="00227A8B"/>
    <w:rsid w:val="0023146B"/>
    <w:rsid w:val="002315A0"/>
    <w:rsid w:val="0023161C"/>
    <w:rsid w:val="00231748"/>
    <w:rsid w:val="00231EC7"/>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3798D"/>
    <w:rsid w:val="0024019A"/>
    <w:rsid w:val="0024094F"/>
    <w:rsid w:val="00241146"/>
    <w:rsid w:val="0024120F"/>
    <w:rsid w:val="0024131D"/>
    <w:rsid w:val="002415B8"/>
    <w:rsid w:val="00242D62"/>
    <w:rsid w:val="002430BF"/>
    <w:rsid w:val="002430D0"/>
    <w:rsid w:val="002431D7"/>
    <w:rsid w:val="00244058"/>
    <w:rsid w:val="002450AB"/>
    <w:rsid w:val="0024542B"/>
    <w:rsid w:val="00245718"/>
    <w:rsid w:val="00245E07"/>
    <w:rsid w:val="00246AEC"/>
    <w:rsid w:val="00247712"/>
    <w:rsid w:val="00250EC6"/>
    <w:rsid w:val="002515C7"/>
    <w:rsid w:val="00251866"/>
    <w:rsid w:val="00251A9F"/>
    <w:rsid w:val="00252492"/>
    <w:rsid w:val="00252B35"/>
    <w:rsid w:val="002530C9"/>
    <w:rsid w:val="0025316D"/>
    <w:rsid w:val="00253A02"/>
    <w:rsid w:val="00253B81"/>
    <w:rsid w:val="00253E96"/>
    <w:rsid w:val="00253F16"/>
    <w:rsid w:val="002553E3"/>
    <w:rsid w:val="002554DE"/>
    <w:rsid w:val="00255575"/>
    <w:rsid w:val="00255B83"/>
    <w:rsid w:val="00255E11"/>
    <w:rsid w:val="00256835"/>
    <w:rsid w:val="002569F0"/>
    <w:rsid w:val="00256E1A"/>
    <w:rsid w:val="00256ECF"/>
    <w:rsid w:val="00257730"/>
    <w:rsid w:val="00257999"/>
    <w:rsid w:val="00257A3F"/>
    <w:rsid w:val="002604AA"/>
    <w:rsid w:val="00260A30"/>
    <w:rsid w:val="002611A6"/>
    <w:rsid w:val="0026129B"/>
    <w:rsid w:val="00261560"/>
    <w:rsid w:val="00261715"/>
    <w:rsid w:val="00261CF9"/>
    <w:rsid w:val="00261EC0"/>
    <w:rsid w:val="0026231B"/>
    <w:rsid w:val="00263101"/>
    <w:rsid w:val="002631D1"/>
    <w:rsid w:val="00263201"/>
    <w:rsid w:val="00263224"/>
    <w:rsid w:val="002634CA"/>
    <w:rsid w:val="00263A37"/>
    <w:rsid w:val="0026478A"/>
    <w:rsid w:val="0026480D"/>
    <w:rsid w:val="002653A6"/>
    <w:rsid w:val="00265CB9"/>
    <w:rsid w:val="00265D28"/>
    <w:rsid w:val="002661F1"/>
    <w:rsid w:val="00266DB6"/>
    <w:rsid w:val="002670AB"/>
    <w:rsid w:val="00270802"/>
    <w:rsid w:val="002711A4"/>
    <w:rsid w:val="00271ECB"/>
    <w:rsid w:val="00271F13"/>
    <w:rsid w:val="0027278E"/>
    <w:rsid w:val="00272B0F"/>
    <w:rsid w:val="002744D2"/>
    <w:rsid w:val="0027482E"/>
    <w:rsid w:val="00274DB5"/>
    <w:rsid w:val="00275423"/>
    <w:rsid w:val="00275BB1"/>
    <w:rsid w:val="00277933"/>
    <w:rsid w:val="00277F8D"/>
    <w:rsid w:val="00277FA7"/>
    <w:rsid w:val="00280046"/>
    <w:rsid w:val="00280B4F"/>
    <w:rsid w:val="00280F3D"/>
    <w:rsid w:val="0028106A"/>
    <w:rsid w:val="00281EB4"/>
    <w:rsid w:val="00282AF6"/>
    <w:rsid w:val="0028308E"/>
    <w:rsid w:val="002834E9"/>
    <w:rsid w:val="00283975"/>
    <w:rsid w:val="00283A52"/>
    <w:rsid w:val="00283C5E"/>
    <w:rsid w:val="00283DE0"/>
    <w:rsid w:val="00283E26"/>
    <w:rsid w:val="00283FB2"/>
    <w:rsid w:val="0028428F"/>
    <w:rsid w:val="00284372"/>
    <w:rsid w:val="00284CFC"/>
    <w:rsid w:val="00285832"/>
    <w:rsid w:val="00285969"/>
    <w:rsid w:val="0028663B"/>
    <w:rsid w:val="00286CEC"/>
    <w:rsid w:val="002870F9"/>
    <w:rsid w:val="002871A9"/>
    <w:rsid w:val="00287505"/>
    <w:rsid w:val="00287B25"/>
    <w:rsid w:val="00290781"/>
    <w:rsid w:val="00291784"/>
    <w:rsid w:val="002920DF"/>
    <w:rsid w:val="00292647"/>
    <w:rsid w:val="0029273C"/>
    <w:rsid w:val="002929BB"/>
    <w:rsid w:val="00294368"/>
    <w:rsid w:val="00294B78"/>
    <w:rsid w:val="00294FA4"/>
    <w:rsid w:val="002950F5"/>
    <w:rsid w:val="00295264"/>
    <w:rsid w:val="00295416"/>
    <w:rsid w:val="00295949"/>
    <w:rsid w:val="0029624A"/>
    <w:rsid w:val="00296922"/>
    <w:rsid w:val="00297098"/>
    <w:rsid w:val="002A00BF"/>
    <w:rsid w:val="002A05D4"/>
    <w:rsid w:val="002A06DB"/>
    <w:rsid w:val="002A09FF"/>
    <w:rsid w:val="002A0E60"/>
    <w:rsid w:val="002A1683"/>
    <w:rsid w:val="002A1A58"/>
    <w:rsid w:val="002A1B02"/>
    <w:rsid w:val="002A1C53"/>
    <w:rsid w:val="002A244B"/>
    <w:rsid w:val="002A28FC"/>
    <w:rsid w:val="002A2B44"/>
    <w:rsid w:val="002A2EA5"/>
    <w:rsid w:val="002A3D94"/>
    <w:rsid w:val="002A4736"/>
    <w:rsid w:val="002A4A93"/>
    <w:rsid w:val="002A4B1C"/>
    <w:rsid w:val="002A55FE"/>
    <w:rsid w:val="002A6882"/>
    <w:rsid w:val="002A6AFB"/>
    <w:rsid w:val="002A733D"/>
    <w:rsid w:val="002A774A"/>
    <w:rsid w:val="002A78F3"/>
    <w:rsid w:val="002A7E5C"/>
    <w:rsid w:val="002A7F6D"/>
    <w:rsid w:val="002B1342"/>
    <w:rsid w:val="002B17C1"/>
    <w:rsid w:val="002B1F83"/>
    <w:rsid w:val="002B27C8"/>
    <w:rsid w:val="002B2A7F"/>
    <w:rsid w:val="002B3080"/>
    <w:rsid w:val="002B330B"/>
    <w:rsid w:val="002B39BE"/>
    <w:rsid w:val="002B438C"/>
    <w:rsid w:val="002B48DB"/>
    <w:rsid w:val="002B4B34"/>
    <w:rsid w:val="002B541A"/>
    <w:rsid w:val="002B5EAB"/>
    <w:rsid w:val="002B6407"/>
    <w:rsid w:val="002B6416"/>
    <w:rsid w:val="002B6459"/>
    <w:rsid w:val="002B7014"/>
    <w:rsid w:val="002B717A"/>
    <w:rsid w:val="002B73B0"/>
    <w:rsid w:val="002C24B4"/>
    <w:rsid w:val="002C2B3A"/>
    <w:rsid w:val="002C2B87"/>
    <w:rsid w:val="002C2D41"/>
    <w:rsid w:val="002C3CF4"/>
    <w:rsid w:val="002C441A"/>
    <w:rsid w:val="002C4A73"/>
    <w:rsid w:val="002C4B84"/>
    <w:rsid w:val="002C4C0C"/>
    <w:rsid w:val="002C5016"/>
    <w:rsid w:val="002C5C2F"/>
    <w:rsid w:val="002C5D0F"/>
    <w:rsid w:val="002C60B9"/>
    <w:rsid w:val="002C6F77"/>
    <w:rsid w:val="002C704D"/>
    <w:rsid w:val="002D0845"/>
    <w:rsid w:val="002D0933"/>
    <w:rsid w:val="002D0CE3"/>
    <w:rsid w:val="002D19BB"/>
    <w:rsid w:val="002D1A9B"/>
    <w:rsid w:val="002D20F8"/>
    <w:rsid w:val="002D22BD"/>
    <w:rsid w:val="002D22C5"/>
    <w:rsid w:val="002D302A"/>
    <w:rsid w:val="002D3552"/>
    <w:rsid w:val="002D36C6"/>
    <w:rsid w:val="002D37C1"/>
    <w:rsid w:val="002D3822"/>
    <w:rsid w:val="002D3973"/>
    <w:rsid w:val="002D444B"/>
    <w:rsid w:val="002D4A45"/>
    <w:rsid w:val="002D4B42"/>
    <w:rsid w:val="002D4B43"/>
    <w:rsid w:val="002D5A10"/>
    <w:rsid w:val="002D5A1B"/>
    <w:rsid w:val="002D6413"/>
    <w:rsid w:val="002D65BC"/>
    <w:rsid w:val="002D6A45"/>
    <w:rsid w:val="002E055C"/>
    <w:rsid w:val="002E0774"/>
    <w:rsid w:val="002E1050"/>
    <w:rsid w:val="002E107E"/>
    <w:rsid w:val="002E18E5"/>
    <w:rsid w:val="002E1953"/>
    <w:rsid w:val="002E1E30"/>
    <w:rsid w:val="002E2CB5"/>
    <w:rsid w:val="002E2D7D"/>
    <w:rsid w:val="002E32D0"/>
    <w:rsid w:val="002E372E"/>
    <w:rsid w:val="002E3D76"/>
    <w:rsid w:val="002E40A1"/>
    <w:rsid w:val="002E48EC"/>
    <w:rsid w:val="002E4B44"/>
    <w:rsid w:val="002E4ECB"/>
    <w:rsid w:val="002E4F23"/>
    <w:rsid w:val="002E5CF0"/>
    <w:rsid w:val="002E635A"/>
    <w:rsid w:val="002E6D68"/>
    <w:rsid w:val="002E7405"/>
    <w:rsid w:val="002E7847"/>
    <w:rsid w:val="002E7F03"/>
    <w:rsid w:val="002F0073"/>
    <w:rsid w:val="002F1C67"/>
    <w:rsid w:val="002F240B"/>
    <w:rsid w:val="002F26B7"/>
    <w:rsid w:val="002F29EF"/>
    <w:rsid w:val="002F2F50"/>
    <w:rsid w:val="002F33EC"/>
    <w:rsid w:val="002F34E3"/>
    <w:rsid w:val="002F3601"/>
    <w:rsid w:val="002F45F6"/>
    <w:rsid w:val="002F4B0A"/>
    <w:rsid w:val="002F5143"/>
    <w:rsid w:val="002F5A6F"/>
    <w:rsid w:val="002F692F"/>
    <w:rsid w:val="002F6B0D"/>
    <w:rsid w:val="002F7B66"/>
    <w:rsid w:val="00300277"/>
    <w:rsid w:val="00300CB4"/>
    <w:rsid w:val="00300E24"/>
    <w:rsid w:val="00302FFB"/>
    <w:rsid w:val="003033BA"/>
    <w:rsid w:val="00303C19"/>
    <w:rsid w:val="003043A3"/>
    <w:rsid w:val="00304BD4"/>
    <w:rsid w:val="00304EB3"/>
    <w:rsid w:val="0030500A"/>
    <w:rsid w:val="003052EB"/>
    <w:rsid w:val="00305FCB"/>
    <w:rsid w:val="00306334"/>
    <w:rsid w:val="003063C3"/>
    <w:rsid w:val="003063F2"/>
    <w:rsid w:val="003069DC"/>
    <w:rsid w:val="00306B44"/>
    <w:rsid w:val="00306F83"/>
    <w:rsid w:val="00307BE8"/>
    <w:rsid w:val="00307C44"/>
    <w:rsid w:val="0031088E"/>
    <w:rsid w:val="00310A40"/>
    <w:rsid w:val="00310D01"/>
    <w:rsid w:val="00311376"/>
    <w:rsid w:val="00311A1F"/>
    <w:rsid w:val="00311B47"/>
    <w:rsid w:val="00311D52"/>
    <w:rsid w:val="00312015"/>
    <w:rsid w:val="00312190"/>
    <w:rsid w:val="003125E0"/>
    <w:rsid w:val="0031271D"/>
    <w:rsid w:val="003129FB"/>
    <w:rsid w:val="003132BB"/>
    <w:rsid w:val="00313337"/>
    <w:rsid w:val="00313447"/>
    <w:rsid w:val="00313737"/>
    <w:rsid w:val="00313748"/>
    <w:rsid w:val="00313EA3"/>
    <w:rsid w:val="00315365"/>
    <w:rsid w:val="00315457"/>
    <w:rsid w:val="003161A4"/>
    <w:rsid w:val="00316955"/>
    <w:rsid w:val="0031720A"/>
    <w:rsid w:val="0031749B"/>
    <w:rsid w:val="003174E5"/>
    <w:rsid w:val="00317C9D"/>
    <w:rsid w:val="00317CD2"/>
    <w:rsid w:val="00317D99"/>
    <w:rsid w:val="003200CF"/>
    <w:rsid w:val="0032078D"/>
    <w:rsid w:val="00320ADF"/>
    <w:rsid w:val="0032137B"/>
    <w:rsid w:val="00321BD6"/>
    <w:rsid w:val="00321FA3"/>
    <w:rsid w:val="003227D3"/>
    <w:rsid w:val="00322937"/>
    <w:rsid w:val="003230C1"/>
    <w:rsid w:val="00323881"/>
    <w:rsid w:val="00323AEC"/>
    <w:rsid w:val="003247ED"/>
    <w:rsid w:val="003251A8"/>
    <w:rsid w:val="003254B1"/>
    <w:rsid w:val="00325D98"/>
    <w:rsid w:val="0032682A"/>
    <w:rsid w:val="00327A5C"/>
    <w:rsid w:val="00327E5E"/>
    <w:rsid w:val="0033092C"/>
    <w:rsid w:val="0033122A"/>
    <w:rsid w:val="003315AC"/>
    <w:rsid w:val="00331932"/>
    <w:rsid w:val="00332382"/>
    <w:rsid w:val="00332453"/>
    <w:rsid w:val="0033251B"/>
    <w:rsid w:val="00332F8C"/>
    <w:rsid w:val="00332FCC"/>
    <w:rsid w:val="00333196"/>
    <w:rsid w:val="00333A88"/>
    <w:rsid w:val="00335B15"/>
    <w:rsid w:val="00335B21"/>
    <w:rsid w:val="00335D3F"/>
    <w:rsid w:val="00336104"/>
    <w:rsid w:val="00336729"/>
    <w:rsid w:val="0033726D"/>
    <w:rsid w:val="00337CA8"/>
    <w:rsid w:val="00340D3F"/>
    <w:rsid w:val="00341177"/>
    <w:rsid w:val="0034174B"/>
    <w:rsid w:val="0034177C"/>
    <w:rsid w:val="003420E9"/>
    <w:rsid w:val="00342345"/>
    <w:rsid w:val="0034274A"/>
    <w:rsid w:val="00342C27"/>
    <w:rsid w:val="00342E63"/>
    <w:rsid w:val="003430C8"/>
    <w:rsid w:val="003432C8"/>
    <w:rsid w:val="003434B3"/>
    <w:rsid w:val="00343536"/>
    <w:rsid w:val="00343EFB"/>
    <w:rsid w:val="00344760"/>
    <w:rsid w:val="003454E8"/>
    <w:rsid w:val="00345574"/>
    <w:rsid w:val="0034680A"/>
    <w:rsid w:val="00346C62"/>
    <w:rsid w:val="00347202"/>
    <w:rsid w:val="0034778E"/>
    <w:rsid w:val="00347A5A"/>
    <w:rsid w:val="003501E2"/>
    <w:rsid w:val="00350264"/>
    <w:rsid w:val="00351E10"/>
    <w:rsid w:val="003533F4"/>
    <w:rsid w:val="003536F6"/>
    <w:rsid w:val="0035391B"/>
    <w:rsid w:val="00353DD5"/>
    <w:rsid w:val="00353F16"/>
    <w:rsid w:val="00355131"/>
    <w:rsid w:val="00355C52"/>
    <w:rsid w:val="00355F74"/>
    <w:rsid w:val="003560DB"/>
    <w:rsid w:val="00356379"/>
    <w:rsid w:val="003564DB"/>
    <w:rsid w:val="00356818"/>
    <w:rsid w:val="00356F87"/>
    <w:rsid w:val="00360CF3"/>
    <w:rsid w:val="00361A59"/>
    <w:rsid w:val="00362195"/>
    <w:rsid w:val="00363348"/>
    <w:rsid w:val="00363857"/>
    <w:rsid w:val="00363D59"/>
    <w:rsid w:val="003640F7"/>
    <w:rsid w:val="00365993"/>
    <w:rsid w:val="00365D3A"/>
    <w:rsid w:val="00366314"/>
    <w:rsid w:val="003664FF"/>
    <w:rsid w:val="00366BD2"/>
    <w:rsid w:val="003670B8"/>
    <w:rsid w:val="00367166"/>
    <w:rsid w:val="00367519"/>
    <w:rsid w:val="003675F6"/>
    <w:rsid w:val="003704A3"/>
    <w:rsid w:val="003706F2"/>
    <w:rsid w:val="0037124F"/>
    <w:rsid w:val="0037202F"/>
    <w:rsid w:val="003722B3"/>
    <w:rsid w:val="003731A5"/>
    <w:rsid w:val="00373827"/>
    <w:rsid w:val="0037401C"/>
    <w:rsid w:val="00374D49"/>
    <w:rsid w:val="0037507B"/>
    <w:rsid w:val="00375A2D"/>
    <w:rsid w:val="00375C7C"/>
    <w:rsid w:val="00377027"/>
    <w:rsid w:val="00377135"/>
    <w:rsid w:val="00380272"/>
    <w:rsid w:val="003805DB"/>
    <w:rsid w:val="003811F4"/>
    <w:rsid w:val="0038152A"/>
    <w:rsid w:val="00382BAD"/>
    <w:rsid w:val="00382F03"/>
    <w:rsid w:val="003835FD"/>
    <w:rsid w:val="003839A5"/>
    <w:rsid w:val="003841EC"/>
    <w:rsid w:val="003847D1"/>
    <w:rsid w:val="00384DF1"/>
    <w:rsid w:val="00384FF3"/>
    <w:rsid w:val="0038512F"/>
    <w:rsid w:val="00385BC4"/>
    <w:rsid w:val="00386456"/>
    <w:rsid w:val="003865A9"/>
    <w:rsid w:val="00386AC3"/>
    <w:rsid w:val="003901EF"/>
    <w:rsid w:val="00390723"/>
    <w:rsid w:val="0039092B"/>
    <w:rsid w:val="00390DB1"/>
    <w:rsid w:val="00390F32"/>
    <w:rsid w:val="0039135E"/>
    <w:rsid w:val="0039319C"/>
    <w:rsid w:val="00393577"/>
    <w:rsid w:val="00393CAE"/>
    <w:rsid w:val="003945F4"/>
    <w:rsid w:val="00394849"/>
    <w:rsid w:val="00394EB5"/>
    <w:rsid w:val="00394F19"/>
    <w:rsid w:val="003953B4"/>
    <w:rsid w:val="0039615F"/>
    <w:rsid w:val="003966A0"/>
    <w:rsid w:val="00396A29"/>
    <w:rsid w:val="00397FF0"/>
    <w:rsid w:val="003A0878"/>
    <w:rsid w:val="003A1199"/>
    <w:rsid w:val="003A1561"/>
    <w:rsid w:val="003A1D25"/>
    <w:rsid w:val="003A22A2"/>
    <w:rsid w:val="003A2447"/>
    <w:rsid w:val="003A2AA1"/>
    <w:rsid w:val="003A31A5"/>
    <w:rsid w:val="003A329A"/>
    <w:rsid w:val="003A3603"/>
    <w:rsid w:val="003A3851"/>
    <w:rsid w:val="003A39DD"/>
    <w:rsid w:val="003A4199"/>
    <w:rsid w:val="003A4A8E"/>
    <w:rsid w:val="003A563C"/>
    <w:rsid w:val="003A581E"/>
    <w:rsid w:val="003A6160"/>
    <w:rsid w:val="003A64E7"/>
    <w:rsid w:val="003A65A5"/>
    <w:rsid w:val="003A7099"/>
    <w:rsid w:val="003A72F5"/>
    <w:rsid w:val="003A73EE"/>
    <w:rsid w:val="003A78E5"/>
    <w:rsid w:val="003B0341"/>
    <w:rsid w:val="003B11E7"/>
    <w:rsid w:val="003B1E57"/>
    <w:rsid w:val="003B29D4"/>
    <w:rsid w:val="003B2B6C"/>
    <w:rsid w:val="003B2EF3"/>
    <w:rsid w:val="003B428D"/>
    <w:rsid w:val="003B4A4D"/>
    <w:rsid w:val="003B534F"/>
    <w:rsid w:val="003B5391"/>
    <w:rsid w:val="003B58CE"/>
    <w:rsid w:val="003B65D7"/>
    <w:rsid w:val="003B65E0"/>
    <w:rsid w:val="003B6648"/>
    <w:rsid w:val="003B6BD4"/>
    <w:rsid w:val="003B6F4D"/>
    <w:rsid w:val="003B6FE7"/>
    <w:rsid w:val="003B731B"/>
    <w:rsid w:val="003B737D"/>
    <w:rsid w:val="003C0D1F"/>
    <w:rsid w:val="003C116A"/>
    <w:rsid w:val="003C1AF4"/>
    <w:rsid w:val="003C1C9C"/>
    <w:rsid w:val="003C1CB8"/>
    <w:rsid w:val="003C22DA"/>
    <w:rsid w:val="003C2550"/>
    <w:rsid w:val="003C287F"/>
    <w:rsid w:val="003C3339"/>
    <w:rsid w:val="003C375A"/>
    <w:rsid w:val="003C3E32"/>
    <w:rsid w:val="003C4D9F"/>
    <w:rsid w:val="003C5247"/>
    <w:rsid w:val="003C532C"/>
    <w:rsid w:val="003C622C"/>
    <w:rsid w:val="003C626E"/>
    <w:rsid w:val="003C64C7"/>
    <w:rsid w:val="003C6505"/>
    <w:rsid w:val="003C73C7"/>
    <w:rsid w:val="003C7CFB"/>
    <w:rsid w:val="003C7FE4"/>
    <w:rsid w:val="003D050B"/>
    <w:rsid w:val="003D0B98"/>
    <w:rsid w:val="003D0C38"/>
    <w:rsid w:val="003D0C3C"/>
    <w:rsid w:val="003D0DE5"/>
    <w:rsid w:val="003D1351"/>
    <w:rsid w:val="003D21C1"/>
    <w:rsid w:val="003D3B15"/>
    <w:rsid w:val="003D3B2E"/>
    <w:rsid w:val="003D4101"/>
    <w:rsid w:val="003D484D"/>
    <w:rsid w:val="003D49CB"/>
    <w:rsid w:val="003D6B8F"/>
    <w:rsid w:val="003D7566"/>
    <w:rsid w:val="003D7FB3"/>
    <w:rsid w:val="003E012C"/>
    <w:rsid w:val="003E0224"/>
    <w:rsid w:val="003E09BB"/>
    <w:rsid w:val="003E159D"/>
    <w:rsid w:val="003E20EA"/>
    <w:rsid w:val="003E210C"/>
    <w:rsid w:val="003E2F55"/>
    <w:rsid w:val="003E3239"/>
    <w:rsid w:val="003E34DB"/>
    <w:rsid w:val="003E34F8"/>
    <w:rsid w:val="003E3833"/>
    <w:rsid w:val="003E3AF9"/>
    <w:rsid w:val="003E4170"/>
    <w:rsid w:val="003E4A70"/>
    <w:rsid w:val="003E4C48"/>
    <w:rsid w:val="003E4CD9"/>
    <w:rsid w:val="003E52C2"/>
    <w:rsid w:val="003E54B3"/>
    <w:rsid w:val="003E5780"/>
    <w:rsid w:val="003E5B9F"/>
    <w:rsid w:val="003E6072"/>
    <w:rsid w:val="003E60CA"/>
    <w:rsid w:val="003E6773"/>
    <w:rsid w:val="003E6AB6"/>
    <w:rsid w:val="003E6E0B"/>
    <w:rsid w:val="003E71CD"/>
    <w:rsid w:val="003E72F0"/>
    <w:rsid w:val="003E7860"/>
    <w:rsid w:val="003E78DA"/>
    <w:rsid w:val="003E7A8B"/>
    <w:rsid w:val="003F0506"/>
    <w:rsid w:val="003F060E"/>
    <w:rsid w:val="003F0F7F"/>
    <w:rsid w:val="003F115C"/>
    <w:rsid w:val="003F155A"/>
    <w:rsid w:val="003F16E9"/>
    <w:rsid w:val="003F2A95"/>
    <w:rsid w:val="003F300D"/>
    <w:rsid w:val="003F391F"/>
    <w:rsid w:val="003F4599"/>
    <w:rsid w:val="003F45E1"/>
    <w:rsid w:val="003F4F6C"/>
    <w:rsid w:val="003F559E"/>
    <w:rsid w:val="003F6181"/>
    <w:rsid w:val="003F6BFC"/>
    <w:rsid w:val="003F7343"/>
    <w:rsid w:val="00400002"/>
    <w:rsid w:val="00400054"/>
    <w:rsid w:val="0040050F"/>
    <w:rsid w:val="004006E8"/>
    <w:rsid w:val="004012E8"/>
    <w:rsid w:val="00401491"/>
    <w:rsid w:val="004016A3"/>
    <w:rsid w:val="00401B31"/>
    <w:rsid w:val="0040202B"/>
    <w:rsid w:val="0040279A"/>
    <w:rsid w:val="00402DE1"/>
    <w:rsid w:val="00402EEB"/>
    <w:rsid w:val="004037C2"/>
    <w:rsid w:val="00403F24"/>
    <w:rsid w:val="00404041"/>
    <w:rsid w:val="004047DF"/>
    <w:rsid w:val="00404B43"/>
    <w:rsid w:val="00404C61"/>
    <w:rsid w:val="00405487"/>
    <w:rsid w:val="00405B8A"/>
    <w:rsid w:val="0040602B"/>
    <w:rsid w:val="00406DF5"/>
    <w:rsid w:val="00406F35"/>
    <w:rsid w:val="00407A7A"/>
    <w:rsid w:val="00407ABC"/>
    <w:rsid w:val="00407F1E"/>
    <w:rsid w:val="004107C1"/>
    <w:rsid w:val="00410A88"/>
    <w:rsid w:val="00411317"/>
    <w:rsid w:val="00411692"/>
    <w:rsid w:val="00411A9E"/>
    <w:rsid w:val="00411D33"/>
    <w:rsid w:val="0041259F"/>
    <w:rsid w:val="00412B4D"/>
    <w:rsid w:val="00412C51"/>
    <w:rsid w:val="00413262"/>
    <w:rsid w:val="0041329C"/>
    <w:rsid w:val="00413920"/>
    <w:rsid w:val="004139F4"/>
    <w:rsid w:val="00413DF0"/>
    <w:rsid w:val="00413FFA"/>
    <w:rsid w:val="00414229"/>
    <w:rsid w:val="00414246"/>
    <w:rsid w:val="00414D9A"/>
    <w:rsid w:val="00415194"/>
    <w:rsid w:val="00415816"/>
    <w:rsid w:val="00415B88"/>
    <w:rsid w:val="00415D32"/>
    <w:rsid w:val="004160A2"/>
    <w:rsid w:val="004170D7"/>
    <w:rsid w:val="004177A6"/>
    <w:rsid w:val="00417C23"/>
    <w:rsid w:val="00417EFD"/>
    <w:rsid w:val="004200EE"/>
    <w:rsid w:val="004209D2"/>
    <w:rsid w:val="00420D6E"/>
    <w:rsid w:val="004213EA"/>
    <w:rsid w:val="0042158C"/>
    <w:rsid w:val="00421BD2"/>
    <w:rsid w:val="00421E00"/>
    <w:rsid w:val="00421FCB"/>
    <w:rsid w:val="00422180"/>
    <w:rsid w:val="00422DCA"/>
    <w:rsid w:val="00423562"/>
    <w:rsid w:val="004236BF"/>
    <w:rsid w:val="00423B86"/>
    <w:rsid w:val="00423F9F"/>
    <w:rsid w:val="00424166"/>
    <w:rsid w:val="00425C43"/>
    <w:rsid w:val="004273FA"/>
    <w:rsid w:val="004275A7"/>
    <w:rsid w:val="00427BB5"/>
    <w:rsid w:val="00430186"/>
    <w:rsid w:val="00430682"/>
    <w:rsid w:val="00431017"/>
    <w:rsid w:val="00431C0B"/>
    <w:rsid w:val="0043269A"/>
    <w:rsid w:val="004333C2"/>
    <w:rsid w:val="00434787"/>
    <w:rsid w:val="00434C13"/>
    <w:rsid w:val="004351CF"/>
    <w:rsid w:val="00435703"/>
    <w:rsid w:val="00435BD5"/>
    <w:rsid w:val="00436323"/>
    <w:rsid w:val="004363D3"/>
    <w:rsid w:val="00436674"/>
    <w:rsid w:val="0043683F"/>
    <w:rsid w:val="00436B73"/>
    <w:rsid w:val="00436F40"/>
    <w:rsid w:val="004370FA"/>
    <w:rsid w:val="004377CF"/>
    <w:rsid w:val="00440096"/>
    <w:rsid w:val="004403DD"/>
    <w:rsid w:val="00440CF3"/>
    <w:rsid w:val="00440DB0"/>
    <w:rsid w:val="00440DDC"/>
    <w:rsid w:val="00440FAD"/>
    <w:rsid w:val="00441291"/>
    <w:rsid w:val="00441E04"/>
    <w:rsid w:val="004420AB"/>
    <w:rsid w:val="004422D6"/>
    <w:rsid w:val="004427AC"/>
    <w:rsid w:val="00442C7D"/>
    <w:rsid w:val="00442D4D"/>
    <w:rsid w:val="0044374D"/>
    <w:rsid w:val="0044391F"/>
    <w:rsid w:val="00443B55"/>
    <w:rsid w:val="00443D27"/>
    <w:rsid w:val="00443ED2"/>
    <w:rsid w:val="00444D13"/>
    <w:rsid w:val="0044500B"/>
    <w:rsid w:val="00446037"/>
    <w:rsid w:val="00446268"/>
    <w:rsid w:val="004462D7"/>
    <w:rsid w:val="0044642F"/>
    <w:rsid w:val="0044772C"/>
    <w:rsid w:val="00447D53"/>
    <w:rsid w:val="00450846"/>
    <w:rsid w:val="00451A52"/>
    <w:rsid w:val="0045271D"/>
    <w:rsid w:val="00452755"/>
    <w:rsid w:val="00452803"/>
    <w:rsid w:val="004529C6"/>
    <w:rsid w:val="00452BA5"/>
    <w:rsid w:val="00452EAD"/>
    <w:rsid w:val="004533D1"/>
    <w:rsid w:val="004534D1"/>
    <w:rsid w:val="00454548"/>
    <w:rsid w:val="00454717"/>
    <w:rsid w:val="00454E77"/>
    <w:rsid w:val="00455004"/>
    <w:rsid w:val="00455047"/>
    <w:rsid w:val="00455354"/>
    <w:rsid w:val="0045558D"/>
    <w:rsid w:val="00455B70"/>
    <w:rsid w:val="00455BD3"/>
    <w:rsid w:val="00456970"/>
    <w:rsid w:val="00456BB1"/>
    <w:rsid w:val="00456CD4"/>
    <w:rsid w:val="00456DDB"/>
    <w:rsid w:val="00457031"/>
    <w:rsid w:val="00457069"/>
    <w:rsid w:val="00460915"/>
    <w:rsid w:val="00460946"/>
    <w:rsid w:val="00460BF1"/>
    <w:rsid w:val="00460CCD"/>
    <w:rsid w:val="004614A9"/>
    <w:rsid w:val="00461E97"/>
    <w:rsid w:val="0046268F"/>
    <w:rsid w:val="0046284F"/>
    <w:rsid w:val="00462B10"/>
    <w:rsid w:val="00462C04"/>
    <w:rsid w:val="0046320A"/>
    <w:rsid w:val="004632E2"/>
    <w:rsid w:val="00463473"/>
    <w:rsid w:val="004638E2"/>
    <w:rsid w:val="00464030"/>
    <w:rsid w:val="004647F8"/>
    <w:rsid w:val="004647FB"/>
    <w:rsid w:val="00465347"/>
    <w:rsid w:val="00465677"/>
    <w:rsid w:val="00466616"/>
    <w:rsid w:val="00466A0C"/>
    <w:rsid w:val="00466A53"/>
    <w:rsid w:val="004673A8"/>
    <w:rsid w:val="0046753A"/>
    <w:rsid w:val="004676A4"/>
    <w:rsid w:val="00467D4E"/>
    <w:rsid w:val="0047098A"/>
    <w:rsid w:val="00470A6A"/>
    <w:rsid w:val="00470B52"/>
    <w:rsid w:val="00470D73"/>
    <w:rsid w:val="00470D92"/>
    <w:rsid w:val="00471DF7"/>
    <w:rsid w:val="004734CF"/>
    <w:rsid w:val="004737EA"/>
    <w:rsid w:val="0047439E"/>
    <w:rsid w:val="00475023"/>
    <w:rsid w:val="00475C5A"/>
    <w:rsid w:val="00475C9C"/>
    <w:rsid w:val="0047676B"/>
    <w:rsid w:val="0047773C"/>
    <w:rsid w:val="00477C5F"/>
    <w:rsid w:val="00480050"/>
    <w:rsid w:val="0048011C"/>
    <w:rsid w:val="004808DE"/>
    <w:rsid w:val="00481AC4"/>
    <w:rsid w:val="00481DC1"/>
    <w:rsid w:val="00482507"/>
    <w:rsid w:val="0048268A"/>
    <w:rsid w:val="004835CA"/>
    <w:rsid w:val="004836F8"/>
    <w:rsid w:val="004836FE"/>
    <w:rsid w:val="00484F0F"/>
    <w:rsid w:val="00484F40"/>
    <w:rsid w:val="0048540C"/>
    <w:rsid w:val="004861B4"/>
    <w:rsid w:val="004867CC"/>
    <w:rsid w:val="004868DD"/>
    <w:rsid w:val="00486BD0"/>
    <w:rsid w:val="00486D00"/>
    <w:rsid w:val="00487263"/>
    <w:rsid w:val="0048734F"/>
    <w:rsid w:val="0049029D"/>
    <w:rsid w:val="0049030C"/>
    <w:rsid w:val="004903C0"/>
    <w:rsid w:val="0049114B"/>
    <w:rsid w:val="004912A8"/>
    <w:rsid w:val="00491577"/>
    <w:rsid w:val="0049196A"/>
    <w:rsid w:val="0049196E"/>
    <w:rsid w:val="00491B54"/>
    <w:rsid w:val="0049241A"/>
    <w:rsid w:val="00492C1F"/>
    <w:rsid w:val="00492E4C"/>
    <w:rsid w:val="00492FD6"/>
    <w:rsid w:val="00493664"/>
    <w:rsid w:val="00493961"/>
    <w:rsid w:val="00493E04"/>
    <w:rsid w:val="004940E3"/>
    <w:rsid w:val="0049530F"/>
    <w:rsid w:val="004957D0"/>
    <w:rsid w:val="00496664"/>
    <w:rsid w:val="00496786"/>
    <w:rsid w:val="0049695B"/>
    <w:rsid w:val="00496B9C"/>
    <w:rsid w:val="00496D8F"/>
    <w:rsid w:val="00497463"/>
    <w:rsid w:val="004A054C"/>
    <w:rsid w:val="004A070C"/>
    <w:rsid w:val="004A08D1"/>
    <w:rsid w:val="004A16C1"/>
    <w:rsid w:val="004A1CE2"/>
    <w:rsid w:val="004A34D2"/>
    <w:rsid w:val="004A4301"/>
    <w:rsid w:val="004A48D9"/>
    <w:rsid w:val="004A4D93"/>
    <w:rsid w:val="004A58EE"/>
    <w:rsid w:val="004A59B7"/>
    <w:rsid w:val="004A6051"/>
    <w:rsid w:val="004A623B"/>
    <w:rsid w:val="004A6A04"/>
    <w:rsid w:val="004A6A52"/>
    <w:rsid w:val="004A6DBE"/>
    <w:rsid w:val="004A7DFA"/>
    <w:rsid w:val="004B086E"/>
    <w:rsid w:val="004B0A44"/>
    <w:rsid w:val="004B0F0B"/>
    <w:rsid w:val="004B199D"/>
    <w:rsid w:val="004B2197"/>
    <w:rsid w:val="004B298A"/>
    <w:rsid w:val="004B34C4"/>
    <w:rsid w:val="004B47B4"/>
    <w:rsid w:val="004B50CB"/>
    <w:rsid w:val="004B578D"/>
    <w:rsid w:val="004B5BE7"/>
    <w:rsid w:val="004B5E2D"/>
    <w:rsid w:val="004B66CD"/>
    <w:rsid w:val="004B6C07"/>
    <w:rsid w:val="004B74D3"/>
    <w:rsid w:val="004B788E"/>
    <w:rsid w:val="004B7E5D"/>
    <w:rsid w:val="004C09B7"/>
    <w:rsid w:val="004C13B3"/>
    <w:rsid w:val="004C2180"/>
    <w:rsid w:val="004C22F7"/>
    <w:rsid w:val="004C230E"/>
    <w:rsid w:val="004C2B27"/>
    <w:rsid w:val="004C3219"/>
    <w:rsid w:val="004C3929"/>
    <w:rsid w:val="004C5212"/>
    <w:rsid w:val="004C580A"/>
    <w:rsid w:val="004C5EF0"/>
    <w:rsid w:val="004C64C9"/>
    <w:rsid w:val="004C7226"/>
    <w:rsid w:val="004C74C9"/>
    <w:rsid w:val="004C778B"/>
    <w:rsid w:val="004C7915"/>
    <w:rsid w:val="004C7D70"/>
    <w:rsid w:val="004C7DA2"/>
    <w:rsid w:val="004D02F9"/>
    <w:rsid w:val="004D03FE"/>
    <w:rsid w:val="004D0446"/>
    <w:rsid w:val="004D06A3"/>
    <w:rsid w:val="004D0F95"/>
    <w:rsid w:val="004D106A"/>
    <w:rsid w:val="004D1335"/>
    <w:rsid w:val="004D1C7E"/>
    <w:rsid w:val="004D245A"/>
    <w:rsid w:val="004D2E95"/>
    <w:rsid w:val="004D31EE"/>
    <w:rsid w:val="004D36AF"/>
    <w:rsid w:val="004D3BD1"/>
    <w:rsid w:val="004D3D6C"/>
    <w:rsid w:val="004D4BA1"/>
    <w:rsid w:val="004D4EC1"/>
    <w:rsid w:val="004D584D"/>
    <w:rsid w:val="004D5A7E"/>
    <w:rsid w:val="004D5CD1"/>
    <w:rsid w:val="004D6120"/>
    <w:rsid w:val="004D6826"/>
    <w:rsid w:val="004D6D7F"/>
    <w:rsid w:val="004E023F"/>
    <w:rsid w:val="004E0546"/>
    <w:rsid w:val="004E0742"/>
    <w:rsid w:val="004E0C64"/>
    <w:rsid w:val="004E0F6B"/>
    <w:rsid w:val="004E1545"/>
    <w:rsid w:val="004E1F1C"/>
    <w:rsid w:val="004E2A35"/>
    <w:rsid w:val="004E40CE"/>
    <w:rsid w:val="004E5736"/>
    <w:rsid w:val="004E5A3C"/>
    <w:rsid w:val="004E5B36"/>
    <w:rsid w:val="004E5D5D"/>
    <w:rsid w:val="004E6045"/>
    <w:rsid w:val="004E6F43"/>
    <w:rsid w:val="004E7200"/>
    <w:rsid w:val="004E787E"/>
    <w:rsid w:val="004E7F77"/>
    <w:rsid w:val="004F0960"/>
    <w:rsid w:val="004F0A5C"/>
    <w:rsid w:val="004F163F"/>
    <w:rsid w:val="004F18A0"/>
    <w:rsid w:val="004F1A08"/>
    <w:rsid w:val="004F2B64"/>
    <w:rsid w:val="004F31B8"/>
    <w:rsid w:val="004F375E"/>
    <w:rsid w:val="004F3764"/>
    <w:rsid w:val="004F3C90"/>
    <w:rsid w:val="004F3DB4"/>
    <w:rsid w:val="004F3EEF"/>
    <w:rsid w:val="004F5180"/>
    <w:rsid w:val="004F53D6"/>
    <w:rsid w:val="004F57C9"/>
    <w:rsid w:val="004F5930"/>
    <w:rsid w:val="004F5970"/>
    <w:rsid w:val="004F5F0C"/>
    <w:rsid w:val="004F5F46"/>
    <w:rsid w:val="004F6121"/>
    <w:rsid w:val="004F6161"/>
    <w:rsid w:val="004F66BC"/>
    <w:rsid w:val="004F6B63"/>
    <w:rsid w:val="004F6C26"/>
    <w:rsid w:val="004F6F65"/>
    <w:rsid w:val="004F747E"/>
    <w:rsid w:val="004F7AC9"/>
    <w:rsid w:val="004F7DCB"/>
    <w:rsid w:val="0050062F"/>
    <w:rsid w:val="00500E74"/>
    <w:rsid w:val="0050160F"/>
    <w:rsid w:val="0050284E"/>
    <w:rsid w:val="00502993"/>
    <w:rsid w:val="0050306F"/>
    <w:rsid w:val="00505DCB"/>
    <w:rsid w:val="0050703E"/>
    <w:rsid w:val="005075CA"/>
    <w:rsid w:val="00507B06"/>
    <w:rsid w:val="00507BF1"/>
    <w:rsid w:val="0051047A"/>
    <w:rsid w:val="0051074C"/>
    <w:rsid w:val="00510DE9"/>
    <w:rsid w:val="00510F21"/>
    <w:rsid w:val="005111E2"/>
    <w:rsid w:val="00511231"/>
    <w:rsid w:val="00512C4F"/>
    <w:rsid w:val="00513042"/>
    <w:rsid w:val="0051334F"/>
    <w:rsid w:val="00513399"/>
    <w:rsid w:val="00513AF2"/>
    <w:rsid w:val="0051430A"/>
    <w:rsid w:val="00514575"/>
    <w:rsid w:val="00514C03"/>
    <w:rsid w:val="00514D67"/>
    <w:rsid w:val="0051522A"/>
    <w:rsid w:val="00515515"/>
    <w:rsid w:val="0051635C"/>
    <w:rsid w:val="00516C5B"/>
    <w:rsid w:val="00517612"/>
    <w:rsid w:val="00517CFB"/>
    <w:rsid w:val="00517F85"/>
    <w:rsid w:val="00520235"/>
    <w:rsid w:val="00520899"/>
    <w:rsid w:val="00520922"/>
    <w:rsid w:val="005209FC"/>
    <w:rsid w:val="005210EC"/>
    <w:rsid w:val="00521A30"/>
    <w:rsid w:val="005224E5"/>
    <w:rsid w:val="00523903"/>
    <w:rsid w:val="00523993"/>
    <w:rsid w:val="005239B6"/>
    <w:rsid w:val="00523C45"/>
    <w:rsid w:val="00524165"/>
    <w:rsid w:val="005246E7"/>
    <w:rsid w:val="00524B08"/>
    <w:rsid w:val="00524C38"/>
    <w:rsid w:val="00524FD2"/>
    <w:rsid w:val="0052559C"/>
    <w:rsid w:val="00525621"/>
    <w:rsid w:val="005257E5"/>
    <w:rsid w:val="00526431"/>
    <w:rsid w:val="00526733"/>
    <w:rsid w:val="00527015"/>
    <w:rsid w:val="00527532"/>
    <w:rsid w:val="00527703"/>
    <w:rsid w:val="00527DEB"/>
    <w:rsid w:val="00527E57"/>
    <w:rsid w:val="00527F2C"/>
    <w:rsid w:val="00527FE7"/>
    <w:rsid w:val="00530405"/>
    <w:rsid w:val="00530522"/>
    <w:rsid w:val="005305E5"/>
    <w:rsid w:val="00530CBA"/>
    <w:rsid w:val="00530DBD"/>
    <w:rsid w:val="00530F38"/>
    <w:rsid w:val="00531F26"/>
    <w:rsid w:val="00532299"/>
    <w:rsid w:val="0053277C"/>
    <w:rsid w:val="005327C0"/>
    <w:rsid w:val="00532ADA"/>
    <w:rsid w:val="00533101"/>
    <w:rsid w:val="00533CA9"/>
    <w:rsid w:val="00533D28"/>
    <w:rsid w:val="005346AD"/>
    <w:rsid w:val="00534EFB"/>
    <w:rsid w:val="00534F60"/>
    <w:rsid w:val="005357F1"/>
    <w:rsid w:val="00536053"/>
    <w:rsid w:val="00536985"/>
    <w:rsid w:val="005369E6"/>
    <w:rsid w:val="005371AC"/>
    <w:rsid w:val="00537672"/>
    <w:rsid w:val="0053772F"/>
    <w:rsid w:val="00537B77"/>
    <w:rsid w:val="00540C4C"/>
    <w:rsid w:val="005411F3"/>
    <w:rsid w:val="00541469"/>
    <w:rsid w:val="00541571"/>
    <w:rsid w:val="00541B1F"/>
    <w:rsid w:val="005423F4"/>
    <w:rsid w:val="0054275A"/>
    <w:rsid w:val="005428B8"/>
    <w:rsid w:val="00542BD7"/>
    <w:rsid w:val="00543084"/>
    <w:rsid w:val="00543314"/>
    <w:rsid w:val="00543584"/>
    <w:rsid w:val="00543A9E"/>
    <w:rsid w:val="0054413A"/>
    <w:rsid w:val="00544288"/>
    <w:rsid w:val="005446BB"/>
    <w:rsid w:val="005448C8"/>
    <w:rsid w:val="00544DA5"/>
    <w:rsid w:val="00544F43"/>
    <w:rsid w:val="00545E30"/>
    <w:rsid w:val="00545EA3"/>
    <w:rsid w:val="00546C9B"/>
    <w:rsid w:val="00547BF6"/>
    <w:rsid w:val="00547D1A"/>
    <w:rsid w:val="00547FB3"/>
    <w:rsid w:val="00550E0F"/>
    <w:rsid w:val="00551098"/>
    <w:rsid w:val="00551598"/>
    <w:rsid w:val="0055162B"/>
    <w:rsid w:val="00551BFF"/>
    <w:rsid w:val="00551D68"/>
    <w:rsid w:val="00551DFF"/>
    <w:rsid w:val="005525C9"/>
    <w:rsid w:val="00552B3E"/>
    <w:rsid w:val="00553255"/>
    <w:rsid w:val="00554703"/>
    <w:rsid w:val="00554D57"/>
    <w:rsid w:val="005551AA"/>
    <w:rsid w:val="00555913"/>
    <w:rsid w:val="0055636A"/>
    <w:rsid w:val="005564CA"/>
    <w:rsid w:val="005568EA"/>
    <w:rsid w:val="00557140"/>
    <w:rsid w:val="00557984"/>
    <w:rsid w:val="00560C87"/>
    <w:rsid w:val="00560F51"/>
    <w:rsid w:val="00561249"/>
    <w:rsid w:val="0056182B"/>
    <w:rsid w:val="00561AF3"/>
    <w:rsid w:val="00561E0B"/>
    <w:rsid w:val="00562141"/>
    <w:rsid w:val="00562D86"/>
    <w:rsid w:val="00563784"/>
    <w:rsid w:val="00564704"/>
    <w:rsid w:val="00564712"/>
    <w:rsid w:val="00564AD5"/>
    <w:rsid w:val="005657A8"/>
    <w:rsid w:val="00565952"/>
    <w:rsid w:val="00566866"/>
    <w:rsid w:val="00566E76"/>
    <w:rsid w:val="005670A5"/>
    <w:rsid w:val="00567285"/>
    <w:rsid w:val="00567723"/>
    <w:rsid w:val="0056772D"/>
    <w:rsid w:val="00567AB8"/>
    <w:rsid w:val="00570A26"/>
    <w:rsid w:val="00570CFD"/>
    <w:rsid w:val="00571872"/>
    <w:rsid w:val="00571E44"/>
    <w:rsid w:val="00572198"/>
    <w:rsid w:val="0057221F"/>
    <w:rsid w:val="00572539"/>
    <w:rsid w:val="00573355"/>
    <w:rsid w:val="0057337D"/>
    <w:rsid w:val="00573401"/>
    <w:rsid w:val="00573504"/>
    <w:rsid w:val="005736F5"/>
    <w:rsid w:val="00573BA3"/>
    <w:rsid w:val="00573C8C"/>
    <w:rsid w:val="005745F3"/>
    <w:rsid w:val="00574708"/>
    <w:rsid w:val="00574D81"/>
    <w:rsid w:val="005756AA"/>
    <w:rsid w:val="00576780"/>
    <w:rsid w:val="0057696F"/>
    <w:rsid w:val="005774FE"/>
    <w:rsid w:val="0058040C"/>
    <w:rsid w:val="00580D6D"/>
    <w:rsid w:val="005813DE"/>
    <w:rsid w:val="00581796"/>
    <w:rsid w:val="00581B45"/>
    <w:rsid w:val="00582480"/>
    <w:rsid w:val="00582805"/>
    <w:rsid w:val="0058290E"/>
    <w:rsid w:val="00582CAB"/>
    <w:rsid w:val="00582D08"/>
    <w:rsid w:val="00582FA6"/>
    <w:rsid w:val="0058375E"/>
    <w:rsid w:val="00584233"/>
    <w:rsid w:val="005842D0"/>
    <w:rsid w:val="005845FB"/>
    <w:rsid w:val="005846F3"/>
    <w:rsid w:val="00585154"/>
    <w:rsid w:val="00585188"/>
    <w:rsid w:val="005855AE"/>
    <w:rsid w:val="00585829"/>
    <w:rsid w:val="00585CA8"/>
    <w:rsid w:val="00586412"/>
    <w:rsid w:val="005864B9"/>
    <w:rsid w:val="005866C4"/>
    <w:rsid w:val="005906E8"/>
    <w:rsid w:val="005908E7"/>
    <w:rsid w:val="00590F1A"/>
    <w:rsid w:val="00591C03"/>
    <w:rsid w:val="00591D9E"/>
    <w:rsid w:val="00591E2A"/>
    <w:rsid w:val="005923C4"/>
    <w:rsid w:val="00593EA2"/>
    <w:rsid w:val="00593F75"/>
    <w:rsid w:val="005940A0"/>
    <w:rsid w:val="0059429A"/>
    <w:rsid w:val="00594462"/>
    <w:rsid w:val="00594CBE"/>
    <w:rsid w:val="00595C39"/>
    <w:rsid w:val="00596AF7"/>
    <w:rsid w:val="00596B47"/>
    <w:rsid w:val="00596CCE"/>
    <w:rsid w:val="005A0F06"/>
    <w:rsid w:val="005A1976"/>
    <w:rsid w:val="005A1C64"/>
    <w:rsid w:val="005A2120"/>
    <w:rsid w:val="005A2501"/>
    <w:rsid w:val="005A2C80"/>
    <w:rsid w:val="005A3066"/>
    <w:rsid w:val="005A3B35"/>
    <w:rsid w:val="005A3C4B"/>
    <w:rsid w:val="005A3E5A"/>
    <w:rsid w:val="005A43F3"/>
    <w:rsid w:val="005A496F"/>
    <w:rsid w:val="005A4A56"/>
    <w:rsid w:val="005A4C8E"/>
    <w:rsid w:val="005A5608"/>
    <w:rsid w:val="005A5A3D"/>
    <w:rsid w:val="005A6035"/>
    <w:rsid w:val="005A6715"/>
    <w:rsid w:val="005A69FC"/>
    <w:rsid w:val="005A6B75"/>
    <w:rsid w:val="005A6E00"/>
    <w:rsid w:val="005A718A"/>
    <w:rsid w:val="005A7752"/>
    <w:rsid w:val="005A7885"/>
    <w:rsid w:val="005A7FAB"/>
    <w:rsid w:val="005B12B2"/>
    <w:rsid w:val="005B143B"/>
    <w:rsid w:val="005B19BD"/>
    <w:rsid w:val="005B1A9B"/>
    <w:rsid w:val="005B1E45"/>
    <w:rsid w:val="005B21C4"/>
    <w:rsid w:val="005B2A28"/>
    <w:rsid w:val="005B327B"/>
    <w:rsid w:val="005B3621"/>
    <w:rsid w:val="005B4948"/>
    <w:rsid w:val="005B501D"/>
    <w:rsid w:val="005B54CC"/>
    <w:rsid w:val="005B74AD"/>
    <w:rsid w:val="005B7E96"/>
    <w:rsid w:val="005C0429"/>
    <w:rsid w:val="005C084F"/>
    <w:rsid w:val="005C0EE9"/>
    <w:rsid w:val="005C16A8"/>
    <w:rsid w:val="005C1716"/>
    <w:rsid w:val="005C1954"/>
    <w:rsid w:val="005C1C0B"/>
    <w:rsid w:val="005C2011"/>
    <w:rsid w:val="005C2021"/>
    <w:rsid w:val="005C276A"/>
    <w:rsid w:val="005C2EB1"/>
    <w:rsid w:val="005C3EA3"/>
    <w:rsid w:val="005C406F"/>
    <w:rsid w:val="005C44DE"/>
    <w:rsid w:val="005C5011"/>
    <w:rsid w:val="005C5241"/>
    <w:rsid w:val="005C529E"/>
    <w:rsid w:val="005C57BA"/>
    <w:rsid w:val="005C5C52"/>
    <w:rsid w:val="005C5D3D"/>
    <w:rsid w:val="005C5EC1"/>
    <w:rsid w:val="005C5F05"/>
    <w:rsid w:val="005C6186"/>
    <w:rsid w:val="005C7E45"/>
    <w:rsid w:val="005C7F3E"/>
    <w:rsid w:val="005D06D3"/>
    <w:rsid w:val="005D0C3B"/>
    <w:rsid w:val="005D1051"/>
    <w:rsid w:val="005D1606"/>
    <w:rsid w:val="005D2044"/>
    <w:rsid w:val="005D2917"/>
    <w:rsid w:val="005D2EB2"/>
    <w:rsid w:val="005D2F48"/>
    <w:rsid w:val="005D3B32"/>
    <w:rsid w:val="005D464B"/>
    <w:rsid w:val="005D466F"/>
    <w:rsid w:val="005D49F0"/>
    <w:rsid w:val="005D51F7"/>
    <w:rsid w:val="005D51FA"/>
    <w:rsid w:val="005D53E8"/>
    <w:rsid w:val="005D5A9D"/>
    <w:rsid w:val="005D6651"/>
    <w:rsid w:val="005D691D"/>
    <w:rsid w:val="005D6A4F"/>
    <w:rsid w:val="005D6A72"/>
    <w:rsid w:val="005D6D48"/>
    <w:rsid w:val="005D6F38"/>
    <w:rsid w:val="005D7279"/>
    <w:rsid w:val="005D791B"/>
    <w:rsid w:val="005D7CF2"/>
    <w:rsid w:val="005D7F92"/>
    <w:rsid w:val="005E0D7B"/>
    <w:rsid w:val="005E1472"/>
    <w:rsid w:val="005E14B0"/>
    <w:rsid w:val="005E1595"/>
    <w:rsid w:val="005E182D"/>
    <w:rsid w:val="005E1F1D"/>
    <w:rsid w:val="005E273D"/>
    <w:rsid w:val="005E3278"/>
    <w:rsid w:val="005E363B"/>
    <w:rsid w:val="005E3736"/>
    <w:rsid w:val="005E4A3E"/>
    <w:rsid w:val="005E72B9"/>
    <w:rsid w:val="005F305B"/>
    <w:rsid w:val="005F3081"/>
    <w:rsid w:val="005F3361"/>
    <w:rsid w:val="005F3B47"/>
    <w:rsid w:val="005F4481"/>
    <w:rsid w:val="005F47AC"/>
    <w:rsid w:val="005F49AF"/>
    <w:rsid w:val="005F4A58"/>
    <w:rsid w:val="005F54DF"/>
    <w:rsid w:val="005F5888"/>
    <w:rsid w:val="005F5984"/>
    <w:rsid w:val="005F5EAB"/>
    <w:rsid w:val="005F6926"/>
    <w:rsid w:val="005F6CE2"/>
    <w:rsid w:val="005F6F24"/>
    <w:rsid w:val="005F72E9"/>
    <w:rsid w:val="005F780B"/>
    <w:rsid w:val="00600344"/>
    <w:rsid w:val="00600473"/>
    <w:rsid w:val="0060139A"/>
    <w:rsid w:val="006013C9"/>
    <w:rsid w:val="00601709"/>
    <w:rsid w:val="006028D1"/>
    <w:rsid w:val="00602B45"/>
    <w:rsid w:val="00602FC7"/>
    <w:rsid w:val="006032AB"/>
    <w:rsid w:val="00603499"/>
    <w:rsid w:val="006035F5"/>
    <w:rsid w:val="00603CC2"/>
    <w:rsid w:val="006047D1"/>
    <w:rsid w:val="00604A55"/>
    <w:rsid w:val="00604B75"/>
    <w:rsid w:val="00604D4E"/>
    <w:rsid w:val="00604E3E"/>
    <w:rsid w:val="00604EFB"/>
    <w:rsid w:val="00605AC3"/>
    <w:rsid w:val="00606908"/>
    <w:rsid w:val="00607996"/>
    <w:rsid w:val="00607A37"/>
    <w:rsid w:val="00607E0A"/>
    <w:rsid w:val="00607E9F"/>
    <w:rsid w:val="00610633"/>
    <w:rsid w:val="0061085E"/>
    <w:rsid w:val="006109A9"/>
    <w:rsid w:val="00611063"/>
    <w:rsid w:val="00611398"/>
    <w:rsid w:val="00612322"/>
    <w:rsid w:val="006123C0"/>
    <w:rsid w:val="00612DF1"/>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179FF"/>
    <w:rsid w:val="00620719"/>
    <w:rsid w:val="0062097E"/>
    <w:rsid w:val="006212C9"/>
    <w:rsid w:val="00621D0C"/>
    <w:rsid w:val="00622470"/>
    <w:rsid w:val="00622725"/>
    <w:rsid w:val="0062296B"/>
    <w:rsid w:val="006231AA"/>
    <w:rsid w:val="00623482"/>
    <w:rsid w:val="00623AC2"/>
    <w:rsid w:val="00623EBC"/>
    <w:rsid w:val="006243F5"/>
    <w:rsid w:val="0062527C"/>
    <w:rsid w:val="00625497"/>
    <w:rsid w:val="006266D7"/>
    <w:rsid w:val="00626D42"/>
    <w:rsid w:val="00626EE3"/>
    <w:rsid w:val="006274AD"/>
    <w:rsid w:val="00627519"/>
    <w:rsid w:val="00627532"/>
    <w:rsid w:val="00627EF9"/>
    <w:rsid w:val="006302AA"/>
    <w:rsid w:val="006310C3"/>
    <w:rsid w:val="0063161E"/>
    <w:rsid w:val="00631660"/>
    <w:rsid w:val="00631908"/>
    <w:rsid w:val="00631BB5"/>
    <w:rsid w:val="00631DD0"/>
    <w:rsid w:val="00632326"/>
    <w:rsid w:val="00632DEF"/>
    <w:rsid w:val="00633DBF"/>
    <w:rsid w:val="00634122"/>
    <w:rsid w:val="00634261"/>
    <w:rsid w:val="00634F88"/>
    <w:rsid w:val="00635E32"/>
    <w:rsid w:val="006360FC"/>
    <w:rsid w:val="006364DB"/>
    <w:rsid w:val="006365DE"/>
    <w:rsid w:val="00636BE4"/>
    <w:rsid w:val="00636F88"/>
    <w:rsid w:val="0063732C"/>
    <w:rsid w:val="00637802"/>
    <w:rsid w:val="00637836"/>
    <w:rsid w:val="00637C26"/>
    <w:rsid w:val="00637F44"/>
    <w:rsid w:val="00640084"/>
    <w:rsid w:val="00641078"/>
    <w:rsid w:val="00641242"/>
    <w:rsid w:val="006424AA"/>
    <w:rsid w:val="00642A32"/>
    <w:rsid w:val="006433D5"/>
    <w:rsid w:val="00643412"/>
    <w:rsid w:val="00643D16"/>
    <w:rsid w:val="00645C53"/>
    <w:rsid w:val="00645CEB"/>
    <w:rsid w:val="00645E6E"/>
    <w:rsid w:val="00646B20"/>
    <w:rsid w:val="00646D0F"/>
    <w:rsid w:val="0064796B"/>
    <w:rsid w:val="00647A36"/>
    <w:rsid w:val="00647DCC"/>
    <w:rsid w:val="00647EFA"/>
    <w:rsid w:val="00647F14"/>
    <w:rsid w:val="00650027"/>
    <w:rsid w:val="00651437"/>
    <w:rsid w:val="00651B9C"/>
    <w:rsid w:val="00651C47"/>
    <w:rsid w:val="00651F00"/>
    <w:rsid w:val="00652E70"/>
    <w:rsid w:val="0065339A"/>
    <w:rsid w:val="00653469"/>
    <w:rsid w:val="006548B8"/>
    <w:rsid w:val="00654A38"/>
    <w:rsid w:val="00655301"/>
    <w:rsid w:val="00655371"/>
    <w:rsid w:val="00655507"/>
    <w:rsid w:val="00656C4B"/>
    <w:rsid w:val="006573EA"/>
    <w:rsid w:val="0066073F"/>
    <w:rsid w:val="00660D2A"/>
    <w:rsid w:val="00661029"/>
    <w:rsid w:val="0066135A"/>
    <w:rsid w:val="00661A38"/>
    <w:rsid w:val="0066272D"/>
    <w:rsid w:val="00662E58"/>
    <w:rsid w:val="00662F39"/>
    <w:rsid w:val="0066339A"/>
    <w:rsid w:val="006635A0"/>
    <w:rsid w:val="00664351"/>
    <w:rsid w:val="0066444B"/>
    <w:rsid w:val="00665860"/>
    <w:rsid w:val="00665875"/>
    <w:rsid w:val="00665968"/>
    <w:rsid w:val="00665B1E"/>
    <w:rsid w:val="00665BF7"/>
    <w:rsid w:val="00666178"/>
    <w:rsid w:val="0066639E"/>
    <w:rsid w:val="00666473"/>
    <w:rsid w:val="00666C72"/>
    <w:rsid w:val="00666E6C"/>
    <w:rsid w:val="0066707F"/>
    <w:rsid w:val="00667ED8"/>
    <w:rsid w:val="0067064C"/>
    <w:rsid w:val="00670B20"/>
    <w:rsid w:val="00670E12"/>
    <w:rsid w:val="00670F27"/>
    <w:rsid w:val="00672DC2"/>
    <w:rsid w:val="00672E80"/>
    <w:rsid w:val="0067333F"/>
    <w:rsid w:val="006739E4"/>
    <w:rsid w:val="00673ECF"/>
    <w:rsid w:val="00674233"/>
    <w:rsid w:val="0067426B"/>
    <w:rsid w:val="00674A1B"/>
    <w:rsid w:val="00674F1C"/>
    <w:rsid w:val="006754F8"/>
    <w:rsid w:val="00675BD6"/>
    <w:rsid w:val="00676127"/>
    <w:rsid w:val="006766EE"/>
    <w:rsid w:val="00676AED"/>
    <w:rsid w:val="00677E9C"/>
    <w:rsid w:val="00677F26"/>
    <w:rsid w:val="006800EE"/>
    <w:rsid w:val="006801A3"/>
    <w:rsid w:val="006802A7"/>
    <w:rsid w:val="006811C9"/>
    <w:rsid w:val="006811FB"/>
    <w:rsid w:val="006812CE"/>
    <w:rsid w:val="00681984"/>
    <w:rsid w:val="006826C1"/>
    <w:rsid w:val="00682C89"/>
    <w:rsid w:val="006832B8"/>
    <w:rsid w:val="006837B2"/>
    <w:rsid w:val="00683800"/>
    <w:rsid w:val="00684462"/>
    <w:rsid w:val="00684C8A"/>
    <w:rsid w:val="00684CF5"/>
    <w:rsid w:val="00684D6F"/>
    <w:rsid w:val="00684F36"/>
    <w:rsid w:val="0068553E"/>
    <w:rsid w:val="00685E7B"/>
    <w:rsid w:val="00686551"/>
    <w:rsid w:val="00686CAB"/>
    <w:rsid w:val="00686E4D"/>
    <w:rsid w:val="0068717F"/>
    <w:rsid w:val="0068719A"/>
    <w:rsid w:val="0068730C"/>
    <w:rsid w:val="00687504"/>
    <w:rsid w:val="00687A14"/>
    <w:rsid w:val="00687A8C"/>
    <w:rsid w:val="00687FBF"/>
    <w:rsid w:val="00690839"/>
    <w:rsid w:val="006908DB"/>
    <w:rsid w:val="00690DE9"/>
    <w:rsid w:val="00691DE9"/>
    <w:rsid w:val="00691EAA"/>
    <w:rsid w:val="00692245"/>
    <w:rsid w:val="00692FFA"/>
    <w:rsid w:val="00693772"/>
    <w:rsid w:val="00693984"/>
    <w:rsid w:val="00693B77"/>
    <w:rsid w:val="00694151"/>
    <w:rsid w:val="00694160"/>
    <w:rsid w:val="006959A5"/>
    <w:rsid w:val="00695C0C"/>
    <w:rsid w:val="00696736"/>
    <w:rsid w:val="00696A05"/>
    <w:rsid w:val="00697665"/>
    <w:rsid w:val="006979BF"/>
    <w:rsid w:val="00697C9A"/>
    <w:rsid w:val="00697E68"/>
    <w:rsid w:val="00697FC1"/>
    <w:rsid w:val="006A0274"/>
    <w:rsid w:val="006A0802"/>
    <w:rsid w:val="006A103E"/>
    <w:rsid w:val="006A27BC"/>
    <w:rsid w:val="006A2A43"/>
    <w:rsid w:val="006A2BF1"/>
    <w:rsid w:val="006A2F9A"/>
    <w:rsid w:val="006A34E4"/>
    <w:rsid w:val="006A3A5A"/>
    <w:rsid w:val="006A44CF"/>
    <w:rsid w:val="006A457D"/>
    <w:rsid w:val="006A4C06"/>
    <w:rsid w:val="006A55EE"/>
    <w:rsid w:val="006A575B"/>
    <w:rsid w:val="006A59DE"/>
    <w:rsid w:val="006A64C6"/>
    <w:rsid w:val="006A6655"/>
    <w:rsid w:val="006A6BF9"/>
    <w:rsid w:val="006A6F9D"/>
    <w:rsid w:val="006A7BB6"/>
    <w:rsid w:val="006A7CB5"/>
    <w:rsid w:val="006A7FD0"/>
    <w:rsid w:val="006B00E4"/>
    <w:rsid w:val="006B025C"/>
    <w:rsid w:val="006B08ED"/>
    <w:rsid w:val="006B2534"/>
    <w:rsid w:val="006B2CB2"/>
    <w:rsid w:val="006B347D"/>
    <w:rsid w:val="006B359F"/>
    <w:rsid w:val="006B3E19"/>
    <w:rsid w:val="006B4488"/>
    <w:rsid w:val="006B49FC"/>
    <w:rsid w:val="006B50C4"/>
    <w:rsid w:val="006B53AE"/>
    <w:rsid w:val="006B58B4"/>
    <w:rsid w:val="006B67AC"/>
    <w:rsid w:val="006B6DB3"/>
    <w:rsid w:val="006B7800"/>
    <w:rsid w:val="006B786A"/>
    <w:rsid w:val="006B7A03"/>
    <w:rsid w:val="006B7D67"/>
    <w:rsid w:val="006B7E4E"/>
    <w:rsid w:val="006C003A"/>
    <w:rsid w:val="006C074F"/>
    <w:rsid w:val="006C107C"/>
    <w:rsid w:val="006C240D"/>
    <w:rsid w:val="006C2454"/>
    <w:rsid w:val="006C2551"/>
    <w:rsid w:val="006C37CA"/>
    <w:rsid w:val="006C40D2"/>
    <w:rsid w:val="006C46CD"/>
    <w:rsid w:val="006C4BBD"/>
    <w:rsid w:val="006C4C26"/>
    <w:rsid w:val="006C506D"/>
    <w:rsid w:val="006C5B15"/>
    <w:rsid w:val="006C5D32"/>
    <w:rsid w:val="006C5DCB"/>
    <w:rsid w:val="006C6475"/>
    <w:rsid w:val="006C70C4"/>
    <w:rsid w:val="006C7346"/>
    <w:rsid w:val="006C741F"/>
    <w:rsid w:val="006D04DA"/>
    <w:rsid w:val="006D10F6"/>
    <w:rsid w:val="006D1544"/>
    <w:rsid w:val="006D1688"/>
    <w:rsid w:val="006D1DD3"/>
    <w:rsid w:val="006D1FF3"/>
    <w:rsid w:val="006D2C65"/>
    <w:rsid w:val="006D2DE3"/>
    <w:rsid w:val="006D32C6"/>
    <w:rsid w:val="006D3491"/>
    <w:rsid w:val="006D360E"/>
    <w:rsid w:val="006D3697"/>
    <w:rsid w:val="006D39D2"/>
    <w:rsid w:val="006D3F2A"/>
    <w:rsid w:val="006D4370"/>
    <w:rsid w:val="006D46A3"/>
    <w:rsid w:val="006D5445"/>
    <w:rsid w:val="006D62E0"/>
    <w:rsid w:val="006D658F"/>
    <w:rsid w:val="006D6A12"/>
    <w:rsid w:val="006D712D"/>
    <w:rsid w:val="006D7687"/>
    <w:rsid w:val="006D7D1F"/>
    <w:rsid w:val="006D7D8A"/>
    <w:rsid w:val="006E0572"/>
    <w:rsid w:val="006E05D8"/>
    <w:rsid w:val="006E08EE"/>
    <w:rsid w:val="006E155A"/>
    <w:rsid w:val="006E2C34"/>
    <w:rsid w:val="006E359B"/>
    <w:rsid w:val="006E39D1"/>
    <w:rsid w:val="006E3B05"/>
    <w:rsid w:val="006E3D27"/>
    <w:rsid w:val="006E437F"/>
    <w:rsid w:val="006E4D5B"/>
    <w:rsid w:val="006E602F"/>
    <w:rsid w:val="006E6720"/>
    <w:rsid w:val="006E7275"/>
    <w:rsid w:val="006E77B8"/>
    <w:rsid w:val="006F13BA"/>
    <w:rsid w:val="006F15CC"/>
    <w:rsid w:val="006F15F6"/>
    <w:rsid w:val="006F1B95"/>
    <w:rsid w:val="006F36EA"/>
    <w:rsid w:val="006F4147"/>
    <w:rsid w:val="006F4315"/>
    <w:rsid w:val="006F4477"/>
    <w:rsid w:val="006F4CB0"/>
    <w:rsid w:val="006F4F78"/>
    <w:rsid w:val="006F547E"/>
    <w:rsid w:val="006F5CCF"/>
    <w:rsid w:val="006F6F04"/>
    <w:rsid w:val="006F71F5"/>
    <w:rsid w:val="00700610"/>
    <w:rsid w:val="00700B9C"/>
    <w:rsid w:val="0070138A"/>
    <w:rsid w:val="0070157E"/>
    <w:rsid w:val="007030D4"/>
    <w:rsid w:val="00703279"/>
    <w:rsid w:val="00703B61"/>
    <w:rsid w:val="00703E11"/>
    <w:rsid w:val="00704102"/>
    <w:rsid w:val="0070437C"/>
    <w:rsid w:val="0070461C"/>
    <w:rsid w:val="00704A91"/>
    <w:rsid w:val="00705631"/>
    <w:rsid w:val="00705818"/>
    <w:rsid w:val="00705F62"/>
    <w:rsid w:val="00706A9C"/>
    <w:rsid w:val="0070773F"/>
    <w:rsid w:val="007078BD"/>
    <w:rsid w:val="00707E6D"/>
    <w:rsid w:val="00707ED3"/>
    <w:rsid w:val="007101B7"/>
    <w:rsid w:val="00710668"/>
    <w:rsid w:val="007110F4"/>
    <w:rsid w:val="007112B1"/>
    <w:rsid w:val="0071130F"/>
    <w:rsid w:val="0071143C"/>
    <w:rsid w:val="00711B11"/>
    <w:rsid w:val="00712714"/>
    <w:rsid w:val="007129AB"/>
    <w:rsid w:val="00712B63"/>
    <w:rsid w:val="00713526"/>
    <w:rsid w:val="00713724"/>
    <w:rsid w:val="00713CE9"/>
    <w:rsid w:val="00713FC5"/>
    <w:rsid w:val="00714DCA"/>
    <w:rsid w:val="007158D3"/>
    <w:rsid w:val="00715BBF"/>
    <w:rsid w:val="00715C29"/>
    <w:rsid w:val="00715CBD"/>
    <w:rsid w:val="00715EAA"/>
    <w:rsid w:val="00716CAD"/>
    <w:rsid w:val="00716F18"/>
    <w:rsid w:val="00717363"/>
    <w:rsid w:val="00717786"/>
    <w:rsid w:val="00717ACB"/>
    <w:rsid w:val="00720217"/>
    <w:rsid w:val="0072138B"/>
    <w:rsid w:val="00721BFF"/>
    <w:rsid w:val="00722C2F"/>
    <w:rsid w:val="00723475"/>
    <w:rsid w:val="007236C4"/>
    <w:rsid w:val="00723714"/>
    <w:rsid w:val="00723917"/>
    <w:rsid w:val="00723D80"/>
    <w:rsid w:val="007242A2"/>
    <w:rsid w:val="00724635"/>
    <w:rsid w:val="00724F21"/>
    <w:rsid w:val="00725134"/>
    <w:rsid w:val="0072554B"/>
    <w:rsid w:val="00725AFD"/>
    <w:rsid w:val="00726603"/>
    <w:rsid w:val="007270EF"/>
    <w:rsid w:val="00727B1D"/>
    <w:rsid w:val="00727DDC"/>
    <w:rsid w:val="00730CD6"/>
    <w:rsid w:val="00730F74"/>
    <w:rsid w:val="00730F87"/>
    <w:rsid w:val="0073114B"/>
    <w:rsid w:val="00732151"/>
    <w:rsid w:val="007323EF"/>
    <w:rsid w:val="0073373A"/>
    <w:rsid w:val="007339EC"/>
    <w:rsid w:val="00734952"/>
    <w:rsid w:val="00734990"/>
    <w:rsid w:val="00734FF5"/>
    <w:rsid w:val="00735B78"/>
    <w:rsid w:val="00735DA7"/>
    <w:rsid w:val="007368B4"/>
    <w:rsid w:val="007378E0"/>
    <w:rsid w:val="00737B4A"/>
    <w:rsid w:val="00737D92"/>
    <w:rsid w:val="00740529"/>
    <w:rsid w:val="00740876"/>
    <w:rsid w:val="00741358"/>
    <w:rsid w:val="00741626"/>
    <w:rsid w:val="00741706"/>
    <w:rsid w:val="00742332"/>
    <w:rsid w:val="00742886"/>
    <w:rsid w:val="00742DD2"/>
    <w:rsid w:val="00742F60"/>
    <w:rsid w:val="00743505"/>
    <w:rsid w:val="007437C6"/>
    <w:rsid w:val="007441A2"/>
    <w:rsid w:val="00744E80"/>
    <w:rsid w:val="00745035"/>
    <w:rsid w:val="0074531C"/>
    <w:rsid w:val="00745547"/>
    <w:rsid w:val="007459D0"/>
    <w:rsid w:val="0074608B"/>
    <w:rsid w:val="0074623A"/>
    <w:rsid w:val="00746420"/>
    <w:rsid w:val="00746A60"/>
    <w:rsid w:val="00746E04"/>
    <w:rsid w:val="00746E08"/>
    <w:rsid w:val="00746E3D"/>
    <w:rsid w:val="007473B9"/>
    <w:rsid w:val="0074740B"/>
    <w:rsid w:val="00747C96"/>
    <w:rsid w:val="00750075"/>
    <w:rsid w:val="007502EC"/>
    <w:rsid w:val="00750382"/>
    <w:rsid w:val="0075094E"/>
    <w:rsid w:val="00750C88"/>
    <w:rsid w:val="00750FA8"/>
    <w:rsid w:val="00750FB5"/>
    <w:rsid w:val="007520F0"/>
    <w:rsid w:val="007522E8"/>
    <w:rsid w:val="00753BAC"/>
    <w:rsid w:val="00754A0B"/>
    <w:rsid w:val="00754DFE"/>
    <w:rsid w:val="007552DB"/>
    <w:rsid w:val="00755B08"/>
    <w:rsid w:val="00755DD0"/>
    <w:rsid w:val="0075643B"/>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9B7"/>
    <w:rsid w:val="00762E60"/>
    <w:rsid w:val="007634AD"/>
    <w:rsid w:val="0076445F"/>
    <w:rsid w:val="00764EC5"/>
    <w:rsid w:val="0076535B"/>
    <w:rsid w:val="00766ECC"/>
    <w:rsid w:val="007672F3"/>
    <w:rsid w:val="007677B5"/>
    <w:rsid w:val="007678B1"/>
    <w:rsid w:val="007708A8"/>
    <w:rsid w:val="0077184A"/>
    <w:rsid w:val="00772100"/>
    <w:rsid w:val="00772275"/>
    <w:rsid w:val="007734E4"/>
    <w:rsid w:val="0077380D"/>
    <w:rsid w:val="00773BC8"/>
    <w:rsid w:val="0077466F"/>
    <w:rsid w:val="007752B7"/>
    <w:rsid w:val="00775597"/>
    <w:rsid w:val="007759A8"/>
    <w:rsid w:val="00775C27"/>
    <w:rsid w:val="00775D98"/>
    <w:rsid w:val="0077644C"/>
    <w:rsid w:val="00776FE5"/>
    <w:rsid w:val="00777101"/>
    <w:rsid w:val="007774E7"/>
    <w:rsid w:val="0077768C"/>
    <w:rsid w:val="00777696"/>
    <w:rsid w:val="00777FF4"/>
    <w:rsid w:val="00780251"/>
    <w:rsid w:val="007803C2"/>
    <w:rsid w:val="007804FE"/>
    <w:rsid w:val="00780F32"/>
    <w:rsid w:val="0078122E"/>
    <w:rsid w:val="00781939"/>
    <w:rsid w:val="00781D29"/>
    <w:rsid w:val="0078221F"/>
    <w:rsid w:val="007825EF"/>
    <w:rsid w:val="0078286B"/>
    <w:rsid w:val="00782D2C"/>
    <w:rsid w:val="00782FC2"/>
    <w:rsid w:val="0078328D"/>
    <w:rsid w:val="0078347A"/>
    <w:rsid w:val="007836D0"/>
    <w:rsid w:val="007842D6"/>
    <w:rsid w:val="00784FC4"/>
    <w:rsid w:val="00785353"/>
    <w:rsid w:val="00785BBB"/>
    <w:rsid w:val="00786937"/>
    <w:rsid w:val="00786FAD"/>
    <w:rsid w:val="00787D90"/>
    <w:rsid w:val="00787F5E"/>
    <w:rsid w:val="00790164"/>
    <w:rsid w:val="00790A24"/>
    <w:rsid w:val="00790A37"/>
    <w:rsid w:val="00790A60"/>
    <w:rsid w:val="0079146D"/>
    <w:rsid w:val="00791728"/>
    <w:rsid w:val="00791C32"/>
    <w:rsid w:val="00791F57"/>
    <w:rsid w:val="00791FF0"/>
    <w:rsid w:val="007923D0"/>
    <w:rsid w:val="007930D3"/>
    <w:rsid w:val="00793209"/>
    <w:rsid w:val="0079381F"/>
    <w:rsid w:val="00793A57"/>
    <w:rsid w:val="00793B2E"/>
    <w:rsid w:val="007948F5"/>
    <w:rsid w:val="00795647"/>
    <w:rsid w:val="007963F6"/>
    <w:rsid w:val="007968B8"/>
    <w:rsid w:val="00796AFE"/>
    <w:rsid w:val="00796DC8"/>
    <w:rsid w:val="00796E80"/>
    <w:rsid w:val="0079744F"/>
    <w:rsid w:val="007979AD"/>
    <w:rsid w:val="00797A9C"/>
    <w:rsid w:val="007A00FA"/>
    <w:rsid w:val="007A0EAB"/>
    <w:rsid w:val="007A0FEC"/>
    <w:rsid w:val="007A2341"/>
    <w:rsid w:val="007A2754"/>
    <w:rsid w:val="007A38A1"/>
    <w:rsid w:val="007A3BBE"/>
    <w:rsid w:val="007A3F8D"/>
    <w:rsid w:val="007A4766"/>
    <w:rsid w:val="007A5747"/>
    <w:rsid w:val="007A5947"/>
    <w:rsid w:val="007A5C22"/>
    <w:rsid w:val="007A5DB3"/>
    <w:rsid w:val="007A6DEA"/>
    <w:rsid w:val="007A717B"/>
    <w:rsid w:val="007A76E6"/>
    <w:rsid w:val="007B0313"/>
    <w:rsid w:val="007B0854"/>
    <w:rsid w:val="007B0E48"/>
    <w:rsid w:val="007B1D1B"/>
    <w:rsid w:val="007B303E"/>
    <w:rsid w:val="007B32C0"/>
    <w:rsid w:val="007B32F7"/>
    <w:rsid w:val="007B35F0"/>
    <w:rsid w:val="007B3659"/>
    <w:rsid w:val="007B38B5"/>
    <w:rsid w:val="007B3BF3"/>
    <w:rsid w:val="007B3E81"/>
    <w:rsid w:val="007B431B"/>
    <w:rsid w:val="007B4558"/>
    <w:rsid w:val="007B4632"/>
    <w:rsid w:val="007B46A2"/>
    <w:rsid w:val="007B4828"/>
    <w:rsid w:val="007B4B2D"/>
    <w:rsid w:val="007B4D4A"/>
    <w:rsid w:val="007B513D"/>
    <w:rsid w:val="007B53DA"/>
    <w:rsid w:val="007B5428"/>
    <w:rsid w:val="007B56C6"/>
    <w:rsid w:val="007B59B7"/>
    <w:rsid w:val="007B618D"/>
    <w:rsid w:val="007B6233"/>
    <w:rsid w:val="007B6C64"/>
    <w:rsid w:val="007B6EC8"/>
    <w:rsid w:val="007B6F81"/>
    <w:rsid w:val="007B7EA2"/>
    <w:rsid w:val="007C097D"/>
    <w:rsid w:val="007C0AF2"/>
    <w:rsid w:val="007C104F"/>
    <w:rsid w:val="007C11CE"/>
    <w:rsid w:val="007C1672"/>
    <w:rsid w:val="007C312A"/>
    <w:rsid w:val="007C34A9"/>
    <w:rsid w:val="007C3570"/>
    <w:rsid w:val="007C3F3B"/>
    <w:rsid w:val="007C4241"/>
    <w:rsid w:val="007C425E"/>
    <w:rsid w:val="007C55FF"/>
    <w:rsid w:val="007C6339"/>
    <w:rsid w:val="007C753F"/>
    <w:rsid w:val="007C7C43"/>
    <w:rsid w:val="007C7F0D"/>
    <w:rsid w:val="007D06E3"/>
    <w:rsid w:val="007D1044"/>
    <w:rsid w:val="007D1134"/>
    <w:rsid w:val="007D17F0"/>
    <w:rsid w:val="007D23F7"/>
    <w:rsid w:val="007D2566"/>
    <w:rsid w:val="007D2C18"/>
    <w:rsid w:val="007D2D74"/>
    <w:rsid w:val="007D3693"/>
    <w:rsid w:val="007D3C6D"/>
    <w:rsid w:val="007D3EE2"/>
    <w:rsid w:val="007D42D3"/>
    <w:rsid w:val="007D481A"/>
    <w:rsid w:val="007D4ED0"/>
    <w:rsid w:val="007D5648"/>
    <w:rsid w:val="007D58C5"/>
    <w:rsid w:val="007D5DE8"/>
    <w:rsid w:val="007D7CFC"/>
    <w:rsid w:val="007E0812"/>
    <w:rsid w:val="007E182B"/>
    <w:rsid w:val="007E18DF"/>
    <w:rsid w:val="007E2C36"/>
    <w:rsid w:val="007E3309"/>
    <w:rsid w:val="007E350D"/>
    <w:rsid w:val="007E3A0A"/>
    <w:rsid w:val="007E3ACA"/>
    <w:rsid w:val="007E3D7C"/>
    <w:rsid w:val="007E564D"/>
    <w:rsid w:val="007E5C4A"/>
    <w:rsid w:val="007E64D4"/>
    <w:rsid w:val="007E66E9"/>
    <w:rsid w:val="007E69F2"/>
    <w:rsid w:val="007E6A03"/>
    <w:rsid w:val="007E7432"/>
    <w:rsid w:val="007E74BF"/>
    <w:rsid w:val="007F14D3"/>
    <w:rsid w:val="007F1D9D"/>
    <w:rsid w:val="007F1E28"/>
    <w:rsid w:val="007F1F63"/>
    <w:rsid w:val="007F22A0"/>
    <w:rsid w:val="007F2903"/>
    <w:rsid w:val="007F2F90"/>
    <w:rsid w:val="007F3320"/>
    <w:rsid w:val="007F3885"/>
    <w:rsid w:val="007F3AC1"/>
    <w:rsid w:val="007F4976"/>
    <w:rsid w:val="007F52AF"/>
    <w:rsid w:val="007F5A56"/>
    <w:rsid w:val="007F616E"/>
    <w:rsid w:val="007F6790"/>
    <w:rsid w:val="007F6B46"/>
    <w:rsid w:val="007F72CB"/>
    <w:rsid w:val="007F736A"/>
    <w:rsid w:val="007F7635"/>
    <w:rsid w:val="007F785F"/>
    <w:rsid w:val="007F7961"/>
    <w:rsid w:val="007F7AF6"/>
    <w:rsid w:val="007F7E36"/>
    <w:rsid w:val="00800E6D"/>
    <w:rsid w:val="00800FA0"/>
    <w:rsid w:val="008014D9"/>
    <w:rsid w:val="0080150F"/>
    <w:rsid w:val="0080153A"/>
    <w:rsid w:val="00801A2A"/>
    <w:rsid w:val="00801C48"/>
    <w:rsid w:val="00802041"/>
    <w:rsid w:val="008022C9"/>
    <w:rsid w:val="00802605"/>
    <w:rsid w:val="00802F9E"/>
    <w:rsid w:val="00803700"/>
    <w:rsid w:val="00803D9D"/>
    <w:rsid w:val="0080543F"/>
    <w:rsid w:val="008059C6"/>
    <w:rsid w:val="00805AD7"/>
    <w:rsid w:val="00805BD6"/>
    <w:rsid w:val="00805DE3"/>
    <w:rsid w:val="00805F45"/>
    <w:rsid w:val="00807C35"/>
    <w:rsid w:val="00807F35"/>
    <w:rsid w:val="00807F69"/>
    <w:rsid w:val="008100F7"/>
    <w:rsid w:val="00810206"/>
    <w:rsid w:val="00811898"/>
    <w:rsid w:val="00811CDC"/>
    <w:rsid w:val="008124D8"/>
    <w:rsid w:val="0081250A"/>
    <w:rsid w:val="00812AB0"/>
    <w:rsid w:val="00813A7B"/>
    <w:rsid w:val="00813F04"/>
    <w:rsid w:val="00813FAB"/>
    <w:rsid w:val="0081513E"/>
    <w:rsid w:val="00815DA5"/>
    <w:rsid w:val="00816221"/>
    <w:rsid w:val="00817063"/>
    <w:rsid w:val="0081766B"/>
    <w:rsid w:val="00820705"/>
    <w:rsid w:val="00820BA7"/>
    <w:rsid w:val="00820CBF"/>
    <w:rsid w:val="00820DBC"/>
    <w:rsid w:val="00820FA8"/>
    <w:rsid w:val="008212FD"/>
    <w:rsid w:val="00821489"/>
    <w:rsid w:val="008214DC"/>
    <w:rsid w:val="008217B7"/>
    <w:rsid w:val="00822257"/>
    <w:rsid w:val="0082239B"/>
    <w:rsid w:val="0082292E"/>
    <w:rsid w:val="00822D06"/>
    <w:rsid w:val="00822EC4"/>
    <w:rsid w:val="0082348D"/>
    <w:rsid w:val="008236BE"/>
    <w:rsid w:val="00823A45"/>
    <w:rsid w:val="008241CE"/>
    <w:rsid w:val="00825240"/>
    <w:rsid w:val="00825B43"/>
    <w:rsid w:val="00826C98"/>
    <w:rsid w:val="00826F71"/>
    <w:rsid w:val="00827CC0"/>
    <w:rsid w:val="008305A3"/>
    <w:rsid w:val="00830D29"/>
    <w:rsid w:val="00831026"/>
    <w:rsid w:val="0083119B"/>
    <w:rsid w:val="00831BAE"/>
    <w:rsid w:val="00832216"/>
    <w:rsid w:val="00832CD0"/>
    <w:rsid w:val="00833430"/>
    <w:rsid w:val="00833649"/>
    <w:rsid w:val="0083382A"/>
    <w:rsid w:val="00834128"/>
    <w:rsid w:val="0083417F"/>
    <w:rsid w:val="008343F2"/>
    <w:rsid w:val="00835143"/>
    <w:rsid w:val="0083569B"/>
    <w:rsid w:val="00835741"/>
    <w:rsid w:val="00836E74"/>
    <w:rsid w:val="00836EAB"/>
    <w:rsid w:val="00836FDF"/>
    <w:rsid w:val="00837673"/>
    <w:rsid w:val="00837937"/>
    <w:rsid w:val="00837D82"/>
    <w:rsid w:val="00840893"/>
    <w:rsid w:val="00840E88"/>
    <w:rsid w:val="0084120E"/>
    <w:rsid w:val="008423EC"/>
    <w:rsid w:val="008429A6"/>
    <w:rsid w:val="00842FE0"/>
    <w:rsid w:val="00843615"/>
    <w:rsid w:val="00843698"/>
    <w:rsid w:val="00843A4B"/>
    <w:rsid w:val="00843B57"/>
    <w:rsid w:val="00843B60"/>
    <w:rsid w:val="00843D33"/>
    <w:rsid w:val="008440DF"/>
    <w:rsid w:val="008444F0"/>
    <w:rsid w:val="00844D4F"/>
    <w:rsid w:val="00845AE3"/>
    <w:rsid w:val="008466A0"/>
    <w:rsid w:val="00847535"/>
    <w:rsid w:val="00847B6D"/>
    <w:rsid w:val="0085078B"/>
    <w:rsid w:val="0085092D"/>
    <w:rsid w:val="00850C79"/>
    <w:rsid w:val="00850D82"/>
    <w:rsid w:val="00850F79"/>
    <w:rsid w:val="0085100B"/>
    <w:rsid w:val="00852176"/>
    <w:rsid w:val="00852C43"/>
    <w:rsid w:val="0085304C"/>
    <w:rsid w:val="008536BB"/>
    <w:rsid w:val="00853A3C"/>
    <w:rsid w:val="008548CA"/>
    <w:rsid w:val="00854A18"/>
    <w:rsid w:val="008560B0"/>
    <w:rsid w:val="00856343"/>
    <w:rsid w:val="008564C9"/>
    <w:rsid w:val="00856B9F"/>
    <w:rsid w:val="00856C06"/>
    <w:rsid w:val="00857381"/>
    <w:rsid w:val="008578B1"/>
    <w:rsid w:val="0085790B"/>
    <w:rsid w:val="008579B9"/>
    <w:rsid w:val="00857C95"/>
    <w:rsid w:val="00857E78"/>
    <w:rsid w:val="008608BF"/>
    <w:rsid w:val="00860AEF"/>
    <w:rsid w:val="00860B18"/>
    <w:rsid w:val="00860D5E"/>
    <w:rsid w:val="0086122C"/>
    <w:rsid w:val="00861310"/>
    <w:rsid w:val="00861F53"/>
    <w:rsid w:val="0086289E"/>
    <w:rsid w:val="008629CB"/>
    <w:rsid w:val="00863320"/>
    <w:rsid w:val="0086394E"/>
    <w:rsid w:val="00863F8A"/>
    <w:rsid w:val="00863FE3"/>
    <w:rsid w:val="00864241"/>
    <w:rsid w:val="0086468A"/>
    <w:rsid w:val="008650BE"/>
    <w:rsid w:val="008654DB"/>
    <w:rsid w:val="0086633B"/>
    <w:rsid w:val="00866495"/>
    <w:rsid w:val="00866881"/>
    <w:rsid w:val="00866931"/>
    <w:rsid w:val="00867262"/>
    <w:rsid w:val="00867512"/>
    <w:rsid w:val="008678A3"/>
    <w:rsid w:val="00867C13"/>
    <w:rsid w:val="00867C1D"/>
    <w:rsid w:val="0087033C"/>
    <w:rsid w:val="00870B93"/>
    <w:rsid w:val="00870FBD"/>
    <w:rsid w:val="008715ED"/>
    <w:rsid w:val="008717D8"/>
    <w:rsid w:val="00871E3C"/>
    <w:rsid w:val="00872CC1"/>
    <w:rsid w:val="00872F97"/>
    <w:rsid w:val="00873AFA"/>
    <w:rsid w:val="00874607"/>
    <w:rsid w:val="00874915"/>
    <w:rsid w:val="00874B89"/>
    <w:rsid w:val="00875403"/>
    <w:rsid w:val="00875434"/>
    <w:rsid w:val="00875C1F"/>
    <w:rsid w:val="00876215"/>
    <w:rsid w:val="0087646C"/>
    <w:rsid w:val="00876815"/>
    <w:rsid w:val="00877932"/>
    <w:rsid w:val="008808C7"/>
    <w:rsid w:val="00880FB5"/>
    <w:rsid w:val="0088106B"/>
    <w:rsid w:val="0088107D"/>
    <w:rsid w:val="00881E64"/>
    <w:rsid w:val="00882D24"/>
    <w:rsid w:val="00882E39"/>
    <w:rsid w:val="00884028"/>
    <w:rsid w:val="008850EB"/>
    <w:rsid w:val="00885228"/>
    <w:rsid w:val="00886C32"/>
    <w:rsid w:val="00886DF2"/>
    <w:rsid w:val="00886FB9"/>
    <w:rsid w:val="00887057"/>
    <w:rsid w:val="00887080"/>
    <w:rsid w:val="00887C79"/>
    <w:rsid w:val="0089107B"/>
    <w:rsid w:val="008913CC"/>
    <w:rsid w:val="008914AE"/>
    <w:rsid w:val="008919CF"/>
    <w:rsid w:val="00891F84"/>
    <w:rsid w:val="008928EC"/>
    <w:rsid w:val="00892E5D"/>
    <w:rsid w:val="008935CF"/>
    <w:rsid w:val="0089436B"/>
    <w:rsid w:val="00894436"/>
    <w:rsid w:val="0089494C"/>
    <w:rsid w:val="00894BB1"/>
    <w:rsid w:val="008951D0"/>
    <w:rsid w:val="00895828"/>
    <w:rsid w:val="0089582D"/>
    <w:rsid w:val="008959C6"/>
    <w:rsid w:val="0089606D"/>
    <w:rsid w:val="00896129"/>
    <w:rsid w:val="00896316"/>
    <w:rsid w:val="0089774F"/>
    <w:rsid w:val="00897875"/>
    <w:rsid w:val="00897B8F"/>
    <w:rsid w:val="008A00D9"/>
    <w:rsid w:val="008A07D5"/>
    <w:rsid w:val="008A15D3"/>
    <w:rsid w:val="008A1FB7"/>
    <w:rsid w:val="008A229A"/>
    <w:rsid w:val="008A2A23"/>
    <w:rsid w:val="008A2AF5"/>
    <w:rsid w:val="008A2B5A"/>
    <w:rsid w:val="008A3F9D"/>
    <w:rsid w:val="008A4640"/>
    <w:rsid w:val="008A4B42"/>
    <w:rsid w:val="008A5474"/>
    <w:rsid w:val="008A5990"/>
    <w:rsid w:val="008A5C9A"/>
    <w:rsid w:val="008A6005"/>
    <w:rsid w:val="008A614F"/>
    <w:rsid w:val="008A6A55"/>
    <w:rsid w:val="008A6DF0"/>
    <w:rsid w:val="008A6F6E"/>
    <w:rsid w:val="008A73C4"/>
    <w:rsid w:val="008A7888"/>
    <w:rsid w:val="008A796E"/>
    <w:rsid w:val="008B0862"/>
    <w:rsid w:val="008B088C"/>
    <w:rsid w:val="008B1BF5"/>
    <w:rsid w:val="008B263F"/>
    <w:rsid w:val="008B3045"/>
    <w:rsid w:val="008B47A6"/>
    <w:rsid w:val="008B672C"/>
    <w:rsid w:val="008B6891"/>
    <w:rsid w:val="008C065F"/>
    <w:rsid w:val="008C0743"/>
    <w:rsid w:val="008C0B4C"/>
    <w:rsid w:val="008C11F0"/>
    <w:rsid w:val="008C1DBA"/>
    <w:rsid w:val="008C24E7"/>
    <w:rsid w:val="008C2500"/>
    <w:rsid w:val="008C2CAC"/>
    <w:rsid w:val="008C2E00"/>
    <w:rsid w:val="008C3C57"/>
    <w:rsid w:val="008C3E2A"/>
    <w:rsid w:val="008C444F"/>
    <w:rsid w:val="008C45BD"/>
    <w:rsid w:val="008C4B19"/>
    <w:rsid w:val="008C62D4"/>
    <w:rsid w:val="008C6B89"/>
    <w:rsid w:val="008D0341"/>
    <w:rsid w:val="008D18AA"/>
    <w:rsid w:val="008D1A2A"/>
    <w:rsid w:val="008D1ADE"/>
    <w:rsid w:val="008D26F0"/>
    <w:rsid w:val="008D347A"/>
    <w:rsid w:val="008D35D9"/>
    <w:rsid w:val="008D3B85"/>
    <w:rsid w:val="008D462D"/>
    <w:rsid w:val="008D560B"/>
    <w:rsid w:val="008D5D5A"/>
    <w:rsid w:val="008D6084"/>
    <w:rsid w:val="008D64AC"/>
    <w:rsid w:val="008D6639"/>
    <w:rsid w:val="008D66CA"/>
    <w:rsid w:val="008D69B1"/>
    <w:rsid w:val="008D7338"/>
    <w:rsid w:val="008D785E"/>
    <w:rsid w:val="008E0012"/>
    <w:rsid w:val="008E04C3"/>
    <w:rsid w:val="008E0DF7"/>
    <w:rsid w:val="008E0FAD"/>
    <w:rsid w:val="008E11E4"/>
    <w:rsid w:val="008E1252"/>
    <w:rsid w:val="008E1347"/>
    <w:rsid w:val="008E16E0"/>
    <w:rsid w:val="008E1C15"/>
    <w:rsid w:val="008E1C9A"/>
    <w:rsid w:val="008E28BD"/>
    <w:rsid w:val="008E30C4"/>
    <w:rsid w:val="008E38B4"/>
    <w:rsid w:val="008E3BA4"/>
    <w:rsid w:val="008E44AB"/>
    <w:rsid w:val="008E5179"/>
    <w:rsid w:val="008E57FE"/>
    <w:rsid w:val="008E6226"/>
    <w:rsid w:val="008E6598"/>
    <w:rsid w:val="008E7214"/>
    <w:rsid w:val="008E73D4"/>
    <w:rsid w:val="008E7884"/>
    <w:rsid w:val="008E7D6E"/>
    <w:rsid w:val="008F1056"/>
    <w:rsid w:val="008F2E8D"/>
    <w:rsid w:val="008F361D"/>
    <w:rsid w:val="008F387B"/>
    <w:rsid w:val="008F3DD9"/>
    <w:rsid w:val="008F4814"/>
    <w:rsid w:val="008F4DA6"/>
    <w:rsid w:val="008F538E"/>
    <w:rsid w:val="008F5A20"/>
    <w:rsid w:val="008F5ABA"/>
    <w:rsid w:val="008F71AB"/>
    <w:rsid w:val="008F7905"/>
    <w:rsid w:val="008F7989"/>
    <w:rsid w:val="008F7F45"/>
    <w:rsid w:val="009012A7"/>
    <w:rsid w:val="00901F1D"/>
    <w:rsid w:val="009020B3"/>
    <w:rsid w:val="009028E8"/>
    <w:rsid w:val="00902E5C"/>
    <w:rsid w:val="00902F53"/>
    <w:rsid w:val="00903128"/>
    <w:rsid w:val="0090363E"/>
    <w:rsid w:val="009046E5"/>
    <w:rsid w:val="009047C5"/>
    <w:rsid w:val="00905C37"/>
    <w:rsid w:val="00905F59"/>
    <w:rsid w:val="00910683"/>
    <w:rsid w:val="00910E00"/>
    <w:rsid w:val="00911178"/>
    <w:rsid w:val="009116CE"/>
    <w:rsid w:val="00911714"/>
    <w:rsid w:val="00911D04"/>
    <w:rsid w:val="00911EFF"/>
    <w:rsid w:val="009136D4"/>
    <w:rsid w:val="00914B9A"/>
    <w:rsid w:val="00914C3F"/>
    <w:rsid w:val="00914F33"/>
    <w:rsid w:val="00915FCE"/>
    <w:rsid w:val="00916AFE"/>
    <w:rsid w:val="00916FC8"/>
    <w:rsid w:val="009170D3"/>
    <w:rsid w:val="0091759C"/>
    <w:rsid w:val="00920026"/>
    <w:rsid w:val="009203E2"/>
    <w:rsid w:val="00920A05"/>
    <w:rsid w:val="00920F61"/>
    <w:rsid w:val="00921304"/>
    <w:rsid w:val="00921395"/>
    <w:rsid w:val="00921805"/>
    <w:rsid w:val="00921820"/>
    <w:rsid w:val="00921BFC"/>
    <w:rsid w:val="00921C94"/>
    <w:rsid w:val="00921E63"/>
    <w:rsid w:val="009225D3"/>
    <w:rsid w:val="009231E6"/>
    <w:rsid w:val="00923396"/>
    <w:rsid w:val="009235B0"/>
    <w:rsid w:val="00923F56"/>
    <w:rsid w:val="00925346"/>
    <w:rsid w:val="00925743"/>
    <w:rsid w:val="0092579F"/>
    <w:rsid w:val="00925F97"/>
    <w:rsid w:val="00926C40"/>
    <w:rsid w:val="00927E8D"/>
    <w:rsid w:val="00927F23"/>
    <w:rsid w:val="009307CD"/>
    <w:rsid w:val="00931365"/>
    <w:rsid w:val="00931451"/>
    <w:rsid w:val="009314FA"/>
    <w:rsid w:val="0093194F"/>
    <w:rsid w:val="00931BF3"/>
    <w:rsid w:val="00931C55"/>
    <w:rsid w:val="00933333"/>
    <w:rsid w:val="0093349A"/>
    <w:rsid w:val="009338BA"/>
    <w:rsid w:val="00933FCB"/>
    <w:rsid w:val="00934CEC"/>
    <w:rsid w:val="00934E69"/>
    <w:rsid w:val="00935E70"/>
    <w:rsid w:val="0093609A"/>
    <w:rsid w:val="0093621D"/>
    <w:rsid w:val="009370D1"/>
    <w:rsid w:val="00937401"/>
    <w:rsid w:val="009375AD"/>
    <w:rsid w:val="009376FB"/>
    <w:rsid w:val="00937D6B"/>
    <w:rsid w:val="00940477"/>
    <w:rsid w:val="00940876"/>
    <w:rsid w:val="00940A53"/>
    <w:rsid w:val="00940F3C"/>
    <w:rsid w:val="009410E0"/>
    <w:rsid w:val="009413C0"/>
    <w:rsid w:val="009415BB"/>
    <w:rsid w:val="00941FA9"/>
    <w:rsid w:val="009444B4"/>
    <w:rsid w:val="00944644"/>
    <w:rsid w:val="00945A66"/>
    <w:rsid w:val="00946A24"/>
    <w:rsid w:val="009470D4"/>
    <w:rsid w:val="00947337"/>
    <w:rsid w:val="00947E6E"/>
    <w:rsid w:val="00950ABC"/>
    <w:rsid w:val="009512FA"/>
    <w:rsid w:val="00951308"/>
    <w:rsid w:val="009516A9"/>
    <w:rsid w:val="00951E57"/>
    <w:rsid w:val="00952505"/>
    <w:rsid w:val="00953018"/>
    <w:rsid w:val="00953235"/>
    <w:rsid w:val="009533E2"/>
    <w:rsid w:val="00953554"/>
    <w:rsid w:val="0095385A"/>
    <w:rsid w:val="00953F49"/>
    <w:rsid w:val="00955272"/>
    <w:rsid w:val="00956628"/>
    <w:rsid w:val="0095780A"/>
    <w:rsid w:val="009578C3"/>
    <w:rsid w:val="009579E4"/>
    <w:rsid w:val="00957AA4"/>
    <w:rsid w:val="00957ACB"/>
    <w:rsid w:val="00957F27"/>
    <w:rsid w:val="00960156"/>
    <w:rsid w:val="00960BDB"/>
    <w:rsid w:val="00960D2E"/>
    <w:rsid w:val="0096105C"/>
    <w:rsid w:val="0096147D"/>
    <w:rsid w:val="00961D28"/>
    <w:rsid w:val="00961D53"/>
    <w:rsid w:val="00961E5F"/>
    <w:rsid w:val="009625C6"/>
    <w:rsid w:val="009629B5"/>
    <w:rsid w:val="00962A50"/>
    <w:rsid w:val="0096409A"/>
    <w:rsid w:val="00964138"/>
    <w:rsid w:val="009648D6"/>
    <w:rsid w:val="00964B3F"/>
    <w:rsid w:val="00964C98"/>
    <w:rsid w:val="00966B37"/>
    <w:rsid w:val="00971441"/>
    <w:rsid w:val="009715D4"/>
    <w:rsid w:val="0097179A"/>
    <w:rsid w:val="009732A4"/>
    <w:rsid w:val="009739A8"/>
    <w:rsid w:val="00973C05"/>
    <w:rsid w:val="0097423A"/>
    <w:rsid w:val="009745CF"/>
    <w:rsid w:val="0097494E"/>
    <w:rsid w:val="00974999"/>
    <w:rsid w:val="00974B58"/>
    <w:rsid w:val="00975445"/>
    <w:rsid w:val="00975868"/>
    <w:rsid w:val="009761ED"/>
    <w:rsid w:val="00980206"/>
    <w:rsid w:val="0098022F"/>
    <w:rsid w:val="009806F8"/>
    <w:rsid w:val="00980EAB"/>
    <w:rsid w:val="009810DE"/>
    <w:rsid w:val="00981B91"/>
    <w:rsid w:val="00981DFC"/>
    <w:rsid w:val="00982055"/>
    <w:rsid w:val="009822D7"/>
    <w:rsid w:val="009827E6"/>
    <w:rsid w:val="00982F84"/>
    <w:rsid w:val="009836FA"/>
    <w:rsid w:val="0098427D"/>
    <w:rsid w:val="00984567"/>
    <w:rsid w:val="00984B16"/>
    <w:rsid w:val="00984EF2"/>
    <w:rsid w:val="00985102"/>
    <w:rsid w:val="009854BC"/>
    <w:rsid w:val="00985DF5"/>
    <w:rsid w:val="0098606C"/>
    <w:rsid w:val="009865D5"/>
    <w:rsid w:val="00986DF4"/>
    <w:rsid w:val="009876F2"/>
    <w:rsid w:val="00987C77"/>
    <w:rsid w:val="00987FED"/>
    <w:rsid w:val="00990345"/>
    <w:rsid w:val="00990395"/>
    <w:rsid w:val="0099042D"/>
    <w:rsid w:val="00990701"/>
    <w:rsid w:val="0099119C"/>
    <w:rsid w:val="0099137A"/>
    <w:rsid w:val="00991649"/>
    <w:rsid w:val="0099211C"/>
    <w:rsid w:val="0099349E"/>
    <w:rsid w:val="00993B78"/>
    <w:rsid w:val="00993DBE"/>
    <w:rsid w:val="00995119"/>
    <w:rsid w:val="0099531F"/>
    <w:rsid w:val="009953AD"/>
    <w:rsid w:val="0099583D"/>
    <w:rsid w:val="00996020"/>
    <w:rsid w:val="0099676B"/>
    <w:rsid w:val="00996992"/>
    <w:rsid w:val="00996E1E"/>
    <w:rsid w:val="00996E3D"/>
    <w:rsid w:val="00997148"/>
    <w:rsid w:val="00997392"/>
    <w:rsid w:val="0099747C"/>
    <w:rsid w:val="0099771C"/>
    <w:rsid w:val="009A01E4"/>
    <w:rsid w:val="009A0917"/>
    <w:rsid w:val="009A0A33"/>
    <w:rsid w:val="009A1351"/>
    <w:rsid w:val="009A19A3"/>
    <w:rsid w:val="009A2435"/>
    <w:rsid w:val="009A254A"/>
    <w:rsid w:val="009A35DC"/>
    <w:rsid w:val="009A38AB"/>
    <w:rsid w:val="009A3D47"/>
    <w:rsid w:val="009A4D63"/>
    <w:rsid w:val="009A5356"/>
    <w:rsid w:val="009A5468"/>
    <w:rsid w:val="009A5D99"/>
    <w:rsid w:val="009A608C"/>
    <w:rsid w:val="009A6FDF"/>
    <w:rsid w:val="009A715F"/>
    <w:rsid w:val="009A76D6"/>
    <w:rsid w:val="009B0331"/>
    <w:rsid w:val="009B2374"/>
    <w:rsid w:val="009B2A8C"/>
    <w:rsid w:val="009B2E29"/>
    <w:rsid w:val="009B3163"/>
    <w:rsid w:val="009B38A8"/>
    <w:rsid w:val="009B422F"/>
    <w:rsid w:val="009B46BC"/>
    <w:rsid w:val="009B4D1A"/>
    <w:rsid w:val="009B4D85"/>
    <w:rsid w:val="009B502F"/>
    <w:rsid w:val="009B558B"/>
    <w:rsid w:val="009B5F29"/>
    <w:rsid w:val="009B6A34"/>
    <w:rsid w:val="009B6D21"/>
    <w:rsid w:val="009B7780"/>
    <w:rsid w:val="009B78ED"/>
    <w:rsid w:val="009B7FEE"/>
    <w:rsid w:val="009C181C"/>
    <w:rsid w:val="009C1A44"/>
    <w:rsid w:val="009C1C7F"/>
    <w:rsid w:val="009C1EC7"/>
    <w:rsid w:val="009C28A2"/>
    <w:rsid w:val="009C3239"/>
    <w:rsid w:val="009C352D"/>
    <w:rsid w:val="009C372C"/>
    <w:rsid w:val="009C37CE"/>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2FA"/>
    <w:rsid w:val="009C78A3"/>
    <w:rsid w:val="009C7E68"/>
    <w:rsid w:val="009D00D7"/>
    <w:rsid w:val="009D0156"/>
    <w:rsid w:val="009D05DA"/>
    <w:rsid w:val="009D0A8E"/>
    <w:rsid w:val="009D11F6"/>
    <w:rsid w:val="009D1A14"/>
    <w:rsid w:val="009D1E2A"/>
    <w:rsid w:val="009D1FA0"/>
    <w:rsid w:val="009D2BDF"/>
    <w:rsid w:val="009D3736"/>
    <w:rsid w:val="009D44F3"/>
    <w:rsid w:val="009D4529"/>
    <w:rsid w:val="009D4F31"/>
    <w:rsid w:val="009D604F"/>
    <w:rsid w:val="009D61BB"/>
    <w:rsid w:val="009D638C"/>
    <w:rsid w:val="009D6410"/>
    <w:rsid w:val="009D68BB"/>
    <w:rsid w:val="009D70C2"/>
    <w:rsid w:val="009D7ADB"/>
    <w:rsid w:val="009D7B33"/>
    <w:rsid w:val="009E06C3"/>
    <w:rsid w:val="009E0703"/>
    <w:rsid w:val="009E1035"/>
    <w:rsid w:val="009E16DA"/>
    <w:rsid w:val="009E1CD4"/>
    <w:rsid w:val="009E22E8"/>
    <w:rsid w:val="009E2391"/>
    <w:rsid w:val="009E239A"/>
    <w:rsid w:val="009E2EF9"/>
    <w:rsid w:val="009E34A5"/>
    <w:rsid w:val="009E476A"/>
    <w:rsid w:val="009E4E05"/>
    <w:rsid w:val="009E56FF"/>
    <w:rsid w:val="009E5CB1"/>
    <w:rsid w:val="009E5E56"/>
    <w:rsid w:val="009E61EA"/>
    <w:rsid w:val="009E6343"/>
    <w:rsid w:val="009E6990"/>
    <w:rsid w:val="009E6FEE"/>
    <w:rsid w:val="009E7AA2"/>
    <w:rsid w:val="009E7DE3"/>
    <w:rsid w:val="009F00B9"/>
    <w:rsid w:val="009F060F"/>
    <w:rsid w:val="009F0781"/>
    <w:rsid w:val="009F0850"/>
    <w:rsid w:val="009F1BDF"/>
    <w:rsid w:val="009F1EAE"/>
    <w:rsid w:val="009F230B"/>
    <w:rsid w:val="009F369D"/>
    <w:rsid w:val="009F36FE"/>
    <w:rsid w:val="009F4990"/>
    <w:rsid w:val="009F4F25"/>
    <w:rsid w:val="009F59C2"/>
    <w:rsid w:val="009F5A5A"/>
    <w:rsid w:val="009F7263"/>
    <w:rsid w:val="009F76EA"/>
    <w:rsid w:val="009F78EB"/>
    <w:rsid w:val="009F7F32"/>
    <w:rsid w:val="009F7FEB"/>
    <w:rsid w:val="00A001C8"/>
    <w:rsid w:val="00A003D5"/>
    <w:rsid w:val="00A01852"/>
    <w:rsid w:val="00A0188B"/>
    <w:rsid w:val="00A01E73"/>
    <w:rsid w:val="00A023E7"/>
    <w:rsid w:val="00A02B88"/>
    <w:rsid w:val="00A03160"/>
    <w:rsid w:val="00A036AC"/>
    <w:rsid w:val="00A03C54"/>
    <w:rsid w:val="00A03DE5"/>
    <w:rsid w:val="00A041BC"/>
    <w:rsid w:val="00A0447F"/>
    <w:rsid w:val="00A046D2"/>
    <w:rsid w:val="00A04A54"/>
    <w:rsid w:val="00A05B4B"/>
    <w:rsid w:val="00A066C3"/>
    <w:rsid w:val="00A06754"/>
    <w:rsid w:val="00A069E0"/>
    <w:rsid w:val="00A06E4A"/>
    <w:rsid w:val="00A06EE8"/>
    <w:rsid w:val="00A070E9"/>
    <w:rsid w:val="00A078FB"/>
    <w:rsid w:val="00A1036D"/>
    <w:rsid w:val="00A1069F"/>
    <w:rsid w:val="00A10ACA"/>
    <w:rsid w:val="00A10D08"/>
    <w:rsid w:val="00A11E78"/>
    <w:rsid w:val="00A12355"/>
    <w:rsid w:val="00A12411"/>
    <w:rsid w:val="00A127D2"/>
    <w:rsid w:val="00A13CF5"/>
    <w:rsid w:val="00A143EC"/>
    <w:rsid w:val="00A149E8"/>
    <w:rsid w:val="00A1500F"/>
    <w:rsid w:val="00A15621"/>
    <w:rsid w:val="00A15670"/>
    <w:rsid w:val="00A157A0"/>
    <w:rsid w:val="00A1585B"/>
    <w:rsid w:val="00A15C19"/>
    <w:rsid w:val="00A15FE9"/>
    <w:rsid w:val="00A16052"/>
    <w:rsid w:val="00A16809"/>
    <w:rsid w:val="00A16864"/>
    <w:rsid w:val="00A17769"/>
    <w:rsid w:val="00A17934"/>
    <w:rsid w:val="00A17EA2"/>
    <w:rsid w:val="00A20264"/>
    <w:rsid w:val="00A20997"/>
    <w:rsid w:val="00A213DD"/>
    <w:rsid w:val="00A21454"/>
    <w:rsid w:val="00A216CE"/>
    <w:rsid w:val="00A22025"/>
    <w:rsid w:val="00A22498"/>
    <w:rsid w:val="00A22571"/>
    <w:rsid w:val="00A2298D"/>
    <w:rsid w:val="00A22A93"/>
    <w:rsid w:val="00A24560"/>
    <w:rsid w:val="00A25B0F"/>
    <w:rsid w:val="00A25BBB"/>
    <w:rsid w:val="00A25D1E"/>
    <w:rsid w:val="00A27207"/>
    <w:rsid w:val="00A27FB6"/>
    <w:rsid w:val="00A30121"/>
    <w:rsid w:val="00A30368"/>
    <w:rsid w:val="00A3043A"/>
    <w:rsid w:val="00A30E02"/>
    <w:rsid w:val="00A30F6A"/>
    <w:rsid w:val="00A311C3"/>
    <w:rsid w:val="00A3161C"/>
    <w:rsid w:val="00A31C3E"/>
    <w:rsid w:val="00A32D39"/>
    <w:rsid w:val="00A34538"/>
    <w:rsid w:val="00A34677"/>
    <w:rsid w:val="00A3540F"/>
    <w:rsid w:val="00A35630"/>
    <w:rsid w:val="00A35914"/>
    <w:rsid w:val="00A36189"/>
    <w:rsid w:val="00A37E73"/>
    <w:rsid w:val="00A37FB6"/>
    <w:rsid w:val="00A409E2"/>
    <w:rsid w:val="00A4104A"/>
    <w:rsid w:val="00A41081"/>
    <w:rsid w:val="00A411CA"/>
    <w:rsid w:val="00A42080"/>
    <w:rsid w:val="00A42096"/>
    <w:rsid w:val="00A426F3"/>
    <w:rsid w:val="00A42E8D"/>
    <w:rsid w:val="00A42FDF"/>
    <w:rsid w:val="00A430A9"/>
    <w:rsid w:val="00A431FE"/>
    <w:rsid w:val="00A439E5"/>
    <w:rsid w:val="00A4497A"/>
    <w:rsid w:val="00A44BE8"/>
    <w:rsid w:val="00A44C96"/>
    <w:rsid w:val="00A44CDD"/>
    <w:rsid w:val="00A44F54"/>
    <w:rsid w:val="00A45346"/>
    <w:rsid w:val="00A45EC5"/>
    <w:rsid w:val="00A45F9B"/>
    <w:rsid w:val="00A46574"/>
    <w:rsid w:val="00A4720E"/>
    <w:rsid w:val="00A475BC"/>
    <w:rsid w:val="00A500B1"/>
    <w:rsid w:val="00A52A53"/>
    <w:rsid w:val="00A52EE5"/>
    <w:rsid w:val="00A53037"/>
    <w:rsid w:val="00A532B9"/>
    <w:rsid w:val="00A5351D"/>
    <w:rsid w:val="00A53E79"/>
    <w:rsid w:val="00A54031"/>
    <w:rsid w:val="00A5426D"/>
    <w:rsid w:val="00A5443F"/>
    <w:rsid w:val="00A5471D"/>
    <w:rsid w:val="00A54752"/>
    <w:rsid w:val="00A548FA"/>
    <w:rsid w:val="00A54FC2"/>
    <w:rsid w:val="00A55122"/>
    <w:rsid w:val="00A55CEA"/>
    <w:rsid w:val="00A56DE7"/>
    <w:rsid w:val="00A57EB2"/>
    <w:rsid w:val="00A6009E"/>
    <w:rsid w:val="00A60265"/>
    <w:rsid w:val="00A60B1F"/>
    <w:rsid w:val="00A613E5"/>
    <w:rsid w:val="00A614DA"/>
    <w:rsid w:val="00A61C60"/>
    <w:rsid w:val="00A62589"/>
    <w:rsid w:val="00A62AD0"/>
    <w:rsid w:val="00A62C3A"/>
    <w:rsid w:val="00A6319C"/>
    <w:rsid w:val="00A63812"/>
    <w:rsid w:val="00A63DF7"/>
    <w:rsid w:val="00A6454D"/>
    <w:rsid w:val="00A64F18"/>
    <w:rsid w:val="00A64F2F"/>
    <w:rsid w:val="00A65505"/>
    <w:rsid w:val="00A658C0"/>
    <w:rsid w:val="00A6611E"/>
    <w:rsid w:val="00A6634D"/>
    <w:rsid w:val="00A668BA"/>
    <w:rsid w:val="00A66FA7"/>
    <w:rsid w:val="00A67E16"/>
    <w:rsid w:val="00A67E2C"/>
    <w:rsid w:val="00A67EB1"/>
    <w:rsid w:val="00A703CC"/>
    <w:rsid w:val="00A70ABC"/>
    <w:rsid w:val="00A70C5C"/>
    <w:rsid w:val="00A710A2"/>
    <w:rsid w:val="00A719D1"/>
    <w:rsid w:val="00A71EA7"/>
    <w:rsid w:val="00A730AD"/>
    <w:rsid w:val="00A730EE"/>
    <w:rsid w:val="00A733C4"/>
    <w:rsid w:val="00A73855"/>
    <w:rsid w:val="00A73D64"/>
    <w:rsid w:val="00A74216"/>
    <w:rsid w:val="00A744B4"/>
    <w:rsid w:val="00A751E3"/>
    <w:rsid w:val="00A75282"/>
    <w:rsid w:val="00A75504"/>
    <w:rsid w:val="00A75FD7"/>
    <w:rsid w:val="00A77168"/>
    <w:rsid w:val="00A7723B"/>
    <w:rsid w:val="00A7793C"/>
    <w:rsid w:val="00A77D21"/>
    <w:rsid w:val="00A77FDE"/>
    <w:rsid w:val="00A80040"/>
    <w:rsid w:val="00A80085"/>
    <w:rsid w:val="00A8043B"/>
    <w:rsid w:val="00A80DA0"/>
    <w:rsid w:val="00A81323"/>
    <w:rsid w:val="00A820CB"/>
    <w:rsid w:val="00A82342"/>
    <w:rsid w:val="00A83BEF"/>
    <w:rsid w:val="00A84443"/>
    <w:rsid w:val="00A8487F"/>
    <w:rsid w:val="00A849A3"/>
    <w:rsid w:val="00A849D9"/>
    <w:rsid w:val="00A84A0E"/>
    <w:rsid w:val="00A84ECB"/>
    <w:rsid w:val="00A86E0B"/>
    <w:rsid w:val="00A874BB"/>
    <w:rsid w:val="00A90F12"/>
    <w:rsid w:val="00A91DAA"/>
    <w:rsid w:val="00A92261"/>
    <w:rsid w:val="00A92F6D"/>
    <w:rsid w:val="00A93101"/>
    <w:rsid w:val="00A9413E"/>
    <w:rsid w:val="00A94281"/>
    <w:rsid w:val="00A94293"/>
    <w:rsid w:val="00A9496E"/>
    <w:rsid w:val="00A949F0"/>
    <w:rsid w:val="00A94BDE"/>
    <w:rsid w:val="00A94FCA"/>
    <w:rsid w:val="00A95E4C"/>
    <w:rsid w:val="00A96C60"/>
    <w:rsid w:val="00A9740B"/>
    <w:rsid w:val="00A9766C"/>
    <w:rsid w:val="00A977F8"/>
    <w:rsid w:val="00A979DB"/>
    <w:rsid w:val="00A97C93"/>
    <w:rsid w:val="00AA06C3"/>
    <w:rsid w:val="00AA08E7"/>
    <w:rsid w:val="00AA0A06"/>
    <w:rsid w:val="00AA1351"/>
    <w:rsid w:val="00AA184C"/>
    <w:rsid w:val="00AA1C84"/>
    <w:rsid w:val="00AA20FA"/>
    <w:rsid w:val="00AA3D7B"/>
    <w:rsid w:val="00AA4234"/>
    <w:rsid w:val="00AA42A0"/>
    <w:rsid w:val="00AA442B"/>
    <w:rsid w:val="00AA46A4"/>
    <w:rsid w:val="00AA568B"/>
    <w:rsid w:val="00AA5779"/>
    <w:rsid w:val="00AA58A1"/>
    <w:rsid w:val="00AA59B5"/>
    <w:rsid w:val="00AA5C67"/>
    <w:rsid w:val="00AA5CAB"/>
    <w:rsid w:val="00AA61C7"/>
    <w:rsid w:val="00AA669D"/>
    <w:rsid w:val="00AA66ED"/>
    <w:rsid w:val="00AA6B59"/>
    <w:rsid w:val="00AA6BE1"/>
    <w:rsid w:val="00AA7416"/>
    <w:rsid w:val="00AA7A60"/>
    <w:rsid w:val="00AA7B42"/>
    <w:rsid w:val="00AB041C"/>
    <w:rsid w:val="00AB14E8"/>
    <w:rsid w:val="00AB1B1D"/>
    <w:rsid w:val="00AB2216"/>
    <w:rsid w:val="00AB358D"/>
    <w:rsid w:val="00AB37A1"/>
    <w:rsid w:val="00AB3BAD"/>
    <w:rsid w:val="00AB3CF0"/>
    <w:rsid w:val="00AB3CFD"/>
    <w:rsid w:val="00AB4244"/>
    <w:rsid w:val="00AB49BC"/>
    <w:rsid w:val="00AB4DEE"/>
    <w:rsid w:val="00AB4E32"/>
    <w:rsid w:val="00AB5C19"/>
    <w:rsid w:val="00AB6602"/>
    <w:rsid w:val="00AB6F0D"/>
    <w:rsid w:val="00AB724B"/>
    <w:rsid w:val="00AB726C"/>
    <w:rsid w:val="00AB72B4"/>
    <w:rsid w:val="00AC02AA"/>
    <w:rsid w:val="00AC0537"/>
    <w:rsid w:val="00AC0A84"/>
    <w:rsid w:val="00AC1508"/>
    <w:rsid w:val="00AC2A0B"/>
    <w:rsid w:val="00AC2BEE"/>
    <w:rsid w:val="00AC2E53"/>
    <w:rsid w:val="00AC484F"/>
    <w:rsid w:val="00AC4B20"/>
    <w:rsid w:val="00AC56F2"/>
    <w:rsid w:val="00AC71C3"/>
    <w:rsid w:val="00AC7E3D"/>
    <w:rsid w:val="00AD04AE"/>
    <w:rsid w:val="00AD09F7"/>
    <w:rsid w:val="00AD1EFA"/>
    <w:rsid w:val="00AD2072"/>
    <w:rsid w:val="00AD28C4"/>
    <w:rsid w:val="00AD2DBD"/>
    <w:rsid w:val="00AD2FBF"/>
    <w:rsid w:val="00AD340E"/>
    <w:rsid w:val="00AD3E34"/>
    <w:rsid w:val="00AD455D"/>
    <w:rsid w:val="00AD463C"/>
    <w:rsid w:val="00AD4F60"/>
    <w:rsid w:val="00AD5044"/>
    <w:rsid w:val="00AD5114"/>
    <w:rsid w:val="00AD6236"/>
    <w:rsid w:val="00AD69D5"/>
    <w:rsid w:val="00AD6FD3"/>
    <w:rsid w:val="00AD7619"/>
    <w:rsid w:val="00AD7770"/>
    <w:rsid w:val="00AE1772"/>
    <w:rsid w:val="00AE1990"/>
    <w:rsid w:val="00AE1D23"/>
    <w:rsid w:val="00AE25C0"/>
    <w:rsid w:val="00AE25E8"/>
    <w:rsid w:val="00AE2896"/>
    <w:rsid w:val="00AE2AD4"/>
    <w:rsid w:val="00AE2CA7"/>
    <w:rsid w:val="00AE2F1D"/>
    <w:rsid w:val="00AE3E84"/>
    <w:rsid w:val="00AE4C81"/>
    <w:rsid w:val="00AE586F"/>
    <w:rsid w:val="00AE6582"/>
    <w:rsid w:val="00AE6DC5"/>
    <w:rsid w:val="00AE7686"/>
    <w:rsid w:val="00AE799A"/>
    <w:rsid w:val="00AF041E"/>
    <w:rsid w:val="00AF0E81"/>
    <w:rsid w:val="00AF117A"/>
    <w:rsid w:val="00AF16CA"/>
    <w:rsid w:val="00AF186E"/>
    <w:rsid w:val="00AF19DF"/>
    <w:rsid w:val="00AF1CDF"/>
    <w:rsid w:val="00AF1D41"/>
    <w:rsid w:val="00AF26CF"/>
    <w:rsid w:val="00AF344D"/>
    <w:rsid w:val="00AF39B3"/>
    <w:rsid w:val="00AF3E1D"/>
    <w:rsid w:val="00AF4402"/>
    <w:rsid w:val="00AF4639"/>
    <w:rsid w:val="00AF4E92"/>
    <w:rsid w:val="00AF554B"/>
    <w:rsid w:val="00AF5C9B"/>
    <w:rsid w:val="00AF5CED"/>
    <w:rsid w:val="00AF5D53"/>
    <w:rsid w:val="00AF5E2D"/>
    <w:rsid w:val="00AF644B"/>
    <w:rsid w:val="00AF69EB"/>
    <w:rsid w:val="00AF6CA6"/>
    <w:rsid w:val="00AF6D46"/>
    <w:rsid w:val="00AF6EB6"/>
    <w:rsid w:val="00AF7796"/>
    <w:rsid w:val="00AF7E9B"/>
    <w:rsid w:val="00B00199"/>
    <w:rsid w:val="00B008C1"/>
    <w:rsid w:val="00B011A7"/>
    <w:rsid w:val="00B011A9"/>
    <w:rsid w:val="00B01BAF"/>
    <w:rsid w:val="00B024ED"/>
    <w:rsid w:val="00B026B8"/>
    <w:rsid w:val="00B02EB3"/>
    <w:rsid w:val="00B02FCB"/>
    <w:rsid w:val="00B033F8"/>
    <w:rsid w:val="00B03C1E"/>
    <w:rsid w:val="00B04400"/>
    <w:rsid w:val="00B04835"/>
    <w:rsid w:val="00B05A55"/>
    <w:rsid w:val="00B05DE1"/>
    <w:rsid w:val="00B06125"/>
    <w:rsid w:val="00B06595"/>
    <w:rsid w:val="00B10109"/>
    <w:rsid w:val="00B10776"/>
    <w:rsid w:val="00B1085E"/>
    <w:rsid w:val="00B10FD1"/>
    <w:rsid w:val="00B1219D"/>
    <w:rsid w:val="00B12735"/>
    <w:rsid w:val="00B12F44"/>
    <w:rsid w:val="00B12FBF"/>
    <w:rsid w:val="00B13C48"/>
    <w:rsid w:val="00B13D5C"/>
    <w:rsid w:val="00B13E35"/>
    <w:rsid w:val="00B13EC0"/>
    <w:rsid w:val="00B14102"/>
    <w:rsid w:val="00B14D32"/>
    <w:rsid w:val="00B1557C"/>
    <w:rsid w:val="00B155DC"/>
    <w:rsid w:val="00B15766"/>
    <w:rsid w:val="00B15E4A"/>
    <w:rsid w:val="00B16143"/>
    <w:rsid w:val="00B1666A"/>
    <w:rsid w:val="00B1686D"/>
    <w:rsid w:val="00B16BF7"/>
    <w:rsid w:val="00B17129"/>
    <w:rsid w:val="00B1741D"/>
    <w:rsid w:val="00B17447"/>
    <w:rsid w:val="00B1771D"/>
    <w:rsid w:val="00B1789A"/>
    <w:rsid w:val="00B17B91"/>
    <w:rsid w:val="00B20209"/>
    <w:rsid w:val="00B203C9"/>
    <w:rsid w:val="00B2088D"/>
    <w:rsid w:val="00B208FF"/>
    <w:rsid w:val="00B20943"/>
    <w:rsid w:val="00B21E00"/>
    <w:rsid w:val="00B22BC4"/>
    <w:rsid w:val="00B22E22"/>
    <w:rsid w:val="00B22F5F"/>
    <w:rsid w:val="00B230C9"/>
    <w:rsid w:val="00B231D9"/>
    <w:rsid w:val="00B23640"/>
    <w:rsid w:val="00B23813"/>
    <w:rsid w:val="00B23FD9"/>
    <w:rsid w:val="00B24591"/>
    <w:rsid w:val="00B245D5"/>
    <w:rsid w:val="00B245EF"/>
    <w:rsid w:val="00B24C36"/>
    <w:rsid w:val="00B24F94"/>
    <w:rsid w:val="00B25126"/>
    <w:rsid w:val="00B25A52"/>
    <w:rsid w:val="00B25FC3"/>
    <w:rsid w:val="00B27211"/>
    <w:rsid w:val="00B27875"/>
    <w:rsid w:val="00B27BB5"/>
    <w:rsid w:val="00B3008D"/>
    <w:rsid w:val="00B30E11"/>
    <w:rsid w:val="00B30EAE"/>
    <w:rsid w:val="00B30EEB"/>
    <w:rsid w:val="00B31339"/>
    <w:rsid w:val="00B31423"/>
    <w:rsid w:val="00B319B1"/>
    <w:rsid w:val="00B323E0"/>
    <w:rsid w:val="00B32DC0"/>
    <w:rsid w:val="00B3346C"/>
    <w:rsid w:val="00B335E4"/>
    <w:rsid w:val="00B33C23"/>
    <w:rsid w:val="00B345B4"/>
    <w:rsid w:val="00B348B1"/>
    <w:rsid w:val="00B34A28"/>
    <w:rsid w:val="00B35046"/>
    <w:rsid w:val="00B35B6A"/>
    <w:rsid w:val="00B35C51"/>
    <w:rsid w:val="00B35DAA"/>
    <w:rsid w:val="00B36D2B"/>
    <w:rsid w:val="00B37657"/>
    <w:rsid w:val="00B37AFD"/>
    <w:rsid w:val="00B37B07"/>
    <w:rsid w:val="00B4046F"/>
    <w:rsid w:val="00B406B3"/>
    <w:rsid w:val="00B40900"/>
    <w:rsid w:val="00B40A36"/>
    <w:rsid w:val="00B40DCB"/>
    <w:rsid w:val="00B40F5C"/>
    <w:rsid w:val="00B41D39"/>
    <w:rsid w:val="00B422C0"/>
    <w:rsid w:val="00B426CA"/>
    <w:rsid w:val="00B426E1"/>
    <w:rsid w:val="00B4284A"/>
    <w:rsid w:val="00B42F6D"/>
    <w:rsid w:val="00B43449"/>
    <w:rsid w:val="00B4387A"/>
    <w:rsid w:val="00B441D0"/>
    <w:rsid w:val="00B44746"/>
    <w:rsid w:val="00B44854"/>
    <w:rsid w:val="00B44BA5"/>
    <w:rsid w:val="00B4565B"/>
    <w:rsid w:val="00B458D0"/>
    <w:rsid w:val="00B46915"/>
    <w:rsid w:val="00B4792C"/>
    <w:rsid w:val="00B50CAE"/>
    <w:rsid w:val="00B50E01"/>
    <w:rsid w:val="00B512AD"/>
    <w:rsid w:val="00B5196C"/>
    <w:rsid w:val="00B525CB"/>
    <w:rsid w:val="00B52697"/>
    <w:rsid w:val="00B54D8F"/>
    <w:rsid w:val="00B55857"/>
    <w:rsid w:val="00B55C69"/>
    <w:rsid w:val="00B56851"/>
    <w:rsid w:val="00B569D4"/>
    <w:rsid w:val="00B56BA8"/>
    <w:rsid w:val="00B56D6E"/>
    <w:rsid w:val="00B572F7"/>
    <w:rsid w:val="00B57B9D"/>
    <w:rsid w:val="00B57DAF"/>
    <w:rsid w:val="00B60094"/>
    <w:rsid w:val="00B6022C"/>
    <w:rsid w:val="00B6043F"/>
    <w:rsid w:val="00B614F8"/>
    <w:rsid w:val="00B61994"/>
    <w:rsid w:val="00B61AB7"/>
    <w:rsid w:val="00B61C1F"/>
    <w:rsid w:val="00B61FD4"/>
    <w:rsid w:val="00B62880"/>
    <w:rsid w:val="00B63872"/>
    <w:rsid w:val="00B63CB2"/>
    <w:rsid w:val="00B64246"/>
    <w:rsid w:val="00B64EDB"/>
    <w:rsid w:val="00B65938"/>
    <w:rsid w:val="00B65C8A"/>
    <w:rsid w:val="00B65CE2"/>
    <w:rsid w:val="00B660AD"/>
    <w:rsid w:val="00B66109"/>
    <w:rsid w:val="00B66222"/>
    <w:rsid w:val="00B66349"/>
    <w:rsid w:val="00B66CB4"/>
    <w:rsid w:val="00B67007"/>
    <w:rsid w:val="00B67903"/>
    <w:rsid w:val="00B67FBF"/>
    <w:rsid w:val="00B70832"/>
    <w:rsid w:val="00B70E98"/>
    <w:rsid w:val="00B71376"/>
    <w:rsid w:val="00B71617"/>
    <w:rsid w:val="00B716D7"/>
    <w:rsid w:val="00B72110"/>
    <w:rsid w:val="00B72B91"/>
    <w:rsid w:val="00B73019"/>
    <w:rsid w:val="00B7315F"/>
    <w:rsid w:val="00B7323A"/>
    <w:rsid w:val="00B7353B"/>
    <w:rsid w:val="00B737FB"/>
    <w:rsid w:val="00B73E5D"/>
    <w:rsid w:val="00B73EF3"/>
    <w:rsid w:val="00B7423D"/>
    <w:rsid w:val="00B74D05"/>
    <w:rsid w:val="00B75893"/>
    <w:rsid w:val="00B75C5A"/>
    <w:rsid w:val="00B766DC"/>
    <w:rsid w:val="00B77666"/>
    <w:rsid w:val="00B777FA"/>
    <w:rsid w:val="00B77850"/>
    <w:rsid w:val="00B7796B"/>
    <w:rsid w:val="00B77E72"/>
    <w:rsid w:val="00B80C72"/>
    <w:rsid w:val="00B81964"/>
    <w:rsid w:val="00B81E6F"/>
    <w:rsid w:val="00B82123"/>
    <w:rsid w:val="00B8225B"/>
    <w:rsid w:val="00B82BB5"/>
    <w:rsid w:val="00B83182"/>
    <w:rsid w:val="00B839F0"/>
    <w:rsid w:val="00B851E4"/>
    <w:rsid w:val="00B854CE"/>
    <w:rsid w:val="00B85681"/>
    <w:rsid w:val="00B857EB"/>
    <w:rsid w:val="00B86162"/>
    <w:rsid w:val="00B86877"/>
    <w:rsid w:val="00B8695D"/>
    <w:rsid w:val="00B86E66"/>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5220"/>
    <w:rsid w:val="00B95464"/>
    <w:rsid w:val="00B95C30"/>
    <w:rsid w:val="00B95D2F"/>
    <w:rsid w:val="00B95E3D"/>
    <w:rsid w:val="00B9691F"/>
    <w:rsid w:val="00B96EEC"/>
    <w:rsid w:val="00B97392"/>
    <w:rsid w:val="00B976C7"/>
    <w:rsid w:val="00BA0B40"/>
    <w:rsid w:val="00BA0C54"/>
    <w:rsid w:val="00BA1382"/>
    <w:rsid w:val="00BA15E3"/>
    <w:rsid w:val="00BA1A8C"/>
    <w:rsid w:val="00BA20D8"/>
    <w:rsid w:val="00BA22FC"/>
    <w:rsid w:val="00BA2C2A"/>
    <w:rsid w:val="00BA2F30"/>
    <w:rsid w:val="00BA3982"/>
    <w:rsid w:val="00BA425B"/>
    <w:rsid w:val="00BA4771"/>
    <w:rsid w:val="00BA495A"/>
    <w:rsid w:val="00BA5027"/>
    <w:rsid w:val="00BA59F2"/>
    <w:rsid w:val="00BA665B"/>
    <w:rsid w:val="00BA686B"/>
    <w:rsid w:val="00BA6C6A"/>
    <w:rsid w:val="00BA6FE8"/>
    <w:rsid w:val="00BA732D"/>
    <w:rsid w:val="00BA7370"/>
    <w:rsid w:val="00BA778B"/>
    <w:rsid w:val="00BA7929"/>
    <w:rsid w:val="00BB0888"/>
    <w:rsid w:val="00BB0DF1"/>
    <w:rsid w:val="00BB0E9B"/>
    <w:rsid w:val="00BB2841"/>
    <w:rsid w:val="00BB2A74"/>
    <w:rsid w:val="00BB300F"/>
    <w:rsid w:val="00BB32C9"/>
    <w:rsid w:val="00BB35C5"/>
    <w:rsid w:val="00BB4C8E"/>
    <w:rsid w:val="00BB57ED"/>
    <w:rsid w:val="00BB5C60"/>
    <w:rsid w:val="00BB65C3"/>
    <w:rsid w:val="00BB662E"/>
    <w:rsid w:val="00BB67A9"/>
    <w:rsid w:val="00BB6C01"/>
    <w:rsid w:val="00BB748C"/>
    <w:rsid w:val="00BB7942"/>
    <w:rsid w:val="00BB7CD1"/>
    <w:rsid w:val="00BC0F33"/>
    <w:rsid w:val="00BC11F8"/>
    <w:rsid w:val="00BC14A7"/>
    <w:rsid w:val="00BC17CC"/>
    <w:rsid w:val="00BC2898"/>
    <w:rsid w:val="00BC2928"/>
    <w:rsid w:val="00BC29BD"/>
    <w:rsid w:val="00BC2BB1"/>
    <w:rsid w:val="00BC34A3"/>
    <w:rsid w:val="00BC3FF9"/>
    <w:rsid w:val="00BC4112"/>
    <w:rsid w:val="00BC4834"/>
    <w:rsid w:val="00BC4A97"/>
    <w:rsid w:val="00BC4E15"/>
    <w:rsid w:val="00BC4FE1"/>
    <w:rsid w:val="00BC520E"/>
    <w:rsid w:val="00BC5A25"/>
    <w:rsid w:val="00BC5FDD"/>
    <w:rsid w:val="00BC609B"/>
    <w:rsid w:val="00BC68B4"/>
    <w:rsid w:val="00BD0140"/>
    <w:rsid w:val="00BD02CC"/>
    <w:rsid w:val="00BD088E"/>
    <w:rsid w:val="00BD0F18"/>
    <w:rsid w:val="00BD2063"/>
    <w:rsid w:val="00BD2D95"/>
    <w:rsid w:val="00BD33D9"/>
    <w:rsid w:val="00BD38C5"/>
    <w:rsid w:val="00BD3AE1"/>
    <w:rsid w:val="00BD3DEA"/>
    <w:rsid w:val="00BD3E97"/>
    <w:rsid w:val="00BD40E4"/>
    <w:rsid w:val="00BD48E5"/>
    <w:rsid w:val="00BD52FE"/>
    <w:rsid w:val="00BD59CA"/>
    <w:rsid w:val="00BD62CF"/>
    <w:rsid w:val="00BD67B2"/>
    <w:rsid w:val="00BD68E2"/>
    <w:rsid w:val="00BD76E5"/>
    <w:rsid w:val="00BD78FE"/>
    <w:rsid w:val="00BD7D10"/>
    <w:rsid w:val="00BE0149"/>
    <w:rsid w:val="00BE063E"/>
    <w:rsid w:val="00BE0767"/>
    <w:rsid w:val="00BE12D7"/>
    <w:rsid w:val="00BE1372"/>
    <w:rsid w:val="00BE1775"/>
    <w:rsid w:val="00BE18DA"/>
    <w:rsid w:val="00BE1E72"/>
    <w:rsid w:val="00BE26C0"/>
    <w:rsid w:val="00BE3442"/>
    <w:rsid w:val="00BE37CD"/>
    <w:rsid w:val="00BE3835"/>
    <w:rsid w:val="00BE47B2"/>
    <w:rsid w:val="00BE48C7"/>
    <w:rsid w:val="00BE4C4F"/>
    <w:rsid w:val="00BE4F66"/>
    <w:rsid w:val="00BE5238"/>
    <w:rsid w:val="00BE5FFE"/>
    <w:rsid w:val="00BE6074"/>
    <w:rsid w:val="00BE7257"/>
    <w:rsid w:val="00BF020D"/>
    <w:rsid w:val="00BF0609"/>
    <w:rsid w:val="00BF0E64"/>
    <w:rsid w:val="00BF0EE8"/>
    <w:rsid w:val="00BF1DD2"/>
    <w:rsid w:val="00BF23A3"/>
    <w:rsid w:val="00BF2A7E"/>
    <w:rsid w:val="00BF3331"/>
    <w:rsid w:val="00BF3A45"/>
    <w:rsid w:val="00BF436F"/>
    <w:rsid w:val="00BF4484"/>
    <w:rsid w:val="00BF5C05"/>
    <w:rsid w:val="00BF6FC6"/>
    <w:rsid w:val="00BF7C52"/>
    <w:rsid w:val="00BF7F99"/>
    <w:rsid w:val="00C00713"/>
    <w:rsid w:val="00C009A0"/>
    <w:rsid w:val="00C01F74"/>
    <w:rsid w:val="00C02558"/>
    <w:rsid w:val="00C026C8"/>
    <w:rsid w:val="00C0285F"/>
    <w:rsid w:val="00C02F35"/>
    <w:rsid w:val="00C03305"/>
    <w:rsid w:val="00C03515"/>
    <w:rsid w:val="00C03738"/>
    <w:rsid w:val="00C037A6"/>
    <w:rsid w:val="00C041DF"/>
    <w:rsid w:val="00C043F5"/>
    <w:rsid w:val="00C044E3"/>
    <w:rsid w:val="00C04607"/>
    <w:rsid w:val="00C04BDB"/>
    <w:rsid w:val="00C052A4"/>
    <w:rsid w:val="00C052C6"/>
    <w:rsid w:val="00C054B5"/>
    <w:rsid w:val="00C05A61"/>
    <w:rsid w:val="00C05AD5"/>
    <w:rsid w:val="00C05FEE"/>
    <w:rsid w:val="00C06CCF"/>
    <w:rsid w:val="00C06FB0"/>
    <w:rsid w:val="00C0794D"/>
    <w:rsid w:val="00C07C09"/>
    <w:rsid w:val="00C10B33"/>
    <w:rsid w:val="00C10E78"/>
    <w:rsid w:val="00C1159D"/>
    <w:rsid w:val="00C1233E"/>
    <w:rsid w:val="00C123F6"/>
    <w:rsid w:val="00C12F56"/>
    <w:rsid w:val="00C12F9A"/>
    <w:rsid w:val="00C12FB3"/>
    <w:rsid w:val="00C138BC"/>
    <w:rsid w:val="00C13D85"/>
    <w:rsid w:val="00C14639"/>
    <w:rsid w:val="00C14E82"/>
    <w:rsid w:val="00C14FF6"/>
    <w:rsid w:val="00C15A85"/>
    <w:rsid w:val="00C16163"/>
    <w:rsid w:val="00C1637C"/>
    <w:rsid w:val="00C1641B"/>
    <w:rsid w:val="00C165FC"/>
    <w:rsid w:val="00C176D5"/>
    <w:rsid w:val="00C17D24"/>
    <w:rsid w:val="00C2082C"/>
    <w:rsid w:val="00C20EB0"/>
    <w:rsid w:val="00C21004"/>
    <w:rsid w:val="00C21005"/>
    <w:rsid w:val="00C21110"/>
    <w:rsid w:val="00C2136E"/>
    <w:rsid w:val="00C220B6"/>
    <w:rsid w:val="00C22C25"/>
    <w:rsid w:val="00C22D7C"/>
    <w:rsid w:val="00C22DDE"/>
    <w:rsid w:val="00C2338B"/>
    <w:rsid w:val="00C233CE"/>
    <w:rsid w:val="00C237DD"/>
    <w:rsid w:val="00C238F4"/>
    <w:rsid w:val="00C23A99"/>
    <w:rsid w:val="00C23FBF"/>
    <w:rsid w:val="00C245EE"/>
    <w:rsid w:val="00C2473D"/>
    <w:rsid w:val="00C24AE1"/>
    <w:rsid w:val="00C24B8D"/>
    <w:rsid w:val="00C24BD7"/>
    <w:rsid w:val="00C25813"/>
    <w:rsid w:val="00C27143"/>
    <w:rsid w:val="00C272CE"/>
    <w:rsid w:val="00C27490"/>
    <w:rsid w:val="00C27712"/>
    <w:rsid w:val="00C27D37"/>
    <w:rsid w:val="00C309E8"/>
    <w:rsid w:val="00C32017"/>
    <w:rsid w:val="00C324D8"/>
    <w:rsid w:val="00C32571"/>
    <w:rsid w:val="00C325CD"/>
    <w:rsid w:val="00C3322E"/>
    <w:rsid w:val="00C3341A"/>
    <w:rsid w:val="00C337CA"/>
    <w:rsid w:val="00C337F5"/>
    <w:rsid w:val="00C33B90"/>
    <w:rsid w:val="00C34161"/>
    <w:rsid w:val="00C342FF"/>
    <w:rsid w:val="00C34B5F"/>
    <w:rsid w:val="00C34FDB"/>
    <w:rsid w:val="00C358D4"/>
    <w:rsid w:val="00C36462"/>
    <w:rsid w:val="00C365C6"/>
    <w:rsid w:val="00C366F4"/>
    <w:rsid w:val="00C36785"/>
    <w:rsid w:val="00C3711C"/>
    <w:rsid w:val="00C371D9"/>
    <w:rsid w:val="00C37256"/>
    <w:rsid w:val="00C37A7B"/>
    <w:rsid w:val="00C37FFE"/>
    <w:rsid w:val="00C401E6"/>
    <w:rsid w:val="00C40B50"/>
    <w:rsid w:val="00C419E3"/>
    <w:rsid w:val="00C419F4"/>
    <w:rsid w:val="00C41E6A"/>
    <w:rsid w:val="00C41FDE"/>
    <w:rsid w:val="00C42247"/>
    <w:rsid w:val="00C439BE"/>
    <w:rsid w:val="00C44622"/>
    <w:rsid w:val="00C4494B"/>
    <w:rsid w:val="00C4539B"/>
    <w:rsid w:val="00C45466"/>
    <w:rsid w:val="00C455C1"/>
    <w:rsid w:val="00C4581D"/>
    <w:rsid w:val="00C47472"/>
    <w:rsid w:val="00C500F0"/>
    <w:rsid w:val="00C504A7"/>
    <w:rsid w:val="00C506C9"/>
    <w:rsid w:val="00C50A16"/>
    <w:rsid w:val="00C51C9A"/>
    <w:rsid w:val="00C52C68"/>
    <w:rsid w:val="00C52D98"/>
    <w:rsid w:val="00C52DA1"/>
    <w:rsid w:val="00C53D24"/>
    <w:rsid w:val="00C5433C"/>
    <w:rsid w:val="00C54640"/>
    <w:rsid w:val="00C547A6"/>
    <w:rsid w:val="00C54A3A"/>
    <w:rsid w:val="00C5529C"/>
    <w:rsid w:val="00C55B52"/>
    <w:rsid w:val="00C55C32"/>
    <w:rsid w:val="00C56976"/>
    <w:rsid w:val="00C56A67"/>
    <w:rsid w:val="00C56CC2"/>
    <w:rsid w:val="00C57498"/>
    <w:rsid w:val="00C5763C"/>
    <w:rsid w:val="00C5780C"/>
    <w:rsid w:val="00C5796B"/>
    <w:rsid w:val="00C612C4"/>
    <w:rsid w:val="00C619A1"/>
    <w:rsid w:val="00C62370"/>
    <w:rsid w:val="00C62BBB"/>
    <w:rsid w:val="00C6305F"/>
    <w:rsid w:val="00C6325B"/>
    <w:rsid w:val="00C63B71"/>
    <w:rsid w:val="00C63E99"/>
    <w:rsid w:val="00C649B8"/>
    <w:rsid w:val="00C64A64"/>
    <w:rsid w:val="00C65151"/>
    <w:rsid w:val="00C657F4"/>
    <w:rsid w:val="00C6598D"/>
    <w:rsid w:val="00C660FE"/>
    <w:rsid w:val="00C66119"/>
    <w:rsid w:val="00C66292"/>
    <w:rsid w:val="00C66D0A"/>
    <w:rsid w:val="00C672A3"/>
    <w:rsid w:val="00C672F1"/>
    <w:rsid w:val="00C673D0"/>
    <w:rsid w:val="00C6742E"/>
    <w:rsid w:val="00C67543"/>
    <w:rsid w:val="00C67B0B"/>
    <w:rsid w:val="00C70012"/>
    <w:rsid w:val="00C708AA"/>
    <w:rsid w:val="00C71E2A"/>
    <w:rsid w:val="00C72198"/>
    <w:rsid w:val="00C72C60"/>
    <w:rsid w:val="00C733BA"/>
    <w:rsid w:val="00C7595C"/>
    <w:rsid w:val="00C760DC"/>
    <w:rsid w:val="00C8082B"/>
    <w:rsid w:val="00C81A88"/>
    <w:rsid w:val="00C81D46"/>
    <w:rsid w:val="00C82298"/>
    <w:rsid w:val="00C82699"/>
    <w:rsid w:val="00C82D20"/>
    <w:rsid w:val="00C833B4"/>
    <w:rsid w:val="00C84284"/>
    <w:rsid w:val="00C84E33"/>
    <w:rsid w:val="00C84F5A"/>
    <w:rsid w:val="00C85D99"/>
    <w:rsid w:val="00C85FFC"/>
    <w:rsid w:val="00C861FC"/>
    <w:rsid w:val="00C86C87"/>
    <w:rsid w:val="00C9005E"/>
    <w:rsid w:val="00C90111"/>
    <w:rsid w:val="00C9038E"/>
    <w:rsid w:val="00C9077B"/>
    <w:rsid w:val="00C90CA9"/>
    <w:rsid w:val="00C90F88"/>
    <w:rsid w:val="00C9144F"/>
    <w:rsid w:val="00C915F2"/>
    <w:rsid w:val="00C917B1"/>
    <w:rsid w:val="00C9193C"/>
    <w:rsid w:val="00C91B77"/>
    <w:rsid w:val="00C920E2"/>
    <w:rsid w:val="00C935A0"/>
    <w:rsid w:val="00C93765"/>
    <w:rsid w:val="00C93877"/>
    <w:rsid w:val="00C93D8C"/>
    <w:rsid w:val="00C93E07"/>
    <w:rsid w:val="00C946CC"/>
    <w:rsid w:val="00C959BD"/>
    <w:rsid w:val="00C95DFE"/>
    <w:rsid w:val="00C95F44"/>
    <w:rsid w:val="00C96D1B"/>
    <w:rsid w:val="00C97106"/>
    <w:rsid w:val="00C978D4"/>
    <w:rsid w:val="00CA0031"/>
    <w:rsid w:val="00CA0413"/>
    <w:rsid w:val="00CA043A"/>
    <w:rsid w:val="00CA0E51"/>
    <w:rsid w:val="00CA1691"/>
    <w:rsid w:val="00CA2738"/>
    <w:rsid w:val="00CA2D2E"/>
    <w:rsid w:val="00CA41E7"/>
    <w:rsid w:val="00CA4A99"/>
    <w:rsid w:val="00CA5520"/>
    <w:rsid w:val="00CA5812"/>
    <w:rsid w:val="00CA5BD4"/>
    <w:rsid w:val="00CA5C14"/>
    <w:rsid w:val="00CA6018"/>
    <w:rsid w:val="00CA76FC"/>
    <w:rsid w:val="00CA7E7B"/>
    <w:rsid w:val="00CB0236"/>
    <w:rsid w:val="00CB18C7"/>
    <w:rsid w:val="00CB1969"/>
    <w:rsid w:val="00CB19E3"/>
    <w:rsid w:val="00CB2C3A"/>
    <w:rsid w:val="00CB2D38"/>
    <w:rsid w:val="00CB403C"/>
    <w:rsid w:val="00CB4137"/>
    <w:rsid w:val="00CB446B"/>
    <w:rsid w:val="00CB52D0"/>
    <w:rsid w:val="00CB5578"/>
    <w:rsid w:val="00CB5671"/>
    <w:rsid w:val="00CB591C"/>
    <w:rsid w:val="00CB5943"/>
    <w:rsid w:val="00CB61B3"/>
    <w:rsid w:val="00CB6F83"/>
    <w:rsid w:val="00CB72AE"/>
    <w:rsid w:val="00CB74EA"/>
    <w:rsid w:val="00CB7D97"/>
    <w:rsid w:val="00CC00CD"/>
    <w:rsid w:val="00CC0579"/>
    <w:rsid w:val="00CC0AF3"/>
    <w:rsid w:val="00CC0BC6"/>
    <w:rsid w:val="00CC0E68"/>
    <w:rsid w:val="00CC1780"/>
    <w:rsid w:val="00CC194E"/>
    <w:rsid w:val="00CC1ED2"/>
    <w:rsid w:val="00CC21AC"/>
    <w:rsid w:val="00CC232E"/>
    <w:rsid w:val="00CC2514"/>
    <w:rsid w:val="00CC2A0B"/>
    <w:rsid w:val="00CC2B1A"/>
    <w:rsid w:val="00CC2D34"/>
    <w:rsid w:val="00CC2F69"/>
    <w:rsid w:val="00CC315F"/>
    <w:rsid w:val="00CC3D38"/>
    <w:rsid w:val="00CC40C3"/>
    <w:rsid w:val="00CC4E5D"/>
    <w:rsid w:val="00CC50AE"/>
    <w:rsid w:val="00CC5FFE"/>
    <w:rsid w:val="00CC61B7"/>
    <w:rsid w:val="00CC61CA"/>
    <w:rsid w:val="00CC69EC"/>
    <w:rsid w:val="00CC71D3"/>
    <w:rsid w:val="00CC743D"/>
    <w:rsid w:val="00CC7A62"/>
    <w:rsid w:val="00CD00C3"/>
    <w:rsid w:val="00CD050A"/>
    <w:rsid w:val="00CD0A6F"/>
    <w:rsid w:val="00CD1017"/>
    <w:rsid w:val="00CD205D"/>
    <w:rsid w:val="00CD295E"/>
    <w:rsid w:val="00CD2A22"/>
    <w:rsid w:val="00CD2B50"/>
    <w:rsid w:val="00CD2FD9"/>
    <w:rsid w:val="00CD3172"/>
    <w:rsid w:val="00CD39C0"/>
    <w:rsid w:val="00CD4357"/>
    <w:rsid w:val="00CD4506"/>
    <w:rsid w:val="00CD520B"/>
    <w:rsid w:val="00CD592E"/>
    <w:rsid w:val="00CD5982"/>
    <w:rsid w:val="00CD5A1A"/>
    <w:rsid w:val="00CD770D"/>
    <w:rsid w:val="00CD7EFA"/>
    <w:rsid w:val="00CE020E"/>
    <w:rsid w:val="00CE0566"/>
    <w:rsid w:val="00CE1CD4"/>
    <w:rsid w:val="00CE207C"/>
    <w:rsid w:val="00CE2761"/>
    <w:rsid w:val="00CE28FC"/>
    <w:rsid w:val="00CE314E"/>
    <w:rsid w:val="00CE3D5C"/>
    <w:rsid w:val="00CE3E09"/>
    <w:rsid w:val="00CE3E14"/>
    <w:rsid w:val="00CE44C7"/>
    <w:rsid w:val="00CE53CC"/>
    <w:rsid w:val="00CE559D"/>
    <w:rsid w:val="00CE65A7"/>
    <w:rsid w:val="00CE68FE"/>
    <w:rsid w:val="00CE69CC"/>
    <w:rsid w:val="00CE6EC4"/>
    <w:rsid w:val="00CE7F26"/>
    <w:rsid w:val="00CF0A8D"/>
    <w:rsid w:val="00CF1226"/>
    <w:rsid w:val="00CF193C"/>
    <w:rsid w:val="00CF1ABB"/>
    <w:rsid w:val="00CF1E1D"/>
    <w:rsid w:val="00CF24FE"/>
    <w:rsid w:val="00CF287F"/>
    <w:rsid w:val="00CF35D0"/>
    <w:rsid w:val="00CF3B57"/>
    <w:rsid w:val="00CF3DD5"/>
    <w:rsid w:val="00CF481B"/>
    <w:rsid w:val="00CF4AF7"/>
    <w:rsid w:val="00CF4D20"/>
    <w:rsid w:val="00CF6EC4"/>
    <w:rsid w:val="00CF73F8"/>
    <w:rsid w:val="00CF7928"/>
    <w:rsid w:val="00CF7CA2"/>
    <w:rsid w:val="00D00684"/>
    <w:rsid w:val="00D00911"/>
    <w:rsid w:val="00D00A8E"/>
    <w:rsid w:val="00D00DE0"/>
    <w:rsid w:val="00D00F79"/>
    <w:rsid w:val="00D012BF"/>
    <w:rsid w:val="00D01760"/>
    <w:rsid w:val="00D020BD"/>
    <w:rsid w:val="00D030BD"/>
    <w:rsid w:val="00D0368E"/>
    <w:rsid w:val="00D03704"/>
    <w:rsid w:val="00D0393E"/>
    <w:rsid w:val="00D03AC3"/>
    <w:rsid w:val="00D03D2D"/>
    <w:rsid w:val="00D03E7B"/>
    <w:rsid w:val="00D0401A"/>
    <w:rsid w:val="00D046C1"/>
    <w:rsid w:val="00D047E0"/>
    <w:rsid w:val="00D04B9F"/>
    <w:rsid w:val="00D04E8D"/>
    <w:rsid w:val="00D04FFB"/>
    <w:rsid w:val="00D055FE"/>
    <w:rsid w:val="00D058E9"/>
    <w:rsid w:val="00D0612A"/>
    <w:rsid w:val="00D06E6B"/>
    <w:rsid w:val="00D06FD7"/>
    <w:rsid w:val="00D07315"/>
    <w:rsid w:val="00D1060D"/>
    <w:rsid w:val="00D10E7C"/>
    <w:rsid w:val="00D11182"/>
    <w:rsid w:val="00D1137B"/>
    <w:rsid w:val="00D11807"/>
    <w:rsid w:val="00D11DB3"/>
    <w:rsid w:val="00D12D82"/>
    <w:rsid w:val="00D12F77"/>
    <w:rsid w:val="00D1306E"/>
    <w:rsid w:val="00D134CD"/>
    <w:rsid w:val="00D14A38"/>
    <w:rsid w:val="00D14B5F"/>
    <w:rsid w:val="00D14E13"/>
    <w:rsid w:val="00D14F23"/>
    <w:rsid w:val="00D15A63"/>
    <w:rsid w:val="00D160F6"/>
    <w:rsid w:val="00D16740"/>
    <w:rsid w:val="00D16A8B"/>
    <w:rsid w:val="00D16E39"/>
    <w:rsid w:val="00D172A4"/>
    <w:rsid w:val="00D17951"/>
    <w:rsid w:val="00D17AD8"/>
    <w:rsid w:val="00D17CF3"/>
    <w:rsid w:val="00D2104A"/>
    <w:rsid w:val="00D21BB5"/>
    <w:rsid w:val="00D21FFC"/>
    <w:rsid w:val="00D223B6"/>
    <w:rsid w:val="00D223E8"/>
    <w:rsid w:val="00D224E1"/>
    <w:rsid w:val="00D22DC8"/>
    <w:rsid w:val="00D2477B"/>
    <w:rsid w:val="00D2522A"/>
    <w:rsid w:val="00D2531C"/>
    <w:rsid w:val="00D2553E"/>
    <w:rsid w:val="00D25A71"/>
    <w:rsid w:val="00D25CFA"/>
    <w:rsid w:val="00D2742F"/>
    <w:rsid w:val="00D2754F"/>
    <w:rsid w:val="00D277C5"/>
    <w:rsid w:val="00D279D9"/>
    <w:rsid w:val="00D3100A"/>
    <w:rsid w:val="00D312DC"/>
    <w:rsid w:val="00D31B84"/>
    <w:rsid w:val="00D31C6A"/>
    <w:rsid w:val="00D31EDF"/>
    <w:rsid w:val="00D31FF9"/>
    <w:rsid w:val="00D32149"/>
    <w:rsid w:val="00D32256"/>
    <w:rsid w:val="00D32A27"/>
    <w:rsid w:val="00D32ABC"/>
    <w:rsid w:val="00D33FA4"/>
    <w:rsid w:val="00D34B25"/>
    <w:rsid w:val="00D34F4E"/>
    <w:rsid w:val="00D357F3"/>
    <w:rsid w:val="00D35C0E"/>
    <w:rsid w:val="00D36D07"/>
    <w:rsid w:val="00D373A8"/>
    <w:rsid w:val="00D379A5"/>
    <w:rsid w:val="00D401BE"/>
    <w:rsid w:val="00D4043A"/>
    <w:rsid w:val="00D4075F"/>
    <w:rsid w:val="00D40DB0"/>
    <w:rsid w:val="00D41093"/>
    <w:rsid w:val="00D410DC"/>
    <w:rsid w:val="00D416D5"/>
    <w:rsid w:val="00D41858"/>
    <w:rsid w:val="00D422DB"/>
    <w:rsid w:val="00D42303"/>
    <w:rsid w:val="00D424EB"/>
    <w:rsid w:val="00D42AC2"/>
    <w:rsid w:val="00D4498E"/>
    <w:rsid w:val="00D4515F"/>
    <w:rsid w:val="00D451E8"/>
    <w:rsid w:val="00D46185"/>
    <w:rsid w:val="00D466C9"/>
    <w:rsid w:val="00D46D85"/>
    <w:rsid w:val="00D47275"/>
    <w:rsid w:val="00D50689"/>
    <w:rsid w:val="00D51064"/>
    <w:rsid w:val="00D517F6"/>
    <w:rsid w:val="00D51C25"/>
    <w:rsid w:val="00D51E15"/>
    <w:rsid w:val="00D5210F"/>
    <w:rsid w:val="00D52B7E"/>
    <w:rsid w:val="00D52E2F"/>
    <w:rsid w:val="00D52F59"/>
    <w:rsid w:val="00D53445"/>
    <w:rsid w:val="00D5357B"/>
    <w:rsid w:val="00D53E3E"/>
    <w:rsid w:val="00D54620"/>
    <w:rsid w:val="00D54FEE"/>
    <w:rsid w:val="00D551E9"/>
    <w:rsid w:val="00D55904"/>
    <w:rsid w:val="00D5616F"/>
    <w:rsid w:val="00D56CFC"/>
    <w:rsid w:val="00D57940"/>
    <w:rsid w:val="00D60327"/>
    <w:rsid w:val="00D61384"/>
    <w:rsid w:val="00D61526"/>
    <w:rsid w:val="00D61F81"/>
    <w:rsid w:val="00D6276C"/>
    <w:rsid w:val="00D62BE6"/>
    <w:rsid w:val="00D63766"/>
    <w:rsid w:val="00D63912"/>
    <w:rsid w:val="00D63923"/>
    <w:rsid w:val="00D6451B"/>
    <w:rsid w:val="00D64641"/>
    <w:rsid w:val="00D64B57"/>
    <w:rsid w:val="00D651A1"/>
    <w:rsid w:val="00D65DEA"/>
    <w:rsid w:val="00D66579"/>
    <w:rsid w:val="00D66CB9"/>
    <w:rsid w:val="00D676D3"/>
    <w:rsid w:val="00D67B06"/>
    <w:rsid w:val="00D67BC7"/>
    <w:rsid w:val="00D701F1"/>
    <w:rsid w:val="00D705D3"/>
    <w:rsid w:val="00D70DEE"/>
    <w:rsid w:val="00D70E00"/>
    <w:rsid w:val="00D70F7C"/>
    <w:rsid w:val="00D715AC"/>
    <w:rsid w:val="00D71851"/>
    <w:rsid w:val="00D718CF"/>
    <w:rsid w:val="00D71A81"/>
    <w:rsid w:val="00D71ACF"/>
    <w:rsid w:val="00D728F5"/>
    <w:rsid w:val="00D72E9D"/>
    <w:rsid w:val="00D73249"/>
    <w:rsid w:val="00D73419"/>
    <w:rsid w:val="00D73CA9"/>
    <w:rsid w:val="00D751B7"/>
    <w:rsid w:val="00D7524B"/>
    <w:rsid w:val="00D75396"/>
    <w:rsid w:val="00D759C0"/>
    <w:rsid w:val="00D75E99"/>
    <w:rsid w:val="00D765CE"/>
    <w:rsid w:val="00D766C7"/>
    <w:rsid w:val="00D7692B"/>
    <w:rsid w:val="00D7734F"/>
    <w:rsid w:val="00D8044C"/>
    <w:rsid w:val="00D805D6"/>
    <w:rsid w:val="00D8075E"/>
    <w:rsid w:val="00D80860"/>
    <w:rsid w:val="00D80D4C"/>
    <w:rsid w:val="00D8184D"/>
    <w:rsid w:val="00D81A7B"/>
    <w:rsid w:val="00D8223C"/>
    <w:rsid w:val="00D82B57"/>
    <w:rsid w:val="00D82CE5"/>
    <w:rsid w:val="00D831E3"/>
    <w:rsid w:val="00D8342C"/>
    <w:rsid w:val="00D85494"/>
    <w:rsid w:val="00D8582C"/>
    <w:rsid w:val="00D858B1"/>
    <w:rsid w:val="00D85D61"/>
    <w:rsid w:val="00D8616D"/>
    <w:rsid w:val="00D86363"/>
    <w:rsid w:val="00D866CA"/>
    <w:rsid w:val="00D8711B"/>
    <w:rsid w:val="00D87384"/>
    <w:rsid w:val="00D9052A"/>
    <w:rsid w:val="00D90683"/>
    <w:rsid w:val="00D90B2A"/>
    <w:rsid w:val="00D91483"/>
    <w:rsid w:val="00D915C8"/>
    <w:rsid w:val="00D9310B"/>
    <w:rsid w:val="00D931F3"/>
    <w:rsid w:val="00D93726"/>
    <w:rsid w:val="00D93F3E"/>
    <w:rsid w:val="00D9405B"/>
    <w:rsid w:val="00D94345"/>
    <w:rsid w:val="00D94942"/>
    <w:rsid w:val="00D950A1"/>
    <w:rsid w:val="00D95145"/>
    <w:rsid w:val="00D951DA"/>
    <w:rsid w:val="00D95360"/>
    <w:rsid w:val="00D954F0"/>
    <w:rsid w:val="00D96594"/>
    <w:rsid w:val="00D967CB"/>
    <w:rsid w:val="00D968D4"/>
    <w:rsid w:val="00D96EE0"/>
    <w:rsid w:val="00D97BD1"/>
    <w:rsid w:val="00D97DAD"/>
    <w:rsid w:val="00DA06B8"/>
    <w:rsid w:val="00DA14A9"/>
    <w:rsid w:val="00DA2715"/>
    <w:rsid w:val="00DA2862"/>
    <w:rsid w:val="00DA286D"/>
    <w:rsid w:val="00DA2969"/>
    <w:rsid w:val="00DA29B7"/>
    <w:rsid w:val="00DA337C"/>
    <w:rsid w:val="00DA385C"/>
    <w:rsid w:val="00DA38BD"/>
    <w:rsid w:val="00DA3A15"/>
    <w:rsid w:val="00DA4842"/>
    <w:rsid w:val="00DA5989"/>
    <w:rsid w:val="00DA5AB1"/>
    <w:rsid w:val="00DA5F9D"/>
    <w:rsid w:val="00DA5FFB"/>
    <w:rsid w:val="00DA69B2"/>
    <w:rsid w:val="00DA7462"/>
    <w:rsid w:val="00DA7AD0"/>
    <w:rsid w:val="00DB0155"/>
    <w:rsid w:val="00DB02D7"/>
    <w:rsid w:val="00DB03CC"/>
    <w:rsid w:val="00DB0EBE"/>
    <w:rsid w:val="00DB12D4"/>
    <w:rsid w:val="00DB14F0"/>
    <w:rsid w:val="00DB1745"/>
    <w:rsid w:val="00DB19BB"/>
    <w:rsid w:val="00DB1AFF"/>
    <w:rsid w:val="00DB219A"/>
    <w:rsid w:val="00DB3165"/>
    <w:rsid w:val="00DB4292"/>
    <w:rsid w:val="00DB4D12"/>
    <w:rsid w:val="00DB5023"/>
    <w:rsid w:val="00DB56B0"/>
    <w:rsid w:val="00DB629E"/>
    <w:rsid w:val="00DB6381"/>
    <w:rsid w:val="00DB6E46"/>
    <w:rsid w:val="00DB7117"/>
    <w:rsid w:val="00DB7760"/>
    <w:rsid w:val="00DB7DD4"/>
    <w:rsid w:val="00DC00B4"/>
    <w:rsid w:val="00DC03C2"/>
    <w:rsid w:val="00DC0954"/>
    <w:rsid w:val="00DC0DF8"/>
    <w:rsid w:val="00DC15BA"/>
    <w:rsid w:val="00DC18CD"/>
    <w:rsid w:val="00DC1A68"/>
    <w:rsid w:val="00DC1DC7"/>
    <w:rsid w:val="00DC30B8"/>
    <w:rsid w:val="00DC478F"/>
    <w:rsid w:val="00DC62E5"/>
    <w:rsid w:val="00DC6D70"/>
    <w:rsid w:val="00DC6F33"/>
    <w:rsid w:val="00DC7349"/>
    <w:rsid w:val="00DD10A3"/>
    <w:rsid w:val="00DD14D8"/>
    <w:rsid w:val="00DD1599"/>
    <w:rsid w:val="00DD1B03"/>
    <w:rsid w:val="00DD1E43"/>
    <w:rsid w:val="00DD2A62"/>
    <w:rsid w:val="00DD2F2F"/>
    <w:rsid w:val="00DD2F7A"/>
    <w:rsid w:val="00DD3885"/>
    <w:rsid w:val="00DD4108"/>
    <w:rsid w:val="00DD5808"/>
    <w:rsid w:val="00DD5946"/>
    <w:rsid w:val="00DD5B04"/>
    <w:rsid w:val="00DD5DAE"/>
    <w:rsid w:val="00DD5EC6"/>
    <w:rsid w:val="00DD605F"/>
    <w:rsid w:val="00DD6141"/>
    <w:rsid w:val="00DD72A0"/>
    <w:rsid w:val="00DD735D"/>
    <w:rsid w:val="00DE0159"/>
    <w:rsid w:val="00DE064A"/>
    <w:rsid w:val="00DE082D"/>
    <w:rsid w:val="00DE0DD0"/>
    <w:rsid w:val="00DE1410"/>
    <w:rsid w:val="00DE20C6"/>
    <w:rsid w:val="00DE2EF1"/>
    <w:rsid w:val="00DE3119"/>
    <w:rsid w:val="00DE3FF0"/>
    <w:rsid w:val="00DE4105"/>
    <w:rsid w:val="00DE41C4"/>
    <w:rsid w:val="00DE5189"/>
    <w:rsid w:val="00DE7108"/>
    <w:rsid w:val="00DE78D1"/>
    <w:rsid w:val="00DE78D7"/>
    <w:rsid w:val="00DE78FF"/>
    <w:rsid w:val="00DF0263"/>
    <w:rsid w:val="00DF0D77"/>
    <w:rsid w:val="00DF0EB4"/>
    <w:rsid w:val="00DF1262"/>
    <w:rsid w:val="00DF158B"/>
    <w:rsid w:val="00DF193C"/>
    <w:rsid w:val="00DF1D63"/>
    <w:rsid w:val="00DF1E36"/>
    <w:rsid w:val="00DF236B"/>
    <w:rsid w:val="00DF2A91"/>
    <w:rsid w:val="00DF3889"/>
    <w:rsid w:val="00DF39F7"/>
    <w:rsid w:val="00DF3CC9"/>
    <w:rsid w:val="00DF4451"/>
    <w:rsid w:val="00DF49FF"/>
    <w:rsid w:val="00DF4FFB"/>
    <w:rsid w:val="00DF5236"/>
    <w:rsid w:val="00DF651F"/>
    <w:rsid w:val="00DF6F43"/>
    <w:rsid w:val="00DF752F"/>
    <w:rsid w:val="00DF76A2"/>
    <w:rsid w:val="00DF7F2B"/>
    <w:rsid w:val="00E00B7A"/>
    <w:rsid w:val="00E01FDD"/>
    <w:rsid w:val="00E02186"/>
    <w:rsid w:val="00E026BB"/>
    <w:rsid w:val="00E027C5"/>
    <w:rsid w:val="00E03124"/>
    <w:rsid w:val="00E031C3"/>
    <w:rsid w:val="00E03951"/>
    <w:rsid w:val="00E03DB8"/>
    <w:rsid w:val="00E03F17"/>
    <w:rsid w:val="00E0420C"/>
    <w:rsid w:val="00E04EDD"/>
    <w:rsid w:val="00E05E70"/>
    <w:rsid w:val="00E064BC"/>
    <w:rsid w:val="00E07225"/>
    <w:rsid w:val="00E076B4"/>
    <w:rsid w:val="00E07B55"/>
    <w:rsid w:val="00E10579"/>
    <w:rsid w:val="00E109DD"/>
    <w:rsid w:val="00E11229"/>
    <w:rsid w:val="00E114CA"/>
    <w:rsid w:val="00E11FE2"/>
    <w:rsid w:val="00E1397F"/>
    <w:rsid w:val="00E13AB8"/>
    <w:rsid w:val="00E14064"/>
    <w:rsid w:val="00E1482E"/>
    <w:rsid w:val="00E153AE"/>
    <w:rsid w:val="00E15BB1"/>
    <w:rsid w:val="00E16382"/>
    <w:rsid w:val="00E1699C"/>
    <w:rsid w:val="00E16E75"/>
    <w:rsid w:val="00E1714E"/>
    <w:rsid w:val="00E1746D"/>
    <w:rsid w:val="00E2012A"/>
    <w:rsid w:val="00E205A2"/>
    <w:rsid w:val="00E2094D"/>
    <w:rsid w:val="00E20BA4"/>
    <w:rsid w:val="00E2302A"/>
    <w:rsid w:val="00E23137"/>
    <w:rsid w:val="00E23980"/>
    <w:rsid w:val="00E241E9"/>
    <w:rsid w:val="00E2539A"/>
    <w:rsid w:val="00E257C3"/>
    <w:rsid w:val="00E25CB3"/>
    <w:rsid w:val="00E25DA4"/>
    <w:rsid w:val="00E25DA7"/>
    <w:rsid w:val="00E26237"/>
    <w:rsid w:val="00E26CB8"/>
    <w:rsid w:val="00E26D16"/>
    <w:rsid w:val="00E26D41"/>
    <w:rsid w:val="00E26FCF"/>
    <w:rsid w:val="00E27165"/>
    <w:rsid w:val="00E275D9"/>
    <w:rsid w:val="00E27988"/>
    <w:rsid w:val="00E3044A"/>
    <w:rsid w:val="00E3057A"/>
    <w:rsid w:val="00E30E49"/>
    <w:rsid w:val="00E3174A"/>
    <w:rsid w:val="00E31A4A"/>
    <w:rsid w:val="00E3344A"/>
    <w:rsid w:val="00E33B29"/>
    <w:rsid w:val="00E33B62"/>
    <w:rsid w:val="00E3403D"/>
    <w:rsid w:val="00E344BD"/>
    <w:rsid w:val="00E34E6C"/>
    <w:rsid w:val="00E353E2"/>
    <w:rsid w:val="00E35E65"/>
    <w:rsid w:val="00E36345"/>
    <w:rsid w:val="00E368BD"/>
    <w:rsid w:val="00E36C86"/>
    <w:rsid w:val="00E36CEB"/>
    <w:rsid w:val="00E37387"/>
    <w:rsid w:val="00E37A28"/>
    <w:rsid w:val="00E40430"/>
    <w:rsid w:val="00E40690"/>
    <w:rsid w:val="00E40AEB"/>
    <w:rsid w:val="00E4143A"/>
    <w:rsid w:val="00E424C8"/>
    <w:rsid w:val="00E4251D"/>
    <w:rsid w:val="00E43D00"/>
    <w:rsid w:val="00E443B4"/>
    <w:rsid w:val="00E445E4"/>
    <w:rsid w:val="00E457CB"/>
    <w:rsid w:val="00E45D47"/>
    <w:rsid w:val="00E45DE4"/>
    <w:rsid w:val="00E45E63"/>
    <w:rsid w:val="00E462F0"/>
    <w:rsid w:val="00E46BBC"/>
    <w:rsid w:val="00E46C95"/>
    <w:rsid w:val="00E4759C"/>
    <w:rsid w:val="00E47A50"/>
    <w:rsid w:val="00E50514"/>
    <w:rsid w:val="00E50A7B"/>
    <w:rsid w:val="00E50B0B"/>
    <w:rsid w:val="00E510FE"/>
    <w:rsid w:val="00E516C7"/>
    <w:rsid w:val="00E51E25"/>
    <w:rsid w:val="00E5205B"/>
    <w:rsid w:val="00E521AE"/>
    <w:rsid w:val="00E52212"/>
    <w:rsid w:val="00E5281C"/>
    <w:rsid w:val="00E529A3"/>
    <w:rsid w:val="00E52A42"/>
    <w:rsid w:val="00E538AD"/>
    <w:rsid w:val="00E53A21"/>
    <w:rsid w:val="00E53BCA"/>
    <w:rsid w:val="00E53DE2"/>
    <w:rsid w:val="00E53F02"/>
    <w:rsid w:val="00E540E9"/>
    <w:rsid w:val="00E54534"/>
    <w:rsid w:val="00E548C3"/>
    <w:rsid w:val="00E54AC8"/>
    <w:rsid w:val="00E54C5A"/>
    <w:rsid w:val="00E54F27"/>
    <w:rsid w:val="00E55E1C"/>
    <w:rsid w:val="00E55FF1"/>
    <w:rsid w:val="00E56057"/>
    <w:rsid w:val="00E56090"/>
    <w:rsid w:val="00E565B9"/>
    <w:rsid w:val="00E56E7B"/>
    <w:rsid w:val="00E5733B"/>
    <w:rsid w:val="00E5756C"/>
    <w:rsid w:val="00E57811"/>
    <w:rsid w:val="00E601BE"/>
    <w:rsid w:val="00E60B5F"/>
    <w:rsid w:val="00E613AE"/>
    <w:rsid w:val="00E61429"/>
    <w:rsid w:val="00E61ABB"/>
    <w:rsid w:val="00E61FD7"/>
    <w:rsid w:val="00E623E6"/>
    <w:rsid w:val="00E630C0"/>
    <w:rsid w:val="00E63107"/>
    <w:rsid w:val="00E6312C"/>
    <w:rsid w:val="00E634E6"/>
    <w:rsid w:val="00E63DCE"/>
    <w:rsid w:val="00E6453E"/>
    <w:rsid w:val="00E64700"/>
    <w:rsid w:val="00E65074"/>
    <w:rsid w:val="00E6526E"/>
    <w:rsid w:val="00E65E70"/>
    <w:rsid w:val="00E66087"/>
    <w:rsid w:val="00E66A24"/>
    <w:rsid w:val="00E66C2D"/>
    <w:rsid w:val="00E66D79"/>
    <w:rsid w:val="00E66FF9"/>
    <w:rsid w:val="00E6706F"/>
    <w:rsid w:val="00E6729B"/>
    <w:rsid w:val="00E67856"/>
    <w:rsid w:val="00E679C8"/>
    <w:rsid w:val="00E70314"/>
    <w:rsid w:val="00E724E7"/>
    <w:rsid w:val="00E72B41"/>
    <w:rsid w:val="00E7347B"/>
    <w:rsid w:val="00E73792"/>
    <w:rsid w:val="00E73D03"/>
    <w:rsid w:val="00E74040"/>
    <w:rsid w:val="00E7471C"/>
    <w:rsid w:val="00E7498A"/>
    <w:rsid w:val="00E7514E"/>
    <w:rsid w:val="00E760A4"/>
    <w:rsid w:val="00E76537"/>
    <w:rsid w:val="00E765B6"/>
    <w:rsid w:val="00E77784"/>
    <w:rsid w:val="00E77AF5"/>
    <w:rsid w:val="00E823F9"/>
    <w:rsid w:val="00E82C1F"/>
    <w:rsid w:val="00E83671"/>
    <w:rsid w:val="00E840EE"/>
    <w:rsid w:val="00E84A71"/>
    <w:rsid w:val="00E85170"/>
    <w:rsid w:val="00E857B8"/>
    <w:rsid w:val="00E86240"/>
    <w:rsid w:val="00E86556"/>
    <w:rsid w:val="00E86C94"/>
    <w:rsid w:val="00E86D35"/>
    <w:rsid w:val="00E86DC2"/>
    <w:rsid w:val="00E86E32"/>
    <w:rsid w:val="00E86F2E"/>
    <w:rsid w:val="00E8732E"/>
    <w:rsid w:val="00E87E9C"/>
    <w:rsid w:val="00E9011F"/>
    <w:rsid w:val="00E906EB"/>
    <w:rsid w:val="00E90A66"/>
    <w:rsid w:val="00E919FB"/>
    <w:rsid w:val="00E91B82"/>
    <w:rsid w:val="00E9241E"/>
    <w:rsid w:val="00E92460"/>
    <w:rsid w:val="00E92E62"/>
    <w:rsid w:val="00E93804"/>
    <w:rsid w:val="00E9429D"/>
    <w:rsid w:val="00E95434"/>
    <w:rsid w:val="00E95EBC"/>
    <w:rsid w:val="00E96467"/>
    <w:rsid w:val="00E9660E"/>
    <w:rsid w:val="00E966DA"/>
    <w:rsid w:val="00E96948"/>
    <w:rsid w:val="00E9737B"/>
    <w:rsid w:val="00E97A3F"/>
    <w:rsid w:val="00E97F0A"/>
    <w:rsid w:val="00EA0100"/>
    <w:rsid w:val="00EA0BCE"/>
    <w:rsid w:val="00EA2744"/>
    <w:rsid w:val="00EA37B9"/>
    <w:rsid w:val="00EA39F7"/>
    <w:rsid w:val="00EA3DC2"/>
    <w:rsid w:val="00EA434E"/>
    <w:rsid w:val="00EA4757"/>
    <w:rsid w:val="00EA560B"/>
    <w:rsid w:val="00EA5669"/>
    <w:rsid w:val="00EA5CC6"/>
    <w:rsid w:val="00EA63EF"/>
    <w:rsid w:val="00EB0A89"/>
    <w:rsid w:val="00EB1573"/>
    <w:rsid w:val="00EB1910"/>
    <w:rsid w:val="00EB2D83"/>
    <w:rsid w:val="00EB2E97"/>
    <w:rsid w:val="00EB3416"/>
    <w:rsid w:val="00EB48E9"/>
    <w:rsid w:val="00EB4AE1"/>
    <w:rsid w:val="00EB52F4"/>
    <w:rsid w:val="00EB5694"/>
    <w:rsid w:val="00EB5779"/>
    <w:rsid w:val="00EB5D15"/>
    <w:rsid w:val="00EB5D2F"/>
    <w:rsid w:val="00EB67F1"/>
    <w:rsid w:val="00EB72CD"/>
    <w:rsid w:val="00EB749A"/>
    <w:rsid w:val="00EB76B6"/>
    <w:rsid w:val="00EB77C2"/>
    <w:rsid w:val="00EB7D8A"/>
    <w:rsid w:val="00EC05E2"/>
    <w:rsid w:val="00EC08AC"/>
    <w:rsid w:val="00EC0B18"/>
    <w:rsid w:val="00EC0E84"/>
    <w:rsid w:val="00EC16E2"/>
    <w:rsid w:val="00EC1CE7"/>
    <w:rsid w:val="00EC26F1"/>
    <w:rsid w:val="00EC3C94"/>
    <w:rsid w:val="00EC44DF"/>
    <w:rsid w:val="00EC4E6A"/>
    <w:rsid w:val="00EC4FB9"/>
    <w:rsid w:val="00EC5393"/>
    <w:rsid w:val="00EC5741"/>
    <w:rsid w:val="00EC5DA3"/>
    <w:rsid w:val="00EC6014"/>
    <w:rsid w:val="00EC6283"/>
    <w:rsid w:val="00EC6656"/>
    <w:rsid w:val="00EC6B3E"/>
    <w:rsid w:val="00EC7157"/>
    <w:rsid w:val="00EC73DE"/>
    <w:rsid w:val="00EC7637"/>
    <w:rsid w:val="00EC7CF2"/>
    <w:rsid w:val="00ED046C"/>
    <w:rsid w:val="00ED053A"/>
    <w:rsid w:val="00ED1220"/>
    <w:rsid w:val="00ED15DF"/>
    <w:rsid w:val="00ED1B4C"/>
    <w:rsid w:val="00ED1F03"/>
    <w:rsid w:val="00ED2932"/>
    <w:rsid w:val="00ED2D27"/>
    <w:rsid w:val="00ED3347"/>
    <w:rsid w:val="00ED3441"/>
    <w:rsid w:val="00ED3860"/>
    <w:rsid w:val="00ED3954"/>
    <w:rsid w:val="00ED43A2"/>
    <w:rsid w:val="00ED4967"/>
    <w:rsid w:val="00ED5140"/>
    <w:rsid w:val="00ED538C"/>
    <w:rsid w:val="00ED5771"/>
    <w:rsid w:val="00ED587F"/>
    <w:rsid w:val="00ED5964"/>
    <w:rsid w:val="00ED5F29"/>
    <w:rsid w:val="00ED6147"/>
    <w:rsid w:val="00ED623F"/>
    <w:rsid w:val="00ED63A5"/>
    <w:rsid w:val="00ED69BA"/>
    <w:rsid w:val="00ED6D1A"/>
    <w:rsid w:val="00ED72E9"/>
    <w:rsid w:val="00ED732E"/>
    <w:rsid w:val="00ED77F0"/>
    <w:rsid w:val="00ED7C60"/>
    <w:rsid w:val="00ED7FBC"/>
    <w:rsid w:val="00EE0253"/>
    <w:rsid w:val="00EE0297"/>
    <w:rsid w:val="00EE1258"/>
    <w:rsid w:val="00EE13DA"/>
    <w:rsid w:val="00EE1668"/>
    <w:rsid w:val="00EE1EDB"/>
    <w:rsid w:val="00EE24E2"/>
    <w:rsid w:val="00EE366D"/>
    <w:rsid w:val="00EE4CDF"/>
    <w:rsid w:val="00EE5454"/>
    <w:rsid w:val="00EE59B5"/>
    <w:rsid w:val="00EE5FB7"/>
    <w:rsid w:val="00EE65C4"/>
    <w:rsid w:val="00EE6783"/>
    <w:rsid w:val="00EE7B54"/>
    <w:rsid w:val="00EE7C47"/>
    <w:rsid w:val="00EE7C88"/>
    <w:rsid w:val="00EE7C8B"/>
    <w:rsid w:val="00EF0209"/>
    <w:rsid w:val="00EF05C0"/>
    <w:rsid w:val="00EF0EA4"/>
    <w:rsid w:val="00EF1E97"/>
    <w:rsid w:val="00EF2436"/>
    <w:rsid w:val="00EF2547"/>
    <w:rsid w:val="00EF296B"/>
    <w:rsid w:val="00EF2B2B"/>
    <w:rsid w:val="00EF2E1C"/>
    <w:rsid w:val="00EF2FD6"/>
    <w:rsid w:val="00EF326A"/>
    <w:rsid w:val="00EF3ECF"/>
    <w:rsid w:val="00EF427A"/>
    <w:rsid w:val="00EF45DF"/>
    <w:rsid w:val="00EF477D"/>
    <w:rsid w:val="00EF4952"/>
    <w:rsid w:val="00EF498F"/>
    <w:rsid w:val="00EF4A42"/>
    <w:rsid w:val="00EF510C"/>
    <w:rsid w:val="00EF55C4"/>
    <w:rsid w:val="00EF57BC"/>
    <w:rsid w:val="00EF6784"/>
    <w:rsid w:val="00EF688A"/>
    <w:rsid w:val="00EF68B6"/>
    <w:rsid w:val="00EF6A03"/>
    <w:rsid w:val="00EF6DC2"/>
    <w:rsid w:val="00EF7506"/>
    <w:rsid w:val="00EF7BF4"/>
    <w:rsid w:val="00F001A5"/>
    <w:rsid w:val="00F0030F"/>
    <w:rsid w:val="00F00674"/>
    <w:rsid w:val="00F012C6"/>
    <w:rsid w:val="00F01657"/>
    <w:rsid w:val="00F01E67"/>
    <w:rsid w:val="00F02744"/>
    <w:rsid w:val="00F02BFD"/>
    <w:rsid w:val="00F02D25"/>
    <w:rsid w:val="00F0318C"/>
    <w:rsid w:val="00F03C3D"/>
    <w:rsid w:val="00F0435D"/>
    <w:rsid w:val="00F04580"/>
    <w:rsid w:val="00F04ECA"/>
    <w:rsid w:val="00F04F8B"/>
    <w:rsid w:val="00F06E19"/>
    <w:rsid w:val="00F06F84"/>
    <w:rsid w:val="00F0729B"/>
    <w:rsid w:val="00F076E7"/>
    <w:rsid w:val="00F07AA1"/>
    <w:rsid w:val="00F105AE"/>
    <w:rsid w:val="00F10618"/>
    <w:rsid w:val="00F1108B"/>
    <w:rsid w:val="00F114FA"/>
    <w:rsid w:val="00F11768"/>
    <w:rsid w:val="00F11951"/>
    <w:rsid w:val="00F12262"/>
    <w:rsid w:val="00F12564"/>
    <w:rsid w:val="00F12AF8"/>
    <w:rsid w:val="00F12C52"/>
    <w:rsid w:val="00F13E62"/>
    <w:rsid w:val="00F1458F"/>
    <w:rsid w:val="00F148B7"/>
    <w:rsid w:val="00F14EA9"/>
    <w:rsid w:val="00F15505"/>
    <w:rsid w:val="00F15BFF"/>
    <w:rsid w:val="00F15FBF"/>
    <w:rsid w:val="00F16E4F"/>
    <w:rsid w:val="00F17244"/>
    <w:rsid w:val="00F2095E"/>
    <w:rsid w:val="00F2134C"/>
    <w:rsid w:val="00F213A0"/>
    <w:rsid w:val="00F21D54"/>
    <w:rsid w:val="00F21EF4"/>
    <w:rsid w:val="00F23113"/>
    <w:rsid w:val="00F23255"/>
    <w:rsid w:val="00F23393"/>
    <w:rsid w:val="00F23759"/>
    <w:rsid w:val="00F24644"/>
    <w:rsid w:val="00F24E6C"/>
    <w:rsid w:val="00F25947"/>
    <w:rsid w:val="00F262D6"/>
    <w:rsid w:val="00F26F33"/>
    <w:rsid w:val="00F2748A"/>
    <w:rsid w:val="00F27A2B"/>
    <w:rsid w:val="00F300A8"/>
    <w:rsid w:val="00F302C6"/>
    <w:rsid w:val="00F303C6"/>
    <w:rsid w:val="00F30400"/>
    <w:rsid w:val="00F3079E"/>
    <w:rsid w:val="00F31CF5"/>
    <w:rsid w:val="00F33968"/>
    <w:rsid w:val="00F3399B"/>
    <w:rsid w:val="00F33F4B"/>
    <w:rsid w:val="00F346ED"/>
    <w:rsid w:val="00F34945"/>
    <w:rsid w:val="00F34E1E"/>
    <w:rsid w:val="00F3570C"/>
    <w:rsid w:val="00F363A4"/>
    <w:rsid w:val="00F36765"/>
    <w:rsid w:val="00F368FF"/>
    <w:rsid w:val="00F36CF5"/>
    <w:rsid w:val="00F37068"/>
    <w:rsid w:val="00F37F3F"/>
    <w:rsid w:val="00F40992"/>
    <w:rsid w:val="00F40F72"/>
    <w:rsid w:val="00F40FD8"/>
    <w:rsid w:val="00F4130E"/>
    <w:rsid w:val="00F41596"/>
    <w:rsid w:val="00F41D8B"/>
    <w:rsid w:val="00F41E00"/>
    <w:rsid w:val="00F42121"/>
    <w:rsid w:val="00F424B3"/>
    <w:rsid w:val="00F428B1"/>
    <w:rsid w:val="00F428B4"/>
    <w:rsid w:val="00F4345D"/>
    <w:rsid w:val="00F4387B"/>
    <w:rsid w:val="00F43C9B"/>
    <w:rsid w:val="00F448EE"/>
    <w:rsid w:val="00F451D4"/>
    <w:rsid w:val="00F45921"/>
    <w:rsid w:val="00F45B91"/>
    <w:rsid w:val="00F46639"/>
    <w:rsid w:val="00F46DBB"/>
    <w:rsid w:val="00F476FD"/>
    <w:rsid w:val="00F47716"/>
    <w:rsid w:val="00F50183"/>
    <w:rsid w:val="00F50D92"/>
    <w:rsid w:val="00F51765"/>
    <w:rsid w:val="00F51A51"/>
    <w:rsid w:val="00F51BC6"/>
    <w:rsid w:val="00F51CB4"/>
    <w:rsid w:val="00F52324"/>
    <w:rsid w:val="00F52950"/>
    <w:rsid w:val="00F52C9D"/>
    <w:rsid w:val="00F533F1"/>
    <w:rsid w:val="00F55679"/>
    <w:rsid w:val="00F561E3"/>
    <w:rsid w:val="00F565E6"/>
    <w:rsid w:val="00F56AFA"/>
    <w:rsid w:val="00F575E2"/>
    <w:rsid w:val="00F579FF"/>
    <w:rsid w:val="00F600E0"/>
    <w:rsid w:val="00F605EC"/>
    <w:rsid w:val="00F60F60"/>
    <w:rsid w:val="00F612CE"/>
    <w:rsid w:val="00F6133C"/>
    <w:rsid w:val="00F623D7"/>
    <w:rsid w:val="00F62433"/>
    <w:rsid w:val="00F624A7"/>
    <w:rsid w:val="00F62AB6"/>
    <w:rsid w:val="00F65A3C"/>
    <w:rsid w:val="00F65CF6"/>
    <w:rsid w:val="00F65D0E"/>
    <w:rsid w:val="00F66282"/>
    <w:rsid w:val="00F6639E"/>
    <w:rsid w:val="00F670E9"/>
    <w:rsid w:val="00F674BB"/>
    <w:rsid w:val="00F67AF1"/>
    <w:rsid w:val="00F67D8B"/>
    <w:rsid w:val="00F701C5"/>
    <w:rsid w:val="00F705CD"/>
    <w:rsid w:val="00F70961"/>
    <w:rsid w:val="00F70A8F"/>
    <w:rsid w:val="00F70E36"/>
    <w:rsid w:val="00F71397"/>
    <w:rsid w:val="00F72389"/>
    <w:rsid w:val="00F72516"/>
    <w:rsid w:val="00F72FB4"/>
    <w:rsid w:val="00F735E5"/>
    <w:rsid w:val="00F73E80"/>
    <w:rsid w:val="00F7469C"/>
    <w:rsid w:val="00F7492E"/>
    <w:rsid w:val="00F74945"/>
    <w:rsid w:val="00F749A3"/>
    <w:rsid w:val="00F74AE8"/>
    <w:rsid w:val="00F76B5A"/>
    <w:rsid w:val="00F76C11"/>
    <w:rsid w:val="00F77021"/>
    <w:rsid w:val="00F77E61"/>
    <w:rsid w:val="00F77E9A"/>
    <w:rsid w:val="00F80221"/>
    <w:rsid w:val="00F80632"/>
    <w:rsid w:val="00F80C81"/>
    <w:rsid w:val="00F81265"/>
    <w:rsid w:val="00F815AC"/>
    <w:rsid w:val="00F8187D"/>
    <w:rsid w:val="00F83B33"/>
    <w:rsid w:val="00F83CAE"/>
    <w:rsid w:val="00F840BF"/>
    <w:rsid w:val="00F8427A"/>
    <w:rsid w:val="00F843DF"/>
    <w:rsid w:val="00F84899"/>
    <w:rsid w:val="00F84A95"/>
    <w:rsid w:val="00F8522F"/>
    <w:rsid w:val="00F85585"/>
    <w:rsid w:val="00F859F0"/>
    <w:rsid w:val="00F85CC1"/>
    <w:rsid w:val="00F86B5D"/>
    <w:rsid w:val="00F875E1"/>
    <w:rsid w:val="00F87634"/>
    <w:rsid w:val="00F87C13"/>
    <w:rsid w:val="00F87C5A"/>
    <w:rsid w:val="00F87E29"/>
    <w:rsid w:val="00F87F18"/>
    <w:rsid w:val="00F87F68"/>
    <w:rsid w:val="00F90C4D"/>
    <w:rsid w:val="00F9167D"/>
    <w:rsid w:val="00F916B7"/>
    <w:rsid w:val="00F91CB2"/>
    <w:rsid w:val="00F927E8"/>
    <w:rsid w:val="00F9289C"/>
    <w:rsid w:val="00F93DBC"/>
    <w:rsid w:val="00F93E41"/>
    <w:rsid w:val="00F94644"/>
    <w:rsid w:val="00F952E4"/>
    <w:rsid w:val="00F9537B"/>
    <w:rsid w:val="00F955B6"/>
    <w:rsid w:val="00F963FC"/>
    <w:rsid w:val="00F979C1"/>
    <w:rsid w:val="00F97CF1"/>
    <w:rsid w:val="00FA015F"/>
    <w:rsid w:val="00FA0160"/>
    <w:rsid w:val="00FA0FAC"/>
    <w:rsid w:val="00FA10F7"/>
    <w:rsid w:val="00FA1DA2"/>
    <w:rsid w:val="00FA3414"/>
    <w:rsid w:val="00FA347A"/>
    <w:rsid w:val="00FA3CDE"/>
    <w:rsid w:val="00FA40FC"/>
    <w:rsid w:val="00FA49B7"/>
    <w:rsid w:val="00FA5043"/>
    <w:rsid w:val="00FA6F8B"/>
    <w:rsid w:val="00FA727C"/>
    <w:rsid w:val="00FA7A30"/>
    <w:rsid w:val="00FB033F"/>
    <w:rsid w:val="00FB12E3"/>
    <w:rsid w:val="00FB1570"/>
    <w:rsid w:val="00FB193B"/>
    <w:rsid w:val="00FB1FBC"/>
    <w:rsid w:val="00FB27B7"/>
    <w:rsid w:val="00FB35E3"/>
    <w:rsid w:val="00FB4C98"/>
    <w:rsid w:val="00FB4CE3"/>
    <w:rsid w:val="00FB583C"/>
    <w:rsid w:val="00FB630E"/>
    <w:rsid w:val="00FB6738"/>
    <w:rsid w:val="00FB691B"/>
    <w:rsid w:val="00FB6BE6"/>
    <w:rsid w:val="00FB731C"/>
    <w:rsid w:val="00FB7628"/>
    <w:rsid w:val="00FC05A0"/>
    <w:rsid w:val="00FC0811"/>
    <w:rsid w:val="00FC1196"/>
    <w:rsid w:val="00FC130B"/>
    <w:rsid w:val="00FC15EB"/>
    <w:rsid w:val="00FC162C"/>
    <w:rsid w:val="00FC18DC"/>
    <w:rsid w:val="00FC1ABF"/>
    <w:rsid w:val="00FC2477"/>
    <w:rsid w:val="00FC2AC4"/>
    <w:rsid w:val="00FC2CAC"/>
    <w:rsid w:val="00FC2F73"/>
    <w:rsid w:val="00FC3A9B"/>
    <w:rsid w:val="00FC3AE1"/>
    <w:rsid w:val="00FC3DFC"/>
    <w:rsid w:val="00FC3EF4"/>
    <w:rsid w:val="00FC431B"/>
    <w:rsid w:val="00FC434C"/>
    <w:rsid w:val="00FC472C"/>
    <w:rsid w:val="00FC4FDF"/>
    <w:rsid w:val="00FC5CF4"/>
    <w:rsid w:val="00FC5D64"/>
    <w:rsid w:val="00FC630B"/>
    <w:rsid w:val="00FC6A39"/>
    <w:rsid w:val="00FC76A9"/>
    <w:rsid w:val="00FC79AB"/>
    <w:rsid w:val="00FC7BE7"/>
    <w:rsid w:val="00FC7D25"/>
    <w:rsid w:val="00FC7DAC"/>
    <w:rsid w:val="00FD005D"/>
    <w:rsid w:val="00FD023A"/>
    <w:rsid w:val="00FD04AE"/>
    <w:rsid w:val="00FD0DFA"/>
    <w:rsid w:val="00FD128D"/>
    <w:rsid w:val="00FD1890"/>
    <w:rsid w:val="00FD1994"/>
    <w:rsid w:val="00FD3275"/>
    <w:rsid w:val="00FD3508"/>
    <w:rsid w:val="00FD3745"/>
    <w:rsid w:val="00FD393C"/>
    <w:rsid w:val="00FD3AFF"/>
    <w:rsid w:val="00FD401D"/>
    <w:rsid w:val="00FD43BB"/>
    <w:rsid w:val="00FD48CD"/>
    <w:rsid w:val="00FD4AF3"/>
    <w:rsid w:val="00FD546E"/>
    <w:rsid w:val="00FD78C4"/>
    <w:rsid w:val="00FD798D"/>
    <w:rsid w:val="00FE0135"/>
    <w:rsid w:val="00FE0B4F"/>
    <w:rsid w:val="00FE141E"/>
    <w:rsid w:val="00FE144E"/>
    <w:rsid w:val="00FE1768"/>
    <w:rsid w:val="00FE181B"/>
    <w:rsid w:val="00FE24F4"/>
    <w:rsid w:val="00FE2560"/>
    <w:rsid w:val="00FE35D0"/>
    <w:rsid w:val="00FE42ED"/>
    <w:rsid w:val="00FE4E06"/>
    <w:rsid w:val="00FE55A7"/>
    <w:rsid w:val="00FE5C5A"/>
    <w:rsid w:val="00FE6432"/>
    <w:rsid w:val="00FE69C8"/>
    <w:rsid w:val="00FE703E"/>
    <w:rsid w:val="00FE72A0"/>
    <w:rsid w:val="00FE76F9"/>
    <w:rsid w:val="00FF0050"/>
    <w:rsid w:val="00FF045F"/>
    <w:rsid w:val="00FF13D4"/>
    <w:rsid w:val="00FF2053"/>
    <w:rsid w:val="00FF228B"/>
    <w:rsid w:val="00FF26B3"/>
    <w:rsid w:val="00FF3B37"/>
    <w:rsid w:val="00FF3CC7"/>
    <w:rsid w:val="00FF3D6F"/>
    <w:rsid w:val="00FF4489"/>
    <w:rsid w:val="00FF4BD8"/>
    <w:rsid w:val="00FF4D11"/>
    <w:rsid w:val="00FF5214"/>
    <w:rsid w:val="00FF596E"/>
    <w:rsid w:val="00FF5B59"/>
    <w:rsid w:val="00FF5BFD"/>
    <w:rsid w:val="00FF5CC0"/>
    <w:rsid w:val="00FF6095"/>
    <w:rsid w:val="00FF62FE"/>
    <w:rsid w:val="00FF6470"/>
    <w:rsid w:val="00FF6553"/>
    <w:rsid w:val="00FF7086"/>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A95"/>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paragraph" w:customStyle="1" w:styleId="Cuadrculamedia1-nfasis21">
    <w:name w:val="Cuadrícula media 1 - Énfasis 21"/>
    <w:basedOn w:val="Normal"/>
    <w:uiPriority w:val="34"/>
    <w:qFormat/>
    <w:rsid w:val="003F155A"/>
    <w:pPr>
      <w:spacing w:after="160" w:line="259" w:lineRule="auto"/>
      <w:ind w:left="720"/>
      <w:contextualSpacing/>
    </w:pPr>
    <w:rPr>
      <w:rFonts w:ascii="Calibri" w:eastAsia="Calibri" w:hAnsi="Calibri"/>
      <w:sz w:val="22"/>
      <w:szCs w:val="22"/>
      <w:lang w:eastAsia="en-US"/>
    </w:rPr>
  </w:style>
  <w:style w:type="character" w:styleId="Refdenotaalfinal">
    <w:name w:val="endnote reference"/>
    <w:basedOn w:val="Fuentedeprrafopredeter"/>
    <w:uiPriority w:val="99"/>
    <w:semiHidden/>
    <w:unhideWhenUsed/>
    <w:rsid w:val="00B441D0"/>
    <w:rPr>
      <w:vertAlign w:val="superscript"/>
    </w:rPr>
  </w:style>
  <w:style w:type="paragraph" w:styleId="Revisin">
    <w:name w:val="Revision"/>
    <w:hidden/>
    <w:uiPriority w:val="99"/>
    <w:semiHidden/>
    <w:rsid w:val="00571E44"/>
    <w:pPr>
      <w:spacing w:after="0" w:line="240" w:lineRule="auto"/>
    </w:pPr>
    <w:rPr>
      <w:rFonts w:ascii="Times New Roman" w:eastAsia="Times New Roman" w:hAnsi="Times New Roman" w:cs="Times New Roman"/>
      <w:sz w:val="24"/>
      <w:szCs w:val="24"/>
      <w:lang w:eastAsia="es-ES_tradnl"/>
    </w:rPr>
  </w:style>
  <w:style w:type="paragraph" w:customStyle="1" w:styleId="bodytext22">
    <w:name w:val="bodytext22"/>
    <w:basedOn w:val="Normal"/>
    <w:rsid w:val="00F0318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5714384">
      <w:bodyDiv w:val="1"/>
      <w:marLeft w:val="0"/>
      <w:marRight w:val="0"/>
      <w:marTop w:val="0"/>
      <w:marBottom w:val="0"/>
      <w:divBdr>
        <w:top w:val="none" w:sz="0" w:space="0" w:color="auto"/>
        <w:left w:val="none" w:sz="0" w:space="0" w:color="auto"/>
        <w:bottom w:val="none" w:sz="0" w:space="0" w:color="auto"/>
        <w:right w:val="none" w:sz="0" w:space="0" w:color="auto"/>
      </w:divBdr>
    </w:div>
    <w:div w:id="107504563">
      <w:bodyDiv w:val="1"/>
      <w:marLeft w:val="0"/>
      <w:marRight w:val="0"/>
      <w:marTop w:val="0"/>
      <w:marBottom w:val="0"/>
      <w:divBdr>
        <w:top w:val="none" w:sz="0" w:space="0" w:color="auto"/>
        <w:left w:val="none" w:sz="0" w:space="0" w:color="auto"/>
        <w:bottom w:val="none" w:sz="0" w:space="0" w:color="auto"/>
        <w:right w:val="none" w:sz="0" w:space="0" w:color="auto"/>
      </w:divBdr>
    </w:div>
    <w:div w:id="118231824">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812000">
      <w:bodyDiv w:val="1"/>
      <w:marLeft w:val="0"/>
      <w:marRight w:val="0"/>
      <w:marTop w:val="0"/>
      <w:marBottom w:val="0"/>
      <w:divBdr>
        <w:top w:val="none" w:sz="0" w:space="0" w:color="auto"/>
        <w:left w:val="none" w:sz="0" w:space="0" w:color="auto"/>
        <w:bottom w:val="none" w:sz="0" w:space="0" w:color="auto"/>
        <w:right w:val="none" w:sz="0" w:space="0" w:color="auto"/>
      </w:divBdr>
    </w:div>
    <w:div w:id="150682811">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3004707">
      <w:bodyDiv w:val="1"/>
      <w:marLeft w:val="0"/>
      <w:marRight w:val="0"/>
      <w:marTop w:val="0"/>
      <w:marBottom w:val="0"/>
      <w:divBdr>
        <w:top w:val="none" w:sz="0" w:space="0" w:color="auto"/>
        <w:left w:val="none" w:sz="0" w:space="0" w:color="auto"/>
        <w:bottom w:val="none" w:sz="0" w:space="0" w:color="auto"/>
        <w:right w:val="none" w:sz="0" w:space="0" w:color="auto"/>
      </w:divBdr>
      <w:divsChild>
        <w:div w:id="208034509">
          <w:marLeft w:val="0"/>
          <w:marRight w:val="0"/>
          <w:marTop w:val="0"/>
          <w:marBottom w:val="0"/>
          <w:divBdr>
            <w:top w:val="none" w:sz="0" w:space="0" w:color="auto"/>
            <w:left w:val="none" w:sz="0" w:space="0" w:color="auto"/>
            <w:bottom w:val="none" w:sz="0" w:space="0" w:color="auto"/>
            <w:right w:val="none" w:sz="0" w:space="0" w:color="auto"/>
          </w:divBdr>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3385160">
      <w:bodyDiv w:val="1"/>
      <w:marLeft w:val="0"/>
      <w:marRight w:val="0"/>
      <w:marTop w:val="0"/>
      <w:marBottom w:val="0"/>
      <w:divBdr>
        <w:top w:val="none" w:sz="0" w:space="0" w:color="auto"/>
        <w:left w:val="none" w:sz="0" w:space="0" w:color="auto"/>
        <w:bottom w:val="none" w:sz="0" w:space="0" w:color="auto"/>
        <w:right w:val="none" w:sz="0" w:space="0" w:color="auto"/>
      </w:divBdr>
      <w:divsChild>
        <w:div w:id="350298098">
          <w:marLeft w:val="0"/>
          <w:marRight w:val="0"/>
          <w:marTop w:val="0"/>
          <w:marBottom w:val="0"/>
          <w:divBdr>
            <w:top w:val="none" w:sz="0" w:space="0" w:color="auto"/>
            <w:left w:val="none" w:sz="0" w:space="0" w:color="auto"/>
            <w:bottom w:val="none" w:sz="0" w:space="0" w:color="auto"/>
            <w:right w:val="none" w:sz="0" w:space="0" w:color="auto"/>
          </w:divBdr>
          <w:divsChild>
            <w:div w:id="191496306">
              <w:marLeft w:val="0"/>
              <w:marRight w:val="0"/>
              <w:marTop w:val="0"/>
              <w:marBottom w:val="0"/>
              <w:divBdr>
                <w:top w:val="none" w:sz="0" w:space="0" w:color="auto"/>
                <w:left w:val="none" w:sz="0" w:space="0" w:color="auto"/>
                <w:bottom w:val="none" w:sz="0" w:space="0" w:color="auto"/>
                <w:right w:val="none" w:sz="0" w:space="0" w:color="auto"/>
              </w:divBdr>
              <w:divsChild>
                <w:div w:id="481655950">
                  <w:marLeft w:val="0"/>
                  <w:marRight w:val="0"/>
                  <w:marTop w:val="0"/>
                  <w:marBottom w:val="0"/>
                  <w:divBdr>
                    <w:top w:val="none" w:sz="0" w:space="0" w:color="auto"/>
                    <w:left w:val="none" w:sz="0" w:space="0" w:color="auto"/>
                    <w:bottom w:val="none" w:sz="0" w:space="0" w:color="auto"/>
                    <w:right w:val="none" w:sz="0" w:space="0" w:color="auto"/>
                  </w:divBdr>
                  <w:divsChild>
                    <w:div w:id="8787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9550618">
      <w:bodyDiv w:val="1"/>
      <w:marLeft w:val="0"/>
      <w:marRight w:val="0"/>
      <w:marTop w:val="0"/>
      <w:marBottom w:val="0"/>
      <w:divBdr>
        <w:top w:val="none" w:sz="0" w:space="0" w:color="auto"/>
        <w:left w:val="none" w:sz="0" w:space="0" w:color="auto"/>
        <w:bottom w:val="none" w:sz="0" w:space="0" w:color="auto"/>
        <w:right w:val="none" w:sz="0" w:space="0" w:color="auto"/>
      </w:divBdr>
    </w:div>
    <w:div w:id="382800302">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4283268">
      <w:bodyDiv w:val="1"/>
      <w:marLeft w:val="0"/>
      <w:marRight w:val="0"/>
      <w:marTop w:val="0"/>
      <w:marBottom w:val="0"/>
      <w:divBdr>
        <w:top w:val="none" w:sz="0" w:space="0" w:color="auto"/>
        <w:left w:val="none" w:sz="0" w:space="0" w:color="auto"/>
        <w:bottom w:val="none" w:sz="0" w:space="0" w:color="auto"/>
        <w:right w:val="none" w:sz="0" w:space="0" w:color="auto"/>
      </w:divBdr>
    </w:div>
    <w:div w:id="42194841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2846707">
      <w:bodyDiv w:val="1"/>
      <w:marLeft w:val="0"/>
      <w:marRight w:val="0"/>
      <w:marTop w:val="0"/>
      <w:marBottom w:val="0"/>
      <w:divBdr>
        <w:top w:val="none" w:sz="0" w:space="0" w:color="auto"/>
        <w:left w:val="none" w:sz="0" w:space="0" w:color="auto"/>
        <w:bottom w:val="none" w:sz="0" w:space="0" w:color="auto"/>
        <w:right w:val="none" w:sz="0" w:space="0" w:color="auto"/>
      </w:divBdr>
    </w:div>
    <w:div w:id="44292483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2896448">
      <w:bodyDiv w:val="1"/>
      <w:marLeft w:val="0"/>
      <w:marRight w:val="0"/>
      <w:marTop w:val="0"/>
      <w:marBottom w:val="0"/>
      <w:divBdr>
        <w:top w:val="none" w:sz="0" w:space="0" w:color="auto"/>
        <w:left w:val="none" w:sz="0" w:space="0" w:color="auto"/>
        <w:bottom w:val="none" w:sz="0" w:space="0" w:color="auto"/>
        <w:right w:val="none" w:sz="0" w:space="0" w:color="auto"/>
      </w:divBdr>
    </w:div>
    <w:div w:id="487598552">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79033">
      <w:bodyDiv w:val="1"/>
      <w:marLeft w:val="0"/>
      <w:marRight w:val="0"/>
      <w:marTop w:val="0"/>
      <w:marBottom w:val="0"/>
      <w:divBdr>
        <w:top w:val="none" w:sz="0" w:space="0" w:color="auto"/>
        <w:left w:val="none" w:sz="0" w:space="0" w:color="auto"/>
        <w:bottom w:val="none" w:sz="0" w:space="0" w:color="auto"/>
        <w:right w:val="none" w:sz="0" w:space="0" w:color="auto"/>
      </w:divBdr>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3759">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7424745">
      <w:bodyDiv w:val="1"/>
      <w:marLeft w:val="0"/>
      <w:marRight w:val="0"/>
      <w:marTop w:val="0"/>
      <w:marBottom w:val="0"/>
      <w:divBdr>
        <w:top w:val="none" w:sz="0" w:space="0" w:color="auto"/>
        <w:left w:val="none" w:sz="0" w:space="0" w:color="auto"/>
        <w:bottom w:val="none" w:sz="0" w:space="0" w:color="auto"/>
        <w:right w:val="none" w:sz="0" w:space="0" w:color="auto"/>
      </w:divBdr>
      <w:divsChild>
        <w:div w:id="1366827468">
          <w:marLeft w:val="0"/>
          <w:marRight w:val="0"/>
          <w:marTop w:val="0"/>
          <w:marBottom w:val="0"/>
          <w:divBdr>
            <w:top w:val="none" w:sz="0" w:space="0" w:color="auto"/>
            <w:left w:val="none" w:sz="0" w:space="0" w:color="auto"/>
            <w:bottom w:val="none" w:sz="0" w:space="0" w:color="auto"/>
            <w:right w:val="none" w:sz="0" w:space="0" w:color="auto"/>
          </w:divBdr>
          <w:divsChild>
            <w:div w:id="1725981228">
              <w:marLeft w:val="0"/>
              <w:marRight w:val="0"/>
              <w:marTop w:val="0"/>
              <w:marBottom w:val="0"/>
              <w:divBdr>
                <w:top w:val="none" w:sz="0" w:space="0" w:color="auto"/>
                <w:left w:val="none" w:sz="0" w:space="0" w:color="auto"/>
                <w:bottom w:val="none" w:sz="0" w:space="0" w:color="auto"/>
                <w:right w:val="none" w:sz="0" w:space="0" w:color="auto"/>
              </w:divBdr>
              <w:divsChild>
                <w:div w:id="94315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693322">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037956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7418480">
      <w:bodyDiv w:val="1"/>
      <w:marLeft w:val="0"/>
      <w:marRight w:val="0"/>
      <w:marTop w:val="0"/>
      <w:marBottom w:val="0"/>
      <w:divBdr>
        <w:top w:val="none" w:sz="0" w:space="0" w:color="auto"/>
        <w:left w:val="none" w:sz="0" w:space="0" w:color="auto"/>
        <w:bottom w:val="none" w:sz="0" w:space="0" w:color="auto"/>
        <w:right w:val="none" w:sz="0" w:space="0" w:color="auto"/>
      </w:divBdr>
      <w:divsChild>
        <w:div w:id="133331227">
          <w:marLeft w:val="0"/>
          <w:marRight w:val="0"/>
          <w:marTop w:val="0"/>
          <w:marBottom w:val="0"/>
          <w:divBdr>
            <w:top w:val="none" w:sz="0" w:space="0" w:color="auto"/>
            <w:left w:val="none" w:sz="0" w:space="0" w:color="auto"/>
            <w:bottom w:val="none" w:sz="0" w:space="0" w:color="auto"/>
            <w:right w:val="none" w:sz="0" w:space="0" w:color="auto"/>
          </w:divBdr>
          <w:divsChild>
            <w:div w:id="1117915273">
              <w:marLeft w:val="0"/>
              <w:marRight w:val="0"/>
              <w:marTop w:val="0"/>
              <w:marBottom w:val="0"/>
              <w:divBdr>
                <w:top w:val="none" w:sz="0" w:space="0" w:color="auto"/>
                <w:left w:val="none" w:sz="0" w:space="0" w:color="auto"/>
                <w:bottom w:val="none" w:sz="0" w:space="0" w:color="auto"/>
                <w:right w:val="none" w:sz="0" w:space="0" w:color="auto"/>
              </w:divBdr>
              <w:divsChild>
                <w:div w:id="10774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7473">
      <w:bodyDiv w:val="1"/>
      <w:marLeft w:val="0"/>
      <w:marRight w:val="0"/>
      <w:marTop w:val="0"/>
      <w:marBottom w:val="0"/>
      <w:divBdr>
        <w:top w:val="none" w:sz="0" w:space="0" w:color="auto"/>
        <w:left w:val="none" w:sz="0" w:space="0" w:color="auto"/>
        <w:bottom w:val="none" w:sz="0" w:space="0" w:color="auto"/>
        <w:right w:val="none" w:sz="0" w:space="0" w:color="auto"/>
      </w:divBdr>
      <w:divsChild>
        <w:div w:id="1482426068">
          <w:marLeft w:val="0"/>
          <w:marRight w:val="0"/>
          <w:marTop w:val="0"/>
          <w:marBottom w:val="0"/>
          <w:divBdr>
            <w:top w:val="none" w:sz="0" w:space="0" w:color="auto"/>
            <w:left w:val="none" w:sz="0" w:space="0" w:color="auto"/>
            <w:bottom w:val="none" w:sz="0" w:space="0" w:color="auto"/>
            <w:right w:val="none" w:sz="0" w:space="0" w:color="auto"/>
          </w:divBdr>
        </w:div>
        <w:div w:id="1786777220">
          <w:marLeft w:val="0"/>
          <w:marRight w:val="0"/>
          <w:marTop w:val="0"/>
          <w:marBottom w:val="0"/>
          <w:divBdr>
            <w:top w:val="none" w:sz="0" w:space="0" w:color="auto"/>
            <w:left w:val="none" w:sz="0" w:space="0" w:color="auto"/>
            <w:bottom w:val="none" w:sz="0" w:space="0" w:color="auto"/>
            <w:right w:val="none" w:sz="0" w:space="0" w:color="auto"/>
          </w:divBdr>
        </w:div>
        <w:div w:id="1973706903">
          <w:marLeft w:val="0"/>
          <w:marRight w:val="0"/>
          <w:marTop w:val="0"/>
          <w:marBottom w:val="0"/>
          <w:divBdr>
            <w:top w:val="none" w:sz="0" w:space="0" w:color="auto"/>
            <w:left w:val="none" w:sz="0" w:space="0" w:color="auto"/>
            <w:bottom w:val="none" w:sz="0" w:space="0" w:color="auto"/>
            <w:right w:val="none" w:sz="0" w:space="0" w:color="auto"/>
          </w:divBdr>
        </w:div>
        <w:div w:id="704401714">
          <w:marLeft w:val="0"/>
          <w:marRight w:val="0"/>
          <w:marTop w:val="0"/>
          <w:marBottom w:val="0"/>
          <w:divBdr>
            <w:top w:val="none" w:sz="0" w:space="0" w:color="auto"/>
            <w:left w:val="none" w:sz="0" w:space="0" w:color="auto"/>
            <w:bottom w:val="none" w:sz="0" w:space="0" w:color="auto"/>
            <w:right w:val="none" w:sz="0" w:space="0" w:color="auto"/>
          </w:divBdr>
        </w:div>
        <w:div w:id="113255144">
          <w:marLeft w:val="0"/>
          <w:marRight w:val="0"/>
          <w:marTop w:val="0"/>
          <w:marBottom w:val="0"/>
          <w:divBdr>
            <w:top w:val="none" w:sz="0" w:space="0" w:color="auto"/>
            <w:left w:val="none" w:sz="0" w:space="0" w:color="auto"/>
            <w:bottom w:val="none" w:sz="0" w:space="0" w:color="auto"/>
            <w:right w:val="none" w:sz="0" w:space="0" w:color="auto"/>
          </w:divBdr>
        </w:div>
      </w:divsChild>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4356975">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8359637">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9423177">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8767226">
      <w:bodyDiv w:val="1"/>
      <w:marLeft w:val="0"/>
      <w:marRight w:val="0"/>
      <w:marTop w:val="0"/>
      <w:marBottom w:val="0"/>
      <w:divBdr>
        <w:top w:val="none" w:sz="0" w:space="0" w:color="auto"/>
        <w:left w:val="none" w:sz="0" w:space="0" w:color="auto"/>
        <w:bottom w:val="none" w:sz="0" w:space="0" w:color="auto"/>
        <w:right w:val="none" w:sz="0" w:space="0" w:color="auto"/>
      </w:divBdr>
    </w:div>
    <w:div w:id="784075727">
      <w:bodyDiv w:val="1"/>
      <w:marLeft w:val="0"/>
      <w:marRight w:val="0"/>
      <w:marTop w:val="0"/>
      <w:marBottom w:val="0"/>
      <w:divBdr>
        <w:top w:val="none" w:sz="0" w:space="0" w:color="auto"/>
        <w:left w:val="none" w:sz="0" w:space="0" w:color="auto"/>
        <w:bottom w:val="none" w:sz="0" w:space="0" w:color="auto"/>
        <w:right w:val="none" w:sz="0" w:space="0" w:color="auto"/>
      </w:divBdr>
      <w:divsChild>
        <w:div w:id="1422146355">
          <w:marLeft w:val="0"/>
          <w:marRight w:val="0"/>
          <w:marTop w:val="0"/>
          <w:marBottom w:val="0"/>
          <w:divBdr>
            <w:top w:val="none" w:sz="0" w:space="0" w:color="auto"/>
            <w:left w:val="none" w:sz="0" w:space="0" w:color="auto"/>
            <w:bottom w:val="none" w:sz="0" w:space="0" w:color="auto"/>
            <w:right w:val="none" w:sz="0" w:space="0" w:color="auto"/>
          </w:divBdr>
          <w:divsChild>
            <w:div w:id="1420909987">
              <w:marLeft w:val="0"/>
              <w:marRight w:val="0"/>
              <w:marTop w:val="0"/>
              <w:marBottom w:val="0"/>
              <w:divBdr>
                <w:top w:val="none" w:sz="0" w:space="0" w:color="auto"/>
                <w:left w:val="none" w:sz="0" w:space="0" w:color="auto"/>
                <w:bottom w:val="none" w:sz="0" w:space="0" w:color="auto"/>
                <w:right w:val="none" w:sz="0" w:space="0" w:color="auto"/>
              </w:divBdr>
              <w:divsChild>
                <w:div w:id="5741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35857">
      <w:bodyDiv w:val="1"/>
      <w:marLeft w:val="0"/>
      <w:marRight w:val="0"/>
      <w:marTop w:val="0"/>
      <w:marBottom w:val="0"/>
      <w:divBdr>
        <w:top w:val="none" w:sz="0" w:space="0" w:color="auto"/>
        <w:left w:val="none" w:sz="0" w:space="0" w:color="auto"/>
        <w:bottom w:val="none" w:sz="0" w:space="0" w:color="auto"/>
        <w:right w:val="none" w:sz="0" w:space="0" w:color="auto"/>
      </w:divBdr>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281988">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0121784">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543579">
      <w:bodyDiv w:val="1"/>
      <w:marLeft w:val="0"/>
      <w:marRight w:val="0"/>
      <w:marTop w:val="0"/>
      <w:marBottom w:val="0"/>
      <w:divBdr>
        <w:top w:val="none" w:sz="0" w:space="0" w:color="auto"/>
        <w:left w:val="none" w:sz="0" w:space="0" w:color="auto"/>
        <w:bottom w:val="none" w:sz="0" w:space="0" w:color="auto"/>
        <w:right w:val="none" w:sz="0" w:space="0" w:color="auto"/>
      </w:divBdr>
      <w:divsChild>
        <w:div w:id="1855731931">
          <w:marLeft w:val="0"/>
          <w:marRight w:val="0"/>
          <w:marTop w:val="0"/>
          <w:marBottom w:val="0"/>
          <w:divBdr>
            <w:top w:val="none" w:sz="0" w:space="0" w:color="auto"/>
            <w:left w:val="none" w:sz="0" w:space="0" w:color="auto"/>
            <w:bottom w:val="none" w:sz="0" w:space="0" w:color="auto"/>
            <w:right w:val="none" w:sz="0" w:space="0" w:color="auto"/>
          </w:divBdr>
          <w:divsChild>
            <w:div w:id="869297362">
              <w:marLeft w:val="0"/>
              <w:marRight w:val="0"/>
              <w:marTop w:val="0"/>
              <w:marBottom w:val="0"/>
              <w:divBdr>
                <w:top w:val="none" w:sz="0" w:space="0" w:color="auto"/>
                <w:left w:val="none" w:sz="0" w:space="0" w:color="auto"/>
                <w:bottom w:val="none" w:sz="0" w:space="0" w:color="auto"/>
                <w:right w:val="none" w:sz="0" w:space="0" w:color="auto"/>
              </w:divBdr>
              <w:divsChild>
                <w:div w:id="871502947">
                  <w:marLeft w:val="0"/>
                  <w:marRight w:val="0"/>
                  <w:marTop w:val="0"/>
                  <w:marBottom w:val="0"/>
                  <w:divBdr>
                    <w:top w:val="none" w:sz="0" w:space="0" w:color="auto"/>
                    <w:left w:val="none" w:sz="0" w:space="0" w:color="auto"/>
                    <w:bottom w:val="none" w:sz="0" w:space="0" w:color="auto"/>
                    <w:right w:val="none" w:sz="0" w:space="0" w:color="auto"/>
                  </w:divBdr>
                  <w:divsChild>
                    <w:div w:id="22349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4315134">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4432504">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8147298">
      <w:bodyDiv w:val="1"/>
      <w:marLeft w:val="0"/>
      <w:marRight w:val="0"/>
      <w:marTop w:val="0"/>
      <w:marBottom w:val="0"/>
      <w:divBdr>
        <w:top w:val="none" w:sz="0" w:space="0" w:color="auto"/>
        <w:left w:val="none" w:sz="0" w:space="0" w:color="auto"/>
        <w:bottom w:val="none" w:sz="0" w:space="0" w:color="auto"/>
        <w:right w:val="none" w:sz="0" w:space="0" w:color="auto"/>
      </w:divBdr>
    </w:div>
    <w:div w:id="1249270907">
      <w:bodyDiv w:val="1"/>
      <w:marLeft w:val="0"/>
      <w:marRight w:val="0"/>
      <w:marTop w:val="0"/>
      <w:marBottom w:val="0"/>
      <w:divBdr>
        <w:top w:val="none" w:sz="0" w:space="0" w:color="auto"/>
        <w:left w:val="none" w:sz="0" w:space="0" w:color="auto"/>
        <w:bottom w:val="none" w:sz="0" w:space="0" w:color="auto"/>
        <w:right w:val="none" w:sz="0" w:space="0" w:color="auto"/>
      </w:divBdr>
    </w:div>
    <w:div w:id="1253858418">
      <w:bodyDiv w:val="1"/>
      <w:marLeft w:val="0"/>
      <w:marRight w:val="0"/>
      <w:marTop w:val="0"/>
      <w:marBottom w:val="0"/>
      <w:divBdr>
        <w:top w:val="none" w:sz="0" w:space="0" w:color="auto"/>
        <w:left w:val="none" w:sz="0" w:space="0" w:color="auto"/>
        <w:bottom w:val="none" w:sz="0" w:space="0" w:color="auto"/>
        <w:right w:val="none" w:sz="0" w:space="0" w:color="auto"/>
      </w:divBdr>
    </w:div>
    <w:div w:id="1278096992">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8823452">
      <w:bodyDiv w:val="1"/>
      <w:marLeft w:val="0"/>
      <w:marRight w:val="0"/>
      <w:marTop w:val="0"/>
      <w:marBottom w:val="0"/>
      <w:divBdr>
        <w:top w:val="none" w:sz="0" w:space="0" w:color="auto"/>
        <w:left w:val="none" w:sz="0" w:space="0" w:color="auto"/>
        <w:bottom w:val="none" w:sz="0" w:space="0" w:color="auto"/>
        <w:right w:val="none" w:sz="0" w:space="0" w:color="auto"/>
      </w:divBdr>
    </w:div>
    <w:div w:id="133537628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7714898">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426386">
      <w:bodyDiv w:val="1"/>
      <w:marLeft w:val="0"/>
      <w:marRight w:val="0"/>
      <w:marTop w:val="0"/>
      <w:marBottom w:val="0"/>
      <w:divBdr>
        <w:top w:val="none" w:sz="0" w:space="0" w:color="auto"/>
        <w:left w:val="none" w:sz="0" w:space="0" w:color="auto"/>
        <w:bottom w:val="none" w:sz="0" w:space="0" w:color="auto"/>
        <w:right w:val="none" w:sz="0" w:space="0" w:color="auto"/>
      </w:divBdr>
    </w:div>
    <w:div w:id="1415974756">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09443">
      <w:bodyDiv w:val="1"/>
      <w:marLeft w:val="0"/>
      <w:marRight w:val="0"/>
      <w:marTop w:val="0"/>
      <w:marBottom w:val="0"/>
      <w:divBdr>
        <w:top w:val="none" w:sz="0" w:space="0" w:color="auto"/>
        <w:left w:val="none" w:sz="0" w:space="0" w:color="auto"/>
        <w:bottom w:val="none" w:sz="0" w:space="0" w:color="auto"/>
        <w:right w:val="none" w:sz="0" w:space="0" w:color="auto"/>
      </w:divBdr>
      <w:divsChild>
        <w:div w:id="529606614">
          <w:marLeft w:val="0"/>
          <w:marRight w:val="0"/>
          <w:marTop w:val="0"/>
          <w:marBottom w:val="0"/>
          <w:divBdr>
            <w:top w:val="none" w:sz="0" w:space="0" w:color="auto"/>
            <w:left w:val="none" w:sz="0" w:space="0" w:color="auto"/>
            <w:bottom w:val="none" w:sz="0" w:space="0" w:color="auto"/>
            <w:right w:val="none" w:sz="0" w:space="0" w:color="auto"/>
          </w:divBdr>
          <w:divsChild>
            <w:div w:id="1904292211">
              <w:marLeft w:val="0"/>
              <w:marRight w:val="0"/>
              <w:marTop w:val="0"/>
              <w:marBottom w:val="0"/>
              <w:divBdr>
                <w:top w:val="none" w:sz="0" w:space="0" w:color="auto"/>
                <w:left w:val="none" w:sz="0" w:space="0" w:color="auto"/>
                <w:bottom w:val="none" w:sz="0" w:space="0" w:color="auto"/>
                <w:right w:val="none" w:sz="0" w:space="0" w:color="auto"/>
              </w:divBdr>
              <w:divsChild>
                <w:div w:id="785540650">
                  <w:marLeft w:val="0"/>
                  <w:marRight w:val="0"/>
                  <w:marTop w:val="0"/>
                  <w:marBottom w:val="0"/>
                  <w:divBdr>
                    <w:top w:val="none" w:sz="0" w:space="0" w:color="auto"/>
                    <w:left w:val="none" w:sz="0" w:space="0" w:color="auto"/>
                    <w:bottom w:val="none" w:sz="0" w:space="0" w:color="auto"/>
                    <w:right w:val="none" w:sz="0" w:space="0" w:color="auto"/>
                  </w:divBdr>
                  <w:divsChild>
                    <w:div w:id="144928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92989960">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6309266">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76209857">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875713">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87058485">
      <w:bodyDiv w:val="1"/>
      <w:marLeft w:val="0"/>
      <w:marRight w:val="0"/>
      <w:marTop w:val="0"/>
      <w:marBottom w:val="0"/>
      <w:divBdr>
        <w:top w:val="none" w:sz="0" w:space="0" w:color="auto"/>
        <w:left w:val="none" w:sz="0" w:space="0" w:color="auto"/>
        <w:bottom w:val="none" w:sz="0" w:space="0" w:color="auto"/>
        <w:right w:val="none" w:sz="0" w:space="0" w:color="auto"/>
      </w:divBdr>
      <w:divsChild>
        <w:div w:id="2046828689">
          <w:marLeft w:val="0"/>
          <w:marRight w:val="0"/>
          <w:marTop w:val="0"/>
          <w:marBottom w:val="0"/>
          <w:divBdr>
            <w:top w:val="none" w:sz="0" w:space="0" w:color="auto"/>
            <w:left w:val="none" w:sz="0" w:space="0" w:color="auto"/>
            <w:bottom w:val="none" w:sz="0" w:space="0" w:color="auto"/>
            <w:right w:val="none" w:sz="0" w:space="0" w:color="auto"/>
          </w:divBdr>
        </w:div>
      </w:divsChild>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3340090">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28458365">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83900">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3356704">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1654220">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94997725">
      <w:bodyDiv w:val="1"/>
      <w:marLeft w:val="0"/>
      <w:marRight w:val="0"/>
      <w:marTop w:val="0"/>
      <w:marBottom w:val="0"/>
      <w:divBdr>
        <w:top w:val="none" w:sz="0" w:space="0" w:color="auto"/>
        <w:left w:val="none" w:sz="0" w:space="0" w:color="auto"/>
        <w:bottom w:val="none" w:sz="0" w:space="0" w:color="auto"/>
        <w:right w:val="none" w:sz="0" w:space="0" w:color="auto"/>
      </w:divBdr>
      <w:divsChild>
        <w:div w:id="1748071415">
          <w:marLeft w:val="0"/>
          <w:marRight w:val="0"/>
          <w:marTop w:val="0"/>
          <w:marBottom w:val="0"/>
          <w:divBdr>
            <w:top w:val="none" w:sz="0" w:space="0" w:color="auto"/>
            <w:left w:val="none" w:sz="0" w:space="0" w:color="auto"/>
            <w:bottom w:val="none" w:sz="0" w:space="0" w:color="auto"/>
            <w:right w:val="none" w:sz="0" w:space="0" w:color="auto"/>
          </w:divBdr>
          <w:divsChild>
            <w:div w:id="445195109">
              <w:marLeft w:val="0"/>
              <w:marRight w:val="0"/>
              <w:marTop w:val="0"/>
              <w:marBottom w:val="0"/>
              <w:divBdr>
                <w:top w:val="none" w:sz="0" w:space="0" w:color="auto"/>
                <w:left w:val="none" w:sz="0" w:space="0" w:color="auto"/>
                <w:bottom w:val="none" w:sz="0" w:space="0" w:color="auto"/>
                <w:right w:val="none" w:sz="0" w:space="0" w:color="auto"/>
              </w:divBdr>
              <w:divsChild>
                <w:div w:id="36466643">
                  <w:marLeft w:val="0"/>
                  <w:marRight w:val="0"/>
                  <w:marTop w:val="0"/>
                  <w:marBottom w:val="0"/>
                  <w:divBdr>
                    <w:top w:val="none" w:sz="0" w:space="0" w:color="auto"/>
                    <w:left w:val="none" w:sz="0" w:space="0" w:color="auto"/>
                    <w:bottom w:val="none" w:sz="0" w:space="0" w:color="auto"/>
                    <w:right w:val="none" w:sz="0" w:space="0" w:color="auto"/>
                  </w:divBdr>
                  <w:divsChild>
                    <w:div w:id="63564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4772653">
      <w:bodyDiv w:val="1"/>
      <w:marLeft w:val="0"/>
      <w:marRight w:val="0"/>
      <w:marTop w:val="0"/>
      <w:marBottom w:val="0"/>
      <w:divBdr>
        <w:top w:val="none" w:sz="0" w:space="0" w:color="auto"/>
        <w:left w:val="none" w:sz="0" w:space="0" w:color="auto"/>
        <w:bottom w:val="none" w:sz="0" w:space="0" w:color="auto"/>
        <w:right w:val="none" w:sz="0" w:space="0" w:color="auto"/>
      </w:divBdr>
    </w:div>
    <w:div w:id="1915815225">
      <w:bodyDiv w:val="1"/>
      <w:marLeft w:val="0"/>
      <w:marRight w:val="0"/>
      <w:marTop w:val="0"/>
      <w:marBottom w:val="0"/>
      <w:divBdr>
        <w:top w:val="none" w:sz="0" w:space="0" w:color="auto"/>
        <w:left w:val="none" w:sz="0" w:space="0" w:color="auto"/>
        <w:bottom w:val="none" w:sz="0" w:space="0" w:color="auto"/>
        <w:right w:val="none" w:sz="0" w:space="0" w:color="auto"/>
      </w:divBdr>
      <w:divsChild>
        <w:div w:id="1418945597">
          <w:marLeft w:val="0"/>
          <w:marRight w:val="0"/>
          <w:marTop w:val="0"/>
          <w:marBottom w:val="0"/>
          <w:divBdr>
            <w:top w:val="none" w:sz="0" w:space="0" w:color="auto"/>
            <w:left w:val="none" w:sz="0" w:space="0" w:color="auto"/>
            <w:bottom w:val="none" w:sz="0" w:space="0" w:color="auto"/>
            <w:right w:val="none" w:sz="0" w:space="0" w:color="auto"/>
          </w:divBdr>
          <w:divsChild>
            <w:div w:id="1531139627">
              <w:marLeft w:val="0"/>
              <w:marRight w:val="0"/>
              <w:marTop w:val="0"/>
              <w:marBottom w:val="0"/>
              <w:divBdr>
                <w:top w:val="none" w:sz="0" w:space="0" w:color="auto"/>
                <w:left w:val="none" w:sz="0" w:space="0" w:color="auto"/>
                <w:bottom w:val="none" w:sz="0" w:space="0" w:color="auto"/>
                <w:right w:val="none" w:sz="0" w:space="0" w:color="auto"/>
              </w:divBdr>
              <w:divsChild>
                <w:div w:id="2048066693">
                  <w:marLeft w:val="0"/>
                  <w:marRight w:val="0"/>
                  <w:marTop w:val="0"/>
                  <w:marBottom w:val="0"/>
                  <w:divBdr>
                    <w:top w:val="none" w:sz="0" w:space="0" w:color="auto"/>
                    <w:left w:val="none" w:sz="0" w:space="0" w:color="auto"/>
                    <w:bottom w:val="none" w:sz="0" w:space="0" w:color="auto"/>
                    <w:right w:val="none" w:sz="0" w:space="0" w:color="auto"/>
                  </w:divBdr>
                  <w:divsChild>
                    <w:div w:id="291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7324">
          <w:marLeft w:val="0"/>
          <w:marRight w:val="0"/>
          <w:marTop w:val="0"/>
          <w:marBottom w:val="0"/>
          <w:divBdr>
            <w:top w:val="none" w:sz="0" w:space="0" w:color="auto"/>
            <w:left w:val="none" w:sz="0" w:space="0" w:color="auto"/>
            <w:bottom w:val="none" w:sz="0" w:space="0" w:color="auto"/>
            <w:right w:val="none" w:sz="0" w:space="0" w:color="auto"/>
          </w:divBdr>
          <w:divsChild>
            <w:div w:id="726802757">
              <w:marLeft w:val="0"/>
              <w:marRight w:val="0"/>
              <w:marTop w:val="0"/>
              <w:marBottom w:val="0"/>
              <w:divBdr>
                <w:top w:val="none" w:sz="0" w:space="0" w:color="auto"/>
                <w:left w:val="none" w:sz="0" w:space="0" w:color="auto"/>
                <w:bottom w:val="none" w:sz="0" w:space="0" w:color="auto"/>
                <w:right w:val="none" w:sz="0" w:space="0" w:color="auto"/>
              </w:divBdr>
              <w:divsChild>
                <w:div w:id="902760746">
                  <w:marLeft w:val="0"/>
                  <w:marRight w:val="0"/>
                  <w:marTop w:val="0"/>
                  <w:marBottom w:val="0"/>
                  <w:divBdr>
                    <w:top w:val="none" w:sz="0" w:space="0" w:color="auto"/>
                    <w:left w:val="none" w:sz="0" w:space="0" w:color="auto"/>
                    <w:bottom w:val="none" w:sz="0" w:space="0" w:color="auto"/>
                    <w:right w:val="none" w:sz="0" w:space="0" w:color="auto"/>
                  </w:divBdr>
                  <w:divsChild>
                    <w:div w:id="7630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1959699">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87972508">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4212296">
      <w:bodyDiv w:val="1"/>
      <w:marLeft w:val="0"/>
      <w:marRight w:val="0"/>
      <w:marTop w:val="0"/>
      <w:marBottom w:val="0"/>
      <w:divBdr>
        <w:top w:val="none" w:sz="0" w:space="0" w:color="auto"/>
        <w:left w:val="none" w:sz="0" w:space="0" w:color="auto"/>
        <w:bottom w:val="none" w:sz="0" w:space="0" w:color="auto"/>
        <w:right w:val="none" w:sz="0" w:space="0" w:color="auto"/>
      </w:divBdr>
      <w:divsChild>
        <w:div w:id="257182508">
          <w:marLeft w:val="0"/>
          <w:marRight w:val="0"/>
          <w:marTop w:val="0"/>
          <w:marBottom w:val="0"/>
          <w:divBdr>
            <w:top w:val="none" w:sz="0" w:space="0" w:color="auto"/>
            <w:left w:val="none" w:sz="0" w:space="0" w:color="auto"/>
            <w:bottom w:val="none" w:sz="0" w:space="0" w:color="auto"/>
            <w:right w:val="none" w:sz="0" w:space="0" w:color="auto"/>
          </w:divBdr>
        </w:div>
      </w:divsChild>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0155518">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 w:id="214060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CEBBB804-56BC-4242-BD66-8B8587849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0</TotalTime>
  <Pages>21</Pages>
  <Words>7899</Words>
  <Characters>43447</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MARIA CLAUDIA DE LA OSSA BOBADILLA</cp:lastModifiedBy>
  <cp:revision>2</cp:revision>
  <cp:lastPrinted>2020-01-30T15:05:00Z</cp:lastPrinted>
  <dcterms:created xsi:type="dcterms:W3CDTF">2022-05-24T16:37:00Z</dcterms:created>
  <dcterms:modified xsi:type="dcterms:W3CDTF">2022-05-24T16:37:00Z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