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1174" w14:textId="798FB4D1" w:rsidR="00E710C7" w:rsidRPr="004D04EA" w:rsidRDefault="00E710C7" w:rsidP="00E710C7">
      <w:pPr>
        <w:contextualSpacing/>
        <w:jc w:val="right"/>
        <w:rPr>
          <w:rFonts w:ascii="Arial" w:hAnsi="Arial" w:cs="Arial"/>
          <w:b/>
          <w:sz w:val="20"/>
          <w:szCs w:val="20"/>
          <w:lang w:val="es-ES" w:eastAsia="es-ES"/>
        </w:rPr>
      </w:pPr>
      <w:r w:rsidRPr="004D04EA">
        <w:rPr>
          <w:rFonts w:ascii="Arial" w:hAnsi="Arial" w:cs="Arial"/>
          <w:b/>
          <w:sz w:val="20"/>
          <w:szCs w:val="20"/>
          <w:lang w:val="es-ES" w:eastAsia="es-ES"/>
        </w:rPr>
        <w:t>CCE-DES-FM-17</w:t>
      </w:r>
    </w:p>
    <w:p w14:paraId="45C1635C" w14:textId="77777777" w:rsidR="00E710C7" w:rsidRPr="004D04EA" w:rsidRDefault="00E710C7" w:rsidP="00E710C7">
      <w:pPr>
        <w:contextualSpacing/>
        <w:jc w:val="both"/>
        <w:rPr>
          <w:rFonts w:ascii="Arial" w:eastAsia="Calibri" w:hAnsi="Arial" w:cs="Arial"/>
          <w:b/>
          <w:sz w:val="20"/>
          <w:szCs w:val="20"/>
        </w:rPr>
      </w:pPr>
      <w:bookmarkStart w:id="0" w:name="_Hlk94088449"/>
    </w:p>
    <w:p w14:paraId="270DA08F" w14:textId="77777777" w:rsidR="00E710C7" w:rsidRPr="004D04EA" w:rsidRDefault="00E710C7" w:rsidP="00E710C7">
      <w:pPr>
        <w:contextualSpacing/>
        <w:jc w:val="both"/>
        <w:rPr>
          <w:rFonts w:ascii="Arial" w:eastAsia="Calibri" w:hAnsi="Arial" w:cs="Arial"/>
          <w:b/>
          <w:sz w:val="22"/>
          <w:szCs w:val="22"/>
        </w:rPr>
      </w:pPr>
      <w:r w:rsidRPr="004D04EA">
        <w:rPr>
          <w:rFonts w:ascii="Arial" w:eastAsia="Calibri" w:hAnsi="Arial" w:cs="Arial"/>
          <w:b/>
          <w:sz w:val="22"/>
          <w:szCs w:val="22"/>
        </w:rPr>
        <w:t>DOCUMENTOS TIPO – Fundamento normativo – Generalidades</w:t>
      </w:r>
      <w:bookmarkEnd w:id="0"/>
    </w:p>
    <w:p w14:paraId="50D54326" w14:textId="77777777" w:rsidR="00E710C7" w:rsidRPr="004D04EA" w:rsidRDefault="00E710C7" w:rsidP="00E710C7">
      <w:pPr>
        <w:contextualSpacing/>
        <w:jc w:val="both"/>
        <w:rPr>
          <w:rFonts w:ascii="Arial" w:eastAsia="Calibri" w:hAnsi="Arial" w:cs="Arial"/>
          <w:b/>
          <w:sz w:val="20"/>
          <w:szCs w:val="20"/>
        </w:rPr>
      </w:pPr>
    </w:p>
    <w:p w14:paraId="207DE14C" w14:textId="77777777" w:rsidR="00E710C7" w:rsidRPr="004D04EA" w:rsidRDefault="00E710C7" w:rsidP="00E710C7">
      <w:pPr>
        <w:contextualSpacing/>
        <w:jc w:val="both"/>
        <w:rPr>
          <w:rFonts w:ascii="Arial" w:hAnsi="Arial" w:cs="Arial"/>
          <w:sz w:val="20"/>
          <w:szCs w:val="20"/>
          <w:lang w:val="es-ES"/>
        </w:rPr>
      </w:pPr>
      <w:r w:rsidRPr="004D04EA">
        <w:rPr>
          <w:rFonts w:ascii="Arial" w:hAnsi="Arial" w:cs="Arial"/>
          <w:sz w:val="20"/>
          <w:szCs w:val="20"/>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838E7F2" w14:textId="77777777" w:rsidR="00E710C7" w:rsidRPr="004D04EA" w:rsidRDefault="00E710C7" w:rsidP="00E710C7">
      <w:pPr>
        <w:contextualSpacing/>
        <w:jc w:val="both"/>
        <w:rPr>
          <w:rFonts w:ascii="Arial" w:hAnsi="Arial" w:cs="Arial"/>
          <w:sz w:val="20"/>
          <w:szCs w:val="20"/>
          <w:lang w:val="es-ES"/>
        </w:rPr>
      </w:pPr>
      <w:r w:rsidRPr="004D04EA">
        <w:rPr>
          <w:rFonts w:ascii="Arial" w:hAnsi="Arial" w:cs="Arial"/>
          <w:sz w:val="20"/>
          <w:szCs w:val="20"/>
          <w:lang w:val="es-ES"/>
        </w:rPr>
        <w:t xml:space="preserve">La Ley 1882 de 2018, en su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14:paraId="5A26DF64" w14:textId="77777777" w:rsidR="00E710C7" w:rsidRPr="004D04EA" w:rsidRDefault="00E710C7" w:rsidP="00E710C7">
      <w:pPr>
        <w:contextualSpacing/>
        <w:jc w:val="both"/>
        <w:rPr>
          <w:rFonts w:ascii="Arial" w:hAnsi="Arial" w:cs="Arial"/>
          <w:sz w:val="20"/>
          <w:szCs w:val="20"/>
          <w:bdr w:val="none" w:sz="0" w:space="0" w:color="auto" w:frame="1"/>
          <w:lang w:eastAsia="es-CO"/>
        </w:rPr>
      </w:pPr>
    </w:p>
    <w:p w14:paraId="2054ED2D" w14:textId="77777777" w:rsidR="00E710C7" w:rsidRPr="004D04EA" w:rsidRDefault="00E710C7" w:rsidP="00E710C7">
      <w:pPr>
        <w:contextualSpacing/>
        <w:jc w:val="both"/>
        <w:rPr>
          <w:rFonts w:ascii="Arial" w:hAnsi="Arial" w:cs="Arial"/>
          <w:b/>
          <w:sz w:val="22"/>
          <w:szCs w:val="22"/>
          <w:bdr w:val="none" w:sz="0" w:space="0" w:color="auto" w:frame="1"/>
          <w:lang w:eastAsia="es-CO"/>
        </w:rPr>
      </w:pPr>
      <w:bookmarkStart w:id="1" w:name="_Hlk94088479"/>
      <w:r w:rsidRPr="004D04EA">
        <w:rPr>
          <w:rFonts w:ascii="Arial" w:hAnsi="Arial" w:cs="Arial"/>
          <w:b/>
          <w:sz w:val="22"/>
          <w:szCs w:val="22"/>
          <w:bdr w:val="none" w:sz="0" w:space="0" w:color="auto" w:frame="1"/>
          <w:lang w:eastAsia="es-CO"/>
        </w:rPr>
        <w:t xml:space="preserve">DOCUMENTOS TIPO – Obligatoriedad de los documentos o pliegos tipo – Ley 2022 de 2020 </w:t>
      </w:r>
    </w:p>
    <w:bookmarkEnd w:id="1"/>
    <w:p w14:paraId="751B95C3" w14:textId="77777777" w:rsidR="00E710C7" w:rsidRPr="004D04EA" w:rsidRDefault="00E710C7" w:rsidP="00E710C7">
      <w:pPr>
        <w:contextualSpacing/>
        <w:jc w:val="both"/>
        <w:rPr>
          <w:rFonts w:ascii="Arial" w:hAnsi="Arial" w:cs="Arial"/>
          <w:sz w:val="20"/>
          <w:szCs w:val="20"/>
          <w:bdr w:val="none" w:sz="0" w:space="0" w:color="auto" w:frame="1"/>
          <w:lang w:eastAsia="es-CO"/>
        </w:rPr>
      </w:pPr>
    </w:p>
    <w:p w14:paraId="3E4D3F71" w14:textId="77777777" w:rsidR="00E710C7" w:rsidRPr="004D04EA" w:rsidRDefault="00E710C7" w:rsidP="00E710C7">
      <w:pPr>
        <w:contextualSpacing/>
        <w:jc w:val="both"/>
        <w:rPr>
          <w:rFonts w:ascii="Arial" w:eastAsia="Calibri" w:hAnsi="Arial" w:cs="Arial"/>
          <w:sz w:val="20"/>
          <w:szCs w:val="20"/>
        </w:rPr>
      </w:pPr>
      <w:r w:rsidRPr="004D04EA">
        <w:rPr>
          <w:rFonts w:ascii="Arial" w:eastAsia="Calibri" w:hAnsi="Arial" w:cs="Arial"/>
          <w:sz w:val="20"/>
          <w:szCs w:val="20"/>
        </w:rPr>
        <w:t xml:space="preserve">La Ley 2022 de 2020 señala, en su artículo 1, que los documentos tipo adoptados por la Agencia Nacional de Contratación Pública son de </w:t>
      </w:r>
      <w:r w:rsidRPr="004D04EA">
        <w:rPr>
          <w:rFonts w:ascii="Arial" w:eastAsia="Calibri" w:hAnsi="Arial" w:cs="Arial"/>
          <w:i/>
          <w:sz w:val="20"/>
          <w:szCs w:val="20"/>
        </w:rPr>
        <w:t>obligatorio</w:t>
      </w:r>
      <w:r w:rsidRPr="004D04EA">
        <w:rPr>
          <w:rFonts w:ascii="Arial" w:eastAsia="Calibri" w:hAnsi="Arial" w:cs="Arial"/>
          <w:sz w:val="20"/>
          <w:szCs w:val="20"/>
        </w:rPr>
        <w:t xml:space="preserve"> cumplimiento por todas las entidades públicas, cuyo régimen de contratación sea el Estatuto General de la Contratación de la Administración Pública ‒EGCAP‒. 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p w14:paraId="3487B794" w14:textId="77777777" w:rsidR="00E710C7" w:rsidRPr="004D04EA" w:rsidRDefault="00E710C7" w:rsidP="00E710C7">
      <w:pPr>
        <w:contextualSpacing/>
        <w:jc w:val="both"/>
        <w:rPr>
          <w:rFonts w:ascii="Arial" w:eastAsia="Calibri" w:hAnsi="Arial" w:cs="Arial"/>
          <w:sz w:val="20"/>
          <w:szCs w:val="20"/>
        </w:rPr>
      </w:pPr>
    </w:p>
    <w:p w14:paraId="559A8753" w14:textId="77777777" w:rsidR="00E710C7" w:rsidRDefault="00E710C7" w:rsidP="00E710C7">
      <w:pPr>
        <w:contextualSpacing/>
        <w:jc w:val="both"/>
        <w:rPr>
          <w:rFonts w:ascii="Arial" w:eastAsia="Calibri" w:hAnsi="Arial" w:cs="Arial"/>
          <w:sz w:val="20"/>
          <w:szCs w:val="20"/>
        </w:rPr>
      </w:pPr>
      <w:r w:rsidRPr="004D04EA">
        <w:rPr>
          <w:rFonts w:ascii="Arial" w:eastAsia="Calibri" w:hAnsi="Arial" w:cs="Arial"/>
          <w:sz w:val="20"/>
          <w:szCs w:val="20"/>
        </w:rPr>
        <w:t xml:space="preserve">[…] </w:t>
      </w:r>
    </w:p>
    <w:p w14:paraId="24465DD6" w14:textId="77777777" w:rsidR="00E710C7" w:rsidRPr="004D04EA" w:rsidRDefault="00E710C7" w:rsidP="00E710C7">
      <w:pPr>
        <w:contextualSpacing/>
        <w:jc w:val="both"/>
        <w:rPr>
          <w:rFonts w:ascii="Arial" w:eastAsia="Calibri" w:hAnsi="Arial" w:cs="Arial"/>
          <w:sz w:val="20"/>
          <w:szCs w:val="20"/>
        </w:rPr>
      </w:pPr>
    </w:p>
    <w:p w14:paraId="3A8A96AF" w14:textId="77777777" w:rsidR="00E710C7" w:rsidRPr="004D04EA" w:rsidRDefault="00E710C7" w:rsidP="00E710C7">
      <w:pPr>
        <w:contextualSpacing/>
        <w:jc w:val="both"/>
        <w:rPr>
          <w:rFonts w:ascii="Arial" w:hAnsi="Arial" w:cs="Arial"/>
          <w:sz w:val="20"/>
          <w:szCs w:val="20"/>
          <w:lang w:val="es-ES"/>
        </w:rPr>
      </w:pPr>
      <w:r w:rsidRPr="004D04EA">
        <w:rPr>
          <w:rFonts w:ascii="Arial" w:hAnsi="Arial" w:cs="Arial"/>
          <w:sz w:val="20"/>
          <w:szCs w:val="20"/>
          <w:lang w:val="es-ES"/>
        </w:rPr>
        <w:t xml:space="preserve">En conclusión, la definición de si a un proceso de contratación le aplican los documentos tipo radicará en si el contrato a ejecutar se enmarca dentro de las actividades establecidas en la matriz de experiencia del documento tipo, de modo que las entidades estatales sometidas al Estatuto General de Contratación de la Administración Pública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p w14:paraId="71C39D66" w14:textId="77777777" w:rsidR="00E710C7" w:rsidRPr="004D04EA" w:rsidRDefault="00E710C7" w:rsidP="00E710C7">
      <w:pPr>
        <w:contextualSpacing/>
        <w:jc w:val="both"/>
        <w:rPr>
          <w:rFonts w:ascii="Arial" w:hAnsi="Arial" w:cs="Arial"/>
          <w:sz w:val="20"/>
          <w:szCs w:val="20"/>
          <w:bdr w:val="none" w:sz="0" w:space="0" w:color="auto" w:frame="1"/>
          <w:lang w:eastAsia="es-CO"/>
        </w:rPr>
      </w:pPr>
    </w:p>
    <w:p w14:paraId="787A4C7C" w14:textId="77777777" w:rsidR="00E710C7" w:rsidRPr="004D04EA" w:rsidRDefault="00E710C7" w:rsidP="00E710C7">
      <w:pPr>
        <w:contextualSpacing/>
        <w:jc w:val="both"/>
        <w:rPr>
          <w:rFonts w:ascii="Arial" w:hAnsi="Arial" w:cs="Arial"/>
          <w:b/>
          <w:bCs/>
          <w:sz w:val="22"/>
          <w:szCs w:val="22"/>
        </w:rPr>
      </w:pPr>
      <w:r w:rsidRPr="004D04EA">
        <w:rPr>
          <w:rFonts w:ascii="Arial" w:hAnsi="Arial" w:cs="Arial"/>
          <w:b/>
          <w:bCs/>
          <w:sz w:val="22"/>
          <w:szCs w:val="22"/>
        </w:rPr>
        <w:t xml:space="preserve">DOCUMENTOS TIPO – Modalidades de selección </w:t>
      </w:r>
    </w:p>
    <w:p w14:paraId="06D529C3" w14:textId="77777777" w:rsidR="00E710C7" w:rsidRDefault="00E710C7" w:rsidP="00E710C7">
      <w:pPr>
        <w:contextualSpacing/>
        <w:jc w:val="both"/>
        <w:rPr>
          <w:rFonts w:ascii="Arial" w:hAnsi="Arial" w:cs="Arial"/>
          <w:sz w:val="20"/>
          <w:szCs w:val="20"/>
          <w:lang w:val="es-ES"/>
        </w:rPr>
      </w:pPr>
    </w:p>
    <w:p w14:paraId="3AAFC2EE" w14:textId="77777777" w:rsidR="00E710C7" w:rsidRPr="004D04EA" w:rsidRDefault="00E710C7" w:rsidP="00E710C7">
      <w:pPr>
        <w:contextualSpacing/>
        <w:jc w:val="both"/>
        <w:rPr>
          <w:rFonts w:ascii="Arial" w:hAnsi="Arial" w:cs="Arial"/>
          <w:sz w:val="20"/>
          <w:szCs w:val="20"/>
          <w:lang w:val="es-ES"/>
        </w:rPr>
      </w:pPr>
      <w:r w:rsidRPr="004D04EA">
        <w:rPr>
          <w:rFonts w:ascii="Arial" w:hAnsi="Arial" w:cs="Arial"/>
          <w:sz w:val="20"/>
          <w:szCs w:val="20"/>
          <w:lang w:val="es-ES"/>
        </w:rPr>
        <w:t xml:space="preserve">Según lo explicado en el numeral anterior, esta Agencia ha expedido diversos grupos de documentos tipo aplicables principalmente a la contratación de obras públicas de infraestructura de transporte, agua potable, saneamiento básico y social, pero también para interventoría y consultoría de estudios de ingeniería. De conformidad con las modalidades de selección establecidas en el artículo 2 de la Ley 1150 de 2007, estos documentos tipo se han expedido para las modalidades de selección de licitación pública, selección abreviada de menor cuantía y concurso de méritos. </w:t>
      </w:r>
    </w:p>
    <w:p w14:paraId="03D5FAEF" w14:textId="77777777" w:rsidR="00E710C7" w:rsidRDefault="00E710C7" w:rsidP="00E710C7">
      <w:pPr>
        <w:contextualSpacing/>
        <w:jc w:val="both"/>
        <w:rPr>
          <w:rFonts w:ascii="Arial" w:hAnsi="Arial" w:cs="Arial"/>
          <w:sz w:val="20"/>
          <w:szCs w:val="20"/>
          <w:lang w:val="es-ES"/>
        </w:rPr>
      </w:pPr>
    </w:p>
    <w:p w14:paraId="43084777" w14:textId="77777777" w:rsidR="00E710C7" w:rsidRPr="004D04EA" w:rsidRDefault="00E710C7" w:rsidP="00E710C7">
      <w:pPr>
        <w:contextualSpacing/>
        <w:jc w:val="both"/>
        <w:rPr>
          <w:rFonts w:ascii="Arial" w:hAnsi="Arial" w:cs="Arial"/>
          <w:b/>
          <w:bCs/>
          <w:sz w:val="22"/>
          <w:szCs w:val="22"/>
        </w:rPr>
      </w:pPr>
      <w:r w:rsidRPr="004D04EA">
        <w:rPr>
          <w:rFonts w:ascii="Arial" w:hAnsi="Arial" w:cs="Arial"/>
          <w:sz w:val="20"/>
          <w:szCs w:val="20"/>
          <w:lang w:val="es-ES"/>
        </w:rPr>
        <w:t xml:space="preserve">La Agencia también ha expedido documentos tipo para la modalidad de selección de contratación directa, reglamentada en la Subsección 4 de la Sección 1 del Capítulo 2 del Decreto 1082 de 2015, concretamente, los expedidos mediante la Resolución 269 de 2020, «Por la cual se adopta el documento tipo para los procesos de gestión catastral con enfoque multipropósito que se celebren a través de contratos interadministrativos». A continuación, se precisa el ámbito de aplicación de estos documentos tipo.  </w:t>
      </w:r>
      <w:r w:rsidRPr="004D04EA">
        <w:rPr>
          <w:rFonts w:ascii="Arial" w:hAnsi="Arial" w:cs="Arial"/>
          <w:sz w:val="20"/>
          <w:szCs w:val="20"/>
          <w:lang w:val="es-ES"/>
        </w:rPr>
        <w:cr/>
      </w:r>
    </w:p>
    <w:p w14:paraId="2FAA7341" w14:textId="77777777" w:rsidR="00E710C7" w:rsidRPr="004D04EA" w:rsidRDefault="00E710C7" w:rsidP="00E710C7">
      <w:pPr>
        <w:contextualSpacing/>
        <w:jc w:val="both"/>
        <w:rPr>
          <w:rFonts w:ascii="Arial" w:hAnsi="Arial" w:cs="Arial"/>
          <w:b/>
          <w:bCs/>
          <w:sz w:val="22"/>
          <w:szCs w:val="22"/>
        </w:rPr>
      </w:pPr>
      <w:r w:rsidRPr="004D04EA">
        <w:rPr>
          <w:rFonts w:ascii="Arial" w:hAnsi="Arial" w:cs="Arial"/>
          <w:b/>
          <w:bCs/>
          <w:sz w:val="22"/>
          <w:szCs w:val="22"/>
        </w:rPr>
        <w:t>DOCUMENTO TIPO – Gestión Catastral – Contrato Interadministrativo</w:t>
      </w:r>
    </w:p>
    <w:p w14:paraId="391441FB" w14:textId="77777777" w:rsidR="00E710C7" w:rsidRPr="004D04EA" w:rsidRDefault="00E710C7" w:rsidP="00E710C7">
      <w:pPr>
        <w:contextualSpacing/>
        <w:rPr>
          <w:rFonts w:ascii="Arial" w:hAnsi="Arial" w:cs="Arial"/>
          <w:sz w:val="20"/>
          <w:szCs w:val="20"/>
        </w:rPr>
      </w:pPr>
    </w:p>
    <w:p w14:paraId="59340AF5" w14:textId="77777777" w:rsidR="00E710C7" w:rsidRPr="004D04EA" w:rsidRDefault="00E710C7" w:rsidP="00E710C7">
      <w:pPr>
        <w:contextualSpacing/>
        <w:jc w:val="both"/>
        <w:rPr>
          <w:rFonts w:ascii="Arial" w:hAnsi="Arial" w:cs="Arial"/>
          <w:sz w:val="20"/>
          <w:szCs w:val="20"/>
          <w:lang w:val="es-ES_tradnl"/>
        </w:rPr>
      </w:pPr>
      <w:r w:rsidRPr="004D04EA">
        <w:rPr>
          <w:rFonts w:ascii="Arial" w:hAnsi="Arial" w:cs="Arial"/>
          <w:sz w:val="20"/>
          <w:szCs w:val="20"/>
          <w:lang w:val="es-ES_tradnl"/>
        </w:rPr>
        <w:t xml:space="preserve">La Resolución 269 de 2020 tiene como objeto lograr la formación y actualización catastral del país, por tanto, los documentos tipo que con ella se adoptan solo aplican en aquellos eventos en que se va a contratar de manera integral la prestación del servicio público de gestión catastral. Por ello, en la referida resolución se indica que «[…] con el fin de lograr la formación y actualización catastral de todo el país, es prioritario estructurar e implementar los documentos tipo de catastro multipropósito celebrados a través de contratos interadministrativos, que celebren los municipios con los gestores catastrales habilitados». Como se observa, desde la misma parte considerativa de la Resolución 269 de 2020 se delimita con claridad el ámbito de aplicación de los documentos tipo y, con ello, de la minuta de contrato interadministrativo. </w:t>
      </w:r>
    </w:p>
    <w:p w14:paraId="3C952B80" w14:textId="77777777" w:rsidR="00E710C7" w:rsidRDefault="00E710C7" w:rsidP="00E710C7">
      <w:pPr>
        <w:contextualSpacing/>
        <w:jc w:val="both"/>
        <w:rPr>
          <w:rFonts w:ascii="Arial" w:hAnsi="Arial" w:cs="Arial"/>
          <w:sz w:val="20"/>
          <w:szCs w:val="20"/>
          <w:lang w:val="es-ES_tradnl"/>
        </w:rPr>
      </w:pPr>
    </w:p>
    <w:p w14:paraId="41B2A6D1" w14:textId="77777777" w:rsidR="00E710C7" w:rsidRPr="004D04EA" w:rsidRDefault="00E710C7" w:rsidP="00E710C7">
      <w:pPr>
        <w:contextualSpacing/>
        <w:jc w:val="both"/>
        <w:rPr>
          <w:rFonts w:ascii="Arial" w:eastAsia="Arial" w:hAnsi="Arial" w:cs="Arial"/>
          <w:sz w:val="20"/>
          <w:szCs w:val="20"/>
          <w:lang w:val="es-ES" w:eastAsia="es-ES" w:bidi="es-ES"/>
        </w:rPr>
      </w:pPr>
      <w:r w:rsidRPr="004D04EA">
        <w:rPr>
          <w:rFonts w:ascii="Arial" w:hAnsi="Arial" w:cs="Arial"/>
          <w:sz w:val="20"/>
          <w:szCs w:val="20"/>
          <w:lang w:val="es-ES_tradnl"/>
        </w:rPr>
        <w:t>Por el contrario, en todos los demás casos, en que el objeto del contrato sea distinto, cada entidad estatal tendrá autonomía contractual y discrecionalidad administrativa para determinar el tipo contractual idóneo y adecuado. De este modo, resulta claro que la minuta tipo de contrato interadministrativo, contenida en los documentos tipo para los procesos de gestión catastral con enfoque multipropósito, se aplica solo «[…] para contratos interadministrativos de formación o actualización y conservación catastral, que celebre con cualquier gestor catastral habilitado o con el Instituto Geográfico Agustín Codazzi», tal como se indica en la introducción de la minuta tipo. En este sentido, como se señaló en el concepto C-159 del 20 de mayo de 2021 «</w:t>
      </w:r>
      <w:r w:rsidRPr="004D04EA">
        <w:rPr>
          <w:rFonts w:ascii="Arial" w:eastAsia="Arial" w:hAnsi="Arial" w:cs="Arial"/>
          <w:sz w:val="20"/>
          <w:szCs w:val="20"/>
          <w:lang w:val="es-ES" w:eastAsia="es-ES" w:bidi="es-ES"/>
        </w:rPr>
        <w:t>la minuta tipo aplica cuando las entidades estatales celebren contratos cuyo objeto consista en la formación o actualización catastral, que lleva ínsita la conservación y difusión catastral, esto es, cuando se realiza la prestación integral del servicio».</w:t>
      </w:r>
    </w:p>
    <w:p w14:paraId="7DB6672E" w14:textId="77777777" w:rsidR="00E710C7" w:rsidRPr="004D04EA" w:rsidRDefault="00E710C7" w:rsidP="00E710C7">
      <w:pPr>
        <w:contextualSpacing/>
        <w:rPr>
          <w:rFonts w:ascii="Arial" w:hAnsi="Arial" w:cs="Arial"/>
          <w:sz w:val="20"/>
          <w:szCs w:val="20"/>
        </w:rPr>
      </w:pPr>
    </w:p>
    <w:p w14:paraId="7E5C4F57" w14:textId="1887C3FD" w:rsidR="00E710C7" w:rsidRDefault="00E710C7">
      <w:pPr>
        <w:spacing w:after="160" w:line="259" w:lineRule="auto"/>
        <w:rPr>
          <w:rFonts w:ascii="Arial" w:hAnsi="Arial" w:cs="Arial"/>
          <w:b/>
          <w:sz w:val="16"/>
          <w:szCs w:val="16"/>
          <w:lang w:val="es-ES" w:eastAsia="es-ES"/>
        </w:rPr>
      </w:pPr>
      <w:r>
        <w:rPr>
          <w:rFonts w:ascii="Arial" w:hAnsi="Arial" w:cs="Arial"/>
          <w:b/>
          <w:sz w:val="16"/>
          <w:szCs w:val="16"/>
          <w:lang w:val="es-ES" w:eastAsia="es-ES"/>
        </w:rPr>
        <w:br w:type="page"/>
      </w:r>
    </w:p>
    <w:p w14:paraId="50838B2B" w14:textId="77777777" w:rsidR="00E710C7" w:rsidRPr="00FD32B0" w:rsidRDefault="00E710C7" w:rsidP="00E710C7">
      <w:pPr>
        <w:spacing w:line="276" w:lineRule="auto"/>
        <w:contextualSpacing/>
        <w:jc w:val="right"/>
        <w:rPr>
          <w:rFonts w:ascii="Arial" w:hAnsi="Arial" w:cs="Arial"/>
          <w:b/>
          <w:sz w:val="16"/>
          <w:szCs w:val="16"/>
          <w:lang w:val="es-ES" w:eastAsia="es-ES"/>
        </w:rPr>
      </w:pPr>
      <w:r w:rsidRPr="00FD32B0">
        <w:rPr>
          <w:rFonts w:ascii="Arial" w:hAnsi="Arial" w:cs="Arial"/>
          <w:b/>
          <w:sz w:val="16"/>
          <w:szCs w:val="16"/>
          <w:lang w:val="es-ES" w:eastAsia="es-ES"/>
        </w:rPr>
        <w:lastRenderedPageBreak/>
        <w:t>CCE-DES-FM-17</w:t>
      </w:r>
    </w:p>
    <w:p w14:paraId="47714627" w14:textId="56EFEB22" w:rsidR="006D71E6" w:rsidRDefault="006D71E6" w:rsidP="00FE5F00">
      <w:pPr>
        <w:spacing w:line="276" w:lineRule="auto"/>
        <w:contextualSpacing/>
        <w:jc w:val="right"/>
        <w:rPr>
          <w:rFonts w:ascii="Arial" w:hAnsi="Arial" w:cs="Arial"/>
          <w:b/>
          <w:sz w:val="16"/>
          <w:szCs w:val="16"/>
          <w:lang w:val="es-ES" w:eastAsia="es-ES"/>
        </w:rPr>
      </w:pPr>
      <w:r w:rsidRPr="006D71E6">
        <w:rPr>
          <w:rFonts w:ascii="Arial" w:hAnsi="Arial" w:cs="Arial"/>
          <w:b/>
          <w:sz w:val="16"/>
          <w:szCs w:val="16"/>
          <w:lang w:val="es-ES" w:eastAsia="es-ES"/>
        </w:rPr>
        <w:drawing>
          <wp:inline distT="0" distB="0" distL="0" distR="0" wp14:anchorId="4D1C4EA4" wp14:editId="13F85D10">
            <wp:extent cx="4077383" cy="887239"/>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6373" cy="906603"/>
                    </a:xfrm>
                    <a:prstGeom prst="rect">
                      <a:avLst/>
                    </a:prstGeom>
                  </pic:spPr>
                </pic:pic>
              </a:graphicData>
            </a:graphic>
          </wp:inline>
        </w:drawing>
      </w:r>
    </w:p>
    <w:p w14:paraId="2AD8F347" w14:textId="5AF5A6A8" w:rsidR="006D71E6" w:rsidRDefault="006D71E6" w:rsidP="00FE5F00">
      <w:pPr>
        <w:spacing w:line="276" w:lineRule="auto"/>
        <w:contextualSpacing/>
        <w:jc w:val="right"/>
        <w:rPr>
          <w:rFonts w:ascii="Arial" w:hAnsi="Arial" w:cs="Arial"/>
          <w:b/>
          <w:sz w:val="16"/>
          <w:szCs w:val="16"/>
          <w:lang w:val="es-ES" w:eastAsia="es-ES"/>
        </w:rPr>
      </w:pPr>
      <w:r w:rsidRPr="006D71E6">
        <w:rPr>
          <w:rFonts w:ascii="Arial" w:hAnsi="Arial" w:cs="Arial"/>
          <w:b/>
          <w:sz w:val="16"/>
          <w:szCs w:val="16"/>
          <w:lang w:val="es-ES" w:eastAsia="es-ES"/>
        </w:rPr>
        <w:drawing>
          <wp:inline distT="0" distB="0" distL="0" distR="0" wp14:anchorId="1D074F54" wp14:editId="7CC45661">
            <wp:extent cx="4083315" cy="113838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7322" cy="1147861"/>
                    </a:xfrm>
                    <a:prstGeom prst="rect">
                      <a:avLst/>
                    </a:prstGeom>
                  </pic:spPr>
                </pic:pic>
              </a:graphicData>
            </a:graphic>
          </wp:inline>
        </w:drawing>
      </w:r>
    </w:p>
    <w:p w14:paraId="052F74AE" w14:textId="33CEAAD6" w:rsidR="00FF7D77" w:rsidRDefault="00FF7D77" w:rsidP="00FE5F00">
      <w:pPr>
        <w:spacing w:line="276" w:lineRule="auto"/>
        <w:contextualSpacing/>
        <w:rPr>
          <w:rFonts w:ascii="Arial" w:eastAsia="Calibri" w:hAnsi="Arial" w:cs="Arial"/>
          <w:sz w:val="22"/>
          <w:szCs w:val="22"/>
          <w:lang w:val="es-ES"/>
        </w:rPr>
      </w:pPr>
    </w:p>
    <w:p w14:paraId="5BEFB716" w14:textId="77777777" w:rsidR="00E710C7" w:rsidRDefault="00E710C7" w:rsidP="00FE5F00">
      <w:pPr>
        <w:spacing w:line="276" w:lineRule="auto"/>
        <w:contextualSpacing/>
        <w:rPr>
          <w:rFonts w:ascii="Arial" w:eastAsia="Calibri" w:hAnsi="Arial" w:cs="Arial"/>
          <w:sz w:val="22"/>
          <w:szCs w:val="22"/>
          <w:lang w:val="es-ES"/>
        </w:rPr>
      </w:pPr>
    </w:p>
    <w:p w14:paraId="69B1DED5" w14:textId="617EE3A2" w:rsidR="000275AD" w:rsidRDefault="006D71E6" w:rsidP="00FE5F00">
      <w:pPr>
        <w:spacing w:line="276" w:lineRule="auto"/>
        <w:contextualSpacing/>
        <w:rPr>
          <w:rFonts w:ascii="Arial" w:eastAsia="Calibri" w:hAnsi="Arial" w:cs="Arial"/>
          <w:sz w:val="22"/>
          <w:szCs w:val="22"/>
          <w:lang w:val="es-ES"/>
        </w:rPr>
      </w:pPr>
      <w:r>
        <w:rPr>
          <w:rFonts w:ascii="Arial" w:eastAsia="Calibri" w:hAnsi="Arial" w:cs="Arial"/>
          <w:sz w:val="22"/>
          <w:szCs w:val="22"/>
          <w:lang w:val="es-ES"/>
        </w:rPr>
        <w:t>Bogotá D.C., 11 de mayo de 2021</w:t>
      </w:r>
    </w:p>
    <w:p w14:paraId="28CD2FC6" w14:textId="164F9CCA" w:rsidR="006D71E6" w:rsidRDefault="006D71E6" w:rsidP="00FE5F00">
      <w:pPr>
        <w:spacing w:line="276" w:lineRule="auto"/>
        <w:contextualSpacing/>
        <w:rPr>
          <w:rFonts w:ascii="Arial" w:eastAsia="Calibri" w:hAnsi="Arial" w:cs="Arial"/>
          <w:sz w:val="22"/>
          <w:szCs w:val="22"/>
          <w:lang w:val="es-ES"/>
        </w:rPr>
      </w:pPr>
    </w:p>
    <w:p w14:paraId="073EA40A" w14:textId="77777777" w:rsidR="00E710C7" w:rsidRPr="006B4F6B" w:rsidRDefault="00E710C7" w:rsidP="00FE5F00">
      <w:pPr>
        <w:spacing w:line="276" w:lineRule="auto"/>
        <w:contextualSpacing/>
        <w:rPr>
          <w:rFonts w:ascii="Arial" w:eastAsia="Calibri" w:hAnsi="Arial" w:cs="Arial"/>
          <w:sz w:val="22"/>
          <w:szCs w:val="22"/>
          <w:lang w:val="es-ES"/>
        </w:rPr>
      </w:pPr>
    </w:p>
    <w:p w14:paraId="7195EBCC" w14:textId="77777777" w:rsidR="00EC2321" w:rsidRPr="004735CC" w:rsidRDefault="00EC2321" w:rsidP="006D71E6">
      <w:pPr>
        <w:contextualSpacing/>
        <w:rPr>
          <w:rFonts w:ascii="Arial" w:eastAsia="Calibri" w:hAnsi="Arial" w:cs="Arial"/>
          <w:sz w:val="22"/>
          <w:szCs w:val="22"/>
          <w:lang w:val="es-ES"/>
        </w:rPr>
      </w:pPr>
      <w:r w:rsidRPr="004735CC">
        <w:rPr>
          <w:rFonts w:ascii="Arial" w:eastAsia="Calibri" w:hAnsi="Arial" w:cs="Arial"/>
          <w:sz w:val="22"/>
          <w:szCs w:val="22"/>
          <w:lang w:val="es-ES"/>
        </w:rPr>
        <w:t>Señor</w:t>
      </w:r>
    </w:p>
    <w:p w14:paraId="1F83F356" w14:textId="3656EFBB" w:rsidR="00EC2321" w:rsidRPr="004735CC" w:rsidRDefault="00C97D23" w:rsidP="006D71E6">
      <w:pPr>
        <w:contextualSpacing/>
        <w:rPr>
          <w:rFonts w:ascii="Arial" w:eastAsia="Calibri" w:hAnsi="Arial" w:cs="Arial"/>
          <w:b/>
          <w:bCs/>
          <w:sz w:val="22"/>
          <w:szCs w:val="22"/>
          <w:lang w:val="es-ES"/>
        </w:rPr>
      </w:pPr>
      <w:r w:rsidRPr="004735CC">
        <w:rPr>
          <w:rFonts w:ascii="Arial" w:eastAsia="Calibri" w:hAnsi="Arial" w:cs="Arial"/>
          <w:b/>
          <w:bCs/>
          <w:sz w:val="22"/>
          <w:szCs w:val="22"/>
          <w:lang w:val="es-ES"/>
        </w:rPr>
        <w:t xml:space="preserve">Walter </w:t>
      </w:r>
      <w:r w:rsidR="002350C7" w:rsidRPr="004735CC">
        <w:rPr>
          <w:rFonts w:ascii="Arial" w:eastAsia="Calibri" w:hAnsi="Arial" w:cs="Arial"/>
          <w:b/>
          <w:bCs/>
          <w:sz w:val="22"/>
          <w:szCs w:val="22"/>
          <w:lang w:val="es-ES"/>
        </w:rPr>
        <w:t>Gálvez</w:t>
      </w:r>
    </w:p>
    <w:p w14:paraId="241AF865" w14:textId="31E39B44" w:rsidR="00EC2321" w:rsidRPr="004735CC" w:rsidRDefault="002350C7" w:rsidP="006D71E6">
      <w:pPr>
        <w:contextualSpacing/>
        <w:rPr>
          <w:rFonts w:ascii="Arial" w:eastAsia="Calibri" w:hAnsi="Arial" w:cs="Arial"/>
          <w:sz w:val="22"/>
          <w:szCs w:val="22"/>
          <w:lang w:val="es-ES"/>
        </w:rPr>
      </w:pPr>
      <w:r w:rsidRPr="004735CC">
        <w:rPr>
          <w:rFonts w:ascii="Arial" w:eastAsia="Calibri" w:hAnsi="Arial" w:cs="Arial"/>
          <w:sz w:val="22"/>
          <w:szCs w:val="22"/>
          <w:lang w:val="es-ES"/>
        </w:rPr>
        <w:t>Armenia</w:t>
      </w:r>
      <w:r w:rsidR="00EC2321" w:rsidRPr="004735CC">
        <w:rPr>
          <w:rFonts w:ascii="Arial" w:eastAsia="Calibri" w:hAnsi="Arial" w:cs="Arial"/>
          <w:sz w:val="22"/>
          <w:szCs w:val="22"/>
          <w:lang w:val="es-ES"/>
        </w:rPr>
        <w:t xml:space="preserve">, </w:t>
      </w:r>
      <w:r w:rsidRPr="004735CC">
        <w:rPr>
          <w:rFonts w:ascii="Arial" w:eastAsia="Calibri" w:hAnsi="Arial" w:cs="Arial"/>
          <w:sz w:val="22"/>
          <w:szCs w:val="22"/>
          <w:lang w:val="es-ES"/>
        </w:rPr>
        <w:t>Quindío</w:t>
      </w:r>
      <w:r w:rsidR="00EC2321" w:rsidRPr="004735CC">
        <w:rPr>
          <w:rFonts w:ascii="Arial" w:eastAsia="Calibri" w:hAnsi="Arial" w:cs="Arial"/>
          <w:sz w:val="22"/>
          <w:szCs w:val="22"/>
          <w:lang w:val="es-ES"/>
        </w:rPr>
        <w:t xml:space="preserve"> </w:t>
      </w:r>
    </w:p>
    <w:p w14:paraId="62D0BB6B" w14:textId="0927BF05" w:rsidR="00EC2321" w:rsidRDefault="00EC2321" w:rsidP="00FE5F00">
      <w:pPr>
        <w:spacing w:line="276" w:lineRule="auto"/>
        <w:contextualSpacing/>
        <w:rPr>
          <w:rFonts w:ascii="Arial" w:eastAsia="Calibri" w:hAnsi="Arial" w:cs="Arial"/>
          <w:b/>
          <w:sz w:val="22"/>
          <w:szCs w:val="22"/>
          <w:lang w:val="es-ES"/>
        </w:rPr>
      </w:pPr>
    </w:p>
    <w:p w14:paraId="54D7DCCF" w14:textId="77777777" w:rsidR="00E710C7" w:rsidRPr="004735CC" w:rsidRDefault="00E710C7" w:rsidP="00FE5F00">
      <w:pPr>
        <w:spacing w:line="276" w:lineRule="auto"/>
        <w:contextualSpacing/>
        <w:rPr>
          <w:rFonts w:ascii="Arial" w:eastAsia="Calibri" w:hAnsi="Arial" w:cs="Arial"/>
          <w:b/>
          <w:sz w:val="22"/>
          <w:szCs w:val="22"/>
          <w:lang w:val="es-ES"/>
        </w:rPr>
      </w:pPr>
    </w:p>
    <w:p w14:paraId="7CB2D860" w14:textId="34A35462" w:rsidR="00EC2321" w:rsidRPr="004735CC" w:rsidRDefault="00EC2321" w:rsidP="00FE5F00">
      <w:pPr>
        <w:spacing w:line="276" w:lineRule="auto"/>
        <w:contextualSpacing/>
        <w:rPr>
          <w:rFonts w:ascii="Arial" w:eastAsia="Calibri" w:hAnsi="Arial" w:cs="Arial"/>
          <w:b/>
          <w:sz w:val="22"/>
          <w:szCs w:val="22"/>
          <w:lang w:val="es-ES"/>
        </w:rPr>
      </w:pPr>
      <w:r w:rsidRPr="004735CC">
        <w:rPr>
          <w:rFonts w:ascii="Arial" w:eastAsia="Calibri" w:hAnsi="Arial" w:cs="Arial"/>
          <w:b/>
          <w:sz w:val="22"/>
          <w:szCs w:val="22"/>
          <w:lang w:val="es-ES"/>
        </w:rPr>
        <w:t xml:space="preserve">                                            Concepto C – </w:t>
      </w:r>
      <w:r w:rsidR="00E62F8F" w:rsidRPr="004735CC">
        <w:rPr>
          <w:rFonts w:ascii="Arial" w:eastAsia="Calibri" w:hAnsi="Arial" w:cs="Arial"/>
          <w:b/>
          <w:sz w:val="22"/>
          <w:szCs w:val="22"/>
          <w:lang w:val="es-ES"/>
        </w:rPr>
        <w:t>302 de 2022</w:t>
      </w:r>
      <w:r w:rsidRPr="004735CC">
        <w:rPr>
          <w:rFonts w:ascii="Arial" w:eastAsia="Calibri" w:hAnsi="Arial" w:cs="Arial"/>
          <w:b/>
          <w:sz w:val="22"/>
          <w:szCs w:val="22"/>
          <w:lang w:val="es-ES"/>
        </w:rPr>
        <w:t xml:space="preserve"> </w:t>
      </w:r>
    </w:p>
    <w:p w14:paraId="7423D947" w14:textId="77777777" w:rsidR="00EC2321" w:rsidRPr="004735CC" w:rsidRDefault="00EC2321" w:rsidP="00FE5F00">
      <w:pPr>
        <w:spacing w:line="276" w:lineRule="auto"/>
        <w:contextualSpacing/>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35CC" w:rsidRPr="004735CC" w14:paraId="7DBDBF43" w14:textId="77777777" w:rsidTr="000825CA">
        <w:trPr>
          <w:trHeight w:val="789"/>
        </w:trPr>
        <w:tc>
          <w:tcPr>
            <w:tcW w:w="2689" w:type="dxa"/>
          </w:tcPr>
          <w:p w14:paraId="1E53631E" w14:textId="77777777" w:rsidR="00EC2321" w:rsidRPr="004735CC" w:rsidRDefault="00EC2321" w:rsidP="00FE5F00">
            <w:pPr>
              <w:spacing w:line="276" w:lineRule="auto"/>
              <w:contextualSpacing/>
              <w:rPr>
                <w:rFonts w:ascii="Arial" w:eastAsia="Calibri" w:hAnsi="Arial" w:cs="Arial"/>
                <w:sz w:val="22"/>
                <w:szCs w:val="22"/>
                <w:lang w:val="es-ES"/>
              </w:rPr>
            </w:pPr>
            <w:r w:rsidRPr="004735CC">
              <w:rPr>
                <w:rFonts w:ascii="Arial" w:eastAsia="Calibri" w:hAnsi="Arial" w:cs="Arial"/>
                <w:b/>
                <w:sz w:val="22"/>
                <w:szCs w:val="22"/>
                <w:lang w:val="es-ES"/>
              </w:rPr>
              <w:t>Temas:</w:t>
            </w:r>
            <w:r w:rsidRPr="004735CC">
              <w:rPr>
                <w:rFonts w:ascii="Arial" w:eastAsia="Calibri" w:hAnsi="Arial" w:cs="Arial"/>
                <w:sz w:val="22"/>
                <w:szCs w:val="22"/>
                <w:lang w:val="es-ES"/>
              </w:rPr>
              <w:t xml:space="preserve">                                      </w:t>
            </w:r>
          </w:p>
        </w:tc>
        <w:tc>
          <w:tcPr>
            <w:tcW w:w="6237" w:type="dxa"/>
          </w:tcPr>
          <w:p w14:paraId="798DEA6A" w14:textId="77777777" w:rsidR="00542361" w:rsidRPr="006D71E6" w:rsidRDefault="006D71E6" w:rsidP="00542361">
            <w:pPr>
              <w:contextualSpacing/>
              <w:jc w:val="both"/>
              <w:rPr>
                <w:rFonts w:ascii="Arial" w:hAnsi="Arial" w:cs="Arial"/>
                <w:sz w:val="22"/>
                <w:szCs w:val="22"/>
              </w:rPr>
            </w:pPr>
            <w:bookmarkStart w:id="2" w:name="_Hlk104104582"/>
            <w:r w:rsidRPr="006D71E6">
              <w:rPr>
                <w:rFonts w:ascii="Arial" w:hAnsi="Arial" w:cs="Arial"/>
                <w:sz w:val="22"/>
                <w:szCs w:val="22"/>
              </w:rPr>
              <w:t>DOCUMENTOS TIPO – Fundamento normativo – Generalidades / DOCUMENTOS TIPO – Obligatoriedad de los documentos o pliegos tipo – Ley 2022 de 2020 / DOCUMENTOS TIPO – Modalidades de selección / DOCUMENTO TIPO – Gestión Catastral – Contrato Interadministrativo</w:t>
            </w:r>
          </w:p>
          <w:bookmarkEnd w:id="2"/>
          <w:p w14:paraId="3EA5E7E3" w14:textId="439656D4" w:rsidR="006D71E6" w:rsidRPr="00DC3284" w:rsidRDefault="006D71E6" w:rsidP="00542361">
            <w:pPr>
              <w:contextualSpacing/>
              <w:jc w:val="both"/>
              <w:rPr>
                <w:rFonts w:ascii="Arial" w:eastAsia="Calibri" w:hAnsi="Arial" w:cs="Arial"/>
                <w:sz w:val="22"/>
                <w:szCs w:val="22"/>
              </w:rPr>
            </w:pPr>
          </w:p>
        </w:tc>
      </w:tr>
      <w:tr w:rsidR="004735CC" w:rsidRPr="004735CC" w14:paraId="4F9426DF" w14:textId="77777777" w:rsidTr="000825CA">
        <w:tc>
          <w:tcPr>
            <w:tcW w:w="2689" w:type="dxa"/>
          </w:tcPr>
          <w:p w14:paraId="735F65F9" w14:textId="77777777" w:rsidR="00EC2321" w:rsidRPr="004735CC" w:rsidRDefault="00EC2321" w:rsidP="00FE5F00">
            <w:pPr>
              <w:spacing w:line="276" w:lineRule="auto"/>
              <w:contextualSpacing/>
              <w:rPr>
                <w:rFonts w:ascii="Arial" w:eastAsia="Calibri" w:hAnsi="Arial" w:cs="Arial"/>
                <w:sz w:val="22"/>
                <w:szCs w:val="22"/>
                <w:lang w:val="es-ES"/>
              </w:rPr>
            </w:pPr>
            <w:r w:rsidRPr="004735CC">
              <w:rPr>
                <w:rFonts w:ascii="Arial" w:eastAsia="Calibri" w:hAnsi="Arial" w:cs="Arial"/>
                <w:b/>
                <w:sz w:val="22"/>
                <w:szCs w:val="22"/>
                <w:lang w:val="es-ES"/>
              </w:rPr>
              <w:t>Radicación:</w:t>
            </w:r>
            <w:r w:rsidRPr="004735CC">
              <w:rPr>
                <w:rFonts w:ascii="Arial" w:eastAsia="Calibri" w:hAnsi="Arial" w:cs="Arial"/>
                <w:sz w:val="22"/>
                <w:szCs w:val="22"/>
                <w:lang w:val="es-ES"/>
              </w:rPr>
              <w:t xml:space="preserve">                              </w:t>
            </w:r>
          </w:p>
        </w:tc>
        <w:tc>
          <w:tcPr>
            <w:tcW w:w="6237" w:type="dxa"/>
          </w:tcPr>
          <w:p w14:paraId="2DD7EC62" w14:textId="6AEA66D9" w:rsidR="00EC2321" w:rsidRPr="004735CC" w:rsidRDefault="00EC2321" w:rsidP="00FE5F00">
            <w:pPr>
              <w:spacing w:line="276" w:lineRule="auto"/>
              <w:contextualSpacing/>
              <w:rPr>
                <w:rFonts w:ascii="Arial" w:eastAsia="Calibri" w:hAnsi="Arial" w:cs="Arial"/>
                <w:sz w:val="22"/>
                <w:szCs w:val="22"/>
                <w:lang w:val="es-ES"/>
              </w:rPr>
            </w:pPr>
            <w:r w:rsidRPr="004735CC">
              <w:rPr>
                <w:rFonts w:ascii="Arial" w:eastAsia="Calibri" w:hAnsi="Arial" w:cs="Arial"/>
                <w:sz w:val="22"/>
                <w:szCs w:val="22"/>
                <w:lang w:val="es-ES"/>
              </w:rPr>
              <w:t xml:space="preserve">Respuesta a consulta </w:t>
            </w:r>
            <w:r w:rsidR="00EB73E7" w:rsidRPr="004735CC">
              <w:rPr>
                <w:rFonts w:ascii="Arial" w:eastAsia="Calibri" w:hAnsi="Arial" w:cs="Arial"/>
                <w:sz w:val="22"/>
                <w:szCs w:val="22"/>
                <w:lang w:val="es-ES"/>
              </w:rPr>
              <w:t>P20220330003221</w:t>
            </w:r>
          </w:p>
        </w:tc>
      </w:tr>
    </w:tbl>
    <w:p w14:paraId="01A4067E" w14:textId="27292B68" w:rsidR="00EC2321" w:rsidRDefault="00EC2321" w:rsidP="00FE5F00">
      <w:pPr>
        <w:spacing w:line="276" w:lineRule="auto"/>
        <w:contextualSpacing/>
        <w:rPr>
          <w:rFonts w:ascii="Arial" w:eastAsia="Calibri" w:hAnsi="Arial" w:cs="Arial"/>
          <w:sz w:val="22"/>
          <w:szCs w:val="22"/>
          <w:lang w:val="es-ES"/>
        </w:rPr>
      </w:pPr>
    </w:p>
    <w:p w14:paraId="717305C7" w14:textId="77777777" w:rsidR="0057007B" w:rsidRPr="004735CC" w:rsidRDefault="0057007B" w:rsidP="00FE5F00">
      <w:pPr>
        <w:spacing w:line="276" w:lineRule="auto"/>
        <w:contextualSpacing/>
        <w:rPr>
          <w:rFonts w:ascii="Arial" w:eastAsia="Calibri" w:hAnsi="Arial" w:cs="Arial"/>
          <w:sz w:val="22"/>
          <w:szCs w:val="22"/>
          <w:lang w:val="es-ES"/>
        </w:rPr>
      </w:pPr>
    </w:p>
    <w:p w14:paraId="00D60C15" w14:textId="60AEF53C" w:rsidR="00EC2321" w:rsidRPr="004735CC" w:rsidRDefault="00EC2321" w:rsidP="00FE5F00">
      <w:pPr>
        <w:tabs>
          <w:tab w:val="left" w:pos="3736"/>
        </w:tabs>
        <w:spacing w:line="276" w:lineRule="auto"/>
        <w:contextualSpacing/>
        <w:rPr>
          <w:rFonts w:ascii="Arial" w:eastAsia="Calibri" w:hAnsi="Arial" w:cs="Arial"/>
          <w:sz w:val="22"/>
          <w:lang w:val="es-ES"/>
        </w:rPr>
      </w:pPr>
      <w:r w:rsidRPr="004735CC">
        <w:rPr>
          <w:rFonts w:ascii="Arial" w:eastAsia="Calibri" w:hAnsi="Arial" w:cs="Arial"/>
          <w:sz w:val="22"/>
          <w:lang w:val="es-ES"/>
        </w:rPr>
        <w:t>Estimado señor G</w:t>
      </w:r>
      <w:r w:rsidR="006B4F6B" w:rsidRPr="004735CC">
        <w:rPr>
          <w:rFonts w:ascii="Arial" w:eastAsia="Calibri" w:hAnsi="Arial" w:cs="Arial"/>
          <w:sz w:val="22"/>
          <w:lang w:val="es-ES"/>
        </w:rPr>
        <w:t>álvez</w:t>
      </w:r>
      <w:r w:rsidRPr="004735CC">
        <w:rPr>
          <w:rFonts w:ascii="Arial" w:eastAsia="Calibri" w:hAnsi="Arial" w:cs="Arial"/>
          <w:sz w:val="22"/>
          <w:lang w:val="es-ES"/>
        </w:rPr>
        <w:t>:</w:t>
      </w:r>
      <w:r w:rsidRPr="004735CC">
        <w:rPr>
          <w:rFonts w:ascii="Arial" w:eastAsia="Calibri" w:hAnsi="Arial" w:cs="Arial"/>
          <w:sz w:val="22"/>
          <w:lang w:val="es-ES"/>
        </w:rPr>
        <w:tab/>
      </w:r>
    </w:p>
    <w:p w14:paraId="2E9A43E8" w14:textId="77777777" w:rsidR="00EC2321" w:rsidRPr="006D71E6" w:rsidRDefault="00EC2321" w:rsidP="00FE5F00">
      <w:pPr>
        <w:spacing w:line="276" w:lineRule="auto"/>
        <w:contextualSpacing/>
        <w:rPr>
          <w:rFonts w:ascii="Arial" w:eastAsia="Calibri" w:hAnsi="Arial" w:cs="Arial"/>
          <w:sz w:val="18"/>
          <w:szCs w:val="20"/>
          <w:lang w:val="es-ES"/>
        </w:rPr>
      </w:pPr>
    </w:p>
    <w:p w14:paraId="3DC590EA" w14:textId="4B97FACA" w:rsidR="00463D92" w:rsidRPr="004735CC" w:rsidRDefault="00463D92" w:rsidP="00FE5F00">
      <w:pPr>
        <w:spacing w:line="276" w:lineRule="auto"/>
        <w:contextualSpacing/>
        <w:jc w:val="both"/>
        <w:rPr>
          <w:rFonts w:ascii="Arial" w:eastAsia="Calibri" w:hAnsi="Arial" w:cs="Arial"/>
          <w:sz w:val="22"/>
        </w:rPr>
      </w:pPr>
      <w:r w:rsidRPr="004735CC">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347BEF" w:rsidRPr="004735CC">
        <w:rPr>
          <w:rFonts w:ascii="Arial" w:eastAsia="Calibri" w:hAnsi="Arial" w:cs="Arial"/>
          <w:sz w:val="22"/>
        </w:rPr>
        <w:t>30</w:t>
      </w:r>
      <w:r w:rsidRPr="004735CC">
        <w:rPr>
          <w:rFonts w:ascii="Arial" w:eastAsia="Calibri" w:hAnsi="Arial" w:cs="Arial"/>
          <w:sz w:val="22"/>
        </w:rPr>
        <w:t xml:space="preserve"> de marzo de 2022.</w:t>
      </w:r>
    </w:p>
    <w:p w14:paraId="7F94EAFA" w14:textId="77777777" w:rsidR="00EC2321" w:rsidRPr="004735CC" w:rsidRDefault="00EC2321" w:rsidP="00FE5F00">
      <w:pPr>
        <w:pStyle w:val="Prrafodelista"/>
        <w:spacing w:line="276" w:lineRule="auto"/>
        <w:ind w:left="0"/>
        <w:rPr>
          <w:rFonts w:ascii="Arial" w:eastAsia="Calibri" w:hAnsi="Arial" w:cs="Arial"/>
          <w:sz w:val="22"/>
          <w:lang w:val="es-ES"/>
        </w:rPr>
      </w:pPr>
    </w:p>
    <w:p w14:paraId="0F077953" w14:textId="77777777" w:rsidR="00EC2321" w:rsidRPr="004735CC" w:rsidRDefault="00EC2321" w:rsidP="00FE5F00">
      <w:pPr>
        <w:tabs>
          <w:tab w:val="left" w:pos="0"/>
        </w:tabs>
        <w:spacing w:line="276" w:lineRule="auto"/>
        <w:contextualSpacing/>
        <w:jc w:val="both"/>
        <w:rPr>
          <w:rFonts w:ascii="Arial" w:eastAsia="Calibri" w:hAnsi="Arial" w:cs="Arial"/>
          <w:b/>
          <w:sz w:val="22"/>
          <w:lang w:val="es-ES"/>
        </w:rPr>
      </w:pPr>
      <w:r w:rsidRPr="004735CC">
        <w:rPr>
          <w:rFonts w:ascii="Arial" w:eastAsia="Calibri" w:hAnsi="Arial" w:cs="Arial"/>
          <w:b/>
          <w:sz w:val="22"/>
          <w:lang w:val="es-ES"/>
        </w:rPr>
        <w:t>1. Problema planteado</w:t>
      </w:r>
    </w:p>
    <w:p w14:paraId="2CC62C69" w14:textId="77777777" w:rsidR="00EC2321" w:rsidRPr="004735CC" w:rsidRDefault="00EC2321" w:rsidP="00FE5F00">
      <w:pPr>
        <w:contextualSpacing/>
        <w:rPr>
          <w:rFonts w:ascii="Arial" w:eastAsia="Calibri" w:hAnsi="Arial" w:cs="Arial"/>
          <w:sz w:val="22"/>
          <w:lang w:val="es-ES"/>
        </w:rPr>
      </w:pPr>
    </w:p>
    <w:p w14:paraId="3AF1B20F" w14:textId="15EA1FFC" w:rsidR="00590470" w:rsidRPr="004735CC" w:rsidRDefault="009634B8" w:rsidP="00FE5F00">
      <w:pPr>
        <w:spacing w:line="276" w:lineRule="auto"/>
        <w:contextualSpacing/>
        <w:jc w:val="both"/>
        <w:rPr>
          <w:rFonts w:ascii="Arial" w:eastAsia="Calibri" w:hAnsi="Arial" w:cs="Arial"/>
          <w:sz w:val="22"/>
          <w:szCs w:val="22"/>
          <w:lang w:val="es-ES"/>
        </w:rPr>
      </w:pPr>
      <w:r w:rsidRPr="004735CC">
        <w:rPr>
          <w:rFonts w:ascii="Arial" w:eastAsia="Calibri" w:hAnsi="Arial" w:cs="Arial"/>
          <w:sz w:val="22"/>
          <w:szCs w:val="22"/>
          <w:lang w:val="es-ES"/>
        </w:rPr>
        <w:lastRenderedPageBreak/>
        <w:t>En relación con</w:t>
      </w:r>
      <w:r w:rsidR="007F6EC9" w:rsidRPr="004735CC">
        <w:rPr>
          <w:rFonts w:ascii="Arial" w:eastAsia="Calibri" w:hAnsi="Arial" w:cs="Arial"/>
          <w:sz w:val="22"/>
          <w:szCs w:val="22"/>
          <w:lang w:val="es-ES"/>
        </w:rPr>
        <w:t xml:space="preserve"> la obligatoriedad de aplicar</w:t>
      </w:r>
      <w:r w:rsidRPr="004735CC">
        <w:rPr>
          <w:rFonts w:ascii="Arial" w:eastAsia="Calibri" w:hAnsi="Arial" w:cs="Arial"/>
          <w:sz w:val="22"/>
          <w:szCs w:val="22"/>
          <w:lang w:val="es-ES"/>
        </w:rPr>
        <w:t xml:space="preserve"> los documentos tipo</w:t>
      </w:r>
      <w:r w:rsidR="007F6EC9" w:rsidRPr="004735CC">
        <w:rPr>
          <w:rFonts w:ascii="Arial" w:eastAsia="Calibri" w:hAnsi="Arial" w:cs="Arial"/>
          <w:sz w:val="22"/>
          <w:szCs w:val="22"/>
          <w:lang w:val="es-ES"/>
        </w:rPr>
        <w:t xml:space="preserve"> cuando se trata </w:t>
      </w:r>
      <w:r w:rsidR="00305248" w:rsidRPr="004735CC">
        <w:rPr>
          <w:rFonts w:ascii="Arial" w:eastAsia="Calibri" w:hAnsi="Arial" w:cs="Arial"/>
          <w:sz w:val="22"/>
          <w:szCs w:val="22"/>
          <w:lang w:val="es-ES"/>
        </w:rPr>
        <w:t xml:space="preserve">de las causales de contratación directa contenidas en la Subsección </w:t>
      </w:r>
      <w:r w:rsidR="00C2272A">
        <w:rPr>
          <w:rFonts w:ascii="Arial" w:eastAsia="Calibri" w:hAnsi="Arial" w:cs="Arial"/>
          <w:sz w:val="22"/>
          <w:szCs w:val="22"/>
          <w:lang w:val="es-ES"/>
        </w:rPr>
        <w:t>4</w:t>
      </w:r>
      <w:r w:rsidR="00305248" w:rsidRPr="004735CC">
        <w:rPr>
          <w:rFonts w:ascii="Arial" w:eastAsia="Calibri" w:hAnsi="Arial" w:cs="Arial"/>
          <w:sz w:val="22"/>
          <w:szCs w:val="22"/>
          <w:lang w:val="es-ES"/>
        </w:rPr>
        <w:t xml:space="preserve"> del Decreto 1082 de 2015,</w:t>
      </w:r>
      <w:r w:rsidR="004B5199" w:rsidRPr="004735CC">
        <w:rPr>
          <w:rFonts w:ascii="Arial" w:eastAsia="Calibri" w:hAnsi="Arial" w:cs="Arial"/>
          <w:sz w:val="22"/>
          <w:szCs w:val="22"/>
          <w:lang w:val="es-ES"/>
        </w:rPr>
        <w:t xml:space="preserve"> u</w:t>
      </w:r>
      <w:r w:rsidR="00EC2321" w:rsidRPr="004735CC">
        <w:rPr>
          <w:rFonts w:ascii="Arial" w:eastAsia="Calibri" w:hAnsi="Arial" w:cs="Arial"/>
          <w:sz w:val="22"/>
          <w:szCs w:val="22"/>
          <w:lang w:val="es-ES"/>
        </w:rPr>
        <w:t xml:space="preserve">sted formula la siguiente pregunta: </w:t>
      </w:r>
    </w:p>
    <w:p w14:paraId="30E95D0B" w14:textId="77777777" w:rsidR="00590470" w:rsidRDefault="00590470" w:rsidP="00FE5F00">
      <w:pPr>
        <w:spacing w:line="276" w:lineRule="auto"/>
        <w:contextualSpacing/>
        <w:jc w:val="both"/>
        <w:rPr>
          <w:rFonts w:ascii="Arial" w:eastAsia="Calibri" w:hAnsi="Arial" w:cs="Arial"/>
          <w:color w:val="FF0000"/>
          <w:sz w:val="22"/>
          <w:szCs w:val="22"/>
          <w:lang w:val="es-ES"/>
        </w:rPr>
      </w:pPr>
    </w:p>
    <w:p w14:paraId="5A15F90C" w14:textId="5ED7B42A" w:rsidR="009634B8" w:rsidRPr="00970FFE" w:rsidRDefault="00EC2321"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r w:rsidRPr="00970FFE">
        <w:rPr>
          <w:rFonts w:ascii="Arial" w:eastAsiaTheme="minorHAnsi" w:hAnsi="Arial" w:cs="Arial"/>
          <w:sz w:val="21"/>
          <w:szCs w:val="21"/>
          <w:bdr w:val="none" w:sz="0" w:space="0" w:color="auto" w:frame="1"/>
          <w:lang w:val="es-MX" w:eastAsia="es-CO"/>
        </w:rPr>
        <w:t>«</w:t>
      </w:r>
      <w:r w:rsidR="00590470" w:rsidRPr="00970FFE">
        <w:rPr>
          <w:rFonts w:ascii="Arial" w:eastAsiaTheme="minorHAnsi" w:hAnsi="Arial" w:cs="Arial"/>
          <w:sz w:val="21"/>
          <w:szCs w:val="21"/>
          <w:bdr w:val="none" w:sz="0" w:space="0" w:color="auto" w:frame="1"/>
          <w:lang w:val="es-MX" w:eastAsia="es-CO"/>
        </w:rPr>
        <w:t xml:space="preserve">Los contratos directos establecidos en el DECRETO 1082 de 2015 en la sub sección IV, para bienes para la defensa nacional, cuando no existe pluralidad de oferentes, por urgencia manifiesta o para actividades científicas entre otros., No requieren de concursos públicos para seleccionar contratistas. </w:t>
      </w:r>
    </w:p>
    <w:p w14:paraId="56964B68" w14:textId="77777777" w:rsidR="009634B8" w:rsidRPr="00970FFE" w:rsidRDefault="009634B8"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p>
    <w:p w14:paraId="2D94EDB1" w14:textId="77777777" w:rsidR="004735CC" w:rsidRPr="00970FFE" w:rsidRDefault="00590470"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r w:rsidRPr="00970FFE">
        <w:rPr>
          <w:rFonts w:ascii="Arial" w:eastAsiaTheme="minorHAnsi" w:hAnsi="Arial" w:cs="Arial"/>
          <w:sz w:val="21"/>
          <w:szCs w:val="21"/>
          <w:bdr w:val="none" w:sz="0" w:space="0" w:color="auto" w:frame="1"/>
          <w:lang w:val="es-MX" w:eastAsia="es-CO"/>
        </w:rPr>
        <w:t xml:space="preserve">Con base en esta norma DECRETO 1082 de 2015 sub sección IV, se hace la hace la siguiente petición de información: </w:t>
      </w:r>
    </w:p>
    <w:p w14:paraId="5BF82041" w14:textId="77777777" w:rsidR="004735CC" w:rsidRPr="00970FFE" w:rsidRDefault="004735CC"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p>
    <w:p w14:paraId="15A386FC" w14:textId="37FCA314" w:rsidR="004735CC" w:rsidRPr="00970FFE" w:rsidRDefault="00590470"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r w:rsidRPr="00970FFE">
        <w:rPr>
          <w:rFonts w:ascii="Arial" w:eastAsiaTheme="minorHAnsi" w:hAnsi="Arial" w:cs="Arial"/>
          <w:sz w:val="21"/>
          <w:szCs w:val="21"/>
          <w:bdr w:val="none" w:sz="0" w:space="0" w:color="auto" w:frame="1"/>
          <w:lang w:val="es-MX" w:eastAsia="es-CO"/>
        </w:rPr>
        <w:t xml:space="preserve">1) Los documentos tipo y pliegos tipo promueven la participación de múltiples oferentes para la selección de contratistas mediante concurso </w:t>
      </w:r>
      <w:proofErr w:type="spellStart"/>
      <w:r w:rsidRPr="00970FFE">
        <w:rPr>
          <w:rFonts w:ascii="Arial" w:eastAsiaTheme="minorHAnsi" w:hAnsi="Arial" w:cs="Arial"/>
          <w:sz w:val="21"/>
          <w:szCs w:val="21"/>
          <w:bdr w:val="none" w:sz="0" w:space="0" w:color="auto" w:frame="1"/>
          <w:lang w:val="es-MX" w:eastAsia="es-CO"/>
        </w:rPr>
        <w:t>publico</w:t>
      </w:r>
      <w:proofErr w:type="spellEnd"/>
      <w:r w:rsidRPr="00970FFE">
        <w:rPr>
          <w:rFonts w:ascii="Arial" w:eastAsiaTheme="minorHAnsi" w:hAnsi="Arial" w:cs="Arial"/>
          <w:sz w:val="21"/>
          <w:szCs w:val="21"/>
          <w:bdr w:val="none" w:sz="0" w:space="0" w:color="auto" w:frame="1"/>
          <w:lang w:val="es-MX" w:eastAsia="es-CO"/>
        </w:rPr>
        <w:t xml:space="preserve">., </w:t>
      </w:r>
    </w:p>
    <w:p w14:paraId="7209169F" w14:textId="77777777" w:rsidR="00970FFE" w:rsidRPr="00970FFE" w:rsidRDefault="00970FFE"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p>
    <w:p w14:paraId="49A28805" w14:textId="6E6CCEC5" w:rsidR="00EC2321" w:rsidRPr="00970FFE" w:rsidRDefault="00590470" w:rsidP="00FE5F00">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r w:rsidRPr="00970FFE">
        <w:rPr>
          <w:rFonts w:ascii="Arial" w:eastAsiaTheme="minorHAnsi" w:hAnsi="Arial" w:cs="Arial"/>
          <w:sz w:val="21"/>
          <w:szCs w:val="21"/>
          <w:bdr w:val="none" w:sz="0" w:space="0" w:color="auto" w:frame="1"/>
          <w:lang w:val="es-MX" w:eastAsia="es-CO"/>
        </w:rPr>
        <w:t>¿Deben aplicarse también de manera obligatoria estos documentos tipo cuando se trata de contratos en la modalidad de contratación directa contenidos en el DECRETO 1082 de 2015 sub sección IV?</w:t>
      </w:r>
      <w:r w:rsidR="00EC2321" w:rsidRPr="00970FFE">
        <w:rPr>
          <w:rFonts w:ascii="Arial" w:hAnsi="Arial" w:cs="Arial"/>
          <w:sz w:val="21"/>
          <w:szCs w:val="21"/>
          <w:lang w:val="es-ES"/>
        </w:rPr>
        <w:t>»</w:t>
      </w:r>
      <w:r w:rsidR="004E4EE9">
        <w:rPr>
          <w:rFonts w:ascii="Arial" w:hAnsi="Arial" w:cs="Arial"/>
          <w:sz w:val="21"/>
          <w:szCs w:val="21"/>
          <w:lang w:val="es-ES"/>
        </w:rPr>
        <w:t xml:space="preserve"> [SIC]</w:t>
      </w:r>
      <w:r w:rsidR="00EC2321" w:rsidRPr="00970FFE">
        <w:rPr>
          <w:rFonts w:ascii="Arial" w:hAnsi="Arial" w:cs="Arial"/>
          <w:sz w:val="21"/>
          <w:szCs w:val="21"/>
          <w:lang w:val="es-ES"/>
        </w:rPr>
        <w:t>.</w:t>
      </w:r>
    </w:p>
    <w:p w14:paraId="7B48F36A" w14:textId="77777777" w:rsidR="00EC2321" w:rsidRPr="00350FFC" w:rsidRDefault="00EC2321" w:rsidP="007A415B">
      <w:pPr>
        <w:spacing w:line="276" w:lineRule="auto"/>
        <w:contextualSpacing/>
        <w:rPr>
          <w:rFonts w:ascii="Arial" w:eastAsia="Calibri" w:hAnsi="Arial" w:cs="Arial"/>
          <w:b/>
          <w:sz w:val="22"/>
          <w:szCs w:val="22"/>
          <w:lang w:val="es-ES"/>
        </w:rPr>
      </w:pPr>
    </w:p>
    <w:p w14:paraId="38AF3447" w14:textId="77777777" w:rsidR="00EC2321" w:rsidRPr="00350FFC" w:rsidRDefault="00EC2321" w:rsidP="007A415B">
      <w:pPr>
        <w:spacing w:line="276" w:lineRule="auto"/>
        <w:contextualSpacing/>
        <w:jc w:val="both"/>
        <w:rPr>
          <w:rFonts w:ascii="Arial" w:eastAsia="Calibri" w:hAnsi="Arial" w:cs="Arial"/>
          <w:b/>
          <w:sz w:val="22"/>
          <w:szCs w:val="22"/>
          <w:lang w:val="es-ES"/>
        </w:rPr>
      </w:pPr>
      <w:r w:rsidRPr="00350FFC">
        <w:rPr>
          <w:rFonts w:ascii="Arial" w:eastAsia="Calibri" w:hAnsi="Arial" w:cs="Arial"/>
          <w:b/>
          <w:sz w:val="22"/>
          <w:szCs w:val="22"/>
          <w:lang w:val="es-ES"/>
        </w:rPr>
        <w:t>2. Consideraciones</w:t>
      </w:r>
    </w:p>
    <w:p w14:paraId="34754A8E" w14:textId="77777777" w:rsidR="00EC2321" w:rsidRPr="006D71E6" w:rsidRDefault="00EC2321" w:rsidP="006D71E6">
      <w:pPr>
        <w:contextualSpacing/>
        <w:jc w:val="both"/>
        <w:rPr>
          <w:rFonts w:ascii="Arial" w:eastAsia="Calibri" w:hAnsi="Arial" w:cs="Arial"/>
          <w:sz w:val="20"/>
          <w:szCs w:val="20"/>
          <w:lang w:val="es-ES"/>
        </w:rPr>
      </w:pPr>
    </w:p>
    <w:p w14:paraId="5758ADDB" w14:textId="73958981" w:rsidR="007A415B" w:rsidRPr="00350FFC" w:rsidRDefault="00EC2321" w:rsidP="006D71E6">
      <w:pPr>
        <w:spacing w:after="120" w:line="276" w:lineRule="auto"/>
        <w:jc w:val="both"/>
        <w:rPr>
          <w:rStyle w:val="normaltextrun"/>
          <w:rFonts w:ascii="Arial" w:hAnsi="Arial" w:cs="Arial"/>
          <w:bCs/>
          <w:sz w:val="22"/>
          <w:szCs w:val="22"/>
          <w:lang w:val="es-ES" w:bidi="es-ES"/>
        </w:rPr>
      </w:pPr>
      <w:r w:rsidRPr="00350FFC">
        <w:rPr>
          <w:rFonts w:ascii="Arial" w:hAnsi="Arial" w:cs="Arial"/>
          <w:sz w:val="22"/>
          <w:szCs w:val="22"/>
          <w:lang w:val="es-ES_tradnl"/>
        </w:rPr>
        <w:t>La Agencia Nacional de Contratación Pública – Colombia Compra Eficiente se pronunció sobre la definición y el alcance de los documentos tipo en l</w:t>
      </w:r>
      <w:r w:rsidR="00491F90">
        <w:rPr>
          <w:rFonts w:ascii="Arial" w:hAnsi="Arial" w:cs="Arial"/>
          <w:sz w:val="22"/>
          <w:szCs w:val="22"/>
          <w:lang w:val="es-ES_tradnl"/>
        </w:rPr>
        <w:t>os conceptos</w:t>
      </w:r>
      <w:r w:rsidR="009D3BC6" w:rsidRPr="00350FFC">
        <w:rPr>
          <w:rFonts w:ascii="Arial" w:hAnsi="Arial" w:cs="Arial"/>
          <w:sz w:val="22"/>
          <w:szCs w:val="22"/>
          <w:shd w:val="clear" w:color="auto" w:fill="FFFFFF"/>
        </w:rPr>
        <w:t xml:space="preserve"> C-507</w:t>
      </w:r>
      <w:r w:rsidR="009B150F" w:rsidRPr="00350FFC">
        <w:rPr>
          <w:rFonts w:ascii="Arial" w:hAnsi="Arial" w:cs="Arial"/>
          <w:sz w:val="22"/>
          <w:szCs w:val="22"/>
          <w:shd w:val="clear" w:color="auto" w:fill="FFFFFF"/>
        </w:rPr>
        <w:t xml:space="preserve"> del 19 de septiembre de 2021</w:t>
      </w:r>
      <w:r w:rsidR="009D3BC6" w:rsidRPr="00350FFC">
        <w:rPr>
          <w:rFonts w:ascii="Arial" w:hAnsi="Arial" w:cs="Arial"/>
          <w:sz w:val="22"/>
          <w:szCs w:val="22"/>
          <w:shd w:val="clear" w:color="auto" w:fill="FFFFFF"/>
        </w:rPr>
        <w:t>, C-512</w:t>
      </w:r>
      <w:r w:rsidR="009B150F" w:rsidRPr="00350FFC">
        <w:rPr>
          <w:rFonts w:ascii="Arial" w:hAnsi="Arial" w:cs="Arial"/>
          <w:sz w:val="22"/>
          <w:szCs w:val="22"/>
          <w:shd w:val="clear" w:color="auto" w:fill="FFFFFF"/>
        </w:rPr>
        <w:t xml:space="preserve"> del 22 de septiembre de 2021</w:t>
      </w:r>
      <w:r w:rsidR="009D3BC6" w:rsidRPr="00350FFC">
        <w:rPr>
          <w:rFonts w:ascii="Arial" w:hAnsi="Arial" w:cs="Arial"/>
          <w:sz w:val="22"/>
          <w:szCs w:val="22"/>
          <w:shd w:val="clear" w:color="auto" w:fill="FFFFFF"/>
        </w:rPr>
        <w:t>, C-531</w:t>
      </w:r>
      <w:r w:rsidR="009B150F" w:rsidRPr="00350FFC">
        <w:rPr>
          <w:rFonts w:ascii="Arial" w:hAnsi="Arial" w:cs="Arial"/>
          <w:sz w:val="22"/>
          <w:szCs w:val="22"/>
          <w:shd w:val="clear" w:color="auto" w:fill="FFFFFF"/>
        </w:rPr>
        <w:t xml:space="preserve"> del </w:t>
      </w:r>
      <w:r w:rsidR="009B2EFE" w:rsidRPr="00350FFC">
        <w:rPr>
          <w:rFonts w:ascii="Arial" w:hAnsi="Arial" w:cs="Arial"/>
          <w:sz w:val="22"/>
          <w:szCs w:val="22"/>
          <w:shd w:val="clear" w:color="auto" w:fill="FFFFFF"/>
        </w:rPr>
        <w:t>2</w:t>
      </w:r>
      <w:r w:rsidR="009B150F" w:rsidRPr="00350FFC">
        <w:rPr>
          <w:rFonts w:ascii="Arial" w:hAnsi="Arial" w:cs="Arial"/>
          <w:sz w:val="22"/>
          <w:szCs w:val="22"/>
          <w:shd w:val="clear" w:color="auto" w:fill="FFFFFF"/>
        </w:rPr>
        <w:t>7 de septiembre de 2021</w:t>
      </w:r>
      <w:r w:rsidR="009D3BC6" w:rsidRPr="00350FFC">
        <w:rPr>
          <w:rFonts w:ascii="Arial" w:hAnsi="Arial" w:cs="Arial"/>
          <w:sz w:val="22"/>
          <w:szCs w:val="22"/>
          <w:shd w:val="clear" w:color="auto" w:fill="FFFFFF"/>
        </w:rPr>
        <w:t>, C-</w:t>
      </w:r>
      <w:r w:rsidR="00594D02" w:rsidRPr="00350FFC">
        <w:rPr>
          <w:rFonts w:ascii="Arial" w:hAnsi="Arial" w:cs="Arial"/>
          <w:sz w:val="22"/>
          <w:szCs w:val="22"/>
          <w:shd w:val="clear" w:color="auto" w:fill="FFFFFF"/>
        </w:rPr>
        <w:t>541</w:t>
      </w:r>
      <w:r w:rsidR="009B150F" w:rsidRPr="00350FFC">
        <w:rPr>
          <w:rFonts w:ascii="Arial" w:hAnsi="Arial" w:cs="Arial"/>
          <w:sz w:val="22"/>
          <w:szCs w:val="22"/>
          <w:shd w:val="clear" w:color="auto" w:fill="FFFFFF"/>
        </w:rPr>
        <w:t xml:space="preserve"> del 2</w:t>
      </w:r>
      <w:r w:rsidR="009B2EFE" w:rsidRPr="00350FFC">
        <w:rPr>
          <w:rFonts w:ascii="Arial" w:hAnsi="Arial" w:cs="Arial"/>
          <w:sz w:val="22"/>
          <w:szCs w:val="22"/>
          <w:shd w:val="clear" w:color="auto" w:fill="FFFFFF"/>
        </w:rPr>
        <w:t>7 de septiembre de 2021</w:t>
      </w:r>
      <w:r w:rsidR="00594D02" w:rsidRPr="00350FFC">
        <w:rPr>
          <w:rFonts w:ascii="Arial" w:hAnsi="Arial" w:cs="Arial"/>
          <w:sz w:val="22"/>
          <w:szCs w:val="22"/>
          <w:shd w:val="clear" w:color="auto" w:fill="FFFFFF"/>
        </w:rPr>
        <w:t>, C-555</w:t>
      </w:r>
      <w:r w:rsidR="009B2EFE" w:rsidRPr="00350FFC">
        <w:rPr>
          <w:rFonts w:ascii="Arial" w:hAnsi="Arial" w:cs="Arial"/>
          <w:sz w:val="22"/>
          <w:szCs w:val="22"/>
          <w:shd w:val="clear" w:color="auto" w:fill="FFFFFF"/>
        </w:rPr>
        <w:t xml:space="preserve"> del 20 de octubre de 2021</w:t>
      </w:r>
      <w:r w:rsidR="00594D02" w:rsidRPr="00350FFC">
        <w:rPr>
          <w:rFonts w:ascii="Arial" w:hAnsi="Arial" w:cs="Arial"/>
          <w:sz w:val="22"/>
          <w:szCs w:val="22"/>
          <w:shd w:val="clear" w:color="auto" w:fill="FFFFFF"/>
        </w:rPr>
        <w:t>, C-556</w:t>
      </w:r>
      <w:r w:rsidR="009B2EFE" w:rsidRPr="00350FFC">
        <w:rPr>
          <w:rFonts w:ascii="Arial" w:hAnsi="Arial" w:cs="Arial"/>
          <w:sz w:val="22"/>
          <w:szCs w:val="22"/>
          <w:shd w:val="clear" w:color="auto" w:fill="FFFFFF"/>
        </w:rPr>
        <w:t xml:space="preserve"> del 11 de noviembre de 2021</w:t>
      </w:r>
      <w:r w:rsidR="00594D02" w:rsidRPr="00350FFC">
        <w:rPr>
          <w:rFonts w:ascii="Arial" w:hAnsi="Arial" w:cs="Arial"/>
          <w:sz w:val="22"/>
          <w:szCs w:val="22"/>
          <w:shd w:val="clear" w:color="auto" w:fill="FFFFFF"/>
        </w:rPr>
        <w:t xml:space="preserve">, </w:t>
      </w:r>
      <w:r w:rsidR="00E55A5E" w:rsidRPr="00350FFC">
        <w:rPr>
          <w:rFonts w:ascii="Arial" w:hAnsi="Arial" w:cs="Arial"/>
          <w:sz w:val="22"/>
          <w:szCs w:val="22"/>
          <w:shd w:val="clear" w:color="auto" w:fill="FFFFFF"/>
        </w:rPr>
        <w:t>C-56</w:t>
      </w:r>
      <w:r w:rsidR="00681188" w:rsidRPr="00350FFC">
        <w:rPr>
          <w:rFonts w:ascii="Arial" w:hAnsi="Arial" w:cs="Arial"/>
          <w:sz w:val="22"/>
          <w:szCs w:val="22"/>
          <w:shd w:val="clear" w:color="auto" w:fill="FFFFFF"/>
        </w:rPr>
        <w:t>5</w:t>
      </w:r>
      <w:r w:rsidR="009B2EFE" w:rsidRPr="00350FFC">
        <w:rPr>
          <w:rFonts w:ascii="Arial" w:hAnsi="Arial" w:cs="Arial"/>
          <w:sz w:val="22"/>
          <w:szCs w:val="22"/>
          <w:shd w:val="clear" w:color="auto" w:fill="FFFFFF"/>
        </w:rPr>
        <w:t xml:space="preserve"> del 11 de octubre de 2021</w:t>
      </w:r>
      <w:r w:rsidR="00681188" w:rsidRPr="00350FFC">
        <w:rPr>
          <w:rFonts w:ascii="Arial" w:hAnsi="Arial" w:cs="Arial"/>
          <w:sz w:val="22"/>
          <w:szCs w:val="22"/>
          <w:shd w:val="clear" w:color="auto" w:fill="FFFFFF"/>
        </w:rPr>
        <w:t>, C-566</w:t>
      </w:r>
      <w:r w:rsidR="00A261C7" w:rsidRPr="00350FFC">
        <w:rPr>
          <w:rFonts w:ascii="Arial" w:hAnsi="Arial" w:cs="Arial"/>
          <w:sz w:val="22"/>
          <w:szCs w:val="22"/>
          <w:shd w:val="clear" w:color="auto" w:fill="FFFFFF"/>
        </w:rPr>
        <w:t xml:space="preserve"> del 11 de octubre de 2021</w:t>
      </w:r>
      <w:r w:rsidR="00681188" w:rsidRPr="00350FFC">
        <w:rPr>
          <w:rFonts w:ascii="Arial" w:hAnsi="Arial" w:cs="Arial"/>
          <w:sz w:val="22"/>
          <w:szCs w:val="22"/>
          <w:shd w:val="clear" w:color="auto" w:fill="FFFFFF"/>
        </w:rPr>
        <w:t xml:space="preserve">, </w:t>
      </w:r>
      <w:r w:rsidR="00594D02" w:rsidRPr="00350FFC">
        <w:rPr>
          <w:rFonts w:ascii="Arial" w:hAnsi="Arial" w:cs="Arial"/>
          <w:sz w:val="22"/>
          <w:szCs w:val="22"/>
          <w:shd w:val="clear" w:color="auto" w:fill="FFFFFF"/>
        </w:rPr>
        <w:t>C-</w:t>
      </w:r>
      <w:r w:rsidR="00025977" w:rsidRPr="00350FFC">
        <w:rPr>
          <w:rFonts w:ascii="Arial" w:hAnsi="Arial" w:cs="Arial"/>
          <w:sz w:val="22"/>
          <w:szCs w:val="22"/>
          <w:shd w:val="clear" w:color="auto" w:fill="FFFFFF"/>
        </w:rPr>
        <w:t>580</w:t>
      </w:r>
      <w:r w:rsidR="00A261C7" w:rsidRPr="00350FFC">
        <w:rPr>
          <w:rFonts w:ascii="Arial" w:hAnsi="Arial" w:cs="Arial"/>
          <w:sz w:val="22"/>
          <w:szCs w:val="22"/>
          <w:shd w:val="clear" w:color="auto" w:fill="FFFFFF"/>
        </w:rPr>
        <w:t xml:space="preserve"> del 13 de octubre de 2021</w:t>
      </w:r>
      <w:r w:rsidR="00025977" w:rsidRPr="00350FFC">
        <w:rPr>
          <w:rFonts w:ascii="Arial" w:hAnsi="Arial" w:cs="Arial"/>
          <w:sz w:val="22"/>
          <w:szCs w:val="22"/>
          <w:shd w:val="clear" w:color="auto" w:fill="FFFFFF"/>
        </w:rPr>
        <w:t>, C-595</w:t>
      </w:r>
      <w:r w:rsidR="002F3F5B" w:rsidRPr="00350FFC">
        <w:rPr>
          <w:rFonts w:ascii="Arial" w:hAnsi="Arial" w:cs="Arial"/>
          <w:sz w:val="22"/>
          <w:szCs w:val="22"/>
          <w:shd w:val="clear" w:color="auto" w:fill="FFFFFF"/>
        </w:rPr>
        <w:t xml:space="preserve"> del </w:t>
      </w:r>
      <w:r w:rsidR="003C3A27" w:rsidRPr="00350FFC">
        <w:rPr>
          <w:rFonts w:ascii="Arial" w:hAnsi="Arial" w:cs="Arial"/>
          <w:sz w:val="22"/>
          <w:szCs w:val="22"/>
          <w:shd w:val="clear" w:color="auto" w:fill="FFFFFF"/>
        </w:rPr>
        <w:t>22</w:t>
      </w:r>
      <w:r w:rsidR="002F3F5B" w:rsidRPr="00350FFC">
        <w:rPr>
          <w:rFonts w:ascii="Arial" w:hAnsi="Arial" w:cs="Arial"/>
          <w:sz w:val="22"/>
          <w:szCs w:val="22"/>
          <w:shd w:val="clear" w:color="auto" w:fill="FFFFFF"/>
        </w:rPr>
        <w:t xml:space="preserve"> de octubre de 2021</w:t>
      </w:r>
      <w:r w:rsidR="00025977" w:rsidRPr="00350FFC">
        <w:rPr>
          <w:rFonts w:ascii="Arial" w:hAnsi="Arial" w:cs="Arial"/>
          <w:sz w:val="22"/>
          <w:szCs w:val="22"/>
          <w:shd w:val="clear" w:color="auto" w:fill="FFFFFF"/>
        </w:rPr>
        <w:t>, C-599</w:t>
      </w:r>
      <w:r w:rsidR="002F3F5B" w:rsidRPr="00350FFC">
        <w:rPr>
          <w:rFonts w:ascii="Arial" w:hAnsi="Arial" w:cs="Arial"/>
          <w:sz w:val="22"/>
          <w:szCs w:val="22"/>
          <w:shd w:val="clear" w:color="auto" w:fill="FFFFFF"/>
        </w:rPr>
        <w:t xml:space="preserve"> del </w:t>
      </w:r>
      <w:r w:rsidR="003C3A27" w:rsidRPr="00350FFC">
        <w:rPr>
          <w:rFonts w:ascii="Arial" w:hAnsi="Arial" w:cs="Arial"/>
          <w:sz w:val="22"/>
          <w:szCs w:val="22"/>
          <w:shd w:val="clear" w:color="auto" w:fill="FFFFFF"/>
        </w:rPr>
        <w:t>26 de octubre de 2021</w:t>
      </w:r>
      <w:r w:rsidR="00025977" w:rsidRPr="00350FFC">
        <w:rPr>
          <w:rFonts w:ascii="Arial" w:hAnsi="Arial" w:cs="Arial"/>
          <w:sz w:val="22"/>
          <w:szCs w:val="22"/>
          <w:shd w:val="clear" w:color="auto" w:fill="FFFFFF"/>
        </w:rPr>
        <w:t>, C-601</w:t>
      </w:r>
      <w:r w:rsidR="00AF0050" w:rsidRPr="00350FFC">
        <w:rPr>
          <w:rFonts w:ascii="Arial" w:hAnsi="Arial" w:cs="Arial"/>
          <w:sz w:val="22"/>
          <w:szCs w:val="22"/>
          <w:shd w:val="clear" w:color="auto" w:fill="FFFFFF"/>
        </w:rPr>
        <w:t xml:space="preserve"> del 25 de octubre de 2021</w:t>
      </w:r>
      <w:r w:rsidR="00025977" w:rsidRPr="00350FFC">
        <w:rPr>
          <w:rFonts w:ascii="Arial" w:hAnsi="Arial" w:cs="Arial"/>
          <w:sz w:val="22"/>
          <w:szCs w:val="22"/>
          <w:shd w:val="clear" w:color="auto" w:fill="FFFFFF"/>
        </w:rPr>
        <w:t>, C-612</w:t>
      </w:r>
      <w:r w:rsidR="00AF0050" w:rsidRPr="00350FFC">
        <w:rPr>
          <w:rFonts w:ascii="Arial" w:hAnsi="Arial" w:cs="Arial"/>
          <w:sz w:val="22"/>
          <w:szCs w:val="22"/>
          <w:shd w:val="clear" w:color="auto" w:fill="FFFFFF"/>
        </w:rPr>
        <w:t xml:space="preserve"> del 29 de octubre de 2021</w:t>
      </w:r>
      <w:r w:rsidR="00025977" w:rsidRPr="00350FFC">
        <w:rPr>
          <w:rFonts w:ascii="Arial" w:hAnsi="Arial" w:cs="Arial"/>
          <w:sz w:val="22"/>
          <w:szCs w:val="22"/>
          <w:shd w:val="clear" w:color="auto" w:fill="FFFFFF"/>
        </w:rPr>
        <w:t xml:space="preserve">, </w:t>
      </w:r>
      <w:r w:rsidR="00B25D53" w:rsidRPr="00350FFC">
        <w:rPr>
          <w:rFonts w:ascii="Arial" w:hAnsi="Arial" w:cs="Arial"/>
          <w:sz w:val="22"/>
          <w:szCs w:val="22"/>
          <w:shd w:val="clear" w:color="auto" w:fill="FFFFFF"/>
        </w:rPr>
        <w:t>C-624</w:t>
      </w:r>
      <w:r w:rsidR="00AF0050" w:rsidRPr="00350FFC">
        <w:rPr>
          <w:rFonts w:ascii="Arial" w:hAnsi="Arial" w:cs="Arial"/>
          <w:sz w:val="22"/>
          <w:szCs w:val="22"/>
          <w:shd w:val="clear" w:color="auto" w:fill="FFFFFF"/>
        </w:rPr>
        <w:t xml:space="preserve"> del 8 de noviembre de 2021</w:t>
      </w:r>
      <w:r w:rsidR="00B25D53" w:rsidRPr="00350FFC">
        <w:rPr>
          <w:rFonts w:ascii="Arial" w:hAnsi="Arial" w:cs="Arial"/>
          <w:sz w:val="22"/>
          <w:szCs w:val="22"/>
          <w:shd w:val="clear" w:color="auto" w:fill="FFFFFF"/>
        </w:rPr>
        <w:t>, C-632</w:t>
      </w:r>
      <w:r w:rsidR="00E64B2D" w:rsidRPr="00350FFC">
        <w:rPr>
          <w:rFonts w:ascii="Arial" w:hAnsi="Arial" w:cs="Arial"/>
          <w:sz w:val="22"/>
          <w:szCs w:val="22"/>
          <w:shd w:val="clear" w:color="auto" w:fill="FFFFFF"/>
        </w:rPr>
        <w:t xml:space="preserve"> del 19 de noviembre de 2021</w:t>
      </w:r>
      <w:r w:rsidR="00B25D53" w:rsidRPr="00350FFC">
        <w:rPr>
          <w:rFonts w:ascii="Arial" w:hAnsi="Arial" w:cs="Arial"/>
          <w:sz w:val="22"/>
          <w:szCs w:val="22"/>
          <w:shd w:val="clear" w:color="auto" w:fill="FFFFFF"/>
        </w:rPr>
        <w:t>, C-</w:t>
      </w:r>
      <w:r w:rsidR="00D55BA3" w:rsidRPr="00350FFC">
        <w:rPr>
          <w:rFonts w:ascii="Arial" w:hAnsi="Arial" w:cs="Arial"/>
          <w:sz w:val="22"/>
          <w:szCs w:val="22"/>
          <w:shd w:val="clear" w:color="auto" w:fill="FFFFFF"/>
        </w:rPr>
        <w:t>641</w:t>
      </w:r>
      <w:r w:rsidR="00E64B2D" w:rsidRPr="00350FFC">
        <w:rPr>
          <w:rFonts w:ascii="Arial" w:hAnsi="Arial" w:cs="Arial"/>
          <w:sz w:val="22"/>
          <w:szCs w:val="22"/>
          <w:shd w:val="clear" w:color="auto" w:fill="FFFFFF"/>
        </w:rPr>
        <w:t xml:space="preserve"> del 17 de octubre de 2021</w:t>
      </w:r>
      <w:r w:rsidR="00D55BA3" w:rsidRPr="00350FFC">
        <w:rPr>
          <w:rFonts w:ascii="Arial" w:hAnsi="Arial" w:cs="Arial"/>
          <w:sz w:val="22"/>
          <w:szCs w:val="22"/>
          <w:shd w:val="clear" w:color="auto" w:fill="FFFFFF"/>
        </w:rPr>
        <w:t>, C-643</w:t>
      </w:r>
      <w:r w:rsidR="00E64B2D" w:rsidRPr="00350FFC">
        <w:rPr>
          <w:rFonts w:ascii="Arial" w:hAnsi="Arial" w:cs="Arial"/>
          <w:sz w:val="22"/>
          <w:szCs w:val="22"/>
          <w:shd w:val="clear" w:color="auto" w:fill="FFFFFF"/>
        </w:rPr>
        <w:t xml:space="preserve"> del 17 de octubre de 2021</w:t>
      </w:r>
      <w:r w:rsidR="00D55BA3" w:rsidRPr="00350FFC">
        <w:rPr>
          <w:rFonts w:ascii="Arial" w:hAnsi="Arial" w:cs="Arial"/>
          <w:sz w:val="22"/>
          <w:szCs w:val="22"/>
          <w:shd w:val="clear" w:color="auto" w:fill="FFFFFF"/>
        </w:rPr>
        <w:t>, C-655</w:t>
      </w:r>
      <w:r w:rsidR="00E34BA9" w:rsidRPr="00350FFC">
        <w:rPr>
          <w:rFonts w:ascii="Arial" w:hAnsi="Arial" w:cs="Arial"/>
          <w:sz w:val="22"/>
          <w:szCs w:val="22"/>
          <w:shd w:val="clear" w:color="auto" w:fill="FFFFFF"/>
        </w:rPr>
        <w:t xml:space="preserve"> del 22 de octubre de 2021</w:t>
      </w:r>
      <w:r w:rsidR="00D55BA3" w:rsidRPr="00350FFC">
        <w:rPr>
          <w:rFonts w:ascii="Arial" w:hAnsi="Arial" w:cs="Arial"/>
          <w:sz w:val="22"/>
          <w:szCs w:val="22"/>
          <w:shd w:val="clear" w:color="auto" w:fill="FFFFFF"/>
        </w:rPr>
        <w:t>, C-680</w:t>
      </w:r>
      <w:r w:rsidR="00E34BA9" w:rsidRPr="00350FFC">
        <w:rPr>
          <w:rFonts w:ascii="Arial" w:hAnsi="Arial" w:cs="Arial"/>
          <w:sz w:val="22"/>
          <w:szCs w:val="22"/>
          <w:shd w:val="clear" w:color="auto" w:fill="FFFFFF"/>
        </w:rPr>
        <w:t xml:space="preserve"> del 9 de diciembre de 202,</w:t>
      </w:r>
      <w:r w:rsidR="00D55BA3" w:rsidRPr="00350FFC">
        <w:rPr>
          <w:rFonts w:ascii="Arial" w:hAnsi="Arial" w:cs="Arial"/>
          <w:sz w:val="22"/>
          <w:szCs w:val="22"/>
          <w:shd w:val="clear" w:color="auto" w:fill="FFFFFF"/>
        </w:rPr>
        <w:t xml:space="preserve"> C-</w:t>
      </w:r>
      <w:r w:rsidR="00262C09" w:rsidRPr="00350FFC">
        <w:rPr>
          <w:rFonts w:ascii="Arial" w:hAnsi="Arial" w:cs="Arial"/>
          <w:sz w:val="22"/>
          <w:szCs w:val="22"/>
          <w:shd w:val="clear" w:color="auto" w:fill="FFFFFF"/>
        </w:rPr>
        <w:t>684</w:t>
      </w:r>
      <w:r w:rsidR="00E34BA9" w:rsidRPr="00350FFC">
        <w:rPr>
          <w:rFonts w:ascii="Arial" w:hAnsi="Arial" w:cs="Arial"/>
          <w:sz w:val="22"/>
          <w:szCs w:val="22"/>
          <w:shd w:val="clear" w:color="auto" w:fill="FFFFFF"/>
        </w:rPr>
        <w:t xml:space="preserve"> del </w:t>
      </w:r>
      <w:r w:rsidR="00A60615" w:rsidRPr="00350FFC">
        <w:rPr>
          <w:rFonts w:ascii="Arial" w:hAnsi="Arial" w:cs="Arial"/>
          <w:sz w:val="22"/>
          <w:szCs w:val="22"/>
          <w:shd w:val="clear" w:color="auto" w:fill="FFFFFF"/>
        </w:rPr>
        <w:t>20 de diciembre de 2021</w:t>
      </w:r>
      <w:r w:rsidR="00262C09" w:rsidRPr="00350FFC">
        <w:rPr>
          <w:rFonts w:ascii="Arial" w:hAnsi="Arial" w:cs="Arial"/>
          <w:sz w:val="22"/>
          <w:szCs w:val="22"/>
          <w:shd w:val="clear" w:color="auto" w:fill="FFFFFF"/>
        </w:rPr>
        <w:t>, C-691</w:t>
      </w:r>
      <w:r w:rsidR="00A60615" w:rsidRPr="00350FFC">
        <w:rPr>
          <w:rFonts w:ascii="Arial" w:hAnsi="Arial" w:cs="Arial"/>
          <w:sz w:val="22"/>
          <w:szCs w:val="22"/>
          <w:shd w:val="clear" w:color="auto" w:fill="FFFFFF"/>
        </w:rPr>
        <w:t xml:space="preserve"> del 28 de diciembre de 2021</w:t>
      </w:r>
      <w:r w:rsidR="00262C09" w:rsidRPr="00350FFC">
        <w:rPr>
          <w:rFonts w:ascii="Arial" w:hAnsi="Arial" w:cs="Arial"/>
          <w:sz w:val="22"/>
          <w:szCs w:val="22"/>
          <w:shd w:val="clear" w:color="auto" w:fill="FFFFFF"/>
        </w:rPr>
        <w:t>, C-705</w:t>
      </w:r>
      <w:r w:rsidR="00616666" w:rsidRPr="00350FFC">
        <w:rPr>
          <w:rFonts w:ascii="Arial" w:hAnsi="Arial" w:cs="Arial"/>
          <w:sz w:val="22"/>
          <w:szCs w:val="22"/>
          <w:shd w:val="clear" w:color="auto" w:fill="FFFFFF"/>
        </w:rPr>
        <w:t xml:space="preserve"> del 5 de enero de 2022</w:t>
      </w:r>
      <w:r w:rsidR="00262C09" w:rsidRPr="00350FFC">
        <w:rPr>
          <w:rFonts w:ascii="Arial" w:hAnsi="Arial" w:cs="Arial"/>
          <w:sz w:val="22"/>
          <w:szCs w:val="22"/>
          <w:shd w:val="clear" w:color="auto" w:fill="FFFFFF"/>
        </w:rPr>
        <w:t xml:space="preserve">, </w:t>
      </w:r>
      <w:r w:rsidR="009C25C2" w:rsidRPr="00350FFC">
        <w:rPr>
          <w:rFonts w:ascii="Arial" w:hAnsi="Arial" w:cs="Arial"/>
          <w:sz w:val="22"/>
          <w:szCs w:val="22"/>
          <w:shd w:val="clear" w:color="auto" w:fill="FFFFFF"/>
        </w:rPr>
        <w:t>C</w:t>
      </w:r>
      <w:r w:rsidR="00262C09" w:rsidRPr="00350FFC">
        <w:rPr>
          <w:rFonts w:ascii="Arial" w:hAnsi="Arial" w:cs="Arial"/>
          <w:sz w:val="22"/>
          <w:szCs w:val="22"/>
          <w:shd w:val="clear" w:color="auto" w:fill="FFFFFF"/>
        </w:rPr>
        <w:t>-706</w:t>
      </w:r>
      <w:r w:rsidR="00616666" w:rsidRPr="00350FFC">
        <w:rPr>
          <w:rFonts w:ascii="Arial" w:hAnsi="Arial" w:cs="Arial"/>
          <w:sz w:val="22"/>
          <w:szCs w:val="22"/>
          <w:shd w:val="clear" w:color="auto" w:fill="FFFFFF"/>
        </w:rPr>
        <w:t xml:space="preserve"> del 17 de enero de 2022</w:t>
      </w:r>
      <w:r w:rsidR="00262C09" w:rsidRPr="00350FFC">
        <w:rPr>
          <w:rFonts w:ascii="Arial" w:hAnsi="Arial" w:cs="Arial"/>
          <w:sz w:val="22"/>
          <w:szCs w:val="22"/>
          <w:shd w:val="clear" w:color="auto" w:fill="FFFFFF"/>
        </w:rPr>
        <w:t>, C-722</w:t>
      </w:r>
      <w:r w:rsidR="00616666" w:rsidRPr="00350FFC">
        <w:rPr>
          <w:rFonts w:ascii="Arial" w:hAnsi="Arial" w:cs="Arial"/>
          <w:sz w:val="22"/>
          <w:szCs w:val="22"/>
          <w:shd w:val="clear" w:color="auto" w:fill="FFFFFF"/>
        </w:rPr>
        <w:t xml:space="preserve"> del 20 de diciembre de 2021</w:t>
      </w:r>
      <w:r w:rsidR="00262C09" w:rsidRPr="00350FFC">
        <w:rPr>
          <w:rFonts w:ascii="Arial" w:hAnsi="Arial" w:cs="Arial"/>
          <w:sz w:val="22"/>
          <w:szCs w:val="22"/>
          <w:shd w:val="clear" w:color="auto" w:fill="FFFFFF"/>
        </w:rPr>
        <w:t>, C-751</w:t>
      </w:r>
      <w:r w:rsidR="00616666" w:rsidRPr="00350FFC">
        <w:rPr>
          <w:rFonts w:ascii="Arial" w:hAnsi="Arial" w:cs="Arial"/>
          <w:sz w:val="22"/>
          <w:szCs w:val="22"/>
          <w:shd w:val="clear" w:color="auto" w:fill="FFFFFF"/>
        </w:rPr>
        <w:t xml:space="preserve"> del 7 de febrero de 2022</w:t>
      </w:r>
      <w:r w:rsidR="00491F90">
        <w:rPr>
          <w:rFonts w:ascii="Arial" w:hAnsi="Arial" w:cs="Arial"/>
          <w:sz w:val="22"/>
          <w:szCs w:val="22"/>
          <w:shd w:val="clear" w:color="auto" w:fill="FFFFFF"/>
        </w:rPr>
        <w:t>, entre otros</w:t>
      </w:r>
      <w:r w:rsidR="00491F90">
        <w:rPr>
          <w:rStyle w:val="Refdenotaalpie"/>
          <w:rFonts w:ascii="Arial" w:hAnsi="Arial" w:cs="Arial"/>
          <w:sz w:val="22"/>
          <w:szCs w:val="22"/>
          <w:shd w:val="clear" w:color="auto" w:fill="FFFFFF"/>
        </w:rPr>
        <w:footnoteReference w:id="1"/>
      </w:r>
      <w:r w:rsidR="00262C09" w:rsidRPr="00350FFC">
        <w:rPr>
          <w:rFonts w:ascii="Arial" w:hAnsi="Arial" w:cs="Arial"/>
          <w:sz w:val="22"/>
          <w:szCs w:val="22"/>
          <w:shd w:val="clear" w:color="auto" w:fill="FFFFFF"/>
        </w:rPr>
        <w:t xml:space="preserve">. </w:t>
      </w:r>
      <w:r w:rsidR="00B25D53" w:rsidRPr="00350FFC">
        <w:rPr>
          <w:rFonts w:ascii="Arial" w:hAnsi="Arial" w:cs="Arial"/>
          <w:sz w:val="22"/>
          <w:szCs w:val="22"/>
          <w:shd w:val="clear" w:color="auto" w:fill="FFFFFF"/>
        </w:rPr>
        <w:t xml:space="preserve"> </w:t>
      </w:r>
      <w:r w:rsidR="001B449C" w:rsidRPr="00350FFC">
        <w:rPr>
          <w:rFonts w:ascii="Arial" w:hAnsi="Arial" w:cs="Arial"/>
          <w:sz w:val="22"/>
          <w:szCs w:val="22"/>
          <w:shd w:val="clear" w:color="auto" w:fill="FFFFFF"/>
        </w:rPr>
        <w:t>As</w:t>
      </w:r>
      <w:r w:rsidR="00B13ADC" w:rsidRPr="00350FFC">
        <w:rPr>
          <w:rFonts w:ascii="Arial" w:hAnsi="Arial" w:cs="Arial"/>
          <w:sz w:val="22"/>
          <w:szCs w:val="22"/>
          <w:shd w:val="clear" w:color="auto" w:fill="FFFFFF"/>
        </w:rPr>
        <w:t>i</w:t>
      </w:r>
      <w:r w:rsidR="001B449C" w:rsidRPr="00350FFC">
        <w:rPr>
          <w:rFonts w:ascii="Arial" w:hAnsi="Arial" w:cs="Arial"/>
          <w:sz w:val="22"/>
          <w:szCs w:val="22"/>
          <w:shd w:val="clear" w:color="auto" w:fill="FFFFFF"/>
        </w:rPr>
        <w:t xml:space="preserve">mismo, </w:t>
      </w:r>
      <w:r w:rsidR="00943DB8" w:rsidRPr="00350FFC">
        <w:rPr>
          <w:rFonts w:ascii="Arial" w:hAnsi="Arial" w:cs="Arial"/>
          <w:sz w:val="22"/>
          <w:szCs w:val="22"/>
          <w:shd w:val="clear" w:color="auto" w:fill="FFFFFF"/>
        </w:rPr>
        <w:t>la Agencia</w:t>
      </w:r>
      <w:r w:rsidR="00B13ADC" w:rsidRPr="00350FFC">
        <w:rPr>
          <w:rFonts w:ascii="Arial" w:hAnsi="Arial" w:cs="Arial"/>
          <w:sz w:val="22"/>
          <w:szCs w:val="22"/>
          <w:shd w:val="clear" w:color="auto" w:fill="FFFFFF"/>
        </w:rPr>
        <w:t xml:space="preserve"> se ha referido </w:t>
      </w:r>
      <w:r w:rsidR="00B13ADC" w:rsidRPr="00350FFC">
        <w:rPr>
          <w:rFonts w:ascii="Arial" w:hAnsi="Arial" w:cs="Arial"/>
          <w:sz w:val="22"/>
          <w:szCs w:val="22"/>
          <w:shd w:val="clear" w:color="auto" w:fill="FFFFFF"/>
        </w:rPr>
        <w:lastRenderedPageBreak/>
        <w:t xml:space="preserve">a la contratación directa como modalidad de selección de contratistas y a la aplicación de los principios generales de la contratación pública, entre otros, en los Conceptos C-418 del 18 de agosto de 2021, C-561 del 8 de octubre de 2021 y C-687 de 2021.Finalmente, </w:t>
      </w:r>
      <w:r w:rsidR="001B449C" w:rsidRPr="00350FFC">
        <w:rPr>
          <w:rStyle w:val="normaltextrun"/>
          <w:rFonts w:ascii="Arial" w:hAnsi="Arial" w:cs="Arial"/>
          <w:sz w:val="22"/>
          <w:szCs w:val="22"/>
          <w:shd w:val="clear" w:color="auto" w:fill="FFFFFF"/>
        </w:rPr>
        <w:t xml:space="preserve">explicó el alcance de los documentos tipo adoptados mediante la Resolución No. 269 de 2020 en los oficios con radicado No. P20201203000378 del 2 de diciembre de 2020 y en los Conceptos C-809 del 11 de febrero de 2021, C-097 del 23 de marzo de 2021, </w:t>
      </w:r>
      <w:bookmarkStart w:id="3" w:name="_Hlk73718617"/>
      <w:r w:rsidR="001B449C" w:rsidRPr="00350FFC">
        <w:rPr>
          <w:rStyle w:val="normaltextrun"/>
          <w:rFonts w:ascii="Arial" w:hAnsi="Arial" w:cs="Arial"/>
          <w:sz w:val="22"/>
          <w:szCs w:val="22"/>
          <w:shd w:val="clear" w:color="auto" w:fill="FFFFFF"/>
        </w:rPr>
        <w:t>C-159 del 20 de mayo de 2021</w:t>
      </w:r>
      <w:bookmarkEnd w:id="3"/>
      <w:r w:rsidR="001B449C" w:rsidRPr="00350FFC">
        <w:rPr>
          <w:rStyle w:val="normaltextrun"/>
          <w:rFonts w:ascii="Arial" w:hAnsi="Arial" w:cs="Arial"/>
          <w:sz w:val="22"/>
          <w:szCs w:val="22"/>
          <w:shd w:val="clear" w:color="auto" w:fill="FFFFFF"/>
        </w:rPr>
        <w:t>, C-261 de 22 de junio de 2021 y C-564 de 11 de octubre de 2021. En lo pertinente, la</w:t>
      </w:r>
      <w:r w:rsidR="004B54C2" w:rsidRPr="00350FFC">
        <w:rPr>
          <w:rStyle w:val="normaltextrun"/>
          <w:rFonts w:ascii="Arial" w:hAnsi="Arial" w:cs="Arial"/>
          <w:sz w:val="22"/>
          <w:szCs w:val="22"/>
          <w:shd w:val="clear" w:color="auto" w:fill="FFFFFF"/>
        </w:rPr>
        <w:t>s</w:t>
      </w:r>
      <w:r w:rsidR="001B449C" w:rsidRPr="00350FFC">
        <w:rPr>
          <w:rStyle w:val="normaltextrun"/>
          <w:rFonts w:ascii="Arial" w:hAnsi="Arial" w:cs="Arial"/>
          <w:sz w:val="22"/>
          <w:szCs w:val="22"/>
          <w:shd w:val="clear" w:color="auto" w:fill="FFFFFF"/>
        </w:rPr>
        <w:t xml:space="preserve"> tesis desarrollada</w:t>
      </w:r>
      <w:r w:rsidR="004B54C2" w:rsidRPr="00350FFC">
        <w:rPr>
          <w:rStyle w:val="normaltextrun"/>
          <w:rFonts w:ascii="Arial" w:hAnsi="Arial" w:cs="Arial"/>
          <w:sz w:val="22"/>
          <w:szCs w:val="22"/>
          <w:shd w:val="clear" w:color="auto" w:fill="FFFFFF"/>
        </w:rPr>
        <w:t>s</w:t>
      </w:r>
      <w:r w:rsidR="001B449C" w:rsidRPr="00350FFC">
        <w:rPr>
          <w:rStyle w:val="normaltextrun"/>
          <w:rFonts w:ascii="Arial" w:hAnsi="Arial" w:cs="Arial"/>
          <w:sz w:val="22"/>
          <w:szCs w:val="22"/>
          <w:shd w:val="clear" w:color="auto" w:fill="FFFFFF"/>
        </w:rPr>
        <w:t xml:space="preserve"> en estos conceptos se reitera</w:t>
      </w:r>
      <w:r w:rsidR="004B54C2" w:rsidRPr="00350FFC">
        <w:rPr>
          <w:rStyle w:val="normaltextrun"/>
          <w:rFonts w:ascii="Arial" w:hAnsi="Arial" w:cs="Arial"/>
          <w:sz w:val="22"/>
          <w:szCs w:val="22"/>
          <w:shd w:val="clear" w:color="auto" w:fill="FFFFFF"/>
        </w:rPr>
        <w:t>n</w:t>
      </w:r>
      <w:r w:rsidR="001B449C" w:rsidRPr="00350FFC">
        <w:rPr>
          <w:rStyle w:val="normaltextrun"/>
          <w:rFonts w:ascii="Arial" w:hAnsi="Arial" w:cs="Arial"/>
          <w:sz w:val="22"/>
          <w:szCs w:val="22"/>
          <w:shd w:val="clear" w:color="auto" w:fill="FFFFFF"/>
        </w:rPr>
        <w:t xml:space="preserve"> a continuación.</w:t>
      </w:r>
    </w:p>
    <w:p w14:paraId="11AF6A50" w14:textId="4535C640" w:rsidR="00465FE8" w:rsidRPr="00350FFC" w:rsidRDefault="00EC2321" w:rsidP="005E7164">
      <w:pPr>
        <w:spacing w:line="276" w:lineRule="auto"/>
        <w:ind w:firstLine="709"/>
        <w:contextualSpacing/>
        <w:jc w:val="both"/>
        <w:rPr>
          <w:rFonts w:ascii="Arial" w:hAnsi="Arial" w:cs="Arial"/>
          <w:bCs/>
          <w:sz w:val="22"/>
          <w:szCs w:val="22"/>
          <w:lang w:val="es-ES" w:bidi="es-ES"/>
        </w:rPr>
      </w:pPr>
      <w:r w:rsidRPr="003C08F2">
        <w:rPr>
          <w:rFonts w:ascii="Arial" w:eastAsia="Calibri" w:hAnsi="Arial" w:cs="Arial"/>
          <w:sz w:val="22"/>
          <w:szCs w:val="22"/>
          <w:lang w:val="es-ES"/>
        </w:rPr>
        <w:t xml:space="preserve">Para responder la consulta se analizarán los siguientes temas: i) </w:t>
      </w:r>
      <w:bookmarkStart w:id="4" w:name="_Hlk81991903"/>
      <w:r w:rsidRPr="003C08F2">
        <w:rPr>
          <w:rFonts w:ascii="Arial" w:eastAsia="Calibri" w:hAnsi="Arial" w:cs="Arial"/>
          <w:sz w:val="22"/>
          <w:szCs w:val="22"/>
          <w:lang w:val="es-ES"/>
        </w:rPr>
        <w:t>fundamentos jurídicos y evolución normativa de los documentos tipo</w:t>
      </w:r>
      <w:bookmarkEnd w:id="4"/>
      <w:r w:rsidR="00941761" w:rsidRPr="003C08F2">
        <w:rPr>
          <w:rFonts w:ascii="Arial" w:eastAsia="Calibri" w:hAnsi="Arial" w:cs="Arial"/>
          <w:sz w:val="22"/>
          <w:szCs w:val="22"/>
          <w:lang w:val="es-ES"/>
        </w:rPr>
        <w:t xml:space="preserve">; </w:t>
      </w:r>
      <w:proofErr w:type="spellStart"/>
      <w:r w:rsidRPr="003C08F2">
        <w:rPr>
          <w:rFonts w:ascii="Arial" w:eastAsia="Calibri" w:hAnsi="Arial" w:cs="Arial"/>
          <w:sz w:val="22"/>
          <w:szCs w:val="22"/>
          <w:lang w:val="es-ES"/>
        </w:rPr>
        <w:t>ii</w:t>
      </w:r>
      <w:proofErr w:type="spellEnd"/>
      <w:r w:rsidRPr="003C08F2">
        <w:rPr>
          <w:rFonts w:ascii="Arial" w:eastAsia="Calibri" w:hAnsi="Arial" w:cs="Arial"/>
          <w:sz w:val="22"/>
          <w:szCs w:val="22"/>
          <w:lang w:val="es-ES"/>
        </w:rPr>
        <w:t xml:space="preserve">) </w:t>
      </w:r>
      <w:r w:rsidR="00941761" w:rsidRPr="003C08F2">
        <w:rPr>
          <w:rFonts w:ascii="Arial" w:eastAsia="Calibri" w:hAnsi="Arial" w:cs="Arial"/>
          <w:sz w:val="22"/>
          <w:szCs w:val="22"/>
          <w:lang w:val="es-ES"/>
        </w:rPr>
        <w:t xml:space="preserve">obligatoriedad de los documentos tipo; </w:t>
      </w:r>
      <w:r w:rsidR="00AB1173">
        <w:rPr>
          <w:rFonts w:ascii="Arial" w:eastAsia="Calibri" w:hAnsi="Arial" w:cs="Arial"/>
          <w:sz w:val="22"/>
          <w:szCs w:val="22"/>
          <w:lang w:val="es-ES"/>
        </w:rPr>
        <w:t xml:space="preserve">y </w:t>
      </w:r>
      <w:proofErr w:type="spellStart"/>
      <w:r w:rsidR="00941761" w:rsidRPr="003C08F2">
        <w:rPr>
          <w:rFonts w:ascii="Arial" w:eastAsia="Calibri" w:hAnsi="Arial" w:cs="Arial"/>
          <w:sz w:val="22"/>
          <w:szCs w:val="22"/>
          <w:lang w:val="es-ES"/>
        </w:rPr>
        <w:t>iii</w:t>
      </w:r>
      <w:proofErr w:type="spellEnd"/>
      <w:r w:rsidR="00941761" w:rsidRPr="003C08F2">
        <w:rPr>
          <w:rFonts w:ascii="Arial" w:eastAsia="Calibri" w:hAnsi="Arial" w:cs="Arial"/>
          <w:sz w:val="22"/>
          <w:szCs w:val="22"/>
          <w:lang w:val="es-ES"/>
        </w:rPr>
        <w:t xml:space="preserve">) </w:t>
      </w:r>
      <w:r w:rsidR="003C08F2" w:rsidRPr="003C08F2">
        <w:rPr>
          <w:rFonts w:ascii="Arial" w:hAnsi="Arial" w:cs="Arial"/>
          <w:sz w:val="22"/>
          <w:szCs w:val="22"/>
          <w:lang w:val="es-ES_tradnl"/>
        </w:rPr>
        <w:t>a</w:t>
      </w:r>
      <w:r w:rsidR="00465FE8" w:rsidRPr="003C08F2">
        <w:rPr>
          <w:rFonts w:ascii="Arial" w:hAnsi="Arial" w:cs="Arial"/>
          <w:sz w:val="22"/>
          <w:szCs w:val="22"/>
          <w:lang w:val="es-ES_tradnl"/>
        </w:rPr>
        <w:t xml:space="preserve">plicación del </w:t>
      </w:r>
      <w:r w:rsidR="009D66AA" w:rsidRPr="003C08F2">
        <w:rPr>
          <w:rFonts w:ascii="Arial" w:hAnsi="Arial" w:cs="Arial"/>
          <w:sz w:val="22"/>
          <w:szCs w:val="22"/>
          <w:lang w:val="es-ES_tradnl"/>
        </w:rPr>
        <w:t xml:space="preserve">documento tipo </w:t>
      </w:r>
      <w:r w:rsidR="009D66AA">
        <w:rPr>
          <w:rFonts w:ascii="Arial" w:hAnsi="Arial" w:cs="Arial"/>
          <w:sz w:val="22"/>
          <w:szCs w:val="22"/>
          <w:lang w:val="es-ES_tradnl"/>
        </w:rPr>
        <w:t xml:space="preserve">al </w:t>
      </w:r>
      <w:r w:rsidR="00465FE8" w:rsidRPr="003C08F2">
        <w:rPr>
          <w:rFonts w:ascii="Arial" w:hAnsi="Arial" w:cs="Arial"/>
          <w:sz w:val="22"/>
          <w:szCs w:val="22"/>
          <w:lang w:val="es-ES_tradnl"/>
        </w:rPr>
        <w:t>contrato interadministrativo para contratar la prestación del servicio público de gestión catastral</w:t>
      </w:r>
      <w:r w:rsidR="009D66AA">
        <w:rPr>
          <w:rFonts w:ascii="Arial" w:hAnsi="Arial" w:cs="Arial"/>
          <w:sz w:val="22"/>
          <w:szCs w:val="22"/>
          <w:lang w:val="es-ES_tradnl"/>
        </w:rPr>
        <w:t xml:space="preserve">. </w:t>
      </w:r>
      <w:r w:rsidR="00465FE8" w:rsidRPr="00350FFC">
        <w:rPr>
          <w:rFonts w:ascii="Arial" w:hAnsi="Arial" w:cs="Arial"/>
          <w:b/>
          <w:bCs/>
          <w:sz w:val="22"/>
          <w:szCs w:val="22"/>
          <w:lang w:val="es-ES_tradnl"/>
        </w:rPr>
        <w:t> </w:t>
      </w:r>
    </w:p>
    <w:p w14:paraId="7E230514" w14:textId="77777777" w:rsidR="00813FA5" w:rsidRPr="00350FFC" w:rsidRDefault="00813FA5" w:rsidP="00683987">
      <w:pPr>
        <w:spacing w:line="276" w:lineRule="auto"/>
        <w:contextualSpacing/>
        <w:jc w:val="both"/>
        <w:rPr>
          <w:rFonts w:ascii="Arial" w:hAnsi="Arial" w:cs="Arial"/>
          <w:sz w:val="22"/>
          <w:szCs w:val="22"/>
        </w:rPr>
      </w:pPr>
    </w:p>
    <w:p w14:paraId="6A2E144D" w14:textId="77777777" w:rsidR="00EC2321" w:rsidRPr="00350FFC" w:rsidRDefault="00EC2321" w:rsidP="005E7164">
      <w:pPr>
        <w:spacing w:line="276" w:lineRule="auto"/>
        <w:contextualSpacing/>
        <w:jc w:val="both"/>
        <w:rPr>
          <w:rFonts w:ascii="Arial" w:hAnsi="Arial" w:cs="Arial"/>
          <w:b/>
          <w:bCs/>
          <w:sz w:val="22"/>
          <w:szCs w:val="22"/>
          <w:lang w:val="es-ES"/>
        </w:rPr>
      </w:pPr>
      <w:r w:rsidRPr="00350FFC">
        <w:rPr>
          <w:rFonts w:ascii="Arial" w:eastAsia="Calibri" w:hAnsi="Arial" w:cs="Arial"/>
          <w:b/>
          <w:bCs/>
          <w:sz w:val="22"/>
          <w:szCs w:val="22"/>
          <w:lang w:val="es-ES"/>
        </w:rPr>
        <w:t>2.1.</w:t>
      </w:r>
      <w:r w:rsidRPr="00350FFC">
        <w:rPr>
          <w:rFonts w:ascii="Arial" w:hAnsi="Arial" w:cs="Arial"/>
          <w:b/>
          <w:bCs/>
          <w:sz w:val="22"/>
          <w:szCs w:val="22"/>
          <w:lang w:val="es-ES"/>
        </w:rPr>
        <w:t xml:space="preserve"> Fundamentos jurídicos y evolución normativa de los documentos tipo</w:t>
      </w:r>
      <w:r w:rsidRPr="00350FFC" w:rsidDel="00E82F6A">
        <w:rPr>
          <w:rFonts w:ascii="Arial" w:hAnsi="Arial" w:cs="Arial"/>
          <w:b/>
          <w:bCs/>
          <w:sz w:val="22"/>
          <w:szCs w:val="22"/>
          <w:lang w:val="es-ES"/>
        </w:rPr>
        <w:t xml:space="preserve"> </w:t>
      </w:r>
    </w:p>
    <w:p w14:paraId="04CDD0CD" w14:textId="77777777" w:rsidR="00EC2321" w:rsidRPr="00350FFC" w:rsidRDefault="00EC2321" w:rsidP="006D71E6">
      <w:pPr>
        <w:contextualSpacing/>
        <w:jc w:val="both"/>
        <w:rPr>
          <w:rFonts w:ascii="Arial" w:hAnsi="Arial" w:cs="Arial"/>
          <w:sz w:val="22"/>
          <w:szCs w:val="22"/>
          <w:lang w:val="es-ES"/>
        </w:rPr>
      </w:pPr>
    </w:p>
    <w:p w14:paraId="66D0017E" w14:textId="2B3DC6BF" w:rsidR="00EC2321" w:rsidRPr="00350FFC" w:rsidRDefault="00EC2321" w:rsidP="00D5277C">
      <w:pPr>
        <w:spacing w:after="120" w:line="276" w:lineRule="auto"/>
        <w:jc w:val="both"/>
        <w:rPr>
          <w:rFonts w:ascii="Arial" w:hAnsi="Arial" w:cs="Arial"/>
          <w:sz w:val="22"/>
          <w:szCs w:val="22"/>
          <w:lang w:val="es-ES"/>
        </w:rPr>
      </w:pPr>
      <w:r w:rsidRPr="00350FFC">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350FFC">
        <w:rPr>
          <w:rStyle w:val="Refdenotaalpie"/>
          <w:rFonts w:ascii="Arial" w:hAnsi="Arial" w:cs="Arial"/>
          <w:sz w:val="22"/>
          <w:szCs w:val="22"/>
          <w:lang w:val="es-ES"/>
        </w:rPr>
        <w:footnoteReference w:id="2"/>
      </w:r>
      <w:r w:rsidRPr="00350FFC">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4D62161" w14:textId="77777777" w:rsidR="00EC2321" w:rsidRPr="00350FFC" w:rsidRDefault="00EC2321" w:rsidP="00D5277C">
      <w:pPr>
        <w:spacing w:after="120" w:line="276" w:lineRule="auto"/>
        <w:ind w:firstLine="708"/>
        <w:jc w:val="both"/>
        <w:rPr>
          <w:rFonts w:ascii="Arial" w:hAnsi="Arial" w:cs="Arial"/>
          <w:sz w:val="22"/>
          <w:szCs w:val="22"/>
          <w:lang w:val="es-ES"/>
        </w:rPr>
      </w:pPr>
      <w:bookmarkStart w:id="5" w:name="_Hlk104104454"/>
      <w:r w:rsidRPr="00350FFC">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35CB6194" w14:textId="24022508" w:rsidR="00EC2321" w:rsidRPr="00350FFC" w:rsidRDefault="00EC2321" w:rsidP="00D5277C">
      <w:pPr>
        <w:spacing w:before="120" w:after="120" w:line="276" w:lineRule="auto"/>
        <w:ind w:firstLine="709"/>
        <w:jc w:val="both"/>
        <w:rPr>
          <w:rFonts w:ascii="Arial" w:hAnsi="Arial" w:cs="Arial"/>
          <w:sz w:val="22"/>
          <w:szCs w:val="22"/>
          <w:lang w:val="es-ES"/>
        </w:rPr>
      </w:pPr>
      <w:r w:rsidRPr="00350FFC">
        <w:rPr>
          <w:rFonts w:ascii="Arial" w:hAnsi="Arial" w:cs="Arial"/>
          <w:sz w:val="22"/>
          <w:szCs w:val="22"/>
          <w:lang w:val="es-ES"/>
        </w:rPr>
        <w:t xml:space="preserve">La Ley 1882 de 2018, en </w:t>
      </w:r>
      <w:r w:rsidR="007651F2" w:rsidRPr="00350FFC">
        <w:rPr>
          <w:rFonts w:ascii="Arial" w:hAnsi="Arial" w:cs="Arial"/>
          <w:sz w:val="22"/>
          <w:szCs w:val="22"/>
          <w:lang w:val="es-ES"/>
        </w:rPr>
        <w:t xml:space="preserve">su </w:t>
      </w:r>
      <w:r w:rsidRPr="00350FFC">
        <w:rPr>
          <w:rFonts w:ascii="Arial" w:hAnsi="Arial" w:cs="Arial"/>
          <w:sz w:val="22"/>
          <w:szCs w:val="22"/>
          <w:lang w:val="es-ES"/>
        </w:rPr>
        <w:t xml:space="preserve">artículo 4, establecía que el gobierno nacional adoptaría los documentos tipo para los pliegos de condiciones de los procesos de selección de obras públicas, interventoría para las obras públicas, interventoría para consultoría de estudios y </w:t>
      </w:r>
      <w:r w:rsidRPr="00350FFC">
        <w:rPr>
          <w:rFonts w:ascii="Arial" w:hAnsi="Arial" w:cs="Arial"/>
          <w:sz w:val="22"/>
          <w:szCs w:val="22"/>
          <w:lang w:val="es-ES"/>
        </w:rPr>
        <w:lastRenderedPageBreak/>
        <w:t>diseños para obras públicas y consultoría en ingeniería para obras, los cuales debían ser utilizados por todas las entidades sometidas al Estatuto General de Contratación de la Administración Pública en los procesos de selección que adelantaran</w:t>
      </w:r>
      <w:bookmarkEnd w:id="5"/>
      <w:r w:rsidRPr="00350FFC">
        <w:rPr>
          <w:rStyle w:val="Refdenotaalpie"/>
          <w:rFonts w:ascii="Arial" w:hAnsi="Arial" w:cs="Arial"/>
          <w:sz w:val="22"/>
          <w:szCs w:val="22"/>
          <w:lang w:val="es-ES"/>
        </w:rPr>
        <w:footnoteReference w:id="3"/>
      </w:r>
      <w:r w:rsidRPr="00350FFC">
        <w:rPr>
          <w:rFonts w:ascii="Arial" w:hAnsi="Arial" w:cs="Arial"/>
          <w:sz w:val="22"/>
          <w:szCs w:val="22"/>
          <w:lang w:val="es-ES"/>
        </w:rPr>
        <w:t>.</w:t>
      </w:r>
    </w:p>
    <w:p w14:paraId="566B2E5A" w14:textId="77777777" w:rsidR="00EC2321" w:rsidRPr="00350FFC" w:rsidRDefault="00EC2321" w:rsidP="00D5277C">
      <w:pPr>
        <w:spacing w:before="120" w:after="120" w:line="276" w:lineRule="auto"/>
        <w:jc w:val="both"/>
        <w:rPr>
          <w:rFonts w:ascii="Arial" w:hAnsi="Arial" w:cs="Arial"/>
          <w:sz w:val="22"/>
          <w:szCs w:val="22"/>
          <w:lang w:val="es-ES"/>
        </w:rPr>
      </w:pPr>
      <w:r w:rsidRPr="00350FFC">
        <w:rPr>
          <w:rFonts w:ascii="Arial" w:hAnsi="Arial" w:cs="Arial"/>
          <w:sz w:val="22"/>
          <w:szCs w:val="22"/>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8DE0663" w14:textId="77777777" w:rsidR="00EC2321" w:rsidRPr="00350FFC" w:rsidRDefault="00EC2321" w:rsidP="00D5277C">
      <w:pPr>
        <w:spacing w:before="120" w:after="120" w:line="276" w:lineRule="auto"/>
        <w:jc w:val="both"/>
        <w:rPr>
          <w:rFonts w:ascii="Arial" w:hAnsi="Arial" w:cs="Arial"/>
          <w:sz w:val="22"/>
          <w:szCs w:val="22"/>
          <w:lang w:val="es-ES"/>
        </w:rPr>
      </w:pPr>
      <w:r w:rsidRPr="00350FFC">
        <w:rPr>
          <w:rFonts w:ascii="Arial" w:hAnsi="Arial" w:cs="Arial"/>
          <w:sz w:val="22"/>
          <w:szCs w:val="22"/>
          <w:lang w:val="es-ES"/>
        </w:rPr>
        <w:tab/>
        <w:t xml:space="preserve">De la norma descrita se concluía lo siguiente: i) la adopción de los documentos tipo estaba en cabeza del gobierno nacional; </w:t>
      </w:r>
      <w:proofErr w:type="spellStart"/>
      <w:r w:rsidRPr="00350FFC">
        <w:rPr>
          <w:rFonts w:ascii="Arial" w:hAnsi="Arial" w:cs="Arial"/>
          <w:sz w:val="22"/>
          <w:szCs w:val="22"/>
          <w:lang w:val="es-ES"/>
        </w:rPr>
        <w:t>ii</w:t>
      </w:r>
      <w:proofErr w:type="spellEnd"/>
      <w:r w:rsidRPr="00350FFC">
        <w:rPr>
          <w:rFonts w:ascii="Arial" w:hAnsi="Arial" w:cs="Arial"/>
          <w:sz w:val="22"/>
          <w:szCs w:val="22"/>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350FFC">
        <w:rPr>
          <w:rFonts w:ascii="Arial" w:hAnsi="Arial" w:cs="Arial"/>
          <w:sz w:val="22"/>
          <w:szCs w:val="22"/>
          <w:lang w:val="es-ES"/>
        </w:rPr>
        <w:t>iii</w:t>
      </w:r>
      <w:proofErr w:type="spellEnd"/>
      <w:r w:rsidRPr="00350FFC">
        <w:rPr>
          <w:rFonts w:ascii="Arial" w:hAnsi="Arial" w:cs="Arial"/>
          <w:sz w:val="22"/>
          <w:szCs w:val="22"/>
          <w:lang w:val="es-ES"/>
        </w:rPr>
        <w:t xml:space="preserve">) eran de obligatorio cumplimiento por parte de todas las entidades sometidas al Estatuto General de Contratación de la Administración Pública; </w:t>
      </w:r>
      <w:proofErr w:type="spellStart"/>
      <w:r w:rsidRPr="00350FFC">
        <w:rPr>
          <w:rFonts w:ascii="Arial" w:hAnsi="Arial" w:cs="Arial"/>
          <w:sz w:val="22"/>
          <w:szCs w:val="22"/>
          <w:lang w:val="es-ES"/>
        </w:rPr>
        <w:t>iv</w:t>
      </w:r>
      <w:proofErr w:type="spellEnd"/>
      <w:r w:rsidRPr="00350FFC">
        <w:rPr>
          <w:rFonts w:ascii="Arial" w:hAnsi="Arial" w:cs="Arial"/>
          <w:sz w:val="22"/>
          <w:szCs w:val="22"/>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8A8000C" w14:textId="318ABC7D" w:rsidR="00EC2321" w:rsidRPr="00350FFC" w:rsidRDefault="00EC2321" w:rsidP="00D5277C">
      <w:pPr>
        <w:spacing w:before="120" w:after="120" w:line="276" w:lineRule="auto"/>
        <w:jc w:val="both"/>
        <w:rPr>
          <w:rFonts w:ascii="Arial" w:hAnsi="Arial" w:cs="Arial"/>
          <w:sz w:val="22"/>
          <w:szCs w:val="22"/>
          <w:lang w:val="es-ES"/>
        </w:rPr>
      </w:pPr>
      <w:r w:rsidRPr="00350FFC">
        <w:rPr>
          <w:rFonts w:ascii="Arial" w:hAnsi="Arial" w:cs="Arial"/>
          <w:sz w:val="22"/>
          <w:szCs w:val="22"/>
          <w:lang w:val="es-ES"/>
        </w:rPr>
        <w:tab/>
      </w:r>
      <w:r w:rsidR="00813892" w:rsidRPr="00350FFC">
        <w:rPr>
          <w:rFonts w:ascii="Arial" w:hAnsi="Arial" w:cs="Arial"/>
          <w:sz w:val="22"/>
          <w:szCs w:val="22"/>
          <w:lang w:val="es-ES"/>
        </w:rPr>
        <w:t xml:space="preserve">La </w:t>
      </w:r>
      <w:r w:rsidRPr="00350FFC">
        <w:rPr>
          <w:rFonts w:ascii="Arial" w:hAnsi="Arial" w:cs="Arial"/>
          <w:sz w:val="22"/>
          <w:szCs w:val="22"/>
          <w:lang w:val="es-ES"/>
        </w:rPr>
        <w:t xml:space="preserve">norma </w:t>
      </w:r>
      <w:r w:rsidR="00813892" w:rsidRPr="00350FFC">
        <w:rPr>
          <w:rFonts w:ascii="Arial" w:hAnsi="Arial" w:cs="Arial"/>
          <w:sz w:val="22"/>
          <w:szCs w:val="22"/>
          <w:lang w:val="es-ES"/>
        </w:rPr>
        <w:t xml:space="preserve">antes citada </w:t>
      </w:r>
      <w:r w:rsidRPr="00350FFC">
        <w:rPr>
          <w:rFonts w:ascii="Arial" w:hAnsi="Arial" w:cs="Arial"/>
          <w:sz w:val="22"/>
          <w:szCs w:val="22"/>
          <w:lang w:val="es-ES"/>
        </w:rPr>
        <w:t xml:space="preserve">fue estudiada por la Corte Constitucional en la Sentencia C-119 de 2020. Al respecto, indicó que la adopción de los documentos tipo no afectaba la </w:t>
      </w:r>
      <w:r w:rsidRPr="00350FFC">
        <w:rPr>
          <w:rFonts w:ascii="Arial" w:hAnsi="Arial" w:cs="Arial"/>
          <w:sz w:val="22"/>
          <w:szCs w:val="22"/>
          <w:lang w:val="es-ES"/>
        </w:rPr>
        <w:lastRenderedPageBreak/>
        <w:t xml:space="preserve">autonomía de las entidades territoriales, en cuanto la estandarización se predicaba únicamente de los requisitos habilitantes </w:t>
      </w:r>
      <w:bookmarkStart w:id="6" w:name="_Hlk48665985"/>
      <w:r w:rsidRPr="00350FFC">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6"/>
      <w:r w:rsidRPr="00350FFC">
        <w:rPr>
          <w:rFonts w:ascii="Arial" w:hAnsi="Arial" w:cs="Arial"/>
          <w:sz w:val="22"/>
          <w:szCs w:val="22"/>
          <w:lang w:val="es-ES"/>
        </w:rPr>
        <w:t>. De igual manera, se establece que esta autonomía se garantiza con la identificación autónoma de sus necesidades y la configuración de los elementos del contrato</w:t>
      </w:r>
      <w:r w:rsidRPr="00350FFC">
        <w:rPr>
          <w:rStyle w:val="Refdenotaalpie"/>
          <w:rFonts w:ascii="Arial" w:hAnsi="Arial" w:cs="Arial"/>
          <w:sz w:val="22"/>
          <w:szCs w:val="22"/>
          <w:lang w:val="es-ES"/>
        </w:rPr>
        <w:footnoteReference w:id="4"/>
      </w:r>
      <w:r w:rsidRPr="00350FFC">
        <w:rPr>
          <w:rFonts w:ascii="Arial" w:hAnsi="Arial" w:cs="Arial"/>
          <w:sz w:val="22"/>
          <w:szCs w:val="22"/>
          <w:lang w:val="es-ES"/>
        </w:rPr>
        <w:t>.</w:t>
      </w:r>
    </w:p>
    <w:p w14:paraId="50169E68" w14:textId="1D8DC069" w:rsidR="00EC2321" w:rsidRPr="00350FFC" w:rsidRDefault="00EC2321" w:rsidP="00D5277C">
      <w:pPr>
        <w:spacing w:before="120" w:after="120" w:line="276" w:lineRule="auto"/>
        <w:jc w:val="both"/>
        <w:rPr>
          <w:rFonts w:ascii="Arial" w:hAnsi="Arial" w:cs="Arial"/>
          <w:sz w:val="22"/>
          <w:szCs w:val="22"/>
          <w:lang w:val="es-ES"/>
        </w:rPr>
      </w:pPr>
      <w:r w:rsidRPr="00350FFC">
        <w:rPr>
          <w:rFonts w:ascii="Arial" w:hAnsi="Arial" w:cs="Arial"/>
          <w:sz w:val="22"/>
          <w:szCs w:val="22"/>
          <w:lang w:val="es-ES"/>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w:t>
      </w:r>
      <w:r w:rsidR="005A26D9" w:rsidRPr="00350FFC">
        <w:rPr>
          <w:rFonts w:ascii="Arial" w:hAnsi="Arial" w:cs="Arial"/>
          <w:sz w:val="22"/>
          <w:szCs w:val="22"/>
          <w:lang w:val="es-ES"/>
        </w:rPr>
        <w:t xml:space="preserve"> </w:t>
      </w:r>
      <w:r w:rsidRPr="00350FFC">
        <w:rPr>
          <w:rFonts w:ascii="Arial" w:hAnsi="Arial" w:cs="Arial"/>
          <w:sz w:val="22"/>
          <w:szCs w:val="22"/>
          <w:lang w:val="es-ES"/>
        </w:rPr>
        <w:t>y</w:t>
      </w:r>
      <w:r w:rsidR="005A26D9" w:rsidRPr="00350FFC">
        <w:rPr>
          <w:rFonts w:ascii="Arial" w:hAnsi="Arial" w:cs="Arial"/>
          <w:sz w:val="22"/>
          <w:szCs w:val="22"/>
          <w:lang w:val="es-ES"/>
        </w:rPr>
        <w:t>,</w:t>
      </w:r>
      <w:r w:rsidRPr="00350FFC">
        <w:rPr>
          <w:rFonts w:ascii="Arial" w:hAnsi="Arial" w:cs="Arial"/>
          <w:sz w:val="22"/>
          <w:szCs w:val="22"/>
          <w:lang w:val="es-ES"/>
        </w:rPr>
        <w:t xml:space="preserve"> además</w:t>
      </w:r>
      <w:r w:rsidR="005A26D9" w:rsidRPr="00350FFC">
        <w:rPr>
          <w:rFonts w:ascii="Arial" w:hAnsi="Arial" w:cs="Arial"/>
          <w:sz w:val="22"/>
          <w:szCs w:val="22"/>
          <w:lang w:val="es-ES"/>
        </w:rPr>
        <w:t>,</w:t>
      </w:r>
      <w:r w:rsidRPr="00350FFC">
        <w:rPr>
          <w:rFonts w:ascii="Arial" w:hAnsi="Arial" w:cs="Arial"/>
          <w:sz w:val="22"/>
          <w:szCs w:val="22"/>
          <w:lang w:val="es-ES"/>
        </w:rPr>
        <w:t xml:space="preserve"> se incluyen en la minuta del contrato las condiciones particulares del negocio jurídico a celebrar.</w:t>
      </w:r>
    </w:p>
    <w:p w14:paraId="0EC7D1A7" w14:textId="77777777" w:rsidR="00EC2321" w:rsidRPr="00350FFC" w:rsidRDefault="00EC2321" w:rsidP="00D5277C">
      <w:pPr>
        <w:spacing w:before="120" w:after="120" w:line="276" w:lineRule="auto"/>
        <w:jc w:val="both"/>
        <w:rPr>
          <w:rFonts w:ascii="Arial" w:hAnsi="Arial" w:cs="Arial"/>
          <w:sz w:val="22"/>
          <w:szCs w:val="22"/>
          <w:lang w:val="es-ES"/>
        </w:rPr>
      </w:pPr>
      <w:r w:rsidRPr="00350FFC">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2C2AD4A" w14:textId="54CFB332" w:rsidR="00EC2321" w:rsidRPr="00350FFC" w:rsidRDefault="00C635D8" w:rsidP="00D5277C">
      <w:pPr>
        <w:spacing w:before="120" w:after="120" w:line="276" w:lineRule="auto"/>
        <w:ind w:firstLine="709"/>
        <w:jc w:val="both"/>
        <w:rPr>
          <w:rFonts w:ascii="Arial" w:hAnsi="Arial" w:cs="Arial"/>
          <w:sz w:val="22"/>
          <w:szCs w:val="22"/>
          <w:lang w:val="es-ES"/>
        </w:rPr>
      </w:pPr>
      <w:r w:rsidRPr="00350FFC">
        <w:rPr>
          <w:rFonts w:ascii="Arial" w:hAnsi="Arial" w:cs="Arial"/>
          <w:sz w:val="22"/>
          <w:szCs w:val="22"/>
          <w:lang w:val="es-ES"/>
        </w:rPr>
        <w:t>Con posterioridad,</w:t>
      </w:r>
      <w:r w:rsidR="00EC2321" w:rsidRPr="00350FFC">
        <w:rPr>
          <w:rFonts w:ascii="Arial" w:hAnsi="Arial" w:cs="Arial"/>
          <w:sz w:val="22"/>
          <w:szCs w:val="22"/>
          <w:lang w:val="es-ES"/>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EC2321" w:rsidRPr="00350FFC" w:rsidDel="00A434AB">
        <w:rPr>
          <w:rFonts w:ascii="Arial" w:hAnsi="Arial" w:cs="Arial"/>
          <w:sz w:val="22"/>
          <w:szCs w:val="22"/>
          <w:lang w:val="es-ES"/>
        </w:rPr>
        <w:t xml:space="preserve"> </w:t>
      </w:r>
      <w:r w:rsidR="00EC2321" w:rsidRPr="00350FFC">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w:t>
      </w:r>
      <w:r w:rsidR="00EC2321" w:rsidRPr="00350FFC">
        <w:rPr>
          <w:rFonts w:ascii="Arial" w:hAnsi="Arial" w:cs="Arial"/>
          <w:sz w:val="22"/>
          <w:szCs w:val="22"/>
          <w:lang w:val="es-ES"/>
        </w:rPr>
        <w:lastRenderedPageBreak/>
        <w:t xml:space="preserve">Pública </w:t>
      </w:r>
      <w:bookmarkStart w:id="7" w:name="_Hlk37841850"/>
      <w:r w:rsidR="00EC2321" w:rsidRPr="00350FFC">
        <w:rPr>
          <w:rFonts w:ascii="Arial" w:hAnsi="Arial" w:cs="Arial"/>
          <w:sz w:val="22"/>
          <w:szCs w:val="22"/>
          <w:lang w:val="es-ES"/>
        </w:rPr>
        <w:t xml:space="preserve">– Colombia Compra Eficiente, </w:t>
      </w:r>
      <w:bookmarkEnd w:id="7"/>
      <w:r w:rsidR="00EC2321" w:rsidRPr="00350FFC">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217EBD83" w14:textId="5D293000" w:rsidR="00EC2321" w:rsidRPr="00350FFC" w:rsidRDefault="00EC2321" w:rsidP="00D5277C">
      <w:pPr>
        <w:pStyle w:val="Normal11pt"/>
        <w:spacing w:before="120" w:after="120" w:line="276" w:lineRule="auto"/>
        <w:ind w:left="0" w:firstLine="709"/>
        <w:rPr>
          <w:rFonts w:eastAsia="Calibri"/>
          <w:color w:val="auto"/>
          <w:lang w:val="es-ES"/>
        </w:rPr>
      </w:pPr>
      <w:r w:rsidRPr="00350FFC">
        <w:rPr>
          <w:rFonts w:eastAsia="Calibri"/>
          <w:color w:val="auto"/>
          <w:lang w:val="es-ES"/>
        </w:rPr>
        <w:t>Por otra parte</w:t>
      </w:r>
      <w:r w:rsidRPr="00350FFC">
        <w:rPr>
          <w:rFonts w:eastAsia="Calibri"/>
          <w:i/>
          <w:iCs/>
          <w:color w:val="auto"/>
          <w:lang w:val="es-ES"/>
        </w:rPr>
        <w:t>,</w:t>
      </w:r>
      <w:r w:rsidRPr="00350FFC">
        <w:rPr>
          <w:rFonts w:eastAsia="Calibri"/>
          <w:color w:val="auto"/>
          <w:lang w:val="es-ES"/>
        </w:rPr>
        <w:t xml:space="preserve"> debe tenerse en cuenta que </w:t>
      </w:r>
      <w:r w:rsidRPr="00350FFC">
        <w:rPr>
          <w:color w:val="auto"/>
        </w:rPr>
        <w:t xml:space="preserve">posteriormente fue expedida la Ley 2022 de 2020 «Por la cual modifica el artículo 4 de la </w:t>
      </w:r>
      <w:r w:rsidR="00365713" w:rsidRPr="00350FFC">
        <w:rPr>
          <w:color w:val="auto"/>
        </w:rPr>
        <w:t xml:space="preserve">Ley </w:t>
      </w:r>
      <w:r w:rsidRPr="00350FFC">
        <w:rPr>
          <w:color w:val="auto"/>
        </w:rPr>
        <w:t>1882 de 2018 y se dictan otras disposiciones». En su artículo 1, esta norma modificó el Articulo 4 de la Ley 1882 de 2018</w:t>
      </w:r>
      <w:r w:rsidRPr="00350FFC">
        <w:rPr>
          <w:rStyle w:val="Refdenotaalpie"/>
          <w:color w:val="auto"/>
        </w:rPr>
        <w:footnoteReference w:id="5"/>
      </w:r>
      <w:r w:rsidRPr="00350FFC">
        <w:rPr>
          <w:color w:val="auto"/>
        </w:rPr>
        <w:t xml:space="preserve">, estableciendo a cargo de esta Agencia la adopción de documentos tipo que serán de obligatorio cumplimiento en la actividad contractual de todas las entidades sometidas al Estatuto General de Contratación de la Administración Pública. </w:t>
      </w:r>
      <w:r w:rsidRPr="00350FFC">
        <w:rPr>
          <w:rFonts w:eastAsia="Calibri"/>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63904F6" w14:textId="77777777" w:rsidR="00EC2321" w:rsidRPr="00350FFC" w:rsidRDefault="00EC2321" w:rsidP="00D5277C">
      <w:pPr>
        <w:pStyle w:val="Normal11pt"/>
        <w:spacing w:before="120" w:after="120" w:line="276" w:lineRule="auto"/>
        <w:ind w:left="0" w:firstLine="709"/>
        <w:rPr>
          <w:rFonts w:eastAsia="Calibri"/>
          <w:color w:val="auto"/>
          <w:lang w:val="es-ES"/>
        </w:rPr>
      </w:pPr>
      <w:r w:rsidRPr="00350FFC">
        <w:rPr>
          <w:rFonts w:eastAsia="Calibri"/>
          <w:color w:val="auto"/>
          <w:lang w:val="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248017F4" w14:textId="604349DB" w:rsidR="00EC2321" w:rsidRPr="00350FFC" w:rsidRDefault="00EC2321" w:rsidP="00D5277C">
      <w:pPr>
        <w:pStyle w:val="Normal11pt"/>
        <w:spacing w:before="120" w:after="120" w:line="276" w:lineRule="auto"/>
        <w:ind w:left="0" w:firstLine="709"/>
        <w:rPr>
          <w:rFonts w:eastAsia="Calibri"/>
          <w:color w:val="auto"/>
          <w:lang w:val="es-ES"/>
        </w:rPr>
      </w:pPr>
      <w:r w:rsidRPr="00350FFC">
        <w:rPr>
          <w:rFonts w:eastAsia="Calibri"/>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w:t>
      </w:r>
      <w:r w:rsidRPr="00350FFC">
        <w:rPr>
          <w:rFonts w:eastAsia="Calibri"/>
          <w:color w:val="auto"/>
          <w:lang w:val="es-ES"/>
        </w:rPr>
        <w:lastRenderedPageBreak/>
        <w:t>catastral con enfoque multipropósito que se celebren a través de contratos interadministrativos»</w:t>
      </w:r>
      <w:r w:rsidR="000503FF" w:rsidRPr="00350FFC">
        <w:rPr>
          <w:rFonts w:eastAsia="Calibri"/>
          <w:color w:val="auto"/>
          <w:lang w:val="es-ES"/>
        </w:rPr>
        <w:t xml:space="preserve">, </w:t>
      </w:r>
      <w:r w:rsidR="00EF1ADC" w:rsidRPr="00350FFC">
        <w:rPr>
          <w:rFonts w:eastAsia="Calibri"/>
          <w:color w:val="auto"/>
          <w:lang w:val="es-ES"/>
        </w:rPr>
        <w:t>del cual se hará especial mención más adelante</w:t>
      </w:r>
      <w:r w:rsidRPr="00350FFC">
        <w:rPr>
          <w:rFonts w:eastAsia="Calibri"/>
          <w:color w:val="auto"/>
          <w:lang w:val="es-ES"/>
        </w:rPr>
        <w:t xml:space="preserve">. </w:t>
      </w:r>
    </w:p>
    <w:p w14:paraId="6123A329" w14:textId="77777777" w:rsidR="00EC2321" w:rsidRPr="00350FFC" w:rsidRDefault="00EC2321" w:rsidP="00D5277C">
      <w:pPr>
        <w:pStyle w:val="Normal11pt"/>
        <w:spacing w:before="120" w:after="120" w:line="276" w:lineRule="auto"/>
        <w:ind w:left="0" w:firstLine="709"/>
        <w:rPr>
          <w:rFonts w:eastAsia="Calibri"/>
          <w:color w:val="auto"/>
          <w:lang w:val="es-ES"/>
        </w:rPr>
      </w:pPr>
      <w:r w:rsidRPr="00350FFC">
        <w:rPr>
          <w:rFonts w:eastAsia="Calibri"/>
          <w:color w:val="auto"/>
          <w:lang w:val="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350FFC">
        <w:rPr>
          <w:color w:val="auto"/>
        </w:rPr>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2F374C97" w14:textId="77777777" w:rsidR="00EC2321" w:rsidRPr="00350FFC" w:rsidRDefault="00EC2321" w:rsidP="00D5277C">
      <w:pPr>
        <w:pStyle w:val="Normal11pt"/>
        <w:spacing w:before="120" w:after="120" w:line="276" w:lineRule="auto"/>
        <w:ind w:left="0" w:firstLine="709"/>
        <w:rPr>
          <w:rFonts w:eastAsia="Calibri"/>
          <w:color w:val="auto"/>
          <w:lang w:val="es-ES"/>
        </w:rPr>
      </w:pPr>
      <w:r w:rsidRPr="00350FFC">
        <w:rPr>
          <w:rFonts w:eastAsia="Calibri"/>
          <w:color w:val="auto"/>
          <w:lang w:val="es-ES"/>
        </w:rPr>
        <w:t xml:space="preserve">En síntesis, hasta el momento se han expedido los siguientes documentos tipo que son obligatorios para todas las entidades sometidas al Estatuto General de Contratación de la Administración Pública: </w:t>
      </w:r>
    </w:p>
    <w:p w14:paraId="7781F785"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r w:rsidRPr="00350FFC">
        <w:rPr>
          <w:rFonts w:ascii="Arial" w:eastAsia="Calibri" w:hAnsi="Arial" w:cs="Arial"/>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5001B223"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ii</w:t>
      </w:r>
      <w:proofErr w:type="spellEnd"/>
      <w:r w:rsidRPr="00350FFC">
        <w:rPr>
          <w:rFonts w:ascii="Arial" w:eastAsia="Calibri" w:hAnsi="Arial" w:cs="Arial"/>
          <w:sz w:val="22"/>
          <w:szCs w:val="22"/>
          <w:lang w:val="es-ES_tradnl" w:eastAsia="es-ES"/>
        </w:rPr>
        <w:t>) Documentos tipo para licitación de obra pública de infraestructura de transporte –versión 2–, obligatorios para los procesos cuyo aviso de convocatoria se haya publicado desde el 10 de marzo de 2020.</w:t>
      </w:r>
    </w:p>
    <w:p w14:paraId="6C1BB643"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iii</w:t>
      </w:r>
      <w:proofErr w:type="spellEnd"/>
      <w:r w:rsidRPr="00350FFC">
        <w:rPr>
          <w:rFonts w:ascii="Arial" w:eastAsia="Calibri" w:hAnsi="Arial" w:cs="Arial"/>
          <w:sz w:val="22"/>
          <w:szCs w:val="22"/>
          <w:lang w:val="es-ES_tradnl" w:eastAsia="es-ES"/>
        </w:rPr>
        <w:t>) Documentos tipo para licitación de obra pública de infraestructura de transporte –versión 3–, obligatorios para los procesos cuyo aviso de convocatoria se haya publicado desde el 1 de enero de 2021.</w:t>
      </w:r>
    </w:p>
    <w:p w14:paraId="7E2C2877"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iv</w:t>
      </w:r>
      <w:proofErr w:type="spellEnd"/>
      <w:r w:rsidRPr="00350FFC">
        <w:rPr>
          <w:rFonts w:ascii="Arial" w:eastAsia="Calibri" w:hAnsi="Arial" w:cs="Arial"/>
          <w:sz w:val="22"/>
          <w:szCs w:val="22"/>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7F194E72"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r w:rsidRPr="00350FFC">
        <w:rPr>
          <w:rFonts w:ascii="Arial" w:eastAsia="Calibri" w:hAnsi="Arial" w:cs="Arial"/>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8E356F1"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r w:rsidRPr="00350FFC">
        <w:rPr>
          <w:rFonts w:ascii="Arial" w:eastAsia="Calibri" w:hAnsi="Arial" w:cs="Arial"/>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148B01D8"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lastRenderedPageBreak/>
        <w:t>vii</w:t>
      </w:r>
      <w:proofErr w:type="spellEnd"/>
      <w:r w:rsidRPr="00350FFC">
        <w:rPr>
          <w:rFonts w:ascii="Arial" w:eastAsia="Calibri" w:hAnsi="Arial" w:cs="Arial"/>
          <w:sz w:val="22"/>
          <w:szCs w:val="22"/>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33D267FA"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viii</w:t>
      </w:r>
      <w:proofErr w:type="spellEnd"/>
      <w:r w:rsidRPr="00350FFC">
        <w:rPr>
          <w:rFonts w:ascii="Arial" w:eastAsia="Calibri" w:hAnsi="Arial" w:cs="Arial"/>
          <w:sz w:val="22"/>
          <w:szCs w:val="22"/>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29EBB79D"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ix</w:t>
      </w:r>
      <w:proofErr w:type="spellEnd"/>
      <w:r w:rsidRPr="00350FFC">
        <w:rPr>
          <w:rFonts w:ascii="Arial" w:eastAsia="Calibri" w:hAnsi="Arial" w:cs="Arial"/>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52EFDB0D"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r w:rsidRPr="00350FFC">
        <w:rPr>
          <w:rFonts w:ascii="Arial" w:eastAsia="Calibri" w:hAnsi="Arial" w:cs="Arial"/>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6B35378" w14:textId="77777777" w:rsidR="00EC2321" w:rsidRPr="00350FFC" w:rsidRDefault="00EC2321" w:rsidP="00D5277C">
      <w:pPr>
        <w:spacing w:before="120" w:after="120" w:line="276" w:lineRule="auto"/>
        <w:ind w:firstLine="709"/>
        <w:jc w:val="both"/>
        <w:rPr>
          <w:rFonts w:ascii="Arial" w:eastAsia="Calibri" w:hAnsi="Arial" w:cs="Arial"/>
          <w:sz w:val="22"/>
          <w:szCs w:val="22"/>
          <w:lang w:val="es-ES_tradnl" w:eastAsia="es-ES"/>
        </w:rPr>
      </w:pPr>
      <w:r w:rsidRPr="00350FFC">
        <w:rPr>
          <w:rFonts w:ascii="Arial" w:eastAsia="Calibri" w:hAnsi="Arial" w:cs="Arial"/>
          <w:sz w:val="22"/>
          <w:szCs w:val="22"/>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389602F4" w14:textId="77777777" w:rsidR="00EC2321" w:rsidRPr="00350FFC" w:rsidRDefault="00EC2321" w:rsidP="00D5277C">
      <w:pPr>
        <w:spacing w:after="120" w:line="276" w:lineRule="auto"/>
        <w:ind w:firstLine="709"/>
        <w:jc w:val="both"/>
        <w:rPr>
          <w:rFonts w:ascii="Arial" w:eastAsia="Calibri" w:hAnsi="Arial" w:cs="Arial"/>
          <w:sz w:val="22"/>
          <w:szCs w:val="22"/>
          <w:lang w:val="es-ES_tradnl" w:eastAsia="es-ES"/>
        </w:rPr>
      </w:pPr>
      <w:proofErr w:type="spellStart"/>
      <w:r w:rsidRPr="00350FFC">
        <w:rPr>
          <w:rFonts w:ascii="Arial" w:eastAsia="Calibri" w:hAnsi="Arial" w:cs="Arial"/>
          <w:sz w:val="22"/>
          <w:szCs w:val="22"/>
          <w:lang w:val="es-ES_tradnl" w:eastAsia="es-ES"/>
        </w:rPr>
        <w:t>xii</w:t>
      </w:r>
      <w:proofErr w:type="spellEnd"/>
      <w:r w:rsidRPr="00350FFC">
        <w:rPr>
          <w:rFonts w:ascii="Arial" w:eastAsia="Calibri" w:hAnsi="Arial" w:cs="Arial"/>
          <w:sz w:val="22"/>
          <w:szCs w:val="22"/>
          <w:lang w:val="es-ES_tradnl" w:eastAsia="es-ES"/>
        </w:rPr>
        <w:t>) Documentos tipo para los procesos de licitación de obra pública de infraestructura social, concretamente, para infraestructura en el sector educativo, obligatorios para los procesos cuyo aviso de convocatoria se publiquen desde el 2 de noviembre de 2021.</w:t>
      </w:r>
    </w:p>
    <w:p w14:paraId="6DFC14BE" w14:textId="45A9A4C6" w:rsidR="00EC2321" w:rsidRPr="00350FFC" w:rsidRDefault="00EC2321" w:rsidP="00365AB5">
      <w:pPr>
        <w:pStyle w:val="Normal11pt"/>
        <w:spacing w:before="120" w:line="276" w:lineRule="auto"/>
        <w:ind w:left="0" w:firstLine="709"/>
        <w:contextualSpacing/>
        <w:rPr>
          <w:rFonts w:eastAsia="Calibri"/>
          <w:color w:val="auto"/>
          <w:lang w:val="es-ES"/>
        </w:rPr>
      </w:pPr>
      <w:r w:rsidRPr="00350FFC">
        <w:rPr>
          <w:rFonts w:eastAsia="Calibri"/>
          <w:color w:val="auto"/>
          <w:lang w:val="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182325E9" w14:textId="77777777" w:rsidR="00365AB5" w:rsidRPr="006D71E6" w:rsidRDefault="00365AB5" w:rsidP="00365AB5">
      <w:pPr>
        <w:pStyle w:val="Normal11pt"/>
        <w:spacing w:before="120" w:line="276" w:lineRule="auto"/>
        <w:ind w:left="0" w:firstLine="709"/>
        <w:contextualSpacing/>
        <w:rPr>
          <w:rFonts w:eastAsia="Calibri"/>
          <w:color w:val="auto"/>
          <w:sz w:val="18"/>
          <w:szCs w:val="18"/>
          <w:lang w:val="es-ES"/>
        </w:rPr>
      </w:pPr>
    </w:p>
    <w:p w14:paraId="50CA1E43" w14:textId="3461A53A" w:rsidR="00B173A5" w:rsidRPr="00350FFC" w:rsidRDefault="00B173A5" w:rsidP="00365AB5">
      <w:pPr>
        <w:spacing w:line="276" w:lineRule="auto"/>
        <w:contextualSpacing/>
        <w:jc w:val="both"/>
        <w:rPr>
          <w:rFonts w:ascii="Arial" w:eastAsia="Calibri" w:hAnsi="Arial" w:cs="Arial"/>
          <w:b/>
          <w:bCs/>
          <w:sz w:val="22"/>
          <w:szCs w:val="22"/>
          <w:lang w:val="es-ES"/>
        </w:rPr>
      </w:pPr>
      <w:r w:rsidRPr="00350FFC">
        <w:rPr>
          <w:rFonts w:ascii="Arial" w:eastAsia="Calibri" w:hAnsi="Arial" w:cs="Arial"/>
          <w:b/>
          <w:bCs/>
          <w:sz w:val="22"/>
          <w:szCs w:val="22"/>
          <w:lang w:val="es-ES"/>
        </w:rPr>
        <w:t xml:space="preserve">2.2. Obligatoriedad de los documentos tipo </w:t>
      </w:r>
      <w:r w:rsidR="009A1189" w:rsidRPr="00350FFC">
        <w:rPr>
          <w:rFonts w:ascii="Arial" w:eastAsia="Calibri" w:hAnsi="Arial" w:cs="Arial"/>
          <w:b/>
          <w:bCs/>
          <w:sz w:val="22"/>
          <w:szCs w:val="22"/>
          <w:lang w:val="es-ES"/>
        </w:rPr>
        <w:t>en los procesos contractuales</w:t>
      </w:r>
      <w:r w:rsidR="00B67B07" w:rsidRPr="00350FFC">
        <w:rPr>
          <w:rFonts w:ascii="Arial" w:eastAsia="Calibri" w:hAnsi="Arial" w:cs="Arial"/>
          <w:b/>
          <w:bCs/>
          <w:sz w:val="22"/>
          <w:szCs w:val="22"/>
          <w:lang w:val="es-ES"/>
        </w:rPr>
        <w:t xml:space="preserve"> adelantados por las entidades sometidas al EGCAP</w:t>
      </w:r>
    </w:p>
    <w:p w14:paraId="42D57831" w14:textId="77777777" w:rsidR="009A1189" w:rsidRPr="006D71E6" w:rsidRDefault="009A1189" w:rsidP="00365AB5">
      <w:pPr>
        <w:spacing w:line="276" w:lineRule="auto"/>
        <w:contextualSpacing/>
        <w:jc w:val="both"/>
        <w:rPr>
          <w:rFonts w:ascii="Arial" w:eastAsia="Calibri" w:hAnsi="Arial" w:cs="Arial"/>
          <w:sz w:val="18"/>
          <w:szCs w:val="18"/>
        </w:rPr>
      </w:pPr>
    </w:p>
    <w:p w14:paraId="748BFA9D" w14:textId="3B0369E1" w:rsidR="005173F4" w:rsidRPr="00350FFC" w:rsidRDefault="007D68EA" w:rsidP="00A94F6A">
      <w:pPr>
        <w:spacing w:after="120" w:line="276" w:lineRule="auto"/>
        <w:jc w:val="both"/>
        <w:rPr>
          <w:rFonts w:ascii="Arial" w:eastAsia="Calibri" w:hAnsi="Arial" w:cs="Arial"/>
          <w:sz w:val="22"/>
          <w:szCs w:val="22"/>
        </w:rPr>
      </w:pPr>
      <w:bookmarkStart w:id="8" w:name="_Hlk104104496"/>
      <w:r w:rsidRPr="00350FFC">
        <w:rPr>
          <w:rFonts w:ascii="Arial" w:eastAsia="Calibri" w:hAnsi="Arial" w:cs="Arial"/>
          <w:sz w:val="22"/>
          <w:szCs w:val="22"/>
        </w:rPr>
        <w:t>L</w:t>
      </w:r>
      <w:r w:rsidR="005173F4" w:rsidRPr="00350FFC">
        <w:rPr>
          <w:rFonts w:ascii="Arial" w:eastAsia="Calibri" w:hAnsi="Arial" w:cs="Arial"/>
          <w:sz w:val="22"/>
          <w:szCs w:val="22"/>
        </w:rPr>
        <w:t>a Ley 2022 de 2020 señala</w:t>
      </w:r>
      <w:r w:rsidR="00E54CC4" w:rsidRPr="00350FFC">
        <w:rPr>
          <w:rFonts w:ascii="Arial" w:eastAsia="Calibri" w:hAnsi="Arial" w:cs="Arial"/>
          <w:sz w:val="22"/>
          <w:szCs w:val="22"/>
        </w:rPr>
        <w:t>, en su artículo 1</w:t>
      </w:r>
      <w:r w:rsidR="00CC591E" w:rsidRPr="00350FFC">
        <w:rPr>
          <w:rStyle w:val="Refdenotaalpie"/>
          <w:rFonts w:ascii="Arial" w:hAnsi="Arial" w:cs="Arial"/>
          <w:sz w:val="22"/>
          <w:szCs w:val="22"/>
          <w:bdr w:val="none" w:sz="0" w:space="0" w:color="auto" w:frame="1"/>
          <w:lang w:eastAsia="es-CO"/>
        </w:rPr>
        <w:footnoteReference w:id="6"/>
      </w:r>
      <w:r w:rsidR="00E54CC4" w:rsidRPr="00350FFC">
        <w:rPr>
          <w:rFonts w:ascii="Arial" w:eastAsia="Calibri" w:hAnsi="Arial" w:cs="Arial"/>
          <w:sz w:val="22"/>
          <w:szCs w:val="22"/>
        </w:rPr>
        <w:t>,</w:t>
      </w:r>
      <w:r w:rsidR="005173F4" w:rsidRPr="00350FFC">
        <w:rPr>
          <w:rFonts w:ascii="Arial" w:eastAsia="Calibri" w:hAnsi="Arial" w:cs="Arial"/>
          <w:sz w:val="22"/>
          <w:szCs w:val="22"/>
        </w:rPr>
        <w:t xml:space="preserve"> que los documentos tipo adoptados por la Agencia Nacional de Contratación Pública son de </w:t>
      </w:r>
      <w:r w:rsidR="005173F4" w:rsidRPr="00350FFC">
        <w:rPr>
          <w:rFonts w:ascii="Arial" w:eastAsia="Calibri" w:hAnsi="Arial" w:cs="Arial"/>
          <w:i/>
          <w:sz w:val="22"/>
          <w:szCs w:val="22"/>
        </w:rPr>
        <w:t>obligatorio</w:t>
      </w:r>
      <w:r w:rsidR="005173F4" w:rsidRPr="00350FFC">
        <w:rPr>
          <w:rFonts w:ascii="Arial" w:eastAsia="Calibri" w:hAnsi="Arial" w:cs="Arial"/>
          <w:sz w:val="22"/>
          <w:szCs w:val="22"/>
        </w:rPr>
        <w:t xml:space="preserve"> cumplimiento por todas las </w:t>
      </w:r>
      <w:r w:rsidR="005173F4" w:rsidRPr="00350FFC">
        <w:rPr>
          <w:rFonts w:ascii="Arial" w:eastAsia="Calibri" w:hAnsi="Arial" w:cs="Arial"/>
          <w:sz w:val="22"/>
          <w:szCs w:val="22"/>
        </w:rPr>
        <w:lastRenderedPageBreak/>
        <w:t>entidades públicas, cuyo régimen de contratación sea el Estatuto General de la Contratación de la Administración Pública ‒EGCAP‒. Esta obligatoriedad implica</w:t>
      </w:r>
      <w:r w:rsidR="00CF48AE" w:rsidRPr="00350FFC">
        <w:rPr>
          <w:rFonts w:ascii="Arial" w:eastAsia="Calibri" w:hAnsi="Arial" w:cs="Arial"/>
          <w:sz w:val="22"/>
          <w:szCs w:val="22"/>
        </w:rPr>
        <w:t>, a su vez,</w:t>
      </w:r>
      <w:r w:rsidR="005173F4" w:rsidRPr="00350FFC">
        <w:rPr>
          <w:rFonts w:ascii="Arial" w:eastAsia="Calibri" w:hAnsi="Arial" w:cs="Arial"/>
          <w:sz w:val="22"/>
          <w:szCs w:val="22"/>
        </w:rPr>
        <w:t xml:space="preserve"> que las entidades estatales tengan que adelantar los procesos de contratación bajo las condiciones establecidas en los documentos tipo que rijan para el objeto a contratar</w:t>
      </w:r>
      <w:r w:rsidR="00020479">
        <w:rPr>
          <w:rFonts w:ascii="Arial" w:eastAsia="Calibri" w:hAnsi="Arial" w:cs="Arial"/>
          <w:sz w:val="22"/>
          <w:szCs w:val="22"/>
        </w:rPr>
        <w:t xml:space="preserve"> y el procedimiento de selección aplicables,</w:t>
      </w:r>
      <w:r w:rsidR="005173F4" w:rsidRPr="00350FFC">
        <w:rPr>
          <w:rFonts w:ascii="Arial" w:eastAsia="Calibri" w:hAnsi="Arial" w:cs="Arial"/>
          <w:sz w:val="22"/>
          <w:szCs w:val="22"/>
        </w:rPr>
        <w:t xml:space="preserve"> sin que puedan variarse los requisitos fijados en ellos. Lo anterior, por cuanto los documentos tipo se caracterizan por ser inalterables, es decir, que las entidades públicas carecen de la facultad de modificarlos, con excepción de aquellos aspectos que pueden diligenciar, </w:t>
      </w:r>
      <w:r w:rsidR="00AC2425" w:rsidRPr="00350FFC">
        <w:rPr>
          <w:rFonts w:ascii="Arial" w:eastAsia="Calibri" w:hAnsi="Arial" w:cs="Arial"/>
          <w:sz w:val="22"/>
          <w:szCs w:val="22"/>
        </w:rPr>
        <w:t xml:space="preserve">que son </w:t>
      </w:r>
      <w:r w:rsidR="005173F4" w:rsidRPr="00350FFC">
        <w:rPr>
          <w:rFonts w:ascii="Arial" w:eastAsia="Calibri" w:hAnsi="Arial" w:cs="Arial"/>
          <w:sz w:val="22"/>
          <w:szCs w:val="22"/>
        </w:rPr>
        <w:t xml:space="preserve">las descripciones que están incluidas entre corchetes y resaltadas en gris en cada uno de los documentos tipo. </w:t>
      </w:r>
    </w:p>
    <w:bookmarkEnd w:id="8"/>
    <w:p w14:paraId="238921AF" w14:textId="11D0E99F" w:rsidR="008A4724" w:rsidRDefault="000E3785" w:rsidP="00A94F6A">
      <w:pPr>
        <w:spacing w:after="120" w:line="276" w:lineRule="auto"/>
        <w:ind w:firstLine="709"/>
        <w:jc w:val="both"/>
        <w:rPr>
          <w:rFonts w:ascii="Arial" w:eastAsia="Calibri" w:hAnsi="Arial" w:cs="Arial"/>
          <w:sz w:val="22"/>
          <w:szCs w:val="22"/>
          <w:lang w:val="es-ES" w:eastAsia="en-US"/>
        </w:rPr>
      </w:pPr>
      <w:r w:rsidRPr="00350FFC">
        <w:rPr>
          <w:rFonts w:ascii="Arial" w:eastAsia="Calibri" w:hAnsi="Arial" w:cs="Arial"/>
          <w:sz w:val="22"/>
          <w:szCs w:val="22"/>
          <w:shd w:val="clear" w:color="auto" w:fill="FFFFFF"/>
          <w:lang w:val="es-ES" w:eastAsia="en-US"/>
        </w:rPr>
        <w:t xml:space="preserve">De acuerdo con lo expuesto, </w:t>
      </w:r>
      <w:r w:rsidRPr="00350FFC">
        <w:rPr>
          <w:rFonts w:ascii="Arial" w:eastAsia="Calibri" w:hAnsi="Arial" w:cs="Arial"/>
          <w:sz w:val="22"/>
          <w:szCs w:val="22"/>
          <w:lang w:val="es-ES" w:eastAsia="en-US"/>
        </w:rPr>
        <w:t>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w:t>
      </w:r>
      <w:r w:rsidR="00020479">
        <w:rPr>
          <w:rFonts w:ascii="Arial" w:eastAsia="Calibri" w:hAnsi="Arial" w:cs="Arial"/>
          <w:sz w:val="22"/>
          <w:szCs w:val="22"/>
          <w:lang w:val="es-ES" w:eastAsia="en-US"/>
        </w:rPr>
        <w:t xml:space="preserve"> para adelantar los procesos de contrata</w:t>
      </w:r>
      <w:r w:rsidR="00173A3D">
        <w:rPr>
          <w:rFonts w:ascii="Arial" w:eastAsia="Calibri" w:hAnsi="Arial" w:cs="Arial"/>
          <w:sz w:val="22"/>
          <w:szCs w:val="22"/>
          <w:lang w:val="es-ES" w:eastAsia="en-US"/>
        </w:rPr>
        <w:t xml:space="preserve">ción que se encuentren cobijados por los documentos tipo expedidos. </w:t>
      </w:r>
      <w:r w:rsidRPr="00350FFC">
        <w:rPr>
          <w:rFonts w:ascii="Arial" w:eastAsia="Calibri" w:hAnsi="Arial" w:cs="Arial"/>
          <w:sz w:val="22"/>
          <w:szCs w:val="22"/>
          <w:lang w:val="es-ES" w:eastAsia="en-US"/>
        </w:rPr>
        <w:t xml:space="preserve">Sin embargo, si el objeto contractual no se relaciona con actividades u objetos contractuales descritos </w:t>
      </w:r>
      <w:r w:rsidR="00D14F8B" w:rsidRPr="00350FFC">
        <w:rPr>
          <w:rFonts w:ascii="Arial" w:eastAsia="Calibri" w:hAnsi="Arial" w:cs="Arial"/>
          <w:sz w:val="22"/>
          <w:szCs w:val="22"/>
          <w:lang w:val="es-ES" w:eastAsia="en-US"/>
        </w:rPr>
        <w:t xml:space="preserve">en los documentos tipo </w:t>
      </w:r>
      <w:r w:rsidR="00383132" w:rsidRPr="00350FFC">
        <w:rPr>
          <w:rFonts w:ascii="Arial" w:eastAsia="Calibri" w:hAnsi="Arial" w:cs="Arial"/>
          <w:sz w:val="22"/>
          <w:szCs w:val="22"/>
          <w:lang w:val="es-ES" w:eastAsia="en-US"/>
        </w:rPr>
        <w:t>que ha</w:t>
      </w:r>
      <w:r w:rsidR="00AB645A">
        <w:rPr>
          <w:rFonts w:ascii="Arial" w:eastAsia="Calibri" w:hAnsi="Arial" w:cs="Arial"/>
          <w:sz w:val="22"/>
          <w:szCs w:val="22"/>
          <w:lang w:val="es-ES" w:eastAsia="en-US"/>
        </w:rPr>
        <w:t>n</w:t>
      </w:r>
      <w:r w:rsidR="004825FB">
        <w:rPr>
          <w:rFonts w:ascii="Arial" w:eastAsia="Calibri" w:hAnsi="Arial" w:cs="Arial"/>
          <w:sz w:val="22"/>
          <w:szCs w:val="22"/>
          <w:lang w:val="es-ES" w:eastAsia="en-US"/>
        </w:rPr>
        <w:t xml:space="preserve"> sido</w:t>
      </w:r>
      <w:r w:rsidR="00383132" w:rsidRPr="00350FFC">
        <w:rPr>
          <w:rFonts w:ascii="Arial" w:eastAsia="Calibri" w:hAnsi="Arial" w:cs="Arial"/>
          <w:sz w:val="22"/>
          <w:szCs w:val="22"/>
          <w:lang w:val="es-ES" w:eastAsia="en-US"/>
        </w:rPr>
        <w:t xml:space="preserve"> expedidos </w:t>
      </w:r>
      <w:r w:rsidR="004825FB">
        <w:rPr>
          <w:rFonts w:ascii="Arial" w:eastAsia="Calibri" w:hAnsi="Arial" w:cs="Arial"/>
          <w:sz w:val="22"/>
          <w:szCs w:val="22"/>
          <w:lang w:val="es-ES" w:eastAsia="en-US"/>
        </w:rPr>
        <w:t xml:space="preserve">por </w:t>
      </w:r>
      <w:r w:rsidR="00383132" w:rsidRPr="00350FFC">
        <w:rPr>
          <w:rFonts w:ascii="Arial" w:eastAsia="Calibri" w:hAnsi="Arial" w:cs="Arial"/>
          <w:sz w:val="22"/>
          <w:szCs w:val="22"/>
          <w:lang w:val="es-ES" w:eastAsia="en-US"/>
        </w:rPr>
        <w:t>Colombia Compra Eficiente,</w:t>
      </w:r>
      <w:r w:rsidR="00FF1481">
        <w:rPr>
          <w:rFonts w:ascii="Arial" w:eastAsia="Calibri" w:hAnsi="Arial" w:cs="Arial"/>
          <w:sz w:val="22"/>
          <w:szCs w:val="22"/>
          <w:lang w:val="es-ES" w:eastAsia="en-US"/>
        </w:rPr>
        <w:t xml:space="preserve"> o estos no aplican a la modalidad de escogencia aplicable, </w:t>
      </w:r>
      <w:r w:rsidRPr="00350FFC">
        <w:rPr>
          <w:rFonts w:ascii="Arial" w:eastAsia="Calibri" w:hAnsi="Arial" w:cs="Arial"/>
          <w:sz w:val="22"/>
          <w:szCs w:val="22"/>
          <w:lang w:val="es-ES" w:eastAsia="en-US"/>
        </w:rPr>
        <w:t xml:space="preserve">no será </w:t>
      </w:r>
      <w:r w:rsidR="005E4CFE">
        <w:rPr>
          <w:rFonts w:ascii="Arial" w:eastAsia="Calibri" w:hAnsi="Arial" w:cs="Arial"/>
          <w:sz w:val="22"/>
          <w:szCs w:val="22"/>
          <w:lang w:val="es-ES" w:eastAsia="en-US"/>
        </w:rPr>
        <w:t xml:space="preserve">obligatorio </w:t>
      </w:r>
      <w:r w:rsidRPr="00350FFC">
        <w:rPr>
          <w:rFonts w:ascii="Arial" w:eastAsia="Calibri" w:hAnsi="Arial" w:cs="Arial"/>
          <w:sz w:val="22"/>
          <w:szCs w:val="22"/>
          <w:lang w:val="es-ES" w:eastAsia="en-US"/>
        </w:rPr>
        <w:t>aplicar</w:t>
      </w:r>
      <w:r w:rsidR="008A4724">
        <w:rPr>
          <w:rFonts w:ascii="Arial" w:eastAsia="Calibri" w:hAnsi="Arial" w:cs="Arial"/>
          <w:sz w:val="22"/>
          <w:szCs w:val="22"/>
          <w:lang w:val="es-ES" w:eastAsia="en-US"/>
        </w:rPr>
        <w:t xml:space="preserve"> los pliegos tipo</w:t>
      </w:r>
      <w:r w:rsidRPr="00350FFC">
        <w:rPr>
          <w:rFonts w:ascii="Arial" w:eastAsia="Calibri" w:hAnsi="Arial" w:cs="Arial"/>
          <w:sz w:val="22"/>
          <w:szCs w:val="22"/>
          <w:lang w:val="es-ES" w:eastAsia="en-US"/>
        </w:rPr>
        <w:t xml:space="preserve">. </w:t>
      </w:r>
    </w:p>
    <w:p w14:paraId="6D0BCACD" w14:textId="169F3502" w:rsidR="000E3785" w:rsidRPr="00B9084B" w:rsidRDefault="00611114" w:rsidP="00A94F6A">
      <w:pPr>
        <w:spacing w:after="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 w:eastAsia="en-US"/>
        </w:rPr>
        <w:t>Además del objeto y la modalidad de escogencia aplicable</w:t>
      </w:r>
      <w:r w:rsidR="000E3785" w:rsidRPr="00350FFC">
        <w:rPr>
          <w:rFonts w:ascii="Arial" w:eastAsia="Calibri" w:hAnsi="Arial" w:cs="Arial"/>
          <w:sz w:val="22"/>
          <w:szCs w:val="22"/>
          <w:lang w:val="es-ES" w:eastAsia="en-US"/>
        </w:rPr>
        <w:t xml:space="preserve">, para delimitar de forma más precisa el ámbito de aplicación de cada uno de los documentos tipo será necesario analizar la matriz de experiencia asociada a cada uno de ellos, pues estos aplicarán a los proyectos </w:t>
      </w:r>
      <w:r w:rsidR="00833DB5">
        <w:rPr>
          <w:rFonts w:ascii="Arial" w:eastAsia="Calibri" w:hAnsi="Arial" w:cs="Arial"/>
          <w:sz w:val="22"/>
          <w:szCs w:val="22"/>
          <w:lang w:val="es-ES" w:eastAsia="en-US"/>
        </w:rPr>
        <w:t xml:space="preserve">y/o actividades </w:t>
      </w:r>
      <w:r w:rsidR="000E3785" w:rsidRPr="00350FFC">
        <w:rPr>
          <w:rFonts w:ascii="Arial" w:eastAsia="Calibri" w:hAnsi="Arial" w:cs="Arial"/>
          <w:sz w:val="22"/>
          <w:szCs w:val="22"/>
          <w:lang w:val="es-ES" w:eastAsia="en-US"/>
        </w:rPr>
        <w:t>específi</w:t>
      </w:r>
      <w:r w:rsidR="003C3E9D">
        <w:rPr>
          <w:rFonts w:ascii="Arial" w:eastAsia="Calibri" w:hAnsi="Arial" w:cs="Arial"/>
          <w:sz w:val="22"/>
          <w:szCs w:val="22"/>
          <w:lang w:val="es-ES" w:eastAsia="en-US"/>
        </w:rPr>
        <w:t>cas</w:t>
      </w:r>
      <w:r w:rsidR="000E3785" w:rsidRPr="00350FFC">
        <w:rPr>
          <w:rFonts w:ascii="Arial" w:eastAsia="Calibri" w:hAnsi="Arial" w:cs="Arial"/>
          <w:sz w:val="22"/>
          <w:szCs w:val="22"/>
          <w:lang w:val="es-ES" w:eastAsia="en-US"/>
        </w:rPr>
        <w:t xml:space="preserve"> contemplad</w:t>
      </w:r>
      <w:r w:rsidR="003C3E9D">
        <w:rPr>
          <w:rFonts w:ascii="Arial" w:eastAsia="Calibri" w:hAnsi="Arial" w:cs="Arial"/>
          <w:sz w:val="22"/>
          <w:szCs w:val="22"/>
          <w:lang w:val="es-ES" w:eastAsia="en-US"/>
        </w:rPr>
        <w:t>a</w:t>
      </w:r>
      <w:r w:rsidR="000E3785" w:rsidRPr="00350FFC">
        <w:rPr>
          <w:rFonts w:ascii="Arial" w:eastAsia="Calibri" w:hAnsi="Arial" w:cs="Arial"/>
          <w:sz w:val="22"/>
          <w:szCs w:val="22"/>
          <w:lang w:val="es-ES" w:eastAsia="en-US"/>
        </w:rPr>
        <w:t xml:space="preserve">s en cada una de dichas matrices de experiencia. En </w:t>
      </w:r>
      <w:r w:rsidR="000E3785" w:rsidRPr="00B9084B">
        <w:rPr>
          <w:rFonts w:ascii="Arial" w:eastAsia="Calibri" w:hAnsi="Arial" w:cs="Arial"/>
          <w:sz w:val="22"/>
          <w:szCs w:val="22"/>
          <w:lang w:val="es-ES" w:eastAsia="en-US"/>
        </w:rPr>
        <w:t>este sentido, la matriz de experiencia de cada uno de los documentos tipo, además de estandarizar este importante requisito en los procedimientos de selección</w:t>
      </w:r>
      <w:r w:rsidR="00EA2621" w:rsidRPr="00B9084B">
        <w:rPr>
          <w:rFonts w:ascii="Arial" w:eastAsia="Calibri" w:hAnsi="Arial" w:cs="Arial"/>
          <w:sz w:val="22"/>
          <w:szCs w:val="22"/>
          <w:lang w:val="es-ES" w:eastAsia="en-US"/>
        </w:rPr>
        <w:t>,</w:t>
      </w:r>
      <w:r w:rsidR="000E3785" w:rsidRPr="00B9084B">
        <w:rPr>
          <w:rFonts w:ascii="Arial" w:eastAsia="Calibri" w:hAnsi="Arial" w:cs="Arial"/>
          <w:sz w:val="22"/>
          <w:szCs w:val="22"/>
          <w:lang w:val="es-ES" w:eastAsia="en-US"/>
        </w:rPr>
        <w:t xml:space="preserve"> </w:t>
      </w:r>
      <w:r w:rsidR="000E3785" w:rsidRPr="00B9084B">
        <w:rPr>
          <w:rFonts w:ascii="Arial" w:eastAsia="Calibri" w:hAnsi="Arial" w:cs="Arial"/>
          <w:sz w:val="22"/>
          <w:szCs w:val="22"/>
          <w:lang w:val="es-ES" w:eastAsia="en-US"/>
        </w:rPr>
        <w:lastRenderedPageBreak/>
        <w:t>delimita o precisa el ámbito de aplicación de los mismos, por lo que aplicará</w:t>
      </w:r>
      <w:r w:rsidR="00D845CD" w:rsidRPr="00B9084B">
        <w:rPr>
          <w:rFonts w:ascii="Arial" w:eastAsia="Calibri" w:hAnsi="Arial" w:cs="Arial"/>
          <w:sz w:val="22"/>
          <w:szCs w:val="22"/>
          <w:lang w:val="es-ES" w:eastAsia="en-US"/>
        </w:rPr>
        <w:t>n</w:t>
      </w:r>
      <w:r w:rsidR="000E3785" w:rsidRPr="00B9084B">
        <w:rPr>
          <w:rFonts w:ascii="Arial" w:eastAsia="Calibri" w:hAnsi="Arial" w:cs="Arial"/>
          <w:sz w:val="22"/>
          <w:szCs w:val="22"/>
          <w:lang w:val="es-ES" w:eastAsia="en-US"/>
        </w:rPr>
        <w:t xml:space="preserve"> a las actividades establecidas en cada una de estas matrices</w:t>
      </w:r>
      <w:r w:rsidR="000E3785" w:rsidRPr="00B9084B">
        <w:rPr>
          <w:rStyle w:val="Refdenotaalpie"/>
          <w:rFonts w:ascii="Arial" w:eastAsia="Calibri" w:hAnsi="Arial" w:cs="Arial"/>
          <w:sz w:val="22"/>
          <w:szCs w:val="22"/>
          <w:lang w:val="es-ES" w:eastAsia="en-US"/>
        </w:rPr>
        <w:footnoteReference w:id="7"/>
      </w:r>
      <w:r w:rsidR="000E3785" w:rsidRPr="00B9084B">
        <w:rPr>
          <w:rFonts w:ascii="Arial" w:eastAsia="Calibri" w:hAnsi="Arial" w:cs="Arial"/>
          <w:sz w:val="22"/>
          <w:szCs w:val="22"/>
          <w:lang w:val="es-ES" w:eastAsia="en-US"/>
        </w:rPr>
        <w:t>.</w:t>
      </w:r>
    </w:p>
    <w:p w14:paraId="2E49C617" w14:textId="3528B6FA" w:rsidR="00B324CA" w:rsidRDefault="00212583" w:rsidP="006D71E6">
      <w:pPr>
        <w:spacing w:after="120" w:line="276" w:lineRule="auto"/>
        <w:jc w:val="both"/>
        <w:rPr>
          <w:rFonts w:ascii="Arial" w:hAnsi="Arial" w:cs="Arial"/>
          <w:sz w:val="22"/>
          <w:szCs w:val="22"/>
          <w:lang w:val="es-ES"/>
        </w:rPr>
      </w:pPr>
      <w:r w:rsidRPr="00B9084B">
        <w:rPr>
          <w:rFonts w:ascii="Arial" w:hAnsi="Arial" w:cs="Arial"/>
          <w:sz w:val="22"/>
          <w:szCs w:val="22"/>
          <w:lang w:val="es-ES"/>
        </w:rPr>
        <w:tab/>
      </w:r>
      <w:bookmarkStart w:id="9" w:name="_Hlk104104535"/>
      <w:r w:rsidRPr="00B9084B">
        <w:rPr>
          <w:rFonts w:ascii="Arial" w:hAnsi="Arial" w:cs="Arial"/>
          <w:sz w:val="22"/>
          <w:szCs w:val="22"/>
          <w:lang w:val="es-ES"/>
        </w:rPr>
        <w:t xml:space="preserve">En conclusión, la definición de si a un proceso de contratación le aplican los documentos tipo radicará en si el contrato a ejecutar se enmarca dentro de las actividades establecidas en la </w:t>
      </w:r>
      <w:r w:rsidR="00954ACA" w:rsidRPr="00B9084B">
        <w:rPr>
          <w:rFonts w:ascii="Arial" w:hAnsi="Arial" w:cs="Arial"/>
          <w:sz w:val="22"/>
          <w:szCs w:val="22"/>
          <w:lang w:val="es-ES"/>
        </w:rPr>
        <w:t xml:space="preserve">matriz </w:t>
      </w:r>
      <w:r w:rsidRPr="00B9084B">
        <w:rPr>
          <w:rFonts w:ascii="Arial" w:hAnsi="Arial" w:cs="Arial"/>
          <w:sz w:val="22"/>
          <w:szCs w:val="22"/>
          <w:lang w:val="es-ES"/>
        </w:rPr>
        <w:t>de experiencia del documento tipo, de modo que las entidades estatales sometidas al Estatuto General de Contratación de la Administración Pública deberán aplicar los documentos tipo en dichos supuestos</w:t>
      </w:r>
      <w:r w:rsidR="00CE77CA">
        <w:rPr>
          <w:rFonts w:ascii="Arial" w:hAnsi="Arial" w:cs="Arial"/>
          <w:sz w:val="22"/>
          <w:szCs w:val="22"/>
          <w:lang w:val="es-ES"/>
        </w:rPr>
        <w:t>. En todo caso,</w:t>
      </w:r>
      <w:r w:rsidR="005F25AB">
        <w:rPr>
          <w:rFonts w:ascii="Arial" w:hAnsi="Arial" w:cs="Arial"/>
          <w:sz w:val="22"/>
          <w:szCs w:val="22"/>
          <w:lang w:val="es-ES"/>
        </w:rPr>
        <w:t xml:space="preserve"> independientemente de </w:t>
      </w:r>
      <w:r w:rsidR="001B7791">
        <w:rPr>
          <w:rFonts w:ascii="Arial" w:hAnsi="Arial" w:cs="Arial"/>
          <w:sz w:val="22"/>
          <w:szCs w:val="22"/>
          <w:lang w:val="es-ES"/>
        </w:rPr>
        <w:t xml:space="preserve">la </w:t>
      </w:r>
      <w:r w:rsidR="005F25AB">
        <w:rPr>
          <w:rFonts w:ascii="Arial" w:hAnsi="Arial" w:cs="Arial"/>
          <w:sz w:val="22"/>
          <w:szCs w:val="22"/>
          <w:lang w:val="es-ES"/>
        </w:rPr>
        <w:t xml:space="preserve">correspondencia entre el objeto a contratar </w:t>
      </w:r>
      <w:r w:rsidR="001B7791">
        <w:rPr>
          <w:rFonts w:ascii="Arial" w:hAnsi="Arial" w:cs="Arial"/>
          <w:sz w:val="22"/>
          <w:szCs w:val="22"/>
          <w:lang w:val="es-ES"/>
        </w:rPr>
        <w:t xml:space="preserve">y alguna de las actividades tipificadas en las matrices de experiencia, </w:t>
      </w:r>
      <w:r w:rsidR="00567FC6">
        <w:rPr>
          <w:rFonts w:ascii="Arial" w:hAnsi="Arial" w:cs="Arial"/>
          <w:sz w:val="22"/>
          <w:szCs w:val="22"/>
          <w:lang w:val="es-ES"/>
        </w:rPr>
        <w:t>la aplicación del documento</w:t>
      </w:r>
      <w:r w:rsidR="005B4B3B">
        <w:rPr>
          <w:rFonts w:ascii="Arial" w:hAnsi="Arial" w:cs="Arial"/>
          <w:sz w:val="22"/>
          <w:szCs w:val="22"/>
          <w:lang w:val="es-ES"/>
        </w:rPr>
        <w:t xml:space="preserve"> tipo solo será forzosa, si además el correspondiente documento tipo ha sido expedido </w:t>
      </w:r>
      <w:r w:rsidR="004E632B">
        <w:rPr>
          <w:rFonts w:ascii="Arial" w:hAnsi="Arial" w:cs="Arial"/>
          <w:sz w:val="22"/>
          <w:szCs w:val="22"/>
          <w:lang w:val="es-ES"/>
        </w:rPr>
        <w:t>para la modalidad de escogencia en la que se debe adelantar el proceso</w:t>
      </w:r>
      <w:r w:rsidR="003018AA">
        <w:rPr>
          <w:rFonts w:ascii="Arial" w:hAnsi="Arial" w:cs="Arial"/>
          <w:sz w:val="22"/>
          <w:szCs w:val="22"/>
          <w:lang w:val="es-ES"/>
        </w:rPr>
        <w:t xml:space="preserve"> de selección. </w:t>
      </w:r>
    </w:p>
    <w:p w14:paraId="7C270F3A" w14:textId="77777777" w:rsidR="00552182" w:rsidRDefault="003018AA" w:rsidP="006D71E6">
      <w:pPr>
        <w:spacing w:after="120" w:line="276" w:lineRule="auto"/>
        <w:jc w:val="both"/>
        <w:rPr>
          <w:rFonts w:ascii="Arial" w:hAnsi="Arial" w:cs="Arial"/>
          <w:sz w:val="22"/>
          <w:szCs w:val="22"/>
          <w:lang w:val="es-ES"/>
        </w:rPr>
      </w:pPr>
      <w:bookmarkStart w:id="10" w:name="_Hlk104104642"/>
      <w:bookmarkEnd w:id="9"/>
      <w:r>
        <w:rPr>
          <w:rFonts w:ascii="Arial" w:hAnsi="Arial" w:cs="Arial"/>
          <w:sz w:val="22"/>
          <w:szCs w:val="22"/>
          <w:lang w:val="es-ES"/>
        </w:rPr>
        <w:tab/>
        <w:t xml:space="preserve">Según lo explicado en el numeral anterior, esta Agencia ha expedido </w:t>
      </w:r>
      <w:r w:rsidR="001B6E99">
        <w:rPr>
          <w:rFonts w:ascii="Arial" w:hAnsi="Arial" w:cs="Arial"/>
          <w:sz w:val="22"/>
          <w:szCs w:val="22"/>
          <w:lang w:val="es-ES"/>
        </w:rPr>
        <w:t xml:space="preserve">diversos grupos de documentos tipo aplicables principalmente a </w:t>
      </w:r>
      <w:r w:rsidR="008A20ED">
        <w:rPr>
          <w:rFonts w:ascii="Arial" w:hAnsi="Arial" w:cs="Arial"/>
          <w:sz w:val="22"/>
          <w:szCs w:val="22"/>
          <w:lang w:val="es-ES"/>
        </w:rPr>
        <w:t>la contratación de obras públicas de infraestructura de transporte, agua potable, saneamiento básico y social, pero también para interventoría</w:t>
      </w:r>
      <w:r w:rsidR="006E3615">
        <w:rPr>
          <w:rFonts w:ascii="Arial" w:hAnsi="Arial" w:cs="Arial"/>
          <w:sz w:val="22"/>
          <w:szCs w:val="22"/>
          <w:lang w:val="es-ES"/>
        </w:rPr>
        <w:t xml:space="preserve"> y consultoría de estudios de ingeniería</w:t>
      </w:r>
      <w:r w:rsidR="005A3345">
        <w:rPr>
          <w:rFonts w:ascii="Arial" w:hAnsi="Arial" w:cs="Arial"/>
          <w:sz w:val="22"/>
          <w:szCs w:val="22"/>
          <w:lang w:val="es-ES"/>
        </w:rPr>
        <w:t>. De conformidad</w:t>
      </w:r>
      <w:r w:rsidR="00753F4F">
        <w:rPr>
          <w:rFonts w:ascii="Arial" w:hAnsi="Arial" w:cs="Arial"/>
          <w:sz w:val="22"/>
          <w:szCs w:val="22"/>
          <w:lang w:val="es-ES"/>
        </w:rPr>
        <w:t xml:space="preserve"> con las modalidades de selección establecidas en el artículo 2 de la Ley 1150 de 2007, estos documentos tipo se han expedido para las modalidades de selección de licitación pública, selección abreviada de menor cuantía y concurso de méritos. </w:t>
      </w:r>
    </w:p>
    <w:p w14:paraId="177F12D7" w14:textId="69F50055" w:rsidR="00EF69E2" w:rsidRPr="00EF69E2" w:rsidRDefault="005E608B" w:rsidP="00EF69E2">
      <w:pPr>
        <w:spacing w:line="276" w:lineRule="auto"/>
        <w:ind w:firstLine="720"/>
        <w:contextualSpacing/>
        <w:jc w:val="both"/>
        <w:rPr>
          <w:rFonts w:ascii="Arial" w:eastAsia="Arial" w:hAnsi="Arial" w:cs="Arial"/>
          <w:sz w:val="22"/>
          <w:szCs w:val="22"/>
          <w:lang w:eastAsia="en-US"/>
        </w:rPr>
      </w:pPr>
      <w:r>
        <w:rPr>
          <w:rFonts w:ascii="Arial" w:hAnsi="Arial" w:cs="Arial"/>
          <w:sz w:val="22"/>
          <w:szCs w:val="22"/>
          <w:lang w:val="es-ES"/>
        </w:rPr>
        <w:t>La Agencia también ha expedido</w:t>
      </w:r>
      <w:r w:rsidR="00D4615E">
        <w:rPr>
          <w:rFonts w:ascii="Arial" w:hAnsi="Arial" w:cs="Arial"/>
          <w:sz w:val="22"/>
          <w:szCs w:val="22"/>
          <w:lang w:val="es-ES"/>
        </w:rPr>
        <w:t xml:space="preserve"> </w:t>
      </w:r>
      <w:r>
        <w:rPr>
          <w:rFonts w:ascii="Arial" w:hAnsi="Arial" w:cs="Arial"/>
          <w:sz w:val="22"/>
          <w:szCs w:val="22"/>
          <w:lang w:val="es-ES"/>
        </w:rPr>
        <w:t>documentos tipo para</w:t>
      </w:r>
      <w:r w:rsidR="00D4615E">
        <w:rPr>
          <w:rFonts w:ascii="Arial" w:hAnsi="Arial" w:cs="Arial"/>
          <w:sz w:val="22"/>
          <w:szCs w:val="22"/>
          <w:lang w:val="es-ES"/>
        </w:rPr>
        <w:t xml:space="preserve"> la modalidad de selección de contratación directa, reglamentada en la </w:t>
      </w:r>
      <w:r w:rsidR="003967DE">
        <w:rPr>
          <w:rFonts w:ascii="Arial" w:hAnsi="Arial" w:cs="Arial"/>
          <w:sz w:val="22"/>
          <w:szCs w:val="22"/>
          <w:lang w:val="es-ES"/>
        </w:rPr>
        <w:t>S</w:t>
      </w:r>
      <w:r w:rsidR="00526EEF">
        <w:rPr>
          <w:rFonts w:ascii="Arial" w:hAnsi="Arial" w:cs="Arial"/>
          <w:sz w:val="22"/>
          <w:szCs w:val="22"/>
          <w:lang w:val="es-ES"/>
        </w:rPr>
        <w:t>ubsección 4 de la Sección</w:t>
      </w:r>
      <w:r w:rsidR="003967DE">
        <w:rPr>
          <w:rFonts w:ascii="Arial" w:hAnsi="Arial" w:cs="Arial"/>
          <w:sz w:val="22"/>
          <w:szCs w:val="22"/>
          <w:lang w:val="es-ES"/>
        </w:rPr>
        <w:t xml:space="preserve"> 1 del Capítulo 2</w:t>
      </w:r>
      <w:r w:rsidR="006E3615">
        <w:rPr>
          <w:rFonts w:ascii="Arial" w:hAnsi="Arial" w:cs="Arial"/>
          <w:sz w:val="22"/>
          <w:szCs w:val="22"/>
          <w:lang w:val="es-ES"/>
        </w:rPr>
        <w:t xml:space="preserve"> </w:t>
      </w:r>
      <w:r w:rsidR="003967DE">
        <w:rPr>
          <w:rFonts w:ascii="Arial" w:hAnsi="Arial" w:cs="Arial"/>
          <w:sz w:val="22"/>
          <w:szCs w:val="22"/>
          <w:lang w:val="es-ES"/>
        </w:rPr>
        <w:t xml:space="preserve">del Decreto 1082 de 2015, </w:t>
      </w:r>
      <w:r>
        <w:rPr>
          <w:rFonts w:ascii="Arial" w:hAnsi="Arial" w:cs="Arial"/>
          <w:sz w:val="22"/>
          <w:szCs w:val="22"/>
          <w:lang w:val="es-ES"/>
        </w:rPr>
        <w:t>concretamente, los expedidos mediante la Resolución 269 de 2020</w:t>
      </w:r>
      <w:r w:rsidR="00DC14E1">
        <w:rPr>
          <w:rFonts w:ascii="Arial" w:hAnsi="Arial" w:cs="Arial"/>
          <w:sz w:val="22"/>
          <w:szCs w:val="22"/>
          <w:lang w:val="es-ES"/>
        </w:rPr>
        <w:t>, «</w:t>
      </w:r>
      <w:r w:rsidR="00DC14E1" w:rsidRPr="00DC14E1">
        <w:rPr>
          <w:rFonts w:ascii="Arial" w:hAnsi="Arial" w:cs="Arial"/>
          <w:sz w:val="22"/>
          <w:szCs w:val="22"/>
          <w:lang w:val="es-ES"/>
        </w:rPr>
        <w:t>Por la cual se adopta el documento tipo para los procesos de gestión catastral con</w:t>
      </w:r>
      <w:r w:rsidR="00DC14E1">
        <w:rPr>
          <w:rFonts w:ascii="Arial" w:hAnsi="Arial" w:cs="Arial"/>
          <w:sz w:val="22"/>
          <w:szCs w:val="22"/>
          <w:lang w:val="es-ES"/>
        </w:rPr>
        <w:t xml:space="preserve"> </w:t>
      </w:r>
      <w:r w:rsidR="00DC14E1" w:rsidRPr="00DC14E1">
        <w:rPr>
          <w:rFonts w:ascii="Arial" w:hAnsi="Arial" w:cs="Arial"/>
          <w:sz w:val="22"/>
          <w:szCs w:val="22"/>
          <w:lang w:val="es-ES"/>
        </w:rPr>
        <w:t>enfoque multipropósito que se celebren a través de contratos interadministrativos</w:t>
      </w:r>
      <w:r w:rsidR="00DC14E1">
        <w:rPr>
          <w:rFonts w:ascii="Arial" w:hAnsi="Arial" w:cs="Arial"/>
          <w:sz w:val="22"/>
          <w:szCs w:val="22"/>
          <w:lang w:val="es-ES"/>
        </w:rPr>
        <w:t xml:space="preserve">». A </w:t>
      </w:r>
      <w:r w:rsidR="00AB1173">
        <w:rPr>
          <w:rFonts w:ascii="Arial" w:hAnsi="Arial" w:cs="Arial"/>
          <w:sz w:val="22"/>
          <w:szCs w:val="22"/>
          <w:lang w:val="es-ES"/>
        </w:rPr>
        <w:t>continuación,</w:t>
      </w:r>
      <w:r w:rsidR="00DC14E1">
        <w:rPr>
          <w:rFonts w:ascii="Arial" w:hAnsi="Arial" w:cs="Arial"/>
          <w:sz w:val="22"/>
          <w:szCs w:val="22"/>
          <w:lang w:val="es-ES"/>
        </w:rPr>
        <w:t xml:space="preserve"> se precisa el ámbito de aplicación de estos documentos tipo.  </w:t>
      </w:r>
      <w:r w:rsidR="00DC14E1" w:rsidRPr="00DC14E1">
        <w:rPr>
          <w:rFonts w:ascii="Arial" w:hAnsi="Arial" w:cs="Arial"/>
          <w:sz w:val="22"/>
          <w:szCs w:val="22"/>
          <w:lang w:val="es-ES"/>
        </w:rPr>
        <w:cr/>
      </w:r>
      <w:bookmarkStart w:id="11" w:name="_1fob9te" w:colFirst="0" w:colLast="0"/>
      <w:bookmarkEnd w:id="11"/>
    </w:p>
    <w:bookmarkEnd w:id="10"/>
    <w:p w14:paraId="51A1BDCD" w14:textId="771A9EE2" w:rsidR="00591E2F" w:rsidRPr="001D7CF5" w:rsidRDefault="001D7CF5" w:rsidP="00EA162D">
      <w:pPr>
        <w:spacing w:line="276" w:lineRule="auto"/>
        <w:contextualSpacing/>
        <w:jc w:val="both"/>
        <w:rPr>
          <w:rFonts w:ascii="Arial" w:eastAsia="Calibri" w:hAnsi="Arial" w:cs="Arial"/>
          <w:b/>
          <w:bCs/>
          <w:sz w:val="22"/>
          <w:szCs w:val="22"/>
          <w:lang w:val="es-ES"/>
        </w:rPr>
      </w:pPr>
      <w:r>
        <w:rPr>
          <w:rFonts w:ascii="Arial" w:eastAsia="Calibri" w:hAnsi="Arial" w:cs="Arial"/>
          <w:b/>
          <w:bCs/>
          <w:sz w:val="22"/>
          <w:szCs w:val="22"/>
          <w:lang w:val="es-ES"/>
        </w:rPr>
        <w:t>2.</w:t>
      </w:r>
      <w:r w:rsidR="00DC14E1">
        <w:rPr>
          <w:rFonts w:ascii="Arial" w:eastAsia="Calibri" w:hAnsi="Arial" w:cs="Arial"/>
          <w:b/>
          <w:bCs/>
          <w:sz w:val="22"/>
          <w:szCs w:val="22"/>
          <w:lang w:val="es-ES"/>
        </w:rPr>
        <w:t>3</w:t>
      </w:r>
      <w:r>
        <w:rPr>
          <w:rFonts w:ascii="Arial" w:eastAsia="Calibri" w:hAnsi="Arial" w:cs="Arial"/>
          <w:b/>
          <w:bCs/>
          <w:sz w:val="22"/>
          <w:szCs w:val="22"/>
          <w:lang w:val="es-ES"/>
        </w:rPr>
        <w:t xml:space="preserve">. </w:t>
      </w:r>
      <w:r w:rsidR="00591E2F" w:rsidRPr="001D7CF5">
        <w:rPr>
          <w:rFonts w:ascii="Arial" w:eastAsia="Calibri" w:hAnsi="Arial" w:cs="Arial"/>
          <w:b/>
          <w:bCs/>
          <w:sz w:val="22"/>
          <w:szCs w:val="22"/>
          <w:lang w:val="es-ES"/>
        </w:rPr>
        <w:t>Aplicación del contrato interadministrativo para contratar la prestación del servicio público de gestión catastral: documento tipo </w:t>
      </w:r>
    </w:p>
    <w:p w14:paraId="137B3B76" w14:textId="77777777" w:rsidR="00934D38" w:rsidRDefault="00934D38" w:rsidP="00EA162D">
      <w:pPr>
        <w:spacing w:line="276" w:lineRule="auto"/>
        <w:contextualSpacing/>
        <w:jc w:val="both"/>
        <w:rPr>
          <w:rFonts w:ascii="Arial" w:hAnsi="Arial" w:cs="Arial"/>
          <w:color w:val="FF0000"/>
          <w:sz w:val="22"/>
          <w:szCs w:val="22"/>
          <w:lang w:val="es-ES_tradnl"/>
        </w:rPr>
      </w:pPr>
    </w:p>
    <w:p w14:paraId="7785CF39" w14:textId="2B84118F" w:rsidR="00591E2F" w:rsidRPr="0074116D" w:rsidRDefault="00934D38" w:rsidP="00EA162D">
      <w:pPr>
        <w:spacing w:after="120" w:line="276" w:lineRule="auto"/>
        <w:jc w:val="both"/>
        <w:rPr>
          <w:rFonts w:ascii="Arial" w:hAnsi="Arial" w:cs="Arial"/>
          <w:sz w:val="22"/>
          <w:szCs w:val="22"/>
          <w:lang w:val="es-ES_tradnl"/>
        </w:rPr>
      </w:pPr>
      <w:r w:rsidRPr="009F52A4">
        <w:rPr>
          <w:rFonts w:ascii="Arial" w:hAnsi="Arial" w:cs="Arial"/>
          <w:sz w:val="22"/>
          <w:szCs w:val="22"/>
          <w:lang w:val="es-ES_tradnl"/>
        </w:rPr>
        <w:t>C</w:t>
      </w:r>
      <w:r w:rsidR="00591E2F" w:rsidRPr="009F52A4">
        <w:rPr>
          <w:rFonts w:ascii="Arial" w:hAnsi="Arial" w:cs="Arial"/>
          <w:sz w:val="22"/>
          <w:szCs w:val="22"/>
          <w:lang w:val="es-ES_tradnl"/>
        </w:rPr>
        <w:t xml:space="preserve">on el fin de lograr la formación y actualización catastral de todo el país, era prioritario estructurar e implementar los documentos tipo de catastro multipropósito perfeccionados a través de contratos interadministrativos, que celebren los municipios con los gestores catastrales habilitados. Además, con el propósito de unificar y facilitar la contratación de la gestión catastral de las entidades estatales y, también, cumplir la línea de acción No. 13 </w:t>
      </w:r>
      <w:r w:rsidR="00591E2F" w:rsidRPr="009F52A4">
        <w:rPr>
          <w:rFonts w:ascii="Arial" w:hAnsi="Arial" w:cs="Arial"/>
          <w:sz w:val="22"/>
          <w:szCs w:val="22"/>
          <w:lang w:val="es-ES_tradnl"/>
        </w:rPr>
        <w:lastRenderedPageBreak/>
        <w:t xml:space="preserve">definida en el CONPES 3958 de 2019, fue necesario adoptar el documento tipo de catastro multipropósito, por lo que se expidió la Resolución 269 del 16 de diciembre de 2020, «Por la cual se adopta el documento tipo para los procesos de gestión catastral con enfoque </w:t>
      </w:r>
      <w:r w:rsidR="00591E2F" w:rsidRPr="0074116D">
        <w:rPr>
          <w:rFonts w:ascii="Arial" w:hAnsi="Arial" w:cs="Arial"/>
          <w:sz w:val="22"/>
          <w:szCs w:val="22"/>
          <w:lang w:val="es-ES_tradnl"/>
        </w:rPr>
        <w:t>multipropósito que se celebren a través de contratos interadministrativos».  </w:t>
      </w:r>
    </w:p>
    <w:p w14:paraId="636BA854" w14:textId="77777777" w:rsidR="00591E2F" w:rsidRPr="0074116D" w:rsidRDefault="00591E2F" w:rsidP="00EA162D">
      <w:pPr>
        <w:spacing w:before="120" w:after="120" w:line="276" w:lineRule="auto"/>
        <w:ind w:firstLine="708"/>
        <w:jc w:val="both"/>
        <w:rPr>
          <w:rFonts w:ascii="Arial" w:hAnsi="Arial" w:cs="Arial"/>
          <w:sz w:val="22"/>
          <w:szCs w:val="22"/>
          <w:lang w:val="es-ES_tradnl"/>
        </w:rPr>
      </w:pPr>
      <w:bookmarkStart w:id="12" w:name="_Hlk104104683"/>
      <w:r w:rsidRPr="0074116D">
        <w:rPr>
          <w:rFonts w:ascii="Arial" w:hAnsi="Arial" w:cs="Arial"/>
          <w:sz w:val="22"/>
          <w:szCs w:val="22"/>
          <w:lang w:val="es-ES_tradnl"/>
        </w:rPr>
        <w:t xml:space="preserve">La Resolución 269 de 2020 tiene como objeto lograr la formación y actualización catastral del país, por tanto, los documentos tipo que con ella se adoptan solo aplican en aquellos eventos en que se va a contratar de manera integral la prestación del servicio público de gestión catastral. Por ello, en la referida resolución se indica que «[…] con el fin de lograr la formación y actualización catastral de todo el país, es prioritario estructurar e implementar los documentos tipo de catastro multipropósito celebrados a través de contratos interadministrativos, que celebren los municipios con los gestores catastrales habilitados». Como se observa, desde la misma parte considerativa de la Resolución 269 de 2020 se delimita con claridad el ámbito de aplicación de los documentos tipo y, con ello, de la minuta de contrato interadministrativo. </w:t>
      </w:r>
    </w:p>
    <w:p w14:paraId="34258AA3" w14:textId="77777777" w:rsidR="00591E2F" w:rsidRPr="00C11F23" w:rsidRDefault="00591E2F" w:rsidP="00EA162D">
      <w:pPr>
        <w:spacing w:before="120" w:after="120" w:line="276" w:lineRule="auto"/>
        <w:ind w:firstLine="709"/>
        <w:jc w:val="both"/>
        <w:rPr>
          <w:rFonts w:ascii="Arial" w:eastAsia="Arial" w:hAnsi="Arial" w:cs="Arial"/>
          <w:sz w:val="22"/>
          <w:lang w:val="es-ES" w:eastAsia="es-ES" w:bidi="es-ES"/>
        </w:rPr>
      </w:pPr>
      <w:r w:rsidRPr="00C11F23">
        <w:rPr>
          <w:rFonts w:ascii="Arial" w:hAnsi="Arial" w:cs="Arial"/>
          <w:sz w:val="22"/>
          <w:szCs w:val="22"/>
          <w:lang w:val="es-ES_tradnl"/>
        </w:rPr>
        <w:t>Por el contrario, en todos los demás casos, en que el objeto del contrato sea distinto, cada entidad estatal tendrá autonomía contractual y discrecionalidad administrativa para determinar el tipo contractual idóneo y adecuado. De este modo, resulta claro que la minuta tipo de contrato interadministrativo, contenida en los documentos tipo para los procesos de gestión catastral con enfoque multipropósito, se aplica solo «[…] para contratos interadministrativos de formación o actualización y conservación catastral, que celebre con cualquier gestor catastral habilitado o con el Instituto Geográfico Agustín Codazzi», tal como se indica en la introducción de la minuta tipo. En este sentido, como se señaló en el concepto C-159 del 20 de mayo de 2021 «</w:t>
      </w:r>
      <w:r w:rsidRPr="00C11F23">
        <w:rPr>
          <w:rFonts w:ascii="Arial" w:eastAsia="Arial" w:hAnsi="Arial" w:cs="Arial"/>
          <w:sz w:val="22"/>
          <w:lang w:val="es-ES" w:eastAsia="es-ES" w:bidi="es-ES"/>
        </w:rPr>
        <w:t>la minuta tipo aplica cuando las entidades estatales celebren contratos cuyo objeto consista en la formación o actualización catastral, que lleva ínsita la conservación y difusión catastral, esto es, cuando se realiza la prestación integral del servicio».</w:t>
      </w:r>
    </w:p>
    <w:bookmarkEnd w:id="12"/>
    <w:p w14:paraId="1F446D2D" w14:textId="77777777" w:rsidR="00591E2F" w:rsidRPr="00744060" w:rsidRDefault="00591E2F" w:rsidP="00EA162D">
      <w:pPr>
        <w:spacing w:after="120" w:line="276" w:lineRule="auto"/>
        <w:ind w:firstLine="708"/>
        <w:jc w:val="both"/>
        <w:rPr>
          <w:rFonts w:ascii="Arial" w:hAnsi="Arial" w:cs="Arial"/>
          <w:sz w:val="22"/>
          <w:szCs w:val="22"/>
        </w:rPr>
      </w:pPr>
      <w:r w:rsidRPr="001001A3">
        <w:rPr>
          <w:rFonts w:ascii="Arial" w:hAnsi="Arial" w:cs="Arial"/>
          <w:sz w:val="22"/>
          <w:szCs w:val="22"/>
        </w:rPr>
        <w:t xml:space="preserve">Por tanto, el documento tipo circunscribe su alcance a la contratación del servicio de gestión catastral con enfoque multipropósito que se celebre entre entidades estatales a través de contratos interadministrativos, según el artículo 1 de la referida resolución, únicamente cuando la finalidad sea la </w:t>
      </w:r>
      <w:r w:rsidRPr="001001A3">
        <w:rPr>
          <w:rFonts w:ascii="Arial" w:hAnsi="Arial" w:cs="Arial"/>
          <w:sz w:val="22"/>
          <w:szCs w:val="22"/>
          <w:lang w:val="es-ES_tradnl"/>
        </w:rPr>
        <w:t>formación o actualización catastral, actividades a las que les es inherente la actividad de conservación catastral.</w:t>
      </w:r>
      <w:r w:rsidRPr="001001A3">
        <w:rPr>
          <w:rFonts w:ascii="Arial" w:hAnsi="Arial" w:cs="Arial"/>
          <w:sz w:val="22"/>
          <w:szCs w:val="22"/>
        </w:rPr>
        <w:t xml:space="preserve"> Por ello, la introducción de la minuta tipo establece: «</w:t>
      </w:r>
      <w:r w:rsidRPr="001001A3">
        <w:rPr>
          <w:rFonts w:ascii="Arial" w:hAnsi="Arial" w:cs="Arial"/>
          <w:sz w:val="22"/>
          <w:szCs w:val="22"/>
          <w:lang w:val="es-ES_tradnl"/>
        </w:rPr>
        <w:t>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w:t>
      </w:r>
      <w:r w:rsidRPr="001001A3">
        <w:rPr>
          <w:rFonts w:ascii="Arial" w:hAnsi="Arial" w:cs="Arial"/>
          <w:sz w:val="22"/>
          <w:szCs w:val="22"/>
        </w:rPr>
        <w:t xml:space="preserve">», lo anterior resulta coherente con la cláusula </w:t>
      </w:r>
      <w:r w:rsidRPr="00744060">
        <w:rPr>
          <w:rFonts w:ascii="Arial" w:hAnsi="Arial" w:cs="Arial"/>
          <w:sz w:val="22"/>
          <w:szCs w:val="22"/>
        </w:rPr>
        <w:t>primera –objeto– de la minuta tipo</w:t>
      </w:r>
      <w:r w:rsidRPr="00744060">
        <w:rPr>
          <w:rFonts w:ascii="Arial" w:hAnsi="Arial" w:cs="Arial"/>
          <w:sz w:val="22"/>
          <w:szCs w:val="22"/>
          <w:vertAlign w:val="superscript"/>
        </w:rPr>
        <w:footnoteReference w:id="8"/>
      </w:r>
      <w:r w:rsidRPr="00744060">
        <w:rPr>
          <w:rFonts w:ascii="Arial" w:hAnsi="Arial" w:cs="Arial"/>
          <w:sz w:val="22"/>
          <w:szCs w:val="22"/>
        </w:rPr>
        <w:t xml:space="preserve">. </w:t>
      </w:r>
    </w:p>
    <w:p w14:paraId="1F1D28A6" w14:textId="781A3887" w:rsidR="00591E2F" w:rsidRPr="00744060" w:rsidRDefault="00591E2F" w:rsidP="00EA162D">
      <w:pPr>
        <w:spacing w:before="120" w:after="120" w:line="276" w:lineRule="auto"/>
        <w:ind w:firstLine="708"/>
        <w:jc w:val="both"/>
        <w:rPr>
          <w:rFonts w:ascii="Arial" w:hAnsi="Arial" w:cs="Arial"/>
          <w:sz w:val="22"/>
          <w:szCs w:val="22"/>
          <w:lang w:val="es-ES_tradnl"/>
        </w:rPr>
      </w:pPr>
      <w:r w:rsidRPr="00744060">
        <w:rPr>
          <w:rFonts w:ascii="Arial" w:hAnsi="Arial" w:cs="Arial"/>
          <w:sz w:val="22"/>
          <w:szCs w:val="22"/>
          <w:lang w:val="es-ES_tradnl"/>
        </w:rPr>
        <w:lastRenderedPageBreak/>
        <w:t xml:space="preserve">Ahora bien, el argumento principal que fundamenta el enfoque regulatorio utilizado por la Agencia para la adopción de dicho documento tipo, esto es, una minuta de contrato </w:t>
      </w:r>
      <w:r w:rsidR="00E9103F" w:rsidRPr="00744060">
        <w:rPr>
          <w:rFonts w:ascii="Arial" w:hAnsi="Arial" w:cs="Arial"/>
          <w:sz w:val="22"/>
          <w:szCs w:val="22"/>
          <w:lang w:val="es-ES_tradnl"/>
        </w:rPr>
        <w:t>interadministrativo</w:t>
      </w:r>
      <w:r w:rsidR="00294EB2" w:rsidRPr="00744060">
        <w:rPr>
          <w:rFonts w:ascii="Arial" w:hAnsi="Arial" w:cs="Arial"/>
          <w:sz w:val="22"/>
          <w:szCs w:val="22"/>
          <w:lang w:val="es-ES_tradnl"/>
        </w:rPr>
        <w:t>,</w:t>
      </w:r>
      <w:r w:rsidRPr="00744060">
        <w:rPr>
          <w:rFonts w:ascii="Arial" w:hAnsi="Arial" w:cs="Arial"/>
          <w:sz w:val="22"/>
          <w:szCs w:val="22"/>
          <w:lang w:val="es-ES_tradnl"/>
        </w:rPr>
        <w:t xml:space="preserve"> </w:t>
      </w:r>
      <w:r w:rsidR="00294EB2" w:rsidRPr="00744060">
        <w:rPr>
          <w:rFonts w:ascii="Arial" w:hAnsi="Arial" w:cs="Arial"/>
          <w:sz w:val="22"/>
          <w:szCs w:val="22"/>
          <w:lang w:val="es-ES_tradnl"/>
        </w:rPr>
        <w:t>es la</w:t>
      </w:r>
      <w:r w:rsidRPr="00744060">
        <w:rPr>
          <w:rFonts w:ascii="Arial" w:hAnsi="Arial" w:cs="Arial"/>
          <w:sz w:val="22"/>
          <w:szCs w:val="22"/>
          <w:lang w:val="es-ES_tradnl"/>
        </w:rPr>
        <w:t xml:space="preserve"> sujeción estricta al principio de legalidad, de manera que se apoya en la normativa legal y reglamentaria que regula la prestación del servicio público de gestión catastral, cuando se acude a celebrar un contrato para el desarrollo de esta actividad. Esto es, cuando no se desarrolla la gestión catastral de manera directa, por la entidad territorial no estar habilitada como gestor catastral.</w:t>
      </w:r>
    </w:p>
    <w:p w14:paraId="3CAD1EDA" w14:textId="77777777" w:rsidR="00591E2F" w:rsidRPr="00744060" w:rsidRDefault="00591E2F" w:rsidP="00591E2F">
      <w:pPr>
        <w:spacing w:before="120" w:line="276" w:lineRule="auto"/>
        <w:ind w:firstLine="708"/>
        <w:jc w:val="both"/>
        <w:rPr>
          <w:rFonts w:ascii="Arial" w:hAnsi="Arial" w:cs="Arial"/>
          <w:sz w:val="22"/>
          <w:szCs w:val="22"/>
          <w:lang w:val="es-ES_tradnl"/>
        </w:rPr>
      </w:pPr>
      <w:r w:rsidRPr="00744060">
        <w:rPr>
          <w:rFonts w:ascii="Arial" w:hAnsi="Arial" w:cs="Arial"/>
          <w:sz w:val="22"/>
          <w:szCs w:val="22"/>
          <w:lang w:val="es-ES_tradnl"/>
        </w:rPr>
        <w:t>Como se indicó, en particular, el artículo 2.2.2.5.6 del Decreto 1170 de 2015, modificado por el Decreto 1983 de 2019, normativa que regula la habilitación de los gestores catastrales y los requisitos de idoneidad de los operadores catastrales, dispone que las entidades territoriales que no estén habilitadas podrán contratar a un gestor catastral en los términos de dicho Decreto para la prestación de ese servicio público. Además, en su artículo 2.2.2.5.7 se establece que la contratación del gestor catastral se sujetará a las siguientes reglas, prescribiendo explícitamente que se realizará mediante contrato interadministrativo:</w:t>
      </w:r>
    </w:p>
    <w:p w14:paraId="58857406" w14:textId="77777777" w:rsidR="00591E2F" w:rsidRPr="00744060" w:rsidRDefault="00591E2F" w:rsidP="00EA162D">
      <w:pPr>
        <w:spacing w:line="276" w:lineRule="auto"/>
        <w:ind w:firstLine="708"/>
        <w:contextualSpacing/>
        <w:jc w:val="both"/>
        <w:rPr>
          <w:rFonts w:ascii="Arial" w:hAnsi="Arial" w:cs="Arial"/>
          <w:sz w:val="22"/>
          <w:szCs w:val="22"/>
          <w:lang w:val="es-ES_tradnl"/>
        </w:rPr>
      </w:pPr>
    </w:p>
    <w:p w14:paraId="12C0FA6D" w14:textId="534E346B" w:rsidR="00591E2F" w:rsidRPr="00744060" w:rsidRDefault="00591E2F" w:rsidP="00EA162D">
      <w:pPr>
        <w:ind w:left="709" w:right="709"/>
        <w:contextualSpacing/>
        <w:jc w:val="both"/>
        <w:rPr>
          <w:rFonts w:ascii="Arial" w:hAnsi="Arial" w:cs="Arial"/>
          <w:sz w:val="21"/>
          <w:szCs w:val="21"/>
          <w:lang w:val="es-ES_tradnl"/>
        </w:rPr>
      </w:pPr>
      <w:r w:rsidRPr="00744060">
        <w:rPr>
          <w:rFonts w:ascii="Arial" w:hAnsi="Arial" w:cs="Arial"/>
          <w:sz w:val="21"/>
          <w:szCs w:val="21"/>
          <w:lang w:val="es-ES_tradnl"/>
        </w:rPr>
        <w:t>Artículo</w:t>
      </w:r>
      <w:r w:rsidRPr="00744060">
        <w:rPr>
          <w:rFonts w:ascii="Arial" w:hAnsi="Arial" w:cs="Arial"/>
          <w:spacing w:val="-10"/>
          <w:sz w:val="21"/>
          <w:szCs w:val="21"/>
          <w:lang w:val="es-ES_tradnl"/>
        </w:rPr>
        <w:t> </w:t>
      </w:r>
      <w:r w:rsidRPr="00744060">
        <w:rPr>
          <w:rFonts w:ascii="Arial" w:hAnsi="Arial" w:cs="Arial"/>
          <w:sz w:val="21"/>
          <w:szCs w:val="21"/>
          <w:lang w:val="es-ES_tradnl"/>
        </w:rPr>
        <w:t>2.2.2.5.7.</w:t>
      </w:r>
      <w:r w:rsidRPr="00744060">
        <w:rPr>
          <w:rFonts w:ascii="Arial" w:hAnsi="Arial" w:cs="Arial"/>
          <w:spacing w:val="-11"/>
          <w:sz w:val="21"/>
          <w:szCs w:val="21"/>
          <w:lang w:val="es-ES_tradnl"/>
        </w:rPr>
        <w:t> </w:t>
      </w:r>
      <w:r w:rsidRPr="00744060">
        <w:rPr>
          <w:rFonts w:ascii="Arial" w:hAnsi="Arial" w:cs="Arial"/>
          <w:sz w:val="21"/>
          <w:szCs w:val="21"/>
          <w:lang w:val="es-ES_tradnl"/>
        </w:rPr>
        <w:t>Condiciones</w:t>
      </w:r>
      <w:r w:rsidRPr="00744060">
        <w:rPr>
          <w:rFonts w:ascii="Arial" w:hAnsi="Arial" w:cs="Arial"/>
          <w:spacing w:val="-11"/>
          <w:sz w:val="21"/>
          <w:szCs w:val="21"/>
          <w:lang w:val="es-ES_tradnl"/>
        </w:rPr>
        <w:t> </w:t>
      </w:r>
      <w:r w:rsidRPr="00744060">
        <w:rPr>
          <w:rFonts w:ascii="Arial" w:hAnsi="Arial" w:cs="Arial"/>
          <w:sz w:val="21"/>
          <w:szCs w:val="21"/>
          <w:lang w:val="es-ES_tradnl"/>
        </w:rPr>
        <w:t>de</w:t>
      </w:r>
      <w:r w:rsidRPr="00744060">
        <w:rPr>
          <w:rFonts w:ascii="Arial" w:hAnsi="Arial" w:cs="Arial"/>
          <w:spacing w:val="-12"/>
          <w:sz w:val="21"/>
          <w:szCs w:val="21"/>
          <w:lang w:val="es-ES_tradnl"/>
        </w:rPr>
        <w:t> </w:t>
      </w:r>
      <w:r w:rsidRPr="00744060">
        <w:rPr>
          <w:rFonts w:ascii="Arial" w:hAnsi="Arial" w:cs="Arial"/>
          <w:sz w:val="21"/>
          <w:szCs w:val="21"/>
          <w:lang w:val="es-ES_tradnl"/>
        </w:rPr>
        <w:t>la</w:t>
      </w:r>
      <w:r w:rsidRPr="00744060">
        <w:rPr>
          <w:rFonts w:ascii="Arial" w:hAnsi="Arial" w:cs="Arial"/>
          <w:spacing w:val="-12"/>
          <w:sz w:val="21"/>
          <w:szCs w:val="21"/>
          <w:lang w:val="es-ES_tradnl"/>
        </w:rPr>
        <w:t> </w:t>
      </w:r>
      <w:r w:rsidRPr="00744060">
        <w:rPr>
          <w:rFonts w:ascii="Arial" w:hAnsi="Arial" w:cs="Arial"/>
          <w:sz w:val="21"/>
          <w:szCs w:val="21"/>
          <w:lang w:val="es-ES_tradnl"/>
        </w:rPr>
        <w:t>contratación</w:t>
      </w:r>
      <w:r w:rsidRPr="00744060">
        <w:rPr>
          <w:rFonts w:ascii="Arial" w:hAnsi="Arial" w:cs="Arial"/>
          <w:spacing w:val="-12"/>
          <w:sz w:val="21"/>
          <w:szCs w:val="21"/>
          <w:lang w:val="es-ES_tradnl"/>
        </w:rPr>
        <w:t> </w:t>
      </w:r>
      <w:r w:rsidRPr="00744060">
        <w:rPr>
          <w:rFonts w:ascii="Arial" w:hAnsi="Arial" w:cs="Arial"/>
          <w:sz w:val="21"/>
          <w:szCs w:val="21"/>
          <w:lang w:val="es-ES_tradnl"/>
        </w:rPr>
        <w:t>de</w:t>
      </w:r>
      <w:r w:rsidRPr="00744060">
        <w:rPr>
          <w:rFonts w:ascii="Arial" w:hAnsi="Arial" w:cs="Arial"/>
          <w:spacing w:val="-12"/>
          <w:sz w:val="21"/>
          <w:szCs w:val="21"/>
          <w:lang w:val="es-ES_tradnl"/>
        </w:rPr>
        <w:t> </w:t>
      </w:r>
      <w:r w:rsidRPr="00744060">
        <w:rPr>
          <w:rFonts w:ascii="Arial" w:hAnsi="Arial" w:cs="Arial"/>
          <w:sz w:val="21"/>
          <w:szCs w:val="21"/>
          <w:lang w:val="es-ES_tradnl"/>
        </w:rPr>
        <w:t>gestores</w:t>
      </w:r>
      <w:r w:rsidRPr="00744060">
        <w:rPr>
          <w:rFonts w:ascii="Arial" w:hAnsi="Arial" w:cs="Arial"/>
          <w:spacing w:val="-10"/>
          <w:sz w:val="21"/>
          <w:szCs w:val="21"/>
          <w:lang w:val="es-ES_tradnl"/>
        </w:rPr>
        <w:t> </w:t>
      </w:r>
      <w:r w:rsidRPr="00744060">
        <w:rPr>
          <w:rFonts w:ascii="Arial" w:hAnsi="Arial" w:cs="Arial"/>
          <w:sz w:val="21"/>
          <w:szCs w:val="21"/>
          <w:lang w:val="es-ES_tradnl"/>
        </w:rPr>
        <w:t>catastrales. La contratación de que habla el artículo anterior deberá sujetarse a las siguientes</w:t>
      </w:r>
      <w:r w:rsidRPr="00744060">
        <w:rPr>
          <w:rFonts w:ascii="Arial" w:hAnsi="Arial" w:cs="Arial"/>
          <w:spacing w:val="-1"/>
          <w:sz w:val="21"/>
          <w:szCs w:val="21"/>
          <w:lang w:val="es-ES_tradnl"/>
        </w:rPr>
        <w:t> </w:t>
      </w:r>
      <w:r w:rsidRPr="00744060">
        <w:rPr>
          <w:rFonts w:ascii="Arial" w:hAnsi="Arial" w:cs="Arial"/>
          <w:sz w:val="21"/>
          <w:szCs w:val="21"/>
          <w:lang w:val="es-ES_tradnl"/>
        </w:rPr>
        <w:t>condiciones: </w:t>
      </w:r>
    </w:p>
    <w:p w14:paraId="1FD2DB86" w14:textId="77777777" w:rsidR="00EA162D" w:rsidRPr="00744060" w:rsidRDefault="00EA162D" w:rsidP="00EA162D">
      <w:pPr>
        <w:ind w:left="709" w:right="709"/>
        <w:contextualSpacing/>
        <w:jc w:val="both"/>
        <w:rPr>
          <w:rFonts w:ascii="Arial" w:hAnsi="Arial" w:cs="Arial"/>
          <w:sz w:val="21"/>
          <w:szCs w:val="21"/>
        </w:rPr>
      </w:pPr>
    </w:p>
    <w:p w14:paraId="1053DED3" w14:textId="773C6BFC" w:rsidR="00591E2F" w:rsidRPr="00744060" w:rsidRDefault="00591E2F" w:rsidP="00EA162D">
      <w:pPr>
        <w:numPr>
          <w:ilvl w:val="1"/>
          <w:numId w:val="1"/>
        </w:numPr>
        <w:ind w:left="993" w:right="709"/>
        <w:contextualSpacing/>
        <w:jc w:val="both"/>
        <w:rPr>
          <w:rFonts w:ascii="Arial" w:hAnsi="Arial" w:cs="Arial"/>
          <w:sz w:val="21"/>
          <w:szCs w:val="21"/>
        </w:rPr>
      </w:pPr>
      <w:r w:rsidRPr="00744060">
        <w:rPr>
          <w:rFonts w:ascii="Arial" w:hAnsi="Arial" w:cs="Arial"/>
          <w:sz w:val="21"/>
          <w:szCs w:val="21"/>
          <w:lang w:val="es-ES_tradnl"/>
        </w:rPr>
        <w:t>El gestor catastral contratado debe contar con una habilitación vigente para prestar el servicio público de gestión</w:t>
      </w:r>
      <w:r w:rsidRPr="00744060">
        <w:rPr>
          <w:rFonts w:ascii="Arial" w:hAnsi="Arial" w:cs="Arial"/>
          <w:spacing w:val="-11"/>
          <w:sz w:val="21"/>
          <w:szCs w:val="21"/>
          <w:lang w:val="es-ES_tradnl"/>
        </w:rPr>
        <w:t> </w:t>
      </w:r>
      <w:r w:rsidRPr="00744060">
        <w:rPr>
          <w:rFonts w:ascii="Arial" w:hAnsi="Arial" w:cs="Arial"/>
          <w:sz w:val="21"/>
          <w:szCs w:val="21"/>
          <w:lang w:val="es-ES_tradnl"/>
        </w:rPr>
        <w:t>catastral. </w:t>
      </w:r>
    </w:p>
    <w:p w14:paraId="64078740" w14:textId="77777777" w:rsidR="00EA162D" w:rsidRPr="00744060" w:rsidRDefault="00EA162D" w:rsidP="00EA162D">
      <w:pPr>
        <w:ind w:left="993" w:right="709"/>
        <w:contextualSpacing/>
        <w:jc w:val="both"/>
        <w:rPr>
          <w:rFonts w:ascii="Arial" w:hAnsi="Arial" w:cs="Arial"/>
          <w:sz w:val="21"/>
          <w:szCs w:val="21"/>
        </w:rPr>
      </w:pPr>
    </w:p>
    <w:p w14:paraId="7C97F31B" w14:textId="7A3DD17F" w:rsidR="00591E2F" w:rsidRPr="00744060" w:rsidRDefault="00591E2F" w:rsidP="00EA162D">
      <w:pPr>
        <w:numPr>
          <w:ilvl w:val="1"/>
          <w:numId w:val="1"/>
        </w:numPr>
        <w:ind w:left="993" w:right="709"/>
        <w:contextualSpacing/>
        <w:jc w:val="both"/>
        <w:rPr>
          <w:rFonts w:ascii="Arial" w:hAnsi="Arial" w:cs="Arial"/>
          <w:sz w:val="21"/>
          <w:szCs w:val="21"/>
        </w:rPr>
      </w:pPr>
      <w:r w:rsidRPr="00744060">
        <w:rPr>
          <w:rFonts w:ascii="Arial" w:hAnsi="Arial" w:cs="Arial"/>
          <w:sz w:val="21"/>
          <w:szCs w:val="21"/>
          <w:lang w:val="es-ES_tradnl"/>
        </w:rPr>
        <w:t>Teniendo</w:t>
      </w:r>
      <w:r w:rsidRPr="00744060">
        <w:rPr>
          <w:rFonts w:ascii="Arial" w:hAnsi="Arial" w:cs="Arial"/>
          <w:spacing w:val="-11"/>
          <w:sz w:val="21"/>
          <w:szCs w:val="21"/>
          <w:lang w:val="es-ES_tradnl"/>
        </w:rPr>
        <w:t> </w:t>
      </w:r>
      <w:r w:rsidRPr="00744060">
        <w:rPr>
          <w:rFonts w:ascii="Arial" w:hAnsi="Arial" w:cs="Arial"/>
          <w:sz w:val="21"/>
          <w:szCs w:val="21"/>
          <w:lang w:val="es-ES_tradnl"/>
        </w:rPr>
        <w:t>en</w:t>
      </w:r>
      <w:r w:rsidRPr="00744060">
        <w:rPr>
          <w:rFonts w:ascii="Arial" w:hAnsi="Arial" w:cs="Arial"/>
          <w:spacing w:val="-12"/>
          <w:sz w:val="21"/>
          <w:szCs w:val="21"/>
          <w:lang w:val="es-ES_tradnl"/>
        </w:rPr>
        <w:t> </w:t>
      </w:r>
      <w:r w:rsidRPr="00744060">
        <w:rPr>
          <w:rFonts w:ascii="Arial" w:hAnsi="Arial" w:cs="Arial"/>
          <w:sz w:val="21"/>
          <w:szCs w:val="21"/>
          <w:lang w:val="es-ES_tradnl"/>
        </w:rPr>
        <w:t>cuenta la</w:t>
      </w:r>
      <w:r w:rsidRPr="00744060">
        <w:rPr>
          <w:rFonts w:ascii="Arial" w:hAnsi="Arial" w:cs="Arial"/>
          <w:spacing w:val="-12"/>
          <w:sz w:val="21"/>
          <w:szCs w:val="21"/>
          <w:lang w:val="es-ES_tradnl"/>
        </w:rPr>
        <w:t> </w:t>
      </w:r>
      <w:r w:rsidRPr="00744060">
        <w:rPr>
          <w:rFonts w:ascii="Arial" w:hAnsi="Arial" w:cs="Arial"/>
          <w:sz w:val="21"/>
          <w:szCs w:val="21"/>
          <w:lang w:val="es-ES_tradnl"/>
        </w:rPr>
        <w:t>naturaleza</w:t>
      </w:r>
      <w:r w:rsidRPr="00744060">
        <w:rPr>
          <w:rFonts w:ascii="Arial" w:hAnsi="Arial" w:cs="Arial"/>
          <w:spacing w:val="-10"/>
          <w:sz w:val="21"/>
          <w:szCs w:val="21"/>
          <w:lang w:val="es-ES_tradnl"/>
        </w:rPr>
        <w:t> </w:t>
      </w:r>
      <w:r w:rsidRPr="00744060">
        <w:rPr>
          <w:rFonts w:ascii="Arial" w:hAnsi="Arial" w:cs="Arial"/>
          <w:sz w:val="21"/>
          <w:szCs w:val="21"/>
          <w:lang w:val="es-ES_tradnl"/>
        </w:rPr>
        <w:t>de</w:t>
      </w:r>
      <w:r w:rsidRPr="00744060">
        <w:rPr>
          <w:rFonts w:ascii="Arial" w:hAnsi="Arial" w:cs="Arial"/>
          <w:spacing w:val="-12"/>
          <w:sz w:val="21"/>
          <w:szCs w:val="21"/>
          <w:lang w:val="es-ES_tradnl"/>
        </w:rPr>
        <w:t> </w:t>
      </w:r>
      <w:r w:rsidRPr="00744060">
        <w:rPr>
          <w:rFonts w:ascii="Arial" w:hAnsi="Arial" w:cs="Arial"/>
          <w:sz w:val="21"/>
          <w:szCs w:val="21"/>
          <w:lang w:val="es-ES_tradnl"/>
        </w:rPr>
        <w:t>las</w:t>
      </w:r>
      <w:r w:rsidRPr="00744060">
        <w:rPr>
          <w:rFonts w:ascii="Arial" w:hAnsi="Arial" w:cs="Arial"/>
          <w:spacing w:val="-11"/>
          <w:sz w:val="21"/>
          <w:szCs w:val="21"/>
          <w:lang w:val="es-ES_tradnl"/>
        </w:rPr>
        <w:t> </w:t>
      </w:r>
      <w:r w:rsidRPr="00744060">
        <w:rPr>
          <w:rFonts w:ascii="Arial" w:hAnsi="Arial" w:cs="Arial"/>
          <w:sz w:val="21"/>
          <w:szCs w:val="21"/>
          <w:lang w:val="es-ES_tradnl"/>
        </w:rPr>
        <w:t>partes, la</w:t>
      </w:r>
      <w:r w:rsidRPr="00744060">
        <w:rPr>
          <w:rFonts w:ascii="Arial" w:hAnsi="Arial" w:cs="Arial"/>
          <w:spacing w:val="-11"/>
          <w:sz w:val="21"/>
          <w:szCs w:val="21"/>
          <w:lang w:val="es-ES_tradnl"/>
        </w:rPr>
        <w:t> </w:t>
      </w:r>
      <w:r w:rsidRPr="00744060">
        <w:rPr>
          <w:rFonts w:ascii="Arial" w:hAnsi="Arial" w:cs="Arial"/>
          <w:sz w:val="21"/>
          <w:szCs w:val="21"/>
          <w:lang w:val="es-ES_tradnl"/>
        </w:rPr>
        <w:t>selección</w:t>
      </w:r>
      <w:r w:rsidRPr="00744060">
        <w:rPr>
          <w:rFonts w:ascii="Arial" w:hAnsi="Arial" w:cs="Arial"/>
          <w:spacing w:val="-12"/>
          <w:sz w:val="21"/>
          <w:szCs w:val="21"/>
          <w:lang w:val="es-ES_tradnl"/>
        </w:rPr>
        <w:t> </w:t>
      </w:r>
      <w:r w:rsidRPr="00744060">
        <w:rPr>
          <w:rFonts w:ascii="Arial" w:hAnsi="Arial" w:cs="Arial"/>
          <w:sz w:val="21"/>
          <w:szCs w:val="21"/>
          <w:lang w:val="es-ES_tradnl"/>
        </w:rPr>
        <w:t>del</w:t>
      </w:r>
      <w:r w:rsidRPr="00744060">
        <w:rPr>
          <w:rFonts w:ascii="Arial" w:hAnsi="Arial" w:cs="Arial"/>
          <w:spacing w:val="-12"/>
          <w:sz w:val="21"/>
          <w:szCs w:val="21"/>
          <w:lang w:val="es-ES_tradnl"/>
        </w:rPr>
        <w:t> </w:t>
      </w:r>
      <w:r w:rsidRPr="00744060">
        <w:rPr>
          <w:rFonts w:ascii="Arial" w:hAnsi="Arial" w:cs="Arial"/>
          <w:sz w:val="21"/>
          <w:szCs w:val="21"/>
          <w:lang w:val="es-ES_tradnl"/>
        </w:rPr>
        <w:t>contratista para la prestación del servicio público catastral podrá realizarse a través de contratación directa, observando los principios de selección objetiva y transparencia, </w:t>
      </w:r>
      <w:r w:rsidRPr="00744060">
        <w:rPr>
          <w:rFonts w:ascii="Arial" w:hAnsi="Arial" w:cs="Arial"/>
          <w:i/>
          <w:iCs/>
          <w:sz w:val="21"/>
          <w:szCs w:val="21"/>
          <w:lang w:val="es-ES_tradnl"/>
        </w:rPr>
        <w:t>por tratarse de un contrato</w:t>
      </w:r>
      <w:r w:rsidRPr="00744060">
        <w:rPr>
          <w:rFonts w:ascii="Arial" w:hAnsi="Arial" w:cs="Arial"/>
          <w:i/>
          <w:iCs/>
          <w:spacing w:val="-9"/>
          <w:sz w:val="21"/>
          <w:szCs w:val="21"/>
          <w:lang w:val="es-ES_tradnl"/>
        </w:rPr>
        <w:t> </w:t>
      </w:r>
      <w:r w:rsidRPr="00744060">
        <w:rPr>
          <w:rFonts w:ascii="Arial" w:hAnsi="Arial" w:cs="Arial"/>
          <w:i/>
          <w:iCs/>
          <w:sz w:val="21"/>
          <w:szCs w:val="21"/>
          <w:lang w:val="es-ES_tradnl"/>
        </w:rPr>
        <w:t>interadministrativo</w:t>
      </w:r>
      <w:r w:rsidRPr="00744060">
        <w:rPr>
          <w:rFonts w:ascii="Arial" w:hAnsi="Arial" w:cs="Arial"/>
          <w:sz w:val="21"/>
          <w:szCs w:val="21"/>
          <w:lang w:val="es-ES_tradnl"/>
        </w:rPr>
        <w:t xml:space="preserve"> […] </w:t>
      </w:r>
    </w:p>
    <w:p w14:paraId="69D78CF9" w14:textId="77777777" w:rsidR="00EA162D" w:rsidRDefault="00EA162D" w:rsidP="00591E2F">
      <w:pPr>
        <w:widowControl w:val="0"/>
        <w:autoSpaceDE w:val="0"/>
        <w:autoSpaceDN w:val="0"/>
        <w:spacing w:line="276" w:lineRule="auto"/>
        <w:ind w:firstLine="709"/>
        <w:jc w:val="both"/>
        <w:rPr>
          <w:rFonts w:ascii="Arial" w:eastAsia="Arial" w:hAnsi="Arial" w:cs="Arial"/>
          <w:color w:val="FF0000"/>
          <w:sz w:val="22"/>
          <w:szCs w:val="22"/>
          <w:lang w:val="es-ES_tradnl" w:eastAsia="en-US"/>
        </w:rPr>
      </w:pPr>
    </w:p>
    <w:p w14:paraId="6C564453" w14:textId="20510D4E" w:rsidR="00591E2F" w:rsidRPr="00A70F4D" w:rsidRDefault="00591E2F" w:rsidP="00A70F4D">
      <w:pPr>
        <w:widowControl w:val="0"/>
        <w:autoSpaceDE w:val="0"/>
        <w:autoSpaceDN w:val="0"/>
        <w:spacing w:after="120" w:line="276" w:lineRule="auto"/>
        <w:ind w:firstLine="709"/>
        <w:jc w:val="both"/>
        <w:rPr>
          <w:rFonts w:ascii="Arial" w:eastAsia="Arial" w:hAnsi="Arial" w:cs="Arial"/>
          <w:sz w:val="22"/>
          <w:szCs w:val="22"/>
          <w:lang w:val="es-ES" w:eastAsia="en-US"/>
        </w:rPr>
      </w:pPr>
      <w:r w:rsidRPr="00A70F4D">
        <w:rPr>
          <w:rFonts w:ascii="Arial" w:eastAsia="Arial" w:hAnsi="Arial" w:cs="Arial"/>
          <w:sz w:val="22"/>
          <w:szCs w:val="22"/>
          <w:lang w:val="es-ES_tradnl" w:eastAsia="en-US"/>
        </w:rPr>
        <w:t>De conformidad con lo anterior, resulta claro que el Decreto 1170 de 2015– artículos 2.2.2.5.6 y 2.2.2.5.7– establece que el esquema para contratar la prestación del</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servicio</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público de</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gestión</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catastral,</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a</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través</w:t>
      </w:r>
      <w:r w:rsidRPr="00A70F4D">
        <w:rPr>
          <w:rFonts w:ascii="Arial" w:eastAsia="Arial" w:hAnsi="Arial" w:cs="Arial"/>
          <w:spacing w:val="-16"/>
          <w:sz w:val="22"/>
          <w:szCs w:val="22"/>
          <w:lang w:val="es-ES_tradnl" w:eastAsia="en-US"/>
        </w:rPr>
        <w:t> </w:t>
      </w:r>
      <w:r w:rsidRPr="00A70F4D">
        <w:rPr>
          <w:rFonts w:ascii="Arial" w:eastAsia="Arial" w:hAnsi="Arial" w:cs="Arial"/>
          <w:sz w:val="22"/>
          <w:szCs w:val="22"/>
          <w:lang w:val="es-ES_tradnl" w:eastAsia="en-US"/>
        </w:rPr>
        <w:t>de</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la</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contratación</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de</w:t>
      </w:r>
      <w:r w:rsidRPr="00A70F4D">
        <w:rPr>
          <w:rFonts w:ascii="Arial" w:eastAsia="Arial" w:hAnsi="Arial" w:cs="Arial"/>
          <w:spacing w:val="-17"/>
          <w:sz w:val="22"/>
          <w:szCs w:val="22"/>
          <w:lang w:val="es-ES_tradnl" w:eastAsia="en-US"/>
        </w:rPr>
        <w:t> </w:t>
      </w:r>
      <w:r w:rsidRPr="00A70F4D">
        <w:rPr>
          <w:rFonts w:ascii="Arial" w:eastAsia="Arial" w:hAnsi="Arial" w:cs="Arial"/>
          <w:sz w:val="22"/>
          <w:szCs w:val="22"/>
          <w:lang w:val="es-ES_tradnl" w:eastAsia="en-US"/>
        </w:rPr>
        <w:t>un</w:t>
      </w:r>
      <w:r w:rsidR="00A70F4D" w:rsidRPr="00A70F4D">
        <w:rPr>
          <w:rFonts w:ascii="Arial" w:eastAsia="Arial" w:hAnsi="Arial" w:cs="Arial"/>
          <w:sz w:val="22"/>
          <w:szCs w:val="22"/>
          <w:lang w:val="es-ES_tradnl" w:eastAsia="en-US"/>
        </w:rPr>
        <w:t xml:space="preserve"> </w:t>
      </w:r>
      <w:r w:rsidRPr="00A70F4D">
        <w:rPr>
          <w:rFonts w:ascii="Arial" w:eastAsia="Arial" w:hAnsi="Arial" w:cs="Arial"/>
          <w:sz w:val="22"/>
          <w:szCs w:val="22"/>
          <w:lang w:val="es-ES_tradnl" w:eastAsia="en-US"/>
        </w:rPr>
        <w:t>gestor catastral debidamente habilitado, se debe realizar mediante la celebración de un contrato interadministrativo. </w:t>
      </w:r>
    </w:p>
    <w:p w14:paraId="4488052F" w14:textId="48E3C496" w:rsidR="00591E2F" w:rsidRPr="00A70F4D" w:rsidRDefault="00591E2F" w:rsidP="00A70F4D">
      <w:pPr>
        <w:widowControl w:val="0"/>
        <w:autoSpaceDE w:val="0"/>
        <w:autoSpaceDN w:val="0"/>
        <w:spacing w:before="120" w:after="120" w:line="276" w:lineRule="auto"/>
        <w:ind w:firstLine="709"/>
        <w:jc w:val="both"/>
        <w:rPr>
          <w:rFonts w:ascii="Arial" w:eastAsia="Arial" w:hAnsi="Arial" w:cs="Arial"/>
          <w:sz w:val="22"/>
          <w:szCs w:val="22"/>
          <w:lang w:val="es-ES_tradnl" w:eastAsia="en-US"/>
        </w:rPr>
      </w:pPr>
      <w:r w:rsidRPr="00A70F4D">
        <w:rPr>
          <w:rFonts w:ascii="Arial" w:eastAsia="Arial" w:hAnsi="Arial" w:cs="Arial"/>
          <w:sz w:val="22"/>
          <w:szCs w:val="22"/>
          <w:lang w:val="es-ES_tradnl" w:eastAsia="en-US"/>
        </w:rPr>
        <w:t>De este modo, se reitera</w:t>
      </w:r>
      <w:r w:rsidR="00F4069B">
        <w:rPr>
          <w:rFonts w:ascii="Arial" w:eastAsia="Arial" w:hAnsi="Arial" w:cs="Arial"/>
          <w:sz w:val="22"/>
          <w:szCs w:val="22"/>
          <w:lang w:val="es-ES_tradnl" w:eastAsia="en-US"/>
        </w:rPr>
        <w:t xml:space="preserve"> que</w:t>
      </w:r>
      <w:r w:rsidRPr="00A70F4D">
        <w:rPr>
          <w:rFonts w:ascii="Arial" w:eastAsia="Arial" w:hAnsi="Arial" w:cs="Arial"/>
          <w:sz w:val="22"/>
          <w:szCs w:val="22"/>
          <w:lang w:val="es-ES_tradnl" w:eastAsia="en-US"/>
        </w:rPr>
        <w:t xml:space="preserve">, el Decreto adoptado por el presidente de la República, en ejercicio de la potestad reglamentaria, define que la forma adecuada para contratar la prestación del servicio público de gestión catastral se debe adelantar por medio de contratos interadministrativos. En ese sentido, esta Agencia, acogiendo los lineamientos y el esquema definido en el Decreto 1983 de 2019, que reglamenta los artículos 79 a 82 de la Ley 1955 de 2019, consideró procedente expedir la Resolución 269 de 2020, por medio </w:t>
      </w:r>
      <w:r w:rsidRPr="00A70F4D">
        <w:rPr>
          <w:rFonts w:ascii="Arial" w:eastAsia="Arial" w:hAnsi="Arial" w:cs="Arial"/>
          <w:sz w:val="22"/>
          <w:szCs w:val="22"/>
          <w:lang w:val="es-ES_tradnl" w:eastAsia="en-US"/>
        </w:rPr>
        <w:lastRenderedPageBreak/>
        <w:t xml:space="preserve">de la cual se adopta el documento tipo que regula la contratación del servicio público de gestión catastral, mediante la celebración de un contrato interadministrativo. </w:t>
      </w:r>
    </w:p>
    <w:p w14:paraId="313BBE9B" w14:textId="77777777" w:rsidR="00591E2F" w:rsidRPr="00A70F4D" w:rsidRDefault="00591E2F" w:rsidP="00A70F4D">
      <w:pPr>
        <w:widowControl w:val="0"/>
        <w:autoSpaceDE w:val="0"/>
        <w:autoSpaceDN w:val="0"/>
        <w:spacing w:before="120" w:after="120" w:line="276" w:lineRule="auto"/>
        <w:ind w:firstLine="708"/>
        <w:jc w:val="both"/>
        <w:rPr>
          <w:rFonts w:ascii="Arial" w:eastAsia="Arial" w:hAnsi="Arial" w:cs="Arial"/>
          <w:sz w:val="22"/>
          <w:szCs w:val="22"/>
          <w:lang w:val="es-ES_tradnl" w:eastAsia="en-US"/>
        </w:rPr>
      </w:pPr>
      <w:r w:rsidRPr="00A70F4D">
        <w:rPr>
          <w:rFonts w:ascii="Arial" w:eastAsia="Arial" w:hAnsi="Arial" w:cs="Arial"/>
          <w:sz w:val="22"/>
          <w:szCs w:val="22"/>
          <w:lang w:val="es-ES_tradnl" w:eastAsia="en-US"/>
        </w:rPr>
        <w:t>Lo anterior, debido a que el Decreto 1983 de 2019 señala que la prestación de la gestión catastral únicamente corresponde a las entidades de orden nacional, territorial y esquemas asociativos que están habilitados como gestores, ya sea, para la formación, actualización, difusión o conservación catastral</w:t>
      </w:r>
      <w:r w:rsidRPr="00A70F4D">
        <w:rPr>
          <w:rFonts w:ascii="Arial" w:eastAsia="Arial" w:hAnsi="Arial" w:cs="Arial"/>
          <w:sz w:val="22"/>
          <w:szCs w:val="22"/>
          <w:vertAlign w:val="superscript"/>
          <w:lang w:val="es-ES_tradnl" w:eastAsia="en-US"/>
        </w:rPr>
        <w:footnoteReference w:id="9"/>
      </w:r>
      <w:r w:rsidRPr="00A70F4D">
        <w:rPr>
          <w:rFonts w:ascii="Arial" w:eastAsia="Arial" w:hAnsi="Arial" w:cs="Arial"/>
          <w:sz w:val="22"/>
          <w:szCs w:val="22"/>
          <w:lang w:val="es-ES_tradnl" w:eastAsia="en-US"/>
        </w:rPr>
        <w:t>. Por tanto, en los casos que una entidad del orden territorial no esté habilitada como gestor catastral y requiera la prestación del servicio catastral en su municipio, deberá celebrar un contrato interadministrativo con la entidad territorial habilitada.</w:t>
      </w:r>
    </w:p>
    <w:p w14:paraId="5C0C14AD" w14:textId="77777777" w:rsidR="00591E2F" w:rsidRPr="00A70F4D" w:rsidRDefault="00591E2F" w:rsidP="00A70F4D">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A70F4D">
        <w:rPr>
          <w:rFonts w:ascii="Arial" w:eastAsia="Arial" w:hAnsi="Arial" w:cs="Arial"/>
          <w:sz w:val="22"/>
          <w:szCs w:val="22"/>
          <w:lang w:val="es-ES_tradnl" w:eastAsia="en-US"/>
        </w:rPr>
        <w:t>Bajo este contexto esta Agencia expidió la Resolución 269 de 2020, por la cual se adopta el documento tipo para los procesos de gestión catastral con enfoque multipropósito que se celebren a través de contratos interadministrativos. En la lógica que se viene refiriendo, el documento tipo se circunscribe a la contratación del servicio de gestión catastral con enfoque multipropósito que se celebre entre entidades estatales a través de contratos interadministrativos, según el artículo 1 de la referida resolución. Por ello, «el documento tipo contiene parámetros obligatorios para las entidades estatales sometidas al Estatuto General de Contratación de la Administración Pública que celebren contratos para la prestación del servicio de gestión catastral con enfoque multipropósito suscritos entre entidades estatales. Este documento tipo se constituye por la minuta de contrato interadministrativo», según el artículo 2 de la resolución. </w:t>
      </w:r>
    </w:p>
    <w:p w14:paraId="56821EEB" w14:textId="77777777" w:rsidR="00591E2F" w:rsidRPr="005677A0" w:rsidRDefault="00591E2F" w:rsidP="005677A0">
      <w:pPr>
        <w:widowControl w:val="0"/>
        <w:autoSpaceDE w:val="0"/>
        <w:autoSpaceDN w:val="0"/>
        <w:spacing w:before="120" w:line="276" w:lineRule="auto"/>
        <w:ind w:firstLine="709"/>
        <w:jc w:val="both"/>
        <w:rPr>
          <w:rFonts w:ascii="Arial" w:eastAsia="Arial" w:hAnsi="Arial" w:cs="Arial"/>
          <w:sz w:val="22"/>
          <w:szCs w:val="22"/>
          <w:lang w:val="es-ES" w:eastAsia="en-US"/>
        </w:rPr>
      </w:pPr>
      <w:r w:rsidRPr="005677A0">
        <w:rPr>
          <w:rFonts w:ascii="Arial" w:eastAsia="Arial" w:hAnsi="Arial" w:cs="Arial"/>
          <w:sz w:val="22"/>
          <w:szCs w:val="22"/>
          <w:lang w:val="es-ES_tradnl" w:eastAsia="en-US"/>
        </w:rPr>
        <w:t>Así las cosas, queda claro que la contratación directa para celebrar un contrato interadministrativo, y con ello la aplicación de los respectivos documentos tipo, se circunscribe a los eventos en que la entidad territorial no esté habilitada como gestor catastral y, por tanto, para la prestación del servicio público de gestión catastral deba contratar a un gestor catastral habilitado. Por tratarse de dos entidades estatales celebrarán un contrato interadministrativo, sometido a los documentos tipo, razón por la cual la minuta tipo de los documentos tipo indica, entre otras cosas, que: </w:t>
      </w:r>
    </w:p>
    <w:p w14:paraId="58E8F0B1" w14:textId="77777777" w:rsidR="00591E2F" w:rsidRPr="005677A0" w:rsidRDefault="00591E2F" w:rsidP="00CC0FF9">
      <w:pPr>
        <w:widowControl w:val="0"/>
        <w:autoSpaceDE w:val="0"/>
        <w:autoSpaceDN w:val="0"/>
        <w:ind w:left="709" w:right="709"/>
        <w:contextualSpacing/>
        <w:jc w:val="both"/>
        <w:rPr>
          <w:rFonts w:ascii="Arial" w:eastAsia="Arial" w:hAnsi="Arial" w:cs="Arial"/>
          <w:sz w:val="21"/>
          <w:szCs w:val="21"/>
          <w:lang w:val="es-ES" w:eastAsia="en-US"/>
        </w:rPr>
      </w:pPr>
      <w:r w:rsidRPr="00591E2F">
        <w:rPr>
          <w:rFonts w:ascii="Arial" w:eastAsia="Arial" w:hAnsi="Arial" w:cs="Arial"/>
          <w:color w:val="FF0000"/>
          <w:sz w:val="22"/>
          <w:szCs w:val="22"/>
          <w:lang w:val="es-ES_tradnl" w:eastAsia="en-US"/>
        </w:rPr>
        <w:t> </w:t>
      </w:r>
    </w:p>
    <w:p w14:paraId="7B668F89" w14:textId="309AF32B" w:rsidR="00591E2F" w:rsidRPr="005677A0" w:rsidRDefault="00591E2F" w:rsidP="005677A0">
      <w:pPr>
        <w:widowControl w:val="0"/>
        <w:autoSpaceDE w:val="0"/>
        <w:autoSpaceDN w:val="0"/>
        <w:ind w:left="709" w:right="709"/>
        <w:contextualSpacing/>
        <w:jc w:val="both"/>
        <w:rPr>
          <w:rFonts w:ascii="Arial" w:eastAsia="Arial" w:hAnsi="Arial" w:cs="Arial"/>
          <w:sz w:val="21"/>
          <w:szCs w:val="21"/>
          <w:lang w:val="es-ES" w:eastAsia="en-US"/>
        </w:rPr>
      </w:pPr>
      <w:r w:rsidRPr="005677A0">
        <w:rPr>
          <w:rFonts w:ascii="Arial" w:eastAsia="Arial" w:hAnsi="Arial" w:cs="Arial"/>
          <w:sz w:val="21"/>
          <w:szCs w:val="21"/>
          <w:lang w:val="es-ES_tradnl" w:eastAsia="en-US"/>
        </w:rPr>
        <w:t>[Este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El contenido de la minuta debe ser consistente con la información de los estudios y documentos previos elaborados por el Municipio] </w:t>
      </w:r>
    </w:p>
    <w:p w14:paraId="289D87C9" w14:textId="77777777" w:rsidR="00591E2F" w:rsidRPr="005677A0" w:rsidRDefault="00591E2F" w:rsidP="005677A0">
      <w:pPr>
        <w:widowControl w:val="0"/>
        <w:autoSpaceDE w:val="0"/>
        <w:autoSpaceDN w:val="0"/>
        <w:ind w:left="709" w:right="709"/>
        <w:contextualSpacing/>
        <w:jc w:val="both"/>
        <w:rPr>
          <w:rFonts w:ascii="Arial" w:eastAsia="Arial" w:hAnsi="Arial" w:cs="Arial"/>
          <w:sz w:val="21"/>
          <w:szCs w:val="21"/>
          <w:lang w:val="es-ES" w:eastAsia="en-US"/>
        </w:rPr>
      </w:pPr>
      <w:r w:rsidRPr="005677A0">
        <w:rPr>
          <w:rFonts w:ascii="Arial" w:eastAsia="Arial" w:hAnsi="Arial" w:cs="Arial"/>
          <w:sz w:val="21"/>
          <w:szCs w:val="21"/>
          <w:lang w:val="es-ES_tradnl" w:eastAsia="en-US"/>
        </w:rPr>
        <w:t> </w:t>
      </w:r>
    </w:p>
    <w:p w14:paraId="3E6EFE2A" w14:textId="77777777" w:rsidR="00591E2F" w:rsidRPr="005677A0" w:rsidRDefault="00591E2F" w:rsidP="005677A0">
      <w:pPr>
        <w:widowControl w:val="0"/>
        <w:autoSpaceDE w:val="0"/>
        <w:autoSpaceDN w:val="0"/>
        <w:ind w:left="709" w:right="709"/>
        <w:contextualSpacing/>
        <w:jc w:val="both"/>
        <w:rPr>
          <w:rFonts w:ascii="Arial" w:eastAsia="Arial" w:hAnsi="Arial" w:cs="Arial"/>
          <w:sz w:val="21"/>
          <w:szCs w:val="21"/>
          <w:lang w:val="es-ES" w:eastAsia="en-US"/>
        </w:rPr>
      </w:pPr>
      <w:r w:rsidRPr="005677A0">
        <w:rPr>
          <w:rFonts w:ascii="Arial" w:eastAsia="Arial" w:hAnsi="Arial" w:cs="Arial"/>
          <w:sz w:val="21"/>
          <w:szCs w:val="21"/>
          <w:lang w:val="es-ES_tradnl" w:eastAsia="en-US"/>
        </w:rPr>
        <w:t>[…] </w:t>
      </w:r>
    </w:p>
    <w:p w14:paraId="43196A6C" w14:textId="77777777" w:rsidR="00591E2F" w:rsidRPr="005677A0" w:rsidRDefault="00591E2F" w:rsidP="005677A0">
      <w:pPr>
        <w:widowControl w:val="0"/>
        <w:autoSpaceDE w:val="0"/>
        <w:autoSpaceDN w:val="0"/>
        <w:ind w:left="709" w:right="709"/>
        <w:contextualSpacing/>
        <w:jc w:val="both"/>
        <w:rPr>
          <w:rFonts w:ascii="Arial" w:eastAsia="Arial" w:hAnsi="Arial" w:cs="Arial"/>
          <w:sz w:val="21"/>
          <w:szCs w:val="21"/>
          <w:lang w:val="es-ES" w:eastAsia="en-US"/>
        </w:rPr>
      </w:pPr>
      <w:r w:rsidRPr="005677A0">
        <w:rPr>
          <w:rFonts w:ascii="Arial" w:eastAsia="Arial" w:hAnsi="Arial" w:cs="Arial"/>
          <w:sz w:val="21"/>
          <w:szCs w:val="21"/>
          <w:lang w:val="es-ES_tradnl" w:eastAsia="en-US"/>
        </w:rPr>
        <w:t> </w:t>
      </w:r>
    </w:p>
    <w:p w14:paraId="411490EB" w14:textId="436F802D" w:rsidR="00591E2F" w:rsidRPr="005677A0" w:rsidRDefault="00591E2F" w:rsidP="005677A0">
      <w:pPr>
        <w:widowControl w:val="0"/>
        <w:autoSpaceDE w:val="0"/>
        <w:autoSpaceDN w:val="0"/>
        <w:ind w:left="709" w:right="709"/>
        <w:contextualSpacing/>
        <w:jc w:val="both"/>
        <w:rPr>
          <w:rFonts w:ascii="Arial" w:eastAsia="Arial" w:hAnsi="Arial" w:cs="Arial"/>
          <w:sz w:val="21"/>
          <w:szCs w:val="21"/>
          <w:lang w:val="es-ES" w:eastAsia="en-US"/>
        </w:rPr>
      </w:pPr>
      <w:r w:rsidRPr="005677A0">
        <w:rPr>
          <w:rFonts w:ascii="Arial" w:eastAsia="Arial" w:hAnsi="Arial" w:cs="Arial"/>
          <w:sz w:val="21"/>
          <w:szCs w:val="21"/>
          <w:lang w:val="es-ES_tradnl" w:eastAsia="en-US"/>
        </w:rPr>
        <w:t xml:space="preserve">[Debido a que la prestación del servicio catastral es integral, en los términos del artículo 2.2.2.5.6. del Decreto 1983 de 2019, se contratará la actividad de </w:t>
      </w:r>
      <w:r w:rsidRPr="005677A0">
        <w:rPr>
          <w:rFonts w:ascii="Arial" w:eastAsia="Arial" w:hAnsi="Arial" w:cs="Arial"/>
          <w:sz w:val="21"/>
          <w:szCs w:val="21"/>
          <w:lang w:val="es-ES_tradnl" w:eastAsia="en-US"/>
        </w:rPr>
        <w:lastRenderedPageBreak/>
        <w:t>formación o actualización catastral junto con su conservación. Es decir, no será posible contratar de forma aislada, con fundamento en esta minuta, las actividades de formación, actualización o conservación catastral] </w:t>
      </w:r>
    </w:p>
    <w:p w14:paraId="4D085F7C" w14:textId="77777777" w:rsidR="00591E2F" w:rsidRPr="005677A0" w:rsidRDefault="00591E2F" w:rsidP="00CC0FF9">
      <w:pPr>
        <w:widowControl w:val="0"/>
        <w:autoSpaceDE w:val="0"/>
        <w:autoSpaceDN w:val="0"/>
        <w:contextualSpacing/>
        <w:jc w:val="both"/>
        <w:rPr>
          <w:rFonts w:ascii="Arial" w:eastAsia="Arial" w:hAnsi="Arial" w:cs="Arial"/>
          <w:sz w:val="22"/>
          <w:szCs w:val="22"/>
          <w:lang w:val="es-ES" w:eastAsia="en-US"/>
        </w:rPr>
      </w:pPr>
      <w:r w:rsidRPr="005677A0">
        <w:rPr>
          <w:rFonts w:ascii="Arial" w:eastAsia="Arial" w:hAnsi="Arial" w:cs="Arial"/>
          <w:sz w:val="22"/>
          <w:szCs w:val="22"/>
          <w:lang w:val="es-ES_tradnl" w:eastAsia="en-US"/>
        </w:rPr>
        <w:t> </w:t>
      </w:r>
    </w:p>
    <w:p w14:paraId="55440943" w14:textId="77777777" w:rsidR="00591E2F" w:rsidRPr="00CF7D03" w:rsidRDefault="00591E2F" w:rsidP="00CF7D03">
      <w:pPr>
        <w:spacing w:after="120" w:line="276" w:lineRule="auto"/>
        <w:ind w:firstLine="708"/>
        <w:jc w:val="both"/>
        <w:rPr>
          <w:rFonts w:ascii="Arial" w:eastAsia="Arial" w:hAnsi="Arial" w:cs="Arial"/>
          <w:sz w:val="22"/>
          <w:szCs w:val="20"/>
          <w:shd w:val="clear" w:color="auto" w:fill="FFFFFF"/>
          <w:lang w:val="es-ES" w:eastAsia="en-US"/>
        </w:rPr>
      </w:pPr>
      <w:r w:rsidRPr="00CF7D03">
        <w:rPr>
          <w:rFonts w:ascii="Arial" w:hAnsi="Arial" w:cs="Arial"/>
          <w:sz w:val="22"/>
          <w:shd w:val="clear" w:color="auto" w:fill="FFFFFF"/>
        </w:rPr>
        <w:t xml:space="preserve">Como se ha explicado, </w:t>
      </w:r>
      <w:r w:rsidRPr="00CF7D03">
        <w:rPr>
          <w:rFonts w:ascii="Arial" w:hAnsi="Arial" w:cs="Arial"/>
          <w:sz w:val="22"/>
        </w:rPr>
        <w:t xml:space="preserve">el documento tipo o minuta tipo adoptado por la </w:t>
      </w:r>
      <w:r w:rsidRPr="00CF7D03">
        <w:rPr>
          <w:rFonts w:ascii="Arial" w:hAnsi="Arial" w:cs="Arial"/>
          <w:sz w:val="22"/>
          <w:shd w:val="clear" w:color="auto" w:fill="FFFFFF"/>
        </w:rPr>
        <w:t xml:space="preserve">Agencia Nacional de Contratación Pública ‒Colombia Compra Eficiente‒, en conjunto con el Instituto Geográfico Agustín Codazzi –IGAC- y el Departamento Administrativo Nacional de Estadística ‒DANE‒, básicamente se constituye en el instrumento que concreta una de las formas de prestación del servicio público de gestión catastral, fundamentado particularmente en los artículos 2.2.2.5.6. y 2.2.2.5.7. del Decreto 1170 de 2015. El primero titulado «contratación de gestores catastrales», que establece que: «Las entidades territoriales que no estén habilitadas podrán contratar a un gestor catastral en los términos del presente decreto para la prestación del servicio público en su territorio […]». A su vez, el segundo artículo titulado: «condiciones de la contratación de gestores catastrales» establece que la contratación de que trata el artículo anterior </w:t>
      </w:r>
      <w:r w:rsidRPr="00CF7D03">
        <w:rPr>
          <w:rFonts w:ascii="Arial" w:hAnsi="Arial" w:cs="Arial"/>
          <w:i/>
          <w:iCs/>
          <w:sz w:val="22"/>
          <w:shd w:val="clear" w:color="auto" w:fill="FFFFFF"/>
        </w:rPr>
        <w:t xml:space="preserve">deberá </w:t>
      </w:r>
      <w:r w:rsidRPr="00CF7D03">
        <w:rPr>
          <w:rFonts w:ascii="Arial" w:hAnsi="Arial" w:cs="Arial"/>
          <w:sz w:val="22"/>
          <w:shd w:val="clear" w:color="auto" w:fill="FFFFFF"/>
        </w:rPr>
        <w:t>sujetarse, entre otras, a las siguientes reglas: «Teniendo en cuenta la naturaleza de las partes, la selección del contratista para la prestación del servicio público catastral podrá realizarse a través de contratación directa, observando los principios de selección objetiva y transparencia, por tratarse de un contrato interadministrativo».</w:t>
      </w:r>
    </w:p>
    <w:p w14:paraId="3EF01CFE" w14:textId="27952A19" w:rsidR="00591E2F" w:rsidRPr="00EB05EB" w:rsidRDefault="00591E2F" w:rsidP="006D71E6">
      <w:pPr>
        <w:spacing w:after="120" w:line="276" w:lineRule="auto"/>
        <w:jc w:val="both"/>
        <w:rPr>
          <w:rFonts w:ascii="Arial" w:eastAsia="Arial" w:hAnsi="Arial" w:cs="Arial"/>
          <w:sz w:val="22"/>
          <w:szCs w:val="22"/>
          <w:lang w:val="es-ES_tradnl" w:eastAsia="en-US"/>
        </w:rPr>
      </w:pPr>
      <w:r w:rsidRPr="00CF7D03">
        <w:rPr>
          <w:rFonts w:ascii="Arial" w:hAnsi="Arial" w:cs="Arial"/>
          <w:sz w:val="22"/>
          <w:shd w:val="clear" w:color="auto" w:fill="FFFFFF"/>
        </w:rPr>
        <w:tab/>
        <w:t>Teniendo en cuenta lo anterior, vale aclarar que la minuta tipo adoptada por la Agencia concreta una de las formas de prestación del servicio público de gestión catastral, que consiste en los supuestos en que un municipio decide contratar a un gestor catastral habilitado para la prestación de este servicio, lo que, de conformidad con las disposiciones anteriores, debe realizarse mediante un contrato interadministrativo.</w:t>
      </w:r>
      <w:r w:rsidR="001E58E5">
        <w:rPr>
          <w:rFonts w:ascii="Arial" w:eastAsia="Arial" w:hAnsi="Arial" w:cs="Arial"/>
          <w:sz w:val="22"/>
          <w:szCs w:val="20"/>
          <w:shd w:val="clear" w:color="auto" w:fill="FFFFFF"/>
          <w:lang w:val="es-ES" w:eastAsia="en-US"/>
        </w:rPr>
        <w:t xml:space="preserve"> </w:t>
      </w:r>
      <w:r w:rsidRPr="00EB05EB">
        <w:rPr>
          <w:rFonts w:ascii="Arial" w:eastAsia="Arial" w:hAnsi="Arial" w:cs="Arial"/>
          <w:sz w:val="22"/>
          <w:szCs w:val="20"/>
          <w:shd w:val="clear" w:color="auto" w:fill="FFFFFF"/>
          <w:lang w:val="es-ES" w:eastAsia="en-US"/>
        </w:rPr>
        <w:t>Sin embargo, también es posible que las diferentes entidades territoriales habilitadas como gestores catastrales presten el servicio público de gestión catastral directamente en su ámbito de competencias territoriales, posibilidad que no limita la Minuta tipo o documento tipo expedido por esta Agencia. En este sentido, la existencia del documento tipo no impide otras formas de prestación del servicio público de gestión catastral permitidas por el ordenamiento jurídico. Particularmente, no impide, como se indicó, que los gestores catastrales habilitados presten directamente el servicio público de gestión catastral en el ámbito de sus competencias territoriales</w:t>
      </w:r>
      <w:r w:rsidR="001E58E5">
        <w:rPr>
          <w:rStyle w:val="Refdenotaalpie"/>
          <w:rFonts w:ascii="Arial" w:eastAsia="Arial" w:hAnsi="Arial" w:cs="Arial"/>
          <w:sz w:val="22"/>
          <w:szCs w:val="20"/>
          <w:shd w:val="clear" w:color="auto" w:fill="FFFFFF"/>
          <w:lang w:val="es-ES" w:eastAsia="en-US"/>
        </w:rPr>
        <w:footnoteReference w:id="10"/>
      </w:r>
      <w:r w:rsidRPr="00EB05EB">
        <w:rPr>
          <w:rFonts w:ascii="Arial" w:eastAsia="Arial" w:hAnsi="Arial" w:cs="Arial"/>
          <w:sz w:val="22"/>
          <w:szCs w:val="20"/>
          <w:shd w:val="clear" w:color="auto" w:fill="FFFFFF"/>
          <w:lang w:val="es-ES" w:eastAsia="en-US"/>
        </w:rPr>
        <w:t xml:space="preserve">. </w:t>
      </w:r>
    </w:p>
    <w:p w14:paraId="2412D6BD" w14:textId="274F5132" w:rsidR="00591E2F" w:rsidRPr="00C30148" w:rsidRDefault="00591E2F" w:rsidP="00911CA8">
      <w:pPr>
        <w:spacing w:before="120" w:line="276" w:lineRule="auto"/>
        <w:ind w:firstLine="709"/>
        <w:contextualSpacing/>
        <w:jc w:val="both"/>
        <w:rPr>
          <w:rFonts w:ascii="Arial" w:hAnsi="Arial" w:cs="Arial"/>
          <w:sz w:val="22"/>
          <w:szCs w:val="22"/>
        </w:rPr>
      </w:pPr>
      <w:r w:rsidRPr="00C30148">
        <w:rPr>
          <w:rFonts w:ascii="Arial" w:hAnsi="Arial" w:cs="Arial"/>
          <w:sz w:val="22"/>
          <w:szCs w:val="22"/>
          <w:lang w:val="es-ES_tradnl"/>
        </w:rPr>
        <w:lastRenderedPageBreak/>
        <w:t>Teniendo en cuenta lo expuesto, es importante señalar que la minuta tipo o documento tipo expedido por esta Agencia mediante la Resolución 269 del 16 de diciembre de 2020, «Por la cual se adopta el documento tipo para los procesos de gestión catastral con enfoque multipropósito que se celebren a través de contratos interadministrativos»,</w:t>
      </w:r>
      <w:r w:rsidR="001E58E5">
        <w:rPr>
          <w:rFonts w:ascii="Arial" w:hAnsi="Arial" w:cs="Arial"/>
          <w:sz w:val="22"/>
          <w:szCs w:val="22"/>
          <w:lang w:val="es-ES_tradnl"/>
        </w:rPr>
        <w:t xml:space="preserve"> lo que</w:t>
      </w:r>
      <w:r w:rsidRPr="00C30148">
        <w:rPr>
          <w:rFonts w:ascii="Arial" w:hAnsi="Arial" w:cs="Arial"/>
          <w:sz w:val="22"/>
          <w:szCs w:val="22"/>
          <w:lang w:val="es-ES_tradnl"/>
        </w:rPr>
        <w:t xml:space="preserve"> </w:t>
      </w:r>
      <w:r w:rsidR="001E58E5">
        <w:rPr>
          <w:rFonts w:ascii="Arial" w:hAnsi="Arial" w:cs="Arial"/>
          <w:sz w:val="22"/>
          <w:szCs w:val="22"/>
          <w:lang w:val="es-ES_tradnl"/>
        </w:rPr>
        <w:t xml:space="preserve">significa </w:t>
      </w:r>
      <w:r w:rsidR="00725C30">
        <w:rPr>
          <w:rFonts w:ascii="Arial" w:hAnsi="Arial" w:cs="Arial"/>
          <w:sz w:val="22"/>
          <w:szCs w:val="22"/>
          <w:lang w:val="es-ES_tradnl"/>
        </w:rPr>
        <w:t xml:space="preserve">que </w:t>
      </w:r>
      <w:r w:rsidRPr="00C30148">
        <w:rPr>
          <w:rFonts w:ascii="Arial" w:hAnsi="Arial" w:cs="Arial"/>
          <w:sz w:val="22"/>
          <w:szCs w:val="22"/>
          <w:lang w:val="es-ES_tradnl"/>
        </w:rPr>
        <w:t>su ámbito de aplicación</w:t>
      </w:r>
      <w:r w:rsidR="00725C30">
        <w:rPr>
          <w:rFonts w:ascii="Arial" w:hAnsi="Arial" w:cs="Arial"/>
          <w:sz w:val="22"/>
          <w:szCs w:val="22"/>
          <w:lang w:val="es-ES_tradnl"/>
        </w:rPr>
        <w:t xml:space="preserve">  </w:t>
      </w:r>
      <w:r w:rsidRPr="00C30148">
        <w:rPr>
          <w:rFonts w:ascii="Arial" w:hAnsi="Arial" w:cs="Arial"/>
          <w:sz w:val="22"/>
          <w:szCs w:val="22"/>
          <w:lang w:val="es-ES_tradnl"/>
        </w:rPr>
        <w:t xml:space="preserve">se </w:t>
      </w:r>
      <w:r w:rsidR="00725C30">
        <w:rPr>
          <w:rFonts w:ascii="Arial" w:hAnsi="Arial" w:cs="Arial"/>
          <w:sz w:val="22"/>
          <w:szCs w:val="22"/>
          <w:lang w:val="es-ES_tradnl"/>
        </w:rPr>
        <w:t>limita</w:t>
      </w:r>
      <w:r w:rsidR="00725C30" w:rsidRPr="00C30148">
        <w:rPr>
          <w:rFonts w:ascii="Arial" w:hAnsi="Arial" w:cs="Arial"/>
          <w:sz w:val="22"/>
          <w:szCs w:val="22"/>
          <w:lang w:val="es-ES_tradnl"/>
        </w:rPr>
        <w:t xml:space="preserve"> </w:t>
      </w:r>
      <w:r w:rsidRPr="00C30148">
        <w:rPr>
          <w:rFonts w:ascii="Arial" w:hAnsi="Arial" w:cs="Arial"/>
          <w:sz w:val="22"/>
          <w:szCs w:val="22"/>
          <w:lang w:val="es-ES_tradnl"/>
        </w:rPr>
        <w:t>a los contratos que celebre un municipio que no se encuentra habilitado como gestor catastral y que, por tanto, requiere celebrar un contrato interadministrativo con un gestor catastral habilitado para la prestación del servicio público de gestión catastral</w:t>
      </w:r>
      <w:r w:rsidRPr="00C30148">
        <w:rPr>
          <w:rFonts w:ascii="Arial" w:hAnsi="Arial" w:cs="Arial"/>
          <w:sz w:val="22"/>
          <w:szCs w:val="22"/>
          <w:vertAlign w:val="superscript"/>
          <w:lang w:val="es-ES_tradnl"/>
        </w:rPr>
        <w:footnoteReference w:id="11"/>
      </w:r>
      <w:r w:rsidRPr="00C30148">
        <w:rPr>
          <w:rFonts w:ascii="Arial" w:hAnsi="Arial" w:cs="Arial"/>
          <w:sz w:val="22"/>
          <w:szCs w:val="22"/>
          <w:lang w:val="es-ES_tradnl"/>
        </w:rPr>
        <w:t>.</w:t>
      </w:r>
    </w:p>
    <w:p w14:paraId="533F8D42" w14:textId="77777777" w:rsidR="00725C30" w:rsidRPr="00911CA8" w:rsidRDefault="00725C30" w:rsidP="00212F27">
      <w:pPr>
        <w:pStyle w:val="Normal11pt"/>
        <w:spacing w:line="276" w:lineRule="auto"/>
        <w:ind w:left="0" w:firstLine="708"/>
        <w:contextualSpacing/>
        <w:rPr>
          <w:rFonts w:eastAsia="Calibri"/>
          <w:color w:val="auto"/>
          <w:lang w:val="es-ES"/>
        </w:rPr>
      </w:pPr>
    </w:p>
    <w:p w14:paraId="490F55FF" w14:textId="77777777" w:rsidR="00EC2321" w:rsidRPr="00911CA8" w:rsidRDefault="00EC2321" w:rsidP="00212F27">
      <w:pPr>
        <w:tabs>
          <w:tab w:val="left" w:pos="709"/>
        </w:tabs>
        <w:spacing w:line="276" w:lineRule="auto"/>
        <w:contextualSpacing/>
        <w:jc w:val="both"/>
        <w:rPr>
          <w:rFonts w:ascii="Arial" w:eastAsia="Calibri" w:hAnsi="Arial" w:cs="Arial"/>
          <w:b/>
          <w:sz w:val="22"/>
          <w:szCs w:val="22"/>
          <w:lang w:val="es-ES"/>
        </w:rPr>
      </w:pPr>
      <w:r w:rsidRPr="00911CA8">
        <w:rPr>
          <w:rFonts w:ascii="Arial" w:eastAsia="Calibri" w:hAnsi="Arial" w:cs="Arial"/>
          <w:b/>
          <w:sz w:val="22"/>
          <w:szCs w:val="22"/>
          <w:lang w:val="es-ES"/>
        </w:rPr>
        <w:t>3. Respuesta</w:t>
      </w:r>
    </w:p>
    <w:p w14:paraId="6F9F34D7" w14:textId="0B9CE914" w:rsidR="00911CA8" w:rsidRPr="00970FFE" w:rsidRDefault="00911CA8" w:rsidP="00212F27">
      <w:pPr>
        <w:shd w:val="clear" w:color="auto" w:fill="FFFFFF"/>
        <w:ind w:left="709" w:right="709"/>
        <w:contextualSpacing/>
        <w:jc w:val="both"/>
        <w:rPr>
          <w:rFonts w:ascii="Arial" w:eastAsiaTheme="minorHAnsi" w:hAnsi="Arial" w:cs="Arial"/>
          <w:sz w:val="21"/>
          <w:szCs w:val="21"/>
          <w:bdr w:val="none" w:sz="0" w:space="0" w:color="auto" w:frame="1"/>
          <w:lang w:val="es-MX" w:eastAsia="es-CO"/>
        </w:rPr>
      </w:pPr>
      <w:r w:rsidRPr="00970FFE">
        <w:rPr>
          <w:rFonts w:ascii="Arial" w:eastAsiaTheme="minorHAnsi" w:hAnsi="Arial" w:cs="Arial"/>
          <w:sz w:val="21"/>
          <w:szCs w:val="21"/>
          <w:bdr w:val="none" w:sz="0" w:space="0" w:color="auto" w:frame="1"/>
          <w:lang w:val="es-MX" w:eastAsia="es-CO"/>
        </w:rPr>
        <w:t>«¿Deben aplicarse también de manera obligatoria estos documentos tipo cuando se trata de contratos en la modalidad de contratación directa contenidos en el DECRETO 1082 de 2015 sub sección IV?</w:t>
      </w:r>
      <w:r w:rsidRPr="00970FFE">
        <w:rPr>
          <w:rFonts w:ascii="Arial" w:hAnsi="Arial" w:cs="Arial"/>
          <w:sz w:val="21"/>
          <w:szCs w:val="21"/>
          <w:lang w:val="es-ES"/>
        </w:rPr>
        <w:t>».</w:t>
      </w:r>
    </w:p>
    <w:p w14:paraId="53554CD8" w14:textId="77777777" w:rsidR="00BD55FC" w:rsidRDefault="00BD55FC" w:rsidP="00212F27">
      <w:pPr>
        <w:spacing w:line="276" w:lineRule="auto"/>
        <w:contextualSpacing/>
        <w:jc w:val="both"/>
        <w:rPr>
          <w:rFonts w:ascii="Arial" w:hAnsi="Arial" w:cs="Arial"/>
          <w:color w:val="FF0000"/>
          <w:sz w:val="22"/>
          <w:szCs w:val="22"/>
        </w:rPr>
      </w:pPr>
    </w:p>
    <w:p w14:paraId="389850A3" w14:textId="048E12F3" w:rsidR="00EC5DB9" w:rsidRDefault="00BD55FC" w:rsidP="00BD55FC">
      <w:pPr>
        <w:spacing w:after="120" w:line="276" w:lineRule="auto"/>
        <w:jc w:val="both"/>
        <w:rPr>
          <w:rFonts w:ascii="Arial" w:hAnsi="Arial" w:cs="Arial"/>
          <w:sz w:val="22"/>
          <w:szCs w:val="22"/>
        </w:rPr>
      </w:pPr>
      <w:r w:rsidRPr="00436C15">
        <w:rPr>
          <w:rFonts w:ascii="Arial" w:hAnsi="Arial" w:cs="Arial"/>
          <w:sz w:val="22"/>
          <w:szCs w:val="22"/>
        </w:rPr>
        <w:t>Con base en l</w:t>
      </w:r>
      <w:r w:rsidR="00544E01">
        <w:rPr>
          <w:rFonts w:ascii="Arial" w:hAnsi="Arial" w:cs="Arial"/>
          <w:sz w:val="22"/>
          <w:szCs w:val="22"/>
        </w:rPr>
        <w:t xml:space="preserve">o anterior </w:t>
      </w:r>
      <w:r w:rsidR="00E05357" w:rsidRPr="00436C15">
        <w:rPr>
          <w:rFonts w:ascii="Arial" w:hAnsi="Arial" w:cs="Arial"/>
          <w:sz w:val="22"/>
          <w:szCs w:val="22"/>
        </w:rPr>
        <w:t>es posible concluir</w:t>
      </w:r>
      <w:r w:rsidR="00903B59" w:rsidRPr="00436C15">
        <w:rPr>
          <w:rFonts w:ascii="Arial" w:eastAsia="Calibri" w:hAnsi="Arial" w:cs="Arial"/>
          <w:sz w:val="22"/>
          <w:szCs w:val="22"/>
          <w:lang w:val="es-ES" w:eastAsia="en-US"/>
        </w:rPr>
        <w:t xml:space="preserve"> que, el </w:t>
      </w:r>
      <w:r w:rsidR="00903B59" w:rsidRPr="00436C15">
        <w:rPr>
          <w:rFonts w:ascii="Arial" w:hAnsi="Arial" w:cs="Arial"/>
          <w:sz w:val="22"/>
          <w:szCs w:val="22"/>
        </w:rPr>
        <w:t xml:space="preserve">deber de aplicar los documentos tipo que ha expedido la Agencia Nacional de Contratación Estatal – Colombia Compra Eficiente surge de la correspondencia del objeto a contractual con </w:t>
      </w:r>
      <w:r w:rsidR="00436C15" w:rsidRPr="00436C15">
        <w:rPr>
          <w:rFonts w:ascii="Arial" w:hAnsi="Arial" w:cs="Arial"/>
          <w:sz w:val="22"/>
          <w:szCs w:val="22"/>
        </w:rPr>
        <w:t>una de las actividades</w:t>
      </w:r>
      <w:r w:rsidR="00903B59" w:rsidRPr="00436C15">
        <w:rPr>
          <w:rFonts w:ascii="Arial" w:hAnsi="Arial" w:cs="Arial"/>
          <w:sz w:val="22"/>
          <w:szCs w:val="22"/>
        </w:rPr>
        <w:t xml:space="preserve"> señalada</w:t>
      </w:r>
      <w:r w:rsidR="00436C15" w:rsidRPr="00436C15">
        <w:rPr>
          <w:rFonts w:ascii="Arial" w:hAnsi="Arial" w:cs="Arial"/>
          <w:sz w:val="22"/>
          <w:szCs w:val="22"/>
        </w:rPr>
        <w:t>s</w:t>
      </w:r>
      <w:r w:rsidR="00903B59" w:rsidRPr="00436C15">
        <w:rPr>
          <w:rFonts w:ascii="Arial" w:hAnsi="Arial" w:cs="Arial"/>
          <w:sz w:val="22"/>
          <w:szCs w:val="22"/>
        </w:rPr>
        <w:t xml:space="preserve"> la</w:t>
      </w:r>
      <w:r w:rsidR="00436C15" w:rsidRPr="00436C15">
        <w:rPr>
          <w:rFonts w:ascii="Arial" w:hAnsi="Arial" w:cs="Arial"/>
          <w:sz w:val="22"/>
          <w:szCs w:val="22"/>
        </w:rPr>
        <w:t>s</w:t>
      </w:r>
      <w:r w:rsidR="00903B59" w:rsidRPr="00436C15">
        <w:rPr>
          <w:rFonts w:ascii="Arial" w:hAnsi="Arial" w:cs="Arial"/>
          <w:sz w:val="22"/>
          <w:szCs w:val="22"/>
        </w:rPr>
        <w:t xml:space="preserve"> matri</w:t>
      </w:r>
      <w:r w:rsidR="00436C15" w:rsidRPr="00436C15">
        <w:rPr>
          <w:rFonts w:ascii="Arial" w:hAnsi="Arial" w:cs="Arial"/>
          <w:sz w:val="22"/>
          <w:szCs w:val="22"/>
        </w:rPr>
        <w:t xml:space="preserve">ces </w:t>
      </w:r>
      <w:r w:rsidR="00903B59" w:rsidRPr="00436C15">
        <w:rPr>
          <w:rFonts w:ascii="Arial" w:hAnsi="Arial" w:cs="Arial"/>
          <w:sz w:val="22"/>
          <w:szCs w:val="22"/>
        </w:rPr>
        <w:t xml:space="preserve">de </w:t>
      </w:r>
      <w:r w:rsidR="00436C15" w:rsidRPr="00436C15">
        <w:rPr>
          <w:rFonts w:ascii="Arial" w:hAnsi="Arial" w:cs="Arial"/>
          <w:sz w:val="22"/>
          <w:szCs w:val="22"/>
        </w:rPr>
        <w:t xml:space="preserve">experiencia que hace parte de </w:t>
      </w:r>
      <w:r w:rsidR="00044A64" w:rsidRPr="00436C15">
        <w:rPr>
          <w:rFonts w:ascii="Arial" w:hAnsi="Arial" w:cs="Arial"/>
          <w:sz w:val="22"/>
          <w:szCs w:val="22"/>
        </w:rPr>
        <w:t>cada documento</w:t>
      </w:r>
      <w:r w:rsidR="00436C15" w:rsidRPr="00436C15">
        <w:rPr>
          <w:rFonts w:ascii="Arial" w:hAnsi="Arial" w:cs="Arial"/>
          <w:sz w:val="22"/>
          <w:szCs w:val="22"/>
        </w:rPr>
        <w:t xml:space="preserve"> tipo</w:t>
      </w:r>
      <w:r w:rsidR="00903B59" w:rsidRPr="00436C15">
        <w:rPr>
          <w:rFonts w:ascii="Arial" w:hAnsi="Arial" w:cs="Arial"/>
          <w:sz w:val="22"/>
          <w:szCs w:val="22"/>
        </w:rPr>
        <w:t>.</w:t>
      </w:r>
      <w:r w:rsidR="00211303">
        <w:rPr>
          <w:rFonts w:ascii="Arial" w:hAnsi="Arial" w:cs="Arial"/>
          <w:sz w:val="22"/>
          <w:szCs w:val="22"/>
        </w:rPr>
        <w:t xml:space="preserve"> Ade</w:t>
      </w:r>
      <w:r w:rsidR="009C7ABC">
        <w:rPr>
          <w:rFonts w:ascii="Arial" w:hAnsi="Arial" w:cs="Arial"/>
          <w:sz w:val="22"/>
          <w:szCs w:val="22"/>
        </w:rPr>
        <w:t xml:space="preserve">más de dicha correspondencia, se requiere que los documentos tipo sean aplicables a la modalidad de escogencia aplicable al respectivo objeto a contratar. </w:t>
      </w:r>
      <w:r w:rsidR="00903B59" w:rsidRPr="00436C15">
        <w:rPr>
          <w:rFonts w:ascii="Arial" w:hAnsi="Arial" w:cs="Arial"/>
          <w:sz w:val="22"/>
          <w:szCs w:val="22"/>
        </w:rPr>
        <w:t xml:space="preserve"> A tales efectos, corresponde a la entidad estatal contratante, </w:t>
      </w:r>
      <w:r w:rsidR="009C7ABC">
        <w:rPr>
          <w:rFonts w:ascii="Arial" w:hAnsi="Arial" w:cs="Arial"/>
          <w:sz w:val="22"/>
          <w:szCs w:val="22"/>
        </w:rPr>
        <w:t xml:space="preserve">verificar </w:t>
      </w:r>
      <w:r w:rsidR="00903B59" w:rsidRPr="00436C15">
        <w:rPr>
          <w:rFonts w:ascii="Arial" w:hAnsi="Arial" w:cs="Arial"/>
          <w:sz w:val="22"/>
          <w:szCs w:val="22"/>
        </w:rPr>
        <w:t xml:space="preserve">las especificaciones </w:t>
      </w:r>
      <w:r w:rsidR="00C813C0">
        <w:rPr>
          <w:rFonts w:ascii="Arial" w:hAnsi="Arial" w:cs="Arial"/>
          <w:sz w:val="22"/>
          <w:szCs w:val="22"/>
        </w:rPr>
        <w:t>del proyecto o servicio</w:t>
      </w:r>
      <w:r w:rsidR="00903B59" w:rsidRPr="00436C15">
        <w:rPr>
          <w:rFonts w:ascii="Arial" w:hAnsi="Arial" w:cs="Arial"/>
          <w:sz w:val="22"/>
          <w:szCs w:val="22"/>
        </w:rPr>
        <w:t xml:space="preserve"> requerid</w:t>
      </w:r>
      <w:r w:rsidR="00C813C0">
        <w:rPr>
          <w:rFonts w:ascii="Arial" w:hAnsi="Arial" w:cs="Arial"/>
          <w:sz w:val="22"/>
          <w:szCs w:val="22"/>
        </w:rPr>
        <w:t>o</w:t>
      </w:r>
      <w:r w:rsidR="00903B59" w:rsidRPr="00436C15">
        <w:rPr>
          <w:rFonts w:ascii="Arial" w:hAnsi="Arial" w:cs="Arial"/>
          <w:sz w:val="22"/>
          <w:szCs w:val="22"/>
        </w:rPr>
        <w:t>,</w:t>
      </w:r>
      <w:r w:rsidR="00224505">
        <w:rPr>
          <w:rFonts w:ascii="Arial" w:hAnsi="Arial" w:cs="Arial"/>
          <w:sz w:val="22"/>
          <w:szCs w:val="22"/>
        </w:rPr>
        <w:t xml:space="preserve"> </w:t>
      </w:r>
      <w:r w:rsidR="001B024A">
        <w:rPr>
          <w:rFonts w:ascii="Arial" w:hAnsi="Arial" w:cs="Arial"/>
          <w:sz w:val="22"/>
          <w:szCs w:val="22"/>
        </w:rPr>
        <w:t xml:space="preserve">así como </w:t>
      </w:r>
      <w:r w:rsidR="00224505">
        <w:rPr>
          <w:rFonts w:ascii="Arial" w:hAnsi="Arial" w:cs="Arial"/>
          <w:sz w:val="22"/>
          <w:szCs w:val="22"/>
        </w:rPr>
        <w:t xml:space="preserve">la modalidad de selección que le es aplicable, </w:t>
      </w:r>
      <w:r w:rsidR="001B024A">
        <w:rPr>
          <w:rFonts w:ascii="Arial" w:hAnsi="Arial" w:cs="Arial"/>
          <w:sz w:val="22"/>
          <w:szCs w:val="22"/>
        </w:rPr>
        <w:t>para con sustento en ello determinar si el proceso de contratación adelantar</w:t>
      </w:r>
      <w:r w:rsidR="00EF31A5">
        <w:rPr>
          <w:rFonts w:ascii="Arial" w:hAnsi="Arial" w:cs="Arial"/>
          <w:sz w:val="22"/>
          <w:szCs w:val="22"/>
        </w:rPr>
        <w:t xml:space="preserve"> se encuentra cobijado por algún documento tipo.</w:t>
      </w:r>
      <w:r w:rsidR="001B024A">
        <w:rPr>
          <w:rFonts w:ascii="Arial" w:hAnsi="Arial" w:cs="Arial"/>
          <w:sz w:val="22"/>
          <w:szCs w:val="22"/>
        </w:rPr>
        <w:t xml:space="preserve"> </w:t>
      </w:r>
      <w:r w:rsidR="00EF31A5">
        <w:rPr>
          <w:rFonts w:ascii="Arial" w:hAnsi="Arial" w:cs="Arial"/>
          <w:sz w:val="22"/>
          <w:szCs w:val="22"/>
        </w:rPr>
        <w:t xml:space="preserve">Para </w:t>
      </w:r>
      <w:r w:rsidR="005D501E">
        <w:rPr>
          <w:rFonts w:ascii="Arial" w:hAnsi="Arial" w:cs="Arial"/>
          <w:sz w:val="22"/>
          <w:szCs w:val="22"/>
        </w:rPr>
        <w:t>constatar</w:t>
      </w:r>
      <w:r w:rsidR="00EF31A5">
        <w:rPr>
          <w:rFonts w:ascii="Arial" w:hAnsi="Arial" w:cs="Arial"/>
          <w:sz w:val="22"/>
          <w:szCs w:val="22"/>
        </w:rPr>
        <w:t xml:space="preserve"> </w:t>
      </w:r>
      <w:r w:rsidR="005D501E">
        <w:rPr>
          <w:rFonts w:ascii="Arial" w:hAnsi="Arial" w:cs="Arial"/>
          <w:sz w:val="22"/>
          <w:szCs w:val="22"/>
        </w:rPr>
        <w:t xml:space="preserve">que a la actividad a contratar en efecto le </w:t>
      </w:r>
      <w:r w:rsidR="00EF31A5">
        <w:rPr>
          <w:rFonts w:ascii="Arial" w:hAnsi="Arial" w:cs="Arial"/>
          <w:sz w:val="22"/>
          <w:szCs w:val="22"/>
        </w:rPr>
        <w:t>result</w:t>
      </w:r>
      <w:r w:rsidR="005D501E">
        <w:rPr>
          <w:rFonts w:ascii="Arial" w:hAnsi="Arial" w:cs="Arial"/>
          <w:sz w:val="22"/>
          <w:szCs w:val="22"/>
        </w:rPr>
        <w:t>e</w:t>
      </w:r>
      <w:r w:rsidR="00EF31A5">
        <w:rPr>
          <w:rFonts w:ascii="Arial" w:hAnsi="Arial" w:cs="Arial"/>
          <w:sz w:val="22"/>
          <w:szCs w:val="22"/>
        </w:rPr>
        <w:t xml:space="preserve"> </w:t>
      </w:r>
      <w:r w:rsidR="005D501E">
        <w:rPr>
          <w:rFonts w:ascii="Arial" w:hAnsi="Arial" w:cs="Arial"/>
          <w:sz w:val="22"/>
          <w:szCs w:val="22"/>
        </w:rPr>
        <w:t xml:space="preserve">aplicable un documento tipo en particular, es </w:t>
      </w:r>
      <w:r w:rsidR="00EF31A5">
        <w:rPr>
          <w:rFonts w:ascii="Arial" w:hAnsi="Arial" w:cs="Arial"/>
          <w:sz w:val="22"/>
          <w:szCs w:val="22"/>
        </w:rPr>
        <w:t xml:space="preserve">fundamental </w:t>
      </w:r>
      <w:r w:rsidR="005D501E">
        <w:rPr>
          <w:rFonts w:ascii="Arial" w:hAnsi="Arial" w:cs="Arial"/>
          <w:sz w:val="22"/>
          <w:szCs w:val="22"/>
        </w:rPr>
        <w:t>verificar</w:t>
      </w:r>
      <w:r w:rsidR="00903B59" w:rsidRPr="00436C15">
        <w:rPr>
          <w:rFonts w:ascii="Arial" w:hAnsi="Arial" w:cs="Arial"/>
          <w:sz w:val="22"/>
          <w:szCs w:val="22"/>
        </w:rPr>
        <w:t xml:space="preserve"> </w:t>
      </w:r>
      <w:r w:rsidR="005D501E">
        <w:rPr>
          <w:rFonts w:ascii="Arial" w:hAnsi="Arial" w:cs="Arial"/>
          <w:sz w:val="22"/>
          <w:szCs w:val="22"/>
        </w:rPr>
        <w:t xml:space="preserve">si la misma </w:t>
      </w:r>
      <w:r w:rsidR="00903B59" w:rsidRPr="00436C15">
        <w:rPr>
          <w:rFonts w:ascii="Arial" w:hAnsi="Arial" w:cs="Arial"/>
          <w:sz w:val="22"/>
          <w:szCs w:val="22"/>
        </w:rPr>
        <w:t>encaja dentro de alguna de las establecidas en la</w:t>
      </w:r>
      <w:r w:rsidR="005D501E">
        <w:rPr>
          <w:rFonts w:ascii="Arial" w:hAnsi="Arial" w:cs="Arial"/>
          <w:sz w:val="22"/>
          <w:szCs w:val="22"/>
        </w:rPr>
        <w:t xml:space="preserve"> respectiva</w:t>
      </w:r>
      <w:r w:rsidR="00903B59" w:rsidRPr="00436C15">
        <w:rPr>
          <w:rFonts w:ascii="Arial" w:hAnsi="Arial" w:cs="Arial"/>
          <w:sz w:val="22"/>
          <w:szCs w:val="22"/>
        </w:rPr>
        <w:t xml:space="preserve"> matri</w:t>
      </w:r>
      <w:r w:rsidR="005D501E">
        <w:rPr>
          <w:rFonts w:ascii="Arial" w:hAnsi="Arial" w:cs="Arial"/>
          <w:sz w:val="22"/>
          <w:szCs w:val="22"/>
        </w:rPr>
        <w:t>z</w:t>
      </w:r>
      <w:r w:rsidR="00903B59" w:rsidRPr="00436C15">
        <w:rPr>
          <w:rFonts w:ascii="Arial" w:hAnsi="Arial" w:cs="Arial"/>
          <w:sz w:val="22"/>
          <w:szCs w:val="22"/>
        </w:rPr>
        <w:t xml:space="preserve"> de experiencia</w:t>
      </w:r>
      <w:r w:rsidR="009C7ABC">
        <w:rPr>
          <w:rFonts w:ascii="Arial" w:hAnsi="Arial" w:cs="Arial"/>
          <w:sz w:val="22"/>
          <w:szCs w:val="22"/>
        </w:rPr>
        <w:t>.</w:t>
      </w:r>
    </w:p>
    <w:p w14:paraId="61708473" w14:textId="589B1CE4" w:rsidR="00681066" w:rsidRPr="00AB1173" w:rsidRDefault="00544E01" w:rsidP="006D71E6">
      <w:pPr>
        <w:spacing w:before="120" w:line="276" w:lineRule="auto"/>
        <w:ind w:firstLine="709"/>
        <w:jc w:val="both"/>
        <w:rPr>
          <w:rFonts w:ascii="Arial" w:hAnsi="Arial" w:cs="Arial"/>
          <w:color w:val="000000"/>
          <w:sz w:val="22"/>
          <w:szCs w:val="22"/>
          <w:lang w:val="es-ES_tradnl"/>
        </w:rPr>
      </w:pPr>
      <w:r w:rsidRPr="00AB1173">
        <w:rPr>
          <w:rFonts w:ascii="Arial" w:hAnsi="Arial" w:cs="Arial"/>
          <w:sz w:val="22"/>
          <w:szCs w:val="22"/>
        </w:rPr>
        <w:t>Conforme a lo expuesto, a la fecha de expedición del presente concepto</w:t>
      </w:r>
      <w:r w:rsidR="006F7472" w:rsidRPr="00AB1173">
        <w:rPr>
          <w:rFonts w:ascii="Arial" w:hAnsi="Arial" w:cs="Arial"/>
          <w:sz w:val="22"/>
          <w:szCs w:val="22"/>
        </w:rPr>
        <w:t xml:space="preserve">, </w:t>
      </w:r>
      <w:r w:rsidR="00CA0EF7" w:rsidRPr="00AB1173">
        <w:rPr>
          <w:rStyle w:val="nfasis"/>
          <w:rFonts w:ascii="Arial" w:hAnsi="Arial" w:cs="Arial"/>
          <w:i w:val="0"/>
          <w:iCs w:val="0"/>
          <w:color w:val="333333"/>
          <w:sz w:val="22"/>
          <w:szCs w:val="22"/>
          <w:shd w:val="clear" w:color="auto" w:fill="FFFFFF"/>
        </w:rPr>
        <w:t xml:space="preserve">los documentos tipo expedidos por esta Agencia </w:t>
      </w:r>
      <w:r w:rsidR="0086758F" w:rsidRPr="00AB1173">
        <w:rPr>
          <w:rStyle w:val="nfasis"/>
          <w:rFonts w:ascii="Arial" w:hAnsi="Arial" w:cs="Arial"/>
          <w:i w:val="0"/>
          <w:iCs w:val="0"/>
          <w:color w:val="333333"/>
          <w:sz w:val="22"/>
          <w:szCs w:val="22"/>
          <w:shd w:val="clear" w:color="auto" w:fill="FFFFFF"/>
        </w:rPr>
        <w:t xml:space="preserve">se </w:t>
      </w:r>
      <w:r w:rsidR="00CA0EF7" w:rsidRPr="00AB1173">
        <w:rPr>
          <w:rStyle w:val="nfasis"/>
          <w:rFonts w:ascii="Arial" w:hAnsi="Arial" w:cs="Arial"/>
          <w:i w:val="0"/>
          <w:iCs w:val="0"/>
          <w:color w:val="333333"/>
          <w:sz w:val="22"/>
          <w:szCs w:val="22"/>
          <w:shd w:val="clear" w:color="auto" w:fill="FFFFFF"/>
        </w:rPr>
        <w:t xml:space="preserve">han </w:t>
      </w:r>
      <w:r w:rsidR="0086758F" w:rsidRPr="00AB1173">
        <w:rPr>
          <w:rStyle w:val="nfasis"/>
          <w:rFonts w:ascii="Arial" w:hAnsi="Arial" w:cs="Arial"/>
          <w:i w:val="0"/>
          <w:iCs w:val="0"/>
          <w:color w:val="333333"/>
          <w:sz w:val="22"/>
          <w:szCs w:val="22"/>
          <w:shd w:val="clear" w:color="auto" w:fill="FFFFFF"/>
        </w:rPr>
        <w:t>enfocado</w:t>
      </w:r>
      <w:r w:rsidR="00CA0EF7" w:rsidRPr="00AB1173">
        <w:rPr>
          <w:rStyle w:val="nfasis"/>
          <w:rFonts w:ascii="Arial" w:hAnsi="Arial" w:cs="Arial"/>
          <w:i w:val="0"/>
          <w:iCs w:val="0"/>
          <w:color w:val="333333"/>
          <w:sz w:val="22"/>
          <w:szCs w:val="22"/>
          <w:shd w:val="clear" w:color="auto" w:fill="FFFFFF"/>
        </w:rPr>
        <w:t xml:space="preserve"> </w:t>
      </w:r>
      <w:r w:rsidR="0086758F" w:rsidRPr="00AB1173">
        <w:rPr>
          <w:rStyle w:val="nfasis"/>
          <w:rFonts w:ascii="Arial" w:hAnsi="Arial" w:cs="Arial"/>
          <w:i w:val="0"/>
          <w:iCs w:val="0"/>
          <w:color w:val="333333"/>
          <w:sz w:val="22"/>
          <w:szCs w:val="22"/>
          <w:shd w:val="clear" w:color="auto" w:fill="FFFFFF"/>
        </w:rPr>
        <w:t xml:space="preserve">a </w:t>
      </w:r>
      <w:r w:rsidR="00CA0EF7" w:rsidRPr="00AB1173">
        <w:rPr>
          <w:rStyle w:val="nfasis"/>
          <w:rFonts w:ascii="Arial" w:hAnsi="Arial" w:cs="Arial"/>
          <w:i w:val="0"/>
          <w:iCs w:val="0"/>
          <w:color w:val="333333"/>
          <w:sz w:val="22"/>
          <w:szCs w:val="22"/>
          <w:shd w:val="clear" w:color="auto" w:fill="FFFFFF"/>
        </w:rPr>
        <w:t>las modalidades de licitación</w:t>
      </w:r>
      <w:r w:rsidR="0086758F" w:rsidRPr="00AB1173">
        <w:rPr>
          <w:rStyle w:val="nfasis"/>
          <w:rFonts w:ascii="Arial" w:hAnsi="Arial" w:cs="Arial"/>
          <w:i w:val="0"/>
          <w:iCs w:val="0"/>
          <w:color w:val="333333"/>
          <w:sz w:val="22"/>
          <w:szCs w:val="22"/>
          <w:shd w:val="clear" w:color="auto" w:fill="FFFFFF"/>
        </w:rPr>
        <w:t xml:space="preserve"> pública</w:t>
      </w:r>
      <w:r w:rsidR="00CA0EF7" w:rsidRPr="00AB1173">
        <w:rPr>
          <w:rStyle w:val="nfasis"/>
          <w:rFonts w:ascii="Arial" w:hAnsi="Arial" w:cs="Arial"/>
          <w:i w:val="0"/>
          <w:iCs w:val="0"/>
          <w:color w:val="333333"/>
          <w:sz w:val="22"/>
          <w:szCs w:val="22"/>
          <w:shd w:val="clear" w:color="auto" w:fill="FFFFFF"/>
        </w:rPr>
        <w:t>, selección abreviada</w:t>
      </w:r>
      <w:r w:rsidR="0086758F" w:rsidRPr="00AB1173">
        <w:rPr>
          <w:rStyle w:val="nfasis"/>
          <w:rFonts w:ascii="Arial" w:hAnsi="Arial" w:cs="Arial"/>
          <w:i w:val="0"/>
          <w:iCs w:val="0"/>
          <w:color w:val="333333"/>
          <w:sz w:val="22"/>
          <w:szCs w:val="22"/>
          <w:shd w:val="clear" w:color="auto" w:fill="FFFFFF"/>
        </w:rPr>
        <w:t xml:space="preserve"> de menor cuantía</w:t>
      </w:r>
      <w:r w:rsidR="00CA0EF7" w:rsidRPr="00AB1173">
        <w:rPr>
          <w:rStyle w:val="nfasis"/>
          <w:rFonts w:ascii="Arial" w:hAnsi="Arial" w:cs="Arial"/>
          <w:i w:val="0"/>
          <w:iCs w:val="0"/>
          <w:color w:val="333333"/>
          <w:sz w:val="22"/>
          <w:szCs w:val="22"/>
          <w:shd w:val="clear" w:color="auto" w:fill="FFFFFF"/>
        </w:rPr>
        <w:t>, mínima cuantía y concurso de méritos</w:t>
      </w:r>
      <w:r w:rsidR="0073558B" w:rsidRPr="00AB1173">
        <w:rPr>
          <w:rStyle w:val="nfasis"/>
          <w:rFonts w:ascii="Arial" w:hAnsi="Arial" w:cs="Arial"/>
          <w:i w:val="0"/>
          <w:iCs w:val="0"/>
          <w:color w:val="333333"/>
          <w:sz w:val="22"/>
          <w:szCs w:val="22"/>
          <w:shd w:val="clear" w:color="auto" w:fill="FFFFFF"/>
        </w:rPr>
        <w:t xml:space="preserve">. Para lo diferentes supuestos de contratación directa </w:t>
      </w:r>
      <w:r w:rsidR="0073558B" w:rsidRPr="00AB1173">
        <w:rPr>
          <w:rFonts w:ascii="Arial" w:hAnsi="Arial" w:cs="Arial"/>
          <w:sz w:val="22"/>
          <w:szCs w:val="22"/>
        </w:rPr>
        <w:t>regulados</w:t>
      </w:r>
      <w:r w:rsidR="006F7472" w:rsidRPr="00AB1173">
        <w:rPr>
          <w:rFonts w:ascii="Arial" w:hAnsi="Arial" w:cs="Arial"/>
          <w:sz w:val="22"/>
          <w:szCs w:val="22"/>
        </w:rPr>
        <w:t xml:space="preserve"> </w:t>
      </w:r>
      <w:r w:rsidR="0073558B" w:rsidRPr="00AB1173">
        <w:rPr>
          <w:rFonts w:ascii="Arial" w:hAnsi="Arial" w:cs="Arial"/>
          <w:sz w:val="22"/>
          <w:szCs w:val="22"/>
        </w:rPr>
        <w:t xml:space="preserve">por </w:t>
      </w:r>
      <w:r w:rsidR="006F7472" w:rsidRPr="00AB1173">
        <w:rPr>
          <w:rFonts w:ascii="Arial" w:hAnsi="Arial" w:cs="Arial"/>
          <w:sz w:val="22"/>
          <w:szCs w:val="22"/>
        </w:rPr>
        <w:t xml:space="preserve">el artículo 2-4 de la Ley 1150 de 2007, reglamentados </w:t>
      </w:r>
      <w:proofErr w:type="gramStart"/>
      <w:r w:rsidR="006F7472" w:rsidRPr="00AB1173">
        <w:rPr>
          <w:rFonts w:ascii="Arial" w:hAnsi="Arial" w:cs="Arial"/>
          <w:sz w:val="22"/>
          <w:szCs w:val="22"/>
        </w:rPr>
        <w:t xml:space="preserve">en </w:t>
      </w:r>
      <w:r w:rsidR="00681066" w:rsidRPr="00AB1173">
        <w:rPr>
          <w:rFonts w:ascii="Arial" w:eastAsia="Arial" w:hAnsi="Arial" w:cs="Arial"/>
          <w:sz w:val="22"/>
          <w:szCs w:val="22"/>
          <w:lang w:eastAsia="en-US"/>
        </w:rPr>
        <w:t xml:space="preserve"> el</w:t>
      </w:r>
      <w:proofErr w:type="gramEnd"/>
      <w:r w:rsidR="00681066" w:rsidRPr="00AB1173">
        <w:rPr>
          <w:rFonts w:ascii="Arial" w:eastAsia="Arial" w:hAnsi="Arial" w:cs="Arial"/>
          <w:sz w:val="22"/>
          <w:szCs w:val="22"/>
          <w:lang w:eastAsia="en-US"/>
        </w:rPr>
        <w:t xml:space="preserve"> </w:t>
      </w:r>
      <w:r w:rsidR="006F7472" w:rsidRPr="00AB1173">
        <w:rPr>
          <w:rFonts w:ascii="Arial" w:eastAsia="Arial" w:hAnsi="Arial" w:cs="Arial"/>
          <w:sz w:val="22"/>
          <w:szCs w:val="22"/>
          <w:lang w:eastAsia="en-US"/>
        </w:rPr>
        <w:t>C</w:t>
      </w:r>
      <w:r w:rsidR="00681066" w:rsidRPr="00AB1173">
        <w:rPr>
          <w:rFonts w:ascii="Arial" w:eastAsia="Arial" w:hAnsi="Arial" w:cs="Arial"/>
          <w:sz w:val="22"/>
          <w:szCs w:val="22"/>
          <w:lang w:eastAsia="en-US"/>
        </w:rPr>
        <w:t xml:space="preserve">apítulo 2, </w:t>
      </w:r>
      <w:r w:rsidR="006F7472" w:rsidRPr="00AB1173">
        <w:rPr>
          <w:rFonts w:ascii="Arial" w:eastAsia="Arial" w:hAnsi="Arial" w:cs="Arial"/>
          <w:sz w:val="22"/>
          <w:szCs w:val="22"/>
          <w:lang w:eastAsia="en-US"/>
        </w:rPr>
        <w:t>S</w:t>
      </w:r>
      <w:r w:rsidR="00681066" w:rsidRPr="00AB1173">
        <w:rPr>
          <w:rFonts w:ascii="Arial" w:eastAsia="Arial" w:hAnsi="Arial" w:cs="Arial"/>
          <w:sz w:val="22"/>
          <w:szCs w:val="22"/>
          <w:lang w:eastAsia="en-US"/>
        </w:rPr>
        <w:t xml:space="preserve">ección 1, </w:t>
      </w:r>
      <w:r w:rsidR="006F7472" w:rsidRPr="00AB1173">
        <w:rPr>
          <w:rFonts w:ascii="Arial" w:eastAsia="Arial" w:hAnsi="Arial" w:cs="Arial"/>
          <w:sz w:val="22"/>
          <w:szCs w:val="22"/>
          <w:lang w:eastAsia="en-US"/>
        </w:rPr>
        <w:t>S</w:t>
      </w:r>
      <w:r w:rsidR="00681066" w:rsidRPr="00AB1173">
        <w:rPr>
          <w:rFonts w:ascii="Arial" w:eastAsia="Arial" w:hAnsi="Arial" w:cs="Arial"/>
          <w:sz w:val="22"/>
          <w:szCs w:val="22"/>
          <w:lang w:eastAsia="en-US"/>
        </w:rPr>
        <w:t>ubsección 4</w:t>
      </w:r>
      <w:r w:rsidR="006F7472" w:rsidRPr="00AB1173">
        <w:rPr>
          <w:rFonts w:ascii="Arial" w:hAnsi="Arial" w:cs="Arial"/>
          <w:sz w:val="22"/>
          <w:szCs w:val="22"/>
        </w:rPr>
        <w:t xml:space="preserve"> del Decreto 1082 de 2015</w:t>
      </w:r>
      <w:r w:rsidR="0073558B" w:rsidRPr="00AB1173">
        <w:rPr>
          <w:rFonts w:ascii="Arial" w:hAnsi="Arial" w:cs="Arial"/>
          <w:sz w:val="22"/>
          <w:szCs w:val="22"/>
        </w:rPr>
        <w:t>, no se han</w:t>
      </w:r>
      <w:r w:rsidR="00271358" w:rsidRPr="00AB1173">
        <w:rPr>
          <w:rFonts w:ascii="Arial" w:hAnsi="Arial" w:cs="Arial"/>
          <w:sz w:val="22"/>
          <w:szCs w:val="22"/>
        </w:rPr>
        <w:t xml:space="preserve"> expedido</w:t>
      </w:r>
      <w:r w:rsidR="00666AF6" w:rsidRPr="00AB1173">
        <w:rPr>
          <w:rFonts w:ascii="Arial" w:hAnsi="Arial" w:cs="Arial"/>
          <w:sz w:val="22"/>
          <w:szCs w:val="22"/>
        </w:rPr>
        <w:t xml:space="preserve"> más documentos tipo que los adoptados mediante la </w:t>
      </w:r>
      <w:r w:rsidR="00666AF6" w:rsidRPr="00AB1173">
        <w:rPr>
          <w:rFonts w:ascii="Arial" w:hAnsi="Arial" w:cs="Arial"/>
          <w:color w:val="000000"/>
          <w:sz w:val="22"/>
          <w:szCs w:val="22"/>
          <w:lang w:val="es-ES_tradnl"/>
        </w:rPr>
        <w:t>la Resolución 269 de 2020, «Por la cual se adopta el documento tipo para los procesos de gestión catastral con enfoque multipropósito que se celebren a través de contratos interadministrativos».</w:t>
      </w:r>
      <w:r w:rsidR="00AB1173" w:rsidRPr="00AB1173">
        <w:rPr>
          <w:rStyle w:val="nfasis"/>
          <w:rFonts w:ascii="Arial" w:hAnsi="Arial" w:cs="Arial"/>
          <w:i w:val="0"/>
          <w:iCs w:val="0"/>
          <w:color w:val="333333"/>
          <w:sz w:val="22"/>
          <w:szCs w:val="22"/>
          <w:shd w:val="clear" w:color="auto" w:fill="FFFFFF"/>
        </w:rPr>
        <w:t xml:space="preserve"> </w:t>
      </w:r>
      <w:r w:rsidR="00666AF6" w:rsidRPr="00AB1173">
        <w:rPr>
          <w:rStyle w:val="nfasis"/>
          <w:rFonts w:ascii="Arial" w:hAnsi="Arial" w:cs="Arial"/>
          <w:i w:val="0"/>
          <w:iCs w:val="0"/>
          <w:color w:val="333333"/>
          <w:sz w:val="22"/>
          <w:szCs w:val="22"/>
          <w:shd w:val="clear" w:color="auto" w:fill="FFFFFF"/>
        </w:rPr>
        <w:t xml:space="preserve">Sin embargo, los documentos tipo de </w:t>
      </w:r>
      <w:r w:rsidR="000565C5" w:rsidRPr="00AB1173">
        <w:rPr>
          <w:rStyle w:val="nfasis"/>
          <w:rFonts w:ascii="Arial" w:hAnsi="Arial" w:cs="Arial"/>
          <w:i w:val="0"/>
          <w:iCs w:val="0"/>
          <w:color w:val="333333"/>
          <w:sz w:val="22"/>
          <w:szCs w:val="22"/>
          <w:shd w:val="clear" w:color="auto" w:fill="FFFFFF"/>
        </w:rPr>
        <w:t xml:space="preserve">adoptados mediante </w:t>
      </w:r>
      <w:r w:rsidR="000565C5" w:rsidRPr="00AB1173">
        <w:rPr>
          <w:rStyle w:val="nfasis"/>
          <w:rFonts w:ascii="Arial" w:hAnsi="Arial" w:cs="Arial"/>
          <w:i w:val="0"/>
          <w:iCs w:val="0"/>
          <w:color w:val="333333"/>
          <w:sz w:val="22"/>
          <w:szCs w:val="22"/>
          <w:shd w:val="clear" w:color="auto" w:fill="FFFFFF"/>
        </w:rPr>
        <w:lastRenderedPageBreak/>
        <w:t xml:space="preserve">dicha resolución </w:t>
      </w:r>
      <w:r w:rsidR="000565C5" w:rsidRPr="00AB1173">
        <w:rPr>
          <w:rFonts w:ascii="Arial" w:eastAsia="Arial" w:hAnsi="Arial" w:cs="Arial"/>
          <w:color w:val="000000"/>
          <w:sz w:val="22"/>
          <w:szCs w:val="22"/>
          <w:lang w:eastAsia="en-US"/>
        </w:rPr>
        <w:t>solo son aplicables de manera obligatoria</w:t>
      </w:r>
      <w:r w:rsidR="00681066" w:rsidRPr="00AB1173">
        <w:rPr>
          <w:rFonts w:ascii="Arial" w:eastAsia="Arial" w:hAnsi="Arial" w:cs="Arial"/>
          <w:color w:val="000000"/>
          <w:sz w:val="22"/>
          <w:szCs w:val="22"/>
          <w:lang w:eastAsia="en-US"/>
        </w:rPr>
        <w:t xml:space="preserve"> </w:t>
      </w:r>
      <w:proofErr w:type="gramStart"/>
      <w:r w:rsidR="00AB1173" w:rsidRPr="00AB1173">
        <w:rPr>
          <w:rFonts w:ascii="Arial" w:eastAsia="Arial" w:hAnsi="Arial" w:cs="Arial"/>
          <w:color w:val="000000"/>
          <w:sz w:val="22"/>
          <w:szCs w:val="22"/>
          <w:lang w:eastAsia="en-US"/>
        </w:rPr>
        <w:t>a los</w:t>
      </w:r>
      <w:r w:rsidR="008B3C0F" w:rsidRPr="00AB1173">
        <w:rPr>
          <w:rFonts w:ascii="Arial" w:eastAsia="Arial" w:hAnsi="Arial" w:cs="Arial"/>
          <w:color w:val="000000"/>
          <w:sz w:val="22"/>
          <w:szCs w:val="22"/>
          <w:lang w:eastAsia="en-US"/>
        </w:rPr>
        <w:t xml:space="preserve"> </w:t>
      </w:r>
      <w:r w:rsidR="00681066" w:rsidRPr="00AB1173">
        <w:rPr>
          <w:rFonts w:ascii="Arial" w:eastAsia="Arial" w:hAnsi="Arial" w:cs="Arial"/>
          <w:color w:val="000000"/>
          <w:sz w:val="22"/>
          <w:szCs w:val="22"/>
          <w:lang w:eastAsia="en-US"/>
        </w:rPr>
        <w:t>contrato interadministrativo</w:t>
      </w:r>
      <w:proofErr w:type="gramEnd"/>
      <w:r w:rsidR="00AB1173" w:rsidRPr="00AB1173">
        <w:rPr>
          <w:rFonts w:ascii="Arial" w:eastAsia="Arial" w:hAnsi="Arial" w:cs="Arial"/>
          <w:color w:val="000000"/>
          <w:sz w:val="22"/>
          <w:szCs w:val="22"/>
          <w:lang w:eastAsia="en-US"/>
        </w:rPr>
        <w:t xml:space="preserve">, mediante los </w:t>
      </w:r>
      <w:r w:rsidR="00681066" w:rsidRPr="00AB1173">
        <w:rPr>
          <w:rFonts w:ascii="Arial" w:hAnsi="Arial" w:cs="Arial"/>
          <w:color w:val="000000"/>
          <w:sz w:val="22"/>
          <w:szCs w:val="22"/>
          <w:lang w:val="es-ES_tradnl"/>
        </w:rPr>
        <w:t xml:space="preserve">se </w:t>
      </w:r>
      <w:r w:rsidR="00AB1173" w:rsidRPr="00AB1173">
        <w:rPr>
          <w:rFonts w:ascii="Arial" w:hAnsi="Arial" w:cs="Arial"/>
          <w:color w:val="000000"/>
          <w:sz w:val="22"/>
          <w:szCs w:val="22"/>
          <w:lang w:val="es-ES_tradnl"/>
        </w:rPr>
        <w:t>contrate</w:t>
      </w:r>
      <w:r w:rsidR="00681066" w:rsidRPr="00AB1173">
        <w:rPr>
          <w:rFonts w:ascii="Arial" w:hAnsi="Arial" w:cs="Arial"/>
          <w:color w:val="000000"/>
          <w:sz w:val="22"/>
          <w:szCs w:val="22"/>
          <w:lang w:val="es-ES_tradnl"/>
        </w:rPr>
        <w:t xml:space="preserve"> de manera integral la prestación del servicio público de gestión catastral. </w:t>
      </w:r>
    </w:p>
    <w:p w14:paraId="5C5B01B4" w14:textId="77777777" w:rsidR="00BF7EB0" w:rsidRDefault="00BF7EB0" w:rsidP="006D71E6">
      <w:pPr>
        <w:spacing w:line="276" w:lineRule="auto"/>
        <w:ind w:firstLine="709"/>
        <w:jc w:val="both"/>
        <w:rPr>
          <w:rFonts w:ascii="Arial" w:hAnsi="Arial" w:cs="Arial"/>
          <w:color w:val="000000"/>
          <w:sz w:val="22"/>
          <w:szCs w:val="22"/>
          <w:lang w:val="es-ES_tradnl"/>
        </w:rPr>
      </w:pPr>
    </w:p>
    <w:p w14:paraId="74B54C2A" w14:textId="77777777" w:rsidR="00EC2321" w:rsidRPr="00617057" w:rsidRDefault="00EC2321" w:rsidP="00EC2321">
      <w:pPr>
        <w:spacing w:line="276" w:lineRule="auto"/>
        <w:jc w:val="both"/>
        <w:rPr>
          <w:rFonts w:ascii="Arial" w:eastAsia="Calibri" w:hAnsi="Arial" w:cs="Arial"/>
          <w:sz w:val="22"/>
          <w:lang w:val="es-ES"/>
        </w:rPr>
      </w:pPr>
      <w:r w:rsidRPr="00617057">
        <w:rPr>
          <w:rFonts w:ascii="Arial" w:eastAsia="Calibri" w:hAnsi="Arial" w:cs="Arial"/>
          <w:sz w:val="22"/>
          <w:szCs w:val="22"/>
          <w:lang w:val="es-ES"/>
        </w:rPr>
        <w:t>Este concepto tiene el alcance previsto en el artículo 28 del Cód</w:t>
      </w:r>
      <w:r w:rsidRPr="00617057">
        <w:rPr>
          <w:rFonts w:ascii="Arial" w:eastAsia="Calibri" w:hAnsi="Arial" w:cs="Arial"/>
          <w:sz w:val="22"/>
          <w:lang w:val="es-ES"/>
        </w:rPr>
        <w:t>igo de Procedimiento Administrativo y de lo Contencioso Administrativo.</w:t>
      </w:r>
    </w:p>
    <w:p w14:paraId="6A37EC07" w14:textId="77777777" w:rsidR="00EC2321" w:rsidRPr="00617057" w:rsidRDefault="00EC2321" w:rsidP="00EC2321">
      <w:pPr>
        <w:jc w:val="both"/>
        <w:rPr>
          <w:rFonts w:ascii="Arial" w:eastAsia="Calibri" w:hAnsi="Arial" w:cs="Arial"/>
          <w:sz w:val="22"/>
          <w:lang w:val="es-ES"/>
        </w:rPr>
      </w:pPr>
    </w:p>
    <w:p w14:paraId="7E66C3A6" w14:textId="126D4E27" w:rsidR="00EC2321" w:rsidRPr="00617057" w:rsidRDefault="00EC2321" w:rsidP="00EC2321">
      <w:pPr>
        <w:jc w:val="both"/>
        <w:rPr>
          <w:rFonts w:ascii="Arial" w:hAnsi="Arial" w:cs="Arial"/>
          <w:sz w:val="22"/>
          <w:lang w:val="es-ES" w:eastAsia="es-CO"/>
        </w:rPr>
      </w:pPr>
      <w:r w:rsidRPr="00617057">
        <w:rPr>
          <w:rFonts w:ascii="Arial" w:hAnsi="Arial" w:cs="Arial"/>
          <w:sz w:val="22"/>
          <w:lang w:val="es-ES" w:eastAsia="es-CO"/>
        </w:rPr>
        <w:t>Atentamente,</w:t>
      </w:r>
    </w:p>
    <w:p w14:paraId="065BE997" w14:textId="0F1CFAE8" w:rsidR="00EC2321" w:rsidRPr="006B6003" w:rsidRDefault="00EC2321" w:rsidP="00EC2321">
      <w:pPr>
        <w:jc w:val="both"/>
        <w:rPr>
          <w:rFonts w:ascii="Arial" w:hAnsi="Arial" w:cs="Arial"/>
          <w:color w:val="FF0000"/>
          <w:sz w:val="22"/>
          <w:lang w:val="es-ES" w:eastAsia="es-CO"/>
        </w:rPr>
      </w:pPr>
    </w:p>
    <w:p w14:paraId="476CA1DA" w14:textId="3BA304A3" w:rsidR="00EC2321" w:rsidRPr="00731BD9" w:rsidRDefault="00E710C7" w:rsidP="00EC2321">
      <w:pPr>
        <w:jc w:val="center"/>
        <w:rPr>
          <w:rFonts w:ascii="Arial" w:hAnsi="Arial" w:cs="Arial"/>
          <w:sz w:val="18"/>
          <w:szCs w:val="20"/>
          <w:lang w:val="es-ES" w:eastAsia="es-CO"/>
        </w:rPr>
      </w:pPr>
      <w:r>
        <w:rPr>
          <w:rFonts w:ascii="Arial" w:hAnsi="Arial" w:cs="Arial"/>
          <w:noProof/>
          <w:color w:val="FF0000"/>
          <w:sz w:val="22"/>
          <w:lang w:val="es-ES"/>
        </w:rPr>
        <w:drawing>
          <wp:inline distT="0" distB="0" distL="0" distR="0" wp14:anchorId="68C316EA" wp14:editId="2E9327F9">
            <wp:extent cx="2517140" cy="11137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140" cy="1113790"/>
                    </a:xfrm>
                    <a:prstGeom prst="rect">
                      <a:avLst/>
                    </a:prstGeom>
                    <a:noFill/>
                    <a:ln>
                      <a:noFill/>
                    </a:ln>
                  </pic:spPr>
                </pic:pic>
              </a:graphicData>
            </a:graphic>
          </wp:inline>
        </w:drawing>
      </w:r>
      <w:r>
        <w:rPr>
          <w:rFonts w:ascii="Arial" w:hAnsi="Arial" w:cs="Arial"/>
          <w:color w:val="000000"/>
          <w:sz w:val="18"/>
          <w:szCs w:val="18"/>
          <w:shd w:val="clear" w:color="auto" w:fill="FFFFFF"/>
          <w:lang w:val="es-MX"/>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31BD9" w:rsidRPr="00731BD9" w14:paraId="61F17722" w14:textId="77777777" w:rsidTr="000825CA">
        <w:trPr>
          <w:trHeight w:val="315"/>
        </w:trPr>
        <w:tc>
          <w:tcPr>
            <w:tcW w:w="812" w:type="dxa"/>
            <w:vAlign w:val="center"/>
            <w:hideMark/>
          </w:tcPr>
          <w:p w14:paraId="2431D149"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636AA53" w14:textId="34289135" w:rsidR="00EC2321" w:rsidRPr="00731BD9" w:rsidRDefault="00F33AE9" w:rsidP="000825CA">
            <w:pPr>
              <w:rPr>
                <w:rFonts w:ascii="Arial" w:hAnsi="Arial" w:cs="Arial"/>
                <w:sz w:val="16"/>
                <w:szCs w:val="16"/>
                <w:lang w:val="es-ES" w:eastAsia="es-ES"/>
              </w:rPr>
            </w:pPr>
            <w:r w:rsidRPr="00731BD9">
              <w:rPr>
                <w:rFonts w:ascii="Arial" w:hAnsi="Arial" w:cs="Arial"/>
                <w:sz w:val="16"/>
                <w:szCs w:val="16"/>
                <w:lang w:val="es-ES" w:eastAsia="es-ES"/>
              </w:rPr>
              <w:t>Diana Lucia Saavedra Castañeda</w:t>
            </w:r>
          </w:p>
          <w:p w14:paraId="1A30EC99"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Contratista de la Subdirección de Gestión Contractual</w:t>
            </w:r>
          </w:p>
        </w:tc>
      </w:tr>
      <w:tr w:rsidR="00731BD9" w:rsidRPr="00731BD9" w14:paraId="46D7155B" w14:textId="77777777" w:rsidTr="000825CA">
        <w:trPr>
          <w:trHeight w:val="330"/>
        </w:trPr>
        <w:tc>
          <w:tcPr>
            <w:tcW w:w="812" w:type="dxa"/>
            <w:vAlign w:val="center"/>
            <w:hideMark/>
          </w:tcPr>
          <w:p w14:paraId="07742D1F"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F3A29B"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Alejandro Sarmiento Cantillo</w:t>
            </w:r>
          </w:p>
          <w:p w14:paraId="33B1CB75" w14:textId="6F063503"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Gestor T1-1</w:t>
            </w:r>
            <w:r w:rsidR="00911CA8" w:rsidRPr="00731BD9">
              <w:rPr>
                <w:rFonts w:ascii="Arial" w:hAnsi="Arial" w:cs="Arial"/>
                <w:sz w:val="16"/>
                <w:szCs w:val="16"/>
                <w:lang w:val="es-ES" w:eastAsia="es-ES"/>
              </w:rPr>
              <w:t>5</w:t>
            </w:r>
            <w:r w:rsidRPr="00731BD9">
              <w:rPr>
                <w:rFonts w:ascii="Arial" w:hAnsi="Arial" w:cs="Arial"/>
                <w:sz w:val="16"/>
                <w:szCs w:val="16"/>
                <w:lang w:val="es-ES" w:eastAsia="es-ES"/>
              </w:rPr>
              <w:t xml:space="preserve"> de la Subdirección de Gestión Contractual</w:t>
            </w:r>
          </w:p>
        </w:tc>
      </w:tr>
      <w:tr w:rsidR="006B6003" w:rsidRPr="00731BD9" w14:paraId="76DA5480" w14:textId="77777777" w:rsidTr="000825CA">
        <w:trPr>
          <w:trHeight w:val="300"/>
        </w:trPr>
        <w:tc>
          <w:tcPr>
            <w:tcW w:w="812" w:type="dxa"/>
            <w:vAlign w:val="center"/>
            <w:hideMark/>
          </w:tcPr>
          <w:p w14:paraId="445B1355"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018475"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Jorge Augusto Tirado Navarro</w:t>
            </w:r>
          </w:p>
          <w:p w14:paraId="564381E0" w14:textId="77777777" w:rsidR="00EC2321" w:rsidRPr="00731BD9" w:rsidRDefault="00EC2321" w:rsidP="000825CA">
            <w:pPr>
              <w:rPr>
                <w:rFonts w:ascii="Arial" w:hAnsi="Arial" w:cs="Arial"/>
                <w:sz w:val="16"/>
                <w:szCs w:val="16"/>
                <w:lang w:val="es-ES" w:eastAsia="es-ES"/>
              </w:rPr>
            </w:pPr>
            <w:r w:rsidRPr="00731BD9">
              <w:rPr>
                <w:rFonts w:ascii="Arial" w:hAnsi="Arial" w:cs="Arial"/>
                <w:sz w:val="16"/>
                <w:szCs w:val="16"/>
                <w:lang w:val="es-ES" w:eastAsia="es-ES"/>
              </w:rPr>
              <w:t>Subdirector de Gestión Contractual ANCP – CCE</w:t>
            </w:r>
          </w:p>
        </w:tc>
      </w:tr>
    </w:tbl>
    <w:p w14:paraId="30E8A272" w14:textId="77777777" w:rsidR="00EC2321" w:rsidRPr="00731BD9" w:rsidRDefault="00EC2321" w:rsidP="00EC2321"/>
    <w:p w14:paraId="67ACB146" w14:textId="77777777" w:rsidR="00EC2321" w:rsidRPr="006B6003" w:rsidRDefault="00EC2321" w:rsidP="00EC2321">
      <w:pPr>
        <w:rPr>
          <w:color w:val="FF0000"/>
        </w:rPr>
      </w:pPr>
    </w:p>
    <w:p w14:paraId="64D353C4" w14:textId="77777777" w:rsidR="00587611" w:rsidRPr="006B6003" w:rsidRDefault="00587611">
      <w:pPr>
        <w:rPr>
          <w:color w:val="FF0000"/>
        </w:rPr>
      </w:pPr>
    </w:p>
    <w:sectPr w:rsidR="00587611" w:rsidRPr="006B6003"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9693" w14:textId="77777777" w:rsidR="00A3399C" w:rsidRDefault="00A3399C" w:rsidP="00EC2321">
      <w:r>
        <w:separator/>
      </w:r>
    </w:p>
  </w:endnote>
  <w:endnote w:type="continuationSeparator" w:id="0">
    <w:p w14:paraId="313A641C" w14:textId="77777777" w:rsidR="00A3399C" w:rsidRDefault="00A3399C" w:rsidP="00E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B0EF" w14:textId="77777777" w:rsidR="00387886" w:rsidRDefault="00A3399C" w:rsidP="007F1895">
    <w:pPr>
      <w:pStyle w:val="Sinespaciado"/>
      <w:jc w:val="right"/>
      <w:rPr>
        <w:rFonts w:ascii="Arial" w:hAnsi="Arial" w:cs="Arial"/>
        <w:sz w:val="18"/>
        <w:szCs w:val="18"/>
      </w:rPr>
    </w:pPr>
  </w:p>
  <w:p w14:paraId="4217671D" w14:textId="77777777" w:rsidR="00387886" w:rsidRDefault="00A3399C" w:rsidP="007F1895">
    <w:pPr>
      <w:pStyle w:val="Sinespaciado"/>
      <w:jc w:val="right"/>
      <w:rPr>
        <w:rFonts w:ascii="Arial" w:hAnsi="Arial" w:cs="Arial"/>
        <w:sz w:val="18"/>
        <w:szCs w:val="18"/>
      </w:rPr>
    </w:pPr>
  </w:p>
  <w:p w14:paraId="16DB9669" w14:textId="77777777" w:rsidR="00387886" w:rsidRPr="008217B7" w:rsidRDefault="0014475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125E994" w14:textId="77777777" w:rsidR="00387886" w:rsidRDefault="00144756" w:rsidP="007F1895">
    <w:pPr>
      <w:pStyle w:val="Piedepgina"/>
      <w:jc w:val="center"/>
      <w:rPr>
        <w:lang w:val="es-ES"/>
      </w:rPr>
    </w:pPr>
    <w:r>
      <w:rPr>
        <w:noProof/>
      </w:rPr>
      <w:drawing>
        <wp:inline distT="0" distB="0" distL="0" distR="0" wp14:anchorId="4DF1C69C" wp14:editId="4F5D3DA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67E856B" w14:textId="77777777" w:rsidR="00387886" w:rsidRPr="00E756AC" w:rsidRDefault="00A3399C" w:rsidP="007F1895">
    <w:pPr>
      <w:pStyle w:val="Piedepgina"/>
      <w:jc w:val="center"/>
      <w:rPr>
        <w:sz w:val="18"/>
        <w:szCs w:val="18"/>
        <w:lang w:val="es-ES"/>
      </w:rPr>
    </w:pPr>
  </w:p>
  <w:p w14:paraId="5ED12B9E" w14:textId="77777777" w:rsidR="00387886" w:rsidRPr="00E756AC" w:rsidRDefault="00A3399C"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15AF" w14:textId="77777777" w:rsidR="00A3399C" w:rsidRDefault="00A3399C" w:rsidP="00EC2321">
      <w:r>
        <w:separator/>
      </w:r>
    </w:p>
  </w:footnote>
  <w:footnote w:type="continuationSeparator" w:id="0">
    <w:p w14:paraId="5CFB40A4" w14:textId="77777777" w:rsidR="00A3399C" w:rsidRDefault="00A3399C" w:rsidP="00EC2321">
      <w:r>
        <w:continuationSeparator/>
      </w:r>
    </w:p>
  </w:footnote>
  <w:footnote w:id="1">
    <w:p w14:paraId="257800F9" w14:textId="4FEA3BBF" w:rsidR="00491F90" w:rsidRPr="006D71E6" w:rsidRDefault="00491F90" w:rsidP="006D71E6">
      <w:pPr>
        <w:pStyle w:val="Textonotapie"/>
        <w:ind w:firstLine="708"/>
        <w:jc w:val="both"/>
        <w:rPr>
          <w:rFonts w:ascii="Arial" w:hAnsi="Arial" w:cs="Arial"/>
          <w:sz w:val="19"/>
          <w:szCs w:val="19"/>
        </w:rPr>
      </w:pPr>
      <w:r w:rsidRPr="006D71E6">
        <w:rPr>
          <w:rStyle w:val="Refdenotaalpie"/>
          <w:rFonts w:ascii="Arial" w:hAnsi="Arial" w:cs="Arial"/>
          <w:sz w:val="19"/>
          <w:szCs w:val="19"/>
        </w:rPr>
        <w:footnoteRef/>
      </w:r>
      <w:r w:rsidRPr="006D71E6">
        <w:rPr>
          <w:rFonts w:ascii="Arial" w:hAnsi="Arial" w:cs="Arial"/>
          <w:sz w:val="19"/>
          <w:szCs w:val="19"/>
        </w:rPr>
        <w:t xml:space="preserve"> La Agencia también se ha referido a temas relacionados con la aplicación de documentos tipo en los conceptos C-144 del 2 de marzo de 2020, C-143 del 18 de marzo de 2020, C-286 del 26 de mayo de 2020, C-450 del 3 de agosto de 2020, C-643 del 26 de octubre de 2020, C-773 del 14 de enero de 2021, C-789 del 19 de enero de 2021, C-011 del 16 de febrero de 2021, C-031 del 1 de febrero de 2021, C-064 del 8 de marzo de 2021, C-071 del 17 de marzo de 2021, C-083 del 18 de marzo de 2021, C-153 del 20 de abril de 2021, C-157 del 13 de abril de 2021, C-179 del 28 de abril de 2021, C-204 del 6 de mayo de 2021, C-212 del 12 de julio de 2021, C-217 del 14 de mayo de 2021, C-232 del 24 de mayo de 2021, C-263 del 3 de junio de 2021, C-266 del 3 de junio de 2021, C-267 del 2 de junio de 2021, C-268 de 3 de junio de 2021, C-287 del 18 de junio de 2021, C-301 del 16 de junio de 2021, C-304 del 28 de junio de 2021, C-361 del 9 de agosto de 2021, C-370 del 28 de julio de 2021, C-380 del 29 de julio de 2021, C-383 del 2 de agosto de 2021, C-402 del 19 de agosto de 2021, C-405 del 10 de agosto de 2021, C-450 del 31 de agosto de 2021, C-461 del 30 de agosto de 2021, C-464 del 13 de septiembre de 2021, C-470 del 7 de septiembre de 2021, C-471 del 30 de agosto de 2021, C-477 del 6 de septiembre de 2021, C-479 del 9 de septiembre de 2021, C-492 del 14 de septiembre de 2021, C-493 del 14 de septiembre de 2021</w:t>
      </w:r>
      <w:r w:rsidR="00084AFF" w:rsidRPr="006D71E6">
        <w:rPr>
          <w:rFonts w:ascii="Arial" w:hAnsi="Arial" w:cs="Arial"/>
          <w:sz w:val="19"/>
          <w:szCs w:val="19"/>
        </w:rPr>
        <w:t xml:space="preserve">. Estos y otros conceptos se encuentran disponibles en la </w:t>
      </w:r>
      <w:r w:rsidR="00A23E4B" w:rsidRPr="006D71E6">
        <w:rPr>
          <w:rFonts w:ascii="Arial" w:hAnsi="Arial" w:cs="Arial"/>
          <w:sz w:val="19"/>
          <w:szCs w:val="19"/>
        </w:rPr>
        <w:t xml:space="preserve">página web: </w:t>
      </w:r>
      <w:hyperlink r:id="rId1" w:history="1">
        <w:r w:rsidR="00A23E4B" w:rsidRPr="006D71E6">
          <w:rPr>
            <w:rStyle w:val="Hipervnculo"/>
            <w:rFonts w:ascii="Arial" w:hAnsi="Arial" w:cs="Arial"/>
            <w:sz w:val="19"/>
            <w:szCs w:val="19"/>
          </w:rPr>
          <w:t>https://relatoria.colombiacompra.gov.co/</w:t>
        </w:r>
      </w:hyperlink>
      <w:r w:rsidRPr="006D71E6">
        <w:rPr>
          <w:rFonts w:ascii="Arial" w:hAnsi="Arial" w:cs="Arial"/>
          <w:sz w:val="19"/>
          <w:szCs w:val="19"/>
        </w:rPr>
        <w:t xml:space="preserve"> </w:t>
      </w:r>
    </w:p>
  </w:footnote>
  <w:footnote w:id="2">
    <w:p w14:paraId="6DD3F45F" w14:textId="629F4FBA" w:rsidR="00CA1522" w:rsidRDefault="00EC2321" w:rsidP="009E4570">
      <w:pPr>
        <w:pStyle w:val="Textonotapie"/>
        <w:ind w:firstLine="709"/>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4C2824B" w14:textId="77777777" w:rsidR="003933A9" w:rsidRPr="000F31BA" w:rsidRDefault="003933A9" w:rsidP="009E4570">
      <w:pPr>
        <w:pStyle w:val="Textonotapie"/>
        <w:ind w:firstLine="709"/>
        <w:contextualSpacing/>
        <w:jc w:val="both"/>
        <w:rPr>
          <w:rFonts w:ascii="Arial" w:hAnsi="Arial" w:cs="Arial"/>
          <w:sz w:val="19"/>
          <w:szCs w:val="19"/>
        </w:rPr>
      </w:pPr>
    </w:p>
  </w:footnote>
  <w:footnote w:id="3">
    <w:p w14:paraId="07786020" w14:textId="77777777" w:rsidR="00EC2321" w:rsidRPr="000F31BA" w:rsidRDefault="00EC2321" w:rsidP="009E4570">
      <w:pPr>
        <w:pStyle w:val="Textonotapie"/>
        <w:ind w:firstLine="709"/>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w:t>
      </w:r>
      <w:r w:rsidRPr="000F31BA">
        <w:rPr>
          <w:rFonts w:ascii="Arial" w:hAnsi="Arial" w:cs="Arial"/>
          <w:sz w:val="19"/>
          <w:szCs w:val="19"/>
          <w:lang w:val="es-CO"/>
        </w:rPr>
        <w:t xml:space="preserve">Ley 1882 de 2018: «Artículo 4. </w:t>
      </w:r>
      <w:r w:rsidRPr="000F31BA">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00C4E2B" w14:textId="77777777" w:rsidR="00EC2321" w:rsidRPr="000F31BA" w:rsidRDefault="00EC2321" w:rsidP="009E4570">
      <w:pPr>
        <w:pStyle w:val="Textonotapie"/>
        <w:ind w:firstLine="709"/>
        <w:contextualSpacing/>
        <w:jc w:val="both"/>
        <w:rPr>
          <w:rFonts w:ascii="Arial" w:hAnsi="Arial" w:cs="Arial"/>
          <w:sz w:val="19"/>
          <w:szCs w:val="19"/>
          <w:lang w:val="es-CO"/>
        </w:rPr>
      </w:pPr>
      <w:proofErr w:type="gramStart"/>
      <w:r w:rsidRPr="000F31BA">
        <w:rPr>
          <w:rFonts w:ascii="Arial" w:hAnsi="Arial" w:cs="Arial"/>
          <w:sz w:val="19"/>
          <w:szCs w:val="19"/>
          <w:lang w:val="es-CO"/>
        </w:rPr>
        <w:t>»La</w:t>
      </w:r>
      <w:proofErr w:type="gramEnd"/>
      <w:r w:rsidRPr="000F31BA">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4DFDEEFF" w14:textId="1F1A7B8C" w:rsidR="00EC2321" w:rsidRDefault="00EC2321" w:rsidP="009E4570">
      <w:pPr>
        <w:pStyle w:val="Textonotapie"/>
        <w:ind w:firstLine="709"/>
        <w:contextualSpacing/>
        <w:jc w:val="both"/>
        <w:rPr>
          <w:rFonts w:ascii="Arial" w:hAnsi="Arial" w:cs="Arial"/>
          <w:sz w:val="19"/>
          <w:szCs w:val="19"/>
          <w:lang w:val="es-CO"/>
        </w:rPr>
      </w:pPr>
      <w:proofErr w:type="gramStart"/>
      <w:r w:rsidRPr="000F31BA">
        <w:rPr>
          <w:rFonts w:ascii="Arial" w:hAnsi="Arial" w:cs="Arial"/>
          <w:sz w:val="19"/>
          <w:szCs w:val="19"/>
          <w:lang w:val="es-CO"/>
        </w:rPr>
        <w:t>»Los</w:t>
      </w:r>
      <w:proofErr w:type="gramEnd"/>
      <w:r w:rsidRPr="000F31BA">
        <w:rPr>
          <w:rFonts w:ascii="Arial" w:hAnsi="Arial" w:cs="Arial"/>
          <w:sz w:val="19"/>
          <w:szCs w:val="19"/>
          <w:lang w:val="es-CO"/>
        </w:rPr>
        <w:t xml:space="preserve"> pliegos tipo se adoptarán por categorías de acuerdo con la cuantía de la contratación, según la reglamentación que expida el Gobierno nacional».</w:t>
      </w:r>
    </w:p>
    <w:p w14:paraId="5602722A" w14:textId="77777777" w:rsidR="00AB1173" w:rsidRPr="000F31BA" w:rsidRDefault="00AB1173" w:rsidP="009E4570">
      <w:pPr>
        <w:pStyle w:val="Textonotapie"/>
        <w:ind w:firstLine="709"/>
        <w:contextualSpacing/>
        <w:jc w:val="both"/>
        <w:rPr>
          <w:rFonts w:ascii="Arial" w:hAnsi="Arial" w:cs="Arial"/>
          <w:sz w:val="19"/>
          <w:szCs w:val="19"/>
          <w:lang w:val="es-CO"/>
        </w:rPr>
      </w:pPr>
    </w:p>
  </w:footnote>
  <w:footnote w:id="4">
    <w:p w14:paraId="5AF34788" w14:textId="02A2BDAD" w:rsidR="00EC2321" w:rsidRDefault="00EC2321" w:rsidP="009E4570">
      <w:pPr>
        <w:pStyle w:val="Textonotapie"/>
        <w:ind w:firstLine="709"/>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8533ED6" w14:textId="77777777" w:rsidR="009A7017" w:rsidRPr="000F31BA" w:rsidRDefault="009A7017" w:rsidP="009E4570">
      <w:pPr>
        <w:pStyle w:val="Textonotapie"/>
        <w:ind w:firstLine="709"/>
        <w:contextualSpacing/>
        <w:jc w:val="both"/>
        <w:rPr>
          <w:rFonts w:ascii="Arial" w:hAnsi="Arial" w:cs="Arial"/>
          <w:sz w:val="19"/>
          <w:szCs w:val="19"/>
        </w:rPr>
      </w:pPr>
    </w:p>
  </w:footnote>
  <w:footnote w:id="5">
    <w:p w14:paraId="627DCEE0" w14:textId="06AEC0C8" w:rsidR="00EC2321" w:rsidRPr="00551F52" w:rsidRDefault="00EC2321" w:rsidP="006D71E6">
      <w:pPr>
        <w:pStyle w:val="Normal11pt"/>
        <w:ind w:left="0" w:firstLine="709"/>
        <w:contextualSpacing/>
        <w:rPr>
          <w:rFonts w:eastAsia="Calibri"/>
          <w:color w:val="000000" w:themeColor="text1"/>
          <w:sz w:val="19"/>
          <w:szCs w:val="19"/>
        </w:rPr>
      </w:pPr>
      <w:r w:rsidRPr="000F31BA">
        <w:rPr>
          <w:rStyle w:val="Refdenotaalpie"/>
          <w:sz w:val="19"/>
          <w:szCs w:val="19"/>
        </w:rPr>
        <w:footnoteRef/>
      </w:r>
      <w:r w:rsidRPr="000F31BA">
        <w:rPr>
          <w:sz w:val="19"/>
          <w:szCs w:val="19"/>
        </w:rPr>
        <w:t xml:space="preserve"> </w:t>
      </w:r>
      <w:r w:rsidR="006E008E" w:rsidRPr="000F31BA">
        <w:rPr>
          <w:sz w:val="19"/>
          <w:szCs w:val="19"/>
        </w:rPr>
        <w:t xml:space="preserve">Artículo </w:t>
      </w:r>
      <w:r w:rsidRPr="000F31BA">
        <w:rPr>
          <w:sz w:val="19"/>
          <w:szCs w:val="19"/>
        </w:rPr>
        <w:t>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footnote>
  <w:footnote w:id="6">
    <w:p w14:paraId="67B959AA" w14:textId="77777777" w:rsidR="00CC591E" w:rsidRPr="000F31BA" w:rsidRDefault="00CC591E" w:rsidP="009E4570">
      <w:pPr>
        <w:shd w:val="clear" w:color="auto" w:fill="FFFFFF"/>
        <w:ind w:firstLine="709"/>
        <w:contextualSpacing/>
        <w:jc w:val="both"/>
        <w:textAlignment w:val="baseline"/>
        <w:rPr>
          <w:rFonts w:ascii="Arial" w:hAnsi="Arial" w:cs="Arial"/>
          <w:color w:val="000000"/>
          <w:sz w:val="19"/>
          <w:szCs w:val="19"/>
          <w:lang w:eastAsia="es-CO"/>
        </w:rPr>
      </w:pPr>
      <w:r w:rsidRPr="000F31BA">
        <w:rPr>
          <w:rStyle w:val="Refdenotaalpie"/>
          <w:rFonts w:ascii="Arial" w:hAnsi="Arial" w:cs="Arial"/>
          <w:sz w:val="19"/>
          <w:szCs w:val="19"/>
        </w:rPr>
        <w:footnoteRef/>
      </w:r>
      <w:r w:rsidRPr="000F31BA">
        <w:rPr>
          <w:rFonts w:ascii="Arial" w:hAnsi="Arial" w:cs="Arial"/>
          <w:sz w:val="19"/>
          <w:szCs w:val="19"/>
        </w:rPr>
        <w:t xml:space="preserve"> </w:t>
      </w:r>
      <w:r w:rsidRPr="000F31BA">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CB1B688" w14:textId="77777777" w:rsidR="00CC591E" w:rsidRPr="000F31BA" w:rsidRDefault="00CC591E" w:rsidP="009E4570">
      <w:pPr>
        <w:shd w:val="clear" w:color="auto" w:fill="FFFFFF"/>
        <w:ind w:firstLine="709"/>
        <w:contextualSpacing/>
        <w:jc w:val="both"/>
        <w:textAlignment w:val="baseline"/>
        <w:rPr>
          <w:rFonts w:ascii="Arial" w:hAnsi="Arial" w:cs="Arial"/>
          <w:color w:val="000000"/>
          <w:sz w:val="19"/>
          <w:szCs w:val="19"/>
          <w:lang w:eastAsia="es-CO"/>
        </w:rPr>
      </w:pPr>
      <w:proofErr w:type="gramStart"/>
      <w:r w:rsidRPr="000F31BA">
        <w:rPr>
          <w:rFonts w:ascii="Arial" w:hAnsi="Arial" w:cs="Arial"/>
          <w:color w:val="000000"/>
          <w:sz w:val="19"/>
          <w:szCs w:val="19"/>
          <w:bdr w:val="none" w:sz="0" w:space="0" w:color="auto" w:frame="1"/>
          <w:lang w:eastAsia="es-CO"/>
        </w:rPr>
        <w:t>»Dentro</w:t>
      </w:r>
      <w:proofErr w:type="gramEnd"/>
      <w:r w:rsidRPr="000F31BA">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8B46F33" w14:textId="77777777" w:rsidR="00CC591E" w:rsidRPr="000F31BA" w:rsidRDefault="00CC591E" w:rsidP="009E4570">
      <w:pPr>
        <w:shd w:val="clear" w:color="auto" w:fill="FFFFFF"/>
        <w:ind w:firstLine="709"/>
        <w:contextualSpacing/>
        <w:jc w:val="both"/>
        <w:textAlignment w:val="baseline"/>
        <w:rPr>
          <w:rFonts w:ascii="Arial" w:hAnsi="Arial" w:cs="Arial"/>
          <w:color w:val="000000"/>
          <w:sz w:val="19"/>
          <w:szCs w:val="19"/>
          <w:lang w:eastAsia="es-CO"/>
        </w:rPr>
      </w:pPr>
      <w:proofErr w:type="gramStart"/>
      <w:r w:rsidRPr="000F31BA">
        <w:rPr>
          <w:rFonts w:ascii="Arial" w:hAnsi="Arial" w:cs="Arial"/>
          <w:color w:val="000000"/>
          <w:sz w:val="19"/>
          <w:szCs w:val="19"/>
          <w:bdr w:val="none" w:sz="0" w:space="0" w:color="auto" w:frame="1"/>
          <w:lang w:eastAsia="es-CO"/>
        </w:rPr>
        <w:t>»Con</w:t>
      </w:r>
      <w:proofErr w:type="gramEnd"/>
      <w:r w:rsidRPr="000F31BA">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D1AD1AB" w14:textId="77777777" w:rsidR="00CC591E" w:rsidRPr="000F31BA" w:rsidRDefault="00CC591E" w:rsidP="009E4570">
      <w:pPr>
        <w:shd w:val="clear" w:color="auto" w:fill="FFFFFF"/>
        <w:ind w:firstLine="709"/>
        <w:contextualSpacing/>
        <w:jc w:val="both"/>
        <w:textAlignment w:val="baseline"/>
        <w:rPr>
          <w:rFonts w:ascii="Arial" w:hAnsi="Arial" w:cs="Arial"/>
          <w:color w:val="000000"/>
          <w:sz w:val="19"/>
          <w:szCs w:val="19"/>
          <w:lang w:eastAsia="es-CO"/>
        </w:rPr>
      </w:pPr>
      <w:r w:rsidRPr="000F31BA">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F06AEB5" w14:textId="08680B5B" w:rsidR="001D219F" w:rsidRPr="00551F52" w:rsidRDefault="00CC591E" w:rsidP="009E4570">
      <w:pPr>
        <w:shd w:val="clear" w:color="auto" w:fill="FFFFFF"/>
        <w:ind w:firstLine="708"/>
        <w:contextualSpacing/>
        <w:jc w:val="both"/>
        <w:textAlignment w:val="baseline"/>
        <w:rPr>
          <w:rFonts w:ascii="Arial" w:hAnsi="Arial" w:cs="Arial"/>
          <w:color w:val="000000"/>
          <w:sz w:val="19"/>
          <w:szCs w:val="19"/>
          <w:bdr w:val="none" w:sz="0" w:space="0" w:color="auto" w:frame="1"/>
          <w:lang w:eastAsia="es-CO"/>
        </w:rPr>
      </w:pPr>
      <w:proofErr w:type="gramStart"/>
      <w:r w:rsidRPr="000F31BA">
        <w:rPr>
          <w:rFonts w:ascii="Arial" w:hAnsi="Arial" w:cs="Arial"/>
          <w:color w:val="000000"/>
          <w:sz w:val="19"/>
          <w:szCs w:val="19"/>
          <w:bdr w:val="none" w:sz="0" w:space="0" w:color="auto" w:frame="1"/>
          <w:lang w:eastAsia="es-CO"/>
        </w:rPr>
        <w:t>»En</w:t>
      </w:r>
      <w:proofErr w:type="gramEnd"/>
      <w:r w:rsidRPr="000F31BA">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7">
    <w:p w14:paraId="57CFBB97" w14:textId="1568DB12" w:rsidR="00502E49" w:rsidRPr="000F31BA" w:rsidRDefault="000E3785" w:rsidP="009E4570">
      <w:pPr>
        <w:pStyle w:val="Textonotapie"/>
        <w:ind w:firstLine="708"/>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8">
    <w:p w14:paraId="01C4C411" w14:textId="77777777" w:rsidR="00591E2F" w:rsidRPr="000F31BA" w:rsidRDefault="00591E2F" w:rsidP="009E4570">
      <w:pPr>
        <w:pStyle w:val="Textonotapie"/>
        <w:ind w:firstLine="708"/>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w:t>
      </w:r>
      <w:r w:rsidRPr="000F31BA">
        <w:rPr>
          <w:rFonts w:ascii="Arial" w:hAnsi="Arial" w:cs="Arial"/>
          <w:b/>
          <w:bCs/>
          <w:sz w:val="19"/>
          <w:szCs w:val="19"/>
        </w:rPr>
        <w:t xml:space="preserve">CLÁUSULA 1. OBJETO: </w:t>
      </w:r>
      <w:r w:rsidRPr="000F31BA">
        <w:rPr>
          <w:rFonts w:ascii="Arial" w:hAnsi="Arial" w:cs="Arial"/>
          <w:sz w:val="19"/>
          <w:szCs w:val="19"/>
        </w:rPr>
        <w:t xml:space="preserve">Prestar el servicio público de gestión catastral para realizar la </w:t>
      </w:r>
      <w:r w:rsidRPr="000F31BA">
        <w:rPr>
          <w:rFonts w:ascii="Arial" w:hAnsi="Arial" w:cs="Arial"/>
          <w:sz w:val="19"/>
          <w:szCs w:val="19"/>
          <w:highlight w:val="lightGray"/>
        </w:rPr>
        <w:t>[formación/actualización (seleccionar según corresponda)]</w:t>
      </w:r>
      <w:r w:rsidRPr="000F31BA">
        <w:rPr>
          <w:rFonts w:ascii="Arial" w:hAnsi="Arial" w:cs="Arial"/>
          <w:sz w:val="19"/>
          <w:szCs w:val="19"/>
        </w:rPr>
        <w:t xml:space="preserve">, conservación y difusión catastral </w:t>
      </w:r>
      <w:r w:rsidRPr="000F31BA">
        <w:rPr>
          <w:rFonts w:ascii="Arial" w:hAnsi="Arial" w:cs="Arial"/>
          <w:sz w:val="19"/>
          <w:szCs w:val="19"/>
          <w:highlight w:val="lightGray"/>
        </w:rPr>
        <w:t>[de las zonas rural/urbana o sectores ______ (seleccionar según corresponda) o eliminar este aparte en gris cuando se trate de la gestión catastral en todo el municipio]</w:t>
      </w:r>
      <w:r w:rsidRPr="000F31BA">
        <w:rPr>
          <w:rFonts w:ascii="Arial" w:hAnsi="Arial" w:cs="Arial"/>
          <w:sz w:val="19"/>
          <w:szCs w:val="19"/>
        </w:rPr>
        <w:t xml:space="preserve"> del municipio de </w:t>
      </w:r>
      <w:r w:rsidRPr="000F31BA">
        <w:rPr>
          <w:rFonts w:ascii="Arial" w:hAnsi="Arial" w:cs="Arial"/>
          <w:sz w:val="19"/>
          <w:szCs w:val="19"/>
          <w:highlight w:val="lightGray"/>
        </w:rPr>
        <w:t>[incluir el nombre del municipio]</w:t>
      </w:r>
      <w:r w:rsidRPr="000F31BA">
        <w:rPr>
          <w:rFonts w:ascii="Arial" w:hAnsi="Arial" w:cs="Arial"/>
          <w:sz w:val="19"/>
          <w:szCs w:val="19"/>
        </w:rPr>
        <w:t>».</w:t>
      </w:r>
    </w:p>
  </w:footnote>
  <w:footnote w:id="9">
    <w:p w14:paraId="14F6F978" w14:textId="3BE34BDD" w:rsidR="00591E2F" w:rsidRPr="009D66AA" w:rsidRDefault="00591E2F" w:rsidP="009E4570">
      <w:pPr>
        <w:pStyle w:val="Textonotapie"/>
        <w:ind w:firstLine="708"/>
        <w:contextualSpacing/>
        <w:jc w:val="both"/>
        <w:rPr>
          <w:rFonts w:ascii="Arial" w:hAnsi="Arial" w:cs="Arial"/>
          <w:color w:val="000000"/>
          <w:sz w:val="19"/>
          <w:szCs w:val="19"/>
          <w:lang w:val="es-ES_tradnl"/>
        </w:rPr>
      </w:pPr>
      <w:r w:rsidRPr="000F31BA">
        <w:rPr>
          <w:rStyle w:val="Refdenotaalpie"/>
          <w:rFonts w:ascii="Arial" w:hAnsi="Arial" w:cs="Arial"/>
          <w:sz w:val="19"/>
          <w:szCs w:val="19"/>
        </w:rPr>
        <w:footnoteRef/>
      </w:r>
      <w:r w:rsidRPr="000F31BA">
        <w:rPr>
          <w:rFonts w:ascii="Arial" w:hAnsi="Arial" w:cs="Arial"/>
          <w:sz w:val="19"/>
          <w:szCs w:val="19"/>
        </w:rPr>
        <w:t xml:space="preserve"> </w:t>
      </w:r>
      <w:r w:rsidRPr="000F31BA">
        <w:rPr>
          <w:rFonts w:ascii="Arial" w:hAnsi="Arial" w:cs="Arial"/>
          <w:color w:val="000000"/>
          <w:sz w:val="19"/>
          <w:szCs w:val="19"/>
          <w:lang w:val="es-ES_tradnl"/>
        </w:rPr>
        <w:t>Sin perjuicio de las actividades operativas que pueden realizar los «operadores catastrales».</w:t>
      </w:r>
    </w:p>
  </w:footnote>
  <w:footnote w:id="10">
    <w:p w14:paraId="466012D7" w14:textId="5D3C52AD" w:rsidR="001E58E5" w:rsidRPr="00703F17" w:rsidRDefault="001E58E5" w:rsidP="006D71E6">
      <w:pPr>
        <w:widowControl w:val="0"/>
        <w:autoSpaceDE w:val="0"/>
        <w:autoSpaceDN w:val="0"/>
        <w:ind w:firstLine="708"/>
        <w:jc w:val="both"/>
        <w:rPr>
          <w:rFonts w:ascii="Arial" w:eastAsia="Arial" w:hAnsi="Arial" w:cs="Arial"/>
          <w:sz w:val="22"/>
          <w:szCs w:val="22"/>
          <w:lang w:val="es-ES" w:eastAsia="en-US"/>
        </w:rPr>
      </w:pPr>
      <w:r w:rsidRPr="006D71E6">
        <w:rPr>
          <w:rStyle w:val="Refdenotaalpie"/>
          <w:rFonts w:ascii="Arial" w:hAnsi="Arial" w:cs="Arial"/>
          <w:sz w:val="19"/>
          <w:szCs w:val="19"/>
        </w:rPr>
        <w:footnoteRef/>
      </w:r>
      <w:r w:rsidRPr="006D71E6">
        <w:rPr>
          <w:rFonts w:ascii="Arial" w:hAnsi="Arial" w:cs="Arial"/>
          <w:sz w:val="19"/>
          <w:szCs w:val="19"/>
        </w:rPr>
        <w:t xml:space="preserve"> </w:t>
      </w:r>
      <w:r w:rsidRPr="006D71E6">
        <w:rPr>
          <w:rFonts w:ascii="Arial" w:eastAsia="Arial" w:hAnsi="Arial" w:cs="Arial"/>
          <w:sz w:val="19"/>
          <w:szCs w:val="19"/>
          <w:lang w:val="es-ES_tradnl" w:eastAsia="en-US"/>
        </w:rPr>
        <w:t xml:space="preserve">En línea con lo anterior, recuérdese que, dentro de los sujetos que intervienen en la gestión catastral, según el artículo 79 de la Ley 1955 de 2019, se encuentran también los </w:t>
      </w:r>
      <w:r w:rsidRPr="006D71E6">
        <w:rPr>
          <w:rFonts w:ascii="Arial" w:eastAsia="Arial" w:hAnsi="Arial" w:cs="Arial"/>
          <w:i/>
          <w:iCs/>
          <w:sz w:val="19"/>
          <w:szCs w:val="19"/>
          <w:lang w:val="es-ES_tradnl" w:eastAsia="en-US"/>
        </w:rPr>
        <w:t>operadores catastrales</w:t>
      </w:r>
      <w:r w:rsidRPr="006D71E6">
        <w:rPr>
          <w:rFonts w:ascii="Arial" w:eastAsia="Arial" w:hAnsi="Arial" w:cs="Arial"/>
          <w:sz w:val="19"/>
          <w:szCs w:val="19"/>
          <w:lang w:val="es-ES_tradnl" w:eastAsia="en-US"/>
        </w:rPr>
        <w:t>. Éstos, según el numeral 4 del artículo 2.2.2.1.5. del Decreto 1170 de 2015, son: «4. Los operadores catastrales. Son las personas jurídicas, de derecho público o privado que, mediante contrato suscrito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 Los requisitos de idoneidad y las condiciones de contratación de los operadores catastrales serán los señalados por las normas que regulen la materia». </w:t>
      </w:r>
    </w:p>
    <w:p w14:paraId="71552238" w14:textId="6EBFABAD" w:rsidR="001E58E5" w:rsidRDefault="001E58E5" w:rsidP="006D71E6">
      <w:pPr>
        <w:pStyle w:val="Textonotapie"/>
        <w:ind w:firstLine="708"/>
      </w:pPr>
      <w:r>
        <w:t xml:space="preserve"> </w:t>
      </w:r>
    </w:p>
  </w:footnote>
  <w:footnote w:id="11">
    <w:p w14:paraId="1CD4965E" w14:textId="3EE71099" w:rsidR="00591E2F" w:rsidRPr="000F31BA" w:rsidRDefault="00591E2F" w:rsidP="009E4570">
      <w:pPr>
        <w:pStyle w:val="Textonotapie"/>
        <w:ind w:firstLine="708"/>
        <w:contextualSpacing/>
        <w:jc w:val="both"/>
        <w:rPr>
          <w:rFonts w:ascii="Arial" w:hAnsi="Arial" w:cs="Arial"/>
          <w:sz w:val="19"/>
          <w:szCs w:val="19"/>
        </w:rPr>
      </w:pPr>
      <w:r w:rsidRPr="000F31BA">
        <w:rPr>
          <w:rStyle w:val="Refdenotaalpie"/>
          <w:rFonts w:ascii="Arial" w:hAnsi="Arial" w:cs="Arial"/>
          <w:sz w:val="19"/>
          <w:szCs w:val="19"/>
        </w:rPr>
        <w:footnoteRef/>
      </w:r>
      <w:r w:rsidRPr="000F31BA">
        <w:rPr>
          <w:rFonts w:ascii="Arial" w:hAnsi="Arial" w:cs="Arial"/>
          <w:sz w:val="19"/>
          <w:szCs w:val="19"/>
        </w:rPr>
        <w:t xml:space="preserve"> En efecto, en la «introducción» del documento tipo adoptado por la Agencia se señala que: «[Este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w:t>
      </w:r>
      <w:r w:rsidR="00F5487A">
        <w:rPr>
          <w:rFonts w:ascii="Arial" w:hAnsi="Arial" w:cs="Arial"/>
          <w:sz w:val="19"/>
          <w:szCs w:val="19"/>
        </w:rPr>
        <w:t>.</w:t>
      </w:r>
      <w:r w:rsidRPr="000F31B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57EC" w14:textId="77777777" w:rsidR="00387886" w:rsidRDefault="00144756">
    <w:pPr>
      <w:pStyle w:val="Encabezado"/>
    </w:pPr>
    <w:r>
      <w:rPr>
        <w:noProof/>
        <w:lang w:val="es-CO" w:eastAsia="es-CO"/>
      </w:rPr>
      <w:drawing>
        <wp:anchor distT="0" distB="0" distL="114300" distR="114300" simplePos="0" relativeHeight="251659264" behindDoc="1" locked="0" layoutInCell="1" allowOverlap="1" wp14:anchorId="5A1214B1" wp14:editId="02B0A68B">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E3525"/>
    <w:multiLevelType w:val="multilevel"/>
    <w:tmpl w:val="16482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21"/>
    <w:rsid w:val="000017DD"/>
    <w:rsid w:val="00012722"/>
    <w:rsid w:val="00020479"/>
    <w:rsid w:val="00025977"/>
    <w:rsid w:val="000275AD"/>
    <w:rsid w:val="000319CE"/>
    <w:rsid w:val="00031ABD"/>
    <w:rsid w:val="0004451F"/>
    <w:rsid w:val="00044A64"/>
    <w:rsid w:val="000450C7"/>
    <w:rsid w:val="000503FF"/>
    <w:rsid w:val="000565C5"/>
    <w:rsid w:val="00065EB8"/>
    <w:rsid w:val="00081CCF"/>
    <w:rsid w:val="00083F23"/>
    <w:rsid w:val="00084AFF"/>
    <w:rsid w:val="00093AB0"/>
    <w:rsid w:val="000C4F47"/>
    <w:rsid w:val="000E3785"/>
    <w:rsid w:val="000F2F84"/>
    <w:rsid w:val="000F31BA"/>
    <w:rsid w:val="001001A3"/>
    <w:rsid w:val="0010059C"/>
    <w:rsid w:val="00102400"/>
    <w:rsid w:val="0011477B"/>
    <w:rsid w:val="00115CD8"/>
    <w:rsid w:val="00123CB5"/>
    <w:rsid w:val="001277AD"/>
    <w:rsid w:val="00142001"/>
    <w:rsid w:val="001423BA"/>
    <w:rsid w:val="00144756"/>
    <w:rsid w:val="001512B6"/>
    <w:rsid w:val="0015474A"/>
    <w:rsid w:val="00157285"/>
    <w:rsid w:val="00161831"/>
    <w:rsid w:val="00162E3D"/>
    <w:rsid w:val="0016498A"/>
    <w:rsid w:val="00173A3D"/>
    <w:rsid w:val="0017455D"/>
    <w:rsid w:val="00190855"/>
    <w:rsid w:val="00194A6C"/>
    <w:rsid w:val="001960AF"/>
    <w:rsid w:val="001A3BDE"/>
    <w:rsid w:val="001B024A"/>
    <w:rsid w:val="001B449C"/>
    <w:rsid w:val="001B65C3"/>
    <w:rsid w:val="001B6E99"/>
    <w:rsid w:val="001B7791"/>
    <w:rsid w:val="001C3D60"/>
    <w:rsid w:val="001D1FAF"/>
    <w:rsid w:val="001D219F"/>
    <w:rsid w:val="001D7CF5"/>
    <w:rsid w:val="001E04F5"/>
    <w:rsid w:val="001E0AA3"/>
    <w:rsid w:val="001E1CE9"/>
    <w:rsid w:val="001E58E5"/>
    <w:rsid w:val="00203A59"/>
    <w:rsid w:val="00205AF5"/>
    <w:rsid w:val="00211303"/>
    <w:rsid w:val="00212583"/>
    <w:rsid w:val="00212F27"/>
    <w:rsid w:val="00220A2A"/>
    <w:rsid w:val="00224505"/>
    <w:rsid w:val="0022632A"/>
    <w:rsid w:val="002350C7"/>
    <w:rsid w:val="0024157F"/>
    <w:rsid w:val="00246052"/>
    <w:rsid w:val="0024701E"/>
    <w:rsid w:val="00262C09"/>
    <w:rsid w:val="002650F8"/>
    <w:rsid w:val="00271358"/>
    <w:rsid w:val="00284260"/>
    <w:rsid w:val="00285302"/>
    <w:rsid w:val="00294EB2"/>
    <w:rsid w:val="002A063F"/>
    <w:rsid w:val="002B4061"/>
    <w:rsid w:val="002C0435"/>
    <w:rsid w:val="002D07EE"/>
    <w:rsid w:val="002F3F5B"/>
    <w:rsid w:val="0030009D"/>
    <w:rsid w:val="003018AA"/>
    <w:rsid w:val="00305248"/>
    <w:rsid w:val="00312B28"/>
    <w:rsid w:val="0031687B"/>
    <w:rsid w:val="00317988"/>
    <w:rsid w:val="003202EF"/>
    <w:rsid w:val="00324E57"/>
    <w:rsid w:val="00347BEF"/>
    <w:rsid w:val="00350FFC"/>
    <w:rsid w:val="00365713"/>
    <w:rsid w:val="00365AB5"/>
    <w:rsid w:val="00366DF5"/>
    <w:rsid w:val="0037578D"/>
    <w:rsid w:val="00383132"/>
    <w:rsid w:val="00385B5B"/>
    <w:rsid w:val="003933A9"/>
    <w:rsid w:val="0039643C"/>
    <w:rsid w:val="003967DE"/>
    <w:rsid w:val="003A016B"/>
    <w:rsid w:val="003A636B"/>
    <w:rsid w:val="003B6701"/>
    <w:rsid w:val="003C08F2"/>
    <w:rsid w:val="003C3A27"/>
    <w:rsid w:val="003C3D41"/>
    <w:rsid w:val="003C3E9D"/>
    <w:rsid w:val="003D1C3B"/>
    <w:rsid w:val="003D2A5D"/>
    <w:rsid w:val="003D3D61"/>
    <w:rsid w:val="003D4101"/>
    <w:rsid w:val="003D5627"/>
    <w:rsid w:val="003E1F7C"/>
    <w:rsid w:val="003E6BB9"/>
    <w:rsid w:val="003E7E1B"/>
    <w:rsid w:val="003F0EC7"/>
    <w:rsid w:val="003F47F3"/>
    <w:rsid w:val="003F503A"/>
    <w:rsid w:val="00402454"/>
    <w:rsid w:val="004107EC"/>
    <w:rsid w:val="004154A1"/>
    <w:rsid w:val="00436C15"/>
    <w:rsid w:val="00450CDD"/>
    <w:rsid w:val="00463D92"/>
    <w:rsid w:val="00465FE8"/>
    <w:rsid w:val="004735CC"/>
    <w:rsid w:val="004809E8"/>
    <w:rsid w:val="004825FB"/>
    <w:rsid w:val="00487581"/>
    <w:rsid w:val="00491501"/>
    <w:rsid w:val="00491F90"/>
    <w:rsid w:val="004A5629"/>
    <w:rsid w:val="004B5199"/>
    <w:rsid w:val="004B54C2"/>
    <w:rsid w:val="004C55C7"/>
    <w:rsid w:val="004E3D80"/>
    <w:rsid w:val="004E4EE9"/>
    <w:rsid w:val="004E632B"/>
    <w:rsid w:val="00502E49"/>
    <w:rsid w:val="00510F7B"/>
    <w:rsid w:val="005173F4"/>
    <w:rsid w:val="00522128"/>
    <w:rsid w:val="00526EEF"/>
    <w:rsid w:val="00533DB9"/>
    <w:rsid w:val="00536A96"/>
    <w:rsid w:val="00542361"/>
    <w:rsid w:val="00544E01"/>
    <w:rsid w:val="005465F1"/>
    <w:rsid w:val="00551F52"/>
    <w:rsid w:val="00552182"/>
    <w:rsid w:val="00561E80"/>
    <w:rsid w:val="00566179"/>
    <w:rsid w:val="005677A0"/>
    <w:rsid w:val="00567FC6"/>
    <w:rsid w:val="0057007B"/>
    <w:rsid w:val="00575F92"/>
    <w:rsid w:val="00587611"/>
    <w:rsid w:val="00590470"/>
    <w:rsid w:val="00591E2F"/>
    <w:rsid w:val="00594D02"/>
    <w:rsid w:val="00595130"/>
    <w:rsid w:val="005A269A"/>
    <w:rsid w:val="005A26D9"/>
    <w:rsid w:val="005A3345"/>
    <w:rsid w:val="005B4B3B"/>
    <w:rsid w:val="005C2005"/>
    <w:rsid w:val="005D501E"/>
    <w:rsid w:val="005E4CFE"/>
    <w:rsid w:val="005E608B"/>
    <w:rsid w:val="005E7164"/>
    <w:rsid w:val="005F25AB"/>
    <w:rsid w:val="005F6C4E"/>
    <w:rsid w:val="00600FA0"/>
    <w:rsid w:val="00601327"/>
    <w:rsid w:val="0060270B"/>
    <w:rsid w:val="00611114"/>
    <w:rsid w:val="00615650"/>
    <w:rsid w:val="00616666"/>
    <w:rsid w:val="00617057"/>
    <w:rsid w:val="00625806"/>
    <w:rsid w:val="006302AA"/>
    <w:rsid w:val="00630B9C"/>
    <w:rsid w:val="0063535A"/>
    <w:rsid w:val="00641221"/>
    <w:rsid w:val="0065687D"/>
    <w:rsid w:val="006574D2"/>
    <w:rsid w:val="00666AF6"/>
    <w:rsid w:val="006703FF"/>
    <w:rsid w:val="0067438A"/>
    <w:rsid w:val="00681066"/>
    <w:rsid w:val="00681188"/>
    <w:rsid w:val="00683987"/>
    <w:rsid w:val="00683A34"/>
    <w:rsid w:val="00684E68"/>
    <w:rsid w:val="006908C9"/>
    <w:rsid w:val="006B4F6B"/>
    <w:rsid w:val="006B6003"/>
    <w:rsid w:val="006D56AC"/>
    <w:rsid w:val="006D71E6"/>
    <w:rsid w:val="006E008E"/>
    <w:rsid w:val="006E3615"/>
    <w:rsid w:val="006F7472"/>
    <w:rsid w:val="00702125"/>
    <w:rsid w:val="00703F17"/>
    <w:rsid w:val="00716029"/>
    <w:rsid w:val="00722852"/>
    <w:rsid w:val="00725C30"/>
    <w:rsid w:val="00731BD9"/>
    <w:rsid w:val="00734256"/>
    <w:rsid w:val="00735574"/>
    <w:rsid w:val="0073558B"/>
    <w:rsid w:val="0074116D"/>
    <w:rsid w:val="00744060"/>
    <w:rsid w:val="0074676F"/>
    <w:rsid w:val="00753F4F"/>
    <w:rsid w:val="00754AC9"/>
    <w:rsid w:val="007651F2"/>
    <w:rsid w:val="00770754"/>
    <w:rsid w:val="00782BBB"/>
    <w:rsid w:val="00787499"/>
    <w:rsid w:val="007A1B07"/>
    <w:rsid w:val="007A415B"/>
    <w:rsid w:val="007C25A9"/>
    <w:rsid w:val="007C3FBD"/>
    <w:rsid w:val="007C45CF"/>
    <w:rsid w:val="007D46D5"/>
    <w:rsid w:val="007D68EA"/>
    <w:rsid w:val="007F6EC9"/>
    <w:rsid w:val="00813892"/>
    <w:rsid w:val="00813FA5"/>
    <w:rsid w:val="008157AE"/>
    <w:rsid w:val="00821676"/>
    <w:rsid w:val="00826B09"/>
    <w:rsid w:val="00833DB5"/>
    <w:rsid w:val="0083637E"/>
    <w:rsid w:val="0086758F"/>
    <w:rsid w:val="00872782"/>
    <w:rsid w:val="00876578"/>
    <w:rsid w:val="00877116"/>
    <w:rsid w:val="00892D82"/>
    <w:rsid w:val="008A20ED"/>
    <w:rsid w:val="008A4724"/>
    <w:rsid w:val="008B1A75"/>
    <w:rsid w:val="008B2BD7"/>
    <w:rsid w:val="008B3C0F"/>
    <w:rsid w:val="008C3430"/>
    <w:rsid w:val="008F1283"/>
    <w:rsid w:val="00903B59"/>
    <w:rsid w:val="00907CE9"/>
    <w:rsid w:val="00911CA8"/>
    <w:rsid w:val="00921A21"/>
    <w:rsid w:val="0092562A"/>
    <w:rsid w:val="00926E29"/>
    <w:rsid w:val="00934D38"/>
    <w:rsid w:val="00935636"/>
    <w:rsid w:val="0093748F"/>
    <w:rsid w:val="00941761"/>
    <w:rsid w:val="00943DB8"/>
    <w:rsid w:val="0095475D"/>
    <w:rsid w:val="00954ACA"/>
    <w:rsid w:val="00955364"/>
    <w:rsid w:val="00957AC3"/>
    <w:rsid w:val="009634B8"/>
    <w:rsid w:val="00967399"/>
    <w:rsid w:val="00970FFE"/>
    <w:rsid w:val="00972FDD"/>
    <w:rsid w:val="00983E66"/>
    <w:rsid w:val="0099012F"/>
    <w:rsid w:val="009A1189"/>
    <w:rsid w:val="009A286D"/>
    <w:rsid w:val="009A7017"/>
    <w:rsid w:val="009A788A"/>
    <w:rsid w:val="009B150F"/>
    <w:rsid w:val="009B2121"/>
    <w:rsid w:val="009B2EFE"/>
    <w:rsid w:val="009B6768"/>
    <w:rsid w:val="009C25C2"/>
    <w:rsid w:val="009C7ABC"/>
    <w:rsid w:val="009D1164"/>
    <w:rsid w:val="009D3BC6"/>
    <w:rsid w:val="009D66AA"/>
    <w:rsid w:val="009E1CAA"/>
    <w:rsid w:val="009E42FC"/>
    <w:rsid w:val="009E4570"/>
    <w:rsid w:val="009F52A4"/>
    <w:rsid w:val="00A0205F"/>
    <w:rsid w:val="00A1199B"/>
    <w:rsid w:val="00A146DE"/>
    <w:rsid w:val="00A20624"/>
    <w:rsid w:val="00A23E4B"/>
    <w:rsid w:val="00A24E4A"/>
    <w:rsid w:val="00A261C7"/>
    <w:rsid w:val="00A3399C"/>
    <w:rsid w:val="00A434FF"/>
    <w:rsid w:val="00A51B9F"/>
    <w:rsid w:val="00A60615"/>
    <w:rsid w:val="00A70F4D"/>
    <w:rsid w:val="00A71C5D"/>
    <w:rsid w:val="00A7393D"/>
    <w:rsid w:val="00A81126"/>
    <w:rsid w:val="00A94F6A"/>
    <w:rsid w:val="00AB1173"/>
    <w:rsid w:val="00AB1572"/>
    <w:rsid w:val="00AB4959"/>
    <w:rsid w:val="00AB645A"/>
    <w:rsid w:val="00AC17A0"/>
    <w:rsid w:val="00AC2425"/>
    <w:rsid w:val="00AC28B7"/>
    <w:rsid w:val="00AC464A"/>
    <w:rsid w:val="00AC7C12"/>
    <w:rsid w:val="00AD65D2"/>
    <w:rsid w:val="00AE0FC2"/>
    <w:rsid w:val="00AE51C1"/>
    <w:rsid w:val="00AF0050"/>
    <w:rsid w:val="00AF472F"/>
    <w:rsid w:val="00AF70F4"/>
    <w:rsid w:val="00B07F55"/>
    <w:rsid w:val="00B12B31"/>
    <w:rsid w:val="00B13ADC"/>
    <w:rsid w:val="00B167A7"/>
    <w:rsid w:val="00B173A5"/>
    <w:rsid w:val="00B2135D"/>
    <w:rsid w:val="00B25D53"/>
    <w:rsid w:val="00B3143E"/>
    <w:rsid w:val="00B324CA"/>
    <w:rsid w:val="00B346F8"/>
    <w:rsid w:val="00B50F45"/>
    <w:rsid w:val="00B52B57"/>
    <w:rsid w:val="00B56CBE"/>
    <w:rsid w:val="00B57F3C"/>
    <w:rsid w:val="00B67B07"/>
    <w:rsid w:val="00B80BC3"/>
    <w:rsid w:val="00B81AA2"/>
    <w:rsid w:val="00B9084B"/>
    <w:rsid w:val="00B921B9"/>
    <w:rsid w:val="00BA05FE"/>
    <w:rsid w:val="00BB5834"/>
    <w:rsid w:val="00BB74AD"/>
    <w:rsid w:val="00BD55FC"/>
    <w:rsid w:val="00BF7EB0"/>
    <w:rsid w:val="00C11F23"/>
    <w:rsid w:val="00C139C2"/>
    <w:rsid w:val="00C2272A"/>
    <w:rsid w:val="00C30148"/>
    <w:rsid w:val="00C3141A"/>
    <w:rsid w:val="00C315A0"/>
    <w:rsid w:val="00C3389D"/>
    <w:rsid w:val="00C37AAC"/>
    <w:rsid w:val="00C418A9"/>
    <w:rsid w:val="00C523CF"/>
    <w:rsid w:val="00C635D8"/>
    <w:rsid w:val="00C813C0"/>
    <w:rsid w:val="00C91F80"/>
    <w:rsid w:val="00C97911"/>
    <w:rsid w:val="00C97D23"/>
    <w:rsid w:val="00CA0EF7"/>
    <w:rsid w:val="00CA1522"/>
    <w:rsid w:val="00CB247C"/>
    <w:rsid w:val="00CB773A"/>
    <w:rsid w:val="00CC0FF9"/>
    <w:rsid w:val="00CC3236"/>
    <w:rsid w:val="00CC591E"/>
    <w:rsid w:val="00CD1292"/>
    <w:rsid w:val="00CD3D98"/>
    <w:rsid w:val="00CD4659"/>
    <w:rsid w:val="00CE1087"/>
    <w:rsid w:val="00CE598E"/>
    <w:rsid w:val="00CE77CA"/>
    <w:rsid w:val="00CF48AE"/>
    <w:rsid w:val="00CF48DA"/>
    <w:rsid w:val="00CF6583"/>
    <w:rsid w:val="00CF7D03"/>
    <w:rsid w:val="00D03656"/>
    <w:rsid w:val="00D1303A"/>
    <w:rsid w:val="00D14F8B"/>
    <w:rsid w:val="00D274FE"/>
    <w:rsid w:val="00D36075"/>
    <w:rsid w:val="00D44278"/>
    <w:rsid w:val="00D4615E"/>
    <w:rsid w:val="00D5277C"/>
    <w:rsid w:val="00D55BA3"/>
    <w:rsid w:val="00D56E41"/>
    <w:rsid w:val="00D56F29"/>
    <w:rsid w:val="00D845CD"/>
    <w:rsid w:val="00D851D0"/>
    <w:rsid w:val="00D90478"/>
    <w:rsid w:val="00D90A90"/>
    <w:rsid w:val="00D9496E"/>
    <w:rsid w:val="00DA74AB"/>
    <w:rsid w:val="00DC14E1"/>
    <w:rsid w:val="00DC31A2"/>
    <w:rsid w:val="00DC3284"/>
    <w:rsid w:val="00DD0DD6"/>
    <w:rsid w:val="00DD4095"/>
    <w:rsid w:val="00DE2AF1"/>
    <w:rsid w:val="00DE643A"/>
    <w:rsid w:val="00DE707F"/>
    <w:rsid w:val="00DF0DED"/>
    <w:rsid w:val="00E05357"/>
    <w:rsid w:val="00E05686"/>
    <w:rsid w:val="00E202DD"/>
    <w:rsid w:val="00E208C4"/>
    <w:rsid w:val="00E34BA9"/>
    <w:rsid w:val="00E37333"/>
    <w:rsid w:val="00E44666"/>
    <w:rsid w:val="00E54CC4"/>
    <w:rsid w:val="00E55A5E"/>
    <w:rsid w:val="00E62F8F"/>
    <w:rsid w:val="00E64B2D"/>
    <w:rsid w:val="00E710C7"/>
    <w:rsid w:val="00E7172C"/>
    <w:rsid w:val="00E7244C"/>
    <w:rsid w:val="00E76600"/>
    <w:rsid w:val="00E77117"/>
    <w:rsid w:val="00E9103F"/>
    <w:rsid w:val="00E9170D"/>
    <w:rsid w:val="00E95A08"/>
    <w:rsid w:val="00EA162D"/>
    <w:rsid w:val="00EA1795"/>
    <w:rsid w:val="00EA2621"/>
    <w:rsid w:val="00EA6081"/>
    <w:rsid w:val="00EB05EB"/>
    <w:rsid w:val="00EB73E7"/>
    <w:rsid w:val="00EC1671"/>
    <w:rsid w:val="00EC2321"/>
    <w:rsid w:val="00EC5DB9"/>
    <w:rsid w:val="00EE3DE7"/>
    <w:rsid w:val="00EE79A2"/>
    <w:rsid w:val="00EF1ADC"/>
    <w:rsid w:val="00EF31A5"/>
    <w:rsid w:val="00EF69E2"/>
    <w:rsid w:val="00F10B3F"/>
    <w:rsid w:val="00F10CC7"/>
    <w:rsid w:val="00F12282"/>
    <w:rsid w:val="00F1333D"/>
    <w:rsid w:val="00F17F19"/>
    <w:rsid w:val="00F33AE9"/>
    <w:rsid w:val="00F34108"/>
    <w:rsid w:val="00F4069B"/>
    <w:rsid w:val="00F4235D"/>
    <w:rsid w:val="00F45243"/>
    <w:rsid w:val="00F5487A"/>
    <w:rsid w:val="00F601B9"/>
    <w:rsid w:val="00F709AD"/>
    <w:rsid w:val="00F71D8D"/>
    <w:rsid w:val="00F72C6F"/>
    <w:rsid w:val="00F72C7C"/>
    <w:rsid w:val="00F904DD"/>
    <w:rsid w:val="00F96159"/>
    <w:rsid w:val="00FA0CCD"/>
    <w:rsid w:val="00FA14CF"/>
    <w:rsid w:val="00FB42AA"/>
    <w:rsid w:val="00FD2755"/>
    <w:rsid w:val="00FD32B0"/>
    <w:rsid w:val="00FD7492"/>
    <w:rsid w:val="00FD7BB7"/>
    <w:rsid w:val="00FE5F00"/>
    <w:rsid w:val="00FE74E2"/>
    <w:rsid w:val="00FF1481"/>
    <w:rsid w:val="00FF26E1"/>
    <w:rsid w:val="00FF5DEB"/>
    <w:rsid w:val="00FF7D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7E9"/>
  <w15:chartTrackingRefBased/>
  <w15:docId w15:val="{BFC0FD09-4D8E-4EE5-926A-894154E6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2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C2321"/>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EC2321"/>
    <w:rPr>
      <w:sz w:val="24"/>
      <w:lang w:val="es-MX"/>
    </w:rPr>
  </w:style>
  <w:style w:type="paragraph" w:styleId="Encabezado">
    <w:name w:val="header"/>
    <w:basedOn w:val="Normal"/>
    <w:link w:val="EncabezadoCar"/>
    <w:uiPriority w:val="99"/>
    <w:unhideWhenUsed/>
    <w:rsid w:val="00EC2321"/>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EC2321"/>
    <w:rPr>
      <w:sz w:val="24"/>
      <w:lang w:val="es-MX"/>
    </w:rPr>
  </w:style>
  <w:style w:type="table" w:styleId="Tablaconcuadrcula">
    <w:name w:val="Table Grid"/>
    <w:basedOn w:val="Tablanormal"/>
    <w:uiPriority w:val="39"/>
    <w:qFormat/>
    <w:rsid w:val="00EC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C2321"/>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EC232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C232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C2321"/>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C2321"/>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2321"/>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C2321"/>
    <w:rPr>
      <w:vertAlign w:val="superscript"/>
    </w:rPr>
  </w:style>
  <w:style w:type="paragraph" w:customStyle="1" w:styleId="Appelnotedebasde">
    <w:name w:val="Appel note de bas de..."/>
    <w:basedOn w:val="Normal"/>
    <w:link w:val="Refdenotaalpie"/>
    <w:uiPriority w:val="99"/>
    <w:rsid w:val="00EC2321"/>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xmsonospacing">
    <w:name w:val="x_msonospacing"/>
    <w:basedOn w:val="Normal"/>
    <w:rsid w:val="00EC2321"/>
    <w:pPr>
      <w:spacing w:before="100" w:beforeAutospacing="1" w:after="100" w:afterAutospacing="1"/>
    </w:pPr>
  </w:style>
  <w:style w:type="paragraph" w:customStyle="1" w:styleId="Normal11pt">
    <w:name w:val="Normal + 11 pt"/>
    <w:aliases w:val="Negro,Justificado,Izquierda:  -0,95 cm,Derecha:  0,04 cm"/>
    <w:basedOn w:val="Normal"/>
    <w:uiPriority w:val="99"/>
    <w:rsid w:val="00EC2321"/>
    <w:pPr>
      <w:ind w:left="-540"/>
      <w:jc w:val="both"/>
    </w:pPr>
    <w:rPr>
      <w:rFonts w:ascii="Arial" w:hAnsi="Arial" w:cs="Arial"/>
      <w:color w:val="000000"/>
      <w:sz w:val="22"/>
      <w:szCs w:val="22"/>
      <w:lang w:val="es-ES_tradnl" w:eastAsia="es-ES"/>
    </w:rPr>
  </w:style>
  <w:style w:type="paragraph" w:styleId="NormalWeb">
    <w:name w:val="Normal (Web)"/>
    <w:basedOn w:val="Normal"/>
    <w:uiPriority w:val="99"/>
    <w:semiHidden/>
    <w:unhideWhenUsed/>
    <w:rsid w:val="00591E2F"/>
  </w:style>
  <w:style w:type="character" w:styleId="Textoennegrita">
    <w:name w:val="Strong"/>
    <w:basedOn w:val="Fuentedeprrafopredeter"/>
    <w:uiPriority w:val="22"/>
    <w:qFormat/>
    <w:rsid w:val="004107EC"/>
    <w:rPr>
      <w:b/>
      <w:bCs/>
    </w:rPr>
  </w:style>
  <w:style w:type="character" w:styleId="nfasis">
    <w:name w:val="Emphasis"/>
    <w:basedOn w:val="Fuentedeprrafopredeter"/>
    <w:uiPriority w:val="20"/>
    <w:qFormat/>
    <w:rsid w:val="004107EC"/>
    <w:rPr>
      <w:i/>
      <w:iCs/>
    </w:rPr>
  </w:style>
  <w:style w:type="character" w:customStyle="1" w:styleId="normaltextrun">
    <w:name w:val="normaltextrun"/>
    <w:basedOn w:val="Fuentedeprrafopredeter"/>
    <w:rsid w:val="001B449C"/>
  </w:style>
  <w:style w:type="character" w:customStyle="1" w:styleId="apple-converted-space">
    <w:name w:val="apple-converted-space"/>
    <w:basedOn w:val="Fuentedeprrafopredeter"/>
    <w:rsid w:val="006703FF"/>
  </w:style>
  <w:style w:type="paragraph" w:styleId="Textoindependiente">
    <w:name w:val="Body Text"/>
    <w:basedOn w:val="Normal"/>
    <w:link w:val="TextoindependienteCar"/>
    <w:uiPriority w:val="1"/>
    <w:qFormat/>
    <w:rsid w:val="00BB5834"/>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BB5834"/>
    <w:rPr>
      <w:rFonts w:ascii="Arial" w:eastAsia="Arial" w:hAnsi="Arial" w:cs="Arial"/>
      <w:sz w:val="20"/>
      <w:szCs w:val="20"/>
      <w:lang w:val="es-ES"/>
    </w:rPr>
  </w:style>
  <w:style w:type="paragraph" w:styleId="Revisin">
    <w:name w:val="Revision"/>
    <w:hidden/>
    <w:uiPriority w:val="99"/>
    <w:semiHidden/>
    <w:rsid w:val="00B07F55"/>
    <w:pPr>
      <w:spacing w:after="0"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23E4B"/>
    <w:rPr>
      <w:color w:val="0563C1" w:themeColor="hyperlink"/>
      <w:u w:val="single"/>
    </w:rPr>
  </w:style>
  <w:style w:type="character" w:styleId="Mencinsinresolver">
    <w:name w:val="Unresolved Mention"/>
    <w:basedOn w:val="Fuentedeprrafopredeter"/>
    <w:uiPriority w:val="99"/>
    <w:semiHidden/>
    <w:unhideWhenUsed/>
    <w:rsid w:val="00A23E4B"/>
    <w:rPr>
      <w:color w:val="605E5C"/>
      <w:shd w:val="clear" w:color="auto" w:fill="E1DFDD"/>
    </w:rPr>
  </w:style>
  <w:style w:type="character" w:styleId="Refdecomentario">
    <w:name w:val="annotation reference"/>
    <w:basedOn w:val="Fuentedeprrafopredeter"/>
    <w:uiPriority w:val="99"/>
    <w:semiHidden/>
    <w:unhideWhenUsed/>
    <w:rsid w:val="00F5487A"/>
    <w:rPr>
      <w:sz w:val="16"/>
      <w:szCs w:val="16"/>
    </w:rPr>
  </w:style>
  <w:style w:type="paragraph" w:styleId="Textocomentario">
    <w:name w:val="annotation text"/>
    <w:basedOn w:val="Normal"/>
    <w:link w:val="TextocomentarioCar"/>
    <w:uiPriority w:val="99"/>
    <w:semiHidden/>
    <w:unhideWhenUsed/>
    <w:rsid w:val="00F5487A"/>
    <w:rPr>
      <w:sz w:val="20"/>
      <w:szCs w:val="20"/>
    </w:rPr>
  </w:style>
  <w:style w:type="character" w:customStyle="1" w:styleId="TextocomentarioCar">
    <w:name w:val="Texto comentario Car"/>
    <w:basedOn w:val="Fuentedeprrafopredeter"/>
    <w:link w:val="Textocomentario"/>
    <w:uiPriority w:val="99"/>
    <w:semiHidden/>
    <w:rsid w:val="00F5487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5487A"/>
    <w:rPr>
      <w:b/>
      <w:bCs/>
    </w:rPr>
  </w:style>
  <w:style w:type="character" w:customStyle="1" w:styleId="AsuntodelcomentarioCar">
    <w:name w:val="Asunto del comentario Car"/>
    <w:basedOn w:val="TextocomentarioCar"/>
    <w:link w:val="Asuntodelcomentario"/>
    <w:uiPriority w:val="99"/>
    <w:semiHidden/>
    <w:rsid w:val="00F5487A"/>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3898AB-B78D-45A6-9EEE-2E462E42ABDB}">
  <ds:schemaRefs>
    <ds:schemaRef ds:uri="http://schemas.openxmlformats.org/officeDocument/2006/bibliography"/>
  </ds:schemaRefs>
</ds:datastoreItem>
</file>

<file path=customXml/itemProps2.xml><?xml version="1.0" encoding="utf-8"?>
<ds:datastoreItem xmlns:ds="http://schemas.openxmlformats.org/officeDocument/2006/customXml" ds:itemID="{2FB5EF60-532F-4F07-B858-EE46414598EC}"/>
</file>

<file path=customXml/itemProps3.xml><?xml version="1.0" encoding="utf-8"?>
<ds:datastoreItem xmlns:ds="http://schemas.openxmlformats.org/officeDocument/2006/customXml" ds:itemID="{A6E7D36C-2FA0-4F98-8074-8D571E04E5A5}"/>
</file>

<file path=customXml/itemProps4.xml><?xml version="1.0" encoding="utf-8"?>
<ds:datastoreItem xmlns:ds="http://schemas.openxmlformats.org/officeDocument/2006/customXml" ds:itemID="{2DD1F6D1-0B6B-4789-8106-287726A1076D}"/>
</file>

<file path=docProps/app.xml><?xml version="1.0" encoding="utf-8"?>
<Properties xmlns="http://schemas.openxmlformats.org/officeDocument/2006/extended-properties" xmlns:vt="http://schemas.openxmlformats.org/officeDocument/2006/docPropsVTypes">
  <Template>Normal</Template>
  <TotalTime>1</TotalTime>
  <Pages>18</Pages>
  <Words>6502</Words>
  <Characters>35766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2</cp:revision>
  <dcterms:created xsi:type="dcterms:W3CDTF">2022-05-22T14:42:00Z</dcterms:created>
  <dcterms:modified xsi:type="dcterms:W3CDTF">2022-05-22T14:42:00Z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