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E5259" w14:textId="66660522" w:rsidR="00D25707" w:rsidRPr="00604C6E" w:rsidRDefault="00A71CEA" w:rsidP="24C1067D">
      <w:pPr>
        <w:jc w:val="right"/>
        <w:rPr>
          <w:rFonts w:ascii="Arial" w:hAnsi="Arial" w:cs="Arial"/>
          <w:b/>
          <w:bCs/>
          <w:color w:val="000000" w:themeColor="text1"/>
          <w:sz w:val="16"/>
          <w:szCs w:val="16"/>
          <w:lang w:eastAsia="es-ES"/>
        </w:rPr>
      </w:pPr>
      <w:r w:rsidRPr="24C1067D">
        <w:rPr>
          <w:rFonts w:ascii="Arial" w:hAnsi="Arial" w:cs="Arial"/>
          <w:b/>
          <w:bCs/>
          <w:color w:val="000000" w:themeColor="text1"/>
          <w:sz w:val="16"/>
          <w:szCs w:val="16"/>
          <w:lang w:eastAsia="es-ES"/>
        </w:rPr>
        <w:t>CCE-DES-FM-17</w:t>
      </w:r>
    </w:p>
    <w:p w14:paraId="72A313AF" w14:textId="628A4ED2" w:rsidR="00427B0F" w:rsidRPr="00604C6E" w:rsidRDefault="00427B0F" w:rsidP="005531E1">
      <w:pPr>
        <w:pStyle w:val="Textoindependiente"/>
        <w:jc w:val="both"/>
        <w:rPr>
          <w:rFonts w:eastAsia="Calibri"/>
          <w:b/>
          <w:bCs/>
          <w:sz w:val="22"/>
          <w:szCs w:val="22"/>
          <w:lang w:val="es-MX"/>
        </w:rPr>
      </w:pPr>
      <w:r w:rsidRPr="24C1067D">
        <w:rPr>
          <w:rFonts w:eastAsia="Calibri"/>
          <w:b/>
          <w:bCs/>
          <w:sz w:val="22"/>
          <w:szCs w:val="22"/>
          <w:lang w:val="es-CO"/>
        </w:rPr>
        <w:t xml:space="preserve">LEY DE GARANTÍAS – </w:t>
      </w:r>
      <w:r w:rsidR="00576D51" w:rsidRPr="24C1067D">
        <w:rPr>
          <w:rFonts w:eastAsia="Calibri"/>
          <w:b/>
          <w:bCs/>
          <w:sz w:val="22"/>
          <w:szCs w:val="22"/>
          <w:lang w:val="es-MX"/>
        </w:rPr>
        <w:t xml:space="preserve">Tipos de restricciones </w:t>
      </w:r>
      <w:bookmarkStart w:id="0" w:name="_Hlk77157034"/>
      <w:r w:rsidR="00576D51" w:rsidRPr="24C1067D">
        <w:rPr>
          <w:rFonts w:eastAsia="Calibri"/>
          <w:b/>
          <w:bCs/>
          <w:sz w:val="22"/>
          <w:szCs w:val="22"/>
          <w:lang w:val="es-MX"/>
        </w:rPr>
        <w:t xml:space="preserve">‒ </w:t>
      </w:r>
      <w:bookmarkStart w:id="1" w:name="_Hlk77153098"/>
      <w:bookmarkEnd w:id="0"/>
      <w:r w:rsidR="00576D51" w:rsidRPr="24C1067D">
        <w:rPr>
          <w:rFonts w:eastAsia="Calibri"/>
          <w:b/>
          <w:bCs/>
          <w:sz w:val="22"/>
          <w:szCs w:val="22"/>
          <w:lang w:val="es-MX"/>
        </w:rPr>
        <w:t>Ámbito temporal</w:t>
      </w:r>
      <w:bookmarkEnd w:id="1"/>
    </w:p>
    <w:p w14:paraId="37138D48" w14:textId="77777777" w:rsidR="006414FA" w:rsidRPr="00604C6E" w:rsidRDefault="006414FA" w:rsidP="005531E1">
      <w:pPr>
        <w:pStyle w:val="Textoindependiente"/>
        <w:jc w:val="both"/>
        <w:rPr>
          <w:lang w:val="es-MX"/>
        </w:rPr>
      </w:pPr>
    </w:p>
    <w:p w14:paraId="6EFEC3A0" w14:textId="15B7CF7E" w:rsidR="00576D51" w:rsidRPr="00604C6E" w:rsidRDefault="006414FA" w:rsidP="005531E1">
      <w:pPr>
        <w:pStyle w:val="Textoindependiente"/>
        <w:jc w:val="both"/>
        <w:rPr>
          <w:lang w:val="es-MX"/>
        </w:rPr>
      </w:pPr>
      <w:r w:rsidRPr="24C1067D">
        <w:rPr>
          <w:lang w:val="es-MX"/>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24C1067D">
        <w:rPr>
          <w:rFonts w:asciiTheme="minorHAnsi" w:eastAsiaTheme="minorEastAsia" w:hAnsiTheme="minorHAnsi" w:cstheme="minorBidi"/>
          <w:lang w:val="es-MX"/>
        </w:rPr>
        <w:t xml:space="preserve"> </w:t>
      </w:r>
      <w:r w:rsidRPr="24C1067D">
        <w:rPr>
          <w:lang w:val="es-MX"/>
        </w:rPr>
        <w:t>En efecto, como lo ha sostenido el Consejo de Estado, el vocablo «todos» utilizado por el legislador comprende</w:t>
      </w:r>
      <w:r w:rsidRPr="24C1067D">
        <w:rPr>
          <w:rFonts w:asciiTheme="minorHAnsi" w:eastAsiaTheme="minorEastAsia" w:hAnsiTheme="minorHAnsi" w:cstheme="minorBidi"/>
          <w:lang w:val="es-MX"/>
        </w:rPr>
        <w:t xml:space="preserve"> </w:t>
      </w:r>
      <w:r w:rsidRPr="24C1067D">
        <w:rPr>
          <w:lang w:val="es-MX"/>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w:t>
      </w:r>
    </w:p>
    <w:p w14:paraId="09B9525D" w14:textId="641319E6" w:rsidR="008148A5" w:rsidRPr="00604C6E" w:rsidRDefault="008148A5" w:rsidP="005531E1">
      <w:pPr>
        <w:pStyle w:val="Textoindependiente"/>
        <w:jc w:val="both"/>
        <w:rPr>
          <w:lang w:val="es-MX"/>
        </w:rPr>
      </w:pPr>
      <w:r w:rsidRPr="24C1067D">
        <w:rPr>
          <w:lang w:val="es-MX"/>
        </w:rPr>
        <w:t>[…]</w:t>
      </w:r>
    </w:p>
    <w:p w14:paraId="08997DEE" w14:textId="410C7380" w:rsidR="008148A5" w:rsidRPr="00604C6E" w:rsidRDefault="008148A5" w:rsidP="005531E1">
      <w:pPr>
        <w:pStyle w:val="Textoindependiente"/>
        <w:jc w:val="both"/>
        <w:rPr>
          <w:rFonts w:eastAsia="Calibri"/>
          <w:b/>
          <w:bCs/>
          <w:lang w:val="es-CO"/>
        </w:rPr>
      </w:pPr>
      <w:r w:rsidRPr="24C1067D">
        <w:rPr>
          <w:rFonts w:eastAsia="Calibri"/>
        </w:rPr>
        <w:t xml:space="preserve">El parágrafo del artículo 38 de la Ley 996 de 2005 dispone que «[l]os Gobernadores, </w:t>
      </w:r>
      <w:proofErr w:type="gramStart"/>
      <w:r w:rsidRPr="24C1067D">
        <w:rPr>
          <w:rFonts w:eastAsia="Calibri"/>
        </w:rPr>
        <w:t>Alcaldes</w:t>
      </w:r>
      <w:proofErr w:type="gramEnd"/>
      <w:r w:rsidRPr="24C1067D">
        <w:rPr>
          <w:rFonts w:eastAsia="Calibri"/>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24C1067D">
        <w:rPr>
          <w:lang w:val="es-MX"/>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 </w:t>
      </w:r>
    </w:p>
    <w:p w14:paraId="679AA35E" w14:textId="77777777" w:rsidR="00427B0F" w:rsidRPr="00604C6E" w:rsidRDefault="00427B0F" w:rsidP="005531E1">
      <w:pPr>
        <w:pStyle w:val="Textoindependiente"/>
        <w:jc w:val="both"/>
        <w:rPr>
          <w:rFonts w:eastAsia="Calibri"/>
          <w:sz w:val="22"/>
          <w:szCs w:val="22"/>
          <w:lang w:val="es-CO"/>
        </w:rPr>
      </w:pPr>
    </w:p>
    <w:p w14:paraId="7A57B5D7" w14:textId="29D3471B" w:rsidR="00427B0F" w:rsidRPr="00604C6E" w:rsidRDefault="00427B0F" w:rsidP="005531E1">
      <w:pPr>
        <w:pStyle w:val="Textoindependiente"/>
        <w:jc w:val="both"/>
        <w:rPr>
          <w:rFonts w:eastAsia="Calibri"/>
          <w:b/>
          <w:bCs/>
          <w:sz w:val="22"/>
          <w:szCs w:val="22"/>
          <w:lang w:val="es-CO"/>
        </w:rPr>
      </w:pPr>
      <w:r w:rsidRPr="24C1067D">
        <w:rPr>
          <w:rFonts w:eastAsia="Calibri"/>
          <w:b/>
          <w:bCs/>
          <w:sz w:val="22"/>
          <w:szCs w:val="22"/>
          <w:lang w:val="es-CO"/>
        </w:rPr>
        <w:t>INSTITUCIONES EDUCATIVAS –</w:t>
      </w:r>
      <w:r w:rsidR="00DC58C9" w:rsidRPr="24C1067D">
        <w:rPr>
          <w:rFonts w:eastAsia="Calibri"/>
          <w:b/>
          <w:bCs/>
          <w:sz w:val="22"/>
          <w:szCs w:val="22"/>
          <w:lang w:val="es-CO"/>
        </w:rPr>
        <w:t xml:space="preserve"> </w:t>
      </w:r>
      <w:r w:rsidR="00DD3884" w:rsidRPr="24C1067D">
        <w:rPr>
          <w:rFonts w:eastAsia="Calibri"/>
          <w:b/>
          <w:bCs/>
          <w:sz w:val="22"/>
          <w:szCs w:val="22"/>
          <w:lang w:val="es-CO"/>
        </w:rPr>
        <w:t>Fondos de servicios educativos</w:t>
      </w:r>
      <w:r w:rsidR="00AE11B5" w:rsidRPr="24C1067D">
        <w:rPr>
          <w:rFonts w:eastAsia="Calibri"/>
          <w:b/>
          <w:bCs/>
          <w:sz w:val="22"/>
          <w:szCs w:val="22"/>
          <w:lang w:val="es-CO"/>
        </w:rPr>
        <w:t xml:space="preserve"> – Ley de garantías </w:t>
      </w:r>
    </w:p>
    <w:p w14:paraId="7D91AD14" w14:textId="4DDF7BA2" w:rsidR="00427B0F" w:rsidRPr="00604C6E" w:rsidRDefault="00427B0F" w:rsidP="005531E1">
      <w:pPr>
        <w:pStyle w:val="Textoindependiente"/>
        <w:jc w:val="both"/>
        <w:rPr>
          <w:rFonts w:eastAsia="Calibri"/>
          <w:b/>
          <w:bCs/>
          <w:sz w:val="22"/>
          <w:szCs w:val="22"/>
          <w:lang w:val="es-CO"/>
        </w:rPr>
      </w:pPr>
    </w:p>
    <w:p w14:paraId="3705428C" w14:textId="77777777" w:rsidR="00801A5E" w:rsidRPr="00801A5E" w:rsidRDefault="00801A5E" w:rsidP="00801A5E">
      <w:pPr>
        <w:spacing w:after="120"/>
        <w:jc w:val="both"/>
        <w:rPr>
          <w:sz w:val="20"/>
          <w:szCs w:val="20"/>
          <w:lang w:val="es-MX" w:eastAsia="es-CO"/>
        </w:rPr>
      </w:pPr>
      <w:r w:rsidRPr="00801A5E">
        <w:rPr>
          <w:rFonts w:ascii="Arial" w:hAnsi="Arial" w:cs="Arial"/>
          <w:i/>
          <w:iCs/>
          <w:sz w:val="20"/>
          <w:szCs w:val="20"/>
          <w:lang w:val="es-MX" w:eastAsia="es-CO"/>
        </w:rPr>
        <w:t>En primer lugar</w:t>
      </w:r>
      <w:r w:rsidRPr="00801A5E">
        <w:rPr>
          <w:rFonts w:ascii="Arial" w:hAnsi="Arial" w:cs="Arial"/>
          <w:sz w:val="20"/>
          <w:szCs w:val="20"/>
          <w:lang w:val="es-MX" w:eastAsia="es-CO"/>
        </w:rPr>
        <w:t>, la restricción del artículo 33 prohíbe la contratación directa por parte de todos los entes del Estado, durante los cuatro (4) meses anteriores a la elección presidencial y hasta la realización de la elección en la segunda vuelta, en caso de que se presente. En consecuencia, es necesario considerar que el artículo 13 de la Ley 715 de 2001 consagra un régimen jurídico que exceptúa la aplicación del Estatuto General de Contratación de la Administración Pública para los contratos de los fondos de servicios educativos inferiores a veinte (20) SMLMV, con el objetivo de flexibilizar el régimen contractual aplicable. Pese a lo anterior, la prohibición de contratación directa de la Ley de Garantías es independiente del régimen contractual, por lo que se extiende a los contratos celebrados con cargo a los fondos de servicios educativos.</w:t>
      </w:r>
    </w:p>
    <w:p w14:paraId="5FD6BB84" w14:textId="60AF9C77" w:rsidR="00801A5E" w:rsidRPr="00801A5E" w:rsidRDefault="00801A5E" w:rsidP="00801A5E">
      <w:pPr>
        <w:spacing w:after="120"/>
        <w:jc w:val="both"/>
        <w:rPr>
          <w:rFonts w:ascii="Arial" w:hAnsi="Arial" w:cs="Arial"/>
          <w:sz w:val="20"/>
          <w:szCs w:val="20"/>
          <w:lang w:val="es-MX" w:eastAsia="es-CO"/>
        </w:rPr>
      </w:pPr>
      <w:r>
        <w:rPr>
          <w:rFonts w:ascii="Arial" w:hAnsi="Arial" w:cs="Arial"/>
          <w:sz w:val="20"/>
          <w:szCs w:val="20"/>
          <w:lang w:val="es-MX" w:eastAsia="es-CO"/>
        </w:rPr>
        <w:t>E</w:t>
      </w:r>
      <w:r w:rsidRPr="00801A5E">
        <w:rPr>
          <w:rFonts w:ascii="Arial" w:hAnsi="Arial" w:cs="Arial"/>
          <w:sz w:val="20"/>
          <w:szCs w:val="20"/>
          <w:lang w:val="es-MX" w:eastAsia="es-CO"/>
        </w:rPr>
        <w:t xml:space="preserve">n armonía con lo anterior, la prohibición del artículo 33 de la Ley de Garantías Electorales se refiere a «cualquier sistema que no implique convocatoria pública y posibilidad de pluralidad de oferentes», esto es, la contratación directa por lo que excluye de la prohibición a las demás modalidades de contratación previstas en la Ley 1150 de 2007. Esto significa que, procedimientos como el de licitación pública, selección abreviada, concurso de méritos, mínima cuantía y demás procesos susceptibles de pluralidad de oferentes previstos en normas especiales, pueden adelantarse en vigencia de la restricción del artículo 33, sin que ello suponga una contravención a la misma. En tal sentido, se reitera que la prohibición del artículo 33 de la Ley de Garantías Electorales recae sobre cualquier forma de contratación directa, salvo que en el caso concreto se presente alguna de las excepciones establecidas en el inciso segundo del artículo 33, esto es, </w:t>
      </w:r>
      <w:r w:rsidRPr="00801A5E">
        <w:rPr>
          <w:rFonts w:ascii="Arial" w:hAnsi="Arial" w:cs="Arial"/>
          <w:bCs/>
          <w:sz w:val="20"/>
          <w:szCs w:val="20"/>
          <w:lang w:val="es-MX" w:eastAsia="x-none"/>
        </w:rPr>
        <w:t xml:space="preserve">lo referente a: i) la defensa y seguridad del Estado; ii) los contratos de crédito público; </w:t>
      </w:r>
      <w:proofErr w:type="spellStart"/>
      <w:r w:rsidRPr="00801A5E">
        <w:rPr>
          <w:rFonts w:ascii="Arial" w:hAnsi="Arial" w:cs="Arial"/>
          <w:bCs/>
          <w:sz w:val="20"/>
          <w:szCs w:val="20"/>
          <w:lang w:val="es-MX" w:eastAsia="x-none"/>
        </w:rPr>
        <w:t>iii</w:t>
      </w:r>
      <w:proofErr w:type="spellEnd"/>
      <w:r w:rsidRPr="00801A5E">
        <w:rPr>
          <w:rFonts w:ascii="Arial" w:hAnsi="Arial" w:cs="Arial"/>
          <w:bCs/>
          <w:sz w:val="20"/>
          <w:szCs w:val="20"/>
          <w:lang w:val="es-MX" w:eastAsia="x-none"/>
        </w:rPr>
        <w:t xml:space="preserve">) los requeridos para cubrir las emergencias educativas, sanitarias y desastres; </w:t>
      </w:r>
      <w:proofErr w:type="spellStart"/>
      <w:r w:rsidRPr="00801A5E">
        <w:rPr>
          <w:rFonts w:ascii="Arial" w:hAnsi="Arial" w:cs="Arial"/>
          <w:bCs/>
          <w:sz w:val="20"/>
          <w:szCs w:val="20"/>
          <w:lang w:val="es-MX" w:eastAsia="x-none"/>
        </w:rPr>
        <w:t>iv</w:t>
      </w:r>
      <w:proofErr w:type="spellEnd"/>
      <w:r w:rsidRPr="00801A5E">
        <w:rPr>
          <w:rFonts w:ascii="Arial" w:hAnsi="Arial" w:cs="Arial"/>
          <w:bCs/>
          <w:sz w:val="20"/>
          <w:szCs w:val="20"/>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801A5E">
        <w:rPr>
          <w:rFonts w:ascii="Arial" w:hAnsi="Arial" w:cs="Arial"/>
          <w:bCs/>
          <w:sz w:val="20"/>
          <w:szCs w:val="20"/>
          <w:lang w:val="es-MX"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4BE49BCE" w14:textId="77777777" w:rsidR="00801A5E" w:rsidRPr="00801A5E" w:rsidRDefault="00801A5E" w:rsidP="00846C16">
      <w:pPr>
        <w:spacing w:after="120"/>
        <w:jc w:val="both"/>
        <w:rPr>
          <w:sz w:val="20"/>
          <w:szCs w:val="20"/>
          <w:lang w:val="es-MX" w:eastAsia="es-CO"/>
        </w:rPr>
      </w:pPr>
      <w:r w:rsidRPr="00801A5E">
        <w:rPr>
          <w:rFonts w:ascii="Arial" w:hAnsi="Arial" w:cs="Arial"/>
          <w:i/>
          <w:iCs/>
          <w:sz w:val="20"/>
          <w:szCs w:val="20"/>
          <w:lang w:val="es-MX" w:eastAsia="es-CO"/>
        </w:rPr>
        <w:lastRenderedPageBreak/>
        <w:t>En segundo lugar</w:t>
      </w:r>
      <w:r w:rsidRPr="00801A5E">
        <w:rPr>
          <w:rFonts w:ascii="Arial" w:hAnsi="Arial" w:cs="Arial"/>
          <w:sz w:val="20"/>
          <w:szCs w:val="20"/>
          <w:lang w:val="es-MX" w:eastAsia="es-CO"/>
        </w:rPr>
        <w:t xml:space="preserve">, el parágrafo del artículo 38 de la Ley 996 de 2005 prohíbe a los gobernadores, alcaldes, secretarios, gerentes y directores de Entidades Estatales del orden Municipal, Departamental o Distrital celebrar convenios o contratos interadministrativos para ejecutar recursos públicos durante los cuatro (4) meses anteriores a cualquier elección de cargos de elección popular. </w:t>
      </w:r>
    </w:p>
    <w:p w14:paraId="1C3A1A69" w14:textId="77777777" w:rsidR="00801A5E" w:rsidRPr="00801A5E" w:rsidRDefault="00801A5E" w:rsidP="00846C16">
      <w:pPr>
        <w:spacing w:after="120"/>
        <w:jc w:val="both"/>
        <w:rPr>
          <w:rFonts w:ascii="Arial" w:hAnsi="Arial" w:cs="Arial"/>
          <w:sz w:val="20"/>
          <w:szCs w:val="20"/>
          <w:lang w:val="es-MX" w:eastAsia="es-CO"/>
        </w:rPr>
      </w:pPr>
      <w:r w:rsidRPr="00801A5E">
        <w:rPr>
          <w:rFonts w:ascii="Arial" w:hAnsi="Arial" w:cs="Arial"/>
          <w:sz w:val="20"/>
          <w:szCs w:val="20"/>
          <w:lang w:val="es-MX" w:eastAsia="es-CO"/>
        </w:rPr>
        <w:t xml:space="preserve">En este sentido, respecto a la restricción del artículo 38 de la Ley de Garantías se considera que los contratos celebrados con los administradores del fondo y </w:t>
      </w:r>
      <w:r w:rsidRPr="00801A5E">
        <w:rPr>
          <w:rFonts w:ascii="Arial" w:hAnsi="Arial" w:cs="Arial"/>
          <w:i/>
          <w:iCs/>
          <w:sz w:val="20"/>
          <w:szCs w:val="20"/>
          <w:lang w:val="es-MX" w:eastAsia="es-CO"/>
        </w:rPr>
        <w:t>otras entidades públicas</w:t>
      </w:r>
      <w:r w:rsidRPr="00801A5E">
        <w:rPr>
          <w:rFonts w:ascii="Arial" w:hAnsi="Arial" w:cs="Arial"/>
          <w:sz w:val="20"/>
          <w:szCs w:val="20"/>
          <w:lang w:val="es-MX" w:eastAsia="es-CO"/>
        </w:rPr>
        <w:t xml:space="preserve"> son contratos interadministrativos. En efecto, el citado artículo 2.2.1.2.1.4.4 del Decreto 1082 de 2015 califica a los convenios o contratos interadministrativos como aquella contratación entre entidades estatales. El concepto está definido en el artículo 2.2.1.1.1.3.1 ibidem como: «Cada una de las entidades: (a) a las que se refiere el artículo 2 de la Ley 80 de 1993; (b) a las que se refieren los artículos 10, 14 y 24 de la Ley 1150 de 2007 y (c) aquellas entidades que por disposición de la ley deban aplicar la Ley 80 de 1993 y la Ley 1150 de 2007, o las normas que las modifiquen, aclaren, adicionen o sustituyan». Aunque las instituciones educativas carecen de personería jurídica, tienen capacidad para contratar y se concreta en la competencia que le otorgó el legislador en la Ley 715 de 2001 para administrar los fondos de servicios educativos. Así, conforme al literal b) del artículo 2.1 de la Ley 80 de 1993, también se considera entidad estatal todos aquellos «[…] organismos o dependencias del Estado a los que la ley otorgue capacidad para celebrar contratos».</w:t>
      </w:r>
    </w:p>
    <w:p w14:paraId="7C13E92F" w14:textId="77777777" w:rsidR="00801A5E" w:rsidRPr="00801A5E" w:rsidRDefault="00801A5E" w:rsidP="00846C16">
      <w:pPr>
        <w:jc w:val="both"/>
        <w:rPr>
          <w:rFonts w:ascii="Arial" w:eastAsiaTheme="minorEastAsia" w:hAnsi="Arial" w:cs="Arial"/>
          <w:sz w:val="20"/>
          <w:szCs w:val="20"/>
          <w:lang w:val="es-ES" w:eastAsia="en-US"/>
        </w:rPr>
      </w:pPr>
      <w:r w:rsidRPr="00801A5E">
        <w:rPr>
          <w:rFonts w:ascii="Arial" w:hAnsi="Arial" w:cs="Arial"/>
          <w:sz w:val="20"/>
          <w:szCs w:val="20"/>
        </w:rPr>
        <w:t xml:space="preserve">En los términos anteriormente explicados, ambas restricciones aplican a los contratos celebrados con cargo a los fondos de servicios educativos, de acuerdo con el alcance precisado frente a los artículos 33 y el parágrafo del artículo 38 de la Ley de Garantías Electorales. Por lo que, dentro de este marco general, </w:t>
      </w:r>
      <w:r w:rsidRPr="00801A5E">
        <w:rPr>
          <w:rFonts w:ascii="Arial" w:eastAsiaTheme="minorEastAsia" w:hAnsi="Arial" w:cs="Arial"/>
          <w:sz w:val="20"/>
          <w:szCs w:val="20"/>
          <w:lang w:val="es-ES" w:eastAsia="en-US"/>
        </w:rPr>
        <w:t xml:space="preserve">le corresponderá a cada entidad, previo concepto de sus órganos asesores, definir la viabilidad técnica, jurídica y financiera de celebrar determinado contrato estatal en específico. </w:t>
      </w:r>
    </w:p>
    <w:p w14:paraId="1B1139D0" w14:textId="6E0902B8" w:rsidR="002D4FF1" w:rsidRPr="00150100" w:rsidRDefault="005531E1" w:rsidP="24C1067D">
      <w:pPr>
        <w:rPr>
          <w:sz w:val="20"/>
          <w:szCs w:val="20"/>
        </w:rPr>
      </w:pPr>
      <w:r w:rsidRPr="00801A5E">
        <w:rPr>
          <w:sz w:val="20"/>
          <w:szCs w:val="20"/>
        </w:rPr>
        <w:br w:type="page"/>
      </w:r>
    </w:p>
    <w:p w14:paraId="56AD481B" w14:textId="50B41644" w:rsidR="002D4FF1" w:rsidRDefault="002D4FF1" w:rsidP="24C1067D">
      <w:pPr>
        <w:rPr>
          <w:sz w:val="22"/>
          <w:szCs w:val="22"/>
        </w:rPr>
      </w:pPr>
    </w:p>
    <w:p w14:paraId="11E1373A" w14:textId="383AF23E" w:rsidR="002D4FF1" w:rsidRDefault="002D4FF1" w:rsidP="00150100">
      <w:pPr>
        <w:jc w:val="right"/>
        <w:rPr>
          <w:sz w:val="22"/>
          <w:szCs w:val="22"/>
        </w:rPr>
      </w:pPr>
      <w:r w:rsidRPr="002D4FF1">
        <w:rPr>
          <w:noProof/>
          <w:sz w:val="22"/>
          <w:szCs w:val="22"/>
        </w:rPr>
        <w:drawing>
          <wp:inline distT="0" distB="0" distL="0" distR="0" wp14:anchorId="34C47371" wp14:editId="3EFC83C6">
            <wp:extent cx="2409871" cy="681951"/>
            <wp:effectExtent l="0" t="0" r="0" b="4445"/>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pic:nvPicPr>
                  <pic:blipFill>
                    <a:blip r:embed="rId11"/>
                    <a:stretch>
                      <a:fillRect/>
                    </a:stretch>
                  </pic:blipFill>
                  <pic:spPr>
                    <a:xfrm>
                      <a:off x="0" y="0"/>
                      <a:ext cx="2489769" cy="704561"/>
                    </a:xfrm>
                    <a:prstGeom prst="rect">
                      <a:avLst/>
                    </a:prstGeom>
                  </pic:spPr>
                </pic:pic>
              </a:graphicData>
            </a:graphic>
          </wp:inline>
        </w:drawing>
      </w:r>
    </w:p>
    <w:p w14:paraId="5307BB47" w14:textId="0C2F1804" w:rsidR="00CE4BD7" w:rsidRPr="00150100" w:rsidRDefault="00C70BF2" w:rsidP="00C33A69">
      <w:pPr>
        <w:rPr>
          <w:rFonts w:ascii="Arial" w:eastAsia="Calibri" w:hAnsi="Arial" w:cs="Arial"/>
          <w:color w:val="7F7F7F" w:themeColor="text1" w:themeTint="80"/>
          <w:sz w:val="22"/>
        </w:rPr>
      </w:pPr>
      <w:bookmarkStart w:id="2" w:name="_Hlk101882130"/>
      <w:r w:rsidRPr="00150100">
        <w:rPr>
          <w:rFonts w:ascii="Arial" w:eastAsia="Calibri" w:hAnsi="Arial" w:cs="Arial"/>
          <w:color w:val="7F7F7F" w:themeColor="text1" w:themeTint="80"/>
          <w:sz w:val="22"/>
        </w:rPr>
        <w:t xml:space="preserve">Bogotá, D.C. </w:t>
      </w:r>
      <w:r w:rsidR="00150100" w:rsidRPr="00150100">
        <w:rPr>
          <w:rFonts w:ascii="Arial" w:eastAsia="Calibri" w:hAnsi="Arial" w:cs="Arial"/>
          <w:color w:val="7F7F7F" w:themeColor="text1" w:themeTint="80"/>
          <w:sz w:val="22"/>
        </w:rPr>
        <w:t xml:space="preserve">09 </w:t>
      </w:r>
      <w:proofErr w:type="gramStart"/>
      <w:r w:rsidR="00150100" w:rsidRPr="00150100">
        <w:rPr>
          <w:rFonts w:ascii="Arial" w:eastAsia="Calibri" w:hAnsi="Arial" w:cs="Arial"/>
          <w:color w:val="7F7F7F" w:themeColor="text1" w:themeTint="80"/>
          <w:sz w:val="22"/>
        </w:rPr>
        <w:t>Mayo</w:t>
      </w:r>
      <w:proofErr w:type="gramEnd"/>
      <w:r w:rsidR="00150100" w:rsidRPr="00150100">
        <w:rPr>
          <w:rFonts w:ascii="Arial" w:eastAsia="Calibri" w:hAnsi="Arial" w:cs="Arial"/>
          <w:color w:val="7F7F7F" w:themeColor="text1" w:themeTint="80"/>
          <w:sz w:val="22"/>
        </w:rPr>
        <w:t xml:space="preserve"> 2022</w:t>
      </w:r>
    </w:p>
    <w:p w14:paraId="107A9001" w14:textId="77777777" w:rsidR="00C70BF2" w:rsidRDefault="00C70BF2" w:rsidP="00C33A69">
      <w:pPr>
        <w:rPr>
          <w:rFonts w:ascii="Arial" w:eastAsia="Calibri" w:hAnsi="Arial" w:cs="Arial"/>
          <w:sz w:val="22"/>
        </w:rPr>
      </w:pPr>
    </w:p>
    <w:p w14:paraId="48F3433D" w14:textId="77777777" w:rsidR="00C70BF2" w:rsidRPr="00FD7DA9" w:rsidRDefault="00C70BF2" w:rsidP="00C33A69">
      <w:pPr>
        <w:rPr>
          <w:rFonts w:ascii="Arial" w:eastAsia="Calibri" w:hAnsi="Arial" w:cs="Arial"/>
          <w:sz w:val="22"/>
        </w:rPr>
      </w:pPr>
    </w:p>
    <w:p w14:paraId="67AC7ECE" w14:textId="72B82B71" w:rsidR="00C33A69" w:rsidRDefault="00C33A69" w:rsidP="00C33A69">
      <w:pPr>
        <w:rPr>
          <w:rFonts w:ascii="Arial" w:eastAsia="Calibri" w:hAnsi="Arial" w:cs="Arial"/>
          <w:color w:val="000000" w:themeColor="text1"/>
          <w:sz w:val="22"/>
        </w:rPr>
      </w:pPr>
      <w:r w:rsidRPr="001B0D3D">
        <w:rPr>
          <w:rFonts w:ascii="Arial" w:eastAsia="Calibri" w:hAnsi="Arial" w:cs="Arial"/>
          <w:color w:val="000000" w:themeColor="text1"/>
          <w:sz w:val="22"/>
        </w:rPr>
        <w:t>Señor</w:t>
      </w:r>
    </w:p>
    <w:p w14:paraId="1E6775AE" w14:textId="0933CCB1" w:rsidR="006A6280" w:rsidRPr="00956A9E" w:rsidRDefault="006A6280" w:rsidP="00C33A69">
      <w:pPr>
        <w:rPr>
          <w:rFonts w:ascii="Arial" w:eastAsia="Calibri" w:hAnsi="Arial" w:cs="Arial"/>
          <w:b/>
          <w:bCs/>
          <w:color w:val="000000" w:themeColor="text1"/>
          <w:sz w:val="22"/>
        </w:rPr>
      </w:pPr>
      <w:r w:rsidRPr="00956A9E">
        <w:rPr>
          <w:rFonts w:ascii="Arial" w:eastAsia="Calibri" w:hAnsi="Arial" w:cs="Arial"/>
          <w:b/>
          <w:bCs/>
          <w:color w:val="000000" w:themeColor="text1"/>
          <w:sz w:val="22"/>
        </w:rPr>
        <w:t>Germán Patiño Soche</w:t>
      </w:r>
    </w:p>
    <w:p w14:paraId="4F9DF387" w14:textId="3A8406E6" w:rsidR="003C1F96" w:rsidRPr="00F5750E" w:rsidRDefault="004E43F3">
      <w:pPr>
        <w:rPr>
          <w:rFonts w:ascii="Arial" w:eastAsia="Calibri" w:hAnsi="Arial" w:cs="Arial"/>
          <w:color w:val="000000" w:themeColor="text1"/>
          <w:sz w:val="22"/>
        </w:rPr>
      </w:pPr>
      <w:r w:rsidRPr="00F5750E">
        <w:rPr>
          <w:rFonts w:ascii="Arial" w:eastAsia="Calibri" w:hAnsi="Arial" w:cs="Arial"/>
          <w:color w:val="000000" w:themeColor="text1"/>
          <w:sz w:val="22"/>
        </w:rPr>
        <w:t>Sindicato de Empleados y Trabajadores de la Educación</w:t>
      </w:r>
    </w:p>
    <w:p w14:paraId="3BB8E2E5" w14:textId="1090F1DB" w:rsidR="00C33A69" w:rsidRPr="001B0D3D" w:rsidRDefault="00F5750E" w:rsidP="00C33A69">
      <w:pPr>
        <w:rPr>
          <w:rFonts w:ascii="Arial" w:eastAsia="Calibri" w:hAnsi="Arial" w:cs="Arial"/>
          <w:color w:val="000000" w:themeColor="text1"/>
          <w:sz w:val="22"/>
        </w:rPr>
      </w:pPr>
      <w:r>
        <w:rPr>
          <w:rFonts w:ascii="Arial" w:eastAsia="Calibri" w:hAnsi="Arial" w:cs="Arial"/>
          <w:color w:val="000000" w:themeColor="text1"/>
          <w:sz w:val="22"/>
        </w:rPr>
        <w:t>Bogotá, D.C.</w:t>
      </w:r>
    </w:p>
    <w:p w14:paraId="3EE54747" w14:textId="77777777" w:rsidR="00C33A69" w:rsidRPr="001B0D3D" w:rsidRDefault="00C33A69" w:rsidP="00C33A69">
      <w:pPr>
        <w:rPr>
          <w:rFonts w:ascii="Arial" w:eastAsia="Calibri" w:hAnsi="Arial" w:cs="Arial"/>
          <w:color w:val="000000" w:themeColor="text1"/>
          <w:sz w:val="22"/>
        </w:rPr>
      </w:pPr>
    </w:p>
    <w:p w14:paraId="5A1EF225" w14:textId="77777777" w:rsidR="00667FCB" w:rsidRPr="001B0D3D" w:rsidRDefault="00667FCB" w:rsidP="00667FCB">
      <w:pPr>
        <w:rPr>
          <w:rFonts w:ascii="Arial" w:eastAsia="Calibri" w:hAnsi="Arial" w:cs="Arial"/>
          <w:b/>
          <w:color w:val="000000" w:themeColor="text1"/>
          <w:sz w:val="22"/>
        </w:rPr>
      </w:pPr>
    </w:p>
    <w:p w14:paraId="110710E1" w14:textId="61582A44" w:rsidR="00C33A69" w:rsidRPr="001B0D3D" w:rsidRDefault="0034413B" w:rsidP="006C0EA1">
      <w:pPr>
        <w:rPr>
          <w:rFonts w:ascii="Arial" w:eastAsia="Calibri" w:hAnsi="Arial" w:cs="Arial"/>
          <w:b/>
          <w:color w:val="000000" w:themeColor="text1"/>
          <w:sz w:val="22"/>
        </w:rPr>
      </w:pPr>
      <w:r>
        <w:rPr>
          <w:rFonts w:ascii="Arial" w:eastAsia="Calibri" w:hAnsi="Arial" w:cs="Arial"/>
          <w:b/>
          <w:color w:val="000000" w:themeColor="text1"/>
          <w:sz w:val="22"/>
        </w:rPr>
        <w:t xml:space="preserve">                                         </w:t>
      </w:r>
      <w:r w:rsidR="00945539">
        <w:rPr>
          <w:rFonts w:ascii="Arial" w:eastAsia="Calibri" w:hAnsi="Arial" w:cs="Arial"/>
          <w:b/>
          <w:color w:val="000000" w:themeColor="text1"/>
          <w:sz w:val="22"/>
        </w:rPr>
        <w:t xml:space="preserve"> </w:t>
      </w:r>
      <w:r w:rsidR="00C33A69">
        <w:rPr>
          <w:rFonts w:ascii="Arial" w:eastAsia="Calibri" w:hAnsi="Arial" w:cs="Arial"/>
          <w:b/>
          <w:color w:val="000000" w:themeColor="text1"/>
          <w:sz w:val="22"/>
        </w:rPr>
        <w:t>Concepto C</w:t>
      </w:r>
      <w:r w:rsidR="00A5202C">
        <w:rPr>
          <w:rFonts w:ascii="Arial" w:eastAsia="Calibri" w:hAnsi="Arial" w:cs="Arial"/>
          <w:b/>
          <w:color w:val="000000" w:themeColor="text1"/>
          <w:sz w:val="22"/>
        </w:rPr>
        <w:t xml:space="preserve"> – </w:t>
      </w:r>
      <w:r w:rsidR="00F35993">
        <w:rPr>
          <w:rFonts w:ascii="Arial" w:eastAsia="Calibri" w:hAnsi="Arial" w:cs="Arial"/>
          <w:b/>
          <w:color w:val="000000" w:themeColor="text1"/>
          <w:sz w:val="22"/>
        </w:rPr>
        <w:t>2</w:t>
      </w:r>
      <w:r w:rsidR="004E43F3">
        <w:rPr>
          <w:rFonts w:ascii="Arial" w:eastAsia="Calibri" w:hAnsi="Arial" w:cs="Arial"/>
          <w:b/>
          <w:color w:val="000000" w:themeColor="text1"/>
          <w:sz w:val="22"/>
        </w:rPr>
        <w:t>82</w:t>
      </w:r>
      <w:r w:rsidR="00C33A69">
        <w:rPr>
          <w:rFonts w:ascii="Arial" w:eastAsia="Calibri" w:hAnsi="Arial" w:cs="Arial"/>
          <w:b/>
          <w:color w:val="000000" w:themeColor="text1"/>
          <w:sz w:val="22"/>
        </w:rPr>
        <w:t xml:space="preserve"> de 202</w:t>
      </w:r>
      <w:r w:rsidR="00F35993">
        <w:rPr>
          <w:rFonts w:ascii="Arial" w:eastAsia="Calibri" w:hAnsi="Arial" w:cs="Arial"/>
          <w:b/>
          <w:color w:val="000000" w:themeColor="text1"/>
          <w:sz w:val="22"/>
        </w:rPr>
        <w:t>2</w:t>
      </w:r>
      <w:r w:rsidR="00C33A69">
        <w:rPr>
          <w:rFonts w:ascii="Arial" w:eastAsia="Calibri" w:hAnsi="Arial" w:cs="Arial"/>
          <w:b/>
          <w:color w:val="000000" w:themeColor="text1"/>
          <w:sz w:val="22"/>
        </w:rPr>
        <w:t xml:space="preserve"> </w:t>
      </w:r>
    </w:p>
    <w:p w14:paraId="02E02EF8" w14:textId="77777777" w:rsidR="00DC37CA" w:rsidRPr="001B0D3D" w:rsidRDefault="00DC37CA" w:rsidP="002F0981">
      <w:pPr>
        <w:rPr>
          <w:rFonts w:ascii="Arial" w:eastAsia="Calibri" w:hAnsi="Arial" w:cs="Arial"/>
          <w:b/>
          <w:color w:val="000000" w:themeColor="text1"/>
          <w:sz w:val="22"/>
        </w:rPr>
      </w:pP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47"/>
        <w:gridCol w:w="6237"/>
      </w:tblGrid>
      <w:tr w:rsidR="00C33A69" w:rsidRPr="0063204C" w14:paraId="098B1F4D" w14:textId="77777777" w:rsidTr="24C1067D">
        <w:trPr>
          <w:trHeight w:val="822"/>
        </w:trPr>
        <w:tc>
          <w:tcPr>
            <w:tcW w:w="2547" w:type="dxa"/>
          </w:tcPr>
          <w:p w14:paraId="2C2F28D5" w14:textId="18000E43" w:rsidR="00427B0F" w:rsidRPr="00A7611A" w:rsidRDefault="00C33A69" w:rsidP="00A7611A">
            <w:pPr>
              <w:pStyle w:val="Textoindependiente"/>
              <w:spacing w:line="276" w:lineRule="auto"/>
              <w:jc w:val="both"/>
              <w:rPr>
                <w:rFonts w:eastAsia="Calibri"/>
                <w:b/>
                <w:bCs/>
                <w:sz w:val="22"/>
                <w:szCs w:val="22"/>
                <w:lang w:val="es-CO"/>
              </w:rPr>
            </w:pPr>
            <w:r w:rsidRPr="00A7611A">
              <w:rPr>
                <w:rFonts w:eastAsia="Calibri"/>
                <w:b/>
                <w:color w:val="000000" w:themeColor="text1"/>
                <w:sz w:val="22"/>
                <w:szCs w:val="22"/>
              </w:rPr>
              <w:t>Temas:</w:t>
            </w:r>
          </w:p>
          <w:p w14:paraId="080DD47C" w14:textId="283E3611" w:rsidR="00427B0F" w:rsidRPr="00A7611A" w:rsidRDefault="00427B0F" w:rsidP="00A7611A">
            <w:pPr>
              <w:pStyle w:val="Textoindependiente"/>
              <w:spacing w:line="276" w:lineRule="auto"/>
              <w:jc w:val="both"/>
              <w:rPr>
                <w:rFonts w:eastAsia="Calibri"/>
                <w:b/>
                <w:bCs/>
                <w:sz w:val="22"/>
                <w:szCs w:val="22"/>
                <w:lang w:val="es-CO"/>
              </w:rPr>
            </w:pPr>
          </w:p>
          <w:p w14:paraId="5400FE7E" w14:textId="159D5D76" w:rsidR="00C33A69" w:rsidRPr="00A7611A" w:rsidRDefault="00C33A69" w:rsidP="00A7611A">
            <w:pPr>
              <w:jc w:val="both"/>
              <w:rPr>
                <w:rFonts w:ascii="Arial" w:eastAsia="Calibri" w:hAnsi="Arial" w:cs="Arial"/>
                <w:color w:val="000000" w:themeColor="text1"/>
              </w:rPr>
            </w:pPr>
            <w:r w:rsidRPr="00A7611A">
              <w:rPr>
                <w:rFonts w:ascii="Arial" w:eastAsia="Calibri" w:hAnsi="Arial" w:cs="Arial"/>
                <w:color w:val="000000" w:themeColor="text1"/>
              </w:rPr>
              <w:t xml:space="preserve">        </w:t>
            </w:r>
          </w:p>
        </w:tc>
        <w:tc>
          <w:tcPr>
            <w:tcW w:w="6237" w:type="dxa"/>
          </w:tcPr>
          <w:p w14:paraId="61836A1F" w14:textId="1F7394B3" w:rsidR="00431D72" w:rsidRPr="00F35993" w:rsidRDefault="0FD6F85A" w:rsidP="00C70BF2">
            <w:pPr>
              <w:pStyle w:val="Textoindependiente"/>
              <w:spacing w:after="120"/>
              <w:jc w:val="both"/>
              <w:rPr>
                <w:rFonts w:eastAsia="Calibri"/>
                <w:color w:val="000000" w:themeColor="text1"/>
                <w:sz w:val="22"/>
                <w:szCs w:val="22"/>
              </w:rPr>
            </w:pPr>
            <w:r w:rsidRPr="24C1067D">
              <w:rPr>
                <w:rFonts w:eastAsia="Calibri"/>
                <w:color w:val="000000" w:themeColor="text1"/>
                <w:sz w:val="22"/>
                <w:szCs w:val="22"/>
              </w:rPr>
              <w:t xml:space="preserve">LEY DE GARANTÍAS – Tipos de restricciones ‒ Ámbito temporal </w:t>
            </w:r>
            <w:r w:rsidR="21150BB5" w:rsidRPr="24C1067D">
              <w:rPr>
                <w:rFonts w:eastAsia="Calibri"/>
                <w:color w:val="000000" w:themeColor="text1"/>
                <w:sz w:val="22"/>
                <w:szCs w:val="22"/>
              </w:rPr>
              <w:t xml:space="preserve">/ INSTITUCIONES EDUCATIVAS – </w:t>
            </w:r>
            <w:r w:rsidR="00DD3884" w:rsidRPr="24C1067D">
              <w:rPr>
                <w:rFonts w:eastAsia="Calibri"/>
                <w:color w:val="000000" w:themeColor="text1"/>
                <w:sz w:val="22"/>
                <w:szCs w:val="22"/>
              </w:rPr>
              <w:t>Fondos de servicios educativos</w:t>
            </w:r>
            <w:r w:rsidR="002F0981" w:rsidRPr="24C1067D">
              <w:rPr>
                <w:rFonts w:eastAsia="Calibri"/>
                <w:color w:val="000000" w:themeColor="text1"/>
                <w:sz w:val="22"/>
                <w:szCs w:val="22"/>
              </w:rPr>
              <w:t xml:space="preserve"> – </w:t>
            </w:r>
            <w:r w:rsidR="70EB5C0A" w:rsidRPr="24C1067D">
              <w:rPr>
                <w:rFonts w:eastAsia="Calibri"/>
                <w:color w:val="000000" w:themeColor="text1"/>
                <w:sz w:val="22"/>
                <w:szCs w:val="22"/>
              </w:rPr>
              <w:t>Ley de garantías</w:t>
            </w:r>
          </w:p>
        </w:tc>
      </w:tr>
      <w:tr w:rsidR="00C33A69" w:rsidRPr="001B0D3D" w14:paraId="7050D2D2" w14:textId="77777777" w:rsidTr="003D483B">
        <w:trPr>
          <w:trHeight w:val="255"/>
        </w:trPr>
        <w:tc>
          <w:tcPr>
            <w:tcW w:w="2547" w:type="dxa"/>
          </w:tcPr>
          <w:p w14:paraId="393C8000" w14:textId="77777777" w:rsidR="00C33A69" w:rsidRPr="00A7611A" w:rsidRDefault="00C33A69" w:rsidP="00A7611A">
            <w:pPr>
              <w:jc w:val="both"/>
              <w:rPr>
                <w:rFonts w:ascii="Arial" w:eastAsia="Calibri" w:hAnsi="Arial" w:cs="Arial"/>
                <w:color w:val="000000" w:themeColor="text1"/>
              </w:rPr>
            </w:pPr>
            <w:r w:rsidRPr="00A7611A">
              <w:rPr>
                <w:rFonts w:ascii="Arial" w:eastAsia="Calibri" w:hAnsi="Arial" w:cs="Arial"/>
                <w:b/>
                <w:color w:val="000000" w:themeColor="text1"/>
              </w:rPr>
              <w:t>Radicación:</w:t>
            </w:r>
            <w:r w:rsidRPr="00A7611A">
              <w:rPr>
                <w:rFonts w:ascii="Arial" w:eastAsia="Calibri" w:hAnsi="Arial" w:cs="Arial"/>
                <w:color w:val="000000" w:themeColor="text1"/>
              </w:rPr>
              <w:t xml:space="preserve">                              </w:t>
            </w:r>
          </w:p>
        </w:tc>
        <w:tc>
          <w:tcPr>
            <w:tcW w:w="6237" w:type="dxa"/>
          </w:tcPr>
          <w:p w14:paraId="61074E39" w14:textId="1F1E250B" w:rsidR="00C33A69" w:rsidRPr="00A7611A" w:rsidRDefault="00C33A69" w:rsidP="00A7611A">
            <w:pPr>
              <w:jc w:val="both"/>
              <w:rPr>
                <w:rFonts w:ascii="Arial" w:eastAsia="Calibri" w:hAnsi="Arial" w:cs="Arial"/>
                <w:color w:val="000000" w:themeColor="text1"/>
              </w:rPr>
            </w:pPr>
            <w:r w:rsidRPr="00A7611A">
              <w:rPr>
                <w:rFonts w:ascii="Arial" w:eastAsia="Calibri" w:hAnsi="Arial" w:cs="Arial"/>
                <w:color w:val="000000" w:themeColor="text1"/>
              </w:rPr>
              <w:t xml:space="preserve">Respuesta a </w:t>
            </w:r>
            <w:r w:rsidR="00F35993">
              <w:rPr>
                <w:rFonts w:ascii="Arial" w:eastAsia="Calibri" w:hAnsi="Arial" w:cs="Arial"/>
                <w:color w:val="000000" w:themeColor="text1"/>
              </w:rPr>
              <w:t xml:space="preserve">la </w:t>
            </w:r>
            <w:r w:rsidRPr="00A7611A">
              <w:rPr>
                <w:rFonts w:ascii="Arial" w:eastAsia="Calibri" w:hAnsi="Arial" w:cs="Arial"/>
                <w:color w:val="000000" w:themeColor="text1"/>
              </w:rPr>
              <w:t>consulta</w:t>
            </w:r>
            <w:r w:rsidR="00F35993">
              <w:rPr>
                <w:rFonts w:ascii="Arial" w:eastAsia="Calibri" w:hAnsi="Arial" w:cs="Arial"/>
                <w:color w:val="000000" w:themeColor="text1"/>
              </w:rPr>
              <w:t xml:space="preserve"> No.</w:t>
            </w:r>
            <w:r w:rsidRPr="00A7611A">
              <w:rPr>
                <w:rFonts w:ascii="Arial" w:eastAsia="Calibri" w:hAnsi="Arial" w:cs="Arial"/>
                <w:color w:val="000000" w:themeColor="text1"/>
              </w:rPr>
              <w:t xml:space="preserve"> </w:t>
            </w:r>
            <w:r w:rsidR="00604C6E" w:rsidRPr="00604C6E">
              <w:rPr>
                <w:rFonts w:ascii="Arial" w:eastAsia="Calibri" w:hAnsi="Arial" w:cs="Arial"/>
                <w:color w:val="000000" w:themeColor="text1"/>
              </w:rPr>
              <w:t>P20220324002966</w:t>
            </w:r>
          </w:p>
        </w:tc>
      </w:tr>
    </w:tbl>
    <w:p w14:paraId="67B4B4A1" w14:textId="77777777" w:rsidR="00C33A69" w:rsidRDefault="00C33A69" w:rsidP="00C33A69">
      <w:pPr>
        <w:spacing w:line="276" w:lineRule="auto"/>
        <w:rPr>
          <w:rFonts w:ascii="Arial" w:eastAsia="Calibri" w:hAnsi="Arial" w:cs="Arial"/>
          <w:color w:val="000000" w:themeColor="text1"/>
          <w:sz w:val="22"/>
        </w:rPr>
      </w:pPr>
    </w:p>
    <w:p w14:paraId="1A826586" w14:textId="77777777" w:rsidR="00C33A69" w:rsidRPr="001B0D3D" w:rsidRDefault="00C33A69" w:rsidP="00C33A69">
      <w:pPr>
        <w:spacing w:line="276" w:lineRule="auto"/>
        <w:rPr>
          <w:rFonts w:ascii="Arial" w:eastAsia="Calibri" w:hAnsi="Arial" w:cs="Arial"/>
          <w:color w:val="000000" w:themeColor="text1"/>
          <w:sz w:val="22"/>
        </w:rPr>
      </w:pPr>
    </w:p>
    <w:p w14:paraId="177D81C6" w14:textId="3195B72A" w:rsidR="00C33A69" w:rsidRPr="001B0D3D" w:rsidRDefault="00C33A69" w:rsidP="00C33A69">
      <w:pPr>
        <w:tabs>
          <w:tab w:val="left" w:pos="3736"/>
        </w:tabs>
        <w:spacing w:line="276" w:lineRule="auto"/>
        <w:rPr>
          <w:rFonts w:ascii="Arial" w:eastAsia="Calibri" w:hAnsi="Arial" w:cs="Arial"/>
          <w:color w:val="000000" w:themeColor="text1"/>
          <w:sz w:val="22"/>
        </w:rPr>
      </w:pPr>
      <w:r w:rsidRPr="001B0D3D">
        <w:rPr>
          <w:rFonts w:ascii="Arial" w:eastAsia="Calibri" w:hAnsi="Arial" w:cs="Arial"/>
          <w:color w:val="000000" w:themeColor="text1"/>
          <w:sz w:val="22"/>
        </w:rPr>
        <w:t>Estimad</w:t>
      </w:r>
      <w:r w:rsidR="00180508">
        <w:rPr>
          <w:rFonts w:ascii="Arial" w:eastAsia="Calibri" w:hAnsi="Arial" w:cs="Arial"/>
          <w:color w:val="000000" w:themeColor="text1"/>
          <w:sz w:val="22"/>
        </w:rPr>
        <w:t>o</w:t>
      </w:r>
      <w:r w:rsidRPr="001B0D3D">
        <w:rPr>
          <w:rFonts w:ascii="Arial" w:eastAsia="Calibri" w:hAnsi="Arial" w:cs="Arial"/>
          <w:color w:val="000000" w:themeColor="text1"/>
          <w:sz w:val="22"/>
        </w:rPr>
        <w:t xml:space="preserve"> señor</w:t>
      </w:r>
      <w:r w:rsidR="0034413B">
        <w:rPr>
          <w:rFonts w:ascii="Arial" w:eastAsia="Calibri" w:hAnsi="Arial" w:cs="Arial"/>
          <w:color w:val="000000" w:themeColor="text1"/>
          <w:sz w:val="22"/>
        </w:rPr>
        <w:t xml:space="preserve"> </w:t>
      </w:r>
      <w:r w:rsidR="00604C6E">
        <w:rPr>
          <w:rFonts w:ascii="Arial" w:eastAsia="Calibri" w:hAnsi="Arial" w:cs="Arial"/>
          <w:color w:val="000000" w:themeColor="text1"/>
          <w:sz w:val="22"/>
        </w:rPr>
        <w:t>Patiño Soche</w:t>
      </w:r>
      <w:r w:rsidR="0034413B">
        <w:rPr>
          <w:rFonts w:ascii="Arial" w:eastAsia="Calibri" w:hAnsi="Arial" w:cs="Arial"/>
          <w:color w:val="000000" w:themeColor="text1"/>
          <w:sz w:val="22"/>
        </w:rPr>
        <w:t>:</w:t>
      </w:r>
      <w:r w:rsidRPr="001B0D3D">
        <w:rPr>
          <w:rFonts w:ascii="Arial" w:eastAsia="Calibri" w:hAnsi="Arial" w:cs="Arial"/>
          <w:color w:val="000000" w:themeColor="text1"/>
          <w:sz w:val="22"/>
        </w:rPr>
        <w:tab/>
      </w:r>
    </w:p>
    <w:p w14:paraId="44E85655" w14:textId="77777777" w:rsidR="00C33A69" w:rsidRPr="001B0D3D" w:rsidRDefault="00C33A69" w:rsidP="00C33A69">
      <w:pPr>
        <w:spacing w:line="276" w:lineRule="auto"/>
        <w:rPr>
          <w:rFonts w:ascii="Arial" w:eastAsia="Calibri" w:hAnsi="Arial" w:cs="Arial"/>
          <w:color w:val="000000" w:themeColor="text1"/>
          <w:sz w:val="22"/>
        </w:rPr>
      </w:pPr>
    </w:p>
    <w:p w14:paraId="0987E0B4" w14:textId="4B2018C2" w:rsidR="00C33A69" w:rsidRDefault="00154CB4" w:rsidP="00D44588">
      <w:pPr>
        <w:pStyle w:val="Prrafodelista"/>
        <w:spacing w:line="276" w:lineRule="auto"/>
        <w:ind w:left="0"/>
        <w:jc w:val="both"/>
        <w:rPr>
          <w:rFonts w:ascii="Arial" w:eastAsia="Calibri" w:hAnsi="Arial" w:cs="Arial"/>
          <w:sz w:val="22"/>
          <w:lang w:val="es-ES_tradnl"/>
        </w:rPr>
      </w:pPr>
      <w:r w:rsidRPr="009C7D09">
        <w:rPr>
          <w:rFonts w:ascii="Arial" w:eastAsia="Calibri" w:hAnsi="Arial" w:cs="Arial"/>
          <w:sz w:val="22"/>
          <w:lang w:val="es-ES_tradnl"/>
        </w:rPr>
        <w:t xml:space="preserve">En ejercicio de la competencia otorgada por </w:t>
      </w:r>
      <w:r w:rsidRPr="00E807B5">
        <w:rPr>
          <w:rFonts w:ascii="Arial" w:eastAsia="Calibri" w:hAnsi="Arial" w:cs="Arial"/>
          <w:color w:val="000000" w:themeColor="text1"/>
          <w:sz w:val="22"/>
          <w:lang w:val="es-ES_tradnl"/>
        </w:rPr>
        <w:t>el numeral 8 del artículo 11 y el numeral 5 del artículo 3 del Decreto Ley 4170 de 2011</w:t>
      </w:r>
      <w:r w:rsidRPr="009C7D09">
        <w:rPr>
          <w:rFonts w:ascii="Arial" w:eastAsia="Calibri" w:hAnsi="Arial" w:cs="Arial"/>
          <w:sz w:val="22"/>
          <w:lang w:val="es-ES_tradnl"/>
        </w:rPr>
        <w:t xml:space="preserve">, la Agencia Nacional de Contratación Pública − Colombia Compra Eficiente responde su consulta del </w:t>
      </w:r>
      <w:r w:rsidR="00AF1107">
        <w:rPr>
          <w:rFonts w:ascii="Arial" w:eastAsia="Calibri" w:hAnsi="Arial" w:cs="Arial"/>
          <w:sz w:val="22"/>
          <w:lang w:val="es-ES_tradnl"/>
        </w:rPr>
        <w:t>24</w:t>
      </w:r>
      <w:r w:rsidRPr="009C7D09">
        <w:rPr>
          <w:rFonts w:ascii="Arial" w:eastAsia="Calibri" w:hAnsi="Arial" w:cs="Arial"/>
          <w:sz w:val="22"/>
          <w:lang w:val="es-ES_tradnl"/>
        </w:rPr>
        <w:t xml:space="preserve"> de </w:t>
      </w:r>
      <w:r>
        <w:rPr>
          <w:rFonts w:ascii="Arial" w:eastAsia="Calibri" w:hAnsi="Arial" w:cs="Arial"/>
          <w:sz w:val="22"/>
          <w:lang w:val="es-ES_tradnl"/>
        </w:rPr>
        <w:t>marzo</w:t>
      </w:r>
      <w:r w:rsidRPr="009C7D09">
        <w:rPr>
          <w:rFonts w:ascii="Arial" w:eastAsia="Calibri" w:hAnsi="Arial" w:cs="Arial"/>
          <w:sz w:val="22"/>
          <w:lang w:val="es-ES_tradnl"/>
        </w:rPr>
        <w:t xml:space="preserve"> de 202</w:t>
      </w:r>
      <w:r>
        <w:rPr>
          <w:rFonts w:ascii="Arial" w:eastAsia="Calibri" w:hAnsi="Arial" w:cs="Arial"/>
          <w:sz w:val="22"/>
          <w:lang w:val="es-ES_tradnl"/>
        </w:rPr>
        <w:t>2</w:t>
      </w:r>
      <w:r w:rsidR="00442F80">
        <w:rPr>
          <w:rFonts w:ascii="Arial" w:eastAsia="Calibri" w:hAnsi="Arial" w:cs="Arial"/>
          <w:sz w:val="22"/>
          <w:lang w:val="es-ES_tradnl"/>
        </w:rPr>
        <w:t>, la cual –de acuerdo con el artículo 21 de la Ley 1437 de 2011– fue remitida por la Procuraduría General de la Nación mediante oficio con radicado No</w:t>
      </w:r>
      <w:r w:rsidR="00F05354">
        <w:rPr>
          <w:rFonts w:ascii="Arial" w:eastAsia="Calibri" w:hAnsi="Arial" w:cs="Arial"/>
          <w:sz w:val="22"/>
          <w:lang w:val="es-CO"/>
        </w:rPr>
        <w:t>.</w:t>
      </w:r>
      <w:r w:rsidR="00442F80">
        <w:rPr>
          <w:rFonts w:ascii="Arial" w:eastAsia="Calibri" w:hAnsi="Arial" w:cs="Arial"/>
          <w:sz w:val="22"/>
          <w:lang w:val="es-CO"/>
        </w:rPr>
        <w:t xml:space="preserve"> </w:t>
      </w:r>
      <w:r w:rsidR="00442F80" w:rsidRPr="00442F80">
        <w:rPr>
          <w:rFonts w:ascii="Arial" w:eastAsia="Calibri" w:hAnsi="Arial" w:cs="Arial"/>
          <w:sz w:val="22"/>
          <w:lang w:val="es-CO"/>
        </w:rPr>
        <w:t>10432</w:t>
      </w:r>
      <w:r w:rsidR="00442F80">
        <w:rPr>
          <w:rFonts w:ascii="Arial" w:eastAsia="Calibri" w:hAnsi="Arial" w:cs="Arial"/>
          <w:sz w:val="22"/>
          <w:lang w:val="es-CO"/>
        </w:rPr>
        <w:t xml:space="preserve"> del</w:t>
      </w:r>
      <w:r w:rsidR="00CC147F">
        <w:rPr>
          <w:rFonts w:ascii="Arial" w:eastAsia="Calibri" w:hAnsi="Arial" w:cs="Arial"/>
          <w:sz w:val="22"/>
          <w:lang w:val="es-CO"/>
        </w:rPr>
        <w:t xml:space="preserve"> mismo mes y año</w:t>
      </w:r>
      <w:r w:rsidR="00442F80">
        <w:rPr>
          <w:rFonts w:ascii="Arial" w:eastAsia="Calibri" w:hAnsi="Arial" w:cs="Arial"/>
          <w:sz w:val="22"/>
          <w:lang w:val="es-CO"/>
        </w:rPr>
        <w:t xml:space="preserve">. </w:t>
      </w:r>
      <w:r w:rsidR="00F05354">
        <w:rPr>
          <w:rFonts w:ascii="Arial" w:eastAsia="Calibri" w:hAnsi="Arial" w:cs="Arial"/>
          <w:sz w:val="22"/>
          <w:lang w:val="es-CO"/>
        </w:rPr>
        <w:t xml:space="preserve"> </w:t>
      </w:r>
    </w:p>
    <w:p w14:paraId="585EEBB2" w14:textId="77777777" w:rsidR="00154CB4" w:rsidRPr="001B0D3D" w:rsidRDefault="00154CB4" w:rsidP="00C33A69">
      <w:pPr>
        <w:pStyle w:val="Prrafodelista"/>
        <w:spacing w:line="276" w:lineRule="auto"/>
        <w:ind w:left="0"/>
        <w:rPr>
          <w:rFonts w:ascii="Arial" w:eastAsia="Calibri" w:hAnsi="Arial" w:cs="Arial"/>
          <w:color w:val="000000" w:themeColor="text1"/>
          <w:sz w:val="22"/>
        </w:rPr>
      </w:pPr>
    </w:p>
    <w:p w14:paraId="6238CC02" w14:textId="74DA49BC" w:rsidR="003C1F96" w:rsidRPr="006C0EA1" w:rsidRDefault="0034413B" w:rsidP="006C0EA1">
      <w:pPr>
        <w:tabs>
          <w:tab w:val="left" w:pos="0"/>
        </w:tabs>
        <w:spacing w:line="276" w:lineRule="auto"/>
        <w:jc w:val="both"/>
        <w:rPr>
          <w:rFonts w:ascii="Arial" w:eastAsia="Calibri" w:hAnsi="Arial" w:cs="Arial"/>
          <w:b/>
          <w:color w:val="000000" w:themeColor="text1"/>
          <w:sz w:val="22"/>
        </w:rPr>
      </w:pPr>
      <w:r>
        <w:rPr>
          <w:rFonts w:ascii="Arial" w:eastAsia="Calibri" w:hAnsi="Arial" w:cs="Arial"/>
          <w:b/>
          <w:color w:val="000000" w:themeColor="text1"/>
          <w:sz w:val="22"/>
        </w:rPr>
        <w:t xml:space="preserve">1. </w:t>
      </w:r>
      <w:r w:rsidR="00C33A69" w:rsidRPr="006C0EA1">
        <w:rPr>
          <w:rFonts w:ascii="Arial" w:eastAsia="Calibri" w:hAnsi="Arial" w:cs="Arial"/>
          <w:b/>
          <w:color w:val="000000" w:themeColor="text1"/>
          <w:sz w:val="22"/>
        </w:rPr>
        <w:t>Problema</w:t>
      </w:r>
      <w:r w:rsidR="001766B3">
        <w:rPr>
          <w:rFonts w:ascii="Arial" w:eastAsia="Calibri" w:hAnsi="Arial" w:cs="Arial"/>
          <w:b/>
          <w:color w:val="000000" w:themeColor="text1"/>
          <w:sz w:val="22"/>
        </w:rPr>
        <w:t>s</w:t>
      </w:r>
      <w:r w:rsidR="00C33A69" w:rsidRPr="006C0EA1">
        <w:rPr>
          <w:rFonts w:ascii="Arial" w:eastAsia="Calibri" w:hAnsi="Arial" w:cs="Arial"/>
          <w:b/>
          <w:color w:val="000000" w:themeColor="text1"/>
          <w:sz w:val="22"/>
        </w:rPr>
        <w:t xml:space="preserve"> planteado</w:t>
      </w:r>
      <w:r w:rsidR="001766B3">
        <w:rPr>
          <w:rFonts w:ascii="Arial" w:eastAsia="Calibri" w:hAnsi="Arial" w:cs="Arial"/>
          <w:b/>
          <w:color w:val="000000" w:themeColor="text1"/>
          <w:sz w:val="22"/>
        </w:rPr>
        <w:t>s</w:t>
      </w:r>
    </w:p>
    <w:p w14:paraId="6C91C2D0" w14:textId="77777777" w:rsidR="003C1F96" w:rsidRPr="0093085B" w:rsidRDefault="003C1F96" w:rsidP="0093085B">
      <w:pPr>
        <w:rPr>
          <w:rFonts w:ascii="Arial" w:eastAsia="Calibri" w:hAnsi="Arial" w:cs="Arial"/>
          <w:color w:val="000000" w:themeColor="text1"/>
          <w:sz w:val="22"/>
        </w:rPr>
      </w:pPr>
    </w:p>
    <w:p w14:paraId="4263F57D" w14:textId="77FA1F98" w:rsidR="00C33A69" w:rsidRPr="00FD7DA9" w:rsidRDefault="00C33A69" w:rsidP="00FD7DA9">
      <w:pPr>
        <w:spacing w:line="276" w:lineRule="auto"/>
        <w:jc w:val="both"/>
        <w:rPr>
          <w:rFonts w:eastAsia="Calibri"/>
          <w:b/>
          <w:color w:val="000000" w:themeColor="text1"/>
          <w:sz w:val="22"/>
          <w:szCs w:val="22"/>
        </w:rPr>
      </w:pPr>
      <w:r w:rsidRPr="00D32AAE">
        <w:rPr>
          <w:rFonts w:ascii="Arial" w:eastAsia="Calibri" w:hAnsi="Arial" w:cs="Arial"/>
          <w:sz w:val="22"/>
          <w:szCs w:val="22"/>
        </w:rPr>
        <w:t xml:space="preserve">Usted </w:t>
      </w:r>
      <w:r w:rsidR="001766B3" w:rsidRPr="00D32AAE">
        <w:rPr>
          <w:rFonts w:ascii="Arial" w:eastAsia="Calibri" w:hAnsi="Arial" w:cs="Arial"/>
          <w:sz w:val="22"/>
          <w:szCs w:val="22"/>
        </w:rPr>
        <w:t xml:space="preserve">realiza </w:t>
      </w:r>
      <w:r w:rsidR="003C1F96" w:rsidRPr="00D32AAE">
        <w:rPr>
          <w:rFonts w:ascii="Arial" w:eastAsia="Calibri" w:hAnsi="Arial" w:cs="Arial"/>
          <w:sz w:val="22"/>
          <w:szCs w:val="22"/>
        </w:rPr>
        <w:t>la siguiente pregunta:</w:t>
      </w:r>
      <w:r w:rsidR="00B04C7A" w:rsidRPr="00D32AAE">
        <w:rPr>
          <w:rFonts w:ascii="Arial" w:eastAsia="Calibri" w:hAnsi="Arial" w:cs="Arial"/>
          <w:sz w:val="22"/>
          <w:szCs w:val="22"/>
        </w:rPr>
        <w:t xml:space="preserve"> </w:t>
      </w:r>
      <w:r w:rsidR="00E37C16">
        <w:rPr>
          <w:rFonts w:ascii="Arial" w:eastAsia="Calibri" w:hAnsi="Arial" w:cs="Arial"/>
          <w:sz w:val="22"/>
          <w:szCs w:val="22"/>
        </w:rPr>
        <w:t xml:space="preserve">[…] </w:t>
      </w:r>
      <w:r w:rsidR="00E37C16" w:rsidRPr="00E37C16">
        <w:rPr>
          <w:rFonts w:ascii="Arial" w:eastAsia="Calibri" w:hAnsi="Arial" w:cs="Arial"/>
          <w:sz w:val="22"/>
          <w:szCs w:val="22"/>
          <w:lang w:val="es-ES"/>
        </w:rPr>
        <w:t>«¿si la Ley de Garantías que se encuentra actualmente vigente prohíbe que las instituciones educativas públicas realicen contratación de mantenimientos y reparaciones, compra de materiales y suministros, adquisición de impresos y publicaciones, mantenimiento de equipos de cómputo y su respectiva compra y todo lo pertinente a las adquisiciones y contratos que realizan con los fondos de servicios educativos?»</w:t>
      </w:r>
      <w:r w:rsidR="00E37C16" w:rsidRPr="00E37C16">
        <w:rPr>
          <w:rFonts w:ascii="Arial" w:eastAsia="Calibri" w:hAnsi="Arial" w:cs="Arial"/>
          <w:sz w:val="22"/>
          <w:szCs w:val="22"/>
          <w:lang w:val="es-ES_tradnl"/>
        </w:rPr>
        <w:t>.</w:t>
      </w:r>
    </w:p>
    <w:p w14:paraId="789863AA" w14:textId="77777777" w:rsidR="00DC37CA" w:rsidRPr="001B0D3D" w:rsidRDefault="00DC37CA" w:rsidP="0093085B">
      <w:pPr>
        <w:rPr>
          <w:rFonts w:ascii="Arial" w:eastAsia="Calibri" w:hAnsi="Arial" w:cs="Arial"/>
          <w:b/>
          <w:color w:val="000000" w:themeColor="text1"/>
          <w:sz w:val="22"/>
        </w:rPr>
      </w:pPr>
    </w:p>
    <w:p w14:paraId="3A26C5B2" w14:textId="27EEF51C" w:rsidR="00A373E3" w:rsidRDefault="0034413B" w:rsidP="006C0EA1">
      <w:pPr>
        <w:spacing w:line="276" w:lineRule="auto"/>
        <w:jc w:val="both"/>
        <w:rPr>
          <w:rFonts w:ascii="Arial" w:eastAsia="Calibri" w:hAnsi="Arial" w:cs="Arial"/>
          <w:color w:val="000000" w:themeColor="text1"/>
          <w:sz w:val="22"/>
        </w:rPr>
      </w:pPr>
      <w:r>
        <w:rPr>
          <w:rFonts w:ascii="Arial" w:eastAsia="Calibri" w:hAnsi="Arial" w:cs="Arial"/>
          <w:b/>
          <w:color w:val="000000" w:themeColor="text1"/>
          <w:sz w:val="22"/>
        </w:rPr>
        <w:t xml:space="preserve">2. </w:t>
      </w:r>
      <w:r w:rsidR="00C33A69" w:rsidRPr="006C0EA1">
        <w:rPr>
          <w:rFonts w:ascii="Arial" w:eastAsia="Calibri" w:hAnsi="Arial" w:cs="Arial"/>
          <w:b/>
          <w:color w:val="000000" w:themeColor="text1"/>
          <w:sz w:val="22"/>
        </w:rPr>
        <w:t>Consideraciones</w:t>
      </w:r>
    </w:p>
    <w:p w14:paraId="197AFEF4" w14:textId="1E938420" w:rsidR="00A373E3" w:rsidRDefault="00A373E3" w:rsidP="006C0EA1">
      <w:pPr>
        <w:spacing w:line="276" w:lineRule="auto"/>
        <w:jc w:val="both"/>
        <w:rPr>
          <w:rFonts w:ascii="Arial" w:eastAsia="Calibri" w:hAnsi="Arial" w:cs="Arial"/>
          <w:color w:val="000000" w:themeColor="text1"/>
          <w:sz w:val="22"/>
        </w:rPr>
      </w:pPr>
    </w:p>
    <w:p w14:paraId="7D372B1E" w14:textId="77777777" w:rsidR="00A23BDA" w:rsidRPr="00A23BDA" w:rsidRDefault="00A23BDA" w:rsidP="00FD7DA9">
      <w:pPr>
        <w:spacing w:after="120" w:line="276" w:lineRule="auto"/>
        <w:jc w:val="both"/>
        <w:rPr>
          <w:rFonts w:ascii="Arial" w:eastAsiaTheme="minorHAnsi" w:hAnsi="Arial" w:cs="Arial"/>
          <w:bCs/>
          <w:sz w:val="22"/>
          <w:szCs w:val="22"/>
          <w:lang w:val="es-ES" w:eastAsia="en-US"/>
        </w:rPr>
      </w:pPr>
      <w:r w:rsidRPr="00A23BDA">
        <w:rPr>
          <w:rFonts w:ascii="Arial" w:eastAsiaTheme="minorHAnsi" w:hAnsi="Arial" w:cs="Arial"/>
          <w:bCs/>
          <w:sz w:val="22"/>
          <w:szCs w:val="22"/>
          <w:lang w:eastAsia="en-US"/>
        </w:rPr>
        <w:lastRenderedPageBreak/>
        <w:t xml:space="preserve">En ejercicio de las competencias establecidas en los artículos 3.5 y 11.8 del Decreto 4170 de 2011, la Agencia Nacional de Contratación Pública – Colombia Compra Eficiente resuelve consultas sobre </w:t>
      </w:r>
      <w:r w:rsidRPr="00A23BDA">
        <w:rPr>
          <w:rFonts w:ascii="Arial" w:eastAsiaTheme="minorHAnsi" w:hAnsi="Arial" w:cs="Arial"/>
          <w:bCs/>
          <w:sz w:val="22"/>
          <w:szCs w:val="22"/>
          <w:lang w:val="es-ES" w:eastAsia="en-US"/>
        </w:rPr>
        <w:t>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A23BDA">
        <w:rPr>
          <w:rFonts w:ascii="Arial" w:eastAsiaTheme="minorHAnsi" w:hAnsi="Arial" w:cs="Arial"/>
          <w:bCs/>
          <w:sz w:val="22"/>
          <w:szCs w:val="22"/>
          <w:lang w:eastAsia="en-US"/>
        </w:rPr>
        <w:t xml:space="preserve"> de todos los partícipes de la contratación estatal.</w:t>
      </w:r>
    </w:p>
    <w:p w14:paraId="487E16D5" w14:textId="77777777" w:rsidR="00A23BDA" w:rsidRPr="00A23BDA" w:rsidRDefault="00A23BDA" w:rsidP="00FD7DA9">
      <w:pPr>
        <w:spacing w:after="120" w:line="276" w:lineRule="auto"/>
        <w:ind w:firstLine="708"/>
        <w:jc w:val="both"/>
        <w:rPr>
          <w:rFonts w:ascii="Arial" w:eastAsiaTheme="minorHAnsi" w:hAnsi="Arial" w:cs="Arial"/>
          <w:bCs/>
          <w:sz w:val="22"/>
          <w:szCs w:val="22"/>
          <w:lang w:val="es-ES" w:eastAsia="en-US"/>
        </w:rPr>
      </w:pPr>
      <w:r w:rsidRPr="00A23BDA">
        <w:rPr>
          <w:rFonts w:ascii="Arial" w:eastAsiaTheme="minorHAnsi" w:hAnsi="Arial" w:cs="Arial"/>
          <w:bCs/>
          <w:sz w:val="22"/>
          <w:szCs w:val="22"/>
          <w:lang w:val="es-ES" w:eastAsia="en-U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A23BDA">
        <w:rPr>
          <w:rFonts w:ascii="Arial" w:eastAsiaTheme="minorHAnsi" w:hAnsi="Arial" w:cs="Arial"/>
          <w:bCs/>
          <w:sz w:val="22"/>
          <w:szCs w:val="22"/>
          <w:vertAlign w:val="superscript"/>
          <w:lang w:val="es-ES" w:eastAsia="en-US"/>
        </w:rPr>
        <w:footnoteReference w:id="1"/>
      </w:r>
      <w:r w:rsidRPr="00A23BDA">
        <w:rPr>
          <w:rFonts w:ascii="Arial" w:eastAsiaTheme="minorHAnsi" w:hAnsi="Arial" w:cs="Arial"/>
          <w:bCs/>
          <w:sz w:val="22"/>
          <w:szCs w:val="22"/>
          <w:lang w:val="es-ES" w:eastAsia="en-US"/>
        </w:rPr>
        <w:t>. Esta competencia de interpretación de normas generales, por definición, no puede extenderse a la resolución de controversias ni brindar asesorías sobre casos puntuales. 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celebrar determinado contrato estatal en específico.</w:t>
      </w:r>
    </w:p>
    <w:p w14:paraId="6A4466D6" w14:textId="28F95A4D" w:rsidR="00C84F90" w:rsidRPr="00E417A9" w:rsidRDefault="00A23BDA" w:rsidP="00A23BDA">
      <w:pPr>
        <w:tabs>
          <w:tab w:val="left" w:pos="426"/>
        </w:tabs>
        <w:spacing w:after="120" w:line="276" w:lineRule="auto"/>
        <w:jc w:val="both"/>
        <w:rPr>
          <w:rFonts w:ascii="Arial" w:eastAsia="Calibri" w:hAnsi="Arial" w:cs="Arial"/>
          <w:sz w:val="22"/>
          <w:szCs w:val="22"/>
          <w:lang w:val="es-MX" w:eastAsia="en-US"/>
        </w:rPr>
      </w:pPr>
      <w:r>
        <w:rPr>
          <w:rFonts w:ascii="Arial" w:eastAsiaTheme="minorHAnsi" w:hAnsi="Arial" w:cs="Arial"/>
          <w:bCs/>
          <w:sz w:val="22"/>
          <w:szCs w:val="22"/>
          <w:lang w:eastAsia="en-US"/>
        </w:rPr>
        <w:tab/>
      </w:r>
      <w:r w:rsidRPr="00A23BDA">
        <w:rPr>
          <w:rFonts w:ascii="Arial" w:eastAsiaTheme="minorHAnsi" w:hAnsi="Arial" w:cs="Arial"/>
          <w:bCs/>
          <w:sz w:val="22"/>
          <w:szCs w:val="22"/>
          <w:lang w:eastAsia="en-US"/>
        </w:rPr>
        <w:t xml:space="preserve">Sin perjuicio de lo anterior, </w:t>
      </w:r>
      <w:r w:rsidRPr="00A23BDA">
        <w:rPr>
          <w:rFonts w:ascii="Arial" w:eastAsiaTheme="minorHAnsi" w:hAnsi="Arial" w:cs="Arial"/>
          <w:bCs/>
          <w:sz w:val="22"/>
          <w:szCs w:val="22"/>
          <w:lang w:val="es-ES" w:eastAsia="en-US"/>
        </w:rPr>
        <w:t xml:space="preserve">la Agencia –dentro de los límites de sus atribuciones, es decir, </w:t>
      </w:r>
      <w:bookmarkStart w:id="3" w:name="_Hlk61025408"/>
      <w:r w:rsidRPr="00A23BDA">
        <w:rPr>
          <w:rFonts w:ascii="Arial" w:eastAsiaTheme="minorHAnsi" w:hAnsi="Arial" w:cs="Arial"/>
          <w:bCs/>
          <w:sz w:val="22"/>
          <w:szCs w:val="22"/>
          <w:lang w:val="es-ES" w:eastAsia="en-US"/>
        </w:rPr>
        <w:t xml:space="preserve">haciendo abstracción del caso particular </w:t>
      </w:r>
      <w:bookmarkEnd w:id="3"/>
      <w:r w:rsidRPr="00A23BDA">
        <w:rPr>
          <w:rFonts w:ascii="Arial" w:eastAsiaTheme="minorHAnsi" w:hAnsi="Arial" w:cs="Arial"/>
          <w:bCs/>
          <w:sz w:val="22"/>
          <w:szCs w:val="22"/>
          <w:lang w:val="es-ES" w:eastAsia="en-US"/>
        </w:rPr>
        <w:t>expuesto– resolverá la consulta conforme a las normas generales del sistema de compras públicas. Con este objetivo se analizarán los siguientes temas:</w:t>
      </w:r>
      <w:r w:rsidR="00C84F90" w:rsidRPr="00C84F90">
        <w:rPr>
          <w:rFonts w:ascii="Arial" w:eastAsia="Calibri" w:hAnsi="Arial" w:cs="Arial"/>
          <w:bCs/>
          <w:sz w:val="22"/>
          <w:szCs w:val="22"/>
          <w:lang w:eastAsia="en-US"/>
        </w:rPr>
        <w:t xml:space="preserve"> </w:t>
      </w:r>
      <w:r w:rsidR="00C84F90" w:rsidRPr="000D153E">
        <w:rPr>
          <w:rFonts w:ascii="Arial" w:eastAsia="Calibri" w:hAnsi="Arial" w:cs="Arial"/>
          <w:bCs/>
          <w:sz w:val="22"/>
          <w:szCs w:val="22"/>
          <w:lang w:eastAsia="en-US"/>
        </w:rPr>
        <w:t xml:space="preserve">i) definición y finalidad de la Ley de Garantías Electorales, ii) restricciones </w:t>
      </w:r>
      <w:r w:rsidR="00C84F90" w:rsidRPr="000D153E">
        <w:rPr>
          <w:rFonts w:ascii="Arial" w:eastAsia="Calibri" w:hAnsi="Arial" w:cs="Arial"/>
          <w:bCs/>
          <w:sz w:val="22"/>
          <w:szCs w:val="22"/>
          <w:lang w:val="es-MX" w:eastAsia="en-US"/>
        </w:rPr>
        <w:t>para elecciones presidenciales, iii) destinatarios de la prohibición del artículo 33 de la Ley 996 de 2005</w:t>
      </w:r>
      <w:r w:rsidR="00F53907" w:rsidRPr="000D153E">
        <w:rPr>
          <w:rFonts w:ascii="Arial" w:eastAsia="Calibri" w:hAnsi="Arial" w:cs="Arial"/>
          <w:bCs/>
          <w:sz w:val="22"/>
          <w:szCs w:val="22"/>
          <w:lang w:val="es-MX" w:eastAsia="en-US"/>
        </w:rPr>
        <w:t>,</w:t>
      </w:r>
      <w:r w:rsidR="00C84F90" w:rsidRPr="000D153E">
        <w:rPr>
          <w:rFonts w:ascii="Arial" w:eastAsia="Calibri" w:hAnsi="Arial" w:cs="Arial"/>
          <w:bCs/>
          <w:sz w:val="22"/>
          <w:szCs w:val="22"/>
          <w:lang w:val="es-MX" w:eastAsia="en-US"/>
        </w:rPr>
        <w:t xml:space="preserve"> iv) </w:t>
      </w:r>
      <w:r w:rsidR="00C84F90" w:rsidRPr="000D153E">
        <w:rPr>
          <w:rFonts w:ascii="Arial" w:eastAsia="Calibri" w:hAnsi="Arial" w:cs="Arial"/>
          <w:sz w:val="22"/>
          <w:szCs w:val="22"/>
          <w:lang w:val="es-MX" w:eastAsia="en-US"/>
        </w:rPr>
        <w:t>restricciones en los comicios de cargos de elección popular</w:t>
      </w:r>
      <w:bookmarkStart w:id="4" w:name="_Hlk76110351"/>
      <w:r w:rsidR="00DB6823">
        <w:rPr>
          <w:rFonts w:ascii="Arial" w:eastAsia="Calibri" w:hAnsi="Arial" w:cs="Arial"/>
          <w:sz w:val="22"/>
          <w:szCs w:val="22"/>
          <w:lang w:val="es-MX" w:eastAsia="en-US"/>
        </w:rPr>
        <w:t xml:space="preserve"> y</w:t>
      </w:r>
      <w:r w:rsidR="00F53907" w:rsidRPr="000D153E">
        <w:rPr>
          <w:rFonts w:ascii="Arial" w:eastAsia="Calibri" w:hAnsi="Arial" w:cs="Arial"/>
          <w:sz w:val="22"/>
          <w:szCs w:val="22"/>
          <w:lang w:val="es-MX" w:eastAsia="en-US"/>
        </w:rPr>
        <w:t>, v)</w:t>
      </w:r>
      <w:r w:rsidR="00B708EC" w:rsidRPr="000D153E">
        <w:rPr>
          <w:rFonts w:ascii="Arial" w:eastAsia="Calibri" w:hAnsi="Arial" w:cs="Arial"/>
          <w:sz w:val="22"/>
          <w:szCs w:val="22"/>
          <w:lang w:val="es-MX" w:eastAsia="en-US"/>
        </w:rPr>
        <w:t xml:space="preserve"> </w:t>
      </w:r>
      <w:r w:rsidR="004446F2" w:rsidRPr="000D153E">
        <w:rPr>
          <w:rFonts w:ascii="Arial" w:hAnsi="Arial" w:cs="Arial"/>
          <w:bCs/>
          <w:sz w:val="22"/>
          <w:szCs w:val="22"/>
          <w:lang w:val="es-MX" w:eastAsia="es-CO"/>
        </w:rPr>
        <w:t>r</w:t>
      </w:r>
      <w:r w:rsidR="00B708EC" w:rsidRPr="000D153E">
        <w:rPr>
          <w:rFonts w:ascii="Arial" w:hAnsi="Arial" w:cs="Arial"/>
          <w:bCs/>
          <w:sz w:val="22"/>
          <w:szCs w:val="22"/>
          <w:lang w:val="es-MX" w:eastAsia="es-CO"/>
        </w:rPr>
        <w:t>égimen contractual de los fondos de servicios educativos y aplicación de la Ley de Garantías</w:t>
      </w:r>
      <w:r w:rsidR="00FE7010">
        <w:rPr>
          <w:rFonts w:ascii="Arial" w:hAnsi="Arial" w:cs="Arial"/>
          <w:bCs/>
          <w:sz w:val="22"/>
          <w:szCs w:val="22"/>
          <w:lang w:val="es-MX" w:eastAsia="es-CO"/>
        </w:rPr>
        <w:t>.</w:t>
      </w:r>
      <w:r w:rsidR="00B708EC" w:rsidRPr="000D153E">
        <w:rPr>
          <w:rFonts w:ascii="Arial" w:hAnsi="Arial" w:cs="Arial"/>
          <w:bCs/>
          <w:sz w:val="22"/>
          <w:szCs w:val="22"/>
          <w:lang w:val="es-MX" w:eastAsia="es-CO"/>
        </w:rPr>
        <w:t xml:space="preserve"> </w:t>
      </w:r>
      <w:bookmarkEnd w:id="4"/>
    </w:p>
    <w:p w14:paraId="5D2A0831" w14:textId="2A5E964E" w:rsidR="00C84F90" w:rsidRDefault="005B43DF" w:rsidP="00C84F90">
      <w:pPr>
        <w:tabs>
          <w:tab w:val="left" w:pos="426"/>
        </w:tabs>
        <w:spacing w:line="276" w:lineRule="auto"/>
        <w:ind w:firstLine="709"/>
        <w:jc w:val="both"/>
        <w:rPr>
          <w:rFonts w:ascii="Arial" w:eastAsia="Calibri" w:hAnsi="Arial" w:cs="Arial"/>
          <w:bCs/>
          <w:sz w:val="22"/>
          <w:szCs w:val="22"/>
          <w:lang w:eastAsia="en-US"/>
        </w:rPr>
      </w:pPr>
      <w:r w:rsidRPr="00446B03">
        <w:rPr>
          <w:rFonts w:ascii="Arial" w:eastAsia="Calibri" w:hAnsi="Arial" w:cs="Arial"/>
          <w:bCs/>
          <w:sz w:val="22"/>
        </w:rPr>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w:t>
      </w:r>
      <w:r w:rsidRPr="00446B03">
        <w:rPr>
          <w:rFonts w:ascii="Arial" w:eastAsia="Calibri" w:hAnsi="Arial" w:cs="Arial"/>
          <w:bCs/>
          <w:sz w:val="22"/>
        </w:rPr>
        <w:lastRenderedPageBreak/>
        <w:t xml:space="preserve">2201913000007430 del 7 de octubre de 2019, 2201913000007565 del 10 de octubre de 2019, 2201913000008259 del 6 de noviembre de 2019, </w:t>
      </w:r>
      <w:r>
        <w:rPr>
          <w:rFonts w:ascii="Arial" w:eastAsia="Calibri" w:hAnsi="Arial" w:cs="Arial"/>
          <w:bCs/>
          <w:sz w:val="22"/>
        </w:rPr>
        <w:t xml:space="preserve">C-074 del 17 de marzo de 2021, C-075 del 16 de marzo de 2021, </w:t>
      </w:r>
      <w:r w:rsidRPr="00446B03">
        <w:rPr>
          <w:rFonts w:ascii="Arial" w:eastAsia="Calibri" w:hAnsi="Arial" w:cs="Arial"/>
          <w:bCs/>
          <w:sz w:val="22"/>
        </w:rPr>
        <w:t>C-227 de 2021 del 5 de mayo de 2021</w:t>
      </w:r>
      <w:r>
        <w:rPr>
          <w:rFonts w:ascii="Arial" w:eastAsia="Calibri" w:hAnsi="Arial" w:cs="Arial"/>
          <w:bCs/>
          <w:sz w:val="22"/>
        </w:rPr>
        <w:t>,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C-695 del 22 de diciembre de 2021, C-699 del 6 de enero de 2022, C-700 del 6 de enero de 2021, C-723 del 28 de diciembre de 2021, C-715 del 21 de enero de 2022, C-718 del 24 de enero de 2022</w:t>
      </w:r>
      <w:r w:rsidR="00F60D7D">
        <w:rPr>
          <w:rFonts w:ascii="Arial" w:eastAsia="Calibri" w:hAnsi="Arial" w:cs="Arial"/>
          <w:bCs/>
          <w:sz w:val="22"/>
        </w:rPr>
        <w:t>,</w:t>
      </w:r>
      <w:r>
        <w:rPr>
          <w:rFonts w:ascii="Arial" w:eastAsia="Calibri" w:hAnsi="Arial" w:cs="Arial"/>
          <w:bCs/>
          <w:sz w:val="22"/>
        </w:rPr>
        <w:t xml:space="preserve"> C-726 del 24 de enero de 2022</w:t>
      </w:r>
      <w:r w:rsidR="00371834">
        <w:rPr>
          <w:rFonts w:ascii="Arial" w:eastAsia="Calibri" w:hAnsi="Arial" w:cs="Arial"/>
          <w:bCs/>
          <w:sz w:val="22"/>
        </w:rPr>
        <w:t>,</w:t>
      </w:r>
      <w:r w:rsidR="00F60D7D">
        <w:rPr>
          <w:rFonts w:ascii="Arial" w:eastAsia="Calibri" w:hAnsi="Arial" w:cs="Arial"/>
          <w:bCs/>
          <w:sz w:val="22"/>
        </w:rPr>
        <w:t xml:space="preserve"> C-023 del 22 de febrero de </w:t>
      </w:r>
      <w:r w:rsidR="009B0B5C">
        <w:rPr>
          <w:rFonts w:ascii="Arial" w:eastAsia="Calibri" w:hAnsi="Arial" w:cs="Arial"/>
          <w:bCs/>
          <w:sz w:val="22"/>
        </w:rPr>
        <w:t>2022</w:t>
      </w:r>
      <w:r w:rsidR="00371834">
        <w:rPr>
          <w:rFonts w:ascii="Arial" w:eastAsia="Calibri" w:hAnsi="Arial" w:cs="Arial"/>
          <w:bCs/>
          <w:sz w:val="22"/>
        </w:rPr>
        <w:t xml:space="preserve">, C-094 del 16 de marzo de 2022, </w:t>
      </w:r>
      <w:r w:rsidR="004C2B82">
        <w:rPr>
          <w:rFonts w:ascii="Arial" w:eastAsia="Calibri" w:hAnsi="Arial" w:cs="Arial"/>
          <w:bCs/>
          <w:sz w:val="22"/>
        </w:rPr>
        <w:t>C-147 de</w:t>
      </w:r>
      <w:r w:rsidR="00351FDE">
        <w:rPr>
          <w:rFonts w:ascii="Arial" w:eastAsia="Calibri" w:hAnsi="Arial" w:cs="Arial"/>
          <w:bCs/>
          <w:sz w:val="22"/>
        </w:rPr>
        <w:t xml:space="preserve">l 25 de marzo de 2022 y </w:t>
      </w:r>
      <w:r w:rsidR="00337527">
        <w:rPr>
          <w:rFonts w:ascii="Arial" w:eastAsia="Calibri" w:hAnsi="Arial" w:cs="Arial"/>
          <w:bCs/>
          <w:sz w:val="22"/>
        </w:rPr>
        <w:t>C-153 del 25 de marzo de 2022</w:t>
      </w:r>
      <w:r w:rsidR="009B0B5C">
        <w:rPr>
          <w:rFonts w:ascii="Arial" w:eastAsia="Calibri" w:hAnsi="Arial" w:cs="Arial"/>
          <w:bCs/>
          <w:sz w:val="22"/>
        </w:rPr>
        <w:t xml:space="preserve">. </w:t>
      </w:r>
    </w:p>
    <w:p w14:paraId="73739F40" w14:textId="010A064E" w:rsidR="008D530D" w:rsidRPr="00565D94" w:rsidRDefault="002F0981" w:rsidP="00565D94">
      <w:pPr>
        <w:spacing w:before="120" w:after="120" w:line="276" w:lineRule="auto"/>
        <w:ind w:firstLine="708"/>
        <w:jc w:val="both"/>
        <w:rPr>
          <w:rFonts w:ascii="Arial" w:hAnsi="Arial" w:cs="Arial"/>
          <w:sz w:val="22"/>
        </w:rPr>
      </w:pPr>
      <w:r>
        <w:rPr>
          <w:rFonts w:ascii="Arial" w:hAnsi="Arial" w:cs="Arial"/>
          <w:sz w:val="22"/>
        </w:rPr>
        <w:t xml:space="preserve">Adicionalmente se </w:t>
      </w:r>
      <w:r w:rsidRPr="00E045BC">
        <w:rPr>
          <w:rFonts w:ascii="Arial" w:hAnsi="Arial" w:cs="Arial"/>
          <w:sz w:val="22"/>
        </w:rPr>
        <w:t xml:space="preserve">estudió la naturaleza jurídica de las </w:t>
      </w:r>
      <w:r w:rsidR="008439F5">
        <w:rPr>
          <w:rFonts w:ascii="Arial" w:hAnsi="Arial" w:cs="Arial"/>
          <w:sz w:val="22"/>
        </w:rPr>
        <w:t>i</w:t>
      </w:r>
      <w:r w:rsidRPr="00E045BC">
        <w:rPr>
          <w:rFonts w:ascii="Arial" w:hAnsi="Arial" w:cs="Arial"/>
          <w:sz w:val="22"/>
        </w:rPr>
        <w:t>nstituciones educativas y su régimen de contratación</w:t>
      </w:r>
      <w:r w:rsidR="005531E1">
        <w:rPr>
          <w:rFonts w:ascii="Arial" w:hAnsi="Arial" w:cs="Arial"/>
          <w:sz w:val="22"/>
        </w:rPr>
        <w:t>,</w:t>
      </w:r>
      <w:r w:rsidRPr="00E045BC">
        <w:rPr>
          <w:rFonts w:ascii="Arial" w:hAnsi="Arial" w:cs="Arial"/>
          <w:sz w:val="22"/>
        </w:rPr>
        <w:t xml:space="preserve"> en los conceptos con radicado </w:t>
      </w:r>
      <w:r w:rsidR="008914D1">
        <w:rPr>
          <w:rFonts w:ascii="Arial" w:hAnsi="Arial" w:cs="Arial"/>
          <w:sz w:val="22"/>
        </w:rPr>
        <w:t xml:space="preserve">No. </w:t>
      </w:r>
      <w:r w:rsidRPr="00E045BC">
        <w:rPr>
          <w:rFonts w:ascii="Arial" w:hAnsi="Arial" w:cs="Arial"/>
          <w:sz w:val="22"/>
        </w:rPr>
        <w:t xml:space="preserve">2201913000006285 del 27 de agosto de 2019, </w:t>
      </w:r>
      <w:hyperlink r:id="rId12" w:tgtFrame="_blank" w:history="1">
        <w:r w:rsidRPr="00E045BC">
          <w:rPr>
            <w:rFonts w:ascii="Arial" w:hAnsi="Arial" w:cs="Arial"/>
            <w:sz w:val="22"/>
          </w:rPr>
          <w:t>2201913000006068</w:t>
        </w:r>
      </w:hyperlink>
      <w:r w:rsidRPr="00E045BC">
        <w:rPr>
          <w:rFonts w:ascii="Arial" w:hAnsi="Arial" w:cs="Arial"/>
          <w:sz w:val="22"/>
        </w:rPr>
        <w:t xml:space="preserve"> del 28 de agosto de 2019, 2201913000008174 del 31 de octubre de 2019  </w:t>
      </w:r>
      <w:hyperlink r:id="rId13" w:tgtFrame="_blank" w:history="1">
        <w:r w:rsidRPr="00E045BC">
          <w:rPr>
            <w:rFonts w:ascii="Arial" w:hAnsi="Arial" w:cs="Arial"/>
            <w:sz w:val="22"/>
          </w:rPr>
          <w:t>2201913000008197</w:t>
        </w:r>
      </w:hyperlink>
      <w:r w:rsidRPr="00E045BC">
        <w:rPr>
          <w:rFonts w:ascii="Arial" w:hAnsi="Arial" w:cs="Arial"/>
          <w:sz w:val="22"/>
        </w:rPr>
        <w:t xml:space="preserve"> del 1 de noviembre de 2019, C-181 del 6 de abril de 2020, C-272 del 27 de abril de 2020, C-284 del 27 de mayo de 2010</w:t>
      </w:r>
      <w:r w:rsidR="007B7A71">
        <w:rPr>
          <w:rFonts w:ascii="Arial" w:hAnsi="Arial" w:cs="Arial"/>
          <w:sz w:val="22"/>
        </w:rPr>
        <w:t xml:space="preserve">, </w:t>
      </w:r>
      <w:r w:rsidRPr="00E045BC">
        <w:rPr>
          <w:rFonts w:ascii="Arial" w:hAnsi="Arial" w:cs="Arial"/>
          <w:sz w:val="22"/>
        </w:rPr>
        <w:t>C-399 del 23 de junio de 2020</w:t>
      </w:r>
      <w:r w:rsidR="003800DC">
        <w:rPr>
          <w:rFonts w:ascii="Arial" w:hAnsi="Arial" w:cs="Arial"/>
          <w:sz w:val="22"/>
        </w:rPr>
        <w:t>, C-499 del 15 de septiembre de 2021</w:t>
      </w:r>
      <w:r w:rsidR="008B7865">
        <w:rPr>
          <w:rFonts w:ascii="Arial" w:hAnsi="Arial" w:cs="Arial"/>
          <w:sz w:val="22"/>
        </w:rPr>
        <w:t>,</w:t>
      </w:r>
      <w:r w:rsidR="00947882">
        <w:rPr>
          <w:rFonts w:ascii="Arial" w:hAnsi="Arial" w:cs="Arial"/>
          <w:sz w:val="22"/>
        </w:rPr>
        <w:t xml:space="preserve"> C-543 del 9 de noviembre de 2021</w:t>
      </w:r>
      <w:r w:rsidR="008B7865">
        <w:rPr>
          <w:rFonts w:ascii="Arial" w:hAnsi="Arial" w:cs="Arial"/>
          <w:sz w:val="22"/>
        </w:rPr>
        <w:t xml:space="preserve"> y C-229 del 26 de abril de 2022</w:t>
      </w:r>
      <w:r w:rsidRPr="00E045BC">
        <w:rPr>
          <w:rFonts w:ascii="Arial" w:hAnsi="Arial" w:cs="Arial"/>
          <w:sz w:val="22"/>
        </w:rPr>
        <w:t>.</w:t>
      </w:r>
      <w:r w:rsidR="00AC61AC">
        <w:rPr>
          <w:rFonts w:ascii="Arial" w:hAnsi="Arial" w:cs="Arial"/>
          <w:sz w:val="22"/>
        </w:rPr>
        <w:t xml:space="preserve"> </w:t>
      </w:r>
      <w:r w:rsidR="008D530D" w:rsidRPr="00446B03">
        <w:rPr>
          <w:rFonts w:ascii="Arial" w:eastAsia="Calibri" w:hAnsi="Arial" w:cs="Arial"/>
          <w:bCs/>
          <w:sz w:val="22"/>
        </w:rPr>
        <w:t>La</w:t>
      </w:r>
      <w:r w:rsidR="000F6DB4">
        <w:rPr>
          <w:rFonts w:ascii="Arial" w:eastAsia="Calibri" w:hAnsi="Arial" w:cs="Arial"/>
          <w:bCs/>
          <w:sz w:val="22"/>
        </w:rPr>
        <w:t>s</w:t>
      </w:r>
      <w:r w:rsidR="008D530D" w:rsidRPr="00446B03">
        <w:rPr>
          <w:rFonts w:ascii="Arial" w:eastAsia="Calibri" w:hAnsi="Arial" w:cs="Arial"/>
          <w:bCs/>
          <w:sz w:val="22"/>
        </w:rPr>
        <w:t xml:space="preserve"> tesis desarrollada</w:t>
      </w:r>
      <w:r w:rsidR="000F6DB4">
        <w:rPr>
          <w:rFonts w:ascii="Arial" w:eastAsia="Calibri" w:hAnsi="Arial" w:cs="Arial"/>
          <w:bCs/>
          <w:sz w:val="22"/>
        </w:rPr>
        <w:t>s</w:t>
      </w:r>
      <w:r w:rsidR="008D530D" w:rsidRPr="00446B03">
        <w:rPr>
          <w:rFonts w:ascii="Arial" w:eastAsia="Calibri" w:hAnsi="Arial" w:cs="Arial"/>
          <w:bCs/>
          <w:sz w:val="22"/>
        </w:rPr>
        <w:t xml:space="preserve"> en estos conceptos se</w:t>
      </w:r>
      <w:r w:rsidR="008D530D">
        <w:rPr>
          <w:rFonts w:ascii="Arial" w:eastAsia="Calibri" w:hAnsi="Arial" w:cs="Arial"/>
          <w:bCs/>
          <w:sz w:val="22"/>
        </w:rPr>
        <w:t xml:space="preserve"> reitera</w:t>
      </w:r>
      <w:r w:rsidR="000F6DB4">
        <w:rPr>
          <w:rFonts w:ascii="Arial" w:eastAsia="Calibri" w:hAnsi="Arial" w:cs="Arial"/>
          <w:bCs/>
          <w:sz w:val="22"/>
        </w:rPr>
        <w:t>n</w:t>
      </w:r>
      <w:r w:rsidR="008D530D">
        <w:rPr>
          <w:rFonts w:ascii="Arial" w:eastAsia="Calibri" w:hAnsi="Arial" w:cs="Arial"/>
          <w:bCs/>
          <w:sz w:val="22"/>
        </w:rPr>
        <w:t xml:space="preserve"> y</w:t>
      </w:r>
      <w:r w:rsidR="008D530D" w:rsidRPr="00446B03">
        <w:rPr>
          <w:rFonts w:ascii="Arial" w:eastAsia="Calibri" w:hAnsi="Arial" w:cs="Arial"/>
          <w:bCs/>
          <w:sz w:val="22"/>
        </w:rPr>
        <w:t xml:space="preserve"> complementa</w:t>
      </w:r>
      <w:r w:rsidR="000F6DB4">
        <w:rPr>
          <w:rFonts w:ascii="Arial" w:eastAsia="Calibri" w:hAnsi="Arial" w:cs="Arial"/>
          <w:bCs/>
          <w:sz w:val="22"/>
        </w:rPr>
        <w:t>n</w:t>
      </w:r>
      <w:r w:rsidR="008D530D" w:rsidRPr="00446B03">
        <w:rPr>
          <w:rFonts w:ascii="Arial" w:eastAsia="Calibri" w:hAnsi="Arial" w:cs="Arial"/>
          <w:bCs/>
          <w:sz w:val="22"/>
        </w:rPr>
        <w:t xml:space="preserve"> a continuación:</w:t>
      </w:r>
    </w:p>
    <w:p w14:paraId="30892195" w14:textId="35B162B2" w:rsidR="00C84F90" w:rsidRPr="00C84F90" w:rsidRDefault="00C84F90" w:rsidP="00FD7DA9">
      <w:pPr>
        <w:spacing w:line="276" w:lineRule="auto"/>
        <w:ind w:firstLine="709"/>
        <w:jc w:val="both"/>
        <w:rPr>
          <w:rFonts w:ascii="Arial" w:eastAsia="Calibri" w:hAnsi="Arial" w:cs="Arial"/>
          <w:b/>
          <w:bCs/>
          <w:sz w:val="22"/>
          <w:szCs w:val="22"/>
          <w:lang w:eastAsia="en-US"/>
        </w:rPr>
      </w:pPr>
    </w:p>
    <w:p w14:paraId="17DA2C8B" w14:textId="77777777" w:rsidR="00C84F90" w:rsidRPr="00C84F90" w:rsidRDefault="00C84F90" w:rsidP="00C84F90">
      <w:pPr>
        <w:tabs>
          <w:tab w:val="left" w:pos="426"/>
        </w:tabs>
        <w:spacing w:line="276" w:lineRule="auto"/>
        <w:jc w:val="both"/>
        <w:rPr>
          <w:rFonts w:ascii="Arial" w:eastAsia="Calibri" w:hAnsi="Arial" w:cs="Arial"/>
          <w:b/>
          <w:bCs/>
          <w:sz w:val="22"/>
          <w:szCs w:val="22"/>
          <w:lang w:eastAsia="en-US"/>
        </w:rPr>
      </w:pPr>
      <w:r w:rsidRPr="00C84F90">
        <w:rPr>
          <w:rFonts w:ascii="Arial" w:eastAsia="Calibri" w:hAnsi="Arial" w:cs="Arial"/>
          <w:b/>
          <w:bCs/>
          <w:sz w:val="22"/>
          <w:szCs w:val="22"/>
          <w:lang w:eastAsia="en-US"/>
        </w:rPr>
        <w:t>2.1. Definición y finalidad de la Ley de Garantías Electorales: alcance de las restricciones</w:t>
      </w:r>
    </w:p>
    <w:p w14:paraId="27EB9B0D" w14:textId="77777777" w:rsidR="00C84F90" w:rsidRPr="00C84F90" w:rsidRDefault="00C84F90" w:rsidP="00C84F90">
      <w:pPr>
        <w:tabs>
          <w:tab w:val="left" w:pos="426"/>
        </w:tabs>
        <w:spacing w:line="276" w:lineRule="auto"/>
        <w:ind w:firstLine="709"/>
        <w:jc w:val="both"/>
        <w:rPr>
          <w:rFonts w:ascii="Arial" w:eastAsia="Calibri" w:hAnsi="Arial" w:cs="Arial"/>
          <w:bCs/>
          <w:sz w:val="22"/>
          <w:szCs w:val="22"/>
          <w:lang w:eastAsia="en-US"/>
        </w:rPr>
      </w:pPr>
    </w:p>
    <w:p w14:paraId="3F6484D7" w14:textId="77777777" w:rsidR="00471C67" w:rsidRPr="00471C67" w:rsidRDefault="00471C67" w:rsidP="00471C67">
      <w:pPr>
        <w:tabs>
          <w:tab w:val="left" w:pos="426"/>
        </w:tabs>
        <w:spacing w:after="120" w:line="276" w:lineRule="auto"/>
        <w:jc w:val="both"/>
        <w:rPr>
          <w:rFonts w:ascii="Arial" w:hAnsi="Arial" w:cs="Arial"/>
          <w:bCs/>
          <w:sz w:val="22"/>
          <w:szCs w:val="22"/>
          <w:lang w:eastAsia="es-CO"/>
        </w:rPr>
      </w:pPr>
      <w:r w:rsidRPr="00471C67">
        <w:rPr>
          <w:rFonts w:ascii="Arial" w:eastAsia="Calibri" w:hAnsi="Arial" w:cs="Arial"/>
          <w:bCs/>
          <w:sz w:val="22"/>
          <w:szCs w:val="22"/>
        </w:rPr>
        <w:t>El ordenamiento jurídico colombiano contempla previsiones claras para evitar la obtención de beneficios personales en asuntos propios de la administración pública</w:t>
      </w:r>
      <w:r w:rsidRPr="00471C67">
        <w:rPr>
          <w:rFonts w:ascii="Arial" w:eastAsia="Calibri" w:hAnsi="Arial" w:cs="Arial"/>
          <w:bCs/>
          <w:i/>
          <w:iCs/>
          <w:sz w:val="22"/>
          <w:szCs w:val="22"/>
        </w:rPr>
        <w:t xml:space="preserve">. </w:t>
      </w:r>
      <w:r w:rsidRPr="00471C67">
        <w:rPr>
          <w:rFonts w:ascii="Arial" w:eastAsia="Calibri" w:hAnsi="Arial" w:cs="Arial"/>
          <w:bCs/>
          <w:sz w:val="22"/>
          <w:szCs w:val="22"/>
        </w:rPr>
        <w:t xml:space="preserve">Por ejemplo, el artículo 127 de la Constitución Política establece una prohibición contractual a los </w:t>
      </w:r>
      <w:r w:rsidRPr="00471C67">
        <w:rPr>
          <w:rFonts w:ascii="Arial" w:eastAsia="Calibri" w:hAnsi="Arial" w:cs="Arial"/>
          <w:bCs/>
          <w:sz w:val="22"/>
          <w:szCs w:val="22"/>
        </w:rPr>
        <w:lastRenderedPageBreak/>
        <w:t>servidores públicos y en cuanto a aspectos políticos consagra restricciones a ciertos empleados del Estado, incluso en época no electoral</w:t>
      </w:r>
      <w:r w:rsidRPr="00471C67">
        <w:rPr>
          <w:rFonts w:ascii="Arial" w:eastAsia="Calibri" w:hAnsi="Arial" w:cs="Arial"/>
          <w:bCs/>
          <w:sz w:val="22"/>
          <w:szCs w:val="22"/>
          <w:vertAlign w:val="superscript"/>
        </w:rPr>
        <w:footnoteReference w:id="2"/>
      </w:r>
      <w:r w:rsidRPr="00471C67">
        <w:rPr>
          <w:rFonts w:ascii="Arial" w:eastAsia="Calibri" w:hAnsi="Arial" w:cs="Arial"/>
          <w:bCs/>
          <w:sz w:val="22"/>
          <w:szCs w:val="22"/>
        </w:rPr>
        <w:t xml:space="preserve">. </w:t>
      </w:r>
    </w:p>
    <w:p w14:paraId="0E48FF48" w14:textId="77777777" w:rsidR="00471C67" w:rsidRPr="00471C67" w:rsidRDefault="00471C67" w:rsidP="00471C67">
      <w:pPr>
        <w:tabs>
          <w:tab w:val="left" w:pos="426"/>
        </w:tabs>
        <w:spacing w:line="276" w:lineRule="auto"/>
        <w:ind w:firstLine="709"/>
        <w:jc w:val="both"/>
        <w:rPr>
          <w:rFonts w:ascii="Arial" w:hAnsi="Arial" w:cs="Arial"/>
          <w:bCs/>
          <w:sz w:val="22"/>
          <w:szCs w:val="22"/>
          <w:lang w:val="es-MX" w:eastAsia="es-CO"/>
        </w:rPr>
      </w:pPr>
      <w:r w:rsidRPr="00471C67">
        <w:rPr>
          <w:rFonts w:ascii="Arial" w:hAnsi="Arial" w:cs="Arial"/>
          <w:bCs/>
          <w:sz w:val="22"/>
          <w:szCs w:val="22"/>
          <w:lang w:eastAsia="es-CO"/>
        </w:rPr>
        <w:t>En el mismo sentido</w:t>
      </w:r>
      <w:r w:rsidRPr="00471C67">
        <w:rPr>
          <w:rFonts w:ascii="Arial" w:hAnsi="Arial" w:cs="Arial"/>
          <w:bCs/>
          <w:sz w:val="22"/>
          <w:szCs w:val="22"/>
          <w:lang w:val="es-MX" w:eastAsia="es-CO"/>
        </w:rPr>
        <w:t xml:space="preserve">, </w:t>
      </w:r>
      <w:bookmarkStart w:id="5" w:name="_Hlk99576829"/>
      <w:r w:rsidRPr="00471C67">
        <w:rPr>
          <w:rFonts w:ascii="Arial" w:hAnsi="Arial" w:cs="Arial"/>
          <w:bCs/>
          <w:sz w:val="22"/>
          <w:szCs w:val="22"/>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471C67">
        <w:rPr>
          <w:rFonts w:ascii="Arial" w:hAnsi="Arial" w:cs="Arial"/>
          <w:bCs/>
          <w:sz w:val="22"/>
          <w:szCs w:val="22"/>
          <w:vertAlign w:val="superscript"/>
          <w:lang w:val="es-MX" w:eastAsia="es-CO"/>
        </w:rPr>
        <w:footnoteReference w:id="3"/>
      </w:r>
      <w:r w:rsidRPr="00471C67">
        <w:rPr>
          <w:rFonts w:ascii="Arial" w:hAnsi="Arial" w:cs="Arial"/>
          <w:bCs/>
          <w:sz w:val="22"/>
          <w:szCs w:val="22"/>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471C67">
        <w:rPr>
          <w:rFonts w:ascii="Arial" w:eastAsia="Calibri" w:hAnsi="Arial" w:cs="Arial"/>
          <w:noProof/>
          <w:sz w:val="22"/>
          <w:szCs w:val="22"/>
          <w:lang w:val="es-ES_tradnl"/>
        </w:rPr>
        <w:t xml:space="preserve"> </w:t>
      </w:r>
      <w:bookmarkEnd w:id="5"/>
      <w:r w:rsidRPr="00471C67">
        <w:rPr>
          <w:rFonts w:ascii="Arial" w:hAnsi="Arial" w:cs="Arial"/>
          <w:bCs/>
          <w:sz w:val="22"/>
          <w:szCs w:val="22"/>
          <w:lang w:val="es-MX" w:eastAsia="es-CO"/>
        </w:rPr>
        <w:t>En armonía con lo anterior, la Corte Constitucional ha abordado la definición de la Ley de Garantías Electorales. De esta manera, explica que tiene como propósito:</w:t>
      </w:r>
    </w:p>
    <w:p w14:paraId="21761D90" w14:textId="77777777" w:rsidR="00471C67" w:rsidRPr="00471C67" w:rsidRDefault="00471C67" w:rsidP="00471C67">
      <w:pPr>
        <w:spacing w:line="276" w:lineRule="auto"/>
        <w:ind w:right="709"/>
        <w:contextualSpacing/>
        <w:jc w:val="both"/>
        <w:rPr>
          <w:rFonts w:ascii="Arial" w:hAnsi="Arial" w:cs="Arial"/>
          <w:sz w:val="22"/>
          <w:szCs w:val="22"/>
          <w:lang w:val="es-ES" w:eastAsia="es-CO"/>
        </w:rPr>
      </w:pPr>
    </w:p>
    <w:p w14:paraId="2B42D08E" w14:textId="740FC6E4" w:rsidR="00471C67" w:rsidRPr="006C314F" w:rsidRDefault="00471C67" w:rsidP="00471C67">
      <w:pPr>
        <w:ind w:left="709" w:right="709"/>
        <w:contextualSpacing/>
        <w:jc w:val="both"/>
        <w:rPr>
          <w:rFonts w:ascii="Arial" w:hAnsi="Arial" w:cs="Arial"/>
          <w:bCs/>
          <w:sz w:val="21"/>
          <w:szCs w:val="21"/>
          <w:lang w:val="es-MX" w:eastAsia="es-CO"/>
        </w:rPr>
      </w:pPr>
      <w:r w:rsidRPr="006C314F">
        <w:rPr>
          <w:rFonts w:ascii="Arial" w:hAnsi="Arial" w:cs="Arial"/>
          <w:sz w:val="21"/>
          <w:szCs w:val="21"/>
          <w:lang w:val="es-ES" w:eastAsia="es-CO"/>
        </w:rPr>
        <w:t xml:space="preserve">[…] </w:t>
      </w:r>
      <w:r w:rsidRPr="006C314F">
        <w:rPr>
          <w:rFonts w:ascii="Arial"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3D479674" w14:textId="77777777" w:rsidR="00471C67" w:rsidRPr="006C314F" w:rsidRDefault="00471C67" w:rsidP="00471C67">
      <w:pPr>
        <w:ind w:left="709" w:right="709"/>
        <w:contextualSpacing/>
        <w:jc w:val="both"/>
        <w:rPr>
          <w:rFonts w:ascii="Arial" w:hAnsi="Arial" w:cs="Arial"/>
          <w:bCs/>
          <w:sz w:val="21"/>
          <w:szCs w:val="21"/>
          <w:lang w:val="es-MX" w:eastAsia="es-CO"/>
        </w:rPr>
      </w:pPr>
      <w:r w:rsidRPr="006C314F">
        <w:rPr>
          <w:rFonts w:ascii="Arial" w:hAnsi="Arial" w:cs="Arial"/>
          <w:bCs/>
          <w:sz w:val="21"/>
          <w:szCs w:val="21"/>
          <w:lang w:val="es-MX" w:eastAsia="es-CO"/>
        </w:rPr>
        <w:t xml:space="preserve">[…] </w:t>
      </w:r>
    </w:p>
    <w:p w14:paraId="7E63A2D3" w14:textId="77777777" w:rsidR="00471C67" w:rsidRPr="006C314F" w:rsidRDefault="00471C67" w:rsidP="00FD7DA9">
      <w:pPr>
        <w:ind w:right="709"/>
        <w:contextualSpacing/>
        <w:jc w:val="both"/>
        <w:rPr>
          <w:rFonts w:ascii="Arial" w:hAnsi="Arial" w:cs="Arial"/>
          <w:bCs/>
          <w:sz w:val="21"/>
          <w:szCs w:val="21"/>
          <w:lang w:val="es-MX" w:eastAsia="es-CO"/>
        </w:rPr>
      </w:pPr>
    </w:p>
    <w:p w14:paraId="4F6A6BD1" w14:textId="04675036" w:rsidR="00471C67" w:rsidRPr="006C314F" w:rsidRDefault="00471C67" w:rsidP="00471C67">
      <w:pPr>
        <w:ind w:left="709" w:right="709"/>
        <w:contextualSpacing/>
        <w:jc w:val="both"/>
        <w:rPr>
          <w:rFonts w:ascii="Arial" w:hAnsi="Arial" w:cs="Arial"/>
          <w:bCs/>
          <w:sz w:val="21"/>
          <w:szCs w:val="21"/>
          <w:lang w:val="es-MX" w:eastAsia="es-CO"/>
        </w:rPr>
      </w:pPr>
      <w:r w:rsidRPr="006C314F">
        <w:rPr>
          <w:rFonts w:ascii="Arial"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6C314F">
        <w:rPr>
          <w:rFonts w:ascii="Arial" w:eastAsia="Calibri" w:hAnsi="Arial" w:cs="Arial"/>
          <w:sz w:val="20"/>
          <w:szCs w:val="20"/>
          <w:vertAlign w:val="superscript"/>
          <w:lang w:val="es-MX"/>
        </w:rPr>
        <w:footnoteReference w:id="4"/>
      </w:r>
    </w:p>
    <w:p w14:paraId="40B711CF" w14:textId="77777777" w:rsidR="00471C67" w:rsidRPr="00471C67" w:rsidRDefault="00471C67" w:rsidP="00471C67">
      <w:pPr>
        <w:spacing w:line="276" w:lineRule="auto"/>
        <w:ind w:left="709" w:right="709"/>
        <w:contextualSpacing/>
        <w:jc w:val="both"/>
        <w:rPr>
          <w:rFonts w:ascii="Arial" w:hAnsi="Arial" w:cs="Arial"/>
          <w:bCs/>
          <w:sz w:val="22"/>
          <w:szCs w:val="22"/>
          <w:lang w:val="es-MX" w:eastAsia="es-CO"/>
        </w:rPr>
      </w:pPr>
    </w:p>
    <w:p w14:paraId="4A3306B8" w14:textId="1C4E1A28" w:rsidR="00471C67" w:rsidRPr="00471C67" w:rsidRDefault="00471C67" w:rsidP="00471C67">
      <w:pPr>
        <w:spacing w:line="276" w:lineRule="auto"/>
        <w:ind w:firstLine="709"/>
        <w:jc w:val="both"/>
        <w:rPr>
          <w:rFonts w:ascii="Arial" w:hAnsi="Arial" w:cs="Arial"/>
          <w:bCs/>
          <w:sz w:val="22"/>
          <w:szCs w:val="22"/>
          <w:lang w:val="es-MX" w:eastAsia="es-CO"/>
        </w:rPr>
      </w:pPr>
      <w:bookmarkStart w:id="6" w:name="_Hlk78818186"/>
      <w:r w:rsidRPr="00471C67">
        <w:rPr>
          <w:rFonts w:ascii="Arial" w:hAnsi="Arial" w:cs="Arial"/>
          <w:bCs/>
          <w:sz w:val="22"/>
          <w:szCs w:val="22"/>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6"/>
      <w:r w:rsidRPr="00471C67">
        <w:rPr>
          <w:rFonts w:ascii="Arial" w:hAnsi="Arial" w:cs="Arial"/>
          <w:bCs/>
          <w:sz w:val="22"/>
          <w:szCs w:val="22"/>
          <w:lang w:val="es-MX" w:eastAsia="es-CO"/>
        </w:rPr>
        <w:t xml:space="preserve">Por ello, varias de las disposiciones de la </w:t>
      </w:r>
      <w:r w:rsidRPr="00471C67">
        <w:rPr>
          <w:rFonts w:ascii="Arial" w:hAnsi="Arial" w:cs="Arial"/>
          <w:bCs/>
          <w:sz w:val="22"/>
          <w:szCs w:val="22"/>
          <w:lang w:val="es-MX" w:eastAsia="es-CO"/>
        </w:rPr>
        <w:lastRenderedPageBreak/>
        <w:t>Ley 996 de 2005, al contener normas prohibitivas, no admiten una interpretación amplia, sino que deben interpretarse restrictivamente. En efecto, la Sala de Consulta y Servicio Civil del Consejo de Estado, precisó lo siguiente:</w:t>
      </w:r>
    </w:p>
    <w:p w14:paraId="2295967D" w14:textId="77777777" w:rsidR="00471C67" w:rsidRPr="00471C67" w:rsidRDefault="00471C67" w:rsidP="00471C67">
      <w:pPr>
        <w:spacing w:line="276" w:lineRule="auto"/>
        <w:ind w:firstLine="709"/>
        <w:contextualSpacing/>
        <w:jc w:val="both"/>
        <w:rPr>
          <w:rFonts w:ascii="Arial" w:hAnsi="Arial" w:cs="Arial"/>
          <w:bCs/>
          <w:sz w:val="22"/>
          <w:szCs w:val="22"/>
          <w:lang w:val="es-MX" w:eastAsia="es-CO"/>
        </w:rPr>
      </w:pPr>
    </w:p>
    <w:p w14:paraId="5FBB047D" w14:textId="77777777" w:rsidR="00471C67" w:rsidRPr="006C314F" w:rsidRDefault="00471C67" w:rsidP="00471C67">
      <w:pPr>
        <w:ind w:left="709" w:right="709"/>
        <w:contextualSpacing/>
        <w:jc w:val="both"/>
        <w:rPr>
          <w:rFonts w:ascii="Arial" w:hAnsi="Arial" w:cs="Arial"/>
          <w:bCs/>
          <w:sz w:val="21"/>
          <w:szCs w:val="21"/>
          <w:lang w:val="es-MX" w:eastAsia="es-CO"/>
        </w:rPr>
      </w:pPr>
      <w:r w:rsidRPr="006C314F">
        <w:rPr>
          <w:rFonts w:ascii="Arial" w:hAnsi="Arial" w:cs="Arial"/>
          <w:bCs/>
          <w:sz w:val="21"/>
          <w:szCs w:val="21"/>
          <w:lang w:val="es-MX"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24A80967" w14:textId="77777777" w:rsidR="00471C67" w:rsidRPr="006C314F" w:rsidRDefault="00471C67" w:rsidP="00471C67">
      <w:pPr>
        <w:ind w:left="709" w:right="709"/>
        <w:contextualSpacing/>
        <w:jc w:val="both"/>
        <w:rPr>
          <w:rFonts w:ascii="Arial" w:hAnsi="Arial" w:cs="Arial"/>
          <w:bCs/>
          <w:sz w:val="21"/>
          <w:szCs w:val="21"/>
          <w:lang w:val="es-MX" w:eastAsia="es-CO"/>
        </w:rPr>
      </w:pPr>
    </w:p>
    <w:p w14:paraId="5D7D6DA9" w14:textId="77777777" w:rsidR="00471C67" w:rsidRPr="006C314F" w:rsidRDefault="00471C67" w:rsidP="00471C67">
      <w:pPr>
        <w:ind w:left="709" w:right="709"/>
        <w:contextualSpacing/>
        <w:jc w:val="both"/>
        <w:rPr>
          <w:rFonts w:ascii="Arial" w:hAnsi="Arial" w:cs="Arial"/>
          <w:bCs/>
          <w:sz w:val="21"/>
          <w:szCs w:val="21"/>
          <w:lang w:val="es-MX" w:eastAsia="es-CO"/>
        </w:rPr>
      </w:pPr>
      <w:r w:rsidRPr="006C314F">
        <w:rPr>
          <w:rFonts w:ascii="Arial" w:hAnsi="Arial" w:cs="Arial"/>
          <w:bCs/>
          <w:sz w:val="21"/>
          <w:szCs w:val="21"/>
          <w:lang w:val="es-MX" w:eastAsia="es-CO"/>
        </w:rPr>
        <w:t>La jurisprudencia de la Corte Constitucional</w:t>
      </w:r>
      <w:r w:rsidRPr="006C314F">
        <w:rPr>
          <w:rFonts w:ascii="Arial" w:hAnsi="Arial" w:cs="Arial"/>
          <w:bCs/>
          <w:sz w:val="21"/>
          <w:szCs w:val="21"/>
          <w:vertAlign w:val="superscript"/>
          <w:lang w:val="es-MX" w:eastAsia="es-CO"/>
        </w:rPr>
        <w:footnoteReference w:id="5"/>
      </w:r>
      <w:r w:rsidRPr="006C314F">
        <w:rPr>
          <w:rFonts w:ascii="Arial" w:hAnsi="Arial" w:cs="Arial"/>
          <w:bCs/>
          <w:sz w:val="21"/>
          <w:szCs w:val="21"/>
          <w:lang w:val="es-MX" w:eastAsia="es-CO"/>
        </w:rPr>
        <w:t> y del Consejo de Estado</w:t>
      </w:r>
      <w:r w:rsidRPr="006C314F">
        <w:rPr>
          <w:rFonts w:ascii="Arial" w:hAnsi="Arial" w:cs="Arial"/>
          <w:bCs/>
          <w:sz w:val="21"/>
          <w:szCs w:val="21"/>
          <w:vertAlign w:val="superscript"/>
          <w:lang w:val="es-MX" w:eastAsia="es-CO"/>
        </w:rPr>
        <w:footnoteReference w:id="6"/>
      </w:r>
      <w:r w:rsidRPr="006C314F">
        <w:rPr>
          <w:rFonts w:ascii="Arial"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6C314F">
        <w:rPr>
          <w:rFonts w:ascii="Arial" w:hAnsi="Arial" w:cs="Arial"/>
          <w:bCs/>
          <w:vertAlign w:val="superscript"/>
          <w:lang w:val="es-MX" w:eastAsia="es-CO"/>
        </w:rPr>
        <w:footnoteReference w:id="7"/>
      </w:r>
      <w:r w:rsidRPr="006C314F">
        <w:rPr>
          <w:rFonts w:ascii="Arial" w:hAnsi="Arial" w:cs="Arial"/>
          <w:bCs/>
          <w:sz w:val="21"/>
          <w:szCs w:val="21"/>
          <w:lang w:val="es-MX" w:eastAsia="es-CO"/>
        </w:rPr>
        <w:t>.</w:t>
      </w:r>
    </w:p>
    <w:p w14:paraId="2FE4E3E8" w14:textId="77777777" w:rsidR="00471C67" w:rsidRPr="00471C67" w:rsidRDefault="00471C67" w:rsidP="00471C67">
      <w:pPr>
        <w:spacing w:line="276" w:lineRule="auto"/>
        <w:ind w:right="709"/>
        <w:contextualSpacing/>
        <w:jc w:val="both"/>
        <w:rPr>
          <w:rFonts w:ascii="Arial" w:hAnsi="Arial" w:cs="Arial"/>
          <w:bCs/>
          <w:sz w:val="22"/>
          <w:szCs w:val="22"/>
          <w:lang w:val="es-MX" w:eastAsia="es-CO"/>
        </w:rPr>
      </w:pPr>
    </w:p>
    <w:p w14:paraId="7B080A41" w14:textId="32B1A177" w:rsidR="00471C67" w:rsidRPr="00471C67" w:rsidRDefault="00471C67" w:rsidP="00471C67">
      <w:pPr>
        <w:spacing w:after="120" w:line="276" w:lineRule="auto"/>
        <w:jc w:val="both"/>
        <w:rPr>
          <w:rFonts w:ascii="Arial" w:eastAsia="Arial" w:hAnsi="Arial" w:cs="Arial"/>
          <w:sz w:val="22"/>
          <w:szCs w:val="22"/>
          <w:lang w:val="es-ES" w:eastAsia="es-ES" w:bidi="es-ES"/>
        </w:rPr>
      </w:pPr>
      <w:r w:rsidRPr="00471C67">
        <w:rPr>
          <w:rFonts w:ascii="Arial" w:hAnsi="Arial" w:cs="Arial"/>
          <w:bCs/>
          <w:sz w:val="22"/>
          <w:szCs w:val="22"/>
          <w:lang w:val="es-MX" w:eastAsia="es-CO"/>
        </w:rPr>
        <w:tab/>
        <w:t>De</w:t>
      </w:r>
      <w:r w:rsidRPr="00471C67">
        <w:rPr>
          <w:rFonts w:ascii="Arial" w:eastAsia="Arial" w:hAnsi="Arial" w:cs="Arial"/>
          <w:sz w:val="22"/>
          <w:szCs w:val="22"/>
          <w:lang w:val="es-ES" w:eastAsia="es-ES" w:bidi="es-ES"/>
        </w:rPr>
        <w:t xml:space="preserve"> conformidad con lo anterior, </w:t>
      </w:r>
      <w:bookmarkStart w:id="7" w:name="_Hlk77236098"/>
      <w:r w:rsidRPr="00471C67">
        <w:rPr>
          <w:rFonts w:ascii="Arial" w:eastAsia="Arial" w:hAnsi="Arial" w:cs="Arial"/>
          <w:sz w:val="22"/>
          <w:szCs w:val="22"/>
          <w:lang w:val="es-ES" w:eastAsia="es-ES" w:bidi="es-ES"/>
        </w:rPr>
        <w:t>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w:t>
      </w:r>
      <w:r w:rsidR="00FA53A9">
        <w:rPr>
          <w:rFonts w:ascii="Arial" w:eastAsia="Arial" w:hAnsi="Arial" w:cs="Arial"/>
          <w:sz w:val="22"/>
          <w:szCs w:val="22"/>
          <w:lang w:val="es-ES" w:eastAsia="es-ES" w:bidi="es-ES"/>
        </w:rPr>
        <w:t>n</w:t>
      </w:r>
      <w:r w:rsidRPr="00471C67">
        <w:rPr>
          <w:rFonts w:ascii="Arial" w:eastAsia="Arial" w:hAnsi="Arial" w:cs="Arial"/>
          <w:sz w:val="22"/>
          <w:szCs w:val="22"/>
          <w:lang w:val="es-ES" w:eastAsia="es-ES" w:bidi="es-ES"/>
        </w:rPr>
        <w:t xml:space="preserv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7"/>
    </w:p>
    <w:p w14:paraId="7E7E4AAF" w14:textId="77777777" w:rsidR="00471C67" w:rsidRPr="00471C67" w:rsidRDefault="00471C67" w:rsidP="00471C67">
      <w:pPr>
        <w:spacing w:after="120" w:line="276" w:lineRule="auto"/>
        <w:ind w:firstLine="708"/>
        <w:jc w:val="both"/>
        <w:rPr>
          <w:rFonts w:ascii="Arial" w:eastAsia="Calibri" w:hAnsi="Arial" w:cs="Arial"/>
          <w:sz w:val="22"/>
          <w:szCs w:val="22"/>
        </w:rPr>
      </w:pPr>
      <w:r w:rsidRPr="00471C67">
        <w:rPr>
          <w:rFonts w:ascii="Arial" w:eastAsia="Calibri" w:hAnsi="Arial" w:cs="Arial"/>
          <w:sz w:val="22"/>
          <w:szCs w:val="22"/>
        </w:rPr>
        <w:lastRenderedPageBreak/>
        <w:t xml:space="preserve">Por un lado, el artículo 33 de la Ley 996 de 2005 prohíbe </w:t>
      </w:r>
      <w:r w:rsidRPr="00471C67">
        <w:rPr>
          <w:rFonts w:ascii="Arial" w:eastAsia="Calibri" w:hAnsi="Arial" w:cs="Arial"/>
          <w:bCs/>
          <w:sz w:val="22"/>
          <w:szCs w:val="22"/>
        </w:rPr>
        <w:t xml:space="preserve">«[…] </w:t>
      </w:r>
      <w:r w:rsidRPr="00471C67">
        <w:rPr>
          <w:rFonts w:ascii="Arial" w:eastAsia="Calibri" w:hAnsi="Arial" w:cs="Arial"/>
          <w:sz w:val="22"/>
          <w:szCs w:val="22"/>
        </w:rPr>
        <w:t>la contratación directa por parte de todos los entes del Estado</w:t>
      </w:r>
      <w:r w:rsidRPr="00471C67">
        <w:rPr>
          <w:rFonts w:ascii="Arial" w:eastAsia="Calibri" w:hAnsi="Arial" w:cs="Arial"/>
          <w:bCs/>
          <w:sz w:val="22"/>
          <w:szCs w:val="22"/>
        </w:rPr>
        <w:t>»</w:t>
      </w:r>
      <w:r w:rsidRPr="00471C67">
        <w:rPr>
          <w:rFonts w:ascii="Arial" w:eastAsia="Calibri" w:hAnsi="Arial" w:cs="Arial"/>
          <w:sz w:val="22"/>
          <w:szCs w:val="22"/>
        </w:rPr>
        <w:t xml:space="preserve"> durante los cuatro (4) meses anteriores a las elecciones presidenciales, salvo </w:t>
      </w:r>
      <w:r w:rsidRPr="00471C67">
        <w:rPr>
          <w:rFonts w:ascii="Arial" w:eastAsia="Calibri" w:hAnsi="Arial" w:cs="Arial"/>
          <w:bCs/>
          <w:sz w:val="22"/>
          <w:szCs w:val="22"/>
        </w:rPr>
        <w:t xml:space="preserve">«[…] </w:t>
      </w:r>
      <w:r w:rsidRPr="00471C67">
        <w:rPr>
          <w:rFonts w:ascii="Arial" w:eastAsia="Calibri" w:hAnsi="Arial" w:cs="Arial"/>
          <w:sz w:val="22"/>
          <w:szCs w:val="22"/>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71C67">
        <w:rPr>
          <w:rFonts w:ascii="Arial" w:eastAsia="Calibri" w:hAnsi="Arial" w:cs="Arial"/>
          <w:bCs/>
          <w:sz w:val="22"/>
          <w:szCs w:val="22"/>
        </w:rPr>
        <w:t>»</w:t>
      </w:r>
      <w:r w:rsidRPr="00471C67">
        <w:rPr>
          <w:rFonts w:ascii="Arial" w:eastAsia="Calibri" w:hAnsi="Arial" w:cs="Arial"/>
          <w:bCs/>
          <w:sz w:val="22"/>
          <w:szCs w:val="22"/>
          <w:vertAlign w:val="superscript"/>
        </w:rPr>
        <w:footnoteReference w:id="8"/>
      </w:r>
      <w:r w:rsidRPr="00471C67">
        <w:rPr>
          <w:rFonts w:ascii="Arial" w:eastAsia="Calibri" w:hAnsi="Arial" w:cs="Arial"/>
          <w:sz w:val="22"/>
          <w:szCs w:val="22"/>
        </w:rPr>
        <w:t>.</w:t>
      </w:r>
    </w:p>
    <w:p w14:paraId="4E040B24" w14:textId="77777777" w:rsidR="00471C67" w:rsidRPr="00471C67" w:rsidRDefault="00471C67" w:rsidP="00471C67">
      <w:pPr>
        <w:widowControl w:val="0"/>
        <w:autoSpaceDE w:val="0"/>
        <w:autoSpaceDN w:val="0"/>
        <w:spacing w:line="276" w:lineRule="auto"/>
        <w:ind w:right="113" w:firstLine="708"/>
        <w:contextualSpacing/>
        <w:jc w:val="both"/>
        <w:rPr>
          <w:rFonts w:ascii="Arial" w:eastAsia="Arial" w:hAnsi="Arial" w:cs="Arial"/>
          <w:sz w:val="22"/>
          <w:szCs w:val="22"/>
          <w:lang w:val="es-ES" w:eastAsia="es-ES" w:bidi="es-ES"/>
        </w:rPr>
      </w:pPr>
      <w:r w:rsidRPr="00471C67">
        <w:rPr>
          <w:rFonts w:ascii="Arial" w:eastAsia="Calibri" w:hAnsi="Arial" w:cs="Arial"/>
          <w:sz w:val="22"/>
          <w:szCs w:val="22"/>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471C67">
        <w:rPr>
          <w:rFonts w:ascii="Arial" w:eastAsia="Calibri" w:hAnsi="Arial" w:cs="Arial"/>
          <w:bCs/>
          <w:sz w:val="22"/>
          <w:szCs w:val="22"/>
        </w:rPr>
        <w:t xml:space="preserve">«[…] </w:t>
      </w:r>
      <w:r w:rsidRPr="00471C67">
        <w:rPr>
          <w:rFonts w:ascii="Arial" w:eastAsia="Calibri" w:hAnsi="Arial" w:cs="Arial"/>
          <w:sz w:val="22"/>
          <w:szCs w:val="22"/>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71C67">
        <w:rPr>
          <w:rFonts w:ascii="Arial" w:eastAsia="Calibri" w:hAnsi="Arial" w:cs="Arial"/>
          <w:bCs/>
          <w:sz w:val="22"/>
          <w:szCs w:val="22"/>
        </w:rPr>
        <w:t>»</w:t>
      </w:r>
      <w:r w:rsidRPr="00471C67">
        <w:rPr>
          <w:rFonts w:ascii="Arial" w:eastAsia="Calibri" w:hAnsi="Arial" w:cs="Arial"/>
          <w:bCs/>
          <w:sz w:val="22"/>
          <w:szCs w:val="22"/>
          <w:vertAlign w:val="superscript"/>
        </w:rPr>
        <w:footnoteReference w:id="9"/>
      </w:r>
      <w:r w:rsidRPr="00471C67">
        <w:rPr>
          <w:rFonts w:ascii="Arial" w:eastAsia="Calibri" w:hAnsi="Arial" w:cs="Arial"/>
          <w:sz w:val="22"/>
          <w:szCs w:val="22"/>
          <w:lang w:val="es-MX"/>
        </w:rPr>
        <w:t>.</w:t>
      </w:r>
      <w:r w:rsidRPr="00471C67">
        <w:rPr>
          <w:rFonts w:ascii="Arial" w:eastAsia="Arial" w:hAnsi="Arial" w:cs="Arial"/>
          <w:sz w:val="22"/>
          <w:szCs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0C2C4FC1" w14:textId="77777777" w:rsidR="00471C67" w:rsidRPr="00471C67" w:rsidRDefault="00471C67" w:rsidP="00471C67">
      <w:pPr>
        <w:widowControl w:val="0"/>
        <w:autoSpaceDE w:val="0"/>
        <w:autoSpaceDN w:val="0"/>
        <w:spacing w:line="276" w:lineRule="auto"/>
        <w:ind w:left="805" w:right="812"/>
        <w:contextualSpacing/>
        <w:jc w:val="both"/>
        <w:rPr>
          <w:rFonts w:ascii="Arial" w:eastAsia="Arial" w:hAnsi="Arial" w:cs="Arial"/>
          <w:sz w:val="22"/>
          <w:szCs w:val="22"/>
          <w:lang w:val="es-ES" w:eastAsia="es-ES" w:bidi="es-ES"/>
        </w:rPr>
      </w:pPr>
    </w:p>
    <w:p w14:paraId="1AFC5344" w14:textId="78A09900" w:rsidR="00471C67" w:rsidRPr="006C314F" w:rsidRDefault="00471C67" w:rsidP="00471C67">
      <w:pPr>
        <w:widowControl w:val="0"/>
        <w:autoSpaceDE w:val="0"/>
        <w:autoSpaceDN w:val="0"/>
        <w:ind w:left="709" w:right="709"/>
        <w:contextualSpacing/>
        <w:jc w:val="both"/>
        <w:rPr>
          <w:rFonts w:ascii="Arial" w:eastAsia="Arial" w:hAnsi="Arial" w:cs="Arial"/>
          <w:sz w:val="21"/>
          <w:szCs w:val="21"/>
          <w:lang w:val="es-ES" w:eastAsia="es-ES" w:bidi="es-ES"/>
        </w:rPr>
      </w:pPr>
      <w:r w:rsidRPr="006C314F">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0" w:name="_Hlk76109421"/>
      <w:r w:rsidRPr="006C314F">
        <w:rPr>
          <w:rFonts w:ascii="Arial" w:eastAsia="Arial" w:hAnsi="Arial" w:cs="Arial"/>
          <w:sz w:val="21"/>
          <w:szCs w:val="21"/>
          <w:lang w:val="es-ES" w:eastAsia="es-ES" w:bidi="es-ES"/>
        </w:rPr>
        <w:t xml:space="preserve">se </w:t>
      </w:r>
      <w:r w:rsidRPr="006C314F">
        <w:rPr>
          <w:rFonts w:ascii="Arial" w:eastAsia="Arial" w:hAnsi="Arial" w:cs="Arial"/>
          <w:sz w:val="21"/>
          <w:szCs w:val="21"/>
          <w:lang w:val="es-ES" w:eastAsia="es-ES" w:bidi="es-ES"/>
        </w:rPr>
        <w:lastRenderedPageBreak/>
        <w:t>integran parcialmente</w:t>
      </w:r>
      <w:bookmarkEnd w:id="10"/>
      <w:r w:rsidRPr="006C314F">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6C314F">
        <w:rPr>
          <w:rFonts w:ascii="Arial" w:eastAsia="Arial" w:hAnsi="Arial" w:cs="Arial"/>
          <w:bCs/>
          <w:sz w:val="21"/>
          <w:szCs w:val="21"/>
          <w:lang w:val="es-ES" w:eastAsia="es-ES" w:bidi="es-ES"/>
        </w:rPr>
        <w:t xml:space="preserve">En cambio, para elecciones en general, excluyendo las correspondientes a </w:t>
      </w:r>
      <w:proofErr w:type="gramStart"/>
      <w:r w:rsidRPr="006C314F">
        <w:rPr>
          <w:rFonts w:ascii="Arial" w:eastAsia="Arial" w:hAnsi="Arial" w:cs="Arial"/>
          <w:bCs/>
          <w:sz w:val="21"/>
          <w:szCs w:val="21"/>
          <w:lang w:val="es-ES" w:eastAsia="es-ES" w:bidi="es-ES"/>
        </w:rPr>
        <w:t>Presidente</w:t>
      </w:r>
      <w:proofErr w:type="gramEnd"/>
      <w:r w:rsidRPr="006C314F">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6C314F">
        <w:rPr>
          <w:rFonts w:ascii="Arial" w:eastAsia="Arial" w:hAnsi="Arial" w:cs="Arial"/>
          <w:sz w:val="21"/>
          <w:szCs w:val="21"/>
          <w:vertAlign w:val="superscript"/>
          <w:lang w:val="es-ES" w:eastAsia="es-ES" w:bidi="es-ES"/>
        </w:rPr>
        <w:footnoteReference w:id="10"/>
      </w:r>
      <w:r w:rsidR="005531E1">
        <w:rPr>
          <w:rFonts w:ascii="Arial" w:eastAsia="Arial" w:hAnsi="Arial" w:cs="Arial"/>
          <w:sz w:val="21"/>
          <w:szCs w:val="21"/>
          <w:lang w:val="es-ES" w:eastAsia="es-ES" w:bidi="es-ES"/>
        </w:rPr>
        <w:t>.</w:t>
      </w:r>
    </w:p>
    <w:p w14:paraId="5D131B5D" w14:textId="77777777" w:rsidR="00471C67" w:rsidRPr="00471C67" w:rsidRDefault="00471C67" w:rsidP="00471C67">
      <w:pPr>
        <w:widowControl w:val="0"/>
        <w:autoSpaceDE w:val="0"/>
        <w:autoSpaceDN w:val="0"/>
        <w:spacing w:line="276" w:lineRule="auto"/>
        <w:contextualSpacing/>
        <w:rPr>
          <w:rFonts w:ascii="Arial" w:eastAsia="Arial" w:hAnsi="Arial" w:cs="Arial"/>
          <w:sz w:val="22"/>
          <w:szCs w:val="22"/>
          <w:lang w:val="es-ES" w:eastAsia="es-ES" w:bidi="es-ES"/>
        </w:rPr>
      </w:pPr>
    </w:p>
    <w:p w14:paraId="410D9973" w14:textId="77777777" w:rsidR="00471C67" w:rsidRPr="00471C67" w:rsidRDefault="00471C67" w:rsidP="00471C67">
      <w:pPr>
        <w:spacing w:after="120" w:line="276" w:lineRule="auto"/>
        <w:ind w:firstLine="709"/>
        <w:jc w:val="both"/>
        <w:rPr>
          <w:rFonts w:ascii="Arial" w:eastAsia="Arial" w:hAnsi="Arial" w:cs="Arial"/>
          <w:sz w:val="22"/>
          <w:szCs w:val="22"/>
          <w:lang w:val="es-ES" w:eastAsia="es-ES" w:bidi="es-ES"/>
        </w:rPr>
      </w:pPr>
      <w:r w:rsidRPr="00471C67">
        <w:rPr>
          <w:rFonts w:ascii="Arial" w:eastAsia="Arial" w:hAnsi="Arial" w:cs="Arial"/>
          <w:sz w:val="22"/>
          <w:szCs w:val="22"/>
          <w:lang w:val="es-ES" w:eastAsia="es-ES" w:bidi="es-ES"/>
        </w:rPr>
        <w:t xml:space="preserve">De conformidad con lo anterior, </w:t>
      </w:r>
      <w:bookmarkStart w:id="11" w:name="_Hlk77236420"/>
      <w:bookmarkStart w:id="12" w:name="_Hlk78818435"/>
      <w:r w:rsidRPr="00471C67">
        <w:rPr>
          <w:rFonts w:ascii="Arial" w:eastAsia="Arial" w:hAnsi="Arial" w:cs="Arial"/>
          <w:sz w:val="22"/>
          <w:szCs w:val="22"/>
          <w:lang w:val="es-ES" w:eastAsia="es-ES" w:bidi="es-ES"/>
        </w:rPr>
        <w:t xml:space="preserve">la Ley 996 de 2005 establece dos (2) tipos de restricciones en materia de contratación, las cuales coinciden parcialmente. </w:t>
      </w:r>
      <w:r w:rsidRPr="00471C67">
        <w:rPr>
          <w:rFonts w:ascii="Arial" w:eastAsia="Arial" w:hAnsi="Arial" w:cs="Arial"/>
          <w:i/>
          <w:iCs/>
          <w:sz w:val="22"/>
          <w:szCs w:val="22"/>
          <w:lang w:val="es-ES" w:eastAsia="es-ES" w:bidi="es-ES"/>
        </w:rPr>
        <w:t>En primer lugar</w:t>
      </w:r>
      <w:r w:rsidRPr="00471C67">
        <w:rPr>
          <w:rFonts w:ascii="Arial" w:eastAsia="Arial" w:hAnsi="Arial" w:cs="Arial"/>
          <w:sz w:val="22"/>
          <w:szCs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471C67">
        <w:rPr>
          <w:rFonts w:ascii="Arial" w:eastAsia="Arial" w:hAnsi="Arial" w:cs="Arial"/>
          <w:i/>
          <w:iCs/>
          <w:sz w:val="22"/>
          <w:szCs w:val="22"/>
          <w:lang w:val="es-ES" w:eastAsia="es-ES" w:bidi="es-ES"/>
        </w:rPr>
        <w:t>En segundo lugar</w:t>
      </w:r>
      <w:r w:rsidRPr="00471C67">
        <w:rPr>
          <w:rFonts w:ascii="Arial" w:eastAsia="Arial" w:hAnsi="Arial" w:cs="Arial"/>
          <w:sz w:val="22"/>
          <w:szCs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1"/>
    </w:p>
    <w:bookmarkEnd w:id="12"/>
    <w:p w14:paraId="41C4A260" w14:textId="441A9DD2" w:rsidR="00471C67" w:rsidRPr="00471C67" w:rsidRDefault="00471C67" w:rsidP="00471C67">
      <w:pPr>
        <w:spacing w:after="120" w:line="276" w:lineRule="auto"/>
        <w:ind w:firstLine="709"/>
        <w:jc w:val="both"/>
        <w:rPr>
          <w:rFonts w:ascii="Arial" w:eastAsia="Arial" w:hAnsi="Arial" w:cs="Arial"/>
          <w:sz w:val="22"/>
          <w:szCs w:val="22"/>
          <w:lang w:val="es-ES" w:eastAsia="es-ES" w:bidi="es-ES"/>
        </w:rPr>
      </w:pPr>
      <w:r w:rsidRPr="00471C67">
        <w:rPr>
          <w:rFonts w:ascii="Arial" w:eastAsia="Arial" w:hAnsi="Arial" w:cs="Arial"/>
          <w:sz w:val="22"/>
          <w:szCs w:val="22"/>
          <w:lang w:val="es-ES" w:eastAsia="es-ES" w:bidi="es-ES"/>
        </w:rPr>
        <w:t xml:space="preserve">Ambas restricciones no son excluyentes, lo que permite concluir que en el período preelectoral para elección de </w:t>
      </w:r>
      <w:proofErr w:type="gramStart"/>
      <w:r w:rsidRPr="00471C67">
        <w:rPr>
          <w:rFonts w:ascii="Arial" w:eastAsia="Arial" w:hAnsi="Arial" w:cs="Arial"/>
          <w:sz w:val="22"/>
          <w:szCs w:val="22"/>
          <w:lang w:val="es-ES" w:eastAsia="es-ES" w:bidi="es-ES"/>
        </w:rPr>
        <w:t>Presidente</w:t>
      </w:r>
      <w:proofErr w:type="gramEnd"/>
      <w:r w:rsidRPr="00471C67">
        <w:rPr>
          <w:rFonts w:ascii="Arial" w:eastAsia="Arial" w:hAnsi="Arial" w:cs="Arial"/>
          <w:sz w:val="22"/>
          <w:szCs w:val="22"/>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471C67">
        <w:rPr>
          <w:rFonts w:ascii="Arial" w:eastAsia="Arial" w:hAnsi="Arial" w:cs="Arial"/>
          <w:sz w:val="22"/>
          <w:szCs w:val="22"/>
          <w:lang w:val="es-ES" w:eastAsia="es-ES" w:bidi="es-ES"/>
        </w:rPr>
        <w:t>Presidente</w:t>
      </w:r>
      <w:proofErr w:type="gramEnd"/>
      <w:r w:rsidRPr="00471C67">
        <w:rPr>
          <w:rFonts w:ascii="Arial" w:eastAsia="Arial" w:hAnsi="Arial" w:cs="Arial"/>
          <w:sz w:val="22"/>
          <w:szCs w:val="22"/>
          <w:lang w:val="es-ES" w:eastAsia="es-ES" w:bidi="es-ES"/>
        </w:rPr>
        <w:t xml:space="preserve"> de la República, las autoridades allí mencionadas s</w:t>
      </w:r>
      <w:r w:rsidR="004D3F10">
        <w:rPr>
          <w:rFonts w:ascii="Arial" w:eastAsia="Arial" w:hAnsi="Arial" w:cs="Arial"/>
          <w:sz w:val="22"/>
          <w:szCs w:val="22"/>
          <w:lang w:val="es-ES" w:eastAsia="es-ES" w:bidi="es-ES"/>
        </w:rPr>
        <w:t>o</w:t>
      </w:r>
      <w:r w:rsidRPr="00471C67">
        <w:rPr>
          <w:rFonts w:ascii="Arial" w:eastAsia="Arial" w:hAnsi="Arial" w:cs="Arial"/>
          <w:sz w:val="22"/>
          <w:szCs w:val="22"/>
          <w:lang w:val="es-ES" w:eastAsia="es-ES" w:bidi="es-ES"/>
        </w:rPr>
        <w:t>lo deben aplicar las restricciones contenidas en el parágrafo del artículo 38.</w:t>
      </w:r>
    </w:p>
    <w:p w14:paraId="2F960F4C" w14:textId="2E34C0DA" w:rsidR="00471C67" w:rsidRPr="00471C67" w:rsidRDefault="00471C67" w:rsidP="00471C67">
      <w:pPr>
        <w:spacing w:line="276" w:lineRule="auto"/>
        <w:ind w:firstLine="708"/>
        <w:jc w:val="both"/>
        <w:rPr>
          <w:rFonts w:ascii="Arial" w:eastAsia="Arial" w:hAnsi="Arial" w:cs="Arial"/>
          <w:sz w:val="22"/>
          <w:szCs w:val="22"/>
          <w:lang w:val="es-ES" w:eastAsia="es-ES" w:bidi="es-ES"/>
        </w:rPr>
      </w:pPr>
      <w:r w:rsidRPr="00471C67">
        <w:rPr>
          <w:rFonts w:ascii="Arial" w:eastAsia="Arial" w:hAnsi="Arial" w:cs="Arial"/>
          <w:sz w:val="22"/>
          <w:szCs w:val="22"/>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471C67">
        <w:rPr>
          <w:rFonts w:ascii="Arial" w:eastAsia="Arial" w:hAnsi="Arial" w:cs="Arial"/>
          <w:sz w:val="22"/>
          <w:szCs w:val="22"/>
          <w:lang w:val="es-ES" w:eastAsia="es-ES" w:bidi="es-ES"/>
        </w:rPr>
        <w:t>Presidente</w:t>
      </w:r>
      <w:proofErr w:type="gramEnd"/>
      <w:r w:rsidRPr="00471C67">
        <w:rPr>
          <w:rFonts w:ascii="Arial" w:eastAsia="Arial" w:hAnsi="Arial" w:cs="Arial"/>
          <w:sz w:val="22"/>
          <w:szCs w:val="22"/>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establecida por el Acto Legislativo 2 de 2015, excepto para el Vicepresidente que no haya ejercido la presidencia o que la haya ejercido por un tiempo inferior a tres (3) meses durante </w:t>
      </w:r>
      <w:r w:rsidRPr="00471C67">
        <w:rPr>
          <w:rFonts w:ascii="Arial" w:eastAsia="Arial" w:hAnsi="Arial" w:cs="Arial"/>
          <w:sz w:val="22"/>
          <w:szCs w:val="22"/>
          <w:lang w:val="es-ES" w:eastAsia="es-ES" w:bidi="es-ES"/>
        </w:rPr>
        <w:lastRenderedPageBreak/>
        <w:t xml:space="preserve">el respectivo cuatrienio, en forma continua o discontinua, conforme al artículo 197 de la Constitución Política.  </w:t>
      </w:r>
    </w:p>
    <w:p w14:paraId="0F2BE1CB" w14:textId="77777777" w:rsidR="00C84F90" w:rsidRPr="00471C67" w:rsidRDefault="00C84F90" w:rsidP="00C84F90">
      <w:pPr>
        <w:spacing w:line="276" w:lineRule="auto"/>
        <w:jc w:val="both"/>
        <w:rPr>
          <w:rFonts w:ascii="Arial" w:hAnsi="Arial" w:cs="Arial"/>
          <w:bCs/>
          <w:sz w:val="22"/>
          <w:szCs w:val="22"/>
          <w:lang w:val="es-ES" w:eastAsia="es-CO"/>
        </w:rPr>
      </w:pPr>
    </w:p>
    <w:p w14:paraId="2181F267" w14:textId="475D3481" w:rsidR="00C84F90" w:rsidRPr="00C84F90" w:rsidRDefault="00C84F90" w:rsidP="00C84F90">
      <w:pPr>
        <w:spacing w:line="276" w:lineRule="auto"/>
        <w:jc w:val="both"/>
        <w:rPr>
          <w:rFonts w:ascii="Arial" w:hAnsi="Arial" w:cs="Arial"/>
          <w:b/>
          <w:sz w:val="22"/>
          <w:szCs w:val="22"/>
          <w:lang w:val="es-ES" w:eastAsia="es-CO"/>
        </w:rPr>
      </w:pPr>
      <w:r w:rsidRPr="00C84F90">
        <w:rPr>
          <w:rFonts w:ascii="Arial" w:hAnsi="Arial" w:cs="Arial"/>
          <w:b/>
          <w:sz w:val="22"/>
          <w:szCs w:val="22"/>
          <w:lang w:val="es-ES" w:eastAsia="es-CO"/>
        </w:rPr>
        <w:t xml:space="preserve">2.2. </w:t>
      </w:r>
      <w:r w:rsidRPr="00C84F90">
        <w:rPr>
          <w:rFonts w:ascii="Arial" w:hAnsi="Arial" w:cs="Arial"/>
          <w:b/>
          <w:bCs/>
          <w:sz w:val="22"/>
          <w:szCs w:val="22"/>
          <w:lang w:val="es-MX" w:eastAsia="es-CO"/>
        </w:rPr>
        <w:t>Restricciones en elecciones presidenciales</w:t>
      </w:r>
      <w:r w:rsidR="004D3F10">
        <w:rPr>
          <w:rFonts w:ascii="Arial" w:hAnsi="Arial" w:cs="Arial"/>
          <w:b/>
          <w:bCs/>
          <w:sz w:val="22"/>
          <w:szCs w:val="22"/>
          <w:lang w:val="es-MX" w:eastAsia="es-CO"/>
        </w:rPr>
        <w:t xml:space="preserve">: </w:t>
      </w:r>
      <w:r w:rsidR="004D3F10">
        <w:rPr>
          <w:rFonts w:ascii="Arial" w:hAnsi="Arial" w:cs="Arial"/>
          <w:b/>
          <w:bCs/>
          <w:sz w:val="22"/>
          <w:szCs w:val="22"/>
          <w:lang w:val="es-ES_tradnl" w:eastAsia="es-CO"/>
        </w:rPr>
        <w:t>prohibición del artículo 33 de la Ley 996 de 2005</w:t>
      </w:r>
      <w:r w:rsidRPr="00C84F90">
        <w:rPr>
          <w:rFonts w:ascii="Arial" w:hAnsi="Arial" w:cs="Arial"/>
          <w:b/>
          <w:bCs/>
          <w:sz w:val="22"/>
          <w:szCs w:val="22"/>
          <w:lang w:val="es-MX" w:eastAsia="es-CO"/>
        </w:rPr>
        <w:t xml:space="preserve"> </w:t>
      </w:r>
    </w:p>
    <w:p w14:paraId="113D221A" w14:textId="77777777" w:rsidR="00C84F90" w:rsidRPr="00C84F90" w:rsidRDefault="00C84F90" w:rsidP="00C84F90">
      <w:pPr>
        <w:spacing w:line="276" w:lineRule="auto"/>
        <w:jc w:val="both"/>
        <w:rPr>
          <w:rFonts w:ascii="Arial" w:hAnsi="Arial" w:cs="Arial"/>
          <w:bCs/>
          <w:sz w:val="22"/>
          <w:szCs w:val="22"/>
          <w:lang w:val="es-MX" w:eastAsia="x-none"/>
        </w:rPr>
      </w:pPr>
    </w:p>
    <w:p w14:paraId="3FF76A20" w14:textId="77777777" w:rsidR="009311DA" w:rsidRPr="009311DA" w:rsidRDefault="009311DA" w:rsidP="009311DA">
      <w:pPr>
        <w:spacing w:line="276" w:lineRule="auto"/>
        <w:contextualSpacing/>
        <w:jc w:val="both"/>
        <w:rPr>
          <w:rFonts w:ascii="Arial" w:hAnsi="Arial" w:cs="Arial"/>
          <w:bCs/>
          <w:sz w:val="22"/>
          <w:szCs w:val="22"/>
          <w:lang w:val="es-MX" w:eastAsia="es-CO"/>
        </w:rPr>
      </w:pPr>
      <w:bookmarkStart w:id="13" w:name="_Hlk75783800"/>
      <w:r w:rsidRPr="009311DA">
        <w:rPr>
          <w:rFonts w:ascii="Arial" w:hAnsi="Arial" w:cs="Arial"/>
          <w:bCs/>
          <w:sz w:val="22"/>
          <w:szCs w:val="22"/>
          <w:lang w:val="es-MX" w:eastAsia="x-none"/>
        </w:rPr>
        <w:t xml:space="preserve">El ámbito material de la prohibición contenida </w:t>
      </w:r>
      <w:bookmarkStart w:id="14" w:name="_Hlk75628761"/>
      <w:r w:rsidRPr="009311DA">
        <w:rPr>
          <w:rFonts w:ascii="Arial" w:hAnsi="Arial" w:cs="Arial"/>
          <w:bCs/>
          <w:sz w:val="22"/>
          <w:szCs w:val="22"/>
          <w:lang w:val="es-MX" w:eastAsia="x-none"/>
        </w:rPr>
        <w:t xml:space="preserve">en el artículo 33 de la Ley 996 de 2005 </w:t>
      </w:r>
      <w:bookmarkEnd w:id="14"/>
      <w:r w:rsidRPr="009311DA">
        <w:rPr>
          <w:rFonts w:ascii="Arial" w:hAnsi="Arial" w:cs="Arial"/>
          <w:bCs/>
          <w:sz w:val="22"/>
          <w:szCs w:val="22"/>
          <w:lang w:val="es-MX" w:eastAsia="x-none"/>
        </w:rPr>
        <w:t xml:space="preserve">está delimitado por la expresión </w:t>
      </w:r>
      <w:r w:rsidRPr="009311DA">
        <w:rPr>
          <w:rFonts w:ascii="Arial" w:eastAsia="Calibri" w:hAnsi="Arial" w:cs="Arial"/>
          <w:bCs/>
          <w:sz w:val="22"/>
          <w:szCs w:val="22"/>
          <w:lang w:val="es-MX"/>
        </w:rPr>
        <w:t>«</w:t>
      </w:r>
      <w:r w:rsidRPr="009311DA">
        <w:rPr>
          <w:rFonts w:ascii="Arial" w:hAnsi="Arial" w:cs="Arial"/>
          <w:bCs/>
          <w:sz w:val="22"/>
          <w:szCs w:val="22"/>
          <w:lang w:val="es-MX" w:eastAsia="x-none"/>
        </w:rPr>
        <w:t>queda prohibida la contratación directa</w:t>
      </w:r>
      <w:r w:rsidRPr="009311DA">
        <w:rPr>
          <w:rFonts w:ascii="Arial" w:eastAsia="Calibri" w:hAnsi="Arial" w:cs="Arial"/>
          <w:sz w:val="22"/>
          <w:szCs w:val="22"/>
          <w:lang w:val="es-MX"/>
        </w:rPr>
        <w:t>»</w:t>
      </w:r>
      <w:r w:rsidRPr="009311DA">
        <w:rPr>
          <w:rFonts w:ascii="Arial" w:hAnsi="Arial" w:cs="Arial"/>
          <w:bCs/>
          <w:sz w:val="22"/>
          <w:szCs w:val="22"/>
          <w:lang w:val="es-MX" w:eastAsia="x-none"/>
        </w:rPr>
        <w:t>.</w:t>
      </w:r>
      <w:r w:rsidRPr="009311DA">
        <w:rPr>
          <w:rFonts w:ascii="Arial" w:hAnsi="Arial" w:cs="Arial"/>
          <w:sz w:val="22"/>
          <w:szCs w:val="22"/>
          <w:lang w:val="es-MX" w:eastAsia="es-CO"/>
        </w:rPr>
        <w:t xml:space="preserve"> A propósito de </w:t>
      </w:r>
      <w:r w:rsidRPr="009311DA">
        <w:rPr>
          <w:rFonts w:ascii="Arial" w:hAnsi="Arial" w:cs="Arial"/>
          <w:sz w:val="22"/>
          <w:szCs w:val="22"/>
          <w:lang w:eastAsia="es-CO"/>
        </w:rPr>
        <w:t>esta restricción de la Ley de Garantías Electorales, la Sala de Consulta y Servicio Civil del Consejo de Estado ha considerado que:</w:t>
      </w:r>
    </w:p>
    <w:p w14:paraId="11AF2392" w14:textId="77777777" w:rsidR="009311DA" w:rsidRPr="009311DA" w:rsidRDefault="009311DA" w:rsidP="009311DA">
      <w:pPr>
        <w:spacing w:line="276" w:lineRule="auto"/>
        <w:ind w:left="708" w:right="709"/>
        <w:contextualSpacing/>
        <w:jc w:val="both"/>
        <w:rPr>
          <w:rFonts w:ascii="Arial" w:eastAsia="Calibri" w:hAnsi="Arial" w:cs="Arial"/>
          <w:sz w:val="22"/>
          <w:szCs w:val="22"/>
          <w:lang w:val="es-MX"/>
        </w:rPr>
      </w:pPr>
    </w:p>
    <w:p w14:paraId="06F458A2" w14:textId="77777777" w:rsidR="009311DA" w:rsidRPr="006C314F" w:rsidRDefault="009311DA" w:rsidP="009311DA">
      <w:pPr>
        <w:ind w:left="709" w:right="709"/>
        <w:contextualSpacing/>
        <w:jc w:val="both"/>
        <w:rPr>
          <w:rFonts w:ascii="Arial" w:eastAsia="Calibri" w:hAnsi="Arial" w:cs="Arial"/>
          <w:sz w:val="21"/>
          <w:szCs w:val="21"/>
          <w:lang w:val="es-MX"/>
        </w:rPr>
      </w:pPr>
      <w:r w:rsidRPr="006C314F">
        <w:rPr>
          <w:rFonts w:ascii="Arial" w:eastAsia="Calibri" w:hAnsi="Arial" w:cs="Arial"/>
          <w:sz w:val="21"/>
          <w:szCs w:val="21"/>
          <w:lang w:val="es-MX"/>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6C314F">
        <w:rPr>
          <w:rFonts w:ascii="Arial" w:hAnsi="Arial" w:cs="Arial"/>
          <w:vertAlign w:val="superscript"/>
          <w:lang w:eastAsia="es-CO"/>
        </w:rPr>
        <w:footnoteReference w:id="11"/>
      </w:r>
      <w:r w:rsidRPr="006C314F">
        <w:rPr>
          <w:rFonts w:ascii="Arial" w:eastAsia="Calibri" w:hAnsi="Arial" w:cs="Arial"/>
          <w:sz w:val="21"/>
          <w:szCs w:val="21"/>
          <w:lang w:val="es-MX"/>
        </w:rPr>
        <w:t>.</w:t>
      </w:r>
    </w:p>
    <w:p w14:paraId="66F8E1FE" w14:textId="77777777" w:rsidR="009311DA" w:rsidRPr="006C314F" w:rsidRDefault="009311DA" w:rsidP="009311DA">
      <w:pPr>
        <w:ind w:left="709" w:right="709"/>
        <w:contextualSpacing/>
        <w:jc w:val="both"/>
        <w:rPr>
          <w:rFonts w:ascii="Arial" w:eastAsia="Calibri" w:hAnsi="Arial" w:cs="Arial"/>
          <w:sz w:val="21"/>
          <w:szCs w:val="21"/>
          <w:lang w:val="es-MX"/>
        </w:rPr>
      </w:pPr>
    </w:p>
    <w:p w14:paraId="7502AE61" w14:textId="77777777" w:rsidR="009311DA" w:rsidRPr="006C314F" w:rsidRDefault="009311DA" w:rsidP="009311DA">
      <w:pPr>
        <w:ind w:left="708" w:right="709"/>
        <w:contextualSpacing/>
        <w:jc w:val="both"/>
        <w:rPr>
          <w:rFonts w:ascii="Arial" w:eastAsia="Calibri" w:hAnsi="Arial" w:cs="Arial"/>
          <w:sz w:val="21"/>
          <w:szCs w:val="21"/>
          <w:lang w:val="es-MX"/>
        </w:rPr>
      </w:pPr>
      <w:r w:rsidRPr="006C314F">
        <w:rPr>
          <w:rFonts w:ascii="Arial" w:eastAsia="Calibri" w:hAnsi="Arial" w:cs="Arial"/>
          <w:sz w:val="21"/>
          <w:szCs w:val="21"/>
          <w:lang w:val="es-MX"/>
        </w:rPr>
        <w:t xml:space="preserve">Esta Sala ha entendido </w:t>
      </w:r>
      <w:proofErr w:type="gramStart"/>
      <w:r w:rsidRPr="006C314F">
        <w:rPr>
          <w:rFonts w:ascii="Arial" w:eastAsia="Calibri" w:hAnsi="Arial" w:cs="Arial"/>
          <w:sz w:val="21"/>
          <w:szCs w:val="21"/>
          <w:lang w:val="es-MX"/>
        </w:rPr>
        <w:t>que</w:t>
      </w:r>
      <w:proofErr w:type="gramEnd"/>
      <w:r w:rsidRPr="006C314F">
        <w:rPr>
          <w:rFonts w:ascii="Arial" w:eastAsia="Calibri" w:hAnsi="Arial" w:cs="Arial"/>
          <w:sz w:val="21"/>
          <w:szCs w:val="21"/>
          <w:lang w:val="es-MX"/>
        </w:rPr>
        <w:t xml:space="preserve"> para los efectos de la ley de garantías, y dada su finalidad, el enunciado ´contratación directa´ es sinónimo </w:t>
      </w:r>
      <w:bookmarkStart w:id="17" w:name="_Hlk75741738"/>
      <w:r w:rsidRPr="006C314F">
        <w:rPr>
          <w:rFonts w:ascii="Arial" w:eastAsia="Calibri" w:hAnsi="Arial" w:cs="Arial"/>
          <w:sz w:val="21"/>
          <w:szCs w:val="21"/>
          <w:lang w:val="es-MX"/>
        </w:rPr>
        <w:t xml:space="preserve">de cualquier sistema que no implique convocatoria pública y posibilidad de pluralidad de oferentes, </w:t>
      </w:r>
      <w:bookmarkEnd w:id="17"/>
      <w:r w:rsidRPr="006C314F">
        <w:rPr>
          <w:rFonts w:ascii="Arial" w:eastAsia="Calibri" w:hAnsi="Arial" w:cs="Arial"/>
          <w:sz w:val="21"/>
          <w:szCs w:val="21"/>
          <w:lang w:val="es-MX"/>
        </w:rPr>
        <w:t>y que, además, no necesariamente hace referencia al procedimiento especial regulado por la ley de contratación estatal, sino a cualquier otro que prescinda de un proceso de licitación pública o concurso</w:t>
      </w:r>
      <w:r w:rsidRPr="006C314F">
        <w:rPr>
          <w:rFonts w:ascii="Arial" w:hAnsi="Arial" w:cs="Arial"/>
          <w:sz w:val="21"/>
          <w:szCs w:val="21"/>
          <w:vertAlign w:val="superscript"/>
          <w:lang w:val="es-MX"/>
        </w:rPr>
        <w:footnoteReference w:id="12"/>
      </w:r>
      <w:r w:rsidRPr="006C314F">
        <w:rPr>
          <w:rFonts w:ascii="Arial" w:hAnsi="Arial" w:cs="Arial"/>
          <w:sz w:val="21"/>
          <w:szCs w:val="21"/>
          <w:vertAlign w:val="superscript"/>
          <w:lang w:val="es-MX"/>
        </w:rPr>
        <w:t>.</w:t>
      </w:r>
      <w:r w:rsidRPr="006C314F">
        <w:rPr>
          <w:rFonts w:ascii="Arial" w:eastAsia="Calibri" w:hAnsi="Arial" w:cs="Arial"/>
          <w:sz w:val="21"/>
          <w:szCs w:val="21"/>
          <w:lang w:val="es-MX"/>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6C314F">
        <w:rPr>
          <w:rFonts w:ascii="Arial" w:hAnsi="Arial" w:cs="Arial"/>
          <w:vertAlign w:val="superscript"/>
          <w:lang w:eastAsia="es-CO"/>
        </w:rPr>
        <w:footnoteReference w:id="13"/>
      </w:r>
      <w:r w:rsidRPr="006C314F">
        <w:rPr>
          <w:rFonts w:ascii="Arial" w:eastAsia="Calibri" w:hAnsi="Arial" w:cs="Arial"/>
          <w:sz w:val="21"/>
          <w:szCs w:val="21"/>
          <w:lang w:val="es-MX"/>
        </w:rPr>
        <w:t xml:space="preserve"> .</w:t>
      </w:r>
    </w:p>
    <w:p w14:paraId="02E8A8AB" w14:textId="77777777" w:rsidR="009311DA" w:rsidRPr="009311DA" w:rsidRDefault="009311DA" w:rsidP="009311DA">
      <w:pPr>
        <w:shd w:val="clear" w:color="auto" w:fill="FFFFFF"/>
        <w:spacing w:line="276" w:lineRule="auto"/>
        <w:ind w:firstLine="709"/>
        <w:contextualSpacing/>
        <w:jc w:val="both"/>
        <w:rPr>
          <w:rFonts w:ascii="Arial" w:hAnsi="Arial" w:cs="Arial"/>
          <w:sz w:val="22"/>
          <w:szCs w:val="22"/>
          <w:lang w:eastAsia="x-none"/>
        </w:rPr>
      </w:pPr>
    </w:p>
    <w:p w14:paraId="65F7E9DE" w14:textId="3B57B543" w:rsidR="004D3F10" w:rsidRPr="009311DA" w:rsidRDefault="004D3F10" w:rsidP="009311DA">
      <w:pPr>
        <w:spacing w:after="120" w:line="276" w:lineRule="auto"/>
        <w:ind w:firstLine="709"/>
        <w:jc w:val="both"/>
        <w:rPr>
          <w:rFonts w:ascii="Arial" w:hAnsi="Arial" w:cs="Arial"/>
          <w:bCs/>
          <w:sz w:val="22"/>
          <w:szCs w:val="22"/>
          <w:lang w:eastAsia="x-none"/>
        </w:rPr>
      </w:pPr>
      <w:bookmarkStart w:id="19" w:name="_Hlk94521748"/>
      <w:r w:rsidRPr="00097A6E">
        <w:rPr>
          <w:rFonts w:ascii="Arial" w:hAnsi="Arial" w:cs="Arial"/>
          <w:sz w:val="22"/>
          <w:szCs w:val="22"/>
          <w:lang w:val="es-ES_tradnl" w:eastAsia="x-none"/>
        </w:rPr>
        <w:t xml:space="preserve">De acuerdo con el citado concepto, la prohibición del artículo 33 de la Ley de Garantías Electorales se refiere a </w:t>
      </w:r>
      <w:r w:rsidRPr="00097A6E">
        <w:rPr>
          <w:rFonts w:ascii="Arial" w:hAnsi="Arial" w:cs="Arial"/>
          <w:sz w:val="19"/>
          <w:szCs w:val="19"/>
          <w:lang w:val="es-ES_tradnl" w:eastAsia="en-GB"/>
        </w:rPr>
        <w:t>«</w:t>
      </w:r>
      <w:r w:rsidRPr="00097A6E">
        <w:rPr>
          <w:rFonts w:ascii="Arial" w:hAnsi="Arial" w:cs="Arial"/>
          <w:sz w:val="22"/>
          <w:szCs w:val="22"/>
          <w:lang w:val="es-ES_tradnl" w:eastAsia="x-none"/>
        </w:rPr>
        <w:t>cualquier sistema que no implique convocatoria pública y posibilidad de pluralidad de oferentes</w:t>
      </w:r>
      <w:r w:rsidRPr="00097A6E">
        <w:rPr>
          <w:rFonts w:ascii="Arial" w:hAnsi="Arial" w:cs="Arial"/>
          <w:sz w:val="22"/>
          <w:szCs w:val="22"/>
          <w:lang w:val="es-ES_tradnl" w:eastAsia="en-GB"/>
        </w:rPr>
        <w:t>»</w:t>
      </w:r>
      <w:r w:rsidRPr="00097A6E">
        <w:rPr>
          <w:rFonts w:ascii="Arial" w:hAnsi="Arial" w:cs="Arial"/>
          <w:sz w:val="22"/>
          <w:szCs w:val="22"/>
          <w:lang w:val="es-ES_tradnl" w:eastAsia="x-none"/>
        </w:rPr>
        <w:t>, por lo que excluye las demás modalidades de contratación previstas en la Ley 1150 de 2007, es decir, la licitación pública, la selección abreviada</w:t>
      </w:r>
      <w:r>
        <w:rPr>
          <w:rFonts w:ascii="Arial" w:hAnsi="Arial" w:cs="Arial"/>
          <w:sz w:val="22"/>
          <w:szCs w:val="22"/>
          <w:lang w:val="es-ES_tradnl" w:eastAsia="x-none"/>
        </w:rPr>
        <w:t>,</w:t>
      </w:r>
      <w:r w:rsidRPr="00097A6E">
        <w:rPr>
          <w:rFonts w:ascii="Arial" w:hAnsi="Arial" w:cs="Arial"/>
          <w:sz w:val="22"/>
          <w:szCs w:val="22"/>
          <w:lang w:val="es-ES_tradnl" w:eastAsia="x-none"/>
        </w:rPr>
        <w:t xml:space="preserve"> el concurso de méritos </w:t>
      </w:r>
      <w:r>
        <w:rPr>
          <w:rFonts w:ascii="Arial" w:hAnsi="Arial" w:cs="Arial"/>
          <w:sz w:val="22"/>
          <w:szCs w:val="22"/>
          <w:lang w:val="es-ES_tradnl" w:eastAsia="x-none"/>
        </w:rPr>
        <w:t xml:space="preserve">y la mínima cuantía </w:t>
      </w:r>
      <w:r w:rsidRPr="00097A6E">
        <w:rPr>
          <w:rFonts w:ascii="Arial" w:hAnsi="Arial" w:cs="Arial"/>
          <w:sz w:val="22"/>
          <w:szCs w:val="22"/>
          <w:lang w:val="es-ES_tradnl" w:eastAsia="x-none"/>
        </w:rPr>
        <w:t>u otros previstos en normas especiales</w:t>
      </w:r>
      <w:r>
        <w:rPr>
          <w:rFonts w:ascii="Arial" w:hAnsi="Arial" w:cs="Arial"/>
          <w:sz w:val="22"/>
          <w:szCs w:val="22"/>
          <w:lang w:val="es-ES_tradnl" w:eastAsia="x-none"/>
        </w:rPr>
        <w:t>, que contemplen en alguna de sus etapas la posible participación de pluralidad de oferentes</w:t>
      </w:r>
      <w:r w:rsidRPr="00097A6E">
        <w:rPr>
          <w:rFonts w:ascii="Arial" w:hAnsi="Arial" w:cs="Arial"/>
          <w:sz w:val="22"/>
          <w:szCs w:val="22"/>
          <w:lang w:val="es-ES_tradnl" w:eastAsia="x-none"/>
        </w:rPr>
        <w:t xml:space="preserve">. Esta posición es congruente con la expedición de la Ley 1150 de 2007 que, </w:t>
      </w:r>
      <w:r w:rsidRPr="00097A6E">
        <w:rPr>
          <w:rFonts w:ascii="Arial" w:hAnsi="Arial" w:cs="Arial"/>
          <w:sz w:val="22"/>
          <w:szCs w:val="22"/>
          <w:lang w:val="es-ES_tradnl" w:eastAsia="x-none"/>
        </w:rPr>
        <w:lastRenderedPageBreak/>
        <w:t>entre otras reformas, introdujo la selección abreviada, rediseñó el concurso de méritos</w:t>
      </w:r>
      <w:r w:rsidRPr="00097A6E">
        <w:rPr>
          <w:rFonts w:ascii="Arial" w:hAnsi="Arial" w:cs="Arial"/>
          <w:sz w:val="22"/>
          <w:szCs w:val="22"/>
          <w:vertAlign w:val="superscript"/>
          <w:lang w:val="es-ES_tradnl" w:eastAsia="x-none"/>
        </w:rPr>
        <w:footnoteReference w:id="14"/>
      </w:r>
      <w:r w:rsidRPr="00097A6E">
        <w:rPr>
          <w:rFonts w:ascii="Arial" w:hAnsi="Arial" w:cs="Arial"/>
          <w:sz w:val="22"/>
          <w:szCs w:val="22"/>
          <w:lang w:val="es-ES_tradnl" w:eastAsia="x-none"/>
        </w:rPr>
        <w:t xml:space="preserve"> y sistematizó las causales de contratación directa</w:t>
      </w:r>
      <w:r w:rsidRPr="00097A6E">
        <w:rPr>
          <w:rFonts w:ascii="Arial" w:hAnsi="Arial" w:cs="Arial"/>
          <w:sz w:val="22"/>
          <w:szCs w:val="22"/>
          <w:vertAlign w:val="superscript"/>
          <w:lang w:val="es-ES_tradnl" w:eastAsia="x-none"/>
        </w:rPr>
        <w:footnoteReference w:id="15"/>
      </w:r>
      <w:r>
        <w:rPr>
          <w:rFonts w:ascii="Arial" w:hAnsi="Arial" w:cs="Arial"/>
          <w:sz w:val="22"/>
          <w:szCs w:val="22"/>
          <w:lang w:val="es-ES_tradnl" w:eastAsia="x-none"/>
        </w:rPr>
        <w:t xml:space="preserve">, </w:t>
      </w:r>
      <w:r w:rsidRPr="006078F3">
        <w:rPr>
          <w:rFonts w:ascii="Arial" w:eastAsiaTheme="minorHAnsi" w:hAnsi="Arial" w:cs="Arial"/>
          <w:color w:val="000000" w:themeColor="text1"/>
          <w:sz w:val="22"/>
          <w:lang w:eastAsia="x-none"/>
        </w:rPr>
        <w:t>además lo es con la posterior creación de la modalidad de mínima cuantía establecida actualmente en el numeral 5 del artículo 2 de la Ley 1150 de 2007, de acuerdo con las modificaciones realizadas por leyes posteriores.</w:t>
      </w:r>
      <w:bookmarkEnd w:id="19"/>
    </w:p>
    <w:p w14:paraId="0A9D6AB6" w14:textId="77777777" w:rsidR="009311DA" w:rsidRPr="009311DA" w:rsidRDefault="009311DA" w:rsidP="009311DA">
      <w:pPr>
        <w:spacing w:after="120" w:line="276" w:lineRule="auto"/>
        <w:ind w:firstLine="709"/>
        <w:jc w:val="both"/>
        <w:rPr>
          <w:rFonts w:ascii="Arial" w:hAnsi="Arial" w:cs="Arial"/>
          <w:sz w:val="22"/>
          <w:szCs w:val="22"/>
          <w:lang w:val="es-MX" w:eastAsia="x-none"/>
        </w:rPr>
      </w:pPr>
      <w:r w:rsidRPr="009311DA">
        <w:rPr>
          <w:rFonts w:ascii="Arial" w:hAnsi="Arial" w:cs="Arial"/>
          <w:sz w:val="22"/>
          <w:szCs w:val="22"/>
          <w:lang w:eastAsia="x-none"/>
        </w:rPr>
        <w:t xml:space="preserve">De esta forma, se ha depurado la noción de </w:t>
      </w:r>
      <w:r w:rsidRPr="009311DA">
        <w:rPr>
          <w:rFonts w:ascii="Arial" w:hAnsi="Arial" w:cs="Arial"/>
          <w:sz w:val="22"/>
          <w:szCs w:val="22"/>
          <w:lang w:eastAsia="en-GB"/>
        </w:rPr>
        <w:t>«</w:t>
      </w:r>
      <w:r w:rsidRPr="009311DA">
        <w:rPr>
          <w:rFonts w:ascii="Arial" w:hAnsi="Arial" w:cs="Arial"/>
          <w:sz w:val="22"/>
          <w:szCs w:val="22"/>
          <w:lang w:eastAsia="x-none"/>
        </w:rPr>
        <w:t>contratación directa</w:t>
      </w:r>
      <w:r w:rsidRPr="009311DA">
        <w:rPr>
          <w:rFonts w:ascii="Arial" w:hAnsi="Arial" w:cs="Arial"/>
          <w:sz w:val="22"/>
          <w:szCs w:val="22"/>
          <w:lang w:eastAsia="en-GB"/>
        </w:rPr>
        <w:t>»</w:t>
      </w:r>
      <w:r w:rsidRPr="009311DA">
        <w:rPr>
          <w:rFonts w:ascii="Arial" w:hAnsi="Arial" w:cs="Arial"/>
          <w:sz w:val="22"/>
          <w:szCs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9311DA">
        <w:rPr>
          <w:rFonts w:ascii="Arial" w:hAnsi="Arial" w:cs="Arial"/>
          <w:sz w:val="22"/>
          <w:szCs w:val="22"/>
          <w:vertAlign w:val="superscript"/>
          <w:lang w:val="en-GB" w:eastAsia="x-none"/>
        </w:rPr>
        <w:footnoteReference w:id="16"/>
      </w:r>
      <w:r w:rsidRPr="009311DA">
        <w:rPr>
          <w:rFonts w:ascii="Arial" w:hAnsi="Arial" w:cs="Arial"/>
          <w:sz w:val="22"/>
          <w:szCs w:val="22"/>
          <w:lang w:eastAsia="x-none"/>
        </w:rPr>
        <w:t>, han establecido sistemas de contratación que implican convocatoria pública y participación de varios oferentes</w:t>
      </w:r>
      <w:r w:rsidRPr="009311DA">
        <w:rPr>
          <w:rFonts w:ascii="Arial" w:hAnsi="Arial" w:cs="Arial"/>
          <w:sz w:val="22"/>
          <w:szCs w:val="22"/>
          <w:lang w:eastAsia="en-GB"/>
        </w:rPr>
        <w:t>»</w:t>
      </w:r>
      <w:r w:rsidRPr="009311DA">
        <w:rPr>
          <w:rFonts w:ascii="Arial" w:hAnsi="Arial" w:cs="Arial"/>
          <w:sz w:val="22"/>
          <w:szCs w:val="22"/>
          <w:lang w:eastAsia="x-none"/>
        </w:rPr>
        <w:t xml:space="preserve">. </w:t>
      </w:r>
    </w:p>
    <w:p w14:paraId="5413840F" w14:textId="77777777" w:rsidR="009311DA" w:rsidRPr="009311DA" w:rsidRDefault="009311DA" w:rsidP="009311DA">
      <w:pPr>
        <w:spacing w:after="120" w:line="276" w:lineRule="auto"/>
        <w:ind w:firstLine="709"/>
        <w:jc w:val="both"/>
        <w:rPr>
          <w:rFonts w:ascii="Arial" w:hAnsi="Arial" w:cs="Arial"/>
          <w:bCs/>
          <w:sz w:val="22"/>
          <w:szCs w:val="22"/>
          <w:lang w:val="es-MX" w:eastAsia="es-CO"/>
        </w:rPr>
      </w:pPr>
      <w:r w:rsidRPr="009311DA">
        <w:rPr>
          <w:rFonts w:ascii="Arial" w:hAnsi="Arial" w:cs="Arial"/>
          <w:bCs/>
          <w:sz w:val="22"/>
          <w:szCs w:val="22"/>
          <w:lang w:val="es-MX" w:eastAsia="x-none"/>
        </w:rPr>
        <w:t>E</w:t>
      </w:r>
      <w:r w:rsidRPr="009311DA">
        <w:rPr>
          <w:rFonts w:ascii="Arial" w:hAnsi="Arial" w:cs="Arial"/>
          <w:sz w:val="22"/>
          <w:szCs w:val="22"/>
          <w:lang w:eastAsia="x-none"/>
        </w:rPr>
        <w:t xml:space="preserve">n efecto, vale la pena mencionar que, </w:t>
      </w:r>
      <w:bookmarkStart w:id="21" w:name="_Hlk75636073"/>
      <w:r w:rsidRPr="009311DA">
        <w:rPr>
          <w:rFonts w:ascii="Arial" w:hAnsi="Arial" w:cs="Arial"/>
          <w:sz w:val="22"/>
          <w:szCs w:val="22"/>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21"/>
      <w:r w:rsidRPr="009311DA">
        <w:rPr>
          <w:rFonts w:ascii="Arial" w:hAnsi="Arial" w:cs="Arial"/>
          <w:sz w:val="22"/>
          <w:szCs w:val="22"/>
          <w:vertAlign w:val="superscript"/>
          <w:lang w:eastAsia="x-none"/>
        </w:rPr>
        <w:footnoteReference w:id="17"/>
      </w:r>
      <w:r w:rsidRPr="009311DA">
        <w:rPr>
          <w:rFonts w:ascii="Arial" w:hAnsi="Arial" w:cs="Arial"/>
          <w:sz w:val="22"/>
          <w:szCs w:val="22"/>
          <w:lang w:eastAsia="x-none"/>
        </w:rPr>
        <w:t xml:space="preserve">. </w:t>
      </w:r>
    </w:p>
    <w:p w14:paraId="0BBE1948" w14:textId="77777777" w:rsidR="009311DA" w:rsidRPr="009311DA" w:rsidRDefault="009311DA" w:rsidP="009311DA">
      <w:pPr>
        <w:spacing w:after="120" w:line="276" w:lineRule="auto"/>
        <w:ind w:firstLine="709"/>
        <w:jc w:val="both"/>
        <w:rPr>
          <w:rFonts w:ascii="Arial" w:hAnsi="Arial" w:cs="Arial"/>
          <w:bCs/>
          <w:sz w:val="22"/>
          <w:szCs w:val="22"/>
          <w:lang w:val="es-MX" w:eastAsia="es-CO"/>
        </w:rPr>
      </w:pPr>
      <w:r w:rsidRPr="009311DA">
        <w:rPr>
          <w:rFonts w:ascii="Arial" w:hAnsi="Arial" w:cs="Arial"/>
          <w:bCs/>
          <w:sz w:val="22"/>
          <w:szCs w:val="22"/>
          <w:lang w:val="es-MX" w:eastAsia="es-CO"/>
        </w:rPr>
        <w:t>Como se advierte de lo anterior, el Consejo de Estado realiza una interpretación amplia de la contratación directa, para efectos de aplicar las restricciones establecidas en la Ley de Garantías Electorales,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16DC8CDE" w14:textId="50627FF1" w:rsidR="009311DA" w:rsidRPr="009311DA" w:rsidRDefault="009311DA" w:rsidP="009311DA">
      <w:pPr>
        <w:spacing w:after="120" w:line="276" w:lineRule="auto"/>
        <w:ind w:firstLine="709"/>
        <w:jc w:val="both"/>
        <w:rPr>
          <w:rFonts w:ascii="Arial" w:hAnsi="Arial" w:cs="Arial"/>
          <w:bCs/>
          <w:sz w:val="22"/>
          <w:szCs w:val="22"/>
          <w:lang w:val="es-MX" w:eastAsia="x-none"/>
        </w:rPr>
      </w:pPr>
      <w:bookmarkStart w:id="22" w:name="_Hlk78818796"/>
      <w:r w:rsidRPr="009311DA">
        <w:rPr>
          <w:rFonts w:ascii="Arial" w:hAnsi="Arial" w:cs="Arial"/>
          <w:bCs/>
          <w:sz w:val="22"/>
          <w:szCs w:val="22"/>
          <w:lang w:val="es-MX" w:eastAsia="x-none"/>
        </w:rPr>
        <w:t xml:space="preserve"> Así las cosas, </w:t>
      </w:r>
      <w:bookmarkStart w:id="23" w:name="_Hlk99577798"/>
      <w:r w:rsidRPr="009311DA">
        <w:rPr>
          <w:rFonts w:ascii="Arial" w:hAnsi="Arial" w:cs="Arial"/>
          <w:bCs/>
          <w:sz w:val="22"/>
          <w:szCs w:val="22"/>
          <w:lang w:val="es-MX" w:eastAsia="x-none"/>
        </w:rPr>
        <w:t xml:space="preserve">ha de entenderse que, para los efectos de la Ley de Garantías Electorales y, en particular, para la restricción temporal contenida en su artículo 33, «contratación directa» es cualquier sistema de selección o procedimiento de contratación </w:t>
      </w:r>
      <w:r w:rsidRPr="009311DA">
        <w:rPr>
          <w:rFonts w:ascii="Arial" w:hAnsi="Arial" w:cs="Arial"/>
          <w:bCs/>
          <w:sz w:val="22"/>
          <w:szCs w:val="22"/>
          <w:lang w:val="es-MX" w:eastAsia="x-none"/>
        </w:rPr>
        <w:lastRenderedPageBreak/>
        <w:t>utilizado por las entidades estatales que no incluya la convocatoria pública en alguna de sus etapas, ni permita la participación de una pluralidad de oferentes</w:t>
      </w:r>
      <w:r w:rsidRPr="009311DA">
        <w:rPr>
          <w:rFonts w:ascii="Arial" w:hAnsi="Arial" w:cs="Arial"/>
          <w:sz w:val="22"/>
          <w:szCs w:val="22"/>
          <w:vertAlign w:val="superscript"/>
          <w:lang w:eastAsia="x-none"/>
        </w:rPr>
        <w:footnoteReference w:id="18"/>
      </w:r>
      <w:r w:rsidRPr="009311DA">
        <w:rPr>
          <w:rFonts w:ascii="Arial" w:hAnsi="Arial" w:cs="Arial"/>
          <w:bCs/>
          <w:sz w:val="22"/>
          <w:szCs w:val="22"/>
          <w:lang w:val="es-MX" w:eastAsia="x-none"/>
        </w:rPr>
        <w:t>.</w:t>
      </w:r>
      <w:r w:rsidRPr="009311DA">
        <w:rPr>
          <w:rFonts w:ascii="Arial" w:hAnsi="Arial" w:cs="Arial"/>
          <w:sz w:val="22"/>
          <w:szCs w:val="22"/>
          <w:vertAlign w:val="superscript"/>
          <w:lang w:eastAsia="x-none"/>
        </w:rPr>
        <w:t xml:space="preserve"> </w:t>
      </w:r>
    </w:p>
    <w:bookmarkEnd w:id="22"/>
    <w:p w14:paraId="2614CC7C" w14:textId="2ED1A93A" w:rsidR="009311DA" w:rsidRPr="009311DA" w:rsidRDefault="009311DA" w:rsidP="009311DA">
      <w:pPr>
        <w:spacing w:after="120" w:line="276" w:lineRule="auto"/>
        <w:ind w:firstLine="709"/>
        <w:jc w:val="both"/>
        <w:rPr>
          <w:rFonts w:ascii="Arial" w:hAnsi="Arial" w:cs="Arial"/>
          <w:sz w:val="22"/>
          <w:szCs w:val="22"/>
          <w:lang w:eastAsia="x-none"/>
        </w:rPr>
      </w:pPr>
      <w:r w:rsidRPr="009311DA">
        <w:rPr>
          <w:rFonts w:ascii="Arial" w:hAnsi="Arial" w:cs="Arial"/>
          <w:bCs/>
          <w:sz w:val="22"/>
          <w:szCs w:val="22"/>
          <w:lang w:val="es-MX" w:eastAsia="x-none"/>
        </w:rPr>
        <w:t>De lo anterior se desprende que la restricción aplica, sin perjuicio de las excepciones establecidas en la misma ley, para celebrar cualquier contrato de forma directa, esto es, sin que exista un proceso abierto y competitivo.</w:t>
      </w:r>
      <w:r w:rsidRPr="009311DA">
        <w:rPr>
          <w:rFonts w:ascii="Arial" w:hAnsi="Arial" w:cs="Arial"/>
          <w:sz w:val="22"/>
          <w:szCs w:val="22"/>
          <w:lang w:eastAsia="x-none"/>
        </w:rPr>
        <w:t xml:space="preserve"> Por tanto, no son materia de la prohibición las demás modalidades de selección previstas en la Ley 1150 de 2007, es decir, la licitación pública, el concurso de méritos</w:t>
      </w:r>
      <w:r w:rsidR="004D3F10">
        <w:rPr>
          <w:rFonts w:ascii="Arial" w:hAnsi="Arial" w:cs="Arial"/>
          <w:sz w:val="22"/>
          <w:szCs w:val="22"/>
          <w:lang w:eastAsia="x-none"/>
        </w:rPr>
        <w:t>,</w:t>
      </w:r>
      <w:r w:rsidRPr="009311DA">
        <w:rPr>
          <w:rFonts w:ascii="Arial" w:hAnsi="Arial" w:cs="Arial"/>
          <w:sz w:val="22"/>
          <w:szCs w:val="22"/>
          <w:lang w:eastAsia="x-none"/>
        </w:rPr>
        <w:t xml:space="preserve"> la selección abreviada</w:t>
      </w:r>
      <w:r w:rsidR="004D3F10">
        <w:rPr>
          <w:rFonts w:ascii="Arial" w:hAnsi="Arial" w:cs="Arial"/>
          <w:sz w:val="22"/>
          <w:szCs w:val="22"/>
          <w:lang w:eastAsia="x-none"/>
        </w:rPr>
        <w:t xml:space="preserve"> y la mínima cuantía</w:t>
      </w:r>
      <w:r w:rsidRPr="009311DA">
        <w:rPr>
          <w:rFonts w:ascii="Arial" w:hAnsi="Arial" w:cs="Arial"/>
          <w:sz w:val="22"/>
          <w:szCs w:val="22"/>
          <w:lang w:eastAsia="x-none"/>
        </w:rPr>
        <w:t>, razón por la cual en ese período preelectoral de que trata la disposición las entidades públicas pueden seguir contratando bajo estos sistemas.</w:t>
      </w:r>
    </w:p>
    <w:p w14:paraId="06F56E7E" w14:textId="77777777" w:rsidR="009311DA" w:rsidRPr="009311DA" w:rsidRDefault="009311DA" w:rsidP="009311DA">
      <w:pPr>
        <w:spacing w:after="120" w:line="276" w:lineRule="auto"/>
        <w:ind w:firstLine="709"/>
        <w:jc w:val="both"/>
        <w:rPr>
          <w:rFonts w:ascii="Arial" w:hAnsi="Arial" w:cs="Arial"/>
          <w:bCs/>
          <w:sz w:val="22"/>
          <w:szCs w:val="22"/>
          <w:lang w:val="es-MX" w:eastAsia="x-none"/>
        </w:rPr>
      </w:pPr>
      <w:bookmarkStart w:id="24" w:name="_Hlk77237094"/>
      <w:bookmarkEnd w:id="23"/>
      <w:r w:rsidRPr="009311DA">
        <w:rPr>
          <w:rFonts w:ascii="Arial" w:hAnsi="Arial" w:cs="Arial"/>
          <w:bCs/>
          <w:sz w:val="22"/>
          <w:szCs w:val="22"/>
          <w:lang w:val="es-MX" w:eastAsia="es-CO"/>
        </w:rPr>
        <w:t xml:space="preserve">Como en otras oportunidades lo ha manifestado esta Agencia, las prórrogas, modificaciones o adiciones de los contratos suscritos antes de la </w:t>
      </w:r>
      <w:proofErr w:type="gramStart"/>
      <w:r w:rsidRPr="009311DA">
        <w:rPr>
          <w:rFonts w:ascii="Arial" w:hAnsi="Arial" w:cs="Arial"/>
          <w:bCs/>
          <w:sz w:val="22"/>
          <w:szCs w:val="22"/>
          <w:lang w:val="es-MX" w:eastAsia="es-CO"/>
        </w:rPr>
        <w:t>entrada en vigencia</w:t>
      </w:r>
      <w:proofErr w:type="gramEnd"/>
      <w:r w:rsidRPr="009311DA">
        <w:rPr>
          <w:rFonts w:ascii="Arial" w:hAnsi="Arial" w:cs="Arial"/>
          <w:bCs/>
          <w:sz w:val="22"/>
          <w:szCs w:val="22"/>
          <w:lang w:val="es-MX" w:eastAsia="es-CO"/>
        </w:rPr>
        <w:t xml:space="preserve">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24"/>
    </w:p>
    <w:p w14:paraId="109C8928" w14:textId="3C55E066" w:rsidR="009311DA" w:rsidRPr="009311DA" w:rsidRDefault="009311DA" w:rsidP="009311DA">
      <w:pPr>
        <w:spacing w:after="120" w:line="276" w:lineRule="auto"/>
        <w:ind w:firstLine="709"/>
        <w:jc w:val="both"/>
        <w:rPr>
          <w:rFonts w:ascii="Arial" w:hAnsi="Arial" w:cs="Arial"/>
          <w:bCs/>
          <w:sz w:val="22"/>
          <w:szCs w:val="22"/>
          <w:lang w:val="es-MX" w:eastAsia="es-CO"/>
        </w:rPr>
      </w:pPr>
      <w:r w:rsidRPr="009311DA">
        <w:rPr>
          <w:rFonts w:ascii="Arial" w:hAnsi="Arial" w:cs="Arial"/>
          <w:bCs/>
          <w:sz w:val="22"/>
          <w:szCs w:val="22"/>
          <w:lang w:val="es-MX" w:eastAsia="x-none"/>
        </w:rPr>
        <w:t xml:space="preserve">De otro lado, </w:t>
      </w:r>
      <w:bookmarkStart w:id="25" w:name="_Hlk99577887"/>
      <w:r w:rsidRPr="009311DA">
        <w:rPr>
          <w:rFonts w:ascii="Arial" w:hAnsi="Arial" w:cs="Arial"/>
          <w:bCs/>
          <w:sz w:val="22"/>
          <w:szCs w:val="22"/>
          <w:lang w:val="es-MX" w:eastAsia="x-none"/>
        </w:rPr>
        <w:t>las excepciones a la restricción prevista en la Ley de Garantías Electorales,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9311DA">
        <w:rPr>
          <w:rFonts w:ascii="Arial" w:hAnsi="Arial" w:cs="Arial"/>
          <w:bCs/>
          <w:sz w:val="22"/>
          <w:szCs w:val="22"/>
          <w:lang w:val="es-MX"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bookmarkEnd w:id="25"/>
    </w:p>
    <w:p w14:paraId="60466B8B" w14:textId="77777777" w:rsidR="009311DA" w:rsidRPr="009311DA" w:rsidRDefault="009311DA" w:rsidP="00801A5E">
      <w:pPr>
        <w:spacing w:after="120" w:line="276" w:lineRule="auto"/>
        <w:ind w:firstLine="709"/>
        <w:jc w:val="both"/>
        <w:rPr>
          <w:rFonts w:ascii="Arial" w:hAnsi="Arial" w:cs="Arial"/>
          <w:bCs/>
          <w:sz w:val="22"/>
          <w:szCs w:val="22"/>
          <w:lang w:val="es-MX" w:eastAsia="x-none"/>
        </w:rPr>
      </w:pPr>
      <w:r w:rsidRPr="009311DA">
        <w:rPr>
          <w:rFonts w:ascii="Arial" w:hAnsi="Arial" w:cs="Arial"/>
          <w:bCs/>
          <w:sz w:val="22"/>
          <w:szCs w:val="22"/>
          <w:lang w:val="es-MX" w:eastAsia="x-none"/>
        </w:rPr>
        <w:t>En esta labor es importante tener en cuenta, como lo anotó la Corte Constitucional, en Sentencia C-1153 de noviembre 11 de 2005</w:t>
      </w:r>
      <w:r w:rsidRPr="009311DA">
        <w:rPr>
          <w:rFonts w:ascii="Arial" w:eastAsia="Calibri" w:hAnsi="Arial" w:cs="Arial"/>
          <w:sz w:val="22"/>
          <w:szCs w:val="22"/>
          <w:lang w:val="es-MX"/>
        </w:rPr>
        <w:t>,</w:t>
      </w:r>
      <w:r w:rsidRPr="009311DA">
        <w:rPr>
          <w:rFonts w:ascii="Arial" w:hAnsi="Arial" w:cs="Arial"/>
          <w:bCs/>
          <w:sz w:val="22"/>
          <w:szCs w:val="22"/>
          <w:lang w:val="es-MX" w:eastAsia="x-none"/>
        </w:rPr>
        <w:t xml:space="preserve"> </w:t>
      </w:r>
      <w:bookmarkStart w:id="26" w:name="_Hlk74309042"/>
      <w:r w:rsidRPr="009311DA">
        <w:rPr>
          <w:rFonts w:ascii="Arial" w:hAnsi="Arial" w:cs="Arial"/>
          <w:bCs/>
          <w:sz w:val="22"/>
          <w:szCs w:val="22"/>
          <w:lang w:val="es-MX" w:eastAsia="x-none"/>
        </w:rPr>
        <w:t>que «</w:t>
      </w:r>
      <w:bookmarkEnd w:id="26"/>
      <w:r w:rsidRPr="009311DA">
        <w:rPr>
          <w:rFonts w:ascii="Arial" w:hAnsi="Arial" w:cs="Arial"/>
          <w:bCs/>
          <w:sz w:val="22"/>
          <w:szCs w:val="22"/>
          <w:lang w:val="es-MX" w:eastAsia="x-none"/>
        </w:rPr>
        <w:t xml:space="preserve">si bien la limitación garantiza la igualdad de condiciones, también es necesario que tal limitación que pretende la igualdad </w:t>
      </w:r>
      <w:bookmarkStart w:id="27" w:name="_Hlk75768308"/>
      <w:r w:rsidRPr="009311DA">
        <w:rPr>
          <w:rFonts w:ascii="Arial" w:hAnsi="Arial" w:cs="Arial"/>
          <w:bCs/>
          <w:sz w:val="22"/>
          <w:szCs w:val="22"/>
          <w:lang w:val="es-MX" w:eastAsia="x-none"/>
        </w:rPr>
        <w:t>no termine yendo en detrimento de intereses públicos, cuya garantía está en cabeza del ejecutivo, como son los inmersos en las excepciones para la prohibición de contratación</w:t>
      </w:r>
      <w:bookmarkStart w:id="28" w:name="_Hlk74309060"/>
      <w:r w:rsidRPr="009311DA">
        <w:rPr>
          <w:rFonts w:ascii="Arial" w:hAnsi="Arial" w:cs="Arial"/>
          <w:bCs/>
          <w:sz w:val="22"/>
          <w:szCs w:val="22"/>
          <w:lang w:val="es-MX" w:eastAsia="x-none"/>
        </w:rPr>
        <w:t>»</w:t>
      </w:r>
      <w:bookmarkEnd w:id="28"/>
      <w:r w:rsidRPr="009311DA">
        <w:rPr>
          <w:rFonts w:ascii="Arial" w:eastAsia="Calibri" w:hAnsi="Arial" w:cs="Arial"/>
          <w:sz w:val="22"/>
          <w:szCs w:val="22"/>
          <w:vertAlign w:val="superscript"/>
          <w:lang w:val="es-MX"/>
        </w:rPr>
        <w:footnoteReference w:id="19"/>
      </w:r>
      <w:r w:rsidRPr="009311DA">
        <w:rPr>
          <w:rFonts w:ascii="Arial" w:hAnsi="Arial" w:cs="Arial"/>
          <w:bCs/>
          <w:sz w:val="22"/>
          <w:szCs w:val="22"/>
          <w:lang w:val="es-MX" w:eastAsia="x-none"/>
        </w:rPr>
        <w:t xml:space="preserve">. </w:t>
      </w:r>
      <w:r w:rsidRPr="009311DA">
        <w:rPr>
          <w:rFonts w:ascii="Arial" w:hAnsi="Arial" w:cs="Arial"/>
          <w:bCs/>
          <w:sz w:val="22"/>
          <w:szCs w:val="22"/>
          <w:lang w:val="es-MX" w:eastAsia="x-none"/>
        </w:rPr>
        <w:lastRenderedPageBreak/>
        <w:t>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End w:id="27"/>
    </w:p>
    <w:p w14:paraId="212C824B" w14:textId="03C81215" w:rsidR="00C84F90" w:rsidRPr="00C84F90" w:rsidRDefault="004D3F10" w:rsidP="00C84F90">
      <w:pPr>
        <w:spacing w:line="276" w:lineRule="auto"/>
        <w:jc w:val="both"/>
        <w:rPr>
          <w:rFonts w:ascii="Arial" w:hAnsi="Arial" w:cs="Arial"/>
          <w:bCs/>
          <w:sz w:val="22"/>
          <w:szCs w:val="22"/>
          <w:lang w:val="es-MX" w:eastAsia="x-none"/>
        </w:rPr>
      </w:pPr>
      <w:r>
        <w:rPr>
          <w:rFonts w:ascii="Arial" w:hAnsi="Arial" w:cs="Arial"/>
          <w:bCs/>
          <w:sz w:val="22"/>
          <w:szCs w:val="22"/>
          <w:lang w:val="es-MX" w:eastAsia="x-none"/>
        </w:rPr>
        <w:tab/>
      </w:r>
      <w:r w:rsidR="00C84F90" w:rsidRPr="00C84F90">
        <w:rPr>
          <w:rFonts w:ascii="Arial" w:hAnsi="Arial" w:cs="Arial"/>
          <w:bCs/>
          <w:sz w:val="22"/>
          <w:szCs w:val="22"/>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00C84F90" w:rsidRPr="00C84F90">
        <w:rPr>
          <w:rFonts w:asciiTheme="minorHAnsi" w:eastAsiaTheme="minorHAnsi" w:hAnsiTheme="minorHAnsi" w:cstheme="minorBidi"/>
          <w:szCs w:val="22"/>
          <w:lang w:val="es-MX" w:eastAsia="en-US"/>
        </w:rPr>
        <w:t xml:space="preserve"> </w:t>
      </w:r>
      <w:r w:rsidR="00C84F90" w:rsidRPr="00C84F90">
        <w:rPr>
          <w:rFonts w:ascii="Arial" w:hAnsi="Arial" w:cs="Arial"/>
          <w:bCs/>
          <w:sz w:val="22"/>
          <w:szCs w:val="22"/>
          <w:lang w:val="es-MX" w:eastAsia="x-none"/>
        </w:rPr>
        <w:t>En efecto, como lo ha sostenido el Consejo de Estado, el vocablo «todos» utilizado por el legislador comprende</w:t>
      </w:r>
      <w:r w:rsidR="00C84F90" w:rsidRPr="00C84F90">
        <w:rPr>
          <w:rFonts w:asciiTheme="minorHAnsi" w:eastAsiaTheme="minorHAnsi" w:hAnsiTheme="minorHAnsi" w:cstheme="minorBidi"/>
          <w:szCs w:val="22"/>
          <w:lang w:val="es-MX" w:eastAsia="en-US"/>
        </w:rPr>
        <w:t xml:space="preserve"> </w:t>
      </w:r>
      <w:r w:rsidR="00C84F90" w:rsidRPr="00C84F90">
        <w:rPr>
          <w:rFonts w:ascii="Arial" w:hAnsi="Arial" w:cs="Arial"/>
          <w:bCs/>
          <w:sz w:val="22"/>
          <w:szCs w:val="22"/>
          <w:lang w:val="es-MX" w:eastAsia="x-none"/>
        </w:rPr>
        <w:t>a la totalidad de los entes del Estado, sin distinción del régimen jurídico, forma de organización o naturaleza, su pertenencia a una u otra rama del poder público o su autonomía</w:t>
      </w:r>
      <w:bookmarkEnd w:id="13"/>
      <w:r w:rsidR="00C84F90" w:rsidRPr="00C84F90">
        <w:rPr>
          <w:rFonts w:ascii="Arial" w:hAnsi="Arial" w:cs="Arial"/>
          <w:bCs/>
          <w:sz w:val="22"/>
          <w:szCs w:val="22"/>
          <w:lang w:val="es-MX" w:eastAsia="x-none"/>
        </w:rPr>
        <w:t xml:space="preserve">,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438F306B" w14:textId="77777777" w:rsidR="00C84F90" w:rsidRPr="00C84F90" w:rsidRDefault="00C84F90" w:rsidP="00C84F90">
      <w:pPr>
        <w:spacing w:line="276" w:lineRule="auto"/>
        <w:ind w:firstLine="708"/>
        <w:jc w:val="both"/>
        <w:rPr>
          <w:rFonts w:ascii="Arial" w:hAnsi="Arial" w:cs="Arial"/>
          <w:bCs/>
          <w:sz w:val="22"/>
          <w:szCs w:val="22"/>
          <w:lang w:val="es-MX" w:eastAsia="x-none"/>
        </w:rPr>
      </w:pPr>
    </w:p>
    <w:p w14:paraId="6741430C" w14:textId="77777777" w:rsidR="00C84F90" w:rsidRPr="00C84F90" w:rsidRDefault="00C84F90" w:rsidP="00C84F90">
      <w:pPr>
        <w:ind w:left="708" w:right="709"/>
        <w:jc w:val="both"/>
        <w:rPr>
          <w:rFonts w:ascii="Arial" w:hAnsi="Arial" w:cs="Arial"/>
          <w:bCs/>
          <w:sz w:val="21"/>
          <w:szCs w:val="21"/>
          <w:lang w:val="es-MX" w:eastAsia="es-CO"/>
        </w:rPr>
      </w:pPr>
      <w:r w:rsidRPr="00C84F90">
        <w:rPr>
          <w:rFonts w:ascii="Arial" w:hAnsi="Arial" w:cs="Arial"/>
          <w:bCs/>
          <w:sz w:val="21"/>
          <w:szCs w:val="21"/>
          <w:lang w:val="es-MX" w:eastAsia="x-none"/>
        </w:rPr>
        <w:t xml:space="preserve">El artículo 33 de la ley 996 de 2005, </w:t>
      </w:r>
      <w:bookmarkStart w:id="29" w:name="_Hlk75787147"/>
      <w:r w:rsidRPr="00C84F90">
        <w:rPr>
          <w:rFonts w:ascii="Arial" w:hAnsi="Arial" w:cs="Arial"/>
          <w:bCs/>
          <w:sz w:val="21"/>
          <w:szCs w:val="21"/>
          <w:lang w:val="es-MX" w:eastAsia="x-none"/>
        </w:rPr>
        <w:t>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C84F90">
        <w:rPr>
          <w:rFonts w:ascii="Arial" w:hAnsi="Arial" w:cs="Arial"/>
          <w:bCs/>
          <w:sz w:val="21"/>
          <w:szCs w:val="21"/>
          <w:vertAlign w:val="superscript"/>
          <w:lang w:val="es-MX" w:eastAsia="x-none"/>
        </w:rPr>
        <w:footnoteReference w:id="20"/>
      </w:r>
      <w:r w:rsidRPr="00C84F90">
        <w:rPr>
          <w:rFonts w:ascii="Arial" w:hAnsi="Arial" w:cs="Arial"/>
          <w:bCs/>
          <w:sz w:val="21"/>
          <w:szCs w:val="21"/>
          <w:lang w:val="es-MX" w:eastAsia="x-none"/>
        </w:rPr>
        <w:t>.</w:t>
      </w:r>
      <w:r w:rsidRPr="00C84F90">
        <w:rPr>
          <w:rFonts w:ascii="Arial" w:hAnsi="Arial" w:cs="Arial"/>
          <w:bCs/>
          <w:sz w:val="21"/>
          <w:szCs w:val="21"/>
          <w:lang w:val="es-MX" w:eastAsia="es-CO"/>
        </w:rPr>
        <w:t xml:space="preserve"> </w:t>
      </w:r>
    </w:p>
    <w:p w14:paraId="4DB61CD1" w14:textId="77777777" w:rsidR="00C84F90" w:rsidRPr="00C84F90" w:rsidRDefault="00C84F90" w:rsidP="00C84F90">
      <w:pPr>
        <w:spacing w:line="276" w:lineRule="auto"/>
        <w:ind w:firstLine="708"/>
        <w:jc w:val="both"/>
        <w:rPr>
          <w:rFonts w:ascii="Arial" w:hAnsi="Arial" w:cs="Arial"/>
          <w:bCs/>
          <w:sz w:val="22"/>
          <w:szCs w:val="22"/>
          <w:lang w:val="es-MX" w:eastAsia="es-CO"/>
        </w:rPr>
      </w:pPr>
    </w:p>
    <w:p w14:paraId="5AEAA17C" w14:textId="77777777" w:rsidR="004D3F10" w:rsidRPr="00097A6E" w:rsidRDefault="004D3F10" w:rsidP="004D3F10">
      <w:pPr>
        <w:spacing w:line="276" w:lineRule="auto"/>
        <w:ind w:firstLine="708"/>
        <w:jc w:val="both"/>
        <w:rPr>
          <w:rFonts w:ascii="Arial" w:eastAsiaTheme="minorHAnsi" w:hAnsi="Arial" w:cs="Arial"/>
          <w:sz w:val="22"/>
          <w:szCs w:val="22"/>
          <w:lang w:val="es-ES_tradnl" w:eastAsia="en-US"/>
        </w:rPr>
      </w:pPr>
      <w:r w:rsidRPr="00097A6E">
        <w:rPr>
          <w:rFonts w:ascii="Arial" w:hAnsi="Arial" w:cs="Arial"/>
          <w:bCs/>
          <w:sz w:val="22"/>
          <w:szCs w:val="22"/>
          <w:lang w:val="es-ES_tradnl" w:eastAsia="x-none"/>
        </w:rPr>
        <w:t>De igual forma, en Concepto 1738 de 6 de abril de 2006, también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r w:rsidRPr="00097A6E">
        <w:rPr>
          <w:rFonts w:ascii="Arial" w:eastAsiaTheme="minorHAnsi" w:hAnsi="Arial" w:cs="Arial"/>
          <w:szCs w:val="22"/>
          <w:vertAlign w:val="superscript"/>
          <w:lang w:val="es-ES_tradnl" w:eastAsia="en-US"/>
        </w:rPr>
        <w:footnoteReference w:id="21"/>
      </w:r>
      <w:r w:rsidRPr="00097A6E">
        <w:rPr>
          <w:rFonts w:ascii="Arial" w:hAnsi="Arial" w:cs="Arial"/>
          <w:bCs/>
          <w:sz w:val="22"/>
          <w:szCs w:val="22"/>
          <w:lang w:val="es-ES_tradnl" w:eastAsia="x-none"/>
        </w:rPr>
        <w:t>.</w:t>
      </w:r>
      <w:r w:rsidRPr="00097A6E">
        <w:rPr>
          <w:rFonts w:ascii="Arial" w:eastAsiaTheme="minorHAnsi" w:hAnsi="Arial" w:cs="Arial"/>
          <w:sz w:val="22"/>
          <w:szCs w:val="22"/>
          <w:lang w:val="es-ES_tradnl" w:eastAsia="en-US"/>
        </w:rPr>
        <w:t xml:space="preserve"> Sin embargo, debe precisarse el siguiente aspecto que distinguió la Sala de Consulta y Servicio Civil:</w:t>
      </w:r>
    </w:p>
    <w:p w14:paraId="65C68EC6" w14:textId="77777777" w:rsidR="00C84F90" w:rsidRPr="00C84F90" w:rsidRDefault="00C84F90" w:rsidP="00C84F90">
      <w:pPr>
        <w:spacing w:line="276" w:lineRule="auto"/>
        <w:jc w:val="both"/>
        <w:rPr>
          <w:rFonts w:ascii="Arial" w:eastAsiaTheme="minorHAnsi" w:hAnsi="Arial" w:cs="Arial"/>
          <w:sz w:val="22"/>
          <w:szCs w:val="22"/>
          <w:lang w:val="es-MX" w:eastAsia="en-US"/>
        </w:rPr>
      </w:pPr>
    </w:p>
    <w:p w14:paraId="0D603B2B" w14:textId="77777777" w:rsidR="00C84F90" w:rsidRPr="00C84F90" w:rsidRDefault="00C84F90" w:rsidP="00C84F90">
      <w:pPr>
        <w:ind w:left="708" w:right="709"/>
        <w:jc w:val="both"/>
        <w:rPr>
          <w:rFonts w:ascii="Arial" w:eastAsiaTheme="minorHAnsi" w:hAnsi="Arial" w:cs="Arial"/>
          <w:sz w:val="21"/>
          <w:szCs w:val="21"/>
          <w:lang w:val="es-MX" w:eastAsia="en-US"/>
        </w:rPr>
      </w:pPr>
      <w:bookmarkStart w:id="30" w:name="_Hlk75811446"/>
      <w:r w:rsidRPr="00C84F90">
        <w:rPr>
          <w:rFonts w:ascii="Arial" w:eastAsiaTheme="minorHAnsi" w:hAnsi="Arial" w:cs="Arial"/>
          <w:sz w:val="21"/>
          <w:szCs w:val="21"/>
          <w:lang w:val="es-MX" w:eastAsia="en-US"/>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30"/>
      <w:r w:rsidRPr="00C84F90">
        <w:rPr>
          <w:rFonts w:ascii="Arial" w:eastAsiaTheme="minorHAnsi" w:hAnsi="Arial" w:cs="Arial"/>
          <w:szCs w:val="22"/>
          <w:vertAlign w:val="superscript"/>
          <w:lang w:val="es-MX" w:eastAsia="en-US"/>
        </w:rPr>
        <w:footnoteReference w:id="22"/>
      </w:r>
      <w:r w:rsidRPr="00C84F90">
        <w:rPr>
          <w:rFonts w:ascii="Arial" w:hAnsi="Arial" w:cs="Arial"/>
          <w:bCs/>
          <w:sz w:val="22"/>
          <w:szCs w:val="22"/>
          <w:lang w:val="es-MX" w:eastAsia="x-none"/>
        </w:rPr>
        <w:t>.</w:t>
      </w:r>
    </w:p>
    <w:p w14:paraId="3FCA900D" w14:textId="77777777" w:rsidR="00C84F90" w:rsidRPr="00C84F90" w:rsidRDefault="00C84F90" w:rsidP="00C84F90">
      <w:pPr>
        <w:spacing w:line="276" w:lineRule="auto"/>
        <w:jc w:val="both"/>
        <w:rPr>
          <w:rFonts w:ascii="Arial" w:eastAsiaTheme="minorHAnsi" w:hAnsi="Arial" w:cs="Arial"/>
          <w:sz w:val="22"/>
          <w:szCs w:val="22"/>
          <w:lang w:val="es-MX" w:eastAsia="en-US"/>
        </w:rPr>
      </w:pPr>
    </w:p>
    <w:p w14:paraId="59051BBC" w14:textId="333E4424" w:rsidR="00C84F90" w:rsidRPr="00C84F90" w:rsidRDefault="00C84F90" w:rsidP="00C84F90">
      <w:pPr>
        <w:spacing w:after="120" w:line="276" w:lineRule="auto"/>
        <w:ind w:firstLine="709"/>
        <w:jc w:val="both"/>
        <w:rPr>
          <w:rFonts w:ascii="Arial" w:hAnsi="Arial" w:cs="Arial"/>
          <w:bCs/>
          <w:sz w:val="22"/>
          <w:szCs w:val="22"/>
          <w:lang w:val="es-MX" w:eastAsia="x-none"/>
        </w:rPr>
      </w:pPr>
      <w:r w:rsidRPr="00C84F90">
        <w:rPr>
          <w:rFonts w:ascii="Arial" w:eastAsiaTheme="minorHAnsi" w:hAnsi="Arial" w:cs="Arial"/>
          <w:sz w:val="22"/>
          <w:szCs w:val="22"/>
          <w:lang w:val="es-MX" w:eastAsia="en-US"/>
        </w:rPr>
        <w:t>Aplicando este razonamiento,</w:t>
      </w:r>
      <w:bookmarkStart w:id="31" w:name="_Hlk75811096"/>
      <w:r w:rsidRPr="00C84F90">
        <w:rPr>
          <w:rFonts w:ascii="Arial" w:eastAsiaTheme="minorHAnsi" w:hAnsi="Arial" w:cs="Arial"/>
          <w:sz w:val="22"/>
          <w:szCs w:val="22"/>
          <w:lang w:val="es-MX" w:eastAsia="en-US"/>
        </w:rPr>
        <w:t xml:space="preserve"> se tiene que 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31"/>
      <w:r w:rsidRPr="00C84F90">
        <w:rPr>
          <w:rFonts w:ascii="Arial" w:eastAsiaTheme="minorHAnsi" w:hAnsi="Arial" w:cs="Arial"/>
          <w:sz w:val="22"/>
          <w:szCs w:val="22"/>
          <w:lang w:val="es-MX" w:eastAsia="en-US"/>
        </w:rPr>
        <w:t>»</w:t>
      </w:r>
      <w:r w:rsidRPr="00C84F90">
        <w:rPr>
          <w:rFonts w:ascii="Arial" w:eastAsiaTheme="minorHAnsi" w:hAnsi="Arial" w:cs="Arial"/>
          <w:szCs w:val="22"/>
          <w:vertAlign w:val="superscript"/>
          <w:lang w:val="es-MX" w:eastAsia="en-US"/>
        </w:rPr>
        <w:t xml:space="preserve"> </w:t>
      </w:r>
      <w:r w:rsidRPr="00C84F90">
        <w:rPr>
          <w:rFonts w:ascii="Arial" w:eastAsiaTheme="minorHAnsi" w:hAnsi="Arial" w:cs="Arial"/>
          <w:sz w:val="22"/>
          <w:szCs w:val="22"/>
          <w:vertAlign w:val="superscript"/>
          <w:lang w:val="es-MX" w:eastAsia="en-US"/>
        </w:rPr>
        <w:footnoteReference w:id="23"/>
      </w:r>
      <w:r w:rsidRPr="00C84F90">
        <w:rPr>
          <w:rFonts w:ascii="Arial" w:eastAsiaTheme="minorHAnsi" w:hAnsi="Arial" w:cs="Arial"/>
          <w:sz w:val="22"/>
          <w:szCs w:val="22"/>
          <w:lang w:val="es-MX" w:eastAsia="en-US"/>
        </w:rPr>
        <w:t>.</w:t>
      </w:r>
    </w:p>
    <w:p w14:paraId="33FFCC24" w14:textId="77777777" w:rsidR="00DC6724" w:rsidRPr="00DC6724" w:rsidRDefault="00DC6724" w:rsidP="00DC6724">
      <w:pPr>
        <w:spacing w:line="276" w:lineRule="auto"/>
        <w:ind w:firstLine="709"/>
        <w:jc w:val="both"/>
        <w:rPr>
          <w:rFonts w:ascii="Arial" w:eastAsiaTheme="minorHAnsi" w:hAnsi="Arial" w:cs="Arial"/>
          <w:bCs/>
          <w:sz w:val="22"/>
          <w:szCs w:val="22"/>
          <w:lang w:val="es-MX" w:eastAsia="en-US"/>
        </w:rPr>
      </w:pPr>
      <w:bookmarkStart w:id="32" w:name="_Hlk77237229"/>
      <w:bookmarkEnd w:id="29"/>
      <w:r w:rsidRPr="00DC6724">
        <w:rPr>
          <w:rFonts w:ascii="Arial" w:eastAsiaTheme="minorHAnsi" w:hAnsi="Arial" w:cs="Arial"/>
          <w:sz w:val="22"/>
          <w:szCs w:val="22"/>
          <w:lang w:val="es-MX" w:eastAsia="en-US"/>
        </w:rPr>
        <w:t>Por lo tanto, la restricción prevista en la Ley 996 de 200</w:t>
      </w:r>
      <w:bookmarkStart w:id="33" w:name="_Hlk75741539"/>
      <w:r w:rsidRPr="00DC6724">
        <w:rPr>
          <w:rFonts w:ascii="Arial" w:eastAsiaTheme="minorHAnsi" w:hAnsi="Arial" w:cs="Arial"/>
          <w:sz w:val="22"/>
          <w:szCs w:val="22"/>
          <w:lang w:val="es-MX" w:eastAsia="en-US"/>
        </w:rPr>
        <w:t xml:space="preserve">5, </w:t>
      </w:r>
      <w:r w:rsidRPr="00DC6724">
        <w:rPr>
          <w:rFonts w:ascii="Arial" w:eastAsiaTheme="minorHAnsi" w:hAnsi="Arial" w:cs="Arial"/>
          <w:bCs/>
          <w:sz w:val="22"/>
          <w:szCs w:val="22"/>
          <w:lang w:val="es-MX" w:eastAsia="en-US"/>
        </w:rPr>
        <w:t>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bookmarkEnd w:id="32"/>
    <w:bookmarkEnd w:id="33"/>
    <w:p w14:paraId="6357BD23" w14:textId="77777777" w:rsidR="00C84F90" w:rsidRPr="00C84F90" w:rsidRDefault="00C84F90" w:rsidP="00C84F90">
      <w:pPr>
        <w:spacing w:line="276" w:lineRule="auto"/>
        <w:jc w:val="both"/>
        <w:rPr>
          <w:rFonts w:ascii="Arial" w:eastAsiaTheme="minorHAnsi" w:hAnsi="Arial" w:cs="Arial"/>
          <w:sz w:val="22"/>
          <w:szCs w:val="22"/>
          <w:lang w:val="es-MX" w:eastAsia="en-US"/>
        </w:rPr>
      </w:pPr>
    </w:p>
    <w:p w14:paraId="37FFD82F" w14:textId="1F624C6A" w:rsidR="00C84F90" w:rsidRPr="00C84F90" w:rsidRDefault="00C84F90" w:rsidP="00C84F90">
      <w:pPr>
        <w:spacing w:after="200" w:line="276" w:lineRule="auto"/>
        <w:jc w:val="both"/>
        <w:rPr>
          <w:rFonts w:ascii="Arial" w:eastAsiaTheme="minorHAnsi" w:hAnsi="Arial" w:cs="Arial"/>
          <w:b/>
          <w:bCs/>
          <w:sz w:val="22"/>
          <w:szCs w:val="22"/>
          <w:lang w:val="es-MX" w:eastAsia="en-US"/>
        </w:rPr>
      </w:pPr>
      <w:bookmarkStart w:id="34" w:name="_Hlk75784645"/>
      <w:r w:rsidRPr="00C84F90">
        <w:rPr>
          <w:rFonts w:ascii="Arial" w:eastAsiaTheme="minorHAnsi" w:hAnsi="Arial" w:cs="Arial"/>
          <w:b/>
          <w:bCs/>
          <w:sz w:val="22"/>
          <w:szCs w:val="22"/>
          <w:lang w:val="es-MX" w:eastAsia="en-US"/>
        </w:rPr>
        <w:lastRenderedPageBreak/>
        <w:t>2.</w:t>
      </w:r>
      <w:r w:rsidR="00202647">
        <w:rPr>
          <w:rFonts w:ascii="Arial" w:eastAsiaTheme="minorHAnsi" w:hAnsi="Arial" w:cs="Arial"/>
          <w:b/>
          <w:bCs/>
          <w:sz w:val="22"/>
          <w:szCs w:val="22"/>
          <w:lang w:val="es-MX" w:eastAsia="en-US"/>
        </w:rPr>
        <w:t>3</w:t>
      </w:r>
      <w:r w:rsidRPr="00C84F90">
        <w:rPr>
          <w:rFonts w:ascii="Arial" w:eastAsiaTheme="minorHAnsi" w:hAnsi="Arial" w:cs="Arial"/>
          <w:b/>
          <w:bCs/>
          <w:sz w:val="22"/>
          <w:szCs w:val="22"/>
          <w:lang w:val="es-MX" w:eastAsia="en-US"/>
        </w:rPr>
        <w:t xml:space="preserve">. </w:t>
      </w:r>
      <w:bookmarkStart w:id="35" w:name="_Hlk77153296"/>
      <w:r w:rsidRPr="00C84F90">
        <w:rPr>
          <w:rFonts w:ascii="Arial" w:hAnsi="Arial" w:cs="Arial"/>
          <w:b/>
          <w:bCs/>
          <w:sz w:val="22"/>
          <w:szCs w:val="22"/>
          <w:lang w:val="es-MX" w:eastAsia="es-CO"/>
        </w:rPr>
        <w:t xml:space="preserve">Restricciones </w:t>
      </w:r>
      <w:bookmarkStart w:id="36" w:name="_Hlk75643279"/>
      <w:r w:rsidRPr="00C84F90">
        <w:rPr>
          <w:rFonts w:ascii="Arial" w:hAnsi="Arial" w:cs="Arial"/>
          <w:b/>
          <w:bCs/>
          <w:sz w:val="22"/>
          <w:szCs w:val="22"/>
          <w:lang w:val="es-MX" w:eastAsia="es-CO"/>
        </w:rPr>
        <w:t>para la celebración de contratos y convenios interadministrativos en los comicios de cargos de elección popular</w:t>
      </w:r>
      <w:r w:rsidR="004D3F10">
        <w:rPr>
          <w:rFonts w:ascii="Arial" w:hAnsi="Arial" w:cs="Arial"/>
          <w:b/>
          <w:bCs/>
          <w:sz w:val="22"/>
          <w:szCs w:val="22"/>
          <w:lang w:val="es-ES_tradnl" w:eastAsia="es-CO"/>
        </w:rPr>
        <w:t>: prohibición del parágrafo del artículo 38 de la Ley 996 de 2005</w:t>
      </w:r>
    </w:p>
    <w:p w14:paraId="6D154F33" w14:textId="77777777" w:rsidR="00C84F90" w:rsidRPr="00C84F90" w:rsidRDefault="00C84F90" w:rsidP="00C84F90">
      <w:pPr>
        <w:tabs>
          <w:tab w:val="left" w:pos="426"/>
        </w:tabs>
        <w:spacing w:after="120" w:line="276" w:lineRule="auto"/>
        <w:jc w:val="both"/>
        <w:rPr>
          <w:rFonts w:ascii="Arial" w:eastAsia="Calibri" w:hAnsi="Arial" w:cs="Arial"/>
          <w:bCs/>
          <w:sz w:val="22"/>
          <w:szCs w:val="22"/>
          <w:lang w:eastAsia="en-US"/>
        </w:rPr>
      </w:pPr>
      <w:bookmarkStart w:id="37" w:name="_Hlk101885981"/>
      <w:bookmarkEnd w:id="35"/>
      <w:bookmarkEnd w:id="36"/>
      <w:r w:rsidRPr="00C84F90">
        <w:rPr>
          <w:rFonts w:ascii="Arial" w:eastAsia="Calibri" w:hAnsi="Arial" w:cs="Arial"/>
          <w:bCs/>
          <w:sz w:val="22"/>
          <w:szCs w:val="22"/>
          <w:lang w:eastAsia="en-US"/>
        </w:rPr>
        <w:t xml:space="preserve">El parágrafo del artículo 38 de la Ley 996 de 2005 dispone que «[l]os Gobernadores, </w:t>
      </w:r>
      <w:proofErr w:type="gramStart"/>
      <w:r w:rsidRPr="00C84F90">
        <w:rPr>
          <w:rFonts w:ascii="Arial" w:eastAsia="Calibri" w:hAnsi="Arial" w:cs="Arial"/>
          <w:bCs/>
          <w:sz w:val="22"/>
          <w:szCs w:val="22"/>
          <w:lang w:eastAsia="en-US"/>
        </w:rPr>
        <w:t>Alcaldes</w:t>
      </w:r>
      <w:proofErr w:type="gramEnd"/>
      <w:r w:rsidRPr="00C84F90">
        <w:rPr>
          <w:rFonts w:ascii="Arial" w:eastAsia="Calibri" w:hAnsi="Arial" w:cs="Arial"/>
          <w:bCs/>
          <w:sz w:val="22"/>
          <w:szCs w:val="22"/>
          <w:lang w:eastAsia="en-US"/>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C84F90">
        <w:rPr>
          <w:rFonts w:ascii="Arial" w:hAnsi="Arial" w:cs="Arial"/>
          <w:bCs/>
          <w:iCs/>
          <w:sz w:val="22"/>
          <w:szCs w:val="22"/>
          <w:lang w:val="es-MX"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bookmarkEnd w:id="37"/>
      <w:r w:rsidRPr="00C84F90">
        <w:rPr>
          <w:rFonts w:ascii="Arial" w:hAnsi="Arial" w:cs="Arial"/>
          <w:bCs/>
          <w:iCs/>
          <w:sz w:val="22"/>
          <w:szCs w:val="22"/>
          <w:vertAlign w:val="superscript"/>
          <w:lang w:val="es-MX" w:eastAsia="x-none"/>
        </w:rPr>
        <w:footnoteReference w:id="24"/>
      </w:r>
      <w:r w:rsidRPr="00C84F90">
        <w:rPr>
          <w:rFonts w:ascii="Arial" w:hAnsi="Arial" w:cs="Arial"/>
          <w:bCs/>
          <w:iCs/>
          <w:sz w:val="22"/>
          <w:szCs w:val="22"/>
          <w:lang w:val="es-MX" w:eastAsia="x-none"/>
        </w:rPr>
        <w:t>.</w:t>
      </w:r>
      <w:r w:rsidRPr="00C84F90">
        <w:rPr>
          <w:rFonts w:ascii="Arial" w:eastAsiaTheme="minorHAnsi" w:hAnsi="Arial" w:cs="Arial"/>
          <w:szCs w:val="22"/>
          <w:lang w:val="es-MX" w:eastAsia="en-US"/>
        </w:rPr>
        <w:t xml:space="preserve"> </w:t>
      </w:r>
    </w:p>
    <w:p w14:paraId="658C4658" w14:textId="77777777" w:rsidR="00C84F90" w:rsidRPr="00C84F90" w:rsidRDefault="00C84F90" w:rsidP="00C84F90">
      <w:pPr>
        <w:widowControl w:val="0"/>
        <w:autoSpaceDE w:val="0"/>
        <w:autoSpaceDN w:val="0"/>
        <w:spacing w:after="120" w:line="276" w:lineRule="auto"/>
        <w:ind w:firstLine="707"/>
        <w:jc w:val="both"/>
        <w:rPr>
          <w:rFonts w:ascii="Arial" w:eastAsia="Arial" w:hAnsi="Arial" w:cs="Arial"/>
          <w:sz w:val="22"/>
          <w:szCs w:val="22"/>
          <w:lang w:val="es-ES" w:eastAsia="es-ES" w:bidi="es-ES"/>
        </w:rPr>
      </w:pPr>
      <w:r w:rsidRPr="00C84F90">
        <w:rPr>
          <w:rFonts w:ascii="Arial" w:eastAsia="Calibri" w:hAnsi="Arial" w:cs="Arial"/>
          <w:bCs/>
          <w:sz w:val="22"/>
          <w:szCs w:val="22"/>
          <w:lang w:eastAsia="es-ES" w:bidi="es-ES"/>
        </w:rPr>
        <w:t xml:space="preserve">Ahora bien, </w:t>
      </w:r>
      <w:bookmarkStart w:id="38" w:name="_Hlk78820161"/>
      <w:r w:rsidRPr="00C84F90">
        <w:rPr>
          <w:rFonts w:ascii="Arial" w:eastAsia="Calibri" w:hAnsi="Arial" w:cs="Arial"/>
          <w:bCs/>
          <w:sz w:val="22"/>
          <w:szCs w:val="22"/>
          <w:lang w:eastAsia="es-ES" w:bidi="es-ES"/>
        </w:rPr>
        <w:t xml:space="preserve">para determinar el alcance de la prohibición consagrada por la Ley de Garantías Electorales, conviene precisar la tipología de convenios o contratos interadministrativos. </w:t>
      </w:r>
      <w:r w:rsidRPr="00C84F90">
        <w:rPr>
          <w:rFonts w:ascii="Arial" w:eastAsia="Arial" w:hAnsi="Arial" w:cs="Arial"/>
          <w:sz w:val="22"/>
          <w:szCs w:val="22"/>
          <w:lang w:val="es-ES" w:eastAsia="es-ES" w:bidi="es-ES"/>
        </w:rPr>
        <w:t>Aunque la ley no la definió ni desarrolló, el Decreto 1082 de 2015 califica a los convenios o contratos interadministrativos como aquella contratación entre entidades estatales</w:t>
      </w:r>
      <w:r w:rsidRPr="00C84F90">
        <w:rPr>
          <w:rFonts w:ascii="Arial" w:eastAsia="Arial" w:hAnsi="Arial" w:cs="Arial"/>
          <w:sz w:val="22"/>
          <w:szCs w:val="22"/>
          <w:vertAlign w:val="superscript"/>
          <w:lang w:val="es-ES" w:eastAsia="es-ES" w:bidi="es-ES"/>
        </w:rPr>
        <w:footnoteReference w:id="25"/>
      </w:r>
      <w:r w:rsidRPr="00C84F90">
        <w:rPr>
          <w:rFonts w:ascii="Arial" w:eastAsia="Arial" w:hAnsi="Arial" w:cs="Arial"/>
          <w:sz w:val="22"/>
          <w:szCs w:val="22"/>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C84F90">
        <w:rPr>
          <w:rFonts w:ascii="Arial" w:eastAsia="Arial" w:hAnsi="Arial" w:cs="Arial"/>
          <w:spacing w:val="-6"/>
          <w:sz w:val="22"/>
          <w:szCs w:val="22"/>
          <w:lang w:val="es-ES" w:eastAsia="es-ES" w:bidi="es-ES"/>
        </w:rPr>
        <w:t xml:space="preserve"> </w:t>
      </w:r>
      <w:r w:rsidRPr="00C84F90">
        <w:rPr>
          <w:rFonts w:ascii="Arial" w:eastAsia="Arial" w:hAnsi="Arial" w:cs="Arial"/>
          <w:sz w:val="22"/>
          <w:szCs w:val="22"/>
          <w:lang w:val="es-ES" w:eastAsia="es-ES" w:bidi="es-ES"/>
        </w:rPr>
        <w:t>estatales.</w:t>
      </w:r>
    </w:p>
    <w:p w14:paraId="517390AF" w14:textId="11400D56" w:rsidR="00C84F90" w:rsidRPr="00C84F90" w:rsidRDefault="00C84F90" w:rsidP="00C84F90">
      <w:pPr>
        <w:widowControl w:val="0"/>
        <w:autoSpaceDE w:val="0"/>
        <w:autoSpaceDN w:val="0"/>
        <w:spacing w:before="117" w:after="120" w:line="276" w:lineRule="auto"/>
        <w:ind w:firstLine="707"/>
        <w:jc w:val="both"/>
        <w:rPr>
          <w:rFonts w:ascii="Arial" w:eastAsia="Arial" w:hAnsi="Arial" w:cs="Arial"/>
          <w:sz w:val="22"/>
          <w:szCs w:val="22"/>
          <w:lang w:val="es-ES" w:eastAsia="es-ES" w:bidi="es-ES"/>
        </w:rPr>
      </w:pPr>
      <w:bookmarkStart w:id="39" w:name="_Hlk78820654"/>
      <w:bookmarkEnd w:id="38"/>
      <w:r w:rsidRPr="1D6A5ADA">
        <w:rPr>
          <w:rFonts w:ascii="Arial" w:eastAsia="Arial" w:hAnsi="Arial" w:cs="Arial"/>
          <w:sz w:val="22"/>
          <w:szCs w:val="22"/>
          <w:lang w:val="es-ES" w:eastAsia="es-ES" w:bidi="es-ES"/>
        </w:rPr>
        <w:t>Si bien los contratos o convenios interadministrativos están previstos en la Ley 80 de 1993, en la Ley 1150 de 2007 y en el Decreto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39"/>
    <w:p w14:paraId="598266EF" w14:textId="77777777" w:rsidR="00C84F90" w:rsidRPr="00C84F90" w:rsidRDefault="00C84F90" w:rsidP="00C84F90">
      <w:pPr>
        <w:widowControl w:val="0"/>
        <w:autoSpaceDE w:val="0"/>
        <w:autoSpaceDN w:val="0"/>
        <w:spacing w:before="121" w:after="120" w:line="276" w:lineRule="auto"/>
        <w:ind w:firstLine="707"/>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 xml:space="preserve">Un contrato o convenio interadministrativo no está determinado por la modalidad de selección utilizada para celebrarlo. La Ley 1150 de 2007 establece que pueden celebrarse directamente, siempre que las obligaciones derivadas del mismo tengan relación directa </w:t>
      </w:r>
      <w:r w:rsidRPr="00C84F90">
        <w:rPr>
          <w:rFonts w:ascii="Arial" w:eastAsia="Arial" w:hAnsi="Arial" w:cs="Arial"/>
          <w:sz w:val="22"/>
          <w:szCs w:val="22"/>
          <w:lang w:val="es-ES" w:eastAsia="es-ES" w:bidi="es-ES"/>
        </w:rPr>
        <w:lastRenderedPageBreak/>
        <w:t>con el objeto de la entidad ejecutora, señalado en la ley o en sus reglamentos, a menos que, según las excepciones previstas en dicha ley, deba adelantarse un procedimiento con pluralidad de oferentes</w:t>
      </w:r>
      <w:r w:rsidRPr="00C84F90">
        <w:rPr>
          <w:rFonts w:ascii="Arial" w:eastAsia="Arial" w:hAnsi="Arial" w:cs="Arial"/>
          <w:sz w:val="22"/>
          <w:szCs w:val="22"/>
          <w:vertAlign w:val="superscript"/>
          <w:lang w:val="es-ES" w:eastAsia="es-ES" w:bidi="es-ES"/>
        </w:rPr>
        <w:footnoteReference w:id="26"/>
      </w:r>
      <w:r w:rsidRPr="00C84F90">
        <w:rPr>
          <w:rFonts w:ascii="Arial" w:eastAsia="Arial" w:hAnsi="Arial" w:cs="Arial"/>
          <w:sz w:val="22"/>
          <w:szCs w:val="22"/>
          <w:lang w:val="es-ES" w:eastAsia="es-ES" w:bidi="es-ES"/>
        </w:rPr>
        <w:t>. Nótese que, en este caso, lo que cambia es la modalidad de selección y no la naturaleza de contrato</w:t>
      </w:r>
      <w:r w:rsidRPr="00C84F90">
        <w:rPr>
          <w:rFonts w:ascii="Arial" w:eastAsia="Arial" w:hAnsi="Arial" w:cs="Arial"/>
          <w:spacing w:val="-18"/>
          <w:sz w:val="22"/>
          <w:szCs w:val="22"/>
          <w:lang w:val="es-ES" w:eastAsia="es-ES" w:bidi="es-ES"/>
        </w:rPr>
        <w:t xml:space="preserve"> </w:t>
      </w:r>
      <w:r w:rsidRPr="00C84F90">
        <w:rPr>
          <w:rFonts w:ascii="Arial" w:eastAsia="Arial" w:hAnsi="Arial" w:cs="Arial"/>
          <w:sz w:val="22"/>
          <w:szCs w:val="22"/>
          <w:lang w:val="es-ES" w:eastAsia="es-ES" w:bidi="es-ES"/>
        </w:rPr>
        <w:t>interadministrativo.</w:t>
      </w:r>
    </w:p>
    <w:p w14:paraId="7AB3C519" w14:textId="77777777" w:rsidR="00C84F90" w:rsidRPr="00C84F90" w:rsidRDefault="00C84F90" w:rsidP="00C84F90">
      <w:pPr>
        <w:widowControl w:val="0"/>
        <w:autoSpaceDE w:val="0"/>
        <w:autoSpaceDN w:val="0"/>
        <w:spacing w:before="114" w:line="276" w:lineRule="auto"/>
        <w:ind w:firstLine="707"/>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C84F90">
        <w:rPr>
          <w:rFonts w:ascii="Arial" w:eastAsia="Arial" w:hAnsi="Arial" w:cs="Arial"/>
          <w:spacing w:val="-13"/>
          <w:sz w:val="22"/>
          <w:szCs w:val="22"/>
          <w:lang w:val="es-ES" w:eastAsia="es-ES" w:bidi="es-ES"/>
        </w:rPr>
        <w:t xml:space="preserve"> </w:t>
      </w:r>
      <w:r w:rsidRPr="00C84F90">
        <w:rPr>
          <w:rFonts w:ascii="Arial" w:eastAsia="Arial" w:hAnsi="Arial" w:cs="Arial"/>
          <w:sz w:val="22"/>
          <w:szCs w:val="22"/>
          <w:lang w:val="es-ES" w:eastAsia="es-ES" w:bidi="es-ES"/>
        </w:rPr>
        <w:t>que:</w:t>
      </w:r>
    </w:p>
    <w:p w14:paraId="5D9D4DF6" w14:textId="77777777" w:rsidR="00C84F90" w:rsidRPr="00C84F90" w:rsidRDefault="00C84F90" w:rsidP="00C84F90">
      <w:pPr>
        <w:widowControl w:val="0"/>
        <w:autoSpaceDE w:val="0"/>
        <w:autoSpaceDN w:val="0"/>
        <w:spacing w:line="276" w:lineRule="auto"/>
        <w:ind w:firstLine="707"/>
        <w:jc w:val="both"/>
        <w:rPr>
          <w:rFonts w:ascii="Arial" w:eastAsia="Arial" w:hAnsi="Arial" w:cs="Arial"/>
          <w:sz w:val="22"/>
          <w:szCs w:val="22"/>
          <w:lang w:val="es-ES" w:eastAsia="es-ES" w:bidi="es-ES"/>
        </w:rPr>
      </w:pPr>
    </w:p>
    <w:p w14:paraId="76C4B633" w14:textId="77777777" w:rsidR="00C84F90" w:rsidRPr="00C84F90" w:rsidRDefault="00C84F90" w:rsidP="00C84F90">
      <w:pPr>
        <w:ind w:left="709" w:right="709"/>
        <w:jc w:val="both"/>
        <w:rPr>
          <w:rFonts w:ascii="Arial" w:eastAsiaTheme="minorHAnsi" w:hAnsi="Arial" w:cs="Arial"/>
          <w:sz w:val="21"/>
          <w:szCs w:val="22"/>
          <w:lang w:val="es-MX" w:eastAsia="en-US"/>
        </w:rPr>
      </w:pPr>
      <w:r w:rsidRPr="00C84F90">
        <w:rPr>
          <w:rFonts w:ascii="Arial" w:eastAsiaTheme="minorHAnsi" w:hAnsi="Arial" w:cs="Arial"/>
          <w:sz w:val="21"/>
          <w:szCs w:val="22"/>
          <w:lang w:val="es-MX" w:eastAsia="en-US"/>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C84F90">
        <w:rPr>
          <w:rFonts w:ascii="Arial" w:eastAsiaTheme="minorHAnsi" w:hAnsi="Arial" w:cs="Arial"/>
          <w:sz w:val="21"/>
          <w:szCs w:val="22"/>
          <w:vertAlign w:val="superscript"/>
          <w:lang w:val="es-MX" w:eastAsia="en-US"/>
        </w:rPr>
        <w:footnoteReference w:id="27"/>
      </w:r>
      <w:r w:rsidRPr="00C84F90">
        <w:rPr>
          <w:rFonts w:ascii="Arial" w:eastAsiaTheme="minorHAnsi" w:hAnsi="Arial" w:cs="Arial"/>
          <w:sz w:val="21"/>
          <w:szCs w:val="22"/>
          <w:lang w:val="es-MX" w:eastAsia="en-US"/>
        </w:rPr>
        <w:t>.</w:t>
      </w:r>
    </w:p>
    <w:p w14:paraId="738EA894" w14:textId="77777777" w:rsidR="00C84F90" w:rsidRPr="00C84F90" w:rsidRDefault="00C84F90" w:rsidP="00C84F90">
      <w:pPr>
        <w:spacing w:line="276" w:lineRule="auto"/>
        <w:ind w:left="709" w:right="709"/>
        <w:jc w:val="both"/>
        <w:rPr>
          <w:rFonts w:asciiTheme="minorHAnsi" w:eastAsiaTheme="minorHAnsi" w:hAnsiTheme="minorHAnsi" w:cstheme="minorBidi"/>
          <w:sz w:val="22"/>
          <w:szCs w:val="22"/>
          <w:lang w:val="es-MX" w:eastAsia="en-US"/>
        </w:rPr>
      </w:pPr>
    </w:p>
    <w:p w14:paraId="42E61EE4" w14:textId="77777777" w:rsidR="00C84F90" w:rsidRPr="00C84F90" w:rsidRDefault="00C84F90" w:rsidP="00C84F90">
      <w:pPr>
        <w:widowControl w:val="0"/>
        <w:autoSpaceDE w:val="0"/>
        <w:autoSpaceDN w:val="0"/>
        <w:spacing w:after="120" w:line="276" w:lineRule="auto"/>
        <w:ind w:firstLine="707"/>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 xml:space="preserve">En ese sentido, los convenios interadministrativos se caracterizan por los sujetos que intervienen y por la modalidad de selección que la ley permite aplicar para su celebración, ya que comporta un grado de excepcionalidad frente a las demás tipologías </w:t>
      </w:r>
      <w:r w:rsidRPr="00C84F90">
        <w:rPr>
          <w:rFonts w:ascii="Arial" w:eastAsia="Arial" w:hAnsi="Arial" w:cs="Arial"/>
          <w:sz w:val="22"/>
          <w:szCs w:val="22"/>
          <w:lang w:val="es-ES" w:eastAsia="es-ES" w:bidi="es-ES"/>
        </w:rPr>
        <w:lastRenderedPageBreak/>
        <w:t>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113BE4AD" w14:textId="77777777" w:rsidR="00C84F90" w:rsidRPr="00C84F90" w:rsidRDefault="00C84F90" w:rsidP="00C84F90">
      <w:pPr>
        <w:widowControl w:val="0"/>
        <w:autoSpaceDE w:val="0"/>
        <w:autoSpaceDN w:val="0"/>
        <w:spacing w:before="119" w:after="120" w:line="276" w:lineRule="auto"/>
        <w:ind w:firstLine="707"/>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C84F90">
        <w:rPr>
          <w:rFonts w:ascii="Arial" w:eastAsia="Arial" w:hAnsi="Arial" w:cs="Arial"/>
          <w:spacing w:val="-3"/>
          <w:sz w:val="22"/>
          <w:szCs w:val="22"/>
          <w:lang w:val="es-ES" w:eastAsia="es-ES" w:bidi="es-ES"/>
        </w:rPr>
        <w:t xml:space="preserve"> </w:t>
      </w:r>
      <w:r w:rsidRPr="00C84F90">
        <w:rPr>
          <w:rFonts w:ascii="Arial" w:eastAsia="Arial" w:hAnsi="Arial" w:cs="Arial"/>
          <w:sz w:val="22"/>
          <w:szCs w:val="22"/>
          <w:lang w:val="es-ES" w:eastAsia="es-ES" w:bidi="es-ES"/>
        </w:rPr>
        <w:t>estatales.</w:t>
      </w:r>
    </w:p>
    <w:p w14:paraId="41C07E24" w14:textId="77777777" w:rsidR="00C84F90" w:rsidRPr="00C84F90" w:rsidRDefault="00C84F90" w:rsidP="00C84F90">
      <w:pPr>
        <w:widowControl w:val="0"/>
        <w:autoSpaceDE w:val="0"/>
        <w:autoSpaceDN w:val="0"/>
        <w:spacing w:before="120" w:after="200" w:line="276" w:lineRule="auto"/>
        <w:ind w:firstLine="709"/>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C84F90">
        <w:rPr>
          <w:rFonts w:ascii="Arial" w:eastAsia="Arial" w:hAnsi="Arial" w:cs="Arial"/>
          <w:spacing w:val="-4"/>
          <w:sz w:val="22"/>
          <w:szCs w:val="22"/>
          <w:lang w:val="es-ES" w:eastAsia="es-ES" w:bidi="es-ES"/>
        </w:rPr>
        <w:t xml:space="preserve"> </w:t>
      </w:r>
      <w:r w:rsidRPr="00C84F90">
        <w:rPr>
          <w:rFonts w:ascii="Arial" w:eastAsia="Arial" w:hAnsi="Arial" w:cs="Arial"/>
          <w:sz w:val="22"/>
          <w:szCs w:val="22"/>
          <w:lang w:val="es-ES" w:eastAsia="es-ES" w:bidi="es-ES"/>
        </w:rPr>
        <w:t>estatales.</w:t>
      </w:r>
    </w:p>
    <w:p w14:paraId="10B3F4E3" w14:textId="77777777" w:rsidR="00C84F90" w:rsidRPr="00C84F90" w:rsidRDefault="00C84F90" w:rsidP="00C84F90">
      <w:pPr>
        <w:widowControl w:val="0"/>
        <w:autoSpaceDE w:val="0"/>
        <w:autoSpaceDN w:val="0"/>
        <w:spacing w:before="122" w:after="120" w:line="276" w:lineRule="auto"/>
        <w:ind w:firstLine="708"/>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62C658B8" w14:textId="77777777" w:rsidR="00C84F90" w:rsidRPr="00C84F90" w:rsidRDefault="00C84F90" w:rsidP="00C84F90">
      <w:pPr>
        <w:widowControl w:val="0"/>
        <w:autoSpaceDE w:val="0"/>
        <w:autoSpaceDN w:val="0"/>
        <w:spacing w:line="276" w:lineRule="auto"/>
        <w:ind w:firstLine="708"/>
        <w:jc w:val="both"/>
        <w:rPr>
          <w:rFonts w:ascii="Arial" w:eastAsia="Calibri" w:hAnsi="Arial" w:cs="Arial"/>
          <w:bCs/>
          <w:sz w:val="22"/>
          <w:szCs w:val="22"/>
          <w:lang w:eastAsia="es-ES" w:bidi="es-ES"/>
        </w:rPr>
      </w:pPr>
      <w:r w:rsidRPr="00C84F90">
        <w:rPr>
          <w:rFonts w:ascii="Arial" w:eastAsia="Arial" w:hAnsi="Arial" w:cs="Arial"/>
          <w:sz w:val="22"/>
          <w:szCs w:val="22"/>
          <w:lang w:val="es-ES" w:eastAsia="es-ES" w:bidi="es-ES"/>
        </w:rPr>
        <w:t xml:space="preserve">Por tanto, aunque el artículo 95 de la Ley 489 de 1998 dispone que «Las entidades públicas podrán asociarse con el fin de cooperar en el cumplimiento de funciones administrativas o de prestar conjuntamente servicios que se hallen a su cargo, mediante la </w:t>
      </w:r>
      <w:r w:rsidRPr="00C84F90">
        <w:rPr>
          <w:rFonts w:ascii="Arial" w:eastAsia="Arial" w:hAnsi="Arial" w:cs="Arial"/>
          <w:sz w:val="22"/>
          <w:szCs w:val="22"/>
          <w:lang w:val="es-ES" w:eastAsia="es-ES" w:bidi="es-ES"/>
        </w:rPr>
        <w:lastRenderedPageBreak/>
        <w:t>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C84F90">
        <w:rPr>
          <w:rFonts w:ascii="Arial" w:eastAsia="Arial" w:hAnsi="Arial" w:cs="Arial"/>
          <w:spacing w:val="-4"/>
          <w:sz w:val="22"/>
          <w:szCs w:val="22"/>
          <w:lang w:val="es-ES" w:eastAsia="es-ES" w:bidi="es-ES"/>
        </w:rPr>
        <w:t xml:space="preserve"> </w:t>
      </w:r>
      <w:r w:rsidRPr="00C84F90">
        <w:rPr>
          <w:rFonts w:ascii="Arial" w:eastAsia="Arial" w:hAnsi="Arial" w:cs="Arial"/>
          <w:sz w:val="22"/>
          <w:szCs w:val="22"/>
          <w:lang w:val="es-ES" w:eastAsia="es-ES" w:bidi="es-ES"/>
        </w:rPr>
        <w:t>[…]»</w:t>
      </w:r>
      <w:r w:rsidRPr="00C84F90">
        <w:rPr>
          <w:rFonts w:ascii="Arial" w:eastAsia="Arial" w:hAnsi="Arial" w:cs="Arial"/>
          <w:sz w:val="22"/>
          <w:szCs w:val="22"/>
          <w:vertAlign w:val="superscript"/>
          <w:lang w:val="es-ES" w:eastAsia="es-ES" w:bidi="es-ES"/>
        </w:rPr>
        <w:footnoteReference w:id="28"/>
      </w:r>
      <w:r w:rsidRPr="00C84F90">
        <w:rPr>
          <w:rFonts w:ascii="Arial" w:eastAsia="Arial" w:hAnsi="Arial" w:cs="Arial"/>
          <w:sz w:val="22"/>
          <w:szCs w:val="22"/>
          <w:lang w:val="es-ES" w:eastAsia="es-ES" w:bidi="es-ES"/>
        </w:rPr>
        <w:t>.</w:t>
      </w:r>
      <w:bookmarkStart w:id="40" w:name="_Hlk77171241"/>
    </w:p>
    <w:p w14:paraId="1D6EE0CD" w14:textId="2E006B0E" w:rsidR="00C84F90" w:rsidRPr="00C84F90" w:rsidRDefault="00C84F90" w:rsidP="00E16F9B">
      <w:pPr>
        <w:widowControl w:val="0"/>
        <w:autoSpaceDE w:val="0"/>
        <w:autoSpaceDN w:val="0"/>
        <w:spacing w:before="122" w:after="200" w:line="276" w:lineRule="auto"/>
        <w:ind w:firstLine="709"/>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w:t>
      </w:r>
      <w:r w:rsidR="00144F0E">
        <w:rPr>
          <w:rFonts w:ascii="Arial" w:eastAsia="Arial" w:hAnsi="Arial" w:cs="Arial"/>
          <w:sz w:val="22"/>
          <w:szCs w:val="22"/>
          <w:lang w:val="es-ES" w:eastAsia="es-ES" w:bidi="es-ES"/>
        </w:rPr>
        <w:t xml:space="preserve"> en</w:t>
      </w:r>
      <w:r w:rsidRPr="00C84F90">
        <w:rPr>
          <w:rFonts w:ascii="Arial" w:eastAsia="Arial" w:hAnsi="Arial" w:cs="Arial"/>
          <w:sz w:val="22"/>
          <w:szCs w:val="22"/>
          <w:lang w:val="es-ES" w:eastAsia="es-ES" w:bidi="es-ES"/>
        </w:rPr>
        <w:t xml:space="preserve"> sentencia del 14 de junio de 2019 expresó:</w:t>
      </w:r>
    </w:p>
    <w:p w14:paraId="04E4E855" w14:textId="7D9ADF99" w:rsidR="00C84F90" w:rsidRPr="00C84F90" w:rsidRDefault="00C84F90" w:rsidP="002F0981">
      <w:pPr>
        <w:spacing w:after="120"/>
        <w:ind w:left="709" w:right="709"/>
        <w:jc w:val="both"/>
        <w:rPr>
          <w:rFonts w:ascii="Arial" w:eastAsiaTheme="minorHAnsi" w:hAnsi="Arial" w:cs="Arial"/>
          <w:sz w:val="21"/>
          <w:szCs w:val="21"/>
          <w:lang w:val="es-ES_tradnl" w:eastAsia="en-US"/>
        </w:rPr>
      </w:pPr>
      <w:r w:rsidRPr="00C84F90">
        <w:rPr>
          <w:rFonts w:ascii="Arial" w:eastAsiaTheme="minorHAnsi" w:hAnsi="Arial" w:cs="Arial"/>
          <w:sz w:val="21"/>
          <w:szCs w:val="21"/>
          <w:lang w:val="es-ES_tradnl" w:eastAsia="en-US"/>
        </w:rPr>
        <w:t>La Sala de Consulta y Servicio Civil</w:t>
      </w:r>
      <w:r w:rsidRPr="00C84F90">
        <w:rPr>
          <w:rFonts w:ascii="Arial" w:eastAsiaTheme="minorHAnsi" w:hAnsi="Arial" w:cs="Arial"/>
          <w:sz w:val="21"/>
          <w:szCs w:val="21"/>
          <w:vertAlign w:val="superscript"/>
          <w:lang w:val="es-ES_tradnl" w:eastAsia="en-US"/>
        </w:rPr>
        <w:footnoteReference w:id="29"/>
      </w:r>
      <w:r w:rsidRPr="00C84F90">
        <w:rPr>
          <w:rFonts w:ascii="Arial" w:eastAsiaTheme="minorHAnsi" w:hAnsi="Arial" w:cs="Arial"/>
          <w:sz w:val="21"/>
          <w:szCs w:val="21"/>
          <w:lang w:val="es-ES_tradnl" w:eastAsia="en-US"/>
        </w:rPr>
        <w:t xml:space="preserve"> de esta Corporación se ha referido a los </w:t>
      </w:r>
      <w:r w:rsidRPr="00C84F90">
        <w:rPr>
          <w:rFonts w:ascii="Arial" w:eastAsiaTheme="minorHAnsi" w:hAnsi="Arial" w:cs="Arial"/>
          <w:i/>
          <w:sz w:val="21"/>
          <w:szCs w:val="21"/>
          <w:lang w:val="es-ES_tradnl" w:eastAsia="en-US"/>
        </w:rPr>
        <w:t>“convenios interadministrativos”</w:t>
      </w:r>
      <w:r w:rsidRPr="00C84F90">
        <w:rPr>
          <w:rFonts w:ascii="Arial" w:eastAsiaTheme="minorHAnsi" w:hAnsi="Arial" w:cs="Arial"/>
          <w:sz w:val="21"/>
          <w:szCs w:val="21"/>
          <w:lang w:val="es-ES_tradnl" w:eastAsia="en-US"/>
        </w:rPr>
        <w:t xml:space="preserve"> a los cuales alude el artículo 95 de la Ley 489 de 1998, calificándolos de </w:t>
      </w:r>
      <w:r w:rsidRPr="00C84F90">
        <w:rPr>
          <w:rFonts w:ascii="Arial" w:eastAsiaTheme="minorHAnsi" w:hAnsi="Arial" w:cs="Arial"/>
          <w:i/>
          <w:sz w:val="21"/>
          <w:szCs w:val="21"/>
          <w:lang w:val="es-ES_tradnl" w:eastAsia="en-US"/>
        </w:rPr>
        <w:t xml:space="preserve">“puros” </w:t>
      </w:r>
      <w:r w:rsidRPr="00C84F90">
        <w:rPr>
          <w:rFonts w:ascii="Arial" w:eastAsiaTheme="minorHAnsi" w:hAnsi="Arial" w:cs="Arial"/>
          <w:sz w:val="21"/>
          <w:szCs w:val="21"/>
          <w:lang w:val="es-ES_tradnl" w:eastAsia="en-US"/>
        </w:rPr>
        <w:t xml:space="preserve">y entendiendo que estos, además de perseguir la finalidad de cooperación antes indicada, no implican intereses contrapuestos ni tampoco se circunscriben a un </w:t>
      </w:r>
      <w:r w:rsidRPr="00C84F90">
        <w:rPr>
          <w:rFonts w:ascii="Arial" w:eastAsiaTheme="minorHAnsi" w:hAnsi="Arial" w:cs="Arial"/>
          <w:i/>
          <w:sz w:val="21"/>
          <w:szCs w:val="21"/>
          <w:lang w:val="es-ES_tradnl" w:eastAsia="en-US"/>
        </w:rPr>
        <w:t>“intercambio patrimonial”</w:t>
      </w:r>
      <w:r w:rsidRPr="00C84F90">
        <w:rPr>
          <w:rFonts w:ascii="Arial" w:eastAsiaTheme="minorHAnsi" w:hAnsi="Arial" w:cs="Arial"/>
          <w:sz w:val="21"/>
          <w:szCs w:val="21"/>
          <w:lang w:val="es-ES_tradnl" w:eastAsia="en-US"/>
        </w:rPr>
        <w:t>. Sin perjuicio de lo anterior, en otra oportunidad, la misma Sala</w:t>
      </w:r>
      <w:r w:rsidRPr="00C84F90">
        <w:rPr>
          <w:rFonts w:ascii="Arial" w:eastAsiaTheme="minorHAnsi" w:hAnsi="Arial" w:cs="Arial"/>
          <w:sz w:val="21"/>
          <w:szCs w:val="21"/>
          <w:vertAlign w:val="superscript"/>
          <w:lang w:val="es-ES_tradnl" w:eastAsia="en-US"/>
        </w:rPr>
        <w:footnoteReference w:id="30"/>
      </w:r>
      <w:r w:rsidRPr="00C84F90">
        <w:rPr>
          <w:rFonts w:ascii="Arial" w:eastAsiaTheme="minorHAnsi" w:hAnsi="Arial" w:cs="Arial"/>
          <w:sz w:val="21"/>
          <w:szCs w:val="21"/>
          <w:lang w:val="es-ES_tradnl" w:eastAsia="en-US"/>
        </w:rPr>
        <w:t xml:space="preserve"> había indicado que, si bien en dichos convenios no se daba un </w:t>
      </w:r>
      <w:r w:rsidRPr="00C84F90">
        <w:rPr>
          <w:rFonts w:ascii="Arial" w:eastAsiaTheme="minorHAnsi" w:hAnsi="Arial" w:cs="Arial"/>
          <w:i/>
          <w:sz w:val="21"/>
          <w:szCs w:val="21"/>
          <w:lang w:val="es-ES_tradnl" w:eastAsia="en-US"/>
        </w:rPr>
        <w:t>“verdadero intercambio de bienes o servicios (contrato conmutativo)”</w:t>
      </w:r>
      <w:r w:rsidRPr="00C84F90">
        <w:rPr>
          <w:rFonts w:ascii="Arial" w:eastAsiaTheme="minorHAnsi" w:hAnsi="Arial" w:cs="Arial"/>
          <w:sz w:val="21"/>
          <w:szCs w:val="21"/>
          <w:lang w:val="es-ES_tradnl" w:eastAsia="en-US"/>
        </w:rPr>
        <w:t>, ello no impedía que se conviniera una remuneración a cargo de alguna(s) entidad(es).</w:t>
      </w:r>
    </w:p>
    <w:p w14:paraId="5CB1A5EC" w14:textId="77777777" w:rsidR="00C84F90" w:rsidRPr="00C84F90" w:rsidRDefault="00C84F90" w:rsidP="00C84F90">
      <w:pPr>
        <w:widowControl w:val="0"/>
        <w:autoSpaceDE w:val="0"/>
        <w:autoSpaceDN w:val="0"/>
        <w:ind w:left="709" w:right="709"/>
        <w:jc w:val="both"/>
        <w:rPr>
          <w:rFonts w:ascii="Arial" w:eastAsia="Arial" w:hAnsi="Arial" w:cs="Arial"/>
          <w:sz w:val="21"/>
          <w:szCs w:val="21"/>
          <w:lang w:val="es-ES" w:eastAsia="es-ES" w:bidi="es-ES"/>
        </w:rPr>
      </w:pPr>
      <w:r w:rsidRPr="00C84F90">
        <w:rPr>
          <w:rFonts w:ascii="Arial" w:eastAsia="Arial" w:hAnsi="Arial" w:cs="Arial"/>
          <w:sz w:val="21"/>
          <w:szCs w:val="21"/>
          <w:lang w:val="es-ES_tradnl" w:eastAsia="es-ES" w:bidi="es-ES"/>
        </w:rPr>
        <w:t xml:space="preserve">Lo expuesto evidencia que, en general, las interpretaciones en torno a los </w:t>
      </w:r>
      <w:r w:rsidRPr="00C84F90">
        <w:rPr>
          <w:rFonts w:ascii="Arial" w:eastAsia="Arial" w:hAnsi="Arial" w:cs="Arial"/>
          <w:i/>
          <w:sz w:val="21"/>
          <w:szCs w:val="21"/>
          <w:lang w:val="es-ES_tradnl" w:eastAsia="es-ES" w:bidi="es-ES"/>
        </w:rPr>
        <w:t>“convenios interadministrativos”</w:t>
      </w:r>
      <w:r w:rsidRPr="00C84F90">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C84F90">
        <w:rPr>
          <w:rFonts w:ascii="Arial" w:eastAsia="Arial" w:hAnsi="Arial" w:cs="Arial"/>
          <w:sz w:val="21"/>
          <w:szCs w:val="21"/>
          <w:vertAlign w:val="superscript"/>
          <w:lang w:val="es-ES_tradnl" w:eastAsia="es-ES" w:bidi="es-ES"/>
        </w:rPr>
        <w:footnoteReference w:id="31"/>
      </w:r>
      <w:r w:rsidRPr="00C84F90">
        <w:rPr>
          <w:rFonts w:ascii="Arial" w:eastAsia="Arial" w:hAnsi="Arial" w:cs="Arial"/>
          <w:sz w:val="21"/>
          <w:szCs w:val="21"/>
          <w:vertAlign w:val="superscript"/>
          <w:lang w:val="es-ES_tradnl" w:eastAsia="es-ES" w:bidi="es-ES"/>
        </w:rPr>
        <w:footnoteReference w:id="32"/>
      </w:r>
      <w:r w:rsidRPr="00C84F90">
        <w:rPr>
          <w:rFonts w:ascii="Arial" w:eastAsia="Arial" w:hAnsi="Arial" w:cs="Arial"/>
          <w:sz w:val="21"/>
          <w:szCs w:val="21"/>
          <w:lang w:val="es-ES_tradnl" w:eastAsia="es-ES" w:bidi="es-ES"/>
        </w:rPr>
        <w:t>.</w:t>
      </w:r>
    </w:p>
    <w:p w14:paraId="26372C8C" w14:textId="77777777" w:rsidR="00C84F90" w:rsidRPr="00C84F90" w:rsidRDefault="00C84F90" w:rsidP="00C84F90">
      <w:pPr>
        <w:widowControl w:val="0"/>
        <w:autoSpaceDE w:val="0"/>
        <w:autoSpaceDN w:val="0"/>
        <w:spacing w:line="276" w:lineRule="auto"/>
        <w:jc w:val="both"/>
        <w:rPr>
          <w:rFonts w:ascii="Arial" w:eastAsia="Arial" w:hAnsi="Arial" w:cs="Arial"/>
          <w:sz w:val="22"/>
          <w:szCs w:val="22"/>
          <w:lang w:val="es-ES" w:eastAsia="es-ES" w:bidi="es-ES"/>
        </w:rPr>
      </w:pPr>
    </w:p>
    <w:p w14:paraId="2DB4BA39" w14:textId="5F1EC924" w:rsidR="00C84F90" w:rsidRPr="00C84F90" w:rsidRDefault="00C84F90" w:rsidP="00C84F90">
      <w:pPr>
        <w:widowControl w:val="0"/>
        <w:autoSpaceDE w:val="0"/>
        <w:autoSpaceDN w:val="0"/>
        <w:spacing w:after="120" w:line="276" w:lineRule="auto"/>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ab/>
      </w:r>
      <w:r w:rsidR="00CD59CC">
        <w:rPr>
          <w:rFonts w:ascii="Arial" w:eastAsia="Arial" w:hAnsi="Arial" w:cs="Arial"/>
          <w:sz w:val="22"/>
          <w:szCs w:val="22"/>
          <w:lang w:val="es-ES" w:eastAsia="es-ES" w:bidi="es-ES"/>
        </w:rPr>
        <w:t>V</w:t>
      </w:r>
      <w:r w:rsidRPr="00C84F90">
        <w:rPr>
          <w:rFonts w:ascii="Arial" w:eastAsia="Arial" w:hAnsi="Arial" w:cs="Arial"/>
          <w:sz w:val="22"/>
          <w:szCs w:val="22"/>
          <w:lang w:val="es-ES" w:eastAsia="es-ES" w:bidi="es-ES"/>
        </w:rPr>
        <w:t>ale la pena reiterar que el legislador y el ordenamiento jurídico, en general, en distintas ocasiones utiliza de forma indistinta los conceptos de contrato o convenio para referirse a la misma institución jurídica</w:t>
      </w:r>
      <w:r w:rsidRPr="00C84F90">
        <w:rPr>
          <w:rFonts w:ascii="Arial" w:eastAsia="Arial" w:hAnsi="Arial" w:cs="Arial"/>
          <w:sz w:val="22"/>
          <w:szCs w:val="22"/>
          <w:vertAlign w:val="superscript"/>
          <w:lang w:val="es-ES" w:eastAsia="es-ES" w:bidi="es-ES"/>
        </w:rPr>
        <w:footnoteReference w:id="33"/>
      </w:r>
      <w:r w:rsidRPr="00C84F90">
        <w:rPr>
          <w:rFonts w:ascii="Arial" w:eastAsia="Arial" w:hAnsi="Arial" w:cs="Arial"/>
          <w:sz w:val="22"/>
          <w:szCs w:val="22"/>
          <w:lang w:val="es-ES" w:eastAsia="es-ES" w:bidi="es-ES"/>
        </w:rPr>
        <w:t xml:space="preserve">. Incluso la Corte Constitucional </w:t>
      </w:r>
      <w:r w:rsidR="00673D4F">
        <w:rPr>
          <w:rFonts w:ascii="Arial" w:eastAsia="Arial" w:hAnsi="Arial" w:cs="Arial"/>
          <w:sz w:val="22"/>
          <w:szCs w:val="22"/>
          <w:lang w:val="es-ES" w:eastAsia="es-ES" w:bidi="es-ES"/>
        </w:rPr>
        <w:t>fundamenta</w:t>
      </w:r>
      <w:r w:rsidRPr="00C84F90">
        <w:rPr>
          <w:rFonts w:ascii="Arial" w:eastAsia="Arial" w:hAnsi="Arial" w:cs="Arial"/>
          <w:sz w:val="22"/>
          <w:szCs w:val="22"/>
          <w:lang w:val="es-ES" w:eastAsia="es-ES" w:bidi="es-ES"/>
        </w:rPr>
        <w:t xml:space="preserve"> la posibilidad de celebrar convenios interadministrativos de forma directa, con fundamento en la causal establecida en la Ley 1150 de 2007 respecto a los contratos interadministrativos</w:t>
      </w:r>
      <w:r w:rsidRPr="00C84F90">
        <w:rPr>
          <w:rFonts w:ascii="Arial" w:eastAsia="Arial" w:hAnsi="Arial" w:cs="Arial"/>
          <w:sz w:val="22"/>
          <w:szCs w:val="22"/>
          <w:vertAlign w:val="superscript"/>
          <w:lang w:val="es-ES" w:eastAsia="es-ES" w:bidi="es-ES"/>
        </w:rPr>
        <w:footnoteReference w:id="34"/>
      </w:r>
      <w:r w:rsidRPr="00C84F90">
        <w:rPr>
          <w:rFonts w:ascii="Arial" w:eastAsia="Arial" w:hAnsi="Arial" w:cs="Arial"/>
          <w:sz w:val="22"/>
          <w:szCs w:val="22"/>
          <w:lang w:val="es-ES" w:eastAsia="es-ES" w:bidi="es-ES"/>
        </w:rPr>
        <w:t>.</w:t>
      </w:r>
    </w:p>
    <w:p w14:paraId="0958DB80" w14:textId="3EFD4027" w:rsidR="00C84F90" w:rsidRPr="00C84F90" w:rsidRDefault="00C84F90" w:rsidP="00C84F90">
      <w:pPr>
        <w:widowControl w:val="0"/>
        <w:autoSpaceDE w:val="0"/>
        <w:autoSpaceDN w:val="0"/>
        <w:spacing w:line="276" w:lineRule="auto"/>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ab/>
        <w:t xml:space="preserve">En desarrollo de lo anterior, </w:t>
      </w:r>
      <w:r w:rsidR="00181682">
        <w:rPr>
          <w:rFonts w:ascii="Arial" w:eastAsia="Arial" w:hAnsi="Arial" w:cs="Arial"/>
          <w:sz w:val="22"/>
          <w:szCs w:val="22"/>
          <w:lang w:val="es-ES" w:eastAsia="es-ES" w:bidi="es-ES"/>
        </w:rPr>
        <w:t>se</w:t>
      </w:r>
      <w:r w:rsidRPr="00C84F90">
        <w:rPr>
          <w:rFonts w:ascii="Arial" w:eastAsia="Arial" w:hAnsi="Arial" w:cs="Arial"/>
          <w:sz w:val="22"/>
          <w:szCs w:val="22"/>
          <w:lang w:val="es-ES" w:eastAsia="es-ES" w:bidi="es-ES"/>
        </w:rPr>
        <w:t xml:space="preserv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30E97938" w14:textId="77777777" w:rsidR="00C84F90" w:rsidRPr="00C84F90" w:rsidRDefault="00C84F90" w:rsidP="00C84F90">
      <w:pPr>
        <w:widowControl w:val="0"/>
        <w:autoSpaceDE w:val="0"/>
        <w:autoSpaceDN w:val="0"/>
        <w:spacing w:line="276" w:lineRule="auto"/>
        <w:jc w:val="both"/>
        <w:rPr>
          <w:rFonts w:ascii="Arial" w:eastAsia="Arial" w:hAnsi="Arial" w:cs="Arial"/>
          <w:sz w:val="22"/>
          <w:szCs w:val="22"/>
          <w:lang w:val="es-ES" w:eastAsia="es-ES" w:bidi="es-ES"/>
        </w:rPr>
      </w:pPr>
    </w:p>
    <w:p w14:paraId="244E5323" w14:textId="0EACC011" w:rsidR="00C84F90" w:rsidRPr="00C84F90" w:rsidRDefault="00C84F90" w:rsidP="002F0981">
      <w:pPr>
        <w:spacing w:after="120"/>
        <w:ind w:left="709" w:right="709"/>
        <w:jc w:val="both"/>
        <w:rPr>
          <w:rFonts w:ascii="Arial" w:eastAsiaTheme="minorHAnsi" w:hAnsi="Arial" w:cs="Arial"/>
          <w:sz w:val="21"/>
          <w:szCs w:val="21"/>
          <w:lang w:val="es-MX" w:eastAsia="en-US"/>
        </w:rPr>
      </w:pPr>
      <w:r w:rsidRPr="00C84F90">
        <w:rPr>
          <w:rFonts w:ascii="Arial" w:eastAsiaTheme="minorHAnsi" w:hAnsi="Arial" w:cs="Arial"/>
          <w:sz w:val="21"/>
          <w:szCs w:val="21"/>
          <w:lang w:val="es-ES_tradnl" w:eastAsia="en-US"/>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C84F90">
        <w:rPr>
          <w:rFonts w:ascii="Arial" w:eastAsiaTheme="minorHAnsi" w:hAnsi="Arial" w:cs="Arial"/>
          <w:sz w:val="21"/>
          <w:szCs w:val="21"/>
          <w:lang w:val="es-MX" w:eastAsia="en-US"/>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60BAAB63" w14:textId="0082851F" w:rsidR="00C84F90" w:rsidRPr="00C84F90" w:rsidRDefault="00C84F90" w:rsidP="002F0981">
      <w:pPr>
        <w:spacing w:after="120"/>
        <w:ind w:left="709" w:right="709"/>
        <w:jc w:val="both"/>
        <w:rPr>
          <w:rFonts w:ascii="Arial" w:eastAsiaTheme="minorHAnsi" w:hAnsi="Arial" w:cs="Arial"/>
          <w:sz w:val="21"/>
          <w:szCs w:val="21"/>
          <w:lang w:val="es-MX" w:eastAsia="en-US"/>
        </w:rPr>
      </w:pPr>
      <w:r w:rsidRPr="00C84F90">
        <w:rPr>
          <w:rFonts w:ascii="Arial" w:eastAsiaTheme="minorHAnsi" w:hAnsi="Arial" w:cs="Arial"/>
          <w:sz w:val="21"/>
          <w:szCs w:val="21"/>
          <w:lang w:val="es-MX" w:eastAsia="en-US"/>
        </w:rPr>
        <w:t xml:space="preserve">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w:t>
      </w:r>
      <w:r w:rsidRPr="00C84F90">
        <w:rPr>
          <w:rFonts w:ascii="Arial" w:eastAsiaTheme="minorHAnsi" w:hAnsi="Arial" w:cs="Arial"/>
          <w:sz w:val="21"/>
          <w:szCs w:val="21"/>
          <w:lang w:val="es-MX" w:eastAsia="en-US"/>
        </w:rPr>
        <w:lastRenderedPageBreak/>
        <w:t>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744DE43B" w14:textId="77777777" w:rsidR="00C84F90" w:rsidRPr="00C84F90" w:rsidRDefault="00C84F90" w:rsidP="00C84F90">
      <w:pPr>
        <w:ind w:left="709" w:right="709"/>
        <w:jc w:val="both"/>
        <w:rPr>
          <w:rFonts w:asciiTheme="minorHAnsi" w:eastAsiaTheme="minorHAnsi" w:hAnsiTheme="minorHAnsi" w:cstheme="minorBidi"/>
          <w:szCs w:val="22"/>
          <w:lang w:val="es-MX" w:eastAsia="en-US"/>
        </w:rPr>
      </w:pPr>
      <w:r w:rsidRPr="00C84F90">
        <w:rPr>
          <w:rFonts w:ascii="Arial" w:eastAsiaTheme="minorHAnsi" w:hAnsi="Arial" w:cs="Arial"/>
          <w:sz w:val="21"/>
          <w:szCs w:val="21"/>
          <w:lang w:val="es-MX" w:eastAsia="en-US"/>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6B39A185" w14:textId="77777777" w:rsidR="00C84F90" w:rsidRPr="00FD7DA9" w:rsidRDefault="00C84F90" w:rsidP="00C84F90">
      <w:pPr>
        <w:widowControl w:val="0"/>
        <w:autoSpaceDE w:val="0"/>
        <w:autoSpaceDN w:val="0"/>
        <w:spacing w:before="3" w:line="276" w:lineRule="auto"/>
        <w:jc w:val="both"/>
        <w:rPr>
          <w:rFonts w:ascii="Arial" w:eastAsia="Arial" w:hAnsi="Arial" w:cs="Arial"/>
          <w:sz w:val="22"/>
          <w:szCs w:val="22"/>
          <w:lang w:val="es-ES" w:eastAsia="es-ES" w:bidi="es-ES"/>
        </w:rPr>
      </w:pPr>
    </w:p>
    <w:p w14:paraId="1CF64F59" w14:textId="1D57D3A0" w:rsidR="00C84F90" w:rsidRPr="00C84F90" w:rsidRDefault="00C84F90" w:rsidP="00C84F90">
      <w:pPr>
        <w:widowControl w:val="0"/>
        <w:autoSpaceDE w:val="0"/>
        <w:autoSpaceDN w:val="0"/>
        <w:spacing w:after="120" w:line="276" w:lineRule="auto"/>
        <w:jc w:val="both"/>
        <w:rPr>
          <w:rFonts w:ascii="Arial" w:eastAsia="Calibri" w:hAnsi="Arial" w:cs="Arial"/>
          <w:bCs/>
          <w:sz w:val="22"/>
          <w:szCs w:val="22"/>
          <w:lang w:eastAsia="es-ES" w:bidi="es-ES"/>
        </w:rPr>
      </w:pPr>
      <w:r w:rsidRPr="00C84F90">
        <w:rPr>
          <w:rFonts w:ascii="Arial" w:eastAsia="Arial" w:hAnsi="Arial" w:cs="Arial"/>
          <w:sz w:val="25"/>
          <w:szCs w:val="22"/>
          <w:lang w:val="es-ES" w:eastAsia="es-ES" w:bidi="es-ES"/>
        </w:rPr>
        <w:tab/>
      </w:r>
      <w:r w:rsidRPr="00C84F90">
        <w:rPr>
          <w:rFonts w:ascii="Arial" w:eastAsia="Arial" w:hAnsi="Arial" w:cs="Arial"/>
          <w:sz w:val="22"/>
          <w:szCs w:val="22"/>
          <w:lang w:val="es-ES"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asimila</w:t>
      </w:r>
      <w:r w:rsidR="00F30394">
        <w:rPr>
          <w:rFonts w:ascii="Arial" w:eastAsia="Arial" w:hAnsi="Arial" w:cs="Arial"/>
          <w:sz w:val="22"/>
          <w:szCs w:val="22"/>
          <w:lang w:val="es-ES" w:eastAsia="es-ES" w:bidi="es-ES"/>
        </w:rPr>
        <w:t>ron</w:t>
      </w:r>
      <w:r w:rsidRPr="00C84F90">
        <w:rPr>
          <w:rFonts w:ascii="Arial" w:eastAsia="Arial" w:hAnsi="Arial" w:cs="Arial"/>
          <w:sz w:val="22"/>
          <w:szCs w:val="22"/>
          <w:lang w:val="es-ES" w:eastAsia="es-ES" w:bidi="es-ES"/>
        </w:rPr>
        <w:t xml:space="preserve">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40"/>
    </w:p>
    <w:p w14:paraId="7B15C699" w14:textId="07AD410A" w:rsidR="00C84F90" w:rsidRDefault="00C84F90" w:rsidP="24C1067D">
      <w:pPr>
        <w:tabs>
          <w:tab w:val="left" w:pos="426"/>
        </w:tabs>
        <w:spacing w:after="120" w:line="276" w:lineRule="auto"/>
        <w:ind w:firstLine="709"/>
        <w:jc w:val="both"/>
        <w:rPr>
          <w:rFonts w:ascii="Arial" w:eastAsia="Calibri" w:hAnsi="Arial" w:cs="Arial"/>
          <w:sz w:val="22"/>
          <w:szCs w:val="22"/>
          <w:lang w:eastAsia="es-ES" w:bidi="es-ES"/>
        </w:rPr>
      </w:pPr>
      <w:r w:rsidRPr="24C1067D">
        <w:rPr>
          <w:rFonts w:ascii="Arial" w:hAnsi="Arial" w:cs="Arial"/>
          <w:sz w:val="22"/>
          <w:szCs w:val="22"/>
          <w:lang w:eastAsia="es-CO"/>
        </w:rPr>
        <w:t xml:space="preserve">Se observa entonces que </w:t>
      </w:r>
      <w:r w:rsidRPr="24C1067D">
        <w:rPr>
          <w:rFonts w:ascii="Arial" w:hAnsi="Arial" w:cs="Arial"/>
          <w:sz w:val="22"/>
          <w:szCs w:val="22"/>
          <w:lang w:val="es-MX"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24C1067D">
        <w:rPr>
          <w:rFonts w:ascii="Arial" w:hAnsi="Arial" w:cs="Arial"/>
          <w:i/>
          <w:iCs/>
          <w:sz w:val="22"/>
          <w:szCs w:val="22"/>
          <w:lang w:val="es-MX" w:eastAsia="es-CO"/>
        </w:rPr>
        <w:t>ibidem</w:t>
      </w:r>
      <w:r w:rsidRPr="24C1067D">
        <w:rPr>
          <w:rFonts w:ascii="Arial" w:hAnsi="Arial" w:cs="Arial"/>
          <w:sz w:val="22"/>
          <w:szCs w:val="22"/>
          <w:lang w:val="es-MX"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00363544" w:rsidRPr="24C1067D">
        <w:rPr>
          <w:rStyle w:val="Refdenotaalpie"/>
          <w:rFonts w:ascii="Arial" w:hAnsi="Arial" w:cs="Arial"/>
          <w:sz w:val="22"/>
          <w:szCs w:val="22"/>
          <w:lang w:val="es-MX" w:eastAsia="es-CO"/>
        </w:rPr>
        <w:footnoteReference w:id="35"/>
      </w:r>
      <w:r w:rsidRPr="24C1067D">
        <w:rPr>
          <w:rFonts w:ascii="Arial" w:hAnsi="Arial" w:cs="Arial"/>
          <w:sz w:val="22"/>
          <w:szCs w:val="22"/>
          <w:lang w:val="es-MX" w:eastAsia="es-CO"/>
        </w:rPr>
        <w:t xml:space="preserve">. </w:t>
      </w:r>
    </w:p>
    <w:p w14:paraId="5A828248" w14:textId="07AD410A" w:rsidR="00C84F90" w:rsidRDefault="00C84F90" w:rsidP="00C84F90">
      <w:pPr>
        <w:tabs>
          <w:tab w:val="left" w:pos="426"/>
        </w:tabs>
        <w:spacing w:after="120" w:line="276" w:lineRule="auto"/>
        <w:ind w:firstLine="709"/>
        <w:jc w:val="both"/>
        <w:rPr>
          <w:rFonts w:ascii="Arial" w:eastAsia="Calibri" w:hAnsi="Arial" w:cs="Arial"/>
          <w:sz w:val="22"/>
          <w:szCs w:val="22"/>
          <w:lang w:eastAsia="es-ES" w:bidi="es-ES"/>
        </w:rPr>
      </w:pPr>
      <w:r w:rsidRPr="24C1067D">
        <w:rPr>
          <w:rFonts w:ascii="Arial" w:hAnsi="Arial" w:cs="Arial"/>
          <w:sz w:val="22"/>
          <w:szCs w:val="22"/>
          <w:lang w:val="es-ES" w:eastAsia="es-CO" w:bidi="es-ES"/>
        </w:rPr>
        <w:t>En todo caso</w:t>
      </w:r>
      <w:bookmarkStart w:id="41" w:name="_Hlk77154098"/>
      <w:r w:rsidRPr="002F0981">
        <w:rPr>
          <w:rFonts w:ascii="Arial" w:eastAsia="Arial" w:hAnsi="Arial" w:cs="Arial"/>
          <w:sz w:val="22"/>
          <w:szCs w:val="22"/>
          <w:lang w:val="es-ES" w:eastAsia="es-ES" w:bidi="es-ES"/>
        </w:rPr>
        <w:t xml:space="preserve">, es importante resaltar que la Sala de Consulta y Servicio Civil del Consejo de Estado se ha pronunciado en el sentido de que </w:t>
      </w:r>
      <w:bookmarkStart w:id="42" w:name="_Hlk78820889"/>
      <w:r w:rsidRPr="002F0981">
        <w:rPr>
          <w:rFonts w:ascii="Arial" w:eastAsia="Arial" w:hAnsi="Arial" w:cs="Arial"/>
          <w:sz w:val="22"/>
          <w:szCs w:val="22"/>
          <w:lang w:val="es-ES" w:eastAsia="es-ES" w:bidi="es-ES"/>
        </w:rPr>
        <w:t xml:space="preserve">no se les aplica la restricción de la Ley de Garantías a los convenios o contratos interadministrativos que deben celebrarse en virtud de un fallo judicial. Esto en la medida que la obligatoriedad y la fuerza </w:t>
      </w:r>
      <w:r w:rsidRPr="002F0981">
        <w:rPr>
          <w:rFonts w:ascii="Arial" w:eastAsia="Arial" w:hAnsi="Arial" w:cs="Arial"/>
          <w:sz w:val="22"/>
          <w:szCs w:val="22"/>
          <w:lang w:val="es-ES" w:eastAsia="es-ES" w:bidi="es-ES"/>
        </w:rPr>
        <w:lastRenderedPageBreak/>
        <w:t>vinculante de las sentencias ejecutoriadas proferidas por los funcionarios investidos del poder judicial emanan de la autonomía conferida a estos por la Constitución y del derecho que tienen los ciudadanos al acceso y oportuna administración de justicia</w:t>
      </w:r>
      <w:bookmarkEnd w:id="42"/>
      <w:r w:rsidRPr="002F0981">
        <w:rPr>
          <w:rFonts w:ascii="Arial" w:eastAsia="Arial" w:hAnsi="Arial" w:cs="Arial"/>
          <w:sz w:val="22"/>
          <w:szCs w:val="22"/>
          <w:vertAlign w:val="superscript"/>
          <w:lang w:val="es-ES" w:eastAsia="es-ES" w:bidi="es-ES"/>
        </w:rPr>
        <w:footnoteReference w:id="36"/>
      </w:r>
      <w:r w:rsidRPr="002F0981">
        <w:rPr>
          <w:rFonts w:ascii="Arial" w:eastAsia="Calibri" w:hAnsi="Arial" w:cs="Arial"/>
          <w:sz w:val="22"/>
          <w:szCs w:val="22"/>
          <w:lang w:eastAsia="es-ES" w:bidi="es-ES"/>
        </w:rPr>
        <w:t>.</w:t>
      </w:r>
      <w:bookmarkEnd w:id="41"/>
    </w:p>
    <w:p w14:paraId="1DA38C06" w14:textId="54E9C985" w:rsidR="00B77A97" w:rsidRDefault="00B77A97" w:rsidP="00B77A97">
      <w:pPr>
        <w:widowControl w:val="0"/>
        <w:autoSpaceDE w:val="0"/>
        <w:autoSpaceDN w:val="0"/>
        <w:spacing w:line="276" w:lineRule="auto"/>
        <w:jc w:val="both"/>
        <w:rPr>
          <w:rFonts w:ascii="Arial" w:eastAsia="Calibri" w:hAnsi="Arial" w:cs="Arial"/>
          <w:sz w:val="22"/>
          <w:szCs w:val="22"/>
          <w:lang w:eastAsia="es-ES" w:bidi="es-ES"/>
        </w:rPr>
      </w:pPr>
    </w:p>
    <w:p w14:paraId="72DE5215" w14:textId="191A379B" w:rsidR="00427B0F" w:rsidRPr="002C1CBF" w:rsidRDefault="00427B0F" w:rsidP="00427B0F">
      <w:pPr>
        <w:spacing w:line="276" w:lineRule="auto"/>
        <w:jc w:val="both"/>
        <w:rPr>
          <w:rFonts w:ascii="Arial" w:hAnsi="Arial" w:cs="Arial"/>
          <w:b/>
          <w:sz w:val="22"/>
          <w:szCs w:val="22"/>
          <w:lang w:val="es-MX" w:eastAsia="es-CO"/>
        </w:rPr>
      </w:pPr>
      <w:bookmarkStart w:id="43" w:name="_Hlk75780333"/>
      <w:bookmarkEnd w:id="34"/>
      <w:r w:rsidRPr="002C1CBF">
        <w:rPr>
          <w:rFonts w:ascii="Arial" w:hAnsi="Arial" w:cs="Arial"/>
          <w:b/>
          <w:sz w:val="22"/>
          <w:szCs w:val="22"/>
          <w:lang w:val="es-MX" w:eastAsia="es-CO"/>
        </w:rPr>
        <w:t>2.</w:t>
      </w:r>
      <w:r w:rsidR="00202647">
        <w:rPr>
          <w:rFonts w:ascii="Arial" w:hAnsi="Arial" w:cs="Arial"/>
          <w:b/>
          <w:sz w:val="22"/>
          <w:szCs w:val="22"/>
          <w:lang w:val="es-MX" w:eastAsia="es-CO"/>
        </w:rPr>
        <w:t>4</w:t>
      </w:r>
      <w:r w:rsidRPr="002C1CBF">
        <w:rPr>
          <w:rFonts w:ascii="Arial" w:hAnsi="Arial" w:cs="Arial"/>
          <w:b/>
          <w:sz w:val="22"/>
          <w:szCs w:val="22"/>
          <w:lang w:val="es-MX" w:eastAsia="es-CO"/>
        </w:rPr>
        <w:t xml:space="preserve">. </w:t>
      </w:r>
      <w:bookmarkStart w:id="44" w:name="_Hlk100219740"/>
      <w:r w:rsidRPr="002C1CBF">
        <w:rPr>
          <w:rFonts w:ascii="Arial" w:hAnsi="Arial" w:cs="Arial"/>
          <w:b/>
          <w:sz w:val="22"/>
          <w:szCs w:val="22"/>
          <w:lang w:val="es-MX" w:eastAsia="es-CO"/>
        </w:rPr>
        <w:t xml:space="preserve">Régimen contractual de los fondos de servicios educativos </w:t>
      </w:r>
      <w:r w:rsidR="00B216C8" w:rsidRPr="002C1CBF">
        <w:rPr>
          <w:rFonts w:ascii="Arial" w:hAnsi="Arial" w:cs="Arial"/>
          <w:b/>
          <w:sz w:val="22"/>
          <w:szCs w:val="22"/>
          <w:lang w:val="es-MX" w:eastAsia="es-CO"/>
        </w:rPr>
        <w:t xml:space="preserve">y aplicación de la </w:t>
      </w:r>
      <w:r w:rsidR="007C0E8C" w:rsidRPr="002C1CBF">
        <w:rPr>
          <w:rFonts w:ascii="Arial" w:hAnsi="Arial" w:cs="Arial"/>
          <w:b/>
          <w:sz w:val="22"/>
          <w:szCs w:val="22"/>
          <w:lang w:val="es-MX" w:eastAsia="es-CO"/>
        </w:rPr>
        <w:t>Ley de Garantías</w:t>
      </w:r>
      <w:bookmarkEnd w:id="44"/>
    </w:p>
    <w:p w14:paraId="6D9AC214" w14:textId="7721A981" w:rsidR="00427B0F" w:rsidRPr="002C1CBF" w:rsidRDefault="00427B0F" w:rsidP="00427B0F">
      <w:pPr>
        <w:spacing w:line="276" w:lineRule="auto"/>
        <w:jc w:val="both"/>
        <w:rPr>
          <w:rFonts w:ascii="Arial" w:hAnsi="Arial" w:cs="Arial"/>
          <w:b/>
          <w:sz w:val="22"/>
          <w:szCs w:val="22"/>
          <w:lang w:val="es-MX" w:eastAsia="es-CO"/>
        </w:rPr>
      </w:pPr>
    </w:p>
    <w:p w14:paraId="363CAD51" w14:textId="217A4DD5" w:rsidR="003D67E2" w:rsidRPr="002C1CBF" w:rsidRDefault="003D67E2" w:rsidP="003D67E2">
      <w:pPr>
        <w:spacing w:after="120" w:line="276" w:lineRule="auto"/>
        <w:jc w:val="both"/>
        <w:rPr>
          <w:rFonts w:ascii="Arial" w:hAnsi="Arial" w:cs="Arial"/>
          <w:sz w:val="22"/>
        </w:rPr>
      </w:pPr>
      <w:r w:rsidRPr="24C1067D">
        <w:rPr>
          <w:rFonts w:ascii="Arial" w:hAnsi="Arial" w:cs="Arial"/>
          <w:sz w:val="22"/>
          <w:szCs w:val="22"/>
        </w:rPr>
        <w:t>Las Leyes 60 de 1993 y 715 de 2001 descentralizaron el sistema educativo en Colombia, asignándoles a los departamentos, distritos y municipios las competencias y los recursos para dirigir las instituciones educativas. Así las cosas, el sistema educativo está descentralizado por las competencias propias otorgadas a las entidades territoriales para administrar las instituciones educativas en los diferentes niveles territoriales, sin que estas últimas sean entidades descentralizadas</w:t>
      </w:r>
      <w:r w:rsidRPr="24C1067D">
        <w:rPr>
          <w:rStyle w:val="Refdenotaalpie"/>
          <w:rFonts w:ascii="Arial" w:hAnsi="Arial" w:cs="Arial"/>
          <w:sz w:val="22"/>
          <w:szCs w:val="22"/>
        </w:rPr>
        <w:footnoteReference w:id="37"/>
      </w:r>
      <w:r w:rsidRPr="24C1067D">
        <w:rPr>
          <w:rFonts w:ascii="Arial" w:hAnsi="Arial" w:cs="Arial"/>
          <w:sz w:val="22"/>
          <w:szCs w:val="22"/>
        </w:rPr>
        <w:t xml:space="preserve">. </w:t>
      </w:r>
    </w:p>
    <w:p w14:paraId="50D1DD88" w14:textId="77777777" w:rsidR="003D67E2" w:rsidRPr="002C1CBF" w:rsidRDefault="003D67E2" w:rsidP="003D67E2">
      <w:pPr>
        <w:spacing w:before="120" w:after="120" w:line="276" w:lineRule="auto"/>
        <w:ind w:firstLine="709"/>
        <w:jc w:val="both"/>
        <w:rPr>
          <w:rFonts w:ascii="Arial" w:hAnsi="Arial" w:cs="Arial"/>
          <w:sz w:val="22"/>
        </w:rPr>
      </w:pPr>
      <w:r w:rsidRPr="24C1067D">
        <w:rPr>
          <w:rFonts w:ascii="Arial" w:hAnsi="Arial" w:cs="Arial"/>
          <w:sz w:val="22"/>
          <w:szCs w:val="22"/>
        </w:rPr>
        <w:t xml:space="preserve">Conforme a lo anterior, </w:t>
      </w:r>
      <w:bookmarkStart w:id="45" w:name="_Hlk100224224"/>
      <w:r w:rsidRPr="24C1067D">
        <w:rPr>
          <w:rFonts w:ascii="Arial" w:hAnsi="Arial" w:cs="Arial"/>
          <w:sz w:val="22"/>
          <w:szCs w:val="22"/>
        </w:rPr>
        <w:t>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Estas son cuentas contables que le permiten a las instituciones realizar la gestión y ejecución presupuestal de los recursos que reciben los establecimientos educativos</w:t>
      </w:r>
      <w:bookmarkEnd w:id="45"/>
      <w:r w:rsidRPr="24C1067D">
        <w:rPr>
          <w:rStyle w:val="Refdenotaalpie"/>
          <w:rFonts w:ascii="Arial" w:hAnsi="Arial" w:cs="Arial"/>
          <w:sz w:val="22"/>
          <w:szCs w:val="22"/>
        </w:rPr>
        <w:footnoteReference w:id="38"/>
      </w:r>
      <w:r w:rsidRPr="24C1067D">
        <w:rPr>
          <w:rFonts w:ascii="Arial" w:hAnsi="Arial" w:cs="Arial"/>
          <w:sz w:val="22"/>
          <w:szCs w:val="22"/>
        </w:rPr>
        <w:t xml:space="preserve"> </w:t>
      </w:r>
      <w:r w:rsidRPr="24C1067D">
        <w:rPr>
          <w:rStyle w:val="Refdenotaalpie"/>
          <w:rFonts w:ascii="Arial" w:hAnsi="Arial" w:cs="Arial"/>
          <w:sz w:val="22"/>
          <w:szCs w:val="22"/>
        </w:rPr>
        <w:footnoteReference w:id="39"/>
      </w:r>
      <w:r w:rsidRPr="24C1067D">
        <w:rPr>
          <w:rFonts w:ascii="Arial" w:hAnsi="Arial" w:cs="Arial"/>
          <w:sz w:val="22"/>
          <w:szCs w:val="22"/>
        </w:rPr>
        <w:t>.</w:t>
      </w:r>
    </w:p>
    <w:p w14:paraId="1E2C93D5" w14:textId="77777777" w:rsidR="003D67E2" w:rsidRPr="002C1CBF" w:rsidRDefault="003D67E2" w:rsidP="003D67E2">
      <w:pPr>
        <w:spacing w:before="120" w:line="276" w:lineRule="auto"/>
        <w:ind w:firstLine="709"/>
        <w:jc w:val="both"/>
        <w:rPr>
          <w:rFonts w:ascii="Arial" w:hAnsi="Arial" w:cs="Arial"/>
          <w:sz w:val="22"/>
        </w:rPr>
      </w:pPr>
      <w:r w:rsidRPr="002C1CBF">
        <w:rPr>
          <w:rFonts w:ascii="Arial" w:hAnsi="Arial" w:cs="Arial"/>
          <w:sz w:val="22"/>
        </w:rPr>
        <w:lastRenderedPageBreak/>
        <w:t>Los fondos de servicios educativos tampoco cuentan con personería jurídica según lo previsto en el artículo 2.3.1.6.3.4 del Decreto 1075 de 2015, Decreto Único Reglamentario del Sector Educación:</w:t>
      </w:r>
    </w:p>
    <w:p w14:paraId="2F301BA9" w14:textId="77777777" w:rsidR="003D67E2" w:rsidRPr="002C1CBF" w:rsidRDefault="003D67E2" w:rsidP="003D67E2">
      <w:pPr>
        <w:spacing w:line="276" w:lineRule="auto"/>
        <w:ind w:firstLine="709"/>
        <w:jc w:val="both"/>
        <w:rPr>
          <w:rFonts w:ascii="Arial" w:hAnsi="Arial" w:cs="Arial"/>
          <w:sz w:val="22"/>
        </w:rPr>
      </w:pPr>
    </w:p>
    <w:p w14:paraId="63A1EE98" w14:textId="77777777" w:rsidR="003D67E2" w:rsidRPr="002C1CBF" w:rsidRDefault="003D67E2" w:rsidP="003D67E2">
      <w:pPr>
        <w:ind w:left="709" w:right="709"/>
        <w:jc w:val="both"/>
        <w:rPr>
          <w:rFonts w:ascii="Arial" w:hAnsi="Arial" w:cs="Arial"/>
          <w:sz w:val="21"/>
          <w:szCs w:val="21"/>
        </w:rPr>
      </w:pPr>
      <w:r w:rsidRPr="002C1CBF">
        <w:rPr>
          <w:rFonts w:ascii="Arial" w:hAnsi="Arial" w:cs="Arial"/>
          <w:sz w:val="21"/>
          <w:szCs w:val="21"/>
        </w:rPr>
        <w:t>Artículo 2.3.1.6.3.4. Ordenación del gasto. Los fondos de servicios educativos carecen de personería jurídica. El rector o director rural es el ordenador del gasto del Fondo de Servicios Educativos y su ejercicio no implica representación legal.</w:t>
      </w:r>
    </w:p>
    <w:p w14:paraId="564B3301" w14:textId="77777777" w:rsidR="003D67E2" w:rsidRPr="002C1CBF" w:rsidRDefault="003D67E2" w:rsidP="003D67E2">
      <w:pPr>
        <w:spacing w:line="276" w:lineRule="auto"/>
        <w:jc w:val="both"/>
        <w:rPr>
          <w:rFonts w:ascii="Arial" w:hAnsi="Arial" w:cs="Arial"/>
          <w:sz w:val="22"/>
        </w:rPr>
      </w:pPr>
    </w:p>
    <w:p w14:paraId="1DF09BE3" w14:textId="77777777" w:rsidR="003D67E2" w:rsidRPr="002C1CBF" w:rsidRDefault="003D67E2" w:rsidP="003D67E2">
      <w:pPr>
        <w:spacing w:after="120" w:line="276" w:lineRule="auto"/>
        <w:ind w:firstLine="709"/>
        <w:jc w:val="both"/>
        <w:rPr>
          <w:rFonts w:ascii="Arial" w:hAnsi="Arial" w:cs="Arial"/>
          <w:sz w:val="22"/>
        </w:rPr>
      </w:pPr>
      <w:r w:rsidRPr="24C1067D">
        <w:rPr>
          <w:rFonts w:ascii="Arial" w:hAnsi="Arial" w:cs="Arial"/>
          <w:sz w:val="22"/>
          <w:szCs w:val="22"/>
        </w:rPr>
        <w:t>En relación con la capacidad para contratar con la que cuentan las instituciones educativas por medio de los fondos de servicios educativos, es necesario precisar que cuando se trate de actos y contratos cuya cuantía no exceda los veinte (20) salarios mínimos mensuales legales vigentes, se sujetarán a las condiciones previstas en el reglamento de contratación que expida el consejo directivo de la institución, de conformidad con lo dispuesto en el artículo 13 de la Ley 715 de 2001</w:t>
      </w:r>
      <w:r w:rsidRPr="24C1067D">
        <w:rPr>
          <w:rStyle w:val="Refdenotaalpie"/>
          <w:rFonts w:ascii="Arial" w:hAnsi="Arial" w:cs="Arial"/>
          <w:sz w:val="22"/>
          <w:szCs w:val="22"/>
        </w:rPr>
        <w:footnoteReference w:id="40"/>
      </w:r>
      <w:r w:rsidRPr="24C1067D">
        <w:rPr>
          <w:rFonts w:ascii="Arial" w:hAnsi="Arial" w:cs="Arial"/>
          <w:sz w:val="22"/>
          <w:szCs w:val="22"/>
        </w:rPr>
        <w:t xml:space="preserve">. Para estos efectos, el artículo </w:t>
      </w:r>
      <w:bookmarkStart w:id="47" w:name="_Hlk61284248"/>
      <w:r w:rsidRPr="24C1067D">
        <w:rPr>
          <w:rFonts w:ascii="Arial" w:hAnsi="Arial" w:cs="Arial"/>
          <w:sz w:val="22"/>
          <w:szCs w:val="22"/>
        </w:rPr>
        <w:t>2.3.1.6.3.17. del Decreto 1075 de 2015</w:t>
      </w:r>
      <w:bookmarkEnd w:id="47"/>
      <w:r w:rsidRPr="24C1067D">
        <w:rPr>
          <w:rFonts w:ascii="Arial" w:hAnsi="Arial" w:cs="Arial"/>
          <w:sz w:val="22"/>
          <w:szCs w:val="22"/>
        </w:rPr>
        <w:t xml:space="preserve"> dispone lo siguiente:</w:t>
      </w:r>
    </w:p>
    <w:p w14:paraId="329903DF" w14:textId="77777777" w:rsidR="003D67E2" w:rsidRPr="002C1CBF" w:rsidRDefault="003D67E2" w:rsidP="003D67E2">
      <w:pPr>
        <w:spacing w:line="276" w:lineRule="auto"/>
        <w:ind w:firstLine="709"/>
        <w:jc w:val="both"/>
        <w:rPr>
          <w:rFonts w:ascii="Arial" w:hAnsi="Arial" w:cs="Arial"/>
          <w:sz w:val="22"/>
        </w:rPr>
      </w:pPr>
    </w:p>
    <w:p w14:paraId="33364287" w14:textId="77777777" w:rsidR="003D67E2" w:rsidRPr="002C1CBF" w:rsidRDefault="003D67E2" w:rsidP="003D67E2">
      <w:pPr>
        <w:spacing w:after="120"/>
        <w:ind w:left="709" w:right="709"/>
        <w:jc w:val="both"/>
        <w:textAlignment w:val="baseline"/>
        <w:rPr>
          <w:rFonts w:ascii="Segoe UI" w:hAnsi="Segoe UI" w:cs="Segoe UI"/>
          <w:sz w:val="18"/>
          <w:szCs w:val="18"/>
          <w:lang w:val="es-ES" w:eastAsia="es-ES"/>
        </w:rPr>
      </w:pPr>
      <w:r w:rsidRPr="002C1CBF">
        <w:rPr>
          <w:rFonts w:ascii="Arial" w:hAnsi="Arial" w:cs="Arial"/>
          <w:color w:val="000000"/>
          <w:sz w:val="21"/>
          <w:szCs w:val="21"/>
          <w:lang w:val="es-ES" w:eastAsia="es-ES"/>
        </w:rPr>
        <w:t>La celebración de contratos a que haya lugar con recursos del Fondo de Servicios </w:t>
      </w:r>
      <w:proofErr w:type="gramStart"/>
      <w:r w:rsidRPr="002C1CBF">
        <w:rPr>
          <w:rFonts w:ascii="Arial" w:hAnsi="Arial" w:cs="Arial"/>
          <w:color w:val="000000"/>
          <w:sz w:val="21"/>
          <w:szCs w:val="21"/>
          <w:lang w:val="es-ES" w:eastAsia="es-ES"/>
        </w:rPr>
        <w:t>Educativos,</w:t>
      </w:r>
      <w:proofErr w:type="gramEnd"/>
      <w:r w:rsidRPr="002C1CBF">
        <w:rPr>
          <w:rFonts w:ascii="Arial" w:hAnsi="Arial" w:cs="Arial"/>
          <w:color w:val="000000"/>
          <w:sz w:val="21"/>
          <w:szCs w:val="21"/>
          <w:lang w:val="es-ES" w:eastAsia="es-ES"/>
        </w:rPr>
        <w:t> debe realizarse con estricta sujeción a lo dispuesto en el estatuto contractual de la administración pública, cuando supere la cuantía de veinte (20) salarios mínimos legales mensuales vigentes.  </w:t>
      </w:r>
    </w:p>
    <w:p w14:paraId="43A2F794" w14:textId="77777777" w:rsidR="003D67E2" w:rsidRPr="002C1CBF" w:rsidRDefault="003D67E2" w:rsidP="003D67E2">
      <w:pPr>
        <w:ind w:left="705" w:right="705"/>
        <w:jc w:val="both"/>
        <w:textAlignment w:val="baseline"/>
        <w:rPr>
          <w:rFonts w:ascii="Segoe UI" w:hAnsi="Segoe UI" w:cs="Segoe UI"/>
          <w:sz w:val="18"/>
          <w:szCs w:val="18"/>
          <w:lang w:val="es-ES" w:eastAsia="es-ES"/>
        </w:rPr>
      </w:pPr>
      <w:r w:rsidRPr="002C1CBF">
        <w:rPr>
          <w:rFonts w:ascii="Arial" w:hAnsi="Arial" w:cs="Arial"/>
          <w:color w:val="000000"/>
          <w:sz w:val="21"/>
          <w:szCs w:val="21"/>
          <w:lang w:val="es-ES" w:eastAsia="es-ES"/>
        </w:rPr>
        <w:t xml:space="preserve">Si la cuantía es inferior a los veinte (20) salarios mínimos legales mensuales vigentes se deben seguir los procedimientos establecidos en el reglamento </w:t>
      </w:r>
      <w:r w:rsidRPr="002C1CBF">
        <w:rPr>
          <w:rFonts w:ascii="Arial" w:hAnsi="Arial" w:cs="Arial"/>
          <w:color w:val="000000"/>
          <w:sz w:val="21"/>
          <w:szCs w:val="21"/>
          <w:lang w:val="es-ES" w:eastAsia="es-ES"/>
        </w:rPr>
        <w:lastRenderedPageBreak/>
        <w:t>expedido por el consejo directivo, de conformidad con lo dispuesto en el artículo 13 de la Ley 715 de 2001, y en todo caso siguiendo los principios de transparencia, economía, publicidad, y responsabilidad, de conformidad con los postulados de la función administrativa.  </w:t>
      </w:r>
    </w:p>
    <w:p w14:paraId="5E00CDFE" w14:textId="77777777" w:rsidR="003D67E2" w:rsidRPr="002C1CBF" w:rsidRDefault="003D67E2" w:rsidP="003D67E2">
      <w:pPr>
        <w:spacing w:line="276" w:lineRule="auto"/>
        <w:ind w:firstLine="709"/>
        <w:jc w:val="both"/>
        <w:rPr>
          <w:rFonts w:ascii="Arial" w:hAnsi="Arial" w:cs="Arial"/>
          <w:sz w:val="22"/>
        </w:rPr>
      </w:pPr>
    </w:p>
    <w:p w14:paraId="5FEB7252" w14:textId="77777777" w:rsidR="003D67E2" w:rsidRPr="002C1CBF" w:rsidRDefault="003D67E2" w:rsidP="003D67E2">
      <w:pPr>
        <w:spacing w:after="120" w:line="276" w:lineRule="auto"/>
        <w:ind w:firstLine="709"/>
        <w:jc w:val="both"/>
        <w:rPr>
          <w:rFonts w:ascii="Arial" w:hAnsi="Arial" w:cs="Arial"/>
          <w:sz w:val="22"/>
        </w:rPr>
      </w:pPr>
      <w:r w:rsidRPr="002C1CBF">
        <w:rPr>
          <w:rFonts w:ascii="Arial" w:hAnsi="Arial" w:cs="Arial"/>
          <w:sz w:val="22"/>
        </w:rPr>
        <w:t xml:space="preserve">Esto significa que la contratación que realicen las instituciones educativas, siempre que se ubique por debajo del referido umbral, no deberá ceñirse a las reglas del Estatuto General de Contratación de la Administración Pública, sino a las determinadas por el reglamento expedido por el consejo directivo de la institución educativa conforme al </w:t>
      </w:r>
      <w:bookmarkStart w:id="48" w:name="_Hlk61284209"/>
      <w:r w:rsidRPr="002C1CBF">
        <w:rPr>
          <w:rFonts w:ascii="Arial" w:hAnsi="Arial" w:cs="Arial"/>
          <w:sz w:val="22"/>
        </w:rPr>
        <w:t>artículo 13 de la Ley 715 de 2001</w:t>
      </w:r>
      <w:bookmarkEnd w:id="48"/>
      <w:r w:rsidRPr="002C1CBF">
        <w:rPr>
          <w:rFonts w:ascii="Arial" w:hAnsi="Arial" w:cs="Arial"/>
          <w:sz w:val="22"/>
        </w:rPr>
        <w:t xml:space="preserve">. Los reglamentos que se expidan de conformidad con los principios de igualdad, moralidad, imparcialidad y publicidad, así como de acuerdo con la experiencia y el análisis concreto de las necesidades del establecimiento, deben definir los trámites, garantías y constancias que deben cumplirse para que el rector o director celebre cualquier acto o contrato que cree, extinga o modifique obligaciones con cargo al respectivo fondo de servicios educativos. </w:t>
      </w:r>
    </w:p>
    <w:p w14:paraId="668DA6F4" w14:textId="77777777" w:rsidR="003D67E2" w:rsidRPr="002C1CBF" w:rsidRDefault="003D67E2" w:rsidP="003D67E2">
      <w:pPr>
        <w:spacing w:before="120" w:after="120" w:line="276" w:lineRule="auto"/>
        <w:ind w:firstLine="709"/>
        <w:jc w:val="both"/>
        <w:rPr>
          <w:rFonts w:ascii="Arial" w:hAnsi="Arial" w:cs="Arial"/>
          <w:sz w:val="22"/>
        </w:rPr>
      </w:pPr>
      <w:r w:rsidRPr="002C1CBF">
        <w:rPr>
          <w:rFonts w:ascii="Arial" w:hAnsi="Arial" w:cs="Arial"/>
          <w:sz w:val="22"/>
        </w:rPr>
        <w:t xml:space="preserve">En ese sentido, tratándose de la contratación realizada por dichas instituciones por debajo de la cuantía de veinte (20) salarios mínimos legales mensuales vigentes, es el consejo directivo quien tiene la competencia para establecer las reglas conforme a las cuales debe realizarse la adquisición de bienes, obras y servicios, incluidos los procedimientos, mecanismos, requisitos y formalidades que deben respetarse en estos procesos de contratación. </w:t>
      </w:r>
    </w:p>
    <w:p w14:paraId="634ABF72" w14:textId="3F1D24C0" w:rsidR="003D67E2" w:rsidRPr="002C1CBF" w:rsidRDefault="003D67E2" w:rsidP="003D67E2">
      <w:pPr>
        <w:spacing w:before="120" w:line="276" w:lineRule="auto"/>
        <w:ind w:firstLine="709"/>
        <w:jc w:val="both"/>
        <w:rPr>
          <w:rFonts w:ascii="Arial" w:hAnsi="Arial" w:cs="Arial"/>
          <w:sz w:val="22"/>
        </w:rPr>
      </w:pPr>
      <w:r w:rsidRPr="002C1CBF">
        <w:rPr>
          <w:rFonts w:ascii="Arial" w:hAnsi="Arial" w:cs="Arial"/>
          <w:sz w:val="22"/>
        </w:rPr>
        <w:t>Por el contrario, cuando la celebración de contratos a que haya lugar con recursos del fondo de servicios educativos supere la cuantía de los veinte (20) salarios mínimos legales mensuales vigentes, debe hacerse con estricta sujeción a lo dispuesto en la Ley 80 de 1993. Es decir, las reglas a las que deben sujetarse los procedimientos dentro de los que se enmarque esta contratación son las del Estatuto General</w:t>
      </w:r>
      <w:r w:rsidR="00E20AFA">
        <w:rPr>
          <w:rFonts w:ascii="Arial" w:hAnsi="Arial" w:cs="Arial"/>
          <w:sz w:val="22"/>
        </w:rPr>
        <w:t xml:space="preserve"> de Contratación</w:t>
      </w:r>
      <w:r w:rsidRPr="002C1CBF">
        <w:rPr>
          <w:rFonts w:ascii="Arial" w:hAnsi="Arial" w:cs="Arial"/>
          <w:sz w:val="22"/>
        </w:rPr>
        <w:t>, procediendo la aplicación de las modalidades de selección definidas en la Ley 1150 de 2007, así como los requisitos y formalidades establecidos en el Decreto 1082 del 2015 y demás normas aplicables.</w:t>
      </w:r>
    </w:p>
    <w:p w14:paraId="72F2293D" w14:textId="1F933285" w:rsidR="00C13B13" w:rsidRPr="002C1CBF" w:rsidRDefault="00C13B13" w:rsidP="00C13B13">
      <w:pPr>
        <w:spacing w:before="120" w:line="276" w:lineRule="auto"/>
        <w:ind w:firstLine="709"/>
        <w:jc w:val="both"/>
        <w:rPr>
          <w:rFonts w:ascii="Arial" w:hAnsi="Arial" w:cs="Arial"/>
          <w:sz w:val="22"/>
        </w:rPr>
      </w:pPr>
      <w:r w:rsidRPr="00801A5E">
        <w:rPr>
          <w:rFonts w:ascii="Arial" w:hAnsi="Arial" w:cs="Arial"/>
          <w:sz w:val="22"/>
          <w:szCs w:val="22"/>
        </w:rPr>
        <w:t>En lo que respecta al régimen sustantivo de los contratos estatales sometidos a la Ley 80 de 1993, el inciso primero del artículo 13 dispone que «Los contratos que celebren las entidades a que se refiere el artículo 2o. del presente estatuto se regirán por las disposiciones</w:t>
      </w:r>
      <w:r w:rsidRPr="24C1067D">
        <w:rPr>
          <w:rFonts w:ascii="Arial" w:hAnsi="Arial" w:cs="Arial"/>
          <w:sz w:val="22"/>
          <w:szCs w:val="22"/>
        </w:rPr>
        <w:t xml:space="preserve"> comerciales y civiles pertinentes, salvo en las materias particularmente reguladas en esta ley». En concordancia con los artículos 32 y 40 </w:t>
      </w:r>
      <w:r w:rsidRPr="24C1067D">
        <w:rPr>
          <w:rFonts w:ascii="Arial" w:hAnsi="Arial" w:cs="Arial"/>
          <w:i/>
          <w:iCs/>
          <w:sz w:val="22"/>
          <w:szCs w:val="22"/>
        </w:rPr>
        <w:t>ibídem</w:t>
      </w:r>
      <w:r w:rsidRPr="24C1067D">
        <w:rPr>
          <w:rStyle w:val="Refdenotaalpie"/>
          <w:rFonts w:ascii="Arial" w:hAnsi="Arial" w:cs="Arial"/>
          <w:sz w:val="22"/>
          <w:szCs w:val="22"/>
        </w:rPr>
        <w:footnoteReference w:id="41"/>
      </w:r>
      <w:r w:rsidRPr="24C1067D">
        <w:rPr>
          <w:rFonts w:ascii="Arial" w:hAnsi="Arial" w:cs="Arial"/>
          <w:sz w:val="22"/>
          <w:szCs w:val="22"/>
        </w:rPr>
        <w:t xml:space="preserve">, esto significa </w:t>
      </w:r>
      <w:r w:rsidRPr="24C1067D">
        <w:rPr>
          <w:rFonts w:ascii="Arial" w:hAnsi="Arial" w:cs="Arial"/>
          <w:sz w:val="22"/>
          <w:szCs w:val="22"/>
        </w:rPr>
        <w:lastRenderedPageBreak/>
        <w:t>que los contratos de las entidades sometidas al Estatuto General de Contratación se rigen generalmente por el derecho privado y excepcionalmente por el derecho público, pues las normas civiles y comerciales son el derecho común de los contratos estatales</w:t>
      </w:r>
      <w:r w:rsidRPr="24C1067D">
        <w:rPr>
          <w:rStyle w:val="Refdenotaalpie"/>
          <w:rFonts w:ascii="Arial" w:hAnsi="Arial" w:cs="Arial"/>
          <w:sz w:val="22"/>
          <w:szCs w:val="22"/>
        </w:rPr>
        <w:footnoteReference w:id="42"/>
      </w:r>
      <w:r w:rsidRPr="24C1067D">
        <w:rPr>
          <w:rFonts w:ascii="Arial" w:hAnsi="Arial" w:cs="Arial"/>
          <w:sz w:val="22"/>
          <w:szCs w:val="22"/>
        </w:rPr>
        <w:t xml:space="preserve">. </w:t>
      </w:r>
      <w:r w:rsidR="004F3071" w:rsidRPr="24C1067D">
        <w:rPr>
          <w:rFonts w:ascii="Arial" w:hAnsi="Arial" w:cs="Arial"/>
          <w:sz w:val="22"/>
          <w:szCs w:val="22"/>
        </w:rPr>
        <w:t>Así lo ha entendido la doctrina:</w:t>
      </w:r>
    </w:p>
    <w:p w14:paraId="4F25011F" w14:textId="77777777" w:rsidR="00C13B13" w:rsidRPr="002C1CBF" w:rsidRDefault="00C13B13" w:rsidP="00C13B13">
      <w:pPr>
        <w:spacing w:line="276" w:lineRule="auto"/>
        <w:ind w:firstLine="709"/>
        <w:jc w:val="both"/>
        <w:rPr>
          <w:rFonts w:ascii="Arial" w:hAnsi="Arial" w:cs="Arial"/>
          <w:sz w:val="22"/>
        </w:rPr>
      </w:pPr>
    </w:p>
    <w:p w14:paraId="59A8D4C2" w14:textId="77777777" w:rsidR="00C13B13" w:rsidRPr="002C1CBF" w:rsidRDefault="00C13B13" w:rsidP="00C13B13">
      <w:pPr>
        <w:ind w:left="709" w:right="709"/>
        <w:jc w:val="both"/>
        <w:rPr>
          <w:rFonts w:ascii="Arial" w:hAnsi="Arial" w:cs="Arial"/>
          <w:sz w:val="21"/>
          <w:szCs w:val="21"/>
        </w:rPr>
      </w:pPr>
      <w:r w:rsidRPr="002C1CBF">
        <w:rPr>
          <w:rFonts w:ascii="Arial" w:hAnsi="Arial" w:cs="Arial"/>
          <w:sz w:val="21"/>
          <w:szCs w:val="21"/>
        </w:rPr>
        <w:t xml:space="preserve">[…] no hace otra cosa que aprovechar ciertos principios rectores de las contratación general </w:t>
      </w:r>
      <w:proofErr w:type="gramStart"/>
      <w:r w:rsidRPr="002C1CBF">
        <w:rPr>
          <w:rFonts w:ascii="Arial" w:hAnsi="Arial" w:cs="Arial"/>
          <w:sz w:val="21"/>
          <w:szCs w:val="21"/>
        </w:rPr>
        <w:t>que</w:t>
      </w:r>
      <w:proofErr w:type="gramEnd"/>
      <w:r w:rsidRPr="002C1CBF">
        <w:rPr>
          <w:rFonts w:ascii="Arial" w:hAnsi="Arial" w:cs="Arial"/>
          <w:sz w:val="21"/>
          <w:szCs w:val="21"/>
        </w:rPr>
        <w:t xml:space="preserve"> aunque tengan su consagración en códigos de derecho privado como el civil y comercial, no son propios y exclusivos de este derecho. Baste pensar en </w:t>
      </w:r>
      <w:bookmarkStart w:id="49" w:name="_Hlk61282770"/>
      <w:r w:rsidRPr="002C1CBF">
        <w:rPr>
          <w:rFonts w:ascii="Arial" w:hAnsi="Arial" w:cs="Arial"/>
          <w:sz w:val="21"/>
          <w:szCs w:val="21"/>
        </w:rPr>
        <w:t>los requisitos de consentimiento válido, objeto y causa lícitos, capacidad, elementos esenciales según la naturaleza de cada contrato, responsabilidad, naturaleza de las obligaciones emanadas de los mismos, etc</w:t>
      </w:r>
      <w:bookmarkEnd w:id="49"/>
      <w:r w:rsidRPr="002C1CBF">
        <w:rPr>
          <w:rFonts w:ascii="Arial" w:hAnsi="Arial" w:cs="Arial"/>
          <w:sz w:val="21"/>
          <w:szCs w:val="21"/>
        </w:rPr>
        <w:t>. Extremos éstos que de derecho privado no tienen sino […] el nombre y que la tradición, desde su origen romano se acostumbró a calificarlos así y a no preocuparse por su cuestionamiento. En otras palabras, extremos como los indicados […] son […] de derecho propio, aplicables a toda relación contractual, con prescindencia de los sujetos involucrados en la misma</w:t>
      </w:r>
      <w:r w:rsidRPr="002C1CBF">
        <w:rPr>
          <w:rStyle w:val="Refdenotaalpie"/>
          <w:rFonts w:ascii="Arial" w:hAnsi="Arial" w:cs="Arial"/>
          <w:sz w:val="21"/>
          <w:szCs w:val="21"/>
        </w:rPr>
        <w:footnoteReference w:id="43"/>
      </w:r>
      <w:r w:rsidRPr="002C1CBF">
        <w:rPr>
          <w:rFonts w:ascii="Arial" w:hAnsi="Arial" w:cs="Arial"/>
          <w:sz w:val="21"/>
          <w:szCs w:val="21"/>
        </w:rPr>
        <w:t xml:space="preserve">. </w:t>
      </w:r>
    </w:p>
    <w:p w14:paraId="3CF6EFCB" w14:textId="77777777" w:rsidR="00C13B13" w:rsidRPr="002C1CBF" w:rsidRDefault="00C13B13" w:rsidP="00C13B13">
      <w:pPr>
        <w:spacing w:line="276" w:lineRule="auto"/>
        <w:ind w:left="709" w:right="709"/>
        <w:jc w:val="both"/>
        <w:rPr>
          <w:rFonts w:ascii="Arial" w:hAnsi="Arial" w:cs="Arial"/>
          <w:sz w:val="22"/>
        </w:rPr>
      </w:pPr>
      <w:r w:rsidRPr="002C1CBF">
        <w:rPr>
          <w:rFonts w:ascii="Arial" w:hAnsi="Arial" w:cs="Arial"/>
          <w:sz w:val="22"/>
        </w:rPr>
        <w:t xml:space="preserve"> </w:t>
      </w:r>
    </w:p>
    <w:p w14:paraId="685A0600" w14:textId="1DD3F886" w:rsidR="00C13B13" w:rsidRPr="002C1CBF" w:rsidRDefault="00C13B13" w:rsidP="00C13B13">
      <w:pPr>
        <w:spacing w:after="120" w:line="276" w:lineRule="auto"/>
        <w:jc w:val="both"/>
        <w:rPr>
          <w:rFonts w:ascii="Arial" w:hAnsi="Arial" w:cs="Arial"/>
          <w:sz w:val="22"/>
        </w:rPr>
      </w:pPr>
      <w:r w:rsidRPr="002C1CBF">
        <w:rPr>
          <w:rFonts w:ascii="Arial" w:hAnsi="Arial" w:cs="Arial"/>
          <w:sz w:val="22"/>
        </w:rPr>
        <w:tab/>
        <w:t xml:space="preserve">Ello no implica una privatización </w:t>
      </w:r>
      <w:r w:rsidR="00E20AFA">
        <w:rPr>
          <w:rFonts w:ascii="Arial" w:hAnsi="Arial" w:cs="Arial"/>
          <w:sz w:val="22"/>
        </w:rPr>
        <w:t>fuerte</w:t>
      </w:r>
      <w:r w:rsidR="00E20AFA" w:rsidRPr="002C1CBF">
        <w:rPr>
          <w:rFonts w:ascii="Arial" w:hAnsi="Arial" w:cs="Arial"/>
          <w:sz w:val="22"/>
        </w:rPr>
        <w:t xml:space="preserve"> </w:t>
      </w:r>
      <w:r w:rsidRPr="002C1CBF">
        <w:rPr>
          <w:rFonts w:ascii="Arial" w:hAnsi="Arial" w:cs="Arial"/>
          <w:sz w:val="22"/>
        </w:rPr>
        <w:t>del régimen contractual de las entidades públicas, pues la Ley 80 de 1993 –entre otros aspectos– regula especialmente la capacidad jurídica –inhabilidades, incompatibilidades, consorcios y uniones temporales y registro único de proponentes–, las reglas de selección objetiva –procedimientos de selección–, así como algunos aspectos de ejecución contractual –manejo del riesgo, cláusulas exorbitantes y tipologías contractuales–. Por ello, con excepción de las materias expresamente reguladas en el Estatuto de Contratación, es posible la aplicación de normas civiles y comerciales.</w:t>
      </w:r>
    </w:p>
    <w:p w14:paraId="60A5243C" w14:textId="77777777" w:rsidR="00C13B13" w:rsidRPr="002C1CBF" w:rsidRDefault="00C13B13" w:rsidP="00C13B13">
      <w:pPr>
        <w:spacing w:after="120" w:line="276" w:lineRule="auto"/>
        <w:jc w:val="both"/>
        <w:rPr>
          <w:rFonts w:ascii="Arial" w:hAnsi="Arial" w:cs="Arial"/>
          <w:sz w:val="22"/>
        </w:rPr>
      </w:pPr>
      <w:r w:rsidRPr="002C1CBF">
        <w:rPr>
          <w:rFonts w:ascii="Arial" w:hAnsi="Arial" w:cs="Arial"/>
          <w:sz w:val="22"/>
        </w:rPr>
        <w:tab/>
        <w:t xml:space="preserve">En lo que respecta a los contratos exceptuados de la Ley 80 de 1993, si bien el régimen sustantivo no se rige por los citados artículos 13, 32 y 40 del Estatuto de Contratación, es necesario aplicar las normas generales de las obligaciones y de los contratos dispuestas en el Código Civil y de Comercio. Esto en la medida que, como se explicó, el derecho privado es aplicable a todo contrato con independencia de los sujetos, especialmente, en lo relacionado con los requisitos de consentimiento válido, objeto y causa lícitos, capacidad, elementos esenciales según la naturaleza de cada contrato, responsabilidad, naturaleza de las obligaciones emanadas de los mismos, etc., pues contiene las reglas comunes de la materia. </w:t>
      </w:r>
    </w:p>
    <w:p w14:paraId="3A6C03C3" w14:textId="75909203" w:rsidR="00C13B13" w:rsidRPr="002C1CBF" w:rsidRDefault="00C13B13" w:rsidP="00C13B13">
      <w:pPr>
        <w:spacing w:after="120" w:line="276" w:lineRule="auto"/>
        <w:jc w:val="both"/>
        <w:rPr>
          <w:rFonts w:ascii="Arial" w:hAnsi="Arial" w:cs="Arial"/>
          <w:sz w:val="22"/>
        </w:rPr>
      </w:pPr>
      <w:r w:rsidRPr="002C1CBF">
        <w:rPr>
          <w:rFonts w:ascii="Arial" w:hAnsi="Arial" w:cs="Arial"/>
          <w:sz w:val="22"/>
        </w:rPr>
        <w:tab/>
        <w:t xml:space="preserve">En consecuencia, cuando no superen los veinte (20) salarios mínimos legales mensuales vigentes, el régimen sustantivo de los contratos celebrados con recursos del fondo de servicios educativos también se rige por el derecho privado. Dado que el artículo </w:t>
      </w:r>
      <w:r w:rsidRPr="002C1CBF">
        <w:rPr>
          <w:rFonts w:ascii="Arial" w:hAnsi="Arial" w:cs="Arial"/>
          <w:sz w:val="22"/>
        </w:rPr>
        <w:lastRenderedPageBreak/>
        <w:t>13 de la Ley 715 de 2001, en concordancia con el artículo 2.3.1.6.3.17. del Decreto 1075 de 2015, permite que el consejo directivo regule «[…] los trámites, garantías y constancias que deben cumplirse para que el rector o director celebre cualquier acto o contrato que cree, extinga o modifique obligaciones que deban registrarse en el Fondo […]</w:t>
      </w:r>
      <w:r w:rsidR="00E20AFA">
        <w:rPr>
          <w:rFonts w:ascii="Arial" w:hAnsi="Arial" w:cs="Arial"/>
          <w:sz w:val="22"/>
        </w:rPr>
        <w:t>»</w:t>
      </w:r>
      <w:r w:rsidRPr="002C1CBF">
        <w:rPr>
          <w:rFonts w:ascii="Arial" w:hAnsi="Arial" w:cs="Arial"/>
          <w:sz w:val="22"/>
        </w:rPr>
        <w:t xml:space="preserve">, el reglamento que defina los procedimientos aplicables complementa las normas civiles y comerciales, sin que este acto administrativo pueda modificar o derogar estas últimas por tratarse de aspectos regulados en la ley. </w:t>
      </w:r>
    </w:p>
    <w:p w14:paraId="5CD9343E" w14:textId="77777777" w:rsidR="00C13B13" w:rsidRPr="002C1CBF" w:rsidRDefault="00C13B13" w:rsidP="00C13B13">
      <w:pPr>
        <w:spacing w:after="120" w:line="276" w:lineRule="auto"/>
        <w:ind w:firstLine="708"/>
        <w:jc w:val="both"/>
        <w:rPr>
          <w:rFonts w:ascii="Arial" w:hAnsi="Arial" w:cs="Arial"/>
          <w:sz w:val="22"/>
        </w:rPr>
      </w:pPr>
      <w:r w:rsidRPr="24C1067D">
        <w:rPr>
          <w:rFonts w:ascii="Arial" w:hAnsi="Arial" w:cs="Arial"/>
          <w:sz w:val="22"/>
          <w:szCs w:val="22"/>
        </w:rPr>
        <w:t>Naturalmente, los contratos mencionados en el párrafo precedente no se rigen exclusivamente por las normas civiles y comerciales, pues además del reglamento del consejo directivo, el artículo 13 de la Ley 1150 de 2007 dispone que la contratación exceptuada del Estatuto General también se rige por los principios de la función administrativa, los principios de la gestión fiscal y el régimen de inhabilidades e incompatibilidades previsto para la contratación estatal</w:t>
      </w:r>
      <w:r w:rsidRPr="24C1067D">
        <w:rPr>
          <w:rStyle w:val="Refdenotaalpie"/>
          <w:rFonts w:ascii="Arial" w:hAnsi="Arial" w:cs="Arial"/>
          <w:sz w:val="22"/>
          <w:szCs w:val="22"/>
        </w:rPr>
        <w:footnoteReference w:id="44"/>
      </w:r>
      <w:r w:rsidRPr="24C1067D">
        <w:rPr>
          <w:rFonts w:ascii="Arial" w:hAnsi="Arial" w:cs="Arial"/>
          <w:sz w:val="22"/>
          <w:szCs w:val="22"/>
        </w:rPr>
        <w:t>.</w:t>
      </w:r>
    </w:p>
    <w:p w14:paraId="012FD882" w14:textId="44CC94BB" w:rsidR="00DC4715" w:rsidRPr="00801A5E" w:rsidRDefault="00821431" w:rsidP="004B28C4">
      <w:pPr>
        <w:spacing w:after="160" w:line="276" w:lineRule="auto"/>
        <w:ind w:firstLine="709"/>
        <w:jc w:val="both"/>
        <w:rPr>
          <w:rFonts w:ascii="Arial" w:hAnsi="Arial" w:cs="Arial"/>
          <w:bCs/>
          <w:color w:val="000000"/>
          <w:sz w:val="22"/>
          <w:lang w:eastAsia="es-CO"/>
        </w:rPr>
      </w:pPr>
      <w:r w:rsidRPr="00801A5E">
        <w:rPr>
          <w:rFonts w:ascii="Arial" w:eastAsia="Calibri" w:hAnsi="Arial" w:cs="Arial"/>
          <w:color w:val="000000" w:themeColor="text1"/>
          <w:sz w:val="22"/>
        </w:rPr>
        <w:t>En este contexto</w:t>
      </w:r>
      <w:r w:rsidR="00EA59D5" w:rsidRPr="00801A5E">
        <w:rPr>
          <w:rFonts w:ascii="Arial" w:eastAsia="Calibri" w:hAnsi="Arial" w:cs="Arial"/>
          <w:color w:val="000000" w:themeColor="text1"/>
          <w:sz w:val="22"/>
        </w:rPr>
        <w:t xml:space="preserve">, para la restricción del artículo 33 de la </w:t>
      </w:r>
      <w:r w:rsidR="00EA59D5" w:rsidRPr="00801A5E">
        <w:rPr>
          <w:rFonts w:ascii="Arial" w:hAnsi="Arial" w:cs="Arial"/>
          <w:bCs/>
          <w:color w:val="000000"/>
          <w:sz w:val="22"/>
          <w:lang w:eastAsia="es-CO"/>
        </w:rPr>
        <w:t xml:space="preserve">Ley 996 de 2005 es necesario considerar que </w:t>
      </w:r>
      <w:r w:rsidR="00EA59D5" w:rsidRPr="00801A5E">
        <w:rPr>
          <w:rFonts w:ascii="Arial" w:eastAsia="Calibri" w:hAnsi="Arial" w:cs="Arial"/>
          <w:sz w:val="22"/>
          <w:lang w:val="es-ES"/>
        </w:rPr>
        <w:t xml:space="preserve">el artículo </w:t>
      </w:r>
      <w:r w:rsidR="001B4CCC" w:rsidRPr="00801A5E">
        <w:rPr>
          <w:rFonts w:ascii="Arial" w:hAnsi="Arial" w:cs="Arial"/>
          <w:sz w:val="22"/>
        </w:rPr>
        <w:t>13 de la Ley 715 de 2001</w:t>
      </w:r>
      <w:r w:rsidR="00EA59D5" w:rsidRPr="00801A5E">
        <w:rPr>
          <w:rFonts w:ascii="Arial" w:hAnsi="Arial" w:cs="Arial"/>
          <w:bCs/>
          <w:color w:val="000000"/>
          <w:sz w:val="22"/>
          <w:lang w:eastAsia="es-CO"/>
        </w:rPr>
        <w:t xml:space="preserve"> consagra un régimen jurídico que exceptúa la aplicación del Estatuto General de Contratación de la Administración Pública</w:t>
      </w:r>
      <w:r w:rsidR="00353EAD" w:rsidRPr="00801A5E">
        <w:rPr>
          <w:rFonts w:ascii="Arial" w:hAnsi="Arial" w:cs="Arial"/>
          <w:bCs/>
          <w:color w:val="000000"/>
          <w:sz w:val="22"/>
          <w:lang w:eastAsia="es-CO"/>
        </w:rPr>
        <w:t xml:space="preserve"> en los contratos de los fondos de servicios educativos inferiores a veinte (20) </w:t>
      </w:r>
      <w:r w:rsidR="008D1C76" w:rsidRPr="00801A5E">
        <w:rPr>
          <w:rFonts w:ascii="Arial" w:hAnsi="Arial" w:cs="Arial"/>
          <w:bCs/>
          <w:color w:val="000000"/>
          <w:sz w:val="22"/>
          <w:lang w:eastAsia="es-CO"/>
        </w:rPr>
        <w:t xml:space="preserve">SMLMV </w:t>
      </w:r>
      <w:r w:rsidR="00DC4715" w:rsidRPr="00801A5E">
        <w:rPr>
          <w:rFonts w:ascii="Arial" w:hAnsi="Arial" w:cs="Arial"/>
          <w:bCs/>
          <w:color w:val="000000"/>
          <w:sz w:val="22"/>
          <w:lang w:eastAsia="es-CO"/>
        </w:rPr>
        <w:t>con el objetivo de flexibilizar el régimen contractual aplicable. Pese a lo anterior</w:t>
      </w:r>
      <w:r w:rsidR="00EA59D5" w:rsidRPr="00801A5E">
        <w:rPr>
          <w:rFonts w:ascii="Arial" w:hAnsi="Arial" w:cs="Arial"/>
          <w:bCs/>
          <w:color w:val="000000"/>
          <w:sz w:val="22"/>
          <w:lang w:eastAsia="es-CO"/>
        </w:rPr>
        <w:t>, la prohibición de contratación directa de</w:t>
      </w:r>
      <w:r w:rsidR="0008606A" w:rsidRPr="00801A5E">
        <w:rPr>
          <w:rFonts w:ascii="Arial" w:hAnsi="Arial" w:cs="Arial"/>
          <w:bCs/>
          <w:color w:val="000000"/>
          <w:sz w:val="22"/>
          <w:lang w:eastAsia="es-CO"/>
        </w:rPr>
        <w:t xml:space="preserve"> </w:t>
      </w:r>
      <w:r w:rsidR="00EA59D5" w:rsidRPr="00801A5E">
        <w:rPr>
          <w:rFonts w:ascii="Arial" w:hAnsi="Arial" w:cs="Arial"/>
          <w:bCs/>
          <w:color w:val="000000"/>
          <w:sz w:val="22"/>
          <w:lang w:eastAsia="es-CO"/>
        </w:rPr>
        <w:t>la Ley de Garantías es independiente del régimen contractual</w:t>
      </w:r>
      <w:r w:rsidR="004B28C4" w:rsidRPr="00801A5E">
        <w:rPr>
          <w:rFonts w:ascii="Arial" w:hAnsi="Arial" w:cs="Arial"/>
          <w:bCs/>
          <w:color w:val="000000"/>
          <w:sz w:val="22"/>
          <w:lang w:eastAsia="es-CO"/>
        </w:rPr>
        <w:t>, por lo que se extiende a los contratos celebrados con cargo a los fondos de servicios educativos</w:t>
      </w:r>
      <w:r w:rsidR="00EA59D5" w:rsidRPr="00801A5E">
        <w:rPr>
          <w:rFonts w:ascii="Arial" w:hAnsi="Arial" w:cs="Arial"/>
          <w:bCs/>
          <w:color w:val="000000"/>
          <w:sz w:val="22"/>
          <w:lang w:eastAsia="es-CO"/>
        </w:rPr>
        <w:t>.</w:t>
      </w:r>
    </w:p>
    <w:p w14:paraId="152BF2CC" w14:textId="028EE54A" w:rsidR="00EA59D5" w:rsidRPr="00801A5E" w:rsidRDefault="00EA59D5" w:rsidP="004B28C4">
      <w:pPr>
        <w:spacing w:after="160" w:line="276" w:lineRule="auto"/>
        <w:ind w:firstLine="709"/>
        <w:jc w:val="both"/>
        <w:rPr>
          <w:rFonts w:ascii="Arial" w:hAnsi="Arial" w:cs="Arial"/>
          <w:bCs/>
          <w:color w:val="000000"/>
          <w:sz w:val="21"/>
          <w:szCs w:val="21"/>
          <w:lang w:eastAsia="es-CO"/>
        </w:rPr>
      </w:pPr>
      <w:r w:rsidRPr="00801A5E">
        <w:rPr>
          <w:rFonts w:ascii="Arial" w:hAnsi="Arial" w:cs="Arial"/>
          <w:color w:val="000000"/>
          <w:sz w:val="22"/>
          <w:szCs w:val="22"/>
          <w:lang w:eastAsia="es-CO"/>
        </w:rPr>
        <w:t>Así</w:t>
      </w:r>
      <w:r w:rsidR="008D1C76" w:rsidRPr="00801A5E">
        <w:rPr>
          <w:rFonts w:ascii="Arial" w:hAnsi="Arial" w:cs="Arial"/>
          <w:color w:val="000000"/>
          <w:sz w:val="22"/>
          <w:szCs w:val="22"/>
          <w:lang w:eastAsia="es-CO"/>
        </w:rPr>
        <w:t>,</w:t>
      </w:r>
      <w:r w:rsidRPr="00801A5E">
        <w:rPr>
          <w:rFonts w:ascii="Arial" w:hAnsi="Arial" w:cs="Arial"/>
          <w:color w:val="000000"/>
          <w:sz w:val="22"/>
          <w:szCs w:val="22"/>
          <w:lang w:eastAsia="es-CO"/>
        </w:rPr>
        <w:t xml:space="preserve"> la Sala de Consulta y Servicio Civil del Consejo de Estado explica que «La prohibición contenida en el artículo 33, desde el punto de vista objetivo o material, comprende la contratación directa, entendida como cualquier mecanismo de escogencia del contratista en el que se prescinde de la licitación o concurso, </w:t>
      </w:r>
      <w:r w:rsidRPr="00801A5E">
        <w:rPr>
          <w:rFonts w:ascii="Arial" w:hAnsi="Arial" w:cs="Arial"/>
          <w:i/>
          <w:iCs/>
          <w:color w:val="000000"/>
          <w:sz w:val="22"/>
          <w:szCs w:val="22"/>
          <w:lang w:eastAsia="es-CO"/>
        </w:rPr>
        <w:t>sin que se tenga en cuenta por el legislador estatutario el régimen de contratación aplicable, ya sea contenido en el Estatuto General de Contratación de la Administración Pública o uno especial en razón del objeto, del contrato o del órgano que contrata</w:t>
      </w:r>
      <w:r w:rsidRPr="00801A5E">
        <w:rPr>
          <w:rFonts w:ascii="Arial" w:hAnsi="Arial" w:cs="Arial"/>
          <w:color w:val="000000"/>
          <w:sz w:val="22"/>
          <w:szCs w:val="22"/>
          <w:lang w:eastAsia="es-CO"/>
        </w:rPr>
        <w:t>»</w:t>
      </w:r>
      <w:r w:rsidRPr="00801A5E">
        <w:rPr>
          <w:rStyle w:val="Refdenotaalpie"/>
          <w:rFonts w:ascii="Arial" w:hAnsi="Arial" w:cs="Arial"/>
          <w:color w:val="000000"/>
          <w:sz w:val="22"/>
          <w:szCs w:val="22"/>
          <w:lang w:eastAsia="es-CO"/>
        </w:rPr>
        <w:footnoteReference w:id="45"/>
      </w:r>
      <w:r w:rsidRPr="00801A5E">
        <w:rPr>
          <w:rFonts w:ascii="Arial" w:hAnsi="Arial" w:cs="Arial"/>
          <w:color w:val="000000"/>
          <w:sz w:val="22"/>
          <w:szCs w:val="22"/>
          <w:lang w:eastAsia="es-CO"/>
        </w:rPr>
        <w:t xml:space="preserve"> (Énfasis fuera de texto). Por tanto, durante la vigencia de la prohibición del artículo 33 de la Ley 996 de 2005 está restringida </w:t>
      </w:r>
      <w:r w:rsidRPr="00801A5E">
        <w:rPr>
          <w:rFonts w:ascii="Arial" w:hAnsi="Arial" w:cs="Arial"/>
          <w:i/>
          <w:iCs/>
          <w:color w:val="000000"/>
          <w:sz w:val="22"/>
          <w:szCs w:val="22"/>
          <w:lang w:eastAsia="es-CO"/>
        </w:rPr>
        <w:t>cualquier modalidad de selección que excluya la pluralidad de oferentes</w:t>
      </w:r>
      <w:r w:rsidR="008D1C76" w:rsidRPr="00801A5E">
        <w:rPr>
          <w:rFonts w:ascii="Arial" w:hAnsi="Arial" w:cs="Arial"/>
          <w:color w:val="000000"/>
          <w:sz w:val="22"/>
          <w:szCs w:val="22"/>
          <w:lang w:eastAsia="es-CO"/>
        </w:rPr>
        <w:t>, incluso aunque se realice con fundamento</w:t>
      </w:r>
      <w:r w:rsidRPr="00801A5E">
        <w:rPr>
          <w:rFonts w:ascii="Arial" w:hAnsi="Arial" w:cs="Arial"/>
          <w:color w:val="000000"/>
          <w:sz w:val="22"/>
          <w:szCs w:val="22"/>
          <w:lang w:eastAsia="es-CO"/>
        </w:rPr>
        <w:t xml:space="preserve"> en el régimen especial de contratación </w:t>
      </w:r>
      <w:r w:rsidR="001E332A" w:rsidRPr="00801A5E">
        <w:rPr>
          <w:rFonts w:ascii="Arial" w:hAnsi="Arial" w:cs="Arial"/>
          <w:color w:val="000000"/>
          <w:sz w:val="22"/>
          <w:szCs w:val="22"/>
          <w:lang w:eastAsia="es-CO"/>
        </w:rPr>
        <w:t xml:space="preserve">realizado con recursos </w:t>
      </w:r>
      <w:r w:rsidR="0008606A" w:rsidRPr="00801A5E">
        <w:rPr>
          <w:rFonts w:ascii="Arial" w:hAnsi="Arial" w:cs="Arial"/>
          <w:color w:val="000000"/>
          <w:sz w:val="22"/>
          <w:szCs w:val="22"/>
          <w:lang w:eastAsia="es-CO"/>
        </w:rPr>
        <w:t xml:space="preserve">de los </w:t>
      </w:r>
      <w:r w:rsidR="0008606A" w:rsidRPr="00801A5E">
        <w:rPr>
          <w:rFonts w:ascii="Arial" w:hAnsi="Arial" w:cs="Arial"/>
          <w:color w:val="000000"/>
          <w:sz w:val="22"/>
          <w:szCs w:val="22"/>
          <w:lang w:eastAsia="es-CO"/>
        </w:rPr>
        <w:lastRenderedPageBreak/>
        <w:t xml:space="preserve">fondos de servicios educativos por valor inferior a veinte (20) </w:t>
      </w:r>
      <w:r w:rsidR="008D1C76" w:rsidRPr="00801A5E">
        <w:rPr>
          <w:rFonts w:ascii="Arial" w:hAnsi="Arial" w:cs="Arial"/>
          <w:color w:val="000000"/>
          <w:sz w:val="22"/>
          <w:szCs w:val="22"/>
          <w:lang w:eastAsia="es-CO"/>
        </w:rPr>
        <w:t>SMLMV, por implicar una forma de contratación directa</w:t>
      </w:r>
      <w:r w:rsidRPr="00801A5E">
        <w:rPr>
          <w:rFonts w:ascii="Arial" w:hAnsi="Arial" w:cs="Arial"/>
          <w:color w:val="000000"/>
          <w:sz w:val="22"/>
          <w:szCs w:val="22"/>
          <w:lang w:eastAsia="es-CO"/>
        </w:rPr>
        <w:t>.</w:t>
      </w:r>
      <w:r w:rsidR="008D1C76" w:rsidRPr="00801A5E">
        <w:rPr>
          <w:rFonts w:ascii="Arial" w:hAnsi="Arial" w:cs="Arial"/>
          <w:color w:val="000000"/>
          <w:sz w:val="22"/>
          <w:szCs w:val="22"/>
          <w:lang w:eastAsia="es-CO"/>
        </w:rPr>
        <w:t xml:space="preserve"> En tal sentido, será posible realizar procesos contractuales, siempre que estos incluyan la posibilidad de participación de una pluralidad de oferentes, ya que estos no implicarían una contratación </w:t>
      </w:r>
      <w:r w:rsidR="008D1C76" w:rsidRPr="00801A5E">
        <w:rPr>
          <w:rFonts w:ascii="Arial" w:hAnsi="Arial" w:cs="Arial"/>
          <w:i/>
          <w:iCs/>
          <w:color w:val="000000"/>
          <w:sz w:val="22"/>
          <w:szCs w:val="22"/>
          <w:lang w:eastAsia="es-CO"/>
        </w:rPr>
        <w:t>directa.</w:t>
      </w:r>
      <w:r w:rsidR="00860384" w:rsidRPr="00801A5E">
        <w:rPr>
          <w:rFonts w:ascii="Arial" w:hAnsi="Arial" w:cs="Arial"/>
          <w:color w:val="000000"/>
          <w:sz w:val="22"/>
          <w:szCs w:val="22"/>
          <w:lang w:eastAsia="es-CO"/>
        </w:rPr>
        <w:t xml:space="preserve"> En conclusión, la prohibición del artículo 33 de la Ley 996 de 2005 se extiende a cualquier contrato realizado con recursos de fondos de servicios educativos, sean</w:t>
      </w:r>
      <w:r w:rsidR="00125B5F" w:rsidRPr="00801A5E">
        <w:rPr>
          <w:rFonts w:ascii="Arial" w:hAnsi="Arial" w:cs="Arial"/>
          <w:color w:val="000000"/>
          <w:sz w:val="22"/>
          <w:szCs w:val="22"/>
          <w:lang w:eastAsia="es-CO"/>
        </w:rPr>
        <w:t xml:space="preserve"> inferiores o superiores a 20 SMLMV siempre que el contrato se celebre sin que esté antecedido de un procedimiento que admita la posible participación de una pluralidad de oferentes, toda vez que la prohibición recae sobre la </w:t>
      </w:r>
      <w:r w:rsidR="00125B5F" w:rsidRPr="00801A5E">
        <w:rPr>
          <w:rFonts w:ascii="Arial" w:hAnsi="Arial" w:cs="Arial"/>
          <w:i/>
          <w:iCs/>
          <w:color w:val="000000"/>
          <w:sz w:val="22"/>
          <w:szCs w:val="22"/>
          <w:lang w:eastAsia="es-CO"/>
        </w:rPr>
        <w:t>contratación directa</w:t>
      </w:r>
      <w:r w:rsidR="00125B5F" w:rsidRPr="00801A5E">
        <w:rPr>
          <w:rFonts w:ascii="Arial" w:hAnsi="Arial" w:cs="Arial"/>
          <w:color w:val="000000"/>
          <w:sz w:val="22"/>
          <w:szCs w:val="22"/>
          <w:lang w:eastAsia="es-CO"/>
        </w:rPr>
        <w:t xml:space="preserve">. </w:t>
      </w:r>
      <w:r w:rsidR="00860384" w:rsidRPr="00801A5E">
        <w:rPr>
          <w:rFonts w:ascii="Arial" w:hAnsi="Arial" w:cs="Arial"/>
          <w:color w:val="000000"/>
          <w:sz w:val="22"/>
          <w:szCs w:val="22"/>
          <w:lang w:eastAsia="es-CO"/>
        </w:rPr>
        <w:t xml:space="preserve"> </w:t>
      </w:r>
    </w:p>
    <w:p w14:paraId="38B4DBE2" w14:textId="561D942F" w:rsidR="00427B0F" w:rsidRPr="00801A5E" w:rsidRDefault="00EA59D5" w:rsidP="002F0981">
      <w:pPr>
        <w:spacing w:line="276" w:lineRule="auto"/>
        <w:ind w:firstLine="708"/>
        <w:jc w:val="both"/>
        <w:rPr>
          <w:rFonts w:ascii="Arial" w:hAnsi="Arial" w:cs="Arial"/>
          <w:sz w:val="22"/>
        </w:rPr>
      </w:pPr>
      <w:r w:rsidRPr="00801A5E">
        <w:rPr>
          <w:rFonts w:ascii="Arial" w:hAnsi="Arial" w:cs="Arial"/>
          <w:bCs/>
          <w:color w:val="000000"/>
          <w:sz w:val="22"/>
          <w:lang w:eastAsia="es-CO"/>
        </w:rPr>
        <w:t xml:space="preserve">Por otra parte, respecto </w:t>
      </w:r>
      <w:r w:rsidR="00125B5F" w:rsidRPr="00801A5E">
        <w:rPr>
          <w:rFonts w:ascii="Arial" w:hAnsi="Arial" w:cs="Arial"/>
          <w:bCs/>
          <w:color w:val="000000"/>
          <w:sz w:val="22"/>
          <w:lang w:eastAsia="es-CO"/>
        </w:rPr>
        <w:t>de</w:t>
      </w:r>
      <w:r w:rsidRPr="00801A5E">
        <w:rPr>
          <w:rFonts w:ascii="Arial" w:hAnsi="Arial" w:cs="Arial"/>
          <w:bCs/>
          <w:color w:val="000000"/>
          <w:sz w:val="22"/>
          <w:lang w:eastAsia="es-CO"/>
        </w:rPr>
        <w:t xml:space="preserve"> </w:t>
      </w:r>
      <w:r w:rsidRPr="00801A5E">
        <w:rPr>
          <w:rFonts w:ascii="Arial" w:eastAsia="Calibri" w:hAnsi="Arial" w:cs="Arial"/>
          <w:color w:val="000000" w:themeColor="text1"/>
          <w:sz w:val="22"/>
        </w:rPr>
        <w:t xml:space="preserve">la restricción del artículo 38 de la </w:t>
      </w:r>
      <w:r w:rsidRPr="00801A5E">
        <w:rPr>
          <w:rFonts w:ascii="Arial" w:hAnsi="Arial" w:cs="Arial"/>
          <w:bCs/>
          <w:color w:val="000000"/>
          <w:sz w:val="22"/>
          <w:lang w:eastAsia="es-CO"/>
        </w:rPr>
        <w:t>Ley de Garantías</w:t>
      </w:r>
      <w:r w:rsidR="009E6A00" w:rsidRPr="00801A5E">
        <w:rPr>
          <w:rFonts w:ascii="Arial" w:hAnsi="Arial" w:cs="Arial"/>
          <w:bCs/>
          <w:color w:val="000000"/>
          <w:sz w:val="22"/>
          <w:lang w:eastAsia="es-CO"/>
        </w:rPr>
        <w:t>,</w:t>
      </w:r>
      <w:r w:rsidRPr="00801A5E">
        <w:rPr>
          <w:rFonts w:ascii="Arial" w:hAnsi="Arial" w:cs="Arial"/>
          <w:bCs/>
          <w:color w:val="000000"/>
          <w:sz w:val="22"/>
          <w:lang w:eastAsia="es-CO"/>
        </w:rPr>
        <w:t xml:space="preserve"> se considera que los contratos </w:t>
      </w:r>
      <w:r w:rsidR="008569AB" w:rsidRPr="00801A5E">
        <w:rPr>
          <w:rFonts w:ascii="Arial" w:hAnsi="Arial" w:cs="Arial"/>
          <w:bCs/>
          <w:color w:val="000000"/>
          <w:sz w:val="22"/>
          <w:lang w:eastAsia="es-CO"/>
        </w:rPr>
        <w:t xml:space="preserve">celebrados </w:t>
      </w:r>
      <w:r w:rsidR="00125B5F" w:rsidRPr="00801A5E">
        <w:rPr>
          <w:rFonts w:ascii="Arial" w:hAnsi="Arial" w:cs="Arial"/>
          <w:bCs/>
          <w:color w:val="000000"/>
          <w:sz w:val="22"/>
          <w:lang w:eastAsia="es-CO"/>
        </w:rPr>
        <w:t xml:space="preserve">entre </w:t>
      </w:r>
      <w:r w:rsidR="008569AB" w:rsidRPr="00801A5E">
        <w:rPr>
          <w:rFonts w:ascii="Arial" w:hAnsi="Arial" w:cs="Arial"/>
          <w:bCs/>
          <w:color w:val="000000"/>
          <w:sz w:val="22"/>
          <w:lang w:eastAsia="es-CO"/>
        </w:rPr>
        <w:t>los admini</w:t>
      </w:r>
      <w:r w:rsidR="00F6578F" w:rsidRPr="00801A5E">
        <w:rPr>
          <w:rFonts w:ascii="Arial" w:hAnsi="Arial" w:cs="Arial"/>
          <w:bCs/>
          <w:color w:val="000000"/>
          <w:sz w:val="22"/>
          <w:lang w:eastAsia="es-CO"/>
        </w:rPr>
        <w:t>stradores del fondo y otras entidades públicas son contratos interadministrativos</w:t>
      </w:r>
      <w:r w:rsidRPr="00801A5E">
        <w:rPr>
          <w:rFonts w:ascii="Arial" w:hAnsi="Arial" w:cs="Arial"/>
          <w:bCs/>
          <w:color w:val="000000"/>
          <w:sz w:val="22"/>
          <w:lang w:eastAsia="es-CO"/>
        </w:rPr>
        <w:t xml:space="preserve">. </w:t>
      </w:r>
      <w:r w:rsidR="00BC223D" w:rsidRPr="00801A5E">
        <w:rPr>
          <w:rFonts w:ascii="Arial" w:hAnsi="Arial" w:cs="Arial"/>
          <w:bCs/>
          <w:color w:val="000000"/>
          <w:sz w:val="22"/>
          <w:lang w:eastAsia="es-CO"/>
        </w:rPr>
        <w:t>E</w:t>
      </w:r>
      <w:r w:rsidR="00E46076" w:rsidRPr="00801A5E">
        <w:rPr>
          <w:rFonts w:ascii="Arial" w:hAnsi="Arial" w:cs="Arial"/>
          <w:bCs/>
          <w:color w:val="000000"/>
          <w:sz w:val="22"/>
          <w:lang w:eastAsia="es-CO"/>
        </w:rPr>
        <w:t>n efecto, e</w:t>
      </w:r>
      <w:r w:rsidRPr="00801A5E">
        <w:rPr>
          <w:rFonts w:ascii="Arial" w:hAnsi="Arial" w:cs="Arial"/>
          <w:bCs/>
          <w:color w:val="000000"/>
          <w:sz w:val="22"/>
          <w:lang w:eastAsia="es-CO"/>
        </w:rPr>
        <w:t>l citado artículo 2.2.1.2.1.4.4 d</w:t>
      </w:r>
      <w:r w:rsidRPr="00801A5E">
        <w:rPr>
          <w:rFonts w:ascii="Arial" w:eastAsia="Calibri" w:hAnsi="Arial" w:cs="Arial"/>
          <w:color w:val="000000" w:themeColor="text1"/>
          <w:sz w:val="22"/>
          <w:lang w:val="es-ES_tradnl"/>
        </w:rPr>
        <w:t>el Decreto 1082 de 2015 califica a los convenios o contratos interadministrativos como aquella contratación entre entidades estatales. E</w:t>
      </w:r>
      <w:r w:rsidR="00E46076" w:rsidRPr="00801A5E">
        <w:rPr>
          <w:rFonts w:ascii="Arial" w:eastAsia="Calibri" w:hAnsi="Arial" w:cs="Arial"/>
          <w:color w:val="000000" w:themeColor="text1"/>
          <w:sz w:val="22"/>
          <w:lang w:val="es-ES_tradnl"/>
        </w:rPr>
        <w:t>l</w:t>
      </w:r>
      <w:r w:rsidRPr="00801A5E">
        <w:rPr>
          <w:rFonts w:ascii="Arial" w:eastAsia="Calibri" w:hAnsi="Arial" w:cs="Arial"/>
          <w:color w:val="000000" w:themeColor="text1"/>
          <w:sz w:val="22"/>
          <w:lang w:val="es-ES_tradnl"/>
        </w:rPr>
        <w:t xml:space="preserve"> concepto está definido en el artículo 2.2.1.1.1.3.1 </w:t>
      </w:r>
      <w:r w:rsidRPr="00801A5E">
        <w:rPr>
          <w:rFonts w:ascii="Arial" w:eastAsia="Calibri" w:hAnsi="Arial" w:cs="Arial"/>
          <w:i/>
          <w:iCs/>
          <w:color w:val="000000" w:themeColor="text1"/>
          <w:sz w:val="22"/>
          <w:lang w:val="es-ES_tradnl"/>
        </w:rPr>
        <w:t>ibidem</w:t>
      </w:r>
      <w:r w:rsidRPr="00801A5E">
        <w:rPr>
          <w:rFonts w:ascii="Arial" w:eastAsia="Calibri" w:hAnsi="Arial" w:cs="Arial"/>
          <w:color w:val="000000" w:themeColor="text1"/>
          <w:sz w:val="22"/>
          <w:lang w:val="es-ES_tradnl"/>
        </w:rPr>
        <w:t xml:space="preserve"> como «Cada una de las entidades: (a) a las que se refiere el artículo 2 de la Ley 80 de 1993; (b) a las que se refieren los artículos 10, 14 y 24 de la Ley 1150 de 2007 y (c) aquellas entidades que por disposición de la ley deban aplicar la Ley 80 de 1993​ y la Ley 1150 de 2007, o las normas que las modifiquen, aclaren, adicionen o sustituyan».</w:t>
      </w:r>
      <w:r w:rsidR="009E6A00" w:rsidRPr="00801A5E">
        <w:rPr>
          <w:rFonts w:ascii="Arial" w:eastAsia="Calibri" w:hAnsi="Arial" w:cs="Arial"/>
          <w:color w:val="000000" w:themeColor="text1"/>
          <w:sz w:val="22"/>
          <w:lang w:val="es-ES_tradnl"/>
        </w:rPr>
        <w:t xml:space="preserve"> </w:t>
      </w:r>
      <w:r w:rsidR="007D3894" w:rsidRPr="00801A5E">
        <w:rPr>
          <w:rFonts w:ascii="Arial" w:eastAsia="Calibri" w:hAnsi="Arial" w:cs="Arial"/>
          <w:color w:val="000000" w:themeColor="text1"/>
          <w:sz w:val="22"/>
          <w:lang w:val="es-ES_tradnl"/>
        </w:rPr>
        <w:t>A</w:t>
      </w:r>
      <w:r w:rsidR="009E643E" w:rsidRPr="00801A5E">
        <w:rPr>
          <w:rFonts w:ascii="Arial" w:eastAsia="Calibri" w:hAnsi="Arial" w:cs="Arial"/>
          <w:color w:val="000000" w:themeColor="text1"/>
          <w:sz w:val="22"/>
          <w:lang w:val="es-ES_tradnl"/>
        </w:rPr>
        <w:t>unque</w:t>
      </w:r>
      <w:r w:rsidR="003B4052" w:rsidRPr="00801A5E">
        <w:rPr>
          <w:rFonts w:ascii="Arial" w:eastAsia="Calibri" w:hAnsi="Arial" w:cs="Arial"/>
          <w:color w:val="000000" w:themeColor="text1"/>
          <w:sz w:val="22"/>
          <w:lang w:val="es-ES_tradnl"/>
        </w:rPr>
        <w:t xml:space="preserve"> </w:t>
      </w:r>
      <w:r w:rsidR="003B4052" w:rsidRPr="00801A5E">
        <w:rPr>
          <w:rFonts w:ascii="Arial" w:hAnsi="Arial" w:cs="Arial"/>
          <w:sz w:val="22"/>
        </w:rPr>
        <w:t>las instituciones educativas carecen de personería jurídica, tienen capacidad para contratar y se concreta en la competencia que le otorgó el legislador en la Ley 715 de 2001 para administrar los fondos de servicios educativos</w:t>
      </w:r>
      <w:r w:rsidR="00BC76D2" w:rsidRPr="00801A5E">
        <w:rPr>
          <w:rFonts w:ascii="Arial" w:hAnsi="Arial" w:cs="Arial"/>
          <w:sz w:val="22"/>
        </w:rPr>
        <w:t xml:space="preserve">. </w:t>
      </w:r>
      <w:r w:rsidR="00145A68" w:rsidRPr="00801A5E">
        <w:rPr>
          <w:rFonts w:ascii="Arial" w:hAnsi="Arial" w:cs="Arial"/>
          <w:sz w:val="22"/>
        </w:rPr>
        <w:t>Así</w:t>
      </w:r>
      <w:r w:rsidR="00BC76D2" w:rsidRPr="00801A5E">
        <w:rPr>
          <w:rFonts w:ascii="Arial" w:hAnsi="Arial" w:cs="Arial"/>
          <w:sz w:val="22"/>
        </w:rPr>
        <w:t>, conforme al literal b) del artículo 2.1</w:t>
      </w:r>
      <w:r w:rsidR="00BD5340" w:rsidRPr="00801A5E">
        <w:rPr>
          <w:rFonts w:ascii="Arial" w:hAnsi="Arial" w:cs="Arial"/>
          <w:sz w:val="22"/>
        </w:rPr>
        <w:t xml:space="preserve"> de la Ley 80 de 1993, también se considera entidad estatal </w:t>
      </w:r>
      <w:r w:rsidR="00172A12" w:rsidRPr="00801A5E">
        <w:rPr>
          <w:rFonts w:ascii="Arial" w:hAnsi="Arial" w:cs="Arial"/>
          <w:sz w:val="22"/>
        </w:rPr>
        <w:t>todos aquellos «[…] organismos o dependencias del Estado a los que la ley otorgue capacidad para celebrar contratos».</w:t>
      </w:r>
    </w:p>
    <w:bookmarkEnd w:id="43"/>
    <w:p w14:paraId="06DC0C8A" w14:textId="42D9BD89" w:rsidR="00705A56" w:rsidRPr="00801A5E" w:rsidRDefault="00705A56">
      <w:pPr>
        <w:spacing w:line="276" w:lineRule="auto"/>
        <w:jc w:val="both"/>
        <w:rPr>
          <w:rFonts w:ascii="Arial" w:eastAsia="Calibri" w:hAnsi="Arial" w:cs="Arial"/>
          <w:b/>
          <w:bCs/>
          <w:sz w:val="22"/>
        </w:rPr>
      </w:pPr>
    </w:p>
    <w:p w14:paraId="13355948" w14:textId="7E174132" w:rsidR="00C33A69" w:rsidRPr="00801A5E" w:rsidRDefault="001E2319" w:rsidP="006C0EA1">
      <w:pPr>
        <w:tabs>
          <w:tab w:val="left" w:pos="709"/>
        </w:tabs>
        <w:spacing w:line="276" w:lineRule="auto"/>
        <w:jc w:val="both"/>
        <w:rPr>
          <w:rFonts w:ascii="Arial" w:eastAsia="Calibri" w:hAnsi="Arial" w:cs="Arial"/>
          <w:b/>
          <w:sz w:val="22"/>
          <w:lang w:val="es-ES_tradnl"/>
        </w:rPr>
      </w:pPr>
      <w:r w:rsidRPr="00801A5E">
        <w:rPr>
          <w:rFonts w:ascii="Arial" w:eastAsia="Calibri" w:hAnsi="Arial" w:cs="Arial"/>
          <w:b/>
          <w:sz w:val="22"/>
          <w:lang w:val="es-ES_tradnl"/>
        </w:rPr>
        <w:t xml:space="preserve">3. </w:t>
      </w:r>
      <w:r w:rsidR="00C33A69" w:rsidRPr="00801A5E">
        <w:rPr>
          <w:rFonts w:ascii="Arial" w:eastAsia="Calibri" w:hAnsi="Arial" w:cs="Arial"/>
          <w:b/>
          <w:sz w:val="22"/>
          <w:lang w:val="es-ES_tradnl"/>
        </w:rPr>
        <w:t>Respuesta</w:t>
      </w:r>
    </w:p>
    <w:p w14:paraId="2D7B54D8" w14:textId="5C13726D" w:rsidR="00C33A69" w:rsidRPr="00801A5E" w:rsidRDefault="00C33A69" w:rsidP="0093085B">
      <w:pPr>
        <w:tabs>
          <w:tab w:val="left" w:pos="709"/>
        </w:tabs>
        <w:spacing w:line="276" w:lineRule="auto"/>
        <w:ind w:left="709" w:right="709"/>
        <w:jc w:val="both"/>
        <w:rPr>
          <w:rFonts w:ascii="Arial" w:eastAsia="Calibri" w:hAnsi="Arial" w:cs="Arial"/>
          <w:b/>
          <w:sz w:val="21"/>
          <w:szCs w:val="21"/>
          <w:lang w:val="es-ES_tradnl"/>
        </w:rPr>
      </w:pPr>
    </w:p>
    <w:p w14:paraId="65AC39D7" w14:textId="75D8EC61" w:rsidR="007E42BC" w:rsidRPr="00801A5E" w:rsidRDefault="00DB2AF2" w:rsidP="00DB2AF2">
      <w:pPr>
        <w:spacing w:after="120"/>
        <w:ind w:left="709" w:right="709"/>
        <w:jc w:val="both"/>
        <w:rPr>
          <w:rFonts w:ascii="Arial" w:eastAsia="Calibri" w:hAnsi="Arial" w:cs="Arial"/>
          <w:sz w:val="21"/>
          <w:szCs w:val="21"/>
        </w:rPr>
      </w:pPr>
      <w:r w:rsidRPr="00801A5E">
        <w:rPr>
          <w:rFonts w:ascii="Arial" w:eastAsia="Calibri" w:hAnsi="Arial" w:cs="Arial"/>
          <w:sz w:val="22"/>
          <w:szCs w:val="22"/>
          <w:lang w:val="es-ES"/>
        </w:rPr>
        <w:t>«¿si la Ley de Garantías que se encuentra actualmente vigente prohíbe que las instituciones educativas públicas realicen contratación de mantenimientos y reparaciones, compra de materiales y suministros, adquisición de impresos y publicaciones, mantenimiento de equipos de cómputo y su respectiva compra y todo lo pertinente a las adquisiciones y contratos que realizan con los fondos de servicios educativos?»</w:t>
      </w:r>
      <w:r w:rsidRPr="00801A5E">
        <w:rPr>
          <w:rFonts w:ascii="Arial" w:eastAsia="Calibri" w:hAnsi="Arial" w:cs="Arial"/>
          <w:sz w:val="22"/>
          <w:szCs w:val="22"/>
          <w:lang w:val="es-ES_tradnl"/>
        </w:rPr>
        <w:t>.</w:t>
      </w:r>
    </w:p>
    <w:p w14:paraId="1F04F663" w14:textId="2793C0ED" w:rsidR="00A63E92" w:rsidRPr="00801A5E" w:rsidRDefault="24C1067D" w:rsidP="00801A5E">
      <w:pPr>
        <w:spacing w:after="120" w:line="276" w:lineRule="auto"/>
        <w:jc w:val="both"/>
        <w:rPr>
          <w:rFonts w:ascii="Arial" w:hAnsi="Arial" w:cs="Arial"/>
          <w:sz w:val="22"/>
          <w:szCs w:val="22"/>
          <w:lang w:val="es-MX" w:eastAsia="es-CO"/>
        </w:rPr>
      </w:pPr>
      <w:r w:rsidRPr="00801A5E">
        <w:rPr>
          <w:rFonts w:ascii="Arial" w:hAnsi="Arial" w:cs="Arial"/>
          <w:sz w:val="22"/>
          <w:szCs w:val="22"/>
          <w:lang w:val="es-MX" w:eastAsia="es-CO"/>
        </w:rPr>
        <w:t>De acuerdo con la explicación precedente, haciendo abstracción del caso particular, de la Ley 996 de 2005 se derivan dos prohibiciones diferentes aplicables a periodos preelectorales distintos. Una es la prohibición que se deriva de lo establecido en el artículo 33, respecto a las elecciones presidenciales</w:t>
      </w:r>
      <w:r w:rsidR="0073471B" w:rsidRPr="00801A5E">
        <w:rPr>
          <w:rFonts w:ascii="Arial" w:hAnsi="Arial" w:cs="Arial"/>
          <w:sz w:val="22"/>
          <w:szCs w:val="22"/>
          <w:lang w:val="es-MX" w:eastAsia="es-CO"/>
        </w:rPr>
        <w:t>;</w:t>
      </w:r>
      <w:r w:rsidRPr="00801A5E">
        <w:rPr>
          <w:rFonts w:ascii="Arial" w:hAnsi="Arial" w:cs="Arial"/>
          <w:sz w:val="22"/>
          <w:szCs w:val="22"/>
          <w:lang w:val="es-MX" w:eastAsia="es-CO"/>
        </w:rPr>
        <w:t xml:space="preserve"> y otra la originada en el parágrafo del artículo 38 que aplica frente a elecciones para cualquier cargo de elección popular, lo que también incluye las presidenciales.</w:t>
      </w:r>
    </w:p>
    <w:p w14:paraId="144C03D3" w14:textId="448E0CE1" w:rsidR="00A63E92" w:rsidRPr="00801A5E" w:rsidRDefault="24C1067D" w:rsidP="00801A5E">
      <w:pPr>
        <w:spacing w:after="120" w:line="276" w:lineRule="auto"/>
        <w:ind w:firstLine="567"/>
        <w:jc w:val="both"/>
        <w:rPr>
          <w:sz w:val="22"/>
          <w:szCs w:val="22"/>
          <w:lang w:val="es-MX" w:eastAsia="es-CO"/>
        </w:rPr>
      </w:pPr>
      <w:bookmarkStart w:id="50" w:name="_Hlk104882447"/>
      <w:r w:rsidRPr="00801A5E">
        <w:rPr>
          <w:rFonts w:ascii="Arial" w:hAnsi="Arial" w:cs="Arial"/>
          <w:i/>
          <w:iCs/>
          <w:sz w:val="22"/>
          <w:szCs w:val="22"/>
          <w:lang w:val="es-MX" w:eastAsia="es-CO"/>
        </w:rPr>
        <w:lastRenderedPageBreak/>
        <w:t>En primer lugar</w:t>
      </w:r>
      <w:r w:rsidRPr="00801A5E">
        <w:rPr>
          <w:rFonts w:ascii="Arial" w:hAnsi="Arial" w:cs="Arial"/>
          <w:sz w:val="22"/>
          <w:szCs w:val="22"/>
          <w:lang w:val="es-MX" w:eastAsia="es-CO"/>
        </w:rPr>
        <w:t xml:space="preserve">, la restricción del artículo 33 prohíbe la contratación directa por parte de todos los entes del Estado, durante los cuatro (4) meses anteriores a la elección presidencial y hasta la realización de la elección en la segunda vuelta, en caso de que se presente. En consecuencia, es necesario considerar que el artículo 13 de la Ley 715 de 2001 consagra un régimen jurídico que exceptúa la aplicación del Estatuto General de Contratación de la Administración Pública </w:t>
      </w:r>
      <w:r w:rsidR="0073471B" w:rsidRPr="00801A5E">
        <w:rPr>
          <w:rFonts w:ascii="Arial" w:hAnsi="Arial" w:cs="Arial"/>
          <w:sz w:val="22"/>
          <w:szCs w:val="22"/>
          <w:lang w:val="es-MX" w:eastAsia="es-CO"/>
        </w:rPr>
        <w:t xml:space="preserve">para </w:t>
      </w:r>
      <w:r w:rsidRPr="00801A5E">
        <w:rPr>
          <w:rFonts w:ascii="Arial" w:hAnsi="Arial" w:cs="Arial"/>
          <w:sz w:val="22"/>
          <w:szCs w:val="22"/>
          <w:lang w:val="es-MX" w:eastAsia="es-CO"/>
        </w:rPr>
        <w:t xml:space="preserve">los contratos de los fondos de servicios educativos inferiores a veinte (20) </w:t>
      </w:r>
      <w:r w:rsidR="0073471B" w:rsidRPr="00801A5E">
        <w:rPr>
          <w:rFonts w:ascii="Arial" w:hAnsi="Arial" w:cs="Arial"/>
          <w:sz w:val="22"/>
          <w:szCs w:val="22"/>
          <w:lang w:val="es-MX" w:eastAsia="es-CO"/>
        </w:rPr>
        <w:t xml:space="preserve">SMLMV, </w:t>
      </w:r>
      <w:r w:rsidRPr="00801A5E">
        <w:rPr>
          <w:rFonts w:ascii="Arial" w:hAnsi="Arial" w:cs="Arial"/>
          <w:sz w:val="22"/>
          <w:szCs w:val="22"/>
          <w:lang w:val="es-MX" w:eastAsia="es-CO"/>
        </w:rPr>
        <w:t>con el objetivo de flexibilizar el régimen contractual aplicable. Pese a lo anterior, la prohibición de contratación directa de la Ley de Garantías es independiente del régimen contractual, por lo que se extiende a los contratos celebrados con cargo a los fondos de servicios educativos.</w:t>
      </w:r>
    </w:p>
    <w:p w14:paraId="576484EE" w14:textId="09E604BA" w:rsidR="00A63E92" w:rsidRPr="00801A5E" w:rsidRDefault="002E5E89" w:rsidP="00801A5E">
      <w:pPr>
        <w:spacing w:after="120" w:line="276" w:lineRule="auto"/>
        <w:ind w:firstLine="567"/>
        <w:jc w:val="both"/>
        <w:rPr>
          <w:rFonts w:ascii="Arial" w:hAnsi="Arial" w:cs="Arial"/>
          <w:sz w:val="22"/>
          <w:szCs w:val="22"/>
          <w:lang w:val="es-MX" w:eastAsia="es-CO"/>
        </w:rPr>
      </w:pPr>
      <w:r w:rsidRPr="00801A5E">
        <w:rPr>
          <w:rFonts w:ascii="Arial" w:hAnsi="Arial" w:cs="Arial"/>
          <w:sz w:val="22"/>
          <w:szCs w:val="22"/>
          <w:lang w:val="es-MX" w:eastAsia="es-CO"/>
        </w:rPr>
        <w:t>En armonía con lo anterior</w:t>
      </w:r>
      <w:r w:rsidR="24C1067D" w:rsidRPr="00801A5E">
        <w:rPr>
          <w:rFonts w:ascii="Arial" w:hAnsi="Arial" w:cs="Arial"/>
          <w:sz w:val="22"/>
          <w:szCs w:val="22"/>
          <w:lang w:val="es-MX" w:eastAsia="es-CO"/>
        </w:rPr>
        <w:t>, la prohibición del artículo 33 de la Ley de Garantías Electorales se refiere a «cualquier sistema que no implique convocatoria pública y posibilidad de pluralidad de oferentes»</w:t>
      </w:r>
      <w:r w:rsidRPr="00801A5E">
        <w:rPr>
          <w:rStyle w:val="Refdenotaalpie"/>
          <w:rFonts w:ascii="Arial" w:hAnsi="Arial" w:cs="Arial"/>
          <w:sz w:val="22"/>
          <w:szCs w:val="22"/>
          <w:lang w:val="es-MX" w:eastAsia="es-CO"/>
        </w:rPr>
        <w:footnoteReference w:id="46"/>
      </w:r>
      <w:r w:rsidR="24C1067D" w:rsidRPr="00801A5E">
        <w:rPr>
          <w:rFonts w:ascii="Arial" w:hAnsi="Arial" w:cs="Arial"/>
          <w:sz w:val="22"/>
          <w:szCs w:val="22"/>
          <w:lang w:val="es-MX" w:eastAsia="es-CO"/>
        </w:rPr>
        <w:t xml:space="preserve">, </w:t>
      </w:r>
      <w:r w:rsidR="0073471B" w:rsidRPr="00801A5E">
        <w:rPr>
          <w:rFonts w:ascii="Arial" w:hAnsi="Arial" w:cs="Arial"/>
          <w:sz w:val="22"/>
          <w:szCs w:val="22"/>
          <w:lang w:val="es-MX" w:eastAsia="es-CO"/>
        </w:rPr>
        <w:t xml:space="preserve">esto es, la contratación directa </w:t>
      </w:r>
      <w:r w:rsidR="24C1067D" w:rsidRPr="00801A5E">
        <w:rPr>
          <w:rFonts w:ascii="Arial" w:hAnsi="Arial" w:cs="Arial"/>
          <w:sz w:val="22"/>
          <w:szCs w:val="22"/>
          <w:lang w:val="es-MX" w:eastAsia="es-CO"/>
        </w:rPr>
        <w:t xml:space="preserve">por lo que excluye </w:t>
      </w:r>
      <w:r w:rsidR="0073471B" w:rsidRPr="00801A5E">
        <w:rPr>
          <w:rFonts w:ascii="Arial" w:hAnsi="Arial" w:cs="Arial"/>
          <w:sz w:val="22"/>
          <w:szCs w:val="22"/>
          <w:lang w:val="es-MX" w:eastAsia="es-CO"/>
        </w:rPr>
        <w:t xml:space="preserve">de la prohibición a </w:t>
      </w:r>
      <w:r w:rsidR="24C1067D" w:rsidRPr="00801A5E">
        <w:rPr>
          <w:rFonts w:ascii="Arial" w:hAnsi="Arial" w:cs="Arial"/>
          <w:sz w:val="22"/>
          <w:szCs w:val="22"/>
          <w:lang w:val="es-MX" w:eastAsia="es-CO"/>
        </w:rPr>
        <w:t xml:space="preserve">las demás modalidades de contratación previstas en la Ley 1150 de 2007. Esto significa que, procedimientos como el de licitación pública, selección abreviada, concurso de méritos, mínima cuantía y demás procesos </w:t>
      </w:r>
      <w:r w:rsidR="0073471B" w:rsidRPr="00801A5E">
        <w:rPr>
          <w:rFonts w:ascii="Arial" w:hAnsi="Arial" w:cs="Arial"/>
          <w:sz w:val="22"/>
          <w:szCs w:val="22"/>
          <w:lang w:val="es-MX" w:eastAsia="es-CO"/>
        </w:rPr>
        <w:t xml:space="preserve">susceptibles de </w:t>
      </w:r>
      <w:r w:rsidR="24C1067D" w:rsidRPr="00801A5E">
        <w:rPr>
          <w:rFonts w:ascii="Arial" w:hAnsi="Arial" w:cs="Arial"/>
          <w:sz w:val="22"/>
          <w:szCs w:val="22"/>
          <w:lang w:val="es-MX" w:eastAsia="es-CO"/>
        </w:rPr>
        <w:t>pluralidad de oferentes previstos en normas especiales, pueden adelantarse en vigencia de la restricción del artículo 33, sin que ello suponga una contravención a la misma.</w:t>
      </w:r>
      <w:r w:rsidR="00125B5F" w:rsidRPr="00801A5E">
        <w:rPr>
          <w:rFonts w:ascii="Arial" w:hAnsi="Arial" w:cs="Arial"/>
          <w:sz w:val="22"/>
          <w:szCs w:val="22"/>
          <w:lang w:val="es-MX" w:eastAsia="es-CO"/>
        </w:rPr>
        <w:t xml:space="preserve"> </w:t>
      </w:r>
      <w:r w:rsidRPr="00801A5E">
        <w:rPr>
          <w:rFonts w:ascii="Arial" w:hAnsi="Arial" w:cs="Arial"/>
          <w:sz w:val="22"/>
          <w:szCs w:val="22"/>
          <w:lang w:val="es-MX" w:eastAsia="es-CO"/>
        </w:rPr>
        <w:t xml:space="preserve">En tal sentido, se reitera que la prohibición del artículo 33 de la Ley de Garantías Electorales recae sobre cualquier forma de contratación directa, salvo que </w:t>
      </w:r>
      <w:r w:rsidR="0073471B" w:rsidRPr="00801A5E">
        <w:rPr>
          <w:rFonts w:ascii="Arial" w:hAnsi="Arial" w:cs="Arial"/>
          <w:sz w:val="22"/>
          <w:szCs w:val="22"/>
          <w:lang w:val="es-MX" w:eastAsia="es-CO"/>
        </w:rPr>
        <w:t xml:space="preserve">en el caso concreto </w:t>
      </w:r>
      <w:r w:rsidRPr="00801A5E">
        <w:rPr>
          <w:rFonts w:ascii="Arial" w:hAnsi="Arial" w:cs="Arial"/>
          <w:sz w:val="22"/>
          <w:szCs w:val="22"/>
          <w:lang w:val="es-MX" w:eastAsia="es-CO"/>
        </w:rPr>
        <w:t xml:space="preserve">se presente alguna de las excepciones establecidas en el inciso segundo del artículo 33, esto es, </w:t>
      </w:r>
      <w:r w:rsidRPr="00801A5E">
        <w:rPr>
          <w:rFonts w:ascii="Arial" w:hAnsi="Arial" w:cs="Arial"/>
          <w:bCs/>
          <w:sz w:val="22"/>
          <w:szCs w:val="22"/>
          <w:lang w:val="es-MX" w:eastAsia="x-none"/>
        </w:rPr>
        <w:t xml:space="preserve">lo referente a: i) la defensa y seguridad del Estado; ii) los contratos de crédito público; </w:t>
      </w:r>
      <w:proofErr w:type="spellStart"/>
      <w:r w:rsidRPr="00801A5E">
        <w:rPr>
          <w:rFonts w:ascii="Arial" w:hAnsi="Arial" w:cs="Arial"/>
          <w:bCs/>
          <w:sz w:val="22"/>
          <w:szCs w:val="22"/>
          <w:lang w:val="es-MX" w:eastAsia="x-none"/>
        </w:rPr>
        <w:t>iii</w:t>
      </w:r>
      <w:proofErr w:type="spellEnd"/>
      <w:r w:rsidRPr="00801A5E">
        <w:rPr>
          <w:rFonts w:ascii="Arial" w:hAnsi="Arial" w:cs="Arial"/>
          <w:bCs/>
          <w:sz w:val="22"/>
          <w:szCs w:val="22"/>
          <w:lang w:val="es-MX" w:eastAsia="x-none"/>
        </w:rPr>
        <w:t xml:space="preserve">) los requeridos para cubrir las emergencias educativas, sanitarias y desastres; </w:t>
      </w:r>
      <w:proofErr w:type="spellStart"/>
      <w:r w:rsidRPr="00801A5E">
        <w:rPr>
          <w:rFonts w:ascii="Arial" w:hAnsi="Arial" w:cs="Arial"/>
          <w:bCs/>
          <w:sz w:val="22"/>
          <w:szCs w:val="22"/>
          <w:lang w:val="es-MX" w:eastAsia="x-none"/>
        </w:rPr>
        <w:t>iv</w:t>
      </w:r>
      <w:proofErr w:type="spellEnd"/>
      <w:r w:rsidRPr="00801A5E">
        <w:rPr>
          <w:rFonts w:ascii="Arial" w:hAnsi="Arial" w:cs="Arial"/>
          <w:bCs/>
          <w:sz w:val="22"/>
          <w:szCs w:val="22"/>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801A5E">
        <w:rPr>
          <w:rFonts w:ascii="Arial" w:hAnsi="Arial" w:cs="Arial"/>
          <w:bCs/>
          <w:sz w:val="22"/>
          <w:szCs w:val="22"/>
          <w:lang w:val="es-MX"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7FD10AB6" w14:textId="650CE478" w:rsidR="00A63E92" w:rsidRPr="00801A5E" w:rsidRDefault="24C1067D" w:rsidP="00801A5E">
      <w:pPr>
        <w:spacing w:after="120" w:line="276" w:lineRule="auto"/>
        <w:ind w:firstLine="567"/>
        <w:jc w:val="both"/>
        <w:rPr>
          <w:sz w:val="22"/>
          <w:szCs w:val="22"/>
          <w:lang w:val="es-MX" w:eastAsia="es-CO"/>
        </w:rPr>
      </w:pPr>
      <w:r w:rsidRPr="00801A5E">
        <w:rPr>
          <w:rFonts w:ascii="Arial" w:hAnsi="Arial" w:cs="Arial"/>
          <w:i/>
          <w:iCs/>
          <w:sz w:val="22"/>
          <w:szCs w:val="22"/>
          <w:lang w:val="es-MX" w:eastAsia="es-CO"/>
        </w:rPr>
        <w:t>En segundo lugar</w:t>
      </w:r>
      <w:r w:rsidRPr="00801A5E">
        <w:rPr>
          <w:rFonts w:ascii="Arial" w:hAnsi="Arial" w:cs="Arial"/>
          <w:sz w:val="22"/>
          <w:szCs w:val="22"/>
          <w:lang w:val="es-MX" w:eastAsia="es-CO"/>
        </w:rPr>
        <w:t xml:space="preserve">, el parágrafo del artículo 38 de la Ley 996 de 2005 prohíbe a los gobernadores, alcaldes, secretarios, gerentes y directores de Entidades Estatales del orden Municipal, Departamental o Distrital celebrar convenios o contratos interadministrativos para ejecutar recursos públicos durante los cuatro (4) meses anteriores a cualquier elección de cargos de elección popular. </w:t>
      </w:r>
    </w:p>
    <w:p w14:paraId="4874F5CC" w14:textId="2886C293" w:rsidR="00A63E92" w:rsidRPr="00801A5E" w:rsidRDefault="24C1067D" w:rsidP="00801A5E">
      <w:pPr>
        <w:spacing w:after="120" w:line="276" w:lineRule="auto"/>
        <w:ind w:firstLine="567"/>
        <w:jc w:val="both"/>
        <w:rPr>
          <w:rFonts w:ascii="Arial" w:hAnsi="Arial" w:cs="Arial"/>
          <w:sz w:val="22"/>
          <w:szCs w:val="22"/>
          <w:lang w:val="es-MX" w:eastAsia="es-CO"/>
        </w:rPr>
      </w:pPr>
      <w:r w:rsidRPr="00801A5E">
        <w:rPr>
          <w:rFonts w:ascii="Arial" w:hAnsi="Arial" w:cs="Arial"/>
          <w:sz w:val="22"/>
          <w:szCs w:val="22"/>
          <w:lang w:val="es-MX" w:eastAsia="es-CO"/>
        </w:rPr>
        <w:lastRenderedPageBreak/>
        <w:t xml:space="preserve">En este sentido, respecto a la restricción del artículo 38 de la Ley de Garantías se considera que los contratos celebrados con los administradores del fondo y </w:t>
      </w:r>
      <w:r w:rsidRPr="00801A5E">
        <w:rPr>
          <w:rFonts w:ascii="Arial" w:hAnsi="Arial" w:cs="Arial"/>
          <w:i/>
          <w:iCs/>
          <w:sz w:val="22"/>
          <w:szCs w:val="22"/>
          <w:lang w:val="es-MX" w:eastAsia="es-CO"/>
        </w:rPr>
        <w:t>otras entidades públicas</w:t>
      </w:r>
      <w:r w:rsidRPr="00801A5E">
        <w:rPr>
          <w:rFonts w:ascii="Arial" w:hAnsi="Arial" w:cs="Arial"/>
          <w:sz w:val="22"/>
          <w:szCs w:val="22"/>
          <w:lang w:val="es-MX" w:eastAsia="es-CO"/>
        </w:rPr>
        <w:t xml:space="preserve"> son contratos interadministrativos. En efecto, el citado artículo 2.2.1.2.1.4.4 del Decreto 1082 de 2015 califica a los convenios o contratos interadministrativos como aquella contratación entre entidades estatales. El concepto está definido en el artículo 2.2.1.1.1.3.1 ibidem como</w:t>
      </w:r>
      <w:r w:rsidR="0073471B" w:rsidRPr="00801A5E">
        <w:rPr>
          <w:rFonts w:ascii="Arial" w:hAnsi="Arial" w:cs="Arial"/>
          <w:sz w:val="22"/>
          <w:szCs w:val="22"/>
          <w:lang w:val="es-MX" w:eastAsia="es-CO"/>
        </w:rPr>
        <w:t>:</w:t>
      </w:r>
      <w:r w:rsidRPr="00801A5E">
        <w:rPr>
          <w:rFonts w:ascii="Arial" w:hAnsi="Arial" w:cs="Arial"/>
          <w:sz w:val="22"/>
          <w:szCs w:val="22"/>
          <w:lang w:val="es-MX" w:eastAsia="es-CO"/>
        </w:rPr>
        <w:t xml:space="preserve"> «Cada una de las entidades: (a) a las que se refiere el artículo 2 de la Ley 80 de 1993; (b) a las que se refieren los artículos 10, 14 y 24 de la Ley 1150 de 2007 y (c) aquellas entidades que por disposición de la ley deban aplicar la Ley 80 de 1993 y la Ley 1150 de 2007, o las normas que las modifiquen, aclaren, adicionen o sustituyan». Aunque las instituciones educativas carecen de personería jurídica, tienen capacidad para contratar y se concreta en la competencia que le otorgó el legislador en la Ley 715 de 2001 para administrar los fondos de servicios educativos. Así, conforme al literal b) del artículo 2.1 de la Ley 80 de 1993, también se considera entidad estatal todos aquellos «[…] organismos o dependencias del Estado a los que la ley otorgue capacidad para celebrar contratos».</w:t>
      </w:r>
    </w:p>
    <w:p w14:paraId="6F30E5B0" w14:textId="37218308" w:rsidR="00A63E92" w:rsidRPr="00FD7DA9" w:rsidRDefault="24C1067D" w:rsidP="24C1067D">
      <w:pPr>
        <w:spacing w:line="276" w:lineRule="auto"/>
        <w:ind w:firstLine="567"/>
        <w:jc w:val="both"/>
        <w:rPr>
          <w:rFonts w:ascii="Arial" w:eastAsiaTheme="minorEastAsia" w:hAnsi="Arial" w:cs="Arial"/>
          <w:sz w:val="22"/>
          <w:szCs w:val="22"/>
          <w:lang w:val="es-ES" w:eastAsia="en-US"/>
        </w:rPr>
      </w:pPr>
      <w:r w:rsidRPr="00801A5E">
        <w:rPr>
          <w:rFonts w:ascii="Arial" w:hAnsi="Arial" w:cs="Arial"/>
          <w:sz w:val="22"/>
          <w:szCs w:val="22"/>
        </w:rPr>
        <w:t>En los términos anteriormente explicados, ambas restricciones aplican a los contratos celebrados con cargo a los fondos de servicios educativos</w:t>
      </w:r>
      <w:r w:rsidR="001215F1" w:rsidRPr="00801A5E">
        <w:rPr>
          <w:rFonts w:ascii="Arial" w:hAnsi="Arial" w:cs="Arial"/>
          <w:sz w:val="22"/>
          <w:szCs w:val="22"/>
        </w:rPr>
        <w:t>, de acuerdo con el alcance precisado frente a los artículos 33 y el parágrafo del artículo 38 de la Ley de Garantías Electorales</w:t>
      </w:r>
      <w:r w:rsidRPr="00801A5E">
        <w:rPr>
          <w:rFonts w:ascii="Arial" w:hAnsi="Arial" w:cs="Arial"/>
          <w:sz w:val="22"/>
          <w:szCs w:val="22"/>
        </w:rPr>
        <w:t>. Por lo que, d</w:t>
      </w:r>
      <w:bookmarkStart w:id="51" w:name="_Hlk100224022"/>
      <w:r w:rsidR="00C12CDF" w:rsidRPr="00801A5E">
        <w:rPr>
          <w:rFonts w:ascii="Arial" w:hAnsi="Arial" w:cs="Arial"/>
          <w:sz w:val="22"/>
          <w:szCs w:val="22"/>
        </w:rPr>
        <w:t xml:space="preserve">entro de este marco general, </w:t>
      </w:r>
      <w:r w:rsidR="00C0043B" w:rsidRPr="00801A5E">
        <w:rPr>
          <w:rFonts w:ascii="Arial" w:eastAsiaTheme="minorEastAsia" w:hAnsi="Arial" w:cs="Arial"/>
          <w:sz w:val="22"/>
          <w:szCs w:val="22"/>
          <w:lang w:val="es-ES" w:eastAsia="en-US"/>
        </w:rPr>
        <w:t>le corresponderá a cada entidad, previo concepto de sus órganos asesores, definir la viabilidad técnica, jurídica y financiera de celebrar determinado contrato estatal en específico.</w:t>
      </w:r>
      <w:r w:rsidR="00C0043B" w:rsidRPr="24C1067D">
        <w:rPr>
          <w:rFonts w:ascii="Arial" w:eastAsiaTheme="minorEastAsia" w:hAnsi="Arial" w:cs="Arial"/>
          <w:sz w:val="22"/>
          <w:szCs w:val="22"/>
          <w:lang w:val="es-ES" w:eastAsia="en-US"/>
        </w:rPr>
        <w:t xml:space="preserve"> </w:t>
      </w:r>
    </w:p>
    <w:bookmarkEnd w:id="50"/>
    <w:bookmarkEnd w:id="51"/>
    <w:p w14:paraId="5230D33A" w14:textId="77777777" w:rsidR="006476F3" w:rsidRPr="007E42BC" w:rsidRDefault="006476F3" w:rsidP="00FD7DA9">
      <w:pPr>
        <w:pStyle w:val="xmsonospacing"/>
        <w:spacing w:before="0" w:beforeAutospacing="0" w:after="0" w:afterAutospacing="0" w:line="276" w:lineRule="auto"/>
        <w:jc w:val="both"/>
        <w:rPr>
          <w:rFonts w:ascii="Arial" w:hAnsi="Arial" w:cs="Arial"/>
          <w:color w:val="000000"/>
          <w:sz w:val="22"/>
          <w:szCs w:val="22"/>
        </w:rPr>
      </w:pPr>
    </w:p>
    <w:p w14:paraId="0738C8F4" w14:textId="29CC140C" w:rsidR="00A71CEA" w:rsidRPr="007A0123" w:rsidRDefault="00A71CEA" w:rsidP="00FC46E7">
      <w:pPr>
        <w:spacing w:line="276" w:lineRule="auto"/>
        <w:jc w:val="both"/>
        <w:rPr>
          <w:rFonts w:ascii="Arial" w:eastAsia="Calibri" w:hAnsi="Arial" w:cs="Arial"/>
          <w:color w:val="000000" w:themeColor="text1"/>
          <w:sz w:val="22"/>
        </w:rPr>
      </w:pPr>
      <w:r w:rsidRPr="007A0123">
        <w:rPr>
          <w:rFonts w:ascii="Arial" w:eastAsia="Calibri" w:hAnsi="Arial" w:cs="Arial"/>
          <w:color w:val="000000" w:themeColor="text1"/>
          <w:sz w:val="22"/>
          <w:szCs w:val="22"/>
        </w:rPr>
        <w:t>Este concepto tiene el alcance previsto en el artículo 28 del Cód</w:t>
      </w:r>
      <w:r w:rsidRPr="007A0123">
        <w:rPr>
          <w:rFonts w:ascii="Arial" w:eastAsia="Calibri" w:hAnsi="Arial" w:cs="Arial"/>
          <w:color w:val="000000" w:themeColor="text1"/>
          <w:sz w:val="22"/>
        </w:rPr>
        <w:t>igo de Procedimiento Administrativo y de lo Contencioso Administrativo.</w:t>
      </w:r>
    </w:p>
    <w:p w14:paraId="27A116DB" w14:textId="77777777" w:rsidR="00B55679" w:rsidRPr="007A0123" w:rsidRDefault="00B55679" w:rsidP="00FC46E7">
      <w:pPr>
        <w:jc w:val="both"/>
        <w:rPr>
          <w:rFonts w:ascii="Arial" w:eastAsia="Calibri" w:hAnsi="Arial" w:cs="Arial"/>
          <w:color w:val="000000" w:themeColor="text1"/>
          <w:sz w:val="22"/>
        </w:rPr>
      </w:pPr>
    </w:p>
    <w:p w14:paraId="1BD8E63C" w14:textId="77777777" w:rsidR="00A71CEA" w:rsidRPr="007A0123" w:rsidRDefault="00A71CEA" w:rsidP="00FC46E7">
      <w:pPr>
        <w:jc w:val="both"/>
        <w:rPr>
          <w:rFonts w:ascii="Arial" w:hAnsi="Arial" w:cs="Arial"/>
          <w:color w:val="000000" w:themeColor="text1"/>
          <w:sz w:val="22"/>
          <w:lang w:eastAsia="es-CO"/>
        </w:rPr>
      </w:pPr>
      <w:r w:rsidRPr="007A0123">
        <w:rPr>
          <w:rFonts w:ascii="Arial" w:hAnsi="Arial" w:cs="Arial"/>
          <w:color w:val="000000" w:themeColor="text1"/>
          <w:sz w:val="22"/>
          <w:lang w:eastAsia="es-CO"/>
        </w:rPr>
        <w:t>Atentamente,</w:t>
      </w:r>
    </w:p>
    <w:p w14:paraId="4783A21F" w14:textId="7D84EA6C" w:rsidR="00A71CEA" w:rsidRPr="007A0123" w:rsidRDefault="00801A5E">
      <w:pPr>
        <w:jc w:val="center"/>
        <w:rPr>
          <w:rFonts w:ascii="Arial" w:hAnsi="Arial" w:cs="Arial"/>
          <w:color w:val="000000" w:themeColor="text1"/>
          <w:sz w:val="18"/>
          <w:szCs w:val="20"/>
          <w:lang w:eastAsia="es-CO"/>
        </w:rPr>
      </w:pPr>
      <w:r w:rsidRPr="00570FD2">
        <w:rPr>
          <w:rFonts w:ascii="Arial" w:hAnsi="Arial" w:cs="Arial"/>
          <w:noProof/>
          <w:color w:val="000000" w:themeColor="text1"/>
          <w:sz w:val="22"/>
        </w:rPr>
        <w:drawing>
          <wp:inline distT="0" distB="0" distL="0" distR="0" wp14:anchorId="6F222CDD" wp14:editId="0D200F67">
            <wp:extent cx="2438400" cy="1035251"/>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2457744" cy="1043464"/>
                    </a:xfrm>
                    <a:prstGeom prst="rect">
                      <a:avLst/>
                    </a:prstGeom>
                  </pic:spPr>
                </pic:pic>
              </a:graphicData>
            </a:graphic>
          </wp:inline>
        </w:drawing>
      </w:r>
    </w:p>
    <w:p w14:paraId="1FEF5E59" w14:textId="77777777" w:rsidR="00A71CEA" w:rsidRPr="007A0123" w:rsidRDefault="00A71CEA" w:rsidP="00FC46E7">
      <w:pPr>
        <w:jc w:val="center"/>
        <w:rPr>
          <w:rFonts w:ascii="Arial"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4502"/>
      </w:tblGrid>
      <w:tr w:rsidR="00A71CEA" w:rsidRPr="007A0123" w14:paraId="6FD066C0" w14:textId="77777777" w:rsidTr="00F35993">
        <w:trPr>
          <w:trHeight w:val="300"/>
        </w:trPr>
        <w:tc>
          <w:tcPr>
            <w:tcW w:w="828" w:type="dxa"/>
            <w:vAlign w:val="center"/>
            <w:hideMark/>
          </w:tcPr>
          <w:p w14:paraId="3D034311" w14:textId="77777777" w:rsidR="00A71CEA" w:rsidRPr="007A0123" w:rsidRDefault="00A71CEA" w:rsidP="00FC46E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Elaboró:</w:t>
            </w:r>
          </w:p>
        </w:tc>
        <w:tc>
          <w:tcPr>
            <w:tcW w:w="4502" w:type="dxa"/>
            <w:tcBorders>
              <w:top w:val="nil"/>
              <w:left w:val="nil"/>
              <w:bottom w:val="dotted" w:sz="4" w:space="0" w:color="7F7F7F" w:themeColor="text1" w:themeTint="80"/>
              <w:right w:val="nil"/>
            </w:tcBorders>
            <w:vAlign w:val="center"/>
            <w:hideMark/>
          </w:tcPr>
          <w:p w14:paraId="4130A8A2" w14:textId="0DFAAE93" w:rsidR="00A71CEA" w:rsidRPr="007A0123" w:rsidRDefault="00F35993" w:rsidP="00FC46E7">
            <w:pPr>
              <w:rPr>
                <w:rFonts w:ascii="Arial" w:hAnsi="Arial" w:cs="Arial"/>
                <w:color w:val="000000" w:themeColor="text1"/>
                <w:sz w:val="16"/>
                <w:szCs w:val="16"/>
                <w:lang w:eastAsia="es-ES"/>
              </w:rPr>
            </w:pPr>
            <w:r>
              <w:rPr>
                <w:rFonts w:ascii="Arial" w:hAnsi="Arial" w:cs="Arial"/>
                <w:color w:val="000000" w:themeColor="text1"/>
                <w:sz w:val="16"/>
                <w:szCs w:val="16"/>
                <w:lang w:eastAsia="es-ES"/>
              </w:rPr>
              <w:t>Laura Alejandra Materón García</w:t>
            </w:r>
            <w:r w:rsidR="00A71CEA" w:rsidRPr="007A0123">
              <w:rPr>
                <w:rFonts w:ascii="Arial" w:hAnsi="Arial" w:cs="Arial"/>
                <w:color w:val="000000" w:themeColor="text1"/>
                <w:sz w:val="16"/>
                <w:szCs w:val="16"/>
                <w:lang w:eastAsia="es-ES"/>
              </w:rPr>
              <w:t xml:space="preserve"> </w:t>
            </w:r>
          </w:p>
          <w:p w14:paraId="02C2374E" w14:textId="23A07400" w:rsidR="00A71CEA" w:rsidRPr="007A0123" w:rsidRDefault="00F35993" w:rsidP="00FC46E7">
            <w:pPr>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Analista T2– 01 </w:t>
            </w:r>
            <w:r w:rsidR="00A71CEA" w:rsidRPr="007A0123">
              <w:rPr>
                <w:rFonts w:ascii="Arial" w:hAnsi="Arial" w:cs="Arial"/>
                <w:color w:val="000000" w:themeColor="text1"/>
                <w:sz w:val="16"/>
                <w:szCs w:val="16"/>
                <w:lang w:eastAsia="es-ES"/>
              </w:rPr>
              <w:t>de la Subdirección de Gestión Contractual</w:t>
            </w:r>
          </w:p>
        </w:tc>
      </w:tr>
      <w:tr w:rsidR="00A71CEA" w:rsidRPr="007A0123" w14:paraId="6CE7FA18" w14:textId="77777777" w:rsidTr="00F35993">
        <w:trPr>
          <w:trHeight w:val="314"/>
        </w:trPr>
        <w:tc>
          <w:tcPr>
            <w:tcW w:w="828" w:type="dxa"/>
            <w:vAlign w:val="center"/>
            <w:hideMark/>
          </w:tcPr>
          <w:p w14:paraId="2902D588" w14:textId="77777777" w:rsidR="00A71CEA" w:rsidRPr="007A0123" w:rsidRDefault="00A71CEA" w:rsidP="00FC46E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Revisó: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6CC67DAC" w14:textId="73B55471" w:rsidR="00A71CEA" w:rsidRPr="007A0123" w:rsidRDefault="00964B86" w:rsidP="00FC46E7">
            <w:pPr>
              <w:rPr>
                <w:rFonts w:ascii="Arial" w:hAnsi="Arial" w:cs="Arial"/>
                <w:color w:val="000000" w:themeColor="text1"/>
                <w:sz w:val="16"/>
                <w:szCs w:val="16"/>
                <w:lang w:eastAsia="es-ES"/>
              </w:rPr>
            </w:pPr>
            <w:r>
              <w:rPr>
                <w:rFonts w:ascii="Arial" w:hAnsi="Arial" w:cs="Arial"/>
                <w:color w:val="000000" w:themeColor="text1"/>
                <w:sz w:val="16"/>
                <w:szCs w:val="16"/>
                <w:lang w:eastAsia="es-ES"/>
              </w:rPr>
              <w:t>Sebastián Ramírez Grisales</w:t>
            </w:r>
          </w:p>
          <w:p w14:paraId="15D02354" w14:textId="646FD7FC" w:rsidR="00A71CEA" w:rsidRPr="007A0123" w:rsidRDefault="00964B86" w:rsidP="00FC46E7">
            <w:pPr>
              <w:rPr>
                <w:rFonts w:ascii="Arial" w:hAnsi="Arial" w:cs="Arial"/>
                <w:color w:val="000000" w:themeColor="text1"/>
                <w:sz w:val="16"/>
                <w:szCs w:val="16"/>
                <w:lang w:eastAsia="es-ES"/>
              </w:rPr>
            </w:pPr>
            <w:r>
              <w:rPr>
                <w:rFonts w:ascii="Arial" w:hAnsi="Arial" w:cs="Arial"/>
                <w:color w:val="000000" w:themeColor="text1"/>
                <w:sz w:val="16"/>
                <w:szCs w:val="16"/>
                <w:lang w:eastAsia="es-ES"/>
              </w:rPr>
              <w:t>Contratista</w:t>
            </w:r>
            <w:r w:rsidR="00A71CEA" w:rsidRPr="007A0123">
              <w:rPr>
                <w:rFonts w:ascii="Arial" w:hAnsi="Arial" w:cs="Arial"/>
                <w:color w:val="000000" w:themeColor="text1"/>
                <w:sz w:val="16"/>
                <w:szCs w:val="16"/>
                <w:lang w:eastAsia="es-ES"/>
              </w:rPr>
              <w:t xml:space="preserve"> de la Subdirección de Gestión Contractual</w:t>
            </w:r>
          </w:p>
        </w:tc>
      </w:tr>
      <w:tr w:rsidR="00A71CEA" w:rsidRPr="003F6D32" w14:paraId="4BA2BDE6" w14:textId="77777777" w:rsidTr="00F35993">
        <w:trPr>
          <w:trHeight w:val="286"/>
        </w:trPr>
        <w:tc>
          <w:tcPr>
            <w:tcW w:w="828" w:type="dxa"/>
            <w:vAlign w:val="center"/>
            <w:hideMark/>
          </w:tcPr>
          <w:p w14:paraId="1A726DD9" w14:textId="77777777" w:rsidR="00A71CEA" w:rsidRPr="007A0123" w:rsidRDefault="00A71CEA" w:rsidP="00FC46E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Aprobó: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32ECCC83" w14:textId="77777777" w:rsidR="00A71CEA" w:rsidRPr="007A0123" w:rsidRDefault="00A71CEA" w:rsidP="00FC46E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Jorge Augusto Tirado Navarro</w:t>
            </w:r>
          </w:p>
          <w:p w14:paraId="416E9DA6" w14:textId="77777777" w:rsidR="00A71CEA" w:rsidRPr="006C15D5" w:rsidRDefault="00A71CEA" w:rsidP="00FC46E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Subdirector de Gestión Contractual ANCP – CCE</w:t>
            </w:r>
          </w:p>
        </w:tc>
      </w:tr>
      <w:bookmarkEnd w:id="2"/>
    </w:tbl>
    <w:p w14:paraId="3D5BFD2B" w14:textId="77777777" w:rsidR="00A71CEA" w:rsidRDefault="00A71CEA" w:rsidP="00FC46E7"/>
    <w:sectPr w:rsidR="00A71CEA" w:rsidSect="007F1895">
      <w:headerReference w:type="default" r:id="rId15"/>
      <w:footerReference w:type="default" r:id="rId1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9E983" w14:textId="77777777" w:rsidR="0008188E" w:rsidRDefault="0008188E" w:rsidP="00A71CEA">
      <w:r>
        <w:separator/>
      </w:r>
    </w:p>
  </w:endnote>
  <w:endnote w:type="continuationSeparator" w:id="0">
    <w:p w14:paraId="7A4B7CA2" w14:textId="77777777" w:rsidR="0008188E" w:rsidRDefault="0008188E" w:rsidP="00A7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B0DB" w14:textId="77777777" w:rsidR="00387886" w:rsidRDefault="00387886" w:rsidP="007F1895">
    <w:pPr>
      <w:pStyle w:val="Sinespaciado"/>
      <w:jc w:val="right"/>
      <w:rPr>
        <w:rFonts w:ascii="Arial" w:hAnsi="Arial" w:cs="Arial"/>
        <w:sz w:val="18"/>
        <w:szCs w:val="18"/>
      </w:rPr>
    </w:pPr>
  </w:p>
  <w:p w14:paraId="1A83C429" w14:textId="77777777" w:rsidR="00387886" w:rsidRDefault="00387886" w:rsidP="007F1895">
    <w:pPr>
      <w:pStyle w:val="Sinespaciado"/>
      <w:jc w:val="right"/>
      <w:rPr>
        <w:rFonts w:ascii="Arial" w:hAnsi="Arial" w:cs="Arial"/>
        <w:sz w:val="18"/>
        <w:szCs w:val="18"/>
      </w:rPr>
    </w:pPr>
  </w:p>
  <w:p w14:paraId="4C092373" w14:textId="77777777" w:rsidR="00387886" w:rsidRPr="008217B7" w:rsidRDefault="00387886"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E6A00">
      <w:rPr>
        <w:rFonts w:ascii="Arial" w:hAnsi="Arial" w:cs="Arial"/>
        <w:b/>
        <w:bCs/>
        <w:noProof/>
        <w:color w:val="7F7F7F" w:themeColor="text1" w:themeTint="80"/>
        <w:sz w:val="16"/>
        <w:szCs w:val="16"/>
      </w:rPr>
      <w:t>26</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E6A00">
      <w:rPr>
        <w:rFonts w:ascii="Arial" w:hAnsi="Arial" w:cs="Arial"/>
        <w:b/>
        <w:bCs/>
        <w:noProof/>
        <w:color w:val="7F7F7F" w:themeColor="text1" w:themeTint="80"/>
        <w:sz w:val="16"/>
        <w:szCs w:val="16"/>
      </w:rPr>
      <w:t>28</w:t>
    </w:r>
    <w:r w:rsidRPr="00084B97">
      <w:rPr>
        <w:rFonts w:ascii="Arial" w:hAnsi="Arial" w:cs="Arial"/>
        <w:b/>
        <w:bCs/>
        <w:color w:val="7F7F7F" w:themeColor="text1" w:themeTint="80"/>
        <w:sz w:val="16"/>
        <w:szCs w:val="16"/>
      </w:rPr>
      <w:fldChar w:fldCharType="end"/>
    </w:r>
  </w:p>
  <w:p w14:paraId="15A1C25B" w14:textId="77777777" w:rsidR="00387886" w:rsidRDefault="00387886" w:rsidP="007F1895">
    <w:pPr>
      <w:pStyle w:val="Piedepgina"/>
      <w:jc w:val="center"/>
      <w:rPr>
        <w:lang w:val="es-ES"/>
      </w:rPr>
    </w:pPr>
    <w:r>
      <w:rPr>
        <w:noProof/>
        <w:lang w:val="es-ES" w:eastAsia="es-ES"/>
      </w:rPr>
      <w:drawing>
        <wp:inline distT="0" distB="0" distL="0" distR="0" wp14:anchorId="1A50E6AF" wp14:editId="2CAE943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9A9CCC9" w14:textId="77777777" w:rsidR="00387886" w:rsidRPr="00E756AC" w:rsidRDefault="00387886" w:rsidP="007F1895">
    <w:pPr>
      <w:pStyle w:val="Piedepgina"/>
      <w:jc w:val="center"/>
      <w:rPr>
        <w:sz w:val="18"/>
        <w:szCs w:val="18"/>
        <w:lang w:val="es-ES"/>
      </w:rPr>
    </w:pPr>
  </w:p>
  <w:p w14:paraId="02222FE9" w14:textId="77777777" w:rsidR="00387886" w:rsidRPr="00E756AC" w:rsidRDefault="00387886"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16441" w14:textId="77777777" w:rsidR="0008188E" w:rsidRDefault="0008188E" w:rsidP="00A71CEA">
      <w:r>
        <w:separator/>
      </w:r>
    </w:p>
  </w:footnote>
  <w:footnote w:type="continuationSeparator" w:id="0">
    <w:p w14:paraId="4AF79A0E" w14:textId="77777777" w:rsidR="0008188E" w:rsidRDefault="0008188E" w:rsidP="00A71CEA">
      <w:r>
        <w:continuationSeparator/>
      </w:r>
    </w:p>
  </w:footnote>
  <w:footnote w:id="1">
    <w:p w14:paraId="0BD101A3" w14:textId="77777777" w:rsidR="00A23BDA" w:rsidRPr="00A105C2" w:rsidRDefault="00A23BDA" w:rsidP="00FD7DA9">
      <w:pPr>
        <w:pStyle w:val="Textonotapie"/>
        <w:ind w:firstLine="708"/>
        <w:jc w:val="both"/>
        <w:rPr>
          <w:rFonts w:asciiTheme="minorBidi" w:hAnsiTheme="minorBidi"/>
          <w:sz w:val="19"/>
          <w:szCs w:val="19"/>
          <w:lang w:val="es-ES"/>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A105C2">
        <w:rPr>
          <w:rFonts w:asciiTheme="minorBidi" w:hAnsiTheme="minorBidi"/>
          <w:i/>
          <w:iCs/>
          <w:sz w:val="19"/>
          <w:szCs w:val="19"/>
        </w:rPr>
        <w:t xml:space="preserve">ibidem </w:t>
      </w:r>
      <w:r w:rsidRPr="00A105C2">
        <w:rPr>
          <w:rFonts w:asciiTheme="minorBidi" w:hAnsiTheme="minorBidi"/>
          <w:sz w:val="19"/>
          <w:szCs w:val="19"/>
        </w:rPr>
        <w:t>señala, de manera precisa, las funciones de Colombia Compra Eficiente. Concretamente, el numeral 5º de este artículo establece que le corresponde a esta entidad: «[a]</w:t>
      </w:r>
      <w:proofErr w:type="spellStart"/>
      <w:r w:rsidRPr="00A105C2">
        <w:rPr>
          <w:rFonts w:asciiTheme="minorBidi" w:hAnsiTheme="minorBidi"/>
          <w:sz w:val="19"/>
          <w:szCs w:val="19"/>
        </w:rPr>
        <w:t>bsolver</w:t>
      </w:r>
      <w:proofErr w:type="spellEnd"/>
      <w:r w:rsidRPr="00A105C2">
        <w:rPr>
          <w:rFonts w:asciiTheme="minorBidi" w:hAnsiTheme="minorBidi"/>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A105C2">
        <w:rPr>
          <w:rFonts w:asciiTheme="minorBidi" w:hAnsiTheme="minorBidi"/>
          <w:sz w:val="19"/>
          <w:szCs w:val="19"/>
        </w:rPr>
        <w:t>bsolver</w:t>
      </w:r>
      <w:proofErr w:type="spellEnd"/>
      <w:r w:rsidRPr="00A105C2">
        <w:rPr>
          <w:rFonts w:asciiTheme="minorBidi" w:hAnsiTheme="minorBidi"/>
          <w:sz w:val="19"/>
          <w:szCs w:val="19"/>
        </w:rPr>
        <w:t xml:space="preserve"> consultas sobre la aplicación de normas de carácter general».</w:t>
      </w:r>
    </w:p>
  </w:footnote>
  <w:footnote w:id="2">
    <w:p w14:paraId="2AD5A8F5" w14:textId="77777777" w:rsidR="00471C67" w:rsidRPr="00A105C2" w:rsidRDefault="00471C67" w:rsidP="005E2B5A">
      <w:pPr>
        <w:pStyle w:val="Textonotapie"/>
        <w:ind w:firstLine="709"/>
        <w:contextualSpacing/>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0C2CA11B" w14:textId="0B9654E2" w:rsidR="00471C67" w:rsidRPr="00A105C2" w:rsidRDefault="00471C67" w:rsidP="005E2B5A">
      <w:pPr>
        <w:pStyle w:val="Textonotapie"/>
        <w:ind w:firstLine="709"/>
        <w:contextualSpacing/>
        <w:jc w:val="both"/>
        <w:rPr>
          <w:rFonts w:asciiTheme="minorBidi" w:hAnsiTheme="minorBidi"/>
          <w:sz w:val="19"/>
          <w:szCs w:val="19"/>
        </w:rPr>
      </w:pPr>
      <w:proofErr w:type="gramStart"/>
      <w:r w:rsidRPr="00A105C2">
        <w:rPr>
          <w:rFonts w:asciiTheme="minorBidi" w:hAnsiTheme="minorBidi"/>
          <w:sz w:val="19"/>
          <w:szCs w:val="19"/>
        </w:rPr>
        <w:t>»A</w:t>
      </w:r>
      <w:proofErr w:type="gramEnd"/>
      <w:r w:rsidRPr="00A105C2">
        <w:rPr>
          <w:rFonts w:asciiTheme="minorBidi" w:hAnsiTheme="minorBidi"/>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3">
    <w:p w14:paraId="272D3192" w14:textId="77777777" w:rsidR="00471C67" w:rsidRPr="00A105C2" w:rsidRDefault="00471C67" w:rsidP="005E2B5A">
      <w:pPr>
        <w:pStyle w:val="Textonotapie"/>
        <w:ind w:firstLine="709"/>
        <w:contextualSpacing/>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Gaceta del Congreso de la República No. 71 del 2005.</w:t>
      </w:r>
    </w:p>
  </w:footnote>
  <w:footnote w:id="4">
    <w:p w14:paraId="0BD380B0" w14:textId="77777777" w:rsidR="00471C67" w:rsidRPr="00A105C2" w:rsidRDefault="00471C67" w:rsidP="005E2B5A">
      <w:pPr>
        <w:pStyle w:val="Textonotapie"/>
        <w:ind w:firstLine="709"/>
        <w:contextualSpacing/>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Corte Constitucional, Sentencia C- 1153 de 2005, M.P. Marco Gerardo Monroy Cabra.</w:t>
      </w:r>
    </w:p>
  </w:footnote>
  <w:footnote w:id="5">
    <w:p w14:paraId="4BFCA0D3" w14:textId="77777777" w:rsidR="00471C67" w:rsidRPr="00A105C2" w:rsidRDefault="00471C67" w:rsidP="005E2B5A">
      <w:pPr>
        <w:pStyle w:val="Textonotapie"/>
        <w:ind w:firstLine="709"/>
        <w:contextualSpacing/>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6">
    <w:p w14:paraId="35B2A408" w14:textId="77777777" w:rsidR="00471C67" w:rsidRPr="00A105C2" w:rsidRDefault="00471C67" w:rsidP="005E2B5A">
      <w:pPr>
        <w:pStyle w:val="Textonotapie"/>
        <w:ind w:firstLine="709"/>
        <w:contextualSpacing/>
        <w:jc w:val="both"/>
        <w:rPr>
          <w:rFonts w:asciiTheme="minorBidi" w:hAnsiTheme="minorBidi"/>
          <w:sz w:val="19"/>
          <w:szCs w:val="19"/>
          <w:lang w:val="es-CO"/>
        </w:rPr>
      </w:pPr>
      <w:r w:rsidRPr="00A105C2">
        <w:rPr>
          <w:rStyle w:val="Refdenotaalpie"/>
          <w:rFonts w:asciiTheme="minorBidi" w:hAnsiTheme="minorBidi"/>
          <w:sz w:val="19"/>
          <w:szCs w:val="19"/>
        </w:rPr>
        <w:footnoteRef/>
      </w:r>
      <w:r w:rsidRPr="00A105C2">
        <w:rPr>
          <w:rFonts w:asciiTheme="minorBidi" w:hAnsiTheme="minorBidi"/>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7">
    <w:p w14:paraId="214B9788" w14:textId="77777777" w:rsidR="00471C67" w:rsidRPr="00A105C2" w:rsidRDefault="00471C67" w:rsidP="005E2B5A">
      <w:pPr>
        <w:pStyle w:val="Textonotapie"/>
        <w:ind w:firstLine="709"/>
        <w:contextualSpacing/>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Consejo de Estado, Sala de Consulta y Servicio Civil de fecha 24 de julio de 2013, radicado 2166, </w:t>
      </w:r>
      <w:proofErr w:type="gramStart"/>
      <w:r w:rsidRPr="00A105C2">
        <w:rPr>
          <w:rFonts w:asciiTheme="minorBidi" w:hAnsiTheme="minorBidi"/>
          <w:sz w:val="19"/>
          <w:szCs w:val="19"/>
        </w:rPr>
        <w:t>Consejero</w:t>
      </w:r>
      <w:proofErr w:type="gramEnd"/>
      <w:r w:rsidRPr="00A105C2">
        <w:rPr>
          <w:rFonts w:asciiTheme="minorBidi" w:hAnsiTheme="minorBidi"/>
          <w:sz w:val="19"/>
          <w:szCs w:val="19"/>
        </w:rPr>
        <w:t xml:space="preserve"> Ponente: Álvaro Namén Vargas.  </w:t>
      </w:r>
    </w:p>
  </w:footnote>
  <w:footnote w:id="8">
    <w:p w14:paraId="6C0100F7" w14:textId="77777777" w:rsidR="00471C67" w:rsidRPr="00A105C2" w:rsidRDefault="00471C67" w:rsidP="005E2B5A">
      <w:pPr>
        <w:ind w:firstLine="709"/>
        <w:contextualSpacing/>
        <w:jc w:val="both"/>
        <w:rPr>
          <w:rFonts w:asciiTheme="minorBidi" w:hAnsiTheme="minorBidi" w:cstheme="minorBidi"/>
          <w:sz w:val="19"/>
          <w:szCs w:val="19"/>
        </w:rPr>
      </w:pPr>
      <w:r w:rsidRPr="00A105C2">
        <w:rPr>
          <w:rStyle w:val="Refdenotaalpie"/>
          <w:rFonts w:asciiTheme="minorBidi" w:hAnsiTheme="minorBidi" w:cstheme="minorBidi"/>
          <w:sz w:val="19"/>
          <w:szCs w:val="19"/>
        </w:rPr>
        <w:footnoteRef/>
      </w:r>
      <w:r w:rsidRPr="00A105C2">
        <w:rPr>
          <w:rFonts w:asciiTheme="minorBidi" w:hAnsiTheme="minorBidi" w:cstheme="minorBidi"/>
          <w:sz w:val="19"/>
          <w:szCs w:val="19"/>
        </w:rPr>
        <w:t xml:space="preserve"> </w:t>
      </w:r>
      <w:bookmarkStart w:id="8" w:name="33"/>
      <w:r w:rsidRPr="00A105C2">
        <w:rPr>
          <w:rFonts w:asciiTheme="minorBidi" w:eastAsia="Calibri" w:hAnsiTheme="minorBidi" w:cstheme="minorBidi"/>
          <w:bCs/>
          <w:color w:val="000000"/>
          <w:sz w:val="19"/>
          <w:szCs w:val="19"/>
        </w:rPr>
        <w:t>«</w:t>
      </w:r>
      <w:r w:rsidRPr="00A105C2">
        <w:rPr>
          <w:rFonts w:asciiTheme="minorBidi" w:hAnsiTheme="minorBidi" w:cstheme="minorBidi"/>
          <w:sz w:val="19"/>
          <w:szCs w:val="19"/>
        </w:rPr>
        <w:t>Artículo 33. Restricciones a la contratación pública.</w:t>
      </w:r>
      <w:bookmarkEnd w:id="8"/>
      <w:r w:rsidRPr="00A105C2">
        <w:rPr>
          <w:rFonts w:asciiTheme="minorBidi" w:hAnsiTheme="minorBidi" w:cstheme="minorBidi"/>
          <w:sz w:val="19"/>
          <w:szCs w:val="19"/>
        </w:rPr>
        <w:t> Durante los cuatro (4) meses anteriores a la elección presidencial y hasta la realización de la elección en la segunda vuelta, si fuere el caso, queda prohibida la contratación directa por parte de todos los entes del Estado.</w:t>
      </w:r>
    </w:p>
    <w:p w14:paraId="7D8EE549" w14:textId="77777777" w:rsidR="00471C67" w:rsidRPr="00A105C2" w:rsidRDefault="00471C67" w:rsidP="005E2B5A">
      <w:pPr>
        <w:ind w:firstLine="709"/>
        <w:contextualSpacing/>
        <w:jc w:val="both"/>
        <w:rPr>
          <w:rFonts w:asciiTheme="minorBidi" w:hAnsiTheme="minorBidi" w:cstheme="minorBidi"/>
          <w:sz w:val="19"/>
          <w:szCs w:val="19"/>
        </w:rPr>
      </w:pPr>
      <w:r w:rsidRPr="00A105C2">
        <w:rPr>
          <w:rFonts w:asciiTheme="minorBidi" w:eastAsia="Calibri" w:hAnsiTheme="minorBidi" w:cstheme="minorBidi"/>
          <w:bCs/>
          <w:color w:val="000000"/>
          <w:sz w:val="19"/>
          <w:szCs w:val="19"/>
        </w:rPr>
        <w:t>»</w:t>
      </w:r>
      <w:r w:rsidRPr="00A105C2">
        <w:rPr>
          <w:rFonts w:asciiTheme="minorBidi" w:hAnsiTheme="minorBidi" w:cstheme="minorBidi"/>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A105C2">
        <w:rPr>
          <w:rFonts w:asciiTheme="minorBidi" w:eastAsia="Calibri" w:hAnsiTheme="minorBidi" w:cstheme="minorBidi"/>
          <w:bCs/>
          <w:color w:val="000000"/>
          <w:sz w:val="19"/>
          <w:szCs w:val="19"/>
        </w:rPr>
        <w:t>»</w:t>
      </w:r>
      <w:r w:rsidRPr="00A105C2">
        <w:rPr>
          <w:rFonts w:asciiTheme="minorBidi" w:hAnsiTheme="minorBidi" w:cstheme="minorBidi"/>
          <w:sz w:val="19"/>
          <w:szCs w:val="19"/>
        </w:rPr>
        <w:t>.</w:t>
      </w:r>
    </w:p>
  </w:footnote>
  <w:footnote w:id="9">
    <w:p w14:paraId="6DFF0E8A" w14:textId="77777777" w:rsidR="00471C67" w:rsidRPr="00A105C2" w:rsidRDefault="00471C67" w:rsidP="005E2B5A">
      <w:pPr>
        <w:pStyle w:val="NormalWeb"/>
        <w:spacing w:before="0" w:beforeAutospacing="0" w:after="0" w:afterAutospacing="0"/>
        <w:ind w:firstLine="709"/>
        <w:contextualSpacing/>
        <w:jc w:val="both"/>
        <w:rPr>
          <w:rFonts w:asciiTheme="minorBidi" w:hAnsiTheme="minorBidi" w:cstheme="minorBidi"/>
          <w:sz w:val="19"/>
          <w:szCs w:val="19"/>
          <w:lang w:val="es-MX"/>
        </w:rPr>
      </w:pPr>
      <w:r w:rsidRPr="00A105C2">
        <w:rPr>
          <w:rStyle w:val="Refdenotaalpie"/>
          <w:rFonts w:asciiTheme="minorBidi" w:hAnsiTheme="minorBidi" w:cstheme="minorBidi"/>
          <w:sz w:val="19"/>
          <w:szCs w:val="19"/>
        </w:rPr>
        <w:footnoteRef/>
      </w:r>
      <w:r w:rsidRPr="00A105C2">
        <w:rPr>
          <w:rFonts w:asciiTheme="minorBidi" w:hAnsiTheme="minorBidi" w:cstheme="minorBidi"/>
          <w:sz w:val="19"/>
          <w:szCs w:val="19"/>
        </w:rPr>
        <w:t xml:space="preserve"> </w:t>
      </w:r>
      <w:bookmarkStart w:id="9" w:name="38"/>
      <w:r w:rsidRPr="00A105C2">
        <w:rPr>
          <w:rFonts w:asciiTheme="minorBidi" w:eastAsia="Calibri" w:hAnsiTheme="minorBidi" w:cstheme="minorBidi"/>
          <w:bCs/>
          <w:color w:val="000000"/>
          <w:sz w:val="19"/>
          <w:szCs w:val="19"/>
        </w:rPr>
        <w:t>«</w:t>
      </w:r>
      <w:r w:rsidRPr="00A105C2">
        <w:rPr>
          <w:rFonts w:asciiTheme="minorBidi" w:hAnsiTheme="minorBidi" w:cstheme="minorBidi"/>
          <w:sz w:val="19"/>
          <w:szCs w:val="19"/>
          <w:lang w:val="es-MX"/>
        </w:rPr>
        <w:t>Artículo 38. Prohibiciones para los servidores públicos. A los empleados del Estado les está prohibido:</w:t>
      </w:r>
      <w:bookmarkEnd w:id="9"/>
    </w:p>
    <w:p w14:paraId="6CDDA90F" w14:textId="77777777" w:rsidR="00471C67" w:rsidRPr="00A105C2" w:rsidRDefault="00471C67" w:rsidP="005E2B5A">
      <w:pPr>
        <w:pStyle w:val="NormalWeb"/>
        <w:spacing w:before="0" w:beforeAutospacing="0" w:after="0" w:afterAutospacing="0"/>
        <w:ind w:firstLine="709"/>
        <w:contextualSpacing/>
        <w:jc w:val="both"/>
        <w:rPr>
          <w:rFonts w:asciiTheme="minorBidi" w:hAnsiTheme="minorBidi" w:cstheme="minorBidi"/>
          <w:sz w:val="19"/>
          <w:szCs w:val="19"/>
          <w:lang w:val="es-MX"/>
        </w:rPr>
      </w:pPr>
      <w:r w:rsidRPr="00A105C2">
        <w:rPr>
          <w:rFonts w:asciiTheme="minorBidi" w:eastAsia="Calibri" w:hAnsiTheme="minorBidi" w:cstheme="minorBidi"/>
          <w:bCs/>
          <w:color w:val="000000"/>
          <w:sz w:val="19"/>
          <w:szCs w:val="19"/>
        </w:rPr>
        <w:t>»</w:t>
      </w:r>
      <w:r w:rsidRPr="00A105C2">
        <w:rPr>
          <w:rFonts w:asciiTheme="minorBidi" w:hAnsiTheme="minorBidi" w:cstheme="minorBidi"/>
          <w:sz w:val="19"/>
          <w:szCs w:val="19"/>
          <w:lang w:val="es-MX"/>
        </w:rPr>
        <w:t xml:space="preserve"> […]</w:t>
      </w:r>
    </w:p>
    <w:p w14:paraId="0EAB9811" w14:textId="77777777" w:rsidR="00471C67" w:rsidRPr="00A105C2" w:rsidRDefault="00471C67" w:rsidP="005E2B5A">
      <w:pPr>
        <w:pStyle w:val="NormalWeb"/>
        <w:spacing w:before="0" w:beforeAutospacing="0" w:after="0" w:afterAutospacing="0"/>
        <w:ind w:firstLine="709"/>
        <w:contextualSpacing/>
        <w:jc w:val="both"/>
        <w:rPr>
          <w:rFonts w:asciiTheme="minorBidi" w:hAnsiTheme="minorBidi" w:cstheme="minorBidi"/>
          <w:sz w:val="19"/>
          <w:szCs w:val="19"/>
          <w:lang w:val="es-MX"/>
        </w:rPr>
      </w:pPr>
      <w:r w:rsidRPr="00A105C2">
        <w:rPr>
          <w:rFonts w:asciiTheme="minorBidi" w:eastAsia="Calibri" w:hAnsiTheme="minorBidi" w:cstheme="minorBidi"/>
          <w:bCs/>
          <w:color w:val="000000"/>
          <w:sz w:val="19"/>
          <w:szCs w:val="19"/>
        </w:rPr>
        <w:t>»</w:t>
      </w:r>
      <w:r w:rsidRPr="00A105C2">
        <w:rPr>
          <w:rStyle w:val="baj"/>
          <w:rFonts w:asciiTheme="minorBidi" w:hAnsiTheme="minorBidi" w:cstheme="minorBidi"/>
          <w:sz w:val="19"/>
          <w:szCs w:val="19"/>
          <w:lang w:val="es-MX"/>
        </w:rPr>
        <w:t xml:space="preserve"> Parágrafo.</w:t>
      </w:r>
      <w:r w:rsidRPr="00A105C2">
        <w:rPr>
          <w:rFonts w:asciiTheme="minorBidi" w:hAnsiTheme="minorBidi" w:cstheme="minorBidi"/>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A105C2">
        <w:rPr>
          <w:rFonts w:asciiTheme="minorBidi" w:eastAsia="Calibri" w:hAnsiTheme="minorBidi" w:cstheme="minorBidi"/>
          <w:bCs/>
          <w:color w:val="000000"/>
          <w:sz w:val="19"/>
          <w:szCs w:val="19"/>
        </w:rPr>
        <w:t>»</w:t>
      </w:r>
      <w:r w:rsidRPr="00A105C2">
        <w:rPr>
          <w:rFonts w:asciiTheme="minorBidi" w:hAnsiTheme="minorBidi" w:cstheme="minorBidi"/>
          <w:sz w:val="19"/>
          <w:szCs w:val="19"/>
          <w:lang w:val="es-MX"/>
        </w:rPr>
        <w:t>.</w:t>
      </w:r>
    </w:p>
  </w:footnote>
  <w:footnote w:id="10">
    <w:p w14:paraId="67F58224" w14:textId="77777777" w:rsidR="00471C67" w:rsidRPr="00A105C2" w:rsidRDefault="00471C67" w:rsidP="005E2B5A">
      <w:pPr>
        <w:ind w:firstLine="709"/>
        <w:contextualSpacing/>
        <w:jc w:val="both"/>
        <w:rPr>
          <w:rFonts w:asciiTheme="minorBidi" w:hAnsiTheme="minorBidi" w:cstheme="minorBidi"/>
          <w:sz w:val="19"/>
          <w:szCs w:val="19"/>
          <w:lang w:val="es-ES"/>
        </w:rPr>
      </w:pPr>
      <w:r w:rsidRPr="00A105C2">
        <w:rPr>
          <w:rStyle w:val="Refdenotaalpie"/>
          <w:rFonts w:asciiTheme="minorBidi" w:hAnsiTheme="minorBidi" w:cstheme="minorBidi"/>
          <w:sz w:val="19"/>
          <w:szCs w:val="19"/>
        </w:rPr>
        <w:footnoteRef/>
      </w:r>
      <w:r w:rsidRPr="00A105C2">
        <w:rPr>
          <w:rFonts w:asciiTheme="minorBidi" w:hAnsiTheme="minorBidi" w:cstheme="minorBidi"/>
          <w:sz w:val="19"/>
          <w:szCs w:val="19"/>
        </w:rPr>
        <w:t xml:space="preserve"> Consejo de Estado. Sala de Consulta y Servicio Civil. Concepto del 17 de febrero de 2015. C.P. William Zambrano Cetina. Radicación No. 11001-03-06-000-2015-00164-00(2269).</w:t>
      </w:r>
    </w:p>
  </w:footnote>
  <w:footnote w:id="11">
    <w:p w14:paraId="08988D30" w14:textId="77777777" w:rsidR="009311DA" w:rsidRPr="00A105C2" w:rsidRDefault="009311DA" w:rsidP="005E2B5A">
      <w:pPr>
        <w:pStyle w:val="Textonotapie"/>
        <w:ind w:right="51" w:firstLine="709"/>
        <w:contextualSpacing/>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w:t>
      </w:r>
      <w:bookmarkStart w:id="15" w:name="_Hlk74272731"/>
      <w:r w:rsidRPr="00A105C2">
        <w:rPr>
          <w:rFonts w:asciiTheme="minorBidi" w:hAnsiTheme="minorBidi"/>
          <w:sz w:val="19"/>
          <w:szCs w:val="19"/>
        </w:rPr>
        <w:t>«</w:t>
      </w:r>
      <w:bookmarkEnd w:id="15"/>
      <w:r w:rsidRPr="00A105C2">
        <w:rPr>
          <w:rFonts w:asciiTheme="minorBidi" w:hAnsiTheme="minorBidi"/>
          <w:sz w:val="19"/>
          <w:szCs w:val="19"/>
          <w:lang w:val="es-ES"/>
        </w:rPr>
        <w:t xml:space="preserve">[25] </w:t>
      </w:r>
      <w:r w:rsidRPr="00A105C2">
        <w:rPr>
          <w:rFonts w:asciiTheme="minorBidi" w:hAnsiTheme="minorBidi"/>
          <w:sz w:val="19"/>
          <w:szCs w:val="19"/>
        </w:rPr>
        <w:t>Cfr. Consejo de Estado. Sección Tercera. Sentencia de 3 de diciembre de 2007. Radicados: 24.715, 25.206, 25.409, 24.524, 27.834, 25.410, 26.105, 28.244, 31.447 -acumulados-</w:t>
      </w:r>
      <w:bookmarkStart w:id="16" w:name="_Hlk74271358"/>
      <w:r w:rsidRPr="00A105C2">
        <w:rPr>
          <w:rFonts w:asciiTheme="minorBidi" w:hAnsiTheme="minorBidi"/>
          <w:sz w:val="19"/>
          <w:szCs w:val="19"/>
        </w:rPr>
        <w:t>»</w:t>
      </w:r>
      <w:bookmarkEnd w:id="16"/>
      <w:r w:rsidRPr="00A105C2">
        <w:rPr>
          <w:rFonts w:asciiTheme="minorBidi" w:hAnsiTheme="minorBidi"/>
          <w:sz w:val="19"/>
          <w:szCs w:val="19"/>
        </w:rPr>
        <w:t>.</w:t>
      </w:r>
    </w:p>
  </w:footnote>
  <w:footnote w:id="12">
    <w:p w14:paraId="5F6D2E2C" w14:textId="77777777" w:rsidR="009311DA" w:rsidRPr="00A105C2" w:rsidRDefault="009311DA" w:rsidP="005E2B5A">
      <w:pPr>
        <w:pStyle w:val="Textonotapie"/>
        <w:ind w:right="51" w:firstLine="709"/>
        <w:contextualSpacing/>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w:t>
      </w:r>
      <w:bookmarkStart w:id="18" w:name="_Hlk74294506"/>
      <w:r w:rsidRPr="00A105C2">
        <w:rPr>
          <w:rFonts w:asciiTheme="minorBidi" w:hAnsiTheme="minorBidi"/>
          <w:sz w:val="19"/>
          <w:szCs w:val="19"/>
        </w:rPr>
        <w:t>«</w:t>
      </w:r>
      <w:r w:rsidRPr="00A105C2">
        <w:rPr>
          <w:rFonts w:asciiTheme="minorBidi" w:hAnsiTheme="minorBidi"/>
          <w:sz w:val="19"/>
          <w:szCs w:val="19"/>
          <w:lang w:val="es-ES"/>
        </w:rPr>
        <w:t xml:space="preserve">[26] </w:t>
      </w:r>
      <w:bookmarkEnd w:id="18"/>
      <w:r w:rsidRPr="00A105C2">
        <w:rPr>
          <w:rFonts w:asciiTheme="minorBidi" w:hAnsiTheme="minorBidi"/>
          <w:sz w:val="19"/>
          <w:szCs w:val="19"/>
        </w:rPr>
        <w:t>Al respecto ver el concepto 1712 de 2 de febrero de 2006. Consejo de Estado Sala de Consulta y Servicio Civil».</w:t>
      </w:r>
    </w:p>
  </w:footnote>
  <w:footnote w:id="13">
    <w:p w14:paraId="7A912F9D" w14:textId="77777777" w:rsidR="009311DA" w:rsidRPr="00A105C2" w:rsidRDefault="009311DA" w:rsidP="005E2B5A">
      <w:pPr>
        <w:pStyle w:val="Textonotapie"/>
        <w:ind w:firstLine="709"/>
        <w:contextualSpacing/>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Consejo de Estado. Sala de Consulta y Servicio Civil. Concepto del 2 de septiembre de 2013. Radicación número: 11001-03-06-000-2013-00412-00 (2168). Consejero Ponente: Álvaro Namén Vargas.</w:t>
      </w:r>
    </w:p>
  </w:footnote>
  <w:footnote w:id="14">
    <w:p w14:paraId="1CFF08ED" w14:textId="77777777" w:rsidR="004D3F10" w:rsidRPr="00587D9E" w:rsidRDefault="004D3F10" w:rsidP="004D3F10">
      <w:pPr>
        <w:pStyle w:val="Textonotapie"/>
        <w:ind w:firstLine="709"/>
        <w:jc w:val="both"/>
        <w:rPr>
          <w:rFonts w:ascii="Arial" w:hAnsi="Arial" w:cs="Arial"/>
          <w:sz w:val="19"/>
          <w:szCs w:val="19"/>
          <w:lang w:val="es-ES"/>
        </w:rPr>
      </w:pPr>
      <w:r w:rsidRPr="00587D9E">
        <w:rPr>
          <w:rStyle w:val="Refdenotaalpie"/>
          <w:rFonts w:ascii="Arial" w:hAnsi="Arial" w:cs="Arial"/>
          <w:sz w:val="19"/>
          <w:szCs w:val="19"/>
        </w:rPr>
        <w:footnoteRef/>
      </w:r>
      <w:r w:rsidRPr="00587D9E">
        <w:rPr>
          <w:rFonts w:ascii="Arial" w:hAnsi="Arial" w:cs="Arial"/>
          <w:sz w:val="19"/>
          <w:szCs w:val="19"/>
        </w:rPr>
        <w:t xml:space="preserve"> </w:t>
      </w:r>
      <w:r w:rsidRPr="00587D9E">
        <w:rPr>
          <w:rFonts w:ascii="Arial" w:hAnsi="Arial" w:cs="Arial"/>
          <w:sz w:val="19"/>
          <w:szCs w:val="19"/>
          <w:lang w:val="es-ES"/>
        </w:rPr>
        <w:t xml:space="preserve">Artículo 2. </w:t>
      </w:r>
    </w:p>
    <w:p w14:paraId="7F063EBD" w14:textId="77777777" w:rsidR="004D3F10" w:rsidRPr="00587D9E" w:rsidRDefault="004D3F10" w:rsidP="004D3F10">
      <w:pPr>
        <w:pStyle w:val="Textonotapie"/>
        <w:ind w:firstLine="709"/>
        <w:jc w:val="both"/>
        <w:rPr>
          <w:rFonts w:ascii="Arial" w:hAnsi="Arial" w:cs="Arial"/>
          <w:sz w:val="19"/>
          <w:szCs w:val="19"/>
          <w:lang w:val="es-ES"/>
        </w:rPr>
      </w:pPr>
    </w:p>
  </w:footnote>
  <w:footnote w:id="15">
    <w:p w14:paraId="2DA1E647" w14:textId="77777777" w:rsidR="004D3F10" w:rsidRPr="00587D9E" w:rsidRDefault="004D3F10" w:rsidP="004D3F10">
      <w:pPr>
        <w:pStyle w:val="Textonotapie"/>
        <w:ind w:firstLine="709"/>
        <w:jc w:val="both"/>
        <w:rPr>
          <w:rFonts w:ascii="Arial" w:hAnsi="Arial" w:cs="Arial"/>
          <w:sz w:val="19"/>
          <w:szCs w:val="19"/>
          <w:lang w:val="es-ES"/>
        </w:rPr>
      </w:pPr>
      <w:r w:rsidRPr="00587D9E">
        <w:rPr>
          <w:rStyle w:val="Refdenotaalpie"/>
          <w:rFonts w:ascii="Arial" w:hAnsi="Arial" w:cs="Arial"/>
          <w:sz w:val="19"/>
          <w:szCs w:val="19"/>
        </w:rPr>
        <w:footnoteRef/>
      </w:r>
      <w:r w:rsidRPr="00587D9E">
        <w:rPr>
          <w:rFonts w:ascii="Arial" w:hAnsi="Arial" w:cs="Arial"/>
          <w:sz w:val="19"/>
          <w:szCs w:val="19"/>
        </w:rPr>
        <w:t xml:space="preserve"> </w:t>
      </w:r>
      <w:r w:rsidRPr="00587D9E">
        <w:rPr>
          <w:rFonts w:ascii="Arial" w:hAnsi="Arial" w:cs="Arial"/>
          <w:i/>
          <w:sz w:val="19"/>
          <w:szCs w:val="19"/>
          <w:lang w:val="es-ES"/>
        </w:rPr>
        <w:t>Ídem</w:t>
      </w:r>
      <w:r w:rsidRPr="00587D9E">
        <w:rPr>
          <w:rFonts w:ascii="Arial" w:hAnsi="Arial" w:cs="Arial"/>
          <w:sz w:val="19"/>
          <w:szCs w:val="19"/>
          <w:lang w:val="es-ES"/>
        </w:rPr>
        <w:t>.</w:t>
      </w:r>
    </w:p>
    <w:p w14:paraId="370BF0F5" w14:textId="77777777" w:rsidR="004D3F10" w:rsidRPr="00587D9E" w:rsidRDefault="004D3F10" w:rsidP="004D3F10">
      <w:pPr>
        <w:pStyle w:val="Textonotapie"/>
        <w:ind w:firstLine="709"/>
        <w:jc w:val="both"/>
        <w:rPr>
          <w:rFonts w:ascii="Arial" w:hAnsi="Arial" w:cs="Arial"/>
          <w:sz w:val="19"/>
          <w:szCs w:val="19"/>
          <w:lang w:val="es-ES"/>
        </w:rPr>
      </w:pPr>
    </w:p>
  </w:footnote>
  <w:footnote w:id="16">
    <w:p w14:paraId="300F2F8D" w14:textId="77777777" w:rsidR="009311DA" w:rsidRPr="00A105C2" w:rsidRDefault="009311DA" w:rsidP="005E2B5A">
      <w:pPr>
        <w:pStyle w:val="Textonotapie"/>
        <w:ind w:firstLine="709"/>
        <w:contextualSpacing/>
        <w:jc w:val="both"/>
        <w:rPr>
          <w:rFonts w:asciiTheme="minorBidi" w:hAnsiTheme="minorBidi"/>
          <w:sz w:val="19"/>
          <w:szCs w:val="19"/>
          <w:lang w:val="es-ES"/>
        </w:rPr>
      </w:pPr>
      <w:r w:rsidRPr="00A105C2">
        <w:rPr>
          <w:rStyle w:val="Refdenotaalpie"/>
          <w:rFonts w:asciiTheme="minorBidi" w:hAnsiTheme="minorBidi"/>
          <w:sz w:val="19"/>
          <w:szCs w:val="19"/>
        </w:rPr>
        <w:footnoteRef/>
      </w:r>
      <w:r w:rsidRPr="00A105C2">
        <w:rPr>
          <w:rStyle w:val="Refdenotaalpie"/>
          <w:rFonts w:asciiTheme="minorBidi" w:hAnsiTheme="minorBidi"/>
          <w:sz w:val="19"/>
          <w:szCs w:val="19"/>
        </w:rPr>
        <w:t xml:space="preserve"> </w:t>
      </w:r>
      <w:bookmarkStart w:id="20" w:name="_Hlk74297130"/>
      <w:r w:rsidRPr="00A105C2">
        <w:rPr>
          <w:rFonts w:asciiTheme="minorBidi" w:hAnsiTheme="minorBidi"/>
          <w:sz w:val="19"/>
          <w:szCs w:val="19"/>
          <w:lang w:val="es-ES"/>
        </w:rPr>
        <w:t>«</w:t>
      </w:r>
      <w:bookmarkEnd w:id="20"/>
      <w:r w:rsidRPr="00A105C2">
        <w:rPr>
          <w:rFonts w:asciiTheme="minorBidi" w:hAnsiTheme="minorBidi"/>
          <w:sz w:val="19"/>
          <w:szCs w:val="19"/>
          <w:lang w:val="es-ES"/>
        </w:rPr>
        <w:t xml:space="preserve">[…] A este respecto, cabe recordar que el artículo 860 del Código de Comercio regula la licitación en el derecho privado». </w:t>
      </w:r>
    </w:p>
  </w:footnote>
  <w:footnote w:id="17">
    <w:p w14:paraId="51A0091E" w14:textId="77777777" w:rsidR="009311DA" w:rsidRPr="00A105C2" w:rsidRDefault="009311DA" w:rsidP="005E2B5A">
      <w:pPr>
        <w:shd w:val="clear" w:color="auto" w:fill="FFFFFF"/>
        <w:ind w:firstLine="709"/>
        <w:contextualSpacing/>
        <w:jc w:val="both"/>
        <w:rPr>
          <w:rFonts w:asciiTheme="minorBidi" w:hAnsiTheme="minorBidi" w:cstheme="minorBidi"/>
          <w:sz w:val="19"/>
          <w:szCs w:val="19"/>
          <w:lang w:val="es-ES"/>
        </w:rPr>
      </w:pPr>
      <w:r w:rsidRPr="00A105C2">
        <w:rPr>
          <w:rStyle w:val="Refdenotaalpie"/>
          <w:rFonts w:asciiTheme="minorBidi" w:hAnsiTheme="minorBidi" w:cstheme="minorBidi"/>
          <w:sz w:val="19"/>
          <w:szCs w:val="19"/>
        </w:rPr>
        <w:footnoteRef/>
      </w:r>
      <w:r w:rsidRPr="00A105C2">
        <w:rPr>
          <w:rStyle w:val="Refdenotaalpie"/>
          <w:rFonts w:asciiTheme="minorBidi" w:hAnsiTheme="minorBidi" w:cstheme="minorBidi"/>
          <w:sz w:val="19"/>
          <w:szCs w:val="19"/>
        </w:rPr>
        <w:t xml:space="preserve"> </w:t>
      </w:r>
      <w:r w:rsidRPr="00A105C2">
        <w:rPr>
          <w:rFonts w:asciiTheme="minorBidi" w:hAnsiTheme="minorBidi" w:cstheme="minorBidi"/>
          <w:sz w:val="19"/>
          <w:szCs w:val="19"/>
          <w:lang w:val="es-ES"/>
        </w:rPr>
        <w:t>Consejo de Estado. Sala de Consulta y Servicio Civil, Concepto de 8 de mayo de 2018. Radicación Número: 11001-03-06-000-2018-00095-00(2382). Consejero Ponente: Álvaro Namén Vargas.</w:t>
      </w:r>
    </w:p>
  </w:footnote>
  <w:footnote w:id="18">
    <w:p w14:paraId="038A9606" w14:textId="77777777" w:rsidR="009311DA" w:rsidRPr="00A105C2" w:rsidRDefault="009311DA" w:rsidP="005E2B5A">
      <w:pPr>
        <w:pStyle w:val="Textonotapie"/>
        <w:ind w:firstLine="709"/>
        <w:contextualSpacing/>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Consejo de Estado. Sala de Consulta y Servicio Civil. Concepto del 08 de mayo de 2018. </w:t>
      </w:r>
      <w:proofErr w:type="spellStart"/>
      <w:r w:rsidRPr="00A105C2">
        <w:rPr>
          <w:rFonts w:asciiTheme="minorBidi" w:hAnsiTheme="minorBidi"/>
          <w:sz w:val="19"/>
          <w:szCs w:val="19"/>
        </w:rPr>
        <w:t>Exp</w:t>
      </w:r>
      <w:proofErr w:type="spellEnd"/>
      <w:r w:rsidRPr="00A105C2">
        <w:rPr>
          <w:rFonts w:asciiTheme="minorBidi" w:hAnsiTheme="minorBidi"/>
          <w:sz w:val="19"/>
          <w:szCs w:val="19"/>
        </w:rPr>
        <w:t>. 2.382. C.P. Álvaro Namén Vargas.</w:t>
      </w:r>
    </w:p>
  </w:footnote>
  <w:footnote w:id="19">
    <w:p w14:paraId="76AA1AA6" w14:textId="77777777" w:rsidR="009311DA" w:rsidRPr="00A105C2" w:rsidRDefault="009311DA" w:rsidP="005E2B5A">
      <w:pPr>
        <w:pStyle w:val="Textonotapie"/>
        <w:ind w:firstLine="709"/>
        <w:contextualSpacing/>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La Corte Constitucional mediante Sentencia C-1153-05 de 11 de noviembre de 2005, Magistrado Ponente Marco Gerardo Monroy Cabra, efectuó el Control constitucional al Proyecto de Ley Estatutaria </w:t>
      </w:r>
      <w:proofErr w:type="spellStart"/>
      <w:r w:rsidRPr="00A105C2">
        <w:rPr>
          <w:rFonts w:asciiTheme="minorBidi" w:hAnsiTheme="minorBidi"/>
          <w:sz w:val="19"/>
          <w:szCs w:val="19"/>
        </w:rPr>
        <w:t>N°</w:t>
      </w:r>
      <w:proofErr w:type="spellEnd"/>
      <w:r w:rsidRPr="00A105C2">
        <w:rPr>
          <w:rFonts w:asciiTheme="minorBidi" w:hAnsiTheme="minorBidi"/>
          <w:sz w:val="19"/>
          <w:szCs w:val="19"/>
        </w:rPr>
        <w:t xml:space="preserve"> 216/05 Senado, </w:t>
      </w:r>
      <w:proofErr w:type="spellStart"/>
      <w:r w:rsidRPr="00A105C2">
        <w:rPr>
          <w:rFonts w:asciiTheme="minorBidi" w:hAnsiTheme="minorBidi"/>
          <w:sz w:val="19"/>
          <w:szCs w:val="19"/>
        </w:rPr>
        <w:t>N°</w:t>
      </w:r>
      <w:proofErr w:type="spellEnd"/>
      <w:r w:rsidRPr="00A105C2">
        <w:rPr>
          <w:rFonts w:asciiTheme="minorBidi" w:hAnsiTheme="minorBidi"/>
          <w:sz w:val="19"/>
          <w:szCs w:val="19"/>
        </w:rPr>
        <w:t xml:space="preserve"> 235-Cámara que dio lugar a la Ley de Garantías Electorales.</w:t>
      </w:r>
    </w:p>
  </w:footnote>
  <w:footnote w:id="20">
    <w:p w14:paraId="56019F36" w14:textId="76005FB1" w:rsidR="00C84F90" w:rsidRPr="00A105C2" w:rsidRDefault="00C84F90" w:rsidP="005E2B5A">
      <w:pPr>
        <w:ind w:firstLine="709"/>
        <w:jc w:val="both"/>
        <w:rPr>
          <w:rFonts w:asciiTheme="minorBidi" w:hAnsiTheme="minorBidi" w:cstheme="minorBidi"/>
          <w:sz w:val="19"/>
          <w:szCs w:val="19"/>
        </w:rPr>
      </w:pPr>
      <w:r w:rsidRPr="00A105C2">
        <w:rPr>
          <w:rStyle w:val="Refdenotaalpie"/>
          <w:rFonts w:asciiTheme="minorBidi" w:hAnsiTheme="minorBidi" w:cstheme="minorBidi"/>
          <w:sz w:val="19"/>
          <w:szCs w:val="19"/>
        </w:rPr>
        <w:footnoteRef/>
      </w:r>
      <w:r w:rsidRPr="00A105C2">
        <w:rPr>
          <w:rFonts w:asciiTheme="minorBidi" w:hAnsiTheme="minorBidi" w:cstheme="minorBidi"/>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1">
    <w:p w14:paraId="7641EA62" w14:textId="77777777" w:rsidR="004D3F10" w:rsidRPr="00587D9E" w:rsidRDefault="004D3F10" w:rsidP="004D3F10">
      <w:pPr>
        <w:pStyle w:val="Textonotapie"/>
        <w:ind w:firstLine="709"/>
        <w:jc w:val="both"/>
        <w:rPr>
          <w:rFonts w:ascii="Arial" w:eastAsia="Times New Roman" w:hAnsi="Arial" w:cs="Arial"/>
          <w:bCs/>
          <w:sz w:val="19"/>
          <w:szCs w:val="19"/>
          <w:lang w:eastAsia="x-none"/>
        </w:rPr>
      </w:pPr>
      <w:r w:rsidRPr="00587D9E">
        <w:rPr>
          <w:rStyle w:val="Refdenotaalpie"/>
          <w:rFonts w:ascii="Arial" w:hAnsi="Arial" w:cs="Arial"/>
          <w:sz w:val="19"/>
          <w:szCs w:val="19"/>
        </w:rPr>
        <w:footnoteRef/>
      </w:r>
      <w:r w:rsidRPr="00587D9E">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r w:rsidRPr="00587D9E">
        <w:rPr>
          <w:rFonts w:ascii="Arial" w:eastAsia="Times New Roman" w:hAnsi="Arial" w:cs="Arial"/>
          <w:bCs/>
          <w:sz w:val="19"/>
          <w:szCs w:val="19"/>
          <w:lang w:eastAsia="x-none"/>
        </w:rPr>
        <w:t xml:space="preserve"> «</w:t>
      </w:r>
      <w:r w:rsidRPr="00587D9E">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587D9E">
        <w:rPr>
          <w:rFonts w:ascii="Arial" w:eastAsia="Times New Roman" w:hAnsi="Arial" w:cs="Arial"/>
          <w:bCs/>
          <w:sz w:val="19"/>
          <w:szCs w:val="19"/>
          <w:lang w:eastAsia="x-none"/>
        </w:rPr>
        <w:t>».</w:t>
      </w:r>
    </w:p>
    <w:p w14:paraId="59C9B7B9" w14:textId="77777777" w:rsidR="004D3F10" w:rsidRPr="00587D9E" w:rsidRDefault="004D3F10" w:rsidP="004D3F10">
      <w:pPr>
        <w:pStyle w:val="Textonotapie"/>
        <w:ind w:firstLine="709"/>
        <w:jc w:val="both"/>
        <w:rPr>
          <w:rFonts w:ascii="Arial" w:hAnsi="Arial" w:cs="Arial"/>
          <w:sz w:val="19"/>
          <w:szCs w:val="19"/>
        </w:rPr>
      </w:pPr>
    </w:p>
  </w:footnote>
  <w:footnote w:id="22">
    <w:p w14:paraId="3ADCF052" w14:textId="4E2DEB02" w:rsidR="00C84F90" w:rsidRPr="00A105C2" w:rsidRDefault="00C84F90" w:rsidP="005E2B5A">
      <w:pPr>
        <w:pStyle w:val="Textonotapie"/>
        <w:ind w:right="51" w:firstLine="709"/>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Consejo de Estado. Sala de Consulta y Servicio Civil. Concepto de 6 de abril de 2006. Radicación Número: 11001-03-06-000-2006-00038-00(1738). Consejero Ponente: Enrique José Arboleda Perdomo.</w:t>
      </w:r>
    </w:p>
  </w:footnote>
  <w:footnote w:id="23">
    <w:p w14:paraId="48FC567A" w14:textId="77777777" w:rsidR="00C84F90" w:rsidRPr="00A105C2" w:rsidRDefault="00C84F90" w:rsidP="005E2B5A">
      <w:pPr>
        <w:pStyle w:val="Textonotapie"/>
        <w:ind w:right="51" w:firstLine="709"/>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Consejo de Estado. Sala de Consulta y Servicio Civil, ídem.</w:t>
      </w:r>
    </w:p>
  </w:footnote>
  <w:footnote w:id="24">
    <w:p w14:paraId="5642CB21" w14:textId="1C15B955" w:rsidR="00C84F90" w:rsidRPr="00A105C2" w:rsidRDefault="00C84F90" w:rsidP="005E2B5A">
      <w:pPr>
        <w:pStyle w:val="Textonotapie"/>
        <w:ind w:firstLine="709"/>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Consejo de Estado. Sala de Consulta y Servicio Civil. Concepto de 20 de febrero de2006. Radicación 11001-03-06-000-2006-00023-00(1724). Consejero Ponente: Flavio Augusto Rodríguez Arce.</w:t>
      </w:r>
    </w:p>
  </w:footnote>
  <w:footnote w:id="25">
    <w:p w14:paraId="5B778D73" w14:textId="77777777" w:rsidR="00C84F90" w:rsidRPr="00A105C2" w:rsidRDefault="00C84F90" w:rsidP="005E2B5A">
      <w:pPr>
        <w:spacing w:before="78"/>
        <w:ind w:firstLine="709"/>
        <w:jc w:val="both"/>
        <w:rPr>
          <w:rFonts w:asciiTheme="minorBidi" w:hAnsiTheme="minorBidi" w:cstheme="minorBidi"/>
          <w:sz w:val="19"/>
          <w:szCs w:val="19"/>
        </w:rPr>
      </w:pPr>
      <w:r w:rsidRPr="00A105C2">
        <w:rPr>
          <w:rStyle w:val="Refdenotaalpie"/>
          <w:rFonts w:asciiTheme="minorBidi" w:hAnsiTheme="minorBidi" w:cstheme="minorBidi"/>
          <w:sz w:val="19"/>
          <w:szCs w:val="19"/>
        </w:rPr>
        <w:footnoteRef/>
      </w:r>
      <w:r w:rsidRPr="00A105C2">
        <w:rPr>
          <w:rFonts w:asciiTheme="minorBidi" w:hAnsiTheme="minorBidi" w:cstheme="minorBidi"/>
          <w:sz w:val="19"/>
          <w:szCs w:val="19"/>
        </w:rPr>
        <w:t xml:space="preserve"> Decreto 1082 de 2015: «Artículo 2.2.1.2.1.4.4. Convenios o contratos interadministrativos. La modalidad de selección para la contratación entre Entidades Estatales es la contratación directa; </w:t>
      </w:r>
      <w:proofErr w:type="gramStart"/>
      <w:r w:rsidRPr="00A105C2">
        <w:rPr>
          <w:rFonts w:asciiTheme="minorBidi" w:hAnsiTheme="minorBidi" w:cstheme="minorBidi"/>
          <w:sz w:val="19"/>
          <w:szCs w:val="19"/>
        </w:rPr>
        <w:t>y</w:t>
      </w:r>
      <w:proofErr w:type="gramEnd"/>
      <w:r w:rsidRPr="00A105C2">
        <w:rPr>
          <w:rFonts w:asciiTheme="minorBidi" w:hAnsiTheme="minorBidi" w:cstheme="minorBidi"/>
          <w:sz w:val="19"/>
          <w:szCs w:val="19"/>
        </w:rPr>
        <w:t xml:space="preserve"> en consecuencia, le es aplicable lo establecido en el artículo 2.2.1.2.1.4.1 del presente decreto.</w:t>
      </w:r>
    </w:p>
    <w:p w14:paraId="147A542A" w14:textId="77777777" w:rsidR="00C84F90" w:rsidRPr="00A105C2" w:rsidRDefault="00C84F90" w:rsidP="005E2B5A">
      <w:pPr>
        <w:ind w:firstLine="709"/>
        <w:jc w:val="both"/>
        <w:rPr>
          <w:rFonts w:asciiTheme="minorBidi" w:hAnsiTheme="minorBidi" w:cstheme="minorBidi"/>
          <w:sz w:val="19"/>
          <w:szCs w:val="19"/>
        </w:rPr>
      </w:pPr>
      <w:proofErr w:type="gramStart"/>
      <w:r w:rsidRPr="00A105C2">
        <w:rPr>
          <w:rFonts w:asciiTheme="minorBidi" w:hAnsiTheme="minorBidi" w:cstheme="minorBidi"/>
          <w:sz w:val="19"/>
          <w:szCs w:val="19"/>
        </w:rPr>
        <w:t>»Cuando</w:t>
      </w:r>
      <w:proofErr w:type="gramEnd"/>
      <w:r w:rsidRPr="00A105C2">
        <w:rPr>
          <w:rFonts w:asciiTheme="minorBidi" w:hAnsiTheme="minorBidi" w:cstheme="minorBidi"/>
          <w:sz w:val="19"/>
          <w:szCs w:val="19"/>
        </w:rPr>
        <w:t xml:space="preserve">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A105C2">
        <w:rPr>
          <w:rFonts w:asciiTheme="minorBidi" w:hAnsiTheme="minorBidi" w:cstheme="minorBidi"/>
          <w:spacing w:val="-1"/>
          <w:sz w:val="19"/>
          <w:szCs w:val="19"/>
        </w:rPr>
        <w:t xml:space="preserve"> </w:t>
      </w:r>
      <w:r w:rsidRPr="00A105C2">
        <w:rPr>
          <w:rFonts w:asciiTheme="minorBidi" w:hAnsiTheme="minorBidi" w:cstheme="minorBidi"/>
          <w:sz w:val="19"/>
          <w:szCs w:val="19"/>
        </w:rPr>
        <w:t>Estatales».</w:t>
      </w:r>
    </w:p>
  </w:footnote>
  <w:footnote w:id="26">
    <w:p w14:paraId="542388D6" w14:textId="5E11CBB7" w:rsidR="00C84F90" w:rsidRPr="00A105C2" w:rsidRDefault="00C84F90" w:rsidP="005E2B5A">
      <w:pPr>
        <w:ind w:firstLine="709"/>
        <w:jc w:val="both"/>
        <w:rPr>
          <w:rFonts w:asciiTheme="minorBidi" w:hAnsiTheme="minorBidi" w:cstheme="minorBidi"/>
          <w:sz w:val="19"/>
          <w:szCs w:val="19"/>
        </w:rPr>
      </w:pPr>
      <w:r w:rsidRPr="00A105C2">
        <w:rPr>
          <w:rStyle w:val="Refdenotaalpie"/>
          <w:rFonts w:asciiTheme="minorBidi" w:hAnsiTheme="minorBidi" w:cstheme="minorBidi"/>
          <w:sz w:val="19"/>
          <w:szCs w:val="19"/>
        </w:rPr>
        <w:footnoteRef/>
      </w:r>
      <w:r w:rsidRPr="00A105C2">
        <w:rPr>
          <w:rFonts w:asciiTheme="minorBidi" w:hAnsiTheme="minorBidi" w:cstheme="minorBidi"/>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A105C2">
        <w:rPr>
          <w:rFonts w:asciiTheme="minorBidi" w:hAnsiTheme="minorBidi" w:cstheme="minorBidi"/>
          <w:spacing w:val="-6"/>
          <w:sz w:val="19"/>
          <w:szCs w:val="19"/>
        </w:rPr>
        <w:t xml:space="preserve"> </w:t>
      </w:r>
      <w:r w:rsidRPr="00A105C2">
        <w:rPr>
          <w:rFonts w:asciiTheme="minorBidi" w:hAnsiTheme="minorBidi" w:cstheme="minorBidi"/>
          <w:sz w:val="19"/>
          <w:szCs w:val="19"/>
        </w:rPr>
        <w:t>artículo».</w:t>
      </w:r>
    </w:p>
  </w:footnote>
  <w:footnote w:id="27">
    <w:p w14:paraId="6B0E50FE" w14:textId="3A71C6EF" w:rsidR="00C84F90" w:rsidRPr="00A105C2" w:rsidRDefault="00C84F90" w:rsidP="005E2B5A">
      <w:pPr>
        <w:ind w:firstLine="709"/>
        <w:jc w:val="both"/>
        <w:rPr>
          <w:rFonts w:asciiTheme="minorBidi" w:hAnsiTheme="minorBidi" w:cstheme="minorBidi"/>
          <w:sz w:val="19"/>
          <w:szCs w:val="19"/>
        </w:rPr>
      </w:pPr>
      <w:r w:rsidRPr="00A105C2">
        <w:rPr>
          <w:rStyle w:val="Refdenotaalpie"/>
          <w:rFonts w:asciiTheme="minorBidi" w:hAnsiTheme="minorBidi" w:cstheme="minorBidi"/>
          <w:sz w:val="19"/>
          <w:szCs w:val="19"/>
        </w:rPr>
        <w:footnoteRef/>
      </w:r>
      <w:r w:rsidRPr="00A105C2">
        <w:rPr>
          <w:rFonts w:asciiTheme="minorBidi" w:hAnsiTheme="minorBidi" w:cstheme="minorBidi"/>
          <w:position w:val="7"/>
          <w:sz w:val="19"/>
          <w:szCs w:val="19"/>
        </w:rPr>
        <w:t xml:space="preserve"> </w:t>
      </w:r>
      <w:r w:rsidRPr="00A105C2">
        <w:rPr>
          <w:rFonts w:asciiTheme="minorBidi" w:hAnsiTheme="minorBidi" w:cstheme="minorBidi"/>
          <w:sz w:val="19"/>
          <w:szCs w:val="19"/>
        </w:rPr>
        <w:t>Consejo de Estado. Sección Tercera. Sentencia del 23 de junio de 2010. Radicación No. 66001-23-31-000-1998-00261-01(17.860). Consejero Ponente: Mauricio Fajardo Gómez.</w:t>
      </w:r>
    </w:p>
  </w:footnote>
  <w:footnote w:id="28">
    <w:p w14:paraId="6DE2D05A" w14:textId="1FE31D75" w:rsidR="00A2229B" w:rsidRPr="00A105C2" w:rsidRDefault="00C84F90" w:rsidP="005E2B5A">
      <w:pPr>
        <w:ind w:firstLine="709"/>
        <w:jc w:val="both"/>
        <w:rPr>
          <w:rFonts w:asciiTheme="minorBidi" w:hAnsiTheme="minorBidi" w:cstheme="minorBidi"/>
          <w:sz w:val="19"/>
          <w:szCs w:val="19"/>
        </w:rPr>
      </w:pPr>
      <w:r w:rsidRPr="00A105C2">
        <w:rPr>
          <w:rStyle w:val="Refdenotaalpie"/>
          <w:rFonts w:asciiTheme="minorBidi" w:hAnsiTheme="minorBidi" w:cstheme="minorBidi"/>
          <w:sz w:val="19"/>
          <w:szCs w:val="19"/>
        </w:rPr>
        <w:footnoteRef/>
      </w:r>
      <w:r w:rsidRPr="00A105C2">
        <w:rPr>
          <w:rFonts w:asciiTheme="minorBidi" w:hAnsiTheme="minorBidi" w:cstheme="minorBidi"/>
          <w:sz w:val="19"/>
          <w:szCs w:val="19"/>
        </w:rPr>
        <w:t xml:space="preserve"> Consejo de Estado. Sección Tercera. Subsección C. Sentencia del 11 de diciembre de 2019. </w:t>
      </w:r>
      <w:proofErr w:type="spellStart"/>
      <w:r w:rsidRPr="00A105C2">
        <w:rPr>
          <w:rFonts w:asciiTheme="minorBidi" w:hAnsiTheme="minorBidi" w:cstheme="minorBidi"/>
          <w:sz w:val="19"/>
          <w:szCs w:val="19"/>
        </w:rPr>
        <w:t>Exp</w:t>
      </w:r>
      <w:proofErr w:type="spellEnd"/>
      <w:r w:rsidRPr="00A105C2">
        <w:rPr>
          <w:rFonts w:asciiTheme="minorBidi" w:hAnsiTheme="minorBidi" w:cstheme="minorBidi"/>
          <w:sz w:val="19"/>
          <w:szCs w:val="19"/>
        </w:rPr>
        <w:t>. 46.986. C.P. Jaime Enrique Rodríguez Navas.</w:t>
      </w:r>
    </w:p>
  </w:footnote>
  <w:footnote w:id="29">
    <w:p w14:paraId="4D5FDF5A" w14:textId="5612858B" w:rsidR="00A2229B" w:rsidRPr="00A105C2" w:rsidRDefault="00C84F90" w:rsidP="005E2B5A">
      <w:pPr>
        <w:pStyle w:val="Textonotapie"/>
        <w:ind w:firstLine="708"/>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[Referencia propia de la cita] «CE. SCSC. Concepto de 1 de noviembre de 2016 [Rad. 11001-03-06-000-2016-00125-00(2305)]. MP. Germán Alberto Bula Escobar».</w:t>
      </w:r>
    </w:p>
  </w:footnote>
  <w:footnote w:id="30">
    <w:p w14:paraId="040CA871" w14:textId="77777777" w:rsidR="00C84F90" w:rsidRPr="00A105C2" w:rsidRDefault="00C84F90" w:rsidP="005E2B5A">
      <w:pPr>
        <w:pStyle w:val="Textonotapie"/>
        <w:ind w:firstLine="708"/>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[Referencia propia de la cita] «CE. SCSC. Concepto de 30 de abril de 2008 [Rad. 11001-03-06-000-2008-00013-00(1881)]. MP. Enrique José Arboleda Perdomo. En esta oportunidad, la Sala indicó que el contenido </w:t>
      </w:r>
      <w:r w:rsidRPr="00A105C2">
        <w:rPr>
          <w:rFonts w:asciiTheme="minorBidi" w:hAnsiTheme="minorBidi"/>
          <w:i/>
          <w:sz w:val="19"/>
          <w:szCs w:val="19"/>
        </w:rPr>
        <w:t>“obligacional”</w:t>
      </w:r>
      <w:r w:rsidRPr="00A105C2">
        <w:rPr>
          <w:rFonts w:asciiTheme="minorBidi" w:hAnsiTheme="minorBidi"/>
          <w:sz w:val="19"/>
          <w:szCs w:val="19"/>
        </w:rPr>
        <w:t xml:space="preserve"> de los convenios se estructura definiendo el resultado querido por las partes y los medios que cada entidad despliega para la obtención del respectivo objeto».</w:t>
      </w:r>
    </w:p>
  </w:footnote>
  <w:footnote w:id="31">
    <w:p w14:paraId="46AFFF4F" w14:textId="7DD60C48" w:rsidR="00A2229B" w:rsidRPr="00A105C2" w:rsidRDefault="00C84F90" w:rsidP="005E2B5A">
      <w:pPr>
        <w:pStyle w:val="Textonotapie"/>
        <w:ind w:firstLine="708"/>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[Referencia propia de la cita] «La normativa vigente del EGCAP </w:t>
      </w:r>
      <w:r w:rsidRPr="00A105C2">
        <w:rPr>
          <w:rFonts w:asciiTheme="minorBidi" w:hAnsiTheme="minorBidi"/>
          <w:i/>
          <w:sz w:val="19"/>
          <w:szCs w:val="19"/>
        </w:rPr>
        <w:t>[literal c) del numeral 4. del artículo 2 de la Ley 1150/07]</w:t>
      </w:r>
      <w:r w:rsidRPr="00A105C2">
        <w:rPr>
          <w:rFonts w:asciiTheme="minorBidi" w:hAnsiTheme="minorBidi"/>
          <w:sz w:val="19"/>
          <w:szCs w:val="19"/>
        </w:rPr>
        <w:t xml:space="preserve"> se refiere a </w:t>
      </w:r>
      <w:r w:rsidRPr="00A105C2">
        <w:rPr>
          <w:rFonts w:asciiTheme="minorBidi" w:hAnsiTheme="minorBidi"/>
          <w:i/>
          <w:sz w:val="19"/>
          <w:szCs w:val="19"/>
        </w:rPr>
        <w:t>“contratos interadministrativos”</w:t>
      </w:r>
      <w:r w:rsidRPr="00A105C2">
        <w:rPr>
          <w:rFonts w:asciiTheme="minorBidi" w:hAnsiTheme="minorBidi"/>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2">
    <w:p w14:paraId="50188ADF" w14:textId="5D600E34" w:rsidR="00A2229B" w:rsidRPr="00A105C2" w:rsidRDefault="00C84F90" w:rsidP="005E2B5A">
      <w:pPr>
        <w:pStyle w:val="Textonotapie"/>
        <w:ind w:firstLine="708"/>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A105C2">
        <w:rPr>
          <w:rFonts w:asciiTheme="minorBidi" w:hAnsiTheme="minorBidi"/>
          <w:sz w:val="19"/>
          <w:szCs w:val="19"/>
        </w:rPr>
        <w:t>Exp</w:t>
      </w:r>
      <w:proofErr w:type="spellEnd"/>
      <w:r w:rsidRPr="00A105C2">
        <w:rPr>
          <w:rFonts w:asciiTheme="minorBidi" w:hAnsiTheme="minorBidi"/>
          <w:sz w:val="19"/>
          <w:szCs w:val="19"/>
        </w:rPr>
        <w:t>. 2.257. M.P. Álvaro Namén Vargas).</w:t>
      </w:r>
    </w:p>
  </w:footnote>
  <w:footnote w:id="33">
    <w:p w14:paraId="1D7CCE78" w14:textId="594F13FA" w:rsidR="00C84F90" w:rsidRPr="005E2B5A" w:rsidRDefault="00C84F90" w:rsidP="005E2B5A">
      <w:pPr>
        <w:pStyle w:val="Textonotapie"/>
        <w:ind w:firstLine="708"/>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Es lo que sucede, por ejemplo, con el Decreto 092 de 2017, que en su desarrollo hace referencia tanto a los «contratos» como a los «convenios». </w:t>
      </w:r>
    </w:p>
  </w:footnote>
  <w:footnote w:id="34">
    <w:p w14:paraId="58099780" w14:textId="77777777" w:rsidR="00C84F90" w:rsidRPr="00A105C2" w:rsidRDefault="00C84F90" w:rsidP="005E2B5A">
      <w:pPr>
        <w:pStyle w:val="Textonotapie"/>
        <w:ind w:firstLine="708"/>
        <w:jc w:val="both"/>
        <w:rPr>
          <w:rFonts w:asciiTheme="minorBidi" w:hAnsiTheme="minorBidi"/>
          <w:sz w:val="19"/>
          <w:szCs w:val="19"/>
          <w:lang w:val="es-CO"/>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5">
    <w:p w14:paraId="459124BC" w14:textId="03B387C6" w:rsidR="00781208" w:rsidRPr="00A105C2" w:rsidRDefault="00363544" w:rsidP="005E2B5A">
      <w:pPr>
        <w:pStyle w:val="Textonotapie"/>
        <w:ind w:firstLine="708"/>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w:t>
      </w:r>
      <w:r w:rsidR="006E10FE" w:rsidRPr="00A105C2">
        <w:rPr>
          <w:rFonts w:asciiTheme="minorBidi" w:hAnsiTheme="minorBidi"/>
          <w:sz w:val="19"/>
          <w:szCs w:val="19"/>
        </w:rPr>
        <w:t>Lo anterior, salvo que se traten de organismos internacionales que se rijan por normas internacionales y se financien con cargo a recursos de esos organismos</w:t>
      </w:r>
      <w:r w:rsidR="009166A5" w:rsidRPr="00A105C2">
        <w:rPr>
          <w:rFonts w:asciiTheme="minorBidi" w:hAnsiTheme="minorBidi"/>
          <w:sz w:val="19"/>
          <w:szCs w:val="19"/>
        </w:rPr>
        <w:t xml:space="preserve"> (Cfr. </w:t>
      </w:r>
      <w:r w:rsidR="00037FF1" w:rsidRPr="00A105C2">
        <w:rPr>
          <w:rFonts w:asciiTheme="minorBidi" w:hAnsiTheme="minorBidi"/>
          <w:sz w:val="19"/>
          <w:szCs w:val="19"/>
        </w:rPr>
        <w:t xml:space="preserve">Colombia Compra Eficiente. Concepto </w:t>
      </w:r>
      <w:r w:rsidR="00230D85" w:rsidRPr="00A105C2">
        <w:rPr>
          <w:rFonts w:asciiTheme="minorBidi" w:hAnsiTheme="minorBidi"/>
          <w:sz w:val="19"/>
          <w:szCs w:val="19"/>
        </w:rPr>
        <w:t>C-559 del 31 de agosto de 2021).</w:t>
      </w:r>
      <w:r w:rsidR="006E10FE" w:rsidRPr="00A105C2">
        <w:rPr>
          <w:rFonts w:asciiTheme="minorBidi" w:hAnsiTheme="minorBidi"/>
          <w:sz w:val="19"/>
          <w:szCs w:val="19"/>
        </w:rPr>
        <w:t xml:space="preserve"> </w:t>
      </w:r>
    </w:p>
  </w:footnote>
  <w:footnote w:id="36">
    <w:p w14:paraId="16A4131D" w14:textId="214329CF" w:rsidR="00C84F90" w:rsidRPr="00A105C2" w:rsidRDefault="00C84F90" w:rsidP="005E2B5A">
      <w:pPr>
        <w:pStyle w:val="Textonotapie"/>
        <w:ind w:firstLine="709"/>
        <w:jc w:val="both"/>
        <w:rPr>
          <w:rFonts w:asciiTheme="minorBidi" w:hAnsiTheme="minorBidi"/>
          <w:sz w:val="19"/>
          <w:szCs w:val="19"/>
          <w:lang w:val="es-CO"/>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Consejo de Estado. Sala de Consulta y Servicio Civil. Concepto del 15 de noviembre de 2007. Expediente número 1863. Consejero Ponente: Luis Fernando Álvarez Jaramillo.</w:t>
      </w:r>
    </w:p>
  </w:footnote>
  <w:footnote w:id="37">
    <w:p w14:paraId="459F6C54" w14:textId="77777777" w:rsidR="003D67E2" w:rsidRPr="00A105C2" w:rsidRDefault="003D67E2" w:rsidP="005E2B5A">
      <w:pPr>
        <w:pStyle w:val="Textonotapie"/>
        <w:ind w:firstLine="708"/>
        <w:jc w:val="both"/>
        <w:rPr>
          <w:rFonts w:asciiTheme="minorBidi" w:hAnsiTheme="minorBidi"/>
          <w:color w:val="000000" w:themeColor="text1"/>
          <w:sz w:val="19"/>
          <w:szCs w:val="19"/>
        </w:rPr>
      </w:pPr>
      <w:r w:rsidRPr="00A105C2">
        <w:rPr>
          <w:rStyle w:val="Refdenotaalpie"/>
          <w:rFonts w:asciiTheme="minorBidi" w:hAnsiTheme="minorBidi"/>
          <w:color w:val="000000" w:themeColor="text1"/>
          <w:sz w:val="19"/>
          <w:szCs w:val="19"/>
        </w:rPr>
        <w:footnoteRef/>
      </w:r>
      <w:r w:rsidRPr="00A105C2">
        <w:rPr>
          <w:rFonts w:asciiTheme="minorBidi" w:hAnsiTheme="minorBidi"/>
          <w:color w:val="000000" w:themeColor="text1"/>
          <w:sz w:val="19"/>
          <w:szCs w:val="19"/>
        </w:rPr>
        <w:t xml:space="preserve"> Ley 60 de 1993: «Artículo 2. Competencias de los Municipios. Corresponde a los Municipios, a través de las dependencias de su organización central o de las entidades descentralizadas municipales competentes, en su carácter de entidades ejecutoras principales de las acciones en materia social, dirigir, prestar o participar en la prestación de los servicios directamente, conforme a la ley, a las normas técnicas de carácter nacional, a las ordenanzas y a los respectivos acuerdos municipales. </w:t>
      </w:r>
    </w:p>
    <w:p w14:paraId="100BAC48" w14:textId="77777777" w:rsidR="003D67E2" w:rsidRPr="00A105C2" w:rsidRDefault="003D67E2" w:rsidP="005E2B5A">
      <w:pPr>
        <w:pStyle w:val="Textonotapie"/>
        <w:ind w:firstLine="708"/>
        <w:jc w:val="both"/>
        <w:rPr>
          <w:rFonts w:asciiTheme="minorBidi" w:hAnsiTheme="minorBidi"/>
          <w:color w:val="000000" w:themeColor="text1"/>
          <w:sz w:val="19"/>
          <w:szCs w:val="19"/>
        </w:rPr>
      </w:pPr>
      <w:r w:rsidRPr="00A105C2">
        <w:rPr>
          <w:rFonts w:asciiTheme="minorBidi" w:hAnsiTheme="minorBidi"/>
          <w:color w:val="000000" w:themeColor="text1"/>
          <w:sz w:val="19"/>
          <w:szCs w:val="19"/>
        </w:rPr>
        <w:t>[…]</w:t>
      </w:r>
    </w:p>
    <w:p w14:paraId="2ADD10DD" w14:textId="77777777" w:rsidR="003D67E2" w:rsidRPr="00A105C2" w:rsidRDefault="003D67E2" w:rsidP="005E2B5A">
      <w:pPr>
        <w:pStyle w:val="Textonotapie"/>
        <w:ind w:firstLine="708"/>
        <w:jc w:val="both"/>
        <w:rPr>
          <w:rFonts w:asciiTheme="minorBidi" w:hAnsiTheme="minorBidi"/>
          <w:color w:val="000000" w:themeColor="text1"/>
          <w:sz w:val="19"/>
          <w:szCs w:val="19"/>
        </w:rPr>
      </w:pPr>
      <w:proofErr w:type="gramStart"/>
      <w:r w:rsidRPr="00A105C2">
        <w:rPr>
          <w:rFonts w:asciiTheme="minorBidi" w:hAnsiTheme="minorBidi"/>
          <w:color w:val="000000" w:themeColor="text1"/>
          <w:sz w:val="19"/>
          <w:szCs w:val="19"/>
        </w:rPr>
        <w:t>»Artículo</w:t>
      </w:r>
      <w:proofErr w:type="gramEnd"/>
      <w:r w:rsidRPr="00A105C2">
        <w:rPr>
          <w:rFonts w:asciiTheme="minorBidi" w:hAnsiTheme="minorBidi"/>
          <w:color w:val="000000" w:themeColor="text1"/>
          <w:sz w:val="19"/>
          <w:szCs w:val="19"/>
        </w:rPr>
        <w:t xml:space="preserve"> 3. Competencias de los departamentos. Corresponde a los departamentos, a través de las dependencias de su organización central o de las entidades descentralizadas departamentales competentes, conforme a la Constitución Política, la ley, a las normas técnicas nacionales y a las respectivas ordenanzas. </w:t>
      </w:r>
    </w:p>
    <w:p w14:paraId="7DDCA56E" w14:textId="77777777" w:rsidR="003D67E2" w:rsidRPr="00A105C2" w:rsidRDefault="003D67E2" w:rsidP="005E2B5A">
      <w:pPr>
        <w:pStyle w:val="Textonotapie"/>
        <w:ind w:firstLine="708"/>
        <w:jc w:val="both"/>
        <w:rPr>
          <w:rFonts w:asciiTheme="minorBidi" w:hAnsiTheme="minorBidi"/>
          <w:color w:val="000000" w:themeColor="text1"/>
          <w:sz w:val="19"/>
          <w:szCs w:val="19"/>
        </w:rPr>
      </w:pPr>
      <w:r w:rsidRPr="00A105C2">
        <w:rPr>
          <w:rFonts w:asciiTheme="minorBidi" w:hAnsiTheme="minorBidi"/>
          <w:color w:val="000000" w:themeColor="text1"/>
          <w:sz w:val="19"/>
          <w:szCs w:val="19"/>
        </w:rPr>
        <w:t>[…]</w:t>
      </w:r>
    </w:p>
    <w:p w14:paraId="14C3612D" w14:textId="77777777" w:rsidR="003D67E2" w:rsidRPr="00A105C2" w:rsidRDefault="003D67E2" w:rsidP="005E2B5A">
      <w:pPr>
        <w:pStyle w:val="Textonotapie"/>
        <w:ind w:firstLine="708"/>
        <w:jc w:val="both"/>
        <w:rPr>
          <w:rFonts w:asciiTheme="minorBidi" w:hAnsiTheme="minorBidi"/>
          <w:color w:val="000000" w:themeColor="text1"/>
          <w:sz w:val="19"/>
          <w:szCs w:val="19"/>
        </w:rPr>
      </w:pPr>
      <w:r w:rsidRPr="00A105C2">
        <w:rPr>
          <w:rFonts w:asciiTheme="minorBidi" w:hAnsiTheme="minorBidi"/>
          <w:color w:val="000000" w:themeColor="text1"/>
          <w:sz w:val="19"/>
          <w:szCs w:val="19"/>
        </w:rPr>
        <w:t xml:space="preserve">«Artículo 4. Competencias de los distritos. Corresponde a los distritos, a través de las dependencias de su organización central o de las entidades descentralizadas competentes, conforme a la Ley, a las normas técnicas nacionales y a los respectivos acuerdos». </w:t>
      </w:r>
    </w:p>
    <w:p w14:paraId="4333F637" w14:textId="7560BECB" w:rsidR="003D67E2" w:rsidRPr="00A105C2" w:rsidRDefault="003D67E2" w:rsidP="005E2B5A">
      <w:pPr>
        <w:pStyle w:val="Textonotapie"/>
        <w:ind w:firstLine="708"/>
        <w:jc w:val="both"/>
        <w:rPr>
          <w:rFonts w:asciiTheme="minorBidi" w:hAnsiTheme="minorBidi"/>
          <w:color w:val="000000" w:themeColor="text1"/>
          <w:sz w:val="19"/>
          <w:szCs w:val="19"/>
        </w:rPr>
      </w:pPr>
      <w:r w:rsidRPr="00A105C2">
        <w:rPr>
          <w:rFonts w:asciiTheme="minorBidi" w:hAnsiTheme="minorBidi"/>
          <w:color w:val="000000" w:themeColor="text1"/>
          <w:sz w:val="19"/>
          <w:szCs w:val="19"/>
        </w:rPr>
        <w:t xml:space="preserve">Ley 715 de 2005: «Artículo 9. (…) Las instituciones educativas estatales son departamentales, distritales o municipales». </w:t>
      </w:r>
    </w:p>
  </w:footnote>
  <w:footnote w:id="38">
    <w:p w14:paraId="3DD20927" w14:textId="148A5997" w:rsidR="003D67E2" w:rsidRPr="00A105C2" w:rsidRDefault="003D67E2" w:rsidP="005E2B5A">
      <w:pPr>
        <w:pStyle w:val="Textonotapie"/>
        <w:ind w:firstLine="708"/>
        <w:jc w:val="both"/>
        <w:rPr>
          <w:rFonts w:asciiTheme="minorBidi" w:hAnsiTheme="minorBidi"/>
          <w:color w:val="000000" w:themeColor="text1"/>
          <w:sz w:val="19"/>
          <w:szCs w:val="19"/>
        </w:rPr>
      </w:pPr>
      <w:r w:rsidRPr="00A105C2">
        <w:rPr>
          <w:rStyle w:val="Refdenotaalpie"/>
          <w:rFonts w:asciiTheme="minorBidi" w:hAnsiTheme="minorBidi"/>
          <w:color w:val="000000" w:themeColor="text1"/>
          <w:sz w:val="19"/>
          <w:szCs w:val="19"/>
        </w:rPr>
        <w:footnoteRef/>
      </w:r>
      <w:r w:rsidRPr="00A105C2">
        <w:rPr>
          <w:rFonts w:asciiTheme="minorBidi" w:hAnsiTheme="minorBidi"/>
          <w:color w:val="000000" w:themeColor="text1"/>
          <w:sz w:val="19"/>
          <w:szCs w:val="19"/>
        </w:rPr>
        <w:t xml:space="preserve"> «Artículo 11. Fondos De Servicios Educativos. Las instituciones educativas estatales podrán administrar Fondos de Servicios Educativos en los cuales se manejarán los recursos destinados a financiar gastos distintos a los de personal, que faciliten el funcionamiento de la institución».</w:t>
      </w:r>
    </w:p>
  </w:footnote>
  <w:footnote w:id="39">
    <w:p w14:paraId="05DAFB8B" w14:textId="06BA5B9C" w:rsidR="003D67E2" w:rsidRPr="00A105C2" w:rsidRDefault="003D67E2" w:rsidP="005E2B5A">
      <w:pPr>
        <w:pStyle w:val="Textonotapie"/>
        <w:ind w:firstLine="708"/>
        <w:jc w:val="both"/>
        <w:rPr>
          <w:rFonts w:asciiTheme="minorBidi" w:hAnsiTheme="minorBidi"/>
          <w:color w:val="000000" w:themeColor="text1"/>
          <w:sz w:val="19"/>
          <w:szCs w:val="19"/>
        </w:rPr>
      </w:pPr>
      <w:r w:rsidRPr="00A105C2">
        <w:rPr>
          <w:rStyle w:val="Refdenotaalpie"/>
          <w:rFonts w:asciiTheme="minorBidi" w:hAnsiTheme="minorBidi"/>
          <w:color w:val="000000" w:themeColor="text1"/>
          <w:sz w:val="19"/>
          <w:szCs w:val="19"/>
        </w:rPr>
        <w:footnoteRef/>
      </w:r>
      <w:r w:rsidRPr="00A105C2">
        <w:rPr>
          <w:rStyle w:val="Refdenotaalpie"/>
          <w:rFonts w:asciiTheme="minorBidi" w:hAnsiTheme="minorBidi"/>
          <w:color w:val="000000" w:themeColor="text1"/>
          <w:sz w:val="19"/>
          <w:szCs w:val="19"/>
        </w:rPr>
        <w:t xml:space="preserve"> </w:t>
      </w:r>
      <w:r w:rsidRPr="00A105C2">
        <w:rPr>
          <w:rFonts w:asciiTheme="minorBidi" w:hAnsiTheme="minorBidi"/>
          <w:color w:val="000000" w:themeColor="text1"/>
          <w:sz w:val="19"/>
          <w:szCs w:val="19"/>
        </w:rPr>
        <w:t>Consejo de Estado. Sección Tercera Subsección A. Sentencia del 12 de octubre de 2017. Consejera Ponente: Marta Nubia Velásquez Rico. Radicación número: 68001-23-31-000-2005-03845-01(51.634).</w:t>
      </w:r>
    </w:p>
  </w:footnote>
  <w:footnote w:id="40">
    <w:p w14:paraId="3CF0C44F" w14:textId="77777777" w:rsidR="003D67E2" w:rsidRPr="00A105C2" w:rsidRDefault="003D67E2" w:rsidP="005E2B5A">
      <w:pPr>
        <w:pStyle w:val="NormalWeb"/>
        <w:spacing w:before="0" w:beforeAutospacing="0" w:after="0" w:afterAutospacing="0"/>
        <w:ind w:firstLine="708"/>
        <w:jc w:val="both"/>
        <w:rPr>
          <w:rFonts w:asciiTheme="minorBidi" w:hAnsiTheme="minorBidi" w:cstheme="minorBidi"/>
          <w:sz w:val="19"/>
          <w:szCs w:val="19"/>
        </w:rPr>
      </w:pPr>
      <w:r w:rsidRPr="00A105C2">
        <w:rPr>
          <w:rStyle w:val="Refdenotaalpie"/>
          <w:rFonts w:asciiTheme="minorBidi" w:hAnsiTheme="minorBidi" w:cstheme="minorBidi"/>
          <w:sz w:val="19"/>
          <w:szCs w:val="19"/>
        </w:rPr>
        <w:footnoteRef/>
      </w:r>
      <w:r w:rsidRPr="00A105C2">
        <w:rPr>
          <w:rStyle w:val="Refdenotaalpie"/>
          <w:rFonts w:asciiTheme="minorBidi" w:hAnsiTheme="minorBidi" w:cstheme="minorBidi"/>
          <w:sz w:val="19"/>
          <w:szCs w:val="19"/>
        </w:rPr>
        <w:t xml:space="preserve"> </w:t>
      </w:r>
      <w:r w:rsidRPr="00A105C2">
        <w:rPr>
          <w:rFonts w:asciiTheme="minorBidi" w:hAnsiTheme="minorBidi" w:cstheme="minorBidi"/>
          <w:sz w:val="19"/>
          <w:szCs w:val="19"/>
        </w:rPr>
        <w:t>«Artículo 13. Procedimientos de contratación de los fondos de servicios educativos. Todos los actos y contratos que tengan por objeto bienes y obligaciones que hayan de registrarse en la contabilidad de los Fondos de servicios educativos a los que se refiere el artículo anterior, se harán respetando los principios de igualdad, moralidad, imparcialidad y publicidad, aplicados en forma razonable a las circunstancias concretas en las que hayan de celebrarse. Se harán con el propósito fundamental de proteger los derechos de los niños y de los jóvenes, y de conseguir eficacia y celeridad en la atención del servicio educativo, y economía en el uso de los recursos públicos.</w:t>
      </w:r>
    </w:p>
    <w:p w14:paraId="7BA7E91B" w14:textId="77777777" w:rsidR="003D67E2" w:rsidRPr="00A105C2" w:rsidRDefault="003D67E2" w:rsidP="005E2B5A">
      <w:pPr>
        <w:ind w:firstLine="708"/>
        <w:jc w:val="both"/>
        <w:rPr>
          <w:rFonts w:asciiTheme="minorBidi" w:hAnsiTheme="minorBidi" w:cstheme="minorBidi"/>
          <w:sz w:val="19"/>
          <w:szCs w:val="19"/>
          <w:lang w:eastAsia="es-CO"/>
        </w:rPr>
      </w:pPr>
      <w:proofErr w:type="gramStart"/>
      <w:r w:rsidRPr="00A105C2">
        <w:rPr>
          <w:rFonts w:asciiTheme="minorBidi" w:hAnsiTheme="minorBidi" w:cstheme="minorBidi"/>
          <w:sz w:val="19"/>
          <w:szCs w:val="19"/>
          <w:lang w:eastAsia="es-CO"/>
        </w:rPr>
        <w:t>»Los</w:t>
      </w:r>
      <w:proofErr w:type="gramEnd"/>
      <w:r w:rsidRPr="00A105C2">
        <w:rPr>
          <w:rFonts w:asciiTheme="minorBidi" w:hAnsiTheme="minorBidi" w:cstheme="minorBidi"/>
          <w:sz w:val="19"/>
          <w:szCs w:val="19"/>
          <w:lang w:eastAsia="es-CO"/>
        </w:rPr>
        <w:t xml:space="preserve"> actos y contratos de cuantía superior a veinte (20) salarios mínimos mensuales se regirán por las reglas de la contratación estatal, teniendo en cuenta su valor y naturaleza, y las circunstancias en las que se celebren. El Gobierno Nacional podrá indicar los casos en los cuales la cuantía señalada en el presente inciso será menor. </w:t>
      </w:r>
    </w:p>
    <w:p w14:paraId="73A6ABEA" w14:textId="77777777" w:rsidR="003D67E2" w:rsidRPr="00A105C2" w:rsidRDefault="003D67E2" w:rsidP="005E2B5A">
      <w:pPr>
        <w:ind w:firstLine="708"/>
        <w:jc w:val="both"/>
        <w:rPr>
          <w:rFonts w:asciiTheme="minorBidi" w:hAnsiTheme="minorBidi" w:cstheme="minorBidi"/>
          <w:sz w:val="19"/>
          <w:szCs w:val="19"/>
          <w:lang w:eastAsia="es-CO"/>
        </w:rPr>
      </w:pPr>
      <w:proofErr w:type="gramStart"/>
      <w:r w:rsidRPr="00A105C2">
        <w:rPr>
          <w:rFonts w:asciiTheme="minorBidi" w:hAnsiTheme="minorBidi" w:cstheme="minorBidi"/>
          <w:sz w:val="19"/>
          <w:szCs w:val="19"/>
          <w:lang w:eastAsia="es-CO"/>
        </w:rPr>
        <w:t>»El</w:t>
      </w:r>
      <w:proofErr w:type="gramEnd"/>
      <w:r w:rsidRPr="00A105C2">
        <w:rPr>
          <w:rFonts w:asciiTheme="minorBidi" w:hAnsiTheme="minorBidi" w:cstheme="minorBidi"/>
          <w:sz w:val="19"/>
          <w:szCs w:val="19"/>
          <w:lang w:eastAsia="es-CO"/>
        </w:rPr>
        <w:t xml:space="preserve"> rector o director celebrará los contratos que hayan de pagarse con cargo a los recursos vinculados a los Fondos, en las condiciones y dentro de los límites que fijen los reglamentos.</w:t>
      </w:r>
    </w:p>
    <w:p w14:paraId="5C1E1AA1" w14:textId="77777777" w:rsidR="003D67E2" w:rsidRPr="00A105C2" w:rsidRDefault="003D67E2" w:rsidP="005E2B5A">
      <w:pPr>
        <w:ind w:firstLine="708"/>
        <w:jc w:val="both"/>
        <w:rPr>
          <w:rFonts w:asciiTheme="minorBidi" w:hAnsiTheme="minorBidi" w:cstheme="minorBidi"/>
          <w:sz w:val="19"/>
          <w:szCs w:val="19"/>
          <w:lang w:eastAsia="es-CO"/>
        </w:rPr>
      </w:pPr>
      <w:r w:rsidRPr="00A105C2">
        <w:rPr>
          <w:rFonts w:asciiTheme="minorBidi" w:hAnsiTheme="minorBidi" w:cstheme="minorBidi"/>
          <w:sz w:val="19"/>
          <w:szCs w:val="19"/>
          <w:lang w:eastAsia="es-CO"/>
        </w:rPr>
        <w:t>»</w:t>
      </w:r>
      <w:r w:rsidRPr="00A105C2">
        <w:rPr>
          <w:rFonts w:asciiTheme="minorBidi" w:hAnsiTheme="minorBidi" w:cstheme="minorBidi"/>
          <w:i/>
          <w:iCs/>
          <w:sz w:val="19"/>
          <w:szCs w:val="19"/>
          <w:lang w:eastAsia="es-CO"/>
        </w:rPr>
        <w:t xml:space="preserve">Con estricta sujeción a los principios y propósitos enunciados en el primer inciso de este artículo, y a los reglamentos de esta Ley, el Consejo Directivo de cada establecimiento podrá señalar, con base en la experiencia y en el análisis concreto de las necesidades del establecimiento, </w:t>
      </w:r>
      <w:bookmarkStart w:id="46" w:name="_Hlk61284561"/>
      <w:r w:rsidRPr="00A105C2">
        <w:rPr>
          <w:rFonts w:asciiTheme="minorBidi" w:hAnsiTheme="minorBidi" w:cstheme="minorBidi"/>
          <w:i/>
          <w:iCs/>
          <w:sz w:val="19"/>
          <w:szCs w:val="19"/>
          <w:lang w:eastAsia="es-CO"/>
        </w:rPr>
        <w:t>los trámites, garantías y constancias que deben cumplirse para que el rector o director celebre cualquier acto o contrato que cree, extinga o modifique obligaciones que deban registrarse en el Fondo</w:t>
      </w:r>
      <w:bookmarkEnd w:id="46"/>
      <w:r w:rsidRPr="00A105C2">
        <w:rPr>
          <w:rFonts w:asciiTheme="minorBidi" w:hAnsiTheme="minorBidi" w:cstheme="minorBidi"/>
          <w:i/>
          <w:iCs/>
          <w:sz w:val="19"/>
          <w:szCs w:val="19"/>
          <w:lang w:eastAsia="es-CO"/>
        </w:rPr>
        <w:t>, y cuya cuantía sea inferior a veinte (20) salarios mínimos mensuales. El Consejo puede exigir, además, que ciertos actos o contratos requieran una autorización suya específica</w:t>
      </w:r>
      <w:r w:rsidRPr="00A105C2">
        <w:rPr>
          <w:rFonts w:asciiTheme="minorBidi" w:hAnsiTheme="minorBidi" w:cstheme="minorBidi"/>
          <w:sz w:val="19"/>
          <w:szCs w:val="19"/>
          <w:lang w:eastAsia="es-CO"/>
        </w:rPr>
        <w:t>.</w:t>
      </w:r>
    </w:p>
    <w:p w14:paraId="6A3604A1" w14:textId="36C0C44F" w:rsidR="003D67E2" w:rsidRPr="00A105C2" w:rsidRDefault="003D67E2" w:rsidP="005E2B5A">
      <w:pPr>
        <w:ind w:firstLine="708"/>
        <w:jc w:val="both"/>
        <w:rPr>
          <w:rFonts w:asciiTheme="minorBidi" w:hAnsiTheme="minorBidi" w:cstheme="minorBidi"/>
          <w:sz w:val="19"/>
          <w:szCs w:val="19"/>
          <w:lang w:eastAsia="es-CO"/>
        </w:rPr>
      </w:pPr>
      <w:r w:rsidRPr="00A105C2">
        <w:rPr>
          <w:rFonts w:asciiTheme="minorBidi" w:hAnsiTheme="minorBidi" w:cstheme="minorBidi"/>
          <w:sz w:val="19"/>
          <w:szCs w:val="19"/>
          <w:lang w:eastAsia="es-CO"/>
        </w:rPr>
        <w:t>[…]» (Énfasis fuera de texto).</w:t>
      </w:r>
    </w:p>
    <w:p w14:paraId="3A796AB7" w14:textId="0EA734D4" w:rsidR="003D67E2" w:rsidRPr="005E2B5A" w:rsidRDefault="003D67E2" w:rsidP="005E2B5A">
      <w:pPr>
        <w:pStyle w:val="Textonotapie"/>
        <w:ind w:firstLine="708"/>
        <w:jc w:val="both"/>
        <w:rPr>
          <w:rFonts w:asciiTheme="minorBidi" w:hAnsiTheme="minorBidi"/>
          <w:color w:val="000000" w:themeColor="text1"/>
          <w:sz w:val="19"/>
          <w:szCs w:val="19"/>
        </w:rPr>
      </w:pPr>
      <w:r w:rsidRPr="00A105C2">
        <w:rPr>
          <w:rFonts w:asciiTheme="minorBidi" w:hAnsiTheme="minorBidi"/>
          <w:color w:val="000000" w:themeColor="text1"/>
          <w:sz w:val="19"/>
          <w:szCs w:val="19"/>
        </w:rPr>
        <w:t>Decreto 1075 de 2015: «Artículo 2.3.1.6.3.5. Funciones del Consejo Directivo. (…) 6. Reglamentar mediante acuerdo los procedimientos, formalidades y garantías para toda contratación que no supere los veinte (20) salarios mínimos legales mensuales vigentes (SMLMV)».</w:t>
      </w:r>
    </w:p>
  </w:footnote>
  <w:footnote w:id="41">
    <w:p w14:paraId="4BB60F13" w14:textId="69A12969" w:rsidR="00C13B13" w:rsidRPr="00A105C2" w:rsidRDefault="00C13B13" w:rsidP="005E2B5A">
      <w:pPr>
        <w:pStyle w:val="Textonotapie"/>
        <w:ind w:firstLine="708"/>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El artículo 32 de la Ley 80, en lo pertinente, dispone que «Son contratos estatales todos los actos jurídicos generadores de obligaciones que celebren las entidades a que se refiere el presente estatuto, previstos en el derecho privado o en disposiciones especiales, o derivados del ejercicio de la autonomía de la voluntad […]. Por su parte, el inciso primero del artículo 40 del Estatuto General prescribe los siguiente: «Las estipulaciones de los contratos serán las </w:t>
      </w:r>
      <w:proofErr w:type="gramStart"/>
      <w:r w:rsidRPr="00A105C2">
        <w:rPr>
          <w:rFonts w:asciiTheme="minorBidi" w:hAnsiTheme="minorBidi"/>
          <w:sz w:val="19"/>
          <w:szCs w:val="19"/>
        </w:rPr>
        <w:t>que</w:t>
      </w:r>
      <w:proofErr w:type="gramEnd"/>
      <w:r w:rsidRPr="00A105C2">
        <w:rPr>
          <w:rFonts w:asciiTheme="minorBidi" w:hAnsiTheme="minorBidi"/>
          <w:sz w:val="19"/>
          <w:szCs w:val="19"/>
        </w:rPr>
        <w:t xml:space="preserve"> de acuerdo con las normas civiles, comerciales y las previstas en esta ley, correspondan a su esencia y naturaleza».</w:t>
      </w:r>
    </w:p>
  </w:footnote>
  <w:footnote w:id="42">
    <w:p w14:paraId="226D2897" w14:textId="77777777" w:rsidR="00C13B13" w:rsidRPr="00A105C2" w:rsidRDefault="00C13B13" w:rsidP="005E2B5A">
      <w:pPr>
        <w:pStyle w:val="Textonotapie"/>
        <w:ind w:firstLine="708"/>
        <w:jc w:val="both"/>
        <w:rPr>
          <w:rFonts w:asciiTheme="minorBidi" w:hAnsiTheme="minorBidi"/>
          <w:sz w:val="19"/>
          <w:szCs w:val="19"/>
          <w:lang w:val="es-ES"/>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Cfr. BENAVIDES, José Luis. El contrato estatal: entre el derecho público y el derecho privado. Segunda edición. Bogotá: Universidad Externado de Colombia, 2009. pp. 78-79.      </w:t>
      </w:r>
    </w:p>
  </w:footnote>
  <w:footnote w:id="43">
    <w:p w14:paraId="50BAF6C8" w14:textId="77777777" w:rsidR="00C13B13" w:rsidRPr="00A105C2" w:rsidRDefault="00C13B13" w:rsidP="005E2B5A">
      <w:pPr>
        <w:pStyle w:val="Textonotapie"/>
        <w:ind w:firstLine="708"/>
        <w:jc w:val="both"/>
        <w:rPr>
          <w:rFonts w:asciiTheme="minorBidi" w:hAnsiTheme="minorBidi"/>
          <w:sz w:val="19"/>
          <w:szCs w:val="19"/>
          <w:lang w:val="es-ES"/>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BETANCUR JARAMILLO, Carlos. Derecho procesal administrativo. Cuarta edición. Medellín: Señal Editora, 1994. pp. 522-523. </w:t>
      </w:r>
    </w:p>
  </w:footnote>
  <w:footnote w:id="44">
    <w:p w14:paraId="2F9A2CE6" w14:textId="77777777" w:rsidR="00C13B13" w:rsidRPr="00A105C2" w:rsidRDefault="00C13B13" w:rsidP="005E2B5A">
      <w:pPr>
        <w:pStyle w:val="Textonotapie"/>
        <w:ind w:firstLine="708"/>
        <w:jc w:val="both"/>
        <w:rPr>
          <w:rFonts w:asciiTheme="minorBidi" w:hAnsiTheme="minorBidi"/>
          <w:sz w:val="19"/>
          <w:szCs w:val="19"/>
          <w:lang w:val="es-ES"/>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La norma citada dispone que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footnote>
  <w:footnote w:id="45">
    <w:p w14:paraId="5086B74A" w14:textId="36618DF1" w:rsidR="00EA59D5" w:rsidRPr="00A105C2" w:rsidRDefault="00EA59D5" w:rsidP="005E2B5A">
      <w:pPr>
        <w:pStyle w:val="Textonotapie"/>
        <w:ind w:firstLine="708"/>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CONSEJO DE ESTADO. Sala de Consulta y Servicio Civil. Concepto del 27 de abril de 2006. Rad:1712. C.P. Enrique José Arboleda Perdomo.</w:t>
      </w:r>
    </w:p>
  </w:footnote>
  <w:footnote w:id="46">
    <w:p w14:paraId="3BC3FEB3" w14:textId="77777777" w:rsidR="002E5E89" w:rsidRPr="00536712" w:rsidRDefault="002E5E89" w:rsidP="002E5E89">
      <w:pPr>
        <w:pStyle w:val="Textonotapie"/>
        <w:ind w:firstLine="708"/>
        <w:jc w:val="both"/>
        <w:rPr>
          <w:rFonts w:ascii="Arial" w:hAnsi="Arial" w:cs="Arial"/>
          <w:sz w:val="19"/>
          <w:szCs w:val="19"/>
          <w:lang w:val="es-CO"/>
        </w:rPr>
      </w:pPr>
      <w:r>
        <w:rPr>
          <w:rStyle w:val="Refdenotaalpie"/>
        </w:rPr>
        <w:footnoteRef/>
      </w:r>
      <w:r>
        <w:t xml:space="preserve"> </w:t>
      </w:r>
      <w:r w:rsidRPr="00536712">
        <w:rPr>
          <w:rFonts w:ascii="Arial" w:hAnsi="Arial" w:cs="Arial"/>
          <w:sz w:val="19"/>
          <w:szCs w:val="19"/>
        </w:rPr>
        <w:t>Consejo de Estado. Sala de Consulta y Servicio Civil. Concepto del 2 de septiembre de 2013. Radicación número: 11001-03-06-000-2013-00412-00 (2168). Consejero Ponente: Álvaro Namén Vargas.</w:t>
      </w:r>
    </w:p>
    <w:p w14:paraId="7DF0229B" w14:textId="690EF530" w:rsidR="002E5E89" w:rsidRPr="00801A5E" w:rsidRDefault="002E5E89" w:rsidP="00801A5E">
      <w:pPr>
        <w:pStyle w:val="Textonotapie"/>
        <w:ind w:firstLine="708"/>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2914" w14:textId="77777777" w:rsidR="00387886" w:rsidRDefault="00387886">
    <w:pPr>
      <w:pStyle w:val="Encabezado"/>
    </w:pPr>
    <w:r>
      <w:rPr>
        <w:noProof/>
        <w:lang w:val="es-ES" w:eastAsia="es-ES"/>
      </w:rPr>
      <w:drawing>
        <wp:anchor distT="0" distB="0" distL="114300" distR="114300" simplePos="0" relativeHeight="251659264" behindDoc="1" locked="0" layoutInCell="1" allowOverlap="1" wp14:anchorId="096CAC25" wp14:editId="2914B42D">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D2D0F1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6C16A1"/>
    <w:multiLevelType w:val="hybridMultilevel"/>
    <w:tmpl w:val="1AB4BA0C"/>
    <w:lvl w:ilvl="0" w:tplc="A24CC23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ECA0D0B"/>
    <w:multiLevelType w:val="hybridMultilevel"/>
    <w:tmpl w:val="9B36D16A"/>
    <w:lvl w:ilvl="0" w:tplc="CFAEEA4A">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3235E01"/>
    <w:multiLevelType w:val="hybridMultilevel"/>
    <w:tmpl w:val="1F4E4736"/>
    <w:lvl w:ilvl="0" w:tplc="1004B138">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3ECA0A6E"/>
    <w:multiLevelType w:val="multilevel"/>
    <w:tmpl w:val="E68E61D6"/>
    <w:lvl w:ilvl="0">
      <w:start w:val="2"/>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28068A8"/>
    <w:multiLevelType w:val="hybridMultilevel"/>
    <w:tmpl w:val="B308C2F4"/>
    <w:lvl w:ilvl="0" w:tplc="A4889B9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796B77"/>
    <w:multiLevelType w:val="hybridMultilevel"/>
    <w:tmpl w:val="C3C2806E"/>
    <w:lvl w:ilvl="0" w:tplc="852208B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C94B5D"/>
    <w:multiLevelType w:val="multilevel"/>
    <w:tmpl w:val="ECDAF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A487F7B"/>
    <w:multiLevelType w:val="hybridMultilevel"/>
    <w:tmpl w:val="3D0C7AA0"/>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5563010D"/>
    <w:multiLevelType w:val="hybridMultilevel"/>
    <w:tmpl w:val="3D0C7AA0"/>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55EA2989"/>
    <w:multiLevelType w:val="hybridMultilevel"/>
    <w:tmpl w:val="AF48CE06"/>
    <w:lvl w:ilvl="0" w:tplc="72BAB26C">
      <w:start w:val="1"/>
      <w:numFmt w:val="lowerRoman"/>
      <w:lvlText w:val="%1)"/>
      <w:lvlJc w:val="left"/>
      <w:pPr>
        <w:ind w:left="1080" w:hanging="720"/>
      </w:pPr>
      <w:rPr>
        <w:rFonts w:ascii="Arial" w:eastAsia="Calibri" w:hAnsi="Arial" w:cs="Arial"/>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6913F58"/>
    <w:multiLevelType w:val="hybridMultilevel"/>
    <w:tmpl w:val="AE463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D7A51E5"/>
    <w:multiLevelType w:val="hybridMultilevel"/>
    <w:tmpl w:val="AF48CE06"/>
    <w:lvl w:ilvl="0" w:tplc="72BAB26C">
      <w:start w:val="1"/>
      <w:numFmt w:val="lowerRoman"/>
      <w:lvlText w:val="%1)"/>
      <w:lvlJc w:val="left"/>
      <w:pPr>
        <w:ind w:left="1080" w:hanging="720"/>
      </w:pPr>
      <w:rPr>
        <w:rFonts w:ascii="Arial" w:eastAsia="Calibri" w:hAnsi="Arial" w:cs="Arial"/>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16"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15:restartNumberingAfterBreak="0">
    <w:nsid w:val="6B41602F"/>
    <w:multiLevelType w:val="hybridMultilevel"/>
    <w:tmpl w:val="3BDE0786"/>
    <w:lvl w:ilvl="0" w:tplc="4956E6F8">
      <w:start w:val="1"/>
      <w:numFmt w:val="lowerRoman"/>
      <w:lvlText w:val="%1)"/>
      <w:lvlJc w:val="left"/>
      <w:pPr>
        <w:ind w:left="780" w:hanging="720"/>
      </w:pPr>
      <w:rPr>
        <w:rFonts w:eastAsia="Calibri" w:hint="default"/>
        <w:color w:val="000000" w:themeColor="text1"/>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8" w15:restartNumberingAfterBreak="0">
    <w:nsid w:val="799C33D4"/>
    <w:multiLevelType w:val="multilevel"/>
    <w:tmpl w:val="7020D8D4"/>
    <w:lvl w:ilvl="0">
      <w:start w:val="1"/>
      <w:numFmt w:val="decimal"/>
      <w:pStyle w:val="Ttulo"/>
      <w:lvlText w:val="11.%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9" w15:restartNumberingAfterBreak="0">
    <w:nsid w:val="7FF76964"/>
    <w:multiLevelType w:val="hybridMultilevel"/>
    <w:tmpl w:val="1F4E4736"/>
    <w:lvl w:ilvl="0" w:tplc="1004B138">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79458940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0858179">
    <w:abstractNumId w:val="6"/>
  </w:num>
  <w:num w:numId="3" w16cid:durableId="1649169720">
    <w:abstractNumId w:val="18"/>
  </w:num>
  <w:num w:numId="4" w16cid:durableId="1745371003">
    <w:abstractNumId w:val="2"/>
  </w:num>
  <w:num w:numId="5" w16cid:durableId="829904627">
    <w:abstractNumId w:val="13"/>
  </w:num>
  <w:num w:numId="6" w16cid:durableId="295569522">
    <w:abstractNumId w:val="17"/>
  </w:num>
  <w:num w:numId="7" w16cid:durableId="63528509">
    <w:abstractNumId w:val="5"/>
  </w:num>
  <w:num w:numId="8" w16cid:durableId="1622689465">
    <w:abstractNumId w:val="4"/>
  </w:num>
  <w:num w:numId="9" w16cid:durableId="655063795">
    <w:abstractNumId w:val="1"/>
  </w:num>
  <w:num w:numId="10" w16cid:durableId="1198196888">
    <w:abstractNumId w:val="7"/>
  </w:num>
  <w:num w:numId="11" w16cid:durableId="1992371886">
    <w:abstractNumId w:val="11"/>
  </w:num>
  <w:num w:numId="12" w16cid:durableId="529730747">
    <w:abstractNumId w:val="16"/>
  </w:num>
  <w:num w:numId="13" w16cid:durableId="2010330480">
    <w:abstractNumId w:val="15"/>
  </w:num>
  <w:num w:numId="14" w16cid:durableId="2036224481">
    <w:abstractNumId w:val="10"/>
  </w:num>
  <w:num w:numId="15" w16cid:durableId="110829080">
    <w:abstractNumId w:val="19"/>
  </w:num>
  <w:num w:numId="16" w16cid:durableId="1453859095">
    <w:abstractNumId w:val="14"/>
  </w:num>
  <w:num w:numId="17" w16cid:durableId="1167745395">
    <w:abstractNumId w:val="3"/>
  </w:num>
  <w:num w:numId="18" w16cid:durableId="1588340948">
    <w:abstractNumId w:val="9"/>
  </w:num>
  <w:num w:numId="19" w16cid:durableId="28187497">
    <w:abstractNumId w:val="12"/>
  </w:num>
  <w:num w:numId="20" w16cid:durableId="7560538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EA"/>
    <w:rsid w:val="00001B57"/>
    <w:rsid w:val="00003073"/>
    <w:rsid w:val="00006860"/>
    <w:rsid w:val="000116D4"/>
    <w:rsid w:val="00015425"/>
    <w:rsid w:val="0001563A"/>
    <w:rsid w:val="00026C88"/>
    <w:rsid w:val="00027102"/>
    <w:rsid w:val="0003185D"/>
    <w:rsid w:val="0003267E"/>
    <w:rsid w:val="00037FF1"/>
    <w:rsid w:val="00043D96"/>
    <w:rsid w:val="000537B2"/>
    <w:rsid w:val="000539C8"/>
    <w:rsid w:val="000656E8"/>
    <w:rsid w:val="00065BC3"/>
    <w:rsid w:val="00072333"/>
    <w:rsid w:val="000755E1"/>
    <w:rsid w:val="00075CCA"/>
    <w:rsid w:val="0008188E"/>
    <w:rsid w:val="000848F8"/>
    <w:rsid w:val="0008606A"/>
    <w:rsid w:val="00094B59"/>
    <w:rsid w:val="000A5E3D"/>
    <w:rsid w:val="000A615D"/>
    <w:rsid w:val="000A787A"/>
    <w:rsid w:val="000B1B93"/>
    <w:rsid w:val="000B25FC"/>
    <w:rsid w:val="000B2966"/>
    <w:rsid w:val="000B3835"/>
    <w:rsid w:val="000B58B4"/>
    <w:rsid w:val="000B627E"/>
    <w:rsid w:val="000B6A48"/>
    <w:rsid w:val="000C5E8B"/>
    <w:rsid w:val="000C7645"/>
    <w:rsid w:val="000D153E"/>
    <w:rsid w:val="000D7F51"/>
    <w:rsid w:val="000E49B9"/>
    <w:rsid w:val="000E75AF"/>
    <w:rsid w:val="000F1A28"/>
    <w:rsid w:val="000F6DB4"/>
    <w:rsid w:val="000F7A53"/>
    <w:rsid w:val="00103518"/>
    <w:rsid w:val="00112852"/>
    <w:rsid w:val="001130E1"/>
    <w:rsid w:val="001140A9"/>
    <w:rsid w:val="00114965"/>
    <w:rsid w:val="00114C32"/>
    <w:rsid w:val="0011553A"/>
    <w:rsid w:val="001177A4"/>
    <w:rsid w:val="001215F1"/>
    <w:rsid w:val="001254A3"/>
    <w:rsid w:val="00125B5F"/>
    <w:rsid w:val="00126797"/>
    <w:rsid w:val="00133CEB"/>
    <w:rsid w:val="00133F7A"/>
    <w:rsid w:val="001358D6"/>
    <w:rsid w:val="00135CEA"/>
    <w:rsid w:val="00143D14"/>
    <w:rsid w:val="00144F0E"/>
    <w:rsid w:val="00145A68"/>
    <w:rsid w:val="00150100"/>
    <w:rsid w:val="0015117A"/>
    <w:rsid w:val="00154CB4"/>
    <w:rsid w:val="001561B2"/>
    <w:rsid w:val="00161966"/>
    <w:rsid w:val="00162636"/>
    <w:rsid w:val="00162EA3"/>
    <w:rsid w:val="00172A12"/>
    <w:rsid w:val="00174480"/>
    <w:rsid w:val="001766B3"/>
    <w:rsid w:val="00180508"/>
    <w:rsid w:val="00181682"/>
    <w:rsid w:val="00182F8C"/>
    <w:rsid w:val="00185814"/>
    <w:rsid w:val="00187E9A"/>
    <w:rsid w:val="001900DE"/>
    <w:rsid w:val="00191793"/>
    <w:rsid w:val="0019191F"/>
    <w:rsid w:val="00195596"/>
    <w:rsid w:val="0019728C"/>
    <w:rsid w:val="001A13E7"/>
    <w:rsid w:val="001A2940"/>
    <w:rsid w:val="001A5975"/>
    <w:rsid w:val="001B1773"/>
    <w:rsid w:val="001B38AE"/>
    <w:rsid w:val="001B4CCC"/>
    <w:rsid w:val="001C14E1"/>
    <w:rsid w:val="001C77E0"/>
    <w:rsid w:val="001D2275"/>
    <w:rsid w:val="001E2319"/>
    <w:rsid w:val="001E2E1C"/>
    <w:rsid w:val="001E332A"/>
    <w:rsid w:val="001E3A20"/>
    <w:rsid w:val="001E6EA0"/>
    <w:rsid w:val="001E70FF"/>
    <w:rsid w:val="001E7BC4"/>
    <w:rsid w:val="001F2332"/>
    <w:rsid w:val="001F2B56"/>
    <w:rsid w:val="001F52C0"/>
    <w:rsid w:val="001F5D6E"/>
    <w:rsid w:val="00200681"/>
    <w:rsid w:val="00201DB9"/>
    <w:rsid w:val="00202647"/>
    <w:rsid w:val="00202668"/>
    <w:rsid w:val="002039F2"/>
    <w:rsid w:val="002057A4"/>
    <w:rsid w:val="00205FFA"/>
    <w:rsid w:val="00206C70"/>
    <w:rsid w:val="00214AAC"/>
    <w:rsid w:val="00214E9F"/>
    <w:rsid w:val="0021526E"/>
    <w:rsid w:val="00216826"/>
    <w:rsid w:val="00221C50"/>
    <w:rsid w:val="00222032"/>
    <w:rsid w:val="00223F65"/>
    <w:rsid w:val="00230D85"/>
    <w:rsid w:val="00232F61"/>
    <w:rsid w:val="00235E08"/>
    <w:rsid w:val="00242223"/>
    <w:rsid w:val="00242621"/>
    <w:rsid w:val="002467AD"/>
    <w:rsid w:val="00255CC5"/>
    <w:rsid w:val="00256784"/>
    <w:rsid w:val="00256962"/>
    <w:rsid w:val="0026060F"/>
    <w:rsid w:val="0026111C"/>
    <w:rsid w:val="00262DCF"/>
    <w:rsid w:val="00263999"/>
    <w:rsid w:val="0026403F"/>
    <w:rsid w:val="002641CE"/>
    <w:rsid w:val="002656CE"/>
    <w:rsid w:val="00265A2D"/>
    <w:rsid w:val="00265C32"/>
    <w:rsid w:val="002663A9"/>
    <w:rsid w:val="0026728E"/>
    <w:rsid w:val="0026761A"/>
    <w:rsid w:val="002676B8"/>
    <w:rsid w:val="002762D1"/>
    <w:rsid w:val="00282D3F"/>
    <w:rsid w:val="00285F99"/>
    <w:rsid w:val="00286B8C"/>
    <w:rsid w:val="002A5C76"/>
    <w:rsid w:val="002A6C0C"/>
    <w:rsid w:val="002A75EC"/>
    <w:rsid w:val="002B0FCE"/>
    <w:rsid w:val="002B19F5"/>
    <w:rsid w:val="002B1E14"/>
    <w:rsid w:val="002B507C"/>
    <w:rsid w:val="002B560A"/>
    <w:rsid w:val="002C1171"/>
    <w:rsid w:val="002C1CBF"/>
    <w:rsid w:val="002C5401"/>
    <w:rsid w:val="002D4FF1"/>
    <w:rsid w:val="002E0303"/>
    <w:rsid w:val="002E0D15"/>
    <w:rsid w:val="002E4380"/>
    <w:rsid w:val="002E5E89"/>
    <w:rsid w:val="002F0981"/>
    <w:rsid w:val="002F0E3F"/>
    <w:rsid w:val="002F1597"/>
    <w:rsid w:val="002F252B"/>
    <w:rsid w:val="002F4E5F"/>
    <w:rsid w:val="003001F2"/>
    <w:rsid w:val="00300B5B"/>
    <w:rsid w:val="00302A8F"/>
    <w:rsid w:val="0030436A"/>
    <w:rsid w:val="00311935"/>
    <w:rsid w:val="00311AFC"/>
    <w:rsid w:val="0031456F"/>
    <w:rsid w:val="00316753"/>
    <w:rsid w:val="003233A2"/>
    <w:rsid w:val="003239DF"/>
    <w:rsid w:val="00324FA5"/>
    <w:rsid w:val="00327910"/>
    <w:rsid w:val="00332594"/>
    <w:rsid w:val="0033445F"/>
    <w:rsid w:val="00336AC6"/>
    <w:rsid w:val="00337527"/>
    <w:rsid w:val="00337876"/>
    <w:rsid w:val="0034413B"/>
    <w:rsid w:val="00345C91"/>
    <w:rsid w:val="00345D8E"/>
    <w:rsid w:val="00345FBC"/>
    <w:rsid w:val="003513C1"/>
    <w:rsid w:val="00351FDE"/>
    <w:rsid w:val="00353024"/>
    <w:rsid w:val="00353092"/>
    <w:rsid w:val="00353EAD"/>
    <w:rsid w:val="003554A4"/>
    <w:rsid w:val="0035732E"/>
    <w:rsid w:val="00363544"/>
    <w:rsid w:val="00365D3A"/>
    <w:rsid w:val="00366241"/>
    <w:rsid w:val="00367F56"/>
    <w:rsid w:val="0037075E"/>
    <w:rsid w:val="0037178A"/>
    <w:rsid w:val="00371834"/>
    <w:rsid w:val="003737DB"/>
    <w:rsid w:val="00373F13"/>
    <w:rsid w:val="003800DC"/>
    <w:rsid w:val="00380F1A"/>
    <w:rsid w:val="00384FE5"/>
    <w:rsid w:val="00387886"/>
    <w:rsid w:val="00391044"/>
    <w:rsid w:val="00392411"/>
    <w:rsid w:val="003947BC"/>
    <w:rsid w:val="00395AE0"/>
    <w:rsid w:val="00395D87"/>
    <w:rsid w:val="00395DE8"/>
    <w:rsid w:val="00397000"/>
    <w:rsid w:val="003A0B99"/>
    <w:rsid w:val="003A2480"/>
    <w:rsid w:val="003A5C98"/>
    <w:rsid w:val="003B16EC"/>
    <w:rsid w:val="003B1CFE"/>
    <w:rsid w:val="003B4052"/>
    <w:rsid w:val="003B7F22"/>
    <w:rsid w:val="003C1F96"/>
    <w:rsid w:val="003C5DD6"/>
    <w:rsid w:val="003D09BA"/>
    <w:rsid w:val="003D22F3"/>
    <w:rsid w:val="003D483B"/>
    <w:rsid w:val="003D67E2"/>
    <w:rsid w:val="003E248F"/>
    <w:rsid w:val="003E2A34"/>
    <w:rsid w:val="003E3E01"/>
    <w:rsid w:val="003E5A91"/>
    <w:rsid w:val="003E7318"/>
    <w:rsid w:val="003F0706"/>
    <w:rsid w:val="003F461C"/>
    <w:rsid w:val="003F47DC"/>
    <w:rsid w:val="003F60F2"/>
    <w:rsid w:val="003F7FB1"/>
    <w:rsid w:val="00403054"/>
    <w:rsid w:val="00404CAC"/>
    <w:rsid w:val="004053CD"/>
    <w:rsid w:val="0041470E"/>
    <w:rsid w:val="00415C7B"/>
    <w:rsid w:val="00416435"/>
    <w:rsid w:val="004164FC"/>
    <w:rsid w:val="00416853"/>
    <w:rsid w:val="00420492"/>
    <w:rsid w:val="00421457"/>
    <w:rsid w:val="00427B0F"/>
    <w:rsid w:val="00430DF9"/>
    <w:rsid w:val="00431D72"/>
    <w:rsid w:val="00442F80"/>
    <w:rsid w:val="00444267"/>
    <w:rsid w:val="004446F2"/>
    <w:rsid w:val="00445D68"/>
    <w:rsid w:val="00447389"/>
    <w:rsid w:val="00453164"/>
    <w:rsid w:val="004537A5"/>
    <w:rsid w:val="00454997"/>
    <w:rsid w:val="00457367"/>
    <w:rsid w:val="00462FEA"/>
    <w:rsid w:val="004638FB"/>
    <w:rsid w:val="004710AE"/>
    <w:rsid w:val="00471C67"/>
    <w:rsid w:val="00475760"/>
    <w:rsid w:val="00475DD2"/>
    <w:rsid w:val="00476147"/>
    <w:rsid w:val="00476544"/>
    <w:rsid w:val="0048044A"/>
    <w:rsid w:val="0048469A"/>
    <w:rsid w:val="004853AF"/>
    <w:rsid w:val="00487E32"/>
    <w:rsid w:val="004903B7"/>
    <w:rsid w:val="00491FEA"/>
    <w:rsid w:val="004923EE"/>
    <w:rsid w:val="00495F2E"/>
    <w:rsid w:val="004A1171"/>
    <w:rsid w:val="004A648F"/>
    <w:rsid w:val="004A6F6C"/>
    <w:rsid w:val="004B28C4"/>
    <w:rsid w:val="004B3968"/>
    <w:rsid w:val="004B7107"/>
    <w:rsid w:val="004C0557"/>
    <w:rsid w:val="004C119D"/>
    <w:rsid w:val="004C2B82"/>
    <w:rsid w:val="004C6ABD"/>
    <w:rsid w:val="004D3AE6"/>
    <w:rsid w:val="004D3F10"/>
    <w:rsid w:val="004D5F3A"/>
    <w:rsid w:val="004D7DE2"/>
    <w:rsid w:val="004E43F3"/>
    <w:rsid w:val="004E4A1E"/>
    <w:rsid w:val="004E7410"/>
    <w:rsid w:val="004F2E83"/>
    <w:rsid w:val="004F3071"/>
    <w:rsid w:val="0050043B"/>
    <w:rsid w:val="005008E6"/>
    <w:rsid w:val="00501832"/>
    <w:rsid w:val="00502061"/>
    <w:rsid w:val="0050474A"/>
    <w:rsid w:val="005156CC"/>
    <w:rsid w:val="00521FC6"/>
    <w:rsid w:val="0052201D"/>
    <w:rsid w:val="00524B49"/>
    <w:rsid w:val="005303D7"/>
    <w:rsid w:val="00531E6B"/>
    <w:rsid w:val="005342DB"/>
    <w:rsid w:val="0053584B"/>
    <w:rsid w:val="00536712"/>
    <w:rsid w:val="00538CD6"/>
    <w:rsid w:val="00542EA1"/>
    <w:rsid w:val="00542F35"/>
    <w:rsid w:val="00547A9E"/>
    <w:rsid w:val="0055029E"/>
    <w:rsid w:val="005531E1"/>
    <w:rsid w:val="00554D93"/>
    <w:rsid w:val="0055693F"/>
    <w:rsid w:val="0055708C"/>
    <w:rsid w:val="00563519"/>
    <w:rsid w:val="00565D94"/>
    <w:rsid w:val="005668C1"/>
    <w:rsid w:val="00570975"/>
    <w:rsid w:val="0057168B"/>
    <w:rsid w:val="00572216"/>
    <w:rsid w:val="00576D51"/>
    <w:rsid w:val="0058067E"/>
    <w:rsid w:val="00580A3F"/>
    <w:rsid w:val="00582063"/>
    <w:rsid w:val="0058238C"/>
    <w:rsid w:val="00586E39"/>
    <w:rsid w:val="00587130"/>
    <w:rsid w:val="00590F1E"/>
    <w:rsid w:val="00591EB1"/>
    <w:rsid w:val="005A4A1C"/>
    <w:rsid w:val="005A5EFD"/>
    <w:rsid w:val="005A6426"/>
    <w:rsid w:val="005B056E"/>
    <w:rsid w:val="005B14A6"/>
    <w:rsid w:val="005B3C1F"/>
    <w:rsid w:val="005B43DF"/>
    <w:rsid w:val="005B459A"/>
    <w:rsid w:val="005B6887"/>
    <w:rsid w:val="005B76C7"/>
    <w:rsid w:val="005C59AD"/>
    <w:rsid w:val="005D1C35"/>
    <w:rsid w:val="005D2BD3"/>
    <w:rsid w:val="005D2CAC"/>
    <w:rsid w:val="005D46D0"/>
    <w:rsid w:val="005D4FC8"/>
    <w:rsid w:val="005E1BD2"/>
    <w:rsid w:val="005E2B5A"/>
    <w:rsid w:val="005E481C"/>
    <w:rsid w:val="005E6311"/>
    <w:rsid w:val="005E66B0"/>
    <w:rsid w:val="005F03EA"/>
    <w:rsid w:val="005F04B8"/>
    <w:rsid w:val="005F1D9D"/>
    <w:rsid w:val="005F5767"/>
    <w:rsid w:val="0060242C"/>
    <w:rsid w:val="00604C6E"/>
    <w:rsid w:val="00606451"/>
    <w:rsid w:val="006065A9"/>
    <w:rsid w:val="006071B3"/>
    <w:rsid w:val="00610B6B"/>
    <w:rsid w:val="00611B99"/>
    <w:rsid w:val="0061648F"/>
    <w:rsid w:val="00616A91"/>
    <w:rsid w:val="006204EA"/>
    <w:rsid w:val="00623357"/>
    <w:rsid w:val="00623378"/>
    <w:rsid w:val="0063204C"/>
    <w:rsid w:val="006414FA"/>
    <w:rsid w:val="0064266B"/>
    <w:rsid w:val="00644800"/>
    <w:rsid w:val="00644ADB"/>
    <w:rsid w:val="006476F3"/>
    <w:rsid w:val="006543DC"/>
    <w:rsid w:val="00654F5E"/>
    <w:rsid w:val="0065647C"/>
    <w:rsid w:val="00662701"/>
    <w:rsid w:val="006663C2"/>
    <w:rsid w:val="00666A1B"/>
    <w:rsid w:val="00666F89"/>
    <w:rsid w:val="00667603"/>
    <w:rsid w:val="00667FCB"/>
    <w:rsid w:val="0067072C"/>
    <w:rsid w:val="006718A5"/>
    <w:rsid w:val="00673D4F"/>
    <w:rsid w:val="006748B1"/>
    <w:rsid w:val="006757CA"/>
    <w:rsid w:val="00676D9E"/>
    <w:rsid w:val="00682BB3"/>
    <w:rsid w:val="00687BDD"/>
    <w:rsid w:val="00694085"/>
    <w:rsid w:val="00695B76"/>
    <w:rsid w:val="006A5502"/>
    <w:rsid w:val="006A6280"/>
    <w:rsid w:val="006A7670"/>
    <w:rsid w:val="006B04C0"/>
    <w:rsid w:val="006B39A6"/>
    <w:rsid w:val="006C0EA1"/>
    <w:rsid w:val="006C4F68"/>
    <w:rsid w:val="006C6C26"/>
    <w:rsid w:val="006D2C01"/>
    <w:rsid w:val="006D3DBD"/>
    <w:rsid w:val="006D40F6"/>
    <w:rsid w:val="006D5785"/>
    <w:rsid w:val="006D64B1"/>
    <w:rsid w:val="006D6E0F"/>
    <w:rsid w:val="006D79CA"/>
    <w:rsid w:val="006E04B8"/>
    <w:rsid w:val="006E10FE"/>
    <w:rsid w:val="006E139B"/>
    <w:rsid w:val="006E59DE"/>
    <w:rsid w:val="006E75EC"/>
    <w:rsid w:val="006E77D3"/>
    <w:rsid w:val="006F61DB"/>
    <w:rsid w:val="00703E5A"/>
    <w:rsid w:val="00705A56"/>
    <w:rsid w:val="00705F38"/>
    <w:rsid w:val="007101FB"/>
    <w:rsid w:val="007118B2"/>
    <w:rsid w:val="0072221E"/>
    <w:rsid w:val="00722764"/>
    <w:rsid w:val="0072339F"/>
    <w:rsid w:val="00723B7D"/>
    <w:rsid w:val="00725A00"/>
    <w:rsid w:val="007308F7"/>
    <w:rsid w:val="0073471B"/>
    <w:rsid w:val="00734E9F"/>
    <w:rsid w:val="00742EDE"/>
    <w:rsid w:val="00745302"/>
    <w:rsid w:val="00746AE4"/>
    <w:rsid w:val="00752C7B"/>
    <w:rsid w:val="00754032"/>
    <w:rsid w:val="00756FD9"/>
    <w:rsid w:val="00757BE9"/>
    <w:rsid w:val="0076750F"/>
    <w:rsid w:val="007675C8"/>
    <w:rsid w:val="007702EC"/>
    <w:rsid w:val="00771C96"/>
    <w:rsid w:val="00773948"/>
    <w:rsid w:val="007758D6"/>
    <w:rsid w:val="00776374"/>
    <w:rsid w:val="007809A8"/>
    <w:rsid w:val="00781208"/>
    <w:rsid w:val="007820EF"/>
    <w:rsid w:val="007831D7"/>
    <w:rsid w:val="00783EBD"/>
    <w:rsid w:val="007845F7"/>
    <w:rsid w:val="007848E6"/>
    <w:rsid w:val="00784FEF"/>
    <w:rsid w:val="00786FC5"/>
    <w:rsid w:val="00790B72"/>
    <w:rsid w:val="0079242B"/>
    <w:rsid w:val="00792D90"/>
    <w:rsid w:val="00797637"/>
    <w:rsid w:val="007A0123"/>
    <w:rsid w:val="007A4AE6"/>
    <w:rsid w:val="007B12F6"/>
    <w:rsid w:val="007B1D87"/>
    <w:rsid w:val="007B2580"/>
    <w:rsid w:val="007B7A71"/>
    <w:rsid w:val="007C0ACA"/>
    <w:rsid w:val="007C0E8C"/>
    <w:rsid w:val="007C12EC"/>
    <w:rsid w:val="007C574A"/>
    <w:rsid w:val="007C5E25"/>
    <w:rsid w:val="007D093F"/>
    <w:rsid w:val="007D3832"/>
    <w:rsid w:val="007D3894"/>
    <w:rsid w:val="007E42BC"/>
    <w:rsid w:val="007E5394"/>
    <w:rsid w:val="007F0419"/>
    <w:rsid w:val="007F1895"/>
    <w:rsid w:val="007F304E"/>
    <w:rsid w:val="007F3EEE"/>
    <w:rsid w:val="007F7A62"/>
    <w:rsid w:val="007F7C03"/>
    <w:rsid w:val="007F7C30"/>
    <w:rsid w:val="00801A5E"/>
    <w:rsid w:val="00802F76"/>
    <w:rsid w:val="0081181F"/>
    <w:rsid w:val="00811D01"/>
    <w:rsid w:val="008148A5"/>
    <w:rsid w:val="00817AF6"/>
    <w:rsid w:val="00820F88"/>
    <w:rsid w:val="00821431"/>
    <w:rsid w:val="00825F64"/>
    <w:rsid w:val="00827A2A"/>
    <w:rsid w:val="008312A3"/>
    <w:rsid w:val="00832293"/>
    <w:rsid w:val="00833D8C"/>
    <w:rsid w:val="00840B10"/>
    <w:rsid w:val="00842219"/>
    <w:rsid w:val="00843442"/>
    <w:rsid w:val="008439F5"/>
    <w:rsid w:val="00846C16"/>
    <w:rsid w:val="00847BA2"/>
    <w:rsid w:val="0085230B"/>
    <w:rsid w:val="00854484"/>
    <w:rsid w:val="008569AB"/>
    <w:rsid w:val="00860384"/>
    <w:rsid w:val="00861714"/>
    <w:rsid w:val="00862027"/>
    <w:rsid w:val="008646F5"/>
    <w:rsid w:val="00875F7C"/>
    <w:rsid w:val="00880110"/>
    <w:rsid w:val="008855C4"/>
    <w:rsid w:val="00886F6F"/>
    <w:rsid w:val="008873A3"/>
    <w:rsid w:val="008914D1"/>
    <w:rsid w:val="008959DE"/>
    <w:rsid w:val="00897109"/>
    <w:rsid w:val="008A3B3A"/>
    <w:rsid w:val="008A3C1D"/>
    <w:rsid w:val="008A51D3"/>
    <w:rsid w:val="008A78D4"/>
    <w:rsid w:val="008B0F46"/>
    <w:rsid w:val="008B52AD"/>
    <w:rsid w:val="008B7865"/>
    <w:rsid w:val="008C1D06"/>
    <w:rsid w:val="008C3F91"/>
    <w:rsid w:val="008C425C"/>
    <w:rsid w:val="008C5B45"/>
    <w:rsid w:val="008D1C76"/>
    <w:rsid w:val="008D48DF"/>
    <w:rsid w:val="008D530D"/>
    <w:rsid w:val="008E1BFF"/>
    <w:rsid w:val="008E4666"/>
    <w:rsid w:val="008F398C"/>
    <w:rsid w:val="008F6437"/>
    <w:rsid w:val="008F67E1"/>
    <w:rsid w:val="009047B7"/>
    <w:rsid w:val="00912F8B"/>
    <w:rsid w:val="00913CB2"/>
    <w:rsid w:val="009166A5"/>
    <w:rsid w:val="0092171E"/>
    <w:rsid w:val="00921868"/>
    <w:rsid w:val="009223D9"/>
    <w:rsid w:val="0092607F"/>
    <w:rsid w:val="0093085B"/>
    <w:rsid w:val="00930FAE"/>
    <w:rsid w:val="009311DA"/>
    <w:rsid w:val="009332FC"/>
    <w:rsid w:val="00933453"/>
    <w:rsid w:val="00941B11"/>
    <w:rsid w:val="00945539"/>
    <w:rsid w:val="00947882"/>
    <w:rsid w:val="00947F41"/>
    <w:rsid w:val="00950372"/>
    <w:rsid w:val="009553CA"/>
    <w:rsid w:val="00956A9E"/>
    <w:rsid w:val="00960FD1"/>
    <w:rsid w:val="0096352F"/>
    <w:rsid w:val="00964B86"/>
    <w:rsid w:val="00965D7F"/>
    <w:rsid w:val="00967273"/>
    <w:rsid w:val="00967EE9"/>
    <w:rsid w:val="00973FF7"/>
    <w:rsid w:val="0098230F"/>
    <w:rsid w:val="00987F4F"/>
    <w:rsid w:val="00996FAE"/>
    <w:rsid w:val="009A3A2B"/>
    <w:rsid w:val="009B0B5C"/>
    <w:rsid w:val="009B4319"/>
    <w:rsid w:val="009B586F"/>
    <w:rsid w:val="009C63D3"/>
    <w:rsid w:val="009D3E71"/>
    <w:rsid w:val="009D5279"/>
    <w:rsid w:val="009D7A61"/>
    <w:rsid w:val="009E36A9"/>
    <w:rsid w:val="009E52BF"/>
    <w:rsid w:val="009E643E"/>
    <w:rsid w:val="009E6A00"/>
    <w:rsid w:val="009F1B3C"/>
    <w:rsid w:val="00A012BF"/>
    <w:rsid w:val="00A01C24"/>
    <w:rsid w:val="00A105C2"/>
    <w:rsid w:val="00A10DEE"/>
    <w:rsid w:val="00A14E0E"/>
    <w:rsid w:val="00A21E65"/>
    <w:rsid w:val="00A2229B"/>
    <w:rsid w:val="00A23BDA"/>
    <w:rsid w:val="00A27246"/>
    <w:rsid w:val="00A30C0B"/>
    <w:rsid w:val="00A335C2"/>
    <w:rsid w:val="00A35546"/>
    <w:rsid w:val="00A373E3"/>
    <w:rsid w:val="00A3769A"/>
    <w:rsid w:val="00A4095E"/>
    <w:rsid w:val="00A4457D"/>
    <w:rsid w:val="00A5027F"/>
    <w:rsid w:val="00A5157B"/>
    <w:rsid w:val="00A51E80"/>
    <w:rsid w:val="00A5202C"/>
    <w:rsid w:val="00A53195"/>
    <w:rsid w:val="00A54E03"/>
    <w:rsid w:val="00A566D1"/>
    <w:rsid w:val="00A62354"/>
    <w:rsid w:val="00A63E92"/>
    <w:rsid w:val="00A70D58"/>
    <w:rsid w:val="00A71CEA"/>
    <w:rsid w:val="00A7611A"/>
    <w:rsid w:val="00A80425"/>
    <w:rsid w:val="00A860DE"/>
    <w:rsid w:val="00A9164B"/>
    <w:rsid w:val="00A9767A"/>
    <w:rsid w:val="00AA07F0"/>
    <w:rsid w:val="00AA2D55"/>
    <w:rsid w:val="00AA5749"/>
    <w:rsid w:val="00AB0071"/>
    <w:rsid w:val="00AB39E2"/>
    <w:rsid w:val="00AB3B0A"/>
    <w:rsid w:val="00AB5C1C"/>
    <w:rsid w:val="00AB5F17"/>
    <w:rsid w:val="00AB6125"/>
    <w:rsid w:val="00AB6245"/>
    <w:rsid w:val="00AB7044"/>
    <w:rsid w:val="00AC2212"/>
    <w:rsid w:val="00AC44CB"/>
    <w:rsid w:val="00AC61AC"/>
    <w:rsid w:val="00AC7007"/>
    <w:rsid w:val="00AC7423"/>
    <w:rsid w:val="00AC7AE5"/>
    <w:rsid w:val="00AD4216"/>
    <w:rsid w:val="00AD61C2"/>
    <w:rsid w:val="00AE11B5"/>
    <w:rsid w:val="00AE2D37"/>
    <w:rsid w:val="00AE35EA"/>
    <w:rsid w:val="00AE4179"/>
    <w:rsid w:val="00AE69D7"/>
    <w:rsid w:val="00AF0F4E"/>
    <w:rsid w:val="00AF1107"/>
    <w:rsid w:val="00AF5F4D"/>
    <w:rsid w:val="00B02801"/>
    <w:rsid w:val="00B02D49"/>
    <w:rsid w:val="00B04C7A"/>
    <w:rsid w:val="00B06567"/>
    <w:rsid w:val="00B121C2"/>
    <w:rsid w:val="00B12AE8"/>
    <w:rsid w:val="00B12F0E"/>
    <w:rsid w:val="00B213D0"/>
    <w:rsid w:val="00B216C8"/>
    <w:rsid w:val="00B22933"/>
    <w:rsid w:val="00B2523E"/>
    <w:rsid w:val="00B315E0"/>
    <w:rsid w:val="00B31C5C"/>
    <w:rsid w:val="00B320E4"/>
    <w:rsid w:val="00B33E20"/>
    <w:rsid w:val="00B423F5"/>
    <w:rsid w:val="00B43119"/>
    <w:rsid w:val="00B432EB"/>
    <w:rsid w:val="00B4436B"/>
    <w:rsid w:val="00B52EF4"/>
    <w:rsid w:val="00B52F4A"/>
    <w:rsid w:val="00B54FF4"/>
    <w:rsid w:val="00B55679"/>
    <w:rsid w:val="00B5768A"/>
    <w:rsid w:val="00B6131E"/>
    <w:rsid w:val="00B6199E"/>
    <w:rsid w:val="00B651A5"/>
    <w:rsid w:val="00B7045A"/>
    <w:rsid w:val="00B70800"/>
    <w:rsid w:val="00B708EC"/>
    <w:rsid w:val="00B71711"/>
    <w:rsid w:val="00B72FB5"/>
    <w:rsid w:val="00B763B6"/>
    <w:rsid w:val="00B77A97"/>
    <w:rsid w:val="00B802A1"/>
    <w:rsid w:val="00B808EF"/>
    <w:rsid w:val="00B81037"/>
    <w:rsid w:val="00B81F3F"/>
    <w:rsid w:val="00B8750D"/>
    <w:rsid w:val="00B8757F"/>
    <w:rsid w:val="00B878A9"/>
    <w:rsid w:val="00B913DC"/>
    <w:rsid w:val="00B933DD"/>
    <w:rsid w:val="00B937CA"/>
    <w:rsid w:val="00B95DA5"/>
    <w:rsid w:val="00B96688"/>
    <w:rsid w:val="00BA084A"/>
    <w:rsid w:val="00BA0BD7"/>
    <w:rsid w:val="00BA3355"/>
    <w:rsid w:val="00BA3C72"/>
    <w:rsid w:val="00BA55C6"/>
    <w:rsid w:val="00BA75D3"/>
    <w:rsid w:val="00BA7F22"/>
    <w:rsid w:val="00BB05AC"/>
    <w:rsid w:val="00BB0927"/>
    <w:rsid w:val="00BB0D17"/>
    <w:rsid w:val="00BB20DF"/>
    <w:rsid w:val="00BB32FE"/>
    <w:rsid w:val="00BB51F3"/>
    <w:rsid w:val="00BB5C5D"/>
    <w:rsid w:val="00BB64BF"/>
    <w:rsid w:val="00BC0E2C"/>
    <w:rsid w:val="00BC0FB8"/>
    <w:rsid w:val="00BC1F98"/>
    <w:rsid w:val="00BC223D"/>
    <w:rsid w:val="00BC3923"/>
    <w:rsid w:val="00BC67D8"/>
    <w:rsid w:val="00BC69AA"/>
    <w:rsid w:val="00BC76D2"/>
    <w:rsid w:val="00BD1EE6"/>
    <w:rsid w:val="00BD2356"/>
    <w:rsid w:val="00BD5340"/>
    <w:rsid w:val="00BD6568"/>
    <w:rsid w:val="00BD77D8"/>
    <w:rsid w:val="00BF0F4C"/>
    <w:rsid w:val="00BF18D6"/>
    <w:rsid w:val="00BF4DD7"/>
    <w:rsid w:val="00BF6EEE"/>
    <w:rsid w:val="00BF7CAF"/>
    <w:rsid w:val="00C0043B"/>
    <w:rsid w:val="00C014D3"/>
    <w:rsid w:val="00C04044"/>
    <w:rsid w:val="00C05A79"/>
    <w:rsid w:val="00C05B06"/>
    <w:rsid w:val="00C1196F"/>
    <w:rsid w:val="00C12881"/>
    <w:rsid w:val="00C12CDF"/>
    <w:rsid w:val="00C12E90"/>
    <w:rsid w:val="00C13B13"/>
    <w:rsid w:val="00C15D6A"/>
    <w:rsid w:val="00C169EE"/>
    <w:rsid w:val="00C20307"/>
    <w:rsid w:val="00C203D6"/>
    <w:rsid w:val="00C24356"/>
    <w:rsid w:val="00C31E6B"/>
    <w:rsid w:val="00C33A69"/>
    <w:rsid w:val="00C33B62"/>
    <w:rsid w:val="00C35FD1"/>
    <w:rsid w:val="00C42F3A"/>
    <w:rsid w:val="00C453ED"/>
    <w:rsid w:val="00C47C47"/>
    <w:rsid w:val="00C47C9E"/>
    <w:rsid w:val="00C51CE6"/>
    <w:rsid w:val="00C53467"/>
    <w:rsid w:val="00C54211"/>
    <w:rsid w:val="00C634E7"/>
    <w:rsid w:val="00C635D5"/>
    <w:rsid w:val="00C63956"/>
    <w:rsid w:val="00C63CEA"/>
    <w:rsid w:val="00C70BF2"/>
    <w:rsid w:val="00C71ACE"/>
    <w:rsid w:val="00C72B17"/>
    <w:rsid w:val="00C84F90"/>
    <w:rsid w:val="00C85255"/>
    <w:rsid w:val="00C87984"/>
    <w:rsid w:val="00C87D18"/>
    <w:rsid w:val="00C9071B"/>
    <w:rsid w:val="00C9409E"/>
    <w:rsid w:val="00C9429E"/>
    <w:rsid w:val="00CA0119"/>
    <w:rsid w:val="00CA5B8C"/>
    <w:rsid w:val="00CB1CF6"/>
    <w:rsid w:val="00CB2545"/>
    <w:rsid w:val="00CB41FA"/>
    <w:rsid w:val="00CC147F"/>
    <w:rsid w:val="00CC5A43"/>
    <w:rsid w:val="00CC5AFE"/>
    <w:rsid w:val="00CC7CAB"/>
    <w:rsid w:val="00CC7D87"/>
    <w:rsid w:val="00CD2C51"/>
    <w:rsid w:val="00CD59CC"/>
    <w:rsid w:val="00CD62CD"/>
    <w:rsid w:val="00CE1110"/>
    <w:rsid w:val="00CE3639"/>
    <w:rsid w:val="00CE4BD7"/>
    <w:rsid w:val="00CF07CA"/>
    <w:rsid w:val="00CF0E4A"/>
    <w:rsid w:val="00CF40BB"/>
    <w:rsid w:val="00D0122C"/>
    <w:rsid w:val="00D018C9"/>
    <w:rsid w:val="00D01D99"/>
    <w:rsid w:val="00D039FB"/>
    <w:rsid w:val="00D137B7"/>
    <w:rsid w:val="00D15DA3"/>
    <w:rsid w:val="00D20019"/>
    <w:rsid w:val="00D2039F"/>
    <w:rsid w:val="00D251B6"/>
    <w:rsid w:val="00D25707"/>
    <w:rsid w:val="00D25DF6"/>
    <w:rsid w:val="00D2759D"/>
    <w:rsid w:val="00D32AAE"/>
    <w:rsid w:val="00D34CE0"/>
    <w:rsid w:val="00D361AE"/>
    <w:rsid w:val="00D44588"/>
    <w:rsid w:val="00D51FCD"/>
    <w:rsid w:val="00D53EC8"/>
    <w:rsid w:val="00D550F2"/>
    <w:rsid w:val="00D56D05"/>
    <w:rsid w:val="00D60108"/>
    <w:rsid w:val="00D60C50"/>
    <w:rsid w:val="00D61F57"/>
    <w:rsid w:val="00D6639F"/>
    <w:rsid w:val="00D66583"/>
    <w:rsid w:val="00D7246A"/>
    <w:rsid w:val="00D750C2"/>
    <w:rsid w:val="00D76B34"/>
    <w:rsid w:val="00D77BB0"/>
    <w:rsid w:val="00D80564"/>
    <w:rsid w:val="00D811B8"/>
    <w:rsid w:val="00D8165B"/>
    <w:rsid w:val="00D817CF"/>
    <w:rsid w:val="00D83DF9"/>
    <w:rsid w:val="00D842C4"/>
    <w:rsid w:val="00D848EA"/>
    <w:rsid w:val="00D8492E"/>
    <w:rsid w:val="00D8736B"/>
    <w:rsid w:val="00D8778D"/>
    <w:rsid w:val="00DA2C5A"/>
    <w:rsid w:val="00DA352E"/>
    <w:rsid w:val="00DB0FC7"/>
    <w:rsid w:val="00DB2AF2"/>
    <w:rsid w:val="00DB63BB"/>
    <w:rsid w:val="00DB6823"/>
    <w:rsid w:val="00DC1D21"/>
    <w:rsid w:val="00DC1D74"/>
    <w:rsid w:val="00DC37CA"/>
    <w:rsid w:val="00DC4715"/>
    <w:rsid w:val="00DC56A7"/>
    <w:rsid w:val="00DC58C9"/>
    <w:rsid w:val="00DC6028"/>
    <w:rsid w:val="00DC6724"/>
    <w:rsid w:val="00DC6E40"/>
    <w:rsid w:val="00DC7A25"/>
    <w:rsid w:val="00DD0D94"/>
    <w:rsid w:val="00DD24BD"/>
    <w:rsid w:val="00DD2F62"/>
    <w:rsid w:val="00DD3884"/>
    <w:rsid w:val="00DE2C4E"/>
    <w:rsid w:val="00DE48B6"/>
    <w:rsid w:val="00DE736C"/>
    <w:rsid w:val="00DE7F80"/>
    <w:rsid w:val="00DF2E9E"/>
    <w:rsid w:val="00DF5D8F"/>
    <w:rsid w:val="00E02A6A"/>
    <w:rsid w:val="00E131F1"/>
    <w:rsid w:val="00E14492"/>
    <w:rsid w:val="00E1529C"/>
    <w:rsid w:val="00E16F9B"/>
    <w:rsid w:val="00E20AFA"/>
    <w:rsid w:val="00E20FDA"/>
    <w:rsid w:val="00E231C5"/>
    <w:rsid w:val="00E247C1"/>
    <w:rsid w:val="00E24DB2"/>
    <w:rsid w:val="00E27326"/>
    <w:rsid w:val="00E32788"/>
    <w:rsid w:val="00E36A32"/>
    <w:rsid w:val="00E36E70"/>
    <w:rsid w:val="00E37C16"/>
    <w:rsid w:val="00E417A9"/>
    <w:rsid w:val="00E459AA"/>
    <w:rsid w:val="00E46076"/>
    <w:rsid w:val="00E46C4E"/>
    <w:rsid w:val="00E50C9B"/>
    <w:rsid w:val="00E53C0D"/>
    <w:rsid w:val="00E53D75"/>
    <w:rsid w:val="00E6594A"/>
    <w:rsid w:val="00E673A1"/>
    <w:rsid w:val="00E7243D"/>
    <w:rsid w:val="00E72449"/>
    <w:rsid w:val="00E81703"/>
    <w:rsid w:val="00E82F82"/>
    <w:rsid w:val="00E833FA"/>
    <w:rsid w:val="00E90F2C"/>
    <w:rsid w:val="00E91288"/>
    <w:rsid w:val="00EA0076"/>
    <w:rsid w:val="00EA41E8"/>
    <w:rsid w:val="00EA513C"/>
    <w:rsid w:val="00EA59D5"/>
    <w:rsid w:val="00EA6674"/>
    <w:rsid w:val="00EB0CCF"/>
    <w:rsid w:val="00EB1E4A"/>
    <w:rsid w:val="00EB27BA"/>
    <w:rsid w:val="00EB3956"/>
    <w:rsid w:val="00EB428E"/>
    <w:rsid w:val="00EB4FFF"/>
    <w:rsid w:val="00EB5133"/>
    <w:rsid w:val="00EB6AFF"/>
    <w:rsid w:val="00EB6C83"/>
    <w:rsid w:val="00EC0051"/>
    <w:rsid w:val="00EC07EF"/>
    <w:rsid w:val="00EC0B51"/>
    <w:rsid w:val="00EC1382"/>
    <w:rsid w:val="00EC1AC1"/>
    <w:rsid w:val="00EC20D7"/>
    <w:rsid w:val="00EC433E"/>
    <w:rsid w:val="00EC4E42"/>
    <w:rsid w:val="00ED3195"/>
    <w:rsid w:val="00ED5EA1"/>
    <w:rsid w:val="00EE1FFB"/>
    <w:rsid w:val="00EE54C6"/>
    <w:rsid w:val="00EE5BB1"/>
    <w:rsid w:val="00EE66CC"/>
    <w:rsid w:val="00EF578E"/>
    <w:rsid w:val="00F0401C"/>
    <w:rsid w:val="00F05354"/>
    <w:rsid w:val="00F053F3"/>
    <w:rsid w:val="00F06565"/>
    <w:rsid w:val="00F068D6"/>
    <w:rsid w:val="00F10A2F"/>
    <w:rsid w:val="00F13BAE"/>
    <w:rsid w:val="00F1545E"/>
    <w:rsid w:val="00F21CC6"/>
    <w:rsid w:val="00F22662"/>
    <w:rsid w:val="00F2564D"/>
    <w:rsid w:val="00F2712B"/>
    <w:rsid w:val="00F30394"/>
    <w:rsid w:val="00F3225B"/>
    <w:rsid w:val="00F34F98"/>
    <w:rsid w:val="00F3503E"/>
    <w:rsid w:val="00F35993"/>
    <w:rsid w:val="00F3683B"/>
    <w:rsid w:val="00F40BB1"/>
    <w:rsid w:val="00F41899"/>
    <w:rsid w:val="00F44B4C"/>
    <w:rsid w:val="00F460FE"/>
    <w:rsid w:val="00F47978"/>
    <w:rsid w:val="00F47D18"/>
    <w:rsid w:val="00F5219A"/>
    <w:rsid w:val="00F5224F"/>
    <w:rsid w:val="00F53907"/>
    <w:rsid w:val="00F53CB0"/>
    <w:rsid w:val="00F53F61"/>
    <w:rsid w:val="00F5458C"/>
    <w:rsid w:val="00F55F52"/>
    <w:rsid w:val="00F56EAE"/>
    <w:rsid w:val="00F5750E"/>
    <w:rsid w:val="00F6082F"/>
    <w:rsid w:val="00F60D7D"/>
    <w:rsid w:val="00F6578F"/>
    <w:rsid w:val="00F66114"/>
    <w:rsid w:val="00F735A7"/>
    <w:rsid w:val="00F779BA"/>
    <w:rsid w:val="00F77DF5"/>
    <w:rsid w:val="00F80877"/>
    <w:rsid w:val="00F8181E"/>
    <w:rsid w:val="00F8666F"/>
    <w:rsid w:val="00F909BB"/>
    <w:rsid w:val="00F948C4"/>
    <w:rsid w:val="00F96DEA"/>
    <w:rsid w:val="00F9740D"/>
    <w:rsid w:val="00FA01CB"/>
    <w:rsid w:val="00FA0B87"/>
    <w:rsid w:val="00FA16E1"/>
    <w:rsid w:val="00FA20B7"/>
    <w:rsid w:val="00FA42DC"/>
    <w:rsid w:val="00FA4BCE"/>
    <w:rsid w:val="00FA4CC2"/>
    <w:rsid w:val="00FA53A9"/>
    <w:rsid w:val="00FB69AB"/>
    <w:rsid w:val="00FB7E01"/>
    <w:rsid w:val="00FC46E7"/>
    <w:rsid w:val="00FD0147"/>
    <w:rsid w:val="00FD27D7"/>
    <w:rsid w:val="00FD3B6B"/>
    <w:rsid w:val="00FD3E77"/>
    <w:rsid w:val="00FD6D80"/>
    <w:rsid w:val="00FD7DA9"/>
    <w:rsid w:val="00FE11D0"/>
    <w:rsid w:val="00FE7010"/>
    <w:rsid w:val="00FF0564"/>
    <w:rsid w:val="00FF0F91"/>
    <w:rsid w:val="00FF1F9E"/>
    <w:rsid w:val="00FF510F"/>
    <w:rsid w:val="00FF58BC"/>
    <w:rsid w:val="00FF6300"/>
    <w:rsid w:val="00FF671F"/>
    <w:rsid w:val="0654A327"/>
    <w:rsid w:val="06FE4527"/>
    <w:rsid w:val="0BCF2694"/>
    <w:rsid w:val="0CBA31B8"/>
    <w:rsid w:val="0DFDCD7D"/>
    <w:rsid w:val="0EC138EF"/>
    <w:rsid w:val="0FD6F85A"/>
    <w:rsid w:val="1079260A"/>
    <w:rsid w:val="10C31527"/>
    <w:rsid w:val="1411E50D"/>
    <w:rsid w:val="14A06577"/>
    <w:rsid w:val="15720CCB"/>
    <w:rsid w:val="1618B973"/>
    <w:rsid w:val="166242EE"/>
    <w:rsid w:val="187C1893"/>
    <w:rsid w:val="193A8BD7"/>
    <w:rsid w:val="1C319660"/>
    <w:rsid w:val="1C5E6111"/>
    <w:rsid w:val="1D6A5ADA"/>
    <w:rsid w:val="21150BB5"/>
    <w:rsid w:val="215A3D2A"/>
    <w:rsid w:val="21B6FAB5"/>
    <w:rsid w:val="22457B1F"/>
    <w:rsid w:val="22A730D8"/>
    <w:rsid w:val="22C3EFA2"/>
    <w:rsid w:val="23AA9B0B"/>
    <w:rsid w:val="23D2A05F"/>
    <w:rsid w:val="24345618"/>
    <w:rsid w:val="24C1067D"/>
    <w:rsid w:val="25C470B0"/>
    <w:rsid w:val="26CCD311"/>
    <w:rsid w:val="2814CE91"/>
    <w:rsid w:val="2876844A"/>
    <w:rsid w:val="2A505B2E"/>
    <w:rsid w:val="2AC1E9FD"/>
    <w:rsid w:val="2BDD806E"/>
    <w:rsid w:val="2C6C00D8"/>
    <w:rsid w:val="2CC8BE63"/>
    <w:rsid w:val="2E111F85"/>
    <w:rsid w:val="2EE78C36"/>
    <w:rsid w:val="2FBAD0BE"/>
    <w:rsid w:val="2FD2CA2B"/>
    <w:rsid w:val="355D26AE"/>
    <w:rsid w:val="3763FB14"/>
    <w:rsid w:val="377BF481"/>
    <w:rsid w:val="39B458F5"/>
    <w:rsid w:val="3BFFF179"/>
    <w:rsid w:val="3D481FCA"/>
    <w:rsid w:val="3E7B4A06"/>
    <w:rsid w:val="3FB07718"/>
    <w:rsid w:val="405A1918"/>
    <w:rsid w:val="4275BEC2"/>
    <w:rsid w:val="4432A40B"/>
    <w:rsid w:val="450910BC"/>
    <w:rsid w:val="461605A9"/>
    <w:rsid w:val="46FCB112"/>
    <w:rsid w:val="4724B666"/>
    <w:rsid w:val="47B65EF9"/>
    <w:rsid w:val="4B66E498"/>
    <w:rsid w:val="4CF8CF35"/>
    <w:rsid w:val="4D10FB73"/>
    <w:rsid w:val="4D40BB7C"/>
    <w:rsid w:val="4EA0E33A"/>
    <w:rsid w:val="4FD6104C"/>
    <w:rsid w:val="501AD46A"/>
    <w:rsid w:val="565EDED4"/>
    <w:rsid w:val="56D565D1"/>
    <w:rsid w:val="57F0C971"/>
    <w:rsid w:val="5950F12F"/>
    <w:rsid w:val="5D0176CE"/>
    <w:rsid w:val="5D066EFC"/>
    <w:rsid w:val="5DF99A77"/>
    <w:rsid w:val="5F2044A1"/>
    <w:rsid w:val="5FF38929"/>
    <w:rsid w:val="63028D1F"/>
    <w:rsid w:val="63AC2F1F"/>
    <w:rsid w:val="66FB31D6"/>
    <w:rsid w:val="685B26C3"/>
    <w:rsid w:val="69681BB0"/>
    <w:rsid w:val="69EB9E59"/>
    <w:rsid w:val="6B353FB1"/>
    <w:rsid w:val="6D70FF1F"/>
    <w:rsid w:val="70EB5C0A"/>
    <w:rsid w:val="70F4873C"/>
    <w:rsid w:val="72AEA9FE"/>
    <w:rsid w:val="73102CE6"/>
    <w:rsid w:val="73282653"/>
    <w:rsid w:val="7384E3DE"/>
    <w:rsid w:val="7676F639"/>
    <w:rsid w:val="7B42DF78"/>
    <w:rsid w:val="7CD4CA15"/>
    <w:rsid w:val="7D617A7A"/>
    <w:rsid w:val="7EF3651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5067A5"/>
  <w15:docId w15:val="{A5E1660C-EE86-4E65-8121-52CDA18A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DD"/>
    <w:rPr>
      <w:rFonts w:ascii="Times New Roman" w:eastAsia="Times New Roman" w:hAnsi="Times New Roman" w:cs="Times New Roman"/>
      <w:lang w:eastAsia="es-MX"/>
    </w:rPr>
  </w:style>
  <w:style w:type="paragraph" w:styleId="Ttulo2">
    <w:name w:val="heading 2"/>
    <w:basedOn w:val="Normal"/>
    <w:link w:val="Ttulo2Car"/>
    <w:uiPriority w:val="9"/>
    <w:qFormat/>
    <w:rsid w:val="00F40BB1"/>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71CEA"/>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71CEA"/>
    <w:rPr>
      <w:szCs w:val="22"/>
      <w:lang w:val="es-MX"/>
    </w:rPr>
  </w:style>
  <w:style w:type="paragraph" w:styleId="Encabezado">
    <w:name w:val="header"/>
    <w:basedOn w:val="Normal"/>
    <w:link w:val="EncabezadoCar"/>
    <w:uiPriority w:val="99"/>
    <w:unhideWhenUsed/>
    <w:rsid w:val="00A71CEA"/>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A71CEA"/>
    <w:rPr>
      <w:szCs w:val="22"/>
      <w:lang w:val="es-MX"/>
    </w:rPr>
  </w:style>
  <w:style w:type="table" w:styleId="Tablaconcuadrcula">
    <w:name w:val="Table Grid"/>
    <w:basedOn w:val="Tablanormal"/>
    <w:uiPriority w:val="39"/>
    <w:qFormat/>
    <w:rsid w:val="00A71CE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A71CEA"/>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A71CEA"/>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A71CE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A71CEA"/>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A71CEA"/>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71CEA"/>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A71CEA"/>
    <w:rPr>
      <w:vertAlign w:val="superscript"/>
    </w:rPr>
  </w:style>
  <w:style w:type="paragraph" w:styleId="Textoindependiente">
    <w:name w:val="Body Text"/>
    <w:basedOn w:val="Normal"/>
    <w:link w:val="TextoindependienteCar"/>
    <w:uiPriority w:val="1"/>
    <w:qFormat/>
    <w:rsid w:val="00A71CEA"/>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A71CEA"/>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A71CEA"/>
    <w:pPr>
      <w:spacing w:after="160" w:line="240" w:lineRule="exact"/>
    </w:pPr>
    <w:rPr>
      <w:rFonts w:asciiTheme="minorHAnsi" w:eastAsiaTheme="minorHAnsi" w:hAnsiTheme="minorHAnsi" w:cstheme="minorBidi"/>
      <w:vertAlign w:val="superscript"/>
      <w:lang w:eastAsia="en-US"/>
    </w:rPr>
  </w:style>
  <w:style w:type="character" w:customStyle="1" w:styleId="apple-converted-space">
    <w:name w:val="apple-converted-space"/>
    <w:basedOn w:val="Fuentedeprrafopredeter"/>
    <w:rsid w:val="00A71CEA"/>
  </w:style>
  <w:style w:type="paragraph" w:styleId="NormalWeb">
    <w:name w:val="Normal (Web)"/>
    <w:basedOn w:val="Normal"/>
    <w:link w:val="NormalWebCar"/>
    <w:uiPriority w:val="99"/>
    <w:unhideWhenUsed/>
    <w:rsid w:val="00524B49"/>
    <w:pPr>
      <w:spacing w:before="100" w:beforeAutospacing="1" w:after="100" w:afterAutospacing="1"/>
    </w:pPr>
  </w:style>
  <w:style w:type="character" w:styleId="Hipervnculo">
    <w:name w:val="Hyperlink"/>
    <w:basedOn w:val="Fuentedeprrafopredeter"/>
    <w:uiPriority w:val="99"/>
    <w:unhideWhenUsed/>
    <w:rsid w:val="00524B49"/>
    <w:rPr>
      <w:color w:val="0000FF"/>
      <w:u w:val="single"/>
    </w:rPr>
  </w:style>
  <w:style w:type="character" w:styleId="Hipervnculovisitado">
    <w:name w:val="FollowedHyperlink"/>
    <w:basedOn w:val="Fuentedeprrafopredeter"/>
    <w:uiPriority w:val="99"/>
    <w:semiHidden/>
    <w:unhideWhenUsed/>
    <w:rsid w:val="00524B49"/>
    <w:rPr>
      <w:color w:val="954F72" w:themeColor="followedHyperlink"/>
      <w:u w:val="single"/>
    </w:rPr>
  </w:style>
  <w:style w:type="character" w:customStyle="1" w:styleId="Ttulo2Car">
    <w:name w:val="Título 2 Car"/>
    <w:basedOn w:val="Fuentedeprrafopredeter"/>
    <w:link w:val="Ttulo2"/>
    <w:uiPriority w:val="9"/>
    <w:rsid w:val="00F40BB1"/>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F40BB1"/>
    <w:rPr>
      <w:b/>
      <w:bCs/>
    </w:rPr>
  </w:style>
  <w:style w:type="character" w:styleId="Refdecomentario">
    <w:name w:val="annotation reference"/>
    <w:basedOn w:val="Fuentedeprrafopredeter"/>
    <w:uiPriority w:val="99"/>
    <w:semiHidden/>
    <w:unhideWhenUsed/>
    <w:rsid w:val="00776374"/>
    <w:rPr>
      <w:sz w:val="16"/>
      <w:szCs w:val="16"/>
    </w:rPr>
  </w:style>
  <w:style w:type="paragraph" w:styleId="Textocomentario">
    <w:name w:val="annotation text"/>
    <w:basedOn w:val="Normal"/>
    <w:link w:val="TextocomentarioCar"/>
    <w:uiPriority w:val="99"/>
    <w:unhideWhenUsed/>
    <w:rsid w:val="00776374"/>
    <w:rPr>
      <w:sz w:val="20"/>
      <w:szCs w:val="20"/>
    </w:rPr>
  </w:style>
  <w:style w:type="character" w:customStyle="1" w:styleId="TextocomentarioCar">
    <w:name w:val="Texto comentario Car"/>
    <w:basedOn w:val="Fuentedeprrafopredeter"/>
    <w:link w:val="Textocomentario"/>
    <w:uiPriority w:val="99"/>
    <w:rsid w:val="00776374"/>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76374"/>
    <w:rPr>
      <w:b/>
      <w:bCs/>
    </w:rPr>
  </w:style>
  <w:style w:type="character" w:customStyle="1" w:styleId="AsuntodelcomentarioCar">
    <w:name w:val="Asunto del comentario Car"/>
    <w:basedOn w:val="TextocomentarioCar"/>
    <w:link w:val="Asuntodelcomentario"/>
    <w:uiPriority w:val="99"/>
    <w:semiHidden/>
    <w:rsid w:val="00776374"/>
    <w:rPr>
      <w:rFonts w:ascii="Times New Roman" w:eastAsia="Times New Roman" w:hAnsi="Times New Roman" w:cs="Times New Roman"/>
      <w:b/>
      <w:bCs/>
      <w:sz w:val="20"/>
      <w:szCs w:val="20"/>
      <w:lang w:eastAsia="es-MX"/>
    </w:rPr>
  </w:style>
  <w:style w:type="character" w:styleId="nfasis">
    <w:name w:val="Emphasis"/>
    <w:basedOn w:val="Fuentedeprrafopredeter"/>
    <w:uiPriority w:val="20"/>
    <w:qFormat/>
    <w:rsid w:val="00A012BF"/>
    <w:rPr>
      <w:i/>
      <w:iCs/>
    </w:rPr>
  </w:style>
  <w:style w:type="paragraph" w:styleId="Ttulo">
    <w:name w:val="Title"/>
    <w:aliases w:val="Cláusula 9"/>
    <w:basedOn w:val="Normal"/>
    <w:next w:val="Normal"/>
    <w:link w:val="TtuloCar"/>
    <w:uiPriority w:val="10"/>
    <w:qFormat/>
    <w:rsid w:val="00DD0D94"/>
    <w:pPr>
      <w:numPr>
        <w:numId w:val="3"/>
      </w:numPr>
      <w:spacing w:after="300"/>
      <w:contextualSpacing/>
      <w:jc w:val="both"/>
    </w:pPr>
    <w:rPr>
      <w:rFonts w:asciiTheme="majorHAnsi" w:eastAsiaTheme="majorEastAsia" w:hAnsiTheme="majorHAnsi" w:cstheme="majorBidi"/>
      <w:color w:val="AEAAAA" w:themeColor="background2" w:themeShade="BF"/>
      <w:spacing w:val="5"/>
      <w:kern w:val="28"/>
      <w:sz w:val="20"/>
      <w:szCs w:val="52"/>
      <w:lang w:val="es-MX" w:eastAsia="en-US"/>
    </w:rPr>
  </w:style>
  <w:style w:type="character" w:customStyle="1" w:styleId="TtuloCar">
    <w:name w:val="Título Car"/>
    <w:aliases w:val="Cláusula 9 Car"/>
    <w:basedOn w:val="Fuentedeprrafopredeter"/>
    <w:link w:val="Ttulo"/>
    <w:uiPriority w:val="10"/>
    <w:rsid w:val="00DD0D94"/>
    <w:rPr>
      <w:rFonts w:asciiTheme="majorHAnsi" w:eastAsiaTheme="majorEastAsia" w:hAnsiTheme="majorHAnsi" w:cstheme="majorBidi"/>
      <w:color w:val="AEAAAA" w:themeColor="background2" w:themeShade="BF"/>
      <w:spacing w:val="5"/>
      <w:kern w:val="28"/>
      <w:sz w:val="20"/>
      <w:szCs w:val="52"/>
      <w:lang w:val="es-MX"/>
    </w:rPr>
  </w:style>
  <w:style w:type="paragraph" w:customStyle="1" w:styleId="paragraph">
    <w:name w:val="paragraph"/>
    <w:basedOn w:val="Normal"/>
    <w:rsid w:val="00687BDD"/>
    <w:pPr>
      <w:spacing w:before="100" w:beforeAutospacing="1" w:after="100" w:afterAutospacing="1" w:line="276" w:lineRule="auto"/>
      <w:ind w:firstLine="709"/>
      <w:jc w:val="both"/>
    </w:pPr>
    <w:rPr>
      <w:lang w:eastAsia="es-ES_tradnl"/>
    </w:rPr>
  </w:style>
  <w:style w:type="character" w:customStyle="1" w:styleId="normaltextrun">
    <w:name w:val="normaltextrun"/>
    <w:basedOn w:val="Fuentedeprrafopredeter"/>
    <w:rsid w:val="00687BDD"/>
  </w:style>
  <w:style w:type="character" w:customStyle="1" w:styleId="eop">
    <w:name w:val="eop"/>
    <w:basedOn w:val="Fuentedeprrafopredeter"/>
    <w:rsid w:val="00687BDD"/>
  </w:style>
  <w:style w:type="character" w:customStyle="1" w:styleId="Mencinsinresolver1">
    <w:name w:val="Mención sin resolver1"/>
    <w:basedOn w:val="Fuentedeprrafopredeter"/>
    <w:uiPriority w:val="99"/>
    <w:semiHidden/>
    <w:unhideWhenUsed/>
    <w:rsid w:val="00094B59"/>
    <w:rPr>
      <w:color w:val="605E5C"/>
      <w:shd w:val="clear" w:color="auto" w:fill="E1DFDD"/>
    </w:rPr>
  </w:style>
  <w:style w:type="character" w:customStyle="1" w:styleId="NormalWebCar">
    <w:name w:val="Normal (Web) Car"/>
    <w:link w:val="NormalWeb"/>
    <w:uiPriority w:val="99"/>
    <w:rsid w:val="00C33A69"/>
    <w:rPr>
      <w:rFonts w:ascii="Times New Roman" w:eastAsia="Times New Roman" w:hAnsi="Times New Roman" w:cs="Times New Roman"/>
      <w:lang w:eastAsia="es-MX"/>
    </w:rPr>
  </w:style>
  <w:style w:type="paragraph" w:customStyle="1" w:styleId="Default">
    <w:name w:val="Default"/>
    <w:rsid w:val="00C33A69"/>
    <w:pPr>
      <w:autoSpaceDE w:val="0"/>
      <w:autoSpaceDN w:val="0"/>
      <w:adjustRightInd w:val="0"/>
    </w:pPr>
    <w:rPr>
      <w:rFonts w:ascii="Arial" w:hAnsi="Arial" w:cs="Arial"/>
      <w:color w:val="000000"/>
    </w:rPr>
  </w:style>
  <w:style w:type="paragraph" w:customStyle="1" w:styleId="xxmsonormal">
    <w:name w:val="x_x_msonormal"/>
    <w:basedOn w:val="Normal"/>
    <w:rsid w:val="00C33A69"/>
    <w:pPr>
      <w:spacing w:before="100" w:beforeAutospacing="1" w:after="100" w:afterAutospacing="1"/>
    </w:pPr>
  </w:style>
  <w:style w:type="character" w:customStyle="1" w:styleId="spellingerror">
    <w:name w:val="spellingerror"/>
    <w:basedOn w:val="Fuentedeprrafopredeter"/>
    <w:rsid w:val="00EB1E4A"/>
  </w:style>
  <w:style w:type="paragraph" w:customStyle="1" w:styleId="xmsonospacing">
    <w:name w:val="x_msonospacing"/>
    <w:basedOn w:val="Normal"/>
    <w:rsid w:val="0031456F"/>
    <w:pPr>
      <w:spacing w:before="100" w:beforeAutospacing="1" w:after="100" w:afterAutospacing="1"/>
    </w:pPr>
  </w:style>
  <w:style w:type="paragraph" w:customStyle="1" w:styleId="Normal11pt">
    <w:name w:val="Normal + 11 pt"/>
    <w:aliases w:val="Negro,Justificado,Izquierda:  -0,95 cm,Derecha:  0,04 cm"/>
    <w:basedOn w:val="Normal"/>
    <w:uiPriority w:val="99"/>
    <w:rsid w:val="00705A56"/>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2712B"/>
    <w:rPr>
      <w:rFonts w:ascii="Times New Roman" w:eastAsia="Times New Roman" w:hAnsi="Times New Roman" w:cs="Times New Roman"/>
      <w:lang w:eastAsia="es-MX"/>
    </w:rPr>
  </w:style>
  <w:style w:type="character" w:customStyle="1" w:styleId="baj">
    <w:name w:val="b_aj"/>
    <w:basedOn w:val="Fuentedeprrafopredeter"/>
    <w:rsid w:val="00854484"/>
  </w:style>
  <w:style w:type="paragraph" w:styleId="Textodeglobo">
    <w:name w:val="Balloon Text"/>
    <w:basedOn w:val="Normal"/>
    <w:link w:val="TextodegloboCar"/>
    <w:uiPriority w:val="99"/>
    <w:semiHidden/>
    <w:unhideWhenUsed/>
    <w:rsid w:val="00C70BF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70BF2"/>
    <w:rPr>
      <w:rFonts w:ascii="Lucida Grande" w:eastAsia="Times New Roman" w:hAnsi="Lucida Grande" w:cs="Lucida Grande"/>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1926">
      <w:bodyDiv w:val="1"/>
      <w:marLeft w:val="0"/>
      <w:marRight w:val="0"/>
      <w:marTop w:val="0"/>
      <w:marBottom w:val="0"/>
      <w:divBdr>
        <w:top w:val="none" w:sz="0" w:space="0" w:color="auto"/>
        <w:left w:val="none" w:sz="0" w:space="0" w:color="auto"/>
        <w:bottom w:val="none" w:sz="0" w:space="0" w:color="auto"/>
        <w:right w:val="none" w:sz="0" w:space="0" w:color="auto"/>
      </w:divBdr>
    </w:div>
    <w:div w:id="56173611">
      <w:bodyDiv w:val="1"/>
      <w:marLeft w:val="0"/>
      <w:marRight w:val="0"/>
      <w:marTop w:val="0"/>
      <w:marBottom w:val="0"/>
      <w:divBdr>
        <w:top w:val="none" w:sz="0" w:space="0" w:color="auto"/>
        <w:left w:val="none" w:sz="0" w:space="0" w:color="auto"/>
        <w:bottom w:val="none" w:sz="0" w:space="0" w:color="auto"/>
        <w:right w:val="none" w:sz="0" w:space="0" w:color="auto"/>
      </w:divBdr>
    </w:div>
    <w:div w:id="64308187">
      <w:bodyDiv w:val="1"/>
      <w:marLeft w:val="0"/>
      <w:marRight w:val="0"/>
      <w:marTop w:val="0"/>
      <w:marBottom w:val="0"/>
      <w:divBdr>
        <w:top w:val="none" w:sz="0" w:space="0" w:color="auto"/>
        <w:left w:val="none" w:sz="0" w:space="0" w:color="auto"/>
        <w:bottom w:val="none" w:sz="0" w:space="0" w:color="auto"/>
        <w:right w:val="none" w:sz="0" w:space="0" w:color="auto"/>
      </w:divBdr>
    </w:div>
    <w:div w:id="114636653">
      <w:bodyDiv w:val="1"/>
      <w:marLeft w:val="0"/>
      <w:marRight w:val="0"/>
      <w:marTop w:val="0"/>
      <w:marBottom w:val="0"/>
      <w:divBdr>
        <w:top w:val="none" w:sz="0" w:space="0" w:color="auto"/>
        <w:left w:val="none" w:sz="0" w:space="0" w:color="auto"/>
        <w:bottom w:val="none" w:sz="0" w:space="0" w:color="auto"/>
        <w:right w:val="none" w:sz="0" w:space="0" w:color="auto"/>
      </w:divBdr>
    </w:div>
    <w:div w:id="127668976">
      <w:bodyDiv w:val="1"/>
      <w:marLeft w:val="0"/>
      <w:marRight w:val="0"/>
      <w:marTop w:val="0"/>
      <w:marBottom w:val="0"/>
      <w:divBdr>
        <w:top w:val="none" w:sz="0" w:space="0" w:color="auto"/>
        <w:left w:val="none" w:sz="0" w:space="0" w:color="auto"/>
        <w:bottom w:val="none" w:sz="0" w:space="0" w:color="auto"/>
        <w:right w:val="none" w:sz="0" w:space="0" w:color="auto"/>
      </w:divBdr>
      <w:divsChild>
        <w:div w:id="116996380">
          <w:marLeft w:val="0"/>
          <w:marRight w:val="0"/>
          <w:marTop w:val="0"/>
          <w:marBottom w:val="0"/>
          <w:divBdr>
            <w:top w:val="none" w:sz="0" w:space="0" w:color="auto"/>
            <w:left w:val="none" w:sz="0" w:space="0" w:color="auto"/>
            <w:bottom w:val="none" w:sz="0" w:space="0" w:color="auto"/>
            <w:right w:val="none" w:sz="0" w:space="0" w:color="auto"/>
          </w:divBdr>
        </w:div>
      </w:divsChild>
    </w:div>
    <w:div w:id="183596897">
      <w:bodyDiv w:val="1"/>
      <w:marLeft w:val="0"/>
      <w:marRight w:val="0"/>
      <w:marTop w:val="0"/>
      <w:marBottom w:val="0"/>
      <w:divBdr>
        <w:top w:val="none" w:sz="0" w:space="0" w:color="auto"/>
        <w:left w:val="none" w:sz="0" w:space="0" w:color="auto"/>
        <w:bottom w:val="none" w:sz="0" w:space="0" w:color="auto"/>
        <w:right w:val="none" w:sz="0" w:space="0" w:color="auto"/>
      </w:divBdr>
    </w:div>
    <w:div w:id="279412230">
      <w:bodyDiv w:val="1"/>
      <w:marLeft w:val="0"/>
      <w:marRight w:val="0"/>
      <w:marTop w:val="0"/>
      <w:marBottom w:val="0"/>
      <w:divBdr>
        <w:top w:val="none" w:sz="0" w:space="0" w:color="auto"/>
        <w:left w:val="none" w:sz="0" w:space="0" w:color="auto"/>
        <w:bottom w:val="none" w:sz="0" w:space="0" w:color="auto"/>
        <w:right w:val="none" w:sz="0" w:space="0" w:color="auto"/>
      </w:divBdr>
    </w:div>
    <w:div w:id="298219995">
      <w:bodyDiv w:val="1"/>
      <w:marLeft w:val="0"/>
      <w:marRight w:val="0"/>
      <w:marTop w:val="0"/>
      <w:marBottom w:val="0"/>
      <w:divBdr>
        <w:top w:val="none" w:sz="0" w:space="0" w:color="auto"/>
        <w:left w:val="none" w:sz="0" w:space="0" w:color="auto"/>
        <w:bottom w:val="none" w:sz="0" w:space="0" w:color="auto"/>
        <w:right w:val="none" w:sz="0" w:space="0" w:color="auto"/>
      </w:divBdr>
    </w:div>
    <w:div w:id="324893756">
      <w:bodyDiv w:val="1"/>
      <w:marLeft w:val="0"/>
      <w:marRight w:val="0"/>
      <w:marTop w:val="0"/>
      <w:marBottom w:val="0"/>
      <w:divBdr>
        <w:top w:val="none" w:sz="0" w:space="0" w:color="auto"/>
        <w:left w:val="none" w:sz="0" w:space="0" w:color="auto"/>
        <w:bottom w:val="none" w:sz="0" w:space="0" w:color="auto"/>
        <w:right w:val="none" w:sz="0" w:space="0" w:color="auto"/>
      </w:divBdr>
    </w:div>
    <w:div w:id="331495140">
      <w:bodyDiv w:val="1"/>
      <w:marLeft w:val="0"/>
      <w:marRight w:val="0"/>
      <w:marTop w:val="0"/>
      <w:marBottom w:val="0"/>
      <w:divBdr>
        <w:top w:val="none" w:sz="0" w:space="0" w:color="auto"/>
        <w:left w:val="none" w:sz="0" w:space="0" w:color="auto"/>
        <w:bottom w:val="none" w:sz="0" w:space="0" w:color="auto"/>
        <w:right w:val="none" w:sz="0" w:space="0" w:color="auto"/>
      </w:divBdr>
    </w:div>
    <w:div w:id="374349182">
      <w:bodyDiv w:val="1"/>
      <w:marLeft w:val="0"/>
      <w:marRight w:val="0"/>
      <w:marTop w:val="0"/>
      <w:marBottom w:val="0"/>
      <w:divBdr>
        <w:top w:val="none" w:sz="0" w:space="0" w:color="auto"/>
        <w:left w:val="none" w:sz="0" w:space="0" w:color="auto"/>
        <w:bottom w:val="none" w:sz="0" w:space="0" w:color="auto"/>
        <w:right w:val="none" w:sz="0" w:space="0" w:color="auto"/>
      </w:divBdr>
    </w:div>
    <w:div w:id="392705629">
      <w:bodyDiv w:val="1"/>
      <w:marLeft w:val="0"/>
      <w:marRight w:val="0"/>
      <w:marTop w:val="0"/>
      <w:marBottom w:val="0"/>
      <w:divBdr>
        <w:top w:val="none" w:sz="0" w:space="0" w:color="auto"/>
        <w:left w:val="none" w:sz="0" w:space="0" w:color="auto"/>
        <w:bottom w:val="none" w:sz="0" w:space="0" w:color="auto"/>
        <w:right w:val="none" w:sz="0" w:space="0" w:color="auto"/>
      </w:divBdr>
    </w:div>
    <w:div w:id="411238431">
      <w:bodyDiv w:val="1"/>
      <w:marLeft w:val="0"/>
      <w:marRight w:val="0"/>
      <w:marTop w:val="0"/>
      <w:marBottom w:val="0"/>
      <w:divBdr>
        <w:top w:val="none" w:sz="0" w:space="0" w:color="auto"/>
        <w:left w:val="none" w:sz="0" w:space="0" w:color="auto"/>
        <w:bottom w:val="none" w:sz="0" w:space="0" w:color="auto"/>
        <w:right w:val="none" w:sz="0" w:space="0" w:color="auto"/>
      </w:divBdr>
    </w:div>
    <w:div w:id="486366192">
      <w:bodyDiv w:val="1"/>
      <w:marLeft w:val="0"/>
      <w:marRight w:val="0"/>
      <w:marTop w:val="0"/>
      <w:marBottom w:val="0"/>
      <w:divBdr>
        <w:top w:val="none" w:sz="0" w:space="0" w:color="auto"/>
        <w:left w:val="none" w:sz="0" w:space="0" w:color="auto"/>
        <w:bottom w:val="none" w:sz="0" w:space="0" w:color="auto"/>
        <w:right w:val="none" w:sz="0" w:space="0" w:color="auto"/>
      </w:divBdr>
      <w:divsChild>
        <w:div w:id="1352760980">
          <w:marLeft w:val="0"/>
          <w:marRight w:val="0"/>
          <w:marTop w:val="0"/>
          <w:marBottom w:val="0"/>
          <w:divBdr>
            <w:top w:val="none" w:sz="0" w:space="0" w:color="auto"/>
            <w:left w:val="none" w:sz="0" w:space="0" w:color="auto"/>
            <w:bottom w:val="none" w:sz="0" w:space="0" w:color="auto"/>
            <w:right w:val="none" w:sz="0" w:space="0" w:color="auto"/>
          </w:divBdr>
          <w:divsChild>
            <w:div w:id="1312324098">
              <w:marLeft w:val="0"/>
              <w:marRight w:val="0"/>
              <w:marTop w:val="0"/>
              <w:marBottom w:val="0"/>
              <w:divBdr>
                <w:top w:val="none" w:sz="0" w:space="0" w:color="auto"/>
                <w:left w:val="none" w:sz="0" w:space="0" w:color="auto"/>
                <w:bottom w:val="none" w:sz="0" w:space="0" w:color="auto"/>
                <w:right w:val="none" w:sz="0" w:space="0" w:color="auto"/>
              </w:divBdr>
              <w:divsChild>
                <w:div w:id="15849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77665">
      <w:bodyDiv w:val="1"/>
      <w:marLeft w:val="0"/>
      <w:marRight w:val="0"/>
      <w:marTop w:val="0"/>
      <w:marBottom w:val="0"/>
      <w:divBdr>
        <w:top w:val="none" w:sz="0" w:space="0" w:color="auto"/>
        <w:left w:val="none" w:sz="0" w:space="0" w:color="auto"/>
        <w:bottom w:val="none" w:sz="0" w:space="0" w:color="auto"/>
        <w:right w:val="none" w:sz="0" w:space="0" w:color="auto"/>
      </w:divBdr>
    </w:div>
    <w:div w:id="504789930">
      <w:bodyDiv w:val="1"/>
      <w:marLeft w:val="0"/>
      <w:marRight w:val="0"/>
      <w:marTop w:val="0"/>
      <w:marBottom w:val="0"/>
      <w:divBdr>
        <w:top w:val="none" w:sz="0" w:space="0" w:color="auto"/>
        <w:left w:val="none" w:sz="0" w:space="0" w:color="auto"/>
        <w:bottom w:val="none" w:sz="0" w:space="0" w:color="auto"/>
        <w:right w:val="none" w:sz="0" w:space="0" w:color="auto"/>
      </w:divBdr>
      <w:divsChild>
        <w:div w:id="1849827054">
          <w:marLeft w:val="0"/>
          <w:marRight w:val="0"/>
          <w:marTop w:val="0"/>
          <w:marBottom w:val="0"/>
          <w:divBdr>
            <w:top w:val="none" w:sz="0" w:space="0" w:color="auto"/>
            <w:left w:val="none" w:sz="0" w:space="0" w:color="auto"/>
            <w:bottom w:val="none" w:sz="0" w:space="0" w:color="auto"/>
            <w:right w:val="none" w:sz="0" w:space="0" w:color="auto"/>
          </w:divBdr>
          <w:divsChild>
            <w:div w:id="1343824708">
              <w:marLeft w:val="0"/>
              <w:marRight w:val="0"/>
              <w:marTop w:val="0"/>
              <w:marBottom w:val="0"/>
              <w:divBdr>
                <w:top w:val="none" w:sz="0" w:space="0" w:color="auto"/>
                <w:left w:val="none" w:sz="0" w:space="0" w:color="auto"/>
                <w:bottom w:val="none" w:sz="0" w:space="0" w:color="auto"/>
                <w:right w:val="none" w:sz="0" w:space="0" w:color="auto"/>
              </w:divBdr>
              <w:divsChild>
                <w:div w:id="17741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8692">
      <w:bodyDiv w:val="1"/>
      <w:marLeft w:val="0"/>
      <w:marRight w:val="0"/>
      <w:marTop w:val="0"/>
      <w:marBottom w:val="0"/>
      <w:divBdr>
        <w:top w:val="none" w:sz="0" w:space="0" w:color="auto"/>
        <w:left w:val="none" w:sz="0" w:space="0" w:color="auto"/>
        <w:bottom w:val="none" w:sz="0" w:space="0" w:color="auto"/>
        <w:right w:val="none" w:sz="0" w:space="0" w:color="auto"/>
      </w:divBdr>
    </w:div>
    <w:div w:id="636228441">
      <w:bodyDiv w:val="1"/>
      <w:marLeft w:val="0"/>
      <w:marRight w:val="0"/>
      <w:marTop w:val="0"/>
      <w:marBottom w:val="0"/>
      <w:divBdr>
        <w:top w:val="none" w:sz="0" w:space="0" w:color="auto"/>
        <w:left w:val="none" w:sz="0" w:space="0" w:color="auto"/>
        <w:bottom w:val="none" w:sz="0" w:space="0" w:color="auto"/>
        <w:right w:val="none" w:sz="0" w:space="0" w:color="auto"/>
      </w:divBdr>
      <w:divsChild>
        <w:div w:id="619723704">
          <w:marLeft w:val="0"/>
          <w:marRight w:val="0"/>
          <w:marTop w:val="0"/>
          <w:marBottom w:val="0"/>
          <w:divBdr>
            <w:top w:val="none" w:sz="0" w:space="0" w:color="auto"/>
            <w:left w:val="none" w:sz="0" w:space="0" w:color="auto"/>
            <w:bottom w:val="none" w:sz="0" w:space="0" w:color="auto"/>
            <w:right w:val="none" w:sz="0" w:space="0" w:color="auto"/>
          </w:divBdr>
        </w:div>
      </w:divsChild>
    </w:div>
    <w:div w:id="704448476">
      <w:bodyDiv w:val="1"/>
      <w:marLeft w:val="0"/>
      <w:marRight w:val="0"/>
      <w:marTop w:val="0"/>
      <w:marBottom w:val="0"/>
      <w:divBdr>
        <w:top w:val="none" w:sz="0" w:space="0" w:color="auto"/>
        <w:left w:val="none" w:sz="0" w:space="0" w:color="auto"/>
        <w:bottom w:val="none" w:sz="0" w:space="0" w:color="auto"/>
        <w:right w:val="none" w:sz="0" w:space="0" w:color="auto"/>
      </w:divBdr>
    </w:div>
    <w:div w:id="716318750">
      <w:bodyDiv w:val="1"/>
      <w:marLeft w:val="0"/>
      <w:marRight w:val="0"/>
      <w:marTop w:val="0"/>
      <w:marBottom w:val="0"/>
      <w:divBdr>
        <w:top w:val="none" w:sz="0" w:space="0" w:color="auto"/>
        <w:left w:val="none" w:sz="0" w:space="0" w:color="auto"/>
        <w:bottom w:val="none" w:sz="0" w:space="0" w:color="auto"/>
        <w:right w:val="none" w:sz="0" w:space="0" w:color="auto"/>
      </w:divBdr>
    </w:div>
    <w:div w:id="849830110">
      <w:bodyDiv w:val="1"/>
      <w:marLeft w:val="0"/>
      <w:marRight w:val="0"/>
      <w:marTop w:val="0"/>
      <w:marBottom w:val="0"/>
      <w:divBdr>
        <w:top w:val="none" w:sz="0" w:space="0" w:color="auto"/>
        <w:left w:val="none" w:sz="0" w:space="0" w:color="auto"/>
        <w:bottom w:val="none" w:sz="0" w:space="0" w:color="auto"/>
        <w:right w:val="none" w:sz="0" w:space="0" w:color="auto"/>
      </w:divBdr>
    </w:div>
    <w:div w:id="882785361">
      <w:bodyDiv w:val="1"/>
      <w:marLeft w:val="0"/>
      <w:marRight w:val="0"/>
      <w:marTop w:val="0"/>
      <w:marBottom w:val="0"/>
      <w:divBdr>
        <w:top w:val="none" w:sz="0" w:space="0" w:color="auto"/>
        <w:left w:val="none" w:sz="0" w:space="0" w:color="auto"/>
        <w:bottom w:val="none" w:sz="0" w:space="0" w:color="auto"/>
        <w:right w:val="none" w:sz="0" w:space="0" w:color="auto"/>
      </w:divBdr>
    </w:div>
    <w:div w:id="914783788">
      <w:bodyDiv w:val="1"/>
      <w:marLeft w:val="0"/>
      <w:marRight w:val="0"/>
      <w:marTop w:val="0"/>
      <w:marBottom w:val="0"/>
      <w:divBdr>
        <w:top w:val="none" w:sz="0" w:space="0" w:color="auto"/>
        <w:left w:val="none" w:sz="0" w:space="0" w:color="auto"/>
        <w:bottom w:val="none" w:sz="0" w:space="0" w:color="auto"/>
        <w:right w:val="none" w:sz="0" w:space="0" w:color="auto"/>
      </w:divBdr>
    </w:div>
    <w:div w:id="956109359">
      <w:bodyDiv w:val="1"/>
      <w:marLeft w:val="0"/>
      <w:marRight w:val="0"/>
      <w:marTop w:val="0"/>
      <w:marBottom w:val="0"/>
      <w:divBdr>
        <w:top w:val="none" w:sz="0" w:space="0" w:color="auto"/>
        <w:left w:val="none" w:sz="0" w:space="0" w:color="auto"/>
        <w:bottom w:val="none" w:sz="0" w:space="0" w:color="auto"/>
        <w:right w:val="none" w:sz="0" w:space="0" w:color="auto"/>
      </w:divBdr>
    </w:div>
    <w:div w:id="964624696">
      <w:bodyDiv w:val="1"/>
      <w:marLeft w:val="0"/>
      <w:marRight w:val="0"/>
      <w:marTop w:val="0"/>
      <w:marBottom w:val="0"/>
      <w:divBdr>
        <w:top w:val="none" w:sz="0" w:space="0" w:color="auto"/>
        <w:left w:val="none" w:sz="0" w:space="0" w:color="auto"/>
        <w:bottom w:val="none" w:sz="0" w:space="0" w:color="auto"/>
        <w:right w:val="none" w:sz="0" w:space="0" w:color="auto"/>
      </w:divBdr>
    </w:div>
    <w:div w:id="1126898605">
      <w:bodyDiv w:val="1"/>
      <w:marLeft w:val="0"/>
      <w:marRight w:val="0"/>
      <w:marTop w:val="0"/>
      <w:marBottom w:val="0"/>
      <w:divBdr>
        <w:top w:val="none" w:sz="0" w:space="0" w:color="auto"/>
        <w:left w:val="none" w:sz="0" w:space="0" w:color="auto"/>
        <w:bottom w:val="none" w:sz="0" w:space="0" w:color="auto"/>
        <w:right w:val="none" w:sz="0" w:space="0" w:color="auto"/>
      </w:divBdr>
    </w:div>
    <w:div w:id="1173640563">
      <w:bodyDiv w:val="1"/>
      <w:marLeft w:val="0"/>
      <w:marRight w:val="0"/>
      <w:marTop w:val="0"/>
      <w:marBottom w:val="0"/>
      <w:divBdr>
        <w:top w:val="none" w:sz="0" w:space="0" w:color="auto"/>
        <w:left w:val="none" w:sz="0" w:space="0" w:color="auto"/>
        <w:bottom w:val="none" w:sz="0" w:space="0" w:color="auto"/>
        <w:right w:val="none" w:sz="0" w:space="0" w:color="auto"/>
      </w:divBdr>
      <w:divsChild>
        <w:div w:id="236667670">
          <w:marLeft w:val="0"/>
          <w:marRight w:val="0"/>
          <w:marTop w:val="0"/>
          <w:marBottom w:val="0"/>
          <w:divBdr>
            <w:top w:val="none" w:sz="0" w:space="0" w:color="auto"/>
            <w:left w:val="none" w:sz="0" w:space="0" w:color="auto"/>
            <w:bottom w:val="none" w:sz="0" w:space="0" w:color="auto"/>
            <w:right w:val="none" w:sz="0" w:space="0" w:color="auto"/>
          </w:divBdr>
          <w:divsChild>
            <w:div w:id="444160927">
              <w:marLeft w:val="0"/>
              <w:marRight w:val="0"/>
              <w:marTop w:val="0"/>
              <w:marBottom w:val="0"/>
              <w:divBdr>
                <w:top w:val="none" w:sz="0" w:space="0" w:color="auto"/>
                <w:left w:val="none" w:sz="0" w:space="0" w:color="auto"/>
                <w:bottom w:val="none" w:sz="0" w:space="0" w:color="auto"/>
                <w:right w:val="none" w:sz="0" w:space="0" w:color="auto"/>
              </w:divBdr>
              <w:divsChild>
                <w:div w:id="20518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30790">
      <w:bodyDiv w:val="1"/>
      <w:marLeft w:val="0"/>
      <w:marRight w:val="0"/>
      <w:marTop w:val="0"/>
      <w:marBottom w:val="0"/>
      <w:divBdr>
        <w:top w:val="none" w:sz="0" w:space="0" w:color="auto"/>
        <w:left w:val="none" w:sz="0" w:space="0" w:color="auto"/>
        <w:bottom w:val="none" w:sz="0" w:space="0" w:color="auto"/>
        <w:right w:val="none" w:sz="0" w:space="0" w:color="auto"/>
      </w:divBdr>
    </w:div>
    <w:div w:id="1375883382">
      <w:bodyDiv w:val="1"/>
      <w:marLeft w:val="0"/>
      <w:marRight w:val="0"/>
      <w:marTop w:val="0"/>
      <w:marBottom w:val="0"/>
      <w:divBdr>
        <w:top w:val="none" w:sz="0" w:space="0" w:color="auto"/>
        <w:left w:val="none" w:sz="0" w:space="0" w:color="auto"/>
        <w:bottom w:val="none" w:sz="0" w:space="0" w:color="auto"/>
        <w:right w:val="none" w:sz="0" w:space="0" w:color="auto"/>
      </w:divBdr>
    </w:div>
    <w:div w:id="1481457184">
      <w:bodyDiv w:val="1"/>
      <w:marLeft w:val="0"/>
      <w:marRight w:val="0"/>
      <w:marTop w:val="0"/>
      <w:marBottom w:val="0"/>
      <w:divBdr>
        <w:top w:val="none" w:sz="0" w:space="0" w:color="auto"/>
        <w:left w:val="none" w:sz="0" w:space="0" w:color="auto"/>
        <w:bottom w:val="none" w:sz="0" w:space="0" w:color="auto"/>
        <w:right w:val="none" w:sz="0" w:space="0" w:color="auto"/>
      </w:divBdr>
    </w:div>
    <w:div w:id="1486707341">
      <w:bodyDiv w:val="1"/>
      <w:marLeft w:val="0"/>
      <w:marRight w:val="0"/>
      <w:marTop w:val="0"/>
      <w:marBottom w:val="0"/>
      <w:divBdr>
        <w:top w:val="none" w:sz="0" w:space="0" w:color="auto"/>
        <w:left w:val="none" w:sz="0" w:space="0" w:color="auto"/>
        <w:bottom w:val="none" w:sz="0" w:space="0" w:color="auto"/>
        <w:right w:val="none" w:sz="0" w:space="0" w:color="auto"/>
      </w:divBdr>
      <w:divsChild>
        <w:div w:id="277177450">
          <w:marLeft w:val="0"/>
          <w:marRight w:val="0"/>
          <w:marTop w:val="0"/>
          <w:marBottom w:val="0"/>
          <w:divBdr>
            <w:top w:val="none" w:sz="0" w:space="0" w:color="auto"/>
            <w:left w:val="none" w:sz="0" w:space="0" w:color="auto"/>
            <w:bottom w:val="none" w:sz="0" w:space="0" w:color="auto"/>
            <w:right w:val="none" w:sz="0" w:space="0" w:color="auto"/>
          </w:divBdr>
          <w:divsChild>
            <w:div w:id="37970307">
              <w:marLeft w:val="0"/>
              <w:marRight w:val="0"/>
              <w:marTop w:val="0"/>
              <w:marBottom w:val="0"/>
              <w:divBdr>
                <w:top w:val="none" w:sz="0" w:space="0" w:color="auto"/>
                <w:left w:val="none" w:sz="0" w:space="0" w:color="auto"/>
                <w:bottom w:val="none" w:sz="0" w:space="0" w:color="auto"/>
                <w:right w:val="none" w:sz="0" w:space="0" w:color="auto"/>
              </w:divBdr>
              <w:divsChild>
                <w:div w:id="1223295099">
                  <w:marLeft w:val="0"/>
                  <w:marRight w:val="0"/>
                  <w:marTop w:val="0"/>
                  <w:marBottom w:val="0"/>
                  <w:divBdr>
                    <w:top w:val="none" w:sz="0" w:space="0" w:color="auto"/>
                    <w:left w:val="none" w:sz="0" w:space="0" w:color="auto"/>
                    <w:bottom w:val="none" w:sz="0" w:space="0" w:color="auto"/>
                    <w:right w:val="none" w:sz="0" w:space="0" w:color="auto"/>
                  </w:divBdr>
                  <w:divsChild>
                    <w:div w:id="11829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156303">
      <w:bodyDiv w:val="1"/>
      <w:marLeft w:val="0"/>
      <w:marRight w:val="0"/>
      <w:marTop w:val="0"/>
      <w:marBottom w:val="0"/>
      <w:divBdr>
        <w:top w:val="none" w:sz="0" w:space="0" w:color="auto"/>
        <w:left w:val="none" w:sz="0" w:space="0" w:color="auto"/>
        <w:bottom w:val="none" w:sz="0" w:space="0" w:color="auto"/>
        <w:right w:val="none" w:sz="0" w:space="0" w:color="auto"/>
      </w:divBdr>
    </w:div>
    <w:div w:id="1635719270">
      <w:bodyDiv w:val="1"/>
      <w:marLeft w:val="0"/>
      <w:marRight w:val="0"/>
      <w:marTop w:val="0"/>
      <w:marBottom w:val="0"/>
      <w:divBdr>
        <w:top w:val="none" w:sz="0" w:space="0" w:color="auto"/>
        <w:left w:val="none" w:sz="0" w:space="0" w:color="auto"/>
        <w:bottom w:val="none" w:sz="0" w:space="0" w:color="auto"/>
        <w:right w:val="none" w:sz="0" w:space="0" w:color="auto"/>
      </w:divBdr>
    </w:div>
    <w:div w:id="1684281040">
      <w:bodyDiv w:val="1"/>
      <w:marLeft w:val="0"/>
      <w:marRight w:val="0"/>
      <w:marTop w:val="0"/>
      <w:marBottom w:val="0"/>
      <w:divBdr>
        <w:top w:val="none" w:sz="0" w:space="0" w:color="auto"/>
        <w:left w:val="none" w:sz="0" w:space="0" w:color="auto"/>
        <w:bottom w:val="none" w:sz="0" w:space="0" w:color="auto"/>
        <w:right w:val="none" w:sz="0" w:space="0" w:color="auto"/>
      </w:divBdr>
    </w:div>
    <w:div w:id="1698769485">
      <w:bodyDiv w:val="1"/>
      <w:marLeft w:val="0"/>
      <w:marRight w:val="0"/>
      <w:marTop w:val="0"/>
      <w:marBottom w:val="0"/>
      <w:divBdr>
        <w:top w:val="none" w:sz="0" w:space="0" w:color="auto"/>
        <w:left w:val="none" w:sz="0" w:space="0" w:color="auto"/>
        <w:bottom w:val="none" w:sz="0" w:space="0" w:color="auto"/>
        <w:right w:val="none" w:sz="0" w:space="0" w:color="auto"/>
      </w:divBdr>
    </w:div>
    <w:div w:id="1770154424">
      <w:bodyDiv w:val="1"/>
      <w:marLeft w:val="0"/>
      <w:marRight w:val="0"/>
      <w:marTop w:val="0"/>
      <w:marBottom w:val="0"/>
      <w:divBdr>
        <w:top w:val="none" w:sz="0" w:space="0" w:color="auto"/>
        <w:left w:val="none" w:sz="0" w:space="0" w:color="auto"/>
        <w:bottom w:val="none" w:sz="0" w:space="0" w:color="auto"/>
        <w:right w:val="none" w:sz="0" w:space="0" w:color="auto"/>
      </w:divBdr>
    </w:div>
    <w:div w:id="1908418874">
      <w:bodyDiv w:val="1"/>
      <w:marLeft w:val="0"/>
      <w:marRight w:val="0"/>
      <w:marTop w:val="0"/>
      <w:marBottom w:val="0"/>
      <w:divBdr>
        <w:top w:val="none" w:sz="0" w:space="0" w:color="auto"/>
        <w:left w:val="none" w:sz="0" w:space="0" w:color="auto"/>
        <w:bottom w:val="none" w:sz="0" w:space="0" w:color="auto"/>
        <w:right w:val="none" w:sz="0" w:space="0" w:color="auto"/>
      </w:divBdr>
      <w:divsChild>
        <w:div w:id="793448235">
          <w:marLeft w:val="0"/>
          <w:marRight w:val="0"/>
          <w:marTop w:val="0"/>
          <w:marBottom w:val="0"/>
          <w:divBdr>
            <w:top w:val="none" w:sz="0" w:space="0" w:color="auto"/>
            <w:left w:val="none" w:sz="0" w:space="0" w:color="auto"/>
            <w:bottom w:val="none" w:sz="0" w:space="0" w:color="auto"/>
            <w:right w:val="none" w:sz="0" w:space="0" w:color="auto"/>
          </w:divBdr>
          <w:divsChild>
            <w:div w:id="1859854039">
              <w:marLeft w:val="0"/>
              <w:marRight w:val="0"/>
              <w:marTop w:val="0"/>
              <w:marBottom w:val="0"/>
              <w:divBdr>
                <w:top w:val="none" w:sz="0" w:space="0" w:color="auto"/>
                <w:left w:val="none" w:sz="0" w:space="0" w:color="auto"/>
                <w:bottom w:val="none" w:sz="0" w:space="0" w:color="auto"/>
                <w:right w:val="none" w:sz="0" w:space="0" w:color="auto"/>
              </w:divBdr>
              <w:divsChild>
                <w:div w:id="15611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xta2.colombiacompra.gov.co/sites/docs/_layouts/15/listform.aspx?PageType=6&amp;ListId=%7b41406f67-8aaf-444a-8f23-f6b9ad006b34%7d&amp;ID=9027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xta2.colombiacompra.gov.co/sites/docs/_layouts/15/listform.aspx?PageType=6&amp;ListId=%7b41406f67-8aaf-444a-8f23-f6b9ad006b34%7d&amp;ID=8615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36314B-0BDC-3244-81A2-BC65DF260D79}">
  <ds:schemaRefs>
    <ds:schemaRef ds:uri="http://schemas.openxmlformats.org/officeDocument/2006/bibliography"/>
  </ds:schemaRefs>
</ds:datastoreItem>
</file>

<file path=customXml/itemProps2.xml><?xml version="1.0" encoding="utf-8"?>
<ds:datastoreItem xmlns:ds="http://schemas.openxmlformats.org/officeDocument/2006/customXml" ds:itemID="{6B7B7A8C-373B-495F-A99B-2CA776236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ADC15F-B511-4C4B-91C6-DD4AD79C7453}">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A778D35C-EA8A-48B3-9921-12313FFE01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10728</Words>
  <Characters>59009</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Alejandra Materon Garcia</dc:creator>
  <cp:keywords/>
  <dc:description/>
  <cp:lastModifiedBy>Jorge Eliecer Moran Buitrón</cp:lastModifiedBy>
  <cp:revision>6</cp:revision>
  <dcterms:created xsi:type="dcterms:W3CDTF">2022-05-31T14:42:00Z</dcterms:created>
  <dcterms:modified xsi:type="dcterms:W3CDTF">2022-06-01T20:02:00Z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