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6072" w14:textId="3E0D5479" w:rsidR="00DE7D58" w:rsidRDefault="00904CD9" w:rsidP="00904CD9">
      <w:pPr>
        <w:spacing w:line="276" w:lineRule="auto"/>
        <w:jc w:val="right"/>
        <w:rPr>
          <w:rFonts w:ascii="Arial" w:eastAsia="Calibri" w:hAnsi="Arial" w:cs="Arial"/>
          <w:sz w:val="20"/>
          <w:szCs w:val="20"/>
          <w:lang w:val="es-CO"/>
        </w:rPr>
      </w:pPr>
      <w:bookmarkStart w:id="0" w:name="_Hlk29890381"/>
      <w:bookmarkEnd w:id="0"/>
      <w:r w:rsidRPr="00BB0056">
        <w:rPr>
          <w:rFonts w:ascii="Arial" w:eastAsia="Times New Roman" w:hAnsi="Arial" w:cs="Arial"/>
          <w:b/>
          <w:bCs/>
          <w:sz w:val="16"/>
          <w:szCs w:val="16"/>
          <w:lang w:val="es-CO" w:eastAsia="es-ES"/>
        </w:rPr>
        <w:t>CCE-DES-FM-17</w:t>
      </w:r>
    </w:p>
    <w:p w14:paraId="38FF1264" w14:textId="4C3E38E4" w:rsidR="00904CD9" w:rsidRDefault="00904CD9" w:rsidP="001E1694">
      <w:pPr>
        <w:spacing w:line="276" w:lineRule="auto"/>
        <w:rPr>
          <w:rFonts w:ascii="Arial" w:eastAsia="Calibri" w:hAnsi="Arial" w:cs="Arial"/>
          <w:sz w:val="20"/>
          <w:szCs w:val="20"/>
          <w:lang w:val="es-CO"/>
        </w:rPr>
      </w:pPr>
    </w:p>
    <w:p w14:paraId="0A196D88" w14:textId="053EC513" w:rsidR="0028382A" w:rsidRDefault="0028382A" w:rsidP="001C54B1">
      <w:pPr>
        <w:rPr>
          <w:rFonts w:ascii="Arial" w:eastAsia="Calibri" w:hAnsi="Arial" w:cs="Arial"/>
          <w:sz w:val="20"/>
          <w:szCs w:val="20"/>
          <w:lang w:val="es-CO"/>
        </w:rPr>
      </w:pPr>
    </w:p>
    <w:p w14:paraId="7C64A921" w14:textId="380C11AF" w:rsidR="00C339FE" w:rsidRPr="00E00F72" w:rsidRDefault="00C339FE" w:rsidP="001C54B1">
      <w:pPr>
        <w:jc w:val="both"/>
        <w:rPr>
          <w:rFonts w:ascii="Arial" w:eastAsia="Calibri" w:hAnsi="Arial" w:cs="Arial"/>
          <w:b/>
          <w:sz w:val="22"/>
          <w:lang w:val="es-CO"/>
        </w:rPr>
      </w:pPr>
      <w:r w:rsidRPr="00E00F72">
        <w:rPr>
          <w:rFonts w:ascii="Arial" w:eastAsia="Calibri" w:hAnsi="Arial" w:cs="Arial"/>
          <w:b/>
          <w:sz w:val="22"/>
          <w:lang w:val="es-CO"/>
        </w:rPr>
        <w:t>DOCUMENTOS TIPO – Fundamento normativo – generalidades</w:t>
      </w:r>
    </w:p>
    <w:p w14:paraId="2A4A99DB" w14:textId="77777777" w:rsidR="00C339FE" w:rsidRPr="00E00F72" w:rsidRDefault="00C339FE" w:rsidP="001C54B1">
      <w:pPr>
        <w:jc w:val="both"/>
        <w:rPr>
          <w:rFonts w:ascii="Arial" w:eastAsia="Calibri" w:hAnsi="Arial" w:cs="Arial"/>
          <w:b/>
          <w:sz w:val="22"/>
          <w:lang w:val="es-CO"/>
        </w:rPr>
      </w:pPr>
    </w:p>
    <w:p w14:paraId="0EA4AA7B" w14:textId="29F0E07F" w:rsidR="00C339FE" w:rsidRPr="00E00F72" w:rsidRDefault="00C339FE" w:rsidP="00C339FE">
      <w:pPr>
        <w:shd w:val="clear" w:color="auto" w:fill="FFFFFF"/>
        <w:jc w:val="both"/>
        <w:rPr>
          <w:rFonts w:ascii="Arial" w:hAnsi="Arial" w:cs="Arial"/>
          <w:color w:val="0D0D0D"/>
          <w:sz w:val="20"/>
          <w:szCs w:val="20"/>
          <w:bdr w:val="none" w:sz="0" w:space="0" w:color="auto" w:frame="1"/>
          <w:lang w:eastAsia="es-CO"/>
        </w:rPr>
      </w:pPr>
      <w:r w:rsidRPr="00E00F72">
        <w:rPr>
          <w:rFonts w:ascii="Arial" w:hAnsi="Arial" w:cs="Arial"/>
          <w:color w:val="0D0D0D"/>
          <w:sz w:val="20"/>
          <w:szCs w:val="20"/>
          <w:bdr w:val="none" w:sz="0" w:space="0" w:color="auto" w:frame="1"/>
          <w:lang w:eastAsia="es-CO"/>
        </w:rPr>
        <w:t>Los pliegos tipo surgen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p>
    <w:p w14:paraId="18E12402" w14:textId="77777777" w:rsidR="00C339FE" w:rsidRPr="00E00F72" w:rsidRDefault="00C339FE" w:rsidP="00C339FE">
      <w:pPr>
        <w:shd w:val="clear" w:color="auto" w:fill="FFFFFF"/>
        <w:jc w:val="both"/>
        <w:rPr>
          <w:rFonts w:ascii="Arial" w:hAnsi="Arial" w:cs="Arial"/>
          <w:color w:val="0D0D0D"/>
          <w:sz w:val="20"/>
          <w:szCs w:val="20"/>
          <w:bdr w:val="none" w:sz="0" w:space="0" w:color="auto" w:frame="1"/>
          <w:lang w:eastAsia="es-CO"/>
        </w:rPr>
      </w:pPr>
    </w:p>
    <w:p w14:paraId="51A69FF6" w14:textId="49EC6D42" w:rsidR="00C339FE" w:rsidRPr="00E00F72" w:rsidRDefault="00C339FE" w:rsidP="00C339FE">
      <w:pPr>
        <w:jc w:val="both"/>
        <w:rPr>
          <w:rFonts w:ascii="Arial" w:hAnsi="Arial" w:cs="Arial"/>
          <w:color w:val="0D0D0D"/>
          <w:sz w:val="20"/>
          <w:szCs w:val="20"/>
          <w:bdr w:val="none" w:sz="0" w:space="0" w:color="auto" w:frame="1"/>
          <w:lang w:eastAsia="es-CO"/>
        </w:rPr>
      </w:pPr>
      <w:r w:rsidRPr="00E00F72">
        <w:rPr>
          <w:rFonts w:ascii="Arial" w:hAnsi="Arial" w:cs="Arial"/>
          <w:color w:val="0D0D0D"/>
          <w:sz w:val="20"/>
          <w:szCs w:val="20"/>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 Sin embargo, en el texto aprobado, los pliegos tipo se limitaron a la adquisición o suministro de bienes de características técnicas uniformes.</w:t>
      </w:r>
    </w:p>
    <w:p w14:paraId="0E28637B" w14:textId="24DE08B6" w:rsidR="00C339FE" w:rsidRPr="00AB2174" w:rsidRDefault="00C339FE" w:rsidP="00C339FE">
      <w:pPr>
        <w:jc w:val="both"/>
        <w:rPr>
          <w:rFonts w:ascii="Arial" w:hAnsi="Arial" w:cs="Arial"/>
          <w:color w:val="0D0D0D"/>
          <w:sz w:val="20"/>
          <w:szCs w:val="20"/>
          <w:highlight w:val="yellow"/>
          <w:bdr w:val="none" w:sz="0" w:space="0" w:color="auto" w:frame="1"/>
          <w:lang w:eastAsia="es-CO"/>
        </w:rPr>
      </w:pPr>
    </w:p>
    <w:p w14:paraId="70686EB3" w14:textId="77777777" w:rsidR="008A6436" w:rsidRPr="00B97354" w:rsidRDefault="008A6436" w:rsidP="008A6436">
      <w:pPr>
        <w:jc w:val="both"/>
        <w:rPr>
          <w:rFonts w:ascii="Arial" w:eastAsia="Calibri" w:hAnsi="Arial" w:cs="Arial"/>
          <w:b/>
          <w:color w:val="000000" w:themeColor="text1"/>
          <w:sz w:val="22"/>
          <w:lang w:val="es-ES_tradnl"/>
        </w:rPr>
      </w:pPr>
      <w:r w:rsidRPr="00B97354">
        <w:rPr>
          <w:rFonts w:ascii="Arial" w:eastAsia="Calibri" w:hAnsi="Arial" w:cs="Arial"/>
          <w:b/>
          <w:color w:val="000000" w:themeColor="text1"/>
          <w:sz w:val="22"/>
          <w:lang w:val="es-ES_tradnl"/>
        </w:rPr>
        <w:t>INALTERABILIDAD – Documentos tipo – Regla vigente – Alcance</w:t>
      </w:r>
    </w:p>
    <w:p w14:paraId="722B38D0" w14:textId="02B127D0" w:rsidR="00C65F11" w:rsidRPr="00AB2174" w:rsidRDefault="00C65F11" w:rsidP="00C339FE">
      <w:pPr>
        <w:jc w:val="both"/>
        <w:rPr>
          <w:rFonts w:ascii="Arial" w:hAnsi="Arial" w:cs="Arial"/>
          <w:color w:val="0D0D0D"/>
          <w:sz w:val="20"/>
          <w:szCs w:val="20"/>
          <w:highlight w:val="yellow"/>
          <w:bdr w:val="none" w:sz="0" w:space="0" w:color="auto" w:frame="1"/>
          <w:lang w:eastAsia="es-CO"/>
        </w:rPr>
      </w:pPr>
    </w:p>
    <w:p w14:paraId="64724279" w14:textId="77777777" w:rsidR="00E00F72" w:rsidRPr="00B97354" w:rsidRDefault="00E00F72" w:rsidP="00E00F72">
      <w:pPr>
        <w:jc w:val="both"/>
        <w:rPr>
          <w:rFonts w:ascii="Arial" w:eastAsia="Calibri" w:hAnsi="Arial" w:cs="Arial"/>
          <w:bCs/>
          <w:color w:val="000000" w:themeColor="text1"/>
          <w:sz w:val="20"/>
          <w:szCs w:val="20"/>
          <w:lang w:val="es-ES_tradnl"/>
        </w:rPr>
      </w:pPr>
      <w:r w:rsidRPr="00B97354">
        <w:rPr>
          <w:rFonts w:ascii="Arial" w:eastAsia="Calibri" w:hAnsi="Arial" w:cs="Arial"/>
          <w:bCs/>
          <w:color w:val="000000" w:themeColor="text1"/>
          <w:sz w:val="20"/>
          <w:szCs w:val="20"/>
          <w:lang w:val="es-ES_tradnl"/>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6091C6D" w14:textId="77777777" w:rsidR="003567B6" w:rsidRPr="00AB2174" w:rsidRDefault="003567B6" w:rsidP="003567B6">
      <w:pPr>
        <w:rPr>
          <w:rFonts w:ascii="Arial" w:eastAsia="Calibri" w:hAnsi="Arial" w:cs="Arial"/>
          <w:sz w:val="20"/>
          <w:szCs w:val="20"/>
          <w:highlight w:val="yellow"/>
          <w:lang w:val="es-CO"/>
        </w:rPr>
      </w:pPr>
    </w:p>
    <w:p w14:paraId="08BE3A59" w14:textId="43477881" w:rsidR="00DC1285" w:rsidRPr="00422D4F" w:rsidRDefault="00DC1285" w:rsidP="00DC1285">
      <w:pPr>
        <w:spacing w:line="276" w:lineRule="auto"/>
        <w:rPr>
          <w:rFonts w:ascii="Arial" w:eastAsia="Calibri" w:hAnsi="Arial" w:cs="Arial"/>
          <w:b/>
          <w:sz w:val="22"/>
          <w:lang w:val="es-ES"/>
        </w:rPr>
      </w:pPr>
      <w:r w:rsidRPr="00422D4F">
        <w:rPr>
          <w:rFonts w:ascii="Arial" w:eastAsia="Calibri" w:hAnsi="Arial" w:cs="Arial"/>
          <w:b/>
          <w:sz w:val="22"/>
          <w:lang w:val="es-ES"/>
        </w:rPr>
        <w:t xml:space="preserve">DOCUMENTOS TIPO – </w:t>
      </w:r>
      <w:r w:rsidR="00E962AE" w:rsidRPr="00422D4F">
        <w:rPr>
          <w:rFonts w:ascii="Arial" w:eastAsia="Calibri" w:hAnsi="Arial" w:cs="Arial"/>
          <w:b/>
          <w:sz w:val="22"/>
          <w:lang w:val="es-ES"/>
        </w:rPr>
        <w:t xml:space="preserve">Infraestructura de Transporte – </w:t>
      </w:r>
      <w:proofErr w:type="gramStart"/>
      <w:r w:rsidRPr="00422D4F">
        <w:rPr>
          <w:rFonts w:ascii="Arial" w:eastAsia="Calibri" w:hAnsi="Arial" w:cs="Arial"/>
          <w:b/>
          <w:sz w:val="22"/>
          <w:lang w:val="es-ES"/>
        </w:rPr>
        <w:t>Numeral</w:t>
      </w:r>
      <w:r w:rsidR="00E962AE" w:rsidRPr="00422D4F">
        <w:rPr>
          <w:rFonts w:ascii="Arial" w:eastAsia="Calibri" w:hAnsi="Arial" w:cs="Arial"/>
          <w:b/>
          <w:sz w:val="22"/>
          <w:lang w:val="es-ES"/>
        </w:rPr>
        <w:t xml:space="preserve"> </w:t>
      </w:r>
      <w:r w:rsidRPr="00422D4F">
        <w:rPr>
          <w:rFonts w:ascii="Arial" w:eastAsia="Calibri" w:hAnsi="Arial" w:cs="Arial"/>
          <w:b/>
          <w:sz w:val="22"/>
          <w:lang w:val="es-ES"/>
        </w:rPr>
        <w:t xml:space="preserve"> </w:t>
      </w:r>
      <w:r w:rsidR="00E962AE" w:rsidRPr="00422D4F">
        <w:rPr>
          <w:rFonts w:ascii="Arial" w:eastAsia="Calibri" w:hAnsi="Arial" w:cs="Arial"/>
          <w:b/>
          <w:sz w:val="22"/>
          <w:lang w:val="es-ES"/>
        </w:rPr>
        <w:t>3.5.6.</w:t>
      </w:r>
      <w:proofErr w:type="gramEnd"/>
      <w:r w:rsidRPr="00422D4F">
        <w:rPr>
          <w:rFonts w:ascii="Arial" w:eastAsia="Calibri" w:hAnsi="Arial" w:cs="Arial"/>
          <w:b/>
          <w:sz w:val="22"/>
          <w:lang w:val="es-ES"/>
        </w:rPr>
        <w:t xml:space="preserve"> –</w:t>
      </w:r>
      <w:r w:rsidR="00E962AE" w:rsidRPr="00422D4F">
        <w:rPr>
          <w:rFonts w:ascii="Arial" w:eastAsia="Calibri" w:hAnsi="Arial" w:cs="Arial"/>
          <w:b/>
          <w:sz w:val="22"/>
          <w:lang w:val="es-ES"/>
        </w:rPr>
        <w:t xml:space="preserve"> Literal E</w:t>
      </w:r>
    </w:p>
    <w:p w14:paraId="41547DC7" w14:textId="77777777" w:rsidR="00DC4CDC" w:rsidRPr="00DC4CDC" w:rsidRDefault="00DC1285" w:rsidP="00DC4CDC">
      <w:pPr>
        <w:pStyle w:val="InviasNormal"/>
        <w:outlineLvl w:val="2"/>
        <w:rPr>
          <w:rFonts w:ascii="Arial" w:eastAsia="Calibri" w:hAnsi="Arial" w:cs="Arial"/>
          <w:color w:val="auto"/>
          <w:sz w:val="20"/>
          <w:szCs w:val="20"/>
          <w:lang w:val="es-ES_tradnl"/>
        </w:rPr>
      </w:pPr>
      <w:r w:rsidRPr="00DC4CDC">
        <w:rPr>
          <w:rFonts w:ascii="Arial" w:eastAsia="Calibri" w:hAnsi="Arial" w:cs="Arial"/>
          <w:color w:val="auto"/>
          <w:sz w:val="20"/>
          <w:szCs w:val="20"/>
          <w:lang w:val="es-CO"/>
        </w:rPr>
        <w:t>[…]</w:t>
      </w:r>
      <w:r w:rsidR="00422D4F" w:rsidRPr="00DC4CDC">
        <w:rPr>
          <w:rFonts w:ascii="Arial" w:eastAsia="Calibri" w:hAnsi="Arial" w:cs="Arial"/>
          <w:color w:val="auto"/>
          <w:sz w:val="20"/>
          <w:szCs w:val="20"/>
          <w:lang w:val="es-CO"/>
        </w:rPr>
        <w:t xml:space="preserve"> </w:t>
      </w:r>
      <w:r w:rsidR="00DC4CDC" w:rsidRPr="00DC4CDC">
        <w:rPr>
          <w:rFonts w:ascii="Arial" w:eastAsia="Calibri" w:hAnsi="Arial" w:cs="Arial"/>
          <w:color w:val="auto"/>
          <w:sz w:val="20"/>
          <w:szCs w:val="20"/>
          <w:lang w:val="es-CO"/>
        </w:rPr>
        <w:t xml:space="preserve">el literal E precitado es claro al establecer, para el caso de los contratos que hayan sido objeto de cesión </w:t>
      </w:r>
      <w:r w:rsidR="00DC4CDC" w:rsidRPr="00DC4CDC">
        <w:rPr>
          <w:rFonts w:ascii="Arial" w:eastAsia="Calibri" w:hAnsi="Arial" w:cs="Arial"/>
          <w:i/>
          <w:iCs/>
          <w:color w:val="auto"/>
          <w:sz w:val="20"/>
          <w:szCs w:val="20"/>
          <w:lang w:val="es-CO"/>
        </w:rPr>
        <w:t>dos</w:t>
      </w:r>
      <w:r w:rsidR="00DC4CDC" w:rsidRPr="00DC4CDC">
        <w:rPr>
          <w:rFonts w:ascii="Arial" w:eastAsia="Calibri" w:hAnsi="Arial" w:cs="Arial"/>
          <w:color w:val="auto"/>
          <w:sz w:val="20"/>
          <w:szCs w:val="20"/>
          <w:lang w:val="es-CO"/>
        </w:rPr>
        <w:t xml:space="preserve"> (2) reglas. La primera establece que el contrato objeto de cesión debe encontrarse debidamente inscrito y clasificado en el RUP o en alguno de los documentos considerados válidos para la acreditación de la experiencia de la empresa cesionaria. La segunda regla determina que </w:t>
      </w:r>
      <w:r w:rsidR="00DC4CDC" w:rsidRPr="00DC4CDC">
        <w:rPr>
          <w:rFonts w:ascii="Arial" w:eastAsia="Calibri" w:hAnsi="Arial" w:cs="Arial"/>
          <w:color w:val="auto"/>
          <w:sz w:val="20"/>
          <w:szCs w:val="20"/>
          <w:lang w:val="es-ES_tradnl"/>
        </w:rPr>
        <w:t>«</w:t>
      </w:r>
      <w:r w:rsidR="00DC4CDC" w:rsidRPr="00DC4CDC">
        <w:rPr>
          <w:rFonts w:ascii="Arial" w:eastAsia="Calibri" w:hAnsi="Arial" w:cs="Arial"/>
          <w:color w:val="auto"/>
          <w:sz w:val="20"/>
          <w:szCs w:val="20"/>
          <w:lang w:val="es-CO"/>
        </w:rPr>
        <w:t>la experiencia se admitirá para el cesionario y no se reconocerá experiencia alguna al cedente</w:t>
      </w:r>
      <w:r w:rsidR="00DC4CDC" w:rsidRPr="00DC4CDC">
        <w:rPr>
          <w:rFonts w:ascii="Arial" w:eastAsia="Calibri" w:hAnsi="Arial" w:cs="Arial"/>
          <w:color w:val="auto"/>
          <w:sz w:val="20"/>
          <w:szCs w:val="20"/>
          <w:lang w:val="es-ES_tradnl"/>
        </w:rPr>
        <w:t>», en este sentido, debe precisarse que el criterio contenido en el literal E del numeral 3.5.6. del Documento Base de licitación de obra pública de infraestructura de transporte – versión 3, no plantea la condición para que al cedente se le reconozca experiencia, ni determina un porcentaje de ejecución o participación de la unión temporal para tener en cuenta la experiencia del cedente. Por lo anterior, teniendo en cuenta el principio de inalterabilidad que rige en los documentos y bajo la pauta hermenéutica «</w:t>
      </w:r>
      <w:proofErr w:type="spellStart"/>
      <w:r w:rsidR="00DC4CDC" w:rsidRPr="00DC4CDC">
        <w:rPr>
          <w:rFonts w:ascii="Arial" w:eastAsia="Calibri" w:hAnsi="Arial" w:cs="Arial"/>
          <w:i/>
          <w:iCs/>
          <w:color w:val="auto"/>
          <w:sz w:val="20"/>
          <w:szCs w:val="20"/>
          <w:lang w:val="es-ES_tradnl"/>
        </w:rPr>
        <w:t>Ubi</w:t>
      </w:r>
      <w:proofErr w:type="spellEnd"/>
      <w:r w:rsidR="00DC4CDC" w:rsidRPr="00DC4CDC">
        <w:rPr>
          <w:rFonts w:ascii="Arial" w:eastAsia="Calibri" w:hAnsi="Arial" w:cs="Arial"/>
          <w:i/>
          <w:iCs/>
          <w:color w:val="auto"/>
          <w:sz w:val="20"/>
          <w:szCs w:val="20"/>
          <w:lang w:val="es-ES_tradnl"/>
        </w:rPr>
        <w:t xml:space="preserve"> lex non </w:t>
      </w:r>
      <w:proofErr w:type="spellStart"/>
      <w:r w:rsidR="00DC4CDC" w:rsidRPr="00DC4CDC">
        <w:rPr>
          <w:rFonts w:ascii="Arial" w:eastAsia="Calibri" w:hAnsi="Arial" w:cs="Arial"/>
          <w:i/>
          <w:iCs/>
          <w:color w:val="auto"/>
          <w:sz w:val="20"/>
          <w:szCs w:val="20"/>
          <w:lang w:val="es-ES_tradnl"/>
        </w:rPr>
        <w:t>distinguit</w:t>
      </w:r>
      <w:proofErr w:type="spellEnd"/>
      <w:r w:rsidR="00DC4CDC" w:rsidRPr="00DC4CDC">
        <w:rPr>
          <w:rFonts w:ascii="Arial" w:eastAsia="Calibri" w:hAnsi="Arial" w:cs="Arial"/>
          <w:i/>
          <w:iCs/>
          <w:color w:val="auto"/>
          <w:sz w:val="20"/>
          <w:szCs w:val="20"/>
          <w:lang w:val="es-ES_tradnl"/>
        </w:rPr>
        <w:t xml:space="preserve">, </w:t>
      </w:r>
      <w:proofErr w:type="spellStart"/>
      <w:r w:rsidR="00DC4CDC" w:rsidRPr="00DC4CDC">
        <w:rPr>
          <w:rFonts w:ascii="Arial" w:eastAsia="Calibri" w:hAnsi="Arial" w:cs="Arial"/>
          <w:i/>
          <w:iCs/>
          <w:color w:val="auto"/>
          <w:sz w:val="20"/>
          <w:szCs w:val="20"/>
          <w:lang w:val="es-ES_tradnl"/>
        </w:rPr>
        <w:t>nec</w:t>
      </w:r>
      <w:proofErr w:type="spellEnd"/>
      <w:r w:rsidR="00DC4CDC" w:rsidRPr="00DC4CDC">
        <w:rPr>
          <w:rFonts w:ascii="Arial" w:eastAsia="Calibri" w:hAnsi="Arial" w:cs="Arial"/>
          <w:i/>
          <w:iCs/>
          <w:color w:val="auto"/>
          <w:sz w:val="20"/>
          <w:szCs w:val="20"/>
          <w:lang w:val="es-ES_tradnl"/>
        </w:rPr>
        <w:t xml:space="preserve"> nos </w:t>
      </w:r>
      <w:proofErr w:type="spellStart"/>
      <w:r w:rsidR="00DC4CDC" w:rsidRPr="00DC4CDC">
        <w:rPr>
          <w:rFonts w:ascii="Arial" w:eastAsia="Calibri" w:hAnsi="Arial" w:cs="Arial"/>
          <w:i/>
          <w:iCs/>
          <w:color w:val="auto"/>
          <w:sz w:val="20"/>
          <w:szCs w:val="20"/>
          <w:lang w:val="es-ES_tradnl"/>
        </w:rPr>
        <w:t>distinguere</w:t>
      </w:r>
      <w:proofErr w:type="spellEnd"/>
      <w:r w:rsidR="00DC4CDC" w:rsidRPr="00DC4CDC">
        <w:rPr>
          <w:rFonts w:ascii="Arial" w:eastAsia="Calibri" w:hAnsi="Arial" w:cs="Arial"/>
          <w:i/>
          <w:iCs/>
          <w:color w:val="auto"/>
          <w:sz w:val="20"/>
          <w:szCs w:val="20"/>
          <w:lang w:val="es-ES_tradnl"/>
        </w:rPr>
        <w:t xml:space="preserve"> </w:t>
      </w:r>
      <w:proofErr w:type="spellStart"/>
      <w:r w:rsidR="00DC4CDC" w:rsidRPr="00DC4CDC">
        <w:rPr>
          <w:rFonts w:ascii="Arial" w:eastAsia="Calibri" w:hAnsi="Arial" w:cs="Arial"/>
          <w:i/>
          <w:iCs/>
          <w:color w:val="auto"/>
          <w:sz w:val="20"/>
          <w:szCs w:val="20"/>
          <w:lang w:val="es-ES_tradnl"/>
        </w:rPr>
        <w:t>debemus</w:t>
      </w:r>
      <w:proofErr w:type="spellEnd"/>
      <w:r w:rsidR="00DC4CDC" w:rsidRPr="00DC4CDC">
        <w:rPr>
          <w:rFonts w:ascii="Arial" w:eastAsia="Calibri" w:hAnsi="Arial" w:cs="Arial"/>
          <w:color w:val="auto"/>
          <w:sz w:val="20"/>
          <w:szCs w:val="20"/>
          <w:lang w:val="es-ES_tradnl"/>
        </w:rPr>
        <w:t xml:space="preserve">» no se le puede dar una interpretación diferente al referido literal. </w:t>
      </w:r>
    </w:p>
    <w:p w14:paraId="616A1162" w14:textId="77777777" w:rsidR="00DC4CDC" w:rsidRPr="00DC4CDC" w:rsidRDefault="00DC4CDC" w:rsidP="00DC4CDC">
      <w:pPr>
        <w:pStyle w:val="InviasNormal"/>
        <w:spacing w:after="120"/>
        <w:outlineLvl w:val="2"/>
        <w:rPr>
          <w:rFonts w:ascii="Arial" w:eastAsia="Calibri" w:hAnsi="Arial" w:cs="Arial"/>
          <w:sz w:val="20"/>
          <w:szCs w:val="20"/>
          <w:lang w:val="es-CO"/>
        </w:rPr>
      </w:pPr>
      <w:r w:rsidRPr="00DC4CDC">
        <w:rPr>
          <w:rFonts w:ascii="Arial" w:eastAsia="Calibri" w:hAnsi="Arial" w:cs="Arial"/>
          <w:sz w:val="20"/>
          <w:szCs w:val="20"/>
          <w:lang w:val="es-CO"/>
        </w:rPr>
        <w:t xml:space="preserve">Adicionalmente, es menester resaltar que, la finalidad de esta regla es evitar que con el contrato objeto de cesión tanto el cesionario como el cedente, acrediten doblemente la experiencia en el marco de los procesos de contratación. Finalmente, se concluye que lo dispuesto en el literal E del numeral 3.5.6. del documento base, hace parte del contenido inalterable de los documentos tipo, razón por la cual, no se le puede dar una interpretación diferente. Esto, debido a que no se estipuló su modificación o adecuación frente a casos particulares como el descrito en la petición de consulta, por lo que deberá respetarse la regla de acuerdo con su contenido original </w:t>
      </w:r>
      <w:r w:rsidRPr="00DC4CDC">
        <w:rPr>
          <w:rFonts w:ascii="Arial" w:eastAsia="Calibri" w:hAnsi="Arial" w:cs="Arial"/>
          <w:sz w:val="20"/>
          <w:szCs w:val="20"/>
          <w:lang w:val="es-MX"/>
        </w:rPr>
        <w:t xml:space="preserve">y deberá interpretarse de forma literal. </w:t>
      </w:r>
    </w:p>
    <w:p w14:paraId="5542D103" w14:textId="3D29D17D" w:rsidR="00897B60" w:rsidRPr="00897B60" w:rsidRDefault="00897B60" w:rsidP="00DC4CDC">
      <w:pPr>
        <w:pStyle w:val="InviasNormal"/>
        <w:spacing w:after="120"/>
        <w:outlineLvl w:val="2"/>
        <w:rPr>
          <w:rFonts w:ascii="Arial" w:eastAsia="Calibri" w:hAnsi="Arial" w:cs="Arial"/>
          <w:sz w:val="20"/>
          <w:szCs w:val="20"/>
          <w:lang w:val="es-CO"/>
        </w:rPr>
      </w:pPr>
    </w:p>
    <w:p w14:paraId="09F84358" w14:textId="4DFEF114" w:rsidR="008C1555" w:rsidRPr="008C1555" w:rsidRDefault="008C1555" w:rsidP="00422D4F">
      <w:pPr>
        <w:pStyle w:val="InviasNormal"/>
        <w:spacing w:after="120"/>
        <w:outlineLvl w:val="2"/>
        <w:rPr>
          <w:rFonts w:ascii="Arial" w:eastAsia="Calibri" w:hAnsi="Arial" w:cs="Arial"/>
          <w:sz w:val="20"/>
          <w:szCs w:val="20"/>
        </w:rPr>
      </w:pPr>
    </w:p>
    <w:p w14:paraId="2688B5C3" w14:textId="07311052" w:rsidR="005379F9" w:rsidRDefault="005379F9" w:rsidP="005379F9">
      <w:pPr>
        <w:spacing w:before="120" w:after="120" w:line="276" w:lineRule="auto"/>
        <w:jc w:val="both"/>
        <w:rPr>
          <w:rFonts w:ascii="Arial" w:eastAsia="Calibri" w:hAnsi="Arial" w:cs="Arial"/>
          <w:sz w:val="22"/>
        </w:rPr>
      </w:pPr>
    </w:p>
    <w:p w14:paraId="004BE001" w14:textId="608F8257" w:rsidR="005379F9" w:rsidRDefault="005379F9" w:rsidP="005379F9">
      <w:pPr>
        <w:spacing w:before="120" w:after="120" w:line="276" w:lineRule="auto"/>
        <w:jc w:val="both"/>
        <w:rPr>
          <w:rFonts w:ascii="Arial" w:eastAsia="Calibri" w:hAnsi="Arial" w:cs="Arial"/>
          <w:sz w:val="22"/>
        </w:rPr>
      </w:pPr>
    </w:p>
    <w:p w14:paraId="7C88320C" w14:textId="0B2A10DC" w:rsidR="005379F9" w:rsidRDefault="005379F9" w:rsidP="005379F9">
      <w:pPr>
        <w:spacing w:before="120" w:after="120" w:line="276" w:lineRule="auto"/>
        <w:jc w:val="both"/>
        <w:rPr>
          <w:rFonts w:ascii="Arial" w:eastAsia="Calibri" w:hAnsi="Arial" w:cs="Arial"/>
          <w:sz w:val="22"/>
        </w:rPr>
      </w:pPr>
    </w:p>
    <w:p w14:paraId="67D5813D" w14:textId="79FDF5AE" w:rsidR="005379F9" w:rsidRDefault="005379F9" w:rsidP="005379F9">
      <w:pPr>
        <w:spacing w:before="120" w:after="120" w:line="276" w:lineRule="auto"/>
        <w:jc w:val="both"/>
        <w:rPr>
          <w:rFonts w:ascii="Arial" w:eastAsia="Calibri" w:hAnsi="Arial" w:cs="Arial"/>
          <w:sz w:val="22"/>
        </w:rPr>
      </w:pPr>
    </w:p>
    <w:p w14:paraId="1EC7038F" w14:textId="5657FDD0" w:rsidR="005379F9" w:rsidRDefault="005379F9" w:rsidP="005379F9">
      <w:pPr>
        <w:spacing w:before="120" w:after="120" w:line="276" w:lineRule="auto"/>
        <w:jc w:val="both"/>
        <w:rPr>
          <w:rFonts w:ascii="Arial" w:eastAsia="Calibri" w:hAnsi="Arial" w:cs="Arial"/>
          <w:sz w:val="22"/>
        </w:rPr>
      </w:pPr>
    </w:p>
    <w:p w14:paraId="6866F327" w14:textId="7BC1F4B2" w:rsidR="005379F9" w:rsidRPr="00757862" w:rsidRDefault="005379F9" w:rsidP="00757862">
      <w:pPr>
        <w:widowControl w:val="0"/>
        <w:autoSpaceDE w:val="0"/>
        <w:autoSpaceDN w:val="0"/>
        <w:spacing w:before="10"/>
        <w:rPr>
          <w:rFonts w:ascii="Times New Roman" w:eastAsia="Arial MT" w:hAnsi="Arial MT" w:cs="Arial MT"/>
          <w:sz w:val="21"/>
          <w:lang w:val="es-ES"/>
        </w:rPr>
      </w:pPr>
    </w:p>
    <w:p w14:paraId="2E583F56" w14:textId="77777777"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0F86D29F" w14:textId="77777777"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5AD20A9F" w14:textId="4560CFEF"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211D29EB" w14:textId="747BB881" w:rsidR="008C1555" w:rsidRDefault="008C1555" w:rsidP="0058545D">
      <w:pPr>
        <w:widowControl w:val="0"/>
        <w:autoSpaceDE w:val="0"/>
        <w:autoSpaceDN w:val="0"/>
        <w:spacing w:before="94"/>
        <w:ind w:right="533"/>
        <w:rPr>
          <w:rFonts w:ascii="Arial" w:eastAsia="Arial MT" w:hAnsi="Arial MT" w:cs="Arial MT"/>
          <w:b/>
          <w:color w:val="585858"/>
          <w:sz w:val="18"/>
          <w:lang w:val="es-ES"/>
        </w:rPr>
      </w:pPr>
    </w:p>
    <w:p w14:paraId="51AF4B5F" w14:textId="6B56D62F" w:rsidR="00C175DA" w:rsidRPr="00C175DA" w:rsidRDefault="00C175DA" w:rsidP="00C175DA">
      <w:pPr>
        <w:widowControl w:val="0"/>
        <w:autoSpaceDE w:val="0"/>
        <w:autoSpaceDN w:val="0"/>
        <w:ind w:left="4825"/>
        <w:rPr>
          <w:rFonts w:ascii="Times New Roman" w:eastAsia="Arial MT" w:hAnsi="Arial MT" w:cs="Arial MT"/>
          <w:sz w:val="20"/>
          <w:lang w:val="es-ES"/>
        </w:rPr>
      </w:pPr>
    </w:p>
    <w:p w14:paraId="4CEB4C36" w14:textId="33CCDD3B" w:rsidR="00C175DA" w:rsidRDefault="00C175DA" w:rsidP="00C175DA">
      <w:pPr>
        <w:widowControl w:val="0"/>
        <w:autoSpaceDE w:val="0"/>
        <w:autoSpaceDN w:val="0"/>
        <w:rPr>
          <w:rFonts w:ascii="Times New Roman" w:eastAsia="Arial MT" w:hAnsi="Arial MT" w:cs="Arial MT"/>
          <w:sz w:val="20"/>
          <w:lang w:val="es-ES"/>
        </w:rPr>
      </w:pPr>
    </w:p>
    <w:p w14:paraId="554FFC72" w14:textId="78947D59" w:rsidR="003D4E2F" w:rsidRDefault="003D4E2F" w:rsidP="00C175DA">
      <w:pPr>
        <w:widowControl w:val="0"/>
        <w:autoSpaceDE w:val="0"/>
        <w:autoSpaceDN w:val="0"/>
        <w:rPr>
          <w:rFonts w:ascii="Times New Roman" w:eastAsia="Arial MT" w:hAnsi="Arial MT" w:cs="Arial MT"/>
          <w:sz w:val="20"/>
          <w:lang w:val="es-ES"/>
        </w:rPr>
      </w:pPr>
    </w:p>
    <w:p w14:paraId="7399BAA9" w14:textId="6B9AE4FF" w:rsidR="003D4E2F" w:rsidRDefault="003D4E2F" w:rsidP="00C175DA">
      <w:pPr>
        <w:widowControl w:val="0"/>
        <w:autoSpaceDE w:val="0"/>
        <w:autoSpaceDN w:val="0"/>
        <w:rPr>
          <w:rFonts w:ascii="Times New Roman" w:eastAsia="Arial MT" w:hAnsi="Arial MT" w:cs="Arial MT"/>
          <w:sz w:val="20"/>
          <w:lang w:val="es-ES"/>
        </w:rPr>
      </w:pPr>
    </w:p>
    <w:p w14:paraId="304FF15D" w14:textId="05EB57D4" w:rsidR="003D4E2F" w:rsidRDefault="003D4E2F" w:rsidP="00C175DA">
      <w:pPr>
        <w:widowControl w:val="0"/>
        <w:autoSpaceDE w:val="0"/>
        <w:autoSpaceDN w:val="0"/>
        <w:rPr>
          <w:rFonts w:ascii="Times New Roman" w:eastAsia="Arial MT" w:hAnsi="Arial MT" w:cs="Arial MT"/>
          <w:sz w:val="20"/>
          <w:lang w:val="es-ES"/>
        </w:rPr>
      </w:pPr>
    </w:p>
    <w:p w14:paraId="309507BB" w14:textId="60564EBF" w:rsidR="003D4E2F" w:rsidRDefault="003D4E2F" w:rsidP="00C175DA">
      <w:pPr>
        <w:widowControl w:val="0"/>
        <w:autoSpaceDE w:val="0"/>
        <w:autoSpaceDN w:val="0"/>
        <w:rPr>
          <w:rFonts w:ascii="Times New Roman" w:eastAsia="Arial MT" w:hAnsi="Arial MT" w:cs="Arial MT"/>
          <w:sz w:val="20"/>
          <w:lang w:val="es-ES"/>
        </w:rPr>
      </w:pPr>
    </w:p>
    <w:p w14:paraId="6A17EFF8" w14:textId="335DDD3A" w:rsidR="003D4E2F" w:rsidRDefault="003D4E2F" w:rsidP="00C175DA">
      <w:pPr>
        <w:widowControl w:val="0"/>
        <w:autoSpaceDE w:val="0"/>
        <w:autoSpaceDN w:val="0"/>
        <w:rPr>
          <w:rFonts w:ascii="Times New Roman" w:eastAsia="Arial MT" w:hAnsi="Arial MT" w:cs="Arial MT"/>
          <w:sz w:val="20"/>
          <w:lang w:val="es-ES"/>
        </w:rPr>
      </w:pPr>
    </w:p>
    <w:p w14:paraId="32FCD5A2" w14:textId="289C8058" w:rsidR="003D4E2F" w:rsidRDefault="003D4E2F" w:rsidP="00C175DA">
      <w:pPr>
        <w:widowControl w:val="0"/>
        <w:autoSpaceDE w:val="0"/>
        <w:autoSpaceDN w:val="0"/>
        <w:rPr>
          <w:rFonts w:ascii="Times New Roman" w:eastAsia="Arial MT" w:hAnsi="Arial MT" w:cs="Arial MT"/>
          <w:sz w:val="20"/>
          <w:lang w:val="es-ES"/>
        </w:rPr>
      </w:pPr>
    </w:p>
    <w:p w14:paraId="16F4774E" w14:textId="11FAFFC1" w:rsidR="003D4E2F" w:rsidRDefault="003D4E2F" w:rsidP="00C175DA">
      <w:pPr>
        <w:widowControl w:val="0"/>
        <w:autoSpaceDE w:val="0"/>
        <w:autoSpaceDN w:val="0"/>
        <w:rPr>
          <w:rFonts w:ascii="Times New Roman" w:eastAsia="Arial MT" w:hAnsi="Arial MT" w:cs="Arial MT"/>
          <w:sz w:val="20"/>
          <w:lang w:val="es-ES"/>
        </w:rPr>
      </w:pPr>
    </w:p>
    <w:p w14:paraId="6532474F" w14:textId="77777777" w:rsidR="0098659A" w:rsidRDefault="0098659A" w:rsidP="00C175DA">
      <w:pPr>
        <w:widowControl w:val="0"/>
        <w:autoSpaceDE w:val="0"/>
        <w:autoSpaceDN w:val="0"/>
        <w:rPr>
          <w:rFonts w:ascii="Times New Roman" w:eastAsia="Arial MT" w:hAnsi="Arial MT" w:cs="Arial MT"/>
          <w:sz w:val="20"/>
          <w:lang w:val="es-ES"/>
        </w:rPr>
      </w:pPr>
    </w:p>
    <w:p w14:paraId="652BB857" w14:textId="77777777" w:rsidR="003D504E" w:rsidRPr="00C175DA" w:rsidRDefault="003D504E" w:rsidP="00C175DA">
      <w:pPr>
        <w:widowControl w:val="0"/>
        <w:autoSpaceDE w:val="0"/>
        <w:autoSpaceDN w:val="0"/>
        <w:rPr>
          <w:rFonts w:ascii="Times New Roman" w:eastAsia="Arial MT" w:hAnsi="Arial MT" w:cs="Arial MT"/>
          <w:sz w:val="20"/>
          <w:lang w:val="es-ES"/>
        </w:rPr>
      </w:pPr>
    </w:p>
    <w:p w14:paraId="5B358BE0" w14:textId="601D3C95" w:rsidR="00C175DA" w:rsidRDefault="00C175DA" w:rsidP="00C175DA">
      <w:pPr>
        <w:widowControl w:val="0"/>
        <w:autoSpaceDE w:val="0"/>
        <w:autoSpaceDN w:val="0"/>
        <w:rPr>
          <w:rFonts w:ascii="Times New Roman" w:eastAsia="Arial MT" w:hAnsi="Arial MT" w:cs="Arial MT"/>
          <w:sz w:val="20"/>
          <w:lang w:val="es-ES"/>
        </w:rPr>
      </w:pPr>
    </w:p>
    <w:p w14:paraId="5CAA0C66" w14:textId="02AA90F5" w:rsidR="00A86412" w:rsidRDefault="00A86412" w:rsidP="00C175DA">
      <w:pPr>
        <w:widowControl w:val="0"/>
        <w:autoSpaceDE w:val="0"/>
        <w:autoSpaceDN w:val="0"/>
        <w:rPr>
          <w:rFonts w:ascii="Times New Roman" w:eastAsia="Arial MT" w:hAnsi="Arial MT" w:cs="Arial MT"/>
          <w:sz w:val="20"/>
          <w:lang w:val="es-ES"/>
        </w:rPr>
      </w:pPr>
    </w:p>
    <w:p w14:paraId="6487A9B2" w14:textId="4385EF54" w:rsidR="00A86412" w:rsidRDefault="00A86412" w:rsidP="00C175DA">
      <w:pPr>
        <w:widowControl w:val="0"/>
        <w:autoSpaceDE w:val="0"/>
        <w:autoSpaceDN w:val="0"/>
        <w:rPr>
          <w:rFonts w:ascii="Times New Roman" w:eastAsia="Arial MT" w:hAnsi="Arial MT" w:cs="Arial MT"/>
          <w:sz w:val="20"/>
          <w:lang w:val="es-ES"/>
        </w:rPr>
      </w:pPr>
    </w:p>
    <w:p w14:paraId="043B35F2" w14:textId="6E9142E1" w:rsidR="00A86412" w:rsidRDefault="00A86412" w:rsidP="00C175DA">
      <w:pPr>
        <w:widowControl w:val="0"/>
        <w:autoSpaceDE w:val="0"/>
        <w:autoSpaceDN w:val="0"/>
        <w:rPr>
          <w:rFonts w:ascii="Times New Roman" w:eastAsia="Arial MT" w:hAnsi="Arial MT" w:cs="Arial MT"/>
          <w:sz w:val="20"/>
          <w:lang w:val="es-ES"/>
        </w:rPr>
      </w:pPr>
    </w:p>
    <w:p w14:paraId="55BF93E5" w14:textId="3199903C" w:rsidR="00A86412" w:rsidRDefault="00A86412" w:rsidP="00C175DA">
      <w:pPr>
        <w:widowControl w:val="0"/>
        <w:autoSpaceDE w:val="0"/>
        <w:autoSpaceDN w:val="0"/>
        <w:rPr>
          <w:rFonts w:ascii="Times New Roman" w:eastAsia="Arial MT" w:hAnsi="Arial MT" w:cs="Arial MT"/>
          <w:sz w:val="20"/>
          <w:lang w:val="es-ES"/>
        </w:rPr>
      </w:pPr>
    </w:p>
    <w:p w14:paraId="6B3F11AE" w14:textId="6D962FC7" w:rsidR="00A86412" w:rsidRDefault="00A86412" w:rsidP="00C175DA">
      <w:pPr>
        <w:widowControl w:val="0"/>
        <w:autoSpaceDE w:val="0"/>
        <w:autoSpaceDN w:val="0"/>
        <w:rPr>
          <w:rFonts w:ascii="Times New Roman" w:eastAsia="Arial MT" w:hAnsi="Arial MT" w:cs="Arial MT"/>
          <w:sz w:val="20"/>
          <w:lang w:val="es-ES"/>
        </w:rPr>
      </w:pPr>
    </w:p>
    <w:p w14:paraId="35B3D0F7" w14:textId="4E646E51" w:rsidR="00A86412" w:rsidRDefault="00A86412" w:rsidP="00C175DA">
      <w:pPr>
        <w:widowControl w:val="0"/>
        <w:autoSpaceDE w:val="0"/>
        <w:autoSpaceDN w:val="0"/>
        <w:rPr>
          <w:rFonts w:ascii="Times New Roman" w:eastAsia="Arial MT" w:hAnsi="Arial MT" w:cs="Arial MT"/>
          <w:sz w:val="20"/>
          <w:lang w:val="es-ES"/>
        </w:rPr>
      </w:pPr>
    </w:p>
    <w:p w14:paraId="7DE90A6A" w14:textId="70418169" w:rsidR="00A86412" w:rsidRDefault="00A86412" w:rsidP="00C175DA">
      <w:pPr>
        <w:widowControl w:val="0"/>
        <w:autoSpaceDE w:val="0"/>
        <w:autoSpaceDN w:val="0"/>
        <w:rPr>
          <w:rFonts w:ascii="Times New Roman" w:eastAsia="Arial MT" w:hAnsi="Arial MT" w:cs="Arial MT"/>
          <w:sz w:val="20"/>
          <w:lang w:val="es-ES"/>
        </w:rPr>
      </w:pPr>
    </w:p>
    <w:p w14:paraId="1C0E918F" w14:textId="75F2CA87" w:rsidR="00A86412" w:rsidRDefault="00A86412" w:rsidP="00C175DA">
      <w:pPr>
        <w:widowControl w:val="0"/>
        <w:autoSpaceDE w:val="0"/>
        <w:autoSpaceDN w:val="0"/>
        <w:rPr>
          <w:rFonts w:ascii="Times New Roman" w:eastAsia="Arial MT" w:hAnsi="Arial MT" w:cs="Arial MT"/>
          <w:sz w:val="20"/>
          <w:lang w:val="es-ES"/>
        </w:rPr>
      </w:pPr>
    </w:p>
    <w:p w14:paraId="7E5083FE" w14:textId="71E4974A" w:rsidR="00A86412" w:rsidRDefault="00A86412" w:rsidP="00C175DA">
      <w:pPr>
        <w:widowControl w:val="0"/>
        <w:autoSpaceDE w:val="0"/>
        <w:autoSpaceDN w:val="0"/>
        <w:rPr>
          <w:rFonts w:ascii="Times New Roman" w:eastAsia="Arial MT" w:hAnsi="Arial MT" w:cs="Arial MT"/>
          <w:sz w:val="20"/>
          <w:lang w:val="es-ES"/>
        </w:rPr>
      </w:pPr>
    </w:p>
    <w:p w14:paraId="698CE100" w14:textId="5CA0A539" w:rsidR="00A86412" w:rsidRDefault="00A86412" w:rsidP="00C175DA">
      <w:pPr>
        <w:widowControl w:val="0"/>
        <w:autoSpaceDE w:val="0"/>
        <w:autoSpaceDN w:val="0"/>
        <w:rPr>
          <w:rFonts w:ascii="Times New Roman" w:eastAsia="Arial MT" w:hAnsi="Arial MT" w:cs="Arial MT"/>
          <w:sz w:val="20"/>
          <w:lang w:val="es-ES"/>
        </w:rPr>
      </w:pPr>
    </w:p>
    <w:p w14:paraId="16310152" w14:textId="710C72C4" w:rsidR="00A86412" w:rsidRDefault="00A86412" w:rsidP="00C175DA">
      <w:pPr>
        <w:widowControl w:val="0"/>
        <w:autoSpaceDE w:val="0"/>
        <w:autoSpaceDN w:val="0"/>
        <w:rPr>
          <w:rFonts w:ascii="Times New Roman" w:eastAsia="Arial MT" w:hAnsi="Arial MT" w:cs="Arial MT"/>
          <w:sz w:val="20"/>
          <w:lang w:val="es-ES"/>
        </w:rPr>
      </w:pPr>
    </w:p>
    <w:p w14:paraId="059BAA17" w14:textId="3FD8E296" w:rsidR="00A86412" w:rsidRDefault="00A86412" w:rsidP="00C175DA">
      <w:pPr>
        <w:widowControl w:val="0"/>
        <w:autoSpaceDE w:val="0"/>
        <w:autoSpaceDN w:val="0"/>
        <w:rPr>
          <w:rFonts w:ascii="Times New Roman" w:eastAsia="Arial MT" w:hAnsi="Arial MT" w:cs="Arial MT"/>
          <w:sz w:val="20"/>
          <w:lang w:val="es-ES"/>
        </w:rPr>
      </w:pPr>
    </w:p>
    <w:p w14:paraId="7E79711A" w14:textId="418B95C1" w:rsidR="00A86412" w:rsidRDefault="00DC4CDC" w:rsidP="00DC4CDC">
      <w:pPr>
        <w:widowControl w:val="0"/>
        <w:autoSpaceDE w:val="0"/>
        <w:autoSpaceDN w:val="0"/>
        <w:jc w:val="right"/>
        <w:rPr>
          <w:rFonts w:ascii="Times New Roman" w:eastAsia="Arial MT" w:hAnsi="Arial MT" w:cs="Arial MT"/>
          <w:sz w:val="20"/>
          <w:lang w:val="es-ES"/>
        </w:rPr>
      </w:pPr>
      <w:r w:rsidRPr="00C175DA">
        <w:rPr>
          <w:rFonts w:ascii="Arial" w:eastAsia="Arial MT" w:hAnsi="Arial MT" w:cs="Arial MT"/>
          <w:b/>
          <w:color w:val="585858"/>
          <w:sz w:val="18"/>
          <w:lang w:val="es-ES"/>
        </w:rPr>
        <w:t>CCE-DES-FM-17</w:t>
      </w:r>
    </w:p>
    <w:p w14:paraId="1107D6A2" w14:textId="16C6692D" w:rsidR="003D504E" w:rsidRPr="00DC4CDC" w:rsidRDefault="00DC4CDC" w:rsidP="00DC4CDC">
      <w:pPr>
        <w:widowControl w:val="0"/>
        <w:autoSpaceDE w:val="0"/>
        <w:autoSpaceDN w:val="0"/>
        <w:jc w:val="right"/>
        <w:rPr>
          <w:rFonts w:ascii="Times New Roman" w:eastAsia="Arial MT" w:hAnsi="Arial MT" w:cs="Arial MT"/>
          <w:sz w:val="20"/>
          <w:lang w:val="es-ES"/>
        </w:rPr>
      </w:pPr>
      <w:r w:rsidRPr="00DC4CDC">
        <w:rPr>
          <w:rFonts w:ascii="Times New Roman" w:eastAsia="Arial MT" w:hAnsi="Arial MT" w:cs="Arial MT"/>
          <w:sz w:val="20"/>
          <w:lang w:val="es-ES"/>
        </w:rPr>
        <w:drawing>
          <wp:inline distT="0" distB="0" distL="0" distR="0" wp14:anchorId="4C6EFD62" wp14:editId="128226D6">
            <wp:extent cx="2342872" cy="670238"/>
            <wp:effectExtent l="0" t="0" r="63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354972" cy="673700"/>
                    </a:xfrm>
                    <a:prstGeom prst="rect">
                      <a:avLst/>
                    </a:prstGeom>
                  </pic:spPr>
                </pic:pic>
              </a:graphicData>
            </a:graphic>
          </wp:inline>
        </w:drawing>
      </w:r>
    </w:p>
    <w:p w14:paraId="12F5801F" w14:textId="0C4F5342" w:rsidR="003D504E" w:rsidRPr="00DC4CDC" w:rsidRDefault="00DC4CDC" w:rsidP="00DC0628">
      <w:pPr>
        <w:widowControl w:val="0"/>
        <w:autoSpaceDE w:val="0"/>
        <w:autoSpaceDN w:val="0"/>
        <w:spacing w:before="10"/>
        <w:rPr>
          <w:rFonts w:ascii="Arial" w:eastAsia="Arial MT" w:hAnsi="Arial" w:cs="Arial"/>
          <w:color w:val="7F7F7F" w:themeColor="text1" w:themeTint="80"/>
          <w:sz w:val="22"/>
          <w:lang w:val="es-ES"/>
        </w:rPr>
      </w:pPr>
      <w:r w:rsidRPr="00DC4CDC">
        <w:rPr>
          <w:rFonts w:ascii="Arial" w:eastAsia="Arial MT" w:hAnsi="Arial" w:cs="Arial"/>
          <w:color w:val="7F7F7F" w:themeColor="text1" w:themeTint="80"/>
          <w:sz w:val="22"/>
          <w:lang w:val="es-ES"/>
        </w:rPr>
        <w:t xml:space="preserve">Bogotá, D.C. 09 </w:t>
      </w:r>
      <w:proofErr w:type="gramStart"/>
      <w:r w:rsidRPr="00DC4CDC">
        <w:rPr>
          <w:rFonts w:ascii="Arial" w:eastAsia="Arial MT" w:hAnsi="Arial" w:cs="Arial"/>
          <w:color w:val="7F7F7F" w:themeColor="text1" w:themeTint="80"/>
          <w:sz w:val="22"/>
          <w:lang w:val="es-ES"/>
        </w:rPr>
        <w:t>Mayo</w:t>
      </w:r>
      <w:proofErr w:type="gramEnd"/>
      <w:r w:rsidRPr="00DC4CDC">
        <w:rPr>
          <w:rFonts w:ascii="Arial" w:eastAsia="Arial MT" w:hAnsi="Arial" w:cs="Arial"/>
          <w:color w:val="7F7F7F" w:themeColor="text1" w:themeTint="80"/>
          <w:sz w:val="22"/>
          <w:lang w:val="es-ES"/>
        </w:rPr>
        <w:t xml:space="preserve"> 2022</w:t>
      </w:r>
    </w:p>
    <w:p w14:paraId="5A39CF3C" w14:textId="77777777" w:rsidR="00DC4CDC" w:rsidRDefault="00DC4CDC" w:rsidP="00DC0628">
      <w:pPr>
        <w:widowControl w:val="0"/>
        <w:autoSpaceDE w:val="0"/>
        <w:autoSpaceDN w:val="0"/>
        <w:spacing w:before="10"/>
        <w:rPr>
          <w:rFonts w:ascii="Arial" w:eastAsia="Arial MT" w:hAnsi="Arial" w:cs="Arial"/>
          <w:sz w:val="22"/>
          <w:lang w:val="es-ES"/>
        </w:rPr>
      </w:pPr>
    </w:p>
    <w:p w14:paraId="1467BFC7" w14:textId="62A8C97D" w:rsidR="00C175DA" w:rsidRPr="00C175DA" w:rsidRDefault="00C175DA" w:rsidP="00113E91">
      <w:pPr>
        <w:widowControl w:val="0"/>
        <w:autoSpaceDE w:val="0"/>
        <w:autoSpaceDN w:val="0"/>
        <w:spacing w:before="144"/>
        <w:rPr>
          <w:rFonts w:ascii="Arial MT" w:eastAsia="Arial MT" w:hAnsi="Arial MT" w:cs="Arial MT"/>
          <w:sz w:val="22"/>
          <w:lang w:val="es-ES"/>
        </w:rPr>
      </w:pPr>
      <w:bookmarkStart w:id="1" w:name="_Hlk90649688"/>
      <w:r w:rsidRPr="00C175DA">
        <w:rPr>
          <w:rFonts w:ascii="Arial MT" w:eastAsia="Arial MT" w:hAnsi="Arial MT" w:cs="Arial MT"/>
          <w:sz w:val="22"/>
          <w:lang w:val="es-ES"/>
        </w:rPr>
        <w:t>Señor</w:t>
      </w:r>
      <w:r w:rsidR="00AB2174">
        <w:rPr>
          <w:rFonts w:ascii="Arial MT" w:eastAsia="Arial MT" w:hAnsi="Arial MT" w:cs="Arial MT"/>
          <w:sz w:val="22"/>
          <w:lang w:val="es-ES"/>
        </w:rPr>
        <w:t>a</w:t>
      </w:r>
    </w:p>
    <w:p w14:paraId="3D67D9C5" w14:textId="314A6765" w:rsidR="00546016" w:rsidRPr="00546016" w:rsidRDefault="00AB2174" w:rsidP="00113E91">
      <w:pPr>
        <w:widowControl w:val="0"/>
        <w:autoSpaceDE w:val="0"/>
        <w:autoSpaceDN w:val="0"/>
        <w:rPr>
          <w:rFonts w:ascii="Arial" w:eastAsia="Arial" w:hAnsi="Arial" w:cs="Arial"/>
          <w:b/>
          <w:bCs/>
          <w:sz w:val="22"/>
          <w:lang w:val="es-CO"/>
        </w:rPr>
      </w:pPr>
      <w:r>
        <w:rPr>
          <w:rFonts w:ascii="Arial" w:eastAsia="Arial" w:hAnsi="Arial" w:cs="Arial"/>
          <w:b/>
          <w:bCs/>
          <w:sz w:val="22"/>
          <w:lang w:val="es-CO"/>
        </w:rPr>
        <w:t>Yenny Maritza Peña</w:t>
      </w:r>
    </w:p>
    <w:p w14:paraId="541A3321" w14:textId="78A0A422" w:rsidR="00546016" w:rsidRPr="00546016" w:rsidRDefault="00AB2174" w:rsidP="00546016">
      <w:pPr>
        <w:widowControl w:val="0"/>
        <w:autoSpaceDE w:val="0"/>
        <w:autoSpaceDN w:val="0"/>
        <w:rPr>
          <w:rFonts w:ascii="Arial" w:eastAsia="Arial" w:hAnsi="Arial" w:cs="Arial"/>
          <w:sz w:val="22"/>
          <w:lang w:val="es-CO"/>
        </w:rPr>
      </w:pPr>
      <w:r>
        <w:rPr>
          <w:rFonts w:ascii="Arial" w:eastAsia="Arial" w:hAnsi="Arial" w:cs="Arial"/>
          <w:sz w:val="22"/>
          <w:lang w:val="es-CO"/>
        </w:rPr>
        <w:t>Bogotá, D.C.</w:t>
      </w:r>
    </w:p>
    <w:p w14:paraId="76310536" w14:textId="77777777" w:rsidR="00C175DA" w:rsidRPr="003074CD" w:rsidRDefault="00C175DA" w:rsidP="00C175DA">
      <w:pPr>
        <w:widowControl w:val="0"/>
        <w:autoSpaceDE w:val="0"/>
        <w:autoSpaceDN w:val="0"/>
        <w:rPr>
          <w:rFonts w:ascii="Arial" w:eastAsia="Arial MT" w:hAnsi="Arial" w:cs="Arial"/>
          <w:sz w:val="22"/>
          <w:lang w:val="es-ES"/>
        </w:rPr>
      </w:pPr>
    </w:p>
    <w:p w14:paraId="51A1D5F0" w14:textId="77777777" w:rsidR="00C175DA" w:rsidRPr="003074CD" w:rsidRDefault="00C175DA" w:rsidP="00C175DA">
      <w:pPr>
        <w:widowControl w:val="0"/>
        <w:autoSpaceDE w:val="0"/>
        <w:autoSpaceDN w:val="0"/>
        <w:rPr>
          <w:rFonts w:ascii="Arial" w:eastAsia="Arial MT" w:hAnsi="Arial" w:cs="Arial"/>
          <w:sz w:val="22"/>
          <w:lang w:val="es-ES"/>
        </w:rPr>
      </w:pPr>
    </w:p>
    <w:p w14:paraId="489932A0" w14:textId="2A5AEEB1" w:rsidR="00C175DA" w:rsidRPr="00C175DA" w:rsidRDefault="00C175DA" w:rsidP="00C175DA">
      <w:pPr>
        <w:widowControl w:val="0"/>
        <w:autoSpaceDE w:val="0"/>
        <w:autoSpaceDN w:val="0"/>
        <w:ind w:left="2891"/>
        <w:jc w:val="both"/>
        <w:outlineLvl w:val="0"/>
        <w:rPr>
          <w:rFonts w:ascii="Arial" w:eastAsia="Arial" w:hAnsi="Arial" w:cs="Arial"/>
          <w:b/>
          <w:bCs/>
          <w:sz w:val="22"/>
          <w:lang w:val="es-ES"/>
        </w:rPr>
      </w:pPr>
      <w:r w:rsidRPr="00C175DA">
        <w:rPr>
          <w:rFonts w:ascii="Arial" w:eastAsia="Arial" w:hAnsi="Arial" w:cs="Arial"/>
          <w:b/>
          <w:bCs/>
          <w:sz w:val="22"/>
          <w:lang w:val="es-ES"/>
        </w:rPr>
        <w:t>Concepto</w:t>
      </w:r>
      <w:r w:rsidRPr="00C175DA">
        <w:rPr>
          <w:rFonts w:ascii="Arial" w:eastAsia="Arial" w:hAnsi="Arial" w:cs="Arial"/>
          <w:b/>
          <w:bCs/>
          <w:spacing w:val="-7"/>
          <w:sz w:val="22"/>
          <w:lang w:val="es-ES"/>
        </w:rPr>
        <w:t xml:space="preserve"> </w:t>
      </w:r>
      <w:r w:rsidRPr="00C175DA">
        <w:rPr>
          <w:rFonts w:ascii="Arial" w:eastAsia="Arial" w:hAnsi="Arial" w:cs="Arial"/>
          <w:b/>
          <w:bCs/>
          <w:sz w:val="22"/>
          <w:lang w:val="es-ES"/>
        </w:rPr>
        <w:t>C</w:t>
      </w:r>
      <w:r w:rsidRPr="00C175DA">
        <w:rPr>
          <w:rFonts w:ascii="Arial" w:eastAsia="Arial" w:hAnsi="Arial" w:cs="Arial"/>
          <w:b/>
          <w:bCs/>
          <w:spacing w:val="-4"/>
          <w:sz w:val="22"/>
          <w:lang w:val="es-ES"/>
        </w:rPr>
        <w:t xml:space="preserve"> </w:t>
      </w:r>
      <w:r w:rsidRPr="00C175DA">
        <w:rPr>
          <w:rFonts w:ascii="Arial" w:eastAsia="Arial" w:hAnsi="Arial" w:cs="Arial"/>
          <w:b/>
          <w:bCs/>
          <w:sz w:val="22"/>
          <w:lang w:val="es-ES"/>
        </w:rPr>
        <w:t>–</w:t>
      </w:r>
      <w:r w:rsidRPr="00C175DA">
        <w:rPr>
          <w:rFonts w:ascii="Arial" w:eastAsia="Arial" w:hAnsi="Arial" w:cs="Arial"/>
          <w:b/>
          <w:bCs/>
          <w:spacing w:val="-5"/>
          <w:sz w:val="22"/>
          <w:lang w:val="es-ES"/>
        </w:rPr>
        <w:t xml:space="preserve"> </w:t>
      </w:r>
      <w:r w:rsidR="00AB2174">
        <w:rPr>
          <w:rFonts w:ascii="Arial" w:eastAsia="Arial" w:hAnsi="Arial" w:cs="Arial"/>
          <w:b/>
          <w:bCs/>
          <w:sz w:val="22"/>
          <w:lang w:val="es-ES"/>
        </w:rPr>
        <w:t>288</w:t>
      </w:r>
      <w:r w:rsidR="00225C1A">
        <w:rPr>
          <w:rFonts w:ascii="Arial" w:eastAsia="Arial" w:hAnsi="Arial" w:cs="Arial"/>
          <w:b/>
          <w:bCs/>
          <w:sz w:val="22"/>
          <w:lang w:val="es-ES"/>
        </w:rPr>
        <w:t xml:space="preserve"> </w:t>
      </w:r>
      <w:r w:rsidRPr="00C175DA">
        <w:rPr>
          <w:rFonts w:ascii="Arial" w:eastAsia="Arial" w:hAnsi="Arial" w:cs="Arial"/>
          <w:b/>
          <w:bCs/>
          <w:sz w:val="22"/>
          <w:lang w:val="es-ES"/>
        </w:rPr>
        <w:t>de</w:t>
      </w:r>
      <w:r w:rsidRPr="00C175DA">
        <w:rPr>
          <w:rFonts w:ascii="Arial" w:eastAsia="Arial" w:hAnsi="Arial" w:cs="Arial"/>
          <w:b/>
          <w:bCs/>
          <w:spacing w:val="-6"/>
          <w:sz w:val="22"/>
          <w:lang w:val="es-ES"/>
        </w:rPr>
        <w:t xml:space="preserve"> </w:t>
      </w:r>
      <w:r w:rsidR="00AB2174">
        <w:rPr>
          <w:rFonts w:ascii="Arial" w:eastAsia="Arial" w:hAnsi="Arial" w:cs="Arial"/>
          <w:b/>
          <w:bCs/>
          <w:sz w:val="22"/>
          <w:lang w:val="es-ES"/>
        </w:rPr>
        <w:t>2022</w:t>
      </w:r>
    </w:p>
    <w:p w14:paraId="3838072E" w14:textId="77777777" w:rsidR="00C175DA" w:rsidRPr="003074CD" w:rsidRDefault="00C175DA" w:rsidP="00C175DA">
      <w:pPr>
        <w:widowControl w:val="0"/>
        <w:autoSpaceDE w:val="0"/>
        <w:autoSpaceDN w:val="0"/>
        <w:spacing w:before="10"/>
        <w:rPr>
          <w:rFonts w:ascii="Arial" w:eastAsia="Arial MT" w:hAnsi="Arial MT" w:cs="Arial MT"/>
          <w:bCs/>
          <w:sz w:val="22"/>
          <w:lang w:val="es-ES"/>
        </w:rPr>
      </w:pPr>
    </w:p>
    <w:p w14:paraId="1021241C" w14:textId="59E1BB96" w:rsidR="008C1555" w:rsidRPr="00546016" w:rsidRDefault="00C175DA" w:rsidP="00D2235E">
      <w:pPr>
        <w:widowControl w:val="0"/>
        <w:tabs>
          <w:tab w:val="left" w:pos="2889"/>
        </w:tabs>
        <w:autoSpaceDE w:val="0"/>
        <w:autoSpaceDN w:val="0"/>
        <w:spacing w:line="276" w:lineRule="auto"/>
        <w:ind w:left="2891" w:right="282" w:hanging="2689"/>
        <w:jc w:val="both"/>
        <w:rPr>
          <w:rFonts w:ascii="Arial MT" w:eastAsia="Arial MT" w:hAnsi="Arial MT" w:cs="Arial MT"/>
          <w:sz w:val="22"/>
          <w:lang w:val="es-ES"/>
        </w:rPr>
      </w:pPr>
      <w:r w:rsidRPr="00C175DA">
        <w:rPr>
          <w:rFonts w:ascii="Arial" w:eastAsia="Arial MT" w:hAnsi="Arial" w:cs="Arial MT"/>
          <w:b/>
          <w:sz w:val="22"/>
          <w:lang w:val="es-ES"/>
        </w:rPr>
        <w:t>Temas:</w:t>
      </w:r>
      <w:r w:rsidRPr="00C175DA">
        <w:rPr>
          <w:rFonts w:ascii="Arial" w:eastAsia="Arial MT" w:hAnsi="Arial" w:cs="Arial MT"/>
          <w:b/>
          <w:sz w:val="22"/>
          <w:lang w:val="es-ES"/>
        </w:rPr>
        <w:tab/>
      </w:r>
      <w:r w:rsidRPr="008A6436">
        <w:rPr>
          <w:rFonts w:ascii="Arial" w:eastAsia="Arial MT" w:hAnsi="Arial" w:cs="Arial"/>
          <w:sz w:val="22"/>
          <w:lang w:val="es-ES"/>
        </w:rPr>
        <w:t>DOCUMENTOS</w:t>
      </w:r>
      <w:r w:rsidRPr="008A6436">
        <w:rPr>
          <w:rFonts w:ascii="Arial" w:eastAsia="Arial MT" w:hAnsi="Arial" w:cs="Arial"/>
          <w:spacing w:val="1"/>
          <w:sz w:val="22"/>
          <w:lang w:val="es-ES"/>
        </w:rPr>
        <w:t xml:space="preserve"> </w:t>
      </w:r>
      <w:r w:rsidRPr="008A6436">
        <w:rPr>
          <w:rFonts w:ascii="Arial" w:eastAsia="Arial MT" w:hAnsi="Arial" w:cs="Arial"/>
          <w:sz w:val="22"/>
          <w:lang w:val="es-ES"/>
        </w:rPr>
        <w:t>TIPO</w:t>
      </w:r>
      <w:r w:rsidRPr="008A6436">
        <w:rPr>
          <w:rFonts w:ascii="Arial" w:eastAsia="Arial MT" w:hAnsi="Arial" w:cs="Arial"/>
          <w:spacing w:val="1"/>
          <w:sz w:val="22"/>
          <w:lang w:val="es-ES"/>
        </w:rPr>
        <w:t xml:space="preserve"> </w:t>
      </w:r>
      <w:r w:rsidRPr="008A6436">
        <w:rPr>
          <w:rFonts w:ascii="Arial" w:eastAsia="Arial MT" w:hAnsi="Arial" w:cs="Arial"/>
          <w:sz w:val="22"/>
          <w:lang w:val="es-ES"/>
        </w:rPr>
        <w:t>–</w:t>
      </w:r>
      <w:r w:rsidR="004F1E72">
        <w:rPr>
          <w:rFonts w:ascii="Arial" w:eastAsia="Arial MT" w:hAnsi="Arial" w:cs="Arial"/>
          <w:spacing w:val="18"/>
          <w:sz w:val="22"/>
          <w:lang w:val="es-ES"/>
        </w:rPr>
        <w:t xml:space="preserve"> Fundamento normativo </w:t>
      </w:r>
      <w:r w:rsidRPr="008A6436">
        <w:rPr>
          <w:rFonts w:ascii="Arial" w:eastAsia="Arial MT" w:hAnsi="Arial" w:cs="Arial"/>
          <w:sz w:val="22"/>
          <w:lang w:val="es-ES"/>
        </w:rPr>
        <w:t>–</w:t>
      </w:r>
      <w:r w:rsidRPr="008A6436">
        <w:rPr>
          <w:rFonts w:ascii="Arial" w:eastAsia="Arial MT" w:hAnsi="Arial" w:cs="Arial"/>
          <w:spacing w:val="-59"/>
          <w:sz w:val="22"/>
          <w:lang w:val="es-ES"/>
        </w:rPr>
        <w:t xml:space="preserve"> </w:t>
      </w:r>
      <w:r w:rsidRPr="008A6436">
        <w:rPr>
          <w:rFonts w:ascii="Arial" w:eastAsia="Arial MT" w:hAnsi="Arial" w:cs="Arial"/>
          <w:sz w:val="22"/>
          <w:lang w:val="es-ES"/>
        </w:rPr>
        <w:t>generalidades</w:t>
      </w:r>
      <w:r w:rsidRPr="008A6436">
        <w:rPr>
          <w:rFonts w:ascii="Arial" w:eastAsia="Arial MT" w:hAnsi="Arial" w:cs="Arial"/>
          <w:spacing w:val="1"/>
          <w:sz w:val="22"/>
          <w:lang w:val="es-ES"/>
        </w:rPr>
        <w:t xml:space="preserve"> </w:t>
      </w:r>
      <w:r w:rsidRPr="008A6436">
        <w:rPr>
          <w:rFonts w:ascii="Arial" w:eastAsia="Arial MT" w:hAnsi="Arial" w:cs="Arial"/>
          <w:sz w:val="22"/>
          <w:lang w:val="es-ES"/>
        </w:rPr>
        <w:t>/</w:t>
      </w:r>
      <w:r w:rsidRPr="008A6436">
        <w:rPr>
          <w:rFonts w:ascii="Arial" w:eastAsia="Arial MT" w:hAnsi="Arial" w:cs="Arial"/>
          <w:spacing w:val="1"/>
          <w:sz w:val="22"/>
          <w:lang w:val="es-ES"/>
        </w:rPr>
        <w:t xml:space="preserve"> </w:t>
      </w:r>
      <w:r w:rsidR="008A6436" w:rsidRPr="008A6436">
        <w:rPr>
          <w:rFonts w:ascii="Arial" w:eastAsia="Arial MT" w:hAnsi="Arial" w:cs="Arial"/>
          <w:spacing w:val="1"/>
          <w:sz w:val="22"/>
          <w:lang w:val="es-ES"/>
        </w:rPr>
        <w:t>INALTERABILIDAD – Documentos tipo – Regla vigente – Alcance</w:t>
      </w:r>
      <w:r w:rsidRPr="008A6436">
        <w:rPr>
          <w:rFonts w:ascii="Arial" w:eastAsia="Arial MT" w:hAnsi="Arial" w:cs="Arial"/>
          <w:sz w:val="22"/>
          <w:lang w:val="es-ES"/>
        </w:rPr>
        <w:t>/</w:t>
      </w:r>
      <w:r w:rsidRPr="008A6436">
        <w:rPr>
          <w:rFonts w:ascii="Arial" w:eastAsia="Arial MT" w:hAnsi="Arial" w:cs="Arial"/>
          <w:spacing w:val="57"/>
          <w:sz w:val="22"/>
          <w:lang w:val="es-ES"/>
        </w:rPr>
        <w:t xml:space="preserve"> </w:t>
      </w:r>
      <w:bookmarkStart w:id="2" w:name="_Hlk90649446"/>
      <w:r w:rsidR="00E962AE" w:rsidRPr="008A6436">
        <w:rPr>
          <w:rFonts w:ascii="Arial" w:eastAsia="Arial MT" w:hAnsi="Arial" w:cs="Arial"/>
          <w:spacing w:val="-13"/>
          <w:sz w:val="22"/>
          <w:lang w:val="es-ES"/>
        </w:rPr>
        <w:t xml:space="preserve">DOCUMENTOS TIPO </w:t>
      </w:r>
      <w:proofErr w:type="gramStart"/>
      <w:r w:rsidR="00E962AE" w:rsidRPr="008A6436">
        <w:rPr>
          <w:rFonts w:ascii="Arial" w:eastAsia="Arial MT" w:hAnsi="Arial" w:cs="Arial"/>
          <w:spacing w:val="-13"/>
          <w:sz w:val="22"/>
          <w:lang w:val="es-ES"/>
        </w:rPr>
        <w:t xml:space="preserve">– </w:t>
      </w:r>
      <w:r w:rsidR="00D2235E" w:rsidRPr="00D2235E">
        <w:t xml:space="preserve"> </w:t>
      </w:r>
      <w:r w:rsidR="00D2235E" w:rsidRPr="00D2235E">
        <w:rPr>
          <w:rFonts w:ascii="Arial" w:eastAsia="Arial MT" w:hAnsi="Arial" w:cs="Arial"/>
          <w:spacing w:val="-13"/>
          <w:sz w:val="22"/>
          <w:lang w:val="es-ES"/>
        </w:rPr>
        <w:t>Infraestructura</w:t>
      </w:r>
      <w:proofErr w:type="gramEnd"/>
      <w:r w:rsidR="00D2235E" w:rsidRPr="00D2235E">
        <w:rPr>
          <w:rFonts w:ascii="Arial" w:eastAsia="Arial MT" w:hAnsi="Arial" w:cs="Arial"/>
          <w:spacing w:val="-13"/>
          <w:sz w:val="22"/>
          <w:lang w:val="es-ES"/>
        </w:rPr>
        <w:t xml:space="preserve"> de Transporte – Numeral  3.5.6. – Literal E</w:t>
      </w:r>
    </w:p>
    <w:bookmarkEnd w:id="2"/>
    <w:p w14:paraId="49294305" w14:textId="4DDB578A" w:rsidR="00757862" w:rsidRPr="00757862" w:rsidRDefault="00546016" w:rsidP="00546016">
      <w:pPr>
        <w:widowControl w:val="0"/>
        <w:autoSpaceDE w:val="0"/>
        <w:autoSpaceDN w:val="0"/>
        <w:spacing w:before="144"/>
        <w:ind w:left="2785" w:hanging="2643"/>
        <w:jc w:val="both"/>
        <w:rPr>
          <w:rFonts w:ascii="Arial MT" w:eastAsia="Arial MT" w:hAnsi="Arial MT" w:cs="Arial MT"/>
          <w:sz w:val="22"/>
          <w:lang w:val="es-ES"/>
        </w:rPr>
      </w:pPr>
      <w:r>
        <w:rPr>
          <w:rFonts w:ascii="Arial" w:eastAsia="Arial MT" w:hAnsi="Arial" w:cs="Arial MT"/>
          <w:b/>
          <w:sz w:val="22"/>
          <w:lang w:val="es-ES"/>
        </w:rPr>
        <w:t xml:space="preserve"> </w:t>
      </w:r>
      <w:r w:rsidR="008A5AC8">
        <w:rPr>
          <w:rFonts w:ascii="Arial" w:eastAsia="Arial MT" w:hAnsi="Arial" w:cs="Arial MT"/>
          <w:b/>
          <w:sz w:val="22"/>
          <w:lang w:val="es-ES"/>
        </w:rPr>
        <w:t xml:space="preserve">Radicación: </w:t>
      </w:r>
      <w:r w:rsidR="008A5AC8">
        <w:rPr>
          <w:rFonts w:ascii="Arial" w:eastAsia="Arial MT" w:hAnsi="Arial" w:cs="Arial MT"/>
          <w:b/>
          <w:sz w:val="22"/>
          <w:lang w:val="es-ES"/>
        </w:rPr>
        <w:tab/>
      </w:r>
      <w:r>
        <w:rPr>
          <w:rFonts w:ascii="Arial" w:eastAsia="Arial MT" w:hAnsi="Arial" w:cs="Arial MT"/>
          <w:b/>
          <w:sz w:val="22"/>
          <w:lang w:val="es-ES"/>
        </w:rPr>
        <w:tab/>
        <w:t xml:space="preserve"> </w:t>
      </w:r>
      <w:r w:rsidR="00757862" w:rsidRPr="008A5AC8">
        <w:rPr>
          <w:rFonts w:ascii="Arial" w:eastAsia="Arial MT" w:hAnsi="Arial" w:cs="Arial"/>
          <w:sz w:val="22"/>
          <w:lang w:val="es-ES"/>
        </w:rPr>
        <w:t>Respuesta</w:t>
      </w:r>
      <w:r w:rsidR="00757862" w:rsidRPr="008A5AC8">
        <w:rPr>
          <w:rFonts w:ascii="Arial" w:eastAsia="Arial MT" w:hAnsi="Arial" w:cs="Arial"/>
          <w:spacing w:val="-6"/>
          <w:sz w:val="22"/>
          <w:lang w:val="es-ES"/>
        </w:rPr>
        <w:t xml:space="preserve"> </w:t>
      </w:r>
      <w:r w:rsidR="00757862" w:rsidRPr="008A5AC8">
        <w:rPr>
          <w:rFonts w:ascii="Arial" w:eastAsia="Arial MT" w:hAnsi="Arial" w:cs="Arial"/>
          <w:sz w:val="22"/>
          <w:lang w:val="es-ES"/>
        </w:rPr>
        <w:t>a</w:t>
      </w:r>
      <w:r w:rsidR="00757862" w:rsidRPr="008A5AC8">
        <w:rPr>
          <w:rFonts w:ascii="Arial" w:eastAsia="Arial MT" w:hAnsi="Arial" w:cs="Arial"/>
          <w:spacing w:val="-6"/>
          <w:sz w:val="22"/>
          <w:lang w:val="es-ES"/>
        </w:rPr>
        <w:t xml:space="preserve"> </w:t>
      </w:r>
      <w:r w:rsidR="00757862" w:rsidRPr="008A5AC8">
        <w:rPr>
          <w:rFonts w:ascii="Arial" w:eastAsia="Arial MT" w:hAnsi="Arial" w:cs="Arial"/>
          <w:sz w:val="22"/>
          <w:lang w:val="es-ES"/>
        </w:rPr>
        <w:t>la</w:t>
      </w:r>
      <w:r w:rsidR="00757862" w:rsidRPr="008A5AC8">
        <w:rPr>
          <w:rFonts w:ascii="Arial" w:eastAsia="Arial MT" w:hAnsi="Arial" w:cs="Arial"/>
          <w:spacing w:val="-5"/>
          <w:sz w:val="22"/>
          <w:lang w:val="es-ES"/>
        </w:rPr>
        <w:t xml:space="preserve"> </w:t>
      </w:r>
      <w:r w:rsidR="00757862" w:rsidRPr="008A5AC8">
        <w:rPr>
          <w:rFonts w:ascii="Arial" w:eastAsia="Arial MT" w:hAnsi="Arial" w:cs="Arial"/>
          <w:sz w:val="22"/>
          <w:lang w:val="es-ES"/>
        </w:rPr>
        <w:t>consulta</w:t>
      </w:r>
      <w:r w:rsidR="00757862" w:rsidRPr="008A5AC8">
        <w:rPr>
          <w:rFonts w:ascii="Arial" w:eastAsia="Arial MT" w:hAnsi="Arial" w:cs="Arial"/>
          <w:spacing w:val="-6"/>
          <w:sz w:val="22"/>
          <w:lang w:val="es-ES"/>
        </w:rPr>
        <w:t xml:space="preserve"> </w:t>
      </w:r>
      <w:r w:rsidR="00AB2174">
        <w:rPr>
          <w:rFonts w:ascii="Arial" w:eastAsia="Arial MT" w:hAnsi="Arial" w:cs="Arial"/>
          <w:spacing w:val="-6"/>
          <w:sz w:val="22"/>
          <w:lang w:val="es-ES"/>
        </w:rPr>
        <w:t xml:space="preserve">No. </w:t>
      </w:r>
      <w:r w:rsidR="00AB2174" w:rsidRPr="00AB2174">
        <w:rPr>
          <w:rFonts w:ascii="Arial" w:eastAsia="Arial MT" w:hAnsi="Arial" w:cs="Arial"/>
          <w:spacing w:val="-6"/>
          <w:sz w:val="22"/>
          <w:lang w:val="es-ES"/>
        </w:rPr>
        <w:t>P20220328003078</w:t>
      </w:r>
    </w:p>
    <w:p w14:paraId="1A6394F9" w14:textId="77777777" w:rsidR="003567B6" w:rsidRPr="00757862" w:rsidRDefault="003567B6" w:rsidP="00757862">
      <w:pPr>
        <w:widowControl w:val="0"/>
        <w:autoSpaceDE w:val="0"/>
        <w:autoSpaceDN w:val="0"/>
        <w:rPr>
          <w:rFonts w:ascii="Arial MT" w:eastAsia="Arial MT" w:hAnsi="Arial MT" w:cs="Arial MT"/>
          <w:lang w:val="es-ES"/>
        </w:rPr>
      </w:pPr>
    </w:p>
    <w:p w14:paraId="5F87200B" w14:textId="2A97E62F" w:rsidR="001F3C7B" w:rsidRPr="00667C72" w:rsidRDefault="008A6436" w:rsidP="008A6436">
      <w:pPr>
        <w:tabs>
          <w:tab w:val="left" w:pos="3495"/>
        </w:tabs>
        <w:jc w:val="both"/>
        <w:rPr>
          <w:rFonts w:ascii="Arial" w:eastAsia="Calibri" w:hAnsi="Arial" w:cs="Arial"/>
          <w:sz w:val="22"/>
          <w:lang w:val="es-CO"/>
        </w:rPr>
      </w:pPr>
      <w:r>
        <w:rPr>
          <w:rFonts w:ascii="Arial" w:eastAsia="Calibri" w:hAnsi="Arial" w:cs="Arial"/>
          <w:sz w:val="22"/>
          <w:lang w:val="es-CO"/>
        </w:rPr>
        <w:tab/>
      </w:r>
    </w:p>
    <w:p w14:paraId="23FFBBCE" w14:textId="0410B9A2" w:rsidR="00904CD9" w:rsidRPr="00667C72" w:rsidRDefault="00567165" w:rsidP="00904CD9">
      <w:pPr>
        <w:rPr>
          <w:rFonts w:ascii="Arial" w:eastAsia="Calibri" w:hAnsi="Arial" w:cs="Arial"/>
          <w:sz w:val="22"/>
          <w:lang w:val="es-CO"/>
        </w:rPr>
      </w:pPr>
      <w:r>
        <w:rPr>
          <w:rFonts w:ascii="Arial" w:eastAsia="Calibri" w:hAnsi="Arial" w:cs="Arial"/>
          <w:sz w:val="22"/>
          <w:lang w:val="es-CO"/>
        </w:rPr>
        <w:t>Estimad</w:t>
      </w:r>
      <w:r w:rsidR="00AB2174">
        <w:rPr>
          <w:rFonts w:ascii="Arial" w:eastAsia="Calibri" w:hAnsi="Arial" w:cs="Arial"/>
          <w:sz w:val="22"/>
          <w:lang w:val="es-CO"/>
        </w:rPr>
        <w:t>a</w:t>
      </w:r>
      <w:r>
        <w:rPr>
          <w:rFonts w:ascii="Arial" w:eastAsia="Calibri" w:hAnsi="Arial" w:cs="Arial"/>
          <w:sz w:val="22"/>
          <w:lang w:val="es-CO"/>
        </w:rPr>
        <w:t xml:space="preserve"> </w:t>
      </w:r>
      <w:r w:rsidR="00225C1A">
        <w:rPr>
          <w:rFonts w:ascii="Arial" w:eastAsia="Calibri" w:hAnsi="Arial" w:cs="Arial"/>
          <w:sz w:val="22"/>
          <w:lang w:val="es-CO"/>
        </w:rPr>
        <w:t>s</w:t>
      </w:r>
      <w:r>
        <w:rPr>
          <w:rFonts w:ascii="Arial" w:eastAsia="Calibri" w:hAnsi="Arial" w:cs="Arial"/>
          <w:sz w:val="22"/>
          <w:lang w:val="es-CO"/>
        </w:rPr>
        <w:t>eñor</w:t>
      </w:r>
      <w:r w:rsidR="00AB2174">
        <w:rPr>
          <w:rFonts w:ascii="Arial" w:eastAsia="Calibri" w:hAnsi="Arial" w:cs="Arial"/>
          <w:sz w:val="22"/>
          <w:lang w:val="es-CO"/>
        </w:rPr>
        <w:t>a</w:t>
      </w:r>
      <w:r>
        <w:rPr>
          <w:rFonts w:ascii="Arial" w:eastAsia="Calibri" w:hAnsi="Arial" w:cs="Arial"/>
          <w:sz w:val="22"/>
          <w:lang w:val="es-CO"/>
        </w:rPr>
        <w:t xml:space="preserve"> </w:t>
      </w:r>
      <w:r w:rsidR="00AB2174">
        <w:rPr>
          <w:rFonts w:ascii="Arial" w:eastAsia="Calibri" w:hAnsi="Arial" w:cs="Arial"/>
          <w:sz w:val="22"/>
          <w:lang w:val="es-CO"/>
        </w:rPr>
        <w:t>Peña</w:t>
      </w:r>
      <w:r>
        <w:rPr>
          <w:rFonts w:ascii="Arial" w:eastAsia="Calibri" w:hAnsi="Arial" w:cs="Arial"/>
          <w:sz w:val="22"/>
          <w:lang w:val="es-CO"/>
        </w:rPr>
        <w:t xml:space="preserve">: </w:t>
      </w:r>
    </w:p>
    <w:p w14:paraId="24D48CA1" w14:textId="77777777" w:rsidR="00904CD9" w:rsidRPr="00667C72" w:rsidRDefault="00904CD9" w:rsidP="00904CD9">
      <w:pPr>
        <w:rPr>
          <w:rFonts w:ascii="Arial" w:eastAsia="Calibri" w:hAnsi="Arial" w:cs="Arial"/>
          <w:sz w:val="22"/>
          <w:lang w:val="es-CO"/>
        </w:rPr>
      </w:pPr>
    </w:p>
    <w:p w14:paraId="0923B836" w14:textId="1C165984" w:rsidR="00904CD9" w:rsidRPr="00667C72" w:rsidRDefault="00912BD6" w:rsidP="00904CD9">
      <w:pPr>
        <w:spacing w:line="276" w:lineRule="auto"/>
        <w:ind w:right="49"/>
        <w:jc w:val="both"/>
        <w:rPr>
          <w:rFonts w:ascii="Arial" w:eastAsia="Calibri" w:hAnsi="Arial" w:cs="Arial"/>
          <w:sz w:val="22"/>
          <w:lang w:val="es-CO"/>
        </w:rPr>
      </w:pPr>
      <w:r w:rsidRPr="00E807B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Pr>
          <w:rFonts w:ascii="Arial" w:eastAsia="Calibri" w:hAnsi="Arial" w:cs="Arial"/>
          <w:color w:val="000000" w:themeColor="text1"/>
          <w:sz w:val="22"/>
          <w:lang w:val="es-ES_tradnl"/>
        </w:rPr>
        <w:t xml:space="preserve"> y dentro de los términos establecidos en el artí</w:t>
      </w:r>
      <w:r w:rsidR="008A5AC8">
        <w:rPr>
          <w:rFonts w:ascii="Arial" w:eastAsia="Calibri" w:hAnsi="Arial" w:cs="Arial"/>
          <w:color w:val="000000" w:themeColor="text1"/>
          <w:sz w:val="22"/>
          <w:lang w:val="es-ES_tradnl"/>
        </w:rPr>
        <w:t>culo 14 de la Ley 1437 de 2011</w:t>
      </w:r>
      <w:r>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la Agencia Nacional de Contratación Pública – Colombia Compra</w:t>
      </w:r>
      <w:r w:rsidR="008A5AC8">
        <w:rPr>
          <w:rFonts w:ascii="Arial" w:eastAsia="Calibri" w:hAnsi="Arial" w:cs="Arial"/>
          <w:color w:val="000000" w:themeColor="text1"/>
          <w:sz w:val="22"/>
          <w:lang w:val="es-ES_tradnl"/>
        </w:rPr>
        <w:t xml:space="preserve"> Eficiente responde su consulta del </w:t>
      </w:r>
      <w:r w:rsidR="007A3415">
        <w:rPr>
          <w:rFonts w:ascii="Arial" w:eastAsia="Calibri" w:hAnsi="Arial" w:cs="Arial"/>
          <w:color w:val="000000" w:themeColor="text1"/>
          <w:sz w:val="22"/>
          <w:lang w:val="es-ES_tradnl"/>
        </w:rPr>
        <w:t>2</w:t>
      </w:r>
      <w:r w:rsidR="00E44AFA">
        <w:rPr>
          <w:rFonts w:ascii="Arial" w:eastAsia="Calibri" w:hAnsi="Arial" w:cs="Arial"/>
          <w:color w:val="000000" w:themeColor="text1"/>
          <w:sz w:val="22"/>
          <w:lang w:val="es-ES_tradnl"/>
        </w:rPr>
        <w:t>8</w:t>
      </w:r>
      <w:r w:rsidR="008A5AC8">
        <w:rPr>
          <w:rFonts w:ascii="Arial" w:eastAsia="Calibri" w:hAnsi="Arial" w:cs="Arial"/>
          <w:color w:val="000000" w:themeColor="text1"/>
          <w:sz w:val="22"/>
          <w:lang w:val="es-ES_tradnl"/>
        </w:rPr>
        <w:t xml:space="preserve"> de </w:t>
      </w:r>
      <w:r w:rsidR="007A3415">
        <w:rPr>
          <w:rFonts w:ascii="Arial" w:eastAsia="Calibri" w:hAnsi="Arial" w:cs="Arial"/>
          <w:color w:val="000000" w:themeColor="text1"/>
          <w:sz w:val="22"/>
          <w:lang w:val="es-ES_tradnl"/>
        </w:rPr>
        <w:t xml:space="preserve">marzo </w:t>
      </w:r>
      <w:r w:rsidR="008A5AC8">
        <w:rPr>
          <w:rFonts w:ascii="Arial" w:eastAsia="Calibri" w:hAnsi="Arial" w:cs="Arial"/>
          <w:color w:val="000000" w:themeColor="text1"/>
          <w:sz w:val="22"/>
          <w:lang w:val="es-ES_tradnl"/>
        </w:rPr>
        <w:t>de 202</w:t>
      </w:r>
      <w:r w:rsidR="007A3415">
        <w:rPr>
          <w:rFonts w:ascii="Arial" w:eastAsia="Calibri" w:hAnsi="Arial" w:cs="Arial"/>
          <w:color w:val="000000" w:themeColor="text1"/>
          <w:sz w:val="22"/>
          <w:lang w:val="es-ES_tradnl"/>
        </w:rPr>
        <w:t>2</w:t>
      </w:r>
      <w:r w:rsidR="00FD7994" w:rsidRPr="00667C72">
        <w:rPr>
          <w:rFonts w:ascii="Arial" w:eastAsia="Calibri" w:hAnsi="Arial" w:cs="Arial"/>
          <w:sz w:val="22"/>
          <w:lang w:val="es-CO"/>
        </w:rPr>
        <w:t>.</w:t>
      </w:r>
    </w:p>
    <w:p w14:paraId="3A5E9A2D" w14:textId="77777777" w:rsidR="00904CD9" w:rsidRPr="00667C72" w:rsidRDefault="00904CD9" w:rsidP="00904CD9">
      <w:pPr>
        <w:spacing w:line="276" w:lineRule="auto"/>
        <w:jc w:val="both"/>
        <w:rPr>
          <w:rFonts w:ascii="Arial" w:eastAsia="Calibri" w:hAnsi="Arial" w:cs="Arial"/>
          <w:sz w:val="22"/>
          <w:lang w:val="es-CO"/>
        </w:rPr>
      </w:pPr>
    </w:p>
    <w:p w14:paraId="5A4D90C7" w14:textId="3CFBE737" w:rsidR="00904CD9" w:rsidRPr="00667C72"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667C72">
        <w:rPr>
          <w:rFonts w:ascii="Arial" w:eastAsia="Calibri" w:hAnsi="Arial" w:cs="Arial"/>
          <w:b/>
          <w:sz w:val="22"/>
          <w:lang w:val="es-CO"/>
        </w:rPr>
        <w:t xml:space="preserve">Problema planteado </w:t>
      </w:r>
    </w:p>
    <w:p w14:paraId="6CB819BA" w14:textId="77777777" w:rsidR="00904CD9" w:rsidRPr="00667C72" w:rsidRDefault="00904CD9" w:rsidP="00FD7994">
      <w:pPr>
        <w:tabs>
          <w:tab w:val="left" w:pos="426"/>
        </w:tabs>
        <w:spacing w:line="276" w:lineRule="auto"/>
        <w:jc w:val="both"/>
        <w:rPr>
          <w:rFonts w:ascii="Arial" w:eastAsia="Calibri" w:hAnsi="Arial" w:cs="Arial"/>
          <w:b/>
          <w:sz w:val="22"/>
          <w:lang w:val="es-CO"/>
        </w:rPr>
      </w:pPr>
    </w:p>
    <w:p w14:paraId="5D166D49" w14:textId="008EF678" w:rsidR="00E9152C" w:rsidRDefault="005E1D1D" w:rsidP="0021571D">
      <w:pPr>
        <w:spacing w:line="276" w:lineRule="auto"/>
        <w:jc w:val="both"/>
        <w:rPr>
          <w:rFonts w:ascii="Arial" w:eastAsia="Calibri" w:hAnsi="Arial" w:cs="Arial"/>
          <w:sz w:val="22"/>
          <w:lang w:val="es-CO"/>
        </w:rPr>
      </w:pPr>
      <w:r>
        <w:rPr>
          <w:rFonts w:ascii="Arial" w:eastAsia="Calibri" w:hAnsi="Arial" w:cs="Arial"/>
          <w:sz w:val="22"/>
          <w:lang w:val="es-CO"/>
        </w:rPr>
        <w:t>Sobre</w:t>
      </w:r>
      <w:r w:rsidR="00E23732" w:rsidRPr="0028382A">
        <w:rPr>
          <w:rFonts w:ascii="Arial" w:eastAsia="Calibri" w:hAnsi="Arial" w:cs="Arial"/>
          <w:sz w:val="22"/>
          <w:lang w:val="es-CO"/>
        </w:rPr>
        <w:t xml:space="preserve"> los </w:t>
      </w:r>
      <w:r w:rsidR="00896F3F">
        <w:rPr>
          <w:rFonts w:ascii="Arial" w:eastAsia="Calibri" w:hAnsi="Arial" w:cs="Arial"/>
          <w:sz w:val="22"/>
          <w:lang w:val="es-CO"/>
        </w:rPr>
        <w:t>documentos tipo</w:t>
      </w:r>
      <w:r w:rsidR="00D076F0">
        <w:rPr>
          <w:rFonts w:ascii="Arial" w:eastAsia="Calibri" w:hAnsi="Arial" w:cs="Arial"/>
          <w:sz w:val="22"/>
          <w:lang w:val="es-CO"/>
        </w:rPr>
        <w:t xml:space="preserve"> </w:t>
      </w:r>
      <w:r w:rsidR="00D076F0" w:rsidRPr="0045129A">
        <w:rPr>
          <w:rFonts w:ascii="Arial" w:hAnsi="Arial" w:cs="Arial"/>
          <w:sz w:val="22"/>
        </w:rPr>
        <w:t>de licitación de obra pública de infraestructura de transporte – versión 3</w:t>
      </w:r>
      <w:r w:rsidR="00965638" w:rsidRPr="0028382A">
        <w:rPr>
          <w:rFonts w:ascii="Arial" w:eastAsia="Calibri" w:hAnsi="Arial" w:cs="Arial"/>
          <w:sz w:val="22"/>
          <w:lang w:val="es-CO"/>
        </w:rPr>
        <w:t xml:space="preserve">, </w:t>
      </w:r>
      <w:r w:rsidR="00E23732" w:rsidRPr="0028382A">
        <w:rPr>
          <w:rFonts w:ascii="Arial" w:eastAsia="Calibri" w:hAnsi="Arial" w:cs="Arial"/>
          <w:sz w:val="22"/>
          <w:lang w:val="es-CO"/>
        </w:rPr>
        <w:t>u</w:t>
      </w:r>
      <w:r w:rsidR="00256EDF">
        <w:rPr>
          <w:rFonts w:ascii="Arial" w:eastAsia="Calibri" w:hAnsi="Arial" w:cs="Arial"/>
          <w:sz w:val="22"/>
          <w:lang w:val="es-CO"/>
        </w:rPr>
        <w:t xml:space="preserve">sted realiza una pregunta </w:t>
      </w:r>
      <w:r w:rsidR="00D076F0">
        <w:rPr>
          <w:rFonts w:ascii="Arial" w:eastAsia="Calibri" w:hAnsi="Arial" w:cs="Arial"/>
          <w:sz w:val="22"/>
          <w:lang w:val="es-CO"/>
        </w:rPr>
        <w:t>relacionada con e</w:t>
      </w:r>
      <w:r w:rsidR="00167838">
        <w:rPr>
          <w:rFonts w:ascii="Arial" w:eastAsia="Calibri" w:hAnsi="Arial" w:cs="Arial"/>
          <w:sz w:val="22"/>
          <w:lang w:val="es-CO"/>
        </w:rPr>
        <w:t xml:space="preserve">l literal E del numeral 3.5.6. </w:t>
      </w:r>
      <w:bookmarkStart w:id="3" w:name="_Hlk102124419"/>
      <w:r w:rsidR="00FA09BA" w:rsidRPr="0028382A">
        <w:rPr>
          <w:rFonts w:ascii="Arial" w:eastAsia="Calibri" w:hAnsi="Arial" w:cs="Arial"/>
          <w:sz w:val="22"/>
          <w:lang w:val="es-CO"/>
        </w:rPr>
        <w:t>«</w:t>
      </w:r>
      <w:r w:rsidR="00167838">
        <w:rPr>
          <w:rFonts w:ascii="Arial" w:eastAsia="Calibri" w:hAnsi="Arial" w:cs="Arial"/>
          <w:sz w:val="22"/>
          <w:lang w:val="es-CO"/>
        </w:rPr>
        <w:t>Documentos válidos para la acreditación de la experiencia requerida</w:t>
      </w:r>
      <w:r w:rsidR="00FA09BA" w:rsidRPr="0028382A">
        <w:rPr>
          <w:rFonts w:ascii="Arial" w:hAnsi="Arial" w:cs="Arial"/>
          <w:color w:val="000000" w:themeColor="text1"/>
          <w:sz w:val="22"/>
        </w:rPr>
        <w:t>»</w:t>
      </w:r>
      <w:bookmarkEnd w:id="3"/>
      <w:r w:rsidR="00904CD9" w:rsidRPr="0028382A">
        <w:rPr>
          <w:rFonts w:ascii="Arial" w:eastAsia="Calibri" w:hAnsi="Arial" w:cs="Arial"/>
          <w:sz w:val="22"/>
          <w:lang w:val="es-CO"/>
        </w:rPr>
        <w:t>:</w:t>
      </w:r>
      <w:r w:rsidR="00567165" w:rsidRPr="0028382A">
        <w:rPr>
          <w:rFonts w:ascii="Arial" w:eastAsia="Calibri" w:hAnsi="Arial" w:cs="Arial"/>
          <w:sz w:val="22"/>
          <w:lang w:val="es-CO"/>
        </w:rPr>
        <w:t xml:space="preserve"> </w:t>
      </w:r>
    </w:p>
    <w:p w14:paraId="749B7D66" w14:textId="77777777" w:rsidR="00E9152C" w:rsidRDefault="00E9152C" w:rsidP="0021571D">
      <w:pPr>
        <w:spacing w:line="276" w:lineRule="auto"/>
        <w:jc w:val="both"/>
        <w:rPr>
          <w:rFonts w:ascii="Arial" w:eastAsia="Calibri" w:hAnsi="Arial" w:cs="Arial"/>
          <w:sz w:val="22"/>
          <w:lang w:val="es-CO"/>
        </w:rPr>
      </w:pPr>
    </w:p>
    <w:p w14:paraId="1E437AFA" w14:textId="26188C2D" w:rsidR="00E23732" w:rsidRPr="00DC4CDC" w:rsidRDefault="00567165" w:rsidP="00DC4CDC">
      <w:pPr>
        <w:ind w:left="709" w:right="709"/>
        <w:jc w:val="both"/>
        <w:rPr>
          <w:rFonts w:ascii="Arial" w:eastAsia="Calibri" w:hAnsi="Arial" w:cs="Arial"/>
          <w:sz w:val="21"/>
          <w:szCs w:val="21"/>
          <w:lang w:val="es-CO"/>
        </w:rPr>
      </w:pPr>
      <w:r w:rsidRPr="00E9152C">
        <w:rPr>
          <w:rFonts w:ascii="Arial" w:eastAsia="Calibri" w:hAnsi="Arial" w:cs="Arial"/>
          <w:sz w:val="21"/>
          <w:szCs w:val="21"/>
          <w:lang w:val="es-CO"/>
        </w:rPr>
        <w:t>«</w:t>
      </w:r>
      <w:bookmarkStart w:id="4" w:name="_Hlk90544701"/>
      <w:bookmarkStart w:id="5" w:name="_Hlk81476722"/>
      <w:r w:rsidR="00C85F68" w:rsidRPr="00E9152C">
        <w:rPr>
          <w:rFonts w:ascii="Arial" w:eastAsia="Calibri" w:hAnsi="Arial" w:cs="Arial"/>
          <w:sz w:val="21"/>
          <w:szCs w:val="21"/>
          <w:lang w:val="es-CO"/>
        </w:rPr>
        <w:t xml:space="preserve">[...] </w:t>
      </w:r>
      <w:r w:rsidR="00C85F68" w:rsidRPr="00E9152C">
        <w:rPr>
          <w:rFonts w:ascii="Arial" w:hAnsi="Arial" w:cs="Arial"/>
          <w:color w:val="000000" w:themeColor="text1"/>
          <w:sz w:val="21"/>
          <w:szCs w:val="21"/>
        </w:rPr>
        <w:t>si un integrante de una unión temporal cede su participación con un 89% de ejecución, se entiende en el numeral E, que el cedente (que tuvo un 89% de ejecución y reesponsabilidad en la obra) no se le reconocerá experiencia alguna. Solicito amablemente un concepto aclaratorio al numeral, ya que nos parece muy general, y debe dar una interpretación específica, ya que se debería tener en cuenta el porcentaje de ejecución para mayores al 50% y reconocer la experiencia al cedente, si tiene un mayor porcentaje de ejcución</w:t>
      </w:r>
      <w:r w:rsidR="0028382A" w:rsidRPr="00E9152C">
        <w:rPr>
          <w:rFonts w:ascii="Arial" w:hAnsi="Arial" w:cs="Arial"/>
          <w:color w:val="000000" w:themeColor="text1"/>
          <w:sz w:val="21"/>
          <w:szCs w:val="21"/>
        </w:rPr>
        <w:t>»</w:t>
      </w:r>
      <w:r w:rsidR="005E7B38" w:rsidRPr="00E9152C">
        <w:rPr>
          <w:rFonts w:ascii="Arial" w:hAnsi="Arial" w:cs="Arial"/>
          <w:color w:val="000000" w:themeColor="text1"/>
          <w:sz w:val="21"/>
          <w:szCs w:val="21"/>
        </w:rPr>
        <w:t xml:space="preserve"> </w:t>
      </w:r>
      <w:bookmarkEnd w:id="4"/>
      <w:bookmarkEnd w:id="5"/>
    </w:p>
    <w:p w14:paraId="540791AB" w14:textId="77F28ED4" w:rsidR="00D2235E" w:rsidRDefault="00D2235E" w:rsidP="00904CD9">
      <w:pPr>
        <w:tabs>
          <w:tab w:val="left" w:pos="426"/>
        </w:tabs>
        <w:spacing w:line="276" w:lineRule="auto"/>
        <w:jc w:val="both"/>
        <w:rPr>
          <w:rFonts w:ascii="Arial" w:eastAsia="Calibri" w:hAnsi="Arial" w:cs="Arial"/>
          <w:sz w:val="22"/>
          <w:lang w:val="es-CO"/>
        </w:rPr>
      </w:pPr>
    </w:p>
    <w:p w14:paraId="2F5E658F" w14:textId="77777777" w:rsidR="00D2235E" w:rsidRPr="00BB0056" w:rsidRDefault="00D2235E" w:rsidP="00904CD9">
      <w:pPr>
        <w:tabs>
          <w:tab w:val="left" w:pos="426"/>
        </w:tabs>
        <w:spacing w:line="276" w:lineRule="auto"/>
        <w:jc w:val="both"/>
        <w:rPr>
          <w:rFonts w:ascii="Arial" w:eastAsia="Calibri" w:hAnsi="Arial" w:cs="Arial"/>
          <w:sz w:val="22"/>
          <w:lang w:val="es-CO"/>
        </w:rPr>
      </w:pPr>
    </w:p>
    <w:p w14:paraId="6D7EF36B" w14:textId="0C9CAA90" w:rsidR="00A152BD" w:rsidRDefault="00904CD9" w:rsidP="00E236F4">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lastRenderedPageBreak/>
        <w:t>Consideraciones</w:t>
      </w:r>
    </w:p>
    <w:p w14:paraId="7147FBB3" w14:textId="77777777" w:rsidR="00E236F4" w:rsidRPr="00E236F4" w:rsidRDefault="00E236F4" w:rsidP="00E236F4">
      <w:pPr>
        <w:pStyle w:val="Prrafodelista"/>
        <w:tabs>
          <w:tab w:val="left" w:pos="426"/>
        </w:tabs>
        <w:spacing w:line="276" w:lineRule="auto"/>
        <w:ind w:left="284"/>
        <w:jc w:val="both"/>
        <w:rPr>
          <w:rFonts w:ascii="Arial" w:eastAsia="Calibri" w:hAnsi="Arial" w:cs="Arial"/>
          <w:b/>
          <w:sz w:val="22"/>
          <w:lang w:val="es-CO"/>
        </w:rPr>
      </w:pPr>
    </w:p>
    <w:p w14:paraId="023E8CF1" w14:textId="73AF05AD" w:rsidR="00A152BD" w:rsidRPr="00A152BD" w:rsidRDefault="00A152BD" w:rsidP="00DC4CDC">
      <w:pPr>
        <w:spacing w:after="120" w:line="276" w:lineRule="auto"/>
        <w:jc w:val="both"/>
        <w:rPr>
          <w:rFonts w:ascii="Arial" w:eastAsia="Times New Roman" w:hAnsi="Arial" w:cs="Arial"/>
          <w:sz w:val="22"/>
          <w:lang w:val="es-CO" w:eastAsia="es-ES_tradnl"/>
        </w:rPr>
      </w:pPr>
      <w:r w:rsidRPr="00A152BD">
        <w:rPr>
          <w:rFonts w:ascii="Arial" w:hAnsi="Arial"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D2235E">
        <w:rPr>
          <w:rFonts w:ascii="Arial" w:hAnsi="Arial" w:cs="Arial"/>
          <w:sz w:val="22"/>
        </w:rPr>
        <w:t xml:space="preserve"> </w:t>
      </w:r>
      <w:r w:rsidRPr="00A152BD">
        <w:rPr>
          <w:rFonts w:ascii="Arial" w:eastAsia="Times New Roman" w:hAnsi="Arial" w:cs="Arial"/>
          <w:sz w:val="22"/>
          <w:lang w:val="es-CO" w:eastAsia="es-ES_tradnl"/>
        </w:rPr>
        <w:t>Es necesario tener en cuenta que esta entidad solo tiene competencia para responder solicitudes sobre la aplicación de normas de carácter general en materia de compras y contratación pública</w:t>
      </w:r>
      <w:r w:rsidRPr="00A152BD">
        <w:rPr>
          <w:rFonts w:ascii="Arial" w:hAnsi="Arial" w:cs="Arial"/>
          <w:vertAlign w:val="superscript"/>
        </w:rPr>
        <w:footnoteReference w:id="1"/>
      </w:r>
      <w:r w:rsidRPr="00A152BD">
        <w:rPr>
          <w:rFonts w:ascii="Arial" w:eastAsia="Times New Roman" w:hAnsi="Arial" w:cs="Arial"/>
          <w:sz w:val="22"/>
          <w:lang w:val="es-CO" w:eastAsia="es-ES_tradnl"/>
        </w:rPr>
        <w:t>. Esta se fija con límites claros, con el objeto de evitar que la Agencia actúe como una instancia de validación de las actuaciones de las entidades sujetas a la Ley 80 de 1993 o de los demás participantes de la contratación pública.</w:t>
      </w:r>
    </w:p>
    <w:p w14:paraId="2F5556E3" w14:textId="32564CBE" w:rsidR="00F9709E" w:rsidRPr="00F9709E" w:rsidRDefault="002C7762" w:rsidP="002C7762">
      <w:pPr>
        <w:spacing w:after="120" w:line="276" w:lineRule="auto"/>
        <w:ind w:firstLine="709"/>
        <w:jc w:val="both"/>
        <w:rPr>
          <w:rFonts w:ascii="Arial" w:eastAsia="Times New Roman" w:hAnsi="Arial" w:cs="Arial"/>
          <w:sz w:val="22"/>
          <w:szCs w:val="24"/>
          <w:lang w:val="es-ES_tradnl" w:eastAsia="es-ES_tradnl"/>
        </w:rPr>
      </w:pPr>
      <w:r>
        <w:rPr>
          <w:rFonts w:ascii="Arial" w:eastAsia="Calibri" w:hAnsi="Arial" w:cs="Arial"/>
          <w:color w:val="000000"/>
          <w:sz w:val="22"/>
          <w:szCs w:val="24"/>
          <w:lang w:val="es-ES_tradnl" w:eastAsia="es-ES_tradnl"/>
        </w:rPr>
        <w:t xml:space="preserve">Por ello, </w:t>
      </w:r>
      <w:r w:rsidR="00F9709E" w:rsidRPr="00F9709E">
        <w:rPr>
          <w:rFonts w:ascii="Arial" w:eastAsia="Calibri" w:hAnsi="Arial" w:cs="Arial"/>
          <w:color w:val="000000"/>
          <w:sz w:val="22"/>
          <w:szCs w:val="24"/>
          <w:lang w:val="es-ES_tradnl" w:eastAsia="es-ES_tradnl"/>
        </w:rPr>
        <w:t xml:space="preserve">la </w:t>
      </w:r>
      <w:r>
        <w:rPr>
          <w:rFonts w:ascii="Arial" w:eastAsia="Calibri" w:hAnsi="Arial" w:cs="Arial"/>
          <w:color w:val="000000"/>
          <w:sz w:val="22"/>
          <w:szCs w:val="24"/>
          <w:lang w:val="es-ES_tradnl" w:eastAsia="es-ES_tradnl"/>
        </w:rPr>
        <w:t>Subdirección de Gestión Contractual</w:t>
      </w:r>
      <w:r w:rsidR="00F9709E" w:rsidRPr="00F9709E">
        <w:rPr>
          <w:rFonts w:ascii="Arial" w:eastAsia="Calibri" w:hAnsi="Arial" w:cs="Arial"/>
          <w:color w:val="000000"/>
          <w:sz w:val="22"/>
          <w:szCs w:val="24"/>
          <w:lang w:val="es-ES_tradnl" w:eastAsia="es-ES_tradnl"/>
        </w:rPr>
        <w:t xml:space="preserve"> –dentro de los límites de sus atribuciones– resolverá la consulta conforme a las normas generales en materia de contratación estatal. Con este objetivo, p</w:t>
      </w:r>
      <w:r w:rsidR="00F9709E" w:rsidRPr="00F9709E">
        <w:rPr>
          <w:rFonts w:ascii="Arial" w:eastAsia="Times New Roman" w:hAnsi="Arial" w:cs="Arial"/>
          <w:sz w:val="22"/>
          <w:szCs w:val="24"/>
          <w:lang w:val="es-ES_tradnl" w:eastAsia="es-ES_tradnl"/>
        </w:rPr>
        <w:t xml:space="preserve">ara responder el anterior cuestionamiento relacionado con </w:t>
      </w:r>
      <w:r w:rsidR="00FD2D12">
        <w:rPr>
          <w:rFonts w:ascii="Arial" w:eastAsia="Times New Roman" w:hAnsi="Arial" w:cs="Arial"/>
          <w:sz w:val="22"/>
          <w:szCs w:val="24"/>
          <w:lang w:val="es-ES_tradnl" w:eastAsia="es-ES_tradnl"/>
        </w:rPr>
        <w:t>los</w:t>
      </w:r>
      <w:r w:rsidR="00F9709E" w:rsidRPr="00F9709E">
        <w:rPr>
          <w:rFonts w:ascii="Arial" w:eastAsia="Times New Roman" w:hAnsi="Arial" w:cs="Arial"/>
          <w:sz w:val="22"/>
          <w:szCs w:val="24"/>
          <w:lang w:val="es-ES_tradnl" w:eastAsia="es-ES_tradnl"/>
        </w:rPr>
        <w:t xml:space="preserve"> documentos tipo </w:t>
      </w:r>
      <w:r w:rsidR="00FD2D12" w:rsidRPr="0045129A">
        <w:rPr>
          <w:rFonts w:ascii="Arial" w:hAnsi="Arial" w:cs="Arial"/>
          <w:sz w:val="22"/>
        </w:rPr>
        <w:t>de licitación de obra pública de infraestructura de transporte – versión 3</w:t>
      </w:r>
      <w:r w:rsidR="00F9709E" w:rsidRPr="00F9709E">
        <w:rPr>
          <w:rFonts w:ascii="Arial" w:eastAsia="Times New Roman" w:hAnsi="Arial" w:cs="Arial"/>
          <w:sz w:val="22"/>
          <w:szCs w:val="24"/>
          <w:lang w:val="es-ES_tradnl" w:eastAsia="es-ES_tradnl"/>
        </w:rPr>
        <w:t xml:space="preserve">, se analizarán los siguientes temas: i) </w:t>
      </w:r>
      <w:r w:rsidR="00DC1E5E">
        <w:rPr>
          <w:rFonts w:ascii="Arial" w:eastAsia="Times New Roman" w:hAnsi="Arial" w:cs="Arial"/>
          <w:sz w:val="22"/>
          <w:szCs w:val="24"/>
          <w:lang w:val="es-ES_tradnl" w:eastAsia="es-ES_tradnl"/>
        </w:rPr>
        <w:t>generalidades de los</w:t>
      </w:r>
      <w:r w:rsidR="00F9709E" w:rsidRPr="00F9709E">
        <w:rPr>
          <w:rFonts w:ascii="Arial" w:eastAsia="Times New Roman" w:hAnsi="Arial" w:cs="Arial"/>
          <w:sz w:val="22"/>
          <w:szCs w:val="24"/>
          <w:lang w:val="es-ES_tradnl" w:eastAsia="es-ES_tradnl"/>
        </w:rPr>
        <w:t xml:space="preserve"> documentos tipo </w:t>
      </w:r>
      <w:r w:rsidR="00DC1E5E">
        <w:rPr>
          <w:rFonts w:ascii="Arial" w:eastAsia="Times New Roman" w:hAnsi="Arial" w:cs="Arial"/>
          <w:sz w:val="22"/>
          <w:szCs w:val="24"/>
          <w:lang w:val="es-ES_tradnl" w:eastAsia="es-ES_tradnl"/>
        </w:rPr>
        <w:t>de infraestructura de transporte</w:t>
      </w:r>
      <w:r w:rsidR="00F9709E" w:rsidRPr="00F9709E">
        <w:rPr>
          <w:rFonts w:ascii="Arial" w:eastAsia="Times New Roman" w:hAnsi="Arial" w:cs="Arial"/>
          <w:sz w:val="22"/>
          <w:szCs w:val="24"/>
          <w:lang w:val="es-ES_tradnl" w:eastAsia="es-ES_tradnl"/>
        </w:rPr>
        <w:t xml:space="preserve">; ii) el alcance de la regla de la inalterabilidad de los documentos tipo, y </w:t>
      </w:r>
      <w:proofErr w:type="spellStart"/>
      <w:r w:rsidR="00F9709E" w:rsidRPr="00F9709E">
        <w:rPr>
          <w:rFonts w:ascii="Arial" w:eastAsia="Times New Roman" w:hAnsi="Arial" w:cs="Arial"/>
          <w:sz w:val="22"/>
          <w:szCs w:val="24"/>
          <w:lang w:val="es-ES_tradnl" w:eastAsia="es-ES_tradnl"/>
        </w:rPr>
        <w:t>iii</w:t>
      </w:r>
      <w:proofErr w:type="spellEnd"/>
      <w:r w:rsidR="00F9709E" w:rsidRPr="00F9709E">
        <w:rPr>
          <w:rFonts w:ascii="Arial" w:eastAsia="Times New Roman" w:hAnsi="Arial" w:cs="Arial"/>
          <w:sz w:val="22"/>
          <w:szCs w:val="24"/>
          <w:lang w:val="es-ES_tradnl" w:eastAsia="es-ES_tradnl"/>
        </w:rPr>
        <w:t>)</w:t>
      </w:r>
      <w:bookmarkStart w:id="6" w:name="_Hlk85536647"/>
      <w:r w:rsidR="00DC1E5E">
        <w:rPr>
          <w:rFonts w:ascii="Arial" w:eastAsia="Times New Roman" w:hAnsi="Arial" w:cs="Arial"/>
          <w:sz w:val="22"/>
          <w:szCs w:val="24"/>
          <w:lang w:val="es-ES_tradnl" w:eastAsia="es-ES_tradnl"/>
        </w:rPr>
        <w:t xml:space="preserve"> </w:t>
      </w:r>
      <w:bookmarkEnd w:id="6"/>
      <w:r w:rsidR="00DA4C2B">
        <w:rPr>
          <w:rFonts w:ascii="Arial" w:eastAsia="Times New Roman" w:hAnsi="Arial" w:cs="Arial"/>
          <w:sz w:val="22"/>
          <w:szCs w:val="24"/>
          <w:lang w:val="es-ES_tradnl" w:eastAsia="es-ES_tradnl"/>
        </w:rPr>
        <w:t xml:space="preserve">el </w:t>
      </w:r>
      <w:r w:rsidR="008F1443" w:rsidRPr="008F1443">
        <w:rPr>
          <w:rFonts w:ascii="Arial" w:eastAsia="Times New Roman" w:hAnsi="Arial" w:cs="Arial"/>
          <w:sz w:val="22"/>
          <w:szCs w:val="24"/>
          <w:lang w:val="es-ES_tradnl" w:eastAsia="es-ES_tradnl"/>
        </w:rPr>
        <w:t xml:space="preserve">Literal E del Numeral 3.5.6. </w:t>
      </w:r>
      <w:r w:rsidR="00062503" w:rsidRPr="0028382A">
        <w:rPr>
          <w:rFonts w:ascii="Arial" w:eastAsia="Calibri" w:hAnsi="Arial" w:cs="Arial"/>
          <w:sz w:val="22"/>
          <w:lang w:val="es-CO"/>
        </w:rPr>
        <w:t>«</w:t>
      </w:r>
      <w:r w:rsidR="00062503">
        <w:rPr>
          <w:rFonts w:ascii="Arial" w:eastAsia="Calibri" w:hAnsi="Arial" w:cs="Arial"/>
          <w:sz w:val="22"/>
          <w:lang w:val="es-CO"/>
        </w:rPr>
        <w:t>Documentos válidos para la acreditación de la experiencia requerida</w:t>
      </w:r>
      <w:r w:rsidR="00062503" w:rsidRPr="0028382A">
        <w:rPr>
          <w:rFonts w:ascii="Arial" w:hAnsi="Arial" w:cs="Arial"/>
          <w:color w:val="000000" w:themeColor="text1"/>
          <w:sz w:val="22"/>
        </w:rPr>
        <w:t>»</w:t>
      </w:r>
      <w:r w:rsidR="008F1443">
        <w:rPr>
          <w:rFonts w:ascii="Arial" w:eastAsia="Times New Roman" w:hAnsi="Arial" w:cs="Arial"/>
          <w:sz w:val="22"/>
          <w:szCs w:val="24"/>
          <w:lang w:val="es-ES_tradnl" w:eastAsia="es-ES_tradnl"/>
        </w:rPr>
        <w:t xml:space="preserve">. </w:t>
      </w:r>
    </w:p>
    <w:p w14:paraId="37FC775F" w14:textId="4253233A" w:rsidR="00945536" w:rsidRDefault="00F9709E" w:rsidP="00D2235E">
      <w:pPr>
        <w:spacing w:line="276" w:lineRule="auto"/>
        <w:ind w:firstLine="708"/>
        <w:jc w:val="both"/>
        <w:textAlignment w:val="baseline"/>
        <w:rPr>
          <w:rStyle w:val="eop"/>
          <w:rFonts w:ascii="Arial" w:hAnsi="Arial" w:cs="Arial"/>
          <w:color w:val="000000"/>
          <w:sz w:val="22"/>
          <w:shd w:val="clear" w:color="auto" w:fill="FFFFFF"/>
        </w:rPr>
      </w:pPr>
      <w:r w:rsidRPr="00F9709E">
        <w:rPr>
          <w:rFonts w:ascii="Arial" w:eastAsia="Times New Roman" w:hAnsi="Arial" w:cs="Arial"/>
          <w:color w:val="000000"/>
          <w:sz w:val="22"/>
          <w:szCs w:val="24"/>
          <w:lang w:val="es-ES_tradnl" w:eastAsia="es-ES_tradnl"/>
        </w:rPr>
        <w:t xml:space="preserve">La Agencia Nacional de Contratación Pública – Colombia Compra Eficiente se pronunció sobre </w:t>
      </w:r>
      <w:r w:rsidRPr="00F9709E">
        <w:rPr>
          <w:rFonts w:ascii="Arial" w:eastAsia="Arial" w:hAnsi="Arial" w:cs="Arial"/>
          <w:color w:val="000000"/>
          <w:sz w:val="22"/>
          <w:szCs w:val="24"/>
          <w:lang w:val="es-ES_tradnl" w:eastAsia="es-ES_tradnl"/>
        </w:rPr>
        <w:t xml:space="preserve">los pliegos de condiciones tipo en la contratación estatal, así como sobre su inalterabilidad, entre otros, en los </w:t>
      </w:r>
      <w:r w:rsidRPr="00F9709E">
        <w:rPr>
          <w:rFonts w:ascii="Arial" w:eastAsia="Calibri" w:hAnsi="Arial" w:cs="Arial"/>
          <w:color w:val="000000"/>
          <w:sz w:val="22"/>
          <w:shd w:val="clear" w:color="auto" w:fill="FFFFFF"/>
          <w:lang w:val="es-CO"/>
        </w:rPr>
        <w:t xml:space="preserve">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w:t>
      </w:r>
      <w:r w:rsidRPr="00F9709E">
        <w:rPr>
          <w:rFonts w:ascii="Arial" w:eastAsia="Calibri" w:hAnsi="Arial" w:cs="Arial"/>
          <w:color w:val="000000"/>
          <w:sz w:val="22"/>
          <w:shd w:val="clear" w:color="auto" w:fill="FFFFFF"/>
          <w:lang w:val="es-CO"/>
        </w:rPr>
        <w:lastRenderedPageBreak/>
        <w:t>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w:t>
      </w:r>
      <w:r w:rsidRPr="00F9709E">
        <w:rPr>
          <w:rFonts w:ascii="Arial" w:eastAsia="Calibri" w:hAnsi="Arial" w:cs="Arial"/>
          <w:color w:val="000000"/>
          <w:sz w:val="22"/>
          <w:shd w:val="clear" w:color="auto" w:fill="FFFFFF"/>
          <w:lang w:val="es-ES"/>
        </w:rPr>
        <w:t>C-031 del 1 de febrero de 2021,</w:t>
      </w:r>
      <w:r w:rsidRPr="00F9709E">
        <w:rPr>
          <w:rFonts w:ascii="Arial" w:eastAsia="Calibri" w:hAnsi="Arial" w:cs="Arial"/>
          <w:color w:val="000000"/>
          <w:sz w:val="22"/>
          <w:shd w:val="clear" w:color="auto" w:fill="FFFFFF"/>
          <w:lang w:val="es-CO"/>
        </w:rPr>
        <w:t> C-027 del 1 de marzo de 2021, C-064 del 8 de marzo 2021, C-157 del 13 de abril de 2021 y C-204 del 6 de mayo de 2021, C-555 del 20 de octubre de 2021, C-691 del 28 de diciembre de 2021</w:t>
      </w:r>
      <w:r w:rsidR="0031359C">
        <w:rPr>
          <w:rFonts w:ascii="Arial" w:eastAsia="Calibri" w:hAnsi="Arial" w:cs="Arial"/>
          <w:color w:val="000000"/>
          <w:sz w:val="22"/>
          <w:shd w:val="clear" w:color="auto" w:fill="FFFFFF"/>
          <w:lang w:val="es-CO"/>
        </w:rPr>
        <w:t xml:space="preserve"> y C-058 del </w:t>
      </w:r>
      <w:r w:rsidR="00766369">
        <w:rPr>
          <w:rFonts w:ascii="Arial" w:eastAsia="Calibri" w:hAnsi="Arial" w:cs="Arial"/>
          <w:color w:val="000000"/>
          <w:sz w:val="22"/>
          <w:shd w:val="clear" w:color="auto" w:fill="FFFFFF"/>
          <w:lang w:val="es-CO"/>
        </w:rPr>
        <w:t>8 de marzo de 2022</w:t>
      </w:r>
      <w:r w:rsidR="00945536">
        <w:rPr>
          <w:rFonts w:ascii="Arial" w:eastAsia="Calibri" w:hAnsi="Arial" w:cs="Arial"/>
          <w:color w:val="000000" w:themeColor="text1"/>
          <w:sz w:val="22"/>
          <w:lang w:val="es-ES_tradnl"/>
        </w:rPr>
        <w:t>.</w:t>
      </w:r>
      <w:r w:rsidR="00945536" w:rsidRPr="00E91076">
        <w:rPr>
          <w:rFonts w:ascii="Arial" w:hAnsi="Arial" w:cs="Arial"/>
          <w:color w:val="000000" w:themeColor="text1"/>
          <w:sz w:val="22"/>
          <w:lang w:val="es-ES_tradnl"/>
        </w:rPr>
        <w:t xml:space="preserve"> </w:t>
      </w:r>
      <w:r w:rsidR="00587F59">
        <w:rPr>
          <w:rStyle w:val="normaltextrun"/>
          <w:rFonts w:ascii="Arial" w:hAnsi="Arial" w:cs="Arial"/>
          <w:color w:val="000000"/>
          <w:sz w:val="22"/>
          <w:shd w:val="clear" w:color="auto" w:fill="FFFFFF"/>
        </w:rPr>
        <w:t>Las tesis desarrolladas en estos conceptos se reiteran a continuación</w:t>
      </w:r>
      <w:r w:rsidR="00497320">
        <w:rPr>
          <w:rStyle w:val="normaltextrun"/>
          <w:rFonts w:ascii="Arial" w:hAnsi="Arial" w:cs="Arial"/>
          <w:color w:val="000000"/>
          <w:sz w:val="22"/>
          <w:shd w:val="clear" w:color="auto" w:fill="FFFFFF"/>
        </w:rPr>
        <w:t xml:space="preserve"> y se complementan en lo pertinente</w:t>
      </w:r>
      <w:r w:rsidR="00587F59">
        <w:rPr>
          <w:rStyle w:val="normaltextrun"/>
          <w:rFonts w:ascii="Arial" w:hAnsi="Arial" w:cs="Arial"/>
          <w:color w:val="000000"/>
          <w:sz w:val="22"/>
          <w:shd w:val="clear" w:color="auto" w:fill="FFFFFF"/>
        </w:rPr>
        <w:t>:</w:t>
      </w:r>
      <w:r w:rsidR="00587F59">
        <w:rPr>
          <w:rStyle w:val="eop"/>
          <w:rFonts w:ascii="Arial" w:hAnsi="Arial" w:cs="Arial"/>
          <w:color w:val="000000"/>
          <w:sz w:val="22"/>
          <w:shd w:val="clear" w:color="auto" w:fill="FFFFFF"/>
        </w:rPr>
        <w:t> </w:t>
      </w:r>
    </w:p>
    <w:p w14:paraId="0A7B46B5" w14:textId="77777777" w:rsidR="00D2235E" w:rsidRPr="00497320" w:rsidRDefault="00D2235E" w:rsidP="00DC4CDC">
      <w:pPr>
        <w:spacing w:line="276" w:lineRule="auto"/>
        <w:ind w:firstLine="708"/>
        <w:jc w:val="both"/>
        <w:textAlignment w:val="baseline"/>
        <w:rPr>
          <w:rFonts w:ascii="Arial" w:eastAsia="Arial" w:hAnsi="Arial" w:cs="Arial"/>
          <w:color w:val="000000"/>
          <w:sz w:val="22"/>
          <w:szCs w:val="24"/>
          <w:lang w:val="es-ES_tradnl" w:eastAsia="es-ES_tradnl"/>
        </w:rPr>
      </w:pPr>
    </w:p>
    <w:p w14:paraId="32FD80C3" w14:textId="464252C7" w:rsidR="00843BC4" w:rsidRDefault="00C439A1" w:rsidP="009B4391">
      <w:pPr>
        <w:tabs>
          <w:tab w:val="left" w:pos="426"/>
        </w:tabs>
        <w:jc w:val="both"/>
        <w:rPr>
          <w:rFonts w:ascii="Arial" w:eastAsia="Calibri" w:hAnsi="Arial" w:cs="Arial"/>
          <w:b/>
          <w:sz w:val="22"/>
          <w:lang w:val="es-CO"/>
        </w:rPr>
      </w:pPr>
      <w:r>
        <w:rPr>
          <w:rFonts w:ascii="Arial" w:eastAsia="Calibri" w:hAnsi="Arial" w:cs="Arial"/>
          <w:b/>
          <w:sz w:val="22"/>
          <w:lang w:val="es-CO"/>
        </w:rPr>
        <w:t xml:space="preserve">2.1. Generalidades de los documentos tipo </w:t>
      </w:r>
      <w:r w:rsidR="00611D3C">
        <w:rPr>
          <w:rFonts w:ascii="Arial" w:eastAsia="Calibri" w:hAnsi="Arial" w:cs="Arial"/>
          <w:b/>
          <w:sz w:val="22"/>
          <w:lang w:val="es-CO"/>
        </w:rPr>
        <w:t>de infraestructura de transporte</w:t>
      </w:r>
    </w:p>
    <w:p w14:paraId="37931115" w14:textId="77777777" w:rsidR="00C439A1" w:rsidRDefault="00C439A1" w:rsidP="00C439A1">
      <w:pPr>
        <w:shd w:val="clear" w:color="auto" w:fill="FFFFFF"/>
        <w:spacing w:line="276" w:lineRule="auto"/>
        <w:jc w:val="both"/>
        <w:rPr>
          <w:rFonts w:ascii="Arial" w:eastAsia="Calibri" w:hAnsi="Arial" w:cs="Arial"/>
          <w:b/>
          <w:sz w:val="22"/>
          <w:lang w:val="es-CO"/>
        </w:rPr>
      </w:pPr>
    </w:p>
    <w:p w14:paraId="458DC2E7" w14:textId="1AC2A079" w:rsidR="002A4E44" w:rsidRPr="0043040E" w:rsidRDefault="002A4E44" w:rsidP="00C439A1">
      <w:pPr>
        <w:shd w:val="clear" w:color="auto" w:fill="FFFFFF"/>
        <w:spacing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w:t>
      </w:r>
    </w:p>
    <w:p w14:paraId="6A7AFB32" w14:textId="77777777" w:rsidR="002A4E44" w:rsidRPr="0043040E"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5"/>
      </w:r>
      <w:r w:rsidRPr="0043040E">
        <w:rPr>
          <w:rFonts w:ascii="Arial" w:hAnsi="Arial" w:cs="Arial"/>
          <w:color w:val="0D0D0D"/>
          <w:sz w:val="22"/>
          <w:bdr w:val="none" w:sz="0" w:space="0" w:color="auto" w:frame="1"/>
          <w:lang w:eastAsia="es-CO"/>
        </w:rPr>
        <w:t>. </w:t>
      </w:r>
    </w:p>
    <w:p w14:paraId="0B03A0DB" w14:textId="77777777" w:rsidR="002A4E44" w:rsidRDefault="002A4E44" w:rsidP="002A4E44">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lastRenderedPageBreak/>
        <w:t>Posteriormente, el artículo 2, parágrafo 7º, de la Ley 1150 de 2007, adicionado por el artículo 4 de la Ley 1882 de 2018, establece la obligatoriedad de la adopción de documentos tipo para algunos contratos, en los siguientes términos: </w:t>
      </w:r>
    </w:p>
    <w:p w14:paraId="253EB66B" w14:textId="77777777" w:rsidR="002A4E44" w:rsidRPr="0043040E" w:rsidRDefault="002A4E44" w:rsidP="002A4E44">
      <w:pPr>
        <w:shd w:val="clear" w:color="auto" w:fill="FFFFFF"/>
        <w:spacing w:line="276" w:lineRule="auto"/>
        <w:ind w:firstLine="709"/>
        <w:jc w:val="both"/>
        <w:rPr>
          <w:rFonts w:ascii="Arial" w:hAnsi="Arial" w:cs="Arial"/>
          <w:color w:val="000000"/>
          <w:sz w:val="22"/>
          <w:lang w:eastAsia="es-CO"/>
        </w:rPr>
      </w:pPr>
    </w:p>
    <w:p w14:paraId="71E8FDEF" w14:textId="77777777" w:rsidR="002A4E44" w:rsidRDefault="002A4E44" w:rsidP="002A4E44">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1262BC94" w14:textId="77777777" w:rsidR="002A4E44" w:rsidRPr="00346E84" w:rsidRDefault="002A4E44" w:rsidP="002A4E44">
      <w:pPr>
        <w:shd w:val="clear" w:color="auto" w:fill="FFFFFF"/>
        <w:spacing w:line="276" w:lineRule="auto"/>
        <w:ind w:left="709" w:right="709"/>
        <w:jc w:val="both"/>
        <w:rPr>
          <w:rFonts w:ascii="Arial" w:hAnsi="Arial" w:cs="Arial"/>
          <w:color w:val="000000"/>
          <w:sz w:val="22"/>
          <w:lang w:eastAsia="es-CO"/>
        </w:rPr>
      </w:pPr>
    </w:p>
    <w:p w14:paraId="70E92BE4" w14:textId="7591352C" w:rsidR="002A4E44" w:rsidRPr="00B57F79" w:rsidRDefault="002A4E44" w:rsidP="002A4E44">
      <w:pPr>
        <w:shd w:val="clear" w:color="auto" w:fill="FFFFFF"/>
        <w:spacing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w:t>
      </w:r>
      <w:r w:rsidR="00BE6711">
        <w:rPr>
          <w:rFonts w:ascii="Arial" w:hAnsi="Arial" w:cs="Arial"/>
          <w:color w:val="0D0D0D"/>
          <w:sz w:val="22"/>
          <w:bdr w:val="none" w:sz="0" w:space="0" w:color="auto" w:frame="1"/>
          <w:lang w:eastAsia="es-CO"/>
        </w:rPr>
        <w:t>pues</w:t>
      </w:r>
      <w:r w:rsidRPr="00B57F79">
        <w:rPr>
          <w:rFonts w:ascii="Arial" w:hAnsi="Arial" w:cs="Arial"/>
          <w:color w:val="0D0D0D"/>
          <w:sz w:val="22"/>
          <w:bdr w:val="none" w:sz="0" w:space="0" w:color="auto" w:frame="1"/>
          <w:lang w:eastAsia="es-CO"/>
        </w:rPr>
        <w:t xml:space="preserve"> antes se señalaba al Gobierno Nacional y ahora la entidad encargada directamente por la Ley es la Agencia Nacional de Contratación Pública – Colombia Compra Eficiente</w:t>
      </w:r>
      <w:r w:rsidR="00DE3A59" w:rsidRPr="00B57F79">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57F79">
        <w:rPr>
          <w:rStyle w:val="Refdenotaalpie"/>
          <w:rFonts w:ascii="Arial" w:hAnsi="Arial" w:cs="Arial"/>
          <w:color w:val="0D0D0D"/>
          <w:sz w:val="22"/>
          <w:bdr w:val="none" w:sz="0" w:space="0" w:color="auto" w:frame="1"/>
          <w:lang w:eastAsia="es-CO"/>
        </w:rPr>
        <w:footnoteReference w:id="6"/>
      </w:r>
      <w:r w:rsidRPr="00B57F79">
        <w:rPr>
          <w:rFonts w:ascii="Arial" w:hAnsi="Arial" w:cs="Arial"/>
          <w:color w:val="0D0D0D"/>
          <w:sz w:val="22"/>
          <w:bdr w:val="none" w:sz="0" w:space="0" w:color="auto" w:frame="1"/>
          <w:lang w:eastAsia="es-CO"/>
        </w:rPr>
        <w:t>.  </w:t>
      </w:r>
    </w:p>
    <w:p w14:paraId="3C45B786" w14:textId="77777777" w:rsidR="002A4E44" w:rsidRPr="00B57F79" w:rsidRDefault="002A4E44" w:rsidP="002A4E44">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599E6685" w14:textId="65D7CFC6"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En ejercicio de la competencia conferida por el citado parágrafo, el Gobierno Nacional expidió el Decreto 342 de 2019, por medio del </w:t>
      </w:r>
      <w:r w:rsidR="004C3FAA">
        <w:rPr>
          <w:rFonts w:ascii="Arial" w:hAnsi="Arial" w:cs="Arial"/>
          <w:color w:val="0D0D0D"/>
          <w:sz w:val="22"/>
          <w:bdr w:val="none" w:sz="0" w:space="0" w:color="auto" w:frame="1"/>
          <w:lang w:eastAsia="es-CO"/>
        </w:rPr>
        <w:t>cual</w:t>
      </w:r>
      <w:r w:rsidR="004C3FAA"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 xml:space="preserve">se adoptaron los documentos tipo </w:t>
      </w:r>
      <w:r w:rsidR="00E57442">
        <w:rPr>
          <w:rFonts w:ascii="Arial" w:hAnsi="Arial" w:cs="Arial"/>
          <w:color w:val="0D0D0D"/>
          <w:sz w:val="22"/>
          <w:bdr w:val="none" w:sz="0" w:space="0" w:color="auto" w:frame="1"/>
          <w:lang w:eastAsia="es-CO"/>
        </w:rPr>
        <w:t>de</w:t>
      </w:r>
      <w:r w:rsidR="00E57442"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 xml:space="preserve">licitaciones públicas para </w:t>
      </w:r>
      <w:r w:rsidR="00E57442">
        <w:rPr>
          <w:rFonts w:ascii="Arial" w:hAnsi="Arial" w:cs="Arial"/>
          <w:color w:val="0D0D0D"/>
          <w:sz w:val="22"/>
          <w:bdr w:val="none" w:sz="0" w:space="0" w:color="auto" w:frame="1"/>
          <w:lang w:eastAsia="es-CO"/>
        </w:rPr>
        <w:t xml:space="preserve">la </w:t>
      </w:r>
      <w:r w:rsidRPr="00B57F79">
        <w:rPr>
          <w:rFonts w:ascii="Arial" w:hAnsi="Arial" w:cs="Arial"/>
          <w:color w:val="0D0D0D"/>
          <w:sz w:val="22"/>
          <w:bdr w:val="none" w:sz="0" w:space="0" w:color="auto" w:frame="1"/>
          <w:lang w:eastAsia="es-CO"/>
        </w:rPr>
        <w:t>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CCFEA2A" w14:textId="77777777"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3F570BAC" w14:textId="1AD00198"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w:t>
      </w:r>
      <w:r w:rsidR="00874CC0">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w:t>
      </w:r>
      <w:r w:rsidR="003776F1" w:rsidRPr="00B57F79">
        <w:rPr>
          <w:rFonts w:ascii="Arial" w:hAnsi="Arial" w:cs="Arial"/>
          <w:color w:val="0D0D0D"/>
          <w:sz w:val="22"/>
          <w:bdr w:val="none" w:sz="0" w:space="0" w:color="auto" w:frame="1"/>
          <w:lang w:eastAsia="es-CO"/>
        </w:rPr>
        <w:t xml:space="preserve">Lo anterior se materializó </w:t>
      </w:r>
      <w:r w:rsidRPr="00B57F79">
        <w:rPr>
          <w:rFonts w:ascii="Arial" w:hAnsi="Arial" w:cs="Arial"/>
          <w:color w:val="0D0D0D"/>
          <w:sz w:val="22"/>
          <w:bdr w:val="none" w:sz="0" w:space="0" w:color="auto" w:frame="1"/>
          <w:lang w:eastAsia="es-CO"/>
        </w:rPr>
        <w:t xml:space="preserve">con la expedición de la Resolución No. </w:t>
      </w:r>
      <w:r w:rsidRPr="00B57F79">
        <w:rPr>
          <w:rFonts w:ascii="Arial" w:hAnsi="Arial" w:cs="Arial"/>
          <w:color w:val="0D0D0D"/>
          <w:sz w:val="22"/>
          <w:bdr w:val="none" w:sz="0" w:space="0" w:color="auto" w:frame="1"/>
          <w:lang w:eastAsia="es-CO"/>
        </w:rPr>
        <w:lastRenderedPageBreak/>
        <w:t>1798 del 1º de abril de 2019 que implementó la Versión 1 de los documentos tipo para procesos de licitación de obra pública de infraestructura de transporte. </w:t>
      </w:r>
    </w:p>
    <w:p w14:paraId="0967AB17" w14:textId="234AD192" w:rsidR="002A4E44" w:rsidRPr="00B57F79" w:rsidRDefault="002A4E44" w:rsidP="00F52A68">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La Agencia Nacional de Contratación Pública – Colombia Compra Eficiente</w:t>
      </w:r>
      <w:r w:rsidR="00874CC0">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luego de identificar, junto con el Departamento Nacional de Planeación y el Ministerio de Transporte, la necesidad de actualizar los documentos tipo para los procesos de licitación pública </w:t>
      </w:r>
      <w:r w:rsidR="005A0B35">
        <w:rPr>
          <w:rFonts w:ascii="Arial" w:hAnsi="Arial" w:cs="Arial"/>
          <w:color w:val="0D0D0D"/>
          <w:sz w:val="22"/>
          <w:bdr w:val="none" w:sz="0" w:space="0" w:color="auto" w:frame="1"/>
          <w:lang w:eastAsia="es-CO"/>
        </w:rPr>
        <w:t>con la finalidad</w:t>
      </w:r>
      <w:r w:rsidRPr="00B57F79">
        <w:rPr>
          <w:rFonts w:ascii="Arial" w:hAnsi="Arial" w:cs="Arial"/>
          <w:color w:val="0D0D0D"/>
          <w:sz w:val="22"/>
          <w:bdr w:val="none" w:sz="0" w:space="0" w:color="auto" w:frame="1"/>
          <w:lang w:eastAsia="es-CO"/>
        </w:rPr>
        <w:t xml:space="preserve">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91B5085" w14:textId="0856A46F" w:rsidR="002A4E44" w:rsidRPr="00B57F79"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sidR="00F52A68" w:rsidRPr="00B57F79">
        <w:rPr>
          <w:rFonts w:ascii="Arial" w:hAnsi="Arial" w:cs="Arial"/>
          <w:color w:val="0D0D0D"/>
          <w:sz w:val="22"/>
          <w:bdr w:val="none" w:sz="0" w:space="0" w:color="auto" w:frame="1"/>
          <w:lang w:eastAsia="es-CO"/>
        </w:rPr>
        <w:t xml:space="preserve">En este Decreto se autorizó </w:t>
      </w:r>
      <w:r w:rsidR="00C85B4E">
        <w:rPr>
          <w:rFonts w:ascii="Arial" w:hAnsi="Arial" w:cs="Arial"/>
          <w:color w:val="0D0D0D"/>
          <w:sz w:val="22"/>
          <w:bdr w:val="none" w:sz="0" w:space="0" w:color="auto" w:frame="1"/>
          <w:lang w:eastAsia="es-CO"/>
        </w:rPr>
        <w:t xml:space="preserve">la elaboración de </w:t>
      </w:r>
      <w:r w:rsidRPr="00B57F79">
        <w:rPr>
          <w:rFonts w:ascii="Arial" w:hAnsi="Arial" w:cs="Arial"/>
          <w:color w:val="0D0D0D"/>
          <w:sz w:val="22"/>
          <w:bdr w:val="none" w:sz="0" w:space="0" w:color="auto" w:frame="1"/>
          <w:lang w:eastAsia="es-CO"/>
        </w:rPr>
        <w:t xml:space="preserve">los documentos tipo para procesos de contratación de obra pública de infraestructura de transporte adelantados </w:t>
      </w:r>
      <w:r w:rsidR="00C85B4E">
        <w:rPr>
          <w:rFonts w:ascii="Arial" w:hAnsi="Arial" w:cs="Arial"/>
          <w:color w:val="0D0D0D"/>
          <w:sz w:val="22"/>
          <w:bdr w:val="none" w:sz="0" w:space="0" w:color="auto" w:frame="1"/>
          <w:lang w:eastAsia="es-CO"/>
        </w:rPr>
        <w:t>bajo</w:t>
      </w:r>
      <w:r w:rsidR="00C85B4E"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la modalidad de selección abreviada de menor cuantía. Este reglamento adicionó la Subsección 2 a la Sección 6 del Capítulo 2 del Título 1 de la parte 2 del Libro 2 del Decreto 1082 de 2015. </w:t>
      </w:r>
    </w:p>
    <w:p w14:paraId="57ECDCE0" w14:textId="682736AB" w:rsidR="002A4E44" w:rsidRPr="00B57F79" w:rsidRDefault="002A4E44" w:rsidP="00C439A1">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w:t>
      </w:r>
      <w:r w:rsidR="00F32194">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Además, el 2.2.1.2.6.2.3 </w:t>
      </w:r>
      <w:r w:rsidRPr="00B57F79">
        <w:rPr>
          <w:rFonts w:ascii="Arial" w:hAnsi="Arial" w:cs="Arial"/>
          <w:i/>
          <w:iCs/>
          <w:color w:val="0D0D0D"/>
          <w:sz w:val="22"/>
          <w:bdr w:val="none" w:sz="0" w:space="0" w:color="auto" w:frame="1"/>
          <w:lang w:eastAsia="es-CO"/>
        </w:rPr>
        <w:t>ibidem</w:t>
      </w:r>
      <w:r w:rsidRPr="00B57F79">
        <w:rPr>
          <w:rFonts w:ascii="Arial" w:hAnsi="Arial" w:cs="Arial"/>
          <w:color w:val="0D0D0D"/>
          <w:sz w:val="22"/>
          <w:bdr w:val="none" w:sz="0" w:space="0" w:color="auto" w:frame="1"/>
          <w:lang w:eastAsia="es-CO"/>
        </w:rPr>
        <w:t> facultó a la Agencia Nacional de Contratación Pública – Colombia Compra Eficiente, para que</w:t>
      </w:r>
      <w:r w:rsidR="00A2737D">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La entidad ejerció esta competencia mediante la expedición de la Resolución No. 044 del 14 de febrero de 2020</w:t>
      </w:r>
      <w:r w:rsidR="00A2737D">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que implementó los documentos tipo para esta modalidad de selección. </w:t>
      </w:r>
    </w:p>
    <w:p w14:paraId="34E2600E" w14:textId="77777777" w:rsidR="002A4E44" w:rsidRPr="00567165"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567165">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B8BDB64" w14:textId="72E5EA87" w:rsidR="002A4E44" w:rsidRPr="00567165"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567165">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w:t>
      </w:r>
      <w:r w:rsidR="00F52A68" w:rsidRPr="00567165">
        <w:rPr>
          <w:rFonts w:ascii="Arial" w:hAnsi="Arial" w:cs="Arial"/>
          <w:color w:val="0D0D0D"/>
          <w:sz w:val="22"/>
          <w:bdr w:val="none" w:sz="0" w:space="0" w:color="auto" w:frame="1"/>
          <w:lang w:eastAsia="es-CO"/>
        </w:rPr>
        <w:t xml:space="preserve"> </w:t>
      </w:r>
      <w:r w:rsidRPr="00567165">
        <w:rPr>
          <w:rFonts w:ascii="Arial" w:hAnsi="Arial" w:cs="Arial"/>
          <w:color w:val="0D0D0D"/>
          <w:sz w:val="22"/>
          <w:bdr w:val="none" w:sz="0" w:space="0" w:color="auto" w:frame="1"/>
          <w:lang w:eastAsia="es-CO"/>
        </w:rPr>
        <w:t>2.2.1.2.6.3.3</w:t>
      </w:r>
      <w:r w:rsidR="00F52A68" w:rsidRPr="00567165">
        <w:rPr>
          <w:rFonts w:ascii="Arial" w:hAnsi="Arial" w:cs="Arial"/>
          <w:color w:val="0D0D0D"/>
          <w:sz w:val="22"/>
          <w:bdr w:val="none" w:sz="0" w:space="0" w:color="auto" w:frame="1"/>
          <w:lang w:eastAsia="es-CO"/>
        </w:rPr>
        <w:t xml:space="preserve"> </w:t>
      </w:r>
      <w:r w:rsidRPr="00567165">
        <w:rPr>
          <w:rFonts w:ascii="Arial" w:hAnsi="Arial" w:cs="Arial"/>
          <w:color w:val="0D0D0D"/>
          <w:sz w:val="22"/>
          <w:bdr w:val="none" w:sz="0" w:space="0" w:color="auto" w:frame="1"/>
          <w:lang w:eastAsia="es-CO"/>
        </w:rPr>
        <w:t>facultó a la Agencia Nacional de Contratación Pública – Colombia Compra Eficiente, para que</w:t>
      </w:r>
      <w:r w:rsidR="00FF5D63">
        <w:rPr>
          <w:rFonts w:ascii="Arial" w:hAnsi="Arial" w:cs="Arial"/>
          <w:color w:val="0D0D0D"/>
          <w:sz w:val="22"/>
          <w:bdr w:val="none" w:sz="0" w:space="0" w:color="auto" w:frame="1"/>
          <w:lang w:eastAsia="es-CO"/>
        </w:rPr>
        <w:t>,</w:t>
      </w:r>
      <w:r w:rsidRPr="00567165">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Esta competencia fue ejercida mediante </w:t>
      </w:r>
      <w:r w:rsidRPr="00567165">
        <w:rPr>
          <w:rFonts w:ascii="Arial" w:hAnsi="Arial" w:cs="Arial"/>
          <w:color w:val="0D0D0D"/>
          <w:sz w:val="22"/>
          <w:bdr w:val="none" w:sz="0" w:space="0" w:color="auto" w:frame="1"/>
          <w:lang w:eastAsia="es-CO"/>
        </w:rPr>
        <w:lastRenderedPageBreak/>
        <w:t>la expedición de la Resolución No. 094 del 21 de mayo de 2020 que implementó los documentos tipo para esta modalidad de selección. </w:t>
      </w:r>
    </w:p>
    <w:p w14:paraId="12944205" w14:textId="59DCEDB7" w:rsidR="005E2440" w:rsidRPr="00567165" w:rsidRDefault="00F52A68" w:rsidP="005E2440">
      <w:pPr>
        <w:pStyle w:val="Normal11pt"/>
        <w:spacing w:before="120" w:after="120" w:line="276" w:lineRule="auto"/>
        <w:ind w:left="0" w:firstLine="709"/>
        <w:rPr>
          <w:color w:val="0D0D0D"/>
          <w:bdr w:val="none" w:sz="0" w:space="0" w:color="auto" w:frame="1"/>
          <w:lang w:eastAsia="es-CO"/>
        </w:rPr>
      </w:pPr>
      <w:r w:rsidRPr="00567165">
        <w:rPr>
          <w:color w:val="0D0D0D"/>
          <w:bdr w:val="none" w:sz="0" w:space="0" w:color="auto" w:frame="1"/>
          <w:lang w:eastAsia="es-CO"/>
        </w:rPr>
        <w:t xml:space="preserve">Esta </w:t>
      </w:r>
      <w:r w:rsidR="00FF5D63">
        <w:rPr>
          <w:color w:val="0D0D0D"/>
          <w:bdr w:val="none" w:sz="0" w:space="0" w:color="auto" w:frame="1"/>
          <w:lang w:eastAsia="es-CO"/>
        </w:rPr>
        <w:t>A</w:t>
      </w:r>
      <w:r w:rsidRPr="00567165">
        <w:rPr>
          <w:color w:val="0D0D0D"/>
          <w:bdr w:val="none" w:sz="0" w:space="0" w:color="auto" w:frame="1"/>
          <w:lang w:eastAsia="es-CO"/>
        </w:rPr>
        <w:t>gencia</w:t>
      </w:r>
      <w:r w:rsidR="00FF5D63">
        <w:rPr>
          <w:color w:val="0D0D0D"/>
          <w:bdr w:val="none" w:sz="0" w:space="0" w:color="auto" w:frame="1"/>
          <w:lang w:eastAsia="es-CO"/>
        </w:rPr>
        <w:t>,</w:t>
      </w:r>
      <w:r w:rsidRPr="00567165">
        <w:rPr>
          <w:color w:val="0D0D0D"/>
          <w:bdr w:val="none" w:sz="0" w:space="0" w:color="auto" w:frame="1"/>
          <w:lang w:eastAsia="es-CO"/>
        </w:rPr>
        <w:t xml:space="preserve"> analizando </w:t>
      </w:r>
      <w:r w:rsidR="002A4E44" w:rsidRPr="00567165">
        <w:rPr>
          <w:color w:val="0D0D0D"/>
          <w:bdr w:val="none" w:sz="0" w:space="0" w:color="auto" w:frame="1"/>
          <w:lang w:eastAsia="es-CO"/>
        </w:rPr>
        <w:t xml:space="preserve">la afectación económica que causaron las medidas adoptadas para contener la pandemia COVID – 19 en el país, </w:t>
      </w:r>
      <w:r w:rsidR="00FF5D63" w:rsidRPr="00567165">
        <w:rPr>
          <w:color w:val="0D0D0D"/>
          <w:bdr w:val="none" w:sz="0" w:space="0" w:color="auto" w:frame="1"/>
          <w:lang w:eastAsia="es-CO"/>
        </w:rPr>
        <w:t>decid</w:t>
      </w:r>
      <w:r w:rsidR="00FF5D63">
        <w:rPr>
          <w:color w:val="0D0D0D"/>
          <w:bdr w:val="none" w:sz="0" w:space="0" w:color="auto" w:frame="1"/>
          <w:lang w:eastAsia="es-CO"/>
        </w:rPr>
        <w:t>ió</w:t>
      </w:r>
      <w:r w:rsidR="00FF5D63" w:rsidRPr="00567165">
        <w:rPr>
          <w:color w:val="0D0D0D"/>
          <w:bdr w:val="none" w:sz="0" w:space="0" w:color="auto" w:frame="1"/>
          <w:lang w:eastAsia="es-CO"/>
        </w:rPr>
        <w:t xml:space="preserve"> </w:t>
      </w:r>
      <w:r w:rsidR="002A4E44" w:rsidRPr="00567165">
        <w:rPr>
          <w:color w:val="0D0D0D"/>
          <w:bdr w:val="none" w:sz="0" w:space="0" w:color="auto" w:frame="1"/>
          <w:lang w:eastAsia="es-CO"/>
        </w:rPr>
        <w:t>actualizar los documentos tipo para los procesos de licitación de obra pública y selección abreviada de menor cuantía de infraestructura de transporte y, en consecuencia, adopt</w:t>
      </w:r>
      <w:r w:rsidR="00FF5D63">
        <w:rPr>
          <w:color w:val="0D0D0D"/>
          <w:bdr w:val="none" w:sz="0" w:space="0" w:color="auto" w:frame="1"/>
          <w:lang w:eastAsia="es-CO"/>
        </w:rPr>
        <w:t>ó</w:t>
      </w:r>
      <w:r w:rsidR="002A4E44" w:rsidRPr="00567165">
        <w:rPr>
          <w:color w:val="0D0D0D"/>
          <w:bdr w:val="none" w:sz="0" w:space="0" w:color="auto" w:frame="1"/>
          <w:lang w:eastAsia="es-CO"/>
        </w:rPr>
        <w:t xml:space="preserve"> medidas en apoyo a la industria nacional. Por tanto, bajo la competencia prevista en la Ley 2022 de 2020, Colombia Compra Eficiente </w:t>
      </w:r>
      <w:r w:rsidR="00FF5D63" w:rsidRPr="00567165">
        <w:rPr>
          <w:color w:val="0D0D0D"/>
          <w:bdr w:val="none" w:sz="0" w:space="0" w:color="auto" w:frame="1"/>
          <w:lang w:eastAsia="es-CO"/>
        </w:rPr>
        <w:t>expid</w:t>
      </w:r>
      <w:r w:rsidR="00FF5D63">
        <w:rPr>
          <w:color w:val="0D0D0D"/>
          <w:bdr w:val="none" w:sz="0" w:space="0" w:color="auto" w:frame="1"/>
          <w:lang w:eastAsia="es-CO"/>
        </w:rPr>
        <w:t>ió</w:t>
      </w:r>
      <w:r w:rsidR="00FF5D63" w:rsidRPr="00567165">
        <w:rPr>
          <w:color w:val="0D0D0D"/>
          <w:bdr w:val="none" w:sz="0" w:space="0" w:color="auto" w:frame="1"/>
          <w:lang w:eastAsia="es-CO"/>
        </w:rPr>
        <w:t xml:space="preserve"> </w:t>
      </w:r>
      <w:r w:rsidR="002A4E44" w:rsidRPr="00567165">
        <w:rPr>
          <w:color w:val="0D0D0D"/>
          <w:bdr w:val="none" w:sz="0" w:space="0" w:color="auto" w:frame="1"/>
          <w:lang w:eastAsia="es-CO"/>
        </w:rPr>
        <w:t xml:space="preserve">las Resoluciones No. 240 y 241 del 27 de noviembre 2020 </w:t>
      </w:r>
      <w:r w:rsidR="00D945B8" w:rsidRPr="00567165">
        <w:rPr>
          <w:color w:val="0D0D0D"/>
          <w:bdr w:val="none" w:sz="0" w:space="0" w:color="auto" w:frame="1"/>
          <w:lang w:eastAsia="es-CO"/>
        </w:rPr>
        <w:t>mediante</w:t>
      </w:r>
      <w:r w:rsidR="002A4E44" w:rsidRPr="00567165">
        <w:rPr>
          <w:color w:val="0D0D0D"/>
          <w:bdr w:val="none" w:sz="0" w:space="0" w:color="auto" w:frame="1"/>
          <w:lang w:eastAsia="es-CO"/>
        </w:rPr>
        <w:t xml:space="preserve"> las cuales se adoptan los documentos tipo de licitación de obra pública – versión 3 y de selección abreviada de menor cuantía – versión 2 de infraestructura de transporte, los cuales son obligatorios a partir del 1º de enero de 2021. Incluso, estos se ajustaron </w:t>
      </w:r>
      <w:r w:rsidR="003A3686" w:rsidRPr="00567165">
        <w:rPr>
          <w:color w:val="0D0D0D"/>
          <w:bdr w:val="none" w:sz="0" w:space="0" w:color="auto" w:frame="1"/>
          <w:lang w:eastAsia="es-CO"/>
        </w:rPr>
        <w:t>mediante</w:t>
      </w:r>
      <w:r w:rsidR="002A4E44" w:rsidRPr="00567165">
        <w:rPr>
          <w:color w:val="0D0D0D"/>
          <w:bdr w:val="none" w:sz="0" w:space="0" w:color="auto" w:frame="1"/>
          <w:lang w:eastAsia="es-CO"/>
        </w:rPr>
        <w:t xml:space="preserve"> la Resolución No. 161 del 17 de junio de 2021, «Por la cual se modifican los documentos tipo adoptados por la Agencia Nacional de Contratación Pública – Colombia Compra Eficiente», </w:t>
      </w:r>
      <w:r w:rsidR="00936764">
        <w:rPr>
          <w:color w:val="0D0D0D"/>
          <w:bdr w:val="none" w:sz="0" w:space="0" w:color="auto" w:frame="1"/>
          <w:lang w:eastAsia="es-CO"/>
        </w:rPr>
        <w:t>para adaptar los documentos tipo a los factores de desempate del artículo 35 de la Ley 2069 de 2020</w:t>
      </w:r>
      <w:r w:rsidR="002A4E44" w:rsidRPr="00567165">
        <w:rPr>
          <w:color w:val="0D0D0D"/>
          <w:bdr w:val="none" w:sz="0" w:space="0" w:color="auto" w:frame="1"/>
          <w:lang w:eastAsia="es-CO"/>
        </w:rPr>
        <w:t xml:space="preserve">. </w:t>
      </w:r>
    </w:p>
    <w:p w14:paraId="3DB13CCD" w14:textId="0AB55FBB" w:rsidR="00567165" w:rsidRDefault="00567165" w:rsidP="005E2440">
      <w:pPr>
        <w:spacing w:line="276" w:lineRule="auto"/>
        <w:jc w:val="both"/>
        <w:rPr>
          <w:rFonts w:ascii="Arial" w:hAnsi="Arial" w:cs="Arial"/>
          <w:spacing w:val="2"/>
          <w:sz w:val="22"/>
          <w:lang w:val="es-CO" w:eastAsia="es-CO"/>
        </w:rPr>
      </w:pPr>
      <w:r w:rsidRPr="00567165">
        <w:rPr>
          <w:rFonts w:ascii="Arial" w:eastAsia="Times New Roman" w:hAnsi="Arial" w:cs="Arial"/>
          <w:spacing w:val="2"/>
          <w:sz w:val="22"/>
          <w:lang w:val="es-CO" w:eastAsia="es-CO"/>
        </w:rPr>
        <w:tab/>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567165">
        <w:rPr>
          <w:rFonts w:ascii="Arial" w:hAnsi="Arial" w:cs="Arial"/>
          <w:spacing w:val="2"/>
          <w:sz w:val="22"/>
          <w:lang w:val="es-CO" w:eastAsia="es-CO"/>
        </w:rPr>
        <w:t xml:space="preserve">Ante este cambio normativo, se expidió la Resolución 304 del 13 de octubre de 2021, la cual </w:t>
      </w:r>
      <w:r w:rsidR="00F43272">
        <w:rPr>
          <w:rFonts w:ascii="Arial" w:hAnsi="Arial" w:cs="Arial"/>
          <w:spacing w:val="2"/>
          <w:sz w:val="22"/>
          <w:lang w:val="es-CO" w:eastAsia="es-CO"/>
        </w:rPr>
        <w:t>modificó</w:t>
      </w:r>
      <w:r w:rsidRPr="00567165">
        <w:rPr>
          <w:rFonts w:ascii="Arial" w:hAnsi="Arial" w:cs="Arial"/>
          <w:spacing w:val="2"/>
          <w:sz w:val="22"/>
          <w:lang w:val="es-CO" w:eastAsia="es-CO"/>
        </w:rPr>
        <w:t xml:space="preserve"> los documentos tipo a las nuevas reglas de origen aplicables a los servicios nacionales</w:t>
      </w:r>
      <w:r w:rsidR="002A01C4">
        <w:rPr>
          <w:rFonts w:ascii="Arial" w:hAnsi="Arial" w:cs="Arial"/>
          <w:spacing w:val="2"/>
          <w:sz w:val="22"/>
          <w:lang w:val="es-CO" w:eastAsia="es-CO"/>
        </w:rPr>
        <w:t>.</w:t>
      </w:r>
    </w:p>
    <w:p w14:paraId="6B264C4B" w14:textId="3749BE66" w:rsidR="008034F6" w:rsidRDefault="008034F6" w:rsidP="005E2440">
      <w:pPr>
        <w:spacing w:line="276" w:lineRule="auto"/>
        <w:jc w:val="both"/>
        <w:rPr>
          <w:rFonts w:ascii="Arial" w:hAnsi="Arial" w:cs="Arial"/>
          <w:spacing w:val="2"/>
          <w:sz w:val="22"/>
          <w:lang w:val="es-CO" w:eastAsia="es-CO"/>
        </w:rPr>
      </w:pPr>
    </w:p>
    <w:p w14:paraId="44FF1A59" w14:textId="78806280" w:rsidR="002C199A" w:rsidRDefault="008034F6" w:rsidP="00A86412">
      <w:pPr>
        <w:spacing w:line="276" w:lineRule="auto"/>
        <w:jc w:val="both"/>
        <w:rPr>
          <w:rFonts w:ascii="Arial" w:hAnsi="Arial" w:cs="Arial"/>
          <w:b/>
          <w:bCs/>
          <w:color w:val="000000"/>
          <w:sz w:val="22"/>
          <w:lang w:eastAsia="es-CO"/>
        </w:rPr>
      </w:pPr>
      <w:r w:rsidRPr="008034F6">
        <w:rPr>
          <w:rFonts w:ascii="Arial" w:hAnsi="Arial" w:cs="Arial"/>
          <w:b/>
          <w:bCs/>
          <w:spacing w:val="2"/>
          <w:sz w:val="22"/>
          <w:lang w:val="es-CO" w:eastAsia="es-CO"/>
        </w:rPr>
        <w:t xml:space="preserve">2.2. </w:t>
      </w:r>
      <w:r w:rsidR="002C199A" w:rsidRPr="00B97354">
        <w:rPr>
          <w:rFonts w:ascii="Arial" w:hAnsi="Arial" w:cs="Arial"/>
          <w:b/>
          <w:bCs/>
          <w:color w:val="000000"/>
          <w:sz w:val="22"/>
          <w:lang w:eastAsia="es-CO"/>
        </w:rPr>
        <w:t xml:space="preserve">Alcance de la regla de inalterabilidad de los documentos tipo y sus excepciones </w:t>
      </w:r>
    </w:p>
    <w:p w14:paraId="704FB478" w14:textId="77777777" w:rsidR="00657451" w:rsidRPr="00B97354" w:rsidRDefault="00657451" w:rsidP="00A86412">
      <w:pPr>
        <w:spacing w:line="276" w:lineRule="auto"/>
        <w:jc w:val="both"/>
        <w:rPr>
          <w:rFonts w:ascii="Arial" w:hAnsi="Arial" w:cs="Arial"/>
          <w:b/>
          <w:bCs/>
          <w:color w:val="000000"/>
          <w:sz w:val="22"/>
          <w:lang w:eastAsia="es-CO"/>
        </w:rPr>
      </w:pPr>
    </w:p>
    <w:p w14:paraId="09A2A279" w14:textId="77777777" w:rsidR="002C199A" w:rsidRPr="00B97354" w:rsidRDefault="002C199A" w:rsidP="00DC4CDC">
      <w:pPr>
        <w:spacing w:after="120" w:line="276" w:lineRule="auto"/>
        <w:jc w:val="both"/>
        <w:rPr>
          <w:rFonts w:ascii="Arial" w:eastAsia="Calibri" w:hAnsi="Arial" w:cs="Arial"/>
          <w:color w:val="000000"/>
          <w:sz w:val="22"/>
          <w:lang w:val="es-ES_tradnl"/>
        </w:rPr>
      </w:pPr>
      <w:r w:rsidRPr="00B97354">
        <w:rPr>
          <w:rFonts w:ascii="Arial" w:eastAsia="Calibri" w:hAnsi="Arial" w:cs="Arial"/>
          <w:color w:val="000000"/>
          <w:sz w:val="22"/>
          <w:lang w:val="es-ES_tradnl"/>
        </w:rPr>
        <w:t>Todas las resoluciones</w:t>
      </w:r>
      <w:r w:rsidRPr="00B97354">
        <w:rPr>
          <w:rFonts w:ascii="Arial" w:eastAsia="Calibri" w:hAnsi="Arial" w:cs="Arial"/>
          <w:color w:val="000000"/>
          <w:sz w:val="22"/>
          <w:vertAlign w:val="superscript"/>
          <w:lang w:val="es-ES_tradnl"/>
        </w:rPr>
        <w:footnoteReference w:id="7"/>
      </w:r>
      <w:r w:rsidRPr="00B97354">
        <w:rPr>
          <w:rFonts w:ascii="Arial" w:eastAsia="Calibri" w:hAnsi="Arial" w:cs="Arial"/>
          <w:color w:val="000000"/>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B97354">
        <w:rPr>
          <w:rFonts w:ascii="Arial" w:eastAsia="Calibri" w:hAnsi="Arial" w:cs="Arial"/>
          <w:i/>
          <w:iCs/>
          <w:color w:val="000000"/>
          <w:sz w:val="22"/>
          <w:lang w:val="es-ES_tradnl"/>
        </w:rPr>
        <w:t>Documentos del Proceso</w:t>
      </w:r>
      <w:r w:rsidRPr="00B97354">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En consecuencia, las </w:t>
      </w:r>
      <w:r w:rsidRPr="00B97354">
        <w:rPr>
          <w:rFonts w:ascii="Arial" w:eastAsia="Calibri" w:hAnsi="Arial" w:cs="Arial"/>
          <w:color w:val="000000"/>
          <w:sz w:val="22"/>
          <w:lang w:val="es-ES_tradnl"/>
        </w:rPr>
        <w:lastRenderedPageBreak/>
        <w:t>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F3FC324" w14:textId="77777777" w:rsidR="002C199A" w:rsidRPr="00B97354" w:rsidRDefault="002C199A" w:rsidP="002C199A">
      <w:pPr>
        <w:spacing w:before="120" w:after="120" w:line="276" w:lineRule="auto"/>
        <w:ind w:firstLine="709"/>
        <w:jc w:val="both"/>
        <w:rPr>
          <w:rFonts w:ascii="Arial" w:eastAsia="Calibri" w:hAnsi="Arial" w:cs="Arial"/>
          <w:sz w:val="22"/>
          <w:lang w:val="es-ES_tradnl"/>
        </w:rPr>
      </w:pPr>
      <w:r w:rsidRPr="00B97354">
        <w:rPr>
          <w:rFonts w:ascii="Arial" w:eastAsia="Calibri" w:hAnsi="Arial" w:cs="Arial"/>
          <w:sz w:val="22"/>
          <w:lang w:val="es-ES_tradnl"/>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0C2E04FD" w14:textId="77777777" w:rsidR="002C199A" w:rsidRPr="00B97354" w:rsidRDefault="002C199A" w:rsidP="002C199A">
      <w:pPr>
        <w:spacing w:before="120" w:after="120" w:line="276" w:lineRule="auto"/>
        <w:ind w:firstLine="709"/>
        <w:jc w:val="both"/>
        <w:rPr>
          <w:rFonts w:ascii="Arial" w:eastAsia="Calibri" w:hAnsi="Arial" w:cs="Arial"/>
          <w:sz w:val="22"/>
          <w:lang w:val="es-ES_tradnl"/>
        </w:rPr>
      </w:pPr>
      <w:r w:rsidRPr="00B97354">
        <w:rPr>
          <w:rFonts w:ascii="Arial" w:eastAsia="Calibri" w:hAnsi="Arial" w:cs="Arial"/>
          <w:sz w:val="22"/>
          <w:lang w:val="es-ES_tradnl"/>
        </w:rPr>
        <w:t>La inalterabilidad de los documentos tipo es una manifestación en mayor grado de las potestades regladas, lo cual implica una reducción de la discrecionalidad de la Administración en el momento de tomar una decisión en el proceso de contratación</w:t>
      </w:r>
      <w:r w:rsidRPr="00B97354">
        <w:rPr>
          <w:rFonts w:ascii="Arial" w:eastAsia="Calibri" w:hAnsi="Arial" w:cs="Arial"/>
          <w:sz w:val="22"/>
          <w:vertAlign w:val="superscript"/>
          <w:lang w:val="es-ES_tradnl"/>
        </w:rPr>
        <w:footnoteReference w:id="8"/>
      </w:r>
      <w:r w:rsidRPr="00B97354">
        <w:rPr>
          <w:rFonts w:ascii="Arial" w:eastAsia="Calibri" w:hAnsi="Arial" w:cs="Arial"/>
          <w:sz w:val="22"/>
          <w:lang w:val="es-ES_tradnl"/>
        </w:rPr>
        <w:t xml:space="preserve">. Cada entidad pública sujeta a los documentos tipo deberá hacer una aplicación o constatación irrestricta de las reglas y condiciones dispuestas en estos, salvo que las mismas posibilitan la discrecionalidad en determinados aspectos. </w:t>
      </w:r>
    </w:p>
    <w:p w14:paraId="5C820745" w14:textId="77777777" w:rsidR="002C199A" w:rsidRPr="00B97354" w:rsidRDefault="002C199A" w:rsidP="002C199A">
      <w:pPr>
        <w:spacing w:before="120" w:after="120" w:line="276" w:lineRule="auto"/>
        <w:ind w:firstLine="709"/>
        <w:jc w:val="both"/>
        <w:rPr>
          <w:rFonts w:ascii="Arial" w:eastAsia="Calibri" w:hAnsi="Arial" w:cs="Arial"/>
          <w:bCs/>
          <w:sz w:val="22"/>
          <w:lang w:val="es-ES_tradnl"/>
        </w:rPr>
      </w:pPr>
      <w:r w:rsidRPr="00B97354">
        <w:rPr>
          <w:rFonts w:ascii="Arial" w:eastAsia="Calibri" w:hAnsi="Arial" w:cs="Arial"/>
          <w:bCs/>
          <w:sz w:val="22"/>
          <w:lang w:val="es-ES_tradnl"/>
        </w:rPr>
        <w:t xml:space="preserve">Además, las entidades estatales deben garantizar el </w:t>
      </w:r>
      <w:r w:rsidRPr="00B97354">
        <w:rPr>
          <w:rFonts w:ascii="Arial" w:eastAsia="Calibri" w:hAnsi="Arial" w:cs="Arial"/>
          <w:bCs/>
          <w:i/>
          <w:iCs/>
          <w:sz w:val="22"/>
          <w:lang w:val="es-ES_tradnl"/>
        </w:rPr>
        <w:t>principio de economía</w:t>
      </w:r>
      <w:r w:rsidRPr="00B97354">
        <w:rPr>
          <w:rFonts w:ascii="Arial" w:eastAsia="Calibri" w:hAnsi="Arial" w:cs="Arial"/>
          <w:bCs/>
          <w:sz w:val="22"/>
          <w:lang w:val="es-ES_tradnl"/>
        </w:rPr>
        <w:t xml:space="preserve">, del cual se desprende que no pueden exigir documentos o requisitos más allá de los que permitan la Constitución, la ley y los reglamentos. Este postulado ha sido recogido no solo en la </w:t>
      </w:r>
      <w:r w:rsidRPr="00B97354">
        <w:rPr>
          <w:rFonts w:ascii="Arial" w:eastAsia="Calibri" w:hAnsi="Arial" w:cs="Arial"/>
          <w:bCs/>
          <w:sz w:val="22"/>
          <w:lang w:val="es-ES_tradnl"/>
        </w:rPr>
        <w:lastRenderedPageBreak/>
        <w:t>contratación estatal</w:t>
      </w:r>
      <w:r w:rsidRPr="00B97354">
        <w:rPr>
          <w:rFonts w:ascii="Arial" w:eastAsia="Calibri" w:hAnsi="Arial" w:cs="Arial"/>
          <w:bCs/>
          <w:sz w:val="22"/>
          <w:vertAlign w:val="superscript"/>
          <w:lang w:val="es-ES_tradnl"/>
        </w:rPr>
        <w:footnoteReference w:id="9"/>
      </w:r>
      <w:r w:rsidRPr="00B97354">
        <w:rPr>
          <w:rFonts w:ascii="Arial" w:eastAsia="Calibri" w:hAnsi="Arial" w:cs="Arial"/>
          <w:bCs/>
          <w:sz w:val="22"/>
          <w:lang w:val="es-ES_tradnl"/>
        </w:rPr>
        <w:t xml:space="preserve"> sino además en la normativa </w:t>
      </w:r>
      <w:proofErr w:type="spellStart"/>
      <w:r w:rsidRPr="00B97354">
        <w:rPr>
          <w:rFonts w:ascii="Arial" w:eastAsia="Calibri" w:hAnsi="Arial" w:cs="Arial"/>
          <w:bCs/>
          <w:sz w:val="22"/>
          <w:lang w:val="es-ES_tradnl"/>
        </w:rPr>
        <w:t>antitrámites</w:t>
      </w:r>
      <w:proofErr w:type="spellEnd"/>
      <w:r w:rsidRPr="00B97354">
        <w:rPr>
          <w:rFonts w:ascii="Arial" w:eastAsia="Calibri" w:hAnsi="Arial" w:cs="Arial"/>
          <w:bCs/>
          <w:sz w:val="22"/>
          <w:vertAlign w:val="superscript"/>
          <w:lang w:val="es-ES_tradnl"/>
        </w:rPr>
        <w:footnoteReference w:id="10"/>
      </w:r>
      <w:r w:rsidRPr="00B97354">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035DC61A" w14:textId="3694DD65" w:rsidR="002C199A" w:rsidRPr="00B97354" w:rsidRDefault="002C199A" w:rsidP="002C199A">
      <w:pPr>
        <w:spacing w:before="120" w:after="120" w:line="276" w:lineRule="auto"/>
        <w:ind w:firstLine="709"/>
        <w:jc w:val="both"/>
        <w:rPr>
          <w:rFonts w:ascii="Arial" w:eastAsia="Calibri" w:hAnsi="Arial" w:cs="Arial"/>
          <w:sz w:val="22"/>
        </w:rPr>
      </w:pPr>
      <w:r w:rsidRPr="00B97354">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3F85735D" w14:textId="77777777" w:rsidR="002C199A" w:rsidRPr="00B97354" w:rsidRDefault="002C199A" w:rsidP="002C199A">
      <w:pPr>
        <w:spacing w:before="120" w:after="120" w:line="276" w:lineRule="auto"/>
        <w:ind w:firstLine="709"/>
        <w:jc w:val="both"/>
        <w:rPr>
          <w:rFonts w:ascii="Arial" w:eastAsia="Calibri" w:hAnsi="Arial" w:cs="Arial"/>
          <w:bCs/>
          <w:sz w:val="22"/>
        </w:rPr>
      </w:pPr>
      <w:r w:rsidRPr="00B97354">
        <w:rPr>
          <w:rFonts w:ascii="Arial" w:eastAsia="Calibri" w:hAnsi="Arial" w:cs="Arial"/>
          <w:bCs/>
          <w:sz w:val="22"/>
        </w:rPr>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estos solo se podrán modificar respecto a aquellos contenidos que el mismo documento tipo lo permita.</w:t>
      </w:r>
    </w:p>
    <w:p w14:paraId="7DA79F28" w14:textId="77777777" w:rsidR="002C199A" w:rsidRPr="00B97354" w:rsidRDefault="002C199A" w:rsidP="002C199A">
      <w:pPr>
        <w:spacing w:before="120" w:after="120" w:line="276" w:lineRule="auto"/>
        <w:ind w:firstLine="709"/>
        <w:jc w:val="both"/>
        <w:rPr>
          <w:rFonts w:ascii="Arial" w:eastAsia="Calibri" w:hAnsi="Arial" w:cs="Arial"/>
          <w:bCs/>
          <w:sz w:val="22"/>
        </w:rPr>
      </w:pPr>
      <w:r w:rsidRPr="00B97354">
        <w:rPr>
          <w:rFonts w:ascii="Arial" w:eastAsia="Calibri" w:hAnsi="Arial" w:cs="Arial"/>
          <w:bCs/>
          <w:sz w:val="22"/>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2291C2B6" w14:textId="77777777" w:rsidR="002C199A" w:rsidRPr="00B97354" w:rsidRDefault="002C199A" w:rsidP="002C199A">
      <w:pPr>
        <w:spacing w:before="120" w:after="120" w:line="276" w:lineRule="auto"/>
        <w:ind w:firstLine="709"/>
        <w:jc w:val="both"/>
        <w:rPr>
          <w:rFonts w:ascii="Arial" w:eastAsia="Calibri" w:hAnsi="Arial" w:cs="Arial"/>
          <w:sz w:val="22"/>
        </w:rPr>
      </w:pPr>
      <w:r w:rsidRPr="00B97354">
        <w:rPr>
          <w:rFonts w:ascii="Arial" w:eastAsia="Calibri" w:hAnsi="Arial" w:cs="Arial"/>
          <w:sz w:val="22"/>
        </w:rPr>
        <w:lastRenderedPageBreak/>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00124BD0" w14:textId="1CA40621" w:rsidR="008034F6" w:rsidRPr="002C199A" w:rsidRDefault="002C199A" w:rsidP="00DC4CDC">
      <w:pPr>
        <w:spacing w:before="120" w:line="276" w:lineRule="auto"/>
        <w:ind w:firstLine="709"/>
        <w:jc w:val="both"/>
        <w:rPr>
          <w:rFonts w:ascii="Arial" w:eastAsia="Calibri" w:hAnsi="Arial" w:cs="Arial"/>
          <w:color w:val="FF0000"/>
          <w:sz w:val="22"/>
        </w:rPr>
      </w:pPr>
      <w:r w:rsidRPr="00B97354">
        <w:rPr>
          <w:rFonts w:ascii="Arial" w:eastAsia="Calibri" w:hAnsi="Arial" w:cs="Arial"/>
          <w:sz w:val="22"/>
        </w:rPr>
        <w:t>El carácter inalterable de los documentos tipo no puede, por tanto,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es decir, no afectan su contenido esencial y, mucho menos, las obligaciones, deberes y derechos que se derivan para las partes contratantes.</w:t>
      </w:r>
    </w:p>
    <w:p w14:paraId="6457D38F" w14:textId="16379069" w:rsidR="00163B50" w:rsidRDefault="00163B50" w:rsidP="00BC7DCD">
      <w:pPr>
        <w:pStyle w:val="Normal11pt"/>
        <w:spacing w:line="276" w:lineRule="auto"/>
        <w:ind w:left="0"/>
        <w:rPr>
          <w:color w:val="0D0D0D"/>
          <w:bdr w:val="none" w:sz="0" w:space="0" w:color="auto" w:frame="1"/>
          <w:lang w:eastAsia="es-CO"/>
        </w:rPr>
      </w:pPr>
    </w:p>
    <w:p w14:paraId="1FC2C480" w14:textId="4B0D1C34" w:rsidR="00310B21" w:rsidRDefault="00A07B99" w:rsidP="00163B50">
      <w:pPr>
        <w:pStyle w:val="Normal11pt"/>
        <w:spacing w:line="276" w:lineRule="auto"/>
        <w:ind w:left="0"/>
        <w:rPr>
          <w:b/>
          <w:bCs/>
          <w:color w:val="0D0D0D"/>
          <w:bdr w:val="none" w:sz="0" w:space="0" w:color="auto" w:frame="1"/>
          <w:lang w:val="es-MX" w:eastAsia="es-CO"/>
        </w:rPr>
      </w:pPr>
      <w:r w:rsidRPr="00DE7D58">
        <w:rPr>
          <w:b/>
          <w:bCs/>
          <w:color w:val="0D0D0D"/>
          <w:bdr w:val="none" w:sz="0" w:space="0" w:color="auto" w:frame="1"/>
          <w:lang w:eastAsia="es-CO"/>
        </w:rPr>
        <w:t>2.</w:t>
      </w:r>
      <w:r w:rsidR="008034F6">
        <w:rPr>
          <w:b/>
          <w:bCs/>
          <w:color w:val="0D0D0D"/>
          <w:bdr w:val="none" w:sz="0" w:space="0" w:color="auto" w:frame="1"/>
          <w:lang w:eastAsia="es-CO"/>
        </w:rPr>
        <w:t>3</w:t>
      </w:r>
      <w:r w:rsidRPr="00DE7D58">
        <w:rPr>
          <w:b/>
          <w:bCs/>
          <w:color w:val="0D0D0D"/>
          <w:bdr w:val="none" w:sz="0" w:space="0" w:color="auto" w:frame="1"/>
          <w:lang w:eastAsia="es-CO"/>
        </w:rPr>
        <w:t xml:space="preserve">. </w:t>
      </w:r>
      <w:bookmarkStart w:id="8" w:name="_Hlk102123607"/>
      <w:r w:rsidR="008F1443">
        <w:rPr>
          <w:b/>
          <w:bCs/>
          <w:color w:val="0D0D0D"/>
          <w:bdr w:val="none" w:sz="0" w:space="0" w:color="auto" w:frame="1"/>
          <w:lang w:eastAsia="es-CO"/>
        </w:rPr>
        <w:t xml:space="preserve">Literal E del Numeral 3.5.6. </w:t>
      </w:r>
      <w:bookmarkEnd w:id="8"/>
      <w:r w:rsidR="00062503" w:rsidRPr="00062503">
        <w:rPr>
          <w:b/>
          <w:bCs/>
          <w:color w:val="0D0D0D"/>
          <w:bdr w:val="none" w:sz="0" w:space="0" w:color="auto" w:frame="1"/>
          <w:lang w:val="es-CO" w:eastAsia="es-CO"/>
        </w:rPr>
        <w:t>«Documentos válidos para la acreditación de la experiencia requerida</w:t>
      </w:r>
      <w:r w:rsidR="00062503" w:rsidRPr="00062503">
        <w:rPr>
          <w:b/>
          <w:bCs/>
          <w:color w:val="0D0D0D"/>
          <w:bdr w:val="none" w:sz="0" w:space="0" w:color="auto" w:frame="1"/>
          <w:lang w:val="es-MX" w:eastAsia="es-CO"/>
        </w:rPr>
        <w:t>»</w:t>
      </w:r>
    </w:p>
    <w:p w14:paraId="50FFD9CC" w14:textId="77777777" w:rsidR="00062503" w:rsidRDefault="00062503" w:rsidP="00163B50">
      <w:pPr>
        <w:pStyle w:val="Normal11pt"/>
        <w:spacing w:line="276" w:lineRule="auto"/>
        <w:ind w:left="0"/>
        <w:rPr>
          <w:b/>
          <w:bCs/>
          <w:color w:val="0D0D0D"/>
          <w:bdr w:val="none" w:sz="0" w:space="0" w:color="auto" w:frame="1"/>
          <w:lang w:eastAsia="es-CO"/>
        </w:rPr>
      </w:pPr>
    </w:p>
    <w:p w14:paraId="2B845EB0" w14:textId="6809E953" w:rsidR="00310B21" w:rsidRDefault="00930EC8" w:rsidP="00163B50">
      <w:pPr>
        <w:pStyle w:val="Normal11pt"/>
        <w:spacing w:line="276" w:lineRule="auto"/>
        <w:ind w:left="0"/>
      </w:pPr>
      <w:r>
        <w:rPr>
          <w:rFonts w:eastAsia="Calibri"/>
          <w:lang w:val="es-CO"/>
        </w:rPr>
        <w:t>E</w:t>
      </w:r>
      <w:r w:rsidR="002B1288">
        <w:rPr>
          <w:rFonts w:eastAsia="Calibri"/>
          <w:lang w:val="es-CO"/>
        </w:rPr>
        <w:t xml:space="preserve">l numeral 3.5.6. </w:t>
      </w:r>
      <w:r>
        <w:rPr>
          <w:rFonts w:eastAsia="Calibri"/>
          <w:lang w:val="es-CO"/>
        </w:rPr>
        <w:t xml:space="preserve">del </w:t>
      </w:r>
      <w:r w:rsidRPr="0045129A">
        <w:t>Documento Base de licitación de obra pública de infraestructura de transporte – versión 3</w:t>
      </w:r>
      <w:r w:rsidR="00FA6B30">
        <w:t xml:space="preserve">, </w:t>
      </w:r>
      <w:r w:rsidRPr="0045129A">
        <w:t xml:space="preserve">respecto de </w:t>
      </w:r>
      <w:r w:rsidR="00D558A2">
        <w:t>los documentos válidos para la acreditación de la experiencia requerida</w:t>
      </w:r>
      <w:r w:rsidRPr="0045129A">
        <w:t>,</w:t>
      </w:r>
      <w:r w:rsidR="00FA6B30">
        <w:t xml:space="preserve"> establece</w:t>
      </w:r>
      <w:r w:rsidR="00614AAD">
        <w:t xml:space="preserve"> </w:t>
      </w:r>
      <w:r w:rsidR="00682F1E">
        <w:t>lo siguiente:</w:t>
      </w:r>
    </w:p>
    <w:p w14:paraId="391C6E5B" w14:textId="12C26E1B" w:rsidR="00682F1E" w:rsidRDefault="00682F1E" w:rsidP="00163B50">
      <w:pPr>
        <w:pStyle w:val="Normal11pt"/>
        <w:spacing w:line="276" w:lineRule="auto"/>
        <w:ind w:left="0"/>
      </w:pPr>
    </w:p>
    <w:p w14:paraId="697F2303" w14:textId="4EA84878" w:rsidR="005A1363" w:rsidRDefault="005A1363" w:rsidP="00DC4CDC">
      <w:pPr>
        <w:spacing w:after="160"/>
        <w:ind w:left="709" w:right="709"/>
        <w:jc w:val="both"/>
        <w:rPr>
          <w:rFonts w:ascii="Arial" w:eastAsia="Calibri" w:hAnsi="Arial" w:cs="Arial"/>
          <w:color w:val="000000"/>
          <w:sz w:val="21"/>
          <w:szCs w:val="21"/>
        </w:rPr>
      </w:pPr>
      <w:r w:rsidRPr="005A1363">
        <w:rPr>
          <w:rFonts w:ascii="Arial" w:eastAsia="Calibri" w:hAnsi="Arial" w:cs="Arial"/>
          <w:color w:val="000000"/>
          <w:sz w:val="21"/>
          <w:szCs w:val="21"/>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28F0FDA9" w14:textId="2442A449" w:rsidR="00B03F4F" w:rsidRPr="005A1363" w:rsidRDefault="00B03F4F" w:rsidP="00DC4CDC">
      <w:pPr>
        <w:spacing w:after="160"/>
        <w:ind w:left="709" w:right="709"/>
        <w:jc w:val="both"/>
        <w:rPr>
          <w:rFonts w:ascii="Arial" w:eastAsia="Calibri" w:hAnsi="Arial" w:cs="Arial"/>
          <w:color w:val="000000"/>
          <w:sz w:val="21"/>
          <w:szCs w:val="21"/>
        </w:rPr>
      </w:pPr>
      <w:r>
        <w:rPr>
          <w:rFonts w:ascii="Arial" w:eastAsia="Calibri" w:hAnsi="Arial" w:cs="Arial"/>
          <w:color w:val="000000"/>
          <w:sz w:val="21"/>
          <w:szCs w:val="21"/>
        </w:rPr>
        <w:t>[…]</w:t>
      </w:r>
    </w:p>
    <w:p w14:paraId="16EB24A3" w14:textId="71202462" w:rsidR="00B03F4F" w:rsidRPr="00B03F4F" w:rsidRDefault="00B03F4F" w:rsidP="00DC4CDC">
      <w:pPr>
        <w:pStyle w:val="Prrafodelista"/>
        <w:numPr>
          <w:ilvl w:val="0"/>
          <w:numId w:val="18"/>
        </w:numPr>
        <w:spacing w:after="160"/>
        <w:ind w:left="1066" w:right="709" w:hanging="357"/>
        <w:jc w:val="both"/>
        <w:rPr>
          <w:rFonts w:ascii="Arial" w:eastAsia="Calibri" w:hAnsi="Arial" w:cs="Arial"/>
          <w:color w:val="000000"/>
          <w:sz w:val="21"/>
          <w:szCs w:val="21"/>
        </w:rPr>
      </w:pPr>
      <w:r w:rsidRPr="00B03F4F">
        <w:rPr>
          <w:rFonts w:ascii="Arial" w:eastAsia="Calibri" w:hAnsi="Arial" w:cs="Arial"/>
          <w:color w:val="000000"/>
          <w:sz w:val="21"/>
          <w:szCs w:val="21"/>
        </w:rPr>
        <w:t xml:space="preserve">Para los contratos que hayan sido objeto de cesión, el contrato deberá encontrarse debidamente inscrito y clasificado en el RUP o en uno o alguno de los documentos considerados como válidos para la acreditación de experiencia de la empresa cesionaria, según aplique. </w:t>
      </w:r>
      <w:r w:rsidRPr="00F87529">
        <w:rPr>
          <w:rFonts w:ascii="Arial" w:eastAsia="Calibri" w:hAnsi="Arial" w:cs="Arial"/>
          <w:color w:val="000000"/>
          <w:sz w:val="21"/>
          <w:szCs w:val="21"/>
          <w:u w:val="single"/>
        </w:rPr>
        <w:t>La experiencia se admitirá para el cesionario y no se reconocerá experiencia alguna al cedente</w:t>
      </w:r>
      <w:r w:rsidRPr="00B03F4F">
        <w:rPr>
          <w:rFonts w:ascii="Arial" w:eastAsia="Calibri" w:hAnsi="Arial" w:cs="Arial"/>
          <w:color w:val="000000"/>
          <w:sz w:val="21"/>
          <w:szCs w:val="21"/>
        </w:rPr>
        <w:t>.</w:t>
      </w:r>
      <w:r w:rsidR="002940BE">
        <w:rPr>
          <w:rFonts w:ascii="Arial" w:eastAsia="Calibri" w:hAnsi="Arial" w:cs="Arial"/>
          <w:color w:val="000000"/>
          <w:sz w:val="21"/>
          <w:szCs w:val="21"/>
        </w:rPr>
        <w:t xml:space="preserve"> (Énfasis fuera de texto). </w:t>
      </w:r>
    </w:p>
    <w:p w14:paraId="33AFFAF6" w14:textId="41302A7C" w:rsidR="003967ED" w:rsidRDefault="00DD31CA" w:rsidP="00F37552">
      <w:pPr>
        <w:pStyle w:val="Normal11pt"/>
        <w:spacing w:after="160" w:line="276" w:lineRule="auto"/>
        <w:ind w:left="0" w:firstLine="709"/>
      </w:pPr>
      <w:r>
        <w:rPr>
          <w:rFonts w:eastAsia="Calibri"/>
          <w:lang w:val="es-CO"/>
        </w:rPr>
        <w:lastRenderedPageBreak/>
        <w:t xml:space="preserve">Como se advierte, </w:t>
      </w:r>
      <w:r w:rsidR="00EF2142">
        <w:rPr>
          <w:rFonts w:eastAsia="Calibri"/>
          <w:lang w:val="es-CO"/>
        </w:rPr>
        <w:t>el literal E precitado establece</w:t>
      </w:r>
      <w:r w:rsidR="00F05C60">
        <w:rPr>
          <w:rFonts w:eastAsia="Calibri"/>
          <w:lang w:val="es-CO"/>
        </w:rPr>
        <w:t xml:space="preserve"> dos reglas aplicables</w:t>
      </w:r>
      <w:r w:rsidR="000B599C">
        <w:rPr>
          <w:rFonts w:eastAsia="Calibri"/>
          <w:lang w:val="es-CO"/>
        </w:rPr>
        <w:t xml:space="preserve"> </w:t>
      </w:r>
      <w:r w:rsidR="00F05C60">
        <w:rPr>
          <w:rFonts w:eastAsia="Calibri"/>
          <w:lang w:val="es-CO"/>
        </w:rPr>
        <w:t>a los</w:t>
      </w:r>
      <w:r w:rsidR="000B599C">
        <w:rPr>
          <w:rFonts w:eastAsia="Calibri"/>
          <w:lang w:val="es-CO"/>
        </w:rPr>
        <w:t xml:space="preserve"> caso</w:t>
      </w:r>
      <w:r w:rsidR="00F05C60">
        <w:rPr>
          <w:rFonts w:eastAsia="Calibri"/>
          <w:lang w:val="es-CO"/>
        </w:rPr>
        <w:t>s</w:t>
      </w:r>
      <w:r w:rsidR="000B599C">
        <w:rPr>
          <w:rFonts w:eastAsia="Calibri"/>
          <w:lang w:val="es-CO"/>
        </w:rPr>
        <w:t xml:space="preserve"> de contratos que hayan sido objeto de cesión</w:t>
      </w:r>
      <w:r w:rsidR="00340BDB">
        <w:rPr>
          <w:rFonts w:eastAsia="Calibri"/>
          <w:lang w:val="es-CO"/>
        </w:rPr>
        <w:t xml:space="preserve">. </w:t>
      </w:r>
      <w:r w:rsidR="00C60B73">
        <w:rPr>
          <w:rFonts w:eastAsia="Calibri"/>
          <w:lang w:val="es-CO"/>
        </w:rPr>
        <w:t>De una parte, l</w:t>
      </w:r>
      <w:r w:rsidR="00340BDB">
        <w:rPr>
          <w:rFonts w:eastAsia="Calibri"/>
          <w:lang w:val="es-CO"/>
        </w:rPr>
        <w:t>a</w:t>
      </w:r>
      <w:r w:rsidR="00340BDB" w:rsidRPr="00FF7AF5">
        <w:rPr>
          <w:rFonts w:eastAsia="Calibri"/>
          <w:lang w:val="es-CO"/>
        </w:rPr>
        <w:t xml:space="preserve"> primera</w:t>
      </w:r>
      <w:r w:rsidR="00340BDB">
        <w:rPr>
          <w:rFonts w:eastAsia="Calibri"/>
          <w:lang w:val="es-CO"/>
        </w:rPr>
        <w:t xml:space="preserve"> establece que</w:t>
      </w:r>
      <w:r w:rsidR="00FE0BBF">
        <w:rPr>
          <w:rFonts w:eastAsia="Calibri"/>
          <w:lang w:val="es-CO"/>
        </w:rPr>
        <w:t xml:space="preserve"> el contrato </w:t>
      </w:r>
      <w:r w:rsidR="00340BDB">
        <w:rPr>
          <w:rFonts w:eastAsia="Calibri"/>
          <w:lang w:val="es-CO"/>
        </w:rPr>
        <w:t xml:space="preserve">objeto de cesión </w:t>
      </w:r>
      <w:r w:rsidR="00FE0BBF">
        <w:rPr>
          <w:rFonts w:eastAsia="Calibri"/>
          <w:lang w:val="es-CO"/>
        </w:rPr>
        <w:t xml:space="preserve">debe encontrarse debidamente inscrito y clasificado en el RUP </w:t>
      </w:r>
      <w:r w:rsidR="00D754F7">
        <w:rPr>
          <w:rFonts w:eastAsia="Calibri"/>
          <w:lang w:val="es-CO"/>
        </w:rPr>
        <w:t>o en alguno de los documentos considerados válidos para la acreditación de la experiencia de la empresa cesionaria</w:t>
      </w:r>
      <w:r w:rsidR="009C21B6">
        <w:rPr>
          <w:rFonts w:eastAsia="Calibri"/>
          <w:lang w:val="es-CO"/>
        </w:rPr>
        <w:t xml:space="preserve">. </w:t>
      </w:r>
      <w:r w:rsidR="00D87538">
        <w:rPr>
          <w:rFonts w:eastAsia="Calibri"/>
          <w:lang w:val="es-CO"/>
        </w:rPr>
        <w:t xml:space="preserve"> Por otro lado, la </w:t>
      </w:r>
      <w:r w:rsidR="005A44C3" w:rsidRPr="002A5EB5">
        <w:rPr>
          <w:lang w:val="es-CO"/>
        </w:rPr>
        <w:t xml:space="preserve">segunda regla determina que </w:t>
      </w:r>
      <w:r w:rsidR="009A53FD" w:rsidRPr="002A5EB5">
        <w:rPr>
          <w:color w:val="0D0D0D"/>
          <w:bdr w:val="none" w:sz="0" w:space="0" w:color="auto" w:frame="1"/>
          <w:lang w:eastAsia="es-CO"/>
        </w:rPr>
        <w:t>«</w:t>
      </w:r>
      <w:r w:rsidR="00D87538">
        <w:rPr>
          <w:color w:val="0D0D0D"/>
          <w:bdr w:val="none" w:sz="0" w:space="0" w:color="auto" w:frame="1"/>
          <w:lang w:eastAsia="es-CO"/>
        </w:rPr>
        <w:t xml:space="preserve">[…] </w:t>
      </w:r>
      <w:r w:rsidR="006B7315" w:rsidRPr="002A5EB5">
        <w:rPr>
          <w:lang w:val="es-CO"/>
        </w:rPr>
        <w:t>la experiencia se admitirá para el cesionario y no se reconocerá experiencia alguna al cedente</w:t>
      </w:r>
      <w:r w:rsidR="009A53FD" w:rsidRPr="002A5EB5">
        <w:rPr>
          <w:color w:val="0D0D0D"/>
          <w:bdr w:val="none" w:sz="0" w:space="0" w:color="auto" w:frame="1"/>
          <w:lang w:eastAsia="es-CO"/>
        </w:rPr>
        <w:t>»</w:t>
      </w:r>
      <w:r w:rsidR="002A5EB5" w:rsidRPr="002A5EB5">
        <w:rPr>
          <w:color w:val="0D0D0D"/>
          <w:bdr w:val="none" w:sz="0" w:space="0" w:color="auto" w:frame="1"/>
          <w:lang w:eastAsia="es-CO"/>
        </w:rPr>
        <w:t xml:space="preserve">, </w:t>
      </w:r>
      <w:r w:rsidR="002A5EB5">
        <w:rPr>
          <w:color w:val="0D0D0D"/>
          <w:bdr w:val="none" w:sz="0" w:space="0" w:color="auto" w:frame="1"/>
          <w:lang w:eastAsia="es-CO"/>
        </w:rPr>
        <w:t xml:space="preserve">en este sentido, </w:t>
      </w:r>
      <w:r w:rsidR="001974C0">
        <w:rPr>
          <w:color w:val="0D0D0D"/>
          <w:bdr w:val="none" w:sz="0" w:space="0" w:color="auto" w:frame="1"/>
          <w:lang w:eastAsia="es-CO"/>
        </w:rPr>
        <w:t xml:space="preserve">debe precisarse que </w:t>
      </w:r>
      <w:r w:rsidR="00AA61D7">
        <w:rPr>
          <w:color w:val="0D0D0D"/>
          <w:bdr w:val="none" w:sz="0" w:space="0" w:color="auto" w:frame="1"/>
          <w:lang w:eastAsia="es-CO"/>
        </w:rPr>
        <w:t>el</w:t>
      </w:r>
      <w:r w:rsidR="001974C0">
        <w:rPr>
          <w:color w:val="0D0D0D"/>
          <w:bdr w:val="none" w:sz="0" w:space="0" w:color="auto" w:frame="1"/>
          <w:lang w:eastAsia="es-CO"/>
        </w:rPr>
        <w:t xml:space="preserve"> </w:t>
      </w:r>
      <w:r w:rsidR="00AA61D7">
        <w:rPr>
          <w:color w:val="0D0D0D"/>
          <w:bdr w:val="none" w:sz="0" w:space="0" w:color="auto" w:frame="1"/>
          <w:lang w:eastAsia="es-CO"/>
        </w:rPr>
        <w:t>criterio</w:t>
      </w:r>
      <w:r w:rsidR="001974C0">
        <w:rPr>
          <w:color w:val="0D0D0D"/>
          <w:bdr w:val="none" w:sz="0" w:space="0" w:color="auto" w:frame="1"/>
          <w:lang w:eastAsia="es-CO"/>
        </w:rPr>
        <w:t xml:space="preserve"> contenid</w:t>
      </w:r>
      <w:r w:rsidR="00AA61D7">
        <w:rPr>
          <w:color w:val="0D0D0D"/>
          <w:bdr w:val="none" w:sz="0" w:space="0" w:color="auto" w:frame="1"/>
          <w:lang w:eastAsia="es-CO"/>
        </w:rPr>
        <w:t>o</w:t>
      </w:r>
      <w:r w:rsidR="001974C0">
        <w:rPr>
          <w:color w:val="0D0D0D"/>
          <w:bdr w:val="none" w:sz="0" w:space="0" w:color="auto" w:frame="1"/>
          <w:lang w:eastAsia="es-CO"/>
        </w:rPr>
        <w:t xml:space="preserve"> en</w:t>
      </w:r>
      <w:r w:rsidR="00AA61D7">
        <w:rPr>
          <w:color w:val="0D0D0D"/>
          <w:bdr w:val="none" w:sz="0" w:space="0" w:color="auto" w:frame="1"/>
          <w:lang w:eastAsia="es-CO"/>
        </w:rPr>
        <w:t xml:space="preserve"> el</w:t>
      </w:r>
      <w:r w:rsidR="001974C0">
        <w:rPr>
          <w:color w:val="0D0D0D"/>
          <w:bdr w:val="none" w:sz="0" w:space="0" w:color="auto" w:frame="1"/>
          <w:lang w:eastAsia="es-CO"/>
        </w:rPr>
        <w:t xml:space="preserve"> literal E del numeral 3.5.6. del Documento Base de </w:t>
      </w:r>
      <w:r w:rsidR="001974C0" w:rsidRPr="0045129A">
        <w:t>licitación de obra pública de infraestructura de transporte – versión 3</w:t>
      </w:r>
      <w:r w:rsidR="001974C0">
        <w:t xml:space="preserve">, no </w:t>
      </w:r>
      <w:r w:rsidR="009F1F23">
        <w:t>plantea la condición para que al cedente se le reconozca experiencia</w:t>
      </w:r>
      <w:r w:rsidR="00E248C8">
        <w:t xml:space="preserve">, ni </w:t>
      </w:r>
      <w:r w:rsidR="003D384D">
        <w:t>determina</w:t>
      </w:r>
      <w:r w:rsidR="00E248C8">
        <w:t xml:space="preserve"> un porcentaje de ejecución o participación de la unión temporal</w:t>
      </w:r>
      <w:r w:rsidR="001A6DE3">
        <w:t xml:space="preserve"> </w:t>
      </w:r>
      <w:r w:rsidR="00B70F67">
        <w:t xml:space="preserve">para tener en </w:t>
      </w:r>
      <w:r w:rsidR="00E248C8">
        <w:t xml:space="preserve">cuenta la experiencia </w:t>
      </w:r>
      <w:r w:rsidR="00AD5F00">
        <w:t>del</w:t>
      </w:r>
      <w:r w:rsidR="00E248C8">
        <w:t xml:space="preserve"> cedente. </w:t>
      </w:r>
      <w:r w:rsidR="001A5E0D">
        <w:t xml:space="preserve">Por lo anterior, </w:t>
      </w:r>
      <w:r w:rsidR="00EF40D5">
        <w:t xml:space="preserve">teniendo en cuenta el principio de inalterabilidad que rige los documentos </w:t>
      </w:r>
      <w:r w:rsidR="003F7845">
        <w:t xml:space="preserve">y </w:t>
      </w:r>
      <w:r w:rsidR="00EF40D5" w:rsidRPr="00EF40D5">
        <w:t>bajo la pauta hermenéutica «</w:t>
      </w:r>
      <w:proofErr w:type="spellStart"/>
      <w:r w:rsidR="00EF40D5" w:rsidRPr="00EF40D5">
        <w:rPr>
          <w:i/>
          <w:iCs/>
        </w:rPr>
        <w:t>Ubi</w:t>
      </w:r>
      <w:proofErr w:type="spellEnd"/>
      <w:r w:rsidR="00EF40D5" w:rsidRPr="00EF40D5">
        <w:rPr>
          <w:i/>
          <w:iCs/>
        </w:rPr>
        <w:t xml:space="preserve"> lex non </w:t>
      </w:r>
      <w:proofErr w:type="spellStart"/>
      <w:r w:rsidR="00EF40D5" w:rsidRPr="00EF40D5">
        <w:rPr>
          <w:i/>
          <w:iCs/>
        </w:rPr>
        <w:t>distinguit</w:t>
      </w:r>
      <w:proofErr w:type="spellEnd"/>
      <w:r w:rsidR="00EF40D5" w:rsidRPr="00EF40D5">
        <w:rPr>
          <w:i/>
          <w:iCs/>
        </w:rPr>
        <w:t xml:space="preserve">, </w:t>
      </w:r>
      <w:proofErr w:type="spellStart"/>
      <w:r w:rsidR="00EF40D5" w:rsidRPr="00EF40D5">
        <w:rPr>
          <w:i/>
          <w:iCs/>
        </w:rPr>
        <w:t>nec</w:t>
      </w:r>
      <w:proofErr w:type="spellEnd"/>
      <w:r w:rsidR="00EF40D5" w:rsidRPr="00EF40D5">
        <w:rPr>
          <w:i/>
          <w:iCs/>
        </w:rPr>
        <w:t xml:space="preserve"> nos </w:t>
      </w:r>
      <w:proofErr w:type="spellStart"/>
      <w:r w:rsidR="00EF40D5" w:rsidRPr="00EF40D5">
        <w:rPr>
          <w:i/>
          <w:iCs/>
        </w:rPr>
        <w:t>distinguere</w:t>
      </w:r>
      <w:proofErr w:type="spellEnd"/>
      <w:r w:rsidR="00EF40D5" w:rsidRPr="00EF40D5">
        <w:rPr>
          <w:i/>
          <w:iCs/>
        </w:rPr>
        <w:t xml:space="preserve"> </w:t>
      </w:r>
      <w:proofErr w:type="spellStart"/>
      <w:r w:rsidR="00EF40D5" w:rsidRPr="00EF40D5">
        <w:rPr>
          <w:i/>
          <w:iCs/>
        </w:rPr>
        <w:t>debemus</w:t>
      </w:r>
      <w:proofErr w:type="spellEnd"/>
      <w:r w:rsidR="00EF40D5" w:rsidRPr="00EF40D5">
        <w:t>»</w:t>
      </w:r>
      <w:r w:rsidR="003F7845">
        <w:t xml:space="preserve"> no se le puede dar una interpretación diferente al referido literal. </w:t>
      </w:r>
    </w:p>
    <w:p w14:paraId="591C3875" w14:textId="799ABD5F" w:rsidR="007B62AD" w:rsidRPr="00F37552" w:rsidRDefault="006F64F8" w:rsidP="00DC4CDC">
      <w:pPr>
        <w:pStyle w:val="Normal11pt"/>
        <w:spacing w:line="276" w:lineRule="auto"/>
        <w:ind w:left="0" w:firstLine="709"/>
        <w:rPr>
          <w:lang w:val="es-CO"/>
        </w:rPr>
      </w:pPr>
      <w:r>
        <w:rPr>
          <w:lang w:val="es-CO"/>
        </w:rPr>
        <w:t>Adicionalmente</w:t>
      </w:r>
      <w:r w:rsidR="00F06716">
        <w:rPr>
          <w:lang w:val="es-CO"/>
        </w:rPr>
        <w:t xml:space="preserve">, </w:t>
      </w:r>
      <w:r>
        <w:rPr>
          <w:lang w:val="es-CO"/>
        </w:rPr>
        <w:t>es menester</w:t>
      </w:r>
      <w:r w:rsidR="00F06716">
        <w:rPr>
          <w:lang w:val="es-CO"/>
        </w:rPr>
        <w:t xml:space="preserve"> resaltar que</w:t>
      </w:r>
      <w:r w:rsidR="00CE68F1">
        <w:rPr>
          <w:lang w:val="es-CO"/>
        </w:rPr>
        <w:t>,</w:t>
      </w:r>
      <w:r w:rsidR="00F06716">
        <w:rPr>
          <w:lang w:val="es-CO"/>
        </w:rPr>
        <w:t xml:space="preserve"> la finalidad de esta regla </w:t>
      </w:r>
      <w:r w:rsidR="003D6DE5">
        <w:rPr>
          <w:lang w:val="es-CO"/>
        </w:rPr>
        <w:t>es evitar que</w:t>
      </w:r>
      <w:r w:rsidR="000843DD">
        <w:rPr>
          <w:lang w:val="es-CO"/>
        </w:rPr>
        <w:t xml:space="preserve"> con el contrato objeto de cesión tanto el cesionario como el cedente, </w:t>
      </w:r>
      <w:r w:rsidR="003D6DE5">
        <w:rPr>
          <w:lang w:val="es-CO"/>
        </w:rPr>
        <w:t>acredite</w:t>
      </w:r>
      <w:r w:rsidR="000843DD">
        <w:rPr>
          <w:lang w:val="es-CO"/>
        </w:rPr>
        <w:t>n</w:t>
      </w:r>
      <w:r w:rsidR="003D6DE5">
        <w:rPr>
          <w:lang w:val="es-CO"/>
        </w:rPr>
        <w:t xml:space="preserve"> doblemente la experiencia</w:t>
      </w:r>
      <w:r w:rsidR="0051536E">
        <w:rPr>
          <w:lang w:val="es-CO"/>
        </w:rPr>
        <w:t xml:space="preserve"> en el marco de los procesos de contratac</w:t>
      </w:r>
      <w:r w:rsidR="00B94FB3">
        <w:rPr>
          <w:lang w:val="es-CO"/>
        </w:rPr>
        <w:t>i</w:t>
      </w:r>
      <w:r w:rsidR="0051536E">
        <w:rPr>
          <w:lang w:val="es-CO"/>
        </w:rPr>
        <w:t>ón</w:t>
      </w:r>
      <w:r w:rsidR="00B2438D">
        <w:rPr>
          <w:lang w:val="es-CO"/>
        </w:rPr>
        <w:t xml:space="preserve">. </w:t>
      </w:r>
      <w:r w:rsidR="00633D8B">
        <w:rPr>
          <w:lang w:val="es-CO"/>
        </w:rPr>
        <w:t>Finalmente</w:t>
      </w:r>
      <w:r w:rsidR="00AE6D7A">
        <w:rPr>
          <w:lang w:val="es-CO"/>
        </w:rPr>
        <w:t xml:space="preserve">, </w:t>
      </w:r>
      <w:r w:rsidR="0056238C">
        <w:rPr>
          <w:lang w:val="es-CO"/>
        </w:rPr>
        <w:t>se concluye</w:t>
      </w:r>
      <w:r w:rsidR="00D776EC">
        <w:rPr>
          <w:lang w:val="es-CO"/>
        </w:rPr>
        <w:t xml:space="preserve"> que lo dispuesto en el literal E</w:t>
      </w:r>
      <w:r w:rsidR="00153502">
        <w:rPr>
          <w:lang w:val="es-CO"/>
        </w:rPr>
        <w:t xml:space="preserve"> del numeral 3.5.6. del documento base,</w:t>
      </w:r>
      <w:r w:rsidR="00D776EC">
        <w:rPr>
          <w:lang w:val="es-CO"/>
        </w:rPr>
        <w:t xml:space="preserve"> </w:t>
      </w:r>
      <w:r w:rsidR="00153502">
        <w:rPr>
          <w:lang w:val="es-CO"/>
        </w:rPr>
        <w:t>hace parte del</w:t>
      </w:r>
      <w:r w:rsidR="00D776EC">
        <w:rPr>
          <w:lang w:val="es-CO"/>
        </w:rPr>
        <w:t xml:space="preserve"> contenido inalterable</w:t>
      </w:r>
      <w:r w:rsidR="00B43E9E">
        <w:rPr>
          <w:lang w:val="es-CO"/>
        </w:rPr>
        <w:t xml:space="preserve"> de los documentos tipo</w:t>
      </w:r>
      <w:r w:rsidR="00D776EC">
        <w:rPr>
          <w:lang w:val="es-CO"/>
        </w:rPr>
        <w:t xml:space="preserve">, </w:t>
      </w:r>
      <w:r w:rsidR="00B43E9E">
        <w:rPr>
          <w:lang w:val="es-CO"/>
        </w:rPr>
        <w:t xml:space="preserve">razón por la cual, </w:t>
      </w:r>
      <w:r w:rsidR="00D776EC">
        <w:rPr>
          <w:lang w:val="es-CO"/>
        </w:rPr>
        <w:t>no se le puede dar una interpretación diferente</w:t>
      </w:r>
      <w:r w:rsidR="00833B2B">
        <w:rPr>
          <w:lang w:val="es-CO"/>
        </w:rPr>
        <w:t>. Esto, debido a que</w:t>
      </w:r>
      <w:r w:rsidR="009100C2">
        <w:rPr>
          <w:lang w:val="es-CO"/>
        </w:rPr>
        <w:t xml:space="preserve"> n</w:t>
      </w:r>
      <w:r w:rsidR="00833B2B">
        <w:rPr>
          <w:lang w:val="es-CO"/>
        </w:rPr>
        <w:t>o</w:t>
      </w:r>
      <w:r w:rsidR="009100C2">
        <w:rPr>
          <w:lang w:val="es-CO"/>
        </w:rPr>
        <w:t xml:space="preserve"> se estipuló su modificación</w:t>
      </w:r>
      <w:r w:rsidR="00833B2B">
        <w:rPr>
          <w:lang w:val="es-CO"/>
        </w:rPr>
        <w:t xml:space="preserve"> o adecuación</w:t>
      </w:r>
      <w:r w:rsidR="009100C2">
        <w:rPr>
          <w:lang w:val="es-CO"/>
        </w:rPr>
        <w:t xml:space="preserve"> frente a casos particulares como el descrito en la petición de consulta,</w:t>
      </w:r>
      <w:r w:rsidR="0053575A">
        <w:rPr>
          <w:lang w:val="es-CO"/>
        </w:rPr>
        <w:t xml:space="preserve"> por lo que</w:t>
      </w:r>
      <w:r w:rsidR="009100C2">
        <w:rPr>
          <w:lang w:val="es-CO"/>
        </w:rPr>
        <w:t xml:space="preserve"> deberá respetarse </w:t>
      </w:r>
      <w:r w:rsidR="00EE4D0D">
        <w:rPr>
          <w:lang w:val="es-CO"/>
        </w:rPr>
        <w:t xml:space="preserve">la regla de acuerdo con su </w:t>
      </w:r>
      <w:r w:rsidR="009100C2">
        <w:rPr>
          <w:lang w:val="es-CO"/>
        </w:rPr>
        <w:t xml:space="preserve">contenido </w:t>
      </w:r>
      <w:r w:rsidR="00BA7D00">
        <w:rPr>
          <w:lang w:val="es-CO"/>
        </w:rPr>
        <w:t xml:space="preserve">original </w:t>
      </w:r>
      <w:r w:rsidR="00BA7D00">
        <w:rPr>
          <w:rFonts w:eastAsia="Calibri"/>
          <w:lang w:val="es-MX" w:eastAsia="en-US"/>
        </w:rPr>
        <w:t>y</w:t>
      </w:r>
      <w:r w:rsidR="00EE4D0D">
        <w:rPr>
          <w:rFonts w:eastAsia="Calibri"/>
          <w:lang w:val="es-MX" w:eastAsia="en-US"/>
        </w:rPr>
        <w:t xml:space="preserve"> deberá</w:t>
      </w:r>
      <w:r w:rsidR="00BA7D00">
        <w:rPr>
          <w:rFonts w:eastAsia="Calibri"/>
          <w:lang w:val="es-MX" w:eastAsia="en-US"/>
        </w:rPr>
        <w:t xml:space="preserve"> </w:t>
      </w:r>
      <w:r w:rsidR="00EE4D0D">
        <w:rPr>
          <w:rFonts w:eastAsia="Calibri"/>
          <w:lang w:val="es-MX" w:eastAsia="en-US"/>
        </w:rPr>
        <w:t xml:space="preserve">interpretarse de forma literal. </w:t>
      </w:r>
    </w:p>
    <w:p w14:paraId="03C36C08" w14:textId="77777777" w:rsidR="004B7BCA" w:rsidRPr="00B57F79" w:rsidRDefault="004B7BCA" w:rsidP="002F4BC7">
      <w:pPr>
        <w:spacing w:line="276" w:lineRule="auto"/>
        <w:jc w:val="both"/>
        <w:rPr>
          <w:rFonts w:ascii="Arial" w:hAnsi="Arial" w:cs="Arial"/>
          <w:sz w:val="22"/>
          <w:lang w:val="es-CO"/>
        </w:rPr>
      </w:pPr>
    </w:p>
    <w:p w14:paraId="5F15466E" w14:textId="2931189C" w:rsidR="00904CD9" w:rsidRPr="00B57F79"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57F79">
        <w:rPr>
          <w:rFonts w:ascii="Arial" w:eastAsia="Calibri" w:hAnsi="Arial" w:cs="Arial"/>
          <w:b/>
          <w:sz w:val="22"/>
          <w:lang w:val="es-CO"/>
        </w:rPr>
        <w:t>Respuesta</w:t>
      </w:r>
    </w:p>
    <w:p w14:paraId="4E3BC453" w14:textId="1681A673" w:rsidR="00904CD9" w:rsidRPr="00B57F79" w:rsidRDefault="00904CD9" w:rsidP="005379F9">
      <w:pPr>
        <w:ind w:right="709"/>
        <w:jc w:val="both"/>
        <w:rPr>
          <w:rFonts w:ascii="Arial" w:eastAsia="Calibri" w:hAnsi="Arial" w:cs="Arial"/>
          <w:iCs/>
          <w:sz w:val="22"/>
          <w:lang w:val="es-CO"/>
        </w:rPr>
      </w:pPr>
    </w:p>
    <w:p w14:paraId="4B56F4F4" w14:textId="6D5D54AD" w:rsidR="0028382A" w:rsidRPr="0028382A" w:rsidRDefault="00FB46D4" w:rsidP="0043204F">
      <w:pPr>
        <w:ind w:left="709" w:right="709"/>
        <w:jc w:val="both"/>
        <w:rPr>
          <w:rFonts w:ascii="Arial" w:eastAsia="Calibri" w:hAnsi="Arial" w:cs="Arial"/>
          <w:sz w:val="21"/>
          <w:szCs w:val="21"/>
          <w:lang w:val="es-CO"/>
        </w:rPr>
      </w:pPr>
      <w:r>
        <w:rPr>
          <w:rFonts w:ascii="Arial" w:eastAsia="Calibri" w:hAnsi="Arial" w:cs="Arial"/>
          <w:sz w:val="21"/>
          <w:szCs w:val="21"/>
          <w:lang w:val="es-CO"/>
        </w:rPr>
        <w:t>«</w:t>
      </w:r>
      <w:r>
        <w:rPr>
          <w:rFonts w:ascii="Arial" w:eastAsia="Calibri" w:hAnsi="Arial" w:cs="Arial"/>
          <w:sz w:val="22"/>
          <w:lang w:val="es-CO"/>
        </w:rPr>
        <w:t xml:space="preserve">[...] </w:t>
      </w:r>
      <w:r>
        <w:rPr>
          <w:rFonts w:ascii="Arial" w:hAnsi="Arial" w:cs="Arial"/>
          <w:color w:val="000000" w:themeColor="text1"/>
          <w:sz w:val="22"/>
        </w:rPr>
        <w:t>si un integrante de una unión temporal cede su participación con un 89% de ejecución, se entiende en el numeral E, que el cedente (que tuvo un 89% de ejecución y reesponsabilidad en la obra) no se le reconocerá experiencia alguna. Solicito amablemente un concepto aclaratorio al numeral, ya que nos parece muy general, y debe dar una interpretación específica, ya que se debería tener en cuenta el porcentaje de ejecución para mayores al 50% y reconocer la experiencia al cedente, si tiene un mayor porcentaje de ejcución.</w:t>
      </w:r>
      <w:r w:rsidR="00006C8E" w:rsidRPr="00006C8E">
        <w:rPr>
          <w:rFonts w:ascii="Arial" w:eastAsia="Calibri" w:hAnsi="Arial" w:cs="Arial"/>
          <w:sz w:val="21"/>
          <w:szCs w:val="21"/>
        </w:rPr>
        <w:t xml:space="preserve">» </w:t>
      </w:r>
    </w:p>
    <w:p w14:paraId="5E96CB23" w14:textId="77777777" w:rsidR="004B7BCA" w:rsidRDefault="004B7BCA" w:rsidP="00DC4CDC">
      <w:pPr>
        <w:spacing w:line="276" w:lineRule="auto"/>
        <w:jc w:val="both"/>
        <w:rPr>
          <w:rFonts w:ascii="Arial" w:hAnsi="Arial" w:cs="Arial"/>
          <w:color w:val="000000" w:themeColor="text1"/>
          <w:sz w:val="22"/>
        </w:rPr>
      </w:pPr>
    </w:p>
    <w:p w14:paraId="61CCA1CA" w14:textId="6FDABB13" w:rsidR="003967ED" w:rsidRDefault="000C2DA5" w:rsidP="00DC4CDC">
      <w:pPr>
        <w:pStyle w:val="Normal11pt"/>
        <w:spacing w:after="120" w:line="276" w:lineRule="auto"/>
        <w:ind w:left="0"/>
      </w:pPr>
      <w:bookmarkStart w:id="9" w:name="_Hlk102123772"/>
      <w:r>
        <w:rPr>
          <w:rFonts w:eastAsia="Calibri"/>
          <w:lang w:val="es-CO"/>
        </w:rPr>
        <w:t>De conformidad con las consideraciones expuestas</w:t>
      </w:r>
      <w:r w:rsidR="005E6CE9">
        <w:rPr>
          <w:rFonts w:eastAsia="Calibri"/>
          <w:lang w:val="es-CO"/>
        </w:rPr>
        <w:t xml:space="preserve">, </w:t>
      </w:r>
      <w:bookmarkStart w:id="10" w:name="_Hlk104883720"/>
      <w:r w:rsidR="005E6CE9">
        <w:rPr>
          <w:rFonts w:eastAsia="Calibri"/>
          <w:lang w:val="es-CO"/>
        </w:rPr>
        <w:t xml:space="preserve">el literal E precitado es claro al establecer, para el caso de los contratos que hayan sido objeto de cesión </w:t>
      </w:r>
      <w:r w:rsidR="005E6CE9" w:rsidRPr="00D5786B">
        <w:rPr>
          <w:rFonts w:eastAsia="Calibri"/>
          <w:i/>
          <w:iCs/>
          <w:lang w:val="es-CO"/>
        </w:rPr>
        <w:t>dos</w:t>
      </w:r>
      <w:r w:rsidR="005E6CE9">
        <w:rPr>
          <w:rFonts w:eastAsia="Calibri"/>
          <w:lang w:val="es-CO"/>
        </w:rPr>
        <w:t xml:space="preserve"> (2) reglas. La</w:t>
      </w:r>
      <w:r w:rsidR="005E6CE9" w:rsidRPr="00FF7AF5">
        <w:rPr>
          <w:rFonts w:eastAsia="Calibri"/>
          <w:lang w:val="es-CO"/>
        </w:rPr>
        <w:t xml:space="preserve"> primera</w:t>
      </w:r>
      <w:r w:rsidR="005E6CE9">
        <w:rPr>
          <w:rFonts w:eastAsia="Calibri"/>
          <w:lang w:val="es-CO"/>
        </w:rPr>
        <w:t xml:space="preserve"> establece que el contrato objeto de cesión debe encontrarse debidamente inscrito y clasificado en el RUP o en alguno de los documentos considerados válidos para la acreditación de la experiencia de la empresa cesionaria. </w:t>
      </w:r>
      <w:r w:rsidR="005E6CE9" w:rsidRPr="002A5EB5">
        <w:rPr>
          <w:lang w:val="es-CO"/>
        </w:rPr>
        <w:t xml:space="preserve">La segunda regla determina que </w:t>
      </w:r>
      <w:r w:rsidR="005E6CE9" w:rsidRPr="002A5EB5">
        <w:rPr>
          <w:color w:val="0D0D0D"/>
          <w:bdr w:val="none" w:sz="0" w:space="0" w:color="auto" w:frame="1"/>
          <w:lang w:eastAsia="es-CO"/>
        </w:rPr>
        <w:t>«</w:t>
      </w:r>
      <w:r w:rsidR="005E6CE9" w:rsidRPr="002A5EB5">
        <w:rPr>
          <w:lang w:val="es-CO"/>
        </w:rPr>
        <w:t xml:space="preserve">la experiencia se admitirá para el cesionario y no se reconocerá experiencia alguna </w:t>
      </w:r>
      <w:r w:rsidR="005E6CE9" w:rsidRPr="002A5EB5">
        <w:rPr>
          <w:lang w:val="es-CO"/>
        </w:rPr>
        <w:lastRenderedPageBreak/>
        <w:t>al cedente</w:t>
      </w:r>
      <w:r w:rsidR="005E6CE9" w:rsidRPr="002A5EB5">
        <w:rPr>
          <w:color w:val="0D0D0D"/>
          <w:bdr w:val="none" w:sz="0" w:space="0" w:color="auto" w:frame="1"/>
          <w:lang w:eastAsia="es-CO"/>
        </w:rPr>
        <w:t xml:space="preserve">», </w:t>
      </w:r>
      <w:r w:rsidR="005E6CE9">
        <w:rPr>
          <w:color w:val="0D0D0D"/>
          <w:bdr w:val="none" w:sz="0" w:space="0" w:color="auto" w:frame="1"/>
          <w:lang w:eastAsia="es-CO"/>
        </w:rPr>
        <w:t xml:space="preserve">en este sentido, debe precisarse que el criterio contenido en el literal E del numeral 3.5.6. del Documento Base de </w:t>
      </w:r>
      <w:r w:rsidR="005E6CE9" w:rsidRPr="0045129A">
        <w:t>licitación de obra pública de infraestructura de transporte – versión 3</w:t>
      </w:r>
      <w:r w:rsidR="005E6CE9">
        <w:t xml:space="preserve">, no plantea la condición para que al cedente se le reconozca experiencia, ni determina un porcentaje de ejecución o participación de la unión temporal para tener en cuenta la experiencia del cedente. Por lo anterior, teniendo en cuenta el principio de inalterabilidad que rige en los documentos y </w:t>
      </w:r>
      <w:r w:rsidR="005E6CE9" w:rsidRPr="00EF40D5">
        <w:t>bajo la pauta hermenéutica «</w:t>
      </w:r>
      <w:proofErr w:type="spellStart"/>
      <w:r w:rsidR="005E6CE9" w:rsidRPr="00EF40D5">
        <w:rPr>
          <w:i/>
          <w:iCs/>
        </w:rPr>
        <w:t>Ubi</w:t>
      </w:r>
      <w:proofErr w:type="spellEnd"/>
      <w:r w:rsidR="005E6CE9" w:rsidRPr="00EF40D5">
        <w:rPr>
          <w:i/>
          <w:iCs/>
        </w:rPr>
        <w:t xml:space="preserve"> lex non </w:t>
      </w:r>
      <w:proofErr w:type="spellStart"/>
      <w:r w:rsidR="005E6CE9" w:rsidRPr="00EF40D5">
        <w:rPr>
          <w:i/>
          <w:iCs/>
        </w:rPr>
        <w:t>distinguit</w:t>
      </w:r>
      <w:proofErr w:type="spellEnd"/>
      <w:r w:rsidR="005E6CE9" w:rsidRPr="00EF40D5">
        <w:rPr>
          <w:i/>
          <w:iCs/>
        </w:rPr>
        <w:t xml:space="preserve">, </w:t>
      </w:r>
      <w:proofErr w:type="spellStart"/>
      <w:r w:rsidR="005E6CE9" w:rsidRPr="00EF40D5">
        <w:rPr>
          <w:i/>
          <w:iCs/>
        </w:rPr>
        <w:t>nec</w:t>
      </w:r>
      <w:proofErr w:type="spellEnd"/>
      <w:r w:rsidR="005E6CE9" w:rsidRPr="00EF40D5">
        <w:rPr>
          <w:i/>
          <w:iCs/>
        </w:rPr>
        <w:t xml:space="preserve"> nos </w:t>
      </w:r>
      <w:proofErr w:type="spellStart"/>
      <w:r w:rsidR="005E6CE9" w:rsidRPr="00EF40D5">
        <w:rPr>
          <w:i/>
          <w:iCs/>
        </w:rPr>
        <w:t>distinguere</w:t>
      </w:r>
      <w:proofErr w:type="spellEnd"/>
      <w:r w:rsidR="005E6CE9" w:rsidRPr="00EF40D5">
        <w:rPr>
          <w:i/>
          <w:iCs/>
        </w:rPr>
        <w:t xml:space="preserve"> </w:t>
      </w:r>
      <w:proofErr w:type="spellStart"/>
      <w:r w:rsidR="005E6CE9" w:rsidRPr="00EF40D5">
        <w:rPr>
          <w:i/>
          <w:iCs/>
        </w:rPr>
        <w:t>debemus</w:t>
      </w:r>
      <w:proofErr w:type="spellEnd"/>
      <w:r w:rsidR="005E6CE9" w:rsidRPr="00EF40D5">
        <w:t>»</w:t>
      </w:r>
      <w:r w:rsidR="005E6CE9">
        <w:t xml:space="preserve"> no se le puede dar una interpretación diferente al referido literal. </w:t>
      </w:r>
    </w:p>
    <w:bookmarkEnd w:id="9"/>
    <w:p w14:paraId="3EDC2E80" w14:textId="77777777" w:rsidR="005E7D17" w:rsidRPr="00F37552" w:rsidRDefault="005E7D17" w:rsidP="00DC4CDC">
      <w:pPr>
        <w:pStyle w:val="Normal11pt"/>
        <w:spacing w:line="276" w:lineRule="auto"/>
        <w:ind w:left="0" w:firstLine="709"/>
        <w:rPr>
          <w:lang w:val="es-CO"/>
        </w:rPr>
      </w:pPr>
      <w:r>
        <w:rPr>
          <w:lang w:val="es-CO"/>
        </w:rPr>
        <w:t xml:space="preserve">Adicionalmente, es menester resaltar que, la finalidad de esta regla es evitar que con el contrato objeto de cesión tanto el cesionario como el cedente, acrediten doblemente la experiencia en el marco de los procesos de contratación. Finalmente, se concluye que lo dispuesto en el literal E del numeral 3.5.6. del documento base, hace parte del contenido inalterable de los documentos tipo, razón por la cual, no se le puede dar una interpretación diferente. Esto, debido a que no se estipuló su modificación o adecuación frente a casos particulares como el descrito en la petición de consulta, por lo que deberá respetarse la regla de acuerdo con su contenido original </w:t>
      </w:r>
      <w:r>
        <w:rPr>
          <w:rFonts w:eastAsia="Calibri"/>
          <w:lang w:val="es-MX" w:eastAsia="en-US"/>
        </w:rPr>
        <w:t xml:space="preserve">y deberá interpretarse de forma literal. </w:t>
      </w:r>
    </w:p>
    <w:bookmarkEnd w:id="10"/>
    <w:p w14:paraId="6F54E8A2" w14:textId="77777777" w:rsidR="006E56E8" w:rsidRDefault="006E56E8" w:rsidP="00DC4CDC">
      <w:pPr>
        <w:spacing w:line="276" w:lineRule="auto"/>
        <w:jc w:val="both"/>
        <w:rPr>
          <w:rFonts w:ascii="Arial" w:eastAsia="Calibri" w:hAnsi="Arial" w:cs="Arial"/>
          <w:sz w:val="22"/>
          <w:lang w:val="es-CO"/>
        </w:rPr>
      </w:pPr>
    </w:p>
    <w:p w14:paraId="0DB72472" w14:textId="3547B48D" w:rsidR="00904CD9" w:rsidRPr="00BB0056" w:rsidRDefault="00904CD9" w:rsidP="008437E8">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w:t>
      </w:r>
      <w:r w:rsidR="008437E8">
        <w:rPr>
          <w:rFonts w:ascii="Arial" w:eastAsia="Calibri" w:hAnsi="Arial" w:cs="Arial"/>
          <w:sz w:val="22"/>
          <w:lang w:val="es-CO"/>
        </w:rPr>
        <w:t xml:space="preserve"> lo Contencioso Administrativo.</w:t>
      </w:r>
    </w:p>
    <w:p w14:paraId="413A737E" w14:textId="77777777" w:rsidR="0096164F" w:rsidRDefault="0096164F" w:rsidP="00904CD9">
      <w:pPr>
        <w:rPr>
          <w:rFonts w:ascii="Arial" w:eastAsia="Times New Roman" w:hAnsi="Arial" w:cs="Arial"/>
          <w:sz w:val="22"/>
          <w:lang w:val="es-CO" w:eastAsia="es-CO"/>
        </w:rPr>
      </w:pPr>
    </w:p>
    <w:p w14:paraId="45FDD70C" w14:textId="0A0D747C"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6769AA31" w14:textId="0619D7A1" w:rsidR="003D504E" w:rsidRDefault="00DC4CDC" w:rsidP="00095FCB">
      <w:pPr>
        <w:jc w:val="center"/>
        <w:rPr>
          <w:rFonts w:ascii="Arial" w:eastAsia="Times New Roman" w:hAnsi="Arial" w:cs="Arial"/>
          <w:sz w:val="22"/>
          <w:lang w:val="es-CO" w:eastAsia="es-CO"/>
        </w:rPr>
      </w:pPr>
      <w:r w:rsidRPr="00570FD2">
        <w:rPr>
          <w:rFonts w:ascii="Arial" w:hAnsi="Arial" w:cs="Arial"/>
          <w:noProof/>
          <w:color w:val="000000" w:themeColor="text1"/>
          <w:sz w:val="22"/>
        </w:rPr>
        <w:drawing>
          <wp:inline distT="0" distB="0" distL="0" distR="0" wp14:anchorId="0D064153" wp14:editId="4404BC48">
            <wp:extent cx="2438400" cy="1035251"/>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457744" cy="1043464"/>
                    </a:xfrm>
                    <a:prstGeom prst="rect">
                      <a:avLst/>
                    </a:prstGeom>
                  </pic:spPr>
                </pic:pic>
              </a:graphicData>
            </a:graphic>
          </wp:inline>
        </w:drawing>
      </w:r>
    </w:p>
    <w:p w14:paraId="2871F99B" w14:textId="77777777" w:rsidR="00DC4CDC" w:rsidRPr="003D504E" w:rsidRDefault="00DC4CDC" w:rsidP="00095FCB">
      <w:pPr>
        <w:jc w:val="center"/>
        <w:rPr>
          <w:rFonts w:ascii="Arial" w:eastAsia="Times New Roman" w:hAnsi="Arial" w:cs="Arial"/>
          <w:sz w:val="22"/>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BB0056" w14:paraId="2464DB35" w14:textId="77777777" w:rsidTr="00C67675">
        <w:trPr>
          <w:trHeight w:val="315"/>
        </w:trPr>
        <w:tc>
          <w:tcPr>
            <w:tcW w:w="488" w:type="dxa"/>
            <w:vAlign w:val="center"/>
            <w:hideMark/>
          </w:tcPr>
          <w:p w14:paraId="47337C6B"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58290573" w14:textId="77777777" w:rsidR="0016345A" w:rsidRDefault="0016345A" w:rsidP="00DF0A9C">
            <w:pPr>
              <w:rPr>
                <w:rFonts w:ascii="Arial" w:eastAsia="Times New Roman" w:hAnsi="Arial" w:cs="Arial"/>
                <w:sz w:val="16"/>
                <w:szCs w:val="16"/>
                <w:lang w:val="es-CO" w:eastAsia="es-ES"/>
              </w:rPr>
            </w:pPr>
            <w:r w:rsidRPr="0016345A">
              <w:rPr>
                <w:rFonts w:ascii="Arial" w:eastAsia="Times New Roman" w:hAnsi="Arial" w:cs="Arial"/>
                <w:sz w:val="16"/>
                <w:szCs w:val="16"/>
                <w:lang w:val="es-CO" w:eastAsia="es-ES"/>
              </w:rPr>
              <w:t xml:space="preserve">Laura Alejandra Materón García </w:t>
            </w:r>
          </w:p>
          <w:p w14:paraId="2EE50E5D" w14:textId="4BC4CE3E" w:rsidR="00904CD9" w:rsidRPr="00BB0056" w:rsidRDefault="0016345A" w:rsidP="00DF0A9C">
            <w:pPr>
              <w:rPr>
                <w:rFonts w:ascii="Arial" w:eastAsia="Times New Roman" w:hAnsi="Arial" w:cs="Arial"/>
                <w:sz w:val="16"/>
                <w:szCs w:val="16"/>
                <w:lang w:val="es-CO" w:eastAsia="es-ES"/>
              </w:rPr>
            </w:pPr>
            <w:r w:rsidRPr="0016345A">
              <w:rPr>
                <w:rFonts w:ascii="Arial" w:eastAsia="Times New Roman" w:hAnsi="Arial" w:cs="Arial"/>
                <w:sz w:val="16"/>
                <w:szCs w:val="16"/>
                <w:lang w:val="es-CO" w:eastAsia="es-ES"/>
              </w:rPr>
              <w:t>Analista T2-01 de la Subdirección de Gestión Contractual</w:t>
            </w:r>
          </w:p>
        </w:tc>
      </w:tr>
      <w:tr w:rsidR="00904CD9" w:rsidRPr="00BB0056" w14:paraId="29969DA1" w14:textId="77777777" w:rsidTr="00C67675">
        <w:trPr>
          <w:trHeight w:val="330"/>
        </w:trPr>
        <w:tc>
          <w:tcPr>
            <w:tcW w:w="488" w:type="dxa"/>
            <w:vAlign w:val="center"/>
            <w:hideMark/>
          </w:tcPr>
          <w:p w14:paraId="4C3A366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A6332DF" w14:textId="77777777" w:rsidR="00A05B8E" w:rsidRDefault="00A05B8E" w:rsidP="000F6869">
            <w:pPr>
              <w:rPr>
                <w:rFonts w:ascii="Arial" w:eastAsia="Times New Roman" w:hAnsi="Arial" w:cs="Arial"/>
                <w:sz w:val="16"/>
                <w:szCs w:val="16"/>
                <w:lang w:val="es-CO" w:eastAsia="es-ES"/>
              </w:rPr>
            </w:pPr>
            <w:r>
              <w:rPr>
                <w:rFonts w:ascii="Arial" w:eastAsia="Times New Roman" w:hAnsi="Arial" w:cs="Arial"/>
                <w:sz w:val="16"/>
                <w:szCs w:val="16"/>
                <w:lang w:val="es-CO" w:eastAsia="es-ES"/>
              </w:rPr>
              <w:t>Alejandro Sarmiento Cantillo</w:t>
            </w:r>
          </w:p>
          <w:p w14:paraId="69241DC2" w14:textId="17473684" w:rsidR="00B243F7" w:rsidRPr="00B243F7" w:rsidRDefault="00651E7C" w:rsidP="000F6869">
            <w:pPr>
              <w:rPr>
                <w:rFonts w:ascii="Arial" w:eastAsia="Times New Roman" w:hAnsi="Arial" w:cs="Arial"/>
                <w:sz w:val="14"/>
                <w:szCs w:val="14"/>
                <w:lang w:eastAsia="es-ES"/>
              </w:rPr>
            </w:pPr>
            <w:r>
              <w:rPr>
                <w:rFonts w:ascii="Arial" w:eastAsia="Times New Roman" w:hAnsi="Arial" w:cs="Arial"/>
                <w:sz w:val="16"/>
                <w:szCs w:val="16"/>
                <w:lang w:val="es-CO" w:eastAsia="es-ES"/>
              </w:rPr>
              <w:t>Gestor T1-15</w:t>
            </w:r>
            <w:r w:rsidR="00D50CC2">
              <w:rPr>
                <w:rFonts w:ascii="Arial" w:eastAsia="Times New Roman" w:hAnsi="Arial" w:cs="Arial"/>
                <w:sz w:val="16"/>
                <w:szCs w:val="16"/>
                <w:lang w:val="es-CO" w:eastAsia="es-ES"/>
              </w:rPr>
              <w:t xml:space="preserve"> de </w:t>
            </w:r>
            <w:r w:rsidR="004E1E4A" w:rsidRPr="00BB0056">
              <w:rPr>
                <w:rFonts w:ascii="Arial" w:eastAsia="Times New Roman" w:hAnsi="Arial" w:cs="Arial"/>
                <w:sz w:val="16"/>
                <w:szCs w:val="16"/>
                <w:lang w:val="es-CO" w:eastAsia="es-ES"/>
              </w:rPr>
              <w:t>la Subdirección de Gestión Contractual</w:t>
            </w:r>
            <w:r w:rsidR="004E1E4A" w:rsidRPr="00485F24">
              <w:rPr>
                <w:rFonts w:ascii="Arial" w:eastAsia="Times New Roman" w:hAnsi="Arial" w:cs="Arial"/>
                <w:sz w:val="16"/>
                <w:szCs w:val="16"/>
                <w:lang w:val="es-CO" w:eastAsia="es-ES"/>
              </w:rPr>
              <w:t xml:space="preserve"> </w:t>
            </w:r>
          </w:p>
        </w:tc>
      </w:tr>
      <w:tr w:rsidR="00904CD9" w:rsidRPr="00BB0056" w14:paraId="7602497E" w14:textId="77777777" w:rsidTr="00C67675">
        <w:trPr>
          <w:trHeight w:val="300"/>
        </w:trPr>
        <w:tc>
          <w:tcPr>
            <w:tcW w:w="488" w:type="dxa"/>
            <w:vAlign w:val="center"/>
            <w:hideMark/>
          </w:tcPr>
          <w:p w14:paraId="1229F086" w14:textId="6AA34FD4"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DE85B46" w14:textId="7E9D2E4D"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720966">
              <w:rPr>
                <w:rFonts w:ascii="Arial" w:eastAsia="Times New Roman" w:hAnsi="Arial" w:cs="Arial"/>
                <w:sz w:val="16"/>
                <w:szCs w:val="16"/>
                <w:lang w:val="es-CO" w:eastAsia="es-ES"/>
              </w:rPr>
              <w:t xml:space="preserve"> ANCP – CCE</w:t>
            </w:r>
          </w:p>
        </w:tc>
      </w:tr>
      <w:bookmarkEnd w:id="1"/>
    </w:tbl>
    <w:p w14:paraId="7EBF297E" w14:textId="1B6AC04C" w:rsidR="007B0854" w:rsidRPr="00904CD9" w:rsidRDefault="007B0854" w:rsidP="00904CD9"/>
    <w:sectPr w:rsidR="007B0854" w:rsidRPr="00904CD9"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74F6" w14:textId="77777777" w:rsidR="009351DD" w:rsidRDefault="009351DD">
      <w:r>
        <w:separator/>
      </w:r>
    </w:p>
  </w:endnote>
  <w:endnote w:type="continuationSeparator" w:id="0">
    <w:p w14:paraId="416D4268" w14:textId="77777777" w:rsidR="009351DD" w:rsidRDefault="0093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C65F11" w:rsidRDefault="00C65F11" w:rsidP="00B6444C">
    <w:pPr>
      <w:pStyle w:val="Sinespaciado"/>
      <w:rPr>
        <w:rFonts w:ascii="Arial" w:hAnsi="Arial" w:cs="Arial"/>
        <w:sz w:val="18"/>
        <w:szCs w:val="18"/>
      </w:rPr>
    </w:pPr>
  </w:p>
  <w:p w14:paraId="53DF6B5B" w14:textId="77777777" w:rsidR="00C65F11" w:rsidRDefault="00C65F11" w:rsidP="00B6444C">
    <w:pPr>
      <w:pStyle w:val="Sinespaciado"/>
      <w:rPr>
        <w:rFonts w:ascii="Arial" w:hAnsi="Arial" w:cs="Arial"/>
        <w:sz w:val="18"/>
        <w:szCs w:val="18"/>
      </w:rPr>
    </w:pPr>
  </w:p>
  <w:p w14:paraId="312C4A14" w14:textId="3B507045" w:rsidR="00C65F11" w:rsidRPr="005A79FE" w:rsidRDefault="00C65F11"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B7BCA">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B7BCA">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4A5E79D2" w:rsidR="00C65F11" w:rsidRDefault="00C65F11" w:rsidP="007B0854">
    <w:pPr>
      <w:pStyle w:val="Piedepgina"/>
      <w:jc w:val="center"/>
      <w:rPr>
        <w:lang w:val="es-ES"/>
      </w:rPr>
    </w:pPr>
    <w:r>
      <w:rPr>
        <w:noProof/>
        <w:lang w:val="es-ES" w:eastAsia="es-E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C65F11" w:rsidRDefault="00C65F11" w:rsidP="007B0854">
    <w:pPr>
      <w:pStyle w:val="Piedepgina"/>
      <w:jc w:val="center"/>
      <w:rPr>
        <w:lang w:val="es-ES"/>
      </w:rPr>
    </w:pPr>
  </w:p>
  <w:p w14:paraId="645768A8" w14:textId="77777777" w:rsidR="00C65F11" w:rsidRPr="007B0854" w:rsidRDefault="00C65F11"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FC5F" w14:textId="77777777" w:rsidR="009351DD" w:rsidRDefault="009351DD">
      <w:r>
        <w:separator/>
      </w:r>
    </w:p>
  </w:footnote>
  <w:footnote w:type="continuationSeparator" w:id="0">
    <w:p w14:paraId="3431D57D" w14:textId="77777777" w:rsidR="009351DD" w:rsidRDefault="009351DD">
      <w:r>
        <w:continuationSeparator/>
      </w:r>
    </w:p>
  </w:footnote>
  <w:footnote w:id="1">
    <w:p w14:paraId="34B1A7A2" w14:textId="77777777" w:rsidR="00A152BD" w:rsidRPr="006A4A23" w:rsidRDefault="00A152BD" w:rsidP="00BD457C">
      <w:pPr>
        <w:pStyle w:val="Textonotapie"/>
        <w:ind w:firstLine="709"/>
        <w:jc w:val="both"/>
        <w:rPr>
          <w:rFonts w:ascii="Arial" w:hAnsi="Arial" w:cs="Arial"/>
          <w:sz w:val="19"/>
          <w:szCs w:val="19"/>
          <w:lang w:val="es-ES"/>
        </w:rPr>
      </w:pPr>
      <w:r w:rsidRPr="006A4A23">
        <w:rPr>
          <w:rStyle w:val="Refdenotaalpie"/>
          <w:rFonts w:ascii="Arial" w:hAnsi="Arial" w:cs="Arial"/>
          <w:sz w:val="19"/>
          <w:szCs w:val="19"/>
        </w:rPr>
        <w:footnoteRef/>
      </w:r>
      <w:r w:rsidRPr="006A4A23">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A4A23">
        <w:rPr>
          <w:rFonts w:ascii="Arial" w:hAnsi="Arial" w:cs="Arial"/>
          <w:i/>
          <w:iCs/>
          <w:sz w:val="19"/>
          <w:szCs w:val="19"/>
        </w:rPr>
        <w:t xml:space="preserve">ibidem </w:t>
      </w:r>
      <w:r w:rsidRPr="006A4A23">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6A4A23">
        <w:rPr>
          <w:rFonts w:ascii="Arial" w:hAnsi="Arial" w:cs="Arial"/>
          <w:sz w:val="19"/>
          <w:szCs w:val="19"/>
        </w:rPr>
        <w:t>bsolver</w:t>
      </w:r>
      <w:proofErr w:type="spellEnd"/>
      <w:r w:rsidRPr="006A4A23">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6A4A23">
        <w:rPr>
          <w:rFonts w:ascii="Arial" w:hAnsi="Arial" w:cs="Arial"/>
          <w:sz w:val="19"/>
          <w:szCs w:val="19"/>
        </w:rPr>
        <w:t>bsolver</w:t>
      </w:r>
      <w:proofErr w:type="spellEnd"/>
      <w:r w:rsidRPr="006A4A23">
        <w:rPr>
          <w:rFonts w:ascii="Arial" w:hAnsi="Arial" w:cs="Arial"/>
          <w:sz w:val="19"/>
          <w:szCs w:val="19"/>
        </w:rPr>
        <w:t xml:space="preserve"> consultas sobre la aplicación de normas de carácter general».</w:t>
      </w:r>
    </w:p>
  </w:footnote>
  <w:footnote w:id="2">
    <w:p w14:paraId="16BAC917" w14:textId="3654510A" w:rsidR="00C65F11" w:rsidRDefault="00C65F11" w:rsidP="00CF7584">
      <w:pPr>
        <w:pStyle w:val="Textonotapie"/>
        <w:ind w:firstLine="709"/>
        <w:jc w:val="both"/>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5BB5CAD1" w14:textId="77777777" w:rsidR="00D2235E" w:rsidRPr="005A5BF9" w:rsidRDefault="00D2235E" w:rsidP="00CF7584">
      <w:pPr>
        <w:pStyle w:val="Textonotapie"/>
        <w:ind w:firstLine="709"/>
        <w:jc w:val="both"/>
        <w:rPr>
          <w:rFonts w:ascii="Arial" w:eastAsia="Times New Roman" w:hAnsi="Arial" w:cs="Arial"/>
          <w:color w:val="000000"/>
          <w:sz w:val="19"/>
          <w:szCs w:val="19"/>
          <w:bdr w:val="none" w:sz="0" w:space="0" w:color="auto" w:frame="1"/>
          <w:lang w:eastAsia="es-CO"/>
        </w:rPr>
      </w:pPr>
    </w:p>
  </w:footnote>
  <w:footnote w:id="3">
    <w:p w14:paraId="0D8088F0" w14:textId="5BC78F02" w:rsidR="00C65F11" w:rsidRPr="005A5BF9" w:rsidRDefault="00C65F11" w:rsidP="00CF7584">
      <w:pPr>
        <w:pStyle w:val="Textonotapie"/>
        <w:ind w:firstLine="709"/>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Diario Oficial. Gaceta del Congreso 458 de 2005.  </w:t>
      </w:r>
    </w:p>
  </w:footnote>
  <w:footnote w:id="4">
    <w:p w14:paraId="784FB488" w14:textId="77777777" w:rsidR="00D2235E" w:rsidRDefault="00D2235E" w:rsidP="000D3B40">
      <w:pPr>
        <w:pStyle w:val="Textonotapie"/>
        <w:ind w:firstLine="709"/>
        <w:rPr>
          <w:rFonts w:ascii="Arial" w:hAnsi="Arial" w:cs="Arial"/>
          <w:sz w:val="19"/>
          <w:szCs w:val="19"/>
        </w:rPr>
      </w:pPr>
    </w:p>
    <w:p w14:paraId="496D72CA" w14:textId="68329A20" w:rsidR="003567B6" w:rsidRPr="003567B6" w:rsidRDefault="00C65F11" w:rsidP="000D3B40">
      <w:pPr>
        <w:pStyle w:val="Textonotapie"/>
        <w:ind w:firstLine="709"/>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sz w:val="19"/>
          <w:szCs w:val="19"/>
        </w:rPr>
        <w:t>Ibídem.</w:t>
      </w:r>
      <w:r w:rsidRPr="003567B6">
        <w:rPr>
          <w:rFonts w:ascii="Arial" w:hAnsi="Arial" w:cs="Arial"/>
          <w:sz w:val="19"/>
          <w:szCs w:val="19"/>
        </w:rPr>
        <w:t xml:space="preserve">  </w:t>
      </w:r>
    </w:p>
  </w:footnote>
  <w:footnote w:id="5">
    <w:p w14:paraId="06A6D20A" w14:textId="77777777" w:rsidR="00D2235E" w:rsidRDefault="00D2235E" w:rsidP="002A4E44">
      <w:pPr>
        <w:shd w:val="clear" w:color="auto" w:fill="FFFFFF"/>
        <w:ind w:firstLine="709"/>
        <w:jc w:val="both"/>
        <w:textAlignment w:val="baseline"/>
        <w:rPr>
          <w:rFonts w:ascii="Arial" w:hAnsi="Arial" w:cs="Arial"/>
          <w:sz w:val="19"/>
          <w:szCs w:val="19"/>
        </w:rPr>
      </w:pPr>
    </w:p>
    <w:p w14:paraId="57B9B932" w14:textId="1AE64763"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Diario Oficial. Gaceta del Congreso 416 de 2007, Informe de Conciliación Senado. </w:t>
      </w:r>
    </w:p>
  </w:footnote>
  <w:footnote w:id="6">
    <w:p w14:paraId="0B02A176"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EF8EDBA"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EC4EBD0"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 xml:space="preserve">»Con el ánimo de promover la descentralización, el empleo local, el desarrollo, los </w:t>
      </w:r>
      <w:r w:rsidRPr="00BE6711">
        <w:rPr>
          <w:rFonts w:ascii="Arial" w:hAnsi="Arial" w:cs="Arial"/>
          <w:color w:val="000000"/>
          <w:sz w:val="19"/>
          <w:szCs w:val="19"/>
          <w:bdr w:val="none" w:sz="0" w:space="0" w:color="auto" w:frame="1"/>
          <w:lang w:eastAsia="es-CO"/>
        </w:rPr>
        <w:t>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3974C20"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78D682C" w14:textId="0F4D635B" w:rsidR="00C65F11" w:rsidRPr="003567B6" w:rsidRDefault="00C65F11" w:rsidP="00DC4CDC">
      <w:pPr>
        <w:shd w:val="clear" w:color="auto" w:fill="FFFFFF"/>
        <w:ind w:firstLine="708"/>
        <w:jc w:val="both"/>
        <w:textAlignment w:val="baseline"/>
        <w:rPr>
          <w:rFonts w:ascii="Arial" w:hAnsi="Arial" w:cs="Arial"/>
          <w:sz w:val="19"/>
          <w:szCs w:val="19"/>
        </w:rPr>
      </w:pPr>
      <w:proofErr w:type="gramStart"/>
      <w:r w:rsidRPr="005A5BF9">
        <w:rPr>
          <w:rFonts w:ascii="Arial" w:hAnsi="Arial" w:cs="Arial"/>
          <w:color w:val="000000"/>
          <w:sz w:val="19"/>
          <w:szCs w:val="19"/>
          <w:bdr w:val="none" w:sz="0" w:space="0" w:color="auto" w:frame="1"/>
          <w:lang w:eastAsia="es-CO"/>
        </w:rPr>
        <w:t>»En</w:t>
      </w:r>
      <w:proofErr w:type="gramEnd"/>
      <w:r w:rsidRPr="005A5BF9">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7">
    <w:p w14:paraId="0B34F6E9" w14:textId="77777777" w:rsidR="002C199A" w:rsidRPr="00B97354" w:rsidRDefault="002C199A" w:rsidP="002C199A">
      <w:pPr>
        <w:pStyle w:val="Textonotapie"/>
        <w:ind w:firstLine="709"/>
        <w:jc w:val="both"/>
        <w:rPr>
          <w:rFonts w:ascii="Arial" w:hAnsi="Arial" w:cs="Arial"/>
          <w:color w:val="000000" w:themeColor="text1"/>
          <w:sz w:val="19"/>
          <w:szCs w:val="19"/>
        </w:rPr>
      </w:pPr>
    </w:p>
    <w:p w14:paraId="09F10CFC" w14:textId="77777777" w:rsidR="002C199A" w:rsidRPr="00B97354" w:rsidRDefault="002C199A" w:rsidP="002C199A">
      <w:pPr>
        <w:pStyle w:val="Textonotapie"/>
        <w:ind w:firstLine="709"/>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ES"/>
        </w:rPr>
        <w:t xml:space="preserve">En cuanto a las resoluciones vigentes, dicha regla se observa en el artículo 3 de las Resoluciones </w:t>
      </w:r>
      <w:bookmarkStart w:id="7" w:name="_Hlk82363077"/>
      <w:r w:rsidRPr="00B97354">
        <w:rPr>
          <w:rFonts w:ascii="Arial" w:hAnsi="Arial" w:cs="Arial"/>
          <w:color w:val="000000" w:themeColor="text1"/>
          <w:sz w:val="19"/>
          <w:szCs w:val="19"/>
          <w:lang w:val="es-ES"/>
        </w:rPr>
        <w:t>240 de 2020, 241 de 2020, 248 de 2020, 249 de 2020, 269 de 2020, 219 de 2021, 392 de 2021, 454 de 2021, entre otras, así como lo dispuesto en el artículo 2 de la Resolución 094 de 2020</w:t>
      </w:r>
      <w:bookmarkEnd w:id="7"/>
      <w:r w:rsidRPr="00B97354">
        <w:rPr>
          <w:rFonts w:ascii="Arial" w:hAnsi="Arial" w:cs="Arial"/>
          <w:color w:val="000000" w:themeColor="text1"/>
          <w:sz w:val="19"/>
          <w:szCs w:val="19"/>
          <w:lang w:val="es-ES"/>
        </w:rPr>
        <w:t>.</w:t>
      </w:r>
    </w:p>
    <w:p w14:paraId="7F8BC5D5" w14:textId="77777777" w:rsidR="002C199A" w:rsidRPr="00B97354" w:rsidRDefault="002C199A" w:rsidP="002C199A">
      <w:pPr>
        <w:pStyle w:val="Textonotapie"/>
        <w:ind w:firstLine="709"/>
        <w:jc w:val="both"/>
        <w:rPr>
          <w:rFonts w:ascii="Arial" w:hAnsi="Arial" w:cs="Arial"/>
          <w:color w:val="000000" w:themeColor="text1"/>
          <w:sz w:val="19"/>
          <w:szCs w:val="19"/>
          <w:lang w:val="es-ES"/>
        </w:rPr>
      </w:pPr>
    </w:p>
  </w:footnote>
  <w:footnote w:id="8">
    <w:p w14:paraId="3031759D" w14:textId="77777777" w:rsidR="002C199A" w:rsidRPr="00B97354" w:rsidRDefault="002C199A" w:rsidP="002C199A">
      <w:pPr>
        <w:pStyle w:val="Textonotapie"/>
        <w:ind w:firstLine="708"/>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En torno a las potestades regladas, García de Enterría y Ramón Fernández manifiestan: «El ejercicio de las potestades regladas reduce a la Administración a la constatación (</w:t>
      </w:r>
      <w:proofErr w:type="spellStart"/>
      <w:r w:rsidRPr="00B97354">
        <w:rPr>
          <w:rFonts w:ascii="Arial" w:hAnsi="Arial" w:cs="Arial"/>
          <w:color w:val="000000" w:themeColor="text1"/>
          <w:sz w:val="19"/>
          <w:szCs w:val="19"/>
        </w:rPr>
        <w:t>accertamento</w:t>
      </w:r>
      <w:proofErr w:type="spellEnd"/>
      <w:r w:rsidRPr="00B97354">
        <w:rPr>
          <w:rFonts w:ascii="Arial" w:hAnsi="Arial" w:cs="Arial"/>
          <w:color w:val="000000" w:themeColor="text1"/>
          <w:sz w:val="19"/>
          <w:szCs w:val="19"/>
        </w:rPr>
        <w:t xml:space="preserve">,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RAMÓN FERNÁNDEZ, Tomas. Curso de derecho administrativo. Tomo I. Madrid: </w:t>
      </w:r>
      <w:proofErr w:type="spellStart"/>
      <w:r w:rsidRPr="00B97354">
        <w:rPr>
          <w:rFonts w:ascii="Arial" w:hAnsi="Arial" w:cs="Arial"/>
          <w:color w:val="000000" w:themeColor="text1"/>
          <w:sz w:val="19"/>
          <w:szCs w:val="19"/>
        </w:rPr>
        <w:t>Civitas</w:t>
      </w:r>
      <w:proofErr w:type="spellEnd"/>
      <w:r w:rsidRPr="00B97354">
        <w:rPr>
          <w:rFonts w:ascii="Arial" w:hAnsi="Arial" w:cs="Arial"/>
          <w:color w:val="000000" w:themeColor="text1"/>
          <w:sz w:val="19"/>
          <w:szCs w:val="19"/>
        </w:rPr>
        <w:t>, 1997. pp. 444-445)</w:t>
      </w:r>
    </w:p>
    <w:p w14:paraId="7479DDFA" w14:textId="77777777" w:rsidR="002C199A" w:rsidRPr="00B97354" w:rsidRDefault="002C199A" w:rsidP="002C199A">
      <w:pPr>
        <w:pStyle w:val="Textonotapie"/>
        <w:ind w:firstLine="708"/>
        <w:jc w:val="both"/>
        <w:rPr>
          <w:rFonts w:ascii="Arial" w:hAnsi="Arial" w:cs="Arial"/>
          <w:color w:val="000000" w:themeColor="text1"/>
          <w:sz w:val="19"/>
          <w:szCs w:val="19"/>
        </w:rPr>
      </w:pPr>
    </w:p>
  </w:footnote>
  <w:footnote w:id="9">
    <w:p w14:paraId="0245A6C7" w14:textId="77777777" w:rsidR="002C199A" w:rsidRPr="00B97354" w:rsidRDefault="002C199A" w:rsidP="002C199A">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51BC396" w14:textId="77777777" w:rsidR="002C199A" w:rsidRPr="00B97354" w:rsidRDefault="002C199A" w:rsidP="002C199A">
      <w:pPr>
        <w:pStyle w:val="Textonotapie"/>
        <w:ind w:firstLine="709"/>
        <w:jc w:val="both"/>
        <w:rPr>
          <w:rFonts w:ascii="Arial" w:hAnsi="Arial" w:cs="Arial"/>
          <w:color w:val="000000" w:themeColor="text1"/>
          <w:sz w:val="19"/>
          <w:szCs w:val="19"/>
        </w:rPr>
      </w:pPr>
    </w:p>
  </w:footnote>
  <w:footnote w:id="10">
    <w:p w14:paraId="552B1A2D" w14:textId="77777777" w:rsidR="002C199A" w:rsidRPr="00B97354" w:rsidRDefault="002C199A" w:rsidP="002C199A">
      <w:pPr>
        <w:ind w:firstLine="709"/>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198022B" w14:textId="77777777" w:rsidR="002C199A" w:rsidRPr="00B97354" w:rsidRDefault="002C199A" w:rsidP="002C199A">
      <w:pPr>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C65F11" w:rsidRDefault="00C65F11">
    <w:pPr>
      <w:pStyle w:val="Encabezado"/>
    </w:pPr>
  </w:p>
  <w:p w14:paraId="6A4C7F2C" w14:textId="7D093DBB" w:rsidR="00C65F11" w:rsidRDefault="00C65F11">
    <w:pPr>
      <w:pStyle w:val="Encabezado"/>
    </w:pPr>
  </w:p>
  <w:p w14:paraId="055F2E1F" w14:textId="0B935ADD" w:rsidR="00C65F11" w:rsidRDefault="00C65F11">
    <w:pPr>
      <w:pStyle w:val="Encabezado"/>
    </w:pPr>
    <w:r>
      <w:rPr>
        <w:noProof/>
        <w:lang w:val="es-ES" w:eastAsia="es-E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1400574" w14:textId="61BAF652" w:rsidR="00C65F11" w:rsidRDefault="00C65F11">
    <w:pPr>
      <w:pStyle w:val="Encabezado"/>
    </w:pPr>
  </w:p>
  <w:p w14:paraId="3D323BDB" w14:textId="04AF0DE6" w:rsidR="00C65F11" w:rsidRDefault="00C65F11">
    <w:pPr>
      <w:pStyle w:val="Encabezado"/>
    </w:pPr>
  </w:p>
  <w:p w14:paraId="6520770B" w14:textId="18EB07B5" w:rsidR="00C65F11" w:rsidRDefault="00C65F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265F41"/>
    <w:multiLevelType w:val="hybridMultilevel"/>
    <w:tmpl w:val="57E0A038"/>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E1B71CB"/>
    <w:multiLevelType w:val="hybridMultilevel"/>
    <w:tmpl w:val="AC8853BC"/>
    <w:lvl w:ilvl="0" w:tplc="1A685126">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6"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3993812">
    <w:abstractNumId w:val="7"/>
  </w:num>
  <w:num w:numId="2" w16cid:durableId="813445289">
    <w:abstractNumId w:val="6"/>
  </w:num>
  <w:num w:numId="3" w16cid:durableId="1632247844">
    <w:abstractNumId w:val="8"/>
  </w:num>
  <w:num w:numId="4" w16cid:durableId="1933928445">
    <w:abstractNumId w:val="10"/>
  </w:num>
  <w:num w:numId="5" w16cid:durableId="1993754901">
    <w:abstractNumId w:val="13"/>
  </w:num>
  <w:num w:numId="6" w16cid:durableId="166280658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6678336">
    <w:abstractNumId w:val="4"/>
  </w:num>
  <w:num w:numId="8" w16cid:durableId="404575234">
    <w:abstractNumId w:val="14"/>
  </w:num>
  <w:num w:numId="9" w16cid:durableId="2096243535">
    <w:abstractNumId w:val="4"/>
    <w:lvlOverride w:ilvl="0">
      <w:startOverride w:val="1"/>
    </w:lvlOverride>
  </w:num>
  <w:num w:numId="10" w16cid:durableId="1920864687">
    <w:abstractNumId w:val="15"/>
  </w:num>
  <w:num w:numId="11" w16cid:durableId="1827819227">
    <w:abstractNumId w:val="5"/>
  </w:num>
  <w:num w:numId="12" w16cid:durableId="1907298290">
    <w:abstractNumId w:val="16"/>
  </w:num>
  <w:num w:numId="13" w16cid:durableId="454061058">
    <w:abstractNumId w:val="9"/>
  </w:num>
  <w:num w:numId="14" w16cid:durableId="161358509">
    <w:abstractNumId w:val="12"/>
  </w:num>
  <w:num w:numId="15" w16cid:durableId="1396735029">
    <w:abstractNumId w:val="1"/>
  </w:num>
  <w:num w:numId="16" w16cid:durableId="2112430946">
    <w:abstractNumId w:val="2"/>
  </w:num>
  <w:num w:numId="17" w16cid:durableId="1285843181">
    <w:abstractNumId w:val="3"/>
  </w:num>
  <w:num w:numId="18" w16cid:durableId="424427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68F"/>
    <w:rsid w:val="0000404B"/>
    <w:rsid w:val="0000645E"/>
    <w:rsid w:val="0000651A"/>
    <w:rsid w:val="00006C8E"/>
    <w:rsid w:val="00006C9C"/>
    <w:rsid w:val="00010563"/>
    <w:rsid w:val="00010D56"/>
    <w:rsid w:val="000126BB"/>
    <w:rsid w:val="00012A1B"/>
    <w:rsid w:val="00013517"/>
    <w:rsid w:val="000136DC"/>
    <w:rsid w:val="00016F33"/>
    <w:rsid w:val="00016FAC"/>
    <w:rsid w:val="0001726A"/>
    <w:rsid w:val="0001795B"/>
    <w:rsid w:val="000201EA"/>
    <w:rsid w:val="00020801"/>
    <w:rsid w:val="00023549"/>
    <w:rsid w:val="00024BE5"/>
    <w:rsid w:val="0002665B"/>
    <w:rsid w:val="00026AD9"/>
    <w:rsid w:val="000271AD"/>
    <w:rsid w:val="00027940"/>
    <w:rsid w:val="00027F74"/>
    <w:rsid w:val="000303EC"/>
    <w:rsid w:val="00032DA3"/>
    <w:rsid w:val="000365C0"/>
    <w:rsid w:val="00037112"/>
    <w:rsid w:val="00037BF5"/>
    <w:rsid w:val="000503A1"/>
    <w:rsid w:val="00051882"/>
    <w:rsid w:val="00056024"/>
    <w:rsid w:val="00057953"/>
    <w:rsid w:val="00062503"/>
    <w:rsid w:val="0006292C"/>
    <w:rsid w:val="0006293E"/>
    <w:rsid w:val="0006625D"/>
    <w:rsid w:val="00070770"/>
    <w:rsid w:val="00070A22"/>
    <w:rsid w:val="00071D6E"/>
    <w:rsid w:val="0007590A"/>
    <w:rsid w:val="00080D35"/>
    <w:rsid w:val="00081AF3"/>
    <w:rsid w:val="0008260E"/>
    <w:rsid w:val="00084278"/>
    <w:rsid w:val="000843DD"/>
    <w:rsid w:val="00084DC0"/>
    <w:rsid w:val="00085CC3"/>
    <w:rsid w:val="00085D36"/>
    <w:rsid w:val="00087888"/>
    <w:rsid w:val="00090683"/>
    <w:rsid w:val="000939E0"/>
    <w:rsid w:val="00093D35"/>
    <w:rsid w:val="000942EB"/>
    <w:rsid w:val="0009440D"/>
    <w:rsid w:val="00095FCB"/>
    <w:rsid w:val="0009651A"/>
    <w:rsid w:val="00096EAB"/>
    <w:rsid w:val="0009712F"/>
    <w:rsid w:val="000972BA"/>
    <w:rsid w:val="000A15CB"/>
    <w:rsid w:val="000A1B81"/>
    <w:rsid w:val="000A2169"/>
    <w:rsid w:val="000A2C01"/>
    <w:rsid w:val="000A44E8"/>
    <w:rsid w:val="000A5189"/>
    <w:rsid w:val="000A668C"/>
    <w:rsid w:val="000A7E46"/>
    <w:rsid w:val="000B103F"/>
    <w:rsid w:val="000B1C28"/>
    <w:rsid w:val="000B26E7"/>
    <w:rsid w:val="000B3893"/>
    <w:rsid w:val="000B4FC6"/>
    <w:rsid w:val="000B53D0"/>
    <w:rsid w:val="000B599C"/>
    <w:rsid w:val="000C0B7C"/>
    <w:rsid w:val="000C2DA5"/>
    <w:rsid w:val="000C2DD2"/>
    <w:rsid w:val="000C4F67"/>
    <w:rsid w:val="000C5A1F"/>
    <w:rsid w:val="000C6347"/>
    <w:rsid w:val="000D0AFA"/>
    <w:rsid w:val="000D3B40"/>
    <w:rsid w:val="000E00A8"/>
    <w:rsid w:val="000E1761"/>
    <w:rsid w:val="000E1F13"/>
    <w:rsid w:val="000E2297"/>
    <w:rsid w:val="000E2B3A"/>
    <w:rsid w:val="000E68FA"/>
    <w:rsid w:val="000E6962"/>
    <w:rsid w:val="000E6D84"/>
    <w:rsid w:val="000F07B8"/>
    <w:rsid w:val="000F14E8"/>
    <w:rsid w:val="000F23B0"/>
    <w:rsid w:val="000F3B04"/>
    <w:rsid w:val="000F6869"/>
    <w:rsid w:val="000F7AE4"/>
    <w:rsid w:val="001015E9"/>
    <w:rsid w:val="001017F1"/>
    <w:rsid w:val="00102AA1"/>
    <w:rsid w:val="00103915"/>
    <w:rsid w:val="00103D3D"/>
    <w:rsid w:val="00106085"/>
    <w:rsid w:val="001065D1"/>
    <w:rsid w:val="00106B75"/>
    <w:rsid w:val="00106FB2"/>
    <w:rsid w:val="001112CF"/>
    <w:rsid w:val="00111438"/>
    <w:rsid w:val="00111636"/>
    <w:rsid w:val="00112192"/>
    <w:rsid w:val="00112D2F"/>
    <w:rsid w:val="00113E91"/>
    <w:rsid w:val="00114236"/>
    <w:rsid w:val="00114D72"/>
    <w:rsid w:val="001152BA"/>
    <w:rsid w:val="0011561C"/>
    <w:rsid w:val="00115D3E"/>
    <w:rsid w:val="001170AB"/>
    <w:rsid w:val="001214FF"/>
    <w:rsid w:val="0012244A"/>
    <w:rsid w:val="001229C6"/>
    <w:rsid w:val="00122B23"/>
    <w:rsid w:val="00124E73"/>
    <w:rsid w:val="00124EC3"/>
    <w:rsid w:val="00125291"/>
    <w:rsid w:val="0012570E"/>
    <w:rsid w:val="00125D4C"/>
    <w:rsid w:val="0012754A"/>
    <w:rsid w:val="00130333"/>
    <w:rsid w:val="0013236F"/>
    <w:rsid w:val="00132C50"/>
    <w:rsid w:val="001332D0"/>
    <w:rsid w:val="001344AA"/>
    <w:rsid w:val="00137BA1"/>
    <w:rsid w:val="00137FFA"/>
    <w:rsid w:val="001425C5"/>
    <w:rsid w:val="001428CF"/>
    <w:rsid w:val="001448B5"/>
    <w:rsid w:val="00146E1D"/>
    <w:rsid w:val="00152609"/>
    <w:rsid w:val="00153502"/>
    <w:rsid w:val="0015382E"/>
    <w:rsid w:val="00154263"/>
    <w:rsid w:val="001550CF"/>
    <w:rsid w:val="001554A4"/>
    <w:rsid w:val="00156DAF"/>
    <w:rsid w:val="00157821"/>
    <w:rsid w:val="0016135A"/>
    <w:rsid w:val="0016149E"/>
    <w:rsid w:val="00161D78"/>
    <w:rsid w:val="0016345A"/>
    <w:rsid w:val="00163B50"/>
    <w:rsid w:val="00164225"/>
    <w:rsid w:val="00165EA8"/>
    <w:rsid w:val="0016680A"/>
    <w:rsid w:val="00167838"/>
    <w:rsid w:val="00167B9D"/>
    <w:rsid w:val="00167F0C"/>
    <w:rsid w:val="00170733"/>
    <w:rsid w:val="00172E0A"/>
    <w:rsid w:val="00174107"/>
    <w:rsid w:val="00175343"/>
    <w:rsid w:val="001755EC"/>
    <w:rsid w:val="00175795"/>
    <w:rsid w:val="00177BAA"/>
    <w:rsid w:val="00180B3B"/>
    <w:rsid w:val="001838A8"/>
    <w:rsid w:val="00184E93"/>
    <w:rsid w:val="001900CF"/>
    <w:rsid w:val="001918D6"/>
    <w:rsid w:val="00191FB4"/>
    <w:rsid w:val="00192B77"/>
    <w:rsid w:val="001939B7"/>
    <w:rsid w:val="001963C6"/>
    <w:rsid w:val="0019745D"/>
    <w:rsid w:val="001974C0"/>
    <w:rsid w:val="001A08F7"/>
    <w:rsid w:val="001A0DF1"/>
    <w:rsid w:val="001A0EC0"/>
    <w:rsid w:val="001A27D7"/>
    <w:rsid w:val="001A3721"/>
    <w:rsid w:val="001A387A"/>
    <w:rsid w:val="001A5E0D"/>
    <w:rsid w:val="001A6DE3"/>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54B1"/>
    <w:rsid w:val="001C722C"/>
    <w:rsid w:val="001D172E"/>
    <w:rsid w:val="001D5E4D"/>
    <w:rsid w:val="001E0042"/>
    <w:rsid w:val="001E008B"/>
    <w:rsid w:val="001E0545"/>
    <w:rsid w:val="001E0849"/>
    <w:rsid w:val="001E1694"/>
    <w:rsid w:val="001E1A13"/>
    <w:rsid w:val="001E1E4F"/>
    <w:rsid w:val="001E30CF"/>
    <w:rsid w:val="001E453C"/>
    <w:rsid w:val="001F140A"/>
    <w:rsid w:val="001F1AFA"/>
    <w:rsid w:val="001F25AA"/>
    <w:rsid w:val="001F2AD0"/>
    <w:rsid w:val="001F3C7B"/>
    <w:rsid w:val="001F3D53"/>
    <w:rsid w:val="001F416A"/>
    <w:rsid w:val="001F6AAC"/>
    <w:rsid w:val="001F790E"/>
    <w:rsid w:val="002005CC"/>
    <w:rsid w:val="00203F1A"/>
    <w:rsid w:val="00204114"/>
    <w:rsid w:val="00204C65"/>
    <w:rsid w:val="002059AF"/>
    <w:rsid w:val="002131AD"/>
    <w:rsid w:val="002135F3"/>
    <w:rsid w:val="002146C0"/>
    <w:rsid w:val="0021571D"/>
    <w:rsid w:val="00216478"/>
    <w:rsid w:val="00216F1A"/>
    <w:rsid w:val="0021759E"/>
    <w:rsid w:val="00220CE5"/>
    <w:rsid w:val="002215FF"/>
    <w:rsid w:val="002236DB"/>
    <w:rsid w:val="00224570"/>
    <w:rsid w:val="00225C1A"/>
    <w:rsid w:val="0022655C"/>
    <w:rsid w:val="00233A24"/>
    <w:rsid w:val="00233B0C"/>
    <w:rsid w:val="00234461"/>
    <w:rsid w:val="0023484E"/>
    <w:rsid w:val="00234B84"/>
    <w:rsid w:val="00235EAA"/>
    <w:rsid w:val="00237329"/>
    <w:rsid w:val="00237CB3"/>
    <w:rsid w:val="002416BA"/>
    <w:rsid w:val="00242EFF"/>
    <w:rsid w:val="002457FD"/>
    <w:rsid w:val="00245C7E"/>
    <w:rsid w:val="00247A1A"/>
    <w:rsid w:val="00250718"/>
    <w:rsid w:val="00251445"/>
    <w:rsid w:val="00253276"/>
    <w:rsid w:val="00253C1D"/>
    <w:rsid w:val="00254319"/>
    <w:rsid w:val="002563B9"/>
    <w:rsid w:val="0025685E"/>
    <w:rsid w:val="00256BB9"/>
    <w:rsid w:val="00256EDF"/>
    <w:rsid w:val="0025768C"/>
    <w:rsid w:val="00265C96"/>
    <w:rsid w:val="00265CEB"/>
    <w:rsid w:val="00265ED0"/>
    <w:rsid w:val="00266E0C"/>
    <w:rsid w:val="00270234"/>
    <w:rsid w:val="0027071C"/>
    <w:rsid w:val="00272C62"/>
    <w:rsid w:val="00273780"/>
    <w:rsid w:val="00275701"/>
    <w:rsid w:val="00276521"/>
    <w:rsid w:val="00283380"/>
    <w:rsid w:val="0028382A"/>
    <w:rsid w:val="00284F66"/>
    <w:rsid w:val="00285D7E"/>
    <w:rsid w:val="00285FED"/>
    <w:rsid w:val="00286A53"/>
    <w:rsid w:val="00287542"/>
    <w:rsid w:val="002877E9"/>
    <w:rsid w:val="0029013E"/>
    <w:rsid w:val="0029159E"/>
    <w:rsid w:val="002940BE"/>
    <w:rsid w:val="00294801"/>
    <w:rsid w:val="002A01C4"/>
    <w:rsid w:val="002A3730"/>
    <w:rsid w:val="002A4E44"/>
    <w:rsid w:val="002A4F10"/>
    <w:rsid w:val="002A5EB5"/>
    <w:rsid w:val="002A63F4"/>
    <w:rsid w:val="002B0BD2"/>
    <w:rsid w:val="002B1288"/>
    <w:rsid w:val="002B4702"/>
    <w:rsid w:val="002B4907"/>
    <w:rsid w:val="002B50DA"/>
    <w:rsid w:val="002B7DD1"/>
    <w:rsid w:val="002C087E"/>
    <w:rsid w:val="002C199A"/>
    <w:rsid w:val="002C27C5"/>
    <w:rsid w:val="002C2B17"/>
    <w:rsid w:val="002C2BF2"/>
    <w:rsid w:val="002C7762"/>
    <w:rsid w:val="002D17B8"/>
    <w:rsid w:val="002D3456"/>
    <w:rsid w:val="002D4BB3"/>
    <w:rsid w:val="002D7C89"/>
    <w:rsid w:val="002D7E62"/>
    <w:rsid w:val="002D7F92"/>
    <w:rsid w:val="002E0A18"/>
    <w:rsid w:val="002E0FAD"/>
    <w:rsid w:val="002E1964"/>
    <w:rsid w:val="002E1E7E"/>
    <w:rsid w:val="002E6B6F"/>
    <w:rsid w:val="002E6F7C"/>
    <w:rsid w:val="002F0602"/>
    <w:rsid w:val="002F0800"/>
    <w:rsid w:val="002F3606"/>
    <w:rsid w:val="002F4BC7"/>
    <w:rsid w:val="002F5131"/>
    <w:rsid w:val="002F70EB"/>
    <w:rsid w:val="002F779E"/>
    <w:rsid w:val="002F7BFE"/>
    <w:rsid w:val="003033BA"/>
    <w:rsid w:val="003038BC"/>
    <w:rsid w:val="00303EFC"/>
    <w:rsid w:val="003046D6"/>
    <w:rsid w:val="003074CD"/>
    <w:rsid w:val="00310B21"/>
    <w:rsid w:val="003112B5"/>
    <w:rsid w:val="0031293C"/>
    <w:rsid w:val="0031359C"/>
    <w:rsid w:val="00313BBA"/>
    <w:rsid w:val="00313D9F"/>
    <w:rsid w:val="00314899"/>
    <w:rsid w:val="00315623"/>
    <w:rsid w:val="00316182"/>
    <w:rsid w:val="0032072B"/>
    <w:rsid w:val="00320DFD"/>
    <w:rsid w:val="00320E68"/>
    <w:rsid w:val="00326F22"/>
    <w:rsid w:val="0033002D"/>
    <w:rsid w:val="00332906"/>
    <w:rsid w:val="00332C3C"/>
    <w:rsid w:val="00333BE1"/>
    <w:rsid w:val="00334B76"/>
    <w:rsid w:val="00336644"/>
    <w:rsid w:val="00337299"/>
    <w:rsid w:val="0033763C"/>
    <w:rsid w:val="003378DD"/>
    <w:rsid w:val="00340BDB"/>
    <w:rsid w:val="0034149E"/>
    <w:rsid w:val="00341CE5"/>
    <w:rsid w:val="00342202"/>
    <w:rsid w:val="003429C9"/>
    <w:rsid w:val="00344889"/>
    <w:rsid w:val="0034680A"/>
    <w:rsid w:val="00347661"/>
    <w:rsid w:val="003478E7"/>
    <w:rsid w:val="00351383"/>
    <w:rsid w:val="0035216C"/>
    <w:rsid w:val="00352927"/>
    <w:rsid w:val="00353FDF"/>
    <w:rsid w:val="00354545"/>
    <w:rsid w:val="003555B4"/>
    <w:rsid w:val="003567B6"/>
    <w:rsid w:val="00357F27"/>
    <w:rsid w:val="00362486"/>
    <w:rsid w:val="0036497E"/>
    <w:rsid w:val="00364F1A"/>
    <w:rsid w:val="00366C32"/>
    <w:rsid w:val="00370120"/>
    <w:rsid w:val="00370640"/>
    <w:rsid w:val="0037099D"/>
    <w:rsid w:val="00372A55"/>
    <w:rsid w:val="00374F25"/>
    <w:rsid w:val="003776F1"/>
    <w:rsid w:val="00377AD6"/>
    <w:rsid w:val="00381A7D"/>
    <w:rsid w:val="00381B41"/>
    <w:rsid w:val="00383DDA"/>
    <w:rsid w:val="00384B44"/>
    <w:rsid w:val="00385EC9"/>
    <w:rsid w:val="00386456"/>
    <w:rsid w:val="00387241"/>
    <w:rsid w:val="0039010E"/>
    <w:rsid w:val="003901D8"/>
    <w:rsid w:val="003914FA"/>
    <w:rsid w:val="00391561"/>
    <w:rsid w:val="00391D93"/>
    <w:rsid w:val="00393184"/>
    <w:rsid w:val="0039340C"/>
    <w:rsid w:val="003934DD"/>
    <w:rsid w:val="003960C7"/>
    <w:rsid w:val="003967ED"/>
    <w:rsid w:val="00396D23"/>
    <w:rsid w:val="003A02EB"/>
    <w:rsid w:val="003A046A"/>
    <w:rsid w:val="003A1CCB"/>
    <w:rsid w:val="003A25E4"/>
    <w:rsid w:val="003A2C66"/>
    <w:rsid w:val="003A3686"/>
    <w:rsid w:val="003A4B45"/>
    <w:rsid w:val="003A4F71"/>
    <w:rsid w:val="003A581E"/>
    <w:rsid w:val="003A651C"/>
    <w:rsid w:val="003B0B16"/>
    <w:rsid w:val="003B241A"/>
    <w:rsid w:val="003B2705"/>
    <w:rsid w:val="003B6C35"/>
    <w:rsid w:val="003B79A5"/>
    <w:rsid w:val="003C40DD"/>
    <w:rsid w:val="003C4141"/>
    <w:rsid w:val="003C50C9"/>
    <w:rsid w:val="003C62BD"/>
    <w:rsid w:val="003C717E"/>
    <w:rsid w:val="003C7DFA"/>
    <w:rsid w:val="003D1E5F"/>
    <w:rsid w:val="003D284B"/>
    <w:rsid w:val="003D384D"/>
    <w:rsid w:val="003D40F4"/>
    <w:rsid w:val="003D4E2F"/>
    <w:rsid w:val="003D4F72"/>
    <w:rsid w:val="003D504E"/>
    <w:rsid w:val="003D6DE5"/>
    <w:rsid w:val="003E07B4"/>
    <w:rsid w:val="003E11A8"/>
    <w:rsid w:val="003E14B0"/>
    <w:rsid w:val="003E5505"/>
    <w:rsid w:val="003E5ED1"/>
    <w:rsid w:val="003E6682"/>
    <w:rsid w:val="003E7261"/>
    <w:rsid w:val="003E7A20"/>
    <w:rsid w:val="003F0CCE"/>
    <w:rsid w:val="003F0FBE"/>
    <w:rsid w:val="003F28CF"/>
    <w:rsid w:val="003F2E7B"/>
    <w:rsid w:val="003F328D"/>
    <w:rsid w:val="003F415A"/>
    <w:rsid w:val="003F47E5"/>
    <w:rsid w:val="003F5CDD"/>
    <w:rsid w:val="003F5F8D"/>
    <w:rsid w:val="003F7845"/>
    <w:rsid w:val="003F7E6A"/>
    <w:rsid w:val="00400083"/>
    <w:rsid w:val="0040059A"/>
    <w:rsid w:val="00407BD2"/>
    <w:rsid w:val="0041043C"/>
    <w:rsid w:val="00411B85"/>
    <w:rsid w:val="00411D1B"/>
    <w:rsid w:val="00411F9D"/>
    <w:rsid w:val="00412705"/>
    <w:rsid w:val="004129E3"/>
    <w:rsid w:val="00416511"/>
    <w:rsid w:val="004200BB"/>
    <w:rsid w:val="004207E3"/>
    <w:rsid w:val="00420D01"/>
    <w:rsid w:val="00422D4F"/>
    <w:rsid w:val="0042321C"/>
    <w:rsid w:val="00423267"/>
    <w:rsid w:val="004250CD"/>
    <w:rsid w:val="004252E8"/>
    <w:rsid w:val="00426EEE"/>
    <w:rsid w:val="00426F4A"/>
    <w:rsid w:val="0043155D"/>
    <w:rsid w:val="0043204F"/>
    <w:rsid w:val="00432915"/>
    <w:rsid w:val="00432BBE"/>
    <w:rsid w:val="00435AA2"/>
    <w:rsid w:val="004363BC"/>
    <w:rsid w:val="0043754D"/>
    <w:rsid w:val="00437BF5"/>
    <w:rsid w:val="00437BF8"/>
    <w:rsid w:val="004422D6"/>
    <w:rsid w:val="00442BFD"/>
    <w:rsid w:val="00444A46"/>
    <w:rsid w:val="004452A0"/>
    <w:rsid w:val="004453FD"/>
    <w:rsid w:val="00445EE4"/>
    <w:rsid w:val="00447095"/>
    <w:rsid w:val="004504F5"/>
    <w:rsid w:val="004507CF"/>
    <w:rsid w:val="0045342C"/>
    <w:rsid w:val="00453FC1"/>
    <w:rsid w:val="00454B0F"/>
    <w:rsid w:val="00460FD4"/>
    <w:rsid w:val="0046169F"/>
    <w:rsid w:val="00463997"/>
    <w:rsid w:val="0046604D"/>
    <w:rsid w:val="0047250D"/>
    <w:rsid w:val="0047444E"/>
    <w:rsid w:val="00474491"/>
    <w:rsid w:val="00474614"/>
    <w:rsid w:val="00474644"/>
    <w:rsid w:val="00474880"/>
    <w:rsid w:val="00475668"/>
    <w:rsid w:val="0047589D"/>
    <w:rsid w:val="004768C9"/>
    <w:rsid w:val="00476A0B"/>
    <w:rsid w:val="00477A49"/>
    <w:rsid w:val="00477BFF"/>
    <w:rsid w:val="00481FA4"/>
    <w:rsid w:val="004838AB"/>
    <w:rsid w:val="00485F24"/>
    <w:rsid w:val="004878C1"/>
    <w:rsid w:val="0049189C"/>
    <w:rsid w:val="00491F45"/>
    <w:rsid w:val="0049331C"/>
    <w:rsid w:val="0049505C"/>
    <w:rsid w:val="00496626"/>
    <w:rsid w:val="0049684A"/>
    <w:rsid w:val="00496EEE"/>
    <w:rsid w:val="00497320"/>
    <w:rsid w:val="00497B27"/>
    <w:rsid w:val="004A34D2"/>
    <w:rsid w:val="004A411B"/>
    <w:rsid w:val="004A488B"/>
    <w:rsid w:val="004B1AF2"/>
    <w:rsid w:val="004B219E"/>
    <w:rsid w:val="004B4A0E"/>
    <w:rsid w:val="004B6DE0"/>
    <w:rsid w:val="004B7BCA"/>
    <w:rsid w:val="004C003F"/>
    <w:rsid w:val="004C0993"/>
    <w:rsid w:val="004C1226"/>
    <w:rsid w:val="004C1F44"/>
    <w:rsid w:val="004C1F93"/>
    <w:rsid w:val="004C3FAA"/>
    <w:rsid w:val="004C5092"/>
    <w:rsid w:val="004C7BF5"/>
    <w:rsid w:val="004D2B08"/>
    <w:rsid w:val="004D2C64"/>
    <w:rsid w:val="004D3473"/>
    <w:rsid w:val="004D40F7"/>
    <w:rsid w:val="004D4556"/>
    <w:rsid w:val="004D7A98"/>
    <w:rsid w:val="004E1E4A"/>
    <w:rsid w:val="004E2973"/>
    <w:rsid w:val="004E4142"/>
    <w:rsid w:val="004E5102"/>
    <w:rsid w:val="004E5B78"/>
    <w:rsid w:val="004F0B50"/>
    <w:rsid w:val="004F1050"/>
    <w:rsid w:val="004F1E72"/>
    <w:rsid w:val="004F32CC"/>
    <w:rsid w:val="004F4EB9"/>
    <w:rsid w:val="00502467"/>
    <w:rsid w:val="00502929"/>
    <w:rsid w:val="00502A2B"/>
    <w:rsid w:val="00502F06"/>
    <w:rsid w:val="005037CD"/>
    <w:rsid w:val="00503872"/>
    <w:rsid w:val="005053B0"/>
    <w:rsid w:val="00506CDE"/>
    <w:rsid w:val="0051074C"/>
    <w:rsid w:val="0051089A"/>
    <w:rsid w:val="00510BB6"/>
    <w:rsid w:val="0051288D"/>
    <w:rsid w:val="00513A69"/>
    <w:rsid w:val="00513AF2"/>
    <w:rsid w:val="0051420E"/>
    <w:rsid w:val="005148C5"/>
    <w:rsid w:val="005152C2"/>
    <w:rsid w:val="0051536E"/>
    <w:rsid w:val="005200B5"/>
    <w:rsid w:val="0052099D"/>
    <w:rsid w:val="005216BC"/>
    <w:rsid w:val="00521B54"/>
    <w:rsid w:val="0052307C"/>
    <w:rsid w:val="0052499A"/>
    <w:rsid w:val="00524F8D"/>
    <w:rsid w:val="0052715F"/>
    <w:rsid w:val="00527891"/>
    <w:rsid w:val="00532C34"/>
    <w:rsid w:val="00533367"/>
    <w:rsid w:val="00535161"/>
    <w:rsid w:val="0053575A"/>
    <w:rsid w:val="0053606E"/>
    <w:rsid w:val="00536424"/>
    <w:rsid w:val="005379F9"/>
    <w:rsid w:val="005418FA"/>
    <w:rsid w:val="005437C5"/>
    <w:rsid w:val="0054413A"/>
    <w:rsid w:val="005443C9"/>
    <w:rsid w:val="00545144"/>
    <w:rsid w:val="00545326"/>
    <w:rsid w:val="005457A0"/>
    <w:rsid w:val="00546016"/>
    <w:rsid w:val="0054784F"/>
    <w:rsid w:val="00550551"/>
    <w:rsid w:val="00550E5E"/>
    <w:rsid w:val="005564CA"/>
    <w:rsid w:val="00561510"/>
    <w:rsid w:val="005620AD"/>
    <w:rsid w:val="0056238C"/>
    <w:rsid w:val="005626E7"/>
    <w:rsid w:val="00562799"/>
    <w:rsid w:val="00563A62"/>
    <w:rsid w:val="0056664B"/>
    <w:rsid w:val="00567165"/>
    <w:rsid w:val="00571897"/>
    <w:rsid w:val="00572565"/>
    <w:rsid w:val="005731B5"/>
    <w:rsid w:val="0057389B"/>
    <w:rsid w:val="00574D20"/>
    <w:rsid w:val="0057593D"/>
    <w:rsid w:val="00575B77"/>
    <w:rsid w:val="00575D08"/>
    <w:rsid w:val="005770F6"/>
    <w:rsid w:val="005811F1"/>
    <w:rsid w:val="005835D3"/>
    <w:rsid w:val="00584E86"/>
    <w:rsid w:val="0058545D"/>
    <w:rsid w:val="00587F59"/>
    <w:rsid w:val="00590DD9"/>
    <w:rsid w:val="0059266D"/>
    <w:rsid w:val="00592B47"/>
    <w:rsid w:val="005938AB"/>
    <w:rsid w:val="005977A4"/>
    <w:rsid w:val="005A0585"/>
    <w:rsid w:val="005A0B35"/>
    <w:rsid w:val="005A1363"/>
    <w:rsid w:val="005A1570"/>
    <w:rsid w:val="005A2B50"/>
    <w:rsid w:val="005A34F0"/>
    <w:rsid w:val="005A44C3"/>
    <w:rsid w:val="005A456B"/>
    <w:rsid w:val="005A4A4C"/>
    <w:rsid w:val="005A5272"/>
    <w:rsid w:val="005A5275"/>
    <w:rsid w:val="005A5BF9"/>
    <w:rsid w:val="005A6DCD"/>
    <w:rsid w:val="005A79FE"/>
    <w:rsid w:val="005B2AF3"/>
    <w:rsid w:val="005B4AA6"/>
    <w:rsid w:val="005B7215"/>
    <w:rsid w:val="005B7515"/>
    <w:rsid w:val="005B7A2F"/>
    <w:rsid w:val="005C0D43"/>
    <w:rsid w:val="005C17BF"/>
    <w:rsid w:val="005C1FFD"/>
    <w:rsid w:val="005C24FC"/>
    <w:rsid w:val="005C266E"/>
    <w:rsid w:val="005C51A7"/>
    <w:rsid w:val="005C5A22"/>
    <w:rsid w:val="005C5B5C"/>
    <w:rsid w:val="005D29B5"/>
    <w:rsid w:val="005D3445"/>
    <w:rsid w:val="005D474D"/>
    <w:rsid w:val="005D552E"/>
    <w:rsid w:val="005E1D1D"/>
    <w:rsid w:val="005E2440"/>
    <w:rsid w:val="005E2F44"/>
    <w:rsid w:val="005E3788"/>
    <w:rsid w:val="005E605B"/>
    <w:rsid w:val="005E67FC"/>
    <w:rsid w:val="005E6CE9"/>
    <w:rsid w:val="005E7572"/>
    <w:rsid w:val="005E7A0B"/>
    <w:rsid w:val="005E7B38"/>
    <w:rsid w:val="005E7D17"/>
    <w:rsid w:val="005F0C78"/>
    <w:rsid w:val="005F1050"/>
    <w:rsid w:val="005F3431"/>
    <w:rsid w:val="005F4AAF"/>
    <w:rsid w:val="005F4BF5"/>
    <w:rsid w:val="0060010B"/>
    <w:rsid w:val="006007CC"/>
    <w:rsid w:val="00601496"/>
    <w:rsid w:val="00601C07"/>
    <w:rsid w:val="00601FCA"/>
    <w:rsid w:val="006030AA"/>
    <w:rsid w:val="00603BDE"/>
    <w:rsid w:val="00604673"/>
    <w:rsid w:val="0060549B"/>
    <w:rsid w:val="00610C94"/>
    <w:rsid w:val="0061135A"/>
    <w:rsid w:val="00611D3C"/>
    <w:rsid w:val="00612BDB"/>
    <w:rsid w:val="006134DB"/>
    <w:rsid w:val="00614AAD"/>
    <w:rsid w:val="00620CBF"/>
    <w:rsid w:val="00620E47"/>
    <w:rsid w:val="0062567A"/>
    <w:rsid w:val="006334A8"/>
    <w:rsid w:val="00633D8B"/>
    <w:rsid w:val="00634CC6"/>
    <w:rsid w:val="006367B1"/>
    <w:rsid w:val="00637235"/>
    <w:rsid w:val="0063788B"/>
    <w:rsid w:val="006404C9"/>
    <w:rsid w:val="00640801"/>
    <w:rsid w:val="00641EB9"/>
    <w:rsid w:val="00642D57"/>
    <w:rsid w:val="00647622"/>
    <w:rsid w:val="00651D31"/>
    <w:rsid w:val="00651E7C"/>
    <w:rsid w:val="006524BE"/>
    <w:rsid w:val="00652A5C"/>
    <w:rsid w:val="00652C45"/>
    <w:rsid w:val="006533F8"/>
    <w:rsid w:val="00655360"/>
    <w:rsid w:val="00655371"/>
    <w:rsid w:val="006563C3"/>
    <w:rsid w:val="00657451"/>
    <w:rsid w:val="006622BE"/>
    <w:rsid w:val="006623E2"/>
    <w:rsid w:val="00666AF7"/>
    <w:rsid w:val="00667C72"/>
    <w:rsid w:val="00667EBB"/>
    <w:rsid w:val="00670B1B"/>
    <w:rsid w:val="00671F22"/>
    <w:rsid w:val="00672EEC"/>
    <w:rsid w:val="00673789"/>
    <w:rsid w:val="00673AB7"/>
    <w:rsid w:val="00677F77"/>
    <w:rsid w:val="0068250F"/>
    <w:rsid w:val="00682F1E"/>
    <w:rsid w:val="00683085"/>
    <w:rsid w:val="0068338B"/>
    <w:rsid w:val="0069158F"/>
    <w:rsid w:val="00691C58"/>
    <w:rsid w:val="00693CC2"/>
    <w:rsid w:val="0069678A"/>
    <w:rsid w:val="00697665"/>
    <w:rsid w:val="00697D73"/>
    <w:rsid w:val="006A12F4"/>
    <w:rsid w:val="006A1A12"/>
    <w:rsid w:val="006A27C9"/>
    <w:rsid w:val="006A2F2D"/>
    <w:rsid w:val="006A3206"/>
    <w:rsid w:val="006A3CD1"/>
    <w:rsid w:val="006A454C"/>
    <w:rsid w:val="006A58B8"/>
    <w:rsid w:val="006A64A9"/>
    <w:rsid w:val="006A7FD0"/>
    <w:rsid w:val="006B161A"/>
    <w:rsid w:val="006B2195"/>
    <w:rsid w:val="006B34D7"/>
    <w:rsid w:val="006B55C5"/>
    <w:rsid w:val="006B7315"/>
    <w:rsid w:val="006C084F"/>
    <w:rsid w:val="006C3375"/>
    <w:rsid w:val="006C5364"/>
    <w:rsid w:val="006C68E5"/>
    <w:rsid w:val="006C6910"/>
    <w:rsid w:val="006D07CF"/>
    <w:rsid w:val="006D23BA"/>
    <w:rsid w:val="006D2CB8"/>
    <w:rsid w:val="006D40DC"/>
    <w:rsid w:val="006D4F07"/>
    <w:rsid w:val="006D5386"/>
    <w:rsid w:val="006D7687"/>
    <w:rsid w:val="006E0385"/>
    <w:rsid w:val="006E0572"/>
    <w:rsid w:val="006E1324"/>
    <w:rsid w:val="006E1CCF"/>
    <w:rsid w:val="006E56E8"/>
    <w:rsid w:val="006E6D63"/>
    <w:rsid w:val="006E6E42"/>
    <w:rsid w:val="006F177A"/>
    <w:rsid w:val="006F27FF"/>
    <w:rsid w:val="006F3DAA"/>
    <w:rsid w:val="006F3EF7"/>
    <w:rsid w:val="006F4573"/>
    <w:rsid w:val="006F64F8"/>
    <w:rsid w:val="00700377"/>
    <w:rsid w:val="007020A1"/>
    <w:rsid w:val="00702115"/>
    <w:rsid w:val="007030C8"/>
    <w:rsid w:val="00703E2C"/>
    <w:rsid w:val="007054AA"/>
    <w:rsid w:val="00705631"/>
    <w:rsid w:val="00705FE1"/>
    <w:rsid w:val="00706399"/>
    <w:rsid w:val="00706752"/>
    <w:rsid w:val="00707FF5"/>
    <w:rsid w:val="00711A50"/>
    <w:rsid w:val="00713DE5"/>
    <w:rsid w:val="00714254"/>
    <w:rsid w:val="00714718"/>
    <w:rsid w:val="00714774"/>
    <w:rsid w:val="00715929"/>
    <w:rsid w:val="00715AC3"/>
    <w:rsid w:val="00720966"/>
    <w:rsid w:val="007210EC"/>
    <w:rsid w:val="0072127D"/>
    <w:rsid w:val="007229B0"/>
    <w:rsid w:val="007252B4"/>
    <w:rsid w:val="00725AC2"/>
    <w:rsid w:val="00726DBE"/>
    <w:rsid w:val="00727A8F"/>
    <w:rsid w:val="00727EAE"/>
    <w:rsid w:val="00727FB6"/>
    <w:rsid w:val="007300F3"/>
    <w:rsid w:val="00731139"/>
    <w:rsid w:val="0073364E"/>
    <w:rsid w:val="00734D43"/>
    <w:rsid w:val="007363BD"/>
    <w:rsid w:val="0073763F"/>
    <w:rsid w:val="007404BC"/>
    <w:rsid w:val="00742DD2"/>
    <w:rsid w:val="00745E02"/>
    <w:rsid w:val="00752213"/>
    <w:rsid w:val="00752568"/>
    <w:rsid w:val="00752A9B"/>
    <w:rsid w:val="00754621"/>
    <w:rsid w:val="00755EFB"/>
    <w:rsid w:val="0075647A"/>
    <w:rsid w:val="00757862"/>
    <w:rsid w:val="00757A66"/>
    <w:rsid w:val="007634AD"/>
    <w:rsid w:val="00764CD2"/>
    <w:rsid w:val="0076566F"/>
    <w:rsid w:val="007656E6"/>
    <w:rsid w:val="00765BE2"/>
    <w:rsid w:val="00766369"/>
    <w:rsid w:val="007673F0"/>
    <w:rsid w:val="00771679"/>
    <w:rsid w:val="00772C6C"/>
    <w:rsid w:val="00772FD2"/>
    <w:rsid w:val="007741D9"/>
    <w:rsid w:val="007743B6"/>
    <w:rsid w:val="007748F6"/>
    <w:rsid w:val="007750BB"/>
    <w:rsid w:val="0078122E"/>
    <w:rsid w:val="00781D6D"/>
    <w:rsid w:val="00782024"/>
    <w:rsid w:val="00783506"/>
    <w:rsid w:val="0078442B"/>
    <w:rsid w:val="00785A12"/>
    <w:rsid w:val="0078614D"/>
    <w:rsid w:val="00791C0F"/>
    <w:rsid w:val="00793845"/>
    <w:rsid w:val="0079520D"/>
    <w:rsid w:val="00796EC8"/>
    <w:rsid w:val="00797AAA"/>
    <w:rsid w:val="00797DF7"/>
    <w:rsid w:val="007A0D0E"/>
    <w:rsid w:val="007A2E32"/>
    <w:rsid w:val="007A3415"/>
    <w:rsid w:val="007A4C5A"/>
    <w:rsid w:val="007A615D"/>
    <w:rsid w:val="007B0854"/>
    <w:rsid w:val="007B0F58"/>
    <w:rsid w:val="007B192E"/>
    <w:rsid w:val="007B24B5"/>
    <w:rsid w:val="007B3AE4"/>
    <w:rsid w:val="007B62AD"/>
    <w:rsid w:val="007C0326"/>
    <w:rsid w:val="007C38CA"/>
    <w:rsid w:val="007C4430"/>
    <w:rsid w:val="007C5086"/>
    <w:rsid w:val="007C6410"/>
    <w:rsid w:val="007C672F"/>
    <w:rsid w:val="007C698E"/>
    <w:rsid w:val="007C744F"/>
    <w:rsid w:val="007C7638"/>
    <w:rsid w:val="007C7F04"/>
    <w:rsid w:val="007D0305"/>
    <w:rsid w:val="007D1AD1"/>
    <w:rsid w:val="007D401C"/>
    <w:rsid w:val="007D55E9"/>
    <w:rsid w:val="007D5E0B"/>
    <w:rsid w:val="007E01FC"/>
    <w:rsid w:val="007E26C7"/>
    <w:rsid w:val="007E39F0"/>
    <w:rsid w:val="007E750C"/>
    <w:rsid w:val="007F0D40"/>
    <w:rsid w:val="007F168F"/>
    <w:rsid w:val="007F367B"/>
    <w:rsid w:val="007F4347"/>
    <w:rsid w:val="007F72CB"/>
    <w:rsid w:val="007F7BDE"/>
    <w:rsid w:val="00802A13"/>
    <w:rsid w:val="008034F6"/>
    <w:rsid w:val="00804C29"/>
    <w:rsid w:val="00804CE6"/>
    <w:rsid w:val="00804EB1"/>
    <w:rsid w:val="0080594C"/>
    <w:rsid w:val="008101D2"/>
    <w:rsid w:val="008111B0"/>
    <w:rsid w:val="00811ED3"/>
    <w:rsid w:val="00813504"/>
    <w:rsid w:val="008159D3"/>
    <w:rsid w:val="00816302"/>
    <w:rsid w:val="00816B07"/>
    <w:rsid w:val="00817578"/>
    <w:rsid w:val="00817CA8"/>
    <w:rsid w:val="0082159E"/>
    <w:rsid w:val="0082196D"/>
    <w:rsid w:val="00822D58"/>
    <w:rsid w:val="0082598F"/>
    <w:rsid w:val="008259B9"/>
    <w:rsid w:val="00826A9D"/>
    <w:rsid w:val="008272F1"/>
    <w:rsid w:val="0083119B"/>
    <w:rsid w:val="0083133A"/>
    <w:rsid w:val="0083271F"/>
    <w:rsid w:val="00833B2B"/>
    <w:rsid w:val="008362A4"/>
    <w:rsid w:val="008366AF"/>
    <w:rsid w:val="00836EAB"/>
    <w:rsid w:val="00841280"/>
    <w:rsid w:val="0084152B"/>
    <w:rsid w:val="00841639"/>
    <w:rsid w:val="00842535"/>
    <w:rsid w:val="00842F23"/>
    <w:rsid w:val="008437E8"/>
    <w:rsid w:val="00843BC4"/>
    <w:rsid w:val="00843E6C"/>
    <w:rsid w:val="00847D50"/>
    <w:rsid w:val="0085092D"/>
    <w:rsid w:val="008509DD"/>
    <w:rsid w:val="00850DF5"/>
    <w:rsid w:val="0085128C"/>
    <w:rsid w:val="00852018"/>
    <w:rsid w:val="008524B4"/>
    <w:rsid w:val="0085264F"/>
    <w:rsid w:val="00852E12"/>
    <w:rsid w:val="00852F5E"/>
    <w:rsid w:val="00853776"/>
    <w:rsid w:val="00854DBB"/>
    <w:rsid w:val="00855FDF"/>
    <w:rsid w:val="00857F63"/>
    <w:rsid w:val="00860B10"/>
    <w:rsid w:val="00861408"/>
    <w:rsid w:val="008617E0"/>
    <w:rsid w:val="00862B2A"/>
    <w:rsid w:val="00865967"/>
    <w:rsid w:val="00867771"/>
    <w:rsid w:val="008705DE"/>
    <w:rsid w:val="00873BCF"/>
    <w:rsid w:val="00874031"/>
    <w:rsid w:val="00874CC0"/>
    <w:rsid w:val="00877366"/>
    <w:rsid w:val="00881730"/>
    <w:rsid w:val="008817ED"/>
    <w:rsid w:val="0088243F"/>
    <w:rsid w:val="0088457C"/>
    <w:rsid w:val="00885AA7"/>
    <w:rsid w:val="00886201"/>
    <w:rsid w:val="008871CF"/>
    <w:rsid w:val="00887B15"/>
    <w:rsid w:val="00890882"/>
    <w:rsid w:val="008927A8"/>
    <w:rsid w:val="00893165"/>
    <w:rsid w:val="00896F3F"/>
    <w:rsid w:val="00897B60"/>
    <w:rsid w:val="008A0A11"/>
    <w:rsid w:val="008A2225"/>
    <w:rsid w:val="008A257A"/>
    <w:rsid w:val="008A265F"/>
    <w:rsid w:val="008A3228"/>
    <w:rsid w:val="008A3DB4"/>
    <w:rsid w:val="008A53F7"/>
    <w:rsid w:val="008A54C1"/>
    <w:rsid w:val="008A575E"/>
    <w:rsid w:val="008A5AC8"/>
    <w:rsid w:val="008A6436"/>
    <w:rsid w:val="008A69BA"/>
    <w:rsid w:val="008B1A31"/>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6F0"/>
    <w:rsid w:val="008D76C2"/>
    <w:rsid w:val="008D776A"/>
    <w:rsid w:val="008E1C15"/>
    <w:rsid w:val="008E3219"/>
    <w:rsid w:val="008E6F70"/>
    <w:rsid w:val="008F1443"/>
    <w:rsid w:val="008F14CC"/>
    <w:rsid w:val="008F1D84"/>
    <w:rsid w:val="008F2734"/>
    <w:rsid w:val="008F4227"/>
    <w:rsid w:val="008F51F5"/>
    <w:rsid w:val="008F5C25"/>
    <w:rsid w:val="008F646E"/>
    <w:rsid w:val="008F6E4A"/>
    <w:rsid w:val="00900239"/>
    <w:rsid w:val="00900DDB"/>
    <w:rsid w:val="00900EBC"/>
    <w:rsid w:val="0090136A"/>
    <w:rsid w:val="009015DF"/>
    <w:rsid w:val="009030CB"/>
    <w:rsid w:val="00903815"/>
    <w:rsid w:val="009047C5"/>
    <w:rsid w:val="00904CD9"/>
    <w:rsid w:val="009064C4"/>
    <w:rsid w:val="009066C0"/>
    <w:rsid w:val="00907A73"/>
    <w:rsid w:val="009100C2"/>
    <w:rsid w:val="0091085E"/>
    <w:rsid w:val="00910B86"/>
    <w:rsid w:val="00912BD6"/>
    <w:rsid w:val="00914F02"/>
    <w:rsid w:val="00916C89"/>
    <w:rsid w:val="009176F3"/>
    <w:rsid w:val="00917700"/>
    <w:rsid w:val="00921659"/>
    <w:rsid w:val="00923DC9"/>
    <w:rsid w:val="00924541"/>
    <w:rsid w:val="0092462A"/>
    <w:rsid w:val="0092465E"/>
    <w:rsid w:val="0092478E"/>
    <w:rsid w:val="00924D2F"/>
    <w:rsid w:val="009278F1"/>
    <w:rsid w:val="00930EC8"/>
    <w:rsid w:val="00931310"/>
    <w:rsid w:val="0093193A"/>
    <w:rsid w:val="00931B7E"/>
    <w:rsid w:val="00932FBD"/>
    <w:rsid w:val="009351DD"/>
    <w:rsid w:val="00935661"/>
    <w:rsid w:val="00936764"/>
    <w:rsid w:val="00936908"/>
    <w:rsid w:val="0093719F"/>
    <w:rsid w:val="00937BFF"/>
    <w:rsid w:val="009409CA"/>
    <w:rsid w:val="00944EA4"/>
    <w:rsid w:val="00945536"/>
    <w:rsid w:val="009465F7"/>
    <w:rsid w:val="00946737"/>
    <w:rsid w:val="00946CFA"/>
    <w:rsid w:val="009479E4"/>
    <w:rsid w:val="00950258"/>
    <w:rsid w:val="0095385A"/>
    <w:rsid w:val="00955CAC"/>
    <w:rsid w:val="009568DA"/>
    <w:rsid w:val="00956C80"/>
    <w:rsid w:val="00956E82"/>
    <w:rsid w:val="0096164F"/>
    <w:rsid w:val="00962034"/>
    <w:rsid w:val="00962A37"/>
    <w:rsid w:val="00964EB4"/>
    <w:rsid w:val="00965638"/>
    <w:rsid w:val="00965849"/>
    <w:rsid w:val="00973F55"/>
    <w:rsid w:val="00975D1B"/>
    <w:rsid w:val="00976CC3"/>
    <w:rsid w:val="00977088"/>
    <w:rsid w:val="00981B5D"/>
    <w:rsid w:val="00982489"/>
    <w:rsid w:val="00984632"/>
    <w:rsid w:val="009859D0"/>
    <w:rsid w:val="0098659A"/>
    <w:rsid w:val="009866C8"/>
    <w:rsid w:val="009874B4"/>
    <w:rsid w:val="009877AC"/>
    <w:rsid w:val="00987F32"/>
    <w:rsid w:val="00990A2F"/>
    <w:rsid w:val="009967F8"/>
    <w:rsid w:val="009A353C"/>
    <w:rsid w:val="009A53FD"/>
    <w:rsid w:val="009A58D3"/>
    <w:rsid w:val="009A77CC"/>
    <w:rsid w:val="009A7A2E"/>
    <w:rsid w:val="009B0CB9"/>
    <w:rsid w:val="009B1BF2"/>
    <w:rsid w:val="009B29F8"/>
    <w:rsid w:val="009B4391"/>
    <w:rsid w:val="009B5A45"/>
    <w:rsid w:val="009B6B04"/>
    <w:rsid w:val="009C21B6"/>
    <w:rsid w:val="009C24BD"/>
    <w:rsid w:val="009C2A57"/>
    <w:rsid w:val="009C376A"/>
    <w:rsid w:val="009C3794"/>
    <w:rsid w:val="009C4D9D"/>
    <w:rsid w:val="009C6A4B"/>
    <w:rsid w:val="009C782E"/>
    <w:rsid w:val="009D0923"/>
    <w:rsid w:val="009D0FC4"/>
    <w:rsid w:val="009D3049"/>
    <w:rsid w:val="009D54EC"/>
    <w:rsid w:val="009E0D1B"/>
    <w:rsid w:val="009E2882"/>
    <w:rsid w:val="009E48B1"/>
    <w:rsid w:val="009E5CE5"/>
    <w:rsid w:val="009E7320"/>
    <w:rsid w:val="009E7C61"/>
    <w:rsid w:val="009F1F23"/>
    <w:rsid w:val="009F2377"/>
    <w:rsid w:val="009F3E1D"/>
    <w:rsid w:val="009F48F0"/>
    <w:rsid w:val="009F4F93"/>
    <w:rsid w:val="009F56F9"/>
    <w:rsid w:val="009F5915"/>
    <w:rsid w:val="009F6B3F"/>
    <w:rsid w:val="00A02449"/>
    <w:rsid w:val="00A028FC"/>
    <w:rsid w:val="00A03556"/>
    <w:rsid w:val="00A035A4"/>
    <w:rsid w:val="00A036C4"/>
    <w:rsid w:val="00A044A1"/>
    <w:rsid w:val="00A05B8E"/>
    <w:rsid w:val="00A07446"/>
    <w:rsid w:val="00A07B99"/>
    <w:rsid w:val="00A10135"/>
    <w:rsid w:val="00A11267"/>
    <w:rsid w:val="00A118A0"/>
    <w:rsid w:val="00A14F3C"/>
    <w:rsid w:val="00A152BD"/>
    <w:rsid w:val="00A24560"/>
    <w:rsid w:val="00A25B43"/>
    <w:rsid w:val="00A26900"/>
    <w:rsid w:val="00A26D28"/>
    <w:rsid w:val="00A2737D"/>
    <w:rsid w:val="00A27EFE"/>
    <w:rsid w:val="00A3050C"/>
    <w:rsid w:val="00A305CD"/>
    <w:rsid w:val="00A308D1"/>
    <w:rsid w:val="00A316F7"/>
    <w:rsid w:val="00A32559"/>
    <w:rsid w:val="00A338FC"/>
    <w:rsid w:val="00A34378"/>
    <w:rsid w:val="00A34538"/>
    <w:rsid w:val="00A35156"/>
    <w:rsid w:val="00A37529"/>
    <w:rsid w:val="00A41BFA"/>
    <w:rsid w:val="00A42A3B"/>
    <w:rsid w:val="00A43FD5"/>
    <w:rsid w:val="00A44DA5"/>
    <w:rsid w:val="00A470F2"/>
    <w:rsid w:val="00A47DA6"/>
    <w:rsid w:val="00A47F59"/>
    <w:rsid w:val="00A507B2"/>
    <w:rsid w:val="00A5235A"/>
    <w:rsid w:val="00A52E43"/>
    <w:rsid w:val="00A53490"/>
    <w:rsid w:val="00A53B56"/>
    <w:rsid w:val="00A546CA"/>
    <w:rsid w:val="00A54AB9"/>
    <w:rsid w:val="00A572E1"/>
    <w:rsid w:val="00A578E2"/>
    <w:rsid w:val="00A61FEE"/>
    <w:rsid w:val="00A6404B"/>
    <w:rsid w:val="00A65137"/>
    <w:rsid w:val="00A72A3B"/>
    <w:rsid w:val="00A7716E"/>
    <w:rsid w:val="00A814D6"/>
    <w:rsid w:val="00A8216B"/>
    <w:rsid w:val="00A8432B"/>
    <w:rsid w:val="00A84361"/>
    <w:rsid w:val="00A84904"/>
    <w:rsid w:val="00A852F0"/>
    <w:rsid w:val="00A86412"/>
    <w:rsid w:val="00A87C40"/>
    <w:rsid w:val="00A95C88"/>
    <w:rsid w:val="00A97342"/>
    <w:rsid w:val="00AA03C4"/>
    <w:rsid w:val="00AA0F9D"/>
    <w:rsid w:val="00AA18DB"/>
    <w:rsid w:val="00AA34D5"/>
    <w:rsid w:val="00AA3DEF"/>
    <w:rsid w:val="00AA442B"/>
    <w:rsid w:val="00AA61D7"/>
    <w:rsid w:val="00AA65FA"/>
    <w:rsid w:val="00AA6CC1"/>
    <w:rsid w:val="00AB00BD"/>
    <w:rsid w:val="00AB0D4D"/>
    <w:rsid w:val="00AB0FFD"/>
    <w:rsid w:val="00AB14CE"/>
    <w:rsid w:val="00AB196B"/>
    <w:rsid w:val="00AB1AC8"/>
    <w:rsid w:val="00AB2174"/>
    <w:rsid w:val="00AB27FD"/>
    <w:rsid w:val="00AB30DF"/>
    <w:rsid w:val="00AB3E40"/>
    <w:rsid w:val="00AB47E2"/>
    <w:rsid w:val="00AB4DF6"/>
    <w:rsid w:val="00AC0EEB"/>
    <w:rsid w:val="00AC1646"/>
    <w:rsid w:val="00AC3414"/>
    <w:rsid w:val="00AC3ACC"/>
    <w:rsid w:val="00AC65A4"/>
    <w:rsid w:val="00AD0B1D"/>
    <w:rsid w:val="00AD22FC"/>
    <w:rsid w:val="00AD2F7B"/>
    <w:rsid w:val="00AD47FB"/>
    <w:rsid w:val="00AD48B1"/>
    <w:rsid w:val="00AD5E7A"/>
    <w:rsid w:val="00AD5F00"/>
    <w:rsid w:val="00AD6135"/>
    <w:rsid w:val="00AD7298"/>
    <w:rsid w:val="00AD7C52"/>
    <w:rsid w:val="00AE1289"/>
    <w:rsid w:val="00AE14C1"/>
    <w:rsid w:val="00AE19FC"/>
    <w:rsid w:val="00AE4119"/>
    <w:rsid w:val="00AE4E69"/>
    <w:rsid w:val="00AE5B43"/>
    <w:rsid w:val="00AE65B9"/>
    <w:rsid w:val="00AE6D68"/>
    <w:rsid w:val="00AE6D7A"/>
    <w:rsid w:val="00AF1383"/>
    <w:rsid w:val="00AF1ED8"/>
    <w:rsid w:val="00AF426F"/>
    <w:rsid w:val="00AF51A9"/>
    <w:rsid w:val="00AF5CE1"/>
    <w:rsid w:val="00AF6FAC"/>
    <w:rsid w:val="00AF713D"/>
    <w:rsid w:val="00B02705"/>
    <w:rsid w:val="00B03F4F"/>
    <w:rsid w:val="00B04843"/>
    <w:rsid w:val="00B055C7"/>
    <w:rsid w:val="00B0560B"/>
    <w:rsid w:val="00B0615F"/>
    <w:rsid w:val="00B06243"/>
    <w:rsid w:val="00B07B48"/>
    <w:rsid w:val="00B07BE4"/>
    <w:rsid w:val="00B1060D"/>
    <w:rsid w:val="00B118E9"/>
    <w:rsid w:val="00B120C2"/>
    <w:rsid w:val="00B12A52"/>
    <w:rsid w:val="00B16E58"/>
    <w:rsid w:val="00B17763"/>
    <w:rsid w:val="00B21D6C"/>
    <w:rsid w:val="00B22E22"/>
    <w:rsid w:val="00B230FE"/>
    <w:rsid w:val="00B2438D"/>
    <w:rsid w:val="00B243F7"/>
    <w:rsid w:val="00B258A0"/>
    <w:rsid w:val="00B27BB2"/>
    <w:rsid w:val="00B32C0B"/>
    <w:rsid w:val="00B32DE6"/>
    <w:rsid w:val="00B33D08"/>
    <w:rsid w:val="00B36E67"/>
    <w:rsid w:val="00B371E9"/>
    <w:rsid w:val="00B439B4"/>
    <w:rsid w:val="00B43C9B"/>
    <w:rsid w:val="00B43E9E"/>
    <w:rsid w:val="00B4473B"/>
    <w:rsid w:val="00B46402"/>
    <w:rsid w:val="00B50315"/>
    <w:rsid w:val="00B50DB8"/>
    <w:rsid w:val="00B512C3"/>
    <w:rsid w:val="00B5146F"/>
    <w:rsid w:val="00B5178D"/>
    <w:rsid w:val="00B525CB"/>
    <w:rsid w:val="00B531D7"/>
    <w:rsid w:val="00B53F68"/>
    <w:rsid w:val="00B5556E"/>
    <w:rsid w:val="00B55682"/>
    <w:rsid w:val="00B57F79"/>
    <w:rsid w:val="00B60926"/>
    <w:rsid w:val="00B613B9"/>
    <w:rsid w:val="00B6143C"/>
    <w:rsid w:val="00B6341F"/>
    <w:rsid w:val="00B637F3"/>
    <w:rsid w:val="00B63CB2"/>
    <w:rsid w:val="00B64278"/>
    <w:rsid w:val="00B6444C"/>
    <w:rsid w:val="00B70F67"/>
    <w:rsid w:val="00B71561"/>
    <w:rsid w:val="00B71E68"/>
    <w:rsid w:val="00B73B11"/>
    <w:rsid w:val="00B754CA"/>
    <w:rsid w:val="00B75BAA"/>
    <w:rsid w:val="00B75C7C"/>
    <w:rsid w:val="00B76DD3"/>
    <w:rsid w:val="00B80316"/>
    <w:rsid w:val="00B80794"/>
    <w:rsid w:val="00B80D60"/>
    <w:rsid w:val="00B81F14"/>
    <w:rsid w:val="00B82E58"/>
    <w:rsid w:val="00B8385C"/>
    <w:rsid w:val="00B90205"/>
    <w:rsid w:val="00B90B34"/>
    <w:rsid w:val="00B914C4"/>
    <w:rsid w:val="00B93287"/>
    <w:rsid w:val="00B94B3C"/>
    <w:rsid w:val="00B94FB3"/>
    <w:rsid w:val="00BA1433"/>
    <w:rsid w:val="00BA4904"/>
    <w:rsid w:val="00BA4B5B"/>
    <w:rsid w:val="00BA549C"/>
    <w:rsid w:val="00BA54F0"/>
    <w:rsid w:val="00BA56B3"/>
    <w:rsid w:val="00BA73DE"/>
    <w:rsid w:val="00BA7D00"/>
    <w:rsid w:val="00BB37BD"/>
    <w:rsid w:val="00BB5C7A"/>
    <w:rsid w:val="00BC0980"/>
    <w:rsid w:val="00BC1901"/>
    <w:rsid w:val="00BC3610"/>
    <w:rsid w:val="00BC46FA"/>
    <w:rsid w:val="00BC4CFC"/>
    <w:rsid w:val="00BC593C"/>
    <w:rsid w:val="00BC638A"/>
    <w:rsid w:val="00BC7DCD"/>
    <w:rsid w:val="00BD0942"/>
    <w:rsid w:val="00BD16E4"/>
    <w:rsid w:val="00BD3D5B"/>
    <w:rsid w:val="00BD3F0A"/>
    <w:rsid w:val="00BD404B"/>
    <w:rsid w:val="00BD44E7"/>
    <w:rsid w:val="00BD457C"/>
    <w:rsid w:val="00BD5979"/>
    <w:rsid w:val="00BD6F8C"/>
    <w:rsid w:val="00BD78FE"/>
    <w:rsid w:val="00BE1B2E"/>
    <w:rsid w:val="00BE2F5D"/>
    <w:rsid w:val="00BE43C0"/>
    <w:rsid w:val="00BE4C31"/>
    <w:rsid w:val="00BE60C5"/>
    <w:rsid w:val="00BE6711"/>
    <w:rsid w:val="00BF0068"/>
    <w:rsid w:val="00BF0945"/>
    <w:rsid w:val="00BF0F80"/>
    <w:rsid w:val="00BF239F"/>
    <w:rsid w:val="00BF2E6F"/>
    <w:rsid w:val="00BF3E3E"/>
    <w:rsid w:val="00BF46EB"/>
    <w:rsid w:val="00BF52BB"/>
    <w:rsid w:val="00BF59DD"/>
    <w:rsid w:val="00BF6B5E"/>
    <w:rsid w:val="00BF6F68"/>
    <w:rsid w:val="00C0047F"/>
    <w:rsid w:val="00C02F56"/>
    <w:rsid w:val="00C0391F"/>
    <w:rsid w:val="00C03D7A"/>
    <w:rsid w:val="00C06C24"/>
    <w:rsid w:val="00C07969"/>
    <w:rsid w:val="00C07EFC"/>
    <w:rsid w:val="00C1063D"/>
    <w:rsid w:val="00C108FF"/>
    <w:rsid w:val="00C168EF"/>
    <w:rsid w:val="00C175DA"/>
    <w:rsid w:val="00C17996"/>
    <w:rsid w:val="00C204CE"/>
    <w:rsid w:val="00C215F9"/>
    <w:rsid w:val="00C21979"/>
    <w:rsid w:val="00C22C1C"/>
    <w:rsid w:val="00C2341D"/>
    <w:rsid w:val="00C236F1"/>
    <w:rsid w:val="00C248E6"/>
    <w:rsid w:val="00C25356"/>
    <w:rsid w:val="00C2785E"/>
    <w:rsid w:val="00C32E42"/>
    <w:rsid w:val="00C339FE"/>
    <w:rsid w:val="00C35CCA"/>
    <w:rsid w:val="00C3789F"/>
    <w:rsid w:val="00C37E77"/>
    <w:rsid w:val="00C40C20"/>
    <w:rsid w:val="00C41A44"/>
    <w:rsid w:val="00C421D2"/>
    <w:rsid w:val="00C4266A"/>
    <w:rsid w:val="00C42BAC"/>
    <w:rsid w:val="00C439A1"/>
    <w:rsid w:val="00C43FAA"/>
    <w:rsid w:val="00C44120"/>
    <w:rsid w:val="00C44219"/>
    <w:rsid w:val="00C44D43"/>
    <w:rsid w:val="00C4553B"/>
    <w:rsid w:val="00C474F7"/>
    <w:rsid w:val="00C50FFB"/>
    <w:rsid w:val="00C51383"/>
    <w:rsid w:val="00C51D0E"/>
    <w:rsid w:val="00C527CB"/>
    <w:rsid w:val="00C52AA0"/>
    <w:rsid w:val="00C54884"/>
    <w:rsid w:val="00C606C0"/>
    <w:rsid w:val="00C60B73"/>
    <w:rsid w:val="00C61197"/>
    <w:rsid w:val="00C63537"/>
    <w:rsid w:val="00C63B97"/>
    <w:rsid w:val="00C65F11"/>
    <w:rsid w:val="00C67675"/>
    <w:rsid w:val="00C67FE7"/>
    <w:rsid w:val="00C713D7"/>
    <w:rsid w:val="00C73A72"/>
    <w:rsid w:val="00C74D7F"/>
    <w:rsid w:val="00C75515"/>
    <w:rsid w:val="00C8023B"/>
    <w:rsid w:val="00C81AC2"/>
    <w:rsid w:val="00C82754"/>
    <w:rsid w:val="00C83D45"/>
    <w:rsid w:val="00C845E6"/>
    <w:rsid w:val="00C8556C"/>
    <w:rsid w:val="00C85B4E"/>
    <w:rsid w:val="00C85F68"/>
    <w:rsid w:val="00C878E8"/>
    <w:rsid w:val="00C87FB1"/>
    <w:rsid w:val="00C92306"/>
    <w:rsid w:val="00C93C7B"/>
    <w:rsid w:val="00C9425D"/>
    <w:rsid w:val="00C97546"/>
    <w:rsid w:val="00CA07F4"/>
    <w:rsid w:val="00CA0C3E"/>
    <w:rsid w:val="00CA1540"/>
    <w:rsid w:val="00CA287E"/>
    <w:rsid w:val="00CA44C0"/>
    <w:rsid w:val="00CA44E6"/>
    <w:rsid w:val="00CA5926"/>
    <w:rsid w:val="00CA5FFD"/>
    <w:rsid w:val="00CA6049"/>
    <w:rsid w:val="00CA6B80"/>
    <w:rsid w:val="00CA73A8"/>
    <w:rsid w:val="00CB084F"/>
    <w:rsid w:val="00CB21C6"/>
    <w:rsid w:val="00CB3B65"/>
    <w:rsid w:val="00CB3DAB"/>
    <w:rsid w:val="00CB4B63"/>
    <w:rsid w:val="00CB532E"/>
    <w:rsid w:val="00CB7FCB"/>
    <w:rsid w:val="00CC00CD"/>
    <w:rsid w:val="00CC2C34"/>
    <w:rsid w:val="00CC5BE0"/>
    <w:rsid w:val="00CC5E3E"/>
    <w:rsid w:val="00CC670C"/>
    <w:rsid w:val="00CC786F"/>
    <w:rsid w:val="00CD080F"/>
    <w:rsid w:val="00CD1A2C"/>
    <w:rsid w:val="00CD2F3A"/>
    <w:rsid w:val="00CD4012"/>
    <w:rsid w:val="00CD4748"/>
    <w:rsid w:val="00CD4CEE"/>
    <w:rsid w:val="00CD5F34"/>
    <w:rsid w:val="00CE041B"/>
    <w:rsid w:val="00CE163D"/>
    <w:rsid w:val="00CE33FA"/>
    <w:rsid w:val="00CE3652"/>
    <w:rsid w:val="00CE3953"/>
    <w:rsid w:val="00CE68F1"/>
    <w:rsid w:val="00CE7CCD"/>
    <w:rsid w:val="00CF298B"/>
    <w:rsid w:val="00CF2CA1"/>
    <w:rsid w:val="00CF2EF6"/>
    <w:rsid w:val="00CF4690"/>
    <w:rsid w:val="00CF6B14"/>
    <w:rsid w:val="00CF7584"/>
    <w:rsid w:val="00CF7DE3"/>
    <w:rsid w:val="00D004A0"/>
    <w:rsid w:val="00D01590"/>
    <w:rsid w:val="00D03273"/>
    <w:rsid w:val="00D04268"/>
    <w:rsid w:val="00D04F45"/>
    <w:rsid w:val="00D054BD"/>
    <w:rsid w:val="00D063D2"/>
    <w:rsid w:val="00D068C2"/>
    <w:rsid w:val="00D06D43"/>
    <w:rsid w:val="00D076F0"/>
    <w:rsid w:val="00D1185B"/>
    <w:rsid w:val="00D11E53"/>
    <w:rsid w:val="00D13CF4"/>
    <w:rsid w:val="00D15D40"/>
    <w:rsid w:val="00D16345"/>
    <w:rsid w:val="00D16E36"/>
    <w:rsid w:val="00D16E39"/>
    <w:rsid w:val="00D20C61"/>
    <w:rsid w:val="00D2235E"/>
    <w:rsid w:val="00D23634"/>
    <w:rsid w:val="00D24CC2"/>
    <w:rsid w:val="00D250D0"/>
    <w:rsid w:val="00D30246"/>
    <w:rsid w:val="00D31F4A"/>
    <w:rsid w:val="00D32C9D"/>
    <w:rsid w:val="00D35D5C"/>
    <w:rsid w:val="00D361D0"/>
    <w:rsid w:val="00D36A8C"/>
    <w:rsid w:val="00D376C1"/>
    <w:rsid w:val="00D40DDB"/>
    <w:rsid w:val="00D4245F"/>
    <w:rsid w:val="00D44846"/>
    <w:rsid w:val="00D45AF8"/>
    <w:rsid w:val="00D4690E"/>
    <w:rsid w:val="00D50796"/>
    <w:rsid w:val="00D5088B"/>
    <w:rsid w:val="00D50CC2"/>
    <w:rsid w:val="00D53EA2"/>
    <w:rsid w:val="00D558A2"/>
    <w:rsid w:val="00D55E8F"/>
    <w:rsid w:val="00D56AB8"/>
    <w:rsid w:val="00D57255"/>
    <w:rsid w:val="00D577D1"/>
    <w:rsid w:val="00D5786B"/>
    <w:rsid w:val="00D63787"/>
    <w:rsid w:val="00D644AA"/>
    <w:rsid w:val="00D64797"/>
    <w:rsid w:val="00D65554"/>
    <w:rsid w:val="00D70679"/>
    <w:rsid w:val="00D710DF"/>
    <w:rsid w:val="00D729F6"/>
    <w:rsid w:val="00D72E9D"/>
    <w:rsid w:val="00D73D62"/>
    <w:rsid w:val="00D74389"/>
    <w:rsid w:val="00D74E75"/>
    <w:rsid w:val="00D754F7"/>
    <w:rsid w:val="00D76689"/>
    <w:rsid w:val="00D76B2D"/>
    <w:rsid w:val="00D776EC"/>
    <w:rsid w:val="00D80EB6"/>
    <w:rsid w:val="00D8209A"/>
    <w:rsid w:val="00D82CE5"/>
    <w:rsid w:val="00D848A7"/>
    <w:rsid w:val="00D84D9D"/>
    <w:rsid w:val="00D856F4"/>
    <w:rsid w:val="00D864FC"/>
    <w:rsid w:val="00D87538"/>
    <w:rsid w:val="00D87C9A"/>
    <w:rsid w:val="00D9054B"/>
    <w:rsid w:val="00D9294F"/>
    <w:rsid w:val="00D945B8"/>
    <w:rsid w:val="00DA01E8"/>
    <w:rsid w:val="00DA0FB4"/>
    <w:rsid w:val="00DA0FD1"/>
    <w:rsid w:val="00DA1E8F"/>
    <w:rsid w:val="00DA2FF5"/>
    <w:rsid w:val="00DA3452"/>
    <w:rsid w:val="00DA4710"/>
    <w:rsid w:val="00DA4C2B"/>
    <w:rsid w:val="00DA5AB1"/>
    <w:rsid w:val="00DA6EE1"/>
    <w:rsid w:val="00DA72B4"/>
    <w:rsid w:val="00DB04FC"/>
    <w:rsid w:val="00DB12BD"/>
    <w:rsid w:val="00DB2EB1"/>
    <w:rsid w:val="00DB3448"/>
    <w:rsid w:val="00DB44D8"/>
    <w:rsid w:val="00DB49AA"/>
    <w:rsid w:val="00DB5ED4"/>
    <w:rsid w:val="00DB6993"/>
    <w:rsid w:val="00DB768D"/>
    <w:rsid w:val="00DC0628"/>
    <w:rsid w:val="00DC1285"/>
    <w:rsid w:val="00DC1E5E"/>
    <w:rsid w:val="00DC32BD"/>
    <w:rsid w:val="00DC3D67"/>
    <w:rsid w:val="00DC4CDC"/>
    <w:rsid w:val="00DC578F"/>
    <w:rsid w:val="00DC62E5"/>
    <w:rsid w:val="00DC6ACC"/>
    <w:rsid w:val="00DD160B"/>
    <w:rsid w:val="00DD1C18"/>
    <w:rsid w:val="00DD31A9"/>
    <w:rsid w:val="00DD31CA"/>
    <w:rsid w:val="00DD3432"/>
    <w:rsid w:val="00DD3F40"/>
    <w:rsid w:val="00DD735D"/>
    <w:rsid w:val="00DD7BD8"/>
    <w:rsid w:val="00DD7D8D"/>
    <w:rsid w:val="00DE035A"/>
    <w:rsid w:val="00DE0618"/>
    <w:rsid w:val="00DE1FEF"/>
    <w:rsid w:val="00DE3119"/>
    <w:rsid w:val="00DE3A59"/>
    <w:rsid w:val="00DE47A8"/>
    <w:rsid w:val="00DE6B11"/>
    <w:rsid w:val="00DE6E79"/>
    <w:rsid w:val="00DE70DC"/>
    <w:rsid w:val="00DE7D58"/>
    <w:rsid w:val="00DF05B2"/>
    <w:rsid w:val="00DF0A9C"/>
    <w:rsid w:val="00DF0AB4"/>
    <w:rsid w:val="00DF16DA"/>
    <w:rsid w:val="00DF1DAA"/>
    <w:rsid w:val="00DF236B"/>
    <w:rsid w:val="00DF5090"/>
    <w:rsid w:val="00DF6ACD"/>
    <w:rsid w:val="00E000C8"/>
    <w:rsid w:val="00E00F72"/>
    <w:rsid w:val="00E01453"/>
    <w:rsid w:val="00E017C4"/>
    <w:rsid w:val="00E04C9B"/>
    <w:rsid w:val="00E056B2"/>
    <w:rsid w:val="00E06F42"/>
    <w:rsid w:val="00E07843"/>
    <w:rsid w:val="00E10A6D"/>
    <w:rsid w:val="00E13AB8"/>
    <w:rsid w:val="00E13FD3"/>
    <w:rsid w:val="00E14299"/>
    <w:rsid w:val="00E144AB"/>
    <w:rsid w:val="00E163A8"/>
    <w:rsid w:val="00E17C49"/>
    <w:rsid w:val="00E17EE1"/>
    <w:rsid w:val="00E21494"/>
    <w:rsid w:val="00E236F4"/>
    <w:rsid w:val="00E23732"/>
    <w:rsid w:val="00E240E7"/>
    <w:rsid w:val="00E24319"/>
    <w:rsid w:val="00E248C8"/>
    <w:rsid w:val="00E2553E"/>
    <w:rsid w:val="00E25967"/>
    <w:rsid w:val="00E277A6"/>
    <w:rsid w:val="00E3090F"/>
    <w:rsid w:val="00E33B62"/>
    <w:rsid w:val="00E34612"/>
    <w:rsid w:val="00E36BAD"/>
    <w:rsid w:val="00E36E37"/>
    <w:rsid w:val="00E42CEA"/>
    <w:rsid w:val="00E43A34"/>
    <w:rsid w:val="00E449E0"/>
    <w:rsid w:val="00E44AFA"/>
    <w:rsid w:val="00E45104"/>
    <w:rsid w:val="00E453B7"/>
    <w:rsid w:val="00E45A6D"/>
    <w:rsid w:val="00E45E0B"/>
    <w:rsid w:val="00E52D01"/>
    <w:rsid w:val="00E55371"/>
    <w:rsid w:val="00E5557F"/>
    <w:rsid w:val="00E5588F"/>
    <w:rsid w:val="00E57442"/>
    <w:rsid w:val="00E60196"/>
    <w:rsid w:val="00E6031D"/>
    <w:rsid w:val="00E60756"/>
    <w:rsid w:val="00E61E09"/>
    <w:rsid w:val="00E62192"/>
    <w:rsid w:val="00E64B60"/>
    <w:rsid w:val="00E64EAB"/>
    <w:rsid w:val="00E657D4"/>
    <w:rsid w:val="00E66E98"/>
    <w:rsid w:val="00E67951"/>
    <w:rsid w:val="00E67E83"/>
    <w:rsid w:val="00E737A7"/>
    <w:rsid w:val="00E7440E"/>
    <w:rsid w:val="00E768B7"/>
    <w:rsid w:val="00E80C3F"/>
    <w:rsid w:val="00E832F8"/>
    <w:rsid w:val="00E83789"/>
    <w:rsid w:val="00E840DB"/>
    <w:rsid w:val="00E87315"/>
    <w:rsid w:val="00E91306"/>
    <w:rsid w:val="00E91477"/>
    <w:rsid w:val="00E9152C"/>
    <w:rsid w:val="00E915AC"/>
    <w:rsid w:val="00E9178F"/>
    <w:rsid w:val="00E91DA5"/>
    <w:rsid w:val="00E921B1"/>
    <w:rsid w:val="00E962AE"/>
    <w:rsid w:val="00E96EC1"/>
    <w:rsid w:val="00E9754A"/>
    <w:rsid w:val="00E9760B"/>
    <w:rsid w:val="00E97CC7"/>
    <w:rsid w:val="00EA04EF"/>
    <w:rsid w:val="00EA1131"/>
    <w:rsid w:val="00EA1F1D"/>
    <w:rsid w:val="00EA3483"/>
    <w:rsid w:val="00EA4DB3"/>
    <w:rsid w:val="00EA704D"/>
    <w:rsid w:val="00EA79EB"/>
    <w:rsid w:val="00EB0D81"/>
    <w:rsid w:val="00EB0DF1"/>
    <w:rsid w:val="00EC0082"/>
    <w:rsid w:val="00EC44C2"/>
    <w:rsid w:val="00EC5F41"/>
    <w:rsid w:val="00EC60CB"/>
    <w:rsid w:val="00EC7B4C"/>
    <w:rsid w:val="00ED0667"/>
    <w:rsid w:val="00ED0F19"/>
    <w:rsid w:val="00ED2ED4"/>
    <w:rsid w:val="00ED2EFF"/>
    <w:rsid w:val="00ED3AB8"/>
    <w:rsid w:val="00ED3BF4"/>
    <w:rsid w:val="00ED4234"/>
    <w:rsid w:val="00ED55E1"/>
    <w:rsid w:val="00ED7F90"/>
    <w:rsid w:val="00EE094E"/>
    <w:rsid w:val="00EE1CCD"/>
    <w:rsid w:val="00EE2C7C"/>
    <w:rsid w:val="00EE4D0D"/>
    <w:rsid w:val="00EE4DB7"/>
    <w:rsid w:val="00EE5189"/>
    <w:rsid w:val="00EE776B"/>
    <w:rsid w:val="00EF1522"/>
    <w:rsid w:val="00EF15DA"/>
    <w:rsid w:val="00EF16DD"/>
    <w:rsid w:val="00EF2142"/>
    <w:rsid w:val="00EF2829"/>
    <w:rsid w:val="00EF40D5"/>
    <w:rsid w:val="00EF5251"/>
    <w:rsid w:val="00EF66D5"/>
    <w:rsid w:val="00EF66D6"/>
    <w:rsid w:val="00F023EB"/>
    <w:rsid w:val="00F04CC2"/>
    <w:rsid w:val="00F058FE"/>
    <w:rsid w:val="00F05C60"/>
    <w:rsid w:val="00F06716"/>
    <w:rsid w:val="00F06B15"/>
    <w:rsid w:val="00F0755F"/>
    <w:rsid w:val="00F109B1"/>
    <w:rsid w:val="00F1157D"/>
    <w:rsid w:val="00F11EDA"/>
    <w:rsid w:val="00F1301C"/>
    <w:rsid w:val="00F13DF7"/>
    <w:rsid w:val="00F155B7"/>
    <w:rsid w:val="00F237C9"/>
    <w:rsid w:val="00F24361"/>
    <w:rsid w:val="00F277D0"/>
    <w:rsid w:val="00F30701"/>
    <w:rsid w:val="00F32194"/>
    <w:rsid w:val="00F36E11"/>
    <w:rsid w:val="00F37552"/>
    <w:rsid w:val="00F379A3"/>
    <w:rsid w:val="00F42730"/>
    <w:rsid w:val="00F43272"/>
    <w:rsid w:val="00F43415"/>
    <w:rsid w:val="00F449FE"/>
    <w:rsid w:val="00F44CA3"/>
    <w:rsid w:val="00F46903"/>
    <w:rsid w:val="00F472E1"/>
    <w:rsid w:val="00F47B8F"/>
    <w:rsid w:val="00F50F9E"/>
    <w:rsid w:val="00F52A68"/>
    <w:rsid w:val="00F55AA3"/>
    <w:rsid w:val="00F562BD"/>
    <w:rsid w:val="00F57B5D"/>
    <w:rsid w:val="00F608B9"/>
    <w:rsid w:val="00F60DB7"/>
    <w:rsid w:val="00F60E91"/>
    <w:rsid w:val="00F62C3C"/>
    <w:rsid w:val="00F71570"/>
    <w:rsid w:val="00F72BAE"/>
    <w:rsid w:val="00F7558E"/>
    <w:rsid w:val="00F76205"/>
    <w:rsid w:val="00F803F1"/>
    <w:rsid w:val="00F8177B"/>
    <w:rsid w:val="00F81B47"/>
    <w:rsid w:val="00F83B75"/>
    <w:rsid w:val="00F84899"/>
    <w:rsid w:val="00F859F0"/>
    <w:rsid w:val="00F87529"/>
    <w:rsid w:val="00F8789E"/>
    <w:rsid w:val="00F92E29"/>
    <w:rsid w:val="00F93C66"/>
    <w:rsid w:val="00F9709E"/>
    <w:rsid w:val="00FA06A3"/>
    <w:rsid w:val="00FA08A1"/>
    <w:rsid w:val="00FA09BA"/>
    <w:rsid w:val="00FA0FB5"/>
    <w:rsid w:val="00FA310C"/>
    <w:rsid w:val="00FA3B5A"/>
    <w:rsid w:val="00FA40C0"/>
    <w:rsid w:val="00FA4A30"/>
    <w:rsid w:val="00FA540E"/>
    <w:rsid w:val="00FA6587"/>
    <w:rsid w:val="00FA6B30"/>
    <w:rsid w:val="00FB0D40"/>
    <w:rsid w:val="00FB243E"/>
    <w:rsid w:val="00FB301D"/>
    <w:rsid w:val="00FB42FF"/>
    <w:rsid w:val="00FB46D4"/>
    <w:rsid w:val="00FB47F3"/>
    <w:rsid w:val="00FB516F"/>
    <w:rsid w:val="00FC711A"/>
    <w:rsid w:val="00FD2533"/>
    <w:rsid w:val="00FD2D12"/>
    <w:rsid w:val="00FD3213"/>
    <w:rsid w:val="00FD39C2"/>
    <w:rsid w:val="00FD3A2E"/>
    <w:rsid w:val="00FD4AFF"/>
    <w:rsid w:val="00FD674C"/>
    <w:rsid w:val="00FD6DF0"/>
    <w:rsid w:val="00FD7994"/>
    <w:rsid w:val="00FD7A75"/>
    <w:rsid w:val="00FD7C89"/>
    <w:rsid w:val="00FE0BBF"/>
    <w:rsid w:val="00FE0DC4"/>
    <w:rsid w:val="00FE125A"/>
    <w:rsid w:val="00FE141E"/>
    <w:rsid w:val="00FE18E0"/>
    <w:rsid w:val="00FE24F4"/>
    <w:rsid w:val="00FE2A33"/>
    <w:rsid w:val="00FE2B5E"/>
    <w:rsid w:val="00FE58FE"/>
    <w:rsid w:val="00FE5ECC"/>
    <w:rsid w:val="00FE674D"/>
    <w:rsid w:val="00FE78CB"/>
    <w:rsid w:val="00FF3657"/>
    <w:rsid w:val="00FF417D"/>
    <w:rsid w:val="00FF59FD"/>
    <w:rsid w:val="00FF5D63"/>
    <w:rsid w:val="00FF66DD"/>
    <w:rsid w:val="00FF7737"/>
    <w:rsid w:val="00FF7AF5"/>
    <w:rsid w:val="00FF7CFA"/>
    <w:rsid w:val="00FF7DDF"/>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D8998C7-1618-4DA3-BF49-DC08D188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D4F"/>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587F59"/>
  </w:style>
  <w:style w:type="paragraph" w:customStyle="1" w:styleId="paragraph">
    <w:name w:val="paragraph"/>
    <w:basedOn w:val="Normal"/>
    <w:rsid w:val="00E840DB"/>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5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60220801">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309475676">
      <w:bodyDiv w:val="1"/>
      <w:marLeft w:val="0"/>
      <w:marRight w:val="0"/>
      <w:marTop w:val="0"/>
      <w:marBottom w:val="0"/>
      <w:divBdr>
        <w:top w:val="none" w:sz="0" w:space="0" w:color="auto"/>
        <w:left w:val="none" w:sz="0" w:space="0" w:color="auto"/>
        <w:bottom w:val="none" w:sz="0" w:space="0" w:color="auto"/>
        <w:right w:val="none" w:sz="0" w:space="0" w:color="auto"/>
      </w:divBdr>
      <w:divsChild>
        <w:div w:id="1000500570">
          <w:marLeft w:val="0"/>
          <w:marRight w:val="0"/>
          <w:marTop w:val="0"/>
          <w:marBottom w:val="0"/>
          <w:divBdr>
            <w:top w:val="none" w:sz="0" w:space="0" w:color="auto"/>
            <w:left w:val="none" w:sz="0" w:space="0" w:color="auto"/>
            <w:bottom w:val="none" w:sz="0" w:space="0" w:color="auto"/>
            <w:right w:val="none" w:sz="0" w:space="0" w:color="auto"/>
          </w:divBdr>
        </w:div>
        <w:div w:id="1361543092">
          <w:marLeft w:val="0"/>
          <w:marRight w:val="0"/>
          <w:marTop w:val="0"/>
          <w:marBottom w:val="0"/>
          <w:divBdr>
            <w:top w:val="none" w:sz="0" w:space="0" w:color="auto"/>
            <w:left w:val="none" w:sz="0" w:space="0" w:color="auto"/>
            <w:bottom w:val="none" w:sz="0" w:space="0" w:color="auto"/>
            <w:right w:val="none" w:sz="0" w:space="0" w:color="auto"/>
          </w:divBdr>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93AF0-5F67-134F-84FE-B93CFFE28764}">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6702B8D-5A15-4E70-B4B0-91E05679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14</Pages>
  <Words>4879</Words>
  <Characters>26837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Laura Alejandra Materon Garcia</dc:creator>
  <cp:keywords/>
  <dc:description/>
  <cp:lastModifiedBy>Laura Alejandra Materon Garcia</cp:lastModifiedBy>
  <cp:revision>2</cp:revision>
  <dcterms:created xsi:type="dcterms:W3CDTF">2022-05-31T15:03:00Z</dcterms:created>
  <dcterms:modified xsi:type="dcterms:W3CDTF">2022-05-31T15:03:00Z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