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6C90" w14:textId="77777777" w:rsidR="001500F3" w:rsidRPr="00F47E5E" w:rsidRDefault="001500F3" w:rsidP="001500F3">
      <w:pPr>
        <w:spacing w:after="0" w:line="240" w:lineRule="auto"/>
        <w:contextualSpacing/>
        <w:jc w:val="both"/>
        <w:rPr>
          <w:rFonts w:ascii="Arial" w:eastAsia="Calibri" w:hAnsi="Arial" w:cs="Arial"/>
          <w:color w:val="FF0000"/>
          <w:lang w:val="es-ES_tradnl" w:eastAsia="es-MX"/>
        </w:rPr>
      </w:pPr>
      <w:r w:rsidRPr="00F47E5E">
        <w:rPr>
          <w:rFonts w:ascii="Arial" w:eastAsia="Times New Roman" w:hAnsi="Arial" w:cs="Arial"/>
          <w:b/>
          <w:bCs/>
          <w:color w:val="000000"/>
          <w:lang w:val="es-ES_tradnl" w:eastAsia="es-ES_tradnl"/>
        </w:rPr>
        <w:t xml:space="preserve">REGISTRO ÚNICO DE PROPONENTES </w:t>
      </w:r>
      <w:r w:rsidRPr="0066787D">
        <w:rPr>
          <w:rFonts w:ascii="Arial" w:eastAsia="Times New Roman" w:hAnsi="Arial" w:cs="Arial"/>
          <w:b/>
          <w:bCs/>
          <w:color w:val="000000"/>
          <w:lang w:val="es-ES_tradnl" w:eastAsia="es-ES_tradnl"/>
        </w:rPr>
        <w:t>–</w:t>
      </w:r>
      <w:r w:rsidRPr="00F47E5E">
        <w:rPr>
          <w:rFonts w:ascii="Arial" w:eastAsia="Times New Roman" w:hAnsi="Arial" w:cs="Arial"/>
          <w:b/>
          <w:bCs/>
          <w:color w:val="000000"/>
          <w:lang w:val="es-ES_tradnl" w:eastAsia="es-ES_tradnl"/>
        </w:rPr>
        <w:t xml:space="preserve"> </w:t>
      </w:r>
      <w:r w:rsidRPr="0066787D">
        <w:rPr>
          <w:rFonts w:ascii="Arial" w:eastAsia="Times New Roman" w:hAnsi="Arial" w:cs="Arial"/>
          <w:b/>
          <w:bCs/>
          <w:color w:val="000000"/>
          <w:lang w:val="es-ES_tradnl" w:eastAsia="es-ES_tradnl"/>
        </w:rPr>
        <w:t>RUP– Concepto</w:t>
      </w:r>
    </w:p>
    <w:p w14:paraId="6AB9CE6A" w14:textId="77777777" w:rsidR="001500F3" w:rsidRPr="00F47E5E" w:rsidRDefault="001500F3" w:rsidP="001500F3">
      <w:pPr>
        <w:spacing w:after="0" w:line="240" w:lineRule="auto"/>
        <w:contextualSpacing/>
        <w:jc w:val="both"/>
        <w:textAlignment w:val="baseline"/>
        <w:rPr>
          <w:rFonts w:ascii="Arial" w:eastAsia="Times New Roman" w:hAnsi="Arial" w:cs="Arial"/>
          <w:color w:val="000000"/>
          <w:sz w:val="20"/>
          <w:szCs w:val="20"/>
          <w:lang w:eastAsia="es-ES_tradnl"/>
        </w:rPr>
      </w:pPr>
    </w:p>
    <w:p w14:paraId="7530AD51" w14:textId="77777777" w:rsidR="001500F3" w:rsidRPr="00F47E5E" w:rsidRDefault="001500F3" w:rsidP="001500F3">
      <w:pPr>
        <w:spacing w:after="0" w:line="240" w:lineRule="auto"/>
        <w:contextualSpacing/>
        <w:jc w:val="both"/>
        <w:textAlignment w:val="baseline"/>
        <w:rPr>
          <w:rFonts w:ascii="Arial" w:eastAsia="Times New Roman" w:hAnsi="Arial" w:cs="Arial"/>
          <w:b/>
          <w:bCs/>
          <w:sz w:val="20"/>
          <w:szCs w:val="20"/>
          <w:lang w:val="es-MX" w:eastAsia="es-CO"/>
        </w:rPr>
      </w:pPr>
      <w:r w:rsidRPr="0066787D">
        <w:rPr>
          <w:rFonts w:ascii="Arial" w:eastAsia="Times New Roman" w:hAnsi="Arial" w:cs="Arial"/>
          <w:color w:val="000000"/>
          <w:sz w:val="20"/>
          <w:szCs w:val="20"/>
          <w:lang w:eastAsia="es-ES_tradnl"/>
        </w:rPr>
        <w:t xml:space="preserve">El Registro Único de Proponentes </w:t>
      </w:r>
      <w:r w:rsidRPr="00F47E5E">
        <w:rPr>
          <w:rFonts w:ascii="Arial" w:eastAsia="Times New Roman" w:hAnsi="Arial" w:cs="Arial"/>
          <w:color w:val="000000"/>
          <w:sz w:val="20"/>
          <w:szCs w:val="20"/>
          <w:lang w:eastAsia="es-ES_tradnl"/>
        </w:rPr>
        <w:t xml:space="preserve">(en adelante RUP) </w:t>
      </w:r>
      <w:r w:rsidRPr="0066787D">
        <w:rPr>
          <w:rFonts w:ascii="Arial" w:eastAsia="Times New Roman" w:hAnsi="Arial" w:cs="Arial"/>
          <w:color w:val="000000"/>
          <w:sz w:val="20"/>
          <w:szCs w:val="20"/>
          <w:lang w:eastAsia="es-ES_tradnl"/>
        </w:rPr>
        <w:t>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67760372" w14:textId="77777777" w:rsidR="001500F3" w:rsidRPr="00F47E5E" w:rsidRDefault="001500F3" w:rsidP="001500F3">
      <w:pPr>
        <w:spacing w:after="0" w:line="240" w:lineRule="auto"/>
        <w:contextualSpacing/>
        <w:jc w:val="both"/>
        <w:textAlignment w:val="baseline"/>
        <w:rPr>
          <w:rFonts w:ascii="Arial" w:eastAsia="Times New Roman" w:hAnsi="Arial" w:cs="Arial"/>
          <w:b/>
          <w:bCs/>
          <w:sz w:val="20"/>
          <w:szCs w:val="20"/>
          <w:lang w:val="es-MX" w:eastAsia="es-CO"/>
        </w:rPr>
      </w:pPr>
    </w:p>
    <w:p w14:paraId="356F128B" w14:textId="77777777" w:rsidR="001500F3" w:rsidRPr="00F47E5E" w:rsidRDefault="001500F3" w:rsidP="001500F3">
      <w:pPr>
        <w:spacing w:after="0" w:line="240" w:lineRule="auto"/>
        <w:contextualSpacing/>
        <w:jc w:val="both"/>
        <w:textAlignment w:val="baseline"/>
        <w:rPr>
          <w:rFonts w:ascii="Arial" w:eastAsia="Times New Roman" w:hAnsi="Arial" w:cs="Arial"/>
          <w:sz w:val="20"/>
          <w:szCs w:val="20"/>
          <w:lang w:val="es-MX" w:eastAsia="es-CO"/>
        </w:rPr>
      </w:pPr>
      <w:r w:rsidRPr="00F47E5E">
        <w:rPr>
          <w:rFonts w:ascii="Arial" w:eastAsia="Times New Roman" w:hAnsi="Arial" w:cs="Arial"/>
          <w:sz w:val="20"/>
          <w:szCs w:val="20"/>
          <w:lang w:val="es-MX" w:eastAsia="es-CO"/>
        </w:rPr>
        <w:t>[…]</w:t>
      </w:r>
    </w:p>
    <w:p w14:paraId="01272814" w14:textId="77777777" w:rsidR="001500F3" w:rsidRPr="00F47E5E" w:rsidRDefault="001500F3" w:rsidP="001500F3">
      <w:pPr>
        <w:spacing w:after="0" w:line="240" w:lineRule="auto"/>
        <w:contextualSpacing/>
        <w:jc w:val="both"/>
        <w:textAlignment w:val="baseline"/>
        <w:rPr>
          <w:rFonts w:ascii="Arial" w:eastAsia="Times New Roman" w:hAnsi="Arial" w:cs="Arial"/>
          <w:b/>
          <w:bCs/>
          <w:sz w:val="20"/>
          <w:szCs w:val="20"/>
          <w:lang w:val="es-MX" w:eastAsia="es-CO"/>
        </w:rPr>
      </w:pPr>
    </w:p>
    <w:p w14:paraId="563948FA" w14:textId="77777777" w:rsidR="001500F3" w:rsidRPr="00F47E5E" w:rsidRDefault="001500F3" w:rsidP="001500F3">
      <w:pPr>
        <w:spacing w:after="0" w:line="240" w:lineRule="auto"/>
        <w:contextualSpacing/>
        <w:jc w:val="both"/>
        <w:textAlignment w:val="baseline"/>
        <w:rPr>
          <w:rFonts w:ascii="Arial" w:eastAsia="Times New Roman" w:hAnsi="Arial" w:cs="Arial"/>
          <w:color w:val="000000"/>
          <w:sz w:val="20"/>
          <w:szCs w:val="20"/>
          <w:lang w:eastAsia="es-ES_tradnl"/>
        </w:rPr>
      </w:pPr>
      <w:r w:rsidRPr="0066787D">
        <w:rPr>
          <w:rFonts w:ascii="Arial" w:eastAsia="Times New Roman" w:hAnsi="Arial" w:cs="Arial"/>
          <w:color w:val="000000"/>
          <w:sz w:val="20"/>
          <w:szCs w:val="20"/>
          <w:lang w:eastAsia="es-ES_tradnl"/>
        </w:rPr>
        <w:t xml:space="preserve">El artículo 6.1 de la Ley 1150 de 2007 dispone que el </w:t>
      </w:r>
      <w:r w:rsidRPr="00F47E5E">
        <w:rPr>
          <w:rFonts w:ascii="Arial" w:eastAsia="Times New Roman" w:hAnsi="Arial" w:cs="Arial"/>
          <w:color w:val="000000"/>
          <w:sz w:val="20"/>
          <w:szCs w:val="20"/>
          <w:lang w:eastAsia="es-ES_tradnl"/>
        </w:rPr>
        <w:t>RUP</w:t>
      </w:r>
      <w:r w:rsidRPr="0066787D">
        <w:rPr>
          <w:rFonts w:ascii="Arial" w:eastAsia="Times New Roman" w:hAnsi="Arial" w:cs="Arial"/>
          <w:color w:val="000000"/>
          <w:sz w:val="20"/>
          <w:szCs w:val="20"/>
          <w:lang w:eastAsia="es-ES_tradnl"/>
        </w:rPr>
        <w:t xml:space="preserve">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w:t>
      </w:r>
    </w:p>
    <w:p w14:paraId="6EB1841F" w14:textId="77777777" w:rsidR="001500F3" w:rsidRPr="00F47E5E" w:rsidRDefault="001500F3" w:rsidP="001500F3">
      <w:pPr>
        <w:spacing w:after="0" w:line="240" w:lineRule="auto"/>
        <w:contextualSpacing/>
        <w:jc w:val="both"/>
        <w:textAlignment w:val="baseline"/>
        <w:rPr>
          <w:rFonts w:ascii="Arial" w:eastAsia="Times New Roman" w:hAnsi="Arial" w:cs="Arial"/>
          <w:color w:val="000000"/>
          <w:sz w:val="20"/>
          <w:szCs w:val="20"/>
          <w:lang w:eastAsia="es-ES_tradnl"/>
        </w:rPr>
      </w:pPr>
    </w:p>
    <w:p w14:paraId="2B2694BF" w14:textId="77777777" w:rsidR="001500F3" w:rsidRPr="00F47E5E" w:rsidRDefault="001500F3" w:rsidP="001500F3">
      <w:pPr>
        <w:widowControl w:val="0"/>
        <w:autoSpaceDE w:val="0"/>
        <w:autoSpaceDN w:val="0"/>
        <w:spacing w:after="0" w:line="240" w:lineRule="auto"/>
        <w:contextualSpacing/>
        <w:jc w:val="both"/>
        <w:rPr>
          <w:rFonts w:ascii="Arial" w:eastAsia="Times New Roman" w:hAnsi="Arial" w:cs="Arial"/>
          <w:b/>
          <w:bCs/>
          <w:color w:val="000000"/>
          <w:lang w:val="es-ES_tradnl" w:eastAsia="es-ES_tradnl"/>
        </w:rPr>
      </w:pPr>
      <w:r w:rsidRPr="0066787D">
        <w:rPr>
          <w:rFonts w:ascii="Arial" w:eastAsia="Times New Roman" w:hAnsi="Arial" w:cs="Arial"/>
          <w:b/>
          <w:bCs/>
          <w:color w:val="000000"/>
          <w:lang w:val="es-ES_tradnl" w:eastAsia="es-ES_tradnl"/>
        </w:rPr>
        <w:t xml:space="preserve">RUP– </w:t>
      </w:r>
      <w:r w:rsidRPr="00F47E5E">
        <w:rPr>
          <w:rFonts w:ascii="Arial" w:eastAsia="Times New Roman" w:hAnsi="Arial" w:cs="Arial"/>
          <w:b/>
          <w:bCs/>
          <w:color w:val="000000"/>
          <w:lang w:val="es-ES_tradnl" w:eastAsia="es-ES_tradnl"/>
        </w:rPr>
        <w:t>Sujetos obligados</w:t>
      </w:r>
    </w:p>
    <w:p w14:paraId="0225240E" w14:textId="77777777" w:rsidR="001500F3" w:rsidRPr="00F47E5E" w:rsidRDefault="001500F3" w:rsidP="001500F3">
      <w:pPr>
        <w:widowControl w:val="0"/>
        <w:autoSpaceDE w:val="0"/>
        <w:autoSpaceDN w:val="0"/>
        <w:spacing w:after="0" w:line="240" w:lineRule="auto"/>
        <w:contextualSpacing/>
        <w:jc w:val="both"/>
        <w:rPr>
          <w:rFonts w:ascii="Arial" w:eastAsia="Times New Roman" w:hAnsi="Arial" w:cs="Arial"/>
          <w:color w:val="000000"/>
          <w:sz w:val="20"/>
          <w:szCs w:val="20"/>
          <w:lang w:eastAsia="es-ES_tradnl"/>
        </w:rPr>
      </w:pPr>
    </w:p>
    <w:p w14:paraId="65E4D732" w14:textId="77777777" w:rsidR="001500F3" w:rsidRPr="0066787D" w:rsidRDefault="001500F3" w:rsidP="001500F3">
      <w:pPr>
        <w:widowControl w:val="0"/>
        <w:autoSpaceDE w:val="0"/>
        <w:autoSpaceDN w:val="0"/>
        <w:spacing w:after="0" w:line="240" w:lineRule="auto"/>
        <w:contextualSpacing/>
        <w:jc w:val="both"/>
        <w:rPr>
          <w:rFonts w:ascii="Arial" w:eastAsia="Arial" w:hAnsi="Arial" w:cs="Arial"/>
          <w:b/>
          <w:sz w:val="20"/>
          <w:szCs w:val="20"/>
          <w:lang w:val="es-ES"/>
        </w:rPr>
      </w:pPr>
      <w:r w:rsidRPr="0066787D">
        <w:rPr>
          <w:rFonts w:ascii="Arial" w:eastAsia="Times New Roman" w:hAnsi="Arial" w:cs="Arial"/>
          <w:color w:val="000000"/>
          <w:sz w:val="20"/>
          <w:szCs w:val="20"/>
          <w:lang w:eastAsia="es-ES_tradnl"/>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17207628" w14:textId="77777777" w:rsidR="001500F3" w:rsidRPr="00F47E5E" w:rsidRDefault="001500F3" w:rsidP="001500F3">
      <w:pPr>
        <w:spacing w:after="0" w:line="240" w:lineRule="auto"/>
        <w:contextualSpacing/>
        <w:jc w:val="both"/>
        <w:textAlignment w:val="baseline"/>
        <w:rPr>
          <w:rFonts w:ascii="Arial" w:eastAsia="Times New Roman" w:hAnsi="Arial" w:cs="Arial"/>
          <w:b/>
          <w:bCs/>
          <w:sz w:val="20"/>
          <w:szCs w:val="20"/>
          <w:lang w:val="es-MX" w:eastAsia="es-CO"/>
        </w:rPr>
      </w:pPr>
    </w:p>
    <w:p w14:paraId="60F56D5D" w14:textId="77777777" w:rsidR="001500F3" w:rsidRPr="000E6BB8" w:rsidRDefault="001500F3" w:rsidP="001500F3">
      <w:pPr>
        <w:spacing w:after="0" w:line="240" w:lineRule="auto"/>
        <w:contextualSpacing/>
        <w:jc w:val="both"/>
        <w:textAlignment w:val="baseline"/>
        <w:rPr>
          <w:rFonts w:ascii="Segoe UI" w:eastAsia="Times New Roman" w:hAnsi="Segoe UI" w:cs="Segoe UI"/>
          <w:lang w:eastAsia="es-CO"/>
        </w:rPr>
      </w:pPr>
      <w:r w:rsidRPr="000E6BB8">
        <w:rPr>
          <w:rFonts w:ascii="Arial" w:eastAsia="Times New Roman" w:hAnsi="Arial" w:cs="Arial"/>
          <w:b/>
          <w:bCs/>
          <w:lang w:val="es-MX" w:eastAsia="es-CO"/>
        </w:rPr>
        <w:t>EXPERIENCIA – Noción ‒ Colombia Compra Eficiente</w:t>
      </w:r>
    </w:p>
    <w:p w14:paraId="42716792"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eastAsia="es-CO"/>
        </w:rPr>
        <w:t> </w:t>
      </w:r>
    </w:p>
    <w:p w14:paraId="139F1D44" w14:textId="77777777" w:rsidR="001500F3" w:rsidRPr="000E6BB8" w:rsidRDefault="001500F3" w:rsidP="001500F3">
      <w:pPr>
        <w:spacing w:after="0" w:line="240" w:lineRule="auto"/>
        <w:contextualSpacing/>
        <w:jc w:val="both"/>
        <w:textAlignment w:val="baseline"/>
        <w:rPr>
          <w:rFonts w:ascii="Arial" w:eastAsia="Times New Roman" w:hAnsi="Arial" w:cs="Arial"/>
          <w:sz w:val="20"/>
          <w:szCs w:val="20"/>
          <w:lang w:eastAsia="es-CO"/>
        </w:rPr>
      </w:pPr>
      <w:r w:rsidRPr="000E6BB8">
        <w:rPr>
          <w:rFonts w:ascii="Arial" w:eastAsia="Times New Roman" w:hAnsi="Arial" w:cs="Arial"/>
          <w:sz w:val="20"/>
          <w:szCs w:val="20"/>
          <w:lang w:val="es-MX" w:eastAsia="es-CO"/>
        </w:rPr>
        <w:t xml:space="preserve">i) La experiencia es </w:t>
      </w:r>
      <w:r w:rsidRPr="000E6BB8">
        <w:rPr>
          <w:rFonts w:ascii="Arial" w:eastAsia="Times New Roman" w:hAnsi="Arial" w:cs="Arial"/>
          <w:i/>
          <w:iCs/>
          <w:sz w:val="20"/>
          <w:szCs w:val="20"/>
          <w:lang w:val="es-MX" w:eastAsia="es-CO"/>
        </w:rPr>
        <w:t>personal</w:t>
      </w:r>
      <w:r w:rsidRPr="000E6BB8">
        <w:rPr>
          <w:rFonts w:ascii="Arial" w:eastAsia="Times New Roman" w:hAnsi="Arial" w:cs="Arial"/>
          <w:sz w:val="20"/>
          <w:szCs w:val="20"/>
          <w:lang w:val="es-MX" w:eastAsia="es-CO"/>
        </w:rPr>
        <w:t>, esto es, se adquiere participando, directa o indirectamente, sin que sea posible no hacerlo y tener experiencia.</w:t>
      </w:r>
    </w:p>
    <w:p w14:paraId="5A326948"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p>
    <w:p w14:paraId="5AFDD61B" w14:textId="77777777" w:rsidR="001500F3" w:rsidRPr="000E6BB8" w:rsidRDefault="001500F3" w:rsidP="001500F3">
      <w:pPr>
        <w:spacing w:after="0" w:line="240" w:lineRule="auto"/>
        <w:contextualSpacing/>
        <w:jc w:val="both"/>
        <w:textAlignment w:val="baseline"/>
        <w:rPr>
          <w:rFonts w:ascii="Arial" w:eastAsia="Times New Roman" w:hAnsi="Arial" w:cs="Arial"/>
          <w:sz w:val="20"/>
          <w:szCs w:val="20"/>
          <w:lang w:eastAsia="es-CO"/>
        </w:rPr>
      </w:pPr>
      <w:proofErr w:type="spellStart"/>
      <w:r w:rsidRPr="000E6BB8">
        <w:rPr>
          <w:rFonts w:ascii="Arial" w:eastAsia="Times New Roman" w:hAnsi="Arial" w:cs="Arial"/>
          <w:sz w:val="20"/>
          <w:szCs w:val="20"/>
          <w:lang w:val="es-MX" w:eastAsia="es-CO"/>
        </w:rPr>
        <w:t>ii</w:t>
      </w:r>
      <w:proofErr w:type="spellEnd"/>
      <w:r w:rsidRPr="000E6BB8">
        <w:rPr>
          <w:rFonts w:ascii="Arial" w:eastAsia="Times New Roman" w:hAnsi="Arial" w:cs="Arial"/>
          <w:sz w:val="20"/>
          <w:szCs w:val="20"/>
          <w:lang w:val="es-MX" w:eastAsia="es-CO"/>
        </w:rPr>
        <w:t xml:space="preserve">) La experiencia se puede </w:t>
      </w:r>
      <w:r w:rsidRPr="000E6BB8">
        <w:rPr>
          <w:rFonts w:ascii="Arial" w:eastAsia="Times New Roman" w:hAnsi="Arial" w:cs="Arial"/>
          <w:i/>
          <w:iCs/>
          <w:sz w:val="20"/>
          <w:szCs w:val="20"/>
          <w:lang w:val="es-MX" w:eastAsia="es-CO"/>
        </w:rPr>
        <w:t>compartir</w:t>
      </w:r>
      <w:r w:rsidRPr="000E6BB8">
        <w:rPr>
          <w:rFonts w:ascii="Arial" w:eastAsia="Times New Roman" w:hAnsi="Arial" w:cs="Arial"/>
          <w:sz w:val="20"/>
          <w:szCs w:val="20"/>
          <w:lang w:val="es-MX" w:eastAsia="es-CO"/>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14:paraId="570BB9AD"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p>
    <w:p w14:paraId="77DF02F4" w14:textId="77777777" w:rsidR="001500F3" w:rsidRPr="000E6BB8" w:rsidRDefault="001500F3" w:rsidP="001500F3">
      <w:pPr>
        <w:spacing w:after="0" w:line="240" w:lineRule="auto"/>
        <w:contextualSpacing/>
        <w:jc w:val="both"/>
        <w:textAlignment w:val="baseline"/>
        <w:rPr>
          <w:rFonts w:ascii="Arial" w:eastAsia="Times New Roman" w:hAnsi="Arial" w:cs="Arial"/>
          <w:sz w:val="20"/>
          <w:szCs w:val="20"/>
          <w:lang w:eastAsia="es-CO"/>
        </w:rPr>
      </w:pPr>
      <w:proofErr w:type="spellStart"/>
      <w:r w:rsidRPr="000E6BB8">
        <w:rPr>
          <w:rFonts w:ascii="Arial" w:eastAsia="Times New Roman" w:hAnsi="Arial" w:cs="Arial"/>
          <w:sz w:val="20"/>
          <w:szCs w:val="20"/>
          <w:lang w:val="es-MX" w:eastAsia="es-CO"/>
        </w:rPr>
        <w:t>iii</w:t>
      </w:r>
      <w:proofErr w:type="spellEnd"/>
      <w:r w:rsidRPr="000E6BB8">
        <w:rPr>
          <w:rFonts w:ascii="Arial" w:eastAsia="Times New Roman" w:hAnsi="Arial" w:cs="Arial"/>
          <w:sz w:val="20"/>
          <w:szCs w:val="20"/>
          <w:lang w:val="es-MX" w:eastAsia="es-CO"/>
        </w:rPr>
        <w:t xml:space="preserve">) La experiencia se puede </w:t>
      </w:r>
      <w:r w:rsidRPr="000E6BB8">
        <w:rPr>
          <w:rFonts w:ascii="Arial" w:eastAsia="Times New Roman" w:hAnsi="Arial" w:cs="Arial"/>
          <w:i/>
          <w:iCs/>
          <w:sz w:val="20"/>
          <w:szCs w:val="20"/>
          <w:lang w:val="es-MX" w:eastAsia="es-CO"/>
        </w:rPr>
        <w:t>transferir</w:t>
      </w:r>
      <w:r w:rsidRPr="000E6BB8">
        <w:rPr>
          <w:rFonts w:ascii="Arial" w:eastAsia="Times New Roman" w:hAnsi="Arial" w:cs="Arial"/>
          <w:sz w:val="20"/>
          <w:szCs w:val="20"/>
          <w:lang w:val="es-MX" w:eastAsia="es-CO"/>
        </w:rPr>
        <w:t>, y esto es diferente a compartir, lo que implica que la experiencia de una persona se traslada a otra, y esta última acredita la experiencia como propia, como sucede con la figura que se explicará con más detalle en el numeral 2.3 de este concepto.</w:t>
      </w:r>
    </w:p>
    <w:p w14:paraId="41813411"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p>
    <w:p w14:paraId="14B73989"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val="es-MX" w:eastAsia="es-CO"/>
        </w:rPr>
      </w:pPr>
      <w:proofErr w:type="spellStart"/>
      <w:r w:rsidRPr="000E6BB8">
        <w:rPr>
          <w:rFonts w:ascii="Arial" w:eastAsia="Times New Roman" w:hAnsi="Arial" w:cs="Arial"/>
          <w:sz w:val="20"/>
          <w:szCs w:val="20"/>
          <w:lang w:val="es-MX" w:eastAsia="es-CO"/>
        </w:rPr>
        <w:t>iv</w:t>
      </w:r>
      <w:proofErr w:type="spellEnd"/>
      <w:r w:rsidRPr="000E6BB8">
        <w:rPr>
          <w:rFonts w:ascii="Arial" w:eastAsia="Times New Roman" w:hAnsi="Arial" w:cs="Arial"/>
          <w:sz w:val="20"/>
          <w:szCs w:val="20"/>
          <w:lang w:val="es-MX" w:eastAsia="es-CO"/>
        </w:rPr>
        <w:t xml:space="preserve">) Cuando la persona que adquirió la experiencia </w:t>
      </w:r>
      <w:r w:rsidRPr="000E6BB8">
        <w:rPr>
          <w:rFonts w:ascii="Arial" w:eastAsia="Times New Roman" w:hAnsi="Arial" w:cs="Arial"/>
          <w:i/>
          <w:iCs/>
          <w:sz w:val="20"/>
          <w:szCs w:val="20"/>
          <w:lang w:val="es-MX" w:eastAsia="es-CO"/>
        </w:rPr>
        <w:t>desaparece</w:t>
      </w:r>
      <w:r w:rsidRPr="000E6BB8">
        <w:rPr>
          <w:rFonts w:ascii="Arial" w:eastAsia="Times New Roman" w:hAnsi="Arial" w:cs="Arial"/>
          <w:sz w:val="20"/>
          <w:szCs w:val="20"/>
          <w:lang w:val="es-MX" w:eastAsia="es-CO"/>
        </w:rPr>
        <w:t xml:space="preserve"> o se liquida no es posible que comparta o transfiera su experiencia, porque al ser personal sigue la suerte de quien la adquirió.</w:t>
      </w:r>
    </w:p>
    <w:p w14:paraId="5426E993"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eastAsia="es-CO"/>
        </w:rPr>
        <w:t> </w:t>
      </w:r>
    </w:p>
    <w:p w14:paraId="73DB9E11" w14:textId="77777777" w:rsidR="001500F3" w:rsidRPr="000E6BB8" w:rsidRDefault="001500F3" w:rsidP="001500F3">
      <w:pPr>
        <w:spacing w:after="0" w:line="240" w:lineRule="auto"/>
        <w:contextualSpacing/>
        <w:jc w:val="both"/>
        <w:textAlignment w:val="baseline"/>
        <w:rPr>
          <w:rFonts w:ascii="Segoe UI" w:eastAsia="Times New Roman" w:hAnsi="Segoe UI" w:cs="Segoe UI"/>
          <w:lang w:eastAsia="es-CO"/>
        </w:rPr>
      </w:pPr>
      <w:r w:rsidRPr="000E6BB8">
        <w:rPr>
          <w:rFonts w:ascii="Arial" w:eastAsia="Times New Roman" w:hAnsi="Arial" w:cs="Arial"/>
          <w:b/>
          <w:bCs/>
          <w:lang w:val="es-MX" w:eastAsia="es-CO"/>
        </w:rPr>
        <w:t>SOCIEDADES NUEVAS ‒ Experiencia ‒ Inferior a tres años ‒ Requisitos habilitantes ‒ Desarrollo de la empresa</w:t>
      </w:r>
    </w:p>
    <w:p w14:paraId="4B4BE112"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eastAsia="es-CO"/>
        </w:rPr>
        <w:t> </w:t>
      </w:r>
    </w:p>
    <w:p w14:paraId="390642C9" w14:textId="77777777" w:rsidR="001500F3" w:rsidRPr="00F47E5E" w:rsidRDefault="001500F3" w:rsidP="001500F3">
      <w:pPr>
        <w:spacing w:after="0" w:line="240" w:lineRule="auto"/>
        <w:contextualSpacing/>
        <w:jc w:val="both"/>
        <w:textAlignment w:val="baseline"/>
        <w:rPr>
          <w:rFonts w:ascii="Arial" w:eastAsia="Times New Roman" w:hAnsi="Arial" w:cs="Arial"/>
          <w:sz w:val="20"/>
          <w:szCs w:val="20"/>
          <w:lang w:eastAsia="es-CO"/>
        </w:rPr>
      </w:pPr>
      <w:r w:rsidRPr="000E6BB8">
        <w:rPr>
          <w:rFonts w:ascii="Arial" w:eastAsia="Times New Roman" w:hAnsi="Arial" w:cs="Arial"/>
          <w:sz w:val="20"/>
          <w:szCs w:val="20"/>
          <w:lang w:val="es-MX" w:eastAsia="es-CO"/>
        </w:rPr>
        <w:lastRenderedPageBreak/>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r w:rsidRPr="000E6BB8">
        <w:rPr>
          <w:rFonts w:ascii="Arial" w:eastAsia="Times New Roman" w:hAnsi="Arial" w:cs="Arial"/>
          <w:sz w:val="20"/>
          <w:szCs w:val="20"/>
          <w:lang w:eastAsia="es-CO"/>
        </w:rPr>
        <w:t> </w:t>
      </w:r>
    </w:p>
    <w:p w14:paraId="403CEB4B"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p>
    <w:p w14:paraId="7C1B60A7"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val="es-MX" w:eastAsia="es-CO"/>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r w:rsidRPr="000E6BB8">
        <w:rPr>
          <w:rFonts w:ascii="Arial" w:eastAsia="Times New Roman" w:hAnsi="Arial" w:cs="Arial"/>
          <w:sz w:val="20"/>
          <w:szCs w:val="20"/>
          <w:lang w:eastAsia="es-CO"/>
        </w:rPr>
        <w:t> </w:t>
      </w:r>
    </w:p>
    <w:p w14:paraId="4157E0A7"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eastAsia="es-CO"/>
        </w:rPr>
        <w:t> </w:t>
      </w:r>
    </w:p>
    <w:p w14:paraId="6352356A" w14:textId="77777777" w:rsidR="001500F3" w:rsidRPr="000E6BB8" w:rsidRDefault="001500F3" w:rsidP="001500F3">
      <w:pPr>
        <w:spacing w:after="0" w:line="240" w:lineRule="auto"/>
        <w:contextualSpacing/>
        <w:jc w:val="both"/>
        <w:textAlignment w:val="baseline"/>
        <w:rPr>
          <w:rFonts w:ascii="Segoe UI" w:eastAsia="Times New Roman" w:hAnsi="Segoe UI" w:cs="Segoe UI"/>
          <w:lang w:eastAsia="es-CO"/>
        </w:rPr>
      </w:pPr>
      <w:r w:rsidRPr="000E6BB8">
        <w:rPr>
          <w:rFonts w:ascii="Arial" w:eastAsia="Times New Roman" w:hAnsi="Arial" w:cs="Arial"/>
          <w:b/>
          <w:bCs/>
          <w:lang w:val="es-MX" w:eastAsia="es-CO"/>
        </w:rPr>
        <w:t>EXPERIENCIA ‒ Conservación ‒ Renovación RUP ‒ Cesación efectos RUP</w:t>
      </w:r>
    </w:p>
    <w:p w14:paraId="63D82009"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eastAsia="es-CO"/>
        </w:rPr>
        <w:t> </w:t>
      </w:r>
    </w:p>
    <w:p w14:paraId="7551F520"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val="es-MX" w:eastAsia="es-CO"/>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6435B021"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eastAsia="es-CO"/>
        </w:rPr>
        <w:t> </w:t>
      </w:r>
    </w:p>
    <w:p w14:paraId="7AB2C437" w14:textId="77777777" w:rsidR="001500F3" w:rsidRPr="000E6BB8" w:rsidRDefault="001500F3" w:rsidP="001500F3">
      <w:pPr>
        <w:spacing w:after="0" w:line="240" w:lineRule="auto"/>
        <w:contextualSpacing/>
        <w:jc w:val="both"/>
        <w:textAlignment w:val="baseline"/>
        <w:rPr>
          <w:rFonts w:ascii="Segoe UI" w:eastAsia="Times New Roman" w:hAnsi="Segoe UI" w:cs="Segoe UI"/>
          <w:lang w:eastAsia="es-CO"/>
        </w:rPr>
      </w:pPr>
      <w:r w:rsidRPr="000E6BB8">
        <w:rPr>
          <w:rFonts w:ascii="Arial" w:eastAsia="Times New Roman" w:hAnsi="Arial" w:cs="Arial"/>
          <w:b/>
          <w:bCs/>
          <w:lang w:val="es-MX" w:eastAsia="es-CO"/>
        </w:rPr>
        <w:t>EXPERIENCIA – Conservación – Sociedades – Menor a 3 años de constitución</w:t>
      </w:r>
    </w:p>
    <w:p w14:paraId="371E7734"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eastAsia="es-CO"/>
        </w:rPr>
        <w:t> </w:t>
      </w:r>
    </w:p>
    <w:p w14:paraId="26CFDE3C"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val="es-MX" w:eastAsia="es-CO"/>
        </w:rPr>
        <w:t>[…]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0F8D5D32" w14:textId="77777777" w:rsidR="001500F3" w:rsidRPr="000E6BB8" w:rsidRDefault="001500F3" w:rsidP="001500F3">
      <w:pPr>
        <w:spacing w:after="0" w:line="240" w:lineRule="auto"/>
        <w:contextualSpacing/>
        <w:jc w:val="both"/>
        <w:textAlignment w:val="baseline"/>
        <w:rPr>
          <w:rFonts w:ascii="Segoe UI" w:eastAsia="Times New Roman" w:hAnsi="Segoe UI" w:cs="Segoe UI"/>
          <w:sz w:val="20"/>
          <w:szCs w:val="20"/>
          <w:lang w:eastAsia="es-CO"/>
        </w:rPr>
      </w:pPr>
      <w:r w:rsidRPr="000E6BB8">
        <w:rPr>
          <w:rFonts w:ascii="Arial" w:eastAsia="Times New Roman" w:hAnsi="Arial" w:cs="Arial"/>
          <w:sz w:val="20"/>
          <w:szCs w:val="20"/>
          <w:lang w:eastAsia="es-CO"/>
        </w:rPr>
        <w:t> </w:t>
      </w:r>
    </w:p>
    <w:p w14:paraId="3D3CFFE3" w14:textId="77777777" w:rsidR="001500F3" w:rsidRPr="000E6BB8" w:rsidRDefault="001500F3" w:rsidP="001500F3">
      <w:pPr>
        <w:spacing w:after="0" w:line="240" w:lineRule="auto"/>
        <w:contextualSpacing/>
        <w:jc w:val="both"/>
        <w:rPr>
          <w:rFonts w:ascii="Arial" w:eastAsia="Calibri" w:hAnsi="Arial" w:cs="Arial"/>
          <w:b/>
          <w:color w:val="000000"/>
          <w:lang w:val="es-MX"/>
        </w:rPr>
      </w:pPr>
      <w:r w:rsidRPr="000E6BB8">
        <w:rPr>
          <w:rFonts w:ascii="Arial" w:eastAsia="Calibri" w:hAnsi="Arial" w:cs="Arial"/>
          <w:b/>
          <w:color w:val="000000"/>
          <w:lang w:val="es-MX"/>
        </w:rPr>
        <w:t xml:space="preserve">EXPERIENCIA – Deber de verificación del RUP </w:t>
      </w:r>
      <w:r w:rsidRPr="000E6BB8">
        <w:rPr>
          <w:rFonts w:ascii="Arial" w:eastAsia="Times New Roman" w:hAnsi="Arial" w:cs="Arial"/>
          <w:b/>
          <w:bCs/>
          <w:lang w:val="es-MX" w:eastAsia="es-ES_tradnl"/>
        </w:rPr>
        <w:t xml:space="preserve">− </w:t>
      </w:r>
      <w:r w:rsidRPr="000E6BB8">
        <w:rPr>
          <w:rFonts w:ascii="Arial" w:eastAsia="Calibri" w:hAnsi="Arial" w:cs="Arial"/>
          <w:b/>
          <w:color w:val="000000"/>
          <w:lang w:val="es-MX"/>
        </w:rPr>
        <w:t xml:space="preserve">Cámara de Comercio – RUP </w:t>
      </w:r>
      <w:r w:rsidRPr="000E6BB8">
        <w:rPr>
          <w:rFonts w:ascii="Arial" w:eastAsia="Times New Roman" w:hAnsi="Arial" w:cs="Arial"/>
          <w:b/>
          <w:bCs/>
          <w:lang w:val="es-MX" w:eastAsia="es-ES_tradnl"/>
        </w:rPr>
        <w:t>−</w:t>
      </w:r>
      <w:r w:rsidRPr="000E6BB8">
        <w:rPr>
          <w:rFonts w:ascii="Arial" w:eastAsia="Calibri" w:hAnsi="Arial" w:cs="Arial"/>
          <w:b/>
          <w:color w:val="000000"/>
          <w:lang w:val="es-MX"/>
        </w:rPr>
        <w:t xml:space="preserve"> Plena prueba </w:t>
      </w:r>
    </w:p>
    <w:p w14:paraId="68316E32" w14:textId="77777777" w:rsidR="001500F3" w:rsidRPr="000E6BB8" w:rsidRDefault="001500F3" w:rsidP="001500F3">
      <w:pPr>
        <w:spacing w:after="0" w:line="240" w:lineRule="auto"/>
        <w:contextualSpacing/>
        <w:jc w:val="both"/>
        <w:rPr>
          <w:rFonts w:ascii="Arial" w:eastAsia="Calibri" w:hAnsi="Arial" w:cs="Arial"/>
          <w:color w:val="000000"/>
          <w:sz w:val="20"/>
          <w:szCs w:val="20"/>
          <w:lang w:val="es-MX"/>
        </w:rPr>
      </w:pPr>
    </w:p>
    <w:p w14:paraId="4B5D5FFC" w14:textId="77777777" w:rsidR="001500F3" w:rsidRPr="000E6BB8" w:rsidRDefault="001500F3" w:rsidP="001500F3">
      <w:pPr>
        <w:shd w:val="clear" w:color="auto" w:fill="FFFFFF"/>
        <w:spacing w:after="0" w:line="240" w:lineRule="auto"/>
        <w:contextualSpacing/>
        <w:jc w:val="both"/>
        <w:rPr>
          <w:rFonts w:ascii="Arial" w:eastAsia="Times New Roman" w:hAnsi="Arial" w:cs="Arial"/>
          <w:sz w:val="20"/>
          <w:szCs w:val="20"/>
          <w:lang w:eastAsia="es-ES_tradnl"/>
        </w:rPr>
      </w:pPr>
      <w:r w:rsidRPr="000E6BB8">
        <w:rPr>
          <w:rFonts w:ascii="Arial" w:eastAsia="Times New Roman" w:hAnsi="Arial" w:cs="Arial"/>
          <w:sz w:val="20"/>
          <w:szCs w:val="20"/>
          <w:lang w:val="es-MX" w:eastAsia="es-ES_tradnl"/>
        </w:rPr>
        <w:t xml:space="preserve">[…] </w:t>
      </w:r>
      <w:r w:rsidRPr="000E6BB8">
        <w:rPr>
          <w:rFonts w:ascii="Arial" w:eastAsia="Times New Roman" w:hAnsi="Arial" w:cs="Arial"/>
          <w:sz w:val="20"/>
          <w:szCs w:val="20"/>
          <w:lang w:eastAsia="es-ES_tradnl"/>
        </w:rPr>
        <w:t xml:space="preserve">se reitera que por regla general la capacidad jurídica, las condiciones de experiencia, la capacidad financiera y de organización de los proponentes deberán verificarse exclusivamente con el registro único de proponentes, toda vez que constituye plena prueba de lo que contiene según el numeral 6.1 del artículo 6 de la Ley 1150 de 2007. El legislador otorgó a las cámaras de comercio la administración del RUP y dispuso que estas tienen la competencia y el deber de la verificación de la información suministrada por las personas naturales o jurídicas para su posterior utilización en los procesos de selección. </w:t>
      </w:r>
    </w:p>
    <w:p w14:paraId="58382EFF" w14:textId="77777777" w:rsidR="001500F3" w:rsidRPr="000E6BB8" w:rsidRDefault="001500F3" w:rsidP="001500F3">
      <w:pPr>
        <w:shd w:val="clear" w:color="auto" w:fill="FFFFFF"/>
        <w:spacing w:after="0" w:line="240" w:lineRule="auto"/>
        <w:contextualSpacing/>
        <w:jc w:val="both"/>
        <w:rPr>
          <w:rFonts w:ascii="Arial" w:eastAsia="Times New Roman" w:hAnsi="Arial" w:cs="Arial"/>
          <w:sz w:val="20"/>
          <w:szCs w:val="20"/>
          <w:lang w:eastAsia="es-ES_tradnl"/>
        </w:rPr>
      </w:pPr>
    </w:p>
    <w:p w14:paraId="7E6FCE6A" w14:textId="77777777" w:rsidR="001500F3" w:rsidRPr="000E6BB8" w:rsidRDefault="001500F3" w:rsidP="001500F3">
      <w:pPr>
        <w:spacing w:after="0" w:line="240" w:lineRule="auto"/>
        <w:contextualSpacing/>
        <w:jc w:val="both"/>
        <w:rPr>
          <w:rFonts w:ascii="Arial" w:eastAsia="Calibri" w:hAnsi="Arial" w:cs="Arial"/>
          <w:color w:val="000000"/>
          <w:sz w:val="20"/>
          <w:szCs w:val="20"/>
          <w:lang w:val="es-MX"/>
        </w:rPr>
      </w:pPr>
      <w:r w:rsidRPr="000E6BB8">
        <w:rPr>
          <w:rFonts w:ascii="Arial" w:eastAsia="Times New Roman" w:hAnsi="Arial" w:cs="Arial"/>
          <w:sz w:val="20"/>
          <w:szCs w:val="20"/>
          <w:lang w:eastAsia="es-ES_tradnl"/>
        </w:rPr>
        <w:lastRenderedPageBreak/>
        <w:t>Por tanto, la experiencia transferida de los accionistas, socios o constituyentes a la persona jurídica que tiene menos de tres (3) años de constitución sólo puede verificarse con el registro, sin que sea posible para la entidad contratante solicitar documentos adicionales a los oferentes. Lo anterior, sin perjuicio de que esta última –al percatarse de irregularidades en la validación del requisito habilitante por la pérdida posterior de alguna de estas condiciones– impugne la certificación de la cámara de comercio de acuerdo con lo previsto en el artículo 6.3 de la Ley 1150 de 2007. Para ello, conforme a las particularidades de cada caso concreto, regirá el principio de libertad probatoria, con excepción de aquellos aspectos sujetos a tarifa legal por norma expresa.</w:t>
      </w:r>
    </w:p>
    <w:p w14:paraId="224EBA49" w14:textId="77777777" w:rsidR="001500F3" w:rsidRPr="00F47E5E" w:rsidRDefault="001500F3" w:rsidP="001500F3">
      <w:pPr>
        <w:spacing w:after="0" w:line="240" w:lineRule="auto"/>
        <w:contextualSpacing/>
        <w:jc w:val="both"/>
        <w:rPr>
          <w:sz w:val="20"/>
          <w:szCs w:val="20"/>
        </w:rPr>
      </w:pPr>
    </w:p>
    <w:p w14:paraId="414D4D13" w14:textId="5FE0BB86" w:rsidR="001500F3" w:rsidRPr="00F47E5E" w:rsidRDefault="001500F3" w:rsidP="001500F3">
      <w:pPr>
        <w:spacing w:after="0" w:line="240" w:lineRule="auto"/>
        <w:contextualSpacing/>
        <w:jc w:val="both"/>
        <w:rPr>
          <w:rFonts w:ascii="Arial" w:eastAsia="Arial" w:hAnsi="Arial" w:cs="Arial"/>
          <w:b/>
          <w:bCs/>
          <w:lang w:val="es-ES" w:eastAsia="es-ES" w:bidi="es-ES"/>
        </w:rPr>
      </w:pPr>
      <w:r w:rsidRPr="00F47E5E">
        <w:rPr>
          <w:rFonts w:ascii="Arial" w:eastAsia="Arial" w:hAnsi="Arial" w:cs="Arial"/>
          <w:b/>
          <w:bCs/>
          <w:lang w:val="es-ES" w:eastAsia="es-ES" w:bidi="es-ES"/>
        </w:rPr>
        <w:t xml:space="preserve">RUP </w:t>
      </w:r>
      <w:r w:rsidR="00C95005">
        <w:rPr>
          <w:rFonts w:ascii="Arial" w:eastAsia="Arial" w:hAnsi="Arial" w:cs="Arial"/>
          <w:b/>
          <w:bCs/>
          <w:lang w:val="es-ES" w:eastAsia="es-ES" w:bidi="es-ES"/>
        </w:rPr>
        <w:t>–</w:t>
      </w:r>
      <w:r w:rsidRPr="00F47E5E">
        <w:rPr>
          <w:rFonts w:ascii="Arial" w:eastAsia="Arial" w:hAnsi="Arial" w:cs="Arial"/>
          <w:b/>
          <w:bCs/>
          <w:lang w:val="es-ES" w:eastAsia="es-ES" w:bidi="es-ES"/>
        </w:rPr>
        <w:t xml:space="preserve"> </w:t>
      </w:r>
      <w:r w:rsidRPr="00D56F57">
        <w:rPr>
          <w:rFonts w:ascii="Arial" w:eastAsia="Arial" w:hAnsi="Arial" w:cs="Arial"/>
          <w:b/>
          <w:bCs/>
          <w:lang w:val="es-ES" w:eastAsia="es-ES" w:bidi="es-ES"/>
        </w:rPr>
        <w:t>Reporte</w:t>
      </w:r>
      <w:r w:rsidR="00C95005">
        <w:rPr>
          <w:rFonts w:ascii="Arial" w:eastAsia="Arial" w:hAnsi="Arial" w:cs="Arial"/>
          <w:b/>
          <w:bCs/>
          <w:lang w:val="es-ES" w:eastAsia="es-ES" w:bidi="es-ES"/>
        </w:rPr>
        <w:t xml:space="preserve"> -</w:t>
      </w:r>
      <w:r w:rsidRPr="00D56F57">
        <w:rPr>
          <w:rFonts w:ascii="Arial" w:eastAsia="Arial" w:hAnsi="Arial" w:cs="Arial"/>
          <w:b/>
          <w:bCs/>
          <w:lang w:val="es-ES" w:eastAsia="es-ES" w:bidi="es-ES"/>
        </w:rPr>
        <w:t xml:space="preserve"> </w:t>
      </w:r>
      <w:r w:rsidR="00C95005">
        <w:rPr>
          <w:rFonts w:ascii="Arial" w:eastAsia="Arial" w:hAnsi="Arial" w:cs="Arial"/>
          <w:b/>
          <w:bCs/>
          <w:lang w:val="es-ES" w:eastAsia="es-ES" w:bidi="es-ES"/>
        </w:rPr>
        <w:t>R</w:t>
      </w:r>
      <w:r w:rsidRPr="00D56F57">
        <w:rPr>
          <w:rFonts w:ascii="Arial" w:eastAsia="Arial" w:hAnsi="Arial" w:cs="Arial"/>
          <w:b/>
          <w:bCs/>
          <w:lang w:val="es-ES" w:eastAsia="es-ES" w:bidi="es-ES"/>
        </w:rPr>
        <w:t>egistro y publicación de</w:t>
      </w:r>
      <w:r w:rsidRPr="00F47E5E">
        <w:rPr>
          <w:rFonts w:ascii="Arial" w:eastAsia="Arial" w:hAnsi="Arial" w:cs="Arial"/>
          <w:b/>
          <w:bCs/>
          <w:lang w:val="es-ES" w:eastAsia="es-ES" w:bidi="es-ES"/>
        </w:rPr>
        <w:t xml:space="preserve"> multas</w:t>
      </w:r>
      <w:r w:rsidR="00C95005">
        <w:rPr>
          <w:rFonts w:ascii="Arial" w:eastAsia="Arial" w:hAnsi="Arial" w:cs="Arial"/>
          <w:b/>
          <w:bCs/>
          <w:lang w:val="es-ES" w:eastAsia="es-ES" w:bidi="es-ES"/>
        </w:rPr>
        <w:t xml:space="preserve"> - </w:t>
      </w:r>
      <w:r w:rsidR="00C95005" w:rsidRPr="00D56F57">
        <w:rPr>
          <w:rFonts w:ascii="Arial" w:eastAsia="Arial" w:hAnsi="Arial" w:cs="Arial"/>
          <w:b/>
          <w:bCs/>
          <w:lang w:val="es-ES" w:eastAsia="es-ES" w:bidi="es-ES"/>
        </w:rPr>
        <w:t>Sanciones</w:t>
      </w:r>
      <w:r w:rsidRPr="00D56F57">
        <w:rPr>
          <w:rFonts w:ascii="Arial" w:eastAsia="Arial" w:hAnsi="Arial" w:cs="Arial"/>
          <w:b/>
          <w:bCs/>
          <w:lang w:val="es-ES" w:eastAsia="es-ES" w:bidi="es-ES"/>
        </w:rPr>
        <w:t xml:space="preserve"> </w:t>
      </w:r>
      <w:r w:rsidRPr="00F47E5E">
        <w:rPr>
          <w:rFonts w:ascii="Arial" w:eastAsia="Arial" w:hAnsi="Arial" w:cs="Arial"/>
          <w:b/>
          <w:bCs/>
          <w:lang w:val="es-ES" w:eastAsia="es-ES" w:bidi="es-ES"/>
        </w:rPr>
        <w:t>y</w:t>
      </w:r>
      <w:r w:rsidRPr="00D56F57">
        <w:rPr>
          <w:rFonts w:ascii="Arial" w:eastAsia="Arial" w:hAnsi="Arial" w:cs="Arial"/>
          <w:b/>
          <w:bCs/>
          <w:lang w:val="es-ES" w:eastAsia="es-ES" w:bidi="es-ES"/>
        </w:rPr>
        <w:t xml:space="preserve"> cláusula penal pecuniaria </w:t>
      </w:r>
    </w:p>
    <w:p w14:paraId="4D92A17A" w14:textId="77777777" w:rsidR="001500F3" w:rsidRPr="00F47E5E" w:rsidRDefault="001500F3" w:rsidP="001500F3">
      <w:pPr>
        <w:spacing w:after="0" w:line="240" w:lineRule="auto"/>
        <w:contextualSpacing/>
        <w:jc w:val="both"/>
        <w:rPr>
          <w:rFonts w:ascii="Arial" w:eastAsia="Arial" w:hAnsi="Arial" w:cs="Arial"/>
          <w:b/>
          <w:bCs/>
          <w:sz w:val="20"/>
          <w:szCs w:val="20"/>
          <w:lang w:val="es-ES" w:eastAsia="es-ES" w:bidi="es-ES"/>
        </w:rPr>
      </w:pPr>
    </w:p>
    <w:p w14:paraId="0D499B6B" w14:textId="77777777" w:rsidR="001500F3" w:rsidRPr="00F47E5E" w:rsidRDefault="001500F3" w:rsidP="001500F3">
      <w:pPr>
        <w:spacing w:after="0" w:line="240" w:lineRule="auto"/>
        <w:contextualSpacing/>
        <w:jc w:val="both"/>
        <w:rPr>
          <w:sz w:val="20"/>
          <w:szCs w:val="20"/>
        </w:rPr>
      </w:pPr>
      <w:r w:rsidRPr="00D56F57">
        <w:rPr>
          <w:rFonts w:ascii="Arial" w:eastAsia="Calibri" w:hAnsi="Arial" w:cs="Arial"/>
          <w:sz w:val="20"/>
          <w:szCs w:val="20"/>
          <w:lang w:val="es-MX"/>
        </w:rPr>
        <w:t>El artículo 6.2 de la Ley 1150 de 2007 obliga a las entidades públicas a reportar a la Cámara de Comercio correspondiente la información sobre contratos, multas y sanciones.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w:t>
      </w:r>
      <w:r w:rsidRPr="00F47E5E">
        <w:rPr>
          <w:rFonts w:ascii="Arial" w:eastAsia="Calibri" w:hAnsi="Arial" w:cs="Arial"/>
          <w:sz w:val="20"/>
          <w:szCs w:val="20"/>
          <w:lang w:val="es-MX"/>
        </w:rPr>
        <w:t xml:space="preserve">. </w:t>
      </w:r>
    </w:p>
    <w:p w14:paraId="00E2BBEB" w14:textId="12D8B544" w:rsidR="001500F3" w:rsidRDefault="001500F3">
      <w:pPr>
        <w:rPr>
          <w:rFonts w:ascii="Arial" w:eastAsia="Calibri" w:hAnsi="Arial" w:cs="Arial"/>
          <w:color w:val="FF0000"/>
          <w:lang w:val="es-ES_tradnl" w:eastAsia="es-MX"/>
        </w:rPr>
      </w:pPr>
      <w:r>
        <w:rPr>
          <w:rFonts w:ascii="Arial" w:eastAsia="Calibri" w:hAnsi="Arial" w:cs="Arial"/>
          <w:color w:val="FF0000"/>
          <w:lang w:val="es-ES_tradnl" w:eastAsia="es-MX"/>
        </w:rPr>
        <w:br w:type="page"/>
      </w:r>
    </w:p>
    <w:p w14:paraId="25ED0676" w14:textId="77777777" w:rsidR="005F2C99" w:rsidRPr="005F2C99" w:rsidRDefault="005F2C99" w:rsidP="005F2C99">
      <w:pPr>
        <w:spacing w:after="0" w:line="276" w:lineRule="auto"/>
        <w:jc w:val="right"/>
        <w:rPr>
          <w:rFonts w:ascii="Arial" w:eastAsia="Times New Roman" w:hAnsi="Arial" w:cs="Arial"/>
          <w:b/>
          <w:bCs/>
          <w:sz w:val="16"/>
          <w:szCs w:val="16"/>
          <w:lang w:eastAsia="es-ES"/>
        </w:rPr>
      </w:pPr>
      <w:r w:rsidRPr="005F2C99">
        <w:rPr>
          <w:rFonts w:ascii="Arial" w:eastAsia="Times New Roman" w:hAnsi="Arial" w:cs="Arial"/>
          <w:b/>
          <w:bCs/>
          <w:sz w:val="16"/>
          <w:szCs w:val="16"/>
          <w:lang w:eastAsia="es-ES"/>
        </w:rPr>
        <w:lastRenderedPageBreak/>
        <w:t>CCE-DES-FM-17</w:t>
      </w:r>
    </w:p>
    <w:p w14:paraId="111DAE78" w14:textId="6444BAC2" w:rsidR="005F2C99" w:rsidRPr="005F2C99" w:rsidRDefault="005F2C99" w:rsidP="005F2C99">
      <w:pPr>
        <w:spacing w:after="0" w:line="276" w:lineRule="auto"/>
        <w:jc w:val="right"/>
        <w:rPr>
          <w:rFonts w:ascii="Arial" w:eastAsia="Times New Roman" w:hAnsi="Arial" w:cs="Arial"/>
          <w:b/>
          <w:bCs/>
          <w:sz w:val="16"/>
          <w:szCs w:val="16"/>
          <w:lang w:eastAsia="es-ES"/>
        </w:rPr>
      </w:pPr>
    </w:p>
    <w:p w14:paraId="228A0D85" w14:textId="2432E54C" w:rsidR="004B5310" w:rsidRPr="008C065A" w:rsidRDefault="008C065A" w:rsidP="008C065A">
      <w:pPr>
        <w:spacing w:after="0" w:line="276" w:lineRule="auto"/>
        <w:jc w:val="right"/>
        <w:rPr>
          <w:rFonts w:ascii="Arial" w:eastAsia="Calibri" w:hAnsi="Arial" w:cs="Arial"/>
          <w:b/>
          <w:bCs/>
        </w:rPr>
      </w:pPr>
      <w:r w:rsidRPr="008C065A">
        <w:rPr>
          <w:rFonts w:ascii="Arial" w:eastAsia="Calibri" w:hAnsi="Arial" w:cs="Arial"/>
          <w:b/>
          <w:bCs/>
          <w:noProof/>
        </w:rPr>
        <w:drawing>
          <wp:inline distT="0" distB="0" distL="0" distR="0" wp14:anchorId="115F34A2" wp14:editId="3853B579">
            <wp:extent cx="3122840" cy="654042"/>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1455" cy="657941"/>
                    </a:xfrm>
                    <a:prstGeom prst="rect">
                      <a:avLst/>
                    </a:prstGeom>
                  </pic:spPr>
                </pic:pic>
              </a:graphicData>
            </a:graphic>
          </wp:inline>
        </w:drawing>
      </w:r>
    </w:p>
    <w:p w14:paraId="2568C8E7" w14:textId="27BBBC01" w:rsidR="008C065A" w:rsidRDefault="008C065A" w:rsidP="005F2C99">
      <w:pPr>
        <w:tabs>
          <w:tab w:val="left" w:pos="3374"/>
        </w:tabs>
        <w:spacing w:after="0" w:line="240" w:lineRule="auto"/>
        <w:contextualSpacing/>
        <w:jc w:val="right"/>
        <w:rPr>
          <w:rFonts w:ascii="Arial" w:eastAsia="Calibri" w:hAnsi="Arial" w:cs="Arial"/>
          <w:lang w:val="es-MX"/>
        </w:rPr>
      </w:pPr>
      <w:r w:rsidRPr="008C065A">
        <w:rPr>
          <w:rFonts w:ascii="Arial" w:eastAsia="Calibri" w:hAnsi="Arial" w:cs="Arial"/>
          <w:noProof/>
          <w:lang w:val="es-MX"/>
        </w:rPr>
        <w:drawing>
          <wp:inline distT="0" distB="0" distL="0" distR="0" wp14:anchorId="68284A1A" wp14:editId="7B92DA31">
            <wp:extent cx="3098077" cy="846924"/>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9079" cy="849932"/>
                    </a:xfrm>
                    <a:prstGeom prst="rect">
                      <a:avLst/>
                    </a:prstGeom>
                  </pic:spPr>
                </pic:pic>
              </a:graphicData>
            </a:graphic>
          </wp:inline>
        </w:drawing>
      </w:r>
    </w:p>
    <w:p w14:paraId="74E341FD" w14:textId="3E8E1307" w:rsidR="008C065A" w:rsidRDefault="008C065A" w:rsidP="005F2C99">
      <w:pPr>
        <w:tabs>
          <w:tab w:val="left" w:pos="3374"/>
        </w:tabs>
        <w:spacing w:after="0" w:line="240" w:lineRule="auto"/>
        <w:contextualSpacing/>
        <w:jc w:val="right"/>
        <w:rPr>
          <w:rFonts w:ascii="Arial" w:eastAsia="Calibri" w:hAnsi="Arial" w:cs="Arial"/>
          <w:lang w:val="es-MX"/>
        </w:rPr>
      </w:pPr>
    </w:p>
    <w:p w14:paraId="6B7CB840" w14:textId="77777777" w:rsidR="00711392" w:rsidRDefault="00711392" w:rsidP="005F2C99">
      <w:pPr>
        <w:tabs>
          <w:tab w:val="left" w:pos="3374"/>
        </w:tabs>
        <w:spacing w:after="0" w:line="240" w:lineRule="auto"/>
        <w:contextualSpacing/>
        <w:jc w:val="right"/>
        <w:rPr>
          <w:rFonts w:ascii="Arial" w:eastAsia="Calibri" w:hAnsi="Arial" w:cs="Arial"/>
          <w:lang w:val="es-MX"/>
        </w:rPr>
      </w:pPr>
    </w:p>
    <w:p w14:paraId="6260F95A" w14:textId="3FF3A832" w:rsidR="00711392" w:rsidRDefault="00711392" w:rsidP="000031FA">
      <w:pPr>
        <w:spacing w:after="0" w:line="240" w:lineRule="auto"/>
        <w:contextualSpacing/>
        <w:jc w:val="both"/>
        <w:rPr>
          <w:rFonts w:ascii="Arial" w:eastAsia="Calibri" w:hAnsi="Arial" w:cs="Arial"/>
          <w:lang w:val="es-MX"/>
        </w:rPr>
      </w:pPr>
      <w:bookmarkStart w:id="0" w:name="_Hlk96417464"/>
      <w:bookmarkStart w:id="1" w:name="_Hlk98867631"/>
      <w:bookmarkStart w:id="2" w:name="_Hlk99546921"/>
    </w:p>
    <w:p w14:paraId="01886FD1" w14:textId="428F3783" w:rsidR="00711392" w:rsidRDefault="00711392" w:rsidP="000031FA">
      <w:pPr>
        <w:spacing w:after="0" w:line="240" w:lineRule="auto"/>
        <w:contextualSpacing/>
        <w:jc w:val="both"/>
        <w:rPr>
          <w:rFonts w:ascii="Arial" w:eastAsia="Calibri" w:hAnsi="Arial" w:cs="Arial"/>
        </w:rPr>
      </w:pPr>
      <w:r>
        <w:rPr>
          <w:rFonts w:ascii="Arial" w:eastAsia="Calibri" w:hAnsi="Arial" w:cs="Arial"/>
          <w:lang w:val="es-MX"/>
        </w:rPr>
        <w:t>Bogotá D.C., 19 de mayo de 2022</w:t>
      </w:r>
    </w:p>
    <w:p w14:paraId="792FE6BF" w14:textId="77777777" w:rsidR="00711392" w:rsidRDefault="00711392" w:rsidP="000031FA">
      <w:pPr>
        <w:spacing w:after="0" w:line="240" w:lineRule="auto"/>
        <w:contextualSpacing/>
        <w:jc w:val="both"/>
        <w:rPr>
          <w:rFonts w:ascii="Arial" w:eastAsia="Calibri" w:hAnsi="Arial" w:cs="Arial"/>
        </w:rPr>
      </w:pPr>
    </w:p>
    <w:p w14:paraId="5E1CC0E0" w14:textId="011A2097" w:rsidR="005F2C99" w:rsidRPr="00751D36" w:rsidRDefault="005F2C99" w:rsidP="000031FA">
      <w:pPr>
        <w:spacing w:after="0" w:line="240" w:lineRule="auto"/>
        <w:contextualSpacing/>
        <w:jc w:val="both"/>
        <w:rPr>
          <w:rFonts w:ascii="Arial" w:eastAsia="Calibri" w:hAnsi="Arial" w:cs="Arial"/>
        </w:rPr>
      </w:pPr>
      <w:r w:rsidRPr="00751D36">
        <w:rPr>
          <w:rFonts w:ascii="Arial" w:eastAsia="Calibri" w:hAnsi="Arial" w:cs="Arial"/>
        </w:rPr>
        <w:t>Señor</w:t>
      </w:r>
    </w:p>
    <w:p w14:paraId="102046DE" w14:textId="6179E054" w:rsidR="005F2C99" w:rsidRPr="00751D36" w:rsidRDefault="005F2C99" w:rsidP="000031FA">
      <w:pPr>
        <w:spacing w:after="0" w:line="240" w:lineRule="auto"/>
        <w:contextualSpacing/>
        <w:jc w:val="both"/>
        <w:rPr>
          <w:rFonts w:ascii="Arial" w:eastAsia="Calibri" w:hAnsi="Arial" w:cs="Arial"/>
          <w:b/>
          <w:bCs/>
        </w:rPr>
      </w:pPr>
      <w:r w:rsidRPr="00751D36">
        <w:rPr>
          <w:rFonts w:ascii="Arial" w:eastAsia="Calibri" w:hAnsi="Arial" w:cs="Arial"/>
          <w:b/>
          <w:bCs/>
        </w:rPr>
        <w:t>Jorge Alejandro García Pérez</w:t>
      </w:r>
    </w:p>
    <w:p w14:paraId="414B5EEE" w14:textId="77777777" w:rsidR="005F2C99" w:rsidRPr="00751D36" w:rsidRDefault="005F2C99" w:rsidP="000031FA">
      <w:pPr>
        <w:spacing w:after="0" w:line="240" w:lineRule="auto"/>
        <w:contextualSpacing/>
        <w:jc w:val="both"/>
        <w:rPr>
          <w:rFonts w:ascii="Arial" w:eastAsia="Calibri" w:hAnsi="Arial" w:cs="Arial"/>
        </w:rPr>
      </w:pPr>
      <w:r w:rsidRPr="00751D36">
        <w:rPr>
          <w:rFonts w:ascii="Arial" w:eastAsia="Calibri" w:hAnsi="Arial" w:cs="Arial"/>
        </w:rPr>
        <w:t>Bogotá D.C.</w:t>
      </w:r>
    </w:p>
    <w:p w14:paraId="3BE5A67F" w14:textId="77777777" w:rsidR="005F2C99" w:rsidRPr="00751D36" w:rsidRDefault="005F2C99" w:rsidP="000031FA">
      <w:pPr>
        <w:spacing w:after="0" w:line="240" w:lineRule="auto"/>
        <w:contextualSpacing/>
        <w:jc w:val="both"/>
        <w:rPr>
          <w:rFonts w:ascii="Arial" w:eastAsia="Calibri" w:hAnsi="Arial" w:cs="Arial"/>
        </w:rPr>
      </w:pPr>
    </w:p>
    <w:p w14:paraId="743126C2" w14:textId="1053A00A" w:rsidR="005F2C99" w:rsidRPr="00751D36" w:rsidRDefault="005F2C99" w:rsidP="000031FA">
      <w:pPr>
        <w:spacing w:after="0" w:line="240" w:lineRule="auto"/>
        <w:contextualSpacing/>
        <w:jc w:val="both"/>
        <w:rPr>
          <w:rFonts w:ascii="Arial" w:eastAsia="Calibri" w:hAnsi="Arial" w:cs="Arial"/>
        </w:rPr>
      </w:pPr>
      <w:r w:rsidRPr="00751D36">
        <w:rPr>
          <w:rFonts w:ascii="Arial" w:eastAsia="Calibri" w:hAnsi="Arial" w:cs="Arial"/>
        </w:rPr>
        <w:t xml:space="preserve">                                            </w:t>
      </w:r>
      <w:r w:rsidRPr="00751D36">
        <w:rPr>
          <w:rFonts w:ascii="Arial" w:eastAsia="Calibri" w:hAnsi="Arial" w:cs="Arial"/>
          <w:b/>
        </w:rPr>
        <w:t>Concepto C-324 de 2022</w:t>
      </w:r>
      <w:r w:rsidRPr="00751D36">
        <w:rPr>
          <w:rFonts w:ascii="Arial" w:eastAsia="Calibri" w:hAnsi="Arial" w:cs="Arial"/>
        </w:rPr>
        <w:t xml:space="preserve"> </w:t>
      </w:r>
    </w:p>
    <w:p w14:paraId="1CA8CB67" w14:textId="77777777" w:rsidR="005F2C99" w:rsidRPr="00751D36" w:rsidRDefault="005F2C99" w:rsidP="000031FA">
      <w:pPr>
        <w:spacing w:after="0" w:line="240"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31FA" w:rsidRPr="00751D36" w14:paraId="04265C09" w14:textId="77777777" w:rsidTr="00970536">
        <w:trPr>
          <w:trHeight w:val="485"/>
        </w:trPr>
        <w:tc>
          <w:tcPr>
            <w:tcW w:w="2689" w:type="dxa"/>
            <w:hideMark/>
          </w:tcPr>
          <w:p w14:paraId="128FE9B0" w14:textId="77777777" w:rsidR="005F2C99" w:rsidRPr="00751D36" w:rsidRDefault="005F2C99" w:rsidP="000031FA">
            <w:pPr>
              <w:contextualSpacing/>
              <w:rPr>
                <w:rFonts w:ascii="Arial" w:eastAsia="Calibri" w:hAnsi="Arial" w:cs="Arial"/>
                <w:noProof/>
                <w:highlight w:val="yellow"/>
                <w:lang w:val="es-ES_tradnl"/>
              </w:rPr>
            </w:pPr>
            <w:r w:rsidRPr="00751D36">
              <w:rPr>
                <w:rFonts w:ascii="Arial" w:eastAsia="Calibri" w:hAnsi="Arial" w:cs="Arial"/>
                <w:b/>
                <w:noProof/>
                <w:lang w:val="es-ES_tradnl"/>
              </w:rPr>
              <w:t>Temas:</w:t>
            </w:r>
            <w:r w:rsidRPr="00751D36">
              <w:rPr>
                <w:rFonts w:ascii="Arial" w:eastAsia="Calibri" w:hAnsi="Arial" w:cs="Arial"/>
                <w:noProof/>
                <w:lang w:val="es-ES_tradnl"/>
              </w:rPr>
              <w:t xml:space="preserve">        </w:t>
            </w:r>
          </w:p>
        </w:tc>
        <w:tc>
          <w:tcPr>
            <w:tcW w:w="6237" w:type="dxa"/>
            <w:hideMark/>
          </w:tcPr>
          <w:p w14:paraId="5907F557" w14:textId="77777777" w:rsidR="003D3689" w:rsidRPr="003D3689" w:rsidRDefault="000C4AB4" w:rsidP="003D3689">
            <w:pPr>
              <w:contextualSpacing/>
              <w:jc w:val="both"/>
              <w:rPr>
                <w:rFonts w:ascii="Arial" w:eastAsia="Arial" w:hAnsi="Arial" w:cs="Arial"/>
                <w:lang w:val="es-ES" w:eastAsia="es-ES" w:bidi="es-ES"/>
              </w:rPr>
            </w:pPr>
            <w:r w:rsidRPr="003D3689">
              <w:rPr>
                <w:rFonts w:ascii="Arial" w:eastAsia="Times New Roman" w:hAnsi="Arial" w:cs="Arial"/>
                <w:color w:val="000000"/>
                <w:lang w:val="es-ES_tradnl" w:eastAsia="es-ES_tradnl"/>
              </w:rPr>
              <w:t xml:space="preserve">REGISTRO ÚNICO DE PROPONENTES </w:t>
            </w:r>
            <w:r w:rsidRPr="0066787D">
              <w:rPr>
                <w:rFonts w:ascii="Arial" w:eastAsia="Times New Roman" w:hAnsi="Arial" w:cs="Arial"/>
                <w:color w:val="000000"/>
                <w:lang w:val="es-ES_tradnl" w:eastAsia="es-ES_tradnl"/>
              </w:rPr>
              <w:t>–</w:t>
            </w:r>
            <w:r w:rsidRPr="003D3689">
              <w:rPr>
                <w:rFonts w:ascii="Arial" w:eastAsia="Times New Roman" w:hAnsi="Arial" w:cs="Arial"/>
                <w:color w:val="000000"/>
                <w:lang w:val="es-ES_tradnl" w:eastAsia="es-ES_tradnl"/>
              </w:rPr>
              <w:t xml:space="preserve"> </w:t>
            </w:r>
            <w:r w:rsidRPr="0066787D">
              <w:rPr>
                <w:rFonts w:ascii="Arial" w:eastAsia="Times New Roman" w:hAnsi="Arial" w:cs="Arial"/>
                <w:color w:val="000000"/>
                <w:lang w:val="es-ES_tradnl" w:eastAsia="es-ES_tradnl"/>
              </w:rPr>
              <w:t>RUP– Concepto</w:t>
            </w:r>
            <w:r w:rsidRPr="003D3689">
              <w:rPr>
                <w:rFonts w:ascii="Arial" w:eastAsia="Times New Roman" w:hAnsi="Arial" w:cs="Arial"/>
                <w:color w:val="000000"/>
                <w:lang w:val="es-ES_tradnl" w:eastAsia="es-ES_tradnl"/>
              </w:rPr>
              <w:t xml:space="preserve"> / </w:t>
            </w:r>
            <w:r w:rsidR="00433451" w:rsidRPr="0066787D">
              <w:rPr>
                <w:rFonts w:ascii="Arial" w:eastAsia="Times New Roman" w:hAnsi="Arial" w:cs="Arial"/>
                <w:color w:val="000000"/>
                <w:lang w:val="es-ES_tradnl" w:eastAsia="es-ES_tradnl"/>
              </w:rPr>
              <w:t xml:space="preserve">RUP– </w:t>
            </w:r>
            <w:r w:rsidR="00433451" w:rsidRPr="003D3689">
              <w:rPr>
                <w:rFonts w:ascii="Arial" w:eastAsia="Times New Roman" w:hAnsi="Arial" w:cs="Arial"/>
                <w:color w:val="000000"/>
                <w:lang w:val="es-ES_tradnl" w:eastAsia="es-ES_tradnl"/>
              </w:rPr>
              <w:t>Sujetos obligados /</w:t>
            </w:r>
            <w:r w:rsidR="00936CBC" w:rsidRPr="003D3689">
              <w:rPr>
                <w:rFonts w:ascii="Arial" w:eastAsia="Times New Roman" w:hAnsi="Arial" w:cs="Arial"/>
                <w:color w:val="000000"/>
                <w:lang w:val="es-ES_tradnl" w:eastAsia="es-ES_tradnl"/>
              </w:rPr>
              <w:t xml:space="preserve"> </w:t>
            </w:r>
            <w:r w:rsidR="00936CBC" w:rsidRPr="000E6BB8">
              <w:rPr>
                <w:rFonts w:ascii="Arial" w:eastAsia="Times New Roman" w:hAnsi="Arial" w:cs="Arial"/>
                <w:lang w:val="es-MX" w:eastAsia="es-CO"/>
              </w:rPr>
              <w:t>EXPERIENCIA – Noción ‒ Colombia Compra Eficiente</w:t>
            </w:r>
            <w:r w:rsidR="00936CBC" w:rsidRPr="003D3689">
              <w:rPr>
                <w:rFonts w:ascii="Arial" w:eastAsia="Times New Roman" w:hAnsi="Arial" w:cs="Arial"/>
                <w:lang w:val="es-MX" w:eastAsia="es-CO"/>
              </w:rPr>
              <w:t xml:space="preserve"> / </w:t>
            </w:r>
            <w:r w:rsidR="00DE140E" w:rsidRPr="000E6BB8">
              <w:rPr>
                <w:rFonts w:ascii="Arial" w:eastAsia="Times New Roman" w:hAnsi="Arial" w:cs="Arial"/>
                <w:lang w:val="es-MX" w:eastAsia="es-CO"/>
              </w:rPr>
              <w:t>SOCIEDADES NUEVAS ‒ Experiencia ‒ Inferior a tres años ‒ Requisitos habilitantes ‒ Desarrollo de la empresa</w:t>
            </w:r>
            <w:r w:rsidR="00DE140E" w:rsidRPr="003D3689">
              <w:rPr>
                <w:rFonts w:ascii="Arial" w:eastAsia="Times New Roman" w:hAnsi="Arial" w:cs="Arial"/>
                <w:lang w:val="es-MX" w:eastAsia="es-CO"/>
              </w:rPr>
              <w:t xml:space="preserve"> / </w:t>
            </w:r>
            <w:r w:rsidR="00867DDC" w:rsidRPr="000E6BB8">
              <w:rPr>
                <w:rFonts w:ascii="Arial" w:eastAsia="Times New Roman" w:hAnsi="Arial" w:cs="Arial"/>
                <w:lang w:val="es-MX" w:eastAsia="es-CO"/>
              </w:rPr>
              <w:t>EXPERIENCIA ‒ Conservación ‒ Renovación RUP ‒ Cesación efectos RUP</w:t>
            </w:r>
            <w:r w:rsidR="00867DDC" w:rsidRPr="003D3689">
              <w:rPr>
                <w:rFonts w:ascii="Arial" w:eastAsia="Times New Roman" w:hAnsi="Arial" w:cs="Arial"/>
                <w:lang w:val="es-MX" w:eastAsia="es-CO"/>
              </w:rPr>
              <w:t xml:space="preserve"> / </w:t>
            </w:r>
            <w:r w:rsidR="00B4402A" w:rsidRPr="000E6BB8">
              <w:rPr>
                <w:rFonts w:ascii="Arial" w:eastAsia="Times New Roman" w:hAnsi="Arial" w:cs="Arial"/>
                <w:lang w:val="es-MX" w:eastAsia="es-CO"/>
              </w:rPr>
              <w:t>EXPERIENCIA – Conservación – Sociedades – Menor a 3 años de constitución</w:t>
            </w:r>
            <w:r w:rsidR="00B4402A" w:rsidRPr="003D3689">
              <w:rPr>
                <w:rFonts w:ascii="Arial" w:eastAsia="Times New Roman" w:hAnsi="Arial" w:cs="Arial"/>
                <w:lang w:val="es-MX" w:eastAsia="es-CO"/>
              </w:rPr>
              <w:t xml:space="preserve"> / </w:t>
            </w:r>
            <w:r w:rsidR="00A164A5" w:rsidRPr="000E6BB8">
              <w:rPr>
                <w:rFonts w:ascii="Arial" w:eastAsia="Calibri" w:hAnsi="Arial" w:cs="Arial"/>
                <w:color w:val="000000"/>
                <w:lang w:val="es-MX"/>
              </w:rPr>
              <w:t xml:space="preserve">EXPERIENCIA – Deber de verificación del RUP </w:t>
            </w:r>
            <w:r w:rsidR="00A164A5" w:rsidRPr="000E6BB8">
              <w:rPr>
                <w:rFonts w:ascii="Arial" w:eastAsia="Times New Roman" w:hAnsi="Arial" w:cs="Arial"/>
                <w:lang w:val="es-MX" w:eastAsia="es-ES_tradnl"/>
              </w:rPr>
              <w:t xml:space="preserve">− </w:t>
            </w:r>
            <w:r w:rsidR="00A164A5" w:rsidRPr="000E6BB8">
              <w:rPr>
                <w:rFonts w:ascii="Arial" w:eastAsia="Calibri" w:hAnsi="Arial" w:cs="Arial"/>
                <w:color w:val="000000"/>
                <w:lang w:val="es-MX"/>
              </w:rPr>
              <w:t xml:space="preserve">Cámara de Comercio – RUP </w:t>
            </w:r>
            <w:r w:rsidR="00A164A5" w:rsidRPr="000E6BB8">
              <w:rPr>
                <w:rFonts w:ascii="Arial" w:eastAsia="Times New Roman" w:hAnsi="Arial" w:cs="Arial"/>
                <w:lang w:val="es-MX" w:eastAsia="es-ES_tradnl"/>
              </w:rPr>
              <w:t>−</w:t>
            </w:r>
            <w:r w:rsidR="00A164A5" w:rsidRPr="000E6BB8">
              <w:rPr>
                <w:rFonts w:ascii="Arial" w:eastAsia="Calibri" w:hAnsi="Arial" w:cs="Arial"/>
                <w:color w:val="000000"/>
                <w:lang w:val="es-MX"/>
              </w:rPr>
              <w:t xml:space="preserve"> Plena prueba </w:t>
            </w:r>
            <w:r w:rsidR="00A164A5" w:rsidRPr="003D3689">
              <w:rPr>
                <w:rFonts w:ascii="Arial" w:eastAsia="Calibri" w:hAnsi="Arial" w:cs="Arial"/>
                <w:color w:val="000000"/>
                <w:lang w:val="es-MX"/>
              </w:rPr>
              <w:t xml:space="preserve">/ </w:t>
            </w:r>
            <w:r w:rsidR="003D3689" w:rsidRPr="003D3689">
              <w:rPr>
                <w:rFonts w:ascii="Arial" w:eastAsia="Arial" w:hAnsi="Arial" w:cs="Arial"/>
                <w:lang w:val="es-ES" w:eastAsia="es-ES" w:bidi="es-ES"/>
              </w:rPr>
              <w:t xml:space="preserve">RUP - </w:t>
            </w:r>
            <w:r w:rsidR="003D3689" w:rsidRPr="00D56F57">
              <w:rPr>
                <w:rFonts w:ascii="Arial" w:eastAsia="Arial" w:hAnsi="Arial" w:cs="Arial"/>
                <w:lang w:val="es-ES" w:eastAsia="es-ES" w:bidi="es-ES"/>
              </w:rPr>
              <w:t>Reporte, registro y publicación de</w:t>
            </w:r>
            <w:r w:rsidR="003D3689" w:rsidRPr="003D3689">
              <w:rPr>
                <w:rFonts w:ascii="Arial" w:eastAsia="Arial" w:hAnsi="Arial" w:cs="Arial"/>
                <w:lang w:val="es-ES" w:eastAsia="es-ES" w:bidi="es-ES"/>
              </w:rPr>
              <w:t xml:space="preserve"> multas,</w:t>
            </w:r>
            <w:r w:rsidR="003D3689" w:rsidRPr="00D56F57">
              <w:rPr>
                <w:rFonts w:ascii="Arial" w:eastAsia="Arial" w:hAnsi="Arial" w:cs="Arial"/>
                <w:lang w:val="es-ES" w:eastAsia="es-ES" w:bidi="es-ES"/>
              </w:rPr>
              <w:t xml:space="preserve"> sanciones </w:t>
            </w:r>
            <w:r w:rsidR="003D3689" w:rsidRPr="003D3689">
              <w:rPr>
                <w:rFonts w:ascii="Arial" w:eastAsia="Arial" w:hAnsi="Arial" w:cs="Arial"/>
                <w:lang w:val="es-ES" w:eastAsia="es-ES" w:bidi="es-ES"/>
              </w:rPr>
              <w:t>y</w:t>
            </w:r>
            <w:r w:rsidR="003D3689" w:rsidRPr="00D56F57">
              <w:rPr>
                <w:rFonts w:ascii="Arial" w:eastAsia="Arial" w:hAnsi="Arial" w:cs="Arial"/>
                <w:lang w:val="es-ES" w:eastAsia="es-ES" w:bidi="es-ES"/>
              </w:rPr>
              <w:t xml:space="preserve"> cláusula penal pecuniaria </w:t>
            </w:r>
          </w:p>
          <w:p w14:paraId="7208FF4D" w14:textId="77777777" w:rsidR="005F2C99" w:rsidRPr="00751D36" w:rsidRDefault="005F2C99" w:rsidP="000031FA">
            <w:pPr>
              <w:contextualSpacing/>
              <w:jc w:val="both"/>
              <w:rPr>
                <w:rFonts w:ascii="Arial" w:eastAsia="Calibri" w:hAnsi="Arial" w:cs="Arial"/>
                <w:b/>
                <w:bCs/>
                <w:highlight w:val="yellow"/>
                <w:lang w:val="es-MX"/>
              </w:rPr>
            </w:pPr>
          </w:p>
          <w:p w14:paraId="5E372229" w14:textId="77777777" w:rsidR="005F2C99" w:rsidRPr="00751D36" w:rsidRDefault="005F2C99" w:rsidP="000031FA">
            <w:pPr>
              <w:ind w:right="703"/>
              <w:contextualSpacing/>
              <w:jc w:val="both"/>
              <w:rPr>
                <w:rFonts w:ascii="Arial" w:eastAsia="Calibri" w:hAnsi="Arial" w:cs="Arial"/>
                <w:bCs/>
                <w:highlight w:val="yellow"/>
                <w:lang w:val="es-MX"/>
              </w:rPr>
            </w:pPr>
          </w:p>
        </w:tc>
      </w:tr>
      <w:tr w:rsidR="000031FA" w:rsidRPr="00751D36" w14:paraId="6451A031" w14:textId="77777777" w:rsidTr="00970536">
        <w:tc>
          <w:tcPr>
            <w:tcW w:w="2689" w:type="dxa"/>
          </w:tcPr>
          <w:p w14:paraId="4EA57047" w14:textId="77777777" w:rsidR="005F2C99" w:rsidRPr="00751D36" w:rsidRDefault="005F2C99" w:rsidP="000031FA">
            <w:pPr>
              <w:contextualSpacing/>
              <w:rPr>
                <w:rFonts w:ascii="Arial" w:eastAsia="Calibri" w:hAnsi="Arial" w:cs="Arial"/>
                <w:b/>
                <w:noProof/>
                <w:lang w:val="es-ES_tradnl"/>
              </w:rPr>
            </w:pPr>
            <w:r w:rsidRPr="00751D36">
              <w:rPr>
                <w:rFonts w:ascii="Arial" w:eastAsia="Calibri" w:hAnsi="Arial" w:cs="Arial"/>
                <w:b/>
                <w:noProof/>
                <w:lang w:val="es-ES_tradnl"/>
              </w:rPr>
              <w:t xml:space="preserve"> Radicación:</w:t>
            </w:r>
            <w:r w:rsidRPr="00751D36">
              <w:rPr>
                <w:rFonts w:ascii="Arial" w:eastAsia="Calibri" w:hAnsi="Arial" w:cs="Arial"/>
                <w:noProof/>
                <w:lang w:val="es-ES_tradnl"/>
              </w:rPr>
              <w:t xml:space="preserve">                              </w:t>
            </w:r>
          </w:p>
        </w:tc>
        <w:tc>
          <w:tcPr>
            <w:tcW w:w="6237" w:type="dxa"/>
          </w:tcPr>
          <w:p w14:paraId="3BD137AC" w14:textId="132F99B3" w:rsidR="005F2C99" w:rsidRPr="00751D36" w:rsidRDefault="005F2C99" w:rsidP="000031FA">
            <w:pPr>
              <w:contextualSpacing/>
              <w:jc w:val="both"/>
              <w:rPr>
                <w:rFonts w:ascii="Arial" w:eastAsia="Calibri" w:hAnsi="Arial" w:cs="Arial"/>
                <w:noProof/>
                <w:lang w:val="es-ES_tradnl"/>
              </w:rPr>
            </w:pPr>
            <w:r w:rsidRPr="00751D36">
              <w:rPr>
                <w:rFonts w:ascii="Arial" w:eastAsia="Calibri" w:hAnsi="Arial" w:cs="Arial"/>
                <w:noProof/>
                <w:lang w:val="es-ES_tradnl"/>
              </w:rPr>
              <w:t xml:space="preserve">Respuesta a consulta </w:t>
            </w:r>
            <w:r w:rsidR="00734827" w:rsidRPr="00751D36">
              <w:rPr>
                <w:rFonts w:ascii="Arial" w:eastAsia="Calibri" w:hAnsi="Arial" w:cs="Arial"/>
                <w:noProof/>
                <w:lang w:val="es-ES_tradnl"/>
              </w:rPr>
              <w:t>P20220406003481</w:t>
            </w:r>
          </w:p>
        </w:tc>
      </w:tr>
    </w:tbl>
    <w:p w14:paraId="2A7B686B" w14:textId="77777777" w:rsidR="005F2C99" w:rsidRPr="00751D36" w:rsidRDefault="005F2C99" w:rsidP="000031FA">
      <w:pPr>
        <w:spacing w:after="0" w:line="240" w:lineRule="auto"/>
        <w:contextualSpacing/>
        <w:jc w:val="both"/>
        <w:rPr>
          <w:rFonts w:ascii="Arial" w:eastAsia="Calibri" w:hAnsi="Arial" w:cs="Arial"/>
        </w:rPr>
      </w:pPr>
    </w:p>
    <w:p w14:paraId="5B61AAEF" w14:textId="77777777" w:rsidR="005F2C99" w:rsidRPr="00751D36" w:rsidRDefault="005F2C99" w:rsidP="0068556D">
      <w:pPr>
        <w:spacing w:after="0" w:line="276" w:lineRule="auto"/>
        <w:contextualSpacing/>
        <w:jc w:val="both"/>
        <w:rPr>
          <w:rFonts w:ascii="Arial" w:eastAsia="Calibri" w:hAnsi="Arial" w:cs="Arial"/>
        </w:rPr>
      </w:pPr>
    </w:p>
    <w:p w14:paraId="4CE77967" w14:textId="77F5508A" w:rsidR="005F2C99" w:rsidRPr="00751D36" w:rsidRDefault="005F2C99" w:rsidP="0023670C">
      <w:pPr>
        <w:spacing w:after="0" w:line="276" w:lineRule="auto"/>
        <w:contextualSpacing/>
        <w:jc w:val="both"/>
        <w:rPr>
          <w:rFonts w:ascii="Arial" w:eastAsia="Calibri" w:hAnsi="Arial" w:cs="Arial"/>
        </w:rPr>
      </w:pPr>
      <w:r w:rsidRPr="00751D36">
        <w:rPr>
          <w:rFonts w:ascii="Arial" w:eastAsia="Calibri" w:hAnsi="Arial" w:cs="Arial"/>
        </w:rPr>
        <w:t xml:space="preserve">Estimado señor </w:t>
      </w:r>
      <w:r w:rsidR="000031FA" w:rsidRPr="00751D36">
        <w:rPr>
          <w:rFonts w:ascii="Arial" w:eastAsia="Calibri" w:hAnsi="Arial" w:cs="Arial"/>
        </w:rPr>
        <w:t>García</w:t>
      </w:r>
      <w:r w:rsidRPr="00751D36">
        <w:rPr>
          <w:rFonts w:ascii="Arial" w:eastAsia="Calibri" w:hAnsi="Arial" w:cs="Arial"/>
        </w:rPr>
        <w:t>:</w:t>
      </w:r>
    </w:p>
    <w:p w14:paraId="67293171" w14:textId="77777777" w:rsidR="005F2C99" w:rsidRPr="00751D36" w:rsidRDefault="005F2C99" w:rsidP="0023670C">
      <w:pPr>
        <w:spacing w:after="0" w:line="276" w:lineRule="auto"/>
        <w:ind w:firstLine="709"/>
        <w:contextualSpacing/>
        <w:jc w:val="both"/>
        <w:rPr>
          <w:rFonts w:ascii="Arial" w:eastAsia="Calibri" w:hAnsi="Arial" w:cs="Arial"/>
        </w:rPr>
      </w:pPr>
    </w:p>
    <w:p w14:paraId="325AB1C4" w14:textId="4030224F" w:rsidR="005F2C99" w:rsidRPr="00751D36" w:rsidRDefault="005F2C99" w:rsidP="0023670C">
      <w:pPr>
        <w:spacing w:after="0" w:line="276" w:lineRule="auto"/>
        <w:ind w:right="51"/>
        <w:contextualSpacing/>
        <w:jc w:val="both"/>
        <w:rPr>
          <w:rFonts w:ascii="Arial" w:eastAsia="Calibri" w:hAnsi="Arial" w:cs="Arial"/>
        </w:rPr>
      </w:pPr>
      <w:r w:rsidRPr="00751D36">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9252F3" w:rsidRPr="00751D36">
        <w:rPr>
          <w:rFonts w:ascii="Arial" w:eastAsia="Calibri" w:hAnsi="Arial" w:cs="Arial"/>
        </w:rPr>
        <w:t>6 de abril</w:t>
      </w:r>
      <w:r w:rsidRPr="00751D36">
        <w:rPr>
          <w:rFonts w:ascii="Arial" w:eastAsia="Calibri" w:hAnsi="Arial" w:cs="Arial"/>
        </w:rPr>
        <w:t xml:space="preserve"> de 2022. </w:t>
      </w:r>
    </w:p>
    <w:p w14:paraId="5C626D64" w14:textId="77777777" w:rsidR="005F2C99" w:rsidRPr="00751D36" w:rsidRDefault="005F2C99" w:rsidP="0023670C">
      <w:pPr>
        <w:spacing w:after="0" w:line="276" w:lineRule="auto"/>
        <w:contextualSpacing/>
        <w:jc w:val="both"/>
        <w:rPr>
          <w:rFonts w:ascii="Arial" w:eastAsia="Calibri" w:hAnsi="Arial" w:cs="Arial"/>
        </w:rPr>
      </w:pPr>
    </w:p>
    <w:p w14:paraId="470B7037" w14:textId="77777777" w:rsidR="005F2C99" w:rsidRPr="00751D36" w:rsidRDefault="005F2C99" w:rsidP="0023670C">
      <w:pPr>
        <w:tabs>
          <w:tab w:val="left" w:pos="284"/>
        </w:tabs>
        <w:spacing w:after="0" w:line="276" w:lineRule="auto"/>
        <w:contextualSpacing/>
        <w:jc w:val="both"/>
        <w:rPr>
          <w:rFonts w:ascii="Arial" w:eastAsia="Calibri" w:hAnsi="Arial" w:cs="Arial"/>
          <w:b/>
        </w:rPr>
      </w:pPr>
      <w:r w:rsidRPr="00751D36">
        <w:rPr>
          <w:rFonts w:ascii="Arial" w:eastAsia="Calibri" w:hAnsi="Arial" w:cs="Arial"/>
          <w:b/>
        </w:rPr>
        <w:t xml:space="preserve">1. Problema planteado </w:t>
      </w:r>
    </w:p>
    <w:p w14:paraId="1CDCD47C" w14:textId="77777777" w:rsidR="005F2C99" w:rsidRPr="00751D36" w:rsidRDefault="005F2C99" w:rsidP="0023670C">
      <w:pPr>
        <w:tabs>
          <w:tab w:val="left" w:pos="284"/>
        </w:tabs>
        <w:spacing w:after="0" w:line="276" w:lineRule="auto"/>
        <w:ind w:firstLine="709"/>
        <w:contextualSpacing/>
        <w:jc w:val="both"/>
        <w:rPr>
          <w:rFonts w:ascii="Arial" w:eastAsia="Calibri" w:hAnsi="Arial" w:cs="Arial"/>
          <w:b/>
          <w:color w:val="FF0000"/>
        </w:rPr>
      </w:pPr>
    </w:p>
    <w:p w14:paraId="264129B1" w14:textId="6862182E" w:rsidR="0068556D" w:rsidRPr="00751D36" w:rsidRDefault="005F2C99" w:rsidP="0023670C">
      <w:pPr>
        <w:spacing w:after="0" w:line="276" w:lineRule="auto"/>
        <w:ind w:right="51"/>
        <w:contextualSpacing/>
        <w:jc w:val="both"/>
        <w:rPr>
          <w:rFonts w:ascii="Arial" w:eastAsia="Calibri" w:hAnsi="Arial" w:cs="Arial"/>
        </w:rPr>
      </w:pPr>
      <w:bookmarkStart w:id="3" w:name="_Hlk58917991"/>
      <w:bookmarkStart w:id="4" w:name="_Hlk56103000"/>
      <w:r w:rsidRPr="00751D36">
        <w:rPr>
          <w:rFonts w:ascii="Arial" w:eastAsia="Calibri" w:hAnsi="Arial" w:cs="Arial"/>
        </w:rPr>
        <w:t>Usted plantea la</w:t>
      </w:r>
      <w:r w:rsidR="007A38D0" w:rsidRPr="00751D36">
        <w:rPr>
          <w:rFonts w:ascii="Arial" w:eastAsia="Calibri" w:hAnsi="Arial" w:cs="Arial"/>
        </w:rPr>
        <w:t>s</w:t>
      </w:r>
      <w:r w:rsidRPr="00751D36">
        <w:rPr>
          <w:rFonts w:ascii="Arial" w:eastAsia="Calibri" w:hAnsi="Arial" w:cs="Arial"/>
        </w:rPr>
        <w:t xml:space="preserve"> siguiente</w:t>
      </w:r>
      <w:r w:rsidR="007A38D0" w:rsidRPr="00751D36">
        <w:rPr>
          <w:rFonts w:ascii="Arial" w:eastAsia="Calibri" w:hAnsi="Arial" w:cs="Arial"/>
        </w:rPr>
        <w:t>s</w:t>
      </w:r>
      <w:r w:rsidRPr="00751D36">
        <w:rPr>
          <w:rFonts w:ascii="Arial" w:eastAsia="Calibri" w:hAnsi="Arial" w:cs="Arial"/>
        </w:rPr>
        <w:t xml:space="preserve"> </w:t>
      </w:r>
      <w:r w:rsidR="0068556D" w:rsidRPr="00751D36">
        <w:rPr>
          <w:rFonts w:ascii="Arial" w:eastAsia="Calibri" w:hAnsi="Arial" w:cs="Arial"/>
        </w:rPr>
        <w:t>consulta</w:t>
      </w:r>
      <w:r w:rsidR="007A38D0" w:rsidRPr="00751D36">
        <w:rPr>
          <w:rFonts w:ascii="Arial" w:eastAsia="Calibri" w:hAnsi="Arial" w:cs="Arial"/>
        </w:rPr>
        <w:t>s</w:t>
      </w:r>
      <w:r w:rsidRPr="00751D36">
        <w:rPr>
          <w:rFonts w:ascii="Arial" w:eastAsia="Calibri" w:hAnsi="Arial" w:cs="Arial"/>
        </w:rPr>
        <w:t xml:space="preserve">: </w:t>
      </w:r>
    </w:p>
    <w:p w14:paraId="08E0CC5A" w14:textId="77777777" w:rsidR="0068556D" w:rsidRPr="0023670C" w:rsidRDefault="0068556D" w:rsidP="00F20372">
      <w:pPr>
        <w:spacing w:after="0"/>
        <w:ind w:left="709" w:right="709"/>
        <w:contextualSpacing/>
        <w:jc w:val="both"/>
        <w:rPr>
          <w:rFonts w:ascii="Arial" w:eastAsia="Calibri" w:hAnsi="Arial" w:cs="Arial"/>
          <w:color w:val="FF0000"/>
        </w:rPr>
      </w:pPr>
    </w:p>
    <w:p w14:paraId="2BE226FF" w14:textId="7182BAA1" w:rsidR="007A38D0" w:rsidRPr="001D559D" w:rsidRDefault="005F2C99" w:rsidP="001D559D">
      <w:pPr>
        <w:spacing w:after="0" w:line="240" w:lineRule="auto"/>
        <w:ind w:left="709" w:right="709"/>
        <w:contextualSpacing/>
        <w:jc w:val="both"/>
        <w:rPr>
          <w:rFonts w:ascii="Arial" w:eastAsia="Calibri" w:hAnsi="Arial" w:cs="Arial"/>
          <w:sz w:val="21"/>
          <w:szCs w:val="21"/>
          <w:lang w:val="es-ES_tradnl" w:eastAsia="es-MX"/>
        </w:rPr>
      </w:pPr>
      <w:r w:rsidRPr="001D559D">
        <w:rPr>
          <w:rFonts w:ascii="Arial" w:eastAsia="Calibri" w:hAnsi="Arial" w:cs="Arial"/>
          <w:sz w:val="21"/>
          <w:szCs w:val="21"/>
          <w:lang w:val="es-ES_tradnl" w:eastAsia="es-MX"/>
        </w:rPr>
        <w:t>«[…]</w:t>
      </w:r>
      <w:r w:rsidR="00CF1010">
        <w:rPr>
          <w:rFonts w:ascii="Arial" w:eastAsia="Calibri" w:hAnsi="Arial" w:cs="Arial"/>
          <w:sz w:val="21"/>
          <w:szCs w:val="21"/>
          <w:lang w:val="es-ES_tradnl" w:eastAsia="es-MX"/>
        </w:rPr>
        <w:t xml:space="preserve"> </w:t>
      </w:r>
      <w:r w:rsidR="007A38D0" w:rsidRPr="001D559D">
        <w:rPr>
          <w:rFonts w:ascii="Arial" w:eastAsia="Calibri" w:hAnsi="Arial" w:cs="Arial"/>
          <w:sz w:val="21"/>
          <w:szCs w:val="21"/>
          <w:lang w:val="es-ES_tradnl" w:eastAsia="es-MX"/>
        </w:rPr>
        <w:t xml:space="preserve">1. Teniendo en cuenta que la Ley establece que el RUP es plena prueba de las condiciones que con </w:t>
      </w:r>
      <w:proofErr w:type="spellStart"/>
      <w:r w:rsidR="007A38D0" w:rsidRPr="001D559D">
        <w:rPr>
          <w:rFonts w:ascii="Arial" w:eastAsia="Calibri" w:hAnsi="Arial" w:cs="Arial"/>
          <w:sz w:val="21"/>
          <w:szCs w:val="21"/>
          <w:lang w:val="es-ES_tradnl" w:eastAsia="es-MX"/>
        </w:rPr>
        <w:t>el</w:t>
      </w:r>
      <w:proofErr w:type="spellEnd"/>
      <w:r w:rsidR="007A38D0" w:rsidRPr="001D559D">
        <w:rPr>
          <w:rFonts w:ascii="Arial" w:eastAsia="Calibri" w:hAnsi="Arial" w:cs="Arial"/>
          <w:sz w:val="21"/>
          <w:szCs w:val="21"/>
          <w:lang w:val="es-ES_tradnl" w:eastAsia="es-MX"/>
        </w:rPr>
        <w:t xml:space="preserve"> se acreditan, tales como experiencia y condiciones financieras, y además, teniendo en cuenta que la norma no prevé ninguna limitación en el porcentaje de acreditación de la experiencia del socio, accionista o constituyente, me permito solicitar: </w:t>
      </w:r>
    </w:p>
    <w:p w14:paraId="50F8360D" w14:textId="77777777" w:rsidR="007A38D0" w:rsidRPr="001D559D" w:rsidRDefault="007A38D0" w:rsidP="001D559D">
      <w:pPr>
        <w:spacing w:after="0" w:line="240" w:lineRule="auto"/>
        <w:ind w:left="709" w:right="709"/>
        <w:contextualSpacing/>
        <w:jc w:val="both"/>
        <w:rPr>
          <w:rFonts w:ascii="Arial" w:eastAsia="Calibri" w:hAnsi="Arial" w:cs="Arial"/>
          <w:sz w:val="21"/>
          <w:szCs w:val="21"/>
          <w:lang w:val="es-ES_tradnl" w:eastAsia="es-MX"/>
        </w:rPr>
      </w:pPr>
    </w:p>
    <w:p w14:paraId="3DE9EF3A" w14:textId="77777777" w:rsidR="007A38D0" w:rsidRPr="001D559D" w:rsidRDefault="007A38D0" w:rsidP="001D559D">
      <w:pPr>
        <w:spacing w:after="0" w:line="240" w:lineRule="auto"/>
        <w:ind w:left="709" w:right="709"/>
        <w:contextualSpacing/>
        <w:jc w:val="both"/>
        <w:rPr>
          <w:rFonts w:ascii="Arial" w:eastAsia="Calibri" w:hAnsi="Arial" w:cs="Arial"/>
          <w:sz w:val="21"/>
          <w:szCs w:val="21"/>
          <w:lang w:val="es-ES_tradnl" w:eastAsia="es-MX"/>
        </w:rPr>
      </w:pPr>
      <w:r w:rsidRPr="001D559D">
        <w:rPr>
          <w:rFonts w:ascii="Arial" w:eastAsia="Calibri" w:hAnsi="Arial" w:cs="Arial"/>
          <w:sz w:val="21"/>
          <w:szCs w:val="21"/>
          <w:lang w:val="es-ES_tradnl" w:eastAsia="es-MX"/>
        </w:rPr>
        <w:t xml:space="preserve">a. Se aclare si las entidades tienen la competencia y la libertad de establecer limitaciones a la acreditación de experiencia que está registrada en el RUP, que no están en la norma. </w:t>
      </w:r>
    </w:p>
    <w:p w14:paraId="47A4450F" w14:textId="77777777" w:rsidR="007A38D0" w:rsidRPr="001D559D" w:rsidRDefault="007A38D0" w:rsidP="001D559D">
      <w:pPr>
        <w:spacing w:after="0" w:line="240" w:lineRule="auto"/>
        <w:ind w:left="709" w:right="709"/>
        <w:contextualSpacing/>
        <w:jc w:val="both"/>
        <w:rPr>
          <w:rFonts w:ascii="Arial" w:eastAsia="Calibri" w:hAnsi="Arial" w:cs="Arial"/>
          <w:sz w:val="21"/>
          <w:szCs w:val="21"/>
          <w:lang w:val="es-ES_tradnl" w:eastAsia="es-MX"/>
        </w:rPr>
      </w:pPr>
    </w:p>
    <w:p w14:paraId="14203E99" w14:textId="528B5E0F" w:rsidR="007A38D0" w:rsidRPr="001D559D" w:rsidRDefault="007A38D0" w:rsidP="001D559D">
      <w:pPr>
        <w:spacing w:after="0" w:line="240" w:lineRule="auto"/>
        <w:ind w:left="709" w:right="709"/>
        <w:contextualSpacing/>
        <w:jc w:val="both"/>
        <w:rPr>
          <w:rFonts w:ascii="Arial" w:eastAsia="Calibri" w:hAnsi="Arial" w:cs="Arial"/>
          <w:sz w:val="21"/>
          <w:szCs w:val="21"/>
          <w:lang w:val="es-ES_tradnl" w:eastAsia="es-MX"/>
        </w:rPr>
      </w:pPr>
      <w:r w:rsidRPr="001D559D">
        <w:rPr>
          <w:rFonts w:ascii="Arial" w:eastAsia="Calibri" w:hAnsi="Arial" w:cs="Arial"/>
          <w:sz w:val="21"/>
          <w:szCs w:val="21"/>
          <w:lang w:val="es-ES_tradnl" w:eastAsia="es-MX"/>
        </w:rPr>
        <w:t>b. Se aclare si la entidad puede exigir a los oferentes que se presente certificado de composición accionaria para afectar la experiencia acreditada a través de la del socio, por el porcentaje de participación del socio.</w:t>
      </w:r>
    </w:p>
    <w:p w14:paraId="11556695" w14:textId="77777777" w:rsidR="0023670C" w:rsidRPr="001D559D" w:rsidRDefault="0023670C" w:rsidP="001D559D">
      <w:pPr>
        <w:spacing w:after="0" w:line="240" w:lineRule="auto"/>
        <w:ind w:left="709" w:right="709"/>
        <w:contextualSpacing/>
        <w:jc w:val="both"/>
        <w:rPr>
          <w:rFonts w:ascii="Arial" w:eastAsia="Calibri" w:hAnsi="Arial" w:cs="Arial"/>
          <w:sz w:val="21"/>
          <w:szCs w:val="21"/>
          <w:lang w:val="es-ES_tradnl" w:eastAsia="es-MX"/>
        </w:rPr>
      </w:pPr>
    </w:p>
    <w:p w14:paraId="5ED05F1A" w14:textId="6B99149C" w:rsidR="005F2C99" w:rsidRPr="001D559D" w:rsidRDefault="0023670C" w:rsidP="001D559D">
      <w:pPr>
        <w:spacing w:after="0" w:line="240" w:lineRule="auto"/>
        <w:ind w:left="709" w:right="709"/>
        <w:contextualSpacing/>
        <w:jc w:val="both"/>
        <w:rPr>
          <w:rFonts w:ascii="Arial" w:eastAsia="Calibri" w:hAnsi="Arial" w:cs="Arial"/>
          <w:sz w:val="21"/>
          <w:szCs w:val="21"/>
          <w:lang w:val="es-ES_tradnl" w:eastAsia="es-MX"/>
        </w:rPr>
      </w:pPr>
      <w:r w:rsidRPr="001D559D">
        <w:rPr>
          <w:rFonts w:ascii="Arial" w:eastAsia="Calibri" w:hAnsi="Arial" w:cs="Arial"/>
          <w:sz w:val="21"/>
          <w:szCs w:val="21"/>
          <w:lang w:val="es-ES_tradnl" w:eastAsia="es-MX"/>
        </w:rPr>
        <w:t>2. ¿Las entidades tienen la potestad de establecer como requisito habilitante, que las certificaciones de experiencia contengan la acreditación de que el respectivo contrato no fue objeto de multa, clausula penal o cualquier otra sanción?</w:t>
      </w:r>
      <w:r w:rsidR="005F2C99" w:rsidRPr="001D559D">
        <w:rPr>
          <w:rFonts w:ascii="Arial" w:eastAsia="Calibri" w:hAnsi="Arial" w:cs="Arial"/>
          <w:sz w:val="21"/>
          <w:szCs w:val="21"/>
          <w:lang w:val="es-ES_tradnl" w:eastAsia="es-MX"/>
        </w:rPr>
        <w:t xml:space="preserve">».     </w:t>
      </w:r>
    </w:p>
    <w:p w14:paraId="7ADD6247" w14:textId="77777777" w:rsidR="005F2C99" w:rsidRPr="00751D36" w:rsidRDefault="005F2C99" w:rsidP="00FE62E6">
      <w:pPr>
        <w:tabs>
          <w:tab w:val="left" w:pos="426"/>
        </w:tabs>
        <w:spacing w:after="0" w:line="276" w:lineRule="auto"/>
        <w:contextualSpacing/>
        <w:jc w:val="both"/>
        <w:rPr>
          <w:rFonts w:ascii="Arial" w:eastAsia="Calibri" w:hAnsi="Arial" w:cs="Arial"/>
        </w:rPr>
      </w:pPr>
    </w:p>
    <w:bookmarkEnd w:id="3"/>
    <w:bookmarkEnd w:id="4"/>
    <w:p w14:paraId="1A1024F9" w14:textId="0E320740" w:rsidR="005F2C99" w:rsidRPr="00751D36" w:rsidRDefault="005F2C99" w:rsidP="00FE62E6">
      <w:pPr>
        <w:tabs>
          <w:tab w:val="left" w:pos="284"/>
        </w:tabs>
        <w:spacing w:after="0" w:line="276" w:lineRule="auto"/>
        <w:contextualSpacing/>
        <w:jc w:val="both"/>
        <w:rPr>
          <w:rFonts w:ascii="Arial" w:eastAsia="Calibri" w:hAnsi="Arial" w:cs="Arial"/>
          <w:b/>
        </w:rPr>
      </w:pPr>
      <w:r w:rsidRPr="00751D36">
        <w:rPr>
          <w:rFonts w:ascii="Arial" w:eastAsia="Calibri" w:hAnsi="Arial" w:cs="Arial"/>
          <w:b/>
        </w:rPr>
        <w:t>2. Consideraciones</w:t>
      </w:r>
    </w:p>
    <w:p w14:paraId="304CEADB" w14:textId="77777777" w:rsidR="00751D36" w:rsidRPr="00E8089A" w:rsidRDefault="00751D36" w:rsidP="00FE62E6">
      <w:pPr>
        <w:tabs>
          <w:tab w:val="left" w:pos="284"/>
        </w:tabs>
        <w:spacing w:after="0" w:line="276" w:lineRule="auto"/>
        <w:contextualSpacing/>
        <w:jc w:val="both"/>
        <w:rPr>
          <w:rFonts w:ascii="Arial" w:eastAsia="Calibri" w:hAnsi="Arial" w:cs="Arial"/>
          <w:b/>
          <w:sz w:val="16"/>
          <w:szCs w:val="16"/>
        </w:rPr>
      </w:pPr>
    </w:p>
    <w:p w14:paraId="35346D3F" w14:textId="604524AF" w:rsidR="0016704E" w:rsidRPr="00F63A92" w:rsidRDefault="005F2C99" w:rsidP="00F63A92">
      <w:pPr>
        <w:pStyle w:val="Textoindependiente"/>
        <w:spacing w:after="120" w:line="276" w:lineRule="auto"/>
        <w:ind w:right="49"/>
        <w:jc w:val="both"/>
        <w:rPr>
          <w:rFonts w:ascii="Arial" w:hAnsi="Arial" w:cs="Arial"/>
          <w:b/>
          <w:bCs/>
        </w:rPr>
      </w:pPr>
      <w:r w:rsidRPr="00F63A92">
        <w:rPr>
          <w:rFonts w:ascii="Arial" w:eastAsia="Calibri" w:hAnsi="Arial" w:cs="Arial"/>
          <w:lang w:val="es-ES_tradnl" w:eastAsia="es-MX"/>
        </w:rPr>
        <w:t xml:space="preserve">La Subdirección de Gestión Contractual responderá la consulta, luego de analizar los siguientes temas: i) </w:t>
      </w:r>
      <w:r w:rsidR="00C126B4" w:rsidRPr="00F63A92">
        <w:rPr>
          <w:rFonts w:ascii="Arial" w:eastAsia="Calibri" w:hAnsi="Arial" w:cs="Arial"/>
          <w:lang w:val="es-ES_tradnl" w:eastAsia="es-MX"/>
        </w:rPr>
        <w:t xml:space="preserve">El </w:t>
      </w:r>
      <w:r w:rsidRPr="00F63A92">
        <w:rPr>
          <w:rFonts w:ascii="Arial" w:eastAsia="Calibri" w:hAnsi="Arial" w:cs="Arial"/>
          <w:lang w:val="es-ES_tradnl" w:eastAsia="es-MX"/>
        </w:rPr>
        <w:t>Registro Único de Proponente –RUP–</w:t>
      </w:r>
      <w:r w:rsidR="00C126B4" w:rsidRPr="00F63A92">
        <w:rPr>
          <w:rFonts w:ascii="Arial" w:eastAsia="Calibri" w:hAnsi="Arial" w:cs="Arial"/>
          <w:lang w:val="es-ES_tradnl" w:eastAsia="es-MX"/>
        </w:rPr>
        <w:t xml:space="preserve">; </w:t>
      </w:r>
      <w:proofErr w:type="spellStart"/>
      <w:r w:rsidR="00C126B4" w:rsidRPr="00F63A92">
        <w:rPr>
          <w:rFonts w:ascii="Arial" w:eastAsia="Calibri" w:hAnsi="Arial" w:cs="Arial"/>
          <w:lang w:val="es-ES_tradnl" w:eastAsia="es-MX"/>
        </w:rPr>
        <w:t>ii</w:t>
      </w:r>
      <w:proofErr w:type="spellEnd"/>
      <w:r w:rsidR="00C126B4" w:rsidRPr="00F63A92">
        <w:rPr>
          <w:rFonts w:ascii="Arial" w:eastAsia="Calibri" w:hAnsi="Arial" w:cs="Arial"/>
          <w:lang w:val="es-ES_tradnl" w:eastAsia="es-MX"/>
        </w:rPr>
        <w:t xml:space="preserve">) </w:t>
      </w:r>
      <w:r w:rsidR="0016704E" w:rsidRPr="00F63A92">
        <w:rPr>
          <w:rFonts w:ascii="Arial" w:eastAsia="Calibri" w:hAnsi="Arial" w:cs="Arial"/>
          <w:lang w:val="es-ES_tradnl" w:eastAsia="es-MX"/>
        </w:rPr>
        <w:t xml:space="preserve">La </w:t>
      </w:r>
      <w:r w:rsidR="001D6B27" w:rsidRPr="00F63A92">
        <w:rPr>
          <w:rFonts w:ascii="Arial" w:eastAsia="Calibri" w:hAnsi="Arial" w:cs="Arial"/>
          <w:lang w:val="es-ES_tradnl" w:eastAsia="es-MX"/>
        </w:rPr>
        <w:t xml:space="preserve">experiencia en la contratación pública; </w:t>
      </w:r>
      <w:proofErr w:type="spellStart"/>
      <w:r w:rsidR="001D6B27" w:rsidRPr="00F63A92">
        <w:rPr>
          <w:rFonts w:ascii="Arial" w:eastAsia="Calibri" w:hAnsi="Arial" w:cs="Arial"/>
          <w:lang w:val="es-ES_tradnl" w:eastAsia="es-MX"/>
        </w:rPr>
        <w:t>iii</w:t>
      </w:r>
      <w:proofErr w:type="spellEnd"/>
      <w:r w:rsidR="001D6B27" w:rsidRPr="00F63A92">
        <w:rPr>
          <w:rFonts w:ascii="Arial" w:eastAsia="Calibri" w:hAnsi="Arial" w:cs="Arial"/>
          <w:lang w:val="es-ES_tradnl" w:eastAsia="es-MX"/>
        </w:rPr>
        <w:t xml:space="preserve">) </w:t>
      </w:r>
      <w:r w:rsidR="0016704E" w:rsidRPr="00F63A92">
        <w:rPr>
          <w:rFonts w:ascii="Arial" w:eastAsia="Calibri" w:hAnsi="Arial" w:cs="Arial"/>
          <w:lang w:val="es-ES_tradnl" w:eastAsia="es-MX"/>
        </w:rPr>
        <w:t xml:space="preserve">Consideraciones </w:t>
      </w:r>
      <w:r w:rsidR="003A6241" w:rsidRPr="00F63A92">
        <w:rPr>
          <w:rFonts w:ascii="Arial" w:eastAsia="Calibri" w:hAnsi="Arial" w:cs="Arial"/>
          <w:lang w:val="es-ES_tradnl" w:eastAsia="es-MX"/>
        </w:rPr>
        <w:t>de la Agencia respecto de la experiencia</w:t>
      </w:r>
      <w:r w:rsidR="004B5310">
        <w:rPr>
          <w:rFonts w:ascii="Arial" w:eastAsia="Calibri" w:hAnsi="Arial" w:cs="Arial"/>
          <w:lang w:val="es-ES_tradnl" w:eastAsia="es-MX"/>
        </w:rPr>
        <w:t xml:space="preserve"> como requisito habilitante</w:t>
      </w:r>
      <w:r w:rsidR="003A6241" w:rsidRPr="00F63A92">
        <w:rPr>
          <w:rFonts w:ascii="Arial" w:eastAsia="Calibri" w:hAnsi="Arial" w:cs="Arial"/>
          <w:lang w:val="es-ES_tradnl" w:eastAsia="es-MX"/>
        </w:rPr>
        <w:t xml:space="preserve">; </w:t>
      </w:r>
      <w:proofErr w:type="spellStart"/>
      <w:r w:rsidR="003A6241" w:rsidRPr="00F63A92">
        <w:rPr>
          <w:rFonts w:ascii="Arial" w:eastAsia="Calibri" w:hAnsi="Arial" w:cs="Arial"/>
          <w:lang w:val="es-ES_tradnl" w:eastAsia="es-MX"/>
        </w:rPr>
        <w:t>iv</w:t>
      </w:r>
      <w:proofErr w:type="spellEnd"/>
      <w:r w:rsidR="003A6241" w:rsidRPr="00F63A92">
        <w:rPr>
          <w:rFonts w:ascii="Arial" w:eastAsia="Calibri" w:hAnsi="Arial" w:cs="Arial"/>
          <w:lang w:val="es-ES_tradnl" w:eastAsia="es-MX"/>
        </w:rPr>
        <w:t xml:space="preserve">) </w:t>
      </w:r>
      <w:r w:rsidR="0016704E" w:rsidRPr="00F63A92">
        <w:rPr>
          <w:rFonts w:ascii="Arial" w:eastAsia="Calibri" w:hAnsi="Arial" w:cs="Arial"/>
          <w:lang w:val="es-ES_tradnl" w:eastAsia="es-MX"/>
        </w:rPr>
        <w:t xml:space="preserve">Acreditación </w:t>
      </w:r>
      <w:r w:rsidR="00CA1022" w:rsidRPr="00F63A92">
        <w:rPr>
          <w:rFonts w:ascii="Arial" w:eastAsia="Calibri" w:hAnsi="Arial" w:cs="Arial"/>
          <w:lang w:val="es-ES_tradnl" w:eastAsia="es-MX"/>
        </w:rPr>
        <w:t xml:space="preserve">de la experiencia de socios por parte de sociedades con menos de tres (3) años de constitución </w:t>
      </w:r>
      <w:r w:rsidR="0011362A" w:rsidRPr="00F63A92">
        <w:rPr>
          <w:rFonts w:ascii="Arial" w:eastAsia="Calibri" w:hAnsi="Arial" w:cs="Arial"/>
          <w:lang w:val="es-ES_tradnl" w:eastAsia="es-MX"/>
        </w:rPr>
        <w:t xml:space="preserve">y; v) </w:t>
      </w:r>
      <w:r w:rsidR="0016704E" w:rsidRPr="00F63A92">
        <w:rPr>
          <w:rFonts w:ascii="Arial" w:hAnsi="Arial" w:cs="Arial"/>
        </w:rPr>
        <w:t xml:space="preserve">Reporte, registro y publicación de sanciones por cláusula penal pecuniaria en el Registro Único de Proponentes. </w:t>
      </w:r>
    </w:p>
    <w:p w14:paraId="1A0EF408" w14:textId="58104A61" w:rsidR="00C116DC" w:rsidRPr="00F63A92" w:rsidRDefault="005F2C99" w:rsidP="00F63A92">
      <w:pPr>
        <w:tabs>
          <w:tab w:val="left" w:pos="284"/>
        </w:tabs>
        <w:spacing w:after="120" w:line="276" w:lineRule="auto"/>
        <w:jc w:val="both"/>
        <w:rPr>
          <w:rFonts w:ascii="Arial" w:eastAsia="Calibri" w:hAnsi="Arial" w:cs="Arial"/>
          <w:lang w:val="es-ES_tradnl" w:eastAsia="es-MX"/>
        </w:rPr>
      </w:pPr>
      <w:r w:rsidRPr="00F63A92">
        <w:rPr>
          <w:rFonts w:ascii="Arial" w:eastAsia="Calibri" w:hAnsi="Arial" w:cs="Arial"/>
          <w:lang w:val="es-ES_tradnl" w:eastAsia="es-MX"/>
        </w:rPr>
        <w:tab/>
      </w:r>
      <w:r w:rsidRPr="00F63A92">
        <w:rPr>
          <w:rFonts w:ascii="Arial" w:eastAsia="Calibri" w:hAnsi="Arial" w:cs="Arial"/>
          <w:lang w:val="es-ES_tradnl" w:eastAsia="es-MX"/>
        </w:rPr>
        <w:tab/>
        <w:t xml:space="preserve">La Agencia Nacional de Contratación Pública – Colombia Compra Eficiente, en los conceptos C-002 del 20 de febrero de 2020, C-491 del 27 de julio de 2020, C-708 del 9 de diciembre de 2020, C-052 de 8 de marzo de 2021, C-727, del 26 de enero de 2022, </w:t>
      </w:r>
      <w:r w:rsidR="00803B65">
        <w:rPr>
          <w:rFonts w:ascii="Arial" w:eastAsia="Calibri" w:hAnsi="Arial" w:cs="Arial"/>
          <w:lang w:val="es-ES_tradnl" w:eastAsia="es-MX"/>
        </w:rPr>
        <w:t>C-010</w:t>
      </w:r>
      <w:r w:rsidR="00AA35FA">
        <w:rPr>
          <w:rFonts w:ascii="Arial" w:eastAsia="Calibri" w:hAnsi="Arial" w:cs="Arial"/>
          <w:lang w:val="es-ES_tradnl" w:eastAsia="es-MX"/>
        </w:rPr>
        <w:t xml:space="preserve"> del 15 de febrero de 2022</w:t>
      </w:r>
      <w:r w:rsidR="00803B65">
        <w:rPr>
          <w:rFonts w:ascii="Arial" w:eastAsia="Calibri" w:hAnsi="Arial" w:cs="Arial"/>
          <w:lang w:val="es-ES_tradnl" w:eastAsia="es-MX"/>
        </w:rPr>
        <w:t>, C-018</w:t>
      </w:r>
      <w:r w:rsidR="00AA35FA">
        <w:rPr>
          <w:rFonts w:ascii="Arial" w:eastAsia="Calibri" w:hAnsi="Arial" w:cs="Arial"/>
          <w:lang w:val="es-ES_tradnl" w:eastAsia="es-MX"/>
        </w:rPr>
        <w:t xml:space="preserve"> del 22 de febrero de 2022</w:t>
      </w:r>
      <w:r w:rsidR="00803B65">
        <w:rPr>
          <w:rFonts w:ascii="Arial" w:eastAsia="Calibri" w:hAnsi="Arial" w:cs="Arial"/>
          <w:lang w:val="es-ES_tradnl" w:eastAsia="es-MX"/>
        </w:rPr>
        <w:t>, C-</w:t>
      </w:r>
      <w:r w:rsidR="00A04E07">
        <w:rPr>
          <w:rFonts w:ascii="Arial" w:eastAsia="Calibri" w:hAnsi="Arial" w:cs="Arial"/>
          <w:lang w:val="es-ES_tradnl" w:eastAsia="es-MX"/>
        </w:rPr>
        <w:t>034</w:t>
      </w:r>
      <w:r w:rsidR="00AA35FA">
        <w:rPr>
          <w:rFonts w:ascii="Arial" w:eastAsia="Calibri" w:hAnsi="Arial" w:cs="Arial"/>
          <w:lang w:val="es-ES_tradnl" w:eastAsia="es-MX"/>
        </w:rPr>
        <w:t xml:space="preserve"> del 2 de marzo de 2022</w:t>
      </w:r>
      <w:r w:rsidR="00A04E07">
        <w:rPr>
          <w:rFonts w:ascii="Arial" w:eastAsia="Calibri" w:hAnsi="Arial" w:cs="Arial"/>
          <w:lang w:val="es-ES_tradnl" w:eastAsia="es-MX"/>
        </w:rPr>
        <w:t>, C-056</w:t>
      </w:r>
      <w:r w:rsidR="00AA35FA">
        <w:rPr>
          <w:rFonts w:ascii="Arial" w:eastAsia="Calibri" w:hAnsi="Arial" w:cs="Arial"/>
          <w:lang w:val="es-ES_tradnl" w:eastAsia="es-MX"/>
        </w:rPr>
        <w:t xml:space="preserve"> del 7 de febrero de 2022</w:t>
      </w:r>
      <w:r w:rsidR="00A04E07">
        <w:rPr>
          <w:rFonts w:ascii="Arial" w:eastAsia="Calibri" w:hAnsi="Arial" w:cs="Arial"/>
          <w:lang w:val="es-ES_tradnl" w:eastAsia="es-MX"/>
        </w:rPr>
        <w:t>, C-084</w:t>
      </w:r>
      <w:r w:rsidR="006528E9">
        <w:rPr>
          <w:rFonts w:ascii="Arial" w:eastAsia="Calibri" w:hAnsi="Arial" w:cs="Arial"/>
          <w:lang w:val="es-ES_tradnl" w:eastAsia="es-MX"/>
        </w:rPr>
        <w:t xml:space="preserve"> del 16 de marzo de 2022</w:t>
      </w:r>
      <w:r w:rsidR="00A04E07">
        <w:rPr>
          <w:rFonts w:ascii="Arial" w:eastAsia="Calibri" w:hAnsi="Arial" w:cs="Arial"/>
          <w:lang w:val="es-ES_tradnl" w:eastAsia="es-MX"/>
        </w:rPr>
        <w:t>, C-090</w:t>
      </w:r>
      <w:r w:rsidR="006528E9">
        <w:rPr>
          <w:rFonts w:ascii="Arial" w:eastAsia="Calibri" w:hAnsi="Arial" w:cs="Arial"/>
          <w:lang w:val="es-ES_tradnl" w:eastAsia="es-MX"/>
        </w:rPr>
        <w:t xml:space="preserve"> del 16 de marzo de 2022</w:t>
      </w:r>
      <w:r w:rsidR="00A04E07">
        <w:rPr>
          <w:rFonts w:ascii="Arial" w:eastAsia="Calibri" w:hAnsi="Arial" w:cs="Arial"/>
          <w:lang w:val="es-ES_tradnl" w:eastAsia="es-MX"/>
        </w:rPr>
        <w:t>, C-108</w:t>
      </w:r>
      <w:r w:rsidR="006528E9">
        <w:rPr>
          <w:rFonts w:ascii="Arial" w:eastAsia="Calibri" w:hAnsi="Arial" w:cs="Arial"/>
          <w:lang w:val="es-ES_tradnl" w:eastAsia="es-MX"/>
        </w:rPr>
        <w:t xml:space="preserve"> del 23 de marzo de 2022</w:t>
      </w:r>
      <w:r w:rsidR="00A04E07">
        <w:rPr>
          <w:rFonts w:ascii="Arial" w:eastAsia="Calibri" w:hAnsi="Arial" w:cs="Arial"/>
          <w:lang w:val="es-ES_tradnl" w:eastAsia="es-MX"/>
        </w:rPr>
        <w:t>; C-</w:t>
      </w:r>
      <w:r w:rsidR="00A04E07">
        <w:rPr>
          <w:rFonts w:ascii="Arial" w:eastAsia="Calibri" w:hAnsi="Arial" w:cs="Arial"/>
          <w:lang w:val="es-ES_tradnl" w:eastAsia="es-MX"/>
        </w:rPr>
        <w:lastRenderedPageBreak/>
        <w:t>121</w:t>
      </w:r>
      <w:r w:rsidR="00562BD5">
        <w:rPr>
          <w:rFonts w:ascii="Arial" w:eastAsia="Calibri" w:hAnsi="Arial" w:cs="Arial"/>
          <w:lang w:val="es-ES_tradnl" w:eastAsia="es-MX"/>
        </w:rPr>
        <w:t xml:space="preserve"> del 30 de marzo de 2022</w:t>
      </w:r>
      <w:r w:rsidR="00A04E07">
        <w:rPr>
          <w:rFonts w:ascii="Arial" w:eastAsia="Calibri" w:hAnsi="Arial" w:cs="Arial"/>
          <w:lang w:val="es-ES_tradnl" w:eastAsia="es-MX"/>
        </w:rPr>
        <w:t>; C-142</w:t>
      </w:r>
      <w:r w:rsidR="00562BD5">
        <w:rPr>
          <w:rFonts w:ascii="Arial" w:eastAsia="Calibri" w:hAnsi="Arial" w:cs="Arial"/>
          <w:lang w:val="es-ES_tradnl" w:eastAsia="es-MX"/>
        </w:rPr>
        <w:t xml:space="preserve"> del 28 de marzo de 2022</w:t>
      </w:r>
      <w:r w:rsidR="00A04E07">
        <w:rPr>
          <w:rFonts w:ascii="Arial" w:eastAsia="Calibri" w:hAnsi="Arial" w:cs="Arial"/>
          <w:lang w:val="es-ES_tradnl" w:eastAsia="es-MX"/>
        </w:rPr>
        <w:t>, C-144</w:t>
      </w:r>
      <w:r w:rsidR="00562BD5">
        <w:rPr>
          <w:rFonts w:ascii="Arial" w:eastAsia="Calibri" w:hAnsi="Arial" w:cs="Arial"/>
          <w:lang w:val="es-ES_tradnl" w:eastAsia="es-MX"/>
        </w:rPr>
        <w:t xml:space="preserve"> del 12 de abril de 2022</w:t>
      </w:r>
      <w:r w:rsidR="00A04E07">
        <w:rPr>
          <w:rFonts w:ascii="Arial" w:eastAsia="Calibri" w:hAnsi="Arial" w:cs="Arial"/>
          <w:lang w:val="es-ES_tradnl" w:eastAsia="es-MX"/>
        </w:rPr>
        <w:t>; C-</w:t>
      </w:r>
      <w:r w:rsidR="00AF16BF">
        <w:rPr>
          <w:rFonts w:ascii="Arial" w:eastAsia="Calibri" w:hAnsi="Arial" w:cs="Arial"/>
          <w:lang w:val="es-ES_tradnl" w:eastAsia="es-MX"/>
        </w:rPr>
        <w:t>193</w:t>
      </w:r>
      <w:r w:rsidR="00562BD5">
        <w:rPr>
          <w:rFonts w:ascii="Arial" w:eastAsia="Calibri" w:hAnsi="Arial" w:cs="Arial"/>
          <w:lang w:val="es-ES_tradnl" w:eastAsia="es-MX"/>
        </w:rPr>
        <w:t xml:space="preserve"> del 18 de abril de 2022</w:t>
      </w:r>
      <w:r w:rsidR="00AF16BF">
        <w:rPr>
          <w:rFonts w:ascii="Arial" w:eastAsia="Calibri" w:hAnsi="Arial" w:cs="Arial"/>
          <w:lang w:val="es-ES_tradnl" w:eastAsia="es-MX"/>
        </w:rPr>
        <w:t>; C-200</w:t>
      </w:r>
      <w:r w:rsidR="00562BD5">
        <w:rPr>
          <w:rFonts w:ascii="Arial" w:eastAsia="Calibri" w:hAnsi="Arial" w:cs="Arial"/>
          <w:lang w:val="es-ES_tradnl" w:eastAsia="es-MX"/>
        </w:rPr>
        <w:t xml:space="preserve"> del 21 de abril de 2022</w:t>
      </w:r>
      <w:r w:rsidR="00AF16BF">
        <w:rPr>
          <w:rFonts w:ascii="Arial" w:eastAsia="Calibri" w:hAnsi="Arial" w:cs="Arial"/>
          <w:lang w:val="es-ES_tradnl" w:eastAsia="es-MX"/>
        </w:rPr>
        <w:t>; C-226</w:t>
      </w:r>
      <w:r w:rsidR="00562BD5">
        <w:rPr>
          <w:rFonts w:ascii="Arial" w:eastAsia="Calibri" w:hAnsi="Arial" w:cs="Arial"/>
          <w:lang w:val="es-ES_tradnl" w:eastAsia="es-MX"/>
        </w:rPr>
        <w:t xml:space="preserve"> del 26 de abril de 2022</w:t>
      </w:r>
      <w:r w:rsidR="00AF16BF">
        <w:rPr>
          <w:rFonts w:ascii="Arial" w:eastAsia="Calibri" w:hAnsi="Arial" w:cs="Arial"/>
          <w:lang w:val="es-ES_tradnl" w:eastAsia="es-MX"/>
        </w:rPr>
        <w:t>; C-234</w:t>
      </w:r>
      <w:r w:rsidR="00562BD5">
        <w:rPr>
          <w:rFonts w:ascii="Arial" w:eastAsia="Calibri" w:hAnsi="Arial" w:cs="Arial"/>
          <w:lang w:val="es-ES_tradnl" w:eastAsia="es-MX"/>
        </w:rPr>
        <w:t xml:space="preserve"> del 26 de abril de 2022</w:t>
      </w:r>
      <w:r w:rsidR="00AF16BF">
        <w:rPr>
          <w:rFonts w:ascii="Arial" w:eastAsia="Calibri" w:hAnsi="Arial" w:cs="Arial"/>
          <w:lang w:val="es-ES_tradnl" w:eastAsia="es-MX"/>
        </w:rPr>
        <w:t>; C-235</w:t>
      </w:r>
      <w:r w:rsidR="005124D4">
        <w:rPr>
          <w:rFonts w:ascii="Arial" w:eastAsia="Calibri" w:hAnsi="Arial" w:cs="Arial"/>
          <w:lang w:val="es-ES_tradnl" w:eastAsia="es-MX"/>
        </w:rPr>
        <w:t xml:space="preserve"> del 26 de abril de 2022</w:t>
      </w:r>
      <w:r w:rsidR="00AF16BF">
        <w:rPr>
          <w:rFonts w:ascii="Arial" w:eastAsia="Calibri" w:hAnsi="Arial" w:cs="Arial"/>
          <w:lang w:val="es-ES_tradnl" w:eastAsia="es-MX"/>
        </w:rPr>
        <w:t>; C-</w:t>
      </w:r>
      <w:r w:rsidR="00F30717">
        <w:rPr>
          <w:rFonts w:ascii="Arial" w:eastAsia="Calibri" w:hAnsi="Arial" w:cs="Arial"/>
          <w:lang w:val="es-ES_tradnl" w:eastAsia="es-MX"/>
        </w:rPr>
        <w:t>239; C-242</w:t>
      </w:r>
      <w:r w:rsidR="005124D4">
        <w:rPr>
          <w:rFonts w:ascii="Arial" w:eastAsia="Calibri" w:hAnsi="Arial" w:cs="Arial"/>
          <w:lang w:val="es-ES_tradnl" w:eastAsia="es-MX"/>
        </w:rPr>
        <w:t xml:space="preserve"> del 2 de mayo de 2022</w:t>
      </w:r>
      <w:r w:rsidR="00F30717">
        <w:rPr>
          <w:rFonts w:ascii="Arial" w:eastAsia="Calibri" w:hAnsi="Arial" w:cs="Arial"/>
          <w:lang w:val="es-ES_tradnl" w:eastAsia="es-MX"/>
        </w:rPr>
        <w:t>; C-287</w:t>
      </w:r>
      <w:r w:rsidR="005124D4">
        <w:rPr>
          <w:rFonts w:ascii="Arial" w:eastAsia="Calibri" w:hAnsi="Arial" w:cs="Arial"/>
          <w:lang w:val="es-ES_tradnl" w:eastAsia="es-MX"/>
        </w:rPr>
        <w:t xml:space="preserve"> del 11 de mayo de 2022, l</w:t>
      </w:r>
      <w:r w:rsidRPr="00F63A92">
        <w:rPr>
          <w:rFonts w:ascii="Arial" w:eastAsia="Calibri" w:hAnsi="Arial" w:cs="Arial"/>
          <w:lang w:val="es-ES_tradnl" w:eastAsia="es-MX"/>
        </w:rPr>
        <w:t>a Agencia se pronunció sobre la experiencia como requisito habilitante en la contratación pública.</w:t>
      </w:r>
      <w:r w:rsidR="005124D4">
        <w:rPr>
          <w:rFonts w:ascii="Arial" w:eastAsia="Calibri" w:hAnsi="Arial" w:cs="Arial"/>
          <w:lang w:val="es-ES_tradnl" w:eastAsia="es-MX"/>
        </w:rPr>
        <w:t xml:space="preserve"> </w:t>
      </w:r>
      <w:r w:rsidRPr="00F63A92">
        <w:rPr>
          <w:rFonts w:ascii="Arial" w:eastAsia="Calibri" w:hAnsi="Arial" w:cs="Arial"/>
          <w:lang w:val="es-ES_tradnl" w:eastAsia="es-MX"/>
        </w:rPr>
        <w:t xml:space="preserve">Del mismo modo, en los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 </w:t>
      </w:r>
    </w:p>
    <w:p w14:paraId="755BD7D6" w14:textId="40F9DF1B" w:rsidR="005F2C99" w:rsidRDefault="00680E6D" w:rsidP="004B5310">
      <w:pPr>
        <w:tabs>
          <w:tab w:val="left" w:pos="284"/>
        </w:tabs>
        <w:spacing w:after="0" w:line="276" w:lineRule="auto"/>
        <w:jc w:val="both"/>
        <w:rPr>
          <w:rFonts w:ascii="Arial" w:eastAsia="Calibri" w:hAnsi="Arial" w:cs="Arial"/>
          <w:lang w:val="es-ES" w:eastAsia="es-MX"/>
        </w:rPr>
      </w:pPr>
      <w:r w:rsidRPr="00F63A92">
        <w:rPr>
          <w:rFonts w:ascii="Arial" w:eastAsia="Calibri" w:hAnsi="Arial" w:cs="Arial"/>
          <w:lang w:val="es-ES_tradnl" w:eastAsia="es-MX"/>
        </w:rPr>
        <w:tab/>
      </w:r>
      <w:r w:rsidRPr="00F63A92">
        <w:rPr>
          <w:rFonts w:ascii="Arial" w:eastAsia="Calibri" w:hAnsi="Arial" w:cs="Arial"/>
          <w:lang w:val="es-ES_tradnl" w:eastAsia="es-MX"/>
        </w:rPr>
        <w:tab/>
      </w:r>
      <w:r w:rsidR="00AF5977" w:rsidRPr="00F63A92">
        <w:rPr>
          <w:rFonts w:ascii="Arial" w:eastAsia="Calibri" w:hAnsi="Arial" w:cs="Arial"/>
          <w:lang w:val="es-ES_tradnl" w:eastAsia="es-MX"/>
        </w:rPr>
        <w:t xml:space="preserve">Asimismo, esta Agencia </w:t>
      </w:r>
      <w:r w:rsidRPr="00F63A92">
        <w:rPr>
          <w:rFonts w:ascii="Arial" w:eastAsia="Calibri" w:hAnsi="Arial" w:cs="Arial"/>
          <w:lang w:val="es-ES_tradnl" w:eastAsia="es-MX"/>
        </w:rPr>
        <w:t>en los conceptos, C-025 del 16 de marzo de 2020, C-051 del 2 de marzo de 2020, C-165 del 1 de abril de 2020, C-233 del 16 de abril de 2020, C-407 de 12 de junio de 2020, C-398 de 30 de junio de 2020, C-470 del 14 de julio de 2020 C-584 de 31 de agosto 2020, C-619 de 21 de septiembre 2020, C-710 del 9 de diciembre de 2020, C-729 del 11 de diciembre de 2020, C-008 del 15 de febrero de 2021, C-103 del 24 de marzo de 2021, C-249 de 1 de junio de 2021, C-326 del 2 de julio de 2021,  C-358 del 19 de julio de 2021, C-405 y C-415 del 10 de agosto de 2021, C- 429 del 17 de agosto de 2021, C- 539 del 27 de septiembre de 2021</w:t>
      </w:r>
      <w:r w:rsidR="00AD0217">
        <w:rPr>
          <w:rFonts w:ascii="Arial" w:eastAsia="Calibri" w:hAnsi="Arial" w:cs="Arial"/>
          <w:lang w:val="es-ES_tradnl" w:eastAsia="es-MX"/>
        </w:rPr>
        <w:t xml:space="preserve">, C-034 del </w:t>
      </w:r>
      <w:r w:rsidR="005E614D">
        <w:rPr>
          <w:rFonts w:ascii="Arial" w:eastAsia="Calibri" w:hAnsi="Arial" w:cs="Arial"/>
          <w:lang w:val="es-ES_tradnl" w:eastAsia="es-MX"/>
        </w:rPr>
        <w:t xml:space="preserve">2 de marzo de 2022, C-144 del </w:t>
      </w:r>
      <w:r w:rsidR="00A0219D">
        <w:rPr>
          <w:rFonts w:ascii="Arial" w:eastAsia="Calibri" w:hAnsi="Arial" w:cs="Arial"/>
          <w:lang w:val="es-ES_tradnl" w:eastAsia="es-MX"/>
        </w:rPr>
        <w:t xml:space="preserve">28 de marzo de 2022, </w:t>
      </w:r>
      <w:r w:rsidR="0066751E">
        <w:rPr>
          <w:rFonts w:ascii="Arial" w:eastAsia="Calibri" w:hAnsi="Arial" w:cs="Arial"/>
          <w:lang w:val="es-ES_tradnl" w:eastAsia="es-MX"/>
        </w:rPr>
        <w:t xml:space="preserve">C-239 del 26 de abril de 2022, </w:t>
      </w:r>
      <w:r w:rsidRPr="00F63A92">
        <w:rPr>
          <w:rFonts w:ascii="Arial" w:eastAsia="Calibri" w:hAnsi="Arial" w:cs="Arial"/>
          <w:lang w:val="es-ES_tradnl" w:eastAsia="es-MX"/>
        </w:rPr>
        <w:t xml:space="preserve">estudió la acreditación de la experiencia de los socios por una sociedad nueva con menos de </w:t>
      </w:r>
      <w:r w:rsidR="00B71ED8">
        <w:rPr>
          <w:rFonts w:ascii="Arial" w:eastAsia="Calibri" w:hAnsi="Arial" w:cs="Arial"/>
          <w:lang w:val="es-ES_tradnl" w:eastAsia="es-MX"/>
        </w:rPr>
        <w:t>tres (</w:t>
      </w:r>
      <w:r w:rsidRPr="00F63A92">
        <w:rPr>
          <w:rFonts w:ascii="Arial" w:eastAsia="Calibri" w:hAnsi="Arial" w:cs="Arial"/>
          <w:lang w:val="es-ES_tradnl" w:eastAsia="es-MX"/>
        </w:rPr>
        <w:t>3</w:t>
      </w:r>
      <w:r w:rsidR="00B71ED8">
        <w:rPr>
          <w:rFonts w:ascii="Arial" w:eastAsia="Calibri" w:hAnsi="Arial" w:cs="Arial"/>
          <w:lang w:val="es-ES_tradnl" w:eastAsia="es-MX"/>
        </w:rPr>
        <w:t>)</w:t>
      </w:r>
      <w:r w:rsidRPr="00F63A92">
        <w:rPr>
          <w:rFonts w:ascii="Arial" w:eastAsia="Calibri" w:hAnsi="Arial" w:cs="Arial"/>
          <w:lang w:val="es-ES_tradnl" w:eastAsia="es-MX"/>
        </w:rPr>
        <w:t xml:space="preserve"> años de constitución</w:t>
      </w:r>
      <w:r w:rsidRPr="00F63A92">
        <w:rPr>
          <w:rFonts w:ascii="Arial" w:eastAsia="Calibri" w:hAnsi="Arial" w:cs="Arial"/>
          <w:vertAlign w:val="superscript"/>
          <w:lang w:val="es-ES"/>
        </w:rPr>
        <w:footnoteReference w:id="1"/>
      </w:r>
      <w:r w:rsidRPr="00F63A92">
        <w:rPr>
          <w:rFonts w:ascii="Arial" w:eastAsia="Calibri" w:hAnsi="Arial" w:cs="Arial"/>
          <w:lang w:val="es-ES"/>
        </w:rPr>
        <w:t>.</w:t>
      </w:r>
      <w:r w:rsidR="005F2C99" w:rsidRPr="00F63A92">
        <w:rPr>
          <w:rFonts w:ascii="Arial" w:eastAsia="Times New Roman" w:hAnsi="Arial" w:cs="Arial"/>
          <w:lang w:val="es-ES_tradnl" w:eastAsia="es-MX"/>
        </w:rPr>
        <w:t xml:space="preserve">Algunos de los argumentos expuestos </w:t>
      </w:r>
      <w:r w:rsidR="004E2B12" w:rsidRPr="00F63A92">
        <w:rPr>
          <w:rFonts w:ascii="Arial" w:eastAsia="Times New Roman" w:hAnsi="Arial" w:cs="Arial"/>
          <w:lang w:val="es-ES_tradnl" w:eastAsia="es-MX"/>
        </w:rPr>
        <w:t>en los mencionados</w:t>
      </w:r>
      <w:r w:rsidR="005F2C99" w:rsidRPr="00F63A92">
        <w:rPr>
          <w:rFonts w:ascii="Arial" w:eastAsia="Times New Roman" w:hAnsi="Arial" w:cs="Arial"/>
          <w:lang w:val="es-ES_tradnl" w:eastAsia="es-MX"/>
        </w:rPr>
        <w:t xml:space="preserve"> conceptos se reiteran y complementan a continuación</w:t>
      </w:r>
      <w:r w:rsidR="005F2C99" w:rsidRPr="00F63A92">
        <w:rPr>
          <w:rFonts w:ascii="Arial" w:eastAsia="Calibri" w:hAnsi="Arial" w:cs="Arial"/>
          <w:lang w:val="es-ES" w:eastAsia="es-MX"/>
        </w:rPr>
        <w:t>.</w:t>
      </w:r>
    </w:p>
    <w:p w14:paraId="5F742AB2" w14:textId="1AA64941" w:rsidR="005F2C99" w:rsidRPr="00935747" w:rsidRDefault="005F2C99" w:rsidP="004B5310">
      <w:pPr>
        <w:widowControl w:val="0"/>
        <w:autoSpaceDE w:val="0"/>
        <w:autoSpaceDN w:val="0"/>
        <w:spacing w:after="0" w:line="240" w:lineRule="auto"/>
        <w:contextualSpacing/>
        <w:jc w:val="both"/>
        <w:rPr>
          <w:rFonts w:ascii="Arial" w:eastAsia="Times New Roman" w:hAnsi="Arial" w:cs="Arial"/>
          <w:bCs/>
          <w:lang w:val="es-MX" w:eastAsia="x-none"/>
        </w:rPr>
      </w:pPr>
    </w:p>
    <w:p w14:paraId="5741EA5D" w14:textId="77777777" w:rsidR="0066787D" w:rsidRPr="0066787D" w:rsidRDefault="0066787D" w:rsidP="0066787D">
      <w:pPr>
        <w:spacing w:after="0" w:line="276" w:lineRule="auto"/>
        <w:contextualSpacing/>
        <w:jc w:val="both"/>
        <w:rPr>
          <w:rFonts w:ascii="Arial" w:eastAsia="Times New Roman" w:hAnsi="Arial" w:cs="Arial"/>
          <w:b/>
          <w:bCs/>
          <w:color w:val="000000"/>
          <w:szCs w:val="24"/>
          <w:lang w:val="es-ES_tradnl" w:eastAsia="es-ES_tradnl"/>
        </w:rPr>
      </w:pPr>
      <w:r w:rsidRPr="0066787D">
        <w:rPr>
          <w:rFonts w:ascii="Arial" w:eastAsia="Times New Roman" w:hAnsi="Arial" w:cs="Arial"/>
          <w:b/>
          <w:bCs/>
          <w:color w:val="000000"/>
          <w:szCs w:val="24"/>
          <w:lang w:val="es-ES_tradnl" w:eastAsia="es-ES_tradnl"/>
        </w:rPr>
        <w:t>2.1. Registro Único de Proponentes –RUP–. Concepto y sujetos obligados</w:t>
      </w:r>
    </w:p>
    <w:p w14:paraId="16C8D06C" w14:textId="77777777" w:rsidR="0066787D" w:rsidRPr="004B5310" w:rsidRDefault="0066787D" w:rsidP="0066787D">
      <w:pPr>
        <w:spacing w:after="0" w:line="276" w:lineRule="auto"/>
        <w:contextualSpacing/>
        <w:jc w:val="both"/>
        <w:rPr>
          <w:rFonts w:ascii="Arial" w:eastAsia="Calibri" w:hAnsi="Arial" w:cs="Arial"/>
          <w:b/>
          <w:bCs/>
          <w:sz w:val="20"/>
          <w:szCs w:val="20"/>
          <w:lang w:val="es-ES_tradnl" w:eastAsia="es-ES_tradnl"/>
        </w:rPr>
      </w:pPr>
    </w:p>
    <w:p w14:paraId="30F08285" w14:textId="5B866A1F" w:rsidR="0066787D" w:rsidRPr="0066787D" w:rsidRDefault="0066787D" w:rsidP="0066787D">
      <w:pPr>
        <w:spacing w:after="0" w:line="276" w:lineRule="auto"/>
        <w:contextualSpacing/>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El Registro Único de Proponentes </w:t>
      </w:r>
      <w:r w:rsidR="005C1E08">
        <w:rPr>
          <w:rFonts w:ascii="Arial" w:eastAsia="Times New Roman" w:hAnsi="Arial" w:cs="Arial"/>
          <w:color w:val="000000"/>
          <w:szCs w:val="24"/>
          <w:lang w:eastAsia="es-ES_tradnl"/>
        </w:rPr>
        <w:t>(</w:t>
      </w:r>
      <w:r w:rsidR="006205FA">
        <w:rPr>
          <w:rFonts w:ascii="Arial" w:eastAsia="Times New Roman" w:hAnsi="Arial" w:cs="Arial"/>
          <w:color w:val="000000"/>
          <w:szCs w:val="24"/>
          <w:lang w:eastAsia="es-ES_tradnl"/>
        </w:rPr>
        <w:t xml:space="preserve">en adelante </w:t>
      </w:r>
      <w:r w:rsidR="005C1E08">
        <w:rPr>
          <w:rFonts w:ascii="Arial" w:eastAsia="Times New Roman" w:hAnsi="Arial" w:cs="Arial"/>
          <w:color w:val="000000"/>
          <w:szCs w:val="24"/>
          <w:lang w:eastAsia="es-ES_tradnl"/>
        </w:rPr>
        <w:t xml:space="preserve">RUP) </w:t>
      </w:r>
      <w:r w:rsidRPr="0066787D">
        <w:rPr>
          <w:rFonts w:ascii="Arial" w:eastAsia="Times New Roman" w:hAnsi="Arial" w:cs="Arial"/>
          <w:color w:val="000000"/>
          <w:szCs w:val="24"/>
          <w:lang w:eastAsia="es-ES_tradnl"/>
        </w:rPr>
        <w:t xml:space="preserve">como instrumento en el que consta la información relacionada con las personas naturales y jurídicas, con el fin de </w:t>
      </w:r>
      <w:r w:rsidRPr="0066787D">
        <w:rPr>
          <w:rFonts w:ascii="Arial" w:eastAsia="Times New Roman" w:hAnsi="Arial" w:cs="Arial"/>
          <w:color w:val="000000"/>
          <w:szCs w:val="24"/>
          <w:lang w:eastAsia="es-ES_tradnl"/>
        </w:rPr>
        <w:lastRenderedPageBreak/>
        <w:t>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15CC0681" w14:textId="77777777" w:rsidR="0066787D" w:rsidRPr="0066787D" w:rsidRDefault="0066787D" w:rsidP="004B5310">
      <w:pPr>
        <w:spacing w:after="0" w:line="240" w:lineRule="auto"/>
        <w:ind w:right="426"/>
        <w:contextualSpacing/>
        <w:rPr>
          <w:rFonts w:ascii="Arial" w:eastAsia="Times New Roman" w:hAnsi="Arial" w:cs="Arial"/>
          <w:color w:val="000000"/>
          <w:szCs w:val="24"/>
          <w:lang w:eastAsia="es-ES_tradnl"/>
        </w:rPr>
      </w:pPr>
    </w:p>
    <w:p w14:paraId="4F2242B4" w14:textId="77777777" w:rsidR="0066787D" w:rsidRPr="0066787D" w:rsidRDefault="0066787D" w:rsidP="001B70E3">
      <w:pPr>
        <w:tabs>
          <w:tab w:val="left" w:pos="8505"/>
        </w:tabs>
        <w:spacing w:after="0" w:line="240" w:lineRule="auto"/>
        <w:ind w:left="709" w:right="709"/>
        <w:contextualSpacing/>
        <w:jc w:val="both"/>
        <w:rPr>
          <w:rFonts w:ascii="Arial" w:eastAsia="Times New Roman" w:hAnsi="Arial" w:cs="Arial"/>
          <w:color w:val="000000"/>
          <w:sz w:val="21"/>
          <w:szCs w:val="21"/>
          <w:lang w:eastAsia="es-ES_tradnl"/>
        </w:rPr>
      </w:pPr>
      <w:r w:rsidRPr="0066787D">
        <w:rPr>
          <w:rFonts w:ascii="Arial" w:eastAsia="Times New Roman" w:hAnsi="Arial" w:cs="Arial"/>
          <w:color w:val="000000"/>
          <w:sz w:val="21"/>
          <w:szCs w:val="21"/>
          <w:lang w:eastAsia="es-ES_tradnl"/>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66787D">
        <w:rPr>
          <w:rFonts w:ascii="Arial" w:eastAsia="Times New Roman" w:hAnsi="Arial" w:cs="Arial"/>
          <w:color w:val="000000"/>
          <w:sz w:val="21"/>
          <w:szCs w:val="21"/>
          <w:vertAlign w:val="superscript"/>
          <w:lang w:eastAsia="es-ES_tradnl"/>
        </w:rPr>
        <w:footnoteReference w:id="2"/>
      </w:r>
      <w:r w:rsidRPr="0066787D">
        <w:rPr>
          <w:rFonts w:ascii="Arial" w:eastAsia="Times New Roman" w:hAnsi="Arial" w:cs="Arial"/>
          <w:color w:val="000000"/>
          <w:sz w:val="21"/>
          <w:szCs w:val="21"/>
          <w:lang w:eastAsia="es-ES_tradnl"/>
        </w:rPr>
        <w:t>.</w:t>
      </w:r>
    </w:p>
    <w:p w14:paraId="7065C3F0" w14:textId="77777777" w:rsidR="0066787D" w:rsidRPr="004B5310" w:rsidRDefault="0066787D" w:rsidP="0066787D">
      <w:pPr>
        <w:spacing w:after="0" w:line="276" w:lineRule="auto"/>
        <w:contextualSpacing/>
        <w:jc w:val="both"/>
        <w:rPr>
          <w:rFonts w:ascii="Arial" w:eastAsia="Times New Roman" w:hAnsi="Arial" w:cs="Arial"/>
          <w:color w:val="000000"/>
          <w:sz w:val="20"/>
          <w:lang w:eastAsia="es-ES_tradnl"/>
        </w:rPr>
      </w:pPr>
    </w:p>
    <w:p w14:paraId="0B1AB225" w14:textId="47E2D88D" w:rsidR="0066787D" w:rsidRPr="0066787D" w:rsidRDefault="0066787D" w:rsidP="00AF1BF4">
      <w:pPr>
        <w:spacing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El artículo 6.1 de la Ley 1150 de 2007 dispone que el </w:t>
      </w:r>
      <w:r w:rsidR="00240437">
        <w:rPr>
          <w:rFonts w:ascii="Arial" w:eastAsia="Times New Roman" w:hAnsi="Arial" w:cs="Arial"/>
          <w:color w:val="000000"/>
          <w:szCs w:val="24"/>
          <w:lang w:eastAsia="es-ES_tradnl"/>
        </w:rPr>
        <w:t>RUP</w:t>
      </w:r>
      <w:r w:rsidRPr="0066787D">
        <w:rPr>
          <w:rFonts w:ascii="Arial" w:eastAsia="Times New Roman" w:hAnsi="Arial" w:cs="Arial"/>
          <w:color w:val="000000"/>
          <w:szCs w:val="24"/>
          <w:lang w:eastAsia="es-ES_tradnl"/>
        </w:rPr>
        <w:t xml:space="preserve"> es plena prueba de la información que contiene</w:t>
      </w:r>
      <w:r w:rsidRPr="0066787D">
        <w:rPr>
          <w:rFonts w:ascii="Arial" w:eastAsia="Times New Roman" w:hAnsi="Arial" w:cs="Arial"/>
          <w:color w:val="000000"/>
          <w:szCs w:val="24"/>
          <w:vertAlign w:val="superscript"/>
          <w:lang w:eastAsia="es-ES_tradnl"/>
        </w:rPr>
        <w:footnoteReference w:id="3"/>
      </w:r>
      <w:r w:rsidRPr="0066787D">
        <w:rPr>
          <w:rFonts w:ascii="Arial" w:eastAsia="Times New Roman" w:hAnsi="Arial" w:cs="Arial"/>
          <w:color w:val="000000"/>
          <w:szCs w:val="24"/>
          <w:lang w:eastAsia="es-ES_tradnl"/>
        </w:rPr>
        <w:t>.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w:t>
      </w:r>
      <w:r w:rsidR="004F075B">
        <w:rPr>
          <w:rFonts w:ascii="Arial" w:eastAsia="Times New Roman" w:hAnsi="Arial" w:cs="Arial"/>
          <w:color w:val="000000"/>
          <w:szCs w:val="24"/>
          <w:lang w:eastAsia="es-ES_tradnl"/>
        </w:rPr>
        <w:t xml:space="preserve"> parte de</w:t>
      </w:r>
      <w:r w:rsidRPr="0066787D">
        <w:rPr>
          <w:rFonts w:ascii="Arial" w:eastAsia="Times New Roman" w:hAnsi="Arial" w:cs="Arial"/>
          <w:color w:val="000000"/>
          <w:szCs w:val="24"/>
          <w:lang w:eastAsia="es-ES_tradnl"/>
        </w:rPr>
        <w:t xml:space="preserve"> las entidades </w:t>
      </w:r>
      <w:r w:rsidR="004F075B">
        <w:rPr>
          <w:rFonts w:ascii="Arial" w:eastAsia="Times New Roman" w:hAnsi="Arial" w:cs="Arial"/>
          <w:color w:val="000000"/>
          <w:szCs w:val="24"/>
          <w:lang w:eastAsia="es-ES_tradnl"/>
        </w:rPr>
        <w:t xml:space="preserve">estatales </w:t>
      </w:r>
      <w:r w:rsidRPr="0066787D">
        <w:rPr>
          <w:rFonts w:ascii="Arial" w:eastAsia="Times New Roman" w:hAnsi="Arial" w:cs="Arial"/>
          <w:color w:val="000000"/>
          <w:szCs w:val="24"/>
          <w:lang w:eastAsia="es-ES_tradnl"/>
        </w:rPr>
        <w:t>en los procedimientos de contratación en los que es exigible el RUP</w:t>
      </w:r>
      <w:r w:rsidRPr="0066787D">
        <w:rPr>
          <w:rFonts w:ascii="Arial" w:eastAsia="Times New Roman" w:hAnsi="Arial" w:cs="Arial"/>
          <w:color w:val="000000"/>
          <w:szCs w:val="24"/>
          <w:vertAlign w:val="superscript"/>
          <w:lang w:eastAsia="es-ES_tradnl"/>
        </w:rPr>
        <w:footnoteReference w:id="4"/>
      </w:r>
      <w:r w:rsidRPr="0066787D">
        <w:rPr>
          <w:rFonts w:ascii="Arial" w:eastAsia="Times New Roman" w:hAnsi="Arial" w:cs="Arial"/>
          <w:color w:val="000000"/>
          <w:szCs w:val="24"/>
          <w:lang w:eastAsia="es-ES_tradnl"/>
        </w:rPr>
        <w:t xml:space="preserve">. De esta forma, la capacidad jurídica </w:t>
      </w:r>
      <w:r w:rsidRPr="0066787D">
        <w:rPr>
          <w:rFonts w:ascii="Arial" w:eastAsia="Times New Roman" w:hAnsi="Arial" w:cs="Arial"/>
          <w:color w:val="000000"/>
          <w:szCs w:val="24"/>
          <w:lang w:eastAsia="es-ES_tradnl"/>
        </w:rPr>
        <w:lastRenderedPageBreak/>
        <w:t xml:space="preserve">y las condiciones de experiencia, capacidad financiera y de organización de los proponentes deberán ser verificadas exclusivamente a través del </w:t>
      </w:r>
      <w:r w:rsidR="004F075B">
        <w:rPr>
          <w:rFonts w:ascii="Arial" w:eastAsia="Times New Roman" w:hAnsi="Arial" w:cs="Arial"/>
          <w:color w:val="000000"/>
          <w:szCs w:val="24"/>
          <w:lang w:eastAsia="es-ES_tradnl"/>
        </w:rPr>
        <w:t>RUP</w:t>
      </w:r>
      <w:r w:rsidR="004F075B" w:rsidRPr="0066787D">
        <w:rPr>
          <w:rFonts w:ascii="Arial" w:eastAsia="Times New Roman" w:hAnsi="Arial" w:cs="Arial"/>
          <w:color w:val="000000"/>
          <w:szCs w:val="24"/>
          <w:lang w:eastAsia="es-ES_tradnl"/>
        </w:rPr>
        <w:t xml:space="preserve">, </w:t>
      </w:r>
      <w:r w:rsidRPr="0066787D">
        <w:rPr>
          <w:rFonts w:ascii="Arial" w:eastAsia="Times New Roman" w:hAnsi="Arial" w:cs="Arial"/>
          <w:color w:val="000000"/>
          <w:szCs w:val="24"/>
          <w:lang w:eastAsia="es-ES_tradnl"/>
        </w:rPr>
        <w:t>pues de acuerdo con lo expuesto, este documento es plena prueba de la información financiera, de experiencia y de capacidad acreditada por la persona natural o jurídica</w:t>
      </w:r>
      <w:r w:rsidRPr="0066787D">
        <w:rPr>
          <w:rFonts w:ascii="Arial" w:eastAsia="Times New Roman" w:hAnsi="Arial" w:cs="Arial"/>
          <w:color w:val="000000"/>
          <w:szCs w:val="24"/>
          <w:vertAlign w:val="superscript"/>
          <w:lang w:eastAsia="es-ES_tradnl"/>
        </w:rPr>
        <w:footnoteReference w:id="5"/>
      </w:r>
      <w:r w:rsidRPr="0066787D">
        <w:rPr>
          <w:rFonts w:ascii="Arial" w:eastAsia="Times New Roman" w:hAnsi="Arial" w:cs="Arial"/>
          <w:color w:val="000000"/>
          <w:szCs w:val="24"/>
          <w:lang w:eastAsia="es-ES_tradnl"/>
        </w:rPr>
        <w:t xml:space="preserve">. </w:t>
      </w:r>
    </w:p>
    <w:p w14:paraId="1A30F4E9" w14:textId="57887F4B" w:rsidR="0066787D" w:rsidRPr="0066787D" w:rsidRDefault="0066787D" w:rsidP="00AF1BF4">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66787D">
        <w:rPr>
          <w:rFonts w:ascii="Arial" w:eastAsia="Times New Roman" w:hAnsi="Arial" w:cs="Arial"/>
          <w:color w:val="000000"/>
          <w:szCs w:val="24"/>
          <w:vertAlign w:val="superscript"/>
          <w:lang w:eastAsia="es-ES_tradnl"/>
        </w:rPr>
        <w:footnoteReference w:id="6"/>
      </w:r>
      <w:r w:rsidRPr="0066787D">
        <w:rPr>
          <w:rFonts w:ascii="Arial" w:eastAsia="Times New Roman" w:hAnsi="Arial" w:cs="Arial"/>
          <w:color w:val="000000"/>
          <w:szCs w:val="24"/>
          <w:lang w:eastAsia="es-ES_tradnl"/>
        </w:rPr>
        <w:t xml:space="preserve">. </w:t>
      </w:r>
      <w:r w:rsidRPr="0066787D">
        <w:rPr>
          <w:rFonts w:ascii="Arial" w:eastAsia="Times New Roman" w:hAnsi="Arial" w:cs="Arial"/>
          <w:szCs w:val="24"/>
          <w:lang w:val="es-ES_tradnl" w:eastAsia="es-ES_tradnl"/>
        </w:rPr>
        <w:t xml:space="preserve">Estas excepciones son taxativas y se rigen por una interpretación restrictiva. Así lo dispone el artículo 2.2.1.1.1.5.1 del Decreto 1082 de 2015, al prescribir que la inscripción en </w:t>
      </w:r>
      <w:r w:rsidRPr="0066787D">
        <w:rPr>
          <w:rFonts w:ascii="Arial" w:eastAsia="Times New Roman" w:hAnsi="Arial" w:cs="Arial"/>
          <w:szCs w:val="24"/>
          <w:lang w:val="es-ES_tradnl" w:eastAsia="es-ES_tradnl"/>
        </w:rPr>
        <w:lastRenderedPageBreak/>
        <w:t xml:space="preserve">el RUP es imperativa para los sujetos mencionados en el primer inciso del artículo 6 de la Ley 1150 de 2007, salvo las excepciones previstas de forma taxativa en la ley. </w:t>
      </w:r>
      <w:r w:rsidRPr="0066787D">
        <w:rPr>
          <w:rFonts w:ascii="Arial" w:eastAsia="Times New Roman" w:hAnsi="Arial" w:cs="Arial"/>
          <w:color w:val="000000"/>
          <w:szCs w:val="24"/>
          <w:lang w:eastAsia="es-ES_tradnl"/>
        </w:rPr>
        <w:t>Adicionalmente,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sidRPr="0066787D">
        <w:rPr>
          <w:rFonts w:ascii="Arial" w:eastAsia="Times New Roman" w:hAnsi="Arial" w:cs="Arial"/>
          <w:color w:val="000000"/>
          <w:szCs w:val="24"/>
          <w:vertAlign w:val="superscript"/>
          <w:lang w:eastAsia="es-ES_tradnl"/>
        </w:rPr>
        <w:footnoteReference w:id="7"/>
      </w:r>
      <w:r w:rsidRPr="0066787D">
        <w:rPr>
          <w:rFonts w:ascii="Arial" w:eastAsia="Times New Roman" w:hAnsi="Arial" w:cs="Arial"/>
          <w:color w:val="000000"/>
          <w:szCs w:val="24"/>
          <w:lang w:eastAsia="es-ES_tradnl"/>
        </w:rPr>
        <w:t>.</w:t>
      </w:r>
    </w:p>
    <w:p w14:paraId="63303C59" w14:textId="2C9AF634" w:rsidR="0066787D" w:rsidRPr="0066787D" w:rsidRDefault="0066787D" w:rsidP="00AF1BF4">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En la exposición de motivos de la Ley 1150 de 2007 se expresa la necesidad de establecer excepciones a la regla general de la exigencia del </w:t>
      </w:r>
      <w:r w:rsidR="00A34E16">
        <w:rPr>
          <w:rFonts w:ascii="Arial" w:eastAsia="Times New Roman" w:hAnsi="Arial" w:cs="Arial"/>
          <w:color w:val="000000"/>
          <w:szCs w:val="24"/>
          <w:lang w:eastAsia="es-ES_tradnl"/>
        </w:rPr>
        <w:t>RUP</w:t>
      </w:r>
      <w:r w:rsidRPr="0066787D">
        <w:rPr>
          <w:rFonts w:ascii="Arial" w:eastAsia="Times New Roman" w:hAnsi="Arial" w:cs="Arial"/>
          <w:color w:val="000000"/>
          <w:szCs w:val="24"/>
          <w:lang w:eastAsia="es-ES_tradnl"/>
        </w:rPr>
        <w:t xml:space="preserve"> a las personas naturales o jurídicas que deseen participar en los procedimientos de contratación de las entidades estatales. Dispone que la </w:t>
      </w:r>
      <w:r w:rsidR="009D5F58" w:rsidRPr="0066787D">
        <w:rPr>
          <w:rFonts w:ascii="Arial" w:eastAsia="Times New Roman" w:hAnsi="Arial" w:cs="Arial"/>
          <w:color w:val="000000"/>
          <w:szCs w:val="24"/>
          <w:lang w:eastAsia="es-ES_tradnl"/>
        </w:rPr>
        <w:t xml:space="preserve">cámara de comercio </w:t>
      </w:r>
      <w:r w:rsidRPr="0066787D">
        <w:rPr>
          <w:rFonts w:ascii="Arial" w:eastAsia="Times New Roman" w:hAnsi="Arial" w:cs="Arial"/>
          <w:color w:val="000000"/>
          <w:szCs w:val="24"/>
          <w:lang w:eastAsia="es-ES_tradnl"/>
        </w:rPr>
        <w:t>fungirá como verificadora de la información habilitante, sin perjuicio de que las entidades estatales verifiquen la información contenida en el RUP en relación con los requisitos solicitados en el pliego de condiciones</w:t>
      </w:r>
      <w:r w:rsidRPr="0066787D">
        <w:rPr>
          <w:rFonts w:ascii="Arial" w:eastAsia="Times New Roman" w:hAnsi="Arial" w:cs="Arial"/>
          <w:color w:val="000000"/>
          <w:szCs w:val="24"/>
          <w:vertAlign w:val="superscript"/>
          <w:lang w:eastAsia="es-ES_tradnl"/>
        </w:rPr>
        <w:footnoteReference w:id="8"/>
      </w:r>
      <w:r w:rsidRPr="0066787D">
        <w:rPr>
          <w:rFonts w:ascii="Arial" w:eastAsia="Times New Roman" w:hAnsi="Arial" w:cs="Arial"/>
          <w:color w:val="000000"/>
          <w:szCs w:val="24"/>
          <w:lang w:eastAsia="es-ES_tradnl"/>
        </w:rPr>
        <w:t>.</w:t>
      </w:r>
    </w:p>
    <w:p w14:paraId="4C881AE4" w14:textId="4CF0EBF2" w:rsidR="0066787D" w:rsidRPr="0066787D" w:rsidRDefault="0066787D" w:rsidP="00AF1BF4">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w:t>
      </w:r>
      <w:r w:rsidRPr="0066787D">
        <w:rPr>
          <w:rFonts w:ascii="Arial" w:eastAsia="Times New Roman" w:hAnsi="Arial" w:cs="Arial"/>
          <w:color w:val="000000"/>
          <w:szCs w:val="24"/>
          <w:lang w:eastAsia="es-ES_tradnl"/>
        </w:rPr>
        <w:lastRenderedPageBreak/>
        <w:t>oferentes. Lo anterior fue ratificado por el Consejo de Estado cuando enumeró las excepciones en las cuales las entidades tienen la obligación de verificar los requisitos habilitantes de los proponentes</w:t>
      </w:r>
      <w:r w:rsidRPr="0066787D">
        <w:rPr>
          <w:rFonts w:ascii="Arial" w:eastAsia="Times New Roman" w:hAnsi="Arial" w:cs="Arial"/>
          <w:color w:val="000000"/>
          <w:szCs w:val="24"/>
          <w:vertAlign w:val="superscript"/>
          <w:lang w:eastAsia="es-ES_tradnl"/>
        </w:rPr>
        <w:footnoteReference w:id="9"/>
      </w:r>
      <w:r w:rsidRPr="0066787D">
        <w:rPr>
          <w:rFonts w:ascii="Arial" w:eastAsia="Times New Roman" w:hAnsi="Arial" w:cs="Arial"/>
          <w:color w:val="000000"/>
          <w:szCs w:val="24"/>
          <w:lang w:eastAsia="es-ES_tradnl"/>
        </w:rPr>
        <w:t xml:space="preserve">.  </w:t>
      </w:r>
    </w:p>
    <w:p w14:paraId="1C7C80A3" w14:textId="1242AC79" w:rsidR="0066787D" w:rsidRPr="0066787D" w:rsidRDefault="0066787D" w:rsidP="00AF1BF4">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Ahora bien, el inciso 1 del artículo 6 de la Ley 1150 de 2007</w:t>
      </w:r>
      <w:r w:rsidRPr="0066787D">
        <w:rPr>
          <w:rFonts w:ascii="Arial" w:eastAsia="Times New Roman" w:hAnsi="Arial" w:cs="Arial"/>
          <w:color w:val="000000"/>
          <w:szCs w:val="24"/>
          <w:vertAlign w:val="superscript"/>
          <w:lang w:eastAsia="es-ES_tradnl"/>
        </w:rPr>
        <w:footnoteReference w:id="10"/>
      </w:r>
      <w:r w:rsidRPr="0066787D">
        <w:rPr>
          <w:rFonts w:ascii="Arial" w:eastAsia="Times New Roman" w:hAnsi="Arial" w:cs="Arial"/>
          <w:color w:val="000000"/>
          <w:szCs w:val="24"/>
          <w:lang w:eastAsia="es-ES_tradnl"/>
        </w:rPr>
        <w:t xml:space="preserve">, </w:t>
      </w:r>
      <w:r w:rsidR="002731C0">
        <w:rPr>
          <w:rFonts w:ascii="Arial" w:eastAsia="Times New Roman" w:hAnsi="Arial" w:cs="Arial"/>
          <w:color w:val="000000"/>
          <w:szCs w:val="24"/>
          <w:lang w:eastAsia="es-ES_tradnl"/>
        </w:rPr>
        <w:t xml:space="preserve">mediante el cual se </w:t>
      </w:r>
      <w:r w:rsidRPr="0066787D">
        <w:rPr>
          <w:rFonts w:ascii="Arial" w:eastAsia="Times New Roman" w:hAnsi="Arial" w:cs="Arial"/>
          <w:color w:val="000000"/>
          <w:szCs w:val="24"/>
          <w:lang w:eastAsia="es-ES_tradnl"/>
        </w:rPr>
        <w:t>regula</w:t>
      </w:r>
      <w:r w:rsidR="002731C0">
        <w:rPr>
          <w:rFonts w:ascii="Arial" w:eastAsia="Times New Roman" w:hAnsi="Arial" w:cs="Arial"/>
          <w:color w:val="000000"/>
          <w:szCs w:val="24"/>
          <w:lang w:eastAsia="es-ES_tradnl"/>
        </w:rPr>
        <w:t>n</w:t>
      </w:r>
      <w:r w:rsidRPr="0066787D">
        <w:rPr>
          <w:rFonts w:ascii="Arial" w:eastAsia="Times New Roman" w:hAnsi="Arial" w:cs="Arial"/>
          <w:color w:val="000000"/>
          <w:szCs w:val="24"/>
          <w:lang w:eastAsia="es-ES_tradnl"/>
        </w:rPr>
        <w:t xml:space="preserve">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sidRPr="0066787D">
        <w:rPr>
          <w:rFonts w:ascii="Arial" w:eastAsia="Times New Roman" w:hAnsi="Arial" w:cs="Arial"/>
          <w:color w:val="000000"/>
          <w:szCs w:val="24"/>
          <w:vertAlign w:val="superscript"/>
          <w:lang w:eastAsia="es-ES_tradnl"/>
        </w:rPr>
        <w:footnoteReference w:id="11"/>
      </w:r>
      <w:r w:rsidRPr="0066787D">
        <w:rPr>
          <w:rFonts w:ascii="Arial" w:eastAsia="Times New Roman" w:hAnsi="Arial" w:cs="Arial"/>
          <w:color w:val="000000"/>
          <w:szCs w:val="24"/>
          <w:lang w:eastAsia="es-ES_tradnl"/>
        </w:rPr>
        <w:t xml:space="preserve">. </w:t>
      </w:r>
    </w:p>
    <w:p w14:paraId="6F5F9E97" w14:textId="41BD77E3" w:rsidR="0066787D" w:rsidRPr="0066787D" w:rsidRDefault="0066787D" w:rsidP="00AF1BF4">
      <w:pPr>
        <w:widowControl w:val="0"/>
        <w:autoSpaceDE w:val="0"/>
        <w:autoSpaceDN w:val="0"/>
        <w:spacing w:before="8" w:after="0" w:line="276" w:lineRule="auto"/>
        <w:ind w:firstLine="708"/>
        <w:jc w:val="both"/>
        <w:rPr>
          <w:rFonts w:ascii="Arial" w:eastAsia="Arial" w:hAnsi="Arial" w:cs="Arial"/>
          <w:b/>
          <w:lang w:val="es-ES"/>
        </w:rPr>
      </w:pPr>
      <w:r w:rsidRPr="0066787D">
        <w:rPr>
          <w:rFonts w:ascii="Arial" w:eastAsia="Times New Roman" w:hAnsi="Arial" w:cs="Arial"/>
          <w:color w:val="000000"/>
          <w:szCs w:val="24"/>
          <w:lang w:eastAsia="es-ES_tradnl"/>
        </w:rPr>
        <w:t>En el mismo sentido, el Decreto 1082 de 2015</w:t>
      </w:r>
      <w:r w:rsidRPr="0066787D">
        <w:rPr>
          <w:rFonts w:ascii="Arial" w:eastAsia="Times New Roman" w:hAnsi="Arial" w:cs="Arial"/>
          <w:color w:val="000000"/>
          <w:szCs w:val="24"/>
          <w:vertAlign w:val="superscript"/>
          <w:lang w:eastAsia="es-ES_tradnl"/>
        </w:rPr>
        <w:footnoteReference w:id="12"/>
      </w:r>
      <w:r w:rsidRPr="0066787D">
        <w:rPr>
          <w:rFonts w:ascii="Arial" w:eastAsia="Times New Roman" w:hAnsi="Arial" w:cs="Arial"/>
          <w:color w:val="000000"/>
          <w:szCs w:val="24"/>
          <w:lang w:eastAsia="es-ES_tradnl"/>
        </w:rPr>
        <w:t xml:space="preserve"> dispone quiénes deben inscribirse en el RUP, el momento de la renovación del registro, la información que puede actualizarse y la posibilidad de solicitar la cancelación de la inscripción, en cualquier momento ante la </w:t>
      </w:r>
      <w:r w:rsidR="009C1545" w:rsidRPr="0066787D">
        <w:rPr>
          <w:rFonts w:ascii="Arial" w:eastAsia="Times New Roman" w:hAnsi="Arial" w:cs="Arial"/>
          <w:color w:val="000000"/>
          <w:szCs w:val="24"/>
          <w:lang w:eastAsia="es-ES_tradnl"/>
        </w:rPr>
        <w:t xml:space="preserve">cámara </w:t>
      </w:r>
      <w:r w:rsidRPr="0066787D">
        <w:rPr>
          <w:rFonts w:ascii="Arial" w:eastAsia="Times New Roman" w:hAnsi="Arial" w:cs="Arial"/>
          <w:color w:val="000000"/>
          <w:szCs w:val="24"/>
          <w:lang w:eastAsia="es-ES_tradnl"/>
        </w:rPr>
        <w:t xml:space="preserve">de </w:t>
      </w:r>
      <w:r w:rsidR="009C1545" w:rsidRPr="0066787D">
        <w:rPr>
          <w:rFonts w:ascii="Arial" w:eastAsia="Times New Roman" w:hAnsi="Arial" w:cs="Arial"/>
          <w:color w:val="000000"/>
          <w:szCs w:val="24"/>
          <w:lang w:eastAsia="es-ES_tradnl"/>
        </w:rPr>
        <w:t xml:space="preserve">comercio </w:t>
      </w:r>
      <w:r w:rsidRPr="0066787D">
        <w:rPr>
          <w:rFonts w:ascii="Arial" w:eastAsia="Times New Roman" w:hAnsi="Arial" w:cs="Arial"/>
          <w:color w:val="000000"/>
          <w:szCs w:val="24"/>
          <w:lang w:eastAsia="es-ES_tradnl"/>
        </w:rPr>
        <w:t>correspondiente</w:t>
      </w:r>
      <w:r w:rsidRPr="0066787D">
        <w:rPr>
          <w:rFonts w:ascii="Arial" w:eastAsia="Times New Roman" w:hAnsi="Arial" w:cs="Arial"/>
          <w:color w:val="000000"/>
          <w:szCs w:val="24"/>
          <w:vertAlign w:val="superscript"/>
          <w:lang w:eastAsia="es-ES_tradnl"/>
        </w:rPr>
        <w:footnoteReference w:id="13"/>
      </w:r>
      <w:r w:rsidRPr="0066787D">
        <w:rPr>
          <w:rFonts w:ascii="Arial" w:eastAsia="Times New Roman" w:hAnsi="Arial" w:cs="Arial"/>
          <w:color w:val="000000"/>
          <w:szCs w:val="24"/>
          <w:lang w:eastAsia="es-ES_tradnl"/>
        </w:rPr>
        <w:t xml:space="preserve">. En síntesis, se </w:t>
      </w:r>
      <w:r w:rsidRPr="0066787D">
        <w:rPr>
          <w:rFonts w:ascii="Arial" w:eastAsia="Times New Roman" w:hAnsi="Arial" w:cs="Arial"/>
          <w:color w:val="000000"/>
          <w:szCs w:val="24"/>
          <w:lang w:eastAsia="es-ES_tradnl"/>
        </w:rPr>
        <w:lastRenderedPageBreak/>
        <w:t>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4253FB98" w14:textId="77777777" w:rsidR="0066787D" w:rsidRPr="0066787D" w:rsidRDefault="0066787D" w:rsidP="0066787D">
      <w:pPr>
        <w:widowControl w:val="0"/>
        <w:autoSpaceDE w:val="0"/>
        <w:autoSpaceDN w:val="0"/>
        <w:spacing w:before="8" w:after="0" w:line="240" w:lineRule="auto"/>
        <w:rPr>
          <w:rFonts w:ascii="Arial" w:eastAsia="Arial" w:hAnsi="Arial" w:cs="Arial"/>
          <w:b/>
          <w:lang w:val="es-ES"/>
        </w:rPr>
      </w:pPr>
    </w:p>
    <w:p w14:paraId="2AE7D00F" w14:textId="77777777" w:rsidR="0066787D" w:rsidRPr="0066787D" w:rsidRDefault="0066787D" w:rsidP="0066787D">
      <w:pPr>
        <w:spacing w:after="0" w:line="240" w:lineRule="auto"/>
        <w:jc w:val="both"/>
        <w:rPr>
          <w:rFonts w:ascii="Arial" w:eastAsia="Calibri" w:hAnsi="Arial" w:cs="Arial"/>
          <w:b/>
          <w:lang w:val="es-MX" w:eastAsia="es-ES_tradnl"/>
        </w:rPr>
      </w:pPr>
      <w:r w:rsidRPr="0066787D">
        <w:rPr>
          <w:rFonts w:ascii="Arial" w:eastAsia="Calibri" w:hAnsi="Arial" w:cs="Arial"/>
          <w:b/>
          <w:lang w:val="es-MX" w:eastAsia="es-ES_tradnl"/>
        </w:rPr>
        <w:t>2.2. Aproximación general al concepto de experiencia en la contratación pública</w:t>
      </w:r>
    </w:p>
    <w:p w14:paraId="1A25A120" w14:textId="77777777" w:rsidR="0066787D" w:rsidRPr="0066787D" w:rsidRDefault="0066787D" w:rsidP="0066787D">
      <w:pPr>
        <w:spacing w:after="0" w:line="276" w:lineRule="auto"/>
        <w:jc w:val="both"/>
        <w:rPr>
          <w:rFonts w:ascii="Arial" w:eastAsia="Calibri" w:hAnsi="Arial" w:cs="Arial"/>
          <w:b/>
          <w:lang w:val="es-MX" w:eastAsia="es-ES_tradnl"/>
        </w:rPr>
      </w:pPr>
    </w:p>
    <w:p w14:paraId="30A2FBA7" w14:textId="77777777" w:rsidR="0066787D" w:rsidRPr="0066787D" w:rsidRDefault="0066787D" w:rsidP="0066787D">
      <w:pPr>
        <w:spacing w:after="0" w:line="276" w:lineRule="auto"/>
        <w:jc w:val="both"/>
        <w:rPr>
          <w:rFonts w:ascii="Arial" w:eastAsia="Calibri" w:hAnsi="Arial" w:cs="Arial"/>
          <w:highlight w:val="yellow"/>
          <w:lang w:val="es-MX" w:eastAsia="es-ES_tradnl"/>
        </w:rPr>
      </w:pPr>
      <w:r w:rsidRPr="0066787D">
        <w:rPr>
          <w:rFonts w:ascii="Arial" w:eastAsia="Calibri" w:hAnsi="Arial" w:cs="Arial"/>
          <w:lang w:val="es-MX" w:eastAsia="es-ES_tradnl"/>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66787D">
        <w:rPr>
          <w:rFonts w:ascii="Arial" w:eastAsia="Calibri" w:hAnsi="Arial" w:cs="Arial"/>
          <w:vertAlign w:val="superscript"/>
          <w:lang w:val="es-MX" w:eastAsia="es-ES_tradnl"/>
        </w:rPr>
        <w:footnoteReference w:id="14"/>
      </w:r>
      <w:r w:rsidRPr="0066787D">
        <w:rPr>
          <w:rFonts w:ascii="Arial" w:eastAsia="Calibri" w:hAnsi="Arial" w:cs="Arial"/>
          <w:lang w:val="es-MX" w:eastAsia="es-ES_tradnl"/>
        </w:rPr>
        <w:t>.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Pr="0066787D">
        <w:rPr>
          <w:rFonts w:ascii="Arial" w:eastAsia="Calibri" w:hAnsi="Arial" w:cs="Arial"/>
          <w:vertAlign w:val="superscript"/>
          <w:lang w:val="es-MX" w:eastAsia="es-ES_tradnl"/>
        </w:rPr>
        <w:footnoteReference w:id="15"/>
      </w:r>
      <w:r w:rsidRPr="0066787D">
        <w:rPr>
          <w:rFonts w:ascii="Arial" w:eastAsia="Calibri" w:hAnsi="Arial" w:cs="Arial"/>
          <w:lang w:val="es-MX" w:eastAsia="es-ES_tradnl"/>
        </w:rPr>
        <w:t>.</w:t>
      </w:r>
    </w:p>
    <w:p w14:paraId="779D03E4" w14:textId="500DF7BE" w:rsidR="0066787D" w:rsidRPr="0066787D" w:rsidRDefault="00116BCF" w:rsidP="0066787D">
      <w:pPr>
        <w:spacing w:before="120" w:after="120" w:line="276" w:lineRule="auto"/>
        <w:ind w:firstLine="708"/>
        <w:jc w:val="both"/>
        <w:rPr>
          <w:rFonts w:ascii="Arial" w:eastAsia="Calibri" w:hAnsi="Arial" w:cs="Arial"/>
          <w:lang w:val="es-MX" w:eastAsia="es-ES_tradnl"/>
        </w:rPr>
      </w:pPr>
      <w:r>
        <w:rPr>
          <w:rFonts w:ascii="Arial" w:eastAsia="Calibri" w:hAnsi="Arial" w:cs="Arial"/>
          <w:lang w:val="es-MX" w:eastAsia="es-ES_tradnl"/>
        </w:rPr>
        <w:lastRenderedPageBreak/>
        <w:t>L</w:t>
      </w:r>
      <w:r w:rsidR="0066787D" w:rsidRPr="0066787D">
        <w:rPr>
          <w:rFonts w:ascii="Arial" w:eastAsia="Calibri" w:hAnsi="Arial" w:cs="Arial"/>
          <w:lang w:val="es-MX" w:eastAsia="es-ES_tradnl"/>
        </w:rPr>
        <w:t>a experiencia que se deriva de los contratos que el proponente ha celebrado y ejecutado con diferentes contratantes, sin importar la naturaleza de estos, se verifica con el RUP</w:t>
      </w:r>
      <w:r w:rsidR="0066787D" w:rsidRPr="0066787D">
        <w:rPr>
          <w:rFonts w:ascii="Arial" w:eastAsia="Calibri" w:hAnsi="Arial" w:cs="Arial"/>
          <w:vertAlign w:val="superscript"/>
          <w:lang w:val="es-MX" w:eastAsia="es-ES_tradnl"/>
        </w:rPr>
        <w:footnoteReference w:id="16"/>
      </w:r>
      <w:r w:rsidR="0066787D" w:rsidRPr="0066787D">
        <w:rPr>
          <w:rFonts w:ascii="Arial" w:eastAsia="Calibri" w:hAnsi="Arial" w:cs="Arial"/>
          <w:lang w:val="es-MX" w:eastAsia="es-ES_tradnl"/>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0066787D" w:rsidRPr="0066787D">
        <w:rPr>
          <w:rFonts w:ascii="Arial" w:eastAsia="Calibri" w:hAnsi="Arial" w:cs="Arial"/>
          <w:vertAlign w:val="superscript"/>
          <w:lang w:val="es-MX" w:eastAsia="es-ES_tradnl"/>
        </w:rPr>
        <w:footnoteReference w:id="17"/>
      </w:r>
      <w:r w:rsidR="0066787D" w:rsidRPr="0066787D">
        <w:rPr>
          <w:rFonts w:ascii="Arial" w:eastAsia="Calibri" w:hAnsi="Arial" w:cs="Arial"/>
          <w:lang w:val="es-MX" w:eastAsia="es-ES_tradnl"/>
        </w:rPr>
        <w:t>.</w:t>
      </w:r>
    </w:p>
    <w:p w14:paraId="5DAB33F1" w14:textId="77777777" w:rsidR="0066787D" w:rsidRPr="0066787D" w:rsidRDefault="0066787D" w:rsidP="0066787D">
      <w:pPr>
        <w:spacing w:after="0" w:line="276" w:lineRule="auto"/>
        <w:ind w:firstLine="708"/>
        <w:jc w:val="both"/>
        <w:rPr>
          <w:rFonts w:ascii="Arial" w:eastAsia="Calibri" w:hAnsi="Arial" w:cs="Arial"/>
          <w:lang w:val="es-MX" w:eastAsia="es-ES_tradnl"/>
        </w:rPr>
      </w:pPr>
      <w:r w:rsidRPr="0066787D">
        <w:rPr>
          <w:rFonts w:ascii="Arial" w:eastAsia="Calibri" w:hAnsi="Arial" w:cs="Arial"/>
          <w:lang w:val="es-MX" w:eastAsia="es-ES_tradnl"/>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66787D">
        <w:rPr>
          <w:rFonts w:ascii="Arial" w:eastAsia="Calibri" w:hAnsi="Arial" w:cs="Arial"/>
          <w:vertAlign w:val="superscript"/>
          <w:lang w:val="es-MX" w:eastAsia="es-ES_tradnl"/>
        </w:rPr>
        <w:footnoteReference w:id="18"/>
      </w:r>
      <w:r w:rsidRPr="0066787D">
        <w:rPr>
          <w:rFonts w:ascii="Arial" w:eastAsia="Calibri" w:hAnsi="Arial" w:cs="Arial"/>
          <w:lang w:val="es-MX" w:eastAsia="es-ES_tradnl"/>
        </w:rPr>
        <w:t xml:space="preserve">. De esta manera, con el RUP se verifica que el proponente tenga </w:t>
      </w:r>
      <w:r w:rsidRPr="0066787D">
        <w:rPr>
          <w:rFonts w:ascii="Arial" w:eastAsia="Calibri" w:hAnsi="Arial" w:cs="Arial"/>
          <w:lang w:val="es-MX" w:eastAsia="es-ES_tradnl"/>
        </w:rPr>
        <w:lastRenderedPageBreak/>
        <w:t xml:space="preserve">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0BF496F8" w14:textId="77777777" w:rsidR="0066787D" w:rsidRPr="0066787D" w:rsidRDefault="0066787D" w:rsidP="0066787D">
      <w:pPr>
        <w:spacing w:after="0" w:line="276" w:lineRule="auto"/>
        <w:jc w:val="both"/>
        <w:rPr>
          <w:rFonts w:ascii="Arial" w:eastAsia="Calibri" w:hAnsi="Arial" w:cs="Arial"/>
          <w:lang w:val="es-MX" w:eastAsia="es-ES_tradnl"/>
        </w:rPr>
      </w:pPr>
    </w:p>
    <w:p w14:paraId="41506995" w14:textId="74A35B26" w:rsidR="0066787D" w:rsidRPr="0066787D" w:rsidRDefault="0066787D" w:rsidP="0066787D">
      <w:pPr>
        <w:spacing w:after="0" w:line="276" w:lineRule="auto"/>
        <w:jc w:val="both"/>
        <w:rPr>
          <w:rFonts w:ascii="Arial" w:eastAsia="Calibri" w:hAnsi="Arial" w:cs="Arial"/>
          <w:b/>
          <w:bCs/>
          <w:lang w:val="es-MX" w:eastAsia="es-ES_tradnl"/>
        </w:rPr>
      </w:pPr>
      <w:r w:rsidRPr="0066787D">
        <w:rPr>
          <w:rFonts w:ascii="Arial" w:eastAsia="Calibri" w:hAnsi="Arial" w:cs="Arial"/>
          <w:b/>
          <w:bCs/>
          <w:lang w:val="es-MX" w:eastAsia="es-ES_tradnl"/>
        </w:rPr>
        <w:t>2.3. Consideraciones de la Agencia respecto de la experiencia</w:t>
      </w:r>
      <w:r w:rsidR="00FE43B8">
        <w:rPr>
          <w:rFonts w:ascii="Arial" w:eastAsia="Calibri" w:hAnsi="Arial" w:cs="Arial"/>
          <w:b/>
          <w:bCs/>
          <w:lang w:val="es-MX" w:eastAsia="es-ES_tradnl"/>
        </w:rPr>
        <w:t xml:space="preserve"> como requisito habilitante</w:t>
      </w:r>
    </w:p>
    <w:p w14:paraId="44EF4987" w14:textId="77777777" w:rsidR="0066787D" w:rsidRPr="0066787D" w:rsidRDefault="0066787D" w:rsidP="004B5310">
      <w:pPr>
        <w:spacing w:after="0" w:line="240" w:lineRule="auto"/>
        <w:jc w:val="both"/>
        <w:rPr>
          <w:rFonts w:ascii="Arial" w:eastAsia="Calibri" w:hAnsi="Arial" w:cs="Arial"/>
          <w:b/>
          <w:bCs/>
          <w:lang w:val="es-MX" w:eastAsia="es-ES_tradnl"/>
        </w:rPr>
      </w:pPr>
    </w:p>
    <w:p w14:paraId="2AE49610" w14:textId="034AD4DF" w:rsidR="0066787D" w:rsidRPr="0066787D" w:rsidRDefault="0066787D" w:rsidP="0066787D">
      <w:pPr>
        <w:spacing w:after="0" w:line="276" w:lineRule="auto"/>
        <w:jc w:val="both"/>
        <w:rPr>
          <w:rFonts w:ascii="Arial" w:eastAsia="Calibri" w:hAnsi="Arial" w:cs="Arial"/>
          <w:lang w:val="es-MX" w:eastAsia="es-ES_tradnl"/>
        </w:rPr>
      </w:pPr>
      <w:r w:rsidRPr="0066787D">
        <w:rPr>
          <w:rFonts w:ascii="Arial" w:eastAsia="Calibri" w:hAnsi="Arial" w:cs="Arial"/>
          <w:lang w:val="es-MX" w:eastAsia="es-ES_tradnl"/>
        </w:rPr>
        <w:t xml:space="preserve">La Agencia Nacional de Contratación Pública – Colombia Compra Eficiente puso a disposición de los interesados del Sistema de Compra Pública el </w:t>
      </w:r>
      <w:r w:rsidR="006B2283" w:rsidRPr="00D738BD">
        <w:rPr>
          <w:rFonts w:ascii="Arial" w:hAnsi="Arial" w:cs="Arial"/>
        </w:rPr>
        <w:t>«</w:t>
      </w:r>
      <w:r w:rsidRPr="0066787D">
        <w:rPr>
          <w:rFonts w:ascii="Arial" w:eastAsia="Calibri" w:hAnsi="Arial" w:cs="Arial"/>
          <w:lang w:val="es-MX" w:eastAsia="es-ES_tradnl"/>
        </w:rPr>
        <w:t>Manual para determinar y verificar requisitos habilitantes en los procesos de contratación</w:t>
      </w:r>
      <w:r w:rsidR="00D738BD" w:rsidRPr="00D738BD">
        <w:rPr>
          <w:rFonts w:ascii="Arial" w:hAnsi="Arial" w:cs="Arial"/>
        </w:rPr>
        <w:t>»</w:t>
      </w:r>
      <w:r w:rsidRPr="0066787D">
        <w:rPr>
          <w:rFonts w:ascii="Arial" w:eastAsia="Calibri" w:hAnsi="Arial" w:cs="Arial"/>
          <w:lang w:val="es-MX" w:eastAsia="es-ES_tradnl"/>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w:t>
      </w:r>
      <w:r w:rsidR="006471DA">
        <w:rPr>
          <w:rFonts w:ascii="Arial" w:eastAsia="Calibri" w:hAnsi="Arial" w:cs="Arial"/>
          <w:lang w:val="es-MX" w:eastAsia="es-ES_tradnl"/>
        </w:rPr>
        <w:t xml:space="preserve"> del proponente</w:t>
      </w:r>
      <w:r w:rsidRPr="0066787D">
        <w:rPr>
          <w:rFonts w:ascii="Arial" w:eastAsia="Calibri" w:hAnsi="Arial" w:cs="Arial"/>
          <w:lang w:val="es-MX" w:eastAsia="es-ES_tradnl"/>
        </w:rPr>
        <w:t>, con anterioridad, en actividades que le permitieron conocer cómo ejecutar determinado objeto contractual, que la entidad ahora pretende desarrollar</w:t>
      </w:r>
      <w:r w:rsidRPr="0066787D">
        <w:rPr>
          <w:rFonts w:ascii="Arial" w:eastAsia="Calibri" w:hAnsi="Arial" w:cs="Arial"/>
          <w:vertAlign w:val="superscript"/>
          <w:lang w:val="es-MX" w:eastAsia="es-ES_tradnl"/>
        </w:rPr>
        <w:footnoteReference w:id="19"/>
      </w:r>
      <w:r w:rsidRPr="0066787D">
        <w:rPr>
          <w:rFonts w:ascii="Arial" w:eastAsia="Calibri" w:hAnsi="Arial" w:cs="Arial"/>
          <w:lang w:val="es-MX" w:eastAsia="es-ES_tradnl"/>
        </w:rPr>
        <w:t>.</w:t>
      </w:r>
    </w:p>
    <w:p w14:paraId="1E5DAB5F" w14:textId="1A62FA27" w:rsidR="0066787D" w:rsidRPr="0066787D" w:rsidRDefault="0066787D" w:rsidP="0066787D">
      <w:pPr>
        <w:spacing w:before="120" w:after="120" w:line="276" w:lineRule="auto"/>
        <w:ind w:firstLine="708"/>
        <w:jc w:val="both"/>
        <w:rPr>
          <w:rFonts w:ascii="Arial" w:eastAsia="Calibri" w:hAnsi="Arial" w:cs="Arial"/>
          <w:lang w:val="es-MX" w:eastAsia="es-ES_tradnl"/>
        </w:rPr>
      </w:pPr>
      <w:r w:rsidRPr="0066787D">
        <w:rPr>
          <w:rFonts w:ascii="Arial" w:eastAsia="Calibri" w:hAnsi="Arial" w:cs="Arial"/>
          <w:lang w:val="es-MX" w:eastAsia="es-ES_tradnl"/>
        </w:rPr>
        <w:lastRenderedPageBreak/>
        <w:t>Lo anterior es determinante, porque no es posible adquirir la experiencia si en la práctica no se han ejecutado actividades similares previas</w:t>
      </w:r>
      <w:r w:rsidR="00080E8C">
        <w:rPr>
          <w:rFonts w:ascii="Arial" w:eastAsia="Calibri" w:hAnsi="Arial" w:cs="Arial"/>
          <w:lang w:val="es-MX" w:eastAsia="es-ES_tradnl"/>
        </w:rPr>
        <w:t>. P</w:t>
      </w:r>
      <w:r w:rsidRPr="0066787D">
        <w:rPr>
          <w:rFonts w:ascii="Arial" w:eastAsia="Calibri" w:hAnsi="Arial" w:cs="Arial"/>
          <w:lang w:val="es-MX" w:eastAsia="es-ES_tradnl"/>
        </w:rPr>
        <w:t>recisamente</w:t>
      </w:r>
      <w:r w:rsidR="00080E8C">
        <w:rPr>
          <w:rFonts w:ascii="Arial" w:eastAsia="Calibri" w:hAnsi="Arial" w:cs="Arial"/>
          <w:lang w:val="es-MX" w:eastAsia="es-ES_tradnl"/>
        </w:rPr>
        <w:t>,</w:t>
      </w:r>
      <w:r w:rsidRPr="0066787D">
        <w:rPr>
          <w:rFonts w:ascii="Arial" w:eastAsia="Calibri" w:hAnsi="Arial" w:cs="Arial"/>
          <w:lang w:val="es-MX" w:eastAsia="es-ES_tradnl"/>
        </w:rPr>
        <w:t xml:space="preserv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0A8420E6" w14:textId="77777777" w:rsidR="0066787D" w:rsidRPr="0066787D" w:rsidRDefault="0066787D" w:rsidP="0066787D">
      <w:pPr>
        <w:spacing w:before="120" w:after="120" w:line="276" w:lineRule="auto"/>
        <w:ind w:firstLine="708"/>
        <w:jc w:val="both"/>
        <w:rPr>
          <w:rFonts w:ascii="Arial" w:eastAsia="Calibri" w:hAnsi="Arial" w:cs="Arial"/>
          <w:lang w:val="es-MX" w:eastAsia="es-ES_tradnl"/>
        </w:rPr>
      </w:pPr>
      <w:r w:rsidRPr="0066787D">
        <w:rPr>
          <w:rFonts w:ascii="Arial" w:eastAsia="Calibri" w:hAnsi="Arial" w:cs="Arial"/>
          <w:lang w:val="es-MX" w:eastAsia="es-ES_tradnl"/>
        </w:rPr>
        <w:t xml:space="preserve">Finalmente, pueden extraerse cuatro (4) conclusiones relevantes para evaluar las figuras y reformas estatutarias de las sociedades comerciales, respecto de la experiencia: </w:t>
      </w:r>
    </w:p>
    <w:p w14:paraId="09EED2AD" w14:textId="77777777" w:rsidR="0066787D" w:rsidRPr="0066787D" w:rsidRDefault="0066787D" w:rsidP="0066787D">
      <w:pPr>
        <w:spacing w:before="120" w:after="120" w:line="276" w:lineRule="auto"/>
        <w:ind w:firstLine="708"/>
        <w:jc w:val="both"/>
        <w:rPr>
          <w:rFonts w:ascii="Arial" w:eastAsia="Calibri" w:hAnsi="Arial" w:cs="Arial"/>
          <w:lang w:val="es-MX" w:eastAsia="es-ES_tradnl"/>
        </w:rPr>
      </w:pPr>
      <w:r w:rsidRPr="0066787D">
        <w:rPr>
          <w:rFonts w:ascii="Arial" w:eastAsia="Calibri" w:hAnsi="Arial" w:cs="Arial"/>
          <w:lang w:val="es-MX" w:eastAsia="es-ES_tradnl"/>
        </w:rPr>
        <w:t xml:space="preserve">i) La experiencia es </w:t>
      </w:r>
      <w:r w:rsidRPr="0066787D">
        <w:rPr>
          <w:rFonts w:ascii="Arial" w:eastAsia="Calibri" w:hAnsi="Arial" w:cs="Arial"/>
          <w:i/>
          <w:iCs/>
          <w:lang w:val="es-MX" w:eastAsia="es-ES_tradnl"/>
        </w:rPr>
        <w:t>personal</w:t>
      </w:r>
      <w:r w:rsidRPr="0066787D">
        <w:rPr>
          <w:rFonts w:ascii="Arial" w:eastAsia="Calibri" w:hAnsi="Arial" w:cs="Arial"/>
          <w:lang w:val="es-MX" w:eastAsia="es-ES_tradnl"/>
        </w:rPr>
        <w:t>, esto es, se adquiere participando, directa o indirectamente, sin que sea posible no hacerlo y tener experiencia.</w:t>
      </w:r>
    </w:p>
    <w:p w14:paraId="2A14F663" w14:textId="77777777" w:rsidR="0066787D" w:rsidRPr="0066787D" w:rsidRDefault="0066787D" w:rsidP="0066787D">
      <w:pPr>
        <w:spacing w:before="120" w:after="120" w:line="276" w:lineRule="auto"/>
        <w:ind w:firstLine="708"/>
        <w:jc w:val="both"/>
        <w:rPr>
          <w:rFonts w:ascii="Arial" w:eastAsia="Calibri" w:hAnsi="Arial" w:cs="Arial"/>
          <w:lang w:val="es-MX" w:eastAsia="es-ES_tradnl"/>
        </w:rPr>
      </w:pPr>
      <w:proofErr w:type="spellStart"/>
      <w:r w:rsidRPr="0066787D">
        <w:rPr>
          <w:rFonts w:ascii="Arial" w:eastAsia="Calibri" w:hAnsi="Arial" w:cs="Arial"/>
          <w:lang w:val="es-MX" w:eastAsia="es-ES_tradnl"/>
        </w:rPr>
        <w:t>ii</w:t>
      </w:r>
      <w:proofErr w:type="spellEnd"/>
      <w:r w:rsidRPr="0066787D">
        <w:rPr>
          <w:rFonts w:ascii="Arial" w:eastAsia="Calibri" w:hAnsi="Arial" w:cs="Arial"/>
          <w:lang w:val="es-MX" w:eastAsia="es-ES_tradnl"/>
        </w:rPr>
        <w:t xml:space="preserve">) La experiencia se puede </w:t>
      </w:r>
      <w:r w:rsidRPr="0066787D">
        <w:rPr>
          <w:rFonts w:ascii="Arial" w:eastAsia="Calibri" w:hAnsi="Arial" w:cs="Arial"/>
          <w:i/>
          <w:iCs/>
          <w:lang w:val="es-MX" w:eastAsia="es-ES_tradnl"/>
        </w:rPr>
        <w:t>compartir</w:t>
      </w:r>
      <w:r w:rsidRPr="0066787D">
        <w:rPr>
          <w:rFonts w:ascii="Arial" w:eastAsia="Calibri" w:hAnsi="Arial" w:cs="Arial"/>
          <w:lang w:val="es-MX" w:eastAsia="es-ES_tradnl"/>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66787D">
        <w:rPr>
          <w:rFonts w:ascii="Arial" w:eastAsia="Calibri" w:hAnsi="Arial" w:cs="Arial"/>
          <w:vertAlign w:val="superscript"/>
          <w:lang w:val="es-MX" w:eastAsia="es-ES_tradnl"/>
        </w:rPr>
        <w:footnoteReference w:id="20"/>
      </w:r>
      <w:r w:rsidRPr="0066787D">
        <w:rPr>
          <w:rFonts w:ascii="Arial" w:eastAsia="Calibri" w:hAnsi="Arial" w:cs="Arial"/>
          <w:lang w:val="es-MX" w:eastAsia="es-ES_tradnl"/>
        </w:rPr>
        <w:t>.</w:t>
      </w:r>
    </w:p>
    <w:p w14:paraId="013D0F02" w14:textId="14D2D30F" w:rsidR="0066787D" w:rsidRPr="0066787D" w:rsidRDefault="0066787D" w:rsidP="0066787D">
      <w:pPr>
        <w:spacing w:before="120" w:after="120" w:line="276" w:lineRule="auto"/>
        <w:ind w:firstLine="708"/>
        <w:jc w:val="both"/>
        <w:rPr>
          <w:rFonts w:ascii="Arial" w:eastAsia="Calibri" w:hAnsi="Arial" w:cs="Arial"/>
          <w:lang w:val="es-MX" w:eastAsia="es-ES_tradnl"/>
        </w:rPr>
      </w:pPr>
      <w:proofErr w:type="spellStart"/>
      <w:r w:rsidRPr="0066787D">
        <w:rPr>
          <w:rFonts w:ascii="Arial" w:eastAsia="Calibri" w:hAnsi="Arial" w:cs="Arial"/>
          <w:lang w:val="es-MX" w:eastAsia="es-ES_tradnl"/>
        </w:rPr>
        <w:t>iii</w:t>
      </w:r>
      <w:proofErr w:type="spellEnd"/>
      <w:r w:rsidRPr="0066787D">
        <w:rPr>
          <w:rFonts w:ascii="Arial" w:eastAsia="Calibri" w:hAnsi="Arial" w:cs="Arial"/>
          <w:lang w:val="es-MX" w:eastAsia="es-ES_tradnl"/>
        </w:rPr>
        <w:t xml:space="preserve">) La experiencia se puede </w:t>
      </w:r>
      <w:r w:rsidRPr="0066787D">
        <w:rPr>
          <w:rFonts w:ascii="Arial" w:eastAsia="Calibri" w:hAnsi="Arial" w:cs="Arial"/>
          <w:i/>
          <w:iCs/>
          <w:lang w:val="es-MX" w:eastAsia="es-ES_tradnl"/>
        </w:rPr>
        <w:t>transferir</w:t>
      </w:r>
      <w:r w:rsidRPr="0066787D">
        <w:rPr>
          <w:rFonts w:ascii="Arial" w:eastAsia="Calibri" w:hAnsi="Arial" w:cs="Arial"/>
          <w:lang w:val="es-MX" w:eastAsia="es-ES_tradnl"/>
        </w:rPr>
        <w:t>, y esto es diferente a compartir, lo que implica que la experiencia de una persona se traslada a otra, y esta última acredita la experiencia como propia, como sucede con la figura que se explicará con más detalle en el numeral 2.</w:t>
      </w:r>
      <w:r w:rsidR="00F94453" w:rsidRPr="00F94453">
        <w:rPr>
          <w:rFonts w:ascii="Arial" w:eastAsia="Calibri" w:hAnsi="Arial" w:cs="Arial"/>
          <w:lang w:val="es-MX" w:eastAsia="es-ES_tradnl"/>
        </w:rPr>
        <w:t>4</w:t>
      </w:r>
      <w:r w:rsidRPr="0066787D">
        <w:rPr>
          <w:rFonts w:ascii="Arial" w:eastAsia="Calibri" w:hAnsi="Arial" w:cs="Arial"/>
          <w:lang w:val="es-MX" w:eastAsia="es-ES_tradnl"/>
        </w:rPr>
        <w:t xml:space="preserve"> de este concepto.</w:t>
      </w:r>
    </w:p>
    <w:p w14:paraId="1E756771" w14:textId="77777777" w:rsidR="0066787D" w:rsidRPr="0066787D" w:rsidRDefault="0066787D" w:rsidP="0088271D">
      <w:pPr>
        <w:spacing w:after="120" w:line="276" w:lineRule="auto"/>
        <w:ind w:firstLine="708"/>
        <w:jc w:val="both"/>
        <w:rPr>
          <w:rFonts w:ascii="Arial" w:eastAsia="Calibri" w:hAnsi="Arial" w:cs="Arial"/>
          <w:lang w:val="es-MX" w:eastAsia="es-ES_tradnl"/>
        </w:rPr>
      </w:pPr>
      <w:proofErr w:type="spellStart"/>
      <w:r w:rsidRPr="0066787D">
        <w:rPr>
          <w:rFonts w:ascii="Arial" w:eastAsia="Calibri" w:hAnsi="Arial" w:cs="Arial"/>
          <w:lang w:val="es-MX" w:eastAsia="es-ES_tradnl"/>
        </w:rPr>
        <w:t>iv</w:t>
      </w:r>
      <w:proofErr w:type="spellEnd"/>
      <w:r w:rsidRPr="0066787D">
        <w:rPr>
          <w:rFonts w:ascii="Arial" w:eastAsia="Calibri" w:hAnsi="Arial" w:cs="Arial"/>
          <w:lang w:val="es-MX" w:eastAsia="es-ES_tradnl"/>
        </w:rPr>
        <w:t xml:space="preserve">) Cuando la persona que adquirió la experiencia </w:t>
      </w:r>
      <w:r w:rsidRPr="0066787D">
        <w:rPr>
          <w:rFonts w:ascii="Arial" w:eastAsia="Calibri" w:hAnsi="Arial" w:cs="Arial"/>
          <w:i/>
          <w:iCs/>
          <w:lang w:val="es-MX" w:eastAsia="es-ES_tradnl"/>
        </w:rPr>
        <w:t>desaparece</w:t>
      </w:r>
      <w:r w:rsidRPr="0066787D">
        <w:rPr>
          <w:rFonts w:ascii="Arial" w:eastAsia="Calibri" w:hAnsi="Arial" w:cs="Arial"/>
          <w:lang w:val="es-MX" w:eastAsia="es-ES_tradnl"/>
        </w:rPr>
        <w:t xml:space="preserve"> o se liquida no es posible que comparta o transfiera su experiencia, porque al ser personal sigue la suerte de quien la adquirió.</w:t>
      </w:r>
    </w:p>
    <w:p w14:paraId="190E17DF" w14:textId="35735E7D" w:rsidR="0066787D" w:rsidRPr="0066787D" w:rsidRDefault="0066787D" w:rsidP="0088271D">
      <w:pPr>
        <w:spacing w:before="120" w:after="120" w:line="276" w:lineRule="auto"/>
        <w:ind w:firstLine="709"/>
        <w:jc w:val="both"/>
        <w:rPr>
          <w:rFonts w:ascii="Arial" w:eastAsia="Times New Roman" w:hAnsi="Arial" w:cs="Arial"/>
          <w:lang w:val="es-MX" w:eastAsia="es-ES_tradnl"/>
        </w:rPr>
      </w:pPr>
      <w:r w:rsidRPr="0066787D">
        <w:rPr>
          <w:rFonts w:ascii="Arial" w:eastAsia="Times New Roman" w:hAnsi="Arial" w:cs="Arial"/>
          <w:lang w:val="es-MX" w:eastAsia="es-ES_tradnl"/>
        </w:rPr>
        <w:lastRenderedPageBreak/>
        <w:t>Ahora</w:t>
      </w:r>
      <w:r w:rsidR="0015624F">
        <w:rPr>
          <w:rFonts w:ascii="Arial" w:eastAsia="Times New Roman" w:hAnsi="Arial" w:cs="Arial"/>
          <w:lang w:val="es-MX" w:eastAsia="es-ES_tradnl"/>
        </w:rPr>
        <w:t xml:space="preserve"> bien</w:t>
      </w:r>
      <w:r w:rsidRPr="0066787D">
        <w:rPr>
          <w:rFonts w:ascii="Arial" w:eastAsia="Times New Roman" w:hAnsi="Arial" w:cs="Arial"/>
          <w:lang w:val="es-MX" w:eastAsia="es-ES_tradnl"/>
        </w:rPr>
        <w:t xml:space="preserve">, </w:t>
      </w:r>
      <w:r w:rsidR="0015624F">
        <w:rPr>
          <w:rFonts w:ascii="Arial" w:eastAsia="Times New Roman" w:hAnsi="Arial" w:cs="Arial"/>
          <w:lang w:val="es-MX" w:eastAsia="es-ES_tradnl"/>
        </w:rPr>
        <w:t xml:space="preserve">como se mencionó en el numeral anterior de este concepto, </w:t>
      </w:r>
      <w:r w:rsidRPr="0066787D">
        <w:rPr>
          <w:rFonts w:ascii="Arial" w:eastAsia="Times New Roman" w:hAnsi="Arial" w:cs="Arial"/>
          <w:lang w:val="es-MX" w:eastAsia="es-ES_tradnl"/>
        </w:rPr>
        <w:t>el RUP fue creado por el artículo 6 de la Ley 1150 de 2007 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proofErr w:type="spellStart"/>
      <w:r w:rsidRPr="0066787D">
        <w:rPr>
          <w:rFonts w:ascii="Arial" w:eastAsia="Times New Roman" w:hAnsi="Arial" w:cs="Arial"/>
          <w:lang w:val="es-MX" w:eastAsia="es-ES_tradnl"/>
        </w:rPr>
        <w:t>sometid</w:t>
      </w:r>
      <w:proofErr w:type="spellEnd"/>
      <w:r w:rsidRPr="0066787D">
        <w:rPr>
          <w:rFonts w:ascii="Arial" w:eastAsia="Times New Roman" w:hAnsi="Arial" w:cs="Arial"/>
          <w:lang w:val="es-MX" w:eastAsia="es-ES_tradnl"/>
        </w:rPr>
        <w:t>[a] a los principios de la función administrativa y de contratación estatal»</w:t>
      </w:r>
      <w:r w:rsidRPr="0066787D">
        <w:rPr>
          <w:rFonts w:ascii="Arial" w:eastAsia="Times New Roman" w:hAnsi="Arial" w:cs="Arial"/>
          <w:vertAlign w:val="superscript"/>
          <w:lang w:val="es-MX" w:eastAsia="es-ES_tradnl"/>
        </w:rPr>
        <w:footnoteReference w:id="21"/>
      </w:r>
      <w:r w:rsidRPr="0066787D">
        <w:rPr>
          <w:rFonts w:ascii="Arial" w:eastAsia="Times New Roman" w:hAnsi="Arial" w:cs="Arial"/>
          <w:lang w:val="es-MX" w:eastAsia="es-ES_tradnl"/>
        </w:rPr>
        <w:t xml:space="preserve">. </w:t>
      </w:r>
    </w:p>
    <w:p w14:paraId="4CB67F5E" w14:textId="77777777" w:rsidR="0066787D" w:rsidRPr="0066787D" w:rsidRDefault="0066787D" w:rsidP="0088271D">
      <w:pPr>
        <w:spacing w:before="120" w:after="120" w:line="276" w:lineRule="auto"/>
        <w:ind w:firstLine="705"/>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104127EF" w14:textId="0C123DB9" w:rsidR="0066787D" w:rsidRPr="0066787D" w:rsidRDefault="0066787D" w:rsidP="0088271D">
      <w:pPr>
        <w:spacing w:before="120" w:after="120" w:line="276" w:lineRule="auto"/>
        <w:ind w:firstLine="705"/>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La norma impuso la obligación a todos los proponentes de inscribirse en el </w:t>
      </w:r>
      <w:r w:rsidR="006313A1">
        <w:rPr>
          <w:rFonts w:ascii="Arial" w:eastAsia="Times New Roman" w:hAnsi="Arial" w:cs="Arial"/>
          <w:lang w:val="es-MX" w:eastAsia="es-ES_tradnl"/>
        </w:rPr>
        <w:t>RUP</w:t>
      </w:r>
      <w:r w:rsidRPr="0066787D">
        <w:rPr>
          <w:rFonts w:ascii="Arial" w:eastAsia="Times New Roman" w:hAnsi="Arial" w:cs="Arial"/>
          <w:lang w:val="es-MX" w:eastAsia="es-ES_tradnl"/>
        </w:rPr>
        <w:t xml:space="preserve">,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2EA5B179" w14:textId="77777777" w:rsidR="0066787D" w:rsidRPr="0066787D" w:rsidRDefault="0066787D" w:rsidP="0088271D">
      <w:pPr>
        <w:spacing w:before="120" w:after="120" w:line="276" w:lineRule="auto"/>
        <w:jc w:val="both"/>
        <w:rPr>
          <w:rFonts w:ascii="Arial" w:eastAsia="Times New Roman" w:hAnsi="Arial" w:cs="Arial"/>
          <w:lang w:val="es-MX" w:eastAsia="es-ES_tradnl"/>
        </w:rPr>
      </w:pPr>
      <w:r w:rsidRPr="0066787D">
        <w:rPr>
          <w:rFonts w:ascii="Arial" w:eastAsia="Times New Roman" w:hAnsi="Arial" w:cs="Arial"/>
          <w:lang w:val="es-MX" w:eastAsia="es-ES_tradnl"/>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25964AE5" w14:textId="77777777" w:rsidR="0066787D" w:rsidRPr="0066787D" w:rsidRDefault="0066787D" w:rsidP="0088271D">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w:t>
      </w:r>
      <w:r w:rsidRPr="0066787D">
        <w:rPr>
          <w:rFonts w:ascii="Arial" w:eastAsia="Times New Roman" w:hAnsi="Arial" w:cs="Arial"/>
          <w:lang w:val="es-MX" w:eastAsia="es-ES_tradnl"/>
        </w:rPr>
        <w:lastRenderedPageBreak/>
        <w:t xml:space="preserve">directa, es decir, cuando por el objeto del contrato se requieran verificar requisitos adicionales a los contenidos en el registro.  </w:t>
      </w:r>
    </w:p>
    <w:p w14:paraId="11C4082A" w14:textId="77777777" w:rsidR="0066787D" w:rsidRPr="0066787D" w:rsidRDefault="0066787D" w:rsidP="0066787D">
      <w:pPr>
        <w:spacing w:after="0" w:line="276" w:lineRule="auto"/>
        <w:ind w:firstLine="709"/>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14:paraId="2879E5FC" w14:textId="4427807B" w:rsidR="0066787D" w:rsidRDefault="0066787D" w:rsidP="00C12134">
      <w:pPr>
        <w:spacing w:after="0" w:line="240" w:lineRule="auto"/>
        <w:ind w:firstLine="709"/>
        <w:jc w:val="both"/>
        <w:rPr>
          <w:rFonts w:ascii="Arial" w:eastAsia="Times New Roman" w:hAnsi="Arial" w:cs="Arial"/>
          <w:lang w:val="es-MX" w:eastAsia="es-ES_tradnl"/>
        </w:rPr>
      </w:pPr>
    </w:p>
    <w:p w14:paraId="3A78D33D" w14:textId="77777777" w:rsidR="00C12134" w:rsidRPr="0066787D" w:rsidRDefault="00C12134" w:rsidP="004B5310">
      <w:pPr>
        <w:spacing w:after="0" w:line="240" w:lineRule="auto"/>
        <w:ind w:firstLine="709"/>
        <w:jc w:val="both"/>
        <w:rPr>
          <w:rFonts w:ascii="Arial" w:eastAsia="Times New Roman" w:hAnsi="Arial" w:cs="Arial"/>
          <w:lang w:val="es-MX" w:eastAsia="es-ES_tradnl"/>
        </w:rPr>
      </w:pPr>
    </w:p>
    <w:p w14:paraId="6778CD43" w14:textId="77777777" w:rsidR="0066787D" w:rsidRPr="0066787D" w:rsidRDefault="0066787D" w:rsidP="0066787D">
      <w:pPr>
        <w:spacing w:after="0" w:line="276" w:lineRule="auto"/>
        <w:jc w:val="both"/>
        <w:rPr>
          <w:rFonts w:ascii="Arial" w:eastAsia="Times New Roman" w:hAnsi="Arial" w:cs="Arial"/>
          <w:b/>
          <w:bCs/>
          <w:lang w:val="es-MX" w:eastAsia="es-ES_tradnl"/>
        </w:rPr>
      </w:pPr>
      <w:r w:rsidRPr="0066787D">
        <w:rPr>
          <w:rFonts w:ascii="Arial" w:eastAsia="Times New Roman" w:hAnsi="Arial" w:cs="Arial"/>
          <w:b/>
          <w:bCs/>
          <w:lang w:val="es-MX" w:eastAsia="es-ES_tradnl"/>
        </w:rPr>
        <w:t>2.4. Acreditación de experiencia de socios por parte de sociedades con menos de tres años de constitución</w:t>
      </w:r>
    </w:p>
    <w:p w14:paraId="20675F94" w14:textId="77777777" w:rsidR="0066787D" w:rsidRPr="0066787D" w:rsidRDefault="0066787D" w:rsidP="004B5310">
      <w:pPr>
        <w:spacing w:after="0" w:line="240" w:lineRule="auto"/>
        <w:ind w:firstLine="708"/>
        <w:jc w:val="both"/>
        <w:rPr>
          <w:rFonts w:ascii="Arial" w:eastAsia="Times New Roman" w:hAnsi="Arial" w:cs="Arial"/>
          <w:lang w:val="es-MX" w:eastAsia="es-ES_tradnl"/>
        </w:rPr>
      </w:pPr>
    </w:p>
    <w:p w14:paraId="38CA7B3F" w14:textId="77777777" w:rsidR="0066787D" w:rsidRPr="0066787D" w:rsidRDefault="0066787D" w:rsidP="00497692">
      <w:pPr>
        <w:spacing w:after="120" w:line="276" w:lineRule="auto"/>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4AE6E87E" w14:textId="5C4ED0CE"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Por su parte, el artículo 6 de la Ley 1150 de 2007 señala que todas las personas naturales o jurídicas, nacionales o extranjeras, domiciliadas o con sucursal en Colombia, que aspiren celebrar contratos con las entidades deberán estar inscritas en el </w:t>
      </w:r>
      <w:r w:rsidR="00731B57">
        <w:rPr>
          <w:rFonts w:ascii="Arial" w:eastAsia="Times New Roman" w:hAnsi="Arial" w:cs="Arial"/>
          <w:lang w:val="es-MX" w:eastAsia="es-ES_tradnl"/>
        </w:rPr>
        <w:t>RUP</w:t>
      </w:r>
      <w:r w:rsidRPr="0066787D">
        <w:rPr>
          <w:rFonts w:ascii="Arial" w:eastAsia="Times New Roman" w:hAnsi="Arial" w:cs="Arial"/>
          <w:lang w:val="es-MX" w:eastAsia="es-ES_tradnl"/>
        </w:rPr>
        <w:t>.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177203FD" w14:textId="77777777"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66787D">
        <w:rPr>
          <w:rFonts w:ascii="Arial" w:eastAsia="Times New Roman" w:hAnsi="Arial" w:cs="Arial"/>
          <w:vertAlign w:val="superscript"/>
          <w:lang w:val="es-MX" w:eastAsia="es-ES_tradnl"/>
        </w:rPr>
        <w:footnoteReference w:id="22"/>
      </w:r>
      <w:r w:rsidRPr="0066787D">
        <w:rPr>
          <w:rFonts w:ascii="Arial" w:eastAsia="Times New Roman" w:hAnsi="Arial" w:cs="Arial"/>
          <w:lang w:val="es-MX" w:eastAsia="es-ES_tradnl"/>
        </w:rPr>
        <w:t xml:space="preserve">.  </w:t>
      </w:r>
    </w:p>
    <w:p w14:paraId="0C0FCF10" w14:textId="77777777"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lastRenderedPageBreak/>
        <w:t>El numeral 2.5</w:t>
      </w:r>
      <w:r w:rsidRPr="0066787D">
        <w:rPr>
          <w:rFonts w:ascii="Arial" w:eastAsia="Times New Roman" w:hAnsi="Arial" w:cs="Arial"/>
          <w:vertAlign w:val="superscript"/>
          <w:lang w:val="es-MX" w:eastAsia="es-ES_tradnl"/>
        </w:rPr>
        <w:footnoteReference w:id="23"/>
      </w:r>
      <w:r w:rsidRPr="0066787D">
        <w:rPr>
          <w:rFonts w:ascii="Arial" w:eastAsia="Times New Roman" w:hAnsi="Arial" w:cs="Arial"/>
          <w:lang w:val="es-MX" w:eastAsia="es-ES_tradnl"/>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5875D98" w14:textId="0E8843F9"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w:t>
      </w:r>
      <w:r w:rsidR="00F70766" w:rsidRPr="0066787D">
        <w:rPr>
          <w:rFonts w:ascii="Arial" w:eastAsia="Times New Roman" w:hAnsi="Arial" w:cs="Arial"/>
          <w:lang w:val="es-MX" w:eastAsia="es-ES_tradnl"/>
        </w:rPr>
        <w:t>a tres</w:t>
      </w:r>
      <w:r w:rsidR="00967B65">
        <w:rPr>
          <w:rFonts w:ascii="Arial" w:eastAsia="Times New Roman" w:hAnsi="Arial" w:cs="Arial"/>
          <w:lang w:val="es-MX" w:eastAsia="es-ES_tradnl"/>
        </w:rPr>
        <w:t xml:space="preserve"> (</w:t>
      </w:r>
      <w:r w:rsidR="00967B65" w:rsidRPr="0066787D">
        <w:rPr>
          <w:rFonts w:ascii="Arial" w:eastAsia="Times New Roman" w:hAnsi="Arial" w:cs="Arial"/>
          <w:lang w:val="es-MX" w:eastAsia="es-ES_tradnl"/>
        </w:rPr>
        <w:t>3</w:t>
      </w:r>
      <w:r w:rsidR="00967B65">
        <w:rPr>
          <w:rFonts w:ascii="Arial" w:eastAsia="Times New Roman" w:hAnsi="Arial" w:cs="Arial"/>
          <w:lang w:val="es-MX" w:eastAsia="es-ES_tradnl"/>
        </w:rPr>
        <w:t xml:space="preserve">) </w:t>
      </w:r>
      <w:r w:rsidRPr="0066787D">
        <w:rPr>
          <w:rFonts w:ascii="Arial" w:eastAsia="Times New Roman" w:hAnsi="Arial" w:cs="Arial"/>
          <w:lang w:val="es-MX" w:eastAsia="es-ES_tradnl"/>
        </w:rPr>
        <w:t>años, puede acreditar la experiencia de sus accionistas, socios o constituyentes.</w:t>
      </w:r>
    </w:p>
    <w:p w14:paraId="451E86AE" w14:textId="17820D70" w:rsidR="0066787D" w:rsidRPr="0066787D" w:rsidRDefault="0066787D" w:rsidP="00497692">
      <w:pPr>
        <w:spacing w:before="120" w:after="120" w:line="276" w:lineRule="auto"/>
        <w:ind w:firstLine="708"/>
        <w:jc w:val="both"/>
        <w:rPr>
          <w:rFonts w:ascii="Arial" w:eastAsia="Times New Roman" w:hAnsi="Arial" w:cs="Arial"/>
          <w:lang w:val="es-MX" w:eastAsia="es-ES_tradnl"/>
        </w:rPr>
      </w:pPr>
      <w:bookmarkStart w:id="5" w:name="_Hlk67496603"/>
      <w:r w:rsidRPr="0066787D">
        <w:rPr>
          <w:rFonts w:ascii="Arial" w:eastAsia="Times New Roman" w:hAnsi="Arial" w:cs="Arial"/>
          <w:lang w:val="es-MX" w:eastAsia="es-ES_tradnl"/>
        </w:rPr>
        <w:t xml:space="preserve">La parte final del numeral 2.5 del artículo citado incluye una medida diferenciada para las personas jurídicas cuya constitución sea menor a </w:t>
      </w:r>
      <w:r w:rsidR="000B249A">
        <w:rPr>
          <w:rFonts w:ascii="Arial" w:eastAsia="Times New Roman" w:hAnsi="Arial" w:cs="Arial"/>
          <w:lang w:val="es-MX" w:eastAsia="es-ES_tradnl"/>
        </w:rPr>
        <w:t>tres (</w:t>
      </w:r>
      <w:r w:rsidRPr="0066787D">
        <w:rPr>
          <w:rFonts w:ascii="Arial" w:eastAsia="Times New Roman" w:hAnsi="Arial" w:cs="Arial"/>
          <w:lang w:val="es-MX" w:eastAsia="es-ES_tradnl"/>
        </w:rPr>
        <w:t>3</w:t>
      </w:r>
      <w:r w:rsidR="000B249A">
        <w:rPr>
          <w:rFonts w:ascii="Arial" w:eastAsia="Times New Roman" w:hAnsi="Arial" w:cs="Arial"/>
          <w:lang w:val="es-MX" w:eastAsia="es-ES_tradnl"/>
        </w:rPr>
        <w:t>)</w:t>
      </w:r>
      <w:r w:rsidRPr="0066787D">
        <w:rPr>
          <w:rFonts w:ascii="Arial" w:eastAsia="Times New Roman" w:hAnsi="Arial" w:cs="Arial"/>
          <w:lang w:val="es-MX" w:eastAsia="es-ES_tradnl"/>
        </w:rPr>
        <w:t xml:space="preserve"> años al momento del registro. Esta prerrogativa, que puede entenderse como una medida de fomento a la participación de pequeños oferentes en la contratación estatal, permite que las sociedades relativamente nuevas </w:t>
      </w:r>
      <w:r w:rsidRPr="0066787D">
        <w:rPr>
          <w:rFonts w:ascii="Arial" w:eastAsia="Calibri" w:hAnsi="Arial" w:cs="Arial"/>
          <w:lang w:val="es-MX" w:eastAsia="es-ES_tradnl"/>
        </w:rPr>
        <w:t>─</w:t>
      </w:r>
      <w:r w:rsidRPr="0066787D">
        <w:rPr>
          <w:rFonts w:ascii="Arial" w:eastAsia="Times New Roman" w:hAnsi="Arial" w:cs="Arial"/>
          <w:lang w:val="es-MX" w:eastAsia="es-ES_tradnl"/>
        </w:rPr>
        <w:t>con menos de</w:t>
      </w:r>
      <w:r w:rsidR="00B970EA">
        <w:rPr>
          <w:rFonts w:ascii="Arial" w:eastAsia="Times New Roman" w:hAnsi="Arial" w:cs="Arial"/>
          <w:lang w:val="es-MX" w:eastAsia="es-ES_tradnl"/>
        </w:rPr>
        <w:t xml:space="preserve"> </w:t>
      </w:r>
      <w:r w:rsidR="00F70766">
        <w:rPr>
          <w:rFonts w:ascii="Arial" w:eastAsia="Times New Roman" w:hAnsi="Arial" w:cs="Arial"/>
          <w:lang w:val="es-MX" w:eastAsia="es-ES_tradnl"/>
        </w:rPr>
        <w:t>tres</w:t>
      </w:r>
      <w:r w:rsidRPr="0066787D">
        <w:rPr>
          <w:rFonts w:ascii="Arial" w:eastAsia="Times New Roman" w:hAnsi="Arial" w:cs="Arial"/>
          <w:lang w:val="es-MX" w:eastAsia="es-ES_tradnl"/>
        </w:rPr>
        <w:t xml:space="preserve"> </w:t>
      </w:r>
      <w:r w:rsidR="00F70766">
        <w:rPr>
          <w:rFonts w:ascii="Arial" w:eastAsia="Times New Roman" w:hAnsi="Arial" w:cs="Arial"/>
          <w:lang w:val="es-MX" w:eastAsia="es-ES_tradnl"/>
        </w:rPr>
        <w:t>(</w:t>
      </w:r>
      <w:r w:rsidRPr="0066787D">
        <w:rPr>
          <w:rFonts w:ascii="Arial" w:eastAsia="Times New Roman" w:hAnsi="Arial" w:cs="Arial"/>
          <w:lang w:val="es-MX" w:eastAsia="es-ES_tradnl"/>
        </w:rPr>
        <w:t>3</w:t>
      </w:r>
      <w:r w:rsidR="00F70766">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constitución</w:t>
      </w:r>
      <w:r w:rsidRPr="0066787D">
        <w:rPr>
          <w:rFonts w:ascii="Arial" w:eastAsia="Calibri" w:hAnsi="Arial" w:cs="Arial"/>
          <w:lang w:val="es-MX" w:eastAsia="es-ES_tradnl"/>
        </w:rPr>
        <w:t>─</w:t>
      </w:r>
      <w:r w:rsidRPr="0066787D">
        <w:rPr>
          <w:rFonts w:ascii="Arial" w:eastAsia="Times New Roman" w:hAnsi="Arial" w:cs="Arial"/>
          <w:lang w:val="es-MX" w:eastAsia="es-ES_tradnl"/>
        </w:rPr>
        <w:t xml:space="preserve">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manera. </w:t>
      </w:r>
    </w:p>
    <w:p w14:paraId="3F21A1B8" w14:textId="77777777"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La finalidad de esta norma es permitir que las sociedades que no cuentan con la experiencia suficiente para contratar con el Estado puedan apoyarse en la </w:t>
      </w:r>
      <w:r w:rsidRPr="0066787D">
        <w:rPr>
          <w:rFonts w:ascii="Arial" w:eastAsia="Times New Roman" w:hAnsi="Arial" w:cs="Arial"/>
          <w:lang w:val="es-MX" w:eastAsia="es-ES_tradnl"/>
        </w:rPr>
        <w:lastRenderedPageBreak/>
        <w:t>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5"/>
    <w:p w14:paraId="0845E7E3" w14:textId="50CC06C5"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w:t>
      </w:r>
      <w:r w:rsidR="002C79E0">
        <w:rPr>
          <w:rFonts w:ascii="Arial" w:eastAsia="Times New Roman" w:hAnsi="Arial" w:cs="Arial"/>
          <w:lang w:val="es-MX" w:eastAsia="es-ES_tradnl"/>
        </w:rPr>
        <w:t>tres (</w:t>
      </w:r>
      <w:r w:rsidRPr="0066787D">
        <w:rPr>
          <w:rFonts w:ascii="Arial" w:eastAsia="Times New Roman" w:hAnsi="Arial" w:cs="Arial"/>
          <w:lang w:val="es-MX" w:eastAsia="es-ES_tradnl"/>
        </w:rPr>
        <w:t>3</w:t>
      </w:r>
      <w:r w:rsidR="002C79E0">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su constitución? ¿puede seguir siendo beneficiaria de la prerrogativa del numeral 2.5 del artículo 2.2.1.1.1.5.2 del Decreto 1082 de 2015? Estos interrogantes han sido planteados a la Subdirección de Gestión Contractual</w:t>
      </w:r>
      <w:r w:rsidR="009364A3">
        <w:rPr>
          <w:rFonts w:ascii="Arial" w:eastAsia="Times New Roman" w:hAnsi="Arial" w:cs="Arial"/>
          <w:lang w:val="es-MX" w:eastAsia="es-ES_tradnl"/>
        </w:rPr>
        <w:t xml:space="preserve"> de esta Agencia</w:t>
      </w:r>
      <w:r w:rsidRPr="0066787D">
        <w:rPr>
          <w:rFonts w:ascii="Arial" w:eastAsia="Times New Roman" w:hAnsi="Arial" w:cs="Arial"/>
          <w:lang w:val="es-MX" w:eastAsia="es-ES_tradnl"/>
        </w:rPr>
        <w:t xml:space="preserve"> y se han desarrollado, en torno a dos posiciones, que se plantean a continuación: </w:t>
      </w:r>
    </w:p>
    <w:p w14:paraId="7CDDB359" w14:textId="38510EB4"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En el concepto identificado con radicado No. 4201814000001418 del 3 de abril de 2018, donde frente a la misma pregunta esta Subdirección respondió que después de cumplidos los </w:t>
      </w:r>
      <w:r w:rsidR="00CA5CA6">
        <w:rPr>
          <w:rFonts w:ascii="Arial" w:eastAsia="Times New Roman" w:hAnsi="Arial" w:cs="Arial"/>
          <w:lang w:val="es-MX" w:eastAsia="es-ES_tradnl"/>
        </w:rPr>
        <w:t>tres (</w:t>
      </w:r>
      <w:r w:rsidRPr="0066787D">
        <w:rPr>
          <w:rFonts w:ascii="Arial" w:eastAsia="Times New Roman" w:hAnsi="Arial" w:cs="Arial"/>
          <w:lang w:val="es-MX" w:eastAsia="es-ES_tradnl"/>
        </w:rPr>
        <w:t>3</w:t>
      </w:r>
      <w:r w:rsidR="001E6948">
        <w:rPr>
          <w:rFonts w:ascii="Arial" w:eastAsia="Times New Roman" w:hAnsi="Arial" w:cs="Arial"/>
          <w:lang w:val="es-MX" w:eastAsia="es-ES_tradnl"/>
        </w:rPr>
        <w:t>)</w:t>
      </w:r>
      <w:r w:rsidRPr="0066787D">
        <w:rPr>
          <w:rFonts w:ascii="Arial" w:eastAsia="Times New Roman" w:hAnsi="Arial" w:cs="Arial"/>
          <w:lang w:val="es-MX" w:eastAsia="es-ES_tradnl"/>
        </w:rPr>
        <w:t xml:space="preserve"> años contados desde la constitución de la sociedad, las entidades estatales no deberían tener como válida la experiencia acreditada por los socios, accionistas o constituyentes. Como fundamento de esta posición, la Subdirección consideró lo siguiente: </w:t>
      </w:r>
    </w:p>
    <w:p w14:paraId="60364CE6" w14:textId="2872D14B"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i) La posición de Colombia Compra Eficiente respecto a la validez de la experiencia de los accionistas, socios o constituyentes, acreditada en el RUP por una sociedad nueva, cuando está ya superó los </w:t>
      </w:r>
      <w:r w:rsidR="00DF6A9E">
        <w:rPr>
          <w:rFonts w:ascii="Arial" w:eastAsia="Times New Roman" w:hAnsi="Arial" w:cs="Arial"/>
          <w:lang w:val="es-MX" w:eastAsia="es-ES_tradnl"/>
        </w:rPr>
        <w:t>tres (</w:t>
      </w:r>
      <w:r w:rsidRPr="0066787D">
        <w:rPr>
          <w:rFonts w:ascii="Arial" w:eastAsia="Times New Roman" w:hAnsi="Arial" w:cs="Arial"/>
          <w:lang w:val="es-MX" w:eastAsia="es-ES_tradnl"/>
        </w:rPr>
        <w:t>3</w:t>
      </w:r>
      <w:r w:rsidR="00DF6A9E">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constituida, ha variado. </w:t>
      </w:r>
    </w:p>
    <w:p w14:paraId="1E30FF3B" w14:textId="54117D3C" w:rsidR="0066787D" w:rsidRPr="0066787D" w:rsidRDefault="0066787D" w:rsidP="00497692">
      <w:pPr>
        <w:spacing w:before="120" w:after="120" w:line="276" w:lineRule="auto"/>
        <w:ind w:firstLine="708"/>
        <w:jc w:val="both"/>
        <w:rPr>
          <w:rFonts w:ascii="Arial" w:eastAsia="Times New Roman" w:hAnsi="Arial" w:cs="Arial"/>
          <w:lang w:val="es-MX" w:eastAsia="es-ES_tradnl"/>
        </w:rPr>
      </w:pPr>
      <w:proofErr w:type="spellStart"/>
      <w:r w:rsidRPr="0066787D">
        <w:rPr>
          <w:rFonts w:ascii="Arial" w:eastAsia="Times New Roman" w:hAnsi="Arial" w:cs="Arial"/>
          <w:lang w:val="es-MX" w:eastAsia="es-ES_tradnl"/>
        </w:rPr>
        <w:t>ii</w:t>
      </w:r>
      <w:proofErr w:type="spellEnd"/>
      <w:r w:rsidRPr="0066787D">
        <w:rPr>
          <w:rFonts w:ascii="Arial" w:eastAsia="Times New Roman" w:hAnsi="Arial" w:cs="Arial"/>
          <w:lang w:val="es-MX" w:eastAsia="es-ES_tradnl"/>
        </w:rPr>
        <w:t xml:space="preserve">) El Decreto 1082 de 2015 establece que, para la inscripción en el RUP de una persona jurídica si su constitución es menor a </w:t>
      </w:r>
      <w:r w:rsidR="00DF6A9E">
        <w:rPr>
          <w:rFonts w:ascii="Arial" w:eastAsia="Times New Roman" w:hAnsi="Arial" w:cs="Arial"/>
          <w:lang w:val="es-MX" w:eastAsia="es-ES_tradnl"/>
        </w:rPr>
        <w:t>tres (</w:t>
      </w:r>
      <w:r w:rsidRPr="0066787D">
        <w:rPr>
          <w:rFonts w:ascii="Arial" w:eastAsia="Times New Roman" w:hAnsi="Arial" w:cs="Arial"/>
          <w:lang w:val="es-MX" w:eastAsia="es-ES_tradnl"/>
        </w:rPr>
        <w:t>3</w:t>
      </w:r>
      <w:r w:rsidR="00DF6A9E">
        <w:rPr>
          <w:rFonts w:ascii="Arial" w:eastAsia="Times New Roman" w:hAnsi="Arial" w:cs="Arial"/>
          <w:lang w:val="es-MX" w:eastAsia="es-ES_tradnl"/>
        </w:rPr>
        <w:t>)</w:t>
      </w:r>
      <w:r w:rsidRPr="0066787D">
        <w:rPr>
          <w:rFonts w:ascii="Arial" w:eastAsia="Times New Roman" w:hAnsi="Arial" w:cs="Arial"/>
          <w:lang w:val="es-MX" w:eastAsia="es-ES_tradnl"/>
        </w:rPr>
        <w:t xml:space="preserve"> años, puede acreditar la experiencia de sus accionistas, socios o constituyentes. </w:t>
      </w:r>
    </w:p>
    <w:p w14:paraId="58BC2E95" w14:textId="77777777" w:rsidR="0066787D" w:rsidRPr="0066787D" w:rsidRDefault="0066787D" w:rsidP="00497692">
      <w:pPr>
        <w:spacing w:before="120" w:after="120" w:line="276" w:lineRule="auto"/>
        <w:ind w:firstLine="708"/>
        <w:jc w:val="both"/>
        <w:rPr>
          <w:rFonts w:ascii="Arial" w:eastAsia="Times New Roman" w:hAnsi="Arial" w:cs="Arial"/>
          <w:lang w:val="es-MX" w:eastAsia="es-ES_tradnl"/>
        </w:rPr>
      </w:pPr>
      <w:proofErr w:type="spellStart"/>
      <w:r w:rsidRPr="0066787D">
        <w:rPr>
          <w:rFonts w:ascii="Arial" w:eastAsia="Times New Roman" w:hAnsi="Arial" w:cs="Arial"/>
          <w:lang w:val="es-MX" w:eastAsia="es-ES_tradnl"/>
        </w:rPr>
        <w:t>iii</w:t>
      </w:r>
      <w:proofErr w:type="spellEnd"/>
      <w:r w:rsidRPr="0066787D">
        <w:rPr>
          <w:rFonts w:ascii="Arial" w:eastAsia="Times New Roman" w:hAnsi="Arial" w:cs="Arial"/>
          <w:lang w:val="es-MX" w:eastAsia="es-ES_tradnl"/>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4653F427" w14:textId="7DE34E4A" w:rsidR="0066787D" w:rsidRPr="0066787D" w:rsidRDefault="0066787D" w:rsidP="00497692">
      <w:pPr>
        <w:spacing w:before="120" w:after="120" w:line="276" w:lineRule="auto"/>
        <w:ind w:firstLine="708"/>
        <w:jc w:val="both"/>
        <w:rPr>
          <w:rFonts w:ascii="Arial" w:eastAsia="Times New Roman" w:hAnsi="Arial" w:cs="Arial"/>
          <w:lang w:val="es-MX" w:eastAsia="es-ES_tradnl"/>
        </w:rPr>
      </w:pPr>
      <w:proofErr w:type="spellStart"/>
      <w:r w:rsidRPr="0066787D">
        <w:rPr>
          <w:rFonts w:ascii="Arial" w:eastAsia="Times New Roman" w:hAnsi="Arial" w:cs="Arial"/>
          <w:lang w:val="es-MX" w:eastAsia="es-ES_tradnl"/>
        </w:rPr>
        <w:t>iv</w:t>
      </w:r>
      <w:proofErr w:type="spellEnd"/>
      <w:r w:rsidRPr="0066787D">
        <w:rPr>
          <w:rFonts w:ascii="Arial" w:eastAsia="Times New Roman" w:hAnsi="Arial" w:cs="Arial"/>
          <w:lang w:val="es-MX" w:eastAsia="es-ES_tradnl"/>
        </w:rPr>
        <w:t xml:space="preserve">) En consecuencia, la persona jurídica cuya constitución es menor a </w:t>
      </w:r>
      <w:r w:rsidR="00DF6A9E">
        <w:rPr>
          <w:rFonts w:ascii="Arial" w:eastAsia="Times New Roman" w:hAnsi="Arial" w:cs="Arial"/>
          <w:lang w:val="es-MX" w:eastAsia="es-ES_tradnl"/>
        </w:rPr>
        <w:t>tres (</w:t>
      </w:r>
      <w:r w:rsidRPr="0066787D">
        <w:rPr>
          <w:rFonts w:ascii="Arial" w:eastAsia="Times New Roman" w:hAnsi="Arial" w:cs="Arial"/>
          <w:lang w:val="es-MX" w:eastAsia="es-ES_tradnl"/>
        </w:rPr>
        <w:t>3</w:t>
      </w:r>
      <w:r w:rsidR="00DF6A9E">
        <w:rPr>
          <w:rFonts w:ascii="Arial" w:eastAsia="Times New Roman" w:hAnsi="Arial" w:cs="Arial"/>
          <w:lang w:val="es-MX" w:eastAsia="es-ES_tradnl"/>
        </w:rPr>
        <w:t>)</w:t>
      </w:r>
      <w:r w:rsidRPr="0066787D">
        <w:rPr>
          <w:rFonts w:ascii="Arial" w:eastAsia="Times New Roman" w:hAnsi="Arial" w:cs="Arial"/>
          <w:lang w:val="es-MX" w:eastAsia="es-ES_tradnl"/>
        </w:rPr>
        <w:t xml:space="preserve"> años puede registrar la experiencia de sus socios en el RUP, la cual no podrá ser tenida en cuenta por la entidad estatal como experiencia de la sociedad una vez cumplidos los </w:t>
      </w:r>
      <w:r w:rsidR="00DF6A9E">
        <w:rPr>
          <w:rFonts w:ascii="Arial" w:eastAsia="Times New Roman" w:hAnsi="Arial" w:cs="Arial"/>
          <w:lang w:val="es-MX" w:eastAsia="es-ES_tradnl"/>
        </w:rPr>
        <w:t>tres (</w:t>
      </w:r>
      <w:r w:rsidRPr="0066787D">
        <w:rPr>
          <w:rFonts w:ascii="Arial" w:eastAsia="Times New Roman" w:hAnsi="Arial" w:cs="Arial"/>
          <w:lang w:val="es-MX" w:eastAsia="es-ES_tradnl"/>
        </w:rPr>
        <w:t>3</w:t>
      </w:r>
      <w:r w:rsidR="00DF6A9E">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constituida la persona jurídica a los que hace </w:t>
      </w:r>
      <w:r w:rsidRPr="0066787D">
        <w:rPr>
          <w:rFonts w:ascii="Arial" w:eastAsia="Times New Roman" w:hAnsi="Arial" w:cs="Arial"/>
          <w:lang w:val="es-MX" w:eastAsia="es-ES_tradnl"/>
        </w:rPr>
        <w:lastRenderedPageBreak/>
        <w:t xml:space="preserve">referencia la norma, pues no se cumple con el presupuesto normativo para acceder al beneficio que contempla el Decreto 1082. </w:t>
      </w:r>
    </w:p>
    <w:p w14:paraId="1DCA56D5" w14:textId="77777777"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66787D">
        <w:rPr>
          <w:rFonts w:ascii="Arial" w:eastAsia="Calibri" w:hAnsi="Arial" w:cs="Arial"/>
          <w:lang w:val="es-MX" w:eastAsia="es-ES_tradnl"/>
        </w:rPr>
        <w:t>―</w:t>
      </w:r>
      <w:r w:rsidRPr="0066787D">
        <w:rPr>
          <w:rFonts w:ascii="Arial" w:eastAsia="Times New Roman" w:hAnsi="Arial" w:cs="Arial"/>
          <w:lang w:val="es-MX" w:eastAsia="es-ES_tradnl"/>
        </w:rPr>
        <w:t>únicamente para la capacidad jurídica y experiencia</w:t>
      </w:r>
      <w:r w:rsidRPr="0066787D">
        <w:rPr>
          <w:rFonts w:ascii="Arial" w:eastAsia="Calibri" w:hAnsi="Arial" w:cs="Arial"/>
          <w:lang w:val="es-MX" w:eastAsia="es-ES_tradnl"/>
        </w:rPr>
        <w:t>―</w:t>
      </w:r>
      <w:r w:rsidRPr="0066787D">
        <w:rPr>
          <w:rFonts w:ascii="Arial" w:eastAsia="Times New Roman" w:hAnsi="Arial" w:cs="Arial"/>
          <w:lang w:val="es-MX" w:eastAsia="es-ES_tradnl"/>
        </w:rPr>
        <w:t xml:space="preserve"> y debe ser verificada junto con sus soportes por la Cámara de Comercio correspondiente. </w:t>
      </w:r>
    </w:p>
    <w:p w14:paraId="7671FAF9" w14:textId="01C91F26"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La posición anterior, en relación con la posibilidad de que las sociedades nuevas puedan seguir acreditando la experiencia de sus socios, accionistas o constituyentes, incluso después de cumplidos </w:t>
      </w:r>
      <w:r w:rsidR="009364A3">
        <w:rPr>
          <w:rFonts w:ascii="Arial" w:eastAsia="Times New Roman" w:hAnsi="Arial" w:cs="Arial"/>
          <w:lang w:val="es-MX" w:eastAsia="es-ES_tradnl"/>
        </w:rPr>
        <w:t>tres (</w:t>
      </w:r>
      <w:r w:rsidRPr="0066787D">
        <w:rPr>
          <w:rFonts w:ascii="Arial" w:eastAsia="Times New Roman" w:hAnsi="Arial" w:cs="Arial"/>
          <w:lang w:val="es-MX" w:eastAsia="es-ES_tradnl"/>
        </w:rPr>
        <w:t>3</w:t>
      </w:r>
      <w:r w:rsidR="009364A3">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constitución de la persona jurídica, fue superada y se ratificó por esta Subdirección la tesis que ya había sido desarrollada en el concepto del 7 de febrero de 2018</w:t>
      </w:r>
      <w:r w:rsidRPr="0066787D">
        <w:rPr>
          <w:rFonts w:ascii="Arial" w:eastAsia="Times New Roman" w:hAnsi="Arial" w:cs="Arial"/>
          <w:vertAlign w:val="superscript"/>
          <w:lang w:val="es-MX" w:eastAsia="es-ES_tradnl"/>
        </w:rPr>
        <w:footnoteReference w:id="24"/>
      </w:r>
      <w:r w:rsidRPr="0066787D">
        <w:rPr>
          <w:rFonts w:ascii="Arial" w:eastAsia="Times New Roman" w:hAnsi="Arial" w:cs="Arial"/>
          <w:lang w:val="es-MX" w:eastAsia="es-ES_tradnl"/>
        </w:rPr>
        <w:t>, recogida y unificada en el concepto con radicado No. 4201913000006797 del 19 de noviembre de 2019</w:t>
      </w:r>
      <w:r w:rsidR="00AB0ADA">
        <w:rPr>
          <w:rFonts w:ascii="Arial" w:eastAsia="Times New Roman" w:hAnsi="Arial" w:cs="Arial"/>
          <w:lang w:val="es-MX" w:eastAsia="es-ES_tradnl"/>
        </w:rPr>
        <w:t>,</w:t>
      </w:r>
      <w:r w:rsidRPr="0066787D">
        <w:rPr>
          <w:rFonts w:ascii="Arial" w:eastAsia="Times New Roman" w:hAnsi="Arial" w:cs="Arial"/>
          <w:lang w:val="es-MX" w:eastAsia="es-ES_tradnl"/>
        </w:rPr>
        <w:t xml:space="preserve"> en el que se sostuvo que las personas jurídicas que hubieran sido beneficiarias de la norma podían seguir acreditando la experiencia de sus socios o accionistas, inclusive después de transcurridos </w:t>
      </w:r>
      <w:r w:rsidR="00BB52E0">
        <w:rPr>
          <w:rFonts w:ascii="Arial" w:eastAsia="Times New Roman" w:hAnsi="Arial" w:cs="Arial"/>
          <w:lang w:val="es-MX" w:eastAsia="es-ES_tradnl"/>
        </w:rPr>
        <w:t>tres (</w:t>
      </w:r>
      <w:r w:rsidRPr="0066787D">
        <w:rPr>
          <w:rFonts w:ascii="Arial" w:eastAsia="Times New Roman" w:hAnsi="Arial" w:cs="Arial"/>
          <w:lang w:val="es-MX" w:eastAsia="es-ES_tradnl"/>
        </w:rPr>
        <w:t>3</w:t>
      </w:r>
      <w:r w:rsidR="00BB52E0">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desde la constitución de la sociedad, siempre que se renovara constantemente el RUP.  </w:t>
      </w:r>
    </w:p>
    <w:p w14:paraId="0DB61B3F" w14:textId="19425853"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Teniendo en cuenta lo anterior, aunque la persona jurídica tenga más de tres </w:t>
      </w:r>
      <w:r w:rsidR="0071095F">
        <w:rPr>
          <w:rFonts w:ascii="Arial" w:eastAsia="Times New Roman" w:hAnsi="Arial" w:cs="Arial"/>
          <w:lang w:val="es-MX" w:eastAsia="es-ES_tradnl"/>
        </w:rPr>
        <w:t xml:space="preserve">(3) </w:t>
      </w:r>
      <w:r w:rsidRPr="0066787D">
        <w:rPr>
          <w:rFonts w:ascii="Arial" w:eastAsia="Times New Roman" w:hAnsi="Arial" w:cs="Arial"/>
          <w:lang w:val="es-MX" w:eastAsia="es-ES_tradnl"/>
        </w:rPr>
        <w:t xml:space="preserve">años de constituida y haya registrado inicialmente la experiencia de sus socios en el RUP </w:t>
      </w:r>
      <w:r w:rsidRPr="0066787D">
        <w:rPr>
          <w:rFonts w:ascii="Arial" w:eastAsia="Calibri" w:hAnsi="Arial" w:cs="Arial"/>
          <w:lang w:val="es-MX" w:eastAsia="es-ES_tradnl"/>
        </w:rPr>
        <w:t>–</w:t>
      </w:r>
      <w:r w:rsidRPr="0066787D">
        <w:rPr>
          <w:rFonts w:ascii="Arial" w:eastAsia="Times New Roman" w:hAnsi="Arial" w:cs="Arial"/>
          <w:lang w:val="es-MX" w:eastAsia="es-ES_tradnl"/>
        </w:rPr>
        <w:t>pues su constitución era inferior a tres</w:t>
      </w:r>
      <w:r w:rsidR="0071095F">
        <w:rPr>
          <w:rFonts w:ascii="Arial" w:eastAsia="Times New Roman" w:hAnsi="Arial" w:cs="Arial"/>
          <w:lang w:val="es-MX" w:eastAsia="es-ES_tradnl"/>
        </w:rPr>
        <w:t xml:space="preserve"> (3)</w:t>
      </w:r>
      <w:r w:rsidRPr="0066787D">
        <w:rPr>
          <w:rFonts w:ascii="Arial" w:eastAsia="Times New Roman" w:hAnsi="Arial" w:cs="Arial"/>
          <w:lang w:val="es-MX" w:eastAsia="es-ES_tradnl"/>
        </w:rPr>
        <w:t xml:space="preserve"> años</w:t>
      </w:r>
      <w:r w:rsidRPr="0066787D">
        <w:rPr>
          <w:rFonts w:ascii="Arial" w:eastAsia="Calibri" w:hAnsi="Arial" w:cs="Arial"/>
          <w:lang w:val="es-MX" w:eastAsia="es-ES_tradnl"/>
        </w:rPr>
        <w:t>–, cuando</w:t>
      </w:r>
      <w:r w:rsidRPr="0066787D">
        <w:rPr>
          <w:rFonts w:ascii="Arial" w:eastAsia="Times New Roman" w:hAnsi="Arial" w:cs="Arial"/>
          <w:lang w:val="es-MX" w:eastAsia="es-ES_tradnl"/>
        </w:rPr>
        <w:t xml:space="preserve"> este sea renovado, puede continuar utilizando la experiencia inscrita mientras no cesen los efectos del RUP. Por el contrario, si el RUP no es renovado y la persona jurídica supera los tres </w:t>
      </w:r>
      <w:r w:rsidR="0071095F">
        <w:rPr>
          <w:rFonts w:ascii="Arial" w:eastAsia="Times New Roman" w:hAnsi="Arial" w:cs="Arial"/>
          <w:lang w:val="es-MX" w:eastAsia="es-ES_tradnl"/>
        </w:rPr>
        <w:t xml:space="preserve">(3) </w:t>
      </w:r>
      <w:r w:rsidRPr="0066787D">
        <w:rPr>
          <w:rFonts w:ascii="Arial" w:eastAsia="Times New Roman" w:hAnsi="Arial" w:cs="Arial"/>
          <w:lang w:val="es-MX" w:eastAsia="es-ES_tradnl"/>
        </w:rPr>
        <w:t xml:space="preserve">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E3FEBDF" w14:textId="77777777" w:rsidR="0066787D" w:rsidRPr="0066787D" w:rsidRDefault="0066787D" w:rsidP="00497692">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w:t>
      </w:r>
      <w:r w:rsidRPr="0066787D">
        <w:rPr>
          <w:rFonts w:ascii="Arial" w:eastAsia="Times New Roman" w:hAnsi="Arial" w:cs="Arial"/>
          <w:lang w:val="es-MX" w:eastAsia="es-ES_tradnl"/>
        </w:rPr>
        <w:lastRenderedPageBreak/>
        <w:t>efectos</w:t>
      </w:r>
      <w:r w:rsidRPr="0066787D">
        <w:rPr>
          <w:rFonts w:ascii="Arial" w:eastAsia="Times New Roman" w:hAnsi="Arial" w:cs="Arial"/>
          <w:vertAlign w:val="superscript"/>
          <w:lang w:val="es-MX" w:eastAsia="es-ES_tradnl"/>
        </w:rPr>
        <w:footnoteReference w:id="25"/>
      </w:r>
      <w:r w:rsidRPr="0066787D">
        <w:rPr>
          <w:rFonts w:ascii="Arial" w:eastAsia="Times New Roman" w:hAnsi="Arial" w:cs="Arial"/>
          <w:lang w:val="es-MX" w:eastAsia="es-ES_tradnl"/>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15489564" w14:textId="3D87F78B" w:rsidR="0066787D" w:rsidRPr="0066787D" w:rsidRDefault="0066787D" w:rsidP="0066787D">
      <w:pPr>
        <w:spacing w:after="0" w:line="276" w:lineRule="auto"/>
        <w:ind w:firstLine="708"/>
        <w:contextualSpacing/>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En otras palabras, </w:t>
      </w:r>
      <w:bookmarkStart w:id="6" w:name="_Hlk67498604"/>
      <w:r w:rsidRPr="0066787D">
        <w:rPr>
          <w:rFonts w:ascii="Arial" w:eastAsia="Times New Roman" w:hAnsi="Arial" w:cs="Arial"/>
          <w:lang w:val="es-MX" w:eastAsia="es-ES_tradnl"/>
        </w:rPr>
        <w:t xml:space="preserve">si la persona jurídica con menos de tres </w:t>
      </w:r>
      <w:r w:rsidR="009762BE">
        <w:rPr>
          <w:rFonts w:ascii="Arial" w:eastAsia="Times New Roman" w:hAnsi="Arial" w:cs="Arial"/>
          <w:lang w:val="es-MX" w:eastAsia="es-ES_tradnl"/>
        </w:rPr>
        <w:t xml:space="preserve">(3) </w:t>
      </w:r>
      <w:r w:rsidRPr="0066787D">
        <w:rPr>
          <w:rFonts w:ascii="Arial" w:eastAsia="Times New Roman" w:hAnsi="Arial" w:cs="Arial"/>
          <w:lang w:val="es-MX" w:eastAsia="es-ES_tradnl"/>
        </w:rPr>
        <w:t>años de constituida registra la experiencia de sus socios en el RUP, y éste es renovado, puede continuar utilizando la experiencia inscrita mientras no cesen los efectos del RUP. Por el contrario, si no se renueva y la persona jurídica supera los tres</w:t>
      </w:r>
      <w:r w:rsidR="00497692">
        <w:rPr>
          <w:rFonts w:ascii="Arial" w:eastAsia="Times New Roman" w:hAnsi="Arial" w:cs="Arial"/>
          <w:lang w:val="es-MX" w:eastAsia="es-ES_tradnl"/>
        </w:rPr>
        <w:t xml:space="preserve"> (3)</w:t>
      </w:r>
      <w:r w:rsidRPr="0066787D">
        <w:rPr>
          <w:rFonts w:ascii="Arial" w:eastAsia="Times New Roman" w:hAnsi="Arial" w:cs="Arial"/>
          <w:lang w:val="es-MX" w:eastAsia="es-ES_tradnl"/>
        </w:rPr>
        <w:t xml:space="preserve">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6"/>
      <w:r w:rsidRPr="0066787D">
        <w:rPr>
          <w:rFonts w:ascii="Arial" w:eastAsia="Times New Roman" w:hAnsi="Arial" w:cs="Arial"/>
          <w:lang w:val="es-MX" w:eastAsia="es-ES_tradnl"/>
        </w:rPr>
        <w:t xml:space="preserve">Lo anterior, tiene fundamento en la Circular Única de la Superintendencia de Industria y Comercio, cuyo numeral 4.2, sobre el procedimiento para llevar el registro único de proponentes, dispone lo siguiente:  </w:t>
      </w:r>
    </w:p>
    <w:p w14:paraId="1C97ECD4" w14:textId="77777777" w:rsidR="0066787D" w:rsidRPr="0066787D" w:rsidRDefault="0066787D" w:rsidP="0066787D">
      <w:pPr>
        <w:spacing w:after="0" w:line="240" w:lineRule="auto"/>
        <w:ind w:firstLine="708"/>
        <w:contextualSpacing/>
        <w:jc w:val="both"/>
        <w:rPr>
          <w:rFonts w:ascii="Arial" w:eastAsia="Times New Roman" w:hAnsi="Arial" w:cs="Arial"/>
          <w:sz w:val="24"/>
          <w:szCs w:val="24"/>
          <w:lang w:val="es-MX" w:eastAsia="es-ES_tradnl"/>
        </w:rPr>
      </w:pPr>
    </w:p>
    <w:p w14:paraId="0B655025" w14:textId="77777777" w:rsidR="0066787D" w:rsidRPr="0066787D" w:rsidRDefault="0066787D" w:rsidP="0066787D">
      <w:pPr>
        <w:spacing w:after="0" w:line="240" w:lineRule="auto"/>
        <w:ind w:left="709" w:right="709"/>
        <w:contextualSpacing/>
        <w:jc w:val="both"/>
        <w:rPr>
          <w:rFonts w:ascii="Arial" w:eastAsia="Times New Roman" w:hAnsi="Arial" w:cs="Arial"/>
          <w:sz w:val="21"/>
          <w:szCs w:val="21"/>
          <w:lang w:val="es-MX" w:eastAsia="es-ES_tradnl"/>
        </w:rPr>
      </w:pPr>
      <w:r w:rsidRPr="0066787D">
        <w:rPr>
          <w:rFonts w:ascii="Arial" w:eastAsia="Times New Roman" w:hAnsi="Arial" w:cs="Arial"/>
          <w:sz w:val="21"/>
          <w:szCs w:val="21"/>
          <w:lang w:val="es-MX" w:eastAsia="es-ES_tradnl"/>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8C047B9" w14:textId="77777777" w:rsidR="0066787D" w:rsidRPr="0066787D" w:rsidRDefault="0066787D" w:rsidP="0066787D">
      <w:pPr>
        <w:spacing w:after="0" w:line="240" w:lineRule="auto"/>
        <w:ind w:left="709" w:right="709"/>
        <w:contextualSpacing/>
        <w:jc w:val="both"/>
        <w:rPr>
          <w:rFonts w:ascii="Arial" w:eastAsia="Times New Roman" w:hAnsi="Arial" w:cs="Arial"/>
          <w:sz w:val="24"/>
          <w:szCs w:val="24"/>
          <w:lang w:val="es-MX" w:eastAsia="es-ES_tradnl"/>
        </w:rPr>
      </w:pPr>
    </w:p>
    <w:p w14:paraId="138C6B76" w14:textId="602DC103" w:rsidR="0066787D" w:rsidRPr="0066787D" w:rsidRDefault="0066787D" w:rsidP="0066787D">
      <w:pPr>
        <w:spacing w:after="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t>Así las cosas, con el fin de incentivar la participación continúa y constante de los proponentes, las entidades estatales, en sus procesos de contratación, aceptarán como válida la experiencia de los socios, accionistas o constituyentes incluso después de cumplidos los tres</w:t>
      </w:r>
      <w:r w:rsidR="001E5064">
        <w:rPr>
          <w:rFonts w:ascii="Arial" w:eastAsia="Times New Roman" w:hAnsi="Arial" w:cs="Arial"/>
          <w:lang w:val="es-MX" w:eastAsia="es-ES_tradnl"/>
        </w:rPr>
        <w:t xml:space="preserve"> (3)</w:t>
      </w:r>
      <w:r w:rsidRPr="0066787D">
        <w:rPr>
          <w:rFonts w:ascii="Arial" w:eastAsia="Times New Roman" w:hAnsi="Arial" w:cs="Arial"/>
          <w:lang w:val="es-MX" w:eastAsia="es-ES_tradnl"/>
        </w:rPr>
        <w:t xml:space="preserve">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w:t>
      </w:r>
      <w:r w:rsidR="0073185C">
        <w:rPr>
          <w:rFonts w:ascii="Arial" w:eastAsia="Times New Roman" w:hAnsi="Arial" w:cs="Arial"/>
          <w:lang w:val="es-MX" w:eastAsia="es-ES_tradnl"/>
        </w:rPr>
        <w:t>tres (</w:t>
      </w:r>
      <w:r w:rsidRPr="0066787D">
        <w:rPr>
          <w:rFonts w:ascii="Arial" w:eastAsia="Times New Roman" w:hAnsi="Arial" w:cs="Arial"/>
          <w:lang w:val="es-MX" w:eastAsia="es-ES_tradnl"/>
        </w:rPr>
        <w:t>3</w:t>
      </w:r>
      <w:r w:rsidR="0073185C">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constituida la persona jurídica, para esta Subdirección sigue siendo válida, por lo que la entidad la debe tener en cuenta. De esta forma se garantiza la pluralidad de oferentes en los procesos de contratación. </w:t>
      </w:r>
    </w:p>
    <w:p w14:paraId="0D034CE3" w14:textId="263F22AD" w:rsidR="0066787D" w:rsidRPr="0066787D" w:rsidRDefault="0066787D" w:rsidP="0066787D">
      <w:pPr>
        <w:spacing w:before="120" w:after="120" w:line="276" w:lineRule="auto"/>
        <w:ind w:firstLine="708"/>
        <w:jc w:val="both"/>
        <w:rPr>
          <w:rFonts w:ascii="Arial" w:eastAsia="Times New Roman" w:hAnsi="Arial" w:cs="Arial"/>
          <w:lang w:val="es-MX" w:eastAsia="es-ES_tradnl"/>
        </w:rPr>
      </w:pPr>
      <w:r w:rsidRPr="0066787D">
        <w:rPr>
          <w:rFonts w:ascii="Arial" w:eastAsia="Times New Roman" w:hAnsi="Arial" w:cs="Arial"/>
          <w:lang w:val="es-MX" w:eastAsia="es-ES_tradnl"/>
        </w:rPr>
        <w:lastRenderedPageBreak/>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w:t>
      </w:r>
      <w:r w:rsidR="008F0B8A">
        <w:rPr>
          <w:rFonts w:ascii="Arial" w:eastAsia="Times New Roman" w:hAnsi="Arial" w:cs="Arial"/>
          <w:lang w:val="es-MX" w:eastAsia="es-ES_tradnl"/>
        </w:rPr>
        <w:t>tres (</w:t>
      </w:r>
      <w:r w:rsidRPr="0066787D">
        <w:rPr>
          <w:rFonts w:ascii="Arial" w:eastAsia="Times New Roman" w:hAnsi="Arial" w:cs="Arial"/>
          <w:lang w:val="es-MX" w:eastAsia="es-ES_tradnl"/>
        </w:rPr>
        <w:t>3</w:t>
      </w:r>
      <w:r w:rsidR="008F0B8A">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constitución pueden acreditar la experiencia transferida por sus socios en virtud de la referida prerrogativa. </w:t>
      </w:r>
    </w:p>
    <w:p w14:paraId="52A94AB9" w14:textId="743886A9" w:rsidR="0066787D" w:rsidRPr="0066787D" w:rsidRDefault="0066787D" w:rsidP="0066787D">
      <w:pPr>
        <w:spacing w:before="120" w:after="120" w:line="276" w:lineRule="auto"/>
        <w:ind w:firstLine="709"/>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Por tanto, en atención al principio general de interpretación según el cual donde el legislador no distingue no le es dado hacerlo al interprete, el hecho de que una sociedad con menos de </w:t>
      </w:r>
      <w:r w:rsidR="008F0B8A">
        <w:rPr>
          <w:rFonts w:ascii="Arial" w:eastAsia="Times New Roman" w:hAnsi="Arial" w:cs="Arial"/>
          <w:lang w:val="es-MX" w:eastAsia="es-ES_tradnl"/>
        </w:rPr>
        <w:t>tres (</w:t>
      </w:r>
      <w:r w:rsidRPr="0066787D">
        <w:rPr>
          <w:rFonts w:ascii="Arial" w:eastAsia="Times New Roman" w:hAnsi="Arial" w:cs="Arial"/>
          <w:lang w:val="es-MX" w:eastAsia="es-ES_tradnl"/>
        </w:rPr>
        <w:t>3</w:t>
      </w:r>
      <w:r w:rsidR="008F0B8A">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w:t>
      </w:r>
      <w:r w:rsidR="00BC6501">
        <w:rPr>
          <w:rFonts w:ascii="Arial" w:eastAsia="Times New Roman" w:hAnsi="Arial" w:cs="Arial"/>
          <w:lang w:val="es-MX" w:eastAsia="es-ES_tradnl"/>
        </w:rPr>
        <w:t>tres (</w:t>
      </w:r>
      <w:r w:rsidRPr="0066787D">
        <w:rPr>
          <w:rFonts w:ascii="Arial" w:eastAsia="Times New Roman" w:hAnsi="Arial" w:cs="Arial"/>
          <w:lang w:val="es-MX" w:eastAsia="es-ES_tradnl"/>
        </w:rPr>
        <w:t>3</w:t>
      </w:r>
      <w:r w:rsidR="00BC6501">
        <w:rPr>
          <w:rFonts w:ascii="Arial" w:eastAsia="Times New Roman" w:hAnsi="Arial" w:cs="Arial"/>
          <w:lang w:val="es-MX" w:eastAsia="es-ES_tradnl"/>
        </w:rPr>
        <w:t>)</w:t>
      </w:r>
      <w:r w:rsidRPr="0066787D">
        <w:rPr>
          <w:rFonts w:ascii="Arial" w:eastAsia="Times New Roman" w:hAnsi="Arial" w:cs="Arial"/>
          <w:lang w:val="es-MX" w:eastAsia="es-ES_tradnl"/>
        </w:rPr>
        <w:t xml:space="preserve"> años de constitución, siempre que no hayan cesado los efectos del RUP por el incumplimiento del deber de renovación.</w:t>
      </w:r>
    </w:p>
    <w:p w14:paraId="43A48621" w14:textId="237789F3" w:rsidR="0066787D" w:rsidRPr="0066787D" w:rsidRDefault="0066787D" w:rsidP="0066787D">
      <w:pPr>
        <w:spacing w:after="120" w:line="276" w:lineRule="auto"/>
        <w:ind w:firstLine="709"/>
        <w:jc w:val="both"/>
        <w:rPr>
          <w:rFonts w:ascii="Arial" w:eastAsia="Times New Roman" w:hAnsi="Arial" w:cs="Arial"/>
          <w:lang w:val="es-MX" w:eastAsia="es-ES_tradnl"/>
        </w:rPr>
      </w:pPr>
      <w:bookmarkStart w:id="7" w:name="_Hlk67498710"/>
      <w:r w:rsidRPr="0066787D">
        <w:rPr>
          <w:rFonts w:ascii="Arial" w:eastAsia="Times New Roman" w:hAnsi="Arial" w:cs="Arial"/>
          <w:lang w:val="es-MX" w:eastAsia="es-ES_tradnl"/>
        </w:rPr>
        <w:t xml:space="preserve">Sin perjuicio de lo anterior, no debe perderse de vista que el Decreto 1082 de 2015 solo permite que una sociedad acredite la experiencia de quienes tienen la calidad de accionistas, socios o constituyentes durante los primeros tres </w:t>
      </w:r>
      <w:r w:rsidR="00BC6501">
        <w:rPr>
          <w:rFonts w:ascii="Arial" w:eastAsia="Times New Roman" w:hAnsi="Arial" w:cs="Arial"/>
          <w:lang w:val="es-MX" w:eastAsia="es-ES_tradnl"/>
        </w:rPr>
        <w:t xml:space="preserve">(3) </w:t>
      </w:r>
      <w:r w:rsidRPr="0066787D">
        <w:rPr>
          <w:rFonts w:ascii="Arial" w:eastAsia="Times New Roman" w:hAnsi="Arial" w:cs="Arial"/>
          <w:lang w:val="es-MX" w:eastAsia="es-ES_tradnl"/>
        </w:rPr>
        <w:t xml:space="preserve">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19BA818C" w14:textId="77777777" w:rsidR="0066787D" w:rsidRPr="0066787D" w:rsidRDefault="0066787D" w:rsidP="0066787D">
      <w:pPr>
        <w:spacing w:after="120" w:line="276" w:lineRule="auto"/>
        <w:ind w:firstLine="709"/>
        <w:jc w:val="both"/>
        <w:rPr>
          <w:rFonts w:ascii="Arial" w:eastAsia="Times New Roman" w:hAnsi="Arial" w:cs="Arial"/>
          <w:lang w:val="es-MX" w:eastAsia="es-ES_tradnl"/>
        </w:rPr>
      </w:pPr>
      <w:r w:rsidRPr="0066787D">
        <w:rPr>
          <w:rFonts w:ascii="Arial" w:eastAsia="Times New Roman" w:hAnsi="Arial" w:cs="Arial"/>
          <w:lang w:val="es-MX" w:eastAsia="es-ES_tradnl"/>
        </w:rPr>
        <w:t>Esta interpretación además se impone en atención al fin de evitar prácticas corruptas o que atenten contra la transparencia en la contratación estatal, por lo que la experiencia aportada por quien se retira no debería ser utilizada por el proponente en procesos de contratación, ya 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23089E5E" w14:textId="0155AD2D" w:rsidR="0066787D" w:rsidRPr="0066787D" w:rsidRDefault="0066787D" w:rsidP="0066787D">
      <w:pPr>
        <w:spacing w:after="120" w:line="276" w:lineRule="auto"/>
        <w:ind w:firstLine="709"/>
        <w:jc w:val="both"/>
        <w:rPr>
          <w:rFonts w:ascii="Arial" w:eastAsia="Calibri" w:hAnsi="Arial" w:cs="Arial"/>
          <w:lang w:val="es-MX"/>
        </w:rPr>
      </w:pPr>
      <w:r w:rsidRPr="0066787D">
        <w:rPr>
          <w:rFonts w:ascii="Arial" w:eastAsia="Calibri" w:hAnsi="Arial" w:cs="Arial"/>
          <w:lang w:val="es-MX"/>
        </w:rPr>
        <w:t xml:space="preserve">Por otra parte, en cuanto a la </w:t>
      </w:r>
      <w:r w:rsidRPr="0066787D">
        <w:rPr>
          <w:rFonts w:ascii="Arial" w:eastAsia="Calibri" w:hAnsi="Arial" w:cs="Arial"/>
          <w:bCs/>
          <w:lang w:val="es-MX"/>
        </w:rPr>
        <w:t xml:space="preserve">«liquidación» de las sociedades comerciales, esta </w:t>
      </w:r>
      <w:r w:rsidR="00D40CEA" w:rsidRPr="0066787D">
        <w:rPr>
          <w:rFonts w:ascii="Arial" w:eastAsia="Calibri" w:hAnsi="Arial" w:cs="Arial"/>
          <w:bCs/>
          <w:lang w:val="es-MX"/>
        </w:rPr>
        <w:t xml:space="preserve">Subdirección </w:t>
      </w:r>
      <w:r w:rsidRPr="0066787D">
        <w:rPr>
          <w:rFonts w:ascii="Arial" w:eastAsia="Calibri" w:hAnsi="Arial" w:cs="Arial"/>
          <w:bCs/>
          <w:lang w:val="es-MX"/>
        </w:rPr>
        <w:t xml:space="preserve">en los conceptos </w:t>
      </w:r>
      <w:r w:rsidRPr="0066787D">
        <w:rPr>
          <w:rFonts w:ascii="Arial" w:eastAsia="Calibri" w:hAnsi="Arial" w:cs="Arial"/>
          <w:lang w:val="es-MX"/>
        </w:rPr>
        <w:t xml:space="preserve">C-051 del </w:t>
      </w:r>
      <w:r w:rsidRPr="0066787D">
        <w:rPr>
          <w:rFonts w:ascii="Arial" w:eastAsia="Calibri" w:hAnsi="Arial" w:cs="Arial"/>
          <w:color w:val="000000"/>
          <w:lang w:val="es-MX"/>
        </w:rPr>
        <w:t xml:space="preserve">02 de marzo de 2020, C-491 del </w:t>
      </w:r>
      <w:r w:rsidRPr="0066787D">
        <w:rPr>
          <w:rFonts w:ascii="Arial" w:eastAsia="Calibri" w:hAnsi="Arial" w:cs="Arial"/>
          <w:color w:val="000000"/>
        </w:rPr>
        <w:t xml:space="preserve">27 de julio y C-584 del 31 de agosto de 2020, </w:t>
      </w:r>
      <w:r w:rsidRPr="0066787D">
        <w:rPr>
          <w:rFonts w:ascii="Arial" w:eastAsia="Calibri" w:hAnsi="Arial" w:cs="Arial"/>
          <w:bCs/>
          <w:lang w:val="es-MX"/>
        </w:rPr>
        <w:t>ha indicado que, el Código de Comercio señala el procedimiento para realizar el inventario y distribución del patrimonio social, de lo cual se infiere que termina la persona jurídica</w:t>
      </w:r>
      <w:r w:rsidRPr="0066787D">
        <w:rPr>
          <w:rFonts w:ascii="Arial" w:eastAsia="Calibri" w:hAnsi="Arial" w:cs="Arial"/>
          <w:bCs/>
          <w:vertAlign w:val="superscript"/>
          <w:lang w:val="es-MX"/>
        </w:rPr>
        <w:footnoteReference w:id="26"/>
      </w:r>
      <w:r w:rsidRPr="0066787D">
        <w:rPr>
          <w:rFonts w:ascii="Arial" w:eastAsia="Calibri" w:hAnsi="Arial" w:cs="Arial"/>
          <w:bCs/>
          <w:lang w:val="es-MX"/>
        </w:rPr>
        <w:t xml:space="preserve">, y la experiencia desaparece </w:t>
      </w:r>
      <w:r w:rsidRPr="0066787D">
        <w:rPr>
          <w:rFonts w:ascii="Arial" w:eastAsia="Calibri" w:hAnsi="Arial" w:cs="Arial"/>
          <w:bCs/>
          <w:lang w:val="es-MX"/>
        </w:rPr>
        <w:lastRenderedPageBreak/>
        <w:t xml:space="preserve">junto con la sociedad que la adquirió. Lo propio pasa con la muerte de uno de los socios, dado que, </w:t>
      </w:r>
      <w:r w:rsidRPr="0066787D">
        <w:rPr>
          <w:rFonts w:ascii="Arial" w:eastAsia="Calibri" w:hAnsi="Arial" w:cs="Arial"/>
          <w:lang w:val="es-ES"/>
        </w:rPr>
        <w:t>será jurídicamente inviable pretender que la experiencia de un sujeto que no existe sea transferida. Las situaciones mencionadas con anterioridad no es posible aplicar</w:t>
      </w:r>
      <w:r w:rsidRPr="0066787D">
        <w:rPr>
          <w:rFonts w:ascii="Arial" w:eastAsia="Calibri" w:hAnsi="Arial" w:cs="Arial"/>
          <w:lang w:val="es-MX"/>
        </w:rPr>
        <w:t xml:space="preserve"> el numeral 2.5 del artículo 2.2.1.1.1.5.2 del Decreto 1082 de 2015.</w:t>
      </w:r>
    </w:p>
    <w:bookmarkEnd w:id="7"/>
    <w:p w14:paraId="1CB05311" w14:textId="77777777" w:rsidR="0066787D" w:rsidRPr="0066787D" w:rsidRDefault="0066787D" w:rsidP="0066787D">
      <w:pPr>
        <w:shd w:val="clear" w:color="auto" w:fill="FFFFFF"/>
        <w:spacing w:after="120" w:line="276" w:lineRule="auto"/>
        <w:ind w:firstLine="709"/>
        <w:jc w:val="both"/>
        <w:rPr>
          <w:rFonts w:ascii="Arial" w:eastAsia="Times New Roman" w:hAnsi="Arial" w:cs="Arial"/>
          <w:lang w:val="es-MX" w:eastAsia="es-ES_tradnl"/>
        </w:rPr>
      </w:pPr>
      <w:r w:rsidRPr="0066787D">
        <w:rPr>
          <w:rFonts w:ascii="Arial" w:eastAsia="Times New Roman" w:hAnsi="Arial" w:cs="Arial"/>
          <w:lang w:val="es-MX" w:eastAsia="es-ES_tradnl"/>
        </w:rPr>
        <w:t xml:space="preserve">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w:t>
      </w:r>
    </w:p>
    <w:p w14:paraId="336F81A0" w14:textId="6E793085" w:rsidR="0066787D" w:rsidRPr="0066787D" w:rsidRDefault="0066787D" w:rsidP="0066787D">
      <w:pPr>
        <w:shd w:val="clear" w:color="auto" w:fill="FFFFFF"/>
        <w:spacing w:after="120" w:line="276" w:lineRule="auto"/>
        <w:ind w:firstLine="709"/>
        <w:jc w:val="both"/>
        <w:rPr>
          <w:rFonts w:ascii="Arial" w:eastAsia="Times New Roman" w:hAnsi="Arial" w:cs="Arial"/>
          <w:lang w:eastAsia="es-ES_tradnl"/>
        </w:rPr>
      </w:pPr>
      <w:r w:rsidRPr="0066787D">
        <w:rPr>
          <w:rFonts w:ascii="Arial" w:eastAsia="Times New Roman" w:hAnsi="Arial" w:cs="Arial"/>
          <w:lang w:eastAsia="es-ES_tradnl"/>
        </w:rPr>
        <w:t>En todo caso, con las excepciones explicadas en el considerando 2.</w:t>
      </w:r>
      <w:r w:rsidR="003A2789" w:rsidRPr="003A2789">
        <w:rPr>
          <w:rFonts w:ascii="Arial" w:eastAsia="Times New Roman" w:hAnsi="Arial" w:cs="Arial"/>
          <w:lang w:eastAsia="es-ES_tradnl"/>
        </w:rPr>
        <w:t>1</w:t>
      </w:r>
      <w:r w:rsidRPr="0066787D">
        <w:rPr>
          <w:rFonts w:ascii="Arial" w:eastAsia="Times New Roman" w:hAnsi="Arial" w:cs="Arial"/>
          <w:lang w:eastAsia="es-ES_tradnl"/>
        </w:rPr>
        <w:t xml:space="preserve"> del presente concepto, se reitera que</w:t>
      </w:r>
      <w:r w:rsidR="00C12134">
        <w:rPr>
          <w:rFonts w:ascii="Arial" w:eastAsia="Times New Roman" w:hAnsi="Arial" w:cs="Arial"/>
          <w:lang w:eastAsia="es-ES_tradnl"/>
        </w:rPr>
        <w:t>,</w:t>
      </w:r>
      <w:r w:rsidRPr="0066787D">
        <w:rPr>
          <w:rFonts w:ascii="Arial" w:eastAsia="Times New Roman" w:hAnsi="Arial" w:cs="Arial"/>
          <w:lang w:eastAsia="es-ES_tradnl"/>
        </w:rPr>
        <w:t xml:space="preserve"> por regla general</w:t>
      </w:r>
      <w:r w:rsidR="00C12134">
        <w:rPr>
          <w:rFonts w:ascii="Arial" w:eastAsia="Times New Roman" w:hAnsi="Arial" w:cs="Arial"/>
          <w:lang w:eastAsia="es-ES_tradnl"/>
        </w:rPr>
        <w:t>,</w:t>
      </w:r>
      <w:r w:rsidRPr="0066787D">
        <w:rPr>
          <w:rFonts w:ascii="Arial" w:eastAsia="Times New Roman" w:hAnsi="Arial" w:cs="Arial"/>
          <w:lang w:eastAsia="es-ES_tradnl"/>
        </w:rPr>
        <w:t xml:space="preserve"> la capacidad jurídica, las condiciones de experiencia, la capacidad financiera y de organización de los proponentes deberán verificarse exclusivamente con el </w:t>
      </w:r>
      <w:r w:rsidR="000156B4">
        <w:rPr>
          <w:rFonts w:ascii="Arial" w:eastAsia="Times New Roman" w:hAnsi="Arial" w:cs="Arial"/>
          <w:lang w:eastAsia="es-ES_tradnl"/>
        </w:rPr>
        <w:t>RUP</w:t>
      </w:r>
      <w:r w:rsidRPr="0066787D">
        <w:rPr>
          <w:rFonts w:ascii="Arial" w:eastAsia="Times New Roman" w:hAnsi="Arial" w:cs="Arial"/>
          <w:lang w:eastAsia="es-ES_tradnl"/>
        </w:rPr>
        <w:t xml:space="preserve">, toda vez que constituye plena prueba de lo que contiene según el numeral 6.1 del artículo 6 de la Ley 1150 de 2007. El legislador otorgó a las cámaras de comercio la administración del RUP y dispuso que estas tienen la competencia y el deber de la verificación de la información suministrada por las personas naturales o jurídicas para su posterior utilización en los procesos de selección. </w:t>
      </w:r>
    </w:p>
    <w:p w14:paraId="57CCB7C8" w14:textId="77777777" w:rsidR="0066787D" w:rsidRPr="0066787D" w:rsidRDefault="0066787D" w:rsidP="0066787D">
      <w:pPr>
        <w:shd w:val="clear" w:color="auto" w:fill="FFFFFF"/>
        <w:spacing w:after="0" w:line="276" w:lineRule="auto"/>
        <w:ind w:firstLine="708"/>
        <w:jc w:val="both"/>
        <w:rPr>
          <w:rFonts w:ascii="Arial" w:eastAsia="Calibri" w:hAnsi="Arial" w:cs="Arial"/>
          <w:b/>
          <w:bCs/>
          <w:lang w:val="es-MX"/>
        </w:rPr>
      </w:pPr>
      <w:r w:rsidRPr="0066787D">
        <w:rPr>
          <w:rFonts w:ascii="Arial" w:eastAsia="Times New Roman" w:hAnsi="Arial" w:cs="Arial"/>
          <w:lang w:eastAsia="es-ES_tradnl"/>
        </w:rPr>
        <w:t>Por tanto, la experiencia transferida de los accionistas, socios o constituyentes a la persona jurídica que tiene menos de tres (3) años de constitución sólo puede verificarse con el registro, sin que sea posible para la entidad contratante solicitar documentos adicionales a los oferentes. Lo anterior, sin perjuicio de que esta última –al percatarse de irregularidades en la validación del requisito habilitante por la pérdida posterior de alguna de estas condiciones– impugne la certificación de la cámara de comercio de acuerdo con lo previsto en el artículo 6.3 de la Ley 1150 de 2007</w:t>
      </w:r>
      <w:r w:rsidRPr="0066787D">
        <w:rPr>
          <w:rFonts w:ascii="Arial" w:eastAsia="Times New Roman" w:hAnsi="Arial" w:cs="Arial"/>
          <w:vertAlign w:val="superscript"/>
          <w:lang w:eastAsia="es-ES_tradnl"/>
        </w:rPr>
        <w:footnoteReference w:id="27"/>
      </w:r>
      <w:r w:rsidRPr="0066787D">
        <w:rPr>
          <w:rFonts w:ascii="Arial" w:eastAsia="Times New Roman" w:hAnsi="Arial" w:cs="Arial"/>
          <w:lang w:eastAsia="es-ES_tradnl"/>
        </w:rPr>
        <w:t xml:space="preserve">. Para ello, conforme a las particularidades de cada caso concreto, regirá el </w:t>
      </w:r>
      <w:r w:rsidRPr="0066787D">
        <w:rPr>
          <w:rFonts w:ascii="Arial" w:eastAsia="Times New Roman" w:hAnsi="Arial" w:cs="Arial"/>
          <w:lang w:eastAsia="es-ES_tradnl"/>
        </w:rPr>
        <w:lastRenderedPageBreak/>
        <w:t xml:space="preserve">principio de libertad probatoria, con excepción de aquellos aspectos sujetos a tarifa legal por norma expresa.  </w:t>
      </w:r>
    </w:p>
    <w:p w14:paraId="0270CA71" w14:textId="53267568" w:rsidR="005F2C99" w:rsidRDefault="005F2C99" w:rsidP="00D56F57">
      <w:pPr>
        <w:spacing w:after="0" w:line="276" w:lineRule="auto"/>
        <w:contextualSpacing/>
        <w:jc w:val="both"/>
        <w:rPr>
          <w:rFonts w:ascii="Arial" w:eastAsia="Times New Roman" w:hAnsi="Arial" w:cs="Arial"/>
          <w:bCs/>
          <w:color w:val="FF0000"/>
          <w:lang w:val="es-MX" w:eastAsia="x-none"/>
        </w:rPr>
      </w:pPr>
    </w:p>
    <w:p w14:paraId="44B6D725" w14:textId="7988E891" w:rsidR="00D56F57" w:rsidRPr="00D56F57" w:rsidRDefault="00D56F57" w:rsidP="00D56F57">
      <w:pPr>
        <w:widowControl w:val="0"/>
        <w:autoSpaceDE w:val="0"/>
        <w:autoSpaceDN w:val="0"/>
        <w:spacing w:after="0" w:line="278" w:lineRule="auto"/>
        <w:ind w:right="49"/>
        <w:jc w:val="both"/>
        <w:rPr>
          <w:rFonts w:ascii="Arial" w:eastAsia="Arial" w:hAnsi="Arial" w:cs="Arial"/>
          <w:b/>
          <w:bCs/>
          <w:lang w:val="es-ES" w:eastAsia="es-ES" w:bidi="es-ES"/>
        </w:rPr>
      </w:pPr>
      <w:r w:rsidRPr="00D56F57">
        <w:rPr>
          <w:rFonts w:ascii="Arial" w:eastAsia="Arial" w:hAnsi="Arial" w:cs="Arial"/>
          <w:b/>
          <w:bCs/>
          <w:lang w:val="es-ES" w:eastAsia="es-ES" w:bidi="es-ES"/>
        </w:rPr>
        <w:t>2.</w:t>
      </w:r>
      <w:r w:rsidR="00EB5E5C">
        <w:rPr>
          <w:rFonts w:ascii="Arial" w:eastAsia="Arial" w:hAnsi="Arial" w:cs="Arial"/>
          <w:b/>
          <w:bCs/>
          <w:lang w:val="es-ES" w:eastAsia="es-ES" w:bidi="es-ES"/>
        </w:rPr>
        <w:t>5</w:t>
      </w:r>
      <w:r w:rsidRPr="00D56F57">
        <w:rPr>
          <w:rFonts w:ascii="Arial" w:eastAsia="Arial" w:hAnsi="Arial" w:cs="Arial"/>
          <w:b/>
          <w:bCs/>
          <w:lang w:val="es-ES" w:eastAsia="es-ES" w:bidi="es-ES"/>
        </w:rPr>
        <w:t>. Reporte, registro y publicación de</w:t>
      </w:r>
      <w:r w:rsidR="00A176A7">
        <w:rPr>
          <w:rFonts w:ascii="Arial" w:eastAsia="Arial" w:hAnsi="Arial" w:cs="Arial"/>
          <w:b/>
          <w:bCs/>
          <w:lang w:val="es-ES" w:eastAsia="es-ES" w:bidi="es-ES"/>
        </w:rPr>
        <w:t xml:space="preserve"> multas,</w:t>
      </w:r>
      <w:r w:rsidRPr="00D56F57">
        <w:rPr>
          <w:rFonts w:ascii="Arial" w:eastAsia="Arial" w:hAnsi="Arial" w:cs="Arial"/>
          <w:b/>
          <w:bCs/>
          <w:lang w:val="es-ES" w:eastAsia="es-ES" w:bidi="es-ES"/>
        </w:rPr>
        <w:t xml:space="preserve"> sanciones </w:t>
      </w:r>
      <w:r w:rsidR="00A176A7">
        <w:rPr>
          <w:rFonts w:ascii="Arial" w:eastAsia="Arial" w:hAnsi="Arial" w:cs="Arial"/>
          <w:b/>
          <w:bCs/>
          <w:lang w:val="es-ES" w:eastAsia="es-ES" w:bidi="es-ES"/>
        </w:rPr>
        <w:t>y</w:t>
      </w:r>
      <w:r w:rsidRPr="00D56F57">
        <w:rPr>
          <w:rFonts w:ascii="Arial" w:eastAsia="Arial" w:hAnsi="Arial" w:cs="Arial"/>
          <w:b/>
          <w:bCs/>
          <w:lang w:val="es-ES" w:eastAsia="es-ES" w:bidi="es-ES"/>
        </w:rPr>
        <w:t xml:space="preserve"> cláusula penal pecuniaria en el </w:t>
      </w:r>
      <w:r w:rsidR="0067721F">
        <w:rPr>
          <w:rFonts w:ascii="Arial" w:eastAsia="Arial" w:hAnsi="Arial" w:cs="Arial"/>
          <w:b/>
          <w:bCs/>
          <w:lang w:val="es-ES" w:eastAsia="es-ES" w:bidi="es-ES"/>
        </w:rPr>
        <w:t>RUP</w:t>
      </w:r>
    </w:p>
    <w:p w14:paraId="35688B85" w14:textId="77777777" w:rsidR="00D56F57" w:rsidRPr="00D56F57" w:rsidRDefault="00D56F57" w:rsidP="00D56F57">
      <w:pPr>
        <w:widowControl w:val="0"/>
        <w:autoSpaceDE w:val="0"/>
        <w:autoSpaceDN w:val="0"/>
        <w:spacing w:after="0" w:line="278" w:lineRule="auto"/>
        <w:ind w:right="49"/>
        <w:jc w:val="both"/>
        <w:rPr>
          <w:rFonts w:ascii="Arial" w:eastAsia="Arial" w:hAnsi="Arial" w:cs="Arial"/>
          <w:b/>
          <w:bCs/>
          <w:lang w:val="es-ES" w:eastAsia="es-ES" w:bidi="es-ES"/>
        </w:rPr>
      </w:pPr>
    </w:p>
    <w:p w14:paraId="06BD486F" w14:textId="77777777" w:rsidR="00D56F57" w:rsidRPr="00D56F57" w:rsidRDefault="00D56F57" w:rsidP="00D56F57">
      <w:pPr>
        <w:spacing w:after="120" w:line="276" w:lineRule="auto"/>
        <w:jc w:val="both"/>
        <w:rPr>
          <w:rFonts w:ascii="Arial" w:eastAsia="Calibri" w:hAnsi="Arial" w:cs="Arial"/>
          <w:lang w:val="es-MX"/>
        </w:rPr>
      </w:pPr>
      <w:r w:rsidRPr="00D56F57">
        <w:rPr>
          <w:rFonts w:ascii="Arial" w:eastAsia="Calibri" w:hAnsi="Arial" w:cs="Arial"/>
          <w:lang w:val="es-MX"/>
        </w:rPr>
        <w:t>El artículo 6.2 de la Ley 1150 de 2007 obliga a las entidades públicas a reportar a la Cámara de Comercio correspondiente la información sobre contratos, multas y sanciones</w:t>
      </w:r>
      <w:r w:rsidRPr="00D56F57">
        <w:rPr>
          <w:rFonts w:ascii="Arial" w:eastAsia="Calibri" w:hAnsi="Arial" w:cs="Arial"/>
          <w:vertAlign w:val="superscript"/>
          <w:lang w:val="es-MX"/>
        </w:rPr>
        <w:footnoteReference w:id="28"/>
      </w:r>
      <w:r w:rsidRPr="00D56F57">
        <w:rPr>
          <w:rFonts w:ascii="Arial" w:eastAsia="Calibri" w:hAnsi="Arial" w:cs="Arial"/>
          <w:lang w:val="es-MX"/>
        </w:rPr>
        <w:t>.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w:t>
      </w:r>
      <w:r w:rsidRPr="00D56F57">
        <w:rPr>
          <w:rFonts w:ascii="Arial" w:eastAsia="Calibri" w:hAnsi="Arial" w:cs="Arial"/>
          <w:vertAlign w:val="superscript"/>
          <w:lang w:val="es-MX"/>
        </w:rPr>
        <w:footnoteReference w:id="29"/>
      </w:r>
      <w:r w:rsidRPr="00D56F57">
        <w:rPr>
          <w:rFonts w:ascii="Arial" w:eastAsia="Calibri" w:hAnsi="Arial" w:cs="Arial"/>
          <w:lang w:val="es-MX"/>
        </w:rPr>
        <w:t xml:space="preserve">. </w:t>
      </w:r>
    </w:p>
    <w:p w14:paraId="26907902" w14:textId="77777777" w:rsidR="00D56F57" w:rsidRPr="00D56F57" w:rsidRDefault="00D56F57" w:rsidP="00D56F57">
      <w:pPr>
        <w:spacing w:after="120" w:line="276" w:lineRule="auto"/>
        <w:ind w:firstLine="708"/>
        <w:jc w:val="both"/>
        <w:rPr>
          <w:rFonts w:ascii="Arial" w:eastAsia="Calibri" w:hAnsi="Arial" w:cs="Arial"/>
          <w:lang w:val="es-MX"/>
        </w:rPr>
      </w:pPr>
      <w:r w:rsidRPr="00D56F57">
        <w:rPr>
          <w:rFonts w:ascii="Arial" w:eastAsia="Calibri" w:hAnsi="Arial" w:cs="Arial"/>
          <w:lang w:val="es-MX"/>
        </w:rPr>
        <w:lastRenderedPageBreak/>
        <w:t>En la Ley 80 de 1993 se observa la voluntad del legislador de divulgar el comportamiento contractual de los participantes en el sistema de compras públicas. En este contexto, el artículo 6.2 de la Ley 1150 de 2007 constituye un desarrollo material de los principios aplicables a las actuaciones contractuales en los términos del artículo 23 del Estatuto General de Contratación de la Administración Pública</w:t>
      </w:r>
      <w:r w:rsidRPr="00D56F57">
        <w:rPr>
          <w:rFonts w:ascii="Arial" w:eastAsia="Calibri" w:hAnsi="Arial" w:cs="Arial"/>
          <w:vertAlign w:val="superscript"/>
          <w:lang w:val="es-MX"/>
        </w:rPr>
        <w:footnoteReference w:id="30"/>
      </w:r>
      <w:r w:rsidRPr="00D56F57">
        <w:rPr>
          <w:rFonts w:ascii="Arial" w:eastAsia="Calibri" w:hAnsi="Arial" w:cs="Arial"/>
          <w:lang w:val="es-MX"/>
        </w:rPr>
        <w:t xml:space="preserve">. Entre otros, la Ley 80 de 1993 concreta el principio de transparencia de la actividad contractual, objeto de regulación expresa en el artículo 24 </w:t>
      </w:r>
      <w:r w:rsidRPr="00D56F57">
        <w:rPr>
          <w:rFonts w:ascii="Arial" w:eastAsia="Calibri" w:hAnsi="Arial" w:cs="Arial"/>
          <w:i/>
          <w:iCs/>
          <w:lang w:val="es-MX"/>
        </w:rPr>
        <w:t>ibidem</w:t>
      </w:r>
      <w:r w:rsidRPr="00D56F57">
        <w:rPr>
          <w:rFonts w:ascii="Arial" w:eastAsia="Calibri" w:hAnsi="Arial" w:cs="Arial"/>
          <w:lang w:val="es-MX"/>
        </w:rPr>
        <w:t xml:space="preserve">, que guarda estrecha relación con el de publicidad, el cual rige el ejercicio de la función administrativa, según el artículo 209 de la Constitución Política.  </w:t>
      </w:r>
    </w:p>
    <w:p w14:paraId="0F7EFB6D" w14:textId="3989F05A" w:rsidR="00455972" w:rsidRPr="00D56F57" w:rsidRDefault="00D56F57" w:rsidP="00455972">
      <w:pPr>
        <w:spacing w:after="120" w:line="276" w:lineRule="auto"/>
        <w:ind w:firstLine="708"/>
        <w:jc w:val="both"/>
        <w:rPr>
          <w:rFonts w:ascii="Arial" w:eastAsia="Calibri" w:hAnsi="Arial" w:cs="Arial"/>
          <w:iCs/>
          <w:lang w:val="es-MX"/>
        </w:rPr>
      </w:pPr>
      <w:r w:rsidRPr="00D56F57">
        <w:rPr>
          <w:rFonts w:ascii="Arial" w:eastAsia="Calibri" w:hAnsi="Arial" w:cs="Arial"/>
          <w:lang w:val="es-MX"/>
        </w:rPr>
        <w:t>Ahora bien, el numeral 6.2. de la Ley 1150 de 2007 estableció la información que deberá registrarse en el Registro Único de Proponentes, precisando que «</w:t>
      </w:r>
      <w:r w:rsidRPr="00D56F57">
        <w:rPr>
          <w:rFonts w:ascii="Arial" w:eastAsia="Calibri" w:hAnsi="Arial" w:cs="Arial"/>
        </w:rPr>
        <w:t xml:space="preserve">Las entidades estatales enviarán mensualmente a la Cámara de Comercio de su domicilio, la información concerniente a los contratos, su cuantía, cumplimiento, </w:t>
      </w:r>
      <w:r w:rsidRPr="00D56F57">
        <w:rPr>
          <w:rFonts w:ascii="Arial" w:eastAsia="Calibri" w:hAnsi="Arial" w:cs="Arial"/>
          <w:i/>
          <w:iCs/>
        </w:rPr>
        <w:t>multas y sanciones</w:t>
      </w:r>
      <w:r w:rsidRPr="00D56F57">
        <w:rPr>
          <w:rFonts w:ascii="Arial" w:eastAsia="Calibri" w:hAnsi="Arial" w:cs="Arial"/>
        </w:rPr>
        <w:t xml:space="preserve"> relacionadas con los contratos que hayan sido adjudicados, los que se encuentren en ejecución y los ejecutados» (Énfasis fuera de texto)</w:t>
      </w:r>
      <w:r w:rsidRPr="00D56F57">
        <w:rPr>
          <w:rFonts w:ascii="Arial" w:eastAsia="Calibri" w:hAnsi="Arial" w:cs="Arial"/>
          <w:lang w:val="es-MX"/>
        </w:rPr>
        <w:t xml:space="preserve">. </w:t>
      </w:r>
    </w:p>
    <w:p w14:paraId="22483DDB" w14:textId="2D632727" w:rsidR="00D56F57" w:rsidRPr="00D56F57" w:rsidRDefault="00D56F57" w:rsidP="008642DB">
      <w:pPr>
        <w:spacing w:after="0" w:line="276" w:lineRule="auto"/>
        <w:ind w:firstLine="709"/>
        <w:contextualSpacing/>
        <w:jc w:val="both"/>
        <w:rPr>
          <w:rFonts w:ascii="Arial" w:eastAsia="Calibri" w:hAnsi="Arial" w:cs="Arial"/>
          <w:iCs/>
          <w:lang w:val="es-MX"/>
        </w:rPr>
      </w:pPr>
      <w:r w:rsidRPr="00D56F57">
        <w:rPr>
          <w:rFonts w:ascii="Arial" w:eastAsia="Calibri" w:hAnsi="Arial" w:cs="Arial"/>
          <w:iCs/>
          <w:lang w:val="es-MX"/>
        </w:rPr>
        <w:t xml:space="preserve">En este punto, se estima pertinente indicar que la norma anteriormente </w:t>
      </w:r>
      <w:r w:rsidR="000B731C" w:rsidRPr="00D56F57">
        <w:rPr>
          <w:rFonts w:ascii="Arial" w:eastAsia="Calibri" w:hAnsi="Arial" w:cs="Arial"/>
          <w:iCs/>
          <w:lang w:val="es-MX"/>
        </w:rPr>
        <w:t>el artículo 6.2 de la Ley 1150 de 2007</w:t>
      </w:r>
      <w:r w:rsidR="000B731C">
        <w:rPr>
          <w:rFonts w:ascii="Arial" w:eastAsia="Calibri" w:hAnsi="Arial" w:cs="Arial"/>
          <w:iCs/>
          <w:lang w:val="es-MX"/>
        </w:rPr>
        <w:t xml:space="preserve"> </w:t>
      </w:r>
      <w:r w:rsidRPr="00D56F57">
        <w:rPr>
          <w:rFonts w:ascii="Arial" w:eastAsia="Calibri" w:hAnsi="Arial" w:cs="Arial"/>
          <w:iCs/>
          <w:lang w:val="es-MX"/>
        </w:rPr>
        <w:t xml:space="preserve">consagró una atribución reglamentaria sobre el tema. Para estos efectos dispuso que «Las condiciones de remisión de la información y los plazos de permanencia de la misma en el registro serán señalados por el Gobierno Nacional». Actualmente, este mandato se desarrolla en el artículo 14 del Decreto 1510 de 17 de julio de 2013, compilado posteriormente en el artículo 2.2.1.1.1.5.7 del Decreto 1082 de 2015. Este dispone lo siguiente: </w:t>
      </w:r>
    </w:p>
    <w:p w14:paraId="4879B753" w14:textId="77777777" w:rsidR="00D56F57" w:rsidRPr="00D56F57" w:rsidRDefault="00D56F57" w:rsidP="00D56F57">
      <w:pPr>
        <w:spacing w:after="0" w:line="276" w:lineRule="auto"/>
        <w:ind w:firstLine="708"/>
        <w:jc w:val="both"/>
        <w:rPr>
          <w:rFonts w:ascii="Arial" w:eastAsia="Calibri" w:hAnsi="Arial" w:cs="Arial"/>
          <w:iCs/>
          <w:lang w:val="es-MX"/>
        </w:rPr>
      </w:pPr>
    </w:p>
    <w:p w14:paraId="007AD0E9" w14:textId="68573C92" w:rsidR="00D56F57" w:rsidRDefault="00D56F57" w:rsidP="008642DB">
      <w:pPr>
        <w:spacing w:after="0" w:line="240" w:lineRule="auto"/>
        <w:ind w:left="709" w:right="709"/>
        <w:contextualSpacing/>
        <w:jc w:val="both"/>
        <w:rPr>
          <w:rFonts w:ascii="Arial" w:eastAsia="Calibri" w:hAnsi="Arial" w:cs="Arial"/>
          <w:sz w:val="21"/>
          <w:szCs w:val="21"/>
          <w:lang w:val="es-MX"/>
        </w:rPr>
      </w:pPr>
      <w:r w:rsidRPr="00D56F57">
        <w:rPr>
          <w:rFonts w:ascii="Arial" w:eastAsia="Calibri" w:hAnsi="Arial" w:cs="Arial"/>
          <w:sz w:val="21"/>
          <w:szCs w:val="21"/>
          <w:lang w:val="es-MX"/>
        </w:rPr>
        <w:t xml:space="preserve">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w:t>
      </w:r>
      <w:r w:rsidRPr="00D56F57">
        <w:rPr>
          <w:rFonts w:ascii="Arial" w:eastAsia="Calibri" w:hAnsi="Arial" w:cs="Arial"/>
          <w:sz w:val="21"/>
          <w:szCs w:val="21"/>
          <w:lang w:val="es-MX"/>
        </w:rPr>
        <w:lastRenderedPageBreak/>
        <w:t>registro de las sanciones e inhabilidades debe permanecer en el certificado del RUP por el término de la sanción o de la inhabilidad. La información relativa a multas debe permanecer en el certificado del RUP por un año, contado a partir de la publicación de la misma.</w:t>
      </w:r>
    </w:p>
    <w:p w14:paraId="75BB9C3B" w14:textId="77777777" w:rsidR="008642DB" w:rsidRPr="00D56F57" w:rsidRDefault="008642DB" w:rsidP="008642DB">
      <w:pPr>
        <w:spacing w:after="0" w:line="240" w:lineRule="auto"/>
        <w:ind w:left="709" w:right="709"/>
        <w:contextualSpacing/>
        <w:jc w:val="both"/>
        <w:rPr>
          <w:rFonts w:ascii="Arial" w:eastAsia="Calibri" w:hAnsi="Arial" w:cs="Arial"/>
          <w:sz w:val="21"/>
          <w:szCs w:val="21"/>
          <w:lang w:val="es-MX"/>
        </w:rPr>
      </w:pPr>
    </w:p>
    <w:p w14:paraId="02AD2163" w14:textId="77777777" w:rsidR="00D56F57" w:rsidRPr="00D56F57" w:rsidRDefault="00D56F57" w:rsidP="008642DB">
      <w:pPr>
        <w:spacing w:after="0" w:line="240" w:lineRule="auto"/>
        <w:ind w:left="709" w:right="709"/>
        <w:contextualSpacing/>
        <w:jc w:val="both"/>
        <w:rPr>
          <w:rFonts w:ascii="Arial" w:eastAsia="Calibri" w:hAnsi="Arial" w:cs="Arial"/>
          <w:sz w:val="21"/>
          <w:szCs w:val="21"/>
          <w:lang w:val="es-MX"/>
        </w:rPr>
      </w:pPr>
      <w:r w:rsidRPr="00D56F57">
        <w:rPr>
          <w:rFonts w:ascii="Arial" w:eastAsia="Calibri" w:hAnsi="Arial" w:cs="Arial"/>
          <w:sz w:val="21"/>
          <w:szCs w:val="21"/>
          <w:lang w:val="es-MX"/>
        </w:rPr>
        <w:t>Las cámaras de comercio deben tener un mecanismo de interoperabilidad con el SECOP para el registro de la información de que trata el presente artículo.</w:t>
      </w:r>
    </w:p>
    <w:p w14:paraId="46E682EC" w14:textId="77777777" w:rsidR="00D56F57" w:rsidRPr="00D56F57" w:rsidRDefault="00D56F57" w:rsidP="00D56F57">
      <w:pPr>
        <w:spacing w:after="0" w:line="276" w:lineRule="auto"/>
        <w:ind w:firstLine="708"/>
        <w:jc w:val="both"/>
        <w:rPr>
          <w:rFonts w:ascii="Arial" w:eastAsia="Calibri" w:hAnsi="Arial" w:cs="Arial"/>
          <w:iCs/>
          <w:lang w:val="es-MX"/>
        </w:rPr>
      </w:pPr>
    </w:p>
    <w:p w14:paraId="78303CEA" w14:textId="20C89091" w:rsidR="00D56F57" w:rsidRPr="003503FE" w:rsidRDefault="00D56F57" w:rsidP="00D56F57">
      <w:pPr>
        <w:spacing w:after="120" w:line="276" w:lineRule="auto"/>
        <w:ind w:firstLine="708"/>
        <w:jc w:val="both"/>
        <w:rPr>
          <w:rFonts w:ascii="Arial" w:eastAsia="Calibri" w:hAnsi="Arial" w:cs="Arial"/>
          <w:iCs/>
          <w:lang w:val="es-MX"/>
        </w:rPr>
      </w:pPr>
      <w:r w:rsidRPr="003503FE">
        <w:rPr>
          <w:rFonts w:ascii="Arial" w:eastAsia="Calibri" w:hAnsi="Arial" w:cs="Arial"/>
          <w:iCs/>
          <w:lang w:val="es-MX"/>
        </w:rPr>
        <w:t xml:space="preserve">La norma precisa los elementos para cumplir con el artículo 6.2. de la Ley 1150 de 2007, los cuales se concretan en los siguientes tres (3) puntos: i) </w:t>
      </w:r>
      <w:r w:rsidRPr="003503FE">
        <w:rPr>
          <w:rFonts w:ascii="Arial" w:eastAsia="Calibri" w:hAnsi="Arial" w:cs="Arial"/>
          <w:i/>
          <w:lang w:val="es-MX"/>
        </w:rPr>
        <w:t>reporte</w:t>
      </w:r>
      <w:r w:rsidRPr="003503FE">
        <w:rPr>
          <w:rFonts w:ascii="Arial" w:eastAsia="Calibri" w:hAnsi="Arial" w:cs="Arial"/>
          <w:iCs/>
          <w:lang w:val="es-MX"/>
        </w:rPr>
        <w:t xml:space="preserve"> de las multas y sanciones por parte de las entidades estatales, </w:t>
      </w:r>
      <w:proofErr w:type="spellStart"/>
      <w:r w:rsidRPr="003503FE">
        <w:rPr>
          <w:rFonts w:ascii="Arial" w:eastAsia="Calibri" w:hAnsi="Arial" w:cs="Arial"/>
          <w:iCs/>
          <w:lang w:val="es-MX"/>
        </w:rPr>
        <w:t>ii</w:t>
      </w:r>
      <w:proofErr w:type="spellEnd"/>
      <w:r w:rsidRPr="003503FE">
        <w:rPr>
          <w:rFonts w:ascii="Arial" w:eastAsia="Calibri" w:hAnsi="Arial" w:cs="Arial"/>
          <w:iCs/>
          <w:lang w:val="es-MX"/>
        </w:rPr>
        <w:t xml:space="preserve">) </w:t>
      </w:r>
      <w:r w:rsidRPr="003503FE">
        <w:rPr>
          <w:rFonts w:ascii="Arial" w:eastAsia="Calibri" w:hAnsi="Arial" w:cs="Arial"/>
          <w:i/>
          <w:lang w:val="es-MX"/>
        </w:rPr>
        <w:t>registro</w:t>
      </w:r>
      <w:r w:rsidRPr="003503FE">
        <w:rPr>
          <w:rFonts w:ascii="Arial" w:eastAsia="Calibri" w:hAnsi="Arial" w:cs="Arial"/>
          <w:iCs/>
          <w:lang w:val="es-MX"/>
        </w:rPr>
        <w:t xml:space="preserve"> de las multas y sanciones en el RUP por parte de las Cámaras de Comercio y </w:t>
      </w:r>
      <w:proofErr w:type="spellStart"/>
      <w:r w:rsidRPr="003503FE">
        <w:rPr>
          <w:rFonts w:ascii="Arial" w:eastAsia="Calibri" w:hAnsi="Arial" w:cs="Arial"/>
          <w:iCs/>
          <w:lang w:val="es-MX"/>
        </w:rPr>
        <w:t>iii</w:t>
      </w:r>
      <w:proofErr w:type="spellEnd"/>
      <w:r w:rsidRPr="003503FE">
        <w:rPr>
          <w:rFonts w:ascii="Arial" w:eastAsia="Calibri" w:hAnsi="Arial" w:cs="Arial"/>
          <w:iCs/>
          <w:lang w:val="es-MX"/>
        </w:rPr>
        <w:t xml:space="preserve">) </w:t>
      </w:r>
      <w:r w:rsidRPr="003503FE">
        <w:rPr>
          <w:rFonts w:ascii="Arial" w:eastAsia="Calibri" w:hAnsi="Arial" w:cs="Arial"/>
          <w:i/>
          <w:lang w:val="es-MX"/>
        </w:rPr>
        <w:t xml:space="preserve">término de permanencia </w:t>
      </w:r>
      <w:r w:rsidRPr="003503FE">
        <w:rPr>
          <w:rFonts w:ascii="Arial" w:eastAsia="Calibri" w:hAnsi="Arial" w:cs="Arial"/>
          <w:iCs/>
          <w:lang w:val="es-MX"/>
        </w:rPr>
        <w:t xml:space="preserve">de las anotaciones en el registro. En relación con el </w:t>
      </w:r>
      <w:r w:rsidRPr="003503FE">
        <w:rPr>
          <w:rFonts w:ascii="Arial" w:eastAsia="Calibri" w:hAnsi="Arial" w:cs="Arial"/>
          <w:i/>
          <w:lang w:val="es-MX"/>
        </w:rPr>
        <w:t>reporte</w:t>
      </w:r>
      <w:r w:rsidRPr="003503FE">
        <w:rPr>
          <w:rFonts w:ascii="Arial" w:eastAsia="Calibri" w:hAnsi="Arial" w:cs="Arial"/>
          <w:iCs/>
          <w:lang w:val="es-MX"/>
        </w:rPr>
        <w:t xml:space="preserve">, la norma impone la obligación a 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 Respecto al </w:t>
      </w:r>
      <w:r w:rsidRPr="003503FE">
        <w:rPr>
          <w:rFonts w:ascii="Arial" w:eastAsia="Calibri" w:hAnsi="Arial" w:cs="Arial"/>
          <w:i/>
          <w:lang w:val="es-MX"/>
        </w:rPr>
        <w:t>registro</w:t>
      </w:r>
      <w:r w:rsidRPr="003503FE">
        <w:rPr>
          <w:rFonts w:ascii="Arial" w:eastAsia="Calibri" w:hAnsi="Arial" w:cs="Arial"/>
          <w:iCs/>
          <w:lang w:val="es-MX"/>
        </w:rPr>
        <w:t xml:space="preserve">¸ la disposición estableció la obligación a las cámaras de comercio de registrar las sanciones e inhabilidades remitidas por las entidades estatales en el RUP, con el propósito de concretar aspectos de publicidad y transparencia en la actividad contractual. Finalmente, en relación con el </w:t>
      </w:r>
      <w:r w:rsidRPr="003503FE">
        <w:rPr>
          <w:rFonts w:ascii="Arial" w:eastAsia="Calibri" w:hAnsi="Arial" w:cs="Arial"/>
          <w:i/>
          <w:lang w:val="es-MX"/>
        </w:rPr>
        <w:t xml:space="preserve">término, </w:t>
      </w:r>
      <w:r w:rsidRPr="003503FE">
        <w:rPr>
          <w:rFonts w:ascii="Arial" w:eastAsia="Calibri" w:hAnsi="Arial" w:cs="Arial"/>
          <w:iCs/>
          <w:lang w:val="es-MX"/>
        </w:rPr>
        <w:t>es decir, el periodo en que debe constar la anotación correspondiente, la norma estableció que las sanciones e inhabilidades permanecerán en el registro por el término de la sanción o inhabilidad, según el caso. Igualmente, estableció que en el caso de las multas, deberán permanecer publicadas por el término de un año, contado a partir de la publicación de la misma.</w:t>
      </w:r>
    </w:p>
    <w:p w14:paraId="6D9DE021" w14:textId="77777777" w:rsidR="00D56F57" w:rsidRPr="00D56F57" w:rsidRDefault="00D56F57" w:rsidP="00D56F57">
      <w:pPr>
        <w:spacing w:after="0" w:line="276" w:lineRule="auto"/>
        <w:ind w:firstLine="708"/>
        <w:jc w:val="both"/>
        <w:rPr>
          <w:rFonts w:ascii="Arial" w:eastAsia="Calibri" w:hAnsi="Arial" w:cs="Arial"/>
          <w:iCs/>
          <w:lang w:val="es-MX"/>
        </w:rPr>
      </w:pPr>
      <w:r w:rsidRPr="00D56F57">
        <w:rPr>
          <w:rFonts w:ascii="Arial" w:eastAsia="Calibri" w:hAnsi="Arial" w:cs="Arial"/>
          <w:iCs/>
          <w:lang w:val="es-MX"/>
        </w:rPr>
        <w:t xml:space="preserve">Para efectos de la publicidad de las sanciones establecidas en el artículo 90 de la Ley 1474 de 2011, el artículo 2.2.1.1.1.5.7 del Decreto 1082 de 2015 reguló únicamente el término de publicidad de las multas. En este contexto, ¿qué información sancionatoria debe aparecer en el RUP? Al respecto, es necesario tener en cuenta que el artículo </w:t>
      </w:r>
      <w:bookmarkStart w:id="9" w:name="_Hlk99006866"/>
      <w:r w:rsidRPr="00D56F57">
        <w:rPr>
          <w:rFonts w:ascii="Arial" w:eastAsia="Calibri" w:hAnsi="Arial" w:cs="Arial"/>
          <w:iCs/>
          <w:lang w:val="es-MX"/>
        </w:rPr>
        <w:t xml:space="preserve">2.2.1.1.1.5.6 </w:t>
      </w:r>
      <w:bookmarkEnd w:id="9"/>
      <w:r w:rsidRPr="00D56F57">
        <w:rPr>
          <w:rFonts w:ascii="Arial" w:eastAsia="Calibri" w:hAnsi="Arial" w:cs="Arial"/>
          <w:iCs/>
          <w:lang w:val="es-MX"/>
        </w:rPr>
        <w:t>del Decreto 1082 de 2015 dispone que:</w:t>
      </w:r>
    </w:p>
    <w:p w14:paraId="5CAC4D65" w14:textId="77777777" w:rsidR="00D56F57" w:rsidRPr="00D56F57" w:rsidRDefault="00D56F57" w:rsidP="00D56F57">
      <w:pPr>
        <w:spacing w:after="0" w:line="276" w:lineRule="auto"/>
        <w:ind w:firstLine="708"/>
        <w:jc w:val="both"/>
        <w:rPr>
          <w:rFonts w:ascii="Arial" w:eastAsia="Calibri" w:hAnsi="Arial" w:cs="Arial"/>
          <w:iCs/>
          <w:lang w:val="es-MX"/>
        </w:rPr>
      </w:pPr>
    </w:p>
    <w:p w14:paraId="5921FBD3" w14:textId="77777777" w:rsidR="00D56F57" w:rsidRPr="00D56F57" w:rsidRDefault="00D56F57" w:rsidP="00D56F57">
      <w:pPr>
        <w:spacing w:after="0" w:line="240" w:lineRule="auto"/>
        <w:ind w:left="709" w:right="709"/>
        <w:jc w:val="both"/>
        <w:rPr>
          <w:rFonts w:ascii="Arial" w:eastAsia="Calibri" w:hAnsi="Arial" w:cs="Arial"/>
          <w:sz w:val="21"/>
          <w:szCs w:val="21"/>
          <w:lang w:val="es-MX"/>
        </w:rPr>
      </w:pPr>
      <w:r w:rsidRPr="00D56F57">
        <w:rPr>
          <w:rFonts w:ascii="Arial" w:eastAsia="Calibri" w:hAnsi="Arial" w:cs="Arial"/>
          <w:sz w:val="21"/>
          <w:szCs w:val="21"/>
          <w:lang w:val="es-MX"/>
        </w:rPr>
        <w:t>El certificado del RUP debe contener: (a) los bienes, obras y servicios para los cuales está inscrito el proponente de acuerdo con el Clasificador de Bienes y Servicios; (b) los requisitos e indicadores a los que se refiere el artículo 2.2.1.1.1.5.3</w:t>
      </w:r>
      <w:r w:rsidRPr="00D56F57">
        <w:rPr>
          <w:rFonts w:ascii="Arial" w:eastAsia="Calibri" w:hAnsi="Arial" w:cs="Arial"/>
          <w:b/>
          <w:bCs/>
          <w:sz w:val="21"/>
          <w:szCs w:val="21"/>
          <w:lang w:val="es-MX"/>
        </w:rPr>
        <w:t> </w:t>
      </w:r>
      <w:r w:rsidRPr="00D56F57">
        <w:rPr>
          <w:rFonts w:ascii="Arial" w:eastAsia="Calibri" w:hAnsi="Arial" w:cs="Arial"/>
          <w:sz w:val="21"/>
          <w:szCs w:val="21"/>
          <w:lang w:val="es-MX"/>
        </w:rPr>
        <w:t xml:space="preserve">del presente decreto; (c) la información relativa a contratos, multas, sanciones e inhabilidades; y (d) la información histórica de experiencia que el proponente ha inscrito en el RUP. Las cámaras de </w:t>
      </w:r>
      <w:r w:rsidRPr="00D56F57">
        <w:rPr>
          <w:rFonts w:ascii="Arial" w:eastAsia="Calibri" w:hAnsi="Arial" w:cs="Arial"/>
          <w:sz w:val="21"/>
          <w:szCs w:val="21"/>
          <w:lang w:val="es-MX"/>
        </w:rPr>
        <w:lastRenderedPageBreak/>
        <w:t>comercio expedirán el certificado del RUP por solicitud de cualquier interesado. Las Entidades Estatales podrán acceder en línea y de forma gratuita a la información inscrita en el RUP.</w:t>
      </w:r>
    </w:p>
    <w:p w14:paraId="6B567B78" w14:textId="77777777" w:rsidR="00D56F57" w:rsidRPr="00D56F57" w:rsidRDefault="00D56F57" w:rsidP="00D56F57">
      <w:pPr>
        <w:spacing w:after="0" w:line="276" w:lineRule="auto"/>
        <w:ind w:left="709" w:right="709"/>
        <w:jc w:val="both"/>
        <w:rPr>
          <w:rFonts w:ascii="Arial" w:eastAsia="Calibri" w:hAnsi="Arial" w:cs="Arial"/>
          <w:lang w:val="es-MX"/>
        </w:rPr>
      </w:pPr>
    </w:p>
    <w:p w14:paraId="3FEC50F0" w14:textId="44D351C5" w:rsidR="00D56F57" w:rsidRPr="00D56F57" w:rsidRDefault="005A0CEA" w:rsidP="00206D37">
      <w:pPr>
        <w:spacing w:after="0" w:line="276" w:lineRule="auto"/>
        <w:ind w:firstLine="708"/>
        <w:contextualSpacing/>
        <w:jc w:val="both"/>
        <w:rPr>
          <w:rFonts w:ascii="Arial" w:eastAsia="Calibri" w:hAnsi="Arial" w:cs="Arial"/>
          <w:lang w:val="es-MX"/>
        </w:rPr>
      </w:pPr>
      <w:r w:rsidRPr="00206D37">
        <w:rPr>
          <w:rFonts w:ascii="Arial" w:eastAsia="Calibri" w:hAnsi="Arial" w:cs="Arial"/>
          <w:iCs/>
          <w:lang w:val="es-MX"/>
        </w:rPr>
        <w:t xml:space="preserve">Conforme </w:t>
      </w:r>
      <w:r w:rsidR="008B6FBE" w:rsidRPr="00206D37">
        <w:rPr>
          <w:rFonts w:ascii="Arial" w:eastAsia="Calibri" w:hAnsi="Arial" w:cs="Arial"/>
          <w:iCs/>
          <w:lang w:val="es-MX"/>
        </w:rPr>
        <w:t>a lo anterior, l</w:t>
      </w:r>
      <w:r w:rsidR="00D56F57" w:rsidRPr="00D56F57">
        <w:rPr>
          <w:rFonts w:ascii="Arial" w:eastAsia="Calibri" w:hAnsi="Arial" w:cs="Arial"/>
          <w:iCs/>
          <w:lang w:val="es-MX"/>
        </w:rPr>
        <w:t xml:space="preserve">a norma trascrita determinó que en el </w:t>
      </w:r>
      <w:r w:rsidR="00426BCB" w:rsidRPr="00206D37">
        <w:rPr>
          <w:rFonts w:ascii="Arial" w:eastAsia="Calibri" w:hAnsi="Arial" w:cs="Arial"/>
          <w:iCs/>
          <w:lang w:val="es-MX"/>
        </w:rPr>
        <w:t>RUP</w:t>
      </w:r>
      <w:r w:rsidR="00D56F57" w:rsidRPr="00D56F57">
        <w:rPr>
          <w:rFonts w:ascii="Arial" w:eastAsia="Calibri" w:hAnsi="Arial" w:cs="Arial"/>
          <w:iCs/>
          <w:lang w:val="es-MX"/>
        </w:rPr>
        <w:t xml:space="preserve"> deben inscribirse, entre otras, las multas, sanciones e inhabilidades</w:t>
      </w:r>
      <w:r w:rsidR="007A7734" w:rsidRPr="00206D37">
        <w:rPr>
          <w:rFonts w:ascii="Arial" w:eastAsia="Calibri" w:hAnsi="Arial" w:cs="Arial"/>
          <w:iCs/>
          <w:lang w:val="es-MX"/>
        </w:rPr>
        <w:t xml:space="preserve">, por lo que en dicho registro se encuentra la información </w:t>
      </w:r>
      <w:r w:rsidR="00363F3F" w:rsidRPr="00206D37">
        <w:rPr>
          <w:rFonts w:ascii="Arial" w:eastAsia="Calibri" w:hAnsi="Arial" w:cs="Arial"/>
          <w:iCs/>
          <w:lang w:val="es-MX"/>
        </w:rPr>
        <w:t>respecto de si a un proponente le han</w:t>
      </w:r>
      <w:r w:rsidR="0061603E">
        <w:rPr>
          <w:rFonts w:ascii="Arial" w:eastAsia="Calibri" w:hAnsi="Arial" w:cs="Arial"/>
          <w:iCs/>
          <w:lang w:val="es-MX"/>
        </w:rPr>
        <w:t xml:space="preserve"> sido</w:t>
      </w:r>
      <w:r w:rsidR="0061603E" w:rsidRPr="00206D37">
        <w:rPr>
          <w:rFonts w:ascii="Arial" w:eastAsia="Calibri" w:hAnsi="Arial" w:cs="Arial"/>
          <w:iCs/>
          <w:lang w:val="es-MX"/>
        </w:rPr>
        <w:t xml:space="preserve"> </w:t>
      </w:r>
      <w:r w:rsidR="00363F3F" w:rsidRPr="00206D37">
        <w:rPr>
          <w:rFonts w:ascii="Arial" w:eastAsia="Calibri" w:hAnsi="Arial" w:cs="Arial"/>
          <w:iCs/>
          <w:lang w:val="es-MX"/>
        </w:rPr>
        <w:t>impuest</w:t>
      </w:r>
      <w:r w:rsidR="0061603E">
        <w:rPr>
          <w:rFonts w:ascii="Arial" w:eastAsia="Calibri" w:hAnsi="Arial" w:cs="Arial"/>
          <w:iCs/>
          <w:lang w:val="es-MX"/>
        </w:rPr>
        <w:t>as</w:t>
      </w:r>
      <w:r w:rsidR="00363F3F" w:rsidRPr="00206D37">
        <w:rPr>
          <w:rFonts w:ascii="Arial" w:eastAsia="Calibri" w:hAnsi="Arial" w:cs="Arial"/>
          <w:iCs/>
          <w:lang w:val="es-MX"/>
        </w:rPr>
        <w:t xml:space="preserve"> </w:t>
      </w:r>
      <w:r w:rsidR="00363F3F" w:rsidRPr="00206D37">
        <w:rPr>
          <w:rFonts w:ascii="Arial" w:eastAsia="Calibri" w:hAnsi="Arial" w:cs="Arial"/>
          <w:lang w:val="es-ES_tradnl" w:eastAsia="es-MX"/>
        </w:rPr>
        <w:t>multa</w:t>
      </w:r>
      <w:r w:rsidR="0061603E">
        <w:rPr>
          <w:rFonts w:ascii="Arial" w:eastAsia="Calibri" w:hAnsi="Arial" w:cs="Arial"/>
          <w:lang w:val="es-ES_tradnl" w:eastAsia="es-MX"/>
        </w:rPr>
        <w:t>s</w:t>
      </w:r>
      <w:r w:rsidR="00363F3F" w:rsidRPr="00206D37">
        <w:rPr>
          <w:rFonts w:ascii="Arial" w:eastAsia="Calibri" w:hAnsi="Arial" w:cs="Arial"/>
          <w:lang w:val="es-ES_tradnl" w:eastAsia="es-MX"/>
        </w:rPr>
        <w:t>, clausula penal o cualquier otra sanción, por lo que las entidades</w:t>
      </w:r>
      <w:r w:rsidR="0061603E">
        <w:rPr>
          <w:rFonts w:ascii="Arial" w:eastAsia="Calibri" w:hAnsi="Arial" w:cs="Arial"/>
          <w:lang w:val="es-ES_tradnl" w:eastAsia="es-MX"/>
        </w:rPr>
        <w:t xml:space="preserve"> pueden consultar en dicho certificado esta información.  </w:t>
      </w:r>
      <w:r w:rsidR="00363F3F" w:rsidRPr="00206D37">
        <w:rPr>
          <w:rFonts w:ascii="Arial" w:eastAsia="Calibri" w:hAnsi="Arial" w:cs="Arial"/>
          <w:lang w:val="es-ES_tradnl" w:eastAsia="es-MX"/>
        </w:rPr>
        <w:t xml:space="preserve"> </w:t>
      </w:r>
    </w:p>
    <w:p w14:paraId="4F018E6B" w14:textId="77777777" w:rsidR="00171EA4" w:rsidRPr="00D56F57" w:rsidRDefault="00171EA4" w:rsidP="00206D37">
      <w:pPr>
        <w:spacing w:after="0" w:line="276" w:lineRule="auto"/>
        <w:ind w:firstLine="709"/>
        <w:contextualSpacing/>
        <w:jc w:val="both"/>
        <w:rPr>
          <w:rFonts w:ascii="Arial" w:eastAsia="Calibri" w:hAnsi="Arial" w:cs="Arial"/>
          <w:iCs/>
          <w:lang w:val="es-MX"/>
        </w:rPr>
      </w:pPr>
    </w:p>
    <w:p w14:paraId="3C12FBFC" w14:textId="77777777" w:rsidR="005F2C99" w:rsidRPr="00206D37" w:rsidRDefault="005F2C99" w:rsidP="00206D37">
      <w:pPr>
        <w:spacing w:after="0" w:line="276" w:lineRule="auto"/>
        <w:contextualSpacing/>
        <w:jc w:val="both"/>
        <w:rPr>
          <w:rFonts w:ascii="Arial" w:eastAsia="Calibri" w:hAnsi="Arial" w:cs="Arial"/>
          <w:b/>
        </w:rPr>
      </w:pPr>
      <w:r w:rsidRPr="00206D37">
        <w:rPr>
          <w:rFonts w:ascii="Arial" w:eastAsia="Calibri" w:hAnsi="Arial" w:cs="Arial"/>
          <w:b/>
        </w:rPr>
        <w:t>3. Respuesta</w:t>
      </w:r>
    </w:p>
    <w:p w14:paraId="3F59CF76" w14:textId="77777777" w:rsidR="005F2C99" w:rsidRPr="00206D37" w:rsidRDefault="005F2C99" w:rsidP="00206D37">
      <w:pPr>
        <w:tabs>
          <w:tab w:val="left" w:pos="709"/>
        </w:tabs>
        <w:spacing w:after="0" w:line="240" w:lineRule="auto"/>
        <w:ind w:left="709" w:right="709"/>
        <w:contextualSpacing/>
        <w:jc w:val="both"/>
        <w:rPr>
          <w:rFonts w:ascii="Arial" w:eastAsia="Calibri" w:hAnsi="Arial" w:cs="Arial"/>
          <w:sz w:val="21"/>
          <w:szCs w:val="21"/>
          <w:lang w:val="es-ES" w:eastAsia="es-MX"/>
        </w:rPr>
      </w:pPr>
    </w:p>
    <w:p w14:paraId="39CF78B2" w14:textId="5F9A6B44" w:rsidR="00794719" w:rsidRPr="001D559D" w:rsidRDefault="00794719" w:rsidP="007D135B">
      <w:pPr>
        <w:spacing w:after="0" w:line="240" w:lineRule="auto"/>
        <w:ind w:left="709" w:right="709"/>
        <w:contextualSpacing/>
        <w:jc w:val="both"/>
        <w:rPr>
          <w:rFonts w:ascii="Arial" w:eastAsia="Calibri" w:hAnsi="Arial" w:cs="Arial"/>
          <w:sz w:val="21"/>
          <w:szCs w:val="21"/>
          <w:lang w:val="es-ES_tradnl" w:eastAsia="es-MX"/>
        </w:rPr>
      </w:pPr>
      <w:r w:rsidRPr="001D559D">
        <w:rPr>
          <w:rFonts w:ascii="Arial" w:eastAsia="Calibri" w:hAnsi="Arial" w:cs="Arial"/>
          <w:sz w:val="21"/>
          <w:szCs w:val="21"/>
          <w:lang w:val="es-ES_tradnl" w:eastAsia="es-MX"/>
        </w:rPr>
        <w:t xml:space="preserve">«1. Teniendo en cuenta que la Ley establece que el RUP es plena prueba de las condiciones que con </w:t>
      </w:r>
      <w:proofErr w:type="spellStart"/>
      <w:r w:rsidRPr="001D559D">
        <w:rPr>
          <w:rFonts w:ascii="Arial" w:eastAsia="Calibri" w:hAnsi="Arial" w:cs="Arial"/>
          <w:sz w:val="21"/>
          <w:szCs w:val="21"/>
          <w:lang w:val="es-ES_tradnl" w:eastAsia="es-MX"/>
        </w:rPr>
        <w:t>el</w:t>
      </w:r>
      <w:proofErr w:type="spellEnd"/>
      <w:r w:rsidRPr="001D559D">
        <w:rPr>
          <w:rFonts w:ascii="Arial" w:eastAsia="Calibri" w:hAnsi="Arial" w:cs="Arial"/>
          <w:sz w:val="21"/>
          <w:szCs w:val="21"/>
          <w:lang w:val="es-ES_tradnl" w:eastAsia="es-MX"/>
        </w:rPr>
        <w:t xml:space="preserve"> se acreditan, tales como experiencia y condiciones financieras, y además, teniendo en cuenta que la norma no prevé ninguna limitación en el porcentaje de acreditación de la experiencia del socio, accionista o constituyente, me permito solicitar: </w:t>
      </w:r>
    </w:p>
    <w:p w14:paraId="67560EC4" w14:textId="77777777" w:rsidR="00794719" w:rsidRPr="001D559D" w:rsidRDefault="00794719" w:rsidP="007D135B">
      <w:pPr>
        <w:spacing w:after="0" w:line="240" w:lineRule="auto"/>
        <w:ind w:left="709" w:right="709"/>
        <w:contextualSpacing/>
        <w:jc w:val="both"/>
        <w:rPr>
          <w:rFonts w:ascii="Arial" w:eastAsia="Calibri" w:hAnsi="Arial" w:cs="Arial"/>
          <w:sz w:val="21"/>
          <w:szCs w:val="21"/>
          <w:lang w:val="es-ES_tradnl" w:eastAsia="es-MX"/>
        </w:rPr>
      </w:pPr>
    </w:p>
    <w:p w14:paraId="6B8167B1" w14:textId="77777777" w:rsidR="00794719" w:rsidRPr="001D559D" w:rsidRDefault="00794719" w:rsidP="007D135B">
      <w:pPr>
        <w:spacing w:after="0" w:line="240" w:lineRule="auto"/>
        <w:ind w:left="709" w:right="709"/>
        <w:contextualSpacing/>
        <w:jc w:val="both"/>
        <w:rPr>
          <w:rFonts w:ascii="Arial" w:eastAsia="Calibri" w:hAnsi="Arial" w:cs="Arial"/>
          <w:sz w:val="21"/>
          <w:szCs w:val="21"/>
          <w:lang w:val="es-ES_tradnl" w:eastAsia="es-MX"/>
        </w:rPr>
      </w:pPr>
      <w:r w:rsidRPr="001D559D">
        <w:rPr>
          <w:rFonts w:ascii="Arial" w:eastAsia="Calibri" w:hAnsi="Arial" w:cs="Arial"/>
          <w:sz w:val="21"/>
          <w:szCs w:val="21"/>
          <w:lang w:val="es-ES_tradnl" w:eastAsia="es-MX"/>
        </w:rPr>
        <w:t xml:space="preserve">a. Se aclare si las entidades tienen la competencia y la libertad de establecer limitaciones a la acreditación de experiencia que está registrada en el RUP, que no están en la norma. </w:t>
      </w:r>
    </w:p>
    <w:p w14:paraId="5E73E01E" w14:textId="77777777" w:rsidR="00794719" w:rsidRPr="001D559D" w:rsidRDefault="00794719" w:rsidP="007D135B">
      <w:pPr>
        <w:spacing w:after="0" w:line="240" w:lineRule="auto"/>
        <w:ind w:left="709" w:right="709"/>
        <w:contextualSpacing/>
        <w:jc w:val="both"/>
        <w:rPr>
          <w:rFonts w:ascii="Arial" w:eastAsia="Calibri" w:hAnsi="Arial" w:cs="Arial"/>
          <w:sz w:val="21"/>
          <w:szCs w:val="21"/>
          <w:lang w:val="es-ES_tradnl" w:eastAsia="es-MX"/>
        </w:rPr>
      </w:pPr>
    </w:p>
    <w:p w14:paraId="4D8E75F8" w14:textId="01C1996F" w:rsidR="00794719" w:rsidRPr="001D559D" w:rsidRDefault="00794719" w:rsidP="007D135B">
      <w:pPr>
        <w:spacing w:after="0" w:line="240" w:lineRule="auto"/>
        <w:ind w:left="709" w:right="709"/>
        <w:contextualSpacing/>
        <w:jc w:val="both"/>
        <w:rPr>
          <w:rFonts w:ascii="Arial" w:eastAsia="Calibri" w:hAnsi="Arial" w:cs="Arial"/>
          <w:sz w:val="21"/>
          <w:szCs w:val="21"/>
          <w:lang w:val="es-ES_tradnl" w:eastAsia="es-MX"/>
        </w:rPr>
      </w:pPr>
      <w:r w:rsidRPr="001D559D">
        <w:rPr>
          <w:rFonts w:ascii="Arial" w:eastAsia="Calibri" w:hAnsi="Arial" w:cs="Arial"/>
          <w:sz w:val="21"/>
          <w:szCs w:val="21"/>
          <w:lang w:val="es-ES_tradnl" w:eastAsia="es-MX"/>
        </w:rPr>
        <w:t xml:space="preserve">b. Se aclare si la entidad puede exigir a los oferentes que se presente certificado de composición accionaria para afectar la experiencia acreditada a través de la del socio, por el porcentaje de participación del socio».     </w:t>
      </w:r>
    </w:p>
    <w:p w14:paraId="5BA3C2A6" w14:textId="77777777" w:rsidR="007D135B" w:rsidRDefault="007D135B" w:rsidP="004B5310">
      <w:pPr>
        <w:spacing w:after="0" w:line="276" w:lineRule="auto"/>
        <w:jc w:val="both"/>
        <w:rPr>
          <w:rFonts w:ascii="Arial" w:hAnsi="Arial" w:cs="Arial"/>
        </w:rPr>
      </w:pPr>
      <w:bookmarkStart w:id="10" w:name="_Hlk57650395"/>
    </w:p>
    <w:p w14:paraId="1D0FB27F" w14:textId="79A8CBEA" w:rsidR="00994E87" w:rsidRPr="003503FE" w:rsidRDefault="00E65CA4" w:rsidP="00994E87">
      <w:pPr>
        <w:spacing w:after="120" w:line="276" w:lineRule="auto"/>
        <w:jc w:val="both"/>
        <w:rPr>
          <w:rFonts w:ascii="Arial" w:hAnsi="Arial" w:cs="Arial"/>
        </w:rPr>
      </w:pPr>
      <w:r w:rsidRPr="003503FE">
        <w:rPr>
          <w:rFonts w:ascii="Arial" w:hAnsi="Arial" w:cs="Arial"/>
        </w:rPr>
        <w:t>De conformidad con los artículos 5 y 6 de la Ley 1150 de 2007, las entidades estatales están obligadas el cumplimiento de los requisitos habilitantes, entre ellos la experiencia exigida en un proceso de selección. Por su parte, e</w:t>
      </w:r>
      <w:r w:rsidR="0048217E" w:rsidRPr="003503FE">
        <w:rPr>
          <w:rFonts w:ascii="Arial" w:eastAsia="Calibri" w:hAnsi="Arial" w:cs="Arial"/>
          <w:lang w:val="es-MX"/>
        </w:rPr>
        <w:t>l numeral 2.5 del artículo 2.2.1.1.1.5.2 del Decreto 1082 de 2015</w:t>
      </w:r>
      <w:r w:rsidR="0048217E" w:rsidRPr="003503FE">
        <w:rPr>
          <w:rFonts w:ascii="Arial" w:hAnsi="Arial" w:cs="Arial"/>
          <w:lang w:val="es-MX"/>
        </w:rPr>
        <w:t xml:space="preserve"> dispone que una sociedad con menos de tres (3) años de constituida puede aportar la experiencia de sus accionistas, socios o constituyentes.</w:t>
      </w:r>
      <w:r w:rsidR="00994E87" w:rsidRPr="003503FE">
        <w:rPr>
          <w:rFonts w:ascii="Arial" w:hAnsi="Arial" w:cs="Arial"/>
        </w:rPr>
        <w:t xml:space="preserve"> </w:t>
      </w:r>
    </w:p>
    <w:p w14:paraId="76B2C379" w14:textId="77777777" w:rsidR="0052728C" w:rsidRPr="003503FE" w:rsidRDefault="00E6662E" w:rsidP="0052728C">
      <w:pPr>
        <w:shd w:val="clear" w:color="auto" w:fill="FFFFFF"/>
        <w:spacing w:after="120" w:line="276" w:lineRule="auto"/>
        <w:ind w:firstLine="709"/>
        <w:jc w:val="both"/>
        <w:rPr>
          <w:rFonts w:ascii="Arial" w:eastAsia="Times New Roman" w:hAnsi="Arial" w:cs="Arial"/>
          <w:lang w:eastAsia="es-ES_tradnl"/>
        </w:rPr>
      </w:pPr>
      <w:r w:rsidRPr="003503FE">
        <w:rPr>
          <w:rFonts w:ascii="Arial" w:eastAsia="Times New Roman" w:hAnsi="Arial" w:cs="Arial"/>
          <w:lang w:eastAsia="es-ES_tradnl"/>
        </w:rPr>
        <w:t>P</w:t>
      </w:r>
      <w:r w:rsidR="008D17E9" w:rsidRPr="003503FE">
        <w:rPr>
          <w:rFonts w:ascii="Arial" w:eastAsia="Times New Roman" w:hAnsi="Arial" w:cs="Arial"/>
          <w:lang w:eastAsia="es-ES_tradnl"/>
        </w:rPr>
        <w:t xml:space="preserve">or regla general la capacidad jurídica, las condiciones de experiencia, la capacidad financiera y de organización de los proponentes deberán verificarse exclusivamente con el </w:t>
      </w:r>
      <w:r w:rsidR="006967C0" w:rsidRPr="003503FE">
        <w:rPr>
          <w:rFonts w:ascii="Arial" w:eastAsia="Times New Roman" w:hAnsi="Arial" w:cs="Arial"/>
          <w:lang w:eastAsia="es-ES_tradnl"/>
        </w:rPr>
        <w:t>RUP</w:t>
      </w:r>
      <w:r w:rsidR="008D17E9" w:rsidRPr="003503FE">
        <w:rPr>
          <w:rFonts w:ascii="Arial" w:eastAsia="Times New Roman" w:hAnsi="Arial" w:cs="Arial"/>
          <w:lang w:eastAsia="es-ES_tradnl"/>
        </w:rPr>
        <w:t xml:space="preserve">, </w:t>
      </w:r>
      <w:r w:rsidRPr="003503FE">
        <w:rPr>
          <w:rFonts w:ascii="Arial" w:eastAsia="Times New Roman" w:hAnsi="Arial" w:cs="Arial"/>
          <w:lang w:eastAsia="es-ES_tradnl"/>
        </w:rPr>
        <w:t xml:space="preserve">salvo las excepciones explicadas en el considerando 2.1 del presente concepto, </w:t>
      </w:r>
      <w:r w:rsidR="008D17E9" w:rsidRPr="003503FE">
        <w:rPr>
          <w:rFonts w:ascii="Arial" w:eastAsia="Times New Roman" w:hAnsi="Arial" w:cs="Arial"/>
          <w:lang w:eastAsia="es-ES_tradnl"/>
        </w:rPr>
        <w:t>toda vez que constituye plena prueba de l</w:t>
      </w:r>
      <w:r w:rsidR="000C6BFA" w:rsidRPr="003503FE">
        <w:rPr>
          <w:rFonts w:ascii="Arial" w:eastAsia="Times New Roman" w:hAnsi="Arial" w:cs="Arial"/>
          <w:lang w:eastAsia="es-ES_tradnl"/>
        </w:rPr>
        <w:t>a información</w:t>
      </w:r>
      <w:r w:rsidR="008D17E9" w:rsidRPr="003503FE">
        <w:rPr>
          <w:rFonts w:ascii="Arial" w:eastAsia="Times New Roman" w:hAnsi="Arial" w:cs="Arial"/>
          <w:lang w:eastAsia="es-ES_tradnl"/>
        </w:rPr>
        <w:t xml:space="preserve"> que contiene</w:t>
      </w:r>
      <w:r w:rsidR="00F7580B" w:rsidRPr="003503FE">
        <w:rPr>
          <w:rFonts w:ascii="Arial" w:eastAsia="Times New Roman" w:hAnsi="Arial" w:cs="Arial"/>
          <w:lang w:eastAsia="es-ES_tradnl"/>
        </w:rPr>
        <w:t>,</w:t>
      </w:r>
      <w:r w:rsidR="008D17E9" w:rsidRPr="003503FE">
        <w:rPr>
          <w:rFonts w:ascii="Arial" w:eastAsia="Times New Roman" w:hAnsi="Arial" w:cs="Arial"/>
          <w:lang w:eastAsia="es-ES_tradnl"/>
        </w:rPr>
        <w:t xml:space="preserve"> según el numeral 6.1 del artículo 6 de la Ley 1150 de 2007. El legislador otorgó a las </w:t>
      </w:r>
      <w:r w:rsidR="00F7580B" w:rsidRPr="003503FE">
        <w:rPr>
          <w:rFonts w:ascii="Arial" w:eastAsia="Times New Roman" w:hAnsi="Arial" w:cs="Arial"/>
          <w:lang w:eastAsia="es-ES_tradnl"/>
        </w:rPr>
        <w:t xml:space="preserve">Cámaras </w:t>
      </w:r>
      <w:r w:rsidR="008D17E9" w:rsidRPr="003503FE">
        <w:rPr>
          <w:rFonts w:ascii="Arial" w:eastAsia="Times New Roman" w:hAnsi="Arial" w:cs="Arial"/>
          <w:lang w:eastAsia="es-ES_tradnl"/>
        </w:rPr>
        <w:t xml:space="preserve">de </w:t>
      </w:r>
      <w:r w:rsidR="00F7580B" w:rsidRPr="003503FE">
        <w:rPr>
          <w:rFonts w:ascii="Arial" w:eastAsia="Times New Roman" w:hAnsi="Arial" w:cs="Arial"/>
          <w:lang w:eastAsia="es-ES_tradnl"/>
        </w:rPr>
        <w:t xml:space="preserve">Comercio </w:t>
      </w:r>
      <w:r w:rsidR="008D17E9" w:rsidRPr="003503FE">
        <w:rPr>
          <w:rFonts w:ascii="Arial" w:eastAsia="Times New Roman" w:hAnsi="Arial" w:cs="Arial"/>
          <w:lang w:eastAsia="es-ES_tradnl"/>
        </w:rPr>
        <w:t xml:space="preserve">la administración del RUP y dispuso que estas tienen la competencia y el deber de la verificación de la información suministrada por </w:t>
      </w:r>
      <w:r w:rsidR="008D17E9" w:rsidRPr="003503FE">
        <w:rPr>
          <w:rFonts w:ascii="Arial" w:eastAsia="Times New Roman" w:hAnsi="Arial" w:cs="Arial"/>
          <w:lang w:eastAsia="es-ES_tradnl"/>
        </w:rPr>
        <w:lastRenderedPageBreak/>
        <w:t xml:space="preserve">las personas naturales o jurídicas para su posterior utilización en los procesos de selección. </w:t>
      </w:r>
    </w:p>
    <w:p w14:paraId="044ABCE2" w14:textId="0BDF2114" w:rsidR="0052728C" w:rsidRPr="003503FE" w:rsidRDefault="008D17E9" w:rsidP="0052728C">
      <w:pPr>
        <w:shd w:val="clear" w:color="auto" w:fill="FFFFFF"/>
        <w:spacing w:after="120" w:line="276" w:lineRule="auto"/>
        <w:ind w:firstLine="709"/>
        <w:jc w:val="both"/>
        <w:rPr>
          <w:rFonts w:ascii="Arial" w:eastAsia="Times New Roman" w:hAnsi="Arial" w:cs="Arial"/>
          <w:lang w:eastAsia="es-ES_tradnl"/>
        </w:rPr>
      </w:pPr>
      <w:r w:rsidRPr="003503FE">
        <w:rPr>
          <w:rFonts w:ascii="Arial" w:eastAsia="Times New Roman" w:hAnsi="Arial" w:cs="Arial"/>
          <w:lang w:eastAsia="es-ES_tradnl"/>
        </w:rPr>
        <w:t xml:space="preserve">Por tanto, la experiencia transferida de los accionistas, socios o constituyentes a la persona jurídica que tiene menos de tres (3) años de constitución sólo puede verificarse con el registro, sin que sea posible para la entidad contratante solicitar documentos adicionales a los oferentes. </w:t>
      </w:r>
      <w:r w:rsidR="0052728C" w:rsidRPr="003503FE">
        <w:rPr>
          <w:rFonts w:ascii="Arial" w:eastAsia="Times New Roman" w:hAnsi="Arial" w:cs="Arial"/>
          <w:lang w:eastAsia="es-ES_tradnl"/>
        </w:rPr>
        <w:t>Ahora bien, s</w:t>
      </w:r>
      <w:r w:rsidR="0052728C" w:rsidRPr="003503FE">
        <w:rPr>
          <w:rFonts w:ascii="Arial" w:hAnsi="Arial" w:cs="Arial"/>
          <w:lang w:val="es-MX"/>
        </w:rPr>
        <w:t>i la persona jurídica con menos de tres</w:t>
      </w:r>
      <w:r w:rsidR="008E18CD" w:rsidRPr="003503FE">
        <w:rPr>
          <w:rFonts w:ascii="Arial" w:hAnsi="Arial" w:cs="Arial"/>
          <w:lang w:val="es-MX"/>
        </w:rPr>
        <w:t xml:space="preserve"> (3)</w:t>
      </w:r>
      <w:r w:rsidR="0052728C" w:rsidRPr="003503FE">
        <w:rPr>
          <w:rFonts w:ascii="Arial" w:hAnsi="Arial" w:cs="Arial"/>
          <w:lang w:val="es-MX"/>
        </w:rPr>
        <w:t xml:space="preserve"> años de constituida registra la experiencia de sus socios en el RUP, y éste es renovado constantemente de forma oportuna, puede continuar utilizando la experiencia inscrita mientras no cesen los efectos del RUP, incluso después de transcurridos los tres</w:t>
      </w:r>
      <w:r w:rsidR="00D648BD" w:rsidRPr="003503FE">
        <w:rPr>
          <w:rFonts w:ascii="Arial" w:hAnsi="Arial" w:cs="Arial"/>
          <w:lang w:val="es-MX"/>
        </w:rPr>
        <w:t xml:space="preserve"> (3)</w:t>
      </w:r>
      <w:r w:rsidR="0052728C" w:rsidRPr="003503FE">
        <w:rPr>
          <w:rFonts w:ascii="Arial" w:hAnsi="Arial" w:cs="Arial"/>
          <w:lang w:val="es-MX"/>
        </w:rPr>
        <w:t xml:space="preserve"> años. Por el contrario, si no se renueva y la persona jurídica supera los tres</w:t>
      </w:r>
      <w:r w:rsidR="00383DE8" w:rsidRPr="003503FE">
        <w:rPr>
          <w:rFonts w:ascii="Arial" w:hAnsi="Arial" w:cs="Arial"/>
          <w:lang w:val="es-MX"/>
        </w:rPr>
        <w:t xml:space="preserve"> (3)</w:t>
      </w:r>
      <w:r w:rsidR="0052728C" w:rsidRPr="003503FE">
        <w:rPr>
          <w:rFonts w:ascii="Arial" w:hAnsi="Arial" w:cs="Arial"/>
          <w:lang w:val="es-MX"/>
        </w:rPr>
        <w:t xml:space="preserve"> años de constituida, la experiencia que registró de sus socios no puede ser inscrita nuevamente, puesto que el RUP ha cesado sus efectos y la </w:t>
      </w:r>
      <w:r w:rsidR="00383DE8" w:rsidRPr="003503FE">
        <w:rPr>
          <w:rFonts w:ascii="Arial" w:hAnsi="Arial" w:cs="Arial"/>
          <w:lang w:val="es-MX"/>
        </w:rPr>
        <w:t xml:space="preserve">Cámara </w:t>
      </w:r>
      <w:r w:rsidR="0052728C" w:rsidRPr="003503FE">
        <w:rPr>
          <w:rFonts w:ascii="Arial" w:hAnsi="Arial" w:cs="Arial"/>
          <w:lang w:val="es-MX"/>
        </w:rPr>
        <w:t xml:space="preserve">de </w:t>
      </w:r>
      <w:r w:rsidR="00383DE8" w:rsidRPr="003503FE">
        <w:rPr>
          <w:rFonts w:ascii="Arial" w:hAnsi="Arial" w:cs="Arial"/>
          <w:lang w:val="es-MX"/>
        </w:rPr>
        <w:t xml:space="preserve">Comercio </w:t>
      </w:r>
      <w:r w:rsidR="0052728C" w:rsidRPr="003503FE">
        <w:rPr>
          <w:rFonts w:ascii="Arial" w:hAnsi="Arial" w:cs="Arial"/>
          <w:lang w:val="es-MX"/>
        </w:rPr>
        <w:t xml:space="preserve">tiene que hacer nuevamente la verificación documental de la información presentada al momento de inscribirse en el registro.  </w:t>
      </w:r>
    </w:p>
    <w:p w14:paraId="0780DEA9" w14:textId="458621E4" w:rsidR="008D17E9" w:rsidRPr="003503FE" w:rsidRDefault="008D17E9" w:rsidP="008D17E9">
      <w:pPr>
        <w:shd w:val="clear" w:color="auto" w:fill="FFFFFF"/>
        <w:spacing w:after="0" w:line="276" w:lineRule="auto"/>
        <w:ind w:firstLine="708"/>
        <w:contextualSpacing/>
        <w:jc w:val="both"/>
        <w:rPr>
          <w:rFonts w:ascii="Arial" w:eastAsia="Times New Roman" w:hAnsi="Arial" w:cs="Arial"/>
          <w:lang w:eastAsia="es-ES_tradnl"/>
        </w:rPr>
      </w:pPr>
      <w:r w:rsidRPr="003503FE">
        <w:rPr>
          <w:rFonts w:ascii="Arial" w:eastAsia="Times New Roman" w:hAnsi="Arial" w:cs="Arial"/>
          <w:lang w:eastAsia="es-ES_tradnl"/>
        </w:rPr>
        <w:t xml:space="preserve">Lo anterior, sin perjuicio de que </w:t>
      </w:r>
      <w:r w:rsidR="00EB5B91" w:rsidRPr="003503FE">
        <w:rPr>
          <w:rFonts w:ascii="Arial" w:eastAsia="Times New Roman" w:hAnsi="Arial" w:cs="Arial"/>
          <w:lang w:eastAsia="es-ES_tradnl"/>
        </w:rPr>
        <w:t>en caso de que se percaten</w:t>
      </w:r>
      <w:r w:rsidRPr="003503FE">
        <w:rPr>
          <w:rFonts w:ascii="Arial" w:eastAsia="Times New Roman" w:hAnsi="Arial" w:cs="Arial"/>
          <w:lang w:eastAsia="es-ES_tradnl"/>
        </w:rPr>
        <w:t xml:space="preserve"> de irregularidades en la validación del requisito habilitante por la pérdida posterior de alguna de estas condiciones</w:t>
      </w:r>
      <w:r w:rsidR="00EB5B91" w:rsidRPr="003503FE">
        <w:rPr>
          <w:rFonts w:ascii="Arial" w:eastAsia="Times New Roman" w:hAnsi="Arial" w:cs="Arial"/>
          <w:lang w:eastAsia="es-ES_tradnl"/>
        </w:rPr>
        <w:t xml:space="preserve"> se</w:t>
      </w:r>
      <w:r w:rsidRPr="003503FE">
        <w:rPr>
          <w:rFonts w:ascii="Arial" w:eastAsia="Times New Roman" w:hAnsi="Arial" w:cs="Arial"/>
          <w:lang w:eastAsia="es-ES_tradnl"/>
        </w:rPr>
        <w:t xml:space="preserve"> impugne la certificación de la </w:t>
      </w:r>
      <w:r w:rsidR="00EA0092" w:rsidRPr="003503FE">
        <w:rPr>
          <w:rFonts w:ascii="Arial" w:eastAsia="Times New Roman" w:hAnsi="Arial" w:cs="Arial"/>
          <w:lang w:eastAsia="es-ES_tradnl"/>
        </w:rPr>
        <w:t xml:space="preserve">Cámara </w:t>
      </w:r>
      <w:r w:rsidRPr="003503FE">
        <w:rPr>
          <w:rFonts w:ascii="Arial" w:eastAsia="Times New Roman" w:hAnsi="Arial" w:cs="Arial"/>
          <w:lang w:eastAsia="es-ES_tradnl"/>
        </w:rPr>
        <w:t xml:space="preserve">de </w:t>
      </w:r>
      <w:r w:rsidR="00EA0092" w:rsidRPr="003503FE">
        <w:rPr>
          <w:rFonts w:ascii="Arial" w:eastAsia="Times New Roman" w:hAnsi="Arial" w:cs="Arial"/>
          <w:lang w:eastAsia="es-ES_tradnl"/>
        </w:rPr>
        <w:t xml:space="preserve">Comercio, </w:t>
      </w:r>
      <w:r w:rsidRPr="003503FE">
        <w:rPr>
          <w:rFonts w:ascii="Arial" w:eastAsia="Times New Roman" w:hAnsi="Arial" w:cs="Arial"/>
          <w:lang w:eastAsia="es-ES_tradnl"/>
        </w:rPr>
        <w:t>de acuerdo con l</w:t>
      </w:r>
      <w:r w:rsidR="00EA0092" w:rsidRPr="003503FE">
        <w:rPr>
          <w:rFonts w:ascii="Arial" w:eastAsia="Times New Roman" w:hAnsi="Arial" w:cs="Arial"/>
          <w:lang w:eastAsia="es-ES_tradnl"/>
        </w:rPr>
        <w:t>o</w:t>
      </w:r>
      <w:r w:rsidRPr="003503FE">
        <w:rPr>
          <w:rFonts w:ascii="Arial" w:eastAsia="Times New Roman" w:hAnsi="Arial" w:cs="Arial"/>
          <w:lang w:eastAsia="es-ES_tradnl"/>
        </w:rPr>
        <w:t xml:space="preserve"> previsto en el artículo 6.3 de la Ley 1150 de 2007. Para ello, conforme a las particularidades de cada caso concreto, regirá el principio de libertad probatoria, con excepción de aquellos aspectos sujetos a tarifa legal por norma expresa.  </w:t>
      </w:r>
    </w:p>
    <w:p w14:paraId="490EB307" w14:textId="77777777" w:rsidR="00A57597" w:rsidRDefault="00A57597" w:rsidP="00EA0092">
      <w:pPr>
        <w:spacing w:after="0" w:line="240" w:lineRule="auto"/>
        <w:ind w:left="709" w:right="709"/>
        <w:contextualSpacing/>
        <w:jc w:val="both"/>
        <w:rPr>
          <w:rFonts w:ascii="Arial" w:eastAsia="Calibri" w:hAnsi="Arial" w:cs="Arial"/>
          <w:sz w:val="21"/>
          <w:szCs w:val="21"/>
          <w:lang w:val="es-ES_tradnl" w:eastAsia="es-MX"/>
        </w:rPr>
      </w:pPr>
    </w:p>
    <w:p w14:paraId="4387F7BE" w14:textId="7F8FC1E7" w:rsidR="00EA0092" w:rsidRPr="001D559D" w:rsidRDefault="00EA0092" w:rsidP="00EA0092">
      <w:pPr>
        <w:spacing w:after="0" w:line="240" w:lineRule="auto"/>
        <w:ind w:left="709" w:right="709"/>
        <w:contextualSpacing/>
        <w:jc w:val="both"/>
        <w:rPr>
          <w:rFonts w:ascii="Arial" w:eastAsia="Calibri" w:hAnsi="Arial" w:cs="Arial"/>
          <w:sz w:val="21"/>
          <w:szCs w:val="21"/>
          <w:lang w:val="es-ES_tradnl" w:eastAsia="es-MX"/>
        </w:rPr>
      </w:pPr>
      <w:r w:rsidRPr="001D559D">
        <w:rPr>
          <w:rFonts w:ascii="Arial" w:eastAsia="Calibri" w:hAnsi="Arial" w:cs="Arial"/>
          <w:sz w:val="21"/>
          <w:szCs w:val="21"/>
          <w:lang w:val="es-ES_tradnl" w:eastAsia="es-MX"/>
        </w:rPr>
        <w:t>«¿Las entidades tienen la potestad de establecer como requisito habilitante, que las certificaciones de experiencia contengan la acreditación de que el respectivo contrato no fue objeto de multa, clausula penal o cualquier otra sanción?</w:t>
      </w:r>
      <w:r w:rsidRPr="00EA0092">
        <w:rPr>
          <w:rFonts w:ascii="Arial" w:eastAsia="Calibri" w:hAnsi="Arial" w:cs="Arial"/>
          <w:sz w:val="21"/>
          <w:szCs w:val="21"/>
          <w:lang w:val="es-ES_tradnl" w:eastAsia="es-MX"/>
        </w:rPr>
        <w:t>»</w:t>
      </w:r>
      <w:r w:rsidRPr="001D559D">
        <w:rPr>
          <w:rFonts w:ascii="Arial" w:eastAsia="Calibri" w:hAnsi="Arial" w:cs="Arial"/>
          <w:sz w:val="21"/>
          <w:szCs w:val="21"/>
          <w:lang w:val="es-ES_tradnl" w:eastAsia="es-MX"/>
        </w:rPr>
        <w:t xml:space="preserve">.     </w:t>
      </w:r>
    </w:p>
    <w:p w14:paraId="43A44073" w14:textId="21385FA2" w:rsidR="00EA0092" w:rsidRDefault="00EA0092" w:rsidP="00EA0092">
      <w:pPr>
        <w:spacing w:after="0" w:line="240" w:lineRule="auto"/>
        <w:contextualSpacing/>
        <w:jc w:val="both"/>
        <w:rPr>
          <w:rFonts w:ascii="Arial" w:hAnsi="Arial" w:cs="Arial"/>
          <w:color w:val="FF0000"/>
        </w:rPr>
      </w:pPr>
    </w:p>
    <w:p w14:paraId="27BBFC48" w14:textId="16EE27A0" w:rsidR="003A498D" w:rsidRPr="003503FE" w:rsidRDefault="00023B56" w:rsidP="00437E6A">
      <w:pPr>
        <w:spacing w:after="120" w:line="276" w:lineRule="auto"/>
        <w:jc w:val="both"/>
        <w:rPr>
          <w:rFonts w:ascii="Arial" w:eastAsia="Calibri" w:hAnsi="Arial" w:cs="Arial"/>
          <w:lang w:val="es-MX"/>
        </w:rPr>
      </w:pPr>
      <w:r w:rsidRPr="003503FE">
        <w:rPr>
          <w:rFonts w:ascii="Arial" w:hAnsi="Arial" w:cs="Arial"/>
        </w:rPr>
        <w:t xml:space="preserve">De conformidad con el artículo </w:t>
      </w:r>
      <w:r w:rsidR="00437E6A" w:rsidRPr="003503FE">
        <w:rPr>
          <w:rFonts w:ascii="Arial" w:hAnsi="Arial" w:cs="Arial"/>
        </w:rPr>
        <w:t>6</w:t>
      </w:r>
      <w:r w:rsidR="00437E6A" w:rsidRPr="003503FE">
        <w:rPr>
          <w:rFonts w:ascii="Arial" w:eastAsia="Calibri" w:hAnsi="Arial" w:cs="Arial"/>
          <w:lang w:val="es-MX"/>
        </w:rPr>
        <w:t>.2 de la Ley 1150 de 2007 las entidades públicas tienen la obligación de reportar a la Cámara de Comercio correspondiente la información sobre contratos, multas y sanciones</w:t>
      </w:r>
      <w:r w:rsidR="008640E6" w:rsidRPr="003503FE">
        <w:rPr>
          <w:rFonts w:ascii="Arial" w:eastAsia="Calibri" w:hAnsi="Arial" w:cs="Arial"/>
          <w:lang w:val="es-MX"/>
        </w:rPr>
        <w:t xml:space="preserve">, con el fin de </w:t>
      </w:r>
      <w:r w:rsidR="00437E6A" w:rsidRPr="003503FE">
        <w:rPr>
          <w:rFonts w:ascii="Arial" w:eastAsia="Calibri" w:hAnsi="Arial" w:cs="Arial"/>
          <w:lang w:val="es-MX"/>
        </w:rPr>
        <w:t xml:space="preserve">poner en conocimiento de todos los participantes del sistema de compras públicas la información de sanciones y multas impuestas a los inscritos en el RUP, como una forma de ejercer control a la ejecución de los contratos suscritos por las entidades estatales. </w:t>
      </w:r>
      <w:r w:rsidR="00553986" w:rsidRPr="003503FE">
        <w:rPr>
          <w:rFonts w:ascii="Arial" w:eastAsia="Calibri" w:hAnsi="Arial" w:cs="Arial"/>
          <w:lang w:val="es-MX"/>
        </w:rPr>
        <w:t>En desarrollo de la mencionada disposición, el artículo</w:t>
      </w:r>
      <w:r w:rsidR="00553986" w:rsidRPr="003503FE">
        <w:rPr>
          <w:rFonts w:ascii="Arial" w:eastAsia="Calibri" w:hAnsi="Arial" w:cs="Arial"/>
          <w:iCs/>
          <w:lang w:val="es-MX"/>
        </w:rPr>
        <w:t xml:space="preserve"> 2.2.1.1.1.5.6 del Decreto 1082 de 2015 </w:t>
      </w:r>
      <w:r w:rsidR="003A0671" w:rsidRPr="003503FE">
        <w:rPr>
          <w:rFonts w:ascii="Arial" w:eastAsia="Calibri" w:hAnsi="Arial" w:cs="Arial"/>
          <w:iCs/>
          <w:lang w:val="es-MX"/>
        </w:rPr>
        <w:t xml:space="preserve">replica lo anterior al </w:t>
      </w:r>
      <w:r w:rsidR="00553986" w:rsidRPr="003503FE">
        <w:rPr>
          <w:rFonts w:ascii="Arial" w:eastAsia="Calibri" w:hAnsi="Arial" w:cs="Arial"/>
          <w:iCs/>
          <w:lang w:val="es-MX"/>
        </w:rPr>
        <w:t>señala</w:t>
      </w:r>
      <w:r w:rsidR="003A0671" w:rsidRPr="003503FE">
        <w:rPr>
          <w:rFonts w:ascii="Arial" w:eastAsia="Calibri" w:hAnsi="Arial" w:cs="Arial"/>
          <w:iCs/>
          <w:lang w:val="es-MX"/>
        </w:rPr>
        <w:t>r</w:t>
      </w:r>
      <w:r w:rsidR="00553986" w:rsidRPr="003503FE">
        <w:rPr>
          <w:rFonts w:ascii="Arial" w:eastAsia="Calibri" w:hAnsi="Arial" w:cs="Arial"/>
          <w:iCs/>
          <w:lang w:val="es-MX"/>
        </w:rPr>
        <w:t xml:space="preserve"> que el certificado del RUP debe contener la informaci</w:t>
      </w:r>
      <w:r w:rsidR="00CC7B57" w:rsidRPr="003503FE">
        <w:rPr>
          <w:rFonts w:ascii="Arial" w:eastAsia="Calibri" w:hAnsi="Arial" w:cs="Arial"/>
          <w:iCs/>
          <w:lang w:val="es-MX"/>
        </w:rPr>
        <w:t xml:space="preserve">ón sobre las multas, sanciones e inhabilidades. </w:t>
      </w:r>
      <w:r w:rsidR="00437E6A" w:rsidRPr="003503FE">
        <w:rPr>
          <w:rFonts w:ascii="Arial" w:eastAsia="Calibri" w:hAnsi="Arial" w:cs="Arial"/>
          <w:lang w:val="es-MX"/>
        </w:rPr>
        <w:t xml:space="preserve">Dicha obligación también es congruente con el artículo 31 de la Ley 80 de 1993, modificado por el artículo 218 del Decreto 19 de 2012, que estableció los deberes de publicar en el SECOP y de </w:t>
      </w:r>
      <w:r w:rsidR="00437E6A" w:rsidRPr="003503FE">
        <w:rPr>
          <w:rFonts w:ascii="Arial" w:eastAsia="Calibri" w:hAnsi="Arial" w:cs="Arial"/>
          <w:lang w:val="es-MX"/>
        </w:rPr>
        <w:lastRenderedPageBreak/>
        <w:t>comunicar a las Cámaras de Comercio, la parte resolutiva, de los actos que impongan multas y sanciones, entre otras decisione</w:t>
      </w:r>
      <w:r w:rsidR="000701F2" w:rsidRPr="003503FE">
        <w:rPr>
          <w:rFonts w:ascii="Arial" w:eastAsia="Calibri" w:hAnsi="Arial" w:cs="Arial"/>
          <w:lang w:val="es-MX"/>
        </w:rPr>
        <w:t>s.</w:t>
      </w:r>
    </w:p>
    <w:p w14:paraId="0E2A155D" w14:textId="64113E84" w:rsidR="00365DCF" w:rsidRPr="003503FE" w:rsidRDefault="00CC7B57" w:rsidP="003A498D">
      <w:pPr>
        <w:spacing w:after="120" w:line="276" w:lineRule="auto"/>
        <w:ind w:firstLine="708"/>
        <w:jc w:val="both"/>
        <w:rPr>
          <w:rFonts w:ascii="Arial" w:eastAsia="Calibri" w:hAnsi="Arial" w:cs="Arial"/>
          <w:lang w:val="es-MX"/>
        </w:rPr>
      </w:pPr>
      <w:r w:rsidRPr="003503FE">
        <w:rPr>
          <w:rFonts w:ascii="Arial" w:eastAsia="Calibri" w:hAnsi="Arial" w:cs="Arial"/>
          <w:lang w:val="es-MX"/>
        </w:rPr>
        <w:t>Así las cosas</w:t>
      </w:r>
      <w:r w:rsidR="00CF1C17" w:rsidRPr="003503FE">
        <w:rPr>
          <w:rFonts w:ascii="Arial" w:eastAsia="Calibri" w:hAnsi="Arial" w:cs="Arial"/>
          <w:lang w:val="es-MX"/>
        </w:rPr>
        <w:t xml:space="preserve">, la información respecto de </w:t>
      </w:r>
      <w:r w:rsidR="003A498D" w:rsidRPr="003503FE">
        <w:rPr>
          <w:rFonts w:ascii="Arial" w:eastAsia="Calibri" w:hAnsi="Arial" w:cs="Arial"/>
          <w:lang w:val="es-MX"/>
        </w:rPr>
        <w:t xml:space="preserve">la imposición de multas y sanciones o clausulas penales </w:t>
      </w:r>
      <w:r w:rsidR="00861F1F" w:rsidRPr="003503FE">
        <w:rPr>
          <w:rFonts w:ascii="Arial" w:eastAsia="Calibri" w:hAnsi="Arial" w:cs="Arial"/>
          <w:lang w:val="es-MX"/>
        </w:rPr>
        <w:t>a</w:t>
      </w:r>
      <w:r w:rsidR="00CF1C17" w:rsidRPr="003503FE">
        <w:rPr>
          <w:rFonts w:ascii="Arial" w:eastAsia="Calibri" w:hAnsi="Arial" w:cs="Arial"/>
          <w:lang w:val="es-MX"/>
        </w:rPr>
        <w:t xml:space="preserve"> los proponentes obligados a inscribirse en el RUP </w:t>
      </w:r>
      <w:r w:rsidR="003A498D" w:rsidRPr="003503FE">
        <w:rPr>
          <w:rFonts w:ascii="Arial" w:eastAsia="Calibri" w:hAnsi="Arial" w:cs="Arial"/>
          <w:lang w:val="es-MX"/>
        </w:rPr>
        <w:t>está contenida en dicho documento,</w:t>
      </w:r>
      <w:r w:rsidR="00861F1F" w:rsidRPr="003503FE">
        <w:rPr>
          <w:rFonts w:ascii="Arial" w:eastAsia="Calibri" w:hAnsi="Arial" w:cs="Arial"/>
          <w:lang w:val="es-MX"/>
        </w:rPr>
        <w:t xml:space="preserve"> el cual es plena prueba de la información que contiene. En consecuencia, </w:t>
      </w:r>
      <w:r w:rsidR="007762A0" w:rsidRPr="003503FE">
        <w:rPr>
          <w:rFonts w:ascii="Arial" w:eastAsia="Calibri" w:hAnsi="Arial" w:cs="Arial"/>
          <w:lang w:val="es-MX"/>
        </w:rPr>
        <w:t xml:space="preserve">las entidades estatales </w:t>
      </w:r>
      <w:r w:rsidR="00861F1F" w:rsidRPr="003503FE">
        <w:rPr>
          <w:rFonts w:ascii="Arial" w:eastAsia="Calibri" w:hAnsi="Arial" w:cs="Arial"/>
          <w:lang w:val="es-MX"/>
        </w:rPr>
        <w:t xml:space="preserve">deberán verificar la información sobre las </w:t>
      </w:r>
      <w:r w:rsidR="00A32BE6" w:rsidRPr="003503FE">
        <w:rPr>
          <w:rFonts w:ascii="Arial" w:eastAsia="Calibri" w:hAnsi="Arial" w:cs="Arial"/>
          <w:lang w:val="es-MX"/>
        </w:rPr>
        <w:t>multas, sanciones y clausulas penales impuestas a un proponente en el RUP y no</w:t>
      </w:r>
      <w:r w:rsidR="007762A0" w:rsidRPr="003503FE">
        <w:rPr>
          <w:rFonts w:ascii="Arial" w:eastAsia="Calibri" w:hAnsi="Arial" w:cs="Arial"/>
          <w:lang w:val="es-MX"/>
        </w:rPr>
        <w:t xml:space="preserve"> podrán</w:t>
      </w:r>
      <w:r w:rsidR="00872349" w:rsidRPr="003503FE">
        <w:rPr>
          <w:rFonts w:ascii="Arial" w:eastAsia="Calibri" w:hAnsi="Arial" w:cs="Arial"/>
          <w:lang w:val="es-MX"/>
        </w:rPr>
        <w:t xml:space="preserve"> </w:t>
      </w:r>
      <w:r w:rsidR="00D3762F" w:rsidRPr="003503FE">
        <w:rPr>
          <w:rFonts w:ascii="Arial" w:eastAsia="Calibri" w:hAnsi="Arial" w:cs="Arial"/>
          <w:lang w:val="es-MX"/>
        </w:rPr>
        <w:t>solicitar información diferente</w:t>
      </w:r>
      <w:r w:rsidR="00A32BE6" w:rsidRPr="003503FE">
        <w:rPr>
          <w:rFonts w:ascii="Arial" w:eastAsia="Calibri" w:hAnsi="Arial" w:cs="Arial"/>
          <w:lang w:val="es-MX"/>
        </w:rPr>
        <w:t xml:space="preserve"> a esta</w:t>
      </w:r>
      <w:r w:rsidR="00D3762F" w:rsidRPr="003503FE">
        <w:rPr>
          <w:rFonts w:ascii="Arial" w:eastAsia="Calibri" w:hAnsi="Arial" w:cs="Arial"/>
          <w:lang w:val="es-MX"/>
        </w:rPr>
        <w:t xml:space="preserve">. </w:t>
      </w:r>
      <w:r w:rsidR="007762A0" w:rsidRPr="003503FE">
        <w:rPr>
          <w:rFonts w:ascii="Arial" w:eastAsia="Calibri" w:hAnsi="Arial" w:cs="Arial"/>
          <w:lang w:val="es-MX"/>
        </w:rPr>
        <w:t>Ahora bien, en los casos en los que no es exigible el RUP, de acuerdo con l</w:t>
      </w:r>
      <w:r w:rsidR="002C7B24" w:rsidRPr="003503FE">
        <w:rPr>
          <w:rFonts w:ascii="Arial" w:eastAsia="Calibri" w:hAnsi="Arial" w:cs="Arial"/>
          <w:lang w:val="es-MX"/>
        </w:rPr>
        <w:t>a excepciones</w:t>
      </w:r>
      <w:r w:rsidR="007762A0" w:rsidRPr="003503FE">
        <w:rPr>
          <w:rFonts w:ascii="Arial" w:eastAsia="Calibri" w:hAnsi="Arial" w:cs="Arial"/>
          <w:lang w:val="es-MX"/>
        </w:rPr>
        <w:t xml:space="preserve"> señalad</w:t>
      </w:r>
      <w:r w:rsidR="002C7B24" w:rsidRPr="003503FE">
        <w:rPr>
          <w:rFonts w:ascii="Arial" w:eastAsia="Calibri" w:hAnsi="Arial" w:cs="Arial"/>
          <w:lang w:val="es-MX"/>
        </w:rPr>
        <w:t>as</w:t>
      </w:r>
      <w:r w:rsidR="007762A0" w:rsidRPr="003503FE">
        <w:rPr>
          <w:rFonts w:ascii="Arial" w:eastAsia="Calibri" w:hAnsi="Arial" w:cs="Arial"/>
          <w:lang w:val="es-MX"/>
        </w:rPr>
        <w:t xml:space="preserve"> en el numeral 2.1 de este concepto, </w:t>
      </w:r>
      <w:r w:rsidR="00C41A3D" w:rsidRPr="003503FE">
        <w:rPr>
          <w:rFonts w:ascii="Arial" w:eastAsia="Calibri" w:hAnsi="Arial" w:cs="Arial"/>
          <w:lang w:val="es-MX"/>
        </w:rPr>
        <w:t xml:space="preserve">las entidades estatales, en el marco de la autonomía </w:t>
      </w:r>
      <w:r w:rsidR="00365DCF" w:rsidRPr="003503FE">
        <w:rPr>
          <w:rFonts w:ascii="Arial" w:eastAsia="Calibri" w:hAnsi="Arial" w:cs="Arial"/>
        </w:rPr>
        <w:t xml:space="preserve">y la potestad de dirección que le asiste en los procesos de contratación debe establecer en los Documentos del Proceso –particularmente en el pliego de condiciones o la invitación– los certificados que exigirá a los proponentes para acreditar ciertas condiciones, como es el caso de la imposiciones de multas, sanciones y clausulas penales, contando con cierta discrecionalidad para establecer que documentos son adecuados y proporcionales para verificar </w:t>
      </w:r>
      <w:r w:rsidR="002C7B24" w:rsidRPr="003503FE">
        <w:rPr>
          <w:rFonts w:ascii="Arial" w:eastAsia="Calibri" w:hAnsi="Arial" w:cs="Arial"/>
        </w:rPr>
        <w:t xml:space="preserve">la información que se requiere. </w:t>
      </w:r>
    </w:p>
    <w:p w14:paraId="0EE5118B" w14:textId="77777777" w:rsidR="002D3F28" w:rsidRPr="00EC4EBA" w:rsidRDefault="002D3F28" w:rsidP="008D17E9">
      <w:pPr>
        <w:spacing w:after="0" w:line="276" w:lineRule="auto"/>
        <w:jc w:val="both"/>
        <w:rPr>
          <w:rFonts w:ascii="Arial" w:hAnsi="Arial" w:cs="Arial"/>
        </w:rPr>
      </w:pPr>
    </w:p>
    <w:p w14:paraId="5F9F2A9E" w14:textId="77777777" w:rsidR="005F2C99" w:rsidRPr="00EC4EBA" w:rsidRDefault="005F2C99" w:rsidP="005F2C99">
      <w:pPr>
        <w:widowControl w:val="0"/>
        <w:autoSpaceDE w:val="0"/>
        <w:autoSpaceDN w:val="0"/>
        <w:spacing w:after="0" w:line="276" w:lineRule="auto"/>
        <w:contextualSpacing/>
        <w:jc w:val="both"/>
        <w:rPr>
          <w:rFonts w:ascii="Times New Roman" w:eastAsia="Times New Roman" w:hAnsi="Times New Roman" w:cs="Times New Roman"/>
          <w:lang w:eastAsia="es-ES_tradnl"/>
        </w:rPr>
      </w:pPr>
      <w:r w:rsidRPr="00EC4EBA">
        <w:rPr>
          <w:rFonts w:ascii="Arial" w:eastAsia="Calibri" w:hAnsi="Arial" w:cs="Arial"/>
        </w:rPr>
        <w:t>Este concepto tiene el alcance previsto en el artículo 28 del Código de Procedimiento Administrativo y de lo Contencioso Administrativo.</w:t>
      </w:r>
      <w:r w:rsidRPr="00EC4EBA">
        <w:rPr>
          <w:rFonts w:ascii="Arial" w:eastAsia="Calibri" w:hAnsi="Arial" w:cs="Arial"/>
          <w:noProof/>
          <w:lang w:eastAsia="es-CO"/>
        </w:rPr>
        <mc:AlternateContent>
          <mc:Choice Requires="wps">
            <w:drawing>
              <wp:anchor distT="0" distB="0" distL="114300" distR="114300" simplePos="0" relativeHeight="251659264" behindDoc="0" locked="0" layoutInCell="1" allowOverlap="1" wp14:anchorId="1A1D18EB" wp14:editId="6951B92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76900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7832C770" w14:textId="77777777" w:rsidR="005F2C99" w:rsidRPr="00EC4EBA" w:rsidRDefault="005F2C99" w:rsidP="005F2C99">
      <w:pPr>
        <w:spacing w:after="120" w:line="276" w:lineRule="auto"/>
        <w:jc w:val="both"/>
        <w:rPr>
          <w:rFonts w:ascii="Times New Roman" w:eastAsia="Times New Roman" w:hAnsi="Times New Roman" w:cs="Times New Roman"/>
          <w:lang w:eastAsia="es-ES_tradnl"/>
        </w:rPr>
      </w:pPr>
    </w:p>
    <w:p w14:paraId="4F19FDEF" w14:textId="77777777" w:rsidR="005F2C99" w:rsidRPr="00EC4EBA" w:rsidRDefault="005F2C99" w:rsidP="005F2C99">
      <w:pPr>
        <w:spacing w:after="200" w:line="276" w:lineRule="auto"/>
        <w:jc w:val="both"/>
        <w:rPr>
          <w:rFonts w:ascii="Arial" w:eastAsia="Times New Roman" w:hAnsi="Arial" w:cs="Arial"/>
          <w:lang w:eastAsia="es-CO"/>
        </w:rPr>
      </w:pPr>
      <w:r w:rsidRPr="00EC4EBA">
        <w:rPr>
          <w:rFonts w:ascii="Arial" w:eastAsia="Times New Roman" w:hAnsi="Arial" w:cs="Arial"/>
          <w:lang w:eastAsia="es-CO"/>
        </w:rPr>
        <w:t>Atentamente,</w:t>
      </w:r>
    </w:p>
    <w:bookmarkEnd w:id="0"/>
    <w:bookmarkEnd w:id="10"/>
    <w:p w14:paraId="332FA98B" w14:textId="49B0CF3C" w:rsidR="005F2C99" w:rsidRPr="005F2C99" w:rsidRDefault="00593B60" w:rsidP="005F2C99">
      <w:pPr>
        <w:spacing w:after="200" w:line="276" w:lineRule="auto"/>
        <w:jc w:val="center"/>
        <w:rPr>
          <w:rFonts w:ascii="Arial" w:eastAsia="Calibri" w:hAnsi="Arial" w:cs="Arial"/>
          <w:b/>
          <w:bCs/>
          <w:color w:val="FF0000"/>
          <w:sz w:val="20"/>
          <w:szCs w:val="20"/>
          <w:lang w:val="es-MX"/>
        </w:rPr>
      </w:pPr>
      <w:r>
        <w:rPr>
          <w:rFonts w:ascii="Arial" w:eastAsia="Calibri" w:hAnsi="Arial" w:cs="Arial"/>
          <w:b/>
          <w:bCs/>
          <w:noProof/>
          <w:color w:val="FF0000"/>
          <w:sz w:val="20"/>
          <w:szCs w:val="20"/>
          <w:lang w:val="es-MX"/>
        </w:rPr>
        <w:drawing>
          <wp:inline distT="0" distB="0" distL="0" distR="0" wp14:anchorId="076D1B94" wp14:editId="71F52608">
            <wp:extent cx="2426074" cy="10743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7274" cy="1079338"/>
                    </a:xfrm>
                    <a:prstGeom prst="rect">
                      <a:avLst/>
                    </a:prstGeom>
                    <a:noFill/>
                    <a:ln>
                      <a:noFill/>
                    </a:ln>
                  </pic:spPr>
                </pic:pic>
              </a:graphicData>
            </a:graphic>
          </wp:inline>
        </w:drawing>
      </w:r>
      <w:r>
        <w:rPr>
          <w:color w:val="000000"/>
          <w:shd w:val="clear" w:color="auto" w:fill="FFFFFF"/>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9018FF" w:rsidRPr="009018FF" w14:paraId="584AEA3C" w14:textId="77777777" w:rsidTr="00970536">
        <w:trPr>
          <w:trHeight w:val="315"/>
        </w:trPr>
        <w:tc>
          <w:tcPr>
            <w:tcW w:w="812" w:type="dxa"/>
            <w:vAlign w:val="center"/>
            <w:hideMark/>
          </w:tcPr>
          <w:p w14:paraId="46880CAB" w14:textId="77777777" w:rsidR="005F2C99" w:rsidRPr="009018FF" w:rsidRDefault="005F2C99" w:rsidP="00970536">
            <w:pPr>
              <w:rPr>
                <w:rFonts w:ascii="Arial" w:eastAsia="Times New Roman" w:hAnsi="Arial" w:cs="Arial"/>
                <w:sz w:val="16"/>
                <w:szCs w:val="16"/>
                <w:lang w:eastAsia="es-ES"/>
              </w:rPr>
            </w:pPr>
            <w:r w:rsidRPr="009018FF">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6C5AC76C" w14:textId="77777777" w:rsidR="005F2C99" w:rsidRPr="009018FF" w:rsidRDefault="005F2C99" w:rsidP="00970536">
            <w:pPr>
              <w:rPr>
                <w:rFonts w:ascii="Arial" w:eastAsia="Times New Roman" w:hAnsi="Arial" w:cs="Arial"/>
                <w:sz w:val="16"/>
                <w:szCs w:val="16"/>
                <w:lang w:eastAsia="es-ES"/>
              </w:rPr>
            </w:pPr>
            <w:r w:rsidRPr="009018FF">
              <w:rPr>
                <w:rFonts w:ascii="Arial" w:eastAsia="Times New Roman" w:hAnsi="Arial" w:cs="Arial"/>
                <w:sz w:val="16"/>
                <w:szCs w:val="16"/>
                <w:lang w:eastAsia="es-ES"/>
              </w:rPr>
              <w:t>Diana Lucia Saavedra Castañeda</w:t>
            </w:r>
          </w:p>
          <w:p w14:paraId="71A16920" w14:textId="77777777" w:rsidR="005F2C99" w:rsidRPr="009018FF" w:rsidRDefault="005F2C99" w:rsidP="00970536">
            <w:pPr>
              <w:rPr>
                <w:rFonts w:ascii="Arial" w:eastAsia="Times New Roman" w:hAnsi="Arial" w:cs="Arial"/>
                <w:sz w:val="16"/>
                <w:szCs w:val="16"/>
                <w:lang w:eastAsia="es-ES"/>
              </w:rPr>
            </w:pPr>
            <w:r w:rsidRPr="009018FF">
              <w:rPr>
                <w:rFonts w:ascii="Arial" w:eastAsia="Times New Roman" w:hAnsi="Arial" w:cs="Arial"/>
                <w:sz w:val="16"/>
                <w:szCs w:val="16"/>
                <w:lang w:eastAsia="es-ES"/>
              </w:rPr>
              <w:t>Contratista de la Subdirección de Gestión Contractual</w:t>
            </w:r>
          </w:p>
        </w:tc>
      </w:tr>
      <w:tr w:rsidR="009018FF" w:rsidRPr="009018FF" w14:paraId="7CEA7F81" w14:textId="77777777" w:rsidTr="00970536">
        <w:trPr>
          <w:trHeight w:val="330"/>
        </w:trPr>
        <w:tc>
          <w:tcPr>
            <w:tcW w:w="812" w:type="dxa"/>
            <w:vAlign w:val="center"/>
            <w:hideMark/>
          </w:tcPr>
          <w:p w14:paraId="4D08D225" w14:textId="77777777" w:rsidR="005F2C99" w:rsidRPr="009018FF" w:rsidRDefault="005F2C99" w:rsidP="00970536">
            <w:pPr>
              <w:rPr>
                <w:rFonts w:ascii="Arial" w:eastAsia="Times New Roman" w:hAnsi="Arial" w:cs="Arial"/>
                <w:sz w:val="16"/>
                <w:szCs w:val="16"/>
                <w:lang w:eastAsia="es-ES"/>
              </w:rPr>
            </w:pPr>
            <w:r w:rsidRPr="009018FF">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6672A0D1" w14:textId="77777777" w:rsidR="005F2C99" w:rsidRPr="009018FF" w:rsidRDefault="005F2C99" w:rsidP="00970536">
            <w:pPr>
              <w:rPr>
                <w:rFonts w:eastAsia="Times New Roman"/>
                <w:sz w:val="16"/>
                <w:szCs w:val="16"/>
                <w:lang w:eastAsia="es-ES"/>
              </w:rPr>
            </w:pPr>
            <w:r w:rsidRPr="009018FF">
              <w:rPr>
                <w:rFonts w:ascii="Arial" w:eastAsia="Times New Roman" w:hAnsi="Arial" w:cs="Arial"/>
                <w:sz w:val="16"/>
                <w:szCs w:val="16"/>
                <w:lang w:eastAsia="es-ES"/>
              </w:rPr>
              <w:t>Alejandro Sarmiento Cantillo</w:t>
            </w:r>
            <w:r w:rsidRPr="009018FF">
              <w:rPr>
                <w:rFonts w:eastAsia="Times New Roman"/>
                <w:sz w:val="16"/>
                <w:szCs w:val="16"/>
                <w:lang w:eastAsia="es-ES"/>
              </w:rPr>
              <w:t> </w:t>
            </w:r>
          </w:p>
          <w:p w14:paraId="569067C9" w14:textId="77777777" w:rsidR="005F2C99" w:rsidRPr="009018FF" w:rsidRDefault="005F2C99" w:rsidP="00970536">
            <w:pPr>
              <w:rPr>
                <w:rFonts w:ascii="Arial" w:eastAsia="Times New Roman" w:hAnsi="Arial" w:cs="Arial"/>
                <w:sz w:val="16"/>
                <w:szCs w:val="16"/>
                <w:lang w:eastAsia="es-ES"/>
              </w:rPr>
            </w:pPr>
            <w:r w:rsidRPr="009018FF">
              <w:rPr>
                <w:rFonts w:ascii="Arial" w:eastAsia="Times New Roman" w:hAnsi="Arial" w:cs="Arial"/>
                <w:sz w:val="16"/>
                <w:szCs w:val="16"/>
                <w:lang w:eastAsia="es-ES"/>
              </w:rPr>
              <w:t>Gestor T1-15 de la Subdirección de Gestión Contractual</w:t>
            </w:r>
          </w:p>
        </w:tc>
      </w:tr>
      <w:tr w:rsidR="009018FF" w:rsidRPr="009018FF" w14:paraId="6F7A325B" w14:textId="77777777" w:rsidTr="00970536">
        <w:trPr>
          <w:trHeight w:val="300"/>
        </w:trPr>
        <w:tc>
          <w:tcPr>
            <w:tcW w:w="812" w:type="dxa"/>
            <w:vAlign w:val="center"/>
            <w:hideMark/>
          </w:tcPr>
          <w:p w14:paraId="4B2A70DF" w14:textId="77777777" w:rsidR="005F2C99" w:rsidRPr="009018FF" w:rsidRDefault="005F2C99" w:rsidP="00970536">
            <w:pPr>
              <w:rPr>
                <w:rFonts w:ascii="Arial" w:eastAsia="Times New Roman" w:hAnsi="Arial" w:cs="Arial"/>
                <w:sz w:val="16"/>
                <w:szCs w:val="16"/>
                <w:lang w:eastAsia="es-ES"/>
              </w:rPr>
            </w:pPr>
            <w:r w:rsidRPr="009018FF">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36390257" w14:textId="77777777" w:rsidR="005F2C99" w:rsidRPr="009018FF" w:rsidRDefault="005F2C99" w:rsidP="00970536">
            <w:pPr>
              <w:rPr>
                <w:rFonts w:ascii="Arial" w:eastAsia="Times New Roman" w:hAnsi="Arial" w:cs="Arial"/>
                <w:sz w:val="16"/>
                <w:szCs w:val="16"/>
                <w:lang w:eastAsia="es-ES"/>
              </w:rPr>
            </w:pPr>
            <w:r w:rsidRPr="009018FF">
              <w:rPr>
                <w:rFonts w:ascii="Arial" w:eastAsia="Times New Roman" w:hAnsi="Arial" w:cs="Arial"/>
                <w:sz w:val="16"/>
                <w:szCs w:val="16"/>
                <w:lang w:eastAsia="es-ES"/>
              </w:rPr>
              <w:t>Jorge Augusto Tirado Navarro</w:t>
            </w:r>
          </w:p>
          <w:p w14:paraId="441B8997" w14:textId="77777777" w:rsidR="005F2C99" w:rsidRPr="009018FF" w:rsidRDefault="005F2C99" w:rsidP="00970536">
            <w:pPr>
              <w:rPr>
                <w:rFonts w:ascii="Arial" w:eastAsia="Times New Roman" w:hAnsi="Arial" w:cs="Arial"/>
                <w:sz w:val="16"/>
                <w:szCs w:val="16"/>
                <w:lang w:eastAsia="es-ES"/>
              </w:rPr>
            </w:pPr>
            <w:r w:rsidRPr="009018FF">
              <w:rPr>
                <w:rFonts w:ascii="Arial" w:eastAsia="Times New Roman" w:hAnsi="Arial" w:cs="Arial"/>
                <w:sz w:val="16"/>
                <w:szCs w:val="16"/>
                <w:lang w:eastAsia="es-ES"/>
              </w:rPr>
              <w:t>Subdirector de Gestión Contractual ANCP – CCE</w:t>
            </w:r>
          </w:p>
        </w:tc>
      </w:tr>
      <w:bookmarkEnd w:id="1"/>
      <w:bookmarkEnd w:id="2"/>
    </w:tbl>
    <w:p w14:paraId="127622CE" w14:textId="77777777" w:rsidR="001A0166" w:rsidRPr="005F2C99" w:rsidRDefault="001A0166" w:rsidP="004B5310">
      <w:pPr>
        <w:rPr>
          <w:color w:val="FF0000"/>
        </w:rPr>
      </w:pPr>
    </w:p>
    <w:sectPr w:rsidR="001A0166" w:rsidRPr="005F2C99" w:rsidSect="003D603B">
      <w:headerReference w:type="default" r:id="rId12"/>
      <w:footerReference w:type="default" r:id="rId13"/>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FAF4" w14:textId="77777777" w:rsidR="00232EC6" w:rsidRDefault="00232EC6" w:rsidP="005F2C99">
      <w:pPr>
        <w:spacing w:after="0" w:line="240" w:lineRule="auto"/>
      </w:pPr>
      <w:r>
        <w:separator/>
      </w:r>
    </w:p>
  </w:endnote>
  <w:endnote w:type="continuationSeparator" w:id="0">
    <w:p w14:paraId="074C71DD" w14:textId="77777777" w:rsidR="00232EC6" w:rsidRDefault="00232EC6" w:rsidP="005F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FB49" w14:textId="77777777" w:rsidR="00412132" w:rsidRDefault="00232EC6" w:rsidP="00B6444C">
    <w:pPr>
      <w:pStyle w:val="Sinespaciado"/>
      <w:rPr>
        <w:rFonts w:ascii="Arial" w:hAnsi="Arial" w:cs="Arial"/>
        <w:sz w:val="18"/>
        <w:szCs w:val="18"/>
      </w:rPr>
    </w:pPr>
  </w:p>
  <w:p w14:paraId="606F09B1" w14:textId="77777777" w:rsidR="00412132" w:rsidRDefault="00232EC6" w:rsidP="00B6444C">
    <w:pPr>
      <w:pStyle w:val="Sinespaciado"/>
      <w:rPr>
        <w:rFonts w:ascii="Arial" w:hAnsi="Arial" w:cs="Arial"/>
        <w:sz w:val="18"/>
        <w:szCs w:val="18"/>
      </w:rPr>
    </w:pPr>
  </w:p>
  <w:p w14:paraId="1ED3B3FA" w14:textId="77777777" w:rsidR="00412132" w:rsidRPr="00921225" w:rsidRDefault="003D3689" w:rsidP="005A79FE">
    <w:pPr>
      <w:pStyle w:val="Piedepgina"/>
      <w:jc w:val="right"/>
      <w:rPr>
        <w:rFonts w:ascii="Arial" w:hAnsi="Arial" w:cs="Arial"/>
        <w:color w:val="7F7F7F"/>
        <w:sz w:val="16"/>
        <w:szCs w:val="16"/>
      </w:rPr>
    </w:pPr>
    <w:r w:rsidRPr="00921225">
      <w:rPr>
        <w:rFonts w:ascii="Arial" w:hAnsi="Arial" w:cs="Arial"/>
        <w:bCs/>
        <w:color w:val="7F7F7F"/>
        <w:sz w:val="16"/>
        <w:szCs w:val="16"/>
      </w:rPr>
      <w:t xml:space="preserve">Página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PAGE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r w:rsidRPr="00921225">
      <w:rPr>
        <w:rFonts w:ascii="Arial" w:hAnsi="Arial" w:cs="Arial"/>
        <w:color w:val="7F7F7F"/>
        <w:sz w:val="16"/>
        <w:szCs w:val="16"/>
      </w:rPr>
      <w:t xml:space="preserve"> de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NUMPAGES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p>
  <w:p w14:paraId="3AAC4E25" w14:textId="77777777" w:rsidR="00412132" w:rsidRDefault="003D3689" w:rsidP="007B0854">
    <w:pPr>
      <w:pStyle w:val="Piedepgina"/>
      <w:jc w:val="center"/>
      <w:rPr>
        <w:lang w:val="es-ES"/>
      </w:rPr>
    </w:pPr>
    <w:r>
      <w:rPr>
        <w:noProof/>
        <w:lang w:val="es-CO" w:eastAsia="es-CO"/>
      </w:rPr>
      <w:drawing>
        <wp:inline distT="0" distB="0" distL="0" distR="0" wp14:anchorId="1BFB348B" wp14:editId="0F1B6AC7">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F3EB07D" w14:textId="77777777" w:rsidR="00412132" w:rsidRDefault="00232EC6" w:rsidP="007B0854">
    <w:pPr>
      <w:pStyle w:val="Piedepgina"/>
      <w:jc w:val="center"/>
      <w:rPr>
        <w:lang w:val="es-ES"/>
      </w:rPr>
    </w:pPr>
  </w:p>
  <w:p w14:paraId="23059D74" w14:textId="77777777" w:rsidR="00412132" w:rsidRPr="007B0854" w:rsidRDefault="00232EC6"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5B4B" w14:textId="77777777" w:rsidR="00232EC6" w:rsidRDefault="00232EC6" w:rsidP="005F2C99">
      <w:pPr>
        <w:spacing w:after="0" w:line="240" w:lineRule="auto"/>
      </w:pPr>
      <w:r>
        <w:separator/>
      </w:r>
    </w:p>
  </w:footnote>
  <w:footnote w:type="continuationSeparator" w:id="0">
    <w:p w14:paraId="381BDE1A" w14:textId="77777777" w:rsidR="00232EC6" w:rsidRDefault="00232EC6" w:rsidP="005F2C99">
      <w:pPr>
        <w:spacing w:after="0" w:line="240" w:lineRule="auto"/>
      </w:pPr>
      <w:r>
        <w:continuationSeparator/>
      </w:r>
    </w:p>
  </w:footnote>
  <w:footnote w:id="1">
    <w:p w14:paraId="4FEA6BDE" w14:textId="77777777" w:rsidR="00680E6D" w:rsidRPr="004B5310" w:rsidRDefault="00680E6D" w:rsidP="00DE1171">
      <w:pPr>
        <w:pStyle w:val="Textonotapie"/>
        <w:spacing w:after="0" w:line="240" w:lineRule="auto"/>
        <w:ind w:firstLine="708"/>
        <w:contextualSpacing/>
        <w:rPr>
          <w:rFonts w:ascii="Arial" w:eastAsia="Calibri"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 igual forma la Agencia de Nacional de Contratación Pública -Colombia Compra Eficiente- trato el tema objeto de estudio en conceptos del año 2019, identificados con los radicados </w:t>
      </w:r>
      <w:r w:rsidRPr="004B5310">
        <w:rPr>
          <w:rFonts w:ascii="Arial" w:eastAsia="Calibri" w:hAnsi="Arial" w:cs="Arial"/>
          <w:sz w:val="18"/>
          <w:szCs w:val="18"/>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4B5310">
        <w:rPr>
          <w:rFonts w:ascii="Arial" w:hAnsi="Arial" w:cs="Arial"/>
          <w:sz w:val="18"/>
          <w:szCs w:val="18"/>
        </w:rPr>
        <w:t xml:space="preserve">4201913000006797 del 19 de noviembre de 2019, </w:t>
      </w:r>
      <w:r w:rsidRPr="004B5310">
        <w:rPr>
          <w:rFonts w:ascii="Arial" w:eastAsia="Calibri" w:hAnsi="Arial" w:cs="Arial"/>
          <w:sz w:val="18"/>
          <w:szCs w:val="18"/>
        </w:rPr>
        <w:t xml:space="preserve">4201912000007182 del 3 de diciembre de 2019, 4201912000007512 del 16 de diciembre de 2019, 4201912000007607 del 9 de diciembre de 2019. </w:t>
      </w:r>
    </w:p>
    <w:p w14:paraId="6F38F518" w14:textId="77777777" w:rsidR="00680E6D" w:rsidRPr="004B5310" w:rsidRDefault="00680E6D" w:rsidP="00DE1171">
      <w:pPr>
        <w:pStyle w:val="Textonotapie"/>
        <w:spacing w:after="0" w:line="240" w:lineRule="auto"/>
        <w:ind w:firstLine="708"/>
        <w:contextualSpacing/>
        <w:rPr>
          <w:rFonts w:ascii="Arial" w:hAnsi="Arial" w:cs="Arial"/>
          <w:sz w:val="18"/>
          <w:szCs w:val="18"/>
          <w:lang w:val="es-CO"/>
        </w:rPr>
      </w:pPr>
    </w:p>
  </w:footnote>
  <w:footnote w:id="2">
    <w:p w14:paraId="63B359A2" w14:textId="77777777" w:rsidR="0066787D" w:rsidRPr="004B5310" w:rsidRDefault="0066787D" w:rsidP="00DE1171">
      <w:pPr>
        <w:pStyle w:val="Textonotapie"/>
        <w:spacing w:after="0" w:line="240" w:lineRule="auto"/>
        <w:ind w:firstLine="708"/>
        <w:contextualSpacing/>
        <w:rPr>
          <w:rFonts w:ascii="Arial" w:hAnsi="Arial" w:cs="Arial"/>
          <w:color w:val="000000"/>
          <w:sz w:val="18"/>
          <w:szCs w:val="18"/>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Consejo de Estado. Sección Tercera. Subsección B. Sentencia del 6 de junio de 2013. </w:t>
      </w:r>
      <w:proofErr w:type="spellStart"/>
      <w:r w:rsidRPr="004B5310">
        <w:rPr>
          <w:rFonts w:ascii="Arial" w:hAnsi="Arial" w:cs="Arial"/>
          <w:color w:val="000000"/>
          <w:sz w:val="18"/>
          <w:szCs w:val="18"/>
        </w:rPr>
        <w:t>Exp</w:t>
      </w:r>
      <w:proofErr w:type="spellEnd"/>
      <w:r w:rsidRPr="004B5310">
        <w:rPr>
          <w:rFonts w:ascii="Arial" w:hAnsi="Arial" w:cs="Arial"/>
          <w:color w:val="000000"/>
          <w:sz w:val="18"/>
          <w:szCs w:val="18"/>
        </w:rPr>
        <w:t>. 25151. C.P. Stella Conto Díaz del Castillo.</w:t>
      </w:r>
    </w:p>
    <w:p w14:paraId="72827DDB"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rPr>
      </w:pPr>
    </w:p>
  </w:footnote>
  <w:footnote w:id="3">
    <w:p w14:paraId="13232AE1"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Ley 1150 de 2007: «Artículo 6. De la verificación de las condiciones de los proponentes.</w:t>
      </w:r>
    </w:p>
    <w:p w14:paraId="4730B801"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w:t>
      </w:r>
    </w:p>
    <w:p w14:paraId="330FD608"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»6.1. […]</w:t>
      </w:r>
    </w:p>
    <w:p w14:paraId="0192B851"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74B5B2DF"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799BFEBC"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w:t>
      </w:r>
    </w:p>
    <w:p w14:paraId="70886310"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val="es-ES"/>
        </w:rPr>
      </w:pPr>
    </w:p>
  </w:footnote>
  <w:footnote w:id="4">
    <w:p w14:paraId="3B4D44E3"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Ley 1150 de 2007: «Artículo 5. De la selección objetiva.</w:t>
      </w:r>
      <w:r w:rsidRPr="004B5310">
        <w:rPr>
          <w:rFonts w:ascii="Arial" w:hAnsi="Arial" w:cs="Arial"/>
          <w:color w:val="000000"/>
          <w:sz w:val="18"/>
          <w:szCs w:val="18"/>
          <w:lang w:eastAsia="es-CO"/>
        </w:rPr>
        <w:t xml:space="preserve"> </w:t>
      </w:r>
    </w:p>
    <w:p w14:paraId="1E589DD8"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w:t>
      </w:r>
    </w:p>
    <w:p w14:paraId="5A674659" w14:textId="1385298A" w:rsidR="0066787D" w:rsidRPr="004B5310" w:rsidRDefault="0066787D" w:rsidP="00DE1171">
      <w:pPr>
        <w:pStyle w:val="Textonotapie"/>
        <w:spacing w:after="0" w:line="240" w:lineRule="auto"/>
        <w:ind w:firstLine="709"/>
        <w:contextualSpacing/>
        <w:rPr>
          <w:rFonts w:ascii="Arial" w:hAnsi="Arial" w:cs="Arial"/>
          <w:color w:val="000000"/>
          <w:sz w:val="18"/>
          <w:szCs w:val="18"/>
          <w:lang w:val="es-ES"/>
        </w:rPr>
      </w:pPr>
      <w:r w:rsidRPr="004B5310">
        <w:rPr>
          <w:rFonts w:ascii="Arial" w:hAnsi="Arial" w:cs="Arial"/>
          <w:color w:val="000000"/>
          <w:sz w:val="18"/>
          <w:szCs w:val="18"/>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005041CF">
        <w:rPr>
          <w:rFonts w:ascii="Arial" w:hAnsi="Arial" w:cs="Arial"/>
          <w:color w:val="000000"/>
          <w:sz w:val="18"/>
          <w:szCs w:val="18"/>
          <w:lang w:eastAsia="es-CO"/>
        </w:rPr>
        <w:t xml:space="preserve"> </w:t>
      </w:r>
      <w:r w:rsidRPr="004B5310">
        <w:rPr>
          <w:rFonts w:ascii="Arial" w:hAnsi="Arial" w:cs="Arial"/>
          <w:color w:val="000000"/>
          <w:sz w:val="18"/>
          <w:szCs w:val="18"/>
          <w:lang w:eastAsia="es-CO"/>
        </w:rPr>
        <w:t>[…]».</w:t>
      </w:r>
    </w:p>
  </w:footnote>
  <w:footnote w:id="5">
    <w:p w14:paraId="4702B134"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w:t>
      </w:r>
      <w:r w:rsidRPr="004B5310">
        <w:rPr>
          <w:rFonts w:ascii="Arial" w:hAnsi="Arial" w:cs="Arial"/>
          <w:color w:val="000000"/>
          <w:sz w:val="18"/>
          <w:szCs w:val="18"/>
          <w:lang w:eastAsia="es-CO"/>
        </w:rPr>
        <w:t xml:space="preserve">Consejo de Estado. Sección Tercera. Subsección A. Sentencia del 12 de febrero de 2014. </w:t>
      </w:r>
      <w:proofErr w:type="spellStart"/>
      <w:r w:rsidRPr="004B5310">
        <w:rPr>
          <w:rFonts w:ascii="Arial" w:hAnsi="Arial" w:cs="Arial"/>
          <w:color w:val="000000"/>
          <w:sz w:val="18"/>
          <w:szCs w:val="18"/>
          <w:lang w:eastAsia="es-CO"/>
        </w:rPr>
        <w:t>Exp</w:t>
      </w:r>
      <w:proofErr w:type="spellEnd"/>
      <w:r w:rsidRPr="004B5310">
        <w:rPr>
          <w:rFonts w:ascii="Arial" w:hAnsi="Arial" w:cs="Arial"/>
          <w:color w:val="000000"/>
          <w:sz w:val="18"/>
          <w:szCs w:val="18"/>
          <w:lang w:eastAsia="es-CO"/>
        </w:rPr>
        <w:t>.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4D54EECF"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val="es-ES"/>
        </w:rPr>
      </w:pPr>
    </w:p>
  </w:footnote>
  <w:footnote w:id="6">
    <w:p w14:paraId="4E5A49A6"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w:t>
      </w:r>
      <w:r w:rsidRPr="004B5310">
        <w:rPr>
          <w:rFonts w:ascii="Arial" w:hAnsi="Arial" w:cs="Arial"/>
          <w:color w:val="000000"/>
          <w:sz w:val="18"/>
          <w:szCs w:val="18"/>
          <w:lang w:eastAsia="es-CO"/>
        </w:rPr>
        <w:t xml:space="preserve">Ley 1150 de 2007: «Artículo 6.  De la verificación de las condiciones de los proponentes. </w:t>
      </w:r>
    </w:p>
    <w:p w14:paraId="78C845F6"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 xml:space="preserve">[...] </w:t>
      </w:r>
    </w:p>
    <w:p w14:paraId="3630D458"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A4F160E"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 xml:space="preserve">[...]». </w:t>
      </w:r>
    </w:p>
    <w:p w14:paraId="170DC1A6"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rPr>
      </w:pPr>
    </w:p>
  </w:footnote>
  <w:footnote w:id="7">
    <w:p w14:paraId="05CAB761"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w:t>
      </w:r>
      <w:r w:rsidRPr="004B5310">
        <w:rPr>
          <w:rFonts w:ascii="Arial" w:hAnsi="Arial" w:cs="Arial"/>
          <w:color w:val="000000"/>
          <w:sz w:val="18"/>
          <w:szCs w:val="18"/>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CE9AEF2"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p>
  </w:footnote>
  <w:footnote w:id="8">
    <w:p w14:paraId="3BE96849"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w:t>
      </w:r>
      <w:r w:rsidRPr="004B5310">
        <w:rPr>
          <w:rFonts w:ascii="Arial" w:hAnsi="Arial" w:cs="Arial"/>
          <w:color w:val="000000"/>
          <w:sz w:val="18"/>
          <w:szCs w:val="18"/>
          <w:lang w:eastAsia="es-CO"/>
        </w:rPr>
        <w:t xml:space="preserve">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w:t>
      </w:r>
      <w:proofErr w:type="spellStart"/>
      <w:r w:rsidRPr="004B5310">
        <w:rPr>
          <w:rFonts w:ascii="Arial" w:hAnsi="Arial" w:cs="Arial"/>
          <w:color w:val="000000"/>
          <w:sz w:val="18"/>
          <w:szCs w:val="18"/>
          <w:lang w:eastAsia="es-CO"/>
        </w:rPr>
        <w:t>esta</w:t>
      </w:r>
      <w:proofErr w:type="spellEnd"/>
      <w:r w:rsidRPr="004B5310">
        <w:rPr>
          <w:rFonts w:ascii="Arial" w:hAnsi="Arial" w:cs="Arial"/>
          <w:color w:val="000000"/>
          <w:sz w:val="18"/>
          <w:szCs w:val="18"/>
          <w:lang w:eastAsia="es-CO"/>
        </w:rPr>
        <w:t xml:space="preserve">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0452815B"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rPr>
        <w:t>»</w:t>
      </w:r>
      <w:r w:rsidRPr="004B5310">
        <w:rPr>
          <w:rFonts w:ascii="Arial" w:hAnsi="Arial" w:cs="Arial"/>
          <w:color w:val="000000"/>
          <w:sz w:val="18"/>
          <w:szCs w:val="18"/>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9">
    <w:p w14:paraId="6C392273"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rPr>
      </w:pPr>
    </w:p>
    <w:p w14:paraId="66EB7DED"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w:t>
      </w:r>
      <w:r w:rsidRPr="004B5310">
        <w:rPr>
          <w:rFonts w:ascii="Arial" w:hAnsi="Arial" w:cs="Arial"/>
          <w:color w:val="000000"/>
          <w:sz w:val="18"/>
          <w:szCs w:val="18"/>
          <w:lang w:eastAsia="es-CO"/>
        </w:rPr>
        <w:t>Consejo de Estado. Sala de Consulta y Servicio Civil. Consulta del 20 de mayo de 2010. Exp.1992. C. P. Enrique José Arboleda Perdomo.</w:t>
      </w:r>
    </w:p>
    <w:p w14:paraId="734AD984"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rPr>
      </w:pPr>
    </w:p>
  </w:footnote>
  <w:footnote w:id="10">
    <w:p w14:paraId="198796CA"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1B0845A" w14:textId="77777777" w:rsidR="0066787D" w:rsidRPr="004B5310" w:rsidRDefault="0066787D" w:rsidP="00DE1171">
      <w:pPr>
        <w:pStyle w:val="Textonotapie"/>
        <w:spacing w:after="0" w:line="240" w:lineRule="auto"/>
        <w:ind w:firstLine="708"/>
        <w:contextualSpacing/>
        <w:rPr>
          <w:rFonts w:ascii="Arial" w:hAnsi="Arial" w:cs="Arial"/>
          <w:color w:val="000000"/>
          <w:sz w:val="18"/>
          <w:szCs w:val="18"/>
        </w:rPr>
      </w:pPr>
      <w:r w:rsidRPr="004B5310">
        <w:rPr>
          <w:rFonts w:ascii="Arial" w:hAnsi="Arial" w:cs="Arial"/>
          <w:color w:val="000000"/>
          <w:sz w:val="18"/>
          <w:szCs w:val="18"/>
          <w:lang w:eastAsia="es-CO"/>
        </w:rPr>
        <w:t xml:space="preserve">[...]». </w:t>
      </w:r>
      <w:r w:rsidRPr="004B5310">
        <w:rPr>
          <w:rFonts w:ascii="Arial" w:hAnsi="Arial" w:cs="Arial"/>
          <w:color w:val="000000"/>
          <w:sz w:val="18"/>
          <w:szCs w:val="18"/>
        </w:rPr>
        <w:t xml:space="preserve"> </w:t>
      </w:r>
    </w:p>
    <w:p w14:paraId="6BD21050" w14:textId="77777777" w:rsidR="0066787D" w:rsidRPr="004B5310" w:rsidRDefault="0066787D" w:rsidP="00DE1171">
      <w:pPr>
        <w:pStyle w:val="Textonotapie"/>
        <w:spacing w:after="0" w:line="240" w:lineRule="auto"/>
        <w:ind w:firstLine="708"/>
        <w:contextualSpacing/>
        <w:rPr>
          <w:rFonts w:ascii="Arial" w:hAnsi="Arial" w:cs="Arial"/>
          <w:color w:val="000000"/>
          <w:sz w:val="18"/>
          <w:szCs w:val="18"/>
          <w:lang w:val="es-CO"/>
        </w:rPr>
      </w:pPr>
    </w:p>
  </w:footnote>
  <w:footnote w:id="11">
    <w:p w14:paraId="74C8BFED" w14:textId="77777777" w:rsidR="0066787D" w:rsidRPr="004B5310" w:rsidRDefault="0066787D" w:rsidP="00DE1171">
      <w:pPr>
        <w:pStyle w:val="Textonotapie"/>
        <w:spacing w:after="0" w:line="240" w:lineRule="auto"/>
        <w:ind w:firstLine="708"/>
        <w:contextualSpacing/>
        <w:rPr>
          <w:rFonts w:ascii="Arial" w:hAnsi="Arial" w:cs="Arial"/>
          <w:color w:val="000000"/>
          <w:sz w:val="18"/>
          <w:szCs w:val="18"/>
          <w:lang w:val="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lang w:eastAsia="es-CO"/>
        </w:rPr>
        <w:t>«¨[...]</w:t>
      </w:r>
      <w:r w:rsidRPr="004B5310">
        <w:rPr>
          <w:rFonts w:ascii="Arial" w:hAnsi="Arial" w:cs="Arial"/>
          <w:color w:val="000000"/>
          <w:sz w:val="18"/>
          <w:szCs w:val="18"/>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4B5310">
        <w:rPr>
          <w:rFonts w:ascii="Arial" w:hAnsi="Arial" w:cs="Arial"/>
          <w:color w:val="000000"/>
          <w:sz w:val="18"/>
          <w:szCs w:val="18"/>
          <w:lang w:eastAsia="es-CO"/>
        </w:rPr>
        <w:t xml:space="preserve">[...]». </w:t>
      </w:r>
      <w:r w:rsidRPr="004B5310">
        <w:rPr>
          <w:rFonts w:ascii="Arial" w:hAnsi="Arial" w:cs="Arial"/>
          <w:color w:val="000000"/>
          <w:sz w:val="18"/>
          <w:szCs w:val="18"/>
        </w:rPr>
        <w:t xml:space="preserve"> </w:t>
      </w:r>
    </w:p>
    <w:p w14:paraId="5477E966"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rPr>
      </w:pPr>
    </w:p>
  </w:footnote>
  <w:footnote w:id="12">
    <w:p w14:paraId="1741C31A" w14:textId="77777777" w:rsidR="0066787D" w:rsidRPr="004B5310" w:rsidRDefault="0066787D" w:rsidP="00DE1171">
      <w:pPr>
        <w:pStyle w:val="Textonotapie"/>
        <w:spacing w:after="0" w:line="240" w:lineRule="auto"/>
        <w:ind w:firstLine="708"/>
        <w:contextualSpacing/>
        <w:rPr>
          <w:rFonts w:ascii="Arial" w:hAnsi="Arial" w:cs="Arial"/>
          <w:color w:val="000000"/>
          <w:sz w:val="18"/>
          <w:szCs w:val="18"/>
          <w:shd w:val="clear" w:color="auto" w:fill="FFFFFF"/>
        </w:rPr>
      </w:pPr>
      <w:r w:rsidRPr="004B5310">
        <w:rPr>
          <w:rStyle w:val="Refdenotaalpie"/>
          <w:rFonts w:ascii="Arial" w:hAnsi="Arial" w:cs="Arial"/>
          <w:color w:val="000000"/>
          <w:sz w:val="18"/>
          <w:szCs w:val="18"/>
        </w:rPr>
        <w:footnoteRef/>
      </w:r>
      <w:r w:rsidRPr="004B5310">
        <w:rPr>
          <w:rFonts w:ascii="Arial" w:hAnsi="Arial" w:cs="Arial"/>
          <w:color w:val="000000"/>
          <w:sz w:val="18"/>
          <w:szCs w:val="18"/>
          <w:lang w:eastAsia="es-CO"/>
        </w:rPr>
        <w:t>«</w:t>
      </w:r>
      <w:r w:rsidRPr="004B5310">
        <w:rPr>
          <w:rStyle w:val="Textoennegrita"/>
          <w:rFonts w:ascii="Arial" w:hAnsi="Arial" w:cs="Arial"/>
          <w:color w:val="000000"/>
          <w:sz w:val="18"/>
          <w:szCs w:val="18"/>
          <w:shd w:val="clear" w:color="auto" w:fill="FFFFFF"/>
        </w:rPr>
        <w:t>Artículo 2.2.1.1.1.5.1.</w:t>
      </w:r>
      <w:r w:rsidRPr="004B5310">
        <w:rPr>
          <w:rStyle w:val="Textoennegrita"/>
          <w:rFonts w:ascii="Arial" w:hAnsi="Arial" w:cs="Arial"/>
          <w:i/>
          <w:color w:val="000000"/>
          <w:sz w:val="18"/>
          <w:szCs w:val="18"/>
          <w:shd w:val="clear" w:color="auto" w:fill="FFFFFF"/>
        </w:rPr>
        <w:t> </w:t>
      </w:r>
      <w:r w:rsidRPr="004B5310">
        <w:rPr>
          <w:rStyle w:val="nfasis"/>
          <w:rFonts w:ascii="Arial" w:hAnsi="Arial" w:cs="Arial"/>
          <w:bCs/>
          <w:color w:val="000000"/>
          <w:sz w:val="18"/>
          <w:szCs w:val="18"/>
          <w:shd w:val="clear" w:color="auto" w:fill="FFFFFF"/>
        </w:rPr>
        <w:t>Inscripción, renovación, actualización y cancelación del RUP.</w:t>
      </w:r>
      <w:r w:rsidRPr="004B5310">
        <w:rPr>
          <w:rStyle w:val="nfasis"/>
          <w:rFonts w:ascii="Arial" w:hAnsi="Arial" w:cs="Arial"/>
          <w:color w:val="000000"/>
          <w:sz w:val="18"/>
          <w:szCs w:val="18"/>
          <w:shd w:val="clear" w:color="auto" w:fill="FFFFFF"/>
        </w:rPr>
        <w:t> </w:t>
      </w:r>
      <w:r w:rsidRPr="004B5310">
        <w:rPr>
          <w:rFonts w:ascii="Arial" w:hAnsi="Arial" w:cs="Arial"/>
          <w:color w:val="000000"/>
          <w:sz w:val="18"/>
          <w:szCs w:val="18"/>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4B5310">
        <w:rPr>
          <w:rFonts w:ascii="Arial" w:hAnsi="Arial" w:cs="Arial"/>
          <w:color w:val="000000"/>
          <w:sz w:val="18"/>
          <w:szCs w:val="18"/>
          <w:lang w:eastAsia="es-CO"/>
        </w:rPr>
        <w:t>»</w:t>
      </w:r>
      <w:r w:rsidRPr="004B5310">
        <w:rPr>
          <w:rFonts w:ascii="Arial" w:hAnsi="Arial" w:cs="Arial"/>
          <w:color w:val="000000"/>
          <w:sz w:val="18"/>
          <w:szCs w:val="18"/>
          <w:shd w:val="clear" w:color="auto" w:fill="FFFFFF"/>
        </w:rPr>
        <w:t>.</w:t>
      </w:r>
    </w:p>
    <w:p w14:paraId="50E67624" w14:textId="77777777" w:rsidR="0066787D" w:rsidRPr="004B5310" w:rsidRDefault="0066787D" w:rsidP="00DE1171">
      <w:pPr>
        <w:pStyle w:val="Textonotapie"/>
        <w:spacing w:after="0" w:line="240" w:lineRule="auto"/>
        <w:ind w:firstLine="708"/>
        <w:contextualSpacing/>
        <w:rPr>
          <w:rFonts w:ascii="Arial" w:hAnsi="Arial" w:cs="Arial"/>
          <w:color w:val="000000"/>
          <w:sz w:val="18"/>
          <w:szCs w:val="18"/>
          <w:lang w:val="es-CO"/>
        </w:rPr>
      </w:pPr>
    </w:p>
  </w:footnote>
  <w:footnote w:id="13">
    <w:p w14:paraId="344F17AC"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w:t>
      </w:r>
      <w:r w:rsidRPr="004B5310">
        <w:rPr>
          <w:rFonts w:ascii="Arial" w:hAnsi="Arial" w:cs="Arial"/>
          <w:color w:val="000000"/>
          <w:sz w:val="18"/>
          <w:szCs w:val="18"/>
          <w:lang w:eastAsia="es-CO"/>
        </w:rPr>
        <w:t>Decreto 1082 de 2015:</w:t>
      </w:r>
      <w:r w:rsidRPr="004B5310">
        <w:rPr>
          <w:rFonts w:ascii="Arial" w:hAnsi="Arial" w:cs="Arial"/>
          <w:color w:val="000000"/>
          <w:sz w:val="18"/>
          <w:szCs w:val="18"/>
        </w:rPr>
        <w:t xml:space="preserve"> </w:t>
      </w:r>
      <w:r w:rsidRPr="004B5310">
        <w:rPr>
          <w:rFonts w:ascii="Arial" w:hAnsi="Arial" w:cs="Arial"/>
          <w:color w:val="000000"/>
          <w:sz w:val="18"/>
          <w:szCs w:val="18"/>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594BFE18"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535FCC0A"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eastAsia="es-CO"/>
        </w:rPr>
      </w:pPr>
      <w:r w:rsidRPr="004B5310">
        <w:rPr>
          <w:rFonts w:ascii="Arial" w:hAnsi="Arial" w:cs="Arial"/>
          <w:color w:val="000000"/>
          <w:sz w:val="18"/>
          <w:szCs w:val="18"/>
          <w:lang w:eastAsia="es-CO"/>
        </w:rPr>
        <w:t>«Los inscritos en el RUP pueden en cualquier momento solicitar a la cámara de comercio cancelar su inscripción».</w:t>
      </w:r>
    </w:p>
    <w:p w14:paraId="1D237600" w14:textId="77777777" w:rsidR="0066787D" w:rsidRPr="004B5310" w:rsidRDefault="0066787D" w:rsidP="00DE1171">
      <w:pPr>
        <w:pStyle w:val="Textonotapie"/>
        <w:spacing w:after="0" w:line="240" w:lineRule="auto"/>
        <w:ind w:firstLine="709"/>
        <w:contextualSpacing/>
        <w:rPr>
          <w:rFonts w:ascii="Arial" w:hAnsi="Arial" w:cs="Arial"/>
          <w:color w:val="000000"/>
          <w:sz w:val="18"/>
          <w:szCs w:val="18"/>
          <w:lang w:val="es-ES"/>
        </w:rPr>
      </w:pPr>
    </w:p>
  </w:footnote>
  <w:footnote w:id="14">
    <w:p w14:paraId="747293B9"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A9A031C"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1764062" w14:textId="77777777" w:rsidR="0066787D" w:rsidRPr="004B5310" w:rsidRDefault="0066787D" w:rsidP="00DE1171">
      <w:pPr>
        <w:pStyle w:val="Textonotapie"/>
        <w:spacing w:after="0" w:line="240" w:lineRule="auto"/>
        <w:contextualSpacing/>
        <w:rPr>
          <w:rFonts w:ascii="Arial" w:hAnsi="Arial" w:cs="Arial"/>
          <w:sz w:val="18"/>
          <w:szCs w:val="18"/>
          <w:lang w:val="es-ES"/>
        </w:rPr>
      </w:pPr>
    </w:p>
  </w:footnote>
  <w:footnote w:id="15">
    <w:p w14:paraId="2090C911"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6D7E665E" w14:textId="77777777" w:rsidR="0066787D" w:rsidRPr="004B5310" w:rsidRDefault="0066787D" w:rsidP="00DE1171">
      <w:pPr>
        <w:pStyle w:val="Textonotapie"/>
        <w:spacing w:after="0" w:line="240" w:lineRule="auto"/>
        <w:ind w:firstLine="708"/>
        <w:contextualSpacing/>
        <w:rPr>
          <w:rFonts w:ascii="Arial" w:hAnsi="Arial" w:cs="Arial"/>
          <w:sz w:val="18"/>
          <w:szCs w:val="18"/>
          <w:lang w:val="es-ES"/>
        </w:rPr>
      </w:pPr>
    </w:p>
  </w:footnote>
  <w:footnote w:id="16">
    <w:p w14:paraId="252A1225"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A06E1CB"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5511061B" w14:textId="267EF3F4"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p w14:paraId="6F61AF87" w14:textId="77777777" w:rsidR="00C335D3" w:rsidRPr="004B5310" w:rsidRDefault="00C335D3" w:rsidP="00DE1171">
      <w:pPr>
        <w:pStyle w:val="Textonotapie"/>
        <w:spacing w:after="0" w:line="240" w:lineRule="auto"/>
        <w:ind w:firstLine="708"/>
        <w:contextualSpacing/>
        <w:rPr>
          <w:rFonts w:ascii="Arial" w:hAnsi="Arial" w:cs="Arial"/>
          <w:sz w:val="18"/>
          <w:szCs w:val="18"/>
        </w:rPr>
      </w:pPr>
    </w:p>
  </w:footnote>
  <w:footnote w:id="17">
    <w:p w14:paraId="09242017"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9EFC382"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p w14:paraId="0E2C3210" w14:textId="77777777" w:rsidR="0066787D" w:rsidRPr="004B5310" w:rsidRDefault="0066787D" w:rsidP="00DE1171">
      <w:pPr>
        <w:pStyle w:val="Textonotapie"/>
        <w:spacing w:after="0" w:line="240" w:lineRule="auto"/>
        <w:contextualSpacing/>
        <w:rPr>
          <w:rFonts w:ascii="Arial" w:hAnsi="Arial" w:cs="Arial"/>
          <w:sz w:val="18"/>
          <w:szCs w:val="18"/>
        </w:rPr>
      </w:pPr>
      <w:r w:rsidRPr="004B5310">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0894F80"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18">
    <w:p w14:paraId="030FB898" w14:textId="77777777" w:rsidR="002E6784" w:rsidRPr="004B5310" w:rsidRDefault="002E6784" w:rsidP="00DE1171">
      <w:pPr>
        <w:pStyle w:val="Textonotapie"/>
        <w:spacing w:after="0" w:line="240" w:lineRule="auto"/>
        <w:ind w:firstLine="708"/>
        <w:contextualSpacing/>
        <w:rPr>
          <w:rFonts w:ascii="Arial" w:hAnsi="Arial" w:cs="Arial"/>
          <w:sz w:val="18"/>
          <w:szCs w:val="18"/>
        </w:rPr>
      </w:pPr>
    </w:p>
    <w:p w14:paraId="3EBBCA7A" w14:textId="7C6D2ACB"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5537027"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    Si es una persona natural:</w:t>
      </w:r>
    </w:p>
    <w:p w14:paraId="2D026D19"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1.1. Bienes, obras y servicios que ofrecerá a las Entidades Estatales, identificados con el Clasificador de Bienes y Servicios en el tercer nivel.</w:t>
      </w:r>
    </w:p>
    <w:p w14:paraId="51202542"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footnote>
  <w:footnote w:id="19">
    <w:p w14:paraId="02EF2405" w14:textId="77777777" w:rsidR="002E6784" w:rsidRPr="004B5310" w:rsidRDefault="002E6784" w:rsidP="00DE1171">
      <w:pPr>
        <w:pStyle w:val="Textonotapie"/>
        <w:spacing w:after="0" w:line="240" w:lineRule="auto"/>
        <w:ind w:firstLine="708"/>
        <w:contextualSpacing/>
        <w:rPr>
          <w:rFonts w:ascii="Arial" w:hAnsi="Arial" w:cs="Arial"/>
          <w:sz w:val="18"/>
          <w:szCs w:val="18"/>
        </w:rPr>
      </w:pPr>
    </w:p>
    <w:p w14:paraId="59423243" w14:textId="0D2942AA"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5B8F13A6"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AF1A2F2"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p w14:paraId="4304D702"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2BB9514D"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7F70CE30"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footnote>
  <w:footnote w:id="20">
    <w:p w14:paraId="25A2F1C3"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Esta conclusión cambió respecto del concepto C – 002 del 20 de febrero de 2020, para adecuarla a un mejor entendimiento de las normas sobre la experiencia.</w:t>
      </w:r>
    </w:p>
    <w:p w14:paraId="77219616" w14:textId="77777777" w:rsidR="0066787D" w:rsidRPr="004B5310" w:rsidRDefault="0066787D" w:rsidP="00DE1171">
      <w:pPr>
        <w:pStyle w:val="Textonotapie"/>
        <w:spacing w:after="0" w:line="240" w:lineRule="auto"/>
        <w:ind w:firstLine="708"/>
        <w:contextualSpacing/>
        <w:rPr>
          <w:rFonts w:ascii="Arial" w:hAnsi="Arial" w:cs="Arial"/>
          <w:sz w:val="18"/>
          <w:szCs w:val="18"/>
          <w:lang w:val="es-CO"/>
        </w:rPr>
      </w:pPr>
    </w:p>
  </w:footnote>
  <w:footnote w:id="21">
    <w:p w14:paraId="5E87B86F" w14:textId="77777777" w:rsidR="0066787D" w:rsidRPr="004B5310" w:rsidRDefault="0066787D" w:rsidP="00DE1171">
      <w:pPr>
        <w:pStyle w:val="Textonotapie"/>
        <w:spacing w:after="0" w:line="240" w:lineRule="auto"/>
        <w:ind w:firstLine="708"/>
        <w:contextualSpacing/>
        <w:rPr>
          <w:rFonts w:ascii="Arial" w:hAnsi="Arial" w:cs="Arial"/>
          <w:color w:val="000000"/>
          <w:sz w:val="18"/>
          <w:szCs w:val="18"/>
          <w:lang w:val="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Corte Constitucional. </w:t>
      </w:r>
      <w:r w:rsidRPr="004B5310">
        <w:rPr>
          <w:rFonts w:ascii="Arial" w:hAnsi="Arial" w:cs="Arial"/>
          <w:color w:val="000000"/>
          <w:sz w:val="18"/>
          <w:szCs w:val="18"/>
          <w:lang w:val="es-CO"/>
        </w:rPr>
        <w:t xml:space="preserve">Sentencia C </w:t>
      </w:r>
      <w:r w:rsidRPr="004B5310">
        <w:rPr>
          <w:rFonts w:ascii="Arial" w:eastAsia="Calibri" w:hAnsi="Arial" w:cs="Arial"/>
          <w:color w:val="000000"/>
          <w:sz w:val="18"/>
          <w:szCs w:val="18"/>
        </w:rPr>
        <w:t xml:space="preserve">- </w:t>
      </w:r>
      <w:r w:rsidRPr="004B5310">
        <w:rPr>
          <w:rFonts w:ascii="Arial" w:hAnsi="Arial" w:cs="Arial"/>
          <w:color w:val="000000"/>
          <w:sz w:val="18"/>
          <w:szCs w:val="18"/>
          <w:lang w:val="es-CO"/>
        </w:rPr>
        <w:t xml:space="preserve">259 del 11 de marzo 2008. M.P. Jaime Córdoba Triviño. </w:t>
      </w:r>
    </w:p>
  </w:footnote>
  <w:footnote w:id="22">
    <w:p w14:paraId="17BB70A4"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CDCEFCA"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p w14:paraId="12E7D24E"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shd w:val="clear" w:color="auto" w:fill="FFFFFF"/>
        </w:rPr>
        <w:t>»2.1.   Bienes, obras y servicios que ofrecerá a las Entidades Estatales, identificados con el Clasificador de Bienes y Servicios en el tercer nivel</w:t>
      </w:r>
      <w:r w:rsidRPr="004B5310">
        <w:rPr>
          <w:rFonts w:ascii="Arial" w:hAnsi="Arial" w:cs="Arial"/>
          <w:sz w:val="18"/>
          <w:szCs w:val="18"/>
        </w:rPr>
        <w:t>»</w:t>
      </w:r>
      <w:r w:rsidRPr="004B5310">
        <w:rPr>
          <w:rFonts w:ascii="Arial" w:hAnsi="Arial" w:cs="Arial"/>
          <w:sz w:val="18"/>
          <w:szCs w:val="18"/>
          <w:shd w:val="clear" w:color="auto" w:fill="FFFFFF"/>
        </w:rPr>
        <w:t>.</w:t>
      </w:r>
    </w:p>
    <w:p w14:paraId="627BBD78" w14:textId="77777777" w:rsidR="0066787D" w:rsidRPr="004B5310" w:rsidRDefault="0066787D" w:rsidP="00DE1171">
      <w:pPr>
        <w:pStyle w:val="Textonotapie"/>
        <w:spacing w:after="0" w:line="240" w:lineRule="auto"/>
        <w:ind w:firstLine="708"/>
        <w:contextualSpacing/>
        <w:rPr>
          <w:rFonts w:ascii="Arial" w:hAnsi="Arial" w:cs="Arial"/>
          <w:sz w:val="18"/>
          <w:szCs w:val="18"/>
          <w:lang w:val="es-CO"/>
        </w:rPr>
      </w:pPr>
    </w:p>
  </w:footnote>
  <w:footnote w:id="23">
    <w:p w14:paraId="40209B35"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DEF0856"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p w14:paraId="161F9B0B" w14:textId="77777777" w:rsidR="0066787D" w:rsidRPr="004B5310" w:rsidRDefault="0066787D" w:rsidP="00DE1171">
      <w:pPr>
        <w:pStyle w:val="Textonotapie"/>
        <w:spacing w:after="0" w:line="240" w:lineRule="auto"/>
        <w:ind w:firstLine="708"/>
        <w:contextualSpacing/>
        <w:rPr>
          <w:rFonts w:ascii="Arial" w:hAnsi="Arial" w:cs="Arial"/>
          <w:sz w:val="18"/>
          <w:szCs w:val="18"/>
          <w:lang w:val="es-CO"/>
        </w:rPr>
      </w:pPr>
      <w:r w:rsidRPr="004B5310">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B5310">
        <w:rPr>
          <w:rFonts w:ascii="Arial" w:hAnsi="Arial" w:cs="Arial"/>
          <w:sz w:val="18"/>
          <w:szCs w:val="18"/>
          <w:shd w:val="clear" w:color="auto" w:fill="FFFFFF"/>
        </w:rPr>
        <w:softHyphen/>
        <w:t>ficador de Bienes y Servicios en el tercer nivel. Si la constitución del interesado es menor a 3 años, puede acreditar la experiencia de sus accionistas, socios o constituyentes</w:t>
      </w:r>
      <w:r w:rsidRPr="004B5310">
        <w:rPr>
          <w:rFonts w:ascii="Arial" w:hAnsi="Arial" w:cs="Arial"/>
          <w:sz w:val="18"/>
          <w:szCs w:val="18"/>
        </w:rPr>
        <w:t>».</w:t>
      </w:r>
    </w:p>
  </w:footnote>
  <w:footnote w:id="24">
    <w:p w14:paraId="558BB9A1" w14:textId="579D49E1" w:rsidR="0066787D" w:rsidRDefault="0066787D" w:rsidP="00DE1171">
      <w:pPr>
        <w:pStyle w:val="Textonotapie"/>
        <w:spacing w:after="0" w:line="240" w:lineRule="auto"/>
        <w:ind w:left="708" w:firstLine="1"/>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Colombia Compra Eficiente. Concepto del 7 de febrero de 2018, Rad. 2201813000000954.</w:t>
      </w:r>
    </w:p>
    <w:p w14:paraId="482823B1" w14:textId="77777777" w:rsidR="004B5310" w:rsidRPr="004B5310" w:rsidRDefault="004B5310" w:rsidP="00DE1171">
      <w:pPr>
        <w:pStyle w:val="Textonotapie"/>
        <w:spacing w:after="0" w:line="240" w:lineRule="auto"/>
        <w:ind w:left="708" w:firstLine="1"/>
        <w:contextualSpacing/>
        <w:rPr>
          <w:rFonts w:ascii="Arial" w:hAnsi="Arial" w:cs="Arial"/>
          <w:sz w:val="18"/>
          <w:szCs w:val="18"/>
        </w:rPr>
      </w:pPr>
    </w:p>
  </w:footnote>
  <w:footnote w:id="25">
    <w:p w14:paraId="6C5D3E03" w14:textId="77777777" w:rsidR="0066787D" w:rsidRPr="004B5310" w:rsidRDefault="0066787D" w:rsidP="00DE1171">
      <w:pPr>
        <w:pStyle w:val="Textocomentario"/>
        <w:ind w:firstLine="708"/>
        <w:contextualSpacing/>
        <w:jc w:val="both"/>
        <w:rPr>
          <w:rFonts w:ascii="Arial" w:hAnsi="Arial" w:cs="Arial"/>
          <w:sz w:val="18"/>
          <w:szCs w:val="18"/>
          <w:lang w:val="es-CO"/>
        </w:rPr>
      </w:pPr>
      <w:r w:rsidRPr="004B5310">
        <w:rPr>
          <w:rStyle w:val="Refdenotaalpie"/>
          <w:rFonts w:ascii="Arial" w:hAnsi="Arial" w:cs="Arial"/>
          <w:sz w:val="18"/>
          <w:szCs w:val="18"/>
        </w:rPr>
        <w:footnoteRef/>
      </w:r>
      <w:r w:rsidRPr="004B5310">
        <w:rPr>
          <w:rFonts w:ascii="Arial" w:hAnsi="Arial" w:cs="Arial"/>
          <w:sz w:val="18"/>
          <w:szCs w:val="18"/>
        </w:rPr>
        <w:t xml:space="preserve"> En el marco del Estado de emergencia económica, social y ecológica declarado por el Gobierno Nacional a través del Decreto 417 de 2020, a causa de la pandemia mundial desatada por el virus del </w:t>
      </w:r>
      <w:proofErr w:type="spellStart"/>
      <w:r w:rsidRPr="004B5310">
        <w:rPr>
          <w:rFonts w:ascii="Arial" w:hAnsi="Arial" w:cs="Arial"/>
          <w:sz w:val="18"/>
          <w:szCs w:val="18"/>
        </w:rPr>
        <w:t>Covid</w:t>
      </w:r>
      <w:proofErr w:type="spellEnd"/>
      <w:r w:rsidRPr="004B5310">
        <w:rPr>
          <w:rFonts w:ascii="Arial" w:hAnsi="Arial" w:cs="Arial"/>
          <w:sz w:val="18"/>
          <w:szCs w:val="18"/>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26">
    <w:p w14:paraId="5020E1D7"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Ver artículos 225 y ss. del Código de Comercio</w:t>
      </w:r>
    </w:p>
  </w:footnote>
  <w:footnote w:id="27">
    <w:p w14:paraId="1884CC8D"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En lo pertinente, la norma dispone que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39A7EFBA"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7AA47661" w14:textId="77777777" w:rsidR="0066787D" w:rsidRPr="004B5310" w:rsidRDefault="0066787D" w:rsidP="00DE1171">
      <w:pPr>
        <w:pStyle w:val="Textonotapie"/>
        <w:spacing w:after="0" w:line="240" w:lineRule="auto"/>
        <w:ind w:firstLine="708"/>
        <w:contextualSpacing/>
        <w:rPr>
          <w:rFonts w:ascii="Arial" w:hAnsi="Arial" w:cs="Arial"/>
          <w:i/>
          <w:iCs/>
          <w:sz w:val="18"/>
          <w:szCs w:val="18"/>
        </w:rPr>
      </w:pPr>
      <w:r w:rsidRPr="004B5310">
        <w:rPr>
          <w:rFonts w:ascii="Arial" w:hAnsi="Arial" w:cs="Arial"/>
          <w:i/>
          <w:iCs/>
          <w:sz w:val="18"/>
          <w:szCs w:val="18"/>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125E4FD7"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4729B476"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Las mismas sanciones previstas en el inciso anterior se predicarán en el evento en que el Juez de lo Contencioso Administrativa declare la nulidad del acto de inscripción.</w:t>
      </w:r>
    </w:p>
    <w:p w14:paraId="25FCE60A" w14:textId="46EE06CE" w:rsidR="0066787D"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La información contenida en el registro es pública y su consulta será gratuita» (Énfasis fuera de texto).</w:t>
      </w:r>
    </w:p>
    <w:p w14:paraId="3487EDF2" w14:textId="77777777" w:rsidR="004B5310" w:rsidRPr="004B5310" w:rsidRDefault="004B5310" w:rsidP="00DE1171">
      <w:pPr>
        <w:pStyle w:val="Textonotapie"/>
        <w:spacing w:after="0" w:line="240" w:lineRule="auto"/>
        <w:ind w:firstLine="708"/>
        <w:contextualSpacing/>
        <w:rPr>
          <w:rFonts w:ascii="Arial" w:hAnsi="Arial" w:cs="Arial"/>
          <w:sz w:val="18"/>
          <w:szCs w:val="18"/>
        </w:rPr>
      </w:pPr>
    </w:p>
  </w:footnote>
  <w:footnote w:id="28">
    <w:p w14:paraId="0249D06A" w14:textId="77777777" w:rsidR="00D56F57" w:rsidRPr="004B5310" w:rsidRDefault="00D56F57" w:rsidP="00DE1171">
      <w:pPr>
        <w:pStyle w:val="Textonotapie"/>
        <w:spacing w:after="0" w:line="240" w:lineRule="auto"/>
        <w:ind w:firstLine="708"/>
        <w:contextualSpacing/>
        <w:rPr>
          <w:rFonts w:ascii="Arial" w:hAnsi="Arial" w:cs="Arial"/>
          <w:sz w:val="18"/>
          <w:szCs w:val="18"/>
          <w:lang w:val="es-CO"/>
        </w:rPr>
      </w:pPr>
      <w:r w:rsidRPr="004B5310">
        <w:rPr>
          <w:rStyle w:val="Refdenotaalpie"/>
          <w:rFonts w:ascii="Arial" w:hAnsi="Arial" w:cs="Arial"/>
          <w:sz w:val="18"/>
          <w:szCs w:val="18"/>
        </w:rPr>
        <w:footnoteRef/>
      </w:r>
      <w:r w:rsidRPr="004B5310">
        <w:rPr>
          <w:rFonts w:ascii="Arial" w:hAnsi="Arial" w:cs="Arial"/>
          <w:sz w:val="18"/>
          <w:szCs w:val="18"/>
        </w:rPr>
        <w:t xml:space="preserve"> En lo pertinente, la norma dispone que «</w:t>
      </w:r>
      <w:bookmarkStart w:id="8" w:name="_Hlk98942284"/>
      <w:r w:rsidRPr="004B5310">
        <w:rPr>
          <w:rFonts w:ascii="Arial" w:hAnsi="Arial" w:cs="Arial"/>
          <w:sz w:val="18"/>
          <w:szCs w:val="18"/>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bookmarkEnd w:id="8"/>
      <w:r w:rsidRPr="004B5310">
        <w:rPr>
          <w:rFonts w:ascii="Arial" w:hAnsi="Arial" w:cs="Arial"/>
          <w:sz w:val="18"/>
          <w:szCs w:val="18"/>
          <w:lang w:val="es-CO"/>
        </w:rPr>
        <w:t>.</w:t>
      </w:r>
    </w:p>
    <w:p w14:paraId="64CD2276" w14:textId="77777777" w:rsidR="00D56F57" w:rsidRPr="004B5310" w:rsidRDefault="00D56F57" w:rsidP="00DE1171">
      <w:pPr>
        <w:pStyle w:val="Textonotapie"/>
        <w:spacing w:after="0" w:line="240" w:lineRule="auto"/>
        <w:ind w:firstLine="708"/>
        <w:contextualSpacing/>
        <w:rPr>
          <w:rFonts w:ascii="Arial" w:hAnsi="Arial" w:cs="Arial"/>
          <w:sz w:val="18"/>
          <w:szCs w:val="18"/>
          <w:lang w:val="es-CO"/>
        </w:rPr>
      </w:pPr>
      <w:r w:rsidRPr="004B5310">
        <w:rPr>
          <w:rFonts w:ascii="Arial" w:hAnsi="Arial" w:cs="Arial"/>
          <w:sz w:val="18"/>
          <w:szCs w:val="18"/>
          <w:lang w:val="es-CO"/>
        </w:rPr>
        <w:t>»Las condiciones de remisión de la información y los plazos de permanencia de la misma en el registro serán señalados por el Gobierno Nacional.</w:t>
      </w:r>
    </w:p>
    <w:p w14:paraId="2CAFEC4D" w14:textId="39599BD3" w:rsidR="00D56F57" w:rsidRPr="004B5310" w:rsidRDefault="00D56F57" w:rsidP="00DE1171">
      <w:pPr>
        <w:pStyle w:val="Textonotapie"/>
        <w:spacing w:after="0" w:line="240" w:lineRule="auto"/>
        <w:ind w:firstLine="708"/>
        <w:contextualSpacing/>
        <w:rPr>
          <w:rFonts w:ascii="Arial" w:hAnsi="Arial" w:cs="Arial"/>
          <w:sz w:val="18"/>
          <w:szCs w:val="18"/>
          <w:lang w:val="es-CO"/>
        </w:rPr>
      </w:pPr>
      <w:r w:rsidRPr="004B5310">
        <w:rPr>
          <w:rFonts w:ascii="Arial" w:hAnsi="Arial" w:cs="Arial"/>
          <w:sz w:val="18"/>
          <w:szCs w:val="18"/>
          <w:lang w:val="es-CO"/>
        </w:rPr>
        <w:t>»El servidor público encargado de remitir la información, que incumpla esta obligación incurrirá en causal de mala conducta».</w:t>
      </w:r>
    </w:p>
    <w:p w14:paraId="3DBBBA61" w14:textId="77777777" w:rsidR="00DE1171" w:rsidRPr="004B5310" w:rsidRDefault="00DE1171" w:rsidP="00DE1171">
      <w:pPr>
        <w:pStyle w:val="Textonotapie"/>
        <w:spacing w:after="0" w:line="240" w:lineRule="auto"/>
        <w:ind w:firstLine="708"/>
        <w:contextualSpacing/>
        <w:rPr>
          <w:rFonts w:ascii="Arial" w:hAnsi="Arial" w:cs="Arial"/>
          <w:sz w:val="18"/>
          <w:szCs w:val="18"/>
          <w:lang w:val="es-CO"/>
        </w:rPr>
      </w:pPr>
    </w:p>
  </w:footnote>
  <w:footnote w:id="29">
    <w:p w14:paraId="740911DF" w14:textId="77777777" w:rsidR="00D56F57" w:rsidRPr="004B5310" w:rsidRDefault="00D56F57"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Ley 80 de 1993: «Artículo 31. De la publicación de los actos y sentencias sancionatorias. &lt;Artículo modificado por el artículo </w:t>
      </w:r>
      <w:hyperlink r:id="rId1" w:anchor="218" w:history="1">
        <w:r w:rsidRPr="004B5310">
          <w:rPr>
            <w:rFonts w:ascii="Arial" w:hAnsi="Arial" w:cs="Arial"/>
            <w:sz w:val="18"/>
            <w:szCs w:val="18"/>
          </w:rPr>
          <w:t>218</w:t>
        </w:r>
      </w:hyperlink>
      <w:r w:rsidRPr="004B5310">
        <w:rPr>
          <w:rFonts w:ascii="Arial" w:hAnsi="Arial" w:cs="Arial"/>
          <w:sz w:val="18"/>
          <w:szCs w:val="18"/>
        </w:rPr>
        <w:t xml:space="preserve"> del Decreto 19 de 2012. El nuevo texto es el siguiente:&gt; La parte resolutiva de los actos que declaren </w:t>
      </w:r>
      <w:proofErr w:type="spellStart"/>
      <w:r w:rsidRPr="004B5310">
        <w:rPr>
          <w:rFonts w:ascii="Arial" w:hAnsi="Arial" w:cs="Arial"/>
          <w:sz w:val="18"/>
          <w:szCs w:val="18"/>
        </w:rPr>
        <w:t>Ia</w:t>
      </w:r>
      <w:proofErr w:type="spellEnd"/>
      <w:r w:rsidRPr="004B5310">
        <w:rPr>
          <w:rFonts w:ascii="Arial" w:hAnsi="Arial" w:cs="Arial"/>
          <w:sz w:val="18"/>
          <w:szCs w:val="18"/>
        </w:rPr>
        <w:t xml:space="preserve"> caducidad, impongan multas, sanciones o declaren el incumplimiento, una vez ejecutoriados, se publicarán en el SECOP y se comunicarán a </w:t>
      </w:r>
      <w:proofErr w:type="spellStart"/>
      <w:r w:rsidRPr="004B5310">
        <w:rPr>
          <w:rFonts w:ascii="Arial" w:hAnsi="Arial" w:cs="Arial"/>
          <w:sz w:val="18"/>
          <w:szCs w:val="18"/>
        </w:rPr>
        <w:t>Ia</w:t>
      </w:r>
      <w:proofErr w:type="spellEnd"/>
      <w:r w:rsidRPr="004B5310">
        <w:rPr>
          <w:rFonts w:ascii="Arial" w:hAnsi="Arial" w:cs="Arial"/>
          <w:sz w:val="18"/>
          <w:szCs w:val="18"/>
        </w:rPr>
        <w:t xml:space="preserve"> cámara de comercio en que se encuentre inscrito el contratista respectivo. También se comunicarán a </w:t>
      </w:r>
      <w:proofErr w:type="spellStart"/>
      <w:r w:rsidRPr="004B5310">
        <w:rPr>
          <w:rFonts w:ascii="Arial" w:hAnsi="Arial" w:cs="Arial"/>
          <w:sz w:val="18"/>
          <w:szCs w:val="18"/>
        </w:rPr>
        <w:t>Ia</w:t>
      </w:r>
      <w:proofErr w:type="spellEnd"/>
      <w:r w:rsidRPr="004B5310">
        <w:rPr>
          <w:rFonts w:ascii="Arial" w:hAnsi="Arial" w:cs="Arial"/>
          <w:sz w:val="18"/>
          <w:szCs w:val="18"/>
        </w:rPr>
        <w:t xml:space="preserve"> Procuraduría General de </w:t>
      </w:r>
      <w:proofErr w:type="spellStart"/>
      <w:r w:rsidRPr="004B5310">
        <w:rPr>
          <w:rFonts w:ascii="Arial" w:hAnsi="Arial" w:cs="Arial"/>
          <w:sz w:val="18"/>
          <w:szCs w:val="18"/>
        </w:rPr>
        <w:t>Ia</w:t>
      </w:r>
      <w:proofErr w:type="spellEnd"/>
      <w:r w:rsidRPr="004B5310">
        <w:rPr>
          <w:rFonts w:ascii="Arial" w:hAnsi="Arial" w:cs="Arial"/>
          <w:sz w:val="18"/>
          <w:szCs w:val="18"/>
        </w:rPr>
        <w:t xml:space="preserve"> Nación».</w:t>
      </w:r>
    </w:p>
  </w:footnote>
  <w:footnote w:id="30">
    <w:p w14:paraId="5B6BD1F0" w14:textId="77777777" w:rsidR="00DE1171" w:rsidRPr="004B5310" w:rsidRDefault="00DE1171" w:rsidP="00DE1171">
      <w:pPr>
        <w:pStyle w:val="Textonotapie"/>
        <w:spacing w:after="0" w:line="240" w:lineRule="auto"/>
        <w:ind w:firstLine="709"/>
        <w:contextualSpacing/>
        <w:rPr>
          <w:rFonts w:ascii="Arial" w:hAnsi="Arial" w:cs="Arial"/>
          <w:sz w:val="18"/>
          <w:szCs w:val="18"/>
        </w:rPr>
      </w:pPr>
    </w:p>
    <w:p w14:paraId="1AFF984B" w14:textId="65E9F513" w:rsidR="00D56F57" w:rsidRPr="004B5310" w:rsidRDefault="00D56F57" w:rsidP="00DE1171">
      <w:pPr>
        <w:pStyle w:val="Textonotapie"/>
        <w:spacing w:after="0" w:line="240" w:lineRule="auto"/>
        <w:ind w:firstLine="709"/>
        <w:contextualSpacing/>
        <w:rPr>
          <w:rFonts w:ascii="Arial" w:hAnsi="Arial" w:cs="Arial"/>
          <w:sz w:val="18"/>
          <w:szCs w:val="18"/>
          <w:lang w:val="es-CO"/>
        </w:rPr>
      </w:pPr>
      <w:r w:rsidRPr="004B5310">
        <w:rPr>
          <w:rStyle w:val="Refdenotaalpie"/>
          <w:rFonts w:ascii="Arial" w:hAnsi="Arial" w:cs="Arial"/>
          <w:sz w:val="18"/>
          <w:szCs w:val="18"/>
        </w:rPr>
        <w:footnoteRef/>
      </w:r>
      <w:r w:rsidRPr="004B5310">
        <w:rPr>
          <w:rFonts w:ascii="Arial" w:hAnsi="Arial" w:cs="Arial"/>
          <w:sz w:val="18"/>
          <w:szCs w:val="18"/>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9B1E" w14:textId="77777777" w:rsidR="00412132" w:rsidRDefault="003D3689">
    <w:pPr>
      <w:pStyle w:val="Encabezado"/>
    </w:pPr>
    <w:r>
      <w:rPr>
        <w:noProof/>
        <w:lang w:val="es-CO" w:eastAsia="es-CO"/>
      </w:rPr>
      <w:drawing>
        <wp:anchor distT="0" distB="0" distL="114300" distR="114300" simplePos="0" relativeHeight="251659264" behindDoc="1" locked="0" layoutInCell="1" allowOverlap="1" wp14:anchorId="3627C68D" wp14:editId="2EF8DB20">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03A231" w14:textId="77777777" w:rsidR="00FE0395" w:rsidRDefault="00232EC6" w:rsidP="00FE0395">
    <w:pPr>
      <w:pStyle w:val="Encabezado"/>
      <w:spacing w:after="0"/>
    </w:pPr>
  </w:p>
  <w:p w14:paraId="137218E8" w14:textId="77777777" w:rsidR="00412132" w:rsidRDefault="00232E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9"/>
    <w:rsid w:val="000031FA"/>
    <w:rsid w:val="000156B4"/>
    <w:rsid w:val="00023B56"/>
    <w:rsid w:val="00035099"/>
    <w:rsid w:val="000701F2"/>
    <w:rsid w:val="00080E8C"/>
    <w:rsid w:val="000A262E"/>
    <w:rsid w:val="000B249A"/>
    <w:rsid w:val="000B343C"/>
    <w:rsid w:val="000B731C"/>
    <w:rsid w:val="000C0E39"/>
    <w:rsid w:val="000C4AB4"/>
    <w:rsid w:val="000C6BFA"/>
    <w:rsid w:val="000E6BB8"/>
    <w:rsid w:val="000F0E9B"/>
    <w:rsid w:val="0011362A"/>
    <w:rsid w:val="00116BCF"/>
    <w:rsid w:val="001500F3"/>
    <w:rsid w:val="00152BC5"/>
    <w:rsid w:val="0015624F"/>
    <w:rsid w:val="00161F75"/>
    <w:rsid w:val="00166BEE"/>
    <w:rsid w:val="0016704E"/>
    <w:rsid w:val="00171EA4"/>
    <w:rsid w:val="001A0166"/>
    <w:rsid w:val="001B70E3"/>
    <w:rsid w:val="001D0C2E"/>
    <w:rsid w:val="001D559D"/>
    <w:rsid w:val="001D6B27"/>
    <w:rsid w:val="001E5064"/>
    <w:rsid w:val="001E6948"/>
    <w:rsid w:val="00206D37"/>
    <w:rsid w:val="00224DDA"/>
    <w:rsid w:val="00232EC6"/>
    <w:rsid w:val="0023670C"/>
    <w:rsid w:val="00240437"/>
    <w:rsid w:val="002447F4"/>
    <w:rsid w:val="002731C0"/>
    <w:rsid w:val="00280E45"/>
    <w:rsid w:val="002A6871"/>
    <w:rsid w:val="002C79E0"/>
    <w:rsid w:val="002C7B24"/>
    <w:rsid w:val="002D3F28"/>
    <w:rsid w:val="002E6784"/>
    <w:rsid w:val="003503FE"/>
    <w:rsid w:val="0036202D"/>
    <w:rsid w:val="0036374F"/>
    <w:rsid w:val="00363F3F"/>
    <w:rsid w:val="00365DCF"/>
    <w:rsid w:val="003715DE"/>
    <w:rsid w:val="00383DE8"/>
    <w:rsid w:val="00396579"/>
    <w:rsid w:val="003A0671"/>
    <w:rsid w:val="003A2789"/>
    <w:rsid w:val="003A498D"/>
    <w:rsid w:val="003A6241"/>
    <w:rsid w:val="003D3689"/>
    <w:rsid w:val="003E0AC0"/>
    <w:rsid w:val="00426BCB"/>
    <w:rsid w:val="00433451"/>
    <w:rsid w:val="00437E6A"/>
    <w:rsid w:val="00455972"/>
    <w:rsid w:val="00457987"/>
    <w:rsid w:val="004673D7"/>
    <w:rsid w:val="0048217E"/>
    <w:rsid w:val="00485574"/>
    <w:rsid w:val="00497692"/>
    <w:rsid w:val="004B5310"/>
    <w:rsid w:val="004D7CB6"/>
    <w:rsid w:val="004E2B12"/>
    <w:rsid w:val="004F075B"/>
    <w:rsid w:val="005041CF"/>
    <w:rsid w:val="005124D4"/>
    <w:rsid w:val="00517D50"/>
    <w:rsid w:val="0052728C"/>
    <w:rsid w:val="00530B58"/>
    <w:rsid w:val="00552CAC"/>
    <w:rsid w:val="00553986"/>
    <w:rsid w:val="00562BD5"/>
    <w:rsid w:val="00565665"/>
    <w:rsid w:val="00591DA8"/>
    <w:rsid w:val="00593B60"/>
    <w:rsid w:val="005A0CEA"/>
    <w:rsid w:val="005A3C8C"/>
    <w:rsid w:val="005C0676"/>
    <w:rsid w:val="005C1E08"/>
    <w:rsid w:val="005E614D"/>
    <w:rsid w:val="005F2C99"/>
    <w:rsid w:val="0060398B"/>
    <w:rsid w:val="0061603E"/>
    <w:rsid w:val="006205FA"/>
    <w:rsid w:val="006313A1"/>
    <w:rsid w:val="006471DA"/>
    <w:rsid w:val="006528E9"/>
    <w:rsid w:val="006610BD"/>
    <w:rsid w:val="0066751E"/>
    <w:rsid w:val="0066787D"/>
    <w:rsid w:val="0067721F"/>
    <w:rsid w:val="00680E6D"/>
    <w:rsid w:val="00681057"/>
    <w:rsid w:val="0068556D"/>
    <w:rsid w:val="006967C0"/>
    <w:rsid w:val="006B2283"/>
    <w:rsid w:val="0071095F"/>
    <w:rsid w:val="00711392"/>
    <w:rsid w:val="0073185C"/>
    <w:rsid w:val="00731B57"/>
    <w:rsid w:val="00734189"/>
    <w:rsid w:val="00734827"/>
    <w:rsid w:val="00750E39"/>
    <w:rsid w:val="00751D36"/>
    <w:rsid w:val="00766DE9"/>
    <w:rsid w:val="007762A0"/>
    <w:rsid w:val="00794719"/>
    <w:rsid w:val="007A0103"/>
    <w:rsid w:val="007A0C4E"/>
    <w:rsid w:val="007A38D0"/>
    <w:rsid w:val="007A7734"/>
    <w:rsid w:val="007D135B"/>
    <w:rsid w:val="007D35CB"/>
    <w:rsid w:val="007E1DE0"/>
    <w:rsid w:val="00803B65"/>
    <w:rsid w:val="00812E59"/>
    <w:rsid w:val="00857532"/>
    <w:rsid w:val="00861F1F"/>
    <w:rsid w:val="008640E6"/>
    <w:rsid w:val="008642DB"/>
    <w:rsid w:val="00867DDC"/>
    <w:rsid w:val="00872349"/>
    <w:rsid w:val="008763A4"/>
    <w:rsid w:val="0088271D"/>
    <w:rsid w:val="00886FBD"/>
    <w:rsid w:val="0089793A"/>
    <w:rsid w:val="008B6FBE"/>
    <w:rsid w:val="008C065A"/>
    <w:rsid w:val="008D17E9"/>
    <w:rsid w:val="008E18CD"/>
    <w:rsid w:val="008F0B8A"/>
    <w:rsid w:val="008F667A"/>
    <w:rsid w:val="009018FF"/>
    <w:rsid w:val="009252F3"/>
    <w:rsid w:val="0092684E"/>
    <w:rsid w:val="00927783"/>
    <w:rsid w:val="00935747"/>
    <w:rsid w:val="009364A3"/>
    <w:rsid w:val="00936CBC"/>
    <w:rsid w:val="00967B65"/>
    <w:rsid w:val="009738B3"/>
    <w:rsid w:val="009742E0"/>
    <w:rsid w:val="009762BE"/>
    <w:rsid w:val="00976CBC"/>
    <w:rsid w:val="00994E87"/>
    <w:rsid w:val="009C1545"/>
    <w:rsid w:val="009D5F58"/>
    <w:rsid w:val="00A0219D"/>
    <w:rsid w:val="00A04E07"/>
    <w:rsid w:val="00A164A5"/>
    <w:rsid w:val="00A176A7"/>
    <w:rsid w:val="00A32BE6"/>
    <w:rsid w:val="00A34E16"/>
    <w:rsid w:val="00A57597"/>
    <w:rsid w:val="00A940D2"/>
    <w:rsid w:val="00A96409"/>
    <w:rsid w:val="00AA35FA"/>
    <w:rsid w:val="00AA7E1B"/>
    <w:rsid w:val="00AB0ADA"/>
    <w:rsid w:val="00AB129C"/>
    <w:rsid w:val="00AD0217"/>
    <w:rsid w:val="00AF16BF"/>
    <w:rsid w:val="00AF1BF4"/>
    <w:rsid w:val="00AF3EFA"/>
    <w:rsid w:val="00AF5977"/>
    <w:rsid w:val="00B03590"/>
    <w:rsid w:val="00B06E8B"/>
    <w:rsid w:val="00B12EBB"/>
    <w:rsid w:val="00B4402A"/>
    <w:rsid w:val="00B61DED"/>
    <w:rsid w:val="00B61F7C"/>
    <w:rsid w:val="00B667C3"/>
    <w:rsid w:val="00B71ED8"/>
    <w:rsid w:val="00B970EA"/>
    <w:rsid w:val="00BB52E0"/>
    <w:rsid w:val="00BC399C"/>
    <w:rsid w:val="00BC6501"/>
    <w:rsid w:val="00BD35A8"/>
    <w:rsid w:val="00C002A8"/>
    <w:rsid w:val="00C116DC"/>
    <w:rsid w:val="00C12063"/>
    <w:rsid w:val="00C12134"/>
    <w:rsid w:val="00C126B4"/>
    <w:rsid w:val="00C22D19"/>
    <w:rsid w:val="00C335D3"/>
    <w:rsid w:val="00C41A3D"/>
    <w:rsid w:val="00C764F8"/>
    <w:rsid w:val="00C85F9E"/>
    <w:rsid w:val="00C95005"/>
    <w:rsid w:val="00CA1022"/>
    <w:rsid w:val="00CA5CA6"/>
    <w:rsid w:val="00CB1191"/>
    <w:rsid w:val="00CC7B57"/>
    <w:rsid w:val="00CF1010"/>
    <w:rsid w:val="00CF1C17"/>
    <w:rsid w:val="00CF7151"/>
    <w:rsid w:val="00D3762F"/>
    <w:rsid w:val="00D40CEA"/>
    <w:rsid w:val="00D44693"/>
    <w:rsid w:val="00D56F57"/>
    <w:rsid w:val="00D5791D"/>
    <w:rsid w:val="00D61084"/>
    <w:rsid w:val="00D648BD"/>
    <w:rsid w:val="00D738BD"/>
    <w:rsid w:val="00DA0848"/>
    <w:rsid w:val="00DB7EBF"/>
    <w:rsid w:val="00DE1171"/>
    <w:rsid w:val="00DE140E"/>
    <w:rsid w:val="00DF09C2"/>
    <w:rsid w:val="00DF6A9E"/>
    <w:rsid w:val="00E33537"/>
    <w:rsid w:val="00E65CA4"/>
    <w:rsid w:val="00E6662E"/>
    <w:rsid w:val="00E8089A"/>
    <w:rsid w:val="00EA0092"/>
    <w:rsid w:val="00EB5B91"/>
    <w:rsid w:val="00EB5E5C"/>
    <w:rsid w:val="00EC4EBA"/>
    <w:rsid w:val="00EC62F0"/>
    <w:rsid w:val="00F04A10"/>
    <w:rsid w:val="00F20372"/>
    <w:rsid w:val="00F30717"/>
    <w:rsid w:val="00F451D5"/>
    <w:rsid w:val="00F63A92"/>
    <w:rsid w:val="00F70766"/>
    <w:rsid w:val="00F7580B"/>
    <w:rsid w:val="00F878A1"/>
    <w:rsid w:val="00F94453"/>
    <w:rsid w:val="00F96A55"/>
    <w:rsid w:val="00FA2E8F"/>
    <w:rsid w:val="00FC3EB8"/>
    <w:rsid w:val="00FE43B8"/>
    <w:rsid w:val="00FE5822"/>
    <w:rsid w:val="00FE62E6"/>
    <w:rsid w:val="00FF0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31A6"/>
  <w15:chartTrackingRefBased/>
  <w15:docId w15:val="{E2E90ACD-BA17-4951-B6A0-CA7F3C0A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F2C99"/>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5F2C99"/>
    <w:rPr>
      <w:sz w:val="24"/>
      <w:lang w:val="es-MX"/>
    </w:rPr>
  </w:style>
  <w:style w:type="paragraph" w:styleId="Encabezado">
    <w:name w:val="header"/>
    <w:basedOn w:val="Normal"/>
    <w:link w:val="EncabezadoCar"/>
    <w:uiPriority w:val="99"/>
    <w:unhideWhenUsed/>
    <w:rsid w:val="005F2C99"/>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5F2C99"/>
    <w:rPr>
      <w:sz w:val="24"/>
      <w:lang w:val="es-MX"/>
    </w:rPr>
  </w:style>
  <w:style w:type="table" w:styleId="Tablaconcuadrcula">
    <w:name w:val="Table Grid"/>
    <w:basedOn w:val="Tablanormal"/>
    <w:uiPriority w:val="39"/>
    <w:rsid w:val="005F2C9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5F2C99"/>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5F2C99"/>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F2C9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5F2C99"/>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5F2C9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5F2C99"/>
    <w:rPr>
      <w:vertAlign w:val="superscript"/>
    </w:rPr>
  </w:style>
  <w:style w:type="paragraph" w:customStyle="1" w:styleId="Appelnotedebasde">
    <w:name w:val="Appel note de bas de..."/>
    <w:basedOn w:val="Normal"/>
    <w:link w:val="Refdenotaalpie"/>
    <w:uiPriority w:val="99"/>
    <w:rsid w:val="005F2C99"/>
    <w:pPr>
      <w:spacing w:line="240" w:lineRule="exact"/>
      <w:jc w:val="both"/>
    </w:pPr>
    <w:rPr>
      <w:vertAlign w:val="superscript"/>
    </w:rPr>
  </w:style>
  <w:style w:type="character" w:customStyle="1" w:styleId="NormalWebCar">
    <w:name w:val="Normal (Web) Car"/>
    <w:link w:val="NormalWeb"/>
    <w:uiPriority w:val="99"/>
    <w:locked/>
    <w:rsid w:val="005F2C99"/>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5F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F7151"/>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CF7151"/>
    <w:rPr>
      <w:sz w:val="20"/>
      <w:szCs w:val="20"/>
      <w:lang w:val="es-MX"/>
    </w:rPr>
  </w:style>
  <w:style w:type="paragraph" w:customStyle="1" w:styleId="InviasNormal">
    <w:name w:val="Invias Normal"/>
    <w:basedOn w:val="Normal"/>
    <w:link w:val="InviasNormalCar"/>
    <w:qFormat/>
    <w:rsid w:val="00CF7151"/>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CF7151"/>
    <w:rPr>
      <w:rFonts w:ascii="Arial Narrow" w:eastAsia="Times New Roman" w:hAnsi="Arial Narrow" w:cs="Times New Roman"/>
      <w:sz w:val="24"/>
      <w:szCs w:val="24"/>
      <w:lang w:val="x-none" w:eastAsia="es-ES"/>
    </w:rPr>
  </w:style>
  <w:style w:type="character" w:styleId="Textoennegrita">
    <w:name w:val="Strong"/>
    <w:basedOn w:val="Fuentedeprrafopredeter"/>
    <w:uiPriority w:val="22"/>
    <w:qFormat/>
    <w:rsid w:val="0066787D"/>
    <w:rPr>
      <w:b/>
      <w:bCs/>
    </w:rPr>
  </w:style>
  <w:style w:type="character" w:styleId="nfasis">
    <w:name w:val="Emphasis"/>
    <w:basedOn w:val="Fuentedeprrafopredeter"/>
    <w:uiPriority w:val="20"/>
    <w:qFormat/>
    <w:rsid w:val="0066787D"/>
    <w:rPr>
      <w:i/>
      <w:iCs/>
    </w:rPr>
  </w:style>
  <w:style w:type="paragraph" w:styleId="Textoindependiente">
    <w:name w:val="Body Text"/>
    <w:basedOn w:val="Normal"/>
    <w:link w:val="TextoindependienteCar"/>
    <w:uiPriority w:val="1"/>
    <w:qFormat/>
    <w:rsid w:val="00FA2E8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A2E8F"/>
    <w:rPr>
      <w:rFonts w:ascii="Arial MT" w:eastAsia="Arial MT" w:hAnsi="Arial MT" w:cs="Arial MT"/>
      <w:lang w:val="es-ES"/>
    </w:rPr>
  </w:style>
  <w:style w:type="character" w:customStyle="1" w:styleId="Hipervnculo1">
    <w:name w:val="Hipervínculo1"/>
    <w:basedOn w:val="Fuentedeprrafopredeter"/>
    <w:uiPriority w:val="99"/>
    <w:unhideWhenUsed/>
    <w:rsid w:val="00D56F57"/>
    <w:rPr>
      <w:color w:val="F2F2F2"/>
      <w:u w:val="single"/>
    </w:rPr>
  </w:style>
  <w:style w:type="character" w:styleId="Hipervnculo">
    <w:name w:val="Hyperlink"/>
    <w:basedOn w:val="Fuentedeprrafopredeter"/>
    <w:uiPriority w:val="99"/>
    <w:semiHidden/>
    <w:unhideWhenUsed/>
    <w:rsid w:val="00D56F57"/>
    <w:rPr>
      <w:color w:val="0563C1" w:themeColor="hyperlink"/>
      <w:u w:val="single"/>
    </w:rPr>
  </w:style>
  <w:style w:type="paragraph" w:styleId="Revisin">
    <w:name w:val="Revision"/>
    <w:hidden/>
    <w:uiPriority w:val="99"/>
    <w:semiHidden/>
    <w:rsid w:val="00FC3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decreto_0019_2012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E7166B1-D65C-4D61-A054-9416E61CDAC4}">
  <ds:schemaRefs>
    <ds:schemaRef ds:uri="http://schemas.microsoft.com/sharepoint/v3/contenttype/forms"/>
  </ds:schemaRefs>
</ds:datastoreItem>
</file>

<file path=customXml/itemProps2.xml><?xml version="1.0" encoding="utf-8"?>
<ds:datastoreItem xmlns:ds="http://schemas.openxmlformats.org/officeDocument/2006/customXml" ds:itemID="{BBA3404D-6400-4737-A56B-9A848073D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371EF-F1D2-42EF-88F0-9ED677075DB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8419</Words>
  <Characters>46306</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5</cp:revision>
  <dcterms:created xsi:type="dcterms:W3CDTF">2022-05-22T14:57:00Z</dcterms:created>
  <dcterms:modified xsi:type="dcterms:W3CDTF">2022-06-01T20:39:00Z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