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D43CE8" w:rsidRDefault="00B55C69" w:rsidP="008536BB">
      <w:pPr>
        <w:jc w:val="right"/>
        <w:rPr>
          <w:rFonts w:ascii="Arial" w:eastAsia="Calibri" w:hAnsi="Arial" w:cs="Arial"/>
          <w:b/>
          <w:sz w:val="20"/>
          <w:szCs w:val="20"/>
          <w:lang w:val="es-ES_tradnl"/>
        </w:rPr>
      </w:pPr>
      <w:bookmarkStart w:id="0" w:name="_Hlk28946138"/>
      <w:bookmarkStart w:id="1" w:name="_Hlk29548183"/>
      <w:r w:rsidRPr="00D43CE8">
        <w:rPr>
          <w:rFonts w:ascii="Arial" w:hAnsi="Arial" w:cs="Arial"/>
          <w:bCs/>
          <w:sz w:val="16"/>
          <w:szCs w:val="16"/>
          <w:lang w:val="es-ES_tradnl" w:eastAsia="es-ES"/>
        </w:rPr>
        <w:t>CCE-DES-FM-17</w:t>
      </w:r>
      <w:bookmarkEnd w:id="0"/>
      <w:bookmarkEnd w:id="1"/>
    </w:p>
    <w:p w14:paraId="55FBD910" w14:textId="77777777" w:rsidR="008536BB" w:rsidRPr="00D43CE8" w:rsidRDefault="008536BB" w:rsidP="00B95C30">
      <w:pPr>
        <w:spacing w:line="276" w:lineRule="auto"/>
        <w:jc w:val="both"/>
        <w:rPr>
          <w:rFonts w:ascii="Arial" w:hAnsi="Arial" w:cs="Arial"/>
          <w:noProof/>
          <w:sz w:val="22"/>
          <w:lang w:val="es-ES_tradnl"/>
        </w:rPr>
      </w:pPr>
    </w:p>
    <w:p w14:paraId="2B2F279A" w14:textId="77777777" w:rsidR="005C6D19" w:rsidRPr="00F425E1" w:rsidRDefault="005C6D19" w:rsidP="00DF71EA">
      <w:pPr>
        <w:jc w:val="both"/>
        <w:rPr>
          <w:rFonts w:ascii="Arial" w:eastAsia="Calibri" w:hAnsi="Arial" w:cs="Arial"/>
          <w:b/>
          <w:sz w:val="22"/>
          <w:lang w:val="es-ES_tradnl"/>
        </w:rPr>
      </w:pPr>
    </w:p>
    <w:p w14:paraId="04086EC5" w14:textId="5C2FA739" w:rsidR="00DF71EA" w:rsidRPr="00F425E1" w:rsidRDefault="00D73881" w:rsidP="00DF71EA">
      <w:pPr>
        <w:jc w:val="both"/>
        <w:rPr>
          <w:rFonts w:ascii="Arial" w:eastAsia="Calibri" w:hAnsi="Arial" w:cs="Arial"/>
          <w:b/>
          <w:sz w:val="22"/>
          <w:lang w:val="es-ES_tradnl"/>
        </w:rPr>
      </w:pPr>
      <w:r w:rsidRPr="00F425E1">
        <w:rPr>
          <w:rFonts w:ascii="Arial" w:eastAsia="Calibri" w:hAnsi="Arial" w:cs="Arial"/>
          <w:b/>
          <w:sz w:val="22"/>
          <w:lang w:val="es-ES_tradnl"/>
        </w:rPr>
        <w:t>FACTORES DE DESEMPATE</w:t>
      </w:r>
      <w:r w:rsidR="00DF71EA" w:rsidRPr="00F425E1">
        <w:rPr>
          <w:rFonts w:ascii="Arial" w:eastAsia="Calibri" w:hAnsi="Arial" w:cs="Arial"/>
          <w:b/>
          <w:sz w:val="22"/>
          <w:lang w:val="es-ES_tradnl"/>
        </w:rPr>
        <w:t xml:space="preserve"> – </w:t>
      </w:r>
      <w:r w:rsidRPr="00F425E1">
        <w:rPr>
          <w:rFonts w:ascii="Arial" w:eastAsia="Calibri" w:hAnsi="Arial" w:cs="Arial"/>
          <w:b/>
          <w:sz w:val="22"/>
          <w:lang w:val="es-ES_tradnl"/>
        </w:rPr>
        <w:t>Características</w:t>
      </w:r>
      <w:r w:rsidR="00DF71EA" w:rsidRPr="00F425E1">
        <w:rPr>
          <w:rFonts w:ascii="Arial" w:eastAsia="Calibri" w:hAnsi="Arial" w:cs="Arial"/>
          <w:b/>
          <w:sz w:val="22"/>
          <w:lang w:val="es-ES_tradnl"/>
        </w:rPr>
        <w:t xml:space="preserve"> – </w:t>
      </w:r>
      <w:r w:rsidRPr="00F425E1">
        <w:rPr>
          <w:rFonts w:ascii="Arial" w:eastAsia="Calibri" w:hAnsi="Arial" w:cs="Arial"/>
          <w:b/>
          <w:sz w:val="22"/>
          <w:lang w:val="es-ES_tradnl"/>
        </w:rPr>
        <w:t>Límites</w:t>
      </w:r>
    </w:p>
    <w:p w14:paraId="583F00A4" w14:textId="390EB1EB" w:rsidR="00DF71EA" w:rsidRPr="00FE32DF" w:rsidRDefault="00DF71EA" w:rsidP="00B95C30">
      <w:pPr>
        <w:spacing w:line="276" w:lineRule="auto"/>
        <w:jc w:val="both"/>
        <w:rPr>
          <w:rFonts w:ascii="Arial" w:hAnsi="Arial" w:cs="Arial"/>
          <w:noProof/>
          <w:sz w:val="22"/>
          <w:highlight w:val="yellow"/>
          <w:lang w:val="es-ES_tradnl"/>
        </w:rPr>
      </w:pPr>
    </w:p>
    <w:p w14:paraId="4C79D470" w14:textId="12E39A57" w:rsidR="00221A1D" w:rsidRDefault="001C3859" w:rsidP="00221A1D">
      <w:pPr>
        <w:jc w:val="both"/>
        <w:rPr>
          <w:rFonts w:ascii="Arial" w:eastAsia="Calibri" w:hAnsi="Arial" w:cs="Arial"/>
          <w:sz w:val="20"/>
          <w:szCs w:val="20"/>
          <w:lang w:val="es-ES_tradnl"/>
        </w:rPr>
      </w:pPr>
      <w:r w:rsidRPr="001C3859">
        <w:rPr>
          <w:rFonts w:ascii="Arial" w:eastAsia="Calibri" w:hAnsi="Arial" w:cs="Arial"/>
          <w:sz w:val="20"/>
          <w:szCs w:val="20"/>
          <w:lang w:val="es-ES_tradnl"/>
        </w:rPr>
        <w:t xml:space="preserve">Dado que la selección objetiva es uno de los principios medulares de la contratación estatal, la escogencia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habilitación y calificación que establezcan las entidades en los pliegos de condiciones o sus </w:t>
      </w:r>
      <w:proofErr w:type="gramStart"/>
      <w:r w:rsidRPr="001C3859">
        <w:rPr>
          <w:rFonts w:ascii="Arial" w:eastAsia="Calibri" w:hAnsi="Arial" w:cs="Arial"/>
          <w:sz w:val="20"/>
          <w:szCs w:val="20"/>
          <w:lang w:val="es-ES_tradnl"/>
        </w:rPr>
        <w:t>equivalentes,</w:t>
      </w:r>
      <w:proofErr w:type="gramEnd"/>
      <w:r w:rsidRPr="001C3859">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40A4A651" w14:textId="77777777" w:rsidR="001C3859" w:rsidRPr="00FE32DF" w:rsidRDefault="001C3859" w:rsidP="00221A1D">
      <w:pPr>
        <w:jc w:val="both"/>
        <w:rPr>
          <w:rFonts w:ascii="Arial" w:eastAsia="Calibri" w:hAnsi="Arial" w:cs="Arial"/>
          <w:b/>
          <w:sz w:val="22"/>
          <w:highlight w:val="yellow"/>
          <w:lang w:val="es-ES_tradnl"/>
        </w:rPr>
      </w:pPr>
    </w:p>
    <w:p w14:paraId="7D6E6CBB" w14:textId="0A92D415" w:rsidR="005E022D" w:rsidRPr="00F425E1" w:rsidRDefault="005E022D" w:rsidP="00221A1D">
      <w:pPr>
        <w:jc w:val="both"/>
        <w:rPr>
          <w:rFonts w:ascii="Arial" w:eastAsia="Calibri" w:hAnsi="Arial" w:cs="Arial"/>
          <w:b/>
          <w:sz w:val="22"/>
          <w:lang w:val="es-ES_tradnl"/>
        </w:rPr>
      </w:pPr>
      <w:r w:rsidRPr="00F425E1">
        <w:rPr>
          <w:rFonts w:ascii="Arial" w:eastAsia="Calibri" w:hAnsi="Arial" w:cs="Arial"/>
          <w:b/>
          <w:sz w:val="22"/>
          <w:lang w:val="es-ES_tradnl"/>
        </w:rPr>
        <w:t>LEY DE EMPRENDIMIENTO – Ley 2069 de 2020 – Reglamentación – Decreto 1860 de 2021</w:t>
      </w:r>
      <w:r w:rsidR="00E86E74" w:rsidRPr="00F425E1">
        <w:rPr>
          <w:rFonts w:ascii="Arial" w:eastAsia="Calibri" w:hAnsi="Arial" w:cs="Arial"/>
          <w:b/>
          <w:sz w:val="22"/>
          <w:lang w:val="es-ES_tradnl"/>
        </w:rPr>
        <w:t xml:space="preserve"> – Vigencia</w:t>
      </w:r>
    </w:p>
    <w:p w14:paraId="4964CF95" w14:textId="3B7C54E8" w:rsidR="00E86E74" w:rsidRPr="00FE32DF" w:rsidRDefault="00E86E74" w:rsidP="00221A1D">
      <w:pPr>
        <w:jc w:val="both"/>
        <w:rPr>
          <w:rFonts w:ascii="Arial" w:eastAsia="Calibri" w:hAnsi="Arial" w:cs="Arial"/>
          <w:b/>
          <w:sz w:val="22"/>
          <w:highlight w:val="yellow"/>
          <w:lang w:val="es-ES_tradnl"/>
        </w:rPr>
      </w:pPr>
    </w:p>
    <w:p w14:paraId="2F5A54E6" w14:textId="69E1CB75" w:rsidR="004C6C0B" w:rsidRPr="00EE3B95" w:rsidRDefault="00EE3B95" w:rsidP="00EE3B95">
      <w:pPr>
        <w:jc w:val="both"/>
        <w:rPr>
          <w:rFonts w:ascii="Arial" w:eastAsia="Calibri" w:hAnsi="Arial" w:cs="Arial"/>
          <w:bCs/>
          <w:sz w:val="20"/>
          <w:szCs w:val="20"/>
          <w:lang w:val="es-ES_tradnl"/>
        </w:rPr>
      </w:pPr>
      <w:r>
        <w:rPr>
          <w:rFonts w:ascii="Arial" w:eastAsia="Calibri" w:hAnsi="Arial" w:cs="Arial"/>
          <w:bCs/>
          <w:sz w:val="20"/>
          <w:szCs w:val="20"/>
          <w:lang w:val="es-ES_tradnl"/>
        </w:rPr>
        <w:t xml:space="preserve">[…] </w:t>
      </w:r>
      <w:r w:rsidRPr="00EE3B95">
        <w:rPr>
          <w:rFonts w:ascii="Arial" w:eastAsia="Calibri" w:hAnsi="Arial" w:cs="Arial"/>
          <w:bCs/>
          <w:sz w:val="20"/>
          <w:szCs w:val="20"/>
          <w:lang w:val="es-ES_tradnl"/>
        </w:rPr>
        <w:t>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p>
    <w:p w14:paraId="22FCC320" w14:textId="77777777" w:rsidR="00EE3B95" w:rsidRDefault="00EE3B95" w:rsidP="004C6C0B">
      <w:pPr>
        <w:spacing w:line="276" w:lineRule="auto"/>
        <w:jc w:val="both"/>
        <w:rPr>
          <w:rFonts w:ascii="Arial" w:eastAsia="Calibri" w:hAnsi="Arial" w:cs="Arial"/>
          <w:b/>
          <w:sz w:val="22"/>
          <w:lang w:val="es-ES_tradnl"/>
        </w:rPr>
      </w:pPr>
    </w:p>
    <w:p w14:paraId="5C403CEA" w14:textId="3777B6D3" w:rsidR="00E86E74" w:rsidRDefault="004C6C0B" w:rsidP="004C6C0B">
      <w:pPr>
        <w:spacing w:line="276" w:lineRule="auto"/>
        <w:jc w:val="both"/>
        <w:rPr>
          <w:rFonts w:ascii="Arial" w:eastAsia="Calibri" w:hAnsi="Arial" w:cs="Arial"/>
          <w:b/>
          <w:sz w:val="22"/>
          <w:lang w:val="es-ES_tradnl"/>
        </w:rPr>
      </w:pPr>
      <w:r w:rsidRPr="004C6C0B">
        <w:rPr>
          <w:rFonts w:ascii="Arial" w:eastAsia="Calibri" w:hAnsi="Arial" w:cs="Arial"/>
          <w:b/>
          <w:sz w:val="22"/>
          <w:lang w:val="es-ES_tradnl"/>
        </w:rPr>
        <w:t>FACTORES DE DESEMPATE – Ley 2069 de 2020 – Numeral 2 – Numeral 4 – Decreto 1680 de 2021 –– Participación mayoritaria – Mayor proporción</w:t>
      </w:r>
    </w:p>
    <w:p w14:paraId="06AD8A22" w14:textId="77777777" w:rsidR="004C6C0B" w:rsidRPr="00FE32DF" w:rsidRDefault="004C6C0B" w:rsidP="004C6C0B">
      <w:pPr>
        <w:spacing w:line="276" w:lineRule="auto"/>
        <w:jc w:val="both"/>
        <w:rPr>
          <w:rFonts w:ascii="Arial" w:hAnsi="Arial" w:cs="Arial"/>
          <w:sz w:val="22"/>
          <w:szCs w:val="22"/>
          <w:highlight w:val="yellow"/>
          <w:lang w:val="es-ES_tradnl"/>
        </w:rPr>
      </w:pPr>
    </w:p>
    <w:p w14:paraId="22B382D4" w14:textId="65A469FE" w:rsidR="00E86E74" w:rsidRPr="00E4299F" w:rsidRDefault="00DD0503" w:rsidP="00E86E74">
      <w:pPr>
        <w:jc w:val="both"/>
        <w:rPr>
          <w:rFonts w:ascii="Arial" w:hAnsi="Arial" w:cs="Arial"/>
          <w:sz w:val="20"/>
          <w:szCs w:val="20"/>
          <w:lang w:val="es-ES_tradnl"/>
        </w:rPr>
      </w:pPr>
      <w:bookmarkStart w:id="2" w:name="_Hlk102655282"/>
      <w:r>
        <w:rPr>
          <w:rFonts w:ascii="Arial" w:hAnsi="Arial" w:cs="Arial"/>
          <w:sz w:val="20"/>
          <w:szCs w:val="20"/>
          <w:lang w:val="es-ES_tradnl"/>
        </w:rPr>
        <w:t>[…] e</w:t>
      </w:r>
      <w:r w:rsidR="00E86E74" w:rsidRPr="00E4299F">
        <w:rPr>
          <w:rFonts w:ascii="Arial" w:hAnsi="Arial" w:cs="Arial"/>
          <w:sz w:val="20"/>
          <w:szCs w:val="20"/>
          <w:lang w:val="es-ES_tradnl"/>
        </w:rPr>
        <w:t xml:space="preserve">l artículo 35, numeral 2, de la Ley 2069 de 2020 utiliza un concepto jurídico indeterminado, cuando se refiere a la participación mayoritaria de las mujeres cabeza de familia o mujeres víctimas de la violencia intrafamiliar en la persona jurídica o en el proponente plural. Con anterioridad a la expedición del Decreto 1860 de 2021 </w:t>
      </w:r>
      <w:r w:rsidR="0071223A" w:rsidRPr="00E4299F">
        <w:rPr>
          <w:rFonts w:ascii="Arial" w:hAnsi="Arial" w:cs="Arial"/>
          <w:sz w:val="20"/>
          <w:szCs w:val="20"/>
          <w:lang w:val="es-ES_tradnl"/>
        </w:rPr>
        <w:t>[…]. [S]</w:t>
      </w:r>
      <w:r w:rsidR="00E86E74" w:rsidRPr="00E4299F">
        <w:rPr>
          <w:rFonts w:ascii="Arial" w:hAnsi="Arial" w:cs="Arial"/>
          <w:sz w:val="20"/>
          <w:szCs w:val="20"/>
          <w:lang w:val="es-ES_tradnl"/>
        </w:rPr>
        <w:t xml:space="preserve">e ha acudido a su significado en el lenguaje común, el cual indica que el término designa la acción de «Tener parte en una sociedad o negocio o ser socio de ellos». Esta noción es acorde con el derecho societario, en el cual se indica que la participación recae sobre las utilidades de la sociedad, en algunos casos en proporción a las acciones –en las sociedades por acciones– o </w:t>
      </w:r>
      <w:proofErr w:type="gramStart"/>
      <w:r w:rsidR="00E86E74" w:rsidRPr="00E4299F">
        <w:rPr>
          <w:rFonts w:ascii="Arial" w:hAnsi="Arial" w:cs="Arial"/>
          <w:sz w:val="20"/>
          <w:szCs w:val="20"/>
          <w:lang w:val="es-ES_tradnl"/>
        </w:rPr>
        <w:t>de acuerdo a</w:t>
      </w:r>
      <w:proofErr w:type="gramEnd"/>
      <w:r w:rsidR="00E86E74" w:rsidRPr="00E4299F">
        <w:rPr>
          <w:rFonts w:ascii="Arial" w:hAnsi="Arial" w:cs="Arial"/>
          <w:sz w:val="20"/>
          <w:szCs w:val="20"/>
          <w:lang w:val="es-ES_tradnl"/>
        </w:rPr>
        <w:t xml:space="preserve"> la industria o trabajo personal del socio –como sucede usualmente en las sociedades de personas–. Así lo señalan, entre otros, los artículos 130, 137, 138, 141, 150, 380 y 462 del Código de Comercio. </w:t>
      </w:r>
    </w:p>
    <w:p w14:paraId="5BCB11DC" w14:textId="39AEDCAC" w:rsidR="00E86E74" w:rsidRPr="00D43CE8" w:rsidRDefault="00E86E74" w:rsidP="00E86E74">
      <w:pPr>
        <w:spacing w:before="120"/>
        <w:jc w:val="both"/>
        <w:rPr>
          <w:rFonts w:ascii="Arial" w:hAnsi="Arial" w:cs="Arial"/>
          <w:sz w:val="20"/>
          <w:szCs w:val="20"/>
          <w:lang w:val="es-ES_tradnl"/>
        </w:rPr>
      </w:pPr>
      <w:r w:rsidRPr="00E4299F">
        <w:rPr>
          <w:rFonts w:ascii="Arial" w:hAnsi="Arial" w:cs="Arial"/>
          <w:sz w:val="20"/>
          <w:szCs w:val="20"/>
          <w:lang w:val="es-ES_tradnl"/>
        </w:rPr>
        <w:t xml:space="preserve">Esta interpretación se encuentra hoy reflejada en el desarrollo reglamentario de los factores de desempate producido por el Decreto 1860 de 2021, de cuyo texto surge con claridad que la participación mayoritaria a la que se refiere el factor de desempate en estudio tiene que ver con la distribución de acciones, utilidades o cuotas partes de la sociedad que funge como proponente singular o integrante de uno plural. Así se desprende del texto del inciso tercero del numeral 2 del artículo 2.2.1.2.4.2.17 arriba transcrito, que al establecer el medio de acreditación de este factor de desempate para las personas jurídicas, indica que el respectivo representante legal o revisor fiscal, </w:t>
      </w:r>
      <w:r w:rsidRPr="00E4299F">
        <w:rPr>
          <w:rFonts w:ascii="Arial" w:hAnsi="Arial" w:cs="Arial"/>
          <w:sz w:val="20"/>
          <w:szCs w:val="20"/>
          <w:lang w:val="es-ES_tradnl"/>
        </w:rPr>
        <w:lastRenderedPageBreak/>
        <w:t>deberá presentar  «[…] un certificado, mediante el cual acredita, bajo la gravedad de juramento, que más del cincuenta por ciento (50 %) de la composición accionaria o cuota parte de la persona jurídica está constituida por mujeres cabeza de familia y/o mujeres víctimas de violencia intrafamiliar». De acuerdo con esto, la manera en la que se ha reglamentado el numeral 2 del artículo 35 de la Ley 2069 de 2020, permite concluir que, las personas jurídicas que entran dentro del ámbito de aplicación de este criterio de desempate son aquellas en las que más del 50% de la composición accionaria o cuota parte se encuentre en cabeza de mujeres cabeza de familia y/o mujeres víctimas de violencia intrafamiliar.</w:t>
      </w:r>
      <w:r w:rsidRPr="00D43CE8">
        <w:rPr>
          <w:rFonts w:ascii="Arial" w:hAnsi="Arial" w:cs="Arial"/>
          <w:sz w:val="20"/>
          <w:szCs w:val="20"/>
          <w:lang w:val="es-ES_tradnl"/>
        </w:rPr>
        <w:t xml:space="preserve"> </w:t>
      </w:r>
    </w:p>
    <w:bookmarkEnd w:id="2"/>
    <w:p w14:paraId="537EDF70" w14:textId="4A3B395A" w:rsidR="004F1593" w:rsidRPr="00D43CE8" w:rsidRDefault="004F1593" w:rsidP="00FC5652">
      <w:pPr>
        <w:jc w:val="both"/>
        <w:rPr>
          <w:rFonts w:ascii="Arial" w:hAnsi="Arial" w:cs="Arial"/>
          <w:noProof/>
          <w:sz w:val="20"/>
          <w:szCs w:val="22"/>
          <w:lang w:val="es-ES_tradnl"/>
        </w:rPr>
      </w:pPr>
    </w:p>
    <w:p w14:paraId="41DCCBE3" w14:textId="5F5C6E04" w:rsidR="00067A6D" w:rsidRPr="00067A6D" w:rsidRDefault="00067A6D" w:rsidP="00067A6D">
      <w:pPr>
        <w:jc w:val="both"/>
        <w:rPr>
          <w:rFonts w:ascii="Arial" w:eastAsia="Calibri" w:hAnsi="Arial" w:cs="Arial"/>
          <w:sz w:val="20"/>
          <w:szCs w:val="20"/>
          <w:lang w:val="es-ES_tradnl"/>
        </w:rPr>
      </w:pPr>
      <w:bookmarkStart w:id="3" w:name="_Hlk81487704"/>
      <w:r>
        <w:rPr>
          <w:rFonts w:ascii="Arial" w:eastAsia="Calibri" w:hAnsi="Arial" w:cs="Arial"/>
          <w:sz w:val="20"/>
          <w:szCs w:val="20"/>
          <w:lang w:val="es-ES_tradnl"/>
        </w:rPr>
        <w:t>[…]</w:t>
      </w:r>
      <w:r w:rsidRPr="00067A6D">
        <w:rPr>
          <w:rFonts w:ascii="Arial" w:eastAsia="Calibri" w:hAnsi="Arial" w:cs="Arial"/>
          <w:sz w:val="20"/>
          <w:szCs w:val="20"/>
          <w:lang w:val="es-ES_tradnl"/>
        </w:rPr>
        <w:t xml:space="preserve"> en relación con el numeral 4 del artículo 35 de la Ley 2069 de 2020, 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 Interpretación, que, entre otras cosas, es consistente con la reglamentación del numeral 4 del artículo 2.2.1.2.4.2.17 del Decreto 1860 de 2021, en el que se determina que «[l]a mayor proporción se definirá en relación con el número total de trabajadores vinculados en la planta de personal, por lo que se preferirá al oferente que acredite un porcentaje mayor». Y define </w:t>
      </w:r>
      <w:proofErr w:type="gramStart"/>
      <w:r w:rsidRPr="00067A6D">
        <w:rPr>
          <w:rFonts w:ascii="Arial" w:eastAsia="Calibri" w:hAnsi="Arial" w:cs="Arial"/>
          <w:sz w:val="20"/>
          <w:szCs w:val="20"/>
          <w:lang w:val="es-ES_tradnl"/>
        </w:rPr>
        <w:t>que</w:t>
      </w:r>
      <w:proofErr w:type="gramEnd"/>
      <w:r w:rsidRPr="00067A6D">
        <w:rPr>
          <w:rFonts w:ascii="Arial" w:eastAsia="Calibri" w:hAnsi="Arial" w:cs="Arial"/>
          <w:sz w:val="20"/>
          <w:szCs w:val="20"/>
          <w:lang w:val="es-ES_tradnl"/>
        </w:rPr>
        <w:t xml:space="preserve"> para el caso de proponentes plurales, «la mayor proporción se definirá con la sumatoria de trabajadores vinculados en la planta de personal de cada uno de sus integrantes».  </w:t>
      </w:r>
    </w:p>
    <w:p w14:paraId="13DF0369" w14:textId="77777777" w:rsidR="00067A6D" w:rsidRPr="00067A6D" w:rsidRDefault="00067A6D" w:rsidP="00067A6D">
      <w:pPr>
        <w:jc w:val="both"/>
        <w:rPr>
          <w:rFonts w:ascii="Arial" w:eastAsia="Calibri" w:hAnsi="Arial" w:cs="Arial"/>
          <w:sz w:val="20"/>
          <w:szCs w:val="20"/>
          <w:lang w:val="es-ES_tradnl"/>
        </w:rPr>
      </w:pPr>
    </w:p>
    <w:p w14:paraId="4DDCC740" w14:textId="0436D863" w:rsidR="003F6998" w:rsidRDefault="003F6998" w:rsidP="00B95C30">
      <w:pPr>
        <w:jc w:val="both"/>
        <w:rPr>
          <w:rFonts w:ascii="Arial" w:eastAsia="Calibri" w:hAnsi="Arial" w:cs="Arial"/>
          <w:sz w:val="22"/>
          <w:lang w:val="es-ES_tradnl"/>
        </w:rPr>
      </w:pPr>
      <w:bookmarkStart w:id="4" w:name="_Hlk94858220"/>
    </w:p>
    <w:p w14:paraId="30399E3F" w14:textId="74B7A7B1" w:rsidR="00EC4A85" w:rsidRDefault="00EC4A85" w:rsidP="00B95C30">
      <w:pPr>
        <w:jc w:val="both"/>
        <w:rPr>
          <w:rFonts w:ascii="Arial" w:eastAsia="Calibri" w:hAnsi="Arial" w:cs="Arial"/>
          <w:sz w:val="22"/>
          <w:lang w:val="es-ES_tradnl"/>
        </w:rPr>
      </w:pPr>
    </w:p>
    <w:p w14:paraId="44A92C42" w14:textId="2913BCAA" w:rsidR="004C6C0B" w:rsidRDefault="004C6C0B" w:rsidP="00B95C30">
      <w:pPr>
        <w:jc w:val="both"/>
        <w:rPr>
          <w:rFonts w:ascii="Arial" w:eastAsia="Calibri" w:hAnsi="Arial" w:cs="Arial"/>
          <w:sz w:val="22"/>
          <w:lang w:val="es-ES_tradnl"/>
        </w:rPr>
      </w:pPr>
    </w:p>
    <w:p w14:paraId="753993AE" w14:textId="3CE376D1" w:rsidR="004C6C0B" w:rsidRDefault="004C6C0B" w:rsidP="00B95C30">
      <w:pPr>
        <w:jc w:val="both"/>
        <w:rPr>
          <w:rFonts w:ascii="Arial" w:eastAsia="Calibri" w:hAnsi="Arial" w:cs="Arial"/>
          <w:sz w:val="22"/>
          <w:lang w:val="es-ES_tradnl"/>
        </w:rPr>
      </w:pPr>
    </w:p>
    <w:p w14:paraId="7D520C75" w14:textId="4FB4F138" w:rsidR="004C6C0B" w:rsidRDefault="004C6C0B" w:rsidP="00B95C30">
      <w:pPr>
        <w:jc w:val="both"/>
        <w:rPr>
          <w:rFonts w:ascii="Arial" w:eastAsia="Calibri" w:hAnsi="Arial" w:cs="Arial"/>
          <w:sz w:val="22"/>
          <w:lang w:val="es-ES_tradnl"/>
        </w:rPr>
      </w:pPr>
    </w:p>
    <w:p w14:paraId="6B96CFFA" w14:textId="13B59379" w:rsidR="004C6C0B" w:rsidRDefault="004C6C0B" w:rsidP="00B95C30">
      <w:pPr>
        <w:jc w:val="both"/>
        <w:rPr>
          <w:rFonts w:ascii="Arial" w:eastAsia="Calibri" w:hAnsi="Arial" w:cs="Arial"/>
          <w:sz w:val="22"/>
          <w:lang w:val="es-ES_tradnl"/>
        </w:rPr>
      </w:pPr>
    </w:p>
    <w:p w14:paraId="37E740EE" w14:textId="3DB2B83D" w:rsidR="004C6C0B" w:rsidRDefault="004C6C0B" w:rsidP="00B95C30">
      <w:pPr>
        <w:jc w:val="both"/>
        <w:rPr>
          <w:rFonts w:ascii="Arial" w:eastAsia="Calibri" w:hAnsi="Arial" w:cs="Arial"/>
          <w:sz w:val="22"/>
          <w:lang w:val="es-ES_tradnl"/>
        </w:rPr>
      </w:pPr>
    </w:p>
    <w:p w14:paraId="0C52C478" w14:textId="5E47EDEF" w:rsidR="004C6C0B" w:rsidRDefault="004C6C0B" w:rsidP="00B95C30">
      <w:pPr>
        <w:jc w:val="both"/>
        <w:rPr>
          <w:rFonts w:ascii="Arial" w:eastAsia="Calibri" w:hAnsi="Arial" w:cs="Arial"/>
          <w:sz w:val="22"/>
          <w:lang w:val="es-ES_tradnl"/>
        </w:rPr>
      </w:pPr>
    </w:p>
    <w:p w14:paraId="087FC876" w14:textId="293A1A28" w:rsidR="004C6C0B" w:rsidRDefault="004C6C0B" w:rsidP="00B95C30">
      <w:pPr>
        <w:jc w:val="both"/>
        <w:rPr>
          <w:rFonts w:ascii="Arial" w:eastAsia="Calibri" w:hAnsi="Arial" w:cs="Arial"/>
          <w:sz w:val="22"/>
          <w:lang w:val="es-ES_tradnl"/>
        </w:rPr>
      </w:pPr>
    </w:p>
    <w:p w14:paraId="350A285B" w14:textId="61BAEAE5" w:rsidR="004C6C0B" w:rsidRDefault="004C6C0B" w:rsidP="00B95C30">
      <w:pPr>
        <w:jc w:val="both"/>
        <w:rPr>
          <w:rFonts w:ascii="Arial" w:eastAsia="Calibri" w:hAnsi="Arial" w:cs="Arial"/>
          <w:sz w:val="22"/>
          <w:lang w:val="es-ES_tradnl"/>
        </w:rPr>
      </w:pPr>
    </w:p>
    <w:p w14:paraId="5AD24A1A" w14:textId="77777777" w:rsidR="004C6C0B" w:rsidRDefault="004C6C0B" w:rsidP="00B95C30">
      <w:pPr>
        <w:jc w:val="both"/>
        <w:rPr>
          <w:rFonts w:ascii="Arial" w:eastAsia="Calibri" w:hAnsi="Arial" w:cs="Arial"/>
          <w:sz w:val="22"/>
          <w:lang w:val="es-ES_tradnl"/>
        </w:rPr>
      </w:pPr>
    </w:p>
    <w:p w14:paraId="090F8D88" w14:textId="4A98E6C9" w:rsidR="00EC4A85" w:rsidRDefault="00EC4A85" w:rsidP="00B95C30">
      <w:pPr>
        <w:jc w:val="both"/>
        <w:rPr>
          <w:rFonts w:ascii="Arial" w:eastAsia="Calibri" w:hAnsi="Arial" w:cs="Arial"/>
          <w:sz w:val="22"/>
          <w:lang w:val="es-ES_tradnl"/>
        </w:rPr>
      </w:pPr>
    </w:p>
    <w:p w14:paraId="66DA7BD8" w14:textId="66CDEA9A" w:rsidR="004C6C0B" w:rsidRDefault="004C6C0B" w:rsidP="00B95C30">
      <w:pPr>
        <w:jc w:val="both"/>
        <w:rPr>
          <w:rFonts w:ascii="Arial" w:eastAsia="Calibri" w:hAnsi="Arial" w:cs="Arial"/>
          <w:sz w:val="22"/>
          <w:lang w:val="es-ES_tradnl"/>
        </w:rPr>
      </w:pPr>
    </w:p>
    <w:p w14:paraId="04AE0DAF" w14:textId="244FB018" w:rsidR="004C6C0B" w:rsidRDefault="004C6C0B" w:rsidP="00B95C30">
      <w:pPr>
        <w:jc w:val="both"/>
        <w:rPr>
          <w:rFonts w:ascii="Arial" w:eastAsia="Calibri" w:hAnsi="Arial" w:cs="Arial"/>
          <w:sz w:val="22"/>
          <w:lang w:val="es-ES_tradnl"/>
        </w:rPr>
      </w:pPr>
    </w:p>
    <w:p w14:paraId="20234111" w14:textId="0383F36F" w:rsidR="004C6C0B" w:rsidRDefault="004C6C0B" w:rsidP="00B95C30">
      <w:pPr>
        <w:jc w:val="both"/>
        <w:rPr>
          <w:rFonts w:ascii="Arial" w:eastAsia="Calibri" w:hAnsi="Arial" w:cs="Arial"/>
          <w:sz w:val="22"/>
          <w:lang w:val="es-ES_tradnl"/>
        </w:rPr>
      </w:pPr>
    </w:p>
    <w:p w14:paraId="781E9D06" w14:textId="497AD5C2" w:rsidR="004C6C0B" w:rsidRDefault="004C6C0B" w:rsidP="00B95C30">
      <w:pPr>
        <w:jc w:val="both"/>
        <w:rPr>
          <w:rFonts w:ascii="Arial" w:eastAsia="Calibri" w:hAnsi="Arial" w:cs="Arial"/>
          <w:sz w:val="22"/>
          <w:lang w:val="es-ES_tradnl"/>
        </w:rPr>
      </w:pPr>
    </w:p>
    <w:p w14:paraId="08674095" w14:textId="7C254414" w:rsidR="004C6C0B" w:rsidRDefault="004C6C0B" w:rsidP="00B95C30">
      <w:pPr>
        <w:jc w:val="both"/>
        <w:rPr>
          <w:rFonts w:ascii="Arial" w:eastAsia="Calibri" w:hAnsi="Arial" w:cs="Arial"/>
          <w:sz w:val="22"/>
          <w:lang w:val="es-ES_tradnl"/>
        </w:rPr>
      </w:pPr>
    </w:p>
    <w:p w14:paraId="3CB1BD0F" w14:textId="09AEC3CA" w:rsidR="004C6C0B" w:rsidRDefault="004C6C0B" w:rsidP="00B95C30">
      <w:pPr>
        <w:jc w:val="both"/>
        <w:rPr>
          <w:rFonts w:ascii="Arial" w:eastAsia="Calibri" w:hAnsi="Arial" w:cs="Arial"/>
          <w:sz w:val="22"/>
          <w:lang w:val="es-ES_tradnl"/>
        </w:rPr>
      </w:pPr>
    </w:p>
    <w:p w14:paraId="1099DFF9" w14:textId="7A3200C9" w:rsidR="004C6C0B" w:rsidRDefault="004C6C0B" w:rsidP="00B95C30">
      <w:pPr>
        <w:jc w:val="both"/>
        <w:rPr>
          <w:rFonts w:ascii="Arial" w:eastAsia="Calibri" w:hAnsi="Arial" w:cs="Arial"/>
          <w:sz w:val="22"/>
          <w:lang w:val="es-ES_tradnl"/>
        </w:rPr>
      </w:pPr>
    </w:p>
    <w:p w14:paraId="6B551B19" w14:textId="3AFD867E" w:rsidR="004C6C0B" w:rsidRDefault="004C6C0B" w:rsidP="00B95C30">
      <w:pPr>
        <w:jc w:val="both"/>
        <w:rPr>
          <w:rFonts w:ascii="Arial" w:eastAsia="Calibri" w:hAnsi="Arial" w:cs="Arial"/>
          <w:sz w:val="22"/>
          <w:lang w:val="es-ES_tradnl"/>
        </w:rPr>
      </w:pPr>
    </w:p>
    <w:p w14:paraId="2B1D65B8" w14:textId="21D4046F" w:rsidR="004C6C0B" w:rsidRDefault="004C6C0B" w:rsidP="00B95C30">
      <w:pPr>
        <w:jc w:val="both"/>
        <w:rPr>
          <w:rFonts w:ascii="Arial" w:eastAsia="Calibri" w:hAnsi="Arial" w:cs="Arial"/>
          <w:sz w:val="22"/>
          <w:lang w:val="es-ES_tradnl"/>
        </w:rPr>
      </w:pPr>
    </w:p>
    <w:p w14:paraId="5DBADFD4" w14:textId="6529A91F" w:rsidR="004C6C0B" w:rsidRDefault="004C6C0B" w:rsidP="00B95C30">
      <w:pPr>
        <w:jc w:val="both"/>
        <w:rPr>
          <w:rFonts w:ascii="Arial" w:eastAsia="Calibri" w:hAnsi="Arial" w:cs="Arial"/>
          <w:sz w:val="22"/>
          <w:lang w:val="es-ES_tradnl"/>
        </w:rPr>
      </w:pPr>
    </w:p>
    <w:p w14:paraId="0A49F3B0" w14:textId="52167037" w:rsidR="004C6C0B" w:rsidRDefault="004C6C0B" w:rsidP="00B95C30">
      <w:pPr>
        <w:jc w:val="both"/>
        <w:rPr>
          <w:rFonts w:ascii="Arial" w:eastAsia="Calibri" w:hAnsi="Arial" w:cs="Arial"/>
          <w:sz w:val="22"/>
          <w:lang w:val="es-ES_tradnl"/>
        </w:rPr>
      </w:pPr>
    </w:p>
    <w:p w14:paraId="41DBE08C" w14:textId="2B422A49" w:rsidR="004C6C0B" w:rsidRDefault="004C6C0B" w:rsidP="00B95C30">
      <w:pPr>
        <w:jc w:val="both"/>
        <w:rPr>
          <w:rFonts w:ascii="Arial" w:eastAsia="Calibri" w:hAnsi="Arial" w:cs="Arial"/>
          <w:sz w:val="22"/>
          <w:lang w:val="es-ES_tradnl"/>
        </w:rPr>
      </w:pPr>
    </w:p>
    <w:p w14:paraId="434C3CB5" w14:textId="05F7831F" w:rsidR="003F5353" w:rsidRDefault="003F5353" w:rsidP="00B95C30">
      <w:pPr>
        <w:jc w:val="both"/>
        <w:rPr>
          <w:rFonts w:ascii="Arial" w:eastAsia="Calibri" w:hAnsi="Arial" w:cs="Arial"/>
          <w:sz w:val="22"/>
          <w:lang w:val="es-ES_tradnl"/>
        </w:rPr>
      </w:pPr>
    </w:p>
    <w:p w14:paraId="036E01F3" w14:textId="6EBC151C" w:rsidR="00990CC8" w:rsidRDefault="00990CC8" w:rsidP="00B95C30">
      <w:pPr>
        <w:jc w:val="both"/>
        <w:rPr>
          <w:rFonts w:ascii="Arial" w:eastAsia="Calibri" w:hAnsi="Arial" w:cs="Arial"/>
          <w:sz w:val="22"/>
          <w:lang w:val="es-ES_tradnl"/>
        </w:rPr>
      </w:pPr>
    </w:p>
    <w:p w14:paraId="4082D121" w14:textId="77777777" w:rsidR="00D40156" w:rsidRDefault="00D40156" w:rsidP="00B95C30">
      <w:pPr>
        <w:jc w:val="both"/>
        <w:rPr>
          <w:rFonts w:ascii="Arial" w:eastAsia="Calibri" w:hAnsi="Arial" w:cs="Arial"/>
          <w:sz w:val="22"/>
          <w:lang w:val="es-ES_tradnl"/>
        </w:rPr>
      </w:pPr>
    </w:p>
    <w:p w14:paraId="48C960C8" w14:textId="76EB3A63" w:rsidR="003F5353" w:rsidRDefault="00C065EA" w:rsidP="00C065EA">
      <w:pPr>
        <w:jc w:val="right"/>
        <w:rPr>
          <w:rFonts w:ascii="Arial" w:eastAsia="Calibri" w:hAnsi="Arial" w:cs="Arial"/>
          <w:sz w:val="22"/>
          <w:lang w:val="es-ES_tradnl"/>
        </w:rPr>
      </w:pPr>
      <w:r w:rsidRPr="00C065EA">
        <w:rPr>
          <w:rFonts w:ascii="Arial" w:eastAsia="Calibri" w:hAnsi="Arial" w:cs="Arial"/>
          <w:sz w:val="22"/>
          <w:lang w:val="es-ES_tradnl"/>
        </w:rPr>
        <w:drawing>
          <wp:inline distT="0" distB="0" distL="0" distR="0" wp14:anchorId="392BEF10" wp14:editId="5033D8DB">
            <wp:extent cx="2582562" cy="723900"/>
            <wp:effectExtent l="0" t="0" r="825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607764" cy="730964"/>
                    </a:xfrm>
                    <a:prstGeom prst="rect">
                      <a:avLst/>
                    </a:prstGeom>
                  </pic:spPr>
                </pic:pic>
              </a:graphicData>
            </a:graphic>
          </wp:inline>
        </w:drawing>
      </w:r>
    </w:p>
    <w:p w14:paraId="46D963AE" w14:textId="337B7F2C" w:rsidR="003F5353" w:rsidRPr="00C065EA" w:rsidRDefault="00C065EA" w:rsidP="00B95C30">
      <w:pPr>
        <w:jc w:val="both"/>
        <w:rPr>
          <w:rFonts w:ascii="Arial" w:eastAsia="Calibri" w:hAnsi="Arial" w:cs="Arial"/>
          <w:color w:val="7F7F7F" w:themeColor="text1" w:themeTint="80"/>
          <w:sz w:val="22"/>
          <w:lang w:val="es-ES_tradnl"/>
        </w:rPr>
      </w:pPr>
      <w:r w:rsidRPr="00C065EA">
        <w:rPr>
          <w:rFonts w:ascii="Arial" w:eastAsia="Calibri" w:hAnsi="Arial" w:cs="Arial"/>
          <w:color w:val="7F7F7F" w:themeColor="text1" w:themeTint="80"/>
          <w:sz w:val="22"/>
          <w:lang w:val="es-ES_tradnl"/>
        </w:rPr>
        <w:t xml:space="preserve">Bogotá, D.C. 20 </w:t>
      </w:r>
      <w:proofErr w:type="gramStart"/>
      <w:r w:rsidRPr="00C065EA">
        <w:rPr>
          <w:rFonts w:ascii="Arial" w:eastAsia="Calibri" w:hAnsi="Arial" w:cs="Arial"/>
          <w:color w:val="7F7F7F" w:themeColor="text1" w:themeTint="80"/>
          <w:sz w:val="22"/>
          <w:lang w:val="es-ES_tradnl"/>
        </w:rPr>
        <w:t>Mayo</w:t>
      </w:r>
      <w:proofErr w:type="gramEnd"/>
      <w:r w:rsidRPr="00C065EA">
        <w:rPr>
          <w:rFonts w:ascii="Arial" w:eastAsia="Calibri" w:hAnsi="Arial" w:cs="Arial"/>
          <w:color w:val="7F7F7F" w:themeColor="text1" w:themeTint="80"/>
          <w:sz w:val="22"/>
          <w:lang w:val="es-ES_tradnl"/>
        </w:rPr>
        <w:t xml:space="preserve"> 2022</w:t>
      </w:r>
    </w:p>
    <w:p w14:paraId="3A7A2028" w14:textId="77777777" w:rsidR="003F5353" w:rsidRPr="00D43CE8" w:rsidRDefault="003F5353" w:rsidP="00B95C30">
      <w:pPr>
        <w:jc w:val="both"/>
        <w:rPr>
          <w:rFonts w:ascii="Arial" w:eastAsia="Calibri" w:hAnsi="Arial" w:cs="Arial"/>
          <w:sz w:val="22"/>
          <w:lang w:val="es-ES_tradnl"/>
        </w:rPr>
      </w:pPr>
    </w:p>
    <w:p w14:paraId="5F5AE9EF" w14:textId="6CD1F624" w:rsidR="00B95C30" w:rsidRPr="00D43CE8" w:rsidRDefault="00BE4FBF" w:rsidP="00B95C30">
      <w:pPr>
        <w:jc w:val="both"/>
        <w:rPr>
          <w:rFonts w:ascii="Arial" w:eastAsia="Calibri" w:hAnsi="Arial" w:cs="Arial"/>
          <w:sz w:val="22"/>
          <w:lang w:val="es-ES_tradnl"/>
        </w:rPr>
      </w:pPr>
      <w:r w:rsidRPr="00D43CE8">
        <w:rPr>
          <w:rFonts w:ascii="Arial" w:eastAsia="Calibri" w:hAnsi="Arial" w:cs="Arial"/>
          <w:sz w:val="22"/>
          <w:lang w:val="es-ES_tradnl"/>
        </w:rPr>
        <w:t>Señor</w:t>
      </w:r>
      <w:r w:rsidR="00467854" w:rsidRPr="00D43CE8">
        <w:rPr>
          <w:rFonts w:ascii="Arial" w:eastAsia="Calibri" w:hAnsi="Arial" w:cs="Arial"/>
          <w:sz w:val="22"/>
          <w:lang w:val="es-ES_tradnl"/>
        </w:rPr>
        <w:t xml:space="preserve">a </w:t>
      </w:r>
    </w:p>
    <w:p w14:paraId="6C09CCDD" w14:textId="48B8BDFD" w:rsidR="00000877" w:rsidRPr="00D43CE8" w:rsidRDefault="00FE32DF" w:rsidP="00B95C30">
      <w:pPr>
        <w:jc w:val="both"/>
        <w:rPr>
          <w:rFonts w:ascii="Arial" w:eastAsia="Calibri" w:hAnsi="Arial" w:cs="Arial"/>
          <w:b/>
          <w:sz w:val="22"/>
          <w:lang w:val="es-ES_tradnl"/>
        </w:rPr>
      </w:pPr>
      <w:r>
        <w:rPr>
          <w:rFonts w:ascii="Arial" w:eastAsia="Calibri" w:hAnsi="Arial" w:cs="Arial"/>
          <w:b/>
          <w:sz w:val="22"/>
          <w:lang w:val="es-ES_tradnl"/>
        </w:rPr>
        <w:t>María Esther Caicedo Angulo</w:t>
      </w:r>
    </w:p>
    <w:p w14:paraId="11A723E2" w14:textId="4E4E18C3" w:rsidR="00B630DD" w:rsidRPr="00E90240" w:rsidRDefault="00B630DD" w:rsidP="00B95C30">
      <w:pPr>
        <w:jc w:val="both"/>
        <w:rPr>
          <w:rFonts w:ascii="Arial" w:eastAsia="Calibri" w:hAnsi="Arial" w:cs="Arial"/>
          <w:sz w:val="22"/>
          <w:lang w:val="es-ES_tradnl"/>
        </w:rPr>
      </w:pPr>
      <w:r w:rsidRPr="00E90240">
        <w:rPr>
          <w:rFonts w:ascii="Arial" w:eastAsia="Calibri" w:hAnsi="Arial" w:cs="Arial"/>
          <w:sz w:val="22"/>
          <w:lang w:val="es-ES_tradnl"/>
        </w:rPr>
        <w:t>Su</w:t>
      </w:r>
      <w:r w:rsidR="000B5925" w:rsidRPr="00E90240">
        <w:rPr>
          <w:rFonts w:ascii="Arial" w:eastAsia="Calibri" w:hAnsi="Arial" w:cs="Arial"/>
          <w:sz w:val="22"/>
          <w:lang w:val="es-ES_tradnl"/>
        </w:rPr>
        <w:t>perintendencia del Subsidio Familiar</w:t>
      </w:r>
    </w:p>
    <w:p w14:paraId="2518C24A" w14:textId="3829B262" w:rsidR="000B5925" w:rsidRPr="000B5925" w:rsidRDefault="000B5925" w:rsidP="00B95C30">
      <w:pPr>
        <w:jc w:val="both"/>
        <w:rPr>
          <w:rFonts w:ascii="Arial" w:eastAsia="Calibri" w:hAnsi="Arial" w:cs="Arial"/>
          <w:sz w:val="22"/>
          <w:lang w:val="es-ES_tradnl"/>
        </w:rPr>
      </w:pPr>
      <w:r w:rsidRPr="000B5925">
        <w:rPr>
          <w:rFonts w:ascii="Arial" w:eastAsia="Calibri" w:hAnsi="Arial" w:cs="Arial"/>
          <w:sz w:val="22"/>
          <w:lang w:val="es-ES_tradnl"/>
        </w:rPr>
        <w:t>Ministerio de Trabajo</w:t>
      </w:r>
    </w:p>
    <w:p w14:paraId="09D4AEA8" w14:textId="10D68B35" w:rsidR="00B95C30" w:rsidRPr="00D43CE8" w:rsidRDefault="00FE32DF" w:rsidP="00B95C30">
      <w:pPr>
        <w:jc w:val="both"/>
        <w:rPr>
          <w:rFonts w:ascii="Arial" w:eastAsia="Calibri" w:hAnsi="Arial" w:cs="Arial"/>
          <w:sz w:val="22"/>
          <w:lang w:val="es-ES_tradnl"/>
        </w:rPr>
      </w:pPr>
      <w:r>
        <w:rPr>
          <w:rFonts w:ascii="Arial" w:eastAsia="Calibri" w:hAnsi="Arial" w:cs="Arial"/>
          <w:sz w:val="22"/>
          <w:lang w:val="es-ES_tradnl"/>
        </w:rPr>
        <w:t xml:space="preserve">Bogotá, D.C. </w:t>
      </w:r>
    </w:p>
    <w:p w14:paraId="3B584A57" w14:textId="4528CA3D" w:rsidR="00F53F4F" w:rsidRPr="00D43CE8" w:rsidRDefault="00F53F4F" w:rsidP="00B95C30">
      <w:pPr>
        <w:jc w:val="both"/>
        <w:rPr>
          <w:rFonts w:ascii="Arial" w:eastAsia="Calibri" w:hAnsi="Arial" w:cs="Arial"/>
          <w:sz w:val="22"/>
          <w:lang w:val="es-ES_tradnl"/>
        </w:rPr>
      </w:pPr>
    </w:p>
    <w:p w14:paraId="48E36FCF" w14:textId="77777777" w:rsidR="00F53F4F" w:rsidRPr="00D43CE8" w:rsidRDefault="00F53F4F" w:rsidP="00B95C30">
      <w:pPr>
        <w:jc w:val="both"/>
        <w:rPr>
          <w:rFonts w:ascii="Arial" w:eastAsia="Calibri" w:hAnsi="Arial" w:cs="Arial"/>
          <w:sz w:val="22"/>
          <w:lang w:val="es-ES_tradnl"/>
        </w:rPr>
      </w:pPr>
    </w:p>
    <w:p w14:paraId="12E66182" w14:textId="1C84B203" w:rsidR="00B95C30" w:rsidRPr="00D43CE8" w:rsidRDefault="00F53F4F" w:rsidP="001D6CD2">
      <w:pPr>
        <w:rPr>
          <w:rFonts w:ascii="Arial" w:eastAsia="Calibri" w:hAnsi="Arial" w:cs="Arial"/>
          <w:b/>
          <w:bCs/>
          <w:sz w:val="22"/>
          <w:lang w:val="es-ES_tradnl"/>
        </w:rPr>
      </w:pPr>
      <w:r w:rsidRPr="00D43CE8">
        <w:rPr>
          <w:rFonts w:ascii="Arial" w:eastAsia="Calibri" w:hAnsi="Arial" w:cs="Arial"/>
          <w:b/>
          <w:bCs/>
          <w:sz w:val="22"/>
          <w:lang w:val="es-ES_tradnl"/>
        </w:rPr>
        <w:t xml:space="preserve">                                            </w:t>
      </w:r>
      <w:r w:rsidR="00B95C30" w:rsidRPr="00D43CE8">
        <w:rPr>
          <w:rFonts w:ascii="Arial" w:eastAsia="Calibri" w:hAnsi="Arial" w:cs="Arial"/>
          <w:b/>
          <w:bCs/>
          <w:sz w:val="22"/>
          <w:lang w:val="es-ES_tradnl"/>
        </w:rPr>
        <w:t xml:space="preserve">Concepto C ‒ </w:t>
      </w:r>
      <w:r w:rsidR="00FE32DF">
        <w:rPr>
          <w:rFonts w:ascii="Arial" w:eastAsia="Calibri" w:hAnsi="Arial" w:cs="Arial"/>
          <w:b/>
          <w:bCs/>
          <w:sz w:val="22"/>
          <w:lang w:val="es-ES_tradnl"/>
        </w:rPr>
        <w:t>322</w:t>
      </w:r>
      <w:r w:rsidR="00B95C30" w:rsidRPr="00D43CE8">
        <w:rPr>
          <w:rFonts w:ascii="Arial" w:eastAsia="Calibri" w:hAnsi="Arial" w:cs="Arial"/>
          <w:b/>
          <w:bCs/>
          <w:sz w:val="22"/>
          <w:lang w:val="es-ES_tradnl"/>
        </w:rPr>
        <w:t xml:space="preserve"> de 202</w:t>
      </w:r>
      <w:r w:rsidR="00FE32DF">
        <w:rPr>
          <w:rFonts w:ascii="Arial" w:eastAsia="Calibri" w:hAnsi="Arial" w:cs="Arial"/>
          <w:b/>
          <w:bCs/>
          <w:sz w:val="22"/>
          <w:lang w:val="es-ES_tradnl"/>
        </w:rPr>
        <w:t>2</w:t>
      </w:r>
    </w:p>
    <w:p w14:paraId="1BD594F9" w14:textId="77777777" w:rsidR="00B95C30" w:rsidRPr="00D43CE8"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609B9" w:rsidRPr="00D43CE8" w14:paraId="19DFC051" w14:textId="77777777" w:rsidTr="003F6998">
        <w:trPr>
          <w:trHeight w:val="1099"/>
        </w:trPr>
        <w:tc>
          <w:tcPr>
            <w:tcW w:w="2689" w:type="dxa"/>
          </w:tcPr>
          <w:p w14:paraId="6BC0D1AC" w14:textId="77777777" w:rsidR="00B95C30" w:rsidRPr="00D43CE8" w:rsidRDefault="00B95C30" w:rsidP="008F4163">
            <w:pPr>
              <w:jc w:val="both"/>
              <w:rPr>
                <w:rFonts w:ascii="Arial" w:eastAsia="Calibri" w:hAnsi="Arial" w:cs="Arial"/>
                <w:sz w:val="22"/>
                <w:lang w:val="es-ES_tradnl"/>
              </w:rPr>
            </w:pPr>
            <w:r w:rsidRPr="00D43CE8">
              <w:rPr>
                <w:rFonts w:ascii="Arial" w:eastAsia="Calibri" w:hAnsi="Arial" w:cs="Arial"/>
                <w:b/>
                <w:sz w:val="22"/>
                <w:lang w:val="es-ES_tradnl"/>
              </w:rPr>
              <w:t>Temas:</w:t>
            </w:r>
            <w:r w:rsidRPr="00D43CE8">
              <w:rPr>
                <w:rFonts w:ascii="Arial" w:eastAsia="Calibri" w:hAnsi="Arial" w:cs="Arial"/>
                <w:sz w:val="22"/>
                <w:lang w:val="es-ES_tradnl"/>
              </w:rPr>
              <w:t xml:space="preserve">                                      </w:t>
            </w:r>
          </w:p>
        </w:tc>
        <w:tc>
          <w:tcPr>
            <w:tcW w:w="6237" w:type="dxa"/>
          </w:tcPr>
          <w:p w14:paraId="5F389CAF" w14:textId="0354A55E" w:rsidR="00B95C30" w:rsidRPr="00D43CE8" w:rsidRDefault="008B63FE" w:rsidP="00000877">
            <w:pPr>
              <w:jc w:val="both"/>
              <w:rPr>
                <w:rFonts w:ascii="Arial" w:hAnsi="Arial" w:cs="Arial"/>
                <w:b/>
                <w:bCs/>
                <w:noProof/>
                <w:sz w:val="20"/>
                <w:szCs w:val="22"/>
                <w:lang w:val="es-ES_tradnl"/>
              </w:rPr>
            </w:pPr>
            <w:r w:rsidRPr="00CD6916">
              <w:rPr>
                <w:rFonts w:ascii="Arial" w:eastAsia="Calibri" w:hAnsi="Arial" w:cs="Arial"/>
                <w:bCs/>
                <w:sz w:val="22"/>
                <w:lang w:val="es-ES_tradnl"/>
              </w:rPr>
              <w:t xml:space="preserve">FACTORES DE DESEMPATE – Características – Límites / </w:t>
            </w:r>
            <w:r w:rsidR="009F69B6">
              <w:rPr>
                <w:rFonts w:ascii="Arial" w:eastAsia="Calibri" w:hAnsi="Arial" w:cs="Arial"/>
                <w:bCs/>
                <w:sz w:val="22"/>
                <w:lang w:val="es-ES_tradnl"/>
              </w:rPr>
              <w:t xml:space="preserve">LEY </w:t>
            </w:r>
            <w:r w:rsidR="003F6998" w:rsidRPr="00CD6916">
              <w:rPr>
                <w:rFonts w:ascii="Arial" w:eastAsia="Calibri" w:hAnsi="Arial" w:cs="Arial"/>
                <w:bCs/>
                <w:sz w:val="22"/>
                <w:lang w:val="es-ES_tradnl"/>
              </w:rPr>
              <w:t xml:space="preserve">DE EMPRENDIMIENTO – Ley 2069 de 2020 – Reglamentación – Decreto 1860 de 2021 – Vigencia / </w:t>
            </w:r>
            <w:bookmarkStart w:id="5" w:name="_Hlk102642616"/>
            <w:r w:rsidR="003F6998" w:rsidRPr="00CD6916">
              <w:rPr>
                <w:rFonts w:ascii="Arial" w:eastAsia="Calibri" w:hAnsi="Arial" w:cs="Arial"/>
                <w:bCs/>
                <w:sz w:val="22"/>
                <w:lang w:val="es-ES_tradnl"/>
              </w:rPr>
              <w:t>FACTORES DE DESEMPATE – Ley 2069 de 2020 –</w:t>
            </w:r>
            <w:r w:rsidR="001D7343" w:rsidRPr="00CD6916">
              <w:rPr>
                <w:rFonts w:ascii="Arial" w:eastAsia="Calibri" w:hAnsi="Arial" w:cs="Arial"/>
                <w:bCs/>
                <w:sz w:val="22"/>
                <w:lang w:val="es-ES_tradnl"/>
              </w:rPr>
              <w:t xml:space="preserve"> Numeral 2</w:t>
            </w:r>
            <w:r w:rsidR="003E75D7" w:rsidRPr="00CD6916">
              <w:rPr>
                <w:rFonts w:ascii="Arial" w:eastAsia="Calibri" w:hAnsi="Arial" w:cs="Arial"/>
                <w:bCs/>
                <w:sz w:val="22"/>
                <w:lang w:val="es-ES_tradnl"/>
              </w:rPr>
              <w:t xml:space="preserve"> – Numeral 4 – </w:t>
            </w:r>
            <w:r w:rsidR="003F6998" w:rsidRPr="00CD6916">
              <w:rPr>
                <w:rFonts w:ascii="Arial" w:eastAsia="Calibri" w:hAnsi="Arial" w:cs="Arial"/>
                <w:bCs/>
                <w:sz w:val="22"/>
                <w:lang w:val="es-ES_tradnl"/>
              </w:rPr>
              <w:t>Decreto 1680 de 2021 –– Participación mayoritaria</w:t>
            </w:r>
            <w:r w:rsidR="004D1449" w:rsidRPr="00CD6916">
              <w:rPr>
                <w:rFonts w:ascii="Arial" w:eastAsia="Calibri" w:hAnsi="Arial" w:cs="Arial"/>
                <w:bCs/>
                <w:sz w:val="22"/>
                <w:lang w:val="es-ES_tradnl"/>
              </w:rPr>
              <w:t xml:space="preserve"> </w:t>
            </w:r>
            <w:r w:rsidR="00CD6916" w:rsidRPr="00CD6916">
              <w:rPr>
                <w:rFonts w:ascii="Arial" w:eastAsia="Calibri" w:hAnsi="Arial" w:cs="Arial"/>
                <w:bCs/>
                <w:sz w:val="22"/>
                <w:lang w:val="es-ES_tradnl"/>
              </w:rPr>
              <w:t>– Mayor proporción</w:t>
            </w:r>
            <w:r w:rsidR="00CD6916">
              <w:rPr>
                <w:rFonts w:ascii="Arial" w:eastAsia="Calibri" w:hAnsi="Arial" w:cs="Arial"/>
                <w:bCs/>
                <w:sz w:val="22"/>
                <w:lang w:val="es-ES_tradnl"/>
              </w:rPr>
              <w:t xml:space="preserve"> </w:t>
            </w:r>
            <w:bookmarkEnd w:id="5"/>
          </w:p>
        </w:tc>
      </w:tr>
      <w:tr w:rsidR="00B95C30" w:rsidRPr="00D43CE8" w14:paraId="27CD52AB" w14:textId="77777777" w:rsidTr="008F4163">
        <w:tc>
          <w:tcPr>
            <w:tcW w:w="2689" w:type="dxa"/>
          </w:tcPr>
          <w:p w14:paraId="37E195A1" w14:textId="1BA218D5" w:rsidR="00B95C30" w:rsidRPr="00D43CE8" w:rsidRDefault="00B95C30" w:rsidP="008F4163">
            <w:pPr>
              <w:spacing w:before="120"/>
              <w:jc w:val="both"/>
              <w:rPr>
                <w:rFonts w:ascii="Arial" w:eastAsia="Calibri" w:hAnsi="Arial" w:cs="Arial"/>
                <w:b/>
                <w:sz w:val="22"/>
                <w:lang w:val="es-ES_tradnl"/>
              </w:rPr>
            </w:pPr>
            <w:r w:rsidRPr="00D43CE8">
              <w:rPr>
                <w:rFonts w:ascii="Arial" w:eastAsia="Calibri" w:hAnsi="Arial" w:cs="Arial"/>
                <w:b/>
                <w:sz w:val="22"/>
                <w:lang w:val="es-ES_tradnl"/>
              </w:rPr>
              <w:t>Radicación:</w:t>
            </w:r>
            <w:r w:rsidRPr="00D43CE8">
              <w:rPr>
                <w:rFonts w:ascii="Arial" w:eastAsia="Calibri" w:hAnsi="Arial" w:cs="Arial"/>
                <w:sz w:val="22"/>
                <w:lang w:val="es-ES_tradnl"/>
              </w:rPr>
              <w:t xml:space="preserve">                              </w:t>
            </w:r>
          </w:p>
        </w:tc>
        <w:tc>
          <w:tcPr>
            <w:tcW w:w="6237" w:type="dxa"/>
          </w:tcPr>
          <w:p w14:paraId="09088B1B" w14:textId="5A726381" w:rsidR="00B95C30" w:rsidRPr="00D43CE8" w:rsidRDefault="00B95C30" w:rsidP="008F4163">
            <w:pPr>
              <w:spacing w:before="120"/>
              <w:jc w:val="both"/>
              <w:rPr>
                <w:rFonts w:ascii="Arial" w:eastAsia="Calibri" w:hAnsi="Arial" w:cs="Arial"/>
                <w:sz w:val="22"/>
                <w:lang w:val="es-ES_tradnl"/>
              </w:rPr>
            </w:pPr>
            <w:r w:rsidRPr="00D43CE8">
              <w:rPr>
                <w:rFonts w:ascii="Arial" w:eastAsia="Calibri" w:hAnsi="Arial" w:cs="Arial"/>
                <w:sz w:val="22"/>
                <w:lang w:val="es-ES_tradnl"/>
              </w:rPr>
              <w:t>Respuesta a</w:t>
            </w:r>
            <w:r w:rsidR="00FE32DF">
              <w:rPr>
                <w:rFonts w:ascii="Arial" w:eastAsia="Calibri" w:hAnsi="Arial" w:cs="Arial"/>
                <w:sz w:val="22"/>
                <w:lang w:val="es-ES_tradnl"/>
              </w:rPr>
              <w:t xml:space="preserve"> la</w:t>
            </w:r>
            <w:r w:rsidRPr="00D43CE8">
              <w:rPr>
                <w:rFonts w:ascii="Arial" w:eastAsia="Calibri" w:hAnsi="Arial" w:cs="Arial"/>
                <w:sz w:val="22"/>
                <w:lang w:val="es-ES_tradnl"/>
              </w:rPr>
              <w:t xml:space="preserve"> consulta</w:t>
            </w:r>
            <w:r w:rsidR="00FE32DF">
              <w:rPr>
                <w:rFonts w:ascii="Arial" w:eastAsia="Calibri" w:hAnsi="Arial" w:cs="Arial"/>
                <w:sz w:val="22"/>
                <w:lang w:val="es-ES_tradnl"/>
              </w:rPr>
              <w:t xml:space="preserve"> No.</w:t>
            </w:r>
            <w:r w:rsidRPr="00D43CE8">
              <w:rPr>
                <w:rFonts w:ascii="Arial" w:eastAsia="Calibri" w:hAnsi="Arial" w:cs="Arial"/>
                <w:sz w:val="22"/>
                <w:lang w:val="es-ES_tradnl"/>
              </w:rPr>
              <w:t xml:space="preserve"> </w:t>
            </w:r>
            <w:r w:rsidR="00FE32DF" w:rsidRPr="00FE32DF">
              <w:rPr>
                <w:rFonts w:ascii="Arial" w:eastAsia="Calibri" w:hAnsi="Arial" w:cs="Arial"/>
                <w:sz w:val="22"/>
                <w:lang w:val="es-ES_tradnl"/>
              </w:rPr>
              <w:t>P20220406003475</w:t>
            </w:r>
          </w:p>
        </w:tc>
      </w:tr>
    </w:tbl>
    <w:p w14:paraId="61B55CA4" w14:textId="77777777" w:rsidR="00716BB0" w:rsidRPr="00D43CE8" w:rsidRDefault="00716BB0" w:rsidP="003C3339">
      <w:pPr>
        <w:jc w:val="both"/>
        <w:rPr>
          <w:rFonts w:ascii="Arial" w:eastAsia="Calibri" w:hAnsi="Arial" w:cs="Arial"/>
          <w:sz w:val="22"/>
          <w:lang w:val="es-ES_tradnl"/>
        </w:rPr>
      </w:pPr>
    </w:p>
    <w:p w14:paraId="4B9B5156" w14:textId="77777777" w:rsidR="00716BB0" w:rsidRPr="00D43CE8" w:rsidRDefault="00716BB0" w:rsidP="003C3339">
      <w:pPr>
        <w:jc w:val="both"/>
        <w:rPr>
          <w:rFonts w:ascii="Arial" w:eastAsia="Calibri" w:hAnsi="Arial" w:cs="Arial"/>
          <w:sz w:val="22"/>
          <w:lang w:val="es-ES_tradnl"/>
        </w:rPr>
      </w:pPr>
    </w:p>
    <w:p w14:paraId="1CF4AEA0" w14:textId="43E9F9A4" w:rsidR="003C3339" w:rsidRPr="00D43CE8" w:rsidRDefault="004A6264" w:rsidP="003C3339">
      <w:pPr>
        <w:jc w:val="both"/>
        <w:rPr>
          <w:rFonts w:ascii="Arial" w:eastAsia="Calibri" w:hAnsi="Arial" w:cs="Arial"/>
          <w:sz w:val="22"/>
          <w:lang w:val="es-ES_tradnl"/>
        </w:rPr>
      </w:pPr>
      <w:r w:rsidRPr="00D43CE8">
        <w:rPr>
          <w:rFonts w:ascii="Arial" w:eastAsia="Calibri" w:hAnsi="Arial" w:cs="Arial"/>
          <w:sz w:val="22"/>
          <w:lang w:val="es-ES_tradnl"/>
        </w:rPr>
        <w:t xml:space="preserve">Estimada señora </w:t>
      </w:r>
      <w:r w:rsidR="00AB63BD">
        <w:rPr>
          <w:rFonts w:ascii="Arial" w:eastAsia="Calibri" w:hAnsi="Arial" w:cs="Arial"/>
          <w:sz w:val="22"/>
          <w:lang w:val="es-ES_tradnl"/>
        </w:rPr>
        <w:t>Caicedo Angulo</w:t>
      </w:r>
      <w:r w:rsidRPr="00D43CE8">
        <w:rPr>
          <w:rFonts w:ascii="Arial" w:eastAsia="Calibri" w:hAnsi="Arial" w:cs="Arial"/>
          <w:sz w:val="22"/>
          <w:lang w:val="es-ES_tradnl"/>
        </w:rPr>
        <w:t xml:space="preserve">: </w:t>
      </w:r>
    </w:p>
    <w:p w14:paraId="1EAE5543" w14:textId="77777777" w:rsidR="00DD5B04" w:rsidRPr="00D43CE8" w:rsidRDefault="00DD5B04" w:rsidP="00DF76A2">
      <w:pPr>
        <w:jc w:val="both"/>
        <w:rPr>
          <w:rFonts w:ascii="Arial" w:eastAsia="Calibri" w:hAnsi="Arial" w:cs="Arial"/>
          <w:sz w:val="22"/>
          <w:lang w:val="es-ES_tradnl"/>
        </w:rPr>
      </w:pPr>
    </w:p>
    <w:p w14:paraId="2109B2D3" w14:textId="39782C5C" w:rsidR="00DD5B04" w:rsidRPr="00D43CE8" w:rsidRDefault="00DD5B04" w:rsidP="00DF76A2">
      <w:pPr>
        <w:spacing w:line="276" w:lineRule="auto"/>
        <w:jc w:val="both"/>
        <w:rPr>
          <w:rFonts w:ascii="Arial" w:eastAsia="Calibri" w:hAnsi="Arial" w:cs="Arial"/>
          <w:sz w:val="22"/>
          <w:lang w:val="es-ES_tradnl"/>
        </w:rPr>
      </w:pPr>
      <w:r w:rsidRPr="00D43CE8">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340488" w:rsidRPr="00D43CE8">
        <w:rPr>
          <w:rFonts w:ascii="Arial" w:eastAsia="Calibri" w:hAnsi="Arial" w:cs="Arial"/>
          <w:sz w:val="22"/>
          <w:lang w:val="es-ES_tradnl"/>
        </w:rPr>
        <w:t>–</w:t>
      </w:r>
      <w:r w:rsidRPr="00D43CE8">
        <w:rPr>
          <w:rFonts w:ascii="Arial" w:eastAsia="Calibri" w:hAnsi="Arial" w:cs="Arial"/>
          <w:sz w:val="22"/>
          <w:lang w:val="es-ES_tradnl"/>
        </w:rPr>
        <w:t xml:space="preserve"> Colombia Compra Eficiente</w:t>
      </w:r>
      <w:r w:rsidR="008C3C57" w:rsidRPr="00D43CE8">
        <w:rPr>
          <w:rFonts w:ascii="Arial" w:eastAsia="Calibri" w:hAnsi="Arial" w:cs="Arial"/>
          <w:sz w:val="22"/>
          <w:lang w:val="es-ES_tradnl"/>
        </w:rPr>
        <w:t xml:space="preserve"> </w:t>
      </w:r>
      <w:r w:rsidRPr="00D43CE8">
        <w:rPr>
          <w:rFonts w:ascii="Arial" w:eastAsia="Calibri" w:hAnsi="Arial" w:cs="Arial"/>
          <w:sz w:val="22"/>
          <w:lang w:val="es-ES_tradnl"/>
        </w:rPr>
        <w:t xml:space="preserve">responde su consulta del </w:t>
      </w:r>
      <w:r w:rsidR="00D372A9">
        <w:rPr>
          <w:rFonts w:ascii="Arial" w:eastAsia="Calibri" w:hAnsi="Arial" w:cs="Arial"/>
          <w:sz w:val="22"/>
          <w:lang w:val="es-ES_tradnl"/>
        </w:rPr>
        <w:t>6</w:t>
      </w:r>
      <w:r w:rsidR="00467854" w:rsidRPr="00D43CE8">
        <w:rPr>
          <w:rFonts w:ascii="Arial" w:eastAsia="Calibri" w:hAnsi="Arial" w:cs="Arial"/>
          <w:sz w:val="22"/>
          <w:lang w:val="es-ES_tradnl"/>
        </w:rPr>
        <w:t xml:space="preserve"> de </w:t>
      </w:r>
      <w:r w:rsidR="00D372A9">
        <w:rPr>
          <w:rFonts w:ascii="Arial" w:eastAsia="Calibri" w:hAnsi="Arial" w:cs="Arial"/>
          <w:sz w:val="22"/>
          <w:lang w:val="es-ES_tradnl"/>
        </w:rPr>
        <w:t>abril</w:t>
      </w:r>
      <w:r w:rsidR="00467854" w:rsidRPr="00D43CE8">
        <w:rPr>
          <w:rFonts w:ascii="Arial" w:eastAsia="Calibri" w:hAnsi="Arial" w:cs="Arial"/>
          <w:sz w:val="22"/>
          <w:lang w:val="es-ES_tradnl"/>
        </w:rPr>
        <w:t xml:space="preserve"> de 202</w:t>
      </w:r>
      <w:r w:rsidR="00D372A9">
        <w:rPr>
          <w:rFonts w:ascii="Arial" w:eastAsia="Calibri" w:hAnsi="Arial" w:cs="Arial"/>
          <w:sz w:val="22"/>
          <w:lang w:val="es-ES_tradnl"/>
        </w:rPr>
        <w:t>2</w:t>
      </w:r>
      <w:r w:rsidR="008C3C57" w:rsidRPr="00D43CE8">
        <w:rPr>
          <w:rFonts w:ascii="Arial" w:eastAsia="Calibri" w:hAnsi="Arial" w:cs="Arial"/>
          <w:sz w:val="22"/>
          <w:lang w:val="es-ES_tradnl"/>
        </w:rPr>
        <w:t>.</w:t>
      </w:r>
    </w:p>
    <w:p w14:paraId="0C1E0712" w14:textId="77777777" w:rsidR="00DD5B04" w:rsidRPr="00D43CE8" w:rsidRDefault="00DD5B04" w:rsidP="00DF76A2">
      <w:pPr>
        <w:spacing w:line="276" w:lineRule="auto"/>
        <w:jc w:val="both"/>
        <w:rPr>
          <w:rFonts w:ascii="Arial" w:eastAsia="Calibri" w:hAnsi="Arial" w:cs="Arial"/>
          <w:b/>
          <w:sz w:val="22"/>
          <w:lang w:val="es-ES_tradnl"/>
        </w:rPr>
      </w:pPr>
    </w:p>
    <w:p w14:paraId="7701FCC7" w14:textId="77777777" w:rsidR="00DD5B04" w:rsidRPr="00D43CE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D43CE8">
        <w:rPr>
          <w:rFonts w:ascii="Arial" w:eastAsia="Calibri" w:hAnsi="Arial" w:cs="Arial"/>
          <w:b/>
          <w:sz w:val="22"/>
          <w:lang w:val="es-ES_tradnl"/>
        </w:rPr>
        <w:t xml:space="preserve">Problema planteado </w:t>
      </w:r>
    </w:p>
    <w:p w14:paraId="224B43D3" w14:textId="77777777" w:rsidR="00DD5B04" w:rsidRPr="00D43CE8" w:rsidRDefault="00DD5B04" w:rsidP="00DF76A2">
      <w:pPr>
        <w:tabs>
          <w:tab w:val="left" w:pos="426"/>
        </w:tabs>
        <w:spacing w:line="276" w:lineRule="auto"/>
        <w:jc w:val="both"/>
        <w:rPr>
          <w:rFonts w:ascii="Arial" w:eastAsia="Calibri" w:hAnsi="Arial" w:cs="Arial"/>
          <w:b/>
          <w:sz w:val="22"/>
          <w:lang w:val="es-ES_tradnl"/>
        </w:rPr>
      </w:pPr>
    </w:p>
    <w:p w14:paraId="3C575DE9" w14:textId="1367EAE7" w:rsidR="00443B55" w:rsidRPr="00D43CE8" w:rsidRDefault="00DD5B04" w:rsidP="0099583D">
      <w:pPr>
        <w:spacing w:line="276" w:lineRule="auto"/>
        <w:jc w:val="both"/>
        <w:rPr>
          <w:rFonts w:ascii="Arial" w:hAnsi="Arial" w:cs="Arial"/>
          <w:sz w:val="22"/>
          <w:lang w:val="es-ES_tradnl"/>
        </w:rPr>
      </w:pPr>
      <w:r w:rsidRPr="00D43CE8">
        <w:rPr>
          <w:rFonts w:ascii="Arial" w:hAnsi="Arial" w:cs="Arial"/>
          <w:sz w:val="22"/>
          <w:lang w:val="es-ES_tradnl"/>
        </w:rPr>
        <w:t xml:space="preserve">Usted </w:t>
      </w:r>
      <w:r w:rsidR="00B422C0" w:rsidRPr="00D43CE8">
        <w:rPr>
          <w:rFonts w:ascii="Arial" w:hAnsi="Arial" w:cs="Arial"/>
          <w:sz w:val="22"/>
          <w:lang w:val="es-ES_tradnl"/>
        </w:rPr>
        <w:t>formula</w:t>
      </w:r>
      <w:r w:rsidR="006D46A3" w:rsidRPr="00D43CE8">
        <w:rPr>
          <w:rFonts w:ascii="Arial" w:hAnsi="Arial" w:cs="Arial"/>
          <w:sz w:val="22"/>
          <w:lang w:val="es-ES_tradnl"/>
        </w:rPr>
        <w:t xml:space="preserve"> la</w:t>
      </w:r>
      <w:r w:rsidR="00602931" w:rsidRPr="00D43CE8">
        <w:rPr>
          <w:rFonts w:ascii="Arial" w:hAnsi="Arial" w:cs="Arial"/>
          <w:sz w:val="22"/>
          <w:lang w:val="es-ES_tradnl"/>
        </w:rPr>
        <w:t>s</w:t>
      </w:r>
      <w:r w:rsidR="006D46A3" w:rsidRPr="00D43CE8">
        <w:rPr>
          <w:rFonts w:ascii="Arial" w:hAnsi="Arial" w:cs="Arial"/>
          <w:sz w:val="22"/>
          <w:lang w:val="es-ES_tradnl"/>
        </w:rPr>
        <w:t xml:space="preserve"> siguiente</w:t>
      </w:r>
      <w:r w:rsidR="00602931" w:rsidRPr="00D43CE8">
        <w:rPr>
          <w:rFonts w:ascii="Arial" w:hAnsi="Arial" w:cs="Arial"/>
          <w:sz w:val="22"/>
          <w:lang w:val="es-ES_tradnl"/>
        </w:rPr>
        <w:t>s</w:t>
      </w:r>
      <w:r w:rsidR="00C028F5" w:rsidRPr="00D43CE8">
        <w:rPr>
          <w:rFonts w:ascii="Arial" w:hAnsi="Arial" w:cs="Arial"/>
          <w:sz w:val="22"/>
          <w:lang w:val="es-ES_tradnl"/>
        </w:rPr>
        <w:t xml:space="preserve"> </w:t>
      </w:r>
      <w:r w:rsidR="00602931" w:rsidRPr="00D43CE8">
        <w:rPr>
          <w:rFonts w:ascii="Arial" w:hAnsi="Arial" w:cs="Arial"/>
          <w:sz w:val="22"/>
          <w:lang w:val="es-ES_tradnl"/>
        </w:rPr>
        <w:t>preguntas</w:t>
      </w:r>
      <w:r w:rsidR="00FB0880" w:rsidRPr="00D43CE8">
        <w:rPr>
          <w:rFonts w:ascii="Arial" w:hAnsi="Arial" w:cs="Arial"/>
          <w:sz w:val="22"/>
          <w:lang w:val="es-ES_tradnl"/>
        </w:rPr>
        <w:t>, relacionada</w:t>
      </w:r>
      <w:r w:rsidR="00602931" w:rsidRPr="00D43CE8">
        <w:rPr>
          <w:rFonts w:ascii="Arial" w:hAnsi="Arial" w:cs="Arial"/>
          <w:sz w:val="22"/>
          <w:lang w:val="es-ES_tradnl"/>
        </w:rPr>
        <w:t>s</w:t>
      </w:r>
      <w:r w:rsidR="00FB0880" w:rsidRPr="00D43CE8">
        <w:rPr>
          <w:rFonts w:ascii="Arial" w:hAnsi="Arial" w:cs="Arial"/>
          <w:sz w:val="22"/>
          <w:lang w:val="es-ES_tradnl"/>
        </w:rPr>
        <w:t xml:space="preserve"> con </w:t>
      </w:r>
      <w:r w:rsidR="004A0821" w:rsidRPr="00D43CE8">
        <w:rPr>
          <w:rFonts w:ascii="Arial" w:hAnsi="Arial" w:cs="Arial"/>
          <w:sz w:val="22"/>
          <w:lang w:val="es-ES_tradnl"/>
        </w:rPr>
        <w:t>el</w:t>
      </w:r>
      <w:r w:rsidR="00FB0880" w:rsidRPr="00D43CE8">
        <w:rPr>
          <w:rFonts w:ascii="Arial" w:hAnsi="Arial" w:cs="Arial"/>
          <w:sz w:val="22"/>
          <w:lang w:val="es-ES_tradnl"/>
        </w:rPr>
        <w:t xml:space="preserve"> contenido del artículo 35 de la Ley </w:t>
      </w:r>
      <w:r w:rsidR="007B209C" w:rsidRPr="00D43CE8">
        <w:rPr>
          <w:rFonts w:ascii="Arial" w:hAnsi="Arial" w:cs="Arial"/>
          <w:sz w:val="22"/>
          <w:lang w:val="es-ES_tradnl"/>
        </w:rPr>
        <w:t>2069</w:t>
      </w:r>
      <w:r w:rsidR="00FB0880" w:rsidRPr="00D43CE8">
        <w:rPr>
          <w:rFonts w:ascii="Arial" w:hAnsi="Arial" w:cs="Arial"/>
          <w:sz w:val="22"/>
          <w:lang w:val="es-ES_tradnl"/>
        </w:rPr>
        <w:t xml:space="preserve"> de 2020</w:t>
      </w:r>
      <w:r w:rsidR="00716630" w:rsidRPr="00D43CE8">
        <w:rPr>
          <w:rFonts w:ascii="Arial" w:hAnsi="Arial" w:cs="Arial"/>
          <w:sz w:val="22"/>
          <w:lang w:val="es-ES_tradnl"/>
        </w:rPr>
        <w:t>, «Por medio de la cual se impulsa el emprendimiento en Colombia»</w:t>
      </w:r>
      <w:r w:rsidR="00B630DD">
        <w:rPr>
          <w:rFonts w:ascii="Arial" w:hAnsi="Arial" w:cs="Arial"/>
          <w:sz w:val="22"/>
          <w:lang w:val="es-ES_tradnl"/>
        </w:rPr>
        <w:t xml:space="preserve"> en el marco de un proceso de concurso de méritos </w:t>
      </w:r>
      <w:r w:rsidR="002335A4">
        <w:rPr>
          <w:rFonts w:ascii="Arial" w:hAnsi="Arial" w:cs="Arial"/>
          <w:sz w:val="22"/>
          <w:lang w:val="es-ES_tradnl"/>
        </w:rPr>
        <w:t>abierto</w:t>
      </w:r>
      <w:r w:rsidR="004A0200" w:rsidRPr="00D43CE8">
        <w:rPr>
          <w:rFonts w:ascii="Arial" w:hAnsi="Arial" w:cs="Arial"/>
          <w:sz w:val="22"/>
          <w:lang w:val="es-ES_tradnl"/>
        </w:rPr>
        <w:t>:</w:t>
      </w:r>
      <w:r w:rsidR="007E18DF" w:rsidRPr="00D43CE8">
        <w:rPr>
          <w:rFonts w:ascii="Arial" w:hAnsi="Arial" w:cs="Arial"/>
          <w:sz w:val="22"/>
          <w:lang w:val="es-ES_tradnl"/>
        </w:rPr>
        <w:t xml:space="preserve"> </w:t>
      </w:r>
    </w:p>
    <w:p w14:paraId="4ED7D06E" w14:textId="77777777" w:rsidR="002E01A8" w:rsidRPr="00D43CE8" w:rsidRDefault="002E01A8" w:rsidP="00467854">
      <w:pPr>
        <w:autoSpaceDE w:val="0"/>
        <w:autoSpaceDN w:val="0"/>
        <w:adjustRightInd w:val="0"/>
        <w:ind w:left="709" w:right="709"/>
        <w:jc w:val="both"/>
        <w:rPr>
          <w:rFonts w:ascii="Arial" w:hAnsi="Arial" w:cs="Arial"/>
          <w:sz w:val="22"/>
          <w:lang w:val="es-ES_tradnl"/>
        </w:rPr>
      </w:pPr>
    </w:p>
    <w:p w14:paraId="28D415EA" w14:textId="28FB14ED" w:rsidR="00B43B9B" w:rsidRDefault="009970A0" w:rsidP="007C683D">
      <w:pPr>
        <w:autoSpaceDE w:val="0"/>
        <w:autoSpaceDN w:val="0"/>
        <w:adjustRightInd w:val="0"/>
        <w:ind w:left="709" w:right="709"/>
        <w:jc w:val="both"/>
        <w:rPr>
          <w:rFonts w:ascii="Arial" w:eastAsiaTheme="minorHAnsi" w:hAnsi="Arial" w:cs="Arial"/>
          <w:sz w:val="21"/>
          <w:szCs w:val="21"/>
          <w:lang w:eastAsia="en-US"/>
        </w:rPr>
      </w:pPr>
      <w:bookmarkStart w:id="6" w:name="_Hlk79503570"/>
      <w:bookmarkStart w:id="7" w:name="_Hlk79651438"/>
      <w:r w:rsidRPr="00D43CE8">
        <w:rPr>
          <w:rFonts w:ascii="Arial" w:eastAsiaTheme="minorHAnsi" w:hAnsi="Arial" w:cs="Arial"/>
          <w:sz w:val="21"/>
          <w:szCs w:val="21"/>
          <w:lang w:eastAsia="en-US"/>
        </w:rPr>
        <w:t>«</w:t>
      </w:r>
      <w:r w:rsidR="00B43B9B">
        <w:rPr>
          <w:rFonts w:ascii="Arial" w:eastAsiaTheme="minorHAnsi" w:hAnsi="Arial" w:cs="Arial"/>
          <w:sz w:val="21"/>
          <w:szCs w:val="21"/>
          <w:lang w:eastAsia="en-US"/>
        </w:rPr>
        <w:t xml:space="preserve">1. </w:t>
      </w:r>
      <w:r w:rsidR="007C683D">
        <w:rPr>
          <w:rFonts w:ascii="Arial" w:eastAsiaTheme="minorHAnsi" w:hAnsi="Arial" w:cs="Arial"/>
          <w:sz w:val="21"/>
          <w:szCs w:val="21"/>
          <w:lang w:eastAsia="en-US"/>
        </w:rPr>
        <w:t>Respecto del Numeral 2, de la Ley 2069 de 2020 que contempla “</w:t>
      </w:r>
      <w:r w:rsidR="007C683D" w:rsidRPr="00F26272">
        <w:rPr>
          <w:rFonts w:ascii="Arial" w:eastAsiaTheme="minorHAnsi" w:hAnsi="Arial" w:cs="Arial"/>
          <w:i/>
          <w:iCs/>
          <w:sz w:val="21"/>
          <w:szCs w:val="21"/>
          <w:lang w:eastAsia="en-US"/>
        </w:rPr>
        <w:t xml:space="preserve">De persistir el empate se seleccionará la propuesta de la mujer cabeza de familia, mujeres víctimas de la violencia intrafamiliar o de la persona jurídica en la cual participe o participen </w:t>
      </w:r>
      <w:r w:rsidR="007C683D" w:rsidRPr="00F26272">
        <w:rPr>
          <w:rFonts w:ascii="Arial" w:eastAsiaTheme="minorHAnsi" w:hAnsi="Arial" w:cs="Arial"/>
          <w:b/>
          <w:bCs/>
          <w:i/>
          <w:iCs/>
          <w:sz w:val="21"/>
          <w:szCs w:val="21"/>
          <w:u w:val="single"/>
          <w:lang w:eastAsia="en-US"/>
        </w:rPr>
        <w:t>mayoritariament</w:t>
      </w:r>
      <w:r w:rsidR="00F26272" w:rsidRPr="00F26272">
        <w:rPr>
          <w:rFonts w:ascii="Arial" w:eastAsiaTheme="minorHAnsi" w:hAnsi="Arial" w:cs="Arial"/>
          <w:b/>
          <w:bCs/>
          <w:i/>
          <w:iCs/>
          <w:sz w:val="21"/>
          <w:szCs w:val="21"/>
          <w:u w:val="single"/>
          <w:lang w:eastAsia="en-US"/>
        </w:rPr>
        <w:t>e</w:t>
      </w:r>
      <w:r w:rsidR="007C683D" w:rsidRPr="00F26272">
        <w:rPr>
          <w:rFonts w:ascii="Arial" w:eastAsiaTheme="minorHAnsi" w:hAnsi="Arial" w:cs="Arial"/>
          <w:i/>
          <w:iCs/>
          <w:sz w:val="21"/>
          <w:szCs w:val="21"/>
          <w:lang w:eastAsia="en-US"/>
        </w:rPr>
        <w:t xml:space="preserve">; o, la de un proponente plural </w:t>
      </w:r>
      <w:r w:rsidR="00CF7686" w:rsidRPr="00F26272">
        <w:rPr>
          <w:rFonts w:ascii="Arial" w:eastAsiaTheme="minorHAnsi" w:hAnsi="Arial" w:cs="Arial"/>
          <w:i/>
          <w:iCs/>
          <w:sz w:val="21"/>
          <w:szCs w:val="21"/>
          <w:lang w:eastAsia="en-US"/>
        </w:rPr>
        <w:t>constituido</w:t>
      </w:r>
      <w:r w:rsidR="007C683D" w:rsidRPr="00F26272">
        <w:rPr>
          <w:rFonts w:ascii="Arial" w:eastAsiaTheme="minorHAnsi" w:hAnsi="Arial" w:cs="Arial"/>
          <w:i/>
          <w:iCs/>
          <w:sz w:val="21"/>
          <w:szCs w:val="21"/>
          <w:lang w:eastAsia="en-US"/>
        </w:rPr>
        <w:t xml:space="preserve"> por mujeres cabeza de familia, mujeres víctimas de violencia intrafamiliar y/o </w:t>
      </w:r>
      <w:r w:rsidR="007C683D" w:rsidRPr="00F26272">
        <w:rPr>
          <w:rFonts w:ascii="Arial" w:eastAsiaTheme="minorHAnsi" w:hAnsi="Arial" w:cs="Arial"/>
          <w:i/>
          <w:iCs/>
          <w:sz w:val="21"/>
          <w:szCs w:val="21"/>
          <w:lang w:eastAsia="en-US"/>
        </w:rPr>
        <w:lastRenderedPageBreak/>
        <w:t>personas jurídicas en las cuales participe mayoritariamente</w:t>
      </w:r>
      <w:r w:rsidR="007C683D">
        <w:rPr>
          <w:rFonts w:ascii="Arial" w:eastAsiaTheme="minorHAnsi" w:hAnsi="Arial" w:cs="Arial"/>
          <w:sz w:val="21"/>
          <w:szCs w:val="21"/>
          <w:lang w:eastAsia="en-US"/>
        </w:rPr>
        <w:t>”</w:t>
      </w:r>
      <w:r w:rsidR="00CF7686">
        <w:rPr>
          <w:rFonts w:ascii="Arial" w:eastAsiaTheme="minorHAnsi" w:hAnsi="Arial" w:cs="Arial"/>
          <w:sz w:val="21"/>
          <w:szCs w:val="21"/>
          <w:lang w:eastAsia="en-US"/>
        </w:rPr>
        <w:t xml:space="preserve"> (subrayado fuera de texto)</w:t>
      </w:r>
      <w:r w:rsidR="00B43B9B">
        <w:rPr>
          <w:rFonts w:ascii="Arial" w:eastAsiaTheme="minorHAnsi" w:hAnsi="Arial" w:cs="Arial"/>
          <w:sz w:val="21"/>
          <w:szCs w:val="21"/>
          <w:lang w:eastAsia="en-US"/>
        </w:rPr>
        <w:t xml:space="preserve"> preguntamos: </w:t>
      </w:r>
    </w:p>
    <w:p w14:paraId="55CE9868" w14:textId="02DE28D2" w:rsidR="00B43B9B" w:rsidRDefault="00B43B9B" w:rsidP="007C683D">
      <w:pPr>
        <w:autoSpaceDE w:val="0"/>
        <w:autoSpaceDN w:val="0"/>
        <w:adjustRightInd w:val="0"/>
        <w:ind w:left="709" w:right="709"/>
        <w:jc w:val="both"/>
        <w:rPr>
          <w:rFonts w:ascii="Arial" w:eastAsiaTheme="minorHAnsi" w:hAnsi="Arial" w:cs="Arial"/>
          <w:sz w:val="21"/>
          <w:szCs w:val="21"/>
          <w:lang w:eastAsia="en-US"/>
        </w:rPr>
      </w:pPr>
    </w:p>
    <w:p w14:paraId="1FD09F63" w14:textId="2B1E38AF" w:rsidR="00B43B9B" w:rsidRDefault="00B43B9B" w:rsidP="0002583A">
      <w:pPr>
        <w:pStyle w:val="Prrafodelista"/>
        <w:numPr>
          <w:ilvl w:val="0"/>
          <w:numId w:val="27"/>
        </w:numPr>
        <w:autoSpaceDE w:val="0"/>
        <w:autoSpaceDN w:val="0"/>
        <w:adjustRightInd w:val="0"/>
        <w:ind w:right="709"/>
        <w:jc w:val="both"/>
        <w:rPr>
          <w:rFonts w:ascii="Arial" w:hAnsi="Arial" w:cs="Arial"/>
          <w:sz w:val="21"/>
          <w:szCs w:val="21"/>
        </w:rPr>
      </w:pPr>
      <w:r w:rsidRPr="0002583A">
        <w:rPr>
          <w:rFonts w:ascii="Arial" w:hAnsi="Arial" w:cs="Arial"/>
          <w:sz w:val="21"/>
          <w:szCs w:val="21"/>
        </w:rPr>
        <w:t>¿Cómo puede la Entidad dar aplicación y corroborar la expresión “</w:t>
      </w:r>
      <w:r w:rsidRPr="00CF7686">
        <w:rPr>
          <w:rFonts w:ascii="Arial" w:hAnsi="Arial" w:cs="Arial"/>
          <w:b/>
          <w:bCs/>
          <w:i/>
          <w:iCs/>
          <w:sz w:val="21"/>
          <w:szCs w:val="21"/>
        </w:rPr>
        <w:t>mayoritariamente</w:t>
      </w:r>
      <w:r w:rsidRPr="0002583A">
        <w:rPr>
          <w:rFonts w:ascii="Arial" w:hAnsi="Arial" w:cs="Arial"/>
          <w:sz w:val="21"/>
          <w:szCs w:val="21"/>
        </w:rPr>
        <w:t xml:space="preserve">” para aplicar el criterio de desempate? Se aclara que los oferentes con su propuesta presentaron </w:t>
      </w:r>
      <w:r w:rsidRPr="00A63F2A">
        <w:rPr>
          <w:rFonts w:ascii="Arial" w:hAnsi="Arial" w:cs="Arial"/>
          <w:i/>
          <w:iCs/>
          <w:sz w:val="21"/>
          <w:szCs w:val="21"/>
        </w:rPr>
        <w:t xml:space="preserve">una declaración ante notario de la persona natural que cumple con dicha condición, de conformidad con </w:t>
      </w:r>
      <w:r w:rsidR="0002583A" w:rsidRPr="00A63F2A">
        <w:rPr>
          <w:rFonts w:ascii="Arial" w:hAnsi="Arial" w:cs="Arial"/>
          <w:i/>
          <w:iCs/>
          <w:sz w:val="21"/>
          <w:szCs w:val="21"/>
        </w:rPr>
        <w:t>el parágrafo del artículo 2 de la Ley 82 de 1993</w:t>
      </w:r>
      <w:r w:rsidR="0002583A" w:rsidRPr="0002583A">
        <w:rPr>
          <w:rFonts w:ascii="Arial" w:hAnsi="Arial" w:cs="Arial"/>
          <w:sz w:val="21"/>
          <w:szCs w:val="21"/>
        </w:rPr>
        <w:t>.</w:t>
      </w:r>
    </w:p>
    <w:p w14:paraId="41716D36" w14:textId="77777777" w:rsidR="00D60822" w:rsidRPr="0002583A" w:rsidRDefault="00D60822" w:rsidP="00D60822">
      <w:pPr>
        <w:pStyle w:val="Prrafodelista"/>
        <w:autoSpaceDE w:val="0"/>
        <w:autoSpaceDN w:val="0"/>
        <w:adjustRightInd w:val="0"/>
        <w:ind w:left="1069" w:right="709"/>
        <w:jc w:val="both"/>
        <w:rPr>
          <w:rFonts w:ascii="Arial" w:hAnsi="Arial" w:cs="Arial"/>
          <w:sz w:val="21"/>
          <w:szCs w:val="21"/>
        </w:rPr>
      </w:pPr>
    </w:p>
    <w:p w14:paraId="04FCF603" w14:textId="7A008E07" w:rsidR="00AE58EE" w:rsidRDefault="0002583A" w:rsidP="00AE58EE">
      <w:pPr>
        <w:pStyle w:val="Prrafodelista"/>
        <w:numPr>
          <w:ilvl w:val="0"/>
          <w:numId w:val="27"/>
        </w:numPr>
        <w:autoSpaceDE w:val="0"/>
        <w:autoSpaceDN w:val="0"/>
        <w:adjustRightInd w:val="0"/>
        <w:ind w:right="709"/>
        <w:jc w:val="both"/>
        <w:rPr>
          <w:rFonts w:ascii="Arial" w:hAnsi="Arial" w:cs="Arial"/>
          <w:sz w:val="21"/>
          <w:szCs w:val="21"/>
        </w:rPr>
      </w:pPr>
      <w:r>
        <w:rPr>
          <w:rFonts w:ascii="Arial" w:hAnsi="Arial" w:cs="Arial"/>
          <w:sz w:val="21"/>
          <w:szCs w:val="21"/>
        </w:rPr>
        <w:t>¿Es válido aplicar el término “</w:t>
      </w:r>
      <w:r w:rsidRPr="0022600E">
        <w:rPr>
          <w:rFonts w:ascii="Arial" w:hAnsi="Arial" w:cs="Arial"/>
          <w:b/>
          <w:bCs/>
          <w:i/>
          <w:iCs/>
          <w:sz w:val="21"/>
          <w:szCs w:val="21"/>
        </w:rPr>
        <w:t>mayoritariamente</w:t>
      </w:r>
      <w:r>
        <w:rPr>
          <w:rFonts w:ascii="Arial" w:hAnsi="Arial" w:cs="Arial"/>
          <w:sz w:val="21"/>
          <w:szCs w:val="21"/>
        </w:rPr>
        <w:t xml:space="preserve">” </w:t>
      </w:r>
      <w:proofErr w:type="gramStart"/>
      <w:r>
        <w:rPr>
          <w:rFonts w:ascii="Arial" w:hAnsi="Arial" w:cs="Arial"/>
          <w:sz w:val="21"/>
          <w:szCs w:val="21"/>
        </w:rPr>
        <w:t>de acuerdo al</w:t>
      </w:r>
      <w:proofErr w:type="gramEnd"/>
      <w:r>
        <w:rPr>
          <w:rFonts w:ascii="Arial" w:hAnsi="Arial" w:cs="Arial"/>
          <w:sz w:val="21"/>
          <w:szCs w:val="21"/>
        </w:rPr>
        <w:t xml:space="preserve"> mayor porcentaje de participación </w:t>
      </w:r>
      <w:r w:rsidR="00AE58EE">
        <w:rPr>
          <w:rFonts w:ascii="Arial" w:hAnsi="Arial" w:cs="Arial"/>
          <w:sz w:val="21"/>
          <w:szCs w:val="21"/>
        </w:rPr>
        <w:t>de mujeres en esta condición, reportada en la certificación por parte de los proponentes, lo que implicaría seleccionar el que reporte el mayor porcentaje de participación, excluyendo a los otros oferentes que también presentaron porcentaje de participación?</w:t>
      </w:r>
    </w:p>
    <w:p w14:paraId="0255AE83" w14:textId="2BE42366" w:rsidR="00AE58EE" w:rsidRDefault="00AE58EE" w:rsidP="00AE58EE">
      <w:pPr>
        <w:autoSpaceDE w:val="0"/>
        <w:autoSpaceDN w:val="0"/>
        <w:adjustRightInd w:val="0"/>
        <w:ind w:left="709" w:right="709"/>
        <w:jc w:val="both"/>
        <w:rPr>
          <w:rFonts w:ascii="Arial" w:hAnsi="Arial" w:cs="Arial"/>
          <w:sz w:val="21"/>
          <w:szCs w:val="21"/>
        </w:rPr>
      </w:pPr>
    </w:p>
    <w:p w14:paraId="04BD895C" w14:textId="0D007CEE" w:rsidR="00AE58EE" w:rsidRDefault="00AE58EE" w:rsidP="00AE58EE">
      <w:pPr>
        <w:autoSpaceDE w:val="0"/>
        <w:autoSpaceDN w:val="0"/>
        <w:adjustRightInd w:val="0"/>
        <w:ind w:left="709" w:right="709"/>
        <w:jc w:val="both"/>
        <w:rPr>
          <w:rFonts w:ascii="Arial" w:hAnsi="Arial" w:cs="Arial"/>
          <w:sz w:val="21"/>
          <w:szCs w:val="21"/>
        </w:rPr>
      </w:pPr>
      <w:r>
        <w:rPr>
          <w:rFonts w:ascii="Arial" w:hAnsi="Arial" w:cs="Arial"/>
          <w:sz w:val="21"/>
          <w:szCs w:val="21"/>
        </w:rPr>
        <w:t>2.</w:t>
      </w:r>
      <w:r w:rsidR="00A63F2A">
        <w:rPr>
          <w:rFonts w:ascii="Arial" w:hAnsi="Arial" w:cs="Arial"/>
          <w:sz w:val="21"/>
          <w:szCs w:val="21"/>
        </w:rPr>
        <w:t xml:space="preserve"> </w:t>
      </w:r>
      <w:r>
        <w:rPr>
          <w:rFonts w:ascii="Arial" w:hAnsi="Arial" w:cs="Arial"/>
          <w:sz w:val="21"/>
          <w:szCs w:val="21"/>
        </w:rPr>
        <w:t>Respecto del Numeral 4, de la Ley 2069 de 2020 “</w:t>
      </w:r>
      <w:r w:rsidRPr="008138C4">
        <w:rPr>
          <w:rFonts w:ascii="Arial" w:hAnsi="Arial" w:cs="Arial"/>
          <w:i/>
          <w:iCs/>
          <w:sz w:val="21"/>
          <w:szCs w:val="21"/>
        </w:rPr>
        <w:t xml:space="preserve">De persistir el empate se seleccionará la propuesta presentada por el oferente que acredite la vinculación </w:t>
      </w:r>
      <w:r w:rsidRPr="008138C4">
        <w:rPr>
          <w:rFonts w:ascii="Arial" w:hAnsi="Arial" w:cs="Arial"/>
          <w:b/>
          <w:bCs/>
          <w:i/>
          <w:iCs/>
          <w:sz w:val="21"/>
          <w:szCs w:val="21"/>
        </w:rPr>
        <w:t>en mayor proporción</w:t>
      </w:r>
      <w:r w:rsidRPr="008138C4">
        <w:rPr>
          <w:rFonts w:ascii="Arial" w:hAnsi="Arial" w:cs="Arial"/>
          <w:i/>
          <w:iCs/>
          <w:sz w:val="21"/>
          <w:szCs w:val="21"/>
        </w:rPr>
        <w:t xml:space="preserve"> de personas mayores que no sean beneficiarias </w:t>
      </w:r>
      <w:r w:rsidR="00EC4C38" w:rsidRPr="008138C4">
        <w:rPr>
          <w:rFonts w:ascii="Arial" w:hAnsi="Arial" w:cs="Arial"/>
          <w:i/>
          <w:iCs/>
          <w:sz w:val="21"/>
          <w:szCs w:val="21"/>
        </w:rPr>
        <w:t>de la pensión de vejez, familiar o de sobrevivencia y que hayan cumplido el requisito de edad de pensión establecido en la Ley</w:t>
      </w:r>
      <w:r w:rsidR="00EC4C38">
        <w:rPr>
          <w:rFonts w:ascii="Arial" w:hAnsi="Arial" w:cs="Arial"/>
          <w:sz w:val="21"/>
          <w:szCs w:val="21"/>
        </w:rPr>
        <w:t>”</w:t>
      </w:r>
      <w:r w:rsidR="008138C4">
        <w:rPr>
          <w:rFonts w:ascii="Arial" w:hAnsi="Arial" w:cs="Arial"/>
          <w:sz w:val="21"/>
          <w:szCs w:val="21"/>
        </w:rPr>
        <w:t xml:space="preserve"> (subrayado fuera de texto). </w:t>
      </w:r>
    </w:p>
    <w:p w14:paraId="4965050D" w14:textId="77777777" w:rsidR="00A63F2A" w:rsidRDefault="00A63F2A" w:rsidP="00AE58EE">
      <w:pPr>
        <w:autoSpaceDE w:val="0"/>
        <w:autoSpaceDN w:val="0"/>
        <w:adjustRightInd w:val="0"/>
        <w:ind w:left="709" w:right="709"/>
        <w:jc w:val="both"/>
        <w:rPr>
          <w:rFonts w:ascii="Arial" w:hAnsi="Arial" w:cs="Arial"/>
          <w:sz w:val="21"/>
          <w:szCs w:val="21"/>
        </w:rPr>
      </w:pPr>
    </w:p>
    <w:p w14:paraId="5FCD59E8" w14:textId="3F287445" w:rsidR="00857F7A" w:rsidRPr="00A63F2A" w:rsidRDefault="00857F7A" w:rsidP="00A63F2A">
      <w:pPr>
        <w:pStyle w:val="Prrafodelista"/>
        <w:numPr>
          <w:ilvl w:val="0"/>
          <w:numId w:val="28"/>
        </w:numPr>
        <w:autoSpaceDE w:val="0"/>
        <w:autoSpaceDN w:val="0"/>
        <w:adjustRightInd w:val="0"/>
        <w:ind w:right="709"/>
        <w:jc w:val="both"/>
        <w:rPr>
          <w:rFonts w:ascii="Arial" w:hAnsi="Arial" w:cs="Arial"/>
          <w:sz w:val="21"/>
          <w:szCs w:val="21"/>
        </w:rPr>
      </w:pPr>
      <w:r w:rsidRPr="00A63F2A">
        <w:rPr>
          <w:rFonts w:ascii="Arial" w:hAnsi="Arial" w:cs="Arial"/>
          <w:sz w:val="21"/>
          <w:szCs w:val="21"/>
        </w:rPr>
        <w:t>¿Cómo puede la Entidad dar aplicación y corroborar la expresión “</w:t>
      </w:r>
      <w:r w:rsidRPr="008138C4">
        <w:rPr>
          <w:rFonts w:ascii="Arial" w:hAnsi="Arial" w:cs="Arial"/>
          <w:i/>
          <w:iCs/>
          <w:sz w:val="21"/>
          <w:szCs w:val="21"/>
        </w:rPr>
        <w:t>mayor proporción</w:t>
      </w:r>
      <w:r w:rsidRPr="00A63F2A">
        <w:rPr>
          <w:rFonts w:ascii="Arial" w:hAnsi="Arial" w:cs="Arial"/>
          <w:sz w:val="21"/>
          <w:szCs w:val="21"/>
        </w:rPr>
        <w:t xml:space="preserve">” a los oferentes empatados si todos presentaron </w:t>
      </w:r>
      <w:r w:rsidRPr="008138C4">
        <w:rPr>
          <w:rFonts w:ascii="Arial" w:hAnsi="Arial" w:cs="Arial"/>
          <w:i/>
          <w:iCs/>
          <w:sz w:val="21"/>
          <w:szCs w:val="21"/>
        </w:rPr>
        <w:t>certificación, bajo gravedad de juramento</w:t>
      </w:r>
      <w:r w:rsidR="008968FF" w:rsidRPr="008138C4">
        <w:rPr>
          <w:rFonts w:ascii="Arial" w:hAnsi="Arial" w:cs="Arial"/>
          <w:i/>
          <w:iCs/>
          <w:sz w:val="21"/>
          <w:szCs w:val="21"/>
        </w:rPr>
        <w:t>, suscrita por el Revisor Fiscal, o un Contador Público, y el Representante Legal de la empresa indicando el número de personas mayores vinculadas que no son beneficiarios de la pensión de vejez, familiar o de sobrevivencia y que hayan cumplido el requisito de edad de pensión establecido en la Ley, identificando nombre y fecha de nacimiento</w:t>
      </w:r>
      <w:r w:rsidR="008968FF" w:rsidRPr="00A63F2A">
        <w:rPr>
          <w:rFonts w:ascii="Arial" w:hAnsi="Arial" w:cs="Arial"/>
          <w:sz w:val="21"/>
          <w:szCs w:val="21"/>
        </w:rPr>
        <w:t>?</w:t>
      </w:r>
    </w:p>
    <w:p w14:paraId="285EF954" w14:textId="5E8FD29F" w:rsidR="008968FF" w:rsidRDefault="008968FF" w:rsidP="00AE58EE">
      <w:pPr>
        <w:autoSpaceDE w:val="0"/>
        <w:autoSpaceDN w:val="0"/>
        <w:adjustRightInd w:val="0"/>
        <w:ind w:left="709" w:right="709"/>
        <w:jc w:val="both"/>
        <w:rPr>
          <w:rFonts w:ascii="Arial" w:hAnsi="Arial" w:cs="Arial"/>
          <w:sz w:val="21"/>
          <w:szCs w:val="21"/>
        </w:rPr>
      </w:pPr>
    </w:p>
    <w:p w14:paraId="1720F6CE" w14:textId="42AD81DC" w:rsidR="002E01A8" w:rsidRPr="008968FF" w:rsidRDefault="008968FF" w:rsidP="008968FF">
      <w:pPr>
        <w:pStyle w:val="Prrafodelista"/>
        <w:numPr>
          <w:ilvl w:val="0"/>
          <w:numId w:val="28"/>
        </w:numPr>
        <w:autoSpaceDE w:val="0"/>
        <w:autoSpaceDN w:val="0"/>
        <w:adjustRightInd w:val="0"/>
        <w:ind w:right="709"/>
        <w:jc w:val="both"/>
        <w:rPr>
          <w:rFonts w:ascii="Arial" w:eastAsia="Times New Roman" w:hAnsi="Arial" w:cs="Arial"/>
          <w:sz w:val="21"/>
          <w:szCs w:val="21"/>
          <w:lang w:eastAsia="es-ES_tradnl"/>
        </w:rPr>
      </w:pPr>
      <w:r w:rsidRPr="008968FF">
        <w:rPr>
          <w:rFonts w:ascii="Arial" w:hAnsi="Arial" w:cs="Arial"/>
          <w:sz w:val="21"/>
          <w:szCs w:val="21"/>
        </w:rPr>
        <w:t>¿Es válido aplicar el término “</w:t>
      </w:r>
      <w:r w:rsidRPr="00CF2E83">
        <w:rPr>
          <w:rFonts w:ascii="Arial" w:hAnsi="Arial" w:cs="Arial"/>
          <w:b/>
          <w:bCs/>
          <w:i/>
          <w:iCs/>
          <w:sz w:val="21"/>
          <w:szCs w:val="21"/>
          <w:u w:val="single"/>
        </w:rPr>
        <w:t>mayor proporción</w:t>
      </w:r>
      <w:r w:rsidRPr="008968FF">
        <w:rPr>
          <w:rFonts w:ascii="Arial" w:hAnsi="Arial" w:cs="Arial"/>
          <w:sz w:val="21"/>
          <w:szCs w:val="21"/>
        </w:rPr>
        <w:t xml:space="preserve">” </w:t>
      </w:r>
      <w:proofErr w:type="gramStart"/>
      <w:r w:rsidRPr="008968FF">
        <w:rPr>
          <w:rFonts w:ascii="Arial" w:hAnsi="Arial" w:cs="Arial"/>
          <w:sz w:val="21"/>
          <w:szCs w:val="21"/>
        </w:rPr>
        <w:t>de acuerdo al</w:t>
      </w:r>
      <w:proofErr w:type="gramEnd"/>
      <w:r w:rsidRPr="008968FF">
        <w:rPr>
          <w:rFonts w:ascii="Arial" w:hAnsi="Arial" w:cs="Arial"/>
          <w:sz w:val="21"/>
          <w:szCs w:val="21"/>
        </w:rPr>
        <w:t xml:space="preserve"> mayor número de pensionados con relación a la nómina, lo que implicaría seleccionar el que reporte el mayor porcentaje que cumplen esta condición, excluyendo a los otros oferentes que también presentaron porcentaje de participación?</w:t>
      </w:r>
      <w:r w:rsidR="009970A0" w:rsidRPr="008968FF">
        <w:rPr>
          <w:rFonts w:ascii="Arial" w:hAnsi="Arial" w:cs="Arial"/>
          <w:sz w:val="21"/>
          <w:szCs w:val="21"/>
        </w:rPr>
        <w:t>»</w:t>
      </w:r>
      <w:r w:rsidR="002E01A8" w:rsidRPr="008968FF">
        <w:rPr>
          <w:rFonts w:ascii="Arial" w:hAnsi="Arial" w:cs="Arial"/>
          <w:sz w:val="21"/>
          <w:szCs w:val="21"/>
        </w:rPr>
        <w:t>.</w:t>
      </w:r>
    </w:p>
    <w:bookmarkEnd w:id="6"/>
    <w:bookmarkEnd w:id="7"/>
    <w:p w14:paraId="4485A5F7" w14:textId="77777777" w:rsidR="00467854" w:rsidRPr="00D43CE8" w:rsidRDefault="00467854" w:rsidP="00D43CE8">
      <w:pPr>
        <w:spacing w:line="276" w:lineRule="auto"/>
        <w:ind w:right="709"/>
        <w:jc w:val="both"/>
        <w:rPr>
          <w:rFonts w:ascii="Arial" w:hAnsi="Arial" w:cs="Arial"/>
          <w:sz w:val="21"/>
          <w:szCs w:val="21"/>
          <w:lang w:val="es-ES_tradnl"/>
        </w:rPr>
      </w:pPr>
    </w:p>
    <w:p w14:paraId="124D2DCA" w14:textId="77777777" w:rsidR="00DD5B04" w:rsidRPr="00D43CE8"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D43CE8">
        <w:rPr>
          <w:rFonts w:ascii="Arial" w:eastAsia="Calibri" w:hAnsi="Arial" w:cs="Arial"/>
          <w:b/>
          <w:sz w:val="22"/>
          <w:lang w:val="es-ES_tradnl"/>
        </w:rPr>
        <w:t>Consideraciones</w:t>
      </w:r>
    </w:p>
    <w:p w14:paraId="2334E952" w14:textId="77777777" w:rsidR="00AF778C" w:rsidRPr="00D43CE8" w:rsidRDefault="00AF778C" w:rsidP="00AF778C">
      <w:pPr>
        <w:spacing w:line="276" w:lineRule="auto"/>
        <w:jc w:val="both"/>
        <w:rPr>
          <w:rFonts w:ascii="Arial" w:eastAsia="Calibri" w:hAnsi="Arial" w:cs="Arial"/>
          <w:sz w:val="22"/>
          <w:szCs w:val="22"/>
          <w:lang w:val="es-ES_tradnl"/>
        </w:rPr>
      </w:pPr>
    </w:p>
    <w:p w14:paraId="0C17C72A" w14:textId="07AD49B5" w:rsidR="00AC559D" w:rsidRPr="006D54A1" w:rsidRDefault="00AC559D" w:rsidP="00AC559D">
      <w:pPr>
        <w:spacing w:after="120" w:line="276" w:lineRule="auto"/>
        <w:jc w:val="both"/>
        <w:rPr>
          <w:rFonts w:ascii="Arial" w:hAnsi="Arial" w:cs="Arial"/>
          <w:bCs/>
          <w:sz w:val="22"/>
          <w:lang w:val="es-ES_tradnl"/>
        </w:rPr>
      </w:pPr>
      <w:r w:rsidRPr="006D54A1">
        <w:rPr>
          <w:rFonts w:ascii="Arial" w:eastAsia="Calibri" w:hAnsi="Arial" w:cs="Arial"/>
          <w:color w:val="000000" w:themeColor="text1"/>
          <w:sz w:val="22"/>
          <w:lang w:val="es-ES_tradnl"/>
        </w:rPr>
        <w:t xml:space="preserve">Como cuestión preliminar, </w:t>
      </w:r>
      <w:r w:rsidRPr="006D54A1">
        <w:rPr>
          <w:rFonts w:ascii="Arial" w:hAnsi="Arial" w:cs="Arial"/>
          <w:bCs/>
          <w:sz w:val="22"/>
          <w:lang w:val="es-ES_tradnl"/>
        </w:rPr>
        <w:t xml:space="preserve">es </w:t>
      </w:r>
      <w:r w:rsidR="00A94877">
        <w:rPr>
          <w:rFonts w:ascii="Arial" w:hAnsi="Arial" w:cs="Arial"/>
          <w:bCs/>
          <w:sz w:val="22"/>
          <w:lang w:val="es-ES_tradnl"/>
        </w:rPr>
        <w:t>pertinente</w:t>
      </w:r>
      <w:r w:rsidRPr="006D54A1">
        <w:rPr>
          <w:rFonts w:ascii="Arial" w:hAnsi="Arial" w:cs="Arial"/>
          <w:bCs/>
          <w:sz w:val="22"/>
          <w:lang w:val="es-ES_tradnl"/>
        </w:rPr>
        <w:t xml:space="preserve"> 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7404CBC" w14:textId="77777777" w:rsidR="00AC559D" w:rsidRPr="006D54A1" w:rsidRDefault="00AC559D" w:rsidP="00AC559D">
      <w:pPr>
        <w:spacing w:after="120" w:line="276" w:lineRule="auto"/>
        <w:ind w:firstLine="708"/>
        <w:jc w:val="both"/>
        <w:rPr>
          <w:rFonts w:ascii="Arial" w:hAnsi="Arial" w:cs="Arial"/>
          <w:sz w:val="22"/>
          <w:lang w:val="es-ES_tradnl"/>
        </w:rPr>
      </w:pPr>
      <w:bookmarkStart w:id="8" w:name="_Hlk61701014"/>
      <w:bookmarkStart w:id="9" w:name="_Hlk62136649"/>
      <w:r w:rsidRPr="006D54A1">
        <w:rPr>
          <w:rFonts w:ascii="Arial" w:hAnsi="Arial" w:cs="Arial"/>
          <w:sz w:val="22"/>
          <w:lang w:val="es-ES_tradnl"/>
        </w:rPr>
        <w:t xml:space="preserve">Es necesario tener en cuenta que </w:t>
      </w:r>
      <w:bookmarkStart w:id="10" w:name="_Hlk61026958"/>
      <w:r w:rsidRPr="006D54A1">
        <w:rPr>
          <w:rFonts w:ascii="Arial" w:hAnsi="Arial" w:cs="Arial"/>
          <w:sz w:val="22"/>
          <w:lang w:val="es-ES_tradnl"/>
        </w:rPr>
        <w:t xml:space="preserve">esta entidad solo tiene competencia para responder solicitudes sobre la aplicación de normas de carácter general en materia de compras y contratación pública. En ese sentido, resolver casos particulares desborda las </w:t>
      </w:r>
      <w:r w:rsidRPr="006D54A1">
        <w:rPr>
          <w:rFonts w:ascii="Arial" w:hAnsi="Arial" w:cs="Arial"/>
          <w:sz w:val="22"/>
          <w:lang w:val="es-ES_tradnl"/>
        </w:rPr>
        <w:lastRenderedPageBreak/>
        <w:t>atribuciones asignadas por el legislador extraordinario, que no concibió a Colombia Compra Eficiente como una autoridad para solucionar problemas jurídicos particulares</w:t>
      </w:r>
      <w:r w:rsidRPr="006D54A1">
        <w:rPr>
          <w:rFonts w:ascii="Arial" w:hAnsi="Arial" w:cs="Arial"/>
          <w:bCs/>
          <w:sz w:val="22"/>
          <w:lang w:val="es-ES_tradnl"/>
        </w:rPr>
        <w:t xml:space="preserve"> de todos los partícipes de la contratación estatal.</w:t>
      </w:r>
    </w:p>
    <w:p w14:paraId="07FA45E9" w14:textId="08EFDFE8" w:rsidR="00AE6BA3" w:rsidRDefault="00AC559D" w:rsidP="00531DAB">
      <w:pPr>
        <w:spacing w:after="120" w:line="276" w:lineRule="auto"/>
        <w:ind w:firstLine="708"/>
        <w:jc w:val="both"/>
        <w:rPr>
          <w:rFonts w:ascii="Arial" w:hAnsi="Arial" w:cs="Arial"/>
          <w:sz w:val="22"/>
          <w:lang w:val="es-ES_tradnl"/>
        </w:rPr>
      </w:pPr>
      <w:r w:rsidRPr="006D54A1">
        <w:rPr>
          <w:rFonts w:ascii="Arial" w:hAnsi="Arial" w:cs="Arial"/>
          <w:sz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54A1">
        <w:rPr>
          <w:rFonts w:ascii="Arial" w:hAnsi="Arial" w:cs="Arial"/>
          <w:sz w:val="22"/>
          <w:vertAlign w:val="superscript"/>
          <w:lang w:val="es-ES_tradnl"/>
        </w:rPr>
        <w:footnoteReference w:id="2"/>
      </w:r>
      <w:r w:rsidRPr="006D54A1">
        <w:rPr>
          <w:rFonts w:ascii="Arial" w:hAnsi="Arial" w:cs="Arial"/>
          <w:sz w:val="22"/>
          <w:lang w:val="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0"/>
      <w:r w:rsidRPr="006D54A1">
        <w:rPr>
          <w:rFonts w:ascii="Arial" w:hAnsi="Arial" w:cs="Arial"/>
          <w:sz w:val="22"/>
          <w:lang w:val="es-ES_tradnl"/>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8"/>
      <w:bookmarkEnd w:id="9"/>
    </w:p>
    <w:p w14:paraId="756D7D4D" w14:textId="0AFCEB7B" w:rsidR="006139A9" w:rsidRPr="006139A9" w:rsidRDefault="008712FB" w:rsidP="006139A9">
      <w:pPr>
        <w:spacing w:after="120" w:line="276" w:lineRule="auto"/>
        <w:ind w:firstLine="708"/>
        <w:jc w:val="both"/>
        <w:rPr>
          <w:rFonts w:ascii="Arial" w:eastAsia="Calibri" w:hAnsi="Arial" w:cs="Arial"/>
          <w:sz w:val="22"/>
          <w:szCs w:val="22"/>
          <w:lang w:val="es-ES_tradnl"/>
        </w:rPr>
      </w:pPr>
      <w:r>
        <w:rPr>
          <w:rFonts w:ascii="Arial" w:eastAsia="Calibri" w:hAnsi="Arial" w:cs="Arial"/>
          <w:sz w:val="22"/>
          <w:szCs w:val="22"/>
          <w:lang w:val="es-ES_tradnl"/>
        </w:rPr>
        <w:t xml:space="preserve">Sin perjuicio de lo anterior, la Agencia </w:t>
      </w:r>
      <w:r w:rsidR="00AC51BD">
        <w:rPr>
          <w:rFonts w:ascii="Arial" w:eastAsia="Calibri" w:hAnsi="Arial" w:cs="Arial"/>
          <w:sz w:val="22"/>
          <w:szCs w:val="22"/>
          <w:lang w:val="es-ES_tradnl"/>
        </w:rPr>
        <w:t>–</w:t>
      </w:r>
      <w:r>
        <w:rPr>
          <w:rFonts w:ascii="Arial" w:eastAsia="Calibri" w:hAnsi="Arial" w:cs="Arial"/>
          <w:sz w:val="22"/>
          <w:szCs w:val="22"/>
          <w:lang w:val="es-ES_tradnl"/>
        </w:rPr>
        <w:t>dentro</w:t>
      </w:r>
      <w:r w:rsidR="00AC51BD">
        <w:rPr>
          <w:rFonts w:ascii="Arial" w:eastAsia="Calibri" w:hAnsi="Arial" w:cs="Arial"/>
          <w:sz w:val="22"/>
          <w:szCs w:val="22"/>
          <w:lang w:val="es-ES_tradnl"/>
        </w:rPr>
        <w:t xml:space="preserve"> </w:t>
      </w:r>
      <w:r>
        <w:rPr>
          <w:rFonts w:ascii="Arial" w:eastAsia="Calibri" w:hAnsi="Arial" w:cs="Arial"/>
          <w:sz w:val="22"/>
          <w:szCs w:val="22"/>
          <w:lang w:val="es-ES_tradnl"/>
        </w:rPr>
        <w:t xml:space="preserve">de los límites de sus atribuciones, es decir, </w:t>
      </w:r>
      <w:r w:rsidR="00E41385">
        <w:rPr>
          <w:rFonts w:ascii="Arial" w:eastAsia="Calibri" w:hAnsi="Arial" w:cs="Arial"/>
          <w:sz w:val="22"/>
          <w:szCs w:val="22"/>
          <w:lang w:val="es-ES_tradnl"/>
        </w:rPr>
        <w:t>haciendo abstracción del caso particular expuesto en la petición</w:t>
      </w:r>
      <w:r w:rsidR="00AC51BD">
        <w:rPr>
          <w:rFonts w:ascii="Arial" w:eastAsia="Calibri" w:hAnsi="Arial" w:cs="Arial"/>
          <w:sz w:val="22"/>
          <w:szCs w:val="22"/>
          <w:lang w:val="es-ES_tradnl"/>
        </w:rPr>
        <w:t>–</w:t>
      </w:r>
      <w:r w:rsidR="00E41385">
        <w:rPr>
          <w:rFonts w:ascii="Arial" w:eastAsia="Calibri" w:hAnsi="Arial" w:cs="Arial"/>
          <w:sz w:val="22"/>
          <w:szCs w:val="22"/>
          <w:lang w:val="es-ES_tradnl"/>
        </w:rPr>
        <w:t>,</w:t>
      </w:r>
      <w:r w:rsidR="00AC51BD">
        <w:rPr>
          <w:rFonts w:ascii="Arial" w:eastAsia="Calibri" w:hAnsi="Arial" w:cs="Arial"/>
          <w:sz w:val="22"/>
          <w:szCs w:val="22"/>
          <w:lang w:val="es-ES_tradnl"/>
        </w:rPr>
        <w:t xml:space="preserve"> </w:t>
      </w:r>
      <w:r w:rsidR="00E41385">
        <w:rPr>
          <w:rFonts w:ascii="Arial" w:eastAsia="Calibri" w:hAnsi="Arial" w:cs="Arial"/>
          <w:sz w:val="22"/>
          <w:szCs w:val="22"/>
          <w:lang w:val="es-ES_tradnl"/>
        </w:rPr>
        <w:t xml:space="preserve">resolverá </w:t>
      </w:r>
      <w:r w:rsidR="001E549C">
        <w:rPr>
          <w:rFonts w:ascii="Arial" w:eastAsia="Calibri" w:hAnsi="Arial" w:cs="Arial"/>
          <w:sz w:val="22"/>
          <w:szCs w:val="22"/>
          <w:lang w:val="es-ES_tradnl"/>
        </w:rPr>
        <w:t xml:space="preserve">la consulta conforme a las normas generales del sistema de compras públicas. </w:t>
      </w:r>
      <w:r w:rsidR="006139A9" w:rsidRPr="00AA0BEA">
        <w:rPr>
          <w:rFonts w:ascii="Arial" w:eastAsia="Calibri" w:hAnsi="Arial" w:cs="Arial"/>
          <w:sz w:val="22"/>
          <w:szCs w:val="22"/>
          <w:lang w:val="es-ES_tradnl"/>
        </w:rPr>
        <w:t xml:space="preserve">Para estos efectos, </w:t>
      </w:r>
      <w:r w:rsidR="001E549C">
        <w:rPr>
          <w:rFonts w:ascii="Arial" w:eastAsia="Calibri" w:hAnsi="Arial" w:cs="Arial"/>
          <w:sz w:val="22"/>
          <w:szCs w:val="22"/>
          <w:lang w:val="es-ES_tradnl"/>
        </w:rPr>
        <w:t>se</w:t>
      </w:r>
      <w:r w:rsidR="006139A9" w:rsidRPr="00AA0BEA">
        <w:rPr>
          <w:rFonts w:ascii="Arial" w:eastAsia="Calibri" w:hAnsi="Arial" w:cs="Arial"/>
          <w:sz w:val="22"/>
          <w:szCs w:val="22"/>
          <w:lang w:val="es-ES_tradnl"/>
        </w:rPr>
        <w:t xml:space="preserve"> analizará</w:t>
      </w:r>
      <w:r w:rsidR="001C3FC3">
        <w:rPr>
          <w:rFonts w:ascii="Arial" w:eastAsia="Calibri" w:hAnsi="Arial" w:cs="Arial"/>
          <w:sz w:val="22"/>
          <w:szCs w:val="22"/>
          <w:lang w:val="es-ES_tradnl"/>
        </w:rPr>
        <w:t>n</w:t>
      </w:r>
      <w:r w:rsidR="006139A9" w:rsidRPr="00AA0BEA">
        <w:rPr>
          <w:rFonts w:ascii="Arial" w:eastAsia="Calibri" w:hAnsi="Arial" w:cs="Arial"/>
          <w:sz w:val="22"/>
          <w:szCs w:val="22"/>
          <w:lang w:val="es-ES_tradnl"/>
        </w:rPr>
        <w:t xml:space="preserve"> los siguientes temas: i) </w:t>
      </w:r>
      <w:r w:rsidR="00AC51BD">
        <w:rPr>
          <w:rFonts w:ascii="Arial" w:eastAsia="Calibri" w:hAnsi="Arial" w:cs="Arial"/>
          <w:sz w:val="22"/>
          <w:szCs w:val="22"/>
          <w:lang w:val="es-ES_tradnl"/>
        </w:rPr>
        <w:t>factores</w:t>
      </w:r>
      <w:r w:rsidR="006139A9" w:rsidRPr="00AA0BEA">
        <w:rPr>
          <w:rFonts w:ascii="Arial" w:eastAsia="Calibri" w:hAnsi="Arial" w:cs="Arial"/>
          <w:sz w:val="22"/>
          <w:szCs w:val="22"/>
          <w:lang w:val="es-ES_tradnl"/>
        </w:rPr>
        <w:t xml:space="preserve"> de desempate en la contratación estatal, ii) ámbito de aplicación</w:t>
      </w:r>
      <w:r w:rsidR="00530302">
        <w:rPr>
          <w:rFonts w:ascii="Arial" w:eastAsia="Calibri" w:hAnsi="Arial" w:cs="Arial"/>
          <w:sz w:val="22"/>
          <w:szCs w:val="22"/>
          <w:lang w:val="es-ES_tradnl"/>
        </w:rPr>
        <w:t>, vigencia y reglamentación</w:t>
      </w:r>
      <w:r w:rsidR="006139A9" w:rsidRPr="00AA0BEA">
        <w:rPr>
          <w:rFonts w:ascii="Arial" w:eastAsia="Calibri" w:hAnsi="Arial" w:cs="Arial"/>
          <w:sz w:val="22"/>
          <w:szCs w:val="22"/>
          <w:lang w:val="es-ES_tradnl"/>
        </w:rPr>
        <w:t xml:space="preserve"> de la Ley 2069 de 2020</w:t>
      </w:r>
      <w:r w:rsidR="00BB6209">
        <w:rPr>
          <w:rFonts w:ascii="Arial" w:eastAsia="Calibri" w:hAnsi="Arial" w:cs="Arial"/>
          <w:sz w:val="22"/>
          <w:szCs w:val="22"/>
          <w:lang w:val="es-ES_tradnl"/>
        </w:rPr>
        <w:t xml:space="preserve"> y</w:t>
      </w:r>
      <w:r w:rsidR="006139A9" w:rsidRPr="00AA0BEA">
        <w:rPr>
          <w:rFonts w:ascii="Arial" w:eastAsia="Calibri" w:hAnsi="Arial" w:cs="Arial"/>
          <w:sz w:val="22"/>
          <w:szCs w:val="22"/>
          <w:lang w:val="es-ES_tradnl"/>
        </w:rPr>
        <w:t xml:space="preserve"> </w:t>
      </w:r>
      <w:proofErr w:type="spellStart"/>
      <w:r w:rsidR="006139A9" w:rsidRPr="00AA0BEA">
        <w:rPr>
          <w:rFonts w:ascii="Arial" w:eastAsia="Calibri" w:hAnsi="Arial" w:cs="Arial"/>
          <w:sz w:val="22"/>
          <w:szCs w:val="22"/>
          <w:lang w:val="es-ES_tradnl"/>
        </w:rPr>
        <w:t>iii</w:t>
      </w:r>
      <w:proofErr w:type="spellEnd"/>
      <w:r w:rsidR="006139A9" w:rsidRPr="00AA0BEA">
        <w:rPr>
          <w:rFonts w:ascii="Arial" w:eastAsia="Calibri" w:hAnsi="Arial" w:cs="Arial"/>
          <w:sz w:val="22"/>
          <w:szCs w:val="22"/>
          <w:lang w:val="es-ES_tradnl"/>
        </w:rPr>
        <w:t xml:space="preserve">) </w:t>
      </w:r>
      <w:bookmarkStart w:id="11" w:name="_Hlk102567283"/>
      <w:r w:rsidR="001325B5">
        <w:rPr>
          <w:rFonts w:ascii="Arial" w:eastAsia="Calibri" w:hAnsi="Arial" w:cs="Arial"/>
          <w:sz w:val="22"/>
          <w:szCs w:val="22"/>
          <w:lang w:val="es-ES_tradnl"/>
        </w:rPr>
        <w:t>forma de acreditación de los factores de desempate consagrados en el artículo 35 de la Ley 2069 de 2020</w:t>
      </w:r>
      <w:r w:rsidR="00E83543">
        <w:rPr>
          <w:rFonts w:ascii="Arial" w:eastAsia="Calibri" w:hAnsi="Arial" w:cs="Arial"/>
          <w:sz w:val="22"/>
          <w:szCs w:val="22"/>
          <w:lang w:val="es-ES_tradnl"/>
        </w:rPr>
        <w:t xml:space="preserve">, en especial, </w:t>
      </w:r>
      <w:r w:rsidR="00593C20">
        <w:rPr>
          <w:rFonts w:ascii="Arial" w:eastAsia="Calibri" w:hAnsi="Arial" w:cs="Arial"/>
          <w:sz w:val="22"/>
          <w:szCs w:val="22"/>
          <w:lang w:val="es-ES_tradnl"/>
        </w:rPr>
        <w:t>los</w:t>
      </w:r>
      <w:r w:rsidR="00E83543">
        <w:rPr>
          <w:rFonts w:ascii="Arial" w:eastAsia="Calibri" w:hAnsi="Arial" w:cs="Arial"/>
          <w:sz w:val="22"/>
          <w:szCs w:val="22"/>
          <w:lang w:val="es-ES_tradnl"/>
        </w:rPr>
        <w:t xml:space="preserve"> previsto</w:t>
      </w:r>
      <w:r w:rsidR="00593C20">
        <w:rPr>
          <w:rFonts w:ascii="Arial" w:eastAsia="Calibri" w:hAnsi="Arial" w:cs="Arial"/>
          <w:sz w:val="22"/>
          <w:szCs w:val="22"/>
          <w:lang w:val="es-ES_tradnl"/>
        </w:rPr>
        <w:t>s</w:t>
      </w:r>
      <w:r w:rsidR="00E83543">
        <w:rPr>
          <w:rFonts w:ascii="Arial" w:eastAsia="Calibri" w:hAnsi="Arial" w:cs="Arial"/>
          <w:sz w:val="22"/>
          <w:szCs w:val="22"/>
          <w:lang w:val="es-ES_tradnl"/>
        </w:rPr>
        <w:t xml:space="preserve"> en los numerales 2 y 4</w:t>
      </w:r>
      <w:bookmarkEnd w:id="11"/>
      <w:r w:rsidR="006139A9" w:rsidRPr="00AA0BEA">
        <w:rPr>
          <w:rFonts w:ascii="Arial" w:eastAsia="Calibri" w:hAnsi="Arial" w:cs="Arial"/>
          <w:sz w:val="22"/>
          <w:szCs w:val="22"/>
          <w:lang w:val="es-ES_tradnl"/>
        </w:rPr>
        <w:t>.</w:t>
      </w:r>
    </w:p>
    <w:p w14:paraId="1144E6B3" w14:textId="02CF91F8" w:rsidR="00C8331F" w:rsidRPr="00D43CE8" w:rsidRDefault="00AF778C" w:rsidP="00AC559D">
      <w:pPr>
        <w:spacing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L</w:t>
      </w:r>
      <w:r w:rsidR="00C8331F" w:rsidRPr="00D43CE8">
        <w:rPr>
          <w:rFonts w:ascii="Arial" w:eastAsia="Calibri" w:hAnsi="Arial" w:cs="Arial"/>
          <w:sz w:val="22"/>
          <w:szCs w:val="22"/>
          <w:lang w:val="es-ES_tradnl"/>
        </w:rPr>
        <w:t>a Agencia Nacional de Contratación Pública</w:t>
      </w:r>
      <w:r w:rsidR="00EC1DAE" w:rsidRPr="00D43CE8">
        <w:rPr>
          <w:rFonts w:ascii="Arial" w:eastAsia="Calibri" w:hAnsi="Arial" w:cs="Arial"/>
          <w:sz w:val="22"/>
          <w:szCs w:val="22"/>
          <w:lang w:val="es-ES_tradnl"/>
        </w:rPr>
        <w:t xml:space="preserve"> – Colombia Compra Eficiente se pronunció, en términos generales, sobre los factores de desempate en los procedimientos de contratación estatal</w:t>
      </w:r>
      <w:r w:rsidR="00442D13" w:rsidRPr="00D43CE8">
        <w:rPr>
          <w:rFonts w:ascii="Arial" w:eastAsia="Calibri" w:hAnsi="Arial" w:cs="Arial"/>
          <w:sz w:val="22"/>
          <w:szCs w:val="22"/>
          <w:lang w:val="es-ES_tradnl"/>
        </w:rPr>
        <w:t>,</w:t>
      </w:r>
      <w:r w:rsidR="0091310F" w:rsidRPr="00D43CE8">
        <w:rPr>
          <w:rFonts w:ascii="Arial" w:eastAsia="Calibri" w:hAnsi="Arial" w:cs="Arial"/>
          <w:sz w:val="22"/>
          <w:szCs w:val="22"/>
          <w:lang w:val="es-ES_tradnl"/>
        </w:rPr>
        <w:t xml:space="preserve"> en los conceptos </w:t>
      </w:r>
      <w:r w:rsidR="001E2473" w:rsidRPr="00D43CE8">
        <w:rPr>
          <w:rStyle w:val="normaltextrun"/>
          <w:rFonts w:ascii="Arial" w:hAnsi="Arial" w:cs="Arial"/>
          <w:sz w:val="22"/>
          <w:szCs w:val="22"/>
          <w:shd w:val="clear" w:color="auto" w:fill="FFFFFF"/>
        </w:rPr>
        <w:t xml:space="preserve">conceptos </w:t>
      </w:r>
      <w:r w:rsidR="00C200C2" w:rsidRPr="00D43CE8">
        <w:rPr>
          <w:rStyle w:val="normaltextrun"/>
          <w:rFonts w:ascii="Arial" w:hAnsi="Arial" w:cs="Arial"/>
          <w:sz w:val="22"/>
          <w:szCs w:val="22"/>
          <w:shd w:val="clear" w:color="auto" w:fill="FFFFFF"/>
        </w:rPr>
        <w:t xml:space="preserve">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w:t>
      </w:r>
      <w:r w:rsidR="00C200C2" w:rsidRPr="00D43CE8">
        <w:rPr>
          <w:rStyle w:val="normaltextrun"/>
          <w:rFonts w:ascii="Arial" w:hAnsi="Arial" w:cs="Arial"/>
          <w:sz w:val="22"/>
          <w:szCs w:val="22"/>
          <w:shd w:val="clear" w:color="auto" w:fill="FFFFFF"/>
        </w:rPr>
        <w:lastRenderedPageBreak/>
        <w:t>de 2021, C-192 del 29 de abril de 2021, C-206 del 03 de mayo de 2021, C−198 del 5 de mayo de 2021, C-203 del 6 de mayo de 2021,  C-180 del 10 de mayo de 2021, C-210 del 10 de mayo de 2021, C-221 del 18 de mayo de 2021, C-239 del 25 de mayo de 2021 , C-320 del 1 de julio de 2021, C-338 del 12 de julio de 2021, C-444 del 23 de julio de, 2021, C-437 del 24 de agosto de 2021,  C-518 del 20 de septiembre de 2021,   C-438 del 28 de septiembre de 2021, C-576 del 13 de octubre de 2021, C-582 del 14 de octubre de 2021, C-586 del 14 de octubre de 2021, C-617 del 6 diciembre de 2021,  C-584 del 13 de diciembre de 2021</w:t>
      </w:r>
      <w:r w:rsidR="001D69C6" w:rsidRPr="00D43CE8">
        <w:rPr>
          <w:rStyle w:val="normaltextrun"/>
          <w:rFonts w:ascii="Arial" w:hAnsi="Arial" w:cs="Arial"/>
          <w:sz w:val="22"/>
          <w:szCs w:val="22"/>
          <w:shd w:val="clear" w:color="auto" w:fill="FFFFFF"/>
        </w:rPr>
        <w:t xml:space="preserve">, </w:t>
      </w:r>
      <w:r w:rsidR="0074348F" w:rsidRPr="00D43CE8">
        <w:rPr>
          <w:rStyle w:val="normaltextrun"/>
          <w:rFonts w:ascii="Arial" w:hAnsi="Arial" w:cs="Arial"/>
          <w:sz w:val="22"/>
          <w:szCs w:val="22"/>
          <w:shd w:val="clear" w:color="auto" w:fill="FFFFFF"/>
        </w:rPr>
        <w:t>C-689 del 5 de enero de 2022</w:t>
      </w:r>
      <w:r w:rsidR="001D69C6" w:rsidRPr="00D43CE8">
        <w:rPr>
          <w:rStyle w:val="normaltextrun"/>
          <w:rFonts w:ascii="Arial" w:hAnsi="Arial" w:cs="Arial"/>
          <w:sz w:val="22"/>
          <w:szCs w:val="22"/>
          <w:shd w:val="clear" w:color="auto" w:fill="FFFFFF"/>
        </w:rPr>
        <w:t>,</w:t>
      </w:r>
      <w:r w:rsidR="006D6C45">
        <w:rPr>
          <w:rStyle w:val="normaltextrun"/>
          <w:rFonts w:ascii="Arial" w:hAnsi="Arial" w:cs="Arial"/>
          <w:sz w:val="22"/>
          <w:szCs w:val="22"/>
          <w:shd w:val="clear" w:color="auto" w:fill="FFFFFF"/>
        </w:rPr>
        <w:t xml:space="preserve"> C-741 del 1 de febrero de 2022 y</w:t>
      </w:r>
      <w:r w:rsidR="001D69C6" w:rsidRPr="00D43CE8">
        <w:rPr>
          <w:rStyle w:val="normaltextrun"/>
          <w:rFonts w:ascii="Arial" w:hAnsi="Arial" w:cs="Arial"/>
          <w:sz w:val="22"/>
          <w:szCs w:val="22"/>
          <w:shd w:val="clear" w:color="auto" w:fill="FFFFFF"/>
        </w:rPr>
        <w:t xml:space="preserve"> </w:t>
      </w:r>
      <w:r w:rsidR="002254A2">
        <w:rPr>
          <w:rStyle w:val="normaltextrun"/>
          <w:rFonts w:ascii="Arial" w:hAnsi="Arial" w:cs="Arial"/>
          <w:sz w:val="22"/>
          <w:szCs w:val="22"/>
          <w:shd w:val="clear" w:color="auto" w:fill="FFFFFF"/>
        </w:rPr>
        <w:t xml:space="preserve">C-750 del 4 de febrero de 2022, </w:t>
      </w:r>
      <w:r w:rsidR="001D69C6" w:rsidRPr="00D43CE8">
        <w:rPr>
          <w:rStyle w:val="normaltextrun"/>
          <w:rFonts w:ascii="Arial" w:hAnsi="Arial" w:cs="Arial"/>
          <w:sz w:val="22"/>
          <w:szCs w:val="22"/>
          <w:shd w:val="clear" w:color="auto" w:fill="FFFFFF"/>
        </w:rPr>
        <w:t>entre otros</w:t>
      </w:r>
      <w:r w:rsidR="006E37CD" w:rsidRPr="00D43CE8">
        <w:rPr>
          <w:rFonts w:ascii="Arial" w:eastAsia="Calibri" w:hAnsi="Arial" w:cs="Arial"/>
          <w:sz w:val="22"/>
          <w:szCs w:val="22"/>
          <w:lang w:val="es-ES_tradnl"/>
        </w:rPr>
        <w:t xml:space="preserve">. </w:t>
      </w:r>
      <w:r w:rsidR="004060DC" w:rsidRPr="00D43CE8">
        <w:rPr>
          <w:rFonts w:ascii="Arial" w:eastAsia="Calibri" w:hAnsi="Arial" w:cs="Arial"/>
          <w:sz w:val="22"/>
          <w:szCs w:val="22"/>
          <w:lang w:val="es-ES_tradnl"/>
        </w:rPr>
        <w:t xml:space="preserve">Algunas de las consideraciones </w:t>
      </w:r>
      <w:r w:rsidR="00A6144B" w:rsidRPr="00D43CE8">
        <w:rPr>
          <w:rFonts w:ascii="Arial" w:eastAsia="Calibri" w:hAnsi="Arial" w:cs="Arial"/>
          <w:sz w:val="22"/>
          <w:szCs w:val="22"/>
          <w:lang w:val="es-ES_tradnl"/>
        </w:rPr>
        <w:t>de estos</w:t>
      </w:r>
      <w:r w:rsidR="004060DC" w:rsidRPr="00D43CE8">
        <w:rPr>
          <w:rFonts w:ascii="Arial" w:eastAsia="Calibri" w:hAnsi="Arial" w:cs="Arial"/>
          <w:sz w:val="22"/>
          <w:szCs w:val="22"/>
          <w:lang w:val="es-ES_tradnl"/>
        </w:rPr>
        <w:t xml:space="preserve"> conceptos se </w:t>
      </w:r>
      <w:r w:rsidR="00F24BB1" w:rsidRPr="00D43CE8">
        <w:rPr>
          <w:rFonts w:ascii="Arial" w:eastAsia="Calibri" w:hAnsi="Arial" w:cs="Arial"/>
          <w:sz w:val="22"/>
          <w:szCs w:val="22"/>
          <w:lang w:val="es-ES_tradnl"/>
        </w:rPr>
        <w:t>reiteran</w:t>
      </w:r>
      <w:r w:rsidR="00054053" w:rsidRPr="00D43CE8">
        <w:rPr>
          <w:rFonts w:ascii="Arial" w:eastAsia="Calibri" w:hAnsi="Arial" w:cs="Arial"/>
          <w:sz w:val="22"/>
          <w:szCs w:val="22"/>
          <w:lang w:val="es-ES_tradnl"/>
        </w:rPr>
        <w:t xml:space="preserve"> </w:t>
      </w:r>
      <w:r w:rsidR="004060DC" w:rsidRPr="00D43CE8">
        <w:rPr>
          <w:rFonts w:ascii="Arial" w:eastAsia="Calibri" w:hAnsi="Arial" w:cs="Arial"/>
          <w:sz w:val="22"/>
          <w:szCs w:val="22"/>
          <w:lang w:val="es-ES_tradnl"/>
        </w:rPr>
        <w:t>a continuación</w:t>
      </w:r>
      <w:r w:rsidR="005C3B41">
        <w:rPr>
          <w:rFonts w:ascii="Arial" w:eastAsia="Calibri" w:hAnsi="Arial" w:cs="Arial"/>
          <w:sz w:val="22"/>
          <w:szCs w:val="22"/>
          <w:lang w:val="es-ES_tradnl"/>
        </w:rPr>
        <w:t xml:space="preserve"> </w:t>
      </w:r>
      <w:r w:rsidR="005C3B41" w:rsidRPr="00D43CE8">
        <w:rPr>
          <w:rFonts w:ascii="Arial" w:eastAsia="Calibri" w:hAnsi="Arial" w:cs="Arial"/>
          <w:sz w:val="22"/>
          <w:szCs w:val="22"/>
          <w:lang w:val="es-ES_tradnl"/>
        </w:rPr>
        <w:t>y</w:t>
      </w:r>
      <w:r w:rsidR="005C3B41">
        <w:rPr>
          <w:rFonts w:ascii="Arial" w:eastAsia="Calibri" w:hAnsi="Arial" w:cs="Arial"/>
          <w:sz w:val="22"/>
          <w:szCs w:val="22"/>
          <w:lang w:val="es-ES_tradnl"/>
        </w:rPr>
        <w:t xml:space="preserve"> se</w:t>
      </w:r>
      <w:r w:rsidR="005C3B41" w:rsidRPr="00D43CE8">
        <w:rPr>
          <w:rFonts w:ascii="Arial" w:eastAsia="Calibri" w:hAnsi="Arial" w:cs="Arial"/>
          <w:sz w:val="22"/>
          <w:szCs w:val="22"/>
          <w:lang w:val="es-ES_tradnl"/>
        </w:rPr>
        <w:t xml:space="preserve"> complementan</w:t>
      </w:r>
      <w:r w:rsidR="005C3B41">
        <w:rPr>
          <w:rFonts w:ascii="Arial" w:eastAsia="Calibri" w:hAnsi="Arial" w:cs="Arial"/>
          <w:sz w:val="22"/>
          <w:szCs w:val="22"/>
          <w:lang w:val="es-ES_tradnl"/>
        </w:rPr>
        <w:t xml:space="preserve"> en lo pertinente</w:t>
      </w:r>
      <w:r w:rsidR="004060DC" w:rsidRPr="00D43CE8">
        <w:rPr>
          <w:rFonts w:ascii="Arial" w:eastAsia="Calibri" w:hAnsi="Arial" w:cs="Arial"/>
          <w:sz w:val="22"/>
          <w:szCs w:val="22"/>
          <w:lang w:val="es-ES_tradnl"/>
        </w:rPr>
        <w:t>.</w:t>
      </w:r>
    </w:p>
    <w:p w14:paraId="331D0ECA" w14:textId="77777777" w:rsidR="003C4317" w:rsidRPr="00D43CE8" w:rsidRDefault="003C4317" w:rsidP="00271230">
      <w:pPr>
        <w:spacing w:line="276" w:lineRule="auto"/>
        <w:jc w:val="both"/>
        <w:rPr>
          <w:rFonts w:ascii="Arial" w:eastAsia="Calibri" w:hAnsi="Arial" w:cs="Arial"/>
          <w:sz w:val="22"/>
          <w:szCs w:val="22"/>
          <w:lang w:val="es-ES_tradnl"/>
        </w:rPr>
      </w:pPr>
    </w:p>
    <w:p w14:paraId="0F39B6EF" w14:textId="77777777" w:rsidR="005244FC" w:rsidRPr="00D43CE8" w:rsidRDefault="005244FC" w:rsidP="005244FC">
      <w:pPr>
        <w:spacing w:line="276" w:lineRule="auto"/>
        <w:jc w:val="both"/>
        <w:rPr>
          <w:rFonts w:ascii="Arial" w:eastAsia="Calibri" w:hAnsi="Arial" w:cs="Arial"/>
          <w:b/>
          <w:bCs/>
          <w:sz w:val="22"/>
          <w:szCs w:val="22"/>
          <w:lang w:val="es-ES_tradnl"/>
        </w:rPr>
      </w:pPr>
      <w:r w:rsidRPr="00D43CE8">
        <w:rPr>
          <w:rFonts w:ascii="Arial" w:eastAsia="Calibri" w:hAnsi="Arial" w:cs="Arial"/>
          <w:b/>
          <w:bCs/>
          <w:sz w:val="22"/>
          <w:szCs w:val="22"/>
          <w:lang w:val="es-ES_tradnl"/>
        </w:rPr>
        <w:t>2.1. Factores de desempate en la contratación estatal: concepto y características</w:t>
      </w:r>
    </w:p>
    <w:p w14:paraId="342BA812" w14:textId="77777777" w:rsidR="005244FC" w:rsidRPr="00D43CE8" w:rsidRDefault="005244FC" w:rsidP="005244FC">
      <w:pPr>
        <w:spacing w:line="276" w:lineRule="auto"/>
        <w:jc w:val="both"/>
        <w:rPr>
          <w:rFonts w:ascii="Arial" w:eastAsia="Calibri" w:hAnsi="Arial" w:cs="Arial"/>
          <w:sz w:val="22"/>
          <w:szCs w:val="22"/>
          <w:lang w:val="es-ES_tradnl"/>
        </w:rPr>
      </w:pPr>
    </w:p>
    <w:p w14:paraId="09DB8BB1" w14:textId="2E47FB5C" w:rsidR="005244FC" w:rsidRPr="00D43CE8" w:rsidRDefault="005244FC" w:rsidP="005244FC">
      <w:pPr>
        <w:spacing w:line="276" w:lineRule="auto"/>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Dado que la selección objetiva es uno de los principios medulares de la contratación estatal, la </w:t>
      </w:r>
      <w:r w:rsidR="00842841" w:rsidRPr="00D43CE8">
        <w:rPr>
          <w:rFonts w:ascii="Arial" w:eastAsia="Calibri" w:hAnsi="Arial" w:cs="Arial"/>
          <w:sz w:val="22"/>
          <w:szCs w:val="22"/>
          <w:lang w:val="es-ES_tradnl"/>
        </w:rPr>
        <w:t xml:space="preserve">escogencia </w:t>
      </w:r>
      <w:r w:rsidRPr="00D43CE8">
        <w:rPr>
          <w:rFonts w:ascii="Arial" w:eastAsia="Calibri" w:hAnsi="Arial" w:cs="Arial"/>
          <w:sz w:val="22"/>
          <w:szCs w:val="22"/>
          <w:lang w:val="es-ES_tradnl"/>
        </w:rPr>
        <w:t xml:space="preserve">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w:t>
      </w:r>
      <w:r w:rsidR="00842841" w:rsidRPr="00D43CE8">
        <w:rPr>
          <w:rFonts w:ascii="Arial" w:eastAsia="Calibri" w:hAnsi="Arial" w:cs="Arial"/>
          <w:sz w:val="22"/>
          <w:szCs w:val="22"/>
          <w:lang w:val="es-ES_tradnl"/>
        </w:rPr>
        <w:t xml:space="preserve">habilitación </w:t>
      </w:r>
      <w:r w:rsidRPr="00D43CE8">
        <w:rPr>
          <w:rFonts w:ascii="Arial" w:eastAsia="Calibri" w:hAnsi="Arial" w:cs="Arial"/>
          <w:sz w:val="22"/>
          <w:szCs w:val="22"/>
          <w:lang w:val="es-ES_tradnl"/>
        </w:rPr>
        <w:t xml:space="preserve">y calificación que establezcan las entidades en los pliegos de condiciones o sus </w:t>
      </w:r>
      <w:proofErr w:type="gramStart"/>
      <w:r w:rsidRPr="00D43CE8">
        <w:rPr>
          <w:rFonts w:ascii="Arial" w:eastAsia="Calibri" w:hAnsi="Arial" w:cs="Arial"/>
          <w:sz w:val="22"/>
          <w:szCs w:val="22"/>
          <w:lang w:val="es-ES_tradnl"/>
        </w:rPr>
        <w:t>equivalentes,</w:t>
      </w:r>
      <w:proofErr w:type="gramEnd"/>
      <w:r w:rsidRPr="00D43CE8">
        <w:rPr>
          <w:rFonts w:ascii="Arial" w:eastAsia="Calibri" w:hAnsi="Arial" w:cs="Arial"/>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468AADE9" w14:textId="2642379A" w:rsidR="005244FC" w:rsidRPr="00D43CE8" w:rsidRDefault="005244FC" w:rsidP="005244FC">
      <w:pPr>
        <w:spacing w:before="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w:t>
      </w:r>
      <w:r w:rsidR="00EC267E" w:rsidRPr="00D43CE8">
        <w:rPr>
          <w:rFonts w:ascii="Arial" w:eastAsia="Calibri" w:hAnsi="Arial" w:cs="Arial"/>
          <w:sz w:val="22"/>
          <w:szCs w:val="22"/>
          <w:lang w:val="es-ES_tradnl"/>
        </w:rPr>
        <w:t>los mismos</w:t>
      </w:r>
      <w:r w:rsidRPr="00D43CE8">
        <w:rPr>
          <w:rFonts w:ascii="Arial" w:eastAsia="Calibri" w:hAnsi="Arial" w:cs="Arial"/>
          <w:sz w:val="22"/>
          <w:szCs w:val="22"/>
          <w:lang w:val="es-ES_tradnl"/>
        </w:rPr>
        <w:t xml:space="preserve">.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w:t>
      </w:r>
      <w:r w:rsidR="00EC267E" w:rsidRPr="00D43CE8">
        <w:rPr>
          <w:rFonts w:ascii="Arial" w:eastAsia="Calibri" w:hAnsi="Arial" w:cs="Arial"/>
          <w:sz w:val="22"/>
          <w:szCs w:val="22"/>
          <w:lang w:val="es-ES_tradnl"/>
        </w:rPr>
        <w:t>contractual</w:t>
      </w:r>
      <w:r w:rsidRPr="00D43CE8">
        <w:rPr>
          <w:rFonts w:ascii="Arial" w:eastAsia="Calibri" w:hAnsi="Arial" w:cs="Arial"/>
          <w:sz w:val="22"/>
          <w:szCs w:val="22"/>
          <w:lang w:val="es-ES_tradnl"/>
        </w:rPr>
        <w:t xml:space="preserve">. </w:t>
      </w:r>
    </w:p>
    <w:p w14:paraId="513EAEB7" w14:textId="56218BF1" w:rsidR="005244FC" w:rsidRPr="00D43CE8" w:rsidRDefault="0073250A" w:rsidP="005244FC">
      <w:pPr>
        <w:spacing w:before="120" w:line="276" w:lineRule="auto"/>
        <w:ind w:firstLine="709"/>
        <w:jc w:val="both"/>
        <w:rPr>
          <w:rFonts w:ascii="Arial" w:eastAsia="Calibri" w:hAnsi="Arial" w:cs="Arial"/>
          <w:sz w:val="22"/>
          <w:szCs w:val="22"/>
          <w:lang w:val="es-ES_tradnl"/>
        </w:rPr>
      </w:pPr>
      <w:bookmarkStart w:id="12" w:name="_Hlk81487365"/>
      <w:r w:rsidRPr="00D43CE8">
        <w:rPr>
          <w:rFonts w:ascii="Arial" w:eastAsia="Calibri" w:hAnsi="Arial" w:cs="Arial"/>
          <w:sz w:val="22"/>
          <w:szCs w:val="22"/>
          <w:lang w:val="es-ES_tradnl"/>
        </w:rPr>
        <w:t>Sin embargo</w:t>
      </w:r>
      <w:r w:rsidR="005244FC" w:rsidRPr="00D43CE8">
        <w:rPr>
          <w:rFonts w:ascii="Arial" w:eastAsia="Calibri" w:hAnsi="Arial" w:cs="Arial"/>
          <w:sz w:val="22"/>
          <w:szCs w:val="22"/>
          <w:lang w:val="es-ES_tradnl"/>
        </w:rPr>
        <w:t xml:space="preserve">, ni siquiera los casos de empate limitan el alcance de la selección objetiva en la contratación estatal. Por el contrario, en estos supuestos también debe mantenerse indemne tal postulado. En consecuencia, el desempate no puede propiciarse </w:t>
      </w:r>
      <w:r w:rsidR="005244FC" w:rsidRPr="00D43CE8">
        <w:rPr>
          <w:rFonts w:ascii="Arial" w:eastAsia="Calibri" w:hAnsi="Arial" w:cs="Arial"/>
          <w:sz w:val="22"/>
          <w:szCs w:val="22"/>
          <w:lang w:val="es-ES_tradnl"/>
        </w:rPr>
        <w:lastRenderedPageBreak/>
        <w:t>acudiendo arbitrariamente a consideraciones subjetivas que no estén amparadas en el ordenamiento jurídico, sino que deben aplicarse los factores permitidos por las disposiciones normativas que regulan esta materia</w:t>
      </w:r>
      <w:r w:rsidRPr="00D43CE8">
        <w:rPr>
          <w:rFonts w:ascii="Arial" w:eastAsia="Calibri" w:hAnsi="Arial" w:cs="Arial"/>
          <w:sz w:val="22"/>
          <w:szCs w:val="22"/>
          <w:lang w:val="es-ES_tradnl"/>
        </w:rPr>
        <w:t xml:space="preserve">, entre los que se </w:t>
      </w:r>
      <w:r w:rsidR="00EC267E" w:rsidRPr="00D43CE8">
        <w:rPr>
          <w:rFonts w:ascii="Arial" w:eastAsia="Calibri" w:hAnsi="Arial" w:cs="Arial"/>
          <w:sz w:val="22"/>
          <w:szCs w:val="22"/>
          <w:lang w:val="es-ES_tradnl"/>
        </w:rPr>
        <w:t>en</w:t>
      </w:r>
      <w:r w:rsidRPr="00D43CE8">
        <w:rPr>
          <w:rFonts w:ascii="Arial" w:eastAsia="Calibri" w:hAnsi="Arial" w:cs="Arial"/>
          <w:sz w:val="22"/>
          <w:szCs w:val="22"/>
          <w:lang w:val="es-ES_tradnl"/>
        </w:rPr>
        <w:t>cuent</w:t>
      </w:r>
      <w:r w:rsidR="00EC267E" w:rsidRPr="00D43CE8">
        <w:rPr>
          <w:rFonts w:ascii="Arial" w:eastAsia="Calibri" w:hAnsi="Arial" w:cs="Arial"/>
          <w:sz w:val="22"/>
          <w:szCs w:val="22"/>
          <w:lang w:val="es-ES_tradnl"/>
        </w:rPr>
        <w:t>r</w:t>
      </w:r>
      <w:r w:rsidRPr="00D43CE8">
        <w:rPr>
          <w:rFonts w:ascii="Arial" w:eastAsia="Calibri" w:hAnsi="Arial" w:cs="Arial"/>
          <w:sz w:val="22"/>
          <w:szCs w:val="22"/>
          <w:lang w:val="es-ES_tradnl"/>
        </w:rPr>
        <w:t xml:space="preserve">a </w:t>
      </w:r>
      <w:r w:rsidR="005244FC" w:rsidRPr="00D43CE8">
        <w:rPr>
          <w:rFonts w:ascii="Arial" w:eastAsia="Calibri" w:hAnsi="Arial" w:cs="Arial"/>
          <w:sz w:val="22"/>
          <w:szCs w:val="22"/>
          <w:lang w:val="es-ES_tradnl"/>
        </w:rPr>
        <w:t xml:space="preserve">el artículo 35 de la Ley </w:t>
      </w:r>
      <w:r w:rsidR="007B209C" w:rsidRPr="00D43CE8">
        <w:rPr>
          <w:rFonts w:ascii="Arial" w:eastAsia="Calibri" w:hAnsi="Arial" w:cs="Arial"/>
          <w:sz w:val="22"/>
          <w:szCs w:val="22"/>
          <w:lang w:val="es-ES_tradnl"/>
        </w:rPr>
        <w:t>2069</w:t>
      </w:r>
      <w:r w:rsidR="005244FC" w:rsidRPr="00D43CE8">
        <w:rPr>
          <w:rFonts w:ascii="Arial" w:eastAsia="Calibri" w:hAnsi="Arial" w:cs="Arial"/>
          <w:sz w:val="22"/>
          <w:szCs w:val="22"/>
          <w:lang w:val="es-ES_tradnl"/>
        </w:rPr>
        <w:t xml:space="preserve"> de 2020. La </w:t>
      </w:r>
      <w:r w:rsidR="009B6863" w:rsidRPr="00D43CE8">
        <w:rPr>
          <w:rFonts w:ascii="Arial" w:eastAsia="Calibri" w:hAnsi="Arial" w:cs="Arial"/>
          <w:sz w:val="22"/>
          <w:szCs w:val="22"/>
          <w:lang w:val="es-ES_tradnl"/>
        </w:rPr>
        <w:t>jurisprudencia</w:t>
      </w:r>
      <w:r w:rsidR="005244FC" w:rsidRPr="00D43CE8">
        <w:rPr>
          <w:rFonts w:ascii="Arial" w:eastAsia="Calibri" w:hAnsi="Arial" w:cs="Arial"/>
          <w:sz w:val="22"/>
          <w:szCs w:val="22"/>
          <w:lang w:val="es-ES_tradnl"/>
        </w:rPr>
        <w:t xml:space="preserve"> comparte la idea de que los criterios de desempate deben estar establecidos de antemano y constituyen un límite a la discrecionalidad administrativa en los procedimientos de selección</w:t>
      </w:r>
      <w:r w:rsidR="00221A1D" w:rsidRPr="00D43CE8">
        <w:rPr>
          <w:rStyle w:val="Refdenotaalpie"/>
          <w:rFonts w:ascii="Arial" w:eastAsia="Calibri" w:hAnsi="Arial" w:cs="Arial"/>
          <w:sz w:val="22"/>
          <w:szCs w:val="22"/>
          <w:lang w:val="es-ES_tradnl"/>
        </w:rPr>
        <w:footnoteReference w:id="3"/>
      </w:r>
      <w:r w:rsidR="005244FC" w:rsidRPr="00D43CE8">
        <w:rPr>
          <w:rFonts w:ascii="Arial" w:eastAsia="Calibri" w:hAnsi="Arial" w:cs="Arial"/>
          <w:sz w:val="22"/>
          <w:szCs w:val="22"/>
          <w:lang w:val="es-ES_tradnl"/>
        </w:rPr>
        <w:t xml:space="preserve">. </w:t>
      </w:r>
    </w:p>
    <w:p w14:paraId="0334B369" w14:textId="3F327C23" w:rsidR="00221A1D" w:rsidRPr="00D43CE8" w:rsidRDefault="00221A1D" w:rsidP="00221A1D">
      <w:pPr>
        <w:spacing w:before="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En tal sentido, la Corte Constitucional explica que cuando la ley establece factores de desempate obligatorios, las entidades estatales no pueden </w:t>
      </w:r>
      <w:proofErr w:type="spellStart"/>
      <w:r w:rsidRPr="00D43CE8">
        <w:rPr>
          <w:rFonts w:ascii="Arial" w:eastAsia="Calibri" w:hAnsi="Arial" w:cs="Arial"/>
          <w:sz w:val="22"/>
          <w:szCs w:val="22"/>
          <w:lang w:val="es-ES_tradnl"/>
        </w:rPr>
        <w:t>inaplicarlos</w:t>
      </w:r>
      <w:proofErr w:type="spellEnd"/>
      <w:r w:rsidRPr="00D43CE8">
        <w:rPr>
          <w:rFonts w:ascii="Arial" w:eastAsia="Calibri" w:hAnsi="Arial" w:cs="Arial"/>
          <w:sz w:val="22"/>
          <w:szCs w:val="22"/>
          <w:lang w:val="es-ES_tradnl"/>
        </w:rPr>
        <w:t>, porque ello podría vulnerar el principio de igualdad, especialmente, cuando algunos de estos criterios surgen como acciones afirmativas para ciertos sectores de la población</w:t>
      </w:r>
      <w:r w:rsidR="00CD32B9">
        <w:rPr>
          <w:rStyle w:val="Refdenotaalpie"/>
          <w:rFonts w:ascii="Arial" w:eastAsia="Calibri" w:hAnsi="Arial" w:cs="Arial"/>
          <w:sz w:val="22"/>
          <w:szCs w:val="22"/>
          <w:lang w:val="es-ES_tradnl"/>
        </w:rPr>
        <w:footnoteReference w:id="4"/>
      </w:r>
      <w:r w:rsidRPr="00D43CE8">
        <w:rPr>
          <w:rFonts w:ascii="Arial" w:eastAsia="Calibri" w:hAnsi="Arial" w:cs="Arial"/>
          <w:sz w:val="22"/>
          <w:szCs w:val="22"/>
          <w:lang w:val="es-ES_tradnl"/>
        </w:rPr>
        <w:t xml:space="preserve">. </w:t>
      </w:r>
    </w:p>
    <w:bookmarkEnd w:id="12"/>
    <w:p w14:paraId="2F311B0E" w14:textId="77777777" w:rsidR="00EB6D0E" w:rsidRPr="00D43CE8" w:rsidRDefault="00221A1D" w:rsidP="00221A1D">
      <w:pPr>
        <w:spacing w:before="120" w:line="276" w:lineRule="auto"/>
        <w:ind w:firstLine="709"/>
        <w:jc w:val="both"/>
        <w:rPr>
          <w:rFonts w:ascii="Arial" w:hAnsi="Arial" w:cs="Arial"/>
          <w:sz w:val="22"/>
          <w:szCs w:val="22"/>
          <w:lang w:val="es-ES" w:eastAsia="es-CO"/>
        </w:rPr>
      </w:pPr>
      <w:r w:rsidRPr="00D43CE8">
        <w:rPr>
          <w:rFonts w:ascii="Arial" w:eastAsia="Calibri" w:hAnsi="Arial" w:cs="Arial"/>
          <w:sz w:val="22"/>
          <w:szCs w:val="22"/>
          <w:lang w:val="es-ES_tradnl"/>
        </w:rPr>
        <w:t>Ahora bien, en cumplimiento de los principios de reciprocidad y de </w:t>
      </w:r>
      <w:r w:rsidRPr="00D43CE8">
        <w:rPr>
          <w:rFonts w:ascii="Arial" w:eastAsia="Calibri" w:hAnsi="Arial" w:cs="Arial"/>
          <w:i/>
          <w:iCs/>
          <w:sz w:val="22"/>
          <w:szCs w:val="22"/>
          <w:lang w:val="es-ES_tradnl"/>
        </w:rPr>
        <w:t>pacta sunt </w:t>
      </w:r>
      <w:proofErr w:type="spellStart"/>
      <w:r w:rsidRPr="00D43CE8">
        <w:rPr>
          <w:rFonts w:ascii="Arial" w:eastAsia="Calibri" w:hAnsi="Arial" w:cs="Arial"/>
          <w:i/>
          <w:iCs/>
          <w:sz w:val="22"/>
          <w:szCs w:val="22"/>
          <w:lang w:val="es-ES_tradnl"/>
        </w:rPr>
        <w:t>servanda</w:t>
      </w:r>
      <w:proofErr w:type="spellEnd"/>
      <w:r w:rsidRPr="00D43CE8">
        <w:rPr>
          <w:rFonts w:ascii="Arial" w:eastAsia="Calibri" w:hAnsi="Arial" w:cs="Arial"/>
          <w:sz w:val="22"/>
          <w:szCs w:val="22"/>
          <w:lang w:val="es-ES_tradnl"/>
        </w:rPr>
        <w:t>,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w:t>
      </w:r>
      <w:r w:rsidRPr="00D43CE8">
        <w:rPr>
          <w:rFonts w:ascii="Arial" w:hAnsi="Arial" w:cs="Arial"/>
          <w:sz w:val="22"/>
          <w:szCs w:val="22"/>
          <w:lang w:val="es-ES" w:eastAsia="es-CO"/>
        </w:rPr>
        <w:t>».</w:t>
      </w:r>
    </w:p>
    <w:p w14:paraId="6963DC42" w14:textId="159D0E06" w:rsidR="004F1593" w:rsidRPr="00D43CE8" w:rsidRDefault="004F1593" w:rsidP="0064075F">
      <w:pPr>
        <w:spacing w:before="120" w:line="276" w:lineRule="auto"/>
        <w:jc w:val="both"/>
        <w:rPr>
          <w:rFonts w:ascii="Arial" w:eastAsia="Calibri" w:hAnsi="Arial" w:cs="Arial"/>
          <w:sz w:val="22"/>
          <w:szCs w:val="22"/>
          <w:lang w:val="es-ES_tradnl"/>
        </w:rPr>
      </w:pPr>
    </w:p>
    <w:p w14:paraId="27D423AC" w14:textId="21332E0F" w:rsidR="005244FC" w:rsidRPr="00D43CE8" w:rsidRDefault="005244FC" w:rsidP="005244FC">
      <w:pPr>
        <w:spacing w:line="276" w:lineRule="auto"/>
        <w:jc w:val="both"/>
        <w:rPr>
          <w:rFonts w:ascii="Arial" w:eastAsia="Calibri" w:hAnsi="Arial" w:cs="Arial"/>
          <w:b/>
          <w:bCs/>
          <w:sz w:val="22"/>
          <w:szCs w:val="22"/>
          <w:lang w:val="es-ES_tradnl"/>
        </w:rPr>
      </w:pPr>
      <w:r w:rsidRPr="00D43CE8">
        <w:rPr>
          <w:rFonts w:ascii="Arial" w:eastAsia="Calibri" w:hAnsi="Arial" w:cs="Arial"/>
          <w:b/>
          <w:bCs/>
          <w:sz w:val="22"/>
          <w:szCs w:val="22"/>
          <w:lang w:val="es-ES_tradnl"/>
        </w:rPr>
        <w:t xml:space="preserve">2.2. </w:t>
      </w:r>
      <w:r w:rsidR="00BD2FF1" w:rsidRPr="00D43CE8">
        <w:rPr>
          <w:rFonts w:ascii="Arial" w:eastAsia="Calibri" w:hAnsi="Arial" w:cs="Arial"/>
          <w:b/>
          <w:bCs/>
          <w:sz w:val="22"/>
          <w:szCs w:val="22"/>
          <w:lang w:val="es-ES_tradnl"/>
        </w:rPr>
        <w:t xml:space="preserve">Ámbito de aplicación, </w:t>
      </w:r>
      <w:r w:rsidR="00FA6788" w:rsidRPr="00D43CE8">
        <w:rPr>
          <w:rFonts w:ascii="Arial" w:eastAsia="Calibri" w:hAnsi="Arial" w:cs="Arial"/>
          <w:b/>
          <w:bCs/>
          <w:sz w:val="22"/>
          <w:szCs w:val="22"/>
          <w:lang w:val="es-ES_tradnl"/>
        </w:rPr>
        <w:t>vigencia y</w:t>
      </w:r>
      <w:r w:rsidR="00BD2FF1" w:rsidRPr="00D43CE8">
        <w:rPr>
          <w:rFonts w:ascii="Arial" w:eastAsia="Calibri" w:hAnsi="Arial" w:cs="Arial"/>
          <w:b/>
          <w:bCs/>
          <w:sz w:val="22"/>
          <w:szCs w:val="22"/>
          <w:lang w:val="es-ES_tradnl"/>
        </w:rPr>
        <w:t xml:space="preserve"> reglamentación </w:t>
      </w:r>
      <w:r w:rsidRPr="00D43CE8">
        <w:rPr>
          <w:rFonts w:ascii="Arial" w:eastAsia="Calibri" w:hAnsi="Arial" w:cs="Arial"/>
          <w:b/>
          <w:bCs/>
          <w:sz w:val="22"/>
          <w:szCs w:val="22"/>
          <w:lang w:val="es-ES_tradnl"/>
        </w:rPr>
        <w:t xml:space="preserve">de la Ley </w:t>
      </w:r>
      <w:r w:rsidR="007B209C" w:rsidRPr="00D43CE8">
        <w:rPr>
          <w:rFonts w:ascii="Arial" w:eastAsia="Calibri" w:hAnsi="Arial" w:cs="Arial"/>
          <w:b/>
          <w:bCs/>
          <w:sz w:val="22"/>
          <w:szCs w:val="22"/>
          <w:lang w:val="es-ES_tradnl"/>
        </w:rPr>
        <w:t>2069</w:t>
      </w:r>
      <w:r w:rsidRPr="00D43CE8">
        <w:rPr>
          <w:rFonts w:ascii="Arial" w:eastAsia="Calibri" w:hAnsi="Arial" w:cs="Arial"/>
          <w:b/>
          <w:bCs/>
          <w:sz w:val="22"/>
          <w:szCs w:val="22"/>
          <w:lang w:val="es-ES_tradnl"/>
        </w:rPr>
        <w:t xml:space="preserve"> de 2020</w:t>
      </w:r>
      <w:r w:rsidR="00EC7843" w:rsidRPr="00D43CE8">
        <w:rPr>
          <w:rFonts w:ascii="Arial" w:eastAsia="Calibri" w:hAnsi="Arial" w:cs="Arial"/>
          <w:b/>
          <w:bCs/>
          <w:sz w:val="22"/>
          <w:szCs w:val="22"/>
          <w:lang w:val="es-ES_tradnl"/>
        </w:rPr>
        <w:t xml:space="preserve"> </w:t>
      </w:r>
    </w:p>
    <w:p w14:paraId="10695754" w14:textId="77777777" w:rsidR="005244FC" w:rsidRPr="00D43CE8" w:rsidRDefault="005244FC" w:rsidP="005244FC">
      <w:pPr>
        <w:spacing w:line="276" w:lineRule="auto"/>
        <w:jc w:val="both"/>
        <w:rPr>
          <w:rFonts w:ascii="Arial" w:eastAsia="Calibri" w:hAnsi="Arial" w:cs="Arial"/>
          <w:sz w:val="22"/>
          <w:szCs w:val="22"/>
          <w:lang w:val="es-ES_tradnl"/>
        </w:rPr>
      </w:pPr>
    </w:p>
    <w:p w14:paraId="20A72819" w14:textId="51762BDD" w:rsidR="00116EC5" w:rsidRPr="00D43CE8" w:rsidRDefault="00116EC5" w:rsidP="00116EC5">
      <w:pPr>
        <w:spacing w:line="276" w:lineRule="auto"/>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El 31 de diciembre de 2020 se promulgó la Ley </w:t>
      </w:r>
      <w:r w:rsidR="007B209C" w:rsidRPr="00D43CE8">
        <w:rPr>
          <w:rFonts w:ascii="Arial" w:eastAsia="Calibri" w:hAnsi="Arial" w:cs="Arial"/>
          <w:sz w:val="22"/>
          <w:szCs w:val="22"/>
          <w:lang w:val="es-ES_tradnl"/>
        </w:rPr>
        <w:t>2069</w:t>
      </w:r>
      <w:r w:rsidRPr="00D43CE8">
        <w:rPr>
          <w:rFonts w:ascii="Arial" w:eastAsia="Calibri" w:hAnsi="Arial" w:cs="Arial"/>
          <w:sz w:val="22"/>
          <w:szCs w:val="22"/>
          <w:lang w:val="es-ES_tradnl"/>
        </w:rPr>
        <w:t>,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w:t>
      </w:r>
      <w:r w:rsidR="00323C99">
        <w:rPr>
          <w:rFonts w:ascii="Arial" w:eastAsia="Calibri" w:hAnsi="Arial" w:cs="Arial"/>
          <w:sz w:val="22"/>
          <w:szCs w:val="22"/>
          <w:lang w:val="es-ES_tradnl"/>
        </w:rPr>
        <w:t>iera</w:t>
      </w:r>
      <w:r w:rsidRPr="00D43CE8">
        <w:rPr>
          <w:rFonts w:ascii="Arial" w:eastAsia="Calibri" w:hAnsi="Arial" w:cs="Arial"/>
          <w:sz w:val="22"/>
          <w:szCs w:val="22"/>
          <w:lang w:val="es-ES_tradnl"/>
        </w:rPr>
        <w:t xml:space="preserve"> el decreto correspondiente que permit</w:t>
      </w:r>
      <w:r w:rsidR="008C3B63">
        <w:rPr>
          <w:rFonts w:ascii="Arial" w:eastAsia="Calibri" w:hAnsi="Arial" w:cs="Arial"/>
          <w:sz w:val="22"/>
          <w:szCs w:val="22"/>
          <w:lang w:val="es-ES_tradnl"/>
        </w:rPr>
        <w:t>iera</w:t>
      </w:r>
      <w:r w:rsidRPr="00D43CE8">
        <w:rPr>
          <w:rFonts w:ascii="Arial" w:eastAsia="Calibri" w:hAnsi="Arial" w:cs="Arial"/>
          <w:sz w:val="22"/>
          <w:szCs w:val="22"/>
          <w:lang w:val="es-ES_tradnl"/>
        </w:rPr>
        <w:t xml:space="preserve"> la cumplida ejecución de esta Ley</w:t>
      </w:r>
      <w:r w:rsidR="007021AB">
        <w:rPr>
          <w:rFonts w:ascii="Arial" w:eastAsia="Calibri" w:hAnsi="Arial" w:cs="Arial"/>
          <w:sz w:val="22"/>
          <w:szCs w:val="22"/>
          <w:lang w:val="es-ES_tradnl"/>
        </w:rPr>
        <w:t>, tal como aconteció con el Decreto 1860 de 2021, al cual se hará referencia más adelante</w:t>
      </w:r>
      <w:r w:rsidRPr="00D43CE8">
        <w:rPr>
          <w:rFonts w:ascii="Arial" w:eastAsia="Calibri" w:hAnsi="Arial" w:cs="Arial"/>
          <w:sz w:val="22"/>
          <w:szCs w:val="22"/>
          <w:lang w:val="es-ES_tradnl"/>
        </w:rPr>
        <w:t>.</w:t>
      </w:r>
    </w:p>
    <w:p w14:paraId="7126B235" w14:textId="2F54C32C" w:rsidR="00EA0455" w:rsidRPr="00D43CE8" w:rsidRDefault="00EA0455" w:rsidP="00EA0455">
      <w:pPr>
        <w:spacing w:before="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En cuan</w:t>
      </w:r>
      <w:r w:rsidR="005E5EE6">
        <w:rPr>
          <w:rFonts w:ascii="Arial" w:eastAsia="Calibri" w:hAnsi="Arial" w:cs="Arial"/>
          <w:sz w:val="22"/>
          <w:szCs w:val="22"/>
          <w:lang w:val="es-ES_tradnl"/>
        </w:rPr>
        <w:t>t</w:t>
      </w:r>
      <w:r w:rsidRPr="00D43CE8">
        <w:rPr>
          <w:rFonts w:ascii="Arial" w:eastAsia="Calibri" w:hAnsi="Arial" w:cs="Arial"/>
          <w:sz w:val="22"/>
          <w:szCs w:val="22"/>
          <w:lang w:val="es-ES_tradnl"/>
        </w:rPr>
        <w:t xml:space="preserve">o </w:t>
      </w:r>
      <w:r w:rsidR="001A0160">
        <w:rPr>
          <w:rFonts w:ascii="Arial" w:eastAsia="Calibri" w:hAnsi="Arial" w:cs="Arial"/>
          <w:sz w:val="22"/>
          <w:szCs w:val="22"/>
          <w:lang w:val="es-ES_tradnl"/>
        </w:rPr>
        <w:t>al</w:t>
      </w:r>
      <w:r w:rsidRPr="00D43CE8">
        <w:rPr>
          <w:rFonts w:ascii="Arial" w:eastAsia="Calibri" w:hAnsi="Arial" w:cs="Arial"/>
          <w:sz w:val="22"/>
          <w:szCs w:val="22"/>
          <w:lang w:val="es-ES_tradnl"/>
        </w:rPr>
        <w:t xml:space="preserve"> contenido</w:t>
      </w:r>
      <w:r w:rsidR="001A0160">
        <w:rPr>
          <w:rFonts w:ascii="Arial" w:eastAsia="Calibri" w:hAnsi="Arial" w:cs="Arial"/>
          <w:sz w:val="22"/>
          <w:szCs w:val="22"/>
          <w:lang w:val="es-ES_tradnl"/>
        </w:rPr>
        <w:t xml:space="preserve"> de la Ley 2069 de 2020</w:t>
      </w:r>
      <w:r w:rsidRPr="00D43CE8">
        <w:rPr>
          <w:rFonts w:ascii="Arial" w:eastAsia="Calibri" w:hAnsi="Arial" w:cs="Arial"/>
          <w:sz w:val="22"/>
          <w:szCs w:val="22"/>
          <w:lang w:val="es-ES_tradnl"/>
        </w:rPr>
        <w:t xml:space="preserve">,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D43CE8">
        <w:rPr>
          <w:rFonts w:ascii="Arial" w:eastAsia="Calibri" w:hAnsi="Arial" w:cs="Arial"/>
          <w:sz w:val="22"/>
          <w:szCs w:val="22"/>
          <w:lang w:val="es-ES_tradnl"/>
        </w:rPr>
        <w:t>de acuerdo a</w:t>
      </w:r>
      <w:proofErr w:type="gramEnd"/>
      <w:r w:rsidRPr="00D43CE8">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w:t>
      </w:r>
      <w:r w:rsidRPr="00D43CE8">
        <w:rPr>
          <w:rFonts w:ascii="Arial" w:eastAsia="Calibri" w:hAnsi="Arial" w:cs="Arial"/>
          <w:sz w:val="22"/>
          <w:szCs w:val="22"/>
          <w:lang w:val="es-ES_tradnl"/>
        </w:rPr>
        <w:lastRenderedPageBreak/>
        <w:t>empresas –</w:t>
      </w:r>
      <w:proofErr w:type="spellStart"/>
      <w:r w:rsidRPr="00D43CE8">
        <w:rPr>
          <w:rFonts w:ascii="Arial" w:eastAsia="Calibri" w:hAnsi="Arial" w:cs="Arial"/>
          <w:sz w:val="22"/>
          <w:szCs w:val="22"/>
          <w:lang w:val="es-ES_tradnl"/>
        </w:rPr>
        <w:t>mipymes</w:t>
      </w:r>
      <w:proofErr w:type="spellEnd"/>
      <w:r w:rsidRPr="00D43CE8">
        <w:rPr>
          <w:rFonts w:ascii="Arial" w:eastAsia="Calibri" w:hAnsi="Arial" w:cs="Arial"/>
          <w:sz w:val="22"/>
          <w:szCs w:val="22"/>
          <w:lang w:val="es-ES_tradnl"/>
        </w:rPr>
        <w:t>–, mediante la racionalización y simplificación de los trámites y tarifas</w:t>
      </w:r>
      <w:r w:rsidRPr="00D43CE8">
        <w:rPr>
          <w:rStyle w:val="Refdenotaalpie"/>
          <w:rFonts w:ascii="Arial" w:eastAsia="Calibri" w:hAnsi="Arial" w:cs="Arial"/>
          <w:sz w:val="22"/>
          <w:szCs w:val="22"/>
          <w:lang w:val="es-ES_tradnl"/>
        </w:rPr>
        <w:footnoteReference w:id="5"/>
      </w:r>
      <w:r w:rsidRPr="00D43CE8">
        <w:rPr>
          <w:rFonts w:ascii="Arial" w:eastAsia="Calibri" w:hAnsi="Arial" w:cs="Arial"/>
          <w:sz w:val="22"/>
          <w:szCs w:val="22"/>
          <w:lang w:val="es-ES_tradnl"/>
        </w:rPr>
        <w:t>, así como incentivos a favor de aquellas dentro del sistema de compras y contratación pública</w:t>
      </w:r>
      <w:r w:rsidRPr="00D43CE8">
        <w:rPr>
          <w:rStyle w:val="Refdenotaalpie"/>
          <w:rFonts w:ascii="Arial" w:eastAsia="Calibri" w:hAnsi="Arial" w:cs="Arial"/>
          <w:sz w:val="22"/>
          <w:szCs w:val="22"/>
          <w:lang w:val="es-ES_tradnl"/>
        </w:rPr>
        <w:footnoteReference w:id="6"/>
      </w:r>
      <w:r w:rsidRPr="00D43CE8">
        <w:rPr>
          <w:rFonts w:ascii="Arial" w:eastAsia="Calibri" w:hAnsi="Arial" w:cs="Arial"/>
          <w:sz w:val="22"/>
          <w:szCs w:val="22"/>
          <w:lang w:val="es-ES_tradnl"/>
        </w:rPr>
        <w:t>. También se consagran mecanismos de acceso al financiamiento</w:t>
      </w:r>
      <w:r w:rsidRPr="00D43CE8">
        <w:rPr>
          <w:rStyle w:val="Refdenotaalpie"/>
          <w:rFonts w:ascii="Arial" w:eastAsia="Calibri" w:hAnsi="Arial" w:cs="Arial"/>
          <w:sz w:val="22"/>
          <w:szCs w:val="22"/>
          <w:lang w:val="es-ES_tradnl"/>
        </w:rPr>
        <w:footnoteReference w:id="7"/>
      </w:r>
      <w:r w:rsidRPr="00D43CE8">
        <w:rPr>
          <w:rFonts w:ascii="Arial" w:eastAsia="Calibri" w:hAnsi="Arial" w:cs="Arial"/>
          <w:sz w:val="22"/>
          <w:szCs w:val="22"/>
          <w:lang w:val="es-ES_tradnl"/>
        </w:rPr>
        <w:t>, se unifican las fuentes de emprendimiento y de desarrollo empresarial, para fortalecer y promover los distintos sectores de la economía</w:t>
      </w:r>
      <w:r w:rsidRPr="00D43CE8">
        <w:rPr>
          <w:rStyle w:val="Refdenotaalpie"/>
          <w:rFonts w:ascii="Arial" w:eastAsia="Calibri" w:hAnsi="Arial" w:cs="Arial"/>
          <w:sz w:val="22"/>
          <w:szCs w:val="22"/>
          <w:lang w:val="es-ES_tradnl"/>
        </w:rPr>
        <w:footnoteReference w:id="8"/>
      </w:r>
      <w:r w:rsidRPr="00D43CE8">
        <w:rPr>
          <w:rFonts w:ascii="Arial" w:eastAsia="Calibri" w:hAnsi="Arial" w:cs="Arial"/>
          <w:sz w:val="22"/>
          <w:szCs w:val="22"/>
          <w:lang w:val="es-ES_tradnl"/>
        </w:rPr>
        <w:t xml:space="preserve"> y se prevén medidas de educación para el emprendimiento y la innovación</w:t>
      </w:r>
      <w:r w:rsidRPr="00D43CE8">
        <w:rPr>
          <w:rStyle w:val="Refdenotaalpie"/>
          <w:rFonts w:ascii="Arial" w:eastAsia="Calibri" w:hAnsi="Arial" w:cs="Arial"/>
          <w:sz w:val="22"/>
          <w:szCs w:val="22"/>
          <w:lang w:val="es-ES_tradnl"/>
        </w:rPr>
        <w:footnoteReference w:id="9"/>
      </w:r>
      <w:r w:rsidRPr="00D43CE8">
        <w:rPr>
          <w:rFonts w:ascii="Arial" w:eastAsia="Calibri" w:hAnsi="Arial" w:cs="Arial"/>
          <w:sz w:val="22"/>
          <w:szCs w:val="22"/>
          <w:lang w:val="es-ES_tradnl"/>
        </w:rPr>
        <w:t>.</w:t>
      </w:r>
    </w:p>
    <w:p w14:paraId="76F598EA" w14:textId="32BDA4BF" w:rsidR="006C189C" w:rsidRPr="00D43CE8" w:rsidRDefault="00EA0455" w:rsidP="008E5E37">
      <w:pPr>
        <w:spacing w:before="120" w:after="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Como se indicó, parte de la Ley </w:t>
      </w:r>
      <w:r w:rsidR="007B209C" w:rsidRPr="00D43CE8">
        <w:rPr>
          <w:rFonts w:ascii="Arial" w:eastAsia="Calibri" w:hAnsi="Arial" w:cs="Arial"/>
          <w:sz w:val="22"/>
          <w:szCs w:val="22"/>
          <w:lang w:val="es-ES_tradnl"/>
        </w:rPr>
        <w:t>2069</w:t>
      </w:r>
      <w:r w:rsidRPr="00D43CE8">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D43CE8">
        <w:rPr>
          <w:rFonts w:ascii="Arial" w:eastAsia="Calibri" w:hAnsi="Arial" w:cs="Arial"/>
          <w:sz w:val="22"/>
          <w:szCs w:val="22"/>
          <w:lang w:val="es-ES_tradnl"/>
        </w:rPr>
        <w:t>mipymes</w:t>
      </w:r>
      <w:proofErr w:type="spellEnd"/>
      <w:r w:rsidRPr="00D43CE8">
        <w:rPr>
          <w:rFonts w:ascii="Arial" w:eastAsia="Calibri" w:hAnsi="Arial" w:cs="Arial"/>
          <w:sz w:val="22"/>
          <w:szCs w:val="22"/>
          <w:lang w:val="es-ES_tradnl"/>
        </w:rPr>
        <w:t xml:space="preserve"> en el procedimiento de mínima cuantía, ii) criterios diferenciales para </w:t>
      </w:r>
      <w:proofErr w:type="spellStart"/>
      <w:r w:rsidRPr="00D43CE8">
        <w:rPr>
          <w:rFonts w:ascii="Arial" w:eastAsia="Calibri" w:hAnsi="Arial" w:cs="Arial"/>
          <w:sz w:val="22"/>
          <w:szCs w:val="22"/>
          <w:lang w:val="es-ES_tradnl"/>
        </w:rPr>
        <w:t>mipymes</w:t>
      </w:r>
      <w:proofErr w:type="spellEnd"/>
      <w:r w:rsidRPr="00D43CE8">
        <w:rPr>
          <w:rFonts w:ascii="Arial" w:eastAsia="Calibri" w:hAnsi="Arial" w:cs="Arial"/>
          <w:sz w:val="22"/>
          <w:szCs w:val="22"/>
          <w:lang w:val="es-ES_tradnl"/>
        </w:rPr>
        <w:t xml:space="preserve"> en el sistema de compras públicas, </w:t>
      </w:r>
      <w:proofErr w:type="spellStart"/>
      <w:r w:rsidRPr="00D43CE8">
        <w:rPr>
          <w:rFonts w:ascii="Arial" w:eastAsia="Calibri" w:hAnsi="Arial" w:cs="Arial"/>
          <w:sz w:val="22"/>
          <w:szCs w:val="22"/>
          <w:lang w:val="es-ES_tradnl"/>
        </w:rPr>
        <w:t>iii</w:t>
      </w:r>
      <w:proofErr w:type="spellEnd"/>
      <w:r w:rsidRPr="00D43CE8">
        <w:rPr>
          <w:rFonts w:ascii="Arial" w:eastAsia="Calibri" w:hAnsi="Arial" w:cs="Arial"/>
          <w:sz w:val="22"/>
          <w:szCs w:val="22"/>
          <w:lang w:val="es-ES_tradnl"/>
        </w:rPr>
        <w:t xml:space="preserve">) criterios diferenciales para emprendimientos y empresas de mujeres en el sistema de compras públicas, iv) promoción del acceso de las </w:t>
      </w:r>
      <w:proofErr w:type="spellStart"/>
      <w:r w:rsidRPr="00D43CE8">
        <w:rPr>
          <w:rFonts w:ascii="Arial" w:eastAsia="Calibri" w:hAnsi="Arial" w:cs="Arial"/>
          <w:sz w:val="22"/>
          <w:szCs w:val="22"/>
          <w:lang w:val="es-ES_tradnl"/>
        </w:rPr>
        <w:t>mipymes</w:t>
      </w:r>
      <w:proofErr w:type="spellEnd"/>
      <w:r w:rsidRPr="00D43CE8">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00237F82" w:rsidRPr="00D43CE8">
        <w:rPr>
          <w:rFonts w:ascii="Arial" w:eastAsia="Calibri" w:hAnsi="Arial" w:cs="Arial"/>
          <w:sz w:val="22"/>
          <w:szCs w:val="22"/>
          <w:lang w:val="es-ES_tradnl"/>
        </w:rPr>
        <w:t>l</w:t>
      </w:r>
      <w:r w:rsidRPr="00D43CE8">
        <w:rPr>
          <w:rFonts w:ascii="Arial" w:eastAsia="Calibri" w:hAnsi="Arial" w:cs="Arial"/>
          <w:sz w:val="22"/>
          <w:szCs w:val="22"/>
          <w:lang w:val="es-ES_tradnl"/>
        </w:rPr>
        <w:t xml:space="preserve">ey, a </w:t>
      </w:r>
      <w:r w:rsidR="00DC1F4B" w:rsidRPr="00D43CE8">
        <w:rPr>
          <w:rFonts w:ascii="Arial" w:eastAsia="Calibri" w:hAnsi="Arial" w:cs="Arial"/>
          <w:sz w:val="22"/>
          <w:szCs w:val="22"/>
          <w:lang w:val="es-ES_tradnl"/>
        </w:rPr>
        <w:t>continuación,</w:t>
      </w:r>
      <w:r w:rsidRPr="00D43CE8">
        <w:rPr>
          <w:rFonts w:ascii="Arial" w:eastAsia="Calibri" w:hAnsi="Arial" w:cs="Arial"/>
          <w:sz w:val="22"/>
          <w:szCs w:val="22"/>
          <w:lang w:val="es-ES_tradnl"/>
        </w:rPr>
        <w:t xml:space="preserve"> se estudiará el contenido y alcance de dicha norma.  </w:t>
      </w:r>
    </w:p>
    <w:p w14:paraId="28246740" w14:textId="01E75896" w:rsidR="00BD3AF1" w:rsidRPr="00D43CE8" w:rsidRDefault="00E30269" w:rsidP="00271230">
      <w:pPr>
        <w:spacing w:line="276" w:lineRule="auto"/>
        <w:jc w:val="both"/>
        <w:rPr>
          <w:rFonts w:ascii="Arial" w:eastAsia="Calibri" w:hAnsi="Arial" w:cs="Arial"/>
          <w:sz w:val="22"/>
          <w:szCs w:val="22"/>
          <w:lang w:val="es-ES_tradnl"/>
        </w:rPr>
      </w:pPr>
      <w:r w:rsidRPr="00D43CE8">
        <w:rPr>
          <w:rFonts w:ascii="Arial" w:eastAsia="Calibri" w:hAnsi="Arial" w:cs="Arial"/>
          <w:sz w:val="22"/>
          <w:szCs w:val="22"/>
          <w:lang w:val="es-ES_tradnl"/>
        </w:rPr>
        <w:tab/>
      </w:r>
      <w:r w:rsidR="00FC6DB9" w:rsidRPr="00D43CE8">
        <w:rPr>
          <w:rFonts w:ascii="Arial" w:eastAsia="Calibri" w:hAnsi="Arial" w:cs="Arial"/>
          <w:sz w:val="22"/>
          <w:szCs w:val="22"/>
          <w:lang w:val="es-ES_tradnl"/>
        </w:rPr>
        <w:t xml:space="preserve">El artículo 35 de la Ley </w:t>
      </w:r>
      <w:r w:rsidR="007B209C" w:rsidRPr="00D43CE8">
        <w:rPr>
          <w:rFonts w:ascii="Arial" w:eastAsia="Calibri" w:hAnsi="Arial" w:cs="Arial"/>
          <w:sz w:val="22"/>
          <w:szCs w:val="22"/>
          <w:lang w:val="es-ES_tradnl"/>
        </w:rPr>
        <w:t>2069</w:t>
      </w:r>
      <w:r w:rsidR="00FC6DB9" w:rsidRPr="00D43CE8">
        <w:rPr>
          <w:rFonts w:ascii="Arial" w:eastAsia="Calibri" w:hAnsi="Arial" w:cs="Arial"/>
          <w:sz w:val="22"/>
          <w:szCs w:val="22"/>
          <w:lang w:val="es-ES_tradnl"/>
        </w:rPr>
        <w:t xml:space="preserve"> de 2020</w:t>
      </w:r>
      <w:r w:rsidR="00486226" w:rsidRPr="00D43CE8">
        <w:rPr>
          <w:rFonts w:ascii="Arial" w:eastAsia="Calibri" w:hAnsi="Arial" w:cs="Arial"/>
          <w:sz w:val="22"/>
          <w:szCs w:val="22"/>
          <w:lang w:val="es-ES_tradnl"/>
        </w:rPr>
        <w:t xml:space="preserve"> modifica la regulación de los </w:t>
      </w:r>
      <w:r w:rsidR="008F4163" w:rsidRPr="00D43CE8">
        <w:rPr>
          <w:rFonts w:ascii="Arial" w:eastAsia="Calibri" w:hAnsi="Arial" w:cs="Arial"/>
          <w:sz w:val="22"/>
          <w:szCs w:val="22"/>
          <w:lang w:val="es-ES_tradnl"/>
        </w:rPr>
        <w:t>factores</w:t>
      </w:r>
      <w:r w:rsidR="00486226" w:rsidRPr="00D43CE8">
        <w:rPr>
          <w:rFonts w:ascii="Arial" w:eastAsia="Calibri" w:hAnsi="Arial" w:cs="Arial"/>
          <w:sz w:val="22"/>
          <w:szCs w:val="22"/>
          <w:lang w:val="es-ES_tradnl"/>
        </w:rPr>
        <w:t xml:space="preserve"> de</w:t>
      </w:r>
      <w:r w:rsidR="008F4163" w:rsidRPr="00D43CE8">
        <w:rPr>
          <w:rFonts w:ascii="Arial" w:eastAsia="Calibri" w:hAnsi="Arial" w:cs="Arial"/>
          <w:sz w:val="22"/>
          <w:szCs w:val="22"/>
          <w:lang w:val="es-ES_tradnl"/>
        </w:rPr>
        <w:t xml:space="preserve"> desempate en la contratación estatal. En consideración a que</w:t>
      </w:r>
      <w:r w:rsidR="006660F0" w:rsidRPr="00D43CE8">
        <w:rPr>
          <w:rFonts w:ascii="Arial" w:eastAsia="Calibri" w:hAnsi="Arial" w:cs="Arial"/>
          <w:sz w:val="22"/>
          <w:szCs w:val="22"/>
          <w:lang w:val="es-ES_tradnl"/>
        </w:rPr>
        <w:t xml:space="preserve"> en la consulta se solicita que la Agencia Nacional de Contratación Pública – Colombia Compra Eficiente</w:t>
      </w:r>
      <w:r w:rsidR="00B6040C" w:rsidRPr="00D43CE8">
        <w:rPr>
          <w:rFonts w:ascii="Arial" w:eastAsia="Calibri" w:hAnsi="Arial" w:cs="Arial"/>
          <w:sz w:val="22"/>
          <w:szCs w:val="22"/>
          <w:lang w:val="es-ES_tradnl"/>
        </w:rPr>
        <w:t xml:space="preserve"> </w:t>
      </w:r>
      <w:r w:rsidR="00087A64" w:rsidRPr="00D43CE8">
        <w:rPr>
          <w:rFonts w:ascii="Arial" w:eastAsia="Calibri" w:hAnsi="Arial" w:cs="Arial"/>
          <w:sz w:val="22"/>
          <w:szCs w:val="22"/>
          <w:lang w:val="es-ES_tradnl"/>
        </w:rPr>
        <w:t xml:space="preserve">efectúe </w:t>
      </w:r>
      <w:r w:rsidR="00707A2E" w:rsidRPr="00D43CE8">
        <w:rPr>
          <w:rFonts w:ascii="Arial" w:eastAsia="Calibri" w:hAnsi="Arial" w:cs="Arial"/>
          <w:sz w:val="22"/>
          <w:szCs w:val="22"/>
          <w:lang w:val="es-ES_tradnl"/>
        </w:rPr>
        <w:t xml:space="preserve">ciertas </w:t>
      </w:r>
      <w:r w:rsidR="00087A64" w:rsidRPr="00D43CE8">
        <w:rPr>
          <w:rFonts w:ascii="Arial" w:eastAsia="Calibri" w:hAnsi="Arial" w:cs="Arial"/>
          <w:sz w:val="22"/>
          <w:szCs w:val="22"/>
          <w:lang w:val="es-ES_tradnl"/>
        </w:rPr>
        <w:t>precisiones hermenéuticas sobre</w:t>
      </w:r>
      <w:r w:rsidR="00707A2E" w:rsidRPr="00D43CE8">
        <w:rPr>
          <w:rFonts w:ascii="Arial" w:eastAsia="Calibri" w:hAnsi="Arial" w:cs="Arial"/>
          <w:sz w:val="22"/>
          <w:szCs w:val="22"/>
          <w:lang w:val="es-ES_tradnl"/>
        </w:rPr>
        <w:t xml:space="preserve"> algunos numerales de dicho artículo</w:t>
      </w:r>
      <w:r w:rsidR="00B6040C" w:rsidRPr="00D43CE8">
        <w:rPr>
          <w:rFonts w:ascii="Arial" w:eastAsia="Calibri" w:hAnsi="Arial" w:cs="Arial"/>
          <w:sz w:val="22"/>
          <w:szCs w:val="22"/>
          <w:lang w:val="es-ES_tradnl"/>
        </w:rPr>
        <w:t xml:space="preserve">, </w:t>
      </w:r>
      <w:r w:rsidR="00045388" w:rsidRPr="00D43CE8">
        <w:rPr>
          <w:rFonts w:ascii="Arial" w:eastAsia="Calibri" w:hAnsi="Arial" w:cs="Arial"/>
          <w:sz w:val="22"/>
          <w:szCs w:val="22"/>
          <w:lang w:val="es-ES_tradnl"/>
        </w:rPr>
        <w:t xml:space="preserve">a </w:t>
      </w:r>
      <w:r w:rsidR="005B5467" w:rsidRPr="00D43CE8">
        <w:rPr>
          <w:rFonts w:ascii="Arial" w:eastAsia="Calibri" w:hAnsi="Arial" w:cs="Arial"/>
          <w:sz w:val="22"/>
          <w:szCs w:val="22"/>
          <w:lang w:val="es-ES_tradnl"/>
        </w:rPr>
        <w:t>continuación,</w:t>
      </w:r>
      <w:r w:rsidR="00045388" w:rsidRPr="00D43CE8">
        <w:rPr>
          <w:rFonts w:ascii="Arial" w:eastAsia="Calibri" w:hAnsi="Arial" w:cs="Arial"/>
          <w:sz w:val="22"/>
          <w:szCs w:val="22"/>
          <w:lang w:val="es-ES_tradnl"/>
        </w:rPr>
        <w:t xml:space="preserve"> </w:t>
      </w:r>
      <w:r w:rsidR="005E5EE6">
        <w:rPr>
          <w:rFonts w:ascii="Arial" w:eastAsia="Calibri" w:hAnsi="Arial" w:cs="Arial"/>
          <w:sz w:val="22"/>
          <w:szCs w:val="22"/>
          <w:lang w:val="es-ES_tradnl"/>
        </w:rPr>
        <w:t xml:space="preserve">se </w:t>
      </w:r>
      <w:r w:rsidR="005B5467" w:rsidRPr="00D43CE8">
        <w:rPr>
          <w:rFonts w:ascii="Arial" w:eastAsia="Calibri" w:hAnsi="Arial" w:cs="Arial"/>
          <w:sz w:val="22"/>
          <w:szCs w:val="22"/>
          <w:lang w:val="es-ES_tradnl"/>
        </w:rPr>
        <w:t>indicará</w:t>
      </w:r>
      <w:r w:rsidR="00707A2E" w:rsidRPr="00D43CE8">
        <w:rPr>
          <w:rFonts w:ascii="Arial" w:eastAsia="Calibri" w:hAnsi="Arial" w:cs="Arial"/>
          <w:sz w:val="22"/>
          <w:szCs w:val="22"/>
          <w:lang w:val="es-ES_tradnl"/>
        </w:rPr>
        <w:t xml:space="preserve"> el </w:t>
      </w:r>
      <w:r w:rsidR="00AC5D9D" w:rsidRPr="00D43CE8">
        <w:rPr>
          <w:rFonts w:ascii="Arial" w:eastAsia="Calibri" w:hAnsi="Arial" w:cs="Arial"/>
          <w:sz w:val="22"/>
          <w:szCs w:val="22"/>
          <w:lang w:val="es-ES_tradnl"/>
        </w:rPr>
        <w:t>alcance</w:t>
      </w:r>
      <w:r w:rsidR="00707A2E" w:rsidRPr="00D43CE8">
        <w:rPr>
          <w:rFonts w:ascii="Arial" w:eastAsia="Calibri" w:hAnsi="Arial" w:cs="Arial"/>
          <w:sz w:val="22"/>
          <w:szCs w:val="22"/>
          <w:lang w:val="es-ES_tradnl"/>
        </w:rPr>
        <w:t xml:space="preserve"> </w:t>
      </w:r>
      <w:r w:rsidR="00FD7F5E" w:rsidRPr="00D43CE8">
        <w:rPr>
          <w:rFonts w:ascii="Arial" w:eastAsia="Calibri" w:hAnsi="Arial" w:cs="Arial"/>
          <w:sz w:val="22"/>
          <w:szCs w:val="22"/>
          <w:lang w:val="es-ES_tradnl"/>
        </w:rPr>
        <w:t>que la</w:t>
      </w:r>
      <w:r w:rsidR="005B5467" w:rsidRPr="00D43CE8">
        <w:rPr>
          <w:rFonts w:ascii="Arial" w:eastAsia="Calibri" w:hAnsi="Arial" w:cs="Arial"/>
          <w:sz w:val="22"/>
          <w:szCs w:val="22"/>
          <w:lang w:val="es-ES_tradnl"/>
        </w:rPr>
        <w:t xml:space="preserve"> Agencia </w:t>
      </w:r>
      <w:r w:rsidR="00707A2E" w:rsidRPr="00D43CE8">
        <w:rPr>
          <w:rFonts w:ascii="Arial" w:eastAsia="Calibri" w:hAnsi="Arial" w:cs="Arial"/>
          <w:sz w:val="22"/>
          <w:szCs w:val="22"/>
          <w:lang w:val="es-ES_tradnl"/>
        </w:rPr>
        <w:t>otorga a tales disposiciones</w:t>
      </w:r>
      <w:r w:rsidR="00045388" w:rsidRPr="00D43CE8">
        <w:rPr>
          <w:rFonts w:ascii="Arial" w:eastAsia="Calibri" w:hAnsi="Arial" w:cs="Arial"/>
          <w:sz w:val="22"/>
          <w:szCs w:val="22"/>
          <w:lang w:val="es-ES_tradnl"/>
        </w:rPr>
        <w:t xml:space="preserve">, de conformidad con la doctrina producida </w:t>
      </w:r>
      <w:r w:rsidR="00EC7843" w:rsidRPr="00D43CE8">
        <w:rPr>
          <w:rFonts w:ascii="Arial" w:eastAsia="Calibri" w:hAnsi="Arial" w:cs="Arial"/>
          <w:sz w:val="22"/>
          <w:szCs w:val="22"/>
          <w:lang w:val="es-ES_tradnl"/>
        </w:rPr>
        <w:t xml:space="preserve">por </w:t>
      </w:r>
      <w:r w:rsidR="005B5467" w:rsidRPr="00D43CE8">
        <w:rPr>
          <w:rFonts w:ascii="Arial" w:eastAsia="Calibri" w:hAnsi="Arial" w:cs="Arial"/>
          <w:sz w:val="22"/>
          <w:szCs w:val="22"/>
          <w:lang w:val="es-ES_tradnl"/>
        </w:rPr>
        <w:t>la Subdirección de Gestión Contractual</w:t>
      </w:r>
      <w:r w:rsidR="00EC7843" w:rsidRPr="00D43CE8">
        <w:rPr>
          <w:rFonts w:ascii="Arial" w:eastAsia="Calibri" w:hAnsi="Arial" w:cs="Arial"/>
          <w:sz w:val="22"/>
          <w:szCs w:val="22"/>
          <w:lang w:val="es-ES_tradnl"/>
        </w:rPr>
        <w:t xml:space="preserve"> en ejercicio de la función consultiva</w:t>
      </w:r>
      <w:r w:rsidR="00545997" w:rsidRPr="00D43CE8">
        <w:rPr>
          <w:rFonts w:ascii="Arial" w:eastAsia="Calibri" w:hAnsi="Arial" w:cs="Arial"/>
          <w:sz w:val="22"/>
          <w:szCs w:val="22"/>
          <w:lang w:val="es-ES_tradnl"/>
        </w:rPr>
        <w:t xml:space="preserve">, </w:t>
      </w:r>
      <w:r w:rsidR="005B5467" w:rsidRPr="00D43CE8">
        <w:rPr>
          <w:rFonts w:ascii="Arial" w:eastAsia="Calibri" w:hAnsi="Arial" w:cs="Arial"/>
          <w:sz w:val="22"/>
          <w:szCs w:val="22"/>
          <w:lang w:val="es-ES_tradnl"/>
        </w:rPr>
        <w:t>que</w:t>
      </w:r>
      <w:r w:rsidR="00545997" w:rsidRPr="00D43CE8">
        <w:rPr>
          <w:rFonts w:ascii="Arial" w:eastAsia="Calibri" w:hAnsi="Arial" w:cs="Arial"/>
          <w:sz w:val="22"/>
          <w:szCs w:val="22"/>
          <w:lang w:val="es-ES_tradnl"/>
        </w:rPr>
        <w:t xml:space="preserve"> contribuirá a decantar la interpretación de la norma en comento.</w:t>
      </w:r>
    </w:p>
    <w:p w14:paraId="3BBAF618" w14:textId="406483D5" w:rsidR="005359BF" w:rsidRPr="00D43CE8" w:rsidRDefault="005359BF" w:rsidP="005359BF">
      <w:pPr>
        <w:spacing w:before="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Al respecto, pese a que el parágrafo 3 dispone que el Gobierno Nacional podrá regular los supuestos en que concurran dos o más factores de desempate, se considera que el artículo 35 de la Ley </w:t>
      </w:r>
      <w:r w:rsidR="00D75232" w:rsidRPr="00D43CE8">
        <w:rPr>
          <w:rFonts w:ascii="Arial" w:eastAsia="Calibri" w:hAnsi="Arial" w:cs="Arial"/>
          <w:sz w:val="22"/>
          <w:szCs w:val="22"/>
          <w:lang w:val="es-ES_tradnl"/>
        </w:rPr>
        <w:t>2069</w:t>
      </w:r>
      <w:r w:rsidRPr="00D43CE8">
        <w:rPr>
          <w:rFonts w:ascii="Arial" w:eastAsia="Calibri" w:hAnsi="Arial" w:cs="Arial"/>
          <w:sz w:val="22"/>
          <w:szCs w:val="22"/>
          <w:lang w:val="es-ES_tradnl"/>
        </w:rPr>
        <w:t xml:space="preserve"> de 2020 goza de aplicación directa desde la fecha de su promulgación, es decir, no requ</w:t>
      </w:r>
      <w:r w:rsidR="009F44A9">
        <w:rPr>
          <w:rFonts w:ascii="Arial" w:eastAsia="Calibri" w:hAnsi="Arial" w:cs="Arial"/>
          <w:sz w:val="22"/>
          <w:szCs w:val="22"/>
          <w:lang w:val="es-ES_tradnl"/>
        </w:rPr>
        <w:t>ería</w:t>
      </w:r>
      <w:r w:rsidRPr="00D43CE8">
        <w:rPr>
          <w:rFonts w:ascii="Arial" w:eastAsia="Calibri" w:hAnsi="Arial" w:cs="Arial"/>
          <w:sz w:val="22"/>
          <w:szCs w:val="22"/>
          <w:lang w:val="es-ES_tradnl"/>
        </w:rPr>
        <w:t xml:space="preserve"> de una reglamentación previa como presupuesto para su eficacia. Esta precisión reviste</w:t>
      </w:r>
      <w:r w:rsidR="008C373A">
        <w:rPr>
          <w:rFonts w:ascii="Arial" w:eastAsia="Calibri" w:hAnsi="Arial" w:cs="Arial"/>
          <w:sz w:val="22"/>
          <w:szCs w:val="22"/>
          <w:lang w:val="es-ES_tradnl"/>
        </w:rPr>
        <w:t xml:space="preserve"> de</w:t>
      </w:r>
      <w:r w:rsidRPr="00D43CE8">
        <w:rPr>
          <w:rFonts w:ascii="Arial" w:eastAsia="Calibri" w:hAnsi="Arial" w:cs="Arial"/>
          <w:sz w:val="22"/>
          <w:szCs w:val="22"/>
          <w:lang w:val="es-ES_tradnl"/>
        </w:rPr>
        <w:t xml:space="preserve"> importancia, porque algunos enunciados normativos de la </w:t>
      </w:r>
      <w:r w:rsidR="00BF12F1" w:rsidRPr="00D43CE8">
        <w:rPr>
          <w:rFonts w:ascii="Arial" w:eastAsia="Calibri" w:hAnsi="Arial" w:cs="Arial"/>
          <w:sz w:val="22"/>
          <w:szCs w:val="22"/>
          <w:lang w:val="es-ES_tradnl"/>
        </w:rPr>
        <w:t>l</w:t>
      </w:r>
      <w:r w:rsidRPr="00D43CE8">
        <w:rPr>
          <w:rFonts w:ascii="Arial" w:eastAsia="Calibri" w:hAnsi="Arial" w:cs="Arial"/>
          <w:sz w:val="22"/>
          <w:szCs w:val="22"/>
          <w:lang w:val="es-ES_tradnl"/>
        </w:rPr>
        <w:t xml:space="preserve">ey bajo análisis establecen un mandato de reglamentación, dirigido al gobierno nacional, como condición para aplicar lo dispuesto en </w:t>
      </w:r>
      <w:r w:rsidR="00BF12F1" w:rsidRPr="00D43CE8">
        <w:rPr>
          <w:rFonts w:ascii="Arial" w:eastAsia="Calibri" w:hAnsi="Arial" w:cs="Arial"/>
          <w:sz w:val="22"/>
          <w:szCs w:val="22"/>
          <w:lang w:val="es-ES_tradnl"/>
        </w:rPr>
        <w:t>ella</w:t>
      </w:r>
      <w:r w:rsidRPr="00D43CE8">
        <w:rPr>
          <w:rFonts w:ascii="Arial" w:eastAsia="Calibri" w:hAnsi="Arial" w:cs="Arial"/>
          <w:sz w:val="22"/>
          <w:szCs w:val="22"/>
          <w:lang w:val="es-ES_tradnl"/>
        </w:rPr>
        <w:t xml:space="preserve">. </w:t>
      </w:r>
    </w:p>
    <w:p w14:paraId="34640C00" w14:textId="2AD240F4" w:rsidR="00E27871" w:rsidRPr="00D43CE8" w:rsidRDefault="00BA482B" w:rsidP="00E27871">
      <w:pPr>
        <w:spacing w:before="120" w:after="16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 xml:space="preserve">Por ejemplo, en lo que a las compras públicas se refiere, </w:t>
      </w:r>
      <w:r w:rsidR="00254AE9" w:rsidRPr="00D43CE8">
        <w:rPr>
          <w:rFonts w:ascii="Arial" w:eastAsia="Calibri" w:hAnsi="Arial" w:cs="Arial"/>
          <w:sz w:val="22"/>
          <w:szCs w:val="22"/>
          <w:lang w:val="es-ES_tradnl"/>
        </w:rPr>
        <w:t>el parágrafo primero del artículo</w:t>
      </w:r>
      <w:r w:rsidR="002E2C3F" w:rsidRPr="00D43CE8">
        <w:rPr>
          <w:rFonts w:ascii="Arial" w:eastAsia="Calibri" w:hAnsi="Arial" w:cs="Arial"/>
          <w:sz w:val="22"/>
          <w:szCs w:val="22"/>
          <w:lang w:val="es-ES_tradnl"/>
        </w:rPr>
        <w:t xml:space="preserve"> 30, que alude a la participación de </w:t>
      </w:r>
      <w:proofErr w:type="spellStart"/>
      <w:r w:rsidR="002E2C3F" w:rsidRPr="00D43CE8">
        <w:rPr>
          <w:rFonts w:ascii="Arial" w:eastAsia="Calibri" w:hAnsi="Arial" w:cs="Arial"/>
          <w:sz w:val="22"/>
          <w:szCs w:val="22"/>
          <w:lang w:val="es-ES_tradnl"/>
        </w:rPr>
        <w:t>mipymes</w:t>
      </w:r>
      <w:proofErr w:type="spellEnd"/>
      <w:r w:rsidR="002E2C3F" w:rsidRPr="00D43CE8">
        <w:rPr>
          <w:rFonts w:ascii="Arial" w:eastAsia="Calibri" w:hAnsi="Arial" w:cs="Arial"/>
          <w:sz w:val="22"/>
          <w:szCs w:val="22"/>
          <w:lang w:val="es-ES_tradnl"/>
        </w:rPr>
        <w:t xml:space="preserve"> en procedimientos de mínima cuantía, </w:t>
      </w:r>
      <w:r w:rsidR="002E2C3F" w:rsidRPr="00D43CE8">
        <w:rPr>
          <w:rFonts w:ascii="Arial" w:eastAsia="Calibri" w:hAnsi="Arial" w:cs="Arial"/>
          <w:sz w:val="22"/>
          <w:szCs w:val="22"/>
          <w:lang w:val="es-ES_tradnl"/>
        </w:rPr>
        <w:lastRenderedPageBreak/>
        <w:t>establece que</w:t>
      </w:r>
      <w:r w:rsidR="00985A66" w:rsidRPr="00D43CE8">
        <w:rPr>
          <w:rFonts w:ascii="Arial" w:eastAsia="Calibri" w:hAnsi="Arial" w:cs="Arial"/>
          <w:sz w:val="22"/>
          <w:szCs w:val="22"/>
          <w:lang w:val="es-ES_tradnl"/>
        </w:rPr>
        <w:t xml:space="preserve"> «Las particularidades del procedimiento aquí previsto, así como la posibilidad que tengan las entidades de realizar estas adquisiciones a </w:t>
      </w:r>
      <w:proofErr w:type="spellStart"/>
      <w:r w:rsidR="00691563" w:rsidRPr="00D43CE8">
        <w:rPr>
          <w:rFonts w:ascii="Arial" w:eastAsia="Calibri" w:hAnsi="Arial" w:cs="Arial"/>
          <w:sz w:val="22"/>
          <w:szCs w:val="22"/>
          <w:lang w:val="es-ES_tradnl"/>
        </w:rPr>
        <w:t>Mipymes</w:t>
      </w:r>
      <w:proofErr w:type="spellEnd"/>
      <w:r w:rsidR="00985A66" w:rsidRPr="00D43CE8">
        <w:rPr>
          <w:rFonts w:ascii="Arial" w:eastAsia="Calibri" w:hAnsi="Arial" w:cs="Arial"/>
          <w:sz w:val="22"/>
          <w:szCs w:val="22"/>
          <w:lang w:val="es-ES_tradnl"/>
        </w:rPr>
        <w:t xml:space="preserve"> o establecimientos que correspondan a la </w:t>
      </w:r>
      <w:r w:rsidR="00691563" w:rsidRPr="00D43CE8">
        <w:rPr>
          <w:rFonts w:ascii="Arial" w:eastAsia="Calibri" w:hAnsi="Arial" w:cs="Arial"/>
          <w:sz w:val="22"/>
          <w:szCs w:val="22"/>
          <w:lang w:val="es-ES_tradnl"/>
        </w:rPr>
        <w:t>definición</w:t>
      </w:r>
      <w:r w:rsidR="00985A66" w:rsidRPr="00D43CE8">
        <w:rPr>
          <w:rFonts w:ascii="Arial" w:eastAsia="Calibri" w:hAnsi="Arial" w:cs="Arial"/>
          <w:sz w:val="22"/>
          <w:szCs w:val="22"/>
          <w:lang w:val="es-ES_tradnl"/>
        </w:rPr>
        <w:t xml:space="preserve"> de "gran </w:t>
      </w:r>
      <w:r w:rsidR="00691563" w:rsidRPr="00D43CE8">
        <w:rPr>
          <w:rFonts w:ascii="Arial" w:eastAsia="Calibri" w:hAnsi="Arial" w:cs="Arial"/>
          <w:sz w:val="22"/>
          <w:szCs w:val="22"/>
          <w:lang w:val="es-ES_tradnl"/>
        </w:rPr>
        <w:t>almacén</w:t>
      </w:r>
      <w:r w:rsidR="00985A66" w:rsidRPr="00D43CE8">
        <w:rPr>
          <w:rFonts w:ascii="Arial" w:eastAsia="Calibri" w:hAnsi="Arial" w:cs="Arial"/>
          <w:sz w:val="22"/>
          <w:szCs w:val="22"/>
          <w:lang w:val="es-ES_tradnl"/>
        </w:rPr>
        <w:t xml:space="preserve">" </w:t>
      </w:r>
      <w:r w:rsidR="00787B1B" w:rsidRPr="00D43CE8">
        <w:rPr>
          <w:rFonts w:ascii="Arial" w:eastAsia="Calibri" w:hAnsi="Arial" w:cs="Arial"/>
          <w:sz w:val="22"/>
          <w:szCs w:val="22"/>
          <w:lang w:val="es-ES_tradnl"/>
        </w:rPr>
        <w:t>señalada</w:t>
      </w:r>
      <w:r w:rsidR="00985A66" w:rsidRPr="00D43CE8">
        <w:rPr>
          <w:rFonts w:ascii="Arial" w:eastAsia="Calibri" w:hAnsi="Arial" w:cs="Arial"/>
          <w:sz w:val="22"/>
          <w:szCs w:val="22"/>
          <w:lang w:val="es-ES_tradnl"/>
        </w:rPr>
        <w:t xml:space="preserve"> por la Superintendencia de Industria y Comercio, se </w:t>
      </w:r>
      <w:r w:rsidR="00691563" w:rsidRPr="00D43CE8">
        <w:rPr>
          <w:rFonts w:ascii="Arial" w:eastAsia="Calibri" w:hAnsi="Arial" w:cs="Arial"/>
          <w:sz w:val="22"/>
          <w:szCs w:val="22"/>
          <w:lang w:val="es-ES_tradnl"/>
        </w:rPr>
        <w:t>determinarán</w:t>
      </w:r>
      <w:r w:rsidR="00985A66" w:rsidRPr="00D43CE8">
        <w:rPr>
          <w:rFonts w:ascii="Arial" w:eastAsia="Calibri" w:hAnsi="Arial" w:cs="Arial"/>
          <w:sz w:val="22"/>
          <w:szCs w:val="22"/>
          <w:lang w:val="es-ES_tradnl"/>
        </w:rPr>
        <w:t xml:space="preserve"> en el reglamento que para el efecto expida el Gobierno Nacional</w:t>
      </w:r>
      <w:r w:rsidR="00691563" w:rsidRPr="00D43CE8">
        <w:rPr>
          <w:rFonts w:ascii="Arial" w:eastAsia="Calibri" w:hAnsi="Arial" w:cs="Arial"/>
          <w:sz w:val="22"/>
          <w:szCs w:val="22"/>
          <w:lang w:val="es-ES_tradnl"/>
        </w:rPr>
        <w:t>»</w:t>
      </w:r>
      <w:r w:rsidR="00985A66" w:rsidRPr="00D43CE8">
        <w:rPr>
          <w:rFonts w:ascii="Arial" w:eastAsia="Calibri" w:hAnsi="Arial" w:cs="Arial"/>
          <w:sz w:val="22"/>
          <w:szCs w:val="22"/>
          <w:lang w:val="es-ES_tradnl"/>
        </w:rPr>
        <w:t>.</w:t>
      </w:r>
      <w:r w:rsidR="00254AE9" w:rsidRPr="00D43CE8">
        <w:rPr>
          <w:rFonts w:ascii="Arial" w:eastAsia="Calibri" w:hAnsi="Arial" w:cs="Arial"/>
          <w:sz w:val="22"/>
          <w:szCs w:val="22"/>
          <w:lang w:val="es-ES_tradnl"/>
        </w:rPr>
        <w:t xml:space="preserve"> </w:t>
      </w:r>
      <w:r w:rsidR="00F73B82" w:rsidRPr="00D43CE8">
        <w:rPr>
          <w:rFonts w:ascii="Arial" w:eastAsia="Calibri" w:hAnsi="Arial" w:cs="Arial"/>
          <w:sz w:val="22"/>
          <w:szCs w:val="22"/>
          <w:lang w:val="es-ES_tradnl"/>
        </w:rPr>
        <w:t>En un sentido similar, el parágrafo segundo del mismo artículo expresa que «</w:t>
      </w:r>
      <w:r w:rsidR="008B5C7C" w:rsidRPr="00D43CE8">
        <w:rPr>
          <w:rFonts w:ascii="Arial" w:eastAsia="Calibri" w:hAnsi="Arial" w:cs="Arial"/>
          <w:sz w:val="22"/>
          <w:szCs w:val="22"/>
          <w:lang w:val="es-ES_tradnl"/>
        </w:rPr>
        <w:t>La contratación a que se refiere el presente artículo se realizará exclusivamente con las reglas en él contempladas y en su reglamentación. […]».</w:t>
      </w:r>
      <w:r w:rsidR="007534AD" w:rsidRPr="00D43CE8">
        <w:rPr>
          <w:rFonts w:ascii="Arial" w:eastAsia="Calibri" w:hAnsi="Arial" w:cs="Arial"/>
          <w:sz w:val="22"/>
          <w:szCs w:val="22"/>
          <w:lang w:val="es-ES_tradnl"/>
        </w:rPr>
        <w:t xml:space="preserve"> </w:t>
      </w:r>
    </w:p>
    <w:p w14:paraId="6BE8E6DF" w14:textId="77AC1A6E" w:rsidR="002F24DA" w:rsidRPr="00D43CE8" w:rsidRDefault="002F24DA" w:rsidP="00E27871">
      <w:pPr>
        <w:spacing w:after="16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Lo</w:t>
      </w:r>
      <w:r w:rsidR="008E4CAE" w:rsidRPr="00D43CE8">
        <w:rPr>
          <w:rFonts w:ascii="Arial" w:eastAsia="Calibri" w:hAnsi="Arial" w:cs="Arial"/>
          <w:sz w:val="22"/>
          <w:szCs w:val="22"/>
          <w:lang w:val="es-ES_tradnl"/>
        </w:rPr>
        <w:t xml:space="preserve"> mismo no sucede con el artículo 35</w:t>
      </w:r>
      <w:r w:rsidR="00535B2F" w:rsidRPr="00D43CE8">
        <w:rPr>
          <w:rFonts w:ascii="Arial" w:eastAsia="Calibri" w:hAnsi="Arial" w:cs="Arial"/>
          <w:sz w:val="22"/>
          <w:szCs w:val="22"/>
          <w:lang w:val="es-ES_tradnl"/>
        </w:rPr>
        <w:t xml:space="preserve">. En efecto, </w:t>
      </w:r>
      <w:r w:rsidR="00535B2F" w:rsidRPr="00D43CE8">
        <w:rPr>
          <w:rFonts w:ascii="Arial" w:hAnsi="Arial" w:cs="Arial"/>
          <w:sz w:val="22"/>
          <w:szCs w:val="22"/>
          <w:lang w:val="es-ES_tradnl"/>
        </w:rPr>
        <w:t>si bien los factores de desempate regulados en el artículo 35 deben aplicarse «</w:t>
      </w:r>
      <w:r w:rsidR="00535B2F" w:rsidRPr="00D43CE8">
        <w:rPr>
          <w:rFonts w:ascii="Arial" w:hAnsi="Arial" w:cs="Arial"/>
          <w:lang w:val="es-ES_tradnl"/>
        </w:rPr>
        <w:t xml:space="preserve">[…] </w:t>
      </w:r>
      <w:r w:rsidR="00535B2F" w:rsidRPr="00D43CE8">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w:t>
      </w:r>
      <w:r w:rsidR="00913D24" w:rsidRPr="00D43CE8">
        <w:rPr>
          <w:rFonts w:ascii="Arial" w:hAnsi="Arial" w:cs="Arial"/>
          <w:sz w:val="22"/>
          <w:szCs w:val="22"/>
          <w:lang w:val="es-ES_tradnl"/>
        </w:rPr>
        <w:t xml:space="preserve">sin perjuicio de la competencia general prevista en el artículo 189.11 de Constitución Política de 1991, </w:t>
      </w:r>
      <w:r w:rsidR="00237F82" w:rsidRPr="00D43CE8">
        <w:rPr>
          <w:rFonts w:ascii="Arial" w:hAnsi="Arial" w:cs="Arial"/>
          <w:sz w:val="22"/>
          <w:szCs w:val="22"/>
          <w:lang w:val="es-ES_tradnl"/>
        </w:rPr>
        <w:t xml:space="preserve">este </w:t>
      </w:r>
      <w:r w:rsidR="00535B2F" w:rsidRPr="00D43CE8">
        <w:rPr>
          <w:rFonts w:ascii="Arial" w:hAnsi="Arial" w:cs="Arial"/>
          <w:sz w:val="22"/>
          <w:szCs w:val="22"/>
          <w:lang w:val="es-ES_tradnl"/>
        </w:rPr>
        <w:t xml:space="preserve">parágrafo le asigna potestad reglamentaria al gobierno nacional para definir factores que permitan desempatar las ofertas en aquellos casos en que varios oferentes reúnan al tiempo dos o más de los factores previstos en el artículo 35. </w:t>
      </w:r>
      <w:r w:rsidR="00535B2F" w:rsidRPr="00D43CE8">
        <w:rPr>
          <w:rFonts w:ascii="Arial" w:eastAsia="Calibri" w:hAnsi="Arial" w:cs="Arial"/>
          <w:sz w:val="22"/>
          <w:szCs w:val="22"/>
          <w:lang w:val="es-ES_tradnl"/>
        </w:rPr>
        <w:t xml:space="preserve"> </w:t>
      </w:r>
      <w:r w:rsidR="00287BDB" w:rsidRPr="00D43CE8">
        <w:rPr>
          <w:rFonts w:ascii="Arial" w:eastAsia="Calibri" w:hAnsi="Arial" w:cs="Arial"/>
          <w:sz w:val="22"/>
          <w:szCs w:val="22"/>
          <w:lang w:val="es-ES_tradnl"/>
        </w:rPr>
        <w:t xml:space="preserve"> </w:t>
      </w:r>
    </w:p>
    <w:p w14:paraId="2429ED54" w14:textId="2AC0A63A" w:rsidR="0001179A" w:rsidRPr="00D43CE8" w:rsidRDefault="00A23A34" w:rsidP="0001179A">
      <w:pPr>
        <w:spacing w:after="120" w:line="276" w:lineRule="auto"/>
        <w:jc w:val="both"/>
        <w:rPr>
          <w:rFonts w:ascii="Arial" w:eastAsia="Calibri" w:hAnsi="Arial" w:cs="Arial"/>
          <w:sz w:val="22"/>
          <w:szCs w:val="22"/>
          <w:lang w:val="es-ES_tradnl"/>
        </w:rPr>
      </w:pPr>
      <w:r w:rsidRPr="00D43CE8">
        <w:rPr>
          <w:rFonts w:ascii="Arial" w:eastAsia="Calibri" w:hAnsi="Arial" w:cs="Arial"/>
          <w:b/>
          <w:bCs/>
          <w:sz w:val="22"/>
          <w:szCs w:val="22"/>
          <w:lang w:val="es-ES_tradnl"/>
        </w:rPr>
        <w:tab/>
      </w:r>
      <w:r w:rsidR="00913D24" w:rsidRPr="00D43CE8">
        <w:rPr>
          <w:rFonts w:ascii="Arial" w:eastAsia="Calibri" w:hAnsi="Arial" w:cs="Arial"/>
          <w:sz w:val="22"/>
          <w:szCs w:val="22"/>
          <w:lang w:val="es-ES_tradnl"/>
        </w:rPr>
        <w:t>L</w:t>
      </w:r>
      <w:r w:rsidR="00B64CD5" w:rsidRPr="00D43CE8">
        <w:rPr>
          <w:rFonts w:ascii="Arial" w:eastAsia="Calibri" w:hAnsi="Arial" w:cs="Arial"/>
          <w:sz w:val="22"/>
          <w:szCs w:val="22"/>
          <w:lang w:val="es-ES_tradnl"/>
        </w:rPr>
        <w:t>o explicado</w:t>
      </w:r>
      <w:r w:rsidR="00A703F7" w:rsidRPr="00D43CE8">
        <w:rPr>
          <w:rFonts w:ascii="Arial" w:eastAsia="Calibri" w:hAnsi="Arial" w:cs="Arial"/>
          <w:sz w:val="22"/>
          <w:szCs w:val="22"/>
          <w:lang w:val="es-ES_tradnl"/>
        </w:rPr>
        <w:t xml:space="preserve"> </w:t>
      </w:r>
      <w:r w:rsidR="00913D24" w:rsidRPr="00D43CE8">
        <w:rPr>
          <w:rFonts w:ascii="Arial" w:eastAsia="Calibri" w:hAnsi="Arial" w:cs="Arial"/>
          <w:sz w:val="22"/>
          <w:szCs w:val="22"/>
          <w:lang w:val="es-ES_tradnl"/>
        </w:rPr>
        <w:t>e</w:t>
      </w:r>
      <w:r w:rsidR="00A703F7" w:rsidRPr="00D43CE8">
        <w:rPr>
          <w:rFonts w:ascii="Arial" w:eastAsia="Calibri" w:hAnsi="Arial" w:cs="Arial"/>
          <w:sz w:val="22"/>
          <w:szCs w:val="22"/>
          <w:lang w:val="es-ES_tradnl"/>
        </w:rPr>
        <w:t>n</w:t>
      </w:r>
      <w:r w:rsidR="00913D24" w:rsidRPr="00D43CE8">
        <w:rPr>
          <w:rFonts w:ascii="Arial" w:eastAsia="Calibri" w:hAnsi="Arial" w:cs="Arial"/>
          <w:sz w:val="22"/>
          <w:szCs w:val="22"/>
          <w:lang w:val="es-ES_tradnl"/>
        </w:rPr>
        <w:t xml:space="preserve"> los párrafos precedentes es importante</w:t>
      </w:r>
      <w:r w:rsidRPr="00D43CE8">
        <w:rPr>
          <w:rFonts w:ascii="Arial" w:eastAsia="Calibri" w:hAnsi="Arial" w:cs="Arial"/>
          <w:sz w:val="22"/>
          <w:szCs w:val="22"/>
          <w:lang w:val="es-ES_tradnl"/>
        </w:rPr>
        <w:t>,</w:t>
      </w:r>
      <w:r w:rsidR="00913D24" w:rsidRPr="00D43CE8">
        <w:rPr>
          <w:rFonts w:ascii="Arial" w:eastAsia="Calibri" w:hAnsi="Arial" w:cs="Arial"/>
          <w:sz w:val="22"/>
          <w:szCs w:val="22"/>
          <w:lang w:val="es-ES_tradnl"/>
        </w:rPr>
        <w:t xml:space="preserve"> porque</w:t>
      </w:r>
      <w:r w:rsidRPr="00D43CE8">
        <w:rPr>
          <w:rFonts w:ascii="Arial" w:eastAsia="Calibri" w:hAnsi="Arial" w:cs="Arial"/>
          <w:sz w:val="22"/>
          <w:szCs w:val="22"/>
          <w:lang w:val="es-ES_tradnl"/>
        </w:rPr>
        <w:t xml:space="preserve"> </w:t>
      </w:r>
      <w:r w:rsidR="00334BC6" w:rsidRPr="00D43CE8">
        <w:rPr>
          <w:rFonts w:ascii="Arial" w:eastAsia="Calibri" w:hAnsi="Arial" w:cs="Arial"/>
          <w:sz w:val="22"/>
          <w:szCs w:val="22"/>
          <w:lang w:val="es-ES_tradnl"/>
        </w:rPr>
        <w:t>el pasado 24 de diciembre</w:t>
      </w:r>
      <w:r w:rsidRPr="00D43CE8">
        <w:rPr>
          <w:rFonts w:ascii="Arial" w:eastAsia="Calibri" w:hAnsi="Arial" w:cs="Arial"/>
          <w:sz w:val="22"/>
          <w:szCs w:val="22"/>
          <w:lang w:val="es-ES_tradnl"/>
        </w:rPr>
        <w:t xml:space="preserve">, el </w:t>
      </w:r>
      <w:r w:rsidR="00124D7B" w:rsidRPr="00D43CE8">
        <w:rPr>
          <w:rFonts w:ascii="Arial" w:eastAsia="Calibri" w:hAnsi="Arial" w:cs="Arial"/>
          <w:sz w:val="22"/>
          <w:szCs w:val="22"/>
          <w:lang w:val="es-ES_tradnl"/>
        </w:rPr>
        <w:t>gobierno nacional expidió el Decreto 1860 de 2021</w:t>
      </w:r>
      <w:r w:rsidR="00913D24" w:rsidRPr="00D43CE8">
        <w:rPr>
          <w:rFonts w:ascii="Arial" w:eastAsia="Calibri" w:hAnsi="Arial" w:cs="Arial"/>
          <w:sz w:val="22"/>
          <w:szCs w:val="22"/>
          <w:lang w:val="es-ES_tradnl"/>
        </w:rPr>
        <w:t>,</w:t>
      </w:r>
      <w:r w:rsidR="0046542D" w:rsidRPr="00D43CE8">
        <w:t xml:space="preserve"> </w:t>
      </w:r>
      <w:r w:rsidR="00545FCF" w:rsidRPr="00D43CE8">
        <w:rPr>
          <w:rFonts w:ascii="Arial" w:eastAsia="Calibri" w:hAnsi="Arial" w:cs="Arial"/>
          <w:sz w:val="22"/>
          <w:szCs w:val="22"/>
          <w:lang w:val="es-ES_tradnl"/>
        </w:rPr>
        <w:t>«</w:t>
      </w:r>
      <w:r w:rsidR="0046542D" w:rsidRPr="00D43CE8">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00545FCF" w:rsidRPr="00D43CE8">
        <w:rPr>
          <w:rFonts w:ascii="Arial" w:eastAsia="Calibri" w:hAnsi="Arial" w:cs="Arial"/>
          <w:sz w:val="22"/>
          <w:szCs w:val="22"/>
          <w:lang w:val="es-ES_tradnl"/>
        </w:rPr>
        <w:t xml:space="preserve">. Esta norma </w:t>
      </w:r>
      <w:r w:rsidR="00334BC6" w:rsidRPr="00D43CE8">
        <w:rPr>
          <w:rFonts w:ascii="Arial" w:eastAsia="Calibri" w:hAnsi="Arial" w:cs="Arial"/>
          <w:sz w:val="22"/>
          <w:szCs w:val="22"/>
          <w:lang w:val="es-ES_tradnl"/>
        </w:rPr>
        <w:t>se expidió</w:t>
      </w:r>
      <w:r w:rsidR="0001179A" w:rsidRPr="00D43CE8">
        <w:rPr>
          <w:rFonts w:ascii="Arial" w:eastAsia="Calibri" w:hAnsi="Arial" w:cs="Arial"/>
          <w:sz w:val="22"/>
          <w:szCs w:val="22"/>
          <w:lang w:val="es-ES_tradnl"/>
        </w:rPr>
        <w:t xml:space="preserve"> </w:t>
      </w:r>
      <w:r w:rsidR="00467B96" w:rsidRPr="00D43CE8">
        <w:rPr>
          <w:rFonts w:ascii="Arial" w:eastAsia="Calibri" w:hAnsi="Arial" w:cs="Arial"/>
          <w:sz w:val="22"/>
          <w:szCs w:val="22"/>
          <w:lang w:val="es-ES_tradnl"/>
        </w:rPr>
        <w:t>con el propósito</w:t>
      </w:r>
      <w:r w:rsidR="0001179A" w:rsidRPr="00D43CE8">
        <w:rPr>
          <w:rFonts w:ascii="Arial" w:eastAsia="Calibri" w:hAnsi="Arial" w:cs="Arial"/>
          <w:sz w:val="22"/>
          <w:szCs w:val="22"/>
          <w:lang w:val="es-ES_tradnl"/>
        </w:rPr>
        <w:t xml:space="preserve"> de adecuar el</w:t>
      </w:r>
      <w:r w:rsidR="00304E8D" w:rsidRPr="00D43CE8">
        <w:rPr>
          <w:rFonts w:ascii="Arial" w:eastAsia="Calibri" w:hAnsi="Arial" w:cs="Arial"/>
          <w:sz w:val="22"/>
          <w:szCs w:val="22"/>
          <w:lang w:val="es-ES_tradnl"/>
        </w:rPr>
        <w:t xml:space="preserve"> marco reglamentario </w:t>
      </w:r>
      <w:r w:rsidR="005E2FDD" w:rsidRPr="00D43CE8">
        <w:rPr>
          <w:rFonts w:ascii="Arial" w:eastAsia="Calibri" w:hAnsi="Arial" w:cs="Arial"/>
          <w:sz w:val="22"/>
          <w:szCs w:val="22"/>
          <w:lang w:val="es-ES_tradnl"/>
        </w:rPr>
        <w:t xml:space="preserve">de la contratación pública </w:t>
      </w:r>
      <w:r w:rsidR="00F569F5" w:rsidRPr="00D43CE8">
        <w:rPr>
          <w:rFonts w:ascii="Arial" w:eastAsia="Calibri" w:hAnsi="Arial" w:cs="Arial"/>
          <w:sz w:val="22"/>
          <w:szCs w:val="22"/>
          <w:lang w:val="es-ES_tradnl"/>
        </w:rPr>
        <w:t>a las modificaciones normativas que se desprenden de</w:t>
      </w:r>
      <w:r w:rsidR="00D445F3" w:rsidRPr="00D43CE8">
        <w:rPr>
          <w:rFonts w:ascii="Arial" w:eastAsia="Calibri" w:hAnsi="Arial" w:cs="Arial"/>
          <w:sz w:val="22"/>
          <w:szCs w:val="22"/>
          <w:lang w:val="es-ES_tradnl"/>
        </w:rPr>
        <w:t xml:space="preserve">l </w:t>
      </w:r>
      <w:r w:rsidR="00467B96" w:rsidRPr="00D43CE8">
        <w:rPr>
          <w:rFonts w:ascii="Arial" w:eastAsia="Calibri" w:hAnsi="Arial" w:cs="Arial"/>
          <w:sz w:val="22"/>
          <w:szCs w:val="22"/>
          <w:lang w:val="es-ES_tradnl"/>
        </w:rPr>
        <w:t>Capítulo</w:t>
      </w:r>
      <w:r w:rsidR="00D445F3" w:rsidRPr="00D43CE8">
        <w:rPr>
          <w:rFonts w:ascii="Arial" w:eastAsia="Calibri" w:hAnsi="Arial" w:cs="Arial"/>
          <w:sz w:val="22"/>
          <w:szCs w:val="22"/>
          <w:lang w:val="es-ES_tradnl"/>
        </w:rPr>
        <w:t xml:space="preserve"> III de la Ley 2069 de 2020 –con excepción de los artículos 33 y 36–</w:t>
      </w:r>
      <w:r w:rsidR="00E632B7" w:rsidRPr="00D43CE8">
        <w:rPr>
          <w:rFonts w:ascii="Arial" w:eastAsia="Calibri" w:hAnsi="Arial" w:cs="Arial"/>
          <w:sz w:val="22"/>
          <w:szCs w:val="22"/>
          <w:lang w:val="es-ES_tradnl"/>
        </w:rPr>
        <w:t>,</w:t>
      </w:r>
      <w:r w:rsidR="00F569F5" w:rsidRPr="00D43CE8">
        <w:rPr>
          <w:rFonts w:ascii="Arial" w:eastAsia="Calibri" w:hAnsi="Arial" w:cs="Arial"/>
          <w:sz w:val="22"/>
          <w:szCs w:val="22"/>
          <w:lang w:val="es-ES_tradnl"/>
        </w:rPr>
        <w:t xml:space="preserve"> realizando las adecuaciones </w:t>
      </w:r>
      <w:r w:rsidR="004575F9" w:rsidRPr="00D43CE8">
        <w:rPr>
          <w:rFonts w:ascii="Arial" w:eastAsia="Calibri" w:hAnsi="Arial" w:cs="Arial"/>
          <w:sz w:val="22"/>
          <w:szCs w:val="22"/>
          <w:lang w:val="es-ES_tradnl"/>
        </w:rPr>
        <w:t xml:space="preserve">requeridas para aplicar </w:t>
      </w:r>
      <w:r w:rsidR="00F569F5" w:rsidRPr="00D43CE8">
        <w:rPr>
          <w:rFonts w:ascii="Arial" w:eastAsia="Calibri" w:hAnsi="Arial" w:cs="Arial"/>
          <w:sz w:val="22"/>
          <w:szCs w:val="22"/>
          <w:lang w:val="es-ES_tradnl"/>
        </w:rPr>
        <w:t xml:space="preserve">estas </w:t>
      </w:r>
      <w:r w:rsidR="00964D77" w:rsidRPr="00D43CE8">
        <w:rPr>
          <w:rFonts w:ascii="Arial" w:eastAsia="Calibri" w:hAnsi="Arial" w:cs="Arial"/>
          <w:sz w:val="22"/>
          <w:szCs w:val="22"/>
          <w:lang w:val="es-ES_tradnl"/>
        </w:rPr>
        <w:t>disposiciones</w:t>
      </w:r>
      <w:r w:rsidR="001958DE" w:rsidRPr="00D43CE8">
        <w:rPr>
          <w:rFonts w:ascii="Arial" w:eastAsia="Calibri" w:hAnsi="Arial" w:cs="Arial"/>
          <w:sz w:val="22"/>
          <w:szCs w:val="22"/>
          <w:lang w:val="es-ES_tradnl"/>
        </w:rPr>
        <w:t xml:space="preserve">, tal como </w:t>
      </w:r>
      <w:r w:rsidR="00A32354" w:rsidRPr="00D43CE8">
        <w:rPr>
          <w:rFonts w:ascii="Arial" w:eastAsia="Calibri" w:hAnsi="Arial" w:cs="Arial"/>
          <w:sz w:val="22"/>
          <w:szCs w:val="22"/>
          <w:lang w:val="es-ES_tradnl"/>
        </w:rPr>
        <w:t>indica el artículo 1 del Decreto 1860 de 2021</w:t>
      </w:r>
      <w:r w:rsidR="00A32354" w:rsidRPr="00D43CE8">
        <w:rPr>
          <w:rStyle w:val="Refdenotaalpie"/>
          <w:rFonts w:ascii="Arial" w:eastAsia="Calibri" w:hAnsi="Arial" w:cs="Arial"/>
          <w:sz w:val="22"/>
          <w:szCs w:val="22"/>
          <w:lang w:val="es-ES_tradnl"/>
        </w:rPr>
        <w:footnoteReference w:id="10"/>
      </w:r>
      <w:r w:rsidR="00A32354" w:rsidRPr="00D43CE8">
        <w:rPr>
          <w:rFonts w:ascii="Arial" w:eastAsia="Calibri" w:hAnsi="Arial" w:cs="Arial"/>
          <w:sz w:val="22"/>
          <w:szCs w:val="22"/>
          <w:lang w:val="es-ES_tradnl"/>
        </w:rPr>
        <w:t xml:space="preserve">. </w:t>
      </w:r>
      <w:r w:rsidR="002675DE" w:rsidRPr="00D43CE8">
        <w:rPr>
          <w:rFonts w:ascii="Arial" w:eastAsia="Calibri" w:hAnsi="Arial" w:cs="Arial"/>
          <w:sz w:val="22"/>
          <w:szCs w:val="22"/>
          <w:lang w:val="es-ES_tradnl"/>
        </w:rPr>
        <w:t xml:space="preserve"> </w:t>
      </w:r>
    </w:p>
    <w:p w14:paraId="2C7445B7" w14:textId="38BB7CB1" w:rsidR="00BC41E9" w:rsidRPr="00D43CE8" w:rsidRDefault="002A544F" w:rsidP="00024F91">
      <w:pPr>
        <w:spacing w:after="120" w:line="276" w:lineRule="auto"/>
        <w:jc w:val="both"/>
        <w:rPr>
          <w:rFonts w:ascii="Arial" w:hAnsi="Arial" w:cs="Arial"/>
          <w:sz w:val="22"/>
          <w:szCs w:val="22"/>
          <w:lang w:eastAsia="es-CO"/>
        </w:rPr>
      </w:pPr>
      <w:r w:rsidRPr="00D43CE8">
        <w:rPr>
          <w:rFonts w:ascii="Arial" w:eastAsia="Calibri" w:hAnsi="Arial" w:cs="Arial"/>
          <w:sz w:val="22"/>
          <w:szCs w:val="22"/>
          <w:lang w:val="es-ES_tradnl"/>
        </w:rPr>
        <w:tab/>
      </w:r>
      <w:r w:rsidR="00014D06">
        <w:rPr>
          <w:rFonts w:ascii="Arial" w:eastAsia="Calibri" w:hAnsi="Arial" w:cs="Arial"/>
          <w:sz w:val="22"/>
          <w:szCs w:val="22"/>
          <w:lang w:val="es-ES_tradnl"/>
        </w:rPr>
        <w:t xml:space="preserve">En lo relativo al artículo 35 de la Ley 2069 de 2020, el artículo </w:t>
      </w:r>
      <w:r w:rsidR="00A33C34">
        <w:rPr>
          <w:rFonts w:ascii="Arial" w:eastAsia="Calibri" w:hAnsi="Arial" w:cs="Arial"/>
          <w:sz w:val="22"/>
          <w:szCs w:val="22"/>
          <w:lang w:val="es-ES_tradnl"/>
        </w:rPr>
        <w:t xml:space="preserve">3 del Decreto 1860 de 2021 adiciona el artículo </w:t>
      </w:r>
      <w:r w:rsidR="00740B7A" w:rsidRPr="00740B7A">
        <w:rPr>
          <w:rFonts w:ascii="Arial" w:eastAsia="Calibri" w:hAnsi="Arial" w:cs="Arial"/>
          <w:sz w:val="22"/>
          <w:szCs w:val="22"/>
          <w:lang w:val="es-ES_tradnl"/>
        </w:rPr>
        <w:t xml:space="preserve">2.2.1.2.4.2.17. </w:t>
      </w:r>
      <w:r w:rsidR="00AF5CD4">
        <w:rPr>
          <w:rFonts w:ascii="Arial" w:eastAsia="Calibri" w:hAnsi="Arial" w:cs="Arial"/>
          <w:sz w:val="22"/>
          <w:szCs w:val="22"/>
          <w:lang w:val="es-ES_tradnl"/>
        </w:rPr>
        <w:t xml:space="preserve">a la </w:t>
      </w:r>
      <w:r w:rsidR="008C07BD" w:rsidRPr="008C07BD">
        <w:rPr>
          <w:rFonts w:ascii="Arial" w:eastAsia="Calibri" w:hAnsi="Arial" w:cs="Arial"/>
          <w:sz w:val="22"/>
          <w:szCs w:val="22"/>
          <w:lang w:val="es-ES_tradnl"/>
        </w:rPr>
        <w:t>Subsección 2 de la Sección 4 del Capítulo 2 del Título 1 de la Parte 2 del Libro 2 del Decreto 1082 de 2015</w:t>
      </w:r>
      <w:r w:rsidR="00A20A2B" w:rsidRPr="00D43CE8">
        <w:rPr>
          <w:rFonts w:ascii="Arial" w:hAnsi="Arial" w:cs="Arial"/>
          <w:sz w:val="22"/>
          <w:szCs w:val="22"/>
          <w:lang w:eastAsia="es-CO"/>
        </w:rPr>
        <w:t>, el cual</w:t>
      </w:r>
      <w:r w:rsidR="00D02F4D" w:rsidRPr="00D43CE8">
        <w:rPr>
          <w:rFonts w:ascii="Arial" w:hAnsi="Arial" w:cs="Arial"/>
          <w:sz w:val="22"/>
          <w:szCs w:val="22"/>
          <w:lang w:eastAsia="es-CO"/>
        </w:rPr>
        <w:t xml:space="preserve"> reglamenta los </w:t>
      </w:r>
      <w:r w:rsidR="00D02F4D" w:rsidRPr="00D43CE8">
        <w:rPr>
          <w:rFonts w:ascii="Arial" w:hAnsi="Arial" w:cs="Arial"/>
          <w:sz w:val="22"/>
          <w:szCs w:val="22"/>
          <w:lang w:eastAsia="es-CO"/>
        </w:rPr>
        <w:lastRenderedPageBreak/>
        <w:t>factores</w:t>
      </w:r>
      <w:r w:rsidR="008D6DB5" w:rsidRPr="00D43CE8">
        <w:rPr>
          <w:rFonts w:ascii="Arial" w:hAnsi="Arial" w:cs="Arial"/>
          <w:sz w:val="22"/>
          <w:szCs w:val="22"/>
          <w:lang w:eastAsia="es-CO"/>
        </w:rPr>
        <w:t xml:space="preserve"> de desempate del artículo 35</w:t>
      </w:r>
      <w:r w:rsidR="00277419" w:rsidRPr="00D43CE8">
        <w:rPr>
          <w:rFonts w:ascii="Arial" w:hAnsi="Arial" w:cs="Arial"/>
          <w:sz w:val="22"/>
          <w:szCs w:val="22"/>
          <w:lang w:eastAsia="es-CO"/>
        </w:rPr>
        <w:t xml:space="preserve"> </w:t>
      </w:r>
      <w:proofErr w:type="spellStart"/>
      <w:r w:rsidR="00277419" w:rsidRPr="00D43CE8">
        <w:rPr>
          <w:rFonts w:ascii="Arial" w:hAnsi="Arial" w:cs="Arial"/>
          <w:i/>
          <w:iCs/>
          <w:sz w:val="22"/>
          <w:szCs w:val="22"/>
          <w:lang w:eastAsia="es-CO"/>
        </w:rPr>
        <w:t>ibídem</w:t>
      </w:r>
      <w:proofErr w:type="spellEnd"/>
      <w:r w:rsidR="00277419" w:rsidRPr="00D43CE8">
        <w:rPr>
          <w:rFonts w:ascii="Arial" w:hAnsi="Arial" w:cs="Arial"/>
          <w:sz w:val="22"/>
          <w:szCs w:val="22"/>
          <w:lang w:eastAsia="es-CO"/>
        </w:rPr>
        <w:t>, estableciendo los medios de acreditación de cada uno de los supuestos de hecho en función de los cuales operan</w:t>
      </w:r>
      <w:r w:rsidR="001958DE" w:rsidRPr="00D43CE8">
        <w:rPr>
          <w:rFonts w:ascii="Arial" w:hAnsi="Arial" w:cs="Arial"/>
          <w:sz w:val="22"/>
          <w:szCs w:val="22"/>
          <w:lang w:eastAsia="es-CO"/>
        </w:rPr>
        <w:t>.</w:t>
      </w:r>
    </w:p>
    <w:p w14:paraId="2193C712" w14:textId="3BB5D6C6" w:rsidR="00D63898" w:rsidRPr="00D43CE8" w:rsidRDefault="00903158" w:rsidP="00CA065A">
      <w:pPr>
        <w:pStyle w:val="NormalWeb"/>
        <w:shd w:val="clear" w:color="auto" w:fill="FFFFFF"/>
        <w:spacing w:before="0" w:beforeAutospacing="0" w:after="120" w:afterAutospacing="0" w:line="276" w:lineRule="auto"/>
        <w:jc w:val="both"/>
        <w:rPr>
          <w:rFonts w:ascii="Arial" w:hAnsi="Arial" w:cs="Arial"/>
          <w:sz w:val="22"/>
          <w:szCs w:val="22"/>
        </w:rPr>
      </w:pPr>
      <w:r w:rsidRPr="00D43CE8">
        <w:rPr>
          <w:rFonts w:ascii="Arial" w:hAnsi="Arial" w:cs="Arial"/>
          <w:sz w:val="22"/>
          <w:szCs w:val="22"/>
        </w:rPr>
        <w:tab/>
        <w:t>De otra parte, el art</w:t>
      </w:r>
      <w:r w:rsidR="00D63898" w:rsidRPr="00D43CE8">
        <w:rPr>
          <w:rFonts w:ascii="Arial" w:hAnsi="Arial" w:cs="Arial"/>
          <w:sz w:val="22"/>
          <w:szCs w:val="22"/>
        </w:rPr>
        <w:t xml:space="preserve">ículo 7 del decreto recientemente expedido, modificó el contenido del artículo 2.2.1.2.4.2.8 </w:t>
      </w:r>
      <w:r w:rsidR="00D63898" w:rsidRPr="00D43CE8">
        <w:rPr>
          <w:rFonts w:ascii="Arial" w:hAnsi="Arial" w:cs="Arial"/>
          <w:sz w:val="22"/>
          <w:szCs w:val="22"/>
          <w:shd w:val="clear" w:color="auto" w:fill="FFFFFF"/>
        </w:rPr>
        <w:t xml:space="preserve">de la Subsección 2 de la Sección 4 del Capítulo 2 del Título 1 de la Parte 2 del Libro 2 del Decreto 1082 de 2015, alusivo al sistema de preferencias en favor de las personas con discapacidad. </w:t>
      </w:r>
      <w:r w:rsidR="00D63898" w:rsidRPr="00D43CE8">
        <w:rPr>
          <w:rFonts w:ascii="Arial" w:hAnsi="Arial" w:cs="Arial"/>
          <w:sz w:val="22"/>
          <w:szCs w:val="22"/>
        </w:rPr>
        <w:t>La modificación realizada re</w:t>
      </w:r>
      <w:r w:rsidR="00060667" w:rsidRPr="00D43CE8">
        <w:rPr>
          <w:rFonts w:ascii="Arial" w:hAnsi="Arial" w:cs="Arial"/>
          <w:sz w:val="22"/>
          <w:szCs w:val="22"/>
        </w:rPr>
        <w:t>e</w:t>
      </w:r>
      <w:r w:rsidR="00D63898" w:rsidRPr="00D43CE8">
        <w:rPr>
          <w:rFonts w:ascii="Arial" w:hAnsi="Arial" w:cs="Arial"/>
          <w:sz w:val="22"/>
          <w:szCs w:val="22"/>
        </w:rPr>
        <w:t>mplaz</w:t>
      </w:r>
      <w:r w:rsidR="00C82A26" w:rsidRPr="00D43CE8">
        <w:rPr>
          <w:rFonts w:ascii="Arial" w:hAnsi="Arial" w:cs="Arial"/>
          <w:sz w:val="22"/>
          <w:szCs w:val="22"/>
        </w:rPr>
        <w:t>ó</w:t>
      </w:r>
      <w:r w:rsidR="00D63898" w:rsidRPr="00D43CE8">
        <w:rPr>
          <w:rFonts w:ascii="Arial" w:hAnsi="Arial" w:cs="Arial"/>
          <w:sz w:val="22"/>
          <w:szCs w:val="22"/>
        </w:rPr>
        <w:t xml:space="preserve"> la referencia al artículo </w:t>
      </w:r>
      <w:r w:rsidR="00C82A26" w:rsidRPr="00D43CE8">
        <w:rPr>
          <w:rFonts w:ascii="Arial" w:hAnsi="Arial" w:cs="Arial"/>
          <w:sz w:val="22"/>
          <w:szCs w:val="22"/>
        </w:rPr>
        <w:t>2.2.1.1.2.2.9 del Decreto 1082 de 2015, que anteriormente reglamentaba los factores de desempate, por una remisión al artículo 35 de la Ley 2069 de 2020 y el artículo 2.2.1.2.4.2.17 del Decreto 1082 de 2015, disposiciones por las que ahora se rigen los criterios de desempate.</w:t>
      </w:r>
    </w:p>
    <w:p w14:paraId="0D97EABC" w14:textId="77777777" w:rsidR="00EC6516" w:rsidRDefault="00F1363E" w:rsidP="00EC6516">
      <w:pPr>
        <w:spacing w:after="160" w:line="276" w:lineRule="auto"/>
        <w:jc w:val="both"/>
        <w:rPr>
          <w:rFonts w:ascii="Arial" w:hAnsi="Arial" w:cs="Arial"/>
          <w:sz w:val="22"/>
          <w:szCs w:val="22"/>
          <w:lang w:eastAsia="es-CO"/>
        </w:rPr>
      </w:pPr>
      <w:r w:rsidRPr="00D43CE8">
        <w:rPr>
          <w:rFonts w:ascii="Arial" w:hAnsi="Arial" w:cs="Arial"/>
          <w:sz w:val="22"/>
          <w:szCs w:val="22"/>
          <w:lang w:eastAsia="es-CO"/>
        </w:rPr>
        <w:tab/>
      </w:r>
      <w:r w:rsidR="00737596" w:rsidRPr="00D43CE8">
        <w:rPr>
          <w:rFonts w:ascii="Arial" w:hAnsi="Arial" w:cs="Arial"/>
          <w:sz w:val="22"/>
          <w:szCs w:val="22"/>
          <w:lang w:eastAsia="es-CO"/>
        </w:rPr>
        <w:t xml:space="preserve">Por último, debe precisarse que la vigencia del Decreto 1860 de 2021 </w:t>
      </w:r>
      <w:r w:rsidR="00B726C6" w:rsidRPr="00D43CE8">
        <w:rPr>
          <w:rFonts w:ascii="Arial" w:hAnsi="Arial" w:cs="Arial"/>
          <w:sz w:val="22"/>
          <w:szCs w:val="22"/>
          <w:lang w:eastAsia="es-CO"/>
        </w:rPr>
        <w:t>es</w:t>
      </w:r>
      <w:r w:rsidR="00737596" w:rsidRPr="00D43CE8">
        <w:rPr>
          <w:rFonts w:ascii="Arial" w:hAnsi="Arial" w:cs="Arial"/>
          <w:sz w:val="22"/>
          <w:szCs w:val="22"/>
          <w:lang w:eastAsia="es-CO"/>
        </w:rPr>
        <w:t xml:space="preserve"> regulada por su artículo </w:t>
      </w:r>
      <w:r w:rsidR="00607CB3" w:rsidRPr="00D43CE8">
        <w:rPr>
          <w:rFonts w:ascii="Arial" w:hAnsi="Arial" w:cs="Arial"/>
          <w:sz w:val="22"/>
          <w:szCs w:val="22"/>
          <w:lang w:eastAsia="es-CO"/>
        </w:rPr>
        <w:t>8, el cual establece que «Las disposiciones contenidas en el presente Decreto se aplicarán a los procedimientos de selección cuya invitación, aviso de convocatoria o documento equivalente se publique a los tres (3) meses contados a partir de su expedición</w:t>
      </w:r>
      <w:r w:rsidR="006770AE" w:rsidRPr="00D43CE8">
        <w:rPr>
          <w:rFonts w:ascii="Arial" w:hAnsi="Arial" w:cs="Arial"/>
          <w:sz w:val="22"/>
          <w:szCs w:val="22"/>
          <w:lang w:eastAsia="es-CO"/>
        </w:rPr>
        <w:t xml:space="preserve">». </w:t>
      </w:r>
      <w:r w:rsidR="00097660" w:rsidRPr="00D43CE8">
        <w:rPr>
          <w:rFonts w:ascii="Arial" w:hAnsi="Arial" w:cs="Arial"/>
          <w:sz w:val="22"/>
          <w:szCs w:val="22"/>
          <w:lang w:eastAsia="es-CO"/>
        </w:rPr>
        <w:t xml:space="preserve">De acuerdo con esto, habiéndose expedido el referido decreto el 24 de </w:t>
      </w:r>
      <w:r w:rsidR="000E1709" w:rsidRPr="00D43CE8">
        <w:rPr>
          <w:rFonts w:ascii="Arial" w:hAnsi="Arial" w:cs="Arial"/>
          <w:sz w:val="22"/>
          <w:szCs w:val="22"/>
          <w:lang w:eastAsia="es-CO"/>
        </w:rPr>
        <w:t>diciembre de 2021, la aplicación de su contenido deberá comenzar una vez transcurrido</w:t>
      </w:r>
      <w:r w:rsidR="001F052B" w:rsidRPr="00D43CE8">
        <w:rPr>
          <w:rFonts w:ascii="Arial" w:hAnsi="Arial" w:cs="Arial"/>
          <w:sz w:val="22"/>
          <w:szCs w:val="22"/>
          <w:lang w:eastAsia="es-CO"/>
        </w:rPr>
        <w:t>s</w:t>
      </w:r>
      <w:r w:rsidR="001212C3" w:rsidRPr="00D43CE8">
        <w:rPr>
          <w:rFonts w:ascii="Arial" w:hAnsi="Arial" w:cs="Arial"/>
          <w:sz w:val="22"/>
          <w:szCs w:val="22"/>
          <w:lang w:eastAsia="es-CO"/>
        </w:rPr>
        <w:t xml:space="preserve"> tres (3)</w:t>
      </w:r>
      <w:r w:rsidR="00AF54C4" w:rsidRPr="00D43CE8">
        <w:rPr>
          <w:rFonts w:ascii="Arial" w:hAnsi="Arial" w:cs="Arial"/>
          <w:sz w:val="22"/>
          <w:szCs w:val="22"/>
          <w:lang w:eastAsia="es-CO"/>
        </w:rPr>
        <w:t xml:space="preserve"> meses</w:t>
      </w:r>
      <w:r w:rsidR="001212C3" w:rsidRPr="00D43CE8">
        <w:rPr>
          <w:rFonts w:ascii="Arial" w:hAnsi="Arial" w:cs="Arial"/>
          <w:sz w:val="22"/>
          <w:szCs w:val="22"/>
          <w:lang w:eastAsia="es-CO"/>
        </w:rPr>
        <w:t xml:space="preserve"> contados a partir de </w:t>
      </w:r>
      <w:r w:rsidR="001F052B" w:rsidRPr="00D43CE8">
        <w:rPr>
          <w:rFonts w:ascii="Arial" w:hAnsi="Arial" w:cs="Arial"/>
          <w:sz w:val="22"/>
          <w:szCs w:val="22"/>
          <w:lang w:eastAsia="es-CO"/>
        </w:rPr>
        <w:t>entonces</w:t>
      </w:r>
      <w:r w:rsidR="00B53BB2" w:rsidRPr="00D43CE8">
        <w:rPr>
          <w:rFonts w:ascii="Arial" w:hAnsi="Arial" w:cs="Arial"/>
          <w:sz w:val="22"/>
          <w:szCs w:val="22"/>
          <w:lang w:eastAsia="es-CO"/>
        </w:rPr>
        <w:t xml:space="preserve">, en los procesos </w:t>
      </w:r>
      <w:r w:rsidR="00AF54C4" w:rsidRPr="00D43CE8">
        <w:rPr>
          <w:rFonts w:ascii="Arial" w:hAnsi="Arial" w:cs="Arial"/>
          <w:sz w:val="22"/>
          <w:szCs w:val="22"/>
          <w:lang w:eastAsia="es-CO"/>
        </w:rPr>
        <w:t>cuyo</w:t>
      </w:r>
      <w:r w:rsidR="001F052B" w:rsidRPr="00D43CE8">
        <w:rPr>
          <w:rFonts w:ascii="Arial" w:hAnsi="Arial" w:cs="Arial"/>
          <w:sz w:val="22"/>
          <w:szCs w:val="22"/>
          <w:lang w:eastAsia="es-CO"/>
        </w:rPr>
        <w:t>s</w:t>
      </w:r>
      <w:r w:rsidR="006115E7" w:rsidRPr="00D43CE8">
        <w:rPr>
          <w:rFonts w:ascii="Arial" w:hAnsi="Arial" w:cs="Arial"/>
          <w:sz w:val="22"/>
          <w:szCs w:val="22"/>
          <w:lang w:eastAsia="es-CO"/>
        </w:rPr>
        <w:t xml:space="preserve"> aviso</w:t>
      </w:r>
      <w:r w:rsidR="001F052B" w:rsidRPr="00D43CE8">
        <w:rPr>
          <w:rFonts w:ascii="Arial" w:hAnsi="Arial" w:cs="Arial"/>
          <w:sz w:val="22"/>
          <w:szCs w:val="22"/>
          <w:lang w:eastAsia="es-CO"/>
        </w:rPr>
        <w:t>s</w:t>
      </w:r>
      <w:r w:rsidR="006115E7" w:rsidRPr="00D43CE8">
        <w:rPr>
          <w:rFonts w:ascii="Arial" w:hAnsi="Arial" w:cs="Arial"/>
          <w:sz w:val="22"/>
          <w:szCs w:val="22"/>
          <w:lang w:eastAsia="es-CO"/>
        </w:rPr>
        <w:t xml:space="preserve"> de convocatoria</w:t>
      </w:r>
      <w:r w:rsidR="001F052B" w:rsidRPr="00D43CE8">
        <w:rPr>
          <w:rFonts w:ascii="Arial" w:hAnsi="Arial" w:cs="Arial"/>
          <w:sz w:val="22"/>
          <w:szCs w:val="22"/>
          <w:lang w:eastAsia="es-CO"/>
        </w:rPr>
        <w:t>s</w:t>
      </w:r>
      <w:r w:rsidR="00AF54C4" w:rsidRPr="00D43CE8">
        <w:rPr>
          <w:rFonts w:ascii="Arial" w:hAnsi="Arial" w:cs="Arial"/>
          <w:sz w:val="22"/>
          <w:szCs w:val="22"/>
          <w:lang w:eastAsia="es-CO"/>
        </w:rPr>
        <w:t>, invitaci</w:t>
      </w:r>
      <w:r w:rsidR="001F052B" w:rsidRPr="00D43CE8">
        <w:rPr>
          <w:rFonts w:ascii="Arial" w:hAnsi="Arial" w:cs="Arial"/>
          <w:sz w:val="22"/>
          <w:szCs w:val="22"/>
          <w:lang w:eastAsia="es-CO"/>
        </w:rPr>
        <w:t>ones</w:t>
      </w:r>
      <w:r w:rsidR="00AF54C4" w:rsidRPr="00D43CE8">
        <w:rPr>
          <w:rFonts w:ascii="Arial" w:hAnsi="Arial" w:cs="Arial"/>
          <w:sz w:val="22"/>
          <w:szCs w:val="22"/>
          <w:lang w:eastAsia="es-CO"/>
        </w:rPr>
        <w:t xml:space="preserve"> o documento</w:t>
      </w:r>
      <w:r w:rsidR="001F052B" w:rsidRPr="00D43CE8">
        <w:rPr>
          <w:rFonts w:ascii="Arial" w:hAnsi="Arial" w:cs="Arial"/>
          <w:sz w:val="22"/>
          <w:szCs w:val="22"/>
          <w:lang w:eastAsia="es-CO"/>
        </w:rPr>
        <w:t>s</w:t>
      </w:r>
      <w:r w:rsidR="00AF54C4" w:rsidRPr="00D43CE8">
        <w:rPr>
          <w:rFonts w:ascii="Arial" w:hAnsi="Arial" w:cs="Arial"/>
          <w:sz w:val="22"/>
          <w:szCs w:val="22"/>
          <w:lang w:eastAsia="es-CO"/>
        </w:rPr>
        <w:t xml:space="preserve"> equivalente</w:t>
      </w:r>
      <w:r w:rsidR="001F052B" w:rsidRPr="00D43CE8">
        <w:rPr>
          <w:rFonts w:ascii="Arial" w:hAnsi="Arial" w:cs="Arial"/>
          <w:sz w:val="22"/>
          <w:szCs w:val="22"/>
          <w:lang w:eastAsia="es-CO"/>
        </w:rPr>
        <w:t>s</w:t>
      </w:r>
      <w:r w:rsidR="00E10BC8" w:rsidRPr="00D43CE8">
        <w:rPr>
          <w:rFonts w:ascii="Arial" w:hAnsi="Arial" w:cs="Arial"/>
          <w:sz w:val="22"/>
          <w:szCs w:val="22"/>
          <w:lang w:eastAsia="es-CO"/>
        </w:rPr>
        <w:t xml:space="preserve"> se publique</w:t>
      </w:r>
      <w:r w:rsidR="001F052B" w:rsidRPr="00D43CE8">
        <w:rPr>
          <w:rFonts w:ascii="Arial" w:hAnsi="Arial" w:cs="Arial"/>
          <w:sz w:val="22"/>
          <w:szCs w:val="22"/>
          <w:lang w:eastAsia="es-CO"/>
        </w:rPr>
        <w:t>n</w:t>
      </w:r>
      <w:r w:rsidR="00E10BC8" w:rsidRPr="00D43CE8">
        <w:rPr>
          <w:rFonts w:ascii="Arial" w:hAnsi="Arial" w:cs="Arial"/>
          <w:sz w:val="22"/>
          <w:szCs w:val="22"/>
          <w:lang w:eastAsia="es-CO"/>
        </w:rPr>
        <w:t xml:space="preserve"> con posterioridad a dicho </w:t>
      </w:r>
      <w:r w:rsidR="00284645" w:rsidRPr="00D43CE8">
        <w:rPr>
          <w:rFonts w:ascii="Arial" w:hAnsi="Arial" w:cs="Arial"/>
          <w:sz w:val="22"/>
          <w:szCs w:val="22"/>
          <w:lang w:eastAsia="es-CO"/>
        </w:rPr>
        <w:t>término</w:t>
      </w:r>
      <w:r w:rsidR="00E0584F" w:rsidRPr="00D43CE8">
        <w:rPr>
          <w:rStyle w:val="Refdenotaalpie"/>
          <w:rFonts w:ascii="Arial" w:hAnsi="Arial" w:cs="Arial"/>
          <w:sz w:val="22"/>
          <w:szCs w:val="22"/>
          <w:lang w:eastAsia="es-CO"/>
        </w:rPr>
        <w:footnoteReference w:id="11"/>
      </w:r>
      <w:r w:rsidR="00E10BC8" w:rsidRPr="00D43CE8">
        <w:rPr>
          <w:rFonts w:ascii="Arial" w:hAnsi="Arial" w:cs="Arial"/>
          <w:sz w:val="22"/>
          <w:szCs w:val="22"/>
          <w:lang w:eastAsia="es-CO"/>
        </w:rPr>
        <w:t xml:space="preserve">. </w:t>
      </w:r>
    </w:p>
    <w:p w14:paraId="035B4D3B" w14:textId="6E025BD8" w:rsidR="00876F36" w:rsidRPr="006840F3" w:rsidRDefault="00320308" w:rsidP="006840F3">
      <w:pPr>
        <w:spacing w:after="160" w:line="276" w:lineRule="auto"/>
        <w:ind w:firstLine="709"/>
        <w:jc w:val="both"/>
        <w:rPr>
          <w:rFonts w:ascii="Arial" w:eastAsia="Arial" w:hAnsi="Arial" w:cs="Arial"/>
          <w:bCs/>
          <w:sz w:val="22"/>
          <w:szCs w:val="22"/>
          <w:lang w:val="es-ES_tradnl" w:eastAsia="es-ES" w:bidi="es-ES"/>
        </w:rPr>
      </w:pPr>
      <w:r w:rsidRPr="006431A7">
        <w:rPr>
          <w:rFonts w:ascii="Arial" w:eastAsia="Calibri" w:hAnsi="Arial" w:cs="Arial"/>
          <w:bCs/>
          <w:color w:val="000000" w:themeColor="text1"/>
          <w:sz w:val="22"/>
          <w:lang w:val="es-ES_tradnl"/>
        </w:rPr>
        <w:t xml:space="preserve">En tal sentido, tratándose de la acreditación de los factores de desempate dichas modificaciones tendrán efectos en los procesos </w:t>
      </w:r>
      <w:r w:rsidRPr="006431A7">
        <w:rPr>
          <w:rFonts w:ascii="Arial" w:eastAsia="Arial" w:hAnsi="Arial" w:cs="Arial"/>
          <w:bCs/>
          <w:sz w:val="22"/>
          <w:szCs w:val="22"/>
          <w:lang w:val="es-ES_tradnl" w:eastAsia="es-ES" w:bidi="es-ES"/>
        </w:rPr>
        <w:t xml:space="preserve">cuya invitación o aviso de convocatoria </w:t>
      </w:r>
      <w:r w:rsidRPr="006431A7">
        <w:rPr>
          <w:rFonts w:ascii="Arial" w:eastAsia="Calibri" w:hAnsi="Arial" w:cs="Arial"/>
          <w:bCs/>
          <w:color w:val="000000" w:themeColor="text1"/>
          <w:sz w:val="22"/>
          <w:lang w:val="es-ES_tradnl"/>
        </w:rPr>
        <w:t xml:space="preserve">se publique a partir del 24 de marzo de 2022, </w:t>
      </w:r>
      <w:r w:rsidRPr="006431A7">
        <w:rPr>
          <w:rFonts w:ascii="Arial" w:hAnsi="Arial" w:cs="Arial"/>
          <w:color w:val="000000" w:themeColor="text1"/>
          <w:sz w:val="22"/>
          <w:szCs w:val="22"/>
        </w:rPr>
        <w:t xml:space="preserve">sin perjuicio de que la entidad lo aplique de forma potestativa, incluyendo dichos contenidos en el pliego de condiciones o documento equivalente, para </w:t>
      </w:r>
      <w:r w:rsidRPr="006431A7">
        <w:rPr>
          <w:rFonts w:ascii="Arial" w:eastAsia="Arial" w:hAnsi="Arial" w:cs="Arial"/>
          <w:bCs/>
          <w:sz w:val="22"/>
          <w:szCs w:val="22"/>
          <w:lang w:val="es-ES_tradnl" w:eastAsia="es-ES" w:bidi="es-ES"/>
        </w:rPr>
        <w:t>procesos publicados en una fecha anterior.</w:t>
      </w:r>
    </w:p>
    <w:p w14:paraId="43B27A73" w14:textId="2917E56A" w:rsidR="002D79F4" w:rsidRDefault="00E30269" w:rsidP="00E30269">
      <w:pPr>
        <w:spacing w:line="276" w:lineRule="auto"/>
        <w:jc w:val="both"/>
        <w:rPr>
          <w:rFonts w:ascii="Arial" w:eastAsia="Calibri" w:hAnsi="Arial" w:cs="Arial"/>
          <w:b/>
          <w:bCs/>
          <w:sz w:val="22"/>
          <w:szCs w:val="22"/>
          <w:lang w:val="es-ES_tradnl"/>
        </w:rPr>
      </w:pPr>
      <w:r w:rsidRPr="00D43CE8">
        <w:rPr>
          <w:rFonts w:ascii="Arial" w:eastAsia="Calibri" w:hAnsi="Arial" w:cs="Arial"/>
          <w:b/>
          <w:bCs/>
          <w:sz w:val="22"/>
          <w:szCs w:val="22"/>
          <w:lang w:val="es-ES_tradnl"/>
        </w:rPr>
        <w:lastRenderedPageBreak/>
        <w:t xml:space="preserve">2.3. </w:t>
      </w:r>
      <w:r w:rsidR="002D79F4">
        <w:rPr>
          <w:rFonts w:ascii="Arial" w:eastAsia="Calibri" w:hAnsi="Arial" w:cs="Arial"/>
          <w:b/>
          <w:bCs/>
          <w:sz w:val="22"/>
          <w:szCs w:val="22"/>
          <w:lang w:val="es-ES_tradnl"/>
        </w:rPr>
        <w:t>F</w:t>
      </w:r>
      <w:r w:rsidR="002D79F4" w:rsidRPr="002D79F4">
        <w:rPr>
          <w:rFonts w:ascii="Arial" w:eastAsia="Calibri" w:hAnsi="Arial" w:cs="Arial"/>
          <w:b/>
          <w:bCs/>
          <w:sz w:val="22"/>
          <w:szCs w:val="22"/>
          <w:lang w:val="es-ES_tradnl"/>
        </w:rPr>
        <w:t xml:space="preserve">orma de acreditación de los factores de desempate consagrados en el artículo 35 de la Ley 2069 de 2020, en especial, </w:t>
      </w:r>
      <w:r w:rsidR="00B82D4D">
        <w:rPr>
          <w:rFonts w:ascii="Arial" w:eastAsia="Calibri" w:hAnsi="Arial" w:cs="Arial"/>
          <w:b/>
          <w:bCs/>
          <w:sz w:val="22"/>
          <w:szCs w:val="22"/>
          <w:lang w:val="es-ES_tradnl"/>
        </w:rPr>
        <w:t>los</w:t>
      </w:r>
      <w:r w:rsidR="002D79F4" w:rsidRPr="002D79F4">
        <w:rPr>
          <w:rFonts w:ascii="Arial" w:eastAsia="Calibri" w:hAnsi="Arial" w:cs="Arial"/>
          <w:b/>
          <w:bCs/>
          <w:sz w:val="22"/>
          <w:szCs w:val="22"/>
          <w:lang w:val="es-ES_tradnl"/>
        </w:rPr>
        <w:t xml:space="preserve"> previsto</w:t>
      </w:r>
      <w:r w:rsidR="00B82D4D">
        <w:rPr>
          <w:rFonts w:ascii="Arial" w:eastAsia="Calibri" w:hAnsi="Arial" w:cs="Arial"/>
          <w:b/>
          <w:bCs/>
          <w:sz w:val="22"/>
          <w:szCs w:val="22"/>
          <w:lang w:val="es-ES_tradnl"/>
        </w:rPr>
        <w:t>s</w:t>
      </w:r>
      <w:r w:rsidR="002D79F4" w:rsidRPr="002D79F4">
        <w:rPr>
          <w:rFonts w:ascii="Arial" w:eastAsia="Calibri" w:hAnsi="Arial" w:cs="Arial"/>
          <w:b/>
          <w:bCs/>
          <w:sz w:val="22"/>
          <w:szCs w:val="22"/>
          <w:lang w:val="es-ES_tradnl"/>
        </w:rPr>
        <w:t xml:space="preserve"> en los numerales 2 y 4</w:t>
      </w:r>
    </w:p>
    <w:p w14:paraId="68B7B63C" w14:textId="77777777" w:rsidR="007F344B" w:rsidRDefault="007F344B" w:rsidP="007F344B">
      <w:pPr>
        <w:spacing w:line="276" w:lineRule="auto"/>
        <w:jc w:val="both"/>
        <w:rPr>
          <w:rFonts w:ascii="Arial" w:eastAsia="Calibri" w:hAnsi="Arial" w:cs="Arial"/>
          <w:sz w:val="22"/>
          <w:szCs w:val="22"/>
          <w:lang w:val="es-ES_tradnl"/>
        </w:rPr>
      </w:pPr>
    </w:p>
    <w:p w14:paraId="6AD7176D" w14:textId="77777777" w:rsidR="007F344B" w:rsidRPr="00D43CE8" w:rsidRDefault="007F344B" w:rsidP="007F344B">
      <w:pPr>
        <w:spacing w:line="276" w:lineRule="auto"/>
        <w:jc w:val="both"/>
        <w:rPr>
          <w:rFonts w:ascii="Arial" w:eastAsia="Calibri" w:hAnsi="Arial" w:cs="Arial"/>
          <w:sz w:val="22"/>
          <w:szCs w:val="22"/>
          <w:lang w:val="es-ES_tradnl"/>
        </w:rPr>
      </w:pPr>
      <w:r w:rsidRPr="00D43CE8">
        <w:rPr>
          <w:rFonts w:ascii="Arial" w:eastAsia="Calibri" w:hAnsi="Arial" w:cs="Arial"/>
          <w:sz w:val="22"/>
          <w:szCs w:val="22"/>
          <w:lang w:val="es-ES_tradnl"/>
        </w:rPr>
        <w:t>Luego de aclarar que el artículo 35 de la Ley 2069 de 2020 se encuentra vigente y que</w:t>
      </w:r>
      <w:r w:rsidRPr="00D43CE8">
        <w:rPr>
          <w:rFonts w:ascii="Arial" w:hAnsi="Arial" w:cs="Arial"/>
          <w:sz w:val="22"/>
          <w:szCs w:val="22"/>
          <w:lang w:eastAsia="es-CO"/>
        </w:rPr>
        <w:t xml:space="preserve"> ha sido reglamentado por el artículo 2.2.1.2.4.2.17 del Decreto 1082 de 2015, adicionado por el Decreto 1860 de 2021, </w:t>
      </w:r>
      <w:r w:rsidRPr="00D43CE8">
        <w:rPr>
          <w:rFonts w:ascii="Arial" w:eastAsia="Calibri" w:hAnsi="Arial" w:cs="Arial"/>
          <w:sz w:val="22"/>
          <w:szCs w:val="22"/>
          <w:lang w:val="es-ES_tradnl"/>
        </w:rPr>
        <w:t>es necesario hacer referencia al objeto de la consulta. En ella se formulan preguntas sobre la interpretación de</w:t>
      </w:r>
      <w:r>
        <w:rPr>
          <w:rFonts w:ascii="Arial" w:eastAsia="Calibri" w:hAnsi="Arial" w:cs="Arial"/>
          <w:sz w:val="22"/>
          <w:szCs w:val="22"/>
          <w:lang w:val="es-ES_tradnl"/>
        </w:rPr>
        <w:t xml:space="preserve"> </w:t>
      </w:r>
      <w:r w:rsidRPr="00D43CE8">
        <w:rPr>
          <w:rFonts w:ascii="Arial" w:eastAsia="Calibri" w:hAnsi="Arial" w:cs="Arial"/>
          <w:sz w:val="22"/>
          <w:szCs w:val="22"/>
          <w:lang w:val="es-ES_tradnl"/>
        </w:rPr>
        <w:t>l</w:t>
      </w:r>
      <w:r>
        <w:rPr>
          <w:rFonts w:ascii="Arial" w:eastAsia="Calibri" w:hAnsi="Arial" w:cs="Arial"/>
          <w:sz w:val="22"/>
          <w:szCs w:val="22"/>
          <w:lang w:val="es-ES_tradnl"/>
        </w:rPr>
        <w:t>os</w:t>
      </w:r>
      <w:r w:rsidRPr="00D43CE8">
        <w:rPr>
          <w:rFonts w:ascii="Arial" w:eastAsia="Calibri" w:hAnsi="Arial" w:cs="Arial"/>
          <w:sz w:val="22"/>
          <w:szCs w:val="22"/>
          <w:lang w:val="es-ES_tradnl"/>
        </w:rPr>
        <w:t xml:space="preserve"> numeral</w:t>
      </w:r>
      <w:r>
        <w:rPr>
          <w:rFonts w:ascii="Arial" w:eastAsia="Calibri" w:hAnsi="Arial" w:cs="Arial"/>
          <w:sz w:val="22"/>
          <w:szCs w:val="22"/>
          <w:lang w:val="es-ES_tradnl"/>
        </w:rPr>
        <w:t>es</w:t>
      </w:r>
      <w:r w:rsidRPr="00D43CE8">
        <w:rPr>
          <w:rFonts w:ascii="Arial" w:eastAsia="Calibri" w:hAnsi="Arial" w:cs="Arial"/>
          <w:sz w:val="22"/>
          <w:szCs w:val="22"/>
          <w:lang w:val="es-ES_tradnl"/>
        </w:rPr>
        <w:t xml:space="preserve"> 2</w:t>
      </w:r>
      <w:r>
        <w:rPr>
          <w:rFonts w:ascii="Arial" w:eastAsia="Calibri" w:hAnsi="Arial" w:cs="Arial"/>
          <w:sz w:val="22"/>
          <w:szCs w:val="22"/>
          <w:lang w:val="es-ES_tradnl"/>
        </w:rPr>
        <w:t xml:space="preserve"> y 4</w:t>
      </w:r>
      <w:r w:rsidRPr="00D43CE8">
        <w:rPr>
          <w:rFonts w:ascii="Arial" w:eastAsia="Calibri" w:hAnsi="Arial" w:cs="Arial"/>
          <w:sz w:val="22"/>
          <w:szCs w:val="22"/>
          <w:lang w:val="es-ES_tradnl"/>
        </w:rPr>
        <w:t xml:space="preserve"> del artículo 35 </w:t>
      </w:r>
      <w:proofErr w:type="spellStart"/>
      <w:r w:rsidRPr="00D43CE8">
        <w:rPr>
          <w:rFonts w:ascii="Arial" w:eastAsia="Calibri" w:hAnsi="Arial" w:cs="Arial"/>
          <w:i/>
          <w:iCs/>
          <w:sz w:val="22"/>
          <w:szCs w:val="22"/>
          <w:lang w:val="es-ES_tradnl"/>
        </w:rPr>
        <w:t>ibídem</w:t>
      </w:r>
      <w:proofErr w:type="spellEnd"/>
      <w:r w:rsidRPr="00D43CE8">
        <w:rPr>
          <w:rFonts w:ascii="Arial" w:eastAsia="Calibri" w:hAnsi="Arial" w:cs="Arial"/>
          <w:i/>
          <w:iCs/>
          <w:sz w:val="22"/>
          <w:szCs w:val="22"/>
          <w:lang w:val="es-ES_tradnl"/>
        </w:rPr>
        <w:t xml:space="preserve">, </w:t>
      </w:r>
      <w:r w:rsidRPr="00D43CE8">
        <w:rPr>
          <w:rFonts w:ascii="Arial" w:eastAsia="Calibri" w:hAnsi="Arial" w:cs="Arial"/>
          <w:sz w:val="22"/>
          <w:szCs w:val="22"/>
          <w:lang w:val="es-ES_tradnl"/>
        </w:rPr>
        <w:t xml:space="preserve">en </w:t>
      </w:r>
      <w:r>
        <w:rPr>
          <w:rFonts w:ascii="Arial" w:eastAsia="Calibri" w:hAnsi="Arial" w:cs="Arial"/>
          <w:sz w:val="22"/>
          <w:szCs w:val="22"/>
          <w:lang w:val="es-ES_tradnl"/>
        </w:rPr>
        <w:t xml:space="preserve">los </w:t>
      </w:r>
      <w:r w:rsidRPr="00D43CE8">
        <w:rPr>
          <w:rFonts w:ascii="Arial" w:eastAsia="Calibri" w:hAnsi="Arial" w:cs="Arial"/>
          <w:sz w:val="22"/>
          <w:szCs w:val="22"/>
          <w:lang w:val="es-ES_tradnl"/>
        </w:rPr>
        <w:t>que se consagra un factor de desempate relacionado con la participación de mujeres cabeza de familia o víctimas de violencia intrafamiliar</w:t>
      </w:r>
      <w:r>
        <w:rPr>
          <w:rFonts w:ascii="Arial" w:eastAsia="Calibri" w:hAnsi="Arial" w:cs="Arial"/>
          <w:sz w:val="22"/>
          <w:szCs w:val="22"/>
          <w:lang w:val="es-ES_tradnl"/>
        </w:rPr>
        <w:t xml:space="preserve"> y otro, relacionado con la </w:t>
      </w:r>
      <w:r w:rsidRPr="003C3E6E">
        <w:rPr>
          <w:rFonts w:ascii="Arial" w:eastAsia="Calibri" w:hAnsi="Arial" w:cs="Arial"/>
          <w:sz w:val="22"/>
          <w:szCs w:val="22"/>
          <w:lang w:val="es-ES_tradnl"/>
        </w:rPr>
        <w:t>vinculación de personas mayores que no sean beneficiarios de la pensión de vejez, familiar o de sobrevivencia y que hayan cumplido el requisito de edad de pensión</w:t>
      </w:r>
      <w:r>
        <w:rPr>
          <w:rFonts w:ascii="Arial" w:eastAsia="Calibri" w:hAnsi="Arial" w:cs="Arial"/>
          <w:sz w:val="22"/>
          <w:szCs w:val="22"/>
          <w:lang w:val="es-ES_tradnl"/>
        </w:rPr>
        <w:t>, respectivamente</w:t>
      </w:r>
      <w:r w:rsidRPr="00D43CE8">
        <w:rPr>
          <w:rFonts w:ascii="Arial" w:eastAsia="Calibri" w:hAnsi="Arial" w:cs="Arial"/>
          <w:sz w:val="22"/>
          <w:szCs w:val="22"/>
          <w:lang w:val="es-ES_tradnl"/>
        </w:rPr>
        <w:t xml:space="preserve">. </w:t>
      </w:r>
      <w:r>
        <w:rPr>
          <w:rFonts w:ascii="Arial" w:eastAsia="Calibri" w:hAnsi="Arial" w:cs="Arial"/>
          <w:sz w:val="22"/>
          <w:szCs w:val="22"/>
          <w:lang w:val="es-ES_tradnl"/>
        </w:rPr>
        <w:t xml:space="preserve">Los numerales del </w:t>
      </w:r>
      <w:r w:rsidRPr="00D43CE8">
        <w:rPr>
          <w:rFonts w:ascii="Arial" w:eastAsia="Calibri" w:hAnsi="Arial" w:cs="Arial"/>
          <w:sz w:val="22"/>
          <w:szCs w:val="22"/>
          <w:lang w:val="es-ES_tradnl"/>
        </w:rPr>
        <w:t>artículo citado dispone</w:t>
      </w:r>
      <w:r>
        <w:rPr>
          <w:rFonts w:ascii="Arial" w:eastAsia="Calibri" w:hAnsi="Arial" w:cs="Arial"/>
          <w:sz w:val="22"/>
          <w:szCs w:val="22"/>
          <w:lang w:val="es-ES_tradnl"/>
        </w:rPr>
        <w:t>n</w:t>
      </w:r>
      <w:r w:rsidRPr="00D43CE8">
        <w:rPr>
          <w:rFonts w:ascii="Arial" w:eastAsia="Calibri" w:hAnsi="Arial" w:cs="Arial"/>
          <w:sz w:val="22"/>
          <w:szCs w:val="22"/>
          <w:lang w:val="es-ES_tradnl"/>
        </w:rPr>
        <w:t xml:space="preserve"> lo siguiente:</w:t>
      </w:r>
    </w:p>
    <w:p w14:paraId="58AAA58F" w14:textId="77777777" w:rsidR="007F344B" w:rsidRPr="00D43CE8" w:rsidRDefault="007F344B" w:rsidP="007F344B">
      <w:pPr>
        <w:spacing w:line="276" w:lineRule="auto"/>
        <w:ind w:firstLine="709"/>
        <w:jc w:val="both"/>
        <w:rPr>
          <w:rFonts w:ascii="Arial" w:hAnsi="Arial" w:cs="Arial"/>
          <w:sz w:val="21"/>
          <w:szCs w:val="21"/>
          <w:lang w:val="es-ES_tradnl"/>
        </w:rPr>
      </w:pPr>
    </w:p>
    <w:p w14:paraId="5C3CB494" w14:textId="218D2DF9" w:rsidR="000C1645" w:rsidRPr="00591E77" w:rsidRDefault="007F344B" w:rsidP="000C1645">
      <w:pPr>
        <w:spacing w:after="100"/>
        <w:ind w:left="709" w:right="709"/>
        <w:jc w:val="both"/>
        <w:rPr>
          <w:rFonts w:ascii="Arial" w:eastAsia="Calibri" w:hAnsi="Arial" w:cs="Arial"/>
          <w:sz w:val="21"/>
          <w:szCs w:val="21"/>
          <w:lang w:val="es-ES_tradnl"/>
        </w:rPr>
      </w:pPr>
      <w:r w:rsidRPr="00591E77">
        <w:rPr>
          <w:rFonts w:ascii="Arial" w:eastAsia="Calibri" w:hAnsi="Arial" w:cs="Arial"/>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4C1A115A" w14:textId="622CAE25" w:rsidR="000C1645" w:rsidRPr="00591E77" w:rsidRDefault="007F344B" w:rsidP="000C1645">
      <w:pPr>
        <w:spacing w:after="100"/>
        <w:ind w:left="709" w:right="709"/>
        <w:jc w:val="both"/>
        <w:rPr>
          <w:rFonts w:ascii="Arial" w:eastAsia="Calibri" w:hAnsi="Arial" w:cs="Arial"/>
          <w:sz w:val="21"/>
          <w:szCs w:val="21"/>
          <w:lang w:val="es-ES_tradnl"/>
        </w:rPr>
      </w:pPr>
      <w:r w:rsidRPr="00591E77">
        <w:rPr>
          <w:rFonts w:ascii="Arial" w:eastAsia="Calibri" w:hAnsi="Arial" w:cs="Arial"/>
          <w:sz w:val="21"/>
          <w:szCs w:val="21"/>
          <w:lang w:val="es-ES_tradnl"/>
        </w:rPr>
        <w:t>[…]</w:t>
      </w:r>
    </w:p>
    <w:p w14:paraId="09FF3FEB" w14:textId="27FD846B" w:rsidR="007F344B" w:rsidRPr="00591E77" w:rsidRDefault="007F344B" w:rsidP="000C1645">
      <w:pPr>
        <w:spacing w:after="100"/>
        <w:ind w:left="709" w:right="709"/>
        <w:jc w:val="both"/>
        <w:rPr>
          <w:rFonts w:ascii="Arial" w:eastAsia="Calibri" w:hAnsi="Arial" w:cs="Arial"/>
          <w:sz w:val="21"/>
          <w:szCs w:val="21"/>
          <w:lang w:val="es-ES_tradnl"/>
        </w:rPr>
      </w:pPr>
      <w:r w:rsidRPr="00591E77">
        <w:rPr>
          <w:rFonts w:ascii="Arial" w:eastAsia="Calibri" w:hAnsi="Arial" w:cs="Arial"/>
          <w:sz w:val="21"/>
          <w:szCs w:val="21"/>
          <w:lang w:val="es-ES_tradnl"/>
        </w:rPr>
        <w:t xml:space="preserve">2. Preferir la propuesta de la mujer cabeza de familia, mujeres víctimas de la violencia intrafamiliar o de la </w:t>
      </w:r>
      <w:r w:rsidRPr="00591E77">
        <w:rPr>
          <w:rFonts w:ascii="Arial" w:eastAsia="Calibri" w:hAnsi="Arial" w:cs="Arial"/>
          <w:i/>
          <w:iCs/>
          <w:sz w:val="21"/>
          <w:szCs w:val="21"/>
          <w:lang w:val="es-ES_tradnl"/>
        </w:rPr>
        <w:t>persona jurídica en la cual participe o participen mayoritariamente</w:t>
      </w:r>
      <w:r w:rsidRPr="00591E77">
        <w:rPr>
          <w:rFonts w:ascii="Arial" w:eastAsia="Calibri" w:hAnsi="Arial" w:cs="Arial"/>
          <w:sz w:val="21"/>
          <w:szCs w:val="21"/>
          <w:lang w:val="es-ES_tradnl"/>
        </w:rPr>
        <w:t xml:space="preserve">; o, la de un proponente plural constituido por mujeres cabeza de familia, mujeres víctimas de violencia intrafamiliar y/o personas jurídicas en las cuales </w:t>
      </w:r>
      <w:r w:rsidRPr="0011273F">
        <w:rPr>
          <w:rFonts w:ascii="Arial" w:eastAsia="Calibri" w:hAnsi="Arial" w:cs="Arial"/>
          <w:i/>
          <w:iCs/>
          <w:sz w:val="21"/>
          <w:szCs w:val="21"/>
          <w:lang w:val="es-ES_tradnl"/>
        </w:rPr>
        <w:t>participe o participen mayoritariamente</w:t>
      </w:r>
      <w:r w:rsidRPr="00591E77">
        <w:rPr>
          <w:rFonts w:ascii="Arial" w:eastAsia="Calibri" w:hAnsi="Arial" w:cs="Arial"/>
          <w:sz w:val="21"/>
          <w:szCs w:val="21"/>
          <w:lang w:val="es-ES_tradnl"/>
        </w:rPr>
        <w:t xml:space="preserve"> […]. </w:t>
      </w:r>
    </w:p>
    <w:p w14:paraId="64E38800" w14:textId="3EB47EB6" w:rsidR="007F344B" w:rsidRPr="00591E77" w:rsidRDefault="007F344B" w:rsidP="000C1645">
      <w:pPr>
        <w:spacing w:after="100"/>
        <w:ind w:left="709" w:right="709"/>
        <w:jc w:val="both"/>
        <w:rPr>
          <w:rFonts w:ascii="Arial" w:eastAsia="Calibri" w:hAnsi="Arial" w:cs="Arial"/>
          <w:sz w:val="21"/>
          <w:szCs w:val="21"/>
          <w:lang w:val="es-ES_tradnl"/>
        </w:rPr>
      </w:pPr>
      <w:r w:rsidRPr="00591E77">
        <w:rPr>
          <w:rFonts w:ascii="Arial" w:eastAsia="Calibri" w:hAnsi="Arial" w:cs="Arial"/>
          <w:sz w:val="21"/>
          <w:szCs w:val="21"/>
          <w:lang w:val="es-ES_tradnl"/>
        </w:rPr>
        <w:t>[…]</w:t>
      </w:r>
    </w:p>
    <w:p w14:paraId="07E55EEA" w14:textId="77777777" w:rsidR="007F344B" w:rsidRPr="00591E77" w:rsidRDefault="007F344B" w:rsidP="000C1645">
      <w:pPr>
        <w:spacing w:after="100"/>
        <w:ind w:left="709" w:right="709"/>
        <w:jc w:val="both"/>
        <w:rPr>
          <w:rFonts w:ascii="Arial" w:eastAsia="Calibri" w:hAnsi="Arial" w:cs="Arial"/>
          <w:sz w:val="21"/>
          <w:szCs w:val="21"/>
          <w:lang w:val="es-ES_tradnl"/>
        </w:rPr>
      </w:pPr>
      <w:r w:rsidRPr="00591E77">
        <w:rPr>
          <w:rFonts w:ascii="Arial" w:eastAsia="Calibri" w:hAnsi="Arial" w:cs="Arial"/>
          <w:sz w:val="21"/>
          <w:szCs w:val="21"/>
          <w:lang w:val="es-ES_tradnl"/>
        </w:rPr>
        <w:t xml:space="preserve">4. Preferir la propuesta presentada por el oferente que acredite </w:t>
      </w:r>
      <w:r w:rsidRPr="0011273F">
        <w:rPr>
          <w:rFonts w:ascii="Arial" w:eastAsia="Calibri" w:hAnsi="Arial" w:cs="Arial"/>
          <w:i/>
          <w:iCs/>
          <w:sz w:val="21"/>
          <w:szCs w:val="21"/>
          <w:lang w:val="es-ES_tradnl"/>
        </w:rPr>
        <w:t>la vinculación en mayor proporción</w:t>
      </w:r>
      <w:r w:rsidRPr="00591E77">
        <w:rPr>
          <w:rFonts w:ascii="Arial" w:eastAsia="Calibri" w:hAnsi="Arial" w:cs="Arial"/>
          <w:sz w:val="21"/>
          <w:szCs w:val="21"/>
          <w:lang w:val="es-ES_tradnl"/>
        </w:rPr>
        <w:t xml:space="preserve"> de personas mayores que no sean beneficiarios de la pensión de vejez, familiar o de sobrevivencia y que hayan cumplido el requisito de edad de pensión establecido en la Ley. (Énfasis fuera de texto)</w:t>
      </w:r>
    </w:p>
    <w:p w14:paraId="0576F49A" w14:textId="77777777" w:rsidR="007F344B" w:rsidRPr="00D43CE8" w:rsidRDefault="007F344B" w:rsidP="007F344B">
      <w:pPr>
        <w:ind w:left="709" w:right="709"/>
        <w:jc w:val="both"/>
        <w:rPr>
          <w:rFonts w:ascii="Arial" w:eastAsia="Calibri" w:hAnsi="Arial" w:cs="Arial"/>
          <w:sz w:val="21"/>
          <w:szCs w:val="21"/>
          <w:lang w:val="es-ES_tradnl"/>
        </w:rPr>
      </w:pPr>
    </w:p>
    <w:p w14:paraId="3F927743" w14:textId="05433E14" w:rsidR="007F344B" w:rsidRPr="00D43CE8" w:rsidRDefault="007F344B" w:rsidP="007F344B">
      <w:pPr>
        <w:spacing w:after="120" w:line="276" w:lineRule="auto"/>
        <w:ind w:firstLine="709"/>
        <w:jc w:val="both"/>
        <w:rPr>
          <w:rFonts w:ascii="Arial" w:eastAsia="Calibri" w:hAnsi="Arial" w:cs="Arial"/>
          <w:sz w:val="22"/>
          <w:szCs w:val="22"/>
          <w:lang w:val="es-ES_tradnl"/>
        </w:rPr>
      </w:pPr>
      <w:r w:rsidRPr="00D43CE8">
        <w:rPr>
          <w:rFonts w:ascii="Arial" w:eastAsia="Calibri" w:hAnsi="Arial" w:cs="Arial"/>
          <w:sz w:val="22"/>
          <w:szCs w:val="22"/>
          <w:lang w:val="es-ES_tradnl"/>
        </w:rPr>
        <w:t>Como se advierte, el texto del artículo 35 de la Ley 2069 de 2020 no establec</w:t>
      </w:r>
      <w:r>
        <w:rPr>
          <w:rFonts w:ascii="Arial" w:eastAsia="Calibri" w:hAnsi="Arial" w:cs="Arial"/>
          <w:sz w:val="22"/>
          <w:szCs w:val="22"/>
          <w:lang w:val="es-ES_tradnl"/>
        </w:rPr>
        <w:t>ió</w:t>
      </w:r>
      <w:r w:rsidRPr="00D43CE8">
        <w:rPr>
          <w:rFonts w:ascii="Arial" w:eastAsia="Calibri" w:hAnsi="Arial" w:cs="Arial"/>
          <w:sz w:val="22"/>
          <w:szCs w:val="22"/>
          <w:lang w:val="es-ES_tradnl"/>
        </w:rPr>
        <w:t xml:space="preserve"> un medio específico para acreditar las circunstancias a las que se refiere</w:t>
      </w:r>
      <w:r>
        <w:rPr>
          <w:rFonts w:ascii="Arial" w:eastAsia="Calibri" w:hAnsi="Arial" w:cs="Arial"/>
          <w:sz w:val="22"/>
          <w:szCs w:val="22"/>
          <w:lang w:val="es-ES_tradnl"/>
        </w:rPr>
        <w:t>n</w:t>
      </w:r>
      <w:r w:rsidRPr="00D43CE8">
        <w:rPr>
          <w:rFonts w:ascii="Arial" w:eastAsia="Calibri" w:hAnsi="Arial" w:cs="Arial"/>
          <w:sz w:val="22"/>
          <w:szCs w:val="22"/>
          <w:lang w:val="es-ES_tradnl"/>
        </w:rPr>
        <w:t xml:space="preserve"> est</w:t>
      </w:r>
      <w:r>
        <w:rPr>
          <w:rFonts w:ascii="Arial" w:eastAsia="Calibri" w:hAnsi="Arial" w:cs="Arial"/>
          <w:sz w:val="22"/>
          <w:szCs w:val="22"/>
          <w:lang w:val="es-ES_tradnl"/>
        </w:rPr>
        <w:t>os</w:t>
      </w:r>
      <w:r w:rsidRPr="00D43CE8">
        <w:rPr>
          <w:rFonts w:ascii="Arial" w:eastAsia="Calibri" w:hAnsi="Arial" w:cs="Arial"/>
          <w:sz w:val="22"/>
          <w:szCs w:val="22"/>
          <w:lang w:val="es-ES_tradnl"/>
        </w:rPr>
        <w:t xml:space="preserve"> numeral</w:t>
      </w:r>
      <w:r>
        <w:rPr>
          <w:rFonts w:ascii="Arial" w:eastAsia="Calibri" w:hAnsi="Arial" w:cs="Arial"/>
          <w:sz w:val="22"/>
          <w:szCs w:val="22"/>
          <w:lang w:val="es-ES_tradnl"/>
        </w:rPr>
        <w:t>es</w:t>
      </w:r>
      <w:r w:rsidRPr="00D43CE8">
        <w:rPr>
          <w:rFonts w:ascii="Arial" w:eastAsia="Calibri" w:hAnsi="Arial" w:cs="Arial"/>
          <w:sz w:val="22"/>
          <w:szCs w:val="22"/>
          <w:lang w:val="es-ES_tradnl"/>
        </w:rPr>
        <w:t xml:space="preserve">. Por lo tanto, en principio, </w:t>
      </w:r>
      <w:r>
        <w:rPr>
          <w:rFonts w:ascii="Arial" w:eastAsia="Calibri" w:hAnsi="Arial" w:cs="Arial"/>
          <w:sz w:val="22"/>
          <w:szCs w:val="22"/>
          <w:lang w:val="es-ES_tradnl"/>
        </w:rPr>
        <w:t xml:space="preserve">previo a la reglamentación del Decreto 1860 de 2021, </w:t>
      </w:r>
      <w:r w:rsidRPr="00D43CE8">
        <w:rPr>
          <w:rFonts w:ascii="Arial" w:eastAsia="Calibri" w:hAnsi="Arial" w:cs="Arial"/>
          <w:sz w:val="22"/>
          <w:szCs w:val="22"/>
          <w:lang w:val="es-ES_tradnl"/>
        </w:rPr>
        <w:t>correspond</w:t>
      </w:r>
      <w:r>
        <w:rPr>
          <w:rFonts w:ascii="Arial" w:eastAsia="Calibri" w:hAnsi="Arial" w:cs="Arial"/>
          <w:sz w:val="22"/>
          <w:szCs w:val="22"/>
          <w:lang w:val="es-ES_tradnl"/>
        </w:rPr>
        <w:t>ía</w:t>
      </w:r>
      <w:r w:rsidRPr="00D43CE8">
        <w:rPr>
          <w:rFonts w:ascii="Arial" w:eastAsia="Calibri" w:hAnsi="Arial" w:cs="Arial"/>
          <w:sz w:val="22"/>
          <w:szCs w:val="22"/>
          <w:lang w:val="es-ES_tradnl"/>
        </w:rPr>
        <w:t xml:space="preserve"> a la entidad contratante analizar si el ordenamiento jurídico, en otras disposiciones legales o reglamentarias, exig</w:t>
      </w:r>
      <w:r>
        <w:rPr>
          <w:rFonts w:ascii="Arial" w:eastAsia="Calibri" w:hAnsi="Arial" w:cs="Arial"/>
          <w:sz w:val="22"/>
          <w:szCs w:val="22"/>
          <w:lang w:val="es-ES_tradnl"/>
        </w:rPr>
        <w:t>ía</w:t>
      </w:r>
      <w:r w:rsidRPr="00D43CE8">
        <w:rPr>
          <w:rFonts w:ascii="Arial" w:eastAsia="Calibri" w:hAnsi="Arial" w:cs="Arial"/>
          <w:sz w:val="22"/>
          <w:szCs w:val="22"/>
          <w:lang w:val="es-ES_tradnl"/>
        </w:rPr>
        <w:t xml:space="preserve"> un documento especial o si, por el contrario, exist</w:t>
      </w:r>
      <w:r>
        <w:rPr>
          <w:rFonts w:ascii="Arial" w:eastAsia="Calibri" w:hAnsi="Arial" w:cs="Arial"/>
          <w:sz w:val="22"/>
          <w:szCs w:val="22"/>
          <w:lang w:val="es-ES_tradnl"/>
        </w:rPr>
        <w:t>ía</w:t>
      </w:r>
      <w:r w:rsidRPr="00D43CE8">
        <w:rPr>
          <w:rFonts w:ascii="Arial" w:eastAsia="Calibri" w:hAnsi="Arial" w:cs="Arial"/>
          <w:sz w:val="22"/>
          <w:szCs w:val="22"/>
          <w:lang w:val="es-ES_tradnl"/>
        </w:rPr>
        <w:t xml:space="preserve"> libertad probatoria. Al respecto, esta Agencia </w:t>
      </w:r>
      <w:r>
        <w:rPr>
          <w:rFonts w:ascii="Arial" w:eastAsia="Calibri" w:hAnsi="Arial" w:cs="Arial"/>
          <w:sz w:val="22"/>
          <w:szCs w:val="22"/>
          <w:lang w:val="es-ES_tradnl"/>
        </w:rPr>
        <w:t>sostuvo</w:t>
      </w:r>
      <w:r w:rsidRPr="00D43CE8">
        <w:rPr>
          <w:rFonts w:ascii="Arial" w:eastAsia="Calibri" w:hAnsi="Arial" w:cs="Arial"/>
          <w:sz w:val="22"/>
          <w:szCs w:val="22"/>
          <w:lang w:val="es-ES_tradnl"/>
        </w:rPr>
        <w:t xml:space="preserve"> que, dicho análisis deb</w:t>
      </w:r>
      <w:r>
        <w:rPr>
          <w:rFonts w:ascii="Arial" w:eastAsia="Calibri" w:hAnsi="Arial" w:cs="Arial"/>
          <w:sz w:val="22"/>
          <w:szCs w:val="22"/>
          <w:lang w:val="es-ES_tradnl"/>
        </w:rPr>
        <w:t>ía</w:t>
      </w:r>
      <w:r w:rsidRPr="00D43CE8">
        <w:rPr>
          <w:rFonts w:ascii="Arial" w:eastAsia="Calibri" w:hAnsi="Arial" w:cs="Arial"/>
          <w:sz w:val="22"/>
          <w:szCs w:val="22"/>
          <w:lang w:val="es-ES_tradnl"/>
        </w:rPr>
        <w:t xml:space="preserve"> realizarse de manera independiente frente a cada numeral</w:t>
      </w:r>
      <w:r>
        <w:rPr>
          <w:rFonts w:ascii="Arial" w:eastAsia="Calibri" w:hAnsi="Arial" w:cs="Arial"/>
          <w:sz w:val="22"/>
          <w:szCs w:val="22"/>
          <w:lang w:val="es-ES_tradnl"/>
        </w:rPr>
        <w:t xml:space="preserve"> y, e</w:t>
      </w:r>
      <w:r w:rsidRPr="00D43CE8">
        <w:rPr>
          <w:rFonts w:ascii="Arial" w:eastAsia="Calibri" w:hAnsi="Arial" w:cs="Arial"/>
          <w:sz w:val="22"/>
          <w:szCs w:val="22"/>
          <w:lang w:val="es-ES_tradnl"/>
        </w:rPr>
        <w:t>n caso de que no exist</w:t>
      </w:r>
      <w:r>
        <w:rPr>
          <w:rFonts w:ascii="Arial" w:eastAsia="Calibri" w:hAnsi="Arial" w:cs="Arial"/>
          <w:sz w:val="22"/>
          <w:szCs w:val="22"/>
          <w:lang w:val="es-ES_tradnl"/>
        </w:rPr>
        <w:t>iere</w:t>
      </w:r>
      <w:r w:rsidRPr="00D43CE8">
        <w:rPr>
          <w:rFonts w:ascii="Arial" w:eastAsia="Calibri" w:hAnsi="Arial" w:cs="Arial"/>
          <w:sz w:val="22"/>
          <w:szCs w:val="22"/>
          <w:lang w:val="es-ES_tradnl"/>
        </w:rPr>
        <w:t xml:space="preserve"> «tarifa legal», es decir, en el evento en que la ley o el reglamento no defin</w:t>
      </w:r>
      <w:r>
        <w:rPr>
          <w:rFonts w:ascii="Arial" w:eastAsia="Calibri" w:hAnsi="Arial" w:cs="Arial"/>
          <w:sz w:val="22"/>
          <w:szCs w:val="22"/>
          <w:lang w:val="es-ES_tradnl"/>
        </w:rPr>
        <w:t>ieran</w:t>
      </w:r>
      <w:r w:rsidRPr="00D43CE8">
        <w:rPr>
          <w:rFonts w:ascii="Arial" w:eastAsia="Calibri" w:hAnsi="Arial" w:cs="Arial"/>
          <w:sz w:val="22"/>
          <w:szCs w:val="22"/>
          <w:lang w:val="es-ES_tradnl"/>
        </w:rPr>
        <w:t xml:space="preserve"> un medio probatorio para acreditar la circunstancia correspondiente, la entidad estatal contratante </w:t>
      </w:r>
      <w:r>
        <w:rPr>
          <w:rFonts w:ascii="Arial" w:eastAsia="Calibri" w:hAnsi="Arial" w:cs="Arial"/>
          <w:sz w:val="22"/>
          <w:szCs w:val="22"/>
          <w:lang w:val="es-ES_tradnl"/>
        </w:rPr>
        <w:lastRenderedPageBreak/>
        <w:t>contaba con</w:t>
      </w:r>
      <w:r w:rsidRPr="00D43CE8">
        <w:rPr>
          <w:rFonts w:ascii="Arial" w:eastAsia="Calibri" w:hAnsi="Arial" w:cs="Arial"/>
          <w:sz w:val="22"/>
          <w:szCs w:val="22"/>
          <w:lang w:val="es-ES_tradnl"/>
        </w:rPr>
        <w:t xml:space="preserve"> discrecionalidad para establecer en el pliego de condiciones o en el documento equivalente de qué manera el proponente </w:t>
      </w:r>
      <w:r>
        <w:rPr>
          <w:rFonts w:ascii="Arial" w:eastAsia="Calibri" w:hAnsi="Arial" w:cs="Arial"/>
          <w:sz w:val="22"/>
          <w:szCs w:val="22"/>
          <w:lang w:val="es-ES_tradnl"/>
        </w:rPr>
        <w:t>debía</w:t>
      </w:r>
      <w:r w:rsidRPr="00D43CE8">
        <w:rPr>
          <w:rFonts w:ascii="Arial" w:eastAsia="Calibri" w:hAnsi="Arial" w:cs="Arial"/>
          <w:sz w:val="22"/>
          <w:szCs w:val="22"/>
          <w:lang w:val="es-ES_tradnl"/>
        </w:rPr>
        <w:t xml:space="preserve"> probar que se en</w:t>
      </w:r>
      <w:r w:rsidR="00473957">
        <w:rPr>
          <w:rFonts w:ascii="Arial" w:eastAsia="Calibri" w:hAnsi="Arial" w:cs="Arial"/>
          <w:sz w:val="22"/>
          <w:szCs w:val="22"/>
          <w:lang w:val="es-ES_tradnl"/>
        </w:rPr>
        <w:t>contraba</w:t>
      </w:r>
      <w:r w:rsidRPr="00D43CE8">
        <w:rPr>
          <w:rFonts w:ascii="Arial" w:eastAsia="Calibri" w:hAnsi="Arial" w:cs="Arial"/>
          <w:sz w:val="22"/>
          <w:szCs w:val="22"/>
          <w:lang w:val="es-ES_tradnl"/>
        </w:rPr>
        <w:t xml:space="preserve"> bajo la condición que permite aplicar la regla de desempate. </w:t>
      </w:r>
    </w:p>
    <w:p w14:paraId="4605481C" w14:textId="77777777" w:rsidR="0018100D" w:rsidRPr="00D43CE8" w:rsidRDefault="0018100D" w:rsidP="006C1195">
      <w:pPr>
        <w:jc w:val="both"/>
        <w:rPr>
          <w:rFonts w:ascii="Arial" w:eastAsia="Calibri" w:hAnsi="Arial" w:cs="Arial"/>
          <w:sz w:val="22"/>
          <w:szCs w:val="22"/>
          <w:lang w:val="es-ES_tradnl"/>
        </w:rPr>
      </w:pPr>
    </w:p>
    <w:p w14:paraId="19EC44AA" w14:textId="3318E793" w:rsidR="009201D7" w:rsidRPr="00C065EA" w:rsidRDefault="009201D7" w:rsidP="00E30269">
      <w:pPr>
        <w:spacing w:line="276" w:lineRule="auto"/>
        <w:jc w:val="both"/>
        <w:rPr>
          <w:rFonts w:ascii="Arial" w:eastAsia="Calibri" w:hAnsi="Arial" w:cs="Arial"/>
          <w:i/>
          <w:iCs/>
          <w:sz w:val="22"/>
          <w:szCs w:val="22"/>
          <w:lang w:val="es-ES_tradnl"/>
        </w:rPr>
      </w:pPr>
      <w:bookmarkStart w:id="13" w:name="_Hlk102639925"/>
      <w:r w:rsidRPr="00C065EA">
        <w:rPr>
          <w:rFonts w:ascii="Arial" w:eastAsia="Calibri" w:hAnsi="Arial" w:cs="Arial"/>
          <w:b/>
          <w:bCs/>
          <w:i/>
          <w:iCs/>
          <w:sz w:val="22"/>
          <w:szCs w:val="22"/>
          <w:lang w:val="es-ES_tradnl"/>
        </w:rPr>
        <w:t>2.3.1. La participación mayoritaria de las mujeres cabeza de familia o mujeres víctimas de la violencia intrafamiliar como factor de desempate y su acreditación</w:t>
      </w:r>
    </w:p>
    <w:p w14:paraId="319E2E67" w14:textId="77777777" w:rsidR="007F344B" w:rsidRPr="00C065EA" w:rsidRDefault="007F344B" w:rsidP="00CC4EF4">
      <w:pPr>
        <w:spacing w:line="276" w:lineRule="auto"/>
        <w:ind w:firstLine="709"/>
        <w:jc w:val="both"/>
        <w:rPr>
          <w:rFonts w:ascii="Arial" w:eastAsia="Calibri" w:hAnsi="Arial" w:cs="Arial"/>
          <w:sz w:val="22"/>
          <w:szCs w:val="22"/>
          <w:lang w:val="es-ES_tradnl"/>
        </w:rPr>
      </w:pPr>
      <w:bookmarkStart w:id="14" w:name="_Hlk62459524"/>
      <w:bookmarkEnd w:id="13"/>
    </w:p>
    <w:p w14:paraId="234840B3" w14:textId="61D04B5F" w:rsidR="00F44914" w:rsidRPr="00C065EA" w:rsidRDefault="003D2893" w:rsidP="00795DC3">
      <w:pPr>
        <w:spacing w:line="276" w:lineRule="auto"/>
        <w:jc w:val="both"/>
        <w:rPr>
          <w:rFonts w:ascii="Arial" w:hAnsi="Arial" w:cs="Arial"/>
          <w:sz w:val="22"/>
          <w:szCs w:val="22"/>
          <w:lang w:eastAsia="es-CO"/>
        </w:rPr>
      </w:pPr>
      <w:r w:rsidRPr="00C065EA">
        <w:rPr>
          <w:rFonts w:ascii="Arial" w:eastAsia="Calibri" w:hAnsi="Arial" w:cs="Arial"/>
          <w:sz w:val="22"/>
          <w:szCs w:val="22"/>
          <w:lang w:val="es-ES_tradnl"/>
        </w:rPr>
        <w:t xml:space="preserve">No </w:t>
      </w:r>
      <w:proofErr w:type="gramStart"/>
      <w:r w:rsidRPr="00C065EA">
        <w:rPr>
          <w:rFonts w:ascii="Arial" w:eastAsia="Calibri" w:hAnsi="Arial" w:cs="Arial"/>
          <w:sz w:val="22"/>
          <w:szCs w:val="22"/>
          <w:lang w:val="es-ES_tradnl"/>
        </w:rPr>
        <w:t>obstante</w:t>
      </w:r>
      <w:proofErr w:type="gramEnd"/>
      <w:r w:rsidRPr="00C065EA">
        <w:rPr>
          <w:rFonts w:ascii="Arial" w:eastAsia="Calibri" w:hAnsi="Arial" w:cs="Arial"/>
          <w:sz w:val="22"/>
          <w:szCs w:val="22"/>
          <w:lang w:val="es-ES_tradnl"/>
        </w:rPr>
        <w:t xml:space="preserve"> la precisión anterior</w:t>
      </w:r>
      <w:r w:rsidR="00DF38D6" w:rsidRPr="00C065EA">
        <w:rPr>
          <w:rFonts w:ascii="Arial" w:eastAsia="Calibri" w:hAnsi="Arial" w:cs="Arial"/>
          <w:sz w:val="22"/>
          <w:szCs w:val="22"/>
          <w:lang w:val="es-ES_tradnl"/>
        </w:rPr>
        <w:t xml:space="preserve">, debe destacarse que </w:t>
      </w:r>
      <w:r w:rsidR="0068246F" w:rsidRPr="00C065EA">
        <w:rPr>
          <w:rFonts w:ascii="Arial" w:eastAsia="Calibri" w:hAnsi="Arial" w:cs="Arial"/>
          <w:sz w:val="22"/>
          <w:szCs w:val="22"/>
          <w:lang w:val="es-ES_tradnl"/>
        </w:rPr>
        <w:t>el Decreto 18</w:t>
      </w:r>
      <w:r w:rsidR="003850A8" w:rsidRPr="00C065EA">
        <w:rPr>
          <w:rFonts w:ascii="Arial" w:eastAsia="Calibri" w:hAnsi="Arial" w:cs="Arial"/>
          <w:sz w:val="22"/>
          <w:szCs w:val="22"/>
          <w:lang w:val="es-ES_tradnl"/>
        </w:rPr>
        <w:t xml:space="preserve">60 de 2021 adicionó el artículo </w:t>
      </w:r>
      <w:r w:rsidR="003850A8" w:rsidRPr="00C065EA">
        <w:rPr>
          <w:rFonts w:ascii="Arial" w:hAnsi="Arial" w:cs="Arial"/>
          <w:sz w:val="22"/>
          <w:szCs w:val="22"/>
          <w:lang w:eastAsia="es-CO"/>
        </w:rPr>
        <w:t>2.2.1.2.4.2.1</w:t>
      </w:r>
      <w:r w:rsidR="00792395" w:rsidRPr="00C065EA">
        <w:rPr>
          <w:rFonts w:ascii="Arial" w:hAnsi="Arial" w:cs="Arial"/>
          <w:sz w:val="22"/>
          <w:szCs w:val="22"/>
          <w:lang w:eastAsia="es-CO"/>
        </w:rPr>
        <w:t xml:space="preserve">7 al Decreto 1082 de 2015, precepto que reglamenta la aplicación </w:t>
      </w:r>
      <w:r w:rsidR="00476A68" w:rsidRPr="00C065EA">
        <w:rPr>
          <w:rFonts w:ascii="Arial" w:hAnsi="Arial" w:cs="Arial"/>
          <w:sz w:val="22"/>
          <w:szCs w:val="22"/>
          <w:lang w:eastAsia="es-CO"/>
        </w:rPr>
        <w:t xml:space="preserve">del artículo 35 de la Ley 2069 de 2020, estableciendo unos medios de acreditación específicos para cada una de las diferentes circunstancias a las que se refieren </w:t>
      </w:r>
      <w:r w:rsidR="00A44D07" w:rsidRPr="00C065EA">
        <w:rPr>
          <w:rFonts w:ascii="Arial" w:hAnsi="Arial" w:cs="Arial"/>
          <w:sz w:val="22"/>
          <w:szCs w:val="22"/>
          <w:lang w:eastAsia="es-CO"/>
        </w:rPr>
        <w:t>los factores de desempate</w:t>
      </w:r>
      <w:r w:rsidR="00DF38D6" w:rsidRPr="00C065EA">
        <w:rPr>
          <w:rFonts w:ascii="Arial" w:hAnsi="Arial" w:cs="Arial"/>
          <w:sz w:val="22"/>
          <w:szCs w:val="22"/>
          <w:lang w:eastAsia="es-CO"/>
        </w:rPr>
        <w:t>, los cuales deberán aplica</w:t>
      </w:r>
      <w:r w:rsidR="001A6F20" w:rsidRPr="00C065EA">
        <w:rPr>
          <w:rFonts w:ascii="Arial" w:hAnsi="Arial" w:cs="Arial"/>
          <w:sz w:val="22"/>
          <w:szCs w:val="22"/>
          <w:lang w:eastAsia="es-CO"/>
        </w:rPr>
        <w:t>r</w:t>
      </w:r>
      <w:r w:rsidR="00DF38D6" w:rsidRPr="00C065EA">
        <w:rPr>
          <w:rFonts w:ascii="Arial" w:hAnsi="Arial" w:cs="Arial"/>
          <w:sz w:val="22"/>
          <w:szCs w:val="22"/>
          <w:lang w:eastAsia="es-CO"/>
        </w:rPr>
        <w:t>s</w:t>
      </w:r>
      <w:r w:rsidR="001A6F20" w:rsidRPr="00C065EA">
        <w:rPr>
          <w:rFonts w:ascii="Arial" w:hAnsi="Arial" w:cs="Arial"/>
          <w:sz w:val="22"/>
          <w:szCs w:val="22"/>
          <w:lang w:eastAsia="es-CO"/>
        </w:rPr>
        <w:t>e</w:t>
      </w:r>
      <w:r w:rsidR="00DF38D6" w:rsidRPr="00C065EA">
        <w:rPr>
          <w:rFonts w:ascii="Arial" w:hAnsi="Arial" w:cs="Arial"/>
          <w:sz w:val="22"/>
          <w:szCs w:val="22"/>
          <w:lang w:eastAsia="es-CO"/>
        </w:rPr>
        <w:t xml:space="preserve"> </w:t>
      </w:r>
      <w:r w:rsidR="00185167" w:rsidRPr="00C065EA">
        <w:rPr>
          <w:rFonts w:ascii="Arial" w:hAnsi="Arial" w:cs="Arial"/>
          <w:sz w:val="22"/>
          <w:szCs w:val="22"/>
          <w:lang w:eastAsia="es-CO"/>
        </w:rPr>
        <w:t>en los procesos de selección en los que rija el artículo 35 de la Ley de Emprendimiento</w:t>
      </w:r>
      <w:r w:rsidR="00A44D07" w:rsidRPr="00C065EA">
        <w:rPr>
          <w:rFonts w:ascii="Arial" w:hAnsi="Arial" w:cs="Arial"/>
          <w:sz w:val="22"/>
          <w:szCs w:val="22"/>
          <w:lang w:eastAsia="es-CO"/>
        </w:rPr>
        <w:t xml:space="preserve">. </w:t>
      </w:r>
      <w:r w:rsidR="00824148" w:rsidRPr="00C065EA">
        <w:rPr>
          <w:rFonts w:ascii="Arial" w:hAnsi="Arial" w:cs="Arial"/>
          <w:sz w:val="22"/>
          <w:szCs w:val="22"/>
          <w:lang w:eastAsia="es-CO"/>
        </w:rPr>
        <w:t xml:space="preserve">En lo referente al criterio de desempate del numeral 2 del artículo 35 </w:t>
      </w:r>
      <w:proofErr w:type="spellStart"/>
      <w:r w:rsidR="00824148" w:rsidRPr="00C065EA">
        <w:rPr>
          <w:rFonts w:ascii="Arial" w:hAnsi="Arial" w:cs="Arial"/>
          <w:i/>
          <w:iCs/>
          <w:sz w:val="22"/>
          <w:szCs w:val="22"/>
          <w:lang w:eastAsia="es-CO"/>
        </w:rPr>
        <w:t>ibídem</w:t>
      </w:r>
      <w:proofErr w:type="spellEnd"/>
      <w:r w:rsidR="00F44914" w:rsidRPr="00C065EA">
        <w:rPr>
          <w:rFonts w:ascii="Arial" w:hAnsi="Arial" w:cs="Arial"/>
          <w:i/>
          <w:iCs/>
          <w:sz w:val="22"/>
          <w:szCs w:val="22"/>
          <w:lang w:eastAsia="es-CO"/>
        </w:rPr>
        <w:t xml:space="preserve">, </w:t>
      </w:r>
      <w:r w:rsidR="00F44914" w:rsidRPr="00C065EA">
        <w:rPr>
          <w:rFonts w:ascii="Arial" w:hAnsi="Arial" w:cs="Arial"/>
          <w:sz w:val="22"/>
          <w:szCs w:val="22"/>
          <w:lang w:eastAsia="es-CO"/>
        </w:rPr>
        <w:t>el artículo 2.2.1.2.4.2.17 establece:</w:t>
      </w:r>
    </w:p>
    <w:p w14:paraId="24C9ACF7" w14:textId="77777777" w:rsidR="00F44914" w:rsidRPr="00C065EA" w:rsidRDefault="00F44914" w:rsidP="000B6549">
      <w:pPr>
        <w:ind w:firstLine="709"/>
        <w:jc w:val="both"/>
        <w:rPr>
          <w:rFonts w:ascii="Arial" w:hAnsi="Arial" w:cs="Arial"/>
          <w:sz w:val="22"/>
          <w:szCs w:val="22"/>
          <w:lang w:eastAsia="es-CO"/>
        </w:rPr>
      </w:pPr>
    </w:p>
    <w:p w14:paraId="49E72831" w14:textId="34A896A0" w:rsidR="00027EC0" w:rsidRPr="00C065EA" w:rsidRDefault="00027EC0" w:rsidP="00D43CE8">
      <w:pPr>
        <w:shd w:val="clear" w:color="auto" w:fill="FFFFFF"/>
        <w:spacing w:after="120"/>
        <w:ind w:left="709" w:right="709"/>
        <w:jc w:val="both"/>
        <w:rPr>
          <w:rFonts w:ascii="Arial" w:hAnsi="Arial" w:cs="Arial"/>
          <w:sz w:val="21"/>
          <w:szCs w:val="21"/>
          <w:lang w:eastAsia="es-CO"/>
        </w:rPr>
      </w:pPr>
      <w:r w:rsidRPr="00C065EA">
        <w:rPr>
          <w:rFonts w:ascii="Arial" w:hAnsi="Arial" w:cs="Arial"/>
          <w:sz w:val="21"/>
          <w:szCs w:val="21"/>
          <w:lang w:eastAsia="es-CO"/>
        </w:rPr>
        <w:t>[…] 2. Preferir la propuesta de la mujer cabeza de familia. Su acreditación se realizará en los términos del parágrafo del artículo </w:t>
      </w:r>
      <w:hyperlink r:id="rId12" w:anchor="2" w:history="1">
        <w:r w:rsidRPr="00C065EA">
          <w:rPr>
            <w:rFonts w:ascii="Arial" w:hAnsi="Arial" w:cs="Arial"/>
            <w:sz w:val="21"/>
            <w:szCs w:val="21"/>
            <w:lang w:eastAsia="es-CO"/>
          </w:rPr>
          <w:t>2 </w:t>
        </w:r>
      </w:hyperlink>
      <w:r w:rsidRPr="00C065EA">
        <w:rPr>
          <w:rFonts w:ascii="Arial" w:hAnsi="Arial" w:cs="Arial"/>
          <w:sz w:val="21"/>
          <w:szCs w:val="21"/>
          <w:lang w:eastAsia="es-CO"/>
        </w:rPr>
        <w:t>de la Ley 82 de 1993, modificado por el artículo </w:t>
      </w:r>
      <w:hyperlink r:id="rId13" w:anchor="1" w:history="1">
        <w:r w:rsidRPr="00C065EA">
          <w:rPr>
            <w:rFonts w:ascii="Arial" w:hAnsi="Arial" w:cs="Arial"/>
            <w:sz w:val="21"/>
            <w:szCs w:val="21"/>
            <w:lang w:eastAsia="es-CO"/>
          </w:rPr>
          <w:t>1 </w:t>
        </w:r>
      </w:hyperlink>
      <w:r w:rsidRPr="00C065EA">
        <w:rPr>
          <w:rFonts w:ascii="Arial" w:hAnsi="Arial" w:cs="Arial"/>
          <w:sz w:val="21"/>
          <w:szCs w:val="21"/>
          <w:lang w:eastAsia="es-CO"/>
        </w:rPr>
        <w:t>de la Ley 1232 de 2008, o la norma que lo modifique, aclare, adicione o sustituya. Es decir, la condición de mujer cabeza de familia y la cesación de esta se otorgará desde el momento en que ocurra el respectivo evento y se declare ante un notario. En la declaración que se presente para acreditar la calidad de mujer cabeza de familia deberá verificarse que la misma dé cuenta del cumplimiento de los requisitos establecidos en el artículo </w:t>
      </w:r>
      <w:hyperlink r:id="rId14" w:anchor="2" w:history="1">
        <w:r w:rsidRPr="00C065EA">
          <w:rPr>
            <w:rFonts w:ascii="Arial" w:hAnsi="Arial" w:cs="Arial"/>
            <w:sz w:val="21"/>
            <w:szCs w:val="21"/>
            <w:lang w:eastAsia="es-CO"/>
          </w:rPr>
          <w:t>2 </w:t>
        </w:r>
      </w:hyperlink>
      <w:r w:rsidRPr="00C065EA">
        <w:rPr>
          <w:rFonts w:ascii="Arial" w:hAnsi="Arial" w:cs="Arial"/>
          <w:sz w:val="21"/>
          <w:szCs w:val="21"/>
          <w:lang w:eastAsia="es-CO"/>
        </w:rPr>
        <w:t>de la Ley 82 de 1993, modificado por el artículo </w:t>
      </w:r>
      <w:hyperlink r:id="rId15" w:anchor="1" w:history="1">
        <w:r w:rsidRPr="00C065EA">
          <w:rPr>
            <w:rFonts w:ascii="Arial" w:hAnsi="Arial" w:cs="Arial"/>
            <w:sz w:val="21"/>
            <w:szCs w:val="21"/>
            <w:lang w:eastAsia="es-CO"/>
          </w:rPr>
          <w:t>1 </w:t>
        </w:r>
      </w:hyperlink>
      <w:r w:rsidRPr="00C065EA">
        <w:rPr>
          <w:rFonts w:ascii="Arial" w:hAnsi="Arial" w:cs="Arial"/>
          <w:sz w:val="21"/>
          <w:szCs w:val="21"/>
          <w:lang w:eastAsia="es-CO"/>
        </w:rPr>
        <w:t>de la Ley 1232 de 2008.</w:t>
      </w:r>
    </w:p>
    <w:p w14:paraId="79544866" w14:textId="2534829B" w:rsidR="00027EC0" w:rsidRPr="00C065EA" w:rsidRDefault="00027EC0" w:rsidP="00D43CE8">
      <w:pPr>
        <w:shd w:val="clear" w:color="auto" w:fill="FFFFFF"/>
        <w:spacing w:after="120"/>
        <w:ind w:left="709" w:right="709"/>
        <w:jc w:val="both"/>
        <w:rPr>
          <w:rFonts w:ascii="Arial" w:hAnsi="Arial" w:cs="Arial"/>
          <w:sz w:val="21"/>
          <w:szCs w:val="21"/>
          <w:lang w:eastAsia="es-CO"/>
        </w:rPr>
      </w:pPr>
      <w:r w:rsidRPr="00C065EA">
        <w:rPr>
          <w:rFonts w:ascii="Arial" w:hAnsi="Arial" w:cs="Arial"/>
          <w:sz w:val="21"/>
          <w:szCs w:val="21"/>
          <w:lang w:eastAsia="es-CO"/>
        </w:rPr>
        <w:t>Igualmente, se preferirá la propuesta de la mujer víctima de violencia intrafamiliar, la cual acreditará dicha condición de conformidad con el artículo </w:t>
      </w:r>
      <w:hyperlink r:id="rId16" w:anchor="21" w:history="1">
        <w:r w:rsidRPr="00C065EA">
          <w:rPr>
            <w:rFonts w:ascii="Arial" w:hAnsi="Arial" w:cs="Arial"/>
            <w:sz w:val="21"/>
            <w:szCs w:val="21"/>
            <w:lang w:eastAsia="es-CO"/>
          </w:rPr>
          <w:t>21 </w:t>
        </w:r>
      </w:hyperlink>
      <w:r w:rsidRPr="00C065EA">
        <w:rPr>
          <w:rFonts w:ascii="Arial" w:hAnsi="Arial" w:cs="Arial"/>
          <w:sz w:val="21"/>
          <w:szCs w:val="21"/>
          <w:lang w:eastAsia="es-CO"/>
        </w:rPr>
        <w:t>de la Ley 1257 de 2008, esto es, cuando se profiera una medida de protección expedida por la autoridad competente. En virtud del artículo </w:t>
      </w:r>
      <w:hyperlink r:id="rId17" w:anchor="16" w:history="1">
        <w:r w:rsidRPr="00C065EA">
          <w:rPr>
            <w:rFonts w:ascii="Arial" w:hAnsi="Arial" w:cs="Arial"/>
            <w:sz w:val="21"/>
            <w:szCs w:val="21"/>
            <w:lang w:eastAsia="es-CO"/>
          </w:rPr>
          <w:t>16 </w:t>
        </w:r>
      </w:hyperlink>
      <w:r w:rsidRPr="00C065EA">
        <w:rPr>
          <w:rFonts w:ascii="Arial" w:hAnsi="Arial" w:cs="Arial"/>
          <w:sz w:val="21"/>
          <w:szCs w:val="21"/>
          <w:lang w:eastAsia="es-CO"/>
        </w:rPr>
        <w:t>de 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w:t>
      </w:r>
    </w:p>
    <w:p w14:paraId="5C7937DC" w14:textId="48D5CAEF" w:rsidR="00027EC0" w:rsidRPr="00C065EA" w:rsidRDefault="00027EC0" w:rsidP="00D43CE8">
      <w:pPr>
        <w:shd w:val="clear" w:color="auto" w:fill="FFFFFF"/>
        <w:spacing w:after="120"/>
        <w:ind w:left="709" w:right="709"/>
        <w:jc w:val="both"/>
        <w:rPr>
          <w:rFonts w:ascii="Arial" w:hAnsi="Arial" w:cs="Arial"/>
          <w:sz w:val="21"/>
          <w:szCs w:val="21"/>
          <w:lang w:eastAsia="es-CO"/>
        </w:rPr>
      </w:pPr>
      <w:r w:rsidRPr="00C065EA">
        <w:rPr>
          <w:rFonts w:ascii="Arial" w:hAnsi="Arial" w:cs="Arial"/>
          <w:sz w:val="21"/>
          <w:szCs w:val="21"/>
          <w:lang w:eastAsia="es-CO"/>
        </w:rPr>
        <w:t xml:space="preserve">En el caso de las personas jurídicas se preferirá a aquellas en las que participen mayoritariamente mujeres cabeza de familia y/o mujeres víctimas de violencia intrafamiliar, para lo cual </w:t>
      </w:r>
      <w:bookmarkStart w:id="15" w:name="_Hlk93047620"/>
      <w:r w:rsidRPr="00C065EA">
        <w:rPr>
          <w:rFonts w:ascii="Arial" w:hAnsi="Arial" w:cs="Arial"/>
          <w:sz w:val="21"/>
          <w:szCs w:val="21"/>
          <w:lang w:eastAsia="es-CO"/>
        </w:rPr>
        <w:t xml:space="preserve">el representante legal o el revisor fiscal, según corresponda, presentará un </w:t>
      </w:r>
      <w:r w:rsidRPr="00C065EA">
        <w:rPr>
          <w:rFonts w:ascii="Arial" w:hAnsi="Arial" w:cs="Arial"/>
          <w:i/>
          <w:iCs/>
          <w:sz w:val="21"/>
          <w:szCs w:val="21"/>
          <w:lang w:eastAsia="es-CO"/>
        </w:rPr>
        <w:t xml:space="preserve">certificado, mediante el cual acredita, bajo la gravedad de juramento, que más del cincuenta por ciento (50 %) de la composición accionaria o cuota parte de la persona jurídica está constituida por mujeres cabeza de familia y/o mujeres víctimas de violencia intrafamiliar. </w:t>
      </w:r>
      <w:bookmarkEnd w:id="15"/>
      <w:r w:rsidRPr="00C065EA">
        <w:rPr>
          <w:rFonts w:ascii="Arial" w:hAnsi="Arial" w:cs="Arial"/>
          <w:i/>
          <w:iCs/>
          <w:sz w:val="21"/>
          <w:szCs w:val="21"/>
          <w:lang w:eastAsia="es-CO"/>
        </w:rPr>
        <w:t>Además, deberá acreditar la condición indicada de cada una de las mujeres que participen en la sociedad</w:t>
      </w:r>
      <w:r w:rsidRPr="00C065EA">
        <w:rPr>
          <w:rFonts w:ascii="Arial" w:hAnsi="Arial" w:cs="Arial"/>
          <w:b/>
          <w:bCs/>
          <w:i/>
          <w:iCs/>
          <w:sz w:val="21"/>
          <w:szCs w:val="21"/>
          <w:u w:val="single"/>
          <w:lang w:eastAsia="es-CO"/>
        </w:rPr>
        <w:t>,</w:t>
      </w:r>
      <w:r w:rsidRPr="00C065EA">
        <w:rPr>
          <w:rFonts w:ascii="Arial" w:hAnsi="Arial" w:cs="Arial"/>
          <w:sz w:val="21"/>
          <w:szCs w:val="21"/>
          <w:lang w:eastAsia="es-CO"/>
        </w:rPr>
        <w:t xml:space="preserve"> aportando los documentos de cada una de ellas, de acuerdo con los dos incisos anteriores.</w:t>
      </w:r>
    </w:p>
    <w:p w14:paraId="3160D262" w14:textId="52E6D2E8" w:rsidR="00027EC0" w:rsidRPr="00C065EA" w:rsidRDefault="00027EC0" w:rsidP="005E022D">
      <w:pPr>
        <w:shd w:val="clear" w:color="auto" w:fill="FFFFFF"/>
        <w:ind w:left="709" w:right="709"/>
        <w:jc w:val="both"/>
        <w:rPr>
          <w:rFonts w:ascii="Arial" w:hAnsi="Arial" w:cs="Arial"/>
          <w:sz w:val="25"/>
          <w:szCs w:val="25"/>
          <w:lang w:eastAsia="es-CO"/>
        </w:rPr>
      </w:pPr>
      <w:r w:rsidRPr="00C065EA">
        <w:rPr>
          <w:rFonts w:ascii="Arial" w:hAnsi="Arial" w:cs="Arial"/>
          <w:sz w:val="21"/>
          <w:szCs w:val="21"/>
          <w:lang w:eastAsia="es-CO"/>
        </w:rPr>
        <w:lastRenderedPageBreak/>
        <w:t>Finalmente, en el caso de los proponentes plurales, se preferirá la oferta cuando cada uno de los integrantes acredite alguna de las condiciones señaladas en los incisos anteriores de este numeral</w:t>
      </w:r>
      <w:r w:rsidR="001A6F20" w:rsidRPr="00C065EA">
        <w:rPr>
          <w:rFonts w:ascii="Arial" w:hAnsi="Arial" w:cs="Arial"/>
          <w:sz w:val="21"/>
          <w:szCs w:val="21"/>
          <w:lang w:eastAsia="es-CO"/>
        </w:rPr>
        <w:t>.</w:t>
      </w:r>
      <w:r w:rsidR="006C1195" w:rsidRPr="00C065EA">
        <w:rPr>
          <w:rFonts w:ascii="Arial" w:hAnsi="Arial" w:cs="Arial"/>
          <w:sz w:val="21"/>
          <w:szCs w:val="21"/>
          <w:lang w:eastAsia="es-CO"/>
        </w:rPr>
        <w:t xml:space="preserve"> </w:t>
      </w:r>
      <w:r w:rsidR="001A6F20" w:rsidRPr="00C065EA">
        <w:rPr>
          <w:rFonts w:ascii="Arial" w:eastAsia="Calibri" w:hAnsi="Arial" w:cs="Arial"/>
          <w:sz w:val="22"/>
          <w:szCs w:val="22"/>
          <w:lang w:val="es-ES_tradnl"/>
        </w:rPr>
        <w:t>(</w:t>
      </w:r>
      <w:r w:rsidR="006C1195" w:rsidRPr="00C065EA">
        <w:rPr>
          <w:rFonts w:ascii="Arial" w:eastAsia="Calibri" w:hAnsi="Arial" w:cs="Arial"/>
          <w:sz w:val="22"/>
          <w:szCs w:val="22"/>
          <w:lang w:val="es-ES_tradnl"/>
        </w:rPr>
        <w:t>Énfasis fuera de texto</w:t>
      </w:r>
      <w:r w:rsidR="001A6F20" w:rsidRPr="00C065EA">
        <w:rPr>
          <w:rFonts w:ascii="Arial" w:eastAsia="Calibri" w:hAnsi="Arial" w:cs="Arial"/>
          <w:sz w:val="22"/>
          <w:szCs w:val="22"/>
          <w:lang w:val="es-ES_tradnl"/>
        </w:rPr>
        <w:t>)</w:t>
      </w:r>
    </w:p>
    <w:p w14:paraId="316557E0" w14:textId="77777777" w:rsidR="009B76F4" w:rsidRPr="00C065EA" w:rsidRDefault="009B76F4" w:rsidP="00CC5CD2">
      <w:pPr>
        <w:shd w:val="clear" w:color="auto" w:fill="FFFFFF"/>
        <w:ind w:right="709"/>
        <w:jc w:val="both"/>
        <w:rPr>
          <w:rFonts w:ascii="Arial" w:hAnsi="Arial" w:cs="Arial"/>
          <w:sz w:val="25"/>
          <w:szCs w:val="25"/>
          <w:lang w:eastAsia="es-CO"/>
        </w:rPr>
      </w:pPr>
    </w:p>
    <w:p w14:paraId="3D1ACAA9" w14:textId="7AAD630B" w:rsidR="00D77000" w:rsidRPr="00C065EA" w:rsidRDefault="00CC5CD2" w:rsidP="00D77000">
      <w:pPr>
        <w:spacing w:after="120" w:line="276" w:lineRule="auto"/>
        <w:ind w:firstLine="709"/>
        <w:jc w:val="both"/>
        <w:rPr>
          <w:rFonts w:ascii="Arial" w:hAnsi="Arial" w:cs="Arial"/>
          <w:sz w:val="22"/>
          <w:szCs w:val="22"/>
          <w:lang w:val="es-ES_tradnl"/>
        </w:rPr>
      </w:pPr>
      <w:r w:rsidRPr="00C065EA">
        <w:rPr>
          <w:rFonts w:ascii="Arial" w:eastAsia="Calibri" w:hAnsi="Arial" w:cs="Arial"/>
          <w:sz w:val="22"/>
          <w:szCs w:val="22"/>
          <w:lang w:val="es-ES_tradnl"/>
        </w:rPr>
        <w:t>C</w:t>
      </w:r>
      <w:r w:rsidR="006D1CBF" w:rsidRPr="00C065EA">
        <w:rPr>
          <w:rFonts w:ascii="Arial" w:eastAsia="Calibri" w:hAnsi="Arial" w:cs="Arial"/>
          <w:sz w:val="22"/>
          <w:szCs w:val="22"/>
          <w:lang w:val="es-ES_tradnl"/>
        </w:rPr>
        <w:t>omo se aprecia</w:t>
      </w:r>
      <w:r w:rsidR="00C8035D" w:rsidRPr="00C065EA">
        <w:rPr>
          <w:rFonts w:ascii="Arial" w:eastAsia="Calibri" w:hAnsi="Arial" w:cs="Arial"/>
          <w:sz w:val="22"/>
          <w:szCs w:val="22"/>
          <w:lang w:val="es-ES_tradnl"/>
        </w:rPr>
        <w:t>,</w:t>
      </w:r>
      <w:r w:rsidR="00935672" w:rsidRPr="00C065EA">
        <w:rPr>
          <w:rFonts w:ascii="Arial" w:eastAsia="Calibri" w:hAnsi="Arial" w:cs="Arial"/>
          <w:sz w:val="22"/>
          <w:szCs w:val="22"/>
          <w:lang w:val="es-ES_tradnl"/>
        </w:rPr>
        <w:t xml:space="preserve"> en cuanto a la acreditación de la condición de </w:t>
      </w:r>
      <w:r w:rsidR="00935672" w:rsidRPr="00C065EA">
        <w:rPr>
          <w:rFonts w:ascii="Arial" w:hAnsi="Arial" w:cs="Arial"/>
          <w:sz w:val="22"/>
          <w:szCs w:val="22"/>
          <w:lang w:eastAsia="es-CO"/>
        </w:rPr>
        <w:t>mujer cabeza de familia, el primer inciso del numeral 2</w:t>
      </w:r>
      <w:r w:rsidR="005D697C" w:rsidRPr="00C065EA">
        <w:rPr>
          <w:rFonts w:ascii="Arial" w:hAnsi="Arial" w:cs="Arial"/>
          <w:sz w:val="22"/>
          <w:szCs w:val="22"/>
          <w:lang w:eastAsia="es-CO"/>
        </w:rPr>
        <w:t>, realiza una referencia al</w:t>
      </w:r>
      <w:r w:rsidR="00935672" w:rsidRPr="00C065EA">
        <w:rPr>
          <w:rFonts w:ascii="Arial" w:hAnsi="Arial" w:cs="Arial"/>
          <w:sz w:val="22"/>
          <w:szCs w:val="22"/>
          <w:lang w:eastAsia="es-CO"/>
        </w:rPr>
        <w:t xml:space="preserve"> artículo </w:t>
      </w:r>
      <w:hyperlink r:id="rId18" w:anchor="2" w:history="1">
        <w:r w:rsidR="00935672" w:rsidRPr="00C065EA">
          <w:rPr>
            <w:rFonts w:ascii="Arial" w:hAnsi="Arial" w:cs="Arial"/>
            <w:sz w:val="22"/>
            <w:szCs w:val="22"/>
            <w:lang w:eastAsia="es-CO"/>
          </w:rPr>
          <w:t>2 </w:t>
        </w:r>
      </w:hyperlink>
      <w:r w:rsidR="00935672" w:rsidRPr="00C065EA">
        <w:rPr>
          <w:rFonts w:ascii="Arial" w:hAnsi="Arial" w:cs="Arial"/>
          <w:sz w:val="22"/>
          <w:szCs w:val="22"/>
          <w:lang w:eastAsia="es-CO"/>
        </w:rPr>
        <w:t>de la Ley 82 de 1993</w:t>
      </w:r>
      <w:r w:rsidR="00D53066" w:rsidRPr="00C065EA">
        <w:rPr>
          <w:rFonts w:ascii="Arial" w:hAnsi="Arial" w:cs="Arial"/>
          <w:sz w:val="22"/>
          <w:szCs w:val="22"/>
          <w:lang w:eastAsia="es-CO"/>
        </w:rPr>
        <w:t>,</w:t>
      </w:r>
      <w:r w:rsidR="00117E00" w:rsidRPr="00C065EA">
        <w:rPr>
          <w:rFonts w:ascii="Arial" w:hAnsi="Arial" w:cs="Arial"/>
          <w:sz w:val="22"/>
          <w:szCs w:val="22"/>
          <w:lang w:eastAsia="es-CO"/>
        </w:rPr>
        <w:t xml:space="preserve"> </w:t>
      </w:r>
      <w:r w:rsidR="000B6549" w:rsidRPr="00C065EA">
        <w:rPr>
          <w:rFonts w:ascii="Arial" w:hAnsi="Arial" w:cs="Arial"/>
          <w:sz w:val="22"/>
          <w:szCs w:val="22"/>
          <w:lang w:eastAsia="es-CO"/>
        </w:rPr>
        <w:t>«</w:t>
      </w:r>
      <w:r w:rsidR="00E93609" w:rsidRPr="00C065EA">
        <w:rPr>
          <w:rFonts w:ascii="Arial" w:hAnsi="Arial" w:cs="Arial"/>
          <w:sz w:val="22"/>
          <w:szCs w:val="22"/>
        </w:rPr>
        <w:t>P</w:t>
      </w:r>
      <w:r w:rsidR="00117E00" w:rsidRPr="00C065EA">
        <w:rPr>
          <w:rFonts w:ascii="Arial" w:hAnsi="Arial" w:cs="Arial"/>
          <w:sz w:val="22"/>
          <w:szCs w:val="22"/>
        </w:rPr>
        <w:t>or la cual se expiden normas para apoyar de manera especial a la mujer cabeza de familia</w:t>
      </w:r>
      <w:r w:rsidR="000B6549" w:rsidRPr="00C065EA">
        <w:rPr>
          <w:rFonts w:ascii="Arial" w:hAnsi="Arial" w:cs="Arial"/>
          <w:sz w:val="22"/>
          <w:szCs w:val="22"/>
        </w:rPr>
        <w:t>»</w:t>
      </w:r>
      <w:r w:rsidR="00935672" w:rsidRPr="00C065EA">
        <w:rPr>
          <w:rFonts w:ascii="Arial" w:hAnsi="Arial" w:cs="Arial"/>
          <w:sz w:val="22"/>
          <w:szCs w:val="22"/>
          <w:lang w:eastAsia="es-CO"/>
        </w:rPr>
        <w:t>, modificado por el artículo </w:t>
      </w:r>
      <w:hyperlink r:id="rId19" w:anchor="1" w:history="1">
        <w:r w:rsidR="00935672" w:rsidRPr="00C065EA">
          <w:rPr>
            <w:rFonts w:ascii="Arial" w:hAnsi="Arial" w:cs="Arial"/>
            <w:sz w:val="22"/>
            <w:szCs w:val="22"/>
            <w:lang w:eastAsia="es-CO"/>
          </w:rPr>
          <w:t>1 </w:t>
        </w:r>
      </w:hyperlink>
      <w:r w:rsidR="00935672" w:rsidRPr="00C065EA">
        <w:rPr>
          <w:rFonts w:ascii="Arial" w:hAnsi="Arial" w:cs="Arial"/>
          <w:sz w:val="22"/>
          <w:szCs w:val="22"/>
          <w:lang w:eastAsia="es-CO"/>
        </w:rPr>
        <w:t>de la Ley 1232 de 2008</w:t>
      </w:r>
      <w:r w:rsidR="0006220A" w:rsidRPr="00C065EA">
        <w:rPr>
          <w:rStyle w:val="Refdenotaalpie"/>
          <w:rFonts w:ascii="Arial" w:hAnsi="Arial" w:cs="Arial"/>
          <w:sz w:val="22"/>
          <w:szCs w:val="22"/>
          <w:lang w:eastAsia="es-CO"/>
        </w:rPr>
        <w:footnoteReference w:id="12"/>
      </w:r>
      <w:r w:rsidR="00935672" w:rsidRPr="00C065EA">
        <w:rPr>
          <w:rFonts w:ascii="Arial" w:hAnsi="Arial" w:cs="Arial"/>
          <w:sz w:val="22"/>
          <w:szCs w:val="22"/>
          <w:lang w:eastAsia="es-CO"/>
        </w:rPr>
        <w:t xml:space="preserve">, </w:t>
      </w:r>
      <w:r w:rsidR="00F2654F" w:rsidRPr="00C065EA">
        <w:rPr>
          <w:rFonts w:ascii="Arial" w:hAnsi="Arial" w:cs="Arial"/>
          <w:sz w:val="22"/>
          <w:szCs w:val="22"/>
          <w:lang w:eastAsia="es-CO"/>
        </w:rPr>
        <w:t xml:space="preserve">disposición que establece la declaración ante notario como mecanismo para demostrar </w:t>
      </w:r>
      <w:r w:rsidR="0045572F" w:rsidRPr="00C065EA">
        <w:rPr>
          <w:rFonts w:ascii="Arial" w:hAnsi="Arial" w:cs="Arial"/>
          <w:sz w:val="22"/>
          <w:szCs w:val="22"/>
          <w:lang w:eastAsia="es-CO"/>
        </w:rPr>
        <w:t>la calidad de mujer cabeza de familia</w:t>
      </w:r>
      <w:r w:rsidR="00BC3099" w:rsidRPr="00C065EA">
        <w:rPr>
          <w:rStyle w:val="Refdenotaalpie"/>
          <w:rFonts w:ascii="Arial" w:eastAsia="Calibri" w:hAnsi="Arial" w:cs="Arial"/>
          <w:sz w:val="22"/>
          <w:szCs w:val="22"/>
          <w:lang w:val="es-ES_tradnl"/>
        </w:rPr>
        <w:footnoteReference w:id="13"/>
      </w:r>
      <w:r w:rsidR="0045572F" w:rsidRPr="00C065EA">
        <w:rPr>
          <w:rFonts w:ascii="Arial" w:hAnsi="Arial" w:cs="Arial"/>
          <w:sz w:val="22"/>
          <w:szCs w:val="22"/>
          <w:lang w:eastAsia="es-CO"/>
        </w:rPr>
        <w:t xml:space="preserve">. </w:t>
      </w:r>
      <w:r w:rsidR="004F5965" w:rsidRPr="00C065EA">
        <w:rPr>
          <w:rFonts w:ascii="Arial" w:hAnsi="Arial" w:cs="Arial"/>
          <w:sz w:val="22"/>
          <w:szCs w:val="22"/>
          <w:lang w:eastAsia="es-CO"/>
        </w:rPr>
        <w:t xml:space="preserve">Lo propio hace el inciso segundo del numeral </w:t>
      </w:r>
      <w:r w:rsidR="003F2C86" w:rsidRPr="00C065EA">
        <w:rPr>
          <w:rFonts w:ascii="Arial" w:hAnsi="Arial" w:cs="Arial"/>
          <w:sz w:val="22"/>
          <w:szCs w:val="22"/>
          <w:lang w:eastAsia="es-CO"/>
        </w:rPr>
        <w:t xml:space="preserve">2 de la norma reglamentaria en comento en lo relativo a la </w:t>
      </w:r>
      <w:r w:rsidR="000C73CA" w:rsidRPr="00C065EA">
        <w:rPr>
          <w:rFonts w:ascii="Arial" w:hAnsi="Arial" w:cs="Arial"/>
          <w:sz w:val="22"/>
          <w:szCs w:val="22"/>
          <w:lang w:eastAsia="es-CO"/>
        </w:rPr>
        <w:t>demostración de la condición de mujer v</w:t>
      </w:r>
      <w:r w:rsidR="000B6549" w:rsidRPr="00C065EA">
        <w:rPr>
          <w:rFonts w:ascii="Arial" w:hAnsi="Arial" w:cs="Arial"/>
          <w:sz w:val="22"/>
          <w:szCs w:val="22"/>
          <w:lang w:eastAsia="es-CO"/>
        </w:rPr>
        <w:t>í</w:t>
      </w:r>
      <w:r w:rsidR="000C73CA" w:rsidRPr="00C065EA">
        <w:rPr>
          <w:rFonts w:ascii="Arial" w:hAnsi="Arial" w:cs="Arial"/>
          <w:sz w:val="22"/>
          <w:szCs w:val="22"/>
          <w:lang w:eastAsia="es-CO"/>
        </w:rPr>
        <w:t xml:space="preserve">ctima de </w:t>
      </w:r>
      <w:r w:rsidR="00D91813" w:rsidRPr="00C065EA">
        <w:rPr>
          <w:rFonts w:ascii="Arial" w:hAnsi="Arial" w:cs="Arial"/>
          <w:sz w:val="22"/>
          <w:szCs w:val="22"/>
          <w:lang w:eastAsia="es-CO"/>
        </w:rPr>
        <w:t>violencia intrafamiliar</w:t>
      </w:r>
      <w:r w:rsidR="00F47DED" w:rsidRPr="00C065EA">
        <w:rPr>
          <w:rFonts w:ascii="Arial" w:hAnsi="Arial" w:cs="Arial"/>
          <w:sz w:val="22"/>
          <w:szCs w:val="22"/>
          <w:lang w:eastAsia="es-CO"/>
        </w:rPr>
        <w:t xml:space="preserve">, </w:t>
      </w:r>
      <w:r w:rsidR="00B302C7" w:rsidRPr="00C065EA">
        <w:rPr>
          <w:rFonts w:ascii="Arial" w:hAnsi="Arial" w:cs="Arial"/>
          <w:sz w:val="22"/>
          <w:szCs w:val="22"/>
          <w:lang w:eastAsia="es-CO"/>
        </w:rPr>
        <w:t xml:space="preserve">al remitir </w:t>
      </w:r>
      <w:r w:rsidR="00D53066" w:rsidRPr="00C065EA">
        <w:rPr>
          <w:rFonts w:ascii="Arial" w:hAnsi="Arial" w:cs="Arial"/>
          <w:sz w:val="22"/>
          <w:szCs w:val="22"/>
          <w:lang w:eastAsia="es-CO"/>
        </w:rPr>
        <w:t xml:space="preserve">al </w:t>
      </w:r>
      <w:r w:rsidR="00D53066" w:rsidRPr="00C065EA">
        <w:rPr>
          <w:rFonts w:ascii="Arial" w:hAnsi="Arial" w:cs="Arial"/>
          <w:sz w:val="22"/>
          <w:szCs w:val="22"/>
          <w:lang w:val="es-ES_tradnl"/>
        </w:rPr>
        <w:t>artículo 21 de la Ley 1257 de 2008</w:t>
      </w:r>
      <w:r w:rsidR="0006220A" w:rsidRPr="00C065EA">
        <w:rPr>
          <w:rStyle w:val="Refdenotaalpie"/>
          <w:rFonts w:ascii="Arial" w:hAnsi="Arial" w:cs="Arial"/>
          <w:sz w:val="22"/>
          <w:szCs w:val="22"/>
          <w:lang w:val="es-ES_tradnl"/>
        </w:rPr>
        <w:footnoteReference w:id="14"/>
      </w:r>
      <w:r w:rsidR="00D53066" w:rsidRPr="00C065EA">
        <w:rPr>
          <w:rFonts w:ascii="Arial" w:hAnsi="Arial" w:cs="Arial"/>
          <w:sz w:val="22"/>
          <w:szCs w:val="22"/>
          <w:lang w:val="es-ES_tradnl"/>
        </w:rPr>
        <w:t xml:space="preserve">, </w:t>
      </w:r>
      <w:r w:rsidR="000B6549" w:rsidRPr="00C065EA">
        <w:rPr>
          <w:rFonts w:ascii="Arial" w:hAnsi="Arial" w:cs="Arial"/>
          <w:sz w:val="22"/>
          <w:szCs w:val="22"/>
          <w:lang w:val="es-ES_tradnl"/>
        </w:rPr>
        <w:t>«</w:t>
      </w:r>
      <w:r w:rsidR="00E93609" w:rsidRPr="00C065EA">
        <w:rPr>
          <w:rFonts w:ascii="Arial" w:hAnsi="Arial" w:cs="Arial"/>
          <w:sz w:val="22"/>
          <w:szCs w:val="22"/>
          <w:lang w:val="es-ES_tradnl"/>
        </w:rPr>
        <w:t>P</w:t>
      </w:r>
      <w:r w:rsidR="00D53066" w:rsidRPr="00C065EA">
        <w:rPr>
          <w:rFonts w:ascii="Arial" w:hAnsi="Arial" w:cs="Arial"/>
          <w:sz w:val="22"/>
          <w:szCs w:val="22"/>
          <w:lang w:val="es-ES_tradnl"/>
        </w:rPr>
        <w:t>or la cual se dictan normas de sensibilización, prevención y sanción de formas de violencia y discriminación contra las mujeres, se reforman los Códigos Penal, de Procedimiento Penal, la Ley 294 de 1996 y se dictan otras disposiciones</w:t>
      </w:r>
      <w:r w:rsidR="000B6549" w:rsidRPr="00C065EA">
        <w:rPr>
          <w:rFonts w:ascii="Arial" w:hAnsi="Arial" w:cs="Arial"/>
          <w:sz w:val="22"/>
          <w:szCs w:val="22"/>
          <w:lang w:val="es-ES_tradnl"/>
        </w:rPr>
        <w:t>»</w:t>
      </w:r>
      <w:r w:rsidR="00D53066" w:rsidRPr="00C065EA">
        <w:rPr>
          <w:rFonts w:ascii="Arial" w:hAnsi="Arial" w:cs="Arial"/>
          <w:sz w:val="22"/>
          <w:szCs w:val="22"/>
          <w:lang w:val="es-ES_tradnl"/>
        </w:rPr>
        <w:t xml:space="preserve">, el cual dispone que </w:t>
      </w:r>
      <w:r w:rsidR="000C2E77" w:rsidRPr="00C065EA">
        <w:rPr>
          <w:rFonts w:ascii="Arial" w:hAnsi="Arial" w:cs="Arial"/>
          <w:sz w:val="22"/>
          <w:szCs w:val="22"/>
          <w:lang w:val="es-ES_tradnl"/>
        </w:rPr>
        <w:t>l</w:t>
      </w:r>
      <w:r w:rsidR="00D53066" w:rsidRPr="00C065EA">
        <w:rPr>
          <w:rFonts w:ascii="Arial" w:hAnsi="Arial" w:cs="Arial"/>
          <w:sz w:val="22"/>
          <w:szCs w:val="22"/>
          <w:lang w:val="es-ES_tradnl"/>
        </w:rPr>
        <w:t xml:space="preserve">as situaciones de violencia </w:t>
      </w:r>
      <w:r w:rsidR="000C2E77" w:rsidRPr="00C065EA">
        <w:rPr>
          <w:rFonts w:ascii="Arial" w:hAnsi="Arial" w:cs="Arial"/>
          <w:sz w:val="22"/>
          <w:szCs w:val="22"/>
          <w:lang w:val="es-ES_tradnl"/>
        </w:rPr>
        <w:t>intrafamiliar</w:t>
      </w:r>
      <w:r w:rsidR="00D53066" w:rsidRPr="00C065EA">
        <w:rPr>
          <w:rFonts w:ascii="Arial" w:hAnsi="Arial" w:cs="Arial"/>
          <w:sz w:val="22"/>
          <w:szCs w:val="22"/>
          <w:lang w:val="es-ES_tradnl"/>
        </w:rPr>
        <w:t xml:space="preserve"> se acreditarán con la medida de protección expedida por la autoridad competente, sin </w:t>
      </w:r>
      <w:r w:rsidR="000C2E77" w:rsidRPr="00C065EA">
        <w:rPr>
          <w:rFonts w:ascii="Arial" w:hAnsi="Arial" w:cs="Arial"/>
          <w:sz w:val="22"/>
          <w:szCs w:val="22"/>
          <w:lang w:val="es-ES_tradnl"/>
        </w:rPr>
        <w:t>lugar</w:t>
      </w:r>
      <w:r w:rsidR="00D53066" w:rsidRPr="00C065EA">
        <w:rPr>
          <w:rFonts w:ascii="Arial" w:hAnsi="Arial" w:cs="Arial"/>
          <w:sz w:val="22"/>
          <w:szCs w:val="22"/>
          <w:lang w:val="es-ES_tradnl"/>
        </w:rPr>
        <w:t xml:space="preserve"> </w:t>
      </w:r>
      <w:r w:rsidR="000C2E77" w:rsidRPr="00C065EA">
        <w:rPr>
          <w:rFonts w:ascii="Arial" w:hAnsi="Arial" w:cs="Arial"/>
          <w:sz w:val="22"/>
          <w:szCs w:val="22"/>
          <w:lang w:val="es-ES_tradnl"/>
        </w:rPr>
        <w:t>a más</w:t>
      </w:r>
      <w:r w:rsidR="00D53066" w:rsidRPr="00C065EA">
        <w:rPr>
          <w:rFonts w:ascii="Arial" w:hAnsi="Arial" w:cs="Arial"/>
          <w:sz w:val="22"/>
          <w:szCs w:val="22"/>
          <w:lang w:val="es-ES_tradnl"/>
        </w:rPr>
        <w:t xml:space="preserve"> requisitos</w:t>
      </w:r>
      <w:r w:rsidR="00BC3099" w:rsidRPr="00C065EA">
        <w:rPr>
          <w:rStyle w:val="Refdenotaalpie"/>
          <w:rFonts w:ascii="Arial" w:eastAsia="Calibri" w:hAnsi="Arial" w:cs="Arial"/>
          <w:sz w:val="22"/>
          <w:szCs w:val="22"/>
          <w:lang w:val="es-ES_tradnl"/>
        </w:rPr>
        <w:footnoteReference w:id="15"/>
      </w:r>
      <w:r w:rsidR="00D53066" w:rsidRPr="00C065EA">
        <w:rPr>
          <w:rFonts w:ascii="Arial" w:hAnsi="Arial" w:cs="Arial"/>
          <w:sz w:val="22"/>
          <w:szCs w:val="22"/>
          <w:lang w:val="es-ES_tradnl"/>
        </w:rPr>
        <w:t xml:space="preserve">. </w:t>
      </w:r>
      <w:r w:rsidR="00D77000" w:rsidRPr="00C065EA">
        <w:rPr>
          <w:rFonts w:ascii="Arial" w:hAnsi="Arial" w:cs="Arial"/>
          <w:sz w:val="22"/>
          <w:szCs w:val="22"/>
          <w:lang w:val="es-ES_tradnl"/>
        </w:rPr>
        <w:t>Esto en concordancia con los</w:t>
      </w:r>
      <w:r w:rsidR="00D53066" w:rsidRPr="00C065EA">
        <w:rPr>
          <w:rFonts w:ascii="Arial" w:hAnsi="Arial" w:cs="Arial"/>
          <w:sz w:val="22"/>
          <w:szCs w:val="22"/>
          <w:lang w:val="es-ES_tradnl"/>
        </w:rPr>
        <w:t xml:space="preserve"> artículos 16 y 17 de la Ley 1257 de 2008, la </w:t>
      </w:r>
      <w:r w:rsidR="00D53066" w:rsidRPr="00C065EA">
        <w:rPr>
          <w:rFonts w:ascii="Arial" w:hAnsi="Arial" w:cs="Arial"/>
          <w:sz w:val="22"/>
          <w:szCs w:val="22"/>
          <w:lang w:val="es-ES_tradnl"/>
        </w:rPr>
        <w:lastRenderedPageBreak/>
        <w:t>medida de protección la debe impartir el comisario de familia del lugar donde ocurrieron los hechos y a falta de este</w:t>
      </w:r>
      <w:r w:rsidR="0081307D" w:rsidRPr="00C065EA">
        <w:rPr>
          <w:rFonts w:ascii="Arial" w:hAnsi="Arial" w:cs="Arial"/>
          <w:sz w:val="22"/>
          <w:szCs w:val="22"/>
          <w:lang w:val="es-ES_tradnl"/>
        </w:rPr>
        <w:t>,</w:t>
      </w:r>
      <w:r w:rsidR="00D53066" w:rsidRPr="00C065EA">
        <w:rPr>
          <w:rFonts w:ascii="Arial" w:hAnsi="Arial" w:cs="Arial"/>
          <w:sz w:val="22"/>
          <w:szCs w:val="22"/>
          <w:lang w:val="es-ES_tradnl"/>
        </w:rPr>
        <w:t xml:space="preserve"> el juez civil municipal o promiscuo municipal, o la autoridad indígena –en los casos de violencia intrafamiliar en las comunidades indígenas–</w:t>
      </w:r>
      <w:r w:rsidR="009D756C" w:rsidRPr="00C065EA">
        <w:rPr>
          <w:rFonts w:ascii="Arial" w:hAnsi="Arial" w:cs="Arial"/>
          <w:sz w:val="22"/>
          <w:szCs w:val="22"/>
          <w:lang w:val="es-ES_tradnl"/>
        </w:rPr>
        <w:t>.</w:t>
      </w:r>
    </w:p>
    <w:p w14:paraId="42F0BA15" w14:textId="0EE853EE" w:rsidR="00997FED" w:rsidRPr="00C065EA" w:rsidRDefault="00D53066" w:rsidP="00A23B37">
      <w:pPr>
        <w:spacing w:after="120" w:line="276" w:lineRule="auto"/>
        <w:ind w:firstLine="709"/>
        <w:jc w:val="both"/>
        <w:rPr>
          <w:rFonts w:ascii="Arial" w:hAnsi="Arial" w:cs="Arial"/>
          <w:sz w:val="22"/>
          <w:szCs w:val="22"/>
          <w:lang w:val="es-ES_tradnl"/>
        </w:rPr>
      </w:pPr>
      <w:r w:rsidRPr="00C065EA">
        <w:rPr>
          <w:rFonts w:ascii="Arial" w:hAnsi="Arial" w:cs="Arial"/>
          <w:sz w:val="22"/>
          <w:szCs w:val="22"/>
          <w:lang w:val="es-ES_tradnl"/>
        </w:rPr>
        <w:t xml:space="preserve"> </w:t>
      </w:r>
      <w:r w:rsidR="00F54367" w:rsidRPr="00C065EA">
        <w:rPr>
          <w:rFonts w:ascii="Arial" w:hAnsi="Arial" w:cs="Arial"/>
          <w:sz w:val="22"/>
          <w:szCs w:val="22"/>
          <w:lang w:val="es-ES_tradnl"/>
        </w:rPr>
        <w:t xml:space="preserve">De acuerdo con lo anterior, </w:t>
      </w:r>
      <w:r w:rsidR="00BF72C3" w:rsidRPr="00C065EA">
        <w:rPr>
          <w:rFonts w:ascii="Arial" w:hAnsi="Arial" w:cs="Arial"/>
          <w:sz w:val="22"/>
          <w:szCs w:val="22"/>
          <w:lang w:val="es-ES_tradnl"/>
        </w:rPr>
        <w:t>la regulación de los</w:t>
      </w:r>
      <w:r w:rsidR="00F54367" w:rsidRPr="00C065EA">
        <w:rPr>
          <w:rFonts w:ascii="Arial" w:hAnsi="Arial" w:cs="Arial"/>
          <w:sz w:val="22"/>
          <w:szCs w:val="22"/>
          <w:lang w:val="es-ES_tradnl"/>
        </w:rPr>
        <w:t xml:space="preserve"> medios de acreditación establecidos en el numeral 2 del artículo 2.2.1.2.4.2.17</w:t>
      </w:r>
      <w:r w:rsidR="004B60AD" w:rsidRPr="00C065EA">
        <w:rPr>
          <w:rFonts w:ascii="Arial" w:hAnsi="Arial" w:cs="Arial"/>
          <w:sz w:val="22"/>
          <w:szCs w:val="22"/>
          <w:lang w:val="es-ES_tradnl"/>
        </w:rPr>
        <w:t xml:space="preserve"> del Decreto 1082 de 2015, adicionado por el Decreto 1860 de 2021, </w:t>
      </w:r>
      <w:r w:rsidR="00CC2C70" w:rsidRPr="00C065EA">
        <w:rPr>
          <w:rFonts w:ascii="Arial" w:hAnsi="Arial" w:cs="Arial"/>
          <w:sz w:val="22"/>
          <w:szCs w:val="22"/>
          <w:lang w:val="es-ES_tradnl"/>
        </w:rPr>
        <w:t>se hace a partir de una articulación normativa con las disposiciones legales señaladas,</w:t>
      </w:r>
      <w:r w:rsidR="004B60AD" w:rsidRPr="00C065EA">
        <w:rPr>
          <w:rFonts w:ascii="Arial" w:hAnsi="Arial" w:cs="Arial"/>
          <w:sz w:val="22"/>
          <w:szCs w:val="22"/>
          <w:lang w:val="es-ES_tradnl"/>
        </w:rPr>
        <w:t xml:space="preserve"> </w:t>
      </w:r>
      <w:r w:rsidR="00CC2C70" w:rsidRPr="00C065EA">
        <w:rPr>
          <w:rFonts w:ascii="Arial" w:hAnsi="Arial" w:cs="Arial"/>
          <w:sz w:val="22"/>
          <w:szCs w:val="22"/>
          <w:lang w:val="es-ES_tradnl"/>
        </w:rPr>
        <w:t>las cuales regulan</w:t>
      </w:r>
      <w:r w:rsidR="001F29E8" w:rsidRPr="00C065EA">
        <w:rPr>
          <w:rFonts w:ascii="Arial" w:hAnsi="Arial" w:cs="Arial"/>
          <w:sz w:val="22"/>
          <w:szCs w:val="22"/>
          <w:lang w:val="es-ES_tradnl"/>
        </w:rPr>
        <w:t>,</w:t>
      </w:r>
      <w:r w:rsidR="00896E34" w:rsidRPr="00C065EA">
        <w:rPr>
          <w:rFonts w:ascii="Arial" w:hAnsi="Arial" w:cs="Arial"/>
          <w:sz w:val="22"/>
          <w:szCs w:val="22"/>
          <w:lang w:val="es-ES_tradnl"/>
        </w:rPr>
        <w:t xml:space="preserve"> de manera general</w:t>
      </w:r>
      <w:r w:rsidR="001F29E8" w:rsidRPr="00C065EA">
        <w:rPr>
          <w:rFonts w:ascii="Arial" w:hAnsi="Arial" w:cs="Arial"/>
          <w:sz w:val="22"/>
          <w:szCs w:val="22"/>
          <w:lang w:val="es-ES_tradnl"/>
        </w:rPr>
        <w:t>,</w:t>
      </w:r>
      <w:r w:rsidR="00CC2C70" w:rsidRPr="00C065EA">
        <w:rPr>
          <w:rFonts w:ascii="Arial" w:hAnsi="Arial" w:cs="Arial"/>
          <w:sz w:val="22"/>
          <w:szCs w:val="22"/>
          <w:lang w:val="es-ES_tradnl"/>
        </w:rPr>
        <w:t xml:space="preserve"> </w:t>
      </w:r>
      <w:r w:rsidR="004B60AD" w:rsidRPr="00C065EA">
        <w:rPr>
          <w:rFonts w:ascii="Arial" w:hAnsi="Arial" w:cs="Arial"/>
          <w:sz w:val="22"/>
          <w:szCs w:val="22"/>
          <w:lang w:val="es-ES_tradnl"/>
        </w:rPr>
        <w:t>la acreditación de las</w:t>
      </w:r>
      <w:r w:rsidR="004D139C" w:rsidRPr="00C065EA">
        <w:rPr>
          <w:rFonts w:ascii="Arial" w:hAnsi="Arial" w:cs="Arial"/>
          <w:sz w:val="22"/>
          <w:szCs w:val="22"/>
          <w:lang w:val="es-ES_tradnl"/>
        </w:rPr>
        <w:t xml:space="preserve"> condiciones de</w:t>
      </w:r>
      <w:r w:rsidR="004B60AD" w:rsidRPr="00C065EA">
        <w:rPr>
          <w:rFonts w:ascii="Arial" w:hAnsi="Arial" w:cs="Arial"/>
          <w:sz w:val="22"/>
          <w:szCs w:val="22"/>
          <w:lang w:val="es-ES_tradnl"/>
        </w:rPr>
        <w:t xml:space="preserve"> mujer cabeza de familia</w:t>
      </w:r>
      <w:r w:rsidR="004D139C" w:rsidRPr="00C065EA">
        <w:rPr>
          <w:rFonts w:ascii="Arial" w:hAnsi="Arial" w:cs="Arial"/>
          <w:sz w:val="22"/>
          <w:szCs w:val="22"/>
          <w:lang w:val="es-ES_tradnl"/>
        </w:rPr>
        <w:t xml:space="preserve"> y mujer víctima de violencia intrafamiliar</w:t>
      </w:r>
      <w:r w:rsidR="00896E34" w:rsidRPr="00C065EA">
        <w:rPr>
          <w:rFonts w:ascii="Arial" w:hAnsi="Arial" w:cs="Arial"/>
          <w:sz w:val="22"/>
          <w:szCs w:val="22"/>
          <w:lang w:val="es-ES_tradnl"/>
        </w:rPr>
        <w:t>.</w:t>
      </w:r>
      <w:r w:rsidR="001F29E8" w:rsidRPr="00C065EA">
        <w:rPr>
          <w:rFonts w:ascii="Arial" w:hAnsi="Arial" w:cs="Arial"/>
          <w:sz w:val="22"/>
          <w:szCs w:val="22"/>
          <w:lang w:val="es-ES_tradnl"/>
        </w:rPr>
        <w:t xml:space="preserve"> En ese sentido, lo</w:t>
      </w:r>
      <w:r w:rsidR="00196B33" w:rsidRPr="00C065EA">
        <w:rPr>
          <w:rFonts w:ascii="Arial" w:hAnsi="Arial" w:cs="Arial"/>
          <w:sz w:val="22"/>
          <w:szCs w:val="22"/>
          <w:lang w:val="es-ES_tradnl"/>
        </w:rPr>
        <w:t xml:space="preserve"> que procura el numeral 2 del artículo 2.2.1.2.4.2.17 es que</w:t>
      </w:r>
      <w:r w:rsidR="00226D90" w:rsidRPr="00C065EA">
        <w:rPr>
          <w:rFonts w:ascii="Arial" w:hAnsi="Arial" w:cs="Arial"/>
          <w:sz w:val="22"/>
          <w:szCs w:val="22"/>
          <w:lang w:val="es-ES_tradnl"/>
        </w:rPr>
        <w:t xml:space="preserve">, en los procesos de contratación pública, </w:t>
      </w:r>
      <w:r w:rsidR="004B2BBB" w:rsidRPr="00C065EA">
        <w:rPr>
          <w:rFonts w:ascii="Arial" w:hAnsi="Arial" w:cs="Arial"/>
          <w:sz w:val="22"/>
          <w:szCs w:val="22"/>
          <w:lang w:val="es-ES_tradnl"/>
        </w:rPr>
        <w:t>la acreditación de las</w:t>
      </w:r>
      <w:r w:rsidR="00A94844" w:rsidRPr="00C065EA">
        <w:rPr>
          <w:rFonts w:ascii="Arial" w:hAnsi="Arial" w:cs="Arial"/>
          <w:sz w:val="22"/>
          <w:szCs w:val="22"/>
          <w:lang w:val="es-ES_tradnl"/>
        </w:rPr>
        <w:t xml:space="preserve"> referidas </w:t>
      </w:r>
      <w:r w:rsidR="00B26CD3" w:rsidRPr="00C065EA">
        <w:rPr>
          <w:rFonts w:ascii="Arial" w:hAnsi="Arial" w:cs="Arial"/>
          <w:sz w:val="22"/>
          <w:szCs w:val="22"/>
          <w:lang w:val="es-ES_tradnl"/>
        </w:rPr>
        <w:t>calidades</w:t>
      </w:r>
      <w:r w:rsidR="00A94844" w:rsidRPr="00C065EA">
        <w:rPr>
          <w:rFonts w:ascii="Arial" w:hAnsi="Arial" w:cs="Arial"/>
          <w:sz w:val="22"/>
          <w:szCs w:val="22"/>
          <w:lang w:val="es-ES_tradnl"/>
        </w:rPr>
        <w:t xml:space="preserve"> se rija por </w:t>
      </w:r>
      <w:r w:rsidR="00C9077A" w:rsidRPr="00C065EA">
        <w:rPr>
          <w:rFonts w:ascii="Arial" w:hAnsi="Arial" w:cs="Arial"/>
          <w:sz w:val="22"/>
          <w:szCs w:val="22"/>
          <w:lang w:val="es-ES_tradnl"/>
        </w:rPr>
        <w:t>la normativa de rango legal</w:t>
      </w:r>
      <w:r w:rsidR="00BF2623" w:rsidRPr="00C065EA">
        <w:rPr>
          <w:rFonts w:ascii="Arial" w:hAnsi="Arial" w:cs="Arial"/>
          <w:sz w:val="22"/>
          <w:szCs w:val="22"/>
          <w:lang w:val="es-ES_tradnl"/>
        </w:rPr>
        <w:t xml:space="preserve"> que regula</w:t>
      </w:r>
      <w:r w:rsidR="00B26CD3" w:rsidRPr="00C065EA">
        <w:rPr>
          <w:rFonts w:ascii="Arial" w:hAnsi="Arial" w:cs="Arial"/>
          <w:sz w:val="22"/>
          <w:szCs w:val="22"/>
          <w:lang w:val="es-ES_tradnl"/>
        </w:rPr>
        <w:t xml:space="preserve"> la materia</w:t>
      </w:r>
      <w:r w:rsidR="00997FED" w:rsidRPr="00C065EA">
        <w:rPr>
          <w:rFonts w:ascii="Arial" w:hAnsi="Arial" w:cs="Arial"/>
          <w:sz w:val="22"/>
          <w:szCs w:val="22"/>
          <w:lang w:val="es-ES_tradnl"/>
        </w:rPr>
        <w:t xml:space="preserve">. </w:t>
      </w:r>
      <w:r w:rsidR="00022327" w:rsidRPr="00C065EA">
        <w:rPr>
          <w:rFonts w:ascii="Arial" w:hAnsi="Arial" w:cs="Arial"/>
          <w:sz w:val="22"/>
          <w:szCs w:val="22"/>
          <w:lang w:val="es-ES_tradnl"/>
        </w:rPr>
        <w:t>En ese sentido, independientemente de que el contenido del Decreto 1860 de 2021 solo entr</w:t>
      </w:r>
      <w:r w:rsidR="008E0BE3" w:rsidRPr="00C065EA">
        <w:rPr>
          <w:rFonts w:ascii="Arial" w:hAnsi="Arial" w:cs="Arial"/>
          <w:sz w:val="22"/>
          <w:szCs w:val="22"/>
          <w:lang w:val="es-ES_tradnl"/>
        </w:rPr>
        <w:t>ó</w:t>
      </w:r>
      <w:r w:rsidR="00022327" w:rsidRPr="00C065EA">
        <w:rPr>
          <w:rFonts w:ascii="Arial" w:hAnsi="Arial" w:cs="Arial"/>
          <w:sz w:val="22"/>
          <w:szCs w:val="22"/>
          <w:lang w:val="es-ES_tradnl"/>
        </w:rPr>
        <w:t xml:space="preserve"> a regir </w:t>
      </w:r>
      <w:r w:rsidR="00AD3DAD" w:rsidRPr="00C065EA">
        <w:rPr>
          <w:rFonts w:ascii="Arial" w:hAnsi="Arial" w:cs="Arial"/>
          <w:sz w:val="22"/>
          <w:szCs w:val="22"/>
          <w:lang w:val="es-ES_tradnl"/>
        </w:rPr>
        <w:t xml:space="preserve">tres </w:t>
      </w:r>
      <w:r w:rsidR="001A6F20" w:rsidRPr="00C065EA">
        <w:rPr>
          <w:rFonts w:ascii="Arial" w:hAnsi="Arial" w:cs="Arial"/>
          <w:sz w:val="22"/>
          <w:szCs w:val="22"/>
          <w:lang w:val="es-ES_tradnl"/>
        </w:rPr>
        <w:t xml:space="preserve">(3) </w:t>
      </w:r>
      <w:r w:rsidR="00AD3DAD" w:rsidRPr="00C065EA">
        <w:rPr>
          <w:rFonts w:ascii="Arial" w:hAnsi="Arial" w:cs="Arial"/>
          <w:sz w:val="22"/>
          <w:szCs w:val="22"/>
          <w:lang w:val="es-ES_tradnl"/>
        </w:rPr>
        <w:t xml:space="preserve">meses después de su expedición, tratándose de los medios de acreditación establecidos para las calidades de mujer cabeza de familia y mujer víctima de violencia intrafamiliar, no cabe duda que, </w:t>
      </w:r>
      <w:r w:rsidR="002E4359" w:rsidRPr="00C065EA">
        <w:rPr>
          <w:rFonts w:ascii="Arial" w:hAnsi="Arial" w:cs="Arial"/>
          <w:sz w:val="22"/>
          <w:szCs w:val="22"/>
          <w:lang w:val="es-ES_tradnl"/>
        </w:rPr>
        <w:t>anterior a la vigencia de la reglamentación, eran</w:t>
      </w:r>
      <w:r w:rsidR="00AD3DAD" w:rsidRPr="00C065EA">
        <w:rPr>
          <w:rFonts w:ascii="Arial" w:hAnsi="Arial" w:cs="Arial"/>
          <w:sz w:val="22"/>
          <w:szCs w:val="22"/>
          <w:lang w:val="es-ES_tradnl"/>
        </w:rPr>
        <w:t xml:space="preserve"> aplicables los </w:t>
      </w:r>
      <w:r w:rsidR="005A6B81" w:rsidRPr="00C065EA">
        <w:rPr>
          <w:rFonts w:ascii="Arial" w:hAnsi="Arial" w:cs="Arial"/>
          <w:sz w:val="22"/>
          <w:szCs w:val="22"/>
          <w:lang w:val="es-ES_tradnl"/>
        </w:rPr>
        <w:t xml:space="preserve">establecidos en los </w:t>
      </w:r>
      <w:r w:rsidR="005A6B81" w:rsidRPr="00C065EA">
        <w:rPr>
          <w:rFonts w:ascii="Arial" w:hAnsi="Arial" w:cs="Arial"/>
          <w:sz w:val="22"/>
          <w:szCs w:val="22"/>
          <w:lang w:eastAsia="es-CO"/>
        </w:rPr>
        <w:t>artículos </w:t>
      </w:r>
      <w:hyperlink r:id="rId20" w:anchor="2" w:history="1">
        <w:r w:rsidR="005A6B81" w:rsidRPr="00C065EA">
          <w:rPr>
            <w:rFonts w:ascii="Arial" w:hAnsi="Arial" w:cs="Arial"/>
            <w:sz w:val="22"/>
            <w:szCs w:val="22"/>
            <w:lang w:eastAsia="es-CO"/>
          </w:rPr>
          <w:t>2 </w:t>
        </w:r>
      </w:hyperlink>
      <w:r w:rsidR="005A6B81" w:rsidRPr="00C065EA">
        <w:rPr>
          <w:rFonts w:ascii="Arial" w:hAnsi="Arial" w:cs="Arial"/>
          <w:sz w:val="22"/>
          <w:szCs w:val="22"/>
          <w:lang w:eastAsia="es-CO"/>
        </w:rPr>
        <w:t>de la Ley 82 de 1993, modificado por el artículo </w:t>
      </w:r>
      <w:hyperlink r:id="rId21" w:anchor="1" w:history="1">
        <w:r w:rsidR="005A6B81" w:rsidRPr="00C065EA">
          <w:rPr>
            <w:rFonts w:ascii="Arial" w:hAnsi="Arial" w:cs="Arial"/>
            <w:sz w:val="22"/>
            <w:szCs w:val="22"/>
            <w:lang w:eastAsia="es-CO"/>
          </w:rPr>
          <w:t>1 </w:t>
        </w:r>
      </w:hyperlink>
      <w:r w:rsidR="005A6B81" w:rsidRPr="00C065EA">
        <w:rPr>
          <w:rFonts w:ascii="Arial" w:hAnsi="Arial" w:cs="Arial"/>
          <w:sz w:val="22"/>
          <w:szCs w:val="22"/>
          <w:lang w:eastAsia="es-CO"/>
        </w:rPr>
        <w:t xml:space="preserve">de la Ley 1232 de 2008, </w:t>
      </w:r>
      <w:r w:rsidR="003768C3" w:rsidRPr="00C065EA">
        <w:rPr>
          <w:rFonts w:ascii="Arial" w:hAnsi="Arial" w:cs="Arial"/>
          <w:sz w:val="22"/>
          <w:szCs w:val="22"/>
          <w:lang w:eastAsia="es-CO"/>
        </w:rPr>
        <w:t>y el</w:t>
      </w:r>
      <w:r w:rsidR="005A6B81" w:rsidRPr="00C065EA">
        <w:rPr>
          <w:rFonts w:ascii="Arial" w:hAnsi="Arial" w:cs="Arial"/>
          <w:sz w:val="22"/>
          <w:szCs w:val="22"/>
          <w:lang w:eastAsia="es-CO"/>
        </w:rPr>
        <w:t xml:space="preserve"> </w:t>
      </w:r>
      <w:r w:rsidR="005A6B81" w:rsidRPr="00C065EA">
        <w:rPr>
          <w:rFonts w:ascii="Arial" w:hAnsi="Arial" w:cs="Arial"/>
          <w:sz w:val="22"/>
          <w:szCs w:val="22"/>
          <w:lang w:val="es-ES_tradnl"/>
        </w:rPr>
        <w:t>artículo 21 de la Ley 1257 de 2008</w:t>
      </w:r>
      <w:r w:rsidR="003768C3" w:rsidRPr="00C065EA">
        <w:rPr>
          <w:rFonts w:ascii="Arial" w:hAnsi="Arial" w:cs="Arial"/>
          <w:sz w:val="22"/>
          <w:szCs w:val="22"/>
          <w:lang w:val="es-ES_tradnl"/>
        </w:rPr>
        <w:t>, en la medida en que estas disposiciones legales se encu</w:t>
      </w:r>
      <w:r w:rsidR="003478DE" w:rsidRPr="00C065EA">
        <w:rPr>
          <w:rFonts w:ascii="Arial" w:hAnsi="Arial" w:cs="Arial"/>
          <w:sz w:val="22"/>
          <w:szCs w:val="22"/>
          <w:lang w:val="es-ES_tradnl"/>
        </w:rPr>
        <w:t>entran</w:t>
      </w:r>
      <w:r w:rsidR="003768C3" w:rsidRPr="00C065EA">
        <w:rPr>
          <w:rFonts w:ascii="Arial" w:hAnsi="Arial" w:cs="Arial"/>
          <w:sz w:val="22"/>
          <w:szCs w:val="22"/>
          <w:lang w:val="es-ES_tradnl"/>
        </w:rPr>
        <w:t xml:space="preserve"> vigentes. </w:t>
      </w:r>
    </w:p>
    <w:p w14:paraId="2A934CE7" w14:textId="2FEC894B" w:rsidR="00824196" w:rsidRPr="00C065EA" w:rsidRDefault="00364BEE" w:rsidP="007242B0">
      <w:pPr>
        <w:spacing w:after="120" w:line="276" w:lineRule="auto"/>
        <w:ind w:firstLine="709"/>
        <w:jc w:val="both"/>
        <w:rPr>
          <w:rFonts w:ascii="Arial" w:hAnsi="Arial" w:cs="Arial"/>
          <w:sz w:val="22"/>
          <w:szCs w:val="22"/>
          <w:lang w:val="es-ES_tradnl"/>
        </w:rPr>
      </w:pPr>
      <w:r w:rsidRPr="00C065EA">
        <w:rPr>
          <w:rFonts w:ascii="Arial" w:hAnsi="Arial" w:cs="Arial"/>
          <w:sz w:val="22"/>
          <w:szCs w:val="22"/>
          <w:lang w:val="es-ES_tradnl"/>
        </w:rPr>
        <w:t xml:space="preserve"> </w:t>
      </w:r>
      <w:r w:rsidR="00BC3099" w:rsidRPr="00C065EA">
        <w:rPr>
          <w:rFonts w:ascii="Arial" w:hAnsi="Arial" w:cs="Arial"/>
          <w:sz w:val="22"/>
          <w:szCs w:val="22"/>
          <w:lang w:val="es-ES_tradnl"/>
        </w:rPr>
        <w:t xml:space="preserve"> </w:t>
      </w:r>
      <w:r w:rsidR="00E93609" w:rsidRPr="00C065EA">
        <w:rPr>
          <w:rFonts w:ascii="Arial" w:hAnsi="Arial" w:cs="Arial"/>
          <w:sz w:val="22"/>
          <w:szCs w:val="22"/>
          <w:lang w:val="es-ES_tradnl"/>
        </w:rPr>
        <w:t>C</w:t>
      </w:r>
      <w:r w:rsidR="00007571" w:rsidRPr="00C065EA">
        <w:rPr>
          <w:rFonts w:ascii="Arial" w:hAnsi="Arial" w:cs="Arial"/>
          <w:sz w:val="22"/>
          <w:szCs w:val="22"/>
          <w:lang w:val="es-ES_tradnl"/>
        </w:rPr>
        <w:t>omo se desprende del texto del numeral 2 del artículo 35 de la Ley 2069 de 2020</w:t>
      </w:r>
      <w:r w:rsidR="00131132" w:rsidRPr="00C065EA">
        <w:rPr>
          <w:rFonts w:ascii="Arial" w:hAnsi="Arial" w:cs="Arial"/>
          <w:sz w:val="22"/>
          <w:szCs w:val="22"/>
          <w:lang w:val="es-ES_tradnl"/>
        </w:rPr>
        <w:t>, este factor de desempate no aplica únicamente en favor de l</w:t>
      </w:r>
      <w:r w:rsidR="002D2391" w:rsidRPr="00C065EA">
        <w:rPr>
          <w:rFonts w:ascii="Arial" w:hAnsi="Arial" w:cs="Arial"/>
          <w:sz w:val="22"/>
          <w:szCs w:val="22"/>
          <w:lang w:val="es-ES_tradnl"/>
        </w:rPr>
        <w:t>as</w:t>
      </w:r>
      <w:r w:rsidR="00131132" w:rsidRPr="00C065EA">
        <w:rPr>
          <w:rFonts w:ascii="Arial" w:hAnsi="Arial" w:cs="Arial"/>
          <w:sz w:val="22"/>
          <w:szCs w:val="22"/>
          <w:lang w:val="es-ES_tradnl"/>
        </w:rPr>
        <w:t xml:space="preserve"> personas naturales</w:t>
      </w:r>
      <w:r w:rsidR="0066056A" w:rsidRPr="00C065EA">
        <w:rPr>
          <w:rFonts w:ascii="Arial" w:hAnsi="Arial" w:cs="Arial"/>
          <w:sz w:val="22"/>
          <w:szCs w:val="22"/>
          <w:lang w:val="es-ES_tradnl"/>
        </w:rPr>
        <w:t xml:space="preserve"> </w:t>
      </w:r>
      <w:r w:rsidR="002D2391" w:rsidRPr="00C065EA">
        <w:rPr>
          <w:rFonts w:ascii="Arial" w:hAnsi="Arial" w:cs="Arial"/>
          <w:sz w:val="22"/>
          <w:szCs w:val="22"/>
          <w:lang w:val="es-ES_tradnl"/>
        </w:rPr>
        <w:t xml:space="preserve">que </w:t>
      </w:r>
      <w:r w:rsidR="00E05EAF" w:rsidRPr="00C065EA">
        <w:rPr>
          <w:rFonts w:ascii="Arial" w:hAnsi="Arial" w:cs="Arial"/>
          <w:sz w:val="22"/>
          <w:szCs w:val="22"/>
          <w:lang w:val="es-ES_tradnl"/>
        </w:rPr>
        <w:t>acrediten las referidas condiciones, sino también a las personas jurídicas</w:t>
      </w:r>
      <w:r w:rsidR="001C7A34" w:rsidRPr="00C065EA">
        <w:rPr>
          <w:rFonts w:ascii="Arial" w:hAnsi="Arial" w:cs="Arial"/>
          <w:sz w:val="22"/>
          <w:szCs w:val="22"/>
          <w:lang w:val="es-ES_tradnl"/>
        </w:rPr>
        <w:t xml:space="preserve"> en las que</w:t>
      </w:r>
      <w:r w:rsidR="00FA2E0B" w:rsidRPr="00C065EA">
        <w:rPr>
          <w:rFonts w:ascii="Arial" w:hAnsi="Arial" w:cs="Arial"/>
          <w:sz w:val="22"/>
          <w:szCs w:val="22"/>
          <w:lang w:val="es-ES_tradnl"/>
        </w:rPr>
        <w:t xml:space="preserve"> «</w:t>
      </w:r>
      <w:r w:rsidR="00FA2E0B" w:rsidRPr="00C065EA">
        <w:rPr>
          <w:rFonts w:ascii="Arial" w:eastAsia="Calibri" w:hAnsi="Arial" w:cs="Arial"/>
          <w:sz w:val="22"/>
          <w:szCs w:val="22"/>
          <w:lang w:val="es-ES_tradnl"/>
        </w:rPr>
        <w:t>participen mayoritariamente»</w:t>
      </w:r>
      <w:r w:rsidR="0066056A" w:rsidRPr="00C065EA">
        <w:rPr>
          <w:rFonts w:ascii="Arial" w:eastAsia="Calibri" w:hAnsi="Arial" w:cs="Arial"/>
          <w:sz w:val="22"/>
          <w:szCs w:val="22"/>
          <w:lang w:val="es-ES_tradnl"/>
        </w:rPr>
        <w:t xml:space="preserve">. </w:t>
      </w:r>
      <w:r w:rsidR="001C7A34" w:rsidRPr="00C065EA">
        <w:rPr>
          <w:rFonts w:ascii="Arial" w:eastAsia="Calibri" w:hAnsi="Arial" w:cs="Arial"/>
          <w:sz w:val="22"/>
          <w:szCs w:val="22"/>
          <w:lang w:val="es-ES_tradnl"/>
        </w:rPr>
        <w:t>Adicionalmente, dentro</w:t>
      </w:r>
      <w:r w:rsidR="00FB14BA" w:rsidRPr="00C065EA">
        <w:rPr>
          <w:rFonts w:ascii="Arial" w:eastAsia="Calibri" w:hAnsi="Arial" w:cs="Arial"/>
          <w:sz w:val="22"/>
          <w:szCs w:val="22"/>
          <w:lang w:val="es-ES_tradnl"/>
        </w:rPr>
        <w:t xml:space="preserve"> del ámbito de aplicación de este factor de desempate además </w:t>
      </w:r>
      <w:r w:rsidR="00FB220E" w:rsidRPr="00C065EA">
        <w:rPr>
          <w:rFonts w:ascii="Arial" w:eastAsia="Calibri" w:hAnsi="Arial" w:cs="Arial"/>
          <w:sz w:val="22"/>
          <w:szCs w:val="22"/>
          <w:lang w:val="es-ES_tradnl"/>
        </w:rPr>
        <w:t>entran los proponentes plurales</w:t>
      </w:r>
      <w:r w:rsidR="00BD018E" w:rsidRPr="00C065EA">
        <w:rPr>
          <w:rFonts w:ascii="Arial" w:eastAsia="Calibri" w:hAnsi="Arial" w:cs="Arial"/>
          <w:sz w:val="22"/>
          <w:szCs w:val="22"/>
          <w:lang w:val="es-ES_tradnl"/>
        </w:rPr>
        <w:t xml:space="preserve"> conformados </w:t>
      </w:r>
      <w:r w:rsidR="007F043A" w:rsidRPr="00C065EA">
        <w:rPr>
          <w:rFonts w:ascii="Arial" w:eastAsia="Calibri" w:hAnsi="Arial" w:cs="Arial"/>
          <w:sz w:val="22"/>
          <w:szCs w:val="22"/>
          <w:lang w:val="es-ES_tradnl"/>
        </w:rPr>
        <w:t xml:space="preserve">exclusivamente </w:t>
      </w:r>
      <w:r w:rsidR="00BD018E" w:rsidRPr="00C065EA">
        <w:rPr>
          <w:rFonts w:ascii="Arial" w:eastAsia="Calibri" w:hAnsi="Arial" w:cs="Arial"/>
          <w:sz w:val="22"/>
          <w:szCs w:val="22"/>
          <w:lang w:val="es-ES_tradnl"/>
        </w:rPr>
        <w:t>por personas naturales y/o jur</w:t>
      </w:r>
      <w:r w:rsidR="007F043A" w:rsidRPr="00C065EA">
        <w:rPr>
          <w:rFonts w:ascii="Arial" w:eastAsia="Calibri" w:hAnsi="Arial" w:cs="Arial"/>
          <w:sz w:val="22"/>
          <w:szCs w:val="22"/>
          <w:lang w:val="es-ES_tradnl"/>
        </w:rPr>
        <w:t>í</w:t>
      </w:r>
      <w:r w:rsidR="00BD018E" w:rsidRPr="00C065EA">
        <w:rPr>
          <w:rFonts w:ascii="Arial" w:eastAsia="Calibri" w:hAnsi="Arial" w:cs="Arial"/>
          <w:sz w:val="22"/>
          <w:szCs w:val="22"/>
          <w:lang w:val="es-ES_tradnl"/>
        </w:rPr>
        <w:t>dicas</w:t>
      </w:r>
      <w:r w:rsidR="007F043A" w:rsidRPr="00C065EA">
        <w:rPr>
          <w:rFonts w:ascii="Arial" w:eastAsia="Calibri" w:hAnsi="Arial" w:cs="Arial"/>
          <w:sz w:val="22"/>
          <w:szCs w:val="22"/>
          <w:lang w:val="es-ES_tradnl"/>
        </w:rPr>
        <w:t xml:space="preserve"> que reúnan alguna de las otras</w:t>
      </w:r>
      <w:r w:rsidR="008A1A5B" w:rsidRPr="00C065EA">
        <w:rPr>
          <w:rFonts w:ascii="Arial" w:eastAsia="Calibri" w:hAnsi="Arial" w:cs="Arial"/>
          <w:sz w:val="22"/>
          <w:szCs w:val="22"/>
          <w:lang w:val="es-ES_tradnl"/>
        </w:rPr>
        <w:t xml:space="preserve"> condiciones que aplican a los proponentes </w:t>
      </w:r>
      <w:r w:rsidR="00824196" w:rsidRPr="00C065EA">
        <w:rPr>
          <w:rFonts w:ascii="Arial" w:eastAsia="Calibri" w:hAnsi="Arial" w:cs="Arial"/>
          <w:sz w:val="22"/>
          <w:szCs w:val="22"/>
          <w:lang w:val="es-ES_tradnl"/>
        </w:rPr>
        <w:t>singulares</w:t>
      </w:r>
      <w:r w:rsidR="008A1A5B" w:rsidRPr="00C065EA">
        <w:rPr>
          <w:rFonts w:ascii="Arial" w:eastAsia="Calibri" w:hAnsi="Arial" w:cs="Arial"/>
          <w:sz w:val="22"/>
          <w:szCs w:val="22"/>
          <w:lang w:val="es-ES_tradnl"/>
        </w:rPr>
        <w:t>, de tal manera que</w:t>
      </w:r>
      <w:r w:rsidR="00824196" w:rsidRPr="00C065EA">
        <w:rPr>
          <w:rFonts w:ascii="Arial" w:eastAsia="Calibri" w:hAnsi="Arial" w:cs="Arial"/>
          <w:sz w:val="22"/>
          <w:szCs w:val="22"/>
          <w:lang w:val="es-ES_tradnl"/>
        </w:rPr>
        <w:t>,</w:t>
      </w:r>
      <w:r w:rsidR="00824196" w:rsidRPr="00C065EA">
        <w:rPr>
          <w:rFonts w:ascii="Arial" w:eastAsia="Calibri" w:hAnsi="Arial" w:cs="Arial"/>
          <w:sz w:val="21"/>
          <w:szCs w:val="21"/>
          <w:lang w:val="es-ES_tradnl"/>
        </w:rPr>
        <w:t xml:space="preserve"> </w:t>
      </w:r>
      <w:r w:rsidR="00824196" w:rsidRPr="00C065EA">
        <w:rPr>
          <w:rFonts w:ascii="Arial" w:hAnsi="Arial" w:cs="Arial"/>
          <w:sz w:val="22"/>
          <w:szCs w:val="22"/>
          <w:lang w:val="es-ES_tradnl"/>
        </w:rPr>
        <w:t>para poderse beneficiar del factor de desempate, el proponente plural debe estar constituido por: i) mujeres cabeza de familia o mujeres víctimas de violencia intrafamiliar y/o ii) por personas jurídicas en las cuales tales mujeres participen mayoritariamente. Como la 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14:paraId="236730E2" w14:textId="34A31A4D" w:rsidR="00E5768D" w:rsidRPr="00C065EA" w:rsidRDefault="007242B0" w:rsidP="00D43CE8">
      <w:pPr>
        <w:spacing w:line="276" w:lineRule="auto"/>
        <w:ind w:firstLine="708"/>
        <w:jc w:val="both"/>
        <w:rPr>
          <w:rFonts w:ascii="Arial" w:hAnsi="Arial" w:cs="Arial"/>
          <w:sz w:val="22"/>
          <w:szCs w:val="22"/>
          <w:lang w:val="es-ES_tradnl"/>
        </w:rPr>
      </w:pPr>
      <w:bookmarkStart w:id="16" w:name="_Hlk81487438"/>
      <w:bookmarkEnd w:id="14"/>
      <w:r w:rsidRPr="00C065EA">
        <w:rPr>
          <w:rFonts w:ascii="Arial" w:hAnsi="Arial" w:cs="Arial"/>
          <w:sz w:val="22"/>
          <w:szCs w:val="22"/>
          <w:lang w:val="es-ES_tradnl"/>
        </w:rPr>
        <w:t>Ahora bien, e</w:t>
      </w:r>
      <w:r w:rsidR="008A41F8" w:rsidRPr="00C065EA">
        <w:rPr>
          <w:rFonts w:ascii="Arial" w:hAnsi="Arial" w:cs="Arial"/>
          <w:sz w:val="22"/>
          <w:szCs w:val="22"/>
          <w:lang w:val="es-ES_tradnl"/>
        </w:rPr>
        <w:t>l artículo 35</w:t>
      </w:r>
      <w:r w:rsidR="002921DD" w:rsidRPr="00C065EA">
        <w:rPr>
          <w:rFonts w:ascii="Arial" w:hAnsi="Arial" w:cs="Arial"/>
          <w:sz w:val="22"/>
          <w:szCs w:val="22"/>
          <w:lang w:val="es-ES_tradnl"/>
        </w:rPr>
        <w:t>.</w:t>
      </w:r>
      <w:r w:rsidR="008A41F8" w:rsidRPr="00C065EA">
        <w:rPr>
          <w:rFonts w:ascii="Arial" w:hAnsi="Arial" w:cs="Arial"/>
          <w:sz w:val="22"/>
          <w:szCs w:val="22"/>
          <w:lang w:val="es-ES_tradnl"/>
        </w:rPr>
        <w:t xml:space="preserve">2 de la Ley </w:t>
      </w:r>
      <w:r w:rsidR="007B209C" w:rsidRPr="00C065EA">
        <w:rPr>
          <w:rFonts w:ascii="Arial" w:hAnsi="Arial" w:cs="Arial"/>
          <w:sz w:val="22"/>
          <w:szCs w:val="22"/>
          <w:lang w:val="es-ES_tradnl"/>
        </w:rPr>
        <w:t>2069</w:t>
      </w:r>
      <w:r w:rsidR="008A41F8" w:rsidRPr="00C065EA">
        <w:rPr>
          <w:rFonts w:ascii="Arial" w:hAnsi="Arial" w:cs="Arial"/>
          <w:sz w:val="22"/>
          <w:szCs w:val="22"/>
          <w:lang w:val="es-ES_tradnl"/>
        </w:rPr>
        <w:t xml:space="preserve"> de 2020</w:t>
      </w:r>
      <w:r w:rsidR="008510A1" w:rsidRPr="00C065EA">
        <w:rPr>
          <w:rFonts w:ascii="Arial" w:hAnsi="Arial" w:cs="Arial"/>
          <w:sz w:val="22"/>
          <w:szCs w:val="22"/>
          <w:lang w:val="es-ES_tradnl"/>
        </w:rPr>
        <w:t xml:space="preserve"> </w:t>
      </w:r>
      <w:r w:rsidR="008A41F8" w:rsidRPr="00C065EA">
        <w:rPr>
          <w:rFonts w:ascii="Arial" w:hAnsi="Arial" w:cs="Arial"/>
          <w:sz w:val="22"/>
          <w:szCs w:val="22"/>
          <w:lang w:val="es-ES_tradnl"/>
        </w:rPr>
        <w:t xml:space="preserve">utiliza un concepto jurídico indeterminado, cuando se refiere a la participación </w:t>
      </w:r>
      <w:r w:rsidR="008A41F8" w:rsidRPr="00C065EA">
        <w:rPr>
          <w:rFonts w:ascii="Arial" w:hAnsi="Arial" w:cs="Arial"/>
          <w:i/>
          <w:iCs/>
          <w:sz w:val="22"/>
          <w:szCs w:val="22"/>
          <w:lang w:val="es-ES_tradnl"/>
        </w:rPr>
        <w:t>mayoritaria</w:t>
      </w:r>
      <w:r w:rsidR="008A41F8" w:rsidRPr="00C065EA">
        <w:rPr>
          <w:rFonts w:ascii="Arial" w:hAnsi="Arial" w:cs="Arial"/>
          <w:sz w:val="22"/>
          <w:szCs w:val="22"/>
          <w:lang w:val="es-ES_tradnl"/>
        </w:rPr>
        <w:t xml:space="preserve"> de las mujeres cabeza de familia o mujeres víctimas de la violencia intrafamiliar en la persona jurídica o en el proponente plural. </w:t>
      </w:r>
      <w:r w:rsidR="00107AE5" w:rsidRPr="00C065EA">
        <w:rPr>
          <w:rFonts w:ascii="Arial" w:hAnsi="Arial" w:cs="Arial"/>
          <w:sz w:val="22"/>
          <w:szCs w:val="22"/>
          <w:lang w:val="es-ES_tradnl"/>
        </w:rPr>
        <w:t xml:space="preserve">Con anterioridad a la expedición del Decreto 1860 de 2021, </w:t>
      </w:r>
      <w:r w:rsidR="00B7084C" w:rsidRPr="00C065EA">
        <w:rPr>
          <w:rFonts w:ascii="Arial" w:hAnsi="Arial" w:cs="Arial"/>
          <w:sz w:val="22"/>
          <w:szCs w:val="22"/>
          <w:lang w:val="es-ES_tradnl"/>
        </w:rPr>
        <w:t>en los múltiples conceptos expedidos</w:t>
      </w:r>
      <w:r w:rsidR="00D876E8" w:rsidRPr="00C065EA">
        <w:rPr>
          <w:rFonts w:ascii="Arial" w:hAnsi="Arial" w:cs="Arial"/>
          <w:sz w:val="22"/>
          <w:szCs w:val="22"/>
          <w:lang w:val="es-ES_tradnl"/>
        </w:rPr>
        <w:t xml:space="preserve"> con relación a la noción de </w:t>
      </w:r>
      <w:r w:rsidR="006937C1" w:rsidRPr="00C065EA">
        <w:rPr>
          <w:rFonts w:ascii="Arial" w:hAnsi="Arial" w:cs="Arial"/>
          <w:sz w:val="22"/>
          <w:szCs w:val="22"/>
          <w:lang w:val="es-ES_tradnl"/>
        </w:rPr>
        <w:t>participación mayoritaria</w:t>
      </w:r>
      <w:r w:rsidR="00B920D1" w:rsidRPr="00C065EA">
        <w:rPr>
          <w:rFonts w:ascii="Arial" w:hAnsi="Arial" w:cs="Arial"/>
          <w:sz w:val="22"/>
          <w:szCs w:val="22"/>
          <w:lang w:val="es-ES_tradnl"/>
        </w:rPr>
        <w:t>,</w:t>
      </w:r>
      <w:r w:rsidR="006937C1" w:rsidRPr="00C065EA">
        <w:rPr>
          <w:rFonts w:ascii="Arial" w:hAnsi="Arial" w:cs="Arial"/>
          <w:sz w:val="22"/>
          <w:szCs w:val="22"/>
          <w:lang w:val="es-ES_tradnl"/>
        </w:rPr>
        <w:t xml:space="preserve"> </w:t>
      </w:r>
      <w:r w:rsidR="00843571" w:rsidRPr="00C065EA">
        <w:rPr>
          <w:rFonts w:ascii="Arial" w:hAnsi="Arial" w:cs="Arial"/>
          <w:sz w:val="22"/>
          <w:szCs w:val="22"/>
          <w:lang w:val="es-ES_tradnl"/>
        </w:rPr>
        <w:t xml:space="preserve">el criterio reiterado de esta Agencia </w:t>
      </w:r>
      <w:r w:rsidR="00E83854" w:rsidRPr="00C065EA">
        <w:rPr>
          <w:rFonts w:ascii="Arial" w:hAnsi="Arial" w:cs="Arial"/>
          <w:sz w:val="22"/>
          <w:szCs w:val="22"/>
          <w:lang w:val="es-ES_tradnl"/>
        </w:rPr>
        <w:t xml:space="preserve">había sido la </w:t>
      </w:r>
      <w:r w:rsidR="005B6AFA" w:rsidRPr="00C065EA">
        <w:rPr>
          <w:rFonts w:ascii="Arial" w:hAnsi="Arial" w:cs="Arial"/>
          <w:sz w:val="22"/>
          <w:szCs w:val="22"/>
          <w:lang w:val="es-ES_tradnl"/>
        </w:rPr>
        <w:t xml:space="preserve">interpretación literal de la norma, en atención </w:t>
      </w:r>
      <w:r w:rsidR="005B6AFA" w:rsidRPr="00C065EA">
        <w:rPr>
          <w:rFonts w:ascii="Arial" w:hAnsi="Arial" w:cs="Arial"/>
          <w:sz w:val="22"/>
          <w:szCs w:val="22"/>
          <w:lang w:val="es-ES_tradnl"/>
        </w:rPr>
        <w:lastRenderedPageBreak/>
        <w:t>a</w:t>
      </w:r>
      <w:r w:rsidR="008A41F8" w:rsidRPr="00C065EA">
        <w:rPr>
          <w:rFonts w:ascii="Arial" w:hAnsi="Arial" w:cs="Arial"/>
          <w:sz w:val="22"/>
          <w:szCs w:val="22"/>
          <w:lang w:val="es-ES_tradnl"/>
        </w:rPr>
        <w:t xml:space="preserv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404BAF40" w14:textId="7034CD1E" w:rsidR="00E070C1" w:rsidRPr="00C065EA" w:rsidRDefault="008A41F8" w:rsidP="00B32E31">
      <w:pPr>
        <w:spacing w:before="120" w:line="276" w:lineRule="auto"/>
        <w:ind w:firstLine="709"/>
        <w:jc w:val="both"/>
        <w:rPr>
          <w:rFonts w:ascii="Arial" w:hAnsi="Arial" w:cs="Arial"/>
          <w:sz w:val="22"/>
          <w:szCs w:val="22"/>
          <w:lang w:val="es-ES_tradnl"/>
        </w:rPr>
      </w:pPr>
      <w:r w:rsidRPr="00C065EA">
        <w:rPr>
          <w:rFonts w:ascii="Arial" w:hAnsi="Arial" w:cs="Arial"/>
          <w:sz w:val="22"/>
          <w:szCs w:val="22"/>
          <w:lang w:val="es-ES_tradnl"/>
        </w:rPr>
        <w:t xml:space="preserve">En </w:t>
      </w:r>
      <w:r w:rsidR="00DB466D" w:rsidRPr="00C065EA">
        <w:rPr>
          <w:rFonts w:ascii="Arial" w:hAnsi="Arial" w:cs="Arial"/>
          <w:sz w:val="22"/>
          <w:szCs w:val="22"/>
          <w:lang w:val="es-ES_tradnl"/>
        </w:rPr>
        <w:t>aplicación de este criterio interpretativo</w:t>
      </w:r>
      <w:r w:rsidRPr="00C065EA">
        <w:rPr>
          <w:rFonts w:ascii="Arial" w:hAnsi="Arial" w:cs="Arial"/>
          <w:sz w:val="22"/>
          <w:szCs w:val="22"/>
          <w:lang w:val="es-ES_tradnl"/>
        </w:rPr>
        <w:t xml:space="preserve">, </w:t>
      </w:r>
      <w:r w:rsidR="001C7A34" w:rsidRPr="00C065EA">
        <w:rPr>
          <w:rFonts w:ascii="Arial" w:hAnsi="Arial" w:cs="Arial"/>
          <w:sz w:val="22"/>
          <w:szCs w:val="22"/>
          <w:lang w:val="es-ES_tradnl"/>
        </w:rPr>
        <w:t xml:space="preserve">y </w:t>
      </w:r>
      <w:r w:rsidR="00DC1CC2" w:rsidRPr="00C065EA">
        <w:rPr>
          <w:rFonts w:ascii="Arial" w:hAnsi="Arial" w:cs="Arial"/>
          <w:sz w:val="22"/>
          <w:szCs w:val="22"/>
          <w:lang w:val="es-ES_tradnl"/>
        </w:rPr>
        <w:t xml:space="preserve">en </w:t>
      </w:r>
      <w:r w:rsidR="007D1E65" w:rsidRPr="00C065EA">
        <w:rPr>
          <w:rFonts w:ascii="Arial" w:hAnsi="Arial" w:cs="Arial"/>
          <w:sz w:val="22"/>
          <w:szCs w:val="22"/>
          <w:lang w:val="es-ES_tradnl"/>
        </w:rPr>
        <w:t>consideración a</w:t>
      </w:r>
      <w:r w:rsidR="00DC1CC2" w:rsidRPr="00C065EA">
        <w:rPr>
          <w:rFonts w:ascii="Arial" w:hAnsi="Arial" w:cs="Arial"/>
          <w:sz w:val="22"/>
          <w:szCs w:val="22"/>
          <w:lang w:val="es-ES_tradnl"/>
        </w:rPr>
        <w:t xml:space="preserve"> la ausencia de una definición legal del término </w:t>
      </w:r>
      <w:r w:rsidRPr="00C065EA">
        <w:rPr>
          <w:rFonts w:ascii="Arial" w:hAnsi="Arial" w:cs="Arial"/>
          <w:sz w:val="22"/>
          <w:szCs w:val="22"/>
          <w:lang w:val="es-ES_tradnl"/>
        </w:rPr>
        <w:t>«participar»</w:t>
      </w:r>
      <w:r w:rsidR="007D1E65" w:rsidRPr="00C065EA">
        <w:rPr>
          <w:rFonts w:ascii="Arial" w:hAnsi="Arial" w:cs="Arial"/>
          <w:sz w:val="22"/>
          <w:szCs w:val="22"/>
          <w:lang w:val="es-ES_tradnl"/>
        </w:rPr>
        <w:t xml:space="preserve">, se ha acudido a su significado </w:t>
      </w:r>
      <w:r w:rsidR="00EC695D" w:rsidRPr="00C065EA">
        <w:rPr>
          <w:rFonts w:ascii="Arial" w:hAnsi="Arial" w:cs="Arial"/>
          <w:sz w:val="22"/>
          <w:szCs w:val="22"/>
          <w:lang w:val="es-ES_tradnl"/>
        </w:rPr>
        <w:t xml:space="preserve">en el lenguaje común, el cual indica que el término designa </w:t>
      </w:r>
      <w:r w:rsidR="002468D3" w:rsidRPr="00C065EA">
        <w:rPr>
          <w:rFonts w:ascii="Arial" w:hAnsi="Arial" w:cs="Arial"/>
          <w:sz w:val="22"/>
          <w:szCs w:val="22"/>
          <w:lang w:val="es-ES_tradnl"/>
        </w:rPr>
        <w:t xml:space="preserve">la acción de </w:t>
      </w:r>
      <w:r w:rsidR="00EC695D" w:rsidRPr="00C065EA">
        <w:rPr>
          <w:rFonts w:ascii="Arial" w:hAnsi="Arial" w:cs="Arial"/>
          <w:sz w:val="22"/>
          <w:szCs w:val="22"/>
          <w:lang w:val="es-ES_tradnl"/>
        </w:rPr>
        <w:t>«Tener parte en una sociedad o negocio o ser socio de ellos»</w:t>
      </w:r>
      <w:r w:rsidRPr="00C065EA">
        <w:rPr>
          <w:rStyle w:val="Refdenotaalpie"/>
          <w:rFonts w:ascii="Arial" w:hAnsi="Arial" w:cs="Arial"/>
          <w:sz w:val="22"/>
          <w:szCs w:val="22"/>
          <w:lang w:val="es-ES_tradnl"/>
        </w:rPr>
        <w:footnoteReference w:id="16"/>
      </w:r>
      <w:r w:rsidRPr="00C065EA">
        <w:rPr>
          <w:rFonts w:ascii="Arial" w:hAnsi="Arial" w:cs="Arial"/>
          <w:sz w:val="22"/>
          <w:szCs w:val="22"/>
          <w:lang w:val="es-ES_tradnl"/>
        </w:rPr>
        <w:t xml:space="preserve">. Esta noción es acorde con el derecho societario, en el cual se indica que la participación recae sobre las utilidades de la sociedad, en algunos casos en proporción a las acciones –en las sociedades por acciones– o </w:t>
      </w:r>
      <w:r w:rsidR="00E93609" w:rsidRPr="00C065EA">
        <w:rPr>
          <w:rFonts w:ascii="Arial" w:hAnsi="Arial" w:cs="Arial"/>
          <w:sz w:val="22"/>
          <w:szCs w:val="22"/>
          <w:lang w:val="es-ES_tradnl"/>
        </w:rPr>
        <w:t>de acuerdo con</w:t>
      </w:r>
      <w:r w:rsidRPr="00C065EA">
        <w:rPr>
          <w:rFonts w:ascii="Arial" w:hAnsi="Arial" w:cs="Arial"/>
          <w:sz w:val="22"/>
          <w:szCs w:val="22"/>
          <w:lang w:val="es-ES_tradnl"/>
        </w:rPr>
        <w:t xml:space="preserve"> la industria o trabajo personal del socio –como sucede usualmente en las sociedades de personas–. Así lo señalan, entre otros, los artículos 130, 137, 138, 141, 150, 380 y 462 del Código de Comercio.</w:t>
      </w:r>
      <w:r w:rsidR="00E5768D" w:rsidRPr="00C065EA">
        <w:rPr>
          <w:rFonts w:ascii="Arial" w:hAnsi="Arial" w:cs="Arial"/>
          <w:sz w:val="22"/>
          <w:szCs w:val="22"/>
          <w:lang w:val="es-ES_tradnl"/>
        </w:rPr>
        <w:t xml:space="preserve"> </w:t>
      </w:r>
    </w:p>
    <w:p w14:paraId="4B88E69E" w14:textId="34ADED3D" w:rsidR="001F417B" w:rsidRPr="00C065EA" w:rsidRDefault="001F417B" w:rsidP="00B32E31">
      <w:pPr>
        <w:spacing w:before="120" w:line="276" w:lineRule="auto"/>
        <w:ind w:firstLine="709"/>
        <w:jc w:val="both"/>
        <w:rPr>
          <w:rFonts w:ascii="Arial" w:hAnsi="Arial" w:cs="Arial"/>
          <w:sz w:val="22"/>
          <w:szCs w:val="22"/>
          <w:lang w:val="es-ES_tradnl"/>
        </w:rPr>
      </w:pPr>
      <w:r w:rsidRPr="00C065EA">
        <w:rPr>
          <w:rFonts w:ascii="Arial" w:hAnsi="Arial" w:cs="Arial"/>
          <w:sz w:val="22"/>
          <w:szCs w:val="22"/>
          <w:lang w:val="es-ES_tradnl"/>
        </w:rPr>
        <w:t xml:space="preserve">Esta </w:t>
      </w:r>
      <w:r w:rsidR="00984478" w:rsidRPr="00C065EA">
        <w:rPr>
          <w:rFonts w:ascii="Arial" w:hAnsi="Arial" w:cs="Arial"/>
          <w:sz w:val="22"/>
          <w:szCs w:val="22"/>
          <w:lang w:val="es-ES_tradnl"/>
        </w:rPr>
        <w:t>interpretación</w:t>
      </w:r>
      <w:r w:rsidR="00BB4E23" w:rsidRPr="00C065EA">
        <w:rPr>
          <w:rFonts w:ascii="Arial" w:hAnsi="Arial" w:cs="Arial"/>
          <w:sz w:val="22"/>
          <w:szCs w:val="22"/>
          <w:lang w:val="es-ES_tradnl"/>
        </w:rPr>
        <w:t xml:space="preserve"> se encuentra hoy ref</w:t>
      </w:r>
      <w:r w:rsidR="00C84221" w:rsidRPr="00C065EA">
        <w:rPr>
          <w:rFonts w:ascii="Arial" w:hAnsi="Arial" w:cs="Arial"/>
          <w:sz w:val="22"/>
          <w:szCs w:val="22"/>
          <w:lang w:val="es-ES_tradnl"/>
        </w:rPr>
        <w:t>lejada en el desarrollo reglamentario de los factores de desempate producido por el Decreto 1860 de 2021,</w:t>
      </w:r>
      <w:r w:rsidR="0010511F" w:rsidRPr="00C065EA">
        <w:rPr>
          <w:rFonts w:ascii="Arial" w:hAnsi="Arial" w:cs="Arial"/>
          <w:sz w:val="22"/>
          <w:szCs w:val="22"/>
          <w:lang w:val="es-ES_tradnl"/>
        </w:rPr>
        <w:t xml:space="preserve"> de cuyo texto surge con claridad que la </w:t>
      </w:r>
      <w:r w:rsidR="00816215" w:rsidRPr="00C065EA">
        <w:rPr>
          <w:rFonts w:ascii="Arial" w:hAnsi="Arial" w:cs="Arial"/>
          <w:sz w:val="22"/>
          <w:szCs w:val="22"/>
          <w:lang w:val="es-ES_tradnl"/>
        </w:rPr>
        <w:t xml:space="preserve">participación mayoritaria a la que se refiere el </w:t>
      </w:r>
      <w:r w:rsidR="00336903" w:rsidRPr="00C065EA">
        <w:rPr>
          <w:rFonts w:ascii="Arial" w:hAnsi="Arial" w:cs="Arial"/>
          <w:sz w:val="22"/>
          <w:szCs w:val="22"/>
          <w:lang w:val="es-ES_tradnl"/>
        </w:rPr>
        <w:t xml:space="preserve">factor de desempate en </w:t>
      </w:r>
      <w:r w:rsidR="00A94B77" w:rsidRPr="00C065EA">
        <w:rPr>
          <w:rFonts w:ascii="Arial" w:hAnsi="Arial" w:cs="Arial"/>
          <w:sz w:val="22"/>
          <w:szCs w:val="22"/>
          <w:lang w:val="es-ES_tradnl"/>
        </w:rPr>
        <w:t>estudio</w:t>
      </w:r>
      <w:r w:rsidR="00336903" w:rsidRPr="00C065EA">
        <w:rPr>
          <w:rFonts w:ascii="Arial" w:hAnsi="Arial" w:cs="Arial"/>
          <w:sz w:val="22"/>
          <w:szCs w:val="22"/>
          <w:lang w:val="es-ES_tradnl"/>
        </w:rPr>
        <w:t xml:space="preserve"> </w:t>
      </w:r>
      <w:r w:rsidR="0050281C" w:rsidRPr="00C065EA">
        <w:rPr>
          <w:rFonts w:ascii="Arial" w:hAnsi="Arial" w:cs="Arial"/>
          <w:sz w:val="22"/>
          <w:szCs w:val="22"/>
          <w:lang w:val="es-ES_tradnl"/>
        </w:rPr>
        <w:t xml:space="preserve">tiene que ver con </w:t>
      </w:r>
      <w:r w:rsidR="00B874EC" w:rsidRPr="00C065EA">
        <w:rPr>
          <w:rFonts w:ascii="Arial" w:hAnsi="Arial" w:cs="Arial"/>
          <w:sz w:val="22"/>
          <w:szCs w:val="22"/>
          <w:lang w:val="es-ES_tradnl"/>
        </w:rPr>
        <w:t xml:space="preserve">la distribución </w:t>
      </w:r>
      <w:r w:rsidR="006908F7" w:rsidRPr="00C065EA">
        <w:rPr>
          <w:rFonts w:ascii="Arial" w:hAnsi="Arial" w:cs="Arial"/>
          <w:sz w:val="22"/>
          <w:szCs w:val="22"/>
          <w:lang w:val="es-ES_tradnl"/>
        </w:rPr>
        <w:t xml:space="preserve">de </w:t>
      </w:r>
      <w:r w:rsidR="00434764" w:rsidRPr="00C065EA">
        <w:rPr>
          <w:rFonts w:ascii="Arial" w:hAnsi="Arial" w:cs="Arial"/>
          <w:sz w:val="22"/>
          <w:szCs w:val="22"/>
          <w:lang w:val="es-ES_tradnl"/>
        </w:rPr>
        <w:t>accion</w:t>
      </w:r>
      <w:r w:rsidR="006908F7" w:rsidRPr="00C065EA">
        <w:rPr>
          <w:rFonts w:ascii="Arial" w:hAnsi="Arial" w:cs="Arial"/>
          <w:sz w:val="22"/>
          <w:szCs w:val="22"/>
          <w:lang w:val="es-ES_tradnl"/>
        </w:rPr>
        <w:t>es</w:t>
      </w:r>
      <w:r w:rsidR="004C572E" w:rsidRPr="00C065EA">
        <w:rPr>
          <w:rFonts w:ascii="Arial" w:hAnsi="Arial" w:cs="Arial"/>
          <w:sz w:val="22"/>
          <w:szCs w:val="22"/>
          <w:lang w:val="es-ES_tradnl"/>
        </w:rPr>
        <w:t>, utilidades o</w:t>
      </w:r>
      <w:r w:rsidR="00B874EC" w:rsidRPr="00C065EA">
        <w:rPr>
          <w:rFonts w:ascii="Arial" w:hAnsi="Arial" w:cs="Arial"/>
          <w:sz w:val="22"/>
          <w:szCs w:val="22"/>
          <w:lang w:val="es-ES_tradnl"/>
        </w:rPr>
        <w:t xml:space="preserve"> cuotas partes</w:t>
      </w:r>
      <w:r w:rsidR="004C572E" w:rsidRPr="00C065EA">
        <w:rPr>
          <w:rFonts w:ascii="Arial" w:hAnsi="Arial" w:cs="Arial"/>
          <w:sz w:val="22"/>
          <w:szCs w:val="22"/>
          <w:lang w:val="es-ES_tradnl"/>
        </w:rPr>
        <w:t xml:space="preserve"> de la sociedad </w:t>
      </w:r>
      <w:r w:rsidR="006908F7" w:rsidRPr="00C065EA">
        <w:rPr>
          <w:rFonts w:ascii="Arial" w:hAnsi="Arial" w:cs="Arial"/>
          <w:sz w:val="22"/>
          <w:szCs w:val="22"/>
          <w:lang w:val="es-ES_tradnl"/>
        </w:rPr>
        <w:t xml:space="preserve">que funge como proponente </w:t>
      </w:r>
      <w:r w:rsidR="00BD5906" w:rsidRPr="00C065EA">
        <w:rPr>
          <w:rFonts w:ascii="Arial" w:hAnsi="Arial" w:cs="Arial"/>
          <w:sz w:val="22"/>
          <w:szCs w:val="22"/>
          <w:lang w:val="es-ES_tradnl"/>
        </w:rPr>
        <w:t xml:space="preserve">singular o integrante de uno plural. Así se desprende del texto del inciso tercero del </w:t>
      </w:r>
      <w:r w:rsidR="002921DD" w:rsidRPr="00C065EA">
        <w:rPr>
          <w:rFonts w:ascii="Arial" w:hAnsi="Arial" w:cs="Arial"/>
          <w:sz w:val="22"/>
          <w:szCs w:val="22"/>
          <w:lang w:val="es-ES_tradnl"/>
        </w:rPr>
        <w:t xml:space="preserve">precitado </w:t>
      </w:r>
      <w:r w:rsidR="00BD5906" w:rsidRPr="00C065EA">
        <w:rPr>
          <w:rFonts w:ascii="Arial" w:hAnsi="Arial" w:cs="Arial"/>
          <w:sz w:val="22"/>
          <w:szCs w:val="22"/>
          <w:lang w:val="es-ES_tradnl"/>
        </w:rPr>
        <w:t>numeral 2 del artículo 2.2.1.2.4.2.17</w:t>
      </w:r>
      <w:r w:rsidR="00013BBA" w:rsidRPr="00C065EA">
        <w:rPr>
          <w:rFonts w:ascii="Arial" w:hAnsi="Arial" w:cs="Arial"/>
          <w:sz w:val="22"/>
          <w:szCs w:val="22"/>
          <w:lang w:val="es-ES_tradnl"/>
        </w:rPr>
        <w:t xml:space="preserve">, </w:t>
      </w:r>
      <w:r w:rsidR="00BC12D0" w:rsidRPr="00C065EA">
        <w:rPr>
          <w:rFonts w:ascii="Arial" w:hAnsi="Arial" w:cs="Arial"/>
          <w:sz w:val="22"/>
          <w:szCs w:val="22"/>
          <w:lang w:val="es-ES_tradnl"/>
        </w:rPr>
        <w:t xml:space="preserve">que al establecer el medio de acreditación </w:t>
      </w:r>
      <w:r w:rsidR="008666A1" w:rsidRPr="00C065EA">
        <w:rPr>
          <w:rFonts w:ascii="Arial" w:hAnsi="Arial" w:cs="Arial"/>
          <w:sz w:val="22"/>
          <w:szCs w:val="22"/>
          <w:lang w:val="es-ES_tradnl"/>
        </w:rPr>
        <w:t>de este factor de desempate</w:t>
      </w:r>
      <w:r w:rsidR="00E77465" w:rsidRPr="00C065EA">
        <w:rPr>
          <w:rFonts w:ascii="Arial" w:hAnsi="Arial" w:cs="Arial"/>
          <w:sz w:val="22"/>
          <w:szCs w:val="22"/>
          <w:lang w:val="es-ES_tradnl"/>
        </w:rPr>
        <w:t xml:space="preserve"> para las personas jurídicas, indica que</w:t>
      </w:r>
      <w:r w:rsidR="00737BB0" w:rsidRPr="00C065EA">
        <w:rPr>
          <w:rFonts w:ascii="Arial" w:hAnsi="Arial" w:cs="Arial"/>
          <w:sz w:val="22"/>
          <w:szCs w:val="22"/>
          <w:lang w:val="es-ES_tradnl"/>
        </w:rPr>
        <w:t xml:space="preserve"> el respectivo </w:t>
      </w:r>
      <w:r w:rsidR="00E97061" w:rsidRPr="00C065EA">
        <w:rPr>
          <w:rFonts w:ascii="Arial" w:hAnsi="Arial" w:cs="Arial"/>
          <w:sz w:val="22"/>
          <w:szCs w:val="22"/>
          <w:lang w:val="es-ES_tradnl"/>
        </w:rPr>
        <w:t>representante legal o revisor fiscal,</w:t>
      </w:r>
      <w:r w:rsidR="00E77465" w:rsidRPr="00C065EA">
        <w:rPr>
          <w:rFonts w:ascii="Arial" w:hAnsi="Arial" w:cs="Arial"/>
          <w:sz w:val="22"/>
          <w:szCs w:val="22"/>
          <w:lang w:val="es-ES_tradnl"/>
        </w:rPr>
        <w:t xml:space="preserve"> deberá presentar  «[…] un certificado, mediante el cual acredita, bajo la gravedad de juramento, que más del cincuenta por ciento (50 %) de la composición accionaria o cuota parte de la persona jurídica está constituida por mujeres cabeza de familia y/o mujeres víctimas de violencia intrafamiliar</w:t>
      </w:r>
      <w:r w:rsidR="00E97061" w:rsidRPr="00C065EA">
        <w:rPr>
          <w:rFonts w:ascii="Arial" w:hAnsi="Arial" w:cs="Arial"/>
          <w:sz w:val="22"/>
          <w:szCs w:val="22"/>
          <w:lang w:val="es-ES_tradnl"/>
        </w:rPr>
        <w:t>»</w:t>
      </w:r>
      <w:r w:rsidR="00E77465" w:rsidRPr="00C065EA">
        <w:rPr>
          <w:rFonts w:ascii="Arial" w:hAnsi="Arial" w:cs="Arial"/>
          <w:sz w:val="22"/>
          <w:szCs w:val="22"/>
          <w:lang w:val="es-ES_tradnl"/>
        </w:rPr>
        <w:t>.</w:t>
      </w:r>
    </w:p>
    <w:p w14:paraId="32F3D32A" w14:textId="2F128DE1" w:rsidR="00AA09D2" w:rsidRPr="00C065EA" w:rsidRDefault="00B70F36" w:rsidP="00B32E31">
      <w:pPr>
        <w:spacing w:before="120" w:line="276" w:lineRule="auto"/>
        <w:ind w:firstLine="709"/>
        <w:jc w:val="both"/>
        <w:rPr>
          <w:rFonts w:ascii="Arial" w:hAnsi="Arial" w:cs="Arial"/>
          <w:sz w:val="22"/>
          <w:szCs w:val="22"/>
          <w:lang w:val="es-ES_tradnl"/>
        </w:rPr>
      </w:pPr>
      <w:r w:rsidRPr="00C065EA">
        <w:rPr>
          <w:rFonts w:ascii="Arial" w:hAnsi="Arial" w:cs="Arial"/>
          <w:sz w:val="22"/>
          <w:szCs w:val="22"/>
          <w:lang w:val="es-ES_tradnl"/>
        </w:rPr>
        <w:t>De acuerdo con est</w:t>
      </w:r>
      <w:r w:rsidR="00AE7A69" w:rsidRPr="00C065EA">
        <w:rPr>
          <w:rFonts w:ascii="Arial" w:hAnsi="Arial" w:cs="Arial"/>
          <w:sz w:val="22"/>
          <w:szCs w:val="22"/>
          <w:lang w:val="es-ES_tradnl"/>
        </w:rPr>
        <w:t xml:space="preserve">o, </w:t>
      </w:r>
      <w:r w:rsidR="008E0BE3" w:rsidRPr="00C065EA">
        <w:rPr>
          <w:rFonts w:ascii="Arial" w:hAnsi="Arial" w:cs="Arial"/>
          <w:sz w:val="22"/>
          <w:szCs w:val="22"/>
          <w:lang w:val="es-ES_tradnl"/>
        </w:rPr>
        <w:t>d</w:t>
      </w:r>
      <w:r w:rsidR="00AE7A69" w:rsidRPr="00C065EA">
        <w:rPr>
          <w:rFonts w:ascii="Arial" w:hAnsi="Arial" w:cs="Arial"/>
          <w:sz w:val="22"/>
          <w:szCs w:val="22"/>
          <w:lang w:val="es-ES_tradnl"/>
        </w:rPr>
        <w:t xml:space="preserve">el numeral 2 del artículo 35 de </w:t>
      </w:r>
      <w:r w:rsidR="00692634" w:rsidRPr="00C065EA">
        <w:rPr>
          <w:rFonts w:ascii="Arial" w:hAnsi="Arial" w:cs="Arial"/>
          <w:sz w:val="22"/>
          <w:szCs w:val="22"/>
          <w:lang w:val="es-ES_tradnl"/>
        </w:rPr>
        <w:t>la Ley 2069 de 2020</w:t>
      </w:r>
      <w:r w:rsidR="008E0BE3" w:rsidRPr="00C065EA">
        <w:rPr>
          <w:rFonts w:ascii="Arial" w:hAnsi="Arial" w:cs="Arial"/>
          <w:sz w:val="22"/>
          <w:szCs w:val="22"/>
          <w:lang w:val="es-ES_tradnl"/>
        </w:rPr>
        <w:t xml:space="preserve"> y de la manera en la que se ha reglamentado</w:t>
      </w:r>
      <w:r w:rsidR="00692634" w:rsidRPr="00C065EA">
        <w:rPr>
          <w:rFonts w:ascii="Arial" w:hAnsi="Arial" w:cs="Arial"/>
          <w:sz w:val="22"/>
          <w:szCs w:val="22"/>
          <w:lang w:val="es-ES_tradnl"/>
        </w:rPr>
        <w:t xml:space="preserve">, permite concluir que </w:t>
      </w:r>
      <w:r w:rsidR="00994C64" w:rsidRPr="00C065EA">
        <w:rPr>
          <w:rFonts w:ascii="Arial" w:hAnsi="Arial" w:cs="Arial"/>
          <w:sz w:val="22"/>
          <w:szCs w:val="22"/>
          <w:lang w:val="es-ES_tradnl"/>
        </w:rPr>
        <w:t xml:space="preserve">las </w:t>
      </w:r>
      <w:r w:rsidR="00692634" w:rsidRPr="00C065EA">
        <w:rPr>
          <w:rFonts w:ascii="Arial" w:hAnsi="Arial" w:cs="Arial"/>
          <w:sz w:val="22"/>
          <w:szCs w:val="22"/>
          <w:lang w:val="es-ES_tradnl"/>
        </w:rPr>
        <w:t>persona</w:t>
      </w:r>
      <w:r w:rsidR="00994C64" w:rsidRPr="00C065EA">
        <w:rPr>
          <w:rFonts w:ascii="Arial" w:hAnsi="Arial" w:cs="Arial"/>
          <w:sz w:val="22"/>
          <w:szCs w:val="22"/>
          <w:lang w:val="es-ES_tradnl"/>
        </w:rPr>
        <w:t>s</w:t>
      </w:r>
      <w:r w:rsidR="00692634" w:rsidRPr="00C065EA">
        <w:rPr>
          <w:rFonts w:ascii="Arial" w:hAnsi="Arial" w:cs="Arial"/>
          <w:sz w:val="22"/>
          <w:szCs w:val="22"/>
          <w:lang w:val="es-ES_tradnl"/>
        </w:rPr>
        <w:t xml:space="preserve"> jurídica</w:t>
      </w:r>
      <w:r w:rsidR="00994C64" w:rsidRPr="00C065EA">
        <w:rPr>
          <w:rFonts w:ascii="Arial" w:hAnsi="Arial" w:cs="Arial"/>
          <w:sz w:val="22"/>
          <w:szCs w:val="22"/>
          <w:lang w:val="es-ES_tradnl"/>
        </w:rPr>
        <w:t>s</w:t>
      </w:r>
      <w:r w:rsidR="00692634" w:rsidRPr="00C065EA">
        <w:rPr>
          <w:rFonts w:ascii="Arial" w:hAnsi="Arial" w:cs="Arial"/>
          <w:sz w:val="22"/>
          <w:szCs w:val="22"/>
          <w:lang w:val="es-ES_tradnl"/>
        </w:rPr>
        <w:t xml:space="preserve"> </w:t>
      </w:r>
      <w:r w:rsidR="00994C64" w:rsidRPr="00C065EA">
        <w:rPr>
          <w:rFonts w:ascii="Arial" w:hAnsi="Arial" w:cs="Arial"/>
          <w:sz w:val="22"/>
          <w:szCs w:val="22"/>
          <w:lang w:val="es-ES_tradnl"/>
        </w:rPr>
        <w:t xml:space="preserve">que entran dentro del ámbito de aplicación </w:t>
      </w:r>
      <w:r w:rsidR="000008C5" w:rsidRPr="00C065EA">
        <w:rPr>
          <w:rFonts w:ascii="Arial" w:hAnsi="Arial" w:cs="Arial"/>
          <w:sz w:val="22"/>
          <w:szCs w:val="22"/>
          <w:lang w:val="es-ES_tradnl"/>
        </w:rPr>
        <w:t xml:space="preserve">de este criterio de desempate son aquellas </w:t>
      </w:r>
      <w:r w:rsidR="0035473F" w:rsidRPr="00C065EA">
        <w:rPr>
          <w:rFonts w:ascii="Arial" w:hAnsi="Arial" w:cs="Arial"/>
          <w:sz w:val="22"/>
          <w:szCs w:val="22"/>
          <w:lang w:val="es-ES_tradnl"/>
        </w:rPr>
        <w:t>en las que más del 50%</w:t>
      </w:r>
      <w:r w:rsidR="009737CD" w:rsidRPr="00C065EA">
        <w:rPr>
          <w:rFonts w:ascii="Arial" w:hAnsi="Arial" w:cs="Arial"/>
          <w:sz w:val="22"/>
          <w:szCs w:val="22"/>
          <w:lang w:val="es-ES_tradnl"/>
        </w:rPr>
        <w:t xml:space="preserve"> de la</w:t>
      </w:r>
      <w:r w:rsidR="0030602B" w:rsidRPr="00C065EA">
        <w:rPr>
          <w:rFonts w:ascii="Arial" w:hAnsi="Arial" w:cs="Arial"/>
          <w:sz w:val="22"/>
          <w:szCs w:val="22"/>
          <w:lang w:val="es-ES_tradnl"/>
        </w:rPr>
        <w:t xml:space="preserve"> composición accionaria</w:t>
      </w:r>
      <w:r w:rsidR="0035473F" w:rsidRPr="00C065EA">
        <w:rPr>
          <w:rFonts w:ascii="Arial" w:hAnsi="Arial" w:cs="Arial"/>
          <w:sz w:val="22"/>
          <w:szCs w:val="22"/>
          <w:lang w:val="es-ES_tradnl"/>
        </w:rPr>
        <w:t xml:space="preserve"> o cuota</w:t>
      </w:r>
      <w:r w:rsidR="001A7E6F" w:rsidRPr="00C065EA">
        <w:rPr>
          <w:rFonts w:ascii="Arial" w:hAnsi="Arial" w:cs="Arial"/>
          <w:sz w:val="22"/>
          <w:szCs w:val="22"/>
          <w:lang w:val="es-ES_tradnl"/>
        </w:rPr>
        <w:t>s</w:t>
      </w:r>
      <w:r w:rsidR="0035473F" w:rsidRPr="00C065EA">
        <w:rPr>
          <w:rFonts w:ascii="Arial" w:hAnsi="Arial" w:cs="Arial"/>
          <w:sz w:val="22"/>
          <w:szCs w:val="22"/>
          <w:lang w:val="es-ES_tradnl"/>
        </w:rPr>
        <w:t xml:space="preserve"> parte</w:t>
      </w:r>
      <w:r w:rsidR="001A7E6F" w:rsidRPr="00C065EA">
        <w:rPr>
          <w:rFonts w:ascii="Arial" w:hAnsi="Arial" w:cs="Arial"/>
          <w:sz w:val="22"/>
          <w:szCs w:val="22"/>
          <w:lang w:val="es-ES_tradnl"/>
        </w:rPr>
        <w:t>s</w:t>
      </w:r>
      <w:r w:rsidR="009737CD" w:rsidRPr="00C065EA">
        <w:rPr>
          <w:rFonts w:ascii="Arial" w:hAnsi="Arial" w:cs="Arial"/>
          <w:sz w:val="22"/>
          <w:szCs w:val="22"/>
          <w:lang w:val="es-ES_tradnl"/>
        </w:rPr>
        <w:t xml:space="preserve"> </w:t>
      </w:r>
      <w:r w:rsidR="001A7E6F" w:rsidRPr="00C065EA">
        <w:rPr>
          <w:rFonts w:ascii="Arial" w:hAnsi="Arial" w:cs="Arial"/>
          <w:sz w:val="22"/>
          <w:szCs w:val="22"/>
          <w:lang w:val="es-ES_tradnl"/>
        </w:rPr>
        <w:t>recaigan en</w:t>
      </w:r>
      <w:r w:rsidR="009737CD" w:rsidRPr="00C065EA">
        <w:rPr>
          <w:rFonts w:ascii="Arial" w:hAnsi="Arial" w:cs="Arial"/>
          <w:sz w:val="22"/>
          <w:szCs w:val="22"/>
          <w:lang w:val="es-ES_tradnl"/>
        </w:rPr>
        <w:t xml:space="preserve"> mujeres cabeza de familia y/o mujeres víctimas de violencia intrafamiliar</w:t>
      </w:r>
      <w:r w:rsidR="00C80AE6" w:rsidRPr="00C065EA">
        <w:rPr>
          <w:rFonts w:ascii="Arial" w:hAnsi="Arial" w:cs="Arial"/>
          <w:sz w:val="22"/>
          <w:szCs w:val="22"/>
          <w:lang w:val="es-ES_tradnl"/>
        </w:rPr>
        <w:t>. Esta circunstancia</w:t>
      </w:r>
      <w:r w:rsidR="0092033A" w:rsidRPr="00C065EA">
        <w:rPr>
          <w:rFonts w:ascii="Arial" w:hAnsi="Arial" w:cs="Arial"/>
          <w:sz w:val="22"/>
          <w:szCs w:val="22"/>
          <w:lang w:val="es-ES_tradnl"/>
        </w:rPr>
        <w:t>, de conformidad con el inciso tercero del numeral 2 del artículo 2.2.1.2.4.2.17,</w:t>
      </w:r>
      <w:r w:rsidR="00B23490" w:rsidRPr="00C065EA">
        <w:rPr>
          <w:rFonts w:ascii="Arial" w:hAnsi="Arial" w:cs="Arial"/>
          <w:sz w:val="22"/>
          <w:szCs w:val="22"/>
          <w:lang w:val="es-ES_tradnl"/>
        </w:rPr>
        <w:t xml:space="preserve"> debe </w:t>
      </w:r>
      <w:r w:rsidR="00E93609" w:rsidRPr="00C065EA">
        <w:rPr>
          <w:rFonts w:ascii="Arial" w:hAnsi="Arial" w:cs="Arial"/>
          <w:sz w:val="22"/>
          <w:szCs w:val="22"/>
          <w:lang w:val="es-ES_tradnl"/>
        </w:rPr>
        <w:t xml:space="preserve">demostrarse </w:t>
      </w:r>
      <w:r w:rsidR="00B23490" w:rsidRPr="00C065EA">
        <w:rPr>
          <w:rFonts w:ascii="Arial" w:hAnsi="Arial" w:cs="Arial"/>
          <w:sz w:val="22"/>
          <w:szCs w:val="22"/>
          <w:lang w:val="es-ES_tradnl"/>
        </w:rPr>
        <w:t>mediante certificación</w:t>
      </w:r>
      <w:r w:rsidR="002327D9" w:rsidRPr="00C065EA">
        <w:rPr>
          <w:rFonts w:ascii="Arial" w:hAnsi="Arial" w:cs="Arial"/>
          <w:sz w:val="22"/>
          <w:szCs w:val="22"/>
          <w:lang w:val="es-ES_tradnl"/>
        </w:rPr>
        <w:t xml:space="preserve"> emitida por el representante o revisor fiscal, según corresponda</w:t>
      </w:r>
      <w:r w:rsidR="00B23490" w:rsidRPr="00C065EA">
        <w:rPr>
          <w:rFonts w:ascii="Arial" w:hAnsi="Arial" w:cs="Arial"/>
          <w:sz w:val="22"/>
          <w:szCs w:val="22"/>
          <w:lang w:val="es-ES_tradnl"/>
        </w:rPr>
        <w:t>, bajo la gravedad de juramento</w:t>
      </w:r>
      <w:r w:rsidR="002327D9" w:rsidRPr="00C065EA">
        <w:rPr>
          <w:rFonts w:ascii="Arial" w:hAnsi="Arial" w:cs="Arial"/>
          <w:sz w:val="22"/>
          <w:szCs w:val="22"/>
          <w:lang w:val="es-ES_tradnl"/>
        </w:rPr>
        <w:t xml:space="preserve">, a la que además deberán </w:t>
      </w:r>
      <w:r w:rsidR="001A7E6F" w:rsidRPr="00C065EA">
        <w:rPr>
          <w:rFonts w:ascii="Arial" w:hAnsi="Arial" w:cs="Arial"/>
          <w:sz w:val="22"/>
          <w:szCs w:val="22"/>
          <w:lang w:val="es-ES_tradnl"/>
        </w:rPr>
        <w:t xml:space="preserve">presentarse </w:t>
      </w:r>
      <w:r w:rsidR="00B102A0" w:rsidRPr="00C065EA">
        <w:rPr>
          <w:rFonts w:ascii="Arial" w:hAnsi="Arial" w:cs="Arial"/>
          <w:sz w:val="22"/>
          <w:szCs w:val="22"/>
          <w:lang w:val="es-ES_tradnl"/>
        </w:rPr>
        <w:t>documentos mediante los que se demuestren las</w:t>
      </w:r>
      <w:r w:rsidR="002327D9" w:rsidRPr="00C065EA">
        <w:rPr>
          <w:rFonts w:ascii="Arial" w:hAnsi="Arial" w:cs="Arial"/>
          <w:sz w:val="22"/>
          <w:szCs w:val="22"/>
          <w:lang w:val="es-ES_tradnl"/>
        </w:rPr>
        <w:t xml:space="preserve"> </w:t>
      </w:r>
      <w:r w:rsidR="00F4160C" w:rsidRPr="00C065EA">
        <w:rPr>
          <w:rFonts w:ascii="Arial" w:hAnsi="Arial" w:cs="Arial"/>
          <w:sz w:val="22"/>
          <w:szCs w:val="22"/>
          <w:lang w:val="es-ES_tradnl"/>
        </w:rPr>
        <w:t xml:space="preserve">condiciones de jefatura de familia o </w:t>
      </w:r>
      <w:r w:rsidR="00E250CB" w:rsidRPr="00C065EA">
        <w:rPr>
          <w:rFonts w:ascii="Arial" w:hAnsi="Arial" w:cs="Arial"/>
          <w:sz w:val="22"/>
          <w:szCs w:val="22"/>
          <w:lang w:val="es-ES_tradnl"/>
        </w:rPr>
        <w:t>v</w:t>
      </w:r>
      <w:r w:rsidR="008B23D4" w:rsidRPr="00C065EA">
        <w:rPr>
          <w:rFonts w:ascii="Arial" w:hAnsi="Arial" w:cs="Arial"/>
          <w:sz w:val="22"/>
          <w:szCs w:val="22"/>
          <w:lang w:val="es-ES_tradnl"/>
        </w:rPr>
        <w:t>í</w:t>
      </w:r>
      <w:r w:rsidR="00E250CB" w:rsidRPr="00C065EA">
        <w:rPr>
          <w:rFonts w:ascii="Arial" w:hAnsi="Arial" w:cs="Arial"/>
          <w:sz w:val="22"/>
          <w:szCs w:val="22"/>
          <w:lang w:val="es-ES_tradnl"/>
        </w:rPr>
        <w:t xml:space="preserve">ctima de violencia intrafamiliar, respecto de las </w:t>
      </w:r>
      <w:r w:rsidR="002327D9" w:rsidRPr="00C065EA">
        <w:rPr>
          <w:rFonts w:ascii="Arial" w:hAnsi="Arial" w:cs="Arial"/>
          <w:sz w:val="22"/>
          <w:szCs w:val="22"/>
          <w:lang w:val="es-ES_tradnl"/>
        </w:rPr>
        <w:t xml:space="preserve"> mujeres </w:t>
      </w:r>
      <w:r w:rsidR="00E250CB" w:rsidRPr="00C065EA">
        <w:rPr>
          <w:rFonts w:ascii="Arial" w:hAnsi="Arial" w:cs="Arial"/>
          <w:sz w:val="22"/>
          <w:szCs w:val="22"/>
          <w:lang w:val="es-ES_tradnl"/>
        </w:rPr>
        <w:t>titulares</w:t>
      </w:r>
      <w:r w:rsidR="002327D9" w:rsidRPr="00C065EA">
        <w:rPr>
          <w:rFonts w:ascii="Arial" w:hAnsi="Arial" w:cs="Arial"/>
          <w:sz w:val="22"/>
          <w:szCs w:val="22"/>
          <w:lang w:val="es-ES_tradnl"/>
        </w:rPr>
        <w:t xml:space="preserve"> </w:t>
      </w:r>
      <w:r w:rsidR="00E250CB" w:rsidRPr="00C065EA">
        <w:rPr>
          <w:rFonts w:ascii="Arial" w:hAnsi="Arial" w:cs="Arial"/>
          <w:sz w:val="22"/>
          <w:szCs w:val="22"/>
          <w:lang w:val="es-ES_tradnl"/>
        </w:rPr>
        <w:t>de</w:t>
      </w:r>
      <w:r w:rsidR="00A07600" w:rsidRPr="00C065EA">
        <w:rPr>
          <w:rFonts w:ascii="Arial" w:hAnsi="Arial" w:cs="Arial"/>
          <w:sz w:val="22"/>
          <w:szCs w:val="22"/>
          <w:lang w:val="es-ES_tradnl"/>
        </w:rPr>
        <w:t xml:space="preserve"> la</w:t>
      </w:r>
      <w:r w:rsidR="00E250CB" w:rsidRPr="00C065EA">
        <w:rPr>
          <w:rFonts w:ascii="Arial" w:hAnsi="Arial" w:cs="Arial"/>
          <w:sz w:val="22"/>
          <w:szCs w:val="22"/>
          <w:lang w:val="es-ES_tradnl"/>
        </w:rPr>
        <w:t xml:space="preserve"> </w:t>
      </w:r>
      <w:r w:rsidR="002327D9" w:rsidRPr="00C065EA">
        <w:rPr>
          <w:rFonts w:ascii="Arial" w:hAnsi="Arial" w:cs="Arial"/>
          <w:sz w:val="22"/>
          <w:szCs w:val="22"/>
          <w:lang w:val="es-ES_tradnl"/>
        </w:rPr>
        <w:t>particip</w:t>
      </w:r>
      <w:r w:rsidR="00E250CB" w:rsidRPr="00C065EA">
        <w:rPr>
          <w:rFonts w:ascii="Arial" w:hAnsi="Arial" w:cs="Arial"/>
          <w:sz w:val="22"/>
          <w:szCs w:val="22"/>
          <w:lang w:val="es-ES_tradnl"/>
        </w:rPr>
        <w:t>ación</w:t>
      </w:r>
      <w:r w:rsidR="002327D9" w:rsidRPr="00C065EA">
        <w:rPr>
          <w:rFonts w:ascii="Arial" w:hAnsi="Arial" w:cs="Arial"/>
          <w:sz w:val="22"/>
          <w:szCs w:val="22"/>
          <w:lang w:val="es-ES_tradnl"/>
        </w:rPr>
        <w:t xml:space="preserve"> </w:t>
      </w:r>
      <w:r w:rsidR="00E250CB" w:rsidRPr="00C065EA">
        <w:rPr>
          <w:rFonts w:ascii="Arial" w:hAnsi="Arial" w:cs="Arial"/>
          <w:sz w:val="22"/>
          <w:szCs w:val="22"/>
          <w:lang w:val="es-ES_tradnl"/>
        </w:rPr>
        <w:t>de</w:t>
      </w:r>
      <w:r w:rsidR="002327D9" w:rsidRPr="00C065EA">
        <w:rPr>
          <w:rFonts w:ascii="Arial" w:hAnsi="Arial" w:cs="Arial"/>
          <w:sz w:val="22"/>
          <w:szCs w:val="22"/>
          <w:lang w:val="es-ES_tradnl"/>
        </w:rPr>
        <w:t xml:space="preserve"> la sociedad, de acuerdo con los incisos</w:t>
      </w:r>
      <w:r w:rsidR="00E250CB" w:rsidRPr="00C065EA">
        <w:rPr>
          <w:rFonts w:ascii="Arial" w:hAnsi="Arial" w:cs="Arial"/>
          <w:sz w:val="22"/>
          <w:szCs w:val="22"/>
          <w:lang w:val="es-ES_tradnl"/>
        </w:rPr>
        <w:t xml:space="preserve"> primero y segundo del numeral 2 del artículo</w:t>
      </w:r>
      <w:r w:rsidR="00B406DE" w:rsidRPr="00C065EA">
        <w:rPr>
          <w:rFonts w:ascii="Arial" w:hAnsi="Arial" w:cs="Arial"/>
          <w:sz w:val="22"/>
          <w:szCs w:val="22"/>
          <w:lang w:val="es-ES_tradnl"/>
        </w:rPr>
        <w:t xml:space="preserve"> 2.2.1.2.4.2.17 del Decreto 1082 de 2015, adicionado por el Decreto 1860 de 2021</w:t>
      </w:r>
      <w:r w:rsidR="002327D9" w:rsidRPr="00C065EA">
        <w:rPr>
          <w:rFonts w:ascii="Arial" w:hAnsi="Arial" w:cs="Arial"/>
          <w:sz w:val="22"/>
          <w:szCs w:val="22"/>
          <w:lang w:val="es-ES_tradnl"/>
        </w:rPr>
        <w:t>.</w:t>
      </w:r>
    </w:p>
    <w:p w14:paraId="3F024FA2" w14:textId="2E88A985" w:rsidR="00BC7EB4" w:rsidRPr="00C065EA" w:rsidRDefault="00335245" w:rsidP="00B32E31">
      <w:pPr>
        <w:spacing w:before="120" w:line="276" w:lineRule="auto"/>
        <w:ind w:firstLine="709"/>
        <w:jc w:val="both"/>
        <w:rPr>
          <w:rFonts w:ascii="Arial" w:hAnsi="Arial" w:cs="Arial"/>
          <w:sz w:val="22"/>
          <w:szCs w:val="22"/>
          <w:lang w:val="es-ES_tradnl"/>
        </w:rPr>
      </w:pPr>
      <w:r w:rsidRPr="00C065EA">
        <w:rPr>
          <w:rFonts w:ascii="Arial" w:hAnsi="Arial" w:cs="Arial"/>
          <w:sz w:val="22"/>
          <w:szCs w:val="22"/>
          <w:lang w:val="es-ES_tradnl"/>
        </w:rPr>
        <w:lastRenderedPageBreak/>
        <w:t xml:space="preserve">De otra parte, en cuanto a la acreditación </w:t>
      </w:r>
      <w:r w:rsidR="009C68B8" w:rsidRPr="00C065EA">
        <w:rPr>
          <w:rFonts w:ascii="Arial" w:hAnsi="Arial" w:cs="Arial"/>
          <w:sz w:val="22"/>
          <w:szCs w:val="22"/>
          <w:lang w:val="es-ES_tradnl"/>
        </w:rPr>
        <w:t>de los factores</w:t>
      </w:r>
      <w:r w:rsidR="003C3412" w:rsidRPr="00C065EA">
        <w:rPr>
          <w:rFonts w:ascii="Arial" w:hAnsi="Arial" w:cs="Arial"/>
          <w:sz w:val="22"/>
          <w:szCs w:val="22"/>
          <w:lang w:val="es-ES_tradnl"/>
        </w:rPr>
        <w:t xml:space="preserve"> de desempate,</w:t>
      </w:r>
      <w:r w:rsidR="001B0DD0" w:rsidRPr="00C065EA">
        <w:rPr>
          <w:rFonts w:ascii="Arial" w:hAnsi="Arial" w:cs="Arial"/>
          <w:sz w:val="22"/>
          <w:szCs w:val="22"/>
          <w:lang w:val="es-ES_tradnl"/>
        </w:rPr>
        <w:t xml:space="preserve"> debe señalarse que con</w:t>
      </w:r>
      <w:r w:rsidR="003C3412" w:rsidRPr="00C065EA">
        <w:rPr>
          <w:rFonts w:ascii="Arial" w:hAnsi="Arial" w:cs="Arial"/>
          <w:sz w:val="22"/>
          <w:szCs w:val="22"/>
          <w:lang w:val="es-ES_tradnl"/>
        </w:rPr>
        <w:t xml:space="preserve"> la expedición del Decreto 1860 de 2021, adicionand</w:t>
      </w:r>
      <w:r w:rsidR="009C68B8" w:rsidRPr="00C065EA">
        <w:rPr>
          <w:rFonts w:ascii="Arial" w:hAnsi="Arial" w:cs="Arial"/>
          <w:sz w:val="22"/>
          <w:szCs w:val="22"/>
          <w:lang w:val="es-ES_tradnl"/>
        </w:rPr>
        <w:t xml:space="preserve">o el artículo 2.2.1.2.4.2.17 del Decreto 1082 de 2015, </w:t>
      </w:r>
      <w:r w:rsidR="001B0DD0" w:rsidRPr="00C065EA">
        <w:rPr>
          <w:rFonts w:ascii="Arial" w:hAnsi="Arial" w:cs="Arial"/>
          <w:sz w:val="22"/>
          <w:szCs w:val="22"/>
          <w:lang w:val="es-ES_tradnl"/>
        </w:rPr>
        <w:t>se reglamentó de manera clara</w:t>
      </w:r>
      <w:r w:rsidR="00FB241D" w:rsidRPr="00C065EA">
        <w:rPr>
          <w:rFonts w:ascii="Arial" w:hAnsi="Arial" w:cs="Arial"/>
          <w:sz w:val="22"/>
          <w:szCs w:val="22"/>
          <w:lang w:val="es-ES_tradnl"/>
        </w:rPr>
        <w:t xml:space="preserve"> cuales serían los medios que obligatoriamente deberían aplicar las entidades estatales, una vez comience a regir el contenido </w:t>
      </w:r>
      <w:r w:rsidR="004B729B" w:rsidRPr="00C065EA">
        <w:rPr>
          <w:rFonts w:ascii="Arial" w:hAnsi="Arial" w:cs="Arial"/>
          <w:sz w:val="22"/>
          <w:szCs w:val="22"/>
          <w:lang w:val="es-ES_tradnl"/>
        </w:rPr>
        <w:t>de este último artículo. En lo atinente a la acreditación del factor de desempate del numeral 2 del artículo de la Ley 2069 de 2020</w:t>
      </w:r>
      <w:r w:rsidR="00E95436" w:rsidRPr="00C065EA">
        <w:rPr>
          <w:rFonts w:ascii="Arial" w:hAnsi="Arial" w:cs="Arial"/>
          <w:sz w:val="22"/>
          <w:szCs w:val="22"/>
          <w:lang w:val="es-ES_tradnl"/>
        </w:rPr>
        <w:t xml:space="preserve"> por parte de personas jurídicas, </w:t>
      </w:r>
      <w:r w:rsidR="00A56A05" w:rsidRPr="00C065EA">
        <w:rPr>
          <w:rFonts w:ascii="Arial" w:hAnsi="Arial" w:cs="Arial"/>
          <w:sz w:val="22"/>
          <w:szCs w:val="22"/>
          <w:lang w:val="es-ES_tradnl"/>
        </w:rPr>
        <w:t xml:space="preserve">como se mencionó </w:t>
      </w:r>
      <w:r w:rsidR="00A56A05" w:rsidRPr="00C065EA">
        <w:rPr>
          <w:rFonts w:ascii="Arial" w:hAnsi="Arial" w:cs="Arial"/>
          <w:i/>
          <w:iCs/>
          <w:sz w:val="22"/>
          <w:szCs w:val="22"/>
          <w:lang w:val="es-ES_tradnl"/>
        </w:rPr>
        <w:t>supra</w:t>
      </w:r>
      <w:r w:rsidR="00A56A05" w:rsidRPr="00C065EA">
        <w:rPr>
          <w:rFonts w:ascii="Arial" w:hAnsi="Arial" w:cs="Arial"/>
          <w:sz w:val="22"/>
          <w:szCs w:val="22"/>
          <w:lang w:val="es-ES_tradnl"/>
        </w:rPr>
        <w:t xml:space="preserve">, los medios establecidos fueron una </w:t>
      </w:r>
      <w:r w:rsidR="00D22F3E" w:rsidRPr="00C065EA">
        <w:rPr>
          <w:rFonts w:ascii="Arial" w:hAnsi="Arial" w:cs="Arial"/>
          <w:sz w:val="22"/>
          <w:szCs w:val="22"/>
          <w:lang w:val="es-ES_tradnl"/>
        </w:rPr>
        <w:t>certificación bajo la gravedad de jur</w:t>
      </w:r>
      <w:r w:rsidR="00FE7972" w:rsidRPr="00C065EA">
        <w:rPr>
          <w:rFonts w:ascii="Arial" w:hAnsi="Arial" w:cs="Arial"/>
          <w:sz w:val="22"/>
          <w:szCs w:val="22"/>
          <w:lang w:val="es-ES_tradnl"/>
        </w:rPr>
        <w:t>ament</w:t>
      </w:r>
      <w:r w:rsidR="009D5AF5" w:rsidRPr="00C065EA">
        <w:rPr>
          <w:rFonts w:ascii="Arial" w:hAnsi="Arial" w:cs="Arial"/>
          <w:sz w:val="22"/>
          <w:szCs w:val="22"/>
          <w:lang w:val="es-ES_tradnl"/>
        </w:rPr>
        <w:t>o</w:t>
      </w:r>
      <w:r w:rsidR="00FE7972" w:rsidRPr="00C065EA">
        <w:rPr>
          <w:rFonts w:ascii="Arial" w:hAnsi="Arial" w:cs="Arial"/>
          <w:sz w:val="22"/>
          <w:szCs w:val="22"/>
          <w:lang w:val="es-ES_tradnl"/>
        </w:rPr>
        <w:t xml:space="preserve"> acompañada de los documentos que demuestren </w:t>
      </w:r>
      <w:r w:rsidR="0093603F" w:rsidRPr="00C065EA">
        <w:rPr>
          <w:rFonts w:ascii="Arial" w:hAnsi="Arial" w:cs="Arial"/>
          <w:sz w:val="22"/>
          <w:szCs w:val="22"/>
          <w:lang w:val="es-ES_tradnl"/>
        </w:rPr>
        <w:t xml:space="preserve">que las titulares de la participación mayoritaria </w:t>
      </w:r>
      <w:r w:rsidR="0096199C" w:rsidRPr="00C065EA">
        <w:rPr>
          <w:rFonts w:ascii="Arial" w:hAnsi="Arial" w:cs="Arial"/>
          <w:sz w:val="22"/>
          <w:szCs w:val="22"/>
          <w:lang w:val="es-ES_tradnl"/>
        </w:rPr>
        <w:t>son mujeres cabeza de familia y/o víctimas de violencia intrafamiliar.</w:t>
      </w:r>
      <w:r w:rsidR="005364A4" w:rsidRPr="00C065EA">
        <w:rPr>
          <w:rFonts w:ascii="Arial" w:hAnsi="Arial" w:cs="Arial"/>
          <w:sz w:val="22"/>
          <w:szCs w:val="22"/>
          <w:lang w:val="es-ES_tradnl"/>
        </w:rPr>
        <w:t xml:space="preserve"> </w:t>
      </w:r>
    </w:p>
    <w:p w14:paraId="2B3D4880" w14:textId="3D4937F1" w:rsidR="00606671" w:rsidRPr="00C065EA" w:rsidRDefault="00CA12B8" w:rsidP="00284D26">
      <w:pPr>
        <w:spacing w:before="120" w:line="276" w:lineRule="auto"/>
        <w:jc w:val="both"/>
        <w:rPr>
          <w:rFonts w:ascii="Arial" w:eastAsia="Calibri" w:hAnsi="Arial" w:cs="Arial"/>
          <w:sz w:val="22"/>
          <w:szCs w:val="22"/>
          <w:lang w:val="es-ES_tradnl"/>
        </w:rPr>
      </w:pPr>
      <w:r w:rsidRPr="00C065EA">
        <w:rPr>
          <w:rFonts w:ascii="Arial" w:hAnsi="Arial" w:cs="Arial"/>
          <w:sz w:val="22"/>
          <w:szCs w:val="22"/>
          <w:lang w:val="es-ES_tradnl"/>
        </w:rPr>
        <w:tab/>
      </w:r>
      <w:r w:rsidR="00261A75" w:rsidRPr="00C065EA">
        <w:rPr>
          <w:rFonts w:ascii="Arial" w:hAnsi="Arial" w:cs="Arial"/>
          <w:sz w:val="22"/>
          <w:szCs w:val="22"/>
          <w:lang w:val="es-ES_tradnl"/>
        </w:rPr>
        <w:t>Ahora</w:t>
      </w:r>
      <w:r w:rsidR="00936753" w:rsidRPr="00C065EA">
        <w:rPr>
          <w:rFonts w:ascii="Arial" w:hAnsi="Arial" w:cs="Arial"/>
          <w:sz w:val="22"/>
          <w:szCs w:val="22"/>
          <w:lang w:val="es-ES_tradnl"/>
        </w:rPr>
        <w:t>,</w:t>
      </w:r>
      <w:r w:rsidR="00544CA8" w:rsidRPr="00C065EA">
        <w:rPr>
          <w:rFonts w:ascii="Arial" w:hAnsi="Arial" w:cs="Arial"/>
          <w:sz w:val="22"/>
          <w:szCs w:val="22"/>
          <w:lang w:val="es-ES_tradnl"/>
        </w:rPr>
        <w:t xml:space="preserve"> los medios de acreditación para personas jurídicas dispuestos en el inciso tercero del numeral 2 del artículo</w:t>
      </w:r>
      <w:r w:rsidR="00B871D7" w:rsidRPr="00C065EA">
        <w:rPr>
          <w:rFonts w:ascii="Arial" w:hAnsi="Arial" w:cs="Arial"/>
          <w:sz w:val="22"/>
          <w:szCs w:val="22"/>
          <w:lang w:val="es-ES_tradnl"/>
        </w:rPr>
        <w:t xml:space="preserve"> 2.2.1.2.4.2.17 del Decreto 1082 de 2015, </w:t>
      </w:r>
      <w:r w:rsidR="00F57FC6" w:rsidRPr="00C065EA">
        <w:rPr>
          <w:rFonts w:ascii="Arial" w:hAnsi="Arial" w:cs="Arial"/>
          <w:sz w:val="22"/>
          <w:szCs w:val="22"/>
          <w:lang w:val="es-ES_tradnl"/>
        </w:rPr>
        <w:t>comenza</w:t>
      </w:r>
      <w:r w:rsidR="001A7E6F" w:rsidRPr="00C065EA">
        <w:rPr>
          <w:rFonts w:ascii="Arial" w:hAnsi="Arial" w:cs="Arial"/>
          <w:sz w:val="22"/>
          <w:szCs w:val="22"/>
          <w:lang w:val="es-ES_tradnl"/>
        </w:rPr>
        <w:t>ro</w:t>
      </w:r>
      <w:r w:rsidR="00F57FC6" w:rsidRPr="00C065EA">
        <w:rPr>
          <w:rFonts w:ascii="Arial" w:hAnsi="Arial" w:cs="Arial"/>
          <w:sz w:val="22"/>
          <w:szCs w:val="22"/>
          <w:lang w:val="es-ES_tradnl"/>
        </w:rPr>
        <w:t>n a regir</w:t>
      </w:r>
      <w:r w:rsidR="001A7E6F" w:rsidRPr="00C065EA">
        <w:rPr>
          <w:rFonts w:ascii="Arial" w:hAnsi="Arial" w:cs="Arial"/>
          <w:sz w:val="22"/>
          <w:szCs w:val="22"/>
          <w:lang w:val="es-ES_tradnl"/>
        </w:rPr>
        <w:t>,</w:t>
      </w:r>
      <w:r w:rsidR="001521A5" w:rsidRPr="00C065EA">
        <w:rPr>
          <w:rFonts w:ascii="Arial" w:hAnsi="Arial" w:cs="Arial"/>
          <w:sz w:val="22"/>
          <w:szCs w:val="22"/>
          <w:lang w:val="es-ES_tradnl"/>
        </w:rPr>
        <w:t xml:space="preserve"> como se señaló, </w:t>
      </w:r>
      <w:r w:rsidR="00983C70" w:rsidRPr="00C065EA">
        <w:rPr>
          <w:rFonts w:ascii="Arial" w:hAnsi="Arial" w:cs="Arial"/>
          <w:sz w:val="22"/>
          <w:szCs w:val="22"/>
          <w:lang w:val="es-ES_tradnl"/>
        </w:rPr>
        <w:t xml:space="preserve">en los procesos cuya invitación o aviso de convocatoria </w:t>
      </w:r>
      <w:r w:rsidR="00BC7FDD" w:rsidRPr="00C065EA">
        <w:rPr>
          <w:rFonts w:ascii="Arial" w:hAnsi="Arial" w:cs="Arial"/>
          <w:sz w:val="22"/>
          <w:szCs w:val="22"/>
          <w:lang w:val="es-ES_tradnl"/>
        </w:rPr>
        <w:t xml:space="preserve">se </w:t>
      </w:r>
      <w:proofErr w:type="gramStart"/>
      <w:r w:rsidR="001A7E6F" w:rsidRPr="00C065EA">
        <w:rPr>
          <w:rFonts w:ascii="Arial" w:hAnsi="Arial" w:cs="Arial"/>
          <w:sz w:val="22"/>
          <w:szCs w:val="22"/>
          <w:lang w:val="es-ES_tradnl"/>
        </w:rPr>
        <w:t>publicara</w:t>
      </w:r>
      <w:proofErr w:type="gramEnd"/>
      <w:r w:rsidR="001A7E6F" w:rsidRPr="00C065EA">
        <w:rPr>
          <w:rFonts w:ascii="Arial" w:hAnsi="Arial" w:cs="Arial"/>
          <w:sz w:val="22"/>
          <w:szCs w:val="22"/>
          <w:lang w:val="es-ES_tradnl"/>
        </w:rPr>
        <w:t xml:space="preserve"> </w:t>
      </w:r>
      <w:r w:rsidR="00BC7FDD" w:rsidRPr="00C065EA">
        <w:rPr>
          <w:rFonts w:ascii="Arial" w:hAnsi="Arial" w:cs="Arial"/>
          <w:sz w:val="22"/>
          <w:szCs w:val="22"/>
          <w:lang w:val="es-ES_tradnl"/>
        </w:rPr>
        <w:t>a los tres</w:t>
      </w:r>
      <w:r w:rsidR="0069136E" w:rsidRPr="00C065EA">
        <w:rPr>
          <w:rFonts w:ascii="Arial" w:hAnsi="Arial" w:cs="Arial"/>
          <w:sz w:val="22"/>
          <w:szCs w:val="22"/>
          <w:lang w:val="es-ES_tradnl"/>
        </w:rPr>
        <w:t xml:space="preserve"> (3)</w:t>
      </w:r>
      <w:r w:rsidR="00BC7FDD" w:rsidRPr="00C065EA">
        <w:rPr>
          <w:rFonts w:ascii="Arial" w:hAnsi="Arial" w:cs="Arial"/>
          <w:sz w:val="22"/>
          <w:szCs w:val="22"/>
          <w:lang w:val="es-ES_tradnl"/>
        </w:rPr>
        <w:t xml:space="preserve"> meses contados a partir de su expedición</w:t>
      </w:r>
      <w:r w:rsidR="00BD623A" w:rsidRPr="00C065EA">
        <w:rPr>
          <w:rFonts w:ascii="Arial" w:hAnsi="Arial" w:cs="Arial"/>
          <w:sz w:val="22"/>
          <w:szCs w:val="22"/>
          <w:lang w:val="es-ES_tradnl"/>
        </w:rPr>
        <w:t xml:space="preserve">. En consideración a esto, </w:t>
      </w:r>
      <w:r w:rsidR="00FA606E" w:rsidRPr="00C065EA">
        <w:rPr>
          <w:rFonts w:ascii="Arial" w:hAnsi="Arial" w:cs="Arial"/>
          <w:sz w:val="22"/>
          <w:szCs w:val="22"/>
          <w:lang w:val="es-ES_tradnl"/>
        </w:rPr>
        <w:t>previo a la entrada en vigencia de dicha norma</w:t>
      </w:r>
      <w:r w:rsidR="002B7DAB" w:rsidRPr="00C065EA">
        <w:rPr>
          <w:rFonts w:ascii="Arial" w:hAnsi="Arial" w:cs="Arial"/>
          <w:sz w:val="22"/>
          <w:szCs w:val="22"/>
          <w:lang w:val="es-ES_tradnl"/>
        </w:rPr>
        <w:t>,</w:t>
      </w:r>
      <w:r w:rsidR="00FA606E" w:rsidRPr="00C065EA">
        <w:rPr>
          <w:rFonts w:ascii="Arial" w:hAnsi="Arial" w:cs="Arial"/>
          <w:sz w:val="22"/>
          <w:szCs w:val="22"/>
          <w:lang w:val="es-ES_tradnl"/>
        </w:rPr>
        <w:t xml:space="preserve"> las entidades contaban con</w:t>
      </w:r>
      <w:r w:rsidR="002B7DAB" w:rsidRPr="00C065EA">
        <w:rPr>
          <w:rFonts w:ascii="Arial" w:hAnsi="Arial" w:cs="Arial"/>
          <w:sz w:val="22"/>
          <w:szCs w:val="22"/>
          <w:lang w:val="es-ES_tradnl"/>
        </w:rPr>
        <w:t xml:space="preserve"> la competencia para definir el medio de acreditación de lo dispuesto en el artículo 35 de la Ley 2069 de 2020, </w:t>
      </w:r>
      <w:r w:rsidR="00714CCD" w:rsidRPr="00C065EA">
        <w:rPr>
          <w:rFonts w:ascii="Arial" w:hAnsi="Arial" w:cs="Arial"/>
          <w:sz w:val="22"/>
          <w:szCs w:val="22"/>
          <w:lang w:val="es-ES_tradnl"/>
        </w:rPr>
        <w:t>por lo que las</w:t>
      </w:r>
      <w:r w:rsidR="002B7DAB" w:rsidRPr="00C065EA">
        <w:rPr>
          <w:rFonts w:ascii="Arial" w:hAnsi="Arial" w:cs="Arial"/>
          <w:sz w:val="22"/>
          <w:szCs w:val="22"/>
          <w:lang w:val="es-ES_tradnl"/>
        </w:rPr>
        <w:t xml:space="preserve"> entidades estatales</w:t>
      </w:r>
      <w:r w:rsidR="00A57C5F" w:rsidRPr="00C065EA">
        <w:rPr>
          <w:rFonts w:ascii="Arial" w:hAnsi="Arial" w:cs="Arial"/>
          <w:sz w:val="22"/>
          <w:szCs w:val="22"/>
          <w:lang w:val="es-ES_tradnl"/>
        </w:rPr>
        <w:t xml:space="preserve">, </w:t>
      </w:r>
      <w:r w:rsidR="00714CCD" w:rsidRPr="00C065EA">
        <w:rPr>
          <w:rFonts w:ascii="Arial" w:hAnsi="Arial" w:cs="Arial"/>
          <w:sz w:val="22"/>
          <w:szCs w:val="22"/>
          <w:lang w:val="es-ES_tradnl"/>
        </w:rPr>
        <w:t>eran quienes</w:t>
      </w:r>
      <w:r w:rsidR="00A57C5F" w:rsidRPr="00C065EA">
        <w:rPr>
          <w:rFonts w:ascii="Arial" w:hAnsi="Arial" w:cs="Arial"/>
          <w:sz w:val="22"/>
          <w:szCs w:val="22"/>
          <w:lang w:val="es-ES_tradnl"/>
        </w:rPr>
        <w:t xml:space="preserve">, en primer lugar, </w:t>
      </w:r>
      <w:r w:rsidR="00714CCD" w:rsidRPr="00C065EA">
        <w:rPr>
          <w:rFonts w:ascii="Arial" w:hAnsi="Arial" w:cs="Arial"/>
          <w:sz w:val="22"/>
          <w:szCs w:val="22"/>
          <w:lang w:val="es-ES_tradnl"/>
        </w:rPr>
        <w:t xml:space="preserve">debían </w:t>
      </w:r>
      <w:r w:rsidR="00A57C5F" w:rsidRPr="00C065EA">
        <w:rPr>
          <w:rFonts w:ascii="Arial" w:hAnsi="Arial" w:cs="Arial"/>
          <w:sz w:val="22"/>
          <w:szCs w:val="22"/>
          <w:lang w:val="es-ES_tradnl"/>
        </w:rPr>
        <w:t xml:space="preserve">analizar el marco </w:t>
      </w:r>
      <w:r w:rsidR="001E6AEC" w:rsidRPr="00C065EA">
        <w:rPr>
          <w:rFonts w:ascii="Arial" w:hAnsi="Arial" w:cs="Arial"/>
          <w:sz w:val="22"/>
          <w:szCs w:val="22"/>
          <w:lang w:val="es-ES_tradnl"/>
        </w:rPr>
        <w:t>jurídico, para determinar si exist</w:t>
      </w:r>
      <w:r w:rsidR="00714CCD" w:rsidRPr="00C065EA">
        <w:rPr>
          <w:rFonts w:ascii="Arial" w:hAnsi="Arial" w:cs="Arial"/>
          <w:sz w:val="22"/>
          <w:szCs w:val="22"/>
          <w:lang w:val="es-ES_tradnl"/>
        </w:rPr>
        <w:t>ía</w:t>
      </w:r>
      <w:r w:rsidR="001E6AEC" w:rsidRPr="00C065EA">
        <w:rPr>
          <w:rFonts w:ascii="Arial" w:hAnsi="Arial" w:cs="Arial"/>
          <w:sz w:val="22"/>
          <w:szCs w:val="22"/>
          <w:lang w:val="es-ES_tradnl"/>
        </w:rPr>
        <w:t xml:space="preserve"> o no libertad probatoria respecto de la acreditación de determinada circunstancia, y de ser así, </w:t>
      </w:r>
      <w:r w:rsidR="00284D26" w:rsidRPr="00C065EA">
        <w:rPr>
          <w:rFonts w:ascii="Arial" w:hAnsi="Arial" w:cs="Arial"/>
          <w:sz w:val="22"/>
          <w:szCs w:val="22"/>
          <w:lang w:val="es-ES_tradnl"/>
        </w:rPr>
        <w:t xml:space="preserve">discrecionalmente, definir en el pliego de condiciones </w:t>
      </w:r>
      <w:r w:rsidR="00284D26" w:rsidRPr="00C065EA">
        <w:rPr>
          <w:rFonts w:ascii="Arial" w:eastAsia="Calibri" w:hAnsi="Arial" w:cs="Arial"/>
          <w:sz w:val="22"/>
          <w:szCs w:val="22"/>
          <w:lang w:val="es-ES_tradnl"/>
        </w:rPr>
        <w:t>la</w:t>
      </w:r>
      <w:r w:rsidR="00606671" w:rsidRPr="00C065EA">
        <w:rPr>
          <w:rFonts w:ascii="Arial" w:eastAsia="Calibri" w:hAnsi="Arial" w:cs="Arial"/>
          <w:sz w:val="22"/>
          <w:szCs w:val="22"/>
          <w:lang w:val="es-ES_tradnl"/>
        </w:rPr>
        <w:t xml:space="preserve"> manera</w:t>
      </w:r>
      <w:r w:rsidR="00284D26" w:rsidRPr="00C065EA">
        <w:rPr>
          <w:rFonts w:ascii="Arial" w:eastAsia="Calibri" w:hAnsi="Arial" w:cs="Arial"/>
          <w:sz w:val="22"/>
          <w:szCs w:val="22"/>
          <w:lang w:val="es-ES_tradnl"/>
        </w:rPr>
        <w:t xml:space="preserve"> en la que</w:t>
      </w:r>
      <w:r w:rsidR="00606671" w:rsidRPr="00C065EA">
        <w:rPr>
          <w:rFonts w:ascii="Arial" w:eastAsia="Calibri" w:hAnsi="Arial" w:cs="Arial"/>
          <w:sz w:val="22"/>
          <w:szCs w:val="22"/>
          <w:lang w:val="es-ES_tradnl"/>
        </w:rPr>
        <w:t xml:space="preserve"> el proponente </w:t>
      </w:r>
      <w:r w:rsidR="00714CCD" w:rsidRPr="00C065EA">
        <w:rPr>
          <w:rFonts w:ascii="Arial" w:eastAsia="Calibri" w:hAnsi="Arial" w:cs="Arial"/>
          <w:sz w:val="22"/>
          <w:szCs w:val="22"/>
          <w:lang w:val="es-ES_tradnl"/>
        </w:rPr>
        <w:t>debía</w:t>
      </w:r>
      <w:r w:rsidR="00284D26" w:rsidRPr="00C065EA">
        <w:rPr>
          <w:rFonts w:ascii="Arial" w:eastAsia="Calibri" w:hAnsi="Arial" w:cs="Arial"/>
          <w:sz w:val="22"/>
          <w:szCs w:val="22"/>
          <w:lang w:val="es-ES_tradnl"/>
        </w:rPr>
        <w:t xml:space="preserve"> </w:t>
      </w:r>
      <w:r w:rsidR="00606671" w:rsidRPr="00C065EA">
        <w:rPr>
          <w:rFonts w:ascii="Arial" w:eastAsia="Calibri" w:hAnsi="Arial" w:cs="Arial"/>
          <w:sz w:val="22"/>
          <w:szCs w:val="22"/>
          <w:lang w:val="es-ES_tradnl"/>
        </w:rPr>
        <w:t>probar que se enc</w:t>
      </w:r>
      <w:r w:rsidR="00714CCD" w:rsidRPr="00C065EA">
        <w:rPr>
          <w:rFonts w:ascii="Arial" w:eastAsia="Calibri" w:hAnsi="Arial" w:cs="Arial"/>
          <w:sz w:val="22"/>
          <w:szCs w:val="22"/>
          <w:lang w:val="es-ES_tradnl"/>
        </w:rPr>
        <w:t>ontraba</w:t>
      </w:r>
      <w:r w:rsidR="00606671" w:rsidRPr="00C065EA">
        <w:rPr>
          <w:rFonts w:ascii="Arial" w:eastAsia="Calibri" w:hAnsi="Arial" w:cs="Arial"/>
          <w:sz w:val="22"/>
          <w:szCs w:val="22"/>
          <w:lang w:val="es-ES_tradnl"/>
        </w:rPr>
        <w:t xml:space="preserve"> bajo la condición que permit</w:t>
      </w:r>
      <w:r w:rsidR="00714CCD" w:rsidRPr="00C065EA">
        <w:rPr>
          <w:rFonts w:ascii="Arial" w:eastAsia="Calibri" w:hAnsi="Arial" w:cs="Arial"/>
          <w:sz w:val="22"/>
          <w:szCs w:val="22"/>
          <w:lang w:val="es-ES_tradnl"/>
        </w:rPr>
        <w:t>ía</w:t>
      </w:r>
      <w:r w:rsidR="00606671" w:rsidRPr="00C065EA">
        <w:rPr>
          <w:rFonts w:ascii="Arial" w:eastAsia="Calibri" w:hAnsi="Arial" w:cs="Arial"/>
          <w:sz w:val="22"/>
          <w:szCs w:val="22"/>
          <w:lang w:val="es-ES_tradnl"/>
        </w:rPr>
        <w:t xml:space="preserve"> aplicar la regla de desempate. </w:t>
      </w:r>
    </w:p>
    <w:bookmarkEnd w:id="16"/>
    <w:p w14:paraId="7E83BEFA" w14:textId="05DBA5F7" w:rsidR="0060009C" w:rsidRPr="00C065EA" w:rsidRDefault="0060009C" w:rsidP="00510DE9">
      <w:pPr>
        <w:tabs>
          <w:tab w:val="left" w:pos="0"/>
        </w:tabs>
        <w:jc w:val="both"/>
        <w:rPr>
          <w:rFonts w:ascii="Arial" w:eastAsia="Calibri" w:hAnsi="Arial" w:cs="Arial"/>
          <w:b/>
          <w:sz w:val="22"/>
          <w:lang w:val="es-ES_tradnl"/>
        </w:rPr>
      </w:pPr>
    </w:p>
    <w:p w14:paraId="5E2A2439" w14:textId="41BE5FE6" w:rsidR="00790B9B" w:rsidRPr="00C065EA" w:rsidRDefault="00593F8E" w:rsidP="00AB11C8">
      <w:pPr>
        <w:tabs>
          <w:tab w:val="left" w:pos="0"/>
        </w:tabs>
        <w:jc w:val="both"/>
        <w:rPr>
          <w:rFonts w:ascii="Arial" w:eastAsia="Calibri" w:hAnsi="Arial" w:cs="Arial"/>
          <w:b/>
          <w:i/>
          <w:iCs/>
          <w:sz w:val="22"/>
          <w:lang w:val="es-ES_tradnl"/>
        </w:rPr>
      </w:pPr>
      <w:r w:rsidRPr="00C065EA">
        <w:rPr>
          <w:rFonts w:ascii="Arial" w:eastAsia="Calibri" w:hAnsi="Arial" w:cs="Arial"/>
          <w:b/>
          <w:i/>
          <w:iCs/>
          <w:sz w:val="22"/>
          <w:lang w:val="es-ES_tradnl"/>
        </w:rPr>
        <w:t>2.3.2. La</w:t>
      </w:r>
      <w:r w:rsidR="00B021A5" w:rsidRPr="00C065EA">
        <w:rPr>
          <w:rFonts w:ascii="Arial" w:eastAsia="Calibri" w:hAnsi="Arial" w:cs="Arial"/>
          <w:b/>
          <w:i/>
          <w:iCs/>
          <w:sz w:val="22"/>
          <w:lang w:val="es-ES_tradnl"/>
        </w:rPr>
        <w:t xml:space="preserve"> vinculación en mayor proporción de personas mayores no beneficiarias de </w:t>
      </w:r>
      <w:r w:rsidR="0059607D" w:rsidRPr="00C065EA">
        <w:rPr>
          <w:rFonts w:ascii="Arial" w:eastAsia="Calibri" w:hAnsi="Arial" w:cs="Arial"/>
          <w:b/>
          <w:i/>
          <w:iCs/>
          <w:sz w:val="22"/>
          <w:lang w:val="es-ES_tradnl"/>
        </w:rPr>
        <w:t>la</w:t>
      </w:r>
      <w:r w:rsidR="00B021A5" w:rsidRPr="00C065EA">
        <w:rPr>
          <w:rFonts w:ascii="Arial" w:eastAsia="Calibri" w:hAnsi="Arial" w:cs="Arial"/>
          <w:b/>
          <w:i/>
          <w:iCs/>
          <w:sz w:val="22"/>
          <w:lang w:val="es-ES_tradnl"/>
        </w:rPr>
        <w:t xml:space="preserve"> pensión de vejez, familiar o sobrevivencia</w:t>
      </w:r>
      <w:r w:rsidR="00A33A9A" w:rsidRPr="00C065EA">
        <w:rPr>
          <w:rFonts w:ascii="Arial" w:eastAsia="Calibri" w:hAnsi="Arial" w:cs="Arial"/>
          <w:b/>
          <w:i/>
          <w:iCs/>
          <w:sz w:val="22"/>
          <w:lang w:val="es-ES_tradnl"/>
        </w:rPr>
        <w:t xml:space="preserve"> como factor de desempate </w:t>
      </w:r>
      <w:r w:rsidR="0076676D" w:rsidRPr="00C065EA">
        <w:rPr>
          <w:rFonts w:ascii="Arial" w:eastAsia="Calibri" w:hAnsi="Arial" w:cs="Arial"/>
          <w:b/>
          <w:i/>
          <w:iCs/>
          <w:sz w:val="22"/>
          <w:lang w:val="es-ES_tradnl"/>
        </w:rPr>
        <w:t>y su acreditación</w:t>
      </w:r>
    </w:p>
    <w:p w14:paraId="0279546D" w14:textId="77777777" w:rsidR="000768F2" w:rsidRPr="00C065EA" w:rsidRDefault="000768F2" w:rsidP="00AB11C8">
      <w:pPr>
        <w:tabs>
          <w:tab w:val="left" w:pos="0"/>
        </w:tabs>
        <w:jc w:val="both"/>
        <w:rPr>
          <w:rFonts w:ascii="Arial" w:eastAsia="Calibri" w:hAnsi="Arial" w:cs="Arial"/>
          <w:b/>
          <w:i/>
          <w:iCs/>
          <w:sz w:val="22"/>
          <w:lang w:val="es-ES_tradnl"/>
        </w:rPr>
      </w:pPr>
    </w:p>
    <w:p w14:paraId="6620B5C4" w14:textId="795701EB" w:rsidR="004A244A" w:rsidRPr="00C065EA" w:rsidRDefault="00E73BA1" w:rsidP="00AB11C8">
      <w:pPr>
        <w:tabs>
          <w:tab w:val="left" w:pos="6551"/>
        </w:tabs>
        <w:spacing w:before="120" w:line="276" w:lineRule="auto"/>
        <w:jc w:val="both"/>
        <w:rPr>
          <w:rFonts w:ascii="Arial" w:eastAsia="Calibri" w:hAnsi="Arial" w:cs="Arial"/>
          <w:color w:val="000000" w:themeColor="text1"/>
          <w:sz w:val="22"/>
          <w:lang w:val="es-ES_tradnl"/>
        </w:rPr>
      </w:pPr>
      <w:r w:rsidRPr="00C065EA">
        <w:rPr>
          <w:rFonts w:ascii="Arial" w:eastAsia="Calibri" w:hAnsi="Arial" w:cs="Arial"/>
          <w:bCs/>
          <w:sz w:val="22"/>
          <w:lang w:val="es-ES_tradnl"/>
        </w:rPr>
        <w:t>Con respecto al numeral 4 del artículo 35 de la Ley 2069 de 2020, se</w:t>
      </w:r>
      <w:r w:rsidR="004613BE" w:rsidRPr="00C065EA">
        <w:rPr>
          <w:rFonts w:ascii="Arial" w:eastAsia="Calibri" w:hAnsi="Arial" w:cs="Arial"/>
          <w:bCs/>
          <w:color w:val="000000" w:themeColor="text1"/>
          <w:sz w:val="22"/>
          <w:lang w:val="es-ES_tradnl"/>
        </w:rPr>
        <w:t xml:space="preserve"> señalarán</w:t>
      </w:r>
      <w:r w:rsidR="0027591B" w:rsidRPr="00C065EA">
        <w:rPr>
          <w:rFonts w:ascii="Arial" w:eastAsia="Calibri" w:hAnsi="Arial" w:cs="Arial"/>
          <w:bCs/>
          <w:color w:val="000000" w:themeColor="text1"/>
          <w:sz w:val="22"/>
          <w:lang w:val="es-ES_tradnl"/>
        </w:rPr>
        <w:t xml:space="preserve"> </w:t>
      </w:r>
      <w:r w:rsidR="009B1E6D" w:rsidRPr="00C065EA">
        <w:rPr>
          <w:rFonts w:ascii="Arial" w:eastAsia="Calibri" w:hAnsi="Arial" w:cs="Arial"/>
          <w:bCs/>
          <w:color w:val="000000" w:themeColor="text1"/>
          <w:sz w:val="22"/>
          <w:lang w:val="es-ES_tradnl"/>
        </w:rPr>
        <w:t xml:space="preserve">las consideraciones </w:t>
      </w:r>
      <w:r w:rsidR="009026F0" w:rsidRPr="00C065EA">
        <w:rPr>
          <w:rFonts w:ascii="Arial" w:eastAsia="Calibri" w:hAnsi="Arial" w:cs="Arial"/>
          <w:bCs/>
          <w:color w:val="000000" w:themeColor="text1"/>
          <w:sz w:val="22"/>
          <w:lang w:val="es-ES_tradnl"/>
        </w:rPr>
        <w:t xml:space="preserve">que esta </w:t>
      </w:r>
      <w:r w:rsidR="009B1E6D" w:rsidRPr="00C065EA">
        <w:rPr>
          <w:rFonts w:ascii="Arial" w:eastAsia="Calibri" w:hAnsi="Arial" w:cs="Arial"/>
          <w:bCs/>
          <w:color w:val="000000" w:themeColor="text1"/>
          <w:sz w:val="22"/>
          <w:lang w:val="es-ES_tradnl"/>
        </w:rPr>
        <w:t>Agencia</w:t>
      </w:r>
      <w:r w:rsidR="0037624F" w:rsidRPr="00C065EA">
        <w:rPr>
          <w:rFonts w:ascii="Arial" w:eastAsia="Calibri" w:hAnsi="Arial" w:cs="Arial"/>
          <w:bCs/>
          <w:color w:val="000000" w:themeColor="text1"/>
          <w:sz w:val="22"/>
          <w:lang w:val="es-ES_tradnl"/>
        </w:rPr>
        <w:t xml:space="preserve"> en</w:t>
      </w:r>
      <w:r w:rsidR="009026F0" w:rsidRPr="00C065EA">
        <w:rPr>
          <w:rFonts w:ascii="Arial" w:eastAsia="Calibri" w:hAnsi="Arial" w:cs="Arial"/>
          <w:bCs/>
          <w:color w:val="000000" w:themeColor="text1"/>
          <w:sz w:val="22"/>
          <w:lang w:val="es-ES_tradnl"/>
        </w:rPr>
        <w:t xml:space="preserve"> su momento </w:t>
      </w:r>
      <w:r w:rsidR="00CD08B9" w:rsidRPr="00C065EA">
        <w:rPr>
          <w:rFonts w:ascii="Arial" w:eastAsia="Calibri" w:hAnsi="Arial" w:cs="Arial"/>
          <w:bCs/>
          <w:color w:val="000000" w:themeColor="text1"/>
          <w:sz w:val="22"/>
          <w:lang w:val="es-ES_tradnl"/>
        </w:rPr>
        <w:t>expresó</w:t>
      </w:r>
      <w:r w:rsidR="00F714D2" w:rsidRPr="00C065EA">
        <w:rPr>
          <w:rFonts w:ascii="Arial" w:eastAsia="Calibri" w:hAnsi="Arial" w:cs="Arial"/>
          <w:bCs/>
          <w:color w:val="000000" w:themeColor="text1"/>
          <w:sz w:val="22"/>
          <w:lang w:val="es-ES_tradnl"/>
        </w:rPr>
        <w:t>, en</w:t>
      </w:r>
      <w:r w:rsidR="0037624F" w:rsidRPr="00C065EA">
        <w:rPr>
          <w:rFonts w:ascii="Arial" w:eastAsia="Calibri" w:hAnsi="Arial" w:cs="Arial"/>
          <w:bCs/>
          <w:color w:val="000000" w:themeColor="text1"/>
          <w:sz w:val="22"/>
          <w:lang w:val="es-ES_tradnl"/>
        </w:rPr>
        <w:t xml:space="preserve"> relación con la acreditación</w:t>
      </w:r>
      <w:r w:rsidR="009F792F" w:rsidRPr="00C065EA">
        <w:rPr>
          <w:rFonts w:ascii="Arial" w:eastAsia="Calibri" w:hAnsi="Arial" w:cs="Arial"/>
          <w:bCs/>
          <w:color w:val="000000" w:themeColor="text1"/>
          <w:sz w:val="22"/>
          <w:lang w:val="es-ES_tradnl"/>
        </w:rPr>
        <w:t xml:space="preserve"> de</w:t>
      </w:r>
      <w:r w:rsidR="0037624F" w:rsidRPr="00C065EA">
        <w:rPr>
          <w:rFonts w:ascii="Arial" w:eastAsia="Calibri" w:hAnsi="Arial" w:cs="Arial"/>
          <w:bCs/>
          <w:color w:val="000000" w:themeColor="text1"/>
          <w:sz w:val="22"/>
          <w:lang w:val="es-ES_tradnl"/>
        </w:rPr>
        <w:t xml:space="preserve"> </w:t>
      </w:r>
      <w:r w:rsidR="008B1A9A" w:rsidRPr="00C065EA">
        <w:rPr>
          <w:rFonts w:ascii="Arial" w:eastAsia="Calibri" w:hAnsi="Arial" w:cs="Arial"/>
          <w:bCs/>
          <w:color w:val="000000" w:themeColor="text1"/>
          <w:sz w:val="22"/>
          <w:lang w:val="es-ES_tradnl"/>
        </w:rPr>
        <w:t xml:space="preserve">este </w:t>
      </w:r>
      <w:r w:rsidR="0037624F" w:rsidRPr="00C065EA">
        <w:rPr>
          <w:rFonts w:ascii="Arial" w:eastAsia="Calibri" w:hAnsi="Arial" w:cs="Arial"/>
          <w:bCs/>
          <w:color w:val="000000" w:themeColor="text1"/>
          <w:sz w:val="22"/>
          <w:lang w:val="es-ES_tradnl"/>
        </w:rPr>
        <w:t>factor de desempate</w:t>
      </w:r>
      <w:r w:rsidR="005C6FA4" w:rsidRPr="00C065EA">
        <w:rPr>
          <w:rFonts w:ascii="Arial" w:eastAsia="Calibri" w:hAnsi="Arial" w:cs="Arial"/>
          <w:bCs/>
          <w:color w:val="000000" w:themeColor="text1"/>
          <w:sz w:val="22"/>
          <w:lang w:val="es-ES_tradnl"/>
        </w:rPr>
        <w:t>, previo a la expedición del Decreto 1860 de 2021</w:t>
      </w:r>
      <w:r w:rsidR="0037624F" w:rsidRPr="00C065EA">
        <w:rPr>
          <w:rFonts w:ascii="Arial" w:eastAsia="Calibri" w:hAnsi="Arial" w:cs="Arial"/>
          <w:bCs/>
          <w:color w:val="000000" w:themeColor="text1"/>
          <w:sz w:val="22"/>
          <w:lang w:val="es-ES_tradnl"/>
        </w:rPr>
        <w:t xml:space="preserve">. </w:t>
      </w:r>
      <w:r w:rsidR="00CB158F" w:rsidRPr="00C065EA">
        <w:rPr>
          <w:rFonts w:ascii="Arial" w:eastAsia="Calibri" w:hAnsi="Arial" w:cs="Arial"/>
          <w:bCs/>
          <w:color w:val="000000" w:themeColor="text1"/>
          <w:sz w:val="22"/>
          <w:lang w:val="es-ES_tradnl"/>
        </w:rPr>
        <w:t xml:space="preserve">Así pues, en los conceptos </w:t>
      </w:r>
      <w:r w:rsidR="00F242BF" w:rsidRPr="00C065EA">
        <w:rPr>
          <w:rFonts w:ascii="Arial" w:eastAsia="Calibri" w:hAnsi="Arial" w:cs="Arial"/>
          <w:bCs/>
          <w:color w:val="000000" w:themeColor="text1"/>
          <w:sz w:val="22"/>
          <w:lang w:val="es-ES_tradnl"/>
        </w:rPr>
        <w:t>referidos</w:t>
      </w:r>
      <w:r w:rsidR="00E80A35" w:rsidRPr="00C065EA">
        <w:rPr>
          <w:rFonts w:ascii="Arial" w:eastAsia="Calibri" w:hAnsi="Arial" w:cs="Arial"/>
          <w:bCs/>
          <w:color w:val="000000" w:themeColor="text1"/>
          <w:sz w:val="22"/>
          <w:lang w:val="es-ES_tradnl"/>
        </w:rPr>
        <w:t xml:space="preserve"> </w:t>
      </w:r>
      <w:r w:rsidR="00CD08B9" w:rsidRPr="00C065EA">
        <w:rPr>
          <w:rFonts w:ascii="Arial" w:eastAsia="Calibri" w:hAnsi="Arial" w:cs="Arial"/>
          <w:bCs/>
          <w:color w:val="000000" w:themeColor="text1"/>
          <w:sz w:val="22"/>
          <w:lang w:val="es-ES_tradnl"/>
        </w:rPr>
        <w:t xml:space="preserve">al principio de </w:t>
      </w:r>
      <w:r w:rsidR="00E80A35" w:rsidRPr="00C065EA">
        <w:rPr>
          <w:rFonts w:ascii="Arial" w:eastAsia="Calibri" w:hAnsi="Arial" w:cs="Arial"/>
          <w:bCs/>
          <w:color w:val="000000" w:themeColor="text1"/>
          <w:sz w:val="22"/>
          <w:lang w:val="es-ES_tradnl"/>
        </w:rPr>
        <w:t>las consideraciones</w:t>
      </w:r>
      <w:r w:rsidR="00CB158F" w:rsidRPr="00C065EA">
        <w:rPr>
          <w:rFonts w:ascii="Arial" w:eastAsia="Calibri" w:hAnsi="Arial" w:cs="Arial"/>
          <w:bCs/>
          <w:color w:val="000000" w:themeColor="text1"/>
          <w:sz w:val="22"/>
          <w:lang w:val="es-ES_tradnl"/>
        </w:rPr>
        <w:t xml:space="preserve">, se </w:t>
      </w:r>
      <w:r w:rsidR="0046122F" w:rsidRPr="00C065EA">
        <w:rPr>
          <w:rFonts w:ascii="Arial" w:eastAsia="Calibri" w:hAnsi="Arial" w:cs="Arial"/>
          <w:bCs/>
          <w:color w:val="000000" w:themeColor="text1"/>
          <w:sz w:val="22"/>
          <w:lang w:val="es-ES_tradnl"/>
        </w:rPr>
        <w:t xml:space="preserve">indicó </w:t>
      </w:r>
      <w:r w:rsidR="00CB158F" w:rsidRPr="00C065EA">
        <w:rPr>
          <w:rFonts w:ascii="Arial" w:eastAsia="Calibri" w:hAnsi="Arial" w:cs="Arial"/>
          <w:bCs/>
          <w:color w:val="000000" w:themeColor="text1"/>
          <w:sz w:val="22"/>
          <w:lang w:val="es-ES_tradnl"/>
        </w:rPr>
        <w:t xml:space="preserve">que </w:t>
      </w:r>
      <w:r w:rsidR="004A244A" w:rsidRPr="00C065EA">
        <w:rPr>
          <w:rFonts w:ascii="Arial" w:eastAsia="Calibri" w:hAnsi="Arial" w:cs="Arial"/>
          <w:color w:val="000000" w:themeColor="text1"/>
          <w:sz w:val="22"/>
          <w:lang w:val="es-ES_tradnl"/>
        </w:rPr>
        <w:t>dicho numeral no estableció un medio específico para acreditar las circunstancias a las que se refiere. Por lo tanto, al igual que con los demás numerales, correspond</w:t>
      </w:r>
      <w:r w:rsidR="00C96CED" w:rsidRPr="00C065EA">
        <w:rPr>
          <w:rFonts w:ascii="Arial" w:eastAsia="Calibri" w:hAnsi="Arial" w:cs="Arial"/>
          <w:color w:val="000000" w:themeColor="text1"/>
          <w:sz w:val="22"/>
          <w:lang w:val="es-ES_tradnl"/>
        </w:rPr>
        <w:t>ía</w:t>
      </w:r>
      <w:r w:rsidR="004A244A" w:rsidRPr="00C065EA">
        <w:rPr>
          <w:rFonts w:ascii="Arial" w:eastAsia="Calibri" w:hAnsi="Arial" w:cs="Arial"/>
          <w:color w:val="000000" w:themeColor="text1"/>
          <w:sz w:val="22"/>
          <w:lang w:val="es-ES_tradnl"/>
        </w:rPr>
        <w:t xml:space="preserve"> a la entidad contratante analizar si el ordenamiento jurídico, en otras disposiciones legales o reglamentarias, exig</w:t>
      </w:r>
      <w:r w:rsidR="00C96CED" w:rsidRPr="00C065EA">
        <w:rPr>
          <w:rFonts w:ascii="Arial" w:eastAsia="Calibri" w:hAnsi="Arial" w:cs="Arial"/>
          <w:color w:val="000000" w:themeColor="text1"/>
          <w:sz w:val="22"/>
          <w:lang w:val="es-ES_tradnl"/>
        </w:rPr>
        <w:t>ía</w:t>
      </w:r>
      <w:r w:rsidR="004A244A" w:rsidRPr="00C065EA">
        <w:rPr>
          <w:rFonts w:ascii="Arial" w:eastAsia="Calibri" w:hAnsi="Arial" w:cs="Arial"/>
          <w:color w:val="000000" w:themeColor="text1"/>
          <w:sz w:val="22"/>
          <w:lang w:val="es-ES_tradnl"/>
        </w:rPr>
        <w:t xml:space="preserve"> un documento especial o si, por el contrario, ha</w:t>
      </w:r>
      <w:r w:rsidR="00C96CED" w:rsidRPr="00C065EA">
        <w:rPr>
          <w:rFonts w:ascii="Arial" w:eastAsia="Calibri" w:hAnsi="Arial" w:cs="Arial"/>
          <w:color w:val="000000" w:themeColor="text1"/>
          <w:sz w:val="22"/>
          <w:lang w:val="es-ES_tradnl"/>
        </w:rPr>
        <w:t>bía</w:t>
      </w:r>
      <w:r w:rsidR="004A244A" w:rsidRPr="00C065EA">
        <w:rPr>
          <w:rFonts w:ascii="Arial" w:eastAsia="Calibri" w:hAnsi="Arial" w:cs="Arial"/>
          <w:color w:val="000000" w:themeColor="text1"/>
          <w:sz w:val="22"/>
          <w:lang w:val="es-ES_tradnl"/>
        </w:rPr>
        <w:t xml:space="preserve"> libertad probatoria. </w:t>
      </w:r>
    </w:p>
    <w:p w14:paraId="3A220413" w14:textId="19F19327" w:rsidR="0036169A" w:rsidRPr="00C065EA" w:rsidRDefault="0036169A" w:rsidP="0036169A">
      <w:pPr>
        <w:tabs>
          <w:tab w:val="left" w:pos="6551"/>
        </w:tabs>
        <w:spacing w:before="120" w:line="276" w:lineRule="auto"/>
        <w:ind w:firstLine="709"/>
        <w:jc w:val="both"/>
        <w:rPr>
          <w:rFonts w:ascii="Arial" w:eastAsia="Calibri" w:hAnsi="Arial" w:cs="Arial"/>
          <w:color w:val="000000" w:themeColor="text1"/>
          <w:sz w:val="22"/>
          <w:lang w:val="es-ES_tradnl"/>
        </w:rPr>
      </w:pPr>
      <w:bookmarkStart w:id="17" w:name="_Hlk93049677"/>
      <w:r w:rsidRPr="00C065EA">
        <w:rPr>
          <w:rFonts w:ascii="Arial" w:eastAsia="Calibri" w:hAnsi="Arial" w:cs="Arial"/>
          <w:color w:val="000000" w:themeColor="text1"/>
          <w:sz w:val="22"/>
          <w:lang w:val="es-ES_tradnl"/>
        </w:rPr>
        <w:t xml:space="preserve">En relación con lo previsto en </w:t>
      </w:r>
      <w:r w:rsidR="009E02E5" w:rsidRPr="00C065EA">
        <w:rPr>
          <w:rFonts w:ascii="Arial" w:eastAsia="Calibri" w:hAnsi="Arial" w:cs="Arial"/>
          <w:color w:val="000000" w:themeColor="text1"/>
          <w:sz w:val="22"/>
          <w:lang w:val="es-ES_tradnl"/>
        </w:rPr>
        <w:t>el</w:t>
      </w:r>
      <w:r w:rsidR="007A77D4" w:rsidRPr="00C065EA">
        <w:rPr>
          <w:rFonts w:ascii="Arial" w:eastAsia="Calibri" w:hAnsi="Arial" w:cs="Arial"/>
          <w:color w:val="000000" w:themeColor="text1"/>
          <w:sz w:val="22"/>
          <w:lang w:val="es-ES_tradnl"/>
        </w:rPr>
        <w:t xml:space="preserve"> numeral</w:t>
      </w:r>
      <w:r w:rsidR="009E02E5" w:rsidRPr="00C065EA">
        <w:rPr>
          <w:rFonts w:ascii="Arial" w:eastAsia="Calibri" w:hAnsi="Arial" w:cs="Arial"/>
          <w:color w:val="000000" w:themeColor="text1"/>
          <w:sz w:val="22"/>
          <w:lang w:val="es-ES_tradnl"/>
        </w:rPr>
        <w:t xml:space="preserve"> </w:t>
      </w:r>
      <w:r w:rsidR="009E02E5" w:rsidRPr="00C065EA">
        <w:rPr>
          <w:rFonts w:ascii="Arial" w:eastAsia="Calibri" w:hAnsi="Arial" w:cs="Arial"/>
          <w:i/>
          <w:iCs/>
          <w:color w:val="000000" w:themeColor="text1"/>
          <w:sz w:val="22"/>
          <w:lang w:val="es-ES_tradnl"/>
        </w:rPr>
        <w:t>ibidem</w:t>
      </w:r>
      <w:r w:rsidRPr="00C065EA">
        <w:rPr>
          <w:rFonts w:ascii="Arial" w:eastAsia="Calibri" w:hAnsi="Arial" w:cs="Arial"/>
          <w:color w:val="000000" w:themeColor="text1"/>
          <w:sz w:val="22"/>
          <w:lang w:val="es-ES_tradnl"/>
        </w:rPr>
        <w:t xml:space="preserve">,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w:t>
      </w:r>
      <w:r w:rsidRPr="00C065EA">
        <w:rPr>
          <w:rFonts w:ascii="Arial" w:eastAsia="Calibri" w:hAnsi="Arial" w:cs="Arial"/>
          <w:color w:val="000000" w:themeColor="text1"/>
          <w:sz w:val="22"/>
          <w:lang w:val="es-ES_tradnl"/>
        </w:rPr>
        <w:lastRenderedPageBreak/>
        <w:t xml:space="preserve">que cuenta con sesenta (60) </w:t>
      </w:r>
      <w:proofErr w:type="gramStart"/>
      <w:r w:rsidRPr="00C065EA">
        <w:rPr>
          <w:rFonts w:ascii="Arial" w:eastAsia="Calibri" w:hAnsi="Arial" w:cs="Arial"/>
          <w:color w:val="000000" w:themeColor="text1"/>
          <w:sz w:val="22"/>
          <w:lang w:val="es-ES_tradnl"/>
        </w:rPr>
        <w:t>años de edad</w:t>
      </w:r>
      <w:proofErr w:type="gramEnd"/>
      <w:r w:rsidRPr="00C065EA">
        <w:rPr>
          <w:rFonts w:ascii="Arial" w:eastAsia="Calibri" w:hAnsi="Arial" w:cs="Arial"/>
          <w:color w:val="000000" w:themeColor="text1"/>
          <w:sz w:val="22"/>
          <w:lang w:val="es-ES_tradnl"/>
        </w:rPr>
        <w:t xml:space="preserve"> o más», lo cual se puede acreditar con el documento de identidad correspondiente. En todo caso, también </w:t>
      </w:r>
      <w:r w:rsidR="00DD1E7B" w:rsidRPr="00C065EA">
        <w:rPr>
          <w:rFonts w:ascii="Arial" w:eastAsia="Calibri" w:hAnsi="Arial" w:cs="Arial"/>
          <w:color w:val="000000" w:themeColor="text1"/>
          <w:sz w:val="22"/>
          <w:lang w:val="es-ES_tradnl"/>
        </w:rPr>
        <w:t xml:space="preserve">se señaló que </w:t>
      </w:r>
      <w:r w:rsidRPr="00C065EA">
        <w:rPr>
          <w:rFonts w:ascii="Arial" w:eastAsia="Calibri" w:hAnsi="Arial" w:cs="Arial"/>
          <w:color w:val="000000" w:themeColor="text1"/>
          <w:sz w:val="22"/>
          <w:lang w:val="es-ES_tradnl"/>
        </w:rPr>
        <w:t>existe la posibilidad de entender que esta causal aplica a todas las personas que –en el rango de edad correspondiente a cada género– no han alcanzado la pensión, interpretación que está más ajustada al principio de favorabilidad</w:t>
      </w:r>
      <w:r w:rsidR="00DD1E7B" w:rsidRPr="00C065EA">
        <w:rPr>
          <w:rFonts w:ascii="Arial" w:eastAsia="Calibri" w:hAnsi="Arial" w:cs="Arial"/>
          <w:color w:val="000000" w:themeColor="text1"/>
          <w:sz w:val="22"/>
          <w:lang w:val="es-ES_tradnl"/>
        </w:rPr>
        <w:t xml:space="preserve"> y que, como se expresará, se acogió en la reglamentación realizada por el Decreto 1860 de 2021.</w:t>
      </w:r>
    </w:p>
    <w:p w14:paraId="460331FB" w14:textId="741966C1" w:rsidR="0036169A" w:rsidRPr="00C065EA" w:rsidRDefault="0036169A" w:rsidP="0036169A">
      <w:pPr>
        <w:tabs>
          <w:tab w:val="left" w:pos="6551"/>
        </w:tabs>
        <w:spacing w:before="120" w:line="276" w:lineRule="auto"/>
        <w:ind w:firstLine="709"/>
        <w:jc w:val="both"/>
        <w:rPr>
          <w:rFonts w:ascii="Arial" w:hAnsi="Arial" w:cs="Arial"/>
          <w:color w:val="000000" w:themeColor="text1"/>
          <w:sz w:val="22"/>
          <w:lang w:val="es-ES_tradnl"/>
        </w:rPr>
      </w:pPr>
      <w:r w:rsidRPr="00C065EA">
        <w:rPr>
          <w:rFonts w:ascii="Arial" w:hAnsi="Arial" w:cs="Arial"/>
          <w:color w:val="000000" w:themeColor="text1"/>
          <w:sz w:val="22"/>
          <w:lang w:val="es-ES_tradnl"/>
        </w:rPr>
        <w:t xml:space="preserve">El numeral dice que en dicho evento la regla de desempate se aplica a favor del «[…] oferente que acredite la vinculación en </w:t>
      </w:r>
      <w:r w:rsidRPr="00C065EA">
        <w:rPr>
          <w:rFonts w:ascii="Arial" w:hAnsi="Arial" w:cs="Arial"/>
          <w:i/>
          <w:iCs/>
          <w:color w:val="000000" w:themeColor="text1"/>
          <w:sz w:val="22"/>
          <w:lang w:val="es-ES_tradnl"/>
        </w:rPr>
        <w:t>mayor proporción</w:t>
      </w:r>
      <w:r w:rsidRPr="00C065EA">
        <w:rPr>
          <w:rFonts w:ascii="Arial" w:hAnsi="Arial" w:cs="Arial"/>
          <w:color w:val="000000" w:themeColor="text1"/>
          <w:sz w:val="22"/>
          <w:lang w:val="es-ES_tradnl"/>
        </w:rPr>
        <w:t xml:space="preserve"> de personas mayores que no sean beneficiarios de la pensión de vejez, familiar o de sobrevivencia y que hayan cumplido el requisito de edad de pensión establecido en la Ley»</w:t>
      </w:r>
      <w:r w:rsidR="00BC1395" w:rsidRPr="00C065EA">
        <w:rPr>
          <w:rFonts w:ascii="Arial" w:hAnsi="Arial" w:cs="Arial"/>
          <w:color w:val="000000" w:themeColor="text1"/>
          <w:sz w:val="22"/>
          <w:lang w:val="es-ES_tradnl"/>
        </w:rPr>
        <w:t xml:space="preserve"> (Énfasis fuera de texto)</w:t>
      </w:r>
      <w:r w:rsidRPr="00C065EA">
        <w:rPr>
          <w:rFonts w:ascii="Arial" w:hAnsi="Arial" w:cs="Arial"/>
          <w:color w:val="000000" w:themeColor="text1"/>
          <w:sz w:val="22"/>
          <w:lang w:val="es-ES_tradnl"/>
        </w:rPr>
        <w:t>.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bookmarkEnd w:id="17"/>
      <w:r w:rsidRPr="00C065EA">
        <w:rPr>
          <w:rFonts w:ascii="Arial" w:hAnsi="Arial" w:cs="Arial"/>
          <w:color w:val="000000" w:themeColor="text1"/>
          <w:sz w:val="22"/>
          <w:lang w:val="es-ES_tradnl"/>
        </w:rPr>
        <w:t xml:space="preserve">». </w:t>
      </w:r>
    </w:p>
    <w:p w14:paraId="03A1454D" w14:textId="723C8537" w:rsidR="0036169A" w:rsidRPr="00C065EA" w:rsidRDefault="0036169A" w:rsidP="0036169A">
      <w:pPr>
        <w:tabs>
          <w:tab w:val="left" w:pos="6551"/>
        </w:tabs>
        <w:spacing w:before="120" w:line="276" w:lineRule="auto"/>
        <w:ind w:firstLine="709"/>
        <w:jc w:val="both"/>
        <w:rPr>
          <w:rFonts w:ascii="Arial" w:hAnsi="Arial" w:cs="Arial"/>
          <w:color w:val="000000" w:themeColor="text1"/>
          <w:sz w:val="22"/>
          <w:lang w:val="es-ES_tradnl"/>
        </w:rPr>
      </w:pPr>
      <w:r w:rsidRPr="00C065EA">
        <w:rPr>
          <w:rFonts w:ascii="Arial" w:hAnsi="Arial" w:cs="Arial"/>
          <w:color w:val="000000" w:themeColor="text1"/>
          <w:sz w:val="22"/>
          <w:lang w:val="es-ES_tradnl"/>
        </w:rPr>
        <w:t>Teniendo en cuenta que el numeral no distingue tipos de oferente, dicho criterio de desempate</w:t>
      </w:r>
      <w:r w:rsidR="00116CE7" w:rsidRPr="00C065EA">
        <w:rPr>
          <w:rFonts w:ascii="Arial" w:hAnsi="Arial" w:cs="Arial"/>
          <w:color w:val="000000" w:themeColor="text1"/>
          <w:sz w:val="22"/>
          <w:lang w:val="es-ES_tradnl"/>
        </w:rPr>
        <w:t>, a juicio de la Agencia,</w:t>
      </w:r>
      <w:r w:rsidRPr="00C065EA">
        <w:rPr>
          <w:rFonts w:ascii="Arial" w:hAnsi="Arial" w:cs="Arial"/>
          <w:color w:val="000000" w:themeColor="text1"/>
          <w:sz w:val="22"/>
          <w:lang w:val="es-ES_tradnl"/>
        </w:rPr>
        <w:t xml:space="preserve"> se deb</w:t>
      </w:r>
      <w:r w:rsidR="00116CE7" w:rsidRPr="00C065EA">
        <w:rPr>
          <w:rFonts w:ascii="Arial" w:hAnsi="Arial" w:cs="Arial"/>
          <w:color w:val="000000" w:themeColor="text1"/>
          <w:sz w:val="22"/>
          <w:lang w:val="es-ES_tradnl"/>
        </w:rPr>
        <w:t>ía</w:t>
      </w:r>
      <w:r w:rsidRPr="00C065EA">
        <w:rPr>
          <w:rFonts w:ascii="Arial" w:hAnsi="Arial" w:cs="Arial"/>
          <w:color w:val="000000" w:themeColor="text1"/>
          <w:sz w:val="22"/>
          <w:lang w:val="es-ES_tradnl"/>
        </w:rPr>
        <w:t xml:space="preserve"> aplicar también a proponentes plurales. En este caso el proponente plural deb</w:t>
      </w:r>
      <w:r w:rsidR="00092711" w:rsidRPr="00C065EA">
        <w:rPr>
          <w:rFonts w:ascii="Arial" w:hAnsi="Arial" w:cs="Arial"/>
          <w:color w:val="000000" w:themeColor="text1"/>
          <w:sz w:val="22"/>
          <w:lang w:val="es-ES_tradnl"/>
        </w:rPr>
        <w:t>ía</w:t>
      </w:r>
      <w:r w:rsidRPr="00C065EA">
        <w:rPr>
          <w:rFonts w:ascii="Arial" w:hAnsi="Arial" w:cs="Arial"/>
          <w:color w:val="000000" w:themeColor="text1"/>
          <w:sz w:val="22"/>
          <w:lang w:val="es-ES_tradnl"/>
        </w:rPr>
        <w:t xml:space="preserve"> acreditar la proporción de personas mayores vinculadas a aquel y que además «no sean beneficiarios de la pensión de vejez, familiar o de sobrevivencia y que hayan cumplido el requisito de edad de pensión establecido en la Ley», para beneficiarse del factor de desempate. La norma guarda silencio sobre la acreditación de la condición que da lugar al factor de desempate. Por tanto, esta Agencia considera</w:t>
      </w:r>
      <w:r w:rsidR="003B6DB4" w:rsidRPr="00C065EA">
        <w:rPr>
          <w:rFonts w:ascii="Arial" w:hAnsi="Arial" w:cs="Arial"/>
          <w:color w:val="000000" w:themeColor="text1"/>
          <w:sz w:val="22"/>
          <w:lang w:val="es-ES_tradnl"/>
        </w:rPr>
        <w:t>ba</w:t>
      </w:r>
      <w:r w:rsidRPr="00C065EA">
        <w:rPr>
          <w:rFonts w:ascii="Arial" w:hAnsi="Arial" w:cs="Arial"/>
          <w:color w:val="000000" w:themeColor="text1"/>
          <w:sz w:val="22"/>
          <w:lang w:val="es-ES_tradnl"/>
        </w:rPr>
        <w:t xml:space="preserve"> que, mientras el Decreto 1860 de 2021 no </w:t>
      </w:r>
      <w:proofErr w:type="gramStart"/>
      <w:r w:rsidRPr="00C065EA">
        <w:rPr>
          <w:rFonts w:ascii="Arial" w:hAnsi="Arial" w:cs="Arial"/>
          <w:color w:val="000000" w:themeColor="text1"/>
          <w:sz w:val="22"/>
          <w:lang w:val="es-ES_tradnl"/>
        </w:rPr>
        <w:t>entr</w:t>
      </w:r>
      <w:r w:rsidR="003B6DB4" w:rsidRPr="00C065EA">
        <w:rPr>
          <w:rFonts w:ascii="Arial" w:hAnsi="Arial" w:cs="Arial"/>
          <w:color w:val="000000" w:themeColor="text1"/>
          <w:sz w:val="22"/>
          <w:lang w:val="es-ES_tradnl"/>
        </w:rPr>
        <w:t>ara</w:t>
      </w:r>
      <w:r w:rsidRPr="00C065EA">
        <w:rPr>
          <w:rFonts w:ascii="Arial" w:hAnsi="Arial" w:cs="Arial"/>
          <w:color w:val="000000" w:themeColor="text1"/>
          <w:sz w:val="22"/>
          <w:lang w:val="es-ES_tradnl"/>
        </w:rPr>
        <w:t xml:space="preserve"> en vigencia</w:t>
      </w:r>
      <w:proofErr w:type="gramEnd"/>
      <w:r w:rsidRPr="00C065EA">
        <w:rPr>
          <w:rFonts w:ascii="Arial" w:hAnsi="Arial" w:cs="Arial"/>
          <w:color w:val="000000" w:themeColor="text1"/>
          <w:sz w:val="22"/>
          <w:lang w:val="es-ES_tradnl"/>
        </w:rPr>
        <w:t>, exist</w:t>
      </w:r>
      <w:r w:rsidR="003B6DB4" w:rsidRPr="00C065EA">
        <w:rPr>
          <w:rFonts w:ascii="Arial" w:hAnsi="Arial" w:cs="Arial"/>
          <w:color w:val="000000" w:themeColor="text1"/>
          <w:sz w:val="22"/>
          <w:lang w:val="es-ES_tradnl"/>
        </w:rPr>
        <w:t>ía</w:t>
      </w:r>
      <w:r w:rsidRPr="00C065EA">
        <w:rPr>
          <w:rFonts w:ascii="Arial" w:hAnsi="Arial" w:cs="Arial"/>
          <w:color w:val="000000" w:themeColor="text1"/>
          <w:sz w:val="22"/>
          <w:lang w:val="es-ES_tradnl"/>
        </w:rPr>
        <w:t xml:space="preserve"> libertad probatoria sobre el tema. En consecuencia, la entidad contratante p</w:t>
      </w:r>
      <w:r w:rsidR="003B6DB4" w:rsidRPr="00C065EA">
        <w:rPr>
          <w:rFonts w:ascii="Arial" w:hAnsi="Arial" w:cs="Arial"/>
          <w:color w:val="000000" w:themeColor="text1"/>
          <w:sz w:val="22"/>
          <w:lang w:val="es-ES_tradnl"/>
        </w:rPr>
        <w:t>odía</w:t>
      </w:r>
      <w:r w:rsidRPr="00C065EA">
        <w:rPr>
          <w:rFonts w:ascii="Arial" w:hAnsi="Arial" w:cs="Arial"/>
          <w:color w:val="000000" w:themeColor="text1"/>
          <w:sz w:val="22"/>
          <w:lang w:val="es-ES_tradnl"/>
        </w:rPr>
        <w:t xml:space="preserve"> determinar en el pliego de condiciones o documento equivalente cuál ser</w:t>
      </w:r>
      <w:r w:rsidR="003B6DB4" w:rsidRPr="00C065EA">
        <w:rPr>
          <w:rFonts w:ascii="Arial" w:hAnsi="Arial" w:cs="Arial"/>
          <w:color w:val="000000" w:themeColor="text1"/>
          <w:sz w:val="22"/>
          <w:lang w:val="es-ES_tradnl"/>
        </w:rPr>
        <w:t>ía</w:t>
      </w:r>
      <w:r w:rsidRPr="00C065EA">
        <w:rPr>
          <w:rFonts w:ascii="Arial" w:hAnsi="Arial" w:cs="Arial"/>
          <w:color w:val="000000" w:themeColor="text1"/>
          <w:sz w:val="22"/>
          <w:lang w:val="es-ES_tradnl"/>
        </w:rPr>
        <w:t xml:space="preserve"> el medio para evidenciar la vinculación de las personas mayores por parte del oferente.</w:t>
      </w:r>
    </w:p>
    <w:p w14:paraId="5CEC49A7" w14:textId="4CE826A7" w:rsidR="0036169A" w:rsidRPr="00C065EA" w:rsidRDefault="006772CD" w:rsidP="0036169A">
      <w:pPr>
        <w:tabs>
          <w:tab w:val="left" w:pos="6551"/>
        </w:tabs>
        <w:spacing w:before="120" w:line="276" w:lineRule="auto"/>
        <w:ind w:firstLine="709"/>
        <w:jc w:val="both"/>
        <w:rPr>
          <w:rFonts w:ascii="Arial" w:hAnsi="Arial" w:cs="Arial"/>
          <w:color w:val="000000" w:themeColor="text1"/>
          <w:sz w:val="22"/>
          <w:lang w:val="es-ES_tradnl"/>
        </w:rPr>
      </w:pPr>
      <w:r w:rsidRPr="00C065EA">
        <w:rPr>
          <w:rFonts w:ascii="Arial" w:hAnsi="Arial" w:cs="Arial"/>
          <w:color w:val="000000" w:themeColor="text1"/>
          <w:sz w:val="22"/>
          <w:lang w:val="es-ES_tradnl"/>
        </w:rPr>
        <w:t>Paralelamente, c</w:t>
      </w:r>
      <w:r w:rsidR="0036169A" w:rsidRPr="00C065EA">
        <w:rPr>
          <w:rFonts w:ascii="Arial" w:hAnsi="Arial" w:cs="Arial"/>
          <w:color w:val="000000" w:themeColor="text1"/>
          <w:sz w:val="22"/>
          <w:lang w:val="es-ES_tradnl"/>
        </w:rPr>
        <w:t xml:space="preserve">omo lo indicó la Agencia en los conceptos </w:t>
      </w:r>
      <w:r w:rsidR="0036169A" w:rsidRPr="00C065EA">
        <w:rPr>
          <w:rFonts w:ascii="Arial" w:eastAsia="Calibri" w:hAnsi="Arial" w:cs="Arial"/>
          <w:color w:val="000000" w:themeColor="text1"/>
          <w:sz w:val="22"/>
          <w:lang w:val="es-ES_tradnl"/>
        </w:rPr>
        <w:t xml:space="preserve">C-206 del 3 de mayo de 2021 y C-487 del 3 de agosto de 2021, </w:t>
      </w:r>
      <w:r w:rsidR="0036169A" w:rsidRPr="00C065EA">
        <w:rPr>
          <w:rFonts w:ascii="Arial" w:hAnsi="Arial" w:cs="Arial"/>
          <w:color w:val="000000" w:themeColor="text1"/>
          <w:sz w:val="22"/>
          <w:lang w:val="es-ES_tradnl"/>
        </w:rPr>
        <w:t>el numeral 4 del artículo 35 de la Ley 2069 de 2020 exige que la vinculación de personas mayores sea de carácter laboral –es decir, a través de un contrato de trabajo–, por lo cual Colombia Compra Eficiente considera</w:t>
      </w:r>
      <w:r w:rsidR="00943024" w:rsidRPr="00C065EA">
        <w:rPr>
          <w:rFonts w:ascii="Arial" w:hAnsi="Arial" w:cs="Arial"/>
          <w:color w:val="000000" w:themeColor="text1"/>
          <w:sz w:val="22"/>
          <w:lang w:val="es-ES_tradnl"/>
        </w:rPr>
        <w:t>ba</w:t>
      </w:r>
      <w:r w:rsidR="0036169A" w:rsidRPr="00C065EA">
        <w:rPr>
          <w:rFonts w:ascii="Arial" w:hAnsi="Arial" w:cs="Arial"/>
          <w:color w:val="000000" w:themeColor="text1"/>
          <w:sz w:val="22"/>
          <w:lang w:val="es-ES_tradnl"/>
        </w:rPr>
        <w:t xml:space="preserve"> que no resultaría procedente, para efectos de acreditar el factor de desempate, la vinculación de dichas personas a través de otros tipos contractuales, como, por ejemplo, el contrato de prestación de servicios. Para estos efectos, la palabra «vinculación» deb</w:t>
      </w:r>
      <w:r w:rsidR="0024413E" w:rsidRPr="00C065EA">
        <w:rPr>
          <w:rFonts w:ascii="Arial" w:hAnsi="Arial" w:cs="Arial"/>
          <w:color w:val="000000" w:themeColor="text1"/>
          <w:sz w:val="22"/>
          <w:lang w:val="es-ES_tradnl"/>
        </w:rPr>
        <w:t>ía</w:t>
      </w:r>
      <w:r w:rsidR="0036169A" w:rsidRPr="00C065EA">
        <w:rPr>
          <w:rFonts w:ascii="Arial" w:hAnsi="Arial" w:cs="Arial"/>
          <w:color w:val="000000" w:themeColor="text1"/>
          <w:sz w:val="22"/>
          <w:lang w:val="es-ES_tradnl"/>
        </w:rPr>
        <w:t xml:space="preserve"> entenderse en concordancia con el parágrafo 2 de la norma en comento, el cual dispone que «Para los criterios enunciados que involucren la </w:t>
      </w:r>
      <w:r w:rsidR="0036169A" w:rsidRPr="00C065EA">
        <w:rPr>
          <w:rFonts w:ascii="Arial" w:hAnsi="Arial" w:cs="Arial"/>
          <w:i/>
          <w:iCs/>
          <w:color w:val="000000" w:themeColor="text1"/>
          <w:sz w:val="22"/>
          <w:lang w:val="es-ES_tradnl"/>
        </w:rPr>
        <w:t>vinculación de capital humano</w:t>
      </w:r>
      <w:r w:rsidR="0036169A" w:rsidRPr="00C065EA">
        <w:rPr>
          <w:rFonts w:ascii="Arial" w:hAnsi="Arial" w:cs="Arial"/>
          <w:color w:val="000000" w:themeColor="text1"/>
          <w:sz w:val="22"/>
          <w:lang w:val="es-ES_tradnl"/>
        </w:rPr>
        <w:t xml:space="preserve">, el oferente deberá acreditar una antigüedad igual o mayor a un año. Para los casos de constitución inferior a un año </w:t>
      </w:r>
      <w:r w:rsidR="0036169A" w:rsidRPr="00C065EA">
        <w:rPr>
          <w:rFonts w:ascii="Arial" w:hAnsi="Arial" w:cs="Arial"/>
          <w:i/>
          <w:iCs/>
          <w:color w:val="000000" w:themeColor="text1"/>
          <w:sz w:val="22"/>
          <w:lang w:val="es-ES_tradnl"/>
        </w:rPr>
        <w:t>se tendrá en cuenta a aquellos trabajadores</w:t>
      </w:r>
      <w:r w:rsidR="0036169A" w:rsidRPr="00C065EA">
        <w:rPr>
          <w:rFonts w:ascii="Arial" w:hAnsi="Arial" w:cs="Arial"/>
          <w:color w:val="000000" w:themeColor="text1"/>
          <w:sz w:val="22"/>
          <w:lang w:val="es-ES_tradnl"/>
        </w:rPr>
        <w:t xml:space="preserve"> que hayan estado vinculados desde el momento de constitución de </w:t>
      </w:r>
      <w:proofErr w:type="gramStart"/>
      <w:r w:rsidR="0036169A" w:rsidRPr="00C065EA">
        <w:rPr>
          <w:rFonts w:ascii="Arial" w:hAnsi="Arial" w:cs="Arial"/>
          <w:color w:val="000000" w:themeColor="text1"/>
          <w:sz w:val="22"/>
          <w:lang w:val="es-ES_tradnl"/>
        </w:rPr>
        <w:t>la misma</w:t>
      </w:r>
      <w:proofErr w:type="gramEnd"/>
      <w:r w:rsidR="0036169A" w:rsidRPr="00C065EA">
        <w:rPr>
          <w:rFonts w:ascii="Arial" w:hAnsi="Arial" w:cs="Arial"/>
          <w:color w:val="000000" w:themeColor="text1"/>
          <w:sz w:val="22"/>
          <w:lang w:val="es-ES_tradnl"/>
        </w:rPr>
        <w:t xml:space="preserve">» (Énfasis fuera de texto). Como se observa, la norma se refiere a la vinculación de trabajadores, lo cual excluye la posibilidad de acreditar el factor de desempate </w:t>
      </w:r>
      <w:r w:rsidR="00DD1E7B" w:rsidRPr="00C065EA">
        <w:rPr>
          <w:rFonts w:ascii="Arial" w:hAnsi="Arial" w:cs="Arial"/>
          <w:color w:val="000000" w:themeColor="text1"/>
          <w:sz w:val="22"/>
          <w:lang w:val="es-ES_tradnl"/>
        </w:rPr>
        <w:t>mediante contratistas de prestación de servicios</w:t>
      </w:r>
      <w:r w:rsidR="0036169A" w:rsidRPr="00C065EA">
        <w:rPr>
          <w:rFonts w:ascii="Arial" w:hAnsi="Arial" w:cs="Arial"/>
          <w:color w:val="000000" w:themeColor="text1"/>
          <w:sz w:val="22"/>
          <w:lang w:val="es-ES_tradnl"/>
        </w:rPr>
        <w:t xml:space="preserve">.  </w:t>
      </w:r>
    </w:p>
    <w:p w14:paraId="175B6D26" w14:textId="7E2E0F7B" w:rsidR="00FF709D" w:rsidRPr="00C065EA" w:rsidRDefault="0036169A" w:rsidP="00B63033">
      <w:pPr>
        <w:tabs>
          <w:tab w:val="left" w:pos="6551"/>
        </w:tabs>
        <w:spacing w:before="120" w:line="276" w:lineRule="auto"/>
        <w:ind w:firstLine="709"/>
        <w:jc w:val="both"/>
        <w:rPr>
          <w:rFonts w:ascii="Arial" w:hAnsi="Arial" w:cs="Arial"/>
          <w:color w:val="000000" w:themeColor="text1"/>
          <w:sz w:val="22"/>
          <w:lang w:val="es-ES_tradnl"/>
        </w:rPr>
      </w:pPr>
      <w:r w:rsidRPr="00C065EA">
        <w:rPr>
          <w:rFonts w:ascii="Arial" w:hAnsi="Arial" w:cs="Arial"/>
          <w:color w:val="000000" w:themeColor="text1"/>
          <w:sz w:val="22"/>
          <w:lang w:val="es-ES_tradnl"/>
        </w:rPr>
        <w:lastRenderedPageBreak/>
        <w:t xml:space="preserve">Por otra parte, el parágrafo segundo del artículo 35 de la Ley 2069 de 2020 no efectúa distinción alguna acerca de la modalidad de vinculación laboral. Solo exige que el capital humano esté vinculado laboralmente al oferente con una antigüedad igual o mayor a un año, salvo que la constitución del oferente sea inferior a un año, pues en este caso los trabajadores deben estar vinculados desde dicha constitución. </w:t>
      </w:r>
    </w:p>
    <w:p w14:paraId="11CBB81E" w14:textId="77777777" w:rsidR="00C725F8" w:rsidRPr="00C065EA" w:rsidRDefault="00C725F8" w:rsidP="00C725F8">
      <w:pPr>
        <w:spacing w:before="120" w:line="276" w:lineRule="auto"/>
        <w:ind w:firstLine="709"/>
        <w:jc w:val="both"/>
        <w:rPr>
          <w:rFonts w:ascii="Arial" w:hAnsi="Arial" w:cs="Arial"/>
          <w:sz w:val="22"/>
          <w:szCs w:val="22"/>
          <w:lang w:val="es-ES_tradnl"/>
        </w:rPr>
      </w:pPr>
      <w:r w:rsidRPr="00C065EA">
        <w:rPr>
          <w:rFonts w:ascii="Arial" w:hAnsi="Arial" w:cs="Arial"/>
          <w:color w:val="000000" w:themeColor="text1"/>
          <w:sz w:val="22"/>
          <w:lang w:val="es-ES_tradnl"/>
        </w:rPr>
        <w:t xml:space="preserve">Además, como se señaló en el concepto C-390 de 2021, </w:t>
      </w:r>
      <w:r w:rsidRPr="00C065EA">
        <w:rPr>
          <w:rFonts w:ascii="Arial" w:hAnsi="Arial" w:cs="Arial"/>
          <w:sz w:val="22"/>
          <w:szCs w:val="22"/>
          <w:lang w:val="es-ES_tradnl"/>
        </w:rPr>
        <w:t>es necesario tener en cuenta que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en el artículo 29 ibidem, también prescribe que «Las palabras técnicas de toda ciencia o arte se tomarán en el sentido que les den los que profesan la misma ciencia o arte; a menos que aparezca claramente que se han formado en sentido diverso».</w:t>
      </w:r>
    </w:p>
    <w:p w14:paraId="4F631384" w14:textId="77777777" w:rsidR="00C725F8" w:rsidRPr="00C065EA" w:rsidRDefault="00C725F8" w:rsidP="00C725F8">
      <w:pPr>
        <w:spacing w:before="120" w:line="276" w:lineRule="auto"/>
        <w:ind w:firstLine="709"/>
        <w:jc w:val="both"/>
        <w:rPr>
          <w:rFonts w:ascii="Arial" w:hAnsi="Arial" w:cs="Arial"/>
          <w:sz w:val="22"/>
          <w:szCs w:val="22"/>
          <w:lang w:val="es-ES_tradnl"/>
        </w:rPr>
      </w:pPr>
      <w:r w:rsidRPr="00C065EA">
        <w:rPr>
          <w:rFonts w:ascii="Arial" w:hAnsi="Arial" w:cs="Arial"/>
          <w:sz w:val="22"/>
          <w:szCs w:val="22"/>
          <w:lang w:val="es-ES_tradnl"/>
        </w:rPr>
        <w:t>Conforme a la definición del Diccionario de la RAE, la palabra «proporción» es la «Igualdad de dos razones». Esta expresión tiene una definición propia en el campo de las matemáticas, pues alude a una relación o razón constante entre diferentes magnitudes que se vayan a medir. Por esta razón, la «[…] mayor proporción de personas mayores que no sean beneficiarios de la pensión de vejez, familiar o de sobrevivencia y que hayan cumplido el requisito de edad de pensión establecido en la Ley» no corresponde a un valor absoluto, sino relativo.</w:t>
      </w:r>
    </w:p>
    <w:p w14:paraId="26F086C5" w14:textId="011FBBC6" w:rsidR="00C725F8" w:rsidRPr="00C065EA" w:rsidRDefault="00C725F8" w:rsidP="00C725F8">
      <w:pPr>
        <w:spacing w:before="120" w:line="276" w:lineRule="auto"/>
        <w:ind w:firstLine="709"/>
        <w:jc w:val="both"/>
        <w:rPr>
          <w:rFonts w:ascii="Arial" w:hAnsi="Arial" w:cs="Arial"/>
          <w:sz w:val="22"/>
          <w:szCs w:val="22"/>
          <w:lang w:val="es-ES_tradnl"/>
        </w:rPr>
      </w:pPr>
      <w:r w:rsidRPr="00C065EA">
        <w:rPr>
          <w:rFonts w:ascii="Arial" w:hAnsi="Arial" w:cs="Arial"/>
          <w:sz w:val="22"/>
          <w:szCs w:val="22"/>
          <w:lang w:val="es-ES_tradnl"/>
        </w:rPr>
        <w:t xml:space="preserve">En efecto, el factor de desempate del artículo 35.4 de la Ley 2069 de 2020 </w:t>
      </w:r>
      <w:r w:rsidRPr="00C065EA">
        <w:rPr>
          <w:rFonts w:ascii="Arial" w:hAnsi="Arial" w:cs="Arial"/>
          <w:i/>
          <w:iCs/>
          <w:sz w:val="22"/>
          <w:szCs w:val="22"/>
          <w:lang w:val="es-ES_tradnl"/>
        </w:rPr>
        <w:t>no</w:t>
      </w:r>
      <w:r w:rsidRPr="00C065EA">
        <w:rPr>
          <w:rFonts w:ascii="Arial" w:hAnsi="Arial" w:cs="Arial"/>
          <w:sz w:val="22"/>
          <w:szCs w:val="22"/>
          <w:lang w:val="es-ES_tradnl"/>
        </w:rPr>
        <w:t xml:space="preserve"> se refiere a la vinculación en </w:t>
      </w:r>
      <w:r w:rsidRPr="00C065EA">
        <w:rPr>
          <w:rFonts w:ascii="Arial" w:hAnsi="Arial" w:cs="Arial"/>
          <w:i/>
          <w:iCs/>
          <w:sz w:val="22"/>
          <w:szCs w:val="22"/>
          <w:lang w:val="es-ES_tradnl"/>
        </w:rPr>
        <w:t>mayor cantidad</w:t>
      </w:r>
      <w:r w:rsidRPr="00C065EA">
        <w:rPr>
          <w:rFonts w:ascii="Arial" w:hAnsi="Arial" w:cs="Arial"/>
          <w:sz w:val="22"/>
          <w:szCs w:val="22"/>
          <w:lang w:val="es-ES_tradnl"/>
        </w:rPr>
        <w:t xml:space="preserve"> de personas mayores. En este caso, bastaría comparar el número de personas vinculadas entre cada uno de los proponentes empatados, adjudicando el contrato a aquel que más tenga. Sin embargo, esta interpretación no es posible en la medida que la norma se refiere a la </w:t>
      </w:r>
      <w:bookmarkStart w:id="18" w:name="_Hlk72758821"/>
      <w:r w:rsidRPr="00C065EA">
        <w:rPr>
          <w:rFonts w:ascii="Arial" w:hAnsi="Arial" w:cs="Arial"/>
          <w:sz w:val="22"/>
          <w:szCs w:val="22"/>
          <w:lang w:val="es-ES_tradnl"/>
        </w:rPr>
        <w:t>«vinculación en mayor proporción»</w:t>
      </w:r>
      <w:bookmarkEnd w:id="18"/>
      <w:r w:rsidRPr="00C065EA">
        <w:rPr>
          <w:rFonts w:ascii="Arial" w:hAnsi="Arial" w:cs="Arial"/>
          <w:sz w:val="22"/>
          <w:szCs w:val="22"/>
          <w:lang w:val="es-ES_tradnl"/>
        </w:rPr>
        <w:t>, es decir el número de personas vinculadas en relación con la planta de personal de los oferentes.</w:t>
      </w:r>
    </w:p>
    <w:p w14:paraId="6D3C1EE7" w14:textId="39734C02" w:rsidR="00B63033" w:rsidRPr="00C065EA" w:rsidRDefault="00B63033" w:rsidP="00B63033">
      <w:pPr>
        <w:tabs>
          <w:tab w:val="left" w:pos="6551"/>
        </w:tabs>
        <w:spacing w:before="120" w:line="276" w:lineRule="auto"/>
        <w:ind w:firstLine="709"/>
        <w:jc w:val="both"/>
        <w:rPr>
          <w:rFonts w:ascii="Arial" w:eastAsia="Calibri" w:hAnsi="Arial" w:cs="Arial"/>
          <w:color w:val="000000" w:themeColor="text1"/>
          <w:sz w:val="22"/>
          <w:szCs w:val="22"/>
          <w:lang w:val="es-ES_tradnl"/>
        </w:rPr>
      </w:pPr>
      <w:r w:rsidRPr="00C065EA">
        <w:rPr>
          <w:rFonts w:ascii="Arial" w:eastAsia="Calibri" w:hAnsi="Arial" w:cs="Arial"/>
          <w:bCs/>
          <w:color w:val="000000" w:themeColor="text1"/>
          <w:sz w:val="22"/>
          <w:szCs w:val="22"/>
          <w:lang w:val="es-ES_tradnl"/>
        </w:rPr>
        <w:t xml:space="preserve">Lo expuesto se ratifica en el artículo 3 del Decreto reglamentario 1860 de 2021 que adicionó el artículo </w:t>
      </w:r>
      <w:r w:rsidRPr="00C065EA">
        <w:rPr>
          <w:rFonts w:ascii="Arial" w:eastAsia="Calibri" w:hAnsi="Arial" w:cs="Arial"/>
          <w:color w:val="000000" w:themeColor="text1"/>
          <w:sz w:val="22"/>
          <w:szCs w:val="22"/>
          <w:lang w:val="es-ES_tradnl"/>
        </w:rPr>
        <w:t xml:space="preserve">2.2.1.2.4.2.17 al Decreto 1082 de 2015, cuyo numeral 4 </w:t>
      </w:r>
      <w:r w:rsidR="004820F1" w:rsidRPr="00C065EA">
        <w:rPr>
          <w:rFonts w:ascii="Arial" w:eastAsia="Calibri" w:hAnsi="Arial" w:cs="Arial"/>
          <w:color w:val="000000" w:themeColor="text1"/>
          <w:sz w:val="22"/>
          <w:szCs w:val="22"/>
          <w:lang w:val="es-ES_tradnl"/>
        </w:rPr>
        <w:t>desarrollar el factor de desempate que se está analizando</w:t>
      </w:r>
      <w:r w:rsidRPr="00C065EA">
        <w:rPr>
          <w:rFonts w:ascii="Arial" w:eastAsia="Calibri" w:hAnsi="Arial" w:cs="Arial"/>
          <w:color w:val="000000" w:themeColor="text1"/>
          <w:sz w:val="22"/>
          <w:szCs w:val="22"/>
          <w:lang w:val="es-ES_tradnl"/>
        </w:rPr>
        <w:t xml:space="preserve">: </w:t>
      </w:r>
    </w:p>
    <w:p w14:paraId="0689031D" w14:textId="29771429" w:rsidR="00790B9B" w:rsidRPr="00C065EA" w:rsidRDefault="00790B9B" w:rsidP="00E65574">
      <w:pPr>
        <w:tabs>
          <w:tab w:val="left" w:pos="0"/>
        </w:tabs>
        <w:spacing w:line="276" w:lineRule="auto"/>
        <w:ind w:firstLine="709"/>
        <w:jc w:val="both"/>
        <w:rPr>
          <w:rFonts w:ascii="Arial" w:eastAsia="Calibri" w:hAnsi="Arial" w:cs="Arial"/>
          <w:bCs/>
          <w:sz w:val="22"/>
          <w:lang w:val="es-ES_tradnl"/>
        </w:rPr>
      </w:pPr>
    </w:p>
    <w:p w14:paraId="35AF5E4F" w14:textId="77777777" w:rsidR="000E472F" w:rsidRPr="00C065EA" w:rsidRDefault="000E472F" w:rsidP="000E472F">
      <w:pPr>
        <w:pStyle w:val="NormalWeb"/>
        <w:shd w:val="clear" w:color="auto" w:fill="FFFFFF"/>
        <w:spacing w:before="0" w:beforeAutospacing="0"/>
        <w:ind w:left="709" w:right="709"/>
        <w:jc w:val="both"/>
        <w:rPr>
          <w:rFonts w:ascii="Arial" w:hAnsi="Arial" w:cs="Arial"/>
          <w:sz w:val="21"/>
          <w:szCs w:val="21"/>
        </w:rPr>
      </w:pPr>
      <w:r w:rsidRPr="00C065EA">
        <w:rPr>
          <w:rFonts w:ascii="Arial" w:hAnsi="Arial" w:cs="Arial"/>
          <w:sz w:val="21"/>
          <w:szCs w:val="21"/>
        </w:rPr>
        <w:t xml:space="preserve">4. Preferir la propuesta presentada por el oferente que acredite la vinculación en mayor proporción de personas mayores que no sean beneficiarias de la pensión de vejez, familiar o de sobrevivencia y que hayan cumplido el requisito de edad de pensión establecido en la ley, 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Solo se tendrá en cuenta la vinculación de aquellas </w:t>
      </w:r>
      <w:r w:rsidRPr="00C065EA">
        <w:rPr>
          <w:rFonts w:ascii="Arial" w:hAnsi="Arial" w:cs="Arial"/>
          <w:sz w:val="21"/>
          <w:szCs w:val="21"/>
        </w:rPr>
        <w:lastRenderedPageBreak/>
        <w:t>personas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w:t>
      </w:r>
    </w:p>
    <w:p w14:paraId="23C1BAD1" w14:textId="77777777" w:rsidR="000E472F" w:rsidRPr="00C065EA" w:rsidRDefault="000E472F" w:rsidP="000E472F">
      <w:pPr>
        <w:pStyle w:val="NormalWeb"/>
        <w:shd w:val="clear" w:color="auto" w:fill="FFFFFF"/>
        <w:spacing w:before="0" w:beforeAutospacing="0"/>
        <w:ind w:left="709" w:right="709"/>
        <w:jc w:val="both"/>
        <w:rPr>
          <w:rFonts w:ascii="Arial" w:hAnsi="Arial" w:cs="Arial"/>
          <w:sz w:val="21"/>
          <w:szCs w:val="21"/>
        </w:rPr>
      </w:pPr>
      <w:r w:rsidRPr="00C065EA">
        <w:rPr>
          <w:rFonts w:ascii="Arial" w:hAnsi="Arial" w:cs="Arial"/>
          <w:sz w:val="21"/>
          <w:szCs w:val="21"/>
        </w:rPr>
        <w:t>El tiempo de vinculación en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w:t>
      </w:r>
    </w:p>
    <w:p w14:paraId="5A28ADA7" w14:textId="77777777" w:rsidR="000E472F" w:rsidRPr="00C065EA" w:rsidRDefault="000E472F" w:rsidP="000E472F">
      <w:pPr>
        <w:pStyle w:val="NormalWeb"/>
        <w:shd w:val="clear" w:color="auto" w:fill="FFFFFF"/>
        <w:spacing w:before="0" w:beforeAutospacing="0"/>
        <w:ind w:left="709" w:right="709"/>
        <w:jc w:val="both"/>
        <w:rPr>
          <w:rFonts w:ascii="Arial" w:hAnsi="Arial" w:cs="Arial"/>
          <w:sz w:val="21"/>
          <w:szCs w:val="21"/>
        </w:rPr>
      </w:pPr>
      <w:r w:rsidRPr="00C065EA">
        <w:rPr>
          <w:rFonts w:ascii="Arial" w:hAnsi="Arial" w:cs="Arial"/>
          <w:sz w:val="21"/>
          <w:szCs w:val="21"/>
        </w:rPr>
        <w:t>En el caso de los proponentes plurales,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659AD5AE" w14:textId="77777777" w:rsidR="000E472F" w:rsidRPr="00C065EA" w:rsidRDefault="000E472F" w:rsidP="000E472F">
      <w:pPr>
        <w:pStyle w:val="NormalWeb"/>
        <w:shd w:val="clear" w:color="auto" w:fill="FFFFFF"/>
        <w:spacing w:before="0" w:beforeAutospacing="0"/>
        <w:ind w:left="709" w:right="709"/>
        <w:jc w:val="both"/>
        <w:rPr>
          <w:rFonts w:ascii="Arial" w:hAnsi="Arial" w:cs="Arial"/>
          <w:sz w:val="21"/>
          <w:szCs w:val="21"/>
        </w:rPr>
      </w:pPr>
      <w:r w:rsidRPr="00C065EA">
        <w:rPr>
          <w:rFonts w:ascii="Arial" w:hAnsi="Arial" w:cs="Arial"/>
          <w:sz w:val="21"/>
          <w:szCs w:val="21"/>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3FD286D3" w14:textId="732F0CAF" w:rsidR="00790B9B" w:rsidRPr="00C065EA" w:rsidRDefault="000E472F" w:rsidP="00994779">
      <w:pPr>
        <w:shd w:val="clear" w:color="auto" w:fill="FFFFFF"/>
        <w:ind w:left="709" w:right="709"/>
        <w:jc w:val="both"/>
        <w:rPr>
          <w:rFonts w:ascii="Arial" w:eastAsia="Calibri" w:hAnsi="Arial" w:cs="Arial"/>
          <w:sz w:val="22"/>
          <w:szCs w:val="22"/>
          <w:lang w:val="es-ES_tradnl"/>
        </w:rPr>
      </w:pPr>
      <w:r w:rsidRPr="00C065EA">
        <w:rPr>
          <w:rFonts w:ascii="Arial" w:hAnsi="Arial" w:cs="Arial"/>
          <w:i/>
          <w:iCs/>
          <w:sz w:val="21"/>
          <w:szCs w:val="21"/>
        </w:rPr>
        <w:t xml:space="preserve">La mayor proporción </w:t>
      </w:r>
      <w:bookmarkStart w:id="19" w:name="_Hlk102656704"/>
      <w:r w:rsidRPr="00C065EA">
        <w:rPr>
          <w:rFonts w:ascii="Arial" w:hAnsi="Arial" w:cs="Arial"/>
          <w:i/>
          <w:iCs/>
          <w:sz w:val="21"/>
          <w:szCs w:val="21"/>
        </w:rPr>
        <w:t>se definirá en relación con el número total de trabajadores vinculados en la planta de personal, por lo que se preferirá al oferente que acredite un porcentaje mayor</w:t>
      </w:r>
      <w:bookmarkEnd w:id="19"/>
      <w:r w:rsidRPr="00C065EA">
        <w:rPr>
          <w:rFonts w:ascii="Arial" w:hAnsi="Arial" w:cs="Arial"/>
          <w:i/>
          <w:iCs/>
          <w:sz w:val="21"/>
          <w:szCs w:val="21"/>
        </w:rPr>
        <w:t>. En el caso de proponentes plurales, la mayor proporción se definirá con la sumatoria de trabajadores vinculados en la planta de personal de cada uno de sus integrantes</w:t>
      </w:r>
      <w:r w:rsidRPr="00C065EA">
        <w:rPr>
          <w:rFonts w:ascii="Arial" w:hAnsi="Arial" w:cs="Arial"/>
          <w:sz w:val="21"/>
          <w:szCs w:val="21"/>
        </w:rPr>
        <w:t>.</w:t>
      </w:r>
      <w:r w:rsidRPr="00C065EA">
        <w:rPr>
          <w:rFonts w:ascii="Arial" w:eastAsia="Calibri" w:hAnsi="Arial" w:cs="Arial"/>
          <w:sz w:val="22"/>
          <w:szCs w:val="22"/>
          <w:lang w:val="es-ES_tradnl"/>
        </w:rPr>
        <w:t xml:space="preserve"> (Énfasis fuera de texto)</w:t>
      </w:r>
    </w:p>
    <w:p w14:paraId="196FC901" w14:textId="77777777" w:rsidR="00790B9B" w:rsidRPr="00C065EA" w:rsidRDefault="00790B9B" w:rsidP="00E65574">
      <w:pPr>
        <w:tabs>
          <w:tab w:val="left" w:pos="0"/>
        </w:tabs>
        <w:spacing w:line="276" w:lineRule="auto"/>
        <w:ind w:firstLine="709"/>
        <w:jc w:val="both"/>
        <w:rPr>
          <w:rFonts w:ascii="Arial" w:eastAsia="Calibri" w:hAnsi="Arial" w:cs="Arial"/>
          <w:bCs/>
          <w:sz w:val="22"/>
          <w:lang w:val="es-ES_tradnl"/>
        </w:rPr>
      </w:pPr>
    </w:p>
    <w:p w14:paraId="01370C23" w14:textId="4754DACC" w:rsidR="005E76AE" w:rsidRPr="00C065EA" w:rsidRDefault="008705B9" w:rsidP="00535D5C">
      <w:pPr>
        <w:tabs>
          <w:tab w:val="left" w:pos="0"/>
        </w:tabs>
        <w:spacing w:after="160" w:line="276" w:lineRule="auto"/>
        <w:ind w:firstLine="709"/>
        <w:jc w:val="both"/>
        <w:rPr>
          <w:rFonts w:ascii="Arial" w:eastAsia="Calibri" w:hAnsi="Arial" w:cs="Arial"/>
          <w:bCs/>
          <w:sz w:val="22"/>
          <w:lang w:val="es-ES_tradnl"/>
        </w:rPr>
      </w:pPr>
      <w:r w:rsidRPr="00C065EA">
        <w:rPr>
          <w:rFonts w:ascii="Arial" w:eastAsia="Calibri" w:hAnsi="Arial" w:cs="Arial"/>
          <w:bCs/>
          <w:sz w:val="22"/>
          <w:lang w:val="es-ES_tradnl"/>
        </w:rPr>
        <w:t>De conformidad con lo anterior,</w:t>
      </w:r>
      <w:r w:rsidR="007274EC" w:rsidRPr="00C065EA">
        <w:rPr>
          <w:rFonts w:ascii="Arial" w:eastAsia="Calibri" w:hAnsi="Arial" w:cs="Arial"/>
          <w:bCs/>
          <w:sz w:val="22"/>
          <w:lang w:val="es-ES_tradnl"/>
        </w:rPr>
        <w:t xml:space="preserve"> </w:t>
      </w:r>
      <w:r w:rsidR="005118F4" w:rsidRPr="00C065EA">
        <w:rPr>
          <w:rFonts w:ascii="Arial" w:eastAsia="Calibri" w:hAnsi="Arial" w:cs="Arial"/>
          <w:bCs/>
          <w:sz w:val="22"/>
          <w:lang w:val="es-ES_tradnl"/>
        </w:rPr>
        <w:t>la reglamentación actual</w:t>
      </w:r>
      <w:r w:rsidR="001A4223" w:rsidRPr="00C065EA">
        <w:rPr>
          <w:rFonts w:ascii="Arial" w:eastAsia="Calibri" w:hAnsi="Arial" w:cs="Arial"/>
          <w:bCs/>
          <w:sz w:val="22"/>
          <w:lang w:val="es-ES_tradnl"/>
        </w:rPr>
        <w:t>,</w:t>
      </w:r>
      <w:r w:rsidR="007274EC" w:rsidRPr="00C065EA">
        <w:rPr>
          <w:rFonts w:ascii="Arial" w:eastAsia="Calibri" w:hAnsi="Arial" w:cs="Arial"/>
          <w:bCs/>
          <w:sz w:val="22"/>
          <w:lang w:val="es-ES_tradnl"/>
        </w:rPr>
        <w:t xml:space="preserve"> expresamente señala que</w:t>
      </w:r>
      <w:r w:rsidRPr="00C065EA">
        <w:rPr>
          <w:rFonts w:ascii="Arial" w:eastAsia="Calibri" w:hAnsi="Arial" w:cs="Arial"/>
          <w:bCs/>
          <w:sz w:val="22"/>
          <w:lang w:val="es-ES_tradnl"/>
        </w:rPr>
        <w:t xml:space="preserve"> </w:t>
      </w:r>
      <w:r w:rsidR="009A347B" w:rsidRPr="00C065EA">
        <w:rPr>
          <w:rFonts w:ascii="Arial" w:eastAsia="Calibri" w:hAnsi="Arial" w:cs="Arial"/>
          <w:bCs/>
          <w:sz w:val="22"/>
          <w:lang w:val="es-ES_tradnl"/>
        </w:rPr>
        <w:t xml:space="preserve">se preferirá la propuesta del oferente que acredite </w:t>
      </w:r>
      <w:r w:rsidR="00B97A19" w:rsidRPr="00C065EA">
        <w:rPr>
          <w:rFonts w:ascii="Arial" w:eastAsia="Calibri" w:hAnsi="Arial" w:cs="Arial"/>
          <w:bCs/>
          <w:sz w:val="22"/>
          <w:lang w:val="es-ES_tradnl"/>
        </w:rPr>
        <w:t>la vinculación en mayor proporción de personas mayores que no sean beneficiarias de la pensión de vejez, familiar o de sobrevivencia y que hayan cumplido el requisito de edad de pensión establecido en la ley</w:t>
      </w:r>
      <w:r w:rsidR="0005694A" w:rsidRPr="00C065EA">
        <w:rPr>
          <w:rFonts w:ascii="Arial" w:eastAsia="Calibri" w:hAnsi="Arial" w:cs="Arial"/>
          <w:bCs/>
          <w:sz w:val="22"/>
          <w:lang w:val="es-ES_tradnl"/>
        </w:rPr>
        <w:t>, para lo cual deberá</w:t>
      </w:r>
      <w:r w:rsidR="004A7617" w:rsidRPr="00C065EA">
        <w:rPr>
          <w:rFonts w:ascii="Arial" w:eastAsia="Calibri" w:hAnsi="Arial" w:cs="Arial"/>
          <w:bCs/>
          <w:sz w:val="22"/>
          <w:lang w:val="es-ES_tradnl"/>
        </w:rPr>
        <w:t>n</w:t>
      </w:r>
      <w:r w:rsidR="0005694A" w:rsidRPr="00C065EA">
        <w:rPr>
          <w:rFonts w:ascii="Arial" w:eastAsia="Calibri" w:hAnsi="Arial" w:cs="Arial"/>
          <w:bCs/>
          <w:sz w:val="22"/>
          <w:lang w:val="es-ES_tradnl"/>
        </w:rPr>
        <w:t xml:space="preserve"> presentar</w:t>
      </w:r>
      <w:r w:rsidR="004A7617" w:rsidRPr="00C065EA">
        <w:rPr>
          <w:rFonts w:ascii="Arial" w:eastAsia="Calibri" w:hAnsi="Arial" w:cs="Arial"/>
          <w:bCs/>
          <w:sz w:val="22"/>
          <w:lang w:val="es-ES_tradnl"/>
        </w:rPr>
        <w:t xml:space="preserve"> los siguientes documentos: i)</w:t>
      </w:r>
      <w:r w:rsidR="0005694A" w:rsidRPr="00C065EA">
        <w:rPr>
          <w:rFonts w:ascii="Arial" w:eastAsia="Calibri" w:hAnsi="Arial" w:cs="Arial"/>
          <w:bCs/>
          <w:sz w:val="22"/>
          <w:lang w:val="es-ES_tradnl"/>
        </w:rPr>
        <w:t xml:space="preserve"> un certificado mediante el cual</w:t>
      </w:r>
      <w:r w:rsidR="00836E00" w:rsidRPr="00C065EA">
        <w:rPr>
          <w:rFonts w:ascii="Arial" w:eastAsia="Calibri" w:hAnsi="Arial" w:cs="Arial"/>
          <w:bCs/>
          <w:sz w:val="22"/>
          <w:lang w:val="es-ES_tradnl"/>
        </w:rPr>
        <w:t xml:space="preserve">, el representante legal de la persona jurídica o el revisor fiscal, </w:t>
      </w:r>
      <w:r w:rsidR="0087767C" w:rsidRPr="00C065EA">
        <w:rPr>
          <w:rFonts w:ascii="Arial" w:eastAsia="Calibri" w:hAnsi="Arial" w:cs="Arial"/>
          <w:bCs/>
          <w:sz w:val="22"/>
          <w:lang w:val="es-ES_tradnl"/>
        </w:rPr>
        <w:t xml:space="preserve">acredite bajo gravedad de juramento las personas vinculadas a la nómina y </w:t>
      </w:r>
      <w:r w:rsidR="00EA5F6C" w:rsidRPr="00C065EA">
        <w:rPr>
          <w:rFonts w:ascii="Arial" w:eastAsia="Calibri" w:hAnsi="Arial" w:cs="Arial"/>
          <w:bCs/>
          <w:sz w:val="22"/>
          <w:lang w:val="es-ES_tradnl"/>
        </w:rPr>
        <w:t>el número de trabajadores que no son beneficiarios de la pensión de vejez</w:t>
      </w:r>
      <w:r w:rsidR="00F67EC6" w:rsidRPr="00C065EA">
        <w:rPr>
          <w:rFonts w:ascii="Arial" w:eastAsia="Calibri" w:hAnsi="Arial" w:cs="Arial"/>
          <w:bCs/>
          <w:sz w:val="22"/>
          <w:lang w:val="es-ES_tradnl"/>
        </w:rPr>
        <w:t>, familiar o de sobrevivencia</w:t>
      </w:r>
      <w:r w:rsidR="0079524C" w:rsidRPr="00C065EA">
        <w:rPr>
          <w:rFonts w:ascii="Arial" w:eastAsia="Calibri" w:hAnsi="Arial" w:cs="Arial"/>
          <w:bCs/>
          <w:sz w:val="22"/>
          <w:lang w:val="es-ES_tradnl"/>
        </w:rPr>
        <w:t>,</w:t>
      </w:r>
      <w:r w:rsidR="004A7617" w:rsidRPr="00C065EA">
        <w:rPr>
          <w:rFonts w:ascii="Arial" w:eastAsia="Calibri" w:hAnsi="Arial" w:cs="Arial"/>
          <w:bCs/>
          <w:sz w:val="22"/>
          <w:lang w:val="es-ES_tradnl"/>
        </w:rPr>
        <w:t xml:space="preserve"> ii) </w:t>
      </w:r>
      <w:r w:rsidR="00950996" w:rsidRPr="00C065EA">
        <w:rPr>
          <w:rFonts w:ascii="Arial" w:eastAsia="Calibri" w:hAnsi="Arial" w:cs="Arial"/>
          <w:bCs/>
          <w:sz w:val="22"/>
          <w:lang w:val="es-ES_tradnl"/>
        </w:rPr>
        <w:t>un certificado</w:t>
      </w:r>
      <w:r w:rsidR="00735B4E" w:rsidRPr="00C065EA">
        <w:rPr>
          <w:rFonts w:ascii="Arial" w:eastAsia="Calibri" w:hAnsi="Arial" w:cs="Arial"/>
          <w:bCs/>
          <w:sz w:val="22"/>
          <w:lang w:val="es-ES_tradnl"/>
        </w:rPr>
        <w:t xml:space="preserve"> mediante el cual,</w:t>
      </w:r>
      <w:r w:rsidR="00950996" w:rsidRPr="00C065EA">
        <w:rPr>
          <w:rFonts w:ascii="Arial" w:eastAsia="Calibri" w:hAnsi="Arial" w:cs="Arial"/>
          <w:bCs/>
          <w:sz w:val="22"/>
          <w:lang w:val="es-ES_tradnl"/>
        </w:rPr>
        <w:t xml:space="preserve"> cada uno de los trabajadores </w:t>
      </w:r>
      <w:r w:rsidR="00D06FCB" w:rsidRPr="00C065EA">
        <w:rPr>
          <w:rFonts w:ascii="Arial" w:eastAsia="Calibri" w:hAnsi="Arial" w:cs="Arial"/>
          <w:bCs/>
          <w:sz w:val="22"/>
          <w:lang w:val="es-ES_tradnl"/>
        </w:rPr>
        <w:t>sujetos a la</w:t>
      </w:r>
      <w:r w:rsidR="00735B4E" w:rsidRPr="00C065EA">
        <w:rPr>
          <w:rFonts w:ascii="Arial" w:eastAsia="Calibri" w:hAnsi="Arial" w:cs="Arial"/>
          <w:bCs/>
          <w:sz w:val="22"/>
          <w:lang w:val="es-ES_tradnl"/>
        </w:rPr>
        <w:t xml:space="preserve"> condición prevista en el numeral, acredite bajo gravedad de juramento que no es beneficiario </w:t>
      </w:r>
      <w:r w:rsidR="00065011" w:rsidRPr="00C065EA">
        <w:rPr>
          <w:rFonts w:ascii="Arial" w:eastAsia="Calibri" w:hAnsi="Arial" w:cs="Arial"/>
          <w:bCs/>
          <w:sz w:val="22"/>
          <w:lang w:val="es-ES_tradnl"/>
        </w:rPr>
        <w:t>de pensión de vejez, familiar o sobrevivencia, y</w:t>
      </w:r>
      <w:r w:rsidR="00D06FCB" w:rsidRPr="00C065EA">
        <w:rPr>
          <w:rFonts w:ascii="Arial" w:eastAsia="Calibri" w:hAnsi="Arial" w:cs="Arial"/>
          <w:bCs/>
          <w:sz w:val="22"/>
          <w:lang w:val="es-ES_tradnl"/>
        </w:rPr>
        <w:t xml:space="preserve"> que</w:t>
      </w:r>
      <w:r w:rsidR="00065011" w:rsidRPr="00C065EA">
        <w:rPr>
          <w:rFonts w:ascii="Arial" w:eastAsia="Calibri" w:hAnsi="Arial" w:cs="Arial"/>
          <w:bCs/>
          <w:sz w:val="22"/>
          <w:lang w:val="es-ES_tradnl"/>
        </w:rPr>
        <w:t xml:space="preserve"> cumple la edad de pensión;</w:t>
      </w:r>
      <w:r w:rsidR="0079524C" w:rsidRPr="00C065EA">
        <w:rPr>
          <w:rFonts w:ascii="Arial" w:eastAsia="Calibri" w:hAnsi="Arial" w:cs="Arial"/>
          <w:bCs/>
          <w:sz w:val="22"/>
          <w:lang w:val="es-ES_tradnl"/>
        </w:rPr>
        <w:t xml:space="preserve"> y </w:t>
      </w:r>
      <w:proofErr w:type="spellStart"/>
      <w:r w:rsidR="0079524C" w:rsidRPr="00C065EA">
        <w:rPr>
          <w:rFonts w:ascii="Arial" w:eastAsia="Calibri" w:hAnsi="Arial" w:cs="Arial"/>
          <w:bCs/>
          <w:sz w:val="22"/>
          <w:lang w:val="es-ES_tradnl"/>
        </w:rPr>
        <w:t>iii</w:t>
      </w:r>
      <w:proofErr w:type="spellEnd"/>
      <w:r w:rsidR="0079524C" w:rsidRPr="00C065EA">
        <w:rPr>
          <w:rFonts w:ascii="Arial" w:eastAsia="Calibri" w:hAnsi="Arial" w:cs="Arial"/>
          <w:bCs/>
          <w:sz w:val="22"/>
          <w:lang w:val="es-ES_tradnl"/>
        </w:rPr>
        <w:t>)</w:t>
      </w:r>
      <w:r w:rsidR="00065011" w:rsidRPr="00C065EA">
        <w:rPr>
          <w:rFonts w:ascii="Arial" w:eastAsia="Calibri" w:hAnsi="Arial" w:cs="Arial"/>
          <w:bCs/>
          <w:sz w:val="22"/>
          <w:lang w:val="es-ES_tradnl"/>
        </w:rPr>
        <w:t xml:space="preserve"> además, el documento de identificación del trabajador que lo firma.</w:t>
      </w:r>
    </w:p>
    <w:p w14:paraId="3B91F2A5" w14:textId="77777777" w:rsidR="00457C10" w:rsidRPr="00C065EA" w:rsidRDefault="00F00125" w:rsidP="000D58EE">
      <w:pPr>
        <w:tabs>
          <w:tab w:val="left" w:pos="0"/>
        </w:tabs>
        <w:spacing w:after="160" w:line="276" w:lineRule="auto"/>
        <w:ind w:firstLine="709"/>
        <w:jc w:val="both"/>
        <w:rPr>
          <w:rFonts w:ascii="Arial" w:eastAsia="Calibri" w:hAnsi="Arial" w:cs="Arial"/>
          <w:bCs/>
          <w:sz w:val="22"/>
          <w:lang w:val="es-ES_tradnl"/>
        </w:rPr>
      </w:pPr>
      <w:r w:rsidRPr="00C065EA">
        <w:rPr>
          <w:rFonts w:ascii="Arial" w:eastAsia="Calibri" w:hAnsi="Arial" w:cs="Arial"/>
          <w:bCs/>
          <w:sz w:val="22"/>
          <w:lang w:val="es-ES_tradnl"/>
        </w:rPr>
        <w:lastRenderedPageBreak/>
        <w:t xml:space="preserve">Según </w:t>
      </w:r>
      <w:r w:rsidR="00B45236" w:rsidRPr="00C065EA">
        <w:rPr>
          <w:rFonts w:ascii="Arial" w:eastAsia="Calibri" w:hAnsi="Arial" w:cs="Arial"/>
          <w:bCs/>
          <w:sz w:val="22"/>
          <w:lang w:val="es-ES_tradnl"/>
        </w:rPr>
        <w:t>la norma citada</w:t>
      </w:r>
      <w:r w:rsidR="005E76AE" w:rsidRPr="00C065EA">
        <w:rPr>
          <w:rFonts w:ascii="Arial" w:eastAsia="Calibri" w:hAnsi="Arial" w:cs="Arial"/>
          <w:bCs/>
          <w:sz w:val="22"/>
          <w:lang w:val="es-ES_tradnl"/>
        </w:rPr>
        <w:t xml:space="preserve">, se estipula que </w:t>
      </w:r>
      <w:r w:rsidR="005A6343" w:rsidRPr="00C065EA">
        <w:rPr>
          <w:rFonts w:ascii="Arial" w:eastAsia="Calibri" w:hAnsi="Arial" w:cs="Arial"/>
          <w:bCs/>
          <w:sz w:val="22"/>
          <w:lang w:val="es-ES_tradnl"/>
        </w:rPr>
        <w:t xml:space="preserve">la vinculación </w:t>
      </w:r>
      <w:r w:rsidR="007122B1" w:rsidRPr="00C065EA">
        <w:rPr>
          <w:rFonts w:ascii="Arial" w:eastAsia="Calibri" w:hAnsi="Arial" w:cs="Arial"/>
          <w:bCs/>
          <w:sz w:val="22"/>
          <w:lang w:val="es-ES_tradnl"/>
        </w:rPr>
        <w:t xml:space="preserve">de estas personas se tendrá en cuenta si han estado vinculadas con anterioridad a un año desde la fecha de cierre del proceso y que para el caso de </w:t>
      </w:r>
      <w:r w:rsidR="007E3AF7" w:rsidRPr="00C065EA">
        <w:rPr>
          <w:rFonts w:ascii="Arial" w:eastAsia="Calibri" w:hAnsi="Arial" w:cs="Arial"/>
          <w:bCs/>
          <w:sz w:val="22"/>
          <w:lang w:val="es-ES_tradnl"/>
        </w:rPr>
        <w:t xml:space="preserve">las personas jurídicas nuevas o con constitución inferior a un año, se tendrá en cuenta que hayan estado vinculadas desde el momento de constitución de la persona jurídica. </w:t>
      </w:r>
      <w:r w:rsidR="00B171C0" w:rsidRPr="00C065EA">
        <w:rPr>
          <w:rFonts w:ascii="Arial" w:eastAsia="Calibri" w:hAnsi="Arial" w:cs="Arial"/>
          <w:bCs/>
          <w:sz w:val="22"/>
          <w:lang w:val="es-ES_tradnl"/>
        </w:rPr>
        <w:t xml:space="preserve">De otro lado, para el caso de los proponentes plurales, se establece que </w:t>
      </w:r>
      <w:r w:rsidR="00DF6BC9" w:rsidRPr="00C065EA">
        <w:rPr>
          <w:rFonts w:ascii="Arial" w:eastAsia="Calibri" w:hAnsi="Arial" w:cs="Arial"/>
          <w:bCs/>
          <w:sz w:val="22"/>
          <w:lang w:val="es-ES_tradnl"/>
        </w:rPr>
        <w:t xml:space="preserve">las personas </w:t>
      </w:r>
      <w:r w:rsidR="003C3C9B" w:rsidRPr="00C065EA">
        <w:rPr>
          <w:rFonts w:ascii="Arial" w:eastAsia="Calibri" w:hAnsi="Arial" w:cs="Arial"/>
          <w:bCs/>
          <w:sz w:val="22"/>
          <w:lang w:val="es-ES_tradnl"/>
        </w:rPr>
        <w:t>referenciadas</w:t>
      </w:r>
      <w:r w:rsidR="00DF6BC9" w:rsidRPr="00C065EA">
        <w:rPr>
          <w:rFonts w:ascii="Arial" w:eastAsia="Calibri" w:hAnsi="Arial" w:cs="Arial"/>
          <w:bCs/>
          <w:sz w:val="22"/>
          <w:lang w:val="es-ES_tradnl"/>
        </w:rPr>
        <w:t xml:space="preserve"> podrán estar vinculadas a cualquiera de los integrantes de la estructura plural. </w:t>
      </w:r>
    </w:p>
    <w:p w14:paraId="436FF446" w14:textId="35267D96" w:rsidR="00F924AB" w:rsidRPr="00C065EA" w:rsidRDefault="00CD6482" w:rsidP="000D58EE">
      <w:pPr>
        <w:tabs>
          <w:tab w:val="left" w:pos="0"/>
        </w:tabs>
        <w:spacing w:after="160" w:line="276" w:lineRule="auto"/>
        <w:ind w:firstLine="709"/>
        <w:jc w:val="both"/>
        <w:rPr>
          <w:rFonts w:ascii="Arial" w:eastAsia="Calibri" w:hAnsi="Arial" w:cs="Arial"/>
          <w:bCs/>
          <w:sz w:val="22"/>
          <w:lang w:val="es-ES_tradnl"/>
        </w:rPr>
      </w:pPr>
      <w:r w:rsidRPr="00C065EA">
        <w:rPr>
          <w:rFonts w:ascii="Arial" w:eastAsia="Calibri" w:hAnsi="Arial" w:cs="Arial"/>
          <w:bCs/>
          <w:sz w:val="22"/>
          <w:lang w:val="es-ES_tradnl"/>
        </w:rPr>
        <w:t>Finalmente</w:t>
      </w:r>
      <w:r w:rsidR="00DD53EE" w:rsidRPr="00C065EA">
        <w:rPr>
          <w:rFonts w:ascii="Arial" w:eastAsia="Calibri" w:hAnsi="Arial" w:cs="Arial"/>
          <w:bCs/>
          <w:sz w:val="22"/>
          <w:lang w:val="es-ES_tradnl"/>
        </w:rPr>
        <w:t xml:space="preserve">, </w:t>
      </w:r>
      <w:r w:rsidR="00301009" w:rsidRPr="00C065EA">
        <w:rPr>
          <w:rFonts w:ascii="Arial" w:eastAsia="Calibri" w:hAnsi="Arial" w:cs="Arial"/>
          <w:bCs/>
          <w:sz w:val="22"/>
          <w:lang w:val="es-ES_tradnl"/>
        </w:rPr>
        <w:t xml:space="preserve">de acuerdo con la norma, la expresión </w:t>
      </w:r>
      <w:r w:rsidR="00882ABE" w:rsidRPr="00C065EA">
        <w:rPr>
          <w:rFonts w:ascii="Arial" w:eastAsia="Calibri" w:hAnsi="Arial" w:cs="Arial"/>
          <w:bCs/>
          <w:sz w:val="22"/>
          <w:lang w:val="es-ES_tradnl"/>
        </w:rPr>
        <w:t>«mayor proporción» alude al número de personas vinculadas por el oferente</w:t>
      </w:r>
      <w:r w:rsidR="00F52571" w:rsidRPr="00C065EA">
        <w:rPr>
          <w:rFonts w:ascii="Arial" w:eastAsia="Calibri" w:hAnsi="Arial" w:cs="Arial"/>
          <w:bCs/>
          <w:sz w:val="22"/>
          <w:lang w:val="es-ES_tradnl"/>
        </w:rPr>
        <w:t xml:space="preserve">, la cual </w:t>
      </w:r>
      <w:r w:rsidR="00F52571" w:rsidRPr="00C065EA">
        <w:rPr>
          <w:rFonts w:ascii="Arial" w:hAnsi="Arial" w:cs="Arial"/>
          <w:sz w:val="22"/>
          <w:szCs w:val="22"/>
          <w:lang w:val="es-ES_tradnl"/>
        </w:rPr>
        <w:t>«</w:t>
      </w:r>
      <w:r w:rsidR="00F52571" w:rsidRPr="00C065EA">
        <w:rPr>
          <w:rFonts w:ascii="Arial" w:eastAsia="Calibri" w:hAnsi="Arial" w:cs="Arial"/>
          <w:bCs/>
          <w:sz w:val="22"/>
          <w:lang w:val="es-ES_tradnl"/>
        </w:rPr>
        <w:t xml:space="preserve">se definirá en relación con el número total de trabajadores vinculados en la planta de personal, por lo que se preferirá al oferente que acredite un </w:t>
      </w:r>
      <w:r w:rsidR="00F52571" w:rsidRPr="00C065EA">
        <w:rPr>
          <w:rFonts w:ascii="Arial" w:eastAsia="Calibri" w:hAnsi="Arial" w:cs="Arial"/>
          <w:bCs/>
          <w:i/>
          <w:iCs/>
          <w:sz w:val="22"/>
          <w:lang w:val="es-ES_tradnl"/>
        </w:rPr>
        <w:t>porcentaje mayor</w:t>
      </w:r>
      <w:r w:rsidR="00FF629E" w:rsidRPr="00C065EA">
        <w:rPr>
          <w:rFonts w:ascii="Arial" w:hAnsi="Arial" w:cs="Arial"/>
          <w:sz w:val="22"/>
          <w:szCs w:val="22"/>
          <w:lang w:val="es-ES_tradnl"/>
        </w:rPr>
        <w:t>»</w:t>
      </w:r>
      <w:r w:rsidR="000D58EE" w:rsidRPr="00C065EA">
        <w:rPr>
          <w:rFonts w:ascii="Arial" w:eastAsia="Calibri" w:hAnsi="Arial" w:cs="Arial"/>
          <w:bCs/>
          <w:sz w:val="22"/>
          <w:lang w:val="es-ES_tradnl"/>
        </w:rPr>
        <w:t xml:space="preserve"> </w:t>
      </w:r>
      <w:r w:rsidR="00C60FDF" w:rsidRPr="00C065EA">
        <w:rPr>
          <w:rFonts w:ascii="Arial" w:eastAsia="Calibri" w:hAnsi="Arial" w:cs="Arial"/>
          <w:bCs/>
          <w:sz w:val="22"/>
          <w:lang w:val="es-ES_tradnl"/>
        </w:rPr>
        <w:t xml:space="preserve">de vinculación laboral de personas que </w:t>
      </w:r>
      <w:r w:rsidR="00882ABE" w:rsidRPr="00C065EA">
        <w:rPr>
          <w:rFonts w:ascii="Arial" w:eastAsia="Calibri" w:hAnsi="Arial" w:cs="Arial"/>
          <w:bCs/>
          <w:sz w:val="22"/>
          <w:lang w:val="es-ES_tradnl"/>
        </w:rPr>
        <w:t xml:space="preserve">reúnan la condición de ser mayores y que «no sean beneficiarios de la pensión de vejez, familiar o de sobrevivencia y que hayan cumplido el requisito de edad de pensión establecido en la Ley». </w:t>
      </w:r>
      <w:r w:rsidR="00AE428F" w:rsidRPr="00C065EA">
        <w:rPr>
          <w:rFonts w:ascii="Arial" w:eastAsia="Calibri" w:hAnsi="Arial" w:cs="Arial"/>
          <w:bCs/>
          <w:sz w:val="22"/>
          <w:lang w:val="es-ES_tradnl"/>
        </w:rPr>
        <w:t xml:space="preserve">Para el caso de los proponentes plurales, </w:t>
      </w:r>
      <w:r w:rsidR="00AE428F" w:rsidRPr="00C065EA">
        <w:rPr>
          <w:rFonts w:ascii="Arial" w:hAnsi="Arial" w:cs="Arial"/>
          <w:sz w:val="22"/>
          <w:szCs w:val="22"/>
          <w:lang w:val="es-ES_tradnl"/>
        </w:rPr>
        <w:t xml:space="preserve">«la mayor proporción se definirá con la sumatoria de trabajadores vinculados en la planta de personal de cada uno de sus integrantes».  </w:t>
      </w:r>
    </w:p>
    <w:p w14:paraId="0FCB54A3" w14:textId="77777777" w:rsidR="00F924AB" w:rsidRPr="00C065EA" w:rsidRDefault="00F924AB" w:rsidP="00510DE9">
      <w:pPr>
        <w:tabs>
          <w:tab w:val="left" w:pos="0"/>
        </w:tabs>
        <w:jc w:val="both"/>
        <w:rPr>
          <w:rFonts w:ascii="Arial" w:eastAsia="Calibri" w:hAnsi="Arial" w:cs="Arial"/>
          <w:b/>
          <w:sz w:val="22"/>
          <w:lang w:val="es-ES_tradnl"/>
        </w:rPr>
      </w:pPr>
    </w:p>
    <w:p w14:paraId="37CA9805" w14:textId="122A5ECE" w:rsidR="00DD5B04" w:rsidRPr="00C065EA" w:rsidRDefault="004177A6" w:rsidP="00510DE9">
      <w:pPr>
        <w:tabs>
          <w:tab w:val="left" w:pos="0"/>
        </w:tabs>
        <w:jc w:val="both"/>
        <w:rPr>
          <w:rFonts w:ascii="Arial" w:eastAsia="Calibri" w:hAnsi="Arial" w:cs="Arial"/>
          <w:b/>
          <w:sz w:val="22"/>
          <w:lang w:val="es-ES_tradnl"/>
        </w:rPr>
      </w:pPr>
      <w:r w:rsidRPr="00C065EA">
        <w:rPr>
          <w:rFonts w:ascii="Arial" w:eastAsia="Calibri" w:hAnsi="Arial" w:cs="Arial"/>
          <w:b/>
          <w:sz w:val="22"/>
          <w:lang w:val="es-ES_tradnl"/>
        </w:rPr>
        <w:t>3</w:t>
      </w:r>
      <w:r w:rsidR="00B011A9" w:rsidRPr="00C065EA">
        <w:rPr>
          <w:rFonts w:ascii="Arial" w:eastAsia="Calibri" w:hAnsi="Arial" w:cs="Arial"/>
          <w:b/>
          <w:sz w:val="22"/>
          <w:lang w:val="es-ES_tradnl"/>
        </w:rPr>
        <w:t xml:space="preserve">. </w:t>
      </w:r>
      <w:r w:rsidR="00DD5B04" w:rsidRPr="00C065EA">
        <w:rPr>
          <w:rFonts w:ascii="Arial" w:eastAsia="Calibri" w:hAnsi="Arial" w:cs="Arial"/>
          <w:b/>
          <w:sz w:val="22"/>
          <w:lang w:val="es-ES_tradnl"/>
        </w:rPr>
        <w:t>Respuesta</w:t>
      </w:r>
      <w:r w:rsidR="002A7D84" w:rsidRPr="00C065EA">
        <w:rPr>
          <w:rFonts w:ascii="Arial" w:eastAsia="Calibri" w:hAnsi="Arial" w:cs="Arial"/>
          <w:b/>
          <w:sz w:val="22"/>
          <w:lang w:val="es-ES_tradnl"/>
        </w:rPr>
        <w:t>s</w:t>
      </w:r>
    </w:p>
    <w:p w14:paraId="0B74D5B8" w14:textId="7F0A7F13" w:rsidR="00C4581D" w:rsidRPr="00C065EA" w:rsidRDefault="00C4581D" w:rsidP="00510DE9">
      <w:pPr>
        <w:tabs>
          <w:tab w:val="left" w:pos="0"/>
        </w:tabs>
        <w:jc w:val="both"/>
        <w:rPr>
          <w:rFonts w:ascii="Arial" w:eastAsia="Calibri" w:hAnsi="Arial" w:cs="Arial"/>
          <w:sz w:val="22"/>
          <w:lang w:val="es-ES_tradnl"/>
        </w:rPr>
      </w:pPr>
    </w:p>
    <w:p w14:paraId="67F0A3EC" w14:textId="066BD5D0" w:rsidR="00D46178" w:rsidRPr="00C065EA" w:rsidRDefault="00D46178" w:rsidP="00D46178">
      <w:pPr>
        <w:autoSpaceDE w:val="0"/>
        <w:autoSpaceDN w:val="0"/>
        <w:adjustRightInd w:val="0"/>
        <w:ind w:left="709" w:right="709"/>
        <w:jc w:val="both"/>
        <w:rPr>
          <w:rFonts w:ascii="Arial" w:eastAsiaTheme="minorHAnsi" w:hAnsi="Arial" w:cs="Arial"/>
          <w:sz w:val="21"/>
          <w:szCs w:val="21"/>
          <w:lang w:eastAsia="en-US"/>
        </w:rPr>
      </w:pPr>
      <w:r w:rsidRPr="00C065EA">
        <w:rPr>
          <w:rFonts w:ascii="Arial" w:eastAsiaTheme="minorHAnsi" w:hAnsi="Arial" w:cs="Arial"/>
          <w:sz w:val="21"/>
          <w:szCs w:val="21"/>
          <w:lang w:eastAsia="en-US"/>
        </w:rPr>
        <w:t>«1. Respecto del Numeral 2, de la Ley 2069 de 2020 que contempla “</w:t>
      </w:r>
      <w:r w:rsidRPr="00C065EA">
        <w:rPr>
          <w:rFonts w:ascii="Arial" w:eastAsiaTheme="minorHAnsi" w:hAnsi="Arial" w:cs="Arial"/>
          <w:i/>
          <w:iCs/>
          <w:sz w:val="21"/>
          <w:szCs w:val="21"/>
          <w:lang w:eastAsia="en-US"/>
        </w:rPr>
        <w:t xml:space="preserve">De persistir el empate se seleccionará la propuesta de la mujer cabeza de familia, mujeres víctimas de la violencia intrafamiliar o de la persona jurídica en la cual participe o participen </w:t>
      </w:r>
      <w:r w:rsidRPr="00C065EA">
        <w:rPr>
          <w:rFonts w:ascii="Arial" w:eastAsiaTheme="minorHAnsi" w:hAnsi="Arial" w:cs="Arial"/>
          <w:b/>
          <w:bCs/>
          <w:i/>
          <w:iCs/>
          <w:sz w:val="21"/>
          <w:szCs w:val="21"/>
          <w:u w:val="single"/>
          <w:lang w:eastAsia="en-US"/>
        </w:rPr>
        <w:t>mayoritariamente</w:t>
      </w:r>
      <w:r w:rsidRPr="00C065EA">
        <w:rPr>
          <w:rFonts w:ascii="Arial" w:eastAsiaTheme="minorHAnsi" w:hAnsi="Arial" w:cs="Arial"/>
          <w:i/>
          <w:iCs/>
          <w:sz w:val="21"/>
          <w:szCs w:val="21"/>
          <w:lang w:eastAsia="en-US"/>
        </w:rPr>
        <w:t>; o, la de un proponente plural constituido por mujeres cabeza de familia, mujeres víctimas de violencia intrafamiliar y/o personas jurídicas en las cuales participe mayoritariamente</w:t>
      </w:r>
      <w:r w:rsidRPr="00C065EA">
        <w:rPr>
          <w:rFonts w:ascii="Arial" w:eastAsiaTheme="minorHAnsi" w:hAnsi="Arial" w:cs="Arial"/>
          <w:sz w:val="21"/>
          <w:szCs w:val="21"/>
          <w:lang w:eastAsia="en-US"/>
        </w:rPr>
        <w:t xml:space="preserve">” (subrayado fuera de texto) preguntamos: </w:t>
      </w:r>
    </w:p>
    <w:p w14:paraId="15CD9025" w14:textId="77777777" w:rsidR="00D46178" w:rsidRPr="00C065EA" w:rsidRDefault="00D46178" w:rsidP="00D46178">
      <w:pPr>
        <w:autoSpaceDE w:val="0"/>
        <w:autoSpaceDN w:val="0"/>
        <w:adjustRightInd w:val="0"/>
        <w:ind w:left="709" w:right="709"/>
        <w:jc w:val="both"/>
        <w:rPr>
          <w:rFonts w:ascii="Arial" w:eastAsiaTheme="minorHAnsi" w:hAnsi="Arial" w:cs="Arial"/>
          <w:sz w:val="21"/>
          <w:szCs w:val="21"/>
          <w:lang w:eastAsia="en-US"/>
        </w:rPr>
      </w:pPr>
    </w:p>
    <w:p w14:paraId="0A1F9524" w14:textId="77777777" w:rsidR="00D46178" w:rsidRPr="00C065EA" w:rsidRDefault="00D46178" w:rsidP="00D46178">
      <w:pPr>
        <w:pStyle w:val="Prrafodelista"/>
        <w:numPr>
          <w:ilvl w:val="0"/>
          <w:numId w:val="27"/>
        </w:numPr>
        <w:autoSpaceDE w:val="0"/>
        <w:autoSpaceDN w:val="0"/>
        <w:adjustRightInd w:val="0"/>
        <w:ind w:right="709"/>
        <w:jc w:val="both"/>
        <w:rPr>
          <w:rFonts w:ascii="Arial" w:hAnsi="Arial" w:cs="Arial"/>
          <w:sz w:val="21"/>
          <w:szCs w:val="21"/>
        </w:rPr>
      </w:pPr>
      <w:r w:rsidRPr="00C065EA">
        <w:rPr>
          <w:rFonts w:ascii="Arial" w:hAnsi="Arial" w:cs="Arial"/>
          <w:sz w:val="21"/>
          <w:szCs w:val="21"/>
        </w:rPr>
        <w:t>¿Cómo puede la Entidad dar aplicación y corroborar la expresión “</w:t>
      </w:r>
      <w:r w:rsidRPr="00C065EA">
        <w:rPr>
          <w:rFonts w:ascii="Arial" w:hAnsi="Arial" w:cs="Arial"/>
          <w:b/>
          <w:bCs/>
          <w:i/>
          <w:iCs/>
          <w:sz w:val="21"/>
          <w:szCs w:val="21"/>
        </w:rPr>
        <w:t>mayoritariamente</w:t>
      </w:r>
      <w:r w:rsidRPr="00C065EA">
        <w:rPr>
          <w:rFonts w:ascii="Arial" w:hAnsi="Arial" w:cs="Arial"/>
          <w:sz w:val="21"/>
          <w:szCs w:val="21"/>
        </w:rPr>
        <w:t xml:space="preserve">” para aplicar el criterio de desempate? Se aclara que los oferentes con su propuesta presentaron </w:t>
      </w:r>
      <w:r w:rsidRPr="00C065EA">
        <w:rPr>
          <w:rFonts w:ascii="Arial" w:hAnsi="Arial" w:cs="Arial"/>
          <w:i/>
          <w:iCs/>
          <w:sz w:val="21"/>
          <w:szCs w:val="21"/>
        </w:rPr>
        <w:t>una declaración ante notario de la persona natural que cumple con dicha condición, de conformidad con el parágrafo del artículo 2 de la Ley 82 de 1993</w:t>
      </w:r>
      <w:r w:rsidRPr="00C065EA">
        <w:rPr>
          <w:rFonts w:ascii="Arial" w:hAnsi="Arial" w:cs="Arial"/>
          <w:sz w:val="21"/>
          <w:szCs w:val="21"/>
        </w:rPr>
        <w:t>.</w:t>
      </w:r>
    </w:p>
    <w:p w14:paraId="78A9344E" w14:textId="77777777" w:rsidR="00D46178" w:rsidRPr="00C065EA" w:rsidRDefault="00D46178" w:rsidP="00D46178">
      <w:pPr>
        <w:pStyle w:val="Prrafodelista"/>
        <w:autoSpaceDE w:val="0"/>
        <w:autoSpaceDN w:val="0"/>
        <w:adjustRightInd w:val="0"/>
        <w:ind w:left="1069" w:right="709"/>
        <w:jc w:val="both"/>
        <w:rPr>
          <w:rFonts w:ascii="Arial" w:hAnsi="Arial" w:cs="Arial"/>
          <w:sz w:val="21"/>
          <w:szCs w:val="21"/>
        </w:rPr>
      </w:pPr>
    </w:p>
    <w:p w14:paraId="0E489750" w14:textId="77777777" w:rsidR="00D46178" w:rsidRPr="00C065EA" w:rsidRDefault="00D46178" w:rsidP="00D46178">
      <w:pPr>
        <w:pStyle w:val="Prrafodelista"/>
        <w:numPr>
          <w:ilvl w:val="0"/>
          <w:numId w:val="27"/>
        </w:numPr>
        <w:autoSpaceDE w:val="0"/>
        <w:autoSpaceDN w:val="0"/>
        <w:adjustRightInd w:val="0"/>
        <w:ind w:right="709"/>
        <w:jc w:val="both"/>
        <w:rPr>
          <w:rFonts w:ascii="Arial" w:hAnsi="Arial" w:cs="Arial"/>
          <w:sz w:val="21"/>
          <w:szCs w:val="21"/>
        </w:rPr>
      </w:pPr>
      <w:r w:rsidRPr="00C065EA">
        <w:rPr>
          <w:rFonts w:ascii="Arial" w:hAnsi="Arial" w:cs="Arial"/>
          <w:sz w:val="21"/>
          <w:szCs w:val="21"/>
        </w:rPr>
        <w:t>¿Es válido aplicar el término “</w:t>
      </w:r>
      <w:r w:rsidRPr="00C065EA">
        <w:rPr>
          <w:rFonts w:ascii="Arial" w:hAnsi="Arial" w:cs="Arial"/>
          <w:b/>
          <w:bCs/>
          <w:sz w:val="21"/>
          <w:szCs w:val="21"/>
        </w:rPr>
        <w:t>mayoritariamente</w:t>
      </w:r>
      <w:r w:rsidRPr="00C065EA">
        <w:rPr>
          <w:rFonts w:ascii="Arial" w:hAnsi="Arial" w:cs="Arial"/>
          <w:sz w:val="21"/>
          <w:szCs w:val="21"/>
        </w:rPr>
        <w:t xml:space="preserve">” </w:t>
      </w:r>
      <w:proofErr w:type="gramStart"/>
      <w:r w:rsidRPr="00C065EA">
        <w:rPr>
          <w:rFonts w:ascii="Arial" w:hAnsi="Arial" w:cs="Arial"/>
          <w:sz w:val="21"/>
          <w:szCs w:val="21"/>
        </w:rPr>
        <w:t>de acuerdo al</w:t>
      </w:r>
      <w:proofErr w:type="gramEnd"/>
      <w:r w:rsidRPr="00C065EA">
        <w:rPr>
          <w:rFonts w:ascii="Arial" w:hAnsi="Arial" w:cs="Arial"/>
          <w:sz w:val="21"/>
          <w:szCs w:val="21"/>
        </w:rPr>
        <w:t xml:space="preserve"> mayor porcentaje de participación de mujeres en esta condición, reportada en la certificación por parte de los proponentes, lo que implicaría seleccionar el que reporte el mayor porcentaje de participación, excluyendo a los otros oferentes que también presentaron porcentaje de participación?</w:t>
      </w:r>
    </w:p>
    <w:p w14:paraId="11E19F06" w14:textId="77777777" w:rsidR="00D46178" w:rsidRPr="00C065EA" w:rsidRDefault="00D46178" w:rsidP="00D46178">
      <w:pPr>
        <w:autoSpaceDE w:val="0"/>
        <w:autoSpaceDN w:val="0"/>
        <w:adjustRightInd w:val="0"/>
        <w:ind w:left="709" w:right="709"/>
        <w:jc w:val="both"/>
        <w:rPr>
          <w:rFonts w:ascii="Arial" w:hAnsi="Arial" w:cs="Arial"/>
          <w:sz w:val="21"/>
          <w:szCs w:val="21"/>
        </w:rPr>
      </w:pPr>
    </w:p>
    <w:p w14:paraId="179E5D2F" w14:textId="77777777" w:rsidR="00D46178" w:rsidRPr="00C065EA" w:rsidRDefault="00D46178" w:rsidP="00D46178">
      <w:pPr>
        <w:autoSpaceDE w:val="0"/>
        <w:autoSpaceDN w:val="0"/>
        <w:adjustRightInd w:val="0"/>
        <w:ind w:left="709" w:right="709"/>
        <w:jc w:val="both"/>
        <w:rPr>
          <w:rFonts w:ascii="Arial" w:hAnsi="Arial" w:cs="Arial"/>
          <w:sz w:val="21"/>
          <w:szCs w:val="21"/>
        </w:rPr>
      </w:pPr>
      <w:r w:rsidRPr="00C065EA">
        <w:rPr>
          <w:rFonts w:ascii="Arial" w:hAnsi="Arial" w:cs="Arial"/>
          <w:sz w:val="21"/>
          <w:szCs w:val="21"/>
        </w:rPr>
        <w:t>2. Respecto del Numeral 4, de la Ley 2069 de 2020 “</w:t>
      </w:r>
      <w:r w:rsidRPr="00C065EA">
        <w:rPr>
          <w:rFonts w:ascii="Arial" w:hAnsi="Arial" w:cs="Arial"/>
          <w:i/>
          <w:iCs/>
          <w:sz w:val="21"/>
          <w:szCs w:val="21"/>
        </w:rPr>
        <w:t xml:space="preserve">De persistir el empate se seleccionará la propuesta presentada por el oferente que acredite la vinculación </w:t>
      </w:r>
      <w:r w:rsidRPr="00C065EA">
        <w:rPr>
          <w:rFonts w:ascii="Arial" w:hAnsi="Arial" w:cs="Arial"/>
          <w:b/>
          <w:bCs/>
          <w:i/>
          <w:iCs/>
          <w:sz w:val="21"/>
          <w:szCs w:val="21"/>
        </w:rPr>
        <w:t>en mayor proporción</w:t>
      </w:r>
      <w:r w:rsidRPr="00C065EA">
        <w:rPr>
          <w:rFonts w:ascii="Arial" w:hAnsi="Arial" w:cs="Arial"/>
          <w:i/>
          <w:iCs/>
          <w:sz w:val="21"/>
          <w:szCs w:val="21"/>
        </w:rPr>
        <w:t xml:space="preserve"> de personas mayores que no sean beneficiarias de la pensión de vejez, familiar o de sobrevivencia y que hayan cumplido el requisito de edad de pensión establecido en la Ley</w:t>
      </w:r>
      <w:r w:rsidRPr="00C065EA">
        <w:rPr>
          <w:rFonts w:ascii="Arial" w:hAnsi="Arial" w:cs="Arial"/>
          <w:sz w:val="21"/>
          <w:szCs w:val="21"/>
        </w:rPr>
        <w:t xml:space="preserve">” (subrayado fuera de texto). </w:t>
      </w:r>
    </w:p>
    <w:p w14:paraId="316989CD" w14:textId="77777777" w:rsidR="00D46178" w:rsidRPr="00C065EA" w:rsidRDefault="00D46178" w:rsidP="00D46178">
      <w:pPr>
        <w:autoSpaceDE w:val="0"/>
        <w:autoSpaceDN w:val="0"/>
        <w:adjustRightInd w:val="0"/>
        <w:ind w:left="709" w:right="709"/>
        <w:jc w:val="both"/>
        <w:rPr>
          <w:rFonts w:ascii="Arial" w:hAnsi="Arial" w:cs="Arial"/>
          <w:sz w:val="21"/>
          <w:szCs w:val="21"/>
        </w:rPr>
      </w:pPr>
    </w:p>
    <w:p w14:paraId="38D83A04" w14:textId="77777777" w:rsidR="00D46178" w:rsidRPr="00C065EA" w:rsidRDefault="00D46178" w:rsidP="00D46178">
      <w:pPr>
        <w:pStyle w:val="Prrafodelista"/>
        <w:numPr>
          <w:ilvl w:val="0"/>
          <w:numId w:val="28"/>
        </w:numPr>
        <w:autoSpaceDE w:val="0"/>
        <w:autoSpaceDN w:val="0"/>
        <w:adjustRightInd w:val="0"/>
        <w:ind w:right="709"/>
        <w:jc w:val="both"/>
        <w:rPr>
          <w:rFonts w:ascii="Arial" w:hAnsi="Arial" w:cs="Arial"/>
          <w:sz w:val="21"/>
          <w:szCs w:val="21"/>
        </w:rPr>
      </w:pPr>
      <w:r w:rsidRPr="00C065EA">
        <w:rPr>
          <w:rFonts w:ascii="Arial" w:hAnsi="Arial" w:cs="Arial"/>
          <w:sz w:val="21"/>
          <w:szCs w:val="21"/>
        </w:rPr>
        <w:t>¿Cómo puede la Entidad dar aplicación y corroborar la expresión “</w:t>
      </w:r>
      <w:r w:rsidRPr="00C065EA">
        <w:rPr>
          <w:rFonts w:ascii="Arial" w:hAnsi="Arial" w:cs="Arial"/>
          <w:i/>
          <w:iCs/>
          <w:sz w:val="21"/>
          <w:szCs w:val="21"/>
        </w:rPr>
        <w:t>mayor proporción</w:t>
      </w:r>
      <w:r w:rsidRPr="00C065EA">
        <w:rPr>
          <w:rFonts w:ascii="Arial" w:hAnsi="Arial" w:cs="Arial"/>
          <w:sz w:val="21"/>
          <w:szCs w:val="21"/>
        </w:rPr>
        <w:t xml:space="preserve">” a los oferentes empatados si todos presentaron </w:t>
      </w:r>
      <w:r w:rsidRPr="00C065EA">
        <w:rPr>
          <w:rFonts w:ascii="Arial" w:hAnsi="Arial" w:cs="Arial"/>
          <w:i/>
          <w:iCs/>
          <w:sz w:val="21"/>
          <w:szCs w:val="21"/>
        </w:rPr>
        <w:t>certificación, bajo gravedad de juramento, suscrita por el Revisor Fiscal, o un Contador Público, y el Representante Legal de la empresa indicando el número de personas mayores vinculadas que no son beneficiarios de la pensión de vejez, familiar o de sobrevivencia y que hayan cumplido el requisito de edad de pensión establecido en la Ley, identificando nombre y fecha de nacimiento</w:t>
      </w:r>
      <w:r w:rsidRPr="00C065EA">
        <w:rPr>
          <w:rFonts w:ascii="Arial" w:hAnsi="Arial" w:cs="Arial"/>
          <w:sz w:val="21"/>
          <w:szCs w:val="21"/>
        </w:rPr>
        <w:t>?</w:t>
      </w:r>
    </w:p>
    <w:p w14:paraId="5A367C4D" w14:textId="77777777" w:rsidR="00D46178" w:rsidRPr="00C065EA" w:rsidRDefault="00D46178" w:rsidP="00D46178">
      <w:pPr>
        <w:autoSpaceDE w:val="0"/>
        <w:autoSpaceDN w:val="0"/>
        <w:adjustRightInd w:val="0"/>
        <w:ind w:left="709" w:right="709"/>
        <w:jc w:val="both"/>
        <w:rPr>
          <w:rFonts w:ascii="Arial" w:hAnsi="Arial" w:cs="Arial"/>
          <w:sz w:val="21"/>
          <w:szCs w:val="21"/>
        </w:rPr>
      </w:pPr>
    </w:p>
    <w:p w14:paraId="774B6F6F" w14:textId="77777777" w:rsidR="00D46178" w:rsidRPr="00C065EA" w:rsidRDefault="00D46178" w:rsidP="00D46178">
      <w:pPr>
        <w:pStyle w:val="Prrafodelista"/>
        <w:numPr>
          <w:ilvl w:val="0"/>
          <w:numId w:val="28"/>
        </w:numPr>
        <w:autoSpaceDE w:val="0"/>
        <w:autoSpaceDN w:val="0"/>
        <w:adjustRightInd w:val="0"/>
        <w:ind w:right="709"/>
        <w:jc w:val="both"/>
        <w:rPr>
          <w:rFonts w:ascii="Arial" w:eastAsia="Times New Roman" w:hAnsi="Arial" w:cs="Arial"/>
          <w:sz w:val="21"/>
          <w:szCs w:val="21"/>
          <w:lang w:eastAsia="es-ES_tradnl"/>
        </w:rPr>
      </w:pPr>
      <w:r w:rsidRPr="00C065EA">
        <w:rPr>
          <w:rFonts w:ascii="Arial" w:hAnsi="Arial" w:cs="Arial"/>
          <w:sz w:val="21"/>
          <w:szCs w:val="21"/>
        </w:rPr>
        <w:t>¿Es válido aplicar el término “</w:t>
      </w:r>
      <w:r w:rsidRPr="00C065EA">
        <w:rPr>
          <w:rFonts w:ascii="Arial" w:hAnsi="Arial" w:cs="Arial"/>
          <w:b/>
          <w:bCs/>
          <w:i/>
          <w:iCs/>
          <w:sz w:val="21"/>
          <w:szCs w:val="21"/>
          <w:u w:val="single"/>
        </w:rPr>
        <w:t>mayor proporción</w:t>
      </w:r>
      <w:r w:rsidRPr="00C065EA">
        <w:rPr>
          <w:rFonts w:ascii="Arial" w:hAnsi="Arial" w:cs="Arial"/>
          <w:sz w:val="21"/>
          <w:szCs w:val="21"/>
        </w:rPr>
        <w:t xml:space="preserve">” </w:t>
      </w:r>
      <w:proofErr w:type="gramStart"/>
      <w:r w:rsidRPr="00C065EA">
        <w:rPr>
          <w:rFonts w:ascii="Arial" w:hAnsi="Arial" w:cs="Arial"/>
          <w:sz w:val="21"/>
          <w:szCs w:val="21"/>
        </w:rPr>
        <w:t>de acuerdo al</w:t>
      </w:r>
      <w:proofErr w:type="gramEnd"/>
      <w:r w:rsidRPr="00C065EA">
        <w:rPr>
          <w:rFonts w:ascii="Arial" w:hAnsi="Arial" w:cs="Arial"/>
          <w:sz w:val="21"/>
          <w:szCs w:val="21"/>
        </w:rPr>
        <w:t xml:space="preserve"> mayor número de pensionados con relación a la nómina, lo que implicaría seleccionar el que reporte el mayor porcentaje que cumplen esta condición, excluyendo a los otros oferentes que también presentaron porcentaje de participación?».</w:t>
      </w:r>
    </w:p>
    <w:p w14:paraId="649773E5" w14:textId="77777777" w:rsidR="00715DC3" w:rsidRPr="00C065EA" w:rsidRDefault="00715DC3" w:rsidP="00896BD3">
      <w:pPr>
        <w:spacing w:line="276" w:lineRule="auto"/>
        <w:jc w:val="both"/>
        <w:rPr>
          <w:rFonts w:ascii="Arial" w:hAnsi="Arial" w:cs="Arial"/>
          <w:sz w:val="22"/>
          <w:szCs w:val="22"/>
          <w:lang w:val="es-ES_tradnl"/>
        </w:rPr>
      </w:pPr>
    </w:p>
    <w:p w14:paraId="3D54B01B" w14:textId="1737C198" w:rsidR="00F33AE9" w:rsidRPr="00C065EA" w:rsidRDefault="00B41583" w:rsidP="00EF5DA2">
      <w:pPr>
        <w:spacing w:after="160" w:line="276" w:lineRule="auto"/>
        <w:jc w:val="both"/>
        <w:rPr>
          <w:rFonts w:ascii="Arial" w:hAnsi="Arial" w:cs="Arial"/>
          <w:sz w:val="22"/>
          <w:szCs w:val="22"/>
          <w:lang w:eastAsia="es-MX"/>
        </w:rPr>
      </w:pPr>
      <w:r w:rsidRPr="00C065EA">
        <w:rPr>
          <w:rFonts w:ascii="Arial" w:hAnsi="Arial" w:cs="Arial"/>
          <w:sz w:val="22"/>
          <w:szCs w:val="22"/>
          <w:lang w:eastAsia="es-MX"/>
        </w:rPr>
        <w:t>De conformidad con las consideraciones expuestas, es necesario resaltar y reiterar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w:t>
      </w:r>
      <w:r w:rsidR="009E07C2" w:rsidRPr="00C065EA">
        <w:rPr>
          <w:rFonts w:ascii="Arial" w:hAnsi="Arial" w:cs="Arial"/>
          <w:sz w:val="22"/>
          <w:szCs w:val="22"/>
          <w:lang w:eastAsia="es-MX"/>
        </w:rPr>
        <w:t xml:space="preserve">. </w:t>
      </w:r>
      <w:r w:rsidR="00F33AE9" w:rsidRPr="00C065EA">
        <w:rPr>
          <w:rFonts w:ascii="Arial" w:hAnsi="Arial" w:cs="Arial"/>
          <w:sz w:val="22"/>
          <w:szCs w:val="22"/>
        </w:rPr>
        <w:t xml:space="preserve">Por consiguiente, no puede emitir pronunciamientos con el propósito de resolver situaciones propias que se presentan con ocasión del trámite de los procesos de contratación estatal a cargo de las entidades públicas. </w:t>
      </w:r>
      <w:r w:rsidR="009E07C2" w:rsidRPr="00C065EA">
        <w:rPr>
          <w:rFonts w:ascii="Arial" w:hAnsi="Arial" w:cs="Arial"/>
          <w:sz w:val="22"/>
          <w:szCs w:val="22"/>
        </w:rPr>
        <w:t>P</w:t>
      </w:r>
      <w:r w:rsidR="00F33AE9" w:rsidRPr="00C065EA">
        <w:rPr>
          <w:rFonts w:ascii="Arial" w:hAnsi="Arial" w:cs="Arial"/>
          <w:sz w:val="22"/>
          <w:szCs w:val="22"/>
        </w:rPr>
        <w:t>ronunciarse sobre la situación descrita en la solicitud, implicaría realizar un juicio de valor sobre la validez de la aplicación de</w:t>
      </w:r>
      <w:r w:rsidR="00D26330" w:rsidRPr="00C065EA">
        <w:rPr>
          <w:rFonts w:ascii="Arial" w:hAnsi="Arial" w:cs="Arial"/>
          <w:sz w:val="22"/>
          <w:szCs w:val="22"/>
        </w:rPr>
        <w:t xml:space="preserve"> </w:t>
      </w:r>
      <w:r w:rsidR="00F33AE9" w:rsidRPr="00C065EA">
        <w:rPr>
          <w:rFonts w:ascii="Arial" w:hAnsi="Arial" w:cs="Arial"/>
          <w:sz w:val="22"/>
          <w:szCs w:val="22"/>
        </w:rPr>
        <w:t>l</w:t>
      </w:r>
      <w:r w:rsidR="00D26330" w:rsidRPr="00C065EA">
        <w:rPr>
          <w:rFonts w:ascii="Arial" w:hAnsi="Arial" w:cs="Arial"/>
          <w:sz w:val="22"/>
          <w:szCs w:val="22"/>
        </w:rPr>
        <w:t>os</w:t>
      </w:r>
      <w:r w:rsidR="00F33AE9" w:rsidRPr="00C065EA">
        <w:rPr>
          <w:rFonts w:ascii="Arial" w:hAnsi="Arial" w:cs="Arial"/>
          <w:sz w:val="22"/>
          <w:szCs w:val="22"/>
        </w:rPr>
        <w:t xml:space="preserve"> factor</w:t>
      </w:r>
      <w:r w:rsidR="00D26330" w:rsidRPr="00C065EA">
        <w:rPr>
          <w:rFonts w:ascii="Arial" w:hAnsi="Arial" w:cs="Arial"/>
          <w:sz w:val="22"/>
          <w:szCs w:val="22"/>
        </w:rPr>
        <w:t>es</w:t>
      </w:r>
      <w:r w:rsidR="00F33AE9" w:rsidRPr="00C065EA">
        <w:rPr>
          <w:rFonts w:ascii="Arial" w:hAnsi="Arial" w:cs="Arial"/>
          <w:sz w:val="22"/>
          <w:szCs w:val="22"/>
        </w:rPr>
        <w:t xml:space="preserve"> de desempate objeto de consulta en el citado proceso de contratación estatal, lo cual, condicionaría las decisiones que debe adoptar una entidad pública en ese trámite administrativo de naturaleza contractual; actuación para la cual la Agencia no tiene competencia. </w:t>
      </w:r>
    </w:p>
    <w:p w14:paraId="514D42BC" w14:textId="6BCC547C" w:rsidR="00715DC3" w:rsidRPr="00C065EA" w:rsidRDefault="00F33AE9" w:rsidP="00EF5DA2">
      <w:pPr>
        <w:spacing w:after="160" w:line="276" w:lineRule="auto"/>
        <w:ind w:firstLine="709"/>
        <w:jc w:val="both"/>
        <w:rPr>
          <w:rFonts w:ascii="Arial" w:hAnsi="Arial" w:cs="Arial"/>
          <w:sz w:val="22"/>
          <w:szCs w:val="22"/>
        </w:rPr>
      </w:pPr>
      <w:r w:rsidRPr="00C065EA">
        <w:rPr>
          <w:rFonts w:ascii="Arial" w:hAnsi="Arial" w:cs="Arial"/>
          <w:sz w:val="22"/>
          <w:szCs w:val="22"/>
        </w:rPr>
        <w:t xml:space="preserve">En consecuencia, </w:t>
      </w:r>
      <w:r w:rsidR="00E50BAD" w:rsidRPr="00C065EA">
        <w:rPr>
          <w:rFonts w:ascii="Arial" w:hAnsi="Arial" w:cs="Arial"/>
          <w:sz w:val="22"/>
          <w:szCs w:val="22"/>
        </w:rPr>
        <w:t xml:space="preserve">les corresponde a las autoridades, </w:t>
      </w:r>
      <w:r w:rsidRPr="00C065EA">
        <w:rPr>
          <w:rFonts w:ascii="Arial" w:hAnsi="Arial" w:cs="Arial"/>
          <w:sz w:val="22"/>
          <w:szCs w:val="22"/>
        </w:rPr>
        <w:t xml:space="preserve">por ser de su competencia, con la asesoría de sus equipos jurídicos y como responsables de la estructuración de sus procesos de contratación estatal, en cada caso particular y concreto, establecer el alcance de </w:t>
      </w:r>
      <w:r w:rsidR="0001605C" w:rsidRPr="00C065EA">
        <w:rPr>
          <w:rFonts w:ascii="Arial" w:hAnsi="Arial" w:cs="Arial"/>
          <w:sz w:val="22"/>
          <w:szCs w:val="22"/>
        </w:rPr>
        <w:t xml:space="preserve">las interpretaciones hermenéuticas de </w:t>
      </w:r>
      <w:r w:rsidRPr="00C065EA">
        <w:rPr>
          <w:rFonts w:ascii="Arial" w:hAnsi="Arial" w:cs="Arial"/>
          <w:sz w:val="22"/>
          <w:szCs w:val="22"/>
        </w:rPr>
        <w:t xml:space="preserve">los factores de desempate que se deben aplicar a las propuestas presentadas por los oferentes, así como la forma en que dichos factores deben acreditarse por parte de estos. </w:t>
      </w:r>
      <w:r w:rsidR="00B32525" w:rsidRPr="00C065EA">
        <w:rPr>
          <w:rStyle w:val="normaltextrun"/>
          <w:rFonts w:ascii="Arial" w:hAnsi="Arial" w:cs="Arial"/>
          <w:color w:val="000000"/>
          <w:sz w:val="22"/>
          <w:szCs w:val="22"/>
          <w:shd w:val="clear" w:color="auto" w:fill="FFFFFF"/>
        </w:rPr>
        <w:t>Esta entidad no puede involucrarse, directa o indirectamente, en las decisiones o actuaciones de las entidades estatales en materia de contratación estatal, de acuerdo con lo establecido en las disposiciones constitucionales y legales que rigen nuestro ordenamiento jurídico</w:t>
      </w:r>
      <w:r w:rsidR="00E50DBB" w:rsidRPr="00C065EA">
        <w:rPr>
          <w:rStyle w:val="normaltextrun"/>
          <w:rFonts w:ascii="Arial" w:hAnsi="Arial" w:cs="Arial"/>
          <w:color w:val="000000"/>
          <w:sz w:val="22"/>
          <w:szCs w:val="22"/>
          <w:shd w:val="clear" w:color="auto" w:fill="FFFFFF"/>
        </w:rPr>
        <w:t>.</w:t>
      </w:r>
    </w:p>
    <w:p w14:paraId="62274F4A" w14:textId="3F2B775E" w:rsidR="00E4299F" w:rsidRPr="00C065EA" w:rsidRDefault="00B73C6C" w:rsidP="00EF5DA2">
      <w:pPr>
        <w:spacing w:after="160" w:line="276" w:lineRule="auto"/>
        <w:ind w:firstLine="709"/>
        <w:jc w:val="both"/>
        <w:rPr>
          <w:rFonts w:ascii="Arial" w:hAnsi="Arial" w:cs="Arial"/>
          <w:sz w:val="22"/>
          <w:szCs w:val="22"/>
          <w:lang w:val="es-ES_tradnl"/>
        </w:rPr>
      </w:pPr>
      <w:r w:rsidRPr="00C065EA">
        <w:rPr>
          <w:rFonts w:ascii="Arial" w:hAnsi="Arial" w:cs="Arial"/>
          <w:sz w:val="22"/>
          <w:szCs w:val="22"/>
          <w:lang w:val="es-ES_tradnl"/>
        </w:rPr>
        <w:t>Sin perjuicio de</w:t>
      </w:r>
      <w:r w:rsidR="00E4299F" w:rsidRPr="00C065EA">
        <w:rPr>
          <w:rFonts w:ascii="Arial" w:hAnsi="Arial" w:cs="Arial"/>
          <w:sz w:val="22"/>
          <w:szCs w:val="22"/>
          <w:lang w:val="es-ES_tradnl"/>
        </w:rPr>
        <w:t xml:space="preserve"> lo anterior,</w:t>
      </w:r>
      <w:r w:rsidR="006631E1" w:rsidRPr="00C065EA">
        <w:rPr>
          <w:rFonts w:ascii="Arial" w:hAnsi="Arial" w:cs="Arial"/>
          <w:sz w:val="22"/>
          <w:szCs w:val="22"/>
          <w:lang w:val="es-ES_tradnl"/>
        </w:rPr>
        <w:t xml:space="preserve"> es preciso mencionar que</w:t>
      </w:r>
      <w:r w:rsidR="00E4299F" w:rsidRPr="00C065EA">
        <w:rPr>
          <w:rFonts w:ascii="Arial" w:hAnsi="Arial" w:cs="Arial"/>
          <w:sz w:val="22"/>
          <w:szCs w:val="22"/>
          <w:lang w:val="es-ES_tradnl"/>
        </w:rPr>
        <w:t xml:space="preserve"> el artículo 35, numeral 2, de la Ley 2069 de 2020 utiliza un concepto jurídico indeterminado, cuando se refiere a la </w:t>
      </w:r>
      <w:r w:rsidR="00C5512B" w:rsidRPr="00C065EA">
        <w:rPr>
          <w:rFonts w:ascii="Arial" w:hAnsi="Arial" w:cs="Arial"/>
          <w:sz w:val="22"/>
          <w:szCs w:val="22"/>
          <w:lang w:val="es-ES_tradnl"/>
        </w:rPr>
        <w:t>«</w:t>
      </w:r>
      <w:r w:rsidR="00E4299F" w:rsidRPr="00C065EA">
        <w:rPr>
          <w:rFonts w:ascii="Arial" w:hAnsi="Arial" w:cs="Arial"/>
          <w:sz w:val="22"/>
          <w:szCs w:val="22"/>
          <w:lang w:val="es-ES_tradnl"/>
        </w:rPr>
        <w:t>participación mayoritaria</w:t>
      </w:r>
      <w:r w:rsidR="00C5512B" w:rsidRPr="00C065EA">
        <w:rPr>
          <w:rFonts w:ascii="Arial" w:hAnsi="Arial" w:cs="Arial"/>
          <w:sz w:val="22"/>
          <w:szCs w:val="22"/>
          <w:lang w:val="es-ES_tradnl"/>
        </w:rPr>
        <w:t>»</w:t>
      </w:r>
      <w:r w:rsidR="00E4299F" w:rsidRPr="00C065EA">
        <w:rPr>
          <w:rFonts w:ascii="Arial" w:hAnsi="Arial" w:cs="Arial"/>
          <w:sz w:val="22"/>
          <w:szCs w:val="22"/>
          <w:lang w:val="es-ES_tradnl"/>
        </w:rPr>
        <w:t xml:space="preserve"> de las mujeres cabeza de familia o mujeres víctimas de la violencia intrafamiliar en la persona jurídica o en el proponente plural. Con anterioridad a la </w:t>
      </w:r>
      <w:r w:rsidR="00E4299F" w:rsidRPr="00C065EA">
        <w:rPr>
          <w:rFonts w:ascii="Arial" w:hAnsi="Arial" w:cs="Arial"/>
          <w:sz w:val="22"/>
          <w:szCs w:val="22"/>
          <w:lang w:val="es-ES_tradnl"/>
        </w:rPr>
        <w:lastRenderedPageBreak/>
        <w:t xml:space="preserve">expedición del Decreto 1860 de 2021 […]. [S]e ha acudido a su significado en el lenguaje común, el cual indica que el término designa la acción de «Tener parte en una sociedad o negocio o ser socio de ellos». Esta noción es acorde con el derecho societario, en el cual se indica que la participación recae sobre las utilidades de la sociedad, en algunos casos en proporción a las acciones –en las sociedades por acciones– o </w:t>
      </w:r>
      <w:proofErr w:type="gramStart"/>
      <w:r w:rsidR="00E4299F" w:rsidRPr="00C065EA">
        <w:rPr>
          <w:rFonts w:ascii="Arial" w:hAnsi="Arial" w:cs="Arial"/>
          <w:sz w:val="22"/>
          <w:szCs w:val="22"/>
          <w:lang w:val="es-ES_tradnl"/>
        </w:rPr>
        <w:t>de acuerdo a</w:t>
      </w:r>
      <w:proofErr w:type="gramEnd"/>
      <w:r w:rsidR="00E4299F" w:rsidRPr="00C065EA">
        <w:rPr>
          <w:rFonts w:ascii="Arial" w:hAnsi="Arial" w:cs="Arial"/>
          <w:sz w:val="22"/>
          <w:szCs w:val="22"/>
          <w:lang w:val="es-ES_tradnl"/>
        </w:rPr>
        <w:t xml:space="preserve"> la industria o trabajo personal del socio –como sucede usualmente en las sociedades de personas–. Así lo señalan, entre otros, los artículos 130, 137, 138, 141, 150, 380 y 462 del Código de Comercio. </w:t>
      </w:r>
    </w:p>
    <w:p w14:paraId="51EE084F" w14:textId="1A29509C" w:rsidR="00E4299F" w:rsidRPr="00C065EA" w:rsidRDefault="00E4299F" w:rsidP="00E4299F">
      <w:pPr>
        <w:spacing w:after="160" w:line="276" w:lineRule="auto"/>
        <w:ind w:firstLine="709"/>
        <w:jc w:val="both"/>
        <w:rPr>
          <w:rFonts w:ascii="Arial" w:hAnsi="Arial" w:cs="Arial"/>
          <w:sz w:val="22"/>
          <w:szCs w:val="22"/>
          <w:lang w:val="es-ES_tradnl"/>
        </w:rPr>
      </w:pPr>
      <w:r w:rsidRPr="00C065EA">
        <w:rPr>
          <w:rFonts w:ascii="Arial" w:hAnsi="Arial" w:cs="Arial"/>
          <w:sz w:val="22"/>
          <w:szCs w:val="22"/>
          <w:lang w:val="es-ES_tradnl"/>
        </w:rPr>
        <w:t>Esta interpretación se encuentra hoy reflejada en el desarrollo reglamentario de los factores de desempate producido por el Decreto 1860 de 2021, de cuyo texto surge con claridad que la participación mayoritaria a la que se refiere el factor de desempate en estudio tiene que ver con la distribución de acciones, utilidades o cuotas partes de la sociedad que funge como proponente singular o integrante de uno plural. Así se desprende del texto del inciso tercero del numeral 2 del artículo 2.2.1.2.4.2.17 arriba transcrito, que al establecer el medio de acreditación de este factor de desempate para las personas jurídicas, indica que el respectivo representante legal o revisor fiscal, deberá presentar  «[…] un certificado, mediante el cual acredita, bajo la gravedad de juramento, que más del cincuenta por ciento (50 %) de la composición accionaria o cuota parte de la persona jurídica está constituida por mujeres cabeza de familia y/o mujeres víctimas de violencia intrafamiliar». De acuerdo con esto, la manera en la que se ha reglamentado el numeral 2 del artículo 35 de la Ley 2069 de 2020, permite concluir que, las personas jurídicas que entran dentro del ámbito de aplicación de este criterio de desempate son aquellas en las que más del 50% de la composición accionaria o cuota parte se encuentre en cabeza de mujeres cabeza de familia y/o mujeres víctimas de violencia intrafamiliar.</w:t>
      </w:r>
    </w:p>
    <w:p w14:paraId="1AE97481" w14:textId="5D79B103" w:rsidR="0053169A" w:rsidRPr="00C065EA" w:rsidRDefault="00E1240C" w:rsidP="00A36A0C">
      <w:pPr>
        <w:spacing w:after="160" w:line="276" w:lineRule="auto"/>
        <w:ind w:firstLine="709"/>
        <w:jc w:val="both"/>
        <w:rPr>
          <w:rFonts w:ascii="Arial" w:hAnsi="Arial" w:cs="Arial"/>
          <w:sz w:val="22"/>
          <w:szCs w:val="22"/>
          <w:lang w:val="es-ES_tradnl"/>
        </w:rPr>
      </w:pPr>
      <w:r w:rsidRPr="00C065EA">
        <w:rPr>
          <w:rFonts w:ascii="Arial" w:hAnsi="Arial" w:cs="Arial"/>
          <w:sz w:val="22"/>
          <w:szCs w:val="22"/>
          <w:lang w:val="es-ES_tradnl"/>
        </w:rPr>
        <w:t xml:space="preserve">Finalmente, </w:t>
      </w:r>
      <w:r w:rsidR="00F21C6F" w:rsidRPr="00C065EA">
        <w:rPr>
          <w:rFonts w:ascii="Arial" w:hAnsi="Arial" w:cs="Arial"/>
          <w:sz w:val="22"/>
          <w:szCs w:val="22"/>
          <w:lang w:val="es-ES_tradnl"/>
        </w:rPr>
        <w:t xml:space="preserve">en relación con el numeral 4 </w:t>
      </w:r>
      <w:r w:rsidR="00BD791F" w:rsidRPr="00C065EA">
        <w:rPr>
          <w:rFonts w:ascii="Arial" w:hAnsi="Arial" w:cs="Arial"/>
          <w:sz w:val="22"/>
          <w:szCs w:val="22"/>
          <w:lang w:val="es-ES_tradnl"/>
        </w:rPr>
        <w:t xml:space="preserve">del artículo 35 de la Ley 2069 de 2020, </w:t>
      </w:r>
      <w:r w:rsidR="00E81729" w:rsidRPr="00C065EA">
        <w:rPr>
          <w:rFonts w:ascii="Arial" w:hAnsi="Arial" w:cs="Arial"/>
          <w:sz w:val="22"/>
          <w:szCs w:val="22"/>
          <w:lang w:val="es-ES_tradnl"/>
        </w:rPr>
        <w:t>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r w:rsidR="00A36A0C" w:rsidRPr="00C065EA">
        <w:rPr>
          <w:rFonts w:ascii="Arial" w:hAnsi="Arial" w:cs="Arial"/>
          <w:sz w:val="22"/>
          <w:szCs w:val="22"/>
          <w:lang w:val="es-ES_tradnl"/>
        </w:rPr>
        <w:t xml:space="preserve"> </w:t>
      </w:r>
      <w:r w:rsidR="0053169A" w:rsidRPr="00C065EA">
        <w:rPr>
          <w:rFonts w:ascii="Arial" w:hAnsi="Arial" w:cs="Arial"/>
          <w:sz w:val="22"/>
          <w:szCs w:val="22"/>
          <w:lang w:val="es-ES_tradnl"/>
        </w:rPr>
        <w:t xml:space="preserve">Interpretación, </w:t>
      </w:r>
      <w:r w:rsidR="00067DED" w:rsidRPr="00C065EA">
        <w:rPr>
          <w:rFonts w:ascii="Arial" w:hAnsi="Arial" w:cs="Arial"/>
          <w:sz w:val="22"/>
          <w:szCs w:val="22"/>
          <w:lang w:val="es-ES_tradnl"/>
        </w:rPr>
        <w:t>que,</w:t>
      </w:r>
      <w:r w:rsidR="0053169A" w:rsidRPr="00C065EA">
        <w:rPr>
          <w:rFonts w:ascii="Arial" w:hAnsi="Arial" w:cs="Arial"/>
          <w:sz w:val="22"/>
          <w:szCs w:val="22"/>
          <w:lang w:val="es-ES_tradnl"/>
        </w:rPr>
        <w:t xml:space="preserve"> entre otras cosas, es consistente con la reglamentación del numeral 4 del artículo 2.2.1.2.4.2.17 del Decreto 1860 de 2021, en el que se determina que </w:t>
      </w:r>
      <w:r w:rsidR="00AA22B1" w:rsidRPr="00C065EA">
        <w:rPr>
          <w:rFonts w:ascii="Arial" w:hAnsi="Arial" w:cs="Arial"/>
          <w:sz w:val="22"/>
          <w:szCs w:val="22"/>
          <w:lang w:val="es-ES_tradnl"/>
        </w:rPr>
        <w:t>«[l]</w:t>
      </w:r>
      <w:r w:rsidR="0053169A" w:rsidRPr="00C065EA">
        <w:rPr>
          <w:rFonts w:ascii="Arial" w:hAnsi="Arial" w:cs="Arial"/>
          <w:sz w:val="22"/>
          <w:szCs w:val="22"/>
          <w:lang w:val="es-ES_tradnl"/>
        </w:rPr>
        <w:t xml:space="preserve">a mayor proporción se definirá en relación con el número total de trabajadores vinculados en la planta de personal, por lo que se preferirá al oferente que acredite un </w:t>
      </w:r>
      <w:r w:rsidR="0053169A" w:rsidRPr="00C065EA">
        <w:rPr>
          <w:rFonts w:ascii="Arial" w:hAnsi="Arial" w:cs="Arial"/>
          <w:i/>
          <w:iCs/>
          <w:sz w:val="22"/>
          <w:szCs w:val="22"/>
          <w:lang w:val="es-ES_tradnl"/>
        </w:rPr>
        <w:t>porcentaje mayor</w:t>
      </w:r>
      <w:r w:rsidR="002C63F1" w:rsidRPr="00C065EA">
        <w:rPr>
          <w:rFonts w:ascii="Arial" w:hAnsi="Arial" w:cs="Arial"/>
          <w:sz w:val="22"/>
          <w:szCs w:val="22"/>
          <w:lang w:val="es-ES_tradnl"/>
        </w:rPr>
        <w:t>»</w:t>
      </w:r>
      <w:r w:rsidR="0053169A" w:rsidRPr="00C065EA">
        <w:rPr>
          <w:rFonts w:ascii="Arial" w:hAnsi="Arial" w:cs="Arial"/>
          <w:sz w:val="22"/>
          <w:szCs w:val="22"/>
          <w:lang w:val="es-ES_tradnl"/>
        </w:rPr>
        <w:t xml:space="preserve">. </w:t>
      </w:r>
      <w:r w:rsidR="00067DED" w:rsidRPr="00C065EA">
        <w:rPr>
          <w:rFonts w:ascii="Arial" w:hAnsi="Arial" w:cs="Arial"/>
          <w:sz w:val="22"/>
          <w:szCs w:val="22"/>
          <w:lang w:val="es-ES_tradnl"/>
        </w:rPr>
        <w:t>Y</w:t>
      </w:r>
      <w:r w:rsidR="002C63F1" w:rsidRPr="00C065EA">
        <w:rPr>
          <w:rFonts w:ascii="Arial" w:hAnsi="Arial" w:cs="Arial"/>
          <w:sz w:val="22"/>
          <w:szCs w:val="22"/>
          <w:lang w:val="es-ES_tradnl"/>
        </w:rPr>
        <w:t xml:space="preserve"> define </w:t>
      </w:r>
      <w:r w:rsidR="007768DF" w:rsidRPr="00C065EA">
        <w:rPr>
          <w:rFonts w:ascii="Arial" w:hAnsi="Arial" w:cs="Arial"/>
          <w:sz w:val="22"/>
          <w:szCs w:val="22"/>
          <w:lang w:val="es-ES_tradnl"/>
        </w:rPr>
        <w:t>que,</w:t>
      </w:r>
      <w:r w:rsidR="00067DED" w:rsidRPr="00C065EA">
        <w:rPr>
          <w:rFonts w:ascii="Arial" w:hAnsi="Arial" w:cs="Arial"/>
          <w:sz w:val="22"/>
          <w:szCs w:val="22"/>
          <w:lang w:val="es-ES_tradnl"/>
        </w:rPr>
        <w:t xml:space="preserve"> para</w:t>
      </w:r>
      <w:r w:rsidR="0053169A" w:rsidRPr="00C065EA">
        <w:rPr>
          <w:rFonts w:ascii="Arial" w:hAnsi="Arial" w:cs="Arial"/>
          <w:sz w:val="22"/>
          <w:szCs w:val="22"/>
          <w:lang w:val="es-ES_tradnl"/>
        </w:rPr>
        <w:t xml:space="preserve"> el caso de proponentes plurales, </w:t>
      </w:r>
      <w:r w:rsidR="002C63F1" w:rsidRPr="00C065EA">
        <w:rPr>
          <w:rFonts w:ascii="Arial" w:hAnsi="Arial" w:cs="Arial"/>
          <w:sz w:val="22"/>
          <w:szCs w:val="22"/>
          <w:lang w:val="es-ES_tradnl"/>
        </w:rPr>
        <w:t>«</w:t>
      </w:r>
      <w:r w:rsidR="0053169A" w:rsidRPr="00C065EA">
        <w:rPr>
          <w:rFonts w:ascii="Arial" w:hAnsi="Arial" w:cs="Arial"/>
          <w:sz w:val="22"/>
          <w:szCs w:val="22"/>
          <w:lang w:val="es-ES_tradnl"/>
        </w:rPr>
        <w:t>la mayor proporción se definirá con la sumatoria de trabajadores vinculados en la planta de personal de cada uno de sus integrantes</w:t>
      </w:r>
      <w:r w:rsidR="002C63F1" w:rsidRPr="00C065EA">
        <w:rPr>
          <w:rFonts w:ascii="Arial" w:hAnsi="Arial" w:cs="Arial"/>
          <w:sz w:val="22"/>
          <w:szCs w:val="22"/>
          <w:lang w:val="es-ES_tradnl"/>
        </w:rPr>
        <w:t>»</w:t>
      </w:r>
      <w:r w:rsidR="00067DED" w:rsidRPr="00C065EA">
        <w:rPr>
          <w:rFonts w:ascii="Arial" w:hAnsi="Arial" w:cs="Arial"/>
          <w:sz w:val="22"/>
          <w:szCs w:val="22"/>
          <w:lang w:val="es-ES_tradnl"/>
        </w:rPr>
        <w:t>.</w:t>
      </w:r>
      <w:r w:rsidR="007A24BF" w:rsidRPr="00C065EA">
        <w:rPr>
          <w:rFonts w:ascii="Arial" w:hAnsi="Arial" w:cs="Arial"/>
          <w:sz w:val="22"/>
          <w:szCs w:val="22"/>
          <w:lang w:val="es-ES_tradnl"/>
        </w:rPr>
        <w:t xml:space="preserve"> </w:t>
      </w:r>
      <w:r w:rsidR="00067DED" w:rsidRPr="00C065EA">
        <w:rPr>
          <w:rFonts w:ascii="Arial" w:hAnsi="Arial" w:cs="Arial"/>
          <w:sz w:val="22"/>
          <w:szCs w:val="22"/>
          <w:lang w:val="es-ES_tradnl"/>
        </w:rPr>
        <w:t xml:space="preserve"> </w:t>
      </w:r>
    </w:p>
    <w:p w14:paraId="781A905F" w14:textId="50D91508" w:rsidR="00C26EDB" w:rsidRDefault="00C26EDB" w:rsidP="00C26EDB">
      <w:pPr>
        <w:spacing w:after="160" w:line="276" w:lineRule="auto"/>
        <w:ind w:firstLine="708"/>
        <w:jc w:val="both"/>
        <w:rPr>
          <w:rFonts w:ascii="Arial" w:hAnsi="Arial" w:cs="Arial"/>
          <w:sz w:val="22"/>
          <w:szCs w:val="22"/>
          <w:lang w:val="es-ES_tradnl"/>
        </w:rPr>
      </w:pPr>
      <w:r w:rsidRPr="00C065EA">
        <w:rPr>
          <w:rFonts w:ascii="Arial" w:hAnsi="Arial" w:cs="Arial"/>
          <w:sz w:val="22"/>
          <w:szCs w:val="22"/>
          <w:lang w:val="es-ES_tradnl"/>
        </w:rPr>
        <w:lastRenderedPageBreak/>
        <w:t xml:space="preserve">En todo caso, se reitera que, de conformidad con el artículo 8 del Decreto 1860 de 2021, su contenido es obligatorio en los procedimientos de selección cuya invitación, aviso de convocatoria o documento equivalente se publique una vez transcurridos tres (3) meses desde la expedición del decreto, es decir, </w:t>
      </w:r>
      <w:r w:rsidR="00ED5F3F" w:rsidRPr="00C065EA">
        <w:rPr>
          <w:rFonts w:ascii="Arial" w:hAnsi="Arial" w:cs="Arial"/>
          <w:sz w:val="22"/>
          <w:szCs w:val="22"/>
          <w:lang w:val="es-ES_tradnl"/>
        </w:rPr>
        <w:t>a partir</w:t>
      </w:r>
      <w:r w:rsidRPr="00C065EA">
        <w:rPr>
          <w:rFonts w:ascii="Arial" w:hAnsi="Arial" w:cs="Arial"/>
          <w:sz w:val="22"/>
          <w:szCs w:val="22"/>
          <w:lang w:val="es-ES_tradnl"/>
        </w:rPr>
        <w:t xml:space="preserve"> </w:t>
      </w:r>
      <w:r w:rsidR="00ED5F3F" w:rsidRPr="00C065EA">
        <w:rPr>
          <w:rFonts w:ascii="Arial" w:hAnsi="Arial" w:cs="Arial"/>
          <w:sz w:val="22"/>
          <w:szCs w:val="22"/>
          <w:lang w:val="es-ES_tradnl"/>
        </w:rPr>
        <w:t>d</w:t>
      </w:r>
      <w:r w:rsidRPr="00C065EA">
        <w:rPr>
          <w:rFonts w:ascii="Arial" w:hAnsi="Arial" w:cs="Arial"/>
          <w:sz w:val="22"/>
          <w:szCs w:val="22"/>
          <w:lang w:val="es-ES_tradnl"/>
        </w:rPr>
        <w:t>el 24 de marzo de 2022. En atención a esto, considerando que el artículo 35 de la Ley 2069 de 2020 era una norma de aplicación directa, mientras se hacía obligatoria la aplicación de la referida norma reglamentaria, eran las entidades estatales en el marco de los procesos de contratación, quienes debían consultar el marco jurídico vigente, para establecer si las circunstancias con base en las cuales operaban los referidos factores de desempate, estaban sometidas a un medio de prueba exclusivo o un régimen de «tarifa legal», ya que de ser así sería el mecanismo para acreditar el factor de desempate. En caso contrario, es decir, de no existir dicha «tarifa legal», la entidad estatal en el marco de su autonomía, de manera discrecional, debía establecer los respectivos medios de prueba que resultaren más adecuados y proporcionales para demostrar el cumplimiento de los respectivos factores de desempate.</w:t>
      </w:r>
      <w:r w:rsidRPr="00D43CE8">
        <w:rPr>
          <w:rFonts w:ascii="Arial" w:hAnsi="Arial" w:cs="Arial"/>
          <w:sz w:val="22"/>
          <w:szCs w:val="22"/>
          <w:lang w:val="es-ES_tradnl"/>
        </w:rPr>
        <w:t xml:space="preserve"> </w:t>
      </w:r>
    </w:p>
    <w:p w14:paraId="22A041AA" w14:textId="5744A884" w:rsidR="004F1593" w:rsidRPr="00D43CE8" w:rsidRDefault="004F1593" w:rsidP="003F6998">
      <w:pPr>
        <w:spacing w:line="276" w:lineRule="auto"/>
        <w:jc w:val="both"/>
        <w:rPr>
          <w:rFonts w:ascii="Arial" w:hAnsi="Arial" w:cs="Arial"/>
          <w:sz w:val="21"/>
          <w:szCs w:val="21"/>
          <w:lang w:val="es-ES_tradnl"/>
        </w:rPr>
      </w:pPr>
    </w:p>
    <w:p w14:paraId="7B2C921D" w14:textId="6360A462" w:rsidR="00DD5B04" w:rsidRPr="00D43CE8" w:rsidRDefault="00DD5B04" w:rsidP="00DF76A2">
      <w:pPr>
        <w:spacing w:line="276" w:lineRule="auto"/>
        <w:jc w:val="both"/>
        <w:rPr>
          <w:rFonts w:ascii="Arial" w:hAnsi="Arial" w:cs="Arial"/>
          <w:sz w:val="22"/>
          <w:lang w:val="es-ES_tradnl"/>
        </w:rPr>
      </w:pPr>
      <w:r w:rsidRPr="00D43CE8">
        <w:rPr>
          <w:rFonts w:ascii="Arial" w:hAnsi="Arial" w:cs="Arial"/>
          <w:sz w:val="22"/>
          <w:lang w:val="es-ES_tradnl"/>
        </w:rPr>
        <w:t>Este concepto tiene el alcance previsto en el artículo 28 del Código de Procedimiento Administrativo y de lo Contencioso Administrativo.</w:t>
      </w:r>
    </w:p>
    <w:p w14:paraId="77EE5912" w14:textId="630E7927" w:rsidR="00DD5B04" w:rsidRPr="00D43CE8"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2001E223" w14:textId="1A7D3D50" w:rsidR="00896BAF" w:rsidRPr="00C065EA" w:rsidRDefault="00DD5B04" w:rsidP="00C065EA">
      <w:pPr>
        <w:pStyle w:val="NormalWeb"/>
        <w:spacing w:before="0" w:beforeAutospacing="0" w:after="0" w:afterAutospacing="0" w:line="276" w:lineRule="auto"/>
        <w:jc w:val="both"/>
        <w:rPr>
          <w:rFonts w:ascii="Arial" w:hAnsi="Arial" w:cs="Arial"/>
          <w:sz w:val="22"/>
          <w:szCs w:val="22"/>
          <w:lang w:val="es-ES_tradnl"/>
        </w:rPr>
      </w:pPr>
      <w:r w:rsidRPr="00D43CE8">
        <w:rPr>
          <w:rFonts w:ascii="Arial" w:hAnsi="Arial" w:cs="Arial"/>
          <w:sz w:val="22"/>
          <w:szCs w:val="22"/>
          <w:lang w:val="es-ES_tradnl"/>
        </w:rPr>
        <w:t>Atentamente,</w:t>
      </w:r>
      <w:r w:rsidR="002D033F" w:rsidRPr="00D43CE8">
        <w:rPr>
          <w:noProof/>
        </w:rPr>
        <w:t xml:space="preserve"> </w:t>
      </w:r>
      <w:bookmarkEnd w:id="3"/>
      <w:bookmarkEnd w:id="4"/>
    </w:p>
    <w:p w14:paraId="3FAE1065" w14:textId="13B7B888" w:rsidR="00896BAF" w:rsidRDefault="00896BAF" w:rsidP="00D72E68">
      <w:pPr>
        <w:jc w:val="center"/>
        <w:rPr>
          <w:rFonts w:ascii="Arial" w:hAnsi="Arial" w:cs="Arial"/>
          <w:sz w:val="22"/>
          <w:lang w:val="es-ES_tradnl" w:eastAsia="es-CO"/>
        </w:rPr>
      </w:pPr>
    </w:p>
    <w:p w14:paraId="1562AD2D" w14:textId="30463929" w:rsidR="00896BAF" w:rsidRDefault="00C065EA" w:rsidP="00D72E68">
      <w:pPr>
        <w:jc w:val="center"/>
        <w:rPr>
          <w:rFonts w:ascii="Arial" w:hAnsi="Arial" w:cs="Arial"/>
          <w:sz w:val="22"/>
          <w:lang w:val="es-ES_tradnl" w:eastAsia="es-CO"/>
        </w:rPr>
      </w:pPr>
      <w:r w:rsidRPr="00570FD2">
        <w:rPr>
          <w:rFonts w:ascii="Arial" w:hAnsi="Arial" w:cs="Arial"/>
          <w:noProof/>
          <w:color w:val="000000" w:themeColor="text1"/>
          <w:sz w:val="22"/>
        </w:rPr>
        <w:drawing>
          <wp:inline distT="0" distB="0" distL="0" distR="0" wp14:anchorId="110BA7C0" wp14:editId="072F19AA">
            <wp:extent cx="2438400" cy="1035251"/>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2457744" cy="1043464"/>
                    </a:xfrm>
                    <a:prstGeom prst="rect">
                      <a:avLst/>
                    </a:prstGeom>
                  </pic:spPr>
                </pic:pic>
              </a:graphicData>
            </a:graphic>
          </wp:inline>
        </w:drawing>
      </w:r>
    </w:p>
    <w:p w14:paraId="06BEFB1B" w14:textId="77777777" w:rsidR="00896BAF" w:rsidRPr="00FB1DF4" w:rsidRDefault="00896BAF" w:rsidP="00C065EA">
      <w:pPr>
        <w:rPr>
          <w:rFonts w:ascii="Arial" w:hAnsi="Arial" w:cs="Arial"/>
          <w:sz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72E68" w:rsidRPr="009C7D09" w14:paraId="3627B9DD" w14:textId="77777777" w:rsidTr="00687A84">
        <w:trPr>
          <w:trHeight w:val="315"/>
        </w:trPr>
        <w:tc>
          <w:tcPr>
            <w:tcW w:w="812" w:type="dxa"/>
            <w:vAlign w:val="center"/>
            <w:hideMark/>
          </w:tcPr>
          <w:p w14:paraId="56D84512" w14:textId="77777777" w:rsidR="00D72E68" w:rsidRPr="00CB2E46" w:rsidRDefault="00D72E68" w:rsidP="00687A84">
            <w:pPr>
              <w:rPr>
                <w:rFonts w:ascii="Arial" w:hAnsi="Arial" w:cs="Arial"/>
                <w:sz w:val="16"/>
                <w:lang w:val="es-ES_tradnl" w:eastAsia="es-ES"/>
              </w:rPr>
            </w:pPr>
            <w:r w:rsidRPr="004966EF">
              <w:rPr>
                <w:rFonts w:ascii="Arial" w:hAnsi="Arial" w:cs="Arial"/>
                <w:sz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1DE9F8D" w14:textId="77777777" w:rsidR="00D72E68" w:rsidRPr="009C7D09" w:rsidRDefault="00D72E68" w:rsidP="00687A84">
            <w:pPr>
              <w:rPr>
                <w:rFonts w:ascii="Arial" w:hAnsi="Arial" w:cs="Arial"/>
                <w:sz w:val="16"/>
                <w:lang w:val="es-ES_tradnl" w:eastAsia="es-ES"/>
              </w:rPr>
            </w:pPr>
            <w:r>
              <w:rPr>
                <w:rFonts w:ascii="Arial" w:hAnsi="Arial" w:cs="Arial"/>
                <w:sz w:val="16"/>
                <w:lang w:val="es-ES_tradnl" w:eastAsia="es-ES"/>
              </w:rPr>
              <w:t>Laura Alejandra Materón García</w:t>
            </w:r>
          </w:p>
          <w:p w14:paraId="149BC02A" w14:textId="77777777" w:rsidR="00D72E68" w:rsidRPr="009C7D09" w:rsidRDefault="00D72E68" w:rsidP="00687A84">
            <w:pPr>
              <w:rPr>
                <w:rFonts w:ascii="Arial" w:hAnsi="Arial" w:cs="Arial"/>
                <w:sz w:val="16"/>
                <w:lang w:val="es-ES_tradnl" w:eastAsia="es-ES"/>
              </w:rPr>
            </w:pPr>
            <w:r>
              <w:rPr>
                <w:rFonts w:ascii="Arial" w:hAnsi="Arial" w:cs="Arial"/>
                <w:sz w:val="16"/>
                <w:lang w:val="es-ES_tradnl" w:eastAsia="es-ES"/>
              </w:rPr>
              <w:t>Analista T2-01</w:t>
            </w:r>
            <w:r w:rsidRPr="009C7D09">
              <w:rPr>
                <w:rFonts w:ascii="Arial" w:hAnsi="Arial" w:cs="Arial"/>
                <w:sz w:val="16"/>
                <w:lang w:val="es-ES_tradnl" w:eastAsia="es-ES"/>
              </w:rPr>
              <w:t xml:space="preserve"> de la Subdirección de Gestión Contractual</w:t>
            </w:r>
          </w:p>
        </w:tc>
      </w:tr>
      <w:tr w:rsidR="00D72E68" w:rsidRPr="009C7D09" w14:paraId="7B2DFB32" w14:textId="77777777" w:rsidTr="00687A84">
        <w:trPr>
          <w:trHeight w:val="330"/>
        </w:trPr>
        <w:tc>
          <w:tcPr>
            <w:tcW w:w="812" w:type="dxa"/>
            <w:vAlign w:val="center"/>
            <w:hideMark/>
          </w:tcPr>
          <w:p w14:paraId="2D122C60" w14:textId="77777777" w:rsidR="00D72E68" w:rsidRPr="009C7D09" w:rsidRDefault="00D72E68" w:rsidP="00687A84">
            <w:pPr>
              <w:rPr>
                <w:rFonts w:ascii="Arial" w:hAnsi="Arial" w:cs="Arial"/>
                <w:sz w:val="16"/>
                <w:lang w:val="es-ES_tradnl" w:eastAsia="es-ES"/>
              </w:rPr>
            </w:pPr>
            <w:r w:rsidRPr="009C7D09">
              <w:rPr>
                <w:rFonts w:ascii="Arial" w:hAnsi="Arial" w:cs="Arial"/>
                <w:sz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D3D3797" w14:textId="77777777" w:rsidR="00D72E68" w:rsidRPr="00F218E0" w:rsidRDefault="00D72E68" w:rsidP="00687A84">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208A7818" w14:textId="77777777" w:rsidR="00D72E68" w:rsidRPr="00C04E06" w:rsidRDefault="00D72E68" w:rsidP="00687A84">
            <w:pPr>
              <w:rPr>
                <w:rFonts w:ascii="Arial" w:hAnsi="Arial" w:cs="Arial"/>
                <w:sz w:val="16"/>
                <w:lang w:val="es-ES_tradnl" w:eastAsia="es-ES"/>
              </w:rPr>
            </w:pPr>
            <w:r>
              <w:rPr>
                <w:rFonts w:ascii="Arial" w:hAnsi="Arial" w:cs="Arial"/>
                <w:sz w:val="16"/>
                <w:szCs w:val="16"/>
                <w:lang w:val="es-ES_tradnl" w:eastAsia="es-ES"/>
              </w:rPr>
              <w:t>Contratista</w:t>
            </w:r>
            <w:r w:rsidRPr="009868CC">
              <w:rPr>
                <w:rFonts w:ascii="Arial" w:hAnsi="Arial" w:cs="Arial"/>
                <w:sz w:val="16"/>
                <w:szCs w:val="16"/>
                <w:lang w:val="es-ES_tradnl" w:eastAsia="es-ES"/>
              </w:rPr>
              <w:t xml:space="preserve"> de la Subdirección de Gestión Contractual</w:t>
            </w:r>
          </w:p>
        </w:tc>
      </w:tr>
      <w:tr w:rsidR="00D72E68" w:rsidRPr="00985885" w14:paraId="580469B0" w14:textId="77777777" w:rsidTr="00687A84">
        <w:trPr>
          <w:trHeight w:val="300"/>
        </w:trPr>
        <w:tc>
          <w:tcPr>
            <w:tcW w:w="812" w:type="dxa"/>
            <w:vAlign w:val="center"/>
            <w:hideMark/>
          </w:tcPr>
          <w:p w14:paraId="2E0A9C22" w14:textId="77777777" w:rsidR="00D72E68" w:rsidRPr="009C7D09" w:rsidRDefault="00D72E68" w:rsidP="00687A84">
            <w:pPr>
              <w:rPr>
                <w:rFonts w:ascii="Arial" w:hAnsi="Arial" w:cs="Arial"/>
                <w:sz w:val="16"/>
                <w:lang w:val="es-ES_tradnl" w:eastAsia="es-ES"/>
              </w:rPr>
            </w:pPr>
            <w:r w:rsidRPr="009C7D09">
              <w:rPr>
                <w:rFonts w:ascii="Arial" w:hAnsi="Arial" w:cs="Arial"/>
                <w:sz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8149EA3" w14:textId="77777777" w:rsidR="00D72E68" w:rsidRPr="009C7D09" w:rsidRDefault="00D72E68" w:rsidP="00687A84">
            <w:pPr>
              <w:rPr>
                <w:rFonts w:ascii="Arial" w:hAnsi="Arial" w:cs="Arial"/>
                <w:sz w:val="16"/>
                <w:lang w:val="es-ES_tradnl" w:eastAsia="es-ES"/>
              </w:rPr>
            </w:pPr>
            <w:r w:rsidRPr="009C7D09">
              <w:rPr>
                <w:rFonts w:ascii="Arial" w:hAnsi="Arial" w:cs="Arial"/>
                <w:sz w:val="16"/>
                <w:lang w:val="es-ES_tradnl" w:eastAsia="es-ES"/>
              </w:rPr>
              <w:t>Jorge Augusto Tirado Navarro</w:t>
            </w:r>
          </w:p>
          <w:p w14:paraId="7A16CEB2" w14:textId="77777777" w:rsidR="00D72E68" w:rsidRPr="00A2462A" w:rsidRDefault="00D72E68" w:rsidP="00687A84">
            <w:pPr>
              <w:rPr>
                <w:rFonts w:ascii="Arial" w:hAnsi="Arial" w:cs="Arial"/>
                <w:sz w:val="16"/>
                <w:lang w:val="es-ES_tradnl" w:eastAsia="es-ES"/>
              </w:rPr>
            </w:pPr>
            <w:r w:rsidRPr="009C7D09">
              <w:rPr>
                <w:rFonts w:ascii="Arial" w:hAnsi="Arial" w:cs="Arial"/>
                <w:sz w:val="16"/>
                <w:lang w:val="es-ES_tradnl" w:eastAsia="es-ES"/>
              </w:rPr>
              <w:t>Subdirector de Gestión Contractual</w:t>
            </w:r>
          </w:p>
        </w:tc>
      </w:tr>
    </w:tbl>
    <w:p w14:paraId="73985FB2" w14:textId="77777777" w:rsidR="00D72E68" w:rsidRDefault="00D72E68" w:rsidP="00D72E68">
      <w:pPr>
        <w:rPr>
          <w:sz w:val="22"/>
          <w:lang w:val="es-ES_tradnl"/>
        </w:rPr>
      </w:pPr>
    </w:p>
    <w:p w14:paraId="35B56F46" w14:textId="77777777" w:rsidR="00746E08" w:rsidRPr="002609B9" w:rsidRDefault="00746E08" w:rsidP="00215B8E">
      <w:pPr>
        <w:jc w:val="both"/>
        <w:rPr>
          <w:rFonts w:ascii="Arial" w:hAnsi="Arial" w:cs="Arial"/>
          <w:lang w:val="es-ES_tradnl"/>
        </w:rPr>
      </w:pPr>
    </w:p>
    <w:sectPr w:rsidR="00746E08" w:rsidRPr="002609B9" w:rsidSect="005D791B">
      <w:headerReference w:type="default" r:id="rId23"/>
      <w:footerReference w:type="default" r:id="rId2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8669" w14:textId="77777777" w:rsidR="004F29FE" w:rsidRDefault="004F29FE">
      <w:r>
        <w:separator/>
      </w:r>
    </w:p>
  </w:endnote>
  <w:endnote w:type="continuationSeparator" w:id="0">
    <w:p w14:paraId="02524464" w14:textId="77777777" w:rsidR="004F29FE" w:rsidRDefault="004F29FE">
      <w:r>
        <w:continuationSeparator/>
      </w:r>
    </w:p>
  </w:endnote>
  <w:endnote w:type="continuationNotice" w:id="1">
    <w:p w14:paraId="5A6FEDFA" w14:textId="77777777" w:rsidR="004F29FE" w:rsidRDefault="004F2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9D4B" w14:textId="77777777" w:rsidR="004F29FE" w:rsidRDefault="004F29FE">
      <w:r>
        <w:separator/>
      </w:r>
    </w:p>
  </w:footnote>
  <w:footnote w:type="continuationSeparator" w:id="0">
    <w:p w14:paraId="029B4CBA" w14:textId="77777777" w:rsidR="004F29FE" w:rsidRDefault="004F29FE">
      <w:r>
        <w:continuationSeparator/>
      </w:r>
    </w:p>
  </w:footnote>
  <w:footnote w:type="continuationNotice" w:id="1">
    <w:p w14:paraId="652D1698" w14:textId="77777777" w:rsidR="004F29FE" w:rsidRDefault="004F29FE"/>
  </w:footnote>
  <w:footnote w:id="2">
    <w:p w14:paraId="6802C91C" w14:textId="77777777" w:rsidR="00AC559D" w:rsidRPr="00B97354" w:rsidRDefault="00AC559D" w:rsidP="00AC559D">
      <w:pPr>
        <w:pStyle w:val="Textonotapie"/>
        <w:ind w:firstLine="708"/>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97354">
        <w:rPr>
          <w:rFonts w:ascii="Arial" w:hAnsi="Arial" w:cs="Arial"/>
          <w:i/>
          <w:iCs/>
          <w:color w:val="000000" w:themeColor="text1"/>
          <w:sz w:val="19"/>
          <w:szCs w:val="19"/>
        </w:rPr>
        <w:t xml:space="preserve">ibidem </w:t>
      </w:r>
      <w:r w:rsidRPr="00B97354">
        <w:rPr>
          <w:rFonts w:ascii="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B97354">
        <w:rPr>
          <w:rFonts w:ascii="Arial" w:hAnsi="Arial" w:cs="Arial"/>
          <w:color w:val="000000" w:themeColor="text1"/>
          <w:sz w:val="19"/>
          <w:szCs w:val="19"/>
        </w:rPr>
        <w:t>bsolver</w:t>
      </w:r>
      <w:proofErr w:type="spellEnd"/>
      <w:r w:rsidRPr="00B97354">
        <w:rPr>
          <w:rFonts w:ascii="Arial" w:hAnsi="Arial" w:cs="Arial"/>
          <w:color w:val="000000" w:themeColor="text1"/>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B97354">
        <w:rPr>
          <w:rFonts w:ascii="Arial" w:hAnsi="Arial" w:cs="Arial"/>
          <w:color w:val="000000" w:themeColor="text1"/>
          <w:sz w:val="19"/>
          <w:szCs w:val="19"/>
        </w:rPr>
        <w:t>bsolver</w:t>
      </w:r>
      <w:proofErr w:type="spellEnd"/>
      <w:r w:rsidRPr="00B97354">
        <w:rPr>
          <w:rFonts w:ascii="Arial" w:hAnsi="Arial" w:cs="Arial"/>
          <w:color w:val="000000" w:themeColor="text1"/>
          <w:sz w:val="19"/>
          <w:szCs w:val="19"/>
        </w:rPr>
        <w:t xml:space="preserve"> consultas sobre la aplicación de normas de carácter general».</w:t>
      </w:r>
    </w:p>
  </w:footnote>
  <w:footnote w:id="3">
    <w:p w14:paraId="60027C3C" w14:textId="68641B5E" w:rsidR="00221A1D" w:rsidRPr="005E022D" w:rsidRDefault="00221A1D" w:rsidP="009E4101">
      <w:pPr>
        <w:pStyle w:val="Textonotapie"/>
        <w:ind w:firstLine="709"/>
        <w:jc w:val="both"/>
        <w:rPr>
          <w:rFonts w:ascii="Arial" w:hAnsi="Arial" w:cs="Arial"/>
          <w:sz w:val="19"/>
          <w:szCs w:val="19"/>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Consejo de Estado. Sección Tercera. Sentencia del 29 de octubre de 2.015. Consejera Ponente: Stella Conto Díaz Del Castillo. Expediente: 31.918.</w:t>
      </w:r>
    </w:p>
  </w:footnote>
  <w:footnote w:id="4">
    <w:p w14:paraId="3343CDC9" w14:textId="1E2C4D90" w:rsidR="00CD32B9" w:rsidRDefault="00CD32B9" w:rsidP="005817BE">
      <w:pPr>
        <w:pStyle w:val="Textonotapie"/>
        <w:ind w:firstLine="709"/>
      </w:pPr>
      <w:r>
        <w:rPr>
          <w:rStyle w:val="Refdenotaalpie"/>
        </w:rPr>
        <w:footnoteRef/>
      </w:r>
      <w:r>
        <w:t xml:space="preserve"> </w:t>
      </w:r>
      <w:r w:rsidR="005817BE" w:rsidRPr="00892E76">
        <w:rPr>
          <w:rFonts w:ascii="Arial" w:hAnsi="Arial" w:cs="Arial"/>
          <w:sz w:val="19"/>
          <w:szCs w:val="19"/>
          <w:lang w:val="es-ES"/>
        </w:rPr>
        <w:t>Corte Constitucional. Sentencia T-684A del 14 de septiembre de 2011. Magistrado Ponente: Mauricio González Cuervo.</w:t>
      </w:r>
    </w:p>
  </w:footnote>
  <w:footnote w:id="5">
    <w:p w14:paraId="41E0AFD6" w14:textId="0A2A5128" w:rsidR="00EA0455" w:rsidRPr="005E022D" w:rsidRDefault="00EA0455" w:rsidP="00E4505A">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2 al 29.</w:t>
      </w:r>
    </w:p>
  </w:footnote>
  <w:footnote w:id="6">
    <w:p w14:paraId="52DE75AF" w14:textId="42083817" w:rsidR="00EA0455" w:rsidRPr="005E022D" w:rsidRDefault="00EA0455" w:rsidP="00DC74A5">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30 al 36.</w:t>
      </w:r>
    </w:p>
  </w:footnote>
  <w:footnote w:id="7">
    <w:p w14:paraId="60BAAF2F" w14:textId="17A7646C" w:rsidR="00EA0455" w:rsidRPr="005E022D" w:rsidRDefault="00EA0455" w:rsidP="00DC74A5">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37 al 45.</w:t>
      </w:r>
    </w:p>
  </w:footnote>
  <w:footnote w:id="8">
    <w:p w14:paraId="3BA941F3" w14:textId="68670623" w:rsidR="00EA0455" w:rsidRPr="005E022D" w:rsidRDefault="00EA0455" w:rsidP="00DC74A5">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46 al 73.</w:t>
      </w:r>
    </w:p>
  </w:footnote>
  <w:footnote w:id="9">
    <w:p w14:paraId="1543EC5A" w14:textId="437ABC69" w:rsidR="00EA0455" w:rsidRPr="005E022D" w:rsidRDefault="00EA0455" w:rsidP="009E4101">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hAnsi="Arial" w:cs="Arial"/>
          <w:sz w:val="19"/>
          <w:szCs w:val="19"/>
          <w:lang w:val="es-ES"/>
        </w:rPr>
        <w:t>Artículos 74 al 83.</w:t>
      </w:r>
    </w:p>
  </w:footnote>
  <w:footnote w:id="10">
    <w:p w14:paraId="66F709D4" w14:textId="25C58A2D" w:rsidR="00A32354" w:rsidRPr="005E022D" w:rsidRDefault="00A32354" w:rsidP="009E4101">
      <w:pPr>
        <w:pStyle w:val="Textonotapie"/>
        <w:ind w:firstLine="708"/>
        <w:jc w:val="both"/>
        <w:rPr>
          <w:rFonts w:ascii="Arial" w:hAnsi="Arial" w:cs="Arial"/>
          <w:sz w:val="19"/>
          <w:szCs w:val="19"/>
        </w:rPr>
      </w:pPr>
      <w:r w:rsidRPr="005E022D">
        <w:rPr>
          <w:rStyle w:val="Refdenotaalpie"/>
          <w:rFonts w:ascii="Arial" w:hAnsi="Arial" w:cs="Arial"/>
          <w:sz w:val="19"/>
          <w:szCs w:val="19"/>
        </w:rPr>
        <w:footnoteRef/>
      </w:r>
      <w:r w:rsidRPr="005E022D">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5E022D">
        <w:rPr>
          <w:rFonts w:ascii="Arial" w:hAnsi="Arial" w:cs="Arial"/>
          <w:sz w:val="19"/>
          <w:szCs w:val="19"/>
        </w:rPr>
        <w:t>Mipyme</w:t>
      </w:r>
      <w:proofErr w:type="spellEnd"/>
      <w:r w:rsidRPr="005E022D">
        <w:rPr>
          <w:rFonts w:ascii="Arial" w:hAnsi="Arial" w:cs="Arial"/>
          <w:sz w:val="19"/>
          <w:szCs w:val="19"/>
        </w:rPr>
        <w:t xml:space="preserve"> y grandes almacenes; los criterios diferenciales para </w:t>
      </w:r>
      <w:proofErr w:type="spellStart"/>
      <w:r w:rsidRPr="005E022D">
        <w:rPr>
          <w:rFonts w:ascii="Arial" w:hAnsi="Arial" w:cs="Arial"/>
          <w:sz w:val="19"/>
          <w:szCs w:val="19"/>
        </w:rPr>
        <w:t>Mipyme</w:t>
      </w:r>
      <w:proofErr w:type="spellEnd"/>
      <w:r w:rsidRPr="005E022D">
        <w:rPr>
          <w:rFonts w:ascii="Arial" w:hAnsi="Arial" w:cs="Arial"/>
          <w:sz w:val="19"/>
          <w:szCs w:val="19"/>
        </w:rPr>
        <w:t xml:space="preserve">, y la definición y los criterios diferenciales para los emprendimientos y empresas de mujeres; las convocatorias limitadas a </w:t>
      </w:r>
      <w:proofErr w:type="spellStart"/>
      <w:r w:rsidRPr="005E022D">
        <w:rPr>
          <w:rFonts w:ascii="Arial" w:hAnsi="Arial" w:cs="Arial"/>
          <w:sz w:val="19"/>
          <w:szCs w:val="19"/>
        </w:rPr>
        <w:t>Mipyme</w:t>
      </w:r>
      <w:proofErr w:type="spellEnd"/>
      <w:r w:rsidRPr="005E022D">
        <w:rPr>
          <w:rFonts w:ascii="Arial" w:hAnsi="Arial" w:cs="Arial"/>
          <w:sz w:val="19"/>
          <w:szCs w:val="19"/>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1">
    <w:p w14:paraId="5A07CC24" w14:textId="3225B2CF" w:rsidR="00E0584F" w:rsidRPr="005E022D" w:rsidRDefault="00E0584F" w:rsidP="001D476B">
      <w:pPr>
        <w:pStyle w:val="NormalWeb"/>
        <w:shd w:val="clear" w:color="auto" w:fill="FFFFFF"/>
        <w:spacing w:before="0" w:beforeAutospacing="0" w:after="0" w:afterAutospacing="0"/>
        <w:ind w:firstLine="709"/>
        <w:jc w:val="both"/>
        <w:rPr>
          <w:rFonts w:ascii="Arial" w:hAnsi="Arial" w:cs="Arial"/>
          <w:sz w:val="19"/>
          <w:szCs w:val="19"/>
        </w:rPr>
      </w:pPr>
      <w:r w:rsidRPr="005E022D">
        <w:rPr>
          <w:rStyle w:val="Refdenotaalpie"/>
          <w:rFonts w:ascii="Arial" w:hAnsi="Arial" w:cs="Arial"/>
          <w:sz w:val="19"/>
          <w:szCs w:val="19"/>
        </w:rPr>
        <w:footnoteRef/>
      </w:r>
      <w:r w:rsidRPr="005E022D">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1" w:anchor="2.2.1.2.1.5.1" w:history="1">
        <w:r w:rsidRPr="005E022D">
          <w:rPr>
            <w:rStyle w:val="Hipervnculo"/>
            <w:rFonts w:ascii="Arial" w:hAnsi="Arial" w:cs="Arial"/>
            <w:color w:val="auto"/>
            <w:sz w:val="19"/>
            <w:szCs w:val="19"/>
          </w:rPr>
          <w:t>5 </w:t>
        </w:r>
      </w:hyperlink>
      <w:r w:rsidRPr="005E022D">
        <w:rPr>
          <w:rFonts w:ascii="Arial" w:hAnsi="Arial" w:cs="Arial"/>
          <w:sz w:val="19"/>
          <w:szCs w:val="19"/>
        </w:rPr>
        <w:t>de la Sección 1 del Capítulo 2 del Título 1 de la Parte 2 del Libro 2, así como los artículos </w:t>
      </w:r>
      <w:hyperlink r:id="rId2" w:anchor="2.2.1.2.4.2.2" w:history="1">
        <w:r w:rsidRPr="005E022D">
          <w:rPr>
            <w:rStyle w:val="Hipervnculo"/>
            <w:rFonts w:ascii="Arial" w:hAnsi="Arial" w:cs="Arial"/>
            <w:color w:val="auto"/>
            <w:sz w:val="19"/>
            <w:szCs w:val="19"/>
            <w:u w:val="none"/>
          </w:rPr>
          <w:t>2.2.1.2.4.2.2</w:t>
        </w:r>
      </w:hyperlink>
      <w:r w:rsidRPr="005E022D">
        <w:rPr>
          <w:rFonts w:ascii="Arial" w:hAnsi="Arial" w:cs="Arial"/>
          <w:sz w:val="19"/>
          <w:szCs w:val="19"/>
        </w:rPr>
        <w:t>., </w:t>
      </w:r>
      <w:hyperlink r:id="rId3" w:anchor="2.2.1.2.4.2.3" w:history="1">
        <w:r w:rsidRPr="005E022D">
          <w:rPr>
            <w:rStyle w:val="Hipervnculo"/>
            <w:rFonts w:ascii="Arial" w:hAnsi="Arial" w:cs="Arial"/>
            <w:color w:val="auto"/>
            <w:sz w:val="19"/>
            <w:szCs w:val="19"/>
            <w:u w:val="none"/>
          </w:rPr>
          <w:t>2.2.1.2.4.2.3</w:t>
        </w:r>
      </w:hyperlink>
      <w:r w:rsidRPr="005E022D">
        <w:rPr>
          <w:rFonts w:ascii="Arial" w:hAnsi="Arial" w:cs="Arial"/>
          <w:sz w:val="19"/>
          <w:szCs w:val="19"/>
        </w:rPr>
        <w:t>., </w:t>
      </w:r>
      <w:hyperlink r:id="rId4" w:anchor="2.2.1.2.4.2.4" w:history="1">
        <w:r w:rsidRPr="005E022D">
          <w:rPr>
            <w:rStyle w:val="Hipervnculo"/>
            <w:rFonts w:ascii="Arial" w:hAnsi="Arial" w:cs="Arial"/>
            <w:color w:val="auto"/>
            <w:sz w:val="19"/>
            <w:szCs w:val="19"/>
            <w:u w:val="none"/>
          </w:rPr>
          <w:t>2.2.1.2.4.2.4</w:t>
        </w:r>
      </w:hyperlink>
      <w:r w:rsidRPr="005E022D">
        <w:rPr>
          <w:rFonts w:ascii="Arial" w:hAnsi="Arial" w:cs="Arial"/>
          <w:sz w:val="19"/>
          <w:szCs w:val="19"/>
        </w:rPr>
        <w:t>., </w:t>
      </w:r>
      <w:hyperlink r:id="rId5" w:anchor="2.2.1.2.1.2.2" w:history="1">
        <w:r w:rsidRPr="005E022D">
          <w:rPr>
            <w:rStyle w:val="Hipervnculo"/>
            <w:rFonts w:ascii="Arial" w:hAnsi="Arial" w:cs="Arial"/>
            <w:color w:val="auto"/>
            <w:sz w:val="19"/>
            <w:szCs w:val="19"/>
            <w:u w:val="none"/>
          </w:rPr>
          <w:t>2.2.1.2.1.2.2</w:t>
        </w:r>
      </w:hyperlink>
      <w:r w:rsidR="006C1195" w:rsidRPr="005E022D">
        <w:rPr>
          <w:rFonts w:ascii="Arial" w:hAnsi="Arial" w:cs="Arial"/>
          <w:sz w:val="19"/>
          <w:szCs w:val="19"/>
        </w:rPr>
        <w:t xml:space="preserve"> y</w:t>
      </w:r>
      <w:r w:rsidRPr="005E022D">
        <w:rPr>
          <w:rFonts w:ascii="Arial" w:hAnsi="Arial" w:cs="Arial"/>
          <w:sz w:val="19"/>
          <w:szCs w:val="19"/>
        </w:rPr>
        <w:t> </w:t>
      </w:r>
      <w:hyperlink r:id="rId6" w:anchor="2.2.1.2.4.2.8" w:history="1">
        <w:r w:rsidRPr="005E022D">
          <w:rPr>
            <w:rStyle w:val="Hipervnculo"/>
            <w:rFonts w:ascii="Arial" w:hAnsi="Arial" w:cs="Arial"/>
            <w:color w:val="auto"/>
            <w:sz w:val="19"/>
            <w:szCs w:val="19"/>
            <w:u w:val="none"/>
          </w:rPr>
          <w:t>2.2.1.2.4.2.8</w:t>
        </w:r>
      </w:hyperlink>
      <w:r w:rsidRPr="005E022D">
        <w:rPr>
          <w:rFonts w:ascii="Arial" w:hAnsi="Arial" w:cs="Arial"/>
          <w:sz w:val="19"/>
          <w:szCs w:val="19"/>
        </w:rPr>
        <w:t>.; adiciona los artículos </w:t>
      </w:r>
      <w:hyperlink r:id="rId7" w:anchor="2.2.1.2.4.2.14" w:history="1">
        <w:r w:rsidRPr="005E022D">
          <w:rPr>
            <w:rStyle w:val="Hipervnculo"/>
            <w:rFonts w:ascii="Arial" w:hAnsi="Arial" w:cs="Arial"/>
            <w:color w:val="auto"/>
            <w:sz w:val="19"/>
            <w:szCs w:val="19"/>
            <w:u w:val="none"/>
          </w:rPr>
          <w:t>2.2.1.2.4.2.14</w:t>
        </w:r>
      </w:hyperlink>
      <w:r w:rsidRPr="005E022D">
        <w:rPr>
          <w:rFonts w:ascii="Arial" w:hAnsi="Arial" w:cs="Arial"/>
          <w:sz w:val="19"/>
          <w:szCs w:val="19"/>
        </w:rPr>
        <w:t>., </w:t>
      </w:r>
      <w:hyperlink r:id="rId8" w:anchor="2.2.1.2.4.2.15" w:history="1">
        <w:r w:rsidRPr="005E022D">
          <w:rPr>
            <w:rStyle w:val="Hipervnculo"/>
            <w:rFonts w:ascii="Arial" w:hAnsi="Arial" w:cs="Arial"/>
            <w:color w:val="auto"/>
            <w:sz w:val="19"/>
            <w:szCs w:val="19"/>
            <w:u w:val="none"/>
          </w:rPr>
          <w:t>2.2.1.2.4.2.15</w:t>
        </w:r>
      </w:hyperlink>
      <w:r w:rsidRPr="005E022D">
        <w:rPr>
          <w:rFonts w:ascii="Arial" w:hAnsi="Arial" w:cs="Arial"/>
          <w:sz w:val="19"/>
          <w:szCs w:val="19"/>
        </w:rPr>
        <w:t>., </w:t>
      </w:r>
      <w:hyperlink r:id="rId9" w:anchor="2.2.1.2.4.2.16" w:history="1">
        <w:r w:rsidRPr="005E022D">
          <w:rPr>
            <w:rStyle w:val="Hipervnculo"/>
            <w:rFonts w:ascii="Arial" w:hAnsi="Arial" w:cs="Arial"/>
            <w:color w:val="auto"/>
            <w:sz w:val="19"/>
            <w:szCs w:val="19"/>
            <w:u w:val="none"/>
          </w:rPr>
          <w:t>2.2.1.2.4.2.16</w:t>
        </w:r>
      </w:hyperlink>
      <w:r w:rsidRPr="005E022D">
        <w:rPr>
          <w:rFonts w:ascii="Arial" w:hAnsi="Arial" w:cs="Arial"/>
          <w:sz w:val="19"/>
          <w:szCs w:val="19"/>
        </w:rPr>
        <w:t>., </w:t>
      </w:r>
      <w:hyperlink r:id="rId10" w:anchor="2.2.1.2.4.2.17" w:history="1">
        <w:r w:rsidRPr="005E022D">
          <w:rPr>
            <w:rStyle w:val="Hipervnculo"/>
            <w:rFonts w:ascii="Arial" w:hAnsi="Arial" w:cs="Arial"/>
            <w:color w:val="auto"/>
            <w:sz w:val="19"/>
            <w:szCs w:val="19"/>
            <w:u w:val="none"/>
          </w:rPr>
          <w:t>2.2.1.2.4.2.17</w:t>
        </w:r>
      </w:hyperlink>
      <w:r w:rsidRPr="005E022D">
        <w:rPr>
          <w:rFonts w:ascii="Arial" w:hAnsi="Arial" w:cs="Arial"/>
          <w:sz w:val="19"/>
          <w:szCs w:val="19"/>
        </w:rPr>
        <w:t>. y </w:t>
      </w:r>
      <w:hyperlink r:id="rId11" w:anchor="2.2.1.2.4.2.18" w:history="1">
        <w:r w:rsidRPr="005E022D">
          <w:rPr>
            <w:rStyle w:val="Hipervnculo"/>
            <w:rFonts w:ascii="Arial" w:hAnsi="Arial" w:cs="Arial"/>
            <w:color w:val="auto"/>
            <w:sz w:val="19"/>
            <w:szCs w:val="19"/>
            <w:u w:val="none"/>
          </w:rPr>
          <w:t>2.2.1.2.4.2.18</w:t>
        </w:r>
      </w:hyperlink>
      <w:r w:rsidRPr="005E022D">
        <w:rPr>
          <w:rFonts w:ascii="Arial" w:hAnsi="Arial" w:cs="Arial"/>
          <w:sz w:val="19"/>
          <w:szCs w:val="19"/>
        </w:rPr>
        <w:t>.; adiciona un </w:t>
      </w:r>
      <w:hyperlink r:id="rId12" w:anchor="2.2.1.2.3.1.9.p" w:history="1">
        <w:r w:rsidRPr="005E022D">
          <w:rPr>
            <w:rStyle w:val="Hipervnculo"/>
            <w:rFonts w:ascii="Arial" w:hAnsi="Arial" w:cs="Arial"/>
            <w:color w:val="auto"/>
            <w:sz w:val="19"/>
            <w:szCs w:val="19"/>
            <w:u w:val="none"/>
          </w:rPr>
          <w:t>parágrafo </w:t>
        </w:r>
      </w:hyperlink>
      <w:r w:rsidRPr="005E022D">
        <w:rPr>
          <w:rFonts w:ascii="Arial" w:hAnsi="Arial" w:cs="Arial"/>
          <w:sz w:val="19"/>
          <w:szCs w:val="19"/>
        </w:rPr>
        <w:t>al artículo </w:t>
      </w:r>
      <w:hyperlink r:id="rId13" w:anchor="2.2.1.2.3.1.9" w:history="1">
        <w:r w:rsidRPr="005E022D">
          <w:rPr>
            <w:rStyle w:val="Hipervnculo"/>
            <w:rFonts w:ascii="Arial" w:hAnsi="Arial" w:cs="Arial"/>
            <w:color w:val="auto"/>
            <w:sz w:val="19"/>
            <w:szCs w:val="19"/>
            <w:u w:val="none"/>
          </w:rPr>
          <w:t>2.2.1.2.3.1.9</w:t>
        </w:r>
      </w:hyperlink>
      <w:r w:rsidRPr="005E022D">
        <w:rPr>
          <w:rFonts w:ascii="Arial" w:hAnsi="Arial" w:cs="Arial"/>
          <w:sz w:val="19"/>
          <w:szCs w:val="19"/>
        </w:rPr>
        <w:t>; y deroga el artículo </w:t>
      </w:r>
      <w:hyperlink r:id="rId14" w:anchor="2.2.1.1.2.2.9" w:history="1">
        <w:r w:rsidRPr="005E022D">
          <w:rPr>
            <w:rStyle w:val="Hipervnculo"/>
            <w:rFonts w:ascii="Arial" w:hAnsi="Arial" w:cs="Arial"/>
            <w:color w:val="auto"/>
            <w:sz w:val="19"/>
            <w:szCs w:val="19"/>
            <w:u w:val="none"/>
          </w:rPr>
          <w:t>2.2.1.1.2.2.9</w:t>
        </w:r>
      </w:hyperlink>
      <w:r w:rsidRPr="005E022D">
        <w:rPr>
          <w:rFonts w:ascii="Arial" w:hAnsi="Arial" w:cs="Arial"/>
          <w:sz w:val="19"/>
          <w:szCs w:val="19"/>
        </w:rPr>
        <w:t>. del Decreto 1082 de 2015, Único Reglamentario del Sector Administrativo de Planeación Nacional.</w:t>
      </w:r>
    </w:p>
    <w:p w14:paraId="4D88C67B" w14:textId="7BE5A412" w:rsidR="00E0584F" w:rsidRPr="005E022D" w:rsidRDefault="00E0584F" w:rsidP="001D476B">
      <w:pPr>
        <w:pStyle w:val="NormalWeb"/>
        <w:shd w:val="clear" w:color="auto" w:fill="FFFFFF"/>
        <w:spacing w:before="0" w:beforeAutospacing="0" w:after="0" w:afterAutospacing="0"/>
        <w:jc w:val="both"/>
        <w:rPr>
          <w:rFonts w:ascii="Arial" w:hAnsi="Arial" w:cs="Arial"/>
          <w:sz w:val="19"/>
          <w:szCs w:val="19"/>
        </w:rPr>
      </w:pPr>
      <w:r w:rsidRPr="005E022D">
        <w:rPr>
          <w:rFonts w:ascii="Arial" w:hAnsi="Arial" w:cs="Arial"/>
          <w:b/>
          <w:bCs/>
          <w:sz w:val="19"/>
          <w:szCs w:val="19"/>
        </w:rPr>
        <w:t> </w:t>
      </w:r>
      <w:r w:rsidRPr="005E022D">
        <w:rPr>
          <w:rFonts w:ascii="Arial" w:hAnsi="Arial" w:cs="Arial"/>
          <w:b/>
          <w:bCs/>
          <w:sz w:val="19"/>
          <w:szCs w:val="19"/>
        </w:rPr>
        <w:tab/>
      </w:r>
      <w:proofErr w:type="gramStart"/>
      <w:r w:rsidRPr="005E022D">
        <w:rPr>
          <w:rFonts w:ascii="Arial" w:hAnsi="Arial" w:cs="Arial"/>
          <w:b/>
          <w:bCs/>
          <w:sz w:val="19"/>
          <w:szCs w:val="19"/>
        </w:rPr>
        <w:t>»</w:t>
      </w:r>
      <w:r w:rsidRPr="005E022D">
        <w:rPr>
          <w:rFonts w:ascii="Arial" w:hAnsi="Arial" w:cs="Arial"/>
          <w:sz w:val="19"/>
          <w:szCs w:val="19"/>
        </w:rPr>
        <w:t>Parágrafo</w:t>
      </w:r>
      <w:proofErr w:type="gramEnd"/>
      <w:r w:rsidRPr="005E022D">
        <w:rPr>
          <w:rFonts w:ascii="Arial" w:hAnsi="Arial" w:cs="Arial"/>
          <w:sz w:val="19"/>
          <w:szCs w:val="19"/>
        </w:rPr>
        <w:t>.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8FED353" w14:textId="718C4AE6" w:rsidR="00E0584F" w:rsidRPr="005E022D" w:rsidRDefault="00E0584F" w:rsidP="001D476B">
      <w:pPr>
        <w:pStyle w:val="NormalWeb"/>
        <w:shd w:val="clear" w:color="auto" w:fill="FFFFFF"/>
        <w:spacing w:before="0" w:beforeAutospacing="0" w:after="0" w:afterAutospacing="0"/>
        <w:jc w:val="both"/>
        <w:rPr>
          <w:rFonts w:ascii="Arial" w:hAnsi="Arial" w:cs="Arial"/>
          <w:sz w:val="19"/>
          <w:szCs w:val="19"/>
        </w:rPr>
      </w:pPr>
      <w:r w:rsidRPr="005E022D">
        <w:rPr>
          <w:rFonts w:ascii="Arial" w:hAnsi="Arial" w:cs="Arial"/>
          <w:sz w:val="19"/>
          <w:szCs w:val="19"/>
        </w:rPr>
        <w:t> </w:t>
      </w:r>
      <w:r w:rsidRPr="005E022D">
        <w:rPr>
          <w:rFonts w:ascii="Arial" w:hAnsi="Arial" w:cs="Arial"/>
          <w:sz w:val="19"/>
          <w:szCs w:val="19"/>
        </w:rPr>
        <w:tab/>
      </w:r>
      <w:proofErr w:type="gramStart"/>
      <w:r w:rsidRPr="005E022D">
        <w:rPr>
          <w:rFonts w:ascii="Arial" w:hAnsi="Arial" w:cs="Arial"/>
          <w:sz w:val="19"/>
          <w:szCs w:val="19"/>
        </w:rPr>
        <w:t>»La</w:t>
      </w:r>
      <w:proofErr w:type="gramEnd"/>
      <w:r w:rsidRPr="005E022D">
        <w:rPr>
          <w:rFonts w:ascii="Arial" w:hAnsi="Arial" w:cs="Arial"/>
          <w:sz w:val="19"/>
          <w:szCs w:val="19"/>
        </w:rPr>
        <w:t xml:space="preserve">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2">
    <w:p w14:paraId="3A51E426" w14:textId="6988E48B" w:rsidR="0006220A" w:rsidRPr="005E022D" w:rsidRDefault="0006220A" w:rsidP="00626E88">
      <w:pPr>
        <w:pStyle w:val="NormalWeb"/>
        <w:spacing w:before="0" w:beforeAutospacing="0" w:after="0" w:afterAutospacing="0"/>
        <w:ind w:firstLine="708"/>
        <w:jc w:val="both"/>
        <w:rPr>
          <w:rFonts w:ascii="Arial" w:hAnsi="Arial" w:cs="Arial"/>
          <w:sz w:val="19"/>
          <w:szCs w:val="19"/>
        </w:rPr>
      </w:pPr>
      <w:r w:rsidRPr="005E022D">
        <w:rPr>
          <w:rStyle w:val="Refdenotaalpie"/>
          <w:rFonts w:ascii="Arial" w:hAnsi="Arial" w:cs="Arial"/>
          <w:sz w:val="19"/>
          <w:szCs w:val="19"/>
        </w:rPr>
        <w:footnoteRef/>
      </w:r>
      <w:r w:rsidRPr="005E022D">
        <w:rPr>
          <w:rFonts w:ascii="Arial" w:hAnsi="Arial" w:cs="Arial"/>
          <w:sz w:val="19"/>
          <w:szCs w:val="19"/>
        </w:rPr>
        <w:t xml:space="preserve"> Ley 1232 de 2008. «Artículo 1º. El artículo 2º de la Ley 82 de 1993 quedará así: </w:t>
      </w:r>
    </w:p>
    <w:p w14:paraId="0D40CD53" w14:textId="0F4E0F9B" w:rsidR="0006220A" w:rsidRPr="0006220A" w:rsidRDefault="0006220A" w:rsidP="00626E88">
      <w:pPr>
        <w:jc w:val="both"/>
        <w:rPr>
          <w:rFonts w:ascii="Arial" w:hAnsi="Arial" w:cs="Arial"/>
          <w:sz w:val="19"/>
          <w:szCs w:val="19"/>
          <w:lang w:eastAsia="es-CO"/>
        </w:rPr>
      </w:pPr>
      <w:r w:rsidRPr="0006220A">
        <w:rPr>
          <w:rFonts w:ascii="Arial" w:hAnsi="Arial" w:cs="Arial"/>
          <w:sz w:val="19"/>
          <w:szCs w:val="19"/>
          <w:lang w:eastAsia="es-CO"/>
        </w:rPr>
        <w:t>  </w:t>
      </w:r>
      <w:r w:rsidRPr="005E022D">
        <w:rPr>
          <w:rFonts w:ascii="Arial" w:hAnsi="Arial" w:cs="Arial"/>
          <w:sz w:val="19"/>
          <w:szCs w:val="19"/>
          <w:lang w:eastAsia="es-CO"/>
        </w:rPr>
        <w:tab/>
      </w:r>
      <w:proofErr w:type="gramStart"/>
      <w:r w:rsidRPr="005E022D">
        <w:rPr>
          <w:rFonts w:ascii="Arial" w:hAnsi="Arial" w:cs="Arial"/>
          <w:sz w:val="19"/>
          <w:szCs w:val="19"/>
          <w:lang w:eastAsia="es-CO"/>
        </w:rPr>
        <w:t>»</w:t>
      </w:r>
      <w:r w:rsidRPr="0006220A">
        <w:rPr>
          <w:rFonts w:ascii="Arial" w:hAnsi="Arial" w:cs="Arial"/>
          <w:sz w:val="19"/>
          <w:szCs w:val="19"/>
          <w:lang w:eastAsia="es-CO"/>
        </w:rPr>
        <w:t>Artículo</w:t>
      </w:r>
      <w:proofErr w:type="gramEnd"/>
      <w:r w:rsidRPr="0006220A">
        <w:rPr>
          <w:rFonts w:ascii="Arial" w:hAnsi="Arial" w:cs="Arial"/>
          <w:sz w:val="19"/>
          <w:szCs w:val="19"/>
          <w:lang w:eastAsia="es-CO"/>
        </w:rPr>
        <w:t xml:space="preserve"> 2º.</w:t>
      </w:r>
      <w:r w:rsidRPr="0006220A">
        <w:rPr>
          <w:rFonts w:ascii="Arial" w:hAnsi="Arial" w:cs="Arial"/>
          <w:i/>
          <w:iCs/>
          <w:sz w:val="19"/>
          <w:szCs w:val="19"/>
          <w:lang w:eastAsia="es-CO"/>
        </w:rPr>
        <w:t>Jefatura femenina de hogar. </w:t>
      </w:r>
      <w:r w:rsidRPr="0006220A">
        <w:rPr>
          <w:rFonts w:ascii="Arial" w:hAnsi="Arial" w:cs="Arial"/>
          <w:sz w:val="19"/>
          <w:szCs w:val="19"/>
          <w:lang w:eastAsia="es-CO"/>
        </w:rPr>
        <w:t>Para los efectos de la presente ley, la Jefatura Femenina de Hogar, es una categoría social de los hogares, derivada de los cambios sociodemográficos, económicos, culturales y de las relaciones de género que se han producido en la estructura familiar, en las subjetividades, representaciones e identidades de las mujeres que redefinen su posición y condición en los procesos de reproducción y producción social, que es objeto de políticas públicas en las que participan instituciones estatales, privadas y sectores de la sociedad civil. </w:t>
      </w:r>
    </w:p>
    <w:p w14:paraId="603423D9" w14:textId="1EF32539" w:rsidR="0006220A" w:rsidRPr="0006220A" w:rsidRDefault="0006220A" w:rsidP="00626E88">
      <w:pPr>
        <w:jc w:val="both"/>
        <w:rPr>
          <w:rFonts w:ascii="Arial" w:hAnsi="Arial" w:cs="Arial"/>
          <w:sz w:val="19"/>
          <w:szCs w:val="19"/>
          <w:lang w:eastAsia="es-CO"/>
        </w:rPr>
      </w:pPr>
      <w:r w:rsidRPr="0006220A">
        <w:rPr>
          <w:rFonts w:ascii="Arial" w:hAnsi="Arial" w:cs="Arial"/>
          <w:sz w:val="19"/>
          <w:szCs w:val="19"/>
          <w:lang w:eastAsia="es-CO"/>
        </w:rPr>
        <w:t>  </w:t>
      </w:r>
      <w:r w:rsidRPr="005E022D">
        <w:rPr>
          <w:rFonts w:ascii="Arial" w:hAnsi="Arial" w:cs="Arial"/>
          <w:sz w:val="19"/>
          <w:szCs w:val="19"/>
          <w:lang w:eastAsia="es-CO"/>
        </w:rPr>
        <w:tab/>
      </w:r>
      <w:proofErr w:type="gramStart"/>
      <w:r w:rsidRPr="005E022D">
        <w:rPr>
          <w:rFonts w:ascii="Arial" w:hAnsi="Arial" w:cs="Arial"/>
          <w:sz w:val="19"/>
          <w:szCs w:val="19"/>
          <w:lang w:eastAsia="es-CO"/>
        </w:rPr>
        <w:t>»</w:t>
      </w:r>
      <w:r w:rsidRPr="0006220A">
        <w:rPr>
          <w:rFonts w:ascii="Arial" w:hAnsi="Arial" w:cs="Arial"/>
          <w:sz w:val="19"/>
          <w:szCs w:val="19"/>
          <w:lang w:eastAsia="es-CO"/>
        </w:rPr>
        <w:t>En</w:t>
      </w:r>
      <w:proofErr w:type="gramEnd"/>
      <w:r w:rsidRPr="0006220A">
        <w:rPr>
          <w:rFonts w:ascii="Arial" w:hAnsi="Arial" w:cs="Arial"/>
          <w:sz w:val="19"/>
          <w:szCs w:val="19"/>
          <w:lang w:eastAsia="es-CO"/>
        </w:rPr>
        <w:t xml:space="preserve"> concordancia con lo anterior, es Mujer Cabeza de Familia, quien siendo soltera o casada, ejerce la jefatura femenina de hogar y tiene bajo su cargo, afectiva, económica 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 </w:t>
      </w:r>
    </w:p>
    <w:p w14:paraId="07CBFD7A" w14:textId="34761B6A" w:rsidR="0006220A" w:rsidRPr="005E022D" w:rsidRDefault="0006220A" w:rsidP="00DC74A5">
      <w:pPr>
        <w:jc w:val="both"/>
        <w:rPr>
          <w:rFonts w:ascii="Arial" w:hAnsi="Arial" w:cs="Arial"/>
          <w:sz w:val="19"/>
          <w:szCs w:val="19"/>
          <w:lang w:eastAsia="es-CO"/>
        </w:rPr>
      </w:pPr>
      <w:r w:rsidRPr="0006220A">
        <w:rPr>
          <w:rFonts w:ascii="Arial" w:hAnsi="Arial" w:cs="Arial"/>
          <w:sz w:val="19"/>
          <w:szCs w:val="19"/>
          <w:lang w:eastAsia="es-CO"/>
        </w:rPr>
        <w:t>  </w:t>
      </w:r>
      <w:r w:rsidRPr="005E022D">
        <w:rPr>
          <w:rFonts w:ascii="Arial" w:hAnsi="Arial" w:cs="Arial"/>
          <w:sz w:val="19"/>
          <w:szCs w:val="19"/>
          <w:lang w:eastAsia="es-CO"/>
        </w:rPr>
        <w:tab/>
      </w:r>
      <w:proofErr w:type="gramStart"/>
      <w:r w:rsidRPr="005E022D">
        <w:rPr>
          <w:rFonts w:ascii="Arial" w:hAnsi="Arial" w:cs="Arial"/>
          <w:sz w:val="19"/>
          <w:szCs w:val="19"/>
          <w:lang w:eastAsia="es-CO"/>
        </w:rPr>
        <w:t>»</w:t>
      </w:r>
      <w:r w:rsidRPr="0006220A">
        <w:rPr>
          <w:rFonts w:ascii="Arial" w:hAnsi="Arial" w:cs="Arial"/>
          <w:sz w:val="19"/>
          <w:szCs w:val="19"/>
          <w:lang w:eastAsia="es-CO"/>
        </w:rPr>
        <w:t>Parágrafo</w:t>
      </w:r>
      <w:proofErr w:type="gramEnd"/>
      <w:r w:rsidRPr="0006220A">
        <w:rPr>
          <w:rFonts w:ascii="Arial" w:hAnsi="Arial" w:cs="Arial"/>
          <w:sz w:val="19"/>
          <w:szCs w:val="19"/>
          <w:lang w:eastAsia="es-CO"/>
        </w:rPr>
        <w:t>.</w:t>
      </w:r>
      <w:r w:rsidRPr="0006220A">
        <w:rPr>
          <w:rFonts w:ascii="Arial" w:hAnsi="Arial" w:cs="Arial"/>
          <w:b/>
          <w:bCs/>
          <w:sz w:val="19"/>
          <w:szCs w:val="19"/>
          <w:lang w:eastAsia="es-CO"/>
        </w:rPr>
        <w:t> </w:t>
      </w:r>
      <w:r w:rsidRPr="0006220A">
        <w:rPr>
          <w:rFonts w:ascii="Arial" w:hAnsi="Arial" w:cs="Arial"/>
          <w:sz w:val="19"/>
          <w:szCs w:val="19"/>
          <w:lang w:eastAsia="es-CO"/>
        </w:rPr>
        <w:t xml:space="preserve">La condición de Mujer Cabeza de Familia y la cesación de </w:t>
      </w:r>
      <w:proofErr w:type="gramStart"/>
      <w:r w:rsidRPr="0006220A">
        <w:rPr>
          <w:rFonts w:ascii="Arial" w:hAnsi="Arial" w:cs="Arial"/>
          <w:sz w:val="19"/>
          <w:szCs w:val="19"/>
          <w:lang w:eastAsia="es-CO"/>
        </w:rPr>
        <w:t>la misma</w:t>
      </w:r>
      <w:proofErr w:type="gramEnd"/>
      <w:r w:rsidRPr="0006220A">
        <w:rPr>
          <w:rFonts w:ascii="Arial" w:hAnsi="Arial" w:cs="Arial"/>
          <w:sz w:val="19"/>
          <w:szCs w:val="19"/>
          <w:lang w:eastAsia="es-CO"/>
        </w:rPr>
        <w:t>, desde el momento en que ocurra el respectivo evento, deberá ser declarada ante notario por cada una de ellas, expresando las circunstancias básicas del respectivo caso y sin que por este concepto se causen emolumentos notariales a su cargo</w:t>
      </w:r>
      <w:r w:rsidRPr="005E022D">
        <w:rPr>
          <w:rFonts w:ascii="Arial" w:hAnsi="Arial" w:cs="Arial"/>
          <w:sz w:val="19"/>
          <w:szCs w:val="19"/>
          <w:lang w:eastAsia="es-CO"/>
        </w:rPr>
        <w:t>»</w:t>
      </w:r>
      <w:r w:rsidRPr="0006220A">
        <w:rPr>
          <w:rFonts w:ascii="Arial" w:hAnsi="Arial" w:cs="Arial"/>
          <w:sz w:val="19"/>
          <w:szCs w:val="19"/>
          <w:lang w:eastAsia="es-CO"/>
        </w:rPr>
        <w:t>. </w:t>
      </w:r>
      <w:r w:rsidRPr="005E022D">
        <w:rPr>
          <w:rFonts w:ascii="Arial" w:hAnsi="Arial" w:cs="Arial"/>
          <w:sz w:val="19"/>
          <w:szCs w:val="19"/>
        </w:rPr>
        <w:t xml:space="preserve"> </w:t>
      </w:r>
    </w:p>
  </w:footnote>
  <w:footnote w:id="13">
    <w:p w14:paraId="49407CD8" w14:textId="00A76043" w:rsidR="00BC3099" w:rsidRPr="00DC74A5" w:rsidRDefault="00BC3099" w:rsidP="00DC74A5">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eastAsia="Calibri" w:hAnsi="Arial" w:cs="Arial"/>
          <w:sz w:val="19"/>
          <w:szCs w:val="19"/>
          <w:lang w:val="es-ES_tradnl"/>
        </w:rPr>
        <w:t>Como lo ha indicado la Corte Constitucional, «[…] la condición de padre o madre cabeza de familia se acredita cuando la persona (i) tiene la responsabilidad permanente de hijos menores o personas incapacitadas para trabajar, (ii) no cuenta con la ayuda de otros miembros de la familia y</w:t>
      </w:r>
      <w:r w:rsidRPr="005E022D">
        <w:rPr>
          <w:rFonts w:ascii="Arial" w:eastAsia="Calibri" w:hAnsi="Arial" w:cs="Arial"/>
          <w:sz w:val="19"/>
          <w:szCs w:val="19"/>
          <w:lang w:val="es-ES_tradnl"/>
        </w:rPr>
        <w:t xml:space="preserve"> (iii)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 </w:t>
      </w:r>
      <w:r w:rsidRPr="005E022D">
        <w:rPr>
          <w:rFonts w:ascii="Arial" w:hAnsi="Arial" w:cs="Arial"/>
          <w:sz w:val="19"/>
          <w:szCs w:val="19"/>
          <w:lang w:val="es-ES"/>
        </w:rPr>
        <w:t>Sentencia T-003 de 2018. Magistrada Ponente: Cristina Pardo Schlesinger.</w:t>
      </w:r>
    </w:p>
  </w:footnote>
  <w:footnote w:id="14">
    <w:p w14:paraId="36ACAD0E" w14:textId="719774EB" w:rsidR="000F54A7" w:rsidRPr="005E022D" w:rsidRDefault="0006220A" w:rsidP="00DC74A5">
      <w:pPr>
        <w:pStyle w:val="Textonotapie"/>
        <w:ind w:firstLine="708"/>
        <w:jc w:val="both"/>
      </w:pPr>
      <w:r w:rsidRPr="005E022D">
        <w:rPr>
          <w:rStyle w:val="Refdenotaalpie"/>
          <w:rFonts w:ascii="Arial" w:hAnsi="Arial" w:cs="Arial"/>
          <w:sz w:val="19"/>
          <w:szCs w:val="19"/>
        </w:rPr>
        <w:footnoteRef/>
      </w:r>
      <w:r w:rsidR="0028140B" w:rsidRPr="005E022D">
        <w:rPr>
          <w:rFonts w:ascii="Arial" w:hAnsi="Arial" w:cs="Arial"/>
          <w:sz w:val="19"/>
          <w:szCs w:val="19"/>
        </w:rPr>
        <w:t xml:space="preserve"> Ley 1257 de 2008. «Artículo 21. Acreditación de las situaciones de violencia. Las situaciones de violencia que dan lugar a la atención de las mujeres, sus hijos e hijas, se acreditarán con la medida de protección expedida por la autoridad competente, sin que puedan exigirse requisitos adicionales».</w:t>
      </w:r>
      <w:r w:rsidR="0028140B" w:rsidRPr="005E022D">
        <w:t xml:space="preserve"> </w:t>
      </w:r>
      <w:r w:rsidRPr="005E022D">
        <w:t xml:space="preserve"> </w:t>
      </w:r>
    </w:p>
  </w:footnote>
  <w:footnote w:id="15">
    <w:p w14:paraId="1A989C83" w14:textId="15D7F12B" w:rsidR="00BC3099" w:rsidRPr="005E022D" w:rsidRDefault="00BC3099" w:rsidP="009E4101">
      <w:pPr>
        <w:pStyle w:val="Textonotapie"/>
        <w:ind w:firstLine="709"/>
        <w:jc w:val="both"/>
        <w:rPr>
          <w:rFonts w:ascii="Arial" w:hAnsi="Arial" w:cs="Arial"/>
          <w:sz w:val="19"/>
          <w:szCs w:val="19"/>
          <w:lang w:val="es-CO"/>
        </w:rPr>
      </w:pPr>
      <w:r w:rsidRPr="005E022D">
        <w:rPr>
          <w:rStyle w:val="Refdenotaalpie"/>
          <w:rFonts w:ascii="Arial" w:hAnsi="Arial" w:cs="Arial"/>
          <w:sz w:val="19"/>
          <w:szCs w:val="19"/>
        </w:rPr>
        <w:footnoteRef/>
      </w:r>
      <w:r w:rsidRPr="005E022D">
        <w:rPr>
          <w:rFonts w:ascii="Arial" w:hAnsi="Arial" w:cs="Arial"/>
          <w:sz w:val="19"/>
          <w:szCs w:val="19"/>
        </w:rPr>
        <w:t xml:space="preserve">  </w:t>
      </w:r>
      <w:r w:rsidRPr="005E022D">
        <w:rPr>
          <w:rFonts w:ascii="Arial" w:eastAsia="Calibri" w:hAnsi="Arial" w:cs="Arial"/>
          <w:sz w:val="19"/>
          <w:szCs w:val="19"/>
          <w:lang w:val="es-ES_tradnl"/>
        </w:rPr>
        <w:t>La Corte Constitucional</w:t>
      </w:r>
      <w:r w:rsidR="00B80364" w:rsidRPr="005E022D">
        <w:rPr>
          <w:rFonts w:ascii="Arial" w:eastAsia="Calibri" w:hAnsi="Arial" w:cs="Arial"/>
          <w:sz w:val="19"/>
          <w:szCs w:val="19"/>
          <w:lang w:val="es-ES_tradnl"/>
        </w:rPr>
        <w:t xml:space="preserve"> ha establecido que la violencia intrafamiliar </w:t>
      </w:r>
      <w:r w:rsidRPr="005E022D">
        <w:rPr>
          <w:rFonts w:ascii="Arial" w:eastAsia="Calibri" w:hAnsi="Arial" w:cs="Arial"/>
          <w:sz w:val="19"/>
          <w:szCs w:val="19"/>
          <w:lang w:val="es-ES_tradnl"/>
        </w:rPr>
        <w:t xml:space="preserve">se define como «[…] aquella que se propicia por el daño físico, emocional, sexual, psicológico o económico que se causa entre los miembros de la familia y al interior de la unidad doméstica. Esta se puede dar por acción u omisión de cualquier miembro de la familia». </w:t>
      </w:r>
      <w:r w:rsidRPr="005E022D">
        <w:rPr>
          <w:rFonts w:ascii="Arial" w:hAnsi="Arial" w:cs="Arial"/>
          <w:sz w:val="19"/>
          <w:szCs w:val="19"/>
          <w:lang w:val="es-ES"/>
        </w:rPr>
        <w:t>Sentencia T-967 de 2014. Magistrada Ponente: Gloria Stella Ortiz Delgado.</w:t>
      </w:r>
    </w:p>
  </w:footnote>
  <w:footnote w:id="16">
    <w:p w14:paraId="1BB84D39" w14:textId="7D239176" w:rsidR="008A41F8" w:rsidRPr="005E022D" w:rsidRDefault="008A41F8" w:rsidP="009E4101">
      <w:pPr>
        <w:pStyle w:val="Textonotapie"/>
        <w:ind w:firstLine="709"/>
        <w:jc w:val="both"/>
        <w:rPr>
          <w:rFonts w:ascii="Arial" w:hAnsi="Arial" w:cs="Arial"/>
          <w:sz w:val="19"/>
          <w:szCs w:val="19"/>
          <w:lang w:val="es-ES"/>
        </w:rPr>
      </w:pPr>
      <w:r w:rsidRPr="005E022D">
        <w:rPr>
          <w:rStyle w:val="Refdenotaalpie"/>
          <w:rFonts w:ascii="Arial" w:hAnsi="Arial" w:cs="Arial"/>
          <w:sz w:val="19"/>
          <w:szCs w:val="19"/>
        </w:rPr>
        <w:footnoteRef/>
      </w:r>
      <w:r w:rsidRPr="005E022D">
        <w:rPr>
          <w:rFonts w:ascii="Arial" w:hAnsi="Arial" w:cs="Arial"/>
          <w:sz w:val="19"/>
          <w:szCs w:val="19"/>
        </w:rPr>
        <w:t xml:space="preserve"> </w:t>
      </w:r>
      <w:r w:rsidR="002F2778" w:rsidRPr="005E022D">
        <w:rPr>
          <w:rFonts w:ascii="Arial" w:hAnsi="Arial" w:cs="Arial"/>
          <w:sz w:val="19"/>
          <w:szCs w:val="19"/>
          <w:lang w:val="es-ES"/>
        </w:rPr>
        <w:t>El D</w:t>
      </w:r>
      <w:r w:rsidRPr="005E022D">
        <w:rPr>
          <w:rFonts w:ascii="Arial" w:hAnsi="Arial" w:cs="Arial"/>
          <w:sz w:val="19"/>
          <w:szCs w:val="19"/>
          <w:lang w:val="es-ES"/>
        </w:rPr>
        <w:t>iccionario de la Lengua Española</w:t>
      </w:r>
      <w:r w:rsidR="00814F6B" w:rsidRPr="005E022D">
        <w:rPr>
          <w:rFonts w:ascii="Arial" w:hAnsi="Arial" w:cs="Arial"/>
          <w:sz w:val="19"/>
          <w:szCs w:val="19"/>
          <w:lang w:val="es-ES"/>
        </w:rPr>
        <w:t xml:space="preserve">. </w:t>
      </w:r>
      <w:r w:rsidR="002F2778" w:rsidRPr="005E022D">
        <w:rPr>
          <w:rFonts w:ascii="Arial" w:hAnsi="Arial" w:cs="Arial"/>
          <w:sz w:val="19"/>
          <w:szCs w:val="19"/>
          <w:lang w:val="es-ES"/>
        </w:rPr>
        <w:t>Consultado</w:t>
      </w:r>
      <w:r w:rsidRPr="005E022D">
        <w:rPr>
          <w:rFonts w:ascii="Arial" w:hAnsi="Arial" w:cs="Arial"/>
          <w:sz w:val="19"/>
          <w:szCs w:val="19"/>
          <w:lang w:val="es-ES"/>
        </w:rPr>
        <w:t xml:space="preserve"> </w:t>
      </w:r>
      <w:r w:rsidR="002F2778" w:rsidRPr="005E022D">
        <w:rPr>
          <w:rFonts w:ascii="Arial" w:hAnsi="Arial" w:cs="Arial"/>
          <w:sz w:val="19"/>
          <w:szCs w:val="19"/>
          <w:lang w:val="es-ES"/>
        </w:rPr>
        <w:t>e</w:t>
      </w:r>
      <w:r w:rsidRPr="005E022D">
        <w:rPr>
          <w:rFonts w:ascii="Arial" w:hAnsi="Arial" w:cs="Arial"/>
          <w:sz w:val="19"/>
          <w:szCs w:val="19"/>
          <w:lang w:val="es-ES"/>
        </w:rPr>
        <w:t>n: https://dle.rae.es/participar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856481B"/>
    <w:multiLevelType w:val="hybridMultilevel"/>
    <w:tmpl w:val="8EE2E210"/>
    <w:lvl w:ilvl="0" w:tplc="ACC81F8C">
      <w:start w:val="1"/>
      <w:numFmt w:val="upperLetter"/>
      <w:lvlText w:val="%1."/>
      <w:lvlJc w:val="left"/>
      <w:pPr>
        <w:ind w:left="1129" w:hanging="36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BA6FC6"/>
    <w:multiLevelType w:val="hybridMultilevel"/>
    <w:tmpl w:val="5E7AF7EC"/>
    <w:lvl w:ilvl="0" w:tplc="59B26404">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330A81"/>
    <w:multiLevelType w:val="hybridMultilevel"/>
    <w:tmpl w:val="6442A38A"/>
    <w:lvl w:ilvl="0" w:tplc="3E8C0A7A">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14014522">
    <w:abstractNumId w:val="11"/>
  </w:num>
  <w:num w:numId="2" w16cid:durableId="811363461">
    <w:abstractNumId w:val="9"/>
  </w:num>
  <w:num w:numId="3" w16cid:durableId="404495675">
    <w:abstractNumId w:val="15"/>
  </w:num>
  <w:num w:numId="4" w16cid:durableId="1450051704">
    <w:abstractNumId w:val="18"/>
  </w:num>
  <w:num w:numId="5" w16cid:durableId="2034455142">
    <w:abstractNumId w:val="22"/>
  </w:num>
  <w:num w:numId="6" w16cid:durableId="143046246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585631">
    <w:abstractNumId w:val="20"/>
  </w:num>
  <w:num w:numId="8" w16cid:durableId="665204699">
    <w:abstractNumId w:val="0"/>
  </w:num>
  <w:num w:numId="9" w16cid:durableId="962884068">
    <w:abstractNumId w:val="4"/>
  </w:num>
  <w:num w:numId="10" w16cid:durableId="153491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8509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9982091">
    <w:abstractNumId w:val="10"/>
  </w:num>
  <w:num w:numId="13" w16cid:durableId="655378267">
    <w:abstractNumId w:val="14"/>
  </w:num>
  <w:num w:numId="14" w16cid:durableId="1145003360">
    <w:abstractNumId w:val="7"/>
  </w:num>
  <w:num w:numId="15" w16cid:durableId="133367766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151481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0170824">
    <w:abstractNumId w:val="24"/>
  </w:num>
  <w:num w:numId="18" w16cid:durableId="548306513">
    <w:abstractNumId w:val="16"/>
  </w:num>
  <w:num w:numId="19" w16cid:durableId="1570309869">
    <w:abstractNumId w:val="2"/>
  </w:num>
  <w:num w:numId="20" w16cid:durableId="2076125921">
    <w:abstractNumId w:val="25"/>
  </w:num>
  <w:num w:numId="21" w16cid:durableId="2003581717">
    <w:abstractNumId w:val="17"/>
  </w:num>
  <w:num w:numId="22" w16cid:durableId="97337414">
    <w:abstractNumId w:val="6"/>
  </w:num>
  <w:num w:numId="23" w16cid:durableId="635910351">
    <w:abstractNumId w:val="5"/>
  </w:num>
  <w:num w:numId="24" w16cid:durableId="1956475455">
    <w:abstractNumId w:val="23"/>
  </w:num>
  <w:num w:numId="25" w16cid:durableId="688213670">
    <w:abstractNumId w:val="19"/>
  </w:num>
  <w:num w:numId="26" w16cid:durableId="1834681295">
    <w:abstractNumId w:val="3"/>
  </w:num>
  <w:num w:numId="27" w16cid:durableId="641927699">
    <w:abstractNumId w:val="12"/>
  </w:num>
  <w:num w:numId="28" w16cid:durableId="1408502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877"/>
    <w:rsid w:val="000008C5"/>
    <w:rsid w:val="00000C4D"/>
    <w:rsid w:val="0000162E"/>
    <w:rsid w:val="00001A1C"/>
    <w:rsid w:val="00001FFD"/>
    <w:rsid w:val="00002027"/>
    <w:rsid w:val="000020FE"/>
    <w:rsid w:val="00002173"/>
    <w:rsid w:val="0000252E"/>
    <w:rsid w:val="000031A8"/>
    <w:rsid w:val="00003246"/>
    <w:rsid w:val="00003C5C"/>
    <w:rsid w:val="00003D39"/>
    <w:rsid w:val="000040D7"/>
    <w:rsid w:val="00004556"/>
    <w:rsid w:val="000051AF"/>
    <w:rsid w:val="000059D3"/>
    <w:rsid w:val="00005B6D"/>
    <w:rsid w:val="0000600A"/>
    <w:rsid w:val="00006081"/>
    <w:rsid w:val="00006187"/>
    <w:rsid w:val="00007571"/>
    <w:rsid w:val="0000771A"/>
    <w:rsid w:val="00007750"/>
    <w:rsid w:val="000077FD"/>
    <w:rsid w:val="00007E37"/>
    <w:rsid w:val="00010C40"/>
    <w:rsid w:val="000112B4"/>
    <w:rsid w:val="0001179A"/>
    <w:rsid w:val="00011DCC"/>
    <w:rsid w:val="00012532"/>
    <w:rsid w:val="00012B9E"/>
    <w:rsid w:val="00012F37"/>
    <w:rsid w:val="00012FBA"/>
    <w:rsid w:val="00013BBA"/>
    <w:rsid w:val="00013C6B"/>
    <w:rsid w:val="0001406B"/>
    <w:rsid w:val="000143F8"/>
    <w:rsid w:val="00014624"/>
    <w:rsid w:val="00014D06"/>
    <w:rsid w:val="00015B44"/>
    <w:rsid w:val="0001605C"/>
    <w:rsid w:val="00016081"/>
    <w:rsid w:val="000165AC"/>
    <w:rsid w:val="00016651"/>
    <w:rsid w:val="000171A2"/>
    <w:rsid w:val="00017B65"/>
    <w:rsid w:val="00020158"/>
    <w:rsid w:val="000207E0"/>
    <w:rsid w:val="000209E2"/>
    <w:rsid w:val="00020F8F"/>
    <w:rsid w:val="00021A95"/>
    <w:rsid w:val="00021C8A"/>
    <w:rsid w:val="00022327"/>
    <w:rsid w:val="00022329"/>
    <w:rsid w:val="0002256F"/>
    <w:rsid w:val="00023DAE"/>
    <w:rsid w:val="00024896"/>
    <w:rsid w:val="00024F91"/>
    <w:rsid w:val="000255FA"/>
    <w:rsid w:val="0002583A"/>
    <w:rsid w:val="00025D0A"/>
    <w:rsid w:val="000263F0"/>
    <w:rsid w:val="00026407"/>
    <w:rsid w:val="00026608"/>
    <w:rsid w:val="00027787"/>
    <w:rsid w:val="000278D2"/>
    <w:rsid w:val="00027EC0"/>
    <w:rsid w:val="0003065D"/>
    <w:rsid w:val="00030DFB"/>
    <w:rsid w:val="00031364"/>
    <w:rsid w:val="000315E1"/>
    <w:rsid w:val="0003236E"/>
    <w:rsid w:val="0003339A"/>
    <w:rsid w:val="000341F2"/>
    <w:rsid w:val="00034245"/>
    <w:rsid w:val="00035046"/>
    <w:rsid w:val="000351F2"/>
    <w:rsid w:val="00035768"/>
    <w:rsid w:val="0003631E"/>
    <w:rsid w:val="00036E03"/>
    <w:rsid w:val="00037BC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4D5"/>
    <w:rsid w:val="0004477A"/>
    <w:rsid w:val="000449D4"/>
    <w:rsid w:val="00045388"/>
    <w:rsid w:val="0004600D"/>
    <w:rsid w:val="000463B5"/>
    <w:rsid w:val="00046717"/>
    <w:rsid w:val="00046A63"/>
    <w:rsid w:val="00046C09"/>
    <w:rsid w:val="0004716A"/>
    <w:rsid w:val="00047385"/>
    <w:rsid w:val="000473E8"/>
    <w:rsid w:val="000504DE"/>
    <w:rsid w:val="0005072D"/>
    <w:rsid w:val="00051074"/>
    <w:rsid w:val="000526F0"/>
    <w:rsid w:val="0005273D"/>
    <w:rsid w:val="00052B79"/>
    <w:rsid w:val="00052E4B"/>
    <w:rsid w:val="00052EA0"/>
    <w:rsid w:val="000536A7"/>
    <w:rsid w:val="000536E3"/>
    <w:rsid w:val="00053896"/>
    <w:rsid w:val="00053A00"/>
    <w:rsid w:val="00054053"/>
    <w:rsid w:val="0005474D"/>
    <w:rsid w:val="00054795"/>
    <w:rsid w:val="00055CB9"/>
    <w:rsid w:val="0005694A"/>
    <w:rsid w:val="00056F66"/>
    <w:rsid w:val="0005702F"/>
    <w:rsid w:val="00057B44"/>
    <w:rsid w:val="00060667"/>
    <w:rsid w:val="00061010"/>
    <w:rsid w:val="00061D06"/>
    <w:rsid w:val="0006220A"/>
    <w:rsid w:val="00062CDD"/>
    <w:rsid w:val="00062DB3"/>
    <w:rsid w:val="00063472"/>
    <w:rsid w:val="000640AF"/>
    <w:rsid w:val="00064940"/>
    <w:rsid w:val="00064C53"/>
    <w:rsid w:val="00064CAE"/>
    <w:rsid w:val="00064DB7"/>
    <w:rsid w:val="00064FA7"/>
    <w:rsid w:val="00065011"/>
    <w:rsid w:val="00065195"/>
    <w:rsid w:val="0006536C"/>
    <w:rsid w:val="0006626E"/>
    <w:rsid w:val="00066E7C"/>
    <w:rsid w:val="00067A6D"/>
    <w:rsid w:val="00067DED"/>
    <w:rsid w:val="00070AF1"/>
    <w:rsid w:val="000714DE"/>
    <w:rsid w:val="0007254F"/>
    <w:rsid w:val="0007357C"/>
    <w:rsid w:val="00073797"/>
    <w:rsid w:val="00073C30"/>
    <w:rsid w:val="00074305"/>
    <w:rsid w:val="000744D0"/>
    <w:rsid w:val="00074B2A"/>
    <w:rsid w:val="00074EEE"/>
    <w:rsid w:val="000753D5"/>
    <w:rsid w:val="00075B3E"/>
    <w:rsid w:val="00076456"/>
    <w:rsid w:val="000768F2"/>
    <w:rsid w:val="0007779B"/>
    <w:rsid w:val="000777E7"/>
    <w:rsid w:val="000778A8"/>
    <w:rsid w:val="0007790A"/>
    <w:rsid w:val="000779F2"/>
    <w:rsid w:val="0008017B"/>
    <w:rsid w:val="00080ACD"/>
    <w:rsid w:val="00081144"/>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021"/>
    <w:rsid w:val="00087A64"/>
    <w:rsid w:val="0009082C"/>
    <w:rsid w:val="00090C39"/>
    <w:rsid w:val="000914D6"/>
    <w:rsid w:val="00091569"/>
    <w:rsid w:val="00092711"/>
    <w:rsid w:val="00092CDB"/>
    <w:rsid w:val="00092DCA"/>
    <w:rsid w:val="00093851"/>
    <w:rsid w:val="000942EB"/>
    <w:rsid w:val="00095B70"/>
    <w:rsid w:val="0009617E"/>
    <w:rsid w:val="0009628D"/>
    <w:rsid w:val="0009670F"/>
    <w:rsid w:val="000970E4"/>
    <w:rsid w:val="00097660"/>
    <w:rsid w:val="000979CF"/>
    <w:rsid w:val="000A03C8"/>
    <w:rsid w:val="000A05F2"/>
    <w:rsid w:val="000A06C4"/>
    <w:rsid w:val="000A0861"/>
    <w:rsid w:val="000A0EC4"/>
    <w:rsid w:val="000A0ED1"/>
    <w:rsid w:val="000A12DB"/>
    <w:rsid w:val="000A17C8"/>
    <w:rsid w:val="000A1938"/>
    <w:rsid w:val="000A1B74"/>
    <w:rsid w:val="000A1C16"/>
    <w:rsid w:val="000A20D7"/>
    <w:rsid w:val="000A2128"/>
    <w:rsid w:val="000A362F"/>
    <w:rsid w:val="000A38B9"/>
    <w:rsid w:val="000A3AB7"/>
    <w:rsid w:val="000A3B49"/>
    <w:rsid w:val="000A46FE"/>
    <w:rsid w:val="000A47E6"/>
    <w:rsid w:val="000A52C0"/>
    <w:rsid w:val="000A5AAF"/>
    <w:rsid w:val="000A5ACE"/>
    <w:rsid w:val="000A5F97"/>
    <w:rsid w:val="000A648E"/>
    <w:rsid w:val="000A706F"/>
    <w:rsid w:val="000A7268"/>
    <w:rsid w:val="000A73BB"/>
    <w:rsid w:val="000A73E8"/>
    <w:rsid w:val="000A77BE"/>
    <w:rsid w:val="000A7EF4"/>
    <w:rsid w:val="000B0A15"/>
    <w:rsid w:val="000B103F"/>
    <w:rsid w:val="000B1437"/>
    <w:rsid w:val="000B1470"/>
    <w:rsid w:val="000B244D"/>
    <w:rsid w:val="000B2A1A"/>
    <w:rsid w:val="000B2B86"/>
    <w:rsid w:val="000B3051"/>
    <w:rsid w:val="000B38F1"/>
    <w:rsid w:val="000B419B"/>
    <w:rsid w:val="000B5781"/>
    <w:rsid w:val="000B5925"/>
    <w:rsid w:val="000B5CB1"/>
    <w:rsid w:val="000B6549"/>
    <w:rsid w:val="000B75F4"/>
    <w:rsid w:val="000C0185"/>
    <w:rsid w:val="000C0F81"/>
    <w:rsid w:val="000C128D"/>
    <w:rsid w:val="000C1645"/>
    <w:rsid w:val="000C17A3"/>
    <w:rsid w:val="000C1D4B"/>
    <w:rsid w:val="000C2DC4"/>
    <w:rsid w:val="000C2E77"/>
    <w:rsid w:val="000C3260"/>
    <w:rsid w:val="000C3B77"/>
    <w:rsid w:val="000C3F6D"/>
    <w:rsid w:val="000C4F49"/>
    <w:rsid w:val="000C57E4"/>
    <w:rsid w:val="000C5861"/>
    <w:rsid w:val="000C5BDE"/>
    <w:rsid w:val="000C639D"/>
    <w:rsid w:val="000C6C31"/>
    <w:rsid w:val="000C6DBC"/>
    <w:rsid w:val="000C6F79"/>
    <w:rsid w:val="000C73CA"/>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58EE"/>
    <w:rsid w:val="000D5A30"/>
    <w:rsid w:val="000D6288"/>
    <w:rsid w:val="000D69A5"/>
    <w:rsid w:val="000D728B"/>
    <w:rsid w:val="000D7541"/>
    <w:rsid w:val="000D75E1"/>
    <w:rsid w:val="000E1709"/>
    <w:rsid w:val="000E22CF"/>
    <w:rsid w:val="000E2977"/>
    <w:rsid w:val="000E2CC0"/>
    <w:rsid w:val="000E30AC"/>
    <w:rsid w:val="000E33C9"/>
    <w:rsid w:val="000E3B46"/>
    <w:rsid w:val="000E3DFD"/>
    <w:rsid w:val="000E3E11"/>
    <w:rsid w:val="000E44AC"/>
    <w:rsid w:val="000E4596"/>
    <w:rsid w:val="000E472F"/>
    <w:rsid w:val="000E4B94"/>
    <w:rsid w:val="000E4D50"/>
    <w:rsid w:val="000E5768"/>
    <w:rsid w:val="000E5843"/>
    <w:rsid w:val="000E6139"/>
    <w:rsid w:val="000E63B7"/>
    <w:rsid w:val="000E653C"/>
    <w:rsid w:val="000E6BE1"/>
    <w:rsid w:val="000E7E0B"/>
    <w:rsid w:val="000F0136"/>
    <w:rsid w:val="000F01D7"/>
    <w:rsid w:val="000F078A"/>
    <w:rsid w:val="000F122D"/>
    <w:rsid w:val="000F1450"/>
    <w:rsid w:val="000F14E8"/>
    <w:rsid w:val="000F1ACA"/>
    <w:rsid w:val="000F1BBD"/>
    <w:rsid w:val="000F290F"/>
    <w:rsid w:val="000F4329"/>
    <w:rsid w:val="000F4403"/>
    <w:rsid w:val="000F480B"/>
    <w:rsid w:val="000F4E17"/>
    <w:rsid w:val="000F54A7"/>
    <w:rsid w:val="000F557B"/>
    <w:rsid w:val="000F5615"/>
    <w:rsid w:val="000F6578"/>
    <w:rsid w:val="000F6C32"/>
    <w:rsid w:val="000F6F92"/>
    <w:rsid w:val="000F7E8F"/>
    <w:rsid w:val="000F7FBB"/>
    <w:rsid w:val="001000FB"/>
    <w:rsid w:val="001001D1"/>
    <w:rsid w:val="00100A2C"/>
    <w:rsid w:val="00100A9E"/>
    <w:rsid w:val="00100F6A"/>
    <w:rsid w:val="00102605"/>
    <w:rsid w:val="00102686"/>
    <w:rsid w:val="00102745"/>
    <w:rsid w:val="00103795"/>
    <w:rsid w:val="00103839"/>
    <w:rsid w:val="00103915"/>
    <w:rsid w:val="001039AA"/>
    <w:rsid w:val="00103EA0"/>
    <w:rsid w:val="00104149"/>
    <w:rsid w:val="00104F1C"/>
    <w:rsid w:val="0010511F"/>
    <w:rsid w:val="001051E5"/>
    <w:rsid w:val="00105A74"/>
    <w:rsid w:val="00105ACB"/>
    <w:rsid w:val="00105AEF"/>
    <w:rsid w:val="00106259"/>
    <w:rsid w:val="001068EB"/>
    <w:rsid w:val="001078CE"/>
    <w:rsid w:val="0010797F"/>
    <w:rsid w:val="00107AE5"/>
    <w:rsid w:val="001109F9"/>
    <w:rsid w:val="00110F61"/>
    <w:rsid w:val="001111BD"/>
    <w:rsid w:val="001115DF"/>
    <w:rsid w:val="0011165A"/>
    <w:rsid w:val="00111B2B"/>
    <w:rsid w:val="0011273F"/>
    <w:rsid w:val="00112774"/>
    <w:rsid w:val="00112B2E"/>
    <w:rsid w:val="00113003"/>
    <w:rsid w:val="00113062"/>
    <w:rsid w:val="0011359A"/>
    <w:rsid w:val="00113705"/>
    <w:rsid w:val="00113975"/>
    <w:rsid w:val="00113CFC"/>
    <w:rsid w:val="00113FEA"/>
    <w:rsid w:val="00114703"/>
    <w:rsid w:val="00114A22"/>
    <w:rsid w:val="00114CA2"/>
    <w:rsid w:val="00114E9D"/>
    <w:rsid w:val="0011507B"/>
    <w:rsid w:val="001156A7"/>
    <w:rsid w:val="00115C37"/>
    <w:rsid w:val="00116328"/>
    <w:rsid w:val="001163CF"/>
    <w:rsid w:val="00116CE7"/>
    <w:rsid w:val="00116EC5"/>
    <w:rsid w:val="001174C9"/>
    <w:rsid w:val="00117762"/>
    <w:rsid w:val="001177FE"/>
    <w:rsid w:val="00117E00"/>
    <w:rsid w:val="00117E69"/>
    <w:rsid w:val="00121103"/>
    <w:rsid w:val="001212C3"/>
    <w:rsid w:val="00121B78"/>
    <w:rsid w:val="00121BAB"/>
    <w:rsid w:val="00121E3C"/>
    <w:rsid w:val="00122B23"/>
    <w:rsid w:val="00122B7E"/>
    <w:rsid w:val="0012379C"/>
    <w:rsid w:val="00123E27"/>
    <w:rsid w:val="00123FB5"/>
    <w:rsid w:val="0012400F"/>
    <w:rsid w:val="001249DC"/>
    <w:rsid w:val="00124D7B"/>
    <w:rsid w:val="0012572D"/>
    <w:rsid w:val="00125BED"/>
    <w:rsid w:val="00125C59"/>
    <w:rsid w:val="00125D4F"/>
    <w:rsid w:val="001269E9"/>
    <w:rsid w:val="00127004"/>
    <w:rsid w:val="0012770B"/>
    <w:rsid w:val="00127AF2"/>
    <w:rsid w:val="00127EDC"/>
    <w:rsid w:val="00127F42"/>
    <w:rsid w:val="00127F6D"/>
    <w:rsid w:val="00130355"/>
    <w:rsid w:val="00130365"/>
    <w:rsid w:val="001304E5"/>
    <w:rsid w:val="00131132"/>
    <w:rsid w:val="00131B5A"/>
    <w:rsid w:val="001325B5"/>
    <w:rsid w:val="001329BC"/>
    <w:rsid w:val="00132C30"/>
    <w:rsid w:val="00132EFD"/>
    <w:rsid w:val="00133AED"/>
    <w:rsid w:val="0013490B"/>
    <w:rsid w:val="00134BCD"/>
    <w:rsid w:val="00134E09"/>
    <w:rsid w:val="001350AB"/>
    <w:rsid w:val="0013546F"/>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48C5"/>
    <w:rsid w:val="0014502F"/>
    <w:rsid w:val="00145282"/>
    <w:rsid w:val="001453B0"/>
    <w:rsid w:val="001454D9"/>
    <w:rsid w:val="00145D8E"/>
    <w:rsid w:val="00146083"/>
    <w:rsid w:val="001462F7"/>
    <w:rsid w:val="001471AB"/>
    <w:rsid w:val="00147B52"/>
    <w:rsid w:val="00147F35"/>
    <w:rsid w:val="00150005"/>
    <w:rsid w:val="00151520"/>
    <w:rsid w:val="00151AEB"/>
    <w:rsid w:val="00151B99"/>
    <w:rsid w:val="00151E79"/>
    <w:rsid w:val="001521A5"/>
    <w:rsid w:val="001521B2"/>
    <w:rsid w:val="00152EDD"/>
    <w:rsid w:val="00153491"/>
    <w:rsid w:val="0015361C"/>
    <w:rsid w:val="0015372F"/>
    <w:rsid w:val="00153BFB"/>
    <w:rsid w:val="0015407E"/>
    <w:rsid w:val="001542D7"/>
    <w:rsid w:val="0015448E"/>
    <w:rsid w:val="00154A6F"/>
    <w:rsid w:val="00154B68"/>
    <w:rsid w:val="001551CE"/>
    <w:rsid w:val="00155BED"/>
    <w:rsid w:val="00155D08"/>
    <w:rsid w:val="00155EFE"/>
    <w:rsid w:val="0015623B"/>
    <w:rsid w:val="00156BE5"/>
    <w:rsid w:val="00157232"/>
    <w:rsid w:val="00160401"/>
    <w:rsid w:val="00160838"/>
    <w:rsid w:val="00160C01"/>
    <w:rsid w:val="00160D4E"/>
    <w:rsid w:val="00161DDA"/>
    <w:rsid w:val="00161E62"/>
    <w:rsid w:val="00161F1C"/>
    <w:rsid w:val="0016200B"/>
    <w:rsid w:val="0016204B"/>
    <w:rsid w:val="00163D7A"/>
    <w:rsid w:val="00163E11"/>
    <w:rsid w:val="00164281"/>
    <w:rsid w:val="0016484F"/>
    <w:rsid w:val="00165703"/>
    <w:rsid w:val="00165BBD"/>
    <w:rsid w:val="00165E5C"/>
    <w:rsid w:val="00166204"/>
    <w:rsid w:val="00166797"/>
    <w:rsid w:val="0016685F"/>
    <w:rsid w:val="0016712F"/>
    <w:rsid w:val="00167503"/>
    <w:rsid w:val="001676A9"/>
    <w:rsid w:val="00167A15"/>
    <w:rsid w:val="00167A50"/>
    <w:rsid w:val="00167D1A"/>
    <w:rsid w:val="00167DF5"/>
    <w:rsid w:val="00170001"/>
    <w:rsid w:val="0017020C"/>
    <w:rsid w:val="001703CC"/>
    <w:rsid w:val="00170FB1"/>
    <w:rsid w:val="00172198"/>
    <w:rsid w:val="00172612"/>
    <w:rsid w:val="00172817"/>
    <w:rsid w:val="001734E3"/>
    <w:rsid w:val="001742BF"/>
    <w:rsid w:val="001742E1"/>
    <w:rsid w:val="00175E49"/>
    <w:rsid w:val="00176178"/>
    <w:rsid w:val="0017649F"/>
    <w:rsid w:val="0017655B"/>
    <w:rsid w:val="00177EAA"/>
    <w:rsid w:val="001805C1"/>
    <w:rsid w:val="00180A2E"/>
    <w:rsid w:val="0018100D"/>
    <w:rsid w:val="001813AF"/>
    <w:rsid w:val="00181D96"/>
    <w:rsid w:val="001826C9"/>
    <w:rsid w:val="001827F5"/>
    <w:rsid w:val="001829CD"/>
    <w:rsid w:val="00182B0B"/>
    <w:rsid w:val="00182C88"/>
    <w:rsid w:val="00182F01"/>
    <w:rsid w:val="00184219"/>
    <w:rsid w:val="0018466C"/>
    <w:rsid w:val="00184F27"/>
    <w:rsid w:val="00185167"/>
    <w:rsid w:val="0018519B"/>
    <w:rsid w:val="00185966"/>
    <w:rsid w:val="00185A2D"/>
    <w:rsid w:val="00185AFE"/>
    <w:rsid w:val="00185E78"/>
    <w:rsid w:val="00187177"/>
    <w:rsid w:val="00187ABD"/>
    <w:rsid w:val="001904E3"/>
    <w:rsid w:val="001905DE"/>
    <w:rsid w:val="0019087A"/>
    <w:rsid w:val="00191C5A"/>
    <w:rsid w:val="00191CEB"/>
    <w:rsid w:val="00191E63"/>
    <w:rsid w:val="00192D68"/>
    <w:rsid w:val="0019388B"/>
    <w:rsid w:val="00193ADE"/>
    <w:rsid w:val="00193B9A"/>
    <w:rsid w:val="001940ED"/>
    <w:rsid w:val="001946AE"/>
    <w:rsid w:val="001946D5"/>
    <w:rsid w:val="00194E8C"/>
    <w:rsid w:val="00195629"/>
    <w:rsid w:val="001958DE"/>
    <w:rsid w:val="001962EC"/>
    <w:rsid w:val="001963DD"/>
    <w:rsid w:val="001965DB"/>
    <w:rsid w:val="00196B33"/>
    <w:rsid w:val="00196C31"/>
    <w:rsid w:val="00196D01"/>
    <w:rsid w:val="00196DC9"/>
    <w:rsid w:val="00196E95"/>
    <w:rsid w:val="00197758"/>
    <w:rsid w:val="001A0160"/>
    <w:rsid w:val="001A0236"/>
    <w:rsid w:val="001A0915"/>
    <w:rsid w:val="001A0AF8"/>
    <w:rsid w:val="001A0E1B"/>
    <w:rsid w:val="001A1490"/>
    <w:rsid w:val="001A18D5"/>
    <w:rsid w:val="001A1A38"/>
    <w:rsid w:val="001A1BE0"/>
    <w:rsid w:val="001A1D4A"/>
    <w:rsid w:val="001A2A6E"/>
    <w:rsid w:val="001A3011"/>
    <w:rsid w:val="001A3078"/>
    <w:rsid w:val="001A3F54"/>
    <w:rsid w:val="001A4223"/>
    <w:rsid w:val="001A470D"/>
    <w:rsid w:val="001A4A9B"/>
    <w:rsid w:val="001A4B32"/>
    <w:rsid w:val="001A4DAF"/>
    <w:rsid w:val="001A54CD"/>
    <w:rsid w:val="001A66DF"/>
    <w:rsid w:val="001A67D0"/>
    <w:rsid w:val="001A6863"/>
    <w:rsid w:val="001A6F20"/>
    <w:rsid w:val="001A7591"/>
    <w:rsid w:val="001A75B1"/>
    <w:rsid w:val="001A7B06"/>
    <w:rsid w:val="001A7E6F"/>
    <w:rsid w:val="001B0366"/>
    <w:rsid w:val="001B0444"/>
    <w:rsid w:val="001B096B"/>
    <w:rsid w:val="001B0DD0"/>
    <w:rsid w:val="001B0F9F"/>
    <w:rsid w:val="001B123C"/>
    <w:rsid w:val="001B166D"/>
    <w:rsid w:val="001B1A0D"/>
    <w:rsid w:val="001B1BF1"/>
    <w:rsid w:val="001B21AC"/>
    <w:rsid w:val="001B2456"/>
    <w:rsid w:val="001B449C"/>
    <w:rsid w:val="001B4AA2"/>
    <w:rsid w:val="001B4ADE"/>
    <w:rsid w:val="001B5530"/>
    <w:rsid w:val="001B5DAE"/>
    <w:rsid w:val="001B5EF8"/>
    <w:rsid w:val="001B71E8"/>
    <w:rsid w:val="001C0296"/>
    <w:rsid w:val="001C033E"/>
    <w:rsid w:val="001C07C6"/>
    <w:rsid w:val="001C120D"/>
    <w:rsid w:val="001C16DA"/>
    <w:rsid w:val="001C19CD"/>
    <w:rsid w:val="001C22D5"/>
    <w:rsid w:val="001C2515"/>
    <w:rsid w:val="001C26FB"/>
    <w:rsid w:val="001C33C1"/>
    <w:rsid w:val="001C3859"/>
    <w:rsid w:val="001C3E30"/>
    <w:rsid w:val="001C3E5C"/>
    <w:rsid w:val="001C3FC3"/>
    <w:rsid w:val="001C4220"/>
    <w:rsid w:val="001C5072"/>
    <w:rsid w:val="001C5B2A"/>
    <w:rsid w:val="001C600B"/>
    <w:rsid w:val="001C6898"/>
    <w:rsid w:val="001C6A71"/>
    <w:rsid w:val="001C6DD8"/>
    <w:rsid w:val="001C76FA"/>
    <w:rsid w:val="001C79A4"/>
    <w:rsid w:val="001C7A34"/>
    <w:rsid w:val="001C7C7B"/>
    <w:rsid w:val="001D068D"/>
    <w:rsid w:val="001D12D1"/>
    <w:rsid w:val="001D15DF"/>
    <w:rsid w:val="001D2EEE"/>
    <w:rsid w:val="001D30F3"/>
    <w:rsid w:val="001D31A0"/>
    <w:rsid w:val="001D338E"/>
    <w:rsid w:val="001D4526"/>
    <w:rsid w:val="001D4562"/>
    <w:rsid w:val="001D476B"/>
    <w:rsid w:val="001D56E9"/>
    <w:rsid w:val="001D6944"/>
    <w:rsid w:val="001D69C6"/>
    <w:rsid w:val="001D6CD2"/>
    <w:rsid w:val="001D7343"/>
    <w:rsid w:val="001D7787"/>
    <w:rsid w:val="001D796A"/>
    <w:rsid w:val="001D7A84"/>
    <w:rsid w:val="001D7C79"/>
    <w:rsid w:val="001E003B"/>
    <w:rsid w:val="001E1C8E"/>
    <w:rsid w:val="001E1CC4"/>
    <w:rsid w:val="001E1D38"/>
    <w:rsid w:val="001E2473"/>
    <w:rsid w:val="001E27E5"/>
    <w:rsid w:val="001E28A0"/>
    <w:rsid w:val="001E3FFE"/>
    <w:rsid w:val="001E4258"/>
    <w:rsid w:val="001E5140"/>
    <w:rsid w:val="001E5316"/>
    <w:rsid w:val="001E549C"/>
    <w:rsid w:val="001E5D6A"/>
    <w:rsid w:val="001E6A94"/>
    <w:rsid w:val="001E6AEC"/>
    <w:rsid w:val="001E70FB"/>
    <w:rsid w:val="001E780A"/>
    <w:rsid w:val="001F052B"/>
    <w:rsid w:val="001F0806"/>
    <w:rsid w:val="001F0D15"/>
    <w:rsid w:val="001F0FA0"/>
    <w:rsid w:val="001F1090"/>
    <w:rsid w:val="001F10D9"/>
    <w:rsid w:val="001F1349"/>
    <w:rsid w:val="001F1863"/>
    <w:rsid w:val="001F2356"/>
    <w:rsid w:val="001F2674"/>
    <w:rsid w:val="001F29E8"/>
    <w:rsid w:val="001F2A68"/>
    <w:rsid w:val="001F2C47"/>
    <w:rsid w:val="001F417B"/>
    <w:rsid w:val="001F4773"/>
    <w:rsid w:val="001F5008"/>
    <w:rsid w:val="001F56AA"/>
    <w:rsid w:val="001F57EB"/>
    <w:rsid w:val="001F58AA"/>
    <w:rsid w:val="001F5A4E"/>
    <w:rsid w:val="001F5EF6"/>
    <w:rsid w:val="001F657F"/>
    <w:rsid w:val="001F6FB6"/>
    <w:rsid w:val="001F72BB"/>
    <w:rsid w:val="001F7978"/>
    <w:rsid w:val="001F7A0E"/>
    <w:rsid w:val="001F7A4B"/>
    <w:rsid w:val="00200014"/>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79B"/>
    <w:rsid w:val="0020697F"/>
    <w:rsid w:val="0020726E"/>
    <w:rsid w:val="00207389"/>
    <w:rsid w:val="00210ED1"/>
    <w:rsid w:val="002110EB"/>
    <w:rsid w:val="00211338"/>
    <w:rsid w:val="00211388"/>
    <w:rsid w:val="0021148C"/>
    <w:rsid w:val="00211694"/>
    <w:rsid w:val="002118CB"/>
    <w:rsid w:val="0021201A"/>
    <w:rsid w:val="00212545"/>
    <w:rsid w:val="002138FE"/>
    <w:rsid w:val="00213A1F"/>
    <w:rsid w:val="00213C63"/>
    <w:rsid w:val="00214111"/>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09BF"/>
    <w:rsid w:val="0022194E"/>
    <w:rsid w:val="00221A1D"/>
    <w:rsid w:val="002220B1"/>
    <w:rsid w:val="002221CE"/>
    <w:rsid w:val="00222BE8"/>
    <w:rsid w:val="00222DF6"/>
    <w:rsid w:val="00223102"/>
    <w:rsid w:val="002232CB"/>
    <w:rsid w:val="00224022"/>
    <w:rsid w:val="002254A2"/>
    <w:rsid w:val="0022600E"/>
    <w:rsid w:val="00226055"/>
    <w:rsid w:val="0022609C"/>
    <w:rsid w:val="0022613F"/>
    <w:rsid w:val="0022614F"/>
    <w:rsid w:val="00226236"/>
    <w:rsid w:val="002266AF"/>
    <w:rsid w:val="00226CA9"/>
    <w:rsid w:val="00226D90"/>
    <w:rsid w:val="002270C9"/>
    <w:rsid w:val="00227A8B"/>
    <w:rsid w:val="0023146B"/>
    <w:rsid w:val="002315A0"/>
    <w:rsid w:val="00231748"/>
    <w:rsid w:val="00231DCC"/>
    <w:rsid w:val="00231EC7"/>
    <w:rsid w:val="002327D9"/>
    <w:rsid w:val="00232E15"/>
    <w:rsid w:val="00233079"/>
    <w:rsid w:val="002335A4"/>
    <w:rsid w:val="0023382C"/>
    <w:rsid w:val="00233977"/>
    <w:rsid w:val="00233C58"/>
    <w:rsid w:val="00233C71"/>
    <w:rsid w:val="002345B6"/>
    <w:rsid w:val="002347A6"/>
    <w:rsid w:val="00234B84"/>
    <w:rsid w:val="00236016"/>
    <w:rsid w:val="00236D01"/>
    <w:rsid w:val="00237065"/>
    <w:rsid w:val="00237589"/>
    <w:rsid w:val="0023758D"/>
    <w:rsid w:val="002375A7"/>
    <w:rsid w:val="00237F82"/>
    <w:rsid w:val="0024019A"/>
    <w:rsid w:val="00240EC1"/>
    <w:rsid w:val="0024120F"/>
    <w:rsid w:val="0024131D"/>
    <w:rsid w:val="002415B8"/>
    <w:rsid w:val="00241782"/>
    <w:rsid w:val="00241B82"/>
    <w:rsid w:val="0024222F"/>
    <w:rsid w:val="0024296E"/>
    <w:rsid w:val="00242D5F"/>
    <w:rsid w:val="00242D62"/>
    <w:rsid w:val="002430D0"/>
    <w:rsid w:val="002431D7"/>
    <w:rsid w:val="00243988"/>
    <w:rsid w:val="00244058"/>
    <w:rsid w:val="0024413E"/>
    <w:rsid w:val="00245718"/>
    <w:rsid w:val="002457E9"/>
    <w:rsid w:val="00245E07"/>
    <w:rsid w:val="0024665E"/>
    <w:rsid w:val="002468D3"/>
    <w:rsid w:val="00247712"/>
    <w:rsid w:val="00250A9E"/>
    <w:rsid w:val="00250EC6"/>
    <w:rsid w:val="002515C7"/>
    <w:rsid w:val="00251866"/>
    <w:rsid w:val="00251A9F"/>
    <w:rsid w:val="00252492"/>
    <w:rsid w:val="00252A19"/>
    <w:rsid w:val="00252B35"/>
    <w:rsid w:val="00253070"/>
    <w:rsid w:val="0025316D"/>
    <w:rsid w:val="00253A02"/>
    <w:rsid w:val="00253B81"/>
    <w:rsid w:val="0025460E"/>
    <w:rsid w:val="00254AE9"/>
    <w:rsid w:val="002554DE"/>
    <w:rsid w:val="00255575"/>
    <w:rsid w:val="00255E11"/>
    <w:rsid w:val="002564B7"/>
    <w:rsid w:val="00256835"/>
    <w:rsid w:val="002569F0"/>
    <w:rsid w:val="00256C01"/>
    <w:rsid w:val="00256E1A"/>
    <w:rsid w:val="00256ECF"/>
    <w:rsid w:val="00257730"/>
    <w:rsid w:val="00257999"/>
    <w:rsid w:val="002604AA"/>
    <w:rsid w:val="002609B9"/>
    <w:rsid w:val="0026129B"/>
    <w:rsid w:val="00261560"/>
    <w:rsid w:val="00261715"/>
    <w:rsid w:val="002618F8"/>
    <w:rsid w:val="00261A75"/>
    <w:rsid w:val="00261CF9"/>
    <w:rsid w:val="00261EC0"/>
    <w:rsid w:val="0026231B"/>
    <w:rsid w:val="00263101"/>
    <w:rsid w:val="002631D1"/>
    <w:rsid w:val="00263201"/>
    <w:rsid w:val="00263A18"/>
    <w:rsid w:val="00263A37"/>
    <w:rsid w:val="00263D51"/>
    <w:rsid w:val="00264266"/>
    <w:rsid w:val="0026471F"/>
    <w:rsid w:val="0026480D"/>
    <w:rsid w:val="002653A6"/>
    <w:rsid w:val="002661F1"/>
    <w:rsid w:val="00266316"/>
    <w:rsid w:val="00266DB3"/>
    <w:rsid w:val="00266DB6"/>
    <w:rsid w:val="002675DE"/>
    <w:rsid w:val="00267AFC"/>
    <w:rsid w:val="002711A4"/>
    <w:rsid w:val="00271230"/>
    <w:rsid w:val="00271F13"/>
    <w:rsid w:val="00272945"/>
    <w:rsid w:val="00272E89"/>
    <w:rsid w:val="00274241"/>
    <w:rsid w:val="002742D0"/>
    <w:rsid w:val="0027482E"/>
    <w:rsid w:val="002748F1"/>
    <w:rsid w:val="00274DB5"/>
    <w:rsid w:val="00274E1C"/>
    <w:rsid w:val="0027591B"/>
    <w:rsid w:val="00275BB1"/>
    <w:rsid w:val="00276EF7"/>
    <w:rsid w:val="00277419"/>
    <w:rsid w:val="0027770B"/>
    <w:rsid w:val="00277933"/>
    <w:rsid w:val="00277A99"/>
    <w:rsid w:val="00277F8D"/>
    <w:rsid w:val="00277FA7"/>
    <w:rsid w:val="00280046"/>
    <w:rsid w:val="00280B4F"/>
    <w:rsid w:val="00280F3D"/>
    <w:rsid w:val="0028106A"/>
    <w:rsid w:val="0028140B"/>
    <w:rsid w:val="00281EB4"/>
    <w:rsid w:val="00282E03"/>
    <w:rsid w:val="0028308E"/>
    <w:rsid w:val="002834E9"/>
    <w:rsid w:val="002837BA"/>
    <w:rsid w:val="00283A52"/>
    <w:rsid w:val="00283C5E"/>
    <w:rsid w:val="00283E26"/>
    <w:rsid w:val="0028428F"/>
    <w:rsid w:val="00284645"/>
    <w:rsid w:val="00284BE3"/>
    <w:rsid w:val="00284CFC"/>
    <w:rsid w:val="00284D26"/>
    <w:rsid w:val="00285832"/>
    <w:rsid w:val="00285969"/>
    <w:rsid w:val="0028599C"/>
    <w:rsid w:val="00285DE7"/>
    <w:rsid w:val="0028663B"/>
    <w:rsid w:val="00286CEC"/>
    <w:rsid w:val="00286F17"/>
    <w:rsid w:val="002870F9"/>
    <w:rsid w:val="002871A9"/>
    <w:rsid w:val="00287505"/>
    <w:rsid w:val="00287681"/>
    <w:rsid w:val="00287BDB"/>
    <w:rsid w:val="00290781"/>
    <w:rsid w:val="00291784"/>
    <w:rsid w:val="002920DF"/>
    <w:rsid w:val="002921DD"/>
    <w:rsid w:val="002928A3"/>
    <w:rsid w:val="002929BB"/>
    <w:rsid w:val="00293555"/>
    <w:rsid w:val="0029394F"/>
    <w:rsid w:val="00294368"/>
    <w:rsid w:val="00294B78"/>
    <w:rsid w:val="00295416"/>
    <w:rsid w:val="00295949"/>
    <w:rsid w:val="00295D7C"/>
    <w:rsid w:val="0029624A"/>
    <w:rsid w:val="00296922"/>
    <w:rsid w:val="00296F8A"/>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116"/>
    <w:rsid w:val="002A4736"/>
    <w:rsid w:val="002A4B1C"/>
    <w:rsid w:val="002A544F"/>
    <w:rsid w:val="002A55FE"/>
    <w:rsid w:val="002A5767"/>
    <w:rsid w:val="002A625C"/>
    <w:rsid w:val="002A65D9"/>
    <w:rsid w:val="002A6AFB"/>
    <w:rsid w:val="002A733D"/>
    <w:rsid w:val="002A774A"/>
    <w:rsid w:val="002A7840"/>
    <w:rsid w:val="002A78F3"/>
    <w:rsid w:val="002A7D84"/>
    <w:rsid w:val="002A7E5C"/>
    <w:rsid w:val="002A7F6D"/>
    <w:rsid w:val="002B0D83"/>
    <w:rsid w:val="002B1342"/>
    <w:rsid w:val="002B1F83"/>
    <w:rsid w:val="002B21A8"/>
    <w:rsid w:val="002B27C8"/>
    <w:rsid w:val="002B2A7F"/>
    <w:rsid w:val="002B330B"/>
    <w:rsid w:val="002B39BE"/>
    <w:rsid w:val="002B438C"/>
    <w:rsid w:val="002B48DB"/>
    <w:rsid w:val="002B4B34"/>
    <w:rsid w:val="002B4D46"/>
    <w:rsid w:val="002B541A"/>
    <w:rsid w:val="002B5EAB"/>
    <w:rsid w:val="002B5F2E"/>
    <w:rsid w:val="002B6407"/>
    <w:rsid w:val="002B6416"/>
    <w:rsid w:val="002B6459"/>
    <w:rsid w:val="002B6782"/>
    <w:rsid w:val="002B6F22"/>
    <w:rsid w:val="002B7014"/>
    <w:rsid w:val="002B73B0"/>
    <w:rsid w:val="002B7DAB"/>
    <w:rsid w:val="002C24B4"/>
    <w:rsid w:val="002C25FF"/>
    <w:rsid w:val="002C2B3A"/>
    <w:rsid w:val="002C2B87"/>
    <w:rsid w:val="002C3CF4"/>
    <w:rsid w:val="002C441A"/>
    <w:rsid w:val="002C4A73"/>
    <w:rsid w:val="002C4B84"/>
    <w:rsid w:val="002C4C0C"/>
    <w:rsid w:val="002C5016"/>
    <w:rsid w:val="002C5C2F"/>
    <w:rsid w:val="002C5D0F"/>
    <w:rsid w:val="002C60B9"/>
    <w:rsid w:val="002C63F1"/>
    <w:rsid w:val="002C6F77"/>
    <w:rsid w:val="002C704D"/>
    <w:rsid w:val="002D033F"/>
    <w:rsid w:val="002D0845"/>
    <w:rsid w:val="002D0933"/>
    <w:rsid w:val="002D1555"/>
    <w:rsid w:val="002D15B6"/>
    <w:rsid w:val="002D19BB"/>
    <w:rsid w:val="002D1A9B"/>
    <w:rsid w:val="002D1F51"/>
    <w:rsid w:val="002D20F8"/>
    <w:rsid w:val="002D22BD"/>
    <w:rsid w:val="002D22C5"/>
    <w:rsid w:val="002D2391"/>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D79F4"/>
    <w:rsid w:val="002E01A8"/>
    <w:rsid w:val="002E055C"/>
    <w:rsid w:val="002E1050"/>
    <w:rsid w:val="002E107E"/>
    <w:rsid w:val="002E18E5"/>
    <w:rsid w:val="002E1953"/>
    <w:rsid w:val="002E2C3F"/>
    <w:rsid w:val="002E2CB5"/>
    <w:rsid w:val="002E2D7D"/>
    <w:rsid w:val="002E32D0"/>
    <w:rsid w:val="002E3D0B"/>
    <w:rsid w:val="002E3D76"/>
    <w:rsid w:val="002E40A1"/>
    <w:rsid w:val="002E4359"/>
    <w:rsid w:val="002E48EC"/>
    <w:rsid w:val="002E4B44"/>
    <w:rsid w:val="002E4ECB"/>
    <w:rsid w:val="002E4F23"/>
    <w:rsid w:val="002E635A"/>
    <w:rsid w:val="002E68C5"/>
    <w:rsid w:val="002E6D68"/>
    <w:rsid w:val="002E7847"/>
    <w:rsid w:val="002F0073"/>
    <w:rsid w:val="002F1B27"/>
    <w:rsid w:val="002F1C67"/>
    <w:rsid w:val="002F1D0B"/>
    <w:rsid w:val="002F240B"/>
    <w:rsid w:val="002F24DA"/>
    <w:rsid w:val="002F2778"/>
    <w:rsid w:val="002F2F50"/>
    <w:rsid w:val="002F33EC"/>
    <w:rsid w:val="002F34E3"/>
    <w:rsid w:val="002F3601"/>
    <w:rsid w:val="002F40E2"/>
    <w:rsid w:val="002F45F6"/>
    <w:rsid w:val="002F548E"/>
    <w:rsid w:val="002F5A6F"/>
    <w:rsid w:val="002F692F"/>
    <w:rsid w:val="002F7031"/>
    <w:rsid w:val="002F7961"/>
    <w:rsid w:val="002F7AC8"/>
    <w:rsid w:val="002F7B66"/>
    <w:rsid w:val="00300CB4"/>
    <w:rsid w:val="00300E24"/>
    <w:rsid w:val="00301009"/>
    <w:rsid w:val="00301277"/>
    <w:rsid w:val="003014E9"/>
    <w:rsid w:val="0030257B"/>
    <w:rsid w:val="003033BA"/>
    <w:rsid w:val="00303C19"/>
    <w:rsid w:val="00304321"/>
    <w:rsid w:val="003043A3"/>
    <w:rsid w:val="0030462D"/>
    <w:rsid w:val="00304BD4"/>
    <w:rsid w:val="00304E8D"/>
    <w:rsid w:val="00304F54"/>
    <w:rsid w:val="0030500A"/>
    <w:rsid w:val="003052EB"/>
    <w:rsid w:val="00305FCB"/>
    <w:rsid w:val="0030602B"/>
    <w:rsid w:val="003063C3"/>
    <w:rsid w:val="003069DC"/>
    <w:rsid w:val="00306A13"/>
    <w:rsid w:val="00306B44"/>
    <w:rsid w:val="00307C44"/>
    <w:rsid w:val="00310217"/>
    <w:rsid w:val="0031040A"/>
    <w:rsid w:val="0031088E"/>
    <w:rsid w:val="00310D01"/>
    <w:rsid w:val="00310F1E"/>
    <w:rsid w:val="00311376"/>
    <w:rsid w:val="00311A1F"/>
    <w:rsid w:val="00311B47"/>
    <w:rsid w:val="00311D52"/>
    <w:rsid w:val="00312190"/>
    <w:rsid w:val="003122C6"/>
    <w:rsid w:val="00312488"/>
    <w:rsid w:val="003125E0"/>
    <w:rsid w:val="0031271D"/>
    <w:rsid w:val="003132BB"/>
    <w:rsid w:val="00313337"/>
    <w:rsid w:val="00313447"/>
    <w:rsid w:val="00313748"/>
    <w:rsid w:val="00313EA3"/>
    <w:rsid w:val="003151FE"/>
    <w:rsid w:val="003151FF"/>
    <w:rsid w:val="00315365"/>
    <w:rsid w:val="00315457"/>
    <w:rsid w:val="003161A4"/>
    <w:rsid w:val="00316955"/>
    <w:rsid w:val="0031713F"/>
    <w:rsid w:val="0031720A"/>
    <w:rsid w:val="0031748A"/>
    <w:rsid w:val="0031749B"/>
    <w:rsid w:val="003174E5"/>
    <w:rsid w:val="00317C9D"/>
    <w:rsid w:val="00317CD2"/>
    <w:rsid w:val="00317D99"/>
    <w:rsid w:val="00320308"/>
    <w:rsid w:val="003203BC"/>
    <w:rsid w:val="0032078D"/>
    <w:rsid w:val="00320ADF"/>
    <w:rsid w:val="0032137B"/>
    <w:rsid w:val="00321A70"/>
    <w:rsid w:val="00321BD6"/>
    <w:rsid w:val="00321FA3"/>
    <w:rsid w:val="003227D3"/>
    <w:rsid w:val="00322937"/>
    <w:rsid w:val="00323881"/>
    <w:rsid w:val="00323C99"/>
    <w:rsid w:val="00324885"/>
    <w:rsid w:val="003251A8"/>
    <w:rsid w:val="003254B1"/>
    <w:rsid w:val="00325AD9"/>
    <w:rsid w:val="00325D98"/>
    <w:rsid w:val="0032682A"/>
    <w:rsid w:val="00327509"/>
    <w:rsid w:val="00327A5C"/>
    <w:rsid w:val="003305BD"/>
    <w:rsid w:val="0033092C"/>
    <w:rsid w:val="0033122A"/>
    <w:rsid w:val="003315AC"/>
    <w:rsid w:val="00331932"/>
    <w:rsid w:val="00331F74"/>
    <w:rsid w:val="00332382"/>
    <w:rsid w:val="00332453"/>
    <w:rsid w:val="0033251B"/>
    <w:rsid w:val="00333A88"/>
    <w:rsid w:val="00334BC6"/>
    <w:rsid w:val="00335245"/>
    <w:rsid w:val="00335B15"/>
    <w:rsid w:val="00335B21"/>
    <w:rsid w:val="00335D3F"/>
    <w:rsid w:val="00336104"/>
    <w:rsid w:val="00336729"/>
    <w:rsid w:val="00336903"/>
    <w:rsid w:val="003369C4"/>
    <w:rsid w:val="00336CD9"/>
    <w:rsid w:val="0033726D"/>
    <w:rsid w:val="00337CA8"/>
    <w:rsid w:val="00337DD1"/>
    <w:rsid w:val="00340488"/>
    <w:rsid w:val="00340610"/>
    <w:rsid w:val="00340D3F"/>
    <w:rsid w:val="0034174B"/>
    <w:rsid w:val="0034177C"/>
    <w:rsid w:val="003420E9"/>
    <w:rsid w:val="00342345"/>
    <w:rsid w:val="00342A38"/>
    <w:rsid w:val="00342C27"/>
    <w:rsid w:val="003430C8"/>
    <w:rsid w:val="003432C8"/>
    <w:rsid w:val="003434B3"/>
    <w:rsid w:val="00343536"/>
    <w:rsid w:val="00343EFB"/>
    <w:rsid w:val="003440CA"/>
    <w:rsid w:val="00344470"/>
    <w:rsid w:val="00344760"/>
    <w:rsid w:val="003454E8"/>
    <w:rsid w:val="00345574"/>
    <w:rsid w:val="00345965"/>
    <w:rsid w:val="0034680A"/>
    <w:rsid w:val="00346C62"/>
    <w:rsid w:val="00347202"/>
    <w:rsid w:val="0034778E"/>
    <w:rsid w:val="003478DE"/>
    <w:rsid w:val="00347A5A"/>
    <w:rsid w:val="003501E2"/>
    <w:rsid w:val="003512C0"/>
    <w:rsid w:val="00351E10"/>
    <w:rsid w:val="00352D3D"/>
    <w:rsid w:val="003533F4"/>
    <w:rsid w:val="003536F6"/>
    <w:rsid w:val="00353830"/>
    <w:rsid w:val="00353DA7"/>
    <w:rsid w:val="00353DD5"/>
    <w:rsid w:val="00353F36"/>
    <w:rsid w:val="0035473F"/>
    <w:rsid w:val="00355131"/>
    <w:rsid w:val="00355F74"/>
    <w:rsid w:val="003560DB"/>
    <w:rsid w:val="003564DB"/>
    <w:rsid w:val="00356783"/>
    <w:rsid w:val="00356F87"/>
    <w:rsid w:val="00357E83"/>
    <w:rsid w:val="00360CF3"/>
    <w:rsid w:val="0036169A"/>
    <w:rsid w:val="00361A59"/>
    <w:rsid w:val="00363348"/>
    <w:rsid w:val="00363857"/>
    <w:rsid w:val="00363D59"/>
    <w:rsid w:val="00363F08"/>
    <w:rsid w:val="003640F7"/>
    <w:rsid w:val="00364BEE"/>
    <w:rsid w:val="00364C49"/>
    <w:rsid w:val="00365343"/>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624F"/>
    <w:rsid w:val="003768C3"/>
    <w:rsid w:val="00376AA4"/>
    <w:rsid w:val="00377027"/>
    <w:rsid w:val="00377135"/>
    <w:rsid w:val="00380272"/>
    <w:rsid w:val="003805DB"/>
    <w:rsid w:val="0038152A"/>
    <w:rsid w:val="0038245D"/>
    <w:rsid w:val="00382BAD"/>
    <w:rsid w:val="003835FD"/>
    <w:rsid w:val="00383EDF"/>
    <w:rsid w:val="00384C5E"/>
    <w:rsid w:val="00384DF1"/>
    <w:rsid w:val="00384FF3"/>
    <w:rsid w:val="003850A8"/>
    <w:rsid w:val="00386456"/>
    <w:rsid w:val="003865A9"/>
    <w:rsid w:val="00386E3C"/>
    <w:rsid w:val="003901E1"/>
    <w:rsid w:val="0039092B"/>
    <w:rsid w:val="00390BD9"/>
    <w:rsid w:val="00390F32"/>
    <w:rsid w:val="0039135E"/>
    <w:rsid w:val="00392067"/>
    <w:rsid w:val="0039285D"/>
    <w:rsid w:val="0039319C"/>
    <w:rsid w:val="003934A5"/>
    <w:rsid w:val="00393577"/>
    <w:rsid w:val="00393CAE"/>
    <w:rsid w:val="00393DE9"/>
    <w:rsid w:val="003945F4"/>
    <w:rsid w:val="00394EB5"/>
    <w:rsid w:val="003953B4"/>
    <w:rsid w:val="00395644"/>
    <w:rsid w:val="0039615F"/>
    <w:rsid w:val="0039643C"/>
    <w:rsid w:val="003966A0"/>
    <w:rsid w:val="00396A29"/>
    <w:rsid w:val="00397FF0"/>
    <w:rsid w:val="003A0856"/>
    <w:rsid w:val="003A0878"/>
    <w:rsid w:val="003A0FEF"/>
    <w:rsid w:val="003A1561"/>
    <w:rsid w:val="003A1D25"/>
    <w:rsid w:val="003A22A2"/>
    <w:rsid w:val="003A2447"/>
    <w:rsid w:val="003A2AA1"/>
    <w:rsid w:val="003A31A5"/>
    <w:rsid w:val="003A329A"/>
    <w:rsid w:val="003A3603"/>
    <w:rsid w:val="003A3851"/>
    <w:rsid w:val="003A39DD"/>
    <w:rsid w:val="003A40DB"/>
    <w:rsid w:val="003A4199"/>
    <w:rsid w:val="003A41C5"/>
    <w:rsid w:val="003A48D4"/>
    <w:rsid w:val="003A4A8E"/>
    <w:rsid w:val="003A4C8E"/>
    <w:rsid w:val="003A5159"/>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4A9F"/>
    <w:rsid w:val="003B534F"/>
    <w:rsid w:val="003B5391"/>
    <w:rsid w:val="003B58CE"/>
    <w:rsid w:val="003B5F39"/>
    <w:rsid w:val="003B65D7"/>
    <w:rsid w:val="003B65E0"/>
    <w:rsid w:val="003B6BD4"/>
    <w:rsid w:val="003B6DB4"/>
    <w:rsid w:val="003B6F4D"/>
    <w:rsid w:val="003B6FE7"/>
    <w:rsid w:val="003B7B2B"/>
    <w:rsid w:val="003C0491"/>
    <w:rsid w:val="003C0C0F"/>
    <w:rsid w:val="003C0D1F"/>
    <w:rsid w:val="003C116A"/>
    <w:rsid w:val="003C1AF4"/>
    <w:rsid w:val="003C1C37"/>
    <w:rsid w:val="003C1CB8"/>
    <w:rsid w:val="003C22DA"/>
    <w:rsid w:val="003C2550"/>
    <w:rsid w:val="003C287F"/>
    <w:rsid w:val="003C3339"/>
    <w:rsid w:val="003C3412"/>
    <w:rsid w:val="003C375A"/>
    <w:rsid w:val="003C3C9B"/>
    <w:rsid w:val="003C3E6E"/>
    <w:rsid w:val="003C4317"/>
    <w:rsid w:val="003C497A"/>
    <w:rsid w:val="003C4D9F"/>
    <w:rsid w:val="003C5247"/>
    <w:rsid w:val="003C5B02"/>
    <w:rsid w:val="003C5E8A"/>
    <w:rsid w:val="003C622C"/>
    <w:rsid w:val="003C6505"/>
    <w:rsid w:val="003C73C7"/>
    <w:rsid w:val="003C7CFB"/>
    <w:rsid w:val="003D050B"/>
    <w:rsid w:val="003D0B98"/>
    <w:rsid w:val="003D0C3C"/>
    <w:rsid w:val="003D0DE5"/>
    <w:rsid w:val="003D1351"/>
    <w:rsid w:val="003D15B3"/>
    <w:rsid w:val="003D218F"/>
    <w:rsid w:val="003D21C1"/>
    <w:rsid w:val="003D2893"/>
    <w:rsid w:val="003D3B15"/>
    <w:rsid w:val="003D3B2E"/>
    <w:rsid w:val="003D3F28"/>
    <w:rsid w:val="003D4101"/>
    <w:rsid w:val="003D484D"/>
    <w:rsid w:val="003D4875"/>
    <w:rsid w:val="003D49CB"/>
    <w:rsid w:val="003D5F10"/>
    <w:rsid w:val="003D6B8F"/>
    <w:rsid w:val="003D7566"/>
    <w:rsid w:val="003E0224"/>
    <w:rsid w:val="003E09BB"/>
    <w:rsid w:val="003E13D2"/>
    <w:rsid w:val="003E159D"/>
    <w:rsid w:val="003E20EA"/>
    <w:rsid w:val="003E210C"/>
    <w:rsid w:val="003E2780"/>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387"/>
    <w:rsid w:val="003E6AB6"/>
    <w:rsid w:val="003E6E0B"/>
    <w:rsid w:val="003E71CD"/>
    <w:rsid w:val="003E75D7"/>
    <w:rsid w:val="003E78DA"/>
    <w:rsid w:val="003E7A8B"/>
    <w:rsid w:val="003F060E"/>
    <w:rsid w:val="003F0F7F"/>
    <w:rsid w:val="003F115C"/>
    <w:rsid w:val="003F153A"/>
    <w:rsid w:val="003F2B2F"/>
    <w:rsid w:val="003F2C86"/>
    <w:rsid w:val="003F2E0D"/>
    <w:rsid w:val="003F300D"/>
    <w:rsid w:val="003F391F"/>
    <w:rsid w:val="003F4599"/>
    <w:rsid w:val="003F45E1"/>
    <w:rsid w:val="003F4F6C"/>
    <w:rsid w:val="003F5353"/>
    <w:rsid w:val="003F5360"/>
    <w:rsid w:val="003F559E"/>
    <w:rsid w:val="003F6181"/>
    <w:rsid w:val="003F6998"/>
    <w:rsid w:val="003F6BFC"/>
    <w:rsid w:val="003F72C1"/>
    <w:rsid w:val="003F7343"/>
    <w:rsid w:val="00400002"/>
    <w:rsid w:val="00400054"/>
    <w:rsid w:val="004016A3"/>
    <w:rsid w:val="00401B31"/>
    <w:rsid w:val="00401C0D"/>
    <w:rsid w:val="0040202B"/>
    <w:rsid w:val="0040219D"/>
    <w:rsid w:val="00402DE1"/>
    <w:rsid w:val="00402EEB"/>
    <w:rsid w:val="004037C2"/>
    <w:rsid w:val="00403AC3"/>
    <w:rsid w:val="00404041"/>
    <w:rsid w:val="004040D4"/>
    <w:rsid w:val="00404B43"/>
    <w:rsid w:val="00404C61"/>
    <w:rsid w:val="00405487"/>
    <w:rsid w:val="00405B8A"/>
    <w:rsid w:val="0040602B"/>
    <w:rsid w:val="0040606C"/>
    <w:rsid w:val="004060DC"/>
    <w:rsid w:val="004069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A96"/>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DD"/>
    <w:rsid w:val="004273FA"/>
    <w:rsid w:val="004275A7"/>
    <w:rsid w:val="00430186"/>
    <w:rsid w:val="00430F17"/>
    <w:rsid w:val="00431CC7"/>
    <w:rsid w:val="0043260C"/>
    <w:rsid w:val="0043269A"/>
    <w:rsid w:val="00432E92"/>
    <w:rsid w:val="004333C2"/>
    <w:rsid w:val="00433AA8"/>
    <w:rsid w:val="00434764"/>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BA"/>
    <w:rsid w:val="00440DDC"/>
    <w:rsid w:val="00440FAD"/>
    <w:rsid w:val="00441291"/>
    <w:rsid w:val="00441E04"/>
    <w:rsid w:val="00441FE9"/>
    <w:rsid w:val="004420AB"/>
    <w:rsid w:val="004422D6"/>
    <w:rsid w:val="004427AC"/>
    <w:rsid w:val="00442C7D"/>
    <w:rsid w:val="00442D13"/>
    <w:rsid w:val="00442D4D"/>
    <w:rsid w:val="0044361F"/>
    <w:rsid w:val="0044374D"/>
    <w:rsid w:val="004437D2"/>
    <w:rsid w:val="00443B55"/>
    <w:rsid w:val="00443D27"/>
    <w:rsid w:val="0044418E"/>
    <w:rsid w:val="0044500B"/>
    <w:rsid w:val="004451C5"/>
    <w:rsid w:val="00446037"/>
    <w:rsid w:val="00446270"/>
    <w:rsid w:val="0044642F"/>
    <w:rsid w:val="00446C9E"/>
    <w:rsid w:val="0044772C"/>
    <w:rsid w:val="00450846"/>
    <w:rsid w:val="00451A52"/>
    <w:rsid w:val="00451D65"/>
    <w:rsid w:val="0045271D"/>
    <w:rsid w:val="00452755"/>
    <w:rsid w:val="00452803"/>
    <w:rsid w:val="004529C6"/>
    <w:rsid w:val="00452EAD"/>
    <w:rsid w:val="004533D1"/>
    <w:rsid w:val="004534D1"/>
    <w:rsid w:val="004540B8"/>
    <w:rsid w:val="00454548"/>
    <w:rsid w:val="00454717"/>
    <w:rsid w:val="00454914"/>
    <w:rsid w:val="00454C0F"/>
    <w:rsid w:val="00454DF8"/>
    <w:rsid w:val="00455004"/>
    <w:rsid w:val="00455047"/>
    <w:rsid w:val="00455053"/>
    <w:rsid w:val="00455354"/>
    <w:rsid w:val="0045558D"/>
    <w:rsid w:val="0045572F"/>
    <w:rsid w:val="00455BD3"/>
    <w:rsid w:val="004567DA"/>
    <w:rsid w:val="00456970"/>
    <w:rsid w:val="00456BB1"/>
    <w:rsid w:val="00456CD4"/>
    <w:rsid w:val="00456DA2"/>
    <w:rsid w:val="00456DDB"/>
    <w:rsid w:val="00456E61"/>
    <w:rsid w:val="00457031"/>
    <w:rsid w:val="004575F9"/>
    <w:rsid w:val="00457C10"/>
    <w:rsid w:val="004600A9"/>
    <w:rsid w:val="00460915"/>
    <w:rsid w:val="00460946"/>
    <w:rsid w:val="0046122F"/>
    <w:rsid w:val="004613BE"/>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42D"/>
    <w:rsid w:val="00465677"/>
    <w:rsid w:val="00466616"/>
    <w:rsid w:val="00466A0C"/>
    <w:rsid w:val="00466A53"/>
    <w:rsid w:val="00467854"/>
    <w:rsid w:val="00467B96"/>
    <w:rsid w:val="00470A6A"/>
    <w:rsid w:val="00470D73"/>
    <w:rsid w:val="00470D92"/>
    <w:rsid w:val="00471DF7"/>
    <w:rsid w:val="004734CF"/>
    <w:rsid w:val="00473957"/>
    <w:rsid w:val="00473F33"/>
    <w:rsid w:val="00474B50"/>
    <w:rsid w:val="0047586C"/>
    <w:rsid w:val="00475C5A"/>
    <w:rsid w:val="00475C9C"/>
    <w:rsid w:val="004760BF"/>
    <w:rsid w:val="0047676B"/>
    <w:rsid w:val="00476A68"/>
    <w:rsid w:val="0047773C"/>
    <w:rsid w:val="00477C5F"/>
    <w:rsid w:val="00477CD2"/>
    <w:rsid w:val="00480050"/>
    <w:rsid w:val="0048011C"/>
    <w:rsid w:val="004808DE"/>
    <w:rsid w:val="00480F9A"/>
    <w:rsid w:val="004817DD"/>
    <w:rsid w:val="00481912"/>
    <w:rsid w:val="00481AC4"/>
    <w:rsid w:val="00481DC1"/>
    <w:rsid w:val="004820F1"/>
    <w:rsid w:val="00482507"/>
    <w:rsid w:val="0048268A"/>
    <w:rsid w:val="00482A64"/>
    <w:rsid w:val="004835CA"/>
    <w:rsid w:val="004836F8"/>
    <w:rsid w:val="004836FE"/>
    <w:rsid w:val="00483822"/>
    <w:rsid w:val="00484A39"/>
    <w:rsid w:val="00484A58"/>
    <w:rsid w:val="00484F0F"/>
    <w:rsid w:val="00484F40"/>
    <w:rsid w:val="0048540C"/>
    <w:rsid w:val="004861B4"/>
    <w:rsid w:val="00486226"/>
    <w:rsid w:val="00486BD0"/>
    <w:rsid w:val="00486D00"/>
    <w:rsid w:val="00486FF7"/>
    <w:rsid w:val="00487263"/>
    <w:rsid w:val="0048734F"/>
    <w:rsid w:val="0049029D"/>
    <w:rsid w:val="0049030C"/>
    <w:rsid w:val="004903C0"/>
    <w:rsid w:val="004903C5"/>
    <w:rsid w:val="0049114B"/>
    <w:rsid w:val="004912A8"/>
    <w:rsid w:val="00491577"/>
    <w:rsid w:val="004918E1"/>
    <w:rsid w:val="0049196A"/>
    <w:rsid w:val="0049196E"/>
    <w:rsid w:val="0049241A"/>
    <w:rsid w:val="00492766"/>
    <w:rsid w:val="00492844"/>
    <w:rsid w:val="00492C1F"/>
    <w:rsid w:val="00492E4C"/>
    <w:rsid w:val="00493664"/>
    <w:rsid w:val="004938FD"/>
    <w:rsid w:val="00493E04"/>
    <w:rsid w:val="004940E3"/>
    <w:rsid w:val="0049530F"/>
    <w:rsid w:val="004965AD"/>
    <w:rsid w:val="00496664"/>
    <w:rsid w:val="00496786"/>
    <w:rsid w:val="004968AE"/>
    <w:rsid w:val="0049695B"/>
    <w:rsid w:val="00496D8F"/>
    <w:rsid w:val="00497463"/>
    <w:rsid w:val="004A0200"/>
    <w:rsid w:val="004A054C"/>
    <w:rsid w:val="004A0821"/>
    <w:rsid w:val="004A08D1"/>
    <w:rsid w:val="004A16C1"/>
    <w:rsid w:val="004A1BC6"/>
    <w:rsid w:val="004A1CE2"/>
    <w:rsid w:val="004A244A"/>
    <w:rsid w:val="004A34D2"/>
    <w:rsid w:val="004A4301"/>
    <w:rsid w:val="004A4D93"/>
    <w:rsid w:val="004A546E"/>
    <w:rsid w:val="004A58EE"/>
    <w:rsid w:val="004A59B7"/>
    <w:rsid w:val="004A6051"/>
    <w:rsid w:val="004A623B"/>
    <w:rsid w:val="004A6264"/>
    <w:rsid w:val="004A6A04"/>
    <w:rsid w:val="004A6A52"/>
    <w:rsid w:val="004A7617"/>
    <w:rsid w:val="004B01EA"/>
    <w:rsid w:val="004B0A44"/>
    <w:rsid w:val="004B0F0B"/>
    <w:rsid w:val="004B205A"/>
    <w:rsid w:val="004B2197"/>
    <w:rsid w:val="004B298A"/>
    <w:rsid w:val="004B2AD4"/>
    <w:rsid w:val="004B2BB8"/>
    <w:rsid w:val="004B2BBB"/>
    <w:rsid w:val="004B3043"/>
    <w:rsid w:val="004B46E0"/>
    <w:rsid w:val="004B50CB"/>
    <w:rsid w:val="004B578D"/>
    <w:rsid w:val="004B5BE7"/>
    <w:rsid w:val="004B5E2D"/>
    <w:rsid w:val="004B60AD"/>
    <w:rsid w:val="004B6BC0"/>
    <w:rsid w:val="004B6C07"/>
    <w:rsid w:val="004B729B"/>
    <w:rsid w:val="004B74D3"/>
    <w:rsid w:val="004B755E"/>
    <w:rsid w:val="004B788E"/>
    <w:rsid w:val="004B78D2"/>
    <w:rsid w:val="004B7E5D"/>
    <w:rsid w:val="004C1198"/>
    <w:rsid w:val="004C22F7"/>
    <w:rsid w:val="004C2A97"/>
    <w:rsid w:val="004C2B27"/>
    <w:rsid w:val="004C3929"/>
    <w:rsid w:val="004C4160"/>
    <w:rsid w:val="004C4828"/>
    <w:rsid w:val="004C5212"/>
    <w:rsid w:val="004C572E"/>
    <w:rsid w:val="004C5EF0"/>
    <w:rsid w:val="004C64C9"/>
    <w:rsid w:val="004C6C0B"/>
    <w:rsid w:val="004C7226"/>
    <w:rsid w:val="004C74C9"/>
    <w:rsid w:val="004C7596"/>
    <w:rsid w:val="004C7915"/>
    <w:rsid w:val="004C7D70"/>
    <w:rsid w:val="004D02F9"/>
    <w:rsid w:val="004D03FE"/>
    <w:rsid w:val="004D0446"/>
    <w:rsid w:val="004D04C4"/>
    <w:rsid w:val="004D06A3"/>
    <w:rsid w:val="004D0F95"/>
    <w:rsid w:val="004D106A"/>
    <w:rsid w:val="004D139C"/>
    <w:rsid w:val="004D1449"/>
    <w:rsid w:val="004D19C5"/>
    <w:rsid w:val="004D1C0C"/>
    <w:rsid w:val="004D1C7E"/>
    <w:rsid w:val="004D245A"/>
    <w:rsid w:val="004D31EE"/>
    <w:rsid w:val="004D36AF"/>
    <w:rsid w:val="004D3A22"/>
    <w:rsid w:val="004D3BD1"/>
    <w:rsid w:val="004D4BA1"/>
    <w:rsid w:val="004D5562"/>
    <w:rsid w:val="004D584D"/>
    <w:rsid w:val="004D5A08"/>
    <w:rsid w:val="004D5A7E"/>
    <w:rsid w:val="004D6120"/>
    <w:rsid w:val="004D6826"/>
    <w:rsid w:val="004D7497"/>
    <w:rsid w:val="004E0126"/>
    <w:rsid w:val="004E023F"/>
    <w:rsid w:val="004E03C4"/>
    <w:rsid w:val="004E03E8"/>
    <w:rsid w:val="004E0546"/>
    <w:rsid w:val="004E0556"/>
    <w:rsid w:val="004E0742"/>
    <w:rsid w:val="004E0C64"/>
    <w:rsid w:val="004E0F6B"/>
    <w:rsid w:val="004E1545"/>
    <w:rsid w:val="004E1717"/>
    <w:rsid w:val="004E1953"/>
    <w:rsid w:val="004E1F1C"/>
    <w:rsid w:val="004E2A35"/>
    <w:rsid w:val="004E2CCF"/>
    <w:rsid w:val="004E3950"/>
    <w:rsid w:val="004E3B71"/>
    <w:rsid w:val="004E3DEC"/>
    <w:rsid w:val="004E40CE"/>
    <w:rsid w:val="004E5736"/>
    <w:rsid w:val="004E5A3C"/>
    <w:rsid w:val="004E5B36"/>
    <w:rsid w:val="004E5D5D"/>
    <w:rsid w:val="004E6045"/>
    <w:rsid w:val="004E6F43"/>
    <w:rsid w:val="004E7200"/>
    <w:rsid w:val="004E787E"/>
    <w:rsid w:val="004E7AA1"/>
    <w:rsid w:val="004F0805"/>
    <w:rsid w:val="004F0960"/>
    <w:rsid w:val="004F0A5C"/>
    <w:rsid w:val="004F1593"/>
    <w:rsid w:val="004F1596"/>
    <w:rsid w:val="004F163F"/>
    <w:rsid w:val="004F1691"/>
    <w:rsid w:val="004F18A0"/>
    <w:rsid w:val="004F1A08"/>
    <w:rsid w:val="004F29FE"/>
    <w:rsid w:val="004F2B64"/>
    <w:rsid w:val="004F31B8"/>
    <w:rsid w:val="004F375E"/>
    <w:rsid w:val="004F3764"/>
    <w:rsid w:val="004F3EEF"/>
    <w:rsid w:val="004F5180"/>
    <w:rsid w:val="004F57C9"/>
    <w:rsid w:val="004F5930"/>
    <w:rsid w:val="004F5965"/>
    <w:rsid w:val="004F5970"/>
    <w:rsid w:val="004F5F0C"/>
    <w:rsid w:val="004F6121"/>
    <w:rsid w:val="004F6161"/>
    <w:rsid w:val="004F66BC"/>
    <w:rsid w:val="004F679A"/>
    <w:rsid w:val="004F6C26"/>
    <w:rsid w:val="004F7AC9"/>
    <w:rsid w:val="00500237"/>
    <w:rsid w:val="0050062F"/>
    <w:rsid w:val="00500CD5"/>
    <w:rsid w:val="00500E74"/>
    <w:rsid w:val="00501258"/>
    <w:rsid w:val="0050160F"/>
    <w:rsid w:val="0050281C"/>
    <w:rsid w:val="0050284E"/>
    <w:rsid w:val="0050306F"/>
    <w:rsid w:val="00503929"/>
    <w:rsid w:val="00503A17"/>
    <w:rsid w:val="00503A42"/>
    <w:rsid w:val="00505892"/>
    <w:rsid w:val="00505DCB"/>
    <w:rsid w:val="005060BD"/>
    <w:rsid w:val="0050636C"/>
    <w:rsid w:val="00506415"/>
    <w:rsid w:val="0050674C"/>
    <w:rsid w:val="00507066"/>
    <w:rsid w:val="005075CA"/>
    <w:rsid w:val="00507B06"/>
    <w:rsid w:val="00507BDB"/>
    <w:rsid w:val="00507BF1"/>
    <w:rsid w:val="0051074C"/>
    <w:rsid w:val="00510DE9"/>
    <w:rsid w:val="005111E2"/>
    <w:rsid w:val="00511231"/>
    <w:rsid w:val="00511741"/>
    <w:rsid w:val="005118F4"/>
    <w:rsid w:val="00512C4F"/>
    <w:rsid w:val="00513042"/>
    <w:rsid w:val="0051334F"/>
    <w:rsid w:val="00513399"/>
    <w:rsid w:val="00513AF2"/>
    <w:rsid w:val="00514575"/>
    <w:rsid w:val="00514C03"/>
    <w:rsid w:val="00514D67"/>
    <w:rsid w:val="0051522A"/>
    <w:rsid w:val="00515515"/>
    <w:rsid w:val="00515C52"/>
    <w:rsid w:val="0051635C"/>
    <w:rsid w:val="00516C5B"/>
    <w:rsid w:val="00517612"/>
    <w:rsid w:val="00517CFB"/>
    <w:rsid w:val="00517F85"/>
    <w:rsid w:val="0052002F"/>
    <w:rsid w:val="00520235"/>
    <w:rsid w:val="00520899"/>
    <w:rsid w:val="00520922"/>
    <w:rsid w:val="005209FC"/>
    <w:rsid w:val="00520C09"/>
    <w:rsid w:val="00520DBD"/>
    <w:rsid w:val="0052116E"/>
    <w:rsid w:val="00521A30"/>
    <w:rsid w:val="00521D7C"/>
    <w:rsid w:val="00521EA7"/>
    <w:rsid w:val="005221DB"/>
    <w:rsid w:val="005224B0"/>
    <w:rsid w:val="005224E5"/>
    <w:rsid w:val="0052311A"/>
    <w:rsid w:val="00523903"/>
    <w:rsid w:val="005239B6"/>
    <w:rsid w:val="00523C45"/>
    <w:rsid w:val="00523F41"/>
    <w:rsid w:val="00524165"/>
    <w:rsid w:val="005244FC"/>
    <w:rsid w:val="00524676"/>
    <w:rsid w:val="005246E7"/>
    <w:rsid w:val="00524B08"/>
    <w:rsid w:val="00524C38"/>
    <w:rsid w:val="00524FD2"/>
    <w:rsid w:val="00525621"/>
    <w:rsid w:val="00526431"/>
    <w:rsid w:val="00527532"/>
    <w:rsid w:val="00527DEB"/>
    <w:rsid w:val="00527E57"/>
    <w:rsid w:val="00527F2C"/>
    <w:rsid w:val="00530302"/>
    <w:rsid w:val="00530405"/>
    <w:rsid w:val="00530458"/>
    <w:rsid w:val="00530522"/>
    <w:rsid w:val="005305E5"/>
    <w:rsid w:val="0053086F"/>
    <w:rsid w:val="00530CBA"/>
    <w:rsid w:val="00530F38"/>
    <w:rsid w:val="0053169A"/>
    <w:rsid w:val="00531DAB"/>
    <w:rsid w:val="00531F26"/>
    <w:rsid w:val="00532501"/>
    <w:rsid w:val="0053277C"/>
    <w:rsid w:val="005327C0"/>
    <w:rsid w:val="00533101"/>
    <w:rsid w:val="00533CA9"/>
    <w:rsid w:val="005346AD"/>
    <w:rsid w:val="00534EFB"/>
    <w:rsid w:val="00534F60"/>
    <w:rsid w:val="005357F1"/>
    <w:rsid w:val="005359BF"/>
    <w:rsid w:val="00535B2F"/>
    <w:rsid w:val="00535C73"/>
    <w:rsid w:val="00535D15"/>
    <w:rsid w:val="00535D5C"/>
    <w:rsid w:val="00536053"/>
    <w:rsid w:val="005363C6"/>
    <w:rsid w:val="005364A4"/>
    <w:rsid w:val="005369E6"/>
    <w:rsid w:val="005371AC"/>
    <w:rsid w:val="00537672"/>
    <w:rsid w:val="005376B5"/>
    <w:rsid w:val="0053772F"/>
    <w:rsid w:val="00537A70"/>
    <w:rsid w:val="00537B64"/>
    <w:rsid w:val="00537B77"/>
    <w:rsid w:val="005409BC"/>
    <w:rsid w:val="00540C4C"/>
    <w:rsid w:val="00541469"/>
    <w:rsid w:val="00541571"/>
    <w:rsid w:val="005419DA"/>
    <w:rsid w:val="00541B1F"/>
    <w:rsid w:val="0054275A"/>
    <w:rsid w:val="005428B8"/>
    <w:rsid w:val="005428BE"/>
    <w:rsid w:val="005428F2"/>
    <w:rsid w:val="00542BD7"/>
    <w:rsid w:val="00543084"/>
    <w:rsid w:val="00543538"/>
    <w:rsid w:val="00543584"/>
    <w:rsid w:val="00543A9E"/>
    <w:rsid w:val="0054413A"/>
    <w:rsid w:val="00544288"/>
    <w:rsid w:val="005446BB"/>
    <w:rsid w:val="00544CA8"/>
    <w:rsid w:val="00544DA5"/>
    <w:rsid w:val="00544F43"/>
    <w:rsid w:val="00545997"/>
    <w:rsid w:val="00545E30"/>
    <w:rsid w:val="00545EA3"/>
    <w:rsid w:val="00545FCF"/>
    <w:rsid w:val="00546C9B"/>
    <w:rsid w:val="00547378"/>
    <w:rsid w:val="00547BF6"/>
    <w:rsid w:val="00547FB3"/>
    <w:rsid w:val="00551098"/>
    <w:rsid w:val="00551598"/>
    <w:rsid w:val="0055162B"/>
    <w:rsid w:val="00551A56"/>
    <w:rsid w:val="00551BFF"/>
    <w:rsid w:val="00551D68"/>
    <w:rsid w:val="00551DFF"/>
    <w:rsid w:val="005525C9"/>
    <w:rsid w:val="00552721"/>
    <w:rsid w:val="00552B3E"/>
    <w:rsid w:val="00553A23"/>
    <w:rsid w:val="00554578"/>
    <w:rsid w:val="00554D57"/>
    <w:rsid w:val="00554F7A"/>
    <w:rsid w:val="005551AA"/>
    <w:rsid w:val="00555BCE"/>
    <w:rsid w:val="00555FFE"/>
    <w:rsid w:val="005564CA"/>
    <w:rsid w:val="005568BD"/>
    <w:rsid w:val="005568EA"/>
    <w:rsid w:val="00557140"/>
    <w:rsid w:val="0055715A"/>
    <w:rsid w:val="0055729E"/>
    <w:rsid w:val="00557984"/>
    <w:rsid w:val="00557A3F"/>
    <w:rsid w:val="00557C18"/>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1B"/>
    <w:rsid w:val="00567AB8"/>
    <w:rsid w:val="00570A26"/>
    <w:rsid w:val="00570C06"/>
    <w:rsid w:val="00570CFD"/>
    <w:rsid w:val="00571872"/>
    <w:rsid w:val="00571C02"/>
    <w:rsid w:val="0057221F"/>
    <w:rsid w:val="00572421"/>
    <w:rsid w:val="00572539"/>
    <w:rsid w:val="00573355"/>
    <w:rsid w:val="0057337D"/>
    <w:rsid w:val="00573504"/>
    <w:rsid w:val="0057355F"/>
    <w:rsid w:val="00573BA3"/>
    <w:rsid w:val="00574708"/>
    <w:rsid w:val="00574D81"/>
    <w:rsid w:val="0057545D"/>
    <w:rsid w:val="005756AA"/>
    <w:rsid w:val="00575B51"/>
    <w:rsid w:val="0057696F"/>
    <w:rsid w:val="005774FE"/>
    <w:rsid w:val="0058040C"/>
    <w:rsid w:val="00580D6D"/>
    <w:rsid w:val="00580FD8"/>
    <w:rsid w:val="005813DE"/>
    <w:rsid w:val="00581796"/>
    <w:rsid w:val="005817BE"/>
    <w:rsid w:val="0058195C"/>
    <w:rsid w:val="00581B45"/>
    <w:rsid w:val="00582480"/>
    <w:rsid w:val="00582805"/>
    <w:rsid w:val="0058290E"/>
    <w:rsid w:val="00582CAB"/>
    <w:rsid w:val="00582FA6"/>
    <w:rsid w:val="005836D5"/>
    <w:rsid w:val="0058375E"/>
    <w:rsid w:val="0058384F"/>
    <w:rsid w:val="00584233"/>
    <w:rsid w:val="005842D0"/>
    <w:rsid w:val="00584329"/>
    <w:rsid w:val="005845FB"/>
    <w:rsid w:val="005855AE"/>
    <w:rsid w:val="00585829"/>
    <w:rsid w:val="00585CA8"/>
    <w:rsid w:val="00586412"/>
    <w:rsid w:val="005864B9"/>
    <w:rsid w:val="00586564"/>
    <w:rsid w:val="005866C4"/>
    <w:rsid w:val="00586A35"/>
    <w:rsid w:val="00590F1A"/>
    <w:rsid w:val="0059149F"/>
    <w:rsid w:val="00591A3A"/>
    <w:rsid w:val="00591C03"/>
    <w:rsid w:val="00591E2A"/>
    <w:rsid w:val="00591E77"/>
    <w:rsid w:val="005923C4"/>
    <w:rsid w:val="0059397D"/>
    <w:rsid w:val="00593C20"/>
    <w:rsid w:val="00593EA2"/>
    <w:rsid w:val="00593F75"/>
    <w:rsid w:val="00593F8E"/>
    <w:rsid w:val="005940A0"/>
    <w:rsid w:val="0059429A"/>
    <w:rsid w:val="00594CBE"/>
    <w:rsid w:val="00594FDD"/>
    <w:rsid w:val="0059607D"/>
    <w:rsid w:val="00596AF7"/>
    <w:rsid w:val="00596CCE"/>
    <w:rsid w:val="005A1976"/>
    <w:rsid w:val="005A2120"/>
    <w:rsid w:val="005A237E"/>
    <w:rsid w:val="005A2501"/>
    <w:rsid w:val="005A2C80"/>
    <w:rsid w:val="005A3066"/>
    <w:rsid w:val="005A3B35"/>
    <w:rsid w:val="005A3C4B"/>
    <w:rsid w:val="005A3D37"/>
    <w:rsid w:val="005A3E5A"/>
    <w:rsid w:val="005A43F3"/>
    <w:rsid w:val="005A496F"/>
    <w:rsid w:val="005A4A56"/>
    <w:rsid w:val="005A5259"/>
    <w:rsid w:val="005A5608"/>
    <w:rsid w:val="005A5A3D"/>
    <w:rsid w:val="005A6035"/>
    <w:rsid w:val="005A6343"/>
    <w:rsid w:val="005A68A9"/>
    <w:rsid w:val="005A6B75"/>
    <w:rsid w:val="005A6B81"/>
    <w:rsid w:val="005A6E00"/>
    <w:rsid w:val="005A718A"/>
    <w:rsid w:val="005A72DD"/>
    <w:rsid w:val="005A7613"/>
    <w:rsid w:val="005A7885"/>
    <w:rsid w:val="005B0E94"/>
    <w:rsid w:val="005B12B2"/>
    <w:rsid w:val="005B143B"/>
    <w:rsid w:val="005B19BD"/>
    <w:rsid w:val="005B1E45"/>
    <w:rsid w:val="005B21C4"/>
    <w:rsid w:val="005B2A28"/>
    <w:rsid w:val="005B35AB"/>
    <w:rsid w:val="005B3621"/>
    <w:rsid w:val="005B3EBE"/>
    <w:rsid w:val="005B4948"/>
    <w:rsid w:val="005B501D"/>
    <w:rsid w:val="005B5467"/>
    <w:rsid w:val="005B54CC"/>
    <w:rsid w:val="005B6AFA"/>
    <w:rsid w:val="005B6EF7"/>
    <w:rsid w:val="005B71BB"/>
    <w:rsid w:val="005B74AD"/>
    <w:rsid w:val="005B7E96"/>
    <w:rsid w:val="005C0429"/>
    <w:rsid w:val="005C06A5"/>
    <w:rsid w:val="005C084F"/>
    <w:rsid w:val="005C0EE9"/>
    <w:rsid w:val="005C169F"/>
    <w:rsid w:val="005C16A8"/>
    <w:rsid w:val="005C1716"/>
    <w:rsid w:val="005C17AB"/>
    <w:rsid w:val="005C1954"/>
    <w:rsid w:val="005C1C0B"/>
    <w:rsid w:val="005C1E6A"/>
    <w:rsid w:val="005C2011"/>
    <w:rsid w:val="005C366E"/>
    <w:rsid w:val="005C3698"/>
    <w:rsid w:val="005C3B41"/>
    <w:rsid w:val="005C3EA3"/>
    <w:rsid w:val="005C44DE"/>
    <w:rsid w:val="005C5011"/>
    <w:rsid w:val="005C5241"/>
    <w:rsid w:val="005C529E"/>
    <w:rsid w:val="005C57BA"/>
    <w:rsid w:val="005C5C52"/>
    <w:rsid w:val="005C5D3D"/>
    <w:rsid w:val="005C5D7A"/>
    <w:rsid w:val="005C5F05"/>
    <w:rsid w:val="005C6186"/>
    <w:rsid w:val="005C6CF7"/>
    <w:rsid w:val="005C6D19"/>
    <w:rsid w:val="005C6FA4"/>
    <w:rsid w:val="005C7E45"/>
    <w:rsid w:val="005C7F3E"/>
    <w:rsid w:val="005C7FEA"/>
    <w:rsid w:val="005D0608"/>
    <w:rsid w:val="005D06D3"/>
    <w:rsid w:val="005D0C3B"/>
    <w:rsid w:val="005D0E51"/>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3C8"/>
    <w:rsid w:val="005D6651"/>
    <w:rsid w:val="005D691D"/>
    <w:rsid w:val="005D697C"/>
    <w:rsid w:val="005D6A72"/>
    <w:rsid w:val="005D6F38"/>
    <w:rsid w:val="005D791B"/>
    <w:rsid w:val="005D7CF2"/>
    <w:rsid w:val="005D7F92"/>
    <w:rsid w:val="005E022D"/>
    <w:rsid w:val="005E062C"/>
    <w:rsid w:val="005E09E9"/>
    <w:rsid w:val="005E0D7B"/>
    <w:rsid w:val="005E1096"/>
    <w:rsid w:val="005E1595"/>
    <w:rsid w:val="005E1F1D"/>
    <w:rsid w:val="005E273D"/>
    <w:rsid w:val="005E2FDD"/>
    <w:rsid w:val="005E3278"/>
    <w:rsid w:val="005E363B"/>
    <w:rsid w:val="005E369A"/>
    <w:rsid w:val="005E3736"/>
    <w:rsid w:val="005E3930"/>
    <w:rsid w:val="005E4B72"/>
    <w:rsid w:val="005E4C97"/>
    <w:rsid w:val="005E52C9"/>
    <w:rsid w:val="005E5EE6"/>
    <w:rsid w:val="005E76AE"/>
    <w:rsid w:val="005E781C"/>
    <w:rsid w:val="005E7C29"/>
    <w:rsid w:val="005F2D8B"/>
    <w:rsid w:val="005F305B"/>
    <w:rsid w:val="005F3285"/>
    <w:rsid w:val="005F3361"/>
    <w:rsid w:val="005F353C"/>
    <w:rsid w:val="005F361A"/>
    <w:rsid w:val="005F3B47"/>
    <w:rsid w:val="005F432C"/>
    <w:rsid w:val="005F4481"/>
    <w:rsid w:val="005F47AC"/>
    <w:rsid w:val="005F4995"/>
    <w:rsid w:val="005F49AF"/>
    <w:rsid w:val="005F4A58"/>
    <w:rsid w:val="005F54DF"/>
    <w:rsid w:val="005F5888"/>
    <w:rsid w:val="005F5984"/>
    <w:rsid w:val="005F5EAB"/>
    <w:rsid w:val="005F6170"/>
    <w:rsid w:val="005F6CE2"/>
    <w:rsid w:val="005F6EC8"/>
    <w:rsid w:val="005F6F24"/>
    <w:rsid w:val="005F72E9"/>
    <w:rsid w:val="005F780B"/>
    <w:rsid w:val="005F7CE3"/>
    <w:rsid w:val="0060009C"/>
    <w:rsid w:val="00600473"/>
    <w:rsid w:val="0060139A"/>
    <w:rsid w:val="006013C9"/>
    <w:rsid w:val="006019E2"/>
    <w:rsid w:val="00602931"/>
    <w:rsid w:val="00602B45"/>
    <w:rsid w:val="00603260"/>
    <w:rsid w:val="00603499"/>
    <w:rsid w:val="006035F5"/>
    <w:rsid w:val="00603CC2"/>
    <w:rsid w:val="006047D1"/>
    <w:rsid w:val="006048A4"/>
    <w:rsid w:val="00604A55"/>
    <w:rsid w:val="00604D4E"/>
    <w:rsid w:val="00604E3E"/>
    <w:rsid w:val="00605AC3"/>
    <w:rsid w:val="00606671"/>
    <w:rsid w:val="00606908"/>
    <w:rsid w:val="0060776B"/>
    <w:rsid w:val="00607996"/>
    <w:rsid w:val="00607A37"/>
    <w:rsid w:val="00607CB3"/>
    <w:rsid w:val="00607E9F"/>
    <w:rsid w:val="006100CB"/>
    <w:rsid w:val="0061085E"/>
    <w:rsid w:val="00610EED"/>
    <w:rsid w:val="006112A7"/>
    <w:rsid w:val="00611398"/>
    <w:rsid w:val="006113B4"/>
    <w:rsid w:val="006115E7"/>
    <w:rsid w:val="0061186D"/>
    <w:rsid w:val="00612322"/>
    <w:rsid w:val="006123C0"/>
    <w:rsid w:val="006129AB"/>
    <w:rsid w:val="00613191"/>
    <w:rsid w:val="006133F9"/>
    <w:rsid w:val="006134B3"/>
    <w:rsid w:val="006139A9"/>
    <w:rsid w:val="00613DE1"/>
    <w:rsid w:val="0061401F"/>
    <w:rsid w:val="00614166"/>
    <w:rsid w:val="00614817"/>
    <w:rsid w:val="006149CC"/>
    <w:rsid w:val="006157A9"/>
    <w:rsid w:val="0061591D"/>
    <w:rsid w:val="00615ED0"/>
    <w:rsid w:val="0061604C"/>
    <w:rsid w:val="00616C2B"/>
    <w:rsid w:val="00616D7F"/>
    <w:rsid w:val="006178D1"/>
    <w:rsid w:val="00617D72"/>
    <w:rsid w:val="006200F7"/>
    <w:rsid w:val="00620719"/>
    <w:rsid w:val="00620AE1"/>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7D5"/>
    <w:rsid w:val="00625DF2"/>
    <w:rsid w:val="006266D7"/>
    <w:rsid w:val="00626D42"/>
    <w:rsid w:val="00626E88"/>
    <w:rsid w:val="00626EE3"/>
    <w:rsid w:val="00627145"/>
    <w:rsid w:val="006274AD"/>
    <w:rsid w:val="00627519"/>
    <w:rsid w:val="00627532"/>
    <w:rsid w:val="006302AA"/>
    <w:rsid w:val="006310C3"/>
    <w:rsid w:val="0063161E"/>
    <w:rsid w:val="00631BB5"/>
    <w:rsid w:val="00631DD0"/>
    <w:rsid w:val="00633DBF"/>
    <w:rsid w:val="00634122"/>
    <w:rsid w:val="0063444B"/>
    <w:rsid w:val="00634BEF"/>
    <w:rsid w:val="00635E32"/>
    <w:rsid w:val="006360FC"/>
    <w:rsid w:val="006361C9"/>
    <w:rsid w:val="00636405"/>
    <w:rsid w:val="006365DE"/>
    <w:rsid w:val="00636BE4"/>
    <w:rsid w:val="00636F88"/>
    <w:rsid w:val="0063732C"/>
    <w:rsid w:val="006375C6"/>
    <w:rsid w:val="00637802"/>
    <w:rsid w:val="00637836"/>
    <w:rsid w:val="00637C26"/>
    <w:rsid w:val="00637F44"/>
    <w:rsid w:val="0064075F"/>
    <w:rsid w:val="00641078"/>
    <w:rsid w:val="00641242"/>
    <w:rsid w:val="00641761"/>
    <w:rsid w:val="00642126"/>
    <w:rsid w:val="00642A32"/>
    <w:rsid w:val="00642B8E"/>
    <w:rsid w:val="00642F7C"/>
    <w:rsid w:val="006433D5"/>
    <w:rsid w:val="00643412"/>
    <w:rsid w:val="00643A0A"/>
    <w:rsid w:val="00645254"/>
    <w:rsid w:val="00645747"/>
    <w:rsid w:val="00645844"/>
    <w:rsid w:val="00645CEB"/>
    <w:rsid w:val="00645E63"/>
    <w:rsid w:val="00646B20"/>
    <w:rsid w:val="00646D0F"/>
    <w:rsid w:val="00646D61"/>
    <w:rsid w:val="00647A36"/>
    <w:rsid w:val="00647DCC"/>
    <w:rsid w:val="00647E8E"/>
    <w:rsid w:val="00647EFA"/>
    <w:rsid w:val="00647F14"/>
    <w:rsid w:val="00650027"/>
    <w:rsid w:val="00650E89"/>
    <w:rsid w:val="0065157A"/>
    <w:rsid w:val="006516E6"/>
    <w:rsid w:val="00651B9C"/>
    <w:rsid w:val="00651C47"/>
    <w:rsid w:val="00652E70"/>
    <w:rsid w:val="0065339A"/>
    <w:rsid w:val="00653469"/>
    <w:rsid w:val="0065443A"/>
    <w:rsid w:val="00654A38"/>
    <w:rsid w:val="00655301"/>
    <w:rsid w:val="00655371"/>
    <w:rsid w:val="00655507"/>
    <w:rsid w:val="0065594B"/>
    <w:rsid w:val="00655D07"/>
    <w:rsid w:val="006564A5"/>
    <w:rsid w:val="006568A6"/>
    <w:rsid w:val="00656C4B"/>
    <w:rsid w:val="006572A7"/>
    <w:rsid w:val="006573EA"/>
    <w:rsid w:val="006577C9"/>
    <w:rsid w:val="0066056A"/>
    <w:rsid w:val="006606A4"/>
    <w:rsid w:val="00661029"/>
    <w:rsid w:val="006610C3"/>
    <w:rsid w:val="0066135A"/>
    <w:rsid w:val="00661A38"/>
    <w:rsid w:val="0066272D"/>
    <w:rsid w:val="00662795"/>
    <w:rsid w:val="006627A8"/>
    <w:rsid w:val="00662E58"/>
    <w:rsid w:val="00662F39"/>
    <w:rsid w:val="006631E1"/>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37"/>
    <w:rsid w:val="00667ED8"/>
    <w:rsid w:val="00670332"/>
    <w:rsid w:val="006703D0"/>
    <w:rsid w:val="0067064C"/>
    <w:rsid w:val="00670B20"/>
    <w:rsid w:val="00670E12"/>
    <w:rsid w:val="00670F27"/>
    <w:rsid w:val="00672E80"/>
    <w:rsid w:val="0067333F"/>
    <w:rsid w:val="006739E4"/>
    <w:rsid w:val="00673ECF"/>
    <w:rsid w:val="0067426B"/>
    <w:rsid w:val="00674A1B"/>
    <w:rsid w:val="00674D08"/>
    <w:rsid w:val="00674F1C"/>
    <w:rsid w:val="006754F8"/>
    <w:rsid w:val="006760EE"/>
    <w:rsid w:val="00676127"/>
    <w:rsid w:val="00676AED"/>
    <w:rsid w:val="006770AE"/>
    <w:rsid w:val="00677212"/>
    <w:rsid w:val="006772CD"/>
    <w:rsid w:val="00677F26"/>
    <w:rsid w:val="00680067"/>
    <w:rsid w:val="006800EE"/>
    <w:rsid w:val="006802A7"/>
    <w:rsid w:val="00680A86"/>
    <w:rsid w:val="00680FEA"/>
    <w:rsid w:val="006811C9"/>
    <w:rsid w:val="00681267"/>
    <w:rsid w:val="006812CE"/>
    <w:rsid w:val="0068246F"/>
    <w:rsid w:val="006826C1"/>
    <w:rsid w:val="00682C89"/>
    <w:rsid w:val="006832B8"/>
    <w:rsid w:val="00683329"/>
    <w:rsid w:val="0068355D"/>
    <w:rsid w:val="006837B2"/>
    <w:rsid w:val="00683800"/>
    <w:rsid w:val="006840F3"/>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8F7"/>
    <w:rsid w:val="00690977"/>
    <w:rsid w:val="00690DE9"/>
    <w:rsid w:val="0069136E"/>
    <w:rsid w:val="00691563"/>
    <w:rsid w:val="00691DE9"/>
    <w:rsid w:val="00691EAA"/>
    <w:rsid w:val="00692245"/>
    <w:rsid w:val="00692634"/>
    <w:rsid w:val="00692745"/>
    <w:rsid w:val="00692C31"/>
    <w:rsid w:val="00692FFA"/>
    <w:rsid w:val="00693772"/>
    <w:rsid w:val="006937C1"/>
    <w:rsid w:val="00693984"/>
    <w:rsid w:val="00693B77"/>
    <w:rsid w:val="00694160"/>
    <w:rsid w:val="00694E8B"/>
    <w:rsid w:val="00694E99"/>
    <w:rsid w:val="006959A5"/>
    <w:rsid w:val="00695C0C"/>
    <w:rsid w:val="00696736"/>
    <w:rsid w:val="00696A05"/>
    <w:rsid w:val="00696A69"/>
    <w:rsid w:val="00697665"/>
    <w:rsid w:val="00697C9A"/>
    <w:rsid w:val="00697E68"/>
    <w:rsid w:val="00697FC1"/>
    <w:rsid w:val="006A0274"/>
    <w:rsid w:val="006A0739"/>
    <w:rsid w:val="006A26F0"/>
    <w:rsid w:val="006A27BC"/>
    <w:rsid w:val="006A2A43"/>
    <w:rsid w:val="006A2BF1"/>
    <w:rsid w:val="006A2F9A"/>
    <w:rsid w:val="006A3088"/>
    <w:rsid w:val="006A34E4"/>
    <w:rsid w:val="006A353C"/>
    <w:rsid w:val="006A35AC"/>
    <w:rsid w:val="006A3A5A"/>
    <w:rsid w:val="006A406D"/>
    <w:rsid w:val="006A44CF"/>
    <w:rsid w:val="006A457D"/>
    <w:rsid w:val="006A4B5A"/>
    <w:rsid w:val="006A4C06"/>
    <w:rsid w:val="006A55EE"/>
    <w:rsid w:val="006A575B"/>
    <w:rsid w:val="006A59DE"/>
    <w:rsid w:val="006A64C6"/>
    <w:rsid w:val="006A6655"/>
    <w:rsid w:val="006A6BF9"/>
    <w:rsid w:val="006A6CB2"/>
    <w:rsid w:val="006A7AB8"/>
    <w:rsid w:val="006A7CB5"/>
    <w:rsid w:val="006A7FD0"/>
    <w:rsid w:val="006B025C"/>
    <w:rsid w:val="006B04DB"/>
    <w:rsid w:val="006B056A"/>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195"/>
    <w:rsid w:val="006C189C"/>
    <w:rsid w:val="006C2454"/>
    <w:rsid w:val="006C2551"/>
    <w:rsid w:val="006C27B9"/>
    <w:rsid w:val="006C2B93"/>
    <w:rsid w:val="006C37CA"/>
    <w:rsid w:val="006C39AE"/>
    <w:rsid w:val="006C40D2"/>
    <w:rsid w:val="006C4B85"/>
    <w:rsid w:val="006C4BBD"/>
    <w:rsid w:val="006C551E"/>
    <w:rsid w:val="006C588C"/>
    <w:rsid w:val="006C5B15"/>
    <w:rsid w:val="006C5D32"/>
    <w:rsid w:val="006C5DCB"/>
    <w:rsid w:val="006C5E39"/>
    <w:rsid w:val="006C6475"/>
    <w:rsid w:val="006C6D36"/>
    <w:rsid w:val="006C70C4"/>
    <w:rsid w:val="006C741F"/>
    <w:rsid w:val="006D04DA"/>
    <w:rsid w:val="006D10F6"/>
    <w:rsid w:val="006D1544"/>
    <w:rsid w:val="006D1688"/>
    <w:rsid w:val="006D1BE1"/>
    <w:rsid w:val="006D1CBF"/>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6C45"/>
    <w:rsid w:val="006D6F72"/>
    <w:rsid w:val="006D712D"/>
    <w:rsid w:val="006D7687"/>
    <w:rsid w:val="006D7D1F"/>
    <w:rsid w:val="006D7D8A"/>
    <w:rsid w:val="006E046C"/>
    <w:rsid w:val="006E0572"/>
    <w:rsid w:val="006E05D8"/>
    <w:rsid w:val="006E08EE"/>
    <w:rsid w:val="006E0F32"/>
    <w:rsid w:val="006E155A"/>
    <w:rsid w:val="006E18BF"/>
    <w:rsid w:val="006E2C34"/>
    <w:rsid w:val="006E359B"/>
    <w:rsid w:val="006E37CD"/>
    <w:rsid w:val="006E39D1"/>
    <w:rsid w:val="006E3B05"/>
    <w:rsid w:val="006E437F"/>
    <w:rsid w:val="006E4D5B"/>
    <w:rsid w:val="006E602F"/>
    <w:rsid w:val="006E6720"/>
    <w:rsid w:val="006E7275"/>
    <w:rsid w:val="006E735F"/>
    <w:rsid w:val="006E77B8"/>
    <w:rsid w:val="006E7AAF"/>
    <w:rsid w:val="006E7F6A"/>
    <w:rsid w:val="006F0F74"/>
    <w:rsid w:val="006F13BA"/>
    <w:rsid w:val="006F15CC"/>
    <w:rsid w:val="006F15F6"/>
    <w:rsid w:val="006F1CD8"/>
    <w:rsid w:val="006F24B6"/>
    <w:rsid w:val="006F36EA"/>
    <w:rsid w:val="006F389F"/>
    <w:rsid w:val="006F4147"/>
    <w:rsid w:val="006F4315"/>
    <w:rsid w:val="006F4CB0"/>
    <w:rsid w:val="006F4F78"/>
    <w:rsid w:val="006F547E"/>
    <w:rsid w:val="006F5CCF"/>
    <w:rsid w:val="006F6F04"/>
    <w:rsid w:val="006F71F5"/>
    <w:rsid w:val="006F72A8"/>
    <w:rsid w:val="006F79BB"/>
    <w:rsid w:val="007000A6"/>
    <w:rsid w:val="00700610"/>
    <w:rsid w:val="0070138A"/>
    <w:rsid w:val="00701417"/>
    <w:rsid w:val="0070157E"/>
    <w:rsid w:val="007021AB"/>
    <w:rsid w:val="007030D4"/>
    <w:rsid w:val="0070327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1F1"/>
    <w:rsid w:val="00710668"/>
    <w:rsid w:val="00710B24"/>
    <w:rsid w:val="00711019"/>
    <w:rsid w:val="007110F4"/>
    <w:rsid w:val="007112B1"/>
    <w:rsid w:val="0071130F"/>
    <w:rsid w:val="007118D2"/>
    <w:rsid w:val="0071223A"/>
    <w:rsid w:val="007122B1"/>
    <w:rsid w:val="00712714"/>
    <w:rsid w:val="007129AB"/>
    <w:rsid w:val="00712B63"/>
    <w:rsid w:val="00712E5F"/>
    <w:rsid w:val="00713526"/>
    <w:rsid w:val="00713FC5"/>
    <w:rsid w:val="007146B1"/>
    <w:rsid w:val="00714CCD"/>
    <w:rsid w:val="00714DCA"/>
    <w:rsid w:val="007150F3"/>
    <w:rsid w:val="00715BBF"/>
    <w:rsid w:val="00715C29"/>
    <w:rsid w:val="00715CBD"/>
    <w:rsid w:val="00715DC3"/>
    <w:rsid w:val="00715EAA"/>
    <w:rsid w:val="00716119"/>
    <w:rsid w:val="00716630"/>
    <w:rsid w:val="007169B3"/>
    <w:rsid w:val="00716BB0"/>
    <w:rsid w:val="00716CAD"/>
    <w:rsid w:val="00716CD3"/>
    <w:rsid w:val="00716F18"/>
    <w:rsid w:val="00717024"/>
    <w:rsid w:val="00717363"/>
    <w:rsid w:val="00717786"/>
    <w:rsid w:val="00717ACB"/>
    <w:rsid w:val="007200F3"/>
    <w:rsid w:val="0072138B"/>
    <w:rsid w:val="00721BFF"/>
    <w:rsid w:val="007232EE"/>
    <w:rsid w:val="00723445"/>
    <w:rsid w:val="00723475"/>
    <w:rsid w:val="007236C4"/>
    <w:rsid w:val="007242B0"/>
    <w:rsid w:val="00724635"/>
    <w:rsid w:val="00724F21"/>
    <w:rsid w:val="007250CE"/>
    <w:rsid w:val="00725134"/>
    <w:rsid w:val="0072554B"/>
    <w:rsid w:val="0072571F"/>
    <w:rsid w:val="00725AFD"/>
    <w:rsid w:val="00726603"/>
    <w:rsid w:val="007266AC"/>
    <w:rsid w:val="007274EC"/>
    <w:rsid w:val="00727B1D"/>
    <w:rsid w:val="00727DDC"/>
    <w:rsid w:val="0073096F"/>
    <w:rsid w:val="00730CD6"/>
    <w:rsid w:val="00730F74"/>
    <w:rsid w:val="0073114B"/>
    <w:rsid w:val="00732151"/>
    <w:rsid w:val="0073250A"/>
    <w:rsid w:val="00732A99"/>
    <w:rsid w:val="00732EBC"/>
    <w:rsid w:val="00733616"/>
    <w:rsid w:val="00734952"/>
    <w:rsid w:val="00734987"/>
    <w:rsid w:val="00734990"/>
    <w:rsid w:val="00734FF5"/>
    <w:rsid w:val="00735B4E"/>
    <w:rsid w:val="00735B78"/>
    <w:rsid w:val="00735DA7"/>
    <w:rsid w:val="00736700"/>
    <w:rsid w:val="007368B4"/>
    <w:rsid w:val="00737596"/>
    <w:rsid w:val="007378E0"/>
    <w:rsid w:val="00737BB0"/>
    <w:rsid w:val="0074040E"/>
    <w:rsid w:val="00740529"/>
    <w:rsid w:val="00740876"/>
    <w:rsid w:val="00740B7A"/>
    <w:rsid w:val="00741358"/>
    <w:rsid w:val="00741612"/>
    <w:rsid w:val="00741626"/>
    <w:rsid w:val="00742332"/>
    <w:rsid w:val="00742886"/>
    <w:rsid w:val="00742A3A"/>
    <w:rsid w:val="00742DD2"/>
    <w:rsid w:val="0074348F"/>
    <w:rsid w:val="007437C6"/>
    <w:rsid w:val="007441A2"/>
    <w:rsid w:val="00744C27"/>
    <w:rsid w:val="00744E80"/>
    <w:rsid w:val="00745035"/>
    <w:rsid w:val="0074531C"/>
    <w:rsid w:val="00745547"/>
    <w:rsid w:val="0074561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FA8"/>
    <w:rsid w:val="00750FB5"/>
    <w:rsid w:val="00751CAE"/>
    <w:rsid w:val="007520F0"/>
    <w:rsid w:val="007522E8"/>
    <w:rsid w:val="007529DB"/>
    <w:rsid w:val="007534AD"/>
    <w:rsid w:val="00753BAC"/>
    <w:rsid w:val="00753C29"/>
    <w:rsid w:val="00754282"/>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D7D"/>
    <w:rsid w:val="00760EB6"/>
    <w:rsid w:val="0076160E"/>
    <w:rsid w:val="007616DB"/>
    <w:rsid w:val="00761AB7"/>
    <w:rsid w:val="00761CE6"/>
    <w:rsid w:val="0076228A"/>
    <w:rsid w:val="00762440"/>
    <w:rsid w:val="00762499"/>
    <w:rsid w:val="0076275B"/>
    <w:rsid w:val="007629B7"/>
    <w:rsid w:val="00762E60"/>
    <w:rsid w:val="00762F54"/>
    <w:rsid w:val="007634AD"/>
    <w:rsid w:val="0076445F"/>
    <w:rsid w:val="00764C62"/>
    <w:rsid w:val="00764EB6"/>
    <w:rsid w:val="00764EC5"/>
    <w:rsid w:val="007651EF"/>
    <w:rsid w:val="0076676D"/>
    <w:rsid w:val="007669FA"/>
    <w:rsid w:val="00766D49"/>
    <w:rsid w:val="00766ECC"/>
    <w:rsid w:val="007672F3"/>
    <w:rsid w:val="007677B5"/>
    <w:rsid w:val="007678B1"/>
    <w:rsid w:val="007708A8"/>
    <w:rsid w:val="00772100"/>
    <w:rsid w:val="0077219B"/>
    <w:rsid w:val="00772275"/>
    <w:rsid w:val="0077299F"/>
    <w:rsid w:val="00772C9A"/>
    <w:rsid w:val="007734E4"/>
    <w:rsid w:val="007735DA"/>
    <w:rsid w:val="0077380D"/>
    <w:rsid w:val="00773BC8"/>
    <w:rsid w:val="00774549"/>
    <w:rsid w:val="0077466F"/>
    <w:rsid w:val="007752B7"/>
    <w:rsid w:val="007759A8"/>
    <w:rsid w:val="00775C27"/>
    <w:rsid w:val="00775D98"/>
    <w:rsid w:val="007764F5"/>
    <w:rsid w:val="007768DF"/>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2FD6"/>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0B9B"/>
    <w:rsid w:val="0079146D"/>
    <w:rsid w:val="00791735"/>
    <w:rsid w:val="00791C32"/>
    <w:rsid w:val="00791FF0"/>
    <w:rsid w:val="00792395"/>
    <w:rsid w:val="007923D0"/>
    <w:rsid w:val="007930D3"/>
    <w:rsid w:val="0079381F"/>
    <w:rsid w:val="00793A57"/>
    <w:rsid w:val="00793B2E"/>
    <w:rsid w:val="007948F5"/>
    <w:rsid w:val="0079524C"/>
    <w:rsid w:val="00795647"/>
    <w:rsid w:val="00795DC3"/>
    <w:rsid w:val="007963F6"/>
    <w:rsid w:val="00796DC8"/>
    <w:rsid w:val="00796E80"/>
    <w:rsid w:val="0079744F"/>
    <w:rsid w:val="0079776F"/>
    <w:rsid w:val="007979AD"/>
    <w:rsid w:val="00797A9C"/>
    <w:rsid w:val="007A009B"/>
    <w:rsid w:val="007A0502"/>
    <w:rsid w:val="007A0EAB"/>
    <w:rsid w:val="007A1D7A"/>
    <w:rsid w:val="007A2341"/>
    <w:rsid w:val="007A24BF"/>
    <w:rsid w:val="007A2754"/>
    <w:rsid w:val="007A2CE2"/>
    <w:rsid w:val="007A38A1"/>
    <w:rsid w:val="007A3BBE"/>
    <w:rsid w:val="007A3E74"/>
    <w:rsid w:val="007A4766"/>
    <w:rsid w:val="007A5947"/>
    <w:rsid w:val="007A717B"/>
    <w:rsid w:val="007A72C3"/>
    <w:rsid w:val="007A755D"/>
    <w:rsid w:val="007A7714"/>
    <w:rsid w:val="007A77D4"/>
    <w:rsid w:val="007A7844"/>
    <w:rsid w:val="007B02C7"/>
    <w:rsid w:val="007B0302"/>
    <w:rsid w:val="007B0313"/>
    <w:rsid w:val="007B0854"/>
    <w:rsid w:val="007B0E48"/>
    <w:rsid w:val="007B1D1B"/>
    <w:rsid w:val="007B209C"/>
    <w:rsid w:val="007B21AA"/>
    <w:rsid w:val="007B2265"/>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B7F07"/>
    <w:rsid w:val="007B7FFC"/>
    <w:rsid w:val="007C02F3"/>
    <w:rsid w:val="007C097D"/>
    <w:rsid w:val="007C0AF2"/>
    <w:rsid w:val="007C1672"/>
    <w:rsid w:val="007C17AE"/>
    <w:rsid w:val="007C24EE"/>
    <w:rsid w:val="007C312A"/>
    <w:rsid w:val="007C3538"/>
    <w:rsid w:val="007C3570"/>
    <w:rsid w:val="007C3F3B"/>
    <w:rsid w:val="007C4097"/>
    <w:rsid w:val="007C4241"/>
    <w:rsid w:val="007C425E"/>
    <w:rsid w:val="007C449F"/>
    <w:rsid w:val="007C44AD"/>
    <w:rsid w:val="007C55FF"/>
    <w:rsid w:val="007C6339"/>
    <w:rsid w:val="007C643C"/>
    <w:rsid w:val="007C683D"/>
    <w:rsid w:val="007C6C7F"/>
    <w:rsid w:val="007C753F"/>
    <w:rsid w:val="007C7C43"/>
    <w:rsid w:val="007C7E15"/>
    <w:rsid w:val="007C7F0D"/>
    <w:rsid w:val="007D03B0"/>
    <w:rsid w:val="007D06E3"/>
    <w:rsid w:val="007D09A2"/>
    <w:rsid w:val="007D09E4"/>
    <w:rsid w:val="007D1134"/>
    <w:rsid w:val="007D1E65"/>
    <w:rsid w:val="007D231B"/>
    <w:rsid w:val="007D23F7"/>
    <w:rsid w:val="007D2566"/>
    <w:rsid w:val="007D2A0A"/>
    <w:rsid w:val="007D2C18"/>
    <w:rsid w:val="007D2D74"/>
    <w:rsid w:val="007D2DF7"/>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AF7"/>
    <w:rsid w:val="007E3F4A"/>
    <w:rsid w:val="007E4E04"/>
    <w:rsid w:val="007E4F0D"/>
    <w:rsid w:val="007E564D"/>
    <w:rsid w:val="007E5C4A"/>
    <w:rsid w:val="007E64D4"/>
    <w:rsid w:val="007E66E9"/>
    <w:rsid w:val="007E69F2"/>
    <w:rsid w:val="007E7432"/>
    <w:rsid w:val="007E74BF"/>
    <w:rsid w:val="007E7657"/>
    <w:rsid w:val="007E7D2E"/>
    <w:rsid w:val="007F043A"/>
    <w:rsid w:val="007F14D3"/>
    <w:rsid w:val="007F1814"/>
    <w:rsid w:val="007F1D9D"/>
    <w:rsid w:val="007F1E28"/>
    <w:rsid w:val="007F1F63"/>
    <w:rsid w:val="007F22A0"/>
    <w:rsid w:val="007F2902"/>
    <w:rsid w:val="007F2903"/>
    <w:rsid w:val="007F2F90"/>
    <w:rsid w:val="007F3320"/>
    <w:rsid w:val="007F344B"/>
    <w:rsid w:val="007F3AC1"/>
    <w:rsid w:val="007F4938"/>
    <w:rsid w:val="007F4976"/>
    <w:rsid w:val="007F4B40"/>
    <w:rsid w:val="007F5A56"/>
    <w:rsid w:val="007F5D42"/>
    <w:rsid w:val="007F616E"/>
    <w:rsid w:val="007F6B46"/>
    <w:rsid w:val="007F7174"/>
    <w:rsid w:val="007F72CB"/>
    <w:rsid w:val="007F736A"/>
    <w:rsid w:val="007F7635"/>
    <w:rsid w:val="007F76AF"/>
    <w:rsid w:val="007F785F"/>
    <w:rsid w:val="007F7961"/>
    <w:rsid w:val="007F7AF6"/>
    <w:rsid w:val="007F7E36"/>
    <w:rsid w:val="008001CE"/>
    <w:rsid w:val="00800E6D"/>
    <w:rsid w:val="008014D9"/>
    <w:rsid w:val="0080150F"/>
    <w:rsid w:val="0080153A"/>
    <w:rsid w:val="00801A2A"/>
    <w:rsid w:val="00802041"/>
    <w:rsid w:val="00802069"/>
    <w:rsid w:val="008022C9"/>
    <w:rsid w:val="00802605"/>
    <w:rsid w:val="00802F9E"/>
    <w:rsid w:val="00803700"/>
    <w:rsid w:val="00803D9D"/>
    <w:rsid w:val="008059C6"/>
    <w:rsid w:val="00805AD7"/>
    <w:rsid w:val="00805BD6"/>
    <w:rsid w:val="00805DE3"/>
    <w:rsid w:val="008066B4"/>
    <w:rsid w:val="00806E74"/>
    <w:rsid w:val="00807C35"/>
    <w:rsid w:val="00807F35"/>
    <w:rsid w:val="00807F69"/>
    <w:rsid w:val="008100F7"/>
    <w:rsid w:val="00810206"/>
    <w:rsid w:val="0081022B"/>
    <w:rsid w:val="00810A15"/>
    <w:rsid w:val="00811898"/>
    <w:rsid w:val="00811CDC"/>
    <w:rsid w:val="00811E2B"/>
    <w:rsid w:val="008124D8"/>
    <w:rsid w:val="0081307D"/>
    <w:rsid w:val="008138C4"/>
    <w:rsid w:val="00813A7B"/>
    <w:rsid w:val="00813F04"/>
    <w:rsid w:val="00814F6B"/>
    <w:rsid w:val="0081513E"/>
    <w:rsid w:val="00815DA5"/>
    <w:rsid w:val="00816215"/>
    <w:rsid w:val="00816221"/>
    <w:rsid w:val="00816A20"/>
    <w:rsid w:val="00816CB9"/>
    <w:rsid w:val="008174F3"/>
    <w:rsid w:val="0081766B"/>
    <w:rsid w:val="008201DE"/>
    <w:rsid w:val="008205AC"/>
    <w:rsid w:val="00820705"/>
    <w:rsid w:val="00820CBF"/>
    <w:rsid w:val="00820FA8"/>
    <w:rsid w:val="008212FD"/>
    <w:rsid w:val="00821489"/>
    <w:rsid w:val="0082168D"/>
    <w:rsid w:val="008217B7"/>
    <w:rsid w:val="008219D2"/>
    <w:rsid w:val="0082239B"/>
    <w:rsid w:val="0082292E"/>
    <w:rsid w:val="00822D06"/>
    <w:rsid w:val="00822EC4"/>
    <w:rsid w:val="0082348D"/>
    <w:rsid w:val="008236BE"/>
    <w:rsid w:val="00824148"/>
    <w:rsid w:val="00824196"/>
    <w:rsid w:val="008241CE"/>
    <w:rsid w:val="00825240"/>
    <w:rsid w:val="00825B43"/>
    <w:rsid w:val="00826F71"/>
    <w:rsid w:val="00827490"/>
    <w:rsid w:val="00827CC0"/>
    <w:rsid w:val="008306AB"/>
    <w:rsid w:val="00831026"/>
    <w:rsid w:val="0083119B"/>
    <w:rsid w:val="00831406"/>
    <w:rsid w:val="00831BAE"/>
    <w:rsid w:val="00832216"/>
    <w:rsid w:val="00832513"/>
    <w:rsid w:val="00832CD0"/>
    <w:rsid w:val="00833430"/>
    <w:rsid w:val="00833ADA"/>
    <w:rsid w:val="00834128"/>
    <w:rsid w:val="0083417F"/>
    <w:rsid w:val="00835143"/>
    <w:rsid w:val="0083569B"/>
    <w:rsid w:val="00835741"/>
    <w:rsid w:val="008364B6"/>
    <w:rsid w:val="00836E00"/>
    <w:rsid w:val="00836E74"/>
    <w:rsid w:val="00836EAB"/>
    <w:rsid w:val="00837673"/>
    <w:rsid w:val="00837937"/>
    <w:rsid w:val="00837D82"/>
    <w:rsid w:val="00840893"/>
    <w:rsid w:val="00840E88"/>
    <w:rsid w:val="008410B1"/>
    <w:rsid w:val="008423EC"/>
    <w:rsid w:val="00842841"/>
    <w:rsid w:val="008429A6"/>
    <w:rsid w:val="00843571"/>
    <w:rsid w:val="00843615"/>
    <w:rsid w:val="00843698"/>
    <w:rsid w:val="00843A4B"/>
    <w:rsid w:val="00843B57"/>
    <w:rsid w:val="00843B60"/>
    <w:rsid w:val="00843D33"/>
    <w:rsid w:val="008444F0"/>
    <w:rsid w:val="00844D4F"/>
    <w:rsid w:val="00844F38"/>
    <w:rsid w:val="00845AE3"/>
    <w:rsid w:val="008466A0"/>
    <w:rsid w:val="008467D6"/>
    <w:rsid w:val="00847535"/>
    <w:rsid w:val="0084760B"/>
    <w:rsid w:val="00847B6D"/>
    <w:rsid w:val="0085092D"/>
    <w:rsid w:val="008509A5"/>
    <w:rsid w:val="00850C79"/>
    <w:rsid w:val="00850D82"/>
    <w:rsid w:val="00850F79"/>
    <w:rsid w:val="0085100B"/>
    <w:rsid w:val="008510A1"/>
    <w:rsid w:val="00852EEF"/>
    <w:rsid w:val="0085304C"/>
    <w:rsid w:val="008536BB"/>
    <w:rsid w:val="00853A3C"/>
    <w:rsid w:val="00854587"/>
    <w:rsid w:val="00854644"/>
    <w:rsid w:val="008548CA"/>
    <w:rsid w:val="008563B0"/>
    <w:rsid w:val="00856C06"/>
    <w:rsid w:val="008574FD"/>
    <w:rsid w:val="0085790B"/>
    <w:rsid w:val="008579B9"/>
    <w:rsid w:val="00857C95"/>
    <w:rsid w:val="00857E78"/>
    <w:rsid w:val="00857F7A"/>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46DB"/>
    <w:rsid w:val="00865059"/>
    <w:rsid w:val="008650BE"/>
    <w:rsid w:val="008654F5"/>
    <w:rsid w:val="00865EAF"/>
    <w:rsid w:val="0086628B"/>
    <w:rsid w:val="0086633B"/>
    <w:rsid w:val="00866495"/>
    <w:rsid w:val="008666A1"/>
    <w:rsid w:val="00866881"/>
    <w:rsid w:val="00866931"/>
    <w:rsid w:val="00867512"/>
    <w:rsid w:val="008678A3"/>
    <w:rsid w:val="00867C13"/>
    <w:rsid w:val="00867C1D"/>
    <w:rsid w:val="0087033C"/>
    <w:rsid w:val="008705B9"/>
    <w:rsid w:val="00870F74"/>
    <w:rsid w:val="008712FB"/>
    <w:rsid w:val="008715ED"/>
    <w:rsid w:val="008717D8"/>
    <w:rsid w:val="00871E3C"/>
    <w:rsid w:val="008721BE"/>
    <w:rsid w:val="00872F97"/>
    <w:rsid w:val="00874607"/>
    <w:rsid w:val="008747E9"/>
    <w:rsid w:val="00874915"/>
    <w:rsid w:val="00874B89"/>
    <w:rsid w:val="00875403"/>
    <w:rsid w:val="00875434"/>
    <w:rsid w:val="00875C1F"/>
    <w:rsid w:val="00876215"/>
    <w:rsid w:val="0087646C"/>
    <w:rsid w:val="00876815"/>
    <w:rsid w:val="00876F36"/>
    <w:rsid w:val="0087767C"/>
    <w:rsid w:val="00877932"/>
    <w:rsid w:val="008808C7"/>
    <w:rsid w:val="0088106B"/>
    <w:rsid w:val="0088107D"/>
    <w:rsid w:val="0088187A"/>
    <w:rsid w:val="00881E64"/>
    <w:rsid w:val="00882ABE"/>
    <w:rsid w:val="00882E39"/>
    <w:rsid w:val="00883559"/>
    <w:rsid w:val="00883775"/>
    <w:rsid w:val="00883C4B"/>
    <w:rsid w:val="008850EB"/>
    <w:rsid w:val="00885228"/>
    <w:rsid w:val="008857E3"/>
    <w:rsid w:val="00886DF2"/>
    <w:rsid w:val="00886FB9"/>
    <w:rsid w:val="00887057"/>
    <w:rsid w:val="00887080"/>
    <w:rsid w:val="00887C79"/>
    <w:rsid w:val="008908DC"/>
    <w:rsid w:val="0089107B"/>
    <w:rsid w:val="008913CC"/>
    <w:rsid w:val="008914AE"/>
    <w:rsid w:val="00891669"/>
    <w:rsid w:val="008919CF"/>
    <w:rsid w:val="00891F84"/>
    <w:rsid w:val="00891FC3"/>
    <w:rsid w:val="008928B6"/>
    <w:rsid w:val="008928EC"/>
    <w:rsid w:val="00892A15"/>
    <w:rsid w:val="00892DE9"/>
    <w:rsid w:val="00892E5D"/>
    <w:rsid w:val="008935CF"/>
    <w:rsid w:val="00893D00"/>
    <w:rsid w:val="0089436B"/>
    <w:rsid w:val="00894436"/>
    <w:rsid w:val="00894BB1"/>
    <w:rsid w:val="008951D0"/>
    <w:rsid w:val="00895442"/>
    <w:rsid w:val="0089582D"/>
    <w:rsid w:val="008959C6"/>
    <w:rsid w:val="0089606D"/>
    <w:rsid w:val="00896129"/>
    <w:rsid w:val="00896316"/>
    <w:rsid w:val="008968FF"/>
    <w:rsid w:val="00896BAF"/>
    <w:rsid w:val="00896BD3"/>
    <w:rsid w:val="00896E34"/>
    <w:rsid w:val="008972AE"/>
    <w:rsid w:val="0089774F"/>
    <w:rsid w:val="00897875"/>
    <w:rsid w:val="00897B8F"/>
    <w:rsid w:val="008A00D9"/>
    <w:rsid w:val="008A07D5"/>
    <w:rsid w:val="008A1A5B"/>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A9A"/>
    <w:rsid w:val="008B1BF5"/>
    <w:rsid w:val="008B23D4"/>
    <w:rsid w:val="008B263F"/>
    <w:rsid w:val="008B3045"/>
    <w:rsid w:val="008B3DDF"/>
    <w:rsid w:val="008B47A6"/>
    <w:rsid w:val="008B5C7C"/>
    <w:rsid w:val="008B63FE"/>
    <w:rsid w:val="008B672C"/>
    <w:rsid w:val="008B6F7D"/>
    <w:rsid w:val="008B7108"/>
    <w:rsid w:val="008B7B81"/>
    <w:rsid w:val="008C065F"/>
    <w:rsid w:val="008C0743"/>
    <w:rsid w:val="008C07BD"/>
    <w:rsid w:val="008C0B4C"/>
    <w:rsid w:val="008C11F0"/>
    <w:rsid w:val="008C1918"/>
    <w:rsid w:val="008C1DBA"/>
    <w:rsid w:val="008C24E7"/>
    <w:rsid w:val="008C2500"/>
    <w:rsid w:val="008C2CAC"/>
    <w:rsid w:val="008C373A"/>
    <w:rsid w:val="008C3B63"/>
    <w:rsid w:val="008C3C57"/>
    <w:rsid w:val="008C3E2A"/>
    <w:rsid w:val="008C4214"/>
    <w:rsid w:val="008C45BD"/>
    <w:rsid w:val="008C4B19"/>
    <w:rsid w:val="008C62D4"/>
    <w:rsid w:val="008C6B89"/>
    <w:rsid w:val="008C6B97"/>
    <w:rsid w:val="008C777A"/>
    <w:rsid w:val="008C7D2F"/>
    <w:rsid w:val="008C7EF7"/>
    <w:rsid w:val="008D094D"/>
    <w:rsid w:val="008D18AA"/>
    <w:rsid w:val="008D1A2A"/>
    <w:rsid w:val="008D1ADE"/>
    <w:rsid w:val="008D277B"/>
    <w:rsid w:val="008D3199"/>
    <w:rsid w:val="008D35D9"/>
    <w:rsid w:val="008D3B36"/>
    <w:rsid w:val="008D3B85"/>
    <w:rsid w:val="008D462D"/>
    <w:rsid w:val="008D6084"/>
    <w:rsid w:val="008D64AC"/>
    <w:rsid w:val="008D656F"/>
    <w:rsid w:val="008D66CA"/>
    <w:rsid w:val="008D69B1"/>
    <w:rsid w:val="008D6DB5"/>
    <w:rsid w:val="008D7338"/>
    <w:rsid w:val="008D785E"/>
    <w:rsid w:val="008D7D66"/>
    <w:rsid w:val="008D7D9D"/>
    <w:rsid w:val="008E0012"/>
    <w:rsid w:val="008E0BE3"/>
    <w:rsid w:val="008E0DF7"/>
    <w:rsid w:val="008E0FAD"/>
    <w:rsid w:val="008E11E4"/>
    <w:rsid w:val="008E1252"/>
    <w:rsid w:val="008E1347"/>
    <w:rsid w:val="008E16E0"/>
    <w:rsid w:val="008E1C15"/>
    <w:rsid w:val="008E1C9A"/>
    <w:rsid w:val="008E2480"/>
    <w:rsid w:val="008E28BD"/>
    <w:rsid w:val="008E2BE6"/>
    <w:rsid w:val="008E30C4"/>
    <w:rsid w:val="008E38B4"/>
    <w:rsid w:val="008E3BA4"/>
    <w:rsid w:val="008E3F17"/>
    <w:rsid w:val="008E44AB"/>
    <w:rsid w:val="008E4CAE"/>
    <w:rsid w:val="008E5179"/>
    <w:rsid w:val="008E57FE"/>
    <w:rsid w:val="008E5E37"/>
    <w:rsid w:val="008E6598"/>
    <w:rsid w:val="008E710F"/>
    <w:rsid w:val="008E7214"/>
    <w:rsid w:val="008E7471"/>
    <w:rsid w:val="008E7497"/>
    <w:rsid w:val="008E7884"/>
    <w:rsid w:val="008E7D6E"/>
    <w:rsid w:val="008F0DF6"/>
    <w:rsid w:val="008F1056"/>
    <w:rsid w:val="008F268D"/>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8F7B3A"/>
    <w:rsid w:val="00900912"/>
    <w:rsid w:val="00901F1D"/>
    <w:rsid w:val="009026F0"/>
    <w:rsid w:val="009028E8"/>
    <w:rsid w:val="00902E5C"/>
    <w:rsid w:val="00903158"/>
    <w:rsid w:val="0090363E"/>
    <w:rsid w:val="00903788"/>
    <w:rsid w:val="00903CA5"/>
    <w:rsid w:val="009046E5"/>
    <w:rsid w:val="009047C5"/>
    <w:rsid w:val="00907BA5"/>
    <w:rsid w:val="00910683"/>
    <w:rsid w:val="00910E00"/>
    <w:rsid w:val="00910E04"/>
    <w:rsid w:val="009116CE"/>
    <w:rsid w:val="00911714"/>
    <w:rsid w:val="00911D04"/>
    <w:rsid w:val="00911D22"/>
    <w:rsid w:val="00911EFF"/>
    <w:rsid w:val="0091310F"/>
    <w:rsid w:val="009136D4"/>
    <w:rsid w:val="00913D24"/>
    <w:rsid w:val="00914B9A"/>
    <w:rsid w:val="00914C3F"/>
    <w:rsid w:val="00914F33"/>
    <w:rsid w:val="00915EFE"/>
    <w:rsid w:val="00915FCE"/>
    <w:rsid w:val="00916AFE"/>
    <w:rsid w:val="00916FC8"/>
    <w:rsid w:val="009170D3"/>
    <w:rsid w:val="0091759C"/>
    <w:rsid w:val="00920026"/>
    <w:rsid w:val="009201D7"/>
    <w:rsid w:val="0092033A"/>
    <w:rsid w:val="009203E2"/>
    <w:rsid w:val="009204C9"/>
    <w:rsid w:val="00920BF5"/>
    <w:rsid w:val="00920F61"/>
    <w:rsid w:val="00921304"/>
    <w:rsid w:val="00921395"/>
    <w:rsid w:val="00921805"/>
    <w:rsid w:val="00921E63"/>
    <w:rsid w:val="00922529"/>
    <w:rsid w:val="00923396"/>
    <w:rsid w:val="0092388E"/>
    <w:rsid w:val="00923F56"/>
    <w:rsid w:val="009242A6"/>
    <w:rsid w:val="00924770"/>
    <w:rsid w:val="00924C7A"/>
    <w:rsid w:val="00925324"/>
    <w:rsid w:val="00925346"/>
    <w:rsid w:val="00925743"/>
    <w:rsid w:val="0092579F"/>
    <w:rsid w:val="0092691D"/>
    <w:rsid w:val="00926E6B"/>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E62"/>
    <w:rsid w:val="00933ED6"/>
    <w:rsid w:val="00933FCB"/>
    <w:rsid w:val="009346C8"/>
    <w:rsid w:val="00934AA4"/>
    <w:rsid w:val="00934CEC"/>
    <w:rsid w:val="00934E69"/>
    <w:rsid w:val="00935672"/>
    <w:rsid w:val="00935DE8"/>
    <w:rsid w:val="00935E70"/>
    <w:rsid w:val="0093603F"/>
    <w:rsid w:val="0093609A"/>
    <w:rsid w:val="00936753"/>
    <w:rsid w:val="009372BA"/>
    <w:rsid w:val="00937401"/>
    <w:rsid w:val="009376FB"/>
    <w:rsid w:val="00937D6B"/>
    <w:rsid w:val="00940477"/>
    <w:rsid w:val="00940876"/>
    <w:rsid w:val="00940A53"/>
    <w:rsid w:val="00940F3C"/>
    <w:rsid w:val="009410E0"/>
    <w:rsid w:val="00941FA9"/>
    <w:rsid w:val="00943024"/>
    <w:rsid w:val="009439B6"/>
    <w:rsid w:val="009444B4"/>
    <w:rsid w:val="00944644"/>
    <w:rsid w:val="00946A24"/>
    <w:rsid w:val="00946BA1"/>
    <w:rsid w:val="009470D4"/>
    <w:rsid w:val="00947337"/>
    <w:rsid w:val="00947916"/>
    <w:rsid w:val="00947E6E"/>
    <w:rsid w:val="00950996"/>
    <w:rsid w:val="009510E1"/>
    <w:rsid w:val="009512FA"/>
    <w:rsid w:val="009516A9"/>
    <w:rsid w:val="00951E57"/>
    <w:rsid w:val="00952350"/>
    <w:rsid w:val="00952505"/>
    <w:rsid w:val="00953018"/>
    <w:rsid w:val="009533E2"/>
    <w:rsid w:val="0095353C"/>
    <w:rsid w:val="00953554"/>
    <w:rsid w:val="0095385A"/>
    <w:rsid w:val="00954F3A"/>
    <w:rsid w:val="009554B7"/>
    <w:rsid w:val="0095593C"/>
    <w:rsid w:val="00955DFD"/>
    <w:rsid w:val="0095674F"/>
    <w:rsid w:val="0095780A"/>
    <w:rsid w:val="009578C3"/>
    <w:rsid w:val="009579E4"/>
    <w:rsid w:val="00957AA4"/>
    <w:rsid w:val="00957ACB"/>
    <w:rsid w:val="00957F27"/>
    <w:rsid w:val="00960BDB"/>
    <w:rsid w:val="0096105C"/>
    <w:rsid w:val="0096147D"/>
    <w:rsid w:val="0096199C"/>
    <w:rsid w:val="00961C14"/>
    <w:rsid w:val="00961D53"/>
    <w:rsid w:val="00961E5F"/>
    <w:rsid w:val="009625C6"/>
    <w:rsid w:val="009629B5"/>
    <w:rsid w:val="00962A50"/>
    <w:rsid w:val="00963550"/>
    <w:rsid w:val="00964138"/>
    <w:rsid w:val="009648D6"/>
    <w:rsid w:val="00964B3F"/>
    <w:rsid w:val="00964C98"/>
    <w:rsid w:val="00964D77"/>
    <w:rsid w:val="00964E63"/>
    <w:rsid w:val="0096555F"/>
    <w:rsid w:val="00966B35"/>
    <w:rsid w:val="00967258"/>
    <w:rsid w:val="00971441"/>
    <w:rsid w:val="00971555"/>
    <w:rsid w:val="009715D4"/>
    <w:rsid w:val="0097179A"/>
    <w:rsid w:val="00971B0A"/>
    <w:rsid w:val="009726DD"/>
    <w:rsid w:val="0097285A"/>
    <w:rsid w:val="009731F4"/>
    <w:rsid w:val="009732A4"/>
    <w:rsid w:val="009737CD"/>
    <w:rsid w:val="00973AB3"/>
    <w:rsid w:val="00973C05"/>
    <w:rsid w:val="0097494E"/>
    <w:rsid w:val="00974999"/>
    <w:rsid w:val="00974B58"/>
    <w:rsid w:val="00974CBD"/>
    <w:rsid w:val="00974D3B"/>
    <w:rsid w:val="00975445"/>
    <w:rsid w:val="009761ED"/>
    <w:rsid w:val="0097626C"/>
    <w:rsid w:val="0098022F"/>
    <w:rsid w:val="009810DE"/>
    <w:rsid w:val="009816EA"/>
    <w:rsid w:val="00981B91"/>
    <w:rsid w:val="009822D7"/>
    <w:rsid w:val="009827E6"/>
    <w:rsid w:val="00982F84"/>
    <w:rsid w:val="009831C3"/>
    <w:rsid w:val="00983C70"/>
    <w:rsid w:val="0098427D"/>
    <w:rsid w:val="00984478"/>
    <w:rsid w:val="00984567"/>
    <w:rsid w:val="00984D24"/>
    <w:rsid w:val="00985102"/>
    <w:rsid w:val="009854BC"/>
    <w:rsid w:val="00985A66"/>
    <w:rsid w:val="00985C76"/>
    <w:rsid w:val="0098606C"/>
    <w:rsid w:val="009865D5"/>
    <w:rsid w:val="009876F2"/>
    <w:rsid w:val="00987C77"/>
    <w:rsid w:val="00987FED"/>
    <w:rsid w:val="00990345"/>
    <w:rsid w:val="00990701"/>
    <w:rsid w:val="00990CC8"/>
    <w:rsid w:val="0099119C"/>
    <w:rsid w:val="0099137A"/>
    <w:rsid w:val="0099211C"/>
    <w:rsid w:val="00993013"/>
    <w:rsid w:val="009930AB"/>
    <w:rsid w:val="00993B78"/>
    <w:rsid w:val="00994779"/>
    <w:rsid w:val="00994C64"/>
    <w:rsid w:val="00994ECC"/>
    <w:rsid w:val="00994F3F"/>
    <w:rsid w:val="00995119"/>
    <w:rsid w:val="0099531F"/>
    <w:rsid w:val="009953AD"/>
    <w:rsid w:val="009957D7"/>
    <w:rsid w:val="0099583D"/>
    <w:rsid w:val="00996020"/>
    <w:rsid w:val="0099629E"/>
    <w:rsid w:val="00996992"/>
    <w:rsid w:val="00996E1E"/>
    <w:rsid w:val="009970A0"/>
    <w:rsid w:val="00997148"/>
    <w:rsid w:val="00997392"/>
    <w:rsid w:val="0099747C"/>
    <w:rsid w:val="0099771C"/>
    <w:rsid w:val="00997FED"/>
    <w:rsid w:val="009A01E4"/>
    <w:rsid w:val="009A0917"/>
    <w:rsid w:val="009A0A33"/>
    <w:rsid w:val="009A10B2"/>
    <w:rsid w:val="009A1351"/>
    <w:rsid w:val="009A2041"/>
    <w:rsid w:val="009A2435"/>
    <w:rsid w:val="009A347B"/>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06D6"/>
    <w:rsid w:val="009B1E6D"/>
    <w:rsid w:val="009B2374"/>
    <w:rsid w:val="009B28D6"/>
    <w:rsid w:val="009B2E29"/>
    <w:rsid w:val="009B2F0B"/>
    <w:rsid w:val="009B3163"/>
    <w:rsid w:val="009B422F"/>
    <w:rsid w:val="009B46BC"/>
    <w:rsid w:val="009B4D1A"/>
    <w:rsid w:val="009B519D"/>
    <w:rsid w:val="009B558B"/>
    <w:rsid w:val="009B5EC2"/>
    <w:rsid w:val="009B663F"/>
    <w:rsid w:val="009B6863"/>
    <w:rsid w:val="009B6D21"/>
    <w:rsid w:val="009B76F4"/>
    <w:rsid w:val="009B78ED"/>
    <w:rsid w:val="009C181C"/>
    <w:rsid w:val="009C1A44"/>
    <w:rsid w:val="009C1C7F"/>
    <w:rsid w:val="009C1EC7"/>
    <w:rsid w:val="009C2210"/>
    <w:rsid w:val="009C28A2"/>
    <w:rsid w:val="009C3239"/>
    <w:rsid w:val="009C3828"/>
    <w:rsid w:val="009C3AD3"/>
    <w:rsid w:val="009C3AF4"/>
    <w:rsid w:val="009C3D2C"/>
    <w:rsid w:val="009C40BD"/>
    <w:rsid w:val="009C4987"/>
    <w:rsid w:val="009C4FDE"/>
    <w:rsid w:val="009C523F"/>
    <w:rsid w:val="009C59BF"/>
    <w:rsid w:val="009C5E4F"/>
    <w:rsid w:val="009C5F64"/>
    <w:rsid w:val="009C5F82"/>
    <w:rsid w:val="009C60EA"/>
    <w:rsid w:val="009C68B8"/>
    <w:rsid w:val="009C6BFC"/>
    <w:rsid w:val="009C70F8"/>
    <w:rsid w:val="009C78A3"/>
    <w:rsid w:val="009C7B7C"/>
    <w:rsid w:val="009C7E68"/>
    <w:rsid w:val="009D00D7"/>
    <w:rsid w:val="009D0156"/>
    <w:rsid w:val="009D03B4"/>
    <w:rsid w:val="009D05DA"/>
    <w:rsid w:val="009D11EF"/>
    <w:rsid w:val="009D11F6"/>
    <w:rsid w:val="009D16C4"/>
    <w:rsid w:val="009D1A14"/>
    <w:rsid w:val="009D1E2A"/>
    <w:rsid w:val="009D1FA0"/>
    <w:rsid w:val="009D2BDF"/>
    <w:rsid w:val="009D315C"/>
    <w:rsid w:val="009D3736"/>
    <w:rsid w:val="009D4228"/>
    <w:rsid w:val="009D4509"/>
    <w:rsid w:val="009D4529"/>
    <w:rsid w:val="009D460F"/>
    <w:rsid w:val="009D4E22"/>
    <w:rsid w:val="009D5AF5"/>
    <w:rsid w:val="009D604F"/>
    <w:rsid w:val="009D61BB"/>
    <w:rsid w:val="009D6410"/>
    <w:rsid w:val="009D68BB"/>
    <w:rsid w:val="009D6909"/>
    <w:rsid w:val="009D700F"/>
    <w:rsid w:val="009D70C2"/>
    <w:rsid w:val="009D7244"/>
    <w:rsid w:val="009D756C"/>
    <w:rsid w:val="009D7ADB"/>
    <w:rsid w:val="009D7B33"/>
    <w:rsid w:val="009E02E5"/>
    <w:rsid w:val="009E0490"/>
    <w:rsid w:val="009E04EA"/>
    <w:rsid w:val="009E06C3"/>
    <w:rsid w:val="009E0703"/>
    <w:rsid w:val="009E07C2"/>
    <w:rsid w:val="009E1035"/>
    <w:rsid w:val="009E16DA"/>
    <w:rsid w:val="009E1CD4"/>
    <w:rsid w:val="009E2391"/>
    <w:rsid w:val="009E2A11"/>
    <w:rsid w:val="009E4101"/>
    <w:rsid w:val="009E46C2"/>
    <w:rsid w:val="009E476A"/>
    <w:rsid w:val="009E48A0"/>
    <w:rsid w:val="009E4A16"/>
    <w:rsid w:val="009E4E05"/>
    <w:rsid w:val="009E56FF"/>
    <w:rsid w:val="009E5CB1"/>
    <w:rsid w:val="009E5E56"/>
    <w:rsid w:val="009E61EA"/>
    <w:rsid w:val="009E6990"/>
    <w:rsid w:val="009E6B8F"/>
    <w:rsid w:val="009E6FEE"/>
    <w:rsid w:val="009E7247"/>
    <w:rsid w:val="009F00B9"/>
    <w:rsid w:val="009F060F"/>
    <w:rsid w:val="009F0781"/>
    <w:rsid w:val="009F0850"/>
    <w:rsid w:val="009F15A8"/>
    <w:rsid w:val="009F1950"/>
    <w:rsid w:val="009F1BDF"/>
    <w:rsid w:val="009F1EAE"/>
    <w:rsid w:val="009F210A"/>
    <w:rsid w:val="009F2732"/>
    <w:rsid w:val="009F2848"/>
    <w:rsid w:val="009F2D15"/>
    <w:rsid w:val="009F369D"/>
    <w:rsid w:val="009F36FE"/>
    <w:rsid w:val="009F44A9"/>
    <w:rsid w:val="009F4990"/>
    <w:rsid w:val="009F4D4C"/>
    <w:rsid w:val="009F4F25"/>
    <w:rsid w:val="009F59C2"/>
    <w:rsid w:val="009F5D47"/>
    <w:rsid w:val="009F69B6"/>
    <w:rsid w:val="009F7263"/>
    <w:rsid w:val="009F76EA"/>
    <w:rsid w:val="009F78EB"/>
    <w:rsid w:val="009F792F"/>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600"/>
    <w:rsid w:val="00A078FB"/>
    <w:rsid w:val="00A10209"/>
    <w:rsid w:val="00A1036D"/>
    <w:rsid w:val="00A1069F"/>
    <w:rsid w:val="00A10ACA"/>
    <w:rsid w:val="00A10D08"/>
    <w:rsid w:val="00A1145B"/>
    <w:rsid w:val="00A11E78"/>
    <w:rsid w:val="00A12355"/>
    <w:rsid w:val="00A12574"/>
    <w:rsid w:val="00A127D2"/>
    <w:rsid w:val="00A1284E"/>
    <w:rsid w:val="00A13CF5"/>
    <w:rsid w:val="00A14368"/>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0A2B"/>
    <w:rsid w:val="00A210D4"/>
    <w:rsid w:val="00A213DD"/>
    <w:rsid w:val="00A21454"/>
    <w:rsid w:val="00A216CE"/>
    <w:rsid w:val="00A22025"/>
    <w:rsid w:val="00A22498"/>
    <w:rsid w:val="00A22571"/>
    <w:rsid w:val="00A2298D"/>
    <w:rsid w:val="00A235E1"/>
    <w:rsid w:val="00A23A34"/>
    <w:rsid w:val="00A23B37"/>
    <w:rsid w:val="00A24560"/>
    <w:rsid w:val="00A25B0F"/>
    <w:rsid w:val="00A25BBB"/>
    <w:rsid w:val="00A27FB6"/>
    <w:rsid w:val="00A30121"/>
    <w:rsid w:val="00A30368"/>
    <w:rsid w:val="00A3043A"/>
    <w:rsid w:val="00A30E02"/>
    <w:rsid w:val="00A30F6A"/>
    <w:rsid w:val="00A31060"/>
    <w:rsid w:val="00A31C3E"/>
    <w:rsid w:val="00A32354"/>
    <w:rsid w:val="00A33A9A"/>
    <w:rsid w:val="00A33C34"/>
    <w:rsid w:val="00A34538"/>
    <w:rsid w:val="00A34677"/>
    <w:rsid w:val="00A3540F"/>
    <w:rsid w:val="00A35630"/>
    <w:rsid w:val="00A35914"/>
    <w:rsid w:val="00A36189"/>
    <w:rsid w:val="00A3677A"/>
    <w:rsid w:val="00A36A0C"/>
    <w:rsid w:val="00A37E73"/>
    <w:rsid w:val="00A37FB6"/>
    <w:rsid w:val="00A40088"/>
    <w:rsid w:val="00A409E2"/>
    <w:rsid w:val="00A40A49"/>
    <w:rsid w:val="00A4104A"/>
    <w:rsid w:val="00A41081"/>
    <w:rsid w:val="00A41189"/>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D07"/>
    <w:rsid w:val="00A44F54"/>
    <w:rsid w:val="00A45F9B"/>
    <w:rsid w:val="00A46383"/>
    <w:rsid w:val="00A46574"/>
    <w:rsid w:val="00A466E7"/>
    <w:rsid w:val="00A47701"/>
    <w:rsid w:val="00A47849"/>
    <w:rsid w:val="00A500B1"/>
    <w:rsid w:val="00A50D03"/>
    <w:rsid w:val="00A52A53"/>
    <w:rsid w:val="00A52EE5"/>
    <w:rsid w:val="00A53037"/>
    <w:rsid w:val="00A532B9"/>
    <w:rsid w:val="00A5351D"/>
    <w:rsid w:val="00A53E79"/>
    <w:rsid w:val="00A54031"/>
    <w:rsid w:val="00A5426D"/>
    <w:rsid w:val="00A54FC2"/>
    <w:rsid w:val="00A55122"/>
    <w:rsid w:val="00A55806"/>
    <w:rsid w:val="00A55CEA"/>
    <w:rsid w:val="00A56A05"/>
    <w:rsid w:val="00A56DE7"/>
    <w:rsid w:val="00A57C5F"/>
    <w:rsid w:val="00A57EB2"/>
    <w:rsid w:val="00A6009E"/>
    <w:rsid w:val="00A60265"/>
    <w:rsid w:val="00A60540"/>
    <w:rsid w:val="00A60B1F"/>
    <w:rsid w:val="00A60CAD"/>
    <w:rsid w:val="00A6144B"/>
    <w:rsid w:val="00A61C60"/>
    <w:rsid w:val="00A62589"/>
    <w:rsid w:val="00A62AD0"/>
    <w:rsid w:val="00A62C3A"/>
    <w:rsid w:val="00A6319C"/>
    <w:rsid w:val="00A63812"/>
    <w:rsid w:val="00A63DF7"/>
    <w:rsid w:val="00A63F2A"/>
    <w:rsid w:val="00A6454D"/>
    <w:rsid w:val="00A64767"/>
    <w:rsid w:val="00A64F2F"/>
    <w:rsid w:val="00A65F3F"/>
    <w:rsid w:val="00A6611E"/>
    <w:rsid w:val="00A668BA"/>
    <w:rsid w:val="00A66FA7"/>
    <w:rsid w:val="00A67170"/>
    <w:rsid w:val="00A67E16"/>
    <w:rsid w:val="00A67EB1"/>
    <w:rsid w:val="00A67F1C"/>
    <w:rsid w:val="00A703CC"/>
    <w:rsid w:val="00A703F7"/>
    <w:rsid w:val="00A709ED"/>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61C8"/>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DE4"/>
    <w:rsid w:val="00A86E0B"/>
    <w:rsid w:val="00A90F12"/>
    <w:rsid w:val="00A915BC"/>
    <w:rsid w:val="00A91DAA"/>
    <w:rsid w:val="00A93101"/>
    <w:rsid w:val="00A93239"/>
    <w:rsid w:val="00A93F5E"/>
    <w:rsid w:val="00A9413E"/>
    <w:rsid w:val="00A94293"/>
    <w:rsid w:val="00A94844"/>
    <w:rsid w:val="00A94877"/>
    <w:rsid w:val="00A9496E"/>
    <w:rsid w:val="00A949F0"/>
    <w:rsid w:val="00A94B77"/>
    <w:rsid w:val="00A94BDE"/>
    <w:rsid w:val="00A94FCA"/>
    <w:rsid w:val="00A955E1"/>
    <w:rsid w:val="00A95E4C"/>
    <w:rsid w:val="00A961CA"/>
    <w:rsid w:val="00A96C60"/>
    <w:rsid w:val="00A96D2E"/>
    <w:rsid w:val="00A9740B"/>
    <w:rsid w:val="00A9766C"/>
    <w:rsid w:val="00A977F8"/>
    <w:rsid w:val="00A979DB"/>
    <w:rsid w:val="00A97A77"/>
    <w:rsid w:val="00A97C93"/>
    <w:rsid w:val="00AA06C6"/>
    <w:rsid w:val="00AA0823"/>
    <w:rsid w:val="00AA08E7"/>
    <w:rsid w:val="00AA09D2"/>
    <w:rsid w:val="00AA0A06"/>
    <w:rsid w:val="00AA1351"/>
    <w:rsid w:val="00AA184C"/>
    <w:rsid w:val="00AA1AF4"/>
    <w:rsid w:val="00AA1C84"/>
    <w:rsid w:val="00AA22B1"/>
    <w:rsid w:val="00AA282D"/>
    <w:rsid w:val="00AA3D7B"/>
    <w:rsid w:val="00AA42A0"/>
    <w:rsid w:val="00AA442B"/>
    <w:rsid w:val="00AA46A4"/>
    <w:rsid w:val="00AA5779"/>
    <w:rsid w:val="00AA58A1"/>
    <w:rsid w:val="00AA61C7"/>
    <w:rsid w:val="00AA6544"/>
    <w:rsid w:val="00AA669D"/>
    <w:rsid w:val="00AA66ED"/>
    <w:rsid w:val="00AA6B59"/>
    <w:rsid w:val="00AA6BE1"/>
    <w:rsid w:val="00AA7416"/>
    <w:rsid w:val="00AA7873"/>
    <w:rsid w:val="00AA7A60"/>
    <w:rsid w:val="00AA7B42"/>
    <w:rsid w:val="00AB041C"/>
    <w:rsid w:val="00AB11C8"/>
    <w:rsid w:val="00AB14E8"/>
    <w:rsid w:val="00AB1B1D"/>
    <w:rsid w:val="00AB1CD8"/>
    <w:rsid w:val="00AB2216"/>
    <w:rsid w:val="00AB358D"/>
    <w:rsid w:val="00AB37A1"/>
    <w:rsid w:val="00AB3BAD"/>
    <w:rsid w:val="00AB3CFD"/>
    <w:rsid w:val="00AB49BC"/>
    <w:rsid w:val="00AB4DEE"/>
    <w:rsid w:val="00AB4E32"/>
    <w:rsid w:val="00AB57B0"/>
    <w:rsid w:val="00AB5C19"/>
    <w:rsid w:val="00AB5FC3"/>
    <w:rsid w:val="00AB63BD"/>
    <w:rsid w:val="00AB6DFE"/>
    <w:rsid w:val="00AB724B"/>
    <w:rsid w:val="00AB726C"/>
    <w:rsid w:val="00AB72B4"/>
    <w:rsid w:val="00AB7549"/>
    <w:rsid w:val="00AB7A7A"/>
    <w:rsid w:val="00AC02AA"/>
    <w:rsid w:val="00AC0537"/>
    <w:rsid w:val="00AC0A84"/>
    <w:rsid w:val="00AC11E8"/>
    <w:rsid w:val="00AC1508"/>
    <w:rsid w:val="00AC2A0B"/>
    <w:rsid w:val="00AC2BEE"/>
    <w:rsid w:val="00AC2E53"/>
    <w:rsid w:val="00AC484F"/>
    <w:rsid w:val="00AC4AD2"/>
    <w:rsid w:val="00AC4B20"/>
    <w:rsid w:val="00AC51BD"/>
    <w:rsid w:val="00AC5395"/>
    <w:rsid w:val="00AC559D"/>
    <w:rsid w:val="00AC55C7"/>
    <w:rsid w:val="00AC56F2"/>
    <w:rsid w:val="00AC5D9D"/>
    <w:rsid w:val="00AC6DDB"/>
    <w:rsid w:val="00AC71C3"/>
    <w:rsid w:val="00AD09F7"/>
    <w:rsid w:val="00AD1DB6"/>
    <w:rsid w:val="00AD1EFA"/>
    <w:rsid w:val="00AD2072"/>
    <w:rsid w:val="00AD2DBD"/>
    <w:rsid w:val="00AD2FBF"/>
    <w:rsid w:val="00AD33A1"/>
    <w:rsid w:val="00AD340E"/>
    <w:rsid w:val="00AD3DAD"/>
    <w:rsid w:val="00AD455D"/>
    <w:rsid w:val="00AD463C"/>
    <w:rsid w:val="00AD4F60"/>
    <w:rsid w:val="00AD5044"/>
    <w:rsid w:val="00AD5114"/>
    <w:rsid w:val="00AD6236"/>
    <w:rsid w:val="00AD69D5"/>
    <w:rsid w:val="00AD7619"/>
    <w:rsid w:val="00AD7770"/>
    <w:rsid w:val="00AE0FDD"/>
    <w:rsid w:val="00AE1772"/>
    <w:rsid w:val="00AE1990"/>
    <w:rsid w:val="00AE2170"/>
    <w:rsid w:val="00AE25E8"/>
    <w:rsid w:val="00AE2AD4"/>
    <w:rsid w:val="00AE2CA7"/>
    <w:rsid w:val="00AE2F1D"/>
    <w:rsid w:val="00AE428F"/>
    <w:rsid w:val="00AE4A7D"/>
    <w:rsid w:val="00AE4C81"/>
    <w:rsid w:val="00AE586F"/>
    <w:rsid w:val="00AE58EE"/>
    <w:rsid w:val="00AE62FE"/>
    <w:rsid w:val="00AE6582"/>
    <w:rsid w:val="00AE6BA3"/>
    <w:rsid w:val="00AE6DC5"/>
    <w:rsid w:val="00AE7686"/>
    <w:rsid w:val="00AE799A"/>
    <w:rsid w:val="00AE7A69"/>
    <w:rsid w:val="00AF0E81"/>
    <w:rsid w:val="00AF117A"/>
    <w:rsid w:val="00AF134E"/>
    <w:rsid w:val="00AF16CA"/>
    <w:rsid w:val="00AF186E"/>
    <w:rsid w:val="00AF19DF"/>
    <w:rsid w:val="00AF1D41"/>
    <w:rsid w:val="00AF1FFF"/>
    <w:rsid w:val="00AF26CF"/>
    <w:rsid w:val="00AF3124"/>
    <w:rsid w:val="00AF344D"/>
    <w:rsid w:val="00AF39B3"/>
    <w:rsid w:val="00AF3C1F"/>
    <w:rsid w:val="00AF3FED"/>
    <w:rsid w:val="00AF4402"/>
    <w:rsid w:val="00AF4639"/>
    <w:rsid w:val="00AF4E92"/>
    <w:rsid w:val="00AF4EF8"/>
    <w:rsid w:val="00AF54C4"/>
    <w:rsid w:val="00AF554B"/>
    <w:rsid w:val="00AF5C9B"/>
    <w:rsid w:val="00AF5CD4"/>
    <w:rsid w:val="00AF5D53"/>
    <w:rsid w:val="00AF5E2D"/>
    <w:rsid w:val="00AF644B"/>
    <w:rsid w:val="00AF69EB"/>
    <w:rsid w:val="00AF6CA6"/>
    <w:rsid w:val="00AF6DEC"/>
    <w:rsid w:val="00AF6EB6"/>
    <w:rsid w:val="00AF778C"/>
    <w:rsid w:val="00AF7796"/>
    <w:rsid w:val="00AF7CF5"/>
    <w:rsid w:val="00B00580"/>
    <w:rsid w:val="00B011A9"/>
    <w:rsid w:val="00B01618"/>
    <w:rsid w:val="00B01BAF"/>
    <w:rsid w:val="00B021A5"/>
    <w:rsid w:val="00B024ED"/>
    <w:rsid w:val="00B026B8"/>
    <w:rsid w:val="00B02EB3"/>
    <w:rsid w:val="00B02F7C"/>
    <w:rsid w:val="00B02FCB"/>
    <w:rsid w:val="00B033F8"/>
    <w:rsid w:val="00B03C1E"/>
    <w:rsid w:val="00B04078"/>
    <w:rsid w:val="00B04400"/>
    <w:rsid w:val="00B04835"/>
    <w:rsid w:val="00B05A55"/>
    <w:rsid w:val="00B05DE1"/>
    <w:rsid w:val="00B06595"/>
    <w:rsid w:val="00B06862"/>
    <w:rsid w:val="00B07008"/>
    <w:rsid w:val="00B10109"/>
    <w:rsid w:val="00B102A0"/>
    <w:rsid w:val="00B1085E"/>
    <w:rsid w:val="00B10FD1"/>
    <w:rsid w:val="00B112D5"/>
    <w:rsid w:val="00B11378"/>
    <w:rsid w:val="00B1219D"/>
    <w:rsid w:val="00B124B1"/>
    <w:rsid w:val="00B12735"/>
    <w:rsid w:val="00B12F44"/>
    <w:rsid w:val="00B13C48"/>
    <w:rsid w:val="00B13E35"/>
    <w:rsid w:val="00B13EC0"/>
    <w:rsid w:val="00B14102"/>
    <w:rsid w:val="00B14478"/>
    <w:rsid w:val="00B14D32"/>
    <w:rsid w:val="00B1507C"/>
    <w:rsid w:val="00B1557C"/>
    <w:rsid w:val="00B155DC"/>
    <w:rsid w:val="00B15766"/>
    <w:rsid w:val="00B15E4A"/>
    <w:rsid w:val="00B1666A"/>
    <w:rsid w:val="00B167C8"/>
    <w:rsid w:val="00B1686D"/>
    <w:rsid w:val="00B1695F"/>
    <w:rsid w:val="00B16BF7"/>
    <w:rsid w:val="00B17129"/>
    <w:rsid w:val="00B171C0"/>
    <w:rsid w:val="00B1741D"/>
    <w:rsid w:val="00B17447"/>
    <w:rsid w:val="00B17719"/>
    <w:rsid w:val="00B1771D"/>
    <w:rsid w:val="00B17B91"/>
    <w:rsid w:val="00B20209"/>
    <w:rsid w:val="00B203C9"/>
    <w:rsid w:val="00B2088D"/>
    <w:rsid w:val="00B208FF"/>
    <w:rsid w:val="00B21271"/>
    <w:rsid w:val="00B22B57"/>
    <w:rsid w:val="00B22E22"/>
    <w:rsid w:val="00B22F5F"/>
    <w:rsid w:val="00B23353"/>
    <w:rsid w:val="00B23490"/>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6CD3"/>
    <w:rsid w:val="00B27875"/>
    <w:rsid w:val="00B3008D"/>
    <w:rsid w:val="00B302C7"/>
    <w:rsid w:val="00B30884"/>
    <w:rsid w:val="00B30E11"/>
    <w:rsid w:val="00B30EAE"/>
    <w:rsid w:val="00B30EEB"/>
    <w:rsid w:val="00B30F09"/>
    <w:rsid w:val="00B31423"/>
    <w:rsid w:val="00B31619"/>
    <w:rsid w:val="00B317AE"/>
    <w:rsid w:val="00B323E0"/>
    <w:rsid w:val="00B32525"/>
    <w:rsid w:val="00B32DC0"/>
    <w:rsid w:val="00B32E31"/>
    <w:rsid w:val="00B3346C"/>
    <w:rsid w:val="00B335E4"/>
    <w:rsid w:val="00B33C23"/>
    <w:rsid w:val="00B345B4"/>
    <w:rsid w:val="00B348B1"/>
    <w:rsid w:val="00B34A28"/>
    <w:rsid w:val="00B35046"/>
    <w:rsid w:val="00B357F4"/>
    <w:rsid w:val="00B35B6A"/>
    <w:rsid w:val="00B36D2B"/>
    <w:rsid w:val="00B36F78"/>
    <w:rsid w:val="00B37657"/>
    <w:rsid w:val="00B37AFD"/>
    <w:rsid w:val="00B37B07"/>
    <w:rsid w:val="00B37BA1"/>
    <w:rsid w:val="00B4046F"/>
    <w:rsid w:val="00B406B3"/>
    <w:rsid w:val="00B406DE"/>
    <w:rsid w:val="00B40A36"/>
    <w:rsid w:val="00B41583"/>
    <w:rsid w:val="00B41BCA"/>
    <w:rsid w:val="00B41D39"/>
    <w:rsid w:val="00B422C0"/>
    <w:rsid w:val="00B426CA"/>
    <w:rsid w:val="00B426E1"/>
    <w:rsid w:val="00B4387A"/>
    <w:rsid w:val="00B43B9B"/>
    <w:rsid w:val="00B44746"/>
    <w:rsid w:val="00B44854"/>
    <w:rsid w:val="00B44BA5"/>
    <w:rsid w:val="00B45236"/>
    <w:rsid w:val="00B458D0"/>
    <w:rsid w:val="00B45BCD"/>
    <w:rsid w:val="00B4792C"/>
    <w:rsid w:val="00B50CAE"/>
    <w:rsid w:val="00B512AD"/>
    <w:rsid w:val="00B5196C"/>
    <w:rsid w:val="00B525CB"/>
    <w:rsid w:val="00B52697"/>
    <w:rsid w:val="00B53201"/>
    <w:rsid w:val="00B53BB2"/>
    <w:rsid w:val="00B53D1A"/>
    <w:rsid w:val="00B53D6B"/>
    <w:rsid w:val="00B54215"/>
    <w:rsid w:val="00B54D8F"/>
    <w:rsid w:val="00B5500E"/>
    <w:rsid w:val="00B55857"/>
    <w:rsid w:val="00B55C69"/>
    <w:rsid w:val="00B56688"/>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033"/>
    <w:rsid w:val="00B630DD"/>
    <w:rsid w:val="00B63872"/>
    <w:rsid w:val="00B63CB2"/>
    <w:rsid w:val="00B64246"/>
    <w:rsid w:val="00B64CD5"/>
    <w:rsid w:val="00B64EDB"/>
    <w:rsid w:val="00B657AB"/>
    <w:rsid w:val="00B65938"/>
    <w:rsid w:val="00B65A5D"/>
    <w:rsid w:val="00B65C8A"/>
    <w:rsid w:val="00B65CE2"/>
    <w:rsid w:val="00B660AD"/>
    <w:rsid w:val="00B66109"/>
    <w:rsid w:val="00B66349"/>
    <w:rsid w:val="00B669B3"/>
    <w:rsid w:val="00B67FBF"/>
    <w:rsid w:val="00B70832"/>
    <w:rsid w:val="00B7084C"/>
    <w:rsid w:val="00B70F36"/>
    <w:rsid w:val="00B70FD2"/>
    <w:rsid w:val="00B71376"/>
    <w:rsid w:val="00B716D7"/>
    <w:rsid w:val="00B72110"/>
    <w:rsid w:val="00B723E1"/>
    <w:rsid w:val="00B726C6"/>
    <w:rsid w:val="00B72B91"/>
    <w:rsid w:val="00B73019"/>
    <w:rsid w:val="00B7315F"/>
    <w:rsid w:val="00B7323A"/>
    <w:rsid w:val="00B7353B"/>
    <w:rsid w:val="00B737FB"/>
    <w:rsid w:val="00B73C6C"/>
    <w:rsid w:val="00B73E5D"/>
    <w:rsid w:val="00B73EF3"/>
    <w:rsid w:val="00B7423D"/>
    <w:rsid w:val="00B74D05"/>
    <w:rsid w:val="00B74EF8"/>
    <w:rsid w:val="00B754EC"/>
    <w:rsid w:val="00B75893"/>
    <w:rsid w:val="00B771F4"/>
    <w:rsid w:val="00B7762A"/>
    <w:rsid w:val="00B777FA"/>
    <w:rsid w:val="00B77850"/>
    <w:rsid w:val="00B7796B"/>
    <w:rsid w:val="00B77A21"/>
    <w:rsid w:val="00B80364"/>
    <w:rsid w:val="00B80C72"/>
    <w:rsid w:val="00B8101E"/>
    <w:rsid w:val="00B817DF"/>
    <w:rsid w:val="00B81964"/>
    <w:rsid w:val="00B81E6F"/>
    <w:rsid w:val="00B82123"/>
    <w:rsid w:val="00B8225B"/>
    <w:rsid w:val="00B82BB5"/>
    <w:rsid w:val="00B82D4D"/>
    <w:rsid w:val="00B83182"/>
    <w:rsid w:val="00B839F0"/>
    <w:rsid w:val="00B851E4"/>
    <w:rsid w:val="00B854CE"/>
    <w:rsid w:val="00B85681"/>
    <w:rsid w:val="00B857EB"/>
    <w:rsid w:val="00B858AD"/>
    <w:rsid w:val="00B86162"/>
    <w:rsid w:val="00B86877"/>
    <w:rsid w:val="00B8695D"/>
    <w:rsid w:val="00B86E66"/>
    <w:rsid w:val="00B871D7"/>
    <w:rsid w:val="00B873BA"/>
    <w:rsid w:val="00B8746F"/>
    <w:rsid w:val="00B874EC"/>
    <w:rsid w:val="00B8760D"/>
    <w:rsid w:val="00B87706"/>
    <w:rsid w:val="00B90A49"/>
    <w:rsid w:val="00B90A73"/>
    <w:rsid w:val="00B91362"/>
    <w:rsid w:val="00B919D8"/>
    <w:rsid w:val="00B91B8E"/>
    <w:rsid w:val="00B91E7B"/>
    <w:rsid w:val="00B920D1"/>
    <w:rsid w:val="00B92531"/>
    <w:rsid w:val="00B92618"/>
    <w:rsid w:val="00B92751"/>
    <w:rsid w:val="00B92B69"/>
    <w:rsid w:val="00B92CC6"/>
    <w:rsid w:val="00B935C9"/>
    <w:rsid w:val="00B93E3D"/>
    <w:rsid w:val="00B95464"/>
    <w:rsid w:val="00B95C30"/>
    <w:rsid w:val="00B95E3D"/>
    <w:rsid w:val="00B96358"/>
    <w:rsid w:val="00B9691F"/>
    <w:rsid w:val="00B96EEC"/>
    <w:rsid w:val="00B97392"/>
    <w:rsid w:val="00B976C7"/>
    <w:rsid w:val="00B97A19"/>
    <w:rsid w:val="00B97A73"/>
    <w:rsid w:val="00BA0C54"/>
    <w:rsid w:val="00BA1382"/>
    <w:rsid w:val="00BA15E3"/>
    <w:rsid w:val="00BA1A8C"/>
    <w:rsid w:val="00BA20B6"/>
    <w:rsid w:val="00BA20D8"/>
    <w:rsid w:val="00BA22FC"/>
    <w:rsid w:val="00BA2C2A"/>
    <w:rsid w:val="00BA2F30"/>
    <w:rsid w:val="00BA3982"/>
    <w:rsid w:val="00BA3CE5"/>
    <w:rsid w:val="00BA3E19"/>
    <w:rsid w:val="00BA405F"/>
    <w:rsid w:val="00BA4771"/>
    <w:rsid w:val="00BA482B"/>
    <w:rsid w:val="00BA5027"/>
    <w:rsid w:val="00BA550C"/>
    <w:rsid w:val="00BA665B"/>
    <w:rsid w:val="00BA6FE8"/>
    <w:rsid w:val="00BA732D"/>
    <w:rsid w:val="00BA7370"/>
    <w:rsid w:val="00BA778B"/>
    <w:rsid w:val="00BA78C8"/>
    <w:rsid w:val="00BB06FE"/>
    <w:rsid w:val="00BB0888"/>
    <w:rsid w:val="00BB0DF1"/>
    <w:rsid w:val="00BB0E49"/>
    <w:rsid w:val="00BB0E9B"/>
    <w:rsid w:val="00BB1209"/>
    <w:rsid w:val="00BB1F3F"/>
    <w:rsid w:val="00BB2841"/>
    <w:rsid w:val="00BB300F"/>
    <w:rsid w:val="00BB3253"/>
    <w:rsid w:val="00BB32C9"/>
    <w:rsid w:val="00BB35C5"/>
    <w:rsid w:val="00BB4048"/>
    <w:rsid w:val="00BB498D"/>
    <w:rsid w:val="00BB4C8E"/>
    <w:rsid w:val="00BB4E23"/>
    <w:rsid w:val="00BB51A0"/>
    <w:rsid w:val="00BB5324"/>
    <w:rsid w:val="00BB57ED"/>
    <w:rsid w:val="00BB5A2D"/>
    <w:rsid w:val="00BB606C"/>
    <w:rsid w:val="00BB6209"/>
    <w:rsid w:val="00BB65C3"/>
    <w:rsid w:val="00BB662E"/>
    <w:rsid w:val="00BB67A9"/>
    <w:rsid w:val="00BB6C01"/>
    <w:rsid w:val="00BB7942"/>
    <w:rsid w:val="00BB7CD1"/>
    <w:rsid w:val="00BC0CAC"/>
    <w:rsid w:val="00BC0F33"/>
    <w:rsid w:val="00BC12D0"/>
    <w:rsid w:val="00BC1395"/>
    <w:rsid w:val="00BC14A7"/>
    <w:rsid w:val="00BC17CC"/>
    <w:rsid w:val="00BC209F"/>
    <w:rsid w:val="00BC24AD"/>
    <w:rsid w:val="00BC2898"/>
    <w:rsid w:val="00BC2928"/>
    <w:rsid w:val="00BC29BD"/>
    <w:rsid w:val="00BC2BB1"/>
    <w:rsid w:val="00BC3099"/>
    <w:rsid w:val="00BC34A3"/>
    <w:rsid w:val="00BC355D"/>
    <w:rsid w:val="00BC3FF9"/>
    <w:rsid w:val="00BC41E9"/>
    <w:rsid w:val="00BC4834"/>
    <w:rsid w:val="00BC4A97"/>
    <w:rsid w:val="00BC5A25"/>
    <w:rsid w:val="00BC5FDD"/>
    <w:rsid w:val="00BC68B4"/>
    <w:rsid w:val="00BC7277"/>
    <w:rsid w:val="00BC7EB4"/>
    <w:rsid w:val="00BC7FDD"/>
    <w:rsid w:val="00BD0140"/>
    <w:rsid w:val="00BD018E"/>
    <w:rsid w:val="00BD02CC"/>
    <w:rsid w:val="00BD088E"/>
    <w:rsid w:val="00BD0F18"/>
    <w:rsid w:val="00BD182E"/>
    <w:rsid w:val="00BD2063"/>
    <w:rsid w:val="00BD2950"/>
    <w:rsid w:val="00BD2FF1"/>
    <w:rsid w:val="00BD337A"/>
    <w:rsid w:val="00BD33D9"/>
    <w:rsid w:val="00BD38C5"/>
    <w:rsid w:val="00BD3A6D"/>
    <w:rsid w:val="00BD3AF1"/>
    <w:rsid w:val="00BD3DEA"/>
    <w:rsid w:val="00BD3E97"/>
    <w:rsid w:val="00BD40E4"/>
    <w:rsid w:val="00BD52FE"/>
    <w:rsid w:val="00BD5906"/>
    <w:rsid w:val="00BD623A"/>
    <w:rsid w:val="00BD62CF"/>
    <w:rsid w:val="00BD67B2"/>
    <w:rsid w:val="00BD68E2"/>
    <w:rsid w:val="00BD6D41"/>
    <w:rsid w:val="00BD76E5"/>
    <w:rsid w:val="00BD78FE"/>
    <w:rsid w:val="00BD791F"/>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797"/>
    <w:rsid w:val="00BF0EE8"/>
    <w:rsid w:val="00BF10ED"/>
    <w:rsid w:val="00BF12F1"/>
    <w:rsid w:val="00BF1DD2"/>
    <w:rsid w:val="00BF23A3"/>
    <w:rsid w:val="00BF2623"/>
    <w:rsid w:val="00BF2A7E"/>
    <w:rsid w:val="00BF3331"/>
    <w:rsid w:val="00BF3A45"/>
    <w:rsid w:val="00BF436F"/>
    <w:rsid w:val="00BF5680"/>
    <w:rsid w:val="00BF5C05"/>
    <w:rsid w:val="00BF6A12"/>
    <w:rsid w:val="00BF6FC6"/>
    <w:rsid w:val="00BF72C3"/>
    <w:rsid w:val="00BF7C52"/>
    <w:rsid w:val="00BF7F99"/>
    <w:rsid w:val="00C00713"/>
    <w:rsid w:val="00C009A0"/>
    <w:rsid w:val="00C00E35"/>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544"/>
    <w:rsid w:val="00C04607"/>
    <w:rsid w:val="00C04BDB"/>
    <w:rsid w:val="00C0519E"/>
    <w:rsid w:val="00C052C6"/>
    <w:rsid w:val="00C056DF"/>
    <w:rsid w:val="00C05A61"/>
    <w:rsid w:val="00C05FBA"/>
    <w:rsid w:val="00C05FEE"/>
    <w:rsid w:val="00C065EA"/>
    <w:rsid w:val="00C066B4"/>
    <w:rsid w:val="00C06CCF"/>
    <w:rsid w:val="00C070CB"/>
    <w:rsid w:val="00C0794D"/>
    <w:rsid w:val="00C10E78"/>
    <w:rsid w:val="00C113DC"/>
    <w:rsid w:val="00C1159D"/>
    <w:rsid w:val="00C1233E"/>
    <w:rsid w:val="00C1276C"/>
    <w:rsid w:val="00C12FB3"/>
    <w:rsid w:val="00C138BC"/>
    <w:rsid w:val="00C139BA"/>
    <w:rsid w:val="00C13D85"/>
    <w:rsid w:val="00C14575"/>
    <w:rsid w:val="00C14639"/>
    <w:rsid w:val="00C14E82"/>
    <w:rsid w:val="00C14FF6"/>
    <w:rsid w:val="00C15A85"/>
    <w:rsid w:val="00C15C6A"/>
    <w:rsid w:val="00C1637C"/>
    <w:rsid w:val="00C1641B"/>
    <w:rsid w:val="00C165FC"/>
    <w:rsid w:val="00C16DCE"/>
    <w:rsid w:val="00C176D5"/>
    <w:rsid w:val="00C17D24"/>
    <w:rsid w:val="00C200C2"/>
    <w:rsid w:val="00C2082C"/>
    <w:rsid w:val="00C20EB0"/>
    <w:rsid w:val="00C21004"/>
    <w:rsid w:val="00C21005"/>
    <w:rsid w:val="00C212E8"/>
    <w:rsid w:val="00C218DF"/>
    <w:rsid w:val="00C220B6"/>
    <w:rsid w:val="00C22D47"/>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1F9"/>
    <w:rsid w:val="00C25768"/>
    <w:rsid w:val="00C25813"/>
    <w:rsid w:val="00C26407"/>
    <w:rsid w:val="00C26C71"/>
    <w:rsid w:val="00C26EDB"/>
    <w:rsid w:val="00C27143"/>
    <w:rsid w:val="00C27490"/>
    <w:rsid w:val="00C27556"/>
    <w:rsid w:val="00C2760E"/>
    <w:rsid w:val="00C27D37"/>
    <w:rsid w:val="00C309E8"/>
    <w:rsid w:val="00C31EA9"/>
    <w:rsid w:val="00C32017"/>
    <w:rsid w:val="00C32571"/>
    <w:rsid w:val="00C325CD"/>
    <w:rsid w:val="00C3322E"/>
    <w:rsid w:val="00C33477"/>
    <w:rsid w:val="00C337F5"/>
    <w:rsid w:val="00C3383E"/>
    <w:rsid w:val="00C339E5"/>
    <w:rsid w:val="00C33B90"/>
    <w:rsid w:val="00C34161"/>
    <w:rsid w:val="00C34B5F"/>
    <w:rsid w:val="00C358D4"/>
    <w:rsid w:val="00C365C6"/>
    <w:rsid w:val="00C366F4"/>
    <w:rsid w:val="00C36785"/>
    <w:rsid w:val="00C3711C"/>
    <w:rsid w:val="00C37256"/>
    <w:rsid w:val="00C37A7B"/>
    <w:rsid w:val="00C37D62"/>
    <w:rsid w:val="00C37DC1"/>
    <w:rsid w:val="00C37FFE"/>
    <w:rsid w:val="00C40B50"/>
    <w:rsid w:val="00C419E3"/>
    <w:rsid w:val="00C419F4"/>
    <w:rsid w:val="00C41E6A"/>
    <w:rsid w:val="00C42247"/>
    <w:rsid w:val="00C422F4"/>
    <w:rsid w:val="00C428E7"/>
    <w:rsid w:val="00C42E2C"/>
    <w:rsid w:val="00C42FAF"/>
    <w:rsid w:val="00C438A2"/>
    <w:rsid w:val="00C439BE"/>
    <w:rsid w:val="00C448FB"/>
    <w:rsid w:val="00C451B2"/>
    <w:rsid w:val="00C4539B"/>
    <w:rsid w:val="00C45466"/>
    <w:rsid w:val="00C455C1"/>
    <w:rsid w:val="00C4581D"/>
    <w:rsid w:val="00C46488"/>
    <w:rsid w:val="00C47020"/>
    <w:rsid w:val="00C47472"/>
    <w:rsid w:val="00C500F0"/>
    <w:rsid w:val="00C504A7"/>
    <w:rsid w:val="00C506C9"/>
    <w:rsid w:val="00C50A16"/>
    <w:rsid w:val="00C51C9A"/>
    <w:rsid w:val="00C52C68"/>
    <w:rsid w:val="00C52D98"/>
    <w:rsid w:val="00C52DA1"/>
    <w:rsid w:val="00C53D24"/>
    <w:rsid w:val="00C54640"/>
    <w:rsid w:val="00C547A6"/>
    <w:rsid w:val="00C54A3A"/>
    <w:rsid w:val="00C5512B"/>
    <w:rsid w:val="00C55C32"/>
    <w:rsid w:val="00C56A67"/>
    <w:rsid w:val="00C56CC2"/>
    <w:rsid w:val="00C56D8D"/>
    <w:rsid w:val="00C57498"/>
    <w:rsid w:val="00C574AD"/>
    <w:rsid w:val="00C5763C"/>
    <w:rsid w:val="00C5780C"/>
    <w:rsid w:val="00C57879"/>
    <w:rsid w:val="00C5796B"/>
    <w:rsid w:val="00C57C64"/>
    <w:rsid w:val="00C60FDF"/>
    <w:rsid w:val="00C612C4"/>
    <w:rsid w:val="00C619A1"/>
    <w:rsid w:val="00C62370"/>
    <w:rsid w:val="00C62BBB"/>
    <w:rsid w:val="00C6305F"/>
    <w:rsid w:val="00C6325B"/>
    <w:rsid w:val="00C63DDD"/>
    <w:rsid w:val="00C63E99"/>
    <w:rsid w:val="00C649B8"/>
    <w:rsid w:val="00C64A64"/>
    <w:rsid w:val="00C65151"/>
    <w:rsid w:val="00C657F4"/>
    <w:rsid w:val="00C6598D"/>
    <w:rsid w:val="00C65FAD"/>
    <w:rsid w:val="00C660FE"/>
    <w:rsid w:val="00C66119"/>
    <w:rsid w:val="00C66292"/>
    <w:rsid w:val="00C672A3"/>
    <w:rsid w:val="00C672F1"/>
    <w:rsid w:val="00C673D0"/>
    <w:rsid w:val="00C6742E"/>
    <w:rsid w:val="00C67B0B"/>
    <w:rsid w:val="00C67C0E"/>
    <w:rsid w:val="00C70012"/>
    <w:rsid w:val="00C71E2A"/>
    <w:rsid w:val="00C725F8"/>
    <w:rsid w:val="00C733BA"/>
    <w:rsid w:val="00C742F6"/>
    <w:rsid w:val="00C74A0A"/>
    <w:rsid w:val="00C760DC"/>
    <w:rsid w:val="00C77777"/>
    <w:rsid w:val="00C8035D"/>
    <w:rsid w:val="00C8082B"/>
    <w:rsid w:val="00C80AE6"/>
    <w:rsid w:val="00C80C6B"/>
    <w:rsid w:val="00C80DAE"/>
    <w:rsid w:val="00C816CF"/>
    <w:rsid w:val="00C81A88"/>
    <w:rsid w:val="00C81D46"/>
    <w:rsid w:val="00C82298"/>
    <w:rsid w:val="00C8233D"/>
    <w:rsid w:val="00C8256A"/>
    <w:rsid w:val="00C82A26"/>
    <w:rsid w:val="00C82DC7"/>
    <w:rsid w:val="00C8331F"/>
    <w:rsid w:val="00C833B4"/>
    <w:rsid w:val="00C84221"/>
    <w:rsid w:val="00C84284"/>
    <w:rsid w:val="00C84E33"/>
    <w:rsid w:val="00C85FE6"/>
    <w:rsid w:val="00C85FFC"/>
    <w:rsid w:val="00C861FC"/>
    <w:rsid w:val="00C86C87"/>
    <w:rsid w:val="00C9005E"/>
    <w:rsid w:val="00C90111"/>
    <w:rsid w:val="00C901DC"/>
    <w:rsid w:val="00C9038E"/>
    <w:rsid w:val="00C9077A"/>
    <w:rsid w:val="00C9077B"/>
    <w:rsid w:val="00C90CA9"/>
    <w:rsid w:val="00C90F88"/>
    <w:rsid w:val="00C914A9"/>
    <w:rsid w:val="00C915F2"/>
    <w:rsid w:val="00C917B1"/>
    <w:rsid w:val="00C9193C"/>
    <w:rsid w:val="00C91B77"/>
    <w:rsid w:val="00C920E2"/>
    <w:rsid w:val="00C92892"/>
    <w:rsid w:val="00C9370F"/>
    <w:rsid w:val="00C93765"/>
    <w:rsid w:val="00C93877"/>
    <w:rsid w:val="00C93D8C"/>
    <w:rsid w:val="00C93E07"/>
    <w:rsid w:val="00C946CC"/>
    <w:rsid w:val="00C959BD"/>
    <w:rsid w:val="00C95DFE"/>
    <w:rsid w:val="00C95F44"/>
    <w:rsid w:val="00C96331"/>
    <w:rsid w:val="00C96CAA"/>
    <w:rsid w:val="00C96CED"/>
    <w:rsid w:val="00C96CEE"/>
    <w:rsid w:val="00C96D1B"/>
    <w:rsid w:val="00C97106"/>
    <w:rsid w:val="00C978D4"/>
    <w:rsid w:val="00CA0031"/>
    <w:rsid w:val="00CA0413"/>
    <w:rsid w:val="00CA043A"/>
    <w:rsid w:val="00CA065A"/>
    <w:rsid w:val="00CA0AED"/>
    <w:rsid w:val="00CA0E51"/>
    <w:rsid w:val="00CA12B8"/>
    <w:rsid w:val="00CA1691"/>
    <w:rsid w:val="00CA1A15"/>
    <w:rsid w:val="00CA1A1D"/>
    <w:rsid w:val="00CA41E7"/>
    <w:rsid w:val="00CA4A99"/>
    <w:rsid w:val="00CA4CCC"/>
    <w:rsid w:val="00CA501B"/>
    <w:rsid w:val="00CA5173"/>
    <w:rsid w:val="00CA5520"/>
    <w:rsid w:val="00CA5812"/>
    <w:rsid w:val="00CA5984"/>
    <w:rsid w:val="00CA5BD4"/>
    <w:rsid w:val="00CA5C14"/>
    <w:rsid w:val="00CA7019"/>
    <w:rsid w:val="00CA76FC"/>
    <w:rsid w:val="00CA7E7B"/>
    <w:rsid w:val="00CB0236"/>
    <w:rsid w:val="00CB0CB1"/>
    <w:rsid w:val="00CB137C"/>
    <w:rsid w:val="00CB158F"/>
    <w:rsid w:val="00CB1881"/>
    <w:rsid w:val="00CB1969"/>
    <w:rsid w:val="00CB19E3"/>
    <w:rsid w:val="00CB277B"/>
    <w:rsid w:val="00CB2C3A"/>
    <w:rsid w:val="00CB2D38"/>
    <w:rsid w:val="00CB2F5E"/>
    <w:rsid w:val="00CB4137"/>
    <w:rsid w:val="00CB4A54"/>
    <w:rsid w:val="00CB50D0"/>
    <w:rsid w:val="00CB5155"/>
    <w:rsid w:val="00CB52D0"/>
    <w:rsid w:val="00CB5578"/>
    <w:rsid w:val="00CB5671"/>
    <w:rsid w:val="00CB591C"/>
    <w:rsid w:val="00CB5943"/>
    <w:rsid w:val="00CB61B3"/>
    <w:rsid w:val="00CB6801"/>
    <w:rsid w:val="00CB6F83"/>
    <w:rsid w:val="00CB72AE"/>
    <w:rsid w:val="00CC00CD"/>
    <w:rsid w:val="00CC0579"/>
    <w:rsid w:val="00CC06CC"/>
    <w:rsid w:val="00CC0AF3"/>
    <w:rsid w:val="00CC0BC6"/>
    <w:rsid w:val="00CC0E68"/>
    <w:rsid w:val="00CC1780"/>
    <w:rsid w:val="00CC194E"/>
    <w:rsid w:val="00CC21AC"/>
    <w:rsid w:val="00CC232E"/>
    <w:rsid w:val="00CC2514"/>
    <w:rsid w:val="00CC2C70"/>
    <w:rsid w:val="00CC2D34"/>
    <w:rsid w:val="00CC2F69"/>
    <w:rsid w:val="00CC315F"/>
    <w:rsid w:val="00CC36C0"/>
    <w:rsid w:val="00CC3D38"/>
    <w:rsid w:val="00CC3F2F"/>
    <w:rsid w:val="00CC40C3"/>
    <w:rsid w:val="00CC4CB4"/>
    <w:rsid w:val="00CC4E10"/>
    <w:rsid w:val="00CC4E5D"/>
    <w:rsid w:val="00CC4EF4"/>
    <w:rsid w:val="00CC50AE"/>
    <w:rsid w:val="00CC5CD2"/>
    <w:rsid w:val="00CC5FFE"/>
    <w:rsid w:val="00CC61B7"/>
    <w:rsid w:val="00CC61CA"/>
    <w:rsid w:val="00CC69EC"/>
    <w:rsid w:val="00CC71D3"/>
    <w:rsid w:val="00CC743D"/>
    <w:rsid w:val="00CC756C"/>
    <w:rsid w:val="00CD02ED"/>
    <w:rsid w:val="00CD050A"/>
    <w:rsid w:val="00CD08B9"/>
    <w:rsid w:val="00CD1017"/>
    <w:rsid w:val="00CD205D"/>
    <w:rsid w:val="00CD2A22"/>
    <w:rsid w:val="00CD2B50"/>
    <w:rsid w:val="00CD3172"/>
    <w:rsid w:val="00CD32B9"/>
    <w:rsid w:val="00CD42D9"/>
    <w:rsid w:val="00CD4506"/>
    <w:rsid w:val="00CD520B"/>
    <w:rsid w:val="00CD592E"/>
    <w:rsid w:val="00CD5982"/>
    <w:rsid w:val="00CD5A1A"/>
    <w:rsid w:val="00CD61CE"/>
    <w:rsid w:val="00CD6482"/>
    <w:rsid w:val="00CD6916"/>
    <w:rsid w:val="00CD7EFA"/>
    <w:rsid w:val="00CE020E"/>
    <w:rsid w:val="00CE0566"/>
    <w:rsid w:val="00CE1CD4"/>
    <w:rsid w:val="00CE22F6"/>
    <w:rsid w:val="00CE2761"/>
    <w:rsid w:val="00CE28FC"/>
    <w:rsid w:val="00CE314E"/>
    <w:rsid w:val="00CE3A85"/>
    <w:rsid w:val="00CE3D5C"/>
    <w:rsid w:val="00CE3E09"/>
    <w:rsid w:val="00CE3E14"/>
    <w:rsid w:val="00CE44C7"/>
    <w:rsid w:val="00CE53CC"/>
    <w:rsid w:val="00CE5F60"/>
    <w:rsid w:val="00CE6199"/>
    <w:rsid w:val="00CE65A7"/>
    <w:rsid w:val="00CE68FE"/>
    <w:rsid w:val="00CE69CC"/>
    <w:rsid w:val="00CE6EC4"/>
    <w:rsid w:val="00CE7F26"/>
    <w:rsid w:val="00CF1226"/>
    <w:rsid w:val="00CF1ABB"/>
    <w:rsid w:val="00CF1E1D"/>
    <w:rsid w:val="00CF24FE"/>
    <w:rsid w:val="00CF287F"/>
    <w:rsid w:val="00CF2E83"/>
    <w:rsid w:val="00CF35D0"/>
    <w:rsid w:val="00CF3B57"/>
    <w:rsid w:val="00CF3DD5"/>
    <w:rsid w:val="00CF3F53"/>
    <w:rsid w:val="00CF43E7"/>
    <w:rsid w:val="00CF4AF7"/>
    <w:rsid w:val="00CF4D20"/>
    <w:rsid w:val="00CF5C02"/>
    <w:rsid w:val="00CF73F8"/>
    <w:rsid w:val="00CF7686"/>
    <w:rsid w:val="00CF7928"/>
    <w:rsid w:val="00CF7CA2"/>
    <w:rsid w:val="00D00911"/>
    <w:rsid w:val="00D00A8E"/>
    <w:rsid w:val="00D00DE0"/>
    <w:rsid w:val="00D00F79"/>
    <w:rsid w:val="00D012BF"/>
    <w:rsid w:val="00D01760"/>
    <w:rsid w:val="00D01838"/>
    <w:rsid w:val="00D02F4D"/>
    <w:rsid w:val="00D0368E"/>
    <w:rsid w:val="00D03AC3"/>
    <w:rsid w:val="00D03D2D"/>
    <w:rsid w:val="00D03E7B"/>
    <w:rsid w:val="00D0401A"/>
    <w:rsid w:val="00D047E0"/>
    <w:rsid w:val="00D04B9F"/>
    <w:rsid w:val="00D04D43"/>
    <w:rsid w:val="00D04FFB"/>
    <w:rsid w:val="00D055FE"/>
    <w:rsid w:val="00D058E9"/>
    <w:rsid w:val="00D0612A"/>
    <w:rsid w:val="00D06FCB"/>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572C"/>
    <w:rsid w:val="00D160F6"/>
    <w:rsid w:val="00D16740"/>
    <w:rsid w:val="00D16A8B"/>
    <w:rsid w:val="00D16E39"/>
    <w:rsid w:val="00D171DE"/>
    <w:rsid w:val="00D172A4"/>
    <w:rsid w:val="00D17889"/>
    <w:rsid w:val="00D17951"/>
    <w:rsid w:val="00D179D7"/>
    <w:rsid w:val="00D17AD8"/>
    <w:rsid w:val="00D2055F"/>
    <w:rsid w:val="00D208B9"/>
    <w:rsid w:val="00D2104A"/>
    <w:rsid w:val="00D21A58"/>
    <w:rsid w:val="00D21BB5"/>
    <w:rsid w:val="00D21FFC"/>
    <w:rsid w:val="00D223B6"/>
    <w:rsid w:val="00D223E8"/>
    <w:rsid w:val="00D224E1"/>
    <w:rsid w:val="00D22A9E"/>
    <w:rsid w:val="00D22DC8"/>
    <w:rsid w:val="00D22F3E"/>
    <w:rsid w:val="00D2477B"/>
    <w:rsid w:val="00D248D8"/>
    <w:rsid w:val="00D2522A"/>
    <w:rsid w:val="00D2531C"/>
    <w:rsid w:val="00D25428"/>
    <w:rsid w:val="00D2553E"/>
    <w:rsid w:val="00D25687"/>
    <w:rsid w:val="00D2587F"/>
    <w:rsid w:val="00D26330"/>
    <w:rsid w:val="00D2742F"/>
    <w:rsid w:val="00D2754F"/>
    <w:rsid w:val="00D277C5"/>
    <w:rsid w:val="00D279D9"/>
    <w:rsid w:val="00D312DC"/>
    <w:rsid w:val="00D31B84"/>
    <w:rsid w:val="00D31C6A"/>
    <w:rsid w:val="00D31EDF"/>
    <w:rsid w:val="00D31FF9"/>
    <w:rsid w:val="00D32149"/>
    <w:rsid w:val="00D32256"/>
    <w:rsid w:val="00D32A27"/>
    <w:rsid w:val="00D32ABC"/>
    <w:rsid w:val="00D3344C"/>
    <w:rsid w:val="00D33FA4"/>
    <w:rsid w:val="00D34B25"/>
    <w:rsid w:val="00D34C7F"/>
    <w:rsid w:val="00D34F4E"/>
    <w:rsid w:val="00D357F3"/>
    <w:rsid w:val="00D35C0E"/>
    <w:rsid w:val="00D36FBF"/>
    <w:rsid w:val="00D372A9"/>
    <w:rsid w:val="00D373A8"/>
    <w:rsid w:val="00D379A5"/>
    <w:rsid w:val="00D37BB3"/>
    <w:rsid w:val="00D40156"/>
    <w:rsid w:val="00D401BE"/>
    <w:rsid w:val="00D4043A"/>
    <w:rsid w:val="00D40DB0"/>
    <w:rsid w:val="00D41093"/>
    <w:rsid w:val="00D41858"/>
    <w:rsid w:val="00D41EEB"/>
    <w:rsid w:val="00D422DB"/>
    <w:rsid w:val="00D42AC2"/>
    <w:rsid w:val="00D43CE8"/>
    <w:rsid w:val="00D445F3"/>
    <w:rsid w:val="00D4498E"/>
    <w:rsid w:val="00D4515F"/>
    <w:rsid w:val="00D451E8"/>
    <w:rsid w:val="00D46178"/>
    <w:rsid w:val="00D466C9"/>
    <w:rsid w:val="00D47275"/>
    <w:rsid w:val="00D517F6"/>
    <w:rsid w:val="00D51AB7"/>
    <w:rsid w:val="00D51E15"/>
    <w:rsid w:val="00D51F43"/>
    <w:rsid w:val="00D52B7E"/>
    <w:rsid w:val="00D52E2F"/>
    <w:rsid w:val="00D52F59"/>
    <w:rsid w:val="00D53066"/>
    <w:rsid w:val="00D532BB"/>
    <w:rsid w:val="00D53445"/>
    <w:rsid w:val="00D53E3E"/>
    <w:rsid w:val="00D54620"/>
    <w:rsid w:val="00D55904"/>
    <w:rsid w:val="00D55DFF"/>
    <w:rsid w:val="00D5614E"/>
    <w:rsid w:val="00D5616F"/>
    <w:rsid w:val="00D57940"/>
    <w:rsid w:val="00D57BD4"/>
    <w:rsid w:val="00D60327"/>
    <w:rsid w:val="00D60822"/>
    <w:rsid w:val="00D61384"/>
    <w:rsid w:val="00D61526"/>
    <w:rsid w:val="00D61C39"/>
    <w:rsid w:val="00D61F81"/>
    <w:rsid w:val="00D620A6"/>
    <w:rsid w:val="00D623C0"/>
    <w:rsid w:val="00D62BE6"/>
    <w:rsid w:val="00D63359"/>
    <w:rsid w:val="00D63766"/>
    <w:rsid w:val="00D63898"/>
    <w:rsid w:val="00D63912"/>
    <w:rsid w:val="00D63923"/>
    <w:rsid w:val="00D6451B"/>
    <w:rsid w:val="00D64B57"/>
    <w:rsid w:val="00D651A1"/>
    <w:rsid w:val="00D65DEA"/>
    <w:rsid w:val="00D664D6"/>
    <w:rsid w:val="00D6650F"/>
    <w:rsid w:val="00D66579"/>
    <w:rsid w:val="00D66CF2"/>
    <w:rsid w:val="00D676D3"/>
    <w:rsid w:val="00D679FD"/>
    <w:rsid w:val="00D67B06"/>
    <w:rsid w:val="00D67BC7"/>
    <w:rsid w:val="00D67C3B"/>
    <w:rsid w:val="00D701F1"/>
    <w:rsid w:val="00D705D3"/>
    <w:rsid w:val="00D70E00"/>
    <w:rsid w:val="00D70F7C"/>
    <w:rsid w:val="00D715AC"/>
    <w:rsid w:val="00D71851"/>
    <w:rsid w:val="00D718CF"/>
    <w:rsid w:val="00D72188"/>
    <w:rsid w:val="00D728F5"/>
    <w:rsid w:val="00D72E68"/>
    <w:rsid w:val="00D72E9D"/>
    <w:rsid w:val="00D73249"/>
    <w:rsid w:val="00D73419"/>
    <w:rsid w:val="00D73881"/>
    <w:rsid w:val="00D73CA9"/>
    <w:rsid w:val="00D751B7"/>
    <w:rsid w:val="00D75232"/>
    <w:rsid w:val="00D7524B"/>
    <w:rsid w:val="00D75396"/>
    <w:rsid w:val="00D759C0"/>
    <w:rsid w:val="00D75E99"/>
    <w:rsid w:val="00D76357"/>
    <w:rsid w:val="00D765CE"/>
    <w:rsid w:val="00D766C7"/>
    <w:rsid w:val="00D7692B"/>
    <w:rsid w:val="00D77000"/>
    <w:rsid w:val="00D7734F"/>
    <w:rsid w:val="00D7791D"/>
    <w:rsid w:val="00D8039E"/>
    <w:rsid w:val="00D8044C"/>
    <w:rsid w:val="00D805D6"/>
    <w:rsid w:val="00D8075E"/>
    <w:rsid w:val="00D80860"/>
    <w:rsid w:val="00D80863"/>
    <w:rsid w:val="00D80D4C"/>
    <w:rsid w:val="00D8184D"/>
    <w:rsid w:val="00D81A7B"/>
    <w:rsid w:val="00D8223C"/>
    <w:rsid w:val="00D82896"/>
    <w:rsid w:val="00D82A7D"/>
    <w:rsid w:val="00D82B57"/>
    <w:rsid w:val="00D82CE5"/>
    <w:rsid w:val="00D82E82"/>
    <w:rsid w:val="00D82EFE"/>
    <w:rsid w:val="00D831E3"/>
    <w:rsid w:val="00D8342C"/>
    <w:rsid w:val="00D83D05"/>
    <w:rsid w:val="00D84983"/>
    <w:rsid w:val="00D84C00"/>
    <w:rsid w:val="00D85450"/>
    <w:rsid w:val="00D85494"/>
    <w:rsid w:val="00D8582C"/>
    <w:rsid w:val="00D85D61"/>
    <w:rsid w:val="00D8616D"/>
    <w:rsid w:val="00D86903"/>
    <w:rsid w:val="00D86A1C"/>
    <w:rsid w:val="00D8711B"/>
    <w:rsid w:val="00D87384"/>
    <w:rsid w:val="00D876E8"/>
    <w:rsid w:val="00D9015D"/>
    <w:rsid w:val="00D90683"/>
    <w:rsid w:val="00D90B2A"/>
    <w:rsid w:val="00D91483"/>
    <w:rsid w:val="00D915C8"/>
    <w:rsid w:val="00D91813"/>
    <w:rsid w:val="00D91FB9"/>
    <w:rsid w:val="00D9310B"/>
    <w:rsid w:val="00D931F3"/>
    <w:rsid w:val="00D93726"/>
    <w:rsid w:val="00D93F3E"/>
    <w:rsid w:val="00D9405B"/>
    <w:rsid w:val="00D94942"/>
    <w:rsid w:val="00D95145"/>
    <w:rsid w:val="00D96421"/>
    <w:rsid w:val="00D96594"/>
    <w:rsid w:val="00D96678"/>
    <w:rsid w:val="00D967CB"/>
    <w:rsid w:val="00D968D4"/>
    <w:rsid w:val="00D96EE0"/>
    <w:rsid w:val="00D96FA6"/>
    <w:rsid w:val="00D97BD1"/>
    <w:rsid w:val="00D97EF0"/>
    <w:rsid w:val="00DA00C3"/>
    <w:rsid w:val="00DA01E9"/>
    <w:rsid w:val="00DA06B8"/>
    <w:rsid w:val="00DA0EC1"/>
    <w:rsid w:val="00DA14A9"/>
    <w:rsid w:val="00DA286D"/>
    <w:rsid w:val="00DA2969"/>
    <w:rsid w:val="00DA29B7"/>
    <w:rsid w:val="00DA2E5F"/>
    <w:rsid w:val="00DA337C"/>
    <w:rsid w:val="00DA422F"/>
    <w:rsid w:val="00DA4842"/>
    <w:rsid w:val="00DA4C97"/>
    <w:rsid w:val="00DA5989"/>
    <w:rsid w:val="00DA5A1F"/>
    <w:rsid w:val="00DA5AB1"/>
    <w:rsid w:val="00DA5F9D"/>
    <w:rsid w:val="00DA6719"/>
    <w:rsid w:val="00DA69B2"/>
    <w:rsid w:val="00DA7462"/>
    <w:rsid w:val="00DA7AD0"/>
    <w:rsid w:val="00DB02D7"/>
    <w:rsid w:val="00DB03BD"/>
    <w:rsid w:val="00DB03CC"/>
    <w:rsid w:val="00DB12D4"/>
    <w:rsid w:val="00DB13B1"/>
    <w:rsid w:val="00DB14F0"/>
    <w:rsid w:val="00DB1745"/>
    <w:rsid w:val="00DB17BD"/>
    <w:rsid w:val="00DB19BB"/>
    <w:rsid w:val="00DB1A00"/>
    <w:rsid w:val="00DB1AFF"/>
    <w:rsid w:val="00DB219A"/>
    <w:rsid w:val="00DB2EEE"/>
    <w:rsid w:val="00DB3165"/>
    <w:rsid w:val="00DB4292"/>
    <w:rsid w:val="00DB466D"/>
    <w:rsid w:val="00DB5023"/>
    <w:rsid w:val="00DB6E46"/>
    <w:rsid w:val="00DB7117"/>
    <w:rsid w:val="00DB7760"/>
    <w:rsid w:val="00DB7DD4"/>
    <w:rsid w:val="00DC00B4"/>
    <w:rsid w:val="00DC0954"/>
    <w:rsid w:val="00DC0DF8"/>
    <w:rsid w:val="00DC15BA"/>
    <w:rsid w:val="00DC18CD"/>
    <w:rsid w:val="00DC1A68"/>
    <w:rsid w:val="00DC1CC2"/>
    <w:rsid w:val="00DC1F4B"/>
    <w:rsid w:val="00DC2FB8"/>
    <w:rsid w:val="00DC30B8"/>
    <w:rsid w:val="00DC478F"/>
    <w:rsid w:val="00DC5E5E"/>
    <w:rsid w:val="00DC61AC"/>
    <w:rsid w:val="00DC62E5"/>
    <w:rsid w:val="00DC6D70"/>
    <w:rsid w:val="00DC6DAA"/>
    <w:rsid w:val="00DC6F33"/>
    <w:rsid w:val="00DC7349"/>
    <w:rsid w:val="00DC7389"/>
    <w:rsid w:val="00DC74A5"/>
    <w:rsid w:val="00DD0503"/>
    <w:rsid w:val="00DD0EA9"/>
    <w:rsid w:val="00DD14D8"/>
    <w:rsid w:val="00DD1599"/>
    <w:rsid w:val="00DD16F1"/>
    <w:rsid w:val="00DD1B03"/>
    <w:rsid w:val="00DD1E43"/>
    <w:rsid w:val="00DD1E7B"/>
    <w:rsid w:val="00DD1EDF"/>
    <w:rsid w:val="00DD1FF6"/>
    <w:rsid w:val="00DD2A62"/>
    <w:rsid w:val="00DD2F2F"/>
    <w:rsid w:val="00DD2F7A"/>
    <w:rsid w:val="00DD36D2"/>
    <w:rsid w:val="00DD37C4"/>
    <w:rsid w:val="00DD3885"/>
    <w:rsid w:val="00DD4656"/>
    <w:rsid w:val="00DD53EE"/>
    <w:rsid w:val="00DD5808"/>
    <w:rsid w:val="00DD5946"/>
    <w:rsid w:val="00DD5B04"/>
    <w:rsid w:val="00DD5DAE"/>
    <w:rsid w:val="00DD5EC6"/>
    <w:rsid w:val="00DD605F"/>
    <w:rsid w:val="00DD6A79"/>
    <w:rsid w:val="00DD7145"/>
    <w:rsid w:val="00DD72A0"/>
    <w:rsid w:val="00DD735D"/>
    <w:rsid w:val="00DD7F7D"/>
    <w:rsid w:val="00DE0159"/>
    <w:rsid w:val="00DE064A"/>
    <w:rsid w:val="00DE082D"/>
    <w:rsid w:val="00DE107E"/>
    <w:rsid w:val="00DE1410"/>
    <w:rsid w:val="00DE20C6"/>
    <w:rsid w:val="00DE3119"/>
    <w:rsid w:val="00DE3C24"/>
    <w:rsid w:val="00DE3FF0"/>
    <w:rsid w:val="00DE4105"/>
    <w:rsid w:val="00DE47D7"/>
    <w:rsid w:val="00DE4BEA"/>
    <w:rsid w:val="00DE5189"/>
    <w:rsid w:val="00DE7108"/>
    <w:rsid w:val="00DE760E"/>
    <w:rsid w:val="00DE78D1"/>
    <w:rsid w:val="00DE78FF"/>
    <w:rsid w:val="00DE797F"/>
    <w:rsid w:val="00DF0263"/>
    <w:rsid w:val="00DF0EB4"/>
    <w:rsid w:val="00DF158B"/>
    <w:rsid w:val="00DF170E"/>
    <w:rsid w:val="00DF193C"/>
    <w:rsid w:val="00DF1E36"/>
    <w:rsid w:val="00DF236B"/>
    <w:rsid w:val="00DF258A"/>
    <w:rsid w:val="00DF2A91"/>
    <w:rsid w:val="00DF3526"/>
    <w:rsid w:val="00DF3889"/>
    <w:rsid w:val="00DF38D6"/>
    <w:rsid w:val="00DF3CC9"/>
    <w:rsid w:val="00DF4451"/>
    <w:rsid w:val="00DF49FF"/>
    <w:rsid w:val="00DF4FFB"/>
    <w:rsid w:val="00DF5236"/>
    <w:rsid w:val="00DF651F"/>
    <w:rsid w:val="00DF6BC9"/>
    <w:rsid w:val="00DF6F43"/>
    <w:rsid w:val="00DF71EA"/>
    <w:rsid w:val="00DF73BA"/>
    <w:rsid w:val="00DF752F"/>
    <w:rsid w:val="00DF76A2"/>
    <w:rsid w:val="00E00B25"/>
    <w:rsid w:val="00E00B7A"/>
    <w:rsid w:val="00E01677"/>
    <w:rsid w:val="00E02186"/>
    <w:rsid w:val="00E023C3"/>
    <w:rsid w:val="00E025C2"/>
    <w:rsid w:val="00E026BB"/>
    <w:rsid w:val="00E027C5"/>
    <w:rsid w:val="00E03124"/>
    <w:rsid w:val="00E031C3"/>
    <w:rsid w:val="00E03951"/>
    <w:rsid w:val="00E03DB8"/>
    <w:rsid w:val="00E03F17"/>
    <w:rsid w:val="00E0420C"/>
    <w:rsid w:val="00E04EDD"/>
    <w:rsid w:val="00E0584F"/>
    <w:rsid w:val="00E05E70"/>
    <w:rsid w:val="00E05EAF"/>
    <w:rsid w:val="00E064BC"/>
    <w:rsid w:val="00E070C1"/>
    <w:rsid w:val="00E07225"/>
    <w:rsid w:val="00E073FC"/>
    <w:rsid w:val="00E076B4"/>
    <w:rsid w:val="00E07B55"/>
    <w:rsid w:val="00E10579"/>
    <w:rsid w:val="00E109DD"/>
    <w:rsid w:val="00E10BC8"/>
    <w:rsid w:val="00E11229"/>
    <w:rsid w:val="00E114CA"/>
    <w:rsid w:val="00E11BB4"/>
    <w:rsid w:val="00E1240C"/>
    <w:rsid w:val="00E127D1"/>
    <w:rsid w:val="00E12916"/>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5A8"/>
    <w:rsid w:val="00E23980"/>
    <w:rsid w:val="00E23AB0"/>
    <w:rsid w:val="00E241E9"/>
    <w:rsid w:val="00E250CB"/>
    <w:rsid w:val="00E257C3"/>
    <w:rsid w:val="00E25CB3"/>
    <w:rsid w:val="00E25DA4"/>
    <w:rsid w:val="00E26237"/>
    <w:rsid w:val="00E26CB8"/>
    <w:rsid w:val="00E26D16"/>
    <w:rsid w:val="00E26FCF"/>
    <w:rsid w:val="00E27165"/>
    <w:rsid w:val="00E275D9"/>
    <w:rsid w:val="00E27871"/>
    <w:rsid w:val="00E2788B"/>
    <w:rsid w:val="00E30269"/>
    <w:rsid w:val="00E3044A"/>
    <w:rsid w:val="00E30E49"/>
    <w:rsid w:val="00E31A4A"/>
    <w:rsid w:val="00E3344A"/>
    <w:rsid w:val="00E33B29"/>
    <w:rsid w:val="00E33B62"/>
    <w:rsid w:val="00E3403D"/>
    <w:rsid w:val="00E344BD"/>
    <w:rsid w:val="00E34548"/>
    <w:rsid w:val="00E34E6C"/>
    <w:rsid w:val="00E353E2"/>
    <w:rsid w:val="00E35EFC"/>
    <w:rsid w:val="00E36345"/>
    <w:rsid w:val="00E36C86"/>
    <w:rsid w:val="00E36CEB"/>
    <w:rsid w:val="00E37202"/>
    <w:rsid w:val="00E37A28"/>
    <w:rsid w:val="00E400C7"/>
    <w:rsid w:val="00E40430"/>
    <w:rsid w:val="00E40690"/>
    <w:rsid w:val="00E40AEB"/>
    <w:rsid w:val="00E40E82"/>
    <w:rsid w:val="00E41141"/>
    <w:rsid w:val="00E41385"/>
    <w:rsid w:val="00E4143A"/>
    <w:rsid w:val="00E41D72"/>
    <w:rsid w:val="00E424C8"/>
    <w:rsid w:val="00E4251D"/>
    <w:rsid w:val="00E427EF"/>
    <w:rsid w:val="00E4299F"/>
    <w:rsid w:val="00E43D00"/>
    <w:rsid w:val="00E43EB7"/>
    <w:rsid w:val="00E443B4"/>
    <w:rsid w:val="00E445E4"/>
    <w:rsid w:val="00E45058"/>
    <w:rsid w:val="00E4505A"/>
    <w:rsid w:val="00E457CB"/>
    <w:rsid w:val="00E4596B"/>
    <w:rsid w:val="00E45D47"/>
    <w:rsid w:val="00E45DE4"/>
    <w:rsid w:val="00E45E63"/>
    <w:rsid w:val="00E4759C"/>
    <w:rsid w:val="00E47BD5"/>
    <w:rsid w:val="00E50A7B"/>
    <w:rsid w:val="00E50B0B"/>
    <w:rsid w:val="00E50BAD"/>
    <w:rsid w:val="00E50C57"/>
    <w:rsid w:val="00E50DBB"/>
    <w:rsid w:val="00E510FE"/>
    <w:rsid w:val="00E514BA"/>
    <w:rsid w:val="00E51E25"/>
    <w:rsid w:val="00E51EE3"/>
    <w:rsid w:val="00E5205B"/>
    <w:rsid w:val="00E52169"/>
    <w:rsid w:val="00E521AE"/>
    <w:rsid w:val="00E529A3"/>
    <w:rsid w:val="00E533EE"/>
    <w:rsid w:val="00E535BB"/>
    <w:rsid w:val="00E53A21"/>
    <w:rsid w:val="00E53BCA"/>
    <w:rsid w:val="00E53DE2"/>
    <w:rsid w:val="00E53F02"/>
    <w:rsid w:val="00E5428D"/>
    <w:rsid w:val="00E54534"/>
    <w:rsid w:val="00E548C3"/>
    <w:rsid w:val="00E54F27"/>
    <w:rsid w:val="00E550D0"/>
    <w:rsid w:val="00E5590F"/>
    <w:rsid w:val="00E55FF1"/>
    <w:rsid w:val="00E56090"/>
    <w:rsid w:val="00E56408"/>
    <w:rsid w:val="00E565B9"/>
    <w:rsid w:val="00E56E7B"/>
    <w:rsid w:val="00E5733B"/>
    <w:rsid w:val="00E5756C"/>
    <w:rsid w:val="00E575D6"/>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22F"/>
    <w:rsid w:val="00E632B7"/>
    <w:rsid w:val="00E634E6"/>
    <w:rsid w:val="00E63DCE"/>
    <w:rsid w:val="00E63F78"/>
    <w:rsid w:val="00E642EF"/>
    <w:rsid w:val="00E64700"/>
    <w:rsid w:val="00E65074"/>
    <w:rsid w:val="00E655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BA1"/>
    <w:rsid w:val="00E73D03"/>
    <w:rsid w:val="00E7471C"/>
    <w:rsid w:val="00E7498A"/>
    <w:rsid w:val="00E7514E"/>
    <w:rsid w:val="00E76537"/>
    <w:rsid w:val="00E77465"/>
    <w:rsid w:val="00E77784"/>
    <w:rsid w:val="00E77AF5"/>
    <w:rsid w:val="00E800BD"/>
    <w:rsid w:val="00E8035B"/>
    <w:rsid w:val="00E80A35"/>
    <w:rsid w:val="00E8132F"/>
    <w:rsid w:val="00E81729"/>
    <w:rsid w:val="00E820F4"/>
    <w:rsid w:val="00E82263"/>
    <w:rsid w:val="00E823F9"/>
    <w:rsid w:val="00E82C1F"/>
    <w:rsid w:val="00E83543"/>
    <w:rsid w:val="00E83671"/>
    <w:rsid w:val="00E83854"/>
    <w:rsid w:val="00E83D1E"/>
    <w:rsid w:val="00E840EE"/>
    <w:rsid w:val="00E84314"/>
    <w:rsid w:val="00E849CA"/>
    <w:rsid w:val="00E84A71"/>
    <w:rsid w:val="00E84BB3"/>
    <w:rsid w:val="00E8556F"/>
    <w:rsid w:val="00E86556"/>
    <w:rsid w:val="00E86D35"/>
    <w:rsid w:val="00E86DC2"/>
    <w:rsid w:val="00E86E32"/>
    <w:rsid w:val="00E86E74"/>
    <w:rsid w:val="00E86F2E"/>
    <w:rsid w:val="00E8732E"/>
    <w:rsid w:val="00E9011F"/>
    <w:rsid w:val="00E90240"/>
    <w:rsid w:val="00E906EB"/>
    <w:rsid w:val="00E9170E"/>
    <w:rsid w:val="00E919FB"/>
    <w:rsid w:val="00E9216A"/>
    <w:rsid w:val="00E9241E"/>
    <w:rsid w:val="00E92460"/>
    <w:rsid w:val="00E92E62"/>
    <w:rsid w:val="00E93609"/>
    <w:rsid w:val="00E93804"/>
    <w:rsid w:val="00E94245"/>
    <w:rsid w:val="00E9429D"/>
    <w:rsid w:val="00E95434"/>
    <w:rsid w:val="00E95436"/>
    <w:rsid w:val="00E96467"/>
    <w:rsid w:val="00E966DA"/>
    <w:rsid w:val="00E96948"/>
    <w:rsid w:val="00E97061"/>
    <w:rsid w:val="00E9737B"/>
    <w:rsid w:val="00E97A3F"/>
    <w:rsid w:val="00E97F0A"/>
    <w:rsid w:val="00EA0100"/>
    <w:rsid w:val="00EA0449"/>
    <w:rsid w:val="00EA0455"/>
    <w:rsid w:val="00EA0BCE"/>
    <w:rsid w:val="00EA10E4"/>
    <w:rsid w:val="00EA1138"/>
    <w:rsid w:val="00EA17BC"/>
    <w:rsid w:val="00EA236A"/>
    <w:rsid w:val="00EA2378"/>
    <w:rsid w:val="00EA2744"/>
    <w:rsid w:val="00EA29BB"/>
    <w:rsid w:val="00EA3644"/>
    <w:rsid w:val="00EA37B9"/>
    <w:rsid w:val="00EA39F7"/>
    <w:rsid w:val="00EA3DC2"/>
    <w:rsid w:val="00EA434E"/>
    <w:rsid w:val="00EA4757"/>
    <w:rsid w:val="00EA560B"/>
    <w:rsid w:val="00EA5669"/>
    <w:rsid w:val="00EA5CC6"/>
    <w:rsid w:val="00EA5F6C"/>
    <w:rsid w:val="00EA63EF"/>
    <w:rsid w:val="00EA7599"/>
    <w:rsid w:val="00EA7CBF"/>
    <w:rsid w:val="00EB0A89"/>
    <w:rsid w:val="00EB0BD8"/>
    <w:rsid w:val="00EB1052"/>
    <w:rsid w:val="00EB1573"/>
    <w:rsid w:val="00EB1816"/>
    <w:rsid w:val="00EB1910"/>
    <w:rsid w:val="00EB2564"/>
    <w:rsid w:val="00EB2D83"/>
    <w:rsid w:val="00EB2E97"/>
    <w:rsid w:val="00EB3416"/>
    <w:rsid w:val="00EB4AE1"/>
    <w:rsid w:val="00EB52F4"/>
    <w:rsid w:val="00EB5694"/>
    <w:rsid w:val="00EB5779"/>
    <w:rsid w:val="00EB5D2F"/>
    <w:rsid w:val="00EB67F1"/>
    <w:rsid w:val="00EB6ADA"/>
    <w:rsid w:val="00EB6D0E"/>
    <w:rsid w:val="00EB6EE3"/>
    <w:rsid w:val="00EB7132"/>
    <w:rsid w:val="00EB72CD"/>
    <w:rsid w:val="00EB749A"/>
    <w:rsid w:val="00EB76B6"/>
    <w:rsid w:val="00EB77AD"/>
    <w:rsid w:val="00EB7D8A"/>
    <w:rsid w:val="00EC04F7"/>
    <w:rsid w:val="00EC05E2"/>
    <w:rsid w:val="00EC0E84"/>
    <w:rsid w:val="00EC16E2"/>
    <w:rsid w:val="00EC1CE7"/>
    <w:rsid w:val="00EC1DAE"/>
    <w:rsid w:val="00EC267E"/>
    <w:rsid w:val="00EC26F1"/>
    <w:rsid w:val="00EC3BA2"/>
    <w:rsid w:val="00EC3C94"/>
    <w:rsid w:val="00EC4011"/>
    <w:rsid w:val="00EC44DF"/>
    <w:rsid w:val="00EC4A85"/>
    <w:rsid w:val="00EC4C38"/>
    <w:rsid w:val="00EC4FB9"/>
    <w:rsid w:val="00EC5393"/>
    <w:rsid w:val="00EC5741"/>
    <w:rsid w:val="00EC5DA3"/>
    <w:rsid w:val="00EC6014"/>
    <w:rsid w:val="00EC6499"/>
    <w:rsid w:val="00EC6516"/>
    <w:rsid w:val="00EC6565"/>
    <w:rsid w:val="00EC695D"/>
    <w:rsid w:val="00EC6B3E"/>
    <w:rsid w:val="00EC73DE"/>
    <w:rsid w:val="00EC7637"/>
    <w:rsid w:val="00EC7843"/>
    <w:rsid w:val="00EC7C07"/>
    <w:rsid w:val="00EC7CF2"/>
    <w:rsid w:val="00ED046C"/>
    <w:rsid w:val="00ED053A"/>
    <w:rsid w:val="00ED1F03"/>
    <w:rsid w:val="00ED249D"/>
    <w:rsid w:val="00ED2535"/>
    <w:rsid w:val="00ED2D27"/>
    <w:rsid w:val="00ED3347"/>
    <w:rsid w:val="00ED3441"/>
    <w:rsid w:val="00ED3860"/>
    <w:rsid w:val="00ED3954"/>
    <w:rsid w:val="00ED39AC"/>
    <w:rsid w:val="00ED43A2"/>
    <w:rsid w:val="00ED4967"/>
    <w:rsid w:val="00ED5103"/>
    <w:rsid w:val="00ED5140"/>
    <w:rsid w:val="00ED52BC"/>
    <w:rsid w:val="00ED538C"/>
    <w:rsid w:val="00ED5771"/>
    <w:rsid w:val="00ED587F"/>
    <w:rsid w:val="00ED591B"/>
    <w:rsid w:val="00ED5964"/>
    <w:rsid w:val="00ED5F3F"/>
    <w:rsid w:val="00ED623F"/>
    <w:rsid w:val="00ED636D"/>
    <w:rsid w:val="00ED63A5"/>
    <w:rsid w:val="00ED69BA"/>
    <w:rsid w:val="00ED6D1A"/>
    <w:rsid w:val="00ED72E9"/>
    <w:rsid w:val="00ED732E"/>
    <w:rsid w:val="00ED74B3"/>
    <w:rsid w:val="00ED75AB"/>
    <w:rsid w:val="00ED77F0"/>
    <w:rsid w:val="00ED7825"/>
    <w:rsid w:val="00ED7FBC"/>
    <w:rsid w:val="00EE0253"/>
    <w:rsid w:val="00EE0297"/>
    <w:rsid w:val="00EE1258"/>
    <w:rsid w:val="00EE13DA"/>
    <w:rsid w:val="00EE1668"/>
    <w:rsid w:val="00EE1BB5"/>
    <w:rsid w:val="00EE1EDB"/>
    <w:rsid w:val="00EE24E2"/>
    <w:rsid w:val="00EE2A20"/>
    <w:rsid w:val="00EE2CE9"/>
    <w:rsid w:val="00EE366D"/>
    <w:rsid w:val="00EE3B95"/>
    <w:rsid w:val="00EE40A4"/>
    <w:rsid w:val="00EE5454"/>
    <w:rsid w:val="00EE59B5"/>
    <w:rsid w:val="00EE5FB7"/>
    <w:rsid w:val="00EE6783"/>
    <w:rsid w:val="00EE678B"/>
    <w:rsid w:val="00EE73D6"/>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97D"/>
    <w:rsid w:val="00EF427A"/>
    <w:rsid w:val="00EF45DF"/>
    <w:rsid w:val="00EF47C8"/>
    <w:rsid w:val="00EF4944"/>
    <w:rsid w:val="00EF4952"/>
    <w:rsid w:val="00EF498F"/>
    <w:rsid w:val="00EF4A42"/>
    <w:rsid w:val="00EF4C3F"/>
    <w:rsid w:val="00EF510C"/>
    <w:rsid w:val="00EF537B"/>
    <w:rsid w:val="00EF55C4"/>
    <w:rsid w:val="00EF57BC"/>
    <w:rsid w:val="00EF5CA8"/>
    <w:rsid w:val="00EF5DA2"/>
    <w:rsid w:val="00EF6674"/>
    <w:rsid w:val="00EF6784"/>
    <w:rsid w:val="00EF688A"/>
    <w:rsid w:val="00EF6A03"/>
    <w:rsid w:val="00EF6DC2"/>
    <w:rsid w:val="00EF7506"/>
    <w:rsid w:val="00EF760B"/>
    <w:rsid w:val="00EF7BF4"/>
    <w:rsid w:val="00F00125"/>
    <w:rsid w:val="00F0030F"/>
    <w:rsid w:val="00F00674"/>
    <w:rsid w:val="00F01657"/>
    <w:rsid w:val="00F0178E"/>
    <w:rsid w:val="00F01D98"/>
    <w:rsid w:val="00F01E67"/>
    <w:rsid w:val="00F025B1"/>
    <w:rsid w:val="00F02744"/>
    <w:rsid w:val="00F02BFD"/>
    <w:rsid w:val="00F02D25"/>
    <w:rsid w:val="00F0369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2C"/>
    <w:rsid w:val="00F12C52"/>
    <w:rsid w:val="00F1316B"/>
    <w:rsid w:val="00F13381"/>
    <w:rsid w:val="00F1363E"/>
    <w:rsid w:val="00F13828"/>
    <w:rsid w:val="00F13E62"/>
    <w:rsid w:val="00F13F51"/>
    <w:rsid w:val="00F1465D"/>
    <w:rsid w:val="00F148B7"/>
    <w:rsid w:val="00F14EA9"/>
    <w:rsid w:val="00F15505"/>
    <w:rsid w:val="00F15BFF"/>
    <w:rsid w:val="00F1634B"/>
    <w:rsid w:val="00F16E4F"/>
    <w:rsid w:val="00F16EFB"/>
    <w:rsid w:val="00F171B2"/>
    <w:rsid w:val="00F17244"/>
    <w:rsid w:val="00F20931"/>
    <w:rsid w:val="00F20ECE"/>
    <w:rsid w:val="00F213A0"/>
    <w:rsid w:val="00F21C6F"/>
    <w:rsid w:val="00F21D54"/>
    <w:rsid w:val="00F21EF4"/>
    <w:rsid w:val="00F22012"/>
    <w:rsid w:val="00F221A2"/>
    <w:rsid w:val="00F22697"/>
    <w:rsid w:val="00F226E4"/>
    <w:rsid w:val="00F23113"/>
    <w:rsid w:val="00F23255"/>
    <w:rsid w:val="00F23393"/>
    <w:rsid w:val="00F23759"/>
    <w:rsid w:val="00F242BF"/>
    <w:rsid w:val="00F24644"/>
    <w:rsid w:val="00F24996"/>
    <w:rsid w:val="00F24BB1"/>
    <w:rsid w:val="00F25947"/>
    <w:rsid w:val="00F26272"/>
    <w:rsid w:val="00F262D6"/>
    <w:rsid w:val="00F2654F"/>
    <w:rsid w:val="00F26F33"/>
    <w:rsid w:val="00F273D5"/>
    <w:rsid w:val="00F2748A"/>
    <w:rsid w:val="00F2786C"/>
    <w:rsid w:val="00F300A8"/>
    <w:rsid w:val="00F302C6"/>
    <w:rsid w:val="00F30400"/>
    <w:rsid w:val="00F3079E"/>
    <w:rsid w:val="00F31289"/>
    <w:rsid w:val="00F3232D"/>
    <w:rsid w:val="00F3255E"/>
    <w:rsid w:val="00F3399B"/>
    <w:rsid w:val="00F33AE9"/>
    <w:rsid w:val="00F33F4B"/>
    <w:rsid w:val="00F3404E"/>
    <w:rsid w:val="00F346ED"/>
    <w:rsid w:val="00F34945"/>
    <w:rsid w:val="00F34E1E"/>
    <w:rsid w:val="00F3570C"/>
    <w:rsid w:val="00F363A4"/>
    <w:rsid w:val="00F36633"/>
    <w:rsid w:val="00F36765"/>
    <w:rsid w:val="00F368FF"/>
    <w:rsid w:val="00F37068"/>
    <w:rsid w:val="00F37E5F"/>
    <w:rsid w:val="00F37F3F"/>
    <w:rsid w:val="00F40992"/>
    <w:rsid w:val="00F40F72"/>
    <w:rsid w:val="00F41596"/>
    <w:rsid w:val="00F415BF"/>
    <w:rsid w:val="00F4160C"/>
    <w:rsid w:val="00F41D8B"/>
    <w:rsid w:val="00F42121"/>
    <w:rsid w:val="00F424B3"/>
    <w:rsid w:val="00F425E1"/>
    <w:rsid w:val="00F428B1"/>
    <w:rsid w:val="00F428B4"/>
    <w:rsid w:val="00F42EF4"/>
    <w:rsid w:val="00F433F5"/>
    <w:rsid w:val="00F4345D"/>
    <w:rsid w:val="00F4387B"/>
    <w:rsid w:val="00F44914"/>
    <w:rsid w:val="00F44A3C"/>
    <w:rsid w:val="00F45921"/>
    <w:rsid w:val="00F45B91"/>
    <w:rsid w:val="00F45F1F"/>
    <w:rsid w:val="00F46639"/>
    <w:rsid w:val="00F476FD"/>
    <w:rsid w:val="00F47DED"/>
    <w:rsid w:val="00F50183"/>
    <w:rsid w:val="00F50D92"/>
    <w:rsid w:val="00F51765"/>
    <w:rsid w:val="00F51A51"/>
    <w:rsid w:val="00F51BC6"/>
    <w:rsid w:val="00F51CB4"/>
    <w:rsid w:val="00F51DE0"/>
    <w:rsid w:val="00F521E9"/>
    <w:rsid w:val="00F52200"/>
    <w:rsid w:val="00F52257"/>
    <w:rsid w:val="00F52324"/>
    <w:rsid w:val="00F52571"/>
    <w:rsid w:val="00F52950"/>
    <w:rsid w:val="00F52C9D"/>
    <w:rsid w:val="00F533F1"/>
    <w:rsid w:val="00F53F4F"/>
    <w:rsid w:val="00F54367"/>
    <w:rsid w:val="00F54915"/>
    <w:rsid w:val="00F55185"/>
    <w:rsid w:val="00F55679"/>
    <w:rsid w:val="00F561E3"/>
    <w:rsid w:val="00F565E6"/>
    <w:rsid w:val="00F569F5"/>
    <w:rsid w:val="00F56AFA"/>
    <w:rsid w:val="00F575E2"/>
    <w:rsid w:val="00F579FF"/>
    <w:rsid w:val="00F57FC6"/>
    <w:rsid w:val="00F600E0"/>
    <w:rsid w:val="00F605EC"/>
    <w:rsid w:val="00F60F60"/>
    <w:rsid w:val="00F612CE"/>
    <w:rsid w:val="00F6133C"/>
    <w:rsid w:val="00F61405"/>
    <w:rsid w:val="00F61DBA"/>
    <w:rsid w:val="00F62227"/>
    <w:rsid w:val="00F624A7"/>
    <w:rsid w:val="00F62AB6"/>
    <w:rsid w:val="00F649FE"/>
    <w:rsid w:val="00F65A3C"/>
    <w:rsid w:val="00F66009"/>
    <w:rsid w:val="00F66282"/>
    <w:rsid w:val="00F6639E"/>
    <w:rsid w:val="00F670E9"/>
    <w:rsid w:val="00F6749F"/>
    <w:rsid w:val="00F67AF1"/>
    <w:rsid w:val="00F67D8B"/>
    <w:rsid w:val="00F67EC6"/>
    <w:rsid w:val="00F700CD"/>
    <w:rsid w:val="00F701C5"/>
    <w:rsid w:val="00F70961"/>
    <w:rsid w:val="00F70A8F"/>
    <w:rsid w:val="00F71397"/>
    <w:rsid w:val="00F714D2"/>
    <w:rsid w:val="00F72389"/>
    <w:rsid w:val="00F72516"/>
    <w:rsid w:val="00F72FB4"/>
    <w:rsid w:val="00F732CF"/>
    <w:rsid w:val="00F735E5"/>
    <w:rsid w:val="00F73B82"/>
    <w:rsid w:val="00F73E80"/>
    <w:rsid w:val="00F7469C"/>
    <w:rsid w:val="00F7492E"/>
    <w:rsid w:val="00F74945"/>
    <w:rsid w:val="00F749A3"/>
    <w:rsid w:val="00F74AE8"/>
    <w:rsid w:val="00F753EC"/>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51A"/>
    <w:rsid w:val="00F87634"/>
    <w:rsid w:val="00F87C13"/>
    <w:rsid w:val="00F87C5A"/>
    <w:rsid w:val="00F87E29"/>
    <w:rsid w:val="00F87F18"/>
    <w:rsid w:val="00F87F68"/>
    <w:rsid w:val="00F90C4D"/>
    <w:rsid w:val="00F9167D"/>
    <w:rsid w:val="00F91CB2"/>
    <w:rsid w:val="00F924AB"/>
    <w:rsid w:val="00F927E8"/>
    <w:rsid w:val="00F9289C"/>
    <w:rsid w:val="00F929FA"/>
    <w:rsid w:val="00F92FC1"/>
    <w:rsid w:val="00F932D1"/>
    <w:rsid w:val="00F93DBC"/>
    <w:rsid w:val="00F93E41"/>
    <w:rsid w:val="00F94644"/>
    <w:rsid w:val="00F94D7F"/>
    <w:rsid w:val="00F952E4"/>
    <w:rsid w:val="00F9537B"/>
    <w:rsid w:val="00F96079"/>
    <w:rsid w:val="00F963FC"/>
    <w:rsid w:val="00F97CF1"/>
    <w:rsid w:val="00FA015F"/>
    <w:rsid w:val="00FA0FAC"/>
    <w:rsid w:val="00FA10F7"/>
    <w:rsid w:val="00FA1DA2"/>
    <w:rsid w:val="00FA2E0B"/>
    <w:rsid w:val="00FA313F"/>
    <w:rsid w:val="00FA3414"/>
    <w:rsid w:val="00FA347A"/>
    <w:rsid w:val="00FA3CDE"/>
    <w:rsid w:val="00FA49B7"/>
    <w:rsid w:val="00FA5043"/>
    <w:rsid w:val="00FA606E"/>
    <w:rsid w:val="00FA60C1"/>
    <w:rsid w:val="00FA65A3"/>
    <w:rsid w:val="00FA6788"/>
    <w:rsid w:val="00FA6A30"/>
    <w:rsid w:val="00FA6BCA"/>
    <w:rsid w:val="00FA6F8B"/>
    <w:rsid w:val="00FA727C"/>
    <w:rsid w:val="00FA7A30"/>
    <w:rsid w:val="00FB033F"/>
    <w:rsid w:val="00FB0880"/>
    <w:rsid w:val="00FB12E3"/>
    <w:rsid w:val="00FB14BA"/>
    <w:rsid w:val="00FB1570"/>
    <w:rsid w:val="00FB193B"/>
    <w:rsid w:val="00FB1FBC"/>
    <w:rsid w:val="00FB220E"/>
    <w:rsid w:val="00FB241D"/>
    <w:rsid w:val="00FB27B7"/>
    <w:rsid w:val="00FB35E3"/>
    <w:rsid w:val="00FB4C98"/>
    <w:rsid w:val="00FB4CE3"/>
    <w:rsid w:val="00FB583C"/>
    <w:rsid w:val="00FB630E"/>
    <w:rsid w:val="00FB6738"/>
    <w:rsid w:val="00FB691B"/>
    <w:rsid w:val="00FB6BE6"/>
    <w:rsid w:val="00FB731C"/>
    <w:rsid w:val="00FB7628"/>
    <w:rsid w:val="00FC0363"/>
    <w:rsid w:val="00FC05A0"/>
    <w:rsid w:val="00FC079F"/>
    <w:rsid w:val="00FC0811"/>
    <w:rsid w:val="00FC09B3"/>
    <w:rsid w:val="00FC1196"/>
    <w:rsid w:val="00FC1355"/>
    <w:rsid w:val="00FC15EB"/>
    <w:rsid w:val="00FC162C"/>
    <w:rsid w:val="00FC18DC"/>
    <w:rsid w:val="00FC1F76"/>
    <w:rsid w:val="00FC2477"/>
    <w:rsid w:val="00FC2AC4"/>
    <w:rsid w:val="00FC2F73"/>
    <w:rsid w:val="00FC3A9B"/>
    <w:rsid w:val="00FC3AE1"/>
    <w:rsid w:val="00FC3DFC"/>
    <w:rsid w:val="00FC3EF4"/>
    <w:rsid w:val="00FC431B"/>
    <w:rsid w:val="00FC434C"/>
    <w:rsid w:val="00FC472C"/>
    <w:rsid w:val="00FC4FDF"/>
    <w:rsid w:val="00FC5652"/>
    <w:rsid w:val="00FC5CF4"/>
    <w:rsid w:val="00FC5D64"/>
    <w:rsid w:val="00FC61D6"/>
    <w:rsid w:val="00FC66F5"/>
    <w:rsid w:val="00FC6A39"/>
    <w:rsid w:val="00FC6DB9"/>
    <w:rsid w:val="00FC707D"/>
    <w:rsid w:val="00FC70B0"/>
    <w:rsid w:val="00FC76A9"/>
    <w:rsid w:val="00FC79AB"/>
    <w:rsid w:val="00FC7BE7"/>
    <w:rsid w:val="00FC7DAC"/>
    <w:rsid w:val="00FD005D"/>
    <w:rsid w:val="00FD0216"/>
    <w:rsid w:val="00FD04AE"/>
    <w:rsid w:val="00FD0DFA"/>
    <w:rsid w:val="00FD1890"/>
    <w:rsid w:val="00FD1994"/>
    <w:rsid w:val="00FD21E5"/>
    <w:rsid w:val="00FD3508"/>
    <w:rsid w:val="00FD393C"/>
    <w:rsid w:val="00FD3AFF"/>
    <w:rsid w:val="00FD43BB"/>
    <w:rsid w:val="00FD4AF3"/>
    <w:rsid w:val="00FD5443"/>
    <w:rsid w:val="00FD5640"/>
    <w:rsid w:val="00FD6675"/>
    <w:rsid w:val="00FD6DC5"/>
    <w:rsid w:val="00FD72B1"/>
    <w:rsid w:val="00FD798D"/>
    <w:rsid w:val="00FD7F5E"/>
    <w:rsid w:val="00FE0928"/>
    <w:rsid w:val="00FE141E"/>
    <w:rsid w:val="00FE1429"/>
    <w:rsid w:val="00FE144E"/>
    <w:rsid w:val="00FE1768"/>
    <w:rsid w:val="00FE1DD5"/>
    <w:rsid w:val="00FE24F4"/>
    <w:rsid w:val="00FE2560"/>
    <w:rsid w:val="00FE32DF"/>
    <w:rsid w:val="00FE35D0"/>
    <w:rsid w:val="00FE42ED"/>
    <w:rsid w:val="00FE4E06"/>
    <w:rsid w:val="00FE55A7"/>
    <w:rsid w:val="00FE5C5A"/>
    <w:rsid w:val="00FE601E"/>
    <w:rsid w:val="00FE6432"/>
    <w:rsid w:val="00FE72A0"/>
    <w:rsid w:val="00FE7972"/>
    <w:rsid w:val="00FF0050"/>
    <w:rsid w:val="00FF045F"/>
    <w:rsid w:val="00FF0816"/>
    <w:rsid w:val="00FF13D4"/>
    <w:rsid w:val="00FF2053"/>
    <w:rsid w:val="00FF3B37"/>
    <w:rsid w:val="00FF3CC7"/>
    <w:rsid w:val="00FF3D6F"/>
    <w:rsid w:val="00FF441A"/>
    <w:rsid w:val="00FF4BD8"/>
    <w:rsid w:val="00FF4D11"/>
    <w:rsid w:val="00FF5214"/>
    <w:rsid w:val="00FF596E"/>
    <w:rsid w:val="00FF5B59"/>
    <w:rsid w:val="00FF5BFD"/>
    <w:rsid w:val="00FF6095"/>
    <w:rsid w:val="00FF629E"/>
    <w:rsid w:val="00FF62FE"/>
    <w:rsid w:val="00FF6434"/>
    <w:rsid w:val="00FF6553"/>
    <w:rsid w:val="00FF709D"/>
    <w:rsid w:val="00FF70BD"/>
    <w:rsid w:val="00FF7124"/>
    <w:rsid w:val="00FF7A39"/>
    <w:rsid w:val="0E60C54A"/>
    <w:rsid w:val="27059084"/>
    <w:rsid w:val="5D2C11C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superscript">
    <w:name w:val="superscript"/>
    <w:basedOn w:val="Fuentedeprrafopredeter"/>
    <w:rsid w:val="00221A1D"/>
  </w:style>
  <w:style w:type="paragraph" w:styleId="Revisin">
    <w:name w:val="Revision"/>
    <w:hidden/>
    <w:uiPriority w:val="99"/>
    <w:semiHidden/>
    <w:rsid w:val="002B6782"/>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0083367">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6904838">
      <w:bodyDiv w:val="1"/>
      <w:marLeft w:val="0"/>
      <w:marRight w:val="0"/>
      <w:marTop w:val="0"/>
      <w:marBottom w:val="0"/>
      <w:divBdr>
        <w:top w:val="none" w:sz="0" w:space="0" w:color="auto"/>
        <w:left w:val="none" w:sz="0" w:space="0" w:color="auto"/>
        <w:bottom w:val="none" w:sz="0" w:space="0" w:color="auto"/>
        <w:right w:val="none" w:sz="0" w:space="0" w:color="auto"/>
      </w:divBdr>
      <w:divsChild>
        <w:div w:id="585454110">
          <w:marLeft w:val="0"/>
          <w:marRight w:val="0"/>
          <w:marTop w:val="0"/>
          <w:marBottom w:val="0"/>
          <w:divBdr>
            <w:top w:val="none" w:sz="0" w:space="0" w:color="auto"/>
            <w:left w:val="none" w:sz="0" w:space="0" w:color="auto"/>
            <w:bottom w:val="none" w:sz="0" w:space="0" w:color="auto"/>
            <w:right w:val="none" w:sz="0" w:space="0" w:color="auto"/>
          </w:divBdr>
        </w:div>
        <w:div w:id="2052341806">
          <w:marLeft w:val="0"/>
          <w:marRight w:val="0"/>
          <w:marTop w:val="0"/>
          <w:marBottom w:val="0"/>
          <w:divBdr>
            <w:top w:val="none" w:sz="0" w:space="0" w:color="auto"/>
            <w:left w:val="none" w:sz="0" w:space="0" w:color="auto"/>
            <w:bottom w:val="none" w:sz="0" w:space="0" w:color="auto"/>
            <w:right w:val="none" w:sz="0" w:space="0" w:color="auto"/>
          </w:divBdr>
        </w:div>
        <w:div w:id="1252272080">
          <w:marLeft w:val="0"/>
          <w:marRight w:val="0"/>
          <w:marTop w:val="0"/>
          <w:marBottom w:val="0"/>
          <w:divBdr>
            <w:top w:val="none" w:sz="0" w:space="0" w:color="auto"/>
            <w:left w:val="none" w:sz="0" w:space="0" w:color="auto"/>
            <w:bottom w:val="none" w:sz="0" w:space="0" w:color="auto"/>
            <w:right w:val="none" w:sz="0" w:space="0" w:color="auto"/>
          </w:divBdr>
        </w:div>
        <w:div w:id="1856387046">
          <w:marLeft w:val="0"/>
          <w:marRight w:val="0"/>
          <w:marTop w:val="0"/>
          <w:marBottom w:val="0"/>
          <w:divBdr>
            <w:top w:val="none" w:sz="0" w:space="0" w:color="auto"/>
            <w:left w:val="none" w:sz="0" w:space="0" w:color="auto"/>
            <w:bottom w:val="none" w:sz="0" w:space="0" w:color="auto"/>
            <w:right w:val="none" w:sz="0" w:space="0" w:color="auto"/>
          </w:divBdr>
        </w:div>
        <w:div w:id="2034303884">
          <w:marLeft w:val="0"/>
          <w:marRight w:val="0"/>
          <w:marTop w:val="0"/>
          <w:marBottom w:val="0"/>
          <w:divBdr>
            <w:top w:val="none" w:sz="0" w:space="0" w:color="auto"/>
            <w:left w:val="none" w:sz="0" w:space="0" w:color="auto"/>
            <w:bottom w:val="none" w:sz="0" w:space="0" w:color="auto"/>
            <w:right w:val="none" w:sz="0" w:space="0" w:color="auto"/>
          </w:divBdr>
        </w:div>
        <w:div w:id="189882077">
          <w:marLeft w:val="0"/>
          <w:marRight w:val="0"/>
          <w:marTop w:val="0"/>
          <w:marBottom w:val="0"/>
          <w:divBdr>
            <w:top w:val="none" w:sz="0" w:space="0" w:color="auto"/>
            <w:left w:val="none" w:sz="0" w:space="0" w:color="auto"/>
            <w:bottom w:val="none" w:sz="0" w:space="0" w:color="auto"/>
            <w:right w:val="none" w:sz="0" w:space="0" w:color="auto"/>
          </w:divBdr>
        </w:div>
        <w:div w:id="2030905624">
          <w:marLeft w:val="0"/>
          <w:marRight w:val="0"/>
          <w:marTop w:val="0"/>
          <w:marBottom w:val="0"/>
          <w:divBdr>
            <w:top w:val="none" w:sz="0" w:space="0" w:color="auto"/>
            <w:left w:val="none" w:sz="0" w:space="0" w:color="auto"/>
            <w:bottom w:val="none" w:sz="0" w:space="0" w:color="auto"/>
            <w:right w:val="none" w:sz="0" w:space="0" w:color="auto"/>
          </w:divBdr>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26793">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840033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654794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17132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1327639">
      <w:bodyDiv w:val="1"/>
      <w:marLeft w:val="0"/>
      <w:marRight w:val="0"/>
      <w:marTop w:val="0"/>
      <w:marBottom w:val="0"/>
      <w:divBdr>
        <w:top w:val="none" w:sz="0" w:space="0" w:color="auto"/>
        <w:left w:val="none" w:sz="0" w:space="0" w:color="auto"/>
        <w:bottom w:val="none" w:sz="0" w:space="0" w:color="auto"/>
        <w:right w:val="none" w:sz="0" w:space="0" w:color="auto"/>
      </w:divBdr>
      <w:divsChild>
        <w:div w:id="1434203582">
          <w:marLeft w:val="0"/>
          <w:marRight w:val="0"/>
          <w:marTop w:val="0"/>
          <w:marBottom w:val="0"/>
          <w:divBdr>
            <w:top w:val="none" w:sz="0" w:space="0" w:color="auto"/>
            <w:left w:val="none" w:sz="0" w:space="0" w:color="auto"/>
            <w:bottom w:val="none" w:sz="0" w:space="0" w:color="auto"/>
            <w:right w:val="none" w:sz="0" w:space="0" w:color="auto"/>
          </w:divBdr>
        </w:div>
        <w:div w:id="1371103479">
          <w:marLeft w:val="0"/>
          <w:marRight w:val="0"/>
          <w:marTop w:val="0"/>
          <w:marBottom w:val="0"/>
          <w:divBdr>
            <w:top w:val="none" w:sz="0" w:space="0" w:color="auto"/>
            <w:left w:val="none" w:sz="0" w:space="0" w:color="auto"/>
            <w:bottom w:val="none" w:sz="0" w:space="0" w:color="auto"/>
            <w:right w:val="none" w:sz="0" w:space="0" w:color="auto"/>
          </w:divBdr>
        </w:div>
        <w:div w:id="2024238558">
          <w:marLeft w:val="0"/>
          <w:marRight w:val="0"/>
          <w:marTop w:val="0"/>
          <w:marBottom w:val="0"/>
          <w:divBdr>
            <w:top w:val="none" w:sz="0" w:space="0" w:color="auto"/>
            <w:left w:val="none" w:sz="0" w:space="0" w:color="auto"/>
            <w:bottom w:val="none" w:sz="0" w:space="0" w:color="auto"/>
            <w:right w:val="none" w:sz="0" w:space="0" w:color="auto"/>
          </w:divBdr>
        </w:div>
        <w:div w:id="426652870">
          <w:marLeft w:val="0"/>
          <w:marRight w:val="0"/>
          <w:marTop w:val="0"/>
          <w:marBottom w:val="0"/>
          <w:divBdr>
            <w:top w:val="none" w:sz="0" w:space="0" w:color="auto"/>
            <w:left w:val="none" w:sz="0" w:space="0" w:color="auto"/>
            <w:bottom w:val="none" w:sz="0" w:space="0" w:color="auto"/>
            <w:right w:val="none" w:sz="0" w:space="0" w:color="auto"/>
          </w:divBdr>
        </w:div>
        <w:div w:id="788159496">
          <w:marLeft w:val="0"/>
          <w:marRight w:val="0"/>
          <w:marTop w:val="0"/>
          <w:marBottom w:val="0"/>
          <w:divBdr>
            <w:top w:val="none" w:sz="0" w:space="0" w:color="auto"/>
            <w:left w:val="none" w:sz="0" w:space="0" w:color="auto"/>
            <w:bottom w:val="none" w:sz="0" w:space="0" w:color="auto"/>
            <w:right w:val="none" w:sz="0" w:space="0" w:color="auto"/>
          </w:divBdr>
        </w:div>
        <w:div w:id="1060903204">
          <w:marLeft w:val="0"/>
          <w:marRight w:val="0"/>
          <w:marTop w:val="0"/>
          <w:marBottom w:val="0"/>
          <w:divBdr>
            <w:top w:val="none" w:sz="0" w:space="0" w:color="auto"/>
            <w:left w:val="none" w:sz="0" w:space="0" w:color="auto"/>
            <w:bottom w:val="none" w:sz="0" w:space="0" w:color="auto"/>
            <w:right w:val="none" w:sz="0" w:space="0" w:color="auto"/>
          </w:divBdr>
        </w:div>
        <w:div w:id="2083793741">
          <w:marLeft w:val="0"/>
          <w:marRight w:val="0"/>
          <w:marTop w:val="0"/>
          <w:marBottom w:val="0"/>
          <w:divBdr>
            <w:top w:val="none" w:sz="0" w:space="0" w:color="auto"/>
            <w:left w:val="none" w:sz="0" w:space="0" w:color="auto"/>
            <w:bottom w:val="none" w:sz="0" w:space="0" w:color="auto"/>
            <w:right w:val="none" w:sz="0" w:space="0" w:color="auto"/>
          </w:divBdr>
        </w:div>
      </w:divsChild>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6943046">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4553">
      <w:bodyDiv w:val="1"/>
      <w:marLeft w:val="0"/>
      <w:marRight w:val="0"/>
      <w:marTop w:val="0"/>
      <w:marBottom w:val="0"/>
      <w:divBdr>
        <w:top w:val="none" w:sz="0" w:space="0" w:color="auto"/>
        <w:left w:val="none" w:sz="0" w:space="0" w:color="auto"/>
        <w:bottom w:val="none" w:sz="0" w:space="0" w:color="auto"/>
        <w:right w:val="none" w:sz="0" w:space="0" w:color="auto"/>
      </w:divBdr>
      <w:divsChild>
        <w:div w:id="1614900304">
          <w:marLeft w:val="0"/>
          <w:marRight w:val="0"/>
          <w:marTop w:val="0"/>
          <w:marBottom w:val="0"/>
          <w:divBdr>
            <w:top w:val="none" w:sz="0" w:space="0" w:color="auto"/>
            <w:left w:val="none" w:sz="0" w:space="0" w:color="auto"/>
            <w:bottom w:val="none" w:sz="0" w:space="0" w:color="auto"/>
            <w:right w:val="none" w:sz="0" w:space="0" w:color="auto"/>
          </w:divBdr>
        </w:div>
        <w:div w:id="1711761483">
          <w:marLeft w:val="0"/>
          <w:marRight w:val="0"/>
          <w:marTop w:val="0"/>
          <w:marBottom w:val="0"/>
          <w:divBdr>
            <w:top w:val="none" w:sz="0" w:space="0" w:color="auto"/>
            <w:left w:val="none" w:sz="0" w:space="0" w:color="auto"/>
            <w:bottom w:val="none" w:sz="0" w:space="0" w:color="auto"/>
            <w:right w:val="none" w:sz="0" w:space="0" w:color="auto"/>
          </w:divBdr>
        </w:div>
        <w:div w:id="971445505">
          <w:marLeft w:val="0"/>
          <w:marRight w:val="0"/>
          <w:marTop w:val="0"/>
          <w:marBottom w:val="0"/>
          <w:divBdr>
            <w:top w:val="none" w:sz="0" w:space="0" w:color="auto"/>
            <w:left w:val="none" w:sz="0" w:space="0" w:color="auto"/>
            <w:bottom w:val="none" w:sz="0" w:space="0" w:color="auto"/>
            <w:right w:val="none" w:sz="0" w:space="0" w:color="auto"/>
          </w:divBdr>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9291021">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31591" TargetMode="External"/><Relationship Id="rId18" Type="http://schemas.openxmlformats.org/officeDocument/2006/relationships/hyperlink" Target="https://www.funcionpublica.gov.co/eva/gestornormativo/norma.php?i=464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uncionpublica.gov.co/eva/gestornormativo/norma.php?i=31591" TargetMode="External"/><Relationship Id="rId7" Type="http://schemas.openxmlformats.org/officeDocument/2006/relationships/settings" Target="settings.xml"/><Relationship Id="rId12" Type="http://schemas.openxmlformats.org/officeDocument/2006/relationships/hyperlink" Target="https://www.funcionpublica.gov.co/eva/gestornormativo/norma.php?i=4640" TargetMode="External"/><Relationship Id="rId17" Type="http://schemas.openxmlformats.org/officeDocument/2006/relationships/hyperlink" Target="https://www.funcionpublica.gov.co/eva/gestornormativo/norma.php?i=3405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uncionpublica.gov.co/eva/gestornormativo/norma.php?i=34054" TargetMode="External"/><Relationship Id="rId20" Type="http://schemas.openxmlformats.org/officeDocument/2006/relationships/hyperlink" Target="https://www.funcionpublica.gov.co/eva/gestornormativo/norma.php?i=46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uncionpublica.gov.co/eva/gestornormativo/norma.php?i=31591"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uncionpublica.gov.co/eva/gestornormativo/norma.php?i=3159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4640"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s://www.funcionpublica.gov.co/eva/gestornormativo/norma.php?i=77653"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3F918-90D0-46A9-A118-76C68BC7F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23</Pages>
  <Words>9713</Words>
  <Characters>53422</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Laura Alejandra Materon Garcia</cp:lastModifiedBy>
  <cp:revision>2</cp:revision>
  <cp:lastPrinted>2020-01-30T15:05:00Z</cp:lastPrinted>
  <dcterms:created xsi:type="dcterms:W3CDTF">2022-05-31T16:07:00Z</dcterms:created>
  <dcterms:modified xsi:type="dcterms:W3CDTF">2022-05-31T16:07:00Z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