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4C19" w14:textId="77777777" w:rsidR="00570113" w:rsidRPr="0025010A" w:rsidRDefault="00570113" w:rsidP="00CC2647">
      <w:pPr>
        <w:spacing w:after="0" w:line="240" w:lineRule="auto"/>
        <w:rPr>
          <w:rFonts w:ascii="Arial" w:hAnsi="Arial" w:cs="Arial"/>
          <w:b/>
          <w:color w:val="000000" w:themeColor="text1"/>
          <w:sz w:val="20"/>
          <w:szCs w:val="20"/>
          <w:lang w:val="es-CO"/>
        </w:rPr>
      </w:pPr>
      <w:r w:rsidRPr="0025010A">
        <w:rPr>
          <w:rFonts w:ascii="Arial" w:hAnsi="Arial" w:cs="Arial"/>
          <w:b/>
          <w:color w:val="000000" w:themeColor="text1"/>
          <w:sz w:val="20"/>
          <w:szCs w:val="20"/>
          <w:lang w:val="es-CO"/>
        </w:rPr>
        <w:t>DOCUMENTOS TIPO – Fundamento normativo – generalidades</w:t>
      </w:r>
    </w:p>
    <w:p w14:paraId="43375477" w14:textId="77777777" w:rsidR="00570113" w:rsidRPr="0025010A" w:rsidRDefault="00570113" w:rsidP="00CC2647">
      <w:pPr>
        <w:spacing w:after="0" w:line="240" w:lineRule="auto"/>
        <w:rPr>
          <w:rFonts w:ascii="Arial" w:hAnsi="Arial" w:cs="Arial"/>
          <w:b/>
          <w:color w:val="000000" w:themeColor="text1"/>
          <w:sz w:val="20"/>
          <w:szCs w:val="20"/>
          <w:lang w:val="es-CO"/>
        </w:rPr>
      </w:pPr>
    </w:p>
    <w:p w14:paraId="1AB746C8" w14:textId="77777777" w:rsidR="0025010A" w:rsidRPr="0025010A" w:rsidRDefault="0025010A" w:rsidP="0025010A">
      <w:pPr>
        <w:spacing w:after="120"/>
        <w:rPr>
          <w:rFonts w:ascii="Arial" w:hAnsi="Arial" w:cs="Arial"/>
          <w:sz w:val="22"/>
          <w:lang w:val="es-ES_tradnl"/>
        </w:rPr>
      </w:pPr>
      <w:r w:rsidRPr="0025010A">
        <w:rPr>
          <w:rFonts w:ascii="Arial" w:hAnsi="Arial" w:cs="Arial"/>
          <w:sz w:val="22"/>
          <w:lang w:val="es-ES_tradnl"/>
        </w:rPr>
        <w:t xml:space="preserve">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Sin embargo, esta facultad no ha sido ejercida hasta la actualidad. 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w:t>
      </w:r>
      <w:r w:rsidRPr="0025010A">
        <w:rPr>
          <w:rFonts w:ascii="Arial" w:hAnsi="Arial" w:cs="Arial"/>
          <w:color w:val="000000"/>
          <w:sz w:val="22"/>
          <w:szCs w:val="22"/>
          <w:bdr w:val="none" w:sz="0" w:space="0" w:color="auto" w:frame="1"/>
          <w:lang w:val="es-CO"/>
        </w:rPr>
        <w:t xml:space="preserve">[…] 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en el entendido de que aplicarán para las actividades señaladas en dicha matriz. </w:t>
      </w:r>
      <w:r w:rsidRPr="0025010A">
        <w:rPr>
          <w:rFonts w:ascii="Arial" w:hAnsi="Arial" w:cs="Arial"/>
          <w:color w:val="000000"/>
          <w:sz w:val="22"/>
          <w:szCs w:val="22"/>
          <w:bdr w:val="none" w:sz="0" w:space="0" w:color="auto" w:frame="1"/>
          <w:lang w:val="es-ES_tradnl"/>
        </w:rPr>
        <w:t>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50B3A5B7" w14:textId="77777777" w:rsidR="00570113" w:rsidRPr="0025010A" w:rsidRDefault="00570113" w:rsidP="00CC2647">
      <w:pPr>
        <w:spacing w:after="0" w:line="240" w:lineRule="auto"/>
        <w:rPr>
          <w:rFonts w:ascii="Arial" w:hAnsi="Arial" w:cs="Arial"/>
          <w:color w:val="000000" w:themeColor="text1"/>
          <w:sz w:val="20"/>
          <w:szCs w:val="20"/>
          <w:bdr w:val="none" w:sz="0" w:space="0" w:color="auto" w:frame="1"/>
          <w:lang w:eastAsia="es-CO"/>
        </w:rPr>
      </w:pPr>
    </w:p>
    <w:p w14:paraId="16E94B1A" w14:textId="0F3266D9" w:rsidR="00570113" w:rsidRPr="0025010A" w:rsidRDefault="00570113" w:rsidP="00CC2647">
      <w:pPr>
        <w:spacing w:after="0" w:line="240" w:lineRule="auto"/>
        <w:rPr>
          <w:rFonts w:ascii="Arial" w:hAnsi="Arial" w:cs="Arial"/>
          <w:b/>
          <w:color w:val="000000" w:themeColor="text1"/>
          <w:sz w:val="20"/>
          <w:szCs w:val="20"/>
          <w:bdr w:val="none" w:sz="0" w:space="0" w:color="auto" w:frame="1"/>
          <w:lang w:eastAsia="es-CO"/>
        </w:rPr>
      </w:pPr>
      <w:r w:rsidRPr="0025010A">
        <w:rPr>
          <w:rFonts w:ascii="Arial" w:hAnsi="Arial" w:cs="Arial"/>
          <w:b/>
          <w:color w:val="000000" w:themeColor="text1"/>
          <w:sz w:val="20"/>
          <w:szCs w:val="20"/>
          <w:bdr w:val="none" w:sz="0" w:space="0" w:color="auto" w:frame="1"/>
          <w:lang w:eastAsia="es-CO"/>
        </w:rPr>
        <w:t xml:space="preserve">DOCUMENTO TIPO – Fundamento normativo – </w:t>
      </w:r>
      <w:r w:rsidR="006A0F9B" w:rsidRPr="0025010A">
        <w:rPr>
          <w:rFonts w:ascii="Arial" w:hAnsi="Arial" w:cs="Arial"/>
          <w:b/>
          <w:color w:val="000000" w:themeColor="text1"/>
          <w:sz w:val="20"/>
          <w:szCs w:val="20"/>
          <w:bdr w:val="none" w:sz="0" w:space="0" w:color="auto" w:frame="1"/>
          <w:lang w:eastAsia="es-CO"/>
        </w:rPr>
        <w:t>O</w:t>
      </w:r>
      <w:r w:rsidRPr="0025010A">
        <w:rPr>
          <w:rFonts w:ascii="Arial" w:hAnsi="Arial" w:cs="Arial"/>
          <w:b/>
          <w:color w:val="000000" w:themeColor="text1"/>
          <w:sz w:val="20"/>
          <w:szCs w:val="20"/>
          <w:bdr w:val="none" w:sz="0" w:space="0" w:color="auto" w:frame="1"/>
          <w:lang w:eastAsia="es-CO"/>
        </w:rPr>
        <w:t xml:space="preserve">bligatoriedad de los documentos o pliegos tipo – Ley 2022 de 2020 </w:t>
      </w:r>
    </w:p>
    <w:p w14:paraId="0EF2F452" w14:textId="77777777" w:rsidR="00570113" w:rsidRPr="0025010A" w:rsidRDefault="00570113" w:rsidP="00CC2647">
      <w:pPr>
        <w:spacing w:after="0" w:line="240" w:lineRule="auto"/>
        <w:rPr>
          <w:rFonts w:ascii="Arial" w:hAnsi="Arial" w:cs="Arial"/>
          <w:color w:val="000000" w:themeColor="text1"/>
          <w:sz w:val="20"/>
          <w:szCs w:val="20"/>
          <w:bdr w:val="none" w:sz="0" w:space="0" w:color="auto" w:frame="1"/>
          <w:lang w:eastAsia="es-CO"/>
        </w:rPr>
      </w:pPr>
    </w:p>
    <w:p w14:paraId="1993B965" w14:textId="77777777" w:rsidR="00570113" w:rsidRPr="0025010A" w:rsidRDefault="00570113" w:rsidP="00CC2647">
      <w:pPr>
        <w:shd w:val="clear" w:color="auto" w:fill="FFFFFF"/>
        <w:spacing w:after="0" w:line="240" w:lineRule="auto"/>
        <w:rPr>
          <w:rFonts w:ascii="Arial" w:hAnsi="Arial" w:cs="Arial"/>
          <w:color w:val="000000" w:themeColor="text1"/>
          <w:sz w:val="20"/>
          <w:szCs w:val="20"/>
          <w:bdr w:val="none" w:sz="0" w:space="0" w:color="auto" w:frame="1"/>
          <w:lang w:eastAsia="es-CO"/>
        </w:rPr>
      </w:pPr>
      <w:r w:rsidRPr="0025010A">
        <w:rPr>
          <w:rFonts w:ascii="Arial" w:hAnsi="Arial" w:cs="Arial"/>
          <w:color w:val="000000" w:themeColor="text1"/>
          <w:sz w:val="20"/>
          <w:szCs w:val="20"/>
          <w:bdr w:val="none" w:sz="0" w:space="0" w:color="auto" w:frame="1"/>
          <w:lang w:eastAsia="es-CO"/>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w:t>
      </w:r>
      <w:r w:rsidRPr="0025010A">
        <w:rPr>
          <w:rFonts w:ascii="Arial" w:hAnsi="Arial" w:cs="Arial"/>
          <w:color w:val="000000" w:themeColor="text1"/>
          <w:sz w:val="20"/>
          <w:szCs w:val="20"/>
          <w:bdr w:val="none" w:sz="0" w:space="0" w:color="auto" w:frame="1"/>
          <w:lang w:eastAsia="es-CO"/>
        </w:rPr>
        <w:lastRenderedPageBreak/>
        <w:t>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p>
    <w:p w14:paraId="533C15BB" w14:textId="77777777" w:rsidR="00570113" w:rsidRPr="0025010A" w:rsidRDefault="00570113" w:rsidP="00CC2647">
      <w:pPr>
        <w:spacing w:after="0" w:line="240" w:lineRule="auto"/>
        <w:contextualSpacing/>
        <w:rPr>
          <w:rFonts w:ascii="Arial" w:hAnsi="Arial" w:cs="Arial"/>
          <w:b/>
          <w:color w:val="000000" w:themeColor="text1"/>
          <w:sz w:val="20"/>
          <w:szCs w:val="20"/>
          <w:lang w:eastAsia="es-MX"/>
        </w:rPr>
      </w:pPr>
    </w:p>
    <w:p w14:paraId="431A900F" w14:textId="61E48E5B" w:rsidR="00570113" w:rsidRPr="0025010A" w:rsidRDefault="00570113" w:rsidP="00CC2647">
      <w:pPr>
        <w:spacing w:after="0" w:line="240" w:lineRule="auto"/>
        <w:contextualSpacing/>
        <w:rPr>
          <w:rFonts w:ascii="Arial" w:hAnsi="Arial" w:cs="Arial"/>
          <w:b/>
          <w:color w:val="000000" w:themeColor="text1"/>
          <w:sz w:val="20"/>
          <w:szCs w:val="20"/>
          <w:lang w:eastAsia="es-MX"/>
        </w:rPr>
      </w:pPr>
      <w:r w:rsidRPr="0025010A">
        <w:rPr>
          <w:rFonts w:ascii="Arial" w:hAnsi="Arial" w:cs="Arial"/>
          <w:b/>
          <w:color w:val="000000" w:themeColor="text1"/>
          <w:sz w:val="20"/>
          <w:szCs w:val="20"/>
          <w:lang w:eastAsia="es-MX"/>
        </w:rPr>
        <w:t xml:space="preserve">APERTURA DE LAS OFERTAS – Ley 1882 de 2018 – </w:t>
      </w:r>
      <w:r w:rsidR="006A0F9B" w:rsidRPr="0025010A">
        <w:rPr>
          <w:rFonts w:ascii="Arial" w:hAnsi="Arial" w:cs="Arial"/>
          <w:b/>
          <w:color w:val="000000" w:themeColor="text1"/>
          <w:sz w:val="20"/>
          <w:szCs w:val="20"/>
          <w:lang w:eastAsia="es-MX"/>
        </w:rPr>
        <w:t>O</w:t>
      </w:r>
      <w:r w:rsidRPr="0025010A">
        <w:rPr>
          <w:rFonts w:ascii="Arial" w:hAnsi="Arial" w:cs="Arial"/>
          <w:b/>
          <w:color w:val="000000" w:themeColor="text1"/>
          <w:sz w:val="20"/>
          <w:szCs w:val="20"/>
          <w:lang w:eastAsia="es-MX"/>
        </w:rPr>
        <w:t>ferta económica</w:t>
      </w:r>
    </w:p>
    <w:p w14:paraId="6D156337" w14:textId="77777777" w:rsidR="00960500" w:rsidRPr="0025010A" w:rsidRDefault="00960500" w:rsidP="00CC2647">
      <w:pPr>
        <w:spacing w:after="0" w:line="240" w:lineRule="auto"/>
        <w:contextualSpacing/>
        <w:rPr>
          <w:rFonts w:ascii="Arial" w:hAnsi="Arial" w:cs="Arial"/>
          <w:b/>
          <w:color w:val="000000" w:themeColor="text1"/>
          <w:sz w:val="20"/>
          <w:szCs w:val="20"/>
          <w:lang w:eastAsia="es-MX"/>
        </w:rPr>
      </w:pPr>
    </w:p>
    <w:p w14:paraId="688C3807" w14:textId="14EA1857" w:rsidR="00570113" w:rsidRPr="0025010A" w:rsidRDefault="00570113" w:rsidP="00CC2647">
      <w:pPr>
        <w:spacing w:after="0" w:line="240" w:lineRule="auto"/>
        <w:rPr>
          <w:rFonts w:ascii="Arial" w:hAnsi="Arial" w:cs="Arial"/>
          <w:color w:val="000000" w:themeColor="text1"/>
          <w:sz w:val="20"/>
          <w:szCs w:val="20"/>
        </w:rPr>
      </w:pPr>
      <w:r w:rsidRPr="0025010A">
        <w:rPr>
          <w:rFonts w:ascii="Arial" w:hAnsi="Arial" w:cs="Arial"/>
          <w:color w:val="000000" w:themeColor="text1"/>
          <w:sz w:val="20"/>
          <w:szCs w:val="20"/>
          <w:lang w:val="es-ES"/>
        </w:rPr>
        <w:t xml:space="preserve">Dentro de las normas que se materializan en dicho Documento Base encontramos por supuesto el artículo 30 de la Ley 80 de 1993, el cual regula el procedimiento de selección de licitación pública y la presentación de ofertas en el marco de este. Esta norma fue objeto de adición por parte del artículo 1 de la Ley 1882 de 2018, el cual estableció reglas para la presentación de ofertas en licitaciones para la selección de contratistas de obra pública, </w:t>
      </w:r>
      <w:r w:rsidRPr="0025010A">
        <w:rPr>
          <w:rFonts w:ascii="Arial" w:hAnsi="Arial" w:cs="Arial"/>
          <w:color w:val="000000" w:themeColor="text1"/>
          <w:sz w:val="20"/>
          <w:szCs w:val="20"/>
        </w:rPr>
        <w:t xml:space="preserve">señalando que las mismas deben estar conformadas por dos sobres: i) Un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 Respecto del Sobre No. 2, el artículo 30 de la Ley 80 de 1993, establece en su parágrafo 3° que este deberá permanecer cerrado hasta la audiencia efectiva de adjudicación, momento fijado dentro del </w:t>
      </w:r>
      <w:r w:rsidRPr="0025010A">
        <w:rPr>
          <w:rFonts w:ascii="Arial" w:hAnsi="Arial" w:cs="Arial"/>
          <w:i/>
          <w:iCs/>
          <w:color w:val="000000" w:themeColor="text1"/>
          <w:sz w:val="20"/>
          <w:szCs w:val="20"/>
        </w:rPr>
        <w:t>iter</w:t>
      </w:r>
      <w:r w:rsidRPr="0025010A">
        <w:rPr>
          <w:rFonts w:ascii="Arial" w:hAnsi="Arial" w:cs="Arial"/>
          <w:color w:val="000000" w:themeColor="text1"/>
          <w:sz w:val="20"/>
          <w:szCs w:val="20"/>
        </w:rPr>
        <w:t xml:space="preserve"> contractual para su apertura</w:t>
      </w:r>
      <w:r w:rsidRPr="0025010A">
        <w:rPr>
          <w:rFonts w:ascii="Arial" w:hAnsi="Arial" w:cs="Arial"/>
          <w:b/>
          <w:color w:val="000000" w:themeColor="text1"/>
          <w:sz w:val="20"/>
          <w:szCs w:val="20"/>
          <w:lang w:eastAsia="es-MX"/>
        </w:rPr>
        <w:t xml:space="preserve">. </w:t>
      </w:r>
      <w:r w:rsidRPr="0025010A">
        <w:rPr>
          <w:rFonts w:ascii="Arial" w:hAnsi="Arial" w:cs="Arial"/>
          <w:color w:val="000000" w:themeColor="text1"/>
          <w:sz w:val="20"/>
          <w:szCs w:val="20"/>
        </w:rPr>
        <w:t>[…] Como se nota, la norma [mencionada] diferencia claramente dos momentos relacionados con la apertura y valoración de los distintos componentes de la oferta, los cuales deben figurar divididos, según la misma disposición, en dos sobre diferentes: por un lado, el sobre número 1 contendrá los documentos e información relacionada con la acreditación de los requisitos habilitantes, así como los requisitos sometidos a evaluación pero distintos a la oferta económica. El contenido de este primer sobre será valorado y evaluado a través de un Informe «provisional» de evaluación que permanecerá publicado durante 5 días h</w:t>
      </w:r>
      <w:r w:rsidR="005A453F" w:rsidRPr="0025010A">
        <w:rPr>
          <w:rFonts w:ascii="Arial" w:hAnsi="Arial" w:cs="Arial"/>
          <w:color w:val="000000" w:themeColor="text1"/>
          <w:sz w:val="20"/>
          <w:szCs w:val="20"/>
        </w:rPr>
        <w:t>á</w:t>
      </w:r>
      <w:r w:rsidRPr="0025010A">
        <w:rPr>
          <w:rFonts w:ascii="Arial" w:hAnsi="Arial" w:cs="Arial"/>
          <w:color w:val="000000" w:themeColor="text1"/>
          <w:sz w:val="20"/>
          <w:szCs w:val="20"/>
        </w:rPr>
        <w:t xml:space="preserve">biles, término durante el cual los proponentes podrán presentar observaciones  y presentar documentos e información solicitada por la entidad estatal, para que a partir de ello, esta proceda a pronunciarse sobre </w:t>
      </w:r>
      <w:r w:rsidR="005A453F" w:rsidRPr="0025010A">
        <w:rPr>
          <w:rFonts w:ascii="Arial" w:hAnsi="Arial" w:cs="Arial"/>
          <w:color w:val="000000" w:themeColor="text1"/>
          <w:sz w:val="20"/>
          <w:szCs w:val="20"/>
        </w:rPr>
        <w:t>dichas</w:t>
      </w:r>
      <w:r w:rsidRPr="0025010A">
        <w:rPr>
          <w:rFonts w:ascii="Arial" w:hAnsi="Arial" w:cs="Arial"/>
          <w:color w:val="000000" w:themeColor="text1"/>
          <w:sz w:val="20"/>
          <w:szCs w:val="20"/>
        </w:rPr>
        <w:t xml:space="preserve"> observaciones y a publicar el informe final de evaluación de los requisitos habilitantes y los requisitos objeto de puntuación distintos a la oferta económica. La norma de la Ley 1882 guarda silencio respecto del momento de apertura del Sobre No. 1, limitándose a establecer que la entidad deberá publicar un informe de evaluación relacionado con los documentos relativos a los requisitos habilitantes y los que sean objeto de puntuación diferentes a la oferta económica, dentro del plazo establecido en el pliego de condiciones, el cual deberá permanecer publicado durante cinco (5) días en el SECOP. Otro es el tratamiento que se le otorga al Sobre nro. 2, que, de conformidad con lo establecido en la disposición comentada, deberá permanecer cerrado hasta tanto se relice la adiencia pública de adjudicación. En el decurso de dicha audiencia, se procederá a dar apertura al sobre con la oferta económica, y se evaluará a la misma siguiendo el mecanimos escogido a través del método aleatoria establecido en el respectivo pliego de condiciones.  </w:t>
      </w:r>
    </w:p>
    <w:p w14:paraId="664E58E8" w14:textId="77777777" w:rsidR="00570113" w:rsidRPr="0025010A" w:rsidRDefault="00570113" w:rsidP="00CC2647">
      <w:pPr>
        <w:spacing w:after="0" w:line="240" w:lineRule="auto"/>
        <w:contextualSpacing/>
        <w:rPr>
          <w:rFonts w:ascii="Arial" w:hAnsi="Arial" w:cs="Arial"/>
          <w:b/>
          <w:color w:val="000000" w:themeColor="text1"/>
          <w:sz w:val="20"/>
          <w:szCs w:val="20"/>
          <w:lang w:eastAsia="es-MX"/>
        </w:rPr>
      </w:pPr>
    </w:p>
    <w:p w14:paraId="66B5997D" w14:textId="2D671973" w:rsidR="00570113" w:rsidRPr="0025010A" w:rsidRDefault="00570113" w:rsidP="00CC2647">
      <w:pPr>
        <w:spacing w:after="0" w:line="240" w:lineRule="auto"/>
        <w:contextualSpacing/>
        <w:rPr>
          <w:rFonts w:ascii="Arial" w:hAnsi="Arial" w:cs="Arial"/>
          <w:b/>
          <w:color w:val="000000" w:themeColor="text1"/>
          <w:sz w:val="20"/>
          <w:szCs w:val="20"/>
          <w:lang w:eastAsia="es-MX"/>
        </w:rPr>
      </w:pPr>
      <w:r w:rsidRPr="0025010A">
        <w:rPr>
          <w:rFonts w:ascii="Arial" w:hAnsi="Arial" w:cs="Arial"/>
          <w:b/>
          <w:color w:val="000000" w:themeColor="text1"/>
          <w:sz w:val="20"/>
          <w:szCs w:val="20"/>
          <w:lang w:eastAsia="es-MX"/>
        </w:rPr>
        <w:t xml:space="preserve">MECANISMOS DE PONDERACIÓN DE LA OFERTA ECONÓMICA – </w:t>
      </w:r>
      <w:r w:rsidR="006A0F9B" w:rsidRPr="0025010A">
        <w:rPr>
          <w:rFonts w:ascii="Arial" w:hAnsi="Arial" w:cs="Arial"/>
          <w:b/>
          <w:color w:val="000000" w:themeColor="text1"/>
          <w:sz w:val="20"/>
          <w:szCs w:val="20"/>
          <w:lang w:eastAsia="es-MX"/>
        </w:rPr>
        <w:t xml:space="preserve">Documentos tipo – </w:t>
      </w:r>
      <w:r w:rsidRPr="0025010A">
        <w:rPr>
          <w:rFonts w:ascii="Arial" w:hAnsi="Arial" w:cs="Arial"/>
          <w:b/>
          <w:color w:val="000000" w:themeColor="text1"/>
          <w:sz w:val="20"/>
          <w:szCs w:val="20"/>
          <w:lang w:eastAsia="es-MX"/>
        </w:rPr>
        <w:t>Método aleatorio – Ley 1882 de 2018 – TRM</w:t>
      </w:r>
    </w:p>
    <w:p w14:paraId="5FCE4F1D" w14:textId="77777777" w:rsidR="00CC2647" w:rsidRPr="0025010A" w:rsidRDefault="00CC2647" w:rsidP="00CC2647">
      <w:pPr>
        <w:spacing w:after="0" w:line="240" w:lineRule="auto"/>
        <w:contextualSpacing/>
        <w:rPr>
          <w:rFonts w:ascii="Arial" w:hAnsi="Arial" w:cs="Arial"/>
          <w:b/>
          <w:color w:val="000000" w:themeColor="text1"/>
          <w:sz w:val="20"/>
          <w:szCs w:val="20"/>
          <w:lang w:eastAsia="es-MX"/>
        </w:rPr>
      </w:pPr>
    </w:p>
    <w:p w14:paraId="08BDEB4C" w14:textId="77777777" w:rsidR="00570113" w:rsidRPr="0025010A" w:rsidRDefault="00570113" w:rsidP="00CC2647">
      <w:pPr>
        <w:pStyle w:val="Normal11pt"/>
        <w:ind w:left="0"/>
        <w:rPr>
          <w:rFonts w:eastAsia="Calibri"/>
          <w:color w:val="000000" w:themeColor="text1"/>
          <w:sz w:val="20"/>
          <w:szCs w:val="20"/>
        </w:rPr>
      </w:pPr>
      <w:r w:rsidRPr="0025010A">
        <w:rPr>
          <w:rFonts w:eastAsia="Calibri"/>
          <w:color w:val="000000" w:themeColor="text1"/>
          <w:sz w:val="20"/>
          <w:szCs w:val="20"/>
        </w:rPr>
        <w:t xml:space="preserve">Los Documentos Tipo adoptados por esta Agencia, han regulado de manera uniforme lo relativo a la determinación del factor que se tendrá en cuenta a efectos de pondera el aspecto económico de las ofertas presentadas por los oferentes en el respectivo Proceso de Selección, acogiendo, como se anunció, a  la Tasa Representativa del Mercado que rija para determinado momento como la cifra que a la postre definirá uno de los métodos de ponderación de la propuesta establecidos en los documentos del proceso. La Tasa de Cambio Representativa del Mercado – TRM «es el promedio ponderado por monto de las operaciones de compra y venta de dólares de los Estados Unidos de América a cambio de moneda legal colombiana, pactadas para cumplimiento en ambas monedas el </w:t>
      </w:r>
      <w:r w:rsidRPr="0025010A">
        <w:rPr>
          <w:rFonts w:eastAsia="Calibri"/>
          <w:color w:val="000000" w:themeColor="text1"/>
          <w:sz w:val="20"/>
          <w:szCs w:val="20"/>
        </w:rPr>
        <w:lastRenderedPageBreak/>
        <w:t xml:space="preserve">mismo día de su negociación, efectuadas por los Intermediarios del Mercado Cambiario (IMC) entre las 7:30 a.m. y la 1:00 p.m.»,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 de donde se despende que la TRM es un valor que se origina en la fluctuación del mercado. </w:t>
      </w:r>
    </w:p>
    <w:p w14:paraId="78F87B54" w14:textId="77777777" w:rsidR="00570113" w:rsidRPr="0025010A" w:rsidRDefault="00570113" w:rsidP="00CC2647">
      <w:pPr>
        <w:spacing w:after="0" w:line="240" w:lineRule="auto"/>
        <w:contextualSpacing/>
        <w:rPr>
          <w:rFonts w:ascii="Arial" w:hAnsi="Arial" w:cs="Arial"/>
          <w:b/>
          <w:color w:val="000000" w:themeColor="text1"/>
          <w:sz w:val="21"/>
          <w:szCs w:val="21"/>
          <w:lang w:eastAsia="es-MX"/>
        </w:rPr>
      </w:pPr>
    </w:p>
    <w:p w14:paraId="6FA0329C" w14:textId="77777777" w:rsidR="00570113" w:rsidRPr="0025010A" w:rsidRDefault="00570113" w:rsidP="00AC406D">
      <w:pPr>
        <w:spacing w:afterLines="120" w:after="288"/>
        <w:contextualSpacing/>
        <w:rPr>
          <w:rFonts w:ascii="Arial" w:hAnsi="Arial" w:cs="Arial"/>
          <w:b/>
          <w:color w:val="000000" w:themeColor="text1"/>
          <w:sz w:val="21"/>
          <w:szCs w:val="21"/>
          <w:lang w:eastAsia="es-MX"/>
        </w:rPr>
      </w:pPr>
    </w:p>
    <w:p w14:paraId="6FC2767E" w14:textId="77777777" w:rsidR="00E71C84" w:rsidRPr="0025010A" w:rsidRDefault="00E71C84">
      <w:pPr>
        <w:rPr>
          <w:rFonts w:ascii="Arial" w:eastAsia="Arial" w:hAnsi="Arial" w:cs="Arial"/>
          <w:bCs/>
          <w:color w:val="000000" w:themeColor="text1"/>
          <w:sz w:val="21"/>
          <w:szCs w:val="21"/>
        </w:rPr>
      </w:pPr>
      <w:r w:rsidRPr="0025010A">
        <w:rPr>
          <w:rFonts w:ascii="Arial" w:eastAsia="Arial" w:hAnsi="Arial" w:cs="Arial"/>
          <w:bCs/>
          <w:color w:val="000000" w:themeColor="text1"/>
          <w:sz w:val="21"/>
          <w:szCs w:val="21"/>
        </w:rPr>
        <w:br w:type="page"/>
      </w:r>
    </w:p>
    <w:p w14:paraId="1248A84D" w14:textId="62531529" w:rsidR="00E71C84" w:rsidRPr="0025010A" w:rsidRDefault="00694B35" w:rsidP="00694B35">
      <w:pPr>
        <w:spacing w:afterLines="120" w:after="288"/>
        <w:jc w:val="right"/>
        <w:rPr>
          <w:rFonts w:ascii="Arial" w:eastAsia="Arial" w:hAnsi="Arial" w:cs="Arial"/>
          <w:b/>
          <w:color w:val="000000" w:themeColor="text1"/>
          <w:sz w:val="22"/>
          <w:szCs w:val="22"/>
        </w:rPr>
      </w:pPr>
      <w:r w:rsidRPr="00694B35">
        <w:rPr>
          <w:rFonts w:ascii="Arial" w:eastAsia="Arial" w:hAnsi="Arial" w:cs="Arial"/>
          <w:b/>
          <w:color w:val="000000" w:themeColor="text1"/>
          <w:sz w:val="22"/>
          <w:szCs w:val="22"/>
        </w:rPr>
        <w:lastRenderedPageBreak/>
        <w:drawing>
          <wp:inline distT="0" distB="0" distL="0" distR="0" wp14:anchorId="285FB05F" wp14:editId="694C1659">
            <wp:extent cx="2271395" cy="587141"/>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102" cy="590943"/>
                    </a:xfrm>
                    <a:prstGeom prst="rect">
                      <a:avLst/>
                    </a:prstGeom>
                  </pic:spPr>
                </pic:pic>
              </a:graphicData>
            </a:graphic>
          </wp:inline>
        </w:drawing>
      </w:r>
    </w:p>
    <w:p w14:paraId="086D5470" w14:textId="77777777" w:rsidR="00501B0C" w:rsidRPr="0025010A" w:rsidRDefault="00557D14" w:rsidP="00CC2647">
      <w:pPr>
        <w:spacing w:afterLines="120" w:after="288"/>
        <w:jc w:val="right"/>
        <w:rPr>
          <w:rFonts w:ascii="Arial" w:eastAsia="Arial" w:hAnsi="Arial" w:cs="Arial"/>
          <w:b/>
          <w:color w:val="000000" w:themeColor="text1"/>
          <w:sz w:val="16"/>
          <w:szCs w:val="16"/>
        </w:rPr>
      </w:pPr>
      <w:bookmarkStart w:id="0" w:name="_gjdgxs" w:colFirst="0" w:colLast="0"/>
      <w:bookmarkEnd w:id="0"/>
      <w:r w:rsidRPr="0025010A">
        <w:rPr>
          <w:rFonts w:ascii="Arial" w:eastAsia="Arial" w:hAnsi="Arial" w:cs="Arial"/>
          <w:b/>
          <w:color w:val="000000" w:themeColor="text1"/>
          <w:sz w:val="16"/>
          <w:szCs w:val="16"/>
        </w:rPr>
        <w:t>CCE-DES-FM-17</w:t>
      </w:r>
    </w:p>
    <w:p w14:paraId="654D0495" w14:textId="16063304" w:rsidR="00501B0C" w:rsidRPr="0025010A" w:rsidRDefault="00557D14" w:rsidP="00AC406D">
      <w:pPr>
        <w:tabs>
          <w:tab w:val="left" w:pos="3374"/>
        </w:tabs>
        <w:spacing w:afterLines="120" w:after="288"/>
        <w:rPr>
          <w:rFonts w:ascii="Arial" w:eastAsia="Arial" w:hAnsi="Arial" w:cs="Arial"/>
          <w:color w:val="000000" w:themeColor="text1"/>
          <w:sz w:val="22"/>
          <w:szCs w:val="22"/>
        </w:rPr>
      </w:pPr>
      <w:r w:rsidRPr="0025010A">
        <w:rPr>
          <w:rFonts w:ascii="Arial" w:eastAsia="Arial" w:hAnsi="Arial" w:cs="Arial"/>
          <w:color w:val="000000" w:themeColor="text1"/>
          <w:sz w:val="22"/>
          <w:szCs w:val="22"/>
        </w:rPr>
        <w:t xml:space="preserve">Bogotá D.C., </w:t>
      </w:r>
      <w:r w:rsidR="00694B35">
        <w:rPr>
          <w:rFonts w:ascii="Arial" w:eastAsia="Arial" w:hAnsi="Arial" w:cs="Arial"/>
          <w:color w:val="000000" w:themeColor="text1"/>
          <w:sz w:val="22"/>
          <w:szCs w:val="22"/>
        </w:rPr>
        <w:t xml:space="preserve"> 12 de mayo de 2022</w:t>
      </w:r>
    </w:p>
    <w:p w14:paraId="56B5B54C" w14:textId="77777777" w:rsidR="00501B0C" w:rsidRPr="0025010A" w:rsidRDefault="00557D14" w:rsidP="00AC406D">
      <w:pPr>
        <w:spacing w:after="0"/>
        <w:rPr>
          <w:rFonts w:ascii="Arial" w:eastAsia="Arial" w:hAnsi="Arial" w:cs="Arial"/>
          <w:color w:val="000000" w:themeColor="text1"/>
          <w:sz w:val="22"/>
          <w:szCs w:val="22"/>
        </w:rPr>
      </w:pPr>
      <w:r w:rsidRPr="0025010A">
        <w:rPr>
          <w:rFonts w:ascii="Arial" w:eastAsia="Arial" w:hAnsi="Arial" w:cs="Arial"/>
          <w:color w:val="000000" w:themeColor="text1"/>
          <w:sz w:val="22"/>
          <w:szCs w:val="22"/>
        </w:rPr>
        <w:t>Señor</w:t>
      </w:r>
    </w:p>
    <w:p w14:paraId="13F91767" w14:textId="77777777" w:rsidR="00501B0C" w:rsidRPr="0025010A" w:rsidRDefault="00CC2647" w:rsidP="00CC2647">
      <w:pPr>
        <w:spacing w:after="0" w:line="240" w:lineRule="auto"/>
        <w:rPr>
          <w:rFonts w:ascii="Arial" w:eastAsia="Arial" w:hAnsi="Arial" w:cs="Arial"/>
          <w:b/>
          <w:color w:val="000000" w:themeColor="text1"/>
          <w:sz w:val="22"/>
          <w:szCs w:val="22"/>
        </w:rPr>
      </w:pPr>
      <w:r w:rsidRPr="0025010A">
        <w:rPr>
          <w:rFonts w:ascii="Arial" w:eastAsia="Arial" w:hAnsi="Arial" w:cs="Arial"/>
          <w:b/>
          <w:color w:val="000000" w:themeColor="text1"/>
          <w:sz w:val="22"/>
          <w:szCs w:val="22"/>
        </w:rPr>
        <w:t>Jorge Luis Sánchez Martínez</w:t>
      </w:r>
    </w:p>
    <w:p w14:paraId="6093F9C2" w14:textId="77777777" w:rsidR="00501B0C" w:rsidRPr="0025010A" w:rsidRDefault="00501B0C" w:rsidP="00AC406D">
      <w:pPr>
        <w:spacing w:afterLines="120" w:after="288"/>
        <w:rPr>
          <w:rFonts w:ascii="Arial" w:eastAsia="Arial" w:hAnsi="Arial" w:cs="Arial"/>
          <w:color w:val="000000" w:themeColor="text1"/>
          <w:sz w:val="22"/>
          <w:szCs w:val="22"/>
        </w:rPr>
      </w:pPr>
    </w:p>
    <w:p w14:paraId="27E15F5F" w14:textId="77777777" w:rsidR="00501B0C" w:rsidRPr="0025010A" w:rsidRDefault="00557D14" w:rsidP="00AC406D">
      <w:pPr>
        <w:spacing w:afterLines="120" w:after="288"/>
        <w:rPr>
          <w:rFonts w:ascii="Arial" w:eastAsia="Arial" w:hAnsi="Arial" w:cs="Arial"/>
          <w:color w:val="000000" w:themeColor="text1"/>
          <w:sz w:val="22"/>
          <w:szCs w:val="22"/>
        </w:rPr>
      </w:pPr>
      <w:r w:rsidRPr="0025010A">
        <w:rPr>
          <w:rFonts w:ascii="Arial" w:eastAsia="Arial" w:hAnsi="Arial" w:cs="Arial"/>
          <w:color w:val="000000" w:themeColor="text1"/>
          <w:sz w:val="22"/>
          <w:szCs w:val="22"/>
        </w:rPr>
        <w:t xml:space="preserve">                                            </w:t>
      </w:r>
      <w:r w:rsidRPr="0025010A">
        <w:rPr>
          <w:rFonts w:ascii="Arial" w:eastAsia="Arial" w:hAnsi="Arial" w:cs="Arial"/>
          <w:b/>
          <w:color w:val="000000" w:themeColor="text1"/>
          <w:sz w:val="22"/>
          <w:szCs w:val="22"/>
        </w:rPr>
        <w:t xml:space="preserve">Concepto </w:t>
      </w:r>
      <w:r w:rsidR="00CC2647" w:rsidRPr="0025010A">
        <w:rPr>
          <w:rFonts w:ascii="Arial" w:eastAsia="Arial" w:hAnsi="Arial" w:cs="Arial"/>
          <w:b/>
          <w:color w:val="000000" w:themeColor="text1"/>
          <w:sz w:val="22"/>
          <w:szCs w:val="22"/>
        </w:rPr>
        <w:t>C</w:t>
      </w:r>
      <w:r w:rsidRPr="0025010A">
        <w:rPr>
          <w:rFonts w:ascii="Arial" w:eastAsia="Arial" w:hAnsi="Arial" w:cs="Arial"/>
          <w:b/>
          <w:color w:val="000000" w:themeColor="text1"/>
          <w:sz w:val="22"/>
          <w:szCs w:val="22"/>
        </w:rPr>
        <w:t>–</w:t>
      </w:r>
      <w:r w:rsidR="00CC2647" w:rsidRPr="0025010A">
        <w:rPr>
          <w:rFonts w:ascii="Arial" w:eastAsia="Arial" w:hAnsi="Arial" w:cs="Arial"/>
          <w:b/>
          <w:color w:val="000000" w:themeColor="text1"/>
          <w:sz w:val="22"/>
          <w:szCs w:val="22"/>
        </w:rPr>
        <w:t>2</w:t>
      </w:r>
      <w:r w:rsidR="00B45027" w:rsidRPr="0025010A">
        <w:rPr>
          <w:rFonts w:ascii="Arial" w:eastAsia="Arial" w:hAnsi="Arial" w:cs="Arial"/>
          <w:b/>
          <w:color w:val="000000" w:themeColor="text1"/>
          <w:sz w:val="22"/>
          <w:szCs w:val="22"/>
        </w:rPr>
        <w:t>80</w:t>
      </w:r>
      <w:r w:rsidR="00A43A18" w:rsidRPr="0025010A">
        <w:rPr>
          <w:rFonts w:ascii="Arial" w:eastAsia="Arial" w:hAnsi="Arial" w:cs="Arial"/>
          <w:b/>
          <w:color w:val="000000" w:themeColor="text1"/>
          <w:sz w:val="22"/>
          <w:szCs w:val="22"/>
        </w:rPr>
        <w:t xml:space="preserve"> </w:t>
      </w:r>
      <w:r w:rsidRPr="0025010A">
        <w:rPr>
          <w:rFonts w:ascii="Arial" w:eastAsia="Arial" w:hAnsi="Arial" w:cs="Arial"/>
          <w:b/>
          <w:color w:val="000000" w:themeColor="text1"/>
          <w:sz w:val="22"/>
          <w:szCs w:val="22"/>
        </w:rPr>
        <w:t>de 202</w:t>
      </w:r>
      <w:r w:rsidR="00A43A18" w:rsidRPr="0025010A">
        <w:rPr>
          <w:rFonts w:ascii="Arial" w:eastAsia="Arial" w:hAnsi="Arial" w:cs="Arial"/>
          <w:b/>
          <w:color w:val="000000" w:themeColor="text1"/>
          <w:sz w:val="22"/>
          <w:szCs w:val="22"/>
        </w:rPr>
        <w:t>2</w:t>
      </w:r>
      <w:r w:rsidRPr="0025010A">
        <w:rPr>
          <w:rFonts w:ascii="Arial" w:eastAsia="Arial" w:hAnsi="Arial" w:cs="Arial"/>
          <w:color w:val="000000" w:themeColor="text1"/>
          <w:sz w:val="22"/>
          <w:szCs w:val="22"/>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01B0C" w:rsidRPr="0025010A" w14:paraId="4AE0D524" w14:textId="77777777">
        <w:trPr>
          <w:trHeight w:val="1038"/>
        </w:trPr>
        <w:tc>
          <w:tcPr>
            <w:tcW w:w="2689" w:type="dxa"/>
          </w:tcPr>
          <w:p w14:paraId="0C147577" w14:textId="77777777" w:rsidR="00501B0C" w:rsidRPr="0025010A" w:rsidRDefault="00557D14" w:rsidP="00AC406D">
            <w:pPr>
              <w:spacing w:before="0" w:afterLines="120" w:after="288" w:line="276" w:lineRule="auto"/>
              <w:rPr>
                <w:rFonts w:ascii="Arial" w:eastAsia="Arial" w:hAnsi="Arial" w:cs="Arial"/>
                <w:color w:val="000000" w:themeColor="text1"/>
                <w:sz w:val="22"/>
                <w:szCs w:val="22"/>
              </w:rPr>
            </w:pPr>
            <w:r w:rsidRPr="0025010A">
              <w:rPr>
                <w:rFonts w:ascii="Arial" w:eastAsia="Arial" w:hAnsi="Arial" w:cs="Arial"/>
                <w:b/>
                <w:color w:val="000000" w:themeColor="text1"/>
                <w:sz w:val="22"/>
                <w:szCs w:val="22"/>
              </w:rPr>
              <w:t>Temas:</w:t>
            </w:r>
            <w:r w:rsidRPr="0025010A">
              <w:rPr>
                <w:rFonts w:ascii="Arial" w:eastAsia="Arial" w:hAnsi="Arial" w:cs="Arial"/>
                <w:color w:val="000000" w:themeColor="text1"/>
                <w:sz w:val="22"/>
                <w:szCs w:val="22"/>
              </w:rPr>
              <w:t xml:space="preserve">        </w:t>
            </w:r>
          </w:p>
        </w:tc>
        <w:tc>
          <w:tcPr>
            <w:tcW w:w="6237" w:type="dxa"/>
          </w:tcPr>
          <w:p w14:paraId="2825BD6D" w14:textId="1B6845E0" w:rsidR="00501B0C" w:rsidRPr="0025010A" w:rsidRDefault="00CC2647" w:rsidP="00AC406D">
            <w:pPr>
              <w:spacing w:before="0" w:afterLines="120" w:after="288" w:line="276" w:lineRule="auto"/>
              <w:jc w:val="both"/>
              <w:rPr>
                <w:rFonts w:ascii="Arial" w:eastAsia="Arial" w:hAnsi="Arial" w:cs="Arial"/>
                <w:color w:val="000000" w:themeColor="text1"/>
                <w:sz w:val="21"/>
                <w:szCs w:val="21"/>
              </w:rPr>
            </w:pPr>
            <w:r w:rsidRPr="0025010A">
              <w:rPr>
                <w:rFonts w:ascii="Arial" w:hAnsi="Arial" w:cs="Arial"/>
                <w:bCs/>
                <w:color w:val="000000" w:themeColor="text1"/>
                <w:lang w:val="es-CO"/>
              </w:rPr>
              <w:t xml:space="preserve">DOCUMENTOS TIPO – Fundamento normativo – generalidades / </w:t>
            </w:r>
            <w:r w:rsidRPr="0025010A">
              <w:rPr>
                <w:rFonts w:ascii="Arial" w:hAnsi="Arial" w:cs="Arial"/>
                <w:bCs/>
                <w:color w:val="000000" w:themeColor="text1"/>
                <w:bdr w:val="none" w:sz="0" w:space="0" w:color="auto" w:frame="1"/>
                <w:lang w:eastAsia="es-CO"/>
              </w:rPr>
              <w:t xml:space="preserve">DOCUMENTO TIPO – Fundamento normativo – obligatoriedad de los documentos o pliegos tipo – Ley 2022 de 2020 / </w:t>
            </w:r>
            <w:r w:rsidRPr="0025010A">
              <w:rPr>
                <w:rFonts w:ascii="Arial" w:hAnsi="Arial" w:cs="Arial"/>
                <w:bCs/>
                <w:color w:val="000000" w:themeColor="text1"/>
                <w:lang w:eastAsia="es-MX"/>
              </w:rPr>
              <w:t xml:space="preserve">APERTURA DE LAS OFERTAS – Ley 1882 de 2018 – oferta económica / MECANISMOS DE PONDERACIÓN DE LA OFERTA ECONÓMICA – </w:t>
            </w:r>
            <w:r w:rsidR="006A0F9B" w:rsidRPr="0025010A">
              <w:rPr>
                <w:rFonts w:ascii="Arial" w:hAnsi="Arial" w:cs="Arial"/>
                <w:bCs/>
                <w:color w:val="000000" w:themeColor="text1"/>
                <w:lang w:eastAsia="es-MX"/>
              </w:rPr>
              <w:t xml:space="preserve">Documentos tipo– </w:t>
            </w:r>
            <w:r w:rsidRPr="0025010A">
              <w:rPr>
                <w:rFonts w:ascii="Arial" w:hAnsi="Arial" w:cs="Arial"/>
                <w:bCs/>
                <w:color w:val="000000" w:themeColor="text1"/>
                <w:lang w:eastAsia="es-MX"/>
              </w:rPr>
              <w:t>Método aleatorio – Ley 1882 de 2018 – TRM</w:t>
            </w:r>
          </w:p>
        </w:tc>
      </w:tr>
      <w:tr w:rsidR="00501B0C" w:rsidRPr="0025010A" w14:paraId="5B550DE6" w14:textId="77777777" w:rsidTr="00B56359">
        <w:trPr>
          <w:trHeight w:val="417"/>
        </w:trPr>
        <w:tc>
          <w:tcPr>
            <w:tcW w:w="2689" w:type="dxa"/>
          </w:tcPr>
          <w:p w14:paraId="2E5D980D" w14:textId="77777777" w:rsidR="00501B0C" w:rsidRPr="0025010A" w:rsidRDefault="00557D14" w:rsidP="00AC406D">
            <w:pPr>
              <w:spacing w:before="0" w:afterLines="120" w:after="288" w:line="276" w:lineRule="auto"/>
              <w:rPr>
                <w:rFonts w:ascii="Arial" w:eastAsia="Arial" w:hAnsi="Arial" w:cs="Arial"/>
                <w:b/>
                <w:color w:val="000000" w:themeColor="text1"/>
                <w:sz w:val="22"/>
                <w:szCs w:val="22"/>
              </w:rPr>
            </w:pPr>
            <w:r w:rsidRPr="0025010A">
              <w:rPr>
                <w:rFonts w:ascii="Arial" w:eastAsia="Arial" w:hAnsi="Arial" w:cs="Arial"/>
                <w:b/>
                <w:color w:val="000000" w:themeColor="text1"/>
                <w:sz w:val="22"/>
                <w:szCs w:val="22"/>
              </w:rPr>
              <w:t>Radicación:</w:t>
            </w:r>
            <w:r w:rsidRPr="0025010A">
              <w:rPr>
                <w:rFonts w:ascii="Arial" w:eastAsia="Arial" w:hAnsi="Arial" w:cs="Arial"/>
                <w:color w:val="000000" w:themeColor="text1"/>
                <w:sz w:val="22"/>
                <w:szCs w:val="22"/>
              </w:rPr>
              <w:t xml:space="preserve">                              </w:t>
            </w:r>
          </w:p>
        </w:tc>
        <w:tc>
          <w:tcPr>
            <w:tcW w:w="6237" w:type="dxa"/>
          </w:tcPr>
          <w:p w14:paraId="579EF99F" w14:textId="77777777" w:rsidR="00CC2647" w:rsidRPr="0025010A" w:rsidRDefault="00557D14" w:rsidP="00CC2647">
            <w:pPr>
              <w:spacing w:before="0" w:afterLines="120" w:after="288" w:line="276" w:lineRule="auto"/>
              <w:jc w:val="both"/>
              <w:rPr>
                <w:rFonts w:ascii="Arial" w:eastAsia="Times New Roman" w:hAnsi="Arial" w:cs="Arial"/>
                <w:color w:val="000000" w:themeColor="text1"/>
                <w:sz w:val="21"/>
                <w:szCs w:val="21"/>
                <w:lang w:val="es-CO"/>
              </w:rPr>
            </w:pPr>
            <w:r w:rsidRPr="0025010A">
              <w:rPr>
                <w:rFonts w:ascii="Arial" w:eastAsia="Arial" w:hAnsi="Arial" w:cs="Arial"/>
                <w:color w:val="000000" w:themeColor="text1"/>
                <w:sz w:val="21"/>
                <w:szCs w:val="21"/>
              </w:rPr>
              <w:t xml:space="preserve">Respuesta a consulta </w:t>
            </w:r>
            <w:r w:rsidR="00A43A18" w:rsidRPr="0025010A">
              <w:rPr>
                <w:rFonts w:ascii="Arial" w:eastAsia="Times New Roman" w:hAnsi="Arial" w:cs="Arial"/>
                <w:color w:val="000000" w:themeColor="text1"/>
                <w:sz w:val="22"/>
                <w:szCs w:val="22"/>
                <w:lang w:val="es-CO"/>
              </w:rPr>
              <w:t>P</w:t>
            </w:r>
            <w:r w:rsidR="00CC2647" w:rsidRPr="0025010A">
              <w:rPr>
                <w:rFonts w:ascii="Arial" w:hAnsi="Arial" w:cs="Arial"/>
                <w:color w:val="000000" w:themeColor="text1"/>
                <w:sz w:val="22"/>
                <w:szCs w:val="22"/>
              </w:rPr>
              <w:t>20220324002957</w:t>
            </w:r>
          </w:p>
          <w:p w14:paraId="08DB2CDF" w14:textId="77777777" w:rsidR="00501B0C" w:rsidRPr="0025010A" w:rsidRDefault="00501B0C" w:rsidP="00AC406D">
            <w:pPr>
              <w:spacing w:before="0" w:afterLines="120" w:after="288" w:line="276" w:lineRule="auto"/>
              <w:jc w:val="both"/>
              <w:rPr>
                <w:rFonts w:ascii="Arial" w:eastAsia="Arial" w:hAnsi="Arial" w:cs="Arial"/>
                <w:color w:val="000000" w:themeColor="text1"/>
                <w:sz w:val="21"/>
                <w:szCs w:val="21"/>
              </w:rPr>
            </w:pPr>
          </w:p>
        </w:tc>
      </w:tr>
    </w:tbl>
    <w:p w14:paraId="690314CE" w14:textId="77777777" w:rsidR="00501B0C" w:rsidRPr="0025010A" w:rsidRDefault="00557D14" w:rsidP="00AC406D">
      <w:pPr>
        <w:spacing w:afterLines="120" w:after="288"/>
        <w:rPr>
          <w:rFonts w:ascii="Arial" w:eastAsia="Arial" w:hAnsi="Arial" w:cs="Arial"/>
          <w:color w:val="000000" w:themeColor="text1"/>
          <w:sz w:val="22"/>
          <w:szCs w:val="22"/>
        </w:rPr>
      </w:pPr>
      <w:r w:rsidRPr="0025010A">
        <w:rPr>
          <w:rFonts w:ascii="Arial" w:eastAsia="Arial" w:hAnsi="Arial" w:cs="Arial"/>
          <w:color w:val="000000" w:themeColor="text1"/>
          <w:sz w:val="22"/>
          <w:szCs w:val="22"/>
        </w:rPr>
        <w:t>Estimad</w:t>
      </w:r>
      <w:r w:rsidR="00CC2647" w:rsidRPr="0025010A">
        <w:rPr>
          <w:rFonts w:ascii="Arial" w:eastAsia="Arial" w:hAnsi="Arial" w:cs="Arial"/>
          <w:color w:val="000000" w:themeColor="text1"/>
          <w:sz w:val="22"/>
          <w:szCs w:val="22"/>
        </w:rPr>
        <w:t>o</w:t>
      </w:r>
      <w:r w:rsidRPr="0025010A">
        <w:rPr>
          <w:rFonts w:ascii="Arial" w:eastAsia="Arial" w:hAnsi="Arial" w:cs="Arial"/>
          <w:color w:val="000000" w:themeColor="text1"/>
          <w:sz w:val="22"/>
          <w:szCs w:val="22"/>
        </w:rPr>
        <w:t xml:space="preserve"> señor</w:t>
      </w:r>
      <w:r w:rsidR="00CC2647" w:rsidRPr="0025010A">
        <w:rPr>
          <w:rFonts w:ascii="Arial" w:eastAsia="Arial" w:hAnsi="Arial" w:cs="Arial"/>
          <w:color w:val="000000" w:themeColor="text1"/>
          <w:sz w:val="22"/>
          <w:szCs w:val="22"/>
        </w:rPr>
        <w:t xml:space="preserve"> Sánchez</w:t>
      </w:r>
      <w:r w:rsidRPr="0025010A">
        <w:rPr>
          <w:rFonts w:ascii="Arial" w:eastAsia="Arial" w:hAnsi="Arial" w:cs="Arial"/>
          <w:color w:val="000000" w:themeColor="text1"/>
          <w:sz w:val="22"/>
          <w:szCs w:val="22"/>
        </w:rPr>
        <w:t>:</w:t>
      </w:r>
    </w:p>
    <w:p w14:paraId="36422463" w14:textId="77777777" w:rsidR="00501B0C" w:rsidRPr="0025010A" w:rsidRDefault="00557D14" w:rsidP="00AC406D">
      <w:pPr>
        <w:spacing w:afterLines="120" w:after="288"/>
        <w:rPr>
          <w:rFonts w:ascii="Arial" w:eastAsia="Times New Roman" w:hAnsi="Arial" w:cs="Arial"/>
          <w:color w:val="000000" w:themeColor="text1"/>
          <w:sz w:val="22"/>
          <w:szCs w:val="22"/>
          <w:lang w:val="es-CO"/>
        </w:rPr>
      </w:pPr>
      <w:r w:rsidRPr="0025010A">
        <w:rPr>
          <w:rFonts w:ascii="Arial" w:eastAsia="Arial" w:hAnsi="Arial" w:cs="Arial"/>
          <w:color w:val="000000" w:themeColor="text1"/>
          <w:sz w:val="22"/>
          <w:szCs w:val="22"/>
        </w:rPr>
        <w:t xml:space="preserve">En ejercicio de la competencia otorgada por el numeral 8 del artículo 11 y el numeral 5 del artículo 3 del Decreto Ley 4170 de 2011, la Agencia Nacional de Contratación Pública – Colombia Compra Eficiente responde </w:t>
      </w:r>
      <w:r w:rsidR="000014C3" w:rsidRPr="0025010A">
        <w:rPr>
          <w:rFonts w:ascii="Arial" w:eastAsia="Arial" w:hAnsi="Arial" w:cs="Arial"/>
          <w:color w:val="000000" w:themeColor="text1"/>
          <w:sz w:val="22"/>
          <w:szCs w:val="22"/>
        </w:rPr>
        <w:t>la</w:t>
      </w:r>
      <w:r w:rsidRPr="0025010A">
        <w:rPr>
          <w:rFonts w:ascii="Arial" w:eastAsia="Arial" w:hAnsi="Arial" w:cs="Arial"/>
          <w:color w:val="000000" w:themeColor="text1"/>
          <w:sz w:val="22"/>
          <w:szCs w:val="22"/>
        </w:rPr>
        <w:t xml:space="preserve"> consulta </w:t>
      </w:r>
      <w:r w:rsidR="000014C3" w:rsidRPr="0025010A">
        <w:rPr>
          <w:rFonts w:ascii="Arial" w:eastAsia="Arial" w:hAnsi="Arial" w:cs="Arial"/>
          <w:color w:val="000000" w:themeColor="text1"/>
          <w:sz w:val="22"/>
          <w:szCs w:val="22"/>
        </w:rPr>
        <w:t xml:space="preserve">por usted formulada </w:t>
      </w:r>
      <w:r w:rsidR="00B45027" w:rsidRPr="0025010A">
        <w:rPr>
          <w:rFonts w:ascii="Arial" w:eastAsia="Arial" w:hAnsi="Arial" w:cs="Arial"/>
          <w:color w:val="000000" w:themeColor="text1"/>
          <w:sz w:val="22"/>
          <w:szCs w:val="22"/>
        </w:rPr>
        <w:t>con fecha del 2</w:t>
      </w:r>
      <w:r w:rsidR="00CC2647" w:rsidRPr="0025010A">
        <w:rPr>
          <w:rFonts w:ascii="Arial" w:eastAsia="Arial" w:hAnsi="Arial" w:cs="Arial"/>
          <w:color w:val="000000" w:themeColor="text1"/>
          <w:sz w:val="22"/>
          <w:szCs w:val="22"/>
        </w:rPr>
        <w:t xml:space="preserve">5 </w:t>
      </w:r>
      <w:r w:rsidR="00B45027" w:rsidRPr="0025010A">
        <w:rPr>
          <w:rFonts w:ascii="Arial" w:eastAsia="Arial" w:hAnsi="Arial" w:cs="Arial"/>
          <w:color w:val="000000" w:themeColor="text1"/>
          <w:sz w:val="22"/>
          <w:szCs w:val="22"/>
        </w:rPr>
        <w:t xml:space="preserve">de </w:t>
      </w:r>
      <w:r w:rsidR="00CC2647" w:rsidRPr="0025010A">
        <w:rPr>
          <w:rFonts w:ascii="Arial" w:eastAsia="Arial" w:hAnsi="Arial" w:cs="Arial"/>
          <w:color w:val="000000" w:themeColor="text1"/>
          <w:sz w:val="22"/>
          <w:szCs w:val="22"/>
        </w:rPr>
        <w:t xml:space="preserve">marzo </w:t>
      </w:r>
      <w:r w:rsidRPr="0025010A">
        <w:rPr>
          <w:rFonts w:ascii="Arial" w:eastAsia="Arial" w:hAnsi="Arial" w:cs="Arial"/>
          <w:color w:val="000000" w:themeColor="text1"/>
          <w:sz w:val="22"/>
          <w:szCs w:val="22"/>
        </w:rPr>
        <w:t>202</w:t>
      </w:r>
      <w:r w:rsidR="00A43A18" w:rsidRPr="0025010A">
        <w:rPr>
          <w:rFonts w:ascii="Arial" w:eastAsia="Arial" w:hAnsi="Arial" w:cs="Arial"/>
          <w:color w:val="000000" w:themeColor="text1"/>
          <w:sz w:val="22"/>
          <w:szCs w:val="22"/>
        </w:rPr>
        <w:t>2</w:t>
      </w:r>
      <w:r w:rsidRPr="0025010A">
        <w:rPr>
          <w:rFonts w:ascii="Arial" w:eastAsia="Arial" w:hAnsi="Arial" w:cs="Arial"/>
          <w:color w:val="000000" w:themeColor="text1"/>
          <w:sz w:val="22"/>
          <w:szCs w:val="22"/>
        </w:rPr>
        <w:t xml:space="preserve">. </w:t>
      </w:r>
    </w:p>
    <w:p w14:paraId="227AC5FB" w14:textId="77777777" w:rsidR="00A43A18" w:rsidRPr="0025010A" w:rsidRDefault="00557D14" w:rsidP="00AC406D">
      <w:pPr>
        <w:tabs>
          <w:tab w:val="left" w:pos="284"/>
        </w:tabs>
        <w:spacing w:afterLines="120" w:after="288"/>
        <w:rPr>
          <w:rFonts w:ascii="Arial" w:eastAsia="Arial" w:hAnsi="Arial" w:cs="Arial"/>
          <w:b/>
          <w:color w:val="000000" w:themeColor="text1"/>
          <w:sz w:val="22"/>
          <w:szCs w:val="22"/>
        </w:rPr>
      </w:pPr>
      <w:r w:rsidRPr="0025010A">
        <w:rPr>
          <w:rFonts w:ascii="Arial" w:eastAsia="Arial" w:hAnsi="Arial" w:cs="Arial"/>
          <w:b/>
          <w:color w:val="000000" w:themeColor="text1"/>
          <w:sz w:val="22"/>
          <w:szCs w:val="22"/>
        </w:rPr>
        <w:t xml:space="preserve">1. Problema planteado </w:t>
      </w:r>
    </w:p>
    <w:p w14:paraId="5B09E3C2" w14:textId="77777777" w:rsidR="0000093B" w:rsidRPr="0025010A" w:rsidRDefault="00557D14" w:rsidP="0000093B">
      <w:pPr>
        <w:pStyle w:val="NormalWeb"/>
        <w:spacing w:line="276" w:lineRule="auto"/>
        <w:jc w:val="both"/>
        <w:rPr>
          <w:rFonts w:ascii="Arial" w:hAnsi="Arial" w:cs="Arial"/>
          <w:color w:val="000000" w:themeColor="text1"/>
          <w:sz w:val="22"/>
          <w:szCs w:val="22"/>
        </w:rPr>
      </w:pPr>
      <w:bookmarkStart w:id="1" w:name="_30j0zll" w:colFirst="0" w:colLast="0"/>
      <w:bookmarkEnd w:id="1"/>
      <w:r w:rsidRPr="0025010A">
        <w:rPr>
          <w:rFonts w:ascii="Arial" w:eastAsia="Arial" w:hAnsi="Arial" w:cs="Arial"/>
          <w:color w:val="000000" w:themeColor="text1"/>
          <w:sz w:val="22"/>
          <w:szCs w:val="22"/>
        </w:rPr>
        <w:t xml:space="preserve">En </w:t>
      </w:r>
      <w:r w:rsidR="0000093B" w:rsidRPr="0025010A">
        <w:rPr>
          <w:rFonts w:ascii="Arial" w:eastAsia="Arial" w:hAnsi="Arial" w:cs="Arial"/>
          <w:color w:val="000000" w:themeColor="text1"/>
          <w:sz w:val="22"/>
          <w:szCs w:val="22"/>
        </w:rPr>
        <w:t xml:space="preserve"> su consulta, usted hace referencia al contenido del «pliego de condiciones tipo para la construcción de cicloinfraestructura y servicios complementarios», que dispone lo siguiente: «</w:t>
      </w:r>
      <w:r w:rsidR="0000093B" w:rsidRPr="0025010A">
        <w:rPr>
          <w:rFonts w:ascii="Arial" w:hAnsi="Arial" w:cs="Arial"/>
          <w:color w:val="000000" w:themeColor="text1"/>
          <w:sz w:val="22"/>
          <w:szCs w:val="22"/>
        </w:rPr>
        <w:t xml:space="preserve">para la determinación del método se tomarán los primeros dos decimales de la TRM que </w:t>
      </w:r>
      <w:r w:rsidR="0000093B" w:rsidRPr="0025010A">
        <w:rPr>
          <w:rFonts w:ascii="Arial" w:hAnsi="Arial" w:cs="Arial"/>
          <w:color w:val="000000" w:themeColor="text1"/>
          <w:sz w:val="22"/>
          <w:szCs w:val="22"/>
        </w:rPr>
        <w:lastRenderedPageBreak/>
        <w:t>rija el día hábil anterior a la fecha prevista para la publicación del informe de evaluación. El método debe ser escogido de acuerdo a los rangos establecidos en la tabla que se presenta a continuación».</w:t>
      </w:r>
    </w:p>
    <w:p w14:paraId="25735E72" w14:textId="77777777" w:rsidR="0000093B" w:rsidRPr="0025010A" w:rsidRDefault="0000093B" w:rsidP="0000093B">
      <w:pPr>
        <w:pStyle w:val="NormalWeb"/>
        <w:spacing w:line="276" w:lineRule="auto"/>
        <w:ind w:firstLine="720"/>
        <w:jc w:val="both"/>
        <w:rPr>
          <w:rFonts w:ascii="Arial" w:hAnsi="Arial" w:cs="Arial"/>
          <w:color w:val="000000" w:themeColor="text1"/>
          <w:sz w:val="22"/>
          <w:szCs w:val="22"/>
        </w:rPr>
      </w:pPr>
      <w:r w:rsidRPr="0025010A">
        <w:rPr>
          <w:rFonts w:ascii="Arial" w:hAnsi="Arial" w:cs="Arial"/>
          <w:color w:val="000000" w:themeColor="text1"/>
          <w:sz w:val="22"/>
          <w:szCs w:val="22"/>
        </w:rPr>
        <w:t xml:space="preserve">Usted considera que dicha expresión </w:t>
      </w:r>
      <w:r w:rsidRPr="0025010A">
        <w:rPr>
          <w:rFonts w:ascii="Arial" w:eastAsia="Arial" w:hAnsi="Arial" w:cs="Arial"/>
          <w:color w:val="000000" w:themeColor="text1"/>
          <w:sz w:val="22"/>
          <w:szCs w:val="22"/>
        </w:rPr>
        <w:t xml:space="preserve">es contraria a la disposición del artículo 30 de la Ley 80 de 1993, luego de la </w:t>
      </w:r>
      <w:r w:rsidR="005A453F" w:rsidRPr="0025010A">
        <w:rPr>
          <w:rFonts w:ascii="Arial" w:eastAsia="Arial" w:hAnsi="Arial" w:cs="Arial"/>
          <w:color w:val="000000" w:themeColor="text1"/>
          <w:sz w:val="22"/>
          <w:szCs w:val="22"/>
        </w:rPr>
        <w:t>adición</w:t>
      </w:r>
      <w:r w:rsidRPr="0025010A">
        <w:rPr>
          <w:rFonts w:ascii="Arial" w:eastAsia="Arial" w:hAnsi="Arial" w:cs="Arial"/>
          <w:color w:val="000000" w:themeColor="text1"/>
          <w:sz w:val="22"/>
          <w:szCs w:val="22"/>
        </w:rPr>
        <w:t xml:space="preserve"> realizada por el artículo 1 de la Ley 1882 de 2018, en particular su inciso tercero, toda vez que «[…] </w:t>
      </w:r>
      <w:r w:rsidRPr="0025010A">
        <w:rPr>
          <w:rFonts w:ascii="Arial" w:hAnsi="Arial" w:cs="Arial"/>
          <w:color w:val="000000" w:themeColor="text1"/>
          <w:sz w:val="22"/>
          <w:szCs w:val="22"/>
        </w:rPr>
        <w:t>el informe de evaluación se publica con anterioridad al acto de adjudicación que en virtud del artículo 273 de la Constitución Política Colombiana debe realizarse en Audiencia Pública, tal como lo establece el numeral 4.1.4 de la segunda versión de los documentos tipo de infraestructura de transporte y no como erróneamente se plantea en esta versión de documentos tipo, pues se llegaría a la apertura de sobres [sic] número 2 conociendo la metodología que se utilizara [sic] y la norma recomienda que esa metodología se conozca solamente después de aperturados los sobres número 2 o económicos».</w:t>
      </w:r>
    </w:p>
    <w:p w14:paraId="55FB1481" w14:textId="77777777" w:rsidR="00960500" w:rsidRPr="0025010A" w:rsidRDefault="0000093B" w:rsidP="0000093B">
      <w:pPr>
        <w:pStyle w:val="NormalWeb"/>
        <w:ind w:firstLine="720"/>
        <w:jc w:val="both"/>
        <w:rPr>
          <w:rFonts w:ascii="Arial" w:hAnsi="Arial" w:cs="Arial"/>
          <w:color w:val="000000" w:themeColor="text1"/>
          <w:sz w:val="22"/>
          <w:szCs w:val="22"/>
        </w:rPr>
      </w:pPr>
      <w:r w:rsidRPr="0025010A">
        <w:rPr>
          <w:rFonts w:ascii="Arial" w:hAnsi="Arial" w:cs="Arial"/>
          <w:color w:val="000000" w:themeColor="text1"/>
          <w:sz w:val="22"/>
          <w:szCs w:val="22"/>
        </w:rPr>
        <w:t xml:space="preserve">A partir de lo anterior, se solicita </w:t>
      </w:r>
      <w:r w:rsidRPr="0025010A">
        <w:rPr>
          <w:rFonts w:ascii="Arial" w:eastAsia="Arial" w:hAnsi="Arial" w:cs="Arial"/>
          <w:color w:val="000000" w:themeColor="text1"/>
          <w:sz w:val="22"/>
          <w:szCs w:val="22"/>
        </w:rPr>
        <w:t>«una aclaración a dicha escogencia de la metodología  sugerida e</w:t>
      </w:r>
      <w:r w:rsidR="00CC2647" w:rsidRPr="0025010A">
        <w:rPr>
          <w:rFonts w:ascii="Arial" w:eastAsia="Arial" w:hAnsi="Arial" w:cs="Arial"/>
          <w:color w:val="000000" w:themeColor="text1"/>
          <w:sz w:val="22"/>
          <w:szCs w:val="22"/>
        </w:rPr>
        <w:t>n</w:t>
      </w:r>
      <w:r w:rsidRPr="0025010A">
        <w:rPr>
          <w:rFonts w:ascii="Arial" w:eastAsia="Arial" w:hAnsi="Arial" w:cs="Arial"/>
          <w:color w:val="000000" w:themeColor="text1"/>
          <w:sz w:val="22"/>
          <w:szCs w:val="22"/>
        </w:rPr>
        <w:t xml:space="preserve"> estos documentos tipo».</w:t>
      </w:r>
    </w:p>
    <w:p w14:paraId="08681702" w14:textId="77777777" w:rsidR="00501B0C" w:rsidRPr="0025010A" w:rsidRDefault="00557D14" w:rsidP="00AC406D">
      <w:pPr>
        <w:tabs>
          <w:tab w:val="left" w:pos="284"/>
        </w:tabs>
        <w:spacing w:afterLines="120" w:after="288"/>
        <w:rPr>
          <w:rFonts w:ascii="Arial" w:eastAsia="Arial" w:hAnsi="Arial" w:cs="Arial"/>
          <w:b/>
          <w:color w:val="000000" w:themeColor="text1"/>
          <w:sz w:val="22"/>
          <w:szCs w:val="22"/>
        </w:rPr>
      </w:pPr>
      <w:r w:rsidRPr="0025010A">
        <w:rPr>
          <w:rFonts w:ascii="Arial" w:eastAsia="Arial" w:hAnsi="Arial" w:cs="Arial"/>
          <w:b/>
          <w:color w:val="000000" w:themeColor="text1"/>
          <w:sz w:val="22"/>
          <w:szCs w:val="22"/>
        </w:rPr>
        <w:t>2. Consideraciones</w:t>
      </w:r>
    </w:p>
    <w:p w14:paraId="1C474BD8" w14:textId="77777777" w:rsidR="00352BF0" w:rsidRPr="0025010A" w:rsidRDefault="00352BF0" w:rsidP="00B56359">
      <w:pPr>
        <w:spacing w:after="120"/>
        <w:rPr>
          <w:rFonts w:ascii="Arial" w:hAnsi="Arial" w:cs="Arial"/>
          <w:color w:val="000000" w:themeColor="text1"/>
          <w:sz w:val="22"/>
          <w:szCs w:val="22"/>
        </w:rPr>
      </w:pPr>
      <w:bookmarkStart w:id="2" w:name="_3znysh7" w:colFirst="0" w:colLast="0"/>
      <w:bookmarkEnd w:id="2"/>
      <w:r w:rsidRPr="0025010A">
        <w:rPr>
          <w:rFonts w:ascii="Arial" w:hAnsi="Arial" w:cs="Arial"/>
          <w:color w:val="000000" w:themeColor="text1"/>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25010A">
        <w:rPr>
          <w:rFonts w:ascii="Arial" w:hAnsi="Arial" w:cs="Arial"/>
          <w:color w:val="000000" w:themeColor="text1"/>
          <w:sz w:val="22"/>
          <w:szCs w:val="22"/>
          <w:vertAlign w:val="superscript"/>
        </w:rPr>
        <w:footnoteReference w:id="1"/>
      </w:r>
      <w:r w:rsidRPr="0025010A">
        <w:rPr>
          <w:rFonts w:ascii="Arial" w:hAnsi="Arial" w:cs="Arial"/>
          <w:color w:val="000000" w:themeColor="text1"/>
          <w:sz w:val="22"/>
          <w:szCs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76356612" w14:textId="77777777" w:rsidR="00352BF0" w:rsidRPr="0025010A" w:rsidRDefault="00352BF0" w:rsidP="00B56359">
      <w:pPr>
        <w:spacing w:after="120"/>
        <w:ind w:firstLine="708"/>
        <w:rPr>
          <w:rFonts w:ascii="Arial" w:hAnsi="Arial" w:cs="Arial"/>
          <w:color w:val="000000" w:themeColor="text1"/>
          <w:sz w:val="22"/>
          <w:szCs w:val="22"/>
        </w:rPr>
      </w:pPr>
      <w:r w:rsidRPr="0025010A">
        <w:rPr>
          <w:rFonts w:ascii="Arial" w:hAnsi="Arial" w:cs="Arial"/>
          <w:color w:val="000000" w:themeColor="text1"/>
          <w:sz w:val="22"/>
          <w:szCs w:val="22"/>
        </w:rPr>
        <w:t xml:space="preserve">La competencia de esta entidad se fija con límites claros, con el objeto de evitar que la Agencia actúe como una instancia de validación de las actuaciones de las entidades </w:t>
      </w:r>
      <w:r w:rsidRPr="0025010A">
        <w:rPr>
          <w:rFonts w:ascii="Arial" w:hAnsi="Arial" w:cs="Arial"/>
          <w:color w:val="000000" w:themeColor="text1"/>
          <w:sz w:val="22"/>
          <w:szCs w:val="22"/>
        </w:rPr>
        <w:lastRenderedPageBreak/>
        <w:t>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7999C11D" w14:textId="1BE8EBB1" w:rsidR="00352BF0" w:rsidRPr="0025010A" w:rsidRDefault="00352BF0" w:rsidP="00B56359">
      <w:pPr>
        <w:spacing w:after="120"/>
        <w:ind w:firstLine="708"/>
        <w:rPr>
          <w:rFonts w:ascii="Arial" w:hAnsi="Arial" w:cs="Arial"/>
          <w:color w:val="000000" w:themeColor="text1"/>
          <w:sz w:val="22"/>
          <w:szCs w:val="22"/>
        </w:rPr>
      </w:pPr>
      <w:r w:rsidRPr="0025010A">
        <w:rPr>
          <w:rFonts w:ascii="Arial" w:hAnsi="Arial" w:cs="Arial"/>
          <w:color w:val="000000" w:themeColor="text1"/>
          <w:sz w:val="22"/>
          <w:szCs w:val="22"/>
        </w:rPr>
        <w:t xml:space="preserve">En atención a lo anterior, la Subdirección responderá su consulta dentro de los límites de su competencia previo análisis de los siguientes temas: </w:t>
      </w:r>
      <w:r w:rsidRPr="0025010A">
        <w:rPr>
          <w:rFonts w:ascii="Arial" w:hAnsi="Arial" w:cs="Arial"/>
          <w:i/>
          <w:iCs/>
          <w:color w:val="000000" w:themeColor="text1"/>
          <w:sz w:val="22"/>
          <w:szCs w:val="22"/>
          <w:lang w:val="es-ES_tradnl"/>
        </w:rPr>
        <w:t>i)</w:t>
      </w:r>
      <w:r w:rsidR="005D0777" w:rsidRPr="0025010A">
        <w:rPr>
          <w:rFonts w:ascii="Arial" w:hAnsi="Arial" w:cs="Arial"/>
          <w:color w:val="000000" w:themeColor="text1"/>
          <w:sz w:val="22"/>
          <w:szCs w:val="22"/>
          <w:lang w:val="es-ES_tradnl"/>
        </w:rPr>
        <w:t xml:space="preserve"> </w:t>
      </w:r>
      <w:r w:rsidR="00F208D9" w:rsidRPr="0025010A">
        <w:rPr>
          <w:rFonts w:ascii="Arial" w:hAnsi="Arial" w:cs="Arial"/>
          <w:color w:val="000000" w:themeColor="text1"/>
          <w:sz w:val="22"/>
          <w:szCs w:val="22"/>
          <w:lang w:val="es-ES_tradnl"/>
        </w:rPr>
        <w:t>Fundamento normativo y ámbito de aplicación de los documentos tipo</w:t>
      </w:r>
      <w:r w:rsidR="001D5985" w:rsidRPr="0025010A">
        <w:rPr>
          <w:rFonts w:ascii="Arial" w:hAnsi="Arial" w:cs="Arial"/>
          <w:color w:val="000000" w:themeColor="text1"/>
          <w:sz w:val="22"/>
          <w:szCs w:val="22"/>
          <w:lang w:val="es-ES_tradnl"/>
        </w:rPr>
        <w:t>,</w:t>
      </w:r>
      <w:r w:rsidR="005D0777" w:rsidRPr="0025010A">
        <w:rPr>
          <w:rFonts w:ascii="Arial" w:hAnsi="Arial" w:cs="Arial"/>
          <w:color w:val="000000" w:themeColor="text1"/>
          <w:sz w:val="22"/>
          <w:szCs w:val="22"/>
          <w:lang w:val="es-ES_tradnl"/>
        </w:rPr>
        <w:t xml:space="preserve"> </w:t>
      </w:r>
      <w:proofErr w:type="spellStart"/>
      <w:r w:rsidR="005D0777" w:rsidRPr="0025010A">
        <w:rPr>
          <w:rFonts w:ascii="Arial" w:hAnsi="Arial" w:cs="Arial"/>
          <w:i/>
          <w:iCs/>
          <w:color w:val="000000" w:themeColor="text1"/>
          <w:sz w:val="22"/>
          <w:szCs w:val="22"/>
          <w:lang w:val="es-ES_tradnl"/>
        </w:rPr>
        <w:t>ii</w:t>
      </w:r>
      <w:proofErr w:type="spellEnd"/>
      <w:r w:rsidR="005D0777" w:rsidRPr="0025010A">
        <w:rPr>
          <w:rFonts w:ascii="Arial" w:hAnsi="Arial" w:cs="Arial"/>
          <w:i/>
          <w:iCs/>
          <w:color w:val="000000" w:themeColor="text1"/>
          <w:sz w:val="22"/>
          <w:szCs w:val="22"/>
          <w:lang w:val="es-ES_tradnl"/>
        </w:rPr>
        <w:t>)</w:t>
      </w:r>
      <w:r w:rsidR="005D0777" w:rsidRPr="0025010A">
        <w:rPr>
          <w:rFonts w:ascii="Arial" w:hAnsi="Arial" w:cs="Arial"/>
          <w:color w:val="000000" w:themeColor="text1"/>
          <w:sz w:val="22"/>
          <w:szCs w:val="22"/>
          <w:lang w:val="es-ES_tradnl"/>
        </w:rPr>
        <w:t xml:space="preserve"> </w:t>
      </w:r>
      <w:r w:rsidR="0001435A" w:rsidRPr="0025010A">
        <w:rPr>
          <w:rFonts w:ascii="Arial" w:hAnsi="Arial" w:cs="Arial"/>
          <w:color w:val="000000" w:themeColor="text1"/>
          <w:sz w:val="22"/>
          <w:szCs w:val="22"/>
          <w:lang w:val="es-ES_tradnl"/>
        </w:rPr>
        <w:t xml:space="preserve">inalterabilidad de los documentos tipo; </w:t>
      </w:r>
      <w:proofErr w:type="spellStart"/>
      <w:r w:rsidR="0001435A" w:rsidRPr="0025010A">
        <w:rPr>
          <w:rFonts w:ascii="Arial" w:hAnsi="Arial" w:cs="Arial"/>
          <w:i/>
          <w:iCs/>
          <w:color w:val="000000" w:themeColor="text1"/>
          <w:sz w:val="22"/>
          <w:szCs w:val="22"/>
          <w:lang w:val="es-ES_tradnl"/>
        </w:rPr>
        <w:t>iii</w:t>
      </w:r>
      <w:proofErr w:type="spellEnd"/>
      <w:r w:rsidR="0001435A" w:rsidRPr="0025010A">
        <w:rPr>
          <w:rFonts w:ascii="Arial" w:hAnsi="Arial" w:cs="Arial"/>
          <w:i/>
          <w:iCs/>
          <w:color w:val="000000" w:themeColor="text1"/>
          <w:sz w:val="22"/>
          <w:szCs w:val="22"/>
          <w:lang w:val="es-ES_tradnl"/>
        </w:rPr>
        <w:t xml:space="preserve">) </w:t>
      </w:r>
      <w:r w:rsidR="005D0777" w:rsidRPr="0025010A">
        <w:rPr>
          <w:rFonts w:ascii="Arial" w:hAnsi="Arial" w:cs="Arial"/>
          <w:color w:val="000000" w:themeColor="text1"/>
          <w:sz w:val="22"/>
          <w:szCs w:val="22"/>
          <w:lang w:val="es-ES_tradnl"/>
        </w:rPr>
        <w:t xml:space="preserve">procedimiento </w:t>
      </w:r>
      <w:r w:rsidR="00915A57" w:rsidRPr="0025010A">
        <w:rPr>
          <w:rFonts w:ascii="Arial" w:hAnsi="Arial" w:cs="Arial"/>
          <w:color w:val="000000" w:themeColor="text1"/>
          <w:sz w:val="22"/>
          <w:szCs w:val="22"/>
          <w:lang w:val="es-ES_tradnl"/>
        </w:rPr>
        <w:t>para la apertura de los sobre que conforman la oferta en la licitación pública</w:t>
      </w:r>
      <w:r w:rsidR="0001435A" w:rsidRPr="0025010A">
        <w:rPr>
          <w:rFonts w:ascii="Arial" w:hAnsi="Arial" w:cs="Arial"/>
          <w:color w:val="000000" w:themeColor="text1"/>
          <w:sz w:val="22"/>
          <w:szCs w:val="22"/>
          <w:lang w:val="es-ES_tradnl"/>
        </w:rPr>
        <w:t xml:space="preserve">; </w:t>
      </w:r>
      <w:r w:rsidR="00915A57" w:rsidRPr="0025010A">
        <w:rPr>
          <w:rFonts w:ascii="Arial" w:hAnsi="Arial" w:cs="Arial"/>
          <w:color w:val="000000" w:themeColor="text1"/>
          <w:sz w:val="22"/>
          <w:szCs w:val="22"/>
          <w:lang w:val="es-ES_tradnl"/>
        </w:rPr>
        <w:t xml:space="preserve"> </w:t>
      </w:r>
      <w:proofErr w:type="spellStart"/>
      <w:r w:rsidR="00915A57" w:rsidRPr="0025010A">
        <w:rPr>
          <w:rFonts w:ascii="Arial" w:hAnsi="Arial" w:cs="Arial"/>
          <w:i/>
          <w:iCs/>
          <w:color w:val="000000" w:themeColor="text1"/>
          <w:sz w:val="22"/>
          <w:szCs w:val="22"/>
          <w:lang w:val="es-ES_tradnl"/>
        </w:rPr>
        <w:t>iii</w:t>
      </w:r>
      <w:proofErr w:type="spellEnd"/>
      <w:r w:rsidR="00915A57" w:rsidRPr="0025010A">
        <w:rPr>
          <w:rFonts w:ascii="Arial" w:hAnsi="Arial" w:cs="Arial"/>
          <w:i/>
          <w:iCs/>
          <w:color w:val="000000" w:themeColor="text1"/>
          <w:sz w:val="22"/>
          <w:szCs w:val="22"/>
          <w:lang w:val="es-ES_tradnl"/>
        </w:rPr>
        <w:t>)</w:t>
      </w:r>
      <w:r w:rsidR="00915A57" w:rsidRPr="0025010A">
        <w:rPr>
          <w:rFonts w:ascii="Arial" w:hAnsi="Arial" w:cs="Arial"/>
          <w:color w:val="000000" w:themeColor="text1"/>
          <w:sz w:val="22"/>
          <w:szCs w:val="22"/>
          <w:lang w:val="es-ES_tradnl"/>
        </w:rPr>
        <w:t xml:space="preserve"> </w:t>
      </w:r>
      <w:r w:rsidR="0001435A" w:rsidRPr="0025010A">
        <w:rPr>
          <w:rFonts w:ascii="Arial" w:hAnsi="Arial" w:cs="Arial"/>
          <w:color w:val="000000" w:themeColor="text1"/>
          <w:sz w:val="22"/>
          <w:szCs w:val="22"/>
          <w:lang w:val="es-ES_tradnl"/>
        </w:rPr>
        <w:t xml:space="preserve">apertura de ofertas en procesos regidos por los documentos tipo de licitación de obra pública de infraestructura de transporte; y </w:t>
      </w:r>
      <w:proofErr w:type="spellStart"/>
      <w:r w:rsidR="0001435A" w:rsidRPr="0025010A">
        <w:rPr>
          <w:rFonts w:ascii="Arial" w:hAnsi="Arial" w:cs="Arial"/>
          <w:i/>
          <w:iCs/>
          <w:color w:val="000000" w:themeColor="text1"/>
          <w:sz w:val="22"/>
          <w:szCs w:val="22"/>
          <w:lang w:val="es-ES_tradnl"/>
        </w:rPr>
        <w:t>iv</w:t>
      </w:r>
      <w:proofErr w:type="spellEnd"/>
      <w:r w:rsidR="0001435A" w:rsidRPr="0025010A">
        <w:rPr>
          <w:rFonts w:ascii="Arial" w:hAnsi="Arial" w:cs="Arial"/>
          <w:i/>
          <w:iCs/>
          <w:color w:val="000000" w:themeColor="text1"/>
          <w:sz w:val="22"/>
          <w:szCs w:val="22"/>
          <w:lang w:val="es-ES_tradnl"/>
        </w:rPr>
        <w:t>)</w:t>
      </w:r>
      <w:r w:rsidR="0001435A" w:rsidRPr="0025010A">
        <w:rPr>
          <w:rFonts w:ascii="Arial" w:hAnsi="Arial" w:cs="Arial"/>
          <w:color w:val="000000" w:themeColor="text1"/>
          <w:sz w:val="22"/>
          <w:szCs w:val="22"/>
          <w:lang w:val="es-ES_tradnl"/>
        </w:rPr>
        <w:t xml:space="preserve"> determinación del método de ponderación de la propuesta económica en los procesos regidos por documentos tipo</w:t>
      </w:r>
      <w:r w:rsidR="00F85BB8" w:rsidRPr="0025010A">
        <w:rPr>
          <w:rFonts w:ascii="Arial" w:hAnsi="Arial" w:cs="Arial"/>
          <w:color w:val="000000" w:themeColor="text1"/>
          <w:sz w:val="22"/>
          <w:szCs w:val="22"/>
          <w:lang w:val="es-ES_tradnl"/>
        </w:rPr>
        <w:t>.</w:t>
      </w:r>
    </w:p>
    <w:p w14:paraId="1A926A0D" w14:textId="5A672739" w:rsidR="00352BF0" w:rsidRPr="0025010A" w:rsidRDefault="00352BF0" w:rsidP="00B56359">
      <w:pPr>
        <w:tabs>
          <w:tab w:val="left" w:pos="426"/>
        </w:tabs>
        <w:spacing w:after="0"/>
        <w:rPr>
          <w:rFonts w:ascii="Arial" w:hAnsi="Arial" w:cs="Arial"/>
          <w:color w:val="000000" w:themeColor="text1"/>
          <w:sz w:val="22"/>
          <w:szCs w:val="22"/>
        </w:rPr>
      </w:pPr>
      <w:r w:rsidRPr="0025010A">
        <w:rPr>
          <w:rFonts w:ascii="Arial" w:hAnsi="Arial" w:cs="Arial"/>
          <w:color w:val="000000" w:themeColor="text1"/>
          <w:sz w:val="22"/>
          <w:szCs w:val="22"/>
        </w:rPr>
        <w:tab/>
      </w:r>
      <w:r w:rsidRPr="0025010A">
        <w:rPr>
          <w:rFonts w:ascii="Arial" w:hAnsi="Arial" w:cs="Arial"/>
          <w:color w:val="000000" w:themeColor="text1"/>
          <w:sz w:val="22"/>
          <w:szCs w:val="22"/>
        </w:rPr>
        <w:tab/>
        <w:t>La Agencia Nacional de Contratación Pública – Colombia Compra Eficiente se ha pronunciado en diferentes ocasiones sobre</w:t>
      </w:r>
      <w:r w:rsidR="001D5985" w:rsidRPr="0025010A">
        <w:rPr>
          <w:rFonts w:ascii="Arial" w:hAnsi="Arial" w:cs="Arial"/>
          <w:color w:val="000000" w:themeColor="text1"/>
          <w:sz w:val="22"/>
          <w:szCs w:val="22"/>
        </w:rPr>
        <w:t xml:space="preserve"> </w:t>
      </w:r>
      <w:r w:rsidRPr="0025010A">
        <w:rPr>
          <w:rFonts w:ascii="Arial" w:hAnsi="Arial" w:cs="Arial"/>
          <w:color w:val="000000" w:themeColor="text1"/>
          <w:sz w:val="22"/>
          <w:szCs w:val="22"/>
        </w:rPr>
        <w:t xml:space="preserve">la </w:t>
      </w:r>
      <w:r w:rsidR="005D0777" w:rsidRPr="0025010A">
        <w:rPr>
          <w:rFonts w:ascii="Arial" w:hAnsi="Arial" w:cs="Arial"/>
          <w:color w:val="000000" w:themeColor="text1"/>
          <w:sz w:val="22"/>
          <w:lang w:val="es-ES_tradnl"/>
        </w:rPr>
        <w:t>aplicación del método de ponderación de ofertas en procesos contractuales regidos por documentos tipo</w:t>
      </w:r>
      <w:r w:rsidR="006A0F9B" w:rsidRPr="0025010A">
        <w:rPr>
          <w:rFonts w:ascii="Arial" w:hAnsi="Arial" w:cs="Arial"/>
          <w:color w:val="000000" w:themeColor="text1"/>
          <w:sz w:val="22"/>
          <w:lang w:val="es-ES_tradnl"/>
        </w:rPr>
        <w:t>,</w:t>
      </w:r>
      <w:r w:rsidR="005D0777" w:rsidRPr="0025010A">
        <w:rPr>
          <w:rFonts w:ascii="Arial" w:hAnsi="Arial" w:cs="Arial"/>
          <w:color w:val="000000" w:themeColor="text1"/>
          <w:sz w:val="22"/>
          <w:lang w:val="es-ES_tradnl"/>
        </w:rPr>
        <w:t xml:space="preserve"> en los conceptos C-193 del 6 de abril de 2020, C-279 del 18 de mayo de 2020, C-349 del 23 de junio de 2020, C-431 del 9 de julio de 2020, C-793 del 20 de enero de 2021, C-810 del 8 de febrero de 2021, C-011 del 17 de febrero de 2021, C-042 del 3 de marzo de 2021, C-174 del 26 de abril de 2021, C-332 del 07 de mayo de 2021, C-412 del 17 de agosto de 2021, C-402 del 19 de agosto de 2021, C-425 del 19 de agosto de 2021, C-632 del 19 de noviembre de 2021 y C-680 del 09 de diciembre de 2021</w:t>
      </w:r>
      <w:r w:rsidR="0057486C" w:rsidRPr="0025010A">
        <w:rPr>
          <w:rFonts w:ascii="Arial" w:hAnsi="Arial" w:cs="Arial"/>
          <w:color w:val="000000" w:themeColor="text1"/>
          <w:sz w:val="22"/>
          <w:szCs w:val="22"/>
        </w:rPr>
        <w:t xml:space="preserve">. </w:t>
      </w:r>
      <w:r w:rsidR="005A453F" w:rsidRPr="0025010A">
        <w:rPr>
          <w:rFonts w:ascii="Arial" w:hAnsi="Arial" w:cs="Arial"/>
          <w:color w:val="000000" w:themeColor="text1"/>
          <w:sz w:val="22"/>
          <w:szCs w:val="22"/>
        </w:rPr>
        <w:t>A continuación, la Agencia reiterará y complementará, en lo pertinente, las tesis sostenidas en los conceptos mencionados.</w:t>
      </w:r>
    </w:p>
    <w:p w14:paraId="6F0F8A5A" w14:textId="77777777" w:rsidR="006A0F9B" w:rsidRPr="0025010A" w:rsidRDefault="006A0F9B" w:rsidP="00B56359">
      <w:pPr>
        <w:tabs>
          <w:tab w:val="left" w:pos="426"/>
        </w:tabs>
        <w:spacing w:after="0"/>
        <w:rPr>
          <w:rFonts w:ascii="Arial" w:hAnsi="Arial" w:cs="Arial"/>
          <w:color w:val="000000" w:themeColor="text1"/>
          <w:sz w:val="22"/>
          <w:szCs w:val="22"/>
        </w:rPr>
      </w:pPr>
    </w:p>
    <w:p w14:paraId="0BC66A4B" w14:textId="77777777" w:rsidR="00334361" w:rsidRPr="0025010A" w:rsidRDefault="00334361" w:rsidP="00334361">
      <w:pPr>
        <w:spacing w:after="0"/>
        <w:rPr>
          <w:rFonts w:ascii="Arial" w:eastAsia="Arial" w:hAnsi="Arial" w:cs="Arial"/>
          <w:b/>
          <w:bCs/>
          <w:sz w:val="22"/>
          <w:lang w:val="es-ES_tradnl"/>
        </w:rPr>
      </w:pPr>
      <w:bookmarkStart w:id="3" w:name="_Hlk99449078"/>
      <w:r w:rsidRPr="0025010A">
        <w:rPr>
          <w:rFonts w:ascii="Arial" w:eastAsia="Arial" w:hAnsi="Arial" w:cs="Arial"/>
          <w:b/>
          <w:bCs/>
          <w:sz w:val="22"/>
          <w:lang w:val="es-ES_tradnl"/>
        </w:rPr>
        <w:t xml:space="preserve">2.1. Fundamento normativo y ámbito de aplicación de los documentos tipo </w:t>
      </w:r>
    </w:p>
    <w:p w14:paraId="55E88048" w14:textId="77777777" w:rsidR="00334361" w:rsidRPr="0025010A" w:rsidRDefault="00334361" w:rsidP="00334361">
      <w:pPr>
        <w:spacing w:after="0" w:line="240" w:lineRule="auto"/>
        <w:rPr>
          <w:rFonts w:ascii="Arial" w:eastAsia="Arial" w:hAnsi="Arial" w:cs="Arial"/>
          <w:b/>
          <w:bCs/>
          <w:sz w:val="22"/>
          <w:lang w:val="es-ES_tradnl"/>
        </w:rPr>
      </w:pPr>
    </w:p>
    <w:p w14:paraId="538E3D78" w14:textId="77777777" w:rsidR="00334361" w:rsidRPr="0025010A" w:rsidRDefault="00334361" w:rsidP="00334361">
      <w:pPr>
        <w:spacing w:after="120"/>
        <w:rPr>
          <w:rFonts w:ascii="Arial" w:hAnsi="Arial" w:cs="Arial"/>
          <w:sz w:val="22"/>
          <w:lang w:val="es-ES_tradnl"/>
        </w:rPr>
      </w:pPr>
      <w:r w:rsidRPr="0025010A">
        <w:rPr>
          <w:rFonts w:ascii="Arial" w:hAnsi="Arial" w:cs="Arial"/>
          <w:sz w:val="22"/>
          <w:lang w:val="es-ES_tradnl"/>
        </w:rPr>
        <w:t>La adopción de los documentos tipo obligatorios en el ordenamiento jurídico colombiano se incluyó por primera vez en el parágrafo 3 del artículo 2 de la Ley 1150 de 2007</w:t>
      </w:r>
      <w:r w:rsidRPr="0025010A">
        <w:rPr>
          <w:rFonts w:ascii="Arial" w:hAnsi="Arial" w:cs="Arial"/>
          <w:sz w:val="22"/>
          <w:vertAlign w:val="superscript"/>
          <w:lang w:val="es-ES_tradnl"/>
        </w:rPr>
        <w:footnoteReference w:id="2"/>
      </w:r>
      <w:r w:rsidRPr="0025010A">
        <w:rPr>
          <w:rFonts w:ascii="Arial"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12D91357" w14:textId="77777777" w:rsidR="00334361" w:rsidRPr="0025010A" w:rsidRDefault="00334361" w:rsidP="00334361">
      <w:pPr>
        <w:spacing w:after="0"/>
        <w:ind w:firstLine="708"/>
        <w:rPr>
          <w:rFonts w:ascii="Arial" w:hAnsi="Arial" w:cs="Arial"/>
          <w:sz w:val="22"/>
          <w:lang w:val="es-ES_tradnl"/>
        </w:rPr>
      </w:pPr>
      <w:r w:rsidRPr="0025010A">
        <w:rPr>
          <w:rFonts w:ascii="Arial"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w:t>
      </w:r>
      <w:r w:rsidRPr="0025010A">
        <w:rPr>
          <w:rFonts w:ascii="Arial" w:hAnsi="Arial" w:cs="Arial"/>
          <w:sz w:val="22"/>
          <w:lang w:val="es-ES_tradnl"/>
        </w:rPr>
        <w:lastRenderedPageBreak/>
        <w:t xml:space="preserve">el gobierno nacional. Debe señalarse que en virtud de la Ley 1882 de 2018 se expidieron varios documentos tipo para el sector de infraestructura de transporte y, por tanto, es importante explicar el proceso previsto en dicho cuerpo normativo. </w:t>
      </w:r>
    </w:p>
    <w:p w14:paraId="2CC7B5EA" w14:textId="77777777" w:rsidR="00334361" w:rsidRPr="0025010A" w:rsidRDefault="00334361" w:rsidP="00334361">
      <w:pPr>
        <w:spacing w:before="120" w:after="120"/>
        <w:ind w:firstLine="708"/>
        <w:rPr>
          <w:rFonts w:ascii="Arial" w:hAnsi="Arial" w:cs="Arial"/>
          <w:sz w:val="22"/>
          <w:lang w:val="es-ES_tradnl"/>
        </w:rPr>
      </w:pPr>
      <w:r w:rsidRPr="0025010A">
        <w:rPr>
          <w:rFonts w:ascii="Arial" w:hAnsi="Arial" w:cs="Arial"/>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25010A">
        <w:rPr>
          <w:rFonts w:ascii="Arial" w:hAnsi="Arial" w:cs="Arial"/>
          <w:sz w:val="22"/>
          <w:vertAlign w:val="superscript"/>
          <w:lang w:val="es-ES_tradnl"/>
        </w:rPr>
        <w:footnoteReference w:id="3"/>
      </w:r>
      <w:r w:rsidRPr="0025010A">
        <w:rPr>
          <w:rFonts w:ascii="Arial" w:hAnsi="Arial" w:cs="Arial"/>
          <w:sz w:val="22"/>
          <w:lang w:val="es-ES_tradnl"/>
        </w:rPr>
        <w:t>.</w:t>
      </w:r>
    </w:p>
    <w:p w14:paraId="049AAC86" w14:textId="77777777" w:rsidR="00334361" w:rsidRPr="0025010A" w:rsidRDefault="00334361" w:rsidP="00334361">
      <w:pPr>
        <w:spacing w:before="120" w:after="120"/>
        <w:rPr>
          <w:rFonts w:ascii="Arial" w:hAnsi="Arial" w:cs="Arial"/>
          <w:sz w:val="22"/>
          <w:lang w:val="es-ES_tradnl"/>
        </w:rPr>
      </w:pPr>
      <w:r w:rsidRPr="0025010A">
        <w:rPr>
          <w:rFonts w:ascii="Arial"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CD95457" w14:textId="77777777" w:rsidR="00334361" w:rsidRPr="0025010A" w:rsidRDefault="00334361" w:rsidP="00334361">
      <w:pPr>
        <w:spacing w:before="120" w:after="120"/>
        <w:rPr>
          <w:rFonts w:ascii="Arial" w:hAnsi="Arial" w:cs="Arial"/>
          <w:sz w:val="22"/>
          <w:lang w:val="es-ES_tradnl"/>
        </w:rPr>
      </w:pPr>
      <w:r w:rsidRPr="0025010A">
        <w:rPr>
          <w:rFonts w:ascii="Arial" w:hAnsi="Arial" w:cs="Arial"/>
          <w:sz w:val="22"/>
          <w:lang w:val="es-ES_tradnl"/>
        </w:rPr>
        <w:tab/>
        <w:t xml:space="preserve">De la norma descrita se concluía lo siguiente: i) la adopción de los documentos tipo estaba en cabeza del gobierno nacional. </w:t>
      </w:r>
      <w:proofErr w:type="spellStart"/>
      <w:r w:rsidRPr="0025010A">
        <w:rPr>
          <w:rFonts w:ascii="Arial" w:hAnsi="Arial" w:cs="Arial"/>
          <w:sz w:val="22"/>
          <w:lang w:val="es-ES_tradnl"/>
        </w:rPr>
        <w:t>ii</w:t>
      </w:r>
      <w:proofErr w:type="spellEnd"/>
      <w:r w:rsidRPr="0025010A">
        <w:rPr>
          <w:rFonts w:ascii="Arial" w:hAnsi="Arial" w:cs="Arial"/>
          <w:sz w:val="22"/>
          <w:lang w:val="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25010A">
        <w:rPr>
          <w:rFonts w:ascii="Arial" w:hAnsi="Arial" w:cs="Arial"/>
          <w:sz w:val="22"/>
          <w:lang w:val="es-ES_tradnl"/>
        </w:rPr>
        <w:t>iii</w:t>
      </w:r>
      <w:proofErr w:type="spellEnd"/>
      <w:r w:rsidRPr="0025010A">
        <w:rPr>
          <w:rFonts w:ascii="Arial" w:hAnsi="Arial" w:cs="Arial"/>
          <w:sz w:val="22"/>
          <w:lang w:val="es-ES_tradnl"/>
        </w:rPr>
        <w:t xml:space="preserve">) Eran de obligatorio cumplimiento por parte de todas las entidades sometidas al Estatuto General de Contratación de la Administración Pública. </w:t>
      </w:r>
      <w:proofErr w:type="spellStart"/>
      <w:r w:rsidRPr="0025010A">
        <w:rPr>
          <w:rFonts w:ascii="Arial" w:hAnsi="Arial" w:cs="Arial"/>
          <w:sz w:val="22"/>
          <w:lang w:val="es-ES_tradnl"/>
        </w:rPr>
        <w:t>iv</w:t>
      </w:r>
      <w:proofErr w:type="spellEnd"/>
      <w:r w:rsidRPr="0025010A">
        <w:rPr>
          <w:rFonts w:ascii="Arial" w:hAnsi="Arial" w:cs="Arial"/>
          <w:sz w:val="22"/>
          <w:lang w:val="es-ES_tradnl"/>
        </w:rPr>
        <w:t xml:space="preserve">) En los documentos tipo se indicarían las condiciones generales de los requisitos habilitantes, así como los factores técnicos y económicos de escogencia, según correspondiera para cada modalidad de selección. v) El </w:t>
      </w:r>
      <w:r w:rsidRPr="0025010A">
        <w:rPr>
          <w:rFonts w:ascii="Arial" w:hAnsi="Arial" w:cs="Arial"/>
          <w:sz w:val="22"/>
          <w:lang w:val="es-ES_tradnl"/>
        </w:rPr>
        <w:lastRenderedPageBreak/>
        <w:t xml:space="preserve">gobierno nacional tenía la facultad de adoptar documentos tipo en otros contratos o procesos de selección. Por último, vi) los documentos tipo serían adoptados por categorías de acuerdo con la cuantía de la contratación. </w:t>
      </w:r>
    </w:p>
    <w:p w14:paraId="78856844" w14:textId="77777777" w:rsidR="00334361" w:rsidRPr="0025010A" w:rsidRDefault="00334361" w:rsidP="00334361">
      <w:pPr>
        <w:spacing w:before="120" w:after="120"/>
        <w:rPr>
          <w:rFonts w:ascii="Arial" w:hAnsi="Arial" w:cs="Arial"/>
          <w:sz w:val="22"/>
          <w:lang w:val="es-ES_tradnl"/>
        </w:rPr>
      </w:pPr>
      <w:r w:rsidRPr="0025010A">
        <w:rPr>
          <w:rFonts w:ascii="Arial"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25010A">
        <w:rPr>
          <w:rFonts w:ascii="Arial"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4"/>
      <w:r w:rsidRPr="0025010A">
        <w:rPr>
          <w:rFonts w:ascii="Arial" w:hAnsi="Arial" w:cs="Arial"/>
          <w:sz w:val="22"/>
          <w:lang w:val="es-ES_tradnl"/>
        </w:rPr>
        <w:t>. De igual manera, se establece que esta autonomía se garantiza con la identificación autónoma de sus necesidades y la configuración de los elementos del contrato</w:t>
      </w:r>
      <w:r w:rsidRPr="0025010A">
        <w:rPr>
          <w:rFonts w:ascii="Arial" w:hAnsi="Arial" w:cs="Arial"/>
          <w:sz w:val="22"/>
          <w:vertAlign w:val="superscript"/>
          <w:lang w:val="es-ES_tradnl"/>
        </w:rPr>
        <w:footnoteReference w:id="4"/>
      </w:r>
      <w:r w:rsidRPr="0025010A">
        <w:rPr>
          <w:rFonts w:ascii="Arial" w:hAnsi="Arial" w:cs="Arial"/>
          <w:sz w:val="22"/>
          <w:lang w:val="es-ES_tradnl"/>
        </w:rPr>
        <w:t>.</w:t>
      </w:r>
    </w:p>
    <w:p w14:paraId="30FDF0AA" w14:textId="77777777" w:rsidR="00334361" w:rsidRPr="0025010A" w:rsidRDefault="00334361" w:rsidP="00334361">
      <w:pPr>
        <w:spacing w:before="120" w:after="120"/>
        <w:rPr>
          <w:rFonts w:ascii="Arial" w:hAnsi="Arial" w:cs="Arial"/>
          <w:sz w:val="22"/>
          <w:lang w:val="es-ES_tradnl"/>
        </w:rPr>
      </w:pPr>
      <w:r w:rsidRPr="0025010A">
        <w:rPr>
          <w:rFonts w:ascii="Arial" w:hAnsi="Arial" w:cs="Arial"/>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9067C42" w14:textId="77777777" w:rsidR="00334361" w:rsidRPr="0025010A" w:rsidRDefault="00334361" w:rsidP="00334361">
      <w:pPr>
        <w:spacing w:before="120" w:after="120"/>
        <w:rPr>
          <w:rFonts w:ascii="Arial" w:hAnsi="Arial" w:cs="Arial"/>
          <w:sz w:val="22"/>
          <w:szCs w:val="22"/>
          <w:lang w:val="es-ES_tradnl" w:eastAsia="en-US"/>
        </w:rPr>
      </w:pPr>
      <w:r w:rsidRPr="0025010A">
        <w:rPr>
          <w:rFonts w:ascii="Arial" w:hAnsi="Arial" w:cs="Arial"/>
          <w:sz w:val="22"/>
          <w:szCs w:val="22"/>
          <w:lang w:val="es-ES_tradnl"/>
        </w:rPr>
        <w:tab/>
      </w:r>
      <w:r w:rsidRPr="0025010A">
        <w:rPr>
          <w:rFonts w:ascii="Arial"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w:t>
      </w:r>
    </w:p>
    <w:p w14:paraId="28D9A2EE" w14:textId="77777777" w:rsidR="00334361" w:rsidRPr="0025010A" w:rsidRDefault="00334361" w:rsidP="00334361">
      <w:pPr>
        <w:spacing w:before="120" w:after="120"/>
        <w:ind w:firstLine="708"/>
        <w:rPr>
          <w:rFonts w:ascii="Arial" w:hAnsi="Arial" w:cs="Arial"/>
          <w:sz w:val="22"/>
          <w:szCs w:val="22"/>
          <w:lang w:val="es-ES_tradnl"/>
        </w:rPr>
      </w:pPr>
      <w:r w:rsidRPr="0025010A">
        <w:rPr>
          <w:rFonts w:ascii="Arial" w:hAnsi="Arial" w:cs="Arial"/>
          <w:sz w:val="22"/>
          <w:szCs w:val="22"/>
          <w:lang w:val="es-ES_tradnl" w:eastAsia="en-US"/>
        </w:rPr>
        <w:t>Finalmente, se profirió el Decreto 594 del 25 de abril de 2020, frente a los documentos tipo para los contratos de obra pública</w:t>
      </w:r>
      <w:r w:rsidRPr="0025010A" w:rsidDel="00A434AB">
        <w:rPr>
          <w:rFonts w:ascii="Arial" w:hAnsi="Arial" w:cs="Arial"/>
          <w:sz w:val="22"/>
          <w:szCs w:val="22"/>
          <w:lang w:val="es-ES_tradnl" w:eastAsia="en-US"/>
        </w:rPr>
        <w:t xml:space="preserve"> </w:t>
      </w:r>
      <w:r w:rsidRPr="0025010A">
        <w:rPr>
          <w:rFonts w:ascii="Arial" w:hAnsi="Arial" w:cs="Arial"/>
          <w:sz w:val="22"/>
          <w:szCs w:val="22"/>
          <w:lang w:val="es-ES_tradnl" w:eastAsia="en-US"/>
        </w:rPr>
        <w:t xml:space="preserve">de infraestructura de transporte que se </w:t>
      </w:r>
      <w:r w:rsidRPr="0025010A">
        <w:rPr>
          <w:rFonts w:ascii="Arial" w:hAnsi="Arial" w:cs="Arial"/>
          <w:sz w:val="22"/>
          <w:szCs w:val="22"/>
          <w:lang w:val="es-ES_tradnl" w:eastAsia="en-US"/>
        </w:rPr>
        <w:lastRenderedPageBreak/>
        <w:t xml:space="preserve">surtieran por la modalidad de mínima cuantía. Estos documentos fueron implementados y desarrollados por la Agencia Nacional de Contratación Pública </w:t>
      </w:r>
      <w:bookmarkStart w:id="5" w:name="_Hlk37841850"/>
      <w:r w:rsidRPr="0025010A">
        <w:rPr>
          <w:rFonts w:ascii="Arial" w:hAnsi="Arial" w:cs="Arial"/>
          <w:sz w:val="22"/>
          <w:szCs w:val="22"/>
          <w:lang w:val="es-ES_tradnl" w:eastAsia="en-US"/>
        </w:rPr>
        <w:t xml:space="preserve">– Colombia Compra Eficiente, </w:t>
      </w:r>
      <w:bookmarkEnd w:id="5"/>
      <w:r w:rsidRPr="0025010A">
        <w:rPr>
          <w:rFonts w:ascii="Arial" w:hAnsi="Arial" w:cs="Arial"/>
          <w:sz w:val="22"/>
          <w:szCs w:val="22"/>
          <w:lang w:val="es-ES_tradnl" w:eastAsia="en-US"/>
        </w:rPr>
        <w:t>por medio de la Resolución 1798 de 1 de abril de 2019 –derogada por la Resolución 045 del 14 de febrero de 2020–, la Resolución 044 del 14 de febrero de 2020 y la Resolución 094 del 21 de mayo de 2020.</w:t>
      </w:r>
    </w:p>
    <w:p w14:paraId="404C4BB8" w14:textId="77777777" w:rsidR="00334361" w:rsidRPr="0025010A" w:rsidRDefault="00334361" w:rsidP="00334361">
      <w:pPr>
        <w:spacing w:before="120" w:after="0"/>
        <w:ind w:firstLine="709"/>
        <w:rPr>
          <w:rFonts w:ascii="Arial" w:hAnsi="Arial" w:cs="Arial"/>
          <w:sz w:val="22"/>
          <w:szCs w:val="22"/>
          <w:lang w:val="es-ES_tradnl" w:eastAsia="es-ES"/>
        </w:rPr>
      </w:pPr>
      <w:r w:rsidRPr="0025010A">
        <w:rPr>
          <w:rFonts w:ascii="Arial" w:hAnsi="Arial" w:cs="Arial"/>
          <w:sz w:val="22"/>
          <w:szCs w:val="22"/>
          <w:lang w:val="es-ES_tradnl" w:eastAsia="es-ES"/>
        </w:rPr>
        <w:t>Con posterioridad a la expedición de los anteriores documentos tipo, se expidió la Ley 2022 de 2020, norma que modificó el contenido del parágrafo 7 del artículo 2 de la Ley 1150 de 2007, que había sido adicionado por la Ley 1882 de 2018</w:t>
      </w:r>
      <w:r w:rsidRPr="0025010A">
        <w:rPr>
          <w:rFonts w:ascii="Arial" w:hAnsi="Arial" w:cs="Arial"/>
          <w:sz w:val="22"/>
          <w:szCs w:val="22"/>
          <w:vertAlign w:val="superscript"/>
          <w:lang w:val="es-ES_tradnl" w:eastAsia="es-ES"/>
        </w:rPr>
        <w:footnoteReference w:id="5"/>
      </w:r>
      <w:r w:rsidRPr="0025010A">
        <w:rPr>
          <w:rFonts w:ascii="Arial" w:hAnsi="Arial" w:cs="Arial"/>
          <w:sz w:val="22"/>
          <w:szCs w:val="22"/>
          <w:lang w:val="es-ES_tradnl" w:eastAsia="es-ES"/>
        </w:rPr>
        <w:t xml:space="preserve">. Con esta modificación, si bien se mantuvo el mandato de aplicación obligatoria de los documentos tipo por parte de las entidades sometidas al Estatuto General de Contratación de la Administración Pública, se atribuyó a la </w:t>
      </w:r>
      <w:r w:rsidRPr="0025010A">
        <w:rPr>
          <w:rFonts w:ascii="Arial" w:hAnsi="Arial" w:cs="Arial"/>
          <w:sz w:val="22"/>
          <w:szCs w:val="22"/>
          <w:lang w:val="es-ES_tradnl" w:eastAsia="en-US"/>
        </w:rPr>
        <w:t xml:space="preserve">Agencia Nacional de Contratación Pública – Colombia Compra Eficiente la competencia para su expedición. </w:t>
      </w:r>
      <w:r w:rsidRPr="0025010A">
        <w:rPr>
          <w:rFonts w:ascii="Arial" w:hAnsi="Arial" w:cs="Arial"/>
          <w:sz w:val="22"/>
          <w:szCs w:val="22"/>
          <w:lang w:val="es-ES_tradnl" w:eastAsia="es-ES"/>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A01A1B8" w14:textId="77777777" w:rsidR="00334361" w:rsidRPr="0025010A" w:rsidRDefault="00334361" w:rsidP="00334361">
      <w:pPr>
        <w:spacing w:before="120" w:after="0"/>
        <w:ind w:firstLine="709"/>
        <w:rPr>
          <w:rFonts w:ascii="Arial" w:hAnsi="Arial" w:cs="Arial"/>
          <w:sz w:val="22"/>
          <w:szCs w:val="22"/>
          <w:lang w:val="es-ES_tradnl" w:eastAsia="es-ES"/>
        </w:rPr>
      </w:pPr>
      <w:r w:rsidRPr="0025010A">
        <w:rPr>
          <w:rFonts w:ascii="Arial" w:hAnsi="Arial" w:cs="Arial"/>
          <w:sz w:val="22"/>
          <w:szCs w:val="22"/>
          <w:lang w:val="es-ES_tradnl" w:eastAsia="es-ES"/>
        </w:rPr>
        <w:lastRenderedPageBreak/>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25010A">
        <w:rPr>
          <w:rFonts w:ascii="Arial" w:hAnsi="Arial" w:cs="Arial"/>
          <w:sz w:val="22"/>
          <w:szCs w:val="22"/>
          <w:lang w:val="es-ES_tradnl" w:eastAsia="es-ES"/>
        </w:rPr>
        <w:t>entró en vigencia</w:t>
      </w:r>
      <w:proofErr w:type="gramEnd"/>
      <w:r w:rsidRPr="0025010A">
        <w:rPr>
          <w:rFonts w:ascii="Arial" w:hAnsi="Arial" w:cs="Arial"/>
          <w:sz w:val="22"/>
          <w:szCs w:val="22"/>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3BA5DB72" w14:textId="77777777" w:rsidR="00334361" w:rsidRPr="0025010A" w:rsidRDefault="00334361" w:rsidP="00334361">
      <w:pPr>
        <w:spacing w:before="120" w:after="0"/>
        <w:ind w:firstLine="709"/>
        <w:rPr>
          <w:rFonts w:ascii="Arial" w:eastAsia="Times New Roman" w:hAnsi="Arial" w:cs="Arial"/>
          <w:sz w:val="22"/>
          <w:szCs w:val="22"/>
          <w:lang w:val="es-ES_tradnl" w:eastAsia="es-ES"/>
        </w:rPr>
      </w:pPr>
      <w:r w:rsidRPr="0025010A">
        <w:rPr>
          <w:rFonts w:ascii="Arial" w:hAnsi="Arial" w:cs="Arial"/>
          <w:sz w:val="22"/>
          <w:szCs w:val="22"/>
          <w:lang w:val="es-ES_tradnl" w:eastAsia="es-ES"/>
        </w:rPr>
        <w:t xml:space="preserve">A los actos administrativos mencionados se suman: i) la Resolución 193 de 14 de julio de 2021, </w:t>
      </w:r>
      <w:r w:rsidRPr="0025010A">
        <w:rPr>
          <w:rFonts w:ascii="Arial" w:eastAsia="Times New Roman" w:hAnsi="Arial" w:cs="Arial"/>
          <w:sz w:val="22"/>
          <w:szCs w:val="22"/>
          <w:lang w:val="es-ES_tradnl" w:eastAsia="es-ES"/>
        </w:rPr>
        <w:t xml:space="preserve">«Por la cual se adoptan los documentos tipo para los procesos de selección de concurso de méritos, para contratar la consultoría de estudios de ingeniería de infraestructura de transporte», </w:t>
      </w:r>
      <w:proofErr w:type="spellStart"/>
      <w:r w:rsidRPr="0025010A">
        <w:rPr>
          <w:rFonts w:ascii="Arial" w:eastAsia="Times New Roman" w:hAnsi="Arial" w:cs="Arial"/>
          <w:sz w:val="22"/>
          <w:szCs w:val="22"/>
          <w:lang w:val="es-ES_tradnl" w:eastAsia="es-ES"/>
        </w:rPr>
        <w:t>ii</w:t>
      </w:r>
      <w:proofErr w:type="spellEnd"/>
      <w:r w:rsidRPr="0025010A">
        <w:rPr>
          <w:rFonts w:ascii="Arial" w:eastAsia="Times New Roman" w:hAnsi="Arial" w:cs="Arial"/>
          <w:sz w:val="22"/>
          <w:szCs w:val="22"/>
          <w:lang w:val="es-ES_tradnl" w:eastAsia="es-ES"/>
        </w:rPr>
        <w:t>)</w:t>
      </w:r>
      <w:r w:rsidRPr="0025010A">
        <w:rPr>
          <w:rFonts w:ascii="Arial" w:hAnsi="Arial" w:cs="Arial"/>
          <w:sz w:val="22"/>
          <w:szCs w:val="22"/>
          <w:lang w:val="es-ES_tradnl" w:eastAsia="es-ES"/>
        </w:rPr>
        <w:t xml:space="preserve"> la Resolución 219 de 2021,</w:t>
      </w:r>
      <w:r w:rsidRPr="0025010A">
        <w:rPr>
          <w:rFonts w:ascii="Arial" w:eastAsia="Times New Roman" w:hAnsi="Arial" w:cs="Arial"/>
          <w:sz w:val="22"/>
          <w:szCs w:val="22"/>
          <w:lang w:val="es-ES_tradnl" w:eastAsia="es-ES"/>
        </w:rPr>
        <w:t xml:space="preserve"> «Por la cual se adoptan los documentos tipo para los procesos de licitación de obra pública de infraestructura social», </w:t>
      </w:r>
      <w:proofErr w:type="spellStart"/>
      <w:r w:rsidRPr="0025010A">
        <w:rPr>
          <w:rFonts w:ascii="Arial" w:eastAsia="Times New Roman" w:hAnsi="Arial" w:cs="Arial"/>
          <w:sz w:val="22"/>
          <w:szCs w:val="22"/>
          <w:lang w:val="es-ES_tradnl" w:eastAsia="es-ES"/>
        </w:rPr>
        <w:t>iii</w:t>
      </w:r>
      <w:proofErr w:type="spellEnd"/>
      <w:r w:rsidRPr="0025010A">
        <w:rPr>
          <w:rFonts w:ascii="Arial" w:eastAsia="Times New Roman" w:hAnsi="Arial" w:cs="Arial"/>
          <w:sz w:val="22"/>
          <w:szCs w:val="22"/>
          <w:lang w:val="es-ES_tradnl" w:eastAsia="es-ES"/>
        </w:rPr>
        <w:t xml:space="preserve">) la Resolución 220 del 6 de agosto de 2021, «Por la cual se adoptan los documentos tipo complementarios para los procesos de licitación de obra pública de infraestructura social relacionados con el sector educativo», </w:t>
      </w:r>
      <w:proofErr w:type="spellStart"/>
      <w:r w:rsidRPr="0025010A">
        <w:rPr>
          <w:rFonts w:ascii="Arial" w:eastAsia="Times New Roman" w:hAnsi="Arial" w:cs="Arial"/>
          <w:sz w:val="22"/>
          <w:szCs w:val="22"/>
          <w:lang w:val="es-ES_tradnl" w:eastAsia="es-ES"/>
        </w:rPr>
        <w:t>iv</w:t>
      </w:r>
      <w:proofErr w:type="spellEnd"/>
      <w:r w:rsidRPr="0025010A">
        <w:rPr>
          <w:rFonts w:ascii="Arial" w:eastAsia="Times New Roman" w:hAnsi="Arial" w:cs="Arial"/>
          <w:sz w:val="22"/>
          <w:szCs w:val="22"/>
          <w:lang w:val="es-ES_tradnl" w:eastAsia="es-ES"/>
        </w:rPr>
        <w:t xml:space="preserve">) la Resolución 392 del 18 de noviembre de 2021, «Por la cual se adoptan los documentos tipo complementarios para los procesos de licitación de obra pública de infraestructura social relacionados con el sector salud», y v) la Resolución 454 del 16 de diciembre de 2021, «Por la cual se adoptan los documentos tipo complementarios para los procesos de licitación de obra pública de infraestructura social relacionados con el sector cultura, recreación y deporte». </w:t>
      </w:r>
    </w:p>
    <w:p w14:paraId="64E088D1" w14:textId="77777777" w:rsidR="00334361" w:rsidRPr="0025010A" w:rsidRDefault="00334361" w:rsidP="00334361">
      <w:pPr>
        <w:spacing w:before="120" w:after="0"/>
        <w:ind w:firstLine="708"/>
        <w:rPr>
          <w:rFonts w:ascii="Arial" w:hAnsi="Arial" w:cs="Arial"/>
          <w:color w:val="000000"/>
          <w:sz w:val="22"/>
          <w:szCs w:val="22"/>
          <w:lang w:val="es-ES_tradnl" w:eastAsia="es-ES"/>
        </w:rPr>
      </w:pPr>
      <w:r w:rsidRPr="0025010A">
        <w:rPr>
          <w:rFonts w:ascii="Arial" w:hAnsi="Arial" w:cs="Arial"/>
          <w:color w:val="000000"/>
          <w:sz w:val="22"/>
          <w:szCs w:val="22"/>
          <w:lang w:val="es-ES_tradnl" w:eastAsia="es-ES"/>
        </w:rPr>
        <w:t xml:space="preserve">Las resoluciones señaladas </w:t>
      </w:r>
      <w:r w:rsidRPr="0025010A">
        <w:rPr>
          <w:rFonts w:ascii="Arial" w:eastAsia="Times New Roman" w:hAnsi="Arial" w:cs="Arial"/>
          <w:color w:val="000000"/>
          <w:sz w:val="22"/>
          <w:szCs w:val="22"/>
          <w:bdr w:val="none" w:sz="0" w:space="0" w:color="auto" w:frame="1"/>
          <w:lang w:val="es-CO" w:eastAsia="es-MX"/>
        </w:rPr>
        <w:t>reiteran el alcance de la obligatoriedad de los documentos tipo en la materia</w:t>
      </w:r>
      <w:r w:rsidRPr="0025010A">
        <w:rPr>
          <w:rFonts w:ascii="Arial" w:hAnsi="Arial" w:cs="Arial"/>
          <w:color w:val="000000"/>
          <w:sz w:val="22"/>
          <w:szCs w:val="22"/>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Así, para determinar el ámbito de aplicación de los documentos tipo debe acudirse a la «Matriz – Experiencia», en la que se contemplan las clases de obra aplicables al sector, sean de infraestructura de transporte, agua potable y saneamiento básico o infraestructura social.</w:t>
      </w:r>
    </w:p>
    <w:p w14:paraId="14EDA30E" w14:textId="77777777" w:rsidR="00334361" w:rsidRPr="0025010A" w:rsidRDefault="00334361" w:rsidP="00334361">
      <w:pPr>
        <w:spacing w:before="120" w:after="0"/>
        <w:ind w:firstLine="709"/>
        <w:rPr>
          <w:rFonts w:ascii="Arial" w:hAnsi="Arial" w:cs="Arial"/>
          <w:color w:val="000000"/>
          <w:sz w:val="22"/>
          <w:szCs w:val="22"/>
          <w:lang w:val="es-ES" w:eastAsia="es-ES"/>
        </w:rPr>
      </w:pPr>
      <w:r w:rsidRPr="0025010A">
        <w:rPr>
          <w:rFonts w:ascii="Arial" w:hAnsi="Arial" w:cs="Arial"/>
          <w:color w:val="000000"/>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7B94FD7D" w14:textId="77777777" w:rsidR="00334361" w:rsidRPr="0025010A" w:rsidRDefault="00334361" w:rsidP="00334361">
      <w:pPr>
        <w:spacing w:before="120" w:after="0"/>
        <w:ind w:firstLine="709"/>
        <w:rPr>
          <w:rFonts w:ascii="Arial" w:hAnsi="Arial" w:cs="Arial"/>
          <w:color w:val="000000"/>
          <w:sz w:val="22"/>
          <w:szCs w:val="22"/>
          <w:lang w:val="es-ES" w:eastAsia="es-ES"/>
        </w:rPr>
      </w:pPr>
      <w:r w:rsidRPr="0025010A">
        <w:rPr>
          <w:rFonts w:ascii="Arial" w:hAnsi="Arial" w:cs="Arial"/>
          <w:color w:val="000000"/>
          <w:sz w:val="22"/>
          <w:szCs w:val="22"/>
          <w:lang w:val="es-ES" w:eastAsia="es-ES"/>
        </w:rPr>
        <w:lastRenderedPageBreak/>
        <w:t xml:space="preserve">i) Documentos tipo para licitación de obra pública de infraestructura de transporte –versión 1–, obligatorios para los procesos cuyo aviso de convocatoria se haya publicado desde el 1 de abril de 2019. </w:t>
      </w:r>
    </w:p>
    <w:p w14:paraId="1DCDA776" w14:textId="77777777" w:rsidR="00334361" w:rsidRPr="0025010A" w:rsidRDefault="00334361" w:rsidP="00334361">
      <w:pPr>
        <w:spacing w:before="120" w:after="0"/>
        <w:ind w:firstLine="709"/>
        <w:rPr>
          <w:rFonts w:ascii="Arial" w:hAnsi="Arial" w:cs="Arial"/>
          <w:color w:val="000000"/>
          <w:sz w:val="22"/>
          <w:szCs w:val="22"/>
          <w:lang w:val="es-ES" w:eastAsia="es-ES"/>
        </w:rPr>
      </w:pPr>
      <w:proofErr w:type="spellStart"/>
      <w:r w:rsidRPr="0025010A">
        <w:rPr>
          <w:rFonts w:ascii="Arial" w:hAnsi="Arial" w:cs="Arial"/>
          <w:color w:val="000000"/>
          <w:sz w:val="22"/>
          <w:szCs w:val="22"/>
          <w:lang w:val="es-ES" w:eastAsia="es-ES"/>
        </w:rPr>
        <w:t>ii</w:t>
      </w:r>
      <w:proofErr w:type="spellEnd"/>
      <w:r w:rsidRPr="0025010A">
        <w:rPr>
          <w:rFonts w:ascii="Arial" w:hAnsi="Arial" w:cs="Arial"/>
          <w:color w:val="000000"/>
          <w:sz w:val="22"/>
          <w:szCs w:val="22"/>
          <w:lang w:val="es-ES" w:eastAsia="es-ES"/>
        </w:rPr>
        <w:t>) Documentos tipo para licitación de obra pública de infraestructura de transporte –versión 2–, obligatorios para los procesos cuyo aviso de convocatoria se haya publicado desde el 10 de marzo de 2020.</w:t>
      </w:r>
    </w:p>
    <w:p w14:paraId="759E27DD" w14:textId="77777777" w:rsidR="00334361" w:rsidRPr="0025010A" w:rsidRDefault="00334361" w:rsidP="00334361">
      <w:pPr>
        <w:spacing w:before="120" w:after="0"/>
        <w:ind w:firstLine="709"/>
        <w:rPr>
          <w:rFonts w:ascii="Arial" w:hAnsi="Arial" w:cs="Arial"/>
          <w:color w:val="000000"/>
          <w:sz w:val="22"/>
          <w:szCs w:val="22"/>
          <w:lang w:val="es-ES" w:eastAsia="es-ES"/>
        </w:rPr>
      </w:pPr>
      <w:proofErr w:type="spellStart"/>
      <w:r w:rsidRPr="0025010A">
        <w:rPr>
          <w:rFonts w:ascii="Arial" w:hAnsi="Arial" w:cs="Arial"/>
          <w:color w:val="000000"/>
          <w:sz w:val="22"/>
          <w:szCs w:val="22"/>
          <w:lang w:val="es-ES" w:eastAsia="es-ES"/>
        </w:rPr>
        <w:t>iii</w:t>
      </w:r>
      <w:proofErr w:type="spellEnd"/>
      <w:r w:rsidRPr="0025010A">
        <w:rPr>
          <w:rFonts w:ascii="Arial" w:hAnsi="Arial" w:cs="Arial"/>
          <w:color w:val="000000"/>
          <w:sz w:val="22"/>
          <w:szCs w:val="22"/>
          <w:lang w:val="es-ES" w:eastAsia="es-ES"/>
        </w:rPr>
        <w:t>) Documentos tipo para licitación de obra pública de infraestructura de transporte –versión 3–, obligatorios para los procesos cuyo aviso de convocatoria se haya publicado desde el 1 de enero de 2021.</w:t>
      </w:r>
    </w:p>
    <w:p w14:paraId="4F6C4CDC" w14:textId="77777777" w:rsidR="00334361" w:rsidRPr="0025010A" w:rsidRDefault="00334361" w:rsidP="00334361">
      <w:pPr>
        <w:spacing w:before="120" w:after="0"/>
        <w:ind w:firstLine="709"/>
        <w:rPr>
          <w:rFonts w:ascii="Arial" w:hAnsi="Arial" w:cs="Arial"/>
          <w:color w:val="000000"/>
          <w:sz w:val="22"/>
          <w:szCs w:val="22"/>
          <w:lang w:val="es-ES" w:eastAsia="es-ES"/>
        </w:rPr>
      </w:pPr>
      <w:proofErr w:type="spellStart"/>
      <w:r w:rsidRPr="0025010A">
        <w:rPr>
          <w:rFonts w:ascii="Arial" w:hAnsi="Arial" w:cs="Arial"/>
          <w:color w:val="000000"/>
          <w:sz w:val="22"/>
          <w:szCs w:val="22"/>
          <w:lang w:val="es-ES" w:eastAsia="es-ES"/>
        </w:rPr>
        <w:t>iv</w:t>
      </w:r>
      <w:proofErr w:type="spellEnd"/>
      <w:r w:rsidRPr="0025010A">
        <w:rPr>
          <w:rFonts w:ascii="Arial" w:hAnsi="Arial" w:cs="Arial"/>
          <w:color w:val="000000"/>
          <w:sz w:val="22"/>
          <w:szCs w:val="22"/>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08CD6C44" w14:textId="77777777" w:rsidR="00334361" w:rsidRPr="0025010A" w:rsidRDefault="00334361" w:rsidP="00334361">
      <w:pPr>
        <w:spacing w:before="120" w:after="0"/>
        <w:ind w:firstLine="709"/>
        <w:rPr>
          <w:rFonts w:ascii="Arial" w:hAnsi="Arial" w:cs="Arial"/>
          <w:color w:val="000000"/>
          <w:sz w:val="22"/>
          <w:szCs w:val="22"/>
          <w:lang w:val="es-ES" w:eastAsia="es-ES"/>
        </w:rPr>
      </w:pPr>
      <w:r w:rsidRPr="0025010A">
        <w:rPr>
          <w:rFonts w:ascii="Arial" w:hAnsi="Arial" w:cs="Arial"/>
          <w:color w:val="000000"/>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4BBF2619" w14:textId="77777777" w:rsidR="00334361" w:rsidRPr="0025010A" w:rsidRDefault="00334361" w:rsidP="00334361">
      <w:pPr>
        <w:spacing w:before="120" w:after="0"/>
        <w:ind w:firstLine="709"/>
        <w:rPr>
          <w:rFonts w:ascii="Arial" w:hAnsi="Arial" w:cs="Arial"/>
          <w:color w:val="000000"/>
          <w:sz w:val="22"/>
          <w:szCs w:val="22"/>
          <w:lang w:val="es-ES" w:eastAsia="es-ES"/>
        </w:rPr>
      </w:pPr>
      <w:r w:rsidRPr="0025010A">
        <w:rPr>
          <w:rFonts w:ascii="Arial" w:hAnsi="Arial" w:cs="Arial"/>
          <w:color w:val="000000"/>
          <w:sz w:val="22"/>
          <w:szCs w:val="22"/>
          <w:lang w:val="es-ES" w:eastAsia="es-ES"/>
        </w:rPr>
        <w:t>vi) Documentos tipo para procesos de mínima cuantía de infraestructura de transporte, obligatorios para los procesos cuya invitación pública se haya publicado a partir del 10 de junio de 2020.</w:t>
      </w:r>
    </w:p>
    <w:p w14:paraId="7F256C2A" w14:textId="77777777" w:rsidR="00334361" w:rsidRPr="0025010A" w:rsidRDefault="00334361" w:rsidP="00334361">
      <w:pPr>
        <w:spacing w:before="120" w:after="0"/>
        <w:ind w:firstLine="709"/>
        <w:rPr>
          <w:rFonts w:ascii="Arial" w:hAnsi="Arial" w:cs="Arial"/>
          <w:color w:val="000000"/>
          <w:sz w:val="22"/>
          <w:szCs w:val="22"/>
          <w:lang w:val="es-ES" w:eastAsia="es-ES"/>
        </w:rPr>
      </w:pPr>
      <w:proofErr w:type="spellStart"/>
      <w:r w:rsidRPr="0025010A">
        <w:rPr>
          <w:rFonts w:ascii="Arial" w:hAnsi="Arial" w:cs="Arial"/>
          <w:color w:val="000000"/>
          <w:sz w:val="22"/>
          <w:szCs w:val="22"/>
          <w:lang w:val="es-ES" w:eastAsia="es-ES"/>
        </w:rPr>
        <w:t>vii</w:t>
      </w:r>
      <w:proofErr w:type="spellEnd"/>
      <w:r w:rsidRPr="0025010A">
        <w:rPr>
          <w:rFonts w:ascii="Arial" w:hAnsi="Arial" w:cs="Arial"/>
          <w:color w:val="000000"/>
          <w:sz w:val="22"/>
          <w:szCs w:val="22"/>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59B3745A" w14:textId="77777777" w:rsidR="00334361" w:rsidRPr="0025010A" w:rsidRDefault="00334361" w:rsidP="00334361">
      <w:pPr>
        <w:spacing w:before="120" w:after="0"/>
        <w:ind w:firstLine="709"/>
        <w:rPr>
          <w:rFonts w:ascii="Arial" w:hAnsi="Arial" w:cs="Arial"/>
          <w:color w:val="000000"/>
          <w:sz w:val="22"/>
          <w:szCs w:val="22"/>
          <w:lang w:val="es-ES" w:eastAsia="es-ES"/>
        </w:rPr>
      </w:pPr>
      <w:proofErr w:type="spellStart"/>
      <w:r w:rsidRPr="0025010A">
        <w:rPr>
          <w:rFonts w:ascii="Arial" w:hAnsi="Arial" w:cs="Arial"/>
          <w:color w:val="000000"/>
          <w:sz w:val="22"/>
          <w:szCs w:val="22"/>
          <w:lang w:val="es-ES" w:eastAsia="es-ES"/>
        </w:rPr>
        <w:t>viii</w:t>
      </w:r>
      <w:proofErr w:type="spellEnd"/>
      <w:r w:rsidRPr="0025010A">
        <w:rPr>
          <w:rFonts w:ascii="Arial" w:hAnsi="Arial" w:cs="Arial"/>
          <w:color w:val="000000"/>
          <w:sz w:val="22"/>
          <w:szCs w:val="22"/>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54838C84" w14:textId="77777777" w:rsidR="00334361" w:rsidRPr="0025010A" w:rsidRDefault="00334361" w:rsidP="00334361">
      <w:pPr>
        <w:spacing w:before="120" w:after="0"/>
        <w:ind w:firstLine="709"/>
        <w:rPr>
          <w:rFonts w:ascii="Arial" w:hAnsi="Arial" w:cs="Arial"/>
          <w:color w:val="000000"/>
          <w:sz w:val="22"/>
          <w:szCs w:val="22"/>
          <w:lang w:val="es-ES" w:eastAsia="es-ES"/>
        </w:rPr>
      </w:pPr>
      <w:proofErr w:type="spellStart"/>
      <w:r w:rsidRPr="0025010A">
        <w:rPr>
          <w:rFonts w:ascii="Arial" w:hAnsi="Arial" w:cs="Arial"/>
          <w:color w:val="000000"/>
          <w:sz w:val="22"/>
          <w:szCs w:val="22"/>
          <w:lang w:val="es-ES" w:eastAsia="es-ES"/>
        </w:rPr>
        <w:t>ix</w:t>
      </w:r>
      <w:proofErr w:type="spellEnd"/>
      <w:r w:rsidRPr="0025010A">
        <w:rPr>
          <w:rFonts w:ascii="Arial" w:hAnsi="Arial" w:cs="Arial"/>
          <w:color w:val="000000"/>
          <w:sz w:val="22"/>
          <w:szCs w:val="22"/>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5B28C67" w14:textId="77777777" w:rsidR="00334361" w:rsidRPr="0025010A" w:rsidRDefault="00334361" w:rsidP="00334361">
      <w:pPr>
        <w:spacing w:before="120" w:after="0"/>
        <w:ind w:firstLine="709"/>
        <w:rPr>
          <w:rFonts w:ascii="Arial" w:hAnsi="Arial" w:cs="Arial"/>
          <w:color w:val="000000"/>
          <w:sz w:val="22"/>
          <w:szCs w:val="22"/>
          <w:lang w:val="es-ES" w:eastAsia="es-ES"/>
        </w:rPr>
      </w:pPr>
      <w:r w:rsidRPr="0025010A">
        <w:rPr>
          <w:rFonts w:ascii="Arial" w:hAnsi="Arial" w:cs="Arial"/>
          <w:color w:val="000000"/>
          <w:sz w:val="22"/>
          <w:szCs w:val="22"/>
          <w:lang w:val="es-ES" w:eastAsia="es-ES"/>
        </w:rPr>
        <w:t>x) Documentos tipo para procesos de gestión catastral con enfoque multipropósito que se celebren a través de contratos interadministrativos, a partir del 1 de febrero de 2021.</w:t>
      </w:r>
    </w:p>
    <w:p w14:paraId="3DC12D33" w14:textId="77777777" w:rsidR="00334361" w:rsidRPr="0025010A" w:rsidRDefault="00334361" w:rsidP="00334361">
      <w:pPr>
        <w:spacing w:before="120" w:after="120"/>
        <w:ind w:firstLine="709"/>
        <w:rPr>
          <w:rFonts w:ascii="Arial" w:hAnsi="Arial" w:cs="Arial"/>
          <w:color w:val="000000"/>
          <w:sz w:val="22"/>
          <w:szCs w:val="22"/>
          <w:lang w:val="es-ES" w:eastAsia="es-ES"/>
        </w:rPr>
      </w:pPr>
      <w:r w:rsidRPr="0025010A">
        <w:rPr>
          <w:rFonts w:ascii="Arial" w:hAnsi="Arial" w:cs="Arial"/>
          <w:color w:val="000000"/>
          <w:sz w:val="22"/>
          <w:szCs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36EFD8F1" w14:textId="77777777" w:rsidR="00334361" w:rsidRPr="0025010A" w:rsidRDefault="00334361" w:rsidP="00334361">
      <w:pPr>
        <w:spacing w:after="120"/>
        <w:ind w:firstLine="708"/>
        <w:rPr>
          <w:rFonts w:ascii="Arial" w:hAnsi="Arial" w:cs="Arial"/>
          <w:sz w:val="22"/>
          <w:szCs w:val="22"/>
          <w:lang w:val="es-ES_tradnl"/>
        </w:rPr>
      </w:pPr>
      <w:proofErr w:type="spellStart"/>
      <w:r w:rsidRPr="0025010A">
        <w:rPr>
          <w:rFonts w:ascii="Arial" w:hAnsi="Arial" w:cs="Arial"/>
          <w:color w:val="000000"/>
          <w:sz w:val="22"/>
          <w:szCs w:val="22"/>
          <w:lang w:val="es-ES" w:eastAsia="es-ES"/>
        </w:rPr>
        <w:t>xii</w:t>
      </w:r>
      <w:proofErr w:type="spellEnd"/>
      <w:r w:rsidRPr="0025010A">
        <w:rPr>
          <w:rFonts w:ascii="Arial" w:hAnsi="Arial" w:cs="Arial"/>
          <w:color w:val="000000"/>
          <w:sz w:val="22"/>
          <w:szCs w:val="22"/>
          <w:lang w:val="es-ES" w:eastAsia="es-ES"/>
        </w:rPr>
        <w:t xml:space="preserve">) Documentos tipo para procesos de licitación de obra pública de infraestructura social, que </w:t>
      </w:r>
      <w:r w:rsidRPr="0025010A">
        <w:rPr>
          <w:rFonts w:ascii="Arial" w:eastAsia="Times New Roman" w:hAnsi="Arial" w:cs="Arial"/>
          <w:sz w:val="22"/>
          <w:szCs w:val="22"/>
          <w:lang w:val="es-ES_tradnl"/>
        </w:rPr>
        <w:t xml:space="preserve">entrarán a regir de acuerdo con los términos establecidos en el artículo 6 de la </w:t>
      </w:r>
      <w:r w:rsidRPr="0025010A">
        <w:rPr>
          <w:rFonts w:ascii="Arial" w:eastAsia="Times New Roman" w:hAnsi="Arial" w:cs="Arial"/>
          <w:sz w:val="22"/>
          <w:szCs w:val="22"/>
          <w:lang w:val="es-ES_tradnl"/>
        </w:rPr>
        <w:lastRenderedPageBreak/>
        <w:t>Resolución 219 de 2021 −modificado por el artículo 1 de la Resolución 336 del 2 de noviembre de 2021−</w:t>
      </w:r>
      <w:r w:rsidRPr="0025010A">
        <w:rPr>
          <w:rFonts w:ascii="Arial" w:hAnsi="Arial" w:cs="Arial"/>
          <w:sz w:val="22"/>
          <w:szCs w:val="22"/>
          <w:lang w:val="es-ES_tradnl"/>
        </w:rPr>
        <w:t>.</w:t>
      </w:r>
    </w:p>
    <w:p w14:paraId="2A62601B" w14:textId="77777777" w:rsidR="00334361" w:rsidRPr="0025010A" w:rsidRDefault="00334361" w:rsidP="00334361">
      <w:pPr>
        <w:spacing w:after="120"/>
        <w:ind w:firstLine="708"/>
        <w:rPr>
          <w:rFonts w:ascii="Arial" w:hAnsi="Arial" w:cs="Arial"/>
          <w:sz w:val="22"/>
          <w:szCs w:val="22"/>
          <w:lang w:val="es-ES_tradnl"/>
        </w:rPr>
      </w:pPr>
      <w:proofErr w:type="spellStart"/>
      <w:r w:rsidRPr="0025010A">
        <w:rPr>
          <w:rFonts w:ascii="Arial" w:hAnsi="Arial" w:cs="Arial"/>
          <w:color w:val="000000"/>
          <w:sz w:val="22"/>
          <w:szCs w:val="22"/>
          <w:lang w:val="es-ES" w:eastAsia="es-ES"/>
        </w:rPr>
        <w:t>xiii</w:t>
      </w:r>
      <w:proofErr w:type="spellEnd"/>
      <w:r w:rsidRPr="0025010A">
        <w:rPr>
          <w:rFonts w:ascii="Arial" w:hAnsi="Arial" w:cs="Arial"/>
          <w:color w:val="000000"/>
          <w:sz w:val="22"/>
          <w:szCs w:val="22"/>
          <w:lang w:val="es-ES" w:eastAsia="es-ES"/>
        </w:rPr>
        <w:t xml:space="preserve">) Documentos tipo complementarios para los procesos de licitación de obra pública de infraestructura social relacionados con el sector educativo, que </w:t>
      </w:r>
      <w:r w:rsidRPr="0025010A">
        <w:rPr>
          <w:rFonts w:ascii="Arial" w:eastAsia="Times New Roman" w:hAnsi="Arial" w:cs="Arial"/>
          <w:sz w:val="22"/>
          <w:szCs w:val="22"/>
          <w:lang w:val="es-ES_tradnl"/>
        </w:rPr>
        <w:t>entrarán a regir de acuerdo con los términos establecidos en el artículo 6 de la Resolución 219 de 2021 −modificado por el artículo 1 de la Resolución 336 del 2 de noviembre de 2021−.</w:t>
      </w:r>
    </w:p>
    <w:p w14:paraId="1B0DBB63" w14:textId="77777777" w:rsidR="00334361" w:rsidRPr="0025010A" w:rsidRDefault="00334361" w:rsidP="00334361">
      <w:pPr>
        <w:spacing w:after="120"/>
        <w:ind w:firstLine="708"/>
        <w:rPr>
          <w:rFonts w:ascii="Arial" w:hAnsi="Arial" w:cs="Arial"/>
          <w:sz w:val="22"/>
          <w:szCs w:val="22"/>
          <w:lang w:val="es-ES_tradnl"/>
        </w:rPr>
      </w:pPr>
      <w:proofErr w:type="spellStart"/>
      <w:r w:rsidRPr="0025010A">
        <w:rPr>
          <w:rFonts w:ascii="Arial" w:hAnsi="Arial" w:cs="Arial"/>
          <w:color w:val="000000"/>
          <w:sz w:val="22"/>
          <w:szCs w:val="22"/>
          <w:lang w:val="es-ES" w:eastAsia="es-ES"/>
        </w:rPr>
        <w:t>xiv</w:t>
      </w:r>
      <w:proofErr w:type="spellEnd"/>
      <w:r w:rsidRPr="0025010A">
        <w:rPr>
          <w:rFonts w:ascii="Arial" w:hAnsi="Arial" w:cs="Arial"/>
          <w:color w:val="000000"/>
          <w:sz w:val="22"/>
          <w:szCs w:val="22"/>
          <w:lang w:val="es-ES" w:eastAsia="es-ES"/>
        </w:rPr>
        <w:t xml:space="preserve">) Documentos tipo complementarios para los procesos de licitación de obra pública de infraestructura social relacionados con el sector salud, que entrarán a regir </w:t>
      </w:r>
      <w:r w:rsidRPr="0025010A">
        <w:rPr>
          <w:rFonts w:ascii="Arial" w:eastAsia="Times New Roman" w:hAnsi="Arial" w:cs="Arial"/>
          <w:sz w:val="22"/>
          <w:szCs w:val="22"/>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25010A">
        <w:rPr>
          <w:rFonts w:ascii="Arial" w:hAnsi="Arial" w:cs="Arial"/>
          <w:sz w:val="22"/>
          <w:szCs w:val="22"/>
          <w:lang w:val="es-ES_tradnl"/>
        </w:rPr>
        <w:t>.</w:t>
      </w:r>
    </w:p>
    <w:p w14:paraId="78DA74B1" w14:textId="0EAE2B7C" w:rsidR="00334361" w:rsidRPr="0025010A" w:rsidRDefault="00334361" w:rsidP="00334361">
      <w:pPr>
        <w:spacing w:after="120"/>
        <w:ind w:firstLine="708"/>
        <w:rPr>
          <w:rFonts w:ascii="Arial" w:hAnsi="Arial" w:cs="Arial"/>
          <w:sz w:val="22"/>
          <w:szCs w:val="22"/>
          <w:lang w:val="es-ES_tradnl"/>
        </w:rPr>
      </w:pPr>
      <w:proofErr w:type="spellStart"/>
      <w:r w:rsidRPr="0025010A">
        <w:rPr>
          <w:rFonts w:ascii="Arial" w:hAnsi="Arial" w:cs="Arial"/>
          <w:sz w:val="22"/>
          <w:szCs w:val="22"/>
          <w:lang w:val="es-ES_tradnl"/>
        </w:rPr>
        <w:t>xv</w:t>
      </w:r>
      <w:proofErr w:type="spellEnd"/>
      <w:r w:rsidRPr="0025010A">
        <w:rPr>
          <w:rFonts w:ascii="Arial" w:hAnsi="Arial" w:cs="Arial"/>
          <w:sz w:val="22"/>
          <w:szCs w:val="22"/>
          <w:lang w:val="es-ES_tradnl"/>
        </w:rPr>
        <w:t xml:space="preserve">) </w:t>
      </w:r>
      <w:r w:rsidRPr="0025010A">
        <w:rPr>
          <w:rFonts w:ascii="Arial" w:hAnsi="Arial" w:cs="Arial"/>
          <w:color w:val="000000"/>
          <w:sz w:val="22"/>
          <w:szCs w:val="22"/>
          <w:lang w:val="es-ES" w:eastAsia="es-ES"/>
        </w:rPr>
        <w:t>Documentos tipo complementarios para los procesos de licitación de obra pública de infraestructura social relacionados con el sector cultura, recreación y deporte</w:t>
      </w:r>
      <w:r w:rsidRPr="0025010A">
        <w:rPr>
          <w:rFonts w:ascii="Arial" w:hAnsi="Arial" w:cs="Arial"/>
          <w:sz w:val="22"/>
          <w:szCs w:val="22"/>
          <w:lang w:val="es-ES_tradnl"/>
        </w:rPr>
        <w:t xml:space="preserve">, </w:t>
      </w:r>
      <w:r w:rsidRPr="0025010A">
        <w:rPr>
          <w:rFonts w:ascii="Arial" w:hAnsi="Arial" w:cs="Arial"/>
          <w:color w:val="000000"/>
          <w:sz w:val="22"/>
          <w:szCs w:val="22"/>
          <w:lang w:val="es-ES" w:eastAsia="es-ES"/>
        </w:rPr>
        <w:t xml:space="preserve">que entrarán a regir </w:t>
      </w:r>
      <w:r w:rsidRPr="0025010A">
        <w:rPr>
          <w:rFonts w:ascii="Arial" w:eastAsia="Times New Roman" w:hAnsi="Arial" w:cs="Arial"/>
          <w:sz w:val="22"/>
          <w:szCs w:val="22"/>
          <w:lang w:val="es-ES_tradnl"/>
        </w:rPr>
        <w:t>de acuerdo con los términos establecidos en el artículo 4 de la Resolución 454 de 2021</w:t>
      </w:r>
      <w:r w:rsidR="00445D46" w:rsidRPr="0025010A">
        <w:rPr>
          <w:rFonts w:ascii="Arial" w:eastAsia="Times New Roman" w:hAnsi="Arial" w:cs="Arial"/>
          <w:sz w:val="22"/>
          <w:szCs w:val="22"/>
          <w:lang w:val="es-ES_tradnl"/>
        </w:rPr>
        <w:t>.</w:t>
      </w:r>
    </w:p>
    <w:p w14:paraId="5B4887EF" w14:textId="5AE425DE" w:rsidR="00D45C8A" w:rsidRPr="0025010A" w:rsidRDefault="00445D46" w:rsidP="0025010A">
      <w:pPr>
        <w:tabs>
          <w:tab w:val="left" w:pos="426"/>
        </w:tabs>
        <w:spacing w:after="0"/>
        <w:rPr>
          <w:rFonts w:ascii="Arial" w:hAnsi="Arial" w:cs="Arial"/>
          <w:color w:val="000000"/>
          <w:sz w:val="22"/>
          <w:szCs w:val="22"/>
          <w:bdr w:val="none" w:sz="0" w:space="0" w:color="auto" w:frame="1"/>
          <w:lang w:val="es-ES_tradnl"/>
        </w:rPr>
      </w:pPr>
      <w:r w:rsidRPr="0025010A">
        <w:rPr>
          <w:rFonts w:ascii="Arial" w:hAnsi="Arial" w:cs="Arial"/>
          <w:sz w:val="22"/>
          <w:szCs w:val="22"/>
          <w:lang w:val="es-CO"/>
        </w:rPr>
        <w:tab/>
      </w:r>
      <w:r w:rsidRPr="0025010A">
        <w:rPr>
          <w:rFonts w:ascii="Arial" w:hAnsi="Arial" w:cs="Arial"/>
          <w:sz w:val="22"/>
          <w:szCs w:val="22"/>
          <w:lang w:val="es-CO"/>
        </w:rPr>
        <w:tab/>
      </w:r>
      <w:r w:rsidR="00334361" w:rsidRPr="0025010A">
        <w:rPr>
          <w:rFonts w:ascii="Arial" w:hAnsi="Arial" w:cs="Arial"/>
          <w:sz w:val="22"/>
          <w:szCs w:val="22"/>
          <w:lang w:val="es-CO"/>
        </w:rPr>
        <w:t xml:space="preserve">De acuerdo con lo expuesto, </w:t>
      </w:r>
      <w:r w:rsidR="00334361" w:rsidRPr="0025010A">
        <w:rPr>
          <w:rFonts w:ascii="Arial" w:hAnsi="Arial" w:cs="Arial"/>
          <w:color w:val="000000"/>
          <w:sz w:val="22"/>
          <w:szCs w:val="22"/>
          <w:bdr w:val="none" w:sz="0" w:space="0" w:color="auto" w:frame="1"/>
          <w:lang w:val="es-CO"/>
        </w:rPr>
        <w:t>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w:t>
      </w:r>
      <w:r w:rsidRPr="0025010A">
        <w:rPr>
          <w:rFonts w:ascii="Arial" w:hAnsi="Arial" w:cs="Arial"/>
          <w:color w:val="000000"/>
          <w:sz w:val="22"/>
          <w:szCs w:val="22"/>
          <w:bdr w:val="none" w:sz="0" w:space="0" w:color="auto" w:frame="1"/>
          <w:lang w:val="es-CO"/>
        </w:rPr>
        <w:t>, en el entendido de que aplicarán para las actividades señaladas en dicha matriz</w:t>
      </w:r>
      <w:r w:rsidR="00334361" w:rsidRPr="0025010A">
        <w:rPr>
          <w:rFonts w:ascii="Arial" w:hAnsi="Arial" w:cs="Arial"/>
          <w:color w:val="000000"/>
          <w:sz w:val="22"/>
          <w:szCs w:val="22"/>
          <w:bdr w:val="none" w:sz="0" w:space="0" w:color="auto" w:frame="1"/>
          <w:lang w:val="es-CO"/>
        </w:rPr>
        <w:t xml:space="preserve">. </w:t>
      </w:r>
      <w:r w:rsidR="00334361" w:rsidRPr="0025010A">
        <w:rPr>
          <w:rFonts w:ascii="Arial" w:hAnsi="Arial" w:cs="Arial"/>
          <w:color w:val="000000"/>
          <w:sz w:val="22"/>
          <w:szCs w:val="22"/>
          <w:bdr w:val="none" w:sz="0" w:space="0" w:color="auto" w:frame="1"/>
          <w:lang w:val="es-ES_tradnl"/>
        </w:rPr>
        <w:t>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3E09E7AB" w14:textId="77777777" w:rsidR="00D45C8A" w:rsidRPr="0025010A" w:rsidRDefault="00D45C8A" w:rsidP="0025010A">
      <w:pPr>
        <w:tabs>
          <w:tab w:val="left" w:pos="426"/>
        </w:tabs>
        <w:spacing w:after="0"/>
        <w:rPr>
          <w:rFonts w:ascii="Arial" w:hAnsi="Arial" w:cs="Arial"/>
          <w:color w:val="000000"/>
          <w:sz w:val="22"/>
          <w:szCs w:val="22"/>
          <w:bdr w:val="none" w:sz="0" w:space="0" w:color="auto" w:frame="1"/>
          <w:lang w:val="es-ES_tradnl"/>
        </w:rPr>
      </w:pPr>
    </w:p>
    <w:p w14:paraId="148161BE" w14:textId="4E90282F" w:rsidR="002B5742" w:rsidRPr="0025010A" w:rsidRDefault="002B5742" w:rsidP="006B1D7C">
      <w:pPr>
        <w:tabs>
          <w:tab w:val="left" w:pos="426"/>
        </w:tabs>
        <w:spacing w:afterLines="120" w:after="288"/>
        <w:rPr>
          <w:rFonts w:ascii="Arial" w:eastAsia="Arial" w:hAnsi="Arial" w:cs="Arial"/>
          <w:b/>
          <w:color w:val="000000" w:themeColor="text1"/>
          <w:sz w:val="22"/>
          <w:szCs w:val="22"/>
        </w:rPr>
      </w:pPr>
      <w:r w:rsidRPr="0025010A">
        <w:rPr>
          <w:rFonts w:ascii="Arial" w:eastAsia="Arial" w:hAnsi="Arial" w:cs="Arial"/>
          <w:b/>
          <w:color w:val="000000" w:themeColor="text1"/>
          <w:sz w:val="22"/>
          <w:szCs w:val="22"/>
        </w:rPr>
        <w:t>2.2. Inalterabilidad de los documentos tipo</w:t>
      </w:r>
    </w:p>
    <w:p w14:paraId="70F16CF5" w14:textId="2D899535" w:rsidR="002B5742" w:rsidRPr="0025010A" w:rsidRDefault="002B5742" w:rsidP="002B5742">
      <w:pPr>
        <w:spacing w:after="0"/>
        <w:rPr>
          <w:rFonts w:ascii="Arial" w:hAnsi="Arial" w:cs="Arial"/>
          <w:color w:val="000000"/>
          <w:sz w:val="22"/>
          <w:szCs w:val="22"/>
          <w:lang w:val="es-ES_tradnl" w:eastAsia="en-US"/>
        </w:rPr>
      </w:pPr>
      <w:r w:rsidRPr="0025010A">
        <w:rPr>
          <w:rFonts w:ascii="Arial" w:hAnsi="Arial" w:cs="Arial"/>
          <w:color w:val="000000"/>
          <w:sz w:val="22"/>
          <w:szCs w:val="22"/>
          <w:lang w:val="es-ES_tradnl" w:eastAsia="en-US"/>
        </w:rPr>
        <w:t>Todas las resoluciones expedidas por la Agencia Nacional de Contratación Pública – Colombia Compra Eficiente, mediante las cuales se han adoptado los documentos tipo, consagran la regla de la inalterabilidad</w:t>
      </w:r>
      <w:r w:rsidRPr="0025010A">
        <w:rPr>
          <w:rFonts w:ascii="Arial" w:hAnsi="Arial" w:cs="Arial"/>
          <w:color w:val="000000"/>
          <w:sz w:val="22"/>
          <w:szCs w:val="22"/>
          <w:vertAlign w:val="superscript"/>
          <w:lang w:val="es-ES_tradnl" w:eastAsia="en-US"/>
        </w:rPr>
        <w:footnoteReference w:id="6"/>
      </w:r>
      <w:r w:rsidRPr="0025010A">
        <w:rPr>
          <w:rFonts w:ascii="Arial" w:hAnsi="Arial" w:cs="Arial"/>
          <w:color w:val="000000"/>
          <w:sz w:val="22"/>
          <w:szCs w:val="22"/>
          <w:lang w:val="es-ES_tradnl" w:eastAsia="en-US"/>
        </w:rPr>
        <w:t xml:space="preserve">. Esta prohibición consiste en que las entidades estatales no pueden incluir o modificar en los </w:t>
      </w:r>
      <w:r w:rsidRPr="0025010A">
        <w:rPr>
          <w:rFonts w:ascii="Arial" w:hAnsi="Arial" w:cs="Arial"/>
          <w:i/>
          <w:iCs/>
          <w:color w:val="000000"/>
          <w:sz w:val="22"/>
          <w:szCs w:val="22"/>
          <w:lang w:val="es-ES_tradnl" w:eastAsia="en-US"/>
        </w:rPr>
        <w:t>Documentos del Proceso</w:t>
      </w:r>
      <w:r w:rsidRPr="0025010A">
        <w:rPr>
          <w:rFonts w:ascii="Arial" w:hAnsi="Arial" w:cs="Arial"/>
          <w:color w:val="000000"/>
          <w:sz w:val="22"/>
          <w:szCs w:val="22"/>
          <w:lang w:val="es-ES_tradnl" w:eastAsia="en-US"/>
        </w:rPr>
        <w:t xml:space="preserve"> las condiciones </w:t>
      </w:r>
      <w:r w:rsidRPr="0025010A">
        <w:rPr>
          <w:rFonts w:ascii="Arial" w:hAnsi="Arial" w:cs="Arial"/>
          <w:color w:val="000000"/>
          <w:sz w:val="22"/>
          <w:szCs w:val="22"/>
          <w:lang w:val="es-ES_tradnl" w:eastAsia="en-US"/>
        </w:rPr>
        <w:lastRenderedPageBreak/>
        <w:t>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8EDF97F" w14:textId="77777777" w:rsidR="002B5742" w:rsidRPr="0025010A" w:rsidRDefault="002B5742" w:rsidP="002B5742">
      <w:pPr>
        <w:spacing w:before="120" w:after="0"/>
        <w:ind w:firstLine="709"/>
        <w:rPr>
          <w:rFonts w:ascii="Arial" w:hAnsi="Arial" w:cs="Arial"/>
          <w:color w:val="000000"/>
          <w:sz w:val="22"/>
          <w:szCs w:val="22"/>
          <w:lang w:val="es-ES_tradnl" w:eastAsia="en-US"/>
        </w:rPr>
      </w:pPr>
      <w:r w:rsidRPr="0025010A">
        <w:rPr>
          <w:rFonts w:ascii="Arial" w:hAnsi="Arial" w:cs="Arial"/>
          <w:color w:val="000000"/>
          <w:sz w:val="22"/>
          <w:szCs w:val="22"/>
          <w:lang w:val="es-ES_tradnl" w:eastAsia="en-US"/>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p>
    <w:p w14:paraId="5C897F23" w14:textId="77777777" w:rsidR="002B5742" w:rsidRPr="0025010A" w:rsidRDefault="002B5742" w:rsidP="002B5742">
      <w:pPr>
        <w:spacing w:before="120" w:after="0"/>
        <w:ind w:firstLine="709"/>
        <w:rPr>
          <w:rFonts w:ascii="Arial" w:hAnsi="Arial" w:cs="Arial"/>
          <w:bCs/>
          <w:color w:val="000000"/>
          <w:sz w:val="22"/>
          <w:szCs w:val="22"/>
          <w:lang w:val="es-ES_tradnl" w:eastAsia="en-US"/>
        </w:rPr>
      </w:pPr>
      <w:r w:rsidRPr="0025010A">
        <w:rPr>
          <w:rFonts w:ascii="Arial" w:hAnsi="Arial" w:cs="Arial"/>
          <w:bCs/>
          <w:color w:val="000000"/>
          <w:sz w:val="22"/>
          <w:szCs w:val="22"/>
          <w:lang w:val="es-ES_tradnl" w:eastAsia="en-US"/>
        </w:rPr>
        <w:t xml:space="preserve">Además, las entidades estatales deben garantizar el </w:t>
      </w:r>
      <w:r w:rsidRPr="0025010A">
        <w:rPr>
          <w:rFonts w:ascii="Arial" w:hAnsi="Arial" w:cs="Arial"/>
          <w:bCs/>
          <w:i/>
          <w:iCs/>
          <w:color w:val="000000"/>
          <w:sz w:val="22"/>
          <w:szCs w:val="22"/>
          <w:lang w:val="es-ES_tradnl" w:eastAsia="en-US"/>
        </w:rPr>
        <w:t>principio de economía</w:t>
      </w:r>
      <w:r w:rsidRPr="0025010A">
        <w:rPr>
          <w:rFonts w:ascii="Arial" w:hAnsi="Arial" w:cs="Arial"/>
          <w:bCs/>
          <w:color w:val="000000"/>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25010A">
        <w:rPr>
          <w:rFonts w:ascii="Arial" w:hAnsi="Arial" w:cs="Arial"/>
          <w:bCs/>
          <w:color w:val="000000"/>
          <w:sz w:val="22"/>
          <w:szCs w:val="22"/>
          <w:vertAlign w:val="superscript"/>
          <w:lang w:val="es-ES_tradnl" w:eastAsia="en-US"/>
        </w:rPr>
        <w:footnoteReference w:id="7"/>
      </w:r>
      <w:r w:rsidRPr="0025010A">
        <w:rPr>
          <w:rFonts w:ascii="Arial" w:hAnsi="Arial" w:cs="Arial"/>
          <w:bCs/>
          <w:color w:val="000000"/>
          <w:sz w:val="22"/>
          <w:szCs w:val="22"/>
          <w:lang w:val="es-ES_tradnl" w:eastAsia="en-US"/>
        </w:rPr>
        <w:t xml:space="preserve"> sino además en la normativa </w:t>
      </w:r>
      <w:proofErr w:type="spellStart"/>
      <w:r w:rsidRPr="0025010A">
        <w:rPr>
          <w:rFonts w:ascii="Arial" w:hAnsi="Arial" w:cs="Arial"/>
          <w:bCs/>
          <w:color w:val="000000"/>
          <w:sz w:val="22"/>
          <w:szCs w:val="22"/>
          <w:lang w:val="es-ES_tradnl" w:eastAsia="en-US"/>
        </w:rPr>
        <w:t>antitrámites</w:t>
      </w:r>
      <w:proofErr w:type="spellEnd"/>
      <w:r w:rsidRPr="0025010A">
        <w:rPr>
          <w:rFonts w:ascii="Arial" w:hAnsi="Arial" w:cs="Arial"/>
          <w:bCs/>
          <w:color w:val="000000"/>
          <w:sz w:val="22"/>
          <w:szCs w:val="22"/>
          <w:vertAlign w:val="superscript"/>
          <w:lang w:val="es-ES_tradnl" w:eastAsia="en-US"/>
        </w:rPr>
        <w:footnoteReference w:id="8"/>
      </w:r>
      <w:r w:rsidRPr="0025010A">
        <w:rPr>
          <w:rFonts w:ascii="Arial" w:hAnsi="Arial" w:cs="Arial"/>
          <w:bCs/>
          <w:color w:val="000000"/>
          <w:sz w:val="22"/>
          <w:szCs w:val="22"/>
          <w:lang w:val="es-ES_tradnl" w:eastAsia="en-US"/>
        </w:rPr>
        <w:t>; pues se inscribe dentro de la tendencia de simplificación y racionalización de los procedimientos administrativos. De ahí que cuando las autoridades solicitan la entrega de documentación innecesaria, desconocen el principio de economía.</w:t>
      </w:r>
    </w:p>
    <w:p w14:paraId="21DF4140" w14:textId="77777777" w:rsidR="002B5742" w:rsidRPr="0025010A" w:rsidRDefault="002B5742" w:rsidP="002B5742">
      <w:pPr>
        <w:spacing w:before="120" w:after="0"/>
        <w:ind w:firstLine="709"/>
        <w:rPr>
          <w:rFonts w:ascii="Arial" w:hAnsi="Arial" w:cs="Arial"/>
          <w:color w:val="000000"/>
          <w:sz w:val="22"/>
          <w:szCs w:val="22"/>
          <w:lang w:eastAsia="en-US"/>
        </w:rPr>
      </w:pPr>
      <w:r w:rsidRPr="0025010A">
        <w:rPr>
          <w:rFonts w:ascii="Arial" w:hAnsi="Arial" w:cs="Arial"/>
          <w:color w:val="000000"/>
          <w:sz w:val="22"/>
          <w:szCs w:val="22"/>
          <w:lang w:eastAsia="en-US"/>
        </w:rPr>
        <w:lastRenderedPageBreak/>
        <w:t xml:space="preserve">Adicionalmente, la parte introductoria de los documentos tipo dispone que los aspectos incluidos en corchetes y resaltado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de condiciones. </w:t>
      </w:r>
    </w:p>
    <w:p w14:paraId="0CD6FE6F" w14:textId="77777777" w:rsidR="002B5742" w:rsidRPr="0025010A" w:rsidRDefault="002B5742" w:rsidP="002B5742">
      <w:pPr>
        <w:spacing w:before="120" w:after="0"/>
        <w:ind w:firstLine="709"/>
        <w:rPr>
          <w:rFonts w:ascii="Arial" w:hAnsi="Arial" w:cs="Arial"/>
          <w:sz w:val="22"/>
          <w:szCs w:val="22"/>
          <w:lang w:eastAsia="en-US"/>
        </w:rPr>
      </w:pPr>
      <w:r w:rsidRPr="0025010A">
        <w:rPr>
          <w:rFonts w:ascii="Arial" w:hAnsi="Arial" w:cs="Arial"/>
          <w:sz w:val="22"/>
          <w:szCs w:val="22"/>
          <w:lang w:eastAsia="en-US"/>
        </w:rPr>
        <w:t xml:space="preserve">Asimismo, en los documentos tipo se prevé los eventos en los que el objeto contractual incluye bienes o servicios adicionales a la obra pública. En este caso, la entidad estatal puede complementar experiencia adicional para evaluar la idoneidad respecto de los bienes o servicios ajenos a la obra pública. No obstante,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2EEB950F" w14:textId="77777777" w:rsidR="002B5742" w:rsidRPr="0025010A" w:rsidRDefault="002B5742" w:rsidP="002B5742">
      <w:pPr>
        <w:spacing w:before="120" w:after="0"/>
        <w:ind w:firstLine="709"/>
        <w:rPr>
          <w:rFonts w:ascii="Arial" w:hAnsi="Arial" w:cs="Arial"/>
          <w:bCs/>
          <w:sz w:val="22"/>
          <w:szCs w:val="22"/>
          <w:lang w:eastAsia="en-US"/>
        </w:rPr>
      </w:pPr>
      <w:r w:rsidRPr="0025010A">
        <w:rPr>
          <w:rFonts w:ascii="Arial" w:hAnsi="Arial" w:cs="Arial"/>
          <w:bCs/>
          <w:sz w:val="22"/>
          <w:szCs w:val="22"/>
          <w:lang w:eastAsia="en-US"/>
        </w:rPr>
        <w:t>En suma, la regla general frente la aplicación del «Documento Base» y en general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1EC224C9" w14:textId="77777777" w:rsidR="002B5742" w:rsidRPr="0025010A" w:rsidRDefault="002B5742" w:rsidP="002B5742">
      <w:pPr>
        <w:spacing w:before="120" w:after="0"/>
        <w:ind w:firstLine="709"/>
        <w:rPr>
          <w:rFonts w:ascii="Arial" w:hAnsi="Arial" w:cs="Arial"/>
          <w:bCs/>
          <w:sz w:val="22"/>
          <w:szCs w:val="22"/>
          <w:lang w:eastAsia="en-US"/>
        </w:rPr>
      </w:pPr>
      <w:r w:rsidRPr="0025010A">
        <w:rPr>
          <w:rFonts w:ascii="Arial" w:hAnsi="Arial" w:cs="Arial"/>
          <w:bCs/>
          <w:sz w:val="22"/>
          <w:szCs w:val="22"/>
          <w:lang w:eastAsia="en-US"/>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1909FFAD" w14:textId="77777777" w:rsidR="002B5742" w:rsidRPr="0025010A" w:rsidRDefault="002B5742" w:rsidP="002B5742">
      <w:pPr>
        <w:spacing w:before="120" w:after="0"/>
        <w:ind w:firstLine="709"/>
        <w:rPr>
          <w:rFonts w:ascii="Arial" w:hAnsi="Arial" w:cs="Arial"/>
          <w:sz w:val="22"/>
          <w:szCs w:val="22"/>
          <w:lang w:eastAsia="en-US"/>
        </w:rPr>
      </w:pPr>
      <w:r w:rsidRPr="0025010A">
        <w:rPr>
          <w:rFonts w:ascii="Arial" w:hAnsi="Arial" w:cs="Arial"/>
          <w:sz w:val="22"/>
          <w:szCs w:val="22"/>
          <w:lang w:eastAsia="en-US"/>
        </w:rPr>
        <w:t xml:space="preserve">Con todo, la regla de inalterabilidad de los documentos tipo debe armonizase con principios de orden constitucional, especialmente con el de prevalencia del derecho sustancial, consagrado en el artículo 228 de la Constitución Política. La interpretación </w:t>
      </w:r>
      <w:r w:rsidRPr="0025010A">
        <w:rPr>
          <w:rFonts w:ascii="Arial" w:hAnsi="Arial" w:cs="Arial"/>
          <w:sz w:val="22"/>
          <w:szCs w:val="22"/>
          <w:lang w:eastAsia="en-US"/>
        </w:rPr>
        <w:lastRenderedPageBreak/>
        <w:t xml:space="preserve">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2FA23C5B" w14:textId="77777777" w:rsidR="002B5742" w:rsidRPr="0025010A" w:rsidRDefault="002B5742" w:rsidP="002B5742">
      <w:pPr>
        <w:spacing w:before="120" w:after="0"/>
        <w:ind w:firstLine="709"/>
        <w:rPr>
          <w:rFonts w:ascii="Arial" w:hAnsi="Arial" w:cs="Arial"/>
          <w:sz w:val="22"/>
          <w:szCs w:val="22"/>
          <w:lang w:val="es-CO" w:eastAsia="en-US"/>
        </w:rPr>
      </w:pPr>
      <w:r w:rsidRPr="0025010A">
        <w:rPr>
          <w:rFonts w:ascii="Arial" w:hAnsi="Arial" w:cs="Arial"/>
          <w:sz w:val="22"/>
          <w:szCs w:val="22"/>
          <w:lang w:eastAsia="en-US"/>
        </w:rPr>
        <w:t xml:space="preserve">En relación con el principio constitucional </w:t>
      </w:r>
      <w:r w:rsidRPr="0025010A">
        <w:rPr>
          <w:rFonts w:ascii="Arial" w:hAnsi="Arial" w:cs="Arial"/>
          <w:i/>
          <w:iCs/>
          <w:sz w:val="22"/>
          <w:szCs w:val="22"/>
          <w:lang w:eastAsia="en-US"/>
        </w:rPr>
        <w:t>sub examine</w:t>
      </w:r>
      <w:r w:rsidRPr="0025010A">
        <w:rPr>
          <w:rFonts w:ascii="Arial" w:hAnsi="Arial" w:cs="Arial"/>
          <w:sz w:val="22"/>
          <w:szCs w:val="22"/>
          <w:lang w:val="es-CO" w:eastAsia="en-US"/>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25010A">
        <w:rPr>
          <w:rFonts w:ascii="Arial" w:hAnsi="Arial" w:cs="Arial"/>
          <w:sz w:val="22"/>
          <w:szCs w:val="22"/>
          <w:vertAlign w:val="superscript"/>
          <w:lang w:val="es-CO" w:eastAsia="en-US"/>
        </w:rPr>
        <w:footnoteReference w:id="9"/>
      </w:r>
      <w:r w:rsidRPr="0025010A">
        <w:rPr>
          <w:rFonts w:ascii="Arial" w:hAnsi="Arial" w:cs="Arial"/>
          <w:sz w:val="22"/>
          <w:szCs w:val="22"/>
          <w:lang w:val="es-CO" w:eastAsia="en-US"/>
        </w:rPr>
        <w:t xml:space="preserve">. </w:t>
      </w:r>
    </w:p>
    <w:p w14:paraId="7DF244D9" w14:textId="20094B5B" w:rsidR="002B5742" w:rsidRPr="0025010A" w:rsidRDefault="002B5742" w:rsidP="002B5742">
      <w:pPr>
        <w:spacing w:before="120" w:after="0"/>
        <w:ind w:firstLine="709"/>
        <w:rPr>
          <w:rFonts w:ascii="Arial" w:hAnsi="Arial" w:cs="Arial"/>
          <w:sz w:val="22"/>
          <w:szCs w:val="22"/>
          <w:lang w:eastAsia="en-US"/>
        </w:rPr>
      </w:pPr>
      <w:r w:rsidRPr="0025010A">
        <w:rPr>
          <w:rFonts w:ascii="Arial" w:hAnsi="Arial" w:cs="Arial"/>
          <w:sz w:val="22"/>
          <w:szCs w:val="22"/>
          <w:lang w:eastAsia="en-US"/>
        </w:rPr>
        <w:t>El carácter inalterable de los documentos tipo no puede, entonces, hacerse extensivo a los aspectos eminentemente formales de tales documentos, esto es, el tamaño y tipo de letra, las márgenes o las expresiones que pretenden hacer más comprensible el documento, como es el caso de aquellas que informan que una expresión larga será referida con otra similar pero más corta. Todo porque estos aspectos en nada afectan la aplicación y alcance de los documentos tipos; en otras palabras, porque no afectan su contenido esencial y, mucho menos, las obligaciones, deberes y derechos que se derivan para los partícipes del proceso contractual.</w:t>
      </w:r>
    </w:p>
    <w:p w14:paraId="4480B180" w14:textId="77777777" w:rsidR="00404ED2" w:rsidRPr="0025010A" w:rsidRDefault="00404ED2" w:rsidP="00B56359">
      <w:pPr>
        <w:tabs>
          <w:tab w:val="left" w:pos="426"/>
        </w:tabs>
        <w:spacing w:after="0"/>
        <w:rPr>
          <w:rFonts w:ascii="Arial" w:eastAsia="Arial" w:hAnsi="Arial" w:cs="Arial"/>
          <w:b/>
          <w:color w:val="000000" w:themeColor="text1"/>
          <w:sz w:val="22"/>
          <w:szCs w:val="22"/>
        </w:rPr>
      </w:pPr>
    </w:p>
    <w:p w14:paraId="0E2691DD" w14:textId="53469C0D" w:rsidR="006B1D7C" w:rsidRPr="0025010A" w:rsidRDefault="001D5985" w:rsidP="00404ED2">
      <w:pPr>
        <w:tabs>
          <w:tab w:val="left" w:pos="426"/>
        </w:tabs>
        <w:spacing w:after="0"/>
        <w:rPr>
          <w:rFonts w:ascii="Arial" w:hAnsi="Arial" w:cs="Arial"/>
          <w:b/>
          <w:bCs/>
          <w:color w:val="000000" w:themeColor="text1"/>
          <w:sz w:val="22"/>
        </w:rPr>
      </w:pPr>
      <w:r w:rsidRPr="0025010A">
        <w:rPr>
          <w:rFonts w:ascii="Arial" w:eastAsia="Arial" w:hAnsi="Arial" w:cs="Arial"/>
          <w:b/>
          <w:color w:val="000000" w:themeColor="text1"/>
          <w:sz w:val="22"/>
          <w:szCs w:val="22"/>
        </w:rPr>
        <w:t>2.</w:t>
      </w:r>
      <w:r w:rsidR="002B5742" w:rsidRPr="0025010A">
        <w:rPr>
          <w:rFonts w:ascii="Arial" w:eastAsia="Arial" w:hAnsi="Arial" w:cs="Arial"/>
          <w:b/>
          <w:color w:val="000000" w:themeColor="text1"/>
          <w:sz w:val="22"/>
          <w:szCs w:val="22"/>
        </w:rPr>
        <w:t>3</w:t>
      </w:r>
      <w:r w:rsidRPr="0025010A">
        <w:rPr>
          <w:rFonts w:ascii="Arial" w:eastAsia="Arial" w:hAnsi="Arial" w:cs="Arial"/>
          <w:b/>
          <w:color w:val="000000" w:themeColor="text1"/>
          <w:sz w:val="22"/>
          <w:szCs w:val="22"/>
        </w:rPr>
        <w:t>.</w:t>
      </w:r>
      <w:r w:rsidRPr="0025010A">
        <w:rPr>
          <w:rFonts w:ascii="Arial" w:eastAsia="Arial" w:hAnsi="Arial" w:cs="Arial"/>
          <w:b/>
          <w:color w:val="000000" w:themeColor="text1"/>
          <w:sz w:val="22"/>
          <w:szCs w:val="22"/>
        </w:rPr>
        <w:tab/>
      </w:r>
      <w:r w:rsidR="006B1D7C" w:rsidRPr="0025010A">
        <w:rPr>
          <w:rFonts w:ascii="Arial" w:hAnsi="Arial" w:cs="Arial"/>
          <w:b/>
          <w:bCs/>
          <w:color w:val="000000" w:themeColor="text1"/>
          <w:sz w:val="22"/>
        </w:rPr>
        <w:t xml:space="preserve">Apertura de ofertas en procesos </w:t>
      </w:r>
      <w:r w:rsidR="002B5742" w:rsidRPr="0025010A">
        <w:rPr>
          <w:rFonts w:ascii="Arial" w:hAnsi="Arial" w:cs="Arial"/>
          <w:b/>
          <w:bCs/>
          <w:color w:val="000000" w:themeColor="text1"/>
          <w:sz w:val="22"/>
        </w:rPr>
        <w:t>regidos por los documentos tipo de licitación de obra pública de infraestructura de transporte</w:t>
      </w:r>
      <w:r w:rsidR="006B1D7C" w:rsidRPr="0025010A">
        <w:rPr>
          <w:rFonts w:ascii="Arial" w:hAnsi="Arial" w:cs="Arial"/>
          <w:b/>
          <w:bCs/>
          <w:color w:val="000000" w:themeColor="text1"/>
          <w:sz w:val="22"/>
        </w:rPr>
        <w:t xml:space="preserve"> </w:t>
      </w:r>
    </w:p>
    <w:p w14:paraId="4DD775A6" w14:textId="77777777" w:rsidR="00404ED2" w:rsidRPr="0025010A" w:rsidRDefault="00404ED2" w:rsidP="00B56359">
      <w:pPr>
        <w:tabs>
          <w:tab w:val="left" w:pos="426"/>
        </w:tabs>
        <w:spacing w:after="0"/>
        <w:rPr>
          <w:rFonts w:ascii="Arial" w:eastAsia="Arial" w:hAnsi="Arial" w:cs="Arial"/>
          <w:b/>
          <w:color w:val="000000" w:themeColor="text1"/>
          <w:sz w:val="22"/>
          <w:szCs w:val="22"/>
        </w:rPr>
      </w:pPr>
    </w:p>
    <w:p w14:paraId="0C468F39" w14:textId="28E20E6B" w:rsidR="006B1D7C" w:rsidRPr="0025010A" w:rsidRDefault="006B1D7C" w:rsidP="006B1D7C">
      <w:pPr>
        <w:spacing w:after="120"/>
        <w:rPr>
          <w:rFonts w:ascii="Arial" w:hAnsi="Arial" w:cs="Arial"/>
          <w:color w:val="000000" w:themeColor="text1"/>
          <w:sz w:val="22"/>
          <w:lang w:val="es-ES"/>
        </w:rPr>
      </w:pPr>
      <w:r w:rsidRPr="0025010A">
        <w:rPr>
          <w:rFonts w:ascii="Arial" w:hAnsi="Arial" w:cs="Arial"/>
          <w:color w:val="000000" w:themeColor="text1"/>
          <w:sz w:val="22"/>
          <w:lang w:val="es-ES"/>
        </w:rPr>
        <w:t>Dentro de los Documentos Tipo adoptados</w:t>
      </w:r>
      <w:r w:rsidR="00404ED2" w:rsidRPr="0025010A">
        <w:rPr>
          <w:rFonts w:ascii="Arial" w:hAnsi="Arial" w:cs="Arial"/>
          <w:color w:val="000000" w:themeColor="text1"/>
          <w:sz w:val="22"/>
          <w:lang w:val="es-ES"/>
        </w:rPr>
        <w:t xml:space="preserve"> para los procesos de obra pública de infraestructura de transporte –Versión 3–</w:t>
      </w:r>
      <w:r w:rsidRPr="0025010A">
        <w:rPr>
          <w:rFonts w:ascii="Arial" w:hAnsi="Arial" w:cs="Arial"/>
          <w:color w:val="000000" w:themeColor="text1"/>
          <w:sz w:val="22"/>
          <w:lang w:val="es-ES"/>
        </w:rPr>
        <w:t>,</w:t>
      </w:r>
      <w:r w:rsidR="00404ED2" w:rsidRPr="0025010A">
        <w:rPr>
          <w:rFonts w:ascii="Arial" w:hAnsi="Arial" w:cs="Arial"/>
          <w:color w:val="000000" w:themeColor="text1"/>
          <w:sz w:val="22"/>
          <w:lang w:val="es-ES"/>
        </w:rPr>
        <w:t xml:space="preserve"> </w:t>
      </w:r>
      <w:r w:rsidRPr="0025010A">
        <w:rPr>
          <w:rFonts w:ascii="Arial" w:hAnsi="Arial" w:cs="Arial"/>
          <w:color w:val="000000" w:themeColor="text1"/>
          <w:sz w:val="22"/>
          <w:lang w:val="es-ES"/>
        </w:rPr>
        <w:t xml:space="preserve">se encuentra el «Documento Base o Pliego Tipo», el cual no es otra cosa que un documento que sirve de base para la elaboración de los pliegos de condiciones en los procesos en los que corresponda la aplicación de estos Documentos Tipo. Este dista de ser un mero formato o modelo a seguir para las entidades, comoquiera que este, además de contener una materialización de las normas aplicables a la modalidad de selección, en virtud de lo dispuesto en </w:t>
      </w:r>
      <w:r w:rsidR="00404ED2" w:rsidRPr="0025010A">
        <w:rPr>
          <w:rFonts w:ascii="Arial" w:hAnsi="Arial" w:cs="Arial"/>
          <w:color w:val="000000" w:themeColor="text1"/>
          <w:sz w:val="22"/>
          <w:lang w:val="es-ES"/>
        </w:rPr>
        <w:t>el artículo 1 de la Ley 2022 de 2020</w:t>
      </w:r>
      <w:r w:rsidRPr="0025010A">
        <w:rPr>
          <w:rFonts w:ascii="Arial" w:hAnsi="Arial" w:cs="Arial"/>
          <w:color w:val="000000" w:themeColor="text1"/>
          <w:sz w:val="22"/>
          <w:lang w:val="es-ES"/>
        </w:rPr>
        <w:t xml:space="preserve">, la mayoría de su contenido, consiste en reglas y parámetros a seguir en el correspondiente proceso de contratación, </w:t>
      </w:r>
      <w:r w:rsidR="00404ED2" w:rsidRPr="0025010A">
        <w:rPr>
          <w:rFonts w:ascii="Arial" w:hAnsi="Arial" w:cs="Arial"/>
          <w:color w:val="000000" w:themeColor="text1"/>
          <w:sz w:val="22"/>
          <w:lang w:val="es-ES"/>
        </w:rPr>
        <w:t xml:space="preserve">que </w:t>
      </w:r>
      <w:r w:rsidRPr="0025010A">
        <w:rPr>
          <w:rFonts w:ascii="Arial" w:hAnsi="Arial" w:cs="Arial"/>
          <w:color w:val="000000" w:themeColor="text1"/>
          <w:sz w:val="22"/>
          <w:lang w:val="es-ES"/>
        </w:rPr>
        <w:t xml:space="preserve">se encuentra afectado por el mandato de inalterabilidad </w:t>
      </w:r>
      <w:r w:rsidR="00404ED2" w:rsidRPr="0025010A">
        <w:rPr>
          <w:rFonts w:ascii="Arial" w:hAnsi="Arial" w:cs="Arial"/>
          <w:color w:val="000000" w:themeColor="text1"/>
          <w:sz w:val="22"/>
          <w:lang w:val="es-ES"/>
        </w:rPr>
        <w:t>analizado en el numeral anterior</w:t>
      </w:r>
      <w:r w:rsidRPr="0025010A">
        <w:rPr>
          <w:rFonts w:ascii="Arial" w:hAnsi="Arial" w:cs="Arial"/>
          <w:color w:val="000000" w:themeColor="text1"/>
          <w:sz w:val="22"/>
          <w:lang w:val="es-ES"/>
        </w:rPr>
        <w:t xml:space="preserve">, lo cual supone una limitación a la discrecionalidad de las entidades en la configuración del pliego de condiciones, la cual se ve reducida a la acotación de los apartados resaltados en color gris entre corchetes. </w:t>
      </w:r>
    </w:p>
    <w:p w14:paraId="09F12DE4" w14:textId="7EEBABAF" w:rsidR="006B1D7C" w:rsidRPr="0025010A" w:rsidRDefault="006B1D7C" w:rsidP="006B1D7C">
      <w:pPr>
        <w:spacing w:after="120"/>
        <w:rPr>
          <w:rFonts w:ascii="Arial" w:hAnsi="Arial" w:cs="Arial"/>
          <w:color w:val="000000" w:themeColor="text1"/>
          <w:sz w:val="22"/>
        </w:rPr>
      </w:pPr>
      <w:r w:rsidRPr="0025010A">
        <w:rPr>
          <w:rFonts w:ascii="Arial" w:hAnsi="Arial" w:cs="Arial"/>
          <w:color w:val="000000" w:themeColor="text1"/>
          <w:sz w:val="22"/>
          <w:lang w:val="es-ES"/>
        </w:rPr>
        <w:lastRenderedPageBreak/>
        <w:tab/>
        <w:t xml:space="preserve">Dentro de las normas que se materializan en dicho Documento Base encontramos por el artículo 30 de la Ley 80 de 1993, el cual regula el procedimiento de selección de licitación pública y la presentación de ofertas en el marco de este. Esta norma fue </w:t>
      </w:r>
      <w:r w:rsidR="00404ED2" w:rsidRPr="0025010A">
        <w:rPr>
          <w:rFonts w:ascii="Arial" w:hAnsi="Arial" w:cs="Arial"/>
          <w:color w:val="000000" w:themeColor="text1"/>
          <w:sz w:val="22"/>
          <w:lang w:val="es-ES"/>
        </w:rPr>
        <w:t>adicionada por el</w:t>
      </w:r>
      <w:r w:rsidRPr="0025010A">
        <w:rPr>
          <w:rFonts w:ascii="Arial" w:hAnsi="Arial" w:cs="Arial"/>
          <w:color w:val="000000" w:themeColor="text1"/>
          <w:sz w:val="22"/>
          <w:lang w:val="es-ES"/>
        </w:rPr>
        <w:t xml:space="preserve"> artículo 1 de la Ley 1882 de 2018, el cual estableció reglas para la presentación de ofertas en licitaciones para la selección de contratistas de obra pública, </w:t>
      </w:r>
      <w:r w:rsidRPr="0025010A">
        <w:rPr>
          <w:rFonts w:ascii="Arial" w:hAnsi="Arial" w:cs="Arial"/>
          <w:color w:val="000000" w:themeColor="text1"/>
          <w:sz w:val="22"/>
        </w:rPr>
        <w:t xml:space="preserve">señalando que las mismas deben estar conformadas por dos sobres: i) </w:t>
      </w:r>
      <w:r w:rsidR="00404ED2" w:rsidRPr="0025010A">
        <w:rPr>
          <w:rFonts w:ascii="Arial" w:hAnsi="Arial" w:cs="Arial"/>
          <w:color w:val="000000" w:themeColor="text1"/>
          <w:sz w:val="22"/>
        </w:rPr>
        <w:t>u</w:t>
      </w:r>
      <w:r w:rsidRPr="0025010A">
        <w:rPr>
          <w:rFonts w:ascii="Arial" w:hAnsi="Arial" w:cs="Arial"/>
          <w:color w:val="000000" w:themeColor="text1"/>
          <w:sz w:val="22"/>
        </w:rPr>
        <w:t>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w:t>
      </w:r>
      <w:r w:rsidRPr="0025010A">
        <w:rPr>
          <w:rStyle w:val="Refdenotaalpie"/>
          <w:rFonts w:ascii="Arial" w:hAnsi="Arial" w:cs="Arial"/>
          <w:color w:val="000000" w:themeColor="text1"/>
          <w:sz w:val="22"/>
        </w:rPr>
        <w:footnoteReference w:id="10"/>
      </w:r>
      <w:r w:rsidRPr="0025010A">
        <w:rPr>
          <w:rFonts w:ascii="Arial" w:hAnsi="Arial" w:cs="Arial"/>
          <w:color w:val="000000" w:themeColor="text1"/>
          <w:sz w:val="22"/>
        </w:rPr>
        <w:t xml:space="preserve">. </w:t>
      </w:r>
    </w:p>
    <w:p w14:paraId="047A2F71" w14:textId="2E03C8B7" w:rsidR="006B1D7C" w:rsidRPr="0025010A" w:rsidRDefault="006B1D7C" w:rsidP="006B1D7C">
      <w:pPr>
        <w:spacing w:after="120"/>
        <w:rPr>
          <w:rFonts w:ascii="Arial" w:hAnsi="Arial" w:cs="Arial"/>
          <w:color w:val="000000" w:themeColor="text1"/>
          <w:sz w:val="22"/>
        </w:rPr>
      </w:pPr>
      <w:r w:rsidRPr="0025010A">
        <w:rPr>
          <w:rFonts w:ascii="Arial" w:hAnsi="Arial" w:cs="Arial"/>
          <w:color w:val="000000" w:themeColor="text1"/>
          <w:sz w:val="22"/>
        </w:rPr>
        <w:tab/>
        <w:t xml:space="preserve">Respecto del Sobre No. 2, el artículo 30 de la Ley 80 de 1993 establece en su parágrafo 3° que este deberá permanecer cerrado hasta la audiencia efectiva de adjudicación, momento fijado dentro del </w:t>
      </w:r>
      <w:r w:rsidRPr="0025010A">
        <w:rPr>
          <w:rFonts w:ascii="Arial" w:hAnsi="Arial" w:cs="Arial"/>
          <w:i/>
          <w:iCs/>
          <w:color w:val="000000" w:themeColor="text1"/>
          <w:sz w:val="22"/>
        </w:rPr>
        <w:t>iter</w:t>
      </w:r>
      <w:r w:rsidRPr="0025010A">
        <w:rPr>
          <w:rFonts w:ascii="Arial" w:hAnsi="Arial" w:cs="Arial"/>
          <w:color w:val="000000" w:themeColor="text1"/>
          <w:sz w:val="22"/>
        </w:rPr>
        <w:t xml:space="preserve"> contractual para su apertura. Al respecto, la norma en comento dispone:</w:t>
      </w:r>
    </w:p>
    <w:p w14:paraId="22EF2099" w14:textId="77777777" w:rsidR="006B1D7C" w:rsidRPr="0025010A" w:rsidRDefault="006B1D7C" w:rsidP="0025010A">
      <w:pPr>
        <w:pStyle w:val="Textonotapie"/>
        <w:ind w:left="709" w:right="709"/>
        <w:jc w:val="both"/>
        <w:rPr>
          <w:rFonts w:ascii="Arial" w:hAnsi="Arial" w:cs="Arial"/>
          <w:color w:val="000000" w:themeColor="text1"/>
          <w:sz w:val="21"/>
          <w:szCs w:val="21"/>
        </w:rPr>
      </w:pPr>
      <w:r w:rsidRPr="0025010A">
        <w:rPr>
          <w:rFonts w:ascii="Arial" w:hAnsi="Arial" w:cs="Arial"/>
          <w:color w:val="000000" w:themeColor="text1"/>
          <w:sz w:val="21"/>
          <w:szCs w:val="21"/>
        </w:rPr>
        <w:t xml:space="preserve">«En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4AC25AD5" w14:textId="77777777" w:rsidR="006B1D7C" w:rsidRPr="0025010A" w:rsidRDefault="006B1D7C" w:rsidP="0025010A">
      <w:pPr>
        <w:pStyle w:val="Textonotapie"/>
        <w:ind w:left="709" w:right="709"/>
        <w:jc w:val="both"/>
        <w:rPr>
          <w:rFonts w:ascii="Arial" w:hAnsi="Arial" w:cs="Arial"/>
          <w:color w:val="000000" w:themeColor="text1"/>
          <w:sz w:val="21"/>
          <w:szCs w:val="21"/>
        </w:rPr>
      </w:pPr>
    </w:p>
    <w:p w14:paraId="1D2381A3" w14:textId="77777777" w:rsidR="006B1D7C" w:rsidRPr="0025010A" w:rsidRDefault="006B1D7C" w:rsidP="0025010A">
      <w:pPr>
        <w:pStyle w:val="Textonotapie"/>
        <w:ind w:left="709" w:right="709"/>
        <w:jc w:val="both"/>
        <w:rPr>
          <w:rFonts w:ascii="Arial" w:hAnsi="Arial" w:cs="Arial"/>
          <w:color w:val="000000" w:themeColor="text1"/>
          <w:sz w:val="21"/>
          <w:szCs w:val="21"/>
        </w:rPr>
      </w:pPr>
      <w:r w:rsidRPr="0025010A">
        <w:rPr>
          <w:rFonts w:ascii="Arial" w:hAnsi="Arial" w:cs="Arial"/>
          <w:color w:val="000000" w:themeColor="text1"/>
          <w:sz w:val="21"/>
          <w:szCs w:val="21"/>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7630FF09" w14:textId="77777777" w:rsidR="006B1D7C" w:rsidRPr="0025010A" w:rsidRDefault="006B1D7C" w:rsidP="0025010A">
      <w:pPr>
        <w:spacing w:after="0" w:line="240" w:lineRule="auto"/>
        <w:ind w:left="709" w:right="709"/>
        <w:rPr>
          <w:rFonts w:ascii="Arial" w:hAnsi="Arial" w:cs="Arial"/>
          <w:color w:val="000000" w:themeColor="text1"/>
          <w:sz w:val="21"/>
          <w:szCs w:val="21"/>
        </w:rPr>
      </w:pPr>
    </w:p>
    <w:p w14:paraId="50B4FEA5" w14:textId="6A5ECA4E" w:rsidR="006B1D7C" w:rsidRPr="0025010A" w:rsidRDefault="006B1D7C" w:rsidP="0025010A">
      <w:pPr>
        <w:spacing w:after="0" w:line="240" w:lineRule="auto"/>
        <w:ind w:left="709" w:right="709"/>
        <w:rPr>
          <w:rFonts w:ascii="Arial" w:hAnsi="Arial" w:cs="Arial"/>
          <w:color w:val="000000" w:themeColor="text1"/>
          <w:sz w:val="21"/>
          <w:szCs w:val="21"/>
        </w:rPr>
      </w:pPr>
      <w:r w:rsidRPr="0025010A">
        <w:rPr>
          <w:rFonts w:ascii="Arial" w:hAnsi="Arial" w:cs="Arial"/>
          <w:color w:val="000000" w:themeColor="text1"/>
          <w:sz w:val="21"/>
          <w:szCs w:val="21"/>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00404ED2" w:rsidRPr="0025010A">
        <w:rPr>
          <w:rFonts w:ascii="Arial" w:hAnsi="Arial" w:cs="Arial"/>
          <w:color w:val="000000" w:themeColor="text1"/>
          <w:sz w:val="21"/>
          <w:szCs w:val="21"/>
        </w:rPr>
        <w:t>.</w:t>
      </w:r>
    </w:p>
    <w:p w14:paraId="30558E48" w14:textId="77777777" w:rsidR="00404ED2" w:rsidRPr="0025010A" w:rsidRDefault="00404ED2" w:rsidP="0025010A">
      <w:pPr>
        <w:spacing w:after="0"/>
        <w:ind w:left="709" w:right="709"/>
        <w:rPr>
          <w:rFonts w:ascii="Arial" w:hAnsi="Arial" w:cs="Arial"/>
          <w:b/>
          <w:bCs/>
          <w:color w:val="000000" w:themeColor="text1"/>
          <w:sz w:val="21"/>
          <w:szCs w:val="21"/>
        </w:rPr>
      </w:pPr>
    </w:p>
    <w:p w14:paraId="0B951BB6" w14:textId="163FDCE9" w:rsidR="003F571B" w:rsidRPr="0025010A" w:rsidRDefault="006B1D7C" w:rsidP="00C87DF0">
      <w:pPr>
        <w:spacing w:after="120"/>
        <w:ind w:firstLine="720"/>
        <w:rPr>
          <w:rFonts w:ascii="Arial" w:hAnsi="Arial" w:cs="Arial"/>
          <w:color w:val="000000" w:themeColor="text1"/>
          <w:sz w:val="22"/>
          <w:szCs w:val="22"/>
        </w:rPr>
      </w:pPr>
      <w:r w:rsidRPr="0025010A">
        <w:rPr>
          <w:rFonts w:ascii="Arial" w:hAnsi="Arial" w:cs="Arial"/>
          <w:color w:val="000000" w:themeColor="text1"/>
          <w:sz w:val="22"/>
        </w:rPr>
        <w:t xml:space="preserve">Como se </w:t>
      </w:r>
      <w:r w:rsidR="00404ED2" w:rsidRPr="0025010A">
        <w:rPr>
          <w:rFonts w:ascii="Arial" w:hAnsi="Arial" w:cs="Arial"/>
          <w:color w:val="000000" w:themeColor="text1"/>
          <w:sz w:val="22"/>
        </w:rPr>
        <w:t>observa</w:t>
      </w:r>
      <w:r w:rsidRPr="0025010A">
        <w:rPr>
          <w:rFonts w:ascii="Arial" w:hAnsi="Arial" w:cs="Arial"/>
          <w:color w:val="000000" w:themeColor="text1"/>
          <w:sz w:val="22"/>
        </w:rPr>
        <w:t xml:space="preserve">, la norma transcrita diferencia claramente dos momentos relacionados con la apertura y valoración de los distintos componentes de la oferta, los cuales </w:t>
      </w:r>
      <w:r w:rsidR="00404ED2" w:rsidRPr="0025010A">
        <w:rPr>
          <w:rFonts w:ascii="Arial" w:hAnsi="Arial" w:cs="Arial"/>
          <w:color w:val="000000" w:themeColor="text1"/>
          <w:sz w:val="22"/>
        </w:rPr>
        <w:t>están</w:t>
      </w:r>
      <w:r w:rsidRPr="0025010A">
        <w:rPr>
          <w:rFonts w:ascii="Arial" w:hAnsi="Arial" w:cs="Arial"/>
          <w:color w:val="000000" w:themeColor="text1"/>
          <w:sz w:val="22"/>
        </w:rPr>
        <w:t xml:space="preserve"> divididos, según la misma disposición, en dos sobre</w:t>
      </w:r>
      <w:r w:rsidR="00404ED2" w:rsidRPr="0025010A">
        <w:rPr>
          <w:rFonts w:ascii="Arial" w:hAnsi="Arial" w:cs="Arial"/>
          <w:color w:val="000000" w:themeColor="text1"/>
          <w:sz w:val="22"/>
        </w:rPr>
        <w:t>s</w:t>
      </w:r>
      <w:r w:rsidRPr="0025010A">
        <w:rPr>
          <w:rFonts w:ascii="Arial" w:hAnsi="Arial" w:cs="Arial"/>
          <w:color w:val="000000" w:themeColor="text1"/>
          <w:sz w:val="22"/>
        </w:rPr>
        <w:t xml:space="preserve"> diferentes: por un lado, el sobre número 1 </w:t>
      </w:r>
      <w:r w:rsidR="00727C16" w:rsidRPr="0025010A">
        <w:rPr>
          <w:rFonts w:ascii="Arial" w:hAnsi="Arial" w:cs="Arial"/>
          <w:color w:val="000000" w:themeColor="text1"/>
          <w:sz w:val="22"/>
        </w:rPr>
        <w:t xml:space="preserve">que </w:t>
      </w:r>
      <w:r w:rsidRPr="0025010A">
        <w:rPr>
          <w:rFonts w:ascii="Arial" w:hAnsi="Arial" w:cs="Arial"/>
          <w:color w:val="000000" w:themeColor="text1"/>
          <w:sz w:val="22"/>
        </w:rPr>
        <w:t>contendrá los documentos e información relacionada con la acreditación de los requisitos habilitantes</w:t>
      </w:r>
      <w:r w:rsidR="003F571B" w:rsidRPr="0025010A">
        <w:rPr>
          <w:rFonts w:ascii="Arial" w:hAnsi="Arial" w:cs="Arial"/>
          <w:color w:val="000000" w:themeColor="text1"/>
          <w:sz w:val="22"/>
        </w:rPr>
        <w:t xml:space="preserve">, así como los requisitos sometidos a </w:t>
      </w:r>
      <w:r w:rsidR="00727C16" w:rsidRPr="0025010A">
        <w:rPr>
          <w:rFonts w:ascii="Arial" w:hAnsi="Arial" w:cs="Arial"/>
          <w:color w:val="000000" w:themeColor="text1"/>
          <w:sz w:val="22"/>
        </w:rPr>
        <w:t xml:space="preserve">asignación de puntaje, </w:t>
      </w:r>
      <w:r w:rsidR="003F571B" w:rsidRPr="0025010A">
        <w:rPr>
          <w:rFonts w:ascii="Arial" w:hAnsi="Arial" w:cs="Arial"/>
          <w:color w:val="000000" w:themeColor="text1"/>
          <w:sz w:val="22"/>
        </w:rPr>
        <w:t xml:space="preserve">pero distintos a la oferta económica. El contenido de este primer sobre será valorado y evaluado </w:t>
      </w:r>
      <w:r w:rsidR="00727C16" w:rsidRPr="0025010A">
        <w:rPr>
          <w:rFonts w:ascii="Arial" w:hAnsi="Arial" w:cs="Arial"/>
          <w:color w:val="000000" w:themeColor="text1"/>
          <w:sz w:val="22"/>
        </w:rPr>
        <w:t>mediante</w:t>
      </w:r>
      <w:r w:rsidR="003F571B" w:rsidRPr="0025010A">
        <w:rPr>
          <w:rFonts w:ascii="Arial" w:hAnsi="Arial" w:cs="Arial"/>
          <w:color w:val="000000" w:themeColor="text1"/>
          <w:sz w:val="22"/>
        </w:rPr>
        <w:t xml:space="preserve"> un </w:t>
      </w:r>
      <w:r w:rsidR="00727C16" w:rsidRPr="0025010A">
        <w:rPr>
          <w:rFonts w:ascii="Arial" w:hAnsi="Arial" w:cs="Arial"/>
          <w:color w:val="000000" w:themeColor="text1"/>
          <w:sz w:val="22"/>
        </w:rPr>
        <w:t>i</w:t>
      </w:r>
      <w:r w:rsidR="003F571B" w:rsidRPr="0025010A">
        <w:rPr>
          <w:rFonts w:ascii="Arial" w:hAnsi="Arial" w:cs="Arial"/>
          <w:color w:val="000000" w:themeColor="text1"/>
          <w:sz w:val="22"/>
        </w:rPr>
        <w:t>nforme «provisional» de evaluación que permanecerá publicado durante 5 días h</w:t>
      </w:r>
      <w:r w:rsidR="005A453F" w:rsidRPr="0025010A">
        <w:rPr>
          <w:rFonts w:ascii="Arial" w:hAnsi="Arial" w:cs="Arial"/>
          <w:color w:val="000000" w:themeColor="text1"/>
          <w:sz w:val="22"/>
        </w:rPr>
        <w:t>á</w:t>
      </w:r>
      <w:r w:rsidR="003F571B" w:rsidRPr="0025010A">
        <w:rPr>
          <w:rFonts w:ascii="Arial" w:hAnsi="Arial" w:cs="Arial"/>
          <w:color w:val="000000" w:themeColor="text1"/>
          <w:sz w:val="22"/>
        </w:rPr>
        <w:t>biles, término durante el cual los proponentes podrán presentar observaciones y presentar documentos e información solicitada por la entidad estatal, para que a partir de ello, esta proced</w:t>
      </w:r>
      <w:r w:rsidR="003F571B" w:rsidRPr="0025010A">
        <w:rPr>
          <w:rFonts w:ascii="Arial" w:hAnsi="Arial" w:cs="Arial"/>
          <w:color w:val="000000" w:themeColor="text1"/>
          <w:sz w:val="22"/>
          <w:szCs w:val="22"/>
        </w:rPr>
        <w:t xml:space="preserve">a a pronunciarse sobre </w:t>
      </w:r>
      <w:r w:rsidR="005A453F" w:rsidRPr="0025010A">
        <w:rPr>
          <w:rFonts w:ascii="Arial" w:hAnsi="Arial" w:cs="Arial"/>
          <w:color w:val="000000" w:themeColor="text1"/>
          <w:sz w:val="22"/>
          <w:szCs w:val="22"/>
        </w:rPr>
        <w:t>dichas</w:t>
      </w:r>
      <w:r w:rsidR="003F571B" w:rsidRPr="0025010A">
        <w:rPr>
          <w:rFonts w:ascii="Arial" w:hAnsi="Arial" w:cs="Arial"/>
          <w:color w:val="000000" w:themeColor="text1"/>
          <w:sz w:val="22"/>
          <w:szCs w:val="22"/>
        </w:rPr>
        <w:t xml:space="preserve"> observaciones y a publicar el informe final de evaluación de los requisitos habilitantes y los requisitos objeto de puntuación distintos a la oferta económica.</w:t>
      </w:r>
    </w:p>
    <w:p w14:paraId="7254C7D7" w14:textId="77777777" w:rsidR="00C87DF0" w:rsidRPr="0025010A" w:rsidRDefault="00C87DF0" w:rsidP="00C87DF0">
      <w:pPr>
        <w:spacing w:after="120"/>
        <w:ind w:firstLine="720"/>
        <w:rPr>
          <w:rFonts w:ascii="Arial" w:hAnsi="Arial" w:cs="Arial"/>
          <w:color w:val="000000" w:themeColor="text1"/>
          <w:sz w:val="22"/>
        </w:rPr>
      </w:pPr>
      <w:r w:rsidRPr="0025010A">
        <w:rPr>
          <w:rFonts w:ascii="Arial" w:hAnsi="Arial" w:cs="Arial"/>
          <w:color w:val="000000" w:themeColor="text1"/>
          <w:sz w:val="22"/>
        </w:rPr>
        <w:t xml:space="preserve">La norma de la Ley 1882 guarda silencio respecto </w:t>
      </w:r>
      <w:r w:rsidR="00CC2647" w:rsidRPr="0025010A">
        <w:rPr>
          <w:rFonts w:ascii="Arial" w:hAnsi="Arial" w:cs="Arial"/>
          <w:color w:val="000000" w:themeColor="text1"/>
          <w:sz w:val="22"/>
        </w:rPr>
        <w:t>al</w:t>
      </w:r>
      <w:r w:rsidRPr="0025010A">
        <w:rPr>
          <w:rFonts w:ascii="Arial" w:hAnsi="Arial" w:cs="Arial"/>
          <w:color w:val="000000" w:themeColor="text1"/>
          <w:sz w:val="22"/>
        </w:rPr>
        <w:t xml:space="preserve"> momento de apertura del Sobre No. 1, limitándose a establecer que la entidad deberá publicar un informe de evaluación relacionado con los documentos relativos a los requisitos habilitantes y los que sean objeto de puntuación diferentes a la oferta económica, dentro del plazo establecido en el pliego de condiciones, el cual deberá permanecer publicado durante cinco (5) días en el SECOP.</w:t>
      </w:r>
    </w:p>
    <w:p w14:paraId="3983822F" w14:textId="225E2D88" w:rsidR="006B1D7C" w:rsidRPr="0025010A" w:rsidRDefault="003F571B" w:rsidP="00C87DF0">
      <w:pPr>
        <w:spacing w:after="120"/>
        <w:ind w:firstLine="720"/>
        <w:rPr>
          <w:rFonts w:ascii="Arial" w:hAnsi="Arial" w:cs="Arial"/>
          <w:color w:val="000000" w:themeColor="text1"/>
          <w:sz w:val="22"/>
          <w:szCs w:val="22"/>
        </w:rPr>
      </w:pPr>
      <w:r w:rsidRPr="0025010A">
        <w:rPr>
          <w:rFonts w:ascii="Arial" w:hAnsi="Arial" w:cs="Arial"/>
          <w:color w:val="000000" w:themeColor="text1"/>
          <w:sz w:val="22"/>
          <w:szCs w:val="22"/>
        </w:rPr>
        <w:t xml:space="preserve">Otro es el tratamiento que se le otorga al Sobre </w:t>
      </w:r>
      <w:r w:rsidR="00727C16" w:rsidRPr="0025010A">
        <w:rPr>
          <w:rFonts w:ascii="Arial" w:hAnsi="Arial" w:cs="Arial"/>
          <w:color w:val="000000" w:themeColor="text1"/>
          <w:sz w:val="22"/>
          <w:szCs w:val="22"/>
        </w:rPr>
        <w:t>N</w:t>
      </w:r>
      <w:r w:rsidRPr="0025010A">
        <w:rPr>
          <w:rFonts w:ascii="Arial" w:hAnsi="Arial" w:cs="Arial"/>
          <w:color w:val="000000" w:themeColor="text1"/>
          <w:sz w:val="22"/>
          <w:szCs w:val="22"/>
        </w:rPr>
        <w:t xml:space="preserve">o. 2, que, de conformidad con lo establecido en la </w:t>
      </w:r>
      <w:r w:rsidR="00C87DF0" w:rsidRPr="0025010A">
        <w:rPr>
          <w:rFonts w:ascii="Arial" w:hAnsi="Arial" w:cs="Arial"/>
          <w:color w:val="000000" w:themeColor="text1"/>
          <w:sz w:val="22"/>
          <w:szCs w:val="22"/>
        </w:rPr>
        <w:t xml:space="preserve">disposición </w:t>
      </w:r>
      <w:r w:rsidRPr="0025010A">
        <w:rPr>
          <w:rFonts w:ascii="Arial" w:hAnsi="Arial" w:cs="Arial"/>
          <w:color w:val="000000" w:themeColor="text1"/>
          <w:sz w:val="22"/>
          <w:szCs w:val="22"/>
        </w:rPr>
        <w:t>comentada, deberá permanecer cerrado hasta tanto se re</w:t>
      </w:r>
      <w:r w:rsidR="00C234E6" w:rsidRPr="0025010A">
        <w:rPr>
          <w:rFonts w:ascii="Arial" w:hAnsi="Arial" w:cs="Arial"/>
          <w:color w:val="000000" w:themeColor="text1"/>
          <w:sz w:val="22"/>
          <w:szCs w:val="22"/>
        </w:rPr>
        <w:t>a</w:t>
      </w:r>
      <w:r w:rsidRPr="0025010A">
        <w:rPr>
          <w:rFonts w:ascii="Arial" w:hAnsi="Arial" w:cs="Arial"/>
          <w:color w:val="000000" w:themeColor="text1"/>
          <w:sz w:val="22"/>
          <w:szCs w:val="22"/>
        </w:rPr>
        <w:t>lice la a</w:t>
      </w:r>
      <w:r w:rsidR="00566C54" w:rsidRPr="0025010A">
        <w:rPr>
          <w:rFonts w:ascii="Arial" w:hAnsi="Arial" w:cs="Arial"/>
          <w:color w:val="000000" w:themeColor="text1"/>
          <w:sz w:val="22"/>
          <w:szCs w:val="22"/>
        </w:rPr>
        <w:t>u</w:t>
      </w:r>
      <w:r w:rsidRPr="0025010A">
        <w:rPr>
          <w:rFonts w:ascii="Arial" w:hAnsi="Arial" w:cs="Arial"/>
          <w:color w:val="000000" w:themeColor="text1"/>
          <w:sz w:val="22"/>
          <w:szCs w:val="22"/>
        </w:rPr>
        <w:t>diencia pública de adjudicación</w:t>
      </w:r>
      <w:r w:rsidR="00C87DF0" w:rsidRPr="0025010A">
        <w:rPr>
          <w:rFonts w:ascii="Arial" w:hAnsi="Arial" w:cs="Arial"/>
          <w:color w:val="000000" w:themeColor="text1"/>
          <w:sz w:val="22"/>
          <w:szCs w:val="22"/>
        </w:rPr>
        <w:t>. En el decurso de dicha audiencia, se procederá</w:t>
      </w:r>
      <w:r w:rsidR="00727C16" w:rsidRPr="0025010A">
        <w:rPr>
          <w:rFonts w:ascii="Arial" w:hAnsi="Arial" w:cs="Arial"/>
          <w:color w:val="000000" w:themeColor="text1"/>
          <w:sz w:val="22"/>
          <w:szCs w:val="22"/>
        </w:rPr>
        <w:t>n</w:t>
      </w:r>
      <w:r w:rsidR="00C87DF0" w:rsidRPr="0025010A">
        <w:rPr>
          <w:rFonts w:ascii="Arial" w:hAnsi="Arial" w:cs="Arial"/>
          <w:color w:val="000000" w:themeColor="text1"/>
          <w:sz w:val="22"/>
          <w:szCs w:val="22"/>
        </w:rPr>
        <w:t xml:space="preserve"> a </w:t>
      </w:r>
      <w:r w:rsidR="00727C16" w:rsidRPr="0025010A">
        <w:rPr>
          <w:rFonts w:ascii="Arial" w:hAnsi="Arial" w:cs="Arial"/>
          <w:color w:val="000000" w:themeColor="text1"/>
          <w:sz w:val="22"/>
          <w:szCs w:val="22"/>
        </w:rPr>
        <w:t>abrir</w:t>
      </w:r>
      <w:r w:rsidR="00C87DF0" w:rsidRPr="0025010A">
        <w:rPr>
          <w:rFonts w:ascii="Arial" w:hAnsi="Arial" w:cs="Arial"/>
          <w:color w:val="000000" w:themeColor="text1"/>
          <w:sz w:val="22"/>
          <w:szCs w:val="22"/>
        </w:rPr>
        <w:t xml:space="preserve"> </w:t>
      </w:r>
      <w:r w:rsidR="00727C16" w:rsidRPr="0025010A">
        <w:rPr>
          <w:rFonts w:ascii="Arial" w:hAnsi="Arial" w:cs="Arial"/>
          <w:color w:val="000000" w:themeColor="text1"/>
          <w:sz w:val="22"/>
          <w:szCs w:val="22"/>
        </w:rPr>
        <w:t xml:space="preserve">los </w:t>
      </w:r>
      <w:r w:rsidR="00C87DF0" w:rsidRPr="0025010A">
        <w:rPr>
          <w:rFonts w:ascii="Arial" w:hAnsi="Arial" w:cs="Arial"/>
          <w:color w:val="000000" w:themeColor="text1"/>
          <w:sz w:val="22"/>
          <w:szCs w:val="22"/>
        </w:rPr>
        <w:t>sobre</w:t>
      </w:r>
      <w:r w:rsidR="00727C16" w:rsidRPr="0025010A">
        <w:rPr>
          <w:rFonts w:ascii="Arial" w:hAnsi="Arial" w:cs="Arial"/>
          <w:color w:val="000000" w:themeColor="text1"/>
          <w:sz w:val="22"/>
          <w:szCs w:val="22"/>
        </w:rPr>
        <w:t>s</w:t>
      </w:r>
      <w:r w:rsidR="00C87DF0" w:rsidRPr="0025010A">
        <w:rPr>
          <w:rFonts w:ascii="Arial" w:hAnsi="Arial" w:cs="Arial"/>
          <w:color w:val="000000" w:themeColor="text1"/>
          <w:sz w:val="22"/>
          <w:szCs w:val="22"/>
        </w:rPr>
        <w:t xml:space="preserve"> con la</w:t>
      </w:r>
      <w:r w:rsidR="00727C16" w:rsidRPr="0025010A">
        <w:rPr>
          <w:rFonts w:ascii="Arial" w:hAnsi="Arial" w:cs="Arial"/>
          <w:color w:val="000000" w:themeColor="text1"/>
          <w:sz w:val="22"/>
          <w:szCs w:val="22"/>
        </w:rPr>
        <w:t>s</w:t>
      </w:r>
      <w:r w:rsidR="00C87DF0" w:rsidRPr="0025010A">
        <w:rPr>
          <w:rFonts w:ascii="Arial" w:hAnsi="Arial" w:cs="Arial"/>
          <w:color w:val="000000" w:themeColor="text1"/>
          <w:sz w:val="22"/>
          <w:szCs w:val="22"/>
        </w:rPr>
        <w:t xml:space="preserve"> oferta</w:t>
      </w:r>
      <w:r w:rsidR="00727C16" w:rsidRPr="0025010A">
        <w:rPr>
          <w:rFonts w:ascii="Arial" w:hAnsi="Arial" w:cs="Arial"/>
          <w:color w:val="000000" w:themeColor="text1"/>
          <w:sz w:val="22"/>
          <w:szCs w:val="22"/>
        </w:rPr>
        <w:t>s</w:t>
      </w:r>
      <w:r w:rsidR="00C87DF0" w:rsidRPr="0025010A">
        <w:rPr>
          <w:rFonts w:ascii="Arial" w:hAnsi="Arial" w:cs="Arial"/>
          <w:color w:val="000000" w:themeColor="text1"/>
          <w:sz w:val="22"/>
          <w:szCs w:val="22"/>
        </w:rPr>
        <w:t xml:space="preserve"> económica</w:t>
      </w:r>
      <w:r w:rsidR="00727C16" w:rsidRPr="0025010A">
        <w:rPr>
          <w:rFonts w:ascii="Arial" w:hAnsi="Arial" w:cs="Arial"/>
          <w:color w:val="000000" w:themeColor="text1"/>
          <w:sz w:val="22"/>
          <w:szCs w:val="22"/>
        </w:rPr>
        <w:t>s</w:t>
      </w:r>
      <w:r w:rsidR="00C87DF0" w:rsidRPr="0025010A">
        <w:rPr>
          <w:rFonts w:ascii="Arial" w:hAnsi="Arial" w:cs="Arial"/>
          <w:color w:val="000000" w:themeColor="text1"/>
          <w:sz w:val="22"/>
          <w:szCs w:val="22"/>
        </w:rPr>
        <w:t>, y se evaluará</w:t>
      </w:r>
      <w:r w:rsidR="00727C16" w:rsidRPr="0025010A">
        <w:rPr>
          <w:rFonts w:ascii="Arial" w:hAnsi="Arial" w:cs="Arial"/>
          <w:color w:val="000000" w:themeColor="text1"/>
          <w:sz w:val="22"/>
          <w:szCs w:val="22"/>
        </w:rPr>
        <w:t>n</w:t>
      </w:r>
      <w:r w:rsidR="00C87DF0" w:rsidRPr="0025010A">
        <w:rPr>
          <w:rFonts w:ascii="Arial" w:hAnsi="Arial" w:cs="Arial"/>
          <w:color w:val="000000" w:themeColor="text1"/>
          <w:sz w:val="22"/>
          <w:szCs w:val="22"/>
        </w:rPr>
        <w:t xml:space="preserve"> </w:t>
      </w:r>
      <w:r w:rsidR="00727C16" w:rsidRPr="0025010A">
        <w:rPr>
          <w:rFonts w:ascii="Arial" w:hAnsi="Arial" w:cs="Arial"/>
          <w:color w:val="000000" w:themeColor="text1"/>
          <w:sz w:val="22"/>
          <w:szCs w:val="22"/>
        </w:rPr>
        <w:t>en</w:t>
      </w:r>
      <w:r w:rsidR="00C87DF0" w:rsidRPr="0025010A">
        <w:rPr>
          <w:rFonts w:ascii="Arial" w:hAnsi="Arial" w:cs="Arial"/>
          <w:color w:val="000000" w:themeColor="text1"/>
          <w:sz w:val="22"/>
          <w:szCs w:val="22"/>
        </w:rPr>
        <w:t xml:space="preserve"> la misma siguiendo el mecani</w:t>
      </w:r>
      <w:r w:rsidR="00566C54" w:rsidRPr="0025010A">
        <w:rPr>
          <w:rFonts w:ascii="Arial" w:hAnsi="Arial" w:cs="Arial"/>
          <w:color w:val="000000" w:themeColor="text1"/>
          <w:sz w:val="22"/>
          <w:szCs w:val="22"/>
        </w:rPr>
        <w:t>s</w:t>
      </w:r>
      <w:r w:rsidR="00C87DF0" w:rsidRPr="0025010A">
        <w:rPr>
          <w:rFonts w:ascii="Arial" w:hAnsi="Arial" w:cs="Arial"/>
          <w:color w:val="000000" w:themeColor="text1"/>
          <w:sz w:val="22"/>
          <w:szCs w:val="22"/>
        </w:rPr>
        <w:t>mo escogido a través del método aleatori</w:t>
      </w:r>
      <w:r w:rsidR="00727C16" w:rsidRPr="0025010A">
        <w:rPr>
          <w:rFonts w:ascii="Arial" w:hAnsi="Arial" w:cs="Arial"/>
          <w:color w:val="000000" w:themeColor="text1"/>
          <w:sz w:val="22"/>
          <w:szCs w:val="22"/>
        </w:rPr>
        <w:t>o</w:t>
      </w:r>
      <w:r w:rsidR="00C87DF0" w:rsidRPr="0025010A">
        <w:rPr>
          <w:rFonts w:ascii="Arial" w:hAnsi="Arial" w:cs="Arial"/>
          <w:color w:val="000000" w:themeColor="text1"/>
          <w:sz w:val="22"/>
          <w:szCs w:val="22"/>
        </w:rPr>
        <w:t xml:space="preserve"> establecido en el respectivo pliego de condiciones.  </w:t>
      </w:r>
    </w:p>
    <w:p w14:paraId="05262151" w14:textId="7CAE5F41" w:rsidR="00C87DF0" w:rsidRPr="0025010A" w:rsidRDefault="00727C16" w:rsidP="00C87DF0">
      <w:pPr>
        <w:spacing w:after="120"/>
        <w:ind w:firstLine="720"/>
        <w:rPr>
          <w:rFonts w:ascii="Arial" w:hAnsi="Arial" w:cs="Arial"/>
          <w:color w:val="000000" w:themeColor="text1"/>
          <w:sz w:val="22"/>
          <w:szCs w:val="22"/>
        </w:rPr>
      </w:pPr>
      <w:r w:rsidRPr="0025010A">
        <w:rPr>
          <w:rFonts w:ascii="Arial" w:hAnsi="Arial" w:cs="Arial"/>
          <w:color w:val="000000" w:themeColor="text1"/>
          <w:sz w:val="22"/>
          <w:szCs w:val="22"/>
        </w:rPr>
        <w:t>C</w:t>
      </w:r>
      <w:r w:rsidR="00C87DF0" w:rsidRPr="0025010A">
        <w:rPr>
          <w:rFonts w:ascii="Arial" w:hAnsi="Arial" w:cs="Arial"/>
          <w:color w:val="000000" w:themeColor="text1"/>
          <w:sz w:val="22"/>
          <w:szCs w:val="22"/>
        </w:rPr>
        <w:t xml:space="preserve">omo se </w:t>
      </w:r>
      <w:r w:rsidRPr="0025010A">
        <w:rPr>
          <w:rFonts w:ascii="Arial" w:hAnsi="Arial" w:cs="Arial"/>
          <w:color w:val="000000" w:themeColor="text1"/>
          <w:sz w:val="22"/>
          <w:szCs w:val="22"/>
        </w:rPr>
        <w:t>advierte</w:t>
      </w:r>
      <w:r w:rsidR="00C87DF0" w:rsidRPr="0025010A">
        <w:rPr>
          <w:rFonts w:ascii="Arial" w:hAnsi="Arial" w:cs="Arial"/>
          <w:color w:val="000000" w:themeColor="text1"/>
          <w:sz w:val="22"/>
          <w:szCs w:val="22"/>
        </w:rPr>
        <w:t>, las entidades públicas contratantes deben preveer un método aleatori</w:t>
      </w:r>
      <w:r w:rsidR="005A453F" w:rsidRPr="0025010A">
        <w:rPr>
          <w:rFonts w:ascii="Arial" w:hAnsi="Arial" w:cs="Arial"/>
          <w:color w:val="000000" w:themeColor="text1"/>
          <w:sz w:val="22"/>
          <w:szCs w:val="22"/>
        </w:rPr>
        <w:t>o</w:t>
      </w:r>
      <w:r w:rsidR="00C87DF0" w:rsidRPr="0025010A">
        <w:rPr>
          <w:rFonts w:ascii="Arial" w:hAnsi="Arial" w:cs="Arial"/>
          <w:color w:val="000000" w:themeColor="text1"/>
          <w:sz w:val="22"/>
          <w:szCs w:val="22"/>
        </w:rPr>
        <w:t xml:space="preserve"> para la escogencia del mecanismo que será utilizado para la evaluación de la oferta económica, y dicho método constará en los respectivos pliegos de condiciones. De lo preceptuado en la norma se derivan dos aspectos básicos en torno a la escogencia del mecanismo de evaluación: primero, la Ley 1882 no dispone un método </w:t>
      </w:r>
      <w:r w:rsidR="005A453F" w:rsidRPr="0025010A">
        <w:rPr>
          <w:rFonts w:ascii="Arial" w:hAnsi="Arial" w:cs="Arial"/>
          <w:color w:val="000000" w:themeColor="text1"/>
          <w:sz w:val="22"/>
          <w:szCs w:val="22"/>
        </w:rPr>
        <w:t xml:space="preserve">de selección </w:t>
      </w:r>
      <w:r w:rsidR="00C87DF0" w:rsidRPr="0025010A">
        <w:rPr>
          <w:rFonts w:ascii="Arial" w:hAnsi="Arial" w:cs="Arial"/>
          <w:color w:val="000000" w:themeColor="text1"/>
          <w:sz w:val="22"/>
          <w:szCs w:val="22"/>
        </w:rPr>
        <w:t>aleatorio específico que deba ser utilizado por las entidades contratantes, quedando estas en libertad de escoger el que consideren viable, si</w:t>
      </w:r>
      <w:r w:rsidR="005A453F" w:rsidRPr="0025010A">
        <w:rPr>
          <w:rFonts w:ascii="Arial" w:hAnsi="Arial" w:cs="Arial"/>
          <w:color w:val="000000" w:themeColor="text1"/>
          <w:sz w:val="22"/>
          <w:szCs w:val="22"/>
        </w:rPr>
        <w:t>em</w:t>
      </w:r>
      <w:r w:rsidR="00C87DF0" w:rsidRPr="0025010A">
        <w:rPr>
          <w:rFonts w:ascii="Arial" w:hAnsi="Arial" w:cs="Arial"/>
          <w:color w:val="000000" w:themeColor="text1"/>
          <w:sz w:val="22"/>
          <w:szCs w:val="22"/>
        </w:rPr>
        <w:t>pre y cuando</w:t>
      </w:r>
      <w:r w:rsidR="005A453F" w:rsidRPr="0025010A">
        <w:rPr>
          <w:rFonts w:ascii="Arial" w:hAnsi="Arial" w:cs="Arial"/>
          <w:color w:val="000000" w:themeColor="text1"/>
          <w:sz w:val="22"/>
          <w:szCs w:val="22"/>
        </w:rPr>
        <w:t xml:space="preserve">, eso sí, se </w:t>
      </w:r>
      <w:r w:rsidR="00C87DF0" w:rsidRPr="0025010A">
        <w:rPr>
          <w:rFonts w:ascii="Arial" w:hAnsi="Arial" w:cs="Arial"/>
          <w:color w:val="000000" w:themeColor="text1"/>
          <w:sz w:val="22"/>
          <w:szCs w:val="22"/>
        </w:rPr>
        <w:t>cumpla con el requisito de la aleatoriedad; además, es perentorio que el método aleatorio que será utilizado por la entidad conste</w:t>
      </w:r>
      <w:r w:rsidR="005A453F" w:rsidRPr="0025010A">
        <w:rPr>
          <w:rFonts w:ascii="Arial" w:hAnsi="Arial" w:cs="Arial"/>
          <w:color w:val="000000" w:themeColor="text1"/>
          <w:sz w:val="22"/>
          <w:szCs w:val="22"/>
        </w:rPr>
        <w:t xml:space="preserve"> previamente</w:t>
      </w:r>
      <w:r w:rsidR="00C87DF0" w:rsidRPr="0025010A">
        <w:rPr>
          <w:rFonts w:ascii="Arial" w:hAnsi="Arial" w:cs="Arial"/>
          <w:color w:val="000000" w:themeColor="text1"/>
          <w:sz w:val="22"/>
          <w:szCs w:val="22"/>
        </w:rPr>
        <w:t xml:space="preserve"> en los pliegos de condiciones, con el fin que sea conocido por los interesados en el Proceso de Contratación, garantizando así la transparencia y la igualdad debida dentro del mismo. </w:t>
      </w:r>
    </w:p>
    <w:p w14:paraId="22D8C48B" w14:textId="35FD4B74" w:rsidR="00C87DF0" w:rsidRPr="0025010A" w:rsidRDefault="00C87DF0" w:rsidP="00C87DF0">
      <w:pPr>
        <w:spacing w:after="120"/>
        <w:ind w:firstLine="720"/>
        <w:rPr>
          <w:rFonts w:ascii="Arial" w:hAnsi="Arial" w:cs="Arial"/>
          <w:color w:val="000000" w:themeColor="text1"/>
          <w:sz w:val="22"/>
          <w:szCs w:val="22"/>
        </w:rPr>
      </w:pPr>
      <w:r w:rsidRPr="0025010A">
        <w:rPr>
          <w:rFonts w:ascii="Arial" w:hAnsi="Arial" w:cs="Arial"/>
          <w:color w:val="000000" w:themeColor="text1"/>
          <w:sz w:val="22"/>
          <w:szCs w:val="22"/>
        </w:rPr>
        <w:t xml:space="preserve">Como se verá a continuación, </w:t>
      </w:r>
      <w:r w:rsidR="00B26FAF" w:rsidRPr="0025010A">
        <w:rPr>
          <w:rFonts w:ascii="Arial" w:hAnsi="Arial" w:cs="Arial"/>
          <w:color w:val="000000" w:themeColor="text1"/>
          <w:sz w:val="22"/>
          <w:szCs w:val="22"/>
        </w:rPr>
        <w:t>al no existir</w:t>
      </w:r>
      <w:r w:rsidRPr="0025010A">
        <w:rPr>
          <w:rFonts w:ascii="Arial" w:hAnsi="Arial" w:cs="Arial"/>
          <w:color w:val="000000" w:themeColor="text1"/>
          <w:sz w:val="22"/>
          <w:szCs w:val="22"/>
        </w:rPr>
        <w:t xml:space="preserve"> tarifa normativa que disponga de un método aleatorio en específico para que sea utilizado por las entidades contratantes, esta Agencia, en el ejer</w:t>
      </w:r>
      <w:r w:rsidR="005A453F" w:rsidRPr="0025010A">
        <w:rPr>
          <w:rFonts w:ascii="Arial" w:hAnsi="Arial" w:cs="Arial"/>
          <w:color w:val="000000" w:themeColor="text1"/>
          <w:sz w:val="22"/>
          <w:szCs w:val="22"/>
        </w:rPr>
        <w:t>c</w:t>
      </w:r>
      <w:r w:rsidRPr="0025010A">
        <w:rPr>
          <w:rFonts w:ascii="Arial" w:hAnsi="Arial" w:cs="Arial"/>
          <w:color w:val="000000" w:themeColor="text1"/>
          <w:sz w:val="22"/>
          <w:szCs w:val="22"/>
        </w:rPr>
        <w:t xml:space="preserve">icio de las facultades derivadas de la normativa legal y reglamentaria </w:t>
      </w:r>
      <w:r w:rsidRPr="0025010A">
        <w:rPr>
          <w:rFonts w:ascii="Arial" w:hAnsi="Arial" w:cs="Arial"/>
          <w:color w:val="000000" w:themeColor="text1"/>
          <w:sz w:val="22"/>
          <w:szCs w:val="22"/>
        </w:rPr>
        <w:lastRenderedPageBreak/>
        <w:t xml:space="preserve">en torno a la adopción de Documentos Tipo, </w:t>
      </w:r>
      <w:r w:rsidR="00B26FAF" w:rsidRPr="0025010A">
        <w:rPr>
          <w:rFonts w:ascii="Arial" w:hAnsi="Arial" w:cs="Arial"/>
          <w:color w:val="000000" w:themeColor="text1"/>
          <w:sz w:val="22"/>
          <w:szCs w:val="22"/>
        </w:rPr>
        <w:t xml:space="preserve">particularmente, con fundamento en la Ley 2022 de 2020, </w:t>
      </w:r>
      <w:r w:rsidRPr="0025010A">
        <w:rPr>
          <w:rFonts w:ascii="Arial" w:hAnsi="Arial" w:cs="Arial"/>
          <w:color w:val="000000" w:themeColor="text1"/>
          <w:sz w:val="22"/>
          <w:szCs w:val="22"/>
        </w:rPr>
        <w:t>ha acogido a la Tasa Representativa del Mercado</w:t>
      </w:r>
      <w:r w:rsidR="003A6C12" w:rsidRPr="0025010A">
        <w:rPr>
          <w:rFonts w:ascii="Arial" w:hAnsi="Arial" w:cs="Arial"/>
          <w:color w:val="000000" w:themeColor="text1"/>
          <w:sz w:val="22"/>
          <w:szCs w:val="22"/>
        </w:rPr>
        <w:t xml:space="preserve"> </w:t>
      </w:r>
      <w:r w:rsidR="00B26FAF" w:rsidRPr="0025010A">
        <w:rPr>
          <w:rFonts w:ascii="Arial" w:hAnsi="Arial" w:cs="Arial"/>
          <w:color w:val="000000" w:themeColor="text1"/>
          <w:sz w:val="22"/>
          <w:szCs w:val="22"/>
        </w:rPr>
        <w:t>–</w:t>
      </w:r>
      <w:r w:rsidR="003A6C12" w:rsidRPr="0025010A">
        <w:rPr>
          <w:rFonts w:ascii="Arial" w:hAnsi="Arial" w:cs="Arial"/>
          <w:color w:val="000000" w:themeColor="text1"/>
          <w:sz w:val="22"/>
          <w:szCs w:val="22"/>
        </w:rPr>
        <w:t>TRM</w:t>
      </w:r>
      <w:r w:rsidR="00B26FAF" w:rsidRPr="0025010A">
        <w:rPr>
          <w:rFonts w:ascii="Arial" w:hAnsi="Arial" w:cs="Arial"/>
          <w:color w:val="000000" w:themeColor="text1"/>
          <w:sz w:val="22"/>
          <w:szCs w:val="22"/>
        </w:rPr>
        <w:t>–</w:t>
      </w:r>
      <w:r w:rsidRPr="0025010A">
        <w:rPr>
          <w:rFonts w:ascii="Arial" w:hAnsi="Arial" w:cs="Arial"/>
          <w:color w:val="000000" w:themeColor="text1"/>
          <w:sz w:val="22"/>
          <w:szCs w:val="22"/>
        </w:rPr>
        <w:t xml:space="preserve"> como la variable</w:t>
      </w:r>
      <w:r w:rsidR="005A453F" w:rsidRPr="0025010A">
        <w:rPr>
          <w:rFonts w:ascii="Arial" w:hAnsi="Arial" w:cs="Arial"/>
          <w:color w:val="000000" w:themeColor="text1"/>
          <w:sz w:val="22"/>
          <w:szCs w:val="22"/>
        </w:rPr>
        <w:t xml:space="preserve"> de selección</w:t>
      </w:r>
      <w:r w:rsidRPr="0025010A">
        <w:rPr>
          <w:rFonts w:ascii="Arial" w:hAnsi="Arial" w:cs="Arial"/>
          <w:color w:val="000000" w:themeColor="text1"/>
          <w:sz w:val="22"/>
          <w:szCs w:val="22"/>
        </w:rPr>
        <w:t xml:space="preserve"> aleatoria </w:t>
      </w:r>
      <w:r w:rsidR="003A6C12" w:rsidRPr="0025010A">
        <w:rPr>
          <w:rFonts w:ascii="Arial" w:hAnsi="Arial" w:cs="Arial"/>
          <w:color w:val="000000" w:themeColor="text1"/>
          <w:sz w:val="22"/>
          <w:szCs w:val="22"/>
        </w:rPr>
        <w:t>utilizada para la determinación del mecani</w:t>
      </w:r>
      <w:r w:rsidR="005A453F" w:rsidRPr="0025010A">
        <w:rPr>
          <w:rFonts w:ascii="Arial" w:hAnsi="Arial" w:cs="Arial"/>
          <w:color w:val="000000" w:themeColor="text1"/>
          <w:sz w:val="22"/>
          <w:szCs w:val="22"/>
        </w:rPr>
        <w:t>s</w:t>
      </w:r>
      <w:r w:rsidR="003A6C12" w:rsidRPr="0025010A">
        <w:rPr>
          <w:rFonts w:ascii="Arial" w:hAnsi="Arial" w:cs="Arial"/>
          <w:color w:val="000000" w:themeColor="text1"/>
          <w:sz w:val="22"/>
          <w:szCs w:val="22"/>
        </w:rPr>
        <w:t xml:space="preserve">mo de ponderación de </w:t>
      </w:r>
      <w:r w:rsidR="00B26FAF" w:rsidRPr="0025010A">
        <w:rPr>
          <w:rFonts w:ascii="Arial" w:hAnsi="Arial" w:cs="Arial"/>
          <w:color w:val="000000" w:themeColor="text1"/>
          <w:sz w:val="22"/>
          <w:szCs w:val="22"/>
        </w:rPr>
        <w:t xml:space="preserve">las </w:t>
      </w:r>
      <w:r w:rsidR="003A6C12" w:rsidRPr="0025010A">
        <w:rPr>
          <w:rFonts w:ascii="Arial" w:hAnsi="Arial" w:cs="Arial"/>
          <w:color w:val="000000" w:themeColor="text1"/>
          <w:sz w:val="22"/>
          <w:szCs w:val="22"/>
        </w:rPr>
        <w:t>ofertas económicas.</w:t>
      </w:r>
    </w:p>
    <w:p w14:paraId="147AACA9" w14:textId="51447728" w:rsidR="00C0357A" w:rsidRPr="0025010A" w:rsidRDefault="00C0357A" w:rsidP="00C0357A">
      <w:pPr>
        <w:tabs>
          <w:tab w:val="left" w:pos="426"/>
        </w:tabs>
        <w:spacing w:afterLines="120" w:after="288"/>
        <w:rPr>
          <w:rFonts w:ascii="Arial" w:eastAsia="Arial" w:hAnsi="Arial" w:cs="Arial"/>
          <w:b/>
          <w:color w:val="000000" w:themeColor="text1"/>
          <w:sz w:val="22"/>
          <w:szCs w:val="22"/>
        </w:rPr>
      </w:pPr>
      <w:r w:rsidRPr="0025010A">
        <w:rPr>
          <w:rFonts w:ascii="Arial" w:eastAsia="Arial" w:hAnsi="Arial" w:cs="Arial"/>
          <w:b/>
          <w:color w:val="000000" w:themeColor="text1"/>
          <w:sz w:val="22"/>
          <w:szCs w:val="22"/>
        </w:rPr>
        <w:t>2.3.</w:t>
      </w:r>
      <w:r w:rsidRPr="0025010A">
        <w:rPr>
          <w:rFonts w:ascii="Arial" w:eastAsia="Arial" w:hAnsi="Arial" w:cs="Arial"/>
          <w:b/>
          <w:color w:val="000000" w:themeColor="text1"/>
          <w:sz w:val="22"/>
          <w:szCs w:val="22"/>
        </w:rPr>
        <w:tab/>
      </w:r>
      <w:bookmarkStart w:id="7" w:name="_Hlk103265819"/>
      <w:r w:rsidRPr="0025010A">
        <w:rPr>
          <w:rFonts w:ascii="Arial" w:hAnsi="Arial" w:cs="Arial"/>
          <w:b/>
          <w:bCs/>
          <w:color w:val="000000" w:themeColor="text1"/>
          <w:sz w:val="22"/>
          <w:szCs w:val="22"/>
          <w:bdr w:val="none" w:sz="0" w:space="0" w:color="auto" w:frame="1"/>
          <w:lang w:eastAsia="es-CO"/>
        </w:rPr>
        <w:t>Determinación de</w:t>
      </w:r>
      <w:r w:rsidR="0001435A" w:rsidRPr="0025010A">
        <w:rPr>
          <w:rFonts w:ascii="Arial" w:hAnsi="Arial" w:cs="Arial"/>
          <w:b/>
          <w:bCs/>
          <w:color w:val="000000" w:themeColor="text1"/>
          <w:sz w:val="22"/>
          <w:szCs w:val="22"/>
          <w:bdr w:val="none" w:sz="0" w:space="0" w:color="auto" w:frame="1"/>
          <w:lang w:eastAsia="es-CO"/>
        </w:rPr>
        <w:t xml:space="preserve">l método de </w:t>
      </w:r>
      <w:r w:rsidRPr="0025010A">
        <w:rPr>
          <w:rFonts w:ascii="Arial" w:hAnsi="Arial" w:cs="Arial"/>
          <w:b/>
          <w:bCs/>
          <w:color w:val="000000" w:themeColor="text1"/>
          <w:sz w:val="22"/>
          <w:szCs w:val="22"/>
          <w:bdr w:val="none" w:sz="0" w:space="0" w:color="auto" w:frame="1"/>
          <w:lang w:eastAsia="es-CO"/>
        </w:rPr>
        <w:t>ponderación de la propuesta económica en los</w:t>
      </w:r>
      <w:r w:rsidR="0001435A" w:rsidRPr="0025010A">
        <w:rPr>
          <w:rFonts w:ascii="Arial" w:hAnsi="Arial" w:cs="Arial"/>
          <w:b/>
          <w:bCs/>
          <w:color w:val="000000" w:themeColor="text1"/>
          <w:sz w:val="22"/>
          <w:szCs w:val="22"/>
          <w:bdr w:val="none" w:sz="0" w:space="0" w:color="auto" w:frame="1"/>
          <w:lang w:eastAsia="es-CO"/>
        </w:rPr>
        <w:t xml:space="preserve"> procesos regidos por</w:t>
      </w:r>
      <w:r w:rsidRPr="0025010A">
        <w:rPr>
          <w:rFonts w:ascii="Arial" w:hAnsi="Arial" w:cs="Arial"/>
          <w:b/>
          <w:bCs/>
          <w:color w:val="000000" w:themeColor="text1"/>
          <w:sz w:val="22"/>
          <w:szCs w:val="22"/>
          <w:bdr w:val="none" w:sz="0" w:space="0" w:color="auto" w:frame="1"/>
          <w:lang w:eastAsia="es-CO"/>
        </w:rPr>
        <w:t xml:space="preserve"> documentos tipo</w:t>
      </w:r>
      <w:bookmarkEnd w:id="7"/>
    </w:p>
    <w:p w14:paraId="413E9D8C" w14:textId="43CDD483" w:rsidR="00C0357A" w:rsidRPr="0025010A" w:rsidRDefault="00C0357A" w:rsidP="00C0357A">
      <w:pPr>
        <w:pStyle w:val="Normal11pt"/>
        <w:spacing w:line="276" w:lineRule="auto"/>
        <w:ind w:left="0"/>
        <w:rPr>
          <w:rFonts w:eastAsia="Calibri"/>
          <w:color w:val="000000" w:themeColor="text1"/>
        </w:rPr>
      </w:pPr>
      <w:r w:rsidRPr="0025010A">
        <w:rPr>
          <w:rFonts w:eastAsia="Calibri"/>
          <w:color w:val="000000" w:themeColor="text1"/>
        </w:rPr>
        <w:t xml:space="preserve">Los Documentos Tipo adoptados por esta Agencia </w:t>
      </w:r>
      <w:r w:rsidR="00C87DF0" w:rsidRPr="0025010A">
        <w:rPr>
          <w:rFonts w:eastAsia="Calibri"/>
          <w:color w:val="000000" w:themeColor="text1"/>
        </w:rPr>
        <w:t>han</w:t>
      </w:r>
      <w:r w:rsidRPr="0025010A">
        <w:rPr>
          <w:rFonts w:eastAsia="Calibri"/>
          <w:color w:val="000000" w:themeColor="text1"/>
        </w:rPr>
        <w:t xml:space="preserve"> regulado de manera uniforme lo relativo a la determinación del factor que se tendrá en cuenta </w:t>
      </w:r>
      <w:r w:rsidR="00B26FAF" w:rsidRPr="0025010A">
        <w:rPr>
          <w:rFonts w:eastAsia="Calibri"/>
          <w:color w:val="000000" w:themeColor="text1"/>
        </w:rPr>
        <w:t>para determinar el método para la ponderación de las ofertas económicas</w:t>
      </w:r>
      <w:r w:rsidRPr="0025010A">
        <w:rPr>
          <w:rFonts w:eastAsia="Calibri"/>
          <w:color w:val="000000" w:themeColor="text1"/>
        </w:rPr>
        <w:t>, acogiendo</w:t>
      </w:r>
      <w:r w:rsidR="003A6C12" w:rsidRPr="0025010A">
        <w:rPr>
          <w:rFonts w:eastAsia="Calibri"/>
          <w:color w:val="000000" w:themeColor="text1"/>
        </w:rPr>
        <w:t>, como se anunció,</w:t>
      </w:r>
      <w:r w:rsidRPr="0025010A">
        <w:rPr>
          <w:rFonts w:eastAsia="Calibri"/>
          <w:color w:val="000000" w:themeColor="text1"/>
        </w:rPr>
        <w:t xml:space="preserve"> la Tasa Representativa del Mercado que rija para determinado momento</w:t>
      </w:r>
      <w:r w:rsidR="00B26FAF" w:rsidRPr="0025010A">
        <w:rPr>
          <w:rFonts w:eastAsia="Calibri"/>
          <w:color w:val="000000" w:themeColor="text1"/>
        </w:rPr>
        <w:t>,</w:t>
      </w:r>
      <w:r w:rsidRPr="0025010A">
        <w:rPr>
          <w:rFonts w:eastAsia="Calibri"/>
          <w:color w:val="000000" w:themeColor="text1"/>
        </w:rPr>
        <w:t xml:space="preserve"> como la cifra </w:t>
      </w:r>
      <w:r w:rsidR="00B26FAF" w:rsidRPr="0025010A">
        <w:rPr>
          <w:rFonts w:eastAsia="Calibri"/>
          <w:color w:val="000000" w:themeColor="text1"/>
        </w:rPr>
        <w:t xml:space="preserve">o criterio que </w:t>
      </w:r>
      <w:r w:rsidRPr="0025010A">
        <w:rPr>
          <w:rFonts w:eastAsia="Calibri"/>
          <w:color w:val="000000" w:themeColor="text1"/>
        </w:rPr>
        <w:t xml:space="preserve">definirá uno de los métodos de ponderación de la propuesta establecidos en los documentos </w:t>
      </w:r>
      <w:r w:rsidR="00B26FAF" w:rsidRPr="0025010A">
        <w:rPr>
          <w:rFonts w:eastAsia="Calibri"/>
          <w:color w:val="000000" w:themeColor="text1"/>
        </w:rPr>
        <w:t>tipo</w:t>
      </w:r>
      <w:r w:rsidRPr="0025010A">
        <w:rPr>
          <w:rFonts w:eastAsia="Calibri"/>
          <w:color w:val="000000" w:themeColor="text1"/>
        </w:rPr>
        <w:t xml:space="preserve">. </w:t>
      </w:r>
    </w:p>
    <w:p w14:paraId="1A2EC8A5" w14:textId="77777777" w:rsidR="00C0357A" w:rsidRPr="0025010A" w:rsidRDefault="00C0357A" w:rsidP="00C0357A">
      <w:pPr>
        <w:spacing w:before="120" w:after="120"/>
        <w:ind w:firstLine="709"/>
        <w:rPr>
          <w:rFonts w:ascii="Arial" w:hAnsi="Arial" w:cs="Arial"/>
          <w:color w:val="000000" w:themeColor="text1"/>
          <w:sz w:val="22"/>
          <w:lang w:val="es-ES_tradnl"/>
        </w:rPr>
      </w:pPr>
      <w:r w:rsidRPr="0025010A">
        <w:rPr>
          <w:rFonts w:ascii="Arial" w:hAnsi="Arial" w:cs="Arial"/>
          <w:color w:val="000000" w:themeColor="text1"/>
          <w:sz w:val="22"/>
          <w:lang w:val="es-ES_tradnl"/>
        </w:rPr>
        <w:t>La Tasa de Cambio Representativa del Mercado – TRM «</w:t>
      </w:r>
      <w:r w:rsidRPr="0025010A">
        <w:rPr>
          <w:rFonts w:ascii="Arial" w:hAnsi="Arial" w:cs="Arial"/>
          <w:color w:val="000000" w:themeColor="text1"/>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25010A">
        <w:rPr>
          <w:rFonts w:ascii="Arial" w:hAnsi="Arial" w:cs="Arial"/>
          <w:color w:val="000000" w:themeColor="text1"/>
          <w:sz w:val="22"/>
          <w:lang w:val="es-ES_tradnl"/>
        </w:rPr>
        <w:t>»</w:t>
      </w:r>
      <w:r w:rsidRPr="0025010A">
        <w:rPr>
          <w:rFonts w:ascii="Arial" w:hAnsi="Arial" w:cs="Arial"/>
          <w:color w:val="000000" w:themeColor="text1"/>
          <w:sz w:val="22"/>
          <w:vertAlign w:val="superscript"/>
          <w:lang w:val="es-ES_tradnl"/>
        </w:rPr>
        <w:t xml:space="preserve"> </w:t>
      </w:r>
      <w:r w:rsidRPr="0025010A">
        <w:rPr>
          <w:rFonts w:ascii="Arial" w:hAnsi="Arial" w:cs="Arial"/>
          <w:color w:val="000000" w:themeColor="text1"/>
          <w:sz w:val="22"/>
          <w:vertAlign w:val="superscript"/>
          <w:lang w:val="es-ES_tradnl"/>
        </w:rPr>
        <w:footnoteReference w:id="11"/>
      </w:r>
      <w:r w:rsidRPr="0025010A">
        <w:rPr>
          <w:rFonts w:ascii="Arial" w:hAnsi="Arial" w:cs="Arial"/>
          <w:color w:val="000000" w:themeColor="text1"/>
          <w:sz w:val="22"/>
          <w:lang w:val="es-ES_tradnl"/>
        </w:rPr>
        <w:t>,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25010A">
        <w:rPr>
          <w:rFonts w:ascii="Arial" w:hAnsi="Arial" w:cs="Arial"/>
          <w:color w:val="000000" w:themeColor="text1"/>
          <w:sz w:val="22"/>
          <w:vertAlign w:val="superscript"/>
          <w:lang w:val="es-ES_tradnl"/>
        </w:rPr>
        <w:footnoteReference w:id="12"/>
      </w:r>
      <w:r w:rsidRPr="0025010A">
        <w:rPr>
          <w:rFonts w:ascii="Arial" w:hAnsi="Arial" w:cs="Arial"/>
          <w:color w:val="000000" w:themeColor="text1"/>
          <w:sz w:val="22"/>
          <w:lang w:val="es-ES_tradnl"/>
        </w:rPr>
        <w:t xml:space="preserve">», de donde se despende que la TRM es un valor que se origina en la fluctuación del mercado. </w:t>
      </w:r>
    </w:p>
    <w:p w14:paraId="5A908A24" w14:textId="16AAFF09" w:rsidR="00B5608E" w:rsidRPr="0025010A" w:rsidRDefault="00C0357A" w:rsidP="00E26991">
      <w:pPr>
        <w:spacing w:after="120"/>
        <w:rPr>
          <w:rFonts w:ascii="Arial" w:hAnsi="Arial" w:cs="Arial"/>
          <w:color w:val="000000" w:themeColor="text1"/>
          <w:sz w:val="22"/>
          <w:lang w:val="es-ES"/>
        </w:rPr>
      </w:pPr>
      <w:r w:rsidRPr="0025010A">
        <w:rPr>
          <w:rFonts w:ascii="Arial" w:hAnsi="Arial" w:cs="Arial"/>
          <w:color w:val="000000" w:themeColor="text1"/>
          <w:sz w:val="22"/>
        </w:rPr>
        <w:tab/>
        <w:t xml:space="preserve">La TRM que la entidad usará para el método de ponderación podrá variar de acuerdo al proceso de selección regulado en el respectivo Documento Tipo. Así, </w:t>
      </w:r>
      <w:r w:rsidR="00B5608E" w:rsidRPr="0025010A">
        <w:rPr>
          <w:rFonts w:ascii="Arial" w:hAnsi="Arial" w:cs="Arial"/>
          <w:color w:val="000000" w:themeColor="text1"/>
          <w:sz w:val="22"/>
          <w:szCs w:val="22"/>
          <w:lang w:eastAsia="en-US"/>
        </w:rPr>
        <w:t xml:space="preserve">los «Documentos Tipo – Versión 3» de licitación de </w:t>
      </w:r>
      <w:r w:rsidR="00B26FAF" w:rsidRPr="0025010A">
        <w:rPr>
          <w:rFonts w:ascii="Arial" w:hAnsi="Arial" w:cs="Arial"/>
          <w:color w:val="000000" w:themeColor="text1"/>
          <w:sz w:val="22"/>
          <w:szCs w:val="22"/>
          <w:lang w:eastAsia="en-US"/>
        </w:rPr>
        <w:t xml:space="preserve">obra de </w:t>
      </w:r>
      <w:r w:rsidR="00B5608E" w:rsidRPr="0025010A">
        <w:rPr>
          <w:rFonts w:ascii="Arial" w:hAnsi="Arial" w:cs="Arial"/>
          <w:color w:val="000000" w:themeColor="text1"/>
          <w:sz w:val="22"/>
          <w:szCs w:val="22"/>
          <w:lang w:eastAsia="en-US"/>
        </w:rPr>
        <w:t>infraestructura de transporte,</w:t>
      </w:r>
      <w:r w:rsidR="00B5608E" w:rsidRPr="0025010A">
        <w:rPr>
          <w:rFonts w:ascii="Arial" w:hAnsi="Arial" w:cs="Arial"/>
          <w:color w:val="000000" w:themeColor="text1"/>
          <w:sz w:val="22"/>
          <w:szCs w:val="22"/>
        </w:rPr>
        <w:t xml:space="preserve"> establece</w:t>
      </w:r>
      <w:r w:rsidR="00B26FAF" w:rsidRPr="0025010A">
        <w:rPr>
          <w:rFonts w:ascii="Arial" w:hAnsi="Arial" w:cs="Arial"/>
          <w:color w:val="000000" w:themeColor="text1"/>
          <w:sz w:val="22"/>
          <w:szCs w:val="22"/>
        </w:rPr>
        <w:t>n</w:t>
      </w:r>
      <w:r w:rsidR="00B5608E" w:rsidRPr="0025010A">
        <w:rPr>
          <w:rFonts w:ascii="Arial" w:hAnsi="Arial" w:cs="Arial"/>
          <w:color w:val="000000" w:themeColor="text1"/>
          <w:sz w:val="22"/>
          <w:szCs w:val="22"/>
        </w:rPr>
        <w:t xml:space="preserve"> en el numeral </w:t>
      </w:r>
      <w:bookmarkStart w:id="8" w:name="_Toc32147369"/>
      <w:bookmarkStart w:id="9" w:name="_Toc84413953"/>
      <w:bookmarkStart w:id="10" w:name="_Hlk511666009"/>
      <w:r w:rsidR="00B5608E" w:rsidRPr="0025010A">
        <w:rPr>
          <w:rFonts w:ascii="Arial" w:hAnsi="Arial" w:cs="Arial"/>
          <w:color w:val="000000" w:themeColor="text1"/>
          <w:sz w:val="22"/>
          <w:szCs w:val="22"/>
          <w:lang w:val="es-CO"/>
        </w:rPr>
        <w:t>4.1.4. «</w:t>
      </w:r>
      <w:r w:rsidR="00B5608E" w:rsidRPr="0025010A">
        <w:rPr>
          <w:rFonts w:ascii="Arial" w:eastAsia="Arial" w:hAnsi="Arial" w:cs="Arial"/>
          <w:color w:val="000000" w:themeColor="text1"/>
          <w:sz w:val="22"/>
          <w:szCs w:val="22"/>
          <w:lang w:val="es-CO"/>
        </w:rPr>
        <w:t>DETERMINACIÓN DEL MÉTODO PARA LA PONDERACIÓN DE LA PROPUESTA ECONÓMICA</w:t>
      </w:r>
      <w:bookmarkEnd w:id="8"/>
      <w:bookmarkEnd w:id="9"/>
      <w:bookmarkEnd w:id="10"/>
      <w:r w:rsidR="00B5608E" w:rsidRPr="0025010A">
        <w:rPr>
          <w:rFonts w:ascii="Arial" w:eastAsia="Arial" w:hAnsi="Arial" w:cs="Arial"/>
          <w:color w:val="000000" w:themeColor="text1"/>
          <w:sz w:val="22"/>
          <w:szCs w:val="22"/>
          <w:lang w:val="es-CO"/>
        </w:rPr>
        <w:t xml:space="preserve">», que </w:t>
      </w:r>
      <w:r w:rsidR="00B5608E" w:rsidRPr="0025010A">
        <w:rPr>
          <w:rFonts w:ascii="Arial" w:hAnsi="Arial" w:cs="Arial"/>
          <w:color w:val="000000" w:themeColor="text1"/>
          <w:sz w:val="22"/>
          <w:lang w:val="es-ES"/>
        </w:rPr>
        <w:t>l</w:t>
      </w:r>
      <w:r w:rsidR="00B5608E" w:rsidRPr="0025010A">
        <w:rPr>
          <w:rFonts w:ascii="Arial" w:hAnsi="Arial" w:cs="Arial"/>
          <w:color w:val="000000" w:themeColor="text1"/>
          <w:sz w:val="22"/>
        </w:rPr>
        <w:t xml:space="preserve">a TRM que la entidad usará para </w:t>
      </w:r>
      <w:r w:rsidR="00A81105" w:rsidRPr="0025010A">
        <w:rPr>
          <w:rFonts w:ascii="Arial" w:hAnsi="Arial" w:cs="Arial"/>
          <w:color w:val="000000" w:themeColor="text1"/>
          <w:sz w:val="22"/>
        </w:rPr>
        <w:t xml:space="preserve">definir </w:t>
      </w:r>
      <w:r w:rsidR="00B5608E" w:rsidRPr="0025010A">
        <w:rPr>
          <w:rFonts w:ascii="Arial" w:hAnsi="Arial" w:cs="Arial"/>
          <w:color w:val="000000" w:themeColor="text1"/>
          <w:sz w:val="22"/>
        </w:rPr>
        <w:t xml:space="preserve">el método de ponderación será la que </w:t>
      </w:r>
      <w:r w:rsidR="00B26FAF" w:rsidRPr="0025010A">
        <w:rPr>
          <w:rFonts w:ascii="Arial" w:hAnsi="Arial" w:cs="Arial"/>
          <w:color w:val="000000" w:themeColor="text1"/>
          <w:sz w:val="22"/>
        </w:rPr>
        <w:t xml:space="preserve">rija </w:t>
      </w:r>
      <w:r w:rsidR="00B5608E" w:rsidRPr="0025010A">
        <w:rPr>
          <w:rFonts w:ascii="Arial" w:hAnsi="Arial" w:cs="Arial"/>
          <w:color w:val="000000" w:themeColor="text1"/>
          <w:sz w:val="22"/>
        </w:rPr>
        <w:t>el día hábil siguiente del día en que efectivamente sea la apertura del segundo sobre, según la publicación hecha por la Superintendencia en horas de la tarde el día de la apertura del segundo sobre</w:t>
      </w:r>
      <w:r w:rsidR="00B5608E" w:rsidRPr="0025010A">
        <w:rPr>
          <w:rFonts w:ascii="Arial" w:hAnsi="Arial" w:cs="Arial"/>
          <w:color w:val="000000" w:themeColor="text1"/>
          <w:sz w:val="22"/>
          <w:lang w:val="es-ES"/>
        </w:rPr>
        <w:t xml:space="preserve">. </w:t>
      </w:r>
    </w:p>
    <w:p w14:paraId="2065D687" w14:textId="3BE07B82" w:rsidR="00A81105" w:rsidRPr="0025010A" w:rsidRDefault="00A81105" w:rsidP="00A81105">
      <w:pPr>
        <w:spacing w:before="120" w:after="120"/>
        <w:textAlignment w:val="baseline"/>
        <w:rPr>
          <w:rFonts w:ascii="Arial" w:eastAsia="Times New Roman" w:hAnsi="Arial" w:cs="Arial"/>
          <w:sz w:val="22"/>
          <w:lang w:eastAsia="es-CO"/>
        </w:rPr>
      </w:pPr>
      <w:r w:rsidRPr="0025010A">
        <w:rPr>
          <w:rFonts w:ascii="Arial" w:hAnsi="Arial" w:cs="Arial"/>
          <w:color w:val="000000" w:themeColor="text1"/>
          <w:sz w:val="22"/>
          <w:lang w:val="es-ES"/>
        </w:rPr>
        <w:tab/>
        <w:t xml:space="preserve">En efecto, el </w:t>
      </w:r>
      <w:r w:rsidR="00F314E0" w:rsidRPr="0025010A">
        <w:rPr>
          <w:rFonts w:ascii="Arial" w:eastAsia="Times New Roman" w:hAnsi="Arial" w:cs="Arial"/>
          <w:sz w:val="22"/>
          <w:lang w:eastAsia="es-CO"/>
        </w:rPr>
        <w:t>e</w:t>
      </w:r>
      <w:r w:rsidRPr="0025010A">
        <w:rPr>
          <w:rFonts w:ascii="Arial" w:eastAsia="Times New Roman" w:hAnsi="Arial" w:cs="Arial"/>
          <w:sz w:val="22"/>
          <w:lang w:eastAsia="es-CO"/>
        </w:rPr>
        <w:t xml:space="preserve">l numeral 4.1.4 del Documento Base de licitación de obra pública de infraestructura de transporte, </w:t>
      </w:r>
      <w:r w:rsidRPr="0025010A">
        <w:rPr>
          <w:rFonts w:ascii="Arial" w:hAnsi="Arial" w:cs="Arial"/>
          <w:sz w:val="22"/>
        </w:rPr>
        <w:t xml:space="preserve">señala los métodos de ponderación de </w:t>
      </w:r>
      <w:r w:rsidR="00F314E0" w:rsidRPr="0025010A">
        <w:rPr>
          <w:rFonts w:ascii="Arial" w:hAnsi="Arial" w:cs="Arial"/>
          <w:sz w:val="22"/>
        </w:rPr>
        <w:t>las ofertas económicas</w:t>
      </w:r>
      <w:r w:rsidRPr="0025010A">
        <w:rPr>
          <w:rFonts w:ascii="Arial" w:hAnsi="Arial" w:cs="Arial"/>
          <w:sz w:val="22"/>
        </w:rPr>
        <w:t xml:space="preserve"> presentando 4 alternativas: i) mediana con valor absoluto, ii) media geométrica, iii) media </w:t>
      </w:r>
      <w:r w:rsidRPr="0025010A">
        <w:rPr>
          <w:rFonts w:ascii="Arial" w:hAnsi="Arial" w:cs="Arial"/>
          <w:sz w:val="22"/>
        </w:rPr>
        <w:lastRenderedPageBreak/>
        <w:t>aritmética baja y iv) menor valor</w:t>
      </w:r>
      <w:r w:rsidRPr="0025010A">
        <w:rPr>
          <w:rFonts w:ascii="Arial" w:eastAsia="Times New Roman" w:hAnsi="Arial" w:cs="Arial"/>
          <w:sz w:val="22"/>
          <w:lang w:eastAsia="es-CO"/>
        </w:rPr>
        <w:t xml:space="preserve">, las cuales deben aplicarse de manera aleatoria según los centavos de la TRM publicada por la Superintendencia Financiera. Al respecto, el documento base señala lo siguiente: </w:t>
      </w:r>
    </w:p>
    <w:p w14:paraId="4C4FAC74" w14:textId="77777777" w:rsidR="00F314E0" w:rsidRPr="0025010A" w:rsidRDefault="00F314E0" w:rsidP="0025010A">
      <w:pPr>
        <w:spacing w:after="160" w:line="240" w:lineRule="auto"/>
        <w:ind w:left="709" w:right="709"/>
        <w:rPr>
          <w:rFonts w:ascii="Arial" w:hAnsi="Arial" w:cs="Arial"/>
          <w:color w:val="000000"/>
          <w:sz w:val="21"/>
          <w:szCs w:val="21"/>
          <w:lang w:eastAsia="en-US"/>
        </w:rPr>
      </w:pPr>
      <w:r w:rsidRPr="0025010A">
        <w:rPr>
          <w:rFonts w:ascii="Arial" w:hAnsi="Arial" w:cs="Arial"/>
          <w:color w:val="000000"/>
          <w:sz w:val="21"/>
          <w:szCs w:val="21"/>
          <w:lang w:eastAsia="en-US"/>
        </w:rPr>
        <w:t>La entidad seleccionará el método de ponderación de la propuesta económica de acuerdo con las siguientes alternativas:</w:t>
      </w:r>
    </w:p>
    <w:tbl>
      <w:tblPr>
        <w:tblStyle w:val="Tablaconcuadrcula1"/>
        <w:tblW w:w="0" w:type="auto"/>
        <w:jc w:val="center"/>
        <w:tblLook w:val="04A0" w:firstRow="1" w:lastRow="0" w:firstColumn="1" w:lastColumn="0" w:noHBand="0" w:noVBand="1"/>
      </w:tblPr>
      <w:tblGrid>
        <w:gridCol w:w="1560"/>
        <w:gridCol w:w="1984"/>
      </w:tblGrid>
      <w:tr w:rsidR="00F314E0" w:rsidRPr="0025010A" w14:paraId="1FE11940" w14:textId="77777777" w:rsidTr="00F314E0">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2797BB34" w14:textId="77777777" w:rsidR="00F314E0" w:rsidRPr="0025010A" w:rsidRDefault="00F314E0" w:rsidP="0025010A">
            <w:pPr>
              <w:jc w:val="center"/>
              <w:rPr>
                <w:rFonts w:ascii="Arial" w:hAnsi="Arial"/>
                <w:b/>
                <w:bCs/>
                <w:color w:val="FFFFFF"/>
                <w:sz w:val="21"/>
                <w:szCs w:val="21"/>
              </w:rPr>
            </w:pPr>
            <w:bookmarkStart w:id="11" w:name="_Hlk511666058"/>
            <w:r w:rsidRPr="0025010A">
              <w:rPr>
                <w:rFonts w:ascii="Arial" w:hAnsi="Arial"/>
                <w:b/>
                <w:bCs/>
                <w:color w:val="FFFFFF"/>
                <w:sz w:val="21"/>
                <w:szCs w:val="21"/>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02F5844C" w14:textId="77777777" w:rsidR="00F314E0" w:rsidRPr="0025010A" w:rsidRDefault="00F314E0" w:rsidP="0025010A">
            <w:pPr>
              <w:jc w:val="center"/>
              <w:rPr>
                <w:rFonts w:ascii="Arial" w:hAnsi="Arial"/>
                <w:b/>
                <w:bCs/>
                <w:color w:val="FFFFFF"/>
                <w:sz w:val="21"/>
                <w:szCs w:val="21"/>
              </w:rPr>
            </w:pPr>
            <w:r w:rsidRPr="0025010A">
              <w:rPr>
                <w:rFonts w:ascii="Arial" w:hAnsi="Arial"/>
                <w:b/>
                <w:bCs/>
                <w:color w:val="FFFFFF"/>
                <w:sz w:val="21"/>
                <w:szCs w:val="21"/>
              </w:rPr>
              <w:t>Método</w:t>
            </w:r>
          </w:p>
        </w:tc>
      </w:tr>
      <w:tr w:rsidR="00F314E0" w:rsidRPr="0025010A" w14:paraId="642751A6" w14:textId="77777777" w:rsidTr="0034275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992643A" w14:textId="77777777" w:rsidR="00F314E0" w:rsidRPr="0025010A" w:rsidRDefault="00F314E0" w:rsidP="0025010A">
            <w:pPr>
              <w:jc w:val="center"/>
              <w:rPr>
                <w:rFonts w:ascii="Arial" w:hAnsi="Arial"/>
                <w:sz w:val="21"/>
                <w:szCs w:val="21"/>
                <w:lang w:val="es-ES"/>
              </w:rPr>
            </w:pPr>
            <w:r w:rsidRPr="0025010A">
              <w:rPr>
                <w:rFonts w:ascii="Arial" w:hAnsi="Arial"/>
                <w:sz w:val="21"/>
                <w:szCs w:val="21"/>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01BC37D" w14:textId="77777777" w:rsidR="00F314E0" w:rsidRPr="0025010A" w:rsidRDefault="00F314E0" w:rsidP="0025010A">
            <w:pPr>
              <w:jc w:val="center"/>
              <w:rPr>
                <w:rFonts w:ascii="Arial" w:hAnsi="Arial"/>
                <w:sz w:val="21"/>
                <w:szCs w:val="21"/>
                <w:lang w:val="es-ES"/>
              </w:rPr>
            </w:pPr>
            <w:r w:rsidRPr="0025010A">
              <w:rPr>
                <w:rFonts w:ascii="Arial" w:hAnsi="Arial"/>
                <w:sz w:val="21"/>
                <w:szCs w:val="21"/>
                <w:lang w:val="es-ES"/>
              </w:rPr>
              <w:t>Mediana con valor absoluto</w:t>
            </w:r>
          </w:p>
        </w:tc>
      </w:tr>
      <w:tr w:rsidR="00F314E0" w:rsidRPr="0025010A" w14:paraId="3D7120DE" w14:textId="77777777" w:rsidTr="0034275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537432D5" w14:textId="77777777" w:rsidR="00F314E0" w:rsidRPr="0025010A" w:rsidRDefault="00F314E0" w:rsidP="0025010A">
            <w:pPr>
              <w:jc w:val="center"/>
              <w:rPr>
                <w:rFonts w:ascii="Arial" w:hAnsi="Arial"/>
                <w:sz w:val="21"/>
                <w:szCs w:val="21"/>
                <w:lang w:val="es-ES"/>
              </w:rPr>
            </w:pPr>
            <w:r w:rsidRPr="0025010A">
              <w:rPr>
                <w:rFonts w:ascii="Arial" w:hAnsi="Arial"/>
                <w:sz w:val="21"/>
                <w:szCs w:val="21"/>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BCEF3F1" w14:textId="77777777" w:rsidR="00F314E0" w:rsidRPr="0025010A" w:rsidRDefault="00F314E0" w:rsidP="0025010A">
            <w:pPr>
              <w:jc w:val="center"/>
              <w:rPr>
                <w:rFonts w:ascii="Arial" w:hAnsi="Arial"/>
                <w:sz w:val="21"/>
                <w:szCs w:val="21"/>
                <w:lang w:val="es-ES"/>
              </w:rPr>
            </w:pPr>
            <w:r w:rsidRPr="0025010A">
              <w:rPr>
                <w:rFonts w:ascii="Arial" w:hAnsi="Arial"/>
                <w:sz w:val="21"/>
                <w:szCs w:val="21"/>
                <w:lang w:val="es-ES"/>
              </w:rPr>
              <w:t>Media geométrica</w:t>
            </w:r>
          </w:p>
        </w:tc>
      </w:tr>
      <w:tr w:rsidR="00F314E0" w:rsidRPr="0025010A" w14:paraId="0B1A23AB" w14:textId="77777777" w:rsidTr="0034275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3806C6F5" w14:textId="77777777" w:rsidR="00F314E0" w:rsidRPr="0025010A" w:rsidRDefault="00F314E0" w:rsidP="0025010A">
            <w:pPr>
              <w:jc w:val="center"/>
              <w:rPr>
                <w:rFonts w:ascii="Arial" w:hAnsi="Arial"/>
                <w:sz w:val="21"/>
                <w:szCs w:val="21"/>
                <w:lang w:val="es-ES"/>
              </w:rPr>
            </w:pPr>
            <w:r w:rsidRPr="0025010A">
              <w:rPr>
                <w:rFonts w:ascii="Arial" w:hAnsi="Arial"/>
                <w:sz w:val="21"/>
                <w:szCs w:val="21"/>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770B6477" w14:textId="77777777" w:rsidR="00F314E0" w:rsidRPr="0025010A" w:rsidRDefault="00F314E0" w:rsidP="0025010A">
            <w:pPr>
              <w:jc w:val="center"/>
              <w:rPr>
                <w:rFonts w:ascii="Arial" w:hAnsi="Arial"/>
                <w:sz w:val="21"/>
                <w:szCs w:val="21"/>
                <w:lang w:val="es-ES"/>
              </w:rPr>
            </w:pPr>
            <w:r w:rsidRPr="0025010A">
              <w:rPr>
                <w:rFonts w:ascii="Arial" w:hAnsi="Arial"/>
                <w:sz w:val="21"/>
                <w:szCs w:val="21"/>
                <w:lang w:val="es-ES"/>
              </w:rPr>
              <w:t>Media aritmética baja</w:t>
            </w:r>
          </w:p>
        </w:tc>
      </w:tr>
      <w:tr w:rsidR="00F314E0" w:rsidRPr="0025010A" w14:paraId="372476F0" w14:textId="77777777" w:rsidTr="0034275A">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04D7031C" w14:textId="77777777" w:rsidR="00F314E0" w:rsidRPr="0025010A" w:rsidRDefault="00F314E0" w:rsidP="0025010A">
            <w:pPr>
              <w:jc w:val="center"/>
              <w:rPr>
                <w:rFonts w:ascii="Arial" w:hAnsi="Arial"/>
                <w:sz w:val="21"/>
                <w:szCs w:val="21"/>
                <w:lang w:val="es-ES"/>
              </w:rPr>
            </w:pPr>
            <w:r w:rsidRPr="0025010A">
              <w:rPr>
                <w:rFonts w:ascii="Arial" w:hAnsi="Arial"/>
                <w:sz w:val="21"/>
                <w:szCs w:val="21"/>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479EEE30" w14:textId="77777777" w:rsidR="00F314E0" w:rsidRPr="0025010A" w:rsidRDefault="00F314E0" w:rsidP="0025010A">
            <w:pPr>
              <w:jc w:val="center"/>
              <w:rPr>
                <w:rFonts w:ascii="Arial" w:hAnsi="Arial"/>
                <w:sz w:val="21"/>
                <w:szCs w:val="21"/>
                <w:lang w:val="es-ES"/>
              </w:rPr>
            </w:pPr>
            <w:r w:rsidRPr="0025010A">
              <w:rPr>
                <w:rFonts w:ascii="Arial" w:hAnsi="Arial"/>
                <w:sz w:val="21"/>
                <w:szCs w:val="21"/>
                <w:lang w:val="es-ES"/>
              </w:rPr>
              <w:t>Menor valor</w:t>
            </w:r>
          </w:p>
        </w:tc>
      </w:tr>
      <w:bookmarkEnd w:id="11"/>
    </w:tbl>
    <w:p w14:paraId="0CF3A451" w14:textId="77777777" w:rsidR="00F314E0" w:rsidRPr="0025010A" w:rsidRDefault="00F314E0" w:rsidP="00F314E0">
      <w:pPr>
        <w:spacing w:after="160" w:line="259" w:lineRule="auto"/>
        <w:rPr>
          <w:rFonts w:ascii="Arial" w:hAnsi="Arial" w:cs="Arial"/>
          <w:color w:val="000000"/>
          <w:sz w:val="21"/>
          <w:szCs w:val="21"/>
          <w:lang w:eastAsia="en-US"/>
        </w:rPr>
      </w:pPr>
    </w:p>
    <w:p w14:paraId="79F363B5" w14:textId="77777777" w:rsidR="00F314E0" w:rsidRPr="0025010A" w:rsidRDefault="00F314E0" w:rsidP="0025010A">
      <w:pPr>
        <w:spacing w:after="160" w:line="240" w:lineRule="auto"/>
        <w:ind w:left="709" w:right="709"/>
        <w:rPr>
          <w:rFonts w:ascii="Arial" w:hAnsi="Arial" w:cs="Arial"/>
          <w:color w:val="000000"/>
          <w:sz w:val="21"/>
          <w:szCs w:val="21"/>
          <w:lang w:eastAsia="en-US"/>
        </w:rPr>
      </w:pPr>
      <w:r w:rsidRPr="0025010A">
        <w:rPr>
          <w:rFonts w:ascii="Arial" w:hAnsi="Arial" w:cs="Arial"/>
          <w:color w:val="000000"/>
          <w:sz w:val="21"/>
          <w:szCs w:val="21"/>
          <w:lang w:eastAsia="en-US"/>
        </w:rPr>
        <w:t>Para determinar el método de ponderación, la entidad tomará los centavos de la Tasa de Cambio Representativa del Mercado (TRM), certificada por la Superintendencia Financiera de Colombia (en su sitio web: https://www.superfinanciera.gov.co/publicacion/60819).</w:t>
      </w:r>
    </w:p>
    <w:p w14:paraId="0944FE02" w14:textId="77777777" w:rsidR="00F314E0" w:rsidRPr="0025010A" w:rsidRDefault="00F314E0" w:rsidP="0025010A">
      <w:pPr>
        <w:spacing w:after="160" w:line="240" w:lineRule="auto"/>
        <w:ind w:left="709" w:right="709"/>
        <w:rPr>
          <w:rFonts w:ascii="Arial" w:hAnsi="Arial" w:cs="Arial"/>
          <w:color w:val="000000"/>
          <w:sz w:val="21"/>
          <w:szCs w:val="21"/>
          <w:lang w:eastAsia="en-US"/>
        </w:rPr>
      </w:pPr>
      <w:r w:rsidRPr="0025010A">
        <w:rPr>
          <w:rFonts w:ascii="Arial" w:hAnsi="Arial" w:cs="Arial"/>
          <w:color w:val="000000"/>
          <w:sz w:val="21"/>
          <w:szCs w:val="21"/>
          <w:lang w:eastAsia="en-US"/>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2A5A5B6F" w14:textId="1BD6F24A" w:rsidR="00F314E0" w:rsidRPr="0025010A" w:rsidRDefault="00F314E0" w:rsidP="00F314E0">
      <w:pPr>
        <w:spacing w:after="160" w:line="240" w:lineRule="auto"/>
        <w:ind w:left="709" w:right="709"/>
        <w:rPr>
          <w:rFonts w:ascii="Arial" w:hAnsi="Arial" w:cs="Arial"/>
          <w:color w:val="000000"/>
          <w:sz w:val="21"/>
          <w:szCs w:val="21"/>
          <w:lang w:eastAsia="en-US"/>
        </w:rPr>
      </w:pPr>
      <w:r w:rsidRPr="0025010A">
        <w:rPr>
          <w:rFonts w:ascii="Arial" w:hAnsi="Arial" w:cs="Arial"/>
          <w:color w:val="000000"/>
          <w:sz w:val="21"/>
          <w:szCs w:val="21"/>
          <w:lang w:eastAsia="en-US"/>
        </w:rPr>
        <w:t>[…]</w:t>
      </w:r>
    </w:p>
    <w:p w14:paraId="78AD96A4" w14:textId="2D477B85" w:rsidR="00F314E0" w:rsidRPr="0025010A" w:rsidRDefault="00F314E0" w:rsidP="0025010A">
      <w:pPr>
        <w:spacing w:after="160" w:line="240" w:lineRule="auto"/>
        <w:ind w:left="709" w:right="709"/>
        <w:rPr>
          <w:rFonts w:ascii="Arial" w:hAnsi="Arial" w:cs="Arial"/>
          <w:color w:val="000000"/>
          <w:sz w:val="21"/>
          <w:szCs w:val="21"/>
          <w:lang w:eastAsia="en-US"/>
        </w:rPr>
      </w:pPr>
      <w:r w:rsidRPr="0025010A">
        <w:rPr>
          <w:rFonts w:ascii="Arial" w:hAnsi="Arial" w:cs="Arial"/>
          <w:color w:val="000000"/>
          <w:sz w:val="21"/>
          <w:szCs w:val="21"/>
          <w:lang w:eastAsia="en-US"/>
        </w:rPr>
        <w:t xml:space="preserve">Para mayor claridad y, de acuerdo con lo indicado, </w:t>
      </w:r>
      <w:r w:rsidRPr="0025010A">
        <w:rPr>
          <w:rFonts w:ascii="Arial" w:hAnsi="Arial" w:cs="Arial"/>
          <w:i/>
          <w:iCs/>
          <w:color w:val="000000"/>
          <w:sz w:val="21"/>
          <w:szCs w:val="21"/>
          <w:lang w:eastAsia="en-US"/>
        </w:rPr>
        <w:t>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sidRPr="0025010A">
        <w:rPr>
          <w:rFonts w:ascii="Arial" w:hAnsi="Arial" w:cs="Arial"/>
          <w:color w:val="000000"/>
          <w:sz w:val="21"/>
          <w:szCs w:val="21"/>
          <w:lang w:eastAsia="en-US"/>
        </w:rPr>
        <w:t xml:space="preserve">. [Por ejemplo, si la audiencia de adjudicación se realiza el 10 de febrero de 2020 y ese mismo día se abre el segundo sobre, la TRM que se usará para determinar el método de evaluación será la del 11 de febrero de 2020, que se publica en la tarde del 10 de febrero de 2020]. </w:t>
      </w:r>
    </w:p>
    <w:p w14:paraId="36791A40" w14:textId="77777777" w:rsidR="00F314E0" w:rsidRPr="0025010A" w:rsidRDefault="00F314E0" w:rsidP="0025010A">
      <w:pPr>
        <w:spacing w:after="160" w:line="240" w:lineRule="auto"/>
        <w:ind w:left="709" w:right="709"/>
        <w:rPr>
          <w:rFonts w:ascii="Arial" w:hAnsi="Arial" w:cs="Arial"/>
          <w:color w:val="000000"/>
          <w:sz w:val="21"/>
          <w:szCs w:val="21"/>
          <w:lang w:eastAsia="en-US"/>
        </w:rPr>
      </w:pPr>
      <w:r w:rsidRPr="0025010A">
        <w:rPr>
          <w:rFonts w:ascii="Arial" w:hAnsi="Arial" w:cs="Arial"/>
          <w:color w:val="000000"/>
          <w:sz w:val="21"/>
          <w:szCs w:val="21"/>
          <w:lang w:eastAsia="en-US"/>
        </w:rPr>
        <w:t>El método de ponderación se determinará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010"/>
        <w:gridCol w:w="2503"/>
      </w:tblGrid>
      <w:tr w:rsidR="00F314E0" w:rsidRPr="0025010A" w14:paraId="19525BAE" w14:textId="77777777" w:rsidTr="00F314E0">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5EF0C8B6" w14:textId="77777777" w:rsidR="00F314E0" w:rsidRPr="0025010A" w:rsidRDefault="00F314E0" w:rsidP="0025010A">
            <w:pPr>
              <w:spacing w:after="0" w:line="240" w:lineRule="auto"/>
              <w:jc w:val="center"/>
              <w:rPr>
                <w:rFonts w:ascii="Arial" w:eastAsia="Arial,Calibri" w:hAnsi="Arial" w:cs="Arial"/>
                <w:b/>
                <w:bCs/>
                <w:color w:val="FFFFFF"/>
                <w:sz w:val="21"/>
                <w:szCs w:val="21"/>
                <w:lang w:val="es-CO" w:eastAsia="en-US"/>
              </w:rPr>
            </w:pPr>
            <w:r w:rsidRPr="0025010A">
              <w:rPr>
                <w:rFonts w:ascii="Arial" w:hAnsi="Arial" w:cs="Arial"/>
                <w:b/>
                <w:bCs/>
                <w:color w:val="FFFFFF"/>
                <w:sz w:val="21"/>
                <w:szCs w:val="21"/>
                <w:lang w:val="es-CO" w:eastAsia="en-US"/>
              </w:rPr>
              <w:lastRenderedPageBreak/>
              <w:t>Rango</w:t>
            </w:r>
            <w:r w:rsidRPr="0025010A">
              <w:rPr>
                <w:rFonts w:ascii="Arial" w:eastAsia="Arial,Calibri" w:hAnsi="Arial" w:cs="Arial"/>
                <w:b/>
                <w:bCs/>
                <w:color w:val="FFFFFF"/>
                <w:sz w:val="21"/>
                <w:szCs w:val="21"/>
                <w:lang w:val="es-CO" w:eastAsia="en-US"/>
              </w:rPr>
              <w:t xml:space="preserve"> </w:t>
            </w:r>
            <w:r w:rsidRPr="0025010A">
              <w:rPr>
                <w:rFonts w:ascii="Arial" w:hAnsi="Arial" w:cs="Arial"/>
                <w:b/>
                <w:bCs/>
                <w:color w:val="FFFFFF"/>
                <w:sz w:val="21"/>
                <w:szCs w:val="21"/>
                <w:lang w:val="es-CO" w:eastAsia="en-US"/>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5650E88D" w14:textId="77777777" w:rsidR="00F314E0" w:rsidRPr="0025010A" w:rsidRDefault="00F314E0" w:rsidP="0025010A">
            <w:pPr>
              <w:spacing w:after="0" w:line="240" w:lineRule="auto"/>
              <w:jc w:val="center"/>
              <w:rPr>
                <w:rFonts w:ascii="Arial" w:eastAsia="Arial,Calibri" w:hAnsi="Arial" w:cs="Arial"/>
                <w:b/>
                <w:bCs/>
                <w:color w:val="FFFFFF"/>
                <w:sz w:val="21"/>
                <w:szCs w:val="21"/>
                <w:lang w:val="es-CO" w:eastAsia="en-US"/>
              </w:rPr>
            </w:pPr>
            <w:r w:rsidRPr="0025010A">
              <w:rPr>
                <w:rFonts w:ascii="Arial" w:hAnsi="Arial" w:cs="Arial"/>
                <w:b/>
                <w:bCs/>
                <w:color w:val="FFFFFF"/>
                <w:sz w:val="21"/>
                <w:szCs w:val="21"/>
                <w:lang w:val="es-CO" w:eastAsia="en-US"/>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78F63B6A" w14:textId="77777777" w:rsidR="00F314E0" w:rsidRPr="0025010A" w:rsidRDefault="00F314E0" w:rsidP="0025010A">
            <w:pPr>
              <w:spacing w:after="0" w:line="240" w:lineRule="auto"/>
              <w:jc w:val="center"/>
              <w:rPr>
                <w:rFonts w:ascii="Arial" w:eastAsia="Arial,Calibri" w:hAnsi="Arial" w:cs="Arial"/>
                <w:b/>
                <w:bCs/>
                <w:color w:val="FFFFFF"/>
                <w:sz w:val="21"/>
                <w:szCs w:val="21"/>
                <w:lang w:val="es-CO" w:eastAsia="en-US"/>
              </w:rPr>
            </w:pPr>
            <w:r w:rsidRPr="0025010A">
              <w:rPr>
                <w:rFonts w:ascii="Arial" w:hAnsi="Arial" w:cs="Arial"/>
                <w:b/>
                <w:bCs/>
                <w:color w:val="FFFFFF"/>
                <w:sz w:val="21"/>
                <w:szCs w:val="21"/>
                <w:lang w:val="es-CO" w:eastAsia="en-US"/>
              </w:rPr>
              <w:t>Método</w:t>
            </w:r>
          </w:p>
        </w:tc>
      </w:tr>
      <w:tr w:rsidR="00F314E0" w:rsidRPr="0025010A" w14:paraId="7EB9225B" w14:textId="77777777" w:rsidTr="0034275A">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793D398" w14:textId="77777777" w:rsidR="00F314E0" w:rsidRPr="0025010A" w:rsidRDefault="00F314E0" w:rsidP="0025010A">
            <w:pPr>
              <w:spacing w:after="0" w:line="240" w:lineRule="auto"/>
              <w:jc w:val="center"/>
              <w:rPr>
                <w:rFonts w:ascii="Arial" w:hAnsi="Arial" w:cs="Arial"/>
                <w:sz w:val="21"/>
                <w:szCs w:val="21"/>
                <w:lang w:val="es-ES" w:eastAsia="es-CO"/>
              </w:rPr>
            </w:pPr>
            <w:r w:rsidRPr="0025010A">
              <w:rPr>
                <w:rFonts w:ascii="Arial" w:hAnsi="Arial" w:cs="Arial"/>
                <w:sz w:val="21"/>
                <w:szCs w:val="21"/>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4D29163B" w14:textId="77777777" w:rsidR="00F314E0" w:rsidRPr="0025010A" w:rsidRDefault="00F314E0" w:rsidP="0025010A">
            <w:pPr>
              <w:spacing w:after="0" w:line="240" w:lineRule="auto"/>
              <w:jc w:val="center"/>
              <w:rPr>
                <w:rFonts w:ascii="Arial" w:eastAsia="Arial,Times New Roman" w:hAnsi="Arial" w:cs="Arial"/>
                <w:sz w:val="21"/>
                <w:szCs w:val="21"/>
                <w:lang w:val="es-ES" w:eastAsia="es-CO"/>
              </w:rPr>
            </w:pPr>
            <w:r w:rsidRPr="0025010A">
              <w:rPr>
                <w:rFonts w:ascii="Arial" w:hAnsi="Arial" w:cs="Arial"/>
                <w:sz w:val="21"/>
                <w:szCs w:val="21"/>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3C46AF20" w14:textId="77777777" w:rsidR="00F314E0" w:rsidRPr="0025010A" w:rsidRDefault="00F314E0" w:rsidP="0025010A">
            <w:pPr>
              <w:spacing w:after="0" w:line="240" w:lineRule="auto"/>
              <w:jc w:val="center"/>
              <w:rPr>
                <w:rFonts w:ascii="Arial" w:eastAsia="Arial,Times New Roman" w:hAnsi="Arial" w:cs="Arial"/>
                <w:sz w:val="21"/>
                <w:szCs w:val="21"/>
                <w:lang w:val="es-ES" w:eastAsia="es-CO"/>
              </w:rPr>
            </w:pPr>
            <w:r w:rsidRPr="0025010A">
              <w:rPr>
                <w:rFonts w:ascii="Arial" w:hAnsi="Arial" w:cs="Arial"/>
                <w:sz w:val="21"/>
                <w:szCs w:val="21"/>
                <w:lang w:val="es-ES" w:eastAsia="es-CO"/>
              </w:rPr>
              <w:t>Mediana con valor absoluto</w:t>
            </w:r>
          </w:p>
        </w:tc>
      </w:tr>
      <w:tr w:rsidR="00F314E0" w:rsidRPr="0025010A" w14:paraId="58918509" w14:textId="77777777" w:rsidTr="0034275A">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F68050E" w14:textId="77777777" w:rsidR="00F314E0" w:rsidRPr="0025010A" w:rsidRDefault="00F314E0" w:rsidP="0025010A">
            <w:pPr>
              <w:spacing w:after="0" w:line="240" w:lineRule="auto"/>
              <w:jc w:val="center"/>
              <w:rPr>
                <w:rFonts w:ascii="Arial" w:hAnsi="Arial" w:cs="Arial"/>
                <w:sz w:val="21"/>
                <w:szCs w:val="21"/>
                <w:lang w:val="es-ES" w:eastAsia="es-CO"/>
              </w:rPr>
            </w:pPr>
            <w:r w:rsidRPr="0025010A">
              <w:rPr>
                <w:rFonts w:ascii="Arial" w:hAnsi="Arial" w:cs="Arial"/>
                <w:sz w:val="21"/>
                <w:szCs w:val="21"/>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496B7A2" w14:textId="77777777" w:rsidR="00F314E0" w:rsidRPr="0025010A" w:rsidRDefault="00F314E0" w:rsidP="0025010A">
            <w:pPr>
              <w:spacing w:after="0" w:line="240" w:lineRule="auto"/>
              <w:jc w:val="center"/>
              <w:rPr>
                <w:rFonts w:ascii="Arial" w:eastAsia="Arial,Times New Roman" w:hAnsi="Arial" w:cs="Arial"/>
                <w:sz w:val="21"/>
                <w:szCs w:val="21"/>
                <w:lang w:val="es-ES" w:eastAsia="es-CO"/>
              </w:rPr>
            </w:pPr>
            <w:r w:rsidRPr="0025010A">
              <w:rPr>
                <w:rFonts w:ascii="Arial" w:eastAsia="Arial,Times New Roman" w:hAnsi="Arial" w:cs="Arial"/>
                <w:sz w:val="21"/>
                <w:szCs w:val="21"/>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50FC1FA" w14:textId="77777777" w:rsidR="00F314E0" w:rsidRPr="0025010A" w:rsidRDefault="00F314E0" w:rsidP="0025010A">
            <w:pPr>
              <w:spacing w:after="0" w:line="240" w:lineRule="auto"/>
              <w:jc w:val="center"/>
              <w:rPr>
                <w:rFonts w:ascii="Arial" w:eastAsia="Arial,Times New Roman" w:hAnsi="Arial" w:cs="Arial"/>
                <w:sz w:val="21"/>
                <w:szCs w:val="21"/>
                <w:lang w:val="es-ES" w:eastAsia="es-CO"/>
              </w:rPr>
            </w:pPr>
            <w:r w:rsidRPr="0025010A">
              <w:rPr>
                <w:rFonts w:ascii="Arial" w:hAnsi="Arial" w:cs="Arial"/>
                <w:sz w:val="21"/>
                <w:szCs w:val="21"/>
                <w:lang w:val="es-ES" w:eastAsia="es-CO"/>
              </w:rPr>
              <w:t>Media geométrica</w:t>
            </w:r>
          </w:p>
        </w:tc>
      </w:tr>
      <w:tr w:rsidR="00F314E0" w:rsidRPr="0025010A" w14:paraId="67D44FCC" w14:textId="77777777" w:rsidTr="0034275A">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1A995B7" w14:textId="77777777" w:rsidR="00F314E0" w:rsidRPr="0025010A" w:rsidRDefault="00F314E0" w:rsidP="0025010A">
            <w:pPr>
              <w:spacing w:after="0" w:line="240" w:lineRule="auto"/>
              <w:jc w:val="center"/>
              <w:rPr>
                <w:rFonts w:ascii="Arial" w:hAnsi="Arial" w:cs="Arial"/>
                <w:sz w:val="21"/>
                <w:szCs w:val="21"/>
                <w:lang w:val="es-ES" w:eastAsia="es-CO"/>
              </w:rPr>
            </w:pPr>
            <w:r w:rsidRPr="0025010A">
              <w:rPr>
                <w:rFonts w:ascii="Arial" w:hAnsi="Arial" w:cs="Arial"/>
                <w:sz w:val="21"/>
                <w:szCs w:val="21"/>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1E17974" w14:textId="77777777" w:rsidR="00F314E0" w:rsidRPr="0025010A" w:rsidRDefault="00F314E0" w:rsidP="0025010A">
            <w:pPr>
              <w:spacing w:after="0" w:line="240" w:lineRule="auto"/>
              <w:jc w:val="center"/>
              <w:rPr>
                <w:rFonts w:ascii="Arial" w:hAnsi="Arial" w:cs="Arial"/>
                <w:sz w:val="21"/>
                <w:szCs w:val="21"/>
                <w:lang w:val="es-ES" w:eastAsia="es-CO"/>
              </w:rPr>
            </w:pPr>
            <w:r w:rsidRPr="0025010A">
              <w:rPr>
                <w:rFonts w:ascii="Arial" w:hAnsi="Arial" w:cs="Arial"/>
                <w:sz w:val="21"/>
                <w:szCs w:val="21"/>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01FD272B" w14:textId="77777777" w:rsidR="00F314E0" w:rsidRPr="0025010A" w:rsidRDefault="00F314E0" w:rsidP="0025010A">
            <w:pPr>
              <w:spacing w:after="0" w:line="240" w:lineRule="auto"/>
              <w:jc w:val="center"/>
              <w:rPr>
                <w:rFonts w:ascii="Arial" w:hAnsi="Arial" w:cs="Arial"/>
                <w:sz w:val="21"/>
                <w:szCs w:val="21"/>
                <w:lang w:val="es-ES" w:eastAsia="es-CO"/>
              </w:rPr>
            </w:pPr>
            <w:r w:rsidRPr="0025010A">
              <w:rPr>
                <w:rFonts w:ascii="Arial" w:hAnsi="Arial" w:cs="Arial"/>
                <w:sz w:val="21"/>
                <w:szCs w:val="21"/>
                <w:lang w:val="es-ES" w:eastAsia="es-CO"/>
              </w:rPr>
              <w:t>Media aritmética baja</w:t>
            </w:r>
          </w:p>
        </w:tc>
      </w:tr>
      <w:tr w:rsidR="00F314E0" w:rsidRPr="0025010A" w14:paraId="5C716110" w14:textId="77777777" w:rsidTr="0034275A">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57062146" w14:textId="77777777" w:rsidR="00F314E0" w:rsidRPr="0025010A" w:rsidRDefault="00F314E0" w:rsidP="0025010A">
            <w:pPr>
              <w:spacing w:after="0" w:line="240" w:lineRule="auto"/>
              <w:jc w:val="center"/>
              <w:rPr>
                <w:rFonts w:ascii="Arial" w:hAnsi="Arial" w:cs="Arial"/>
                <w:sz w:val="21"/>
                <w:szCs w:val="21"/>
                <w:lang w:val="es-ES" w:eastAsia="es-CO"/>
              </w:rPr>
            </w:pPr>
            <w:r w:rsidRPr="0025010A">
              <w:rPr>
                <w:rFonts w:ascii="Arial" w:hAnsi="Arial" w:cs="Arial"/>
                <w:sz w:val="21"/>
                <w:szCs w:val="21"/>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213754F2" w14:textId="77777777" w:rsidR="00F314E0" w:rsidRPr="0025010A" w:rsidRDefault="00F314E0" w:rsidP="0025010A">
            <w:pPr>
              <w:spacing w:after="0" w:line="240" w:lineRule="auto"/>
              <w:jc w:val="center"/>
              <w:rPr>
                <w:rFonts w:ascii="Arial" w:hAnsi="Arial" w:cs="Arial"/>
                <w:sz w:val="21"/>
                <w:szCs w:val="21"/>
                <w:lang w:val="es-ES" w:eastAsia="es-CO"/>
              </w:rPr>
            </w:pPr>
            <w:r w:rsidRPr="0025010A">
              <w:rPr>
                <w:rFonts w:ascii="Arial" w:hAnsi="Arial" w:cs="Arial"/>
                <w:sz w:val="21"/>
                <w:szCs w:val="21"/>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62C28B93" w14:textId="77777777" w:rsidR="00F314E0" w:rsidRPr="0025010A" w:rsidRDefault="00F314E0" w:rsidP="0025010A">
            <w:pPr>
              <w:spacing w:after="0" w:line="240" w:lineRule="auto"/>
              <w:jc w:val="center"/>
              <w:rPr>
                <w:rFonts w:ascii="Arial" w:hAnsi="Arial" w:cs="Arial"/>
                <w:sz w:val="21"/>
                <w:szCs w:val="21"/>
                <w:lang w:val="es-ES" w:eastAsia="es-CO"/>
              </w:rPr>
            </w:pPr>
            <w:r w:rsidRPr="0025010A">
              <w:rPr>
                <w:rFonts w:ascii="Arial" w:hAnsi="Arial" w:cs="Arial"/>
                <w:sz w:val="21"/>
                <w:szCs w:val="21"/>
                <w:lang w:val="es-ES" w:eastAsia="es-CO"/>
              </w:rPr>
              <w:t>Menor valor</w:t>
            </w:r>
          </w:p>
        </w:tc>
      </w:tr>
    </w:tbl>
    <w:p w14:paraId="53F8415C" w14:textId="7DE3C64A" w:rsidR="00A81105" w:rsidRPr="0025010A" w:rsidRDefault="00A81105" w:rsidP="00E26991">
      <w:pPr>
        <w:spacing w:after="120"/>
        <w:rPr>
          <w:rFonts w:ascii="Arial" w:hAnsi="Arial" w:cs="Arial"/>
          <w:color w:val="000000" w:themeColor="text1"/>
          <w:sz w:val="22"/>
          <w:lang w:val="es-ES"/>
        </w:rPr>
      </w:pPr>
    </w:p>
    <w:p w14:paraId="76105F1E" w14:textId="4A5121E9" w:rsidR="00C0357A" w:rsidRPr="0025010A" w:rsidRDefault="00B5608E" w:rsidP="0025010A">
      <w:pPr>
        <w:tabs>
          <w:tab w:val="left" w:pos="426"/>
        </w:tabs>
        <w:spacing w:after="120"/>
        <w:rPr>
          <w:rFonts w:ascii="Arial" w:hAnsi="Arial" w:cs="Arial"/>
          <w:color w:val="000000" w:themeColor="text1"/>
          <w:sz w:val="22"/>
        </w:rPr>
      </w:pPr>
      <w:r w:rsidRPr="0025010A">
        <w:rPr>
          <w:rFonts w:ascii="Arial" w:hAnsi="Arial" w:cs="Arial"/>
          <w:color w:val="000000" w:themeColor="text1"/>
          <w:sz w:val="22"/>
        </w:rPr>
        <w:tab/>
      </w:r>
      <w:r w:rsidR="00EB4BFF" w:rsidRPr="0025010A">
        <w:rPr>
          <w:rFonts w:ascii="Arial" w:hAnsi="Arial" w:cs="Arial"/>
          <w:color w:val="000000" w:themeColor="text1"/>
          <w:sz w:val="22"/>
        </w:rPr>
        <w:tab/>
      </w:r>
      <w:r w:rsidR="00F314E0" w:rsidRPr="0025010A">
        <w:rPr>
          <w:rFonts w:ascii="Arial" w:hAnsi="Arial" w:cs="Arial"/>
          <w:color w:val="000000" w:themeColor="text1"/>
          <w:sz w:val="22"/>
        </w:rPr>
        <w:t>Como se advierte,</w:t>
      </w:r>
      <w:r w:rsidR="00C0357A" w:rsidRPr="0025010A">
        <w:rPr>
          <w:rFonts w:ascii="Arial" w:hAnsi="Arial" w:cs="Arial"/>
          <w:color w:val="000000" w:themeColor="text1"/>
          <w:sz w:val="22"/>
        </w:rPr>
        <w:t xml:space="preserve"> </w:t>
      </w:r>
      <w:r w:rsidRPr="0025010A">
        <w:rPr>
          <w:rFonts w:ascii="Arial" w:hAnsi="Arial" w:cs="Arial"/>
          <w:color w:val="000000" w:themeColor="text1"/>
          <w:sz w:val="22"/>
        </w:rPr>
        <w:t>los</w:t>
      </w:r>
      <w:r w:rsidR="00C0357A" w:rsidRPr="0025010A">
        <w:rPr>
          <w:rFonts w:ascii="Arial" w:hAnsi="Arial" w:cs="Arial"/>
          <w:color w:val="000000" w:themeColor="text1"/>
          <w:sz w:val="22"/>
        </w:rPr>
        <w:t xml:space="preserve"> documento</w:t>
      </w:r>
      <w:r w:rsidRPr="0025010A">
        <w:rPr>
          <w:rFonts w:ascii="Arial" w:hAnsi="Arial" w:cs="Arial"/>
          <w:color w:val="000000" w:themeColor="text1"/>
          <w:sz w:val="22"/>
        </w:rPr>
        <w:t>s</w:t>
      </w:r>
      <w:r w:rsidR="00C0357A" w:rsidRPr="0025010A">
        <w:rPr>
          <w:rFonts w:ascii="Arial" w:hAnsi="Arial" w:cs="Arial"/>
          <w:color w:val="000000" w:themeColor="text1"/>
          <w:sz w:val="22"/>
        </w:rPr>
        <w:t xml:space="preserve"> tipo acu</w:t>
      </w:r>
      <w:r w:rsidRPr="0025010A">
        <w:rPr>
          <w:rFonts w:ascii="Arial" w:hAnsi="Arial" w:cs="Arial"/>
          <w:color w:val="000000" w:themeColor="text1"/>
          <w:sz w:val="22"/>
        </w:rPr>
        <w:t>den</w:t>
      </w:r>
      <w:r w:rsidR="00C0357A" w:rsidRPr="0025010A">
        <w:rPr>
          <w:rFonts w:ascii="Arial" w:hAnsi="Arial" w:cs="Arial"/>
          <w:color w:val="000000" w:themeColor="text1"/>
          <w:sz w:val="22"/>
        </w:rPr>
        <w:t xml:space="preserve"> </w:t>
      </w:r>
      <w:r w:rsidR="00F314E0" w:rsidRPr="0025010A">
        <w:rPr>
          <w:rFonts w:ascii="Arial" w:hAnsi="Arial" w:cs="Arial"/>
          <w:color w:val="000000" w:themeColor="text1"/>
          <w:sz w:val="22"/>
        </w:rPr>
        <w:t>a la Tasa Representativa del Mercado</w:t>
      </w:r>
      <w:r w:rsidR="00C0357A" w:rsidRPr="0025010A">
        <w:rPr>
          <w:rFonts w:ascii="Arial" w:hAnsi="Arial" w:cs="Arial"/>
          <w:color w:val="000000" w:themeColor="text1"/>
          <w:sz w:val="22"/>
        </w:rPr>
        <w:t xml:space="preserve"> –TRM– como el criterio de escogencia del método aleatorio para evaluar la oferta económica</w:t>
      </w:r>
      <w:r w:rsidR="00F314E0" w:rsidRPr="0025010A">
        <w:rPr>
          <w:rFonts w:ascii="Arial" w:hAnsi="Arial" w:cs="Arial"/>
          <w:color w:val="000000" w:themeColor="text1"/>
          <w:sz w:val="22"/>
        </w:rPr>
        <w:t>,</w:t>
      </w:r>
      <w:r w:rsidR="00C0357A" w:rsidRPr="0025010A">
        <w:rPr>
          <w:rFonts w:ascii="Arial" w:hAnsi="Arial" w:cs="Arial"/>
          <w:color w:val="000000" w:themeColor="text1"/>
          <w:sz w:val="22"/>
        </w:rPr>
        <w:t xml:space="preserve"> porque su definición no depende de la discrecionalidad de la administración pública en cualquiera de sus órdenes y niveles. Aunque se establece y certifica por parte de la Superintendencia Financiera, su determinación depende de las dinámicas del mercado de divisas, garantizando una elección aleatoria del método de ponderación aplicable para tal propósito, lo que dota de transparencia y selección objetiva la evaluación de las ofertas.</w:t>
      </w:r>
    </w:p>
    <w:p w14:paraId="6D1DEC25" w14:textId="362D11B6" w:rsidR="001D5985" w:rsidRPr="0025010A" w:rsidRDefault="006B1D7C" w:rsidP="00E26991">
      <w:pPr>
        <w:spacing w:after="120"/>
        <w:ind w:firstLine="709"/>
        <w:rPr>
          <w:rFonts w:ascii="Arial" w:hAnsi="Arial" w:cs="Arial"/>
          <w:color w:val="000000" w:themeColor="text1"/>
          <w:sz w:val="22"/>
        </w:rPr>
      </w:pPr>
      <w:r w:rsidRPr="0025010A">
        <w:rPr>
          <w:rFonts w:ascii="Arial" w:hAnsi="Arial" w:cs="Arial"/>
          <w:color w:val="000000" w:themeColor="text1"/>
          <w:sz w:val="22"/>
        </w:rPr>
        <w:t>De conformidad 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Hasta este punto resulta clara la justificación de la escogencia del método aleatorio a partir de la TRM como un mecanismo que desestimula los actos de corrupción en el proceso de evaluación para escoger el método aleatorio de ponderación de las ofertas</w:t>
      </w:r>
      <w:r w:rsidR="00EF3BBF" w:rsidRPr="0025010A">
        <w:rPr>
          <w:rFonts w:ascii="Arial" w:hAnsi="Arial" w:cs="Arial"/>
          <w:color w:val="000000" w:themeColor="text1"/>
          <w:sz w:val="22"/>
        </w:rPr>
        <w:t xml:space="preserve"> económicas</w:t>
      </w:r>
      <w:r w:rsidRPr="0025010A">
        <w:rPr>
          <w:rFonts w:ascii="Arial" w:hAnsi="Arial" w:cs="Arial"/>
          <w:color w:val="000000" w:themeColor="text1"/>
          <w:sz w:val="22"/>
        </w:rPr>
        <w:t xml:space="preserve">. </w:t>
      </w:r>
    </w:p>
    <w:p w14:paraId="2FF93729" w14:textId="56F2AD28" w:rsidR="003A6C12" w:rsidRPr="0025010A" w:rsidRDefault="003A6C12" w:rsidP="00B56359">
      <w:pPr>
        <w:tabs>
          <w:tab w:val="left" w:pos="426"/>
        </w:tabs>
        <w:spacing w:after="120"/>
        <w:rPr>
          <w:rFonts w:ascii="Arial" w:eastAsia="Arial" w:hAnsi="Arial" w:cs="Arial"/>
          <w:bCs/>
          <w:color w:val="000000" w:themeColor="text1"/>
          <w:sz w:val="22"/>
          <w:szCs w:val="22"/>
        </w:rPr>
      </w:pPr>
      <w:r w:rsidRPr="0025010A">
        <w:rPr>
          <w:rFonts w:ascii="Arial" w:eastAsia="Arial" w:hAnsi="Arial" w:cs="Arial"/>
          <w:b/>
          <w:color w:val="000000" w:themeColor="text1"/>
          <w:sz w:val="22"/>
          <w:szCs w:val="22"/>
        </w:rPr>
        <w:tab/>
      </w:r>
      <w:r w:rsidR="00EB4BFF" w:rsidRPr="0025010A">
        <w:rPr>
          <w:rFonts w:ascii="Arial" w:eastAsia="Arial" w:hAnsi="Arial" w:cs="Arial"/>
          <w:b/>
          <w:color w:val="000000" w:themeColor="text1"/>
          <w:sz w:val="22"/>
          <w:szCs w:val="22"/>
        </w:rPr>
        <w:tab/>
      </w:r>
      <w:r w:rsidRPr="0025010A">
        <w:rPr>
          <w:rFonts w:ascii="Arial" w:eastAsia="Arial" w:hAnsi="Arial" w:cs="Arial"/>
          <w:bCs/>
          <w:color w:val="000000" w:themeColor="text1"/>
          <w:sz w:val="22"/>
          <w:szCs w:val="22"/>
        </w:rPr>
        <w:t>Dicho todo lo anterior, y para aten</w:t>
      </w:r>
      <w:r w:rsidR="00EF3BBF" w:rsidRPr="0025010A">
        <w:rPr>
          <w:rFonts w:ascii="Arial" w:eastAsia="Arial" w:hAnsi="Arial" w:cs="Arial"/>
          <w:bCs/>
          <w:color w:val="000000" w:themeColor="text1"/>
          <w:sz w:val="22"/>
          <w:szCs w:val="22"/>
        </w:rPr>
        <w:t>d</w:t>
      </w:r>
      <w:r w:rsidRPr="0025010A">
        <w:rPr>
          <w:rFonts w:ascii="Arial" w:eastAsia="Arial" w:hAnsi="Arial" w:cs="Arial"/>
          <w:bCs/>
          <w:color w:val="000000" w:themeColor="text1"/>
          <w:sz w:val="22"/>
          <w:szCs w:val="22"/>
        </w:rPr>
        <w:t xml:space="preserve">er la consulta que ahora se resuelve, esta Agencia aclara que la Ley 1882 de 2018 determina que las entidades contratantes evaluarán el componente económico de las ofertas presentadas dentro de la </w:t>
      </w:r>
      <w:r w:rsidR="00EF3BBF" w:rsidRPr="0025010A">
        <w:rPr>
          <w:rFonts w:ascii="Arial" w:eastAsia="Arial" w:hAnsi="Arial" w:cs="Arial"/>
          <w:bCs/>
          <w:color w:val="000000" w:themeColor="text1"/>
          <w:sz w:val="22"/>
          <w:szCs w:val="22"/>
        </w:rPr>
        <w:t>l</w:t>
      </w:r>
      <w:r w:rsidRPr="0025010A">
        <w:rPr>
          <w:rFonts w:ascii="Arial" w:eastAsia="Arial" w:hAnsi="Arial" w:cs="Arial"/>
          <w:bCs/>
          <w:color w:val="000000" w:themeColor="text1"/>
          <w:sz w:val="22"/>
          <w:szCs w:val="22"/>
        </w:rPr>
        <w:t xml:space="preserve">icitación </w:t>
      </w:r>
      <w:r w:rsidR="00EF3BBF" w:rsidRPr="0025010A">
        <w:rPr>
          <w:rFonts w:ascii="Arial" w:eastAsia="Arial" w:hAnsi="Arial" w:cs="Arial"/>
          <w:bCs/>
          <w:color w:val="000000" w:themeColor="text1"/>
          <w:sz w:val="22"/>
          <w:szCs w:val="22"/>
        </w:rPr>
        <w:t>p</w:t>
      </w:r>
      <w:r w:rsidRPr="0025010A">
        <w:rPr>
          <w:rFonts w:ascii="Arial" w:eastAsia="Arial" w:hAnsi="Arial" w:cs="Arial"/>
          <w:bCs/>
          <w:color w:val="000000" w:themeColor="text1"/>
          <w:sz w:val="22"/>
          <w:szCs w:val="22"/>
        </w:rPr>
        <w:t>ública</w:t>
      </w:r>
      <w:r w:rsidR="00EF3BBF" w:rsidRPr="0025010A">
        <w:rPr>
          <w:rFonts w:ascii="Arial" w:eastAsia="Arial" w:hAnsi="Arial" w:cs="Arial"/>
          <w:bCs/>
          <w:color w:val="000000" w:themeColor="text1"/>
          <w:sz w:val="22"/>
          <w:szCs w:val="22"/>
        </w:rPr>
        <w:t xml:space="preserve"> para seleccionar a contratistas de obra</w:t>
      </w:r>
      <w:r w:rsidRPr="0025010A">
        <w:rPr>
          <w:rFonts w:ascii="Arial" w:eastAsia="Arial" w:hAnsi="Arial" w:cs="Arial"/>
          <w:bCs/>
          <w:color w:val="000000" w:themeColor="text1"/>
          <w:sz w:val="22"/>
          <w:szCs w:val="22"/>
        </w:rPr>
        <w:t xml:space="preserve">, utilizando el </w:t>
      </w:r>
      <w:r w:rsidR="00EF3BBF" w:rsidRPr="0025010A">
        <w:rPr>
          <w:rFonts w:ascii="Arial" w:eastAsia="Arial" w:hAnsi="Arial" w:cs="Arial"/>
          <w:bCs/>
          <w:color w:val="000000" w:themeColor="text1"/>
          <w:sz w:val="22"/>
          <w:szCs w:val="22"/>
        </w:rPr>
        <w:t xml:space="preserve">mecanismo </w:t>
      </w:r>
      <w:r w:rsidRPr="0025010A">
        <w:rPr>
          <w:rFonts w:ascii="Arial" w:eastAsia="Arial" w:hAnsi="Arial" w:cs="Arial"/>
          <w:bCs/>
          <w:color w:val="000000" w:themeColor="text1"/>
          <w:sz w:val="22"/>
          <w:szCs w:val="22"/>
        </w:rPr>
        <w:t xml:space="preserve">que resulte de aplicar el método aleatorio de escogencia establecido en el pliego de condiciones. Así, se insiste, la norma legal no impone la utilización de un método aleatorio en particular, sino que deja a discreción de la entidad contratante su designación, contando solo con dos exigencias expresas, a saber, que dicho método conste previamente en el pliego de condiciones y que, además, cumpla con la característica de ser aleatorio. </w:t>
      </w:r>
    </w:p>
    <w:p w14:paraId="06C5F325" w14:textId="3A5BCBE1" w:rsidR="003A6C12" w:rsidRPr="0025010A" w:rsidRDefault="003A6C12" w:rsidP="00B56359">
      <w:pPr>
        <w:tabs>
          <w:tab w:val="left" w:pos="426"/>
        </w:tabs>
        <w:spacing w:after="120"/>
        <w:rPr>
          <w:rFonts w:ascii="Arial" w:eastAsia="Arial" w:hAnsi="Arial" w:cs="Arial"/>
          <w:bCs/>
          <w:color w:val="000000" w:themeColor="text1"/>
          <w:sz w:val="22"/>
          <w:szCs w:val="22"/>
        </w:rPr>
      </w:pPr>
      <w:r w:rsidRPr="0025010A">
        <w:rPr>
          <w:rFonts w:ascii="Arial" w:eastAsia="Arial" w:hAnsi="Arial" w:cs="Arial"/>
          <w:bCs/>
          <w:color w:val="000000" w:themeColor="text1"/>
          <w:sz w:val="22"/>
          <w:szCs w:val="22"/>
        </w:rPr>
        <w:tab/>
      </w:r>
      <w:r w:rsidR="00EB4BFF" w:rsidRPr="0025010A">
        <w:rPr>
          <w:rFonts w:ascii="Arial" w:eastAsia="Arial" w:hAnsi="Arial" w:cs="Arial"/>
          <w:bCs/>
          <w:color w:val="000000" w:themeColor="text1"/>
          <w:sz w:val="22"/>
          <w:szCs w:val="22"/>
        </w:rPr>
        <w:tab/>
      </w:r>
      <w:r w:rsidRPr="0025010A">
        <w:rPr>
          <w:rFonts w:ascii="Arial" w:eastAsia="Arial" w:hAnsi="Arial" w:cs="Arial"/>
          <w:bCs/>
          <w:color w:val="000000" w:themeColor="text1"/>
          <w:sz w:val="22"/>
          <w:szCs w:val="22"/>
        </w:rPr>
        <w:t xml:space="preserve">Así, durante el desarrollo de la audiencia de adjudicación en la </w:t>
      </w:r>
      <w:r w:rsidR="00EF3BBF" w:rsidRPr="0025010A">
        <w:rPr>
          <w:rFonts w:ascii="Arial" w:eastAsia="Arial" w:hAnsi="Arial" w:cs="Arial"/>
          <w:bCs/>
          <w:color w:val="000000" w:themeColor="text1"/>
          <w:sz w:val="22"/>
          <w:szCs w:val="22"/>
        </w:rPr>
        <w:t>l</w:t>
      </w:r>
      <w:r w:rsidRPr="0025010A">
        <w:rPr>
          <w:rFonts w:ascii="Arial" w:eastAsia="Arial" w:hAnsi="Arial" w:cs="Arial"/>
          <w:bCs/>
          <w:color w:val="000000" w:themeColor="text1"/>
          <w:sz w:val="22"/>
          <w:szCs w:val="22"/>
        </w:rPr>
        <w:t xml:space="preserve">icitación </w:t>
      </w:r>
      <w:r w:rsidR="00EF3BBF" w:rsidRPr="0025010A">
        <w:rPr>
          <w:rFonts w:ascii="Arial" w:eastAsia="Arial" w:hAnsi="Arial" w:cs="Arial"/>
          <w:bCs/>
          <w:color w:val="000000" w:themeColor="text1"/>
          <w:sz w:val="22"/>
          <w:szCs w:val="22"/>
        </w:rPr>
        <w:t>p</w:t>
      </w:r>
      <w:r w:rsidRPr="0025010A">
        <w:rPr>
          <w:rFonts w:ascii="Arial" w:eastAsia="Arial" w:hAnsi="Arial" w:cs="Arial"/>
          <w:bCs/>
          <w:color w:val="000000" w:themeColor="text1"/>
          <w:sz w:val="22"/>
          <w:szCs w:val="22"/>
        </w:rPr>
        <w:t>ública</w:t>
      </w:r>
      <w:r w:rsidR="00EF3BBF" w:rsidRPr="0025010A">
        <w:rPr>
          <w:rFonts w:ascii="Arial" w:eastAsia="Arial" w:hAnsi="Arial" w:cs="Arial"/>
          <w:bCs/>
          <w:color w:val="000000" w:themeColor="text1"/>
          <w:sz w:val="22"/>
          <w:szCs w:val="22"/>
        </w:rPr>
        <w:t xml:space="preserve"> para seleccionar a contratistas de obra</w:t>
      </w:r>
      <w:r w:rsidRPr="0025010A">
        <w:rPr>
          <w:rFonts w:ascii="Arial" w:eastAsia="Arial" w:hAnsi="Arial" w:cs="Arial"/>
          <w:bCs/>
          <w:color w:val="000000" w:themeColor="text1"/>
          <w:sz w:val="22"/>
          <w:szCs w:val="22"/>
        </w:rPr>
        <w:t xml:space="preserve">, se dará apertura al sobre </w:t>
      </w:r>
      <w:r w:rsidR="00CC2647" w:rsidRPr="0025010A">
        <w:rPr>
          <w:rFonts w:ascii="Arial" w:eastAsia="Arial" w:hAnsi="Arial" w:cs="Arial"/>
          <w:bCs/>
          <w:color w:val="000000" w:themeColor="text1"/>
          <w:sz w:val="22"/>
          <w:szCs w:val="22"/>
        </w:rPr>
        <w:t>No</w:t>
      </w:r>
      <w:r w:rsidRPr="0025010A">
        <w:rPr>
          <w:rFonts w:ascii="Arial" w:eastAsia="Arial" w:hAnsi="Arial" w:cs="Arial"/>
          <w:bCs/>
          <w:color w:val="000000" w:themeColor="text1"/>
          <w:sz w:val="22"/>
          <w:szCs w:val="22"/>
        </w:rPr>
        <w:t>. 2 que contiene la oferta econ</w:t>
      </w:r>
      <w:r w:rsidR="00C234E6" w:rsidRPr="0025010A">
        <w:rPr>
          <w:rFonts w:ascii="Arial" w:eastAsia="Arial" w:hAnsi="Arial" w:cs="Arial"/>
          <w:bCs/>
          <w:color w:val="000000" w:themeColor="text1"/>
          <w:sz w:val="22"/>
          <w:szCs w:val="22"/>
        </w:rPr>
        <w:t>ó</w:t>
      </w:r>
      <w:r w:rsidRPr="0025010A">
        <w:rPr>
          <w:rFonts w:ascii="Arial" w:eastAsia="Arial" w:hAnsi="Arial" w:cs="Arial"/>
          <w:bCs/>
          <w:color w:val="000000" w:themeColor="text1"/>
          <w:sz w:val="22"/>
          <w:szCs w:val="22"/>
        </w:rPr>
        <w:t xml:space="preserve">mica y que hasta ese momento debió permanecer cerrado, para que luego la entidad proceda a su evaluación, aplicando el mecanismo de calificación prestablecido. </w:t>
      </w:r>
    </w:p>
    <w:p w14:paraId="730D7E59" w14:textId="3E08E0B4" w:rsidR="00295901" w:rsidRPr="0025010A" w:rsidRDefault="00CC2647" w:rsidP="00B56359">
      <w:pPr>
        <w:tabs>
          <w:tab w:val="left" w:pos="426"/>
        </w:tabs>
        <w:spacing w:after="120"/>
        <w:rPr>
          <w:rFonts w:ascii="Arial" w:eastAsia="Arial" w:hAnsi="Arial" w:cs="Arial"/>
          <w:bCs/>
          <w:color w:val="000000" w:themeColor="text1"/>
          <w:sz w:val="22"/>
          <w:szCs w:val="22"/>
        </w:rPr>
      </w:pPr>
      <w:r w:rsidRPr="0025010A">
        <w:rPr>
          <w:rFonts w:ascii="Arial" w:eastAsia="Arial" w:hAnsi="Arial" w:cs="Arial"/>
          <w:bCs/>
          <w:color w:val="000000" w:themeColor="text1"/>
          <w:sz w:val="22"/>
          <w:szCs w:val="22"/>
        </w:rPr>
        <w:lastRenderedPageBreak/>
        <w:tab/>
      </w:r>
      <w:r w:rsidR="00EB4BFF" w:rsidRPr="0025010A">
        <w:rPr>
          <w:rFonts w:ascii="Arial" w:eastAsia="Arial" w:hAnsi="Arial" w:cs="Arial"/>
          <w:bCs/>
          <w:color w:val="000000" w:themeColor="text1"/>
          <w:sz w:val="22"/>
          <w:szCs w:val="22"/>
        </w:rPr>
        <w:tab/>
      </w:r>
      <w:r w:rsidR="00570113" w:rsidRPr="0025010A">
        <w:rPr>
          <w:rFonts w:ascii="Arial" w:eastAsia="Arial" w:hAnsi="Arial" w:cs="Arial"/>
          <w:bCs/>
          <w:color w:val="000000" w:themeColor="text1"/>
          <w:sz w:val="22"/>
          <w:szCs w:val="22"/>
        </w:rPr>
        <w:t xml:space="preserve">Según lo dicho, los </w:t>
      </w:r>
      <w:r w:rsidR="00EF3BBF" w:rsidRPr="0025010A">
        <w:rPr>
          <w:rFonts w:ascii="Arial" w:eastAsia="Arial" w:hAnsi="Arial" w:cs="Arial"/>
          <w:bCs/>
          <w:color w:val="000000" w:themeColor="text1"/>
          <w:sz w:val="22"/>
          <w:szCs w:val="22"/>
        </w:rPr>
        <w:t>d</w:t>
      </w:r>
      <w:r w:rsidR="00570113" w:rsidRPr="0025010A">
        <w:rPr>
          <w:rFonts w:ascii="Arial" w:eastAsia="Arial" w:hAnsi="Arial" w:cs="Arial"/>
          <w:bCs/>
          <w:color w:val="000000" w:themeColor="text1"/>
          <w:sz w:val="22"/>
          <w:szCs w:val="22"/>
        </w:rPr>
        <w:t xml:space="preserve">ocumentos </w:t>
      </w:r>
      <w:r w:rsidR="00EF3BBF" w:rsidRPr="0025010A">
        <w:rPr>
          <w:rFonts w:ascii="Arial" w:eastAsia="Arial" w:hAnsi="Arial" w:cs="Arial"/>
          <w:bCs/>
          <w:color w:val="000000" w:themeColor="text1"/>
          <w:sz w:val="22"/>
          <w:szCs w:val="22"/>
        </w:rPr>
        <w:t>t</w:t>
      </w:r>
      <w:r w:rsidR="00570113" w:rsidRPr="0025010A">
        <w:rPr>
          <w:rFonts w:ascii="Arial" w:eastAsia="Arial" w:hAnsi="Arial" w:cs="Arial"/>
          <w:bCs/>
          <w:color w:val="000000" w:themeColor="text1"/>
          <w:sz w:val="22"/>
          <w:szCs w:val="22"/>
        </w:rPr>
        <w:t>ipo adoptados por la Agencia han acogido la Tasa Representativa del Mercado como la variable a utilizar para determinar el mecanis</w:t>
      </w:r>
      <w:r w:rsidRPr="0025010A">
        <w:rPr>
          <w:rFonts w:ascii="Arial" w:eastAsia="Arial" w:hAnsi="Arial" w:cs="Arial"/>
          <w:bCs/>
          <w:color w:val="000000" w:themeColor="text1"/>
          <w:sz w:val="22"/>
          <w:szCs w:val="22"/>
        </w:rPr>
        <w:t>m</w:t>
      </w:r>
      <w:r w:rsidR="00570113" w:rsidRPr="0025010A">
        <w:rPr>
          <w:rFonts w:ascii="Arial" w:eastAsia="Arial" w:hAnsi="Arial" w:cs="Arial"/>
          <w:bCs/>
          <w:color w:val="000000" w:themeColor="text1"/>
          <w:sz w:val="22"/>
          <w:szCs w:val="22"/>
        </w:rPr>
        <w:t>o de ponderación de la</w:t>
      </w:r>
      <w:r w:rsidR="00EF3BBF" w:rsidRPr="0025010A">
        <w:rPr>
          <w:rFonts w:ascii="Arial" w:eastAsia="Arial" w:hAnsi="Arial" w:cs="Arial"/>
          <w:bCs/>
          <w:color w:val="000000" w:themeColor="text1"/>
          <w:sz w:val="22"/>
          <w:szCs w:val="22"/>
        </w:rPr>
        <w:t>s</w:t>
      </w:r>
      <w:r w:rsidR="00570113" w:rsidRPr="0025010A">
        <w:rPr>
          <w:rFonts w:ascii="Arial" w:eastAsia="Arial" w:hAnsi="Arial" w:cs="Arial"/>
          <w:bCs/>
          <w:color w:val="000000" w:themeColor="text1"/>
          <w:sz w:val="22"/>
          <w:szCs w:val="22"/>
        </w:rPr>
        <w:t xml:space="preserve"> oferta</w:t>
      </w:r>
      <w:r w:rsidR="00EF3BBF" w:rsidRPr="0025010A">
        <w:rPr>
          <w:rFonts w:ascii="Arial" w:eastAsia="Arial" w:hAnsi="Arial" w:cs="Arial"/>
          <w:bCs/>
          <w:color w:val="000000" w:themeColor="text1"/>
          <w:sz w:val="22"/>
          <w:szCs w:val="22"/>
        </w:rPr>
        <w:t>s</w:t>
      </w:r>
      <w:r w:rsidR="00570113" w:rsidRPr="0025010A">
        <w:rPr>
          <w:rFonts w:ascii="Arial" w:eastAsia="Arial" w:hAnsi="Arial" w:cs="Arial"/>
          <w:bCs/>
          <w:color w:val="000000" w:themeColor="text1"/>
          <w:sz w:val="22"/>
          <w:szCs w:val="22"/>
        </w:rPr>
        <w:t xml:space="preserve"> económica</w:t>
      </w:r>
      <w:r w:rsidR="00EF3BBF" w:rsidRPr="0025010A">
        <w:rPr>
          <w:rFonts w:ascii="Arial" w:eastAsia="Arial" w:hAnsi="Arial" w:cs="Arial"/>
          <w:bCs/>
          <w:color w:val="000000" w:themeColor="text1"/>
          <w:sz w:val="22"/>
          <w:szCs w:val="22"/>
        </w:rPr>
        <w:t>s</w:t>
      </w:r>
      <w:r w:rsidR="00570113" w:rsidRPr="0025010A">
        <w:rPr>
          <w:rFonts w:ascii="Arial" w:eastAsia="Arial" w:hAnsi="Arial" w:cs="Arial"/>
          <w:bCs/>
          <w:color w:val="000000" w:themeColor="text1"/>
          <w:sz w:val="22"/>
          <w:szCs w:val="22"/>
        </w:rPr>
        <w:t>. Para ello, la Agencia ha dispuesto ciertos rangos correspondientes a los últimos decimales de la TRM de determinado día, para que con fundamento en ellos se determine el mecanismo de evaluación, todo lo cual se encuentra previamente establecido en los Pliegos Tipo</w:t>
      </w:r>
      <w:r w:rsidR="00295901" w:rsidRPr="0025010A">
        <w:rPr>
          <w:rFonts w:ascii="Arial" w:eastAsia="Arial" w:hAnsi="Arial" w:cs="Arial"/>
          <w:bCs/>
          <w:color w:val="000000" w:themeColor="text1"/>
          <w:sz w:val="22"/>
          <w:szCs w:val="22"/>
        </w:rPr>
        <w:t>.</w:t>
      </w:r>
    </w:p>
    <w:p w14:paraId="67B5071A" w14:textId="6C177A2E" w:rsidR="00570113" w:rsidRPr="0025010A" w:rsidRDefault="005A453F" w:rsidP="001D5985">
      <w:pPr>
        <w:tabs>
          <w:tab w:val="left" w:pos="426"/>
        </w:tabs>
        <w:spacing w:afterLines="120" w:after="288"/>
        <w:rPr>
          <w:rFonts w:ascii="Arial" w:eastAsia="Arial" w:hAnsi="Arial" w:cs="Arial"/>
          <w:bCs/>
          <w:color w:val="000000" w:themeColor="text1"/>
          <w:sz w:val="22"/>
          <w:szCs w:val="22"/>
        </w:rPr>
      </w:pPr>
      <w:r w:rsidRPr="0025010A">
        <w:rPr>
          <w:rFonts w:ascii="Arial" w:eastAsia="Arial" w:hAnsi="Arial" w:cs="Arial"/>
          <w:bCs/>
          <w:color w:val="000000" w:themeColor="text1"/>
          <w:sz w:val="22"/>
          <w:szCs w:val="22"/>
        </w:rPr>
        <w:tab/>
      </w:r>
      <w:r w:rsidR="00EB4BFF" w:rsidRPr="0025010A">
        <w:rPr>
          <w:rFonts w:ascii="Arial" w:eastAsia="Arial" w:hAnsi="Arial" w:cs="Arial"/>
          <w:bCs/>
          <w:color w:val="000000" w:themeColor="text1"/>
          <w:sz w:val="22"/>
          <w:szCs w:val="22"/>
        </w:rPr>
        <w:tab/>
      </w:r>
      <w:r w:rsidR="00570113" w:rsidRPr="0025010A">
        <w:rPr>
          <w:rFonts w:ascii="Arial" w:eastAsia="Arial" w:hAnsi="Arial" w:cs="Arial"/>
          <w:bCs/>
          <w:color w:val="000000" w:themeColor="text1"/>
          <w:sz w:val="22"/>
          <w:szCs w:val="22"/>
        </w:rPr>
        <w:t xml:space="preserve">Sin embargo, como se explicó, </w:t>
      </w:r>
      <w:r w:rsidR="00295901" w:rsidRPr="0025010A">
        <w:rPr>
          <w:rFonts w:ascii="Arial" w:eastAsia="Arial" w:hAnsi="Arial" w:cs="Arial"/>
          <w:bCs/>
          <w:color w:val="000000" w:themeColor="text1"/>
          <w:sz w:val="22"/>
          <w:szCs w:val="22"/>
        </w:rPr>
        <w:t>el que la Agencia haya optado por escoger la TRM como fórmula aleatoria para la elección del mecani</w:t>
      </w:r>
      <w:r w:rsidRPr="0025010A">
        <w:rPr>
          <w:rFonts w:ascii="Arial" w:eastAsia="Arial" w:hAnsi="Arial" w:cs="Arial"/>
          <w:bCs/>
          <w:color w:val="000000" w:themeColor="text1"/>
          <w:sz w:val="22"/>
          <w:szCs w:val="22"/>
        </w:rPr>
        <w:t>s</w:t>
      </w:r>
      <w:r w:rsidR="00295901" w:rsidRPr="0025010A">
        <w:rPr>
          <w:rFonts w:ascii="Arial" w:eastAsia="Arial" w:hAnsi="Arial" w:cs="Arial"/>
          <w:bCs/>
          <w:color w:val="000000" w:themeColor="text1"/>
          <w:sz w:val="22"/>
          <w:szCs w:val="22"/>
        </w:rPr>
        <w:t>mo de ponderación de las ofertas, no quiere decir que dicho método sea el único válido, sino que, por el contrario, las entidades contratantes, y la Agencia misma, cuentan con la discrecionalidad otor</w:t>
      </w:r>
      <w:r w:rsidR="00CC2647" w:rsidRPr="0025010A">
        <w:rPr>
          <w:rFonts w:ascii="Arial" w:eastAsia="Arial" w:hAnsi="Arial" w:cs="Arial"/>
          <w:bCs/>
          <w:color w:val="000000" w:themeColor="text1"/>
          <w:sz w:val="22"/>
          <w:szCs w:val="22"/>
        </w:rPr>
        <w:t>g</w:t>
      </w:r>
      <w:r w:rsidR="00295901" w:rsidRPr="0025010A">
        <w:rPr>
          <w:rFonts w:ascii="Arial" w:eastAsia="Arial" w:hAnsi="Arial" w:cs="Arial"/>
          <w:bCs/>
          <w:color w:val="000000" w:themeColor="text1"/>
          <w:sz w:val="22"/>
          <w:szCs w:val="22"/>
        </w:rPr>
        <w:t xml:space="preserve">ada por la Ley 1882 de 2018 para </w:t>
      </w:r>
      <w:r w:rsidRPr="0025010A">
        <w:rPr>
          <w:rFonts w:ascii="Arial" w:eastAsia="Arial" w:hAnsi="Arial" w:cs="Arial"/>
          <w:bCs/>
          <w:color w:val="000000" w:themeColor="text1"/>
          <w:sz w:val="22"/>
          <w:szCs w:val="22"/>
        </w:rPr>
        <w:t>defin</w:t>
      </w:r>
      <w:r w:rsidR="00EF3BBF" w:rsidRPr="0025010A">
        <w:rPr>
          <w:rFonts w:ascii="Arial" w:eastAsia="Arial" w:hAnsi="Arial" w:cs="Arial"/>
          <w:bCs/>
          <w:color w:val="000000" w:themeColor="text1"/>
          <w:sz w:val="22"/>
          <w:szCs w:val="22"/>
        </w:rPr>
        <w:t>ir</w:t>
      </w:r>
      <w:r w:rsidRPr="0025010A">
        <w:rPr>
          <w:rFonts w:ascii="Arial" w:eastAsia="Arial" w:hAnsi="Arial" w:cs="Arial"/>
          <w:bCs/>
          <w:color w:val="000000" w:themeColor="text1"/>
          <w:sz w:val="22"/>
          <w:szCs w:val="22"/>
        </w:rPr>
        <w:t xml:space="preserve"> </w:t>
      </w:r>
      <w:r w:rsidR="00295901" w:rsidRPr="0025010A">
        <w:rPr>
          <w:rFonts w:ascii="Arial" w:eastAsia="Arial" w:hAnsi="Arial" w:cs="Arial"/>
          <w:bCs/>
          <w:color w:val="000000" w:themeColor="text1"/>
          <w:sz w:val="22"/>
          <w:szCs w:val="22"/>
        </w:rPr>
        <w:t>el método aleatorio que utilizarán. Además, frente a la aplicación de la propia TRM como método aleatorio de escogencia, tampoco existe exigencia normativa alguna que compela a la entidad contratante</w:t>
      </w:r>
      <w:r w:rsidRPr="0025010A">
        <w:rPr>
          <w:rFonts w:ascii="Arial" w:eastAsia="Arial" w:hAnsi="Arial" w:cs="Arial"/>
          <w:bCs/>
          <w:color w:val="000000" w:themeColor="text1"/>
          <w:sz w:val="22"/>
          <w:szCs w:val="22"/>
        </w:rPr>
        <w:t>,</w:t>
      </w:r>
      <w:r w:rsidR="00295901" w:rsidRPr="0025010A">
        <w:rPr>
          <w:rFonts w:ascii="Arial" w:eastAsia="Arial" w:hAnsi="Arial" w:cs="Arial"/>
          <w:bCs/>
          <w:color w:val="000000" w:themeColor="text1"/>
          <w:sz w:val="22"/>
          <w:szCs w:val="22"/>
        </w:rPr>
        <w:t xml:space="preserve"> ni a la Agencia al confeccionar sus pliegos tipo, que aquella corresponda a un valor </w:t>
      </w:r>
      <w:r w:rsidRPr="0025010A">
        <w:rPr>
          <w:rFonts w:ascii="Arial" w:eastAsia="Arial" w:hAnsi="Arial" w:cs="Arial"/>
          <w:bCs/>
          <w:color w:val="000000" w:themeColor="text1"/>
          <w:sz w:val="22"/>
          <w:szCs w:val="22"/>
        </w:rPr>
        <w:t>surgido</w:t>
      </w:r>
      <w:r w:rsidR="00295901" w:rsidRPr="0025010A">
        <w:rPr>
          <w:rFonts w:ascii="Arial" w:eastAsia="Arial" w:hAnsi="Arial" w:cs="Arial"/>
          <w:bCs/>
          <w:color w:val="000000" w:themeColor="text1"/>
          <w:sz w:val="22"/>
          <w:szCs w:val="22"/>
        </w:rPr>
        <w:t xml:space="preserve"> con anterioridad o con posterioridad a la apertura del Sobre</w:t>
      </w:r>
      <w:r w:rsidRPr="0025010A">
        <w:rPr>
          <w:rFonts w:ascii="Arial" w:eastAsia="Arial" w:hAnsi="Arial" w:cs="Arial"/>
          <w:bCs/>
          <w:color w:val="000000" w:themeColor="text1"/>
          <w:sz w:val="22"/>
          <w:szCs w:val="22"/>
        </w:rPr>
        <w:t xml:space="preserve"> No. 2</w:t>
      </w:r>
      <w:r w:rsidR="00295901" w:rsidRPr="0025010A">
        <w:rPr>
          <w:rFonts w:ascii="Arial" w:eastAsia="Arial" w:hAnsi="Arial" w:cs="Arial"/>
          <w:bCs/>
          <w:color w:val="000000" w:themeColor="text1"/>
          <w:sz w:val="22"/>
          <w:szCs w:val="22"/>
        </w:rPr>
        <w:t xml:space="preserve"> que contiene la oferta econónomica porque, se insiste, la norma solo exi</w:t>
      </w:r>
      <w:r w:rsidR="00DB43C2" w:rsidRPr="0025010A">
        <w:rPr>
          <w:rFonts w:ascii="Arial" w:eastAsia="Arial" w:hAnsi="Arial" w:cs="Arial"/>
          <w:bCs/>
          <w:color w:val="000000" w:themeColor="text1"/>
          <w:sz w:val="22"/>
          <w:szCs w:val="22"/>
        </w:rPr>
        <w:t>g</w:t>
      </w:r>
      <w:r w:rsidR="00295901" w:rsidRPr="0025010A">
        <w:rPr>
          <w:rFonts w:ascii="Arial" w:eastAsia="Arial" w:hAnsi="Arial" w:cs="Arial"/>
          <w:bCs/>
          <w:color w:val="000000" w:themeColor="text1"/>
          <w:sz w:val="22"/>
          <w:szCs w:val="22"/>
        </w:rPr>
        <w:t xml:space="preserve">e que dicho método cumpla con el carácter de aleatorio y que esté previamente </w:t>
      </w:r>
      <w:r w:rsidRPr="0025010A">
        <w:rPr>
          <w:rFonts w:ascii="Arial" w:eastAsia="Arial" w:hAnsi="Arial" w:cs="Arial"/>
          <w:bCs/>
          <w:color w:val="000000" w:themeColor="text1"/>
          <w:sz w:val="22"/>
          <w:szCs w:val="22"/>
        </w:rPr>
        <w:t>enunciado</w:t>
      </w:r>
      <w:r w:rsidR="00295901" w:rsidRPr="0025010A">
        <w:rPr>
          <w:rFonts w:ascii="Arial" w:eastAsia="Arial" w:hAnsi="Arial" w:cs="Arial"/>
          <w:bCs/>
          <w:color w:val="000000" w:themeColor="text1"/>
          <w:sz w:val="22"/>
          <w:szCs w:val="22"/>
        </w:rPr>
        <w:t xml:space="preserve"> en el pliego de condiciones.</w:t>
      </w:r>
      <w:r w:rsidR="00EF3BBF" w:rsidRPr="0025010A">
        <w:rPr>
          <w:rFonts w:ascii="Arial" w:eastAsia="Arial" w:hAnsi="Arial" w:cs="Arial"/>
          <w:bCs/>
          <w:color w:val="000000" w:themeColor="text1"/>
          <w:sz w:val="22"/>
          <w:szCs w:val="22"/>
        </w:rPr>
        <w:t xml:space="preserve"> Ahora bien, respecto a los procesos regidos por los documentos tipo rige la regla de la inalterabilidad, por lo que las entidades deberán emplear los criterios </w:t>
      </w:r>
      <w:r w:rsidR="00F05972" w:rsidRPr="0025010A">
        <w:rPr>
          <w:rFonts w:ascii="Arial" w:eastAsia="Arial" w:hAnsi="Arial" w:cs="Arial"/>
          <w:bCs/>
          <w:color w:val="000000" w:themeColor="text1"/>
          <w:sz w:val="22"/>
          <w:szCs w:val="22"/>
        </w:rPr>
        <w:t>establecidos</w:t>
      </w:r>
      <w:r w:rsidR="00EF3BBF" w:rsidRPr="0025010A">
        <w:rPr>
          <w:rFonts w:ascii="Arial" w:eastAsia="Arial" w:hAnsi="Arial" w:cs="Arial"/>
          <w:bCs/>
          <w:color w:val="000000" w:themeColor="text1"/>
          <w:sz w:val="22"/>
          <w:szCs w:val="22"/>
        </w:rPr>
        <w:t xml:space="preserve"> por la Agencia en los documentos tipo, en caso de que </w:t>
      </w:r>
      <w:r w:rsidR="00F05972" w:rsidRPr="0025010A">
        <w:rPr>
          <w:rFonts w:ascii="Arial" w:eastAsia="Arial" w:hAnsi="Arial" w:cs="Arial"/>
          <w:bCs/>
          <w:color w:val="000000" w:themeColor="text1"/>
          <w:sz w:val="22"/>
          <w:szCs w:val="22"/>
        </w:rPr>
        <w:t>alguno resulte aplicable al proceso a adelantar por parte de la entidad estatal, conforme se explicó en el numeral 2.1. de este concepto.</w:t>
      </w:r>
    </w:p>
    <w:p w14:paraId="2A506775" w14:textId="0BC01870" w:rsidR="00F05972" w:rsidRPr="0025010A" w:rsidRDefault="006A7BA1" w:rsidP="00B56359">
      <w:pPr>
        <w:tabs>
          <w:tab w:val="left" w:pos="426"/>
        </w:tabs>
        <w:spacing w:afterLines="120" w:after="288"/>
        <w:rPr>
          <w:rFonts w:ascii="Arial" w:hAnsi="Arial" w:cs="Arial"/>
          <w:color w:val="000000" w:themeColor="text1"/>
          <w:sz w:val="22"/>
        </w:rPr>
      </w:pPr>
      <w:r w:rsidRPr="0025010A">
        <w:rPr>
          <w:rFonts w:ascii="Arial" w:eastAsia="Arial" w:hAnsi="Arial" w:cs="Arial"/>
          <w:b/>
          <w:color w:val="000000" w:themeColor="text1"/>
          <w:sz w:val="22"/>
          <w:szCs w:val="22"/>
        </w:rPr>
        <w:t>3. Respuesta</w:t>
      </w:r>
    </w:p>
    <w:p w14:paraId="6E652ACA" w14:textId="76323FE9" w:rsidR="00566C54" w:rsidRPr="0025010A" w:rsidRDefault="005A453F" w:rsidP="00B56359">
      <w:pPr>
        <w:spacing w:after="120"/>
        <w:rPr>
          <w:rFonts w:ascii="Arial" w:hAnsi="Arial" w:cs="Arial"/>
          <w:color w:val="000000" w:themeColor="text1"/>
          <w:sz w:val="22"/>
          <w:szCs w:val="22"/>
        </w:rPr>
      </w:pPr>
      <w:r w:rsidRPr="0025010A">
        <w:rPr>
          <w:rFonts w:ascii="Arial" w:hAnsi="Arial" w:cs="Arial"/>
          <w:color w:val="000000" w:themeColor="text1"/>
          <w:sz w:val="22"/>
        </w:rPr>
        <w:t>Frente a su solicitud de aclaración</w:t>
      </w:r>
      <w:r w:rsidR="00F05972" w:rsidRPr="0025010A">
        <w:rPr>
          <w:rFonts w:ascii="Arial" w:hAnsi="Arial" w:cs="Arial"/>
          <w:color w:val="000000" w:themeColor="text1"/>
          <w:sz w:val="22"/>
        </w:rPr>
        <w:t>,</w:t>
      </w:r>
      <w:r w:rsidRPr="0025010A">
        <w:rPr>
          <w:rFonts w:ascii="Arial" w:hAnsi="Arial" w:cs="Arial"/>
          <w:color w:val="000000" w:themeColor="text1"/>
          <w:sz w:val="22"/>
        </w:rPr>
        <w:t xml:space="preserve"> en relación con el artículo 1 de la Ley 1882 de 2018, esta Agencia le responde que dicha norma</w:t>
      </w:r>
      <w:r w:rsidR="00F64E78" w:rsidRPr="0025010A">
        <w:rPr>
          <w:rFonts w:ascii="Arial" w:hAnsi="Arial" w:cs="Arial"/>
          <w:color w:val="000000" w:themeColor="text1"/>
          <w:sz w:val="22"/>
        </w:rPr>
        <w:t xml:space="preserve">, que adicionó </w:t>
      </w:r>
      <w:r w:rsidR="00F05972" w:rsidRPr="0025010A">
        <w:rPr>
          <w:rFonts w:ascii="Arial" w:hAnsi="Arial" w:cs="Arial"/>
          <w:color w:val="000000" w:themeColor="text1"/>
          <w:sz w:val="22"/>
        </w:rPr>
        <w:t>los parágrafos 2 y</w:t>
      </w:r>
      <w:r w:rsidR="00F64E78" w:rsidRPr="0025010A">
        <w:rPr>
          <w:rFonts w:ascii="Arial" w:hAnsi="Arial" w:cs="Arial"/>
          <w:color w:val="000000" w:themeColor="text1"/>
          <w:sz w:val="22"/>
        </w:rPr>
        <w:t xml:space="preserve"> 3 </w:t>
      </w:r>
      <w:r w:rsidR="00F05972" w:rsidRPr="0025010A">
        <w:rPr>
          <w:rFonts w:ascii="Arial" w:hAnsi="Arial" w:cs="Arial"/>
          <w:color w:val="000000" w:themeColor="text1"/>
          <w:sz w:val="22"/>
        </w:rPr>
        <w:t xml:space="preserve">al artículo 30 </w:t>
      </w:r>
      <w:r w:rsidR="00F64E78" w:rsidRPr="0025010A">
        <w:rPr>
          <w:rFonts w:ascii="Arial" w:hAnsi="Arial" w:cs="Arial"/>
          <w:color w:val="000000" w:themeColor="text1"/>
          <w:sz w:val="22"/>
        </w:rPr>
        <w:t>de la Ley 80 de 1993,</w:t>
      </w:r>
      <w:r w:rsidR="00F05972" w:rsidRPr="0025010A">
        <w:rPr>
          <w:rFonts w:ascii="Arial" w:hAnsi="Arial" w:cs="Arial"/>
          <w:color w:val="000000" w:themeColor="text1"/>
          <w:sz w:val="22"/>
        </w:rPr>
        <w:t xml:space="preserve"> y que aplica para la selección de contratistas de obra mediante licitación pública,</w:t>
      </w:r>
      <w:r w:rsidR="00566C54" w:rsidRPr="0025010A">
        <w:rPr>
          <w:rFonts w:ascii="Arial" w:hAnsi="Arial" w:cs="Arial"/>
          <w:color w:val="000000" w:themeColor="text1"/>
          <w:sz w:val="22"/>
        </w:rPr>
        <w:t xml:space="preserve"> diferencia claramente dos momentos relacionados con la apertura y valoración de los distintos componentes de la oferta, los cuales están divididos, según la misma disposición, en dos sobres diferentes: por un lado, el sobre número 1 que contendrá los documentos e información relacionada con la acreditación de los requisitos habilitantes, así como los requisitos sometidos a asignación de puntaje, pero distintos a la oferta económica. El contenido de este primer sobre será valorado y evaluado mediante un informe «provisional» de evaluación que permanecerá publicado durante 5 días hábiles, término durante el cual los proponentes podrán presentar observaciones y presentar documentos e información solicitada por la entidad estatal, para que a partir de ello, esta proced</w:t>
      </w:r>
      <w:r w:rsidR="00566C54" w:rsidRPr="0025010A">
        <w:rPr>
          <w:rFonts w:ascii="Arial" w:hAnsi="Arial" w:cs="Arial"/>
          <w:color w:val="000000" w:themeColor="text1"/>
          <w:sz w:val="22"/>
          <w:szCs w:val="22"/>
        </w:rPr>
        <w:t>a a pronunciarse sobre dichas observaciones y a publicar el informe final de evaluación de los requisitos habilitantes y los requisitos objeto de puntuación distintos a la oferta económica.</w:t>
      </w:r>
    </w:p>
    <w:p w14:paraId="3A2773E1" w14:textId="77777777" w:rsidR="00566C54" w:rsidRPr="0025010A" w:rsidRDefault="00566C54" w:rsidP="00C234E6">
      <w:pPr>
        <w:spacing w:after="120"/>
        <w:ind w:firstLine="720"/>
        <w:rPr>
          <w:rFonts w:ascii="Arial" w:hAnsi="Arial" w:cs="Arial"/>
          <w:color w:val="000000" w:themeColor="text1"/>
          <w:sz w:val="22"/>
        </w:rPr>
      </w:pPr>
      <w:r w:rsidRPr="0025010A">
        <w:rPr>
          <w:rFonts w:ascii="Arial" w:hAnsi="Arial" w:cs="Arial"/>
          <w:color w:val="000000" w:themeColor="text1"/>
          <w:sz w:val="22"/>
        </w:rPr>
        <w:lastRenderedPageBreak/>
        <w:t>La norma de la Ley 1882 guarda silencio respecto al momento de apertura del Sobre No. 1, limitándose a establecer que la entidad deberá publicar un informe de evaluación relacionado con los documentos relativos a los requisitos habilitantes y los que sean objeto de puntuación diferentes a la oferta económica, dentro del plazo establecido en el pliego de condiciones, el cual deberá permanecer publicado durante cinco (5) días en el SECOP.</w:t>
      </w:r>
    </w:p>
    <w:p w14:paraId="337C13F7" w14:textId="53C85879" w:rsidR="00F64E78" w:rsidRPr="0025010A" w:rsidRDefault="00566C54" w:rsidP="00C234E6">
      <w:pPr>
        <w:spacing w:after="120"/>
        <w:ind w:firstLine="720"/>
        <w:rPr>
          <w:rFonts w:ascii="Arial" w:hAnsi="Arial" w:cs="Arial"/>
          <w:color w:val="000000" w:themeColor="text1"/>
          <w:sz w:val="22"/>
          <w:szCs w:val="22"/>
        </w:rPr>
      </w:pPr>
      <w:r w:rsidRPr="0025010A">
        <w:rPr>
          <w:rFonts w:ascii="Arial" w:hAnsi="Arial" w:cs="Arial"/>
          <w:color w:val="000000" w:themeColor="text1"/>
          <w:sz w:val="22"/>
          <w:szCs w:val="22"/>
        </w:rPr>
        <w:t>Otro es el tratamiento que se le otorga al Sobre No. 2, que, de conformidad con lo establecido en la disposición comentada, deberá permanecer cerrado hasta tanto se re</w:t>
      </w:r>
      <w:r w:rsidR="00C234E6" w:rsidRPr="0025010A">
        <w:rPr>
          <w:rFonts w:ascii="Arial" w:hAnsi="Arial" w:cs="Arial"/>
          <w:color w:val="000000" w:themeColor="text1"/>
          <w:sz w:val="22"/>
          <w:szCs w:val="22"/>
        </w:rPr>
        <w:t>a</w:t>
      </w:r>
      <w:r w:rsidRPr="0025010A">
        <w:rPr>
          <w:rFonts w:ascii="Arial" w:hAnsi="Arial" w:cs="Arial"/>
          <w:color w:val="000000" w:themeColor="text1"/>
          <w:sz w:val="22"/>
          <w:szCs w:val="22"/>
        </w:rPr>
        <w:t xml:space="preserve">lice la audiencia pública de adjudicación. En el decurso de dicha audiencia, se procederán a abrir los sobres con las ofertas económicas, y se evaluarán en la misma siguiendo el mecanismo escogido a través del método aleatorio establecido en el respectivo pliego de condiciones.  </w:t>
      </w:r>
    </w:p>
    <w:p w14:paraId="3A16B86F" w14:textId="055DF28F" w:rsidR="00F64E78" w:rsidRPr="0025010A" w:rsidRDefault="00F64E78" w:rsidP="00B56359">
      <w:pPr>
        <w:tabs>
          <w:tab w:val="left" w:pos="426"/>
        </w:tabs>
        <w:spacing w:after="120"/>
        <w:rPr>
          <w:rFonts w:ascii="Arial" w:eastAsia="Arial" w:hAnsi="Arial" w:cs="Arial"/>
          <w:bCs/>
          <w:color w:val="000000" w:themeColor="text1"/>
          <w:sz w:val="22"/>
          <w:szCs w:val="22"/>
        </w:rPr>
      </w:pPr>
      <w:r w:rsidRPr="0025010A">
        <w:rPr>
          <w:rFonts w:ascii="Arial" w:eastAsia="Arial" w:hAnsi="Arial" w:cs="Arial"/>
          <w:bCs/>
          <w:color w:val="000000" w:themeColor="text1"/>
          <w:sz w:val="22"/>
          <w:szCs w:val="22"/>
        </w:rPr>
        <w:tab/>
        <w:t xml:space="preserve">De esta forma, la Ley 1882 de 2018 determina que las entidades contratantes evaluarán el componente económico de las ofertas presentadas dentro de la </w:t>
      </w:r>
      <w:r w:rsidR="00566C54" w:rsidRPr="0025010A">
        <w:rPr>
          <w:rFonts w:ascii="Arial" w:eastAsia="Arial" w:hAnsi="Arial" w:cs="Arial"/>
          <w:bCs/>
          <w:color w:val="000000" w:themeColor="text1"/>
          <w:sz w:val="22"/>
          <w:szCs w:val="22"/>
        </w:rPr>
        <w:t>l</w:t>
      </w:r>
      <w:r w:rsidRPr="0025010A">
        <w:rPr>
          <w:rFonts w:ascii="Arial" w:eastAsia="Arial" w:hAnsi="Arial" w:cs="Arial"/>
          <w:bCs/>
          <w:color w:val="000000" w:themeColor="text1"/>
          <w:sz w:val="22"/>
          <w:szCs w:val="22"/>
        </w:rPr>
        <w:t xml:space="preserve">icitación </w:t>
      </w:r>
      <w:r w:rsidR="00566C54" w:rsidRPr="0025010A">
        <w:rPr>
          <w:rFonts w:ascii="Arial" w:eastAsia="Arial" w:hAnsi="Arial" w:cs="Arial"/>
          <w:bCs/>
          <w:color w:val="000000" w:themeColor="text1"/>
          <w:sz w:val="22"/>
          <w:szCs w:val="22"/>
        </w:rPr>
        <w:t>p</w:t>
      </w:r>
      <w:r w:rsidRPr="0025010A">
        <w:rPr>
          <w:rFonts w:ascii="Arial" w:eastAsia="Arial" w:hAnsi="Arial" w:cs="Arial"/>
          <w:bCs/>
          <w:color w:val="000000" w:themeColor="text1"/>
          <w:sz w:val="22"/>
          <w:szCs w:val="22"/>
        </w:rPr>
        <w:t>ública</w:t>
      </w:r>
      <w:r w:rsidR="00566C54" w:rsidRPr="0025010A">
        <w:rPr>
          <w:rFonts w:ascii="Arial" w:eastAsia="Arial" w:hAnsi="Arial" w:cs="Arial"/>
          <w:bCs/>
          <w:color w:val="000000" w:themeColor="text1"/>
          <w:sz w:val="22"/>
          <w:szCs w:val="22"/>
        </w:rPr>
        <w:t xml:space="preserve"> para seleccionar a contratistas de obra</w:t>
      </w:r>
      <w:r w:rsidRPr="0025010A">
        <w:rPr>
          <w:rFonts w:ascii="Arial" w:eastAsia="Arial" w:hAnsi="Arial" w:cs="Arial"/>
          <w:bCs/>
          <w:color w:val="000000" w:themeColor="text1"/>
          <w:sz w:val="22"/>
          <w:szCs w:val="22"/>
        </w:rPr>
        <w:t>, utilizando el mecani</w:t>
      </w:r>
      <w:r w:rsidR="00566C54" w:rsidRPr="0025010A">
        <w:rPr>
          <w:rFonts w:ascii="Arial" w:eastAsia="Arial" w:hAnsi="Arial" w:cs="Arial"/>
          <w:bCs/>
          <w:color w:val="000000" w:themeColor="text1"/>
          <w:sz w:val="22"/>
          <w:szCs w:val="22"/>
        </w:rPr>
        <w:t>s</w:t>
      </w:r>
      <w:r w:rsidRPr="0025010A">
        <w:rPr>
          <w:rFonts w:ascii="Arial" w:eastAsia="Arial" w:hAnsi="Arial" w:cs="Arial"/>
          <w:bCs/>
          <w:color w:val="000000" w:themeColor="text1"/>
          <w:sz w:val="22"/>
          <w:szCs w:val="22"/>
        </w:rPr>
        <w:t xml:space="preserve">mo que resulte de aplicar el método aleatorio de escogencia establecido en el pliego de condiciones. Así, se insiste, la norma legal no impone la utilización de un método aleatorio en particular, sino que deja a discreción de la entidad contratante su designación, contando solo con dos exigencias expresas, a saber, que dicho método conste previamente en el pliego de condiciones y que, además, cumpla con la característica de ser aleatorio. </w:t>
      </w:r>
    </w:p>
    <w:p w14:paraId="14AE3BAA" w14:textId="4F89ED96" w:rsidR="00F64E78" w:rsidRPr="0025010A" w:rsidRDefault="00F64E78" w:rsidP="00B56359">
      <w:pPr>
        <w:tabs>
          <w:tab w:val="left" w:pos="426"/>
        </w:tabs>
        <w:spacing w:after="120"/>
        <w:rPr>
          <w:rFonts w:ascii="Arial" w:eastAsia="Arial" w:hAnsi="Arial" w:cs="Arial"/>
          <w:bCs/>
          <w:color w:val="000000" w:themeColor="text1"/>
          <w:sz w:val="22"/>
          <w:szCs w:val="22"/>
        </w:rPr>
      </w:pPr>
      <w:r w:rsidRPr="0025010A">
        <w:rPr>
          <w:rFonts w:ascii="Arial" w:eastAsia="Arial" w:hAnsi="Arial" w:cs="Arial"/>
          <w:bCs/>
          <w:color w:val="000000" w:themeColor="text1"/>
          <w:sz w:val="22"/>
          <w:szCs w:val="22"/>
        </w:rPr>
        <w:tab/>
      </w:r>
      <w:r w:rsidR="00566C54" w:rsidRPr="0025010A">
        <w:rPr>
          <w:rFonts w:ascii="Arial" w:eastAsia="Arial" w:hAnsi="Arial" w:cs="Arial"/>
          <w:bCs/>
          <w:color w:val="000000" w:themeColor="text1"/>
          <w:sz w:val="22"/>
          <w:szCs w:val="22"/>
        </w:rPr>
        <w:tab/>
      </w:r>
      <w:r w:rsidRPr="0025010A">
        <w:rPr>
          <w:rFonts w:ascii="Arial" w:eastAsia="Arial" w:hAnsi="Arial" w:cs="Arial"/>
          <w:bCs/>
          <w:color w:val="000000" w:themeColor="text1"/>
          <w:sz w:val="22"/>
          <w:szCs w:val="22"/>
        </w:rPr>
        <w:t xml:space="preserve">Así, durante el desarrollo de la audiencia de adjudicación en la </w:t>
      </w:r>
      <w:r w:rsidR="00566C54" w:rsidRPr="0025010A">
        <w:rPr>
          <w:rFonts w:ascii="Arial" w:eastAsia="Arial" w:hAnsi="Arial" w:cs="Arial"/>
          <w:bCs/>
          <w:color w:val="000000" w:themeColor="text1"/>
          <w:sz w:val="22"/>
          <w:szCs w:val="22"/>
        </w:rPr>
        <w:t>l</w:t>
      </w:r>
      <w:r w:rsidRPr="0025010A">
        <w:rPr>
          <w:rFonts w:ascii="Arial" w:eastAsia="Arial" w:hAnsi="Arial" w:cs="Arial"/>
          <w:bCs/>
          <w:color w:val="000000" w:themeColor="text1"/>
          <w:sz w:val="22"/>
          <w:szCs w:val="22"/>
        </w:rPr>
        <w:t xml:space="preserve">icitación </w:t>
      </w:r>
      <w:r w:rsidR="00566C54" w:rsidRPr="0025010A">
        <w:rPr>
          <w:rFonts w:ascii="Arial" w:eastAsia="Arial" w:hAnsi="Arial" w:cs="Arial"/>
          <w:bCs/>
          <w:color w:val="000000" w:themeColor="text1"/>
          <w:sz w:val="22"/>
          <w:szCs w:val="22"/>
        </w:rPr>
        <w:t>p</w:t>
      </w:r>
      <w:r w:rsidRPr="0025010A">
        <w:rPr>
          <w:rFonts w:ascii="Arial" w:eastAsia="Arial" w:hAnsi="Arial" w:cs="Arial"/>
          <w:bCs/>
          <w:color w:val="000000" w:themeColor="text1"/>
          <w:sz w:val="22"/>
          <w:szCs w:val="22"/>
        </w:rPr>
        <w:t xml:space="preserve">ública, se dará apertura al </w:t>
      </w:r>
      <w:r w:rsidR="005A453F" w:rsidRPr="0025010A">
        <w:rPr>
          <w:rFonts w:ascii="Arial" w:eastAsia="Arial" w:hAnsi="Arial" w:cs="Arial"/>
          <w:bCs/>
          <w:color w:val="000000" w:themeColor="text1"/>
          <w:sz w:val="22"/>
          <w:szCs w:val="22"/>
        </w:rPr>
        <w:t>S</w:t>
      </w:r>
      <w:r w:rsidRPr="0025010A">
        <w:rPr>
          <w:rFonts w:ascii="Arial" w:eastAsia="Arial" w:hAnsi="Arial" w:cs="Arial"/>
          <w:bCs/>
          <w:color w:val="000000" w:themeColor="text1"/>
          <w:sz w:val="22"/>
          <w:szCs w:val="22"/>
        </w:rPr>
        <w:t xml:space="preserve">obre </w:t>
      </w:r>
      <w:r w:rsidR="005A453F" w:rsidRPr="0025010A">
        <w:rPr>
          <w:rFonts w:ascii="Arial" w:eastAsia="Arial" w:hAnsi="Arial" w:cs="Arial"/>
          <w:bCs/>
          <w:color w:val="000000" w:themeColor="text1"/>
          <w:sz w:val="22"/>
          <w:szCs w:val="22"/>
        </w:rPr>
        <w:t>No</w:t>
      </w:r>
      <w:r w:rsidRPr="0025010A">
        <w:rPr>
          <w:rFonts w:ascii="Arial" w:eastAsia="Arial" w:hAnsi="Arial" w:cs="Arial"/>
          <w:bCs/>
          <w:color w:val="000000" w:themeColor="text1"/>
          <w:sz w:val="22"/>
          <w:szCs w:val="22"/>
        </w:rPr>
        <w:t>. 2 que contiene la oferta econ</w:t>
      </w:r>
      <w:r w:rsidR="00566C54" w:rsidRPr="0025010A">
        <w:rPr>
          <w:rFonts w:ascii="Arial" w:eastAsia="Arial" w:hAnsi="Arial" w:cs="Arial"/>
          <w:bCs/>
          <w:color w:val="000000" w:themeColor="text1"/>
          <w:sz w:val="22"/>
          <w:szCs w:val="22"/>
        </w:rPr>
        <w:t>ó</w:t>
      </w:r>
      <w:r w:rsidRPr="0025010A">
        <w:rPr>
          <w:rFonts w:ascii="Arial" w:eastAsia="Arial" w:hAnsi="Arial" w:cs="Arial"/>
          <w:bCs/>
          <w:color w:val="000000" w:themeColor="text1"/>
          <w:sz w:val="22"/>
          <w:szCs w:val="22"/>
        </w:rPr>
        <w:t xml:space="preserve">mica y que hasta ese momento debió permanecer cerrado, para que luego la entidad proceda a su evaluación, aplicando el mecanismo de calificación prestablecido </w:t>
      </w:r>
    </w:p>
    <w:p w14:paraId="362D249B" w14:textId="77777777" w:rsidR="00C234E6" w:rsidRPr="0025010A" w:rsidRDefault="00295901" w:rsidP="00C234E6">
      <w:pPr>
        <w:tabs>
          <w:tab w:val="left" w:pos="426"/>
        </w:tabs>
        <w:spacing w:after="120"/>
        <w:rPr>
          <w:rFonts w:ascii="Arial" w:eastAsia="Arial" w:hAnsi="Arial" w:cs="Arial"/>
          <w:bCs/>
          <w:color w:val="000000" w:themeColor="text1"/>
          <w:sz w:val="22"/>
          <w:szCs w:val="22"/>
        </w:rPr>
      </w:pPr>
      <w:r w:rsidRPr="0025010A">
        <w:rPr>
          <w:rFonts w:ascii="Arial" w:eastAsia="Arial" w:hAnsi="Arial" w:cs="Arial"/>
          <w:bCs/>
          <w:color w:val="000000" w:themeColor="text1"/>
          <w:sz w:val="22"/>
          <w:szCs w:val="22"/>
        </w:rPr>
        <w:tab/>
      </w:r>
      <w:r w:rsidR="00C234E6" w:rsidRPr="0025010A">
        <w:rPr>
          <w:rFonts w:ascii="Arial" w:eastAsia="Arial" w:hAnsi="Arial" w:cs="Arial"/>
          <w:bCs/>
          <w:color w:val="000000" w:themeColor="text1"/>
          <w:sz w:val="22"/>
          <w:szCs w:val="22"/>
        </w:rPr>
        <w:t>Según lo dicho, los documentos tipo adoptados por la Agencia han acogido la Tasa Representativa del Mercado como la variable a utilizar para determinar el mecanismo de ponderación de las ofertas económicas. Para ello, la Agencia ha dispuesto ciertos rangos correspondientes a los últimos decimales de la TRM de determinado día, para que con fundamento en ellos se determine el mecanismo de evaluación, todo lo cual se encuentra previamente establecido en los Pliegos Tipo.</w:t>
      </w:r>
    </w:p>
    <w:p w14:paraId="754FEFED" w14:textId="4C96925C" w:rsidR="00DB43C2" w:rsidRPr="0025010A" w:rsidRDefault="00C234E6" w:rsidP="00B56359">
      <w:pPr>
        <w:tabs>
          <w:tab w:val="left" w:pos="426"/>
        </w:tabs>
        <w:spacing w:after="120"/>
        <w:rPr>
          <w:rFonts w:ascii="Arial" w:eastAsia="Arial" w:hAnsi="Arial" w:cs="Arial"/>
          <w:bCs/>
          <w:color w:val="000000" w:themeColor="text1"/>
          <w:sz w:val="22"/>
          <w:szCs w:val="22"/>
        </w:rPr>
      </w:pPr>
      <w:r w:rsidRPr="0025010A">
        <w:rPr>
          <w:rFonts w:ascii="Arial" w:eastAsia="Arial" w:hAnsi="Arial" w:cs="Arial"/>
          <w:bCs/>
          <w:color w:val="000000" w:themeColor="text1"/>
          <w:sz w:val="22"/>
          <w:szCs w:val="22"/>
        </w:rPr>
        <w:tab/>
      </w:r>
      <w:r w:rsidRPr="0025010A">
        <w:rPr>
          <w:rFonts w:ascii="Arial" w:eastAsia="Arial" w:hAnsi="Arial" w:cs="Arial"/>
          <w:bCs/>
          <w:color w:val="000000" w:themeColor="text1"/>
          <w:sz w:val="22"/>
          <w:szCs w:val="22"/>
        </w:rPr>
        <w:tab/>
        <w:t xml:space="preserve">Sin embargo, como se explicó, el que la Agencia haya optado por escoger la TRM como fórmula aleatoria para la elección del mecanismo de ponderación de las ofertas, no quiere decir que dicho método sea el único válido, sino que, por el contrario, las entidades contratantes, y la Agencia misma, cuentan con la discrecionalidad otorgada por la Ley 1882 de 2018 para definir el método aleatorio que utilizarán. Además, frente a la aplicación de la propia TRM como método aleatorio de escogencia, tampoco existe exigencia normativa alguna que compela a la entidad contratante, ni a la Agencia al confeccionar sus pliegos tipo, que aquella corresponda a un valor surgido con anterioridad o con posterioridad a la apertura del Sobre No. 2 que contiene la oferta económica porque, se insiste, la norma solo </w:t>
      </w:r>
      <w:r w:rsidRPr="0025010A">
        <w:rPr>
          <w:rFonts w:ascii="Arial" w:eastAsia="Arial" w:hAnsi="Arial" w:cs="Arial"/>
          <w:bCs/>
          <w:color w:val="000000" w:themeColor="text1"/>
          <w:sz w:val="22"/>
          <w:szCs w:val="22"/>
        </w:rPr>
        <w:lastRenderedPageBreak/>
        <w:t>exi</w:t>
      </w:r>
      <w:r w:rsidR="00DB43C2" w:rsidRPr="0025010A">
        <w:rPr>
          <w:rFonts w:ascii="Arial" w:eastAsia="Arial" w:hAnsi="Arial" w:cs="Arial"/>
          <w:bCs/>
          <w:color w:val="000000" w:themeColor="text1"/>
          <w:sz w:val="22"/>
          <w:szCs w:val="22"/>
        </w:rPr>
        <w:t>g</w:t>
      </w:r>
      <w:r w:rsidRPr="0025010A">
        <w:rPr>
          <w:rFonts w:ascii="Arial" w:eastAsia="Arial" w:hAnsi="Arial" w:cs="Arial"/>
          <w:bCs/>
          <w:color w:val="000000" w:themeColor="text1"/>
          <w:sz w:val="22"/>
          <w:szCs w:val="22"/>
        </w:rPr>
        <w:t>e que dicho método cumpla con el carácter de aleatorio y que esté previamente enunciado en el pliego de condiciones. Ahora bien, respecto a los procesos regidos por los documentos tipo rige la regla de la inalterabilidad, por lo que las entidades deberán emplear los criterios establecidos por la Agencia en los documentos tipo, en caso de que alguno resulte aplicable al proceso a adelantar por parte de la entidad estatal, conforme se explicó en el numeral 2.1. de este concepto.</w:t>
      </w:r>
    </w:p>
    <w:p w14:paraId="083C619B" w14:textId="5B2E0DA4" w:rsidR="00295901" w:rsidRPr="0025010A" w:rsidRDefault="00DB43C2" w:rsidP="00C234E6">
      <w:pPr>
        <w:tabs>
          <w:tab w:val="left" w:pos="426"/>
        </w:tabs>
        <w:spacing w:afterLines="120" w:after="288"/>
        <w:rPr>
          <w:rFonts w:ascii="Arial" w:eastAsia="Arial" w:hAnsi="Arial" w:cs="Arial"/>
          <w:bCs/>
          <w:color w:val="000000" w:themeColor="text1"/>
          <w:sz w:val="22"/>
          <w:szCs w:val="22"/>
        </w:rPr>
      </w:pPr>
      <w:r w:rsidRPr="0025010A">
        <w:rPr>
          <w:rFonts w:ascii="Arial" w:eastAsia="Arial" w:hAnsi="Arial" w:cs="Arial"/>
          <w:bCs/>
          <w:color w:val="000000" w:themeColor="text1"/>
          <w:sz w:val="22"/>
          <w:szCs w:val="22"/>
        </w:rPr>
        <w:tab/>
        <w:t>Finalmente, como se explicó, respecto a los documentos tipo de licitación de obra pública de infraestructura de transporte –Versión 3–, se estableció que la TRM que la entidad utilizará para determinar el método de ponderación será la que rija el día hábil siguiente del día en que efectivamente sea la apertura del segundo sobre.</w:t>
      </w:r>
    </w:p>
    <w:p w14:paraId="39569111" w14:textId="77777777" w:rsidR="0032607E" w:rsidRPr="0025010A" w:rsidRDefault="006A7BA1" w:rsidP="0032607E">
      <w:pPr>
        <w:spacing w:afterLines="120" w:after="288"/>
        <w:rPr>
          <w:rFonts w:ascii="Arial" w:eastAsia="Arial" w:hAnsi="Arial" w:cs="Arial"/>
          <w:color w:val="000000" w:themeColor="text1"/>
          <w:sz w:val="22"/>
          <w:szCs w:val="22"/>
        </w:rPr>
      </w:pPr>
      <w:r w:rsidRPr="0025010A">
        <w:rPr>
          <w:rFonts w:ascii="Arial" w:eastAsia="Arial" w:hAnsi="Arial" w:cs="Arial"/>
          <w:color w:val="000000" w:themeColor="text1"/>
          <w:sz w:val="22"/>
          <w:szCs w:val="22"/>
        </w:rPr>
        <w:t>Este concepto tiene el alcance previsto en el artículo 28 del Código de Procedimiento Administrativo y de lo Contencioso Administrativo.</w:t>
      </w:r>
      <w:r w:rsidR="005137BB" w:rsidRPr="0025010A">
        <w:rPr>
          <w:noProof/>
          <w:color w:val="000000" w:themeColor="text1"/>
        </w:rPr>
        <mc:AlternateContent>
          <mc:Choice Requires="wps">
            <w:drawing>
              <wp:anchor distT="4294967259" distB="4294967259" distL="114300" distR="114300" simplePos="0" relativeHeight="251659264" behindDoc="0" locked="0" layoutInCell="1" allowOverlap="1" wp14:anchorId="2FEA3148" wp14:editId="467172CB">
                <wp:simplePos x="0" y="0"/>
                <wp:positionH relativeFrom="column">
                  <wp:posOffset>434340</wp:posOffset>
                </wp:positionH>
                <wp:positionV relativeFrom="paragraph">
                  <wp:posOffset>10159</wp:posOffset>
                </wp:positionV>
                <wp:extent cx="46863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C3C94F" id="Conector recto 1" o:spid="_x0000_s1026" style="position:absolute;z-index:25165926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" strokecolor="#dbdbdb">
                <o:lock v:ext="edit" shapetype="f"/>
              </v:line>
            </w:pict>
          </mc:Fallback>
        </mc:AlternateContent>
      </w:r>
    </w:p>
    <w:p w14:paraId="49081543" w14:textId="77777777" w:rsidR="0032607E" w:rsidRPr="0025010A" w:rsidRDefault="0032607E" w:rsidP="0032607E">
      <w:pPr>
        <w:rPr>
          <w:rFonts w:ascii="Arial" w:eastAsia="Arial" w:hAnsi="Arial" w:cs="Arial"/>
          <w:color w:val="000000" w:themeColor="text1"/>
          <w:sz w:val="22"/>
          <w:szCs w:val="22"/>
        </w:rPr>
      </w:pPr>
      <w:r w:rsidRPr="0025010A">
        <w:rPr>
          <w:rFonts w:ascii="Arial" w:eastAsia="Arial" w:hAnsi="Arial" w:cs="Arial"/>
          <w:color w:val="000000" w:themeColor="text1"/>
          <w:sz w:val="22"/>
          <w:szCs w:val="22"/>
        </w:rPr>
        <w:t>Atentamente,</w:t>
      </w:r>
    </w:p>
    <w:p w14:paraId="21BD0B9C" w14:textId="19BB3543" w:rsidR="00694B35" w:rsidRDefault="00694B35" w:rsidP="00694B35">
      <w:pPr>
        <w:rPr>
          <w:rFonts w:ascii="Arial" w:eastAsia="Arial" w:hAnsi="Arial" w:cs="Arial"/>
          <w:color w:val="000000" w:themeColor="text1"/>
          <w:sz w:val="18"/>
          <w:szCs w:val="18"/>
        </w:rPr>
      </w:pPr>
    </w:p>
    <w:p w14:paraId="76E74703" w14:textId="0008B91A" w:rsidR="00694B35" w:rsidRPr="00694B35" w:rsidRDefault="00694B35" w:rsidP="00694B35">
      <w:pPr>
        <w:spacing w:after="0" w:line="240" w:lineRule="auto"/>
        <w:jc w:val="center"/>
        <w:rPr>
          <w:rFonts w:ascii="Times New Roman" w:eastAsia="Times New Roman" w:hAnsi="Times New Roman" w:cs="Times New Roman"/>
          <w:lang w:val="es-CO" w:eastAsia="es-MX"/>
        </w:rPr>
      </w:pPr>
      <w:r w:rsidRPr="00694B35">
        <w:rPr>
          <w:rFonts w:ascii="Arial" w:eastAsia="Arial" w:hAnsi="Arial" w:cs="Arial"/>
          <w:noProof/>
          <w:color w:val="000000" w:themeColor="text1"/>
          <w:sz w:val="18"/>
          <w:szCs w:val="18"/>
        </w:rPr>
        <w:drawing>
          <wp:inline distT="0" distB="0" distL="0" distR="0" wp14:anchorId="0293B083" wp14:editId="75B01B00">
            <wp:extent cx="1674495" cy="74104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495" cy="741045"/>
                    </a:xfrm>
                    <a:prstGeom prst="rect">
                      <a:avLst/>
                    </a:prstGeom>
                    <a:noFill/>
                    <a:ln>
                      <a:noFill/>
                    </a:ln>
                  </pic:spPr>
                </pic:pic>
              </a:graphicData>
            </a:graphic>
          </wp:inline>
        </w:drawing>
      </w:r>
    </w:p>
    <w:p w14:paraId="3DF70B41" w14:textId="77777777" w:rsidR="00694B35" w:rsidRPr="0025010A" w:rsidRDefault="00694B35" w:rsidP="0032607E">
      <w:pPr>
        <w:jc w:val="center"/>
        <w:rPr>
          <w:rFonts w:ascii="Arial" w:eastAsia="Arial" w:hAnsi="Arial" w:cs="Arial"/>
          <w:color w:val="000000" w:themeColor="text1"/>
          <w:sz w:val="18"/>
          <w:szCs w:val="18"/>
        </w:rPr>
      </w:pP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32607E" w:rsidRPr="0025010A" w14:paraId="474E3C6D" w14:textId="77777777" w:rsidTr="0031490F">
        <w:trPr>
          <w:trHeight w:val="315"/>
        </w:trPr>
        <w:tc>
          <w:tcPr>
            <w:tcW w:w="812" w:type="dxa"/>
            <w:vAlign w:val="center"/>
          </w:tcPr>
          <w:p w14:paraId="08EBAE09" w14:textId="77777777" w:rsidR="0032607E" w:rsidRPr="0025010A" w:rsidRDefault="0032607E" w:rsidP="0089347D">
            <w:pPr>
              <w:spacing w:after="0" w:line="240" w:lineRule="auto"/>
              <w:rPr>
                <w:rFonts w:ascii="Arial" w:eastAsia="Arial" w:hAnsi="Arial" w:cs="Arial"/>
                <w:color w:val="000000" w:themeColor="text1"/>
                <w:sz w:val="16"/>
                <w:szCs w:val="16"/>
              </w:rPr>
            </w:pPr>
            <w:r w:rsidRPr="0025010A">
              <w:rPr>
                <w:rFonts w:ascii="Arial" w:eastAsia="Arial" w:hAnsi="Arial" w:cs="Arial"/>
                <w:color w:val="000000" w:themeColor="text1"/>
                <w:sz w:val="16"/>
                <w:szCs w:val="16"/>
              </w:rPr>
              <w:t>Elaboró:</w:t>
            </w:r>
          </w:p>
        </w:tc>
        <w:tc>
          <w:tcPr>
            <w:tcW w:w="4413" w:type="dxa"/>
            <w:tcBorders>
              <w:top w:val="nil"/>
              <w:left w:val="nil"/>
              <w:bottom w:val="dotted" w:sz="4" w:space="0" w:color="7F7F7F"/>
              <w:right w:val="nil"/>
            </w:tcBorders>
            <w:vAlign w:val="center"/>
          </w:tcPr>
          <w:p w14:paraId="548056E6" w14:textId="77777777" w:rsidR="0032607E" w:rsidRPr="0025010A" w:rsidRDefault="0032607E" w:rsidP="0089347D">
            <w:pPr>
              <w:spacing w:after="0" w:line="240" w:lineRule="auto"/>
              <w:rPr>
                <w:rFonts w:ascii="Arial" w:eastAsia="Arial" w:hAnsi="Arial" w:cs="Arial"/>
                <w:color w:val="000000" w:themeColor="text1"/>
                <w:sz w:val="16"/>
                <w:szCs w:val="16"/>
              </w:rPr>
            </w:pPr>
            <w:r w:rsidRPr="0025010A">
              <w:rPr>
                <w:rFonts w:ascii="Arial" w:eastAsia="Arial" w:hAnsi="Arial" w:cs="Arial"/>
                <w:color w:val="000000" w:themeColor="text1"/>
                <w:sz w:val="16"/>
                <w:szCs w:val="16"/>
              </w:rPr>
              <w:t>Álvaro Namén Vargas</w:t>
            </w:r>
          </w:p>
          <w:p w14:paraId="5A92A845" w14:textId="77777777" w:rsidR="0032607E" w:rsidRPr="0025010A" w:rsidRDefault="0032607E" w:rsidP="0089347D">
            <w:pPr>
              <w:spacing w:after="0" w:line="240" w:lineRule="auto"/>
              <w:rPr>
                <w:rFonts w:ascii="Arial" w:eastAsia="Arial" w:hAnsi="Arial" w:cs="Arial"/>
                <w:color w:val="000000" w:themeColor="text1"/>
                <w:sz w:val="16"/>
                <w:szCs w:val="16"/>
              </w:rPr>
            </w:pPr>
            <w:r w:rsidRPr="0025010A">
              <w:rPr>
                <w:rFonts w:ascii="Arial" w:eastAsia="Arial" w:hAnsi="Arial" w:cs="Arial"/>
                <w:color w:val="000000" w:themeColor="text1"/>
                <w:sz w:val="16"/>
                <w:szCs w:val="16"/>
              </w:rPr>
              <w:t>Contratista de la Subdirección de Gestión Contractual</w:t>
            </w:r>
          </w:p>
        </w:tc>
      </w:tr>
      <w:tr w:rsidR="0032607E" w:rsidRPr="0025010A" w14:paraId="589DA672" w14:textId="77777777" w:rsidTr="0031490F">
        <w:trPr>
          <w:trHeight w:val="330"/>
        </w:trPr>
        <w:tc>
          <w:tcPr>
            <w:tcW w:w="812" w:type="dxa"/>
            <w:vAlign w:val="center"/>
          </w:tcPr>
          <w:p w14:paraId="1F7107E1" w14:textId="77777777" w:rsidR="0032607E" w:rsidRPr="0025010A" w:rsidRDefault="0032607E" w:rsidP="0089347D">
            <w:pPr>
              <w:spacing w:after="0" w:line="240" w:lineRule="auto"/>
              <w:rPr>
                <w:rFonts w:ascii="Arial" w:eastAsia="Arial" w:hAnsi="Arial" w:cs="Arial"/>
                <w:color w:val="000000" w:themeColor="text1"/>
                <w:sz w:val="16"/>
                <w:szCs w:val="16"/>
              </w:rPr>
            </w:pPr>
            <w:r w:rsidRPr="0025010A">
              <w:rPr>
                <w:rFonts w:ascii="Arial" w:eastAsia="Arial" w:hAnsi="Arial" w:cs="Arial"/>
                <w:color w:val="000000" w:themeColor="text1"/>
                <w:sz w:val="16"/>
                <w:szCs w:val="16"/>
              </w:rPr>
              <w:t>Revisó:</w:t>
            </w:r>
          </w:p>
        </w:tc>
        <w:tc>
          <w:tcPr>
            <w:tcW w:w="4413" w:type="dxa"/>
            <w:tcBorders>
              <w:top w:val="dotted" w:sz="4" w:space="0" w:color="7F7F7F"/>
              <w:left w:val="nil"/>
              <w:bottom w:val="dotted" w:sz="4" w:space="0" w:color="7F7F7F"/>
              <w:right w:val="nil"/>
            </w:tcBorders>
            <w:vAlign w:val="center"/>
          </w:tcPr>
          <w:p w14:paraId="4E47F3E4" w14:textId="161F0E61" w:rsidR="0032607E" w:rsidRPr="0025010A" w:rsidRDefault="00C234E6" w:rsidP="0089347D">
            <w:pPr>
              <w:spacing w:after="0" w:line="240" w:lineRule="auto"/>
              <w:rPr>
                <w:rFonts w:ascii="Arial" w:eastAsia="Arial" w:hAnsi="Arial" w:cs="Arial"/>
                <w:color w:val="000000" w:themeColor="text1"/>
                <w:sz w:val="16"/>
                <w:szCs w:val="16"/>
              </w:rPr>
            </w:pPr>
            <w:r w:rsidRPr="0025010A">
              <w:rPr>
                <w:rFonts w:ascii="Arial" w:eastAsia="Arial" w:hAnsi="Arial" w:cs="Arial"/>
                <w:color w:val="000000" w:themeColor="text1"/>
                <w:sz w:val="16"/>
                <w:szCs w:val="16"/>
              </w:rPr>
              <w:t>Sebastián Ramírez Grisales</w:t>
            </w:r>
          </w:p>
          <w:p w14:paraId="396451AA" w14:textId="1C3FAFAD" w:rsidR="0032607E" w:rsidRPr="0025010A" w:rsidRDefault="00C234E6" w:rsidP="0089347D">
            <w:pPr>
              <w:spacing w:after="0" w:line="240" w:lineRule="auto"/>
              <w:rPr>
                <w:rFonts w:ascii="Arial" w:eastAsia="Arial" w:hAnsi="Arial" w:cs="Arial"/>
                <w:color w:val="000000" w:themeColor="text1"/>
                <w:sz w:val="16"/>
                <w:szCs w:val="16"/>
              </w:rPr>
            </w:pPr>
            <w:r w:rsidRPr="0025010A">
              <w:rPr>
                <w:rFonts w:ascii="Arial" w:eastAsia="Arial" w:hAnsi="Arial" w:cs="Arial"/>
                <w:color w:val="000000" w:themeColor="text1"/>
                <w:sz w:val="16"/>
                <w:szCs w:val="16"/>
              </w:rPr>
              <w:t>Contratista</w:t>
            </w:r>
            <w:r w:rsidR="0032607E" w:rsidRPr="0025010A">
              <w:rPr>
                <w:rFonts w:ascii="Arial" w:eastAsia="Arial" w:hAnsi="Arial" w:cs="Arial"/>
                <w:color w:val="000000" w:themeColor="text1"/>
                <w:sz w:val="16"/>
                <w:szCs w:val="16"/>
              </w:rPr>
              <w:t xml:space="preserve"> de la Subdirección de Gestión Contractual</w:t>
            </w:r>
          </w:p>
        </w:tc>
      </w:tr>
      <w:tr w:rsidR="0032607E" w:rsidRPr="00CC2647" w14:paraId="1FF67ED5" w14:textId="77777777" w:rsidTr="0031490F">
        <w:trPr>
          <w:trHeight w:val="300"/>
        </w:trPr>
        <w:tc>
          <w:tcPr>
            <w:tcW w:w="812" w:type="dxa"/>
            <w:vAlign w:val="center"/>
          </w:tcPr>
          <w:p w14:paraId="33074C64" w14:textId="77777777" w:rsidR="0032607E" w:rsidRPr="0025010A" w:rsidRDefault="0032607E" w:rsidP="0089347D">
            <w:pPr>
              <w:spacing w:after="0" w:line="240" w:lineRule="auto"/>
              <w:rPr>
                <w:rFonts w:ascii="Arial" w:eastAsia="Arial" w:hAnsi="Arial" w:cs="Arial"/>
                <w:color w:val="000000" w:themeColor="text1"/>
                <w:sz w:val="16"/>
                <w:szCs w:val="16"/>
              </w:rPr>
            </w:pPr>
            <w:r w:rsidRPr="0025010A">
              <w:rPr>
                <w:rFonts w:ascii="Arial" w:eastAsia="Arial" w:hAnsi="Arial" w:cs="Arial"/>
                <w:color w:val="000000" w:themeColor="text1"/>
                <w:sz w:val="16"/>
                <w:szCs w:val="16"/>
              </w:rPr>
              <w:t>Aprobó:</w:t>
            </w:r>
          </w:p>
        </w:tc>
        <w:tc>
          <w:tcPr>
            <w:tcW w:w="4413" w:type="dxa"/>
            <w:tcBorders>
              <w:top w:val="dotted" w:sz="4" w:space="0" w:color="7F7F7F"/>
              <w:left w:val="nil"/>
              <w:bottom w:val="dotted" w:sz="4" w:space="0" w:color="7F7F7F"/>
              <w:right w:val="nil"/>
            </w:tcBorders>
            <w:vAlign w:val="center"/>
          </w:tcPr>
          <w:p w14:paraId="4805AAE4" w14:textId="77777777" w:rsidR="00C234E6" w:rsidRPr="0025010A" w:rsidRDefault="00C234E6" w:rsidP="00C234E6">
            <w:pPr>
              <w:spacing w:after="0" w:line="240" w:lineRule="auto"/>
              <w:jc w:val="left"/>
              <w:rPr>
                <w:rFonts w:ascii="Arial" w:eastAsia="Times New Roman" w:hAnsi="Arial" w:cs="Arial"/>
                <w:sz w:val="16"/>
                <w:lang w:val="es-ES_tradnl" w:eastAsia="es-ES"/>
              </w:rPr>
            </w:pPr>
            <w:r w:rsidRPr="0025010A">
              <w:rPr>
                <w:rFonts w:ascii="Arial" w:eastAsia="Times New Roman" w:hAnsi="Arial" w:cs="Arial"/>
                <w:sz w:val="16"/>
                <w:lang w:val="es-ES_tradnl" w:eastAsia="es-ES"/>
              </w:rPr>
              <w:t>Jorge Augusto Tirado Navarro</w:t>
            </w:r>
          </w:p>
          <w:p w14:paraId="3ACB2FD3" w14:textId="2E6AD89B" w:rsidR="0032607E" w:rsidRPr="00CC2647" w:rsidRDefault="00C234E6" w:rsidP="0089347D">
            <w:pPr>
              <w:spacing w:after="0" w:line="240" w:lineRule="auto"/>
              <w:rPr>
                <w:rFonts w:ascii="Arial" w:eastAsia="Arial" w:hAnsi="Arial" w:cs="Arial"/>
                <w:color w:val="000000" w:themeColor="text1"/>
                <w:sz w:val="16"/>
                <w:szCs w:val="16"/>
              </w:rPr>
            </w:pPr>
            <w:r w:rsidRPr="0025010A">
              <w:rPr>
                <w:rFonts w:ascii="Arial" w:eastAsia="Times New Roman" w:hAnsi="Arial" w:cs="Arial"/>
                <w:sz w:val="16"/>
                <w:lang w:val="es-ES_tradnl" w:eastAsia="es-ES"/>
              </w:rPr>
              <w:t>Subdirector de Gestión Contractual</w:t>
            </w:r>
          </w:p>
        </w:tc>
      </w:tr>
      <w:bookmarkEnd w:id="3"/>
    </w:tbl>
    <w:p w14:paraId="4E6C684D" w14:textId="77777777" w:rsidR="0032607E" w:rsidRPr="00CC2647" w:rsidRDefault="0032607E" w:rsidP="00AC406D">
      <w:pPr>
        <w:spacing w:afterLines="120" w:after="288"/>
        <w:jc w:val="center"/>
        <w:rPr>
          <w:rFonts w:ascii="Arial" w:eastAsia="Arial" w:hAnsi="Arial" w:cs="Arial"/>
          <w:color w:val="000000" w:themeColor="text1"/>
          <w:sz w:val="22"/>
          <w:szCs w:val="22"/>
        </w:rPr>
      </w:pPr>
    </w:p>
    <w:sectPr w:rsidR="0032607E" w:rsidRPr="00CC2647">
      <w:headerReference w:type="default" r:id="rId10"/>
      <w:footerReference w:type="default" r:id="rId11"/>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0018" w14:textId="77777777" w:rsidR="00DF2CCA" w:rsidRDefault="00DF2CCA">
      <w:pPr>
        <w:spacing w:after="0" w:line="240" w:lineRule="auto"/>
      </w:pPr>
      <w:r>
        <w:separator/>
      </w:r>
    </w:p>
  </w:endnote>
  <w:endnote w:type="continuationSeparator" w:id="0">
    <w:p w14:paraId="385A2F41" w14:textId="77777777" w:rsidR="00DF2CCA" w:rsidRDefault="00DF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Calibri">
    <w:altName w:val="Arial"/>
    <w:panose1 w:val="020B0604020202020204"/>
    <w:charset w:val="00"/>
    <w:family w:val="roman"/>
    <w:pitch w:val="default"/>
  </w:font>
  <w:font w:name="Arial,Times New Roman">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751A" w14:textId="77777777" w:rsidR="00570113" w:rsidRDefault="00570113">
    <w:pPr>
      <w:pBdr>
        <w:top w:val="nil"/>
        <w:left w:val="nil"/>
        <w:bottom w:val="nil"/>
        <w:right w:val="nil"/>
        <w:between w:val="nil"/>
      </w:pBdr>
      <w:spacing w:after="0" w:line="240" w:lineRule="auto"/>
      <w:rPr>
        <w:rFonts w:ascii="Arial" w:eastAsia="Arial" w:hAnsi="Arial" w:cs="Arial"/>
        <w:color w:val="000000"/>
        <w:sz w:val="18"/>
        <w:szCs w:val="18"/>
      </w:rPr>
    </w:pPr>
  </w:p>
  <w:p w14:paraId="35E72FBA" w14:textId="77777777" w:rsidR="00570113" w:rsidRDefault="00570113">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011EBEC7" w14:textId="77777777" w:rsidR="00570113" w:rsidRDefault="00570113">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65FD1951" wp14:editId="39C12AFE">
          <wp:extent cx="4241994" cy="59516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1389815B" w14:textId="77777777" w:rsidR="00570113" w:rsidRDefault="00570113">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57A7" w14:textId="77777777" w:rsidR="00DF2CCA" w:rsidRDefault="00DF2CCA">
      <w:pPr>
        <w:spacing w:after="0" w:line="240" w:lineRule="auto"/>
      </w:pPr>
      <w:r>
        <w:separator/>
      </w:r>
    </w:p>
  </w:footnote>
  <w:footnote w:type="continuationSeparator" w:id="0">
    <w:p w14:paraId="6174EEA7" w14:textId="77777777" w:rsidR="00DF2CCA" w:rsidRDefault="00DF2CCA">
      <w:pPr>
        <w:spacing w:after="0" w:line="240" w:lineRule="auto"/>
      </w:pPr>
      <w:r>
        <w:continuationSeparator/>
      </w:r>
    </w:p>
  </w:footnote>
  <w:footnote w:id="1">
    <w:p w14:paraId="429B21B3" w14:textId="77777777" w:rsidR="00570113" w:rsidRPr="00A81105" w:rsidRDefault="00570113" w:rsidP="0025010A">
      <w:pPr>
        <w:pStyle w:val="Textonotapie"/>
        <w:ind w:firstLine="720"/>
        <w:jc w:val="both"/>
        <w:rPr>
          <w:rFonts w:ascii="Arial" w:hAnsi="Arial" w:cs="Arial"/>
          <w:sz w:val="19"/>
          <w:szCs w:val="19"/>
        </w:rPr>
      </w:pPr>
      <w:r w:rsidRPr="00A81105">
        <w:rPr>
          <w:rStyle w:val="Refdenotaalpie"/>
          <w:rFonts w:ascii="Arial" w:hAnsi="Arial" w:cs="Arial"/>
          <w:sz w:val="19"/>
          <w:szCs w:val="19"/>
        </w:rPr>
        <w:footnoteRef/>
      </w:r>
      <w:r w:rsidRPr="00A81105">
        <w:rPr>
          <w:rFonts w:ascii="Arial" w:hAnsi="Arial" w:cs="Arial"/>
          <w:sz w:val="19"/>
          <w:szCs w:val="19"/>
        </w:rPr>
        <w:t xml:space="preserve"> «Artículo 3°. Funciones. La Agencia Nacional de Contratación Pública –Colombia Compra Eficiente– ejercerá las siguientes funciones: </w:t>
      </w:r>
    </w:p>
    <w:p w14:paraId="5468982F" w14:textId="77777777" w:rsidR="00570113" w:rsidRPr="00A81105" w:rsidRDefault="00570113" w:rsidP="0025010A">
      <w:pPr>
        <w:pStyle w:val="Textonotapie"/>
        <w:ind w:firstLine="720"/>
        <w:jc w:val="both"/>
        <w:rPr>
          <w:rFonts w:ascii="Arial" w:hAnsi="Arial" w:cs="Arial"/>
          <w:sz w:val="19"/>
          <w:szCs w:val="19"/>
          <w:lang w:val="es-ES"/>
        </w:rPr>
      </w:pPr>
      <w:r w:rsidRPr="00A81105">
        <w:rPr>
          <w:rFonts w:ascii="Arial" w:hAnsi="Arial" w:cs="Arial"/>
          <w:sz w:val="19"/>
          <w:szCs w:val="19"/>
          <w:lang w:val="es-ES"/>
        </w:rPr>
        <w:t xml:space="preserve">»[...] </w:t>
      </w:r>
    </w:p>
    <w:p w14:paraId="4BA319D7" w14:textId="77777777" w:rsidR="00570113" w:rsidRPr="00A81105" w:rsidRDefault="00570113" w:rsidP="0025010A">
      <w:pPr>
        <w:pStyle w:val="Textonotapie"/>
        <w:ind w:firstLine="720"/>
        <w:jc w:val="both"/>
        <w:rPr>
          <w:rFonts w:ascii="Arial" w:hAnsi="Arial" w:cs="Arial"/>
          <w:sz w:val="19"/>
          <w:szCs w:val="19"/>
          <w:lang w:val="es-ES"/>
        </w:rPr>
      </w:pPr>
      <w:r w:rsidRPr="00A81105">
        <w:rPr>
          <w:rFonts w:ascii="Arial" w:hAnsi="Arial" w:cs="Arial"/>
          <w:sz w:val="19"/>
          <w:szCs w:val="19"/>
          <w:lang w:val="es-ES"/>
        </w:rPr>
        <w:t>»5. Absolver consultas sobre la aplicación de normas de carácter general y expedir circulares externas en materia de compras y contratación pública».</w:t>
      </w:r>
    </w:p>
    <w:p w14:paraId="4B2333FB" w14:textId="77777777" w:rsidR="00570113" w:rsidRPr="00A81105" w:rsidRDefault="00570113" w:rsidP="0025010A">
      <w:pPr>
        <w:pStyle w:val="Textonotapie"/>
        <w:ind w:firstLine="720"/>
        <w:jc w:val="both"/>
        <w:rPr>
          <w:rFonts w:ascii="Arial" w:hAnsi="Arial" w:cs="Arial"/>
          <w:sz w:val="19"/>
          <w:szCs w:val="19"/>
          <w:lang w:val="es-ES"/>
        </w:rPr>
      </w:pPr>
      <w:r w:rsidRPr="00A81105">
        <w:rPr>
          <w:rFonts w:ascii="Arial" w:eastAsia="Times New Roman" w:hAnsi="Arial" w:cs="Arial"/>
          <w:sz w:val="19"/>
          <w:szCs w:val="19"/>
          <w:lang w:val="es-CO"/>
        </w:rPr>
        <w:t>«</w:t>
      </w:r>
      <w:r w:rsidRPr="00A81105">
        <w:rPr>
          <w:rFonts w:ascii="Arial" w:hAnsi="Arial" w:cs="Arial"/>
          <w:sz w:val="19"/>
          <w:szCs w:val="19"/>
          <w:lang w:val="es-ES"/>
        </w:rPr>
        <w:t xml:space="preserve">Artículo 11. Subdirección de Gestión Contractual. Son funciones de la Subdirección de Gestión Contractual las siguientes: </w:t>
      </w:r>
    </w:p>
    <w:p w14:paraId="208E0D16" w14:textId="77777777" w:rsidR="00570113" w:rsidRPr="00A81105" w:rsidRDefault="00570113" w:rsidP="0025010A">
      <w:pPr>
        <w:pStyle w:val="Textonotapie"/>
        <w:ind w:firstLine="720"/>
        <w:jc w:val="both"/>
        <w:rPr>
          <w:rFonts w:ascii="Arial" w:hAnsi="Arial" w:cs="Arial"/>
          <w:sz w:val="19"/>
          <w:szCs w:val="19"/>
          <w:lang w:val="es-ES"/>
        </w:rPr>
      </w:pPr>
      <w:r w:rsidRPr="00A81105">
        <w:rPr>
          <w:rFonts w:ascii="Arial" w:hAnsi="Arial" w:cs="Arial"/>
          <w:sz w:val="19"/>
          <w:szCs w:val="19"/>
          <w:lang w:val="es-ES"/>
        </w:rPr>
        <w:t xml:space="preserve">»[...] </w:t>
      </w:r>
    </w:p>
    <w:p w14:paraId="0498C3DC" w14:textId="77777777" w:rsidR="00570113" w:rsidRPr="00A81105" w:rsidRDefault="00570113" w:rsidP="0025010A">
      <w:pPr>
        <w:pStyle w:val="Textonotapie"/>
        <w:ind w:firstLine="720"/>
        <w:jc w:val="both"/>
        <w:rPr>
          <w:rFonts w:ascii="Arial" w:hAnsi="Arial" w:cs="Arial"/>
          <w:sz w:val="19"/>
          <w:szCs w:val="19"/>
        </w:rPr>
      </w:pPr>
      <w:r w:rsidRPr="00A81105">
        <w:rPr>
          <w:rFonts w:ascii="Arial" w:eastAsia="Times New Roman" w:hAnsi="Arial" w:cs="Arial"/>
          <w:sz w:val="19"/>
          <w:szCs w:val="19"/>
          <w:lang w:val="es-CO"/>
        </w:rPr>
        <w:t>»</w:t>
      </w:r>
      <w:r w:rsidRPr="00A81105">
        <w:rPr>
          <w:rFonts w:ascii="Arial" w:hAnsi="Arial" w:cs="Arial"/>
          <w:sz w:val="19"/>
          <w:szCs w:val="19"/>
          <w:lang w:val="es-ES"/>
        </w:rPr>
        <w:t>8. Absolver consultas sobre la aplicación de normas de carácter general».</w:t>
      </w:r>
    </w:p>
  </w:footnote>
  <w:footnote w:id="2">
    <w:p w14:paraId="0BD6DC11" w14:textId="77777777" w:rsidR="00334361" w:rsidRPr="00A81105" w:rsidRDefault="00334361" w:rsidP="00A81105">
      <w:pPr>
        <w:pStyle w:val="Textonotapie"/>
        <w:ind w:firstLine="709"/>
        <w:jc w:val="both"/>
        <w:rPr>
          <w:rFonts w:ascii="Arial" w:hAnsi="Arial" w:cs="Arial"/>
          <w:sz w:val="19"/>
          <w:szCs w:val="19"/>
          <w:lang w:val="es-CO"/>
        </w:rPr>
      </w:pPr>
      <w:r w:rsidRPr="00A81105">
        <w:rPr>
          <w:rStyle w:val="Refdenotaalpie"/>
          <w:rFonts w:ascii="Arial" w:hAnsi="Arial" w:cs="Arial"/>
          <w:sz w:val="19"/>
          <w:szCs w:val="19"/>
        </w:rPr>
        <w:footnoteRef/>
      </w:r>
      <w:r w:rsidRPr="00A81105">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4CC533BE" w14:textId="77777777" w:rsidR="00334361" w:rsidRPr="00A81105" w:rsidRDefault="00334361" w:rsidP="00A81105">
      <w:pPr>
        <w:pStyle w:val="Textonotapie"/>
        <w:ind w:firstLine="709"/>
        <w:jc w:val="both"/>
        <w:rPr>
          <w:rFonts w:ascii="Arial" w:hAnsi="Arial" w:cs="Arial"/>
          <w:sz w:val="19"/>
          <w:szCs w:val="19"/>
        </w:rPr>
      </w:pPr>
      <w:r w:rsidRPr="00A81105">
        <w:rPr>
          <w:rStyle w:val="Refdenotaalpie"/>
          <w:rFonts w:ascii="Arial" w:hAnsi="Arial" w:cs="Arial"/>
          <w:sz w:val="19"/>
          <w:szCs w:val="19"/>
        </w:rPr>
        <w:footnoteRef/>
      </w:r>
      <w:r w:rsidRPr="00A81105">
        <w:rPr>
          <w:rFonts w:ascii="Arial" w:hAnsi="Arial" w:cs="Arial"/>
          <w:sz w:val="19"/>
          <w:szCs w:val="19"/>
        </w:rPr>
        <w:t xml:space="preserve"> </w:t>
      </w:r>
      <w:r w:rsidRPr="00A81105">
        <w:rPr>
          <w:rFonts w:ascii="Arial" w:hAnsi="Arial" w:cs="Arial"/>
          <w:sz w:val="19"/>
          <w:szCs w:val="19"/>
          <w:lang w:val="es-CO"/>
        </w:rPr>
        <w:t xml:space="preserve">Ley 1882 de 2018: «Artículo 4. </w:t>
      </w:r>
      <w:r w:rsidRPr="00A81105">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45EE95F" w14:textId="77777777" w:rsidR="00334361" w:rsidRPr="00A81105" w:rsidRDefault="00334361" w:rsidP="00A81105">
      <w:pPr>
        <w:pStyle w:val="Textonotapie"/>
        <w:ind w:firstLine="709"/>
        <w:jc w:val="both"/>
        <w:rPr>
          <w:rFonts w:ascii="Arial" w:hAnsi="Arial" w:cs="Arial"/>
          <w:sz w:val="19"/>
          <w:szCs w:val="19"/>
          <w:lang w:val="es-CO"/>
        </w:rPr>
      </w:pPr>
      <w:r w:rsidRPr="00A81105">
        <w:rPr>
          <w:rFonts w:ascii="Arial" w:hAnsi="Arial" w:cs="Arial"/>
          <w:sz w:val="19"/>
          <w:szCs w:val="19"/>
          <w:lang w:val="es-CO"/>
        </w:rPr>
        <w:t>»La facultad de adoptar documentos tipo la tendrá el Gobierno nacional, cuando lo considere necesario, en relación con otros contratos o procesos de selección.</w:t>
      </w:r>
    </w:p>
    <w:p w14:paraId="082BCA31" w14:textId="77777777" w:rsidR="00334361" w:rsidRPr="00A81105" w:rsidRDefault="00334361" w:rsidP="00A81105">
      <w:pPr>
        <w:pStyle w:val="Textonotapie"/>
        <w:ind w:firstLine="709"/>
        <w:jc w:val="both"/>
        <w:rPr>
          <w:rFonts w:ascii="Arial" w:hAnsi="Arial" w:cs="Arial"/>
          <w:sz w:val="19"/>
          <w:szCs w:val="19"/>
          <w:lang w:val="es-CO"/>
        </w:rPr>
      </w:pPr>
      <w:r w:rsidRPr="00A81105">
        <w:rPr>
          <w:rFonts w:ascii="Arial" w:hAnsi="Arial" w:cs="Arial"/>
          <w:sz w:val="19"/>
          <w:szCs w:val="19"/>
          <w:lang w:val="es-CO"/>
        </w:rPr>
        <w:t>»Los pliegos tipo se adoptarán por categorías de acuerdo con la cuantía de la contratación, según la reglamentación que expida el Gobierno nacional».</w:t>
      </w:r>
    </w:p>
  </w:footnote>
  <w:footnote w:id="4">
    <w:p w14:paraId="12F863C4" w14:textId="77777777" w:rsidR="00334361" w:rsidRPr="00A81105" w:rsidRDefault="00334361" w:rsidP="00A81105">
      <w:pPr>
        <w:pStyle w:val="Textonotapie"/>
        <w:ind w:firstLine="709"/>
        <w:jc w:val="both"/>
        <w:rPr>
          <w:rFonts w:ascii="Arial" w:hAnsi="Arial" w:cs="Arial"/>
          <w:sz w:val="19"/>
          <w:szCs w:val="19"/>
        </w:rPr>
      </w:pPr>
      <w:r w:rsidRPr="00A81105">
        <w:rPr>
          <w:rStyle w:val="Refdenotaalpie"/>
          <w:rFonts w:ascii="Arial" w:hAnsi="Arial" w:cs="Arial"/>
          <w:sz w:val="19"/>
          <w:szCs w:val="19"/>
        </w:rPr>
        <w:footnoteRef/>
      </w:r>
      <w:r w:rsidRPr="00A81105">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E17FEE3" w14:textId="77777777" w:rsidR="00334361" w:rsidRPr="00A81105" w:rsidRDefault="00334361" w:rsidP="00A81105">
      <w:pPr>
        <w:pStyle w:val="Textonotapie"/>
        <w:ind w:firstLine="709"/>
        <w:jc w:val="both"/>
        <w:rPr>
          <w:rFonts w:ascii="Arial" w:hAnsi="Arial" w:cs="Arial"/>
          <w:sz w:val="19"/>
          <w:szCs w:val="19"/>
        </w:rPr>
      </w:pPr>
    </w:p>
  </w:footnote>
  <w:footnote w:id="5">
    <w:p w14:paraId="599A3C81" w14:textId="77777777" w:rsidR="00334361" w:rsidRPr="00A81105" w:rsidRDefault="00334361" w:rsidP="00A81105">
      <w:pPr>
        <w:pStyle w:val="NormalWeb"/>
        <w:spacing w:before="0" w:beforeAutospacing="0" w:after="0" w:afterAutospacing="0"/>
        <w:ind w:firstLine="708"/>
        <w:jc w:val="both"/>
        <w:rPr>
          <w:rFonts w:ascii="Arial" w:hAnsi="Arial" w:cs="Arial"/>
          <w:color w:val="000000"/>
          <w:sz w:val="19"/>
          <w:szCs w:val="19"/>
        </w:rPr>
      </w:pPr>
      <w:r w:rsidRPr="00A81105">
        <w:rPr>
          <w:rStyle w:val="Refdenotaalpie"/>
          <w:rFonts w:ascii="Arial" w:hAnsi="Arial" w:cs="Arial"/>
          <w:sz w:val="19"/>
          <w:szCs w:val="19"/>
        </w:rPr>
        <w:footnoteRef/>
      </w:r>
      <w:r w:rsidRPr="00A81105">
        <w:rPr>
          <w:rFonts w:ascii="Arial" w:hAnsi="Arial" w:cs="Arial"/>
          <w:sz w:val="19"/>
          <w:szCs w:val="19"/>
        </w:rPr>
        <w:t xml:space="preserve"> Ley 2022 de 2020: «</w:t>
      </w:r>
      <w:r w:rsidRPr="0025010A">
        <w:rPr>
          <w:rStyle w:val="Textoennegrita"/>
          <w:rFonts w:ascii="Arial" w:hAnsi="Arial" w:cs="Arial"/>
          <w:b w:val="0"/>
          <w:color w:val="000000"/>
          <w:sz w:val="19"/>
          <w:szCs w:val="19"/>
        </w:rPr>
        <w:t>Artículo 1º.</w:t>
      </w:r>
      <w:r w:rsidRPr="00A81105">
        <w:rPr>
          <w:rFonts w:ascii="Arial" w:hAnsi="Arial" w:cs="Arial"/>
          <w:color w:val="000000"/>
          <w:sz w:val="19"/>
          <w:szCs w:val="19"/>
        </w:rPr>
        <w:t> Modifíquese el artículo 4º de la Ley 1882 de 2018, el cual quedará así: </w:t>
      </w:r>
    </w:p>
    <w:p w14:paraId="0D100C3D" w14:textId="77777777" w:rsidR="00334361" w:rsidRPr="00A81105" w:rsidRDefault="00334361" w:rsidP="00A81105">
      <w:pPr>
        <w:pStyle w:val="NormalWeb"/>
        <w:spacing w:before="0" w:beforeAutospacing="0" w:after="0" w:afterAutospacing="0"/>
        <w:ind w:firstLine="708"/>
        <w:jc w:val="both"/>
        <w:rPr>
          <w:rFonts w:ascii="Arial" w:hAnsi="Arial" w:cs="Arial"/>
          <w:color w:val="000000"/>
          <w:sz w:val="19"/>
          <w:szCs w:val="19"/>
        </w:rPr>
      </w:pPr>
      <w:r w:rsidRPr="0025010A">
        <w:rPr>
          <w:rStyle w:val="Textoennegrita"/>
          <w:rFonts w:ascii="Arial" w:hAnsi="Arial" w:cs="Arial"/>
          <w:b w:val="0"/>
          <w:bCs w:val="0"/>
          <w:color w:val="000000"/>
          <w:sz w:val="19"/>
          <w:szCs w:val="19"/>
        </w:rPr>
        <w:t>»Artículo 4º.</w:t>
      </w:r>
      <w:r w:rsidRPr="00A81105">
        <w:rPr>
          <w:rFonts w:ascii="Arial" w:hAnsi="Arial" w:cs="Arial"/>
          <w:color w:val="000000"/>
          <w:sz w:val="19"/>
          <w:szCs w:val="19"/>
        </w:rPr>
        <w:t> Adiciónese el siguiente parágrafo al artículo 2º de la Ley 1150 de 2007. </w:t>
      </w:r>
    </w:p>
    <w:p w14:paraId="3BB23ECD" w14:textId="77777777" w:rsidR="00334361" w:rsidRPr="00A81105" w:rsidRDefault="00334361" w:rsidP="00A81105">
      <w:pPr>
        <w:pStyle w:val="NormalWeb"/>
        <w:spacing w:before="0" w:beforeAutospacing="0" w:after="0" w:afterAutospacing="0"/>
        <w:ind w:firstLine="708"/>
        <w:jc w:val="both"/>
        <w:rPr>
          <w:rFonts w:ascii="Arial" w:hAnsi="Arial" w:cs="Arial"/>
          <w:color w:val="000000"/>
          <w:sz w:val="19"/>
          <w:szCs w:val="19"/>
        </w:rPr>
      </w:pPr>
      <w:r w:rsidRPr="0025010A">
        <w:rPr>
          <w:rStyle w:val="Textoennegrita"/>
          <w:rFonts w:ascii="Arial" w:hAnsi="Arial" w:cs="Arial"/>
          <w:b w:val="0"/>
          <w:bCs w:val="0"/>
          <w:color w:val="000000"/>
          <w:sz w:val="19"/>
          <w:szCs w:val="19"/>
        </w:rPr>
        <w:t>»Parágrafo 7º.</w:t>
      </w:r>
      <w:r w:rsidRPr="00A81105">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020129E" w14:textId="77777777" w:rsidR="00334361" w:rsidRPr="00A81105" w:rsidRDefault="00334361" w:rsidP="00A81105">
      <w:pPr>
        <w:pStyle w:val="NormalWeb"/>
        <w:spacing w:before="0" w:beforeAutospacing="0" w:after="0" w:afterAutospacing="0"/>
        <w:ind w:firstLine="708"/>
        <w:jc w:val="both"/>
        <w:rPr>
          <w:rFonts w:ascii="Arial" w:hAnsi="Arial" w:cs="Arial"/>
          <w:color w:val="000000"/>
          <w:sz w:val="19"/>
          <w:szCs w:val="19"/>
        </w:rPr>
      </w:pPr>
      <w:r w:rsidRPr="00A81105">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9771091" w14:textId="77777777" w:rsidR="00334361" w:rsidRPr="00A81105" w:rsidRDefault="00334361" w:rsidP="00A81105">
      <w:pPr>
        <w:pStyle w:val="NormalWeb"/>
        <w:spacing w:before="0" w:beforeAutospacing="0" w:after="0" w:afterAutospacing="0"/>
        <w:ind w:firstLine="708"/>
        <w:jc w:val="both"/>
        <w:rPr>
          <w:rFonts w:ascii="Arial" w:hAnsi="Arial" w:cs="Arial"/>
          <w:color w:val="000000"/>
          <w:sz w:val="19"/>
          <w:szCs w:val="19"/>
        </w:rPr>
      </w:pPr>
      <w:r w:rsidRPr="00A81105">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7C343FF" w14:textId="77777777" w:rsidR="00334361" w:rsidRPr="00A81105" w:rsidRDefault="00334361" w:rsidP="00A81105">
      <w:pPr>
        <w:pStyle w:val="NormalWeb"/>
        <w:spacing w:before="0" w:beforeAutospacing="0" w:after="0" w:afterAutospacing="0"/>
        <w:ind w:firstLine="708"/>
        <w:jc w:val="both"/>
        <w:rPr>
          <w:rFonts w:ascii="Arial" w:hAnsi="Arial" w:cs="Arial"/>
          <w:color w:val="000000"/>
          <w:sz w:val="19"/>
          <w:szCs w:val="19"/>
        </w:rPr>
      </w:pPr>
      <w:r w:rsidRPr="00A81105">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791465C0" w14:textId="77777777" w:rsidR="00334361" w:rsidRPr="00A81105" w:rsidRDefault="00334361" w:rsidP="00A81105">
      <w:pPr>
        <w:pStyle w:val="NormalWeb"/>
        <w:spacing w:before="0" w:beforeAutospacing="0" w:after="0" w:afterAutospacing="0"/>
        <w:ind w:firstLine="708"/>
        <w:jc w:val="both"/>
        <w:rPr>
          <w:rFonts w:ascii="Arial" w:hAnsi="Arial" w:cs="Arial"/>
          <w:sz w:val="19"/>
          <w:szCs w:val="19"/>
        </w:rPr>
      </w:pPr>
      <w:r w:rsidRPr="00A81105">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52483836" w14:textId="77777777" w:rsidR="002B5742" w:rsidRPr="00A81105" w:rsidRDefault="002B5742" w:rsidP="00A81105">
      <w:pPr>
        <w:pStyle w:val="Textonotapie"/>
        <w:ind w:firstLine="709"/>
        <w:jc w:val="both"/>
        <w:rPr>
          <w:rFonts w:ascii="Arial" w:hAnsi="Arial" w:cs="Arial"/>
          <w:sz w:val="19"/>
          <w:szCs w:val="19"/>
          <w:lang w:val="es-ES"/>
        </w:rPr>
      </w:pPr>
      <w:r w:rsidRPr="00A81105">
        <w:rPr>
          <w:rStyle w:val="Refdenotaalpie"/>
          <w:rFonts w:ascii="Arial" w:hAnsi="Arial" w:cs="Arial"/>
          <w:sz w:val="19"/>
          <w:szCs w:val="19"/>
        </w:rPr>
        <w:footnoteRef/>
      </w:r>
      <w:r w:rsidRPr="00A81105">
        <w:rPr>
          <w:rFonts w:ascii="Arial" w:hAnsi="Arial" w:cs="Arial"/>
          <w:sz w:val="19"/>
          <w:szCs w:val="19"/>
        </w:rPr>
        <w:t xml:space="preserve"> </w:t>
      </w:r>
      <w:r w:rsidRPr="00A81105">
        <w:rPr>
          <w:rFonts w:ascii="Arial" w:hAnsi="Arial" w:cs="Arial"/>
          <w:sz w:val="19"/>
          <w:szCs w:val="19"/>
          <w:lang w:val="es-ES"/>
        </w:rPr>
        <w:t>En cuanto a las resoluciones vigentes, dicha regla se observa en el artículo 3 de las Resoluciones 240, 241, 248, 249, 256, 269 de 2020 y 193 del 2021, así como en el artículo 2 de la Resolución 094 de 2020.</w:t>
      </w:r>
    </w:p>
  </w:footnote>
  <w:footnote w:id="7">
    <w:p w14:paraId="37A1415D" w14:textId="77777777" w:rsidR="002B5742" w:rsidRPr="00A81105" w:rsidRDefault="002B5742" w:rsidP="00A81105">
      <w:pPr>
        <w:pStyle w:val="Textonotapie"/>
        <w:ind w:firstLine="709"/>
        <w:jc w:val="both"/>
        <w:rPr>
          <w:rFonts w:ascii="Arial" w:hAnsi="Arial" w:cs="Arial"/>
          <w:color w:val="000000"/>
          <w:sz w:val="19"/>
          <w:szCs w:val="19"/>
        </w:rPr>
      </w:pPr>
      <w:r w:rsidRPr="00A81105">
        <w:rPr>
          <w:rStyle w:val="Refdenotaalpie"/>
          <w:rFonts w:ascii="Arial" w:hAnsi="Arial" w:cs="Arial"/>
          <w:color w:val="000000"/>
          <w:sz w:val="19"/>
          <w:szCs w:val="19"/>
        </w:rPr>
        <w:footnoteRef/>
      </w:r>
      <w:r w:rsidRPr="00A81105">
        <w:rPr>
          <w:rFonts w:ascii="Arial" w:hAnsi="Arial" w:cs="Arial"/>
          <w:color w:val="000000"/>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0556D25" w14:textId="77777777" w:rsidR="002B5742" w:rsidRPr="00A81105" w:rsidRDefault="002B5742" w:rsidP="00A81105">
      <w:pPr>
        <w:pStyle w:val="Textonotapie"/>
        <w:ind w:firstLine="709"/>
        <w:jc w:val="both"/>
        <w:rPr>
          <w:rFonts w:ascii="Arial" w:hAnsi="Arial" w:cs="Arial"/>
          <w:color w:val="000000"/>
          <w:sz w:val="19"/>
          <w:szCs w:val="19"/>
        </w:rPr>
      </w:pPr>
      <w:r w:rsidRPr="00A81105">
        <w:rPr>
          <w:rFonts w:ascii="Arial" w:hAnsi="Arial" w:cs="Arial"/>
          <w:color w:val="000000"/>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2848EE8C" w14:textId="77777777" w:rsidR="002B5742" w:rsidRPr="00A81105" w:rsidRDefault="002B5742" w:rsidP="00A81105">
      <w:pPr>
        <w:pStyle w:val="Textonotapie"/>
        <w:ind w:firstLine="709"/>
        <w:jc w:val="both"/>
        <w:rPr>
          <w:rFonts w:ascii="Arial" w:hAnsi="Arial" w:cs="Arial"/>
          <w:color w:val="000000"/>
          <w:sz w:val="19"/>
          <w:szCs w:val="19"/>
        </w:rPr>
      </w:pPr>
    </w:p>
  </w:footnote>
  <w:footnote w:id="8">
    <w:p w14:paraId="10F43CFD" w14:textId="77777777" w:rsidR="002B5742" w:rsidRPr="00A81105" w:rsidRDefault="002B5742" w:rsidP="0025010A">
      <w:pPr>
        <w:spacing w:after="0" w:line="240" w:lineRule="auto"/>
        <w:ind w:firstLine="709"/>
        <w:rPr>
          <w:rFonts w:ascii="Arial" w:hAnsi="Arial" w:cs="Arial"/>
          <w:color w:val="000000"/>
          <w:sz w:val="19"/>
          <w:szCs w:val="19"/>
          <w:lang w:val="es-ES"/>
        </w:rPr>
      </w:pPr>
      <w:r w:rsidRPr="00A81105">
        <w:rPr>
          <w:rStyle w:val="Refdenotaalpie"/>
          <w:rFonts w:ascii="Arial" w:hAnsi="Arial" w:cs="Arial"/>
          <w:color w:val="000000"/>
          <w:sz w:val="19"/>
          <w:szCs w:val="19"/>
        </w:rPr>
        <w:footnoteRef/>
      </w:r>
      <w:r w:rsidRPr="00A81105">
        <w:rPr>
          <w:rFonts w:ascii="Arial" w:hAnsi="Arial" w:cs="Arial"/>
          <w:color w:val="000000"/>
          <w:sz w:val="19"/>
          <w:szCs w:val="19"/>
        </w:rPr>
        <w:t xml:space="preserve"> </w:t>
      </w:r>
      <w:r w:rsidRPr="00A81105">
        <w:rPr>
          <w:rFonts w:ascii="Arial" w:hAnsi="Arial" w:cs="Arial"/>
          <w:color w:val="000000"/>
          <w:sz w:val="19"/>
          <w:szCs w:val="19"/>
          <w:lang w:val="es-ES"/>
        </w:rPr>
        <w:t>En efecto, el artículo 5 del Decreto-Ley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4D47E5F" w14:textId="77777777" w:rsidR="002B5742" w:rsidRPr="00A81105" w:rsidRDefault="002B5742" w:rsidP="0025010A">
      <w:pPr>
        <w:spacing w:after="0" w:line="240" w:lineRule="auto"/>
        <w:ind w:firstLine="709"/>
        <w:rPr>
          <w:rFonts w:ascii="Arial" w:hAnsi="Arial" w:cs="Arial"/>
          <w:color w:val="000000"/>
          <w:sz w:val="19"/>
          <w:szCs w:val="19"/>
          <w:lang w:val="es-ES"/>
        </w:rPr>
      </w:pPr>
    </w:p>
  </w:footnote>
  <w:footnote w:id="9">
    <w:p w14:paraId="6700A86C" w14:textId="77777777" w:rsidR="002B5742" w:rsidRPr="0025010A" w:rsidRDefault="002B5742" w:rsidP="0025010A">
      <w:pPr>
        <w:spacing w:after="0" w:line="240" w:lineRule="auto"/>
        <w:ind w:firstLine="708"/>
        <w:rPr>
          <w:rFonts w:ascii="Arial" w:hAnsi="Arial" w:cs="Arial"/>
          <w:color w:val="000000"/>
          <w:sz w:val="19"/>
          <w:szCs w:val="19"/>
        </w:rPr>
      </w:pPr>
      <w:r w:rsidRPr="0025010A">
        <w:rPr>
          <w:rStyle w:val="Refdenotaalpie"/>
          <w:rFonts w:ascii="Arial" w:hAnsi="Arial" w:cs="Arial"/>
          <w:color w:val="000000"/>
          <w:sz w:val="19"/>
          <w:szCs w:val="19"/>
        </w:rPr>
        <w:footnoteRef/>
      </w:r>
      <w:r w:rsidRPr="0025010A">
        <w:rPr>
          <w:rFonts w:ascii="Arial" w:hAnsi="Arial" w:cs="Arial"/>
          <w:color w:val="000000"/>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1F4A33FE" w14:textId="77777777" w:rsidR="002B5742" w:rsidRPr="0025010A" w:rsidRDefault="002B5742" w:rsidP="0025010A">
      <w:pPr>
        <w:spacing w:after="0" w:line="240" w:lineRule="auto"/>
        <w:ind w:firstLine="708"/>
        <w:rPr>
          <w:rFonts w:ascii="Arial" w:hAnsi="Arial" w:cs="Arial"/>
          <w:color w:val="000000"/>
          <w:sz w:val="19"/>
          <w:szCs w:val="19"/>
        </w:rPr>
      </w:pPr>
    </w:p>
  </w:footnote>
  <w:footnote w:id="10">
    <w:p w14:paraId="1EC77E65" w14:textId="77777777" w:rsidR="00570113" w:rsidRPr="00A81105" w:rsidRDefault="00570113" w:rsidP="00A81105">
      <w:pPr>
        <w:pStyle w:val="Textonotapie"/>
        <w:ind w:firstLine="708"/>
        <w:jc w:val="both"/>
        <w:rPr>
          <w:rFonts w:ascii="Arial" w:hAnsi="Arial" w:cs="Arial"/>
          <w:sz w:val="19"/>
          <w:szCs w:val="19"/>
        </w:rPr>
      </w:pPr>
      <w:r w:rsidRPr="00A81105">
        <w:rPr>
          <w:rStyle w:val="Refdenotaalpie"/>
          <w:rFonts w:ascii="Arial" w:hAnsi="Arial" w:cs="Arial"/>
          <w:sz w:val="19"/>
          <w:szCs w:val="19"/>
        </w:rPr>
        <w:footnoteRef/>
      </w:r>
      <w:r w:rsidRPr="00A81105">
        <w:rPr>
          <w:rFonts w:ascii="Arial" w:hAnsi="Arial" w:cs="Arial"/>
          <w:sz w:val="19"/>
          <w:szCs w:val="19"/>
        </w:rPr>
        <w:t xml:space="preserve"> </w:t>
      </w:r>
      <w:bookmarkStart w:id="6" w:name="_Hlk44446097"/>
      <w:r w:rsidRPr="00A81105">
        <w:rPr>
          <w:rFonts w:ascii="Arial" w:hAnsi="Arial" w:cs="Arial"/>
          <w:sz w:val="19"/>
          <w:szCs w:val="19"/>
        </w:rPr>
        <w:t>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66489CD7" w14:textId="77777777" w:rsidR="00570113" w:rsidRPr="00A81105" w:rsidRDefault="00570113" w:rsidP="00A81105">
      <w:pPr>
        <w:pStyle w:val="Textonotapie"/>
        <w:ind w:firstLine="708"/>
        <w:jc w:val="both"/>
        <w:rPr>
          <w:rFonts w:ascii="Arial" w:hAnsi="Arial" w:cs="Arial"/>
          <w:sz w:val="19"/>
          <w:szCs w:val="19"/>
        </w:rPr>
      </w:pPr>
      <w:r w:rsidRPr="00A81105">
        <w:rPr>
          <w:rFonts w:ascii="Arial" w:hAnsi="Arial" w:cs="Arial"/>
          <w:sz w:val="19"/>
          <w:szCs w:val="19"/>
        </w:rPr>
        <w:t>»El segundo sobre deberá incluir únicamente la propuesta económica de conformidad con todos los requisitos exigidos en el pliego de condiciones».</w:t>
      </w:r>
    </w:p>
    <w:bookmarkEnd w:id="6"/>
    <w:p w14:paraId="0AB5CE22" w14:textId="77777777" w:rsidR="00570113" w:rsidRPr="00A81105" w:rsidRDefault="00570113" w:rsidP="00A81105">
      <w:pPr>
        <w:pStyle w:val="Textonotapie"/>
        <w:ind w:firstLine="708"/>
        <w:jc w:val="both"/>
        <w:rPr>
          <w:rFonts w:ascii="Arial" w:hAnsi="Arial" w:cs="Arial"/>
          <w:sz w:val="19"/>
          <w:szCs w:val="19"/>
          <w:lang w:val="es-CO"/>
        </w:rPr>
      </w:pPr>
      <w:r w:rsidRPr="00A81105">
        <w:rPr>
          <w:rFonts w:ascii="Arial" w:hAnsi="Arial" w:cs="Arial"/>
          <w:sz w:val="19"/>
          <w:szCs w:val="19"/>
        </w:rPr>
        <w:t>[…]».</w:t>
      </w:r>
    </w:p>
  </w:footnote>
  <w:footnote w:id="11">
    <w:p w14:paraId="7BB1A2A6" w14:textId="77777777" w:rsidR="00570113" w:rsidRPr="00A81105" w:rsidRDefault="00570113" w:rsidP="00A81105">
      <w:pPr>
        <w:pStyle w:val="Textonotapie"/>
        <w:ind w:firstLine="708"/>
        <w:jc w:val="both"/>
        <w:rPr>
          <w:rFonts w:ascii="Arial" w:hAnsi="Arial" w:cs="Arial"/>
          <w:color w:val="000000" w:themeColor="text1"/>
          <w:sz w:val="19"/>
          <w:szCs w:val="19"/>
        </w:rPr>
      </w:pPr>
      <w:r w:rsidRPr="00A81105">
        <w:rPr>
          <w:rStyle w:val="Refdenotaalpie"/>
          <w:rFonts w:ascii="Arial" w:hAnsi="Arial" w:cs="Arial"/>
          <w:color w:val="000000" w:themeColor="text1"/>
          <w:sz w:val="19"/>
          <w:szCs w:val="19"/>
        </w:rPr>
        <w:footnoteRef/>
      </w:r>
      <w:r w:rsidRPr="00A81105">
        <w:rPr>
          <w:rFonts w:ascii="Arial" w:hAnsi="Arial" w:cs="Arial"/>
          <w:color w:val="000000" w:themeColor="text1"/>
          <w:sz w:val="19"/>
          <w:szCs w:val="19"/>
        </w:rPr>
        <w:t xml:space="preserve"> BANCO DE LA REPÚBLICA. Circular Reglamentaria Externa – DOAM- 146 de 4 de noviembre de 2020. </w:t>
      </w:r>
    </w:p>
    <w:p w14:paraId="68B9B243" w14:textId="77777777" w:rsidR="00570113" w:rsidRPr="00A81105" w:rsidRDefault="00570113" w:rsidP="00A81105">
      <w:pPr>
        <w:pStyle w:val="Textonotapie"/>
        <w:ind w:firstLine="708"/>
        <w:jc w:val="both"/>
        <w:rPr>
          <w:rFonts w:ascii="Arial" w:hAnsi="Arial" w:cs="Arial"/>
          <w:color w:val="000000" w:themeColor="text1"/>
          <w:sz w:val="19"/>
          <w:szCs w:val="19"/>
        </w:rPr>
      </w:pPr>
    </w:p>
  </w:footnote>
  <w:footnote w:id="12">
    <w:p w14:paraId="36F8AD33" w14:textId="77777777" w:rsidR="00570113" w:rsidRPr="00A81105" w:rsidRDefault="00570113" w:rsidP="00A81105">
      <w:pPr>
        <w:pStyle w:val="Textonotapie"/>
        <w:ind w:firstLine="708"/>
        <w:jc w:val="both"/>
        <w:rPr>
          <w:rFonts w:ascii="Arial" w:hAnsi="Arial" w:cs="Arial"/>
          <w:color w:val="000000" w:themeColor="text1"/>
          <w:sz w:val="19"/>
          <w:szCs w:val="19"/>
        </w:rPr>
      </w:pPr>
      <w:r w:rsidRPr="00A81105">
        <w:rPr>
          <w:rStyle w:val="Refdenotaalpie"/>
          <w:rFonts w:ascii="Arial" w:hAnsi="Arial" w:cs="Arial"/>
          <w:color w:val="000000" w:themeColor="text1"/>
          <w:sz w:val="19"/>
          <w:szCs w:val="19"/>
        </w:rPr>
        <w:footnoteRef/>
      </w:r>
      <w:r w:rsidRPr="00A81105">
        <w:rPr>
          <w:rFonts w:ascii="Arial" w:hAnsi="Arial" w:cs="Arial"/>
          <w:color w:val="000000" w:themeColor="text1"/>
          <w:sz w:val="19"/>
          <w:szCs w:val="19"/>
        </w:rPr>
        <w:t xml:space="preserve"> BANCO DE LA REPÚBLICA. Disponible en línea: </w:t>
      </w:r>
      <w:hyperlink r:id="rId1" w:history="1">
        <w:r w:rsidRPr="00A81105">
          <w:rPr>
            <w:rStyle w:val="Hipervnculo"/>
            <w:rFonts w:ascii="Arial" w:hAnsi="Arial" w:cs="Arial"/>
            <w:color w:val="000000" w:themeColor="text1"/>
            <w:sz w:val="19"/>
            <w:szCs w:val="19"/>
          </w:rPr>
          <w:t>https://www.banrep.gov.co/es/estadisticas/trm</w:t>
        </w:r>
      </w:hyperlink>
      <w:r w:rsidRPr="00A81105">
        <w:rPr>
          <w:rStyle w:val="Hipervnculo"/>
          <w:rFonts w:ascii="Arial" w:hAnsi="Arial" w:cs="Arial"/>
          <w:color w:val="000000" w:themeColor="text1"/>
          <w:sz w:val="19"/>
          <w:szCs w:val="19"/>
        </w:rPr>
        <w:t xml:space="preserve">. Consultado el 3 de diciembre de 2021. </w:t>
      </w:r>
      <w:r w:rsidRPr="00A81105">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B502" w14:textId="77777777" w:rsidR="00570113" w:rsidRDefault="00570113">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7216" behindDoc="0" locked="0" layoutInCell="1" hidden="0" allowOverlap="1" wp14:anchorId="53B78E69" wp14:editId="43DF3B92">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09E6CE52" w14:textId="77777777" w:rsidR="00570113" w:rsidRDefault="00570113">
    <w:pPr>
      <w:pBdr>
        <w:top w:val="nil"/>
        <w:left w:val="nil"/>
        <w:bottom w:val="nil"/>
        <w:right w:val="nil"/>
        <w:between w:val="nil"/>
      </w:pBdr>
      <w:tabs>
        <w:tab w:val="center" w:pos="4252"/>
        <w:tab w:val="right" w:pos="8504"/>
      </w:tabs>
      <w:spacing w:after="0"/>
      <w:rPr>
        <w:color w:val="000000"/>
      </w:rPr>
    </w:pPr>
  </w:p>
  <w:p w14:paraId="7685C2ED" w14:textId="77777777" w:rsidR="00570113" w:rsidRDefault="0057011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315"/>
    <w:multiLevelType w:val="hybridMultilevel"/>
    <w:tmpl w:val="1596A38E"/>
    <w:lvl w:ilvl="0" w:tplc="1C2C3CAC">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ABC60">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049A2">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C18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9EA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062D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2F6F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4EA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5D42">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76228"/>
    <w:multiLevelType w:val="hybridMultilevel"/>
    <w:tmpl w:val="D0640D2A"/>
    <w:lvl w:ilvl="0" w:tplc="6594464E">
      <w:start w:val="2"/>
      <w:numFmt w:val="lowerRoman"/>
      <w:lvlText w:val="%1"/>
      <w:lvlJc w:val="left"/>
      <w:pPr>
        <w:ind w:left="5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B0AC524">
      <w:start w:val="1"/>
      <w:numFmt w:val="lowerLetter"/>
      <w:lvlText w:val="%2"/>
      <w:lvlJc w:val="left"/>
      <w:pPr>
        <w:ind w:left="16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68C5F5A">
      <w:start w:val="1"/>
      <w:numFmt w:val="lowerRoman"/>
      <w:lvlText w:val="%3"/>
      <w:lvlJc w:val="left"/>
      <w:pPr>
        <w:ind w:left="23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605E8F16">
      <w:start w:val="1"/>
      <w:numFmt w:val="decimal"/>
      <w:lvlText w:val="%4"/>
      <w:lvlJc w:val="left"/>
      <w:pPr>
        <w:ind w:left="30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AA1A1572">
      <w:start w:val="1"/>
      <w:numFmt w:val="lowerLetter"/>
      <w:lvlText w:val="%5"/>
      <w:lvlJc w:val="left"/>
      <w:pPr>
        <w:ind w:left="380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111E286C">
      <w:start w:val="1"/>
      <w:numFmt w:val="lowerRoman"/>
      <w:lvlText w:val="%6"/>
      <w:lvlJc w:val="left"/>
      <w:pPr>
        <w:ind w:left="452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F83868">
      <w:start w:val="1"/>
      <w:numFmt w:val="decimal"/>
      <w:lvlText w:val="%7"/>
      <w:lvlJc w:val="left"/>
      <w:pPr>
        <w:ind w:left="52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35D6A722">
      <w:start w:val="1"/>
      <w:numFmt w:val="lowerLetter"/>
      <w:lvlText w:val="%8"/>
      <w:lvlJc w:val="left"/>
      <w:pPr>
        <w:ind w:left="59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3A38C710">
      <w:start w:val="1"/>
      <w:numFmt w:val="lowerRoman"/>
      <w:lvlText w:val="%9"/>
      <w:lvlJc w:val="left"/>
      <w:pPr>
        <w:ind w:left="66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832CE4"/>
    <w:multiLevelType w:val="multilevel"/>
    <w:tmpl w:val="B00C2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BB0508"/>
    <w:multiLevelType w:val="hybridMultilevel"/>
    <w:tmpl w:val="77346C4C"/>
    <w:lvl w:ilvl="0" w:tplc="1CDEC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23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4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A1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EF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7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3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1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6" w15:restartNumberingAfterBreak="0">
    <w:nsid w:val="723B1079"/>
    <w:multiLevelType w:val="hybridMultilevel"/>
    <w:tmpl w:val="2E0CD9C4"/>
    <w:lvl w:ilvl="0" w:tplc="E3DC3302">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18245530">
    <w:abstractNumId w:val="3"/>
  </w:num>
  <w:num w:numId="2" w16cid:durableId="1271741165">
    <w:abstractNumId w:val="0"/>
  </w:num>
  <w:num w:numId="3" w16cid:durableId="1417285820">
    <w:abstractNumId w:val="1"/>
  </w:num>
  <w:num w:numId="4" w16cid:durableId="472066864">
    <w:abstractNumId w:val="2"/>
  </w:num>
  <w:num w:numId="5" w16cid:durableId="685328044">
    <w:abstractNumId w:val="4"/>
  </w:num>
  <w:num w:numId="6" w16cid:durableId="1874150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275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0C"/>
    <w:rsid w:val="0000093B"/>
    <w:rsid w:val="000014C3"/>
    <w:rsid w:val="00006872"/>
    <w:rsid w:val="0001435A"/>
    <w:rsid w:val="000161F0"/>
    <w:rsid w:val="00025934"/>
    <w:rsid w:val="00042EBC"/>
    <w:rsid w:val="000452CD"/>
    <w:rsid w:val="00053BFC"/>
    <w:rsid w:val="00056619"/>
    <w:rsid w:val="00057AC1"/>
    <w:rsid w:val="00066FB4"/>
    <w:rsid w:val="00070185"/>
    <w:rsid w:val="0007102E"/>
    <w:rsid w:val="0007598E"/>
    <w:rsid w:val="0008307E"/>
    <w:rsid w:val="00086E95"/>
    <w:rsid w:val="0009302D"/>
    <w:rsid w:val="000973DC"/>
    <w:rsid w:val="000A6370"/>
    <w:rsid w:val="000A6F94"/>
    <w:rsid w:val="000B203A"/>
    <w:rsid w:val="000B30D5"/>
    <w:rsid w:val="000B38F8"/>
    <w:rsid w:val="000D4978"/>
    <w:rsid w:val="000D603D"/>
    <w:rsid w:val="000D617A"/>
    <w:rsid w:val="000F1EEA"/>
    <w:rsid w:val="000F7038"/>
    <w:rsid w:val="0010344B"/>
    <w:rsid w:val="00104EF7"/>
    <w:rsid w:val="0011373C"/>
    <w:rsid w:val="00114B16"/>
    <w:rsid w:val="00116FF8"/>
    <w:rsid w:val="00120CED"/>
    <w:rsid w:val="001317BE"/>
    <w:rsid w:val="00137AE6"/>
    <w:rsid w:val="001613B2"/>
    <w:rsid w:val="00161858"/>
    <w:rsid w:val="001644C7"/>
    <w:rsid w:val="0016767F"/>
    <w:rsid w:val="001729E1"/>
    <w:rsid w:val="00175108"/>
    <w:rsid w:val="00176D4F"/>
    <w:rsid w:val="00176DE4"/>
    <w:rsid w:val="0018785D"/>
    <w:rsid w:val="00187F6D"/>
    <w:rsid w:val="00192B6C"/>
    <w:rsid w:val="0019373E"/>
    <w:rsid w:val="001A1679"/>
    <w:rsid w:val="001A5C6A"/>
    <w:rsid w:val="001A63D3"/>
    <w:rsid w:val="001B1606"/>
    <w:rsid w:val="001B42EC"/>
    <w:rsid w:val="001C4DBC"/>
    <w:rsid w:val="001C696B"/>
    <w:rsid w:val="001D0F49"/>
    <w:rsid w:val="001D5985"/>
    <w:rsid w:val="001D5D6A"/>
    <w:rsid w:val="001E0FCC"/>
    <w:rsid w:val="001E390E"/>
    <w:rsid w:val="001E69A9"/>
    <w:rsid w:val="001F78B8"/>
    <w:rsid w:val="00202789"/>
    <w:rsid w:val="00203446"/>
    <w:rsid w:val="00212F20"/>
    <w:rsid w:val="0021665F"/>
    <w:rsid w:val="0022011D"/>
    <w:rsid w:val="00221A11"/>
    <w:rsid w:val="00232010"/>
    <w:rsid w:val="00242A40"/>
    <w:rsid w:val="00245199"/>
    <w:rsid w:val="002460C6"/>
    <w:rsid w:val="0025010A"/>
    <w:rsid w:val="002508C6"/>
    <w:rsid w:val="00256280"/>
    <w:rsid w:val="0025664B"/>
    <w:rsid w:val="0027040B"/>
    <w:rsid w:val="00272C3E"/>
    <w:rsid w:val="0028790D"/>
    <w:rsid w:val="00293F0F"/>
    <w:rsid w:val="00295901"/>
    <w:rsid w:val="002959D3"/>
    <w:rsid w:val="002A0A92"/>
    <w:rsid w:val="002B1B8E"/>
    <w:rsid w:val="002B5742"/>
    <w:rsid w:val="002B6BF7"/>
    <w:rsid w:val="002C45A0"/>
    <w:rsid w:val="002C7A61"/>
    <w:rsid w:val="002D1564"/>
    <w:rsid w:val="002D6020"/>
    <w:rsid w:val="002D6175"/>
    <w:rsid w:val="002D724B"/>
    <w:rsid w:val="002E416B"/>
    <w:rsid w:val="002E7C6D"/>
    <w:rsid w:val="002F446F"/>
    <w:rsid w:val="002F7E1B"/>
    <w:rsid w:val="00300F8B"/>
    <w:rsid w:val="0030291F"/>
    <w:rsid w:val="00307003"/>
    <w:rsid w:val="003103F9"/>
    <w:rsid w:val="0031490F"/>
    <w:rsid w:val="0031568A"/>
    <w:rsid w:val="003160DC"/>
    <w:rsid w:val="00317626"/>
    <w:rsid w:val="0032607E"/>
    <w:rsid w:val="003267D0"/>
    <w:rsid w:val="00332048"/>
    <w:rsid w:val="003332D7"/>
    <w:rsid w:val="00334361"/>
    <w:rsid w:val="00337B4A"/>
    <w:rsid w:val="00346878"/>
    <w:rsid w:val="00352624"/>
    <w:rsid w:val="00352BF0"/>
    <w:rsid w:val="003536EC"/>
    <w:rsid w:val="00356FDA"/>
    <w:rsid w:val="00370720"/>
    <w:rsid w:val="0037469A"/>
    <w:rsid w:val="00381706"/>
    <w:rsid w:val="00381A64"/>
    <w:rsid w:val="00382F3F"/>
    <w:rsid w:val="00386EC2"/>
    <w:rsid w:val="003A6C12"/>
    <w:rsid w:val="003B0832"/>
    <w:rsid w:val="003B2A43"/>
    <w:rsid w:val="003C4BCF"/>
    <w:rsid w:val="003C5480"/>
    <w:rsid w:val="003D010F"/>
    <w:rsid w:val="003D1B56"/>
    <w:rsid w:val="003E54BD"/>
    <w:rsid w:val="003F571B"/>
    <w:rsid w:val="003F6E92"/>
    <w:rsid w:val="004024B7"/>
    <w:rsid w:val="00402ED4"/>
    <w:rsid w:val="00404ED2"/>
    <w:rsid w:val="00406B8B"/>
    <w:rsid w:val="0040770E"/>
    <w:rsid w:val="004117DA"/>
    <w:rsid w:val="00424174"/>
    <w:rsid w:val="0043155B"/>
    <w:rsid w:val="00441CE0"/>
    <w:rsid w:val="0044340E"/>
    <w:rsid w:val="004451B8"/>
    <w:rsid w:val="00445D46"/>
    <w:rsid w:val="00450FC3"/>
    <w:rsid w:val="004512A0"/>
    <w:rsid w:val="00453313"/>
    <w:rsid w:val="004612D1"/>
    <w:rsid w:val="00464574"/>
    <w:rsid w:val="004729A7"/>
    <w:rsid w:val="00475836"/>
    <w:rsid w:val="004762A7"/>
    <w:rsid w:val="004779F4"/>
    <w:rsid w:val="00477B44"/>
    <w:rsid w:val="004841FA"/>
    <w:rsid w:val="0048608E"/>
    <w:rsid w:val="00493E0B"/>
    <w:rsid w:val="004A1B9B"/>
    <w:rsid w:val="004A6ECD"/>
    <w:rsid w:val="004A703D"/>
    <w:rsid w:val="004C69ED"/>
    <w:rsid w:val="004D0516"/>
    <w:rsid w:val="004D0D75"/>
    <w:rsid w:val="004F3850"/>
    <w:rsid w:val="00501B0C"/>
    <w:rsid w:val="00506EA0"/>
    <w:rsid w:val="00507B62"/>
    <w:rsid w:val="005106E5"/>
    <w:rsid w:val="00512799"/>
    <w:rsid w:val="005137BB"/>
    <w:rsid w:val="00536456"/>
    <w:rsid w:val="00551D2E"/>
    <w:rsid w:val="005564CB"/>
    <w:rsid w:val="00557810"/>
    <w:rsid w:val="00557D14"/>
    <w:rsid w:val="00566C54"/>
    <w:rsid w:val="00570113"/>
    <w:rsid w:val="0057486C"/>
    <w:rsid w:val="005842C8"/>
    <w:rsid w:val="005849A7"/>
    <w:rsid w:val="005876A5"/>
    <w:rsid w:val="005952B0"/>
    <w:rsid w:val="005A453F"/>
    <w:rsid w:val="005B6414"/>
    <w:rsid w:val="005C48AE"/>
    <w:rsid w:val="005D0777"/>
    <w:rsid w:val="005D5977"/>
    <w:rsid w:val="005E6290"/>
    <w:rsid w:val="005F1369"/>
    <w:rsid w:val="00610E1C"/>
    <w:rsid w:val="00612290"/>
    <w:rsid w:val="0061358E"/>
    <w:rsid w:val="00613705"/>
    <w:rsid w:val="006423CD"/>
    <w:rsid w:val="0064768D"/>
    <w:rsid w:val="00652E15"/>
    <w:rsid w:val="00656526"/>
    <w:rsid w:val="00660ADF"/>
    <w:rsid w:val="006655ED"/>
    <w:rsid w:val="0067500F"/>
    <w:rsid w:val="00683106"/>
    <w:rsid w:val="006862C6"/>
    <w:rsid w:val="00694B35"/>
    <w:rsid w:val="006A0D5F"/>
    <w:rsid w:val="006A0F9B"/>
    <w:rsid w:val="006A1E8B"/>
    <w:rsid w:val="006A6DF5"/>
    <w:rsid w:val="006A7BA1"/>
    <w:rsid w:val="006B068A"/>
    <w:rsid w:val="006B1D7C"/>
    <w:rsid w:val="006B33C2"/>
    <w:rsid w:val="006B3970"/>
    <w:rsid w:val="006B54F5"/>
    <w:rsid w:val="006D723C"/>
    <w:rsid w:val="006E01A8"/>
    <w:rsid w:val="006F2819"/>
    <w:rsid w:val="007049E6"/>
    <w:rsid w:val="00705C1A"/>
    <w:rsid w:val="00713343"/>
    <w:rsid w:val="00716935"/>
    <w:rsid w:val="007224F3"/>
    <w:rsid w:val="0072322E"/>
    <w:rsid w:val="00725D0F"/>
    <w:rsid w:val="00727C16"/>
    <w:rsid w:val="00746495"/>
    <w:rsid w:val="007513B3"/>
    <w:rsid w:val="00762B8E"/>
    <w:rsid w:val="007701CA"/>
    <w:rsid w:val="0078158F"/>
    <w:rsid w:val="007924AD"/>
    <w:rsid w:val="00793EE4"/>
    <w:rsid w:val="007C2ED1"/>
    <w:rsid w:val="007C3F98"/>
    <w:rsid w:val="007C5CE5"/>
    <w:rsid w:val="007D569C"/>
    <w:rsid w:val="007D79B5"/>
    <w:rsid w:val="0080453B"/>
    <w:rsid w:val="008071C9"/>
    <w:rsid w:val="00814D3F"/>
    <w:rsid w:val="00821723"/>
    <w:rsid w:val="0082665A"/>
    <w:rsid w:val="008317EB"/>
    <w:rsid w:val="0083198D"/>
    <w:rsid w:val="00834060"/>
    <w:rsid w:val="008358C1"/>
    <w:rsid w:val="00841FF4"/>
    <w:rsid w:val="0085075C"/>
    <w:rsid w:val="00853D79"/>
    <w:rsid w:val="00857986"/>
    <w:rsid w:val="0086744E"/>
    <w:rsid w:val="00876E66"/>
    <w:rsid w:val="00885435"/>
    <w:rsid w:val="0089131B"/>
    <w:rsid w:val="0089151A"/>
    <w:rsid w:val="0089347D"/>
    <w:rsid w:val="0089443D"/>
    <w:rsid w:val="00895995"/>
    <w:rsid w:val="008A1200"/>
    <w:rsid w:val="008A6426"/>
    <w:rsid w:val="008B40F9"/>
    <w:rsid w:val="008C28A5"/>
    <w:rsid w:val="008C32FC"/>
    <w:rsid w:val="008C577A"/>
    <w:rsid w:val="008D6FF8"/>
    <w:rsid w:val="008F1312"/>
    <w:rsid w:val="008F176C"/>
    <w:rsid w:val="008F24FA"/>
    <w:rsid w:val="008F7F46"/>
    <w:rsid w:val="00904A43"/>
    <w:rsid w:val="00915A57"/>
    <w:rsid w:val="00921488"/>
    <w:rsid w:val="0092333A"/>
    <w:rsid w:val="009269E0"/>
    <w:rsid w:val="0093329C"/>
    <w:rsid w:val="00933908"/>
    <w:rsid w:val="0095620D"/>
    <w:rsid w:val="009600AD"/>
    <w:rsid w:val="00960500"/>
    <w:rsid w:val="009611EB"/>
    <w:rsid w:val="00965583"/>
    <w:rsid w:val="00975402"/>
    <w:rsid w:val="009818BF"/>
    <w:rsid w:val="00984D00"/>
    <w:rsid w:val="009905A9"/>
    <w:rsid w:val="00991462"/>
    <w:rsid w:val="009926B4"/>
    <w:rsid w:val="0099617F"/>
    <w:rsid w:val="009973A2"/>
    <w:rsid w:val="00997837"/>
    <w:rsid w:val="009A1A5C"/>
    <w:rsid w:val="009A1C9F"/>
    <w:rsid w:val="009A2EFA"/>
    <w:rsid w:val="009A51BB"/>
    <w:rsid w:val="009B23C2"/>
    <w:rsid w:val="009B5D54"/>
    <w:rsid w:val="009C0543"/>
    <w:rsid w:val="009C6C8A"/>
    <w:rsid w:val="009D2FA3"/>
    <w:rsid w:val="009D3482"/>
    <w:rsid w:val="009D69C5"/>
    <w:rsid w:val="009F4223"/>
    <w:rsid w:val="009F6BF2"/>
    <w:rsid w:val="00A07CD9"/>
    <w:rsid w:val="00A208A5"/>
    <w:rsid w:val="00A20B39"/>
    <w:rsid w:val="00A3136E"/>
    <w:rsid w:val="00A4031C"/>
    <w:rsid w:val="00A41646"/>
    <w:rsid w:val="00A41AA8"/>
    <w:rsid w:val="00A42FD3"/>
    <w:rsid w:val="00A43A18"/>
    <w:rsid w:val="00A50C44"/>
    <w:rsid w:val="00A54516"/>
    <w:rsid w:val="00A562D1"/>
    <w:rsid w:val="00A705A7"/>
    <w:rsid w:val="00A81105"/>
    <w:rsid w:val="00A959C1"/>
    <w:rsid w:val="00A9699F"/>
    <w:rsid w:val="00AA1370"/>
    <w:rsid w:val="00AA50E5"/>
    <w:rsid w:val="00AA56D5"/>
    <w:rsid w:val="00AC0530"/>
    <w:rsid w:val="00AC0D6A"/>
    <w:rsid w:val="00AC19D0"/>
    <w:rsid w:val="00AC406D"/>
    <w:rsid w:val="00AD272C"/>
    <w:rsid w:val="00AE4E05"/>
    <w:rsid w:val="00AF3DF3"/>
    <w:rsid w:val="00AF64A0"/>
    <w:rsid w:val="00B03494"/>
    <w:rsid w:val="00B102B3"/>
    <w:rsid w:val="00B13C43"/>
    <w:rsid w:val="00B14F2A"/>
    <w:rsid w:val="00B26FAF"/>
    <w:rsid w:val="00B44C59"/>
    <w:rsid w:val="00B45027"/>
    <w:rsid w:val="00B540EA"/>
    <w:rsid w:val="00B54BE8"/>
    <w:rsid w:val="00B5608E"/>
    <w:rsid w:val="00B56359"/>
    <w:rsid w:val="00B60514"/>
    <w:rsid w:val="00B60984"/>
    <w:rsid w:val="00B639B5"/>
    <w:rsid w:val="00B63DC5"/>
    <w:rsid w:val="00B67D49"/>
    <w:rsid w:val="00B75F43"/>
    <w:rsid w:val="00B76A4A"/>
    <w:rsid w:val="00B81F03"/>
    <w:rsid w:val="00B8725B"/>
    <w:rsid w:val="00B92072"/>
    <w:rsid w:val="00B95502"/>
    <w:rsid w:val="00BA59ED"/>
    <w:rsid w:val="00BB22B4"/>
    <w:rsid w:val="00BB3AB5"/>
    <w:rsid w:val="00BB78EB"/>
    <w:rsid w:val="00BB7C0B"/>
    <w:rsid w:val="00BD0C16"/>
    <w:rsid w:val="00BE23AF"/>
    <w:rsid w:val="00C03189"/>
    <w:rsid w:val="00C0357A"/>
    <w:rsid w:val="00C073BA"/>
    <w:rsid w:val="00C07C9D"/>
    <w:rsid w:val="00C10767"/>
    <w:rsid w:val="00C12FCD"/>
    <w:rsid w:val="00C21F0B"/>
    <w:rsid w:val="00C23368"/>
    <w:rsid w:val="00C234E6"/>
    <w:rsid w:val="00C30C36"/>
    <w:rsid w:val="00C35E82"/>
    <w:rsid w:val="00C406B7"/>
    <w:rsid w:val="00C4344D"/>
    <w:rsid w:val="00C512A1"/>
    <w:rsid w:val="00C54040"/>
    <w:rsid w:val="00C61C3D"/>
    <w:rsid w:val="00C6509E"/>
    <w:rsid w:val="00C7078F"/>
    <w:rsid w:val="00C7481B"/>
    <w:rsid w:val="00C74FAA"/>
    <w:rsid w:val="00C75CF0"/>
    <w:rsid w:val="00C8554B"/>
    <w:rsid w:val="00C87DF0"/>
    <w:rsid w:val="00C95EA6"/>
    <w:rsid w:val="00C96567"/>
    <w:rsid w:val="00CA11D6"/>
    <w:rsid w:val="00CB0EC0"/>
    <w:rsid w:val="00CB33AA"/>
    <w:rsid w:val="00CC2647"/>
    <w:rsid w:val="00CC2FD0"/>
    <w:rsid w:val="00CD19FC"/>
    <w:rsid w:val="00CD1F75"/>
    <w:rsid w:val="00CD4B51"/>
    <w:rsid w:val="00CD6F18"/>
    <w:rsid w:val="00CD6FA9"/>
    <w:rsid w:val="00CE1BDC"/>
    <w:rsid w:val="00CE5B8F"/>
    <w:rsid w:val="00CE7FF7"/>
    <w:rsid w:val="00CF1897"/>
    <w:rsid w:val="00D03DD9"/>
    <w:rsid w:val="00D0402E"/>
    <w:rsid w:val="00D1520E"/>
    <w:rsid w:val="00D16DF3"/>
    <w:rsid w:val="00D204BB"/>
    <w:rsid w:val="00D24F40"/>
    <w:rsid w:val="00D27523"/>
    <w:rsid w:val="00D32808"/>
    <w:rsid w:val="00D32C8B"/>
    <w:rsid w:val="00D40A40"/>
    <w:rsid w:val="00D42E8E"/>
    <w:rsid w:val="00D45BBA"/>
    <w:rsid w:val="00D45C8A"/>
    <w:rsid w:val="00D51129"/>
    <w:rsid w:val="00D51CCC"/>
    <w:rsid w:val="00D54D37"/>
    <w:rsid w:val="00D66272"/>
    <w:rsid w:val="00D77F4B"/>
    <w:rsid w:val="00D80CF4"/>
    <w:rsid w:val="00D93891"/>
    <w:rsid w:val="00DA3EC8"/>
    <w:rsid w:val="00DA56F5"/>
    <w:rsid w:val="00DA592E"/>
    <w:rsid w:val="00DB43C2"/>
    <w:rsid w:val="00DB5581"/>
    <w:rsid w:val="00DC4A17"/>
    <w:rsid w:val="00DD5AA3"/>
    <w:rsid w:val="00DD5F04"/>
    <w:rsid w:val="00DD6E12"/>
    <w:rsid w:val="00DE546D"/>
    <w:rsid w:val="00DF24B3"/>
    <w:rsid w:val="00DF2CCA"/>
    <w:rsid w:val="00DF4E2C"/>
    <w:rsid w:val="00E01DD0"/>
    <w:rsid w:val="00E03E60"/>
    <w:rsid w:val="00E04B37"/>
    <w:rsid w:val="00E122E0"/>
    <w:rsid w:val="00E15443"/>
    <w:rsid w:val="00E17008"/>
    <w:rsid w:val="00E26991"/>
    <w:rsid w:val="00E36981"/>
    <w:rsid w:val="00E40D1F"/>
    <w:rsid w:val="00E42631"/>
    <w:rsid w:val="00E47814"/>
    <w:rsid w:val="00E67570"/>
    <w:rsid w:val="00E71C84"/>
    <w:rsid w:val="00E76E61"/>
    <w:rsid w:val="00E8785D"/>
    <w:rsid w:val="00E87D1D"/>
    <w:rsid w:val="00EA21E0"/>
    <w:rsid w:val="00EA45DB"/>
    <w:rsid w:val="00EB1DBE"/>
    <w:rsid w:val="00EB24E1"/>
    <w:rsid w:val="00EB4BFF"/>
    <w:rsid w:val="00ED622D"/>
    <w:rsid w:val="00EF3BBF"/>
    <w:rsid w:val="00EF6D75"/>
    <w:rsid w:val="00F00F53"/>
    <w:rsid w:val="00F04332"/>
    <w:rsid w:val="00F05972"/>
    <w:rsid w:val="00F105D8"/>
    <w:rsid w:val="00F13C08"/>
    <w:rsid w:val="00F1493B"/>
    <w:rsid w:val="00F208D9"/>
    <w:rsid w:val="00F30824"/>
    <w:rsid w:val="00F314E0"/>
    <w:rsid w:val="00F42829"/>
    <w:rsid w:val="00F43E76"/>
    <w:rsid w:val="00F45CB0"/>
    <w:rsid w:val="00F5295C"/>
    <w:rsid w:val="00F5420D"/>
    <w:rsid w:val="00F60037"/>
    <w:rsid w:val="00F6004B"/>
    <w:rsid w:val="00F6297C"/>
    <w:rsid w:val="00F63DD7"/>
    <w:rsid w:val="00F640FA"/>
    <w:rsid w:val="00F64346"/>
    <w:rsid w:val="00F647AA"/>
    <w:rsid w:val="00F64E78"/>
    <w:rsid w:val="00F65305"/>
    <w:rsid w:val="00F73398"/>
    <w:rsid w:val="00F7456D"/>
    <w:rsid w:val="00F84A80"/>
    <w:rsid w:val="00F85BB8"/>
    <w:rsid w:val="00F87B4A"/>
    <w:rsid w:val="00F90B1E"/>
    <w:rsid w:val="00F91AD0"/>
    <w:rsid w:val="00F91B51"/>
    <w:rsid w:val="00F929FC"/>
    <w:rsid w:val="00FA5308"/>
    <w:rsid w:val="00FA7324"/>
    <w:rsid w:val="00FA79E5"/>
    <w:rsid w:val="00FB1BE6"/>
    <w:rsid w:val="00FC5632"/>
    <w:rsid w:val="00FD6494"/>
    <w:rsid w:val="00FE251F"/>
    <w:rsid w:val="00FE71A3"/>
    <w:rsid w:val="00FF46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A685"/>
  <w15:docId w15:val="{71193790-055E-4FED-8296-0FD4E73F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paragraph" w:styleId="Ttulo7">
    <w:name w:val="heading 7"/>
    <w:basedOn w:val="Normal"/>
    <w:next w:val="Normal"/>
    <w:link w:val="Ttulo7Car"/>
    <w:uiPriority w:val="9"/>
    <w:unhideWhenUsed/>
    <w:qFormat/>
    <w:rsid w:val="005578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1">
    <w:name w:val="1"/>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3189"/>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03189"/>
    <w:pPr>
      <w:spacing w:after="0" w:line="240" w:lineRule="auto"/>
      <w:jc w:val="left"/>
    </w:pPr>
    <w:rPr>
      <w:sz w:val="20"/>
      <w:szCs w:val="20"/>
    </w:rPr>
  </w:style>
  <w:style w:type="character" w:customStyle="1" w:styleId="TextonotapieCar1">
    <w:name w:val="Texto nota pie Car1"/>
    <w:basedOn w:val="Fuentedeprrafopredeter"/>
    <w:uiPriority w:val="99"/>
    <w:semiHidden/>
    <w:rsid w:val="00C0318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03189"/>
    <w:rPr>
      <w:vertAlign w:val="superscript"/>
    </w:rPr>
  </w:style>
  <w:style w:type="paragraph" w:customStyle="1" w:styleId="Appelnotedebasde">
    <w:name w:val="Appel note de bas de..."/>
    <w:basedOn w:val="Normal"/>
    <w:link w:val="Refdenotaalpie"/>
    <w:uiPriority w:val="99"/>
    <w:rsid w:val="00C03189"/>
    <w:pPr>
      <w:spacing w:after="160" w:line="240" w:lineRule="exact"/>
      <w:jc w:val="left"/>
    </w:pPr>
    <w:rPr>
      <w:vertAlign w:val="superscript"/>
    </w:rPr>
  </w:style>
  <w:style w:type="paragraph" w:styleId="NormalWeb">
    <w:name w:val="Normal (Web)"/>
    <w:basedOn w:val="Normal"/>
    <w:link w:val="NormalWebCar"/>
    <w:uiPriority w:val="99"/>
    <w:unhideWhenUsed/>
    <w:rsid w:val="00C03189"/>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NormalWebCar">
    <w:name w:val="Normal (Web) Car"/>
    <w:link w:val="NormalWeb"/>
    <w:uiPriority w:val="99"/>
    <w:rsid w:val="00C03189"/>
    <w:rPr>
      <w:rFonts w:ascii="Times New Roman" w:eastAsia="Times New Roman" w:hAnsi="Times New Roman" w:cs="Times New Roman"/>
      <w:lang w:val="es-CO" w:eastAsia="es-MX"/>
    </w:rPr>
  </w:style>
  <w:style w:type="character" w:customStyle="1" w:styleId="baj">
    <w:name w:val="b_aj"/>
    <w:basedOn w:val="Fuentedeprrafopredeter"/>
    <w:rsid w:val="00C03189"/>
  </w:style>
  <w:style w:type="paragraph" w:customStyle="1" w:styleId="footnotedescription">
    <w:name w:val="footnote description"/>
    <w:next w:val="Normal"/>
    <w:link w:val="footnotedescriptionChar"/>
    <w:hidden/>
    <w:rsid w:val="00821723"/>
    <w:pPr>
      <w:spacing w:after="14" w:line="246" w:lineRule="auto"/>
      <w:ind w:right="55" w:firstLine="709"/>
    </w:pPr>
    <w:rPr>
      <w:rFonts w:ascii="Arial" w:eastAsia="Arial" w:hAnsi="Arial" w:cs="Arial"/>
      <w:color w:val="000000"/>
      <w:sz w:val="19"/>
      <w:szCs w:val="22"/>
      <w:lang w:val="es-CO" w:eastAsia="es-CO"/>
    </w:rPr>
  </w:style>
  <w:style w:type="character" w:customStyle="1" w:styleId="footnotedescriptionChar">
    <w:name w:val="footnote description Char"/>
    <w:link w:val="footnotedescription"/>
    <w:rsid w:val="00821723"/>
    <w:rPr>
      <w:rFonts w:ascii="Arial" w:eastAsia="Arial" w:hAnsi="Arial" w:cs="Arial"/>
      <w:color w:val="000000"/>
      <w:sz w:val="19"/>
      <w:szCs w:val="22"/>
      <w:lang w:val="es-CO" w:eastAsia="es-CO"/>
    </w:rPr>
  </w:style>
  <w:style w:type="character" w:customStyle="1" w:styleId="footnotemark">
    <w:name w:val="footnote mark"/>
    <w:hidden/>
    <w:rsid w:val="00821723"/>
    <w:rPr>
      <w:rFonts w:ascii="Arial" w:eastAsia="Arial" w:hAnsi="Arial" w:cs="Arial"/>
      <w:color w:val="000000"/>
      <w:sz w:val="19"/>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52BF0"/>
    <w:pPr>
      <w:ind w:left="720"/>
      <w:contextualSpacing/>
    </w:pPr>
    <w:rPr>
      <w:rFonts w:asciiTheme="minorHAnsi" w:eastAsiaTheme="minorHAnsi" w:hAnsiTheme="minorHAnsi" w:cstheme="minorBidi"/>
      <w:szCs w:val="22"/>
      <w:lang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52BF0"/>
    <w:rPr>
      <w:rFonts w:asciiTheme="minorHAnsi" w:eastAsiaTheme="minorHAnsi" w:hAnsiTheme="minorHAnsi" w:cstheme="minorBidi"/>
      <w:szCs w:val="22"/>
      <w:lang w:eastAsia="en-US"/>
    </w:rPr>
  </w:style>
  <w:style w:type="character" w:styleId="Textoennegrita">
    <w:name w:val="Strong"/>
    <w:basedOn w:val="Fuentedeprrafopredeter"/>
    <w:uiPriority w:val="22"/>
    <w:qFormat/>
    <w:rsid w:val="00352BF0"/>
    <w:rPr>
      <w:b/>
      <w:bCs/>
    </w:rPr>
  </w:style>
  <w:style w:type="character" w:styleId="nfasis">
    <w:name w:val="Emphasis"/>
    <w:basedOn w:val="Fuentedeprrafopredeter"/>
    <w:uiPriority w:val="20"/>
    <w:qFormat/>
    <w:rsid w:val="00352BF0"/>
    <w:rPr>
      <w:i/>
      <w:iCs/>
    </w:rPr>
  </w:style>
  <w:style w:type="character" w:styleId="Hipervnculo">
    <w:name w:val="Hyperlink"/>
    <w:basedOn w:val="Fuentedeprrafopredeter"/>
    <w:uiPriority w:val="99"/>
    <w:unhideWhenUsed/>
    <w:rsid w:val="00352BF0"/>
    <w:rPr>
      <w:color w:val="0000FF" w:themeColor="hyperlink"/>
      <w:u w:val="single"/>
    </w:rPr>
  </w:style>
  <w:style w:type="paragraph" w:customStyle="1" w:styleId="bodytext21">
    <w:name w:val="bodytext21"/>
    <w:basedOn w:val="Normal"/>
    <w:rsid w:val="00E76E61"/>
    <w:pPr>
      <w:spacing w:before="100" w:beforeAutospacing="1" w:after="100" w:afterAutospacing="1" w:line="240" w:lineRule="auto"/>
      <w:jc w:val="left"/>
    </w:pPr>
    <w:rPr>
      <w:rFonts w:ascii="Times New Roman" w:eastAsia="Times New Roman" w:hAnsi="Times New Roman" w:cs="Times New Roman"/>
      <w:lang w:val="es-CO"/>
    </w:rPr>
  </w:style>
  <w:style w:type="character" w:customStyle="1" w:styleId="apple-converted-space">
    <w:name w:val="apple-converted-space"/>
    <w:basedOn w:val="Fuentedeprrafopredeter"/>
    <w:rsid w:val="00E76E61"/>
  </w:style>
  <w:style w:type="character" w:customStyle="1" w:styleId="Ttulo7Car">
    <w:name w:val="Título 7 Car"/>
    <w:basedOn w:val="Fuentedeprrafopredeter"/>
    <w:link w:val="Ttulo7"/>
    <w:uiPriority w:val="9"/>
    <w:rsid w:val="00557810"/>
    <w:rPr>
      <w:rFonts w:asciiTheme="majorHAnsi" w:eastAsiaTheme="majorEastAsia" w:hAnsiTheme="majorHAnsi" w:cstheme="majorBidi"/>
      <w:i/>
      <w:iCs/>
      <w:color w:val="243F60" w:themeColor="accent1" w:themeShade="7F"/>
    </w:rPr>
  </w:style>
  <w:style w:type="paragraph" w:styleId="Encabezado">
    <w:name w:val="header"/>
    <w:basedOn w:val="Normal"/>
    <w:link w:val="EncabezadoCar"/>
    <w:uiPriority w:val="99"/>
    <w:unhideWhenUsed/>
    <w:rsid w:val="009914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462"/>
  </w:style>
  <w:style w:type="paragraph" w:styleId="Piedepgina">
    <w:name w:val="footer"/>
    <w:basedOn w:val="Normal"/>
    <w:link w:val="PiedepginaCar"/>
    <w:uiPriority w:val="99"/>
    <w:unhideWhenUsed/>
    <w:rsid w:val="009914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462"/>
  </w:style>
  <w:style w:type="paragraph" w:customStyle="1" w:styleId="Normal11pt">
    <w:name w:val="Normal + 11 pt"/>
    <w:aliases w:val="Negro,Justificado,Izquierda:  -0,95 cm,Derecha:  0,04 cm"/>
    <w:basedOn w:val="Normal"/>
    <w:uiPriority w:val="99"/>
    <w:rsid w:val="001D5985"/>
    <w:pPr>
      <w:spacing w:after="0" w:line="240" w:lineRule="auto"/>
      <w:ind w:left="-540"/>
    </w:pPr>
    <w:rPr>
      <w:rFonts w:ascii="Arial" w:eastAsia="Times New Roman" w:hAnsi="Arial" w:cs="Arial"/>
      <w:color w:val="000000"/>
      <w:sz w:val="22"/>
      <w:szCs w:val="22"/>
      <w:lang w:val="es-ES_tradnl" w:eastAsia="es-ES"/>
    </w:rPr>
  </w:style>
  <w:style w:type="paragraph" w:customStyle="1" w:styleId="InviasNormal">
    <w:name w:val="Invias Normal"/>
    <w:basedOn w:val="Normal"/>
    <w:link w:val="InviasNormalCar"/>
    <w:qFormat/>
    <w:rsid w:val="00C0357A"/>
    <w:pPr>
      <w:tabs>
        <w:tab w:val="left" w:pos="-142"/>
      </w:tabs>
      <w:autoSpaceDE w:val="0"/>
      <w:autoSpaceDN w:val="0"/>
      <w:adjustRightInd w:val="0"/>
      <w:spacing w:before="120" w:after="240" w:line="240" w:lineRule="auto"/>
    </w:pPr>
    <w:rPr>
      <w:rFonts w:ascii="Arial Narrow" w:eastAsia="Times New Roman" w:hAnsi="Arial Narrow" w:cs="Times New Roman"/>
      <w:color w:val="4A442A" w:themeColor="background2" w:themeShade="40"/>
      <w:lang w:val="x-none" w:eastAsia="es-ES"/>
    </w:rPr>
  </w:style>
  <w:style w:type="character" w:customStyle="1" w:styleId="InviasNormalCar">
    <w:name w:val="Invias Normal Car"/>
    <w:link w:val="InviasNormal"/>
    <w:locked/>
    <w:rsid w:val="00C0357A"/>
    <w:rPr>
      <w:rFonts w:ascii="Arial Narrow" w:eastAsia="Times New Roman" w:hAnsi="Arial Narrow" w:cs="Times New Roman"/>
      <w:color w:val="4A442A" w:themeColor="background2" w:themeShade="40"/>
      <w:lang w:val="x-none" w:eastAsia="es-ES"/>
    </w:rPr>
  </w:style>
  <w:style w:type="paragraph" w:styleId="Revisin">
    <w:name w:val="Revision"/>
    <w:hidden/>
    <w:uiPriority w:val="99"/>
    <w:semiHidden/>
    <w:rsid w:val="006A0F9B"/>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AD272C"/>
    <w:rPr>
      <w:b/>
      <w:bCs/>
    </w:rPr>
  </w:style>
  <w:style w:type="character" w:customStyle="1" w:styleId="AsuntodelcomentarioCar">
    <w:name w:val="Asunto del comentario Car"/>
    <w:basedOn w:val="TextocomentarioCar"/>
    <w:link w:val="Asuntodelcomentario"/>
    <w:uiPriority w:val="99"/>
    <w:semiHidden/>
    <w:rsid w:val="00AD272C"/>
    <w:rPr>
      <w:b/>
      <w:bCs/>
      <w:sz w:val="20"/>
      <w:szCs w:val="20"/>
    </w:rPr>
  </w:style>
  <w:style w:type="table" w:customStyle="1" w:styleId="Tablaconcuadrcula1">
    <w:name w:val="Tabla con cuadrícula1"/>
    <w:basedOn w:val="Tablanormal"/>
    <w:next w:val="Tablaconcuadrcula"/>
    <w:uiPriority w:val="59"/>
    <w:rsid w:val="00F314E0"/>
    <w:pPr>
      <w:spacing w:after="0" w:line="240" w:lineRule="auto"/>
      <w:jc w:val="left"/>
    </w:pPr>
    <w:rPr>
      <w:rFonts w:cs="Arial"/>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3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7883">
      <w:bodyDiv w:val="1"/>
      <w:marLeft w:val="0"/>
      <w:marRight w:val="0"/>
      <w:marTop w:val="0"/>
      <w:marBottom w:val="0"/>
      <w:divBdr>
        <w:top w:val="none" w:sz="0" w:space="0" w:color="auto"/>
        <w:left w:val="none" w:sz="0" w:space="0" w:color="auto"/>
        <w:bottom w:val="none" w:sz="0" w:space="0" w:color="auto"/>
        <w:right w:val="none" w:sz="0" w:space="0" w:color="auto"/>
      </w:divBdr>
    </w:div>
    <w:div w:id="248541249">
      <w:bodyDiv w:val="1"/>
      <w:marLeft w:val="0"/>
      <w:marRight w:val="0"/>
      <w:marTop w:val="0"/>
      <w:marBottom w:val="0"/>
      <w:divBdr>
        <w:top w:val="none" w:sz="0" w:space="0" w:color="auto"/>
        <w:left w:val="none" w:sz="0" w:space="0" w:color="auto"/>
        <w:bottom w:val="none" w:sz="0" w:space="0" w:color="auto"/>
        <w:right w:val="none" w:sz="0" w:space="0" w:color="auto"/>
      </w:divBdr>
    </w:div>
    <w:div w:id="342709115">
      <w:bodyDiv w:val="1"/>
      <w:marLeft w:val="0"/>
      <w:marRight w:val="0"/>
      <w:marTop w:val="0"/>
      <w:marBottom w:val="0"/>
      <w:divBdr>
        <w:top w:val="none" w:sz="0" w:space="0" w:color="auto"/>
        <w:left w:val="none" w:sz="0" w:space="0" w:color="auto"/>
        <w:bottom w:val="none" w:sz="0" w:space="0" w:color="auto"/>
        <w:right w:val="none" w:sz="0" w:space="0" w:color="auto"/>
      </w:divBdr>
      <w:divsChild>
        <w:div w:id="947808891">
          <w:marLeft w:val="0"/>
          <w:marRight w:val="0"/>
          <w:marTop w:val="0"/>
          <w:marBottom w:val="0"/>
          <w:divBdr>
            <w:top w:val="none" w:sz="0" w:space="0" w:color="auto"/>
            <w:left w:val="none" w:sz="0" w:space="0" w:color="auto"/>
            <w:bottom w:val="none" w:sz="0" w:space="0" w:color="auto"/>
            <w:right w:val="none" w:sz="0" w:space="0" w:color="auto"/>
          </w:divBdr>
          <w:divsChild>
            <w:div w:id="1401249887">
              <w:marLeft w:val="0"/>
              <w:marRight w:val="0"/>
              <w:marTop w:val="0"/>
              <w:marBottom w:val="0"/>
              <w:divBdr>
                <w:top w:val="none" w:sz="0" w:space="0" w:color="auto"/>
                <w:left w:val="none" w:sz="0" w:space="0" w:color="auto"/>
                <w:bottom w:val="none" w:sz="0" w:space="0" w:color="auto"/>
                <w:right w:val="none" w:sz="0" w:space="0" w:color="auto"/>
              </w:divBdr>
              <w:divsChild>
                <w:div w:id="3042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5499">
      <w:bodyDiv w:val="1"/>
      <w:marLeft w:val="0"/>
      <w:marRight w:val="0"/>
      <w:marTop w:val="0"/>
      <w:marBottom w:val="0"/>
      <w:divBdr>
        <w:top w:val="none" w:sz="0" w:space="0" w:color="auto"/>
        <w:left w:val="none" w:sz="0" w:space="0" w:color="auto"/>
        <w:bottom w:val="none" w:sz="0" w:space="0" w:color="auto"/>
        <w:right w:val="none" w:sz="0" w:space="0" w:color="auto"/>
      </w:divBdr>
    </w:div>
    <w:div w:id="697858130">
      <w:bodyDiv w:val="1"/>
      <w:marLeft w:val="0"/>
      <w:marRight w:val="0"/>
      <w:marTop w:val="0"/>
      <w:marBottom w:val="0"/>
      <w:divBdr>
        <w:top w:val="none" w:sz="0" w:space="0" w:color="auto"/>
        <w:left w:val="none" w:sz="0" w:space="0" w:color="auto"/>
        <w:bottom w:val="none" w:sz="0" w:space="0" w:color="auto"/>
        <w:right w:val="none" w:sz="0" w:space="0" w:color="auto"/>
      </w:divBdr>
      <w:divsChild>
        <w:div w:id="2019384534">
          <w:marLeft w:val="0"/>
          <w:marRight w:val="0"/>
          <w:marTop w:val="0"/>
          <w:marBottom w:val="0"/>
          <w:divBdr>
            <w:top w:val="none" w:sz="0" w:space="0" w:color="auto"/>
            <w:left w:val="none" w:sz="0" w:space="0" w:color="auto"/>
            <w:bottom w:val="none" w:sz="0" w:space="0" w:color="auto"/>
            <w:right w:val="none" w:sz="0" w:space="0" w:color="auto"/>
          </w:divBdr>
          <w:divsChild>
            <w:div w:id="720400872">
              <w:marLeft w:val="0"/>
              <w:marRight w:val="0"/>
              <w:marTop w:val="0"/>
              <w:marBottom w:val="0"/>
              <w:divBdr>
                <w:top w:val="none" w:sz="0" w:space="0" w:color="auto"/>
                <w:left w:val="none" w:sz="0" w:space="0" w:color="auto"/>
                <w:bottom w:val="none" w:sz="0" w:space="0" w:color="auto"/>
                <w:right w:val="none" w:sz="0" w:space="0" w:color="auto"/>
              </w:divBdr>
              <w:divsChild>
                <w:div w:id="10111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38022">
      <w:bodyDiv w:val="1"/>
      <w:marLeft w:val="0"/>
      <w:marRight w:val="0"/>
      <w:marTop w:val="0"/>
      <w:marBottom w:val="0"/>
      <w:divBdr>
        <w:top w:val="none" w:sz="0" w:space="0" w:color="auto"/>
        <w:left w:val="none" w:sz="0" w:space="0" w:color="auto"/>
        <w:bottom w:val="none" w:sz="0" w:space="0" w:color="auto"/>
        <w:right w:val="none" w:sz="0" w:space="0" w:color="auto"/>
      </w:divBdr>
    </w:div>
    <w:div w:id="862523034">
      <w:bodyDiv w:val="1"/>
      <w:marLeft w:val="0"/>
      <w:marRight w:val="0"/>
      <w:marTop w:val="0"/>
      <w:marBottom w:val="0"/>
      <w:divBdr>
        <w:top w:val="none" w:sz="0" w:space="0" w:color="auto"/>
        <w:left w:val="none" w:sz="0" w:space="0" w:color="auto"/>
        <w:bottom w:val="none" w:sz="0" w:space="0" w:color="auto"/>
        <w:right w:val="none" w:sz="0" w:space="0" w:color="auto"/>
      </w:divBdr>
    </w:div>
    <w:div w:id="1022703533">
      <w:bodyDiv w:val="1"/>
      <w:marLeft w:val="0"/>
      <w:marRight w:val="0"/>
      <w:marTop w:val="0"/>
      <w:marBottom w:val="0"/>
      <w:divBdr>
        <w:top w:val="none" w:sz="0" w:space="0" w:color="auto"/>
        <w:left w:val="none" w:sz="0" w:space="0" w:color="auto"/>
        <w:bottom w:val="none" w:sz="0" w:space="0" w:color="auto"/>
        <w:right w:val="none" w:sz="0" w:space="0" w:color="auto"/>
      </w:divBdr>
      <w:divsChild>
        <w:div w:id="2023582332">
          <w:marLeft w:val="0"/>
          <w:marRight w:val="0"/>
          <w:marTop w:val="0"/>
          <w:marBottom w:val="0"/>
          <w:divBdr>
            <w:top w:val="none" w:sz="0" w:space="0" w:color="auto"/>
            <w:left w:val="none" w:sz="0" w:space="0" w:color="auto"/>
            <w:bottom w:val="none" w:sz="0" w:space="0" w:color="auto"/>
            <w:right w:val="none" w:sz="0" w:space="0" w:color="auto"/>
          </w:divBdr>
          <w:divsChild>
            <w:div w:id="450515403">
              <w:marLeft w:val="0"/>
              <w:marRight w:val="0"/>
              <w:marTop w:val="0"/>
              <w:marBottom w:val="0"/>
              <w:divBdr>
                <w:top w:val="none" w:sz="0" w:space="0" w:color="auto"/>
                <w:left w:val="none" w:sz="0" w:space="0" w:color="auto"/>
                <w:bottom w:val="none" w:sz="0" w:space="0" w:color="auto"/>
                <w:right w:val="none" w:sz="0" w:space="0" w:color="auto"/>
              </w:divBdr>
              <w:divsChild>
                <w:div w:id="18021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45376">
      <w:bodyDiv w:val="1"/>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0"/>
          <w:marBottom w:val="0"/>
          <w:divBdr>
            <w:top w:val="none" w:sz="0" w:space="0" w:color="auto"/>
            <w:left w:val="none" w:sz="0" w:space="0" w:color="auto"/>
            <w:bottom w:val="none" w:sz="0" w:space="0" w:color="auto"/>
            <w:right w:val="none" w:sz="0" w:space="0" w:color="auto"/>
          </w:divBdr>
          <w:divsChild>
            <w:div w:id="622538512">
              <w:marLeft w:val="0"/>
              <w:marRight w:val="0"/>
              <w:marTop w:val="0"/>
              <w:marBottom w:val="0"/>
              <w:divBdr>
                <w:top w:val="none" w:sz="0" w:space="0" w:color="auto"/>
                <w:left w:val="none" w:sz="0" w:space="0" w:color="auto"/>
                <w:bottom w:val="none" w:sz="0" w:space="0" w:color="auto"/>
                <w:right w:val="none" w:sz="0" w:space="0" w:color="auto"/>
              </w:divBdr>
              <w:divsChild>
                <w:div w:id="1273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6755">
      <w:bodyDiv w:val="1"/>
      <w:marLeft w:val="0"/>
      <w:marRight w:val="0"/>
      <w:marTop w:val="0"/>
      <w:marBottom w:val="0"/>
      <w:divBdr>
        <w:top w:val="none" w:sz="0" w:space="0" w:color="auto"/>
        <w:left w:val="none" w:sz="0" w:space="0" w:color="auto"/>
        <w:bottom w:val="none" w:sz="0" w:space="0" w:color="auto"/>
        <w:right w:val="none" w:sz="0" w:space="0" w:color="auto"/>
      </w:divBdr>
    </w:div>
    <w:div w:id="1558206590">
      <w:bodyDiv w:val="1"/>
      <w:marLeft w:val="0"/>
      <w:marRight w:val="0"/>
      <w:marTop w:val="0"/>
      <w:marBottom w:val="0"/>
      <w:divBdr>
        <w:top w:val="none" w:sz="0" w:space="0" w:color="auto"/>
        <w:left w:val="none" w:sz="0" w:space="0" w:color="auto"/>
        <w:bottom w:val="none" w:sz="0" w:space="0" w:color="auto"/>
        <w:right w:val="none" w:sz="0" w:space="0" w:color="auto"/>
      </w:divBdr>
    </w:div>
    <w:div w:id="1798522748">
      <w:bodyDiv w:val="1"/>
      <w:marLeft w:val="0"/>
      <w:marRight w:val="0"/>
      <w:marTop w:val="0"/>
      <w:marBottom w:val="0"/>
      <w:divBdr>
        <w:top w:val="none" w:sz="0" w:space="0" w:color="auto"/>
        <w:left w:val="none" w:sz="0" w:space="0" w:color="auto"/>
        <w:bottom w:val="none" w:sz="0" w:space="0" w:color="auto"/>
        <w:right w:val="none" w:sz="0" w:space="0" w:color="auto"/>
      </w:divBdr>
    </w:div>
    <w:div w:id="1856110988">
      <w:bodyDiv w:val="1"/>
      <w:marLeft w:val="0"/>
      <w:marRight w:val="0"/>
      <w:marTop w:val="0"/>
      <w:marBottom w:val="0"/>
      <w:divBdr>
        <w:top w:val="none" w:sz="0" w:space="0" w:color="auto"/>
        <w:left w:val="none" w:sz="0" w:space="0" w:color="auto"/>
        <w:bottom w:val="none" w:sz="0" w:space="0" w:color="auto"/>
        <w:right w:val="none" w:sz="0" w:space="0" w:color="auto"/>
      </w:divBdr>
      <w:divsChild>
        <w:div w:id="930549150">
          <w:marLeft w:val="0"/>
          <w:marRight w:val="0"/>
          <w:marTop w:val="0"/>
          <w:marBottom w:val="0"/>
          <w:divBdr>
            <w:top w:val="none" w:sz="0" w:space="0" w:color="auto"/>
            <w:left w:val="none" w:sz="0" w:space="0" w:color="auto"/>
            <w:bottom w:val="none" w:sz="0" w:space="0" w:color="auto"/>
            <w:right w:val="none" w:sz="0" w:space="0" w:color="auto"/>
          </w:divBdr>
          <w:divsChild>
            <w:div w:id="1785147277">
              <w:marLeft w:val="0"/>
              <w:marRight w:val="0"/>
              <w:marTop w:val="0"/>
              <w:marBottom w:val="0"/>
              <w:divBdr>
                <w:top w:val="none" w:sz="0" w:space="0" w:color="auto"/>
                <w:left w:val="none" w:sz="0" w:space="0" w:color="auto"/>
                <w:bottom w:val="none" w:sz="0" w:space="0" w:color="auto"/>
                <w:right w:val="none" w:sz="0" w:space="0" w:color="auto"/>
              </w:divBdr>
              <w:divsChild>
                <w:div w:id="7185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5255">
      <w:bodyDiv w:val="1"/>
      <w:marLeft w:val="0"/>
      <w:marRight w:val="0"/>
      <w:marTop w:val="0"/>
      <w:marBottom w:val="0"/>
      <w:divBdr>
        <w:top w:val="none" w:sz="0" w:space="0" w:color="auto"/>
        <w:left w:val="none" w:sz="0" w:space="0" w:color="auto"/>
        <w:bottom w:val="none" w:sz="0" w:space="0" w:color="auto"/>
        <w:right w:val="none" w:sz="0" w:space="0" w:color="auto"/>
      </w:divBdr>
    </w:div>
    <w:div w:id="2026978924">
      <w:bodyDiv w:val="1"/>
      <w:marLeft w:val="0"/>
      <w:marRight w:val="0"/>
      <w:marTop w:val="0"/>
      <w:marBottom w:val="0"/>
      <w:divBdr>
        <w:top w:val="none" w:sz="0" w:space="0" w:color="auto"/>
        <w:left w:val="none" w:sz="0" w:space="0" w:color="auto"/>
        <w:bottom w:val="none" w:sz="0" w:space="0" w:color="auto"/>
        <w:right w:val="none" w:sz="0" w:space="0" w:color="auto"/>
      </w:divBdr>
    </w:div>
    <w:div w:id="2032292525">
      <w:bodyDiv w:val="1"/>
      <w:marLeft w:val="0"/>
      <w:marRight w:val="0"/>
      <w:marTop w:val="0"/>
      <w:marBottom w:val="0"/>
      <w:divBdr>
        <w:top w:val="none" w:sz="0" w:space="0" w:color="auto"/>
        <w:left w:val="none" w:sz="0" w:space="0" w:color="auto"/>
        <w:bottom w:val="none" w:sz="0" w:space="0" w:color="auto"/>
        <w:right w:val="none" w:sz="0" w:space="0" w:color="auto"/>
      </w:divBdr>
      <w:divsChild>
        <w:div w:id="1340737650">
          <w:marLeft w:val="0"/>
          <w:marRight w:val="0"/>
          <w:marTop w:val="0"/>
          <w:marBottom w:val="0"/>
          <w:divBdr>
            <w:top w:val="none" w:sz="0" w:space="0" w:color="auto"/>
            <w:left w:val="none" w:sz="0" w:space="0" w:color="auto"/>
            <w:bottom w:val="none" w:sz="0" w:space="0" w:color="auto"/>
            <w:right w:val="none" w:sz="0" w:space="0" w:color="auto"/>
          </w:divBdr>
          <w:divsChild>
            <w:div w:id="325287603">
              <w:marLeft w:val="0"/>
              <w:marRight w:val="0"/>
              <w:marTop w:val="0"/>
              <w:marBottom w:val="0"/>
              <w:divBdr>
                <w:top w:val="none" w:sz="0" w:space="0" w:color="auto"/>
                <w:left w:val="none" w:sz="0" w:space="0" w:color="auto"/>
                <w:bottom w:val="none" w:sz="0" w:space="0" w:color="auto"/>
                <w:right w:val="none" w:sz="0" w:space="0" w:color="auto"/>
              </w:divBdr>
              <w:divsChild>
                <w:div w:id="453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6E00A-90F3-1547-9969-46DF76D1C4CF}">
  <ds:schemaRefs>
    <ds:schemaRef ds:uri="http://schemas.openxmlformats.org/officeDocument/2006/bibliography"/>
  </ds:schemaRefs>
</ds:datastoreItem>
</file>

<file path=customXml/itemProps2.xml><?xml version="1.0" encoding="utf-8"?>
<ds:datastoreItem xmlns:ds="http://schemas.openxmlformats.org/officeDocument/2006/customXml" ds:itemID="{B2225F6E-8832-4A4D-8C8D-2CB61E3E755D}"/>
</file>

<file path=customXml/itemProps3.xml><?xml version="1.0" encoding="utf-8"?>
<ds:datastoreItem xmlns:ds="http://schemas.openxmlformats.org/officeDocument/2006/customXml" ds:itemID="{CEB0B182-E507-4E94-B4E5-962242AD3D95}"/>
</file>

<file path=customXml/itemProps4.xml><?xml version="1.0" encoding="utf-8"?>
<ds:datastoreItem xmlns:ds="http://schemas.openxmlformats.org/officeDocument/2006/customXml" ds:itemID="{188D1A1C-537D-4AA4-AC63-BB19EAA5C232}"/>
</file>

<file path=docProps/app.xml><?xml version="1.0" encoding="utf-8"?>
<Properties xmlns="http://schemas.openxmlformats.org/officeDocument/2006/extended-properties" xmlns:vt="http://schemas.openxmlformats.org/officeDocument/2006/docPropsVTypes">
  <Template>Normal.dotm</Template>
  <TotalTime>270</TotalTime>
  <Pages>23</Pages>
  <Words>8766</Words>
  <Characters>48214</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Microsoft Office User</cp:lastModifiedBy>
  <cp:revision>16</cp:revision>
  <dcterms:created xsi:type="dcterms:W3CDTF">2022-05-06T14:48:00Z</dcterms:created>
  <dcterms:modified xsi:type="dcterms:W3CDTF">2022-05-26T09:52:00Z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