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C507" w14:textId="1CC166CC" w:rsidR="00DA740E" w:rsidRPr="005A1080" w:rsidRDefault="006E0464" w:rsidP="008820CC">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9470B8">
        <w:rPr>
          <w:rFonts w:ascii="Arial" w:hAnsi="Arial" w:cs="Arial"/>
          <w:b/>
          <w:sz w:val="16"/>
          <w:szCs w:val="16"/>
          <w:lang w:eastAsia="es-ES"/>
        </w:rPr>
        <w:t xml:space="preserve"> </w:t>
      </w:r>
      <w:r w:rsidR="00214878" w:rsidRPr="009470B8">
        <w:rPr>
          <w:rFonts w:ascii="Arial" w:hAnsi="Arial" w:cs="Arial"/>
          <w:b/>
          <w:sz w:val="16"/>
          <w:szCs w:val="16"/>
          <w:lang w:eastAsia="es-ES"/>
        </w:rPr>
        <w:tab/>
      </w:r>
      <w:r w:rsidR="00214878" w:rsidRPr="005A1080">
        <w:rPr>
          <w:rFonts w:ascii="Arial" w:hAnsi="Arial" w:cs="Arial"/>
          <w:b/>
          <w:sz w:val="16"/>
          <w:szCs w:val="16"/>
          <w:lang w:eastAsia="es-ES"/>
        </w:rPr>
        <w:t>CCE-DES-FM-17</w:t>
      </w:r>
      <w:bookmarkEnd w:id="0"/>
      <w:bookmarkEnd w:id="1"/>
    </w:p>
    <w:p w14:paraId="29ABB64B" w14:textId="631D1DEC" w:rsidR="00866AEB" w:rsidRPr="005A1080" w:rsidRDefault="004B5A38" w:rsidP="00C02452">
      <w:pPr>
        <w:pStyle w:val="Default"/>
        <w:jc w:val="both"/>
        <w:rPr>
          <w:b/>
          <w:color w:val="auto"/>
          <w:sz w:val="22"/>
          <w:szCs w:val="22"/>
        </w:rPr>
      </w:pPr>
      <w:r w:rsidRPr="005A1080">
        <w:rPr>
          <w:b/>
          <w:color w:val="auto"/>
          <w:sz w:val="22"/>
          <w:szCs w:val="22"/>
        </w:rPr>
        <w:t>LEY DE GARANT</w:t>
      </w:r>
      <w:r w:rsidR="00B06BC4" w:rsidRPr="005A1080">
        <w:rPr>
          <w:b/>
          <w:color w:val="auto"/>
          <w:sz w:val="22"/>
          <w:szCs w:val="22"/>
        </w:rPr>
        <w:t>Í</w:t>
      </w:r>
      <w:r w:rsidRPr="005A1080">
        <w:rPr>
          <w:b/>
          <w:color w:val="auto"/>
          <w:sz w:val="22"/>
          <w:szCs w:val="22"/>
        </w:rPr>
        <w:t>AS ELECTORALES – Definición – Finalidad</w:t>
      </w:r>
      <w:r w:rsidR="00451CB9" w:rsidRPr="005A1080">
        <w:rPr>
          <w:b/>
          <w:color w:val="auto"/>
          <w:sz w:val="22"/>
          <w:szCs w:val="22"/>
        </w:rPr>
        <w:t xml:space="preserve"> – Alcance de las restricciones </w:t>
      </w:r>
    </w:p>
    <w:p w14:paraId="5556BE32" w14:textId="77777777" w:rsidR="00AB3864" w:rsidRPr="005A1080" w:rsidRDefault="00AB3864" w:rsidP="00AB3864">
      <w:pPr>
        <w:pStyle w:val="Default"/>
        <w:spacing w:line="276" w:lineRule="auto"/>
        <w:jc w:val="both"/>
        <w:rPr>
          <w:b/>
          <w:color w:val="auto"/>
          <w:sz w:val="22"/>
          <w:szCs w:val="22"/>
        </w:rPr>
      </w:pPr>
    </w:p>
    <w:p w14:paraId="2230A7B1" w14:textId="2FD194F3" w:rsidR="000878D7" w:rsidRPr="005A1080" w:rsidRDefault="004B5A38" w:rsidP="00C35B97">
      <w:pPr>
        <w:pStyle w:val="Default"/>
        <w:jc w:val="both"/>
        <w:rPr>
          <w:bCs/>
          <w:color w:val="auto"/>
          <w:sz w:val="20"/>
          <w:szCs w:val="20"/>
          <w:lang w:eastAsia="es-CO"/>
        </w:rPr>
      </w:pPr>
      <w:r w:rsidRPr="005A1080">
        <w:rPr>
          <w:color w:val="auto"/>
          <w:sz w:val="20"/>
          <w:szCs w:val="20"/>
          <w:lang w:val="es-MX"/>
        </w:rPr>
        <w:t xml:space="preserve">[…] </w:t>
      </w:r>
      <w:r w:rsidR="00C35B97" w:rsidRPr="005A1080">
        <w:rPr>
          <w:bCs/>
          <w:color w:val="auto"/>
          <w:sz w:val="20"/>
          <w:szCs w:val="20"/>
          <w:lang w:eastAsia="es-CO"/>
        </w:rPr>
        <w:t xml:space="preserve">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w:t>
      </w:r>
    </w:p>
    <w:p w14:paraId="164BFF0E" w14:textId="77777777" w:rsidR="00C35B97" w:rsidRPr="005A1080" w:rsidRDefault="00C35B97" w:rsidP="000878D7">
      <w:pPr>
        <w:pStyle w:val="Default"/>
        <w:jc w:val="both"/>
        <w:rPr>
          <w:color w:val="auto"/>
          <w:sz w:val="20"/>
          <w:szCs w:val="20"/>
          <w:lang w:val="es-MX"/>
        </w:rPr>
      </w:pPr>
    </w:p>
    <w:p w14:paraId="4135D80B" w14:textId="1F3B1257" w:rsidR="008820CC" w:rsidRPr="005A1080" w:rsidRDefault="00754451" w:rsidP="008820CC">
      <w:pPr>
        <w:jc w:val="both"/>
        <w:rPr>
          <w:rFonts w:ascii="Arial" w:eastAsia="Calibri" w:hAnsi="Arial" w:cs="Arial"/>
          <w:b/>
          <w:sz w:val="22"/>
        </w:rPr>
      </w:pPr>
      <w:r w:rsidRPr="005A1080">
        <w:rPr>
          <w:rFonts w:ascii="Arial" w:eastAsia="Calibri" w:hAnsi="Arial" w:cs="Arial"/>
          <w:b/>
          <w:sz w:val="22"/>
        </w:rPr>
        <w:t>LEY DE GARANT</w:t>
      </w:r>
      <w:r w:rsidR="00B06BC4" w:rsidRPr="005A1080">
        <w:rPr>
          <w:rFonts w:ascii="Arial" w:eastAsia="Calibri" w:hAnsi="Arial" w:cs="Arial"/>
          <w:b/>
          <w:sz w:val="22"/>
        </w:rPr>
        <w:t>Í</w:t>
      </w:r>
      <w:r w:rsidRPr="005A1080">
        <w:rPr>
          <w:rFonts w:ascii="Arial" w:eastAsia="Calibri" w:hAnsi="Arial" w:cs="Arial"/>
          <w:b/>
          <w:sz w:val="22"/>
        </w:rPr>
        <w:t xml:space="preserve">AS ELECTORALES </w:t>
      </w:r>
      <w:r w:rsidR="008369AB" w:rsidRPr="005A1080">
        <w:rPr>
          <w:rFonts w:ascii="Arial" w:eastAsia="Calibri" w:hAnsi="Arial" w:cs="Arial"/>
          <w:b/>
          <w:sz w:val="22"/>
        </w:rPr>
        <w:t xml:space="preserve">– </w:t>
      </w:r>
      <w:r w:rsidR="00160D5E" w:rsidRPr="005A1080">
        <w:rPr>
          <w:rFonts w:ascii="Arial" w:eastAsia="Calibri" w:hAnsi="Arial" w:cs="Arial"/>
          <w:b/>
          <w:sz w:val="22"/>
        </w:rPr>
        <w:t xml:space="preserve">Ley 996 de 2005 – </w:t>
      </w:r>
      <w:r w:rsidR="00D0638D" w:rsidRPr="005A1080">
        <w:rPr>
          <w:rFonts w:ascii="Arial" w:eastAsia="Calibri" w:hAnsi="Arial" w:cs="Arial"/>
          <w:b/>
          <w:sz w:val="22"/>
        </w:rPr>
        <w:t xml:space="preserve">Articulo 33 – </w:t>
      </w:r>
      <w:r w:rsidR="008820CC" w:rsidRPr="005A1080">
        <w:rPr>
          <w:rFonts w:ascii="Arial" w:eastAsia="Calibri" w:hAnsi="Arial" w:cs="Arial"/>
          <w:b/>
          <w:sz w:val="22"/>
        </w:rPr>
        <w:t>Restricciones</w:t>
      </w:r>
      <w:r w:rsidR="00B06BC4" w:rsidRPr="005A1080">
        <w:rPr>
          <w:rFonts w:ascii="Arial" w:eastAsia="Calibri" w:hAnsi="Arial" w:cs="Arial"/>
          <w:b/>
          <w:sz w:val="22"/>
        </w:rPr>
        <w:t xml:space="preserve"> –</w:t>
      </w:r>
      <w:r w:rsidR="008820CC" w:rsidRPr="005A1080">
        <w:rPr>
          <w:rFonts w:ascii="Arial" w:eastAsia="Calibri" w:hAnsi="Arial" w:cs="Arial"/>
          <w:b/>
          <w:sz w:val="22"/>
        </w:rPr>
        <w:t xml:space="preserve"> </w:t>
      </w:r>
      <w:r w:rsidR="00B06BC4" w:rsidRPr="005A1080">
        <w:rPr>
          <w:rFonts w:ascii="Arial" w:eastAsia="Calibri" w:hAnsi="Arial" w:cs="Arial"/>
          <w:b/>
          <w:sz w:val="22"/>
        </w:rPr>
        <w:t>E</w:t>
      </w:r>
      <w:r w:rsidR="008820CC" w:rsidRPr="005A1080">
        <w:rPr>
          <w:rFonts w:ascii="Arial" w:eastAsia="Calibri" w:hAnsi="Arial" w:cs="Arial"/>
          <w:b/>
          <w:sz w:val="22"/>
        </w:rPr>
        <w:t xml:space="preserve">lecciones </w:t>
      </w:r>
      <w:r w:rsidR="00B06BC4" w:rsidRPr="005A1080">
        <w:rPr>
          <w:rFonts w:ascii="Arial" w:eastAsia="Calibri" w:hAnsi="Arial" w:cs="Arial"/>
          <w:b/>
          <w:sz w:val="22"/>
        </w:rPr>
        <w:t>p</w:t>
      </w:r>
      <w:r w:rsidR="008820CC" w:rsidRPr="005A1080">
        <w:rPr>
          <w:rFonts w:ascii="Arial" w:eastAsia="Calibri" w:hAnsi="Arial" w:cs="Arial"/>
          <w:b/>
          <w:sz w:val="22"/>
        </w:rPr>
        <w:t xml:space="preserve">residenciales </w:t>
      </w:r>
    </w:p>
    <w:p w14:paraId="3042FD88" w14:textId="35ED60AE" w:rsidR="00D8754C" w:rsidRPr="005A1080" w:rsidRDefault="00D8754C" w:rsidP="008820CC">
      <w:pPr>
        <w:jc w:val="both"/>
        <w:rPr>
          <w:rFonts w:ascii="Arial" w:eastAsia="Calibri" w:hAnsi="Arial" w:cs="Arial"/>
          <w:b/>
          <w:sz w:val="22"/>
        </w:rPr>
      </w:pPr>
    </w:p>
    <w:p w14:paraId="00D1868D" w14:textId="62254059" w:rsidR="00D8754C" w:rsidRPr="005A1080" w:rsidRDefault="00D8754C" w:rsidP="00B06BC4">
      <w:pPr>
        <w:jc w:val="both"/>
        <w:rPr>
          <w:rFonts w:ascii="Arial" w:hAnsi="Arial" w:cs="Arial"/>
          <w:sz w:val="20"/>
          <w:szCs w:val="20"/>
          <w:lang w:eastAsia="x-none"/>
        </w:rPr>
      </w:pPr>
      <w:r w:rsidRPr="005A1080">
        <w:rPr>
          <w:rFonts w:ascii="Arial" w:hAnsi="Arial" w:cs="Arial"/>
          <w:sz w:val="20"/>
          <w:szCs w:val="20"/>
          <w:lang w:eastAsia="x-none"/>
        </w:rPr>
        <w:t xml:space="preserve">[…] la prohibición del artículo 33 de la Ley de Garantías Electorales se refiere a </w:t>
      </w:r>
      <w:r w:rsidRPr="005A1080">
        <w:rPr>
          <w:rFonts w:ascii="Arial" w:hAnsi="Arial" w:cs="Arial"/>
          <w:sz w:val="20"/>
          <w:szCs w:val="20"/>
          <w:lang w:eastAsia="en-GB"/>
        </w:rPr>
        <w:t>«</w:t>
      </w:r>
      <w:r w:rsidRPr="005A1080">
        <w:rPr>
          <w:rFonts w:ascii="Arial" w:hAnsi="Arial" w:cs="Arial"/>
          <w:sz w:val="20"/>
          <w:szCs w:val="20"/>
          <w:lang w:eastAsia="x-none"/>
        </w:rPr>
        <w:t>cualquier sistema que no implique convocatoria pública y posibilidad de pluralidad de oferentes</w:t>
      </w:r>
      <w:r w:rsidRPr="005A1080">
        <w:rPr>
          <w:rFonts w:ascii="Arial" w:hAnsi="Arial" w:cs="Arial"/>
          <w:sz w:val="20"/>
          <w:szCs w:val="20"/>
          <w:lang w:eastAsia="en-GB"/>
        </w:rPr>
        <w:t>»</w:t>
      </w:r>
      <w:r w:rsidRPr="005A1080">
        <w:rPr>
          <w:rFonts w:ascii="Arial" w:hAnsi="Arial" w:cs="Arial"/>
          <w:sz w:val="20"/>
          <w:szCs w:val="20"/>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24B0567A" w14:textId="6935A84F" w:rsidR="00AB3864" w:rsidRPr="005A1080" w:rsidRDefault="00D8754C" w:rsidP="00B06BC4">
      <w:pPr>
        <w:jc w:val="both"/>
        <w:rPr>
          <w:rFonts w:ascii="Arial" w:eastAsia="Calibri" w:hAnsi="Arial" w:cs="Arial"/>
          <w:b/>
          <w:sz w:val="20"/>
          <w:szCs w:val="20"/>
        </w:rPr>
      </w:pPr>
      <w:r w:rsidRPr="005A1080">
        <w:rPr>
          <w:rFonts w:ascii="Arial" w:hAnsi="Arial" w:cs="Arial"/>
          <w:sz w:val="20"/>
          <w:szCs w:val="20"/>
          <w:lang w:eastAsia="x-none"/>
        </w:rPr>
        <w:t>[…]</w:t>
      </w:r>
    </w:p>
    <w:p w14:paraId="10CE7D16" w14:textId="7C2B2ED3" w:rsidR="00A37819" w:rsidRPr="005A1080" w:rsidRDefault="00D0638D" w:rsidP="00B06BC4">
      <w:pPr>
        <w:pStyle w:val="Textoindependiente"/>
        <w:spacing w:after="0" w:line="240" w:lineRule="auto"/>
        <w:rPr>
          <w:bCs/>
          <w:sz w:val="20"/>
          <w:szCs w:val="20"/>
          <w:lang w:eastAsia="x-none"/>
        </w:rPr>
      </w:pPr>
      <w:r w:rsidRPr="005A1080">
        <w:rPr>
          <w:bCs/>
          <w:sz w:val="20"/>
          <w:szCs w:val="20"/>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A1080">
        <w:rPr>
          <w:sz w:val="20"/>
          <w:szCs w:val="20"/>
        </w:rPr>
        <w:t xml:space="preserve"> </w:t>
      </w:r>
      <w:r w:rsidRPr="005A1080">
        <w:rPr>
          <w:bCs/>
          <w:sz w:val="20"/>
          <w:szCs w:val="20"/>
          <w:lang w:eastAsia="x-none"/>
        </w:rPr>
        <w:t>En efecto, tal como lo ha sostenido el Consejo de Estado, el vocablo «todos» utilizado por el legislador comprende</w:t>
      </w:r>
      <w:r w:rsidRPr="005A1080">
        <w:rPr>
          <w:sz w:val="20"/>
          <w:szCs w:val="20"/>
        </w:rPr>
        <w:t xml:space="preserve"> </w:t>
      </w:r>
      <w:r w:rsidRPr="005A1080">
        <w:rPr>
          <w:bCs/>
          <w:sz w:val="20"/>
          <w:szCs w:val="20"/>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p>
    <w:p w14:paraId="1FB058AE" w14:textId="64CDF6D7" w:rsidR="00D0638D" w:rsidRPr="005A1080" w:rsidRDefault="00D0638D" w:rsidP="00B06BC4">
      <w:pPr>
        <w:pStyle w:val="Textoindependiente"/>
        <w:spacing w:after="0" w:line="240" w:lineRule="auto"/>
        <w:rPr>
          <w:sz w:val="20"/>
          <w:szCs w:val="20"/>
        </w:rPr>
      </w:pPr>
    </w:p>
    <w:p w14:paraId="4C837CE8" w14:textId="37AEAE4F" w:rsidR="00D0638D" w:rsidRPr="005A1080" w:rsidRDefault="00D0638D" w:rsidP="00B06BC4">
      <w:pPr>
        <w:pStyle w:val="Textoindependiente"/>
        <w:spacing w:after="0" w:line="240" w:lineRule="auto"/>
        <w:rPr>
          <w:rFonts w:eastAsia="Calibri"/>
          <w:b/>
        </w:rPr>
      </w:pPr>
      <w:r w:rsidRPr="005A1080">
        <w:rPr>
          <w:rFonts w:eastAsia="Calibri"/>
          <w:b/>
        </w:rPr>
        <w:t>LEY DE GARANT</w:t>
      </w:r>
      <w:r w:rsidR="00B06BC4" w:rsidRPr="005A1080">
        <w:rPr>
          <w:rFonts w:eastAsia="Calibri"/>
          <w:b/>
        </w:rPr>
        <w:t>Í</w:t>
      </w:r>
      <w:r w:rsidRPr="005A1080">
        <w:rPr>
          <w:rFonts w:eastAsia="Calibri"/>
          <w:b/>
        </w:rPr>
        <w:t xml:space="preserve">AS ELECTORALES – Ley 996 de 2005 – </w:t>
      </w:r>
      <w:r w:rsidR="0091628B" w:rsidRPr="005A1080">
        <w:rPr>
          <w:rFonts w:eastAsia="Calibri"/>
          <w:b/>
        </w:rPr>
        <w:t xml:space="preserve">Destinatarios </w:t>
      </w:r>
    </w:p>
    <w:p w14:paraId="2CBBEB31" w14:textId="77777777" w:rsidR="0074386C" w:rsidRPr="005A1080" w:rsidRDefault="0074386C" w:rsidP="0074386C">
      <w:pPr>
        <w:pStyle w:val="Textoindependiente"/>
        <w:spacing w:after="0" w:line="240" w:lineRule="auto"/>
        <w:rPr>
          <w:rFonts w:eastAsia="Calibri"/>
          <w:b/>
        </w:rPr>
      </w:pPr>
    </w:p>
    <w:p w14:paraId="5E60A999" w14:textId="00ED6091" w:rsidR="0091628B" w:rsidRPr="005A1080" w:rsidRDefault="0091628B" w:rsidP="0091628B">
      <w:pPr>
        <w:pStyle w:val="Textoindependiente"/>
        <w:spacing w:after="0" w:line="240" w:lineRule="auto"/>
        <w:rPr>
          <w:rFonts w:eastAsia="Calibri"/>
          <w:bCs/>
          <w:sz w:val="20"/>
          <w:szCs w:val="20"/>
        </w:rPr>
      </w:pPr>
      <w:r w:rsidRPr="005A1080">
        <w:rPr>
          <w:rFonts w:eastAsia="Calibri"/>
          <w:bCs/>
          <w:sz w:val="20"/>
          <w:szCs w:val="20"/>
        </w:rPr>
        <w:t>Por lo tanto, la restricción prevista en la Ley 996 de 2005, 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34F11D1F" w14:textId="77777777" w:rsidR="00FC4AF4" w:rsidRPr="005A1080" w:rsidRDefault="00FC4AF4" w:rsidP="009E6E50">
      <w:pPr>
        <w:pStyle w:val="Textoindependiente"/>
        <w:spacing w:after="0" w:line="240" w:lineRule="auto"/>
        <w:rPr>
          <w:rFonts w:eastAsia="Calibri"/>
          <w:b/>
        </w:rPr>
      </w:pPr>
    </w:p>
    <w:p w14:paraId="2BAD90EA" w14:textId="4BC08D14" w:rsidR="009E6E50" w:rsidRPr="005A1080" w:rsidRDefault="009E6E50" w:rsidP="009E6E50">
      <w:pPr>
        <w:pStyle w:val="Textoindependiente"/>
        <w:spacing w:after="0" w:line="240" w:lineRule="auto"/>
        <w:rPr>
          <w:rFonts w:eastAsia="Calibri"/>
          <w:b/>
        </w:rPr>
      </w:pPr>
      <w:r w:rsidRPr="005A1080">
        <w:rPr>
          <w:rFonts w:eastAsia="Calibri"/>
          <w:b/>
        </w:rPr>
        <w:t xml:space="preserve">LEY DE GARANTÍAS ELECTORALES – Artículo 33 - Patrimonios autónomos </w:t>
      </w:r>
    </w:p>
    <w:p w14:paraId="3C9D266E" w14:textId="77777777" w:rsidR="009E6E50" w:rsidRPr="005A1080" w:rsidRDefault="009E6E50" w:rsidP="009E6E50">
      <w:pPr>
        <w:pStyle w:val="Textoindependiente"/>
        <w:spacing w:after="0" w:line="240" w:lineRule="auto"/>
        <w:rPr>
          <w:rFonts w:eastAsia="Calibri"/>
          <w:b/>
        </w:rPr>
      </w:pPr>
    </w:p>
    <w:p w14:paraId="05EC1B50" w14:textId="77777777" w:rsidR="00C57BD0" w:rsidRPr="005A1080" w:rsidRDefault="009E6E50" w:rsidP="009E6E50">
      <w:pPr>
        <w:pStyle w:val="Textoindependiente"/>
        <w:spacing w:after="0" w:line="240" w:lineRule="auto"/>
        <w:rPr>
          <w:rFonts w:eastAsia="Calibri"/>
          <w:bCs/>
          <w:sz w:val="20"/>
          <w:szCs w:val="20"/>
        </w:rPr>
      </w:pPr>
      <w:r w:rsidRPr="005A1080">
        <w:rPr>
          <w:rFonts w:eastAsia="Calibri"/>
          <w:bCs/>
          <w:sz w:val="20"/>
          <w:szCs w:val="20"/>
        </w:rPr>
        <w:t>De acuerdo el artículo 32.5, inciso quinto, de la Ley 80 de 1993 y el artículo 2.5.2.1.1 del Decreto 2555 de 2010, la prohibición también se extiende a las sociedades fiduciarias, frente a los actos y contratos que realicen en desarrollo del negocio fiduciario, con independencia del régimen jurídico de la entidad fideicomitente, razón por la cual no se podría inaplicar la prohibición establecida en el artículo 33 de la Ley de Garantías Electorales, con la constitución de patrimonios autónomos.</w:t>
      </w:r>
      <w:r w:rsidR="00C57BD0" w:rsidRPr="005A1080">
        <w:rPr>
          <w:rFonts w:eastAsia="Calibri"/>
          <w:bCs/>
          <w:sz w:val="20"/>
          <w:szCs w:val="20"/>
        </w:rPr>
        <w:t xml:space="preserve"> </w:t>
      </w:r>
      <w:r w:rsidRPr="005A1080">
        <w:rPr>
          <w:rFonts w:eastAsia="Calibri"/>
          <w:bCs/>
          <w:sz w:val="20"/>
          <w:szCs w:val="20"/>
        </w:rPr>
        <w:t>[…]</w:t>
      </w:r>
      <w:r w:rsidR="00C57BD0" w:rsidRPr="005A1080">
        <w:rPr>
          <w:rFonts w:eastAsia="Calibri"/>
          <w:bCs/>
          <w:sz w:val="20"/>
          <w:szCs w:val="20"/>
        </w:rPr>
        <w:t xml:space="preserve"> </w:t>
      </w:r>
    </w:p>
    <w:p w14:paraId="38810332" w14:textId="77777777" w:rsidR="00C57BD0" w:rsidRPr="005A1080" w:rsidRDefault="00C57BD0" w:rsidP="009E6E50">
      <w:pPr>
        <w:pStyle w:val="Textoindependiente"/>
        <w:spacing w:after="0" w:line="240" w:lineRule="auto"/>
        <w:rPr>
          <w:rFonts w:eastAsia="Calibri"/>
          <w:bCs/>
          <w:sz w:val="20"/>
          <w:szCs w:val="20"/>
        </w:rPr>
      </w:pPr>
    </w:p>
    <w:p w14:paraId="4BC43504" w14:textId="3474970B" w:rsidR="009E6E50" w:rsidRPr="005A1080" w:rsidRDefault="00C57BD0" w:rsidP="009E6E50">
      <w:pPr>
        <w:pStyle w:val="Textoindependiente"/>
        <w:spacing w:after="0" w:line="240" w:lineRule="auto"/>
        <w:rPr>
          <w:rFonts w:eastAsia="Calibri"/>
          <w:bCs/>
          <w:sz w:val="20"/>
          <w:szCs w:val="20"/>
        </w:rPr>
      </w:pPr>
      <w:r w:rsidRPr="005A1080">
        <w:rPr>
          <w:rFonts w:eastAsia="Calibri"/>
          <w:bCs/>
          <w:sz w:val="20"/>
          <w:szCs w:val="20"/>
        </w:rPr>
        <w:t>E</w:t>
      </w:r>
      <w:r w:rsidR="009E6E50" w:rsidRPr="005A1080">
        <w:rPr>
          <w:rFonts w:eastAsia="Calibri"/>
          <w:bCs/>
          <w:sz w:val="20"/>
          <w:szCs w:val="20"/>
        </w:rPr>
        <w:t xml:space="preserve">l artículo 33 de la Ley de Garantías se extiende a las sociedades fiduciarias en virtud del artículo 32.5, inciso quinto, de la Ley 80 de 1993. Con las diferencias en el alcance, de acuerdo con el inciso noveno </w:t>
      </w:r>
      <w:r w:rsidRPr="005A1080">
        <w:rPr>
          <w:rFonts w:eastAsia="Calibri"/>
          <w:bCs/>
          <w:sz w:val="20"/>
          <w:szCs w:val="20"/>
        </w:rPr>
        <w:t>ibídem</w:t>
      </w:r>
      <w:r w:rsidR="009E6E50" w:rsidRPr="005A1080">
        <w:rPr>
          <w:rFonts w:eastAsia="Calibri"/>
          <w:bCs/>
          <w:sz w:val="20"/>
          <w:szCs w:val="20"/>
        </w:rPr>
        <w:t>, la misma es congruente con el artículo 2.5.2.1.1 del Decreto 2555 de 2010, el cual rige también en los negocios fiduciarios de las entidades exceptuadas de la aplicación del EGCAP. Por tanto, con independencia del régimen jurídico de la entidad fideicomitente, la prohibición de contratación directa durante la vigencia de la Ley de Garantías también les aplica a las fiduciarias que administran los recursos públicos de los entes del Estado. En este contexto, se reitera que las sociedades fiduciarias no pueden celebrar los contratos en los que las entidades constituyentes tengan alguna restricción, por lo que no son un instrumento para eludir el artículo 33 de la Ley de Garantías.</w:t>
      </w:r>
    </w:p>
    <w:p w14:paraId="00E15BDE" w14:textId="77777777" w:rsidR="008E103D" w:rsidRPr="005A1080" w:rsidRDefault="008E103D" w:rsidP="004374FC">
      <w:pPr>
        <w:jc w:val="right"/>
        <w:rPr>
          <w:rFonts w:ascii="Arial" w:eastAsia="Calibri" w:hAnsi="Arial" w:cs="Arial"/>
          <w:sz w:val="22"/>
        </w:rPr>
      </w:pPr>
    </w:p>
    <w:p w14:paraId="15121FCA" w14:textId="634BF5FC" w:rsidR="004374FC" w:rsidRPr="005A1080" w:rsidRDefault="004374FC" w:rsidP="00DF0F8E">
      <w:pPr>
        <w:rPr>
          <w:rFonts w:ascii="Arial" w:eastAsia="Calibri" w:hAnsi="Arial" w:cs="Arial"/>
          <w:sz w:val="22"/>
        </w:rPr>
      </w:pPr>
    </w:p>
    <w:p w14:paraId="028732F6" w14:textId="77777777" w:rsidR="00C57BD0" w:rsidRPr="005A1080" w:rsidRDefault="00C57BD0" w:rsidP="00DF0F8E">
      <w:pPr>
        <w:rPr>
          <w:rFonts w:ascii="Arial" w:eastAsia="Calibri" w:hAnsi="Arial" w:cs="Arial"/>
          <w:sz w:val="22"/>
        </w:rPr>
      </w:pPr>
    </w:p>
    <w:p w14:paraId="71540581" w14:textId="77777777" w:rsidR="00C57BD0" w:rsidRPr="005A1080" w:rsidRDefault="00C57BD0" w:rsidP="00DF0F8E">
      <w:pPr>
        <w:rPr>
          <w:rFonts w:ascii="Arial" w:eastAsia="Calibri" w:hAnsi="Arial" w:cs="Arial"/>
          <w:sz w:val="22"/>
        </w:rPr>
      </w:pPr>
    </w:p>
    <w:p w14:paraId="7C85F4FE" w14:textId="77777777" w:rsidR="00C57BD0" w:rsidRPr="005A1080" w:rsidRDefault="00C57BD0" w:rsidP="00DF0F8E">
      <w:pPr>
        <w:rPr>
          <w:rFonts w:ascii="Arial" w:eastAsia="Calibri" w:hAnsi="Arial" w:cs="Arial"/>
          <w:sz w:val="22"/>
        </w:rPr>
      </w:pPr>
    </w:p>
    <w:p w14:paraId="43EFC596" w14:textId="77777777" w:rsidR="00C57BD0" w:rsidRPr="005A1080" w:rsidRDefault="00C57BD0" w:rsidP="00DF0F8E">
      <w:pPr>
        <w:rPr>
          <w:rFonts w:ascii="Arial" w:eastAsia="Calibri" w:hAnsi="Arial" w:cs="Arial"/>
          <w:sz w:val="22"/>
        </w:rPr>
      </w:pPr>
    </w:p>
    <w:p w14:paraId="0CC357ED" w14:textId="77777777" w:rsidR="00C57BD0" w:rsidRPr="005A1080" w:rsidRDefault="00C57BD0" w:rsidP="00DF0F8E">
      <w:pPr>
        <w:rPr>
          <w:rFonts w:ascii="Arial" w:eastAsia="Calibri" w:hAnsi="Arial" w:cs="Arial"/>
          <w:sz w:val="22"/>
        </w:rPr>
      </w:pPr>
    </w:p>
    <w:p w14:paraId="47689A39" w14:textId="77777777" w:rsidR="00C57BD0" w:rsidRPr="005A1080" w:rsidRDefault="00C57BD0" w:rsidP="00DF0F8E">
      <w:pPr>
        <w:rPr>
          <w:rFonts w:ascii="Arial" w:eastAsia="Calibri" w:hAnsi="Arial" w:cs="Arial"/>
          <w:sz w:val="22"/>
        </w:rPr>
      </w:pPr>
    </w:p>
    <w:p w14:paraId="50D11C2D" w14:textId="77777777" w:rsidR="00C57BD0" w:rsidRPr="005A1080" w:rsidRDefault="00C57BD0" w:rsidP="00DF0F8E">
      <w:pPr>
        <w:rPr>
          <w:rFonts w:ascii="Arial" w:eastAsia="Calibri" w:hAnsi="Arial" w:cs="Arial"/>
          <w:sz w:val="22"/>
        </w:rPr>
      </w:pPr>
    </w:p>
    <w:p w14:paraId="13FC12D8" w14:textId="77777777" w:rsidR="00C57BD0" w:rsidRPr="005A1080" w:rsidRDefault="00C57BD0" w:rsidP="00DF0F8E">
      <w:pPr>
        <w:rPr>
          <w:rFonts w:ascii="Arial" w:eastAsia="Calibri" w:hAnsi="Arial" w:cs="Arial"/>
          <w:sz w:val="22"/>
        </w:rPr>
      </w:pPr>
    </w:p>
    <w:p w14:paraId="65D6F2BA" w14:textId="77777777" w:rsidR="00C57BD0" w:rsidRPr="005A1080" w:rsidRDefault="00C57BD0" w:rsidP="00DF0F8E">
      <w:pPr>
        <w:rPr>
          <w:rFonts w:ascii="Arial" w:eastAsia="Calibri" w:hAnsi="Arial" w:cs="Arial"/>
          <w:sz w:val="22"/>
        </w:rPr>
      </w:pPr>
    </w:p>
    <w:p w14:paraId="3E776382" w14:textId="77777777" w:rsidR="00C57BD0" w:rsidRPr="005A1080" w:rsidRDefault="00C57BD0" w:rsidP="00DF0F8E">
      <w:pPr>
        <w:rPr>
          <w:rFonts w:ascii="Arial" w:eastAsia="Calibri" w:hAnsi="Arial" w:cs="Arial"/>
          <w:sz w:val="22"/>
        </w:rPr>
      </w:pPr>
    </w:p>
    <w:p w14:paraId="4DC1C20D" w14:textId="77777777" w:rsidR="00C57BD0" w:rsidRPr="005A1080" w:rsidRDefault="00C57BD0" w:rsidP="00DF0F8E">
      <w:pPr>
        <w:rPr>
          <w:rFonts w:ascii="Arial" w:eastAsia="Calibri" w:hAnsi="Arial" w:cs="Arial"/>
          <w:sz w:val="22"/>
        </w:rPr>
      </w:pPr>
    </w:p>
    <w:p w14:paraId="795F5165" w14:textId="77777777" w:rsidR="00C57BD0" w:rsidRPr="005A1080" w:rsidRDefault="00C57BD0" w:rsidP="00DF0F8E">
      <w:pPr>
        <w:rPr>
          <w:rFonts w:ascii="Arial" w:eastAsia="Calibri" w:hAnsi="Arial" w:cs="Arial"/>
          <w:sz w:val="22"/>
        </w:rPr>
      </w:pPr>
    </w:p>
    <w:p w14:paraId="3A2B608B" w14:textId="77777777" w:rsidR="00C57BD0" w:rsidRPr="005A1080" w:rsidRDefault="00C57BD0" w:rsidP="00DF0F8E">
      <w:pPr>
        <w:rPr>
          <w:rFonts w:ascii="Arial" w:eastAsia="Calibri" w:hAnsi="Arial" w:cs="Arial"/>
          <w:sz w:val="22"/>
        </w:rPr>
      </w:pPr>
    </w:p>
    <w:p w14:paraId="47F8AC56" w14:textId="77777777" w:rsidR="00C57BD0" w:rsidRPr="005A1080" w:rsidRDefault="00C57BD0" w:rsidP="00DF0F8E">
      <w:pPr>
        <w:rPr>
          <w:rFonts w:ascii="Arial" w:eastAsia="Calibri" w:hAnsi="Arial" w:cs="Arial"/>
          <w:sz w:val="22"/>
        </w:rPr>
      </w:pPr>
    </w:p>
    <w:p w14:paraId="33ACC10D" w14:textId="77777777" w:rsidR="00C57BD0" w:rsidRPr="005A1080" w:rsidRDefault="00C57BD0" w:rsidP="00DF0F8E">
      <w:pPr>
        <w:rPr>
          <w:rFonts w:ascii="Arial" w:eastAsia="Calibri" w:hAnsi="Arial" w:cs="Arial"/>
          <w:sz w:val="22"/>
        </w:rPr>
      </w:pPr>
    </w:p>
    <w:p w14:paraId="3BDD02A7" w14:textId="77777777" w:rsidR="00C57BD0" w:rsidRPr="005A1080" w:rsidRDefault="00C57BD0" w:rsidP="00DF0F8E">
      <w:pPr>
        <w:rPr>
          <w:rFonts w:ascii="Arial" w:eastAsia="Calibri" w:hAnsi="Arial" w:cs="Arial"/>
          <w:sz w:val="22"/>
        </w:rPr>
      </w:pPr>
    </w:p>
    <w:p w14:paraId="3E1AF64F" w14:textId="77777777" w:rsidR="00C57BD0" w:rsidRPr="005A1080" w:rsidRDefault="00C57BD0" w:rsidP="00DF0F8E">
      <w:pPr>
        <w:rPr>
          <w:rFonts w:ascii="Arial" w:eastAsia="Calibri" w:hAnsi="Arial" w:cs="Arial"/>
          <w:sz w:val="22"/>
        </w:rPr>
      </w:pPr>
    </w:p>
    <w:p w14:paraId="4EBE1B70" w14:textId="77777777" w:rsidR="00C57BD0" w:rsidRPr="005A1080" w:rsidRDefault="00C57BD0" w:rsidP="00DF0F8E">
      <w:pPr>
        <w:rPr>
          <w:rFonts w:ascii="Arial" w:eastAsia="Calibri" w:hAnsi="Arial" w:cs="Arial"/>
          <w:sz w:val="22"/>
        </w:rPr>
      </w:pPr>
    </w:p>
    <w:p w14:paraId="2E90294B" w14:textId="77777777" w:rsidR="00C57BD0" w:rsidRPr="005A1080" w:rsidRDefault="00C57BD0" w:rsidP="00DF0F8E">
      <w:pPr>
        <w:rPr>
          <w:rFonts w:ascii="Arial" w:eastAsia="Calibri" w:hAnsi="Arial" w:cs="Arial"/>
          <w:sz w:val="22"/>
        </w:rPr>
      </w:pPr>
    </w:p>
    <w:p w14:paraId="16EF94DD" w14:textId="77777777" w:rsidR="00C57BD0" w:rsidRPr="005A1080" w:rsidRDefault="00C57BD0" w:rsidP="00DF0F8E">
      <w:pPr>
        <w:rPr>
          <w:rFonts w:ascii="Arial" w:eastAsia="Calibri" w:hAnsi="Arial" w:cs="Arial"/>
          <w:sz w:val="22"/>
        </w:rPr>
      </w:pPr>
    </w:p>
    <w:p w14:paraId="1570B44F" w14:textId="77777777" w:rsidR="00C57BD0" w:rsidRPr="005A1080" w:rsidRDefault="00C57BD0" w:rsidP="00DF0F8E">
      <w:pPr>
        <w:rPr>
          <w:rFonts w:ascii="Arial" w:eastAsia="Calibri" w:hAnsi="Arial" w:cs="Arial"/>
          <w:sz w:val="22"/>
        </w:rPr>
      </w:pPr>
    </w:p>
    <w:p w14:paraId="6F8A40FC" w14:textId="77777777" w:rsidR="00C57BD0" w:rsidRPr="005A1080" w:rsidRDefault="00C57BD0" w:rsidP="00DF0F8E">
      <w:pPr>
        <w:rPr>
          <w:rFonts w:ascii="Arial" w:eastAsia="Calibri" w:hAnsi="Arial" w:cs="Arial"/>
          <w:sz w:val="22"/>
        </w:rPr>
      </w:pPr>
    </w:p>
    <w:p w14:paraId="6A169165" w14:textId="77777777" w:rsidR="00C57BD0" w:rsidRPr="005A1080" w:rsidRDefault="00C57BD0" w:rsidP="00DF0F8E">
      <w:pPr>
        <w:rPr>
          <w:rFonts w:ascii="Arial" w:eastAsia="Calibri" w:hAnsi="Arial" w:cs="Arial"/>
          <w:sz w:val="22"/>
        </w:rPr>
      </w:pPr>
    </w:p>
    <w:p w14:paraId="421C19B0" w14:textId="77777777" w:rsidR="00C57BD0" w:rsidRPr="005A1080" w:rsidRDefault="00C57BD0" w:rsidP="00DF0F8E">
      <w:pPr>
        <w:rPr>
          <w:rFonts w:ascii="Arial" w:eastAsia="Calibri" w:hAnsi="Arial" w:cs="Arial"/>
          <w:sz w:val="22"/>
        </w:rPr>
      </w:pPr>
    </w:p>
    <w:p w14:paraId="16EF4AC8" w14:textId="77777777" w:rsidR="00C57BD0" w:rsidRPr="005A1080" w:rsidRDefault="00C57BD0" w:rsidP="00DF0F8E">
      <w:pPr>
        <w:rPr>
          <w:rFonts w:ascii="Arial" w:eastAsia="Calibri" w:hAnsi="Arial" w:cs="Arial"/>
          <w:sz w:val="22"/>
        </w:rPr>
      </w:pPr>
    </w:p>
    <w:p w14:paraId="30588321" w14:textId="77777777" w:rsidR="00C57BD0" w:rsidRPr="005A1080" w:rsidRDefault="00C57BD0" w:rsidP="00DF0F8E">
      <w:pPr>
        <w:rPr>
          <w:rFonts w:ascii="Arial" w:eastAsia="Calibri" w:hAnsi="Arial" w:cs="Arial"/>
          <w:sz w:val="22"/>
        </w:rPr>
      </w:pPr>
    </w:p>
    <w:p w14:paraId="1D82CD24" w14:textId="77777777" w:rsidR="00C57BD0" w:rsidRPr="005A1080" w:rsidRDefault="00C57BD0" w:rsidP="00DF0F8E">
      <w:pPr>
        <w:rPr>
          <w:rFonts w:ascii="Arial" w:eastAsia="Calibri" w:hAnsi="Arial" w:cs="Arial"/>
          <w:sz w:val="22"/>
        </w:rPr>
      </w:pPr>
    </w:p>
    <w:p w14:paraId="53E2DD22" w14:textId="4A1ABBEF" w:rsidR="00C57BD0" w:rsidRPr="005A1080" w:rsidRDefault="00C57BD0" w:rsidP="00DF0F8E">
      <w:pPr>
        <w:rPr>
          <w:rFonts w:ascii="Arial" w:eastAsia="Calibri" w:hAnsi="Arial" w:cs="Arial"/>
          <w:sz w:val="22"/>
        </w:rPr>
      </w:pPr>
    </w:p>
    <w:p w14:paraId="7EA89EFB" w14:textId="25E7F740" w:rsidR="00FC4AF4" w:rsidRPr="005A1080" w:rsidRDefault="00FC4AF4" w:rsidP="00DF0F8E">
      <w:pPr>
        <w:rPr>
          <w:rFonts w:ascii="Arial" w:eastAsia="Calibri" w:hAnsi="Arial" w:cs="Arial"/>
          <w:sz w:val="22"/>
        </w:rPr>
      </w:pPr>
    </w:p>
    <w:p w14:paraId="4F0513A9" w14:textId="10D02A31" w:rsidR="00FC4AF4" w:rsidRPr="005A1080" w:rsidRDefault="00FC4AF4" w:rsidP="00DF0F8E">
      <w:pPr>
        <w:rPr>
          <w:rFonts w:ascii="Arial" w:eastAsia="Calibri" w:hAnsi="Arial" w:cs="Arial"/>
          <w:sz w:val="22"/>
        </w:rPr>
      </w:pPr>
    </w:p>
    <w:p w14:paraId="1CEF4D94" w14:textId="237FEDF3" w:rsidR="00FC4AF4" w:rsidRPr="005A1080" w:rsidRDefault="00FC4AF4" w:rsidP="00DF0F8E">
      <w:pPr>
        <w:rPr>
          <w:rFonts w:ascii="Arial" w:eastAsia="Calibri" w:hAnsi="Arial" w:cs="Arial"/>
          <w:sz w:val="22"/>
        </w:rPr>
      </w:pPr>
    </w:p>
    <w:p w14:paraId="7DD84C2E" w14:textId="6DEF76CC" w:rsidR="00FC4AF4" w:rsidRPr="005A1080" w:rsidRDefault="00FC4AF4" w:rsidP="00DF0F8E">
      <w:pPr>
        <w:rPr>
          <w:rFonts w:ascii="Arial" w:eastAsia="Calibri" w:hAnsi="Arial" w:cs="Arial"/>
          <w:sz w:val="22"/>
        </w:rPr>
      </w:pPr>
    </w:p>
    <w:p w14:paraId="16AD5424" w14:textId="1281AF70" w:rsidR="00FC4AF4" w:rsidRPr="005A1080" w:rsidRDefault="00FC4AF4" w:rsidP="00DF0F8E">
      <w:pPr>
        <w:rPr>
          <w:rFonts w:ascii="Arial" w:eastAsia="Calibri" w:hAnsi="Arial" w:cs="Arial"/>
          <w:sz w:val="22"/>
        </w:rPr>
      </w:pPr>
    </w:p>
    <w:p w14:paraId="143424AC" w14:textId="77777777" w:rsidR="00FC4AF4" w:rsidRPr="005A1080" w:rsidRDefault="00FC4AF4" w:rsidP="00DF0F8E">
      <w:pPr>
        <w:rPr>
          <w:rFonts w:ascii="Arial" w:eastAsia="Calibri" w:hAnsi="Arial" w:cs="Arial"/>
          <w:sz w:val="22"/>
        </w:rPr>
      </w:pPr>
    </w:p>
    <w:p w14:paraId="56D0A3DA" w14:textId="77777777" w:rsidR="00C57BD0" w:rsidRPr="005A1080" w:rsidRDefault="00C57BD0" w:rsidP="00DF0F8E">
      <w:pPr>
        <w:rPr>
          <w:rFonts w:ascii="Arial" w:eastAsia="Calibri" w:hAnsi="Arial" w:cs="Arial"/>
          <w:sz w:val="22"/>
        </w:rPr>
      </w:pPr>
    </w:p>
    <w:p w14:paraId="3FAAA795" w14:textId="77777777" w:rsidR="00D273D2" w:rsidRPr="005A1080" w:rsidRDefault="00D273D2" w:rsidP="00DF0F8E">
      <w:pPr>
        <w:rPr>
          <w:rFonts w:ascii="Arial" w:eastAsia="Calibri" w:hAnsi="Arial" w:cs="Arial"/>
          <w:sz w:val="22"/>
        </w:rPr>
      </w:pPr>
    </w:p>
    <w:p w14:paraId="5FB87832" w14:textId="5DA4D244" w:rsidR="00C77217" w:rsidRDefault="00281B0E" w:rsidP="00281B0E">
      <w:pPr>
        <w:jc w:val="right"/>
        <w:rPr>
          <w:rFonts w:ascii="Arial" w:eastAsia="Calibri" w:hAnsi="Arial" w:cs="Arial"/>
          <w:sz w:val="22"/>
        </w:rPr>
      </w:pPr>
      <w:r w:rsidRPr="00281B0E">
        <w:rPr>
          <w:rFonts w:ascii="Arial" w:eastAsia="Calibri" w:hAnsi="Arial" w:cs="Arial"/>
          <w:noProof/>
          <w:sz w:val="22"/>
        </w:rPr>
        <w:drawing>
          <wp:inline distT="0" distB="0" distL="0" distR="0" wp14:anchorId="17235572" wp14:editId="22F0CB13">
            <wp:extent cx="2139730" cy="560717"/>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177660" cy="570657"/>
                    </a:xfrm>
                    <a:prstGeom prst="rect">
                      <a:avLst/>
                    </a:prstGeom>
                  </pic:spPr>
                </pic:pic>
              </a:graphicData>
            </a:graphic>
          </wp:inline>
        </w:drawing>
      </w:r>
    </w:p>
    <w:p w14:paraId="2F385423" w14:textId="33DD05AB" w:rsidR="005A1080" w:rsidRDefault="005A1080" w:rsidP="00DF0F8E">
      <w:pPr>
        <w:rPr>
          <w:rFonts w:ascii="Arial" w:eastAsia="Calibri" w:hAnsi="Arial" w:cs="Arial"/>
          <w:sz w:val="22"/>
        </w:rPr>
      </w:pPr>
    </w:p>
    <w:p w14:paraId="412F40C5" w14:textId="4CD4AE21" w:rsidR="0052300A" w:rsidRDefault="0052300A" w:rsidP="00DF0F8E">
      <w:pPr>
        <w:rPr>
          <w:rFonts w:ascii="Arial" w:eastAsia="Calibri" w:hAnsi="Arial" w:cs="Arial"/>
          <w:sz w:val="22"/>
        </w:rPr>
      </w:pPr>
    </w:p>
    <w:p w14:paraId="16290102" w14:textId="592E0733" w:rsidR="0052300A" w:rsidRPr="005A1080" w:rsidRDefault="0052300A" w:rsidP="00DF0F8E">
      <w:pPr>
        <w:rPr>
          <w:rFonts w:ascii="Arial" w:eastAsia="Calibri" w:hAnsi="Arial" w:cs="Arial"/>
          <w:sz w:val="22"/>
        </w:rPr>
      </w:pPr>
      <w:r>
        <w:rPr>
          <w:rFonts w:ascii="Arial" w:eastAsia="Calibri" w:hAnsi="Arial" w:cs="Arial"/>
          <w:sz w:val="22"/>
        </w:rPr>
        <w:t>Bogotá, 05 mayo 2022</w:t>
      </w:r>
    </w:p>
    <w:p w14:paraId="60F05D76" w14:textId="77777777" w:rsidR="00C77217" w:rsidRPr="005A1080" w:rsidRDefault="00C77217" w:rsidP="00DF0F8E">
      <w:pPr>
        <w:rPr>
          <w:rFonts w:ascii="Arial" w:eastAsia="Calibri" w:hAnsi="Arial" w:cs="Arial"/>
          <w:sz w:val="22"/>
        </w:rPr>
      </w:pPr>
    </w:p>
    <w:p w14:paraId="1F3E67BB" w14:textId="37DF06FC" w:rsidR="00AF1718" w:rsidRPr="005A1080" w:rsidRDefault="00D273D2" w:rsidP="00DF0F8E">
      <w:pPr>
        <w:rPr>
          <w:rFonts w:ascii="Arial" w:eastAsia="Calibri" w:hAnsi="Arial" w:cs="Arial"/>
          <w:sz w:val="22"/>
        </w:rPr>
      </w:pPr>
      <w:r w:rsidRPr="005A1080">
        <w:rPr>
          <w:rFonts w:ascii="Arial" w:eastAsia="Calibri" w:hAnsi="Arial" w:cs="Arial"/>
          <w:sz w:val="22"/>
        </w:rPr>
        <w:t>Doctora</w:t>
      </w:r>
    </w:p>
    <w:p w14:paraId="1F209DA9" w14:textId="3F1C293A" w:rsidR="00D273D2" w:rsidRPr="005A1080" w:rsidRDefault="00D273D2" w:rsidP="00D273D2">
      <w:pPr>
        <w:rPr>
          <w:rFonts w:ascii="Arial" w:eastAsia="Calibri" w:hAnsi="Arial" w:cs="Arial"/>
          <w:b/>
          <w:bCs/>
          <w:sz w:val="22"/>
          <w:lang w:val="es-ES"/>
        </w:rPr>
      </w:pPr>
      <w:r w:rsidRPr="005A1080">
        <w:rPr>
          <w:rFonts w:ascii="Arial" w:eastAsia="Calibri" w:hAnsi="Arial" w:cs="Arial"/>
          <w:b/>
          <w:bCs/>
          <w:sz w:val="22"/>
          <w:lang w:val="es-ES"/>
        </w:rPr>
        <w:t>Diana María Cadena Lozano</w:t>
      </w:r>
    </w:p>
    <w:p w14:paraId="5876E5A9" w14:textId="77777777" w:rsidR="00D273D2" w:rsidRPr="005A1080" w:rsidRDefault="00D273D2" w:rsidP="00D273D2">
      <w:pPr>
        <w:rPr>
          <w:rFonts w:ascii="Arial" w:eastAsia="Calibri" w:hAnsi="Arial" w:cs="Arial"/>
          <w:sz w:val="22"/>
          <w:lang w:val="es-ES"/>
        </w:rPr>
      </w:pPr>
      <w:r w:rsidRPr="005A1080">
        <w:rPr>
          <w:rFonts w:ascii="Arial" w:eastAsia="Calibri" w:hAnsi="Arial" w:cs="Arial"/>
          <w:sz w:val="22"/>
          <w:lang w:val="es-ES"/>
        </w:rPr>
        <w:t>Procuradora Delegada para el Seguimiento al Acuerdo de Paz</w:t>
      </w:r>
    </w:p>
    <w:p w14:paraId="49A4DDE9" w14:textId="39E9C6A8" w:rsidR="00866AEB" w:rsidRPr="005A1080" w:rsidRDefault="0022254F" w:rsidP="00D273D2">
      <w:pPr>
        <w:rPr>
          <w:rFonts w:ascii="Arial" w:eastAsia="Calibri" w:hAnsi="Arial" w:cs="Arial"/>
          <w:sz w:val="22"/>
          <w:lang w:val="es-ES"/>
        </w:rPr>
      </w:pPr>
      <w:r w:rsidRPr="005A1080">
        <w:rPr>
          <w:rFonts w:ascii="Arial" w:eastAsia="Calibri" w:hAnsi="Arial" w:cs="Arial"/>
          <w:sz w:val="22"/>
          <w:lang w:val="es-ES"/>
        </w:rPr>
        <w:t>Bogotá D.C.</w:t>
      </w:r>
    </w:p>
    <w:p w14:paraId="38C44013" w14:textId="11BB93FA" w:rsidR="002330A3" w:rsidRPr="005A1080" w:rsidRDefault="002330A3" w:rsidP="00DF0F8E">
      <w:pPr>
        <w:rPr>
          <w:rFonts w:ascii="Arial" w:eastAsia="Calibri" w:hAnsi="Arial" w:cs="Arial"/>
          <w:sz w:val="22"/>
          <w:lang w:val="es-ES"/>
        </w:rPr>
      </w:pPr>
    </w:p>
    <w:p w14:paraId="25167302" w14:textId="77777777" w:rsidR="00A60A14" w:rsidRPr="005A1080" w:rsidRDefault="00A60A14" w:rsidP="00DF0F8E">
      <w:pPr>
        <w:rPr>
          <w:rFonts w:ascii="Arial" w:eastAsia="Calibri" w:hAnsi="Arial" w:cs="Arial"/>
          <w:sz w:val="22"/>
        </w:rPr>
      </w:pPr>
    </w:p>
    <w:p w14:paraId="64DAC2D7" w14:textId="42DE8BB3" w:rsidR="00AF1718" w:rsidRPr="005A1080" w:rsidRDefault="00D86BA5" w:rsidP="00DF0F8E">
      <w:pPr>
        <w:ind w:left="2124" w:firstLine="570"/>
        <w:rPr>
          <w:rFonts w:ascii="Arial" w:eastAsia="Calibri" w:hAnsi="Arial" w:cs="Arial"/>
          <w:b/>
          <w:sz w:val="22"/>
        </w:rPr>
      </w:pPr>
      <w:r w:rsidRPr="005A1080">
        <w:rPr>
          <w:rFonts w:ascii="Arial" w:eastAsia="Calibri" w:hAnsi="Arial" w:cs="Arial"/>
          <w:b/>
          <w:sz w:val="22"/>
        </w:rPr>
        <w:t>Concepto C</w:t>
      </w:r>
      <w:r w:rsidR="00911388" w:rsidRPr="005A1080">
        <w:rPr>
          <w:rFonts w:ascii="Arial" w:eastAsia="Calibri" w:hAnsi="Arial" w:cs="Arial"/>
          <w:b/>
          <w:sz w:val="22"/>
        </w:rPr>
        <w:t xml:space="preserve"> –</w:t>
      </w:r>
      <w:r w:rsidR="00F502BE" w:rsidRPr="005A1080">
        <w:rPr>
          <w:rFonts w:ascii="Arial" w:eastAsia="Calibri" w:hAnsi="Arial" w:cs="Arial"/>
          <w:b/>
          <w:sz w:val="22"/>
        </w:rPr>
        <w:t xml:space="preserve"> 248</w:t>
      </w:r>
      <w:r w:rsidR="00AF1718" w:rsidRPr="005A1080">
        <w:rPr>
          <w:rFonts w:ascii="Arial" w:eastAsia="Calibri" w:hAnsi="Arial" w:cs="Arial"/>
          <w:b/>
          <w:sz w:val="22"/>
        </w:rPr>
        <w:t xml:space="preserve"> de 202</w:t>
      </w:r>
      <w:r w:rsidR="00D273D2" w:rsidRPr="005A1080">
        <w:rPr>
          <w:rFonts w:ascii="Arial" w:eastAsia="Calibri" w:hAnsi="Arial" w:cs="Arial"/>
          <w:b/>
          <w:sz w:val="22"/>
        </w:rPr>
        <w:t>2</w:t>
      </w:r>
    </w:p>
    <w:p w14:paraId="72B8C6E0" w14:textId="77777777" w:rsidR="0074386C" w:rsidRPr="005A1080" w:rsidRDefault="0074386C"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470B8" w:rsidRPr="005A1080" w14:paraId="00B1888F" w14:textId="77777777" w:rsidTr="00A60A14">
        <w:tc>
          <w:tcPr>
            <w:tcW w:w="2689" w:type="dxa"/>
            <w:hideMark/>
          </w:tcPr>
          <w:p w14:paraId="1C9397C0" w14:textId="5CD0567D" w:rsidR="00AF1718" w:rsidRPr="005A1080" w:rsidRDefault="00AF1718" w:rsidP="00DF0F8E">
            <w:pPr>
              <w:rPr>
                <w:rFonts w:ascii="Arial" w:eastAsia="Calibri" w:hAnsi="Arial" w:cs="Arial"/>
                <w:sz w:val="22"/>
              </w:rPr>
            </w:pPr>
            <w:r w:rsidRPr="005A1080">
              <w:rPr>
                <w:rFonts w:ascii="Arial" w:eastAsia="Calibri" w:hAnsi="Arial" w:cs="Arial"/>
                <w:b/>
                <w:sz w:val="22"/>
              </w:rPr>
              <w:t>Temas:</w:t>
            </w:r>
            <w:r w:rsidRPr="005A1080">
              <w:rPr>
                <w:rFonts w:ascii="Arial" w:eastAsia="Calibri" w:hAnsi="Arial" w:cs="Arial"/>
                <w:sz w:val="22"/>
              </w:rPr>
              <w:t xml:space="preserve">  </w:t>
            </w:r>
          </w:p>
          <w:p w14:paraId="6531557F" w14:textId="3F92F245" w:rsidR="00AF1718" w:rsidRPr="005A1080" w:rsidRDefault="00AF1718" w:rsidP="00DF0F8E">
            <w:pPr>
              <w:rPr>
                <w:rFonts w:ascii="Arial" w:eastAsia="Calibri" w:hAnsi="Arial" w:cs="Arial"/>
                <w:sz w:val="22"/>
              </w:rPr>
            </w:pPr>
            <w:r w:rsidRPr="005A1080">
              <w:rPr>
                <w:rFonts w:ascii="Arial" w:eastAsia="Calibri" w:hAnsi="Arial" w:cs="Arial"/>
                <w:sz w:val="22"/>
              </w:rPr>
              <w:t xml:space="preserve"> </w:t>
            </w:r>
          </w:p>
        </w:tc>
        <w:tc>
          <w:tcPr>
            <w:tcW w:w="6237" w:type="dxa"/>
            <w:hideMark/>
          </w:tcPr>
          <w:p w14:paraId="41338E73" w14:textId="7986C05B" w:rsidR="0074386C" w:rsidRPr="005A1080" w:rsidRDefault="00C02452" w:rsidP="00290ACC">
            <w:pPr>
              <w:pStyle w:val="Textoindependiente"/>
              <w:spacing w:after="120" w:line="240" w:lineRule="auto"/>
              <w:rPr>
                <w:rFonts w:eastAsia="Calibri"/>
              </w:rPr>
            </w:pPr>
            <w:r w:rsidRPr="005A1080">
              <w:t xml:space="preserve">LEY DE GARANTIAS ELECTORALES – Definición – Finalidad – Alcance de las restricciones </w:t>
            </w:r>
            <w:r w:rsidR="0074386C" w:rsidRPr="005A1080">
              <w:t xml:space="preserve">/ </w:t>
            </w:r>
            <w:r w:rsidR="0074386C" w:rsidRPr="005A1080">
              <w:rPr>
                <w:rFonts w:eastAsia="Calibri"/>
              </w:rPr>
              <w:t xml:space="preserve">LEY DE GARANTIAS ELECTORALES – Ley 996 de 2005 – Articulo 33 – Restricciones para elecciones – Presidenciales / LEY DE GARANTIAS ELECTORALES – Ley 996 de 2005 – </w:t>
            </w:r>
            <w:r w:rsidR="0091628B" w:rsidRPr="005A1080">
              <w:rPr>
                <w:rFonts w:eastAsia="Calibri"/>
              </w:rPr>
              <w:t>Destinatarios</w:t>
            </w:r>
            <w:r w:rsidR="00C224B7" w:rsidRPr="005A1080">
              <w:rPr>
                <w:rFonts w:eastAsia="Calibri"/>
              </w:rPr>
              <w:t xml:space="preserve"> / LEY DE GARANTÍAS ELECTORALES – Artículo 33 - Patrimonios autónomos </w:t>
            </w:r>
            <w:r w:rsidR="0091628B" w:rsidRPr="005A1080">
              <w:rPr>
                <w:rFonts w:eastAsia="Calibri"/>
              </w:rPr>
              <w:t xml:space="preserve"> </w:t>
            </w:r>
          </w:p>
          <w:p w14:paraId="30A9E48B" w14:textId="695C4B23" w:rsidR="00362FC9" w:rsidRPr="005A1080" w:rsidRDefault="00362FC9" w:rsidP="003D2AA2">
            <w:pPr>
              <w:spacing w:after="120"/>
              <w:jc w:val="both"/>
              <w:rPr>
                <w:rFonts w:ascii="Arial" w:eastAsia="Calibri" w:hAnsi="Arial" w:cs="Arial"/>
                <w:sz w:val="22"/>
              </w:rPr>
            </w:pPr>
          </w:p>
        </w:tc>
      </w:tr>
      <w:tr w:rsidR="00AF1718" w:rsidRPr="005A1080" w14:paraId="0E180394" w14:textId="77777777" w:rsidTr="00A60A14">
        <w:tc>
          <w:tcPr>
            <w:tcW w:w="2689" w:type="dxa"/>
          </w:tcPr>
          <w:p w14:paraId="35D0842E" w14:textId="46837F9C" w:rsidR="00AF1718" w:rsidRPr="005A1080" w:rsidRDefault="00AF1718" w:rsidP="00DF0F8E">
            <w:pPr>
              <w:rPr>
                <w:rFonts w:ascii="Arial" w:eastAsia="Calibri" w:hAnsi="Arial" w:cs="Arial"/>
                <w:b/>
                <w:sz w:val="22"/>
              </w:rPr>
            </w:pPr>
            <w:r w:rsidRPr="005A1080">
              <w:rPr>
                <w:rFonts w:ascii="Arial" w:eastAsia="Calibri" w:hAnsi="Arial" w:cs="Arial"/>
                <w:b/>
                <w:sz w:val="22"/>
              </w:rPr>
              <w:t>Radicación:</w:t>
            </w:r>
            <w:r w:rsidRPr="005A1080">
              <w:rPr>
                <w:rFonts w:ascii="Arial" w:eastAsia="Calibri" w:hAnsi="Arial" w:cs="Arial"/>
                <w:sz w:val="22"/>
              </w:rPr>
              <w:t xml:space="preserve"> </w:t>
            </w:r>
          </w:p>
        </w:tc>
        <w:tc>
          <w:tcPr>
            <w:tcW w:w="6237" w:type="dxa"/>
          </w:tcPr>
          <w:p w14:paraId="1B6BB553" w14:textId="19CD9714" w:rsidR="00AF1718" w:rsidRPr="005A1080" w:rsidRDefault="00FF6BBB" w:rsidP="00143A66">
            <w:pPr>
              <w:jc w:val="both"/>
              <w:rPr>
                <w:rFonts w:ascii="Arial" w:eastAsia="Calibri" w:hAnsi="Arial" w:cs="Arial"/>
                <w:sz w:val="22"/>
              </w:rPr>
            </w:pPr>
            <w:r w:rsidRPr="005A1080">
              <w:rPr>
                <w:rFonts w:ascii="Arial" w:eastAsia="Calibri" w:hAnsi="Arial" w:cs="Arial"/>
                <w:sz w:val="22"/>
              </w:rPr>
              <w:t>Respuesta a consulta</w:t>
            </w:r>
            <w:r w:rsidR="00D86BA5" w:rsidRPr="005A1080">
              <w:rPr>
                <w:rFonts w:ascii="Arial" w:eastAsia="Calibri" w:hAnsi="Arial" w:cs="Arial"/>
                <w:sz w:val="22"/>
              </w:rPr>
              <w:t xml:space="preserve"> </w:t>
            </w:r>
            <w:r w:rsidR="00A40106" w:rsidRPr="005A1080">
              <w:rPr>
                <w:rFonts w:ascii="Arial" w:eastAsia="Calibri" w:hAnsi="Arial" w:cs="Arial"/>
                <w:sz w:val="22"/>
              </w:rPr>
              <w:t>P20220502004278</w:t>
            </w:r>
          </w:p>
        </w:tc>
      </w:tr>
    </w:tbl>
    <w:p w14:paraId="4A4DF0C0" w14:textId="77777777" w:rsidR="00AF1718" w:rsidRPr="005A1080" w:rsidRDefault="00AF1718" w:rsidP="00DF0F8E">
      <w:pPr>
        <w:jc w:val="both"/>
        <w:rPr>
          <w:rFonts w:ascii="Arial" w:eastAsia="Calibri" w:hAnsi="Arial" w:cs="Arial"/>
          <w:sz w:val="22"/>
        </w:rPr>
      </w:pPr>
    </w:p>
    <w:p w14:paraId="2B19C121" w14:textId="77777777" w:rsidR="00AF1718" w:rsidRPr="005A1080" w:rsidRDefault="00AF1718" w:rsidP="00DF0F8E">
      <w:pPr>
        <w:rPr>
          <w:rFonts w:ascii="Arial" w:eastAsia="Calibri" w:hAnsi="Arial" w:cs="Arial"/>
          <w:sz w:val="22"/>
        </w:rPr>
      </w:pPr>
    </w:p>
    <w:p w14:paraId="1612DE7D" w14:textId="7FA8DC64" w:rsidR="00AF1718" w:rsidRPr="005A1080" w:rsidRDefault="00D86BA5" w:rsidP="008B1764">
      <w:pPr>
        <w:spacing w:line="276" w:lineRule="auto"/>
        <w:rPr>
          <w:rFonts w:ascii="Arial" w:eastAsia="Calibri" w:hAnsi="Arial" w:cs="Arial"/>
          <w:sz w:val="22"/>
        </w:rPr>
      </w:pPr>
      <w:r w:rsidRPr="005A1080">
        <w:rPr>
          <w:rFonts w:ascii="Arial" w:eastAsia="Calibri" w:hAnsi="Arial" w:cs="Arial"/>
          <w:sz w:val="22"/>
        </w:rPr>
        <w:t>Estimad</w:t>
      </w:r>
      <w:r w:rsidR="00A40106" w:rsidRPr="005A1080">
        <w:rPr>
          <w:rFonts w:ascii="Arial" w:eastAsia="Calibri" w:hAnsi="Arial" w:cs="Arial"/>
          <w:sz w:val="22"/>
        </w:rPr>
        <w:t>a</w:t>
      </w:r>
      <w:r w:rsidRPr="005A1080">
        <w:rPr>
          <w:rFonts w:ascii="Arial" w:eastAsia="Calibri" w:hAnsi="Arial" w:cs="Arial"/>
          <w:sz w:val="22"/>
        </w:rPr>
        <w:t xml:space="preserve"> </w:t>
      </w:r>
      <w:r w:rsidR="00A40106" w:rsidRPr="005A1080">
        <w:rPr>
          <w:rFonts w:ascii="Arial" w:eastAsia="Calibri" w:hAnsi="Arial" w:cs="Arial"/>
          <w:sz w:val="22"/>
        </w:rPr>
        <w:t>doctora</w:t>
      </w:r>
      <w:r w:rsidRPr="005A1080">
        <w:rPr>
          <w:rFonts w:ascii="Arial" w:eastAsia="Calibri" w:hAnsi="Arial" w:cs="Arial"/>
          <w:sz w:val="22"/>
        </w:rPr>
        <w:t xml:space="preserve"> </w:t>
      </w:r>
      <w:r w:rsidR="00A40106" w:rsidRPr="005A1080">
        <w:rPr>
          <w:rFonts w:ascii="Arial" w:eastAsia="Calibri" w:hAnsi="Arial" w:cs="Arial"/>
          <w:sz w:val="22"/>
        </w:rPr>
        <w:t>Cadena</w:t>
      </w:r>
      <w:r w:rsidR="00ED07D3" w:rsidRPr="005A1080">
        <w:rPr>
          <w:rFonts w:ascii="Arial" w:eastAsia="Calibri" w:hAnsi="Arial" w:cs="Arial"/>
          <w:sz w:val="22"/>
        </w:rPr>
        <w:t xml:space="preserve"> Lozano</w:t>
      </w:r>
      <w:r w:rsidR="00911388" w:rsidRPr="005A1080">
        <w:rPr>
          <w:rFonts w:ascii="Arial" w:eastAsia="Calibri" w:hAnsi="Arial" w:cs="Arial"/>
          <w:sz w:val="22"/>
        </w:rPr>
        <w:t>:</w:t>
      </w:r>
    </w:p>
    <w:p w14:paraId="6CEE3088" w14:textId="77777777" w:rsidR="00AF1718" w:rsidRPr="005A1080" w:rsidRDefault="00AF1718" w:rsidP="008B1764">
      <w:pPr>
        <w:spacing w:line="276" w:lineRule="auto"/>
        <w:rPr>
          <w:rFonts w:ascii="Arial" w:eastAsia="Calibri" w:hAnsi="Arial" w:cs="Arial"/>
          <w:sz w:val="22"/>
        </w:rPr>
      </w:pPr>
    </w:p>
    <w:p w14:paraId="1A0A2BD6" w14:textId="4AD3671A" w:rsidR="00AF1718" w:rsidRPr="005A1080" w:rsidRDefault="00AF1718" w:rsidP="008B1764">
      <w:pPr>
        <w:spacing w:line="276" w:lineRule="auto"/>
        <w:jc w:val="both"/>
        <w:rPr>
          <w:rFonts w:ascii="Arial" w:eastAsia="Calibri" w:hAnsi="Arial" w:cs="Arial"/>
          <w:sz w:val="22"/>
        </w:rPr>
      </w:pPr>
      <w:r w:rsidRPr="005A1080">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5A1080">
        <w:rPr>
          <w:rFonts w:ascii="Arial" w:eastAsia="Calibri" w:hAnsi="Arial" w:cs="Arial"/>
          <w:sz w:val="22"/>
        </w:rPr>
        <w:t>te responde su consulta</w:t>
      </w:r>
      <w:r w:rsidR="00D86BA5" w:rsidRPr="005A1080">
        <w:rPr>
          <w:rFonts w:ascii="Arial" w:eastAsia="Calibri" w:hAnsi="Arial" w:cs="Arial"/>
          <w:sz w:val="22"/>
        </w:rPr>
        <w:t xml:space="preserve"> del </w:t>
      </w:r>
      <w:r w:rsidR="00A40106" w:rsidRPr="005A1080">
        <w:rPr>
          <w:rFonts w:ascii="Arial" w:eastAsia="Calibri" w:hAnsi="Arial" w:cs="Arial"/>
          <w:sz w:val="22"/>
        </w:rPr>
        <w:t>2</w:t>
      </w:r>
      <w:r w:rsidR="00160D5E" w:rsidRPr="005A1080">
        <w:rPr>
          <w:rFonts w:ascii="Arial" w:eastAsia="Calibri" w:hAnsi="Arial" w:cs="Arial"/>
          <w:sz w:val="22"/>
        </w:rPr>
        <w:t xml:space="preserve"> de </w:t>
      </w:r>
      <w:r w:rsidR="00A40106" w:rsidRPr="005A1080">
        <w:rPr>
          <w:rFonts w:ascii="Arial" w:eastAsia="Calibri" w:hAnsi="Arial" w:cs="Arial"/>
          <w:sz w:val="22"/>
        </w:rPr>
        <w:t>mayo</w:t>
      </w:r>
      <w:r w:rsidR="00160D5E" w:rsidRPr="005A1080">
        <w:rPr>
          <w:rFonts w:ascii="Arial" w:eastAsia="Calibri" w:hAnsi="Arial" w:cs="Arial"/>
          <w:sz w:val="22"/>
        </w:rPr>
        <w:t xml:space="preserve"> </w:t>
      </w:r>
      <w:r w:rsidRPr="005A1080">
        <w:rPr>
          <w:rFonts w:ascii="Arial" w:eastAsia="Calibri" w:hAnsi="Arial" w:cs="Arial"/>
          <w:sz w:val="22"/>
        </w:rPr>
        <w:t>de 202</w:t>
      </w:r>
      <w:r w:rsidR="00A40106" w:rsidRPr="005A1080">
        <w:rPr>
          <w:rFonts w:ascii="Arial" w:eastAsia="Calibri" w:hAnsi="Arial" w:cs="Arial"/>
          <w:sz w:val="22"/>
        </w:rPr>
        <w:t>2</w:t>
      </w:r>
      <w:r w:rsidRPr="005A1080">
        <w:rPr>
          <w:rFonts w:ascii="Arial" w:eastAsia="Calibri" w:hAnsi="Arial" w:cs="Arial"/>
          <w:sz w:val="22"/>
        </w:rPr>
        <w:t>.</w:t>
      </w:r>
    </w:p>
    <w:p w14:paraId="0423D3E8" w14:textId="77777777" w:rsidR="00735EB6" w:rsidRPr="005A1080" w:rsidRDefault="00735EB6" w:rsidP="008B1764">
      <w:pPr>
        <w:spacing w:line="276" w:lineRule="auto"/>
        <w:jc w:val="both"/>
        <w:rPr>
          <w:rFonts w:ascii="Arial" w:eastAsia="Calibri" w:hAnsi="Arial" w:cs="Arial"/>
          <w:sz w:val="22"/>
        </w:rPr>
      </w:pPr>
    </w:p>
    <w:p w14:paraId="26CBCC38" w14:textId="36E3D83C" w:rsidR="00735EB6" w:rsidRPr="005A1080" w:rsidRDefault="00AF1718" w:rsidP="005C00F5">
      <w:pPr>
        <w:pStyle w:val="Prrafodelista"/>
        <w:tabs>
          <w:tab w:val="left" w:pos="284"/>
        </w:tabs>
        <w:spacing w:line="276" w:lineRule="auto"/>
        <w:ind w:left="0"/>
        <w:jc w:val="both"/>
        <w:rPr>
          <w:rFonts w:ascii="Arial" w:eastAsia="Calibri" w:hAnsi="Arial" w:cs="Arial"/>
          <w:b/>
          <w:sz w:val="22"/>
        </w:rPr>
      </w:pPr>
      <w:r w:rsidRPr="005A1080">
        <w:rPr>
          <w:rFonts w:ascii="Arial" w:eastAsia="Calibri" w:hAnsi="Arial" w:cs="Arial"/>
          <w:b/>
          <w:sz w:val="22"/>
        </w:rPr>
        <w:t>1. Problema planteado</w:t>
      </w:r>
      <w:r w:rsidR="00566674" w:rsidRPr="005A1080">
        <w:rPr>
          <w:rFonts w:ascii="Arial" w:eastAsia="Calibri" w:hAnsi="Arial" w:cs="Arial"/>
          <w:b/>
          <w:sz w:val="22"/>
        </w:rPr>
        <w:t>.</w:t>
      </w:r>
      <w:bookmarkStart w:id="4" w:name="_Hlk68679800"/>
    </w:p>
    <w:p w14:paraId="5DEB358F" w14:textId="5906838A" w:rsidR="005C00F5" w:rsidRPr="005A1080" w:rsidRDefault="005C00F5" w:rsidP="005C00F5">
      <w:pPr>
        <w:pStyle w:val="Prrafodelista"/>
        <w:tabs>
          <w:tab w:val="left" w:pos="284"/>
        </w:tabs>
        <w:spacing w:line="276" w:lineRule="auto"/>
        <w:ind w:left="0"/>
        <w:jc w:val="both"/>
        <w:rPr>
          <w:rFonts w:ascii="Arial" w:eastAsia="Calibri" w:hAnsi="Arial" w:cs="Arial"/>
          <w:sz w:val="22"/>
        </w:rPr>
      </w:pPr>
    </w:p>
    <w:p w14:paraId="44147357" w14:textId="77777777" w:rsidR="00A00EF4" w:rsidRPr="005A1080" w:rsidRDefault="00181FB8" w:rsidP="00B55F17">
      <w:pPr>
        <w:tabs>
          <w:tab w:val="left" w:pos="284"/>
        </w:tabs>
        <w:spacing w:line="276" w:lineRule="auto"/>
        <w:jc w:val="both"/>
        <w:rPr>
          <w:rFonts w:ascii="Arial" w:eastAsia="Calibri" w:hAnsi="Arial" w:cs="Arial"/>
          <w:sz w:val="22"/>
        </w:rPr>
      </w:pPr>
      <w:r w:rsidRPr="005A1080">
        <w:rPr>
          <w:rFonts w:ascii="Arial" w:eastAsia="Calibri" w:hAnsi="Arial" w:cs="Arial"/>
          <w:sz w:val="22"/>
        </w:rPr>
        <w:t xml:space="preserve">Usted realiza </w:t>
      </w:r>
      <w:r w:rsidR="007572F3" w:rsidRPr="005A1080">
        <w:rPr>
          <w:rFonts w:ascii="Arial" w:eastAsia="Calibri" w:hAnsi="Arial" w:cs="Arial"/>
          <w:sz w:val="22"/>
        </w:rPr>
        <w:t xml:space="preserve">consulta sobre la aplicabilidad </w:t>
      </w:r>
      <w:r w:rsidRPr="005A1080">
        <w:rPr>
          <w:rFonts w:ascii="Arial" w:eastAsia="Calibri" w:hAnsi="Arial" w:cs="Arial"/>
          <w:sz w:val="22"/>
        </w:rPr>
        <w:t>de la</w:t>
      </w:r>
      <w:r w:rsidR="007572F3" w:rsidRPr="005A1080">
        <w:rPr>
          <w:rFonts w:ascii="Arial" w:eastAsia="Calibri" w:hAnsi="Arial" w:cs="Arial"/>
          <w:sz w:val="22"/>
        </w:rPr>
        <w:t xml:space="preserve"> Ley de Garantías Electorales</w:t>
      </w:r>
      <w:r w:rsidRPr="005A1080">
        <w:rPr>
          <w:rFonts w:ascii="Arial" w:eastAsia="Calibri" w:hAnsi="Arial" w:cs="Arial"/>
          <w:sz w:val="22"/>
        </w:rPr>
        <w:t xml:space="preserve"> </w:t>
      </w:r>
      <w:r w:rsidR="00B55F17" w:rsidRPr="005A1080">
        <w:rPr>
          <w:rFonts w:ascii="Arial" w:eastAsia="Calibri" w:hAnsi="Arial" w:cs="Arial"/>
          <w:sz w:val="22"/>
        </w:rPr>
        <w:t xml:space="preserve">a las entidades que </w:t>
      </w:r>
      <w:r w:rsidR="00C07C76" w:rsidRPr="005A1080">
        <w:rPr>
          <w:rFonts w:ascii="Arial" w:eastAsia="Calibri" w:hAnsi="Arial" w:cs="Arial"/>
          <w:sz w:val="22"/>
        </w:rPr>
        <w:t xml:space="preserve">«[…] </w:t>
      </w:r>
      <w:r w:rsidR="00B55F17" w:rsidRPr="005A1080">
        <w:rPr>
          <w:rFonts w:ascii="Arial" w:eastAsia="Calibri" w:hAnsi="Arial" w:cs="Arial"/>
          <w:sz w:val="22"/>
        </w:rPr>
        <w:t>administran</w:t>
      </w:r>
      <w:r w:rsidRPr="005A1080">
        <w:rPr>
          <w:rFonts w:ascii="Arial" w:eastAsia="Calibri" w:hAnsi="Arial" w:cs="Arial"/>
          <w:sz w:val="22"/>
        </w:rPr>
        <w:t xml:space="preserve"> recursos </w:t>
      </w:r>
      <w:r w:rsidR="00B55F17" w:rsidRPr="005A1080">
        <w:rPr>
          <w:rFonts w:ascii="Arial" w:eastAsia="Calibri" w:hAnsi="Arial" w:cs="Arial"/>
          <w:sz w:val="22"/>
        </w:rPr>
        <w:t>con los que se</w:t>
      </w:r>
      <w:r w:rsidRPr="005A1080">
        <w:rPr>
          <w:rFonts w:ascii="Arial" w:eastAsia="Calibri" w:hAnsi="Arial" w:cs="Arial"/>
          <w:sz w:val="22"/>
        </w:rPr>
        <w:t xml:space="preserve"> financian los programas y proyectos destinados al</w:t>
      </w:r>
      <w:r w:rsidR="00B55F17" w:rsidRPr="005A1080">
        <w:rPr>
          <w:rFonts w:ascii="Arial" w:eastAsia="Calibri" w:hAnsi="Arial" w:cs="Arial"/>
          <w:sz w:val="22"/>
        </w:rPr>
        <w:t xml:space="preserve"> </w:t>
      </w:r>
      <w:r w:rsidRPr="005A1080">
        <w:rPr>
          <w:rFonts w:ascii="Arial" w:eastAsia="Calibri" w:hAnsi="Arial" w:cs="Arial"/>
          <w:sz w:val="22"/>
        </w:rPr>
        <w:t>cumplimiento de los compromisos que devienen del Acuerdo de Paz suscrito con</w:t>
      </w:r>
      <w:r w:rsidR="00B55F17" w:rsidRPr="005A1080">
        <w:rPr>
          <w:rFonts w:ascii="Arial" w:eastAsia="Calibri" w:hAnsi="Arial" w:cs="Arial"/>
          <w:sz w:val="22"/>
        </w:rPr>
        <w:t xml:space="preserve"> </w:t>
      </w:r>
      <w:r w:rsidRPr="005A1080">
        <w:rPr>
          <w:rFonts w:ascii="Arial" w:eastAsia="Calibri" w:hAnsi="Arial" w:cs="Arial"/>
          <w:sz w:val="22"/>
        </w:rPr>
        <w:t>las antiguas FARC-EP</w:t>
      </w:r>
      <w:r w:rsidR="00C07C76" w:rsidRPr="005A1080">
        <w:rPr>
          <w:rFonts w:ascii="Arial" w:eastAsia="Calibri" w:hAnsi="Arial" w:cs="Arial"/>
          <w:sz w:val="22"/>
        </w:rPr>
        <w:t>»</w:t>
      </w:r>
      <w:r w:rsidR="00B55F17" w:rsidRPr="005A1080">
        <w:rPr>
          <w:rFonts w:ascii="Arial" w:eastAsia="Calibri" w:hAnsi="Arial" w:cs="Arial"/>
          <w:sz w:val="22"/>
        </w:rPr>
        <w:t>.</w:t>
      </w:r>
      <w:r w:rsidR="00C07C76" w:rsidRPr="005A1080">
        <w:rPr>
          <w:rFonts w:ascii="Arial" w:eastAsia="Calibri" w:hAnsi="Arial" w:cs="Arial"/>
          <w:sz w:val="22"/>
        </w:rPr>
        <w:t xml:space="preserve"> Al respecto, tras de poner de presente</w:t>
      </w:r>
      <w:r w:rsidR="00A00EF4" w:rsidRPr="005A1080">
        <w:rPr>
          <w:rFonts w:ascii="Arial" w:eastAsia="Calibri" w:hAnsi="Arial" w:cs="Arial"/>
          <w:sz w:val="22"/>
        </w:rPr>
        <w:t xml:space="preserve"> el origen de los recursos de los</w:t>
      </w:r>
      <w:r w:rsidR="00C07C76" w:rsidRPr="005A1080">
        <w:rPr>
          <w:rFonts w:ascii="Arial" w:eastAsia="Calibri" w:hAnsi="Arial" w:cs="Arial"/>
          <w:sz w:val="22"/>
        </w:rPr>
        <w:t xml:space="preserve"> diferentes fondos y </w:t>
      </w:r>
      <w:r w:rsidR="00A00EF4" w:rsidRPr="005A1080">
        <w:rPr>
          <w:rFonts w:ascii="Arial" w:eastAsia="Calibri" w:hAnsi="Arial" w:cs="Arial"/>
          <w:sz w:val="22"/>
        </w:rPr>
        <w:t xml:space="preserve">fuentes de financiación, plantea los siguientes interrogantes: </w:t>
      </w:r>
    </w:p>
    <w:p w14:paraId="5930D445" w14:textId="26DE955A" w:rsidR="00181FB8" w:rsidRPr="005A1080" w:rsidRDefault="00B55F17" w:rsidP="00E664D3">
      <w:pPr>
        <w:tabs>
          <w:tab w:val="left" w:pos="284"/>
        </w:tabs>
        <w:jc w:val="both"/>
        <w:rPr>
          <w:rFonts w:ascii="Arial" w:eastAsia="Calibri" w:hAnsi="Arial" w:cs="Arial"/>
          <w:sz w:val="22"/>
        </w:rPr>
      </w:pPr>
      <w:r w:rsidRPr="005A1080">
        <w:rPr>
          <w:rFonts w:ascii="Arial" w:eastAsia="Calibri" w:hAnsi="Arial" w:cs="Arial"/>
          <w:sz w:val="22"/>
        </w:rPr>
        <w:t xml:space="preserve"> </w:t>
      </w:r>
    </w:p>
    <w:p w14:paraId="53FB45AD" w14:textId="529EC895" w:rsidR="00DD6809" w:rsidRPr="005A1080" w:rsidRDefault="00E664D3" w:rsidP="00E664D3">
      <w:pPr>
        <w:autoSpaceDE w:val="0"/>
        <w:autoSpaceDN w:val="0"/>
        <w:adjustRightInd w:val="0"/>
        <w:ind w:left="709" w:right="709"/>
        <w:jc w:val="both"/>
        <w:rPr>
          <w:rFonts w:ascii="Arial" w:hAnsi="Arial" w:cs="Arial"/>
          <w:sz w:val="21"/>
          <w:szCs w:val="21"/>
          <w:lang w:val="es-CO"/>
        </w:rPr>
      </w:pPr>
      <w:r w:rsidRPr="005A1080">
        <w:rPr>
          <w:rFonts w:ascii="Arial" w:eastAsia="Calibri" w:hAnsi="Arial" w:cs="Arial"/>
          <w:sz w:val="21"/>
          <w:szCs w:val="21"/>
        </w:rPr>
        <w:t>«</w:t>
      </w:r>
      <w:r w:rsidR="00DD6809" w:rsidRPr="005A1080">
        <w:rPr>
          <w:rFonts w:ascii="Arial" w:eastAsia="Calibri" w:hAnsi="Arial" w:cs="Arial"/>
          <w:sz w:val="21"/>
          <w:szCs w:val="21"/>
        </w:rPr>
        <w:t xml:space="preserve">1) </w:t>
      </w:r>
      <w:r w:rsidR="00DD6809" w:rsidRPr="005A1080">
        <w:rPr>
          <w:rFonts w:ascii="Arial" w:hAnsi="Arial" w:cs="Arial"/>
          <w:sz w:val="21"/>
          <w:szCs w:val="21"/>
          <w:lang w:val="es-CO"/>
        </w:rPr>
        <w:t>¿Cómo aplicaría la restricción a la contratación directa durante las elecciones</w:t>
      </w:r>
      <w:r w:rsidRPr="005A1080">
        <w:rPr>
          <w:rFonts w:ascii="Arial" w:hAnsi="Arial" w:cs="Arial"/>
          <w:sz w:val="21"/>
          <w:szCs w:val="21"/>
          <w:lang w:val="es-CO"/>
        </w:rPr>
        <w:t xml:space="preserve"> </w:t>
      </w:r>
      <w:r w:rsidR="00DD6809" w:rsidRPr="005A1080">
        <w:rPr>
          <w:rFonts w:ascii="Arial" w:hAnsi="Arial" w:cs="Arial"/>
          <w:sz w:val="21"/>
          <w:szCs w:val="21"/>
          <w:lang w:val="es-CO"/>
        </w:rPr>
        <w:t>parlamentarias y presidenciales de 2022, en la adquisición de bienes y</w:t>
      </w:r>
      <w:r w:rsidRPr="005A1080">
        <w:rPr>
          <w:rFonts w:ascii="Arial" w:hAnsi="Arial" w:cs="Arial"/>
          <w:sz w:val="21"/>
          <w:szCs w:val="21"/>
          <w:lang w:val="es-CO"/>
        </w:rPr>
        <w:t xml:space="preserve"> </w:t>
      </w:r>
      <w:r w:rsidR="00DD6809" w:rsidRPr="005A1080">
        <w:rPr>
          <w:rFonts w:ascii="Arial" w:hAnsi="Arial" w:cs="Arial"/>
          <w:sz w:val="21"/>
          <w:szCs w:val="21"/>
          <w:lang w:val="es-CO"/>
        </w:rPr>
        <w:t>servicios financiados con los recursos de las fuentes mencionadas en</w:t>
      </w:r>
      <w:r w:rsidRPr="005A1080">
        <w:rPr>
          <w:rFonts w:ascii="Arial" w:hAnsi="Arial" w:cs="Arial"/>
          <w:sz w:val="21"/>
          <w:szCs w:val="21"/>
          <w:lang w:val="es-CO"/>
        </w:rPr>
        <w:t xml:space="preserve"> </w:t>
      </w:r>
      <w:r w:rsidR="00DD6809" w:rsidRPr="005A1080">
        <w:rPr>
          <w:rFonts w:ascii="Arial" w:hAnsi="Arial" w:cs="Arial"/>
          <w:sz w:val="21"/>
          <w:szCs w:val="21"/>
          <w:lang w:val="es-CO"/>
        </w:rPr>
        <w:t xml:space="preserve">precedencia? Favor </w:t>
      </w:r>
      <w:r w:rsidR="00DD6809" w:rsidRPr="005A1080">
        <w:rPr>
          <w:rFonts w:ascii="Arial" w:hAnsi="Arial" w:cs="Arial"/>
          <w:sz w:val="21"/>
          <w:szCs w:val="21"/>
          <w:lang w:val="es-CO"/>
        </w:rPr>
        <w:lastRenderedPageBreak/>
        <w:t>emitir concepto frente a cada una de las fuentes de financiación enunciadas, desde la óptica de su naturaleza jurídica, así como</w:t>
      </w:r>
      <w:r w:rsidRPr="005A1080">
        <w:rPr>
          <w:rFonts w:ascii="Arial" w:hAnsi="Arial" w:cs="Arial"/>
          <w:sz w:val="21"/>
          <w:szCs w:val="21"/>
          <w:lang w:val="es-CO"/>
        </w:rPr>
        <w:t xml:space="preserve"> </w:t>
      </w:r>
      <w:r w:rsidR="00DD6809" w:rsidRPr="005A1080">
        <w:rPr>
          <w:rFonts w:ascii="Arial" w:hAnsi="Arial" w:cs="Arial"/>
          <w:sz w:val="21"/>
          <w:szCs w:val="21"/>
          <w:lang w:val="es-CO"/>
        </w:rPr>
        <w:t>de las entidades o empresas que los administran y ejecutan.</w:t>
      </w:r>
    </w:p>
    <w:p w14:paraId="52B2A7C0" w14:textId="77777777" w:rsidR="00DD6809" w:rsidRPr="005A1080" w:rsidRDefault="00DD6809" w:rsidP="00E664D3">
      <w:pPr>
        <w:tabs>
          <w:tab w:val="left" w:pos="284"/>
        </w:tabs>
        <w:spacing w:line="276" w:lineRule="auto"/>
        <w:ind w:left="709" w:right="709"/>
        <w:rPr>
          <w:rFonts w:ascii="Arial" w:hAnsi="Arial" w:cs="Arial"/>
          <w:sz w:val="21"/>
          <w:szCs w:val="21"/>
          <w:lang w:val="es-CO"/>
        </w:rPr>
      </w:pPr>
    </w:p>
    <w:p w14:paraId="2AF7B58A" w14:textId="601FBC5D" w:rsidR="00E664D3" w:rsidRPr="005A1080" w:rsidRDefault="00E664D3" w:rsidP="00E664D3">
      <w:pPr>
        <w:autoSpaceDE w:val="0"/>
        <w:autoSpaceDN w:val="0"/>
        <w:adjustRightInd w:val="0"/>
        <w:ind w:left="709" w:right="709"/>
        <w:jc w:val="both"/>
        <w:rPr>
          <w:rFonts w:ascii="Arial" w:hAnsi="Arial" w:cs="Arial"/>
          <w:sz w:val="21"/>
          <w:szCs w:val="21"/>
          <w:lang w:val="es-CO"/>
        </w:rPr>
      </w:pPr>
      <w:r w:rsidRPr="005A1080">
        <w:rPr>
          <w:rFonts w:ascii="Arial" w:hAnsi="Arial" w:cs="Arial"/>
          <w:sz w:val="21"/>
          <w:szCs w:val="21"/>
          <w:lang w:val="es-CO"/>
        </w:rPr>
        <w:t>2) En el caso del manejo y contratación de bienes y servicios con fondos de financiación internacional pública y/o privada, tales como el Fondo Colombia en Paz, que es administrado por la Fiduprevisora S.A. en una fiducia, ¿le son aplicables las restricciones a la contratación directa que contemplan el artículo 33 y el parágrafo del artículo 38 de la Ley 996 de 2005?</w:t>
      </w:r>
    </w:p>
    <w:p w14:paraId="5A347D25" w14:textId="77777777" w:rsidR="00E664D3" w:rsidRPr="005A1080" w:rsidRDefault="00E664D3" w:rsidP="00E664D3">
      <w:pPr>
        <w:autoSpaceDE w:val="0"/>
        <w:autoSpaceDN w:val="0"/>
        <w:adjustRightInd w:val="0"/>
        <w:ind w:left="709" w:right="709"/>
        <w:rPr>
          <w:rFonts w:ascii="Arial" w:hAnsi="Arial" w:cs="Arial"/>
          <w:sz w:val="21"/>
          <w:szCs w:val="21"/>
          <w:lang w:val="es-CO"/>
        </w:rPr>
      </w:pPr>
    </w:p>
    <w:p w14:paraId="189EBE05" w14:textId="52278ED1" w:rsidR="00B55F17" w:rsidRPr="005A1080" w:rsidRDefault="00E664D3" w:rsidP="00E664D3">
      <w:pPr>
        <w:autoSpaceDE w:val="0"/>
        <w:autoSpaceDN w:val="0"/>
        <w:adjustRightInd w:val="0"/>
        <w:ind w:left="709" w:right="709"/>
        <w:jc w:val="both"/>
        <w:rPr>
          <w:rFonts w:ascii="Arial" w:hAnsi="Arial" w:cs="Arial"/>
          <w:sz w:val="21"/>
          <w:szCs w:val="21"/>
          <w:lang w:val="es-CO"/>
        </w:rPr>
      </w:pPr>
      <w:r w:rsidRPr="005A1080">
        <w:rPr>
          <w:rFonts w:ascii="Arial" w:hAnsi="Arial" w:cs="Arial"/>
          <w:sz w:val="21"/>
          <w:szCs w:val="21"/>
          <w:lang w:val="es-CO"/>
        </w:rPr>
        <w:t>3) Teniendo en cuenta la naturaleza jurídica de los recursos provenientes de fondos multilaterales, que son privados, pero que son ejecutados por entidades del Estado colombiano, ¿estos están sometidos a la restricción a la contratación directa de la mencionada Ley 996 de 2005 y demás contenidas en las mencionadas normas?».</w:t>
      </w:r>
    </w:p>
    <w:bookmarkEnd w:id="4"/>
    <w:p w14:paraId="36F521E3" w14:textId="5D5872F0" w:rsidR="00735EB6" w:rsidRPr="005A1080" w:rsidRDefault="00735EB6" w:rsidP="008B1764">
      <w:pPr>
        <w:tabs>
          <w:tab w:val="left" w:pos="426"/>
        </w:tabs>
        <w:spacing w:line="276" w:lineRule="auto"/>
        <w:jc w:val="both"/>
        <w:rPr>
          <w:rFonts w:ascii="Arial" w:eastAsia="Calibri" w:hAnsi="Arial" w:cs="Arial"/>
          <w:sz w:val="22"/>
          <w:lang w:val="es-ES_tradnl"/>
        </w:rPr>
      </w:pPr>
    </w:p>
    <w:p w14:paraId="788532E3" w14:textId="631C8E8A" w:rsidR="0071707F" w:rsidRPr="005A1080" w:rsidRDefault="00E7138C" w:rsidP="008B1764">
      <w:pPr>
        <w:tabs>
          <w:tab w:val="left" w:pos="426"/>
        </w:tabs>
        <w:spacing w:line="276" w:lineRule="auto"/>
        <w:jc w:val="both"/>
        <w:rPr>
          <w:rFonts w:ascii="Arial" w:eastAsia="Calibri" w:hAnsi="Arial" w:cs="Arial"/>
          <w:b/>
          <w:sz w:val="22"/>
        </w:rPr>
      </w:pPr>
      <w:r w:rsidRPr="005A1080">
        <w:rPr>
          <w:rFonts w:ascii="Arial" w:eastAsia="Calibri" w:hAnsi="Arial" w:cs="Arial"/>
          <w:b/>
          <w:sz w:val="22"/>
        </w:rPr>
        <w:t>2. Consideraciones</w:t>
      </w:r>
      <w:r w:rsidR="005D0519" w:rsidRPr="005A1080">
        <w:rPr>
          <w:rFonts w:ascii="Arial" w:eastAsia="Calibri" w:hAnsi="Arial" w:cs="Arial"/>
          <w:b/>
          <w:sz w:val="22"/>
        </w:rPr>
        <w:t xml:space="preserve"> </w:t>
      </w:r>
    </w:p>
    <w:p w14:paraId="5ED3373F" w14:textId="77777777" w:rsidR="005E55D7" w:rsidRPr="005A1080" w:rsidRDefault="005E55D7" w:rsidP="00762D36">
      <w:pPr>
        <w:tabs>
          <w:tab w:val="left" w:pos="426"/>
        </w:tabs>
        <w:jc w:val="both"/>
        <w:rPr>
          <w:rFonts w:ascii="Arial" w:eastAsia="Calibri" w:hAnsi="Arial" w:cs="Arial"/>
          <w:b/>
          <w:sz w:val="22"/>
        </w:rPr>
      </w:pPr>
    </w:p>
    <w:p w14:paraId="16E566D1" w14:textId="631D91C2" w:rsidR="006E09EE" w:rsidRPr="005A1080" w:rsidRDefault="006E09EE" w:rsidP="00290ACC">
      <w:pPr>
        <w:spacing w:after="120" w:line="276" w:lineRule="auto"/>
        <w:jc w:val="both"/>
        <w:rPr>
          <w:rFonts w:ascii="Arial" w:hAnsi="Arial" w:cs="Arial"/>
          <w:bCs/>
          <w:sz w:val="22"/>
        </w:rPr>
      </w:pPr>
      <w:r w:rsidRPr="005A1080">
        <w:rPr>
          <w:rFonts w:ascii="Arial" w:hAnsi="Arial" w:cs="Arial"/>
          <w:bCs/>
          <w:sz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5A1080">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5A1080">
        <w:rPr>
          <w:rFonts w:ascii="Arial" w:hAnsi="Arial" w:cs="Arial"/>
          <w:bCs/>
          <w:sz w:val="22"/>
        </w:rPr>
        <w:t xml:space="preserve"> de todos los partícipes de la contratación estatal.</w:t>
      </w:r>
    </w:p>
    <w:p w14:paraId="334479CC" w14:textId="1487C994" w:rsidR="00DB3F93" w:rsidRPr="005A1080" w:rsidRDefault="006E09EE" w:rsidP="00BF0199">
      <w:pPr>
        <w:spacing w:after="120" w:line="276" w:lineRule="auto"/>
        <w:ind w:firstLine="708"/>
        <w:jc w:val="both"/>
        <w:rPr>
          <w:rFonts w:ascii="Arial" w:hAnsi="Arial" w:cs="Arial"/>
          <w:sz w:val="22"/>
          <w:lang w:val="es-ES"/>
        </w:rPr>
      </w:pPr>
      <w:r w:rsidRPr="005A1080">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A1080">
        <w:rPr>
          <w:rFonts w:ascii="Arial" w:hAnsi="Arial" w:cs="Arial"/>
          <w:sz w:val="22"/>
          <w:vertAlign w:val="superscript"/>
          <w:lang w:val="es-ES"/>
        </w:rPr>
        <w:footnoteReference w:id="2"/>
      </w:r>
      <w:r w:rsidRPr="005A1080">
        <w:rPr>
          <w:rFonts w:ascii="Arial" w:hAnsi="Arial" w:cs="Arial"/>
          <w:sz w:val="22"/>
          <w:lang w:val="es-ES"/>
        </w:rPr>
        <w:t>. Esta competencia de interpretación de normas generales, por definición, no puede extenderse a la resolución de controversias, ni a brindar asesorías sobre casos puntuales</w:t>
      </w:r>
      <w:r w:rsidR="00182CE2" w:rsidRPr="005A1080">
        <w:rPr>
          <w:rFonts w:ascii="Arial" w:hAnsi="Arial" w:cs="Arial"/>
          <w:sz w:val="22"/>
          <w:lang w:val="es-ES"/>
        </w:rPr>
        <w:t>,</w:t>
      </w:r>
      <w:r w:rsidR="00FF56CB" w:rsidRPr="005A1080">
        <w:rPr>
          <w:rFonts w:ascii="Arial" w:hAnsi="Arial" w:cs="Arial"/>
          <w:sz w:val="22"/>
          <w:lang w:val="es-ES"/>
        </w:rPr>
        <w:t xml:space="preserve"> </w:t>
      </w:r>
      <w:r w:rsidR="00E6305F" w:rsidRPr="005A1080">
        <w:rPr>
          <w:rFonts w:ascii="Arial" w:hAnsi="Arial" w:cs="Arial"/>
          <w:sz w:val="22"/>
          <w:lang w:val="es-ES"/>
        </w:rPr>
        <w:t xml:space="preserve">emitir juicios de valor sobre </w:t>
      </w:r>
      <w:r w:rsidR="00FF56CB" w:rsidRPr="005A1080">
        <w:rPr>
          <w:rFonts w:ascii="Arial" w:hAnsi="Arial" w:cs="Arial"/>
          <w:sz w:val="22"/>
          <w:lang w:val="es-ES"/>
        </w:rPr>
        <w:t>aplicación de</w:t>
      </w:r>
      <w:r w:rsidR="00E6305F" w:rsidRPr="005A1080">
        <w:rPr>
          <w:rFonts w:ascii="Arial" w:hAnsi="Arial" w:cs="Arial"/>
          <w:sz w:val="22"/>
          <w:lang w:val="es-ES"/>
        </w:rPr>
        <w:t xml:space="preserve"> normas en procesos contractuales</w:t>
      </w:r>
      <w:r w:rsidR="00182CE2" w:rsidRPr="005A1080">
        <w:rPr>
          <w:rFonts w:ascii="Arial" w:hAnsi="Arial" w:cs="Arial"/>
          <w:sz w:val="22"/>
          <w:lang w:val="es-ES"/>
        </w:rPr>
        <w:t xml:space="preserve"> o pronunciarse sobre </w:t>
      </w:r>
      <w:r w:rsidR="007502C9" w:rsidRPr="005A1080">
        <w:rPr>
          <w:rFonts w:ascii="Arial" w:hAnsi="Arial" w:cs="Arial"/>
          <w:sz w:val="22"/>
          <w:lang w:val="es-ES"/>
        </w:rPr>
        <w:t>cuestiones presupuestales</w:t>
      </w:r>
      <w:r w:rsidRPr="005A1080">
        <w:rPr>
          <w:rFonts w:ascii="Arial" w:hAnsi="Arial" w:cs="Arial"/>
          <w:sz w:val="22"/>
          <w:lang w:val="es-ES"/>
        </w:rPr>
        <w:t xml:space="preserve">. Por lo anterior, previo concepto de sus órganos asesores, la </w:t>
      </w:r>
      <w:r w:rsidRPr="005A1080">
        <w:rPr>
          <w:rFonts w:ascii="Arial" w:hAnsi="Arial" w:cs="Arial"/>
          <w:sz w:val="22"/>
          <w:lang w:val="es-ES"/>
        </w:rPr>
        <w:lastRenderedPageBreak/>
        <w:t>solución de estos temas corresponde a la entidad que adelanta el procedimiento de selección y, en caso de conflicto, a las autoridades judiciales, fiscales y disciplinarias</w:t>
      </w:r>
      <w:r w:rsidR="007502C9" w:rsidRPr="005A1080">
        <w:rPr>
          <w:rFonts w:ascii="Arial" w:hAnsi="Arial" w:cs="Arial"/>
          <w:sz w:val="22"/>
          <w:lang w:val="es-ES"/>
        </w:rPr>
        <w:t>.</w:t>
      </w:r>
      <w:r w:rsidR="00BF0199" w:rsidRPr="005A1080">
        <w:rPr>
          <w:rFonts w:ascii="Arial" w:hAnsi="Arial" w:cs="Arial"/>
          <w:sz w:val="22"/>
          <w:lang w:val="es-ES"/>
        </w:rPr>
        <w:t xml:space="preserve"> De esta manera, le corresponderá a cada entidad definir la viabilidad técnica, jurídica y financiera de celebrar determinado contrato estatal en específico.</w:t>
      </w:r>
      <w:r w:rsidR="007502C9" w:rsidRPr="005A1080">
        <w:rPr>
          <w:rFonts w:ascii="Arial" w:hAnsi="Arial" w:cs="Arial"/>
          <w:sz w:val="22"/>
          <w:lang w:val="es-ES"/>
        </w:rPr>
        <w:t xml:space="preserve"> </w:t>
      </w:r>
      <w:r w:rsidRPr="005A1080">
        <w:rPr>
          <w:rFonts w:ascii="Arial" w:hAnsi="Arial" w:cs="Arial"/>
          <w:sz w:val="22"/>
          <w:lang w:val="es-ES"/>
        </w:rPr>
        <w:t xml:space="preserve"> </w:t>
      </w:r>
    </w:p>
    <w:p w14:paraId="7309DA15" w14:textId="40DD424D" w:rsidR="00000513" w:rsidRPr="005A1080" w:rsidRDefault="006E09EE" w:rsidP="00290ACC">
      <w:pPr>
        <w:spacing w:after="120" w:line="276" w:lineRule="auto"/>
        <w:ind w:firstLine="708"/>
        <w:jc w:val="both"/>
        <w:rPr>
          <w:rFonts w:ascii="Arial" w:eastAsia="Calibri" w:hAnsi="Arial" w:cs="Arial"/>
          <w:sz w:val="22"/>
          <w:lang w:val="es-ES"/>
        </w:rPr>
      </w:pPr>
      <w:r w:rsidRPr="005A1080">
        <w:rPr>
          <w:rFonts w:ascii="Arial" w:eastAsia="Calibri" w:hAnsi="Arial" w:cs="Arial"/>
          <w:sz w:val="22"/>
        </w:rPr>
        <w:t xml:space="preserve">En todo caso, </w:t>
      </w:r>
      <w:r w:rsidRPr="005A1080">
        <w:rPr>
          <w:rFonts w:ascii="Arial" w:eastAsia="Calibri" w:hAnsi="Arial" w:cs="Arial"/>
          <w:sz w:val="22"/>
          <w:lang w:val="es-ES"/>
        </w:rPr>
        <w:t>la Subdirección</w:t>
      </w:r>
      <w:r w:rsidR="00834FAA" w:rsidRPr="005A1080">
        <w:rPr>
          <w:rFonts w:ascii="Arial" w:eastAsia="Calibri" w:hAnsi="Arial" w:cs="Arial"/>
          <w:sz w:val="22"/>
          <w:lang w:val="es-ES"/>
        </w:rPr>
        <w:t xml:space="preserve">, </w:t>
      </w:r>
      <w:r w:rsidR="00DC4F38" w:rsidRPr="005A1080">
        <w:rPr>
          <w:rFonts w:ascii="Arial" w:eastAsia="Calibri" w:hAnsi="Arial" w:cs="Arial"/>
          <w:sz w:val="22"/>
          <w:lang w:val="es-ES"/>
        </w:rPr>
        <w:t xml:space="preserve">dentro de los límites de sus atribuciones, </w:t>
      </w:r>
      <w:r w:rsidRPr="005A1080">
        <w:rPr>
          <w:rFonts w:ascii="Arial" w:eastAsia="Calibri" w:hAnsi="Arial" w:cs="Arial"/>
          <w:sz w:val="22"/>
          <w:lang w:val="es-ES"/>
        </w:rPr>
        <w:t>resolverá la consulta conforme a las normas generales en materia de contratación estatal</w:t>
      </w:r>
      <w:r w:rsidR="007502C9" w:rsidRPr="005A1080">
        <w:rPr>
          <w:rFonts w:ascii="Arial" w:eastAsia="Calibri" w:hAnsi="Arial" w:cs="Arial"/>
          <w:sz w:val="22"/>
          <w:lang w:val="es-ES"/>
        </w:rPr>
        <w:t xml:space="preserve"> que resulta</w:t>
      </w:r>
      <w:r w:rsidR="00762D36" w:rsidRPr="005A1080">
        <w:rPr>
          <w:rFonts w:ascii="Arial" w:eastAsia="Calibri" w:hAnsi="Arial" w:cs="Arial"/>
          <w:sz w:val="22"/>
          <w:lang w:val="es-ES"/>
        </w:rPr>
        <w:t>n</w:t>
      </w:r>
      <w:r w:rsidR="007502C9" w:rsidRPr="005A1080">
        <w:rPr>
          <w:rFonts w:ascii="Arial" w:eastAsia="Calibri" w:hAnsi="Arial" w:cs="Arial"/>
          <w:sz w:val="22"/>
          <w:lang w:val="es-ES"/>
        </w:rPr>
        <w:t xml:space="preserve"> relevantes</w:t>
      </w:r>
      <w:r w:rsidR="00616606" w:rsidRPr="005A1080">
        <w:rPr>
          <w:rFonts w:ascii="Arial" w:eastAsia="Calibri" w:hAnsi="Arial" w:cs="Arial"/>
          <w:sz w:val="22"/>
          <w:lang w:val="es-ES"/>
        </w:rPr>
        <w:t>.</w:t>
      </w:r>
      <w:r w:rsidR="00DB3F93" w:rsidRPr="005A1080">
        <w:rPr>
          <w:rFonts w:ascii="Arial" w:eastAsia="Calibri" w:hAnsi="Arial" w:cs="Arial"/>
          <w:sz w:val="22"/>
          <w:lang w:val="es-ES"/>
        </w:rPr>
        <w:t xml:space="preserve"> Con este objetivo se analizarán los siguientes temas:</w:t>
      </w:r>
      <w:r w:rsidR="00DB3F93" w:rsidRPr="005A1080">
        <w:rPr>
          <w:rFonts w:ascii="Arial" w:eastAsia="Calibri" w:hAnsi="Arial" w:cs="Arial"/>
          <w:bCs/>
          <w:sz w:val="22"/>
        </w:rPr>
        <w:t xml:space="preserve"> i) definición y finalidad de la Ley de Garantías Electorales, ii) restricciones para elecciones presidenciales, iii) destinatarios de la prohibición del artículo 33 de la Ley 996 de 2005.</w:t>
      </w:r>
    </w:p>
    <w:p w14:paraId="67427C34" w14:textId="099B3677" w:rsidR="00000513" w:rsidRPr="005A1080" w:rsidRDefault="00172A28" w:rsidP="004F785C">
      <w:pPr>
        <w:spacing w:before="120" w:line="276" w:lineRule="auto"/>
        <w:ind w:firstLine="709"/>
        <w:jc w:val="both"/>
        <w:rPr>
          <w:rFonts w:ascii="Arial" w:hAnsi="Arial" w:cs="Arial"/>
          <w:sz w:val="22"/>
          <w:lang w:val="es-ES_tradnl"/>
        </w:rPr>
      </w:pPr>
      <w:r w:rsidRPr="005A1080">
        <w:rPr>
          <w:rFonts w:ascii="Arial" w:eastAsia="Calibri" w:hAnsi="Arial" w:cs="Arial"/>
          <w:sz w:val="22"/>
          <w:lang w:val="es-ES_tradnl"/>
        </w:rPr>
        <w:t xml:space="preserve">Esta Agencia </w:t>
      </w:r>
      <w:r w:rsidRPr="005A1080">
        <w:rPr>
          <w:rFonts w:ascii="Arial" w:hAnsi="Arial" w:cs="Arial"/>
          <w:sz w:val="22"/>
          <w:shd w:val="clear" w:color="auto" w:fill="FFFFFF"/>
        </w:rPr>
        <w:t>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C-674 del 6 de diciembre de 2021, C-695 del 22 de diciembre de 2021,  C-723 del 28 de diciembre de 2021, C-726 de 24 de enero de 2022, C-037 de 21 de enero de 2022 y C-216 del 9 de marzo de 2022</w:t>
      </w:r>
      <w:r w:rsidRPr="005A1080">
        <w:rPr>
          <w:rStyle w:val="Refdenotaalpie"/>
          <w:rFonts w:ascii="Arial" w:eastAsia="Calibri" w:hAnsi="Arial" w:cs="Arial"/>
          <w:sz w:val="22"/>
        </w:rPr>
        <w:footnoteReference w:id="3"/>
      </w:r>
      <w:r w:rsidRPr="005A1080">
        <w:rPr>
          <w:rFonts w:ascii="Arial" w:eastAsia="Calibri" w:hAnsi="Arial" w:cs="Arial"/>
          <w:sz w:val="22"/>
          <w:lang w:val="es-ES_tradnl"/>
        </w:rPr>
        <w:t xml:space="preserve">. </w:t>
      </w:r>
      <w:r w:rsidR="00000513" w:rsidRPr="005A1080">
        <w:rPr>
          <w:rFonts w:ascii="Arial" w:hAnsi="Arial" w:cs="Arial"/>
          <w:sz w:val="22"/>
          <w:lang w:val="es-ES_tradnl"/>
        </w:rPr>
        <w:t xml:space="preserve">Las tesis propuestas en estos conceptos se reiteran a continuación y se complementa en lo </w:t>
      </w:r>
      <w:r w:rsidR="004224C1" w:rsidRPr="005A1080">
        <w:rPr>
          <w:rFonts w:ascii="Arial" w:hAnsi="Arial" w:cs="Arial"/>
          <w:sz w:val="22"/>
          <w:lang w:val="es-ES_tradnl"/>
        </w:rPr>
        <w:t>pertinente</w:t>
      </w:r>
      <w:r w:rsidR="00000513" w:rsidRPr="005A1080">
        <w:rPr>
          <w:rFonts w:ascii="Arial" w:hAnsi="Arial" w:cs="Arial"/>
          <w:sz w:val="22"/>
          <w:lang w:val="es-ES_tradnl"/>
        </w:rPr>
        <w:t xml:space="preserve">: </w:t>
      </w:r>
    </w:p>
    <w:p w14:paraId="56A07F0F" w14:textId="77777777" w:rsidR="00BD7D0D" w:rsidRPr="005A1080" w:rsidRDefault="00BD7D0D" w:rsidP="00BD7D0D">
      <w:pPr>
        <w:pStyle w:val="Sinespaciado"/>
        <w:rPr>
          <w:lang w:val="es-ES_tradnl"/>
        </w:rPr>
      </w:pPr>
    </w:p>
    <w:p w14:paraId="7EE97CD8" w14:textId="70E1B604" w:rsidR="001A23E4" w:rsidRPr="005A1080" w:rsidRDefault="001A23E4" w:rsidP="001A23E4">
      <w:pPr>
        <w:tabs>
          <w:tab w:val="left" w:pos="426"/>
        </w:tabs>
        <w:spacing w:line="276" w:lineRule="auto"/>
        <w:jc w:val="both"/>
        <w:rPr>
          <w:rFonts w:ascii="Arial" w:eastAsia="Calibri" w:hAnsi="Arial" w:cs="Arial"/>
          <w:b/>
          <w:bCs/>
          <w:sz w:val="22"/>
        </w:rPr>
      </w:pPr>
      <w:r w:rsidRPr="005A1080">
        <w:rPr>
          <w:rFonts w:ascii="Arial" w:eastAsia="Calibri" w:hAnsi="Arial" w:cs="Arial"/>
          <w:b/>
          <w:bCs/>
          <w:sz w:val="22"/>
        </w:rPr>
        <w:t>2.</w:t>
      </w:r>
      <w:r w:rsidR="0020256B" w:rsidRPr="005A1080">
        <w:rPr>
          <w:rFonts w:ascii="Arial" w:eastAsia="Calibri" w:hAnsi="Arial" w:cs="Arial"/>
          <w:b/>
          <w:bCs/>
          <w:sz w:val="22"/>
        </w:rPr>
        <w:t>1</w:t>
      </w:r>
      <w:r w:rsidRPr="005A1080">
        <w:rPr>
          <w:rFonts w:ascii="Arial" w:eastAsia="Calibri" w:hAnsi="Arial" w:cs="Arial"/>
          <w:b/>
          <w:bCs/>
          <w:sz w:val="22"/>
        </w:rPr>
        <w:t>. Definición y finalidad de la Ley de Garantías Electorales: alcance de las restricciones</w:t>
      </w:r>
    </w:p>
    <w:p w14:paraId="5E675697" w14:textId="77777777" w:rsidR="001A23E4" w:rsidRPr="005A1080" w:rsidRDefault="001A23E4" w:rsidP="001A23E4">
      <w:pPr>
        <w:tabs>
          <w:tab w:val="left" w:pos="426"/>
        </w:tabs>
        <w:spacing w:line="276" w:lineRule="auto"/>
        <w:ind w:firstLine="709"/>
        <w:jc w:val="both"/>
        <w:rPr>
          <w:rFonts w:ascii="Arial" w:eastAsia="Calibri" w:hAnsi="Arial" w:cs="Arial"/>
          <w:bCs/>
          <w:sz w:val="22"/>
        </w:rPr>
      </w:pPr>
    </w:p>
    <w:p w14:paraId="1B3541D8" w14:textId="77777777" w:rsidR="000C0CDD" w:rsidRPr="005A1080" w:rsidRDefault="000C0CDD" w:rsidP="000C0CDD">
      <w:pPr>
        <w:tabs>
          <w:tab w:val="left" w:pos="426"/>
        </w:tabs>
        <w:spacing w:after="120" w:line="276" w:lineRule="auto"/>
        <w:jc w:val="both"/>
        <w:rPr>
          <w:rFonts w:ascii="Arial" w:eastAsia="Times New Roman" w:hAnsi="Arial" w:cs="Arial"/>
          <w:bCs/>
          <w:sz w:val="22"/>
          <w:lang w:eastAsia="es-CO"/>
        </w:rPr>
      </w:pPr>
      <w:r w:rsidRPr="005A1080">
        <w:rPr>
          <w:rFonts w:ascii="Arial" w:eastAsia="Calibri" w:hAnsi="Arial" w:cs="Arial"/>
          <w:bCs/>
          <w:sz w:val="22"/>
        </w:rPr>
        <w:t>El ordenamiento jurídico colombiano contempla previsiones claras para evitar la obtención de beneficios personales en asuntos propios de la administración pública</w:t>
      </w:r>
      <w:r w:rsidRPr="005A1080">
        <w:rPr>
          <w:rFonts w:ascii="Arial" w:eastAsia="Calibri" w:hAnsi="Arial" w:cs="Arial"/>
          <w:bCs/>
          <w:i/>
          <w:iCs/>
          <w:sz w:val="22"/>
        </w:rPr>
        <w:t xml:space="preserve">. </w:t>
      </w:r>
      <w:r w:rsidRPr="005A1080">
        <w:rPr>
          <w:rFonts w:ascii="Arial" w:eastAsia="Calibri" w:hAnsi="Arial" w:cs="Arial"/>
          <w:bCs/>
          <w:sz w:val="22"/>
        </w:rPr>
        <w:t xml:space="preserve">Por ejemplo, el </w:t>
      </w:r>
      <w:r w:rsidRPr="005A1080">
        <w:rPr>
          <w:rFonts w:ascii="Arial" w:eastAsia="Calibri" w:hAnsi="Arial" w:cs="Arial"/>
          <w:bCs/>
          <w:sz w:val="22"/>
        </w:rPr>
        <w:lastRenderedPageBreak/>
        <w:t>artículo 127 de la Constitución Política establece una prohibición contractual a los servidores públicos y en cuanto a aspectos políticos consagra restricciones a ciertos empleados del Estado, incluso en época no electoral</w:t>
      </w:r>
      <w:r w:rsidRPr="005A1080">
        <w:rPr>
          <w:rFonts w:ascii="Arial" w:eastAsia="Calibri" w:hAnsi="Arial" w:cs="Arial"/>
          <w:bCs/>
          <w:sz w:val="22"/>
          <w:vertAlign w:val="superscript"/>
        </w:rPr>
        <w:footnoteReference w:id="4"/>
      </w:r>
      <w:r w:rsidRPr="005A1080">
        <w:rPr>
          <w:rFonts w:ascii="Arial" w:eastAsia="Calibri" w:hAnsi="Arial" w:cs="Arial"/>
          <w:bCs/>
          <w:sz w:val="22"/>
        </w:rPr>
        <w:t xml:space="preserve">. </w:t>
      </w:r>
    </w:p>
    <w:p w14:paraId="652BC2F3" w14:textId="77777777" w:rsidR="000C0CDD" w:rsidRPr="005A1080" w:rsidRDefault="000C0CDD" w:rsidP="000C0CDD">
      <w:pPr>
        <w:tabs>
          <w:tab w:val="left" w:pos="426"/>
        </w:tabs>
        <w:spacing w:line="276" w:lineRule="auto"/>
        <w:ind w:firstLine="709"/>
        <w:jc w:val="both"/>
        <w:rPr>
          <w:rFonts w:ascii="Arial" w:eastAsia="Times New Roman" w:hAnsi="Arial" w:cs="Arial"/>
          <w:bCs/>
          <w:sz w:val="22"/>
          <w:lang w:eastAsia="es-CO"/>
        </w:rPr>
      </w:pPr>
      <w:r w:rsidRPr="005A1080">
        <w:rPr>
          <w:rFonts w:ascii="Arial" w:eastAsia="Times New Roman" w:hAnsi="Arial" w:cs="Arial"/>
          <w:bCs/>
          <w:sz w:val="22"/>
          <w:lang w:eastAsia="es-CO"/>
        </w:rPr>
        <w:t xml:space="preserve">En el mismo sentido, </w:t>
      </w:r>
      <w:bookmarkStart w:id="5" w:name="_Hlk99576829"/>
      <w:r w:rsidRPr="005A1080">
        <w:rPr>
          <w:rFonts w:ascii="Arial" w:eastAsia="Times New Roman" w:hAnsi="Arial" w:cs="Arial"/>
          <w:bCs/>
          <w:sz w:val="22"/>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A1080">
        <w:rPr>
          <w:rFonts w:ascii="Arial" w:eastAsia="Times New Roman" w:hAnsi="Arial" w:cs="Arial"/>
          <w:bCs/>
          <w:sz w:val="22"/>
          <w:vertAlign w:val="superscript"/>
          <w:lang w:eastAsia="es-CO"/>
        </w:rPr>
        <w:footnoteReference w:id="5"/>
      </w:r>
      <w:r w:rsidRPr="005A1080">
        <w:rPr>
          <w:rFonts w:ascii="Arial" w:eastAsia="Times New Roman"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5A1080">
        <w:rPr>
          <w:rFonts w:ascii="Arial" w:eastAsia="Calibri" w:hAnsi="Arial" w:cs="Arial"/>
          <w:noProof/>
          <w:sz w:val="22"/>
          <w:lang w:val="es-ES_tradnl"/>
        </w:rPr>
        <w:t xml:space="preserve"> </w:t>
      </w:r>
      <w:bookmarkEnd w:id="5"/>
      <w:r w:rsidRPr="005A1080">
        <w:rPr>
          <w:rFonts w:ascii="Arial" w:eastAsia="Times New Roman" w:hAnsi="Arial" w:cs="Arial"/>
          <w:bCs/>
          <w:sz w:val="22"/>
          <w:lang w:eastAsia="es-CO"/>
        </w:rPr>
        <w:t>En armonía con lo anterior, la Corte Constitucional ha abordado la definición de la Ley de Garantías Electorales. De esta manera, explica que tiene como propósito:</w:t>
      </w:r>
    </w:p>
    <w:p w14:paraId="5AE2C90E" w14:textId="77777777" w:rsidR="000C0CDD" w:rsidRPr="005A1080" w:rsidRDefault="000C0CDD" w:rsidP="000C0CDD">
      <w:pPr>
        <w:spacing w:line="276" w:lineRule="auto"/>
        <w:ind w:right="709"/>
        <w:contextualSpacing/>
        <w:jc w:val="both"/>
        <w:rPr>
          <w:rFonts w:ascii="Arial" w:eastAsia="Times New Roman" w:hAnsi="Arial" w:cs="Arial"/>
          <w:sz w:val="22"/>
          <w:lang w:val="es-ES" w:eastAsia="es-CO"/>
        </w:rPr>
      </w:pPr>
    </w:p>
    <w:p w14:paraId="6AC25C77" w14:textId="03456CF4" w:rsidR="000C0CDD" w:rsidRPr="005A1080" w:rsidRDefault="000C0CDD" w:rsidP="000C0CDD">
      <w:pPr>
        <w:ind w:left="709" w:right="709"/>
        <w:contextualSpacing/>
        <w:jc w:val="both"/>
        <w:rPr>
          <w:rFonts w:ascii="Arial" w:eastAsia="Times New Roman" w:hAnsi="Arial" w:cs="Arial"/>
          <w:bCs/>
          <w:sz w:val="21"/>
          <w:szCs w:val="21"/>
          <w:lang w:eastAsia="es-CO"/>
        </w:rPr>
      </w:pPr>
      <w:r w:rsidRPr="005A1080">
        <w:rPr>
          <w:rFonts w:ascii="Arial" w:eastAsia="Times New Roman" w:hAnsi="Arial" w:cs="Arial"/>
          <w:sz w:val="21"/>
          <w:szCs w:val="21"/>
          <w:lang w:val="es-ES" w:eastAsia="es-CO"/>
        </w:rPr>
        <w:t xml:space="preserve">[…] </w:t>
      </w:r>
      <w:r w:rsidRPr="005A1080">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3D621FCA" w14:textId="77777777" w:rsidR="000C0CDD" w:rsidRPr="005A1080" w:rsidRDefault="000C0CDD" w:rsidP="000C0CDD">
      <w:pPr>
        <w:ind w:left="709" w:right="709"/>
        <w:contextualSpacing/>
        <w:jc w:val="both"/>
        <w:rPr>
          <w:rFonts w:ascii="Arial" w:eastAsia="Times New Roman" w:hAnsi="Arial" w:cs="Arial"/>
          <w:bCs/>
          <w:sz w:val="21"/>
          <w:szCs w:val="21"/>
          <w:lang w:eastAsia="es-CO"/>
        </w:rPr>
      </w:pPr>
      <w:r w:rsidRPr="005A1080">
        <w:rPr>
          <w:rFonts w:ascii="Arial" w:eastAsia="Times New Roman" w:hAnsi="Arial" w:cs="Arial"/>
          <w:bCs/>
          <w:sz w:val="21"/>
          <w:szCs w:val="21"/>
          <w:lang w:eastAsia="es-CO"/>
        </w:rPr>
        <w:t xml:space="preserve">[…] </w:t>
      </w:r>
    </w:p>
    <w:p w14:paraId="786A6B0F" w14:textId="77777777" w:rsidR="000C0CDD" w:rsidRPr="005A1080" w:rsidRDefault="000C0CDD" w:rsidP="005A1080">
      <w:pPr>
        <w:ind w:right="709"/>
        <w:contextualSpacing/>
        <w:jc w:val="both"/>
        <w:rPr>
          <w:rFonts w:ascii="Arial" w:eastAsia="Times New Roman" w:hAnsi="Arial" w:cs="Arial"/>
          <w:bCs/>
          <w:sz w:val="21"/>
          <w:szCs w:val="21"/>
          <w:lang w:eastAsia="es-CO"/>
        </w:rPr>
      </w:pPr>
    </w:p>
    <w:p w14:paraId="259A271F" w14:textId="77777777" w:rsidR="000C0CDD" w:rsidRPr="005A1080" w:rsidRDefault="000C0CDD" w:rsidP="000C0CDD">
      <w:pPr>
        <w:ind w:left="709" w:right="709"/>
        <w:contextualSpacing/>
        <w:jc w:val="both"/>
        <w:rPr>
          <w:rFonts w:ascii="Arial" w:eastAsia="Times New Roman" w:hAnsi="Arial" w:cs="Arial"/>
          <w:bCs/>
          <w:sz w:val="21"/>
          <w:szCs w:val="21"/>
          <w:lang w:eastAsia="es-CO"/>
        </w:rPr>
      </w:pPr>
      <w:r w:rsidRPr="005A1080">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A1080">
        <w:rPr>
          <w:rFonts w:ascii="Arial" w:eastAsia="Calibri" w:hAnsi="Arial" w:cs="Arial"/>
          <w:sz w:val="20"/>
          <w:szCs w:val="20"/>
          <w:vertAlign w:val="superscript"/>
        </w:rPr>
        <w:footnoteReference w:id="6"/>
      </w:r>
    </w:p>
    <w:p w14:paraId="25DB8FBA" w14:textId="77777777" w:rsidR="000C0CDD" w:rsidRPr="005A1080" w:rsidRDefault="000C0CDD" w:rsidP="000C0CDD">
      <w:pPr>
        <w:spacing w:line="276" w:lineRule="auto"/>
        <w:ind w:left="709" w:right="709"/>
        <w:contextualSpacing/>
        <w:jc w:val="both"/>
        <w:rPr>
          <w:rFonts w:ascii="Arial" w:eastAsia="Times New Roman" w:hAnsi="Arial" w:cs="Arial"/>
          <w:bCs/>
          <w:sz w:val="22"/>
          <w:lang w:eastAsia="es-CO"/>
        </w:rPr>
      </w:pPr>
    </w:p>
    <w:p w14:paraId="7325A6A3" w14:textId="19716C1D" w:rsidR="000C0CDD" w:rsidRPr="005A1080" w:rsidRDefault="000C0CDD" w:rsidP="000C0CDD">
      <w:pPr>
        <w:spacing w:line="276" w:lineRule="auto"/>
        <w:ind w:firstLine="709"/>
        <w:jc w:val="both"/>
        <w:rPr>
          <w:rFonts w:ascii="Arial" w:eastAsia="Times New Roman" w:hAnsi="Arial" w:cs="Arial"/>
          <w:bCs/>
          <w:sz w:val="22"/>
          <w:lang w:eastAsia="es-CO"/>
        </w:rPr>
      </w:pPr>
      <w:bookmarkStart w:id="6" w:name="_Hlk78818186"/>
      <w:r w:rsidRPr="005A1080">
        <w:rPr>
          <w:rFonts w:ascii="Arial" w:eastAsia="Times New Roman"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w:t>
      </w:r>
      <w:r w:rsidRPr="005A1080">
        <w:rPr>
          <w:rFonts w:ascii="Arial" w:eastAsia="Times New Roman" w:hAnsi="Arial" w:cs="Arial"/>
          <w:bCs/>
          <w:sz w:val="22"/>
          <w:lang w:eastAsia="es-CO"/>
        </w:rPr>
        <w:lastRenderedPageBreak/>
        <w:t xml:space="preserve">de recursos públicos en aspiraciones electorales. </w:t>
      </w:r>
      <w:bookmarkEnd w:id="6"/>
      <w:r w:rsidRPr="005A1080">
        <w:rPr>
          <w:rFonts w:ascii="Arial" w:eastAsia="Times New Roman"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0676B3C7" w14:textId="77777777" w:rsidR="000C0CDD" w:rsidRPr="005A1080" w:rsidRDefault="000C0CDD" w:rsidP="000C0CDD">
      <w:pPr>
        <w:spacing w:line="276" w:lineRule="auto"/>
        <w:ind w:firstLine="709"/>
        <w:contextualSpacing/>
        <w:jc w:val="both"/>
        <w:rPr>
          <w:rFonts w:ascii="Arial" w:eastAsia="Times New Roman" w:hAnsi="Arial" w:cs="Arial"/>
          <w:bCs/>
          <w:sz w:val="22"/>
          <w:lang w:eastAsia="es-CO"/>
        </w:rPr>
      </w:pPr>
    </w:p>
    <w:p w14:paraId="12DB96D0" w14:textId="77777777" w:rsidR="000C0CDD" w:rsidRPr="005A1080" w:rsidRDefault="000C0CDD" w:rsidP="000C0CDD">
      <w:pPr>
        <w:ind w:left="709" w:right="709"/>
        <w:contextualSpacing/>
        <w:jc w:val="both"/>
        <w:rPr>
          <w:rFonts w:ascii="Arial" w:eastAsia="Times New Roman" w:hAnsi="Arial" w:cs="Arial"/>
          <w:bCs/>
          <w:sz w:val="21"/>
          <w:szCs w:val="21"/>
          <w:lang w:eastAsia="es-CO"/>
        </w:rPr>
      </w:pPr>
      <w:r w:rsidRPr="005A1080">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D3561E9" w14:textId="77777777" w:rsidR="000C0CDD" w:rsidRPr="005A1080" w:rsidRDefault="000C0CDD" w:rsidP="000C0CDD">
      <w:pPr>
        <w:ind w:left="709" w:right="709"/>
        <w:contextualSpacing/>
        <w:jc w:val="both"/>
        <w:rPr>
          <w:rFonts w:ascii="Arial" w:eastAsia="Times New Roman" w:hAnsi="Arial" w:cs="Arial"/>
          <w:bCs/>
          <w:sz w:val="21"/>
          <w:szCs w:val="21"/>
          <w:lang w:eastAsia="es-CO"/>
        </w:rPr>
      </w:pPr>
    </w:p>
    <w:p w14:paraId="53F9F1E6" w14:textId="77777777" w:rsidR="000C0CDD" w:rsidRPr="005A1080" w:rsidRDefault="000C0CDD" w:rsidP="000C0CDD">
      <w:pPr>
        <w:ind w:left="709" w:right="709"/>
        <w:contextualSpacing/>
        <w:jc w:val="both"/>
        <w:rPr>
          <w:rFonts w:ascii="Arial" w:eastAsia="Times New Roman" w:hAnsi="Arial" w:cs="Arial"/>
          <w:bCs/>
          <w:sz w:val="21"/>
          <w:szCs w:val="21"/>
          <w:lang w:eastAsia="es-CO"/>
        </w:rPr>
      </w:pPr>
      <w:r w:rsidRPr="005A1080">
        <w:rPr>
          <w:rFonts w:ascii="Arial" w:eastAsia="Times New Roman" w:hAnsi="Arial" w:cs="Arial"/>
          <w:bCs/>
          <w:sz w:val="21"/>
          <w:szCs w:val="21"/>
          <w:lang w:eastAsia="es-CO"/>
        </w:rPr>
        <w:t>La jurisprudencia de la Corte Constitucional</w:t>
      </w:r>
      <w:r w:rsidRPr="005A1080">
        <w:rPr>
          <w:rFonts w:ascii="Arial" w:eastAsia="Times New Roman" w:hAnsi="Arial" w:cs="Arial"/>
          <w:bCs/>
          <w:sz w:val="21"/>
          <w:szCs w:val="21"/>
          <w:vertAlign w:val="superscript"/>
          <w:lang w:eastAsia="es-CO"/>
        </w:rPr>
        <w:footnoteReference w:id="7"/>
      </w:r>
      <w:r w:rsidRPr="005A1080">
        <w:rPr>
          <w:rFonts w:ascii="Arial" w:eastAsia="Times New Roman" w:hAnsi="Arial" w:cs="Arial"/>
          <w:bCs/>
          <w:sz w:val="21"/>
          <w:szCs w:val="21"/>
          <w:lang w:eastAsia="es-CO"/>
        </w:rPr>
        <w:t> y del Consejo de Estado</w:t>
      </w:r>
      <w:r w:rsidRPr="005A1080">
        <w:rPr>
          <w:rFonts w:ascii="Arial" w:eastAsia="Times New Roman" w:hAnsi="Arial" w:cs="Arial"/>
          <w:bCs/>
          <w:sz w:val="21"/>
          <w:szCs w:val="21"/>
          <w:vertAlign w:val="superscript"/>
          <w:lang w:eastAsia="es-CO"/>
        </w:rPr>
        <w:footnoteReference w:id="8"/>
      </w:r>
      <w:r w:rsidRPr="005A1080">
        <w:rPr>
          <w:rFonts w:ascii="Arial" w:eastAsia="Times New Roman"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A1080">
        <w:rPr>
          <w:rFonts w:ascii="Arial" w:eastAsia="Times New Roman" w:hAnsi="Arial" w:cs="Arial"/>
          <w:bCs/>
          <w:vertAlign w:val="superscript"/>
          <w:lang w:eastAsia="es-CO"/>
        </w:rPr>
        <w:footnoteReference w:id="9"/>
      </w:r>
      <w:r w:rsidRPr="005A1080">
        <w:rPr>
          <w:rFonts w:ascii="Arial" w:eastAsia="Times New Roman" w:hAnsi="Arial" w:cs="Arial"/>
          <w:bCs/>
          <w:sz w:val="21"/>
          <w:szCs w:val="21"/>
          <w:lang w:eastAsia="es-CO"/>
        </w:rPr>
        <w:t>.</w:t>
      </w:r>
    </w:p>
    <w:p w14:paraId="36C1DE9F" w14:textId="77777777" w:rsidR="000C0CDD" w:rsidRPr="005A1080" w:rsidRDefault="000C0CDD" w:rsidP="000C0CDD">
      <w:pPr>
        <w:spacing w:line="276" w:lineRule="auto"/>
        <w:ind w:right="709"/>
        <w:contextualSpacing/>
        <w:jc w:val="both"/>
        <w:rPr>
          <w:rFonts w:ascii="Arial" w:eastAsia="Times New Roman" w:hAnsi="Arial" w:cs="Arial"/>
          <w:bCs/>
          <w:sz w:val="22"/>
          <w:lang w:eastAsia="es-CO"/>
        </w:rPr>
      </w:pPr>
    </w:p>
    <w:p w14:paraId="468639FA" w14:textId="4479F0A0" w:rsidR="000C0CDD" w:rsidRPr="005A1080" w:rsidRDefault="000C0CDD" w:rsidP="000C0CDD">
      <w:pPr>
        <w:spacing w:after="120" w:line="276" w:lineRule="auto"/>
        <w:jc w:val="both"/>
        <w:rPr>
          <w:rFonts w:ascii="Arial" w:eastAsia="Arial" w:hAnsi="Arial" w:cs="Arial"/>
          <w:sz w:val="22"/>
          <w:lang w:val="es-ES" w:eastAsia="es-ES" w:bidi="es-ES"/>
        </w:rPr>
      </w:pPr>
      <w:r w:rsidRPr="005A1080">
        <w:rPr>
          <w:rFonts w:ascii="Arial" w:eastAsia="Times New Roman" w:hAnsi="Arial" w:cs="Arial"/>
          <w:bCs/>
          <w:sz w:val="22"/>
          <w:lang w:eastAsia="es-CO"/>
        </w:rPr>
        <w:tab/>
        <w:t>De</w:t>
      </w:r>
      <w:r w:rsidRPr="005A1080">
        <w:rPr>
          <w:rFonts w:ascii="Arial" w:eastAsia="Arial" w:hAnsi="Arial" w:cs="Arial"/>
          <w:sz w:val="22"/>
          <w:lang w:val="es-ES" w:eastAsia="es-ES" w:bidi="es-ES"/>
        </w:rPr>
        <w:t xml:space="preserve"> conformidad con lo anterior, </w:t>
      </w:r>
      <w:bookmarkStart w:id="7" w:name="_Hlk77236098"/>
      <w:r w:rsidRPr="005A1080">
        <w:rPr>
          <w:rFonts w:ascii="Arial" w:eastAsia="Arial" w:hAnsi="Arial" w:cs="Arial"/>
          <w:sz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7"/>
    </w:p>
    <w:p w14:paraId="266AF8D9" w14:textId="77777777" w:rsidR="000C0CDD" w:rsidRPr="005A1080" w:rsidRDefault="000C0CDD" w:rsidP="000C0CDD">
      <w:pPr>
        <w:spacing w:after="120" w:line="276" w:lineRule="auto"/>
        <w:ind w:firstLine="708"/>
        <w:jc w:val="both"/>
        <w:rPr>
          <w:rFonts w:ascii="Arial" w:eastAsia="Calibri" w:hAnsi="Arial" w:cs="Arial"/>
          <w:sz w:val="22"/>
        </w:rPr>
      </w:pPr>
      <w:r w:rsidRPr="005A1080">
        <w:rPr>
          <w:rFonts w:ascii="Arial" w:eastAsia="Calibri" w:hAnsi="Arial" w:cs="Arial"/>
          <w:sz w:val="22"/>
        </w:rPr>
        <w:lastRenderedPageBreak/>
        <w:t xml:space="preserve">Por un lado, el artículo 33 de la Ley 996 de 2005 prohíbe </w:t>
      </w:r>
      <w:r w:rsidRPr="005A1080">
        <w:rPr>
          <w:rFonts w:ascii="Arial" w:eastAsia="Calibri" w:hAnsi="Arial" w:cs="Arial"/>
          <w:bCs/>
          <w:sz w:val="22"/>
        </w:rPr>
        <w:t xml:space="preserve">«[…] </w:t>
      </w:r>
      <w:r w:rsidRPr="005A1080">
        <w:rPr>
          <w:rFonts w:ascii="Arial" w:eastAsia="Calibri" w:hAnsi="Arial" w:cs="Arial"/>
          <w:sz w:val="22"/>
        </w:rPr>
        <w:t>la contratación directa por parte de todos los entes del Estado</w:t>
      </w:r>
      <w:r w:rsidRPr="005A1080">
        <w:rPr>
          <w:rFonts w:ascii="Arial" w:eastAsia="Calibri" w:hAnsi="Arial" w:cs="Arial"/>
          <w:bCs/>
          <w:sz w:val="22"/>
        </w:rPr>
        <w:t>»</w:t>
      </w:r>
      <w:r w:rsidRPr="005A1080">
        <w:rPr>
          <w:rFonts w:ascii="Arial" w:eastAsia="Calibri" w:hAnsi="Arial" w:cs="Arial"/>
          <w:sz w:val="22"/>
        </w:rPr>
        <w:t xml:space="preserve"> durante los cuatro (4) meses anteriores a las elecciones presidenciales, salvo </w:t>
      </w:r>
      <w:r w:rsidRPr="005A1080">
        <w:rPr>
          <w:rFonts w:ascii="Arial" w:eastAsia="Calibri" w:hAnsi="Arial" w:cs="Arial"/>
          <w:bCs/>
          <w:sz w:val="22"/>
        </w:rPr>
        <w:t xml:space="preserve">«[…] </w:t>
      </w:r>
      <w:r w:rsidRPr="005A1080">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A1080">
        <w:rPr>
          <w:rFonts w:ascii="Arial" w:eastAsia="Calibri" w:hAnsi="Arial" w:cs="Arial"/>
          <w:bCs/>
          <w:sz w:val="22"/>
        </w:rPr>
        <w:t>»</w:t>
      </w:r>
      <w:r w:rsidRPr="005A1080">
        <w:rPr>
          <w:rFonts w:ascii="Arial" w:eastAsia="Calibri" w:hAnsi="Arial" w:cs="Arial"/>
          <w:bCs/>
          <w:sz w:val="22"/>
          <w:vertAlign w:val="superscript"/>
        </w:rPr>
        <w:footnoteReference w:id="10"/>
      </w:r>
      <w:r w:rsidRPr="005A1080">
        <w:rPr>
          <w:rFonts w:ascii="Arial" w:eastAsia="Calibri" w:hAnsi="Arial" w:cs="Arial"/>
          <w:sz w:val="22"/>
        </w:rPr>
        <w:t>.</w:t>
      </w:r>
    </w:p>
    <w:p w14:paraId="70D96C2E" w14:textId="77777777" w:rsidR="000C0CDD" w:rsidRPr="005A1080" w:rsidRDefault="000C0CDD" w:rsidP="000C0CDD">
      <w:pPr>
        <w:widowControl w:val="0"/>
        <w:autoSpaceDE w:val="0"/>
        <w:autoSpaceDN w:val="0"/>
        <w:spacing w:line="276" w:lineRule="auto"/>
        <w:ind w:right="113" w:firstLine="708"/>
        <w:contextualSpacing/>
        <w:jc w:val="both"/>
        <w:rPr>
          <w:rFonts w:ascii="Arial" w:eastAsia="Arial" w:hAnsi="Arial" w:cs="Arial"/>
          <w:sz w:val="22"/>
          <w:lang w:val="es-ES" w:eastAsia="es-ES" w:bidi="es-ES"/>
        </w:rPr>
      </w:pPr>
      <w:r w:rsidRPr="005A1080">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A1080">
        <w:rPr>
          <w:rFonts w:ascii="Arial" w:eastAsia="Calibri" w:hAnsi="Arial" w:cs="Arial"/>
          <w:bCs/>
          <w:sz w:val="22"/>
        </w:rPr>
        <w:t xml:space="preserve">«[…] </w:t>
      </w:r>
      <w:r w:rsidRPr="005A1080">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A1080">
        <w:rPr>
          <w:rFonts w:ascii="Arial" w:eastAsia="Calibri" w:hAnsi="Arial" w:cs="Arial"/>
          <w:bCs/>
          <w:sz w:val="22"/>
        </w:rPr>
        <w:t>»</w:t>
      </w:r>
      <w:r w:rsidRPr="005A1080">
        <w:rPr>
          <w:rFonts w:ascii="Arial" w:eastAsia="Calibri" w:hAnsi="Arial" w:cs="Arial"/>
          <w:bCs/>
          <w:sz w:val="22"/>
          <w:vertAlign w:val="superscript"/>
        </w:rPr>
        <w:footnoteReference w:id="11"/>
      </w:r>
      <w:r w:rsidRPr="005A1080">
        <w:rPr>
          <w:rFonts w:ascii="Arial" w:eastAsia="Calibri" w:hAnsi="Arial" w:cs="Arial"/>
          <w:sz w:val="22"/>
        </w:rPr>
        <w:t>.</w:t>
      </w:r>
      <w:r w:rsidRPr="005A1080">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60180843" w14:textId="77777777" w:rsidR="000C0CDD" w:rsidRPr="005A1080" w:rsidRDefault="000C0CDD" w:rsidP="000C0CDD">
      <w:pPr>
        <w:widowControl w:val="0"/>
        <w:autoSpaceDE w:val="0"/>
        <w:autoSpaceDN w:val="0"/>
        <w:spacing w:line="276" w:lineRule="auto"/>
        <w:ind w:left="805" w:right="812"/>
        <w:contextualSpacing/>
        <w:jc w:val="both"/>
        <w:rPr>
          <w:rFonts w:ascii="Arial" w:eastAsia="Arial" w:hAnsi="Arial" w:cs="Arial"/>
          <w:sz w:val="22"/>
          <w:lang w:val="es-ES" w:eastAsia="es-ES" w:bidi="es-ES"/>
        </w:rPr>
      </w:pPr>
    </w:p>
    <w:p w14:paraId="1501CD61" w14:textId="77777777" w:rsidR="000C0CDD" w:rsidRPr="005A1080" w:rsidRDefault="000C0CDD" w:rsidP="000C0CDD">
      <w:pPr>
        <w:widowControl w:val="0"/>
        <w:autoSpaceDE w:val="0"/>
        <w:autoSpaceDN w:val="0"/>
        <w:ind w:left="709" w:right="709"/>
        <w:contextualSpacing/>
        <w:jc w:val="both"/>
        <w:rPr>
          <w:rFonts w:ascii="Arial" w:eastAsia="Arial" w:hAnsi="Arial" w:cs="Arial"/>
          <w:sz w:val="21"/>
          <w:szCs w:val="21"/>
          <w:lang w:val="es-ES" w:eastAsia="es-ES" w:bidi="es-ES"/>
        </w:rPr>
      </w:pPr>
      <w:r w:rsidRPr="005A1080">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0" w:name="_Hlk76109421"/>
      <w:r w:rsidRPr="005A1080">
        <w:rPr>
          <w:rFonts w:ascii="Arial" w:eastAsia="Arial" w:hAnsi="Arial" w:cs="Arial"/>
          <w:sz w:val="21"/>
          <w:szCs w:val="21"/>
          <w:lang w:val="es-ES" w:eastAsia="es-ES" w:bidi="es-ES"/>
        </w:rPr>
        <w:t>se integran parcialmente</w:t>
      </w:r>
      <w:bookmarkEnd w:id="10"/>
      <w:r w:rsidRPr="005A1080">
        <w:rPr>
          <w:rFonts w:ascii="Arial" w:eastAsia="Arial" w:hAnsi="Arial" w:cs="Arial"/>
          <w:sz w:val="21"/>
          <w:szCs w:val="21"/>
          <w:lang w:val="es-ES" w:eastAsia="es-ES" w:bidi="es-ES"/>
        </w:rPr>
        <w:t xml:space="preserve">, lo que permite concluir que en periodo preelectoral para </w:t>
      </w:r>
      <w:r w:rsidRPr="005A1080">
        <w:rPr>
          <w:rFonts w:ascii="Arial" w:eastAsia="Arial" w:hAnsi="Arial" w:cs="Arial"/>
          <w:sz w:val="21"/>
          <w:szCs w:val="21"/>
          <w:lang w:val="es-ES" w:eastAsia="es-ES" w:bidi="es-ES"/>
        </w:rPr>
        <w:lastRenderedPageBreak/>
        <w:t xml:space="preserve">elección de Presidente de la República, a todos los entes del Estado, incluidos los territoriales, se aplican las restricciones de los artículos 32 y 33 con sus excepciones, así como las del parágrafo del artículo 38. </w:t>
      </w:r>
      <w:r w:rsidRPr="005A1080">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A1080">
        <w:rPr>
          <w:rFonts w:ascii="Arial" w:eastAsia="Arial" w:hAnsi="Arial" w:cs="Arial"/>
          <w:sz w:val="21"/>
          <w:szCs w:val="21"/>
          <w:lang w:val="es-ES" w:eastAsia="es-ES" w:bidi="es-ES"/>
        </w:rPr>
        <w:t>.</w:t>
      </w:r>
      <w:r w:rsidRPr="005A1080">
        <w:rPr>
          <w:rFonts w:ascii="Arial" w:eastAsia="Arial" w:hAnsi="Arial" w:cs="Arial"/>
          <w:sz w:val="21"/>
          <w:szCs w:val="21"/>
          <w:vertAlign w:val="superscript"/>
          <w:lang w:val="es-ES" w:eastAsia="es-ES" w:bidi="es-ES"/>
        </w:rPr>
        <w:footnoteReference w:id="12"/>
      </w:r>
    </w:p>
    <w:p w14:paraId="0130D051" w14:textId="77777777" w:rsidR="000C0CDD" w:rsidRPr="005A1080" w:rsidRDefault="000C0CDD" w:rsidP="000C0CDD">
      <w:pPr>
        <w:widowControl w:val="0"/>
        <w:autoSpaceDE w:val="0"/>
        <w:autoSpaceDN w:val="0"/>
        <w:spacing w:line="276" w:lineRule="auto"/>
        <w:contextualSpacing/>
        <w:rPr>
          <w:rFonts w:ascii="Arial" w:eastAsia="Arial" w:hAnsi="Arial" w:cs="Arial"/>
          <w:sz w:val="22"/>
          <w:lang w:val="es-ES" w:eastAsia="es-ES" w:bidi="es-ES"/>
        </w:rPr>
      </w:pPr>
    </w:p>
    <w:p w14:paraId="48B4713E" w14:textId="77777777" w:rsidR="000C0CDD" w:rsidRPr="005A1080" w:rsidRDefault="000C0CDD" w:rsidP="000C0CDD">
      <w:pPr>
        <w:spacing w:after="120" w:line="276" w:lineRule="auto"/>
        <w:ind w:firstLine="709"/>
        <w:jc w:val="both"/>
        <w:rPr>
          <w:rFonts w:ascii="Arial" w:eastAsia="Arial" w:hAnsi="Arial" w:cs="Arial"/>
          <w:sz w:val="22"/>
          <w:lang w:val="es-ES" w:eastAsia="es-ES" w:bidi="es-ES"/>
        </w:rPr>
      </w:pPr>
      <w:r w:rsidRPr="005A1080">
        <w:rPr>
          <w:rFonts w:ascii="Arial" w:eastAsia="Arial" w:hAnsi="Arial" w:cs="Arial"/>
          <w:sz w:val="22"/>
          <w:lang w:val="es-ES" w:eastAsia="es-ES" w:bidi="es-ES"/>
        </w:rPr>
        <w:t xml:space="preserve">De conformidad con lo anterior, </w:t>
      </w:r>
      <w:bookmarkStart w:id="11" w:name="_Hlk77236420"/>
      <w:bookmarkStart w:id="12" w:name="_Hlk78818435"/>
      <w:bookmarkStart w:id="13" w:name="_Hlk75780333"/>
      <w:r w:rsidRPr="005A1080">
        <w:rPr>
          <w:rFonts w:ascii="Arial" w:eastAsia="Arial" w:hAnsi="Arial" w:cs="Arial"/>
          <w:sz w:val="22"/>
          <w:lang w:val="es-ES" w:eastAsia="es-ES" w:bidi="es-ES"/>
        </w:rPr>
        <w:t xml:space="preserve">la Ley 996 de 2005 establece dos (2) tipos de restricciones en materia de contratación, las cuales coinciden parcialmente. </w:t>
      </w:r>
      <w:r w:rsidRPr="005A1080">
        <w:rPr>
          <w:rFonts w:ascii="Arial" w:eastAsia="Arial" w:hAnsi="Arial" w:cs="Arial"/>
          <w:i/>
          <w:iCs/>
          <w:sz w:val="22"/>
          <w:lang w:val="es-ES" w:eastAsia="es-ES" w:bidi="es-ES"/>
        </w:rPr>
        <w:t>En primer lugar</w:t>
      </w:r>
      <w:r w:rsidRPr="005A108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A1080">
        <w:rPr>
          <w:rFonts w:ascii="Arial" w:eastAsia="Arial" w:hAnsi="Arial" w:cs="Arial"/>
          <w:i/>
          <w:iCs/>
          <w:sz w:val="22"/>
          <w:lang w:val="es-ES" w:eastAsia="es-ES" w:bidi="es-ES"/>
        </w:rPr>
        <w:t>En segundo lugar</w:t>
      </w:r>
      <w:r w:rsidRPr="005A108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1"/>
    </w:p>
    <w:bookmarkEnd w:id="12"/>
    <w:p w14:paraId="4D692BBE" w14:textId="77777777" w:rsidR="000C0CDD" w:rsidRPr="005A1080" w:rsidRDefault="000C0CDD" w:rsidP="000C0CDD">
      <w:pPr>
        <w:spacing w:after="120" w:line="276" w:lineRule="auto"/>
        <w:ind w:firstLine="709"/>
        <w:jc w:val="both"/>
        <w:rPr>
          <w:rFonts w:ascii="Arial" w:eastAsia="Arial" w:hAnsi="Arial" w:cs="Arial"/>
          <w:sz w:val="22"/>
          <w:lang w:val="es-ES" w:eastAsia="es-ES" w:bidi="es-ES"/>
        </w:rPr>
      </w:pPr>
      <w:r w:rsidRPr="005A1080">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3"/>
    <w:p w14:paraId="56C0039F" w14:textId="77777777" w:rsidR="000C0CDD" w:rsidRPr="005A1080" w:rsidRDefault="000C0CDD" w:rsidP="000C0CDD">
      <w:pPr>
        <w:spacing w:line="276" w:lineRule="auto"/>
        <w:ind w:firstLine="708"/>
        <w:jc w:val="both"/>
        <w:rPr>
          <w:rFonts w:ascii="Arial" w:eastAsia="Arial" w:hAnsi="Arial" w:cs="Arial"/>
          <w:lang w:val="es-ES" w:eastAsia="es-ES" w:bidi="es-ES"/>
        </w:rPr>
      </w:pPr>
      <w:r w:rsidRPr="005A108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r w:rsidRPr="005A1080">
        <w:rPr>
          <w:rFonts w:ascii="Arial" w:eastAsia="Arial" w:hAnsi="Arial" w:cs="Arial"/>
          <w:lang w:val="es-ES" w:eastAsia="es-ES" w:bidi="es-ES"/>
        </w:rPr>
        <w:t xml:space="preserve"> </w:t>
      </w:r>
    </w:p>
    <w:p w14:paraId="6E8E2694" w14:textId="77777777" w:rsidR="001A23E4" w:rsidRPr="005A1080" w:rsidRDefault="001A23E4" w:rsidP="001A23E4">
      <w:pPr>
        <w:spacing w:line="276" w:lineRule="auto"/>
        <w:jc w:val="both"/>
        <w:rPr>
          <w:rFonts w:ascii="Arial" w:hAnsi="Arial" w:cs="Arial"/>
          <w:bCs/>
          <w:sz w:val="22"/>
          <w:lang w:val="es-ES" w:eastAsia="es-CO"/>
        </w:rPr>
      </w:pPr>
    </w:p>
    <w:p w14:paraId="5E6AF0F4" w14:textId="06A6B60E" w:rsidR="001A23E4" w:rsidRPr="005A1080" w:rsidRDefault="001A23E4" w:rsidP="001A23E4">
      <w:pPr>
        <w:spacing w:line="276" w:lineRule="auto"/>
        <w:jc w:val="both"/>
        <w:rPr>
          <w:rFonts w:ascii="Arial" w:hAnsi="Arial" w:cs="Arial"/>
          <w:b/>
          <w:sz w:val="22"/>
          <w:lang w:val="es-ES" w:eastAsia="es-CO"/>
        </w:rPr>
      </w:pPr>
      <w:r w:rsidRPr="005A1080">
        <w:rPr>
          <w:rFonts w:ascii="Arial" w:hAnsi="Arial" w:cs="Arial"/>
          <w:b/>
          <w:sz w:val="22"/>
          <w:lang w:val="es-ES" w:eastAsia="es-CO"/>
        </w:rPr>
        <w:t>2.</w:t>
      </w:r>
      <w:r w:rsidR="00DB3F93" w:rsidRPr="005A1080">
        <w:rPr>
          <w:rFonts w:ascii="Arial" w:hAnsi="Arial" w:cs="Arial"/>
          <w:b/>
          <w:sz w:val="22"/>
          <w:lang w:val="es-ES" w:eastAsia="es-CO"/>
        </w:rPr>
        <w:t>2</w:t>
      </w:r>
      <w:r w:rsidRPr="005A1080">
        <w:rPr>
          <w:rFonts w:ascii="Arial" w:hAnsi="Arial" w:cs="Arial"/>
          <w:b/>
          <w:sz w:val="22"/>
          <w:lang w:val="es-ES" w:eastAsia="es-CO"/>
        </w:rPr>
        <w:t xml:space="preserve">. </w:t>
      </w:r>
      <w:r w:rsidRPr="005A1080">
        <w:rPr>
          <w:rFonts w:ascii="Arial" w:hAnsi="Arial" w:cs="Arial"/>
          <w:b/>
          <w:bCs/>
          <w:sz w:val="22"/>
          <w:lang w:eastAsia="es-CO"/>
        </w:rPr>
        <w:t>Restricci</w:t>
      </w:r>
      <w:r w:rsidR="000E3460" w:rsidRPr="005A1080">
        <w:rPr>
          <w:rFonts w:ascii="Arial" w:hAnsi="Arial" w:cs="Arial"/>
          <w:b/>
          <w:bCs/>
          <w:sz w:val="22"/>
          <w:lang w:eastAsia="es-CO"/>
        </w:rPr>
        <w:t>ón a la contratación directa</w:t>
      </w:r>
      <w:r w:rsidRPr="005A1080">
        <w:rPr>
          <w:rFonts w:ascii="Arial" w:hAnsi="Arial" w:cs="Arial"/>
          <w:b/>
          <w:bCs/>
          <w:sz w:val="22"/>
          <w:lang w:eastAsia="es-CO"/>
        </w:rPr>
        <w:t xml:space="preserve"> en elecciones presidenciales </w:t>
      </w:r>
    </w:p>
    <w:p w14:paraId="47AA9DC7" w14:textId="77777777" w:rsidR="001A23E4" w:rsidRPr="005A1080" w:rsidRDefault="001A23E4" w:rsidP="001A23E4">
      <w:pPr>
        <w:spacing w:line="276" w:lineRule="auto"/>
        <w:jc w:val="both"/>
        <w:rPr>
          <w:rFonts w:ascii="Arial" w:hAnsi="Arial" w:cs="Arial"/>
          <w:bCs/>
          <w:sz w:val="22"/>
          <w:lang w:eastAsia="x-none"/>
        </w:rPr>
      </w:pPr>
    </w:p>
    <w:p w14:paraId="03892AA5" w14:textId="77777777" w:rsidR="00592233" w:rsidRPr="005A1080" w:rsidRDefault="00592233" w:rsidP="00592233">
      <w:pPr>
        <w:spacing w:line="276" w:lineRule="auto"/>
        <w:contextualSpacing/>
        <w:jc w:val="both"/>
        <w:rPr>
          <w:rFonts w:ascii="Arial" w:eastAsia="Times New Roman" w:hAnsi="Arial" w:cs="Arial"/>
          <w:bCs/>
          <w:sz w:val="22"/>
          <w:lang w:eastAsia="es-CO"/>
        </w:rPr>
      </w:pPr>
      <w:bookmarkStart w:id="14" w:name="_Hlk75783800"/>
      <w:r w:rsidRPr="005A1080">
        <w:rPr>
          <w:rFonts w:ascii="Arial" w:eastAsia="Times New Roman" w:hAnsi="Arial" w:cs="Arial"/>
          <w:bCs/>
          <w:sz w:val="22"/>
          <w:lang w:eastAsia="x-none"/>
        </w:rPr>
        <w:t xml:space="preserve">El ámbito material de la prohibición contenida </w:t>
      </w:r>
      <w:bookmarkStart w:id="15" w:name="_Hlk75628761"/>
      <w:r w:rsidRPr="005A1080">
        <w:rPr>
          <w:rFonts w:ascii="Arial" w:eastAsia="Times New Roman" w:hAnsi="Arial" w:cs="Arial"/>
          <w:bCs/>
          <w:sz w:val="22"/>
          <w:lang w:eastAsia="x-none"/>
        </w:rPr>
        <w:t xml:space="preserve">en el artículo 33 de la Ley 996 de 2005 </w:t>
      </w:r>
      <w:bookmarkEnd w:id="15"/>
      <w:r w:rsidRPr="005A1080">
        <w:rPr>
          <w:rFonts w:ascii="Arial" w:eastAsia="Times New Roman" w:hAnsi="Arial" w:cs="Arial"/>
          <w:bCs/>
          <w:sz w:val="22"/>
          <w:lang w:eastAsia="x-none"/>
        </w:rPr>
        <w:t xml:space="preserve">está delimitado por la expresión </w:t>
      </w:r>
      <w:r w:rsidRPr="005A1080">
        <w:rPr>
          <w:rFonts w:ascii="Arial" w:eastAsia="Calibri" w:hAnsi="Arial" w:cs="Arial"/>
          <w:bCs/>
          <w:sz w:val="22"/>
        </w:rPr>
        <w:t>«</w:t>
      </w:r>
      <w:r w:rsidRPr="005A1080">
        <w:rPr>
          <w:rFonts w:ascii="Arial" w:eastAsia="Times New Roman" w:hAnsi="Arial" w:cs="Arial"/>
          <w:bCs/>
          <w:sz w:val="22"/>
          <w:lang w:eastAsia="x-none"/>
        </w:rPr>
        <w:t>queda prohibida la contratación directa</w:t>
      </w:r>
      <w:r w:rsidRPr="005A1080">
        <w:rPr>
          <w:rFonts w:ascii="Arial" w:eastAsia="Calibri" w:hAnsi="Arial" w:cs="Arial"/>
          <w:sz w:val="22"/>
        </w:rPr>
        <w:t>»</w:t>
      </w:r>
      <w:r w:rsidRPr="005A1080">
        <w:rPr>
          <w:rFonts w:ascii="Arial" w:eastAsia="Times New Roman" w:hAnsi="Arial" w:cs="Arial"/>
          <w:bCs/>
          <w:sz w:val="22"/>
          <w:lang w:eastAsia="x-none"/>
        </w:rPr>
        <w:t>.</w:t>
      </w:r>
      <w:r w:rsidRPr="005A1080">
        <w:rPr>
          <w:rFonts w:ascii="Arial" w:eastAsia="Times New Roman" w:hAnsi="Arial" w:cs="Arial"/>
          <w:sz w:val="22"/>
          <w:lang w:eastAsia="es-CO"/>
        </w:rPr>
        <w:t xml:space="preserve"> A propósito de esta restricción de la Ley de Garantías Electorales, la Sala de Consulta y Servicio Civil del Consejo de Estado ha considerado que:</w:t>
      </w:r>
    </w:p>
    <w:p w14:paraId="4035B2F0" w14:textId="77777777" w:rsidR="00592233" w:rsidRPr="005A1080" w:rsidRDefault="00592233" w:rsidP="00592233">
      <w:pPr>
        <w:spacing w:line="276" w:lineRule="auto"/>
        <w:ind w:left="708" w:right="709"/>
        <w:contextualSpacing/>
        <w:jc w:val="both"/>
        <w:rPr>
          <w:rFonts w:ascii="Arial" w:eastAsia="Calibri" w:hAnsi="Arial" w:cs="Arial"/>
          <w:sz w:val="22"/>
        </w:rPr>
      </w:pPr>
    </w:p>
    <w:p w14:paraId="671E8776" w14:textId="77777777" w:rsidR="00592233" w:rsidRPr="005A1080" w:rsidRDefault="00592233" w:rsidP="00592233">
      <w:pPr>
        <w:ind w:left="709" w:right="709"/>
        <w:contextualSpacing/>
        <w:jc w:val="both"/>
        <w:rPr>
          <w:rFonts w:ascii="Arial" w:eastAsia="Calibri" w:hAnsi="Arial" w:cs="Arial"/>
          <w:sz w:val="21"/>
          <w:szCs w:val="21"/>
        </w:rPr>
      </w:pPr>
      <w:r w:rsidRPr="005A1080">
        <w:rPr>
          <w:rFonts w:ascii="Arial" w:eastAsia="Calibri"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A1080">
        <w:rPr>
          <w:rFonts w:ascii="Arial" w:eastAsia="Times New Roman" w:hAnsi="Arial" w:cs="Arial"/>
          <w:vertAlign w:val="superscript"/>
          <w:lang w:eastAsia="es-CO"/>
        </w:rPr>
        <w:footnoteReference w:id="13"/>
      </w:r>
      <w:r w:rsidRPr="005A1080">
        <w:rPr>
          <w:rFonts w:ascii="Arial" w:eastAsia="Calibri" w:hAnsi="Arial" w:cs="Arial"/>
          <w:sz w:val="21"/>
          <w:szCs w:val="21"/>
        </w:rPr>
        <w:t>.</w:t>
      </w:r>
    </w:p>
    <w:p w14:paraId="193FB7C0" w14:textId="77777777" w:rsidR="00592233" w:rsidRPr="005A1080" w:rsidRDefault="00592233" w:rsidP="00592233">
      <w:pPr>
        <w:ind w:left="709" w:right="709"/>
        <w:contextualSpacing/>
        <w:jc w:val="both"/>
        <w:rPr>
          <w:rFonts w:ascii="Arial" w:eastAsia="Calibri" w:hAnsi="Arial" w:cs="Arial"/>
          <w:sz w:val="21"/>
          <w:szCs w:val="21"/>
        </w:rPr>
      </w:pPr>
    </w:p>
    <w:p w14:paraId="3C78FA38" w14:textId="77777777" w:rsidR="00592233" w:rsidRPr="005A1080" w:rsidRDefault="00592233" w:rsidP="00592233">
      <w:pPr>
        <w:ind w:left="708" w:right="709"/>
        <w:contextualSpacing/>
        <w:jc w:val="both"/>
        <w:rPr>
          <w:rFonts w:ascii="Arial" w:eastAsia="Calibri" w:hAnsi="Arial" w:cs="Arial"/>
          <w:sz w:val="21"/>
          <w:szCs w:val="21"/>
        </w:rPr>
      </w:pPr>
      <w:r w:rsidRPr="005A1080">
        <w:rPr>
          <w:rFonts w:ascii="Arial" w:eastAsia="Calibri" w:hAnsi="Arial" w:cs="Arial"/>
          <w:sz w:val="21"/>
          <w:szCs w:val="21"/>
        </w:rPr>
        <w:t xml:space="preserve">Esta Sala ha entendido que para los efectos de la ley de garantías, y dada su finalidad, el enunciado ´contratación directa´ es sinónimo </w:t>
      </w:r>
      <w:bookmarkStart w:id="18" w:name="_Hlk75741738"/>
      <w:r w:rsidRPr="005A1080">
        <w:rPr>
          <w:rFonts w:ascii="Arial" w:eastAsia="Calibri" w:hAnsi="Arial" w:cs="Arial"/>
          <w:sz w:val="21"/>
          <w:szCs w:val="21"/>
        </w:rPr>
        <w:t xml:space="preserve">de cualquier sistema que no implique convocatoria pública y posibilidad de pluralidad de oferentes, </w:t>
      </w:r>
      <w:bookmarkEnd w:id="18"/>
      <w:r w:rsidRPr="005A1080">
        <w:rPr>
          <w:rFonts w:ascii="Arial" w:eastAsia="Calibri" w:hAnsi="Arial" w:cs="Arial"/>
          <w:sz w:val="21"/>
          <w:szCs w:val="21"/>
        </w:rPr>
        <w:t>y que, además, no necesariamente hace referencia al procedimiento especial regulado por la ley de contratación estatal, sino a cualquier otro que prescinda de un proceso de licitación pública o concurso</w:t>
      </w:r>
      <w:r w:rsidRPr="005A1080">
        <w:rPr>
          <w:rFonts w:ascii="Arial" w:eastAsia="Times New Roman" w:hAnsi="Arial" w:cs="Arial"/>
          <w:sz w:val="21"/>
          <w:szCs w:val="21"/>
          <w:vertAlign w:val="superscript"/>
        </w:rPr>
        <w:footnoteReference w:id="14"/>
      </w:r>
      <w:r w:rsidRPr="005A1080">
        <w:rPr>
          <w:rFonts w:ascii="Arial" w:eastAsia="Times New Roman" w:hAnsi="Arial" w:cs="Arial"/>
          <w:sz w:val="21"/>
          <w:szCs w:val="21"/>
          <w:vertAlign w:val="superscript"/>
        </w:rPr>
        <w:t>.</w:t>
      </w:r>
      <w:r w:rsidRPr="005A1080">
        <w:rPr>
          <w:rFonts w:ascii="Arial" w:eastAsia="Calibri"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A1080">
        <w:rPr>
          <w:rFonts w:ascii="Arial" w:eastAsia="Times New Roman" w:hAnsi="Arial" w:cs="Arial"/>
          <w:vertAlign w:val="superscript"/>
          <w:lang w:eastAsia="es-CO"/>
        </w:rPr>
        <w:footnoteReference w:id="15"/>
      </w:r>
      <w:r w:rsidRPr="005A1080">
        <w:rPr>
          <w:rFonts w:ascii="Arial" w:eastAsia="Calibri" w:hAnsi="Arial" w:cs="Arial"/>
          <w:sz w:val="21"/>
          <w:szCs w:val="21"/>
        </w:rPr>
        <w:t xml:space="preserve"> .</w:t>
      </w:r>
    </w:p>
    <w:p w14:paraId="08241C66" w14:textId="77777777" w:rsidR="00592233" w:rsidRPr="005A1080" w:rsidRDefault="00592233" w:rsidP="00592233">
      <w:pPr>
        <w:shd w:val="clear" w:color="auto" w:fill="FFFFFF"/>
        <w:spacing w:line="276" w:lineRule="auto"/>
        <w:ind w:firstLine="709"/>
        <w:contextualSpacing/>
        <w:jc w:val="both"/>
        <w:rPr>
          <w:rFonts w:ascii="Arial" w:eastAsia="Times New Roman" w:hAnsi="Arial" w:cs="Arial"/>
          <w:sz w:val="22"/>
          <w:lang w:eastAsia="x-none"/>
        </w:rPr>
      </w:pPr>
    </w:p>
    <w:p w14:paraId="6C6237AA" w14:textId="77777777" w:rsidR="00592233" w:rsidRPr="005A1080" w:rsidRDefault="00592233" w:rsidP="00592233">
      <w:pPr>
        <w:spacing w:after="120" w:line="276" w:lineRule="auto"/>
        <w:ind w:firstLine="709"/>
        <w:jc w:val="both"/>
        <w:rPr>
          <w:rFonts w:ascii="Arial" w:eastAsia="Times New Roman" w:hAnsi="Arial" w:cs="Arial"/>
          <w:bCs/>
          <w:sz w:val="22"/>
          <w:lang w:eastAsia="x-none"/>
        </w:rPr>
      </w:pPr>
      <w:bookmarkStart w:id="20" w:name="_Hlk94521748"/>
      <w:r w:rsidRPr="005A1080">
        <w:rPr>
          <w:rFonts w:ascii="Arial" w:eastAsia="Times New Roman" w:hAnsi="Arial" w:cs="Arial"/>
          <w:sz w:val="22"/>
          <w:lang w:eastAsia="x-none"/>
        </w:rPr>
        <w:t xml:space="preserve">De conformidad con el citado concepto, </w:t>
      </w:r>
      <w:bookmarkStart w:id="21" w:name="_Hlk78818702"/>
      <w:r w:rsidRPr="005A1080">
        <w:rPr>
          <w:rFonts w:ascii="Arial" w:eastAsia="Times New Roman" w:hAnsi="Arial" w:cs="Arial"/>
          <w:sz w:val="22"/>
          <w:lang w:eastAsia="x-none"/>
        </w:rPr>
        <w:t xml:space="preserve">la prohibición del artículo 33 de la Ley de Garantías Electorales se refiere a </w:t>
      </w:r>
      <w:bookmarkStart w:id="22" w:name="_Hlk74294635"/>
      <w:r w:rsidRPr="005A1080">
        <w:rPr>
          <w:rFonts w:ascii="Arial" w:eastAsia="Times New Roman" w:hAnsi="Arial" w:cs="Arial"/>
          <w:sz w:val="22"/>
          <w:lang w:eastAsia="en-GB"/>
        </w:rPr>
        <w:t>«</w:t>
      </w:r>
      <w:bookmarkEnd w:id="22"/>
      <w:r w:rsidRPr="005A1080">
        <w:rPr>
          <w:rFonts w:ascii="Arial" w:eastAsia="Times New Roman" w:hAnsi="Arial" w:cs="Arial"/>
          <w:sz w:val="22"/>
          <w:lang w:eastAsia="x-none"/>
        </w:rPr>
        <w:t>cualquier sistema que no implique convocatoria pública y posibilidad de pluralidad de oferentes</w:t>
      </w:r>
      <w:bookmarkStart w:id="23" w:name="_Hlk74404754"/>
      <w:r w:rsidRPr="005A1080">
        <w:rPr>
          <w:rFonts w:ascii="Arial" w:eastAsia="Times New Roman" w:hAnsi="Arial" w:cs="Arial"/>
          <w:sz w:val="22"/>
          <w:lang w:eastAsia="en-GB"/>
        </w:rPr>
        <w:t>»</w:t>
      </w:r>
      <w:bookmarkEnd w:id="23"/>
      <w:r w:rsidRPr="005A1080">
        <w:rPr>
          <w:rFonts w:ascii="Arial" w:eastAsia="Times New Roman" w:hAnsi="Arial" w:cs="Arial"/>
          <w:sz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0"/>
      <w:bookmarkEnd w:id="21"/>
      <w:r w:rsidRPr="005A1080">
        <w:rPr>
          <w:rFonts w:ascii="Arial" w:eastAsia="Times New Roman" w:hAnsi="Arial" w:cs="Arial"/>
          <w:sz w:val="22"/>
          <w:lang w:eastAsia="x-none"/>
        </w:rPr>
        <w:t>Esta posición es congruente con la expedición de la Ley 1150 de 2007 que, entre otras reformas, introdujo la selección abreviada, rediseñó el concurso de méritos</w:t>
      </w:r>
      <w:r w:rsidRPr="005A1080">
        <w:rPr>
          <w:rFonts w:ascii="Arial" w:eastAsia="Times New Roman" w:hAnsi="Arial" w:cs="Arial"/>
          <w:sz w:val="22"/>
          <w:vertAlign w:val="superscript"/>
          <w:lang w:val="en-GB" w:eastAsia="x-none"/>
        </w:rPr>
        <w:footnoteReference w:id="16"/>
      </w:r>
      <w:r w:rsidRPr="005A1080">
        <w:rPr>
          <w:rFonts w:ascii="Arial" w:eastAsia="Times New Roman" w:hAnsi="Arial" w:cs="Arial"/>
          <w:sz w:val="22"/>
          <w:lang w:eastAsia="x-none"/>
        </w:rPr>
        <w:t xml:space="preserve"> y sistematizó las causales de contratación directa</w:t>
      </w:r>
      <w:r w:rsidRPr="005A1080">
        <w:rPr>
          <w:rFonts w:ascii="Arial" w:eastAsia="Times New Roman" w:hAnsi="Arial" w:cs="Arial"/>
          <w:sz w:val="22"/>
          <w:vertAlign w:val="superscript"/>
          <w:lang w:val="en-GB" w:eastAsia="x-none"/>
        </w:rPr>
        <w:footnoteReference w:id="17"/>
      </w:r>
      <w:r w:rsidRPr="005A1080">
        <w:rPr>
          <w:rFonts w:ascii="Arial" w:eastAsia="Times New Roman" w:hAnsi="Arial" w:cs="Arial"/>
          <w:sz w:val="22"/>
          <w:lang w:eastAsia="x-none"/>
        </w:rPr>
        <w:t xml:space="preserve">. </w:t>
      </w:r>
    </w:p>
    <w:p w14:paraId="0EFE60F5" w14:textId="77777777" w:rsidR="00592233" w:rsidRPr="005A1080" w:rsidRDefault="00592233" w:rsidP="00592233">
      <w:pPr>
        <w:spacing w:after="120" w:line="276" w:lineRule="auto"/>
        <w:ind w:firstLine="709"/>
        <w:jc w:val="both"/>
        <w:rPr>
          <w:rFonts w:ascii="Arial" w:eastAsia="Times New Roman" w:hAnsi="Arial" w:cs="Arial"/>
          <w:sz w:val="22"/>
          <w:lang w:eastAsia="x-none"/>
        </w:rPr>
      </w:pPr>
      <w:r w:rsidRPr="005A1080">
        <w:rPr>
          <w:rFonts w:ascii="Arial" w:eastAsia="Times New Roman" w:hAnsi="Arial" w:cs="Arial"/>
          <w:sz w:val="22"/>
          <w:lang w:eastAsia="x-none"/>
        </w:rPr>
        <w:lastRenderedPageBreak/>
        <w:t xml:space="preserve">De esta forma, se ha depurado la noción de </w:t>
      </w:r>
      <w:r w:rsidRPr="005A1080">
        <w:rPr>
          <w:rFonts w:ascii="Arial" w:eastAsia="Times New Roman" w:hAnsi="Arial" w:cs="Arial"/>
          <w:sz w:val="22"/>
          <w:lang w:eastAsia="en-GB"/>
        </w:rPr>
        <w:t>«</w:t>
      </w:r>
      <w:r w:rsidRPr="005A1080">
        <w:rPr>
          <w:rFonts w:ascii="Arial" w:eastAsia="Times New Roman" w:hAnsi="Arial" w:cs="Arial"/>
          <w:sz w:val="22"/>
          <w:lang w:eastAsia="x-none"/>
        </w:rPr>
        <w:t>contratación directa</w:t>
      </w:r>
      <w:r w:rsidRPr="005A1080">
        <w:rPr>
          <w:rFonts w:ascii="Arial" w:eastAsia="Times New Roman" w:hAnsi="Arial" w:cs="Arial"/>
          <w:sz w:val="22"/>
          <w:lang w:eastAsia="en-GB"/>
        </w:rPr>
        <w:t>»</w:t>
      </w:r>
      <w:r w:rsidRPr="005A1080">
        <w:rPr>
          <w:rFonts w:ascii="Arial" w:eastAsia="Times New Roman"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A1080">
        <w:rPr>
          <w:rFonts w:ascii="Arial" w:eastAsia="Times New Roman" w:hAnsi="Arial" w:cs="Arial"/>
          <w:sz w:val="22"/>
          <w:vertAlign w:val="superscript"/>
          <w:lang w:val="en-GB" w:eastAsia="x-none"/>
        </w:rPr>
        <w:footnoteReference w:id="18"/>
      </w:r>
      <w:r w:rsidRPr="005A1080">
        <w:rPr>
          <w:rFonts w:ascii="Arial" w:eastAsia="Times New Roman" w:hAnsi="Arial" w:cs="Arial"/>
          <w:sz w:val="22"/>
          <w:lang w:eastAsia="x-none"/>
        </w:rPr>
        <w:t>, han establecido sistemas de contratación que implican convocatoria pública y participación de varios oferentes</w:t>
      </w:r>
      <w:r w:rsidRPr="005A1080">
        <w:rPr>
          <w:rFonts w:ascii="Arial" w:eastAsia="Times New Roman" w:hAnsi="Arial" w:cs="Arial"/>
          <w:sz w:val="22"/>
          <w:lang w:eastAsia="en-GB"/>
        </w:rPr>
        <w:t>»</w:t>
      </w:r>
      <w:r w:rsidRPr="005A1080">
        <w:rPr>
          <w:rFonts w:ascii="Arial" w:eastAsia="Times New Roman" w:hAnsi="Arial" w:cs="Arial"/>
          <w:sz w:val="22"/>
          <w:lang w:eastAsia="x-none"/>
        </w:rPr>
        <w:t xml:space="preserve">. </w:t>
      </w:r>
    </w:p>
    <w:p w14:paraId="4FDA5592" w14:textId="77777777" w:rsidR="00592233" w:rsidRPr="005A1080" w:rsidRDefault="00592233" w:rsidP="00592233">
      <w:pPr>
        <w:spacing w:after="120" w:line="276" w:lineRule="auto"/>
        <w:ind w:firstLine="709"/>
        <w:jc w:val="both"/>
        <w:rPr>
          <w:rFonts w:ascii="Arial" w:eastAsia="Times New Roman" w:hAnsi="Arial" w:cs="Arial"/>
          <w:bCs/>
          <w:sz w:val="22"/>
          <w:lang w:eastAsia="es-CO"/>
        </w:rPr>
      </w:pPr>
      <w:r w:rsidRPr="005A1080">
        <w:rPr>
          <w:rFonts w:ascii="Arial" w:eastAsia="Times New Roman" w:hAnsi="Arial" w:cs="Arial"/>
          <w:bCs/>
          <w:sz w:val="22"/>
          <w:lang w:eastAsia="x-none"/>
        </w:rPr>
        <w:t>E</w:t>
      </w:r>
      <w:r w:rsidRPr="005A1080">
        <w:rPr>
          <w:rFonts w:ascii="Arial" w:eastAsia="Times New Roman" w:hAnsi="Arial" w:cs="Arial"/>
          <w:sz w:val="22"/>
          <w:lang w:eastAsia="x-none"/>
        </w:rPr>
        <w:t xml:space="preserve">n efecto, vale la pena mencionar que, </w:t>
      </w:r>
      <w:bookmarkStart w:id="25" w:name="_Hlk75636073"/>
      <w:r w:rsidRPr="005A1080">
        <w:rPr>
          <w:rFonts w:ascii="Arial" w:eastAsia="Times New Roman" w:hAnsi="Arial" w:cs="Arial"/>
          <w:sz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5"/>
      <w:r w:rsidRPr="005A1080">
        <w:rPr>
          <w:rFonts w:ascii="Arial" w:eastAsia="Times New Roman" w:hAnsi="Arial" w:cs="Arial"/>
          <w:sz w:val="22"/>
          <w:vertAlign w:val="superscript"/>
          <w:lang w:eastAsia="x-none"/>
        </w:rPr>
        <w:footnoteReference w:id="19"/>
      </w:r>
      <w:r w:rsidRPr="005A1080">
        <w:rPr>
          <w:rFonts w:ascii="Arial" w:eastAsia="Times New Roman" w:hAnsi="Arial" w:cs="Arial"/>
          <w:sz w:val="22"/>
          <w:lang w:eastAsia="x-none"/>
        </w:rPr>
        <w:t xml:space="preserve">. </w:t>
      </w:r>
    </w:p>
    <w:p w14:paraId="06118F38" w14:textId="77777777" w:rsidR="00592233" w:rsidRPr="005A1080" w:rsidRDefault="00592233" w:rsidP="00592233">
      <w:pPr>
        <w:spacing w:after="120" w:line="276" w:lineRule="auto"/>
        <w:ind w:firstLine="709"/>
        <w:jc w:val="both"/>
        <w:rPr>
          <w:rFonts w:ascii="Arial" w:eastAsia="Times New Roman" w:hAnsi="Arial" w:cs="Arial"/>
          <w:bCs/>
          <w:sz w:val="22"/>
          <w:lang w:eastAsia="es-CO"/>
        </w:rPr>
      </w:pPr>
      <w:r w:rsidRPr="005A1080">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6AB00E44" w14:textId="70701FFB" w:rsidR="00592233" w:rsidRPr="005A1080" w:rsidRDefault="00592233" w:rsidP="00592233">
      <w:pPr>
        <w:spacing w:after="120" w:line="276" w:lineRule="auto"/>
        <w:ind w:firstLine="709"/>
        <w:jc w:val="both"/>
        <w:rPr>
          <w:rFonts w:ascii="Arial" w:eastAsia="Times New Roman" w:hAnsi="Arial" w:cs="Arial"/>
          <w:bCs/>
          <w:sz w:val="22"/>
          <w:lang w:eastAsia="x-none"/>
        </w:rPr>
      </w:pPr>
      <w:bookmarkStart w:id="26" w:name="_Hlk78818796"/>
      <w:r w:rsidRPr="005A1080">
        <w:rPr>
          <w:rFonts w:ascii="Arial" w:eastAsia="Times New Roman" w:hAnsi="Arial" w:cs="Arial"/>
          <w:bCs/>
          <w:sz w:val="22"/>
          <w:lang w:eastAsia="x-none"/>
        </w:rPr>
        <w:t xml:space="preserve"> Así las cosas, </w:t>
      </w:r>
      <w:bookmarkStart w:id="27" w:name="_Hlk99577798"/>
      <w:r w:rsidRPr="005A1080">
        <w:rPr>
          <w:rFonts w:ascii="Arial" w:eastAsia="Times New Roman" w:hAnsi="Arial" w:cs="Arial"/>
          <w:bCs/>
          <w:sz w:val="22"/>
          <w:lang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A1080">
        <w:rPr>
          <w:rFonts w:ascii="Arial" w:eastAsia="Times New Roman" w:hAnsi="Arial" w:cs="Arial"/>
          <w:sz w:val="22"/>
          <w:vertAlign w:val="superscript"/>
          <w:lang w:eastAsia="x-none"/>
        </w:rPr>
        <w:footnoteReference w:id="20"/>
      </w:r>
      <w:r w:rsidRPr="005A1080">
        <w:rPr>
          <w:rFonts w:ascii="Arial" w:eastAsia="Times New Roman" w:hAnsi="Arial" w:cs="Arial"/>
          <w:bCs/>
          <w:sz w:val="22"/>
          <w:lang w:eastAsia="x-none"/>
        </w:rPr>
        <w:t>.</w:t>
      </w:r>
      <w:r w:rsidRPr="005A1080">
        <w:rPr>
          <w:rFonts w:ascii="Arial" w:eastAsia="Times New Roman" w:hAnsi="Arial" w:cs="Arial"/>
          <w:sz w:val="22"/>
          <w:vertAlign w:val="superscript"/>
          <w:lang w:eastAsia="x-none"/>
        </w:rPr>
        <w:t xml:space="preserve"> </w:t>
      </w:r>
    </w:p>
    <w:bookmarkEnd w:id="26"/>
    <w:p w14:paraId="7F202602" w14:textId="1887CC9C" w:rsidR="00592233" w:rsidRPr="005A1080" w:rsidRDefault="00592233" w:rsidP="00592233">
      <w:pPr>
        <w:spacing w:after="120" w:line="276" w:lineRule="auto"/>
        <w:ind w:firstLine="709"/>
        <w:jc w:val="both"/>
        <w:rPr>
          <w:rFonts w:ascii="Arial" w:eastAsia="Times New Roman" w:hAnsi="Arial" w:cs="Arial"/>
          <w:sz w:val="22"/>
          <w:lang w:eastAsia="x-none"/>
        </w:rPr>
      </w:pPr>
      <w:r w:rsidRPr="005A1080">
        <w:rPr>
          <w:rFonts w:ascii="Arial" w:eastAsia="Times New Roman"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5A1080">
        <w:rPr>
          <w:rFonts w:ascii="Arial" w:eastAsia="Times New Roman"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w:t>
      </w:r>
      <w:r w:rsidRPr="005A1080">
        <w:rPr>
          <w:rFonts w:ascii="Arial" w:eastAsia="Times New Roman" w:hAnsi="Arial" w:cs="Arial"/>
          <w:sz w:val="22"/>
          <w:lang w:eastAsia="x-none"/>
        </w:rPr>
        <w:lastRenderedPageBreak/>
        <w:t>preelectoral de que trata la disposición las entidades públicas pueden seguir contratando bajo estos sistemas.</w:t>
      </w:r>
    </w:p>
    <w:p w14:paraId="0F5F1CBB" w14:textId="77777777" w:rsidR="00592233" w:rsidRPr="005A1080" w:rsidRDefault="00592233" w:rsidP="00592233">
      <w:pPr>
        <w:spacing w:after="120" w:line="276" w:lineRule="auto"/>
        <w:ind w:firstLine="709"/>
        <w:jc w:val="both"/>
        <w:rPr>
          <w:rFonts w:ascii="Arial" w:eastAsia="Times New Roman" w:hAnsi="Arial" w:cs="Arial"/>
          <w:bCs/>
          <w:sz w:val="22"/>
          <w:lang w:eastAsia="x-none"/>
        </w:rPr>
      </w:pPr>
      <w:bookmarkStart w:id="28" w:name="_Hlk77237094"/>
      <w:bookmarkEnd w:id="27"/>
      <w:r w:rsidRPr="005A1080">
        <w:rPr>
          <w:rFonts w:ascii="Arial" w:eastAsia="Times New Roman"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8"/>
    </w:p>
    <w:p w14:paraId="4EDDEB1A" w14:textId="2CC129DB" w:rsidR="00592233" w:rsidRPr="005A1080" w:rsidRDefault="00592233" w:rsidP="00592233">
      <w:pPr>
        <w:spacing w:after="120" w:line="276" w:lineRule="auto"/>
        <w:ind w:firstLine="709"/>
        <w:jc w:val="both"/>
        <w:rPr>
          <w:rFonts w:ascii="Arial" w:eastAsia="Times New Roman" w:hAnsi="Arial" w:cs="Arial"/>
          <w:bCs/>
          <w:sz w:val="22"/>
          <w:lang w:eastAsia="es-CO"/>
        </w:rPr>
      </w:pPr>
      <w:r w:rsidRPr="005A1080">
        <w:rPr>
          <w:rFonts w:ascii="Arial" w:eastAsia="Times New Roman" w:hAnsi="Arial" w:cs="Arial"/>
          <w:bCs/>
          <w:sz w:val="22"/>
          <w:lang w:eastAsia="x-none"/>
        </w:rPr>
        <w:t xml:space="preserve">De otro lado, </w:t>
      </w:r>
      <w:bookmarkStart w:id="29" w:name="_Hlk99577887"/>
      <w:r w:rsidRPr="005A1080">
        <w:rPr>
          <w:rFonts w:ascii="Arial" w:eastAsia="Times New Roman" w:hAnsi="Arial" w:cs="Arial"/>
          <w:bCs/>
          <w:sz w:val="22"/>
          <w:lang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A1080">
        <w:rPr>
          <w:rFonts w:ascii="Arial" w:eastAsia="Times New Roman"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29"/>
    </w:p>
    <w:p w14:paraId="5898BCA5" w14:textId="7758E2EC" w:rsidR="00CB0D59" w:rsidRPr="005A1080" w:rsidRDefault="00592233" w:rsidP="00592233">
      <w:pPr>
        <w:spacing w:line="276" w:lineRule="auto"/>
        <w:ind w:firstLine="708"/>
        <w:jc w:val="both"/>
        <w:rPr>
          <w:rFonts w:ascii="Arial" w:eastAsia="Times New Roman" w:hAnsi="Arial" w:cs="Arial"/>
          <w:bCs/>
          <w:sz w:val="22"/>
          <w:lang w:eastAsia="x-none"/>
        </w:rPr>
      </w:pPr>
      <w:r w:rsidRPr="005A1080">
        <w:rPr>
          <w:rFonts w:ascii="Arial" w:eastAsia="Times New Roman" w:hAnsi="Arial" w:cs="Arial"/>
          <w:bCs/>
          <w:sz w:val="22"/>
          <w:lang w:eastAsia="x-none"/>
        </w:rPr>
        <w:t>En esta labor es importante tener en cuenta, como lo anotó la Corte Constitucional, en Sentencia C-1153 de noviembre 11 de 2005</w:t>
      </w:r>
      <w:r w:rsidRPr="005A1080">
        <w:rPr>
          <w:rFonts w:ascii="Calibri" w:eastAsia="Calibri" w:hAnsi="Calibri" w:cs="Times New Roman"/>
          <w:sz w:val="22"/>
        </w:rPr>
        <w:t>,</w:t>
      </w:r>
      <w:r w:rsidRPr="005A1080">
        <w:rPr>
          <w:rFonts w:ascii="Arial" w:eastAsia="Times New Roman" w:hAnsi="Arial" w:cs="Arial"/>
          <w:bCs/>
          <w:sz w:val="22"/>
          <w:lang w:eastAsia="x-none"/>
        </w:rPr>
        <w:t xml:space="preserve"> </w:t>
      </w:r>
      <w:bookmarkStart w:id="30" w:name="_Hlk74309042"/>
      <w:r w:rsidRPr="005A1080">
        <w:rPr>
          <w:rFonts w:ascii="Arial" w:eastAsia="Times New Roman" w:hAnsi="Arial" w:cs="Arial"/>
          <w:bCs/>
          <w:sz w:val="22"/>
          <w:lang w:eastAsia="x-none"/>
        </w:rPr>
        <w:t>que «</w:t>
      </w:r>
      <w:bookmarkEnd w:id="30"/>
      <w:r w:rsidRPr="005A1080">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31" w:name="_Hlk75768308"/>
      <w:r w:rsidRPr="005A1080">
        <w:rPr>
          <w:rFonts w:ascii="Arial" w:eastAsia="Times New Roman" w:hAnsi="Arial" w:cs="Arial"/>
          <w:bCs/>
          <w:sz w:val="22"/>
          <w:lang w:eastAsia="x-none"/>
        </w:rPr>
        <w:t>no termine yendo en detrimento de intereses públicos, cuya garantía está en cabeza del ejecutivo, como son los inmersos en las excepciones para la prohibición de contratación</w:t>
      </w:r>
      <w:bookmarkStart w:id="32" w:name="_Hlk74309060"/>
      <w:r w:rsidRPr="005A1080">
        <w:rPr>
          <w:rFonts w:ascii="Arial" w:eastAsia="Times New Roman" w:hAnsi="Arial" w:cs="Arial"/>
          <w:bCs/>
          <w:sz w:val="22"/>
          <w:lang w:eastAsia="x-none"/>
        </w:rPr>
        <w:t>»</w:t>
      </w:r>
      <w:bookmarkEnd w:id="32"/>
      <w:r w:rsidRPr="005A1080">
        <w:rPr>
          <w:rFonts w:ascii="Arial" w:eastAsia="Calibri" w:hAnsi="Arial" w:cs="Arial"/>
          <w:sz w:val="22"/>
          <w:vertAlign w:val="superscript"/>
        </w:rPr>
        <w:footnoteReference w:id="21"/>
      </w:r>
      <w:r w:rsidRPr="005A1080">
        <w:rPr>
          <w:rFonts w:ascii="Arial" w:eastAsia="Times New Roman"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End w:id="31"/>
    </w:p>
    <w:p w14:paraId="354B18AA" w14:textId="77777777" w:rsidR="001A23E4" w:rsidRPr="005A1080" w:rsidRDefault="001A23E4" w:rsidP="001A23E4">
      <w:pPr>
        <w:spacing w:line="276" w:lineRule="auto"/>
        <w:ind w:firstLine="708"/>
        <w:jc w:val="both"/>
        <w:rPr>
          <w:rFonts w:ascii="Arial" w:hAnsi="Arial" w:cs="Arial"/>
          <w:bCs/>
          <w:sz w:val="22"/>
          <w:lang w:eastAsia="x-none"/>
        </w:rPr>
      </w:pPr>
    </w:p>
    <w:p w14:paraId="1CFE0861" w14:textId="346F47AD" w:rsidR="001A23E4" w:rsidRPr="005A1080" w:rsidRDefault="001A23E4" w:rsidP="001A23E4">
      <w:pPr>
        <w:spacing w:line="276" w:lineRule="auto"/>
        <w:jc w:val="both"/>
        <w:rPr>
          <w:rFonts w:ascii="Arial" w:hAnsi="Arial" w:cs="Arial"/>
          <w:b/>
          <w:sz w:val="22"/>
          <w:lang w:eastAsia="x-none"/>
        </w:rPr>
      </w:pPr>
      <w:r w:rsidRPr="005A1080">
        <w:rPr>
          <w:rFonts w:ascii="Arial" w:hAnsi="Arial" w:cs="Arial"/>
          <w:b/>
          <w:sz w:val="22"/>
          <w:lang w:eastAsia="x-none"/>
        </w:rPr>
        <w:t>2.</w:t>
      </w:r>
      <w:r w:rsidR="00A52350" w:rsidRPr="005A1080">
        <w:rPr>
          <w:rFonts w:ascii="Arial" w:hAnsi="Arial" w:cs="Arial"/>
          <w:b/>
          <w:sz w:val="22"/>
          <w:lang w:eastAsia="x-none"/>
        </w:rPr>
        <w:t>3</w:t>
      </w:r>
      <w:r w:rsidRPr="005A1080">
        <w:rPr>
          <w:rFonts w:ascii="Arial" w:hAnsi="Arial" w:cs="Arial"/>
          <w:b/>
          <w:sz w:val="22"/>
          <w:lang w:eastAsia="x-none"/>
        </w:rPr>
        <w:t>.  Destinatarios de la restricción del artículo 33 de la Ley 996 de 2005</w:t>
      </w:r>
      <w:r w:rsidR="005D3884" w:rsidRPr="005A1080">
        <w:rPr>
          <w:rFonts w:ascii="Arial" w:hAnsi="Arial" w:cs="Arial"/>
          <w:b/>
          <w:sz w:val="22"/>
          <w:lang w:eastAsia="x-none"/>
        </w:rPr>
        <w:t xml:space="preserve">: especial referencia a los </w:t>
      </w:r>
      <w:r w:rsidR="00B10833" w:rsidRPr="005A1080">
        <w:rPr>
          <w:rFonts w:ascii="Arial" w:hAnsi="Arial" w:cs="Arial"/>
          <w:b/>
          <w:sz w:val="22"/>
          <w:lang w:eastAsia="x-none"/>
        </w:rPr>
        <w:t>negocios</w:t>
      </w:r>
      <w:r w:rsidR="005D3884" w:rsidRPr="005A1080">
        <w:rPr>
          <w:rFonts w:ascii="Arial" w:hAnsi="Arial" w:cs="Arial"/>
          <w:b/>
          <w:sz w:val="22"/>
          <w:lang w:eastAsia="x-none"/>
        </w:rPr>
        <w:t xml:space="preserve"> fiduciarios</w:t>
      </w:r>
    </w:p>
    <w:p w14:paraId="589423D0" w14:textId="77777777" w:rsidR="001A23E4" w:rsidRPr="005A1080" w:rsidRDefault="001A23E4" w:rsidP="001A23E4">
      <w:pPr>
        <w:spacing w:line="276" w:lineRule="auto"/>
        <w:jc w:val="both"/>
        <w:rPr>
          <w:rFonts w:ascii="Arial" w:hAnsi="Arial" w:cs="Arial"/>
          <w:bCs/>
          <w:sz w:val="22"/>
          <w:lang w:eastAsia="x-none"/>
        </w:rPr>
      </w:pPr>
    </w:p>
    <w:bookmarkEnd w:id="14"/>
    <w:p w14:paraId="6A33148D" w14:textId="06FA66CE" w:rsidR="00790299" w:rsidRPr="005A1080" w:rsidRDefault="00790299" w:rsidP="00790299">
      <w:pPr>
        <w:spacing w:line="276" w:lineRule="auto"/>
        <w:jc w:val="both"/>
        <w:rPr>
          <w:rFonts w:ascii="Arial" w:hAnsi="Arial" w:cs="Arial"/>
          <w:bCs/>
          <w:sz w:val="22"/>
          <w:lang w:eastAsia="x-none"/>
        </w:rPr>
      </w:pPr>
      <w:r w:rsidRPr="005A1080">
        <w:rPr>
          <w:rFonts w:ascii="Arial" w:hAnsi="Arial" w:cs="Arial"/>
          <w:bCs/>
          <w:sz w:val="22"/>
          <w:lang w:eastAsia="x-none"/>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A1080">
        <w:t xml:space="preserve"> </w:t>
      </w:r>
      <w:r w:rsidRPr="005A1080">
        <w:rPr>
          <w:rFonts w:ascii="Arial" w:hAnsi="Arial" w:cs="Arial"/>
          <w:bCs/>
          <w:sz w:val="22"/>
          <w:lang w:eastAsia="x-none"/>
        </w:rPr>
        <w:t>En efecto, tal como lo ha sostenido el Consejo de Estado, el vocablo «todos» utilizado por el legislador comprende</w:t>
      </w:r>
      <w:r w:rsidRPr="005A1080">
        <w:t xml:space="preserve"> </w:t>
      </w:r>
      <w:r w:rsidRPr="005A108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251939" w:rsidRPr="005A1080">
        <w:rPr>
          <w:rFonts w:ascii="Arial" w:hAnsi="Arial" w:cs="Arial"/>
          <w:bCs/>
          <w:sz w:val="22"/>
          <w:lang w:eastAsia="x-none"/>
        </w:rPr>
        <w:t xml:space="preserve">Incluso, dado que el legislador no distingue, la </w:t>
      </w:r>
      <w:r w:rsidR="00486992" w:rsidRPr="005A1080">
        <w:rPr>
          <w:rFonts w:ascii="Arial" w:hAnsi="Arial" w:cs="Arial"/>
          <w:bCs/>
          <w:sz w:val="22"/>
          <w:lang w:eastAsia="x-none"/>
        </w:rPr>
        <w:t>prohibición también aplica a las entidades descentralizadas indirectas, esto es, las que surgen por la voluntad asociativa de los entes públicos entre sí o con la intervención de particulares, como</w:t>
      </w:r>
      <w:r w:rsidR="007D7DE9" w:rsidRPr="005A1080">
        <w:rPr>
          <w:rFonts w:ascii="Arial" w:hAnsi="Arial" w:cs="Arial"/>
          <w:bCs/>
          <w:sz w:val="22"/>
          <w:lang w:eastAsia="x-none"/>
        </w:rPr>
        <w:t xml:space="preserve"> por ejemplo</w:t>
      </w:r>
      <w:r w:rsidR="00486992" w:rsidRPr="005A1080">
        <w:rPr>
          <w:rFonts w:ascii="Arial" w:hAnsi="Arial" w:cs="Arial"/>
          <w:bCs/>
          <w:sz w:val="22"/>
          <w:lang w:eastAsia="x-none"/>
        </w:rPr>
        <w:t xml:space="preserve"> las ESALES derivadas de los artículos 95</w:t>
      </w:r>
      <w:r w:rsidR="009E6E50" w:rsidRPr="005A1080">
        <w:rPr>
          <w:rStyle w:val="Refdenotaalpie"/>
          <w:rFonts w:ascii="Arial" w:hAnsi="Arial" w:cs="Arial"/>
          <w:bCs/>
          <w:sz w:val="22"/>
          <w:lang w:eastAsia="x-none"/>
        </w:rPr>
        <w:footnoteReference w:id="22"/>
      </w:r>
      <w:r w:rsidR="00486992" w:rsidRPr="005A1080">
        <w:rPr>
          <w:rFonts w:ascii="Arial" w:hAnsi="Arial" w:cs="Arial"/>
          <w:bCs/>
          <w:sz w:val="22"/>
          <w:lang w:eastAsia="x-none"/>
        </w:rPr>
        <w:t xml:space="preserve"> y 96</w:t>
      </w:r>
      <w:r w:rsidR="009E6E50" w:rsidRPr="005A1080">
        <w:rPr>
          <w:rStyle w:val="Refdenotaalpie"/>
          <w:rFonts w:ascii="Arial" w:hAnsi="Arial" w:cs="Arial"/>
          <w:bCs/>
          <w:sz w:val="22"/>
          <w:lang w:eastAsia="x-none"/>
        </w:rPr>
        <w:footnoteReference w:id="23"/>
      </w:r>
      <w:r w:rsidR="00486992" w:rsidRPr="005A1080">
        <w:rPr>
          <w:rFonts w:ascii="Arial" w:hAnsi="Arial" w:cs="Arial"/>
          <w:bCs/>
          <w:sz w:val="22"/>
          <w:lang w:eastAsia="x-none"/>
        </w:rPr>
        <w:t xml:space="preserve"> de la Ley 489 de 1998.</w:t>
      </w:r>
      <w:r w:rsidR="00571A87" w:rsidRPr="005A1080">
        <w:rPr>
          <w:rFonts w:ascii="Arial" w:hAnsi="Arial" w:cs="Arial"/>
          <w:bCs/>
          <w:sz w:val="22"/>
          <w:lang w:eastAsia="x-none"/>
        </w:rPr>
        <w:t xml:space="preserve"> </w:t>
      </w:r>
      <w:r w:rsidR="000A5B6C" w:rsidRPr="005A1080">
        <w:rPr>
          <w:rFonts w:ascii="Arial" w:hAnsi="Arial" w:cs="Arial"/>
          <w:bCs/>
          <w:sz w:val="22"/>
          <w:lang w:eastAsia="x-none"/>
        </w:rPr>
        <w:t>L</w:t>
      </w:r>
      <w:r w:rsidR="00571A87" w:rsidRPr="005A1080">
        <w:rPr>
          <w:rFonts w:ascii="Arial" w:hAnsi="Arial" w:cs="Arial"/>
          <w:bCs/>
          <w:sz w:val="22"/>
          <w:lang w:eastAsia="x-none"/>
        </w:rPr>
        <w:t>a aplicación de la restri</w:t>
      </w:r>
      <w:r w:rsidR="00D92666" w:rsidRPr="005A1080">
        <w:rPr>
          <w:rFonts w:ascii="Arial" w:hAnsi="Arial" w:cs="Arial"/>
          <w:bCs/>
          <w:sz w:val="22"/>
          <w:lang w:eastAsia="x-none"/>
        </w:rPr>
        <w:t>cción tampoco se encuentra condicionada por la ejecución de recursos</w:t>
      </w:r>
      <w:r w:rsidR="006406FA" w:rsidRPr="005A1080">
        <w:rPr>
          <w:rFonts w:ascii="Arial" w:hAnsi="Arial" w:cs="Arial"/>
          <w:bCs/>
          <w:sz w:val="22"/>
          <w:lang w:eastAsia="x-none"/>
        </w:rPr>
        <w:t xml:space="preserve"> en el marco de los respectivos contratos o </w:t>
      </w:r>
      <w:r w:rsidR="00E22A8C" w:rsidRPr="005A1080">
        <w:rPr>
          <w:rFonts w:ascii="Arial" w:hAnsi="Arial" w:cs="Arial"/>
          <w:bCs/>
          <w:sz w:val="22"/>
          <w:lang w:eastAsia="x-none"/>
        </w:rPr>
        <w:t>el origen</w:t>
      </w:r>
      <w:r w:rsidR="006406FA" w:rsidRPr="005A1080">
        <w:rPr>
          <w:rFonts w:ascii="Arial" w:hAnsi="Arial" w:cs="Arial"/>
          <w:bCs/>
          <w:sz w:val="22"/>
          <w:lang w:eastAsia="x-none"/>
        </w:rPr>
        <w:t xml:space="preserve"> de </w:t>
      </w:r>
      <w:r w:rsidR="000C47D2" w:rsidRPr="005A1080">
        <w:rPr>
          <w:rFonts w:ascii="Arial" w:hAnsi="Arial" w:cs="Arial"/>
          <w:bCs/>
          <w:sz w:val="22"/>
          <w:lang w:eastAsia="x-none"/>
        </w:rPr>
        <w:t>estos</w:t>
      </w:r>
      <w:r w:rsidR="006406FA" w:rsidRPr="005A1080">
        <w:rPr>
          <w:rFonts w:ascii="Arial" w:hAnsi="Arial" w:cs="Arial"/>
          <w:bCs/>
          <w:sz w:val="22"/>
          <w:lang w:eastAsia="x-none"/>
        </w:rPr>
        <w:t xml:space="preserve">, de manera que la restricción aplica independientemente de que </w:t>
      </w:r>
      <w:r w:rsidR="000A5B6C" w:rsidRPr="005A1080">
        <w:rPr>
          <w:rFonts w:ascii="Arial" w:hAnsi="Arial" w:cs="Arial"/>
          <w:bCs/>
          <w:sz w:val="22"/>
          <w:lang w:eastAsia="x-none"/>
        </w:rPr>
        <w:t>el contrato implique o no la ejecución de recursos</w:t>
      </w:r>
      <w:r w:rsidR="007B7F7B" w:rsidRPr="005A1080">
        <w:rPr>
          <w:rFonts w:ascii="Arial" w:hAnsi="Arial" w:cs="Arial"/>
          <w:bCs/>
          <w:sz w:val="22"/>
          <w:lang w:eastAsia="x-none"/>
        </w:rPr>
        <w:t xml:space="preserve"> o si los recursos destinados son de naturaleza pública o privada</w:t>
      </w:r>
      <w:r w:rsidR="000A5B6C" w:rsidRPr="005A1080">
        <w:rPr>
          <w:rFonts w:ascii="Arial" w:hAnsi="Arial" w:cs="Arial"/>
          <w:bCs/>
          <w:sz w:val="22"/>
          <w:lang w:eastAsia="x-none"/>
        </w:rPr>
        <w:t xml:space="preserve">. </w:t>
      </w:r>
      <w:r w:rsidR="00486992" w:rsidRPr="005A1080">
        <w:rPr>
          <w:rFonts w:ascii="Arial" w:hAnsi="Arial" w:cs="Arial"/>
          <w:bCs/>
          <w:sz w:val="22"/>
          <w:lang w:eastAsia="x-none"/>
        </w:rPr>
        <w:t>Por lo demás, e</w:t>
      </w:r>
      <w:r w:rsidRPr="005A1080">
        <w:rPr>
          <w:rFonts w:ascii="Arial" w:hAnsi="Arial" w:cs="Arial"/>
          <w:bCs/>
          <w:sz w:val="22"/>
          <w:lang w:eastAsia="x-none"/>
        </w:rPr>
        <w:t xml:space="preserve">l Consejo de Estado, en Concepto con radicado 1727 de fecha 20 de febrero de 2006, consideró que: </w:t>
      </w:r>
    </w:p>
    <w:p w14:paraId="44A84E59" w14:textId="77777777" w:rsidR="00790299" w:rsidRPr="005A1080" w:rsidRDefault="00790299" w:rsidP="00790299">
      <w:pPr>
        <w:spacing w:line="276" w:lineRule="auto"/>
        <w:ind w:firstLine="708"/>
        <w:jc w:val="both"/>
        <w:rPr>
          <w:rFonts w:ascii="Arial" w:hAnsi="Arial" w:cs="Arial"/>
          <w:bCs/>
          <w:sz w:val="22"/>
          <w:lang w:eastAsia="x-none"/>
        </w:rPr>
      </w:pPr>
    </w:p>
    <w:p w14:paraId="07D2801B" w14:textId="77777777" w:rsidR="00790299" w:rsidRPr="005A1080" w:rsidRDefault="00790299" w:rsidP="00790299">
      <w:pPr>
        <w:ind w:left="708" w:right="709"/>
        <w:jc w:val="both"/>
        <w:rPr>
          <w:rFonts w:ascii="Arial" w:hAnsi="Arial" w:cs="Arial"/>
          <w:bCs/>
          <w:sz w:val="21"/>
          <w:szCs w:val="21"/>
          <w:lang w:eastAsia="es-CO"/>
        </w:rPr>
      </w:pPr>
      <w:r w:rsidRPr="005A1080">
        <w:rPr>
          <w:rFonts w:ascii="Arial" w:hAnsi="Arial" w:cs="Arial"/>
          <w:bCs/>
          <w:sz w:val="21"/>
          <w:szCs w:val="21"/>
          <w:lang w:eastAsia="x-none"/>
        </w:rPr>
        <w:t xml:space="preserve">El artículo 33 de la ley 996 de 2005, </w:t>
      </w:r>
      <w:bookmarkStart w:id="33" w:name="_Hlk75787147"/>
      <w:r w:rsidRPr="005A1080">
        <w:rPr>
          <w:rFonts w:ascii="Arial" w:hAnsi="Arial" w:cs="Arial"/>
          <w:bCs/>
          <w:sz w:val="21"/>
          <w:szCs w:val="21"/>
          <w:lang w:eastAsia="x-none"/>
        </w:rPr>
        <w:t xml:space="preserve">efectivamente se aplica incluso a las entidades estatales con régimen especial de contratación y que están exceptuadas del ámbito de aplicación del Estatuto General de Contratación de la Administración Pública, como por ejemplo los prestadores de servicios </w:t>
      </w:r>
      <w:r w:rsidRPr="005A1080">
        <w:rPr>
          <w:rFonts w:ascii="Arial" w:hAnsi="Arial" w:cs="Arial"/>
          <w:bCs/>
          <w:sz w:val="21"/>
          <w:szCs w:val="21"/>
          <w:lang w:eastAsia="x-none"/>
        </w:rPr>
        <w:lastRenderedPageBreak/>
        <w:t>públicos domiciliarios (empresas de servicios públicos oficiales y empresas industriales y comerciales del Estado) y a los municipios prestadores directos, incluyendo las excepciones contenidas en el segundo inciso de esta norma</w:t>
      </w:r>
      <w:r w:rsidRPr="005A1080">
        <w:rPr>
          <w:rFonts w:ascii="Arial" w:hAnsi="Arial" w:cs="Arial"/>
          <w:bCs/>
          <w:sz w:val="21"/>
          <w:szCs w:val="21"/>
          <w:vertAlign w:val="superscript"/>
          <w:lang w:eastAsia="x-none"/>
        </w:rPr>
        <w:footnoteReference w:id="24"/>
      </w:r>
      <w:r w:rsidRPr="005A1080">
        <w:rPr>
          <w:rFonts w:ascii="Arial" w:hAnsi="Arial" w:cs="Arial"/>
          <w:bCs/>
          <w:sz w:val="21"/>
          <w:szCs w:val="21"/>
          <w:lang w:eastAsia="x-none"/>
        </w:rPr>
        <w:t>.</w:t>
      </w:r>
      <w:r w:rsidRPr="005A1080">
        <w:rPr>
          <w:rFonts w:ascii="Arial" w:hAnsi="Arial" w:cs="Arial"/>
          <w:bCs/>
          <w:sz w:val="21"/>
          <w:szCs w:val="21"/>
          <w:lang w:eastAsia="es-CO"/>
        </w:rPr>
        <w:t xml:space="preserve"> </w:t>
      </w:r>
    </w:p>
    <w:p w14:paraId="31894222" w14:textId="77777777" w:rsidR="00790299" w:rsidRPr="005A1080" w:rsidRDefault="00790299" w:rsidP="00790299">
      <w:pPr>
        <w:spacing w:line="276" w:lineRule="auto"/>
        <w:ind w:firstLine="708"/>
        <w:jc w:val="both"/>
        <w:rPr>
          <w:rFonts w:ascii="Arial" w:hAnsi="Arial" w:cs="Arial"/>
          <w:bCs/>
          <w:sz w:val="22"/>
          <w:lang w:eastAsia="es-CO"/>
        </w:rPr>
      </w:pPr>
    </w:p>
    <w:p w14:paraId="79BAE046" w14:textId="77777777" w:rsidR="00790299" w:rsidRPr="005A1080" w:rsidRDefault="00790299" w:rsidP="00790299">
      <w:pPr>
        <w:spacing w:line="276" w:lineRule="auto"/>
        <w:ind w:firstLine="708"/>
        <w:jc w:val="both"/>
        <w:rPr>
          <w:rFonts w:ascii="Arial" w:hAnsi="Arial" w:cs="Arial"/>
          <w:sz w:val="22"/>
        </w:rPr>
      </w:pPr>
      <w:r w:rsidRPr="005A1080">
        <w:rPr>
          <w:rFonts w:ascii="Arial" w:hAnsi="Arial" w:cs="Arial"/>
          <w:bCs/>
          <w:sz w:val="22"/>
          <w:lang w:eastAsia="x-none"/>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34" w:name="_Hlk75635823"/>
      <w:r w:rsidRPr="005A1080">
        <w:rPr>
          <w:rFonts w:ascii="Arial" w:hAnsi="Arial" w:cs="Arial"/>
          <w:bCs/>
          <w:sz w:val="22"/>
          <w:lang w:eastAsia="x-none"/>
        </w:rPr>
        <w:t>»</w:t>
      </w:r>
      <w:bookmarkStart w:id="35" w:name="_Hlk75758868"/>
      <w:bookmarkStart w:id="36" w:name="_Hlk75741220"/>
      <w:bookmarkEnd w:id="34"/>
      <w:r w:rsidRPr="005A1080">
        <w:rPr>
          <w:rFonts w:ascii="Arial" w:hAnsi="Arial" w:cs="Arial"/>
          <w:vertAlign w:val="superscript"/>
        </w:rPr>
        <w:footnoteReference w:id="25"/>
      </w:r>
      <w:bookmarkEnd w:id="35"/>
      <w:bookmarkEnd w:id="36"/>
      <w:r w:rsidRPr="005A1080">
        <w:rPr>
          <w:rFonts w:ascii="Arial" w:hAnsi="Arial" w:cs="Arial"/>
          <w:bCs/>
          <w:sz w:val="22"/>
          <w:lang w:eastAsia="x-none"/>
        </w:rPr>
        <w:t>.</w:t>
      </w:r>
      <w:r w:rsidRPr="005A1080">
        <w:rPr>
          <w:rFonts w:ascii="Arial" w:hAnsi="Arial" w:cs="Arial"/>
          <w:sz w:val="22"/>
        </w:rPr>
        <w:t xml:space="preserve"> Sin embargo, debe precisarse el siguiente aspecto que distinguió la Sala de Consulta y Servicio Civil:</w:t>
      </w:r>
    </w:p>
    <w:p w14:paraId="113ADA0A" w14:textId="77777777" w:rsidR="00790299" w:rsidRPr="005A1080" w:rsidRDefault="00790299" w:rsidP="00790299">
      <w:pPr>
        <w:spacing w:line="276" w:lineRule="auto"/>
        <w:jc w:val="both"/>
        <w:rPr>
          <w:rFonts w:ascii="Arial" w:hAnsi="Arial" w:cs="Arial"/>
          <w:sz w:val="22"/>
        </w:rPr>
      </w:pPr>
    </w:p>
    <w:p w14:paraId="19CB67CF" w14:textId="77777777" w:rsidR="00790299" w:rsidRPr="005A1080" w:rsidRDefault="00790299" w:rsidP="00790299">
      <w:pPr>
        <w:ind w:left="708" w:right="709"/>
        <w:jc w:val="both"/>
        <w:rPr>
          <w:rFonts w:ascii="Arial" w:hAnsi="Arial" w:cs="Arial"/>
          <w:sz w:val="21"/>
          <w:szCs w:val="21"/>
        </w:rPr>
      </w:pPr>
      <w:bookmarkStart w:id="38" w:name="_Hlk75811446"/>
      <w:r w:rsidRPr="005A1080">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8"/>
      <w:r w:rsidRPr="005A1080">
        <w:rPr>
          <w:rFonts w:ascii="Arial" w:hAnsi="Arial" w:cs="Arial"/>
          <w:vertAlign w:val="superscript"/>
        </w:rPr>
        <w:footnoteReference w:id="26"/>
      </w:r>
      <w:r w:rsidRPr="005A1080">
        <w:rPr>
          <w:rFonts w:ascii="Arial" w:hAnsi="Arial" w:cs="Arial"/>
          <w:bCs/>
          <w:sz w:val="22"/>
          <w:lang w:eastAsia="x-none"/>
        </w:rPr>
        <w:t>.</w:t>
      </w:r>
    </w:p>
    <w:p w14:paraId="2B5A3031" w14:textId="77777777" w:rsidR="00790299" w:rsidRPr="005A1080" w:rsidRDefault="00790299" w:rsidP="00790299">
      <w:pPr>
        <w:spacing w:line="276" w:lineRule="auto"/>
        <w:jc w:val="both"/>
        <w:rPr>
          <w:rFonts w:ascii="Arial" w:hAnsi="Arial" w:cs="Arial"/>
          <w:sz w:val="22"/>
        </w:rPr>
      </w:pPr>
    </w:p>
    <w:p w14:paraId="3DF77FEC" w14:textId="77EFC662" w:rsidR="00790299" w:rsidRPr="005A1080" w:rsidRDefault="00790299" w:rsidP="00790299">
      <w:pPr>
        <w:spacing w:after="120" w:line="276" w:lineRule="auto"/>
        <w:ind w:firstLine="709"/>
        <w:jc w:val="both"/>
        <w:rPr>
          <w:rFonts w:ascii="Arial" w:hAnsi="Arial" w:cs="Arial"/>
          <w:sz w:val="22"/>
        </w:rPr>
      </w:pPr>
      <w:r w:rsidRPr="005A1080">
        <w:rPr>
          <w:rFonts w:ascii="Arial" w:hAnsi="Arial" w:cs="Arial"/>
          <w:sz w:val="22"/>
        </w:rPr>
        <w:t>Aplicando este razonamiento,</w:t>
      </w:r>
      <w:bookmarkStart w:id="39" w:name="_Hlk75811096"/>
      <w:r w:rsidRPr="005A1080">
        <w:rPr>
          <w:rFonts w:ascii="Arial" w:hAnsi="Arial" w:cs="Arial"/>
          <w:sz w:val="22"/>
        </w:rPr>
        <w:t xml:space="preserve"> se tiene que las empresas industriales y comerciales del estado y a las empresas de servicios públicos oficiales y mixtas no pueden adquirir los </w:t>
      </w:r>
      <w:r w:rsidRPr="005A1080">
        <w:rPr>
          <w:rFonts w:ascii="Arial" w:hAnsi="Arial" w:cs="Arial"/>
          <w:sz w:val="22"/>
        </w:rPr>
        <w:lastRenderedPageBreak/>
        <w:t>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39"/>
      <w:r w:rsidRPr="005A1080">
        <w:rPr>
          <w:rFonts w:ascii="Arial" w:hAnsi="Arial" w:cs="Arial"/>
          <w:sz w:val="22"/>
        </w:rPr>
        <w:t>»</w:t>
      </w:r>
      <w:r w:rsidRPr="005A1080">
        <w:rPr>
          <w:rFonts w:ascii="Arial" w:hAnsi="Arial" w:cs="Arial"/>
          <w:vertAlign w:val="superscript"/>
        </w:rPr>
        <w:t xml:space="preserve"> </w:t>
      </w:r>
      <w:r w:rsidRPr="005A1080">
        <w:rPr>
          <w:rFonts w:ascii="Arial" w:hAnsi="Arial" w:cs="Arial"/>
          <w:sz w:val="22"/>
          <w:vertAlign w:val="superscript"/>
        </w:rPr>
        <w:footnoteReference w:id="27"/>
      </w:r>
      <w:r w:rsidRPr="005A1080">
        <w:rPr>
          <w:rFonts w:ascii="Arial" w:hAnsi="Arial" w:cs="Arial"/>
          <w:sz w:val="22"/>
        </w:rPr>
        <w:t>.</w:t>
      </w:r>
    </w:p>
    <w:p w14:paraId="0A77F9D4" w14:textId="70824A46" w:rsidR="0083076E" w:rsidRPr="005A1080" w:rsidRDefault="0083076E" w:rsidP="00290ACC">
      <w:pPr>
        <w:spacing w:after="120" w:line="276" w:lineRule="auto"/>
        <w:ind w:firstLine="709"/>
        <w:jc w:val="both"/>
        <w:rPr>
          <w:rFonts w:ascii="Arial" w:hAnsi="Arial" w:cs="Arial"/>
          <w:sz w:val="22"/>
        </w:rPr>
      </w:pPr>
      <w:r w:rsidRPr="005A1080">
        <w:rPr>
          <w:rFonts w:ascii="Arial" w:hAnsi="Arial" w:cs="Arial"/>
          <w:sz w:val="22"/>
        </w:rPr>
        <w:t>T</w:t>
      </w:r>
      <w:r w:rsidR="009E7E38" w:rsidRPr="005A1080">
        <w:rPr>
          <w:rFonts w:ascii="Arial" w:hAnsi="Arial" w:cs="Arial"/>
          <w:sz w:val="22"/>
        </w:rPr>
        <w:t xml:space="preserve">ratándose de los patrimonios autónomos constituidos por entidades estatales, es necesario tener en cuenta que la naturaleza jurídica del fideicomitente no se traslada </w:t>
      </w:r>
      <w:r w:rsidR="009E7E38" w:rsidRPr="005A1080">
        <w:rPr>
          <w:rFonts w:ascii="Arial" w:hAnsi="Arial" w:cs="Arial"/>
          <w:i/>
          <w:iCs/>
          <w:sz w:val="22"/>
        </w:rPr>
        <w:t>ipso iure</w:t>
      </w:r>
      <w:r w:rsidR="009E7E38" w:rsidRPr="005A1080">
        <w:rPr>
          <w:rFonts w:ascii="Arial" w:hAnsi="Arial" w:cs="Arial"/>
          <w:sz w:val="22"/>
        </w:rPr>
        <w:t xml:space="preserve"> a lo</w:t>
      </w:r>
      <w:r w:rsidR="00BD2C44" w:rsidRPr="005A1080">
        <w:rPr>
          <w:rFonts w:ascii="Arial" w:hAnsi="Arial" w:cs="Arial"/>
          <w:sz w:val="22"/>
        </w:rPr>
        <w:t>s</w:t>
      </w:r>
      <w:r w:rsidR="009E7E38" w:rsidRPr="005A1080">
        <w:rPr>
          <w:rFonts w:ascii="Arial" w:hAnsi="Arial" w:cs="Arial"/>
          <w:sz w:val="22"/>
        </w:rPr>
        <w:t xml:space="preserve"> bienes fideicomitidos que administra la</w:t>
      </w:r>
      <w:r w:rsidR="00DD35B4" w:rsidRPr="005A1080">
        <w:rPr>
          <w:rFonts w:ascii="Arial" w:hAnsi="Arial" w:cs="Arial"/>
          <w:sz w:val="22"/>
        </w:rPr>
        <w:t xml:space="preserve"> sociedad</w:t>
      </w:r>
      <w:r w:rsidR="009E7E38" w:rsidRPr="005A1080">
        <w:rPr>
          <w:rFonts w:ascii="Arial" w:hAnsi="Arial" w:cs="Arial"/>
          <w:sz w:val="22"/>
        </w:rPr>
        <w:t xml:space="preserve"> fiduciaria. </w:t>
      </w:r>
      <w:r w:rsidRPr="005A1080">
        <w:rPr>
          <w:rFonts w:ascii="Arial" w:hAnsi="Arial" w:cs="Arial"/>
          <w:sz w:val="22"/>
        </w:rPr>
        <w:t>Por ello, el inciso primero del artículo 2.5.2.1.1 del Decreto 2555 de 2010 dispone que «[…] aun cuando no son personas jurídicas, se constituyen en receptores de los derechos y obligaciones legales y convencionalmente derivados de los actos y contratos celebrados y ejecutados por el fiduciario en cumplimiento del contrato de fiducia».</w:t>
      </w:r>
    </w:p>
    <w:p w14:paraId="449AA380" w14:textId="7C13462C" w:rsidR="009E7E38" w:rsidRPr="005A1080" w:rsidRDefault="009E7E38" w:rsidP="0089436F">
      <w:pPr>
        <w:spacing w:line="276" w:lineRule="auto"/>
        <w:ind w:firstLine="709"/>
        <w:jc w:val="both"/>
        <w:rPr>
          <w:rFonts w:ascii="Arial" w:hAnsi="Arial" w:cs="Arial"/>
          <w:sz w:val="22"/>
        </w:rPr>
      </w:pPr>
      <w:r w:rsidRPr="005A1080">
        <w:rPr>
          <w:rFonts w:ascii="Arial" w:hAnsi="Arial" w:cs="Arial"/>
          <w:sz w:val="22"/>
        </w:rPr>
        <w:t>En esta medida,</w:t>
      </w:r>
      <w:r w:rsidR="00DF0452" w:rsidRPr="005A1080">
        <w:rPr>
          <w:rFonts w:ascii="Arial" w:hAnsi="Arial" w:cs="Arial"/>
          <w:sz w:val="22"/>
        </w:rPr>
        <w:t xml:space="preserve"> conforme a los artículos 1226 y 1233 del Código de Comercio,</w:t>
      </w:r>
      <w:r w:rsidRPr="005A1080">
        <w:rPr>
          <w:rFonts w:ascii="Arial" w:hAnsi="Arial" w:cs="Arial"/>
          <w:sz w:val="22"/>
        </w:rPr>
        <w:t xml:space="preserve"> </w:t>
      </w:r>
      <w:r w:rsidR="00DD35B4" w:rsidRPr="005A1080">
        <w:rPr>
          <w:rFonts w:ascii="Arial" w:hAnsi="Arial" w:cs="Arial"/>
          <w:sz w:val="22"/>
        </w:rPr>
        <w:t>el patrimonio autónomo es un centro de imputación de derechos y obligaciones</w:t>
      </w:r>
      <w:r w:rsidR="00DF0452" w:rsidRPr="005A1080">
        <w:rPr>
          <w:rFonts w:ascii="Arial" w:hAnsi="Arial" w:cs="Arial"/>
          <w:sz w:val="22"/>
        </w:rPr>
        <w:t xml:space="preserve"> afecto a la finalidad contemplada en el acto constitutivo</w:t>
      </w:r>
      <w:r w:rsidR="00DD35B4" w:rsidRPr="005A1080">
        <w:rPr>
          <w:rFonts w:ascii="Arial" w:hAnsi="Arial" w:cs="Arial"/>
          <w:sz w:val="22"/>
        </w:rPr>
        <w:t xml:space="preserve">, de carácter temporal y </w:t>
      </w:r>
      <w:r w:rsidR="00DF0452" w:rsidRPr="005A1080">
        <w:rPr>
          <w:rFonts w:ascii="Arial" w:hAnsi="Arial" w:cs="Arial"/>
          <w:sz w:val="22"/>
        </w:rPr>
        <w:t xml:space="preserve">totalmente </w:t>
      </w:r>
      <w:r w:rsidR="00DD35B4" w:rsidRPr="005A1080">
        <w:rPr>
          <w:rFonts w:ascii="Arial" w:hAnsi="Arial" w:cs="Arial"/>
          <w:sz w:val="22"/>
        </w:rPr>
        <w:t xml:space="preserve">diferente a la persona que </w:t>
      </w:r>
      <w:r w:rsidR="00DF0452" w:rsidRPr="005A1080">
        <w:rPr>
          <w:rFonts w:ascii="Arial" w:hAnsi="Arial" w:cs="Arial"/>
          <w:sz w:val="22"/>
        </w:rPr>
        <w:t>lo origina</w:t>
      </w:r>
      <w:r w:rsidR="00DD35B4" w:rsidRPr="005A1080">
        <w:rPr>
          <w:rFonts w:ascii="Arial" w:hAnsi="Arial" w:cs="Arial"/>
          <w:sz w:val="22"/>
        </w:rPr>
        <w:t xml:space="preserve"> –fiduciante, fideicomitente o constituyente–, quien lo administra –fiduciario– y quien habrá de recibirlo –fideicomisario o beneficiario–.</w:t>
      </w:r>
      <w:r w:rsidR="005C5501" w:rsidRPr="005A1080">
        <w:rPr>
          <w:rFonts w:ascii="Arial" w:hAnsi="Arial" w:cs="Arial"/>
          <w:sz w:val="22"/>
        </w:rPr>
        <w:t xml:space="preserve"> Al respecto, la Superintendencia Financiera considera que:</w:t>
      </w:r>
    </w:p>
    <w:p w14:paraId="344C0894" w14:textId="77777777" w:rsidR="0089436F" w:rsidRPr="005A1080" w:rsidRDefault="0089436F" w:rsidP="009E6E50">
      <w:pPr>
        <w:spacing w:line="276" w:lineRule="auto"/>
        <w:ind w:firstLine="709"/>
        <w:jc w:val="both"/>
        <w:rPr>
          <w:rFonts w:ascii="Arial" w:hAnsi="Arial" w:cs="Arial"/>
          <w:sz w:val="22"/>
        </w:rPr>
      </w:pPr>
    </w:p>
    <w:p w14:paraId="459D1BB7" w14:textId="3A2FEE73" w:rsidR="005C5501" w:rsidRPr="005A1080" w:rsidRDefault="005C5501" w:rsidP="009E6E50">
      <w:pPr>
        <w:spacing w:after="120"/>
        <w:ind w:left="709" w:right="709"/>
        <w:jc w:val="both"/>
        <w:rPr>
          <w:rFonts w:ascii="Arial" w:hAnsi="Arial" w:cs="Arial"/>
          <w:sz w:val="21"/>
          <w:szCs w:val="21"/>
        </w:rPr>
      </w:pPr>
      <w:r w:rsidRPr="005A1080">
        <w:rPr>
          <w:rFonts w:ascii="Arial" w:hAnsi="Arial" w:cs="Arial"/>
          <w:sz w:val="21"/>
          <w:szCs w:val="21"/>
        </w:rPr>
        <w:t xml:space="preserve">[…] el negocio fiduciario […] supone una transferencia de bienes por parte de un constituyente para que con ellos se cumpla una finalidad. Ese conjunto de bienes transferidos a una fiduciaria es lo que conforma o se denomina patrimonio autónomo. Dichos bienes salen real y jurídicamente del patrimonio del fideicomitente (titular del dominio) y están afectos al cumplimiento de las finalidades señaladas en el acto constitutivo. (artículos 1226 a 1244 del C. Co). </w:t>
      </w:r>
    </w:p>
    <w:p w14:paraId="51CFD282" w14:textId="77777777" w:rsidR="0089436F" w:rsidRPr="005A1080" w:rsidRDefault="005C5501" w:rsidP="009E6E50">
      <w:pPr>
        <w:ind w:left="709" w:right="709"/>
        <w:jc w:val="both"/>
        <w:rPr>
          <w:rFonts w:ascii="Arial" w:hAnsi="Arial" w:cs="Arial"/>
          <w:sz w:val="21"/>
          <w:szCs w:val="21"/>
        </w:rPr>
      </w:pPr>
      <w:r w:rsidRPr="005A1080">
        <w:rPr>
          <w:rFonts w:ascii="Arial" w:hAnsi="Arial" w:cs="Arial"/>
          <w:sz w:val="21"/>
          <w:szCs w:val="21"/>
        </w:rPr>
        <w:t>Los bienes recibidos en fideicomiso, es decir que conforman el patrimonio autónomo no pueden confundirse con los bienes del fiduciario, luego deben estar separados de los que integran los activos de la fiduciaria, son excluidos de la garantía general de los acreedores del fiduciario y fideicomitente y garantizan las obligaciones que contraiga el patrimonio autónomo en el logro de la finalidad de la fiducia</w:t>
      </w:r>
      <w:r w:rsidRPr="005A1080">
        <w:rPr>
          <w:rStyle w:val="Refdenotaalpie"/>
          <w:rFonts w:ascii="Arial" w:hAnsi="Arial" w:cs="Arial"/>
          <w:sz w:val="21"/>
          <w:szCs w:val="21"/>
        </w:rPr>
        <w:footnoteReference w:id="28"/>
      </w:r>
      <w:r w:rsidRPr="005A1080">
        <w:rPr>
          <w:rFonts w:ascii="Arial" w:hAnsi="Arial" w:cs="Arial"/>
          <w:sz w:val="21"/>
          <w:szCs w:val="21"/>
        </w:rPr>
        <w:t xml:space="preserve">. </w:t>
      </w:r>
    </w:p>
    <w:p w14:paraId="219D08DB" w14:textId="63F1E44A" w:rsidR="005C5501" w:rsidRPr="005A1080" w:rsidRDefault="005C5501" w:rsidP="009E6E50">
      <w:pPr>
        <w:spacing w:line="276" w:lineRule="auto"/>
        <w:ind w:left="709" w:right="709"/>
        <w:jc w:val="both"/>
        <w:rPr>
          <w:rFonts w:ascii="Arial" w:hAnsi="Arial" w:cs="Arial"/>
          <w:sz w:val="22"/>
        </w:rPr>
      </w:pPr>
      <w:r w:rsidRPr="005A1080">
        <w:rPr>
          <w:rFonts w:ascii="Arial" w:hAnsi="Arial" w:cs="Arial"/>
          <w:sz w:val="22"/>
        </w:rPr>
        <w:t xml:space="preserve">   </w:t>
      </w:r>
    </w:p>
    <w:p w14:paraId="4B53BB0B" w14:textId="59934CAF" w:rsidR="00486C76" w:rsidRPr="005A1080" w:rsidRDefault="0089436F" w:rsidP="0089436F">
      <w:pPr>
        <w:spacing w:after="120" w:line="276" w:lineRule="auto"/>
        <w:ind w:firstLine="708"/>
        <w:jc w:val="both"/>
        <w:rPr>
          <w:rFonts w:ascii="Arial" w:hAnsi="Arial" w:cs="Arial"/>
          <w:sz w:val="22"/>
        </w:rPr>
      </w:pPr>
      <w:r w:rsidRPr="005A1080">
        <w:rPr>
          <w:rFonts w:ascii="Arial" w:hAnsi="Arial" w:cs="Arial"/>
          <w:sz w:val="22"/>
        </w:rPr>
        <w:t>De acuerdo con lo anterior, es importante separar los patrimonios del fiduciante y la fiduciaria del patrimonio autónomo constituido con ocasión del contrato de fiducia, puesto que cada uno de ellos deberá responder por sus propias obligaciones. Por tanto, el patrimonio autónomo s</w:t>
      </w:r>
      <w:r w:rsidR="009C7EE6" w:rsidRPr="005A1080">
        <w:rPr>
          <w:rFonts w:ascii="Arial" w:hAnsi="Arial" w:cs="Arial"/>
          <w:sz w:val="22"/>
        </w:rPr>
        <w:t>o</w:t>
      </w:r>
      <w:r w:rsidRPr="005A1080">
        <w:rPr>
          <w:rFonts w:ascii="Arial" w:hAnsi="Arial" w:cs="Arial"/>
          <w:sz w:val="22"/>
        </w:rPr>
        <w:t xml:space="preserve">lo será responsable por las obligaciones que se contraigan por el </w:t>
      </w:r>
      <w:r w:rsidRPr="005A1080">
        <w:rPr>
          <w:rFonts w:ascii="Arial" w:hAnsi="Arial" w:cs="Arial"/>
          <w:sz w:val="22"/>
        </w:rPr>
        <w:lastRenderedPageBreak/>
        <w:t>logro de la finalidad para la cual fue entregado en administración y nunca por las obligaciones derivadas del cumplimiento del objeto social de la entidad fiduciaria ni por las que haya adquirido el fiduciante.</w:t>
      </w:r>
      <w:r w:rsidR="0083076E" w:rsidRPr="005A1080">
        <w:rPr>
          <w:rFonts w:ascii="Arial" w:hAnsi="Arial" w:cs="Arial"/>
          <w:sz w:val="22"/>
        </w:rPr>
        <w:t xml:space="preserve"> En esta medida, los patrimonios autónomos no pueden considerarse </w:t>
      </w:r>
      <w:r w:rsidR="00486C76" w:rsidRPr="005A1080">
        <w:rPr>
          <w:rFonts w:ascii="Arial" w:hAnsi="Arial" w:cs="Arial"/>
          <w:sz w:val="22"/>
        </w:rPr>
        <w:t>como entidades del Estado, pues derivan de negocios fiduciarios conformados por un conjunto de bienes para</w:t>
      </w:r>
      <w:r w:rsidR="009C7EE6" w:rsidRPr="005A1080">
        <w:rPr>
          <w:rFonts w:ascii="Arial" w:hAnsi="Arial" w:cs="Arial"/>
          <w:sz w:val="22"/>
        </w:rPr>
        <w:t xml:space="preserve"> el</w:t>
      </w:r>
      <w:r w:rsidR="00486C76" w:rsidRPr="005A1080">
        <w:rPr>
          <w:rFonts w:ascii="Arial" w:hAnsi="Arial" w:cs="Arial"/>
          <w:sz w:val="22"/>
        </w:rPr>
        <w:t xml:space="preserve"> cumplimiento de un objetivo específico que se expresa en el acto de constitución.</w:t>
      </w:r>
    </w:p>
    <w:p w14:paraId="534730B0" w14:textId="714DF807" w:rsidR="00F40642" w:rsidRPr="005A1080" w:rsidRDefault="00B97B27" w:rsidP="00721FAC">
      <w:pPr>
        <w:spacing w:line="276" w:lineRule="auto"/>
        <w:ind w:firstLine="708"/>
        <w:jc w:val="both"/>
        <w:rPr>
          <w:rFonts w:ascii="Arial" w:hAnsi="Arial" w:cs="Arial"/>
          <w:sz w:val="22"/>
        </w:rPr>
      </w:pPr>
      <w:r w:rsidRPr="005A1080">
        <w:rPr>
          <w:rFonts w:ascii="Arial" w:hAnsi="Arial" w:cs="Arial"/>
          <w:sz w:val="22"/>
        </w:rPr>
        <w:t>A pesar</w:t>
      </w:r>
      <w:r w:rsidR="00486C76" w:rsidRPr="005A1080">
        <w:rPr>
          <w:rFonts w:ascii="Arial" w:hAnsi="Arial" w:cs="Arial"/>
          <w:sz w:val="22"/>
        </w:rPr>
        <w:t xml:space="preserve"> que el patrimonio autónomo no es una entidad estatal, ello no justifica</w:t>
      </w:r>
      <w:r w:rsidR="00515D06" w:rsidRPr="005A1080">
        <w:rPr>
          <w:rFonts w:ascii="Arial" w:hAnsi="Arial" w:cs="Arial"/>
          <w:sz w:val="22"/>
        </w:rPr>
        <w:t xml:space="preserve"> por sí solo</w:t>
      </w:r>
      <w:r w:rsidR="00486C76" w:rsidRPr="005A1080">
        <w:rPr>
          <w:rFonts w:ascii="Arial" w:hAnsi="Arial" w:cs="Arial"/>
          <w:sz w:val="22"/>
        </w:rPr>
        <w:t xml:space="preserve"> inaplicar la prohibición del artículo 33 de la Ley de Garantías. Entender lo contrario implicaría que, con el objetivo de eludir la restricción, sería posible celebrar negocios fiduciarios </w:t>
      </w:r>
      <w:r w:rsidR="00F40642" w:rsidRPr="005A1080">
        <w:rPr>
          <w:rFonts w:ascii="Arial" w:hAnsi="Arial" w:cs="Arial"/>
          <w:sz w:val="22"/>
        </w:rPr>
        <w:t>para</w:t>
      </w:r>
      <w:r w:rsidR="00486C76" w:rsidRPr="005A1080">
        <w:rPr>
          <w:rFonts w:ascii="Arial" w:hAnsi="Arial" w:cs="Arial"/>
          <w:sz w:val="22"/>
        </w:rPr>
        <w:t xml:space="preserve"> </w:t>
      </w:r>
      <w:r w:rsidR="009C7EE6" w:rsidRPr="005A1080">
        <w:rPr>
          <w:rFonts w:ascii="Arial" w:hAnsi="Arial" w:cs="Arial"/>
          <w:sz w:val="22"/>
        </w:rPr>
        <w:t xml:space="preserve">que </w:t>
      </w:r>
      <w:r w:rsidR="00F40642" w:rsidRPr="005A1080">
        <w:rPr>
          <w:rFonts w:ascii="Arial" w:hAnsi="Arial" w:cs="Arial"/>
          <w:sz w:val="22"/>
        </w:rPr>
        <w:t>el representante</w:t>
      </w:r>
      <w:r w:rsidR="00486C76" w:rsidRPr="005A1080">
        <w:rPr>
          <w:rFonts w:ascii="Arial" w:hAnsi="Arial" w:cs="Arial"/>
          <w:sz w:val="22"/>
        </w:rPr>
        <w:t xml:space="preserve"> del patrimonio autónomo suscribiera los contratos que no p</w:t>
      </w:r>
      <w:r w:rsidR="00F40642" w:rsidRPr="005A1080">
        <w:rPr>
          <w:rFonts w:ascii="Arial" w:hAnsi="Arial" w:cs="Arial"/>
          <w:sz w:val="22"/>
        </w:rPr>
        <w:t>ueda</w:t>
      </w:r>
      <w:r w:rsidR="00486C76" w:rsidRPr="005A1080">
        <w:rPr>
          <w:rFonts w:ascii="Arial" w:hAnsi="Arial" w:cs="Arial"/>
          <w:sz w:val="22"/>
        </w:rPr>
        <w:t xml:space="preserve"> </w:t>
      </w:r>
      <w:r w:rsidR="00F40642" w:rsidRPr="005A1080">
        <w:rPr>
          <w:rFonts w:ascii="Arial" w:hAnsi="Arial" w:cs="Arial"/>
          <w:sz w:val="22"/>
        </w:rPr>
        <w:t>adelantar</w:t>
      </w:r>
      <w:r w:rsidR="00486C76" w:rsidRPr="005A1080">
        <w:rPr>
          <w:rFonts w:ascii="Arial" w:hAnsi="Arial" w:cs="Arial"/>
          <w:sz w:val="22"/>
        </w:rPr>
        <w:t xml:space="preserve"> por sí misma la entidad fideicomitente</w:t>
      </w:r>
      <w:r w:rsidR="00F40642" w:rsidRPr="005A1080">
        <w:rPr>
          <w:rFonts w:ascii="Arial" w:hAnsi="Arial" w:cs="Arial"/>
          <w:sz w:val="22"/>
        </w:rPr>
        <w:t xml:space="preserve">. Esta consecuencia </w:t>
      </w:r>
      <w:r w:rsidR="00FB7CB1" w:rsidRPr="005A1080">
        <w:rPr>
          <w:rFonts w:ascii="Arial" w:hAnsi="Arial" w:cs="Arial"/>
          <w:sz w:val="22"/>
        </w:rPr>
        <w:t>e</w:t>
      </w:r>
      <w:r w:rsidR="00F40642" w:rsidRPr="005A1080">
        <w:rPr>
          <w:rFonts w:ascii="Arial" w:hAnsi="Arial" w:cs="Arial"/>
          <w:sz w:val="22"/>
        </w:rPr>
        <w:t>s inaceptable</w:t>
      </w:r>
      <w:r w:rsidR="00FC2428" w:rsidRPr="005A1080">
        <w:rPr>
          <w:rFonts w:ascii="Arial" w:hAnsi="Arial" w:cs="Arial"/>
          <w:sz w:val="22"/>
        </w:rPr>
        <w:t xml:space="preserve">, pues </w:t>
      </w:r>
      <w:r w:rsidR="00FB7CB1" w:rsidRPr="005A1080">
        <w:rPr>
          <w:rFonts w:ascii="Arial" w:hAnsi="Arial" w:cs="Arial"/>
          <w:sz w:val="22"/>
        </w:rPr>
        <w:t>es</w:t>
      </w:r>
      <w:r w:rsidR="00FC2428" w:rsidRPr="005A1080">
        <w:rPr>
          <w:rFonts w:ascii="Arial" w:hAnsi="Arial" w:cs="Arial"/>
          <w:sz w:val="22"/>
        </w:rPr>
        <w:t xml:space="preserve"> contraria</w:t>
      </w:r>
      <w:r w:rsidR="004361CF" w:rsidRPr="005A1080">
        <w:rPr>
          <w:rFonts w:ascii="Arial" w:hAnsi="Arial" w:cs="Arial"/>
          <w:sz w:val="22"/>
        </w:rPr>
        <w:t xml:space="preserve"> a la finalidad de la Ley de Garantías</w:t>
      </w:r>
      <w:r w:rsidR="00804787" w:rsidRPr="005A1080">
        <w:rPr>
          <w:rFonts w:ascii="Arial" w:hAnsi="Arial" w:cs="Arial"/>
          <w:sz w:val="22"/>
        </w:rPr>
        <w:t xml:space="preserve">, </w:t>
      </w:r>
      <w:r w:rsidR="00C97093" w:rsidRPr="005A1080">
        <w:rPr>
          <w:rFonts w:ascii="Arial" w:hAnsi="Arial" w:cs="Arial"/>
          <w:sz w:val="22"/>
        </w:rPr>
        <w:t>razón por la cual</w:t>
      </w:r>
      <w:r w:rsidR="00804787" w:rsidRPr="005A1080">
        <w:rPr>
          <w:rFonts w:ascii="Arial" w:hAnsi="Arial" w:cs="Arial"/>
          <w:sz w:val="22"/>
        </w:rPr>
        <w:t xml:space="preserve"> la Agencia –</w:t>
      </w:r>
      <w:r w:rsidR="00F40642" w:rsidRPr="005A1080">
        <w:rPr>
          <w:rFonts w:ascii="Arial" w:hAnsi="Arial" w:cs="Arial"/>
          <w:sz w:val="22"/>
        </w:rPr>
        <w:t xml:space="preserve">en </w:t>
      </w:r>
      <w:r w:rsidR="00804787" w:rsidRPr="005A1080">
        <w:rPr>
          <w:rFonts w:ascii="Arial" w:hAnsi="Arial" w:cs="Arial"/>
          <w:sz w:val="22"/>
        </w:rPr>
        <w:t xml:space="preserve">el </w:t>
      </w:r>
      <w:r w:rsidR="00F40642" w:rsidRPr="005A1080">
        <w:rPr>
          <w:rFonts w:ascii="Arial" w:hAnsi="Arial" w:cs="Arial"/>
          <w:sz w:val="22"/>
        </w:rPr>
        <w:t xml:space="preserve">Concepto </w:t>
      </w:r>
      <w:r w:rsidR="00804787" w:rsidRPr="005A1080">
        <w:rPr>
          <w:rFonts w:ascii="Arial" w:hAnsi="Arial" w:cs="Arial"/>
          <w:sz w:val="22"/>
        </w:rPr>
        <w:t>4201713000006681 de 2018– consideró que:</w:t>
      </w:r>
    </w:p>
    <w:p w14:paraId="076CF6AF" w14:textId="77777777" w:rsidR="00721FAC" w:rsidRPr="005A1080" w:rsidRDefault="00721FAC" w:rsidP="009E6E50">
      <w:pPr>
        <w:spacing w:line="276" w:lineRule="auto"/>
        <w:ind w:firstLine="708"/>
        <w:jc w:val="both"/>
        <w:rPr>
          <w:rFonts w:ascii="Arial" w:hAnsi="Arial" w:cs="Arial"/>
          <w:sz w:val="22"/>
        </w:rPr>
      </w:pPr>
    </w:p>
    <w:p w14:paraId="1E3781EC" w14:textId="251AF105" w:rsidR="00804787" w:rsidRPr="005A1080" w:rsidRDefault="00804787" w:rsidP="009E6E50">
      <w:pPr>
        <w:ind w:left="709" w:right="709"/>
        <w:jc w:val="both"/>
        <w:rPr>
          <w:rFonts w:ascii="Arial" w:hAnsi="Arial" w:cs="Arial"/>
          <w:sz w:val="21"/>
          <w:szCs w:val="21"/>
        </w:rPr>
      </w:pPr>
      <w:r w:rsidRPr="005A1080">
        <w:rPr>
          <w:rFonts w:ascii="Arial" w:hAnsi="Arial" w:cs="Arial"/>
          <w:sz w:val="21"/>
          <w:szCs w:val="21"/>
        </w:rPr>
        <w:t>La constitución de patrimonios autónomos en virtud de una fiducia mercantil no podrá transgredir preceptos legales ni podrán ser instrumentos con los cuales se omitan las restricciones para celebrar contratos a las que se encuentren sujetas las Entidades fideicomitentes, ya que con su constitución no se desnaturalizan los recursos con los cuales se conforma el patrimonio autónomo ni se desvincula el poder de direccionamiento y decisión que podría ejercer el Ente del Estado en la contratación derivada de dicho patrimonio, capaz de influir en la voluntad del electorado […]</w:t>
      </w:r>
    </w:p>
    <w:p w14:paraId="0F07C959" w14:textId="77777777" w:rsidR="00721FAC" w:rsidRPr="005A1080" w:rsidRDefault="00721FAC" w:rsidP="009E6E50">
      <w:pPr>
        <w:spacing w:line="276" w:lineRule="auto"/>
        <w:jc w:val="both"/>
        <w:rPr>
          <w:rFonts w:ascii="Arial" w:hAnsi="Arial" w:cs="Arial"/>
          <w:sz w:val="22"/>
        </w:rPr>
      </w:pPr>
    </w:p>
    <w:p w14:paraId="20789E06" w14:textId="573128A4" w:rsidR="0080777F" w:rsidRPr="005A1080" w:rsidRDefault="00804787" w:rsidP="00721FAC">
      <w:pPr>
        <w:spacing w:after="120" w:line="276" w:lineRule="auto"/>
        <w:ind w:firstLine="708"/>
        <w:jc w:val="both"/>
        <w:rPr>
          <w:rFonts w:ascii="Arial" w:hAnsi="Arial" w:cs="Arial"/>
          <w:sz w:val="22"/>
        </w:rPr>
      </w:pPr>
      <w:r w:rsidRPr="005A1080">
        <w:rPr>
          <w:rFonts w:ascii="Arial" w:hAnsi="Arial" w:cs="Arial"/>
          <w:sz w:val="22"/>
        </w:rPr>
        <w:t xml:space="preserve">Teniendo en cuenta las preguntas planteadas en la consulta, </w:t>
      </w:r>
      <w:r w:rsidR="00721FAC" w:rsidRPr="005A1080">
        <w:rPr>
          <w:rFonts w:ascii="Arial" w:hAnsi="Arial" w:cs="Arial"/>
          <w:sz w:val="22"/>
        </w:rPr>
        <w:t xml:space="preserve">es necesario recoger </w:t>
      </w:r>
      <w:r w:rsidR="00942A72" w:rsidRPr="005A1080">
        <w:rPr>
          <w:rFonts w:ascii="Arial" w:hAnsi="Arial" w:cs="Arial"/>
          <w:sz w:val="22"/>
        </w:rPr>
        <w:t>esta</w:t>
      </w:r>
      <w:r w:rsidR="00721FAC" w:rsidRPr="005A1080">
        <w:rPr>
          <w:rFonts w:ascii="Arial" w:hAnsi="Arial" w:cs="Arial"/>
          <w:sz w:val="22"/>
        </w:rPr>
        <w:t xml:space="preserve"> postura con el fin de ampliar la fundamentación correspondiente. </w:t>
      </w:r>
      <w:r w:rsidR="0080777F" w:rsidRPr="005A1080">
        <w:rPr>
          <w:rFonts w:ascii="Arial" w:hAnsi="Arial" w:cs="Arial"/>
          <w:sz w:val="22"/>
        </w:rPr>
        <w:t>Así</w:t>
      </w:r>
      <w:r w:rsidR="00721FAC" w:rsidRPr="005A1080">
        <w:rPr>
          <w:rFonts w:ascii="Arial" w:hAnsi="Arial" w:cs="Arial"/>
          <w:sz w:val="22"/>
        </w:rPr>
        <w:t>,</w:t>
      </w:r>
      <w:r w:rsidR="0080777F" w:rsidRPr="005A1080">
        <w:rPr>
          <w:rFonts w:ascii="Arial" w:hAnsi="Arial" w:cs="Arial"/>
          <w:sz w:val="22"/>
        </w:rPr>
        <w:t xml:space="preserve"> considerando</w:t>
      </w:r>
      <w:r w:rsidR="00721FAC" w:rsidRPr="005A1080">
        <w:rPr>
          <w:rFonts w:ascii="Arial" w:hAnsi="Arial" w:cs="Arial"/>
          <w:sz w:val="22"/>
        </w:rPr>
        <w:t xml:space="preserve"> que las </w:t>
      </w:r>
      <w:r w:rsidR="0080777F" w:rsidRPr="005A1080">
        <w:rPr>
          <w:rFonts w:ascii="Arial" w:hAnsi="Arial" w:cs="Arial"/>
          <w:sz w:val="22"/>
        </w:rPr>
        <w:t>restricciones</w:t>
      </w:r>
      <w:r w:rsidR="00721FAC" w:rsidRPr="005A1080">
        <w:rPr>
          <w:rFonts w:ascii="Arial" w:hAnsi="Arial" w:cs="Arial"/>
          <w:sz w:val="22"/>
        </w:rPr>
        <w:t xml:space="preserve"> de la Ley de Garantías </w:t>
      </w:r>
      <w:r w:rsidR="0080777F" w:rsidRPr="005A1080">
        <w:rPr>
          <w:rFonts w:ascii="Arial" w:hAnsi="Arial" w:cs="Arial"/>
          <w:sz w:val="22"/>
        </w:rPr>
        <w:t xml:space="preserve">son de interpretación estricta, la aplicación a otro tipo de sujetos –como las entidades fiduciarias que administran </w:t>
      </w:r>
      <w:r w:rsidR="00942A72" w:rsidRPr="005A1080">
        <w:rPr>
          <w:rFonts w:ascii="Arial" w:hAnsi="Arial" w:cs="Arial"/>
          <w:sz w:val="22"/>
        </w:rPr>
        <w:t>recursos públicos de</w:t>
      </w:r>
      <w:r w:rsidR="0080777F" w:rsidRPr="005A1080">
        <w:rPr>
          <w:rFonts w:ascii="Arial" w:hAnsi="Arial" w:cs="Arial"/>
          <w:sz w:val="22"/>
        </w:rPr>
        <w:t xml:space="preserve"> entidades estatales– debe fundamentarse en las disposiciones que conforman el bloque de legalidad. Esto en la medida que, conforme a las exigencias del debido proceso, no puede existir prohibición sin norma previa.  </w:t>
      </w:r>
    </w:p>
    <w:p w14:paraId="062BB7D7" w14:textId="7BACE1D8" w:rsidR="0090171E" w:rsidRPr="005A1080" w:rsidRDefault="0080777F" w:rsidP="000362D3">
      <w:pPr>
        <w:spacing w:after="120" w:line="276" w:lineRule="auto"/>
        <w:ind w:firstLine="708"/>
        <w:jc w:val="both"/>
        <w:rPr>
          <w:rFonts w:ascii="Arial" w:hAnsi="Arial" w:cs="Arial"/>
          <w:sz w:val="22"/>
        </w:rPr>
      </w:pPr>
      <w:r w:rsidRPr="005A1080">
        <w:rPr>
          <w:rFonts w:ascii="Arial" w:hAnsi="Arial" w:cs="Arial"/>
          <w:sz w:val="22"/>
        </w:rPr>
        <w:t xml:space="preserve">Para estos efectos, </w:t>
      </w:r>
      <w:r w:rsidR="00831B85" w:rsidRPr="005A1080">
        <w:rPr>
          <w:rFonts w:ascii="Arial" w:hAnsi="Arial" w:cs="Arial"/>
          <w:sz w:val="22"/>
        </w:rPr>
        <w:t xml:space="preserve">tratándose de las entidades sometidas al Estatuto General de Contratación de la Administración Pública, el artículo 32.5, inciso </w:t>
      </w:r>
      <w:r w:rsidR="006D15DB" w:rsidRPr="005A1080">
        <w:rPr>
          <w:rFonts w:ascii="Arial" w:hAnsi="Arial" w:cs="Arial"/>
          <w:sz w:val="22"/>
        </w:rPr>
        <w:t>octavo</w:t>
      </w:r>
      <w:r w:rsidR="00831B85" w:rsidRPr="005A1080">
        <w:rPr>
          <w:rFonts w:ascii="Arial" w:hAnsi="Arial" w:cs="Arial"/>
          <w:sz w:val="22"/>
        </w:rPr>
        <w:t>, de la Ley 80 de 1993 dispone lo siguiente: «</w:t>
      </w:r>
      <w:r w:rsidR="006D15DB" w:rsidRPr="005A1080">
        <w:rPr>
          <w:rFonts w:ascii="Arial" w:hAnsi="Arial" w:cs="Arial"/>
          <w:sz w:val="22"/>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r w:rsidR="00831B85" w:rsidRPr="005A1080">
        <w:rPr>
          <w:rFonts w:ascii="Arial" w:hAnsi="Arial" w:cs="Arial"/>
          <w:sz w:val="22"/>
        </w:rPr>
        <w:t>».</w:t>
      </w:r>
      <w:r w:rsidR="006D15DB" w:rsidRPr="005A1080">
        <w:rPr>
          <w:rFonts w:ascii="Arial" w:hAnsi="Arial" w:cs="Arial"/>
          <w:sz w:val="22"/>
        </w:rPr>
        <w:t xml:space="preserve"> Dado que los bienes fideicomitidos no salen del patrimonio de la entidad estatal,</w:t>
      </w:r>
      <w:r w:rsidR="000362D3" w:rsidRPr="005A1080">
        <w:rPr>
          <w:rFonts w:ascii="Arial" w:hAnsi="Arial" w:cs="Arial"/>
          <w:sz w:val="22"/>
        </w:rPr>
        <w:t xml:space="preserve"> la ley exige que la fiduciaria los administre bajo el mismo régimen jurídico del constituyente. </w:t>
      </w:r>
    </w:p>
    <w:p w14:paraId="29D74D63" w14:textId="604962F4" w:rsidR="00804787" w:rsidRPr="005A1080" w:rsidRDefault="000362D3" w:rsidP="000362D3">
      <w:pPr>
        <w:spacing w:after="120" w:line="276" w:lineRule="auto"/>
        <w:ind w:firstLine="708"/>
        <w:jc w:val="both"/>
        <w:rPr>
          <w:rFonts w:ascii="Arial" w:hAnsi="Arial" w:cs="Arial"/>
          <w:sz w:val="22"/>
        </w:rPr>
      </w:pPr>
      <w:r w:rsidRPr="005A1080">
        <w:rPr>
          <w:rFonts w:ascii="Arial" w:hAnsi="Arial" w:cs="Arial"/>
          <w:sz w:val="22"/>
        </w:rPr>
        <w:t xml:space="preserve">Por ello, el inciso quinto </w:t>
      </w:r>
      <w:r w:rsidRPr="005A1080">
        <w:rPr>
          <w:rFonts w:ascii="Arial" w:hAnsi="Arial" w:cs="Arial"/>
          <w:i/>
          <w:iCs/>
          <w:sz w:val="22"/>
        </w:rPr>
        <w:t>ibidem</w:t>
      </w:r>
      <w:r w:rsidR="006D15DB" w:rsidRPr="005A1080">
        <w:rPr>
          <w:rFonts w:ascii="Arial" w:hAnsi="Arial" w:cs="Arial"/>
          <w:sz w:val="22"/>
        </w:rPr>
        <w:t xml:space="preserve"> </w:t>
      </w:r>
      <w:r w:rsidRPr="005A1080">
        <w:rPr>
          <w:rFonts w:ascii="Arial" w:hAnsi="Arial" w:cs="Arial"/>
          <w:sz w:val="22"/>
        </w:rPr>
        <w:t xml:space="preserve">también prescribe que «Los actos y contratos que se realicen en desarrollo de un contrato de fiducia pública o encargo fiduciario cumplirán estrictamente con las normas previstas en este estatuto, así como con las disposiciones </w:t>
      </w:r>
      <w:r w:rsidRPr="005A1080">
        <w:rPr>
          <w:rFonts w:ascii="Arial" w:hAnsi="Arial" w:cs="Arial"/>
          <w:sz w:val="22"/>
        </w:rPr>
        <w:lastRenderedPageBreak/>
        <w:t xml:space="preserve">fiscales, presupuestales, de interventoría y de control a las cuales esté sujeta la entidad estatal fideicomitente». De esta manera, </w:t>
      </w:r>
      <w:r w:rsidR="0031758D" w:rsidRPr="005A1080">
        <w:rPr>
          <w:rFonts w:ascii="Arial" w:hAnsi="Arial" w:cs="Arial"/>
          <w:sz w:val="22"/>
        </w:rPr>
        <w:t xml:space="preserve">teniendo en cuenta que la prohibición establecida en el artículo 33 de la </w:t>
      </w:r>
      <w:r w:rsidRPr="005A1080">
        <w:rPr>
          <w:rFonts w:ascii="Arial" w:hAnsi="Arial" w:cs="Arial"/>
          <w:sz w:val="22"/>
        </w:rPr>
        <w:t xml:space="preserve">Ley de Garantías es </w:t>
      </w:r>
      <w:r w:rsidR="0090171E" w:rsidRPr="005A1080">
        <w:rPr>
          <w:rFonts w:ascii="Arial" w:hAnsi="Arial" w:cs="Arial"/>
          <w:sz w:val="22"/>
        </w:rPr>
        <w:t>un</w:t>
      </w:r>
      <w:r w:rsidR="0031758D" w:rsidRPr="005A1080">
        <w:rPr>
          <w:rFonts w:ascii="Arial" w:hAnsi="Arial" w:cs="Arial"/>
          <w:sz w:val="22"/>
        </w:rPr>
        <w:t>a norma a la cual están sujetos los contratos que puede celebrar la</w:t>
      </w:r>
      <w:r w:rsidR="0090171E" w:rsidRPr="005A1080">
        <w:rPr>
          <w:rFonts w:ascii="Arial" w:hAnsi="Arial" w:cs="Arial"/>
          <w:sz w:val="22"/>
        </w:rPr>
        <w:t xml:space="preserve"> </w:t>
      </w:r>
      <w:r w:rsidRPr="005A1080">
        <w:rPr>
          <w:rFonts w:ascii="Arial" w:hAnsi="Arial" w:cs="Arial"/>
          <w:sz w:val="22"/>
        </w:rPr>
        <w:t>entidad fideicomitente, la restricción también se ext</w:t>
      </w:r>
      <w:r w:rsidR="0031758D" w:rsidRPr="005A1080">
        <w:rPr>
          <w:rFonts w:ascii="Arial" w:hAnsi="Arial" w:cs="Arial"/>
          <w:sz w:val="22"/>
        </w:rPr>
        <w:t>endería</w:t>
      </w:r>
      <w:r w:rsidRPr="005A1080">
        <w:rPr>
          <w:rFonts w:ascii="Arial" w:hAnsi="Arial" w:cs="Arial"/>
          <w:sz w:val="22"/>
        </w:rPr>
        <w:t xml:space="preserve"> a la sociedad fiduciaria </w:t>
      </w:r>
      <w:r w:rsidR="0031758D" w:rsidRPr="005A1080">
        <w:rPr>
          <w:rFonts w:ascii="Arial" w:hAnsi="Arial" w:cs="Arial"/>
          <w:sz w:val="22"/>
        </w:rPr>
        <w:t xml:space="preserve">en virtud de la disposición indicada, que precisamente extiende distintas disposiciones jurídicas para que resulten aplicables a los actos y contratos que se realicen en desarrollo del contrato de fiducia pública o encargo fiduciario, sin que esta extensión del </w:t>
      </w:r>
      <w:r w:rsidR="007329CB" w:rsidRPr="005A1080">
        <w:rPr>
          <w:rFonts w:ascii="Arial" w:hAnsi="Arial" w:cs="Arial"/>
          <w:sz w:val="22"/>
        </w:rPr>
        <w:t>régimen jurídico se limite a las normas previstas en el EGCAP, sino a las demás señaladas en el inciso citado.</w:t>
      </w:r>
      <w:r w:rsidR="00831B85" w:rsidRPr="005A1080">
        <w:rPr>
          <w:rFonts w:ascii="Arial" w:hAnsi="Arial" w:cs="Arial"/>
          <w:sz w:val="22"/>
        </w:rPr>
        <w:t xml:space="preserve"> </w:t>
      </w:r>
      <w:r w:rsidR="00721FAC" w:rsidRPr="005A1080">
        <w:rPr>
          <w:rFonts w:ascii="Arial" w:hAnsi="Arial" w:cs="Arial"/>
          <w:sz w:val="22"/>
        </w:rPr>
        <w:t xml:space="preserve"> </w:t>
      </w:r>
    </w:p>
    <w:p w14:paraId="2F76E9CE" w14:textId="3A5E8AF9" w:rsidR="0090171E" w:rsidRPr="005A1080" w:rsidRDefault="0090171E" w:rsidP="000362D3">
      <w:pPr>
        <w:spacing w:after="120" w:line="276" w:lineRule="auto"/>
        <w:ind w:firstLine="708"/>
        <w:jc w:val="both"/>
        <w:rPr>
          <w:rFonts w:ascii="Arial" w:hAnsi="Arial" w:cs="Arial"/>
          <w:sz w:val="22"/>
        </w:rPr>
      </w:pPr>
      <w:r w:rsidRPr="005A1080">
        <w:rPr>
          <w:rFonts w:ascii="Arial" w:hAnsi="Arial" w:cs="Arial"/>
          <w:sz w:val="22"/>
        </w:rPr>
        <w:t xml:space="preserve">Lo anterior no significa que los patrimonios autónomos constituidos a través de contratos de fiducia mercantil no se rijan por </w:t>
      </w:r>
      <w:r w:rsidR="005223D7" w:rsidRPr="005A1080">
        <w:rPr>
          <w:rFonts w:ascii="Arial" w:hAnsi="Arial" w:cs="Arial"/>
          <w:sz w:val="22"/>
        </w:rPr>
        <w:t>la misma prohibición</w:t>
      </w:r>
      <w:r w:rsidRPr="005A1080">
        <w:rPr>
          <w:rFonts w:ascii="Arial" w:hAnsi="Arial" w:cs="Arial"/>
          <w:sz w:val="22"/>
        </w:rPr>
        <w:t>. En estos caso</w:t>
      </w:r>
      <w:r w:rsidR="005223D7" w:rsidRPr="005A1080">
        <w:rPr>
          <w:rFonts w:ascii="Arial" w:hAnsi="Arial" w:cs="Arial"/>
          <w:sz w:val="22"/>
        </w:rPr>
        <w:t>s</w:t>
      </w:r>
      <w:r w:rsidRPr="005A1080">
        <w:rPr>
          <w:rFonts w:ascii="Arial" w:hAnsi="Arial" w:cs="Arial"/>
          <w:sz w:val="22"/>
        </w:rPr>
        <w:t xml:space="preserve">, especialmente para las entidades exceptuadas </w:t>
      </w:r>
      <w:r w:rsidR="00F309C5" w:rsidRPr="005A1080">
        <w:rPr>
          <w:rFonts w:ascii="Arial" w:hAnsi="Arial" w:cs="Arial"/>
          <w:sz w:val="22"/>
        </w:rPr>
        <w:t xml:space="preserve">de la aplicación del EGCAP </w:t>
      </w:r>
      <w:r w:rsidRPr="005A1080">
        <w:rPr>
          <w:rFonts w:ascii="Arial" w:hAnsi="Arial" w:cs="Arial"/>
          <w:sz w:val="22"/>
        </w:rPr>
        <w:t>que actúen en calidad de constituyentes, es necesario tener en cuenta que el parágrafo d</w:t>
      </w:r>
      <w:bookmarkStart w:id="40" w:name="_Hlk86322055"/>
      <w:r w:rsidRPr="005A1080">
        <w:rPr>
          <w:rFonts w:ascii="Arial" w:hAnsi="Arial" w:cs="Arial"/>
          <w:sz w:val="22"/>
        </w:rPr>
        <w:t>el artículo 2.5.2.1.1 del Decreto 2555 de 2010</w:t>
      </w:r>
      <w:bookmarkEnd w:id="40"/>
      <w:r w:rsidRPr="005A1080">
        <w:rPr>
          <w:rFonts w:ascii="Arial" w:hAnsi="Arial" w:cs="Arial"/>
          <w:sz w:val="22"/>
        </w:rPr>
        <w:t xml:space="preserve">, «Por el cual se recogen y reexpiden las normas en materia del sector financiero, asegurador y del mercado de valores y se dictan otras disposiciones», </w:t>
      </w:r>
      <w:r w:rsidR="00F309C5" w:rsidRPr="005A1080">
        <w:rPr>
          <w:rFonts w:ascii="Arial" w:hAnsi="Arial" w:cs="Arial"/>
          <w:sz w:val="22"/>
        </w:rPr>
        <w:t>establece</w:t>
      </w:r>
      <w:r w:rsidRPr="005A1080">
        <w:rPr>
          <w:rFonts w:ascii="Arial" w:hAnsi="Arial" w:cs="Arial"/>
          <w:sz w:val="22"/>
        </w:rPr>
        <w:t xml:space="preserve"> que «El negocio fiduciario no podrá servir de instrumento para realizar actos o contratos que no pueda celebrar directamente el fideicomitente de acuerdo con las disposiciones legales»</w:t>
      </w:r>
      <w:r w:rsidR="005223D7" w:rsidRPr="005A1080">
        <w:rPr>
          <w:rFonts w:ascii="Arial" w:hAnsi="Arial" w:cs="Arial"/>
          <w:sz w:val="22"/>
        </w:rPr>
        <w:t>. Como se deduce del apartado normativo, esta disposición regula el régimen aplicable a las sociedades fiduciarias, especialmente, los derechos y obligaciones de los actos y contratos celebrados y ejecutados por el fiduciario, por lo que es transversal al ordenamiento jurídico, es decir, aplica en todos los contratos de fiducia con independencia de que el constituyente sea o no una entidad sometida a la Ley 80 de 1993.</w:t>
      </w:r>
    </w:p>
    <w:p w14:paraId="1AFC9D0B" w14:textId="58063D9C" w:rsidR="00482608" w:rsidRPr="005A1080" w:rsidRDefault="005223D7">
      <w:pPr>
        <w:spacing w:after="120" w:line="276" w:lineRule="auto"/>
        <w:ind w:firstLine="708"/>
        <w:jc w:val="both"/>
        <w:rPr>
          <w:rFonts w:ascii="Arial" w:hAnsi="Arial" w:cs="Arial"/>
          <w:sz w:val="22"/>
        </w:rPr>
      </w:pPr>
      <w:r w:rsidRPr="005A1080">
        <w:rPr>
          <w:rFonts w:ascii="Arial" w:hAnsi="Arial" w:cs="Arial"/>
          <w:sz w:val="22"/>
        </w:rPr>
        <w:t>Esto último se confirma en el inciso noveno del artículo 32.5 de la Ley 80 de 1993, ya que «A la fiducia pública le serán aplicables las normas del Código de Comercio sobre fiducia mercantil, en cuanto sean compatibles con lo dispuesto en esta ley». Por lo demás,</w:t>
      </w:r>
      <w:r w:rsidR="000E0703" w:rsidRPr="005A1080">
        <w:rPr>
          <w:rFonts w:ascii="Arial" w:hAnsi="Arial" w:cs="Arial"/>
          <w:sz w:val="22"/>
        </w:rPr>
        <w:t xml:space="preserve"> aunque los encargos fiduciarios no den lugar a un patrimonio autónomo, el citado artículo 2.5.2.1.1 del Decreto 2555 de 2010 también </w:t>
      </w:r>
      <w:r w:rsidR="00515D06" w:rsidRPr="005A1080">
        <w:rPr>
          <w:rFonts w:ascii="Arial" w:hAnsi="Arial" w:cs="Arial"/>
          <w:sz w:val="22"/>
        </w:rPr>
        <w:t>regula</w:t>
      </w:r>
      <w:r w:rsidR="000E0703" w:rsidRPr="005A1080">
        <w:rPr>
          <w:rFonts w:ascii="Arial" w:hAnsi="Arial" w:cs="Arial"/>
          <w:sz w:val="22"/>
        </w:rPr>
        <w:t xml:space="preserve"> esta clase de negocios, pues –conforme al artículo 146.1 del Estatuto Orgánico del Sistema Financiero– «[…]</w:t>
      </w:r>
      <w:r w:rsidR="00D96F1F" w:rsidRPr="005A1080">
        <w:rPr>
          <w:rFonts w:ascii="Arial" w:hAnsi="Arial" w:cs="Arial"/>
          <w:sz w:val="22"/>
        </w:rPr>
        <w:t xml:space="preserve"> En relación con los encargos fiduciarios </w:t>
      </w:r>
      <w:r w:rsidR="000E0703" w:rsidRPr="005A1080">
        <w:rPr>
          <w:rFonts w:ascii="Arial" w:hAnsi="Arial" w:cs="Arial"/>
          <w:sz w:val="22"/>
        </w:rPr>
        <w:t xml:space="preserve"> se aplicarán las disposiciones que regulan el contrato de fiducia mercantil, y subsidiariamente las disposiciones del Código de Comercio que regulan el contrato de mandato, en cuanto unas y otras sean compatibles con la naturaleza propia de estos negocios y no se opongan a las reglas especiales previstas en el presente Estatuto».</w:t>
      </w:r>
      <w:r w:rsidRPr="005A1080">
        <w:rPr>
          <w:rFonts w:ascii="Arial" w:hAnsi="Arial" w:cs="Arial"/>
          <w:sz w:val="22"/>
        </w:rPr>
        <w:t xml:space="preserve"> </w:t>
      </w:r>
    </w:p>
    <w:p w14:paraId="0EBE2EE5" w14:textId="02766AA2" w:rsidR="00482608" w:rsidRPr="005A1080" w:rsidRDefault="000E0703" w:rsidP="00065B8A">
      <w:pPr>
        <w:spacing w:line="276" w:lineRule="auto"/>
        <w:ind w:firstLine="708"/>
        <w:jc w:val="both"/>
        <w:rPr>
          <w:rFonts w:ascii="Arial" w:hAnsi="Arial" w:cs="Arial"/>
          <w:sz w:val="22"/>
        </w:rPr>
      </w:pPr>
      <w:r w:rsidRPr="005A1080">
        <w:rPr>
          <w:rFonts w:ascii="Arial" w:hAnsi="Arial" w:cs="Arial"/>
          <w:sz w:val="22"/>
        </w:rPr>
        <w:t>De esta manera, el artículo 33 de la Ley de Garantía</w:t>
      </w:r>
      <w:r w:rsidR="00B10833" w:rsidRPr="005A1080">
        <w:rPr>
          <w:rFonts w:ascii="Arial" w:hAnsi="Arial" w:cs="Arial"/>
          <w:sz w:val="22"/>
        </w:rPr>
        <w:t>s</w:t>
      </w:r>
      <w:r w:rsidRPr="005A1080">
        <w:rPr>
          <w:rFonts w:ascii="Arial" w:hAnsi="Arial" w:cs="Arial"/>
          <w:sz w:val="22"/>
        </w:rPr>
        <w:t xml:space="preserve"> se extiende a las sociedades fiduciarias en virtud del artículo 32.5, inciso quinto, de la Ley 80 de 1993. Con las diferencias en el alcance</w:t>
      </w:r>
      <w:r w:rsidR="00B10833" w:rsidRPr="005A1080">
        <w:rPr>
          <w:rFonts w:ascii="Arial" w:hAnsi="Arial" w:cs="Arial"/>
          <w:sz w:val="22"/>
        </w:rPr>
        <w:t xml:space="preserve">, de acuerdo con el inciso noveno </w:t>
      </w:r>
      <w:r w:rsidR="00B10833" w:rsidRPr="005A1080">
        <w:rPr>
          <w:rFonts w:ascii="Arial" w:hAnsi="Arial" w:cs="Arial"/>
          <w:i/>
          <w:iCs/>
          <w:sz w:val="22"/>
        </w:rPr>
        <w:t>ibidem</w:t>
      </w:r>
      <w:r w:rsidR="00B10833" w:rsidRPr="005A1080">
        <w:rPr>
          <w:rFonts w:ascii="Arial" w:hAnsi="Arial" w:cs="Arial"/>
          <w:sz w:val="22"/>
        </w:rPr>
        <w:t>, l</w:t>
      </w:r>
      <w:r w:rsidRPr="005A1080">
        <w:rPr>
          <w:rFonts w:ascii="Arial" w:hAnsi="Arial" w:cs="Arial"/>
          <w:sz w:val="22"/>
        </w:rPr>
        <w:t>a misma es congruente</w:t>
      </w:r>
      <w:r w:rsidR="00B10833" w:rsidRPr="005A1080">
        <w:rPr>
          <w:rFonts w:ascii="Arial" w:hAnsi="Arial" w:cs="Arial"/>
          <w:sz w:val="22"/>
        </w:rPr>
        <w:t xml:space="preserve"> </w:t>
      </w:r>
      <w:r w:rsidR="00D96F1F" w:rsidRPr="005A1080">
        <w:rPr>
          <w:rFonts w:ascii="Arial" w:hAnsi="Arial" w:cs="Arial"/>
          <w:sz w:val="22"/>
        </w:rPr>
        <w:t xml:space="preserve">con </w:t>
      </w:r>
      <w:r w:rsidR="00B10833" w:rsidRPr="005A1080">
        <w:rPr>
          <w:rFonts w:ascii="Arial" w:hAnsi="Arial" w:cs="Arial"/>
          <w:sz w:val="22"/>
        </w:rPr>
        <w:t xml:space="preserve">el artículo 2.5.2.1.1 del Decreto 2555 de 2010, </w:t>
      </w:r>
      <w:r w:rsidR="00186035" w:rsidRPr="005A1080">
        <w:rPr>
          <w:rFonts w:ascii="Arial" w:hAnsi="Arial" w:cs="Arial"/>
          <w:sz w:val="22"/>
        </w:rPr>
        <w:t>el</w:t>
      </w:r>
      <w:r w:rsidR="00B10833" w:rsidRPr="005A1080">
        <w:rPr>
          <w:rFonts w:ascii="Arial" w:hAnsi="Arial" w:cs="Arial"/>
          <w:sz w:val="22"/>
        </w:rPr>
        <w:t xml:space="preserve"> cual rige también en los negocios fiduciarios de las entidades exceptuadas</w:t>
      </w:r>
      <w:r w:rsidR="00186035" w:rsidRPr="005A1080">
        <w:rPr>
          <w:rFonts w:ascii="Arial" w:hAnsi="Arial" w:cs="Arial"/>
          <w:sz w:val="22"/>
        </w:rPr>
        <w:t xml:space="preserve"> de la aplicación del EGCAP</w:t>
      </w:r>
      <w:r w:rsidR="00B10833" w:rsidRPr="005A1080">
        <w:rPr>
          <w:rFonts w:ascii="Arial" w:hAnsi="Arial" w:cs="Arial"/>
          <w:sz w:val="22"/>
        </w:rPr>
        <w:t xml:space="preserve">. Por tanto, con independencia del régimen jurídico de la entidad fideicomitente, la prohibición de contratación directa durante la vigencia de la Ley de Garantías también les aplica </w:t>
      </w:r>
      <w:r w:rsidR="00D96F1F" w:rsidRPr="005A1080">
        <w:rPr>
          <w:rFonts w:ascii="Arial" w:hAnsi="Arial" w:cs="Arial"/>
          <w:sz w:val="22"/>
        </w:rPr>
        <w:t xml:space="preserve">a </w:t>
      </w:r>
      <w:r w:rsidR="00B10833" w:rsidRPr="005A1080">
        <w:rPr>
          <w:rFonts w:ascii="Arial" w:hAnsi="Arial" w:cs="Arial"/>
          <w:sz w:val="22"/>
        </w:rPr>
        <w:t xml:space="preserve">las fiduciarias que </w:t>
      </w:r>
      <w:r w:rsidR="00B10833" w:rsidRPr="005A1080">
        <w:rPr>
          <w:rFonts w:ascii="Arial" w:hAnsi="Arial" w:cs="Arial"/>
          <w:sz w:val="22"/>
        </w:rPr>
        <w:lastRenderedPageBreak/>
        <w:t>administran los recursos públicos</w:t>
      </w:r>
      <w:r w:rsidR="00D96F1F" w:rsidRPr="005A1080">
        <w:rPr>
          <w:rFonts w:ascii="Arial" w:hAnsi="Arial" w:cs="Arial"/>
          <w:sz w:val="22"/>
        </w:rPr>
        <w:t xml:space="preserve"> de los entes del Estado</w:t>
      </w:r>
      <w:r w:rsidR="00B10833" w:rsidRPr="005A1080">
        <w:rPr>
          <w:rFonts w:ascii="Arial" w:hAnsi="Arial" w:cs="Arial"/>
          <w:sz w:val="22"/>
        </w:rPr>
        <w:t xml:space="preserve">. </w:t>
      </w:r>
      <w:r w:rsidR="003F1269" w:rsidRPr="005A1080">
        <w:rPr>
          <w:rFonts w:ascii="Arial" w:hAnsi="Arial" w:cs="Arial"/>
          <w:sz w:val="22"/>
        </w:rPr>
        <w:t xml:space="preserve">En este contexto, se reitera </w:t>
      </w:r>
      <w:r w:rsidR="00D96F1F" w:rsidRPr="005A1080">
        <w:rPr>
          <w:rFonts w:ascii="Arial" w:hAnsi="Arial" w:cs="Arial"/>
          <w:sz w:val="22"/>
        </w:rPr>
        <w:t xml:space="preserve">que </w:t>
      </w:r>
      <w:r w:rsidR="003F1269" w:rsidRPr="005A1080">
        <w:rPr>
          <w:rFonts w:ascii="Arial" w:hAnsi="Arial" w:cs="Arial"/>
          <w:sz w:val="22"/>
        </w:rPr>
        <w:t xml:space="preserve">las sociedades fiduciarias no pueden celebrar los contratos en los que las entidades constituyentes tengan alguna restricción, por lo que no son un instrumento para eludir el artículo 33 de la Ley de Garantías. Como explica la doctrina, </w:t>
      </w:r>
      <w:r w:rsidR="008B77C8" w:rsidRPr="005A1080">
        <w:rPr>
          <w:rFonts w:ascii="Arial" w:hAnsi="Arial" w:cs="Arial"/>
          <w:sz w:val="22"/>
        </w:rPr>
        <w:t>dado que están prohibidos los negocios fiduciarios realizados en fraude a la ley, la libertad para suscribirlos</w:t>
      </w:r>
      <w:r w:rsidR="00482608" w:rsidRPr="005A1080">
        <w:rPr>
          <w:rFonts w:ascii="Arial" w:hAnsi="Arial" w:cs="Arial"/>
          <w:sz w:val="22"/>
        </w:rPr>
        <w:t>:</w:t>
      </w:r>
    </w:p>
    <w:p w14:paraId="5FCB8050" w14:textId="7D570740" w:rsidR="008B77C8" w:rsidRPr="005A1080" w:rsidRDefault="008B77C8" w:rsidP="009E6E50">
      <w:pPr>
        <w:spacing w:line="276" w:lineRule="auto"/>
        <w:ind w:firstLine="708"/>
        <w:jc w:val="both"/>
        <w:rPr>
          <w:rFonts w:ascii="Arial" w:hAnsi="Arial" w:cs="Arial"/>
          <w:sz w:val="22"/>
        </w:rPr>
      </w:pPr>
      <w:r w:rsidRPr="005A1080">
        <w:rPr>
          <w:rFonts w:ascii="Arial" w:hAnsi="Arial" w:cs="Arial"/>
          <w:sz w:val="22"/>
        </w:rPr>
        <w:t xml:space="preserve"> </w:t>
      </w:r>
    </w:p>
    <w:p w14:paraId="466B1339" w14:textId="6ABF4F8F" w:rsidR="0089436F" w:rsidRPr="005A1080" w:rsidRDefault="003F1269" w:rsidP="009E6E50">
      <w:pPr>
        <w:ind w:left="709" w:right="709"/>
        <w:jc w:val="both"/>
        <w:rPr>
          <w:rFonts w:ascii="Arial" w:hAnsi="Arial" w:cs="Arial"/>
          <w:sz w:val="21"/>
          <w:szCs w:val="21"/>
        </w:rPr>
      </w:pPr>
      <w:r w:rsidRPr="005A1080">
        <w:rPr>
          <w:rFonts w:ascii="Arial" w:hAnsi="Arial" w:cs="Arial"/>
          <w:sz w:val="21"/>
          <w:szCs w:val="21"/>
        </w:rPr>
        <w:t>[…</w:t>
      </w:r>
      <w:r w:rsidR="00482608" w:rsidRPr="005A1080">
        <w:rPr>
          <w:rFonts w:ascii="Arial" w:hAnsi="Arial" w:cs="Arial"/>
          <w:sz w:val="21"/>
          <w:szCs w:val="21"/>
        </w:rPr>
        <w:t xml:space="preserve">] </w:t>
      </w:r>
      <w:r w:rsidR="008B77C8" w:rsidRPr="005A1080">
        <w:rPr>
          <w:rFonts w:ascii="Arial" w:hAnsi="Arial" w:cs="Arial"/>
          <w:sz w:val="21"/>
          <w:szCs w:val="21"/>
        </w:rPr>
        <w:t>debe entenderse limitada, de manera natural, por la imposibilidad de buscar a través de un mecanismo oblicuo, la obtención de una finalidad que</w:t>
      </w:r>
      <w:r w:rsidR="00482608" w:rsidRPr="005A1080">
        <w:rPr>
          <w:rFonts w:ascii="Arial" w:hAnsi="Arial" w:cs="Arial"/>
          <w:sz w:val="21"/>
          <w:szCs w:val="21"/>
        </w:rPr>
        <w:t xml:space="preserve"> no</w:t>
      </w:r>
      <w:r w:rsidR="008B77C8" w:rsidRPr="005A1080">
        <w:rPr>
          <w:rFonts w:ascii="Arial" w:hAnsi="Arial" w:cs="Arial"/>
          <w:sz w:val="21"/>
          <w:szCs w:val="21"/>
        </w:rPr>
        <w:t xml:space="preserve"> sería lícito obtener al fideicomitente, si actuara en forma directa</w:t>
      </w:r>
      <w:r w:rsidR="00482608" w:rsidRPr="005A1080">
        <w:rPr>
          <w:rFonts w:ascii="Arial" w:hAnsi="Arial" w:cs="Arial"/>
          <w:sz w:val="21"/>
          <w:szCs w:val="21"/>
        </w:rPr>
        <w:t>. Y naturalmente, ello implica un análisis teleológico del contrato para saber qué es lo que realmente se busca con él, si la obtención de la finalidad económica que aparentemente se establece como objeto de contrato y carga para el fiduciario o la eliminación, por esa vía, de restricciones o requisitos que vinculados al cumplimiento de normas de tipo imperativo, en las cuales se encuentren ínsitas el orden público o las buenas costumbres, podrían conducir a la celebración de un contrato nulo por objeto ilícito</w:t>
      </w:r>
      <w:r w:rsidR="00482608" w:rsidRPr="005A1080">
        <w:rPr>
          <w:rStyle w:val="Refdenotaalpie"/>
          <w:rFonts w:ascii="Arial" w:hAnsi="Arial" w:cs="Arial"/>
          <w:sz w:val="21"/>
          <w:szCs w:val="21"/>
        </w:rPr>
        <w:footnoteReference w:id="29"/>
      </w:r>
      <w:r w:rsidR="00482608" w:rsidRPr="005A1080">
        <w:rPr>
          <w:rFonts w:ascii="Arial" w:hAnsi="Arial" w:cs="Arial"/>
          <w:sz w:val="21"/>
          <w:szCs w:val="21"/>
        </w:rPr>
        <w:t>.</w:t>
      </w:r>
      <w:r w:rsidR="008B77C8" w:rsidRPr="005A1080">
        <w:rPr>
          <w:rFonts w:ascii="Arial" w:hAnsi="Arial" w:cs="Arial"/>
          <w:sz w:val="21"/>
          <w:szCs w:val="21"/>
        </w:rPr>
        <w:t xml:space="preserve"> </w:t>
      </w:r>
      <w:r w:rsidR="000E0703" w:rsidRPr="005A1080">
        <w:rPr>
          <w:rFonts w:ascii="Arial" w:hAnsi="Arial" w:cs="Arial"/>
          <w:sz w:val="21"/>
          <w:szCs w:val="21"/>
        </w:rPr>
        <w:t xml:space="preserve"> </w:t>
      </w:r>
    </w:p>
    <w:p w14:paraId="42C4C7AC" w14:textId="77777777" w:rsidR="00482608" w:rsidRPr="005A1080" w:rsidRDefault="00482608" w:rsidP="00290ACC">
      <w:pPr>
        <w:spacing w:line="276" w:lineRule="auto"/>
        <w:jc w:val="both"/>
        <w:rPr>
          <w:rFonts w:ascii="Arial" w:hAnsi="Arial" w:cs="Arial"/>
          <w:sz w:val="22"/>
        </w:rPr>
      </w:pPr>
    </w:p>
    <w:p w14:paraId="45C7CB27" w14:textId="108A6EAE" w:rsidR="004A265E" w:rsidRPr="005A1080" w:rsidRDefault="00942A72" w:rsidP="005A1080">
      <w:pPr>
        <w:spacing w:after="120" w:line="276" w:lineRule="auto"/>
        <w:ind w:firstLine="709"/>
        <w:jc w:val="both"/>
        <w:rPr>
          <w:rFonts w:ascii="Arial" w:hAnsi="Arial" w:cs="Arial"/>
          <w:sz w:val="22"/>
        </w:rPr>
      </w:pPr>
      <w:bookmarkStart w:id="41" w:name="_Hlk77237229"/>
      <w:bookmarkEnd w:id="33"/>
      <w:r w:rsidRPr="005A1080">
        <w:rPr>
          <w:rFonts w:ascii="Arial" w:hAnsi="Arial" w:cs="Arial"/>
          <w:sz w:val="22"/>
        </w:rPr>
        <w:t>En resumen</w:t>
      </w:r>
      <w:r w:rsidR="00790299" w:rsidRPr="005A1080">
        <w:rPr>
          <w:rFonts w:ascii="Arial" w:hAnsi="Arial" w:cs="Arial"/>
          <w:sz w:val="22"/>
        </w:rPr>
        <w:t>, la restricción prevista en la Ley 996 de 200</w:t>
      </w:r>
      <w:bookmarkStart w:id="42" w:name="_Hlk75741539"/>
      <w:r w:rsidR="00790299" w:rsidRPr="005A1080">
        <w:rPr>
          <w:rFonts w:ascii="Arial" w:hAnsi="Arial" w:cs="Arial"/>
          <w:sz w:val="22"/>
        </w:rPr>
        <w:t xml:space="preserve">5, </w:t>
      </w:r>
      <w:r w:rsidR="00790299" w:rsidRPr="005A1080">
        <w:rPr>
          <w:rFonts w:ascii="Arial" w:hAnsi="Arial" w:cs="Arial"/>
          <w:bCs/>
          <w:sz w:val="22"/>
          <w:lang w:eastAsia="x-none"/>
        </w:rPr>
        <w:t xml:space="preserve">teniendo en cuenta la finalidad de la ley de garantías electorales, cobija a cualquier ente </w:t>
      </w:r>
      <w:r w:rsidR="00D96F1F" w:rsidRPr="005A1080">
        <w:rPr>
          <w:rFonts w:ascii="Arial" w:hAnsi="Arial" w:cs="Arial"/>
          <w:bCs/>
          <w:sz w:val="22"/>
          <w:lang w:eastAsia="x-none"/>
        </w:rPr>
        <w:t xml:space="preserve">del Estado </w:t>
      </w:r>
      <w:r w:rsidR="00790299" w:rsidRPr="005A1080">
        <w:rPr>
          <w:rFonts w:ascii="Arial" w:hAnsi="Arial" w:cs="Arial"/>
          <w:bCs/>
          <w:sz w:val="22"/>
          <w:lang w:eastAsia="x-none"/>
        </w:rPr>
        <w:t>que</w:t>
      </w:r>
      <w:r w:rsidR="00D96F1F" w:rsidRPr="005A1080">
        <w:rPr>
          <w:rFonts w:ascii="Arial" w:hAnsi="Arial" w:cs="Arial"/>
          <w:bCs/>
          <w:sz w:val="22"/>
          <w:lang w:eastAsia="x-none"/>
        </w:rPr>
        <w:t>, a través de la contratación directa,</w:t>
      </w:r>
      <w:r w:rsidR="00790299" w:rsidRPr="005A1080">
        <w:rPr>
          <w:rFonts w:ascii="Arial" w:hAnsi="Arial" w:cs="Arial"/>
          <w:bCs/>
          <w:sz w:val="22"/>
          <w:lang w:eastAsia="x-none"/>
        </w:rPr>
        <w:t xml:space="preserve"> pueda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bookmarkEnd w:id="41"/>
      <w:bookmarkEnd w:id="42"/>
      <w:r w:rsidRPr="005A1080">
        <w:rPr>
          <w:rFonts w:ascii="Arial" w:hAnsi="Arial" w:cs="Arial"/>
          <w:bCs/>
          <w:sz w:val="22"/>
          <w:lang w:eastAsia="x-none"/>
        </w:rPr>
        <w:t xml:space="preserve"> Incluso, de acuerdo </w:t>
      </w:r>
      <w:r w:rsidR="002C6541" w:rsidRPr="005A1080">
        <w:rPr>
          <w:rFonts w:ascii="Arial" w:hAnsi="Arial" w:cs="Arial"/>
          <w:bCs/>
          <w:sz w:val="22"/>
          <w:lang w:eastAsia="x-none"/>
        </w:rPr>
        <w:t xml:space="preserve">con </w:t>
      </w:r>
      <w:r w:rsidRPr="005A1080">
        <w:rPr>
          <w:rFonts w:ascii="Arial" w:hAnsi="Arial" w:cs="Arial"/>
          <w:sz w:val="22"/>
        </w:rPr>
        <w:t>el artículo 32.5, inciso quinto, de la Ley 80 de 1993 y el artículo 2.5.2.1.1 del Decreto 2555 de 2010, la prohibición también se extiende a las sociedades fiduciarias</w:t>
      </w:r>
      <w:r w:rsidR="00D96F1F" w:rsidRPr="005A1080">
        <w:rPr>
          <w:rFonts w:ascii="Arial" w:hAnsi="Arial" w:cs="Arial"/>
          <w:sz w:val="22"/>
        </w:rPr>
        <w:t xml:space="preserve">, frente a los actos y contratos que realicen en desarrollo del negocio fiduciario, </w:t>
      </w:r>
      <w:r w:rsidR="00F14698" w:rsidRPr="005A1080">
        <w:rPr>
          <w:rFonts w:ascii="Arial" w:hAnsi="Arial" w:cs="Arial"/>
          <w:sz w:val="22"/>
        </w:rPr>
        <w:t xml:space="preserve">con independencia del régimen jurídico de la entidad fideicomitente, razón por la cual no </w:t>
      </w:r>
      <w:r w:rsidR="007A13BD" w:rsidRPr="005A1080">
        <w:rPr>
          <w:rFonts w:ascii="Arial" w:hAnsi="Arial" w:cs="Arial"/>
          <w:sz w:val="22"/>
        </w:rPr>
        <w:t xml:space="preserve"> podría</w:t>
      </w:r>
      <w:r w:rsidR="00D96F1F" w:rsidRPr="005A1080">
        <w:rPr>
          <w:rFonts w:ascii="Arial" w:hAnsi="Arial" w:cs="Arial"/>
          <w:sz w:val="22"/>
        </w:rPr>
        <w:t xml:space="preserve"> inaplicar</w:t>
      </w:r>
      <w:r w:rsidR="007A13BD" w:rsidRPr="005A1080">
        <w:rPr>
          <w:rFonts w:ascii="Arial" w:hAnsi="Arial" w:cs="Arial"/>
          <w:sz w:val="22"/>
        </w:rPr>
        <w:t>se</w:t>
      </w:r>
      <w:r w:rsidR="00D96F1F" w:rsidRPr="005A1080">
        <w:rPr>
          <w:rFonts w:ascii="Arial" w:hAnsi="Arial" w:cs="Arial"/>
          <w:sz w:val="22"/>
        </w:rPr>
        <w:t xml:space="preserve"> la prohibición establecida en el artículo 33 </w:t>
      </w:r>
      <w:r w:rsidR="00F14698" w:rsidRPr="005A1080">
        <w:rPr>
          <w:rFonts w:ascii="Arial" w:hAnsi="Arial" w:cs="Arial"/>
          <w:sz w:val="22"/>
        </w:rPr>
        <w:t xml:space="preserve">de la Ley de Garantías </w:t>
      </w:r>
      <w:r w:rsidR="00B30FAD" w:rsidRPr="005A1080">
        <w:rPr>
          <w:rFonts w:ascii="Arial" w:hAnsi="Arial" w:cs="Arial"/>
          <w:sz w:val="22"/>
        </w:rPr>
        <w:t>Electorales, con</w:t>
      </w:r>
      <w:r w:rsidR="00F14698" w:rsidRPr="005A1080">
        <w:rPr>
          <w:rFonts w:ascii="Arial" w:hAnsi="Arial" w:cs="Arial"/>
          <w:sz w:val="22"/>
        </w:rPr>
        <w:t xml:space="preserve"> la constitución de patrimonios autónomos.  </w:t>
      </w:r>
    </w:p>
    <w:p w14:paraId="158F69EB" w14:textId="10FEBE45" w:rsidR="007B7F7B" w:rsidRPr="005A1080" w:rsidRDefault="001536EC" w:rsidP="00790299">
      <w:pPr>
        <w:spacing w:line="276" w:lineRule="auto"/>
        <w:ind w:firstLine="708"/>
        <w:jc w:val="both"/>
        <w:rPr>
          <w:rFonts w:ascii="Arial" w:hAnsi="Arial" w:cs="Arial"/>
          <w:bCs/>
          <w:sz w:val="22"/>
          <w:lang w:eastAsia="x-none"/>
        </w:rPr>
      </w:pPr>
      <w:r w:rsidRPr="005A1080">
        <w:rPr>
          <w:rFonts w:ascii="Arial" w:hAnsi="Arial" w:cs="Arial"/>
          <w:sz w:val="22"/>
        </w:rPr>
        <w:t>Adicionalmente</w:t>
      </w:r>
      <w:r w:rsidR="00A90023" w:rsidRPr="005A1080">
        <w:rPr>
          <w:rFonts w:ascii="Arial" w:hAnsi="Arial" w:cs="Arial"/>
          <w:sz w:val="22"/>
        </w:rPr>
        <w:t xml:space="preserve">, </w:t>
      </w:r>
      <w:r w:rsidR="00971731" w:rsidRPr="005A1080">
        <w:rPr>
          <w:rFonts w:ascii="Arial" w:hAnsi="Arial" w:cs="Arial"/>
          <w:sz w:val="22"/>
        </w:rPr>
        <w:t xml:space="preserve">es </w:t>
      </w:r>
      <w:r w:rsidR="00A90023" w:rsidRPr="005A1080">
        <w:rPr>
          <w:rFonts w:ascii="Arial" w:hAnsi="Arial" w:cs="Arial"/>
          <w:sz w:val="22"/>
        </w:rPr>
        <w:t>pertinente aclarar</w:t>
      </w:r>
      <w:r w:rsidR="002272C3" w:rsidRPr="005A1080">
        <w:rPr>
          <w:rFonts w:ascii="Arial" w:hAnsi="Arial" w:cs="Arial"/>
          <w:sz w:val="22"/>
        </w:rPr>
        <w:t xml:space="preserve"> que en el caso de la </w:t>
      </w:r>
      <w:r w:rsidR="00A90023" w:rsidRPr="005A1080">
        <w:rPr>
          <w:rFonts w:ascii="Arial" w:hAnsi="Arial" w:cs="Arial"/>
          <w:sz w:val="22"/>
        </w:rPr>
        <w:t>Fiduprevisora S.A.</w:t>
      </w:r>
      <w:r w:rsidR="005476EA" w:rsidRPr="005A1080">
        <w:rPr>
          <w:rFonts w:ascii="Arial" w:hAnsi="Arial" w:cs="Arial"/>
          <w:sz w:val="22"/>
        </w:rPr>
        <w:t xml:space="preserve">, la restricción a la contratación </w:t>
      </w:r>
      <w:r w:rsidR="000769CC" w:rsidRPr="005A1080">
        <w:rPr>
          <w:rFonts w:ascii="Arial" w:hAnsi="Arial" w:cs="Arial"/>
          <w:sz w:val="22"/>
        </w:rPr>
        <w:t>directa establecida en el artículo 33</w:t>
      </w:r>
      <w:r w:rsidR="00A90023" w:rsidRPr="005A1080">
        <w:rPr>
          <w:rFonts w:ascii="Arial" w:hAnsi="Arial" w:cs="Arial"/>
          <w:sz w:val="22"/>
        </w:rPr>
        <w:t xml:space="preserve"> </w:t>
      </w:r>
      <w:r w:rsidR="00971731" w:rsidRPr="005A1080">
        <w:rPr>
          <w:rFonts w:ascii="Arial" w:hAnsi="Arial" w:cs="Arial"/>
          <w:sz w:val="22"/>
        </w:rPr>
        <w:t>aplica</w:t>
      </w:r>
      <w:r w:rsidR="007F1566" w:rsidRPr="005A1080">
        <w:rPr>
          <w:rFonts w:ascii="Arial" w:hAnsi="Arial" w:cs="Arial"/>
          <w:sz w:val="22"/>
        </w:rPr>
        <w:t xml:space="preserve"> en consideración a su calidad de ente del Estado, </w:t>
      </w:r>
      <w:r w:rsidR="00C13430" w:rsidRPr="005A1080">
        <w:rPr>
          <w:rFonts w:ascii="Arial" w:hAnsi="Arial" w:cs="Arial"/>
          <w:sz w:val="22"/>
        </w:rPr>
        <w:t xml:space="preserve">pues es </w:t>
      </w:r>
      <w:r w:rsidR="00000457" w:rsidRPr="005A1080">
        <w:rPr>
          <w:rFonts w:ascii="Arial" w:hAnsi="Arial" w:cs="Arial"/>
          <w:sz w:val="22"/>
        </w:rPr>
        <w:t xml:space="preserve">una </w:t>
      </w:r>
      <w:r w:rsidR="00CB1517" w:rsidRPr="005A1080">
        <w:rPr>
          <w:rFonts w:ascii="Arial" w:hAnsi="Arial" w:cs="Arial"/>
          <w:sz w:val="22"/>
        </w:rPr>
        <w:t>sociedad</w:t>
      </w:r>
      <w:r w:rsidR="00000457" w:rsidRPr="005A1080">
        <w:rPr>
          <w:rFonts w:ascii="Arial" w:hAnsi="Arial" w:cs="Arial"/>
          <w:sz w:val="22"/>
        </w:rPr>
        <w:t xml:space="preserve"> anónima</w:t>
      </w:r>
      <w:r w:rsidR="00CB1517" w:rsidRPr="005A1080">
        <w:rPr>
          <w:rFonts w:ascii="Arial" w:hAnsi="Arial" w:cs="Arial"/>
          <w:sz w:val="22"/>
        </w:rPr>
        <w:t xml:space="preserve"> de economía mixta</w:t>
      </w:r>
      <w:r w:rsidR="00FB31BF" w:rsidRPr="005A1080">
        <w:rPr>
          <w:rFonts w:ascii="Arial" w:hAnsi="Arial" w:cs="Arial"/>
          <w:sz w:val="22"/>
        </w:rPr>
        <w:t>. En ese sentido,</w:t>
      </w:r>
      <w:r w:rsidR="002D57D8" w:rsidRPr="005A1080">
        <w:rPr>
          <w:rFonts w:ascii="Arial" w:hAnsi="Arial" w:cs="Arial"/>
          <w:sz w:val="22"/>
        </w:rPr>
        <w:t xml:space="preserve"> dada </w:t>
      </w:r>
      <w:r w:rsidR="009372BC" w:rsidRPr="005A1080">
        <w:rPr>
          <w:rFonts w:ascii="Arial" w:hAnsi="Arial" w:cs="Arial"/>
          <w:sz w:val="22"/>
        </w:rPr>
        <w:t>la</w:t>
      </w:r>
      <w:r w:rsidR="002D57D8" w:rsidRPr="005A1080">
        <w:rPr>
          <w:rFonts w:ascii="Arial" w:hAnsi="Arial" w:cs="Arial"/>
          <w:sz w:val="22"/>
        </w:rPr>
        <w:t xml:space="preserve"> naturaleza </w:t>
      </w:r>
      <w:r w:rsidR="009372BC" w:rsidRPr="005A1080">
        <w:rPr>
          <w:rFonts w:ascii="Arial" w:hAnsi="Arial" w:cs="Arial"/>
          <w:sz w:val="22"/>
        </w:rPr>
        <w:t>de esta entidad, se encuentra dentro del ámbito de aplicación</w:t>
      </w:r>
      <w:r w:rsidR="00BF00A3" w:rsidRPr="005A1080">
        <w:rPr>
          <w:rFonts w:ascii="Arial" w:hAnsi="Arial" w:cs="Arial"/>
          <w:sz w:val="22"/>
        </w:rPr>
        <w:t xml:space="preserve"> del artículo 33,</w:t>
      </w:r>
      <w:r w:rsidR="009372BC" w:rsidRPr="005A1080">
        <w:rPr>
          <w:rFonts w:ascii="Arial" w:hAnsi="Arial" w:cs="Arial"/>
          <w:sz w:val="22"/>
        </w:rPr>
        <w:t xml:space="preserve"> </w:t>
      </w:r>
      <w:r w:rsidR="00BF00A3" w:rsidRPr="005A1080">
        <w:rPr>
          <w:rFonts w:ascii="Arial" w:hAnsi="Arial" w:cs="Arial"/>
          <w:sz w:val="22"/>
        </w:rPr>
        <w:t xml:space="preserve">por lo que </w:t>
      </w:r>
      <w:r w:rsidR="000918A8" w:rsidRPr="005A1080">
        <w:rPr>
          <w:rFonts w:ascii="Arial" w:hAnsi="Arial" w:cs="Arial"/>
          <w:sz w:val="22"/>
        </w:rPr>
        <w:t>t</w:t>
      </w:r>
      <w:r w:rsidR="00B82102" w:rsidRPr="005A1080">
        <w:rPr>
          <w:rFonts w:ascii="Arial" w:hAnsi="Arial" w:cs="Arial"/>
          <w:sz w:val="22"/>
        </w:rPr>
        <w:t>endría</w:t>
      </w:r>
      <w:r w:rsidR="002D57D8" w:rsidRPr="005A1080">
        <w:rPr>
          <w:rFonts w:ascii="Arial" w:hAnsi="Arial" w:cs="Arial"/>
          <w:sz w:val="22"/>
        </w:rPr>
        <w:t xml:space="preserve"> </w:t>
      </w:r>
      <w:r w:rsidR="000918A8" w:rsidRPr="005A1080">
        <w:rPr>
          <w:rFonts w:ascii="Arial" w:hAnsi="Arial" w:cs="Arial"/>
          <w:sz w:val="22"/>
        </w:rPr>
        <w:t xml:space="preserve">restringida la posibilidad de </w:t>
      </w:r>
      <w:r w:rsidR="00D43F63" w:rsidRPr="005A1080">
        <w:rPr>
          <w:rFonts w:ascii="Arial" w:hAnsi="Arial" w:cs="Arial"/>
          <w:sz w:val="22"/>
        </w:rPr>
        <w:t>la suscri</w:t>
      </w:r>
      <w:r w:rsidR="000918A8" w:rsidRPr="005A1080">
        <w:rPr>
          <w:rFonts w:ascii="Arial" w:hAnsi="Arial" w:cs="Arial"/>
          <w:sz w:val="22"/>
        </w:rPr>
        <w:t>bir</w:t>
      </w:r>
      <w:r w:rsidR="00D43F63" w:rsidRPr="005A1080">
        <w:rPr>
          <w:rFonts w:ascii="Arial" w:hAnsi="Arial" w:cs="Arial"/>
          <w:sz w:val="22"/>
        </w:rPr>
        <w:t xml:space="preserve"> contratos o convenios de manera directa</w:t>
      </w:r>
      <w:r w:rsidR="00C029BB" w:rsidRPr="005A1080">
        <w:rPr>
          <w:rFonts w:ascii="Arial" w:hAnsi="Arial" w:cs="Arial"/>
          <w:sz w:val="22"/>
        </w:rPr>
        <w:t xml:space="preserve"> durante </w:t>
      </w:r>
      <w:r w:rsidR="00000FD4" w:rsidRPr="005A1080">
        <w:rPr>
          <w:rFonts w:ascii="Arial" w:hAnsi="Arial" w:cs="Arial"/>
          <w:sz w:val="22"/>
        </w:rPr>
        <w:t xml:space="preserve">los periodos </w:t>
      </w:r>
      <w:r w:rsidR="00BA6F2A" w:rsidRPr="005A1080">
        <w:rPr>
          <w:rFonts w:ascii="Arial" w:hAnsi="Arial" w:cs="Arial"/>
          <w:sz w:val="22"/>
        </w:rPr>
        <w:t xml:space="preserve">de los cuatro (4) meses anteriores a las elecciones presidenciales, </w:t>
      </w:r>
      <w:r w:rsidR="00B53375" w:rsidRPr="005A1080">
        <w:rPr>
          <w:rFonts w:ascii="Arial" w:hAnsi="Arial" w:cs="Arial"/>
          <w:sz w:val="22"/>
        </w:rPr>
        <w:t xml:space="preserve">con independencia del origen de los recursos que administre o que pretendan destinarse a los contratos. </w:t>
      </w:r>
      <w:r w:rsidR="00A713F4" w:rsidRPr="005A1080">
        <w:rPr>
          <w:rFonts w:ascii="Arial" w:hAnsi="Arial" w:cs="Arial"/>
          <w:sz w:val="22"/>
        </w:rPr>
        <w:t xml:space="preserve">Lo anterior, </w:t>
      </w:r>
      <w:r w:rsidR="009346BD" w:rsidRPr="005A1080">
        <w:rPr>
          <w:rFonts w:ascii="Arial" w:hAnsi="Arial" w:cs="Arial"/>
          <w:sz w:val="22"/>
        </w:rPr>
        <w:t xml:space="preserve">sin perjuicio de la eventual aplicación de las excepciones establecidas en el inciso segundo del mencionado artículo 33 de la Ley </w:t>
      </w:r>
      <w:r w:rsidR="009346BD" w:rsidRPr="005A1080">
        <w:rPr>
          <w:rFonts w:ascii="Arial" w:hAnsi="Arial" w:cs="Arial"/>
          <w:sz w:val="22"/>
        </w:rPr>
        <w:lastRenderedPageBreak/>
        <w:t xml:space="preserve">996 de 2005, </w:t>
      </w:r>
      <w:r w:rsidR="001C57F6" w:rsidRPr="005A1080">
        <w:rPr>
          <w:rFonts w:ascii="Arial" w:hAnsi="Arial" w:cs="Arial"/>
          <w:sz w:val="22"/>
        </w:rPr>
        <w:t>cuya aplicabilidad debe ser determinada por las entidades al momento de celebrar los respectivos contratos</w:t>
      </w:r>
      <w:r w:rsidR="00AA5F18" w:rsidRPr="005A1080">
        <w:rPr>
          <w:rFonts w:ascii="Arial" w:hAnsi="Arial" w:cs="Arial"/>
          <w:sz w:val="22"/>
        </w:rPr>
        <w:t xml:space="preserve">. </w:t>
      </w:r>
      <w:r w:rsidR="001C57F6" w:rsidRPr="005A1080">
        <w:rPr>
          <w:rFonts w:ascii="Arial" w:hAnsi="Arial" w:cs="Arial"/>
          <w:sz w:val="22"/>
        </w:rPr>
        <w:t xml:space="preserve"> </w:t>
      </w:r>
      <w:r w:rsidR="00E95FA6" w:rsidRPr="005A1080">
        <w:rPr>
          <w:rFonts w:ascii="Arial" w:hAnsi="Arial" w:cs="Arial"/>
          <w:sz w:val="22"/>
        </w:rPr>
        <w:t xml:space="preserve"> </w:t>
      </w:r>
      <w:r w:rsidR="00C029BB" w:rsidRPr="005A1080">
        <w:rPr>
          <w:rFonts w:ascii="Arial" w:hAnsi="Arial" w:cs="Arial"/>
          <w:sz w:val="22"/>
        </w:rPr>
        <w:t xml:space="preserve"> </w:t>
      </w:r>
      <w:r w:rsidR="00FB31BF" w:rsidRPr="005A1080">
        <w:rPr>
          <w:rFonts w:ascii="Arial" w:hAnsi="Arial" w:cs="Arial"/>
          <w:sz w:val="22"/>
        </w:rPr>
        <w:t xml:space="preserve"> </w:t>
      </w:r>
      <w:r w:rsidR="00CB1517" w:rsidRPr="005A1080">
        <w:rPr>
          <w:rFonts w:ascii="Arial" w:hAnsi="Arial" w:cs="Arial"/>
          <w:sz w:val="22"/>
        </w:rPr>
        <w:t xml:space="preserve"> </w:t>
      </w:r>
      <w:r w:rsidR="00A90023" w:rsidRPr="005A1080">
        <w:rPr>
          <w:rFonts w:ascii="Arial" w:hAnsi="Arial" w:cs="Arial"/>
          <w:sz w:val="22"/>
        </w:rPr>
        <w:t xml:space="preserve"> </w:t>
      </w:r>
    </w:p>
    <w:p w14:paraId="675A1CE3" w14:textId="77777777" w:rsidR="007335B3" w:rsidRPr="005A1080" w:rsidRDefault="007335B3" w:rsidP="004A265E">
      <w:pPr>
        <w:spacing w:line="276" w:lineRule="auto"/>
        <w:jc w:val="both"/>
        <w:rPr>
          <w:rFonts w:ascii="Arial" w:eastAsia="Calibri" w:hAnsi="Arial" w:cs="Arial"/>
          <w:bCs/>
          <w:sz w:val="22"/>
          <w:lang w:val="es-ES"/>
        </w:rPr>
      </w:pPr>
    </w:p>
    <w:p w14:paraId="50ACAD28" w14:textId="290ECAB0" w:rsidR="00305947" w:rsidRPr="005A1080" w:rsidRDefault="00305947" w:rsidP="00E71381">
      <w:pPr>
        <w:spacing w:line="276" w:lineRule="auto"/>
        <w:jc w:val="both"/>
        <w:rPr>
          <w:rFonts w:ascii="Arial" w:eastAsia="Calibri" w:hAnsi="Arial" w:cs="Arial"/>
          <w:b/>
          <w:sz w:val="22"/>
        </w:rPr>
      </w:pPr>
      <w:r w:rsidRPr="005A1080">
        <w:rPr>
          <w:rFonts w:ascii="Arial" w:eastAsia="Calibri" w:hAnsi="Arial" w:cs="Arial"/>
          <w:b/>
          <w:sz w:val="22"/>
        </w:rPr>
        <w:t>3. Respuesta</w:t>
      </w:r>
      <w:r w:rsidR="001D0521" w:rsidRPr="005A1080">
        <w:rPr>
          <w:rFonts w:ascii="Arial" w:eastAsia="Calibri" w:hAnsi="Arial" w:cs="Arial"/>
          <w:b/>
          <w:sz w:val="22"/>
        </w:rPr>
        <w:t xml:space="preserve"> </w:t>
      </w:r>
    </w:p>
    <w:p w14:paraId="070920B0" w14:textId="77777777" w:rsidR="00E24B98" w:rsidRPr="005A1080" w:rsidRDefault="00E24B98" w:rsidP="00E24B98">
      <w:pPr>
        <w:pStyle w:val="Prrafodelista"/>
        <w:tabs>
          <w:tab w:val="left" w:pos="426"/>
        </w:tabs>
        <w:spacing w:after="120"/>
        <w:ind w:right="709"/>
        <w:jc w:val="both"/>
        <w:rPr>
          <w:rFonts w:ascii="Arial" w:eastAsia="Calibri" w:hAnsi="Arial" w:cs="Arial"/>
          <w:sz w:val="21"/>
          <w:szCs w:val="21"/>
        </w:rPr>
      </w:pPr>
    </w:p>
    <w:p w14:paraId="6B92DF3D" w14:textId="77777777" w:rsidR="00141A38" w:rsidRPr="005A1080" w:rsidRDefault="00141A38" w:rsidP="00094466">
      <w:pPr>
        <w:autoSpaceDE w:val="0"/>
        <w:autoSpaceDN w:val="0"/>
        <w:adjustRightInd w:val="0"/>
        <w:ind w:left="709" w:right="709"/>
        <w:jc w:val="both"/>
        <w:rPr>
          <w:rFonts w:ascii="Arial" w:hAnsi="Arial" w:cs="Arial"/>
          <w:sz w:val="21"/>
          <w:szCs w:val="21"/>
          <w:lang w:val="es-CO"/>
        </w:rPr>
      </w:pPr>
      <w:r w:rsidRPr="005A1080">
        <w:rPr>
          <w:rFonts w:ascii="Arial" w:eastAsia="Calibri" w:hAnsi="Arial" w:cs="Arial"/>
          <w:sz w:val="21"/>
          <w:szCs w:val="21"/>
        </w:rPr>
        <w:t xml:space="preserve">«1) </w:t>
      </w:r>
      <w:r w:rsidRPr="005A1080">
        <w:rPr>
          <w:rFonts w:ascii="Arial" w:hAnsi="Arial" w:cs="Arial"/>
          <w:sz w:val="21"/>
          <w:szCs w:val="21"/>
          <w:lang w:val="es-CO"/>
        </w:rPr>
        <w:t>¿Cómo aplicaría la restricción a la contratación directa durante las elecciones parlamentarias y presidenciales de 2022, en la adquisición de bienes y servicios financiados con los recursos de las fuentes mencionadas en precedencia? Favor emitir concepto frente a cada una de las fuentes de financiación enunciadas, desde la óptica de su naturaleza jurídica, así como de las entidades o empresas que los administran y ejecutan.</w:t>
      </w:r>
    </w:p>
    <w:p w14:paraId="7C8B11B4" w14:textId="77777777" w:rsidR="00141A38" w:rsidRPr="005A1080" w:rsidRDefault="00141A38" w:rsidP="00094466">
      <w:pPr>
        <w:tabs>
          <w:tab w:val="left" w:pos="284"/>
        </w:tabs>
        <w:ind w:left="709" w:right="709"/>
        <w:rPr>
          <w:rFonts w:ascii="Arial" w:hAnsi="Arial" w:cs="Arial"/>
          <w:sz w:val="21"/>
          <w:szCs w:val="21"/>
          <w:lang w:val="es-CO"/>
        </w:rPr>
      </w:pPr>
    </w:p>
    <w:p w14:paraId="196D19B7" w14:textId="655B135B" w:rsidR="00AA5F18" w:rsidRPr="005A1080" w:rsidRDefault="00AA5F18" w:rsidP="00094466">
      <w:pPr>
        <w:tabs>
          <w:tab w:val="left" w:pos="284"/>
        </w:tabs>
        <w:ind w:left="709" w:right="709"/>
        <w:rPr>
          <w:rFonts w:ascii="Arial" w:hAnsi="Arial" w:cs="Arial"/>
          <w:sz w:val="21"/>
          <w:szCs w:val="21"/>
          <w:lang w:val="es-CO"/>
        </w:rPr>
      </w:pPr>
      <w:r w:rsidRPr="005A1080">
        <w:rPr>
          <w:rFonts w:ascii="Arial" w:hAnsi="Arial" w:cs="Arial"/>
          <w:sz w:val="21"/>
          <w:szCs w:val="21"/>
          <w:lang w:val="es-CO"/>
        </w:rPr>
        <w:t>[…]</w:t>
      </w:r>
    </w:p>
    <w:p w14:paraId="0D115350" w14:textId="77777777" w:rsidR="00141A38" w:rsidRPr="005A1080" w:rsidRDefault="00141A38" w:rsidP="00094466">
      <w:pPr>
        <w:autoSpaceDE w:val="0"/>
        <w:autoSpaceDN w:val="0"/>
        <w:adjustRightInd w:val="0"/>
        <w:ind w:left="709" w:right="709"/>
        <w:rPr>
          <w:rFonts w:ascii="Arial" w:hAnsi="Arial" w:cs="Arial"/>
          <w:sz w:val="21"/>
          <w:szCs w:val="21"/>
          <w:lang w:val="es-CO"/>
        </w:rPr>
      </w:pPr>
    </w:p>
    <w:p w14:paraId="6CB5D18B" w14:textId="77777777" w:rsidR="00141A38" w:rsidRPr="005A1080" w:rsidRDefault="00141A38" w:rsidP="00094466">
      <w:pPr>
        <w:autoSpaceDE w:val="0"/>
        <w:autoSpaceDN w:val="0"/>
        <w:adjustRightInd w:val="0"/>
        <w:ind w:left="709" w:right="709"/>
        <w:jc w:val="both"/>
        <w:rPr>
          <w:rFonts w:ascii="Arial" w:hAnsi="Arial" w:cs="Arial"/>
          <w:sz w:val="21"/>
          <w:szCs w:val="21"/>
          <w:lang w:val="es-CO"/>
        </w:rPr>
      </w:pPr>
      <w:r w:rsidRPr="005A1080">
        <w:rPr>
          <w:rFonts w:ascii="Arial" w:hAnsi="Arial" w:cs="Arial"/>
          <w:sz w:val="21"/>
          <w:szCs w:val="21"/>
          <w:lang w:val="es-CO"/>
        </w:rPr>
        <w:t>3) Teniendo en cuenta la naturaleza jurídica de los recursos provenientes de fondos multilaterales, que son privados, pero que son ejecutados por entidades del Estado colombiano, ¿estos están sometidos a la restricción a la contratación directa de la mencionada Ley 996 de 2005 y demás contenidas en las mencionadas normas?».</w:t>
      </w:r>
    </w:p>
    <w:p w14:paraId="76BBB55E" w14:textId="1A29C658" w:rsidR="00114BCB" w:rsidRPr="005A1080" w:rsidRDefault="00114BCB" w:rsidP="00251939">
      <w:pPr>
        <w:pStyle w:val="Prrafodelista"/>
        <w:tabs>
          <w:tab w:val="left" w:pos="426"/>
        </w:tabs>
        <w:spacing w:line="276" w:lineRule="auto"/>
        <w:ind w:left="709" w:right="616"/>
        <w:jc w:val="both"/>
        <w:rPr>
          <w:rFonts w:ascii="Arial" w:eastAsia="Calibri" w:hAnsi="Arial" w:cs="Arial"/>
          <w:bCs/>
          <w:sz w:val="22"/>
          <w:lang w:val="es-ES_tradnl"/>
        </w:rPr>
      </w:pPr>
    </w:p>
    <w:p w14:paraId="333627E7" w14:textId="6554D4C1" w:rsidR="00A322BD" w:rsidRPr="005A1080" w:rsidRDefault="00DF1A17" w:rsidP="004A265E">
      <w:pPr>
        <w:tabs>
          <w:tab w:val="left" w:pos="426"/>
        </w:tabs>
        <w:spacing w:after="120" w:line="276" w:lineRule="auto"/>
        <w:ind w:right="49"/>
        <w:jc w:val="both"/>
        <w:rPr>
          <w:rFonts w:ascii="Arial" w:hAnsi="Arial" w:cs="Arial"/>
          <w:bCs/>
          <w:sz w:val="22"/>
          <w:lang w:eastAsia="x-none"/>
        </w:rPr>
      </w:pPr>
      <w:r w:rsidRPr="005A1080">
        <w:rPr>
          <w:rFonts w:ascii="Arial" w:hAnsi="Arial" w:cs="Arial"/>
          <w:bCs/>
          <w:sz w:val="22"/>
          <w:lang w:eastAsia="x-none"/>
        </w:rPr>
        <w:t>De acuerdo con la interpretación de las normas generales aplicables al sistema de compras y contratación pública, e</w:t>
      </w:r>
      <w:r w:rsidR="004224C1" w:rsidRPr="005A1080">
        <w:rPr>
          <w:rFonts w:ascii="Arial" w:hAnsi="Arial" w:cs="Arial"/>
          <w:bCs/>
          <w:sz w:val="22"/>
          <w:lang w:eastAsia="x-none"/>
        </w:rPr>
        <w:t>l artículo 33 de la Ley 996 de 2005 señala expresamente a los destinatarios de la prohibición, en el sentido de que son «todos los entes del Estado», expresión que contempla a los diferentes organismos o entidades autorizadas por la ley para suscribir contratos.</w:t>
      </w:r>
      <w:r w:rsidR="004224C1" w:rsidRPr="005A1080">
        <w:t xml:space="preserve"> </w:t>
      </w:r>
      <w:r w:rsidR="004224C1" w:rsidRPr="005A1080">
        <w:rPr>
          <w:rFonts w:ascii="Arial" w:hAnsi="Arial" w:cs="Arial"/>
          <w:bCs/>
          <w:sz w:val="22"/>
          <w:lang w:eastAsia="x-none"/>
        </w:rPr>
        <w:t>En efecto, tal como lo ha sostenido el Consejo de Estado, el vocablo «todos» utilizado por el legislador comprende</w:t>
      </w:r>
      <w:r w:rsidR="004224C1" w:rsidRPr="005A1080">
        <w:t xml:space="preserve"> </w:t>
      </w:r>
      <w:r w:rsidR="004224C1" w:rsidRPr="005A1080">
        <w:rPr>
          <w:rFonts w:ascii="Arial" w:hAnsi="Arial" w:cs="Arial"/>
          <w:bCs/>
          <w:sz w:val="22"/>
          <w:lang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486992" w:rsidRPr="005A1080">
        <w:rPr>
          <w:rFonts w:ascii="Arial" w:hAnsi="Arial" w:cs="Arial"/>
          <w:bCs/>
          <w:sz w:val="22"/>
          <w:lang w:eastAsia="x-none"/>
        </w:rPr>
        <w:t xml:space="preserve">. </w:t>
      </w:r>
      <w:r w:rsidR="00FD1529" w:rsidRPr="005A1080">
        <w:rPr>
          <w:rFonts w:ascii="Arial" w:hAnsi="Arial" w:cs="Arial"/>
          <w:bCs/>
          <w:sz w:val="22"/>
          <w:lang w:eastAsia="x-none"/>
        </w:rPr>
        <w:t>Incluso, dado que el legislador no distingue, la prohibición también aplica a las entidades descentralizadas indirectas, esto es, las que surgen por la voluntad asociativa de los entes públicos entre sí o con la intervención de particulares, como por ejemplo las ESALES derivadas de los artículos 95 y 96 de la Ley 489 de 1998, o las sociedades de economía mixta.</w:t>
      </w:r>
    </w:p>
    <w:p w14:paraId="4FAAE6B9" w14:textId="59CA8867" w:rsidR="00114BCB" w:rsidRPr="005A1080" w:rsidRDefault="00547B45" w:rsidP="00094466">
      <w:pPr>
        <w:tabs>
          <w:tab w:val="left" w:pos="426"/>
        </w:tabs>
        <w:spacing w:line="276" w:lineRule="auto"/>
        <w:ind w:right="49"/>
        <w:jc w:val="both"/>
        <w:rPr>
          <w:rFonts w:ascii="Arial" w:hAnsi="Arial" w:cs="Arial"/>
          <w:bCs/>
          <w:sz w:val="22"/>
          <w:lang w:eastAsia="x-none"/>
        </w:rPr>
      </w:pPr>
      <w:r w:rsidRPr="005A1080">
        <w:rPr>
          <w:rFonts w:ascii="Arial" w:hAnsi="Arial" w:cs="Arial"/>
          <w:bCs/>
          <w:sz w:val="22"/>
          <w:lang w:eastAsia="x-none"/>
        </w:rPr>
        <w:tab/>
      </w:r>
      <w:r w:rsidR="00763166" w:rsidRPr="005A1080">
        <w:rPr>
          <w:rFonts w:ascii="Arial" w:hAnsi="Arial" w:cs="Arial"/>
          <w:bCs/>
          <w:sz w:val="22"/>
          <w:lang w:eastAsia="x-none"/>
        </w:rPr>
        <w:tab/>
        <w:t xml:space="preserve">Del mismo modo, la restricción del artículo 33 de la Ley 996 de 2005 </w:t>
      </w:r>
      <w:r w:rsidR="00817846" w:rsidRPr="005A1080">
        <w:rPr>
          <w:rFonts w:ascii="Arial" w:hAnsi="Arial" w:cs="Arial"/>
          <w:bCs/>
          <w:sz w:val="22"/>
          <w:lang w:eastAsia="x-none"/>
        </w:rPr>
        <w:t xml:space="preserve">aplica sin consideración a la eventual ejecución de recursos </w:t>
      </w:r>
      <w:r w:rsidR="00670305" w:rsidRPr="005A1080">
        <w:rPr>
          <w:rFonts w:ascii="Arial" w:hAnsi="Arial" w:cs="Arial"/>
          <w:bCs/>
          <w:sz w:val="22"/>
          <w:lang w:eastAsia="x-none"/>
        </w:rPr>
        <w:t xml:space="preserve">en el marco de los respectivos contratos, por lo que </w:t>
      </w:r>
      <w:r w:rsidR="003C7793" w:rsidRPr="005A1080">
        <w:rPr>
          <w:rFonts w:ascii="Arial" w:hAnsi="Arial" w:cs="Arial"/>
          <w:bCs/>
          <w:sz w:val="22"/>
          <w:lang w:eastAsia="x-none"/>
        </w:rPr>
        <w:t>restringe por igual</w:t>
      </w:r>
      <w:r w:rsidR="00FC3B59" w:rsidRPr="005A1080">
        <w:rPr>
          <w:rFonts w:ascii="Arial" w:hAnsi="Arial" w:cs="Arial"/>
          <w:bCs/>
          <w:sz w:val="22"/>
          <w:lang w:eastAsia="x-none"/>
        </w:rPr>
        <w:t xml:space="preserve"> </w:t>
      </w:r>
      <w:r w:rsidR="003C7793" w:rsidRPr="005A1080">
        <w:rPr>
          <w:rFonts w:ascii="Arial" w:hAnsi="Arial" w:cs="Arial"/>
          <w:bCs/>
          <w:sz w:val="22"/>
          <w:lang w:eastAsia="x-none"/>
        </w:rPr>
        <w:t>la posibilidad de celebrar contratos en los que no se ejecuten recursos</w:t>
      </w:r>
      <w:r w:rsidR="00013006" w:rsidRPr="005A1080">
        <w:rPr>
          <w:rFonts w:ascii="Arial" w:hAnsi="Arial" w:cs="Arial"/>
          <w:bCs/>
          <w:sz w:val="22"/>
          <w:lang w:eastAsia="x-none"/>
        </w:rPr>
        <w:t xml:space="preserve"> como </w:t>
      </w:r>
      <w:r w:rsidR="00FC3B59" w:rsidRPr="005A1080">
        <w:rPr>
          <w:rFonts w:ascii="Arial" w:hAnsi="Arial" w:cs="Arial"/>
          <w:bCs/>
          <w:sz w:val="22"/>
          <w:lang w:eastAsia="x-none"/>
        </w:rPr>
        <w:t xml:space="preserve">la de suscribir contratos a los que se destinen recursos, cualquiera que sea el origen de </w:t>
      </w:r>
      <w:r w:rsidR="005323D8" w:rsidRPr="005A1080">
        <w:rPr>
          <w:rFonts w:ascii="Arial" w:hAnsi="Arial" w:cs="Arial"/>
          <w:bCs/>
          <w:sz w:val="22"/>
          <w:lang w:eastAsia="x-none"/>
        </w:rPr>
        <w:t>estos</w:t>
      </w:r>
      <w:r w:rsidR="00FC3B59" w:rsidRPr="005A1080">
        <w:rPr>
          <w:rFonts w:ascii="Arial" w:hAnsi="Arial" w:cs="Arial"/>
          <w:bCs/>
          <w:sz w:val="22"/>
          <w:lang w:eastAsia="x-none"/>
        </w:rPr>
        <w:t>.</w:t>
      </w:r>
      <w:r w:rsidR="00FD1529" w:rsidRPr="005A1080">
        <w:rPr>
          <w:rFonts w:ascii="Arial" w:hAnsi="Arial" w:cs="Arial"/>
          <w:bCs/>
          <w:sz w:val="22"/>
          <w:lang w:eastAsia="x-none"/>
        </w:rPr>
        <w:t xml:space="preserve"> </w:t>
      </w:r>
      <w:r w:rsidR="00101F31" w:rsidRPr="005A1080">
        <w:rPr>
          <w:rFonts w:ascii="Arial" w:hAnsi="Arial" w:cs="Arial"/>
          <w:bCs/>
          <w:sz w:val="22"/>
          <w:lang w:eastAsia="x-none"/>
        </w:rPr>
        <w:t>En ese sentido, independientemente de que los recursos destinados a la ejecución de un contrato tengan origen público o privado</w:t>
      </w:r>
      <w:r w:rsidR="00957AEE" w:rsidRPr="005A1080">
        <w:rPr>
          <w:rFonts w:ascii="Arial" w:hAnsi="Arial" w:cs="Arial"/>
          <w:bCs/>
          <w:sz w:val="22"/>
          <w:lang w:eastAsia="x-none"/>
        </w:rPr>
        <w:t>, las entidades estatales tienen restringida su celebración de manera directa</w:t>
      </w:r>
      <w:r w:rsidR="004A74E4" w:rsidRPr="005A1080">
        <w:rPr>
          <w:rFonts w:ascii="Arial" w:hAnsi="Arial" w:cs="Arial"/>
          <w:bCs/>
          <w:sz w:val="22"/>
          <w:lang w:eastAsia="x-none"/>
        </w:rPr>
        <w:t xml:space="preserve">, durante el periodo </w:t>
      </w:r>
      <w:r w:rsidR="00C2098C" w:rsidRPr="005A1080">
        <w:rPr>
          <w:rFonts w:ascii="Arial" w:hAnsi="Arial" w:cs="Arial"/>
          <w:bCs/>
          <w:sz w:val="22"/>
          <w:lang w:eastAsia="x-none"/>
        </w:rPr>
        <w:t>preelectoral</w:t>
      </w:r>
      <w:r w:rsidR="004A74E4" w:rsidRPr="005A1080">
        <w:rPr>
          <w:rFonts w:ascii="Arial" w:hAnsi="Arial" w:cs="Arial"/>
          <w:bCs/>
          <w:sz w:val="22"/>
          <w:lang w:eastAsia="x-none"/>
        </w:rPr>
        <w:t xml:space="preserve"> de los cuatro (4) meses a l</w:t>
      </w:r>
      <w:r w:rsidR="00C2098C" w:rsidRPr="005A1080">
        <w:rPr>
          <w:rFonts w:ascii="Arial" w:hAnsi="Arial" w:cs="Arial"/>
          <w:bCs/>
          <w:sz w:val="22"/>
          <w:lang w:eastAsia="x-none"/>
        </w:rPr>
        <w:t xml:space="preserve">as elecciones presidenciales. </w:t>
      </w:r>
    </w:p>
    <w:p w14:paraId="46D4F30C" w14:textId="77777777" w:rsidR="00094466" w:rsidRPr="005A1080" w:rsidRDefault="00094466" w:rsidP="00094466">
      <w:pPr>
        <w:tabs>
          <w:tab w:val="left" w:pos="426"/>
        </w:tabs>
        <w:spacing w:line="276" w:lineRule="auto"/>
        <w:ind w:right="49"/>
        <w:jc w:val="both"/>
        <w:rPr>
          <w:rFonts w:ascii="Arial" w:hAnsi="Arial" w:cs="Arial"/>
          <w:bCs/>
          <w:sz w:val="22"/>
          <w:lang w:eastAsia="x-none"/>
        </w:rPr>
      </w:pPr>
    </w:p>
    <w:p w14:paraId="7971D4E4" w14:textId="70CA8C22" w:rsidR="00A322BD" w:rsidRPr="005A1080" w:rsidRDefault="00094466" w:rsidP="00A322BD">
      <w:pPr>
        <w:autoSpaceDE w:val="0"/>
        <w:autoSpaceDN w:val="0"/>
        <w:adjustRightInd w:val="0"/>
        <w:ind w:left="709" w:right="709"/>
        <w:jc w:val="both"/>
        <w:rPr>
          <w:rFonts w:ascii="Arial" w:hAnsi="Arial" w:cs="Arial"/>
          <w:sz w:val="21"/>
          <w:szCs w:val="21"/>
          <w:lang w:val="es-CO"/>
        </w:rPr>
      </w:pPr>
      <w:r w:rsidRPr="005A1080">
        <w:rPr>
          <w:rFonts w:ascii="Arial" w:hAnsi="Arial" w:cs="Arial"/>
          <w:sz w:val="21"/>
          <w:szCs w:val="21"/>
          <w:lang w:val="es-CO"/>
        </w:rPr>
        <w:lastRenderedPageBreak/>
        <w:t>«</w:t>
      </w:r>
      <w:r w:rsidR="00A322BD" w:rsidRPr="005A1080">
        <w:rPr>
          <w:rFonts w:ascii="Arial" w:hAnsi="Arial" w:cs="Arial"/>
          <w:sz w:val="21"/>
          <w:szCs w:val="21"/>
          <w:lang w:val="es-CO"/>
        </w:rPr>
        <w:t>2) En el caso del manejo y contratación de bienes y servicios con fondos de financiación internacional pública y/o privada, tales como el Fondo Colombia en Paz, que es administrado por la Fiduprevisora S.A. en una fiducia, ¿le son aplicables las restricciones a la contratación directa que contemplan el artículo 33 y el parágrafo del artículo 38 de la Ley 996 de 2005?</w:t>
      </w:r>
    </w:p>
    <w:p w14:paraId="4178C734" w14:textId="77777777" w:rsidR="002E7582" w:rsidRPr="005A1080" w:rsidRDefault="002E7582" w:rsidP="002E7582">
      <w:pPr>
        <w:spacing w:line="276" w:lineRule="auto"/>
        <w:jc w:val="both"/>
        <w:rPr>
          <w:rFonts w:ascii="Arial" w:hAnsi="Arial" w:cs="Arial"/>
          <w:sz w:val="22"/>
        </w:rPr>
      </w:pPr>
    </w:p>
    <w:p w14:paraId="69F57A1C" w14:textId="0DEBAC24" w:rsidR="007A6C59" w:rsidRPr="005A1080" w:rsidRDefault="002E7582" w:rsidP="005A1080">
      <w:pPr>
        <w:spacing w:after="120" w:line="276" w:lineRule="auto"/>
        <w:jc w:val="both"/>
        <w:rPr>
          <w:rFonts w:ascii="Arial" w:hAnsi="Arial" w:cs="Arial"/>
          <w:bCs/>
          <w:sz w:val="22"/>
          <w:lang w:eastAsia="x-none"/>
        </w:rPr>
      </w:pPr>
      <w:r w:rsidRPr="005A1080">
        <w:rPr>
          <w:rFonts w:ascii="Arial" w:hAnsi="Arial" w:cs="Arial"/>
          <w:sz w:val="22"/>
        </w:rPr>
        <w:t xml:space="preserve">Conforme a lo explicado, </w:t>
      </w:r>
      <w:r w:rsidR="004224C1" w:rsidRPr="005A1080">
        <w:rPr>
          <w:rFonts w:ascii="Arial" w:hAnsi="Arial" w:cs="Arial"/>
          <w:sz w:val="22"/>
        </w:rPr>
        <w:t>la restricción prevista en</w:t>
      </w:r>
      <w:r w:rsidRPr="005A1080">
        <w:rPr>
          <w:rFonts w:ascii="Arial" w:hAnsi="Arial" w:cs="Arial"/>
          <w:sz w:val="22"/>
        </w:rPr>
        <w:t xml:space="preserve"> el artículo 33 de</w:t>
      </w:r>
      <w:r w:rsidR="004224C1" w:rsidRPr="005A1080">
        <w:rPr>
          <w:rFonts w:ascii="Arial" w:hAnsi="Arial" w:cs="Arial"/>
          <w:sz w:val="22"/>
        </w:rPr>
        <w:t xml:space="preserve"> la Ley 996 de 2005, </w:t>
      </w:r>
      <w:r w:rsidR="004224C1" w:rsidRPr="005A1080">
        <w:rPr>
          <w:rFonts w:ascii="Arial" w:hAnsi="Arial" w:cs="Arial"/>
          <w:bCs/>
          <w:sz w:val="22"/>
          <w:lang w:eastAsia="x-none"/>
        </w:rPr>
        <w:t xml:space="preserve">teniendo en cuenta la finalidad de la </w:t>
      </w:r>
      <w:r w:rsidR="00B8708F" w:rsidRPr="005A1080">
        <w:rPr>
          <w:rFonts w:ascii="Arial" w:hAnsi="Arial" w:cs="Arial"/>
          <w:bCs/>
          <w:sz w:val="22"/>
          <w:lang w:eastAsia="x-none"/>
        </w:rPr>
        <w:t>L</w:t>
      </w:r>
      <w:r w:rsidR="004224C1" w:rsidRPr="005A1080">
        <w:rPr>
          <w:rFonts w:ascii="Arial" w:hAnsi="Arial" w:cs="Arial"/>
          <w:bCs/>
          <w:sz w:val="22"/>
          <w:lang w:eastAsia="x-none"/>
        </w:rPr>
        <w:t xml:space="preserve">ey de </w:t>
      </w:r>
      <w:r w:rsidR="00B8708F" w:rsidRPr="005A1080">
        <w:rPr>
          <w:rFonts w:ascii="Arial" w:hAnsi="Arial" w:cs="Arial"/>
          <w:bCs/>
          <w:sz w:val="22"/>
          <w:lang w:eastAsia="x-none"/>
        </w:rPr>
        <w:t>G</w:t>
      </w:r>
      <w:r w:rsidR="004224C1" w:rsidRPr="005A1080">
        <w:rPr>
          <w:rFonts w:ascii="Arial" w:hAnsi="Arial" w:cs="Arial"/>
          <w:bCs/>
          <w:sz w:val="22"/>
          <w:lang w:eastAsia="x-none"/>
        </w:rPr>
        <w:t xml:space="preserve">arantías </w:t>
      </w:r>
      <w:r w:rsidR="00B8708F" w:rsidRPr="005A1080">
        <w:rPr>
          <w:rFonts w:ascii="Arial" w:hAnsi="Arial" w:cs="Arial"/>
          <w:bCs/>
          <w:sz w:val="22"/>
          <w:lang w:eastAsia="x-none"/>
        </w:rPr>
        <w:t>E</w:t>
      </w:r>
      <w:r w:rsidR="004224C1" w:rsidRPr="005A1080">
        <w:rPr>
          <w:rFonts w:ascii="Arial" w:hAnsi="Arial" w:cs="Arial"/>
          <w:bCs/>
          <w:sz w:val="22"/>
          <w:lang w:eastAsia="x-none"/>
        </w:rPr>
        <w:t>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r w:rsidR="007A6C59" w:rsidRPr="005A1080">
        <w:rPr>
          <w:rFonts w:ascii="Arial" w:hAnsi="Arial" w:cs="Arial"/>
          <w:bCs/>
          <w:sz w:val="22"/>
          <w:lang w:eastAsia="x-none"/>
        </w:rPr>
        <w:t>.</w:t>
      </w:r>
      <w:r w:rsidR="00F14698" w:rsidRPr="005A1080">
        <w:rPr>
          <w:rFonts w:ascii="Arial" w:hAnsi="Arial" w:cs="Arial"/>
          <w:bCs/>
          <w:sz w:val="22"/>
          <w:lang w:eastAsia="x-none"/>
        </w:rPr>
        <w:t xml:space="preserve"> Incluso, de acuerdo </w:t>
      </w:r>
      <w:r w:rsidR="00F14698" w:rsidRPr="005A1080">
        <w:rPr>
          <w:rFonts w:ascii="Arial" w:hAnsi="Arial" w:cs="Arial"/>
          <w:sz w:val="22"/>
        </w:rPr>
        <w:t>el artículo 32.5, inciso quinto, de la Ley 80 de 1993 y el artículo 2.5.2.1.1 del Decreto 2555 de 2010, la prohibición también se extiende a las sociedades fiduciarias</w:t>
      </w:r>
      <w:r w:rsidR="00B30FAD" w:rsidRPr="005A1080">
        <w:rPr>
          <w:rFonts w:ascii="Arial" w:hAnsi="Arial" w:cs="Arial"/>
          <w:sz w:val="22"/>
        </w:rPr>
        <w:t>, frente a los actos y contratos que realicen en desarrollo del negocio fiduciario,</w:t>
      </w:r>
      <w:r w:rsidR="00F14698" w:rsidRPr="005A1080">
        <w:rPr>
          <w:rFonts w:ascii="Arial" w:hAnsi="Arial" w:cs="Arial"/>
          <w:sz w:val="22"/>
        </w:rPr>
        <w:t xml:space="preserve"> con independencia del régimen jurídico de la entidad fideicomitente, razón por la cual no </w:t>
      </w:r>
      <w:r w:rsidR="00F402FF" w:rsidRPr="005A1080">
        <w:rPr>
          <w:rFonts w:ascii="Arial" w:hAnsi="Arial" w:cs="Arial"/>
          <w:sz w:val="22"/>
        </w:rPr>
        <w:t>podría</w:t>
      </w:r>
      <w:r w:rsidR="00B30FAD" w:rsidRPr="005A1080">
        <w:rPr>
          <w:rFonts w:ascii="Arial" w:hAnsi="Arial" w:cs="Arial"/>
          <w:sz w:val="22"/>
        </w:rPr>
        <w:t xml:space="preserve"> inaplicar</w:t>
      </w:r>
      <w:r w:rsidR="009A143B" w:rsidRPr="005A1080">
        <w:rPr>
          <w:rFonts w:ascii="Arial" w:hAnsi="Arial" w:cs="Arial"/>
          <w:sz w:val="22"/>
        </w:rPr>
        <w:t>se</w:t>
      </w:r>
      <w:r w:rsidR="00B30FAD" w:rsidRPr="005A1080">
        <w:rPr>
          <w:rFonts w:ascii="Arial" w:hAnsi="Arial" w:cs="Arial"/>
          <w:sz w:val="22"/>
        </w:rPr>
        <w:t xml:space="preserve"> la prohibición establecida en el artículo 33 </w:t>
      </w:r>
      <w:r w:rsidR="00F14698" w:rsidRPr="005A1080">
        <w:rPr>
          <w:rFonts w:ascii="Arial" w:hAnsi="Arial" w:cs="Arial"/>
          <w:sz w:val="22"/>
        </w:rPr>
        <w:t xml:space="preserve">de la Ley de Garantías </w:t>
      </w:r>
      <w:r w:rsidR="00B30FAD" w:rsidRPr="005A1080">
        <w:rPr>
          <w:rFonts w:ascii="Arial" w:hAnsi="Arial" w:cs="Arial"/>
          <w:sz w:val="22"/>
        </w:rPr>
        <w:t>Electorales, con</w:t>
      </w:r>
      <w:r w:rsidR="00F14698" w:rsidRPr="005A1080">
        <w:rPr>
          <w:rFonts w:ascii="Arial" w:hAnsi="Arial" w:cs="Arial"/>
          <w:sz w:val="22"/>
        </w:rPr>
        <w:t xml:space="preserve"> la constitución de patrimonios autónomos.</w:t>
      </w:r>
    </w:p>
    <w:p w14:paraId="6A0663FC" w14:textId="4F7CDB36" w:rsidR="002056C0" w:rsidRPr="005A1080" w:rsidRDefault="002E7582" w:rsidP="005A1080">
      <w:pPr>
        <w:tabs>
          <w:tab w:val="left" w:pos="709"/>
          <w:tab w:val="left" w:pos="8789"/>
        </w:tabs>
        <w:spacing w:line="276" w:lineRule="auto"/>
        <w:jc w:val="both"/>
        <w:rPr>
          <w:rFonts w:ascii="Arial" w:eastAsia="Calibri" w:hAnsi="Arial" w:cs="Arial"/>
          <w:bCs/>
          <w:sz w:val="22"/>
          <w:lang w:val="es-ES_tradnl"/>
        </w:rPr>
      </w:pPr>
      <w:r w:rsidRPr="005A1080">
        <w:rPr>
          <w:rFonts w:ascii="Arial" w:eastAsia="Calibri" w:hAnsi="Arial" w:cs="Arial"/>
          <w:bCs/>
          <w:sz w:val="22"/>
          <w:lang w:val="es-ES_tradnl"/>
        </w:rPr>
        <w:tab/>
        <w:t>De cualquier modo</w:t>
      </w:r>
      <w:r w:rsidR="000566F2" w:rsidRPr="005A1080">
        <w:rPr>
          <w:rFonts w:ascii="Arial" w:eastAsia="Calibri" w:hAnsi="Arial" w:cs="Arial"/>
          <w:bCs/>
          <w:sz w:val="22"/>
          <w:lang w:val="es-ES_tradnl"/>
        </w:rPr>
        <w:t xml:space="preserve">, en el caso de la Fiduprevisora S.A. </w:t>
      </w:r>
      <w:r w:rsidR="00AD2CF1" w:rsidRPr="005A1080">
        <w:rPr>
          <w:rFonts w:ascii="Arial" w:eastAsia="Calibri" w:hAnsi="Arial" w:cs="Arial"/>
          <w:bCs/>
          <w:sz w:val="22"/>
          <w:lang w:val="es-ES_tradnl"/>
        </w:rPr>
        <w:t>debe advertirse que esta tiene la calidad de sociedad</w:t>
      </w:r>
      <w:r w:rsidR="00E81C60" w:rsidRPr="005A1080">
        <w:rPr>
          <w:rFonts w:ascii="Arial" w:eastAsia="Calibri" w:hAnsi="Arial" w:cs="Arial"/>
          <w:bCs/>
          <w:sz w:val="22"/>
          <w:lang w:val="es-ES_tradnl"/>
        </w:rPr>
        <w:t xml:space="preserve"> anónima </w:t>
      </w:r>
      <w:r w:rsidR="00AD2CF1" w:rsidRPr="005A1080">
        <w:rPr>
          <w:rFonts w:ascii="Arial" w:eastAsia="Calibri" w:hAnsi="Arial" w:cs="Arial"/>
          <w:bCs/>
          <w:sz w:val="22"/>
          <w:lang w:val="es-ES_tradnl"/>
        </w:rPr>
        <w:t xml:space="preserve">de economía mixta, </w:t>
      </w:r>
      <w:r w:rsidR="000A6275" w:rsidRPr="005A1080">
        <w:rPr>
          <w:rFonts w:ascii="Arial" w:eastAsia="Calibri" w:hAnsi="Arial" w:cs="Arial"/>
          <w:bCs/>
          <w:sz w:val="22"/>
          <w:lang w:val="es-ES_tradnl"/>
        </w:rPr>
        <w:t xml:space="preserve">lo que significa que </w:t>
      </w:r>
      <w:r w:rsidR="00237769" w:rsidRPr="005A1080">
        <w:rPr>
          <w:rFonts w:ascii="Arial" w:eastAsia="Calibri" w:hAnsi="Arial" w:cs="Arial"/>
          <w:bCs/>
          <w:sz w:val="22"/>
          <w:lang w:val="es-ES_tradnl"/>
        </w:rPr>
        <w:t>es considerada como un</w:t>
      </w:r>
      <w:r w:rsidR="0005272E" w:rsidRPr="005A1080">
        <w:rPr>
          <w:rFonts w:ascii="Arial" w:eastAsia="Calibri" w:hAnsi="Arial" w:cs="Arial"/>
          <w:bCs/>
          <w:sz w:val="22"/>
          <w:lang w:val="es-ES_tradnl"/>
        </w:rPr>
        <w:t>a</w:t>
      </w:r>
      <w:r w:rsidR="00237769" w:rsidRPr="005A1080">
        <w:rPr>
          <w:rFonts w:ascii="Arial" w:eastAsia="Calibri" w:hAnsi="Arial" w:cs="Arial"/>
          <w:bCs/>
          <w:sz w:val="22"/>
          <w:lang w:val="es-ES_tradnl"/>
        </w:rPr>
        <w:t xml:space="preserve"> entidad descentralizada por servicios, de conformidad con el artículo 38 de la Ley 489 de 1998. En ese sentido, dada su calidad de ente del Estado</w:t>
      </w:r>
      <w:r w:rsidR="0005272E" w:rsidRPr="005A1080">
        <w:rPr>
          <w:rFonts w:ascii="Arial" w:eastAsia="Calibri" w:hAnsi="Arial" w:cs="Arial"/>
          <w:bCs/>
          <w:sz w:val="22"/>
          <w:lang w:val="es-ES_tradnl"/>
        </w:rPr>
        <w:t>,</w:t>
      </w:r>
      <w:r w:rsidR="00237769" w:rsidRPr="005A1080">
        <w:rPr>
          <w:rFonts w:ascii="Arial" w:eastAsia="Calibri" w:hAnsi="Arial" w:cs="Arial"/>
          <w:bCs/>
          <w:sz w:val="22"/>
          <w:lang w:val="es-ES_tradnl"/>
        </w:rPr>
        <w:t xml:space="preserve"> </w:t>
      </w:r>
      <w:r w:rsidR="0005272E" w:rsidRPr="005A1080">
        <w:rPr>
          <w:rFonts w:ascii="Arial" w:eastAsia="Calibri" w:hAnsi="Arial" w:cs="Arial"/>
          <w:bCs/>
          <w:sz w:val="22"/>
          <w:lang w:val="es-ES_tradnl"/>
        </w:rPr>
        <w:t>también</w:t>
      </w:r>
      <w:r w:rsidR="00237769" w:rsidRPr="005A1080">
        <w:rPr>
          <w:rFonts w:ascii="Arial" w:eastAsia="Calibri" w:hAnsi="Arial" w:cs="Arial"/>
          <w:bCs/>
          <w:sz w:val="22"/>
          <w:lang w:val="es-ES_tradnl"/>
        </w:rPr>
        <w:t xml:space="preserve"> se encuentra</w:t>
      </w:r>
      <w:r w:rsidR="00AD2CF1" w:rsidRPr="005A1080">
        <w:rPr>
          <w:rFonts w:ascii="Arial" w:eastAsia="Calibri" w:hAnsi="Arial" w:cs="Arial"/>
          <w:bCs/>
          <w:sz w:val="22"/>
          <w:lang w:val="es-ES_tradnl"/>
        </w:rPr>
        <w:t xml:space="preserve"> </w:t>
      </w:r>
      <w:r w:rsidR="00237769" w:rsidRPr="005A1080">
        <w:rPr>
          <w:rFonts w:ascii="Arial" w:eastAsia="Calibri" w:hAnsi="Arial" w:cs="Arial"/>
          <w:bCs/>
          <w:sz w:val="22"/>
          <w:lang w:val="es-ES_tradnl"/>
        </w:rPr>
        <w:t xml:space="preserve">dentro </w:t>
      </w:r>
      <w:r w:rsidR="00F02E53" w:rsidRPr="005A1080">
        <w:rPr>
          <w:rFonts w:ascii="Arial" w:eastAsia="Calibri" w:hAnsi="Arial" w:cs="Arial"/>
          <w:bCs/>
          <w:sz w:val="22"/>
          <w:lang w:val="es-ES_tradnl"/>
        </w:rPr>
        <w:t xml:space="preserve">la restricción a la contratación directa </w:t>
      </w:r>
      <w:r w:rsidR="001B60A9" w:rsidRPr="005A1080">
        <w:rPr>
          <w:rFonts w:ascii="Arial" w:eastAsia="Calibri" w:hAnsi="Arial" w:cs="Arial"/>
          <w:bCs/>
          <w:sz w:val="22"/>
          <w:lang w:val="es-ES_tradnl"/>
        </w:rPr>
        <w:t>d</w:t>
      </w:r>
      <w:r w:rsidR="00731B62" w:rsidRPr="005A1080">
        <w:rPr>
          <w:rFonts w:ascii="Arial" w:eastAsia="Calibri" w:hAnsi="Arial" w:cs="Arial"/>
          <w:bCs/>
          <w:sz w:val="22"/>
          <w:lang w:val="es-ES_tradnl"/>
        </w:rPr>
        <w:t>el</w:t>
      </w:r>
      <w:r w:rsidR="00237769" w:rsidRPr="005A1080">
        <w:rPr>
          <w:rFonts w:ascii="Arial" w:eastAsia="Calibri" w:hAnsi="Arial" w:cs="Arial"/>
          <w:bCs/>
          <w:sz w:val="22"/>
          <w:lang w:val="es-ES_tradnl"/>
        </w:rPr>
        <w:t xml:space="preserve"> artículo </w:t>
      </w:r>
      <w:r w:rsidR="00F02E53" w:rsidRPr="005A1080">
        <w:rPr>
          <w:rFonts w:ascii="Arial" w:eastAsia="Calibri" w:hAnsi="Arial" w:cs="Arial"/>
          <w:bCs/>
          <w:sz w:val="22"/>
          <w:lang w:val="es-ES_tradnl"/>
        </w:rPr>
        <w:t>33 de la Ley 996 de 2005</w:t>
      </w:r>
      <w:r w:rsidR="00731B62" w:rsidRPr="005A1080">
        <w:rPr>
          <w:rFonts w:ascii="Arial" w:eastAsia="Calibri" w:hAnsi="Arial" w:cs="Arial"/>
          <w:bCs/>
          <w:sz w:val="22"/>
          <w:lang w:val="es-ES_tradnl"/>
        </w:rPr>
        <w:t xml:space="preserve">. Esto significa que, durante el periodo prelectoral que antecede la celebración de las elecciones presidenciales, </w:t>
      </w:r>
      <w:r w:rsidR="0081608B" w:rsidRPr="005A1080">
        <w:rPr>
          <w:rFonts w:ascii="Arial" w:eastAsia="Calibri" w:hAnsi="Arial" w:cs="Arial"/>
          <w:bCs/>
          <w:sz w:val="22"/>
          <w:lang w:val="es-ES_tradnl"/>
        </w:rPr>
        <w:t xml:space="preserve">solo podrá celebrar contratos producto </w:t>
      </w:r>
      <w:r w:rsidR="00B7441C" w:rsidRPr="005A1080">
        <w:rPr>
          <w:rFonts w:ascii="Arial" w:eastAsia="Calibri" w:hAnsi="Arial" w:cs="Arial"/>
          <w:bCs/>
          <w:sz w:val="22"/>
          <w:lang w:val="es-ES_tradnl"/>
        </w:rPr>
        <w:t>de procedimientos de selección con pluralidad de oferentes</w:t>
      </w:r>
      <w:r w:rsidR="0081608B" w:rsidRPr="005A1080">
        <w:rPr>
          <w:rFonts w:ascii="Arial" w:eastAsia="Calibri" w:hAnsi="Arial" w:cs="Arial"/>
          <w:bCs/>
          <w:sz w:val="22"/>
          <w:lang w:val="es-ES_tradnl"/>
        </w:rPr>
        <w:t>,</w:t>
      </w:r>
      <w:r w:rsidR="007A19A7" w:rsidRPr="005A1080">
        <w:rPr>
          <w:rFonts w:ascii="Arial" w:eastAsia="Calibri" w:hAnsi="Arial" w:cs="Arial"/>
          <w:bCs/>
          <w:sz w:val="22"/>
          <w:lang w:val="es-ES_tradnl"/>
        </w:rPr>
        <w:t xml:space="preserve"> sin perjuicio de la posibilidad de suscribir de manera directa los contratos que encajen dentro de </w:t>
      </w:r>
      <w:r w:rsidR="0049409A" w:rsidRPr="005A1080">
        <w:rPr>
          <w:rFonts w:ascii="Arial" w:eastAsia="Calibri" w:hAnsi="Arial" w:cs="Arial"/>
          <w:bCs/>
          <w:sz w:val="22"/>
          <w:lang w:val="es-ES_tradnl"/>
        </w:rPr>
        <w:t xml:space="preserve">las excepciones establecidas en el inciso segundo del referido artículo 33. </w:t>
      </w:r>
      <w:r w:rsidR="0081608B" w:rsidRPr="005A1080">
        <w:rPr>
          <w:rFonts w:ascii="Arial" w:eastAsia="Calibri" w:hAnsi="Arial" w:cs="Arial"/>
          <w:bCs/>
          <w:sz w:val="22"/>
          <w:lang w:val="es-ES_tradnl"/>
        </w:rPr>
        <w:t xml:space="preserve"> </w:t>
      </w:r>
      <w:r w:rsidR="00F02E53" w:rsidRPr="005A1080">
        <w:rPr>
          <w:rFonts w:ascii="Arial" w:eastAsia="Calibri" w:hAnsi="Arial" w:cs="Arial"/>
          <w:bCs/>
          <w:sz w:val="22"/>
          <w:lang w:val="es-ES_tradnl"/>
        </w:rPr>
        <w:t xml:space="preserve"> </w:t>
      </w:r>
    </w:p>
    <w:p w14:paraId="2C947B39" w14:textId="18917435" w:rsidR="00623ED3" w:rsidRPr="005A1080" w:rsidRDefault="00623ED3" w:rsidP="005A1080">
      <w:pPr>
        <w:pStyle w:val="Textoindependiente"/>
        <w:spacing w:after="120"/>
        <w:ind w:right="102"/>
      </w:pPr>
    </w:p>
    <w:p w14:paraId="426B5DCA" w14:textId="3B5623DB" w:rsidR="00214878" w:rsidRPr="005A1080" w:rsidRDefault="00214878" w:rsidP="004B2EF6">
      <w:pPr>
        <w:spacing w:line="276" w:lineRule="auto"/>
        <w:jc w:val="both"/>
        <w:rPr>
          <w:rFonts w:ascii="Arial" w:eastAsia="Calibri" w:hAnsi="Arial" w:cs="Arial"/>
          <w:sz w:val="22"/>
        </w:rPr>
      </w:pPr>
      <w:r w:rsidRPr="005A1080">
        <w:rPr>
          <w:rFonts w:ascii="Arial" w:eastAsia="Calibri" w:hAnsi="Arial" w:cs="Arial"/>
          <w:sz w:val="22"/>
        </w:rPr>
        <w:t>Este concepto tiene el alcance previsto en el artículo 28 del Código de Procedimiento Administrativo y de lo Contencioso Administrativo.</w:t>
      </w:r>
    </w:p>
    <w:p w14:paraId="28412464" w14:textId="77777777" w:rsidR="001D5D49" w:rsidRPr="005A1080" w:rsidRDefault="001D5D49" w:rsidP="00E71381">
      <w:pPr>
        <w:spacing w:line="276" w:lineRule="auto"/>
        <w:jc w:val="both"/>
        <w:rPr>
          <w:rFonts w:ascii="Arial" w:eastAsia="Calibri" w:hAnsi="Arial" w:cs="Arial"/>
          <w:sz w:val="22"/>
        </w:rPr>
      </w:pPr>
    </w:p>
    <w:p w14:paraId="2D31E5AC" w14:textId="5CAE9096" w:rsidR="00214878" w:rsidRPr="005A1080" w:rsidRDefault="00214878" w:rsidP="00E71381">
      <w:pPr>
        <w:spacing w:line="276" w:lineRule="auto"/>
        <w:jc w:val="both"/>
        <w:rPr>
          <w:rFonts w:ascii="Arial" w:eastAsia="Calibri" w:hAnsi="Arial" w:cs="Arial"/>
          <w:sz w:val="22"/>
        </w:rPr>
      </w:pPr>
      <w:r w:rsidRPr="005A1080">
        <w:rPr>
          <w:rFonts w:ascii="Arial" w:hAnsi="Arial" w:cs="Arial"/>
          <w:noProof/>
          <w:sz w:val="22"/>
          <w:lang w:val="en-US"/>
        </w:rPr>
        <mc:AlternateContent>
          <mc:Choice Requires="wps">
            <w:drawing>
              <wp:anchor distT="0" distB="0" distL="114300" distR="114300" simplePos="0" relativeHeight="251658240"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937D53"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6E44D3B8" w14:textId="77777777" w:rsidR="00214878" w:rsidRPr="005A1080" w:rsidRDefault="00214878" w:rsidP="00E71381">
      <w:pPr>
        <w:spacing w:line="276" w:lineRule="auto"/>
        <w:rPr>
          <w:rFonts w:ascii="Arial" w:eastAsia="Times New Roman" w:hAnsi="Arial" w:cs="Arial"/>
          <w:sz w:val="22"/>
          <w:lang w:eastAsia="es-CO"/>
        </w:rPr>
      </w:pPr>
      <w:r w:rsidRPr="005A1080">
        <w:rPr>
          <w:rFonts w:ascii="Arial" w:eastAsia="Times New Roman" w:hAnsi="Arial" w:cs="Arial"/>
          <w:sz w:val="22"/>
          <w:lang w:eastAsia="es-CO"/>
        </w:rPr>
        <w:t>Atentamente,</w:t>
      </w:r>
    </w:p>
    <w:bookmarkEnd w:id="2"/>
    <w:bookmarkEnd w:id="3"/>
    <w:p w14:paraId="439B9A72" w14:textId="0B218CF9" w:rsidR="00182CE2" w:rsidRPr="005A1080" w:rsidRDefault="00281B0E" w:rsidP="00182CE2">
      <w:pPr>
        <w:jc w:val="center"/>
        <w:rPr>
          <w:lang w:eastAsia="es-CO"/>
        </w:rPr>
      </w:pPr>
      <w:r>
        <w:rPr>
          <w:rFonts w:ascii="Arial" w:hAnsi="Arial" w:cs="Arial"/>
          <w:noProof/>
          <w:sz w:val="22"/>
          <w:lang w:val="es-ES_tradnl"/>
        </w:rPr>
        <w:lastRenderedPageBreak/>
        <w:drawing>
          <wp:inline distT="0" distB="0" distL="0" distR="0" wp14:anchorId="4CBFC7AA" wp14:editId="3E73EFA4">
            <wp:extent cx="2519045" cy="111252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045" cy="111252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9470B8" w:rsidRPr="005A1080" w14:paraId="5402DDC2" w14:textId="77777777" w:rsidTr="00B35B1A">
        <w:trPr>
          <w:trHeight w:val="315"/>
        </w:trPr>
        <w:tc>
          <w:tcPr>
            <w:tcW w:w="812" w:type="dxa"/>
            <w:vAlign w:val="center"/>
            <w:hideMark/>
          </w:tcPr>
          <w:p w14:paraId="4380EE84"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444B1565"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Alejandro Sarmiento Cantillo</w:t>
            </w:r>
          </w:p>
          <w:p w14:paraId="0F809C8F"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Gestor T1-15 de la Subdirección de Gestión Contractual</w:t>
            </w:r>
          </w:p>
        </w:tc>
      </w:tr>
      <w:tr w:rsidR="009470B8" w:rsidRPr="005A1080" w14:paraId="185C4621" w14:textId="77777777" w:rsidTr="00B35B1A">
        <w:trPr>
          <w:trHeight w:val="330"/>
        </w:trPr>
        <w:tc>
          <w:tcPr>
            <w:tcW w:w="812" w:type="dxa"/>
            <w:vAlign w:val="center"/>
            <w:hideMark/>
          </w:tcPr>
          <w:p w14:paraId="0D024414"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2AFA7C9F"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Juan David Montoya Penagos</w:t>
            </w:r>
          </w:p>
          <w:p w14:paraId="668BB2EE"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Gestor T1-15 de la Subdirección de Gestión Contractual</w:t>
            </w:r>
          </w:p>
        </w:tc>
      </w:tr>
      <w:tr w:rsidR="009470B8" w:rsidRPr="009470B8" w14:paraId="7E229DE6" w14:textId="77777777" w:rsidTr="00B35B1A">
        <w:trPr>
          <w:trHeight w:val="300"/>
        </w:trPr>
        <w:tc>
          <w:tcPr>
            <w:tcW w:w="812" w:type="dxa"/>
            <w:vAlign w:val="center"/>
            <w:hideMark/>
          </w:tcPr>
          <w:p w14:paraId="26FB2885"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C4E4991" w14:textId="77777777" w:rsidR="00182CE2" w:rsidRPr="005A1080" w:rsidRDefault="00182CE2" w:rsidP="00B35B1A">
            <w:pPr>
              <w:rPr>
                <w:rFonts w:ascii="Arial" w:hAnsi="Arial" w:cs="Arial"/>
                <w:sz w:val="16"/>
                <w:szCs w:val="16"/>
                <w:lang w:eastAsia="es-ES"/>
              </w:rPr>
            </w:pPr>
            <w:r w:rsidRPr="005A1080">
              <w:rPr>
                <w:rFonts w:ascii="Arial" w:hAnsi="Arial" w:cs="Arial"/>
                <w:sz w:val="16"/>
                <w:szCs w:val="16"/>
                <w:lang w:eastAsia="es-ES"/>
              </w:rPr>
              <w:t>Jorge Augusto Tirado Navarro</w:t>
            </w:r>
          </w:p>
          <w:p w14:paraId="3268EB96" w14:textId="77777777" w:rsidR="00182CE2" w:rsidRPr="009470B8" w:rsidRDefault="00182CE2" w:rsidP="00B35B1A">
            <w:pPr>
              <w:rPr>
                <w:rFonts w:ascii="Arial" w:hAnsi="Arial" w:cs="Arial"/>
                <w:sz w:val="16"/>
                <w:szCs w:val="16"/>
                <w:lang w:eastAsia="es-ES"/>
              </w:rPr>
            </w:pPr>
            <w:r w:rsidRPr="005A1080">
              <w:rPr>
                <w:rFonts w:ascii="Arial" w:hAnsi="Arial" w:cs="Arial"/>
                <w:sz w:val="16"/>
                <w:szCs w:val="16"/>
                <w:lang w:eastAsia="es-ES"/>
              </w:rPr>
              <w:t>Subdirector de Gestión Contractual ANCP – CCE</w:t>
            </w:r>
          </w:p>
        </w:tc>
      </w:tr>
    </w:tbl>
    <w:p w14:paraId="0EEB665C" w14:textId="77777777" w:rsidR="00737DB6" w:rsidRPr="009470B8" w:rsidRDefault="00737DB6" w:rsidP="00806F37">
      <w:pPr>
        <w:spacing w:before="120" w:after="160" w:line="276" w:lineRule="auto"/>
        <w:rPr>
          <w:rFonts w:ascii="Arial" w:hAnsi="Arial" w:cs="Arial"/>
        </w:rPr>
      </w:pPr>
    </w:p>
    <w:sectPr w:rsidR="00737DB6" w:rsidRPr="009470B8"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FA0B" w14:textId="77777777" w:rsidR="002B25FD" w:rsidRDefault="002B25FD">
      <w:r>
        <w:separator/>
      </w:r>
    </w:p>
  </w:endnote>
  <w:endnote w:type="continuationSeparator" w:id="0">
    <w:p w14:paraId="117F1767" w14:textId="77777777" w:rsidR="002B25FD" w:rsidRDefault="002B25FD">
      <w:r>
        <w:continuationSeparator/>
      </w:r>
    </w:p>
  </w:endnote>
  <w:endnote w:type="continuationNotice" w:id="1">
    <w:p w14:paraId="1541B61B" w14:textId="77777777" w:rsidR="002B25FD" w:rsidRDefault="002B2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3BF3DBE"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374FC">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374FC">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E3FE" w14:textId="77777777" w:rsidR="002B25FD" w:rsidRDefault="002B25FD">
      <w:r>
        <w:separator/>
      </w:r>
    </w:p>
  </w:footnote>
  <w:footnote w:type="continuationSeparator" w:id="0">
    <w:p w14:paraId="62710CF8" w14:textId="77777777" w:rsidR="002B25FD" w:rsidRDefault="002B25FD">
      <w:r>
        <w:continuationSeparator/>
      </w:r>
    </w:p>
  </w:footnote>
  <w:footnote w:type="continuationNotice" w:id="1">
    <w:p w14:paraId="7E8C0D92" w14:textId="77777777" w:rsidR="002B25FD" w:rsidRDefault="002B25FD"/>
  </w:footnote>
  <w:footnote w:id="2">
    <w:p w14:paraId="76147ED6" w14:textId="77777777" w:rsidR="006E09EE" w:rsidRPr="000A5B6C" w:rsidRDefault="006E09EE" w:rsidP="006344C2">
      <w:pPr>
        <w:pStyle w:val="Textonotapie"/>
        <w:ind w:firstLine="708"/>
        <w:jc w:val="both"/>
        <w:rPr>
          <w:rFonts w:ascii="Arial" w:hAnsi="Arial" w:cs="Arial"/>
          <w:sz w:val="19"/>
          <w:szCs w:val="19"/>
          <w:lang w:val="es-ES"/>
        </w:rPr>
      </w:pPr>
      <w:r w:rsidRPr="000A5B6C">
        <w:rPr>
          <w:rStyle w:val="Refdenotaalpie"/>
          <w:rFonts w:ascii="Arial" w:hAnsi="Arial" w:cs="Arial"/>
          <w:sz w:val="19"/>
          <w:szCs w:val="19"/>
        </w:rPr>
        <w:footnoteRef/>
      </w:r>
      <w:r w:rsidRPr="000A5B6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A5B6C">
        <w:rPr>
          <w:rFonts w:ascii="Arial" w:hAnsi="Arial" w:cs="Arial"/>
          <w:i/>
          <w:iCs/>
          <w:sz w:val="19"/>
          <w:szCs w:val="19"/>
        </w:rPr>
        <w:t xml:space="preserve">ibidem </w:t>
      </w:r>
      <w:r w:rsidRPr="000A5B6C">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5E21F11" w14:textId="77777777" w:rsidR="00172A28" w:rsidRPr="000A5B6C" w:rsidRDefault="00172A28" w:rsidP="006344C2">
      <w:pPr>
        <w:pStyle w:val="Textonotapie"/>
        <w:ind w:firstLine="709"/>
        <w:jc w:val="both"/>
        <w:rPr>
          <w:rFonts w:ascii="Arial" w:hAnsi="Arial" w:cs="Arial"/>
          <w:color w:val="000000" w:themeColor="text1"/>
          <w:sz w:val="19"/>
          <w:szCs w:val="19"/>
          <w:lang w:val="es-ES"/>
        </w:rPr>
      </w:pPr>
      <w:r w:rsidRPr="000A5B6C">
        <w:rPr>
          <w:rStyle w:val="Refdenotaalpie"/>
          <w:rFonts w:ascii="Arial" w:hAnsi="Arial" w:cs="Arial"/>
          <w:sz w:val="19"/>
          <w:szCs w:val="19"/>
        </w:rPr>
        <w:footnoteRef/>
      </w:r>
      <w:r w:rsidRPr="000A5B6C">
        <w:rPr>
          <w:rFonts w:ascii="Arial" w:hAnsi="Arial" w:cs="Arial"/>
          <w:color w:val="000000" w:themeColor="text1"/>
          <w:sz w:val="19"/>
          <w:szCs w:val="19"/>
        </w:rPr>
        <w:t xml:space="preserve"> </w:t>
      </w:r>
      <w:r w:rsidRPr="000A5B6C">
        <w:rPr>
          <w:rFonts w:ascii="Arial" w:hAnsi="Arial" w:cs="Arial"/>
          <w:color w:val="000000" w:themeColor="text1"/>
          <w:sz w:val="19"/>
          <w:szCs w:val="19"/>
          <w:lang w:val="es-ES"/>
        </w:rPr>
        <w:t xml:space="preserve">Los cuales usted puede consultar en el siguiente sitio web: </w:t>
      </w:r>
      <w:hyperlink r:id="rId1" w:history="1">
        <w:r w:rsidRPr="000A5B6C">
          <w:rPr>
            <w:rStyle w:val="Hipervnculo"/>
            <w:rFonts w:ascii="Arial" w:hAnsi="Arial" w:cs="Arial"/>
            <w:color w:val="000000" w:themeColor="text1"/>
            <w:sz w:val="19"/>
            <w:szCs w:val="19"/>
            <w:u w:val="none"/>
            <w:lang w:val="es-ES"/>
          </w:rPr>
          <w:t>https://relatoria.colombiacompra.gov.co/busqueda/conceptos</w:t>
        </w:r>
      </w:hyperlink>
    </w:p>
  </w:footnote>
  <w:footnote w:id="4">
    <w:p w14:paraId="1F57BE4F" w14:textId="77777777" w:rsidR="000C0CDD" w:rsidRPr="00B35679" w:rsidRDefault="000C0CDD"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FAEDCF9" w14:textId="03F29777" w:rsidR="000C0CDD" w:rsidRPr="00B35679" w:rsidRDefault="000C0CDD" w:rsidP="006344C2">
      <w:pPr>
        <w:pStyle w:val="Textonotapie"/>
        <w:ind w:firstLine="709"/>
        <w:contextualSpacing/>
        <w:jc w:val="both"/>
        <w:rPr>
          <w:rFonts w:ascii="Arial" w:hAnsi="Arial" w:cs="Arial"/>
          <w:sz w:val="19"/>
          <w:szCs w:val="19"/>
        </w:rPr>
      </w:pPr>
      <w:r w:rsidRPr="00B35679">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14:paraId="32601194" w14:textId="77777777" w:rsidR="000C0CDD" w:rsidRPr="00B35679" w:rsidRDefault="000C0CDD"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Gaceta del Congreso de la República No. 71 del 2005.</w:t>
      </w:r>
    </w:p>
  </w:footnote>
  <w:footnote w:id="6">
    <w:p w14:paraId="2A8F1B6E" w14:textId="77777777" w:rsidR="000C0CDD" w:rsidRPr="00B35679" w:rsidRDefault="000C0CDD"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Corte Constitucional, Sentencia C- 1153 de 2005, M.P. Marco Gerardo Monroy Cabra.</w:t>
      </w:r>
    </w:p>
  </w:footnote>
  <w:footnote w:id="7">
    <w:p w14:paraId="4F1C1B6F" w14:textId="77777777" w:rsidR="000C0CDD" w:rsidRPr="00B35679" w:rsidRDefault="000C0CDD"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14:paraId="04554E50" w14:textId="77777777" w:rsidR="000C0CDD" w:rsidRPr="00B35679" w:rsidRDefault="000C0CDD" w:rsidP="006344C2">
      <w:pPr>
        <w:pStyle w:val="Textonotapie"/>
        <w:ind w:firstLine="709"/>
        <w:contextualSpacing/>
        <w:jc w:val="both"/>
        <w:rPr>
          <w:rFonts w:ascii="Arial" w:hAnsi="Arial" w:cs="Arial"/>
          <w:sz w:val="19"/>
          <w:szCs w:val="19"/>
          <w:lang w:val="es-CO"/>
        </w:rPr>
      </w:pPr>
      <w:r w:rsidRPr="00B35679">
        <w:rPr>
          <w:rStyle w:val="Refdenotaalpie"/>
          <w:sz w:val="19"/>
          <w:szCs w:val="19"/>
        </w:rPr>
        <w:footnoteRef/>
      </w:r>
      <w:r w:rsidRPr="00B35679">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57AA167F" w14:textId="77777777" w:rsidR="000C0CDD" w:rsidRPr="00B35679" w:rsidRDefault="000C0CDD"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Consejo de Estado, Sala de Consulta y Servicio Civil de fecha 24 de julio de 2013, radicado 2166, Consejero Ponente: Álvaro Namén Vargas.  </w:t>
      </w:r>
    </w:p>
  </w:footnote>
  <w:footnote w:id="10">
    <w:p w14:paraId="332DF242" w14:textId="77777777" w:rsidR="000C0CDD" w:rsidRPr="00B35679" w:rsidRDefault="000C0CDD" w:rsidP="006344C2">
      <w:pPr>
        <w:ind w:firstLine="709"/>
        <w:contextualSpacing/>
        <w:jc w:val="both"/>
        <w:rPr>
          <w:rFonts w:ascii="Arial" w:eastAsia="Times New Roman" w:hAnsi="Arial" w:cs="Arial"/>
          <w:sz w:val="19"/>
          <w:szCs w:val="19"/>
        </w:rPr>
      </w:pPr>
      <w:r w:rsidRPr="00B35679">
        <w:rPr>
          <w:rStyle w:val="Refdenotaalpie"/>
          <w:sz w:val="19"/>
          <w:szCs w:val="19"/>
        </w:rPr>
        <w:footnoteRef/>
      </w:r>
      <w:r w:rsidRPr="00B35679">
        <w:rPr>
          <w:rFonts w:ascii="Arial" w:hAnsi="Arial" w:cs="Arial"/>
          <w:sz w:val="19"/>
          <w:szCs w:val="19"/>
        </w:rPr>
        <w:t xml:space="preserve"> </w:t>
      </w:r>
      <w:bookmarkStart w:id="8" w:name="33"/>
      <w:r w:rsidRPr="00B35679">
        <w:rPr>
          <w:rFonts w:ascii="Arial" w:eastAsia="Calibri" w:hAnsi="Arial" w:cs="Arial"/>
          <w:bCs/>
          <w:color w:val="000000"/>
          <w:sz w:val="19"/>
          <w:szCs w:val="19"/>
        </w:rPr>
        <w:t>«</w:t>
      </w:r>
      <w:r w:rsidRPr="00B35679">
        <w:rPr>
          <w:rFonts w:ascii="Arial" w:eastAsia="Times New Roman" w:hAnsi="Arial" w:cs="Arial"/>
          <w:sz w:val="19"/>
          <w:szCs w:val="19"/>
        </w:rPr>
        <w:t>Artículo 33. Restricciones a la contratación pública.</w:t>
      </w:r>
      <w:bookmarkEnd w:id="8"/>
      <w:r w:rsidRPr="00B35679">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04B3ABF1" w14:textId="77777777" w:rsidR="000C0CDD" w:rsidRPr="00B35679" w:rsidRDefault="000C0CDD" w:rsidP="006344C2">
      <w:pPr>
        <w:ind w:firstLine="709"/>
        <w:contextualSpacing/>
        <w:jc w:val="both"/>
        <w:rPr>
          <w:rFonts w:ascii="Arial" w:eastAsia="Times New Roman" w:hAnsi="Arial" w:cs="Arial"/>
          <w:sz w:val="19"/>
          <w:szCs w:val="19"/>
        </w:rPr>
      </w:pPr>
      <w:r w:rsidRPr="00B35679">
        <w:rPr>
          <w:rFonts w:ascii="Arial" w:eastAsia="Calibri" w:hAnsi="Arial" w:cs="Arial"/>
          <w:bCs/>
          <w:color w:val="000000"/>
          <w:sz w:val="19"/>
          <w:szCs w:val="19"/>
        </w:rPr>
        <w:t>»</w:t>
      </w:r>
      <w:r w:rsidRPr="00B35679">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35679">
        <w:rPr>
          <w:rFonts w:ascii="Arial" w:eastAsia="Calibri" w:hAnsi="Arial" w:cs="Arial"/>
          <w:bCs/>
          <w:color w:val="000000"/>
          <w:sz w:val="19"/>
          <w:szCs w:val="19"/>
        </w:rPr>
        <w:t>»</w:t>
      </w:r>
      <w:r w:rsidRPr="00B35679">
        <w:rPr>
          <w:rFonts w:ascii="Arial" w:eastAsia="Times New Roman" w:hAnsi="Arial" w:cs="Arial"/>
          <w:sz w:val="19"/>
          <w:szCs w:val="19"/>
        </w:rPr>
        <w:t>.</w:t>
      </w:r>
    </w:p>
  </w:footnote>
  <w:footnote w:id="11">
    <w:p w14:paraId="7BD7E77B" w14:textId="77777777" w:rsidR="000C0CDD" w:rsidRPr="00B35679" w:rsidRDefault="000C0CDD" w:rsidP="006344C2">
      <w:pPr>
        <w:pStyle w:val="NormalWeb"/>
        <w:spacing w:before="0" w:beforeAutospacing="0" w:after="0" w:afterAutospacing="0"/>
        <w:ind w:firstLine="709"/>
        <w:contextualSpacing/>
        <w:jc w:val="both"/>
        <w:rPr>
          <w:rFonts w:ascii="Arial" w:hAnsi="Arial" w:cs="Arial"/>
          <w:sz w:val="19"/>
          <w:szCs w:val="19"/>
          <w:lang w:val="es-MX"/>
        </w:rPr>
      </w:pPr>
      <w:r w:rsidRPr="00B35679">
        <w:rPr>
          <w:rStyle w:val="Refdenotaalpie"/>
          <w:rFonts w:eastAsia="Arial"/>
          <w:sz w:val="19"/>
          <w:szCs w:val="19"/>
        </w:rPr>
        <w:footnoteRef/>
      </w:r>
      <w:r w:rsidRPr="00B35679">
        <w:rPr>
          <w:rFonts w:ascii="Arial" w:hAnsi="Arial" w:cs="Arial"/>
          <w:sz w:val="19"/>
          <w:szCs w:val="19"/>
        </w:rPr>
        <w:t xml:space="preserve"> </w:t>
      </w:r>
      <w:bookmarkStart w:id="9" w:name="38"/>
      <w:r w:rsidRPr="00B35679">
        <w:rPr>
          <w:rFonts w:ascii="Arial" w:eastAsia="Calibri" w:hAnsi="Arial" w:cs="Arial"/>
          <w:bCs/>
          <w:color w:val="000000"/>
          <w:sz w:val="19"/>
          <w:szCs w:val="19"/>
        </w:rPr>
        <w:t>«</w:t>
      </w:r>
      <w:r w:rsidRPr="00B35679">
        <w:rPr>
          <w:rFonts w:ascii="Arial" w:hAnsi="Arial" w:cs="Arial"/>
          <w:sz w:val="19"/>
          <w:szCs w:val="19"/>
          <w:lang w:val="es-MX"/>
        </w:rPr>
        <w:t>Artículo 38. Prohibiciones para los servidores públicos. A los empleados del Estado les está prohibido:</w:t>
      </w:r>
      <w:bookmarkEnd w:id="9"/>
    </w:p>
    <w:p w14:paraId="24D85CF6" w14:textId="77777777" w:rsidR="000C0CDD" w:rsidRPr="00B35679" w:rsidRDefault="000C0CDD" w:rsidP="006344C2">
      <w:pPr>
        <w:pStyle w:val="NormalWeb"/>
        <w:spacing w:before="0" w:beforeAutospacing="0" w:after="0" w:afterAutospacing="0"/>
        <w:ind w:firstLine="709"/>
        <w:contextualSpacing/>
        <w:jc w:val="both"/>
        <w:rPr>
          <w:rFonts w:ascii="Arial" w:hAnsi="Arial" w:cs="Arial"/>
          <w:sz w:val="19"/>
          <w:szCs w:val="19"/>
          <w:lang w:val="es-MX"/>
        </w:rPr>
      </w:pPr>
      <w:r w:rsidRPr="00B35679">
        <w:rPr>
          <w:rFonts w:ascii="Arial" w:eastAsia="Calibri" w:hAnsi="Arial" w:cs="Arial"/>
          <w:bCs/>
          <w:color w:val="000000"/>
          <w:sz w:val="19"/>
          <w:szCs w:val="19"/>
        </w:rPr>
        <w:t>»</w:t>
      </w:r>
      <w:r w:rsidRPr="00B35679">
        <w:rPr>
          <w:rFonts w:ascii="Arial" w:hAnsi="Arial" w:cs="Arial"/>
          <w:sz w:val="19"/>
          <w:szCs w:val="19"/>
          <w:lang w:val="es-MX"/>
        </w:rPr>
        <w:t xml:space="preserve"> […]</w:t>
      </w:r>
    </w:p>
    <w:p w14:paraId="1B7305D6" w14:textId="77777777" w:rsidR="000C0CDD" w:rsidRPr="00B35679" w:rsidRDefault="000C0CDD" w:rsidP="006344C2">
      <w:pPr>
        <w:pStyle w:val="NormalWeb"/>
        <w:spacing w:before="0" w:beforeAutospacing="0" w:after="0" w:afterAutospacing="0"/>
        <w:ind w:firstLine="709"/>
        <w:contextualSpacing/>
        <w:jc w:val="both"/>
        <w:rPr>
          <w:rFonts w:ascii="Arial" w:hAnsi="Arial" w:cs="Arial"/>
          <w:sz w:val="19"/>
          <w:szCs w:val="19"/>
          <w:lang w:val="es-MX"/>
        </w:rPr>
      </w:pPr>
      <w:r w:rsidRPr="00B35679">
        <w:rPr>
          <w:rFonts w:ascii="Arial" w:eastAsia="Calibri" w:hAnsi="Arial" w:cs="Arial"/>
          <w:bCs/>
          <w:color w:val="000000"/>
          <w:sz w:val="19"/>
          <w:szCs w:val="19"/>
        </w:rPr>
        <w:t>»</w:t>
      </w:r>
      <w:r w:rsidRPr="00B35679">
        <w:rPr>
          <w:rStyle w:val="baj"/>
          <w:rFonts w:ascii="Arial" w:hAnsi="Arial" w:cs="Arial"/>
          <w:sz w:val="19"/>
          <w:szCs w:val="19"/>
          <w:lang w:val="es-MX"/>
        </w:rPr>
        <w:t xml:space="preserve"> Parágrafo.</w:t>
      </w:r>
      <w:r w:rsidRPr="00B356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35679">
        <w:rPr>
          <w:rFonts w:ascii="Arial" w:eastAsia="Calibri" w:hAnsi="Arial" w:cs="Arial"/>
          <w:bCs/>
          <w:color w:val="000000"/>
          <w:sz w:val="19"/>
          <w:szCs w:val="19"/>
        </w:rPr>
        <w:t>»</w:t>
      </w:r>
      <w:r w:rsidRPr="00B35679">
        <w:rPr>
          <w:rFonts w:ascii="Arial" w:hAnsi="Arial" w:cs="Arial"/>
          <w:sz w:val="19"/>
          <w:szCs w:val="19"/>
          <w:lang w:val="es-MX"/>
        </w:rPr>
        <w:t>.</w:t>
      </w:r>
    </w:p>
  </w:footnote>
  <w:footnote w:id="12">
    <w:p w14:paraId="26B3ACA0" w14:textId="77777777" w:rsidR="000C0CDD" w:rsidRPr="00B35679" w:rsidRDefault="000C0CDD" w:rsidP="006344C2">
      <w:pPr>
        <w:ind w:left="100" w:right="244" w:firstLine="709"/>
        <w:contextualSpacing/>
        <w:jc w:val="both"/>
        <w:rPr>
          <w:rFonts w:ascii="Arial" w:hAnsi="Arial" w:cs="Arial"/>
          <w:sz w:val="19"/>
          <w:szCs w:val="19"/>
          <w:lang w:val="es-ES"/>
        </w:rPr>
      </w:pPr>
      <w:r w:rsidRPr="00B35679">
        <w:rPr>
          <w:rStyle w:val="Refdenotaalpie"/>
          <w:sz w:val="19"/>
          <w:szCs w:val="19"/>
        </w:rPr>
        <w:footnoteRef/>
      </w:r>
      <w:r w:rsidRPr="00B356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3">
    <w:p w14:paraId="07AAA102" w14:textId="77777777" w:rsidR="00592233" w:rsidRPr="00B35679" w:rsidRDefault="00592233" w:rsidP="006344C2">
      <w:pPr>
        <w:pStyle w:val="Textonotapie"/>
        <w:ind w:right="51"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w:t>
      </w:r>
      <w:bookmarkStart w:id="16" w:name="_Hlk74272731"/>
      <w:r w:rsidRPr="00B35679">
        <w:rPr>
          <w:rFonts w:ascii="Arial" w:hAnsi="Arial" w:cs="Arial"/>
          <w:sz w:val="19"/>
          <w:szCs w:val="19"/>
        </w:rPr>
        <w:t>«</w:t>
      </w:r>
      <w:bookmarkEnd w:id="16"/>
      <w:r w:rsidRPr="00B35679">
        <w:rPr>
          <w:rFonts w:ascii="Arial" w:hAnsi="Arial" w:cs="Arial"/>
          <w:sz w:val="19"/>
          <w:szCs w:val="19"/>
          <w:lang w:val="es-ES"/>
        </w:rPr>
        <w:t xml:space="preserve">[25] </w:t>
      </w:r>
      <w:r w:rsidRPr="00B35679">
        <w:rPr>
          <w:rFonts w:ascii="Arial" w:hAnsi="Arial" w:cs="Arial"/>
          <w:sz w:val="19"/>
          <w:szCs w:val="19"/>
        </w:rPr>
        <w:t>Cfr. Consejo de Estado. Sección Tercera. Sentencia de 3 de diciembre de 2007. Radicados: 24.715, 25.206, 25.409, 24.524, 27.834, 25.410, 26.105, 28.244, 31.447 -acumulados-</w:t>
      </w:r>
      <w:bookmarkStart w:id="17" w:name="_Hlk74271358"/>
      <w:r w:rsidRPr="00B35679">
        <w:rPr>
          <w:rFonts w:ascii="Arial" w:hAnsi="Arial" w:cs="Arial"/>
          <w:sz w:val="19"/>
          <w:szCs w:val="19"/>
        </w:rPr>
        <w:t>»</w:t>
      </w:r>
      <w:bookmarkEnd w:id="17"/>
      <w:r w:rsidRPr="00B35679">
        <w:rPr>
          <w:rFonts w:ascii="Arial" w:hAnsi="Arial" w:cs="Arial"/>
          <w:sz w:val="19"/>
          <w:szCs w:val="19"/>
        </w:rPr>
        <w:t>.</w:t>
      </w:r>
    </w:p>
  </w:footnote>
  <w:footnote w:id="14">
    <w:p w14:paraId="37EF8E10" w14:textId="77777777" w:rsidR="00592233" w:rsidRPr="00B35679" w:rsidRDefault="00592233" w:rsidP="006344C2">
      <w:pPr>
        <w:pStyle w:val="Textonotapie"/>
        <w:ind w:right="51"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w:t>
      </w:r>
      <w:bookmarkStart w:id="19" w:name="_Hlk74294506"/>
      <w:r w:rsidRPr="00B35679">
        <w:rPr>
          <w:rFonts w:ascii="Arial" w:hAnsi="Arial" w:cs="Arial"/>
          <w:sz w:val="19"/>
          <w:szCs w:val="19"/>
        </w:rPr>
        <w:t>«</w:t>
      </w:r>
      <w:r w:rsidRPr="00B35679">
        <w:rPr>
          <w:rFonts w:ascii="Arial" w:hAnsi="Arial" w:cs="Arial"/>
          <w:sz w:val="19"/>
          <w:szCs w:val="19"/>
          <w:lang w:val="es-ES"/>
        </w:rPr>
        <w:t xml:space="preserve">[26] </w:t>
      </w:r>
      <w:bookmarkEnd w:id="19"/>
      <w:r w:rsidRPr="00B35679">
        <w:rPr>
          <w:rFonts w:ascii="Arial" w:hAnsi="Arial" w:cs="Arial"/>
          <w:sz w:val="19"/>
          <w:szCs w:val="19"/>
        </w:rPr>
        <w:t>Al respecto ver el concepto 1712 de 2 de febrero de 2006. Consejo de Estado Sala de Consulta y Servicio Civil».</w:t>
      </w:r>
    </w:p>
  </w:footnote>
  <w:footnote w:id="15">
    <w:p w14:paraId="7C29C876" w14:textId="77777777" w:rsidR="00592233" w:rsidRPr="00B35679" w:rsidRDefault="00592233"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6">
    <w:p w14:paraId="69FC5019" w14:textId="77777777" w:rsidR="00592233" w:rsidRPr="00B35679" w:rsidRDefault="00592233" w:rsidP="006344C2">
      <w:pPr>
        <w:pStyle w:val="Textonotapie"/>
        <w:ind w:firstLine="709"/>
        <w:contextualSpacing/>
        <w:jc w:val="both"/>
        <w:rPr>
          <w:rFonts w:ascii="Arial" w:hAnsi="Arial" w:cs="Arial"/>
          <w:sz w:val="19"/>
          <w:szCs w:val="19"/>
          <w:lang w:val="es-ES"/>
        </w:rPr>
      </w:pPr>
      <w:r w:rsidRPr="00B35679">
        <w:rPr>
          <w:rStyle w:val="Refdenotaalpie"/>
          <w:sz w:val="19"/>
          <w:szCs w:val="19"/>
        </w:rPr>
        <w:footnoteRef/>
      </w:r>
      <w:r w:rsidRPr="00B35679">
        <w:rPr>
          <w:rFonts w:ascii="Arial" w:hAnsi="Arial" w:cs="Arial"/>
          <w:sz w:val="19"/>
          <w:szCs w:val="19"/>
        </w:rPr>
        <w:t xml:space="preserve"> </w:t>
      </w:r>
      <w:r w:rsidRPr="00B35679">
        <w:rPr>
          <w:rFonts w:ascii="Arial" w:hAnsi="Arial" w:cs="Arial"/>
          <w:sz w:val="19"/>
          <w:szCs w:val="19"/>
          <w:lang w:val="es-ES"/>
        </w:rPr>
        <w:t xml:space="preserve">Artículo 2. </w:t>
      </w:r>
    </w:p>
  </w:footnote>
  <w:footnote w:id="17">
    <w:p w14:paraId="0F99CB64" w14:textId="77777777" w:rsidR="00592233" w:rsidRPr="00B35679" w:rsidRDefault="00592233" w:rsidP="006344C2">
      <w:pPr>
        <w:pStyle w:val="Textonotapie"/>
        <w:ind w:firstLine="709"/>
        <w:contextualSpacing/>
        <w:jc w:val="both"/>
        <w:rPr>
          <w:rFonts w:ascii="Arial" w:hAnsi="Arial" w:cs="Arial"/>
          <w:sz w:val="19"/>
          <w:szCs w:val="19"/>
          <w:lang w:val="es-ES"/>
        </w:rPr>
      </w:pPr>
      <w:r w:rsidRPr="00B35679">
        <w:rPr>
          <w:rStyle w:val="Refdenotaalpie"/>
          <w:sz w:val="19"/>
          <w:szCs w:val="19"/>
        </w:rPr>
        <w:footnoteRef/>
      </w:r>
      <w:r w:rsidRPr="00B35679">
        <w:rPr>
          <w:rFonts w:ascii="Arial" w:hAnsi="Arial" w:cs="Arial"/>
          <w:sz w:val="19"/>
          <w:szCs w:val="19"/>
        </w:rPr>
        <w:t xml:space="preserve"> </w:t>
      </w:r>
      <w:r w:rsidRPr="00B35679">
        <w:rPr>
          <w:rFonts w:ascii="Arial" w:hAnsi="Arial" w:cs="Arial"/>
          <w:i/>
          <w:sz w:val="19"/>
          <w:szCs w:val="19"/>
          <w:lang w:val="es-ES"/>
        </w:rPr>
        <w:t>Ídem</w:t>
      </w:r>
      <w:r w:rsidRPr="00B35679">
        <w:rPr>
          <w:rFonts w:ascii="Arial" w:hAnsi="Arial" w:cs="Arial"/>
          <w:sz w:val="19"/>
          <w:szCs w:val="19"/>
          <w:lang w:val="es-ES"/>
        </w:rPr>
        <w:t>.</w:t>
      </w:r>
    </w:p>
  </w:footnote>
  <w:footnote w:id="18">
    <w:p w14:paraId="1A1C7BEB" w14:textId="77777777" w:rsidR="00592233" w:rsidRPr="00B35679" w:rsidRDefault="00592233" w:rsidP="006344C2">
      <w:pPr>
        <w:pStyle w:val="Textonotapie"/>
        <w:ind w:firstLine="709"/>
        <w:contextualSpacing/>
        <w:jc w:val="both"/>
        <w:rPr>
          <w:rFonts w:ascii="Arial" w:hAnsi="Arial" w:cs="Arial"/>
          <w:sz w:val="19"/>
          <w:szCs w:val="19"/>
          <w:lang w:val="es-ES"/>
        </w:rPr>
      </w:pPr>
      <w:r w:rsidRPr="00B35679">
        <w:rPr>
          <w:rStyle w:val="Refdenotaalpie"/>
          <w:sz w:val="19"/>
          <w:szCs w:val="19"/>
        </w:rPr>
        <w:footnoteRef/>
      </w:r>
      <w:r w:rsidRPr="00B35679">
        <w:rPr>
          <w:rStyle w:val="Refdenotaalpie"/>
          <w:sz w:val="19"/>
          <w:szCs w:val="19"/>
        </w:rPr>
        <w:t xml:space="preserve"> </w:t>
      </w:r>
      <w:bookmarkStart w:id="24" w:name="_Hlk74297130"/>
      <w:r w:rsidRPr="00B35679">
        <w:rPr>
          <w:rFonts w:ascii="Arial" w:hAnsi="Arial" w:cs="Arial"/>
          <w:sz w:val="19"/>
          <w:szCs w:val="19"/>
          <w:lang w:val="es-ES"/>
        </w:rPr>
        <w:t>«</w:t>
      </w:r>
      <w:bookmarkEnd w:id="24"/>
      <w:r w:rsidRPr="00B35679">
        <w:rPr>
          <w:rFonts w:ascii="Arial" w:hAnsi="Arial" w:cs="Arial"/>
          <w:sz w:val="19"/>
          <w:szCs w:val="19"/>
          <w:lang w:val="es-ES"/>
        </w:rPr>
        <w:t xml:space="preserve">[…] A este respecto, cabe recordar que el artículo 860 del Código de Comercio regula la licitación en el derecho privado». </w:t>
      </w:r>
    </w:p>
  </w:footnote>
  <w:footnote w:id="19">
    <w:p w14:paraId="51CAAFE0" w14:textId="77777777" w:rsidR="00592233" w:rsidRPr="00B35679" w:rsidRDefault="00592233" w:rsidP="006344C2">
      <w:pPr>
        <w:shd w:val="clear" w:color="auto" w:fill="FFFFFF"/>
        <w:ind w:firstLine="709"/>
        <w:contextualSpacing/>
        <w:jc w:val="both"/>
        <w:rPr>
          <w:rFonts w:ascii="Arial" w:hAnsi="Arial" w:cs="Arial"/>
          <w:sz w:val="19"/>
          <w:szCs w:val="19"/>
          <w:lang w:val="es-ES"/>
        </w:rPr>
      </w:pPr>
      <w:r w:rsidRPr="00B35679">
        <w:rPr>
          <w:rStyle w:val="Refdenotaalpie"/>
          <w:sz w:val="19"/>
          <w:szCs w:val="19"/>
        </w:rPr>
        <w:footnoteRef/>
      </w:r>
      <w:r w:rsidRPr="00B35679">
        <w:rPr>
          <w:rStyle w:val="Refdenotaalpie"/>
          <w:sz w:val="19"/>
          <w:szCs w:val="19"/>
        </w:rPr>
        <w:t xml:space="preserve"> </w:t>
      </w:r>
      <w:r w:rsidRPr="00B35679">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20">
    <w:p w14:paraId="67CA057B" w14:textId="77777777" w:rsidR="00592233" w:rsidRPr="00B35679" w:rsidRDefault="00592233"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Consejo de Estado. Sala de Consulta y Servicio Civil. Concepto del 08 de mayo de 2018. Exp. 2.382. C.P. Álvaro Namén Vargas.</w:t>
      </w:r>
    </w:p>
  </w:footnote>
  <w:footnote w:id="21">
    <w:p w14:paraId="4C41291B" w14:textId="77777777" w:rsidR="00592233" w:rsidRPr="00B35679" w:rsidRDefault="00592233" w:rsidP="006344C2">
      <w:pPr>
        <w:pStyle w:val="Textonotapie"/>
        <w:ind w:firstLine="709"/>
        <w:contextualSpacing/>
        <w:jc w:val="both"/>
        <w:rPr>
          <w:rFonts w:ascii="Arial" w:hAnsi="Arial" w:cs="Arial"/>
          <w:sz w:val="19"/>
          <w:szCs w:val="19"/>
        </w:rPr>
      </w:pPr>
      <w:r w:rsidRPr="00B35679">
        <w:rPr>
          <w:rStyle w:val="Refdenotaalpie"/>
          <w:sz w:val="19"/>
          <w:szCs w:val="19"/>
        </w:rPr>
        <w:footnoteRef/>
      </w:r>
      <w:r w:rsidRPr="00B35679">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2">
    <w:p w14:paraId="30533E02" w14:textId="04AC561C" w:rsidR="009E6E50" w:rsidRPr="000A5B6C" w:rsidRDefault="009E6E50" w:rsidP="006344C2">
      <w:pPr>
        <w:pStyle w:val="Textonotapie"/>
        <w:ind w:firstLine="709"/>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w:t>
      </w:r>
      <w:r w:rsidR="002141BA" w:rsidRPr="000A5B6C">
        <w:rPr>
          <w:rFonts w:ascii="Arial" w:hAnsi="Arial" w:cs="Arial"/>
          <w:sz w:val="19"/>
          <w:szCs w:val="19"/>
        </w:rPr>
        <w:t xml:space="preserve">Artículo </w:t>
      </w:r>
      <w:r w:rsidRPr="000A5B6C">
        <w:rPr>
          <w:rFonts w:ascii="Arial" w:hAnsi="Arial" w:cs="Arial"/>
          <w:sz w:val="19"/>
          <w:szCs w:val="19"/>
        </w:rPr>
        <w:t>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7658319A" w14:textId="77777777" w:rsidR="009E6E50" w:rsidRPr="000A5B6C" w:rsidRDefault="009E6E50" w:rsidP="006344C2">
      <w:pPr>
        <w:pStyle w:val="Textonotapie"/>
        <w:ind w:firstLine="709"/>
        <w:jc w:val="both"/>
        <w:rPr>
          <w:rFonts w:ascii="Arial" w:hAnsi="Arial" w:cs="Arial"/>
          <w:sz w:val="19"/>
          <w:szCs w:val="19"/>
        </w:rPr>
      </w:pPr>
      <w:r w:rsidRPr="000A5B6C">
        <w:rPr>
          <w:rFonts w:ascii="Arial" w:hAnsi="Arial" w:cs="Arial"/>
          <w:sz w:val="19"/>
          <w:szCs w:val="19"/>
        </w:rPr>
        <w:t>Las personas jurídicas sin ánimo de lucro que se conformen por la asociación exclusiva de sus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6505AD5B" w14:textId="4C0852AA" w:rsidR="009E6E50" w:rsidRPr="000A5B6C" w:rsidRDefault="009E6E50" w:rsidP="006344C2">
      <w:pPr>
        <w:pStyle w:val="Textonotapie"/>
        <w:ind w:firstLine="709"/>
        <w:jc w:val="both"/>
        <w:rPr>
          <w:rFonts w:ascii="Arial" w:hAnsi="Arial" w:cs="Arial"/>
          <w:sz w:val="19"/>
          <w:szCs w:val="19"/>
        </w:rPr>
      </w:pPr>
      <w:r w:rsidRPr="000A5B6C">
        <w:rPr>
          <w:rFonts w:ascii="Arial" w:hAnsi="Arial" w:cs="Arial"/>
          <w:sz w:val="19"/>
          <w:szCs w:val="19"/>
        </w:rPr>
        <w:t xml:space="preserve"> </w:t>
      </w:r>
    </w:p>
  </w:footnote>
  <w:footnote w:id="23">
    <w:p w14:paraId="4BA9E726" w14:textId="31CC4629" w:rsidR="009E6E50" w:rsidRPr="000A5B6C" w:rsidRDefault="009E6E50" w:rsidP="006344C2">
      <w:pPr>
        <w:pStyle w:val="Textonotapie"/>
        <w:ind w:firstLine="709"/>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w:t>
      </w:r>
      <w:r w:rsidR="002141BA">
        <w:rPr>
          <w:rFonts w:ascii="Arial" w:hAnsi="Arial" w:cs="Arial"/>
          <w:sz w:val="19"/>
          <w:szCs w:val="19"/>
        </w:rPr>
        <w:t>«</w:t>
      </w:r>
      <w:r w:rsidR="002141BA" w:rsidRPr="000A5B6C">
        <w:rPr>
          <w:rFonts w:ascii="Arial" w:hAnsi="Arial" w:cs="Arial"/>
          <w:sz w:val="19"/>
          <w:szCs w:val="19"/>
        </w:rPr>
        <w:t xml:space="preserve">Artículo </w:t>
      </w:r>
      <w:r w:rsidRPr="000A5B6C">
        <w:rPr>
          <w:rFonts w:ascii="Arial" w:hAnsi="Arial" w:cs="Arial"/>
          <w:sz w:val="19"/>
          <w:szCs w:val="19"/>
        </w:rPr>
        <w:t>96.- Constitución de asociaciones y fundaciones para el cumplimiento de las actividades propias de las entidades públicas con participación de particulares. Las entidades estatales, cualquiera sea su naturaleza y orden administrativo podrán, con la observación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46B36B4" w14:textId="7A53714F" w:rsidR="009E6E50" w:rsidRPr="000A5B6C" w:rsidRDefault="001A6ACB" w:rsidP="006344C2">
      <w:pPr>
        <w:pStyle w:val="Textonotapie"/>
        <w:ind w:firstLine="709"/>
        <w:jc w:val="both"/>
        <w:rPr>
          <w:rFonts w:ascii="Arial" w:hAnsi="Arial" w:cs="Arial"/>
          <w:sz w:val="19"/>
          <w:szCs w:val="19"/>
        </w:rPr>
      </w:pPr>
      <w:r w:rsidRPr="000A5B6C">
        <w:rPr>
          <w:rFonts w:ascii="Arial" w:hAnsi="Arial" w:cs="Arial"/>
          <w:sz w:val="19"/>
          <w:szCs w:val="19"/>
        </w:rPr>
        <w:t>»</w:t>
      </w:r>
      <w:r w:rsidR="009E6E50" w:rsidRPr="000A5B6C">
        <w:rPr>
          <w:rFonts w:ascii="Arial" w:hAnsi="Arial" w:cs="Arial"/>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687FD6F3" w14:textId="2F75B9A5" w:rsidR="009E6E50" w:rsidRPr="000A5B6C" w:rsidRDefault="001A6ACB" w:rsidP="006344C2">
      <w:pPr>
        <w:pStyle w:val="Textonotapie"/>
        <w:ind w:firstLine="709"/>
        <w:jc w:val="both"/>
        <w:rPr>
          <w:rFonts w:ascii="Arial" w:hAnsi="Arial" w:cs="Arial"/>
          <w:sz w:val="19"/>
          <w:szCs w:val="19"/>
          <w:lang w:val="es-ES_tradnl"/>
        </w:rPr>
      </w:pPr>
      <w:r w:rsidRPr="000A5B6C">
        <w:rPr>
          <w:rFonts w:ascii="Arial" w:hAnsi="Arial" w:cs="Arial"/>
          <w:sz w:val="19"/>
          <w:szCs w:val="19"/>
        </w:rPr>
        <w:t>»</w:t>
      </w:r>
      <w:r w:rsidR="009E6E50" w:rsidRPr="000A5B6C">
        <w:rPr>
          <w:rFonts w:ascii="Arial" w:hAnsi="Arial" w:cs="Arial"/>
          <w:sz w:val="19"/>
          <w:szCs w:val="19"/>
        </w:rPr>
        <w:t>Cuando en virtud de lo dispuesto en el presente artículo, surjan personas jurídicas sin ánimo de lucro, éstas se sujetarán a las disposiciones previstas en el Código Civil para las asociaciones civiles de utilidad común</w:t>
      </w:r>
      <w:r w:rsidRPr="000A5B6C">
        <w:rPr>
          <w:rFonts w:ascii="Arial" w:hAnsi="Arial" w:cs="Arial"/>
          <w:sz w:val="19"/>
          <w:szCs w:val="19"/>
        </w:rPr>
        <w:t>»</w:t>
      </w:r>
      <w:r w:rsidR="009E6E50" w:rsidRPr="000A5B6C">
        <w:rPr>
          <w:rFonts w:ascii="Arial" w:hAnsi="Arial" w:cs="Arial"/>
          <w:sz w:val="19"/>
          <w:szCs w:val="19"/>
        </w:rPr>
        <w:t xml:space="preserve">. </w:t>
      </w:r>
    </w:p>
  </w:footnote>
  <w:footnote w:id="24">
    <w:p w14:paraId="452E67D7" w14:textId="4F982C3B" w:rsidR="00790299" w:rsidRPr="000A5B6C" w:rsidRDefault="00790299" w:rsidP="006344C2">
      <w:pPr>
        <w:ind w:firstLine="709"/>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1BE5B97D" w14:textId="77777777" w:rsidR="009E6E50" w:rsidRPr="000A5B6C" w:rsidRDefault="009E6E50" w:rsidP="006344C2">
      <w:pPr>
        <w:ind w:firstLine="709"/>
        <w:jc w:val="both"/>
        <w:rPr>
          <w:rFonts w:ascii="Arial" w:hAnsi="Arial" w:cs="Arial"/>
          <w:sz w:val="19"/>
          <w:szCs w:val="19"/>
        </w:rPr>
      </w:pPr>
    </w:p>
  </w:footnote>
  <w:footnote w:id="25">
    <w:p w14:paraId="20528890" w14:textId="77777777" w:rsidR="00790299" w:rsidRPr="000A5B6C" w:rsidRDefault="00790299" w:rsidP="006344C2">
      <w:pPr>
        <w:pStyle w:val="Textonotapie"/>
        <w:ind w:right="51" w:firstLine="709"/>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w:t>
      </w:r>
      <w:bookmarkStart w:id="37" w:name="_Hlk75633115"/>
      <w:r w:rsidRPr="000A5B6C">
        <w:rPr>
          <w:rFonts w:ascii="Arial" w:hAnsi="Arial" w:cs="Arial"/>
          <w:sz w:val="19"/>
          <w:szCs w:val="19"/>
        </w:rPr>
        <w:t xml:space="preserve">Consejo de Estado. Sala de Consulta y Servicio Civil. Concepto </w:t>
      </w:r>
      <w:bookmarkEnd w:id="37"/>
      <w:r w:rsidRPr="000A5B6C">
        <w:rPr>
          <w:rFonts w:ascii="Arial" w:hAnsi="Arial" w:cs="Arial"/>
          <w:sz w:val="19"/>
          <w:szCs w:val="19"/>
        </w:rPr>
        <w:t>de 6 de abril de 2006. Radicación Número: 11001-03-06-000-2006-00038-00(1738). Consejero Ponente: Enrique José Arboleda Perdomo:</w:t>
      </w:r>
      <w:r w:rsidRPr="000A5B6C">
        <w:rPr>
          <w:rFonts w:ascii="Arial" w:eastAsia="Times New Roman" w:hAnsi="Arial" w:cs="Arial"/>
          <w:bCs/>
          <w:sz w:val="19"/>
          <w:szCs w:val="19"/>
          <w:lang w:eastAsia="x-none"/>
        </w:rPr>
        <w:t xml:space="preserve"> «</w:t>
      </w:r>
      <w:r w:rsidRPr="000A5B6C">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0A5B6C">
        <w:rPr>
          <w:rFonts w:ascii="Arial" w:eastAsia="Times New Roman" w:hAnsi="Arial" w:cs="Arial"/>
          <w:bCs/>
          <w:sz w:val="19"/>
          <w:szCs w:val="19"/>
          <w:lang w:eastAsia="x-none"/>
        </w:rPr>
        <w:t>».</w:t>
      </w:r>
    </w:p>
  </w:footnote>
  <w:footnote w:id="26">
    <w:p w14:paraId="194DAD8B" w14:textId="77777777" w:rsidR="00790299" w:rsidRPr="000A5B6C" w:rsidRDefault="00790299" w:rsidP="006344C2">
      <w:pPr>
        <w:pStyle w:val="Textonotapie"/>
        <w:ind w:right="51" w:firstLine="709"/>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54076DEF" w14:textId="77777777" w:rsidR="00790299" w:rsidRPr="000A5B6C" w:rsidRDefault="00790299" w:rsidP="006344C2">
      <w:pPr>
        <w:pStyle w:val="Textonotapie"/>
        <w:ind w:right="51" w:firstLine="709"/>
        <w:jc w:val="both"/>
        <w:rPr>
          <w:rFonts w:ascii="Arial" w:hAnsi="Arial" w:cs="Arial"/>
          <w:sz w:val="19"/>
          <w:szCs w:val="19"/>
        </w:rPr>
      </w:pPr>
    </w:p>
  </w:footnote>
  <w:footnote w:id="27">
    <w:p w14:paraId="3C114BC2" w14:textId="77777777" w:rsidR="00790299" w:rsidRPr="000A5B6C" w:rsidRDefault="00790299" w:rsidP="006344C2">
      <w:pPr>
        <w:pStyle w:val="Textonotapie"/>
        <w:ind w:right="51" w:firstLine="709"/>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Consejo de Estado. Sala de Consulta y Servicio Civil, ídem.</w:t>
      </w:r>
    </w:p>
  </w:footnote>
  <w:footnote w:id="28">
    <w:p w14:paraId="0F2C2DB9" w14:textId="6BCEB623" w:rsidR="005C5501" w:rsidRPr="000A5B6C" w:rsidRDefault="005C5501" w:rsidP="006344C2">
      <w:pPr>
        <w:pStyle w:val="Textonotapie"/>
        <w:ind w:firstLine="708"/>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w:t>
      </w:r>
      <w:r w:rsidR="0089436F" w:rsidRPr="000A5B6C">
        <w:rPr>
          <w:rFonts w:ascii="Arial" w:hAnsi="Arial" w:cs="Arial"/>
          <w:sz w:val="19"/>
          <w:szCs w:val="19"/>
        </w:rPr>
        <w:t xml:space="preserve">Concepto 2013010362-001 del 18 de marzo de 2013. </w:t>
      </w:r>
      <w:hyperlink r:id="rId2" w:history="1">
        <w:r w:rsidR="0089436F" w:rsidRPr="000A5B6C">
          <w:rPr>
            <w:rStyle w:val="Hipervnculo"/>
            <w:rFonts w:ascii="Arial" w:hAnsi="Arial" w:cs="Arial"/>
            <w:color w:val="0E63A8" w:themeColor="text2"/>
            <w:sz w:val="19"/>
            <w:szCs w:val="19"/>
          </w:rPr>
          <w:t>https://actualicese.com/concepto-2013010362-001-de-18-03-2013</w:t>
        </w:r>
        <w:r w:rsidR="0089436F" w:rsidRPr="000A5B6C">
          <w:rPr>
            <w:rStyle w:val="Hipervnculo"/>
            <w:rFonts w:ascii="Arial" w:hAnsi="Arial" w:cs="Arial"/>
            <w:sz w:val="19"/>
            <w:szCs w:val="19"/>
          </w:rPr>
          <w:t>/</w:t>
        </w:r>
      </w:hyperlink>
      <w:r w:rsidR="0089436F" w:rsidRPr="000A5B6C">
        <w:rPr>
          <w:rFonts w:ascii="Arial" w:hAnsi="Arial" w:cs="Arial"/>
          <w:sz w:val="19"/>
          <w:szCs w:val="19"/>
        </w:rPr>
        <w:t xml:space="preserve">. </w:t>
      </w:r>
    </w:p>
  </w:footnote>
  <w:footnote w:id="29">
    <w:p w14:paraId="485C0F9E" w14:textId="5DABFE36" w:rsidR="00482608" w:rsidRPr="000A5B6C" w:rsidRDefault="00482608" w:rsidP="006344C2">
      <w:pPr>
        <w:pStyle w:val="Textonotapie"/>
        <w:ind w:firstLine="708"/>
        <w:jc w:val="both"/>
        <w:rPr>
          <w:rFonts w:ascii="Arial" w:hAnsi="Arial" w:cs="Arial"/>
          <w:sz w:val="19"/>
          <w:szCs w:val="19"/>
        </w:rPr>
      </w:pPr>
      <w:r w:rsidRPr="000A5B6C">
        <w:rPr>
          <w:rStyle w:val="Refdenotaalpie"/>
          <w:rFonts w:ascii="Arial" w:hAnsi="Arial" w:cs="Arial"/>
          <w:sz w:val="19"/>
          <w:szCs w:val="19"/>
        </w:rPr>
        <w:footnoteRef/>
      </w:r>
      <w:r w:rsidRPr="000A5B6C">
        <w:rPr>
          <w:rFonts w:ascii="Arial" w:hAnsi="Arial" w:cs="Arial"/>
          <w:sz w:val="19"/>
          <w:szCs w:val="19"/>
        </w:rPr>
        <w:t xml:space="preserve"> RODRÍGUEZ AZUERO, Sergio. Negocios fiduciarios: s</w:t>
      </w:r>
      <w:r w:rsidR="00875E88" w:rsidRPr="000A5B6C">
        <w:rPr>
          <w:rFonts w:ascii="Arial" w:hAnsi="Arial" w:cs="Arial"/>
          <w:sz w:val="19"/>
          <w:szCs w:val="19"/>
        </w:rPr>
        <w:t>u</w:t>
      </w:r>
      <w:r w:rsidRPr="000A5B6C">
        <w:rPr>
          <w:rFonts w:ascii="Arial" w:hAnsi="Arial" w:cs="Arial"/>
          <w:sz w:val="19"/>
          <w:szCs w:val="19"/>
        </w:rPr>
        <w:t xml:space="preserve"> significación en América Latina. Segunda edición. Bogotá: Legis, </w:t>
      </w:r>
      <w:r w:rsidR="00942A72" w:rsidRPr="000A5B6C">
        <w:rPr>
          <w:rFonts w:ascii="Arial" w:hAnsi="Arial" w:cs="Arial"/>
          <w:sz w:val="19"/>
          <w:szCs w:val="19"/>
        </w:rPr>
        <w:t>2017.</w:t>
      </w:r>
      <w:r w:rsidRPr="000A5B6C">
        <w:rPr>
          <w:rFonts w:ascii="Arial" w:hAnsi="Arial" w:cs="Arial"/>
          <w:sz w:val="19"/>
          <w:szCs w:val="19"/>
        </w:rPr>
        <w:t xml:space="preserve"> p. 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58240"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A855B7"/>
    <w:multiLevelType w:val="hybridMultilevel"/>
    <w:tmpl w:val="9B847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223358"/>
    <w:multiLevelType w:val="hybridMultilevel"/>
    <w:tmpl w:val="3BC419B0"/>
    <w:lvl w:ilvl="0" w:tplc="AE848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7556456"/>
    <w:multiLevelType w:val="hybridMultilevel"/>
    <w:tmpl w:val="027CBC06"/>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16cid:durableId="1140877412">
    <w:abstractNumId w:val="4"/>
  </w:num>
  <w:num w:numId="2" w16cid:durableId="631250692">
    <w:abstractNumId w:val="3"/>
  </w:num>
  <w:num w:numId="3" w16cid:durableId="2073889053">
    <w:abstractNumId w:val="7"/>
  </w:num>
  <w:num w:numId="4" w16cid:durableId="265506014">
    <w:abstractNumId w:val="8"/>
  </w:num>
  <w:num w:numId="5" w16cid:durableId="1603147715">
    <w:abstractNumId w:val="12"/>
  </w:num>
  <w:num w:numId="6" w16cid:durableId="92375956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9255506">
    <w:abstractNumId w:val="9"/>
  </w:num>
  <w:num w:numId="8" w16cid:durableId="1080298424">
    <w:abstractNumId w:val="2"/>
  </w:num>
  <w:num w:numId="9" w16cid:durableId="526144719">
    <w:abstractNumId w:val="11"/>
  </w:num>
  <w:num w:numId="10" w16cid:durableId="1807115885">
    <w:abstractNumId w:val="10"/>
  </w:num>
  <w:num w:numId="11" w16cid:durableId="1914579084">
    <w:abstractNumId w:val="13"/>
  </w:num>
  <w:num w:numId="12" w16cid:durableId="1182473768">
    <w:abstractNumId w:val="5"/>
  </w:num>
  <w:num w:numId="13" w16cid:durableId="1158612755">
    <w:abstractNumId w:val="1"/>
  </w:num>
  <w:num w:numId="14" w16cid:durableId="73288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57"/>
    <w:rsid w:val="00000513"/>
    <w:rsid w:val="00000FD4"/>
    <w:rsid w:val="000052EE"/>
    <w:rsid w:val="0000537F"/>
    <w:rsid w:val="00006DAA"/>
    <w:rsid w:val="00007845"/>
    <w:rsid w:val="00011A79"/>
    <w:rsid w:val="00013006"/>
    <w:rsid w:val="0001558F"/>
    <w:rsid w:val="000159F5"/>
    <w:rsid w:val="00015DF9"/>
    <w:rsid w:val="000162C3"/>
    <w:rsid w:val="00016DCE"/>
    <w:rsid w:val="00023000"/>
    <w:rsid w:val="00023BE4"/>
    <w:rsid w:val="00023C87"/>
    <w:rsid w:val="0002551F"/>
    <w:rsid w:val="00031FC6"/>
    <w:rsid w:val="0003324A"/>
    <w:rsid w:val="00033B21"/>
    <w:rsid w:val="00035210"/>
    <w:rsid w:val="00036204"/>
    <w:rsid w:val="000362D3"/>
    <w:rsid w:val="00043688"/>
    <w:rsid w:val="0004523D"/>
    <w:rsid w:val="00045826"/>
    <w:rsid w:val="0005272E"/>
    <w:rsid w:val="000566F2"/>
    <w:rsid w:val="00056788"/>
    <w:rsid w:val="00060398"/>
    <w:rsid w:val="000608F9"/>
    <w:rsid w:val="00064E2F"/>
    <w:rsid w:val="00065B8A"/>
    <w:rsid w:val="00065BD4"/>
    <w:rsid w:val="000709B9"/>
    <w:rsid w:val="00072E52"/>
    <w:rsid w:val="00074108"/>
    <w:rsid w:val="000769CC"/>
    <w:rsid w:val="000823E1"/>
    <w:rsid w:val="00086C1E"/>
    <w:rsid w:val="000878D7"/>
    <w:rsid w:val="000918A8"/>
    <w:rsid w:val="00091F03"/>
    <w:rsid w:val="0009351A"/>
    <w:rsid w:val="000942EB"/>
    <w:rsid w:val="00094466"/>
    <w:rsid w:val="000950AA"/>
    <w:rsid w:val="00097EB9"/>
    <w:rsid w:val="000A0682"/>
    <w:rsid w:val="000A17DA"/>
    <w:rsid w:val="000A3D48"/>
    <w:rsid w:val="000A5B6C"/>
    <w:rsid w:val="000A6275"/>
    <w:rsid w:val="000A62D5"/>
    <w:rsid w:val="000A6301"/>
    <w:rsid w:val="000A711E"/>
    <w:rsid w:val="000A785D"/>
    <w:rsid w:val="000B103F"/>
    <w:rsid w:val="000B2127"/>
    <w:rsid w:val="000B3E8E"/>
    <w:rsid w:val="000B6AB4"/>
    <w:rsid w:val="000C0959"/>
    <w:rsid w:val="000C0CDD"/>
    <w:rsid w:val="000C19E1"/>
    <w:rsid w:val="000C3A0A"/>
    <w:rsid w:val="000C47D2"/>
    <w:rsid w:val="000C63DF"/>
    <w:rsid w:val="000D02B3"/>
    <w:rsid w:val="000D0CE3"/>
    <w:rsid w:val="000D2A6B"/>
    <w:rsid w:val="000D3A92"/>
    <w:rsid w:val="000D4A92"/>
    <w:rsid w:val="000E0703"/>
    <w:rsid w:val="000E1BF2"/>
    <w:rsid w:val="000E3460"/>
    <w:rsid w:val="000E3516"/>
    <w:rsid w:val="000E358A"/>
    <w:rsid w:val="000E40FE"/>
    <w:rsid w:val="000E4B5C"/>
    <w:rsid w:val="000E699E"/>
    <w:rsid w:val="000E730C"/>
    <w:rsid w:val="000F14E8"/>
    <w:rsid w:val="000F18A6"/>
    <w:rsid w:val="000F1F07"/>
    <w:rsid w:val="00101D47"/>
    <w:rsid w:val="00101F31"/>
    <w:rsid w:val="00103915"/>
    <w:rsid w:val="00110320"/>
    <w:rsid w:val="001103A2"/>
    <w:rsid w:val="001128A8"/>
    <w:rsid w:val="00113958"/>
    <w:rsid w:val="00114BCB"/>
    <w:rsid w:val="00116C35"/>
    <w:rsid w:val="00121CD3"/>
    <w:rsid w:val="00122B23"/>
    <w:rsid w:val="001233CA"/>
    <w:rsid w:val="00123889"/>
    <w:rsid w:val="00123DD9"/>
    <w:rsid w:val="00124D1E"/>
    <w:rsid w:val="00125924"/>
    <w:rsid w:val="00131B50"/>
    <w:rsid w:val="001353DC"/>
    <w:rsid w:val="0013568D"/>
    <w:rsid w:val="0013799F"/>
    <w:rsid w:val="00137BCE"/>
    <w:rsid w:val="00137FFA"/>
    <w:rsid w:val="00141A38"/>
    <w:rsid w:val="00141FAC"/>
    <w:rsid w:val="001428A2"/>
    <w:rsid w:val="001437AF"/>
    <w:rsid w:val="0014392D"/>
    <w:rsid w:val="00143A66"/>
    <w:rsid w:val="0014465A"/>
    <w:rsid w:val="001507BA"/>
    <w:rsid w:val="0015185A"/>
    <w:rsid w:val="001536EC"/>
    <w:rsid w:val="00160D5E"/>
    <w:rsid w:val="00161B7E"/>
    <w:rsid w:val="001664C6"/>
    <w:rsid w:val="00166B32"/>
    <w:rsid w:val="0017007F"/>
    <w:rsid w:val="00172A28"/>
    <w:rsid w:val="001732BF"/>
    <w:rsid w:val="00175FDC"/>
    <w:rsid w:val="0018007B"/>
    <w:rsid w:val="00181FB8"/>
    <w:rsid w:val="001821C5"/>
    <w:rsid w:val="00182CE2"/>
    <w:rsid w:val="00186035"/>
    <w:rsid w:val="00187973"/>
    <w:rsid w:val="00193EFC"/>
    <w:rsid w:val="001A23E4"/>
    <w:rsid w:val="001A695E"/>
    <w:rsid w:val="001A6ACB"/>
    <w:rsid w:val="001A7009"/>
    <w:rsid w:val="001B1B92"/>
    <w:rsid w:val="001B493A"/>
    <w:rsid w:val="001B60A9"/>
    <w:rsid w:val="001B7785"/>
    <w:rsid w:val="001C01AC"/>
    <w:rsid w:val="001C12E3"/>
    <w:rsid w:val="001C47C6"/>
    <w:rsid w:val="001C57F6"/>
    <w:rsid w:val="001C5F61"/>
    <w:rsid w:val="001C67D0"/>
    <w:rsid w:val="001C6B55"/>
    <w:rsid w:val="001D0521"/>
    <w:rsid w:val="001D5602"/>
    <w:rsid w:val="001D5D49"/>
    <w:rsid w:val="001E0106"/>
    <w:rsid w:val="001E0B25"/>
    <w:rsid w:val="001E3A55"/>
    <w:rsid w:val="001E62AF"/>
    <w:rsid w:val="001E7DB9"/>
    <w:rsid w:val="001F2A9C"/>
    <w:rsid w:val="001F6CB7"/>
    <w:rsid w:val="002002A3"/>
    <w:rsid w:val="0020256B"/>
    <w:rsid w:val="00202F2E"/>
    <w:rsid w:val="002056C0"/>
    <w:rsid w:val="002106C7"/>
    <w:rsid w:val="0021312A"/>
    <w:rsid w:val="00213765"/>
    <w:rsid w:val="002141BA"/>
    <w:rsid w:val="00214878"/>
    <w:rsid w:val="00220DCB"/>
    <w:rsid w:val="0022254F"/>
    <w:rsid w:val="00224AFF"/>
    <w:rsid w:val="002272C3"/>
    <w:rsid w:val="00230492"/>
    <w:rsid w:val="00231C01"/>
    <w:rsid w:val="00232F9A"/>
    <w:rsid w:val="002330A3"/>
    <w:rsid w:val="002346FC"/>
    <w:rsid w:val="00234B84"/>
    <w:rsid w:val="00237377"/>
    <w:rsid w:val="00237769"/>
    <w:rsid w:val="002411E9"/>
    <w:rsid w:val="00242ED7"/>
    <w:rsid w:val="0024480D"/>
    <w:rsid w:val="002454B3"/>
    <w:rsid w:val="00250EB5"/>
    <w:rsid w:val="00251939"/>
    <w:rsid w:val="00254868"/>
    <w:rsid w:val="00255AFA"/>
    <w:rsid w:val="00255C58"/>
    <w:rsid w:val="00256635"/>
    <w:rsid w:val="00257213"/>
    <w:rsid w:val="00261507"/>
    <w:rsid w:val="0026156A"/>
    <w:rsid w:val="0026186C"/>
    <w:rsid w:val="00261A2E"/>
    <w:rsid w:val="002630D9"/>
    <w:rsid w:val="00264997"/>
    <w:rsid w:val="002706B4"/>
    <w:rsid w:val="002706C7"/>
    <w:rsid w:val="00272869"/>
    <w:rsid w:val="0027359F"/>
    <w:rsid w:val="00280E65"/>
    <w:rsid w:val="00281B0E"/>
    <w:rsid w:val="00286DB6"/>
    <w:rsid w:val="00287A42"/>
    <w:rsid w:val="00290ACC"/>
    <w:rsid w:val="002918F7"/>
    <w:rsid w:val="002932EB"/>
    <w:rsid w:val="00293C69"/>
    <w:rsid w:val="00294025"/>
    <w:rsid w:val="00294A08"/>
    <w:rsid w:val="002A36A9"/>
    <w:rsid w:val="002A3B51"/>
    <w:rsid w:val="002A4D54"/>
    <w:rsid w:val="002A5A53"/>
    <w:rsid w:val="002A72FB"/>
    <w:rsid w:val="002B0967"/>
    <w:rsid w:val="002B1F1E"/>
    <w:rsid w:val="002B25FD"/>
    <w:rsid w:val="002B3D4E"/>
    <w:rsid w:val="002C3D5A"/>
    <w:rsid w:val="002C6541"/>
    <w:rsid w:val="002C71CA"/>
    <w:rsid w:val="002C7E55"/>
    <w:rsid w:val="002C7E5B"/>
    <w:rsid w:val="002D1AA6"/>
    <w:rsid w:val="002D57D8"/>
    <w:rsid w:val="002D7662"/>
    <w:rsid w:val="002D7A0C"/>
    <w:rsid w:val="002E1753"/>
    <w:rsid w:val="002E20DA"/>
    <w:rsid w:val="002E24A9"/>
    <w:rsid w:val="002E6F9C"/>
    <w:rsid w:val="002E7375"/>
    <w:rsid w:val="002E7582"/>
    <w:rsid w:val="002E79A9"/>
    <w:rsid w:val="002F2195"/>
    <w:rsid w:val="002F33C3"/>
    <w:rsid w:val="002F4AF8"/>
    <w:rsid w:val="003011A3"/>
    <w:rsid w:val="003020F1"/>
    <w:rsid w:val="00302512"/>
    <w:rsid w:val="00303001"/>
    <w:rsid w:val="003033BA"/>
    <w:rsid w:val="00305947"/>
    <w:rsid w:val="00306259"/>
    <w:rsid w:val="003067C4"/>
    <w:rsid w:val="00310D7A"/>
    <w:rsid w:val="00313842"/>
    <w:rsid w:val="00313908"/>
    <w:rsid w:val="00313D25"/>
    <w:rsid w:val="003159B5"/>
    <w:rsid w:val="00315C98"/>
    <w:rsid w:val="0031758D"/>
    <w:rsid w:val="00323084"/>
    <w:rsid w:val="00323E51"/>
    <w:rsid w:val="00326F90"/>
    <w:rsid w:val="00331228"/>
    <w:rsid w:val="0033352A"/>
    <w:rsid w:val="00333DBC"/>
    <w:rsid w:val="00334218"/>
    <w:rsid w:val="00337968"/>
    <w:rsid w:val="00337F91"/>
    <w:rsid w:val="00341A74"/>
    <w:rsid w:val="00343654"/>
    <w:rsid w:val="0034680A"/>
    <w:rsid w:val="003471F9"/>
    <w:rsid w:val="0034781E"/>
    <w:rsid w:val="00352311"/>
    <w:rsid w:val="003544BB"/>
    <w:rsid w:val="00356902"/>
    <w:rsid w:val="00356E6F"/>
    <w:rsid w:val="003600DB"/>
    <w:rsid w:val="00362481"/>
    <w:rsid w:val="00362FC9"/>
    <w:rsid w:val="00363113"/>
    <w:rsid w:val="003644CA"/>
    <w:rsid w:val="003657FD"/>
    <w:rsid w:val="00365C3E"/>
    <w:rsid w:val="00366D34"/>
    <w:rsid w:val="003725F1"/>
    <w:rsid w:val="00372B16"/>
    <w:rsid w:val="003751BE"/>
    <w:rsid w:val="00376566"/>
    <w:rsid w:val="00385468"/>
    <w:rsid w:val="00386456"/>
    <w:rsid w:val="00387590"/>
    <w:rsid w:val="00392F03"/>
    <w:rsid w:val="003945B8"/>
    <w:rsid w:val="00395218"/>
    <w:rsid w:val="00395355"/>
    <w:rsid w:val="00395C94"/>
    <w:rsid w:val="003A1AAE"/>
    <w:rsid w:val="003A4F5B"/>
    <w:rsid w:val="003A581E"/>
    <w:rsid w:val="003A5E59"/>
    <w:rsid w:val="003B0B5A"/>
    <w:rsid w:val="003B4F39"/>
    <w:rsid w:val="003C0562"/>
    <w:rsid w:val="003C0C02"/>
    <w:rsid w:val="003C43B0"/>
    <w:rsid w:val="003C568E"/>
    <w:rsid w:val="003C7776"/>
    <w:rsid w:val="003C7793"/>
    <w:rsid w:val="003D14E8"/>
    <w:rsid w:val="003D2AA2"/>
    <w:rsid w:val="003D4BB2"/>
    <w:rsid w:val="003D78B1"/>
    <w:rsid w:val="003D7DB6"/>
    <w:rsid w:val="003E01B4"/>
    <w:rsid w:val="003E4ED2"/>
    <w:rsid w:val="003F1269"/>
    <w:rsid w:val="003F2F99"/>
    <w:rsid w:val="003F6F8C"/>
    <w:rsid w:val="00400DDE"/>
    <w:rsid w:val="00405662"/>
    <w:rsid w:val="00410870"/>
    <w:rsid w:val="004110F1"/>
    <w:rsid w:val="00414A77"/>
    <w:rsid w:val="00416B88"/>
    <w:rsid w:val="00417402"/>
    <w:rsid w:val="0042166F"/>
    <w:rsid w:val="004224C1"/>
    <w:rsid w:val="00423F6D"/>
    <w:rsid w:val="00424964"/>
    <w:rsid w:val="0043152C"/>
    <w:rsid w:val="00431C82"/>
    <w:rsid w:val="00432163"/>
    <w:rsid w:val="00434BC9"/>
    <w:rsid w:val="004361CF"/>
    <w:rsid w:val="004374FC"/>
    <w:rsid w:val="004422D6"/>
    <w:rsid w:val="00443F10"/>
    <w:rsid w:val="00444056"/>
    <w:rsid w:val="0044597D"/>
    <w:rsid w:val="00445F18"/>
    <w:rsid w:val="004513E8"/>
    <w:rsid w:val="00451CB9"/>
    <w:rsid w:val="00460329"/>
    <w:rsid w:val="0046058A"/>
    <w:rsid w:val="00462527"/>
    <w:rsid w:val="00467950"/>
    <w:rsid w:val="00470AF0"/>
    <w:rsid w:val="00471F8D"/>
    <w:rsid w:val="00476A47"/>
    <w:rsid w:val="00477B6D"/>
    <w:rsid w:val="00482608"/>
    <w:rsid w:val="00483423"/>
    <w:rsid w:val="00483490"/>
    <w:rsid w:val="00486992"/>
    <w:rsid w:val="00486C76"/>
    <w:rsid w:val="00487048"/>
    <w:rsid w:val="0048706D"/>
    <w:rsid w:val="00490869"/>
    <w:rsid w:val="0049197E"/>
    <w:rsid w:val="00493EF0"/>
    <w:rsid w:val="0049409A"/>
    <w:rsid w:val="004A265E"/>
    <w:rsid w:val="004A34D2"/>
    <w:rsid w:val="004A51B7"/>
    <w:rsid w:val="004A74E4"/>
    <w:rsid w:val="004B2EF6"/>
    <w:rsid w:val="004B5A38"/>
    <w:rsid w:val="004B6213"/>
    <w:rsid w:val="004B62BE"/>
    <w:rsid w:val="004C0418"/>
    <w:rsid w:val="004C0588"/>
    <w:rsid w:val="004C35C3"/>
    <w:rsid w:val="004C56C4"/>
    <w:rsid w:val="004C64DF"/>
    <w:rsid w:val="004D021E"/>
    <w:rsid w:val="004D1108"/>
    <w:rsid w:val="004D12AE"/>
    <w:rsid w:val="004D2202"/>
    <w:rsid w:val="004D2FE0"/>
    <w:rsid w:val="004D6F0F"/>
    <w:rsid w:val="004D6F1F"/>
    <w:rsid w:val="004E1521"/>
    <w:rsid w:val="004E2DEA"/>
    <w:rsid w:val="004E420A"/>
    <w:rsid w:val="004E6117"/>
    <w:rsid w:val="004F1A74"/>
    <w:rsid w:val="004F39DB"/>
    <w:rsid w:val="004F3CEB"/>
    <w:rsid w:val="004F3E22"/>
    <w:rsid w:val="004F4C0F"/>
    <w:rsid w:val="004F785C"/>
    <w:rsid w:val="0050193D"/>
    <w:rsid w:val="00501AD2"/>
    <w:rsid w:val="00504976"/>
    <w:rsid w:val="00504B90"/>
    <w:rsid w:val="00507B55"/>
    <w:rsid w:val="0051074C"/>
    <w:rsid w:val="00512714"/>
    <w:rsid w:val="00513AF2"/>
    <w:rsid w:val="0051416A"/>
    <w:rsid w:val="00515D06"/>
    <w:rsid w:val="005175EF"/>
    <w:rsid w:val="00517832"/>
    <w:rsid w:val="0052101E"/>
    <w:rsid w:val="005223D7"/>
    <w:rsid w:val="0052300A"/>
    <w:rsid w:val="005253C0"/>
    <w:rsid w:val="00525C51"/>
    <w:rsid w:val="005323D8"/>
    <w:rsid w:val="005356EA"/>
    <w:rsid w:val="0053681E"/>
    <w:rsid w:val="0054229C"/>
    <w:rsid w:val="005427CF"/>
    <w:rsid w:val="00542E18"/>
    <w:rsid w:val="0054413A"/>
    <w:rsid w:val="005464B8"/>
    <w:rsid w:val="00546CA7"/>
    <w:rsid w:val="005476EA"/>
    <w:rsid w:val="00547B45"/>
    <w:rsid w:val="00550E05"/>
    <w:rsid w:val="00550FD8"/>
    <w:rsid w:val="00552CA9"/>
    <w:rsid w:val="00553EAD"/>
    <w:rsid w:val="005557D2"/>
    <w:rsid w:val="005564CA"/>
    <w:rsid w:val="00557C64"/>
    <w:rsid w:val="0056302E"/>
    <w:rsid w:val="005637B5"/>
    <w:rsid w:val="00565602"/>
    <w:rsid w:val="00566674"/>
    <w:rsid w:val="00571A87"/>
    <w:rsid w:val="00572EF9"/>
    <w:rsid w:val="005776D4"/>
    <w:rsid w:val="00585470"/>
    <w:rsid w:val="005909E4"/>
    <w:rsid w:val="00591967"/>
    <w:rsid w:val="00592233"/>
    <w:rsid w:val="00595345"/>
    <w:rsid w:val="00597A60"/>
    <w:rsid w:val="005A1080"/>
    <w:rsid w:val="005A3893"/>
    <w:rsid w:val="005A4AEC"/>
    <w:rsid w:val="005A7711"/>
    <w:rsid w:val="005B0CD4"/>
    <w:rsid w:val="005B11C6"/>
    <w:rsid w:val="005B57CE"/>
    <w:rsid w:val="005C00F5"/>
    <w:rsid w:val="005C275C"/>
    <w:rsid w:val="005C2C21"/>
    <w:rsid w:val="005C50CF"/>
    <w:rsid w:val="005C5501"/>
    <w:rsid w:val="005C7CDD"/>
    <w:rsid w:val="005D0519"/>
    <w:rsid w:val="005D1B45"/>
    <w:rsid w:val="005D25BD"/>
    <w:rsid w:val="005D3884"/>
    <w:rsid w:val="005D6483"/>
    <w:rsid w:val="005D69B0"/>
    <w:rsid w:val="005E3FDC"/>
    <w:rsid w:val="005E46CB"/>
    <w:rsid w:val="005E55D7"/>
    <w:rsid w:val="005E5807"/>
    <w:rsid w:val="005E5AD9"/>
    <w:rsid w:val="005F30FD"/>
    <w:rsid w:val="00600AC5"/>
    <w:rsid w:val="00604F33"/>
    <w:rsid w:val="00606730"/>
    <w:rsid w:val="006072DA"/>
    <w:rsid w:val="00615A40"/>
    <w:rsid w:val="00616606"/>
    <w:rsid w:val="00616816"/>
    <w:rsid w:val="0062065E"/>
    <w:rsid w:val="00621149"/>
    <w:rsid w:val="0062127A"/>
    <w:rsid w:val="00621E35"/>
    <w:rsid w:val="0062303B"/>
    <w:rsid w:val="00623ED3"/>
    <w:rsid w:val="00626DF9"/>
    <w:rsid w:val="006344C2"/>
    <w:rsid w:val="00636072"/>
    <w:rsid w:val="006406FA"/>
    <w:rsid w:val="00642B0D"/>
    <w:rsid w:val="00644299"/>
    <w:rsid w:val="00645D51"/>
    <w:rsid w:val="006535D1"/>
    <w:rsid w:val="00654AA6"/>
    <w:rsid w:val="00655371"/>
    <w:rsid w:val="00656629"/>
    <w:rsid w:val="00662912"/>
    <w:rsid w:val="00662A05"/>
    <w:rsid w:val="00670305"/>
    <w:rsid w:val="006735A6"/>
    <w:rsid w:val="006754C6"/>
    <w:rsid w:val="00676EE8"/>
    <w:rsid w:val="00682791"/>
    <w:rsid w:val="00685F97"/>
    <w:rsid w:val="00687EC0"/>
    <w:rsid w:val="006903D4"/>
    <w:rsid w:val="00690936"/>
    <w:rsid w:val="00697665"/>
    <w:rsid w:val="006A276F"/>
    <w:rsid w:val="006A6264"/>
    <w:rsid w:val="006A7FD0"/>
    <w:rsid w:val="006B0278"/>
    <w:rsid w:val="006B2C11"/>
    <w:rsid w:val="006B3A0D"/>
    <w:rsid w:val="006B6ED7"/>
    <w:rsid w:val="006C0BAA"/>
    <w:rsid w:val="006C1231"/>
    <w:rsid w:val="006C68E6"/>
    <w:rsid w:val="006D0509"/>
    <w:rsid w:val="006D0AAC"/>
    <w:rsid w:val="006D0EBC"/>
    <w:rsid w:val="006D15DB"/>
    <w:rsid w:val="006D1878"/>
    <w:rsid w:val="006D32A2"/>
    <w:rsid w:val="006D3E6D"/>
    <w:rsid w:val="006D7687"/>
    <w:rsid w:val="006D79C0"/>
    <w:rsid w:val="006D7AF0"/>
    <w:rsid w:val="006E0464"/>
    <w:rsid w:val="006E0572"/>
    <w:rsid w:val="006E09EE"/>
    <w:rsid w:val="006E16BD"/>
    <w:rsid w:val="006E4323"/>
    <w:rsid w:val="006E54A1"/>
    <w:rsid w:val="00700D9E"/>
    <w:rsid w:val="00704381"/>
    <w:rsid w:val="00705631"/>
    <w:rsid w:val="00705DF2"/>
    <w:rsid w:val="00716D13"/>
    <w:rsid w:val="0071707F"/>
    <w:rsid w:val="00721FAC"/>
    <w:rsid w:val="00723CA6"/>
    <w:rsid w:val="00727C3C"/>
    <w:rsid w:val="00731B62"/>
    <w:rsid w:val="007329CB"/>
    <w:rsid w:val="007335B3"/>
    <w:rsid w:val="00734B73"/>
    <w:rsid w:val="00735EB6"/>
    <w:rsid w:val="00737DB6"/>
    <w:rsid w:val="007424A8"/>
    <w:rsid w:val="00742DD2"/>
    <w:rsid w:val="0074386C"/>
    <w:rsid w:val="00743D5C"/>
    <w:rsid w:val="00744529"/>
    <w:rsid w:val="007452CF"/>
    <w:rsid w:val="0075010E"/>
    <w:rsid w:val="007502C9"/>
    <w:rsid w:val="00751379"/>
    <w:rsid w:val="00754451"/>
    <w:rsid w:val="0075647A"/>
    <w:rsid w:val="00756B38"/>
    <w:rsid w:val="007572F3"/>
    <w:rsid w:val="007575ED"/>
    <w:rsid w:val="007609E9"/>
    <w:rsid w:val="007618B2"/>
    <w:rsid w:val="00762D36"/>
    <w:rsid w:val="00763166"/>
    <w:rsid w:val="007634AD"/>
    <w:rsid w:val="00764F47"/>
    <w:rsid w:val="00767933"/>
    <w:rsid w:val="00771390"/>
    <w:rsid w:val="007810C3"/>
    <w:rsid w:val="0078122E"/>
    <w:rsid w:val="00781AA8"/>
    <w:rsid w:val="00782776"/>
    <w:rsid w:val="00783406"/>
    <w:rsid w:val="0078365A"/>
    <w:rsid w:val="0078391E"/>
    <w:rsid w:val="00790299"/>
    <w:rsid w:val="0079134A"/>
    <w:rsid w:val="00795113"/>
    <w:rsid w:val="007A13BD"/>
    <w:rsid w:val="007A19A7"/>
    <w:rsid w:val="007A4177"/>
    <w:rsid w:val="007A530A"/>
    <w:rsid w:val="007A645F"/>
    <w:rsid w:val="007A6A34"/>
    <w:rsid w:val="007A6C59"/>
    <w:rsid w:val="007B0854"/>
    <w:rsid w:val="007B4F00"/>
    <w:rsid w:val="007B7F7B"/>
    <w:rsid w:val="007D2317"/>
    <w:rsid w:val="007D3323"/>
    <w:rsid w:val="007D7DE9"/>
    <w:rsid w:val="007E193F"/>
    <w:rsid w:val="007E24A0"/>
    <w:rsid w:val="007E331A"/>
    <w:rsid w:val="007E69B9"/>
    <w:rsid w:val="007E6D71"/>
    <w:rsid w:val="007E7112"/>
    <w:rsid w:val="007F1566"/>
    <w:rsid w:val="007F1C74"/>
    <w:rsid w:val="007F2AC3"/>
    <w:rsid w:val="007F3363"/>
    <w:rsid w:val="007F4F05"/>
    <w:rsid w:val="007F5937"/>
    <w:rsid w:val="007F7255"/>
    <w:rsid w:val="007F72CB"/>
    <w:rsid w:val="00801778"/>
    <w:rsid w:val="00801F73"/>
    <w:rsid w:val="00802FF0"/>
    <w:rsid w:val="00804787"/>
    <w:rsid w:val="008065A8"/>
    <w:rsid w:val="00806F37"/>
    <w:rsid w:val="0080777F"/>
    <w:rsid w:val="00810875"/>
    <w:rsid w:val="00811EDD"/>
    <w:rsid w:val="0081608B"/>
    <w:rsid w:val="00816B40"/>
    <w:rsid w:val="00817846"/>
    <w:rsid w:val="00821442"/>
    <w:rsid w:val="008229F3"/>
    <w:rsid w:val="00824A6D"/>
    <w:rsid w:val="00830498"/>
    <w:rsid w:val="0083076E"/>
    <w:rsid w:val="0083119B"/>
    <w:rsid w:val="00831B85"/>
    <w:rsid w:val="00834FAA"/>
    <w:rsid w:val="00835C7D"/>
    <w:rsid w:val="00836750"/>
    <w:rsid w:val="008369AB"/>
    <w:rsid w:val="00836EAB"/>
    <w:rsid w:val="00837C23"/>
    <w:rsid w:val="008431E7"/>
    <w:rsid w:val="00844741"/>
    <w:rsid w:val="0084692D"/>
    <w:rsid w:val="0085092D"/>
    <w:rsid w:val="008539C2"/>
    <w:rsid w:val="00854B8E"/>
    <w:rsid w:val="00857842"/>
    <w:rsid w:val="008615FD"/>
    <w:rsid w:val="00862405"/>
    <w:rsid w:val="00863745"/>
    <w:rsid w:val="008662E2"/>
    <w:rsid w:val="00866AEB"/>
    <w:rsid w:val="00871A33"/>
    <w:rsid w:val="00872EA1"/>
    <w:rsid w:val="00872F45"/>
    <w:rsid w:val="00874B3D"/>
    <w:rsid w:val="00875E88"/>
    <w:rsid w:val="008820CC"/>
    <w:rsid w:val="00884F75"/>
    <w:rsid w:val="008865C0"/>
    <w:rsid w:val="0088776A"/>
    <w:rsid w:val="008903AE"/>
    <w:rsid w:val="00893375"/>
    <w:rsid w:val="008941DC"/>
    <w:rsid w:val="0089436F"/>
    <w:rsid w:val="00894712"/>
    <w:rsid w:val="00896CE7"/>
    <w:rsid w:val="00896EE0"/>
    <w:rsid w:val="008A0886"/>
    <w:rsid w:val="008A29B2"/>
    <w:rsid w:val="008A56B5"/>
    <w:rsid w:val="008A7BB3"/>
    <w:rsid w:val="008B1764"/>
    <w:rsid w:val="008B77C8"/>
    <w:rsid w:val="008B79E0"/>
    <w:rsid w:val="008C2A2A"/>
    <w:rsid w:val="008C449B"/>
    <w:rsid w:val="008C5FE5"/>
    <w:rsid w:val="008C7D98"/>
    <w:rsid w:val="008D4399"/>
    <w:rsid w:val="008D7064"/>
    <w:rsid w:val="008E103D"/>
    <w:rsid w:val="008E121D"/>
    <w:rsid w:val="008E1608"/>
    <w:rsid w:val="008E1C15"/>
    <w:rsid w:val="008E3555"/>
    <w:rsid w:val="008F53F4"/>
    <w:rsid w:val="00901339"/>
    <w:rsid w:val="0090171E"/>
    <w:rsid w:val="00902872"/>
    <w:rsid w:val="009047C5"/>
    <w:rsid w:val="00905611"/>
    <w:rsid w:val="009101AA"/>
    <w:rsid w:val="00911388"/>
    <w:rsid w:val="00911BF7"/>
    <w:rsid w:val="0091275E"/>
    <w:rsid w:val="00913B77"/>
    <w:rsid w:val="0091628B"/>
    <w:rsid w:val="00916DB5"/>
    <w:rsid w:val="00921955"/>
    <w:rsid w:val="009242C9"/>
    <w:rsid w:val="00932ABE"/>
    <w:rsid w:val="009334F4"/>
    <w:rsid w:val="009346BD"/>
    <w:rsid w:val="009372BC"/>
    <w:rsid w:val="00941B45"/>
    <w:rsid w:val="00941BB1"/>
    <w:rsid w:val="00942A72"/>
    <w:rsid w:val="009466D8"/>
    <w:rsid w:val="009470B8"/>
    <w:rsid w:val="00947945"/>
    <w:rsid w:val="00951524"/>
    <w:rsid w:val="0095385A"/>
    <w:rsid w:val="00954AC6"/>
    <w:rsid w:val="00957AEE"/>
    <w:rsid w:val="009604E6"/>
    <w:rsid w:val="00965006"/>
    <w:rsid w:val="00966595"/>
    <w:rsid w:val="00971321"/>
    <w:rsid w:val="00971731"/>
    <w:rsid w:val="00971EB9"/>
    <w:rsid w:val="00975427"/>
    <w:rsid w:val="009769F6"/>
    <w:rsid w:val="009777DA"/>
    <w:rsid w:val="00977F41"/>
    <w:rsid w:val="0098075D"/>
    <w:rsid w:val="00981254"/>
    <w:rsid w:val="009829F6"/>
    <w:rsid w:val="009859D4"/>
    <w:rsid w:val="0098629E"/>
    <w:rsid w:val="00990E91"/>
    <w:rsid w:val="00997F8E"/>
    <w:rsid w:val="009A143B"/>
    <w:rsid w:val="009A15F9"/>
    <w:rsid w:val="009A7EAF"/>
    <w:rsid w:val="009B2E85"/>
    <w:rsid w:val="009B3E7E"/>
    <w:rsid w:val="009B42A9"/>
    <w:rsid w:val="009C0366"/>
    <w:rsid w:val="009C06FF"/>
    <w:rsid w:val="009C2258"/>
    <w:rsid w:val="009C50D0"/>
    <w:rsid w:val="009C50DA"/>
    <w:rsid w:val="009C56E5"/>
    <w:rsid w:val="009C7EE6"/>
    <w:rsid w:val="009E6E50"/>
    <w:rsid w:val="009E7E38"/>
    <w:rsid w:val="009F12D8"/>
    <w:rsid w:val="009F5897"/>
    <w:rsid w:val="009F5CA5"/>
    <w:rsid w:val="00A00EF4"/>
    <w:rsid w:val="00A06772"/>
    <w:rsid w:val="00A06D06"/>
    <w:rsid w:val="00A074BF"/>
    <w:rsid w:val="00A0798E"/>
    <w:rsid w:val="00A12E39"/>
    <w:rsid w:val="00A1500F"/>
    <w:rsid w:val="00A17103"/>
    <w:rsid w:val="00A21B46"/>
    <w:rsid w:val="00A23EDF"/>
    <w:rsid w:val="00A241AD"/>
    <w:rsid w:val="00A24322"/>
    <w:rsid w:val="00A24560"/>
    <w:rsid w:val="00A24FCF"/>
    <w:rsid w:val="00A27285"/>
    <w:rsid w:val="00A31BC6"/>
    <w:rsid w:val="00A322BD"/>
    <w:rsid w:val="00A34538"/>
    <w:rsid w:val="00A34E01"/>
    <w:rsid w:val="00A37819"/>
    <w:rsid w:val="00A40106"/>
    <w:rsid w:val="00A44694"/>
    <w:rsid w:val="00A45F5D"/>
    <w:rsid w:val="00A50EA1"/>
    <w:rsid w:val="00A52350"/>
    <w:rsid w:val="00A54843"/>
    <w:rsid w:val="00A54EEF"/>
    <w:rsid w:val="00A54FA1"/>
    <w:rsid w:val="00A562DC"/>
    <w:rsid w:val="00A5668B"/>
    <w:rsid w:val="00A60725"/>
    <w:rsid w:val="00A60A14"/>
    <w:rsid w:val="00A620C8"/>
    <w:rsid w:val="00A64ADC"/>
    <w:rsid w:val="00A67F5B"/>
    <w:rsid w:val="00A713F4"/>
    <w:rsid w:val="00A737CD"/>
    <w:rsid w:val="00A8084F"/>
    <w:rsid w:val="00A8663D"/>
    <w:rsid w:val="00A90023"/>
    <w:rsid w:val="00A9195E"/>
    <w:rsid w:val="00A95A3C"/>
    <w:rsid w:val="00A95E66"/>
    <w:rsid w:val="00AA442B"/>
    <w:rsid w:val="00AA5F18"/>
    <w:rsid w:val="00AA6D04"/>
    <w:rsid w:val="00AA707B"/>
    <w:rsid w:val="00AB177F"/>
    <w:rsid w:val="00AB31E7"/>
    <w:rsid w:val="00AB3864"/>
    <w:rsid w:val="00AB7B09"/>
    <w:rsid w:val="00AD0183"/>
    <w:rsid w:val="00AD0EDA"/>
    <w:rsid w:val="00AD2CF1"/>
    <w:rsid w:val="00AE3C7C"/>
    <w:rsid w:val="00AE3FCE"/>
    <w:rsid w:val="00AF16AE"/>
    <w:rsid w:val="00AF1718"/>
    <w:rsid w:val="00AF2440"/>
    <w:rsid w:val="00AF798A"/>
    <w:rsid w:val="00B004FA"/>
    <w:rsid w:val="00B04EDB"/>
    <w:rsid w:val="00B06BC4"/>
    <w:rsid w:val="00B070DE"/>
    <w:rsid w:val="00B10833"/>
    <w:rsid w:val="00B11CB1"/>
    <w:rsid w:val="00B159A0"/>
    <w:rsid w:val="00B164D3"/>
    <w:rsid w:val="00B2165B"/>
    <w:rsid w:val="00B22E22"/>
    <w:rsid w:val="00B26B8B"/>
    <w:rsid w:val="00B30FAD"/>
    <w:rsid w:val="00B333CE"/>
    <w:rsid w:val="00B33532"/>
    <w:rsid w:val="00B36C98"/>
    <w:rsid w:val="00B4092C"/>
    <w:rsid w:val="00B4167A"/>
    <w:rsid w:val="00B41E72"/>
    <w:rsid w:val="00B44CCE"/>
    <w:rsid w:val="00B51BDE"/>
    <w:rsid w:val="00B525CB"/>
    <w:rsid w:val="00B53375"/>
    <w:rsid w:val="00B53388"/>
    <w:rsid w:val="00B55F17"/>
    <w:rsid w:val="00B56418"/>
    <w:rsid w:val="00B61BDD"/>
    <w:rsid w:val="00B61FD8"/>
    <w:rsid w:val="00B62725"/>
    <w:rsid w:val="00B6341B"/>
    <w:rsid w:val="00B63CB2"/>
    <w:rsid w:val="00B65ABA"/>
    <w:rsid w:val="00B74072"/>
    <w:rsid w:val="00B7441C"/>
    <w:rsid w:val="00B77832"/>
    <w:rsid w:val="00B82102"/>
    <w:rsid w:val="00B84ADD"/>
    <w:rsid w:val="00B851DC"/>
    <w:rsid w:val="00B8708F"/>
    <w:rsid w:val="00B93513"/>
    <w:rsid w:val="00B97B27"/>
    <w:rsid w:val="00BA62F5"/>
    <w:rsid w:val="00BA6F2A"/>
    <w:rsid w:val="00BA71CD"/>
    <w:rsid w:val="00BA753C"/>
    <w:rsid w:val="00BB2C01"/>
    <w:rsid w:val="00BC1B41"/>
    <w:rsid w:val="00BD01F5"/>
    <w:rsid w:val="00BD0D6C"/>
    <w:rsid w:val="00BD1EF0"/>
    <w:rsid w:val="00BD2C44"/>
    <w:rsid w:val="00BD422F"/>
    <w:rsid w:val="00BD5D8F"/>
    <w:rsid w:val="00BD78FE"/>
    <w:rsid w:val="00BD7D0D"/>
    <w:rsid w:val="00BE0EDB"/>
    <w:rsid w:val="00BE3196"/>
    <w:rsid w:val="00BE51E8"/>
    <w:rsid w:val="00BF00A3"/>
    <w:rsid w:val="00BF0199"/>
    <w:rsid w:val="00BF1906"/>
    <w:rsid w:val="00BF46F6"/>
    <w:rsid w:val="00BF624E"/>
    <w:rsid w:val="00BF75FB"/>
    <w:rsid w:val="00C02452"/>
    <w:rsid w:val="00C029BB"/>
    <w:rsid w:val="00C03DC6"/>
    <w:rsid w:val="00C07C55"/>
    <w:rsid w:val="00C07C76"/>
    <w:rsid w:val="00C1017B"/>
    <w:rsid w:val="00C13430"/>
    <w:rsid w:val="00C14C9E"/>
    <w:rsid w:val="00C15E76"/>
    <w:rsid w:val="00C17832"/>
    <w:rsid w:val="00C17D54"/>
    <w:rsid w:val="00C2001D"/>
    <w:rsid w:val="00C2098C"/>
    <w:rsid w:val="00C224B7"/>
    <w:rsid w:val="00C22B69"/>
    <w:rsid w:val="00C30E82"/>
    <w:rsid w:val="00C343AD"/>
    <w:rsid w:val="00C34B22"/>
    <w:rsid w:val="00C35B97"/>
    <w:rsid w:val="00C35F7C"/>
    <w:rsid w:val="00C371A6"/>
    <w:rsid w:val="00C41BF5"/>
    <w:rsid w:val="00C5124A"/>
    <w:rsid w:val="00C5128E"/>
    <w:rsid w:val="00C523AA"/>
    <w:rsid w:val="00C528E6"/>
    <w:rsid w:val="00C57BD0"/>
    <w:rsid w:val="00C6416A"/>
    <w:rsid w:val="00C65DCF"/>
    <w:rsid w:val="00C6710B"/>
    <w:rsid w:val="00C67FE4"/>
    <w:rsid w:val="00C7160E"/>
    <w:rsid w:val="00C716D9"/>
    <w:rsid w:val="00C762CE"/>
    <w:rsid w:val="00C77217"/>
    <w:rsid w:val="00C87E82"/>
    <w:rsid w:val="00C913C9"/>
    <w:rsid w:val="00C914CD"/>
    <w:rsid w:val="00C93A8A"/>
    <w:rsid w:val="00C93EB1"/>
    <w:rsid w:val="00C968EC"/>
    <w:rsid w:val="00C97093"/>
    <w:rsid w:val="00CA3F2F"/>
    <w:rsid w:val="00CA6816"/>
    <w:rsid w:val="00CA7FEF"/>
    <w:rsid w:val="00CB0D59"/>
    <w:rsid w:val="00CB1517"/>
    <w:rsid w:val="00CB345A"/>
    <w:rsid w:val="00CB57C2"/>
    <w:rsid w:val="00CC00CD"/>
    <w:rsid w:val="00CC1660"/>
    <w:rsid w:val="00CC3E1F"/>
    <w:rsid w:val="00CC7BB6"/>
    <w:rsid w:val="00CC7FF4"/>
    <w:rsid w:val="00CD3ACB"/>
    <w:rsid w:val="00CD3E9B"/>
    <w:rsid w:val="00CD50E3"/>
    <w:rsid w:val="00CD5C88"/>
    <w:rsid w:val="00CE14B9"/>
    <w:rsid w:val="00CE1F6E"/>
    <w:rsid w:val="00CE20F7"/>
    <w:rsid w:val="00CE3521"/>
    <w:rsid w:val="00CE352A"/>
    <w:rsid w:val="00CE3C69"/>
    <w:rsid w:val="00CE50DB"/>
    <w:rsid w:val="00CE552F"/>
    <w:rsid w:val="00CE675D"/>
    <w:rsid w:val="00CF10C1"/>
    <w:rsid w:val="00CF2489"/>
    <w:rsid w:val="00CF2BDE"/>
    <w:rsid w:val="00CF2E86"/>
    <w:rsid w:val="00CF3E83"/>
    <w:rsid w:val="00CF415E"/>
    <w:rsid w:val="00CF63F0"/>
    <w:rsid w:val="00D014EC"/>
    <w:rsid w:val="00D0638D"/>
    <w:rsid w:val="00D10740"/>
    <w:rsid w:val="00D10E69"/>
    <w:rsid w:val="00D117C5"/>
    <w:rsid w:val="00D1627F"/>
    <w:rsid w:val="00D16E39"/>
    <w:rsid w:val="00D17FDB"/>
    <w:rsid w:val="00D2531F"/>
    <w:rsid w:val="00D25BEF"/>
    <w:rsid w:val="00D25C34"/>
    <w:rsid w:val="00D273D2"/>
    <w:rsid w:val="00D309A0"/>
    <w:rsid w:val="00D35139"/>
    <w:rsid w:val="00D41357"/>
    <w:rsid w:val="00D433FD"/>
    <w:rsid w:val="00D43F63"/>
    <w:rsid w:val="00D44475"/>
    <w:rsid w:val="00D50024"/>
    <w:rsid w:val="00D51773"/>
    <w:rsid w:val="00D52F10"/>
    <w:rsid w:val="00D5523A"/>
    <w:rsid w:val="00D5689F"/>
    <w:rsid w:val="00D63382"/>
    <w:rsid w:val="00D72E9D"/>
    <w:rsid w:val="00D73D97"/>
    <w:rsid w:val="00D74CDA"/>
    <w:rsid w:val="00D77683"/>
    <w:rsid w:val="00D802C1"/>
    <w:rsid w:val="00D81283"/>
    <w:rsid w:val="00D8168B"/>
    <w:rsid w:val="00D81907"/>
    <w:rsid w:val="00D829BF"/>
    <w:rsid w:val="00D82CE5"/>
    <w:rsid w:val="00D84EE3"/>
    <w:rsid w:val="00D86BA5"/>
    <w:rsid w:val="00D8754C"/>
    <w:rsid w:val="00D92666"/>
    <w:rsid w:val="00D96F1F"/>
    <w:rsid w:val="00DA3351"/>
    <w:rsid w:val="00DA4E96"/>
    <w:rsid w:val="00DA5AB1"/>
    <w:rsid w:val="00DA740E"/>
    <w:rsid w:val="00DB36AB"/>
    <w:rsid w:val="00DB3F93"/>
    <w:rsid w:val="00DB614C"/>
    <w:rsid w:val="00DC0452"/>
    <w:rsid w:val="00DC3A59"/>
    <w:rsid w:val="00DC40D7"/>
    <w:rsid w:val="00DC4F38"/>
    <w:rsid w:val="00DC5121"/>
    <w:rsid w:val="00DC62E5"/>
    <w:rsid w:val="00DD07F7"/>
    <w:rsid w:val="00DD1B27"/>
    <w:rsid w:val="00DD20BA"/>
    <w:rsid w:val="00DD30CE"/>
    <w:rsid w:val="00DD35B4"/>
    <w:rsid w:val="00DD6809"/>
    <w:rsid w:val="00DD735D"/>
    <w:rsid w:val="00DE3119"/>
    <w:rsid w:val="00DE5CB9"/>
    <w:rsid w:val="00DE67E3"/>
    <w:rsid w:val="00DF02DC"/>
    <w:rsid w:val="00DF0452"/>
    <w:rsid w:val="00DF0F8E"/>
    <w:rsid w:val="00DF1A17"/>
    <w:rsid w:val="00DF236B"/>
    <w:rsid w:val="00DF248A"/>
    <w:rsid w:val="00DF2D13"/>
    <w:rsid w:val="00E0464F"/>
    <w:rsid w:val="00E05FFA"/>
    <w:rsid w:val="00E126FC"/>
    <w:rsid w:val="00E13AB8"/>
    <w:rsid w:val="00E13F01"/>
    <w:rsid w:val="00E144B9"/>
    <w:rsid w:val="00E16729"/>
    <w:rsid w:val="00E22A8C"/>
    <w:rsid w:val="00E24B98"/>
    <w:rsid w:val="00E27C85"/>
    <w:rsid w:val="00E31B50"/>
    <w:rsid w:val="00E33B62"/>
    <w:rsid w:val="00E349DA"/>
    <w:rsid w:val="00E357DC"/>
    <w:rsid w:val="00E429C9"/>
    <w:rsid w:val="00E44E00"/>
    <w:rsid w:val="00E450D2"/>
    <w:rsid w:val="00E4609B"/>
    <w:rsid w:val="00E51CD0"/>
    <w:rsid w:val="00E522C5"/>
    <w:rsid w:val="00E53964"/>
    <w:rsid w:val="00E5678C"/>
    <w:rsid w:val="00E57323"/>
    <w:rsid w:val="00E57B05"/>
    <w:rsid w:val="00E602F2"/>
    <w:rsid w:val="00E6305F"/>
    <w:rsid w:val="00E63AED"/>
    <w:rsid w:val="00E65F49"/>
    <w:rsid w:val="00E6610F"/>
    <w:rsid w:val="00E664D3"/>
    <w:rsid w:val="00E67ED7"/>
    <w:rsid w:val="00E70041"/>
    <w:rsid w:val="00E71381"/>
    <w:rsid w:val="00E7138C"/>
    <w:rsid w:val="00E7285F"/>
    <w:rsid w:val="00E7595D"/>
    <w:rsid w:val="00E80C82"/>
    <w:rsid w:val="00E81C60"/>
    <w:rsid w:val="00E90F4B"/>
    <w:rsid w:val="00E91076"/>
    <w:rsid w:val="00E92687"/>
    <w:rsid w:val="00E93373"/>
    <w:rsid w:val="00E95FA6"/>
    <w:rsid w:val="00EA116C"/>
    <w:rsid w:val="00EA4E7D"/>
    <w:rsid w:val="00EA76D7"/>
    <w:rsid w:val="00EB43B7"/>
    <w:rsid w:val="00ED07D3"/>
    <w:rsid w:val="00ED119D"/>
    <w:rsid w:val="00ED7FE6"/>
    <w:rsid w:val="00EE0960"/>
    <w:rsid w:val="00EE4614"/>
    <w:rsid w:val="00EE6C4B"/>
    <w:rsid w:val="00EF7D7B"/>
    <w:rsid w:val="00EF7DB4"/>
    <w:rsid w:val="00F00238"/>
    <w:rsid w:val="00F00C2B"/>
    <w:rsid w:val="00F01AC9"/>
    <w:rsid w:val="00F01D75"/>
    <w:rsid w:val="00F02E53"/>
    <w:rsid w:val="00F03745"/>
    <w:rsid w:val="00F04218"/>
    <w:rsid w:val="00F05293"/>
    <w:rsid w:val="00F05E4F"/>
    <w:rsid w:val="00F13A3B"/>
    <w:rsid w:val="00F13CF8"/>
    <w:rsid w:val="00F14698"/>
    <w:rsid w:val="00F22044"/>
    <w:rsid w:val="00F309C5"/>
    <w:rsid w:val="00F368C7"/>
    <w:rsid w:val="00F36A58"/>
    <w:rsid w:val="00F402FF"/>
    <w:rsid w:val="00F40642"/>
    <w:rsid w:val="00F4285A"/>
    <w:rsid w:val="00F444A4"/>
    <w:rsid w:val="00F45FE4"/>
    <w:rsid w:val="00F502BE"/>
    <w:rsid w:val="00F56B4F"/>
    <w:rsid w:val="00F57426"/>
    <w:rsid w:val="00F617C8"/>
    <w:rsid w:val="00F6291B"/>
    <w:rsid w:val="00F63E8C"/>
    <w:rsid w:val="00F64252"/>
    <w:rsid w:val="00F70C89"/>
    <w:rsid w:val="00F71C55"/>
    <w:rsid w:val="00F7402A"/>
    <w:rsid w:val="00F74D1D"/>
    <w:rsid w:val="00F75297"/>
    <w:rsid w:val="00F76153"/>
    <w:rsid w:val="00F77524"/>
    <w:rsid w:val="00F77C1E"/>
    <w:rsid w:val="00F8291A"/>
    <w:rsid w:val="00F82CE2"/>
    <w:rsid w:val="00F83681"/>
    <w:rsid w:val="00F8436F"/>
    <w:rsid w:val="00F84899"/>
    <w:rsid w:val="00F859F0"/>
    <w:rsid w:val="00F9042E"/>
    <w:rsid w:val="00F9050C"/>
    <w:rsid w:val="00F974BA"/>
    <w:rsid w:val="00FA0C11"/>
    <w:rsid w:val="00FA6660"/>
    <w:rsid w:val="00FA7689"/>
    <w:rsid w:val="00FA7D4C"/>
    <w:rsid w:val="00FB0241"/>
    <w:rsid w:val="00FB289E"/>
    <w:rsid w:val="00FB31BF"/>
    <w:rsid w:val="00FB43B0"/>
    <w:rsid w:val="00FB46F8"/>
    <w:rsid w:val="00FB7CB1"/>
    <w:rsid w:val="00FC180A"/>
    <w:rsid w:val="00FC2428"/>
    <w:rsid w:val="00FC3B59"/>
    <w:rsid w:val="00FC4AF4"/>
    <w:rsid w:val="00FC7FEB"/>
    <w:rsid w:val="00FD1529"/>
    <w:rsid w:val="00FD5826"/>
    <w:rsid w:val="00FE141E"/>
    <w:rsid w:val="00FE3005"/>
    <w:rsid w:val="00FF4936"/>
    <w:rsid w:val="00FF4BB8"/>
    <w:rsid w:val="00FF51FE"/>
    <w:rsid w:val="00FF56CB"/>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67E01CDB-6BB0-4330-9BF4-507FDC7E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character" w:styleId="Mencinsinresolver">
    <w:name w:val="Unresolved Mention"/>
    <w:basedOn w:val="Fuentedeprrafopredeter"/>
    <w:uiPriority w:val="99"/>
    <w:semiHidden/>
    <w:unhideWhenUsed/>
    <w:rsid w:val="00E5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actualicese.com/concepto-2013010362-001-de-18-03-2013/"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695679B1-8EAB-4D73-8F8B-8C9276D0A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AFF41-277C-4F52-B89F-5D2490F9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21</Pages>
  <Words>7906</Words>
  <Characters>43486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3</cp:revision>
  <dcterms:created xsi:type="dcterms:W3CDTF">2022-06-21T18:33:00Z</dcterms:created>
  <dcterms:modified xsi:type="dcterms:W3CDTF">2022-06-21T18:48:00Z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