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E577" w14:textId="711EDC1B" w:rsidR="000C0444" w:rsidRDefault="002411DE" w:rsidP="000277A2">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103947551"/>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3" w:name="_Hlk50481752"/>
      <w:bookmarkEnd w:id="0"/>
      <w:bookmarkEnd w:id="1"/>
    </w:p>
    <w:p w14:paraId="47EEE62E" w14:textId="77777777" w:rsidR="000277A2" w:rsidRPr="000277A2" w:rsidRDefault="000277A2" w:rsidP="000277A2">
      <w:pPr>
        <w:jc w:val="right"/>
        <w:rPr>
          <w:rFonts w:ascii="Arial" w:eastAsia="Calibri" w:hAnsi="Arial" w:cs="Arial"/>
          <w:b/>
          <w:color w:val="000000" w:themeColor="text1"/>
          <w:sz w:val="20"/>
          <w:szCs w:val="20"/>
          <w:lang w:val="es-ES_tradnl"/>
        </w:rPr>
      </w:pPr>
    </w:p>
    <w:bookmarkEnd w:id="3"/>
    <w:p w14:paraId="4D94176F" w14:textId="77777777" w:rsidR="0011452E" w:rsidRPr="00E858D2" w:rsidRDefault="0011452E" w:rsidP="0011452E">
      <w:pPr>
        <w:jc w:val="both"/>
        <w:rPr>
          <w:rFonts w:ascii="Arial" w:eastAsia="Calibri" w:hAnsi="Arial" w:cs="Arial"/>
          <w:b/>
          <w:sz w:val="22"/>
          <w:lang w:val="es-ES_tradnl"/>
        </w:rPr>
      </w:pPr>
    </w:p>
    <w:p w14:paraId="4553C974" w14:textId="77777777" w:rsidR="0011452E" w:rsidRPr="00E858D2" w:rsidRDefault="0011452E" w:rsidP="0011452E">
      <w:pPr>
        <w:jc w:val="both"/>
        <w:rPr>
          <w:rFonts w:ascii="Arial" w:eastAsia="Calibri" w:hAnsi="Arial" w:cs="Arial"/>
          <w:b/>
          <w:sz w:val="22"/>
          <w:lang w:val="es-ES_tradnl"/>
        </w:rPr>
      </w:pPr>
      <w:r w:rsidRPr="00E858D2">
        <w:rPr>
          <w:rFonts w:ascii="Arial" w:eastAsia="Calibri" w:hAnsi="Arial" w:cs="Arial"/>
          <w:b/>
          <w:sz w:val="22"/>
          <w:lang w:val="es-ES_tradnl"/>
        </w:rPr>
        <w:t>DOCUMENTOS TIPO – Fundamento normativo – Ley 2022 de 2020</w:t>
      </w:r>
    </w:p>
    <w:p w14:paraId="3A642F99" w14:textId="77777777" w:rsidR="0011452E" w:rsidRPr="00E858D2" w:rsidRDefault="0011452E" w:rsidP="0011452E">
      <w:pPr>
        <w:jc w:val="both"/>
        <w:rPr>
          <w:rFonts w:ascii="Arial" w:eastAsia="Calibri" w:hAnsi="Arial" w:cs="Arial"/>
          <w:b/>
          <w:sz w:val="22"/>
          <w:lang w:val="es-ES_tradnl"/>
        </w:rPr>
      </w:pPr>
    </w:p>
    <w:p w14:paraId="3082CCDC" w14:textId="5F06D4BB" w:rsidR="0011452E" w:rsidRPr="008A042B" w:rsidRDefault="008A042B" w:rsidP="0011452E">
      <w:pPr>
        <w:jc w:val="both"/>
        <w:rPr>
          <w:rFonts w:ascii="Arial" w:eastAsia="Calibri" w:hAnsi="Arial" w:cs="Arial"/>
          <w:sz w:val="20"/>
          <w:szCs w:val="20"/>
        </w:rPr>
      </w:pPr>
      <w:r>
        <w:rPr>
          <w:rFonts w:ascii="Arial" w:eastAsia="Calibri" w:hAnsi="Arial" w:cs="Arial"/>
          <w:sz w:val="20"/>
          <w:szCs w:val="20"/>
          <w:lang w:val="es-ES_tradnl"/>
        </w:rPr>
        <w:t xml:space="preserve">Con posterioridad </w:t>
      </w:r>
      <w:r w:rsidR="0011452E" w:rsidRPr="00E858D2">
        <w:rPr>
          <w:rFonts w:ascii="Arial" w:eastAsia="Calibri" w:hAnsi="Arial" w:cs="Arial"/>
          <w:sz w:val="20"/>
          <w:szCs w:val="20"/>
          <w:lang w:val="es-ES_tradnl"/>
        </w:rPr>
        <w:t xml:space="preserve">[…] </w:t>
      </w:r>
      <w:r w:rsidR="006D70E8" w:rsidRPr="006D70E8">
        <w:rPr>
          <w:rFonts w:ascii="Arial" w:eastAsia="Calibri" w:hAnsi="Arial" w:cs="Arial"/>
          <w:sz w:val="20"/>
          <w:szCs w:val="20"/>
        </w:rPr>
        <w:t xml:space="preserve">se expidió la Ley 2022 de 2020, norma que modificó el parágrafo 7 del artículo 2 de la Ley 1150 de 2007, que había sido adicionado por la Ley 1882 de 2018. Con esta modificación, si bien se mantuvo el mandato de aplicación obligatoria de los documentos tipo por parte de las entidades sometidas al Estatuto General de Contratación de la Administración Pública, se atribuyó, específicamente, a la Agencia Nacional de Contratación Pública – Colombia Compra Eficiente la competencia para su adopción. 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r w:rsidR="0011452E" w:rsidRPr="00E858D2">
        <w:rPr>
          <w:rFonts w:ascii="Arial" w:eastAsia="Calibri" w:hAnsi="Arial" w:cs="Arial"/>
          <w:sz w:val="20"/>
          <w:szCs w:val="20"/>
          <w:lang w:val="es-ES_tradnl"/>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0011452E" w:rsidRPr="00E858D2">
        <w:rPr>
          <w:rFonts w:ascii="Arial" w:eastAsia="Calibri" w:hAnsi="Arial" w:cs="Arial"/>
          <w:sz w:val="20"/>
          <w:szCs w:val="20"/>
          <w:lang w:val="es-ES_tradnl"/>
        </w:rPr>
        <w:t>entró en vigencia</w:t>
      </w:r>
      <w:proofErr w:type="gramEnd"/>
      <w:r w:rsidR="0011452E" w:rsidRPr="00E858D2">
        <w:rPr>
          <w:rFonts w:ascii="Arial" w:eastAsia="Calibri" w:hAnsi="Arial" w:cs="Arial"/>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4F9EA51" w14:textId="77777777" w:rsidR="0011452E" w:rsidRPr="00E858D2" w:rsidRDefault="0011452E" w:rsidP="0011452E">
      <w:pPr>
        <w:jc w:val="both"/>
        <w:rPr>
          <w:rFonts w:ascii="Arial" w:eastAsia="Calibri" w:hAnsi="Arial" w:cs="Arial"/>
          <w:sz w:val="20"/>
          <w:szCs w:val="20"/>
          <w:lang w:val="es-ES_tradnl"/>
        </w:rPr>
      </w:pPr>
    </w:p>
    <w:p w14:paraId="229EE976" w14:textId="77777777" w:rsidR="0011452E" w:rsidRPr="00E858D2" w:rsidRDefault="0011452E" w:rsidP="0011452E">
      <w:pPr>
        <w:jc w:val="both"/>
        <w:rPr>
          <w:rFonts w:ascii="Arial" w:eastAsia="Calibri" w:hAnsi="Arial" w:cs="Arial"/>
          <w:sz w:val="20"/>
          <w:szCs w:val="20"/>
          <w:lang w:val="es-ES_tradnl"/>
        </w:rPr>
      </w:pPr>
      <w:r w:rsidRPr="00E858D2">
        <w:rPr>
          <w:rFonts w:ascii="Arial" w:eastAsia="Calibri" w:hAnsi="Arial" w:cs="Arial"/>
          <w:b/>
          <w:sz w:val="22"/>
          <w:lang w:val="es-ES_tradnl"/>
        </w:rPr>
        <w:t>DOCUMENTOS TIPO – Ámbito de aplicación</w:t>
      </w:r>
    </w:p>
    <w:p w14:paraId="456F2B02" w14:textId="77777777" w:rsidR="0011452E" w:rsidRPr="00E858D2" w:rsidRDefault="0011452E" w:rsidP="0011452E">
      <w:pPr>
        <w:jc w:val="both"/>
        <w:rPr>
          <w:rFonts w:ascii="Arial" w:eastAsia="Calibri" w:hAnsi="Arial" w:cs="Arial"/>
          <w:sz w:val="20"/>
          <w:szCs w:val="20"/>
          <w:lang w:val="es-ES_tradnl"/>
        </w:rPr>
      </w:pPr>
    </w:p>
    <w:p w14:paraId="2385EDA0" w14:textId="77777777" w:rsidR="008A042B" w:rsidRPr="008A042B" w:rsidRDefault="008A042B" w:rsidP="008A042B">
      <w:pPr>
        <w:jc w:val="both"/>
        <w:rPr>
          <w:rFonts w:ascii="Arial" w:eastAsia="Calibri" w:hAnsi="Arial" w:cs="Arial"/>
          <w:sz w:val="20"/>
          <w:szCs w:val="20"/>
          <w:lang w:val="es-ES_tradnl"/>
        </w:rPr>
      </w:pPr>
      <w:r w:rsidRPr="008A042B">
        <w:rPr>
          <w:rFonts w:ascii="Arial" w:eastAsia="Calibri" w:hAnsi="Arial" w:cs="Arial"/>
          <w:sz w:val="20"/>
          <w:szCs w:val="20"/>
          <w:lang w:val="es-ES_tradnl"/>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10022CED" w14:textId="77777777" w:rsidR="0011452E" w:rsidRPr="00E858D2" w:rsidRDefault="0011452E" w:rsidP="0011452E">
      <w:pPr>
        <w:jc w:val="both"/>
        <w:rPr>
          <w:rFonts w:ascii="Arial" w:eastAsia="Calibri" w:hAnsi="Arial" w:cs="Arial"/>
          <w:sz w:val="20"/>
          <w:szCs w:val="20"/>
          <w:lang w:val="es-ES_tradnl"/>
        </w:rPr>
      </w:pPr>
    </w:p>
    <w:p w14:paraId="3E8240D6" w14:textId="2739EE4D" w:rsidR="0011452E" w:rsidRPr="00E858D2" w:rsidRDefault="0011452E" w:rsidP="0011452E">
      <w:pPr>
        <w:jc w:val="both"/>
        <w:rPr>
          <w:rFonts w:ascii="Arial" w:eastAsia="Calibri" w:hAnsi="Arial" w:cs="Arial"/>
          <w:b/>
          <w:sz w:val="22"/>
          <w:lang w:val="es-ES_tradnl"/>
        </w:rPr>
      </w:pPr>
      <w:r w:rsidRPr="00E858D2">
        <w:rPr>
          <w:rFonts w:ascii="Arial" w:eastAsia="Calibri" w:hAnsi="Arial" w:cs="Arial"/>
          <w:b/>
          <w:sz w:val="22"/>
          <w:lang w:val="es-ES_tradnl"/>
        </w:rPr>
        <w:t>LEY 2195 DE 2022 – Artículo 56 – Documentos tipo – Estatuto General de Contratación de la Administración Pública</w:t>
      </w:r>
    </w:p>
    <w:p w14:paraId="25FE292F" w14:textId="77777777" w:rsidR="0011452E" w:rsidRPr="00E858D2" w:rsidRDefault="0011452E" w:rsidP="0011452E">
      <w:pPr>
        <w:jc w:val="both"/>
        <w:rPr>
          <w:rFonts w:ascii="Arial" w:eastAsia="Calibri" w:hAnsi="Arial" w:cs="Arial"/>
          <w:b/>
          <w:sz w:val="22"/>
          <w:lang w:val="es-ES_tradnl"/>
        </w:rPr>
      </w:pPr>
    </w:p>
    <w:p w14:paraId="7AA4F71A" w14:textId="7CA5F20B" w:rsidR="0035040F" w:rsidRPr="0035040F" w:rsidRDefault="0035040F" w:rsidP="0035040F">
      <w:pPr>
        <w:jc w:val="both"/>
        <w:rPr>
          <w:rFonts w:ascii="Arial" w:eastAsia="Calibri" w:hAnsi="Arial" w:cs="Arial"/>
          <w:bCs/>
          <w:sz w:val="20"/>
          <w:szCs w:val="22"/>
          <w:lang w:val="es-ES_tradnl"/>
        </w:rPr>
      </w:pPr>
      <w:r>
        <w:rPr>
          <w:rFonts w:ascii="Arial" w:eastAsia="Calibri" w:hAnsi="Arial" w:cs="Arial"/>
          <w:bCs/>
          <w:sz w:val="20"/>
          <w:szCs w:val="22"/>
          <w:lang w:val="es-ES_tradnl"/>
        </w:rPr>
        <w:t>E</w:t>
      </w:r>
      <w:r w:rsidRPr="0035040F">
        <w:rPr>
          <w:rFonts w:ascii="Arial" w:eastAsia="Calibri" w:hAnsi="Arial" w:cs="Arial"/>
          <w:bCs/>
          <w:sz w:val="20"/>
          <w:szCs w:val="22"/>
          <w:lang w:val="es-ES_tradnl"/>
        </w:rPr>
        <w:t xml:space="preserv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w:t>
      </w:r>
      <w:r w:rsidRPr="0035040F">
        <w:rPr>
          <w:rFonts w:ascii="Arial" w:eastAsia="Calibri" w:hAnsi="Arial" w:cs="Arial"/>
          <w:bCs/>
          <w:sz w:val="20"/>
          <w:szCs w:val="22"/>
          <w:lang w:val="es-ES_tradnl"/>
        </w:rPr>
        <w:lastRenderedPageBreak/>
        <w:t xml:space="preserve">cierto es que sus efectos no eran los mismos en los procesos de selección adelantados por entidades exceptuadas o con regímenes especiales.  </w:t>
      </w:r>
    </w:p>
    <w:p w14:paraId="53142F1B" w14:textId="77777777" w:rsidR="0011452E" w:rsidRDefault="0011452E" w:rsidP="0035040F">
      <w:pPr>
        <w:tabs>
          <w:tab w:val="left" w:pos="0"/>
        </w:tabs>
        <w:jc w:val="both"/>
        <w:rPr>
          <w:rFonts w:ascii="Arial" w:eastAsia="Calibri" w:hAnsi="Arial" w:cs="Arial"/>
          <w:b/>
          <w:sz w:val="22"/>
          <w:lang w:val="es-ES_tradnl"/>
        </w:rPr>
      </w:pPr>
    </w:p>
    <w:p w14:paraId="4963EA89" w14:textId="5BCE6F6E" w:rsidR="0011452E" w:rsidRDefault="00232354" w:rsidP="0035040F">
      <w:pPr>
        <w:tabs>
          <w:tab w:val="left" w:pos="0"/>
        </w:tabs>
        <w:jc w:val="both"/>
        <w:rPr>
          <w:rFonts w:ascii="Arial" w:eastAsia="Calibri" w:hAnsi="Arial" w:cs="Arial"/>
          <w:b/>
          <w:sz w:val="22"/>
          <w:lang w:val="es-ES_tradnl"/>
        </w:rPr>
      </w:pPr>
      <w:r w:rsidRPr="00E858D2">
        <w:rPr>
          <w:rFonts w:ascii="Arial" w:eastAsia="Calibri" w:hAnsi="Arial" w:cs="Arial"/>
          <w:b/>
          <w:sz w:val="22"/>
          <w:lang w:val="es-ES_tradnl"/>
        </w:rPr>
        <w:t>LEY 2195 DE 2022 –</w:t>
      </w:r>
      <w:r>
        <w:rPr>
          <w:rFonts w:ascii="Arial" w:eastAsia="Calibri" w:hAnsi="Arial" w:cs="Arial"/>
          <w:b/>
          <w:sz w:val="22"/>
          <w:lang w:val="es-ES_tradnl"/>
        </w:rPr>
        <w:t xml:space="preserve"> A</w:t>
      </w:r>
      <w:r w:rsidRPr="00E858D2">
        <w:rPr>
          <w:rFonts w:ascii="Arial" w:eastAsia="Calibri" w:hAnsi="Arial" w:cs="Arial"/>
          <w:b/>
          <w:sz w:val="22"/>
          <w:lang w:val="es-ES_tradnl"/>
        </w:rPr>
        <w:t>rtículo 56</w:t>
      </w:r>
      <w:r>
        <w:rPr>
          <w:rFonts w:ascii="Arial" w:eastAsia="Calibri" w:hAnsi="Arial" w:cs="Arial"/>
          <w:b/>
          <w:sz w:val="22"/>
          <w:lang w:val="es-ES_tradnl"/>
        </w:rPr>
        <w:t xml:space="preserve"> </w:t>
      </w:r>
      <w:r w:rsidR="0011452E" w:rsidRPr="00E858D2">
        <w:rPr>
          <w:rFonts w:ascii="Arial" w:eastAsia="Calibri" w:hAnsi="Arial" w:cs="Arial"/>
          <w:b/>
          <w:sz w:val="22"/>
          <w:lang w:val="es-ES_tradnl"/>
        </w:rPr>
        <w:t>–</w:t>
      </w:r>
      <w:r w:rsidR="0067060F">
        <w:rPr>
          <w:rFonts w:ascii="Arial" w:eastAsia="Calibri" w:hAnsi="Arial" w:cs="Arial"/>
          <w:b/>
          <w:sz w:val="22"/>
          <w:lang w:val="es-ES_tradnl"/>
        </w:rPr>
        <w:t xml:space="preserve"> Requisitos</w:t>
      </w:r>
      <w:r w:rsidR="0011452E" w:rsidRPr="00E858D2">
        <w:rPr>
          <w:rFonts w:ascii="Arial" w:eastAsia="Calibri" w:hAnsi="Arial" w:cs="Arial"/>
          <w:b/>
          <w:sz w:val="22"/>
          <w:lang w:val="es-ES_tradnl"/>
        </w:rPr>
        <w:t xml:space="preserve"> </w:t>
      </w:r>
      <w:r w:rsidR="0067060F" w:rsidRPr="00E858D2">
        <w:rPr>
          <w:rFonts w:ascii="Arial" w:eastAsia="Calibri" w:hAnsi="Arial" w:cs="Arial"/>
          <w:b/>
          <w:sz w:val="22"/>
          <w:lang w:val="es-ES_tradnl"/>
        </w:rPr>
        <w:t>–</w:t>
      </w:r>
      <w:r w:rsidR="0067060F">
        <w:rPr>
          <w:rFonts w:ascii="Arial" w:eastAsia="Calibri" w:hAnsi="Arial" w:cs="Arial"/>
          <w:b/>
          <w:sz w:val="22"/>
          <w:lang w:val="es-ES_tradnl"/>
        </w:rPr>
        <w:t xml:space="preserve"> Contratos o convenios</w:t>
      </w:r>
    </w:p>
    <w:p w14:paraId="1995B0BF" w14:textId="77777777" w:rsidR="0035040F" w:rsidRPr="00E858D2" w:rsidRDefault="0035040F" w:rsidP="0035040F">
      <w:pPr>
        <w:tabs>
          <w:tab w:val="left" w:pos="0"/>
        </w:tabs>
        <w:jc w:val="both"/>
        <w:rPr>
          <w:rFonts w:ascii="Arial" w:eastAsia="Calibri" w:hAnsi="Arial" w:cs="Arial"/>
          <w:bCs/>
          <w:sz w:val="22"/>
          <w:lang w:val="es-ES_tradnl"/>
        </w:rPr>
      </w:pPr>
    </w:p>
    <w:p w14:paraId="34326F92" w14:textId="5E974A0D" w:rsidR="0035040F" w:rsidRPr="0035040F" w:rsidRDefault="0035040F" w:rsidP="0035040F">
      <w:pPr>
        <w:jc w:val="both"/>
        <w:rPr>
          <w:rFonts w:ascii="Arial" w:hAnsi="Arial" w:cs="Arial"/>
          <w:b/>
          <w:bCs/>
          <w:noProof/>
          <w:sz w:val="20"/>
          <w:szCs w:val="20"/>
          <w:lang w:val="es-ES_tradnl"/>
        </w:rPr>
      </w:pPr>
      <w:r>
        <w:rPr>
          <w:rFonts w:ascii="Arial" w:hAnsi="Arial" w:cs="Arial"/>
          <w:bCs/>
          <w:noProof/>
          <w:sz w:val="20"/>
          <w:szCs w:val="20"/>
          <w:lang w:val="es-ES_tradnl"/>
        </w:rPr>
        <w:t>S</w:t>
      </w:r>
      <w:r w:rsidRPr="0035040F">
        <w:rPr>
          <w:rFonts w:ascii="Arial" w:hAnsi="Arial" w:cs="Arial"/>
          <w:bCs/>
          <w:noProof/>
          <w:sz w:val="20"/>
          <w:szCs w:val="20"/>
          <w:lang w:val="es-ES_tradnl"/>
        </w:rPr>
        <w:t xml:space="preserve">on dos los requisitos necesarios para que proceda la aplicación del artículo 56 de la Ley 2195 de 2022: i) que una entidad estatal sometida al EGCAP celebre un contrato o convenio interadministrativo o de cualquier índole con una entidad exceptuada de la aplicación del EGCAP –incluso con patrimonios autónomos o  con  personas  naturales  o  jurídicas  de  derecho  privado–, esto es, cuyo régimen de contratación sea especial o sujeto al derecho privado y, además, ii) esta última –entidad estatal de régimen especial, patrimonio autónomo o persona natural o jurídica de derecho privado–, en desarrollo de los negocios jurídicos anteriores, contrate la adquisición de un bien, obra o servicio que esté cobijada por un documento tipo. En este contexto, para efectos de la consulta planteada, la expresión «o de cualquier otra índole» incluida en el inciso primero del artículo 56 de la Ley 2195 de 2022, significa que su aplicación se realizará a los contratos, convenios interadministrativos o cualquier otro acuerdo de voluntades, independiente de su tipología o denominación contractual, celebrados entre entidades estatales sometidas al EGCAP y entidades estatales exceptuadas del EGCAP, patrimonios autónomos y personas naturales o jurídicas de derecho privado. En efecto, </w:t>
      </w:r>
      <w:r w:rsidRPr="0035040F">
        <w:rPr>
          <w:rFonts w:ascii="Arial" w:hAnsi="Arial" w:cs="Arial"/>
          <w:bCs/>
          <w:noProof/>
          <w:sz w:val="20"/>
          <w:szCs w:val="20"/>
        </w:rPr>
        <w:t xml:space="preserve">según su significado literal </w:t>
      </w:r>
      <w:r w:rsidRPr="0035040F">
        <w:rPr>
          <w:rFonts w:ascii="Arial" w:hAnsi="Arial" w:cs="Arial"/>
          <w:bCs/>
          <w:noProof/>
          <w:sz w:val="20"/>
          <w:szCs w:val="20"/>
          <w:lang w:val="es-ES_tradnl"/>
        </w:rPr>
        <w:t>el vocablo «índole» es la «</w:t>
      </w:r>
      <w:r w:rsidRPr="0035040F">
        <w:rPr>
          <w:rFonts w:ascii="Arial" w:hAnsi="Arial" w:cs="Arial"/>
          <w:bCs/>
          <w:noProof/>
          <w:sz w:val="20"/>
          <w:szCs w:val="20"/>
        </w:rPr>
        <w:t>Naturaleza, calidad y condición de las cosas</w:t>
      </w:r>
      <w:r w:rsidRPr="0035040F">
        <w:rPr>
          <w:rFonts w:ascii="Arial" w:hAnsi="Arial" w:cs="Arial"/>
          <w:bCs/>
          <w:noProof/>
          <w:sz w:val="20"/>
          <w:szCs w:val="20"/>
          <w:lang w:val="es-ES_tradnl"/>
        </w:rPr>
        <w:t>»</w:t>
      </w:r>
      <w:r w:rsidRPr="0035040F">
        <w:rPr>
          <w:rFonts w:ascii="Arial" w:hAnsi="Arial" w:cs="Arial"/>
          <w:bCs/>
          <w:noProof/>
          <w:sz w:val="20"/>
          <w:szCs w:val="20"/>
        </w:rPr>
        <w:t xml:space="preserve">. De esta manera, cuando la norma se refiere a </w:t>
      </w:r>
      <w:r w:rsidRPr="0035040F">
        <w:rPr>
          <w:rFonts w:ascii="Arial" w:hAnsi="Arial" w:cs="Arial"/>
          <w:bCs/>
          <w:noProof/>
          <w:sz w:val="20"/>
          <w:szCs w:val="20"/>
          <w:lang w:val="es-ES_tradnl"/>
        </w:rPr>
        <w:t>«contratos o convenios interadministrativos o de cualquier otra índole», debe entenderse conforme con su interpretación literal, esto es, contratos o convenios de cualquier naturaleza sin importar de su denominación. En ese sentido, la adquisición de bienes, obras o servicios que deba realizarse con ocasión de los compromisos pactados en contratos o convenios interadministrativos o acuerdo de voluntades de cualquier naturaleza suscritos entre las entidades señaladas, debe adelantarse, de manera obligatoria, aplicando los documentos tipo expedidos por esta Agencia.</w:t>
      </w:r>
    </w:p>
    <w:p w14:paraId="62DF54DA" w14:textId="77777777" w:rsidR="0011452E" w:rsidRPr="00E858D2" w:rsidRDefault="0011452E" w:rsidP="0011452E">
      <w:pPr>
        <w:spacing w:line="276" w:lineRule="auto"/>
        <w:jc w:val="both"/>
        <w:rPr>
          <w:rFonts w:ascii="Arial" w:hAnsi="Arial" w:cs="Arial"/>
          <w:noProof/>
          <w:sz w:val="22"/>
          <w:lang w:val="es-ES_tradnl"/>
        </w:rPr>
      </w:pPr>
    </w:p>
    <w:p w14:paraId="2CC71E17" w14:textId="77777777" w:rsidR="0011452E" w:rsidRPr="00E858D2" w:rsidRDefault="0011452E" w:rsidP="0011452E">
      <w:pPr>
        <w:tabs>
          <w:tab w:val="left" w:pos="0"/>
        </w:tabs>
        <w:spacing w:line="276" w:lineRule="auto"/>
        <w:jc w:val="both"/>
        <w:rPr>
          <w:rFonts w:ascii="Arial" w:eastAsia="Calibri" w:hAnsi="Arial" w:cs="Arial"/>
          <w:bCs/>
          <w:sz w:val="22"/>
          <w:lang w:val="es-ES_tradnl"/>
        </w:rPr>
      </w:pPr>
      <w:r w:rsidRPr="00E858D2">
        <w:rPr>
          <w:rFonts w:ascii="Arial" w:eastAsia="Calibri" w:hAnsi="Arial" w:cs="Arial"/>
          <w:b/>
          <w:sz w:val="22"/>
          <w:lang w:val="es-ES_tradnl"/>
        </w:rPr>
        <w:t xml:space="preserve">LEY 2195 DE 2022 – Artículo 56 – Parágrafo – Giro ordinario – No es igual al objeto social </w:t>
      </w:r>
    </w:p>
    <w:p w14:paraId="6DDA2B99" w14:textId="77777777" w:rsidR="0011452E" w:rsidRPr="00E858D2" w:rsidRDefault="0011452E" w:rsidP="0011452E">
      <w:pPr>
        <w:jc w:val="both"/>
        <w:rPr>
          <w:rFonts w:ascii="Arial" w:hAnsi="Arial" w:cs="Arial"/>
          <w:noProof/>
          <w:sz w:val="22"/>
          <w:lang w:val="es-ES_tradnl"/>
        </w:rPr>
      </w:pPr>
    </w:p>
    <w:p w14:paraId="5789946A" w14:textId="77777777" w:rsidR="0035040F" w:rsidRDefault="0035040F" w:rsidP="0011452E">
      <w:pPr>
        <w:jc w:val="both"/>
        <w:rPr>
          <w:rFonts w:ascii="Arial" w:hAnsi="Arial" w:cs="Arial"/>
          <w:bCs/>
          <w:noProof/>
          <w:sz w:val="20"/>
          <w:szCs w:val="20"/>
          <w:lang w:val="es-ES_tradnl"/>
        </w:rPr>
      </w:pPr>
      <w:r w:rsidRPr="0035040F">
        <w:rPr>
          <w:rFonts w:ascii="Arial" w:hAnsi="Arial" w:cs="Arial"/>
          <w:bCs/>
          <w:noProof/>
          <w:sz w:val="20"/>
          <w:szCs w:val="20"/>
          <w:lang w:val="es-ES_tradnl"/>
        </w:rPr>
        <w:t xml:space="preserve">De acuerdo con estas consideraciones, no existe una plena equivalencia entre las actividades que hacen parte del desarrollo del </w:t>
      </w:r>
      <w:r w:rsidRPr="0035040F">
        <w:rPr>
          <w:rFonts w:ascii="Arial" w:hAnsi="Arial" w:cs="Arial"/>
          <w:bCs/>
          <w:i/>
          <w:iCs/>
          <w:noProof/>
          <w:sz w:val="20"/>
          <w:szCs w:val="20"/>
          <w:lang w:val="es-ES_tradnl"/>
        </w:rPr>
        <w:t>objeto social</w:t>
      </w:r>
      <w:r w:rsidRPr="0035040F">
        <w:rPr>
          <w:rFonts w:ascii="Arial" w:hAnsi="Arial" w:cs="Arial"/>
          <w:bCs/>
          <w:noProof/>
          <w:sz w:val="20"/>
          <w:szCs w:val="20"/>
          <w:lang w:val="es-ES_tradnl"/>
        </w:rPr>
        <w:t xml:space="preserve"> y las que comprende el </w:t>
      </w:r>
      <w:r w:rsidRPr="0035040F">
        <w:rPr>
          <w:rFonts w:ascii="Arial" w:hAnsi="Arial" w:cs="Arial"/>
          <w:bCs/>
          <w:i/>
          <w:iCs/>
          <w:noProof/>
          <w:sz w:val="20"/>
          <w:szCs w:val="20"/>
          <w:lang w:val="es-ES_tradnl"/>
        </w:rPr>
        <w:t>giro ordinario</w:t>
      </w:r>
      <w:r w:rsidRPr="0035040F">
        <w:rPr>
          <w:rFonts w:ascii="Arial" w:hAnsi="Arial" w:cs="Arial"/>
          <w:bCs/>
          <w:noProof/>
          <w:sz w:val="20"/>
          <w:szCs w:val="20"/>
          <w:lang w:val="es-ES_tradnl"/>
        </w:rPr>
        <w:t xml:space="preserve">, ya que como precisa la Superintendencia de Sociedades, entre lo que designan estas categorías existe una relación de género a especie. En ese sentido, de acuerdo con este criterio, las actividades que hacen parte del </w:t>
      </w:r>
      <w:r w:rsidRPr="0035040F">
        <w:rPr>
          <w:rFonts w:ascii="Arial" w:hAnsi="Arial" w:cs="Arial"/>
          <w:bCs/>
          <w:i/>
          <w:iCs/>
          <w:noProof/>
          <w:sz w:val="20"/>
          <w:szCs w:val="20"/>
          <w:lang w:val="es-ES_tradnl"/>
        </w:rPr>
        <w:t xml:space="preserve">giro ordinario </w:t>
      </w:r>
      <w:r w:rsidRPr="0035040F">
        <w:rPr>
          <w:rFonts w:ascii="Arial" w:hAnsi="Arial" w:cs="Arial"/>
          <w:bCs/>
          <w:noProof/>
          <w:sz w:val="20"/>
          <w:szCs w:val="20"/>
          <w:lang w:val="es-ES_tradnl"/>
        </w:rPr>
        <w:t xml:space="preserve">no son solo aquellas que están efectivamente comprendidas dentro del objeto social, sino que, además, se extiende a todas aquellas conexas que se desarrollan en la gestión usual de los asuntos de la sociedad. Esto significa que las actividades que hacen parte del </w:t>
      </w:r>
      <w:r w:rsidRPr="0035040F">
        <w:rPr>
          <w:rFonts w:ascii="Arial" w:hAnsi="Arial" w:cs="Arial"/>
          <w:bCs/>
          <w:i/>
          <w:iCs/>
          <w:noProof/>
          <w:sz w:val="20"/>
          <w:szCs w:val="20"/>
          <w:lang w:val="es-ES_tradnl"/>
        </w:rPr>
        <w:t>giro ordinario</w:t>
      </w:r>
      <w:r w:rsidRPr="0035040F">
        <w:rPr>
          <w:rFonts w:ascii="Arial" w:hAnsi="Arial" w:cs="Arial"/>
          <w:noProof/>
          <w:sz w:val="20"/>
          <w:szCs w:val="20"/>
        </w:rPr>
        <w:t xml:space="preserve"> son todas aquellas que hacen parte del objeto social, así como todas aquellas conexas al mismo, siguiendo lo señalado por la jurisprudencia del Consejo de Estado.   </w:t>
      </w:r>
      <w:r w:rsidRPr="0035040F">
        <w:rPr>
          <w:rFonts w:ascii="Arial" w:hAnsi="Arial" w:cs="Arial"/>
          <w:bCs/>
          <w:noProof/>
          <w:sz w:val="20"/>
          <w:szCs w:val="20"/>
          <w:lang w:val="es-ES_tradnl"/>
        </w:rPr>
        <w:t xml:space="preserve"> </w:t>
      </w:r>
    </w:p>
    <w:p w14:paraId="4B8A8A66" w14:textId="77777777" w:rsidR="0011452E" w:rsidRPr="00E858D2" w:rsidRDefault="0011452E" w:rsidP="0011452E">
      <w:pPr>
        <w:jc w:val="both"/>
        <w:rPr>
          <w:rFonts w:ascii="Arial" w:hAnsi="Arial" w:cs="Arial"/>
          <w:noProof/>
          <w:sz w:val="22"/>
          <w:lang w:val="es-ES_tradnl"/>
        </w:rPr>
      </w:pPr>
    </w:p>
    <w:p w14:paraId="0ACEF71B" w14:textId="40EA8EE4" w:rsidR="00113952" w:rsidRDefault="00113952" w:rsidP="00C118DB">
      <w:pPr>
        <w:spacing w:line="276" w:lineRule="auto"/>
        <w:jc w:val="both"/>
        <w:rPr>
          <w:rFonts w:ascii="Arial" w:hAnsi="Arial" w:cs="Arial"/>
          <w:noProof/>
          <w:color w:val="000000" w:themeColor="text1"/>
          <w:sz w:val="22"/>
        </w:rPr>
      </w:pPr>
    </w:p>
    <w:p w14:paraId="166DE202" w14:textId="5235FA8D" w:rsidR="00113952" w:rsidRDefault="00113952" w:rsidP="00C118DB">
      <w:pPr>
        <w:spacing w:line="276" w:lineRule="auto"/>
        <w:jc w:val="both"/>
        <w:rPr>
          <w:rFonts w:ascii="Arial" w:hAnsi="Arial" w:cs="Arial"/>
          <w:noProof/>
          <w:color w:val="000000" w:themeColor="text1"/>
          <w:sz w:val="22"/>
        </w:rPr>
      </w:pPr>
    </w:p>
    <w:p w14:paraId="7BD9C305" w14:textId="6C1B81D0" w:rsidR="00895FD3" w:rsidRDefault="00895FD3" w:rsidP="00C118DB">
      <w:pPr>
        <w:spacing w:line="276" w:lineRule="auto"/>
        <w:jc w:val="both"/>
        <w:rPr>
          <w:rFonts w:ascii="Arial" w:hAnsi="Arial" w:cs="Arial"/>
          <w:noProof/>
          <w:color w:val="000000" w:themeColor="text1"/>
          <w:sz w:val="22"/>
        </w:rPr>
      </w:pPr>
    </w:p>
    <w:p w14:paraId="764FF116" w14:textId="77777777" w:rsidR="00895FD3" w:rsidRDefault="00895FD3" w:rsidP="00C118DB">
      <w:pPr>
        <w:spacing w:line="276" w:lineRule="auto"/>
        <w:jc w:val="both"/>
        <w:rPr>
          <w:rFonts w:ascii="Arial" w:hAnsi="Arial" w:cs="Arial"/>
          <w:noProof/>
          <w:color w:val="000000" w:themeColor="text1"/>
          <w:sz w:val="22"/>
        </w:rPr>
      </w:pPr>
    </w:p>
    <w:p w14:paraId="3A83054F" w14:textId="4F6F76D3" w:rsidR="00113952" w:rsidRDefault="00113952" w:rsidP="00C118DB">
      <w:pPr>
        <w:spacing w:line="276" w:lineRule="auto"/>
        <w:jc w:val="both"/>
        <w:rPr>
          <w:rFonts w:ascii="Arial" w:hAnsi="Arial" w:cs="Arial"/>
          <w:noProof/>
          <w:color w:val="000000" w:themeColor="text1"/>
          <w:sz w:val="22"/>
        </w:rPr>
      </w:pPr>
    </w:p>
    <w:p w14:paraId="022E4F4D" w14:textId="77777777" w:rsidR="00113952" w:rsidRDefault="00113952" w:rsidP="00C118DB">
      <w:pPr>
        <w:spacing w:line="276" w:lineRule="auto"/>
        <w:jc w:val="both"/>
        <w:rPr>
          <w:rFonts w:ascii="Arial" w:hAnsi="Arial" w:cs="Arial"/>
          <w:noProof/>
          <w:color w:val="000000" w:themeColor="text1"/>
          <w:sz w:val="22"/>
        </w:rPr>
      </w:pPr>
    </w:p>
    <w:p w14:paraId="3FE75E9D" w14:textId="58160AC2" w:rsidR="009D3483" w:rsidRDefault="009D3483" w:rsidP="009D3483">
      <w:pPr>
        <w:spacing w:line="276" w:lineRule="auto"/>
        <w:jc w:val="right"/>
        <w:rPr>
          <w:rFonts w:ascii="Arial" w:hAnsi="Arial" w:cs="Arial"/>
          <w:noProof/>
          <w:color w:val="000000" w:themeColor="text1"/>
          <w:sz w:val="22"/>
        </w:rPr>
      </w:pPr>
      <w:r w:rsidRPr="009D3483">
        <w:rPr>
          <w:rFonts w:ascii="Arial" w:hAnsi="Arial" w:cs="Arial"/>
          <w:noProof/>
          <w:color w:val="000000" w:themeColor="text1"/>
          <w:sz w:val="22"/>
        </w:rPr>
        <w:lastRenderedPageBreak/>
        <w:drawing>
          <wp:inline distT="0" distB="0" distL="0" distR="0" wp14:anchorId="3D138187" wp14:editId="343F631D">
            <wp:extent cx="2390775" cy="80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800100"/>
                    </a:xfrm>
                    <a:prstGeom prst="rect">
                      <a:avLst/>
                    </a:prstGeom>
                    <a:noFill/>
                    <a:ln>
                      <a:noFill/>
                    </a:ln>
                  </pic:spPr>
                </pic:pic>
              </a:graphicData>
            </a:graphic>
          </wp:inline>
        </w:drawing>
      </w:r>
    </w:p>
    <w:p w14:paraId="7B5280F3" w14:textId="77777777" w:rsidR="009D3483" w:rsidRDefault="009D3483" w:rsidP="00C118DB">
      <w:pPr>
        <w:spacing w:line="276" w:lineRule="auto"/>
        <w:jc w:val="both"/>
        <w:rPr>
          <w:rFonts w:ascii="Arial" w:hAnsi="Arial" w:cs="Arial"/>
          <w:noProof/>
          <w:color w:val="000000" w:themeColor="text1"/>
          <w:sz w:val="22"/>
        </w:rPr>
      </w:pPr>
    </w:p>
    <w:p w14:paraId="7DD48F49" w14:textId="493FCD0C" w:rsidR="00B95C30" w:rsidRPr="009D3483" w:rsidRDefault="00B95C30" w:rsidP="00C118DB">
      <w:pPr>
        <w:spacing w:line="276" w:lineRule="auto"/>
        <w:jc w:val="both"/>
        <w:rPr>
          <w:rFonts w:ascii="Arial" w:hAnsi="Arial" w:cs="Arial"/>
          <w:b/>
          <w:bCs/>
          <w:color w:val="000000" w:themeColor="text1"/>
          <w:sz w:val="22"/>
        </w:rPr>
      </w:pPr>
      <w:r w:rsidRPr="00A51520">
        <w:rPr>
          <w:rFonts w:ascii="Arial" w:hAnsi="Arial" w:cs="Arial"/>
          <w:noProof/>
          <w:color w:val="000000" w:themeColor="text1"/>
          <w:sz w:val="22"/>
        </w:rPr>
        <w:t xml:space="preserve">Bogotá D.C., </w:t>
      </w:r>
      <w:r w:rsidR="009D3483" w:rsidRPr="009D3483">
        <w:rPr>
          <w:rFonts w:ascii="Arial" w:hAnsi="Arial" w:cs="Arial"/>
          <w:b/>
          <w:bCs/>
          <w:noProof/>
          <w:color w:val="000000" w:themeColor="text1"/>
          <w:sz w:val="22"/>
        </w:rPr>
        <w:t>20/05/2022</w:t>
      </w:r>
    </w:p>
    <w:p w14:paraId="6A8A869B" w14:textId="77777777" w:rsidR="00B95C30" w:rsidRPr="00A51520" w:rsidRDefault="00B95C30" w:rsidP="00B95C30">
      <w:pPr>
        <w:jc w:val="both"/>
        <w:rPr>
          <w:rFonts w:ascii="Arial" w:hAnsi="Arial" w:cs="Arial"/>
          <w:b/>
          <w:color w:val="000000" w:themeColor="text1"/>
          <w:sz w:val="22"/>
          <w:lang w:val="pt-BR"/>
        </w:rPr>
      </w:pPr>
    </w:p>
    <w:p w14:paraId="5FDF9495" w14:textId="77777777" w:rsidR="00631A31" w:rsidRPr="00A51520" w:rsidRDefault="00631A31" w:rsidP="00B95C30">
      <w:pPr>
        <w:jc w:val="both"/>
        <w:rPr>
          <w:rFonts w:ascii="Arial" w:hAnsi="Arial" w:cs="Arial"/>
          <w:b/>
          <w:color w:val="000000" w:themeColor="text1"/>
          <w:sz w:val="22"/>
          <w:lang w:val="pt-BR"/>
        </w:rPr>
      </w:pPr>
    </w:p>
    <w:p w14:paraId="5F5AE9EF" w14:textId="1506BA31" w:rsidR="00B95C30" w:rsidRPr="00A51520" w:rsidRDefault="00B95C30" w:rsidP="00B95C30">
      <w:pPr>
        <w:jc w:val="both"/>
        <w:rPr>
          <w:rFonts w:ascii="Arial" w:eastAsia="Calibri" w:hAnsi="Arial" w:cs="Arial"/>
          <w:color w:val="000000" w:themeColor="text1"/>
          <w:sz w:val="22"/>
        </w:rPr>
      </w:pPr>
      <w:bookmarkStart w:id="4" w:name="_Hlk100051121"/>
      <w:r w:rsidRPr="00A51520">
        <w:rPr>
          <w:rFonts w:ascii="Arial" w:eastAsia="Calibri" w:hAnsi="Arial" w:cs="Arial"/>
          <w:color w:val="000000" w:themeColor="text1"/>
          <w:sz w:val="22"/>
        </w:rPr>
        <w:t>Señor</w:t>
      </w:r>
    </w:p>
    <w:p w14:paraId="798A20AC" w14:textId="43BE4ECE" w:rsidR="005F5F37" w:rsidRPr="00A51520" w:rsidRDefault="00621981" w:rsidP="00F650A2">
      <w:pPr>
        <w:tabs>
          <w:tab w:val="center" w:pos="4394"/>
        </w:tabs>
        <w:jc w:val="both"/>
        <w:rPr>
          <w:rFonts w:ascii="Arial" w:eastAsia="Calibri" w:hAnsi="Arial" w:cs="Arial"/>
          <w:b/>
          <w:color w:val="000000" w:themeColor="text1"/>
          <w:sz w:val="22"/>
        </w:rPr>
      </w:pPr>
      <w:r>
        <w:rPr>
          <w:rFonts w:ascii="Arial" w:eastAsia="Calibri" w:hAnsi="Arial" w:cs="Arial"/>
          <w:b/>
          <w:color w:val="000000" w:themeColor="text1"/>
          <w:sz w:val="22"/>
        </w:rPr>
        <w:t xml:space="preserve">Carlos Alberto Osorio </w:t>
      </w:r>
      <w:r w:rsidR="00CA0D61">
        <w:rPr>
          <w:rFonts w:ascii="Arial" w:eastAsia="Calibri" w:hAnsi="Arial" w:cs="Arial"/>
          <w:b/>
          <w:color w:val="000000" w:themeColor="text1"/>
          <w:sz w:val="22"/>
        </w:rPr>
        <w:t>Rondas</w:t>
      </w:r>
      <w:r w:rsidR="00F650A2">
        <w:rPr>
          <w:rFonts w:ascii="Arial" w:eastAsia="Calibri" w:hAnsi="Arial" w:cs="Arial"/>
          <w:b/>
          <w:color w:val="000000" w:themeColor="text1"/>
          <w:sz w:val="22"/>
        </w:rPr>
        <w:tab/>
      </w:r>
    </w:p>
    <w:p w14:paraId="411CBCE1" w14:textId="6A3874D2" w:rsidR="00BF4EC5" w:rsidRPr="00A51520" w:rsidRDefault="00621981"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La Virginia, Risaralda</w:t>
      </w:r>
      <w:r w:rsidR="00BF4EC5" w:rsidRPr="00A51520">
        <w:rPr>
          <w:rFonts w:ascii="Arial" w:eastAsia="Calibri" w:hAnsi="Arial" w:cs="Arial"/>
          <w:bCs/>
          <w:color w:val="000000" w:themeColor="text1"/>
          <w:sz w:val="22"/>
        </w:rPr>
        <w:t xml:space="preserve"> </w:t>
      </w:r>
    </w:p>
    <w:p w14:paraId="4A1C8FFE" w14:textId="127AF552" w:rsidR="008120C4" w:rsidRDefault="008120C4" w:rsidP="003C0791">
      <w:pPr>
        <w:rPr>
          <w:rFonts w:ascii="Arial" w:eastAsia="Calibri" w:hAnsi="Arial" w:cs="Arial"/>
          <w:b/>
          <w:bCs/>
          <w:color w:val="000000" w:themeColor="text1"/>
          <w:sz w:val="22"/>
        </w:rPr>
      </w:pPr>
    </w:p>
    <w:p w14:paraId="122205C3" w14:textId="77777777" w:rsidR="000277A2" w:rsidRPr="00A51520" w:rsidRDefault="000277A2" w:rsidP="003C0791">
      <w:pPr>
        <w:rPr>
          <w:rFonts w:ascii="Arial" w:eastAsia="Calibri" w:hAnsi="Arial" w:cs="Arial"/>
          <w:b/>
          <w:bCs/>
          <w:color w:val="000000" w:themeColor="text1"/>
          <w:sz w:val="22"/>
        </w:rPr>
      </w:pPr>
    </w:p>
    <w:p w14:paraId="1BD594F9" w14:textId="0BB67111"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621981">
        <w:rPr>
          <w:rFonts w:ascii="Arial" w:eastAsia="Calibri" w:hAnsi="Arial" w:cs="Arial"/>
          <w:b/>
          <w:bCs/>
          <w:color w:val="000000" w:themeColor="text1"/>
          <w:sz w:val="22"/>
          <w:lang w:val="pt-BR"/>
        </w:rPr>
        <w:t>320</w:t>
      </w:r>
      <w:r w:rsidR="000277A2">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D1535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1DA13E72" w:rsidR="00B95C30" w:rsidRPr="00F90FA8" w:rsidRDefault="00895FD3" w:rsidP="00F90FA8">
            <w:pPr>
              <w:tabs>
                <w:tab w:val="left" w:pos="0"/>
              </w:tabs>
              <w:jc w:val="both"/>
              <w:rPr>
                <w:rFonts w:ascii="Arial" w:eastAsia="Calibri" w:hAnsi="Arial" w:cs="Arial"/>
                <w:bCs/>
                <w:sz w:val="22"/>
                <w:lang w:val="es-ES_tradnl"/>
              </w:rPr>
            </w:pPr>
            <w:r w:rsidRPr="00E858D2">
              <w:rPr>
                <w:rFonts w:ascii="Arial" w:eastAsia="Calibri" w:hAnsi="Arial" w:cs="Arial"/>
                <w:bCs/>
                <w:sz w:val="22"/>
                <w:lang w:val="es-ES_tradnl"/>
              </w:rPr>
              <w:t>DOCUMENTOS TIPO – Fundamento normativo – Ley 2022 de 2020</w:t>
            </w:r>
            <w:r w:rsidR="008D30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 DOCUMENTOS TIPO – Ámbito de aplicación / LEY 2195 DE 2022 – Artículo 56 – </w:t>
            </w:r>
            <w:r w:rsidRPr="0067060F">
              <w:rPr>
                <w:rFonts w:ascii="Arial" w:eastAsia="Calibri" w:hAnsi="Arial" w:cs="Arial"/>
                <w:bCs/>
                <w:sz w:val="22"/>
                <w:lang w:val="es-ES_tradnl"/>
              </w:rPr>
              <w:t xml:space="preserve">Documentos tipo – Estatuto General de Contratación de la Administración Pública / LEY 2195 DE 2022 – Artículo 56 – </w:t>
            </w:r>
            <w:r w:rsidR="0067060F" w:rsidRPr="0067060F">
              <w:rPr>
                <w:rFonts w:ascii="Arial" w:eastAsia="Calibri" w:hAnsi="Arial" w:cs="Arial"/>
                <w:bCs/>
                <w:sz w:val="22"/>
                <w:lang w:val="es-ES_tradnl"/>
              </w:rPr>
              <w:t>Requisitos</w:t>
            </w:r>
            <w:r w:rsidRPr="0067060F">
              <w:rPr>
                <w:rFonts w:ascii="Arial" w:eastAsia="Calibri" w:hAnsi="Arial" w:cs="Arial"/>
                <w:bCs/>
                <w:sz w:val="22"/>
                <w:lang w:val="es-ES_tradnl"/>
              </w:rPr>
              <w:t xml:space="preserve"> – </w:t>
            </w:r>
            <w:r w:rsidR="0067060F" w:rsidRPr="0067060F">
              <w:rPr>
                <w:rFonts w:ascii="Arial" w:eastAsia="Calibri" w:hAnsi="Arial" w:cs="Arial"/>
                <w:bCs/>
                <w:sz w:val="22"/>
                <w:lang w:val="es-ES_tradnl"/>
              </w:rPr>
              <w:t>Contratos o convenios</w:t>
            </w:r>
            <w:r w:rsidRPr="0067060F">
              <w:rPr>
                <w:rFonts w:ascii="Arial" w:eastAsia="Calibri" w:hAnsi="Arial" w:cs="Arial"/>
                <w:bCs/>
                <w:sz w:val="22"/>
                <w:lang w:val="es-ES_tradnl"/>
              </w:rPr>
              <w:t xml:space="preserve"> / LEY 2195 DE 2022 – Artículo 56 – Parágrafo – Giro ordinario – No es igual al objeto social</w:t>
            </w:r>
            <w:r w:rsidRPr="00E858D2">
              <w:rPr>
                <w:rFonts w:ascii="Arial" w:eastAsia="Calibri" w:hAnsi="Arial" w:cs="Arial"/>
                <w:bCs/>
                <w:sz w:val="22"/>
                <w:lang w:val="es-ES_tradnl"/>
              </w:rPr>
              <w:t xml:space="preserve">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61730508"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F21D6D" w:rsidRPr="00A51520">
              <w:rPr>
                <w:rFonts w:ascii="Arial" w:eastAsia="Calibri" w:hAnsi="Arial" w:cs="Arial"/>
                <w:color w:val="000000" w:themeColor="text1"/>
                <w:sz w:val="22"/>
                <w:lang w:val="es-ES_tradnl"/>
              </w:rPr>
              <w:t xml:space="preserve"> </w:t>
            </w:r>
            <w:r w:rsidR="00621981" w:rsidRPr="00621981">
              <w:rPr>
                <w:rFonts w:ascii="Arial" w:eastAsia="Calibri" w:hAnsi="Arial" w:cs="Arial"/>
                <w:color w:val="000000" w:themeColor="text1"/>
                <w:sz w:val="22"/>
                <w:lang w:val="es-ES_tradnl"/>
              </w:rPr>
              <w:t>P20220407003521</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1E8E1D70"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BF4EC5" w:rsidRPr="00A51520">
        <w:rPr>
          <w:rFonts w:ascii="Arial" w:eastAsia="Calibri" w:hAnsi="Arial" w:cs="Arial"/>
          <w:color w:val="000000" w:themeColor="text1"/>
          <w:sz w:val="22"/>
          <w:lang w:val="es-ES_tradnl"/>
        </w:rPr>
        <w:t>o</w:t>
      </w:r>
      <w:r w:rsidRPr="00A51520">
        <w:rPr>
          <w:rFonts w:ascii="Arial" w:eastAsia="Calibri" w:hAnsi="Arial" w:cs="Arial"/>
          <w:color w:val="000000" w:themeColor="text1"/>
          <w:sz w:val="22"/>
          <w:lang w:val="es-ES_tradnl"/>
        </w:rPr>
        <w:t xml:space="preserve"> señor</w:t>
      </w:r>
      <w:r w:rsidR="00BF4EC5" w:rsidRPr="00A51520">
        <w:rPr>
          <w:rFonts w:ascii="Arial" w:eastAsia="Calibri" w:hAnsi="Arial" w:cs="Arial"/>
          <w:color w:val="000000" w:themeColor="text1"/>
          <w:sz w:val="22"/>
          <w:lang w:val="es-ES_tradnl"/>
        </w:rPr>
        <w:t xml:space="preserve"> </w:t>
      </w:r>
      <w:r w:rsidR="00621981">
        <w:rPr>
          <w:rFonts w:ascii="Arial" w:eastAsia="Calibri" w:hAnsi="Arial" w:cs="Arial"/>
          <w:color w:val="000000" w:themeColor="text1"/>
          <w:sz w:val="22"/>
          <w:lang w:val="es-ES_tradnl"/>
        </w:rPr>
        <w:t>Osorio</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4DE7EF01"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24D49" w:rsidRPr="00B24D49">
        <w:rPr>
          <w:rFonts w:ascii="Arial MT" w:eastAsia="Arial MT" w:hAnsi="Arial MT" w:cs="Arial MT"/>
          <w:sz w:val="22"/>
          <w:lang w:val="es-ES"/>
        </w:rPr>
        <w:t xml:space="preserve"> </w:t>
      </w:r>
      <w:r w:rsidRPr="00A51520">
        <w:rPr>
          <w:rFonts w:ascii="Arial" w:eastAsia="Calibri" w:hAnsi="Arial" w:cs="Arial"/>
          <w:color w:val="000000" w:themeColor="text1"/>
          <w:sz w:val="22"/>
          <w:lang w:val="es-ES_tradnl"/>
        </w:rPr>
        <w:t xml:space="preserve">la Agencia Nacional de Contratación Pública </w:t>
      </w:r>
      <w:r w:rsidR="00C31846">
        <w:rPr>
          <w:rFonts w:ascii="Arial" w:eastAsia="Calibri" w:hAnsi="Arial" w:cs="Arial"/>
          <w:color w:val="000000" w:themeColor="text1"/>
          <w:sz w:val="22"/>
          <w:lang w:val="es-ES_tradnl"/>
        </w:rPr>
        <w:t>–</w:t>
      </w:r>
      <w:r w:rsidRPr="00A51520">
        <w:rPr>
          <w:rFonts w:ascii="Arial" w:eastAsia="Calibri" w:hAnsi="Arial" w:cs="Arial"/>
          <w:color w:val="000000" w:themeColor="text1"/>
          <w:sz w:val="22"/>
          <w:lang w:val="es-ES_tradnl"/>
        </w:rPr>
        <w:t xml:space="preserve">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responde </w:t>
      </w:r>
      <w:r w:rsidR="003902B1">
        <w:rPr>
          <w:rFonts w:ascii="Arial" w:eastAsia="Calibri" w:hAnsi="Arial" w:cs="Arial"/>
          <w:color w:val="000000" w:themeColor="text1"/>
          <w:sz w:val="22"/>
          <w:lang w:val="es-ES_tradnl"/>
        </w:rPr>
        <w:t>la pregunta</w:t>
      </w:r>
      <w:r w:rsidR="00E8414B" w:rsidRPr="00A51520">
        <w:rPr>
          <w:rFonts w:ascii="Arial" w:eastAsia="Calibri" w:hAnsi="Arial" w:cs="Arial"/>
          <w:color w:val="000000" w:themeColor="text1"/>
          <w:sz w:val="22"/>
          <w:lang w:val="es-ES_tradnl"/>
        </w:rPr>
        <w:t xml:space="preserve"> </w:t>
      </w:r>
      <w:r w:rsidR="00621981">
        <w:rPr>
          <w:rFonts w:ascii="Arial" w:eastAsia="Calibri" w:hAnsi="Arial" w:cs="Arial"/>
          <w:color w:val="000000" w:themeColor="text1"/>
          <w:sz w:val="22"/>
          <w:lang w:val="es-ES_tradnl"/>
        </w:rPr>
        <w:t xml:space="preserve">remitida por competencia </w:t>
      </w:r>
      <w:r w:rsidR="008D09E3">
        <w:rPr>
          <w:rFonts w:ascii="Arial" w:eastAsia="Calibri" w:hAnsi="Arial" w:cs="Arial"/>
          <w:color w:val="000000" w:themeColor="text1"/>
          <w:sz w:val="22"/>
          <w:lang w:val="es-ES_tradnl"/>
        </w:rPr>
        <w:t>por el</w:t>
      </w:r>
      <w:r w:rsidR="00621981">
        <w:rPr>
          <w:rFonts w:ascii="Arial" w:eastAsia="Calibri" w:hAnsi="Arial" w:cs="Arial"/>
          <w:color w:val="000000" w:themeColor="text1"/>
          <w:sz w:val="22"/>
          <w:lang w:val="es-ES_tradnl"/>
        </w:rPr>
        <w:t xml:space="preserve"> Departamento Nacional de Planeación el</w:t>
      </w:r>
      <w:r w:rsidRPr="00A51520">
        <w:rPr>
          <w:rFonts w:ascii="Arial" w:eastAsia="Calibri" w:hAnsi="Arial" w:cs="Arial"/>
          <w:color w:val="000000" w:themeColor="text1"/>
          <w:sz w:val="22"/>
          <w:lang w:val="es-ES_tradnl"/>
        </w:rPr>
        <w:t xml:space="preserve"> </w:t>
      </w:r>
      <w:r w:rsidR="00621981">
        <w:rPr>
          <w:rFonts w:ascii="Arial" w:eastAsia="Calibri" w:hAnsi="Arial" w:cs="Arial"/>
          <w:color w:val="000000" w:themeColor="text1"/>
          <w:sz w:val="22"/>
          <w:lang w:val="es-ES_tradnl"/>
        </w:rPr>
        <w:t xml:space="preserve">7 </w:t>
      </w:r>
      <w:r w:rsidR="00F21D6D" w:rsidRPr="00A51520">
        <w:rPr>
          <w:rFonts w:ascii="Arial" w:eastAsia="Calibri" w:hAnsi="Arial" w:cs="Arial"/>
          <w:color w:val="000000" w:themeColor="text1"/>
          <w:sz w:val="22"/>
          <w:lang w:val="es-ES_tradnl"/>
        </w:rPr>
        <w:t xml:space="preserve">de </w:t>
      </w:r>
      <w:r w:rsidR="00621981">
        <w:rPr>
          <w:rFonts w:ascii="Arial" w:eastAsia="Calibri" w:hAnsi="Arial" w:cs="Arial"/>
          <w:color w:val="000000" w:themeColor="text1"/>
          <w:sz w:val="22"/>
          <w:lang w:val="es-ES_tradnl"/>
        </w:rPr>
        <w:t>abril</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A0A5845" w14:textId="5252DE8F" w:rsidR="00621981" w:rsidRPr="0060580F" w:rsidRDefault="009111AE" w:rsidP="0060580F">
      <w:pPr>
        <w:spacing w:line="276" w:lineRule="auto"/>
        <w:jc w:val="both"/>
        <w:rPr>
          <w:rFonts w:ascii="Arial" w:eastAsia="Calibri" w:hAnsi="Arial" w:cs="Arial"/>
          <w:sz w:val="22"/>
          <w:szCs w:val="22"/>
        </w:rPr>
      </w:pPr>
      <w:r w:rsidRPr="00B63B64">
        <w:rPr>
          <w:rFonts w:ascii="Arial" w:hAnsi="Arial" w:cs="Arial"/>
          <w:sz w:val="22"/>
          <w:szCs w:val="22"/>
          <w:lang w:val="es-ES_tradnl"/>
        </w:rPr>
        <w:t xml:space="preserve">En relación con </w:t>
      </w:r>
      <w:r w:rsidR="00653FD4" w:rsidRPr="00B63B64">
        <w:rPr>
          <w:rFonts w:ascii="Arial" w:hAnsi="Arial" w:cs="Arial"/>
          <w:sz w:val="22"/>
          <w:szCs w:val="22"/>
          <w:lang w:val="es-ES_tradnl"/>
        </w:rPr>
        <w:t>el artículo 56 de la Ley 2195 de 2022</w:t>
      </w:r>
      <w:r w:rsidR="007838B5" w:rsidRPr="00B63B64">
        <w:rPr>
          <w:rFonts w:ascii="Arial" w:hAnsi="Arial" w:cs="Arial"/>
          <w:sz w:val="22"/>
          <w:szCs w:val="22"/>
          <w:lang w:val="es-ES_tradnl"/>
        </w:rPr>
        <w:t>, usted realiza la</w:t>
      </w:r>
      <w:r w:rsidR="00650533">
        <w:rPr>
          <w:rFonts w:ascii="Arial" w:hAnsi="Arial" w:cs="Arial"/>
          <w:sz w:val="22"/>
          <w:szCs w:val="22"/>
          <w:lang w:val="es-ES_tradnl"/>
        </w:rPr>
        <w:t>s</w:t>
      </w:r>
      <w:r w:rsidR="007838B5" w:rsidRPr="00B63B64">
        <w:rPr>
          <w:rFonts w:ascii="Arial" w:hAnsi="Arial" w:cs="Arial"/>
          <w:sz w:val="22"/>
          <w:szCs w:val="22"/>
          <w:lang w:val="es-ES_tradnl"/>
        </w:rPr>
        <w:t xml:space="preserve"> siguiente</w:t>
      </w:r>
      <w:r w:rsidR="00650533">
        <w:rPr>
          <w:rFonts w:ascii="Arial" w:hAnsi="Arial" w:cs="Arial"/>
          <w:sz w:val="22"/>
          <w:szCs w:val="22"/>
          <w:lang w:val="es-ES_tradnl"/>
        </w:rPr>
        <w:t>s</w:t>
      </w:r>
      <w:r w:rsidR="007838B5" w:rsidRPr="00B63B64">
        <w:rPr>
          <w:rFonts w:ascii="Arial" w:hAnsi="Arial" w:cs="Arial"/>
          <w:sz w:val="22"/>
          <w:szCs w:val="22"/>
          <w:lang w:val="es-ES_tradnl"/>
        </w:rPr>
        <w:t xml:space="preserve"> pregunta</w:t>
      </w:r>
      <w:r w:rsidR="00650533">
        <w:rPr>
          <w:rFonts w:ascii="Arial" w:hAnsi="Arial" w:cs="Arial"/>
          <w:sz w:val="22"/>
          <w:szCs w:val="22"/>
          <w:lang w:val="es-ES_tradnl"/>
        </w:rPr>
        <w:t>s</w:t>
      </w:r>
      <w:r w:rsidR="00653FD4" w:rsidRPr="00B63B64">
        <w:rPr>
          <w:rFonts w:ascii="Arial" w:hAnsi="Arial" w:cs="Arial"/>
          <w:color w:val="000000" w:themeColor="text1"/>
          <w:sz w:val="22"/>
          <w:szCs w:val="22"/>
          <w:lang w:val="es-ES_tradnl"/>
        </w:rPr>
        <w:t>:</w:t>
      </w:r>
      <w:r w:rsidR="007838B5" w:rsidRPr="00B63B64">
        <w:rPr>
          <w:rFonts w:ascii="Arial" w:hAnsi="Arial" w:cs="Arial"/>
          <w:color w:val="000000" w:themeColor="text1"/>
          <w:sz w:val="22"/>
          <w:szCs w:val="22"/>
          <w:lang w:val="es-ES_tradnl"/>
        </w:rPr>
        <w:t xml:space="preserve"> </w:t>
      </w:r>
      <w:r w:rsidR="00B63B64" w:rsidRPr="00B63B64">
        <w:rPr>
          <w:rFonts w:ascii="Arial" w:hAnsi="Arial" w:cs="Arial"/>
          <w:color w:val="000000" w:themeColor="text1"/>
          <w:sz w:val="22"/>
          <w:szCs w:val="22"/>
          <w:lang w:val="es-ES_tradnl"/>
        </w:rPr>
        <w:t xml:space="preserve">i) </w:t>
      </w:r>
      <w:r w:rsidR="007838B5" w:rsidRPr="00B63B64">
        <w:rPr>
          <w:rFonts w:ascii="Arial" w:hAnsi="Arial" w:cs="Arial"/>
          <w:color w:val="000000" w:themeColor="text1"/>
          <w:sz w:val="22"/>
          <w:szCs w:val="22"/>
          <w:lang w:val="es-ES_tradnl"/>
        </w:rPr>
        <w:t>«</w:t>
      </w:r>
      <w:r w:rsidR="00621981" w:rsidRPr="0060580F">
        <w:rPr>
          <w:rFonts w:ascii="Arial" w:eastAsia="Calibri" w:hAnsi="Arial" w:cs="Arial"/>
          <w:sz w:val="22"/>
          <w:szCs w:val="22"/>
        </w:rPr>
        <w:t>¿</w:t>
      </w:r>
      <w:r w:rsidR="00162AEC" w:rsidRPr="00162AEC">
        <w:rPr>
          <w:rFonts w:ascii="Arial" w:eastAsia="Calibri" w:hAnsi="Arial" w:cs="Arial"/>
          <w:sz w:val="22"/>
          <w:szCs w:val="22"/>
        </w:rPr>
        <w:t>Cuándo</w:t>
      </w:r>
      <w:r w:rsidR="00621981" w:rsidRPr="0060580F">
        <w:rPr>
          <w:rFonts w:ascii="Arial" w:eastAsia="Calibri" w:hAnsi="Arial" w:cs="Arial"/>
          <w:sz w:val="22"/>
          <w:szCs w:val="22"/>
        </w:rPr>
        <w:t xml:space="preserve"> una entidad beneficiaria de recursos del SGR designa como entidad ejecutora a otra entidad pública con régimen de contratación especial, debe entenderse el acto de designación como entidad ejecutora como una categoría de </w:t>
      </w:r>
      <w:r w:rsidR="00621981" w:rsidRPr="0060580F">
        <w:rPr>
          <w:rFonts w:ascii="Arial" w:eastAsia="Calibri" w:hAnsi="Arial" w:cs="Arial"/>
          <w:b/>
          <w:bCs/>
          <w:sz w:val="22"/>
          <w:szCs w:val="22"/>
        </w:rPr>
        <w:t xml:space="preserve">NEGOCIO JURIDICO?, </w:t>
      </w:r>
      <w:r w:rsidR="00621981" w:rsidRPr="0060580F">
        <w:rPr>
          <w:rFonts w:ascii="Arial" w:eastAsia="Calibri" w:hAnsi="Arial" w:cs="Arial"/>
          <w:sz w:val="22"/>
          <w:szCs w:val="22"/>
        </w:rPr>
        <w:t xml:space="preserve">teniendo en cuenta que la expresión </w:t>
      </w:r>
      <w:r w:rsidR="00621981" w:rsidRPr="0060580F">
        <w:rPr>
          <w:rFonts w:ascii="Arial" w:eastAsia="Calibri" w:hAnsi="Arial" w:cs="Arial"/>
          <w:b/>
          <w:bCs/>
          <w:sz w:val="22"/>
          <w:szCs w:val="22"/>
        </w:rPr>
        <w:t>“O DE CUALQUIER OTRA INDOLE</w:t>
      </w:r>
      <w:r w:rsidR="00621981" w:rsidRPr="0060580F">
        <w:rPr>
          <w:rFonts w:ascii="Arial" w:eastAsia="Calibri" w:hAnsi="Arial" w:cs="Arial"/>
          <w:sz w:val="22"/>
          <w:szCs w:val="22"/>
        </w:rPr>
        <w:t>”, podría incluir dentro de esa categoría de negocio jurídico, el acto administrativo expedido por la entidad beneficiaria de los recursos del SGR mediante el cual aprueba y designa la entidad ejecutora del proyecto de inversión?</w:t>
      </w:r>
      <w:r w:rsidR="00B63B64" w:rsidRPr="0060580F">
        <w:rPr>
          <w:rFonts w:ascii="Arial" w:eastAsia="Calibri" w:hAnsi="Arial" w:cs="Arial"/>
          <w:sz w:val="22"/>
          <w:szCs w:val="22"/>
        </w:rPr>
        <w:t xml:space="preserve">» y </w:t>
      </w:r>
      <w:proofErr w:type="spellStart"/>
      <w:r w:rsidR="00B63B64" w:rsidRPr="0060580F">
        <w:rPr>
          <w:rFonts w:ascii="Arial" w:eastAsia="Calibri" w:hAnsi="Arial" w:cs="Arial"/>
          <w:sz w:val="22"/>
          <w:szCs w:val="22"/>
        </w:rPr>
        <w:t>ii</w:t>
      </w:r>
      <w:proofErr w:type="spellEnd"/>
      <w:r w:rsidR="00B63B64" w:rsidRPr="0060580F">
        <w:rPr>
          <w:rFonts w:ascii="Arial" w:eastAsia="Calibri" w:hAnsi="Arial" w:cs="Arial"/>
          <w:sz w:val="22"/>
          <w:szCs w:val="22"/>
        </w:rPr>
        <w:t>) «</w:t>
      </w:r>
      <w:r w:rsidR="00621981" w:rsidRPr="0060580F">
        <w:rPr>
          <w:rFonts w:ascii="Arial" w:eastAsia="Calibri" w:hAnsi="Arial" w:cs="Arial"/>
          <w:sz w:val="22"/>
          <w:szCs w:val="22"/>
        </w:rPr>
        <w:t xml:space="preserve">De resultar afirmativa la </w:t>
      </w:r>
      <w:r w:rsidR="00621981" w:rsidRPr="0060580F">
        <w:rPr>
          <w:rFonts w:ascii="Arial" w:eastAsia="Calibri" w:hAnsi="Arial" w:cs="Arial"/>
          <w:sz w:val="22"/>
          <w:szCs w:val="22"/>
        </w:rPr>
        <w:lastRenderedPageBreak/>
        <w:t>respuesta anterior, la entidad designada como ejecutora debe adoptar los pliegos tipo y cometerse al estatuto general de contratación pública (ley 80 y ley 1150), en cuyo caso se alejaría de su estatuto de contratación?</w:t>
      </w:r>
      <w:r w:rsidR="00B63B64" w:rsidRPr="0060580F">
        <w:rPr>
          <w:rFonts w:ascii="Arial" w:eastAsia="Calibri" w:hAnsi="Arial" w:cs="Arial"/>
          <w:sz w:val="22"/>
          <w:szCs w:val="22"/>
        </w:rPr>
        <w:t>».</w:t>
      </w:r>
    </w:p>
    <w:p w14:paraId="5A9E4F83" w14:textId="77777777" w:rsidR="00991805" w:rsidRPr="00A51520"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395997FF" w14:textId="77777777" w:rsidR="00621981" w:rsidRDefault="00621981" w:rsidP="00031AD9">
      <w:pPr>
        <w:spacing w:line="276" w:lineRule="auto"/>
        <w:jc w:val="both"/>
        <w:rPr>
          <w:rFonts w:ascii="Arial" w:eastAsia="Calibri" w:hAnsi="Arial" w:cs="Arial"/>
          <w:color w:val="000000" w:themeColor="text1"/>
          <w:sz w:val="22"/>
          <w:szCs w:val="22"/>
        </w:rPr>
      </w:pPr>
    </w:p>
    <w:p w14:paraId="19279658" w14:textId="77777777" w:rsidR="000323E9" w:rsidRPr="0060580F" w:rsidRDefault="000323E9" w:rsidP="000323E9">
      <w:pPr>
        <w:spacing w:after="120" w:line="276" w:lineRule="auto"/>
        <w:jc w:val="both"/>
        <w:rPr>
          <w:rFonts w:ascii="Arial" w:hAnsi="Arial" w:cs="Arial"/>
          <w:sz w:val="22"/>
          <w:szCs w:val="22"/>
          <w:lang w:val="es-ES"/>
        </w:rPr>
      </w:pPr>
      <w:r w:rsidRPr="0060580F">
        <w:rPr>
          <w:rFonts w:ascii="Arial" w:hAnsi="Arial" w:cs="Arial"/>
          <w:bCs/>
          <w:sz w:val="22"/>
          <w:szCs w:val="22"/>
        </w:rPr>
        <w:t xml:space="preserve">En ejercicio de las competencias establecidas en los artículos 3.5 y 11.8 del Decreto 4170 de 2011, la Agencia Nacional de Contratación Pública – Colombia Compra Eficiente resuelve consultas sobre </w:t>
      </w:r>
      <w:r w:rsidRPr="0060580F">
        <w:rPr>
          <w:rFonts w:ascii="Arial" w:hAnsi="Arial" w:cs="Arial"/>
          <w:sz w:val="22"/>
          <w:szCs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60580F">
        <w:rPr>
          <w:rFonts w:ascii="Arial" w:hAnsi="Arial" w:cs="Arial"/>
          <w:bCs/>
          <w:sz w:val="22"/>
          <w:szCs w:val="22"/>
        </w:rPr>
        <w:t xml:space="preserve"> de todos los partícipes de la contratación estatal ni para interpretar el alcance de cualquier norma vigente en el ordenamiento jurídico.</w:t>
      </w:r>
    </w:p>
    <w:p w14:paraId="155B14E0" w14:textId="77777777" w:rsidR="005D60D4" w:rsidRPr="0060580F" w:rsidRDefault="000323E9" w:rsidP="00711EE1">
      <w:pPr>
        <w:spacing w:after="120" w:line="276" w:lineRule="auto"/>
        <w:ind w:firstLine="708"/>
        <w:jc w:val="both"/>
        <w:rPr>
          <w:rFonts w:ascii="Arial" w:hAnsi="Arial" w:cs="Arial"/>
          <w:sz w:val="22"/>
          <w:szCs w:val="22"/>
          <w:lang w:val="es-ES"/>
        </w:rPr>
      </w:pPr>
      <w:r w:rsidRPr="0060580F">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0580F">
        <w:rPr>
          <w:rFonts w:ascii="Arial" w:hAnsi="Arial" w:cs="Arial"/>
          <w:sz w:val="22"/>
          <w:szCs w:val="22"/>
          <w:vertAlign w:val="superscript"/>
          <w:lang w:val="es-ES"/>
        </w:rPr>
        <w:footnoteReference w:id="2"/>
      </w:r>
      <w:r w:rsidRPr="0060580F">
        <w:rPr>
          <w:rFonts w:ascii="Arial" w:hAnsi="Arial" w:cs="Arial"/>
          <w:sz w:val="22"/>
          <w:szCs w:val="22"/>
          <w:lang w:val="es-ES"/>
        </w:rPr>
        <w:t>. Esta competencia de interpretación de normas generales, por definición, no puede extenderse a la resolución de controversias, brindar asesorías sobre casos puntuales ni interpretar normas ajenas al sistema de compras públicas.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celebrar determinado contrato en específico.</w:t>
      </w:r>
      <w:r w:rsidR="00711EE1" w:rsidRPr="0060580F">
        <w:rPr>
          <w:rFonts w:ascii="Arial" w:hAnsi="Arial" w:cs="Arial"/>
          <w:sz w:val="22"/>
          <w:szCs w:val="22"/>
          <w:lang w:val="es-ES"/>
        </w:rPr>
        <w:t xml:space="preserve"> </w:t>
      </w:r>
    </w:p>
    <w:p w14:paraId="32CFF8A2" w14:textId="0FE2A7B7" w:rsidR="000323E9" w:rsidRPr="0060580F" w:rsidRDefault="000323E9" w:rsidP="00711EE1">
      <w:pPr>
        <w:spacing w:after="120" w:line="276" w:lineRule="auto"/>
        <w:ind w:firstLine="708"/>
        <w:jc w:val="both"/>
        <w:rPr>
          <w:rFonts w:ascii="Arial" w:hAnsi="Arial" w:cs="Arial"/>
          <w:sz w:val="22"/>
          <w:szCs w:val="22"/>
          <w:lang w:val="es-ES"/>
        </w:rPr>
      </w:pPr>
      <w:r w:rsidRPr="0060580F">
        <w:rPr>
          <w:rFonts w:ascii="Arial" w:hAnsi="Arial" w:cs="Arial"/>
          <w:sz w:val="22"/>
          <w:szCs w:val="22"/>
          <w:lang w:val="es-ES"/>
        </w:rPr>
        <w:t xml:space="preserve">En este contexto, es necesario tener en cuenta que </w:t>
      </w:r>
      <w:r w:rsidR="00711EE1" w:rsidRPr="0060580F">
        <w:rPr>
          <w:rFonts w:ascii="Arial" w:hAnsi="Arial" w:cs="Arial"/>
          <w:sz w:val="22"/>
          <w:szCs w:val="22"/>
          <w:lang w:val="es-ES"/>
        </w:rPr>
        <w:t>Colombia Compra Eficiente</w:t>
      </w:r>
      <w:r w:rsidRPr="0060580F">
        <w:rPr>
          <w:rFonts w:ascii="Arial" w:hAnsi="Arial" w:cs="Arial"/>
          <w:sz w:val="22"/>
          <w:szCs w:val="22"/>
          <w:lang w:val="es-ES"/>
        </w:rPr>
        <w:t xml:space="preserve"> no es competente para pronunciarse sobre el funcionamiento </w:t>
      </w:r>
      <w:r w:rsidR="00945E18" w:rsidRPr="0060580F">
        <w:rPr>
          <w:rFonts w:ascii="Arial" w:hAnsi="Arial" w:cs="Arial"/>
          <w:sz w:val="22"/>
          <w:szCs w:val="22"/>
          <w:lang w:val="es-ES"/>
        </w:rPr>
        <w:t>del sistema general de regalías</w:t>
      </w:r>
      <w:r w:rsidR="00913857" w:rsidRPr="0060580F">
        <w:rPr>
          <w:rFonts w:ascii="Arial" w:hAnsi="Arial" w:cs="Arial"/>
          <w:sz w:val="22"/>
          <w:szCs w:val="22"/>
          <w:lang w:val="es-ES"/>
        </w:rPr>
        <w:t>, pues –</w:t>
      </w:r>
      <w:r w:rsidR="00604BC7" w:rsidRPr="0060580F">
        <w:rPr>
          <w:rFonts w:ascii="Arial" w:hAnsi="Arial" w:cs="Arial"/>
          <w:bCs/>
          <w:sz w:val="22"/>
          <w:szCs w:val="22"/>
          <w:lang w:val="es-ES"/>
        </w:rPr>
        <w:t>conforme al artículo 3 de la Ley 2056 de 2020</w:t>
      </w:r>
      <w:r w:rsidR="00913857" w:rsidRPr="0060580F">
        <w:rPr>
          <w:rFonts w:ascii="Arial" w:hAnsi="Arial" w:cs="Arial"/>
          <w:bCs/>
          <w:sz w:val="22"/>
          <w:szCs w:val="22"/>
          <w:lang w:val="es-ES"/>
        </w:rPr>
        <w:t>–</w:t>
      </w:r>
      <w:r w:rsidR="00604BC7" w:rsidRPr="0060580F">
        <w:rPr>
          <w:rFonts w:ascii="Arial" w:hAnsi="Arial" w:cs="Arial"/>
          <w:bCs/>
          <w:sz w:val="22"/>
          <w:szCs w:val="22"/>
          <w:lang w:val="es-ES"/>
        </w:rPr>
        <w:t xml:space="preserve"> son los órganos allí relacionados los encargados de </w:t>
      </w:r>
      <w:r w:rsidR="00604BC7" w:rsidRPr="0060580F">
        <w:rPr>
          <w:rFonts w:ascii="Arial" w:hAnsi="Arial" w:cs="Arial"/>
          <w:bCs/>
          <w:sz w:val="22"/>
          <w:szCs w:val="22"/>
          <w:lang w:val="es-ES_tradnl"/>
        </w:rPr>
        <w:t>ejercer las competencias atribuidas para su funcionamiento</w:t>
      </w:r>
      <w:r w:rsidR="00196647" w:rsidRPr="0060580F">
        <w:rPr>
          <w:rFonts w:ascii="Arial" w:hAnsi="Arial" w:cs="Arial"/>
          <w:bCs/>
          <w:sz w:val="22"/>
          <w:szCs w:val="22"/>
          <w:lang w:val="es-ES_tradnl"/>
        </w:rPr>
        <w:t>.</w:t>
      </w:r>
      <w:r w:rsidR="005D60D4" w:rsidRPr="0060580F">
        <w:rPr>
          <w:rFonts w:ascii="Arial" w:hAnsi="Arial" w:cs="Arial"/>
          <w:bCs/>
          <w:sz w:val="22"/>
          <w:szCs w:val="22"/>
          <w:lang w:val="es-ES_tradnl"/>
        </w:rPr>
        <w:t xml:space="preserve"> </w:t>
      </w:r>
      <w:r w:rsidR="005D60D4" w:rsidRPr="0060580F">
        <w:rPr>
          <w:rFonts w:ascii="Arial" w:eastAsia="Calibri" w:hAnsi="Arial" w:cs="Arial"/>
          <w:bCs/>
          <w:color w:val="000000" w:themeColor="text1"/>
          <w:sz w:val="22"/>
          <w:szCs w:val="22"/>
          <w:lang w:val="es-ES"/>
        </w:rPr>
        <w:t>Por tanto</w:t>
      </w:r>
      <w:r w:rsidR="005D60D4" w:rsidRPr="00CC2CBD">
        <w:rPr>
          <w:rFonts w:ascii="Arial" w:eastAsia="Calibri" w:hAnsi="Arial" w:cs="Arial"/>
          <w:bCs/>
          <w:color w:val="000000" w:themeColor="text1"/>
          <w:sz w:val="22"/>
          <w:szCs w:val="22"/>
          <w:lang w:val="es-ES"/>
        </w:rPr>
        <w:t xml:space="preserve">, se </w:t>
      </w:r>
      <w:r w:rsidR="005D60D4" w:rsidRPr="0060580F">
        <w:rPr>
          <w:rFonts w:ascii="Arial" w:eastAsia="Calibri" w:hAnsi="Arial" w:cs="Arial"/>
          <w:bCs/>
          <w:color w:val="000000" w:themeColor="text1"/>
          <w:sz w:val="22"/>
          <w:szCs w:val="22"/>
          <w:lang w:val="es-ES"/>
        </w:rPr>
        <w:lastRenderedPageBreak/>
        <w:t>resolverá el objeto de</w:t>
      </w:r>
      <w:r w:rsidR="005D60D4" w:rsidRPr="00CC2CBD">
        <w:rPr>
          <w:rFonts w:ascii="Arial" w:eastAsia="Calibri" w:hAnsi="Arial" w:cs="Arial"/>
          <w:bCs/>
          <w:color w:val="000000" w:themeColor="text1"/>
          <w:sz w:val="22"/>
          <w:szCs w:val="22"/>
          <w:lang w:val="es-ES"/>
        </w:rPr>
        <w:t xml:space="preserve"> la consulta únicamente en lo relacionado con la aplicación del artículo 56 de la </w:t>
      </w:r>
      <w:r w:rsidR="00F4425D" w:rsidRPr="0060580F">
        <w:rPr>
          <w:rFonts w:ascii="Arial" w:eastAsia="Calibri" w:hAnsi="Arial" w:cs="Arial"/>
          <w:bCs/>
          <w:color w:val="000000" w:themeColor="text1"/>
          <w:sz w:val="22"/>
          <w:szCs w:val="22"/>
          <w:lang w:val="es-ES"/>
        </w:rPr>
        <w:t>Ley de Transparencia.</w:t>
      </w:r>
    </w:p>
    <w:p w14:paraId="66431477" w14:textId="56377938" w:rsidR="00621981" w:rsidRPr="00621981" w:rsidRDefault="00621981" w:rsidP="00621981">
      <w:pPr>
        <w:spacing w:before="120" w:line="276" w:lineRule="auto"/>
        <w:ind w:firstLine="709"/>
        <w:jc w:val="both"/>
        <w:rPr>
          <w:rFonts w:ascii="Arial" w:eastAsia="Calibri" w:hAnsi="Arial" w:cs="Arial"/>
          <w:bCs/>
          <w:color w:val="000000" w:themeColor="text1"/>
          <w:sz w:val="22"/>
          <w:szCs w:val="22"/>
          <w:lang w:val="es-ES"/>
        </w:rPr>
      </w:pPr>
      <w:r w:rsidRPr="00621981">
        <w:rPr>
          <w:rFonts w:ascii="Arial" w:eastAsia="Calibri" w:hAnsi="Arial" w:cs="Arial"/>
          <w:bCs/>
          <w:color w:val="000000" w:themeColor="text1"/>
          <w:sz w:val="22"/>
          <w:szCs w:val="22"/>
          <w:lang w:val="es-ES"/>
        </w:rPr>
        <w:t xml:space="preserve">Por ello, la Subdirección –dentro de los límites de sus atribuciones– resolverá la consulta conforme a las normas generales en materia de contratación estatal, haciendo abstracción del funcionamiento del </w:t>
      </w:r>
      <w:r w:rsidR="00265663" w:rsidRPr="00621981">
        <w:rPr>
          <w:rFonts w:ascii="Arial" w:eastAsia="Calibri" w:hAnsi="Arial" w:cs="Arial"/>
          <w:bCs/>
          <w:color w:val="000000" w:themeColor="text1"/>
          <w:sz w:val="22"/>
          <w:szCs w:val="22"/>
          <w:lang w:val="es-ES"/>
        </w:rPr>
        <w:t>sistema general de regalías</w:t>
      </w:r>
      <w:r w:rsidR="00777E63">
        <w:rPr>
          <w:rFonts w:ascii="Arial" w:eastAsia="Calibri" w:hAnsi="Arial" w:cs="Arial"/>
          <w:bCs/>
          <w:color w:val="000000" w:themeColor="text1"/>
          <w:sz w:val="22"/>
          <w:szCs w:val="22"/>
          <w:lang w:val="es-ES"/>
        </w:rPr>
        <w:t>.</w:t>
      </w:r>
      <w:r w:rsidRPr="00621981">
        <w:rPr>
          <w:rFonts w:ascii="Arial" w:eastAsia="Calibri" w:hAnsi="Arial" w:cs="Arial"/>
          <w:bCs/>
          <w:color w:val="000000" w:themeColor="text1"/>
          <w:sz w:val="22"/>
          <w:szCs w:val="22"/>
        </w:rPr>
        <w:t xml:space="preserve"> Para estos efectos, </w:t>
      </w:r>
      <w:r w:rsidRPr="00621981">
        <w:rPr>
          <w:rFonts w:ascii="Arial" w:eastAsia="Calibri" w:hAnsi="Arial" w:cs="Arial"/>
          <w:bCs/>
          <w:color w:val="000000" w:themeColor="text1"/>
          <w:sz w:val="22"/>
          <w:szCs w:val="22"/>
          <w:lang w:val="es-ES"/>
        </w:rPr>
        <w:t>se analizarán los siguientes temas:</w:t>
      </w:r>
      <w:r w:rsidRPr="00621981">
        <w:rPr>
          <w:rFonts w:ascii="Arial" w:eastAsia="Calibri" w:hAnsi="Arial" w:cs="Arial"/>
          <w:bCs/>
          <w:color w:val="000000" w:themeColor="text1"/>
          <w:sz w:val="22"/>
          <w:szCs w:val="22"/>
        </w:rPr>
        <w:t xml:space="preserve"> i) </w:t>
      </w:r>
      <w:bookmarkStart w:id="5" w:name="_Hlk76110351"/>
      <w:r w:rsidRPr="00621981">
        <w:rPr>
          <w:rFonts w:ascii="Arial" w:eastAsia="Calibri" w:hAnsi="Arial" w:cs="Arial"/>
          <w:bCs/>
          <w:color w:val="000000" w:themeColor="text1"/>
          <w:sz w:val="22"/>
          <w:szCs w:val="22"/>
          <w:lang w:val="es-ES_tradnl"/>
        </w:rPr>
        <w:t xml:space="preserve">fundamento normativo y ámbito de aplicación de los documentos </w:t>
      </w:r>
      <w:r w:rsidR="0024016B">
        <w:rPr>
          <w:rFonts w:ascii="Arial" w:eastAsia="Calibri" w:hAnsi="Arial" w:cs="Arial"/>
          <w:bCs/>
          <w:color w:val="000000" w:themeColor="text1"/>
          <w:sz w:val="22"/>
          <w:szCs w:val="22"/>
          <w:lang w:val="es-ES_tradnl"/>
        </w:rPr>
        <w:t xml:space="preserve">tipo </w:t>
      </w:r>
      <w:r w:rsidRPr="00621981">
        <w:rPr>
          <w:rFonts w:ascii="Arial" w:eastAsia="Calibri" w:hAnsi="Arial" w:cs="Arial"/>
          <w:bCs/>
          <w:color w:val="000000" w:themeColor="text1"/>
          <w:sz w:val="22"/>
          <w:szCs w:val="22"/>
        </w:rPr>
        <w:t xml:space="preserve">y </w:t>
      </w:r>
      <w:proofErr w:type="spellStart"/>
      <w:r w:rsidRPr="00621981">
        <w:rPr>
          <w:rFonts w:ascii="Arial" w:eastAsia="Calibri" w:hAnsi="Arial" w:cs="Arial"/>
          <w:bCs/>
          <w:color w:val="000000" w:themeColor="text1"/>
          <w:sz w:val="22"/>
          <w:szCs w:val="22"/>
        </w:rPr>
        <w:t>ii</w:t>
      </w:r>
      <w:proofErr w:type="spellEnd"/>
      <w:r w:rsidRPr="00621981">
        <w:rPr>
          <w:rFonts w:ascii="Arial" w:eastAsia="Calibri" w:hAnsi="Arial" w:cs="Arial"/>
          <w:bCs/>
          <w:color w:val="000000" w:themeColor="text1"/>
          <w:sz w:val="22"/>
          <w:szCs w:val="22"/>
        </w:rPr>
        <w:t>)</w:t>
      </w:r>
      <w:bookmarkEnd w:id="5"/>
      <w:r w:rsidRPr="00621981">
        <w:rPr>
          <w:rFonts w:ascii="Arial" w:eastAsia="Calibri" w:hAnsi="Arial" w:cs="Arial"/>
          <w:bCs/>
          <w:color w:val="000000" w:themeColor="text1"/>
          <w:sz w:val="22"/>
          <w:szCs w:val="22"/>
        </w:rPr>
        <w:t xml:space="preserve"> alcance</w:t>
      </w:r>
      <w:r w:rsidRPr="00621981">
        <w:rPr>
          <w:rFonts w:ascii="Arial" w:eastAsia="Calibri" w:hAnsi="Arial" w:cs="Arial"/>
          <w:bCs/>
          <w:color w:val="000000" w:themeColor="text1"/>
          <w:sz w:val="22"/>
          <w:szCs w:val="22"/>
          <w:lang w:val="es-ES_tradnl"/>
        </w:rPr>
        <w:t xml:space="preserve"> del artículo 56 de la Ley 2195 de 2022 frente a la implementación obligatoria del Estatuto General de Contratación de la Administración Pública y de los documentos tipo en la contratación de las entidades estatales exceptuadas y particulares </w:t>
      </w:r>
    </w:p>
    <w:p w14:paraId="44D323E8" w14:textId="6BE16D1B" w:rsidR="00031AD9" w:rsidRPr="00E858D2" w:rsidRDefault="00031AD9" w:rsidP="00031AD9">
      <w:pPr>
        <w:spacing w:before="120" w:line="276" w:lineRule="auto"/>
        <w:ind w:firstLine="709"/>
        <w:jc w:val="both"/>
        <w:rPr>
          <w:rFonts w:ascii="Arial" w:eastAsia="Calibri" w:hAnsi="Arial" w:cs="Arial"/>
          <w:noProof/>
          <w:sz w:val="22"/>
          <w:lang w:val="es-ES_tradnl"/>
        </w:rPr>
      </w:pPr>
      <w:r w:rsidRPr="00E858D2">
        <w:rPr>
          <w:rFonts w:ascii="Arial" w:hAnsi="Arial" w:cs="Arial"/>
          <w:noProof/>
          <w:sz w:val="22"/>
          <w:lang w:val="es-ES_tradnl"/>
        </w:rPr>
        <w:t xml:space="preserve">La Agencia Nacional de Contratación Pública – Colombia Compra Eficiente se ha pronunciado sobre el ámbito de aplicación de </w:t>
      </w:r>
      <w:r w:rsidRPr="00E858D2">
        <w:rPr>
          <w:rFonts w:ascii="Arial" w:eastAsia="Arial" w:hAnsi="Arial" w:cs="Arial"/>
          <w:sz w:val="22"/>
          <w:lang w:val="es-ES_tradnl"/>
        </w:rPr>
        <w:t>los documentos tipo en la contratación estatal,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De otra parte, en el concepto C-066 del 28 de enero de 2022</w:t>
      </w:r>
      <w:r w:rsidR="002830FE">
        <w:rPr>
          <w:rFonts w:ascii="Arial" w:eastAsia="Arial" w:hAnsi="Arial" w:cs="Arial"/>
          <w:sz w:val="22"/>
          <w:lang w:val="es-ES_tradnl"/>
        </w:rPr>
        <w:t>,</w:t>
      </w:r>
      <w:r w:rsidR="002D1866">
        <w:rPr>
          <w:rFonts w:ascii="Arial" w:eastAsia="Arial" w:hAnsi="Arial" w:cs="Arial"/>
          <w:sz w:val="22"/>
          <w:lang w:val="es-ES_tradnl"/>
        </w:rPr>
        <w:t xml:space="preserve"> C-082 del </w:t>
      </w:r>
      <w:r w:rsidR="00650DE0">
        <w:rPr>
          <w:rFonts w:ascii="Arial" w:eastAsia="Arial" w:hAnsi="Arial" w:cs="Arial"/>
          <w:sz w:val="22"/>
          <w:lang w:val="es-ES_tradnl"/>
        </w:rPr>
        <w:t>2 de marzo de 2022</w:t>
      </w:r>
      <w:r w:rsidRPr="00E858D2">
        <w:rPr>
          <w:rFonts w:ascii="Arial" w:eastAsia="Arial" w:hAnsi="Arial" w:cs="Arial"/>
          <w:sz w:val="22"/>
          <w:lang w:val="es-ES_tradnl"/>
        </w:rPr>
        <w:t>,</w:t>
      </w:r>
      <w:r w:rsidR="002830FE">
        <w:rPr>
          <w:rFonts w:ascii="Arial" w:eastAsia="Arial" w:hAnsi="Arial" w:cs="Arial"/>
          <w:sz w:val="22"/>
          <w:lang w:val="es-ES_tradnl"/>
        </w:rPr>
        <w:t xml:space="preserve"> C-089 y C-120 del 22 de marzo de 2022, C-160 del 4 de abril de 2022, </w:t>
      </w:r>
      <w:r w:rsidRPr="00E858D2">
        <w:rPr>
          <w:rFonts w:ascii="Arial" w:eastAsia="Arial" w:hAnsi="Arial" w:cs="Arial"/>
          <w:sz w:val="22"/>
          <w:lang w:val="es-ES_tradnl"/>
        </w:rPr>
        <w:t>la Agencia se refirió al alcance de lo dispuesto en el artículo 56 de la Ley 2195 de 2022</w:t>
      </w:r>
      <w:r w:rsidR="002830FE">
        <w:rPr>
          <w:rStyle w:val="Refdenotaalpie"/>
          <w:rFonts w:ascii="Arial" w:eastAsia="Arial" w:hAnsi="Arial" w:cs="Arial"/>
          <w:sz w:val="22"/>
          <w:lang w:val="es-ES_tradnl"/>
        </w:rPr>
        <w:footnoteReference w:id="3"/>
      </w:r>
      <w:r w:rsidRPr="00E858D2">
        <w:rPr>
          <w:rFonts w:ascii="Arial" w:eastAsia="Arial" w:hAnsi="Arial" w:cs="Arial"/>
          <w:sz w:val="22"/>
          <w:lang w:val="es-ES_tradnl"/>
        </w:rPr>
        <w:t xml:space="preserve">. Algunas de las ideas expuestas en dichas oportunidades se retoman y complementan a continuación para desarrollar la tesis del presente concepto.    </w:t>
      </w:r>
    </w:p>
    <w:p w14:paraId="3A56B07B" w14:textId="77777777" w:rsidR="00031AD9" w:rsidRPr="00E858D2" w:rsidRDefault="00031AD9" w:rsidP="00031AD9">
      <w:pPr>
        <w:spacing w:line="276" w:lineRule="auto"/>
        <w:jc w:val="both"/>
        <w:rPr>
          <w:rFonts w:ascii="Arial" w:eastAsia="Arial" w:hAnsi="Arial" w:cs="Arial"/>
          <w:b/>
          <w:bCs/>
          <w:sz w:val="22"/>
          <w:lang w:val="es-ES_tradnl"/>
        </w:rPr>
      </w:pPr>
    </w:p>
    <w:p w14:paraId="2ABD2AAA" w14:textId="77777777" w:rsidR="00031AD9" w:rsidRPr="00E858D2" w:rsidRDefault="00031AD9" w:rsidP="00031AD9">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 xml:space="preserve">2.1. Fundamento normativo y ámbito de aplicación de los documentos tipo </w:t>
      </w:r>
    </w:p>
    <w:p w14:paraId="361A7647" w14:textId="77777777" w:rsidR="00031AD9" w:rsidRPr="00E858D2" w:rsidRDefault="00031AD9" w:rsidP="00031AD9">
      <w:pPr>
        <w:spacing w:line="276" w:lineRule="auto"/>
        <w:jc w:val="both"/>
        <w:rPr>
          <w:rFonts w:ascii="Arial" w:eastAsia="Arial" w:hAnsi="Arial" w:cs="Arial"/>
          <w:b/>
          <w:bCs/>
          <w:sz w:val="22"/>
          <w:lang w:val="es-ES_tradnl"/>
        </w:rPr>
      </w:pPr>
    </w:p>
    <w:p w14:paraId="30385650" w14:textId="77777777" w:rsidR="00031AD9" w:rsidRPr="00E858D2" w:rsidRDefault="00031AD9" w:rsidP="00031AD9">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4"/>
      </w:r>
      <w:r w:rsidRPr="00E858D2">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7C5410B4" w14:textId="77777777" w:rsidR="00031AD9" w:rsidRPr="00E858D2" w:rsidRDefault="00031AD9" w:rsidP="00031AD9">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w:t>
      </w:r>
      <w:r w:rsidRPr="00E858D2">
        <w:rPr>
          <w:rFonts w:ascii="Arial" w:eastAsia="Calibri" w:hAnsi="Arial" w:cs="Arial"/>
          <w:sz w:val="22"/>
          <w:lang w:val="es-ES_tradnl"/>
        </w:rPr>
        <w:lastRenderedPageBreak/>
        <w:t xml:space="preserve">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4011BAD5" w14:textId="77777777" w:rsidR="00031AD9" w:rsidRPr="00E858D2" w:rsidRDefault="00031AD9" w:rsidP="00031AD9">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5"/>
      </w:r>
      <w:r w:rsidRPr="00E858D2">
        <w:rPr>
          <w:rFonts w:ascii="Arial" w:eastAsia="Calibri" w:hAnsi="Arial" w:cs="Arial"/>
          <w:sz w:val="22"/>
          <w:lang w:val="es-ES_tradnl"/>
        </w:rPr>
        <w:t>.</w:t>
      </w:r>
    </w:p>
    <w:p w14:paraId="03395786"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9DF507F"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Gobierno Nacional. </w:t>
      </w:r>
      <w:proofErr w:type="spellStart"/>
      <w:r w:rsidRPr="00E858D2">
        <w:rPr>
          <w:rFonts w:ascii="Arial" w:eastAsia="Calibri" w:hAnsi="Arial" w:cs="Arial"/>
          <w:sz w:val="22"/>
          <w:lang w:val="es-ES_tradnl"/>
        </w:rPr>
        <w:t>ii</w:t>
      </w:r>
      <w:proofErr w:type="spellEnd"/>
      <w:r w:rsidRPr="00E858D2">
        <w:rPr>
          <w:rFonts w:ascii="Arial" w:eastAsia="Calibri" w:hAnsi="Arial" w:cs="Arial"/>
          <w:sz w:val="22"/>
          <w:lang w:val="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E858D2">
        <w:rPr>
          <w:rFonts w:ascii="Arial" w:eastAsia="Calibri" w:hAnsi="Arial" w:cs="Arial"/>
          <w:sz w:val="22"/>
          <w:lang w:val="es-ES_tradnl"/>
        </w:rPr>
        <w:t>iii</w:t>
      </w:r>
      <w:proofErr w:type="spellEnd"/>
      <w:r w:rsidRPr="00E858D2">
        <w:rPr>
          <w:rFonts w:ascii="Arial" w:eastAsia="Calibri" w:hAnsi="Arial" w:cs="Arial"/>
          <w:sz w:val="22"/>
          <w:lang w:val="es-ES_tradnl"/>
        </w:rPr>
        <w:t xml:space="preserve">) Eran de obligatorio cumplimiento por parte de todas las entidades sometidas al Estatuto General de Contratación de la Administración Pública. </w:t>
      </w:r>
      <w:proofErr w:type="spellStart"/>
      <w:r w:rsidRPr="00E858D2">
        <w:rPr>
          <w:rFonts w:ascii="Arial" w:eastAsia="Calibri" w:hAnsi="Arial" w:cs="Arial"/>
          <w:sz w:val="22"/>
          <w:lang w:val="es-ES_tradnl"/>
        </w:rPr>
        <w:t>iv</w:t>
      </w:r>
      <w:proofErr w:type="spellEnd"/>
      <w:r w:rsidRPr="00E858D2">
        <w:rPr>
          <w:rFonts w:ascii="Arial" w:eastAsia="Calibri" w:hAnsi="Arial" w:cs="Arial"/>
          <w:sz w:val="22"/>
          <w:lang w:val="es-ES_tradnl"/>
        </w:rPr>
        <w:t xml:space="preserve">) En los documentos tipo se indicarían las condiciones generales de los requisitos habilitantes, así como los factores técnicos y </w:t>
      </w:r>
      <w:r w:rsidRPr="00E858D2">
        <w:rPr>
          <w:rFonts w:ascii="Arial" w:eastAsia="Calibri" w:hAnsi="Arial" w:cs="Arial"/>
          <w:sz w:val="22"/>
          <w:lang w:val="es-ES_tradnl"/>
        </w:rPr>
        <w:lastRenderedPageBreak/>
        <w:t xml:space="preserve">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17200769"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6"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6"/>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6"/>
      </w:r>
      <w:r w:rsidRPr="00E858D2">
        <w:rPr>
          <w:rFonts w:ascii="Arial" w:eastAsia="Calibri" w:hAnsi="Arial" w:cs="Arial"/>
          <w:sz w:val="22"/>
          <w:lang w:val="es-ES_tradnl"/>
        </w:rPr>
        <w:t>.</w:t>
      </w:r>
    </w:p>
    <w:p w14:paraId="42C90782"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3531E131" w14:textId="77777777" w:rsidR="00031AD9" w:rsidRPr="00E858D2" w:rsidRDefault="00031AD9" w:rsidP="00031AD9">
      <w:pPr>
        <w:spacing w:before="120" w:after="120" w:line="276" w:lineRule="auto"/>
        <w:jc w:val="both"/>
        <w:rPr>
          <w:rFonts w:ascii="Arial" w:eastAsia="Calibri" w:hAnsi="Arial" w:cs="Arial"/>
          <w:sz w:val="22"/>
          <w:szCs w:val="22"/>
          <w:lang w:val="es-ES_tradnl" w:eastAsia="en-US"/>
        </w:rPr>
      </w:pPr>
      <w:r w:rsidRPr="00E858D2">
        <w:rPr>
          <w:rFonts w:ascii="Arial" w:eastAsia="Calibri" w:hAnsi="Arial" w:cs="Arial"/>
          <w:sz w:val="22"/>
          <w:szCs w:val="22"/>
          <w:lang w:val="es-ES_tradnl"/>
        </w:rPr>
        <w:tab/>
      </w:r>
      <w:r w:rsidRPr="00E858D2">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que permitió el desarrollo de los documentos tipo para los pliegos de condiciones de los procesos de obras públicas de infraestructura de transporte que se adelantaran por la modalidad de selección abreviada de menor cuantía. </w:t>
      </w:r>
    </w:p>
    <w:p w14:paraId="5598DBE8" w14:textId="77777777" w:rsidR="00031AD9" w:rsidRPr="00E858D2" w:rsidRDefault="00031AD9" w:rsidP="00031AD9">
      <w:pPr>
        <w:spacing w:before="120" w:after="120" w:line="276" w:lineRule="auto"/>
        <w:ind w:firstLine="708"/>
        <w:jc w:val="both"/>
        <w:rPr>
          <w:rFonts w:ascii="Arial" w:eastAsia="Calibri" w:hAnsi="Arial" w:cs="Arial"/>
          <w:sz w:val="22"/>
          <w:szCs w:val="22"/>
          <w:lang w:val="es-ES_tradnl"/>
        </w:rPr>
      </w:pPr>
      <w:r w:rsidRPr="00E858D2">
        <w:rPr>
          <w:rFonts w:ascii="Arial" w:eastAsia="Calibri" w:hAnsi="Arial" w:cs="Arial"/>
          <w:sz w:val="22"/>
          <w:szCs w:val="22"/>
          <w:lang w:val="es-ES_tradnl" w:eastAsia="en-US"/>
        </w:rPr>
        <w:lastRenderedPageBreak/>
        <w:t>Finalmente, se profirió el Decreto 594 de 2020, frente a los documentos tipo para los contratos de obra pública</w:t>
      </w:r>
      <w:r w:rsidRPr="00E858D2" w:rsidDel="00A434AB">
        <w:rPr>
          <w:rFonts w:ascii="Arial" w:eastAsia="Calibri" w:hAnsi="Arial" w:cs="Arial"/>
          <w:sz w:val="22"/>
          <w:szCs w:val="22"/>
          <w:lang w:val="es-ES_tradnl" w:eastAsia="en-US"/>
        </w:rPr>
        <w:t xml:space="preserve"> </w:t>
      </w:r>
      <w:r w:rsidRPr="00E858D2">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7" w:name="_Hlk37841850"/>
      <w:r w:rsidRPr="00E858D2">
        <w:rPr>
          <w:rFonts w:ascii="Arial" w:eastAsia="Calibri" w:hAnsi="Arial" w:cs="Arial"/>
          <w:sz w:val="22"/>
          <w:szCs w:val="22"/>
          <w:lang w:val="es-ES_tradnl" w:eastAsia="en-US"/>
        </w:rPr>
        <w:t xml:space="preserve">– Colombia Compra Eficiente, </w:t>
      </w:r>
      <w:bookmarkEnd w:id="7"/>
      <w:r w:rsidRPr="00E858D2">
        <w:rPr>
          <w:rFonts w:ascii="Arial" w:eastAsia="Calibri" w:hAnsi="Arial" w:cs="Arial"/>
          <w:sz w:val="22"/>
          <w:szCs w:val="22"/>
          <w:lang w:val="es-ES_tradnl" w:eastAsia="en-US"/>
        </w:rPr>
        <w:t>por medio de la Resolución 1798 de 2019 –derogada por la Resolución 045 de 2020–, la Resolución 044 de 2020 y la Resolución 094 de 2020.</w:t>
      </w:r>
    </w:p>
    <w:p w14:paraId="64393B94" w14:textId="77777777" w:rsidR="00031AD9" w:rsidRPr="00E858D2" w:rsidRDefault="00031AD9" w:rsidP="00031AD9">
      <w:pPr>
        <w:pStyle w:val="Normal11pt"/>
        <w:spacing w:before="120" w:line="276" w:lineRule="auto"/>
        <w:ind w:left="0" w:firstLine="709"/>
        <w:rPr>
          <w:rFonts w:eastAsia="Calibri"/>
          <w:color w:val="auto"/>
        </w:rPr>
      </w:pPr>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7"/>
      </w:r>
      <w:r w:rsidRPr="00E858D2">
        <w:rPr>
          <w:rFonts w:eastAsia="Calibri"/>
          <w:color w:val="auto"/>
        </w:rPr>
        <w:t xml:space="preserve">. Con esta modificación, si bien se 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 xml:space="preserve">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02AF96FA" w14:textId="77777777" w:rsidR="00031AD9" w:rsidRPr="00E858D2" w:rsidRDefault="00031AD9" w:rsidP="00031AD9">
      <w:pPr>
        <w:pStyle w:val="Normal11pt"/>
        <w:spacing w:before="120" w:line="276" w:lineRule="auto"/>
        <w:ind w:left="0" w:firstLine="709"/>
        <w:rPr>
          <w:rFonts w:eastAsia="Calibri"/>
          <w:color w:val="auto"/>
        </w:rPr>
      </w:pPr>
      <w:r w:rsidRPr="00E858D2">
        <w:rPr>
          <w:rFonts w:eastAsia="Calibri"/>
          <w:color w:val="auto"/>
        </w:rPr>
        <w:lastRenderedPageBreak/>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E858D2">
        <w:rPr>
          <w:rFonts w:eastAsia="Calibri"/>
          <w:color w:val="auto"/>
        </w:rPr>
        <w:t>entró en vigencia</w:t>
      </w:r>
      <w:proofErr w:type="gramEnd"/>
      <w:r w:rsidRPr="00E858D2">
        <w:rPr>
          <w:rFonts w:eastAsia="Calibri"/>
          <w:color w:val="auto"/>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53FB21D" w14:textId="77777777" w:rsidR="00031AD9" w:rsidRPr="00E858D2" w:rsidRDefault="00031AD9" w:rsidP="00031AD9">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Pr="00E858D2">
        <w:rPr>
          <w:rFonts w:eastAsia="Calibri"/>
          <w:color w:val="auto"/>
        </w:rPr>
        <w:t xml:space="preserve"> </w:t>
      </w:r>
      <w:proofErr w:type="spellStart"/>
      <w:r w:rsidRPr="00E858D2">
        <w:rPr>
          <w:rFonts w:eastAsia="Calibri"/>
          <w:color w:val="auto"/>
        </w:rPr>
        <w:t>ii</w:t>
      </w:r>
      <w:proofErr w:type="spellEnd"/>
      <w:r w:rsidRPr="00E858D2">
        <w:rPr>
          <w:rFonts w:eastAsia="Calibri"/>
          <w:color w:val="auto"/>
        </w:rPr>
        <w:t>) la Resolución 219 de 2020,</w:t>
      </w:r>
      <w:r w:rsidRPr="00E858D2">
        <w:rPr>
          <w:color w:val="auto"/>
        </w:rPr>
        <w:t xml:space="preserve"> «Por la cual se adoptan los documentos tipo para los procesos de licitación de obra pública de infraestructura social», </w:t>
      </w:r>
      <w:proofErr w:type="spellStart"/>
      <w:r w:rsidRPr="00E858D2">
        <w:rPr>
          <w:color w:val="auto"/>
        </w:rPr>
        <w:t>iii</w:t>
      </w:r>
      <w:proofErr w:type="spellEnd"/>
      <w:r w:rsidRPr="00E858D2">
        <w:rPr>
          <w:color w:val="auto"/>
        </w:rPr>
        <w:t xml:space="preserve">) la Resolución 220 de 2021, «Por la cual se adoptan los documentos tipo complementarios para los procesos de licitación de obra pública de infraestructura social relacionados con el sector educativo», </w:t>
      </w:r>
      <w:proofErr w:type="spellStart"/>
      <w:r w:rsidRPr="00E858D2">
        <w:rPr>
          <w:color w:val="auto"/>
        </w:rPr>
        <w:t>iv</w:t>
      </w:r>
      <w:proofErr w:type="spellEnd"/>
      <w:r w:rsidRPr="00E858D2">
        <w:rPr>
          <w:color w:val="auto"/>
        </w:rPr>
        <w:t xml:space="preserve">) la Resolución 392 de 2021, «Por la cual se adoptan los documentos tipo complementarios para los procesos de licitación de obra pública de infraestructura social relacionados con el sector salud», y v) la Resolución 454 de 2021, «Por la cual se adoptan los documentos tipo complementarios para los procesos de licitación de obra pública de infraestructura social relacionados con el sector cultura, recreación y deporte». </w:t>
      </w:r>
    </w:p>
    <w:p w14:paraId="17A0CC58" w14:textId="77777777" w:rsidR="00031AD9" w:rsidRPr="00E858D2" w:rsidRDefault="00031AD9" w:rsidP="00031AD9">
      <w:pPr>
        <w:pStyle w:val="Normal11pt"/>
        <w:spacing w:before="120" w:after="120" w:line="276" w:lineRule="auto"/>
        <w:ind w:left="0" w:firstLine="709"/>
        <w:rPr>
          <w:color w:val="auto"/>
        </w:rPr>
      </w:pPr>
      <w:r w:rsidRPr="00E858D2">
        <w:rPr>
          <w:color w:val="auto"/>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0ECC133B" w14:textId="77777777" w:rsidR="00031AD9" w:rsidRPr="00E858D2" w:rsidRDefault="00031AD9" w:rsidP="00031AD9">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ponderación distintos a los señalados en los documentos tipo. En consecuencia, las </w:t>
      </w:r>
      <w:r w:rsidRPr="00E858D2">
        <w:rPr>
          <w:rFonts w:ascii="Arial" w:hAnsi="Arial" w:cs="Arial"/>
          <w:sz w:val="22"/>
          <w:shd w:val="clear" w:color="auto" w:fill="FFFFFF"/>
          <w:lang w:val="es-ES_tradnl"/>
        </w:rPr>
        <w:lastRenderedPageBreak/>
        <w:t>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460A67F2" w14:textId="77777777" w:rsidR="00031AD9" w:rsidRPr="00E858D2" w:rsidRDefault="00031AD9" w:rsidP="00031AD9">
      <w:pPr>
        <w:pStyle w:val="Normal11pt"/>
        <w:spacing w:before="120" w:line="276" w:lineRule="auto"/>
        <w:ind w:left="0" w:firstLine="709"/>
        <w:rPr>
          <w:rFonts w:eastAsia="Calibri"/>
          <w:color w:val="auto"/>
          <w:lang w:eastAsia="en-US"/>
        </w:rPr>
      </w:pPr>
      <w:r w:rsidRPr="00E858D2">
        <w:rPr>
          <w:rFonts w:eastAsia="Calibri"/>
          <w:color w:val="auto"/>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18427A85"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4962FE5B"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 xml:space="preserve">2.2. </w:t>
      </w:r>
      <w:bookmarkStart w:id="8" w:name="_Hlk95322387"/>
      <w:r w:rsidRPr="00E858D2">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8"/>
    <w:p w14:paraId="75C4D22E"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1AC028D9"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58EBC34E"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67B06332"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 El tenor literal de este precepto prescribe lo siguiente:</w:t>
      </w:r>
    </w:p>
    <w:p w14:paraId="74DA6986"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7A0F3D40" w14:textId="77777777" w:rsidR="00031AD9" w:rsidRPr="00E858D2" w:rsidRDefault="00031AD9" w:rsidP="00031AD9">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w:t>
      </w:r>
      <w:r w:rsidRPr="00E858D2">
        <w:rPr>
          <w:rFonts w:ascii="Arial" w:hAnsi="Arial" w:cs="Arial"/>
          <w:sz w:val="21"/>
          <w:szCs w:val="21"/>
          <w:lang w:val="es-ES_tradnl"/>
        </w:rPr>
        <w:lastRenderedPageBreak/>
        <w:t xml:space="preserve">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5ADBEF4" w14:textId="77777777" w:rsidR="00031AD9" w:rsidRPr="00E858D2" w:rsidRDefault="00031AD9" w:rsidP="00031AD9">
      <w:pPr>
        <w:tabs>
          <w:tab w:val="left" w:pos="0"/>
        </w:tabs>
        <w:ind w:left="709" w:right="709"/>
        <w:jc w:val="both"/>
        <w:rPr>
          <w:rFonts w:ascii="Arial" w:hAnsi="Arial" w:cs="Arial"/>
          <w:sz w:val="21"/>
          <w:szCs w:val="21"/>
          <w:lang w:val="es-ES_tradnl"/>
        </w:rPr>
      </w:pPr>
    </w:p>
    <w:p w14:paraId="65837679" w14:textId="77777777" w:rsidR="00031AD9" w:rsidRPr="00E858D2" w:rsidRDefault="00031AD9" w:rsidP="00031AD9">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7F64E601" w14:textId="77777777" w:rsidR="00031AD9" w:rsidRPr="00E858D2" w:rsidRDefault="00031AD9" w:rsidP="00031AD9">
      <w:pPr>
        <w:tabs>
          <w:tab w:val="left" w:pos="0"/>
        </w:tabs>
        <w:ind w:left="709" w:right="709"/>
        <w:jc w:val="both"/>
        <w:rPr>
          <w:rFonts w:ascii="Arial" w:hAnsi="Arial" w:cs="Arial"/>
          <w:sz w:val="21"/>
          <w:szCs w:val="21"/>
          <w:lang w:val="es-ES_tradnl"/>
        </w:rPr>
      </w:pPr>
    </w:p>
    <w:p w14:paraId="5CD8C3B3" w14:textId="028A92EF" w:rsidR="00031AD9" w:rsidRPr="00E858D2" w:rsidRDefault="00031AD9" w:rsidP="00031AD9">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858D2">
        <w:rPr>
          <w:rFonts w:ascii="Arial" w:hAnsi="Arial" w:cs="Arial"/>
          <w:i/>
          <w:iCs/>
          <w:sz w:val="21"/>
          <w:szCs w:val="21"/>
          <w:lang w:val="es-ES_tradnl"/>
        </w:rPr>
        <w:t>giro ordinario</w:t>
      </w:r>
      <w:r w:rsidRPr="00E858D2">
        <w:rPr>
          <w:rFonts w:ascii="Arial" w:hAnsi="Arial" w:cs="Arial"/>
          <w:sz w:val="21"/>
          <w:szCs w:val="21"/>
          <w:lang w:val="es-ES_tradnl"/>
        </w:rPr>
        <w:t>. En estos casos, en los manuales de contratación de estas entidades, se fomentará como buena práctica la aplicación de los pliegos tipo.</w:t>
      </w:r>
    </w:p>
    <w:p w14:paraId="02D8964E"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4A0ACD81"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Las implicaciones de lo establecido en esta norma son variadas y se presentan en múltiples ámbitos de la actividad contractual de las entidades estatales, que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1B7ABD49"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4EBC67D2" w14:textId="0A31F5C9" w:rsidR="00031AD9" w:rsidRDefault="00031AD9" w:rsidP="00667781">
      <w:pPr>
        <w:tabs>
          <w:tab w:val="left" w:pos="426"/>
        </w:tabs>
        <w:spacing w:line="276" w:lineRule="auto"/>
        <w:jc w:val="both"/>
        <w:rPr>
          <w:rFonts w:ascii="Arial" w:eastAsia="Calibri" w:hAnsi="Arial" w:cs="Arial"/>
          <w:b/>
          <w:sz w:val="22"/>
          <w:lang w:val="es-ES_tradnl"/>
        </w:rPr>
      </w:pPr>
      <w:r w:rsidRPr="00897B2E">
        <w:rPr>
          <w:rFonts w:ascii="Arial" w:eastAsia="Calibri" w:hAnsi="Arial" w:cs="Arial"/>
          <w:b/>
          <w:sz w:val="22"/>
          <w:lang w:val="es-ES_tradnl"/>
        </w:rPr>
        <w:t>2.2.1</w:t>
      </w:r>
      <w:r w:rsidRPr="00E858D2">
        <w:rPr>
          <w:rFonts w:ascii="Arial" w:eastAsia="Calibri" w:hAnsi="Arial" w:cs="Arial"/>
          <w:b/>
          <w:i/>
          <w:iCs/>
          <w:sz w:val="22"/>
          <w:lang w:val="es-ES_tradnl"/>
        </w:rPr>
        <w:t xml:space="preserve">. </w:t>
      </w:r>
      <w:r w:rsidRPr="00E858D2">
        <w:rPr>
          <w:rFonts w:ascii="Arial" w:eastAsia="Calibri" w:hAnsi="Arial" w:cs="Arial"/>
          <w:b/>
          <w:sz w:val="22"/>
          <w:lang w:val="es-ES_tradnl"/>
        </w:rPr>
        <w:t>Ámbito de aplicación y finalidad de la norma</w:t>
      </w:r>
    </w:p>
    <w:p w14:paraId="39AEDC56" w14:textId="77777777" w:rsidR="00667781" w:rsidRPr="00E858D2" w:rsidRDefault="00667781" w:rsidP="00667781">
      <w:pPr>
        <w:tabs>
          <w:tab w:val="left" w:pos="426"/>
        </w:tabs>
        <w:spacing w:line="276" w:lineRule="auto"/>
        <w:jc w:val="both"/>
        <w:rPr>
          <w:rFonts w:ascii="Arial" w:eastAsia="Calibri" w:hAnsi="Arial" w:cs="Arial"/>
          <w:b/>
          <w:i/>
          <w:iCs/>
          <w:sz w:val="22"/>
          <w:lang w:val="es-ES_tradnl"/>
        </w:rPr>
      </w:pPr>
    </w:p>
    <w:p w14:paraId="2CE7B603" w14:textId="77777777" w:rsidR="00031AD9" w:rsidRPr="00E858D2" w:rsidRDefault="00031AD9" w:rsidP="0066778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503E58F2"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w:t>
      </w:r>
      <w:r w:rsidRPr="00E858D2">
        <w:rPr>
          <w:rFonts w:ascii="Arial" w:eastAsia="Calibri" w:hAnsi="Arial" w:cs="Arial"/>
          <w:bCs/>
          <w:sz w:val="22"/>
          <w:lang w:val="es-ES_tradnl"/>
        </w:rPr>
        <w:lastRenderedPageBreak/>
        <w:t xml:space="preserve">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02E71D2D" w14:textId="6FEE25EF"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proofErr w:type="spellStart"/>
      <w:r w:rsidRPr="00E858D2">
        <w:rPr>
          <w:rFonts w:ascii="Arial" w:eastAsia="Calibri" w:hAnsi="Arial" w:cs="Arial"/>
          <w:bCs/>
          <w:i/>
          <w:iCs/>
          <w:sz w:val="22"/>
          <w:lang w:val="es-ES_tradnl"/>
        </w:rPr>
        <w:t>ibídem</w:t>
      </w:r>
      <w:proofErr w:type="spellEnd"/>
      <w:r w:rsidR="00113FF2">
        <w:rPr>
          <w:rFonts w:ascii="Arial" w:eastAsia="Calibri" w:hAnsi="Arial" w:cs="Arial"/>
          <w:bCs/>
          <w:i/>
          <w:iCs/>
          <w:sz w:val="22"/>
          <w:lang w:val="es-ES_tradnl"/>
        </w:rPr>
        <w:t>,</w:t>
      </w:r>
      <w:r w:rsidRPr="00E858D2">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113FF2">
        <w:rPr>
          <w:rFonts w:ascii="Arial" w:eastAsia="Calibri" w:hAnsi="Arial" w:cs="Arial"/>
          <w:bCs/>
          <w:sz w:val="22"/>
          <w:lang w:val="es-ES_tradnl"/>
        </w:rPr>
        <w:t>0</w:t>
      </w:r>
      <w:r w:rsidRPr="00E858D2">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113FF2">
        <w:rPr>
          <w:rFonts w:ascii="Arial" w:eastAsia="Calibri" w:hAnsi="Arial" w:cs="Arial"/>
          <w:bCs/>
          <w:sz w:val="22"/>
          <w:lang w:val="es-ES_tradnl"/>
        </w:rPr>
        <w:t>fuera</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7756F1FB"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5D8E1196"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escenario, </w:t>
      </w:r>
      <w:bookmarkStart w:id="9" w:name="_Hlk99351345"/>
      <w:r w:rsidRPr="00E858D2">
        <w:rPr>
          <w:rFonts w:ascii="Arial" w:eastAsia="Calibri" w:hAnsi="Arial" w:cs="Arial"/>
          <w:bCs/>
          <w:sz w:val="22"/>
          <w:lang w:val="es-ES_tradnl"/>
        </w:rPr>
        <w:t xml:space="preserve">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E858D2">
        <w:rPr>
          <w:rFonts w:ascii="Arial" w:eastAsia="Calibri" w:hAnsi="Arial" w:cs="Arial"/>
          <w:bCs/>
          <w:sz w:val="22"/>
          <w:lang w:val="es-ES_tradnl"/>
        </w:rPr>
        <w:t>ii</w:t>
      </w:r>
      <w:proofErr w:type="spellEnd"/>
      <w:r w:rsidRPr="00E858D2">
        <w:rPr>
          <w:rFonts w:ascii="Arial" w:eastAsia="Calibri" w:hAnsi="Arial" w:cs="Arial"/>
          <w:bCs/>
          <w:sz w:val="22"/>
          <w:lang w:val="es-ES_tradnl"/>
        </w:rPr>
        <w:t xml:space="preserve">) patrimonios autónomos o </w:t>
      </w:r>
      <w:proofErr w:type="spellStart"/>
      <w:r w:rsidRPr="00E858D2">
        <w:rPr>
          <w:rFonts w:ascii="Arial" w:eastAsia="Calibri" w:hAnsi="Arial" w:cs="Arial"/>
          <w:bCs/>
          <w:sz w:val="22"/>
          <w:lang w:val="es-ES_tradnl"/>
        </w:rPr>
        <w:t>iii</w:t>
      </w:r>
      <w:proofErr w:type="spellEnd"/>
      <w:r w:rsidRPr="00E858D2">
        <w:rPr>
          <w:rFonts w:ascii="Arial" w:eastAsia="Calibri" w:hAnsi="Arial" w:cs="Arial"/>
          <w:bCs/>
          <w:sz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bookmarkEnd w:id="9"/>
    <w:p w14:paraId="2E458B86"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3D0659F7" w14:textId="04E02920" w:rsidR="00031AD9" w:rsidRPr="00E858D2" w:rsidRDefault="00031AD9" w:rsidP="0060580F">
      <w:pPr>
        <w:tabs>
          <w:tab w:val="left" w:pos="0"/>
        </w:tabs>
        <w:spacing w:before="120"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E858D2">
        <w:rPr>
          <w:rFonts w:ascii="Arial" w:eastAsia="Calibri" w:hAnsi="Arial" w:cs="Arial"/>
          <w:bCs/>
          <w:i/>
          <w:iCs/>
          <w:sz w:val="22"/>
          <w:lang w:val="es-ES_tradnl"/>
        </w:rPr>
        <w:t>ejusdem</w:t>
      </w:r>
      <w:proofErr w:type="spellEnd"/>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si,</w:t>
      </w:r>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17D9193F" w14:textId="77777777" w:rsidR="00171EE0" w:rsidRDefault="00031AD9" w:rsidP="0060580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w:t>
      </w:r>
    </w:p>
    <w:p w14:paraId="37B61ABE" w14:textId="6A213AC9" w:rsidR="00031AD9" w:rsidRPr="00E858D2" w:rsidRDefault="00031AD9" w:rsidP="0060580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 </w:t>
      </w:r>
    </w:p>
    <w:p w14:paraId="30AE8247" w14:textId="51F7AC7F" w:rsidR="00031AD9" w:rsidRDefault="00031AD9" w:rsidP="00AA42E3">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858D2">
        <w:rPr>
          <w:rStyle w:val="Refdenotaalpie"/>
          <w:rFonts w:ascii="Arial" w:eastAsia="Calibri" w:hAnsi="Arial" w:cs="Arial"/>
          <w:sz w:val="21"/>
          <w:szCs w:val="21"/>
        </w:rPr>
        <w:footnoteReference w:id="8"/>
      </w:r>
      <w:r w:rsidRPr="00E858D2">
        <w:rPr>
          <w:rFonts w:ascii="Arial" w:eastAsia="Calibri" w:hAnsi="Arial" w:cs="Arial"/>
          <w:bCs/>
          <w:sz w:val="21"/>
          <w:szCs w:val="21"/>
          <w:lang w:val="es-ES_tradnl"/>
        </w:rPr>
        <w:t xml:space="preserve">. </w:t>
      </w:r>
    </w:p>
    <w:p w14:paraId="25A16519" w14:textId="04105497" w:rsidR="00AA42E3" w:rsidRPr="00AA42E3" w:rsidRDefault="002414D3" w:rsidP="002414D3">
      <w:pPr>
        <w:tabs>
          <w:tab w:val="left" w:pos="0"/>
          <w:tab w:val="left" w:pos="3240"/>
        </w:tabs>
        <w:spacing w:line="276" w:lineRule="auto"/>
        <w:ind w:left="709" w:right="709"/>
        <w:jc w:val="both"/>
        <w:rPr>
          <w:rFonts w:ascii="Arial" w:eastAsia="Calibri" w:hAnsi="Arial" w:cs="Arial"/>
          <w:bCs/>
          <w:sz w:val="21"/>
          <w:szCs w:val="21"/>
          <w:lang w:val="es-ES_tradnl"/>
        </w:rPr>
      </w:pPr>
      <w:r>
        <w:rPr>
          <w:rFonts w:ascii="Arial" w:eastAsia="Calibri" w:hAnsi="Arial" w:cs="Arial"/>
          <w:bCs/>
          <w:sz w:val="21"/>
          <w:szCs w:val="21"/>
          <w:lang w:val="es-ES_tradnl"/>
        </w:rPr>
        <w:lastRenderedPageBreak/>
        <w:tab/>
      </w:r>
    </w:p>
    <w:p w14:paraId="1F93FFB6" w14:textId="26965E55" w:rsidR="00995503" w:rsidRDefault="00031AD9" w:rsidP="0066778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113FF2">
        <w:rPr>
          <w:rFonts w:ascii="Arial" w:eastAsia="Calibri" w:hAnsi="Arial" w:cs="Arial"/>
          <w:bCs/>
          <w:sz w:val="22"/>
          <w:lang w:val="es-ES_tradnl"/>
        </w:rPr>
        <w:t>contractual</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593E1767" w14:textId="77777777" w:rsidR="002402A8" w:rsidRPr="00E858D2" w:rsidRDefault="002402A8" w:rsidP="002402A8">
      <w:pPr>
        <w:tabs>
          <w:tab w:val="left" w:pos="0"/>
        </w:tabs>
        <w:spacing w:line="276" w:lineRule="auto"/>
        <w:jc w:val="both"/>
        <w:rPr>
          <w:rFonts w:ascii="Arial" w:eastAsia="Calibri" w:hAnsi="Arial" w:cs="Arial"/>
          <w:bCs/>
          <w:sz w:val="22"/>
          <w:lang w:val="es-ES_tradnl"/>
        </w:rPr>
      </w:pPr>
    </w:p>
    <w:p w14:paraId="4060E1EC" w14:textId="71ADB513" w:rsidR="00031AD9" w:rsidRPr="00E858D2" w:rsidRDefault="00031AD9" w:rsidP="0060580F">
      <w:pPr>
        <w:tabs>
          <w:tab w:val="left" w:pos="0"/>
        </w:tabs>
        <w:spacing w:line="276" w:lineRule="auto"/>
        <w:jc w:val="both"/>
        <w:rPr>
          <w:rFonts w:ascii="Arial" w:eastAsia="Calibri" w:hAnsi="Arial" w:cs="Arial"/>
          <w:bCs/>
          <w:sz w:val="22"/>
          <w:lang w:val="es-ES_tradnl"/>
        </w:rPr>
      </w:pPr>
      <w:r w:rsidRPr="00897B2E">
        <w:rPr>
          <w:rFonts w:ascii="Arial" w:eastAsia="Calibri" w:hAnsi="Arial" w:cs="Arial"/>
          <w:b/>
          <w:sz w:val="22"/>
          <w:lang w:val="es-ES_tradnl"/>
        </w:rPr>
        <w:t>2.2.2.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FC7E762"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130493D7" w14:textId="77777777" w:rsidR="00031AD9" w:rsidRPr="00E858D2" w:rsidRDefault="00031AD9" w:rsidP="007977F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858D2">
        <w:rPr>
          <w:rStyle w:val="Refdenotaalpie"/>
          <w:rFonts w:ascii="Arial" w:eastAsia="Calibri" w:hAnsi="Arial" w:cs="Arial"/>
        </w:rPr>
        <w:footnoteReference w:id="9"/>
      </w:r>
      <w:r w:rsidRPr="00E858D2">
        <w:rPr>
          <w:rFonts w:ascii="Arial" w:eastAsia="Calibri" w:hAnsi="Arial" w:cs="Arial"/>
          <w:bCs/>
          <w:sz w:val="22"/>
          <w:lang w:val="es-ES_tradnl"/>
        </w:rPr>
        <w:t xml:space="preserve">. Lo anterior por cuanto </w:t>
      </w:r>
      <w:r w:rsidRPr="00E858D2">
        <w:rPr>
          <w:rFonts w:ascii="Arial" w:eastAsia="Calibri" w:hAnsi="Arial" w:cs="Arial"/>
          <w:bCs/>
          <w:sz w:val="22"/>
          <w:lang w:val="es-ES_tradnl"/>
        </w:rPr>
        <w:lastRenderedPageBreak/>
        <w:t xml:space="preserve">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comoquiera que en estos eventos, al tenor de lo dispuesto en esta última norma, deben aplicarse el EGCAP y los documentos tipo. </w:t>
      </w:r>
    </w:p>
    <w:p w14:paraId="31A84E89" w14:textId="77777777"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20D9B6C9" w14:textId="77777777"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efecto, tratándose de disposiciones de igual jerarquía normativa</w:t>
      </w:r>
      <w:r w:rsidRPr="00E858D2">
        <w:rPr>
          <w:rStyle w:val="Refdenotaalpie"/>
          <w:rFonts w:ascii="Arial" w:eastAsia="Calibri" w:hAnsi="Arial" w:cs="Arial"/>
        </w:rPr>
        <w:footnoteReference w:id="10"/>
      </w:r>
      <w:r w:rsidRPr="00E858D2">
        <w:rPr>
          <w:rFonts w:ascii="Arial" w:eastAsia="Calibri" w:hAnsi="Arial" w:cs="Arial"/>
          <w:bCs/>
          <w:sz w:val="22"/>
          <w:lang w:val="es-ES_tradnl"/>
        </w:rPr>
        <w:t xml:space="preserve">–ambas son leyes ordinarias–, que coinciden en su ámbito de aplicación, debe colegirse que, en lo que respecta al régimen aplicable a los contratos con entidades exceptuadas ejecutoras de contratos o convenios interadministrativos, que desarrollen su actividad en competencia </w:t>
      </w:r>
      <w:r w:rsidRPr="00E858D2">
        <w:rPr>
          <w:rFonts w:ascii="Arial" w:eastAsia="Calibri" w:hAnsi="Arial" w:cs="Arial"/>
          <w:bCs/>
          <w:sz w:val="22"/>
          <w:lang w:val="es-ES_tradnl"/>
        </w:rPr>
        <w:lastRenderedPageBreak/>
        <w:t xml:space="preserve">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5B460EC4" w14:textId="77777777"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29B15590" w14:textId="30087DB5"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113FF2">
        <w:rPr>
          <w:rFonts w:ascii="Arial" w:eastAsia="Calibri" w:hAnsi="Arial" w:cs="Arial"/>
          <w:bCs/>
          <w:sz w:val="22"/>
          <w:lang w:val="es-ES_tradnl"/>
        </w:rPr>
        <w:t>aplicable al objeto contractual</w:t>
      </w:r>
      <w:r w:rsidRPr="00E858D2">
        <w:rPr>
          <w:rFonts w:ascii="Arial" w:eastAsia="Calibri" w:hAnsi="Arial" w:cs="Arial"/>
          <w:bCs/>
          <w:sz w:val="22"/>
          <w:lang w:val="es-ES_tradnl"/>
        </w:rPr>
        <w:t xml:space="preserve">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07502C9B" w14:textId="77777777" w:rsidR="001A7313" w:rsidRDefault="00031AD9" w:rsidP="007977F1">
      <w:pPr>
        <w:tabs>
          <w:tab w:val="left" w:pos="0"/>
        </w:tabs>
        <w:spacing w:before="120" w:line="276" w:lineRule="auto"/>
        <w:jc w:val="both"/>
        <w:rPr>
          <w:rFonts w:ascii="Arial" w:eastAsia="Calibri" w:hAnsi="Arial" w:cs="Arial"/>
          <w:b/>
          <w:sz w:val="22"/>
          <w:lang w:val="es-ES_tradnl"/>
        </w:rPr>
      </w:pPr>
      <w:r w:rsidRPr="00E858D2">
        <w:rPr>
          <w:rFonts w:ascii="Arial" w:eastAsia="Calibri" w:hAnsi="Arial" w:cs="Arial"/>
          <w:bCs/>
          <w:sz w:val="22"/>
          <w:lang w:val="es-ES_tradnl"/>
        </w:rPr>
        <w:tab/>
        <w:t xml:space="preserve">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w:t>
      </w:r>
      <w:r w:rsidRPr="00E858D2">
        <w:rPr>
          <w:rFonts w:ascii="Arial" w:eastAsia="Calibri" w:hAnsi="Arial" w:cs="Arial"/>
          <w:bCs/>
          <w:sz w:val="22"/>
          <w:lang w:val="es-ES_tradnl"/>
        </w:rPr>
        <w:lastRenderedPageBreak/>
        <w:t>contratar por parte de la entidad de régimen especial, patrimonio autónomo o particular. Por ejemplo, si en cumplimiento de un convenio con una entidad sometida al EGCAP, un</w:t>
      </w:r>
      <w:r w:rsidR="00113FF2">
        <w:rPr>
          <w:rFonts w:ascii="Arial" w:eastAsia="Calibri" w:hAnsi="Arial" w:cs="Arial"/>
          <w:bCs/>
          <w:sz w:val="22"/>
          <w:lang w:val="es-ES_tradnl"/>
        </w:rPr>
        <w:t>a</w:t>
      </w:r>
      <w:r w:rsidRPr="00E858D2">
        <w:rPr>
          <w:rFonts w:ascii="Arial" w:eastAsia="Calibri" w:hAnsi="Arial" w:cs="Arial"/>
          <w:bCs/>
          <w:sz w:val="22"/>
          <w:lang w:val="es-ES_tradnl"/>
        </w:rPr>
        <w:t xml:space="preserve"> </w:t>
      </w:r>
      <w:r w:rsidR="00113FF2">
        <w:rPr>
          <w:rFonts w:ascii="Arial" w:eastAsia="Calibri" w:hAnsi="Arial" w:cs="Arial"/>
          <w:bCs/>
          <w:sz w:val="22"/>
          <w:lang w:val="es-ES_tradnl"/>
        </w:rPr>
        <w:t>entidad exceptuada</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36C19209" w14:textId="5D1CDF04" w:rsidR="001A7313" w:rsidRDefault="00881596" w:rsidP="007977F1">
      <w:pPr>
        <w:tabs>
          <w:tab w:val="left" w:pos="0"/>
        </w:tabs>
        <w:spacing w:before="120" w:line="276" w:lineRule="auto"/>
        <w:ind w:firstLine="709"/>
        <w:jc w:val="both"/>
        <w:rPr>
          <w:rFonts w:ascii="Arial" w:eastAsia="Calibri" w:hAnsi="Arial" w:cs="Arial"/>
          <w:b/>
          <w:sz w:val="22"/>
          <w:lang w:val="es-ES_tradnl"/>
        </w:rPr>
      </w:pPr>
      <w:r>
        <w:rPr>
          <w:rFonts w:ascii="Arial" w:eastAsia="Calibri" w:hAnsi="Arial" w:cs="Arial"/>
          <w:bCs/>
          <w:sz w:val="22"/>
          <w:lang w:val="es-ES_tradnl"/>
        </w:rPr>
        <w:t xml:space="preserve">Conforme </w:t>
      </w:r>
      <w:r w:rsidR="00AF47D5">
        <w:rPr>
          <w:rFonts w:ascii="Arial" w:eastAsia="Calibri" w:hAnsi="Arial" w:cs="Arial"/>
          <w:bCs/>
          <w:sz w:val="22"/>
          <w:lang w:val="es-ES_tradnl"/>
        </w:rPr>
        <w:t>con</w:t>
      </w:r>
      <w:r>
        <w:rPr>
          <w:rFonts w:ascii="Arial" w:eastAsia="Calibri" w:hAnsi="Arial" w:cs="Arial"/>
          <w:bCs/>
          <w:sz w:val="22"/>
          <w:lang w:val="es-ES_tradnl"/>
        </w:rPr>
        <w:t xml:space="preserve"> lo expuesto</w:t>
      </w:r>
      <w:r w:rsidR="001A7313" w:rsidRPr="00E05754">
        <w:rPr>
          <w:rFonts w:ascii="Arial" w:eastAsia="Calibri" w:hAnsi="Arial" w:cs="Arial"/>
          <w:bCs/>
          <w:sz w:val="22"/>
          <w:lang w:val="es-ES_tradnl"/>
        </w:rPr>
        <w:t>,</w:t>
      </w:r>
      <w:r>
        <w:rPr>
          <w:rFonts w:ascii="Arial" w:eastAsia="Calibri" w:hAnsi="Arial" w:cs="Arial"/>
          <w:bCs/>
          <w:sz w:val="22"/>
          <w:lang w:val="es-ES_tradnl"/>
        </w:rPr>
        <w:t xml:space="preserve"> </w:t>
      </w:r>
      <w:r w:rsidR="001A7313" w:rsidRPr="00E05754">
        <w:rPr>
          <w:rFonts w:ascii="Arial" w:eastAsia="Calibri" w:hAnsi="Arial" w:cs="Arial"/>
          <w:bCs/>
          <w:sz w:val="22"/>
          <w:lang w:val="es-ES_tradnl"/>
        </w:rPr>
        <w:t xml:space="preserve">son dos los requisitos necesarios para que proceda la aplicación del artículo 56 de la Ley 2195 de 2022: i) que una entidad estatal sometida al EGCAP celebre un contrato o convenio interadministrativo o de cualquier índole con una entidad exceptuada de la aplicación del EGCAP –incluso con patrimonios autónomos o  con  personas  naturales  o  jurídicas  de  derecho  privado–, esto es, cuyo régimen de contratación sea especial o sujeto al derecho privado y, además, </w:t>
      </w:r>
      <w:proofErr w:type="spellStart"/>
      <w:r w:rsidR="001A7313" w:rsidRPr="00E05754">
        <w:rPr>
          <w:rFonts w:ascii="Arial" w:eastAsia="Calibri" w:hAnsi="Arial" w:cs="Arial"/>
          <w:bCs/>
          <w:sz w:val="22"/>
          <w:lang w:val="es-ES_tradnl"/>
        </w:rPr>
        <w:t>ii</w:t>
      </w:r>
      <w:proofErr w:type="spellEnd"/>
      <w:r w:rsidR="001A7313" w:rsidRPr="00E05754">
        <w:rPr>
          <w:rFonts w:ascii="Arial" w:eastAsia="Calibri" w:hAnsi="Arial" w:cs="Arial"/>
          <w:bCs/>
          <w:sz w:val="22"/>
          <w:lang w:val="es-ES_tradnl"/>
        </w:rPr>
        <w:t xml:space="preserve">) esta última –entidad estatal de régimen especial, patrimonio autónomo o persona natural o jurídica de derecho privado–, en desarrollo de los negocios jurídicos anteriores, contrate la adquisición de un bien, obra o servicio que esté cobijada por un documento tipo. </w:t>
      </w:r>
    </w:p>
    <w:p w14:paraId="309E5FEF" w14:textId="37A26478" w:rsidR="00D65A92" w:rsidRDefault="001A7313" w:rsidP="007977F1">
      <w:pPr>
        <w:tabs>
          <w:tab w:val="left" w:pos="0"/>
        </w:tabs>
        <w:spacing w:before="120" w:line="276" w:lineRule="auto"/>
        <w:ind w:firstLine="709"/>
        <w:jc w:val="both"/>
        <w:rPr>
          <w:rFonts w:ascii="Arial" w:eastAsia="Calibri" w:hAnsi="Arial" w:cs="Arial"/>
          <w:bCs/>
          <w:sz w:val="22"/>
          <w:lang w:val="es-ES_tradnl"/>
        </w:rPr>
      </w:pPr>
      <w:r w:rsidRPr="001A7313">
        <w:rPr>
          <w:rFonts w:ascii="Arial" w:eastAsia="Calibri" w:hAnsi="Arial" w:cs="Arial"/>
          <w:bCs/>
          <w:sz w:val="22"/>
          <w:lang w:val="es-ES_tradnl"/>
        </w:rPr>
        <w:t xml:space="preserve">En este contexto, </w:t>
      </w:r>
      <w:r w:rsidR="00854853">
        <w:rPr>
          <w:rFonts w:ascii="Arial" w:eastAsia="Calibri" w:hAnsi="Arial" w:cs="Arial"/>
          <w:bCs/>
          <w:sz w:val="22"/>
          <w:lang w:val="es-ES_tradnl"/>
        </w:rPr>
        <w:t xml:space="preserve">para efectos de la consulta planteada, </w:t>
      </w:r>
      <w:r w:rsidRPr="001A7313">
        <w:rPr>
          <w:rFonts w:ascii="Arial" w:eastAsia="Calibri" w:hAnsi="Arial" w:cs="Arial"/>
          <w:bCs/>
          <w:sz w:val="22"/>
          <w:lang w:val="es-ES_tradnl"/>
        </w:rPr>
        <w:t xml:space="preserve">la expresión </w:t>
      </w:r>
      <w:r w:rsidR="00C1299A" w:rsidRPr="00E858D2">
        <w:rPr>
          <w:rFonts w:ascii="Arial" w:eastAsia="Calibri" w:hAnsi="Arial" w:cs="Arial"/>
          <w:bCs/>
          <w:sz w:val="21"/>
          <w:szCs w:val="21"/>
          <w:lang w:val="es-ES_tradnl"/>
        </w:rPr>
        <w:t>«</w:t>
      </w:r>
      <w:r w:rsidRPr="001A7313">
        <w:rPr>
          <w:rFonts w:ascii="Arial" w:eastAsia="Calibri" w:hAnsi="Arial" w:cs="Arial"/>
          <w:bCs/>
          <w:sz w:val="22"/>
          <w:lang w:val="es-ES_tradnl"/>
        </w:rPr>
        <w:t>o de cualquier otra índole</w:t>
      </w:r>
      <w:r w:rsidR="00C1299A" w:rsidRPr="00E858D2">
        <w:rPr>
          <w:rFonts w:ascii="Arial" w:eastAsia="Calibri" w:hAnsi="Arial" w:cs="Arial"/>
          <w:bCs/>
          <w:sz w:val="22"/>
          <w:szCs w:val="22"/>
          <w:lang w:val="es-ES_tradnl"/>
        </w:rPr>
        <w:t>»</w:t>
      </w:r>
      <w:r w:rsidRPr="001A7313">
        <w:rPr>
          <w:rFonts w:ascii="Arial" w:eastAsia="Calibri" w:hAnsi="Arial" w:cs="Arial"/>
          <w:bCs/>
          <w:sz w:val="22"/>
          <w:lang w:val="es-ES_tradnl"/>
        </w:rPr>
        <w:t xml:space="preserve"> incluida en el inciso primero del artículo 56</w:t>
      </w:r>
      <w:r w:rsidR="00C1299A">
        <w:rPr>
          <w:rFonts w:ascii="Arial" w:eastAsia="Calibri" w:hAnsi="Arial" w:cs="Arial"/>
          <w:bCs/>
          <w:sz w:val="22"/>
          <w:lang w:val="es-ES_tradnl"/>
        </w:rPr>
        <w:t xml:space="preserve"> de la Ley 2195 de 2022</w:t>
      </w:r>
      <w:r w:rsidRPr="001A7313">
        <w:rPr>
          <w:rFonts w:ascii="Arial" w:eastAsia="Calibri" w:hAnsi="Arial" w:cs="Arial"/>
          <w:bCs/>
          <w:sz w:val="22"/>
          <w:lang w:val="es-ES_tradnl"/>
        </w:rPr>
        <w:t>, significa que su aplicación se realizará a los contratos, convenios interadministrativos o cualquier otro acuerdo de voluntad</w:t>
      </w:r>
      <w:r w:rsidR="00527440">
        <w:rPr>
          <w:rFonts w:ascii="Arial" w:eastAsia="Calibri" w:hAnsi="Arial" w:cs="Arial"/>
          <w:bCs/>
          <w:sz w:val="22"/>
          <w:lang w:val="es-ES_tradnl"/>
        </w:rPr>
        <w:t>es</w:t>
      </w:r>
      <w:r w:rsidRPr="001A7313">
        <w:rPr>
          <w:rFonts w:ascii="Arial" w:eastAsia="Calibri" w:hAnsi="Arial" w:cs="Arial"/>
          <w:bCs/>
          <w:sz w:val="22"/>
          <w:lang w:val="es-ES_tradnl"/>
        </w:rPr>
        <w:t xml:space="preserve">, independiente de su tipología o denominación contractual, celebrados entre entidades estatales sometidas al EGCAP </w:t>
      </w:r>
      <w:r w:rsidR="00527440">
        <w:rPr>
          <w:rFonts w:ascii="Arial" w:eastAsia="Calibri" w:hAnsi="Arial" w:cs="Arial"/>
          <w:bCs/>
          <w:sz w:val="22"/>
          <w:lang w:val="es-ES_tradnl"/>
        </w:rPr>
        <w:t>y</w:t>
      </w:r>
      <w:r w:rsidRPr="001A7313">
        <w:rPr>
          <w:rFonts w:ascii="Arial" w:eastAsia="Calibri" w:hAnsi="Arial" w:cs="Arial"/>
          <w:bCs/>
          <w:sz w:val="22"/>
          <w:lang w:val="es-ES_tradnl"/>
        </w:rPr>
        <w:t xml:space="preserve"> entidades estatales exceptuadas</w:t>
      </w:r>
      <w:r w:rsidR="00527440">
        <w:rPr>
          <w:rFonts w:ascii="Arial" w:eastAsia="Calibri" w:hAnsi="Arial" w:cs="Arial"/>
          <w:bCs/>
          <w:sz w:val="22"/>
          <w:lang w:val="es-ES_tradnl"/>
        </w:rPr>
        <w:t xml:space="preserve"> del </w:t>
      </w:r>
      <w:r w:rsidR="00527440" w:rsidRPr="001A7313">
        <w:rPr>
          <w:rFonts w:ascii="Arial" w:eastAsia="Calibri" w:hAnsi="Arial" w:cs="Arial"/>
          <w:bCs/>
          <w:sz w:val="22"/>
          <w:lang w:val="es-ES_tradnl"/>
        </w:rPr>
        <w:t>EGCAP</w:t>
      </w:r>
      <w:r w:rsidRPr="001A7313">
        <w:rPr>
          <w:rFonts w:ascii="Arial" w:eastAsia="Calibri" w:hAnsi="Arial" w:cs="Arial"/>
          <w:bCs/>
          <w:sz w:val="22"/>
          <w:lang w:val="es-ES_tradnl"/>
        </w:rPr>
        <w:t>, patrimonios autónomos</w:t>
      </w:r>
      <w:r w:rsidR="00527440">
        <w:rPr>
          <w:rFonts w:ascii="Arial" w:eastAsia="Calibri" w:hAnsi="Arial" w:cs="Arial"/>
          <w:bCs/>
          <w:sz w:val="22"/>
          <w:lang w:val="es-ES_tradnl"/>
        </w:rPr>
        <w:t xml:space="preserve"> y</w:t>
      </w:r>
      <w:r w:rsidRPr="001A7313">
        <w:rPr>
          <w:rFonts w:ascii="Arial" w:eastAsia="Calibri" w:hAnsi="Arial" w:cs="Arial"/>
          <w:bCs/>
          <w:sz w:val="22"/>
          <w:lang w:val="es-ES_tradnl"/>
        </w:rPr>
        <w:t xml:space="preserve"> personas naturales o jurídicas de derecho privado. </w:t>
      </w:r>
      <w:r w:rsidR="00D65A92">
        <w:rPr>
          <w:rFonts w:ascii="Arial" w:eastAsia="Calibri" w:hAnsi="Arial" w:cs="Arial"/>
          <w:bCs/>
          <w:sz w:val="22"/>
          <w:lang w:val="es-ES_tradnl"/>
        </w:rPr>
        <w:t xml:space="preserve">En efecto, </w:t>
      </w:r>
      <w:r w:rsidR="00854853">
        <w:rPr>
          <w:rFonts w:ascii="Arial" w:hAnsi="Arial" w:cs="Arial"/>
          <w:sz w:val="22"/>
        </w:rPr>
        <w:t>según su significado literal</w:t>
      </w:r>
      <w:r w:rsidR="008150B1">
        <w:rPr>
          <w:rFonts w:ascii="Arial" w:hAnsi="Arial" w:cs="Arial"/>
          <w:sz w:val="22"/>
        </w:rPr>
        <w:t xml:space="preserve"> </w:t>
      </w:r>
      <w:r w:rsidR="00D65A92">
        <w:rPr>
          <w:rFonts w:ascii="Arial" w:eastAsia="Calibri" w:hAnsi="Arial" w:cs="Arial"/>
          <w:bCs/>
          <w:sz w:val="22"/>
          <w:lang w:val="es-ES_tradnl"/>
        </w:rPr>
        <w:t xml:space="preserve">el vocablo </w:t>
      </w:r>
      <w:r w:rsidR="009330BE" w:rsidRPr="008150B1">
        <w:rPr>
          <w:rFonts w:ascii="Arial" w:eastAsia="Calibri" w:hAnsi="Arial" w:cs="Arial"/>
          <w:bCs/>
          <w:sz w:val="22"/>
          <w:szCs w:val="22"/>
          <w:lang w:val="es-ES_tradnl"/>
        </w:rPr>
        <w:t>«</w:t>
      </w:r>
      <w:r w:rsidR="00D65A92">
        <w:rPr>
          <w:rFonts w:ascii="Arial" w:eastAsia="Calibri" w:hAnsi="Arial" w:cs="Arial"/>
          <w:bCs/>
          <w:sz w:val="22"/>
          <w:lang w:val="es-ES_tradnl"/>
        </w:rPr>
        <w:t>índole</w:t>
      </w:r>
      <w:r w:rsidR="009330BE" w:rsidRPr="008150B1">
        <w:rPr>
          <w:rFonts w:ascii="Arial" w:eastAsia="Calibri" w:hAnsi="Arial" w:cs="Arial"/>
          <w:bCs/>
          <w:sz w:val="22"/>
          <w:szCs w:val="22"/>
          <w:lang w:val="es-ES_tradnl"/>
        </w:rPr>
        <w:t>»</w:t>
      </w:r>
      <w:r w:rsidR="00865127">
        <w:rPr>
          <w:rFonts w:ascii="Arial" w:eastAsia="Calibri" w:hAnsi="Arial" w:cs="Arial"/>
          <w:bCs/>
          <w:sz w:val="22"/>
          <w:szCs w:val="22"/>
          <w:lang w:val="es-ES_tradnl"/>
        </w:rPr>
        <w:t xml:space="preserve"> </w:t>
      </w:r>
      <w:r w:rsidR="008150B1">
        <w:rPr>
          <w:rFonts w:ascii="Arial" w:eastAsia="Calibri" w:hAnsi="Arial" w:cs="Arial"/>
          <w:bCs/>
          <w:sz w:val="22"/>
          <w:szCs w:val="22"/>
          <w:lang w:val="es-ES_tradnl"/>
        </w:rPr>
        <w:t xml:space="preserve">es la </w:t>
      </w:r>
      <w:r w:rsidR="00854853" w:rsidRPr="00E858D2">
        <w:rPr>
          <w:rFonts w:ascii="Arial" w:eastAsia="Calibri" w:hAnsi="Arial" w:cs="Arial"/>
          <w:bCs/>
          <w:sz w:val="21"/>
          <w:szCs w:val="21"/>
          <w:lang w:val="es-ES_tradnl"/>
        </w:rPr>
        <w:t>«</w:t>
      </w:r>
      <w:r w:rsidR="00854853" w:rsidRPr="00854853">
        <w:rPr>
          <w:rFonts w:ascii="Arial" w:eastAsia="Calibri" w:hAnsi="Arial" w:cs="Arial"/>
          <w:bCs/>
          <w:sz w:val="22"/>
          <w:szCs w:val="22"/>
        </w:rPr>
        <w:t>Naturaleza, calidad y condición de las cosas</w:t>
      </w:r>
      <w:r w:rsidR="00854853" w:rsidRPr="00E858D2">
        <w:rPr>
          <w:rFonts w:ascii="Arial" w:eastAsia="Calibri" w:hAnsi="Arial" w:cs="Arial"/>
          <w:bCs/>
          <w:sz w:val="22"/>
          <w:szCs w:val="22"/>
          <w:lang w:val="es-ES_tradnl"/>
        </w:rPr>
        <w:t>»</w:t>
      </w:r>
      <w:r w:rsidR="00854853">
        <w:rPr>
          <w:rStyle w:val="Refdenotaalpie"/>
          <w:rFonts w:ascii="Arial" w:eastAsia="Calibri" w:hAnsi="Arial" w:cs="Arial"/>
          <w:bCs/>
          <w:sz w:val="22"/>
          <w:szCs w:val="22"/>
          <w:lang w:val="es-ES_tradnl"/>
        </w:rPr>
        <w:footnoteReference w:id="11"/>
      </w:r>
      <w:r w:rsidR="00A57714">
        <w:rPr>
          <w:rFonts w:ascii="Arial" w:eastAsia="Calibri" w:hAnsi="Arial" w:cs="Arial"/>
          <w:bCs/>
          <w:sz w:val="22"/>
          <w:szCs w:val="22"/>
        </w:rPr>
        <w:t>.</w:t>
      </w:r>
      <w:r w:rsidR="0016789B">
        <w:rPr>
          <w:rFonts w:ascii="Arial" w:eastAsia="Calibri" w:hAnsi="Arial" w:cs="Arial"/>
          <w:bCs/>
          <w:sz w:val="22"/>
          <w:szCs w:val="22"/>
        </w:rPr>
        <w:t xml:space="preserve"> </w:t>
      </w:r>
      <w:r w:rsidR="00A57714">
        <w:rPr>
          <w:rFonts w:ascii="Arial" w:eastAsia="Calibri" w:hAnsi="Arial" w:cs="Arial"/>
          <w:bCs/>
          <w:sz w:val="22"/>
          <w:szCs w:val="22"/>
        </w:rPr>
        <w:t>D</w:t>
      </w:r>
      <w:r w:rsidR="008150B1">
        <w:rPr>
          <w:rFonts w:ascii="Arial" w:eastAsia="Calibri" w:hAnsi="Arial" w:cs="Arial"/>
          <w:bCs/>
          <w:sz w:val="22"/>
          <w:szCs w:val="22"/>
        </w:rPr>
        <w:t>e</w:t>
      </w:r>
      <w:r w:rsidR="0016789B">
        <w:rPr>
          <w:rFonts w:ascii="Arial" w:eastAsia="Calibri" w:hAnsi="Arial" w:cs="Arial"/>
          <w:bCs/>
          <w:sz w:val="22"/>
          <w:szCs w:val="22"/>
        </w:rPr>
        <w:t xml:space="preserve"> esta</w:t>
      </w:r>
      <w:r w:rsidR="008150B1">
        <w:rPr>
          <w:rFonts w:ascii="Arial" w:eastAsia="Calibri" w:hAnsi="Arial" w:cs="Arial"/>
          <w:bCs/>
          <w:sz w:val="22"/>
          <w:szCs w:val="22"/>
        </w:rPr>
        <w:t xml:space="preserve"> manera</w:t>
      </w:r>
      <w:r w:rsidR="0016789B">
        <w:rPr>
          <w:rFonts w:ascii="Arial" w:eastAsia="Calibri" w:hAnsi="Arial" w:cs="Arial"/>
          <w:bCs/>
          <w:sz w:val="22"/>
          <w:szCs w:val="22"/>
        </w:rPr>
        <w:t>, c</w:t>
      </w:r>
      <w:r w:rsidR="008150B1">
        <w:rPr>
          <w:rFonts w:ascii="Arial" w:eastAsia="Calibri" w:hAnsi="Arial" w:cs="Arial"/>
          <w:bCs/>
          <w:sz w:val="22"/>
          <w:szCs w:val="22"/>
        </w:rPr>
        <w:t xml:space="preserve">uando la norma se refiere </w:t>
      </w:r>
      <w:r w:rsidR="008150B1" w:rsidRPr="008150B1">
        <w:rPr>
          <w:rFonts w:ascii="Arial" w:eastAsia="Calibri" w:hAnsi="Arial" w:cs="Arial"/>
          <w:bCs/>
          <w:sz w:val="22"/>
          <w:szCs w:val="22"/>
        </w:rPr>
        <w:t xml:space="preserve">a </w:t>
      </w:r>
      <w:r w:rsidR="008150B1" w:rsidRPr="008150B1">
        <w:rPr>
          <w:rFonts w:ascii="Arial" w:eastAsia="Calibri" w:hAnsi="Arial" w:cs="Arial"/>
          <w:bCs/>
          <w:sz w:val="22"/>
          <w:szCs w:val="22"/>
          <w:lang w:val="es-ES_tradnl"/>
        </w:rPr>
        <w:t>«contratos o convenios interadministrativos o de cualquier otra índole»</w:t>
      </w:r>
      <w:r w:rsidR="008150B1">
        <w:rPr>
          <w:rFonts w:ascii="Arial" w:eastAsia="Calibri" w:hAnsi="Arial" w:cs="Arial"/>
          <w:bCs/>
          <w:sz w:val="22"/>
          <w:szCs w:val="22"/>
          <w:lang w:val="es-ES_tradnl"/>
        </w:rPr>
        <w:t xml:space="preserve">, debe entenderse </w:t>
      </w:r>
      <w:r w:rsidR="00564ED5">
        <w:rPr>
          <w:rFonts w:ascii="Arial" w:eastAsia="Calibri" w:hAnsi="Arial" w:cs="Arial"/>
          <w:bCs/>
          <w:sz w:val="22"/>
          <w:szCs w:val="22"/>
          <w:lang w:val="es-ES_tradnl"/>
        </w:rPr>
        <w:t>conforme</w:t>
      </w:r>
      <w:r w:rsidR="00AA7619">
        <w:rPr>
          <w:rFonts w:ascii="Arial" w:eastAsia="Calibri" w:hAnsi="Arial" w:cs="Arial"/>
          <w:bCs/>
          <w:sz w:val="22"/>
          <w:szCs w:val="22"/>
          <w:lang w:val="es-ES_tradnl"/>
        </w:rPr>
        <w:t xml:space="preserve"> con su interpretación literal, esto es, </w:t>
      </w:r>
      <w:r w:rsidR="00E37CD3">
        <w:rPr>
          <w:rFonts w:ascii="Arial" w:eastAsia="Calibri" w:hAnsi="Arial" w:cs="Arial"/>
          <w:bCs/>
          <w:sz w:val="22"/>
          <w:szCs w:val="22"/>
          <w:lang w:val="es-ES_tradnl"/>
        </w:rPr>
        <w:t>contratos o convenios</w:t>
      </w:r>
      <w:r w:rsidR="00AA7619">
        <w:rPr>
          <w:rFonts w:ascii="Arial" w:eastAsia="Calibri" w:hAnsi="Arial" w:cs="Arial"/>
          <w:bCs/>
          <w:sz w:val="22"/>
          <w:szCs w:val="22"/>
          <w:lang w:val="es-ES_tradnl"/>
        </w:rPr>
        <w:t xml:space="preserve"> de </w:t>
      </w:r>
      <w:r w:rsidR="008150B1">
        <w:rPr>
          <w:rFonts w:ascii="Arial" w:eastAsia="Calibri" w:hAnsi="Arial" w:cs="Arial"/>
          <w:bCs/>
          <w:sz w:val="22"/>
          <w:szCs w:val="22"/>
          <w:lang w:val="es-ES_tradnl"/>
        </w:rPr>
        <w:t>cualquier naturaleza</w:t>
      </w:r>
      <w:r w:rsidR="004468C3" w:rsidRPr="004468C3">
        <w:rPr>
          <w:rFonts w:ascii="Arial" w:eastAsia="Calibri" w:hAnsi="Arial" w:cs="Arial"/>
          <w:bCs/>
          <w:sz w:val="22"/>
          <w:szCs w:val="22"/>
          <w:lang w:val="es-ES_tradnl"/>
        </w:rPr>
        <w:t xml:space="preserve"> </w:t>
      </w:r>
      <w:r w:rsidR="004468C3">
        <w:rPr>
          <w:rFonts w:ascii="Arial" w:eastAsia="Calibri" w:hAnsi="Arial" w:cs="Arial"/>
          <w:bCs/>
          <w:sz w:val="22"/>
          <w:szCs w:val="22"/>
          <w:lang w:val="es-ES_tradnl"/>
        </w:rPr>
        <w:t>sin importar de su denominación</w:t>
      </w:r>
      <w:r w:rsidR="004468C3" w:rsidRPr="00692C6F">
        <w:rPr>
          <w:rFonts w:ascii="Arial" w:eastAsia="Calibri" w:hAnsi="Arial" w:cs="Arial"/>
          <w:bCs/>
          <w:sz w:val="22"/>
          <w:lang w:val="es-ES_tradnl"/>
        </w:rPr>
        <w:t>.</w:t>
      </w:r>
      <w:r w:rsidR="00AA7619">
        <w:rPr>
          <w:rFonts w:ascii="Arial" w:eastAsia="Calibri" w:hAnsi="Arial" w:cs="Arial"/>
          <w:bCs/>
          <w:sz w:val="22"/>
          <w:szCs w:val="22"/>
          <w:lang w:val="es-ES_tradnl"/>
        </w:rPr>
        <w:t xml:space="preserve"> </w:t>
      </w:r>
      <w:r w:rsidR="009B0522" w:rsidRPr="00692C6F">
        <w:rPr>
          <w:rFonts w:ascii="Arial" w:eastAsia="Calibri" w:hAnsi="Arial" w:cs="Arial"/>
          <w:bCs/>
          <w:sz w:val="22"/>
          <w:lang w:val="es-ES_tradnl"/>
        </w:rPr>
        <w:t>En ese sentido, la adquisición de bienes, obras o servicios que deba realizarse con ocasión de los compromisos pactados en contratos</w:t>
      </w:r>
      <w:r w:rsidR="00E37CD3">
        <w:rPr>
          <w:rFonts w:ascii="Arial" w:eastAsia="Calibri" w:hAnsi="Arial" w:cs="Arial"/>
          <w:bCs/>
          <w:sz w:val="22"/>
          <w:lang w:val="es-ES_tradnl"/>
        </w:rPr>
        <w:t xml:space="preserve"> o </w:t>
      </w:r>
      <w:r w:rsidR="009B0522" w:rsidRPr="00692C6F">
        <w:rPr>
          <w:rFonts w:ascii="Arial" w:eastAsia="Calibri" w:hAnsi="Arial" w:cs="Arial"/>
          <w:bCs/>
          <w:sz w:val="22"/>
          <w:lang w:val="es-ES_tradnl"/>
        </w:rPr>
        <w:t>convenios</w:t>
      </w:r>
      <w:r w:rsidR="009B0522">
        <w:rPr>
          <w:rFonts w:ascii="Arial" w:eastAsia="Calibri" w:hAnsi="Arial" w:cs="Arial"/>
          <w:bCs/>
          <w:sz w:val="22"/>
          <w:lang w:val="es-ES_tradnl"/>
        </w:rPr>
        <w:t xml:space="preserve"> interadministrativos o </w:t>
      </w:r>
      <w:r w:rsidR="00E37CD3">
        <w:rPr>
          <w:rFonts w:ascii="Arial" w:eastAsia="Calibri" w:hAnsi="Arial" w:cs="Arial"/>
          <w:bCs/>
          <w:sz w:val="22"/>
          <w:lang w:val="es-ES_tradnl"/>
        </w:rPr>
        <w:t>acuerdo de voluntades de</w:t>
      </w:r>
      <w:r w:rsidR="009B0522">
        <w:rPr>
          <w:rFonts w:ascii="Arial" w:eastAsia="Calibri" w:hAnsi="Arial" w:cs="Arial"/>
          <w:bCs/>
          <w:sz w:val="22"/>
          <w:lang w:val="es-ES_tradnl"/>
        </w:rPr>
        <w:t xml:space="preserve"> cualquier </w:t>
      </w:r>
      <w:r w:rsidR="00E37CD3">
        <w:rPr>
          <w:rFonts w:ascii="Arial" w:eastAsia="Calibri" w:hAnsi="Arial" w:cs="Arial"/>
          <w:bCs/>
          <w:sz w:val="22"/>
          <w:lang w:val="es-ES_tradnl"/>
        </w:rPr>
        <w:t>naturaleza</w:t>
      </w:r>
      <w:r w:rsidR="009B0522" w:rsidRPr="00692C6F">
        <w:rPr>
          <w:rFonts w:ascii="Arial" w:eastAsia="Calibri" w:hAnsi="Arial" w:cs="Arial"/>
          <w:bCs/>
          <w:sz w:val="22"/>
          <w:lang w:val="es-ES_tradnl"/>
        </w:rPr>
        <w:t xml:space="preserve"> suscritos entre </w:t>
      </w:r>
      <w:r w:rsidR="00E37CD3">
        <w:rPr>
          <w:rFonts w:ascii="Arial" w:eastAsia="Calibri" w:hAnsi="Arial" w:cs="Arial"/>
          <w:bCs/>
          <w:sz w:val="22"/>
          <w:lang w:val="es-ES_tradnl"/>
        </w:rPr>
        <w:t xml:space="preserve">las </w:t>
      </w:r>
      <w:r w:rsidR="009B0522" w:rsidRPr="00692C6F">
        <w:rPr>
          <w:rFonts w:ascii="Arial" w:eastAsia="Calibri" w:hAnsi="Arial" w:cs="Arial"/>
          <w:bCs/>
          <w:sz w:val="22"/>
          <w:lang w:val="es-ES_tradnl"/>
        </w:rPr>
        <w:t>entidades</w:t>
      </w:r>
      <w:r w:rsidR="00E37CD3">
        <w:rPr>
          <w:rFonts w:ascii="Arial" w:eastAsia="Calibri" w:hAnsi="Arial" w:cs="Arial"/>
          <w:bCs/>
          <w:sz w:val="22"/>
          <w:lang w:val="es-ES_tradnl"/>
        </w:rPr>
        <w:t xml:space="preserve"> señaladas</w:t>
      </w:r>
      <w:r w:rsidR="009B0522" w:rsidRPr="00692C6F">
        <w:rPr>
          <w:rFonts w:ascii="Arial" w:eastAsia="Calibri" w:hAnsi="Arial" w:cs="Arial"/>
          <w:bCs/>
          <w:sz w:val="22"/>
          <w:lang w:val="es-ES_tradnl"/>
        </w:rPr>
        <w:t>, debe adelantarse, de manera obligatoria, aplicando los documentos tipo expedidos por esta Agencia.</w:t>
      </w:r>
    </w:p>
    <w:p w14:paraId="1929C6CC" w14:textId="37DFC256" w:rsidR="00090CAE" w:rsidRDefault="00AA7619" w:rsidP="007977F1">
      <w:pPr>
        <w:tabs>
          <w:tab w:val="left" w:pos="0"/>
        </w:tabs>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E</w:t>
      </w:r>
      <w:r w:rsidR="00A61F10">
        <w:rPr>
          <w:rFonts w:ascii="Arial" w:eastAsia="Calibri" w:hAnsi="Arial" w:cs="Arial"/>
          <w:bCs/>
          <w:sz w:val="22"/>
          <w:lang w:val="es-ES_tradnl"/>
        </w:rPr>
        <w:t xml:space="preserve">l alcance de esta expresión </w:t>
      </w:r>
      <w:r w:rsidR="001A7313" w:rsidRPr="001A7313">
        <w:rPr>
          <w:rFonts w:ascii="Arial" w:eastAsia="Calibri" w:hAnsi="Arial" w:cs="Arial"/>
          <w:bCs/>
          <w:sz w:val="22"/>
          <w:lang w:val="es-ES_tradnl"/>
        </w:rPr>
        <w:t xml:space="preserve">se ratifica </w:t>
      </w:r>
      <w:r w:rsidR="00897B2E">
        <w:rPr>
          <w:rFonts w:ascii="Arial" w:eastAsia="Calibri" w:hAnsi="Arial" w:cs="Arial"/>
          <w:bCs/>
          <w:sz w:val="22"/>
          <w:lang w:val="es-ES_tradnl"/>
        </w:rPr>
        <w:t xml:space="preserve">en </w:t>
      </w:r>
      <w:r w:rsidR="001A7313" w:rsidRPr="001A7313">
        <w:rPr>
          <w:rFonts w:ascii="Arial" w:eastAsia="Calibri" w:hAnsi="Arial" w:cs="Arial"/>
          <w:bCs/>
          <w:sz w:val="22"/>
          <w:lang w:val="es-ES_tradnl"/>
        </w:rPr>
        <w:t>el segundo inciso</w:t>
      </w:r>
      <w:r w:rsidR="00527440">
        <w:rPr>
          <w:rFonts w:ascii="Arial" w:eastAsia="Calibri" w:hAnsi="Arial" w:cs="Arial"/>
          <w:bCs/>
          <w:sz w:val="22"/>
          <w:lang w:val="es-ES_tradnl"/>
        </w:rPr>
        <w:t xml:space="preserve"> del artículo citado</w:t>
      </w:r>
      <w:r w:rsidR="001A7313" w:rsidRPr="001A7313">
        <w:rPr>
          <w:rFonts w:ascii="Arial" w:eastAsia="Calibri" w:hAnsi="Arial" w:cs="Arial"/>
          <w:bCs/>
          <w:sz w:val="22"/>
          <w:lang w:val="es-ES_tradnl"/>
        </w:rPr>
        <w:t xml:space="preserve"> </w:t>
      </w:r>
      <w:r w:rsidR="008F78EC">
        <w:rPr>
          <w:rFonts w:ascii="Arial" w:eastAsia="Calibri" w:hAnsi="Arial" w:cs="Arial"/>
          <w:bCs/>
          <w:sz w:val="22"/>
          <w:lang w:val="es-ES_tradnl"/>
        </w:rPr>
        <w:t xml:space="preserve">según el cual </w:t>
      </w:r>
      <w:r w:rsidR="00C1299A" w:rsidRPr="00E858D2">
        <w:rPr>
          <w:rFonts w:ascii="Arial" w:eastAsia="Calibri" w:hAnsi="Arial" w:cs="Arial"/>
          <w:bCs/>
          <w:sz w:val="21"/>
          <w:szCs w:val="21"/>
          <w:lang w:val="es-ES_tradnl"/>
        </w:rPr>
        <w:t>«</w:t>
      </w:r>
      <w:r w:rsidR="001A7313" w:rsidRPr="001A7313">
        <w:rPr>
          <w:rFonts w:ascii="Arial" w:eastAsia="Calibri" w:hAnsi="Arial" w:cs="Arial"/>
          <w:bCs/>
          <w:sz w:val="22"/>
          <w:lang w:val="es-ES_tradnl"/>
        </w:rPr>
        <w:t xml:space="preserve">los procedimientos de selección y los contratos que realicen en desarrollo de los anteriores </w:t>
      </w:r>
      <w:r w:rsidR="001A7313" w:rsidRPr="008F78EC">
        <w:rPr>
          <w:rFonts w:ascii="Arial" w:eastAsia="Calibri" w:hAnsi="Arial" w:cs="Arial"/>
          <w:bCs/>
          <w:i/>
          <w:iCs/>
          <w:sz w:val="22"/>
          <w:lang w:val="es-ES_tradnl"/>
        </w:rPr>
        <w:t>negocios jurídico</w:t>
      </w:r>
      <w:r w:rsidR="008F78EC">
        <w:rPr>
          <w:rFonts w:ascii="Arial" w:eastAsia="Calibri" w:hAnsi="Arial" w:cs="Arial"/>
          <w:bCs/>
          <w:i/>
          <w:iCs/>
          <w:sz w:val="22"/>
          <w:lang w:val="es-ES_tradnl"/>
        </w:rPr>
        <w:t>s,</w:t>
      </w:r>
      <w:r w:rsidR="008F78EC" w:rsidRPr="008F78EC">
        <w:rPr>
          <w:rFonts w:ascii="Arial" w:eastAsia="Calibri" w:hAnsi="Arial" w:cs="Arial"/>
          <w:bCs/>
          <w:sz w:val="22"/>
          <w:lang w:val="es-ES_tradnl"/>
        </w:rPr>
        <w:t xml:space="preserve"> donde apliquen los documentos tipo se regirán por el Estatuto General de Contratación d</w:t>
      </w:r>
      <w:r w:rsidR="00DB350B">
        <w:rPr>
          <w:rFonts w:ascii="Arial" w:eastAsia="Calibri" w:hAnsi="Arial" w:cs="Arial"/>
          <w:bCs/>
          <w:sz w:val="22"/>
          <w:lang w:val="es-ES_tradnl"/>
        </w:rPr>
        <w:t>e</w:t>
      </w:r>
      <w:r w:rsidR="008F78EC" w:rsidRPr="008F78EC">
        <w:rPr>
          <w:rFonts w:ascii="Arial" w:eastAsia="Calibri" w:hAnsi="Arial" w:cs="Arial"/>
          <w:bCs/>
          <w:sz w:val="22"/>
          <w:lang w:val="es-ES_tradnl"/>
        </w:rPr>
        <w:t xml:space="preserve"> la Administración pública</w:t>
      </w:r>
      <w:r w:rsidR="00527440" w:rsidRPr="00E858D2">
        <w:rPr>
          <w:rFonts w:ascii="Arial" w:eastAsia="Calibri" w:hAnsi="Arial" w:cs="Arial"/>
          <w:bCs/>
          <w:sz w:val="22"/>
          <w:szCs w:val="22"/>
          <w:lang w:val="es-ES_tradnl"/>
        </w:rPr>
        <w:t>»</w:t>
      </w:r>
      <w:r w:rsidR="001A7313" w:rsidRPr="001A7313">
        <w:rPr>
          <w:rFonts w:ascii="Arial" w:eastAsia="Calibri" w:hAnsi="Arial" w:cs="Arial"/>
          <w:bCs/>
          <w:sz w:val="22"/>
          <w:lang w:val="es-ES_tradnl"/>
        </w:rPr>
        <w:t xml:space="preserve">. </w:t>
      </w:r>
      <w:r w:rsidR="00DC5DFB">
        <w:rPr>
          <w:rFonts w:ascii="Arial" w:eastAsia="Calibri" w:hAnsi="Arial" w:cs="Arial"/>
          <w:bCs/>
          <w:sz w:val="22"/>
          <w:lang w:val="es-ES_tradnl"/>
        </w:rPr>
        <w:t xml:space="preserve">Como se </w:t>
      </w:r>
      <w:r w:rsidR="00090CAE">
        <w:rPr>
          <w:rFonts w:ascii="Arial" w:eastAsia="Calibri" w:hAnsi="Arial" w:cs="Arial"/>
          <w:bCs/>
          <w:sz w:val="22"/>
          <w:lang w:val="es-ES_tradnl"/>
        </w:rPr>
        <w:t>evidencia</w:t>
      </w:r>
      <w:r w:rsidR="001A7313" w:rsidRPr="001A7313">
        <w:rPr>
          <w:rFonts w:ascii="Arial" w:eastAsia="Calibri" w:hAnsi="Arial" w:cs="Arial"/>
          <w:bCs/>
          <w:sz w:val="22"/>
          <w:lang w:val="es-ES_tradnl"/>
        </w:rPr>
        <w:t xml:space="preserve">, </w:t>
      </w:r>
      <w:r w:rsidR="00DB350B">
        <w:rPr>
          <w:rFonts w:ascii="Arial" w:eastAsia="Calibri" w:hAnsi="Arial" w:cs="Arial"/>
          <w:bCs/>
          <w:sz w:val="22"/>
          <w:lang w:val="es-ES_tradnl"/>
        </w:rPr>
        <w:t>l</w:t>
      </w:r>
      <w:r w:rsidR="00090CAE">
        <w:rPr>
          <w:rFonts w:ascii="Arial" w:eastAsia="Calibri" w:hAnsi="Arial" w:cs="Arial"/>
          <w:bCs/>
          <w:sz w:val="22"/>
          <w:lang w:val="es-ES_tradnl"/>
        </w:rPr>
        <w:t xml:space="preserve">a </w:t>
      </w:r>
      <w:r w:rsidR="00090CAE">
        <w:rPr>
          <w:rFonts w:ascii="Arial" w:eastAsia="Calibri" w:hAnsi="Arial" w:cs="Arial"/>
          <w:bCs/>
          <w:sz w:val="22"/>
          <w:lang w:val="es-ES_tradnl"/>
        </w:rPr>
        <w:lastRenderedPageBreak/>
        <w:t xml:space="preserve">norma alude a los </w:t>
      </w:r>
      <w:r w:rsidR="00090CAE" w:rsidRPr="00DB350B">
        <w:rPr>
          <w:rFonts w:ascii="Arial" w:eastAsia="Calibri" w:hAnsi="Arial" w:cs="Arial"/>
          <w:bCs/>
          <w:i/>
          <w:iCs/>
          <w:sz w:val="22"/>
          <w:lang w:val="es-ES_tradnl"/>
        </w:rPr>
        <w:t>negocios jurídicos</w:t>
      </w:r>
      <w:r w:rsidR="00090CAE" w:rsidRPr="00DB350B">
        <w:rPr>
          <w:rFonts w:ascii="Arial" w:eastAsia="Calibri" w:hAnsi="Arial" w:cs="Arial"/>
          <w:bCs/>
          <w:sz w:val="22"/>
          <w:lang w:val="es-ES_tradnl"/>
        </w:rPr>
        <w:t xml:space="preserve"> </w:t>
      </w:r>
      <w:r w:rsidR="00DB350B" w:rsidRPr="00DB350B">
        <w:rPr>
          <w:rFonts w:ascii="Arial" w:eastAsia="Calibri" w:hAnsi="Arial" w:cs="Arial"/>
          <w:bCs/>
          <w:sz w:val="22"/>
          <w:lang w:val="es-ES_tradnl"/>
        </w:rPr>
        <w:t>sin realizar una denominación particular, por ello se entiende que se</w:t>
      </w:r>
      <w:r w:rsidR="00DB350B">
        <w:rPr>
          <w:rFonts w:ascii="Arial" w:eastAsia="Calibri" w:hAnsi="Arial" w:cs="Arial"/>
          <w:bCs/>
          <w:sz w:val="22"/>
          <w:lang w:val="es-ES_tradnl"/>
        </w:rPr>
        <w:t xml:space="preserve"> refiere tanto a </w:t>
      </w:r>
      <w:r w:rsidR="00DB350B" w:rsidRPr="001A7313">
        <w:rPr>
          <w:rFonts w:ascii="Arial" w:eastAsia="Calibri" w:hAnsi="Arial" w:cs="Arial"/>
          <w:bCs/>
          <w:sz w:val="22"/>
          <w:lang w:val="es-ES_tradnl"/>
        </w:rPr>
        <w:t>los contratos o convenios interadministrativo</w:t>
      </w:r>
      <w:r w:rsidR="00DB350B">
        <w:rPr>
          <w:rFonts w:ascii="Arial" w:eastAsia="Calibri" w:hAnsi="Arial" w:cs="Arial"/>
          <w:bCs/>
          <w:sz w:val="22"/>
          <w:lang w:val="es-ES_tradnl"/>
        </w:rPr>
        <w:t xml:space="preserve"> </w:t>
      </w:r>
      <w:r w:rsidR="00DB350B" w:rsidRPr="001A7313">
        <w:rPr>
          <w:rFonts w:ascii="Arial" w:eastAsia="Calibri" w:hAnsi="Arial" w:cs="Arial"/>
          <w:bCs/>
          <w:sz w:val="22"/>
          <w:lang w:val="es-ES_tradnl"/>
        </w:rPr>
        <w:t xml:space="preserve">como </w:t>
      </w:r>
      <w:r w:rsidR="00DB350B">
        <w:rPr>
          <w:rFonts w:ascii="Arial" w:eastAsia="Calibri" w:hAnsi="Arial" w:cs="Arial"/>
          <w:bCs/>
          <w:sz w:val="22"/>
          <w:lang w:val="es-ES_tradnl"/>
        </w:rPr>
        <w:t xml:space="preserve">a </w:t>
      </w:r>
      <w:r w:rsidR="00DB350B" w:rsidRPr="001A7313">
        <w:rPr>
          <w:rFonts w:ascii="Arial" w:eastAsia="Calibri" w:hAnsi="Arial" w:cs="Arial"/>
          <w:bCs/>
          <w:sz w:val="22"/>
          <w:lang w:val="es-ES_tradnl"/>
        </w:rPr>
        <w:t>cualquier otro acuerdo de voluntades</w:t>
      </w:r>
      <w:r w:rsidR="00DB350B">
        <w:rPr>
          <w:rFonts w:ascii="Arial" w:eastAsia="Calibri" w:hAnsi="Arial" w:cs="Arial"/>
          <w:bCs/>
          <w:sz w:val="22"/>
          <w:lang w:val="es-ES_tradnl"/>
        </w:rPr>
        <w:t xml:space="preserve">, </w:t>
      </w:r>
      <w:r w:rsidR="00BF1D44">
        <w:rPr>
          <w:rFonts w:ascii="Arial" w:eastAsia="Calibri" w:hAnsi="Arial" w:cs="Arial"/>
          <w:bCs/>
          <w:sz w:val="22"/>
          <w:lang w:val="es-ES_tradnl"/>
        </w:rPr>
        <w:t xml:space="preserve">independientemente de su </w:t>
      </w:r>
      <w:r w:rsidR="002A7AFB">
        <w:rPr>
          <w:rFonts w:ascii="Arial" w:eastAsia="Calibri" w:hAnsi="Arial" w:cs="Arial"/>
          <w:bCs/>
          <w:sz w:val="22"/>
          <w:lang w:val="es-ES_tradnl"/>
        </w:rPr>
        <w:t>tipología contractual</w:t>
      </w:r>
      <w:r w:rsidR="00BF1D44">
        <w:rPr>
          <w:rFonts w:ascii="Arial" w:eastAsia="Calibri" w:hAnsi="Arial" w:cs="Arial"/>
          <w:bCs/>
          <w:sz w:val="22"/>
          <w:lang w:val="es-ES_tradnl"/>
        </w:rPr>
        <w:t>.</w:t>
      </w:r>
    </w:p>
    <w:p w14:paraId="079ADEFF" w14:textId="2DE9BA83" w:rsidR="00CF539C" w:rsidRDefault="00564ED5" w:rsidP="007977F1">
      <w:pPr>
        <w:tabs>
          <w:tab w:val="left" w:pos="0"/>
        </w:tabs>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Lo</w:t>
      </w:r>
      <w:r w:rsidR="00DC5DFB">
        <w:rPr>
          <w:rFonts w:ascii="Arial" w:eastAsia="Calibri" w:hAnsi="Arial" w:cs="Arial"/>
          <w:bCs/>
          <w:sz w:val="22"/>
          <w:lang w:val="es-ES_tradnl"/>
        </w:rPr>
        <w:t xml:space="preserve"> </w:t>
      </w:r>
      <w:r w:rsidR="00D65A92">
        <w:rPr>
          <w:rFonts w:ascii="Arial" w:eastAsia="Calibri" w:hAnsi="Arial" w:cs="Arial"/>
          <w:bCs/>
          <w:sz w:val="22"/>
          <w:lang w:val="es-ES_tradnl"/>
        </w:rPr>
        <w:t xml:space="preserve">expuesto </w:t>
      </w:r>
      <w:r w:rsidR="00DC5DFB">
        <w:rPr>
          <w:rFonts w:ascii="Arial" w:eastAsia="Calibri" w:hAnsi="Arial" w:cs="Arial"/>
          <w:bCs/>
          <w:sz w:val="22"/>
          <w:lang w:val="es-ES_tradnl"/>
        </w:rPr>
        <w:t xml:space="preserve">no solo se </w:t>
      </w:r>
      <w:r w:rsidR="00D30418">
        <w:rPr>
          <w:rFonts w:ascii="Arial" w:eastAsia="Calibri" w:hAnsi="Arial" w:cs="Arial"/>
          <w:bCs/>
          <w:sz w:val="22"/>
          <w:lang w:val="es-ES_tradnl"/>
        </w:rPr>
        <w:t>sustenta de</w:t>
      </w:r>
      <w:r w:rsidR="00DC5DFB">
        <w:rPr>
          <w:rFonts w:ascii="Arial" w:eastAsia="Calibri" w:hAnsi="Arial" w:cs="Arial"/>
          <w:bCs/>
          <w:sz w:val="22"/>
          <w:lang w:val="es-ES_tradnl"/>
        </w:rPr>
        <w:t xml:space="preserve"> la interpretación </w:t>
      </w:r>
      <w:r w:rsidR="00D30418">
        <w:rPr>
          <w:rFonts w:ascii="Arial" w:eastAsia="Calibri" w:hAnsi="Arial" w:cs="Arial"/>
          <w:bCs/>
          <w:sz w:val="22"/>
          <w:lang w:val="es-ES_tradnl"/>
        </w:rPr>
        <w:t>literal</w:t>
      </w:r>
      <w:r w:rsidR="00DC5DFB">
        <w:rPr>
          <w:rFonts w:ascii="Arial" w:eastAsia="Calibri" w:hAnsi="Arial" w:cs="Arial"/>
          <w:bCs/>
          <w:sz w:val="22"/>
          <w:lang w:val="es-ES_tradnl"/>
        </w:rPr>
        <w:t xml:space="preserve"> de la norma</w:t>
      </w:r>
      <w:r w:rsidR="00C12408">
        <w:rPr>
          <w:rFonts w:ascii="Arial" w:eastAsia="Calibri" w:hAnsi="Arial" w:cs="Arial"/>
          <w:bCs/>
          <w:sz w:val="22"/>
          <w:lang w:val="es-ES_tradnl"/>
        </w:rPr>
        <w:t xml:space="preserve">, </w:t>
      </w:r>
      <w:r w:rsidR="00DC5DFB">
        <w:rPr>
          <w:rFonts w:ascii="Arial" w:eastAsia="Calibri" w:hAnsi="Arial" w:cs="Arial"/>
          <w:bCs/>
          <w:sz w:val="22"/>
          <w:lang w:val="es-ES_tradnl"/>
        </w:rPr>
        <w:t>sino también de su finalidad</w:t>
      </w:r>
      <w:r w:rsidR="00D30418">
        <w:rPr>
          <w:rFonts w:ascii="Arial" w:eastAsia="Calibri" w:hAnsi="Arial" w:cs="Arial"/>
          <w:bCs/>
          <w:sz w:val="22"/>
          <w:lang w:val="es-ES_tradnl"/>
        </w:rPr>
        <w:t>.</w:t>
      </w:r>
      <w:r w:rsidR="00D65A92">
        <w:rPr>
          <w:rFonts w:ascii="Arial" w:eastAsia="Calibri" w:hAnsi="Arial" w:cs="Arial"/>
          <w:bCs/>
          <w:sz w:val="22"/>
          <w:lang w:val="es-ES_tradnl"/>
        </w:rPr>
        <w:t xml:space="preserve"> En efecto, como se explicó, </w:t>
      </w:r>
      <w:r w:rsidR="00D65A92" w:rsidRPr="00E858D2">
        <w:rPr>
          <w:rFonts w:ascii="Arial" w:eastAsia="Calibri" w:hAnsi="Arial" w:cs="Arial"/>
          <w:bCs/>
          <w:sz w:val="22"/>
          <w:lang w:val="es-ES_tradnl"/>
        </w:rPr>
        <w:t xml:space="preserve">el propósito del legislador con la expedición de la norma objeto de consulta, es que las entidades estatales que tienen como régimen </w:t>
      </w:r>
      <w:r w:rsidR="00D65A92">
        <w:rPr>
          <w:rFonts w:ascii="Arial" w:eastAsia="Calibri" w:hAnsi="Arial" w:cs="Arial"/>
          <w:bCs/>
          <w:sz w:val="22"/>
          <w:lang w:val="es-ES_tradnl"/>
        </w:rPr>
        <w:t>contractual</w:t>
      </w:r>
      <w:r w:rsidR="00D65A92" w:rsidRPr="00E858D2">
        <w:rPr>
          <w:rFonts w:ascii="Arial" w:eastAsia="Calibri" w:hAnsi="Arial" w:cs="Arial"/>
          <w:bCs/>
          <w:sz w:val="22"/>
          <w:lang w:val="es-ES_tradnl"/>
        </w:rPr>
        <w:t xml:space="preserve">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w:t>
      </w:r>
      <w:r w:rsidR="00075057">
        <w:rPr>
          <w:rFonts w:ascii="Arial" w:eastAsia="Calibri" w:hAnsi="Arial" w:cs="Arial"/>
          <w:bCs/>
          <w:sz w:val="22"/>
          <w:lang w:val="es-ES_tradnl"/>
        </w:rPr>
        <w:t xml:space="preserve"> </w:t>
      </w:r>
      <w:r w:rsidR="0036098D">
        <w:rPr>
          <w:rFonts w:ascii="Arial" w:eastAsia="Calibri" w:hAnsi="Arial" w:cs="Arial"/>
          <w:bCs/>
          <w:sz w:val="22"/>
          <w:lang w:val="es-ES_tradnl"/>
        </w:rPr>
        <w:t>Pues bien,</w:t>
      </w:r>
      <w:r w:rsidR="00CF539C">
        <w:rPr>
          <w:rFonts w:ascii="Arial" w:eastAsia="Calibri" w:hAnsi="Arial" w:cs="Arial"/>
          <w:bCs/>
          <w:sz w:val="22"/>
          <w:lang w:val="es-ES_tradnl"/>
        </w:rPr>
        <w:t xml:space="preserve"> </w:t>
      </w:r>
      <w:r w:rsidR="0036098D">
        <w:rPr>
          <w:rFonts w:ascii="Arial" w:eastAsia="Calibri" w:hAnsi="Arial" w:cs="Arial"/>
          <w:bCs/>
          <w:sz w:val="22"/>
          <w:lang w:val="es-ES_tradnl"/>
        </w:rPr>
        <w:t xml:space="preserve">este </w:t>
      </w:r>
      <w:r w:rsidR="00CF539C">
        <w:rPr>
          <w:rFonts w:ascii="Arial" w:eastAsia="Calibri" w:hAnsi="Arial" w:cs="Arial"/>
          <w:bCs/>
          <w:sz w:val="22"/>
          <w:lang w:val="es-ES_tradnl"/>
        </w:rPr>
        <w:t xml:space="preserve">propósito se cumple en el marco de cualquier acuerdo de voluntades independientemente de su denominación contractual, permitiendo que la aplicación de la norma se extienda más allá de los convenios o contratos interadministrativos. De esta manera, cuando se celebren contratos o convenios entre las entidades señaladas que no </w:t>
      </w:r>
      <w:r w:rsidR="0036098D">
        <w:rPr>
          <w:rFonts w:ascii="Arial" w:eastAsia="Calibri" w:hAnsi="Arial" w:cs="Arial"/>
          <w:bCs/>
          <w:sz w:val="22"/>
          <w:lang w:val="es-ES_tradnl"/>
        </w:rPr>
        <w:t>sean</w:t>
      </w:r>
      <w:r w:rsidR="003E62C1">
        <w:rPr>
          <w:rFonts w:ascii="Arial" w:eastAsia="Calibri" w:hAnsi="Arial" w:cs="Arial"/>
          <w:bCs/>
          <w:sz w:val="22"/>
          <w:lang w:val="es-ES_tradnl"/>
        </w:rPr>
        <w:t xml:space="preserve"> catalogados como</w:t>
      </w:r>
      <w:r w:rsidR="0036098D">
        <w:rPr>
          <w:rFonts w:ascii="Arial" w:eastAsia="Calibri" w:hAnsi="Arial" w:cs="Arial"/>
          <w:bCs/>
          <w:sz w:val="22"/>
          <w:lang w:val="es-ES_tradnl"/>
        </w:rPr>
        <w:t xml:space="preserve"> interadministrativos</w:t>
      </w:r>
      <w:r w:rsidR="00CF539C">
        <w:rPr>
          <w:rFonts w:ascii="Arial" w:eastAsia="Calibri" w:hAnsi="Arial" w:cs="Arial"/>
          <w:bCs/>
          <w:sz w:val="22"/>
          <w:lang w:val="es-ES_tradnl"/>
        </w:rPr>
        <w:t xml:space="preserve"> también </w:t>
      </w:r>
      <w:r w:rsidR="0036098D">
        <w:rPr>
          <w:rFonts w:ascii="Arial" w:eastAsia="Calibri" w:hAnsi="Arial" w:cs="Arial"/>
          <w:bCs/>
          <w:sz w:val="22"/>
          <w:lang w:val="es-ES_tradnl"/>
        </w:rPr>
        <w:t>será</w:t>
      </w:r>
      <w:r w:rsidR="00CF539C">
        <w:rPr>
          <w:rFonts w:ascii="Arial" w:eastAsia="Calibri" w:hAnsi="Arial" w:cs="Arial"/>
          <w:bCs/>
          <w:sz w:val="22"/>
          <w:lang w:val="es-ES_tradnl"/>
        </w:rPr>
        <w:t xml:space="preserve"> obligatoria su aplicación. </w:t>
      </w:r>
      <w:r w:rsidR="0036098D">
        <w:rPr>
          <w:rFonts w:ascii="Arial" w:eastAsia="Calibri" w:hAnsi="Arial" w:cs="Arial"/>
          <w:bCs/>
          <w:sz w:val="22"/>
          <w:lang w:val="es-ES_tradnl"/>
        </w:rPr>
        <w:t xml:space="preserve">Una interpretación distinta supondría que las entidades señaladas realicen un acuerdo de voluntades cuya denominación no sea contrato o convenio interadministrativo, so pretexto de no aplicar los documentos tipo eludiendo así su obligación. </w:t>
      </w:r>
    </w:p>
    <w:p w14:paraId="6DF88A0C" w14:textId="6BBF38E3" w:rsidR="00425444" w:rsidRDefault="001A7313" w:rsidP="007977F1">
      <w:pPr>
        <w:tabs>
          <w:tab w:val="left" w:pos="0"/>
        </w:tabs>
        <w:spacing w:before="120" w:line="276" w:lineRule="auto"/>
        <w:ind w:firstLine="709"/>
        <w:jc w:val="both"/>
        <w:rPr>
          <w:rFonts w:ascii="Arial" w:eastAsia="Calibri" w:hAnsi="Arial" w:cs="Arial"/>
          <w:bCs/>
          <w:sz w:val="22"/>
          <w:lang w:val="es-ES_tradnl"/>
        </w:rPr>
      </w:pPr>
      <w:r w:rsidRPr="001A7313">
        <w:rPr>
          <w:rFonts w:ascii="Arial" w:eastAsia="Calibri" w:hAnsi="Arial" w:cs="Arial"/>
          <w:bCs/>
          <w:sz w:val="22"/>
          <w:lang w:val="es-ES_tradnl"/>
        </w:rPr>
        <w:t xml:space="preserve">En este sentido, lo determinante </w:t>
      </w:r>
      <w:r w:rsidR="002414D3" w:rsidRPr="001A7313">
        <w:rPr>
          <w:rFonts w:ascii="Arial" w:eastAsia="Calibri" w:hAnsi="Arial" w:cs="Arial"/>
          <w:bCs/>
          <w:sz w:val="22"/>
          <w:lang w:val="es-ES_tradnl"/>
        </w:rPr>
        <w:t xml:space="preserve">para </w:t>
      </w:r>
      <w:r w:rsidR="002414D3">
        <w:rPr>
          <w:rFonts w:ascii="Arial" w:eastAsia="Calibri" w:hAnsi="Arial" w:cs="Arial"/>
          <w:bCs/>
          <w:sz w:val="22"/>
          <w:lang w:val="es-ES_tradnl"/>
        </w:rPr>
        <w:t>la aplicación del artículo 56 de la Ley 2195 de 2022</w:t>
      </w:r>
      <w:r w:rsidRPr="001A7313">
        <w:rPr>
          <w:rFonts w:ascii="Arial" w:eastAsia="Calibri" w:hAnsi="Arial" w:cs="Arial"/>
          <w:bCs/>
          <w:sz w:val="22"/>
          <w:lang w:val="es-ES_tradnl"/>
        </w:rPr>
        <w:t xml:space="preserve"> es la existencia de un </w:t>
      </w:r>
      <w:r w:rsidR="00955463">
        <w:rPr>
          <w:rFonts w:ascii="Arial" w:eastAsia="Calibri" w:hAnsi="Arial" w:cs="Arial"/>
          <w:bCs/>
          <w:sz w:val="22"/>
          <w:lang w:val="es-ES_tradnl"/>
        </w:rPr>
        <w:t xml:space="preserve">contrato o convenio </w:t>
      </w:r>
      <w:r w:rsidRPr="001A7313">
        <w:rPr>
          <w:rFonts w:ascii="Arial" w:eastAsia="Calibri" w:hAnsi="Arial" w:cs="Arial"/>
          <w:bCs/>
          <w:sz w:val="22"/>
          <w:lang w:val="es-ES_tradnl"/>
        </w:rPr>
        <w:t>entre entidades estatales sometidas al EGCAP con entidades estatales exceptuadas</w:t>
      </w:r>
      <w:r w:rsidR="007210A9">
        <w:rPr>
          <w:rFonts w:ascii="Arial" w:eastAsia="Calibri" w:hAnsi="Arial" w:cs="Arial"/>
          <w:bCs/>
          <w:sz w:val="22"/>
          <w:lang w:val="es-ES_tradnl"/>
        </w:rPr>
        <w:t xml:space="preserve"> de</w:t>
      </w:r>
      <w:r w:rsidR="00E0573A">
        <w:rPr>
          <w:rFonts w:ascii="Arial" w:eastAsia="Calibri" w:hAnsi="Arial" w:cs="Arial"/>
          <w:bCs/>
          <w:sz w:val="22"/>
          <w:lang w:val="es-ES_tradnl"/>
        </w:rPr>
        <w:t>l</w:t>
      </w:r>
      <w:r w:rsidR="007210A9">
        <w:rPr>
          <w:rFonts w:ascii="Arial" w:eastAsia="Calibri" w:hAnsi="Arial" w:cs="Arial"/>
          <w:bCs/>
          <w:sz w:val="22"/>
          <w:lang w:val="es-ES_tradnl"/>
        </w:rPr>
        <w:t xml:space="preserve"> </w:t>
      </w:r>
      <w:r w:rsidR="007210A9" w:rsidRPr="001A7313">
        <w:rPr>
          <w:rFonts w:ascii="Arial" w:eastAsia="Calibri" w:hAnsi="Arial" w:cs="Arial"/>
          <w:bCs/>
          <w:sz w:val="22"/>
          <w:lang w:val="es-ES_tradnl"/>
        </w:rPr>
        <w:t>EGCAP</w:t>
      </w:r>
      <w:r w:rsidRPr="001A7313">
        <w:rPr>
          <w:rFonts w:ascii="Arial" w:eastAsia="Calibri" w:hAnsi="Arial" w:cs="Arial"/>
          <w:bCs/>
          <w:sz w:val="22"/>
          <w:lang w:val="es-ES_tradnl"/>
        </w:rPr>
        <w:t>, patrimonios autónomos, personas naturales o jurídicas de derecho privado</w:t>
      </w:r>
      <w:r w:rsidR="00CD71E9">
        <w:rPr>
          <w:rFonts w:ascii="Arial" w:eastAsia="Calibri" w:hAnsi="Arial" w:cs="Arial"/>
          <w:bCs/>
          <w:sz w:val="22"/>
          <w:lang w:val="es-ES_tradnl"/>
        </w:rPr>
        <w:t xml:space="preserve">, </w:t>
      </w:r>
      <w:r w:rsidR="00955463">
        <w:rPr>
          <w:rFonts w:ascii="Arial" w:eastAsia="Calibri" w:hAnsi="Arial" w:cs="Arial"/>
          <w:bCs/>
          <w:sz w:val="22"/>
          <w:lang w:val="es-ES_tradnl"/>
        </w:rPr>
        <w:t>cualquiera que sea su tipología o denominación contractual</w:t>
      </w:r>
      <w:r w:rsidRPr="001A7313">
        <w:rPr>
          <w:rFonts w:ascii="Arial" w:eastAsia="Calibri" w:hAnsi="Arial" w:cs="Arial"/>
          <w:bCs/>
          <w:sz w:val="22"/>
          <w:lang w:val="es-ES_tradnl"/>
        </w:rPr>
        <w:t>. Lo anterior con independencia del tipo de recursos que se utilicen para la ejecución</w:t>
      </w:r>
      <w:r w:rsidR="00425444">
        <w:rPr>
          <w:rFonts w:ascii="Arial" w:eastAsia="Calibri" w:hAnsi="Arial" w:cs="Arial"/>
          <w:bCs/>
          <w:sz w:val="22"/>
          <w:lang w:val="es-ES_tradnl"/>
        </w:rPr>
        <w:t xml:space="preserve">, </w:t>
      </w:r>
      <w:r w:rsidRPr="001A7313">
        <w:rPr>
          <w:rFonts w:ascii="Arial" w:eastAsia="Calibri" w:hAnsi="Arial" w:cs="Arial"/>
          <w:bCs/>
          <w:sz w:val="22"/>
          <w:lang w:val="es-ES_tradnl"/>
        </w:rPr>
        <w:t>puesto que la norma no hace distinción alguna</w:t>
      </w:r>
      <w:r w:rsidR="00C12408">
        <w:rPr>
          <w:rFonts w:ascii="Arial" w:eastAsia="Calibri" w:hAnsi="Arial" w:cs="Arial"/>
          <w:bCs/>
          <w:sz w:val="22"/>
          <w:lang w:val="es-ES_tradnl"/>
        </w:rPr>
        <w:t xml:space="preserve"> sobre el particular</w:t>
      </w:r>
      <w:r w:rsidRPr="001A7313">
        <w:rPr>
          <w:rFonts w:ascii="Arial" w:eastAsia="Calibri" w:hAnsi="Arial" w:cs="Arial"/>
          <w:bCs/>
          <w:sz w:val="22"/>
          <w:lang w:val="es-ES_tradnl"/>
        </w:rPr>
        <w:t xml:space="preserve">. Por tanto, siempre que exista </w:t>
      </w:r>
      <w:r w:rsidR="00955463">
        <w:rPr>
          <w:rFonts w:ascii="Arial" w:eastAsia="Calibri" w:hAnsi="Arial" w:cs="Arial"/>
          <w:bCs/>
          <w:sz w:val="22"/>
          <w:lang w:val="es-ES_tradnl"/>
        </w:rPr>
        <w:t xml:space="preserve">un acuerdo de voluntades </w:t>
      </w:r>
      <w:r w:rsidRPr="001A7313">
        <w:rPr>
          <w:rFonts w:ascii="Arial" w:eastAsia="Calibri" w:hAnsi="Arial" w:cs="Arial"/>
          <w:bCs/>
          <w:sz w:val="22"/>
          <w:lang w:val="es-ES_tradnl"/>
        </w:rPr>
        <w:t xml:space="preserve">en los términos señalados y se cumplan </w:t>
      </w:r>
      <w:r w:rsidR="00C12408">
        <w:rPr>
          <w:rFonts w:ascii="Arial" w:eastAsia="Calibri" w:hAnsi="Arial" w:cs="Arial"/>
          <w:bCs/>
          <w:sz w:val="22"/>
          <w:lang w:val="es-ES_tradnl"/>
        </w:rPr>
        <w:t>l</w:t>
      </w:r>
      <w:r w:rsidRPr="001A7313">
        <w:rPr>
          <w:rFonts w:ascii="Arial" w:eastAsia="Calibri" w:hAnsi="Arial" w:cs="Arial"/>
          <w:bCs/>
          <w:sz w:val="22"/>
          <w:lang w:val="es-ES_tradnl"/>
        </w:rPr>
        <w:t>os demás presupuestos de la norma, deberá aplica</w:t>
      </w:r>
      <w:r w:rsidR="00764996">
        <w:rPr>
          <w:rFonts w:ascii="Arial" w:eastAsia="Calibri" w:hAnsi="Arial" w:cs="Arial"/>
          <w:bCs/>
          <w:sz w:val="22"/>
          <w:lang w:val="es-ES_tradnl"/>
        </w:rPr>
        <w:t>rse</w:t>
      </w:r>
      <w:r w:rsidRPr="001A7313">
        <w:rPr>
          <w:rFonts w:ascii="Arial" w:eastAsia="Calibri" w:hAnsi="Arial" w:cs="Arial"/>
          <w:bCs/>
          <w:sz w:val="22"/>
          <w:lang w:val="es-ES_tradnl"/>
        </w:rPr>
        <w:t xml:space="preserve"> al artículo 56 de la Ley 2195 de 2022. </w:t>
      </w:r>
    </w:p>
    <w:p w14:paraId="37C9B5B6" w14:textId="1AFC39A9" w:rsidR="001A7313" w:rsidRDefault="00425444" w:rsidP="00425444">
      <w:pPr>
        <w:tabs>
          <w:tab w:val="left" w:pos="0"/>
        </w:tabs>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Así las cosas</w:t>
      </w:r>
      <w:r w:rsidR="001A7313" w:rsidRPr="001A7313">
        <w:rPr>
          <w:rFonts w:ascii="Arial" w:eastAsia="Calibri" w:hAnsi="Arial" w:cs="Arial"/>
          <w:bCs/>
          <w:sz w:val="22"/>
          <w:lang w:val="es-ES_tradnl"/>
        </w:rPr>
        <w:t>, será cada entidad la que, en ejercicio de su competencia, debe determinar si resulta procedente la aplicación del artículo 56</w:t>
      </w:r>
      <w:r w:rsidR="008309D9">
        <w:rPr>
          <w:rFonts w:ascii="Arial" w:eastAsia="Calibri" w:hAnsi="Arial" w:cs="Arial"/>
          <w:bCs/>
          <w:sz w:val="22"/>
          <w:lang w:val="es-ES_tradnl"/>
        </w:rPr>
        <w:t xml:space="preserve"> de la Ley 2195 de 2022</w:t>
      </w:r>
      <w:r w:rsidR="001A7313" w:rsidRPr="001A7313">
        <w:rPr>
          <w:rFonts w:ascii="Arial" w:eastAsia="Calibri" w:hAnsi="Arial" w:cs="Arial"/>
          <w:bCs/>
          <w:sz w:val="22"/>
          <w:lang w:val="es-ES_tradnl"/>
        </w:rPr>
        <w:t xml:space="preserve"> teniendo en cuenta los parámetros señalados y el negocio jurídico celebrado.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2030FCCF" w14:textId="77777777" w:rsidR="00897B2E" w:rsidRDefault="00897B2E" w:rsidP="007977F1">
      <w:pPr>
        <w:tabs>
          <w:tab w:val="left" w:pos="0"/>
        </w:tabs>
        <w:spacing w:line="276" w:lineRule="auto"/>
        <w:jc w:val="both"/>
        <w:rPr>
          <w:rFonts w:ascii="Arial" w:eastAsia="Calibri" w:hAnsi="Arial" w:cs="Arial"/>
          <w:bCs/>
          <w:sz w:val="22"/>
          <w:lang w:val="es-ES_tradnl"/>
        </w:rPr>
      </w:pPr>
    </w:p>
    <w:p w14:paraId="5ED0E9AE" w14:textId="125F505E" w:rsidR="00897B2E" w:rsidRPr="00E858D2" w:rsidRDefault="00897B2E" w:rsidP="00897B2E">
      <w:pPr>
        <w:tabs>
          <w:tab w:val="left" w:pos="0"/>
        </w:tabs>
        <w:spacing w:line="276" w:lineRule="auto"/>
        <w:jc w:val="both"/>
        <w:rPr>
          <w:rFonts w:ascii="Arial" w:eastAsia="Calibri" w:hAnsi="Arial" w:cs="Arial"/>
          <w:b/>
          <w:sz w:val="22"/>
          <w:lang w:val="es-ES_tradnl"/>
        </w:rPr>
      </w:pPr>
      <w:r w:rsidRPr="00897B2E">
        <w:rPr>
          <w:rFonts w:ascii="Arial" w:eastAsia="Calibri" w:hAnsi="Arial" w:cs="Arial"/>
          <w:b/>
          <w:sz w:val="22"/>
          <w:lang w:val="es-ES_tradnl"/>
        </w:rPr>
        <w:t>2.2.3.</w:t>
      </w:r>
      <w:r w:rsidRPr="00E858D2">
        <w:rPr>
          <w:rFonts w:ascii="Arial" w:eastAsia="Calibri" w:hAnsi="Arial" w:cs="Arial"/>
          <w:b/>
          <w:sz w:val="22"/>
          <w:lang w:val="es-ES_tradnl"/>
        </w:rPr>
        <w:t xml:space="preserve"> La noción de </w:t>
      </w:r>
      <w:r w:rsidRPr="00E858D2">
        <w:rPr>
          <w:rFonts w:ascii="Arial" w:eastAsia="Calibri" w:hAnsi="Arial" w:cs="Arial"/>
          <w:b/>
          <w:i/>
          <w:iCs/>
          <w:sz w:val="22"/>
          <w:lang w:val="es-ES_tradnl"/>
        </w:rPr>
        <w:t xml:space="preserve">giro ordinario </w:t>
      </w:r>
      <w:r w:rsidRPr="00E858D2">
        <w:rPr>
          <w:rFonts w:ascii="Arial" w:eastAsia="Calibri" w:hAnsi="Arial" w:cs="Arial"/>
          <w:b/>
          <w:sz w:val="22"/>
          <w:lang w:val="es-ES_tradnl"/>
        </w:rPr>
        <w:t>y su relevancia para la aplicación del artículo 56 de la Ley 2195 de 2022</w:t>
      </w:r>
    </w:p>
    <w:p w14:paraId="0FA19294" w14:textId="77777777" w:rsidR="00897B2E" w:rsidRPr="00E858D2" w:rsidRDefault="00897B2E" w:rsidP="00897B2E">
      <w:pPr>
        <w:tabs>
          <w:tab w:val="left" w:pos="0"/>
        </w:tabs>
        <w:spacing w:line="276" w:lineRule="auto"/>
        <w:jc w:val="both"/>
        <w:rPr>
          <w:rFonts w:ascii="Arial" w:eastAsia="Calibri" w:hAnsi="Arial" w:cs="Arial"/>
          <w:b/>
          <w:sz w:val="22"/>
          <w:lang w:val="es-ES_tradnl"/>
        </w:rPr>
      </w:pPr>
    </w:p>
    <w:p w14:paraId="4480ED7D" w14:textId="3C5F4C89" w:rsidR="00897B2E" w:rsidRPr="00E858D2" w:rsidRDefault="007E2F33" w:rsidP="007977F1">
      <w:pPr>
        <w:tabs>
          <w:tab w:val="left" w:pos="0"/>
        </w:tabs>
        <w:spacing w:line="276" w:lineRule="auto"/>
        <w:jc w:val="both"/>
        <w:rPr>
          <w:rFonts w:ascii="Arial" w:eastAsia="Calibri" w:hAnsi="Arial" w:cs="Arial"/>
          <w:bCs/>
          <w:sz w:val="22"/>
          <w:lang w:val="es-ES_tradnl"/>
        </w:rPr>
      </w:pPr>
      <w:r>
        <w:rPr>
          <w:rFonts w:ascii="Arial" w:eastAsia="Calibri" w:hAnsi="Arial" w:cs="Arial"/>
          <w:bCs/>
          <w:sz w:val="22"/>
          <w:lang w:val="es-ES_tradnl"/>
        </w:rPr>
        <w:t xml:space="preserve">Ahora bien, </w:t>
      </w:r>
      <w:r w:rsidR="00897B2E" w:rsidRPr="00E858D2">
        <w:rPr>
          <w:rFonts w:ascii="Arial" w:eastAsia="Calibri" w:hAnsi="Arial" w:cs="Arial"/>
          <w:bCs/>
          <w:sz w:val="22"/>
          <w:lang w:val="es-ES_tradnl"/>
        </w:rPr>
        <w:t xml:space="preserve">es necesario precisar el alcance de los dos primeros incisos del artículo 56 a luz de lo establecido en su parágrafo, el cual excluye de la aplicación de los primeros incisos del artículo 56, a cierto tipo de entidades, en lo relacionado con la contratación de su </w:t>
      </w:r>
      <w:r w:rsidR="00897B2E" w:rsidRPr="00E858D2">
        <w:rPr>
          <w:rFonts w:ascii="Arial" w:eastAsia="Calibri" w:hAnsi="Arial" w:cs="Arial"/>
          <w:bCs/>
          <w:i/>
          <w:iCs/>
          <w:sz w:val="22"/>
          <w:lang w:val="es-ES_tradnl"/>
        </w:rPr>
        <w:t>giro ordinario</w:t>
      </w:r>
      <w:r w:rsidR="00897B2E" w:rsidRPr="00E858D2">
        <w:rPr>
          <w:rFonts w:ascii="Arial" w:eastAsia="Calibri" w:hAnsi="Arial" w:cs="Arial"/>
          <w:bCs/>
          <w:sz w:val="22"/>
          <w:lang w:val="es-ES_tradnl"/>
        </w:rPr>
        <w:t>. Conforme se desprende del texto del referido parágrafo, se exceptúa de lo señalado en los dos primeros incisos a: (i) las instituciones de educación superior públicas, (</w:t>
      </w:r>
      <w:proofErr w:type="spellStart"/>
      <w:r w:rsidR="00897B2E" w:rsidRPr="00E858D2">
        <w:rPr>
          <w:rFonts w:ascii="Arial" w:eastAsia="Calibri" w:hAnsi="Arial" w:cs="Arial"/>
          <w:bCs/>
          <w:sz w:val="22"/>
          <w:lang w:val="es-ES_tradnl"/>
        </w:rPr>
        <w:t>ii</w:t>
      </w:r>
      <w:proofErr w:type="spellEnd"/>
      <w:r w:rsidR="00897B2E" w:rsidRPr="00E858D2">
        <w:rPr>
          <w:rFonts w:ascii="Arial" w:eastAsia="Calibri" w:hAnsi="Arial" w:cs="Arial"/>
          <w:bCs/>
          <w:sz w:val="22"/>
          <w:lang w:val="es-ES_tradnl"/>
        </w:rPr>
        <w:t>) las empresas sociales del Estado, (</w:t>
      </w:r>
      <w:proofErr w:type="spellStart"/>
      <w:r w:rsidR="00897B2E" w:rsidRPr="00E858D2">
        <w:rPr>
          <w:rFonts w:ascii="Arial" w:eastAsia="Calibri" w:hAnsi="Arial" w:cs="Arial"/>
          <w:bCs/>
          <w:sz w:val="22"/>
          <w:lang w:val="es-ES_tradnl"/>
        </w:rPr>
        <w:t>iii</w:t>
      </w:r>
      <w:proofErr w:type="spellEnd"/>
      <w:r w:rsidR="00897B2E" w:rsidRPr="00E858D2">
        <w:rPr>
          <w:rFonts w:ascii="Arial" w:eastAsia="Calibri" w:hAnsi="Arial" w:cs="Arial"/>
          <w:bCs/>
          <w:sz w:val="22"/>
          <w:lang w:val="es-ES_tradnl"/>
        </w:rPr>
        <w:t>) las sociedades de economía mixta y (</w:t>
      </w:r>
      <w:proofErr w:type="spellStart"/>
      <w:r w:rsidR="00897B2E" w:rsidRPr="00E858D2">
        <w:rPr>
          <w:rFonts w:ascii="Arial" w:eastAsia="Calibri" w:hAnsi="Arial" w:cs="Arial"/>
          <w:bCs/>
          <w:sz w:val="22"/>
          <w:lang w:val="es-ES_tradnl"/>
        </w:rPr>
        <w:t>iv</w:t>
      </w:r>
      <w:proofErr w:type="spellEnd"/>
      <w:r w:rsidR="00897B2E" w:rsidRPr="00E858D2">
        <w:rPr>
          <w:rFonts w:ascii="Arial" w:eastAsia="Calibri" w:hAnsi="Arial" w:cs="Arial"/>
          <w:bCs/>
          <w:sz w:val="22"/>
          <w:lang w:val="es-ES_tradnl"/>
        </w:rPr>
        <w:t xml:space="preserve">) las empresas industriales y comerciales del Estado, únicamente, en la contratación relacionada con el </w:t>
      </w:r>
      <w:r w:rsidR="00897B2E" w:rsidRPr="00E858D2">
        <w:rPr>
          <w:rFonts w:ascii="Arial" w:eastAsia="Calibri" w:hAnsi="Arial" w:cs="Arial"/>
          <w:bCs/>
          <w:i/>
          <w:iCs/>
          <w:sz w:val="22"/>
          <w:lang w:val="es-ES_tradnl"/>
        </w:rPr>
        <w:t>giro ordinario.</w:t>
      </w:r>
      <w:r w:rsidR="00897B2E" w:rsidRPr="00E858D2">
        <w:rPr>
          <w:rFonts w:ascii="Arial" w:eastAsia="Calibri" w:hAnsi="Arial" w:cs="Arial"/>
          <w:bCs/>
          <w:sz w:val="22"/>
          <w:lang w:val="es-ES_tradnl"/>
        </w:rPr>
        <w:t xml:space="preserve"> Esto significa que en la contratación asociada a su </w:t>
      </w:r>
      <w:r w:rsidR="00897B2E" w:rsidRPr="00E858D2">
        <w:rPr>
          <w:rFonts w:ascii="Arial" w:eastAsia="Calibri" w:hAnsi="Arial" w:cs="Arial"/>
          <w:bCs/>
          <w:i/>
          <w:iCs/>
          <w:sz w:val="22"/>
          <w:lang w:val="es-ES_tradnl"/>
        </w:rPr>
        <w:t xml:space="preserve">giro ordinario, </w:t>
      </w:r>
      <w:r w:rsidR="00897B2E" w:rsidRPr="00E858D2">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123B751" w14:textId="77777777" w:rsidR="00897B2E" w:rsidRPr="00E858D2" w:rsidRDefault="00897B2E" w:rsidP="007977F1">
      <w:pPr>
        <w:tabs>
          <w:tab w:val="left" w:pos="0"/>
        </w:tabs>
        <w:spacing w:before="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t xml:space="preserve">Ahora, es importante tener en cuenta que cuando la norma se refiere a la contratación del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emplea un concepto jurídico indeterminado</w:t>
      </w:r>
      <w:r w:rsidRPr="00E858D2">
        <w:rPr>
          <w:rStyle w:val="Refdenotaalpie"/>
          <w:rFonts w:ascii="Arial" w:eastAsia="Calibri" w:hAnsi="Arial" w:cs="Arial"/>
        </w:rPr>
        <w:footnoteReference w:id="12"/>
      </w:r>
      <w:r w:rsidRPr="00E858D2">
        <w:rPr>
          <w:rFonts w:ascii="Arial" w:eastAsia="Calibri" w:hAnsi="Arial" w:cs="Arial"/>
          <w:bCs/>
          <w:sz w:val="22"/>
          <w:lang w:val="es-ES_tradnl"/>
        </w:rPr>
        <w:t xml:space="preserve">. </w:t>
      </w:r>
      <w:r w:rsidRPr="00E858D2">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grado de discrecionalidad en su aplicación, pero deben respetar los límites previstos en las normas de orden público. Por ejemplo, no podrán considerar que cualquier contrato que celebren hace parte del giro ordinario de sus negocios. </w:t>
      </w:r>
    </w:p>
    <w:p w14:paraId="723C6F45"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w:t>
      </w:r>
      <w:r w:rsidRPr="00E858D2">
        <w:rPr>
          <w:rStyle w:val="Refdenotaalpie"/>
          <w:rFonts w:ascii="Arial" w:eastAsia="Arial" w:hAnsi="Arial" w:cs="Arial"/>
        </w:rPr>
        <w:footnoteReference w:id="13"/>
      </w:r>
      <w:r w:rsidRPr="00E858D2">
        <w:rPr>
          <w:rFonts w:ascii="Arial" w:eastAsia="Arial" w:hAnsi="Arial" w:cs="Arial"/>
          <w:color w:val="000000"/>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1385A9E6"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incluida en la </w:t>
      </w:r>
      <w:r w:rsidRPr="00E858D2">
        <w:rPr>
          <w:rFonts w:ascii="Arial" w:eastAsia="Calibri" w:hAnsi="Arial" w:cs="Arial"/>
          <w:bCs/>
          <w:sz w:val="22"/>
          <w:lang w:val="es-ES_tradnl"/>
        </w:rPr>
        <w:lastRenderedPageBreak/>
        <w:t>redacción original del parágrafo 1 del artículo 32 de la Ley 80 de 1993</w:t>
      </w:r>
      <w:r w:rsidRPr="00E858D2">
        <w:rPr>
          <w:rStyle w:val="Refdenotaalpie"/>
          <w:rFonts w:ascii="Arial" w:eastAsia="Calibri" w:hAnsi="Arial" w:cs="Arial"/>
        </w:rPr>
        <w:footnoteReference w:id="14"/>
      </w:r>
      <w:r w:rsidRPr="00E858D2">
        <w:rPr>
          <w:rFonts w:ascii="Arial" w:eastAsia="Calibri" w:hAnsi="Arial" w:cs="Arial"/>
          <w:bCs/>
          <w:sz w:val="22"/>
          <w:lang w:val="es-ES_tradnl"/>
        </w:rPr>
        <w:t xml:space="preserve">, la Sección Tercera manifestó lo siguiente: </w:t>
      </w:r>
    </w:p>
    <w:p w14:paraId="09D38B8A"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p>
    <w:p w14:paraId="139CDC57" w14:textId="77777777" w:rsidR="00897B2E" w:rsidRPr="00E858D2" w:rsidRDefault="00897B2E" w:rsidP="00897B2E">
      <w:pPr>
        <w:ind w:left="709" w:right="709"/>
        <w:jc w:val="both"/>
        <w:rPr>
          <w:rFonts w:ascii="Arial" w:hAnsi="Arial" w:cs="Arial"/>
          <w:sz w:val="21"/>
          <w:szCs w:val="21"/>
          <w:lang w:val="es-ES_tradnl" w:eastAsia="es-CO"/>
        </w:rPr>
      </w:pPr>
      <w:r w:rsidRPr="00E858D2">
        <w:rPr>
          <w:rFonts w:ascii="Arial" w:hAnsi="Arial" w:cs="Arial"/>
          <w:sz w:val="21"/>
          <w:szCs w:val="21"/>
          <w:lang w:val="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E858D2">
        <w:rPr>
          <w:rStyle w:val="Refdenotaalpie"/>
          <w:rFonts w:ascii="Arial" w:hAnsi="Arial" w:cs="Arial"/>
        </w:rPr>
        <w:footnoteReference w:id="15"/>
      </w:r>
    </w:p>
    <w:p w14:paraId="03BDB9B8" w14:textId="77777777" w:rsidR="00897B2E" w:rsidRPr="00E858D2" w:rsidRDefault="00897B2E" w:rsidP="00897B2E">
      <w:pPr>
        <w:tabs>
          <w:tab w:val="left" w:pos="0"/>
        </w:tabs>
        <w:spacing w:line="276" w:lineRule="auto"/>
        <w:jc w:val="both"/>
        <w:rPr>
          <w:rFonts w:ascii="Arial" w:eastAsia="Calibri" w:hAnsi="Arial" w:cs="Arial"/>
          <w:bCs/>
          <w:i/>
          <w:iCs/>
          <w:sz w:val="22"/>
          <w:lang w:val="es-ES_tradnl"/>
        </w:rPr>
      </w:pPr>
    </w:p>
    <w:p w14:paraId="208A7F98" w14:textId="2256622C" w:rsidR="00897B2E" w:rsidRDefault="00897B2E" w:rsidP="007977F1">
      <w:pPr>
        <w:tabs>
          <w:tab w:val="left" w:pos="0"/>
        </w:tabs>
        <w:spacing w:before="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En el mismo sentido se pronunció recientemente el Alto Tribunal de lo Contencioso Administrativo, reiterando las anteriores consideraciones, al expresar que: </w:t>
      </w:r>
    </w:p>
    <w:p w14:paraId="6700FE2F" w14:textId="77777777" w:rsidR="007977F1" w:rsidRPr="00E858D2" w:rsidRDefault="007977F1" w:rsidP="007977F1">
      <w:pPr>
        <w:tabs>
          <w:tab w:val="left" w:pos="0"/>
        </w:tabs>
        <w:spacing w:line="276" w:lineRule="auto"/>
        <w:jc w:val="both"/>
        <w:rPr>
          <w:rFonts w:ascii="Arial" w:eastAsia="Calibri" w:hAnsi="Arial" w:cs="Arial"/>
          <w:bCs/>
          <w:sz w:val="22"/>
          <w:szCs w:val="22"/>
          <w:lang w:val="es-ES_tradnl"/>
        </w:rPr>
      </w:pPr>
    </w:p>
    <w:p w14:paraId="7C4DA316"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49767E06"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p>
    <w:p w14:paraId="61CD8FE8"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858D2">
        <w:rPr>
          <w:rFonts w:ascii="Arial" w:eastAsia="Calibri" w:hAnsi="Arial" w:cs="Arial"/>
          <w:bCs/>
          <w:sz w:val="21"/>
          <w:szCs w:val="21"/>
          <w:lang w:val="es-ES_tradnl"/>
        </w:rPr>
        <w:t>Fonade</w:t>
      </w:r>
      <w:proofErr w:type="spellEnd"/>
      <w:r w:rsidRPr="00E858D2">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w:t>
      </w:r>
      <w:r w:rsidRPr="00E858D2">
        <w:rPr>
          <w:rFonts w:ascii="Arial" w:eastAsia="Calibri" w:hAnsi="Arial" w:cs="Arial"/>
          <w:bCs/>
          <w:sz w:val="21"/>
          <w:szCs w:val="21"/>
          <w:lang w:val="es-ES_tradnl"/>
        </w:rPr>
        <w:lastRenderedPageBreak/>
        <w:t xml:space="preserve">está atada al giro ordinario de tales negocios, en los mismos términos en los que se desarrolla el objeto social de las empresas privadas.   </w:t>
      </w:r>
    </w:p>
    <w:p w14:paraId="2616AE6B"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p>
    <w:p w14:paraId="4F2E115E"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858D2">
        <w:rPr>
          <w:rStyle w:val="Refdenotaalpie"/>
          <w:rFonts w:ascii="Arial" w:eastAsia="Calibri" w:hAnsi="Arial" w:cs="Arial"/>
        </w:rPr>
        <w:footnoteReference w:id="16"/>
      </w:r>
      <w:r w:rsidRPr="00E858D2">
        <w:rPr>
          <w:rFonts w:ascii="Arial" w:eastAsia="Calibri" w:hAnsi="Arial" w:cs="Arial"/>
          <w:bCs/>
          <w:sz w:val="21"/>
          <w:szCs w:val="21"/>
          <w:lang w:val="es-ES_tradnl"/>
        </w:rPr>
        <w:t xml:space="preserve">. </w:t>
      </w:r>
    </w:p>
    <w:p w14:paraId="355D1C77"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5019C87D" w14:textId="77777777" w:rsidR="00897B2E" w:rsidRPr="00E858D2" w:rsidRDefault="00897B2E" w:rsidP="0060580F">
      <w:pPr>
        <w:tabs>
          <w:tab w:val="left" w:pos="0"/>
        </w:tabs>
        <w:spacing w:after="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Conforme con lo expresado en estas providencias, el </w:t>
      </w:r>
      <w:r w:rsidRPr="00E858D2">
        <w:rPr>
          <w:rFonts w:ascii="Arial" w:eastAsia="Calibri" w:hAnsi="Arial" w:cs="Arial"/>
          <w:bCs/>
          <w:i/>
          <w:iCs/>
          <w:sz w:val="22"/>
          <w:szCs w:val="22"/>
          <w:lang w:val="es-ES_tradnl"/>
        </w:rPr>
        <w:t xml:space="preserve">giro ordinario </w:t>
      </w:r>
      <w:r w:rsidRPr="00E858D2">
        <w:rPr>
          <w:rFonts w:ascii="Arial" w:eastAsia="Calibri" w:hAnsi="Arial" w:cs="Arial"/>
          <w:bCs/>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858D2">
        <w:rPr>
          <w:rFonts w:ascii="Arial" w:hAnsi="Arial" w:cs="Arial"/>
          <w:sz w:val="22"/>
          <w:szCs w:val="22"/>
          <w:lang w:val="es-ES_tradnl"/>
        </w:rPr>
        <w:t>S]e</w:t>
      </w:r>
      <w:r w:rsidRPr="00E858D2">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bookmarkStart w:id="10" w:name="_Hlk103089145"/>
      <w:r w:rsidRPr="00E858D2">
        <w:rPr>
          <w:rFonts w:ascii="Arial" w:eastAsia="Calibri" w:hAnsi="Arial" w:cs="Arial"/>
          <w:bCs/>
          <w:sz w:val="22"/>
          <w:szCs w:val="22"/>
          <w:lang w:val="es-ES_tradnl"/>
        </w:rPr>
        <w:t>»</w:t>
      </w:r>
      <w:bookmarkEnd w:id="10"/>
      <w:r w:rsidRPr="00E858D2">
        <w:rPr>
          <w:rStyle w:val="Refdenotaalpie"/>
          <w:rFonts w:ascii="Arial" w:eastAsia="Calibri" w:hAnsi="Arial" w:cs="Arial"/>
        </w:rPr>
        <w:footnoteReference w:id="17"/>
      </w:r>
      <w:r w:rsidRPr="00E858D2">
        <w:rPr>
          <w:rFonts w:ascii="Arial" w:eastAsia="Calibri" w:hAnsi="Arial" w:cs="Arial"/>
          <w:bCs/>
          <w:sz w:val="22"/>
          <w:szCs w:val="22"/>
          <w:lang w:val="es-ES_tradnl"/>
        </w:rPr>
        <w:t xml:space="preserve">. </w:t>
      </w:r>
    </w:p>
    <w:p w14:paraId="082D334A" w14:textId="77777777" w:rsidR="00897B2E" w:rsidRPr="00E858D2" w:rsidRDefault="00897B2E" w:rsidP="00897B2E">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De otra parte, la doctrina societaria también se ha encargado de definir el </w:t>
      </w:r>
      <w:r w:rsidRPr="00E858D2">
        <w:rPr>
          <w:rFonts w:ascii="Arial" w:eastAsia="Calibri" w:hAnsi="Arial" w:cs="Arial"/>
          <w:bCs/>
          <w:i/>
          <w:iCs/>
          <w:sz w:val="22"/>
          <w:szCs w:val="22"/>
          <w:lang w:val="es-ES_tradnl"/>
        </w:rPr>
        <w:t>objeto social</w:t>
      </w:r>
      <w:r w:rsidRPr="00E858D2">
        <w:rPr>
          <w:rFonts w:ascii="Arial" w:eastAsia="Calibri" w:hAnsi="Arial" w:cs="Arial"/>
          <w:bCs/>
          <w:sz w:val="22"/>
          <w:szCs w:val="22"/>
          <w:lang w:val="es-ES_tradnl"/>
        </w:rPr>
        <w:t xml:space="preserve">, así como su relación con el concepto de </w:t>
      </w:r>
      <w:r w:rsidRPr="00E858D2">
        <w:rPr>
          <w:rFonts w:ascii="Arial" w:eastAsia="Calibri" w:hAnsi="Arial" w:cs="Arial"/>
          <w:bCs/>
          <w:i/>
          <w:iCs/>
          <w:sz w:val="22"/>
          <w:szCs w:val="22"/>
          <w:lang w:val="es-ES_tradnl"/>
        </w:rPr>
        <w:t>giro ordinario</w:t>
      </w:r>
      <w:r w:rsidRPr="00E858D2">
        <w:rPr>
          <w:rFonts w:ascii="Arial" w:eastAsia="Calibri" w:hAnsi="Arial" w:cs="Arial"/>
          <w:bCs/>
          <w:sz w:val="22"/>
          <w:szCs w:val="22"/>
          <w:lang w:val="es-ES_tradnl"/>
        </w:rPr>
        <w:t>. Al respecto, la Superintendencia de Sociedades, citando doctrina autorizada en la materia, ha señalado:</w:t>
      </w:r>
    </w:p>
    <w:p w14:paraId="4915431F" w14:textId="77777777" w:rsidR="00897B2E" w:rsidRPr="00E858D2" w:rsidRDefault="00897B2E" w:rsidP="00897B2E">
      <w:pPr>
        <w:tabs>
          <w:tab w:val="left" w:pos="0"/>
        </w:tabs>
        <w:spacing w:line="276" w:lineRule="auto"/>
        <w:jc w:val="both"/>
        <w:rPr>
          <w:rFonts w:ascii="Arial" w:eastAsia="Calibri" w:hAnsi="Arial" w:cs="Arial"/>
          <w:bCs/>
          <w:sz w:val="22"/>
          <w:szCs w:val="22"/>
          <w:lang w:val="es-ES_tradnl"/>
        </w:rPr>
      </w:pPr>
    </w:p>
    <w:p w14:paraId="4FBCE0AA" w14:textId="77777777" w:rsidR="00897B2E" w:rsidRPr="00E858D2" w:rsidRDefault="00897B2E" w:rsidP="00897B2E">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Si bien el llamado giro ordinario de los negocios se encuentra determinado por las actividades que constituyen el objeto social, resultan oportunas algunas precisiones conceptuales en torno al empleo constante en la práctica mercantil </w:t>
      </w:r>
      <w:r w:rsidRPr="00E858D2">
        <w:rPr>
          <w:rFonts w:ascii="Arial" w:hAnsi="Arial" w:cs="Arial"/>
          <w:sz w:val="21"/>
          <w:szCs w:val="21"/>
          <w:lang w:val="es-ES_tradnl"/>
        </w:rPr>
        <w:lastRenderedPageBreak/>
        <w:t>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1C03C2E2"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858D2">
        <w:rPr>
          <w:rStyle w:val="Refdenotaalpie"/>
          <w:rFonts w:ascii="Arial" w:hAnsi="Arial" w:cs="Arial"/>
        </w:rPr>
        <w:footnoteReference w:id="18"/>
      </w:r>
      <w:r w:rsidRPr="00E858D2">
        <w:rPr>
          <w:rFonts w:ascii="Arial" w:hAnsi="Arial" w:cs="Arial"/>
          <w:sz w:val="21"/>
          <w:szCs w:val="21"/>
          <w:lang w:val="es-ES_tradnl"/>
        </w:rPr>
        <w:t>.</w:t>
      </w:r>
    </w:p>
    <w:p w14:paraId="57582BDF"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p>
    <w:p w14:paraId="6C97E6B2" w14:textId="77777777" w:rsidR="00897B2E" w:rsidRPr="00E858D2" w:rsidRDefault="00897B2E" w:rsidP="007977F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estas consideraciones, no existe una plena equivalencia entre las </w:t>
      </w:r>
      <w:bookmarkStart w:id="11" w:name="_Hlk95322109"/>
      <w:r w:rsidRPr="00E858D2">
        <w:rPr>
          <w:rFonts w:ascii="Arial" w:eastAsia="Calibri" w:hAnsi="Arial" w:cs="Arial"/>
          <w:bCs/>
          <w:sz w:val="22"/>
          <w:lang w:val="es-ES_tradnl"/>
        </w:rPr>
        <w:t xml:space="preserve">actividades que hacen parte del desarrollo del </w:t>
      </w:r>
      <w:r w:rsidRPr="00E858D2">
        <w:rPr>
          <w:rFonts w:ascii="Arial" w:eastAsia="Calibri" w:hAnsi="Arial" w:cs="Arial"/>
          <w:bCs/>
          <w:i/>
          <w:iCs/>
          <w:sz w:val="22"/>
          <w:lang w:val="es-ES_tradnl"/>
        </w:rPr>
        <w:t>objeto social</w:t>
      </w:r>
      <w:r w:rsidRPr="00E858D2">
        <w:rPr>
          <w:rFonts w:ascii="Arial" w:eastAsia="Calibri" w:hAnsi="Arial" w:cs="Arial"/>
          <w:bCs/>
          <w:sz w:val="22"/>
          <w:lang w:val="es-ES_tradnl"/>
        </w:rPr>
        <w:t xml:space="preserve"> y las que comprende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ya que como precisa la Superintendencia de Sociedades, entre lo que designan estas categorías existe una relación de género a especie. En ese sentido, de acuerdo con este criterio, las actividades que hacen parte del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no son solo aquellas que están efectivamente comprendidas dentro del objeto social, sino que, además, se extiende a todas aquellas conexas </w:t>
      </w:r>
      <w:r w:rsidRPr="00E858D2">
        <w:rPr>
          <w:rFonts w:ascii="Arial" w:eastAsia="Calibri" w:hAnsi="Arial" w:cs="Arial"/>
          <w:bCs/>
          <w:sz w:val="22"/>
          <w:szCs w:val="22"/>
          <w:lang w:val="es-ES_tradnl"/>
        </w:rPr>
        <w:t xml:space="preserve">que se desarrollan en la gestión usual de los asuntos de la sociedad. Esto significa que las actividades que hacen parte del </w:t>
      </w:r>
      <w:r w:rsidRPr="00E858D2">
        <w:rPr>
          <w:rFonts w:ascii="Arial" w:eastAsia="Calibri" w:hAnsi="Arial" w:cs="Arial"/>
          <w:bCs/>
          <w:i/>
          <w:iCs/>
          <w:sz w:val="22"/>
          <w:szCs w:val="22"/>
          <w:lang w:val="es-ES_tradnl"/>
        </w:rPr>
        <w:t>giro ordinario</w:t>
      </w:r>
      <w:r w:rsidRPr="00E858D2">
        <w:rPr>
          <w:rFonts w:ascii="Arial" w:eastAsia="Calibri" w:hAnsi="Arial" w:cs="Arial"/>
          <w:sz w:val="22"/>
          <w:szCs w:val="22"/>
        </w:rPr>
        <w:t xml:space="preserve"> son todas aquellas que hacen parte del objeto social, así como todas aquellas conexas al mismo, siguiendo lo señalado por la jurisprudencia del Consejo de Estado.   </w:t>
      </w:r>
      <w:r w:rsidRPr="00E858D2">
        <w:rPr>
          <w:rFonts w:ascii="Arial" w:eastAsia="Calibri" w:hAnsi="Arial" w:cs="Arial"/>
          <w:bCs/>
          <w:sz w:val="22"/>
          <w:lang w:val="es-ES_tradnl"/>
        </w:rPr>
        <w:t xml:space="preserve"> </w:t>
      </w:r>
    </w:p>
    <w:p w14:paraId="1A7A2EF5"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E858D2">
        <w:rPr>
          <w:rFonts w:ascii="Arial" w:eastAsia="Calibri" w:hAnsi="Arial" w:cs="Arial"/>
          <w:bCs/>
          <w:i/>
          <w:iCs/>
          <w:sz w:val="22"/>
          <w:lang w:val="es-ES_tradnl"/>
        </w:rPr>
        <w:lastRenderedPageBreak/>
        <w:t>ejusdem</w:t>
      </w:r>
      <w:proofErr w:type="spellEnd"/>
      <w:r w:rsidRPr="00E858D2">
        <w:rPr>
          <w:rFonts w:ascii="Arial" w:eastAsia="Calibri" w:hAnsi="Arial" w:cs="Arial"/>
          <w:bCs/>
          <w:sz w:val="22"/>
          <w:lang w:val="es-ES_tradnl"/>
        </w:rPr>
        <w:t xml:space="preserve"> se limita a enunciar algunos tipos de entidades estatales, las cuales no solo difieren en su naturaleza jurídica, sino también en las actividades que llevan a cabo. </w:t>
      </w:r>
    </w:p>
    <w:p w14:paraId="5C681CE2"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11"/>
    <w:p w14:paraId="2128E691"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documentos tipo únicamente para la contratación relacionada con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858D2">
        <w:rPr>
          <w:rFonts w:ascii="Arial" w:eastAsia="Calibri" w:hAnsi="Arial" w:cs="Arial"/>
          <w:bCs/>
          <w:i/>
          <w:iCs/>
          <w:sz w:val="22"/>
          <w:lang w:val="es-ES_tradnl"/>
        </w:rPr>
        <w:t>su giro ordinario</w:t>
      </w:r>
      <w:r w:rsidRPr="00E858D2">
        <w:rPr>
          <w:rFonts w:ascii="Arial" w:eastAsia="Calibri" w:hAnsi="Arial" w:cs="Arial"/>
          <w:bCs/>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392201B2"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w:t>
      </w:r>
      <w:r w:rsidRPr="00E858D2">
        <w:rPr>
          <w:rFonts w:ascii="Arial" w:eastAsia="Calibri" w:hAnsi="Arial" w:cs="Arial"/>
          <w:bCs/>
          <w:sz w:val="22"/>
          <w:lang w:val="es-ES_tradnl"/>
        </w:rPr>
        <w:lastRenderedPageBreak/>
        <w:t>se podría estar eludiendo la aplicación de documentos tipo</w:t>
      </w:r>
      <w:r w:rsidRPr="00E858D2">
        <w:rPr>
          <w:rStyle w:val="Refdenotaalpie"/>
          <w:rFonts w:ascii="Arial" w:eastAsia="Calibri" w:hAnsi="Arial" w:cs="Arial"/>
        </w:rPr>
        <w:footnoteReference w:id="19"/>
      </w:r>
      <w:r w:rsidRPr="00E858D2">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E858D2">
        <w:rPr>
          <w:rStyle w:val="Refdenotaalpie"/>
          <w:rFonts w:ascii="Arial" w:eastAsia="Calibri" w:hAnsi="Arial" w:cs="Arial"/>
        </w:rPr>
        <w:footnoteReference w:id="20"/>
      </w:r>
      <w:r w:rsidRPr="00E858D2">
        <w:rPr>
          <w:rFonts w:ascii="Arial" w:eastAsia="Calibri" w:hAnsi="Arial" w:cs="Arial"/>
          <w:bCs/>
          <w:sz w:val="22"/>
          <w:lang w:val="es-ES_tradnl"/>
        </w:rPr>
        <w:t xml:space="preserve">.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w:t>
      </w:r>
      <w:r w:rsidRPr="00E858D2">
        <w:rPr>
          <w:rFonts w:ascii="Arial" w:eastAsia="Calibri" w:hAnsi="Arial" w:cs="Arial"/>
          <w:bCs/>
          <w:sz w:val="22"/>
          <w:lang w:val="es-ES_tradnl"/>
        </w:rPr>
        <w:lastRenderedPageBreak/>
        <w:t>contemplan […] prohibiciones o limitaciones, deben responder a una interpretación restrictiva que no permite su extensión, por vía de la figura de la analogía, a supuestos no contemplados por el ordenamiento»</w:t>
      </w:r>
      <w:r w:rsidRPr="00E858D2">
        <w:rPr>
          <w:rStyle w:val="Refdenotaalpie"/>
          <w:rFonts w:ascii="Arial" w:eastAsia="Calibri" w:hAnsi="Arial" w:cs="Arial"/>
        </w:rPr>
        <w:footnoteReference w:id="21"/>
      </w:r>
      <w:r w:rsidRPr="00E858D2">
        <w:rPr>
          <w:rFonts w:ascii="Arial" w:eastAsia="Calibri" w:hAnsi="Arial" w:cs="Arial"/>
          <w:bCs/>
          <w:sz w:val="22"/>
          <w:lang w:val="es-ES_tradnl"/>
        </w:rPr>
        <w:t>.</w:t>
      </w:r>
    </w:p>
    <w:p w14:paraId="68A7EC44" w14:textId="66CD73A2" w:rsidR="00897B2E" w:rsidRPr="00E858D2" w:rsidRDefault="00897B2E" w:rsidP="007977F1">
      <w:pPr>
        <w:tabs>
          <w:tab w:val="left" w:pos="0"/>
        </w:tabs>
        <w:spacing w:before="120" w:line="276" w:lineRule="auto"/>
        <w:ind w:firstLine="709"/>
        <w:jc w:val="both"/>
        <w:rPr>
          <w:rFonts w:ascii="Arial" w:hAnsi="Arial" w:cs="Arial"/>
          <w:sz w:val="22"/>
          <w:szCs w:val="22"/>
        </w:rPr>
      </w:pPr>
      <w:r w:rsidRPr="00E858D2">
        <w:rPr>
          <w:rFonts w:ascii="Arial" w:eastAsia="Calibri" w:hAnsi="Arial" w:cs="Arial"/>
          <w:bCs/>
          <w:sz w:val="22"/>
          <w:szCs w:val="22"/>
          <w:lang w:val="es-ES_tradnl"/>
        </w:rPr>
        <w:t>De acuerdo con esta interpretación restrictiva</w:t>
      </w:r>
      <w:r w:rsidRPr="00E858D2">
        <w:rPr>
          <w:rStyle w:val="Refdenotaalpie"/>
          <w:rFonts w:ascii="Arial" w:eastAsia="Calibri" w:hAnsi="Arial" w:cs="Arial"/>
        </w:rPr>
        <w:footnoteReference w:id="22"/>
      </w:r>
      <w:r w:rsidRPr="00E858D2">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858D2">
        <w:rPr>
          <w:rFonts w:ascii="Arial" w:eastAsia="Calibri" w:hAnsi="Arial" w:cs="Arial"/>
          <w:bCs/>
          <w:i/>
          <w:iCs/>
          <w:sz w:val="22"/>
          <w:szCs w:val="22"/>
          <w:lang w:val="es-ES_tradnl"/>
        </w:rPr>
        <w:t xml:space="preserve">giro ordinario, </w:t>
      </w:r>
      <w:r w:rsidRPr="00E858D2">
        <w:rPr>
          <w:rFonts w:ascii="Arial" w:eastAsia="Calibri" w:hAnsi="Arial" w:cs="Arial"/>
          <w:bCs/>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E858D2">
        <w:rPr>
          <w:rStyle w:val="Refdenotaalpie"/>
          <w:rFonts w:ascii="Arial" w:hAnsi="Arial" w:cs="Arial"/>
        </w:rPr>
        <w:footnoteReference w:id="23"/>
      </w:r>
      <w:r w:rsidRPr="00E858D2">
        <w:rPr>
          <w:rFonts w:ascii="Arial" w:eastAsia="Calibri" w:hAnsi="Arial" w:cs="Arial"/>
          <w:bCs/>
          <w:sz w:val="22"/>
          <w:szCs w:val="22"/>
          <w:lang w:val="es-ES_tradnl"/>
        </w:rPr>
        <w:t>, al igual que la regla según la cual «</w:t>
      </w:r>
      <w:r w:rsidRPr="00E858D2">
        <w:rPr>
          <w:rFonts w:ascii="Arial" w:hAnsi="Arial" w:cs="Arial"/>
          <w:sz w:val="22"/>
          <w:szCs w:val="22"/>
        </w:rPr>
        <w:t>Lo favorable u odioso de una disposición no se tomará en cuenta para ampliar o restringir su interpretación»</w:t>
      </w:r>
      <w:r w:rsidRPr="00E858D2">
        <w:rPr>
          <w:rStyle w:val="Refdenotaalpie"/>
          <w:rFonts w:ascii="Arial" w:hAnsi="Arial" w:cs="Arial"/>
        </w:rPr>
        <w:footnoteReference w:id="24"/>
      </w:r>
      <w:r w:rsidRPr="00E858D2">
        <w:rPr>
          <w:rFonts w:ascii="Arial" w:hAnsi="Arial" w:cs="Arial"/>
          <w:sz w:val="22"/>
          <w:szCs w:val="22"/>
        </w:rPr>
        <w:t xml:space="preserve">. </w:t>
      </w:r>
    </w:p>
    <w:p w14:paraId="3792BFEB" w14:textId="5DFD2A21" w:rsidR="00897B2E" w:rsidRPr="00B1577D"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E858D2">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858D2">
        <w:rPr>
          <w:rFonts w:ascii="Arial" w:eastAsia="Calibri" w:hAnsi="Arial" w:cs="Arial"/>
          <w:bCs/>
          <w:i/>
          <w:iCs/>
          <w:sz w:val="22"/>
          <w:szCs w:val="22"/>
          <w:lang w:val="es-ES_tradnl"/>
        </w:rPr>
        <w:t>giro ordinario</w:t>
      </w:r>
      <w:r w:rsidRPr="00E858D2">
        <w:rPr>
          <w:rFonts w:ascii="Arial" w:eastAsia="Calibri" w:hAnsi="Arial" w:cs="Arial"/>
          <w:bCs/>
          <w:sz w:val="22"/>
          <w:szCs w:val="22"/>
          <w:lang w:val="es-ES_tradnl"/>
        </w:rPr>
        <w:t xml:space="preserve">. Esto significa que tales entidades, </w:t>
      </w:r>
      <w:r w:rsidRPr="00E858D2">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dentro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deberán regirse por lo establecido en los dos incisos del referido artículo. </w:t>
      </w:r>
      <w:r>
        <w:rPr>
          <w:rFonts w:ascii="Arial" w:eastAsia="Calibri" w:hAnsi="Arial" w:cs="Arial"/>
          <w:bCs/>
          <w:sz w:val="22"/>
          <w:lang w:val="es-ES_tradnl"/>
        </w:rPr>
        <w:t xml:space="preserve">Esta interpretación </w:t>
      </w:r>
      <w:r w:rsidRPr="00942B09">
        <w:rPr>
          <w:rFonts w:ascii="Arial" w:eastAsia="Calibri" w:hAnsi="Arial" w:cs="Arial"/>
          <w:bCs/>
          <w:sz w:val="22"/>
          <w:lang w:val="es-ES_tradnl"/>
        </w:rPr>
        <w:t>encuentra sustento en el principio del efecto útil del artículo 56 de la Ley 2195 de 2022, pues refleja el alcance que el Legislador quiso darle a la norma en comento.</w:t>
      </w:r>
      <w:r w:rsidRPr="00E858D2">
        <w:rPr>
          <w:rFonts w:ascii="Arial" w:eastAsia="Calibri" w:hAnsi="Arial" w:cs="Arial"/>
          <w:bCs/>
          <w:sz w:val="22"/>
          <w:lang w:val="es-ES_tradnl"/>
        </w:rPr>
        <w:t xml:space="preserve">  </w:t>
      </w:r>
    </w:p>
    <w:p w14:paraId="6A043097" w14:textId="77777777" w:rsidR="00235D5E" w:rsidRPr="00C229E0" w:rsidRDefault="00235D5E" w:rsidP="00510DE9">
      <w:pPr>
        <w:tabs>
          <w:tab w:val="left" w:pos="0"/>
        </w:tabs>
        <w:jc w:val="both"/>
        <w:rPr>
          <w:rFonts w:ascii="Arial" w:hAnsi="Arial" w:cs="Arial"/>
          <w:noProof/>
          <w:sz w:val="22"/>
          <w:highlight w:val="yellow"/>
          <w:lang w:val="es-ES_tradnl"/>
        </w:rPr>
      </w:pPr>
    </w:p>
    <w:p w14:paraId="37CA9805" w14:textId="2C6D1DB7" w:rsidR="00DD5B04" w:rsidRPr="00624C21" w:rsidRDefault="004177A6" w:rsidP="00510DE9">
      <w:pPr>
        <w:tabs>
          <w:tab w:val="left" w:pos="0"/>
        </w:tabs>
        <w:jc w:val="both"/>
        <w:rPr>
          <w:rFonts w:ascii="Arial" w:eastAsia="Calibri" w:hAnsi="Arial" w:cs="Arial"/>
          <w:b/>
          <w:color w:val="000000" w:themeColor="text1"/>
          <w:sz w:val="22"/>
          <w:lang w:val="es-ES_tradnl"/>
        </w:rPr>
      </w:pPr>
      <w:r w:rsidRPr="00624C21">
        <w:rPr>
          <w:rFonts w:ascii="Arial" w:eastAsia="Calibri" w:hAnsi="Arial" w:cs="Arial"/>
          <w:b/>
          <w:color w:val="000000" w:themeColor="text1"/>
          <w:sz w:val="22"/>
          <w:lang w:val="es-ES_tradnl"/>
        </w:rPr>
        <w:t>3</w:t>
      </w:r>
      <w:r w:rsidR="00B011A9" w:rsidRPr="00624C21">
        <w:rPr>
          <w:rFonts w:ascii="Arial" w:eastAsia="Calibri" w:hAnsi="Arial" w:cs="Arial"/>
          <w:b/>
          <w:color w:val="000000" w:themeColor="text1"/>
          <w:sz w:val="22"/>
          <w:lang w:val="es-ES_tradnl"/>
        </w:rPr>
        <w:t xml:space="preserve">. </w:t>
      </w:r>
      <w:r w:rsidR="00DD5B04" w:rsidRPr="00624C21">
        <w:rPr>
          <w:rFonts w:ascii="Arial" w:eastAsia="Calibri" w:hAnsi="Arial" w:cs="Arial"/>
          <w:b/>
          <w:color w:val="000000" w:themeColor="text1"/>
          <w:sz w:val="22"/>
          <w:lang w:val="es-ES_tradnl"/>
        </w:rPr>
        <w:t>Respuesta</w:t>
      </w:r>
    </w:p>
    <w:p w14:paraId="49375CFA" w14:textId="77777777" w:rsidR="00D633AC" w:rsidRPr="00624C21" w:rsidRDefault="00D633AC" w:rsidP="00B90E5C">
      <w:pPr>
        <w:spacing w:line="276" w:lineRule="auto"/>
        <w:jc w:val="both"/>
        <w:rPr>
          <w:rFonts w:ascii="Arial" w:hAnsi="Arial" w:cs="Arial"/>
          <w:color w:val="000000" w:themeColor="text1"/>
          <w:sz w:val="22"/>
          <w:lang w:val="es-ES_tradnl"/>
        </w:rPr>
      </w:pPr>
    </w:p>
    <w:p w14:paraId="29313AE0" w14:textId="77777777" w:rsidR="00E624EC" w:rsidRDefault="00E624EC" w:rsidP="0060580F">
      <w:pPr>
        <w:spacing w:after="120"/>
        <w:ind w:left="709" w:right="618"/>
        <w:jc w:val="both"/>
        <w:rPr>
          <w:rFonts w:ascii="Arial" w:hAnsi="Arial" w:cs="Arial"/>
          <w:iCs/>
          <w:color w:val="000000" w:themeColor="text1"/>
          <w:sz w:val="21"/>
          <w:szCs w:val="21"/>
          <w:lang w:val="es-ES_tradnl"/>
        </w:rPr>
      </w:pPr>
      <w:r w:rsidRPr="00E624EC">
        <w:rPr>
          <w:rFonts w:ascii="Arial" w:hAnsi="Arial" w:cs="Arial"/>
          <w:iCs/>
          <w:color w:val="000000" w:themeColor="text1"/>
          <w:sz w:val="21"/>
          <w:szCs w:val="21"/>
          <w:lang w:val="es-ES_tradnl"/>
        </w:rPr>
        <w:t xml:space="preserve">En relación con el artículo 56 de la Ley 2195 de 2022: </w:t>
      </w:r>
    </w:p>
    <w:p w14:paraId="0F25FF5F" w14:textId="77777777" w:rsidR="00E624EC" w:rsidRDefault="00E624EC" w:rsidP="0060580F">
      <w:pPr>
        <w:spacing w:after="120"/>
        <w:ind w:left="709" w:right="618"/>
        <w:jc w:val="both"/>
        <w:rPr>
          <w:rFonts w:ascii="Arial" w:hAnsi="Arial" w:cs="Arial"/>
          <w:iCs/>
          <w:color w:val="000000" w:themeColor="text1"/>
          <w:sz w:val="21"/>
          <w:szCs w:val="21"/>
        </w:rPr>
      </w:pPr>
      <w:r w:rsidRPr="00E624EC">
        <w:rPr>
          <w:rFonts w:ascii="Arial" w:hAnsi="Arial" w:cs="Arial"/>
          <w:iCs/>
          <w:color w:val="000000" w:themeColor="text1"/>
          <w:sz w:val="21"/>
          <w:szCs w:val="21"/>
          <w:lang w:val="es-ES_tradnl"/>
        </w:rPr>
        <w:t>i) «</w:t>
      </w:r>
      <w:r w:rsidRPr="00E624EC">
        <w:rPr>
          <w:rFonts w:ascii="Arial" w:hAnsi="Arial" w:cs="Arial"/>
          <w:iCs/>
          <w:color w:val="000000" w:themeColor="text1"/>
          <w:sz w:val="21"/>
          <w:szCs w:val="21"/>
        </w:rPr>
        <w:t xml:space="preserve">¿Cuándo una entidad beneficiaria de recursos del SGR designa como entidad ejecutora a otra entidad pública con régimen de contratación especial, debe entenderse el acto de designación como entidad ejecutora como una categoría de </w:t>
      </w:r>
      <w:r w:rsidRPr="00E624EC">
        <w:rPr>
          <w:rFonts w:ascii="Arial" w:hAnsi="Arial" w:cs="Arial"/>
          <w:b/>
          <w:bCs/>
          <w:iCs/>
          <w:color w:val="000000" w:themeColor="text1"/>
          <w:sz w:val="21"/>
          <w:szCs w:val="21"/>
        </w:rPr>
        <w:t xml:space="preserve">NEGOCIO JURIDICO?, </w:t>
      </w:r>
      <w:r w:rsidRPr="00E624EC">
        <w:rPr>
          <w:rFonts w:ascii="Arial" w:hAnsi="Arial" w:cs="Arial"/>
          <w:iCs/>
          <w:color w:val="000000" w:themeColor="text1"/>
          <w:sz w:val="21"/>
          <w:szCs w:val="21"/>
        </w:rPr>
        <w:t xml:space="preserve">teniendo en cuenta que la expresión </w:t>
      </w:r>
      <w:r w:rsidRPr="00E624EC">
        <w:rPr>
          <w:rFonts w:ascii="Arial" w:hAnsi="Arial" w:cs="Arial"/>
          <w:b/>
          <w:bCs/>
          <w:iCs/>
          <w:color w:val="000000" w:themeColor="text1"/>
          <w:sz w:val="21"/>
          <w:szCs w:val="21"/>
        </w:rPr>
        <w:t>“O DE CUALQUIER OTRA INDOLE</w:t>
      </w:r>
      <w:r w:rsidRPr="00E624EC">
        <w:rPr>
          <w:rFonts w:ascii="Arial" w:hAnsi="Arial" w:cs="Arial"/>
          <w:iCs/>
          <w:color w:val="000000" w:themeColor="text1"/>
          <w:sz w:val="21"/>
          <w:szCs w:val="21"/>
        </w:rPr>
        <w:t>”, podría incluir dentro de esa categoría de negocio jurídico, el acto administrativo expedido por la entidad beneficiaria de los recursos del SGR mediante el cual aprueba y designa la entidad ejecutora del proyecto de inversión?»</w:t>
      </w:r>
      <w:r>
        <w:rPr>
          <w:rFonts w:ascii="Arial" w:hAnsi="Arial" w:cs="Arial"/>
          <w:iCs/>
          <w:color w:val="000000" w:themeColor="text1"/>
          <w:sz w:val="21"/>
          <w:szCs w:val="21"/>
        </w:rPr>
        <w:t>.</w:t>
      </w:r>
    </w:p>
    <w:p w14:paraId="31D909B0" w14:textId="0501229A" w:rsidR="00031AD9" w:rsidRPr="00E057C0" w:rsidRDefault="00E624EC" w:rsidP="00E624EC">
      <w:pPr>
        <w:ind w:left="709" w:right="618"/>
        <w:jc w:val="both"/>
        <w:rPr>
          <w:rFonts w:ascii="Arial" w:hAnsi="Arial" w:cs="Arial"/>
          <w:iCs/>
          <w:color w:val="000000" w:themeColor="text1"/>
          <w:sz w:val="21"/>
          <w:szCs w:val="21"/>
        </w:rPr>
      </w:pPr>
      <w:proofErr w:type="spellStart"/>
      <w:r w:rsidRPr="00E624EC">
        <w:rPr>
          <w:rFonts w:ascii="Arial" w:hAnsi="Arial" w:cs="Arial"/>
          <w:iCs/>
          <w:color w:val="000000" w:themeColor="text1"/>
          <w:sz w:val="21"/>
          <w:szCs w:val="21"/>
        </w:rPr>
        <w:t>ii</w:t>
      </w:r>
      <w:proofErr w:type="spellEnd"/>
      <w:r w:rsidRPr="00E624EC">
        <w:rPr>
          <w:rFonts w:ascii="Arial" w:hAnsi="Arial" w:cs="Arial"/>
          <w:iCs/>
          <w:color w:val="000000" w:themeColor="text1"/>
          <w:sz w:val="21"/>
          <w:szCs w:val="21"/>
        </w:rPr>
        <w:t>) «De resultar afirmativa la respuesta anterior, la entidad designada como ejecutora debe adoptar los pliegos tipo y cometerse al estatuto general de contratación pública (ley 80 y ley 1150), en cuyo caso se alejaría de su estatuto de contratación?».</w:t>
      </w:r>
      <w:r w:rsidR="00031AD9" w:rsidRPr="00E057C0">
        <w:rPr>
          <w:rFonts w:ascii="Arial" w:hAnsi="Arial" w:cs="Arial"/>
          <w:color w:val="000000" w:themeColor="text1"/>
          <w:sz w:val="21"/>
          <w:szCs w:val="21"/>
          <w:lang w:val="es-ES"/>
        </w:rPr>
        <w:t xml:space="preserve"> </w:t>
      </w:r>
    </w:p>
    <w:p w14:paraId="201EBE76" w14:textId="77777777" w:rsidR="00B56A6A" w:rsidRPr="00624C21" w:rsidRDefault="00B56A6A" w:rsidP="004E02DB">
      <w:pPr>
        <w:spacing w:line="276" w:lineRule="auto"/>
        <w:ind w:right="618"/>
        <w:jc w:val="both"/>
        <w:rPr>
          <w:rFonts w:ascii="Arial" w:eastAsia="Calibri" w:hAnsi="Arial" w:cs="Arial"/>
          <w:sz w:val="22"/>
          <w:szCs w:val="22"/>
          <w:lang w:val="es-ES"/>
        </w:rPr>
      </w:pPr>
    </w:p>
    <w:p w14:paraId="722F6522" w14:textId="1B60268D" w:rsidR="00CD71E9" w:rsidRDefault="00964D5B" w:rsidP="00964D5B">
      <w:pPr>
        <w:tabs>
          <w:tab w:val="left" w:pos="0"/>
        </w:tabs>
        <w:spacing w:before="120" w:line="276" w:lineRule="auto"/>
        <w:jc w:val="both"/>
        <w:rPr>
          <w:rFonts w:ascii="Arial" w:eastAsia="Calibri" w:hAnsi="Arial" w:cs="Arial"/>
          <w:bCs/>
          <w:sz w:val="22"/>
          <w:lang w:val="es-ES_tradnl"/>
        </w:rPr>
      </w:pPr>
      <w:r>
        <w:rPr>
          <w:rFonts w:ascii="Arial" w:eastAsia="Calibri" w:hAnsi="Arial" w:cs="Arial"/>
          <w:color w:val="000000" w:themeColor="text1"/>
          <w:sz w:val="22"/>
          <w:szCs w:val="22"/>
          <w:lang w:val="es-ES_tradnl"/>
        </w:rPr>
        <w:t>De acuerdo con la interpretación de las normas generales del sistema de compras y contratación pública</w:t>
      </w:r>
      <w:r w:rsidR="005A4F02">
        <w:rPr>
          <w:rFonts w:ascii="Arial" w:eastAsia="Calibri" w:hAnsi="Arial" w:cs="Arial"/>
          <w:bCs/>
          <w:color w:val="000000" w:themeColor="text1"/>
          <w:sz w:val="22"/>
          <w:szCs w:val="22"/>
          <w:lang w:val="es-ES"/>
        </w:rPr>
        <w:t xml:space="preserve">, se precisa que </w:t>
      </w:r>
      <w:r w:rsidR="009B0522" w:rsidRPr="001A7313">
        <w:rPr>
          <w:rFonts w:ascii="Arial" w:eastAsia="Calibri" w:hAnsi="Arial" w:cs="Arial"/>
          <w:bCs/>
          <w:sz w:val="22"/>
          <w:lang w:val="es-ES_tradnl"/>
        </w:rPr>
        <w:t xml:space="preserve">la expresión </w:t>
      </w:r>
      <w:r w:rsidR="00CD71E9" w:rsidRPr="00E858D2">
        <w:rPr>
          <w:rFonts w:ascii="Arial" w:eastAsia="Calibri" w:hAnsi="Arial" w:cs="Arial"/>
          <w:bCs/>
          <w:sz w:val="21"/>
          <w:szCs w:val="21"/>
          <w:lang w:val="es-ES_tradnl"/>
        </w:rPr>
        <w:t>«</w:t>
      </w:r>
      <w:r w:rsidR="00CD71E9" w:rsidRPr="001A7313">
        <w:rPr>
          <w:rFonts w:ascii="Arial" w:eastAsia="Calibri" w:hAnsi="Arial" w:cs="Arial"/>
          <w:bCs/>
          <w:sz w:val="22"/>
          <w:lang w:val="es-ES_tradnl"/>
        </w:rPr>
        <w:t>o de cualquier otra índole</w:t>
      </w:r>
      <w:r w:rsidR="00CD71E9" w:rsidRPr="00E858D2">
        <w:rPr>
          <w:rFonts w:ascii="Arial" w:eastAsia="Calibri" w:hAnsi="Arial" w:cs="Arial"/>
          <w:bCs/>
          <w:sz w:val="22"/>
          <w:szCs w:val="22"/>
          <w:lang w:val="es-ES_tradnl"/>
        </w:rPr>
        <w:t>»</w:t>
      </w:r>
      <w:r w:rsidR="00CD71E9" w:rsidRPr="001A7313">
        <w:rPr>
          <w:rFonts w:ascii="Arial" w:eastAsia="Calibri" w:hAnsi="Arial" w:cs="Arial"/>
          <w:bCs/>
          <w:sz w:val="22"/>
          <w:lang w:val="es-ES_tradnl"/>
        </w:rPr>
        <w:t xml:space="preserve"> incluida en el inciso primero del artículo 56</w:t>
      </w:r>
      <w:r w:rsidR="00CD71E9">
        <w:rPr>
          <w:rFonts w:ascii="Arial" w:eastAsia="Calibri" w:hAnsi="Arial" w:cs="Arial"/>
          <w:bCs/>
          <w:sz w:val="22"/>
          <w:lang w:val="es-ES_tradnl"/>
        </w:rPr>
        <w:t xml:space="preserve"> de la Ley 2195 de 2022</w:t>
      </w:r>
      <w:r w:rsidR="00CD71E9" w:rsidRPr="001A7313">
        <w:rPr>
          <w:rFonts w:ascii="Arial" w:eastAsia="Calibri" w:hAnsi="Arial" w:cs="Arial"/>
          <w:bCs/>
          <w:sz w:val="22"/>
          <w:lang w:val="es-ES_tradnl"/>
        </w:rPr>
        <w:t>, significa que su aplicación se realizará a los contratos, convenios interadministrativos o cualquier otro acuerdo de voluntad</w:t>
      </w:r>
      <w:r w:rsidR="00CD71E9">
        <w:rPr>
          <w:rFonts w:ascii="Arial" w:eastAsia="Calibri" w:hAnsi="Arial" w:cs="Arial"/>
          <w:bCs/>
          <w:sz w:val="22"/>
          <w:lang w:val="es-ES_tradnl"/>
        </w:rPr>
        <w:t>es</w:t>
      </w:r>
      <w:r w:rsidR="00CD71E9" w:rsidRPr="001A7313">
        <w:rPr>
          <w:rFonts w:ascii="Arial" w:eastAsia="Calibri" w:hAnsi="Arial" w:cs="Arial"/>
          <w:bCs/>
          <w:sz w:val="22"/>
          <w:lang w:val="es-ES_tradnl"/>
        </w:rPr>
        <w:t xml:space="preserve">, independiente de su tipología o denominación contractual, celebrados entre entidades estatales sometidas al EGCAP </w:t>
      </w:r>
      <w:r w:rsidR="00CD71E9">
        <w:rPr>
          <w:rFonts w:ascii="Arial" w:eastAsia="Calibri" w:hAnsi="Arial" w:cs="Arial"/>
          <w:bCs/>
          <w:sz w:val="22"/>
          <w:lang w:val="es-ES_tradnl"/>
        </w:rPr>
        <w:t>y</w:t>
      </w:r>
      <w:r w:rsidR="00CD71E9" w:rsidRPr="001A7313">
        <w:rPr>
          <w:rFonts w:ascii="Arial" w:eastAsia="Calibri" w:hAnsi="Arial" w:cs="Arial"/>
          <w:bCs/>
          <w:sz w:val="22"/>
          <w:lang w:val="es-ES_tradnl"/>
        </w:rPr>
        <w:t xml:space="preserve"> entidades estatales exceptuadas</w:t>
      </w:r>
      <w:r w:rsidR="00CD71E9">
        <w:rPr>
          <w:rFonts w:ascii="Arial" w:eastAsia="Calibri" w:hAnsi="Arial" w:cs="Arial"/>
          <w:bCs/>
          <w:sz w:val="22"/>
          <w:lang w:val="es-ES_tradnl"/>
        </w:rPr>
        <w:t xml:space="preserve"> del </w:t>
      </w:r>
      <w:r w:rsidR="00CD71E9" w:rsidRPr="001A7313">
        <w:rPr>
          <w:rFonts w:ascii="Arial" w:eastAsia="Calibri" w:hAnsi="Arial" w:cs="Arial"/>
          <w:bCs/>
          <w:sz w:val="22"/>
          <w:lang w:val="es-ES_tradnl"/>
        </w:rPr>
        <w:t>EGCAP, patrimonios autónomos</w:t>
      </w:r>
      <w:r w:rsidR="00CD71E9">
        <w:rPr>
          <w:rFonts w:ascii="Arial" w:eastAsia="Calibri" w:hAnsi="Arial" w:cs="Arial"/>
          <w:bCs/>
          <w:sz w:val="22"/>
          <w:lang w:val="es-ES_tradnl"/>
        </w:rPr>
        <w:t xml:space="preserve"> y</w:t>
      </w:r>
      <w:r w:rsidR="00CD71E9" w:rsidRPr="001A7313">
        <w:rPr>
          <w:rFonts w:ascii="Arial" w:eastAsia="Calibri" w:hAnsi="Arial" w:cs="Arial"/>
          <w:bCs/>
          <w:sz w:val="22"/>
          <w:lang w:val="es-ES_tradnl"/>
        </w:rPr>
        <w:t xml:space="preserve"> personas naturales o jurídicas de derecho privado. </w:t>
      </w:r>
      <w:r w:rsidR="00CD71E9">
        <w:rPr>
          <w:rFonts w:ascii="Arial" w:eastAsia="Calibri" w:hAnsi="Arial" w:cs="Arial"/>
          <w:bCs/>
          <w:sz w:val="22"/>
          <w:lang w:val="es-ES_tradnl"/>
        </w:rPr>
        <w:t xml:space="preserve">En efecto, </w:t>
      </w:r>
      <w:r w:rsidR="00CD71E9">
        <w:rPr>
          <w:rFonts w:ascii="Arial" w:hAnsi="Arial" w:cs="Arial"/>
          <w:sz w:val="22"/>
        </w:rPr>
        <w:t xml:space="preserve">según su significado literal el vocablo </w:t>
      </w:r>
      <w:r w:rsidR="00CD71E9" w:rsidRPr="00E858D2">
        <w:rPr>
          <w:rFonts w:ascii="Arial" w:eastAsia="Calibri" w:hAnsi="Arial" w:cs="Arial"/>
          <w:bCs/>
          <w:sz w:val="21"/>
          <w:szCs w:val="21"/>
          <w:lang w:val="es-ES_tradnl"/>
        </w:rPr>
        <w:t>«</w:t>
      </w:r>
      <w:r w:rsidR="00CD71E9">
        <w:rPr>
          <w:rFonts w:ascii="Arial" w:eastAsia="Calibri" w:hAnsi="Arial" w:cs="Arial"/>
          <w:bCs/>
          <w:sz w:val="22"/>
          <w:lang w:val="es-ES_tradnl"/>
        </w:rPr>
        <w:t>índole</w:t>
      </w:r>
      <w:r w:rsidR="00CD71E9" w:rsidRPr="00E858D2">
        <w:rPr>
          <w:rFonts w:ascii="Arial" w:eastAsia="Calibri" w:hAnsi="Arial" w:cs="Arial"/>
          <w:bCs/>
          <w:sz w:val="22"/>
          <w:szCs w:val="22"/>
          <w:lang w:val="es-ES_tradnl"/>
        </w:rPr>
        <w:t>»</w:t>
      </w:r>
      <w:r w:rsidR="00CD71E9">
        <w:rPr>
          <w:rFonts w:ascii="Arial" w:eastAsia="Calibri" w:hAnsi="Arial" w:cs="Arial"/>
          <w:bCs/>
          <w:sz w:val="22"/>
          <w:szCs w:val="22"/>
          <w:lang w:val="es-ES_tradnl"/>
        </w:rPr>
        <w:t xml:space="preserve"> es la</w:t>
      </w:r>
      <w:r w:rsidR="00CD71E9" w:rsidRPr="009330BE">
        <w:rPr>
          <w:rFonts w:ascii="Arial" w:eastAsia="Calibri" w:hAnsi="Arial" w:cs="Arial"/>
          <w:bCs/>
          <w:sz w:val="22"/>
          <w:szCs w:val="22"/>
          <w:lang w:val="es-ES_tradnl"/>
        </w:rPr>
        <w:t xml:space="preserve"> «Naturaleza, calidad y condición de las cosas»</w:t>
      </w:r>
      <w:r w:rsidR="004A79F2">
        <w:rPr>
          <w:rFonts w:ascii="Arial" w:hAnsi="Arial" w:cs="Arial"/>
          <w:sz w:val="22"/>
        </w:rPr>
        <w:t>.</w:t>
      </w:r>
      <w:r w:rsidR="00CD71E9">
        <w:rPr>
          <w:rFonts w:ascii="Arial" w:eastAsia="Calibri" w:hAnsi="Arial" w:cs="Arial"/>
          <w:bCs/>
          <w:sz w:val="22"/>
          <w:szCs w:val="22"/>
        </w:rPr>
        <w:t xml:space="preserve"> </w:t>
      </w:r>
      <w:r w:rsidR="004A79F2">
        <w:rPr>
          <w:rFonts w:ascii="Arial" w:eastAsia="Calibri" w:hAnsi="Arial" w:cs="Arial"/>
          <w:bCs/>
          <w:sz w:val="22"/>
          <w:szCs w:val="22"/>
        </w:rPr>
        <w:t>D</w:t>
      </w:r>
      <w:r w:rsidR="00CD71E9">
        <w:rPr>
          <w:rFonts w:ascii="Arial" w:eastAsia="Calibri" w:hAnsi="Arial" w:cs="Arial"/>
          <w:bCs/>
          <w:sz w:val="22"/>
          <w:szCs w:val="22"/>
        </w:rPr>
        <w:t xml:space="preserve">e esta manera, cuando la norma se refiere </w:t>
      </w:r>
      <w:r w:rsidR="00CD71E9" w:rsidRPr="008150B1">
        <w:rPr>
          <w:rFonts w:ascii="Arial" w:eastAsia="Calibri" w:hAnsi="Arial" w:cs="Arial"/>
          <w:bCs/>
          <w:sz w:val="22"/>
          <w:szCs w:val="22"/>
        </w:rPr>
        <w:t xml:space="preserve">a </w:t>
      </w:r>
      <w:r w:rsidR="00CD71E9" w:rsidRPr="008150B1">
        <w:rPr>
          <w:rFonts w:ascii="Arial" w:eastAsia="Calibri" w:hAnsi="Arial" w:cs="Arial"/>
          <w:bCs/>
          <w:sz w:val="22"/>
          <w:szCs w:val="22"/>
          <w:lang w:val="es-ES_tradnl"/>
        </w:rPr>
        <w:t>«contratos o convenios interadministrativos o de cualquier otra índole»</w:t>
      </w:r>
      <w:r w:rsidR="00CD71E9">
        <w:rPr>
          <w:rFonts w:ascii="Arial" w:eastAsia="Calibri" w:hAnsi="Arial" w:cs="Arial"/>
          <w:bCs/>
          <w:sz w:val="22"/>
          <w:szCs w:val="22"/>
          <w:lang w:val="es-ES_tradnl"/>
        </w:rPr>
        <w:t>, debe entenderse conforme con su interpretación literal, esto es, contratos o convenios de cualquier naturaleza</w:t>
      </w:r>
      <w:r w:rsidR="00CD71E9" w:rsidRPr="004468C3">
        <w:rPr>
          <w:rFonts w:ascii="Arial" w:eastAsia="Calibri" w:hAnsi="Arial" w:cs="Arial"/>
          <w:bCs/>
          <w:sz w:val="22"/>
          <w:szCs w:val="22"/>
          <w:lang w:val="es-ES_tradnl"/>
        </w:rPr>
        <w:t xml:space="preserve"> </w:t>
      </w:r>
      <w:r w:rsidR="00CD71E9">
        <w:rPr>
          <w:rFonts w:ascii="Arial" w:eastAsia="Calibri" w:hAnsi="Arial" w:cs="Arial"/>
          <w:bCs/>
          <w:sz w:val="22"/>
          <w:szCs w:val="22"/>
          <w:lang w:val="es-ES_tradnl"/>
        </w:rPr>
        <w:t>sin importar de su denominación</w:t>
      </w:r>
      <w:r w:rsidR="00CD71E9" w:rsidRPr="00692C6F">
        <w:rPr>
          <w:rFonts w:ascii="Arial" w:eastAsia="Calibri" w:hAnsi="Arial" w:cs="Arial"/>
          <w:bCs/>
          <w:sz w:val="22"/>
          <w:lang w:val="es-ES_tradnl"/>
        </w:rPr>
        <w:t>.</w:t>
      </w:r>
      <w:r w:rsidR="00CD71E9">
        <w:rPr>
          <w:rFonts w:ascii="Arial" w:eastAsia="Calibri" w:hAnsi="Arial" w:cs="Arial"/>
          <w:bCs/>
          <w:sz w:val="22"/>
          <w:szCs w:val="22"/>
          <w:lang w:val="es-ES_tradnl"/>
        </w:rPr>
        <w:t xml:space="preserve"> </w:t>
      </w:r>
      <w:r w:rsidR="00CD71E9" w:rsidRPr="00692C6F">
        <w:rPr>
          <w:rFonts w:ascii="Arial" w:eastAsia="Calibri" w:hAnsi="Arial" w:cs="Arial"/>
          <w:bCs/>
          <w:sz w:val="22"/>
          <w:lang w:val="es-ES_tradnl"/>
        </w:rPr>
        <w:t>En ese sentido, la adquisición de bienes, obras o servicios que deba realizarse con ocasión de los compromisos pactados en contratos</w:t>
      </w:r>
      <w:r w:rsidR="00CD71E9">
        <w:rPr>
          <w:rFonts w:ascii="Arial" w:eastAsia="Calibri" w:hAnsi="Arial" w:cs="Arial"/>
          <w:bCs/>
          <w:sz w:val="22"/>
          <w:lang w:val="es-ES_tradnl"/>
        </w:rPr>
        <w:t xml:space="preserve"> o </w:t>
      </w:r>
      <w:r w:rsidR="00CD71E9" w:rsidRPr="00692C6F">
        <w:rPr>
          <w:rFonts w:ascii="Arial" w:eastAsia="Calibri" w:hAnsi="Arial" w:cs="Arial"/>
          <w:bCs/>
          <w:sz w:val="22"/>
          <w:lang w:val="es-ES_tradnl"/>
        </w:rPr>
        <w:t>convenios</w:t>
      </w:r>
      <w:r w:rsidR="00CD71E9">
        <w:rPr>
          <w:rFonts w:ascii="Arial" w:eastAsia="Calibri" w:hAnsi="Arial" w:cs="Arial"/>
          <w:bCs/>
          <w:sz w:val="22"/>
          <w:lang w:val="es-ES_tradnl"/>
        </w:rPr>
        <w:t xml:space="preserve"> interadministrativos o acuerdo de voluntades de cualquier naturaleza</w:t>
      </w:r>
      <w:r w:rsidR="00CD71E9" w:rsidRPr="00692C6F">
        <w:rPr>
          <w:rFonts w:ascii="Arial" w:eastAsia="Calibri" w:hAnsi="Arial" w:cs="Arial"/>
          <w:bCs/>
          <w:sz w:val="22"/>
          <w:lang w:val="es-ES_tradnl"/>
        </w:rPr>
        <w:t xml:space="preserve"> suscrito entre </w:t>
      </w:r>
      <w:r w:rsidR="00CD71E9">
        <w:rPr>
          <w:rFonts w:ascii="Arial" w:eastAsia="Calibri" w:hAnsi="Arial" w:cs="Arial"/>
          <w:bCs/>
          <w:sz w:val="22"/>
          <w:lang w:val="es-ES_tradnl"/>
        </w:rPr>
        <w:t xml:space="preserve">las </w:t>
      </w:r>
      <w:r w:rsidR="00CD71E9" w:rsidRPr="00692C6F">
        <w:rPr>
          <w:rFonts w:ascii="Arial" w:eastAsia="Calibri" w:hAnsi="Arial" w:cs="Arial"/>
          <w:bCs/>
          <w:sz w:val="22"/>
          <w:lang w:val="es-ES_tradnl"/>
        </w:rPr>
        <w:t>entidades</w:t>
      </w:r>
      <w:r w:rsidR="00CD71E9">
        <w:rPr>
          <w:rFonts w:ascii="Arial" w:eastAsia="Calibri" w:hAnsi="Arial" w:cs="Arial"/>
          <w:bCs/>
          <w:sz w:val="22"/>
          <w:lang w:val="es-ES_tradnl"/>
        </w:rPr>
        <w:t xml:space="preserve"> señaladas</w:t>
      </w:r>
      <w:r w:rsidR="00CD71E9" w:rsidRPr="00692C6F">
        <w:rPr>
          <w:rFonts w:ascii="Arial" w:eastAsia="Calibri" w:hAnsi="Arial" w:cs="Arial"/>
          <w:bCs/>
          <w:sz w:val="22"/>
          <w:lang w:val="es-ES_tradnl"/>
        </w:rPr>
        <w:t>, debe adelantarse, de manera obligatoria, aplicando los documentos tipo expedidos por esta Agencia.</w:t>
      </w:r>
    </w:p>
    <w:p w14:paraId="04D27F92" w14:textId="35BFA86D" w:rsidR="00D4750C" w:rsidRDefault="00D4750C" w:rsidP="00D4750C">
      <w:pPr>
        <w:tabs>
          <w:tab w:val="left" w:pos="0"/>
        </w:tabs>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 xml:space="preserve">El alcance de esta expresión </w:t>
      </w:r>
      <w:r w:rsidRPr="001A7313">
        <w:rPr>
          <w:rFonts w:ascii="Arial" w:eastAsia="Calibri" w:hAnsi="Arial" w:cs="Arial"/>
          <w:bCs/>
          <w:sz w:val="22"/>
          <w:lang w:val="es-ES_tradnl"/>
        </w:rPr>
        <w:t xml:space="preserve">se ratifica </w:t>
      </w:r>
      <w:r>
        <w:rPr>
          <w:rFonts w:ascii="Arial" w:eastAsia="Calibri" w:hAnsi="Arial" w:cs="Arial"/>
          <w:bCs/>
          <w:sz w:val="22"/>
          <w:lang w:val="es-ES_tradnl"/>
        </w:rPr>
        <w:t xml:space="preserve">en </w:t>
      </w:r>
      <w:r w:rsidRPr="001A7313">
        <w:rPr>
          <w:rFonts w:ascii="Arial" w:eastAsia="Calibri" w:hAnsi="Arial" w:cs="Arial"/>
          <w:bCs/>
          <w:sz w:val="22"/>
          <w:lang w:val="es-ES_tradnl"/>
        </w:rPr>
        <w:t>el segundo inciso</w:t>
      </w:r>
      <w:r>
        <w:rPr>
          <w:rFonts w:ascii="Arial" w:eastAsia="Calibri" w:hAnsi="Arial" w:cs="Arial"/>
          <w:bCs/>
          <w:sz w:val="22"/>
          <w:lang w:val="es-ES_tradnl"/>
        </w:rPr>
        <w:t xml:space="preserve"> del artículo citado</w:t>
      </w:r>
      <w:r w:rsidRPr="001A7313">
        <w:rPr>
          <w:rFonts w:ascii="Arial" w:eastAsia="Calibri" w:hAnsi="Arial" w:cs="Arial"/>
          <w:bCs/>
          <w:sz w:val="22"/>
          <w:lang w:val="es-ES_tradnl"/>
        </w:rPr>
        <w:t xml:space="preserve"> </w:t>
      </w:r>
      <w:r>
        <w:rPr>
          <w:rFonts w:ascii="Arial" w:eastAsia="Calibri" w:hAnsi="Arial" w:cs="Arial"/>
          <w:bCs/>
          <w:sz w:val="22"/>
          <w:lang w:val="es-ES_tradnl"/>
        </w:rPr>
        <w:t xml:space="preserve">según el cual </w:t>
      </w:r>
      <w:r w:rsidRPr="00E858D2">
        <w:rPr>
          <w:rFonts w:ascii="Arial" w:eastAsia="Calibri" w:hAnsi="Arial" w:cs="Arial"/>
          <w:bCs/>
          <w:sz w:val="21"/>
          <w:szCs w:val="21"/>
          <w:lang w:val="es-ES_tradnl"/>
        </w:rPr>
        <w:t>«</w:t>
      </w:r>
      <w:r w:rsidRPr="001A7313">
        <w:rPr>
          <w:rFonts w:ascii="Arial" w:eastAsia="Calibri" w:hAnsi="Arial" w:cs="Arial"/>
          <w:bCs/>
          <w:sz w:val="22"/>
          <w:lang w:val="es-ES_tradnl"/>
        </w:rPr>
        <w:t xml:space="preserve">los procedimientos de selección y los contratos que realicen en desarrollo de los anteriores </w:t>
      </w:r>
      <w:r w:rsidRPr="008F78EC">
        <w:rPr>
          <w:rFonts w:ascii="Arial" w:eastAsia="Calibri" w:hAnsi="Arial" w:cs="Arial"/>
          <w:bCs/>
          <w:i/>
          <w:iCs/>
          <w:sz w:val="22"/>
          <w:lang w:val="es-ES_tradnl"/>
        </w:rPr>
        <w:t>negocios jurídico</w:t>
      </w:r>
      <w:r>
        <w:rPr>
          <w:rFonts w:ascii="Arial" w:eastAsia="Calibri" w:hAnsi="Arial" w:cs="Arial"/>
          <w:bCs/>
          <w:i/>
          <w:iCs/>
          <w:sz w:val="22"/>
          <w:lang w:val="es-ES_tradnl"/>
        </w:rPr>
        <w:t>s,</w:t>
      </w:r>
      <w:r w:rsidRPr="008F78EC">
        <w:rPr>
          <w:rFonts w:ascii="Arial" w:eastAsia="Calibri" w:hAnsi="Arial" w:cs="Arial"/>
          <w:bCs/>
          <w:sz w:val="22"/>
          <w:lang w:val="es-ES_tradnl"/>
        </w:rPr>
        <w:t xml:space="preserve"> donde apliquen los documentos tipo se regirán por el Estatuto General de Contratación d</w:t>
      </w:r>
      <w:r>
        <w:rPr>
          <w:rFonts w:ascii="Arial" w:eastAsia="Calibri" w:hAnsi="Arial" w:cs="Arial"/>
          <w:bCs/>
          <w:sz w:val="22"/>
          <w:lang w:val="es-ES_tradnl"/>
        </w:rPr>
        <w:t>e</w:t>
      </w:r>
      <w:r w:rsidRPr="008F78EC">
        <w:rPr>
          <w:rFonts w:ascii="Arial" w:eastAsia="Calibri" w:hAnsi="Arial" w:cs="Arial"/>
          <w:bCs/>
          <w:sz w:val="22"/>
          <w:lang w:val="es-ES_tradnl"/>
        </w:rPr>
        <w:t xml:space="preserve"> la Administración pública</w:t>
      </w:r>
      <w:r w:rsidRPr="00E858D2">
        <w:rPr>
          <w:rFonts w:ascii="Arial" w:eastAsia="Calibri" w:hAnsi="Arial" w:cs="Arial"/>
          <w:bCs/>
          <w:sz w:val="22"/>
          <w:szCs w:val="22"/>
          <w:lang w:val="es-ES_tradnl"/>
        </w:rPr>
        <w:t>»</w:t>
      </w:r>
      <w:r w:rsidRPr="001A7313">
        <w:rPr>
          <w:rFonts w:ascii="Arial" w:eastAsia="Calibri" w:hAnsi="Arial" w:cs="Arial"/>
          <w:bCs/>
          <w:sz w:val="22"/>
          <w:lang w:val="es-ES_tradnl"/>
        </w:rPr>
        <w:t xml:space="preserve">. </w:t>
      </w:r>
      <w:r>
        <w:rPr>
          <w:rFonts w:ascii="Arial" w:eastAsia="Calibri" w:hAnsi="Arial" w:cs="Arial"/>
          <w:bCs/>
          <w:sz w:val="22"/>
          <w:lang w:val="es-ES_tradnl"/>
        </w:rPr>
        <w:t>Como se evidencia</w:t>
      </w:r>
      <w:r w:rsidRPr="001A7313">
        <w:rPr>
          <w:rFonts w:ascii="Arial" w:eastAsia="Calibri" w:hAnsi="Arial" w:cs="Arial"/>
          <w:bCs/>
          <w:sz w:val="22"/>
          <w:lang w:val="es-ES_tradnl"/>
        </w:rPr>
        <w:t xml:space="preserve">, </w:t>
      </w:r>
      <w:r>
        <w:rPr>
          <w:rFonts w:ascii="Arial" w:eastAsia="Calibri" w:hAnsi="Arial" w:cs="Arial"/>
          <w:bCs/>
          <w:sz w:val="22"/>
          <w:lang w:val="es-ES_tradnl"/>
        </w:rPr>
        <w:t xml:space="preserve">la norma alude a los </w:t>
      </w:r>
      <w:r w:rsidRPr="00DB350B">
        <w:rPr>
          <w:rFonts w:ascii="Arial" w:eastAsia="Calibri" w:hAnsi="Arial" w:cs="Arial"/>
          <w:bCs/>
          <w:i/>
          <w:iCs/>
          <w:sz w:val="22"/>
          <w:lang w:val="es-ES_tradnl"/>
        </w:rPr>
        <w:t>negocios jurídicos</w:t>
      </w:r>
      <w:r w:rsidRPr="00DB350B">
        <w:rPr>
          <w:rFonts w:ascii="Arial" w:eastAsia="Calibri" w:hAnsi="Arial" w:cs="Arial"/>
          <w:bCs/>
          <w:sz w:val="22"/>
          <w:lang w:val="es-ES_tradnl"/>
        </w:rPr>
        <w:t xml:space="preserve"> sin realizar una denominación particular, por ello se entiende que se</w:t>
      </w:r>
      <w:r>
        <w:rPr>
          <w:rFonts w:ascii="Arial" w:eastAsia="Calibri" w:hAnsi="Arial" w:cs="Arial"/>
          <w:bCs/>
          <w:sz w:val="22"/>
          <w:lang w:val="es-ES_tradnl"/>
        </w:rPr>
        <w:t xml:space="preserve"> refiere tanto a </w:t>
      </w:r>
      <w:r w:rsidRPr="001A7313">
        <w:rPr>
          <w:rFonts w:ascii="Arial" w:eastAsia="Calibri" w:hAnsi="Arial" w:cs="Arial"/>
          <w:bCs/>
          <w:sz w:val="22"/>
          <w:lang w:val="es-ES_tradnl"/>
        </w:rPr>
        <w:t>los contratos o convenios interadministrativo</w:t>
      </w:r>
      <w:r>
        <w:rPr>
          <w:rFonts w:ascii="Arial" w:eastAsia="Calibri" w:hAnsi="Arial" w:cs="Arial"/>
          <w:bCs/>
          <w:sz w:val="22"/>
          <w:lang w:val="es-ES_tradnl"/>
        </w:rPr>
        <w:t xml:space="preserve"> </w:t>
      </w:r>
      <w:r w:rsidRPr="001A7313">
        <w:rPr>
          <w:rFonts w:ascii="Arial" w:eastAsia="Calibri" w:hAnsi="Arial" w:cs="Arial"/>
          <w:bCs/>
          <w:sz w:val="22"/>
          <w:lang w:val="es-ES_tradnl"/>
        </w:rPr>
        <w:t xml:space="preserve">como </w:t>
      </w:r>
      <w:r>
        <w:rPr>
          <w:rFonts w:ascii="Arial" w:eastAsia="Calibri" w:hAnsi="Arial" w:cs="Arial"/>
          <w:bCs/>
          <w:sz w:val="22"/>
          <w:lang w:val="es-ES_tradnl"/>
        </w:rPr>
        <w:t xml:space="preserve">a </w:t>
      </w:r>
      <w:r w:rsidRPr="001A7313">
        <w:rPr>
          <w:rFonts w:ascii="Arial" w:eastAsia="Calibri" w:hAnsi="Arial" w:cs="Arial"/>
          <w:bCs/>
          <w:sz w:val="22"/>
          <w:lang w:val="es-ES_tradnl"/>
        </w:rPr>
        <w:t>cualquier otro acuerdo de voluntades</w:t>
      </w:r>
      <w:r>
        <w:rPr>
          <w:rFonts w:ascii="Arial" w:eastAsia="Calibri" w:hAnsi="Arial" w:cs="Arial"/>
          <w:bCs/>
          <w:sz w:val="22"/>
          <w:lang w:val="es-ES_tradnl"/>
        </w:rPr>
        <w:t>, independientemente de su tipología contractual.</w:t>
      </w:r>
    </w:p>
    <w:p w14:paraId="5BDC6501" w14:textId="6C69163C" w:rsidR="00C70321" w:rsidRDefault="00DF1412" w:rsidP="00CD71E9">
      <w:pPr>
        <w:tabs>
          <w:tab w:val="left" w:pos="0"/>
        </w:tabs>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lastRenderedPageBreak/>
        <w:t>De esta manera</w:t>
      </w:r>
      <w:r w:rsidR="00C70321" w:rsidRPr="001A7313">
        <w:rPr>
          <w:rFonts w:ascii="Arial" w:eastAsia="Calibri" w:hAnsi="Arial" w:cs="Arial"/>
          <w:bCs/>
          <w:sz w:val="22"/>
          <w:lang w:val="es-ES_tradnl"/>
        </w:rPr>
        <w:t xml:space="preserve">, lo determinante </w:t>
      </w:r>
      <w:bookmarkStart w:id="12" w:name="_Hlk103160683"/>
      <w:r w:rsidR="00C70321" w:rsidRPr="001A7313">
        <w:rPr>
          <w:rFonts w:ascii="Arial" w:eastAsia="Calibri" w:hAnsi="Arial" w:cs="Arial"/>
          <w:bCs/>
          <w:sz w:val="22"/>
          <w:lang w:val="es-ES_tradnl"/>
        </w:rPr>
        <w:t xml:space="preserve">para </w:t>
      </w:r>
      <w:r w:rsidR="0067060F">
        <w:rPr>
          <w:rFonts w:ascii="Arial" w:eastAsia="Calibri" w:hAnsi="Arial" w:cs="Arial"/>
          <w:bCs/>
          <w:sz w:val="22"/>
          <w:lang w:val="es-ES_tradnl"/>
        </w:rPr>
        <w:t xml:space="preserve">la aplicación </w:t>
      </w:r>
      <w:r w:rsidR="00C70321">
        <w:rPr>
          <w:rFonts w:ascii="Arial" w:eastAsia="Calibri" w:hAnsi="Arial" w:cs="Arial"/>
          <w:bCs/>
          <w:sz w:val="22"/>
          <w:lang w:val="es-ES_tradnl"/>
        </w:rPr>
        <w:t>del artículo 56 de la Ley 2195 de 2022</w:t>
      </w:r>
      <w:r w:rsidR="00C70321" w:rsidRPr="001A7313">
        <w:rPr>
          <w:rFonts w:ascii="Arial" w:eastAsia="Calibri" w:hAnsi="Arial" w:cs="Arial"/>
          <w:bCs/>
          <w:sz w:val="22"/>
          <w:lang w:val="es-ES_tradnl"/>
        </w:rPr>
        <w:t xml:space="preserve"> </w:t>
      </w:r>
      <w:bookmarkEnd w:id="12"/>
      <w:r w:rsidR="00C70321" w:rsidRPr="001A7313">
        <w:rPr>
          <w:rFonts w:ascii="Arial" w:eastAsia="Calibri" w:hAnsi="Arial" w:cs="Arial"/>
          <w:bCs/>
          <w:sz w:val="22"/>
          <w:lang w:val="es-ES_tradnl"/>
        </w:rPr>
        <w:t xml:space="preserve">es la existencia de un </w:t>
      </w:r>
      <w:r w:rsidR="00C70321">
        <w:rPr>
          <w:rFonts w:ascii="Arial" w:eastAsia="Calibri" w:hAnsi="Arial" w:cs="Arial"/>
          <w:bCs/>
          <w:sz w:val="22"/>
          <w:lang w:val="es-ES_tradnl"/>
        </w:rPr>
        <w:t xml:space="preserve">contrato o convenio </w:t>
      </w:r>
      <w:r w:rsidR="00C70321" w:rsidRPr="001A7313">
        <w:rPr>
          <w:rFonts w:ascii="Arial" w:eastAsia="Calibri" w:hAnsi="Arial" w:cs="Arial"/>
          <w:bCs/>
          <w:sz w:val="22"/>
          <w:lang w:val="es-ES_tradnl"/>
        </w:rPr>
        <w:t>entre entidades estatales sometidas al EGCAP con entidades estatales exceptuadas</w:t>
      </w:r>
      <w:r w:rsidR="00C70321">
        <w:rPr>
          <w:rFonts w:ascii="Arial" w:eastAsia="Calibri" w:hAnsi="Arial" w:cs="Arial"/>
          <w:bCs/>
          <w:sz w:val="22"/>
          <w:lang w:val="es-ES_tradnl"/>
        </w:rPr>
        <w:t xml:space="preserve"> de</w:t>
      </w:r>
      <w:r w:rsidR="002414D3">
        <w:rPr>
          <w:rFonts w:ascii="Arial" w:eastAsia="Calibri" w:hAnsi="Arial" w:cs="Arial"/>
          <w:bCs/>
          <w:sz w:val="22"/>
          <w:lang w:val="es-ES_tradnl"/>
        </w:rPr>
        <w:t>l</w:t>
      </w:r>
      <w:r w:rsidR="00C70321">
        <w:rPr>
          <w:rFonts w:ascii="Arial" w:eastAsia="Calibri" w:hAnsi="Arial" w:cs="Arial"/>
          <w:bCs/>
          <w:sz w:val="22"/>
          <w:lang w:val="es-ES_tradnl"/>
        </w:rPr>
        <w:t xml:space="preserve"> </w:t>
      </w:r>
      <w:r w:rsidR="00C70321" w:rsidRPr="001A7313">
        <w:rPr>
          <w:rFonts w:ascii="Arial" w:eastAsia="Calibri" w:hAnsi="Arial" w:cs="Arial"/>
          <w:bCs/>
          <w:sz w:val="22"/>
          <w:lang w:val="es-ES_tradnl"/>
        </w:rPr>
        <w:t>EGCAP, patrimonios autónomos, personas naturales o jurídicas de derecho privado</w:t>
      </w:r>
      <w:r w:rsidR="00C70321">
        <w:rPr>
          <w:rFonts w:ascii="Arial" w:eastAsia="Calibri" w:hAnsi="Arial" w:cs="Arial"/>
          <w:bCs/>
          <w:sz w:val="22"/>
          <w:lang w:val="es-ES_tradnl"/>
        </w:rPr>
        <w:t>, cualquiera que sea su tipología o denominación contractual</w:t>
      </w:r>
      <w:r w:rsidR="00C70321" w:rsidRPr="001A7313">
        <w:rPr>
          <w:rFonts w:ascii="Arial" w:eastAsia="Calibri" w:hAnsi="Arial" w:cs="Arial"/>
          <w:bCs/>
          <w:sz w:val="22"/>
          <w:lang w:val="es-ES_tradnl"/>
        </w:rPr>
        <w:t xml:space="preserve">. Lo anterior con independencia del tipo de recursos que se utilicen para </w:t>
      </w:r>
      <w:r>
        <w:rPr>
          <w:rFonts w:ascii="Arial" w:eastAsia="Calibri" w:hAnsi="Arial" w:cs="Arial"/>
          <w:bCs/>
          <w:sz w:val="22"/>
          <w:lang w:val="es-ES_tradnl"/>
        </w:rPr>
        <w:t xml:space="preserve">su </w:t>
      </w:r>
      <w:r w:rsidR="00C70321" w:rsidRPr="001A7313">
        <w:rPr>
          <w:rFonts w:ascii="Arial" w:eastAsia="Calibri" w:hAnsi="Arial" w:cs="Arial"/>
          <w:bCs/>
          <w:sz w:val="22"/>
          <w:lang w:val="es-ES_tradnl"/>
        </w:rPr>
        <w:t>ejecución</w:t>
      </w:r>
      <w:r w:rsidR="00C70321">
        <w:rPr>
          <w:rFonts w:ascii="Arial" w:eastAsia="Calibri" w:hAnsi="Arial" w:cs="Arial"/>
          <w:bCs/>
          <w:sz w:val="22"/>
          <w:lang w:val="es-ES_tradnl"/>
        </w:rPr>
        <w:t xml:space="preserve">, </w:t>
      </w:r>
      <w:r w:rsidR="00C70321" w:rsidRPr="001A7313">
        <w:rPr>
          <w:rFonts w:ascii="Arial" w:eastAsia="Calibri" w:hAnsi="Arial" w:cs="Arial"/>
          <w:bCs/>
          <w:sz w:val="22"/>
          <w:lang w:val="es-ES_tradnl"/>
        </w:rPr>
        <w:t>puesto que la norma no hace distinción alguna</w:t>
      </w:r>
      <w:r w:rsidR="00C70321">
        <w:rPr>
          <w:rFonts w:ascii="Arial" w:eastAsia="Calibri" w:hAnsi="Arial" w:cs="Arial"/>
          <w:bCs/>
          <w:sz w:val="22"/>
          <w:lang w:val="es-ES_tradnl"/>
        </w:rPr>
        <w:t xml:space="preserve"> sobre el particular</w:t>
      </w:r>
      <w:r w:rsidR="00C70321" w:rsidRPr="001A7313">
        <w:rPr>
          <w:rFonts w:ascii="Arial" w:eastAsia="Calibri" w:hAnsi="Arial" w:cs="Arial"/>
          <w:bCs/>
          <w:sz w:val="22"/>
          <w:lang w:val="es-ES_tradnl"/>
        </w:rPr>
        <w:t xml:space="preserve">. Por tanto, siempre que exista </w:t>
      </w:r>
      <w:r w:rsidR="00C70321">
        <w:rPr>
          <w:rFonts w:ascii="Arial" w:eastAsia="Calibri" w:hAnsi="Arial" w:cs="Arial"/>
          <w:bCs/>
          <w:sz w:val="22"/>
          <w:lang w:val="es-ES_tradnl"/>
        </w:rPr>
        <w:t xml:space="preserve">un acuerdo de voluntades </w:t>
      </w:r>
      <w:r w:rsidR="00C70321" w:rsidRPr="001A7313">
        <w:rPr>
          <w:rFonts w:ascii="Arial" w:eastAsia="Calibri" w:hAnsi="Arial" w:cs="Arial"/>
          <w:bCs/>
          <w:sz w:val="22"/>
          <w:lang w:val="es-ES_tradnl"/>
        </w:rPr>
        <w:t xml:space="preserve">en los términos señalados y se cumplan </w:t>
      </w:r>
      <w:r w:rsidR="00C70321">
        <w:rPr>
          <w:rFonts w:ascii="Arial" w:eastAsia="Calibri" w:hAnsi="Arial" w:cs="Arial"/>
          <w:bCs/>
          <w:sz w:val="22"/>
          <w:lang w:val="es-ES_tradnl"/>
        </w:rPr>
        <w:t>l</w:t>
      </w:r>
      <w:r w:rsidR="00C70321" w:rsidRPr="001A7313">
        <w:rPr>
          <w:rFonts w:ascii="Arial" w:eastAsia="Calibri" w:hAnsi="Arial" w:cs="Arial"/>
          <w:bCs/>
          <w:sz w:val="22"/>
          <w:lang w:val="es-ES_tradnl"/>
        </w:rPr>
        <w:t>os demás presupuestos de la norma, deberá aplica</w:t>
      </w:r>
      <w:r w:rsidR="004B459F">
        <w:rPr>
          <w:rFonts w:ascii="Arial" w:eastAsia="Calibri" w:hAnsi="Arial" w:cs="Arial"/>
          <w:bCs/>
          <w:sz w:val="22"/>
          <w:lang w:val="es-ES_tradnl"/>
        </w:rPr>
        <w:t>rse</w:t>
      </w:r>
      <w:r w:rsidR="00C70321" w:rsidRPr="001A7313">
        <w:rPr>
          <w:rFonts w:ascii="Arial" w:eastAsia="Calibri" w:hAnsi="Arial" w:cs="Arial"/>
          <w:bCs/>
          <w:sz w:val="22"/>
          <w:lang w:val="es-ES_tradnl"/>
        </w:rPr>
        <w:t xml:space="preserve"> al artículo 56 de la Ley 2195 de 2022</w:t>
      </w:r>
    </w:p>
    <w:p w14:paraId="17773849" w14:textId="497AA3CB" w:rsidR="00B21AD4" w:rsidRDefault="007F75F1" w:rsidP="009B0522">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Así las cosas</w:t>
      </w:r>
      <w:r w:rsidRPr="001A7313">
        <w:rPr>
          <w:rFonts w:ascii="Arial" w:eastAsia="Calibri" w:hAnsi="Arial" w:cs="Arial"/>
          <w:bCs/>
          <w:sz w:val="22"/>
          <w:lang w:val="es-ES_tradnl"/>
        </w:rPr>
        <w:t>, será cada entidad la que, en ejercicio de su competencia, determin</w:t>
      </w:r>
      <w:r w:rsidR="00DA49EF">
        <w:rPr>
          <w:rFonts w:ascii="Arial" w:eastAsia="Calibri" w:hAnsi="Arial" w:cs="Arial"/>
          <w:bCs/>
          <w:sz w:val="22"/>
          <w:lang w:val="es-ES_tradnl"/>
        </w:rPr>
        <w:t>e</w:t>
      </w:r>
      <w:r w:rsidRPr="001A7313">
        <w:rPr>
          <w:rFonts w:ascii="Arial" w:eastAsia="Calibri" w:hAnsi="Arial" w:cs="Arial"/>
          <w:bCs/>
          <w:sz w:val="22"/>
          <w:lang w:val="es-ES_tradnl"/>
        </w:rPr>
        <w:t xml:space="preserve"> si resulta procedente la aplicación del artículo 56</w:t>
      </w:r>
      <w:r>
        <w:rPr>
          <w:rFonts w:ascii="Arial" w:eastAsia="Calibri" w:hAnsi="Arial" w:cs="Arial"/>
          <w:bCs/>
          <w:sz w:val="22"/>
          <w:lang w:val="es-ES_tradnl"/>
        </w:rPr>
        <w:t xml:space="preserve"> de la Ley 2195 de 2022</w:t>
      </w:r>
      <w:r w:rsidRPr="001A7313">
        <w:rPr>
          <w:rFonts w:ascii="Arial" w:eastAsia="Calibri" w:hAnsi="Arial" w:cs="Arial"/>
          <w:bCs/>
          <w:sz w:val="22"/>
          <w:lang w:val="es-ES_tradnl"/>
        </w:rPr>
        <w:t xml:space="preserve"> teniendo en cuenta los parámetros señalados</w:t>
      </w:r>
      <w:r w:rsidR="005A4F02">
        <w:rPr>
          <w:rFonts w:ascii="Arial" w:eastAsia="Calibri" w:hAnsi="Arial" w:cs="Arial"/>
          <w:bCs/>
          <w:sz w:val="22"/>
          <w:lang w:val="es-ES_tradnl"/>
        </w:rPr>
        <w:t xml:space="preserve"> en este concepto</w:t>
      </w:r>
      <w:r w:rsidRPr="001A7313">
        <w:rPr>
          <w:rFonts w:ascii="Arial" w:eastAsia="Calibri" w:hAnsi="Arial" w:cs="Arial"/>
          <w:bCs/>
          <w:sz w:val="22"/>
          <w:lang w:val="es-ES_tradnl"/>
        </w:rPr>
        <w:t xml:space="preserve"> y el negocio jurídico celebrado.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bCs/>
          <w:sz w:val="22"/>
          <w:lang w:val="es-ES_tradnl"/>
        </w:rPr>
        <w:t>.</w:t>
      </w:r>
    </w:p>
    <w:p w14:paraId="163928CF" w14:textId="77777777" w:rsidR="007F75F1" w:rsidRPr="00B453FE" w:rsidRDefault="007F75F1" w:rsidP="0060580F">
      <w:pPr>
        <w:spacing w:after="120" w:line="276" w:lineRule="auto"/>
        <w:ind w:firstLine="709"/>
        <w:jc w:val="both"/>
        <w:rPr>
          <w:rFonts w:ascii="Arial" w:hAnsi="Arial" w:cs="Arial"/>
          <w:color w:val="000000"/>
          <w:sz w:val="22"/>
          <w:szCs w:val="22"/>
          <w:shd w:val="clear" w:color="auto" w:fill="FFFFFF"/>
          <w:lang w:val="es-ES"/>
        </w:rPr>
      </w:pPr>
    </w:p>
    <w:p w14:paraId="056816F7" w14:textId="36C087E7" w:rsidR="00D40F8B" w:rsidRPr="00A51520" w:rsidRDefault="00DD5B04" w:rsidP="00B21AD4">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428BC6E9" w:rsidR="00D40F8B" w:rsidRPr="00A51520" w:rsidRDefault="006D70E8"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75AB183" wp14:editId="3D58B267">
            <wp:extent cx="2519680" cy="1116330"/>
            <wp:effectExtent l="0" t="0" r="0" b="762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77777777" w:rsidR="003A07D9" w:rsidRDefault="003A07D9"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130B3228" w14:textId="7B765391" w:rsidR="00DD5B04" w:rsidRPr="003A07D9" w:rsidRDefault="003A07D9"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Gestor T1-15 de la 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E5B294" w14:textId="77777777" w:rsidR="00D7088A" w:rsidRPr="00692C6F" w:rsidRDefault="00D7088A" w:rsidP="00D7088A">
            <w:pPr>
              <w:rPr>
                <w:rFonts w:ascii="Arial" w:hAnsi="Arial" w:cs="Arial"/>
                <w:sz w:val="16"/>
                <w:szCs w:val="16"/>
                <w:lang w:eastAsia="es-ES"/>
              </w:rPr>
            </w:pPr>
            <w:r w:rsidRPr="00692C6F">
              <w:rPr>
                <w:rFonts w:ascii="Arial" w:hAnsi="Arial" w:cs="Arial"/>
                <w:sz w:val="16"/>
                <w:szCs w:val="16"/>
                <w:lang w:eastAsia="es-ES"/>
              </w:rPr>
              <w:t>Jorge Augusto Tirado Navarro</w:t>
            </w:r>
          </w:p>
          <w:p w14:paraId="1ADC483B" w14:textId="5A00C4EF" w:rsidR="00DD5B04" w:rsidRPr="00D40F8B" w:rsidRDefault="00D7088A" w:rsidP="00D7088A">
            <w:pPr>
              <w:jc w:val="both"/>
              <w:rPr>
                <w:rFonts w:ascii="Arial" w:hAnsi="Arial" w:cs="Arial"/>
                <w:color w:val="000000" w:themeColor="text1"/>
                <w:sz w:val="16"/>
                <w:szCs w:val="16"/>
                <w:lang w:val="es-ES_tradnl" w:eastAsia="es-ES"/>
              </w:rPr>
            </w:pPr>
            <w:r w:rsidRPr="00692C6F">
              <w:rPr>
                <w:rFonts w:ascii="Arial" w:hAnsi="Arial" w:cs="Arial"/>
                <w:sz w:val="16"/>
                <w:szCs w:val="16"/>
                <w:lang w:eastAsia="es-ES"/>
              </w:rPr>
              <w:t>Subdirector de Gestión Contractual ANCP – CCE</w:t>
            </w:r>
          </w:p>
        </w:tc>
      </w:tr>
    </w:tbl>
    <w:p w14:paraId="62A9C657" w14:textId="77777777" w:rsidR="00453A53" w:rsidRDefault="00453A53" w:rsidP="00215B8E">
      <w:pPr>
        <w:jc w:val="both"/>
        <w:rPr>
          <w:rFonts w:ascii="Arial" w:hAnsi="Arial" w:cs="Arial"/>
          <w:lang w:val="es-ES_tradnl"/>
        </w:rPr>
      </w:pPr>
    </w:p>
    <w:p w14:paraId="3F7284BE" w14:textId="3AD023D9" w:rsidR="008351F8" w:rsidRPr="009D3964" w:rsidRDefault="008351F8" w:rsidP="00215B8E">
      <w:pPr>
        <w:jc w:val="both"/>
        <w:rPr>
          <w:rFonts w:ascii="Arial" w:hAnsi="Arial" w:cs="Arial"/>
          <w:lang w:val="es-ES_tradnl"/>
        </w:rPr>
      </w:pPr>
    </w:p>
    <w:bookmarkEnd w:id="4"/>
    <w:p w14:paraId="4D3D318F" w14:textId="0570CAF4" w:rsidR="00FC710F" w:rsidRDefault="00FC710F">
      <w:pPr>
        <w:jc w:val="both"/>
        <w:rPr>
          <w:rFonts w:ascii="Arial" w:hAnsi="Arial" w:cs="Arial"/>
          <w:lang w:val="es-ES_tradnl"/>
        </w:rPr>
      </w:pPr>
    </w:p>
    <w:p w14:paraId="5326AE0F" w14:textId="0DF050DD" w:rsidR="003A07D9" w:rsidRDefault="003A07D9" w:rsidP="003A07D9">
      <w:pPr>
        <w:rPr>
          <w:rFonts w:ascii="Arial" w:hAnsi="Arial" w:cs="Arial"/>
          <w:lang w:val="es-ES_tradnl"/>
        </w:rPr>
      </w:pPr>
    </w:p>
    <w:p w14:paraId="575AF8D6" w14:textId="58091FAE" w:rsidR="003A07D9" w:rsidRPr="003A07D9" w:rsidRDefault="003A07D9" w:rsidP="003A07D9">
      <w:pPr>
        <w:tabs>
          <w:tab w:val="left" w:pos="3570"/>
        </w:tabs>
        <w:rPr>
          <w:rFonts w:ascii="Arial" w:hAnsi="Arial" w:cs="Arial"/>
          <w:lang w:val="es-ES_tradnl"/>
        </w:rPr>
      </w:pPr>
      <w:r>
        <w:rPr>
          <w:rFonts w:ascii="Arial" w:hAnsi="Arial" w:cs="Arial"/>
          <w:lang w:val="es-ES_tradnl"/>
        </w:rPr>
        <w:tab/>
      </w:r>
      <w:bookmarkEnd w:id="2"/>
    </w:p>
    <w:sectPr w:rsidR="003A07D9" w:rsidRPr="003A07D9"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46F8" w14:textId="77777777" w:rsidR="00434B4D" w:rsidRDefault="00434B4D">
      <w:r>
        <w:separator/>
      </w:r>
    </w:p>
  </w:endnote>
  <w:endnote w:type="continuationSeparator" w:id="0">
    <w:p w14:paraId="68E82290" w14:textId="77777777" w:rsidR="00434B4D" w:rsidRDefault="00434B4D">
      <w:r>
        <w:continuationSeparator/>
      </w:r>
    </w:p>
  </w:endnote>
  <w:endnote w:type="continuationNotice" w:id="1">
    <w:p w14:paraId="31B5414A" w14:textId="77777777" w:rsidR="00434B4D" w:rsidRDefault="00434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452B" w14:textId="77777777" w:rsidR="00434B4D" w:rsidRDefault="00434B4D">
      <w:r>
        <w:separator/>
      </w:r>
    </w:p>
  </w:footnote>
  <w:footnote w:type="continuationSeparator" w:id="0">
    <w:p w14:paraId="0E80EF7A" w14:textId="77777777" w:rsidR="00434B4D" w:rsidRDefault="00434B4D">
      <w:r>
        <w:continuationSeparator/>
      </w:r>
    </w:p>
  </w:footnote>
  <w:footnote w:type="continuationNotice" w:id="1">
    <w:p w14:paraId="74518EC9" w14:textId="77777777" w:rsidR="00434B4D" w:rsidRDefault="00434B4D"/>
  </w:footnote>
  <w:footnote w:id="2">
    <w:p w14:paraId="712A76F4" w14:textId="77777777" w:rsidR="000323E9" w:rsidRDefault="000323E9" w:rsidP="0060580F">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14:paraId="67F9702B" w14:textId="5599FA10" w:rsidR="002830FE" w:rsidRPr="002830FE" w:rsidRDefault="002830FE" w:rsidP="002830FE">
      <w:pPr>
        <w:pStyle w:val="Textonotapie"/>
        <w:ind w:firstLine="709"/>
        <w:jc w:val="both"/>
      </w:pPr>
      <w:r>
        <w:rPr>
          <w:rStyle w:val="Refdenotaalpie"/>
        </w:rPr>
        <w:footnoteRef/>
      </w:r>
      <w:r>
        <w:t xml:space="preserve"> </w:t>
      </w:r>
      <w:r w:rsidRPr="00520265">
        <w:rPr>
          <w:rFonts w:ascii="Arial" w:hAnsi="Arial" w:cs="Arial"/>
          <w:sz w:val="19"/>
          <w:szCs w:val="19"/>
        </w:rPr>
        <w:t xml:space="preserve">Los conceptos indicados pueden consultarse en el siguiente enlace: </w:t>
      </w:r>
      <w:hyperlink r:id="rId1" w:history="1">
        <w:r w:rsidR="0033245D" w:rsidRPr="0033245D">
          <w:rPr>
            <w:rStyle w:val="Hipervnculo"/>
            <w:rFonts w:ascii="Arial" w:hAnsi="Arial" w:cs="Arial"/>
            <w:color w:val="auto"/>
            <w:sz w:val="19"/>
            <w:szCs w:val="19"/>
          </w:rPr>
          <w:t>https://relatoria.colombiacompra.gov.co/busqueda/conceptos</w:t>
        </w:r>
      </w:hyperlink>
      <w:r w:rsidRPr="0033245D">
        <w:rPr>
          <w:rFonts w:ascii="Arial" w:hAnsi="Arial" w:cs="Arial"/>
          <w:sz w:val="19"/>
          <w:szCs w:val="19"/>
        </w:rPr>
        <w:t>.</w:t>
      </w:r>
      <w:r w:rsidR="0033245D" w:rsidRPr="0033245D">
        <w:rPr>
          <w:rFonts w:ascii="Arial" w:hAnsi="Arial" w:cs="Arial"/>
          <w:sz w:val="19"/>
          <w:szCs w:val="19"/>
        </w:rPr>
        <w:t xml:space="preserve"> </w:t>
      </w:r>
    </w:p>
  </w:footnote>
  <w:footnote w:id="4">
    <w:p w14:paraId="32FD0B6F" w14:textId="77777777" w:rsidR="00031AD9" w:rsidRPr="00640E20" w:rsidRDefault="00031AD9" w:rsidP="00113FF2">
      <w:pPr>
        <w:pStyle w:val="Textonotapie"/>
        <w:ind w:firstLine="709"/>
        <w:jc w:val="both"/>
        <w:rPr>
          <w:rFonts w:ascii="Arial" w:hAnsi="Arial" w:cs="Arial"/>
          <w:color w:val="000000" w:themeColor="text1"/>
          <w:sz w:val="19"/>
          <w:szCs w:val="19"/>
          <w:lang w:val="es-CO"/>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w:t>
      </w:r>
      <w:r w:rsidRPr="00640E20">
        <w:rPr>
          <w:rFonts w:ascii="Arial" w:hAnsi="Arial" w:cs="Arial"/>
          <w:color w:val="000000" w:themeColor="text1"/>
          <w:sz w:val="19"/>
          <w:szCs w:val="19"/>
        </w:rPr>
        <w:t>as técnicas uniformes y de común utilización por parte de las entidades».</w:t>
      </w:r>
    </w:p>
  </w:footnote>
  <w:footnote w:id="5">
    <w:p w14:paraId="30AC710D" w14:textId="77777777" w:rsidR="00031AD9" w:rsidRPr="00640E20" w:rsidRDefault="00031AD9" w:rsidP="00D04750">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lang w:val="es-CO"/>
        </w:rPr>
        <w:t>Ley 1882 de 2018: «Artículo 4.</w:t>
      </w:r>
      <w:r w:rsidRPr="00640E20">
        <w:rPr>
          <w:rFonts w:ascii="Arial" w:hAnsi="Arial" w:cs="Arial"/>
          <w:color w:val="000000" w:themeColor="text1"/>
          <w:sz w:val="19"/>
          <w:szCs w:val="19"/>
          <w:lang w:val="es-CO"/>
        </w:rPr>
        <w:t xml:space="preserve"> </w:t>
      </w:r>
      <w:r w:rsidRPr="00640E20">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279BD63" w14:textId="77777777" w:rsidR="00031AD9" w:rsidRPr="00640E20" w:rsidRDefault="00031AD9" w:rsidP="00D04750">
      <w:pPr>
        <w:pStyle w:val="Textonotapie"/>
        <w:ind w:firstLine="709"/>
        <w:jc w:val="both"/>
        <w:rPr>
          <w:rFonts w:ascii="Arial" w:hAnsi="Arial" w:cs="Arial"/>
          <w:color w:val="000000" w:themeColor="text1"/>
          <w:sz w:val="19"/>
          <w:szCs w:val="19"/>
          <w:lang w:val="es-CO"/>
        </w:rPr>
      </w:pPr>
      <w:proofErr w:type="gramStart"/>
      <w:r w:rsidRPr="00640E20">
        <w:rPr>
          <w:rFonts w:ascii="Arial" w:hAnsi="Arial" w:cs="Arial"/>
          <w:color w:val="000000" w:themeColor="text1"/>
          <w:sz w:val="19"/>
          <w:szCs w:val="19"/>
          <w:lang w:val="es-CO"/>
        </w:rPr>
        <w:t>»La</w:t>
      </w:r>
      <w:proofErr w:type="gramEnd"/>
      <w:r w:rsidRPr="00640E20">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73636B9C" w14:textId="77777777" w:rsidR="00031AD9" w:rsidRPr="00640E20" w:rsidRDefault="00031AD9" w:rsidP="00D81718">
      <w:pPr>
        <w:pStyle w:val="Textonotapie"/>
        <w:ind w:firstLine="709"/>
        <w:jc w:val="both"/>
        <w:rPr>
          <w:rFonts w:ascii="Arial" w:hAnsi="Arial" w:cs="Arial"/>
          <w:color w:val="000000" w:themeColor="text1"/>
          <w:sz w:val="19"/>
          <w:szCs w:val="19"/>
          <w:lang w:val="es-CO"/>
        </w:rPr>
      </w:pPr>
      <w:proofErr w:type="gramStart"/>
      <w:r w:rsidRPr="00640E20">
        <w:rPr>
          <w:rFonts w:ascii="Arial" w:hAnsi="Arial" w:cs="Arial"/>
          <w:color w:val="000000" w:themeColor="text1"/>
          <w:sz w:val="19"/>
          <w:szCs w:val="19"/>
          <w:lang w:val="es-CO"/>
        </w:rPr>
        <w:t>»Los</w:t>
      </w:r>
      <w:proofErr w:type="gramEnd"/>
      <w:r w:rsidRPr="00640E20">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footnote>
  <w:footnote w:id="6">
    <w:p w14:paraId="4824280C" w14:textId="77777777" w:rsidR="00031AD9" w:rsidRPr="00640E20" w:rsidRDefault="00031AD9" w:rsidP="00D8171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w:t>
      </w:r>
      <w:r w:rsidRPr="00640E20">
        <w:rPr>
          <w:rFonts w:ascii="Arial" w:hAnsi="Arial" w:cs="Arial"/>
          <w:color w:val="000000" w:themeColor="text1"/>
          <w:sz w:val="19"/>
          <w:szCs w:val="19"/>
        </w:rPr>
        <w:t>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E212F40" w14:textId="77777777" w:rsidR="00031AD9" w:rsidRPr="00640E20" w:rsidRDefault="00031AD9" w:rsidP="00450B1A">
      <w:pPr>
        <w:pStyle w:val="Textonotapie"/>
        <w:ind w:firstLine="709"/>
        <w:jc w:val="both"/>
        <w:rPr>
          <w:rFonts w:ascii="Arial" w:hAnsi="Arial" w:cs="Arial"/>
          <w:color w:val="000000" w:themeColor="text1"/>
          <w:sz w:val="19"/>
          <w:szCs w:val="19"/>
        </w:rPr>
      </w:pPr>
    </w:p>
  </w:footnote>
  <w:footnote w:id="7">
    <w:p w14:paraId="4A1E6A63" w14:textId="77777777" w:rsidR="00031AD9" w:rsidRPr="002830FE" w:rsidRDefault="00031AD9" w:rsidP="00450B1A">
      <w:pPr>
        <w:pStyle w:val="NormalWeb"/>
        <w:spacing w:before="0" w:beforeAutospacing="0" w:after="0" w:afterAutospacing="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Ley 2022 de </w:t>
      </w:r>
      <w:r w:rsidRPr="002830FE">
        <w:rPr>
          <w:rFonts w:ascii="Arial" w:hAnsi="Arial" w:cs="Arial"/>
          <w:color w:val="000000" w:themeColor="text1"/>
          <w:sz w:val="19"/>
          <w:szCs w:val="19"/>
        </w:rPr>
        <w:t>2020: «</w:t>
      </w:r>
      <w:r w:rsidRPr="002830FE">
        <w:rPr>
          <w:rStyle w:val="Textoennegrita"/>
          <w:rFonts w:ascii="Arial" w:hAnsi="Arial" w:cs="Arial"/>
          <w:b w:val="0"/>
          <w:bCs w:val="0"/>
          <w:color w:val="000000" w:themeColor="text1"/>
          <w:sz w:val="19"/>
          <w:szCs w:val="19"/>
        </w:rPr>
        <w:t>Artículo 1º.</w:t>
      </w:r>
      <w:r w:rsidRPr="002830FE">
        <w:rPr>
          <w:rFonts w:ascii="Arial" w:hAnsi="Arial" w:cs="Arial"/>
          <w:color w:val="000000" w:themeColor="text1"/>
          <w:sz w:val="19"/>
          <w:szCs w:val="19"/>
        </w:rPr>
        <w:t> Modifíquese el artículo 4º de la Ley 1882 de 2018, el cual quedará así: </w:t>
      </w:r>
    </w:p>
    <w:p w14:paraId="0BE44464" w14:textId="77777777" w:rsidR="00031AD9" w:rsidRPr="002830FE" w:rsidRDefault="00031AD9">
      <w:pPr>
        <w:pStyle w:val="NormalWeb"/>
        <w:spacing w:before="0" w:beforeAutospacing="0" w:after="0" w:afterAutospacing="0"/>
        <w:ind w:firstLine="709"/>
        <w:jc w:val="both"/>
        <w:rPr>
          <w:rFonts w:ascii="Arial" w:hAnsi="Arial" w:cs="Arial"/>
          <w:color w:val="000000" w:themeColor="text1"/>
          <w:sz w:val="19"/>
          <w:szCs w:val="19"/>
        </w:rPr>
      </w:pPr>
      <w:proofErr w:type="gramStart"/>
      <w:r w:rsidRPr="002830FE">
        <w:rPr>
          <w:rStyle w:val="Textoennegrita"/>
          <w:rFonts w:ascii="Arial" w:hAnsi="Arial" w:cs="Arial"/>
          <w:b w:val="0"/>
          <w:bCs w:val="0"/>
          <w:color w:val="000000" w:themeColor="text1"/>
          <w:sz w:val="19"/>
          <w:szCs w:val="19"/>
        </w:rPr>
        <w:t>»Artículo</w:t>
      </w:r>
      <w:proofErr w:type="gramEnd"/>
      <w:r w:rsidRPr="002830FE">
        <w:rPr>
          <w:rStyle w:val="Textoennegrita"/>
          <w:rFonts w:ascii="Arial" w:hAnsi="Arial" w:cs="Arial"/>
          <w:b w:val="0"/>
          <w:bCs w:val="0"/>
          <w:color w:val="000000" w:themeColor="text1"/>
          <w:sz w:val="19"/>
          <w:szCs w:val="19"/>
        </w:rPr>
        <w:t xml:space="preserve"> 4º.</w:t>
      </w:r>
      <w:r w:rsidRPr="002830FE">
        <w:rPr>
          <w:rFonts w:ascii="Arial" w:hAnsi="Arial" w:cs="Arial"/>
          <w:color w:val="000000" w:themeColor="text1"/>
          <w:sz w:val="19"/>
          <w:szCs w:val="19"/>
        </w:rPr>
        <w:t> Adiciónese el siguiente parágrafo al artículo 2º de la Ley 1150 de 2007. </w:t>
      </w:r>
    </w:p>
    <w:p w14:paraId="4F205D6F"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proofErr w:type="gramStart"/>
      <w:r w:rsidRPr="002830FE">
        <w:rPr>
          <w:rStyle w:val="Textoennegrita"/>
          <w:rFonts w:ascii="Arial" w:hAnsi="Arial" w:cs="Arial"/>
          <w:b w:val="0"/>
          <w:bCs w:val="0"/>
          <w:color w:val="000000" w:themeColor="text1"/>
          <w:sz w:val="19"/>
          <w:szCs w:val="19"/>
        </w:rPr>
        <w:t>»Parágrafo</w:t>
      </w:r>
      <w:proofErr w:type="gramEnd"/>
      <w:r w:rsidRPr="002830FE">
        <w:rPr>
          <w:rStyle w:val="Textoennegrita"/>
          <w:rFonts w:ascii="Arial" w:hAnsi="Arial" w:cs="Arial"/>
          <w:b w:val="0"/>
          <w:bCs w:val="0"/>
          <w:color w:val="000000" w:themeColor="text1"/>
          <w:sz w:val="19"/>
          <w:szCs w:val="19"/>
        </w:rPr>
        <w:t xml:space="preserve"> 7º.</w:t>
      </w:r>
      <w:r w:rsidRPr="002830FE">
        <w:rPr>
          <w:rFonts w:ascii="Arial" w:hAnsi="Arial" w:cs="Arial"/>
          <w:color w:val="000000" w:themeColor="text1"/>
          <w:sz w:val="19"/>
          <w:szCs w:val="19"/>
        </w:rPr>
        <w:t> La Agencia Nacional de Contratación Pública Colombia Compra Eficiente o quien haga sus veces, adoptará documentos</w:t>
      </w:r>
      <w:r w:rsidRPr="00640E20">
        <w:rPr>
          <w:rFonts w:ascii="Arial" w:hAnsi="Arial" w:cs="Arial"/>
          <w:color w:val="000000" w:themeColor="text1"/>
          <w:sz w:val="19"/>
          <w:szCs w:val="19"/>
        </w:rPr>
        <w:t xml:space="preserve"> tipo que serán de obligatorio cumplimiento en la actividad contractual de todas las entidades sometidas al Estatuto General de Contratación de la Administración Pública. </w:t>
      </w:r>
    </w:p>
    <w:p w14:paraId="27AD5281"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»Dentro</w:t>
      </w:r>
      <w:proofErr w:type="gramEnd"/>
      <w:r w:rsidRPr="00640E20">
        <w:rPr>
          <w:rFonts w:ascii="Arial" w:hAnsi="Arial" w:cs="Arial"/>
          <w:color w:val="000000" w:themeColor="text1"/>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F42D6E9"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»Con</w:t>
      </w:r>
      <w:proofErr w:type="gramEnd"/>
      <w:r w:rsidRPr="00640E20">
        <w:rPr>
          <w:rFonts w:ascii="Arial" w:hAnsi="Arial" w:cs="Arial"/>
          <w:color w:val="000000" w:themeColor="text1"/>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23B7D64"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F462983" w14:textId="77777777" w:rsidR="00031AD9" w:rsidRPr="00640E20" w:rsidRDefault="00031AD9">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»En</w:t>
      </w:r>
      <w:proofErr w:type="gramEnd"/>
      <w:r w:rsidRPr="00640E20">
        <w:rPr>
          <w:rFonts w:ascii="Arial" w:hAnsi="Arial" w:cs="Arial"/>
          <w:color w:val="000000" w:themeColor="text1"/>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8">
    <w:p w14:paraId="01B36BAD" w14:textId="77777777" w:rsidR="00031AD9" w:rsidRPr="00B06FD5" w:rsidRDefault="00031AD9">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 CONGRESO DE LA REPÚBLICA. Gaceta </w:t>
      </w:r>
      <w:proofErr w:type="spellStart"/>
      <w:r w:rsidRPr="00640E20">
        <w:rPr>
          <w:rFonts w:ascii="Arial" w:hAnsi="Arial" w:cs="Arial"/>
          <w:color w:val="000000" w:themeColor="text1"/>
          <w:sz w:val="19"/>
          <w:szCs w:val="19"/>
        </w:rPr>
        <w:t>Nº</w:t>
      </w:r>
      <w:proofErr w:type="spellEnd"/>
      <w:r w:rsidRPr="00640E20">
        <w:rPr>
          <w:rFonts w:ascii="Arial" w:hAnsi="Arial" w:cs="Arial"/>
          <w:color w:val="000000" w:themeColor="text1"/>
          <w:sz w:val="19"/>
          <w:szCs w:val="19"/>
        </w:rPr>
        <w:t xml:space="preserve"> 1677 del 23 de noviembre de 2021. Justificación jurídica del Proyecto de Ley No. 226 de 2021 Cámara. p. 15.</w:t>
      </w:r>
      <w:r w:rsidRPr="00640E20">
        <w:rPr>
          <w:rFonts w:ascii="Arial" w:hAnsi="Arial" w:cs="Arial"/>
          <w:color w:val="000000" w:themeColor="text1"/>
          <w:sz w:val="19"/>
          <w:szCs w:val="19"/>
        </w:rPr>
        <w:cr/>
      </w:r>
    </w:p>
  </w:footnote>
  <w:footnote w:id="9">
    <w:p w14:paraId="5B36713C" w14:textId="77777777"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B06FD5">
        <w:rPr>
          <w:rStyle w:val="Textoennegrita"/>
          <w:rFonts w:ascii="Arial" w:hAnsi="Arial" w:cs="Arial"/>
          <w:color w:val="000000"/>
          <w:sz w:val="19"/>
          <w:szCs w:val="19"/>
        </w:rPr>
        <w:t>Artículo 2</w:t>
      </w:r>
      <w:proofErr w:type="gramStart"/>
      <w:r w:rsidRPr="00B06FD5">
        <w:rPr>
          <w:rStyle w:val="Textoennegrita"/>
          <w:rFonts w:ascii="Arial" w:hAnsi="Arial" w:cs="Arial"/>
          <w:color w:val="000000"/>
          <w:sz w:val="19"/>
          <w:szCs w:val="19"/>
        </w:rPr>
        <w:t>°.</w:t>
      </w:r>
      <w:r w:rsidRPr="00B06FD5">
        <w:rPr>
          <w:rStyle w:val="nfasis"/>
          <w:rFonts w:ascii="Arial" w:hAnsi="Arial" w:cs="Arial"/>
          <w:color w:val="000000"/>
          <w:sz w:val="19"/>
          <w:szCs w:val="19"/>
        </w:rPr>
        <w:t>De</w:t>
      </w:r>
      <w:proofErr w:type="gramEnd"/>
      <w:r w:rsidRPr="00B06FD5">
        <w:rPr>
          <w:rStyle w:val="nfasis"/>
          <w:rFonts w:ascii="Arial" w:hAnsi="Arial" w:cs="Arial"/>
          <w:color w:val="000000"/>
          <w:sz w:val="19"/>
          <w:szCs w:val="19"/>
        </w:rPr>
        <w:t xml:space="preserve"> las modalidades de selección. </w:t>
      </w:r>
      <w:r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52A2FD24" w14:textId="77777777"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51D61F99" w14:textId="77777777" w:rsidR="00031AD9" w:rsidRPr="00640E20" w:rsidRDefault="00031AD9">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»4. Contratación directa</w:t>
      </w:r>
      <w:r w:rsidRPr="00640E20">
        <w:rPr>
          <w:rFonts w:ascii="Arial" w:hAnsi="Arial" w:cs="Arial"/>
          <w:b/>
          <w:bCs/>
          <w:color w:val="000000"/>
          <w:sz w:val="19"/>
          <w:szCs w:val="19"/>
        </w:rPr>
        <w:t>. </w:t>
      </w:r>
      <w:r w:rsidRPr="00640E20">
        <w:rPr>
          <w:rFonts w:ascii="Arial" w:hAnsi="Arial" w:cs="Arial"/>
          <w:color w:val="000000"/>
          <w:sz w:val="19"/>
          <w:szCs w:val="19"/>
        </w:rPr>
        <w:t xml:space="preserve">La modalidad de selección de contratación </w:t>
      </w:r>
      <w:proofErr w:type="gramStart"/>
      <w:r w:rsidRPr="00640E20">
        <w:rPr>
          <w:rFonts w:ascii="Arial" w:hAnsi="Arial" w:cs="Arial"/>
          <w:color w:val="000000"/>
          <w:sz w:val="19"/>
          <w:szCs w:val="19"/>
        </w:rPr>
        <w:t>directa,</w:t>
      </w:r>
      <w:proofErr w:type="gramEnd"/>
      <w:r w:rsidRPr="00640E20">
        <w:rPr>
          <w:rFonts w:ascii="Arial" w:hAnsi="Arial" w:cs="Arial"/>
          <w:color w:val="000000"/>
          <w:sz w:val="19"/>
          <w:szCs w:val="19"/>
        </w:rPr>
        <w:t xml:space="preserve"> solamente procederá en los siguientes casos: </w:t>
      </w:r>
    </w:p>
    <w:p w14:paraId="1E872267" w14:textId="77777777" w:rsidR="00031AD9" w:rsidRPr="00640E20" w:rsidRDefault="00031AD9">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413F7986" w14:textId="77777777" w:rsidR="00031AD9" w:rsidRPr="00640E20" w:rsidRDefault="00031AD9" w:rsidP="00D04750">
      <w:pPr>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3B25D4AF"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»Se</w:t>
      </w:r>
      <w:proofErr w:type="gramEnd"/>
      <w:r w:rsidRPr="00640E20">
        <w:rPr>
          <w:rFonts w:ascii="Arial" w:hAnsi="Arial" w:cs="Arial"/>
          <w:color w:val="000000"/>
          <w:sz w:val="19"/>
          <w:szCs w:val="19"/>
          <w:lang w:eastAsia="es-CO"/>
        </w:rPr>
        <w:t xml:space="preserv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355D1099"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»En</w:t>
      </w:r>
      <w:proofErr w:type="gramEnd"/>
      <w:r w:rsidRPr="00640E20">
        <w:rPr>
          <w:rFonts w:ascii="Arial" w:hAnsi="Arial" w:cs="Arial"/>
          <w:color w:val="000000"/>
          <w:sz w:val="19"/>
          <w:szCs w:val="19"/>
          <w:lang w:eastAsia="es-CO"/>
        </w:rPr>
        <w:t xml:space="preserve">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4E527AF3" w14:textId="77777777" w:rsidR="00031AD9" w:rsidRPr="00640E20" w:rsidRDefault="00031AD9" w:rsidP="00D04750">
      <w:pPr>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»En</w:t>
      </w:r>
      <w:proofErr w:type="gramEnd"/>
      <w:r w:rsidRPr="00640E20">
        <w:rPr>
          <w:rFonts w:ascii="Arial" w:hAnsi="Arial" w:cs="Arial"/>
          <w:color w:val="000000"/>
          <w:sz w:val="19"/>
          <w:szCs w:val="19"/>
          <w:lang w:eastAsia="es-CO"/>
        </w:rPr>
        <w:t xml:space="preserve">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4D438D0D" w14:textId="77777777" w:rsidR="00031AD9" w:rsidRPr="00640E20" w:rsidRDefault="00031AD9" w:rsidP="00D81718">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»Estarán</w:t>
      </w:r>
      <w:proofErr w:type="gramEnd"/>
      <w:r w:rsidRPr="00640E20">
        <w:rPr>
          <w:rFonts w:ascii="Arial" w:hAnsi="Arial" w:cs="Arial"/>
          <w:color w:val="000000"/>
          <w:sz w:val="19"/>
          <w:szCs w:val="19"/>
          <w:lang w:eastAsia="es-CO"/>
        </w:rPr>
        <w:t xml:space="preserve"> exceptuados de la figura del contrato interadministrativo, los contratos de seguro de las entidades estatales[…]». </w:t>
      </w:r>
      <w:r w:rsidRPr="00640E20">
        <w:rPr>
          <w:rFonts w:ascii="Arial" w:hAnsi="Arial" w:cs="Arial"/>
          <w:sz w:val="19"/>
          <w:szCs w:val="19"/>
        </w:rPr>
        <w:t xml:space="preserve"> </w:t>
      </w:r>
    </w:p>
  </w:footnote>
  <w:footnote w:id="10">
    <w:p w14:paraId="3386FE38" w14:textId="77777777" w:rsidR="00031AD9" w:rsidRPr="00640E20" w:rsidRDefault="00031AD9" w:rsidP="00450B1A">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640E20">
        <w:rPr>
          <w:rFonts w:ascii="Arial" w:hAnsi="Arial" w:cs="Arial"/>
          <w:i/>
          <w:iCs/>
          <w:sz w:val="19"/>
          <w:szCs w:val="19"/>
        </w:rPr>
        <w:t xml:space="preserve">lex posterior </w:t>
      </w:r>
      <w:proofErr w:type="spellStart"/>
      <w:r w:rsidRPr="00640E20">
        <w:rPr>
          <w:rFonts w:ascii="Arial" w:hAnsi="Arial" w:cs="Arial"/>
          <w:i/>
          <w:iCs/>
          <w:sz w:val="19"/>
          <w:szCs w:val="19"/>
        </w:rPr>
        <w:t>derogat</w:t>
      </w:r>
      <w:proofErr w:type="spellEnd"/>
      <w:r w:rsidRPr="00640E20">
        <w:rPr>
          <w:rFonts w:ascii="Arial" w:hAnsi="Arial" w:cs="Arial"/>
          <w:i/>
          <w:iCs/>
          <w:sz w:val="19"/>
          <w:szCs w:val="19"/>
        </w:rPr>
        <w:t xml:space="preserve"> </w:t>
      </w:r>
      <w:proofErr w:type="spellStart"/>
      <w:r w:rsidRPr="00640E20">
        <w:rPr>
          <w:rFonts w:ascii="Arial" w:hAnsi="Arial" w:cs="Arial"/>
          <w:i/>
          <w:iCs/>
          <w:sz w:val="19"/>
          <w:szCs w:val="19"/>
        </w:rPr>
        <w:t>legi</w:t>
      </w:r>
      <w:proofErr w:type="spellEnd"/>
      <w:r w:rsidRPr="00640E20">
        <w:rPr>
          <w:rFonts w:ascii="Arial" w:hAnsi="Arial" w:cs="Arial"/>
          <w:i/>
          <w:iCs/>
          <w:sz w:val="19"/>
          <w:szCs w:val="19"/>
        </w:rPr>
        <w:t xml:space="preserve">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1">
    <w:p w14:paraId="1C9BF93B" w14:textId="38C9079E" w:rsidR="00854853" w:rsidRPr="00854853" w:rsidRDefault="00854853" w:rsidP="00854853">
      <w:pPr>
        <w:pStyle w:val="Textonotapie"/>
        <w:ind w:firstLine="709"/>
        <w:rPr>
          <w:lang w:val="es-CO"/>
        </w:rPr>
      </w:pPr>
      <w:r>
        <w:rPr>
          <w:rStyle w:val="Refdenotaalpie"/>
        </w:rPr>
        <w:footnoteRef/>
      </w:r>
      <w:r>
        <w:t xml:space="preserve"> </w:t>
      </w:r>
      <w:r w:rsidRPr="00854853">
        <w:rPr>
          <w:rFonts w:ascii="Arial" w:hAnsi="Arial" w:cs="Arial"/>
          <w:sz w:val="19"/>
          <w:szCs w:val="19"/>
          <w:lang w:val="es-CO"/>
        </w:rPr>
        <w:t xml:space="preserve">Definición Rae disponible en: </w:t>
      </w:r>
      <w:hyperlink r:id="rId2" w:history="1">
        <w:r w:rsidRPr="00854853">
          <w:rPr>
            <w:rStyle w:val="Hipervnculo"/>
            <w:rFonts w:ascii="Arial" w:hAnsi="Arial" w:cs="Arial"/>
            <w:color w:val="auto"/>
            <w:sz w:val="19"/>
            <w:szCs w:val="19"/>
            <w:lang w:val="es-CO"/>
          </w:rPr>
          <w:t>https://dle.rae.es/%C3%ADndole</w:t>
        </w:r>
      </w:hyperlink>
      <w:r w:rsidRPr="00854853">
        <w:rPr>
          <w:lang w:val="es-CO"/>
        </w:rPr>
        <w:t xml:space="preserve"> </w:t>
      </w:r>
    </w:p>
  </w:footnote>
  <w:footnote w:id="12">
    <w:p w14:paraId="1D09CF5E" w14:textId="77777777" w:rsidR="00897B2E" w:rsidRPr="00640E20" w:rsidRDefault="00897B2E" w:rsidP="00897B2E">
      <w:pPr>
        <w:pStyle w:val="Textonotapie"/>
        <w:ind w:firstLine="709"/>
        <w:jc w:val="both"/>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w:t>
      </w:r>
      <w:r w:rsidRPr="00640E20">
        <w:rPr>
          <w:rFonts w:ascii="Arial" w:hAnsi="Arial" w:cs="Arial"/>
          <w:color w:val="000000" w:themeColor="text1"/>
          <w:sz w:val="19"/>
          <w:szCs w:val="19"/>
          <w:lang w:val="es-ES"/>
        </w:rPr>
        <w:t xml:space="preserve">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640E20">
        <w:rPr>
          <w:rFonts w:ascii="Arial" w:hAnsi="Arial" w:cs="Arial"/>
          <w:color w:val="000000" w:themeColor="text1"/>
          <w:sz w:val="19"/>
          <w:szCs w:val="19"/>
          <w:lang w:val="es-ES"/>
        </w:rPr>
        <w:t>Civitas</w:t>
      </w:r>
      <w:proofErr w:type="spellEnd"/>
      <w:r w:rsidRPr="00640E20">
        <w:rPr>
          <w:rFonts w:ascii="Arial" w:hAnsi="Arial" w:cs="Arial"/>
          <w:color w:val="000000" w:themeColor="text1"/>
          <w:sz w:val="19"/>
          <w:szCs w:val="19"/>
          <w:lang w:val="es-ES"/>
        </w:rPr>
        <w:t>, 1983. pp. 33-34).</w:t>
      </w:r>
    </w:p>
  </w:footnote>
  <w:footnote w:id="13">
    <w:p w14:paraId="1C651CD9" w14:textId="77777777" w:rsidR="00897B2E" w:rsidRPr="00832CA9" w:rsidRDefault="00897B2E" w:rsidP="00897B2E">
      <w:pPr>
        <w:pStyle w:val="Textonotapie"/>
        <w:ind w:firstLine="709"/>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sz w:val="19"/>
          <w:szCs w:val="19"/>
        </w:rPr>
        <w:t>Sentencia C-382 de 2019, M.P.</w:t>
      </w:r>
      <w:r w:rsidRPr="005A1626">
        <w:rPr>
          <w:rFonts w:ascii="Arial" w:hAnsi="Arial" w:cs="Arial"/>
          <w:sz w:val="19"/>
          <w:szCs w:val="19"/>
        </w:rPr>
        <w:t xml:space="preserve"> Alejandro Linares Cantillo.</w:t>
      </w:r>
    </w:p>
  </w:footnote>
  <w:footnote w:id="14">
    <w:p w14:paraId="6E10602F"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C108F">
        <w:rPr>
          <w:rFonts w:ascii="Arial" w:hAnsi="Arial" w:cs="Arial"/>
          <w:color w:val="000000" w:themeColor="text1"/>
          <w:sz w:val="19"/>
          <w:szCs w:val="19"/>
        </w:rPr>
        <w:t>La redacción original del parágrafo</w:t>
      </w:r>
      <w:r w:rsidRPr="005A1626">
        <w:rPr>
          <w:rFonts w:ascii="Arial" w:hAnsi="Arial" w:cs="Arial"/>
          <w:color w:val="000000" w:themeColor="text1"/>
          <w:sz w:val="19"/>
          <w:szCs w:val="19"/>
        </w:rPr>
        <w:t xml:space="preserve"> primero</w:t>
      </w:r>
      <w:r w:rsidRPr="00832CA9">
        <w:rPr>
          <w:rFonts w:ascii="Arial" w:hAnsi="Arial" w:cs="Arial"/>
          <w:color w:val="000000" w:themeColor="text1"/>
          <w:sz w:val="19"/>
          <w:szCs w:val="19"/>
        </w:rPr>
        <w:t xml:space="preserve"> del artículo 32 de la Ley 80 d</w:t>
      </w:r>
      <w:r w:rsidRPr="00640E20">
        <w:rPr>
          <w:rFonts w:ascii="Arial" w:hAnsi="Arial" w:cs="Arial"/>
          <w:color w:val="000000" w:themeColor="text1"/>
          <w:sz w:val="19"/>
          <w:szCs w:val="19"/>
        </w:rPr>
        <w:t xml:space="preserve">e 1993, incluía la expresión </w:t>
      </w:r>
      <w:r w:rsidRPr="00640E20">
        <w:rPr>
          <w:rFonts w:ascii="Arial" w:hAnsi="Arial" w:cs="Arial"/>
          <w:i/>
          <w:iCs/>
          <w:color w:val="000000" w:themeColor="text1"/>
          <w:sz w:val="19"/>
          <w:szCs w:val="19"/>
        </w:rPr>
        <w:t>giro ordinario</w:t>
      </w:r>
      <w:r w:rsidRPr="00640E20">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640E20">
        <w:rPr>
          <w:rFonts w:ascii="Arial" w:hAnsi="Arial" w:cs="Arial"/>
          <w:i/>
          <w:iCs/>
          <w:color w:val="000000" w:themeColor="text1"/>
          <w:sz w:val="19"/>
          <w:szCs w:val="19"/>
        </w:rPr>
        <w:t>al giro ordinario de las actividades propias de su objeto social,</w:t>
      </w:r>
      <w:r w:rsidRPr="00640E20">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0546E37D" w14:textId="77777777" w:rsidR="00897B2E" w:rsidRPr="00640E20" w:rsidRDefault="00897B2E" w:rsidP="00897B2E">
      <w:pPr>
        <w:pStyle w:val="Textonotapie"/>
        <w:ind w:firstLine="709"/>
        <w:jc w:val="both"/>
        <w:rPr>
          <w:rFonts w:ascii="Arial" w:hAnsi="Arial" w:cs="Arial"/>
          <w:color w:val="000000" w:themeColor="text1"/>
          <w:sz w:val="19"/>
          <w:szCs w:val="19"/>
        </w:rPr>
      </w:pPr>
    </w:p>
  </w:footnote>
  <w:footnote w:id="15">
    <w:p w14:paraId="0B91E1FE"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w:t>
      </w:r>
      <w:r w:rsidRPr="005A1626">
        <w:rPr>
          <w:rFonts w:ascii="Arial" w:hAnsi="Arial" w:cs="Arial"/>
          <w:color w:val="000000" w:themeColor="text1"/>
          <w:sz w:val="19"/>
          <w:szCs w:val="19"/>
        </w:rPr>
        <w:t>.</w:t>
      </w:r>
      <w:r w:rsidRPr="00832CA9">
        <w:rPr>
          <w:rFonts w:ascii="Arial" w:hAnsi="Arial" w:cs="Arial"/>
          <w:color w:val="000000" w:themeColor="text1"/>
          <w:sz w:val="19"/>
          <w:szCs w:val="19"/>
        </w:rPr>
        <w:t xml:space="preserve"> Sección Tercera</w:t>
      </w:r>
      <w:r w:rsidRPr="00640E20">
        <w:rPr>
          <w:rFonts w:ascii="Arial" w:hAnsi="Arial" w:cs="Arial"/>
          <w:color w:val="000000" w:themeColor="text1"/>
          <w:sz w:val="19"/>
          <w:szCs w:val="19"/>
        </w:rPr>
        <w:t xml:space="preserve">. Subsección B. Sentencia del 12 de octubre de 2011.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20070. C.P. Danilo Rojas Betancourt.</w:t>
      </w:r>
    </w:p>
    <w:p w14:paraId="76978DDC" w14:textId="77777777" w:rsidR="00897B2E" w:rsidRPr="00640E20" w:rsidRDefault="00897B2E" w:rsidP="00897B2E">
      <w:pPr>
        <w:pStyle w:val="Textonotapie"/>
        <w:ind w:firstLine="709"/>
        <w:jc w:val="both"/>
        <w:rPr>
          <w:rFonts w:ascii="Arial" w:hAnsi="Arial" w:cs="Arial"/>
          <w:color w:val="000000" w:themeColor="text1"/>
          <w:sz w:val="19"/>
          <w:szCs w:val="19"/>
          <w:lang w:val="es-ES"/>
        </w:rPr>
      </w:pPr>
    </w:p>
  </w:footnote>
  <w:footnote w:id="16">
    <w:p w14:paraId="2F2A20CB" w14:textId="77777777" w:rsidR="00897B2E" w:rsidRPr="00640E20" w:rsidRDefault="00897B2E" w:rsidP="00897B2E">
      <w:pPr>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 Sección Tercera. Subsección A. Sentencia del 3 de marzo de 2021.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51373. C.P. José Roberto Sáchica Méndez.</w:t>
      </w:r>
    </w:p>
    <w:p w14:paraId="7E38C690" w14:textId="77777777" w:rsidR="00897B2E" w:rsidRPr="00640E20" w:rsidRDefault="00897B2E" w:rsidP="00897B2E">
      <w:pPr>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17">
    <w:p w14:paraId="632672B4"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5A1626">
        <w:rPr>
          <w:rFonts w:ascii="Arial" w:hAnsi="Arial" w:cs="Arial"/>
          <w:color w:val="000000" w:themeColor="text1"/>
          <w:sz w:val="19"/>
          <w:szCs w:val="19"/>
        </w:rPr>
        <w:t>E</w:t>
      </w:r>
      <w:r w:rsidRPr="00832CA9">
        <w:rPr>
          <w:rFonts w:ascii="Arial" w:hAnsi="Arial" w:cs="Arial"/>
          <w:color w:val="000000" w:themeColor="text1"/>
          <w:sz w:val="19"/>
          <w:szCs w:val="19"/>
        </w:rPr>
        <w:t>l Consejo de Estado ha precisado</w:t>
      </w:r>
      <w:r w:rsidRPr="00640E20">
        <w:rPr>
          <w:rFonts w:ascii="Arial" w:hAnsi="Arial" w:cs="Arial"/>
          <w:color w:val="000000" w:themeColor="text1"/>
          <w:sz w:val="19"/>
          <w:szCs w:val="19"/>
        </w:rPr>
        <w:t xml:space="preserve">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550B4EE9" w14:textId="77777777" w:rsidR="00897B2E" w:rsidRPr="00640E20" w:rsidRDefault="00897B2E" w:rsidP="00897B2E">
      <w:pPr>
        <w:pStyle w:val="Textonotapie"/>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»En</w:t>
      </w:r>
      <w:proofErr w:type="gramEnd"/>
      <w:r w:rsidRPr="00640E20">
        <w:rPr>
          <w:rFonts w:ascii="Arial" w:hAnsi="Arial" w:cs="Arial"/>
          <w:color w:val="000000" w:themeColor="text1"/>
          <w:sz w:val="19"/>
          <w:szCs w:val="19"/>
        </w:rPr>
        <w:t xml:space="preserve">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11575. C.P. Alier E. Hernández Enríquez.</w:t>
      </w:r>
    </w:p>
  </w:footnote>
  <w:footnote w:id="18">
    <w:p w14:paraId="2DDF3396" w14:textId="77777777" w:rsidR="00897B2E" w:rsidRPr="00640E20" w:rsidRDefault="00897B2E" w:rsidP="00897B2E">
      <w:pPr>
        <w:pStyle w:val="Textonotapie"/>
        <w:ind w:firstLine="709"/>
        <w:jc w:val="both"/>
        <w:rPr>
          <w:rFonts w:ascii="Arial" w:hAnsi="Arial" w:cs="Arial"/>
          <w:color w:val="000000" w:themeColor="text1"/>
          <w:sz w:val="19"/>
          <w:szCs w:val="19"/>
        </w:rPr>
      </w:pPr>
    </w:p>
    <w:p w14:paraId="66CACD64"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Superintendencia de Sociedades. Oficio 220-014111 del 18 de febrero de 2015. Consultado el 9 de febrero de 2022 en: </w:t>
      </w:r>
      <w:hyperlink r:id="rId3" w:history="1">
        <w:r w:rsidRPr="00640E20">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9">
    <w:p w14:paraId="0D36759C"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En efecto, en audiencia </w:t>
      </w:r>
      <w:r w:rsidRPr="005A1626">
        <w:rPr>
          <w:rFonts w:ascii="Arial" w:hAnsi="Arial" w:cs="Arial"/>
          <w:color w:val="000000" w:themeColor="text1"/>
          <w:sz w:val="19"/>
          <w:szCs w:val="19"/>
        </w:rPr>
        <w:t xml:space="preserve">Pública del 18 de marzo de 2021, esta Agencia llamó la atención sobre la necesidad  de incluir en el Proyecto de Ley </w:t>
      </w:r>
      <w:r w:rsidRPr="00640E20">
        <w:rPr>
          <w:rFonts w:ascii="Arial" w:hAnsi="Arial" w:cs="Arial"/>
          <w:color w:val="000000" w:themeColor="text1"/>
          <w:sz w:val="19"/>
          <w:szCs w:val="19"/>
        </w:rPr>
        <w:t xml:space="preserve">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w:t>
      </w:r>
      <w:proofErr w:type="spellStart"/>
      <w:r w:rsidRPr="00640E20">
        <w:rPr>
          <w:rFonts w:ascii="Arial" w:hAnsi="Arial" w:cs="Arial"/>
          <w:color w:val="000000" w:themeColor="text1"/>
          <w:sz w:val="19"/>
          <w:szCs w:val="19"/>
        </w:rPr>
        <w:t>Nº</w:t>
      </w:r>
      <w:proofErr w:type="spellEnd"/>
      <w:r w:rsidRPr="00640E20">
        <w:rPr>
          <w:rFonts w:ascii="Arial" w:hAnsi="Arial" w:cs="Arial"/>
          <w:color w:val="000000" w:themeColor="text1"/>
          <w:sz w:val="19"/>
          <w:szCs w:val="19"/>
        </w:rPr>
        <w:t xml:space="preserve"> 1677 del 23 de noviembre de 2021. Justificación jurídica del Proyecto de Ley No. 226 de 2021 Cámara. p. 15.</w:t>
      </w:r>
      <w:r w:rsidRPr="00640E20">
        <w:rPr>
          <w:rFonts w:ascii="Arial" w:hAnsi="Arial" w:cs="Arial"/>
          <w:color w:val="000000" w:themeColor="text1"/>
          <w:sz w:val="19"/>
          <w:szCs w:val="19"/>
        </w:rPr>
        <w:cr/>
      </w:r>
    </w:p>
  </w:footnote>
  <w:footnote w:id="20">
    <w:p w14:paraId="7D4A93F2"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311AA68C" w14:textId="77777777" w:rsidR="00897B2E" w:rsidRPr="00640E20" w:rsidRDefault="00897B2E" w:rsidP="00897B2E">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6674179B" w14:textId="77777777" w:rsidR="00897B2E" w:rsidRPr="00640E20" w:rsidRDefault="00897B2E" w:rsidP="00897B2E">
      <w:pPr>
        <w:pStyle w:val="Textonotapie"/>
        <w:spacing w:after="12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w:t>
      </w:r>
      <w:proofErr w:type="spellStart"/>
      <w:r w:rsidRPr="00640E20">
        <w:rPr>
          <w:rFonts w:ascii="Arial" w:hAnsi="Arial" w:cs="Arial"/>
          <w:color w:val="000000" w:themeColor="text1"/>
          <w:sz w:val="19"/>
          <w:szCs w:val="19"/>
        </w:rPr>
        <w:t>ii</w:t>
      </w:r>
      <w:proofErr w:type="spellEnd"/>
      <w:r w:rsidRPr="00640E20">
        <w:rPr>
          <w:rFonts w:ascii="Arial" w:hAnsi="Arial" w:cs="Arial"/>
          <w:color w:val="000000" w:themeColor="text1"/>
          <w:sz w:val="19"/>
          <w:szCs w:val="19"/>
        </w:rPr>
        <w:t>)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0EBA91D8" w14:textId="77777777" w:rsidR="00897B2E" w:rsidRPr="00640E20" w:rsidRDefault="00897B2E" w:rsidP="00897B2E">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w:t>
      </w:r>
      <w:proofErr w:type="spellStart"/>
      <w:r w:rsidRPr="00640E20">
        <w:rPr>
          <w:rFonts w:ascii="Arial" w:hAnsi="Arial" w:cs="Arial"/>
          <w:color w:val="000000" w:themeColor="text1"/>
          <w:sz w:val="19"/>
          <w:szCs w:val="19"/>
        </w:rPr>
        <w:t>iii</w:t>
      </w:r>
      <w:proofErr w:type="spellEnd"/>
      <w:r w:rsidRPr="00640E20">
        <w:rPr>
          <w:rFonts w:ascii="Arial" w:hAnsi="Arial" w:cs="Arial"/>
          <w:color w:val="000000" w:themeColor="text1"/>
          <w:sz w:val="19"/>
          <w:szCs w:val="19"/>
        </w:rPr>
        <w:t>)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2679BA9A" w14:textId="77777777" w:rsidR="00897B2E" w:rsidRPr="00640E20" w:rsidRDefault="00897B2E" w:rsidP="00897B2E">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21">
    <w:p w14:paraId="26F86317"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rPr>
        <w:t xml:space="preserve">Consejo de Estado. Sección Tercera. Subsección A. Sentencia del 24 de junio de 2015. </w:t>
      </w:r>
      <w:proofErr w:type="spellStart"/>
      <w:r w:rsidRPr="00832CA9">
        <w:rPr>
          <w:rFonts w:ascii="Arial" w:hAnsi="Arial" w:cs="Arial"/>
          <w:color w:val="000000" w:themeColor="text1"/>
          <w:sz w:val="19"/>
          <w:szCs w:val="19"/>
        </w:rPr>
        <w:t>Exp</w:t>
      </w:r>
      <w:proofErr w:type="spellEnd"/>
      <w:r w:rsidRPr="00832CA9">
        <w:rPr>
          <w:rFonts w:ascii="Arial" w:hAnsi="Arial" w:cs="Arial"/>
          <w:color w:val="000000" w:themeColor="text1"/>
          <w:sz w:val="19"/>
          <w:szCs w:val="19"/>
        </w:rPr>
        <w:t>. 40.635. Consejero Ponente:</w:t>
      </w:r>
      <w:r w:rsidRPr="00640E20">
        <w:rPr>
          <w:rFonts w:ascii="Arial" w:hAnsi="Arial" w:cs="Arial"/>
          <w:color w:val="000000" w:themeColor="text1"/>
          <w:sz w:val="19"/>
          <w:szCs w:val="19"/>
        </w:rPr>
        <w:t xml:space="preserve"> Hernán Andrade Rincón (E).</w:t>
      </w:r>
    </w:p>
    <w:p w14:paraId="21FE253A" w14:textId="77777777" w:rsidR="00897B2E" w:rsidRPr="00640E20" w:rsidRDefault="00897B2E" w:rsidP="00897B2E">
      <w:pPr>
        <w:pStyle w:val="Textonotapie"/>
        <w:ind w:firstLine="709"/>
        <w:jc w:val="both"/>
        <w:rPr>
          <w:rFonts w:ascii="Arial" w:hAnsi="Arial" w:cs="Arial"/>
          <w:sz w:val="19"/>
          <w:szCs w:val="19"/>
          <w:lang w:val="es-ES"/>
        </w:rPr>
      </w:pPr>
    </w:p>
  </w:footnote>
  <w:footnote w:id="22">
    <w:p w14:paraId="2DE6DA91" w14:textId="77777777" w:rsidR="00897B2E" w:rsidRPr="00640E20" w:rsidRDefault="00897B2E" w:rsidP="00897B2E">
      <w:pPr>
        <w:pStyle w:val="Textonotapie"/>
        <w:ind w:firstLine="709"/>
        <w:jc w:val="both"/>
        <w:rPr>
          <w:rFonts w:ascii="Arial" w:hAnsi="Arial" w:cs="Arial"/>
          <w:color w:val="000000" w:themeColor="text1"/>
          <w:sz w:val="19"/>
          <w:szCs w:val="19"/>
          <w:lang w:val="es-ES"/>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832CA9">
        <w:rPr>
          <w:rFonts w:ascii="Arial" w:hAnsi="Arial" w:cs="Arial"/>
          <w:color w:val="000000" w:themeColor="text1"/>
          <w:sz w:val="19"/>
          <w:szCs w:val="19"/>
          <w:lang w:val="es-ES"/>
        </w:rPr>
        <w:t>Namén</w:t>
      </w:r>
      <w:proofErr w:type="spellEnd"/>
      <w:r w:rsidRPr="00832CA9">
        <w:rPr>
          <w:rFonts w:ascii="Arial" w:hAnsi="Arial" w:cs="Arial"/>
          <w:color w:val="000000" w:themeColor="text1"/>
          <w:sz w:val="19"/>
          <w:szCs w:val="19"/>
          <w:lang w:val="es-ES"/>
        </w:rPr>
        <w:t xml:space="preserve"> Vargas.</w:t>
      </w:r>
    </w:p>
    <w:p w14:paraId="0C5BC4DF" w14:textId="77777777" w:rsidR="00897B2E" w:rsidRPr="00640E20" w:rsidRDefault="00897B2E" w:rsidP="00897B2E">
      <w:pPr>
        <w:pStyle w:val="Textonotapie"/>
        <w:ind w:firstLine="709"/>
        <w:jc w:val="both"/>
        <w:rPr>
          <w:rFonts w:ascii="Arial" w:hAnsi="Arial" w:cs="Arial"/>
          <w:sz w:val="19"/>
          <w:szCs w:val="19"/>
          <w:lang w:val="es-ES"/>
        </w:rPr>
      </w:pPr>
    </w:p>
  </w:footnote>
  <w:footnote w:id="23">
    <w:p w14:paraId="379C4A79" w14:textId="77777777" w:rsidR="00897B2E" w:rsidRPr="00640E20" w:rsidRDefault="00897B2E" w:rsidP="00897B2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color w:val="000000" w:themeColor="text1"/>
          <w:sz w:val="19"/>
          <w:szCs w:val="19"/>
        </w:rPr>
        <w:t xml:space="preserve"> Código Civil: «Artículo 27. Interpretación Gramatical. Cuando el sentido de la ley sea claro, no se desaten</w:t>
      </w:r>
      <w:r w:rsidRPr="00640E20">
        <w:rPr>
          <w:rFonts w:ascii="Arial" w:hAnsi="Arial" w:cs="Arial"/>
          <w:color w:val="000000" w:themeColor="text1"/>
          <w:sz w:val="19"/>
          <w:szCs w:val="19"/>
        </w:rPr>
        <w:t>derá su tenor literal a pretexto de consultar su espíritu.</w:t>
      </w:r>
    </w:p>
    <w:p w14:paraId="01E1C4ED" w14:textId="77777777" w:rsidR="00897B2E" w:rsidRPr="00640E20" w:rsidRDefault="00897B2E" w:rsidP="00897B2E">
      <w:pPr>
        <w:pStyle w:val="Textonotapie"/>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»Pero</w:t>
      </w:r>
      <w:proofErr w:type="gramEnd"/>
      <w:r w:rsidRPr="00640E20">
        <w:rPr>
          <w:rFonts w:ascii="Arial" w:hAnsi="Arial" w:cs="Arial"/>
          <w:color w:val="000000" w:themeColor="text1"/>
          <w:sz w:val="19"/>
          <w:szCs w:val="19"/>
        </w:rPr>
        <w:t xml:space="preserve"> bien se puede, para interpretar una expresión oscura de la ley, recurrir a su intención o espíritu, claramente manifestados en ella misma o en la historia fidedigna de su establecimiento».</w:t>
      </w:r>
    </w:p>
  </w:footnote>
  <w:footnote w:id="24">
    <w:p w14:paraId="4D4C57B8" w14:textId="77777777" w:rsidR="00897B2E" w:rsidRPr="00640E20" w:rsidRDefault="00897B2E" w:rsidP="00897B2E">
      <w:pPr>
        <w:pStyle w:val="Textonotapie"/>
        <w:ind w:firstLine="708"/>
        <w:rPr>
          <w:rFonts w:ascii="Arial" w:hAnsi="Arial" w:cs="Arial"/>
          <w:sz w:val="19"/>
          <w:szCs w:val="19"/>
        </w:rPr>
      </w:pPr>
    </w:p>
    <w:p w14:paraId="04CDFA5A" w14:textId="77777777" w:rsidR="00897B2E" w:rsidRPr="00640E20" w:rsidRDefault="00897B2E" w:rsidP="00897B2E">
      <w:pPr>
        <w:ind w:firstLine="708"/>
        <w:jc w:val="both"/>
        <w:rPr>
          <w:rFonts w:ascii="Arial" w:eastAsiaTheme="minorHAnsi" w:hAnsi="Arial" w:cs="Arial"/>
          <w:sz w:val="19"/>
          <w:szCs w:val="19"/>
          <w:lang w:val="es-MX" w:eastAsia="en-US"/>
        </w:rPr>
      </w:pPr>
      <w:r w:rsidRPr="00E858D2">
        <w:rPr>
          <w:rStyle w:val="Refdenotaalpie"/>
          <w:rFonts w:ascii="Arial" w:hAnsi="Arial" w:cs="Arial"/>
          <w:sz w:val="19"/>
          <w:szCs w:val="19"/>
        </w:rPr>
        <w:footnoteRef/>
      </w:r>
      <w:r w:rsidRPr="00832CA9">
        <w:rPr>
          <w:rFonts w:ascii="Arial" w:hAnsi="Arial" w:cs="Arial"/>
          <w:sz w:val="19"/>
          <w:szCs w:val="19"/>
        </w:rPr>
        <w:t xml:space="preserve"> Código Civil: «</w:t>
      </w:r>
      <w:r w:rsidRPr="00832CA9">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w:t>
      </w:r>
      <w:r w:rsidRPr="00640E20">
        <w:rPr>
          <w:rFonts w:ascii="Arial" w:eastAsiaTheme="minorHAnsi" w:hAnsi="Arial" w:cs="Arial"/>
          <w:sz w:val="19"/>
          <w:szCs w:val="19"/>
          <w:lang w:val="es-MX" w:eastAsia="en-US"/>
        </w:rPr>
        <w:t>tido, y según las reglas de interpretación precedentes».</w:t>
      </w:r>
    </w:p>
    <w:p w14:paraId="6D0A0444" w14:textId="77777777" w:rsidR="00897B2E" w:rsidRPr="00640E20" w:rsidRDefault="00897B2E" w:rsidP="00897B2E">
      <w:pPr>
        <w:pStyle w:val="Textonotapie"/>
        <w:ind w:firstLine="708"/>
        <w:rPr>
          <w:rFonts w:ascii="Arial" w:hAnsi="Arial" w:cs="Arial"/>
          <w:sz w:val="19"/>
          <w:szCs w:val="19"/>
          <w:lang w:val="es-CO"/>
        </w:rPr>
      </w:pPr>
      <w:r w:rsidRPr="00640E20">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7"/>
  </w:num>
  <w:num w:numId="2" w16cid:durableId="1478569355">
    <w:abstractNumId w:val="15"/>
  </w:num>
  <w:num w:numId="3" w16cid:durableId="1952978564">
    <w:abstractNumId w:val="24"/>
  </w:num>
  <w:num w:numId="4" w16cid:durableId="1315186126">
    <w:abstractNumId w:val="29"/>
  </w:num>
  <w:num w:numId="5" w16cid:durableId="1309093109">
    <w:abstractNumId w:val="33"/>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0"/>
  </w:num>
  <w:num w:numId="8" w16cid:durableId="1008755670">
    <w:abstractNumId w:val="3"/>
  </w:num>
  <w:num w:numId="9" w16cid:durableId="65764095">
    <w:abstractNumId w:val="9"/>
  </w:num>
  <w:num w:numId="10" w16cid:durableId="1349602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6"/>
  </w:num>
  <w:num w:numId="13" w16cid:durableId="1145464557">
    <w:abstractNumId w:val="22"/>
  </w:num>
  <w:num w:numId="14" w16cid:durableId="848450862">
    <w:abstractNumId w:val="12"/>
  </w:num>
  <w:num w:numId="15" w16cid:durableId="191215078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35"/>
  </w:num>
  <w:num w:numId="18" w16cid:durableId="718556045">
    <w:abstractNumId w:val="25"/>
  </w:num>
  <w:num w:numId="19" w16cid:durableId="2109496769">
    <w:abstractNumId w:val="8"/>
  </w:num>
  <w:num w:numId="20" w16cid:durableId="1574777690">
    <w:abstractNumId w:val="36"/>
  </w:num>
  <w:num w:numId="21" w16cid:durableId="343829570">
    <w:abstractNumId w:val="27"/>
  </w:num>
  <w:num w:numId="22" w16cid:durableId="1521091477">
    <w:abstractNumId w:val="11"/>
  </w:num>
  <w:num w:numId="23" w16cid:durableId="1406491540">
    <w:abstractNumId w:val="10"/>
  </w:num>
  <w:num w:numId="24" w16cid:durableId="216599317">
    <w:abstractNumId w:val="31"/>
  </w:num>
  <w:num w:numId="25" w16cid:durableId="706416597">
    <w:abstractNumId w:val="19"/>
  </w:num>
  <w:num w:numId="26" w16cid:durableId="270862301">
    <w:abstractNumId w:val="34"/>
  </w:num>
  <w:num w:numId="27" w16cid:durableId="1795712713">
    <w:abstractNumId w:val="38"/>
  </w:num>
  <w:num w:numId="28" w16cid:durableId="969941319">
    <w:abstractNumId w:val="23"/>
  </w:num>
  <w:num w:numId="29" w16cid:durableId="1808891589">
    <w:abstractNumId w:val="2"/>
  </w:num>
  <w:num w:numId="30" w16cid:durableId="1508400274">
    <w:abstractNumId w:val="26"/>
  </w:num>
  <w:num w:numId="31" w16cid:durableId="1848517314">
    <w:abstractNumId w:val="20"/>
  </w:num>
  <w:num w:numId="32" w16cid:durableId="1225678077">
    <w:abstractNumId w:val="28"/>
  </w:num>
  <w:num w:numId="33" w16cid:durableId="283007414">
    <w:abstractNumId w:val="37"/>
  </w:num>
  <w:num w:numId="34" w16cid:durableId="669528079">
    <w:abstractNumId w:val="18"/>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41"/>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1384"/>
    <w:rsid w:val="000315E1"/>
    <w:rsid w:val="00031AD9"/>
    <w:rsid w:val="0003236E"/>
    <w:rsid w:val="000323E9"/>
    <w:rsid w:val="00033295"/>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6EDB"/>
    <w:rsid w:val="0004716A"/>
    <w:rsid w:val="00047316"/>
    <w:rsid w:val="00047385"/>
    <w:rsid w:val="000473E8"/>
    <w:rsid w:val="000504DE"/>
    <w:rsid w:val="00051074"/>
    <w:rsid w:val="0005211A"/>
    <w:rsid w:val="00052B79"/>
    <w:rsid w:val="00052B86"/>
    <w:rsid w:val="00052EA0"/>
    <w:rsid w:val="000536E3"/>
    <w:rsid w:val="00053EDA"/>
    <w:rsid w:val="00054252"/>
    <w:rsid w:val="0005474D"/>
    <w:rsid w:val="00055CB9"/>
    <w:rsid w:val="00056F66"/>
    <w:rsid w:val="0005702F"/>
    <w:rsid w:val="00057661"/>
    <w:rsid w:val="0005779C"/>
    <w:rsid w:val="00057848"/>
    <w:rsid w:val="00061D06"/>
    <w:rsid w:val="00062289"/>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057"/>
    <w:rsid w:val="00075108"/>
    <w:rsid w:val="00075B3E"/>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0CAE"/>
    <w:rsid w:val="000914D6"/>
    <w:rsid w:val="00091569"/>
    <w:rsid w:val="00092DCA"/>
    <w:rsid w:val="000935F8"/>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2CF"/>
    <w:rsid w:val="000E2977"/>
    <w:rsid w:val="000E2B36"/>
    <w:rsid w:val="000E300F"/>
    <w:rsid w:val="000E30AC"/>
    <w:rsid w:val="000E3B46"/>
    <w:rsid w:val="000E3E11"/>
    <w:rsid w:val="000E4596"/>
    <w:rsid w:val="000E5399"/>
    <w:rsid w:val="000E5768"/>
    <w:rsid w:val="000E5843"/>
    <w:rsid w:val="000E6139"/>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52E"/>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817"/>
    <w:rsid w:val="001734E3"/>
    <w:rsid w:val="0017350E"/>
    <w:rsid w:val="00173754"/>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3F7E"/>
    <w:rsid w:val="001946AE"/>
    <w:rsid w:val="001946D5"/>
    <w:rsid w:val="00194E8C"/>
    <w:rsid w:val="001962EC"/>
    <w:rsid w:val="001963DD"/>
    <w:rsid w:val="001965DB"/>
    <w:rsid w:val="00196647"/>
    <w:rsid w:val="00196DC9"/>
    <w:rsid w:val="001A0236"/>
    <w:rsid w:val="001A0AF8"/>
    <w:rsid w:val="001A18D5"/>
    <w:rsid w:val="001A1D4A"/>
    <w:rsid w:val="001A3011"/>
    <w:rsid w:val="001A325B"/>
    <w:rsid w:val="001A3FC3"/>
    <w:rsid w:val="001A4A08"/>
    <w:rsid w:val="001A4DAF"/>
    <w:rsid w:val="001A652F"/>
    <w:rsid w:val="001A66DF"/>
    <w:rsid w:val="001A67D0"/>
    <w:rsid w:val="001A687E"/>
    <w:rsid w:val="001A6BF1"/>
    <w:rsid w:val="001A7313"/>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7065"/>
    <w:rsid w:val="00237589"/>
    <w:rsid w:val="0023758D"/>
    <w:rsid w:val="002375A7"/>
    <w:rsid w:val="0024016B"/>
    <w:rsid w:val="0024019A"/>
    <w:rsid w:val="002402A8"/>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3EAE"/>
    <w:rsid w:val="00264409"/>
    <w:rsid w:val="002648AB"/>
    <w:rsid w:val="002653A6"/>
    <w:rsid w:val="00265663"/>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6EAF"/>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EA3"/>
    <w:rsid w:val="0031496A"/>
    <w:rsid w:val="00315457"/>
    <w:rsid w:val="003161A4"/>
    <w:rsid w:val="00316955"/>
    <w:rsid w:val="0031720A"/>
    <w:rsid w:val="0031749B"/>
    <w:rsid w:val="003174E5"/>
    <w:rsid w:val="00317C9D"/>
    <w:rsid w:val="00317CD2"/>
    <w:rsid w:val="00317D99"/>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245D"/>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3DF"/>
    <w:rsid w:val="00344760"/>
    <w:rsid w:val="00344A64"/>
    <w:rsid w:val="0034680A"/>
    <w:rsid w:val="00346C62"/>
    <w:rsid w:val="0034778E"/>
    <w:rsid w:val="003501E2"/>
    <w:rsid w:val="0035040F"/>
    <w:rsid w:val="00350A59"/>
    <w:rsid w:val="00351E10"/>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971"/>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4CD6"/>
    <w:rsid w:val="00384DF1"/>
    <w:rsid w:val="00384FF3"/>
    <w:rsid w:val="00386456"/>
    <w:rsid w:val="003865A9"/>
    <w:rsid w:val="00387642"/>
    <w:rsid w:val="003902B1"/>
    <w:rsid w:val="003903B6"/>
    <w:rsid w:val="00390F32"/>
    <w:rsid w:val="0039135E"/>
    <w:rsid w:val="0039200F"/>
    <w:rsid w:val="0039319C"/>
    <w:rsid w:val="003938CD"/>
    <w:rsid w:val="00393CAE"/>
    <w:rsid w:val="003945DC"/>
    <w:rsid w:val="003945F4"/>
    <w:rsid w:val="00394EB5"/>
    <w:rsid w:val="0039539A"/>
    <w:rsid w:val="003953B4"/>
    <w:rsid w:val="0039615F"/>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2C1"/>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4FEC"/>
    <w:rsid w:val="00425444"/>
    <w:rsid w:val="00425C43"/>
    <w:rsid w:val="00426C69"/>
    <w:rsid w:val="004273FA"/>
    <w:rsid w:val="00430186"/>
    <w:rsid w:val="00430730"/>
    <w:rsid w:val="0043269A"/>
    <w:rsid w:val="00432E14"/>
    <w:rsid w:val="004333C2"/>
    <w:rsid w:val="00433ACB"/>
    <w:rsid w:val="00434787"/>
    <w:rsid w:val="004347DA"/>
    <w:rsid w:val="00434B4D"/>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68C3"/>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63F"/>
    <w:rsid w:val="004B2197"/>
    <w:rsid w:val="004B298A"/>
    <w:rsid w:val="004B459F"/>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3929"/>
    <w:rsid w:val="004C3D0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723"/>
    <w:rsid w:val="00567AB8"/>
    <w:rsid w:val="00567C02"/>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2B56"/>
    <w:rsid w:val="00593F75"/>
    <w:rsid w:val="005940A0"/>
    <w:rsid w:val="0059429A"/>
    <w:rsid w:val="00595FDD"/>
    <w:rsid w:val="00596AF7"/>
    <w:rsid w:val="00596CCE"/>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0D4"/>
    <w:rsid w:val="005D6651"/>
    <w:rsid w:val="005D691D"/>
    <w:rsid w:val="005D6A72"/>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F041F"/>
    <w:rsid w:val="005F1216"/>
    <w:rsid w:val="005F1819"/>
    <w:rsid w:val="005F1D7D"/>
    <w:rsid w:val="005F1D89"/>
    <w:rsid w:val="005F22AB"/>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470"/>
    <w:rsid w:val="00622725"/>
    <w:rsid w:val="006231AA"/>
    <w:rsid w:val="00623482"/>
    <w:rsid w:val="00623AC2"/>
    <w:rsid w:val="00623FF7"/>
    <w:rsid w:val="006240EF"/>
    <w:rsid w:val="0062471F"/>
    <w:rsid w:val="00624C21"/>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0533"/>
    <w:rsid w:val="00650DE0"/>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2971"/>
    <w:rsid w:val="00672DE7"/>
    <w:rsid w:val="00672E80"/>
    <w:rsid w:val="006739E4"/>
    <w:rsid w:val="00673ECF"/>
    <w:rsid w:val="0067426B"/>
    <w:rsid w:val="00674A1B"/>
    <w:rsid w:val="006754F8"/>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803"/>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0E8"/>
    <w:rsid w:val="006D712D"/>
    <w:rsid w:val="006D7687"/>
    <w:rsid w:val="006D7D1F"/>
    <w:rsid w:val="006D7D8A"/>
    <w:rsid w:val="006E0572"/>
    <w:rsid w:val="006E05D8"/>
    <w:rsid w:val="006E08EE"/>
    <w:rsid w:val="006E1130"/>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1EE1"/>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9B7"/>
    <w:rsid w:val="00762E60"/>
    <w:rsid w:val="007634AD"/>
    <w:rsid w:val="0076387E"/>
    <w:rsid w:val="00764996"/>
    <w:rsid w:val="00766ECC"/>
    <w:rsid w:val="007672F3"/>
    <w:rsid w:val="007676A9"/>
    <w:rsid w:val="007677B5"/>
    <w:rsid w:val="007678B1"/>
    <w:rsid w:val="00770317"/>
    <w:rsid w:val="007708A8"/>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146D"/>
    <w:rsid w:val="007917AD"/>
    <w:rsid w:val="00791C32"/>
    <w:rsid w:val="00791E08"/>
    <w:rsid w:val="00791FF0"/>
    <w:rsid w:val="007923D0"/>
    <w:rsid w:val="0079302C"/>
    <w:rsid w:val="007930D3"/>
    <w:rsid w:val="0079381F"/>
    <w:rsid w:val="00793B2E"/>
    <w:rsid w:val="007943FC"/>
    <w:rsid w:val="007948F5"/>
    <w:rsid w:val="00795647"/>
    <w:rsid w:val="007963F6"/>
    <w:rsid w:val="00796418"/>
    <w:rsid w:val="00796485"/>
    <w:rsid w:val="00796576"/>
    <w:rsid w:val="00796E80"/>
    <w:rsid w:val="007977F1"/>
    <w:rsid w:val="007979AD"/>
    <w:rsid w:val="00797A9C"/>
    <w:rsid w:val="007A0EAB"/>
    <w:rsid w:val="007A2341"/>
    <w:rsid w:val="007A38A1"/>
    <w:rsid w:val="007A3967"/>
    <w:rsid w:val="007A3BBE"/>
    <w:rsid w:val="007A4629"/>
    <w:rsid w:val="007A4766"/>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0C17"/>
    <w:rsid w:val="007C13FA"/>
    <w:rsid w:val="007C1672"/>
    <w:rsid w:val="007C2AD3"/>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0C4"/>
    <w:rsid w:val="008124D8"/>
    <w:rsid w:val="0081323E"/>
    <w:rsid w:val="00813A7B"/>
    <w:rsid w:val="00813F04"/>
    <w:rsid w:val="00814B72"/>
    <w:rsid w:val="00814D88"/>
    <w:rsid w:val="008150B1"/>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CC0"/>
    <w:rsid w:val="008309D9"/>
    <w:rsid w:val="00831026"/>
    <w:rsid w:val="0083119B"/>
    <w:rsid w:val="00831654"/>
    <w:rsid w:val="00831BAE"/>
    <w:rsid w:val="00832216"/>
    <w:rsid w:val="00832CD0"/>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53"/>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27"/>
    <w:rsid w:val="0086633B"/>
    <w:rsid w:val="00866495"/>
    <w:rsid w:val="00866931"/>
    <w:rsid w:val="00866FEF"/>
    <w:rsid w:val="00867512"/>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596"/>
    <w:rsid w:val="0088168A"/>
    <w:rsid w:val="00881E64"/>
    <w:rsid w:val="00882A3F"/>
    <w:rsid w:val="00882E39"/>
    <w:rsid w:val="008850E3"/>
    <w:rsid w:val="008850EB"/>
    <w:rsid w:val="00886DF2"/>
    <w:rsid w:val="00886FB9"/>
    <w:rsid w:val="00887080"/>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42B"/>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26AF"/>
    <w:rsid w:val="009028E8"/>
    <w:rsid w:val="00902E5C"/>
    <w:rsid w:val="0090350D"/>
    <w:rsid w:val="009039EB"/>
    <w:rsid w:val="009046E5"/>
    <w:rsid w:val="009047C5"/>
    <w:rsid w:val="009058D1"/>
    <w:rsid w:val="00905C04"/>
    <w:rsid w:val="00906BE2"/>
    <w:rsid w:val="009070AA"/>
    <w:rsid w:val="00910683"/>
    <w:rsid w:val="00910E00"/>
    <w:rsid w:val="009111AE"/>
    <w:rsid w:val="009116CE"/>
    <w:rsid w:val="00911714"/>
    <w:rsid w:val="00911A5B"/>
    <w:rsid w:val="009136D4"/>
    <w:rsid w:val="00913857"/>
    <w:rsid w:val="00914B9A"/>
    <w:rsid w:val="00914C3F"/>
    <w:rsid w:val="00914DEF"/>
    <w:rsid w:val="00914F33"/>
    <w:rsid w:val="009153F6"/>
    <w:rsid w:val="00915FCE"/>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27"/>
    <w:rsid w:val="009307CD"/>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9F9"/>
    <w:rsid w:val="009451CE"/>
    <w:rsid w:val="00945812"/>
    <w:rsid w:val="00945E18"/>
    <w:rsid w:val="009460F9"/>
    <w:rsid w:val="00946A24"/>
    <w:rsid w:val="009470D4"/>
    <w:rsid w:val="00947337"/>
    <w:rsid w:val="009512FA"/>
    <w:rsid w:val="00951E57"/>
    <w:rsid w:val="00953018"/>
    <w:rsid w:val="009533E2"/>
    <w:rsid w:val="00953554"/>
    <w:rsid w:val="0095385A"/>
    <w:rsid w:val="00953928"/>
    <w:rsid w:val="009540F0"/>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6214"/>
    <w:rsid w:val="00971441"/>
    <w:rsid w:val="009715D4"/>
    <w:rsid w:val="00971AC8"/>
    <w:rsid w:val="00972470"/>
    <w:rsid w:val="009739A9"/>
    <w:rsid w:val="00973AA2"/>
    <w:rsid w:val="00973DF6"/>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99E"/>
    <w:rsid w:val="009B27AC"/>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483"/>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61DE"/>
    <w:rsid w:val="009F7263"/>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A7"/>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2E3"/>
    <w:rsid w:val="00AA442B"/>
    <w:rsid w:val="00AA46A4"/>
    <w:rsid w:val="00AA5687"/>
    <w:rsid w:val="00AA5779"/>
    <w:rsid w:val="00AA58A1"/>
    <w:rsid w:val="00AA61C7"/>
    <w:rsid w:val="00AA669D"/>
    <w:rsid w:val="00AA66ED"/>
    <w:rsid w:val="00AA6BE1"/>
    <w:rsid w:val="00AA7416"/>
    <w:rsid w:val="00AA7619"/>
    <w:rsid w:val="00AA7A60"/>
    <w:rsid w:val="00AA7B42"/>
    <w:rsid w:val="00AB041C"/>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D1C"/>
    <w:rsid w:val="00AE1772"/>
    <w:rsid w:val="00AE1990"/>
    <w:rsid w:val="00AE2523"/>
    <w:rsid w:val="00AE25E8"/>
    <w:rsid w:val="00AE2AD4"/>
    <w:rsid w:val="00AE2CA7"/>
    <w:rsid w:val="00AE2F1D"/>
    <w:rsid w:val="00AE4B2B"/>
    <w:rsid w:val="00AE586F"/>
    <w:rsid w:val="00AE5A78"/>
    <w:rsid w:val="00AE6582"/>
    <w:rsid w:val="00AE6DC5"/>
    <w:rsid w:val="00AE73D7"/>
    <w:rsid w:val="00AE7686"/>
    <w:rsid w:val="00AE799A"/>
    <w:rsid w:val="00AF078E"/>
    <w:rsid w:val="00AF0E81"/>
    <w:rsid w:val="00AF117A"/>
    <w:rsid w:val="00AF186E"/>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91"/>
    <w:rsid w:val="00B245D5"/>
    <w:rsid w:val="00B24C36"/>
    <w:rsid w:val="00B24D49"/>
    <w:rsid w:val="00B24F94"/>
    <w:rsid w:val="00B25126"/>
    <w:rsid w:val="00B25A52"/>
    <w:rsid w:val="00B25B0A"/>
    <w:rsid w:val="00B25FC3"/>
    <w:rsid w:val="00B26CC4"/>
    <w:rsid w:val="00B27026"/>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53FE"/>
    <w:rsid w:val="00B458D0"/>
    <w:rsid w:val="00B46120"/>
    <w:rsid w:val="00B47040"/>
    <w:rsid w:val="00B4792C"/>
    <w:rsid w:val="00B50CAE"/>
    <w:rsid w:val="00B512AD"/>
    <w:rsid w:val="00B5196C"/>
    <w:rsid w:val="00B525CB"/>
    <w:rsid w:val="00B52697"/>
    <w:rsid w:val="00B53E7C"/>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66"/>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6C4C"/>
    <w:rsid w:val="00BB7942"/>
    <w:rsid w:val="00BB7CD1"/>
    <w:rsid w:val="00BC0F33"/>
    <w:rsid w:val="00BC14A7"/>
    <w:rsid w:val="00BC1611"/>
    <w:rsid w:val="00BC1632"/>
    <w:rsid w:val="00BC17CC"/>
    <w:rsid w:val="00BC229E"/>
    <w:rsid w:val="00BC23C0"/>
    <w:rsid w:val="00BC2898"/>
    <w:rsid w:val="00BC2928"/>
    <w:rsid w:val="00BC2AA9"/>
    <w:rsid w:val="00BC2BB1"/>
    <w:rsid w:val="00BC34A3"/>
    <w:rsid w:val="00BC3FF9"/>
    <w:rsid w:val="00BC4834"/>
    <w:rsid w:val="00BC4A97"/>
    <w:rsid w:val="00BC5A25"/>
    <w:rsid w:val="00BC5FDD"/>
    <w:rsid w:val="00BC68B4"/>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408"/>
    <w:rsid w:val="00C125C1"/>
    <w:rsid w:val="00C1299A"/>
    <w:rsid w:val="00C12F05"/>
    <w:rsid w:val="00C12FB3"/>
    <w:rsid w:val="00C138BC"/>
    <w:rsid w:val="00C13D85"/>
    <w:rsid w:val="00C14639"/>
    <w:rsid w:val="00C14E82"/>
    <w:rsid w:val="00C14FF6"/>
    <w:rsid w:val="00C150A6"/>
    <w:rsid w:val="00C15A85"/>
    <w:rsid w:val="00C1641B"/>
    <w:rsid w:val="00C165FC"/>
    <w:rsid w:val="00C176D5"/>
    <w:rsid w:val="00C2082C"/>
    <w:rsid w:val="00C20832"/>
    <w:rsid w:val="00C209F7"/>
    <w:rsid w:val="00C20EB0"/>
    <w:rsid w:val="00C21005"/>
    <w:rsid w:val="00C2183B"/>
    <w:rsid w:val="00C220B6"/>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4AA2"/>
    <w:rsid w:val="00C65151"/>
    <w:rsid w:val="00C657F4"/>
    <w:rsid w:val="00C66119"/>
    <w:rsid w:val="00C66292"/>
    <w:rsid w:val="00C672A3"/>
    <w:rsid w:val="00C672F1"/>
    <w:rsid w:val="00C673D0"/>
    <w:rsid w:val="00C6742E"/>
    <w:rsid w:val="00C677BE"/>
    <w:rsid w:val="00C70012"/>
    <w:rsid w:val="00C70321"/>
    <w:rsid w:val="00C71CBB"/>
    <w:rsid w:val="00C71E2A"/>
    <w:rsid w:val="00C72571"/>
    <w:rsid w:val="00C733BA"/>
    <w:rsid w:val="00C74F3F"/>
    <w:rsid w:val="00C760DC"/>
    <w:rsid w:val="00C800AB"/>
    <w:rsid w:val="00C8082B"/>
    <w:rsid w:val="00C81A88"/>
    <w:rsid w:val="00C81AEC"/>
    <w:rsid w:val="00C81D46"/>
    <w:rsid w:val="00C820AD"/>
    <w:rsid w:val="00C82298"/>
    <w:rsid w:val="00C82F91"/>
    <w:rsid w:val="00C833B4"/>
    <w:rsid w:val="00C84284"/>
    <w:rsid w:val="00C84E33"/>
    <w:rsid w:val="00C853E0"/>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D61"/>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2D82"/>
    <w:rsid w:val="00D1306E"/>
    <w:rsid w:val="00D134CD"/>
    <w:rsid w:val="00D13CE5"/>
    <w:rsid w:val="00D13D98"/>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904"/>
    <w:rsid w:val="00D5616F"/>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5A92"/>
    <w:rsid w:val="00D65DEA"/>
    <w:rsid w:val="00D65DFE"/>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49EF"/>
    <w:rsid w:val="00DA5989"/>
    <w:rsid w:val="00DA5AB1"/>
    <w:rsid w:val="00DA5F9D"/>
    <w:rsid w:val="00DA69B2"/>
    <w:rsid w:val="00DA6A7B"/>
    <w:rsid w:val="00DA735F"/>
    <w:rsid w:val="00DA7462"/>
    <w:rsid w:val="00DA777E"/>
    <w:rsid w:val="00DA7AD0"/>
    <w:rsid w:val="00DB02D7"/>
    <w:rsid w:val="00DB03CC"/>
    <w:rsid w:val="00DB12D4"/>
    <w:rsid w:val="00DB14F0"/>
    <w:rsid w:val="00DB1745"/>
    <w:rsid w:val="00DB1AFF"/>
    <w:rsid w:val="00DB219A"/>
    <w:rsid w:val="00DB3165"/>
    <w:rsid w:val="00DB350B"/>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5DFB"/>
    <w:rsid w:val="00DC62E5"/>
    <w:rsid w:val="00DC6AB9"/>
    <w:rsid w:val="00DC6F33"/>
    <w:rsid w:val="00DC729E"/>
    <w:rsid w:val="00DC7349"/>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F23"/>
    <w:rsid w:val="00DE3FF0"/>
    <w:rsid w:val="00DE4105"/>
    <w:rsid w:val="00DE5189"/>
    <w:rsid w:val="00DE6230"/>
    <w:rsid w:val="00DE7108"/>
    <w:rsid w:val="00DE78D1"/>
    <w:rsid w:val="00DF0263"/>
    <w:rsid w:val="00DF0EB4"/>
    <w:rsid w:val="00DF1412"/>
    <w:rsid w:val="00DF1E36"/>
    <w:rsid w:val="00DF1FDB"/>
    <w:rsid w:val="00DF236B"/>
    <w:rsid w:val="00DF2A91"/>
    <w:rsid w:val="00DF2F82"/>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73A"/>
    <w:rsid w:val="00E057BA"/>
    <w:rsid w:val="00E057C0"/>
    <w:rsid w:val="00E05E70"/>
    <w:rsid w:val="00E0631A"/>
    <w:rsid w:val="00E064BC"/>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0FCD"/>
    <w:rsid w:val="00E724E7"/>
    <w:rsid w:val="00E729DC"/>
    <w:rsid w:val="00E72B41"/>
    <w:rsid w:val="00E7343E"/>
    <w:rsid w:val="00E7347B"/>
    <w:rsid w:val="00E73D03"/>
    <w:rsid w:val="00E7471C"/>
    <w:rsid w:val="00E7498A"/>
    <w:rsid w:val="00E7514E"/>
    <w:rsid w:val="00E75B34"/>
    <w:rsid w:val="00E77AF5"/>
    <w:rsid w:val="00E8029A"/>
    <w:rsid w:val="00E803A6"/>
    <w:rsid w:val="00E81653"/>
    <w:rsid w:val="00E823F9"/>
    <w:rsid w:val="00E82C1F"/>
    <w:rsid w:val="00E82EEA"/>
    <w:rsid w:val="00E83671"/>
    <w:rsid w:val="00E8414B"/>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73"/>
    <w:rsid w:val="00EB1650"/>
    <w:rsid w:val="00EB17CA"/>
    <w:rsid w:val="00EB1910"/>
    <w:rsid w:val="00EB1D24"/>
    <w:rsid w:val="00EB209B"/>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5DC2"/>
    <w:rsid w:val="00F06E19"/>
    <w:rsid w:val="00F06F84"/>
    <w:rsid w:val="00F076E7"/>
    <w:rsid w:val="00F07AA1"/>
    <w:rsid w:val="00F105AE"/>
    <w:rsid w:val="00F10618"/>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CB5"/>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425D"/>
    <w:rsid w:val="00F4518D"/>
    <w:rsid w:val="00F45B91"/>
    <w:rsid w:val="00F46285"/>
    <w:rsid w:val="00F46639"/>
    <w:rsid w:val="00F46692"/>
    <w:rsid w:val="00F47AAA"/>
    <w:rsid w:val="00F47B3B"/>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DD9"/>
    <w:rsid w:val="00F73E80"/>
    <w:rsid w:val="00F7469C"/>
    <w:rsid w:val="00F747E9"/>
    <w:rsid w:val="00F7492E"/>
    <w:rsid w:val="00F74945"/>
    <w:rsid w:val="00F749A3"/>
    <w:rsid w:val="00F74A04"/>
    <w:rsid w:val="00F74AE8"/>
    <w:rsid w:val="00F75A86"/>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8D"/>
    <w:rsid w:val="00F90FA8"/>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5ECF"/>
    <w:rsid w:val="00FA6F8B"/>
    <w:rsid w:val="00FA7A30"/>
    <w:rsid w:val="00FB033F"/>
    <w:rsid w:val="00FB12E3"/>
    <w:rsid w:val="00FB1570"/>
    <w:rsid w:val="00FB193B"/>
    <w:rsid w:val="00FB1FBC"/>
    <w:rsid w:val="00FB27B7"/>
    <w:rsid w:val="00FB2C36"/>
    <w:rsid w:val="00FB3444"/>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0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supersociedades.gov.co/nuestra_entidad/normatividad/normatividad_conceptos_juridicos/OFICIO_220-014111_DE_2015.pdf" TargetMode="External"/><Relationship Id="rId2" Type="http://schemas.openxmlformats.org/officeDocument/2006/relationships/hyperlink" Target="https://dle.rae.es/%C3%ADndole"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894FA8C9-215D-427B-A197-07FC15A01E04}"/>
</file>

<file path=docProps/app.xml><?xml version="1.0" encoding="utf-8"?>
<Properties xmlns="http://schemas.openxmlformats.org/officeDocument/2006/extended-properties" xmlns:vt="http://schemas.openxmlformats.org/officeDocument/2006/docPropsVTypes">
  <Template>Respuesta a consultas</Template>
  <TotalTime>21</TotalTime>
  <Pages>1</Pages>
  <Words>10500</Words>
  <Characters>57754</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2022-05-24T13:31:00Z</dcterms:created>
  <dcterms:modified xsi:type="dcterms:W3CDTF">2022-05-24T13:50:00Z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