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566B" w14:textId="77777777" w:rsidR="0082011E" w:rsidRPr="00691AAC" w:rsidRDefault="0082011E" w:rsidP="0082011E">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47949675"/>
      <w:r w:rsidRPr="00691AAC">
        <w:rPr>
          <w:rFonts w:ascii="Arial" w:hAnsi="Arial" w:cs="Arial"/>
          <w:bCs/>
          <w:color w:val="000000" w:themeColor="text1"/>
          <w:sz w:val="16"/>
          <w:szCs w:val="16"/>
          <w:lang w:val="es-ES_tradnl"/>
        </w:rPr>
        <w:t>CCE-DES-FM-17</w:t>
      </w:r>
      <w:bookmarkEnd w:id="0"/>
      <w:bookmarkEnd w:id="1"/>
    </w:p>
    <w:p w14:paraId="3E5A2E8F" w14:textId="78B165AB" w:rsidR="00FE4C26" w:rsidRPr="00691AAC" w:rsidRDefault="00FE4C26" w:rsidP="0022167B">
      <w:pPr>
        <w:jc w:val="right"/>
        <w:rPr>
          <w:rFonts w:ascii="Arial" w:eastAsia="Calibri" w:hAnsi="Arial" w:cs="Arial"/>
          <w:b/>
          <w:bCs/>
          <w:color w:val="161616" w:themeColor="background1" w:themeShade="1A"/>
          <w:sz w:val="22"/>
          <w:szCs w:val="22"/>
          <w:lang w:val="es-ES_tradnl"/>
        </w:rPr>
      </w:pPr>
    </w:p>
    <w:p w14:paraId="52187E9F" w14:textId="624696C7" w:rsidR="006C3AD9" w:rsidRPr="006C3AD9" w:rsidRDefault="006C3AD9" w:rsidP="006C3AD9">
      <w:pPr>
        <w:jc w:val="both"/>
        <w:rPr>
          <w:rFonts w:ascii="Arial" w:eastAsia="Calibri" w:hAnsi="Arial" w:cs="Arial"/>
          <w:b/>
          <w:bCs/>
          <w:color w:val="000000" w:themeColor="text1"/>
          <w:sz w:val="20"/>
          <w:szCs w:val="20"/>
          <w:lang w:eastAsia="en-US"/>
        </w:rPr>
      </w:pPr>
      <w:bookmarkStart w:id="3" w:name="_Hlk77165666"/>
      <w:bookmarkStart w:id="4" w:name="_Hlk97039670"/>
      <w:bookmarkEnd w:id="2"/>
      <w:r w:rsidRPr="006C3AD9">
        <w:rPr>
          <w:rFonts w:ascii="Arial" w:eastAsia="Calibri" w:hAnsi="Arial" w:cs="Arial"/>
          <w:b/>
          <w:bCs/>
          <w:color w:val="000000" w:themeColor="text1"/>
          <w:sz w:val="20"/>
          <w:szCs w:val="20"/>
        </w:rPr>
        <w:t xml:space="preserve">COLOMBIA COMPRA EFICIENTE </w:t>
      </w:r>
      <w:r w:rsidRPr="006C3AD9">
        <w:rPr>
          <w:rFonts w:ascii="Arial" w:eastAsia="Calibri" w:hAnsi="Arial" w:cs="Arial"/>
          <w:b/>
          <w:color w:val="000000" w:themeColor="text1"/>
          <w:sz w:val="20"/>
          <w:szCs w:val="20"/>
        </w:rPr>
        <w:t>–</w:t>
      </w:r>
      <w:r w:rsidRPr="006C3AD9">
        <w:rPr>
          <w:rFonts w:ascii="Arial" w:eastAsia="Calibri" w:hAnsi="Arial" w:cs="Arial"/>
          <w:b/>
          <w:bCs/>
          <w:color w:val="000000" w:themeColor="text1"/>
          <w:sz w:val="20"/>
          <w:szCs w:val="20"/>
        </w:rPr>
        <w:t xml:space="preserve"> Competencia </w:t>
      </w:r>
      <w:r w:rsidR="00324AC1">
        <w:rPr>
          <w:rFonts w:ascii="Arial" w:eastAsia="Calibri" w:hAnsi="Arial" w:cs="Arial"/>
          <w:b/>
          <w:bCs/>
          <w:color w:val="000000" w:themeColor="text1"/>
          <w:sz w:val="20"/>
          <w:szCs w:val="20"/>
        </w:rPr>
        <w:t>C</w:t>
      </w:r>
      <w:r w:rsidRPr="006C3AD9">
        <w:rPr>
          <w:rFonts w:ascii="Arial" w:eastAsia="Calibri" w:hAnsi="Arial" w:cs="Arial"/>
          <w:b/>
          <w:bCs/>
          <w:color w:val="000000" w:themeColor="text1"/>
          <w:sz w:val="20"/>
          <w:szCs w:val="20"/>
        </w:rPr>
        <w:t xml:space="preserve">onsultiva – Contratación </w:t>
      </w:r>
      <w:r w:rsidR="00324AC1">
        <w:rPr>
          <w:rFonts w:ascii="Arial" w:eastAsia="Calibri" w:hAnsi="Arial" w:cs="Arial"/>
          <w:b/>
          <w:bCs/>
          <w:color w:val="000000" w:themeColor="text1"/>
          <w:sz w:val="20"/>
          <w:szCs w:val="20"/>
        </w:rPr>
        <w:t>E</w:t>
      </w:r>
      <w:r w:rsidRPr="006C3AD9">
        <w:rPr>
          <w:rFonts w:ascii="Arial" w:eastAsia="Calibri" w:hAnsi="Arial" w:cs="Arial"/>
          <w:b/>
          <w:bCs/>
          <w:color w:val="000000" w:themeColor="text1"/>
          <w:sz w:val="20"/>
          <w:szCs w:val="20"/>
        </w:rPr>
        <w:t xml:space="preserve">statal – Normas </w:t>
      </w:r>
      <w:r w:rsidR="00324AC1">
        <w:rPr>
          <w:rFonts w:ascii="Arial" w:eastAsia="Calibri" w:hAnsi="Arial" w:cs="Arial"/>
          <w:b/>
          <w:bCs/>
          <w:color w:val="000000" w:themeColor="text1"/>
          <w:sz w:val="20"/>
          <w:szCs w:val="20"/>
        </w:rPr>
        <w:t>G</w:t>
      </w:r>
      <w:r w:rsidRPr="006C3AD9">
        <w:rPr>
          <w:rFonts w:ascii="Arial" w:eastAsia="Calibri" w:hAnsi="Arial" w:cs="Arial"/>
          <w:b/>
          <w:bCs/>
          <w:color w:val="000000" w:themeColor="text1"/>
          <w:sz w:val="20"/>
          <w:szCs w:val="20"/>
        </w:rPr>
        <w:t>enerales</w:t>
      </w:r>
    </w:p>
    <w:p w14:paraId="10BE7374" w14:textId="77777777" w:rsidR="006C3AD9" w:rsidRPr="006C3AD9" w:rsidRDefault="006C3AD9" w:rsidP="006C3AD9">
      <w:pPr>
        <w:jc w:val="both"/>
        <w:rPr>
          <w:rFonts w:ascii="Arial" w:eastAsiaTheme="minorHAnsi" w:hAnsi="Arial" w:cs="Arial"/>
          <w:bCs/>
          <w:color w:val="000000" w:themeColor="text1"/>
          <w:sz w:val="20"/>
          <w:szCs w:val="20"/>
        </w:rPr>
      </w:pPr>
    </w:p>
    <w:p w14:paraId="755FECDF" w14:textId="77777777" w:rsidR="006C3AD9" w:rsidRPr="006C3AD9" w:rsidRDefault="006C3AD9" w:rsidP="006C3AD9">
      <w:pPr>
        <w:spacing w:after="120"/>
        <w:jc w:val="both"/>
        <w:rPr>
          <w:rFonts w:ascii="Arial" w:hAnsi="Arial" w:cs="Arial"/>
          <w:bCs/>
          <w:color w:val="000000" w:themeColor="text1"/>
          <w:sz w:val="20"/>
          <w:szCs w:val="20"/>
        </w:rPr>
      </w:pPr>
      <w:r w:rsidRPr="006C3AD9">
        <w:rPr>
          <w:rFonts w:ascii="Arial" w:hAnsi="Arial" w:cs="Arial"/>
          <w:bCs/>
          <w:color w:val="000000" w:themeColor="text1"/>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7C0F2F01" w14:textId="1E59F85C" w:rsidR="006C3AD9" w:rsidRDefault="006C3AD9" w:rsidP="006C3AD9">
      <w:pPr>
        <w:jc w:val="both"/>
        <w:rPr>
          <w:rFonts w:ascii="Arial" w:hAnsi="Arial" w:cs="Arial"/>
          <w:bCs/>
          <w:color w:val="000000" w:themeColor="text1"/>
          <w:sz w:val="20"/>
          <w:szCs w:val="20"/>
        </w:rPr>
      </w:pPr>
      <w:r w:rsidRPr="006C3AD9">
        <w:rPr>
          <w:rFonts w:ascii="Arial" w:hAnsi="Arial" w:cs="Arial"/>
          <w:bCs/>
          <w:color w:val="000000" w:themeColor="text1"/>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7C999AAA" w14:textId="2BCF6345" w:rsidR="00DA66A2" w:rsidRPr="00FB589C" w:rsidRDefault="00DA66A2" w:rsidP="006C3AD9">
      <w:pPr>
        <w:jc w:val="both"/>
        <w:rPr>
          <w:rFonts w:ascii="Arial" w:hAnsi="Arial" w:cs="Arial"/>
          <w:bCs/>
          <w:color w:val="000000" w:themeColor="text1"/>
          <w:sz w:val="20"/>
          <w:szCs w:val="20"/>
        </w:rPr>
      </w:pPr>
    </w:p>
    <w:p w14:paraId="3757D11A" w14:textId="115D1F05" w:rsidR="00AD7C8A" w:rsidRPr="006C3AD9" w:rsidRDefault="00AD7C8A" w:rsidP="00AD7C8A">
      <w:pPr>
        <w:tabs>
          <w:tab w:val="left" w:pos="426"/>
        </w:tabs>
        <w:jc w:val="both"/>
        <w:rPr>
          <w:rFonts w:ascii="Arial" w:hAnsi="Arial" w:cs="Arial"/>
          <w:b/>
          <w:sz w:val="20"/>
          <w:szCs w:val="20"/>
          <w:lang w:eastAsia="es-CO"/>
        </w:rPr>
      </w:pPr>
      <w:r w:rsidRPr="006C3AD9">
        <w:rPr>
          <w:rFonts w:ascii="Arial" w:hAnsi="Arial" w:cs="Arial"/>
          <w:b/>
          <w:sz w:val="20"/>
          <w:szCs w:val="20"/>
          <w:lang w:eastAsia="es-CO"/>
        </w:rPr>
        <w:t xml:space="preserve">GARANTÍA DE ESTABILIDAD Y CALIDAD DE LA OBRA – Suficiencia – Decreto 1082 de 2015 </w:t>
      </w:r>
    </w:p>
    <w:p w14:paraId="4C6F890D" w14:textId="77777777" w:rsidR="00AD7C8A" w:rsidRPr="006C3AD9" w:rsidRDefault="00AD7C8A" w:rsidP="00AD7C8A">
      <w:pPr>
        <w:tabs>
          <w:tab w:val="left" w:pos="426"/>
        </w:tabs>
        <w:jc w:val="both"/>
        <w:rPr>
          <w:rFonts w:ascii="Arial" w:hAnsi="Arial" w:cs="Arial"/>
          <w:b/>
          <w:sz w:val="20"/>
          <w:szCs w:val="20"/>
          <w:lang w:eastAsia="es-CO"/>
        </w:rPr>
      </w:pPr>
    </w:p>
    <w:p w14:paraId="3EFDA431" w14:textId="2C5902EF" w:rsidR="00AD7C8A" w:rsidRPr="006C3AD9" w:rsidRDefault="00AD7C8A" w:rsidP="00AD7C8A">
      <w:pPr>
        <w:tabs>
          <w:tab w:val="left" w:pos="426"/>
        </w:tabs>
        <w:jc w:val="both"/>
        <w:rPr>
          <w:rFonts w:ascii="Arial" w:hAnsi="Arial" w:cs="Arial"/>
          <w:bCs/>
          <w:sz w:val="20"/>
          <w:szCs w:val="20"/>
          <w:lang w:eastAsia="es-CO"/>
        </w:rPr>
      </w:pPr>
      <w:r w:rsidRPr="006C3AD9">
        <w:rPr>
          <w:rFonts w:ascii="Arial" w:hAnsi="Arial" w:cs="Arial"/>
          <w:bCs/>
          <w:sz w:val="20"/>
          <w:szCs w:val="20"/>
          <w:lang w:eastAsia="es-CO"/>
        </w:rPr>
        <w:t xml:space="preserve">De acuerdo con el artículo 2.2.1.2.3.1.14 del Decreto 1082 de 2015 modificado por el Decreto 399 de 2021, la garantía de estabilidad y calidad de la obra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w:t>
      </w:r>
    </w:p>
    <w:p w14:paraId="6DD26722" w14:textId="77777777" w:rsidR="00AD7C8A" w:rsidRPr="006C3AD9" w:rsidRDefault="00AD7C8A" w:rsidP="00AD7C8A">
      <w:pPr>
        <w:tabs>
          <w:tab w:val="left" w:pos="426"/>
        </w:tabs>
        <w:jc w:val="both"/>
        <w:rPr>
          <w:rFonts w:ascii="Arial" w:hAnsi="Arial" w:cs="Arial"/>
          <w:bCs/>
          <w:sz w:val="20"/>
          <w:szCs w:val="20"/>
          <w:lang w:eastAsia="es-CO"/>
        </w:rPr>
      </w:pPr>
    </w:p>
    <w:p w14:paraId="2390CC29" w14:textId="3BCB7B2A" w:rsidR="00AD7C8A" w:rsidRPr="00AD7C8A" w:rsidRDefault="00AD7C8A" w:rsidP="00AD7C8A">
      <w:pPr>
        <w:tabs>
          <w:tab w:val="left" w:pos="426"/>
        </w:tabs>
        <w:jc w:val="both"/>
        <w:rPr>
          <w:rFonts w:ascii="Arial" w:hAnsi="Arial" w:cs="Arial"/>
          <w:bCs/>
          <w:sz w:val="20"/>
          <w:szCs w:val="20"/>
          <w:lang w:eastAsia="es-CO"/>
        </w:rPr>
      </w:pPr>
      <w:r w:rsidRPr="006C3AD9">
        <w:rPr>
          <w:rFonts w:ascii="Arial" w:hAnsi="Arial" w:cs="Arial"/>
          <w:bCs/>
          <w:sz w:val="20"/>
          <w:szCs w:val="20"/>
          <w:lang w:eastAsia="es-CO"/>
        </w:rPr>
        <w:t>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w:t>
      </w:r>
      <w:r w:rsidRPr="00AD7C8A">
        <w:rPr>
          <w:rFonts w:ascii="Arial" w:hAnsi="Arial" w:cs="Arial"/>
          <w:bCs/>
          <w:sz w:val="20"/>
          <w:szCs w:val="20"/>
          <w:lang w:eastAsia="es-CO"/>
        </w:rPr>
        <w:t xml:space="preserve"> únicamente a la cuantía del proceso. </w:t>
      </w:r>
    </w:p>
    <w:p w14:paraId="0840BED2" w14:textId="77777777" w:rsidR="00AD7C8A" w:rsidRPr="00AD7C8A" w:rsidRDefault="00AD7C8A" w:rsidP="00AD7C8A">
      <w:pPr>
        <w:tabs>
          <w:tab w:val="left" w:pos="426"/>
        </w:tabs>
        <w:jc w:val="both"/>
        <w:rPr>
          <w:rFonts w:ascii="Arial" w:hAnsi="Arial" w:cs="Arial"/>
          <w:bCs/>
          <w:sz w:val="20"/>
          <w:szCs w:val="20"/>
          <w:lang w:eastAsia="es-CO"/>
        </w:rPr>
      </w:pPr>
    </w:p>
    <w:p w14:paraId="59A27F42" w14:textId="583C9E20" w:rsidR="00423405" w:rsidRDefault="00AD7C8A" w:rsidP="00AD7C8A">
      <w:pPr>
        <w:tabs>
          <w:tab w:val="left" w:pos="426"/>
        </w:tabs>
        <w:jc w:val="both"/>
        <w:rPr>
          <w:rFonts w:ascii="Arial" w:hAnsi="Arial" w:cs="Arial"/>
          <w:bCs/>
          <w:sz w:val="20"/>
          <w:szCs w:val="20"/>
          <w:lang w:eastAsia="es-CO"/>
        </w:rPr>
      </w:pPr>
      <w:r w:rsidRPr="00AD7C8A">
        <w:rPr>
          <w:rFonts w:ascii="Arial" w:hAnsi="Arial" w:cs="Arial"/>
          <w:bCs/>
          <w:sz w:val="20"/>
          <w:szCs w:val="20"/>
          <w:lang w:eastAsia="es-CO"/>
        </w:rPr>
        <w:t>La Entidad Estatal puede aceptar que esta garantía tenga una vigencia inferior a cinco (5) años previa justificación técnica de un experto en la materia objeto del contrato, lo cual se debe reflejar en los documentos del proceso. Como consecuencia del análisis anterior y según la complejidad técnica del contrato a celebrar, esta garantía podrá tener una vigencia inferior a cinco (5) años y en todo caso de mínimo un (1) año.</w:t>
      </w:r>
    </w:p>
    <w:p w14:paraId="7BC191C3" w14:textId="77777777" w:rsidR="00E0703C" w:rsidRPr="00FB589C" w:rsidRDefault="00E0703C" w:rsidP="00FB589C">
      <w:pPr>
        <w:jc w:val="both"/>
        <w:rPr>
          <w:rFonts w:ascii="Arial" w:eastAsia="Calibri" w:hAnsi="Arial" w:cs="Arial"/>
          <w:color w:val="000000" w:themeColor="text1"/>
          <w:sz w:val="20"/>
          <w:szCs w:val="20"/>
        </w:rPr>
      </w:pPr>
    </w:p>
    <w:p w14:paraId="57847971" w14:textId="77777777" w:rsidR="00AD7C8A" w:rsidRPr="00E0703C" w:rsidRDefault="00AD7C8A" w:rsidP="00AD7C8A">
      <w:pPr>
        <w:tabs>
          <w:tab w:val="left" w:pos="426"/>
        </w:tabs>
        <w:jc w:val="both"/>
        <w:rPr>
          <w:rFonts w:ascii="Arial" w:eastAsia="Calibri" w:hAnsi="Arial" w:cs="Arial"/>
          <w:b/>
          <w:bCs/>
          <w:color w:val="161616" w:themeColor="background1" w:themeShade="1A"/>
          <w:sz w:val="22"/>
          <w:szCs w:val="22"/>
          <w:lang w:val="es-CO"/>
        </w:rPr>
      </w:pPr>
    </w:p>
    <w:p w14:paraId="6A5D0A13" w14:textId="0E585CB1" w:rsidR="00740655" w:rsidRDefault="00740655" w:rsidP="000164B2">
      <w:pPr>
        <w:spacing w:before="120"/>
        <w:jc w:val="both"/>
        <w:rPr>
          <w:rFonts w:ascii="Arial" w:hAnsi="Arial" w:cs="Arial"/>
          <w:color w:val="161616" w:themeColor="background1" w:themeShade="1A"/>
          <w:sz w:val="22"/>
          <w:szCs w:val="22"/>
          <w:lang w:val="es-ES_tradnl"/>
        </w:rPr>
      </w:pPr>
      <w:bookmarkStart w:id="5" w:name="_Hlk70510939"/>
      <w:bookmarkEnd w:id="3"/>
      <w:bookmarkEnd w:id="4"/>
    </w:p>
    <w:p w14:paraId="6EE897FD" w14:textId="6C1BACC2" w:rsidR="00740655" w:rsidRDefault="00740655" w:rsidP="000164B2">
      <w:pPr>
        <w:spacing w:before="120"/>
        <w:jc w:val="both"/>
        <w:rPr>
          <w:rFonts w:ascii="Arial" w:hAnsi="Arial" w:cs="Arial"/>
          <w:color w:val="161616" w:themeColor="background1" w:themeShade="1A"/>
          <w:sz w:val="22"/>
          <w:szCs w:val="22"/>
          <w:lang w:val="es-ES_tradnl"/>
        </w:rPr>
      </w:pPr>
    </w:p>
    <w:p w14:paraId="7CBF8562" w14:textId="5A6D0AFE" w:rsidR="00740655" w:rsidRDefault="00740655" w:rsidP="000164B2">
      <w:pPr>
        <w:spacing w:before="120"/>
        <w:jc w:val="both"/>
        <w:rPr>
          <w:rFonts w:ascii="Arial" w:hAnsi="Arial" w:cs="Arial"/>
          <w:color w:val="161616" w:themeColor="background1" w:themeShade="1A"/>
          <w:sz w:val="22"/>
          <w:szCs w:val="22"/>
          <w:lang w:val="es-ES_tradnl"/>
        </w:rPr>
      </w:pPr>
    </w:p>
    <w:p w14:paraId="41F48BA5" w14:textId="77777777" w:rsidR="00AC6765" w:rsidRDefault="00AC6765" w:rsidP="000164B2">
      <w:pPr>
        <w:spacing w:before="120"/>
        <w:jc w:val="both"/>
        <w:rPr>
          <w:rFonts w:ascii="Arial" w:hAnsi="Arial" w:cs="Arial"/>
          <w:color w:val="161616" w:themeColor="background1" w:themeShade="1A"/>
          <w:sz w:val="22"/>
          <w:szCs w:val="22"/>
          <w:lang w:val="es-ES_tradnl"/>
        </w:rPr>
      </w:pPr>
    </w:p>
    <w:p w14:paraId="47325392" w14:textId="70BCE9F8" w:rsidR="001B0870" w:rsidRDefault="001B0870" w:rsidP="000164B2">
      <w:pPr>
        <w:spacing w:before="120"/>
        <w:jc w:val="both"/>
        <w:rPr>
          <w:rFonts w:ascii="Arial" w:hAnsi="Arial" w:cs="Arial"/>
          <w:color w:val="161616" w:themeColor="background1" w:themeShade="1A"/>
          <w:sz w:val="22"/>
          <w:szCs w:val="22"/>
          <w:lang w:val="es-ES_tradnl"/>
        </w:rPr>
      </w:pPr>
    </w:p>
    <w:p w14:paraId="1A68B872" w14:textId="4CC9D623" w:rsidR="001B0870" w:rsidRDefault="00C45FCC" w:rsidP="00C45FCC">
      <w:pPr>
        <w:spacing w:before="120"/>
        <w:jc w:val="right"/>
        <w:rPr>
          <w:rFonts w:ascii="Arial" w:hAnsi="Arial" w:cs="Arial"/>
          <w:color w:val="161616" w:themeColor="background1" w:themeShade="1A"/>
          <w:sz w:val="22"/>
          <w:szCs w:val="22"/>
          <w:lang w:val="es-ES_tradnl"/>
        </w:rPr>
      </w:pPr>
      <w:r>
        <w:rPr>
          <w:noProof/>
        </w:rPr>
        <w:drawing>
          <wp:inline distT="0" distB="0" distL="0" distR="0" wp14:anchorId="7628EA8F" wp14:editId="5161BD1D">
            <wp:extent cx="2865664"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8515" t="52294" r="15061" b="26299"/>
                    <a:stretch/>
                  </pic:blipFill>
                  <pic:spPr bwMode="auto">
                    <a:xfrm>
                      <a:off x="0" y="0"/>
                      <a:ext cx="2871953" cy="744581"/>
                    </a:xfrm>
                    <a:prstGeom prst="rect">
                      <a:avLst/>
                    </a:prstGeom>
                    <a:ln>
                      <a:noFill/>
                    </a:ln>
                    <a:extLst>
                      <a:ext uri="{53640926-AAD7-44D8-BBD7-CCE9431645EC}">
                        <a14:shadowObscured xmlns:a14="http://schemas.microsoft.com/office/drawing/2010/main"/>
                      </a:ext>
                    </a:extLst>
                  </pic:spPr>
                </pic:pic>
              </a:graphicData>
            </a:graphic>
          </wp:inline>
        </w:drawing>
      </w:r>
    </w:p>
    <w:p w14:paraId="28E030D1" w14:textId="77777777" w:rsidR="00A555A0" w:rsidRDefault="00A555A0" w:rsidP="00A555A0">
      <w:pPr>
        <w:spacing w:before="120"/>
        <w:jc w:val="both"/>
        <w:rPr>
          <w:rFonts w:ascii="Arial" w:hAnsi="Arial" w:cs="Arial"/>
          <w:color w:val="161616" w:themeColor="background1" w:themeShade="1A"/>
          <w:sz w:val="22"/>
          <w:szCs w:val="22"/>
          <w:lang w:val="es-ES_tradnl"/>
        </w:rPr>
      </w:pPr>
    </w:p>
    <w:p w14:paraId="7E81BB1E" w14:textId="51F46C01" w:rsidR="00A555A0" w:rsidRDefault="00A555A0" w:rsidP="00A555A0">
      <w:pPr>
        <w:spacing w:before="120"/>
        <w:jc w:val="both"/>
        <w:rPr>
          <w:rFonts w:ascii="Arial" w:hAnsi="Arial" w:cs="Arial"/>
          <w:color w:val="161616" w:themeColor="background1" w:themeShade="1A"/>
          <w:sz w:val="22"/>
          <w:szCs w:val="22"/>
          <w:lang w:val="es-ES_tradnl"/>
        </w:rPr>
      </w:pPr>
      <w:r>
        <w:rPr>
          <w:rFonts w:ascii="Arial" w:hAnsi="Arial" w:cs="Arial"/>
          <w:color w:val="161616" w:themeColor="background1" w:themeShade="1A"/>
          <w:sz w:val="22"/>
          <w:szCs w:val="22"/>
          <w:lang w:val="es-ES_tradnl"/>
        </w:rPr>
        <w:t>Bogotá, 23 mayo 2022</w:t>
      </w:r>
    </w:p>
    <w:p w14:paraId="6E444D61" w14:textId="25461D6F" w:rsidR="00E54365" w:rsidRPr="00691AAC" w:rsidRDefault="00E54365" w:rsidP="000164B2">
      <w:pPr>
        <w:spacing w:before="120"/>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Señor</w:t>
      </w:r>
    </w:p>
    <w:p w14:paraId="12F5A1EE" w14:textId="052DEE10" w:rsidR="00DB7DAF" w:rsidRDefault="00166610" w:rsidP="000164B2">
      <w:pPr>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 xml:space="preserve">Mario Germán García </w:t>
      </w:r>
      <w:proofErr w:type="spellStart"/>
      <w:r>
        <w:rPr>
          <w:rFonts w:ascii="Arial" w:hAnsi="Arial" w:cs="Arial"/>
          <w:b/>
          <w:color w:val="000000" w:themeColor="text1"/>
          <w:sz w:val="22"/>
          <w:szCs w:val="22"/>
          <w:lang w:val="es-ES_tradnl"/>
        </w:rPr>
        <w:t>García</w:t>
      </w:r>
      <w:proofErr w:type="spellEnd"/>
      <w:r>
        <w:rPr>
          <w:rFonts w:ascii="Arial" w:hAnsi="Arial" w:cs="Arial"/>
          <w:b/>
          <w:color w:val="000000" w:themeColor="text1"/>
          <w:sz w:val="22"/>
          <w:szCs w:val="22"/>
          <w:lang w:val="es-ES_tradnl"/>
        </w:rPr>
        <w:t xml:space="preserve"> </w:t>
      </w:r>
    </w:p>
    <w:p w14:paraId="220DC933" w14:textId="7C3976EE" w:rsidR="00612654" w:rsidRPr="00612654" w:rsidRDefault="00612654" w:rsidP="000164B2">
      <w:pPr>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 xml:space="preserve">Bogotá D.C. </w:t>
      </w:r>
    </w:p>
    <w:p w14:paraId="462F7397" w14:textId="638A7716" w:rsidR="0076432E" w:rsidRDefault="0076432E" w:rsidP="0022167B">
      <w:pPr>
        <w:ind w:left="2124" w:firstLine="708"/>
        <w:rPr>
          <w:rFonts w:ascii="Arial" w:hAnsi="Arial" w:cs="Arial"/>
          <w:bCs/>
          <w:color w:val="000000" w:themeColor="text1"/>
          <w:sz w:val="22"/>
          <w:szCs w:val="22"/>
          <w:lang w:val="es-ES_tradnl"/>
        </w:rPr>
      </w:pPr>
    </w:p>
    <w:p w14:paraId="17BA6817" w14:textId="36FB7779" w:rsidR="00E54365" w:rsidRPr="00691AAC" w:rsidRDefault="00E54365" w:rsidP="0022167B">
      <w:pPr>
        <w:ind w:left="2124" w:firstLine="708"/>
        <w:rPr>
          <w:rFonts w:ascii="Arial" w:hAnsi="Arial" w:cs="Arial"/>
          <w:b/>
          <w:bCs/>
          <w:color w:val="161616" w:themeColor="background1" w:themeShade="1A"/>
          <w:sz w:val="22"/>
          <w:szCs w:val="22"/>
          <w:lang w:val="es-ES_tradnl"/>
        </w:rPr>
      </w:pPr>
      <w:r w:rsidRPr="00691AAC">
        <w:rPr>
          <w:rFonts w:ascii="Arial" w:hAnsi="Arial" w:cs="Arial"/>
          <w:b/>
          <w:bCs/>
          <w:color w:val="161616" w:themeColor="background1" w:themeShade="1A"/>
          <w:sz w:val="22"/>
          <w:szCs w:val="22"/>
          <w:lang w:val="es-ES_tradnl"/>
        </w:rPr>
        <w:t>Concepto</w:t>
      </w:r>
      <w:r w:rsidR="006559E3" w:rsidRPr="00691AAC">
        <w:rPr>
          <w:rFonts w:ascii="Arial" w:hAnsi="Arial" w:cs="Arial"/>
          <w:b/>
          <w:bCs/>
          <w:color w:val="161616" w:themeColor="background1" w:themeShade="1A"/>
          <w:sz w:val="22"/>
          <w:szCs w:val="22"/>
          <w:lang w:val="es-ES_tradnl"/>
        </w:rPr>
        <w:t xml:space="preserve"> </w:t>
      </w:r>
      <w:r w:rsidRPr="00691AAC">
        <w:rPr>
          <w:rFonts w:ascii="Arial" w:hAnsi="Arial" w:cs="Arial"/>
          <w:b/>
          <w:bCs/>
          <w:color w:val="161616" w:themeColor="background1" w:themeShade="1A"/>
          <w:sz w:val="22"/>
          <w:szCs w:val="22"/>
          <w:lang w:val="es-ES_tradnl"/>
        </w:rPr>
        <w:t>C</w:t>
      </w:r>
      <w:r w:rsidR="00766A70" w:rsidRPr="00691AAC">
        <w:rPr>
          <w:rFonts w:ascii="Arial" w:hAnsi="Arial" w:cs="Arial"/>
          <w:b/>
          <w:bCs/>
          <w:color w:val="161616" w:themeColor="background1" w:themeShade="1A"/>
          <w:sz w:val="22"/>
          <w:szCs w:val="22"/>
          <w:lang w:val="es-ES_tradnl"/>
        </w:rPr>
        <w:t xml:space="preserve"> </w:t>
      </w:r>
      <w:r w:rsidR="00BA61CC" w:rsidRPr="00100857">
        <w:rPr>
          <w:rFonts w:ascii="Arial" w:eastAsia="Calibri" w:hAnsi="Arial" w:cs="Arial"/>
          <w:b/>
          <w:color w:val="161616" w:themeColor="background1" w:themeShade="1A"/>
          <w:sz w:val="22"/>
          <w:szCs w:val="22"/>
          <w:lang w:val="es-ES_tradnl"/>
        </w:rPr>
        <w:t>‒</w:t>
      </w:r>
      <w:r w:rsidR="00BA61CC">
        <w:rPr>
          <w:rFonts w:ascii="Arial" w:hAnsi="Arial" w:cs="Arial"/>
          <w:b/>
          <w:bCs/>
          <w:color w:val="161616" w:themeColor="background1" w:themeShade="1A"/>
          <w:sz w:val="22"/>
          <w:szCs w:val="22"/>
          <w:lang w:val="es-ES_tradnl"/>
        </w:rPr>
        <w:t xml:space="preserve"> </w:t>
      </w:r>
      <w:r w:rsidR="00265808">
        <w:rPr>
          <w:rFonts w:ascii="Arial" w:hAnsi="Arial" w:cs="Arial"/>
          <w:b/>
          <w:bCs/>
          <w:color w:val="161616" w:themeColor="background1" w:themeShade="1A"/>
          <w:sz w:val="22"/>
          <w:szCs w:val="22"/>
          <w:lang w:val="es-ES_tradnl"/>
        </w:rPr>
        <w:t xml:space="preserve">335 </w:t>
      </w:r>
      <w:r w:rsidR="00423405" w:rsidRPr="00691AAC">
        <w:rPr>
          <w:rFonts w:ascii="Arial" w:hAnsi="Arial" w:cs="Arial"/>
          <w:b/>
          <w:bCs/>
          <w:color w:val="161616" w:themeColor="background1" w:themeShade="1A"/>
          <w:sz w:val="22"/>
          <w:szCs w:val="22"/>
          <w:lang w:val="es-ES_tradnl"/>
        </w:rPr>
        <w:t>de 2022</w:t>
      </w:r>
    </w:p>
    <w:p w14:paraId="3C57C781" w14:textId="77777777" w:rsidR="00FE4C26" w:rsidRPr="00691AAC"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64E98C26" w14:textId="63AF9141" w:rsidR="000B4121" w:rsidRPr="003A79A8" w:rsidRDefault="00E54365" w:rsidP="0022167B">
      <w:pPr>
        <w:ind w:left="2824" w:hanging="2818"/>
        <w:jc w:val="both"/>
        <w:rPr>
          <w:rFonts w:ascii="Arial" w:eastAsia="Calibri" w:hAnsi="Arial" w:cs="Arial"/>
          <w:bCs/>
          <w:color w:val="161616" w:themeColor="background1" w:themeShade="1A"/>
          <w:sz w:val="22"/>
          <w:szCs w:val="22"/>
        </w:rPr>
      </w:pPr>
      <w:r w:rsidRPr="00691AAC">
        <w:rPr>
          <w:rFonts w:ascii="Arial" w:eastAsia="Calibri" w:hAnsi="Arial" w:cs="Arial"/>
          <w:b/>
          <w:noProof/>
          <w:color w:val="161616" w:themeColor="background1" w:themeShade="1A"/>
          <w:sz w:val="22"/>
          <w:szCs w:val="22"/>
          <w:lang w:val="es-ES_tradnl" w:eastAsia="en-US"/>
        </w:rPr>
        <w:t>Temas</w:t>
      </w:r>
      <w:r w:rsidRPr="00691AAC">
        <w:rPr>
          <w:rFonts w:ascii="Arial" w:eastAsia="Calibri" w:hAnsi="Arial" w:cs="Arial"/>
          <w:bCs/>
          <w:noProof/>
          <w:color w:val="161616" w:themeColor="background1" w:themeShade="1A"/>
          <w:sz w:val="22"/>
          <w:szCs w:val="22"/>
          <w:lang w:val="es-ES_tradnl" w:eastAsia="en-US"/>
        </w:rPr>
        <w:t xml:space="preserve">: </w:t>
      </w:r>
      <w:r w:rsidRPr="00691AAC">
        <w:rPr>
          <w:rFonts w:ascii="Arial" w:eastAsia="Calibri" w:hAnsi="Arial" w:cs="Arial"/>
          <w:bCs/>
          <w:noProof/>
          <w:color w:val="161616" w:themeColor="background1" w:themeShade="1A"/>
          <w:sz w:val="22"/>
          <w:szCs w:val="22"/>
          <w:lang w:val="es-ES_tradnl" w:eastAsia="en-US"/>
        </w:rPr>
        <w:tab/>
      </w:r>
      <w:r w:rsidR="00265808" w:rsidRPr="00265808">
        <w:rPr>
          <w:rFonts w:ascii="Arial" w:eastAsia="Calibri" w:hAnsi="Arial" w:cs="Arial"/>
          <w:bCs/>
          <w:color w:val="161616" w:themeColor="background1" w:themeShade="1A"/>
          <w:sz w:val="22"/>
          <w:szCs w:val="22"/>
          <w:lang w:val="es-ES_tradnl"/>
        </w:rPr>
        <w:t xml:space="preserve">COLOMBIA COMPRA EFICIENTE – Competencia consultiva – Contratación </w:t>
      </w:r>
      <w:r w:rsidR="002F59F5">
        <w:rPr>
          <w:rFonts w:ascii="Arial" w:eastAsia="Calibri" w:hAnsi="Arial" w:cs="Arial"/>
          <w:bCs/>
          <w:color w:val="161616" w:themeColor="background1" w:themeShade="1A"/>
          <w:sz w:val="22"/>
          <w:szCs w:val="22"/>
          <w:lang w:val="es-ES_tradnl"/>
        </w:rPr>
        <w:t>E</w:t>
      </w:r>
      <w:r w:rsidR="00265808" w:rsidRPr="00265808">
        <w:rPr>
          <w:rFonts w:ascii="Arial" w:eastAsia="Calibri" w:hAnsi="Arial" w:cs="Arial"/>
          <w:bCs/>
          <w:color w:val="161616" w:themeColor="background1" w:themeShade="1A"/>
          <w:sz w:val="22"/>
          <w:szCs w:val="22"/>
          <w:lang w:val="es-ES_tradnl"/>
        </w:rPr>
        <w:t xml:space="preserve">statal – Normas </w:t>
      </w:r>
      <w:r w:rsidR="002F59F5">
        <w:rPr>
          <w:rFonts w:ascii="Arial" w:eastAsia="Calibri" w:hAnsi="Arial" w:cs="Arial"/>
          <w:bCs/>
          <w:color w:val="161616" w:themeColor="background1" w:themeShade="1A"/>
          <w:sz w:val="22"/>
          <w:szCs w:val="22"/>
          <w:lang w:val="es-ES_tradnl"/>
        </w:rPr>
        <w:t>G</w:t>
      </w:r>
      <w:r w:rsidR="00265808" w:rsidRPr="00265808">
        <w:rPr>
          <w:rFonts w:ascii="Arial" w:eastAsia="Calibri" w:hAnsi="Arial" w:cs="Arial"/>
          <w:bCs/>
          <w:color w:val="161616" w:themeColor="background1" w:themeShade="1A"/>
          <w:sz w:val="22"/>
          <w:szCs w:val="22"/>
          <w:lang w:val="es-ES_tradnl"/>
        </w:rPr>
        <w:t>enerales</w:t>
      </w:r>
      <w:r w:rsidR="00265808">
        <w:rPr>
          <w:rFonts w:ascii="Arial" w:eastAsia="Calibri" w:hAnsi="Arial" w:cs="Arial"/>
          <w:bCs/>
          <w:color w:val="161616" w:themeColor="background1" w:themeShade="1A"/>
          <w:sz w:val="22"/>
          <w:szCs w:val="22"/>
          <w:lang w:val="es-ES_tradnl"/>
        </w:rPr>
        <w:t xml:space="preserve"> </w:t>
      </w:r>
      <w:r w:rsidR="005464B8">
        <w:rPr>
          <w:rFonts w:ascii="Arial" w:eastAsia="Calibri" w:hAnsi="Arial" w:cs="Arial"/>
          <w:bCs/>
          <w:color w:val="161616" w:themeColor="background1" w:themeShade="1A"/>
          <w:sz w:val="22"/>
          <w:szCs w:val="22"/>
          <w:lang w:val="es-ES_tradnl"/>
        </w:rPr>
        <w:t xml:space="preserve">/ </w:t>
      </w:r>
      <w:r w:rsidR="000B4121" w:rsidRPr="000B4121">
        <w:rPr>
          <w:rFonts w:ascii="Arial" w:eastAsia="Calibri" w:hAnsi="Arial" w:cs="Arial"/>
          <w:bCs/>
          <w:color w:val="161616" w:themeColor="background1" w:themeShade="1A"/>
          <w:sz w:val="22"/>
          <w:szCs w:val="22"/>
          <w:lang w:val="es-ES_tradnl"/>
        </w:rPr>
        <w:t>GARANTÍA DE ESTABILIDAD Y CALIDAD DE LA OBRA – Suficiencia – Decreto 1082 de 2015</w:t>
      </w:r>
      <w:r w:rsidR="000B4121">
        <w:rPr>
          <w:rFonts w:ascii="Arial" w:eastAsia="Calibri" w:hAnsi="Arial" w:cs="Arial"/>
          <w:bCs/>
          <w:color w:val="161616" w:themeColor="background1" w:themeShade="1A"/>
          <w:sz w:val="22"/>
          <w:szCs w:val="22"/>
          <w:lang w:val="es-ES_tradnl"/>
        </w:rPr>
        <w:t xml:space="preserve">. </w:t>
      </w:r>
    </w:p>
    <w:p w14:paraId="18EF2AD1" w14:textId="54042E74" w:rsidR="0076432E" w:rsidRDefault="0076432E" w:rsidP="0022167B">
      <w:pPr>
        <w:ind w:left="2824" w:hanging="2818"/>
        <w:jc w:val="both"/>
        <w:rPr>
          <w:rFonts w:ascii="Arial" w:eastAsia="Calibri" w:hAnsi="Arial" w:cs="Arial"/>
          <w:bCs/>
          <w:noProof/>
          <w:color w:val="161616" w:themeColor="background1" w:themeShade="1A"/>
          <w:sz w:val="22"/>
          <w:szCs w:val="22"/>
          <w:lang w:val="es-ES_tradnl" w:eastAsia="en-US"/>
        </w:rPr>
      </w:pPr>
    </w:p>
    <w:p w14:paraId="30A873A7" w14:textId="2462D2E9" w:rsidR="00E54365" w:rsidRPr="00691AAC" w:rsidRDefault="00E54365" w:rsidP="0022167B">
      <w:pPr>
        <w:ind w:left="2835" w:hanging="2835"/>
        <w:jc w:val="both"/>
        <w:rPr>
          <w:rFonts w:ascii="Arial" w:eastAsia="Calibri" w:hAnsi="Arial" w:cs="Arial"/>
          <w:bCs/>
          <w:noProof/>
          <w:color w:val="161616" w:themeColor="background1" w:themeShade="1A"/>
          <w:sz w:val="22"/>
          <w:szCs w:val="22"/>
          <w:lang w:val="es-ES_tradnl" w:eastAsia="en-US"/>
        </w:rPr>
      </w:pPr>
      <w:r w:rsidRPr="00691AAC">
        <w:rPr>
          <w:rFonts w:ascii="Arial" w:eastAsia="Calibri" w:hAnsi="Arial" w:cs="Arial"/>
          <w:b/>
          <w:noProof/>
          <w:color w:val="161616" w:themeColor="background1" w:themeShade="1A"/>
          <w:sz w:val="22"/>
          <w:szCs w:val="22"/>
          <w:lang w:val="es-ES_tradnl" w:eastAsia="en-US"/>
        </w:rPr>
        <w:t>Radicación</w:t>
      </w:r>
      <w:r w:rsidRPr="00691AAC">
        <w:rPr>
          <w:rFonts w:ascii="Arial" w:eastAsia="Calibri" w:hAnsi="Arial" w:cs="Arial"/>
          <w:bCs/>
          <w:noProof/>
          <w:color w:val="161616" w:themeColor="background1" w:themeShade="1A"/>
          <w:sz w:val="22"/>
          <w:szCs w:val="22"/>
          <w:lang w:val="es-ES_tradnl" w:eastAsia="en-US"/>
        </w:rPr>
        <w:t>:</w:t>
      </w:r>
      <w:r w:rsidRPr="00691AAC">
        <w:rPr>
          <w:rFonts w:ascii="Arial" w:eastAsia="Calibri" w:hAnsi="Arial" w:cs="Arial"/>
          <w:bCs/>
          <w:noProof/>
          <w:color w:val="161616" w:themeColor="background1" w:themeShade="1A"/>
          <w:sz w:val="22"/>
          <w:szCs w:val="22"/>
          <w:lang w:val="es-ES_tradnl" w:eastAsia="en-US"/>
        </w:rPr>
        <w:tab/>
        <w:t>Respuesta a consulta</w:t>
      </w:r>
      <w:r w:rsidR="00FB5E3B" w:rsidRPr="00691AAC">
        <w:rPr>
          <w:rFonts w:ascii="Arial" w:eastAsia="Calibri" w:hAnsi="Arial" w:cs="Arial"/>
          <w:bCs/>
          <w:noProof/>
          <w:color w:val="161616" w:themeColor="background1" w:themeShade="1A"/>
          <w:sz w:val="22"/>
          <w:szCs w:val="22"/>
          <w:lang w:val="es-ES_tradnl" w:eastAsia="en-US"/>
        </w:rPr>
        <w:t xml:space="preserve"> </w:t>
      </w:r>
      <w:r w:rsidR="00265808" w:rsidRPr="00265808">
        <w:rPr>
          <w:rFonts w:ascii="Arial" w:eastAsia="Calibri" w:hAnsi="Arial" w:cs="Arial"/>
          <w:bCs/>
          <w:noProof/>
          <w:color w:val="161616" w:themeColor="background1" w:themeShade="1A"/>
          <w:sz w:val="22"/>
          <w:szCs w:val="22"/>
          <w:lang w:val="es-ES_tradnl" w:eastAsia="en-US"/>
        </w:rPr>
        <w:t>P20220411003643</w:t>
      </w:r>
    </w:p>
    <w:p w14:paraId="6502F989" w14:textId="77777777" w:rsidR="00C366C4" w:rsidRPr="00691AAC" w:rsidRDefault="00C366C4" w:rsidP="0022167B">
      <w:pPr>
        <w:rPr>
          <w:rFonts w:ascii="Arial" w:hAnsi="Arial" w:cs="Arial"/>
          <w:color w:val="161616" w:themeColor="background1" w:themeShade="1A"/>
          <w:sz w:val="22"/>
          <w:szCs w:val="22"/>
          <w:lang w:val="es-ES_tradnl"/>
        </w:rPr>
      </w:pPr>
    </w:p>
    <w:p w14:paraId="71ED9EB2" w14:textId="3F628BC4" w:rsidR="00E54365" w:rsidRPr="00691AAC" w:rsidRDefault="00E54365" w:rsidP="00573BED">
      <w:pPr>
        <w:spacing w:before="240"/>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Estimad</w:t>
      </w:r>
      <w:r w:rsidR="00DB7DAF">
        <w:rPr>
          <w:rFonts w:ascii="Arial" w:hAnsi="Arial" w:cs="Arial"/>
          <w:color w:val="161616" w:themeColor="background1" w:themeShade="1A"/>
          <w:sz w:val="22"/>
          <w:szCs w:val="22"/>
          <w:lang w:val="es-ES_tradnl"/>
        </w:rPr>
        <w:t xml:space="preserve">o </w:t>
      </w:r>
      <w:r w:rsidR="00EB7070">
        <w:rPr>
          <w:rFonts w:ascii="Arial" w:hAnsi="Arial" w:cs="Arial"/>
          <w:color w:val="161616" w:themeColor="background1" w:themeShade="1A"/>
          <w:sz w:val="22"/>
          <w:szCs w:val="22"/>
          <w:lang w:val="es-ES_tradnl"/>
        </w:rPr>
        <w:t>s</w:t>
      </w:r>
      <w:r w:rsidR="007168C5" w:rsidRPr="00691AAC">
        <w:rPr>
          <w:rFonts w:ascii="Arial" w:hAnsi="Arial" w:cs="Arial"/>
          <w:color w:val="161616" w:themeColor="background1" w:themeShade="1A"/>
          <w:sz w:val="22"/>
          <w:szCs w:val="22"/>
          <w:lang w:val="es-ES_tradnl"/>
        </w:rPr>
        <w:t>eñor</w:t>
      </w:r>
      <w:r w:rsidR="00DB7DAF">
        <w:rPr>
          <w:rFonts w:ascii="Arial" w:hAnsi="Arial" w:cs="Arial"/>
          <w:color w:val="161616" w:themeColor="background1" w:themeShade="1A"/>
          <w:sz w:val="22"/>
          <w:szCs w:val="22"/>
          <w:lang w:val="es-ES_tradnl"/>
        </w:rPr>
        <w:t xml:space="preserve"> </w:t>
      </w:r>
      <w:r w:rsidR="00265808">
        <w:rPr>
          <w:rFonts w:ascii="Arial" w:hAnsi="Arial" w:cs="Arial"/>
          <w:bCs/>
          <w:color w:val="000000" w:themeColor="text1"/>
          <w:sz w:val="22"/>
          <w:szCs w:val="22"/>
          <w:lang w:val="es-ES_tradnl"/>
        </w:rPr>
        <w:t>García</w:t>
      </w:r>
      <w:r w:rsidR="007168C5" w:rsidRPr="00691AAC">
        <w:rPr>
          <w:rFonts w:ascii="Arial" w:hAnsi="Arial" w:cs="Arial"/>
          <w:color w:val="161616" w:themeColor="background1" w:themeShade="1A"/>
          <w:sz w:val="22"/>
          <w:szCs w:val="22"/>
          <w:lang w:val="es-ES_tradnl"/>
        </w:rPr>
        <w:t xml:space="preserve">, </w:t>
      </w:r>
      <w:r w:rsidR="006D2519" w:rsidRPr="00691AAC">
        <w:rPr>
          <w:rFonts w:ascii="Arial" w:hAnsi="Arial" w:cs="Arial"/>
          <w:color w:val="161616" w:themeColor="background1" w:themeShade="1A"/>
          <w:sz w:val="22"/>
          <w:szCs w:val="22"/>
          <w:lang w:val="es-ES_tradnl"/>
        </w:rPr>
        <w:t xml:space="preserve"> </w:t>
      </w:r>
      <w:r w:rsidRPr="00691AAC">
        <w:rPr>
          <w:rFonts w:ascii="Arial" w:hAnsi="Arial" w:cs="Arial"/>
          <w:color w:val="161616" w:themeColor="background1" w:themeShade="1A"/>
          <w:sz w:val="22"/>
          <w:szCs w:val="22"/>
          <w:lang w:val="es-ES_tradnl"/>
        </w:rPr>
        <w:t xml:space="preserve"> </w:t>
      </w:r>
    </w:p>
    <w:p w14:paraId="43EDF4BF" w14:textId="289A4F31" w:rsidR="00E54365" w:rsidRPr="00691AAC" w:rsidRDefault="00E54365" w:rsidP="00573BED">
      <w:pPr>
        <w:spacing w:before="240" w:line="276" w:lineRule="auto"/>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691AAC">
        <w:rPr>
          <w:rFonts w:ascii="Arial" w:hAnsi="Arial" w:cs="Arial"/>
          <w:color w:val="161616" w:themeColor="background1" w:themeShade="1A"/>
          <w:sz w:val="22"/>
          <w:szCs w:val="22"/>
          <w:lang w:val="es-ES_tradnl"/>
        </w:rPr>
        <w:t xml:space="preserve">remitida el </w:t>
      </w:r>
      <w:r w:rsidR="00EB65A0">
        <w:rPr>
          <w:rFonts w:ascii="Arial" w:hAnsi="Arial" w:cs="Arial"/>
          <w:color w:val="161616" w:themeColor="background1" w:themeShade="1A"/>
          <w:sz w:val="22"/>
          <w:szCs w:val="22"/>
          <w:lang w:val="es-ES_tradnl"/>
        </w:rPr>
        <w:t>11</w:t>
      </w:r>
      <w:r w:rsidR="00C97401">
        <w:rPr>
          <w:rFonts w:ascii="Arial" w:hAnsi="Arial" w:cs="Arial"/>
          <w:color w:val="161616" w:themeColor="background1" w:themeShade="1A"/>
          <w:sz w:val="22"/>
          <w:szCs w:val="22"/>
          <w:lang w:val="es-ES_tradnl"/>
        </w:rPr>
        <w:t xml:space="preserve"> </w:t>
      </w:r>
      <w:r w:rsidR="00EA2015" w:rsidRPr="00691AAC">
        <w:rPr>
          <w:rFonts w:ascii="Arial" w:hAnsi="Arial" w:cs="Arial"/>
          <w:color w:val="161616" w:themeColor="background1" w:themeShade="1A"/>
          <w:sz w:val="22"/>
          <w:szCs w:val="22"/>
          <w:lang w:val="es-ES_tradnl"/>
        </w:rPr>
        <w:t xml:space="preserve">de </w:t>
      </w:r>
      <w:r w:rsidR="00EB65A0">
        <w:rPr>
          <w:rFonts w:ascii="Arial" w:hAnsi="Arial" w:cs="Arial"/>
          <w:color w:val="161616" w:themeColor="background1" w:themeShade="1A"/>
          <w:sz w:val="22"/>
          <w:szCs w:val="22"/>
          <w:lang w:val="es-ES_tradnl"/>
        </w:rPr>
        <w:t>abril</w:t>
      </w:r>
      <w:r w:rsidR="00C97401">
        <w:rPr>
          <w:rFonts w:ascii="Arial" w:hAnsi="Arial" w:cs="Arial"/>
          <w:color w:val="161616" w:themeColor="background1" w:themeShade="1A"/>
          <w:sz w:val="22"/>
          <w:szCs w:val="22"/>
          <w:lang w:val="es-ES_tradnl"/>
        </w:rPr>
        <w:t xml:space="preserve"> </w:t>
      </w:r>
      <w:r w:rsidR="00EA2015" w:rsidRPr="00691AAC">
        <w:rPr>
          <w:rFonts w:ascii="Arial" w:hAnsi="Arial" w:cs="Arial"/>
          <w:color w:val="161616" w:themeColor="background1" w:themeShade="1A"/>
          <w:sz w:val="22"/>
          <w:szCs w:val="22"/>
          <w:lang w:val="es-ES_tradnl"/>
        </w:rPr>
        <w:t>de 2022</w:t>
      </w:r>
      <w:r w:rsidR="00C97401">
        <w:rPr>
          <w:rFonts w:ascii="Arial" w:hAnsi="Arial" w:cs="Arial"/>
          <w:color w:val="161616" w:themeColor="background1" w:themeShade="1A"/>
          <w:sz w:val="22"/>
          <w:szCs w:val="22"/>
          <w:lang w:val="es-ES_tradnl"/>
        </w:rPr>
        <w:t>.</w:t>
      </w:r>
    </w:p>
    <w:p w14:paraId="4CDB27A1" w14:textId="2E925D69" w:rsidR="00FB5E3B" w:rsidRDefault="00E54365" w:rsidP="00573BED">
      <w:pPr>
        <w:spacing w:before="240"/>
        <w:rPr>
          <w:rFonts w:ascii="Arial" w:hAnsi="Arial" w:cs="Arial"/>
          <w:b/>
          <w:color w:val="161616" w:themeColor="background1" w:themeShade="1A"/>
          <w:sz w:val="22"/>
          <w:szCs w:val="22"/>
          <w:lang w:val="es-ES_tradnl"/>
        </w:rPr>
      </w:pPr>
      <w:r w:rsidRPr="00691AAC">
        <w:rPr>
          <w:rFonts w:ascii="Arial" w:hAnsi="Arial" w:cs="Arial"/>
          <w:b/>
          <w:color w:val="161616" w:themeColor="background1" w:themeShade="1A"/>
          <w:sz w:val="22"/>
          <w:szCs w:val="22"/>
          <w:lang w:val="es-ES_tradnl"/>
        </w:rPr>
        <w:t xml:space="preserve">1. Problema planteado </w:t>
      </w:r>
    </w:p>
    <w:p w14:paraId="4016552B" w14:textId="77777777" w:rsidR="00EB7070" w:rsidRPr="00691AAC" w:rsidRDefault="00EB7070" w:rsidP="00874FB6">
      <w:pPr>
        <w:rPr>
          <w:rFonts w:ascii="Arial" w:hAnsi="Arial" w:cs="Arial"/>
          <w:b/>
          <w:color w:val="161616" w:themeColor="background1" w:themeShade="1A"/>
          <w:sz w:val="22"/>
          <w:szCs w:val="22"/>
          <w:lang w:val="es-ES_tradnl"/>
        </w:rPr>
      </w:pPr>
    </w:p>
    <w:p w14:paraId="14D7785A" w14:textId="28986ACD" w:rsidR="00C76212" w:rsidRDefault="00FB5E3B" w:rsidP="00874FB6">
      <w:pPr>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 xml:space="preserve">Usted </w:t>
      </w:r>
      <w:r w:rsidR="00EF64D8" w:rsidRPr="00691AAC">
        <w:rPr>
          <w:rFonts w:ascii="Arial" w:hAnsi="Arial" w:cs="Arial"/>
          <w:color w:val="161616" w:themeColor="background1" w:themeShade="1A"/>
          <w:sz w:val="22"/>
          <w:szCs w:val="22"/>
          <w:lang w:val="es-ES_tradnl"/>
        </w:rPr>
        <w:t>formula</w:t>
      </w:r>
      <w:r w:rsidRPr="00691AAC">
        <w:rPr>
          <w:rFonts w:ascii="Arial" w:hAnsi="Arial" w:cs="Arial"/>
          <w:color w:val="161616" w:themeColor="background1" w:themeShade="1A"/>
          <w:sz w:val="22"/>
          <w:szCs w:val="22"/>
          <w:lang w:val="es-ES_tradnl"/>
        </w:rPr>
        <w:t xml:space="preserve"> la siguiente consulta</w:t>
      </w:r>
      <w:r w:rsidR="00A74544" w:rsidRPr="00691AAC">
        <w:rPr>
          <w:rFonts w:ascii="Arial" w:hAnsi="Arial" w:cs="Arial"/>
          <w:color w:val="161616" w:themeColor="background1" w:themeShade="1A"/>
          <w:sz w:val="22"/>
          <w:szCs w:val="22"/>
          <w:lang w:val="es-ES_tradnl"/>
        </w:rPr>
        <w:t>:</w:t>
      </w:r>
      <w:r w:rsidR="00880D11" w:rsidRPr="00691AAC">
        <w:rPr>
          <w:rFonts w:ascii="Arial" w:hAnsi="Arial" w:cs="Arial"/>
          <w:color w:val="161616" w:themeColor="background1" w:themeShade="1A"/>
          <w:sz w:val="22"/>
          <w:szCs w:val="22"/>
          <w:lang w:val="es-ES_tradnl"/>
        </w:rPr>
        <w:t xml:space="preserve"> </w:t>
      </w:r>
    </w:p>
    <w:p w14:paraId="7A460B51" w14:textId="77777777" w:rsidR="00EB7070" w:rsidRPr="00691AAC" w:rsidRDefault="00EB7070" w:rsidP="00874FB6">
      <w:pPr>
        <w:jc w:val="both"/>
        <w:rPr>
          <w:rFonts w:ascii="Arial" w:hAnsi="Arial" w:cs="Arial"/>
          <w:color w:val="161616" w:themeColor="background1" w:themeShade="1A"/>
          <w:sz w:val="22"/>
          <w:szCs w:val="22"/>
          <w:lang w:val="es-ES_tradnl"/>
        </w:rPr>
      </w:pPr>
    </w:p>
    <w:p w14:paraId="63ECF0C0" w14:textId="3F8BCA32" w:rsidR="00265808" w:rsidRDefault="00B94548" w:rsidP="00874FB6">
      <w:pPr>
        <w:ind w:left="709" w:right="709"/>
        <w:jc w:val="both"/>
        <w:rPr>
          <w:rFonts w:ascii="Arial" w:hAnsi="Arial" w:cs="Arial"/>
          <w:color w:val="161616" w:themeColor="background1" w:themeShade="1A"/>
          <w:sz w:val="21"/>
          <w:szCs w:val="21"/>
          <w:lang w:val="es-ES_tradnl"/>
        </w:rPr>
      </w:pPr>
      <w:r w:rsidRPr="00691AAC">
        <w:rPr>
          <w:rFonts w:ascii="Arial" w:hAnsi="Arial" w:cs="Arial"/>
          <w:color w:val="161616" w:themeColor="background1" w:themeShade="1A"/>
          <w:sz w:val="21"/>
          <w:szCs w:val="21"/>
          <w:lang w:val="es-ES_tradnl"/>
        </w:rPr>
        <w:t>«</w:t>
      </w:r>
      <w:r w:rsidR="004B7D5F" w:rsidRPr="00691AAC">
        <w:rPr>
          <w:rFonts w:ascii="Arial" w:hAnsi="Arial" w:cs="Arial"/>
          <w:color w:val="161616" w:themeColor="background1" w:themeShade="1A"/>
          <w:sz w:val="21"/>
          <w:szCs w:val="21"/>
          <w:lang w:val="es-ES_tradnl"/>
        </w:rPr>
        <w:t>[…]</w:t>
      </w:r>
      <w:r w:rsidR="007F1C5A">
        <w:rPr>
          <w:rFonts w:ascii="Arial" w:hAnsi="Arial" w:cs="Arial"/>
          <w:color w:val="161616" w:themeColor="background1" w:themeShade="1A"/>
          <w:sz w:val="21"/>
          <w:szCs w:val="21"/>
          <w:lang w:val="es-ES_tradnl"/>
        </w:rPr>
        <w:t xml:space="preserve"> </w:t>
      </w:r>
      <w:r w:rsidR="00265808" w:rsidRPr="00265808">
        <w:rPr>
          <w:rFonts w:ascii="Arial" w:hAnsi="Arial" w:cs="Arial"/>
          <w:color w:val="161616" w:themeColor="background1" w:themeShade="1A"/>
          <w:sz w:val="21"/>
          <w:szCs w:val="21"/>
          <w:lang w:val="es-ES_tradnl"/>
        </w:rPr>
        <w:t>En el marco de las licitaciones de obra civil – construcción de vía pública-de cara a la constitución de las pólizas de seriedad y pólizas de cumplimiento contractuales nos hemos</w:t>
      </w:r>
      <w:r w:rsidR="00265808">
        <w:rPr>
          <w:rFonts w:ascii="Arial" w:hAnsi="Arial" w:cs="Arial"/>
          <w:color w:val="161616" w:themeColor="background1" w:themeShade="1A"/>
          <w:sz w:val="21"/>
          <w:szCs w:val="21"/>
          <w:lang w:val="es-ES_tradnl"/>
        </w:rPr>
        <w:t xml:space="preserve"> </w:t>
      </w:r>
      <w:r w:rsidR="00265808" w:rsidRPr="00265808">
        <w:rPr>
          <w:rFonts w:ascii="Arial" w:hAnsi="Arial" w:cs="Arial"/>
          <w:color w:val="161616" w:themeColor="background1" w:themeShade="1A"/>
          <w:sz w:val="21"/>
          <w:szCs w:val="21"/>
          <w:lang w:val="es-ES_tradnl"/>
        </w:rPr>
        <w:t xml:space="preserve">encontrado que las diversas aseguradoras del mercado normalmente no están prestas a otorgar estas pólizas en la medida que no se tiene claridad en la diferencia entre: mejoramiento, rehabilitación, mantenimiento y construcción de obra nueva. </w:t>
      </w:r>
    </w:p>
    <w:p w14:paraId="4460C6D5" w14:textId="77777777" w:rsidR="00EB7070" w:rsidRDefault="00EB7070" w:rsidP="00EB7070">
      <w:pPr>
        <w:ind w:left="709" w:right="709"/>
        <w:jc w:val="both"/>
        <w:rPr>
          <w:rFonts w:ascii="Arial" w:hAnsi="Arial" w:cs="Arial"/>
          <w:color w:val="161616" w:themeColor="background1" w:themeShade="1A"/>
          <w:sz w:val="21"/>
          <w:szCs w:val="21"/>
          <w:lang w:val="es-ES_tradnl"/>
        </w:rPr>
      </w:pPr>
    </w:p>
    <w:p w14:paraId="13DCDAAE" w14:textId="50180410" w:rsidR="00265808" w:rsidRDefault="00265808" w:rsidP="00874FB6">
      <w:pPr>
        <w:ind w:left="709" w:right="709"/>
        <w:jc w:val="both"/>
        <w:rPr>
          <w:rFonts w:ascii="Arial" w:hAnsi="Arial" w:cs="Arial"/>
          <w:color w:val="161616" w:themeColor="background1" w:themeShade="1A"/>
          <w:sz w:val="21"/>
          <w:szCs w:val="21"/>
          <w:lang w:val="es-ES_tradnl"/>
        </w:rPr>
      </w:pPr>
      <w:r w:rsidRPr="00265808">
        <w:rPr>
          <w:rFonts w:ascii="Arial" w:hAnsi="Arial" w:cs="Arial"/>
          <w:color w:val="161616" w:themeColor="background1" w:themeShade="1A"/>
          <w:sz w:val="21"/>
          <w:szCs w:val="21"/>
          <w:lang w:val="es-ES_tradnl"/>
        </w:rPr>
        <w:t>[…]</w:t>
      </w:r>
    </w:p>
    <w:p w14:paraId="6A31A7F5" w14:textId="77777777" w:rsidR="00EB7070" w:rsidRPr="00265808" w:rsidRDefault="00EB7070" w:rsidP="00874FB6">
      <w:pPr>
        <w:ind w:left="709" w:right="709"/>
        <w:jc w:val="both"/>
        <w:rPr>
          <w:rFonts w:ascii="Arial" w:hAnsi="Arial" w:cs="Arial"/>
          <w:color w:val="161616" w:themeColor="background1" w:themeShade="1A"/>
          <w:sz w:val="21"/>
          <w:szCs w:val="21"/>
          <w:lang w:val="es-ES_tradnl"/>
        </w:rPr>
      </w:pPr>
    </w:p>
    <w:p w14:paraId="122CAC42" w14:textId="08D43D41" w:rsidR="00074D1E" w:rsidRPr="00691AAC" w:rsidRDefault="00265808" w:rsidP="00874FB6">
      <w:pPr>
        <w:ind w:left="709" w:right="709"/>
        <w:jc w:val="both"/>
        <w:rPr>
          <w:rFonts w:ascii="Arial" w:hAnsi="Arial" w:cs="Arial"/>
          <w:color w:val="161616" w:themeColor="background1" w:themeShade="1A"/>
          <w:sz w:val="21"/>
          <w:szCs w:val="21"/>
          <w:lang w:val="es-ES_tradnl"/>
        </w:rPr>
      </w:pPr>
      <w:r w:rsidRPr="00265808">
        <w:rPr>
          <w:rFonts w:ascii="Arial" w:hAnsi="Arial" w:cs="Arial"/>
          <w:color w:val="161616" w:themeColor="background1" w:themeShade="1A"/>
          <w:sz w:val="21"/>
          <w:szCs w:val="21"/>
          <w:lang w:val="es-ES_tradnl"/>
        </w:rPr>
        <w:t xml:space="preserve">Normalmente, las entidades estatales solicitan que el amparo de estabilidad sea de 5 años para estas categorías. Entendemos que el mercado asegurador </w:t>
      </w:r>
      <w:r w:rsidRPr="00265808">
        <w:rPr>
          <w:rFonts w:ascii="Arial" w:hAnsi="Arial" w:cs="Arial"/>
          <w:color w:val="161616" w:themeColor="background1" w:themeShade="1A"/>
          <w:sz w:val="21"/>
          <w:szCs w:val="21"/>
          <w:lang w:val="es-ES_tradnl"/>
        </w:rPr>
        <w:lastRenderedPageBreak/>
        <w:t>al día de hoy no está otorgando pólizas de estabilidad por un periodo superior a 3 años, en esta medida, agradecemos a COLOMBIA COMPRA EFICIENTE aclarar cuál debe ser la vigencia para el amparo de estabilidad de cada uno de estos tres conceptos, a saber: mejoramiento, mantenimiento y rehabilitación. Esto, con el fin que las entidades estatales puedan incorporar este concepto en la elaboración de pliegos y, al momento de licitar, todos los oferentes puedan contar con la debida póliza de seriedad y, en consecuencia, las correspondientes pólizas contractuales en caso de resultar adjudicatarios […]</w:t>
      </w:r>
      <w:r w:rsidR="00074D1E" w:rsidRPr="00691AAC">
        <w:rPr>
          <w:rFonts w:ascii="Arial" w:hAnsi="Arial" w:cs="Arial"/>
          <w:color w:val="161616" w:themeColor="background1" w:themeShade="1A"/>
          <w:sz w:val="21"/>
          <w:szCs w:val="21"/>
          <w:lang w:val="es-ES_tradnl"/>
        </w:rPr>
        <w:t>»</w:t>
      </w:r>
      <w:r w:rsidR="00DD5A52" w:rsidRPr="00691AAC">
        <w:rPr>
          <w:rFonts w:ascii="Arial" w:hAnsi="Arial" w:cs="Arial"/>
          <w:color w:val="161616" w:themeColor="background1" w:themeShade="1A"/>
          <w:sz w:val="21"/>
          <w:szCs w:val="21"/>
          <w:lang w:val="es-ES_tradnl"/>
        </w:rPr>
        <w:t>.</w:t>
      </w:r>
    </w:p>
    <w:p w14:paraId="22C81704" w14:textId="2F0AB490" w:rsidR="00FB5E3B" w:rsidRPr="00691AAC" w:rsidRDefault="00E54365" w:rsidP="00573BED">
      <w:pPr>
        <w:spacing w:before="240"/>
        <w:rPr>
          <w:rFonts w:ascii="Arial" w:hAnsi="Arial" w:cs="Arial"/>
          <w:b/>
          <w:color w:val="161616" w:themeColor="background1" w:themeShade="1A"/>
          <w:sz w:val="22"/>
          <w:szCs w:val="22"/>
          <w:lang w:val="es-ES_tradnl"/>
        </w:rPr>
      </w:pPr>
      <w:r w:rsidRPr="00691AAC">
        <w:rPr>
          <w:rFonts w:ascii="Arial" w:hAnsi="Arial" w:cs="Arial"/>
          <w:b/>
          <w:color w:val="161616" w:themeColor="background1" w:themeShade="1A"/>
          <w:sz w:val="22"/>
          <w:szCs w:val="22"/>
          <w:lang w:val="es-ES_tradnl"/>
        </w:rPr>
        <w:t xml:space="preserve">2. Consideraciones </w:t>
      </w:r>
    </w:p>
    <w:p w14:paraId="52BD7831" w14:textId="08F4306D" w:rsidR="00197AA4" w:rsidRDefault="00197AA4" w:rsidP="00573BED">
      <w:pPr>
        <w:tabs>
          <w:tab w:val="left" w:pos="426"/>
        </w:tabs>
        <w:spacing w:before="240" w:line="276" w:lineRule="auto"/>
        <w:jc w:val="both"/>
        <w:rPr>
          <w:rFonts w:ascii="Arial" w:hAnsi="Arial" w:cs="Arial"/>
          <w:sz w:val="22"/>
        </w:rPr>
      </w:pPr>
      <w:bookmarkStart w:id="6" w:name="_Hlk75783800"/>
      <w:r w:rsidRPr="00197AA4">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5464B8">
        <w:rPr>
          <w:rFonts w:ascii="Arial" w:hAnsi="Arial" w:cs="Arial"/>
          <w:sz w:val="22"/>
        </w:rPr>
        <w:t xml:space="preserve"> </w:t>
      </w:r>
      <w:r w:rsidRPr="00197AA4">
        <w:rPr>
          <w:rFonts w:ascii="Arial" w:hAnsi="Arial" w:cs="Arial"/>
          <w:sz w:val="22"/>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49B8CBE3" w14:textId="384D4F9E" w:rsidR="00197AA4" w:rsidRDefault="00197AA4" w:rsidP="00874FB6">
      <w:pPr>
        <w:tabs>
          <w:tab w:val="left" w:pos="426"/>
        </w:tabs>
        <w:spacing w:before="120" w:line="276" w:lineRule="auto"/>
        <w:jc w:val="both"/>
        <w:rPr>
          <w:rFonts w:ascii="Arial" w:hAnsi="Arial" w:cs="Arial"/>
          <w:sz w:val="22"/>
        </w:rPr>
      </w:pPr>
      <w:r>
        <w:rPr>
          <w:rFonts w:ascii="Arial" w:hAnsi="Arial" w:cs="Arial"/>
          <w:sz w:val="22"/>
        </w:rPr>
        <w:tab/>
      </w:r>
      <w:r>
        <w:rPr>
          <w:rFonts w:ascii="Arial" w:hAnsi="Arial" w:cs="Arial"/>
          <w:sz w:val="22"/>
        </w:rPr>
        <w:tab/>
      </w:r>
      <w:r w:rsidRPr="00197AA4">
        <w:rPr>
          <w:rFonts w:ascii="Arial" w:hAnsi="Arial" w:cs="Arial"/>
          <w:sz w:val="22"/>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5172A65F" w14:textId="384AF5B8" w:rsidR="00197AA4" w:rsidRDefault="00197AA4" w:rsidP="00874FB6">
      <w:pPr>
        <w:tabs>
          <w:tab w:val="left" w:pos="426"/>
        </w:tabs>
        <w:spacing w:before="120" w:line="276" w:lineRule="auto"/>
        <w:jc w:val="both"/>
        <w:rPr>
          <w:rFonts w:ascii="Arial" w:hAnsi="Arial" w:cs="Arial"/>
          <w:sz w:val="22"/>
        </w:rPr>
      </w:pPr>
      <w:r>
        <w:rPr>
          <w:rFonts w:ascii="Arial" w:hAnsi="Arial" w:cs="Arial"/>
          <w:sz w:val="22"/>
        </w:rPr>
        <w:tab/>
      </w:r>
      <w:r w:rsidR="007F1C5A">
        <w:rPr>
          <w:rFonts w:ascii="Arial" w:hAnsi="Arial" w:cs="Arial"/>
          <w:sz w:val="22"/>
        </w:rPr>
        <w:tab/>
      </w:r>
      <w:r w:rsidRPr="00197AA4">
        <w:rPr>
          <w:rFonts w:ascii="Arial" w:hAnsi="Arial" w:cs="Arial"/>
          <w:sz w:val="22"/>
        </w:rPr>
        <w:t>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 i) características y objeto del contrato de obra pública, ii) árboles y plantas como inmuebles por adhesión y iii) ámbito de aplicación de los documentos tipo.</w:t>
      </w:r>
    </w:p>
    <w:p w14:paraId="0D66D14D" w14:textId="1857FA37" w:rsidR="00565AA1" w:rsidRDefault="00197AA4" w:rsidP="00874FB6">
      <w:pPr>
        <w:spacing w:before="120" w:line="276" w:lineRule="auto"/>
        <w:ind w:firstLine="708"/>
        <w:jc w:val="both"/>
        <w:rPr>
          <w:rFonts w:ascii="Arial" w:hAnsi="Arial" w:cs="Arial"/>
          <w:sz w:val="22"/>
        </w:rPr>
      </w:pPr>
      <w:r w:rsidRPr="00197AA4">
        <w:rPr>
          <w:rFonts w:ascii="Arial" w:hAnsi="Arial" w:cs="Arial"/>
          <w:sz w:val="22"/>
        </w:rPr>
        <w:t xml:space="preserve">La Agencia Nacional de Contratación Pública – Colombia Compra Eficiente en los conceptos C-294 del 18 de mayo de 2020, C-276 y C-277 del 26 de mayo de 2020; C–380 y C–381 del 1 de junio de 2020; C-404 del 12 de junio de 2020, C-352 del 30 de junio de 2020, C-430 del 7 de julio de 2020, C-481 del 27 de julio de 2020, C-502 del 29 de julio de </w:t>
      </w:r>
      <w:r w:rsidRPr="00197AA4">
        <w:rPr>
          <w:rFonts w:ascii="Arial" w:hAnsi="Arial" w:cs="Arial"/>
          <w:sz w:val="22"/>
        </w:rPr>
        <w:lastRenderedPageBreak/>
        <w:t>2020, C-500 del 3 de agosto de 2020, C-563 del 26 de agosto de 2020, C-570 del 27 de agosto de 2020, C-713 del 2 de diciembre de 2020, C-744 del 22 de diciembre de 2020, analizó el fundamento normativo de los pliegos de condiciones tipo en la contratación estatal. De otra parte, en los conceptos 4201913000008014 del 24 de diciembre de 2019, C-225 del 14 de abril de 2020, y C-332 del 26 de mayo de 2020, se estudiaron las características y objeto del contrato de obra pública. Las tesis desarrolladas en estos conceptos se exponen a continuación</w:t>
      </w:r>
      <w:r>
        <w:rPr>
          <w:rFonts w:ascii="Arial" w:hAnsi="Arial" w:cs="Arial"/>
          <w:sz w:val="22"/>
        </w:rPr>
        <w:t>.</w:t>
      </w:r>
    </w:p>
    <w:p w14:paraId="2A44F3F0" w14:textId="6F8B5396" w:rsidR="00313871" w:rsidRDefault="00313871" w:rsidP="00573BED">
      <w:pPr>
        <w:spacing w:before="240" w:line="276" w:lineRule="auto"/>
        <w:jc w:val="both"/>
        <w:rPr>
          <w:rFonts w:ascii="Arial" w:hAnsi="Arial" w:cs="Arial"/>
          <w:b/>
          <w:sz w:val="22"/>
          <w:lang w:val="es-ES_tradnl" w:eastAsia="es-CO"/>
        </w:rPr>
      </w:pPr>
      <w:bookmarkStart w:id="7" w:name="_Hlk99720150"/>
      <w:r>
        <w:rPr>
          <w:rFonts w:ascii="Arial" w:hAnsi="Arial" w:cs="Arial"/>
          <w:b/>
          <w:sz w:val="22"/>
          <w:lang w:val="es-ES_tradnl" w:eastAsia="es-CO"/>
        </w:rPr>
        <w:t>2.</w:t>
      </w:r>
      <w:r w:rsidR="00383892">
        <w:rPr>
          <w:rFonts w:ascii="Arial" w:hAnsi="Arial" w:cs="Arial"/>
          <w:b/>
          <w:sz w:val="22"/>
          <w:lang w:val="es-ES_tradnl" w:eastAsia="es-CO"/>
        </w:rPr>
        <w:t>1</w:t>
      </w:r>
      <w:r>
        <w:rPr>
          <w:rFonts w:ascii="Arial" w:hAnsi="Arial" w:cs="Arial"/>
          <w:b/>
          <w:sz w:val="22"/>
          <w:lang w:val="es-ES_tradnl" w:eastAsia="es-CO"/>
        </w:rPr>
        <w:t>.</w:t>
      </w:r>
      <w:r w:rsidR="008D6BA1">
        <w:rPr>
          <w:rFonts w:ascii="Arial" w:hAnsi="Arial" w:cs="Arial"/>
          <w:b/>
          <w:sz w:val="22"/>
          <w:lang w:val="es-ES_tradnl" w:eastAsia="es-CO"/>
        </w:rPr>
        <w:t xml:space="preserve"> Suficiencia de la g</w:t>
      </w:r>
      <w:r w:rsidRPr="00313871">
        <w:rPr>
          <w:rFonts w:ascii="Arial" w:hAnsi="Arial" w:cs="Arial"/>
          <w:b/>
          <w:sz w:val="22"/>
          <w:lang w:val="es-ES_tradnl" w:eastAsia="es-CO"/>
        </w:rPr>
        <w:t>arantía de estabilidad y calidad de la obra</w:t>
      </w:r>
      <w:r w:rsidR="008D6BA1">
        <w:rPr>
          <w:rFonts w:ascii="Arial" w:hAnsi="Arial" w:cs="Arial"/>
          <w:b/>
          <w:sz w:val="22"/>
          <w:lang w:val="es-ES_tradnl" w:eastAsia="es-CO"/>
        </w:rPr>
        <w:t xml:space="preserve">. Posibilidad de </w:t>
      </w:r>
      <w:r w:rsidR="005034F9">
        <w:rPr>
          <w:rFonts w:ascii="Arial" w:hAnsi="Arial" w:cs="Arial"/>
          <w:b/>
          <w:sz w:val="22"/>
          <w:lang w:val="es-ES_tradnl" w:eastAsia="es-CO"/>
        </w:rPr>
        <w:t xml:space="preserve">constituir el amparo por un término inferior a cinco (5) años. </w:t>
      </w:r>
      <w:r w:rsidRPr="00313871">
        <w:rPr>
          <w:rFonts w:ascii="Arial" w:hAnsi="Arial" w:cs="Arial"/>
          <w:b/>
          <w:sz w:val="22"/>
          <w:lang w:val="es-ES_tradnl" w:eastAsia="es-CO"/>
        </w:rPr>
        <w:t xml:space="preserve"> </w:t>
      </w:r>
    </w:p>
    <w:p w14:paraId="311384D9" w14:textId="77777777" w:rsidR="008F232B" w:rsidRPr="00313871" w:rsidRDefault="008F232B" w:rsidP="00874FB6">
      <w:pPr>
        <w:spacing w:line="276" w:lineRule="auto"/>
        <w:jc w:val="both"/>
        <w:rPr>
          <w:rFonts w:ascii="Arial" w:hAnsi="Arial" w:cs="Arial"/>
          <w:b/>
          <w:sz w:val="22"/>
          <w:lang w:val="es-ES_tradnl" w:eastAsia="es-CO"/>
        </w:rPr>
      </w:pPr>
    </w:p>
    <w:p w14:paraId="05953AA4" w14:textId="77777777" w:rsidR="002E448A" w:rsidRPr="002E448A" w:rsidRDefault="002E448A" w:rsidP="000B4121">
      <w:pPr>
        <w:spacing w:line="276" w:lineRule="auto"/>
        <w:ind w:firstLine="708"/>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 xml:space="preserve">La Guía de Garantías en procesos de Contratación señala que </w:t>
      </w:r>
      <w:r w:rsidRPr="002E448A">
        <w:rPr>
          <w:rFonts w:ascii="Arial" w:hAnsi="Arial" w:cs="Arial"/>
          <w:bCs/>
          <w:color w:val="000000"/>
          <w:sz w:val="22"/>
          <w:szCs w:val="22"/>
          <w:lang w:val="es-ES_tradnl" w:eastAsia="es-MX"/>
        </w:rPr>
        <w:t>«Las garantías son instrumentos de cobertura de algunos Riesgos comunes en Procesos de Contratación»</w:t>
      </w:r>
      <w:r w:rsidRPr="002E448A">
        <w:rPr>
          <w:rFonts w:ascii="Arial" w:hAnsi="Arial" w:cs="Arial"/>
          <w:bCs/>
          <w:color w:val="000000"/>
          <w:sz w:val="21"/>
          <w:szCs w:val="21"/>
          <w:vertAlign w:val="superscript"/>
          <w:lang w:val="es-ES_tradnl" w:eastAsia="es-MX"/>
        </w:rPr>
        <w:footnoteReference w:id="1"/>
      </w:r>
      <w:r w:rsidRPr="002E448A">
        <w:rPr>
          <w:rFonts w:ascii="Arial" w:hAnsi="Arial" w:cs="Arial"/>
          <w:bCs/>
          <w:color w:val="000000"/>
          <w:sz w:val="21"/>
          <w:szCs w:val="21"/>
          <w:lang w:val="es-ES_tradnl" w:eastAsia="es-MX"/>
        </w:rPr>
        <w:t xml:space="preserve">. </w:t>
      </w:r>
      <w:r w:rsidRPr="002E448A">
        <w:rPr>
          <w:rFonts w:ascii="Arial" w:hAnsi="Arial" w:cs="Arial"/>
          <w:bCs/>
          <w:color w:val="000000"/>
          <w:sz w:val="22"/>
          <w:lang w:val="es-ES_tradnl" w:eastAsia="es-MX"/>
        </w:rPr>
        <w:t xml:space="preserve"> En relación con la garantía de cumplimiento, la Agencia Nacional de Contratación Pública ha sostenido lo siguiente:</w:t>
      </w:r>
    </w:p>
    <w:p w14:paraId="48F76B43" w14:textId="77777777" w:rsidR="002E448A" w:rsidRPr="002E448A" w:rsidRDefault="002E448A" w:rsidP="002E448A">
      <w:pPr>
        <w:ind w:left="709" w:right="758"/>
        <w:jc w:val="both"/>
        <w:rPr>
          <w:rFonts w:ascii="Arial" w:hAnsi="Arial" w:cs="Arial"/>
          <w:bCs/>
          <w:color w:val="000000"/>
          <w:sz w:val="21"/>
          <w:szCs w:val="21"/>
          <w:lang w:val="es-ES_tradnl" w:eastAsia="es-MX"/>
        </w:rPr>
      </w:pPr>
    </w:p>
    <w:p w14:paraId="56DAC055" w14:textId="77777777" w:rsidR="002E448A" w:rsidRPr="002E448A" w:rsidRDefault="002E448A" w:rsidP="002E448A">
      <w:pPr>
        <w:ind w:left="709" w:right="758"/>
        <w:jc w:val="both"/>
        <w:rPr>
          <w:rFonts w:ascii="Arial" w:hAnsi="Arial" w:cs="Arial"/>
          <w:bCs/>
          <w:color w:val="000000"/>
          <w:sz w:val="21"/>
          <w:szCs w:val="21"/>
          <w:lang w:val="es-ES_tradnl" w:eastAsia="es-MX"/>
        </w:rPr>
      </w:pPr>
      <w:r w:rsidRPr="002E448A">
        <w:rPr>
          <w:rFonts w:ascii="Arial" w:hAnsi="Arial" w:cs="Arial"/>
          <w:bCs/>
          <w:color w:val="000000"/>
          <w:sz w:val="21"/>
          <w:szCs w:val="21"/>
          <w:lang w:val="es-ES_tradnl" w:eastAsia="es-MX"/>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2111524D" w14:textId="77777777" w:rsidR="002E448A" w:rsidRPr="002E448A" w:rsidRDefault="002E448A" w:rsidP="002E448A">
      <w:pPr>
        <w:ind w:left="709" w:right="758"/>
        <w:jc w:val="both"/>
        <w:rPr>
          <w:rFonts w:ascii="Arial" w:hAnsi="Arial" w:cs="Arial"/>
          <w:bCs/>
          <w:color w:val="000000"/>
          <w:sz w:val="21"/>
          <w:szCs w:val="21"/>
          <w:lang w:val="es-ES_tradnl" w:eastAsia="es-MX"/>
        </w:rPr>
      </w:pPr>
    </w:p>
    <w:p w14:paraId="308F0A26" w14:textId="77777777" w:rsidR="002E448A" w:rsidRPr="002E448A" w:rsidRDefault="002E448A" w:rsidP="002E448A">
      <w:pPr>
        <w:ind w:left="709" w:right="758"/>
        <w:jc w:val="both"/>
        <w:rPr>
          <w:rFonts w:ascii="Arial" w:hAnsi="Arial" w:cs="Arial"/>
          <w:bCs/>
          <w:color w:val="000000"/>
          <w:sz w:val="21"/>
          <w:szCs w:val="21"/>
          <w:lang w:val="es-ES_tradnl" w:eastAsia="es-MX"/>
        </w:rPr>
      </w:pPr>
      <w:r w:rsidRPr="002E448A">
        <w:rPr>
          <w:rFonts w:ascii="Arial" w:hAnsi="Arial" w:cs="Arial"/>
          <w:bCs/>
          <w:color w:val="000000"/>
          <w:sz w:val="21"/>
          <w:szCs w:val="21"/>
          <w:lang w:val="es-ES_tradnl" w:eastAsia="es-MX"/>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2E448A">
        <w:rPr>
          <w:rFonts w:ascii="Arial" w:hAnsi="Arial" w:cs="Arial"/>
          <w:bCs/>
          <w:color w:val="000000"/>
          <w:sz w:val="21"/>
          <w:szCs w:val="21"/>
          <w:vertAlign w:val="superscript"/>
          <w:lang w:val="es-ES_tradnl" w:eastAsia="es-MX"/>
        </w:rPr>
        <w:footnoteReference w:id="2"/>
      </w:r>
      <w:r w:rsidRPr="002E448A">
        <w:rPr>
          <w:rFonts w:ascii="Arial" w:eastAsia="Calibri" w:hAnsi="Arial" w:cs="Arial"/>
          <w:color w:val="000000"/>
          <w:sz w:val="21"/>
          <w:szCs w:val="21"/>
          <w:lang w:eastAsia="es-MX"/>
        </w:rPr>
        <w:t>.</w:t>
      </w:r>
    </w:p>
    <w:p w14:paraId="7A8513CA" w14:textId="77777777" w:rsidR="002E448A" w:rsidRPr="002E448A" w:rsidRDefault="002E448A" w:rsidP="002E448A">
      <w:pPr>
        <w:spacing w:line="276" w:lineRule="auto"/>
        <w:jc w:val="both"/>
        <w:rPr>
          <w:rFonts w:ascii="Arial" w:hAnsi="Arial" w:cs="Arial"/>
          <w:bCs/>
          <w:color w:val="000000"/>
          <w:sz w:val="22"/>
          <w:lang w:val="es-ES_tradnl" w:eastAsia="es-MX"/>
        </w:rPr>
      </w:pPr>
    </w:p>
    <w:p w14:paraId="5E55313B" w14:textId="77777777" w:rsidR="002E448A" w:rsidRPr="002E448A" w:rsidRDefault="002E448A" w:rsidP="002E448A">
      <w:pPr>
        <w:spacing w:after="120" w:line="276" w:lineRule="auto"/>
        <w:ind w:firstLine="709"/>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054E803A" w14:textId="77777777" w:rsidR="002E448A" w:rsidRPr="002E448A" w:rsidRDefault="002E448A" w:rsidP="002E448A">
      <w:pPr>
        <w:spacing w:after="120" w:line="276" w:lineRule="auto"/>
        <w:ind w:firstLine="709"/>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lastRenderedPageBreak/>
        <w:t>En efecto, según el 2.2.1.2.3.1.7. del Decreto 1082 de 2015</w:t>
      </w:r>
      <w:r w:rsidRPr="002E448A">
        <w:rPr>
          <w:rFonts w:ascii="Arial" w:hAnsi="Arial" w:cs="Arial"/>
          <w:bCs/>
          <w:color w:val="000000"/>
          <w:sz w:val="22"/>
          <w:vertAlign w:val="superscript"/>
          <w:lang w:val="es-ES_tradnl" w:eastAsia="es-MX"/>
        </w:rPr>
        <w:footnoteReference w:id="3"/>
      </w:r>
      <w:r w:rsidRPr="002E448A">
        <w:rPr>
          <w:rFonts w:ascii="Arial" w:hAnsi="Arial" w:cs="Arial"/>
          <w:bCs/>
          <w:color w:val="000000"/>
          <w:sz w:val="22"/>
          <w:lang w:val="es-ES_tradnl" w:eastAsia="es-MX"/>
        </w:rPr>
        <w:t>,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entre otros.</w:t>
      </w:r>
    </w:p>
    <w:p w14:paraId="2F99D1BE" w14:textId="1BDAED00" w:rsidR="002E448A" w:rsidRPr="002E448A" w:rsidRDefault="002E448A" w:rsidP="002E448A">
      <w:pPr>
        <w:spacing w:after="120" w:line="276" w:lineRule="auto"/>
        <w:ind w:firstLine="709"/>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 xml:space="preserve">Por tanto, el amparo de cumplimiento, que constituye el objeto central de este concepto, es uno de los múltiples amparos que conforman la garantía única de cumplimiento. Al tenor de lo preceptuado en el artículo 2.2.1.2.3.1.7. </w:t>
      </w:r>
      <w:r w:rsidR="00A757C4" w:rsidRPr="002E448A">
        <w:rPr>
          <w:rFonts w:ascii="Arial" w:hAnsi="Arial" w:cs="Arial"/>
          <w:bCs/>
          <w:i/>
          <w:iCs/>
          <w:color w:val="000000"/>
          <w:sz w:val="22"/>
          <w:lang w:val="es-ES_tradnl" w:eastAsia="es-MX"/>
        </w:rPr>
        <w:t>ibidem</w:t>
      </w:r>
      <w:r w:rsidRPr="002E448A">
        <w:rPr>
          <w:rFonts w:ascii="Arial" w:hAnsi="Arial" w:cs="Arial"/>
          <w:bCs/>
          <w:color w:val="000000"/>
          <w:sz w:val="22"/>
          <w:lang w:val="es-ES_tradnl" w:eastAsia="es-MX"/>
        </w:rPr>
        <w:t xml:space="preserve"> la garantía de cumplimiento debe proteger a la entidad de los perjuicios que se puedan 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w:t>
      </w:r>
      <w:r w:rsidRPr="002E448A">
        <w:rPr>
          <w:rFonts w:ascii="Arial" w:hAnsi="Arial" w:cs="Arial"/>
          <w:bCs/>
          <w:color w:val="000000"/>
          <w:sz w:val="22"/>
          <w:lang w:val="es-ES_tradnl" w:eastAsia="es-MX"/>
        </w:rPr>
        <w:lastRenderedPageBreak/>
        <w:t xml:space="preserve">puedan concretarse durante la etapa de ejecución del contrato y, más claramente, aquellos derivados de incumplimientos o conductas imputables al contratista. </w:t>
      </w:r>
    </w:p>
    <w:p w14:paraId="3B1020FE" w14:textId="77777777" w:rsidR="002E448A" w:rsidRPr="002E448A" w:rsidRDefault="002E448A" w:rsidP="002E448A">
      <w:pPr>
        <w:spacing w:after="120" w:line="276" w:lineRule="auto"/>
        <w:ind w:firstLine="709"/>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 xml:space="preserve">De otra parte, en relación con la vigencia de las garantías, el artículo 2.2.1.2.3.1.12. del citado Decreto señala expresamente que «[l]a garantía de cumplimiento del contrato debe tener una vigencia mínima hasta la liquidación del contrato». </w:t>
      </w:r>
    </w:p>
    <w:p w14:paraId="74CE883D" w14:textId="25420973" w:rsidR="002E448A" w:rsidRPr="002E448A" w:rsidRDefault="002E448A" w:rsidP="002E448A">
      <w:pPr>
        <w:spacing w:after="120" w:line="276" w:lineRule="auto"/>
        <w:ind w:firstLine="709"/>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 xml:space="preserve">Lo primero que debe ponerse de presente es que esta disposición no se refiere a la garantía única de cumplimiento en su totalidad, sino exclusivamente al amparo de cumplimiento, al que se viene haciendo referencia, lo cual explica que los artículos anteriores y subsiguientes establezcan términos diferentes para los demás amparos que conforman la garantía única de cumplimiento. Así, por ejemplo, el artículo 2.2.1.2.3.1.13 </w:t>
      </w:r>
      <w:r w:rsidR="00A757C4" w:rsidRPr="002E448A">
        <w:rPr>
          <w:rFonts w:ascii="Arial" w:hAnsi="Arial" w:cs="Arial"/>
          <w:bCs/>
          <w:i/>
          <w:iCs/>
          <w:color w:val="000000"/>
          <w:sz w:val="22"/>
          <w:lang w:val="es-ES_tradnl" w:eastAsia="es-MX"/>
        </w:rPr>
        <w:t>Ibidem</w:t>
      </w:r>
      <w:r w:rsidRPr="002E448A">
        <w:rPr>
          <w:rFonts w:ascii="Arial" w:hAnsi="Arial" w:cs="Arial"/>
          <w:bCs/>
          <w:color w:val="000000"/>
          <w:sz w:val="22"/>
          <w:lang w:val="es-ES_tradnl" w:eastAsia="es-MX"/>
        </w:rPr>
        <w:t xml:space="preserve"> prescribe que la garantía de pago de salarios y prestaciones sociales debe estar vigente por el plazo del contrato y 3 años adicionales y, a su vez, el artículo 2.2.1.2.3.1.14 establece un término no inferior a 5 años para la garantía de estabilidad de la obra. </w:t>
      </w:r>
    </w:p>
    <w:p w14:paraId="324D6F71" w14:textId="77777777" w:rsidR="002E448A" w:rsidRPr="002E448A" w:rsidRDefault="002E448A" w:rsidP="002E448A">
      <w:pPr>
        <w:spacing w:after="120" w:line="276" w:lineRule="auto"/>
        <w:ind w:firstLine="709"/>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Al respecto, tal como se indicó en Concepto C-479 de esta Agencia, es preciso distinguir dos conceptos jurídicos relevantes para comprender el alcance del artículo 2.2.1.2.3.1.12., esto es, de un lado, la vigencia de la garantía y, de otro, el plazo para su reclamación. Esta distinción es importante, pues para hacer una reclamación válida al garante no es indispensable que la garantía se encuentre vigente, sino que lo haya estado en el momento de la concreción de riesgo, como se pasa a explicar.</w:t>
      </w:r>
    </w:p>
    <w:p w14:paraId="5FB90F73" w14:textId="77777777" w:rsidR="002E448A" w:rsidRPr="002E448A" w:rsidRDefault="002E448A" w:rsidP="002E448A">
      <w:pPr>
        <w:spacing w:line="276" w:lineRule="auto"/>
        <w:ind w:firstLine="709"/>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 xml:space="preserve">En relación con este aspecto, el artículo 1047 del Código de Comercio establece que la póliza debe expresar, entre otros, «ii) la vigencia del contrato, con indicación de las fechas y horas de iniciación y vencimiento, o el modo de determinar unas y otras». El Consejo de Estado se pronunció sobre esta disposición en los siguientes términos: </w:t>
      </w:r>
    </w:p>
    <w:p w14:paraId="5992A0F8" w14:textId="77777777" w:rsidR="002E448A" w:rsidRPr="002E448A" w:rsidRDefault="002E448A" w:rsidP="002E448A">
      <w:pPr>
        <w:ind w:left="709" w:right="758"/>
        <w:jc w:val="both"/>
        <w:rPr>
          <w:rFonts w:ascii="Arial" w:hAnsi="Arial" w:cs="Arial"/>
          <w:bCs/>
          <w:color w:val="000000"/>
          <w:sz w:val="21"/>
          <w:szCs w:val="21"/>
          <w:lang w:val="es-ES_tradnl" w:eastAsia="es-MX"/>
        </w:rPr>
      </w:pPr>
    </w:p>
    <w:p w14:paraId="69361D0A" w14:textId="77777777" w:rsidR="002E448A" w:rsidRPr="002E448A" w:rsidRDefault="002E448A" w:rsidP="002E448A">
      <w:pPr>
        <w:ind w:left="709" w:right="758"/>
        <w:jc w:val="both"/>
        <w:rPr>
          <w:rFonts w:ascii="Arial" w:hAnsi="Arial" w:cs="Arial"/>
          <w:bCs/>
          <w:color w:val="000000"/>
          <w:sz w:val="21"/>
          <w:szCs w:val="21"/>
          <w:lang w:val="es-ES_tradnl" w:eastAsia="es-MX"/>
        </w:rPr>
      </w:pPr>
      <w:r w:rsidRPr="002E448A">
        <w:rPr>
          <w:rFonts w:ascii="Arial" w:hAnsi="Arial" w:cs="Arial"/>
          <w:bCs/>
          <w:color w:val="000000"/>
          <w:sz w:val="21"/>
          <w:szCs w:val="21"/>
          <w:lang w:val="es-ES_tradnl" w:eastAsia="es-MX"/>
        </w:rPr>
        <w:t>Dada la naturaleza de la obligación que contrae el asegurador,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w:t>
      </w:r>
      <w:r w:rsidRPr="002E448A">
        <w:rPr>
          <w:rFonts w:ascii="Arial" w:hAnsi="Arial" w:cs="Arial"/>
          <w:bCs/>
          <w:color w:val="000000"/>
          <w:sz w:val="21"/>
          <w:szCs w:val="21"/>
          <w:vertAlign w:val="superscript"/>
          <w:lang w:val="es-ES_tradnl" w:eastAsia="es-MX"/>
        </w:rPr>
        <w:footnoteReference w:id="4"/>
      </w:r>
      <w:r w:rsidRPr="002E448A">
        <w:rPr>
          <w:rFonts w:ascii="Arial" w:hAnsi="Arial" w:cs="Arial"/>
          <w:bCs/>
          <w:color w:val="000000"/>
          <w:sz w:val="21"/>
          <w:szCs w:val="21"/>
          <w:lang w:val="es-ES_tradnl" w:eastAsia="es-MX"/>
        </w:rPr>
        <w:t xml:space="preserve">. </w:t>
      </w:r>
    </w:p>
    <w:p w14:paraId="111F6FCA" w14:textId="581A2909" w:rsidR="003B37DF" w:rsidRDefault="002E448A" w:rsidP="00874FB6">
      <w:pPr>
        <w:spacing w:before="240" w:line="276" w:lineRule="auto"/>
        <w:ind w:firstLine="708"/>
        <w:jc w:val="both"/>
        <w:rPr>
          <w:rFonts w:ascii="Arial" w:hAnsi="Arial" w:cs="Arial"/>
          <w:bCs/>
          <w:color w:val="000000"/>
          <w:sz w:val="22"/>
          <w:lang w:val="es-ES_tradnl" w:eastAsia="es-MX"/>
        </w:rPr>
      </w:pPr>
      <w:r w:rsidRPr="002E448A">
        <w:rPr>
          <w:rFonts w:ascii="Arial" w:hAnsi="Arial" w:cs="Arial"/>
          <w:bCs/>
          <w:color w:val="000000"/>
          <w:sz w:val="22"/>
          <w:lang w:val="es-ES_tradnl" w:eastAsia="es-MX"/>
        </w:rPr>
        <w:t xml:space="preserve">Resulta claro que el riesgo que se traslada al garante solamente será aquel que se realice dentro del plazo de vigencia del contrato, es decir, si el siniestro se presenta dentro de esos límites temporales el garante deberá asumir sus consecuencias. Sin embargo, ello no puede confundirse con el término para hacer la reclamación de un riesgo ocurrido </w:t>
      </w:r>
      <w:r w:rsidRPr="002E448A">
        <w:rPr>
          <w:rFonts w:ascii="Arial" w:hAnsi="Arial" w:cs="Arial"/>
          <w:bCs/>
          <w:color w:val="000000"/>
          <w:sz w:val="22"/>
          <w:lang w:val="es-ES_tradnl" w:eastAsia="es-MX"/>
        </w:rPr>
        <w:lastRenderedPageBreak/>
        <w:t xml:space="preserve">durante el término de vigencia de la garantía, pues para ello resulta necesario recurrir a las normas sobre prescripción de las acciones. </w:t>
      </w:r>
    </w:p>
    <w:p w14:paraId="7265ECB5" w14:textId="77777777" w:rsidR="003B37DF" w:rsidRDefault="003B37DF" w:rsidP="003B37DF">
      <w:pPr>
        <w:spacing w:before="120" w:line="276" w:lineRule="auto"/>
        <w:ind w:firstLine="709"/>
        <w:jc w:val="both"/>
        <w:rPr>
          <w:rFonts w:ascii="Arial" w:eastAsia="Calibri" w:hAnsi="Arial" w:cs="Arial"/>
          <w:color w:val="000000" w:themeColor="text1"/>
          <w:sz w:val="22"/>
          <w:szCs w:val="22"/>
          <w:lang w:val="es-ES_tradnl" w:eastAsia="en-US"/>
        </w:rPr>
      </w:pPr>
      <w:r>
        <w:rPr>
          <w:rFonts w:ascii="Arial" w:eastAsia="Calibri" w:hAnsi="Arial" w:cs="Arial"/>
          <w:color w:val="000000" w:themeColor="text1"/>
          <w:sz w:val="22"/>
        </w:rPr>
        <w:t>T</w:t>
      </w:r>
      <w:r w:rsidRPr="00AD2808">
        <w:rPr>
          <w:rFonts w:ascii="Arial" w:eastAsia="Calibri" w:hAnsi="Arial" w:cs="Arial"/>
          <w:color w:val="000000" w:themeColor="text1"/>
          <w:sz w:val="22"/>
        </w:rPr>
        <w:t>ratándose del amparo de estabilidad y calidad de la obra, sin perjuicio de la</w:t>
      </w:r>
      <w:r w:rsidRPr="0017145A">
        <w:rPr>
          <w:rFonts w:ascii="Arial" w:eastAsia="Calibri" w:hAnsi="Arial" w:cs="Arial"/>
          <w:color w:val="000000" w:themeColor="text1"/>
          <w:sz w:val="22"/>
          <w:szCs w:val="22"/>
          <w:lang w:val="es-ES_tradnl" w:eastAsia="en-US"/>
        </w:rPr>
        <w:t xml:space="preserve"> garantía decenal de que trata el artículo 2060.3 del Código Civil</w:t>
      </w:r>
      <w:r w:rsidRPr="0017145A">
        <w:rPr>
          <w:rFonts w:ascii="Arial" w:eastAsia="Calibri" w:hAnsi="Arial" w:cs="Arial"/>
          <w:color w:val="000000" w:themeColor="text1"/>
          <w:sz w:val="22"/>
          <w:szCs w:val="22"/>
          <w:vertAlign w:val="superscript"/>
          <w:lang w:val="es-ES_tradnl" w:eastAsia="en-US"/>
        </w:rPr>
        <w:footnoteReference w:id="5"/>
      </w:r>
      <w:r w:rsidRPr="0017145A">
        <w:rPr>
          <w:rFonts w:ascii="Arial" w:eastAsia="Calibri" w:hAnsi="Arial" w:cs="Arial"/>
          <w:color w:val="000000" w:themeColor="text1"/>
          <w:sz w:val="22"/>
          <w:szCs w:val="22"/>
          <w:lang w:val="es-ES_tradnl" w:eastAsia="en-US"/>
        </w:rPr>
        <w:t>, el numeral 5 del artículo 2.2.1.3.1.7 del Decreto 1082 de 2015 dispone que «</w:t>
      </w:r>
      <w:r w:rsidRPr="0017145A">
        <w:rPr>
          <w:rFonts w:asciiTheme="minorHAnsi" w:eastAsiaTheme="minorHAnsi" w:hAnsiTheme="minorHAnsi" w:cstheme="minorBidi"/>
          <w:color w:val="000000" w:themeColor="text1"/>
          <w:szCs w:val="22"/>
          <w:lang w:val="es-MX" w:eastAsia="en-US"/>
        </w:rPr>
        <w:t xml:space="preserve">[…] </w:t>
      </w:r>
      <w:r w:rsidRPr="0017145A">
        <w:rPr>
          <w:rFonts w:ascii="Arial" w:eastAsia="Calibri" w:hAnsi="Arial" w:cs="Arial"/>
          <w:color w:val="000000" w:themeColor="text1"/>
          <w:sz w:val="22"/>
          <w:szCs w:val="22"/>
          <w:lang w:val="es-ES_tradnl" w:eastAsia="en-US"/>
        </w:rPr>
        <w:t xml:space="preserve">cubre a la Entidad Estatal de los perjuicios ocasionados por cualquier tipo de daño o deterioro, imputable al contratista, sufrido por la obra entregada a satisfacción». </w:t>
      </w:r>
    </w:p>
    <w:p w14:paraId="2B692357" w14:textId="06A8BB46" w:rsidR="00752F7D" w:rsidRDefault="003B37DF" w:rsidP="0059732D">
      <w:pPr>
        <w:spacing w:before="120" w:after="120" w:line="276" w:lineRule="auto"/>
        <w:ind w:firstLine="709"/>
        <w:jc w:val="both"/>
        <w:rPr>
          <w:rFonts w:ascii="Arial" w:eastAsia="Calibri" w:hAnsi="Arial" w:cs="Arial"/>
          <w:color w:val="000000" w:themeColor="text1"/>
          <w:sz w:val="22"/>
          <w:szCs w:val="22"/>
          <w:lang w:val="es-ES_tradnl" w:eastAsia="en-US"/>
        </w:rPr>
      </w:pPr>
      <w:r w:rsidRPr="0017145A">
        <w:rPr>
          <w:rFonts w:ascii="Arial" w:eastAsia="Calibri" w:hAnsi="Arial" w:cs="Arial"/>
          <w:color w:val="000000" w:themeColor="text1"/>
          <w:sz w:val="22"/>
          <w:szCs w:val="22"/>
          <w:lang w:val="es-ES_tradnl" w:eastAsia="en-US"/>
        </w:rPr>
        <w:t xml:space="preserve">Por otra parte, el artículo 2.2.1.2.3.1.14 prescribe que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agregando que «La Entidad Estatal puede aceptar que esta garantía tenga una vigencia inferior a cinco (5) años previa justificación técnica de un experto en la materia objeto del contrato». </w:t>
      </w:r>
      <w:r w:rsidR="00752F7D">
        <w:rPr>
          <w:rFonts w:ascii="Arial" w:eastAsia="Calibri" w:hAnsi="Arial" w:cs="Arial"/>
          <w:color w:val="000000" w:themeColor="text1"/>
          <w:sz w:val="22"/>
          <w:szCs w:val="22"/>
          <w:lang w:val="es-ES_tradnl" w:eastAsia="en-US"/>
        </w:rPr>
        <w:t>A tales efectos, la norma establece que «</w:t>
      </w:r>
      <w:r w:rsidR="00752F7D" w:rsidRPr="00752F7D">
        <w:rPr>
          <w:rFonts w:ascii="Arial" w:eastAsia="Calibri" w:hAnsi="Arial" w:cs="Arial"/>
          <w:color w:val="000000" w:themeColor="text1"/>
          <w:sz w:val="22"/>
          <w:szCs w:val="22"/>
          <w:lang w:val="es-ES_tradnl" w:eastAsia="en-US"/>
        </w:rPr>
        <w:t>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r w:rsidR="00752F7D">
        <w:rPr>
          <w:rFonts w:ascii="Arial" w:eastAsia="Calibri" w:hAnsi="Arial" w:cs="Arial"/>
          <w:color w:val="000000" w:themeColor="text1"/>
          <w:sz w:val="22"/>
          <w:szCs w:val="22"/>
          <w:lang w:val="es-ES_tradnl" w:eastAsia="en-US"/>
        </w:rPr>
        <w:t>»</w:t>
      </w:r>
      <w:r w:rsidR="00752F7D" w:rsidRPr="00752F7D">
        <w:rPr>
          <w:rFonts w:ascii="Arial" w:eastAsia="Calibri" w:hAnsi="Arial" w:cs="Arial"/>
          <w:color w:val="000000" w:themeColor="text1"/>
          <w:sz w:val="22"/>
          <w:szCs w:val="22"/>
          <w:lang w:val="es-ES_tradnl" w:eastAsia="en-US"/>
        </w:rPr>
        <w:t>.</w:t>
      </w:r>
    </w:p>
    <w:p w14:paraId="4366DAAE" w14:textId="66775CC7" w:rsidR="003B37DF" w:rsidRDefault="003B37DF" w:rsidP="00752F7D">
      <w:pPr>
        <w:spacing w:before="120" w:after="120" w:line="276" w:lineRule="auto"/>
        <w:ind w:firstLine="709"/>
        <w:jc w:val="both"/>
        <w:rPr>
          <w:rFonts w:ascii="Arial" w:hAnsi="Arial" w:cs="Arial"/>
          <w:color w:val="000000"/>
          <w:sz w:val="22"/>
          <w:szCs w:val="22"/>
        </w:rPr>
      </w:pPr>
      <w:r w:rsidRPr="0017145A">
        <w:rPr>
          <w:rFonts w:ascii="Arial" w:eastAsia="Calibri" w:hAnsi="Arial" w:cs="Arial"/>
          <w:color w:val="000000" w:themeColor="text1"/>
          <w:sz w:val="22"/>
          <w:szCs w:val="22"/>
          <w:lang w:val="es-ES_tradnl" w:eastAsia="en-US"/>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Pr>
          <w:rFonts w:ascii="Arial" w:eastAsia="Calibri" w:hAnsi="Arial" w:cs="Arial"/>
          <w:color w:val="000000" w:themeColor="text1"/>
          <w:sz w:val="22"/>
          <w:szCs w:val="22"/>
          <w:lang w:val="es-ES_tradnl" w:eastAsia="en-US"/>
        </w:rPr>
        <w:t>.</w:t>
      </w:r>
      <w:r w:rsidR="00752F7D">
        <w:rPr>
          <w:rFonts w:ascii="Arial" w:hAnsi="Arial" w:cs="Arial"/>
          <w:bCs/>
          <w:color w:val="000000"/>
          <w:sz w:val="22"/>
          <w:szCs w:val="22"/>
          <w:lang w:val="es-ES_tradnl" w:eastAsia="es-MX"/>
        </w:rPr>
        <w:t xml:space="preserve"> </w:t>
      </w:r>
      <w:r w:rsidR="0059732D" w:rsidRPr="00752F7D">
        <w:rPr>
          <w:rFonts w:ascii="Arial" w:hAnsi="Arial" w:cs="Arial"/>
          <w:bCs/>
          <w:color w:val="000000"/>
          <w:sz w:val="22"/>
          <w:szCs w:val="22"/>
          <w:lang w:val="es-ES_tradnl" w:eastAsia="es-MX"/>
        </w:rPr>
        <w:t xml:space="preserve"> </w:t>
      </w:r>
      <w:r w:rsidR="00752F7D">
        <w:rPr>
          <w:rFonts w:ascii="Arial" w:hAnsi="Arial" w:cs="Arial"/>
          <w:bCs/>
          <w:color w:val="000000"/>
          <w:sz w:val="22"/>
          <w:szCs w:val="22"/>
          <w:lang w:val="es-ES_tradnl" w:eastAsia="es-MX"/>
        </w:rPr>
        <w:t>L</w:t>
      </w:r>
      <w:r w:rsidR="0059732D" w:rsidRPr="00752F7D">
        <w:rPr>
          <w:rFonts w:ascii="Arial" w:hAnsi="Arial" w:cs="Arial"/>
          <w:bCs/>
          <w:color w:val="000000"/>
          <w:sz w:val="22"/>
          <w:szCs w:val="22"/>
          <w:lang w:val="es-ES_tradnl" w:eastAsia="es-MX"/>
        </w:rPr>
        <w:t xml:space="preserve">a posibilidad de tener como valido un amparo de estabilidad y calidad </w:t>
      </w:r>
      <w:r w:rsidR="00041A67" w:rsidRPr="00752F7D">
        <w:rPr>
          <w:rFonts w:ascii="Arial" w:hAnsi="Arial" w:cs="Arial"/>
          <w:bCs/>
          <w:color w:val="000000"/>
          <w:sz w:val="22"/>
          <w:szCs w:val="22"/>
          <w:lang w:val="es-ES_tradnl" w:eastAsia="es-MX"/>
        </w:rPr>
        <w:t xml:space="preserve">de la obra con una vigencia inferior a un año procede, de manera excepcional, </w:t>
      </w:r>
      <w:r w:rsidR="000770BE" w:rsidRPr="00752F7D">
        <w:rPr>
          <w:rFonts w:ascii="Arial" w:hAnsi="Arial" w:cs="Arial"/>
          <w:bCs/>
          <w:color w:val="000000"/>
          <w:sz w:val="22"/>
          <w:szCs w:val="22"/>
          <w:lang w:val="es-ES_tradnl" w:eastAsia="es-MX"/>
        </w:rPr>
        <w:t xml:space="preserve">previa justificación técnica en la materia objeto del contrato. En ese sentido, </w:t>
      </w:r>
      <w:r w:rsidR="00B26E9A" w:rsidRPr="00752F7D">
        <w:rPr>
          <w:rFonts w:ascii="Arial" w:hAnsi="Arial" w:cs="Arial"/>
          <w:bCs/>
          <w:color w:val="000000"/>
          <w:sz w:val="22"/>
          <w:szCs w:val="22"/>
          <w:lang w:val="es-ES_tradnl" w:eastAsia="es-MX"/>
        </w:rPr>
        <w:t xml:space="preserve">esta excepción a la regla general </w:t>
      </w:r>
      <w:r w:rsidR="00612880" w:rsidRPr="00752F7D">
        <w:rPr>
          <w:rFonts w:ascii="Arial" w:hAnsi="Arial" w:cs="Arial"/>
          <w:bCs/>
          <w:color w:val="000000"/>
          <w:sz w:val="22"/>
          <w:szCs w:val="22"/>
          <w:lang w:val="es-ES_tradnl" w:eastAsia="es-MX"/>
        </w:rPr>
        <w:t xml:space="preserve">opera </w:t>
      </w:r>
      <w:r w:rsidR="00752F7D">
        <w:rPr>
          <w:rFonts w:ascii="Arial" w:hAnsi="Arial" w:cs="Arial"/>
          <w:bCs/>
          <w:color w:val="000000"/>
          <w:sz w:val="22"/>
          <w:szCs w:val="22"/>
          <w:lang w:val="es-ES_tradnl" w:eastAsia="es-MX"/>
        </w:rPr>
        <w:t xml:space="preserve">en función de lo </w:t>
      </w:r>
      <w:r w:rsidR="00752F7D">
        <w:rPr>
          <w:rFonts w:ascii="Arial" w:hAnsi="Arial" w:cs="Arial"/>
          <w:bCs/>
          <w:color w:val="000000"/>
          <w:sz w:val="22"/>
          <w:szCs w:val="22"/>
          <w:lang w:val="es-ES_tradnl" w:eastAsia="es-MX"/>
        </w:rPr>
        <w:lastRenderedPageBreak/>
        <w:t xml:space="preserve">determinado </w:t>
      </w:r>
      <w:r w:rsidR="00612880" w:rsidRPr="00752F7D">
        <w:rPr>
          <w:rFonts w:ascii="Arial" w:hAnsi="Arial" w:cs="Arial"/>
          <w:bCs/>
          <w:color w:val="000000"/>
          <w:sz w:val="22"/>
          <w:szCs w:val="22"/>
          <w:lang w:val="es-ES_tradnl" w:eastAsia="es-MX"/>
        </w:rPr>
        <w:t xml:space="preserve">por el correspondiente </w:t>
      </w:r>
      <w:r w:rsidR="003175A4" w:rsidRPr="00752F7D">
        <w:rPr>
          <w:rFonts w:ascii="Arial" w:hAnsi="Arial" w:cs="Arial"/>
          <w:bCs/>
          <w:color w:val="000000"/>
          <w:sz w:val="22"/>
          <w:szCs w:val="22"/>
          <w:lang w:val="es-ES_tradnl" w:eastAsia="es-MX"/>
        </w:rPr>
        <w:t xml:space="preserve">experto en atención a </w:t>
      </w:r>
      <w:r w:rsidR="00752F7D" w:rsidRPr="00874FB6">
        <w:rPr>
          <w:rFonts w:ascii="Arial" w:hAnsi="Arial" w:cs="Arial"/>
          <w:color w:val="000000"/>
          <w:sz w:val="22"/>
          <w:szCs w:val="22"/>
        </w:rPr>
        <w:t>variables como el tipo de actividades que serán realizadas, la experticia técnica requerida, el alcance físico de las obras, entre otros.</w:t>
      </w:r>
    </w:p>
    <w:p w14:paraId="0C2F282C" w14:textId="31B66918" w:rsidR="000C6EC5" w:rsidRPr="007F5C7A" w:rsidRDefault="000C6EC5" w:rsidP="00752F7D">
      <w:pPr>
        <w:spacing w:before="120" w:after="120" w:line="276" w:lineRule="auto"/>
        <w:ind w:firstLine="709"/>
        <w:jc w:val="both"/>
        <w:rPr>
          <w:rFonts w:ascii="Arial" w:hAnsi="Arial" w:cs="Arial"/>
          <w:color w:val="000000"/>
          <w:sz w:val="22"/>
          <w:szCs w:val="22"/>
        </w:rPr>
      </w:pPr>
      <w:r>
        <w:rPr>
          <w:rFonts w:ascii="Arial" w:hAnsi="Arial" w:cs="Arial"/>
          <w:color w:val="000000"/>
          <w:sz w:val="22"/>
          <w:szCs w:val="22"/>
        </w:rPr>
        <w:t>Ahora</w:t>
      </w:r>
      <w:r w:rsidR="005034F9">
        <w:rPr>
          <w:rFonts w:ascii="Arial" w:hAnsi="Arial" w:cs="Arial"/>
          <w:color w:val="000000"/>
          <w:sz w:val="22"/>
          <w:szCs w:val="22"/>
        </w:rPr>
        <w:t xml:space="preserve">, </w:t>
      </w:r>
      <w:r>
        <w:rPr>
          <w:rFonts w:ascii="Arial" w:hAnsi="Arial" w:cs="Arial"/>
          <w:color w:val="000000"/>
          <w:sz w:val="22"/>
          <w:szCs w:val="22"/>
        </w:rPr>
        <w:t xml:space="preserve">en relación con la definición de las actividades de </w:t>
      </w:r>
      <w:r w:rsidR="00127D0D" w:rsidRPr="00874FB6">
        <w:rPr>
          <w:rFonts w:ascii="Arial" w:hAnsi="Arial" w:cs="Arial"/>
          <w:i/>
          <w:iCs/>
          <w:color w:val="000000"/>
          <w:sz w:val="22"/>
          <w:szCs w:val="22"/>
        </w:rPr>
        <w:t>mantenimiento</w:t>
      </w:r>
      <w:r w:rsidR="00127D0D">
        <w:rPr>
          <w:rFonts w:ascii="Arial" w:hAnsi="Arial" w:cs="Arial"/>
          <w:color w:val="000000"/>
          <w:sz w:val="22"/>
          <w:szCs w:val="22"/>
        </w:rPr>
        <w:t xml:space="preserve">, </w:t>
      </w:r>
      <w:r w:rsidR="00127D0D" w:rsidRPr="00874FB6">
        <w:rPr>
          <w:rFonts w:ascii="Arial" w:hAnsi="Arial" w:cs="Arial"/>
          <w:i/>
          <w:iCs/>
          <w:color w:val="000000"/>
          <w:sz w:val="22"/>
          <w:szCs w:val="22"/>
        </w:rPr>
        <w:t>mejoramiento</w:t>
      </w:r>
      <w:r w:rsidR="00127D0D">
        <w:rPr>
          <w:rFonts w:ascii="Arial" w:hAnsi="Arial" w:cs="Arial"/>
          <w:color w:val="000000"/>
          <w:sz w:val="22"/>
          <w:szCs w:val="22"/>
        </w:rPr>
        <w:t xml:space="preserve"> y </w:t>
      </w:r>
      <w:r w:rsidR="00127D0D" w:rsidRPr="00874FB6">
        <w:rPr>
          <w:rFonts w:ascii="Arial" w:hAnsi="Arial" w:cs="Arial"/>
          <w:i/>
          <w:iCs/>
          <w:color w:val="000000"/>
          <w:sz w:val="22"/>
          <w:szCs w:val="22"/>
        </w:rPr>
        <w:t>rehabilitación</w:t>
      </w:r>
      <w:r w:rsidR="00127D0D">
        <w:rPr>
          <w:rFonts w:ascii="Arial" w:hAnsi="Arial" w:cs="Arial"/>
          <w:i/>
          <w:iCs/>
          <w:color w:val="000000"/>
          <w:sz w:val="22"/>
          <w:szCs w:val="22"/>
        </w:rPr>
        <w:t xml:space="preserve">, </w:t>
      </w:r>
      <w:r w:rsidR="00127D0D">
        <w:rPr>
          <w:rFonts w:ascii="Arial" w:hAnsi="Arial" w:cs="Arial"/>
          <w:color w:val="000000"/>
          <w:sz w:val="22"/>
          <w:szCs w:val="22"/>
        </w:rPr>
        <w:t>es preciso advertir que se tratan de nociones técnicas propias del ámbito de la ingeniería ci</w:t>
      </w:r>
      <w:r w:rsidR="00867267">
        <w:rPr>
          <w:rFonts w:ascii="Arial" w:hAnsi="Arial" w:cs="Arial"/>
          <w:color w:val="000000"/>
          <w:sz w:val="22"/>
          <w:szCs w:val="22"/>
        </w:rPr>
        <w:t xml:space="preserve">vil, las cuales no cuentan con una definición normativa. </w:t>
      </w:r>
      <w:r w:rsidR="00BF56EC">
        <w:rPr>
          <w:rFonts w:ascii="Arial" w:hAnsi="Arial" w:cs="Arial"/>
          <w:color w:val="000000"/>
          <w:sz w:val="22"/>
          <w:szCs w:val="22"/>
        </w:rPr>
        <w:t xml:space="preserve">El </w:t>
      </w:r>
      <w:r w:rsidR="00BF56EC" w:rsidRPr="00874FB6">
        <w:rPr>
          <w:rFonts w:ascii="Arial" w:hAnsi="Arial" w:cs="Arial"/>
          <w:i/>
          <w:iCs/>
          <w:color w:val="000000"/>
          <w:sz w:val="22"/>
          <w:szCs w:val="22"/>
        </w:rPr>
        <w:t>mantenimiento</w:t>
      </w:r>
      <w:r w:rsidR="00BF56EC">
        <w:rPr>
          <w:rFonts w:ascii="Arial" w:hAnsi="Arial" w:cs="Arial"/>
          <w:color w:val="000000"/>
          <w:sz w:val="22"/>
          <w:szCs w:val="22"/>
        </w:rPr>
        <w:t xml:space="preserve"> es definido como el «</w:t>
      </w:r>
      <w:r w:rsidR="00BF56EC" w:rsidRPr="00BF56EC">
        <w:rPr>
          <w:rFonts w:ascii="Arial" w:hAnsi="Arial" w:cs="Arial"/>
          <w:color w:val="000000"/>
          <w:sz w:val="22"/>
          <w:szCs w:val="22"/>
        </w:rPr>
        <w:t xml:space="preserve">Conjunto de actuaciones y operaciones que con periodicidad </w:t>
      </w:r>
      <w:r w:rsidR="002C5E8C">
        <w:rPr>
          <w:rFonts w:ascii="Arial" w:hAnsi="Arial" w:cs="Arial"/>
          <w:color w:val="000000"/>
          <w:sz w:val="22"/>
          <w:szCs w:val="22"/>
        </w:rPr>
        <w:t xml:space="preserve">[…] </w:t>
      </w:r>
      <w:r w:rsidR="00BF56EC" w:rsidRPr="00BF56EC">
        <w:rPr>
          <w:rFonts w:ascii="Arial" w:hAnsi="Arial" w:cs="Arial"/>
          <w:color w:val="000000"/>
          <w:sz w:val="22"/>
          <w:szCs w:val="22"/>
        </w:rPr>
        <w:t>se llevan a cabo en una infraestructura para preservar su valor patrimonial y facilitar su uso permanente de forma funcional y segura</w:t>
      </w:r>
      <w:r w:rsidR="00BF56EC">
        <w:rPr>
          <w:rFonts w:ascii="Arial" w:hAnsi="Arial" w:cs="Arial"/>
          <w:color w:val="000000"/>
          <w:sz w:val="22"/>
          <w:szCs w:val="22"/>
        </w:rPr>
        <w:t>»</w:t>
      </w:r>
      <w:r w:rsidR="007F5C7A">
        <w:rPr>
          <w:rStyle w:val="Refdenotaalpie"/>
          <w:rFonts w:ascii="Arial" w:hAnsi="Arial" w:cs="Arial"/>
          <w:color w:val="000000"/>
          <w:sz w:val="22"/>
          <w:szCs w:val="22"/>
        </w:rPr>
        <w:footnoteReference w:id="6"/>
      </w:r>
      <w:r w:rsidR="002C5E8C">
        <w:rPr>
          <w:rFonts w:ascii="Arial" w:hAnsi="Arial" w:cs="Arial"/>
          <w:color w:val="000000"/>
          <w:sz w:val="22"/>
          <w:szCs w:val="22"/>
        </w:rPr>
        <w:t>.</w:t>
      </w:r>
      <w:r w:rsidR="00BF56EC">
        <w:rPr>
          <w:rFonts w:ascii="Arial" w:hAnsi="Arial" w:cs="Arial"/>
          <w:color w:val="000000"/>
          <w:sz w:val="22"/>
          <w:szCs w:val="22"/>
        </w:rPr>
        <w:t xml:space="preserve"> </w:t>
      </w:r>
      <w:r w:rsidR="002C5E8C">
        <w:rPr>
          <w:rFonts w:ascii="Arial" w:hAnsi="Arial" w:cs="Arial"/>
          <w:color w:val="000000"/>
          <w:sz w:val="22"/>
          <w:szCs w:val="22"/>
        </w:rPr>
        <w:t xml:space="preserve">Por su parte, el </w:t>
      </w:r>
      <w:r w:rsidR="002C5E8C" w:rsidRPr="00874FB6">
        <w:rPr>
          <w:rFonts w:ascii="Arial" w:hAnsi="Arial" w:cs="Arial"/>
          <w:i/>
          <w:iCs/>
          <w:color w:val="000000"/>
          <w:sz w:val="22"/>
          <w:szCs w:val="22"/>
        </w:rPr>
        <w:t>mejoramiento</w:t>
      </w:r>
      <w:r w:rsidR="002C5E8C">
        <w:rPr>
          <w:rFonts w:ascii="Arial" w:hAnsi="Arial" w:cs="Arial"/>
          <w:i/>
          <w:iCs/>
          <w:color w:val="000000"/>
          <w:sz w:val="22"/>
          <w:szCs w:val="22"/>
        </w:rPr>
        <w:t xml:space="preserve"> </w:t>
      </w:r>
      <w:r w:rsidR="002C5E8C">
        <w:rPr>
          <w:rFonts w:ascii="Arial" w:hAnsi="Arial" w:cs="Arial"/>
          <w:color w:val="000000"/>
          <w:sz w:val="22"/>
          <w:szCs w:val="22"/>
        </w:rPr>
        <w:t xml:space="preserve">se encuentra asociado </w:t>
      </w:r>
      <w:r w:rsidR="007F5C7A">
        <w:rPr>
          <w:rFonts w:ascii="Arial" w:hAnsi="Arial" w:cs="Arial"/>
          <w:color w:val="000000"/>
          <w:sz w:val="22"/>
          <w:szCs w:val="22"/>
        </w:rPr>
        <w:t xml:space="preserve">a «[…] </w:t>
      </w:r>
      <w:r w:rsidR="007F5C7A" w:rsidRPr="007F5C7A">
        <w:rPr>
          <w:rFonts w:ascii="Arial" w:hAnsi="Arial" w:cs="Arial"/>
          <w:color w:val="000000"/>
          <w:sz w:val="22"/>
          <w:szCs w:val="22"/>
        </w:rPr>
        <w:t>el cambio de especificaciones y dimensiones de la obra; para lo cual, se hace necesaria la construcción de obras en infraestructura ya existente, que permitan una adecuación de la obra a los niveles de servicio requeridos por las condiciones actuales y proyectadas</w:t>
      </w:r>
      <w:r w:rsidR="007F5C7A">
        <w:rPr>
          <w:rFonts w:ascii="Arial" w:hAnsi="Arial" w:cs="Arial"/>
          <w:color w:val="000000"/>
          <w:sz w:val="22"/>
          <w:szCs w:val="22"/>
        </w:rPr>
        <w:t>»</w:t>
      </w:r>
      <w:r w:rsidR="00B72AB3">
        <w:rPr>
          <w:rStyle w:val="Refdenotaalpie"/>
          <w:rFonts w:ascii="Arial" w:hAnsi="Arial" w:cs="Arial"/>
          <w:color w:val="000000"/>
          <w:sz w:val="22"/>
          <w:szCs w:val="22"/>
        </w:rPr>
        <w:footnoteReference w:id="7"/>
      </w:r>
      <w:r w:rsidR="007F5C7A" w:rsidRPr="007F5C7A">
        <w:rPr>
          <w:rFonts w:ascii="Arial" w:hAnsi="Arial" w:cs="Arial"/>
          <w:color w:val="000000"/>
          <w:sz w:val="22"/>
          <w:szCs w:val="22"/>
        </w:rPr>
        <w:t>.</w:t>
      </w:r>
      <w:r w:rsidR="007F5C7A">
        <w:rPr>
          <w:rFonts w:ascii="Arial" w:hAnsi="Arial" w:cs="Arial"/>
          <w:color w:val="000000"/>
          <w:sz w:val="22"/>
          <w:szCs w:val="22"/>
        </w:rPr>
        <w:t xml:space="preserve"> En relación con la </w:t>
      </w:r>
      <w:r w:rsidR="007F5C7A" w:rsidRPr="00874FB6">
        <w:rPr>
          <w:rFonts w:ascii="Arial" w:hAnsi="Arial" w:cs="Arial"/>
          <w:i/>
          <w:iCs/>
          <w:color w:val="000000"/>
          <w:sz w:val="22"/>
          <w:szCs w:val="22"/>
        </w:rPr>
        <w:t>rehabilitación</w:t>
      </w:r>
      <w:r w:rsidR="007F5C7A">
        <w:rPr>
          <w:rFonts w:ascii="Arial" w:hAnsi="Arial" w:cs="Arial"/>
          <w:i/>
          <w:iCs/>
          <w:color w:val="000000"/>
          <w:sz w:val="22"/>
          <w:szCs w:val="22"/>
        </w:rPr>
        <w:t xml:space="preserve"> </w:t>
      </w:r>
      <w:r w:rsidR="007F5C7A">
        <w:rPr>
          <w:rFonts w:ascii="Arial" w:hAnsi="Arial" w:cs="Arial"/>
          <w:color w:val="000000"/>
          <w:sz w:val="22"/>
          <w:szCs w:val="22"/>
        </w:rPr>
        <w:t xml:space="preserve">se tiene que esta corresponde a «[…] </w:t>
      </w:r>
      <w:r w:rsidR="007F5C7A" w:rsidRPr="007F5C7A">
        <w:rPr>
          <w:rFonts w:ascii="Arial" w:hAnsi="Arial" w:cs="Arial"/>
          <w:color w:val="000000"/>
          <w:sz w:val="22"/>
          <w:szCs w:val="22"/>
        </w:rPr>
        <w:t>las actividades que tienen por objeto reconstruir o recuperar las condiciones estructurales y funcionales iniciales de la obra de manera que se cumplan las especificaciones técnicas con que fue diseñada</w:t>
      </w:r>
      <w:r w:rsidR="007F5C7A">
        <w:rPr>
          <w:rFonts w:ascii="Arial" w:hAnsi="Arial" w:cs="Arial"/>
          <w:color w:val="000000"/>
          <w:sz w:val="22"/>
          <w:szCs w:val="22"/>
        </w:rPr>
        <w:t>»</w:t>
      </w:r>
      <w:r w:rsidR="00785FD8">
        <w:rPr>
          <w:rStyle w:val="Refdenotaalpie"/>
          <w:rFonts w:ascii="Arial" w:hAnsi="Arial" w:cs="Arial"/>
          <w:color w:val="000000"/>
          <w:sz w:val="22"/>
          <w:szCs w:val="22"/>
        </w:rPr>
        <w:footnoteReference w:id="8"/>
      </w:r>
      <w:r w:rsidR="007F5C7A">
        <w:rPr>
          <w:rFonts w:ascii="Arial" w:hAnsi="Arial" w:cs="Arial"/>
          <w:color w:val="000000"/>
          <w:sz w:val="22"/>
          <w:szCs w:val="22"/>
        </w:rPr>
        <w:t xml:space="preserve">. </w:t>
      </w:r>
    </w:p>
    <w:p w14:paraId="15CA80B2" w14:textId="36CEBAE7" w:rsidR="00752F7D" w:rsidRPr="00752F7D" w:rsidRDefault="005034F9" w:rsidP="00874FB6">
      <w:pPr>
        <w:spacing w:before="120" w:line="276" w:lineRule="auto"/>
        <w:ind w:firstLine="709"/>
        <w:jc w:val="both"/>
        <w:rPr>
          <w:rFonts w:ascii="Arial" w:hAnsi="Arial" w:cs="Arial"/>
          <w:bCs/>
          <w:color w:val="000000"/>
          <w:sz w:val="22"/>
          <w:szCs w:val="22"/>
          <w:lang w:val="es-ES_tradnl" w:eastAsia="es-MX"/>
        </w:rPr>
      </w:pPr>
      <w:r>
        <w:rPr>
          <w:rFonts w:ascii="Arial" w:hAnsi="Arial" w:cs="Arial"/>
          <w:color w:val="000000"/>
          <w:sz w:val="22"/>
          <w:szCs w:val="22"/>
        </w:rPr>
        <w:t>S</w:t>
      </w:r>
      <w:r w:rsidR="0039137F">
        <w:rPr>
          <w:rFonts w:ascii="Arial" w:hAnsi="Arial" w:cs="Arial"/>
          <w:color w:val="000000"/>
          <w:sz w:val="22"/>
          <w:szCs w:val="22"/>
        </w:rPr>
        <w:t xml:space="preserve">i bien </w:t>
      </w:r>
      <w:r w:rsidR="004857FA" w:rsidRPr="0017145A">
        <w:rPr>
          <w:rFonts w:ascii="Arial" w:eastAsia="Calibri" w:hAnsi="Arial" w:cs="Arial"/>
          <w:color w:val="000000" w:themeColor="text1"/>
          <w:sz w:val="22"/>
          <w:szCs w:val="22"/>
          <w:lang w:val="es-ES_tradnl" w:eastAsia="en-US"/>
        </w:rPr>
        <w:t xml:space="preserve">el artículo 2.2.1.2.3.1.14 </w:t>
      </w:r>
      <w:r w:rsidR="004857FA">
        <w:rPr>
          <w:rFonts w:ascii="Arial" w:eastAsia="Calibri" w:hAnsi="Arial" w:cs="Arial"/>
          <w:color w:val="000000" w:themeColor="text1"/>
          <w:sz w:val="22"/>
          <w:szCs w:val="22"/>
          <w:lang w:val="es-ES_tradnl" w:eastAsia="en-US"/>
        </w:rPr>
        <w:t xml:space="preserve">del Decreto 1082 de 2015 </w:t>
      </w:r>
      <w:r w:rsidR="0039137F">
        <w:rPr>
          <w:rFonts w:ascii="Arial" w:hAnsi="Arial" w:cs="Arial"/>
          <w:color w:val="000000"/>
          <w:sz w:val="22"/>
          <w:szCs w:val="22"/>
        </w:rPr>
        <w:t xml:space="preserve">se refiere al tipo de actividades, ello no significa </w:t>
      </w:r>
      <w:r w:rsidR="007E5128">
        <w:rPr>
          <w:rFonts w:ascii="Arial" w:hAnsi="Arial" w:cs="Arial"/>
          <w:color w:val="000000"/>
          <w:sz w:val="22"/>
          <w:szCs w:val="22"/>
        </w:rPr>
        <w:t xml:space="preserve">que este sea el único en atención al cual deba analizarse la posibilidad de permitir amparos de calidad y estabilidad de la obras por un término inferior a cinco años, sino que constituye apenas uno de los criterios que tiene a su disposición el experto para determinar la conveniencia de proceder en tal sentido. Esto significa que, el hecho de </w:t>
      </w:r>
      <w:r w:rsidR="00C6025A">
        <w:rPr>
          <w:rFonts w:ascii="Arial" w:hAnsi="Arial" w:cs="Arial"/>
          <w:color w:val="000000"/>
          <w:sz w:val="22"/>
          <w:szCs w:val="22"/>
        </w:rPr>
        <w:t xml:space="preserve">que </w:t>
      </w:r>
      <w:r w:rsidR="007E5128">
        <w:rPr>
          <w:rFonts w:ascii="Arial" w:hAnsi="Arial" w:cs="Arial"/>
          <w:color w:val="000000"/>
          <w:sz w:val="22"/>
          <w:szCs w:val="22"/>
        </w:rPr>
        <w:t xml:space="preserve">una obra </w:t>
      </w:r>
      <w:r w:rsidR="003F0144">
        <w:rPr>
          <w:rFonts w:ascii="Arial" w:hAnsi="Arial" w:cs="Arial"/>
          <w:color w:val="000000"/>
          <w:sz w:val="22"/>
          <w:szCs w:val="22"/>
        </w:rPr>
        <w:t>consista en un</w:t>
      </w:r>
      <w:r w:rsidR="007E5128">
        <w:rPr>
          <w:rFonts w:ascii="Arial" w:hAnsi="Arial" w:cs="Arial"/>
          <w:color w:val="000000"/>
          <w:sz w:val="22"/>
          <w:szCs w:val="22"/>
        </w:rPr>
        <w:t xml:space="preserve"> mantenimiento, mejoramiento </w:t>
      </w:r>
      <w:r w:rsidR="00C6025A">
        <w:rPr>
          <w:rFonts w:ascii="Arial" w:hAnsi="Arial" w:cs="Arial"/>
          <w:color w:val="000000"/>
          <w:sz w:val="22"/>
          <w:szCs w:val="22"/>
        </w:rPr>
        <w:t xml:space="preserve">o rehabilitación </w:t>
      </w:r>
      <w:r w:rsidR="003F0144">
        <w:rPr>
          <w:rFonts w:ascii="Arial" w:hAnsi="Arial" w:cs="Arial"/>
          <w:color w:val="000000"/>
          <w:sz w:val="22"/>
          <w:szCs w:val="22"/>
        </w:rPr>
        <w:t xml:space="preserve">no es el único hecho determinante para evaluar el término por el cual debe constituirse el amparo de estabilidad y calidad de la obra, ya que, por ejemplo, habrá que estudiar la complejidad técnica requerida para cumplir el objeto.   </w:t>
      </w:r>
      <w:r w:rsidR="007E5128">
        <w:rPr>
          <w:rFonts w:ascii="Arial" w:hAnsi="Arial" w:cs="Arial"/>
          <w:color w:val="000000"/>
          <w:sz w:val="22"/>
          <w:szCs w:val="22"/>
        </w:rPr>
        <w:t xml:space="preserve">   </w:t>
      </w:r>
    </w:p>
    <w:p w14:paraId="59D43738" w14:textId="1A384D80" w:rsidR="00383892" w:rsidRPr="00313871" w:rsidRDefault="000C6EC5" w:rsidP="00874FB6">
      <w:pPr>
        <w:pStyle w:val="NormalWeb"/>
        <w:shd w:val="clear" w:color="auto" w:fill="FFFFFF"/>
        <w:spacing w:before="0" w:beforeAutospacing="0" w:after="0" w:afterAutospacing="0"/>
        <w:ind w:right="786"/>
        <w:rPr>
          <w:rFonts w:ascii="Arial" w:hAnsi="Arial" w:cs="Arial"/>
          <w:bCs/>
          <w:sz w:val="22"/>
          <w:lang w:val="es-ES_tradnl"/>
        </w:rPr>
      </w:pPr>
      <w:r>
        <w:rPr>
          <w:rFonts w:ascii="Arial" w:hAnsi="Arial" w:cs="Arial"/>
          <w:bCs/>
          <w:color w:val="000000"/>
          <w:sz w:val="22"/>
          <w:lang w:val="es-ES_tradnl" w:eastAsia="es-MX"/>
        </w:rPr>
        <w:tab/>
      </w:r>
    </w:p>
    <w:p w14:paraId="0B5723FA" w14:textId="5223ECC1" w:rsidR="00C32018" w:rsidRPr="00691AAC" w:rsidRDefault="00E54365" w:rsidP="00874FB6">
      <w:pPr>
        <w:spacing w:line="276" w:lineRule="auto"/>
        <w:rPr>
          <w:rFonts w:ascii="Arial" w:eastAsia="Calibri" w:hAnsi="Arial" w:cs="Arial"/>
          <w:b/>
          <w:noProof/>
          <w:color w:val="161616" w:themeColor="background1" w:themeShade="1A"/>
          <w:sz w:val="22"/>
          <w:szCs w:val="22"/>
          <w:lang w:val="es-ES_tradnl"/>
        </w:rPr>
      </w:pPr>
      <w:bookmarkStart w:id="8" w:name="_1y810tw" w:colFirst="0" w:colLast="0"/>
      <w:bookmarkStart w:id="9" w:name="_2xcytpi" w:colFirst="0" w:colLast="0"/>
      <w:bookmarkStart w:id="10" w:name="_1ci93xb" w:colFirst="0" w:colLast="0"/>
      <w:bookmarkStart w:id="11" w:name="_3whwml4" w:colFirst="0" w:colLast="0"/>
      <w:bookmarkEnd w:id="6"/>
      <w:bookmarkEnd w:id="7"/>
      <w:bookmarkEnd w:id="8"/>
      <w:bookmarkEnd w:id="9"/>
      <w:bookmarkEnd w:id="10"/>
      <w:bookmarkEnd w:id="11"/>
      <w:r w:rsidRPr="00691AAC">
        <w:rPr>
          <w:rFonts w:ascii="Arial" w:eastAsia="Calibri" w:hAnsi="Arial" w:cs="Arial"/>
          <w:b/>
          <w:noProof/>
          <w:color w:val="161616" w:themeColor="background1" w:themeShade="1A"/>
          <w:sz w:val="22"/>
          <w:szCs w:val="22"/>
          <w:lang w:val="es-ES_tradnl"/>
        </w:rPr>
        <w:t>3. Respuesta</w:t>
      </w:r>
    </w:p>
    <w:p w14:paraId="0C432F76" w14:textId="2C6EA6DD" w:rsidR="000B1E31" w:rsidRPr="00265808" w:rsidRDefault="000B1E31" w:rsidP="00573BED">
      <w:pPr>
        <w:spacing w:before="240" w:line="276" w:lineRule="auto"/>
        <w:ind w:left="709" w:right="709"/>
        <w:jc w:val="both"/>
        <w:rPr>
          <w:rFonts w:ascii="Arial" w:hAnsi="Arial" w:cs="Arial"/>
          <w:color w:val="161616" w:themeColor="background1" w:themeShade="1A"/>
          <w:sz w:val="21"/>
          <w:szCs w:val="21"/>
          <w:lang w:val="es-ES_tradnl"/>
        </w:rPr>
      </w:pPr>
      <w:bookmarkStart w:id="12" w:name="_Hlk50986665"/>
      <w:bookmarkStart w:id="13" w:name="_Hlk52766744"/>
      <w:r w:rsidRPr="00691AAC">
        <w:rPr>
          <w:rFonts w:ascii="Arial" w:hAnsi="Arial" w:cs="Arial"/>
          <w:color w:val="161616" w:themeColor="background1" w:themeShade="1A"/>
          <w:sz w:val="21"/>
          <w:szCs w:val="21"/>
          <w:lang w:val="es-ES_tradnl"/>
        </w:rPr>
        <w:lastRenderedPageBreak/>
        <w:t>«[…]</w:t>
      </w:r>
      <w:r>
        <w:rPr>
          <w:rFonts w:ascii="Arial" w:hAnsi="Arial" w:cs="Arial"/>
          <w:color w:val="161616" w:themeColor="background1" w:themeShade="1A"/>
          <w:sz w:val="21"/>
          <w:szCs w:val="21"/>
          <w:lang w:val="es-ES_tradnl"/>
        </w:rPr>
        <w:t xml:space="preserve"> </w:t>
      </w:r>
      <w:r w:rsidRPr="00265808">
        <w:rPr>
          <w:rFonts w:ascii="Arial" w:hAnsi="Arial" w:cs="Arial"/>
          <w:color w:val="161616" w:themeColor="background1" w:themeShade="1A"/>
          <w:sz w:val="21"/>
          <w:szCs w:val="21"/>
          <w:lang w:val="es-ES_tradnl"/>
        </w:rPr>
        <w:t>En el marco de las licitaciones de obra civil – construcción de vía pública-de cara a la constitución de las pólizas de seriedad y pólizas de cumplimiento contractuales nos hemos</w:t>
      </w:r>
      <w:r>
        <w:rPr>
          <w:rFonts w:ascii="Arial" w:hAnsi="Arial" w:cs="Arial"/>
          <w:color w:val="161616" w:themeColor="background1" w:themeShade="1A"/>
          <w:sz w:val="21"/>
          <w:szCs w:val="21"/>
          <w:lang w:val="es-ES_tradnl"/>
        </w:rPr>
        <w:t xml:space="preserve"> </w:t>
      </w:r>
      <w:r w:rsidRPr="00265808">
        <w:rPr>
          <w:rFonts w:ascii="Arial" w:hAnsi="Arial" w:cs="Arial"/>
          <w:color w:val="161616" w:themeColor="background1" w:themeShade="1A"/>
          <w:sz w:val="21"/>
          <w:szCs w:val="21"/>
          <w:lang w:val="es-ES_tradnl"/>
        </w:rPr>
        <w:t xml:space="preserve">encontrado que las diversas aseguradoras del mercado normalmente no están prestas a otorgar estas pólizas en la medida que no se tiene claridad en la diferencia entre: mejoramiento, rehabilitación, mantenimiento y construcción de obra nueva. </w:t>
      </w:r>
    </w:p>
    <w:p w14:paraId="423F6CDC" w14:textId="2C043B7C" w:rsidR="000B1E31" w:rsidRPr="00265808" w:rsidRDefault="000B1E31" w:rsidP="00573BED">
      <w:pPr>
        <w:spacing w:before="240"/>
        <w:ind w:left="709" w:right="709"/>
        <w:jc w:val="both"/>
        <w:rPr>
          <w:rFonts w:ascii="Arial" w:hAnsi="Arial" w:cs="Arial"/>
          <w:color w:val="161616" w:themeColor="background1" w:themeShade="1A"/>
          <w:sz w:val="21"/>
          <w:szCs w:val="21"/>
          <w:lang w:val="es-ES_tradnl"/>
        </w:rPr>
      </w:pPr>
      <w:r w:rsidRPr="00265808">
        <w:rPr>
          <w:rFonts w:ascii="Arial" w:hAnsi="Arial" w:cs="Arial"/>
          <w:color w:val="161616" w:themeColor="background1" w:themeShade="1A"/>
          <w:sz w:val="21"/>
          <w:szCs w:val="21"/>
          <w:lang w:val="es-ES_tradnl"/>
        </w:rPr>
        <w:t>[…]</w:t>
      </w:r>
    </w:p>
    <w:p w14:paraId="163FF99C" w14:textId="6EAD2122" w:rsidR="000B1E31" w:rsidRDefault="000B1E31" w:rsidP="00874FB6">
      <w:pPr>
        <w:spacing w:before="240" w:line="276" w:lineRule="auto"/>
        <w:ind w:left="709" w:right="709"/>
        <w:jc w:val="both"/>
        <w:rPr>
          <w:rFonts w:ascii="Arial" w:hAnsi="Arial" w:cs="Arial"/>
          <w:color w:val="161616" w:themeColor="background1" w:themeShade="1A"/>
          <w:sz w:val="21"/>
          <w:szCs w:val="21"/>
          <w:lang w:val="es-ES_tradnl"/>
        </w:rPr>
      </w:pPr>
      <w:r w:rsidRPr="00265808">
        <w:rPr>
          <w:rFonts w:ascii="Arial" w:hAnsi="Arial" w:cs="Arial"/>
          <w:color w:val="161616" w:themeColor="background1" w:themeShade="1A"/>
          <w:sz w:val="21"/>
          <w:szCs w:val="21"/>
          <w:lang w:val="es-ES_tradnl"/>
        </w:rPr>
        <w:t>Normalmente, las entidades estatales solicitan que el amparo de estabilidad sea de 5 años para estas categorías. Entendemos que el mercado asegurador al día de hoy no está otorgando pólizas de estabilidad por un periodo superior a 3 años, en esta medida, agradecemos a COLOMBIA COMPRA EFICIENTE aclarar cuál debe ser la vigencia para el amparo de estabilidad de cada uno de estos tres conceptos, a saber: mejoramiento, mantenimiento y rehabilitación. Esto, con el fin que las entidades estatales puedan incorporar este concepto en la elaboración de pliegos y, al momento de licitar, todos los oferentes puedan contar con la debida póliza de seriedad y, en consecuencia, las correspondientes pólizas contractuales en caso de resultar adjudicatarios […]</w:t>
      </w:r>
      <w:r w:rsidRPr="00691AAC">
        <w:rPr>
          <w:rFonts w:ascii="Arial" w:hAnsi="Arial" w:cs="Arial"/>
          <w:color w:val="161616" w:themeColor="background1" w:themeShade="1A"/>
          <w:sz w:val="21"/>
          <w:szCs w:val="21"/>
          <w:lang w:val="es-ES_tradnl"/>
        </w:rPr>
        <w:t>».</w:t>
      </w:r>
    </w:p>
    <w:p w14:paraId="02DCF4BE" w14:textId="77777777" w:rsidR="00454D64" w:rsidRPr="00691AAC" w:rsidRDefault="00454D64" w:rsidP="00874FB6">
      <w:pPr>
        <w:ind w:left="709" w:right="709"/>
        <w:jc w:val="both"/>
        <w:rPr>
          <w:rFonts w:ascii="Arial" w:hAnsi="Arial" w:cs="Arial"/>
          <w:color w:val="161616" w:themeColor="background1" w:themeShade="1A"/>
          <w:sz w:val="21"/>
          <w:szCs w:val="21"/>
          <w:lang w:val="es-ES_tradnl"/>
        </w:rPr>
      </w:pPr>
    </w:p>
    <w:p w14:paraId="49B1B1C3" w14:textId="77777777" w:rsidR="00241218" w:rsidRPr="00241218" w:rsidRDefault="00241218" w:rsidP="00EB65A0">
      <w:pPr>
        <w:spacing w:line="276" w:lineRule="auto"/>
        <w:jc w:val="both"/>
        <w:rPr>
          <w:rFonts w:ascii="Arial" w:hAnsi="Arial" w:cs="Arial"/>
          <w:bCs/>
          <w:sz w:val="22"/>
          <w:szCs w:val="22"/>
          <w:lang w:val="es-ES_tradnl" w:eastAsia="es-CO"/>
        </w:rPr>
      </w:pPr>
      <w:r w:rsidRPr="00241218">
        <w:rPr>
          <w:rFonts w:ascii="Arial" w:hAnsi="Arial" w:cs="Arial"/>
          <w:bCs/>
          <w:sz w:val="22"/>
          <w:szCs w:val="22"/>
          <w:lang w:val="es-ES_tradnl" w:eastAsia="es-CO"/>
        </w:rPr>
        <w:t xml:space="preserve">De acuerdo con el artículo 2.2.1.2.3.1.14 del Decreto 1082 de 2015 modificado por el Decreto 399 de 2021, la garantía de estabilidad y calidad de la obra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w:t>
      </w:r>
    </w:p>
    <w:p w14:paraId="50E263B0" w14:textId="2B8E2227" w:rsidR="00241218" w:rsidRPr="00241218" w:rsidRDefault="00241218" w:rsidP="00874FB6">
      <w:pPr>
        <w:spacing w:before="120" w:line="276" w:lineRule="auto"/>
        <w:ind w:firstLine="708"/>
        <w:jc w:val="both"/>
        <w:rPr>
          <w:rFonts w:ascii="Arial" w:hAnsi="Arial" w:cs="Arial"/>
          <w:bCs/>
          <w:sz w:val="22"/>
          <w:szCs w:val="22"/>
          <w:lang w:val="es-ES_tradnl" w:eastAsia="es-CO"/>
        </w:rPr>
      </w:pPr>
      <w:r w:rsidRPr="00241218">
        <w:rPr>
          <w:rFonts w:ascii="Arial" w:hAnsi="Arial" w:cs="Arial"/>
          <w:bCs/>
          <w:sz w:val="22"/>
          <w:szCs w:val="22"/>
          <w:lang w:val="es-ES_tradnl" w:eastAsia="es-CO"/>
        </w:rPr>
        <w:t>Para establecer</w:t>
      </w:r>
      <w:r w:rsidR="007C0A69">
        <w:rPr>
          <w:rFonts w:ascii="Arial" w:hAnsi="Arial" w:cs="Arial"/>
          <w:bCs/>
          <w:sz w:val="22"/>
          <w:szCs w:val="22"/>
          <w:lang w:val="es-ES_tradnl" w:eastAsia="es-CO"/>
        </w:rPr>
        <w:t xml:space="preserve"> la posibilidad de permitir que se constituya el amparo</w:t>
      </w:r>
      <w:r w:rsidRPr="00241218">
        <w:rPr>
          <w:rFonts w:ascii="Arial" w:hAnsi="Arial" w:cs="Arial"/>
          <w:bCs/>
          <w:sz w:val="22"/>
          <w:szCs w:val="22"/>
          <w:lang w:val="es-ES_tradnl" w:eastAsia="es-CO"/>
        </w:rPr>
        <w:t xml:space="preserve"> </w:t>
      </w:r>
      <w:r w:rsidR="007C0A69">
        <w:rPr>
          <w:rFonts w:ascii="Arial" w:hAnsi="Arial" w:cs="Arial"/>
          <w:bCs/>
          <w:sz w:val="22"/>
          <w:szCs w:val="22"/>
          <w:lang w:val="es-ES_tradnl" w:eastAsia="es-CO"/>
        </w:rPr>
        <w:t>de e</w:t>
      </w:r>
      <w:r w:rsidRPr="00241218">
        <w:rPr>
          <w:rFonts w:ascii="Arial" w:hAnsi="Arial" w:cs="Arial"/>
          <w:bCs/>
          <w:sz w:val="22"/>
          <w:szCs w:val="22"/>
          <w:lang w:val="es-ES_tradnl" w:eastAsia="es-CO"/>
        </w:rPr>
        <w:t xml:space="preserv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 </w:t>
      </w:r>
    </w:p>
    <w:p w14:paraId="4D32AE67" w14:textId="67377A70" w:rsidR="00241218" w:rsidRDefault="00241218" w:rsidP="00874FB6">
      <w:pPr>
        <w:spacing w:before="120" w:line="276" w:lineRule="auto"/>
        <w:ind w:firstLine="708"/>
        <w:jc w:val="both"/>
        <w:rPr>
          <w:rFonts w:ascii="Arial" w:hAnsi="Arial" w:cs="Arial"/>
          <w:bCs/>
          <w:sz w:val="22"/>
          <w:szCs w:val="22"/>
          <w:lang w:val="es-ES_tradnl" w:eastAsia="es-CO"/>
        </w:rPr>
      </w:pPr>
      <w:r w:rsidRPr="00241218">
        <w:rPr>
          <w:rFonts w:ascii="Arial" w:hAnsi="Arial" w:cs="Arial"/>
          <w:bCs/>
          <w:sz w:val="22"/>
          <w:szCs w:val="22"/>
          <w:lang w:val="es-ES_tradnl" w:eastAsia="es-CO"/>
        </w:rPr>
        <w:t>La Entidad Estatal puede aceptar que esta garantía tenga una vigencia inferior a cinco (5) años previa justificación técnica de un experto en la materia objeto del contrato, lo cual se debe reflejar en los documentos del proceso. Como consecuencia del análisis anterior y según la complejidad técnica del contrato a celebrar, esta garantía podrá tener una vigencia inferior a cinco (5) años y en todo caso de mínimo un (1) año.</w:t>
      </w:r>
    </w:p>
    <w:p w14:paraId="02932036" w14:textId="5FB4CFBD" w:rsidR="00241218" w:rsidRDefault="003E0C3A" w:rsidP="00454D64">
      <w:pPr>
        <w:spacing w:before="120" w:line="276" w:lineRule="auto"/>
        <w:ind w:firstLine="708"/>
        <w:jc w:val="both"/>
        <w:rPr>
          <w:rFonts w:ascii="Arial" w:hAnsi="Arial" w:cs="Arial"/>
          <w:bCs/>
          <w:sz w:val="22"/>
          <w:szCs w:val="22"/>
          <w:lang w:val="es-ES_tradnl" w:eastAsia="es-CO"/>
        </w:rPr>
      </w:pPr>
      <w:r>
        <w:rPr>
          <w:rFonts w:ascii="Arial" w:hAnsi="Arial" w:cs="Arial"/>
          <w:bCs/>
          <w:sz w:val="22"/>
          <w:szCs w:val="22"/>
          <w:lang w:val="es-ES_tradnl" w:eastAsia="es-CO"/>
        </w:rPr>
        <w:lastRenderedPageBreak/>
        <w:t xml:space="preserve">Sin perjuicio de lo </w:t>
      </w:r>
      <w:r w:rsidR="00FC6F2F">
        <w:rPr>
          <w:rFonts w:ascii="Arial" w:hAnsi="Arial" w:cs="Arial"/>
          <w:bCs/>
          <w:sz w:val="22"/>
          <w:szCs w:val="22"/>
          <w:lang w:val="es-ES_tradnl" w:eastAsia="es-CO"/>
        </w:rPr>
        <w:t>anterior,</w:t>
      </w:r>
      <w:r w:rsidR="00241218" w:rsidRPr="00241218">
        <w:rPr>
          <w:rFonts w:ascii="Arial" w:hAnsi="Arial" w:cs="Arial"/>
          <w:bCs/>
          <w:sz w:val="22"/>
          <w:szCs w:val="22"/>
          <w:lang w:val="es-ES_tradnl" w:eastAsia="es-CO"/>
        </w:rPr>
        <w:t xml:space="preserve"> corresponde a cada entidad estatal realizar el análisis para determinar la vigencia y el valor asegurado que exigirá para la garantía de estabilidad y calidad de la obra, a partir de la complejidad técnica del proyecto, para lo cual las consideraciones</w:t>
      </w:r>
      <w:r w:rsidR="006D63FC">
        <w:rPr>
          <w:rFonts w:ascii="Arial" w:hAnsi="Arial" w:cs="Arial"/>
          <w:bCs/>
          <w:sz w:val="22"/>
          <w:szCs w:val="22"/>
          <w:lang w:val="es-ES_tradnl" w:eastAsia="es-CO"/>
        </w:rPr>
        <w:t xml:space="preserve">. En ese sentido, de acuerdo con las consideraciones expuestas, el tipo de actividad, o el hecho de que se trate de un mejoramiento, mantenimiento, </w:t>
      </w:r>
      <w:r w:rsidR="00FC6F2F">
        <w:rPr>
          <w:rFonts w:ascii="Arial" w:hAnsi="Arial" w:cs="Arial"/>
          <w:bCs/>
          <w:sz w:val="22"/>
          <w:szCs w:val="22"/>
          <w:lang w:val="es-ES_tradnl" w:eastAsia="es-CO"/>
        </w:rPr>
        <w:t xml:space="preserve">o rehabilitación, no suponen de por sí que deba exigirse garantía por un término inferior a cinco (5) años, ya que debe ser contrastados con los otros criterios que indica la norma, además de los que resulten relevante en el marco de la respectiva área de experticia. </w:t>
      </w:r>
      <w:r w:rsidR="006D63FC">
        <w:rPr>
          <w:rFonts w:ascii="Arial" w:hAnsi="Arial" w:cs="Arial"/>
          <w:bCs/>
          <w:sz w:val="22"/>
          <w:szCs w:val="22"/>
          <w:lang w:val="es-ES_tradnl" w:eastAsia="es-CO"/>
        </w:rPr>
        <w:t xml:space="preserve"> </w:t>
      </w:r>
    </w:p>
    <w:p w14:paraId="5A1BA30E" w14:textId="3E8781CC" w:rsidR="00BE7867" w:rsidRPr="007F5C7A" w:rsidRDefault="00BE7867" w:rsidP="00BE7867">
      <w:pPr>
        <w:spacing w:before="120" w:after="120" w:line="276" w:lineRule="auto"/>
        <w:ind w:firstLine="709"/>
        <w:jc w:val="both"/>
        <w:rPr>
          <w:rFonts w:ascii="Arial" w:hAnsi="Arial" w:cs="Arial"/>
          <w:color w:val="000000"/>
          <w:sz w:val="22"/>
          <w:szCs w:val="22"/>
        </w:rPr>
      </w:pPr>
      <w:r>
        <w:rPr>
          <w:rFonts w:ascii="Arial" w:hAnsi="Arial" w:cs="Arial"/>
          <w:bCs/>
          <w:sz w:val="22"/>
          <w:szCs w:val="22"/>
          <w:lang w:val="es-ES_tradnl" w:eastAsia="es-CO"/>
        </w:rPr>
        <w:t xml:space="preserve">De </w:t>
      </w:r>
      <w:r w:rsidR="00874FB6">
        <w:rPr>
          <w:rFonts w:ascii="Arial" w:hAnsi="Arial" w:cs="Arial"/>
          <w:bCs/>
          <w:sz w:val="22"/>
          <w:szCs w:val="22"/>
          <w:lang w:val="es-ES_tradnl" w:eastAsia="es-CO"/>
        </w:rPr>
        <w:t>cualquier</w:t>
      </w:r>
      <w:r>
        <w:rPr>
          <w:rFonts w:ascii="Arial" w:hAnsi="Arial" w:cs="Arial"/>
          <w:bCs/>
          <w:sz w:val="22"/>
          <w:szCs w:val="22"/>
          <w:lang w:val="es-ES_tradnl" w:eastAsia="es-CO"/>
        </w:rPr>
        <w:t xml:space="preserve"> modo,</w:t>
      </w:r>
      <w:r w:rsidR="00874FB6">
        <w:rPr>
          <w:rFonts w:ascii="Arial" w:hAnsi="Arial" w:cs="Arial"/>
          <w:bCs/>
          <w:sz w:val="22"/>
          <w:szCs w:val="22"/>
          <w:lang w:val="es-ES_tradnl" w:eastAsia="es-CO"/>
        </w:rPr>
        <w:t xml:space="preserve"> </w:t>
      </w:r>
      <w:r>
        <w:rPr>
          <w:rFonts w:ascii="Arial" w:hAnsi="Arial" w:cs="Arial"/>
          <w:color w:val="000000"/>
          <w:sz w:val="22"/>
          <w:szCs w:val="22"/>
        </w:rPr>
        <w:t xml:space="preserve">es preciso advertir que las actividades de </w:t>
      </w:r>
      <w:r w:rsidRPr="006E2C60">
        <w:rPr>
          <w:rFonts w:ascii="Arial" w:hAnsi="Arial" w:cs="Arial"/>
          <w:i/>
          <w:iCs/>
          <w:color w:val="000000"/>
          <w:sz w:val="22"/>
          <w:szCs w:val="22"/>
        </w:rPr>
        <w:t>mantenimiento</w:t>
      </w:r>
      <w:r>
        <w:rPr>
          <w:rFonts w:ascii="Arial" w:hAnsi="Arial" w:cs="Arial"/>
          <w:color w:val="000000"/>
          <w:sz w:val="22"/>
          <w:szCs w:val="22"/>
        </w:rPr>
        <w:t xml:space="preserve">, </w:t>
      </w:r>
      <w:r w:rsidRPr="006E2C60">
        <w:rPr>
          <w:rFonts w:ascii="Arial" w:hAnsi="Arial" w:cs="Arial"/>
          <w:i/>
          <w:iCs/>
          <w:color w:val="000000"/>
          <w:sz w:val="22"/>
          <w:szCs w:val="22"/>
        </w:rPr>
        <w:t>mejoramiento</w:t>
      </w:r>
      <w:r>
        <w:rPr>
          <w:rFonts w:ascii="Arial" w:hAnsi="Arial" w:cs="Arial"/>
          <w:color w:val="000000"/>
          <w:sz w:val="22"/>
          <w:szCs w:val="22"/>
        </w:rPr>
        <w:t xml:space="preserve"> y </w:t>
      </w:r>
      <w:r w:rsidRPr="006E2C60">
        <w:rPr>
          <w:rFonts w:ascii="Arial" w:hAnsi="Arial" w:cs="Arial"/>
          <w:i/>
          <w:iCs/>
          <w:color w:val="000000"/>
          <w:sz w:val="22"/>
          <w:szCs w:val="22"/>
        </w:rPr>
        <w:t>rehabilitación</w:t>
      </w:r>
      <w:r>
        <w:rPr>
          <w:rFonts w:ascii="Arial" w:hAnsi="Arial" w:cs="Arial"/>
          <w:i/>
          <w:iCs/>
          <w:color w:val="000000"/>
          <w:sz w:val="22"/>
          <w:szCs w:val="22"/>
        </w:rPr>
        <w:t xml:space="preserve"> </w:t>
      </w:r>
      <w:r>
        <w:rPr>
          <w:rFonts w:ascii="Arial" w:hAnsi="Arial" w:cs="Arial"/>
          <w:color w:val="000000"/>
          <w:sz w:val="22"/>
          <w:szCs w:val="22"/>
        </w:rPr>
        <w:t xml:space="preserve">obedecen a nociones técnicas propias del ámbito de la ingeniería civil, las cuales no cuentan con una definición normativa. El </w:t>
      </w:r>
      <w:r w:rsidRPr="006E2C60">
        <w:rPr>
          <w:rFonts w:ascii="Arial" w:hAnsi="Arial" w:cs="Arial"/>
          <w:i/>
          <w:iCs/>
          <w:color w:val="000000"/>
          <w:sz w:val="22"/>
          <w:szCs w:val="22"/>
        </w:rPr>
        <w:t>mantenimiento</w:t>
      </w:r>
      <w:r>
        <w:rPr>
          <w:rFonts w:ascii="Arial" w:hAnsi="Arial" w:cs="Arial"/>
          <w:color w:val="000000"/>
          <w:sz w:val="22"/>
          <w:szCs w:val="22"/>
        </w:rPr>
        <w:t xml:space="preserve"> es definido como el «</w:t>
      </w:r>
      <w:r w:rsidRPr="00BF56EC">
        <w:rPr>
          <w:rFonts w:ascii="Arial" w:hAnsi="Arial" w:cs="Arial"/>
          <w:color w:val="000000"/>
          <w:sz w:val="22"/>
          <w:szCs w:val="22"/>
        </w:rPr>
        <w:t xml:space="preserve">Conjunto de actuaciones y operaciones que con periodicidad </w:t>
      </w:r>
      <w:r>
        <w:rPr>
          <w:rFonts w:ascii="Arial" w:hAnsi="Arial" w:cs="Arial"/>
          <w:color w:val="000000"/>
          <w:sz w:val="22"/>
          <w:szCs w:val="22"/>
        </w:rPr>
        <w:t xml:space="preserve">[…] </w:t>
      </w:r>
      <w:r w:rsidRPr="00BF56EC">
        <w:rPr>
          <w:rFonts w:ascii="Arial" w:hAnsi="Arial" w:cs="Arial"/>
          <w:color w:val="000000"/>
          <w:sz w:val="22"/>
          <w:szCs w:val="22"/>
        </w:rPr>
        <w:t>se llevan a cabo en una infraestructura para preservar su valor patrimonial y facilitar su uso permanente de forma funcional y segura</w:t>
      </w:r>
      <w:r>
        <w:rPr>
          <w:rFonts w:ascii="Arial" w:hAnsi="Arial" w:cs="Arial"/>
          <w:color w:val="000000"/>
          <w:sz w:val="22"/>
          <w:szCs w:val="22"/>
        </w:rPr>
        <w:t xml:space="preserve">». Por su parte, el </w:t>
      </w:r>
      <w:r w:rsidRPr="006E2C60">
        <w:rPr>
          <w:rFonts w:ascii="Arial" w:hAnsi="Arial" w:cs="Arial"/>
          <w:i/>
          <w:iCs/>
          <w:color w:val="000000"/>
          <w:sz w:val="22"/>
          <w:szCs w:val="22"/>
        </w:rPr>
        <w:t>mejoramiento</w:t>
      </w:r>
      <w:r>
        <w:rPr>
          <w:rFonts w:ascii="Arial" w:hAnsi="Arial" w:cs="Arial"/>
          <w:i/>
          <w:iCs/>
          <w:color w:val="000000"/>
          <w:sz w:val="22"/>
          <w:szCs w:val="22"/>
        </w:rPr>
        <w:t xml:space="preserve"> </w:t>
      </w:r>
      <w:r>
        <w:rPr>
          <w:rFonts w:ascii="Arial" w:hAnsi="Arial" w:cs="Arial"/>
          <w:color w:val="000000"/>
          <w:sz w:val="22"/>
          <w:szCs w:val="22"/>
        </w:rPr>
        <w:t xml:space="preserve">se encuentra asociado a «[…] </w:t>
      </w:r>
      <w:r w:rsidRPr="007F5C7A">
        <w:rPr>
          <w:rFonts w:ascii="Arial" w:hAnsi="Arial" w:cs="Arial"/>
          <w:color w:val="000000"/>
          <w:sz w:val="22"/>
          <w:szCs w:val="22"/>
        </w:rPr>
        <w:t>el cambio de especificaciones y dimensiones de la obra; para lo cual, se hace necesaria la construcción de obras en infraestructura ya existente, que permitan una adecuación de la obra a los niveles de servicio requeridos por las condiciones actuales y proyectadas</w:t>
      </w:r>
      <w:r>
        <w:rPr>
          <w:rFonts w:ascii="Arial" w:hAnsi="Arial" w:cs="Arial"/>
          <w:color w:val="000000"/>
          <w:sz w:val="22"/>
          <w:szCs w:val="22"/>
        </w:rPr>
        <w:t>»</w:t>
      </w:r>
      <w:r w:rsidRPr="007F5C7A">
        <w:rPr>
          <w:rFonts w:ascii="Arial" w:hAnsi="Arial" w:cs="Arial"/>
          <w:color w:val="000000"/>
          <w:sz w:val="22"/>
          <w:szCs w:val="22"/>
        </w:rPr>
        <w:t>.</w:t>
      </w:r>
      <w:r>
        <w:rPr>
          <w:rFonts w:ascii="Arial" w:hAnsi="Arial" w:cs="Arial"/>
          <w:color w:val="000000"/>
          <w:sz w:val="22"/>
          <w:szCs w:val="22"/>
        </w:rPr>
        <w:t xml:space="preserve"> En relación con la </w:t>
      </w:r>
      <w:r w:rsidRPr="006E2C60">
        <w:rPr>
          <w:rFonts w:ascii="Arial" w:hAnsi="Arial" w:cs="Arial"/>
          <w:i/>
          <w:iCs/>
          <w:color w:val="000000"/>
          <w:sz w:val="22"/>
          <w:szCs w:val="22"/>
        </w:rPr>
        <w:t>rehabilitación</w:t>
      </w:r>
      <w:r>
        <w:rPr>
          <w:rFonts w:ascii="Arial" w:hAnsi="Arial" w:cs="Arial"/>
          <w:i/>
          <w:iCs/>
          <w:color w:val="000000"/>
          <w:sz w:val="22"/>
          <w:szCs w:val="22"/>
        </w:rPr>
        <w:t xml:space="preserve"> </w:t>
      </w:r>
      <w:r>
        <w:rPr>
          <w:rFonts w:ascii="Arial" w:hAnsi="Arial" w:cs="Arial"/>
          <w:color w:val="000000"/>
          <w:sz w:val="22"/>
          <w:szCs w:val="22"/>
        </w:rPr>
        <w:t xml:space="preserve">se tiene que esta corresponde a «[…] </w:t>
      </w:r>
      <w:r w:rsidRPr="007F5C7A">
        <w:rPr>
          <w:rFonts w:ascii="Arial" w:hAnsi="Arial" w:cs="Arial"/>
          <w:color w:val="000000"/>
          <w:sz w:val="22"/>
          <w:szCs w:val="22"/>
        </w:rPr>
        <w:t>las actividades que tienen por objeto reconstruir o recuperar las condiciones estructurales y funcionales iniciales de la obra de manera que se cumplan las especificaciones técnicas con que fue diseñada</w:t>
      </w:r>
      <w:r>
        <w:rPr>
          <w:rFonts w:ascii="Arial" w:hAnsi="Arial" w:cs="Arial"/>
          <w:color w:val="000000"/>
          <w:sz w:val="22"/>
          <w:szCs w:val="22"/>
        </w:rPr>
        <w:t xml:space="preserve">». </w:t>
      </w:r>
    </w:p>
    <w:p w14:paraId="0A157E38" w14:textId="77777777" w:rsidR="00241218" w:rsidRPr="00241218" w:rsidRDefault="00241218" w:rsidP="00573BED">
      <w:pPr>
        <w:spacing w:before="240" w:line="276" w:lineRule="auto"/>
        <w:jc w:val="both"/>
        <w:rPr>
          <w:rFonts w:ascii="Arial" w:hAnsi="Arial" w:cs="Arial"/>
          <w:bCs/>
          <w:sz w:val="22"/>
          <w:szCs w:val="22"/>
          <w:lang w:val="es-ES_tradnl" w:eastAsia="es-CO"/>
        </w:rPr>
      </w:pPr>
      <w:r w:rsidRPr="00241218">
        <w:rPr>
          <w:rFonts w:ascii="Arial" w:hAnsi="Arial" w:cs="Arial"/>
          <w:bCs/>
          <w:sz w:val="22"/>
          <w:szCs w:val="22"/>
          <w:lang w:val="es-ES_tradnl" w:eastAsia="es-CO"/>
        </w:rPr>
        <w:t xml:space="preserve">Este concepto tiene el alcance previsto en el artículo 28 del Código de Procedimiento Administrativo y de lo Contencioso Administrativo. </w:t>
      </w:r>
    </w:p>
    <w:p w14:paraId="73353508" w14:textId="51FE33EB" w:rsidR="00EE6A82" w:rsidRPr="00691AAC" w:rsidRDefault="00EE6A82" w:rsidP="00573BED">
      <w:pPr>
        <w:spacing w:before="240" w:line="300" w:lineRule="auto"/>
        <w:jc w:val="both"/>
        <w:rPr>
          <w:rFonts w:ascii="Arial" w:hAnsi="Arial" w:cs="Arial"/>
          <w:color w:val="161616" w:themeColor="background1" w:themeShade="1A"/>
          <w:sz w:val="22"/>
          <w:szCs w:val="22"/>
          <w:lang w:val="es-ES_tradnl" w:eastAsia="es-CO"/>
        </w:rPr>
      </w:pPr>
      <w:r w:rsidRPr="00691AAC">
        <w:rPr>
          <w:rFonts w:ascii="Arial" w:hAnsi="Arial" w:cs="Arial"/>
          <w:color w:val="161616" w:themeColor="background1" w:themeShade="1A"/>
          <w:sz w:val="22"/>
          <w:szCs w:val="22"/>
          <w:lang w:val="es-ES_tradnl" w:eastAsia="es-CO"/>
        </w:rPr>
        <w:t>Atentamente,</w:t>
      </w:r>
    </w:p>
    <w:bookmarkEnd w:id="5"/>
    <w:bookmarkEnd w:id="12"/>
    <w:bookmarkEnd w:id="13"/>
    <w:p w14:paraId="35B56F46" w14:textId="1DBE8C67" w:rsidR="00746E08" w:rsidRDefault="00746E08" w:rsidP="0022167B">
      <w:pPr>
        <w:jc w:val="center"/>
        <w:rPr>
          <w:rFonts w:ascii="Arial" w:hAnsi="Arial" w:cs="Arial"/>
          <w:color w:val="161616" w:themeColor="background1" w:themeShade="1A"/>
          <w:sz w:val="22"/>
          <w:szCs w:val="22"/>
          <w:lang w:val="es-ES_tradnl" w:eastAsia="es-CO"/>
        </w:rPr>
      </w:pPr>
    </w:p>
    <w:p w14:paraId="4F9A2D6B" w14:textId="321D026B" w:rsidR="006C2816" w:rsidRDefault="0011344A" w:rsidP="0022167B">
      <w:pPr>
        <w:jc w:val="center"/>
        <w:rPr>
          <w:rFonts w:ascii="Arial" w:hAnsi="Arial" w:cs="Arial"/>
          <w:color w:val="161616" w:themeColor="background1" w:themeShade="1A"/>
          <w:sz w:val="22"/>
          <w:szCs w:val="22"/>
          <w:lang w:val="es-ES_tradnl"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4540D208" wp14:editId="2036D40C">
            <wp:simplePos x="0" y="0"/>
            <wp:positionH relativeFrom="margin">
              <wp:posOffset>1600200</wp:posOffset>
            </wp:positionH>
            <wp:positionV relativeFrom="paragraph">
              <wp:posOffset>39370</wp:posOffset>
            </wp:positionV>
            <wp:extent cx="2200275" cy="934085"/>
            <wp:effectExtent l="0" t="0" r="9525" b="0"/>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51590AE0" w14:textId="60030439" w:rsidR="006C2816" w:rsidRDefault="006C2816" w:rsidP="0022167B">
      <w:pPr>
        <w:jc w:val="center"/>
        <w:rPr>
          <w:rFonts w:ascii="Arial" w:hAnsi="Arial" w:cs="Arial"/>
          <w:color w:val="161616" w:themeColor="background1" w:themeShade="1A"/>
          <w:sz w:val="22"/>
          <w:szCs w:val="22"/>
          <w:lang w:val="es-ES_tradnl" w:eastAsia="es-CO"/>
        </w:rPr>
      </w:pPr>
    </w:p>
    <w:p w14:paraId="6EC5D82B" w14:textId="3702E52E" w:rsidR="006C2816" w:rsidRDefault="006C2816" w:rsidP="0022167B">
      <w:pPr>
        <w:jc w:val="center"/>
        <w:rPr>
          <w:rFonts w:ascii="Arial" w:hAnsi="Arial" w:cs="Arial"/>
          <w:color w:val="161616" w:themeColor="background1" w:themeShade="1A"/>
          <w:sz w:val="22"/>
          <w:szCs w:val="22"/>
          <w:lang w:val="es-ES_tradnl" w:eastAsia="es-CO"/>
        </w:rPr>
      </w:pPr>
    </w:p>
    <w:p w14:paraId="051EDD6C" w14:textId="0C212532" w:rsidR="006C2816" w:rsidRDefault="006C2816" w:rsidP="0022167B">
      <w:pPr>
        <w:jc w:val="center"/>
        <w:rPr>
          <w:rFonts w:ascii="Arial" w:hAnsi="Arial" w:cs="Arial"/>
          <w:color w:val="161616" w:themeColor="background1" w:themeShade="1A"/>
          <w:sz w:val="22"/>
          <w:szCs w:val="22"/>
          <w:lang w:val="es-ES_tradnl" w:eastAsia="es-CO"/>
        </w:rPr>
      </w:pPr>
    </w:p>
    <w:p w14:paraId="6E9CA20A" w14:textId="2776913E" w:rsidR="006C2816" w:rsidRDefault="006C2816" w:rsidP="0022167B">
      <w:pPr>
        <w:jc w:val="center"/>
        <w:rPr>
          <w:rFonts w:ascii="Arial" w:hAnsi="Arial" w:cs="Arial"/>
          <w:color w:val="161616" w:themeColor="background1" w:themeShade="1A"/>
          <w:sz w:val="22"/>
          <w:szCs w:val="22"/>
          <w:lang w:val="es-ES_tradnl" w:eastAsia="es-CO"/>
        </w:rPr>
      </w:pPr>
    </w:p>
    <w:p w14:paraId="0AAED21E" w14:textId="4E4CF3F6" w:rsidR="006C2816" w:rsidRDefault="006C2816" w:rsidP="0022167B">
      <w:pPr>
        <w:jc w:val="center"/>
        <w:rPr>
          <w:rFonts w:ascii="Arial" w:hAnsi="Arial" w:cs="Arial"/>
          <w:color w:val="161616" w:themeColor="background1" w:themeShade="1A"/>
          <w:sz w:val="22"/>
          <w:szCs w:val="22"/>
          <w:lang w:val="es-ES_tradnl" w:eastAsia="es-CO"/>
        </w:rPr>
      </w:pPr>
    </w:p>
    <w:p w14:paraId="19119C1A" w14:textId="77777777" w:rsidR="00454D64" w:rsidRPr="00691AAC" w:rsidRDefault="00454D64" w:rsidP="0011344A">
      <w:pP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365559" w:rsidRPr="00691AAC" w14:paraId="4CCF77F6" w14:textId="77777777" w:rsidTr="00EA4372">
        <w:trPr>
          <w:trHeight w:val="286"/>
        </w:trPr>
        <w:tc>
          <w:tcPr>
            <w:tcW w:w="817" w:type="dxa"/>
            <w:vAlign w:val="center"/>
          </w:tcPr>
          <w:p w14:paraId="5E8C42ED" w14:textId="77777777" w:rsidR="00365559" w:rsidRPr="00691AAC" w:rsidRDefault="00365559" w:rsidP="00EA4372">
            <w:pPr>
              <w:rPr>
                <w:rFonts w:ascii="Arial" w:hAnsi="Arial" w:cs="Arial"/>
                <w:sz w:val="16"/>
                <w:szCs w:val="16"/>
              </w:rPr>
            </w:pPr>
            <w:r w:rsidRPr="00691AAC">
              <w:rPr>
                <w:rFonts w:ascii="Arial" w:hAnsi="Arial" w:cs="Arial"/>
                <w:sz w:val="16"/>
                <w:szCs w:val="16"/>
              </w:rPr>
              <w:t>Elaboró:</w:t>
            </w:r>
          </w:p>
        </w:tc>
        <w:tc>
          <w:tcPr>
            <w:tcW w:w="4445" w:type="dxa"/>
            <w:tcBorders>
              <w:bottom w:val="dotted" w:sz="4" w:space="0" w:color="7F7F7F"/>
            </w:tcBorders>
            <w:vAlign w:val="center"/>
          </w:tcPr>
          <w:p w14:paraId="45F069FF" w14:textId="77777777" w:rsidR="00365559" w:rsidRPr="00691AAC" w:rsidRDefault="00365559" w:rsidP="00EA4372">
            <w:pPr>
              <w:rPr>
                <w:rFonts w:ascii="Arial" w:hAnsi="Arial" w:cs="Arial"/>
                <w:sz w:val="16"/>
                <w:szCs w:val="16"/>
              </w:rPr>
            </w:pPr>
            <w:r w:rsidRPr="00691AAC">
              <w:rPr>
                <w:rFonts w:ascii="Arial" w:hAnsi="Arial" w:cs="Arial"/>
                <w:sz w:val="16"/>
                <w:szCs w:val="16"/>
              </w:rPr>
              <w:t xml:space="preserve">Diana Fabiola Herrera Hernández </w:t>
            </w:r>
          </w:p>
          <w:p w14:paraId="331F24B1" w14:textId="77777777" w:rsidR="00365559" w:rsidRPr="00691AAC" w:rsidRDefault="00365559" w:rsidP="00EA4372">
            <w:pPr>
              <w:rPr>
                <w:rFonts w:ascii="Arial" w:hAnsi="Arial" w:cs="Arial"/>
                <w:sz w:val="16"/>
                <w:szCs w:val="16"/>
              </w:rPr>
            </w:pPr>
            <w:r w:rsidRPr="00691AAC">
              <w:rPr>
                <w:rFonts w:ascii="Arial" w:hAnsi="Arial" w:cs="Arial"/>
                <w:sz w:val="16"/>
                <w:szCs w:val="16"/>
              </w:rPr>
              <w:t>Contratista de la Subdirección de Gestión Contractual</w:t>
            </w:r>
          </w:p>
        </w:tc>
      </w:tr>
      <w:tr w:rsidR="00365559" w:rsidRPr="00691AAC" w14:paraId="15F783E9" w14:textId="77777777" w:rsidTr="00EA4372">
        <w:trPr>
          <w:trHeight w:val="299"/>
        </w:trPr>
        <w:tc>
          <w:tcPr>
            <w:tcW w:w="817" w:type="dxa"/>
            <w:vAlign w:val="center"/>
          </w:tcPr>
          <w:p w14:paraId="4E39F427" w14:textId="77777777" w:rsidR="00365559" w:rsidRPr="00691AAC" w:rsidRDefault="00365559" w:rsidP="00EA4372">
            <w:pPr>
              <w:rPr>
                <w:rFonts w:ascii="Arial" w:hAnsi="Arial" w:cs="Arial"/>
                <w:sz w:val="16"/>
                <w:szCs w:val="16"/>
              </w:rPr>
            </w:pPr>
            <w:r w:rsidRPr="00691AAC">
              <w:rPr>
                <w:rFonts w:ascii="Arial" w:hAnsi="Arial" w:cs="Arial"/>
                <w:sz w:val="16"/>
                <w:szCs w:val="16"/>
              </w:rPr>
              <w:t>Revisó:</w:t>
            </w:r>
          </w:p>
        </w:tc>
        <w:tc>
          <w:tcPr>
            <w:tcW w:w="4445" w:type="dxa"/>
            <w:tcBorders>
              <w:top w:val="dotted" w:sz="4" w:space="0" w:color="7F7F7F"/>
              <w:bottom w:val="dotted" w:sz="4" w:space="0" w:color="7F7F7F"/>
            </w:tcBorders>
            <w:vAlign w:val="center"/>
          </w:tcPr>
          <w:p w14:paraId="20586991" w14:textId="77777777" w:rsidR="00365559" w:rsidRPr="00691AAC" w:rsidRDefault="00365559" w:rsidP="00EA4372">
            <w:pPr>
              <w:rPr>
                <w:rFonts w:ascii="Arial" w:hAnsi="Arial" w:cs="Arial"/>
                <w:sz w:val="16"/>
                <w:szCs w:val="16"/>
              </w:rPr>
            </w:pPr>
            <w:r w:rsidRPr="00691AAC">
              <w:rPr>
                <w:rFonts w:ascii="Arial" w:hAnsi="Arial" w:cs="Arial"/>
                <w:sz w:val="16"/>
                <w:szCs w:val="16"/>
              </w:rPr>
              <w:t>Alejandro Sarmiento Cantillo</w:t>
            </w:r>
          </w:p>
          <w:p w14:paraId="7AD69AA4" w14:textId="77777777" w:rsidR="00365559" w:rsidRPr="00691AAC" w:rsidRDefault="00365559" w:rsidP="00EA4372">
            <w:pPr>
              <w:rPr>
                <w:rFonts w:ascii="Arial" w:hAnsi="Arial" w:cs="Arial"/>
                <w:sz w:val="16"/>
                <w:szCs w:val="16"/>
              </w:rPr>
            </w:pPr>
            <w:r w:rsidRPr="00691AAC">
              <w:rPr>
                <w:rFonts w:ascii="Arial" w:hAnsi="Arial" w:cs="Arial"/>
                <w:sz w:val="16"/>
                <w:szCs w:val="16"/>
              </w:rPr>
              <w:t>Gestor T1-15 de la Subdirección de Gestión Contractual</w:t>
            </w:r>
          </w:p>
        </w:tc>
      </w:tr>
      <w:tr w:rsidR="00365559" w:rsidRPr="00691AAC" w14:paraId="641F9728" w14:textId="77777777" w:rsidTr="00EA4372">
        <w:trPr>
          <w:trHeight w:val="272"/>
        </w:trPr>
        <w:tc>
          <w:tcPr>
            <w:tcW w:w="817" w:type="dxa"/>
            <w:vAlign w:val="center"/>
          </w:tcPr>
          <w:p w14:paraId="538C3EB6" w14:textId="77777777" w:rsidR="00365559" w:rsidRPr="00691AAC" w:rsidRDefault="00365559" w:rsidP="00EA4372">
            <w:pPr>
              <w:rPr>
                <w:rFonts w:ascii="Arial" w:hAnsi="Arial" w:cs="Arial"/>
                <w:sz w:val="16"/>
                <w:szCs w:val="16"/>
              </w:rPr>
            </w:pPr>
            <w:r w:rsidRPr="00691AAC">
              <w:rPr>
                <w:rFonts w:ascii="Arial" w:hAnsi="Arial" w:cs="Arial"/>
                <w:sz w:val="16"/>
                <w:szCs w:val="16"/>
              </w:rPr>
              <w:t>Aprobó:</w:t>
            </w:r>
          </w:p>
        </w:tc>
        <w:tc>
          <w:tcPr>
            <w:tcW w:w="4445" w:type="dxa"/>
            <w:tcBorders>
              <w:top w:val="dotted" w:sz="4" w:space="0" w:color="7F7F7F"/>
              <w:bottom w:val="dotted" w:sz="4" w:space="0" w:color="7F7F7F"/>
            </w:tcBorders>
            <w:vAlign w:val="center"/>
          </w:tcPr>
          <w:p w14:paraId="6EFF24DF" w14:textId="77777777" w:rsidR="006C2816" w:rsidRPr="006C2816" w:rsidRDefault="006C2816" w:rsidP="006C2816">
            <w:pPr>
              <w:rPr>
                <w:rFonts w:ascii="Arial" w:hAnsi="Arial" w:cs="Arial"/>
                <w:sz w:val="16"/>
                <w:szCs w:val="16"/>
              </w:rPr>
            </w:pPr>
            <w:r w:rsidRPr="006C2816">
              <w:rPr>
                <w:rFonts w:ascii="Arial" w:hAnsi="Arial" w:cs="Arial"/>
                <w:sz w:val="16"/>
                <w:szCs w:val="16"/>
              </w:rPr>
              <w:t>Jorge Augusto Tirado Navarro</w:t>
            </w:r>
          </w:p>
          <w:p w14:paraId="52781738" w14:textId="4D3663DD" w:rsidR="00365559" w:rsidRPr="00691AAC" w:rsidRDefault="006C2816" w:rsidP="006C2816">
            <w:pPr>
              <w:rPr>
                <w:rFonts w:ascii="Arial" w:hAnsi="Arial" w:cs="Arial"/>
                <w:sz w:val="16"/>
                <w:szCs w:val="16"/>
              </w:rPr>
            </w:pPr>
            <w:r w:rsidRPr="006C2816">
              <w:rPr>
                <w:rFonts w:ascii="Arial" w:hAnsi="Arial" w:cs="Arial"/>
                <w:sz w:val="16"/>
                <w:szCs w:val="16"/>
              </w:rPr>
              <w:t>Subdirector de Gestión Contractual ANCP – CCE</w:t>
            </w:r>
          </w:p>
        </w:tc>
      </w:tr>
    </w:tbl>
    <w:p w14:paraId="46A2D6C9" w14:textId="77777777" w:rsidR="00123BE2" w:rsidRPr="00874FB6" w:rsidRDefault="00123BE2" w:rsidP="0022167B">
      <w:pPr>
        <w:rPr>
          <w:rFonts w:ascii="Arial" w:hAnsi="Arial" w:cs="Arial"/>
          <w:color w:val="161616" w:themeColor="background1" w:themeShade="1A"/>
          <w:sz w:val="22"/>
          <w:szCs w:val="22"/>
        </w:rPr>
      </w:pPr>
    </w:p>
    <w:sectPr w:rsidR="00123BE2" w:rsidRPr="00874FB6"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9B5F" w14:textId="77777777" w:rsidR="006A53FD" w:rsidRDefault="006A53FD">
      <w:r>
        <w:separator/>
      </w:r>
    </w:p>
  </w:endnote>
  <w:endnote w:type="continuationSeparator" w:id="0">
    <w:p w14:paraId="30AD8229" w14:textId="77777777" w:rsidR="006A53FD" w:rsidRDefault="006A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A17A2">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A17A2">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C441" w14:textId="77777777" w:rsidR="006A53FD" w:rsidRDefault="006A53FD">
      <w:r>
        <w:separator/>
      </w:r>
    </w:p>
  </w:footnote>
  <w:footnote w:type="continuationSeparator" w:id="0">
    <w:p w14:paraId="23360476" w14:textId="77777777" w:rsidR="006A53FD" w:rsidRDefault="006A53FD">
      <w:r>
        <w:continuationSeparator/>
      </w:r>
    </w:p>
  </w:footnote>
  <w:footnote w:id="1">
    <w:p w14:paraId="52DED49D" w14:textId="77777777" w:rsidR="002E448A" w:rsidRPr="00874FB6" w:rsidRDefault="002E448A" w:rsidP="00874FB6">
      <w:pPr>
        <w:pStyle w:val="Textonotapie"/>
        <w:spacing w:before="0" w:after="0" w:line="240" w:lineRule="auto"/>
        <w:ind w:firstLine="708"/>
        <w:rPr>
          <w:rFonts w:ascii="Arial" w:hAnsi="Arial" w:cs="Arial"/>
          <w:sz w:val="18"/>
          <w:szCs w:val="18"/>
          <w:lang w:val="es-ES"/>
        </w:rPr>
      </w:pPr>
      <w:r w:rsidRPr="00874FB6">
        <w:rPr>
          <w:rStyle w:val="Refdenotaalpie"/>
          <w:rFonts w:ascii="Arial" w:hAnsi="Arial" w:cs="Arial"/>
          <w:sz w:val="18"/>
          <w:szCs w:val="18"/>
        </w:rPr>
        <w:footnoteRef/>
      </w:r>
      <w:r w:rsidRPr="00874FB6">
        <w:rPr>
          <w:rFonts w:ascii="Arial" w:hAnsi="Arial" w:cs="Arial"/>
          <w:sz w:val="18"/>
          <w:szCs w:val="18"/>
        </w:rPr>
        <w:t xml:space="preserve"> </w:t>
      </w:r>
      <w:r w:rsidRPr="00874FB6">
        <w:rPr>
          <w:rFonts w:ascii="Arial" w:hAnsi="Arial" w:cs="Arial"/>
          <w:sz w:val="18"/>
          <w:szCs w:val="18"/>
          <w:lang w:val="es-ES"/>
        </w:rPr>
        <w:t xml:space="preserve">COLOMBIA COMPRA EFICIENTE. Guía de Garantías en Proceso de Contratación. Disponible en: </w:t>
      </w:r>
      <w:hyperlink r:id="rId1" w:history="1">
        <w:r w:rsidRPr="00874FB6">
          <w:rPr>
            <w:rStyle w:val="Hipervnculo"/>
            <w:rFonts w:ascii="Arial" w:hAnsi="Arial" w:cs="Arial"/>
            <w:color w:val="auto"/>
            <w:sz w:val="18"/>
            <w:szCs w:val="18"/>
            <w:lang w:val="es-ES"/>
          </w:rPr>
          <w:t>https://www.colombiacompra.gov.co/sites/cce_public/files/cce_documents/cce_guia_garantias.pdf</w:t>
        </w:r>
      </w:hyperlink>
      <w:r w:rsidRPr="00874FB6">
        <w:rPr>
          <w:rFonts w:ascii="Arial" w:hAnsi="Arial" w:cs="Arial"/>
          <w:sz w:val="18"/>
          <w:szCs w:val="18"/>
          <w:lang w:val="es-ES"/>
        </w:rPr>
        <w:t xml:space="preserve"> </w:t>
      </w:r>
    </w:p>
    <w:p w14:paraId="498F67DF" w14:textId="77777777" w:rsidR="002E448A" w:rsidRPr="00874FB6" w:rsidRDefault="002E448A" w:rsidP="00874FB6">
      <w:pPr>
        <w:pStyle w:val="Textonotapie"/>
        <w:spacing w:before="0" w:after="0" w:line="240" w:lineRule="auto"/>
        <w:rPr>
          <w:rFonts w:ascii="Arial" w:hAnsi="Arial" w:cs="Arial"/>
          <w:sz w:val="18"/>
          <w:szCs w:val="18"/>
        </w:rPr>
      </w:pPr>
    </w:p>
  </w:footnote>
  <w:footnote w:id="2">
    <w:p w14:paraId="1D90B1E0" w14:textId="77777777" w:rsidR="002E448A" w:rsidRPr="00874FB6" w:rsidRDefault="002E448A" w:rsidP="00874FB6">
      <w:pPr>
        <w:pStyle w:val="Textonotapie"/>
        <w:spacing w:before="0" w:after="0" w:line="240" w:lineRule="auto"/>
        <w:ind w:firstLine="708"/>
        <w:rPr>
          <w:rFonts w:ascii="Arial" w:hAnsi="Arial" w:cs="Arial"/>
          <w:sz w:val="18"/>
          <w:szCs w:val="18"/>
          <w:lang w:val="es-ES"/>
        </w:rPr>
      </w:pPr>
      <w:r w:rsidRPr="00874FB6">
        <w:rPr>
          <w:rStyle w:val="Refdenotaalpie"/>
          <w:rFonts w:ascii="Arial" w:hAnsi="Arial" w:cs="Arial"/>
          <w:sz w:val="18"/>
          <w:szCs w:val="18"/>
        </w:rPr>
        <w:footnoteRef/>
      </w:r>
      <w:r w:rsidRPr="00874FB6">
        <w:rPr>
          <w:rFonts w:ascii="Arial" w:hAnsi="Arial" w:cs="Arial"/>
          <w:sz w:val="18"/>
          <w:szCs w:val="18"/>
        </w:rPr>
        <w:t xml:space="preserve"> </w:t>
      </w:r>
      <w:r w:rsidRPr="00874FB6">
        <w:rPr>
          <w:rFonts w:ascii="Arial" w:hAnsi="Arial" w:cs="Arial"/>
          <w:sz w:val="18"/>
          <w:szCs w:val="18"/>
          <w:lang w:val="es-ES"/>
        </w:rPr>
        <w:t xml:space="preserve">COLOMBIA COMPRA EFICIENTE. Síntesis: 8. Etapa precontractual: Garantía de cumplimiento del contrato estatal. </w:t>
      </w:r>
    </w:p>
    <w:p w14:paraId="5304AC60" w14:textId="77777777" w:rsidR="002E448A" w:rsidRPr="00874FB6" w:rsidRDefault="002E448A" w:rsidP="00874FB6">
      <w:pPr>
        <w:pStyle w:val="Textonotapie"/>
        <w:spacing w:before="0" w:after="0" w:line="240" w:lineRule="auto"/>
        <w:ind w:firstLine="708"/>
        <w:rPr>
          <w:rFonts w:ascii="Arial" w:hAnsi="Arial" w:cs="Arial"/>
          <w:sz w:val="18"/>
          <w:szCs w:val="18"/>
        </w:rPr>
      </w:pPr>
    </w:p>
  </w:footnote>
  <w:footnote w:id="3">
    <w:p w14:paraId="7555BC15"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Style w:val="Refdenotaalpie"/>
          <w:rFonts w:ascii="Arial" w:hAnsi="Arial" w:cs="Arial"/>
          <w:sz w:val="18"/>
          <w:szCs w:val="18"/>
        </w:rPr>
        <w:footnoteRef/>
      </w:r>
      <w:r w:rsidRPr="00874FB6">
        <w:rPr>
          <w:rFonts w:ascii="Arial" w:hAnsi="Arial" w:cs="Arial"/>
          <w:sz w:val="18"/>
          <w:szCs w:val="18"/>
        </w:rPr>
        <w:t xml:space="preserve"> La norma citada dispone: «Artículo 2.2.1.2.3.1.7. Garantía de cumplimiento. La garantía de cumplimiento del contrato debe cubrir:</w:t>
      </w:r>
    </w:p>
    <w:p w14:paraId="751D7054"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056B4CB7"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006AC840"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»3.    Cumplimiento del contrato. Este amparo cubre a la Entidad Estatal de los perjuicios derivados de:</w:t>
      </w:r>
    </w:p>
    <w:p w14:paraId="1B90E278"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»3.1.   El incumplimiento total o parcial del contrato, cuando el incumplimiento es imputable al contratista;</w:t>
      </w:r>
    </w:p>
    <w:p w14:paraId="204CD74F"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»3.2.   El cumplimiento tardío o defectuoso del contrato, cuando el incumplimiento es imputable al contratista;</w:t>
      </w:r>
    </w:p>
    <w:p w14:paraId="3EECBC24"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»3.3.   Los daños imputables al contratista por entregas parciales de la obra, cuando el contrato no prevé entregas parciales; y</w:t>
      </w:r>
    </w:p>
    <w:p w14:paraId="1AFA8962"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»3.4.   El pago del valor de las multas y de la cláusula penal pecuniaria.</w:t>
      </w:r>
    </w:p>
    <w:p w14:paraId="18753DBC"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64CE138F"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»La Entidad Estatal no debe exigir una garantía para cubrir este Riesgo en los contratos que se ejecuten fuera del territorio nacional con personal contratado bajo un régimen jurídico distinto al colombiano.</w:t>
      </w:r>
    </w:p>
    <w:p w14:paraId="50D152FA"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»5.    Estabilidad y calidad de la obra. Este amparo cubre a la Entidad Estatal de los perjuicios ocasionados por cualquier tipo de daño o deterioro, imputable al contratista, sufrido por la obra entregada a satisfacción.</w:t>
      </w:r>
    </w:p>
    <w:p w14:paraId="09692E98"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»6.    Calidad del servicio. Este amparo cubre a la Entidad Estatal por los perjuicios deri­vados de la deficiente calidad del servicio prestado.</w:t>
      </w:r>
    </w:p>
    <w:p w14:paraId="232D34AB"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»7.    Calidad y correcto funcionamiento de los bienes. Este amparo debe cubrir la calidad y el correcto funcionamiento de los bienes que recibe la Entidad Estatal en cumplimiento de un contrato.</w:t>
      </w:r>
    </w:p>
    <w:p w14:paraId="184A477C"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Fonts w:ascii="Arial" w:hAnsi="Arial" w:cs="Arial"/>
          <w:sz w:val="18"/>
          <w:szCs w:val="18"/>
        </w:rPr>
        <w:t>»8.    Los demás incumplimientos de obligaciones que la Entidad Estatal considere deben ser amparados de manera proporcional y acorde a la naturaleza del contrato».</w:t>
      </w:r>
    </w:p>
  </w:footnote>
  <w:footnote w:id="4">
    <w:p w14:paraId="74A51ED5" w14:textId="77777777" w:rsidR="002E448A" w:rsidRPr="00874FB6" w:rsidRDefault="002E448A" w:rsidP="00874FB6">
      <w:pPr>
        <w:pStyle w:val="Textonotapie"/>
        <w:spacing w:before="0" w:after="0" w:line="240" w:lineRule="auto"/>
        <w:ind w:firstLine="708"/>
        <w:rPr>
          <w:rFonts w:ascii="Arial" w:hAnsi="Arial" w:cs="Arial"/>
          <w:sz w:val="18"/>
          <w:szCs w:val="18"/>
        </w:rPr>
      </w:pPr>
      <w:r w:rsidRPr="00874FB6">
        <w:rPr>
          <w:rStyle w:val="Refdenotaalpie"/>
          <w:rFonts w:ascii="Arial" w:hAnsi="Arial" w:cs="Arial"/>
          <w:sz w:val="18"/>
          <w:szCs w:val="18"/>
        </w:rPr>
        <w:footnoteRef/>
      </w:r>
      <w:r w:rsidRPr="00874FB6">
        <w:rPr>
          <w:rFonts w:ascii="Arial" w:hAnsi="Arial" w:cs="Arial"/>
          <w:sz w:val="18"/>
          <w:szCs w:val="18"/>
        </w:rPr>
        <w:t xml:space="preserve"> Consejo de Estado. Sección Tercera. Subsección B. Sentencia de 19 de junio de 2013. Exp. 25472. </w:t>
      </w:r>
    </w:p>
  </w:footnote>
  <w:footnote w:id="5">
    <w:p w14:paraId="13A0EC2B" w14:textId="77777777" w:rsidR="003B37DF" w:rsidRPr="00874FB6" w:rsidRDefault="003B37DF" w:rsidP="00874FB6">
      <w:pPr>
        <w:pStyle w:val="Textonotapie"/>
        <w:spacing w:line="240" w:lineRule="auto"/>
        <w:ind w:firstLine="708"/>
        <w:rPr>
          <w:rFonts w:ascii="Arial" w:eastAsia="Calibri" w:hAnsi="Arial" w:cs="Arial"/>
          <w:sz w:val="18"/>
          <w:szCs w:val="18"/>
          <w:lang w:val="es-ES_tradnl"/>
        </w:rPr>
      </w:pPr>
      <w:r w:rsidRPr="00874FB6">
        <w:rPr>
          <w:rStyle w:val="Refdenotaalpie"/>
          <w:rFonts w:ascii="Arial" w:hAnsi="Arial" w:cs="Arial"/>
          <w:sz w:val="18"/>
          <w:szCs w:val="18"/>
        </w:rPr>
        <w:footnoteRef/>
      </w:r>
      <w:r w:rsidRPr="00874FB6">
        <w:rPr>
          <w:rFonts w:ascii="Arial" w:hAnsi="Arial" w:cs="Arial"/>
          <w:sz w:val="18"/>
          <w:szCs w:val="18"/>
        </w:rPr>
        <w:t xml:space="preserve"> </w:t>
      </w:r>
      <w:r w:rsidRPr="00874FB6">
        <w:rPr>
          <w:rFonts w:ascii="Arial" w:eastAsia="Calibri" w:hAnsi="Arial" w:cs="Arial"/>
          <w:sz w:val="18"/>
          <w:szCs w:val="18"/>
          <w:lang w:val="es-ES_tradnl"/>
        </w:rPr>
        <w:t xml:space="preserve">Esta norma dispone que «Los contratos para construcción de edificios, celebrados con un empresario que se encarga de toda la obra por un precio único prefijado, se sujetan además a las reglas siguientes: </w:t>
      </w:r>
    </w:p>
    <w:p w14:paraId="1F90F182" w14:textId="77777777" w:rsidR="003B37DF" w:rsidRPr="00874FB6" w:rsidRDefault="003B37DF" w:rsidP="00874FB6">
      <w:pPr>
        <w:pStyle w:val="Textonotapie"/>
        <w:spacing w:line="240" w:lineRule="auto"/>
        <w:ind w:firstLine="708"/>
        <w:rPr>
          <w:rFonts w:ascii="Arial" w:eastAsia="Calibri" w:hAnsi="Arial" w:cs="Arial"/>
          <w:sz w:val="18"/>
          <w:szCs w:val="18"/>
          <w:lang w:val="es-ES_tradnl"/>
        </w:rPr>
      </w:pPr>
      <w:r w:rsidRPr="00874FB6">
        <w:rPr>
          <w:rFonts w:ascii="Arial" w:eastAsia="Calibri" w:hAnsi="Arial" w:cs="Arial"/>
          <w:sz w:val="18"/>
          <w:szCs w:val="18"/>
          <w:lang w:val="es-ES_tradnl"/>
        </w:rPr>
        <w:t xml:space="preserve">[…] </w:t>
      </w:r>
    </w:p>
    <w:p w14:paraId="168DD16F" w14:textId="77777777" w:rsidR="003B37DF" w:rsidRPr="00874FB6" w:rsidRDefault="003B37DF" w:rsidP="00874FB6">
      <w:pPr>
        <w:pStyle w:val="Textonotapie"/>
        <w:spacing w:line="240" w:lineRule="auto"/>
        <w:ind w:firstLine="708"/>
        <w:rPr>
          <w:rFonts w:ascii="Arial" w:hAnsi="Arial" w:cs="Arial"/>
          <w:sz w:val="18"/>
          <w:szCs w:val="18"/>
        </w:rPr>
      </w:pPr>
      <w:r w:rsidRPr="00874FB6">
        <w:rPr>
          <w:rFonts w:ascii="Arial" w:eastAsia="Calibri" w:hAnsi="Arial" w:cs="Arial"/>
          <w:sz w:val="18"/>
          <w:szCs w:val="18"/>
          <w:lang w:val="es-ES_tradnl"/>
        </w:rPr>
        <w:t>»3.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artículo 2041,2057 inciso final […]».</w:t>
      </w:r>
    </w:p>
    <w:p w14:paraId="59A8548F" w14:textId="77777777" w:rsidR="003B37DF" w:rsidRPr="00874FB6" w:rsidRDefault="003B37DF" w:rsidP="00874FB6">
      <w:pPr>
        <w:pStyle w:val="Textonotapie"/>
        <w:spacing w:line="240" w:lineRule="auto"/>
        <w:ind w:firstLine="708"/>
        <w:rPr>
          <w:rFonts w:ascii="Arial" w:hAnsi="Arial" w:cs="Arial"/>
          <w:sz w:val="18"/>
          <w:szCs w:val="18"/>
          <w:lang w:val="es-ES"/>
        </w:rPr>
      </w:pPr>
    </w:p>
  </w:footnote>
  <w:footnote w:id="6">
    <w:p w14:paraId="5DB5F955" w14:textId="23B1132F" w:rsidR="007F5C7A" w:rsidRDefault="007F5C7A" w:rsidP="00785FD8">
      <w:pPr>
        <w:pStyle w:val="Textonotapie"/>
        <w:ind w:firstLine="708"/>
        <w:rPr>
          <w:rFonts w:ascii="Arial" w:hAnsi="Arial" w:cs="Arial"/>
          <w:sz w:val="18"/>
          <w:szCs w:val="18"/>
        </w:rPr>
      </w:pPr>
      <w:r w:rsidRPr="00874FB6">
        <w:rPr>
          <w:rStyle w:val="Refdenotaalpie"/>
          <w:rFonts w:ascii="Arial" w:hAnsi="Arial" w:cs="Arial"/>
          <w:sz w:val="18"/>
          <w:szCs w:val="18"/>
        </w:rPr>
        <w:footnoteRef/>
      </w:r>
      <w:r w:rsidRPr="00874FB6">
        <w:rPr>
          <w:rFonts w:ascii="Arial" w:hAnsi="Arial" w:cs="Arial"/>
          <w:sz w:val="18"/>
          <w:szCs w:val="18"/>
        </w:rPr>
        <w:t xml:space="preserve"> </w:t>
      </w:r>
      <w:r w:rsidR="00874789" w:rsidRPr="00874FB6">
        <w:rPr>
          <w:rFonts w:ascii="Arial" w:hAnsi="Arial" w:cs="Arial"/>
          <w:sz w:val="18"/>
          <w:szCs w:val="18"/>
        </w:rPr>
        <w:t xml:space="preserve">TERMCAT CENTRE DE TERMINOLOGÍA. </w:t>
      </w:r>
      <w:r w:rsidR="00B948E7" w:rsidRPr="00874FB6">
        <w:rPr>
          <w:rFonts w:ascii="Arial" w:hAnsi="Arial" w:cs="Arial"/>
          <w:sz w:val="18"/>
          <w:szCs w:val="18"/>
        </w:rPr>
        <w:t>Diccionario de ingeniería civil</w:t>
      </w:r>
      <w:r w:rsidR="00874789" w:rsidRPr="00874FB6">
        <w:rPr>
          <w:rFonts w:ascii="Arial" w:hAnsi="Arial" w:cs="Arial"/>
          <w:sz w:val="18"/>
          <w:szCs w:val="18"/>
        </w:rPr>
        <w:t xml:space="preserve">. </w:t>
      </w:r>
      <w:r w:rsidR="00874FB6" w:rsidRPr="00874FB6">
        <w:rPr>
          <w:rFonts w:ascii="Arial" w:hAnsi="Arial" w:cs="Arial"/>
          <w:sz w:val="18"/>
          <w:szCs w:val="18"/>
        </w:rPr>
        <w:t>Recuperado</w:t>
      </w:r>
      <w:r w:rsidR="00874789" w:rsidRPr="00874FB6">
        <w:rPr>
          <w:rFonts w:ascii="Arial" w:hAnsi="Arial" w:cs="Arial"/>
          <w:sz w:val="18"/>
          <w:szCs w:val="18"/>
        </w:rPr>
        <w:t xml:space="preserve"> el 20 de mayo de 2022 en: </w:t>
      </w:r>
      <w:hyperlink r:id="rId2" w:history="1">
        <w:r w:rsidR="004857FA" w:rsidRPr="00874FB6">
          <w:rPr>
            <w:rStyle w:val="Hipervnculo"/>
            <w:rFonts w:ascii="Arial" w:hAnsi="Arial" w:cs="Arial"/>
            <w:color w:val="auto"/>
            <w:sz w:val="18"/>
            <w:szCs w:val="18"/>
          </w:rPr>
          <w:t>https://www.termcat.cat/es/diccionaris-en-linia/240/search/mantenimiento?type=basic&amp;language=&amp;condition=match</w:t>
        </w:r>
      </w:hyperlink>
    </w:p>
    <w:p w14:paraId="0C5ED2E1" w14:textId="77777777" w:rsidR="00785FD8" w:rsidRPr="00874FB6" w:rsidRDefault="00785FD8" w:rsidP="00874FB6">
      <w:pPr>
        <w:pStyle w:val="Textonotapie"/>
        <w:ind w:firstLine="708"/>
        <w:rPr>
          <w:rFonts w:ascii="Arial" w:hAnsi="Arial" w:cs="Arial"/>
          <w:sz w:val="18"/>
          <w:szCs w:val="18"/>
        </w:rPr>
      </w:pPr>
    </w:p>
  </w:footnote>
  <w:footnote w:id="7">
    <w:p w14:paraId="6F66711C" w14:textId="77777777" w:rsidR="00785FD8" w:rsidRDefault="00B72AB3" w:rsidP="00785FD8">
      <w:pPr>
        <w:pStyle w:val="Textonotapie"/>
        <w:ind w:firstLine="708"/>
        <w:rPr>
          <w:rFonts w:ascii="Arial" w:hAnsi="Arial" w:cs="Arial"/>
          <w:sz w:val="18"/>
          <w:szCs w:val="18"/>
        </w:rPr>
      </w:pPr>
      <w:r w:rsidRPr="00874FB6">
        <w:rPr>
          <w:rStyle w:val="Refdenotaalpie"/>
          <w:rFonts w:ascii="Arial" w:hAnsi="Arial" w:cs="Arial"/>
          <w:sz w:val="18"/>
          <w:szCs w:val="18"/>
        </w:rPr>
        <w:footnoteRef/>
      </w:r>
      <w:r w:rsidRPr="00874FB6">
        <w:rPr>
          <w:rFonts w:ascii="Arial" w:hAnsi="Arial" w:cs="Arial"/>
          <w:sz w:val="18"/>
          <w:szCs w:val="18"/>
        </w:rPr>
        <w:t xml:space="preserve"> Documentos Tipo de Licitación de Obra Pública de Infraestructura de Transporte. Anexo 3- Glosario.</w:t>
      </w:r>
    </w:p>
    <w:p w14:paraId="34696234" w14:textId="30FCDAE6" w:rsidR="00B72AB3" w:rsidRPr="00874FB6" w:rsidRDefault="00B72AB3" w:rsidP="00874FB6">
      <w:pPr>
        <w:pStyle w:val="Textonotapie"/>
        <w:ind w:firstLine="708"/>
        <w:rPr>
          <w:rFonts w:ascii="Arial" w:hAnsi="Arial" w:cs="Arial"/>
          <w:sz w:val="18"/>
          <w:szCs w:val="18"/>
        </w:rPr>
      </w:pPr>
      <w:r w:rsidRPr="00874FB6">
        <w:rPr>
          <w:rFonts w:ascii="Arial" w:hAnsi="Arial" w:cs="Arial"/>
          <w:sz w:val="18"/>
          <w:szCs w:val="18"/>
        </w:rPr>
        <w:t xml:space="preserve"> </w:t>
      </w:r>
    </w:p>
  </w:footnote>
  <w:footnote w:id="8">
    <w:p w14:paraId="5B5FE634" w14:textId="6F69D8F5" w:rsidR="00785FD8" w:rsidRPr="00874FB6" w:rsidRDefault="00785FD8" w:rsidP="00874FB6">
      <w:pPr>
        <w:pStyle w:val="Textonotapie"/>
        <w:spacing w:after="0"/>
        <w:ind w:firstLine="708"/>
        <w:rPr>
          <w:rFonts w:ascii="Arial" w:hAnsi="Arial" w:cs="Arial"/>
          <w:sz w:val="18"/>
          <w:szCs w:val="18"/>
        </w:rPr>
      </w:pPr>
      <w:r w:rsidRPr="00874FB6">
        <w:rPr>
          <w:rStyle w:val="Refdenotaalpie"/>
          <w:rFonts w:ascii="Arial" w:hAnsi="Arial" w:cs="Arial"/>
          <w:sz w:val="18"/>
          <w:szCs w:val="18"/>
        </w:rPr>
        <w:footnoteRef/>
      </w:r>
      <w:r w:rsidRPr="00874FB6">
        <w:rPr>
          <w:rFonts w:ascii="Arial" w:hAnsi="Arial" w:cs="Arial"/>
          <w:sz w:val="18"/>
          <w:szCs w:val="18"/>
        </w:rPr>
        <w:t xml:space="preserve"> </w:t>
      </w:r>
      <w:r w:rsidRPr="00874FB6">
        <w:rPr>
          <w:rFonts w:ascii="Arial" w:hAnsi="Arial" w:cs="Arial"/>
          <w:i/>
          <w:iCs/>
          <w:sz w:val="18"/>
          <w:szCs w:val="18"/>
        </w:rPr>
        <w:t>Ídem.</w:t>
      </w:r>
      <w:r w:rsidRPr="00874FB6">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35280D"/>
    <w:multiLevelType w:val="multilevel"/>
    <w:tmpl w:val="612AFC9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4DE3EE5"/>
    <w:multiLevelType w:val="hybridMultilevel"/>
    <w:tmpl w:val="3FF29C1E"/>
    <w:lvl w:ilvl="0" w:tplc="0C0A000F">
      <w:start w:val="1"/>
      <w:numFmt w:val="decimal"/>
      <w:lvlText w:val="%1."/>
      <w:lvlJc w:val="left"/>
      <w:pPr>
        <w:ind w:left="1143" w:hanging="360"/>
      </w:pPr>
    </w:lvl>
    <w:lvl w:ilvl="1" w:tplc="0C0A0019" w:tentative="1">
      <w:start w:val="1"/>
      <w:numFmt w:val="lowerLetter"/>
      <w:lvlText w:val="%2."/>
      <w:lvlJc w:val="left"/>
      <w:pPr>
        <w:ind w:left="1863" w:hanging="360"/>
      </w:pPr>
    </w:lvl>
    <w:lvl w:ilvl="2" w:tplc="0C0A001B" w:tentative="1">
      <w:start w:val="1"/>
      <w:numFmt w:val="lowerRoman"/>
      <w:lvlText w:val="%3."/>
      <w:lvlJc w:val="right"/>
      <w:pPr>
        <w:ind w:left="2583" w:hanging="180"/>
      </w:pPr>
    </w:lvl>
    <w:lvl w:ilvl="3" w:tplc="0C0A000F" w:tentative="1">
      <w:start w:val="1"/>
      <w:numFmt w:val="decimal"/>
      <w:lvlText w:val="%4."/>
      <w:lvlJc w:val="left"/>
      <w:pPr>
        <w:ind w:left="3303" w:hanging="360"/>
      </w:pPr>
    </w:lvl>
    <w:lvl w:ilvl="4" w:tplc="0C0A0019" w:tentative="1">
      <w:start w:val="1"/>
      <w:numFmt w:val="lowerLetter"/>
      <w:lvlText w:val="%5."/>
      <w:lvlJc w:val="left"/>
      <w:pPr>
        <w:ind w:left="4023" w:hanging="360"/>
      </w:pPr>
    </w:lvl>
    <w:lvl w:ilvl="5" w:tplc="0C0A001B" w:tentative="1">
      <w:start w:val="1"/>
      <w:numFmt w:val="lowerRoman"/>
      <w:lvlText w:val="%6."/>
      <w:lvlJc w:val="right"/>
      <w:pPr>
        <w:ind w:left="4743" w:hanging="180"/>
      </w:pPr>
    </w:lvl>
    <w:lvl w:ilvl="6" w:tplc="0C0A000F" w:tentative="1">
      <w:start w:val="1"/>
      <w:numFmt w:val="decimal"/>
      <w:lvlText w:val="%7."/>
      <w:lvlJc w:val="left"/>
      <w:pPr>
        <w:ind w:left="5463" w:hanging="360"/>
      </w:pPr>
    </w:lvl>
    <w:lvl w:ilvl="7" w:tplc="0C0A0019" w:tentative="1">
      <w:start w:val="1"/>
      <w:numFmt w:val="lowerLetter"/>
      <w:lvlText w:val="%8."/>
      <w:lvlJc w:val="left"/>
      <w:pPr>
        <w:ind w:left="6183" w:hanging="360"/>
      </w:pPr>
    </w:lvl>
    <w:lvl w:ilvl="8" w:tplc="0C0A001B" w:tentative="1">
      <w:start w:val="1"/>
      <w:numFmt w:val="lowerRoman"/>
      <w:lvlText w:val="%9."/>
      <w:lvlJc w:val="right"/>
      <w:pPr>
        <w:ind w:left="6903" w:hanging="180"/>
      </w:pPr>
    </w:lvl>
  </w:abstractNum>
  <w:abstractNum w:abstractNumId="26"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40829209">
    <w:abstractNumId w:val="10"/>
  </w:num>
  <w:num w:numId="2" w16cid:durableId="786041713">
    <w:abstractNumId w:val="8"/>
  </w:num>
  <w:num w:numId="3" w16cid:durableId="1808741868">
    <w:abstractNumId w:val="15"/>
  </w:num>
  <w:num w:numId="4" w16cid:durableId="1550071763">
    <w:abstractNumId w:val="17"/>
  </w:num>
  <w:num w:numId="5" w16cid:durableId="1619991026">
    <w:abstractNumId w:val="21"/>
  </w:num>
  <w:num w:numId="6" w16cid:durableId="11516308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137550">
    <w:abstractNumId w:val="18"/>
  </w:num>
  <w:num w:numId="8" w16cid:durableId="455293089">
    <w:abstractNumId w:val="5"/>
  </w:num>
  <w:num w:numId="9" w16cid:durableId="879704569">
    <w:abstractNumId w:val="1"/>
  </w:num>
  <w:num w:numId="10" w16cid:durableId="950356132">
    <w:abstractNumId w:val="6"/>
  </w:num>
  <w:num w:numId="11" w16cid:durableId="348876897">
    <w:abstractNumId w:val="2"/>
  </w:num>
  <w:num w:numId="12" w16cid:durableId="1779133668">
    <w:abstractNumId w:val="9"/>
  </w:num>
  <w:num w:numId="13" w16cid:durableId="1121342991">
    <w:abstractNumId w:val="3"/>
  </w:num>
  <w:num w:numId="14" w16cid:durableId="1565069513">
    <w:abstractNumId w:val="19"/>
  </w:num>
  <w:num w:numId="15" w16cid:durableId="616448702">
    <w:abstractNumId w:val="14"/>
  </w:num>
  <w:num w:numId="16" w16cid:durableId="1039159092">
    <w:abstractNumId w:val="12"/>
  </w:num>
  <w:num w:numId="17" w16cid:durableId="303514192">
    <w:abstractNumId w:val="23"/>
  </w:num>
  <w:num w:numId="18" w16cid:durableId="1992366515">
    <w:abstractNumId w:val="4"/>
  </w:num>
  <w:num w:numId="19" w16cid:durableId="981234992">
    <w:abstractNumId w:val="11"/>
  </w:num>
  <w:num w:numId="20" w16cid:durableId="70128010">
    <w:abstractNumId w:val="13"/>
  </w:num>
  <w:num w:numId="21" w16cid:durableId="1378429966">
    <w:abstractNumId w:val="20"/>
  </w:num>
  <w:num w:numId="22" w16cid:durableId="1134175720">
    <w:abstractNumId w:val="7"/>
  </w:num>
  <w:num w:numId="23" w16cid:durableId="741954558">
    <w:abstractNumId w:val="26"/>
  </w:num>
  <w:num w:numId="24" w16cid:durableId="1401368088">
    <w:abstractNumId w:val="22"/>
  </w:num>
  <w:num w:numId="25" w16cid:durableId="17407835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9555377">
    <w:abstractNumId w:val="16"/>
    <w:lvlOverride w:ilvl="0">
      <w:lvl w:ilvl="0">
        <w:numFmt w:val="decimal"/>
        <w:lvlText w:val="%1."/>
        <w:lvlJc w:val="left"/>
      </w:lvl>
    </w:lvlOverride>
  </w:num>
  <w:num w:numId="27" w16cid:durableId="455757370">
    <w:abstractNumId w:val="25"/>
  </w:num>
  <w:num w:numId="28" w16cid:durableId="703518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3882"/>
    <w:rsid w:val="000070A8"/>
    <w:rsid w:val="0001231C"/>
    <w:rsid w:val="000135A1"/>
    <w:rsid w:val="00013B4E"/>
    <w:rsid w:val="00013F7C"/>
    <w:rsid w:val="00015BF3"/>
    <w:rsid w:val="00015E80"/>
    <w:rsid w:val="00015F78"/>
    <w:rsid w:val="000164B2"/>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40044"/>
    <w:rsid w:val="000414BE"/>
    <w:rsid w:val="00041A67"/>
    <w:rsid w:val="000432DF"/>
    <w:rsid w:val="00044D8C"/>
    <w:rsid w:val="0004669F"/>
    <w:rsid w:val="000502EC"/>
    <w:rsid w:val="00050C64"/>
    <w:rsid w:val="0005181E"/>
    <w:rsid w:val="00053136"/>
    <w:rsid w:val="000540E1"/>
    <w:rsid w:val="00054817"/>
    <w:rsid w:val="0005633C"/>
    <w:rsid w:val="0005748B"/>
    <w:rsid w:val="000636F3"/>
    <w:rsid w:val="000641A8"/>
    <w:rsid w:val="0006467C"/>
    <w:rsid w:val="0006474E"/>
    <w:rsid w:val="00065205"/>
    <w:rsid w:val="00066517"/>
    <w:rsid w:val="00071132"/>
    <w:rsid w:val="00071351"/>
    <w:rsid w:val="000716B2"/>
    <w:rsid w:val="0007405A"/>
    <w:rsid w:val="00074BEE"/>
    <w:rsid w:val="00074D1E"/>
    <w:rsid w:val="00075D07"/>
    <w:rsid w:val="00076387"/>
    <w:rsid w:val="00076B31"/>
    <w:rsid w:val="000770BE"/>
    <w:rsid w:val="000770DB"/>
    <w:rsid w:val="000777A6"/>
    <w:rsid w:val="0008228E"/>
    <w:rsid w:val="000822A6"/>
    <w:rsid w:val="00082CE0"/>
    <w:rsid w:val="00084B97"/>
    <w:rsid w:val="00086D8D"/>
    <w:rsid w:val="000877B5"/>
    <w:rsid w:val="000902BC"/>
    <w:rsid w:val="000916E7"/>
    <w:rsid w:val="00091AC6"/>
    <w:rsid w:val="00092542"/>
    <w:rsid w:val="00092617"/>
    <w:rsid w:val="00092B6A"/>
    <w:rsid w:val="000942EB"/>
    <w:rsid w:val="000943FC"/>
    <w:rsid w:val="00095B25"/>
    <w:rsid w:val="00096985"/>
    <w:rsid w:val="00096C01"/>
    <w:rsid w:val="0009763D"/>
    <w:rsid w:val="000A4DD7"/>
    <w:rsid w:val="000A5915"/>
    <w:rsid w:val="000B076C"/>
    <w:rsid w:val="000B0E61"/>
    <w:rsid w:val="000B103F"/>
    <w:rsid w:val="000B14BA"/>
    <w:rsid w:val="000B1E31"/>
    <w:rsid w:val="000B2D9A"/>
    <w:rsid w:val="000B4121"/>
    <w:rsid w:val="000B5C13"/>
    <w:rsid w:val="000C00A2"/>
    <w:rsid w:val="000C1515"/>
    <w:rsid w:val="000C211C"/>
    <w:rsid w:val="000C3232"/>
    <w:rsid w:val="000C394F"/>
    <w:rsid w:val="000C3F9B"/>
    <w:rsid w:val="000C4E3E"/>
    <w:rsid w:val="000C5512"/>
    <w:rsid w:val="000C5766"/>
    <w:rsid w:val="000C5D99"/>
    <w:rsid w:val="000C6EC5"/>
    <w:rsid w:val="000D1837"/>
    <w:rsid w:val="000D186A"/>
    <w:rsid w:val="000D25BC"/>
    <w:rsid w:val="000D49F7"/>
    <w:rsid w:val="000D7953"/>
    <w:rsid w:val="000D7A0F"/>
    <w:rsid w:val="000E0DED"/>
    <w:rsid w:val="000E3909"/>
    <w:rsid w:val="000E6563"/>
    <w:rsid w:val="000E739D"/>
    <w:rsid w:val="000F091C"/>
    <w:rsid w:val="000F14E8"/>
    <w:rsid w:val="000F2AA2"/>
    <w:rsid w:val="000F2EE1"/>
    <w:rsid w:val="000F4695"/>
    <w:rsid w:val="000F7FC3"/>
    <w:rsid w:val="00100857"/>
    <w:rsid w:val="00100D69"/>
    <w:rsid w:val="00101018"/>
    <w:rsid w:val="00103915"/>
    <w:rsid w:val="001041A9"/>
    <w:rsid w:val="001072DB"/>
    <w:rsid w:val="001078AA"/>
    <w:rsid w:val="00110CE1"/>
    <w:rsid w:val="001112FD"/>
    <w:rsid w:val="0011178C"/>
    <w:rsid w:val="00111CDF"/>
    <w:rsid w:val="001124EB"/>
    <w:rsid w:val="001127A9"/>
    <w:rsid w:val="00113157"/>
    <w:rsid w:val="0011344A"/>
    <w:rsid w:val="00114327"/>
    <w:rsid w:val="00114900"/>
    <w:rsid w:val="0011520A"/>
    <w:rsid w:val="001155B8"/>
    <w:rsid w:val="00116C84"/>
    <w:rsid w:val="0011742E"/>
    <w:rsid w:val="0011766B"/>
    <w:rsid w:val="00120D67"/>
    <w:rsid w:val="001214BC"/>
    <w:rsid w:val="001218B7"/>
    <w:rsid w:val="00122B23"/>
    <w:rsid w:val="00122B9A"/>
    <w:rsid w:val="00123BE2"/>
    <w:rsid w:val="00124A82"/>
    <w:rsid w:val="00127D0D"/>
    <w:rsid w:val="00130457"/>
    <w:rsid w:val="001326C7"/>
    <w:rsid w:val="00132E6E"/>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50CB3"/>
    <w:rsid w:val="00151129"/>
    <w:rsid w:val="00151936"/>
    <w:rsid w:val="00152FDA"/>
    <w:rsid w:val="00154785"/>
    <w:rsid w:val="00155B3D"/>
    <w:rsid w:val="00155C13"/>
    <w:rsid w:val="00156216"/>
    <w:rsid w:val="00160CB0"/>
    <w:rsid w:val="00161A37"/>
    <w:rsid w:val="001643A4"/>
    <w:rsid w:val="00165347"/>
    <w:rsid w:val="00165995"/>
    <w:rsid w:val="00166610"/>
    <w:rsid w:val="00171685"/>
    <w:rsid w:val="0017335A"/>
    <w:rsid w:val="00173B85"/>
    <w:rsid w:val="00180188"/>
    <w:rsid w:val="001824DD"/>
    <w:rsid w:val="001827CB"/>
    <w:rsid w:val="00182A86"/>
    <w:rsid w:val="00182EEE"/>
    <w:rsid w:val="0018335C"/>
    <w:rsid w:val="001833D0"/>
    <w:rsid w:val="0018635C"/>
    <w:rsid w:val="00190961"/>
    <w:rsid w:val="00191C4D"/>
    <w:rsid w:val="00192CDC"/>
    <w:rsid w:val="00192CE0"/>
    <w:rsid w:val="0019438D"/>
    <w:rsid w:val="001961C8"/>
    <w:rsid w:val="00197AA4"/>
    <w:rsid w:val="00197BB3"/>
    <w:rsid w:val="001A0A19"/>
    <w:rsid w:val="001A0E7A"/>
    <w:rsid w:val="001A1753"/>
    <w:rsid w:val="001A217F"/>
    <w:rsid w:val="001A40A1"/>
    <w:rsid w:val="001A556D"/>
    <w:rsid w:val="001A69BA"/>
    <w:rsid w:val="001A78DE"/>
    <w:rsid w:val="001A7FD7"/>
    <w:rsid w:val="001B0444"/>
    <w:rsid w:val="001B0870"/>
    <w:rsid w:val="001B0BE3"/>
    <w:rsid w:val="001B2F08"/>
    <w:rsid w:val="001B39FA"/>
    <w:rsid w:val="001B5217"/>
    <w:rsid w:val="001B5D90"/>
    <w:rsid w:val="001B6E10"/>
    <w:rsid w:val="001C01AF"/>
    <w:rsid w:val="001C24BF"/>
    <w:rsid w:val="001C47C8"/>
    <w:rsid w:val="001C6F95"/>
    <w:rsid w:val="001C763E"/>
    <w:rsid w:val="001D0C03"/>
    <w:rsid w:val="001D1560"/>
    <w:rsid w:val="001D17C2"/>
    <w:rsid w:val="001D2F93"/>
    <w:rsid w:val="001D2FC9"/>
    <w:rsid w:val="001D30D8"/>
    <w:rsid w:val="001D33DD"/>
    <w:rsid w:val="001D4EA4"/>
    <w:rsid w:val="001D567B"/>
    <w:rsid w:val="001D612F"/>
    <w:rsid w:val="001D7681"/>
    <w:rsid w:val="001E01F9"/>
    <w:rsid w:val="001E074F"/>
    <w:rsid w:val="001E1959"/>
    <w:rsid w:val="001E1D46"/>
    <w:rsid w:val="001E1EEE"/>
    <w:rsid w:val="001E2866"/>
    <w:rsid w:val="001E2A7A"/>
    <w:rsid w:val="001E4B0D"/>
    <w:rsid w:val="001E7D79"/>
    <w:rsid w:val="001F21B5"/>
    <w:rsid w:val="001F4D43"/>
    <w:rsid w:val="001F4F5C"/>
    <w:rsid w:val="001F5388"/>
    <w:rsid w:val="001F5745"/>
    <w:rsid w:val="001F5F41"/>
    <w:rsid w:val="001F6290"/>
    <w:rsid w:val="001F6378"/>
    <w:rsid w:val="001F7341"/>
    <w:rsid w:val="001F774C"/>
    <w:rsid w:val="0020001F"/>
    <w:rsid w:val="0020059F"/>
    <w:rsid w:val="00200651"/>
    <w:rsid w:val="002025CC"/>
    <w:rsid w:val="0020324E"/>
    <w:rsid w:val="00203B55"/>
    <w:rsid w:val="00203E16"/>
    <w:rsid w:val="00204675"/>
    <w:rsid w:val="00205185"/>
    <w:rsid w:val="00205753"/>
    <w:rsid w:val="00205CAE"/>
    <w:rsid w:val="0020632A"/>
    <w:rsid w:val="002075B6"/>
    <w:rsid w:val="002076CC"/>
    <w:rsid w:val="00210366"/>
    <w:rsid w:val="00210A2D"/>
    <w:rsid w:val="00210DF2"/>
    <w:rsid w:val="002110EB"/>
    <w:rsid w:val="00211338"/>
    <w:rsid w:val="00213541"/>
    <w:rsid w:val="0021518A"/>
    <w:rsid w:val="00215618"/>
    <w:rsid w:val="00215B97"/>
    <w:rsid w:val="00216AAF"/>
    <w:rsid w:val="00216AEE"/>
    <w:rsid w:val="00216E64"/>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589B"/>
    <w:rsid w:val="002364D4"/>
    <w:rsid w:val="0023691B"/>
    <w:rsid w:val="002379B1"/>
    <w:rsid w:val="002409B6"/>
    <w:rsid w:val="00241218"/>
    <w:rsid w:val="00243EE8"/>
    <w:rsid w:val="002456DB"/>
    <w:rsid w:val="00246944"/>
    <w:rsid w:val="00247C35"/>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5808"/>
    <w:rsid w:val="0026616C"/>
    <w:rsid w:val="00267A47"/>
    <w:rsid w:val="00267C8B"/>
    <w:rsid w:val="00267DDA"/>
    <w:rsid w:val="002708A2"/>
    <w:rsid w:val="00271043"/>
    <w:rsid w:val="002725EE"/>
    <w:rsid w:val="002737FD"/>
    <w:rsid w:val="00273E83"/>
    <w:rsid w:val="00274DDF"/>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97081"/>
    <w:rsid w:val="002A2E12"/>
    <w:rsid w:val="002A3C35"/>
    <w:rsid w:val="002A4F9E"/>
    <w:rsid w:val="002A5498"/>
    <w:rsid w:val="002A5F87"/>
    <w:rsid w:val="002A695B"/>
    <w:rsid w:val="002B3433"/>
    <w:rsid w:val="002B41FB"/>
    <w:rsid w:val="002B4390"/>
    <w:rsid w:val="002B55C7"/>
    <w:rsid w:val="002C216A"/>
    <w:rsid w:val="002C28E1"/>
    <w:rsid w:val="002C2B56"/>
    <w:rsid w:val="002C2D1E"/>
    <w:rsid w:val="002C32E1"/>
    <w:rsid w:val="002C40FB"/>
    <w:rsid w:val="002C4C0C"/>
    <w:rsid w:val="002C57C8"/>
    <w:rsid w:val="002C5E8C"/>
    <w:rsid w:val="002C6821"/>
    <w:rsid w:val="002D08FE"/>
    <w:rsid w:val="002D155C"/>
    <w:rsid w:val="002D2CD0"/>
    <w:rsid w:val="002D3589"/>
    <w:rsid w:val="002D481A"/>
    <w:rsid w:val="002D65E2"/>
    <w:rsid w:val="002D7275"/>
    <w:rsid w:val="002E06A1"/>
    <w:rsid w:val="002E448A"/>
    <w:rsid w:val="002E48A8"/>
    <w:rsid w:val="002E66E4"/>
    <w:rsid w:val="002E7979"/>
    <w:rsid w:val="002F334B"/>
    <w:rsid w:val="002F4470"/>
    <w:rsid w:val="002F59F5"/>
    <w:rsid w:val="002F61C9"/>
    <w:rsid w:val="002F7BD7"/>
    <w:rsid w:val="003016E2"/>
    <w:rsid w:val="003033BA"/>
    <w:rsid w:val="00304580"/>
    <w:rsid w:val="00304B38"/>
    <w:rsid w:val="0030589C"/>
    <w:rsid w:val="00306C30"/>
    <w:rsid w:val="00307067"/>
    <w:rsid w:val="003073C0"/>
    <w:rsid w:val="00307855"/>
    <w:rsid w:val="003078D7"/>
    <w:rsid w:val="003108EF"/>
    <w:rsid w:val="00310BC8"/>
    <w:rsid w:val="0031206F"/>
    <w:rsid w:val="00312204"/>
    <w:rsid w:val="00312D89"/>
    <w:rsid w:val="00313871"/>
    <w:rsid w:val="00314C7D"/>
    <w:rsid w:val="00316214"/>
    <w:rsid w:val="003162C8"/>
    <w:rsid w:val="00316B16"/>
    <w:rsid w:val="003175A4"/>
    <w:rsid w:val="00321018"/>
    <w:rsid w:val="0032144D"/>
    <w:rsid w:val="00322937"/>
    <w:rsid w:val="0032350A"/>
    <w:rsid w:val="003238A9"/>
    <w:rsid w:val="00324A24"/>
    <w:rsid w:val="00324AC1"/>
    <w:rsid w:val="00327549"/>
    <w:rsid w:val="00327CEB"/>
    <w:rsid w:val="00330722"/>
    <w:rsid w:val="00334638"/>
    <w:rsid w:val="00337158"/>
    <w:rsid w:val="00337505"/>
    <w:rsid w:val="003404C6"/>
    <w:rsid w:val="0034096E"/>
    <w:rsid w:val="0034177C"/>
    <w:rsid w:val="00341D52"/>
    <w:rsid w:val="003429F6"/>
    <w:rsid w:val="00344B03"/>
    <w:rsid w:val="00345705"/>
    <w:rsid w:val="0034680A"/>
    <w:rsid w:val="00347024"/>
    <w:rsid w:val="00350AA9"/>
    <w:rsid w:val="00350DA7"/>
    <w:rsid w:val="00352753"/>
    <w:rsid w:val="00353653"/>
    <w:rsid w:val="00353DD5"/>
    <w:rsid w:val="00353EE8"/>
    <w:rsid w:val="00355084"/>
    <w:rsid w:val="00355E8C"/>
    <w:rsid w:val="00357167"/>
    <w:rsid w:val="00361495"/>
    <w:rsid w:val="00364EF6"/>
    <w:rsid w:val="003652E7"/>
    <w:rsid w:val="00365559"/>
    <w:rsid w:val="00366283"/>
    <w:rsid w:val="00366693"/>
    <w:rsid w:val="00366F76"/>
    <w:rsid w:val="00367828"/>
    <w:rsid w:val="00371F43"/>
    <w:rsid w:val="00372E26"/>
    <w:rsid w:val="003754D2"/>
    <w:rsid w:val="003757C2"/>
    <w:rsid w:val="00376930"/>
    <w:rsid w:val="00381C32"/>
    <w:rsid w:val="00383892"/>
    <w:rsid w:val="00384C43"/>
    <w:rsid w:val="00385CF3"/>
    <w:rsid w:val="003861CA"/>
    <w:rsid w:val="00386456"/>
    <w:rsid w:val="003901B3"/>
    <w:rsid w:val="003903B0"/>
    <w:rsid w:val="00390C02"/>
    <w:rsid w:val="003912A3"/>
    <w:rsid w:val="0039137F"/>
    <w:rsid w:val="0039143D"/>
    <w:rsid w:val="003949EE"/>
    <w:rsid w:val="003964D5"/>
    <w:rsid w:val="00396918"/>
    <w:rsid w:val="003A0878"/>
    <w:rsid w:val="003A0EBE"/>
    <w:rsid w:val="003A4CA4"/>
    <w:rsid w:val="003A581E"/>
    <w:rsid w:val="003A5E90"/>
    <w:rsid w:val="003A6751"/>
    <w:rsid w:val="003A79A8"/>
    <w:rsid w:val="003A7F89"/>
    <w:rsid w:val="003B027A"/>
    <w:rsid w:val="003B2341"/>
    <w:rsid w:val="003B267F"/>
    <w:rsid w:val="003B37DF"/>
    <w:rsid w:val="003B415C"/>
    <w:rsid w:val="003B4202"/>
    <w:rsid w:val="003B43DB"/>
    <w:rsid w:val="003B49DA"/>
    <w:rsid w:val="003B73DE"/>
    <w:rsid w:val="003C01B1"/>
    <w:rsid w:val="003C6CBA"/>
    <w:rsid w:val="003C75FC"/>
    <w:rsid w:val="003D1BE9"/>
    <w:rsid w:val="003D33FF"/>
    <w:rsid w:val="003D3D29"/>
    <w:rsid w:val="003D3D9D"/>
    <w:rsid w:val="003D43B0"/>
    <w:rsid w:val="003D45AC"/>
    <w:rsid w:val="003D527E"/>
    <w:rsid w:val="003D7E29"/>
    <w:rsid w:val="003E0C3A"/>
    <w:rsid w:val="003E0D9E"/>
    <w:rsid w:val="003E1992"/>
    <w:rsid w:val="003E4819"/>
    <w:rsid w:val="003E4A30"/>
    <w:rsid w:val="003E6423"/>
    <w:rsid w:val="003E6884"/>
    <w:rsid w:val="003E7AA5"/>
    <w:rsid w:val="003F00C3"/>
    <w:rsid w:val="003F0144"/>
    <w:rsid w:val="003F0161"/>
    <w:rsid w:val="003F18DE"/>
    <w:rsid w:val="003F1D3C"/>
    <w:rsid w:val="003F529F"/>
    <w:rsid w:val="0040246E"/>
    <w:rsid w:val="004030F2"/>
    <w:rsid w:val="00405913"/>
    <w:rsid w:val="00406251"/>
    <w:rsid w:val="00406A1A"/>
    <w:rsid w:val="00407705"/>
    <w:rsid w:val="0040799E"/>
    <w:rsid w:val="004102D2"/>
    <w:rsid w:val="004129BB"/>
    <w:rsid w:val="00413C8D"/>
    <w:rsid w:val="00413E61"/>
    <w:rsid w:val="00414152"/>
    <w:rsid w:val="00415151"/>
    <w:rsid w:val="00415DDE"/>
    <w:rsid w:val="00416308"/>
    <w:rsid w:val="004168FD"/>
    <w:rsid w:val="00416996"/>
    <w:rsid w:val="00417025"/>
    <w:rsid w:val="00417620"/>
    <w:rsid w:val="00421624"/>
    <w:rsid w:val="00421DF6"/>
    <w:rsid w:val="004228D3"/>
    <w:rsid w:val="00423405"/>
    <w:rsid w:val="00423F66"/>
    <w:rsid w:val="00423F9F"/>
    <w:rsid w:val="00425D74"/>
    <w:rsid w:val="00425FD7"/>
    <w:rsid w:val="00427F2F"/>
    <w:rsid w:val="00430D86"/>
    <w:rsid w:val="00432AD1"/>
    <w:rsid w:val="00432B52"/>
    <w:rsid w:val="00433494"/>
    <w:rsid w:val="00434140"/>
    <w:rsid w:val="00435826"/>
    <w:rsid w:val="0043612C"/>
    <w:rsid w:val="004375AF"/>
    <w:rsid w:val="004376B9"/>
    <w:rsid w:val="00437BA7"/>
    <w:rsid w:val="00440848"/>
    <w:rsid w:val="00441DC6"/>
    <w:rsid w:val="00441EE4"/>
    <w:rsid w:val="004422D6"/>
    <w:rsid w:val="0044490E"/>
    <w:rsid w:val="00446E21"/>
    <w:rsid w:val="00447165"/>
    <w:rsid w:val="00447729"/>
    <w:rsid w:val="00452F9A"/>
    <w:rsid w:val="00454D64"/>
    <w:rsid w:val="00457110"/>
    <w:rsid w:val="00460D1C"/>
    <w:rsid w:val="00463B6A"/>
    <w:rsid w:val="00464311"/>
    <w:rsid w:val="00466026"/>
    <w:rsid w:val="0046603E"/>
    <w:rsid w:val="00466082"/>
    <w:rsid w:val="0046653B"/>
    <w:rsid w:val="0046694E"/>
    <w:rsid w:val="00472B78"/>
    <w:rsid w:val="0047380F"/>
    <w:rsid w:val="0047426F"/>
    <w:rsid w:val="0047453E"/>
    <w:rsid w:val="004746AD"/>
    <w:rsid w:val="00475F18"/>
    <w:rsid w:val="00477514"/>
    <w:rsid w:val="004779F8"/>
    <w:rsid w:val="00480824"/>
    <w:rsid w:val="00480D03"/>
    <w:rsid w:val="00480ECA"/>
    <w:rsid w:val="004857FA"/>
    <w:rsid w:val="004861E4"/>
    <w:rsid w:val="0048674D"/>
    <w:rsid w:val="004870BB"/>
    <w:rsid w:val="004872D8"/>
    <w:rsid w:val="0048754A"/>
    <w:rsid w:val="00487C10"/>
    <w:rsid w:val="00490A62"/>
    <w:rsid w:val="0049241A"/>
    <w:rsid w:val="004956F3"/>
    <w:rsid w:val="004974CD"/>
    <w:rsid w:val="004A0085"/>
    <w:rsid w:val="004A0106"/>
    <w:rsid w:val="004A0F49"/>
    <w:rsid w:val="004A34D2"/>
    <w:rsid w:val="004A4F76"/>
    <w:rsid w:val="004A6841"/>
    <w:rsid w:val="004A7B59"/>
    <w:rsid w:val="004B0B42"/>
    <w:rsid w:val="004B353C"/>
    <w:rsid w:val="004B6500"/>
    <w:rsid w:val="004B6E7D"/>
    <w:rsid w:val="004B7D5F"/>
    <w:rsid w:val="004C246A"/>
    <w:rsid w:val="004C31AF"/>
    <w:rsid w:val="004C3ADF"/>
    <w:rsid w:val="004C3BA4"/>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D41"/>
    <w:rsid w:val="004D7FB4"/>
    <w:rsid w:val="004E07A4"/>
    <w:rsid w:val="004E0B45"/>
    <w:rsid w:val="004E44F5"/>
    <w:rsid w:val="004E4C6D"/>
    <w:rsid w:val="004E5463"/>
    <w:rsid w:val="004F1425"/>
    <w:rsid w:val="004F16DB"/>
    <w:rsid w:val="004F30F8"/>
    <w:rsid w:val="004F3492"/>
    <w:rsid w:val="004F3517"/>
    <w:rsid w:val="004F3CDF"/>
    <w:rsid w:val="004F510B"/>
    <w:rsid w:val="004F5B24"/>
    <w:rsid w:val="004F6048"/>
    <w:rsid w:val="00501473"/>
    <w:rsid w:val="005034F9"/>
    <w:rsid w:val="00504A42"/>
    <w:rsid w:val="005051F8"/>
    <w:rsid w:val="0051074C"/>
    <w:rsid w:val="00510CF8"/>
    <w:rsid w:val="005112E4"/>
    <w:rsid w:val="00511922"/>
    <w:rsid w:val="00513AF2"/>
    <w:rsid w:val="00514439"/>
    <w:rsid w:val="00514D99"/>
    <w:rsid w:val="00514E3C"/>
    <w:rsid w:val="00515D32"/>
    <w:rsid w:val="0051759B"/>
    <w:rsid w:val="005216C1"/>
    <w:rsid w:val="0052219A"/>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64B8"/>
    <w:rsid w:val="0054713D"/>
    <w:rsid w:val="005472F5"/>
    <w:rsid w:val="00550567"/>
    <w:rsid w:val="00550D93"/>
    <w:rsid w:val="005514ED"/>
    <w:rsid w:val="00554A77"/>
    <w:rsid w:val="005564CA"/>
    <w:rsid w:val="005601A8"/>
    <w:rsid w:val="00561506"/>
    <w:rsid w:val="0056182B"/>
    <w:rsid w:val="005622EB"/>
    <w:rsid w:val="00562332"/>
    <w:rsid w:val="00565AA1"/>
    <w:rsid w:val="0056728F"/>
    <w:rsid w:val="00567F3B"/>
    <w:rsid w:val="00570F08"/>
    <w:rsid w:val="005721B3"/>
    <w:rsid w:val="00573815"/>
    <w:rsid w:val="00573BED"/>
    <w:rsid w:val="005756AA"/>
    <w:rsid w:val="00575A1C"/>
    <w:rsid w:val="0057646F"/>
    <w:rsid w:val="00577148"/>
    <w:rsid w:val="00577BB7"/>
    <w:rsid w:val="00582AE3"/>
    <w:rsid w:val="00584D9E"/>
    <w:rsid w:val="0058674C"/>
    <w:rsid w:val="0058679D"/>
    <w:rsid w:val="00586BDB"/>
    <w:rsid w:val="005879CA"/>
    <w:rsid w:val="00590380"/>
    <w:rsid w:val="005930B1"/>
    <w:rsid w:val="00596896"/>
    <w:rsid w:val="0059732D"/>
    <w:rsid w:val="00597412"/>
    <w:rsid w:val="005A0414"/>
    <w:rsid w:val="005A119F"/>
    <w:rsid w:val="005A1645"/>
    <w:rsid w:val="005A2130"/>
    <w:rsid w:val="005A4FC5"/>
    <w:rsid w:val="005A6AB9"/>
    <w:rsid w:val="005A7DBD"/>
    <w:rsid w:val="005B1144"/>
    <w:rsid w:val="005B4267"/>
    <w:rsid w:val="005B5BE2"/>
    <w:rsid w:val="005B7143"/>
    <w:rsid w:val="005B753A"/>
    <w:rsid w:val="005C00FA"/>
    <w:rsid w:val="005C343C"/>
    <w:rsid w:val="005C3BE4"/>
    <w:rsid w:val="005C5C9A"/>
    <w:rsid w:val="005C6A48"/>
    <w:rsid w:val="005C6C85"/>
    <w:rsid w:val="005C7184"/>
    <w:rsid w:val="005D1BC0"/>
    <w:rsid w:val="005D3155"/>
    <w:rsid w:val="005D35B6"/>
    <w:rsid w:val="005D36B1"/>
    <w:rsid w:val="005D4AEF"/>
    <w:rsid w:val="005D4E8A"/>
    <w:rsid w:val="005D50CE"/>
    <w:rsid w:val="005D51FA"/>
    <w:rsid w:val="005D5AC2"/>
    <w:rsid w:val="005D5B90"/>
    <w:rsid w:val="005D791B"/>
    <w:rsid w:val="005E01CE"/>
    <w:rsid w:val="005E09A6"/>
    <w:rsid w:val="005E139E"/>
    <w:rsid w:val="005E1974"/>
    <w:rsid w:val="005E3B5B"/>
    <w:rsid w:val="005E4765"/>
    <w:rsid w:val="005E5697"/>
    <w:rsid w:val="005E7B52"/>
    <w:rsid w:val="005F055F"/>
    <w:rsid w:val="005F0F4B"/>
    <w:rsid w:val="005F1B0F"/>
    <w:rsid w:val="005F317C"/>
    <w:rsid w:val="005F37CD"/>
    <w:rsid w:val="005F3CD0"/>
    <w:rsid w:val="005F51FB"/>
    <w:rsid w:val="005F53B6"/>
    <w:rsid w:val="005F599B"/>
    <w:rsid w:val="005F650A"/>
    <w:rsid w:val="005F68F7"/>
    <w:rsid w:val="005F788C"/>
    <w:rsid w:val="0060070B"/>
    <w:rsid w:val="00602708"/>
    <w:rsid w:val="00603E4D"/>
    <w:rsid w:val="00603FBE"/>
    <w:rsid w:val="00604893"/>
    <w:rsid w:val="00604B04"/>
    <w:rsid w:val="006058F6"/>
    <w:rsid w:val="00611365"/>
    <w:rsid w:val="00611ED9"/>
    <w:rsid w:val="00612654"/>
    <w:rsid w:val="00612880"/>
    <w:rsid w:val="00612C51"/>
    <w:rsid w:val="00612C53"/>
    <w:rsid w:val="00613FDA"/>
    <w:rsid w:val="006146F1"/>
    <w:rsid w:val="00614817"/>
    <w:rsid w:val="00616E1F"/>
    <w:rsid w:val="0061796C"/>
    <w:rsid w:val="00620FE8"/>
    <w:rsid w:val="00621021"/>
    <w:rsid w:val="00621A1E"/>
    <w:rsid w:val="006230B0"/>
    <w:rsid w:val="00623D2C"/>
    <w:rsid w:val="00624498"/>
    <w:rsid w:val="0062724E"/>
    <w:rsid w:val="00630D7C"/>
    <w:rsid w:val="006318E7"/>
    <w:rsid w:val="00631CE1"/>
    <w:rsid w:val="0063224F"/>
    <w:rsid w:val="0063269D"/>
    <w:rsid w:val="00633DBF"/>
    <w:rsid w:val="00633DC6"/>
    <w:rsid w:val="006341BB"/>
    <w:rsid w:val="00635DED"/>
    <w:rsid w:val="0063667E"/>
    <w:rsid w:val="006421F8"/>
    <w:rsid w:val="00643B51"/>
    <w:rsid w:val="006441CE"/>
    <w:rsid w:val="006447B9"/>
    <w:rsid w:val="00644D7F"/>
    <w:rsid w:val="0064514E"/>
    <w:rsid w:val="0064582D"/>
    <w:rsid w:val="00650FE8"/>
    <w:rsid w:val="006518DC"/>
    <w:rsid w:val="00652BAA"/>
    <w:rsid w:val="00653CA3"/>
    <w:rsid w:val="00654069"/>
    <w:rsid w:val="00655371"/>
    <w:rsid w:val="006559E3"/>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39D3"/>
    <w:rsid w:val="006748E0"/>
    <w:rsid w:val="00674F99"/>
    <w:rsid w:val="006807C6"/>
    <w:rsid w:val="00680B58"/>
    <w:rsid w:val="00681971"/>
    <w:rsid w:val="00681EED"/>
    <w:rsid w:val="00682E7B"/>
    <w:rsid w:val="006852F3"/>
    <w:rsid w:val="006906D4"/>
    <w:rsid w:val="0069141C"/>
    <w:rsid w:val="006919EA"/>
    <w:rsid w:val="00691AAC"/>
    <w:rsid w:val="00692992"/>
    <w:rsid w:val="00692F57"/>
    <w:rsid w:val="006954E4"/>
    <w:rsid w:val="00695B70"/>
    <w:rsid w:val="00697665"/>
    <w:rsid w:val="00697742"/>
    <w:rsid w:val="00697C55"/>
    <w:rsid w:val="00697DD0"/>
    <w:rsid w:val="006A0EB7"/>
    <w:rsid w:val="006A53FD"/>
    <w:rsid w:val="006A5B4B"/>
    <w:rsid w:val="006A6ACB"/>
    <w:rsid w:val="006A7BB4"/>
    <w:rsid w:val="006A7CB5"/>
    <w:rsid w:val="006A7FD0"/>
    <w:rsid w:val="006B064B"/>
    <w:rsid w:val="006B08EC"/>
    <w:rsid w:val="006B0C4E"/>
    <w:rsid w:val="006B2398"/>
    <w:rsid w:val="006B24DE"/>
    <w:rsid w:val="006B2D45"/>
    <w:rsid w:val="006B318A"/>
    <w:rsid w:val="006B39D4"/>
    <w:rsid w:val="006B5051"/>
    <w:rsid w:val="006B5FA9"/>
    <w:rsid w:val="006C06E6"/>
    <w:rsid w:val="006C116D"/>
    <w:rsid w:val="006C132E"/>
    <w:rsid w:val="006C1463"/>
    <w:rsid w:val="006C18C1"/>
    <w:rsid w:val="006C1A72"/>
    <w:rsid w:val="006C2816"/>
    <w:rsid w:val="006C2A51"/>
    <w:rsid w:val="006C2B00"/>
    <w:rsid w:val="006C3AD9"/>
    <w:rsid w:val="006C3B52"/>
    <w:rsid w:val="006C6EE9"/>
    <w:rsid w:val="006C771B"/>
    <w:rsid w:val="006C7CD4"/>
    <w:rsid w:val="006C7EC1"/>
    <w:rsid w:val="006C7F3D"/>
    <w:rsid w:val="006D0BAE"/>
    <w:rsid w:val="006D2519"/>
    <w:rsid w:val="006D5127"/>
    <w:rsid w:val="006D5552"/>
    <w:rsid w:val="006D5B2B"/>
    <w:rsid w:val="006D63FC"/>
    <w:rsid w:val="006D7687"/>
    <w:rsid w:val="006D7CF6"/>
    <w:rsid w:val="006E0572"/>
    <w:rsid w:val="006E131E"/>
    <w:rsid w:val="006E170C"/>
    <w:rsid w:val="006E19D3"/>
    <w:rsid w:val="006E1E98"/>
    <w:rsid w:val="006E37FA"/>
    <w:rsid w:val="006E4AF7"/>
    <w:rsid w:val="006E66D9"/>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68C5"/>
    <w:rsid w:val="00716CC3"/>
    <w:rsid w:val="00720050"/>
    <w:rsid w:val="007213F0"/>
    <w:rsid w:val="00722293"/>
    <w:rsid w:val="00723B38"/>
    <w:rsid w:val="00723E02"/>
    <w:rsid w:val="00724D11"/>
    <w:rsid w:val="00726F60"/>
    <w:rsid w:val="00733BCA"/>
    <w:rsid w:val="00734144"/>
    <w:rsid w:val="0073441F"/>
    <w:rsid w:val="0073589B"/>
    <w:rsid w:val="00735AEF"/>
    <w:rsid w:val="00735FA2"/>
    <w:rsid w:val="00740655"/>
    <w:rsid w:val="007412B8"/>
    <w:rsid w:val="00741A9E"/>
    <w:rsid w:val="00742281"/>
    <w:rsid w:val="00742DD2"/>
    <w:rsid w:val="00746E08"/>
    <w:rsid w:val="00747C96"/>
    <w:rsid w:val="007503E9"/>
    <w:rsid w:val="0075094E"/>
    <w:rsid w:val="007522E8"/>
    <w:rsid w:val="00752F7D"/>
    <w:rsid w:val="00754792"/>
    <w:rsid w:val="00755CC4"/>
    <w:rsid w:val="0075647A"/>
    <w:rsid w:val="007572F9"/>
    <w:rsid w:val="00760166"/>
    <w:rsid w:val="00762948"/>
    <w:rsid w:val="00762F48"/>
    <w:rsid w:val="007634AD"/>
    <w:rsid w:val="00764011"/>
    <w:rsid w:val="0076432E"/>
    <w:rsid w:val="007668D9"/>
    <w:rsid w:val="00766A70"/>
    <w:rsid w:val="0077057C"/>
    <w:rsid w:val="007707A7"/>
    <w:rsid w:val="00770B28"/>
    <w:rsid w:val="00771DF3"/>
    <w:rsid w:val="00773CB2"/>
    <w:rsid w:val="00775563"/>
    <w:rsid w:val="00776689"/>
    <w:rsid w:val="0078122E"/>
    <w:rsid w:val="00783A83"/>
    <w:rsid w:val="00785FD8"/>
    <w:rsid w:val="00790661"/>
    <w:rsid w:val="00792E66"/>
    <w:rsid w:val="00792F13"/>
    <w:rsid w:val="007930A5"/>
    <w:rsid w:val="00793373"/>
    <w:rsid w:val="00793C38"/>
    <w:rsid w:val="00793E57"/>
    <w:rsid w:val="00794007"/>
    <w:rsid w:val="007941F9"/>
    <w:rsid w:val="00795647"/>
    <w:rsid w:val="007973B1"/>
    <w:rsid w:val="007A174B"/>
    <w:rsid w:val="007A3611"/>
    <w:rsid w:val="007A4ADF"/>
    <w:rsid w:val="007A4FE3"/>
    <w:rsid w:val="007A5737"/>
    <w:rsid w:val="007A6125"/>
    <w:rsid w:val="007A76FC"/>
    <w:rsid w:val="007B0854"/>
    <w:rsid w:val="007B1ACE"/>
    <w:rsid w:val="007B27D7"/>
    <w:rsid w:val="007B2D7A"/>
    <w:rsid w:val="007B3B33"/>
    <w:rsid w:val="007B4F45"/>
    <w:rsid w:val="007B4F4C"/>
    <w:rsid w:val="007B5E18"/>
    <w:rsid w:val="007B660A"/>
    <w:rsid w:val="007C0A69"/>
    <w:rsid w:val="007C0AB3"/>
    <w:rsid w:val="007C15C8"/>
    <w:rsid w:val="007C209F"/>
    <w:rsid w:val="007C22B6"/>
    <w:rsid w:val="007C2357"/>
    <w:rsid w:val="007C24C8"/>
    <w:rsid w:val="007C2D7E"/>
    <w:rsid w:val="007C33A6"/>
    <w:rsid w:val="007C4A1C"/>
    <w:rsid w:val="007C4BE5"/>
    <w:rsid w:val="007C58BD"/>
    <w:rsid w:val="007C5C1C"/>
    <w:rsid w:val="007D00BD"/>
    <w:rsid w:val="007D01F0"/>
    <w:rsid w:val="007D0B72"/>
    <w:rsid w:val="007D3671"/>
    <w:rsid w:val="007D4919"/>
    <w:rsid w:val="007D4DBE"/>
    <w:rsid w:val="007D5C3E"/>
    <w:rsid w:val="007D6C71"/>
    <w:rsid w:val="007D7901"/>
    <w:rsid w:val="007D7DD8"/>
    <w:rsid w:val="007E02AE"/>
    <w:rsid w:val="007E0C58"/>
    <w:rsid w:val="007E1312"/>
    <w:rsid w:val="007E25A3"/>
    <w:rsid w:val="007E3638"/>
    <w:rsid w:val="007E3ACA"/>
    <w:rsid w:val="007E5128"/>
    <w:rsid w:val="007E5C16"/>
    <w:rsid w:val="007E676C"/>
    <w:rsid w:val="007E7A93"/>
    <w:rsid w:val="007F15AE"/>
    <w:rsid w:val="007F1C5A"/>
    <w:rsid w:val="007F1C69"/>
    <w:rsid w:val="007F51B0"/>
    <w:rsid w:val="007F54FB"/>
    <w:rsid w:val="007F5623"/>
    <w:rsid w:val="007F573F"/>
    <w:rsid w:val="007F5C7A"/>
    <w:rsid w:val="007F6A64"/>
    <w:rsid w:val="007F6B46"/>
    <w:rsid w:val="007F6D80"/>
    <w:rsid w:val="007F72CB"/>
    <w:rsid w:val="00800C47"/>
    <w:rsid w:val="0080224B"/>
    <w:rsid w:val="0080370F"/>
    <w:rsid w:val="0080514C"/>
    <w:rsid w:val="00806A11"/>
    <w:rsid w:val="00806AD5"/>
    <w:rsid w:val="00810C5F"/>
    <w:rsid w:val="008132FA"/>
    <w:rsid w:val="00813988"/>
    <w:rsid w:val="00814E0D"/>
    <w:rsid w:val="0081553B"/>
    <w:rsid w:val="00815BCC"/>
    <w:rsid w:val="008160B2"/>
    <w:rsid w:val="00817744"/>
    <w:rsid w:val="00817C29"/>
    <w:rsid w:val="0082011E"/>
    <w:rsid w:val="0082065D"/>
    <w:rsid w:val="00820A37"/>
    <w:rsid w:val="008217B7"/>
    <w:rsid w:val="00824BF9"/>
    <w:rsid w:val="00830018"/>
    <w:rsid w:val="00830303"/>
    <w:rsid w:val="0083119B"/>
    <w:rsid w:val="008326A3"/>
    <w:rsid w:val="00833039"/>
    <w:rsid w:val="00835917"/>
    <w:rsid w:val="00836A52"/>
    <w:rsid w:val="00836EAB"/>
    <w:rsid w:val="0083782B"/>
    <w:rsid w:val="008403F6"/>
    <w:rsid w:val="00840960"/>
    <w:rsid w:val="00840A52"/>
    <w:rsid w:val="00840E0D"/>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7EEA"/>
    <w:rsid w:val="0086121D"/>
    <w:rsid w:val="00861F54"/>
    <w:rsid w:val="0086218A"/>
    <w:rsid w:val="008632AF"/>
    <w:rsid w:val="00864821"/>
    <w:rsid w:val="008654BA"/>
    <w:rsid w:val="00867267"/>
    <w:rsid w:val="00870AF9"/>
    <w:rsid w:val="0087122B"/>
    <w:rsid w:val="00871990"/>
    <w:rsid w:val="00872A2E"/>
    <w:rsid w:val="00872B62"/>
    <w:rsid w:val="00874789"/>
    <w:rsid w:val="008749A9"/>
    <w:rsid w:val="00874FB6"/>
    <w:rsid w:val="00876146"/>
    <w:rsid w:val="0087668B"/>
    <w:rsid w:val="00876868"/>
    <w:rsid w:val="00876C3A"/>
    <w:rsid w:val="008770F7"/>
    <w:rsid w:val="008778AE"/>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306D"/>
    <w:rsid w:val="00894211"/>
    <w:rsid w:val="00894D5C"/>
    <w:rsid w:val="0089774F"/>
    <w:rsid w:val="008A144B"/>
    <w:rsid w:val="008A18EE"/>
    <w:rsid w:val="008A1C35"/>
    <w:rsid w:val="008A1C99"/>
    <w:rsid w:val="008A1E91"/>
    <w:rsid w:val="008A2523"/>
    <w:rsid w:val="008A2550"/>
    <w:rsid w:val="008A2823"/>
    <w:rsid w:val="008A3153"/>
    <w:rsid w:val="008A383B"/>
    <w:rsid w:val="008A4934"/>
    <w:rsid w:val="008A519B"/>
    <w:rsid w:val="008A7EB2"/>
    <w:rsid w:val="008B1829"/>
    <w:rsid w:val="008B2C6A"/>
    <w:rsid w:val="008B3AED"/>
    <w:rsid w:val="008B5BDA"/>
    <w:rsid w:val="008B6265"/>
    <w:rsid w:val="008B6B7E"/>
    <w:rsid w:val="008C2FEE"/>
    <w:rsid w:val="008C30C7"/>
    <w:rsid w:val="008C34B5"/>
    <w:rsid w:val="008C3736"/>
    <w:rsid w:val="008C4741"/>
    <w:rsid w:val="008C4BF8"/>
    <w:rsid w:val="008C6F87"/>
    <w:rsid w:val="008C7C2E"/>
    <w:rsid w:val="008D1EFE"/>
    <w:rsid w:val="008D271F"/>
    <w:rsid w:val="008D36DB"/>
    <w:rsid w:val="008D46D3"/>
    <w:rsid w:val="008D56BF"/>
    <w:rsid w:val="008D572E"/>
    <w:rsid w:val="008D6BA1"/>
    <w:rsid w:val="008D711B"/>
    <w:rsid w:val="008D7643"/>
    <w:rsid w:val="008D79F4"/>
    <w:rsid w:val="008D7EE7"/>
    <w:rsid w:val="008E1C15"/>
    <w:rsid w:val="008E35DC"/>
    <w:rsid w:val="008E3C08"/>
    <w:rsid w:val="008E4E6A"/>
    <w:rsid w:val="008E5687"/>
    <w:rsid w:val="008E7DBB"/>
    <w:rsid w:val="008F0B5E"/>
    <w:rsid w:val="008F232B"/>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187A"/>
    <w:rsid w:val="00911E11"/>
    <w:rsid w:val="009139FF"/>
    <w:rsid w:val="00913DEE"/>
    <w:rsid w:val="00914DA0"/>
    <w:rsid w:val="00914F6A"/>
    <w:rsid w:val="0091577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66F5"/>
    <w:rsid w:val="00927D00"/>
    <w:rsid w:val="009350C1"/>
    <w:rsid w:val="009368B9"/>
    <w:rsid w:val="00937020"/>
    <w:rsid w:val="00940DB9"/>
    <w:rsid w:val="009443C9"/>
    <w:rsid w:val="0094567D"/>
    <w:rsid w:val="009458F0"/>
    <w:rsid w:val="00946A8B"/>
    <w:rsid w:val="009471A0"/>
    <w:rsid w:val="00947622"/>
    <w:rsid w:val="00951621"/>
    <w:rsid w:val="00952E98"/>
    <w:rsid w:val="0095385A"/>
    <w:rsid w:val="00955202"/>
    <w:rsid w:val="00955B44"/>
    <w:rsid w:val="00956821"/>
    <w:rsid w:val="00961359"/>
    <w:rsid w:val="0096437B"/>
    <w:rsid w:val="00964425"/>
    <w:rsid w:val="00964942"/>
    <w:rsid w:val="009658C0"/>
    <w:rsid w:val="00966479"/>
    <w:rsid w:val="00967268"/>
    <w:rsid w:val="00967CD8"/>
    <w:rsid w:val="00970437"/>
    <w:rsid w:val="00971F9D"/>
    <w:rsid w:val="00971FAB"/>
    <w:rsid w:val="009726BB"/>
    <w:rsid w:val="00972851"/>
    <w:rsid w:val="0097606C"/>
    <w:rsid w:val="00976295"/>
    <w:rsid w:val="00980731"/>
    <w:rsid w:val="00981216"/>
    <w:rsid w:val="00982027"/>
    <w:rsid w:val="009820DB"/>
    <w:rsid w:val="0098238F"/>
    <w:rsid w:val="0098489D"/>
    <w:rsid w:val="00984AB9"/>
    <w:rsid w:val="0098623D"/>
    <w:rsid w:val="009900DC"/>
    <w:rsid w:val="009906BE"/>
    <w:rsid w:val="0099095D"/>
    <w:rsid w:val="009916A7"/>
    <w:rsid w:val="00992127"/>
    <w:rsid w:val="009922C8"/>
    <w:rsid w:val="0099237F"/>
    <w:rsid w:val="0099262B"/>
    <w:rsid w:val="00994DF5"/>
    <w:rsid w:val="00994E2D"/>
    <w:rsid w:val="009976EE"/>
    <w:rsid w:val="009A0F94"/>
    <w:rsid w:val="009A2B57"/>
    <w:rsid w:val="009A3569"/>
    <w:rsid w:val="009A3A96"/>
    <w:rsid w:val="009A430E"/>
    <w:rsid w:val="009A4826"/>
    <w:rsid w:val="009A60FC"/>
    <w:rsid w:val="009A758C"/>
    <w:rsid w:val="009B031D"/>
    <w:rsid w:val="009B1789"/>
    <w:rsid w:val="009B4776"/>
    <w:rsid w:val="009B512E"/>
    <w:rsid w:val="009B5190"/>
    <w:rsid w:val="009B61A4"/>
    <w:rsid w:val="009C0D78"/>
    <w:rsid w:val="009C31BE"/>
    <w:rsid w:val="009C37DC"/>
    <w:rsid w:val="009C57EF"/>
    <w:rsid w:val="009C6959"/>
    <w:rsid w:val="009C713B"/>
    <w:rsid w:val="009D3CF6"/>
    <w:rsid w:val="009D4945"/>
    <w:rsid w:val="009D4B2F"/>
    <w:rsid w:val="009D5C7D"/>
    <w:rsid w:val="009D6E69"/>
    <w:rsid w:val="009E0147"/>
    <w:rsid w:val="009E0B9D"/>
    <w:rsid w:val="009E30D4"/>
    <w:rsid w:val="009E4C7C"/>
    <w:rsid w:val="009E54F2"/>
    <w:rsid w:val="009E5853"/>
    <w:rsid w:val="009E64D5"/>
    <w:rsid w:val="009F246D"/>
    <w:rsid w:val="009F261D"/>
    <w:rsid w:val="009F290C"/>
    <w:rsid w:val="009F2D3F"/>
    <w:rsid w:val="009F3602"/>
    <w:rsid w:val="009F5096"/>
    <w:rsid w:val="009F59C2"/>
    <w:rsid w:val="009F78A0"/>
    <w:rsid w:val="009F7B76"/>
    <w:rsid w:val="00A0103E"/>
    <w:rsid w:val="00A010FC"/>
    <w:rsid w:val="00A02213"/>
    <w:rsid w:val="00A03425"/>
    <w:rsid w:val="00A04977"/>
    <w:rsid w:val="00A04B5C"/>
    <w:rsid w:val="00A05140"/>
    <w:rsid w:val="00A0528D"/>
    <w:rsid w:val="00A066BD"/>
    <w:rsid w:val="00A10053"/>
    <w:rsid w:val="00A113B3"/>
    <w:rsid w:val="00A11895"/>
    <w:rsid w:val="00A13886"/>
    <w:rsid w:val="00A14415"/>
    <w:rsid w:val="00A146B7"/>
    <w:rsid w:val="00A16FAB"/>
    <w:rsid w:val="00A1798B"/>
    <w:rsid w:val="00A2084E"/>
    <w:rsid w:val="00A21B32"/>
    <w:rsid w:val="00A228C5"/>
    <w:rsid w:val="00A23693"/>
    <w:rsid w:val="00A23CE5"/>
    <w:rsid w:val="00A2433B"/>
    <w:rsid w:val="00A2439B"/>
    <w:rsid w:val="00A24560"/>
    <w:rsid w:val="00A24834"/>
    <w:rsid w:val="00A27708"/>
    <w:rsid w:val="00A32B79"/>
    <w:rsid w:val="00A3420B"/>
    <w:rsid w:val="00A34538"/>
    <w:rsid w:val="00A350AF"/>
    <w:rsid w:val="00A35733"/>
    <w:rsid w:val="00A35AD8"/>
    <w:rsid w:val="00A37C18"/>
    <w:rsid w:val="00A37FB6"/>
    <w:rsid w:val="00A40A28"/>
    <w:rsid w:val="00A42365"/>
    <w:rsid w:val="00A426EC"/>
    <w:rsid w:val="00A462AB"/>
    <w:rsid w:val="00A500EF"/>
    <w:rsid w:val="00A51659"/>
    <w:rsid w:val="00A5350E"/>
    <w:rsid w:val="00A5539A"/>
    <w:rsid w:val="00A555A0"/>
    <w:rsid w:val="00A568F2"/>
    <w:rsid w:val="00A568F6"/>
    <w:rsid w:val="00A57160"/>
    <w:rsid w:val="00A6121B"/>
    <w:rsid w:val="00A61297"/>
    <w:rsid w:val="00A612F6"/>
    <w:rsid w:val="00A62322"/>
    <w:rsid w:val="00A65AD5"/>
    <w:rsid w:val="00A7090A"/>
    <w:rsid w:val="00A734C1"/>
    <w:rsid w:val="00A73C6F"/>
    <w:rsid w:val="00A74544"/>
    <w:rsid w:val="00A757C4"/>
    <w:rsid w:val="00A757E2"/>
    <w:rsid w:val="00A76B4F"/>
    <w:rsid w:val="00A771A5"/>
    <w:rsid w:val="00A82473"/>
    <w:rsid w:val="00A83087"/>
    <w:rsid w:val="00A83E55"/>
    <w:rsid w:val="00A83F78"/>
    <w:rsid w:val="00A8570E"/>
    <w:rsid w:val="00A87ECD"/>
    <w:rsid w:val="00A91BEA"/>
    <w:rsid w:val="00A944C2"/>
    <w:rsid w:val="00A9502E"/>
    <w:rsid w:val="00A95095"/>
    <w:rsid w:val="00A95142"/>
    <w:rsid w:val="00A957B9"/>
    <w:rsid w:val="00A9641E"/>
    <w:rsid w:val="00A97125"/>
    <w:rsid w:val="00A97234"/>
    <w:rsid w:val="00AA08E7"/>
    <w:rsid w:val="00AA0B78"/>
    <w:rsid w:val="00AA0BE1"/>
    <w:rsid w:val="00AA17A2"/>
    <w:rsid w:val="00AA2094"/>
    <w:rsid w:val="00AA2944"/>
    <w:rsid w:val="00AA442B"/>
    <w:rsid w:val="00AA669D"/>
    <w:rsid w:val="00AA69BC"/>
    <w:rsid w:val="00AA7403"/>
    <w:rsid w:val="00AA7503"/>
    <w:rsid w:val="00AB0808"/>
    <w:rsid w:val="00AB22B1"/>
    <w:rsid w:val="00AB3212"/>
    <w:rsid w:val="00AB35A6"/>
    <w:rsid w:val="00AB4250"/>
    <w:rsid w:val="00AB5852"/>
    <w:rsid w:val="00AB5969"/>
    <w:rsid w:val="00AB5C7F"/>
    <w:rsid w:val="00AB628F"/>
    <w:rsid w:val="00AB6591"/>
    <w:rsid w:val="00AC146A"/>
    <w:rsid w:val="00AC27E8"/>
    <w:rsid w:val="00AC4829"/>
    <w:rsid w:val="00AC514C"/>
    <w:rsid w:val="00AC5690"/>
    <w:rsid w:val="00AC5F3A"/>
    <w:rsid w:val="00AC6765"/>
    <w:rsid w:val="00AD1A73"/>
    <w:rsid w:val="00AD45E3"/>
    <w:rsid w:val="00AD7C8A"/>
    <w:rsid w:val="00AE08F9"/>
    <w:rsid w:val="00AE1539"/>
    <w:rsid w:val="00AE2D2E"/>
    <w:rsid w:val="00AE32F2"/>
    <w:rsid w:val="00AE4B35"/>
    <w:rsid w:val="00AE4C20"/>
    <w:rsid w:val="00AE5ABF"/>
    <w:rsid w:val="00AE61E1"/>
    <w:rsid w:val="00AE6434"/>
    <w:rsid w:val="00AE69A5"/>
    <w:rsid w:val="00AE6C09"/>
    <w:rsid w:val="00AE7368"/>
    <w:rsid w:val="00AE7779"/>
    <w:rsid w:val="00AF0BEC"/>
    <w:rsid w:val="00AF373E"/>
    <w:rsid w:val="00AF5043"/>
    <w:rsid w:val="00AF561D"/>
    <w:rsid w:val="00B000D8"/>
    <w:rsid w:val="00B012D7"/>
    <w:rsid w:val="00B02774"/>
    <w:rsid w:val="00B04012"/>
    <w:rsid w:val="00B040E5"/>
    <w:rsid w:val="00B04E6F"/>
    <w:rsid w:val="00B050B8"/>
    <w:rsid w:val="00B05411"/>
    <w:rsid w:val="00B0753B"/>
    <w:rsid w:val="00B07BA8"/>
    <w:rsid w:val="00B12F06"/>
    <w:rsid w:val="00B13EC0"/>
    <w:rsid w:val="00B16829"/>
    <w:rsid w:val="00B179C1"/>
    <w:rsid w:val="00B20525"/>
    <w:rsid w:val="00B20EE9"/>
    <w:rsid w:val="00B21442"/>
    <w:rsid w:val="00B22E22"/>
    <w:rsid w:val="00B2513E"/>
    <w:rsid w:val="00B2548B"/>
    <w:rsid w:val="00B25E66"/>
    <w:rsid w:val="00B26E9A"/>
    <w:rsid w:val="00B27AD4"/>
    <w:rsid w:val="00B30086"/>
    <w:rsid w:val="00B31F22"/>
    <w:rsid w:val="00B32BCD"/>
    <w:rsid w:val="00B35625"/>
    <w:rsid w:val="00B359ED"/>
    <w:rsid w:val="00B36260"/>
    <w:rsid w:val="00B36832"/>
    <w:rsid w:val="00B37C00"/>
    <w:rsid w:val="00B40486"/>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2AB3"/>
    <w:rsid w:val="00B7315F"/>
    <w:rsid w:val="00B750D9"/>
    <w:rsid w:val="00B76967"/>
    <w:rsid w:val="00B77F95"/>
    <w:rsid w:val="00B811E3"/>
    <w:rsid w:val="00B81F6E"/>
    <w:rsid w:val="00B84416"/>
    <w:rsid w:val="00B84BA7"/>
    <w:rsid w:val="00B85186"/>
    <w:rsid w:val="00B85857"/>
    <w:rsid w:val="00B91AF0"/>
    <w:rsid w:val="00B91B8E"/>
    <w:rsid w:val="00B9384C"/>
    <w:rsid w:val="00B93C9A"/>
    <w:rsid w:val="00B94548"/>
    <w:rsid w:val="00B948E7"/>
    <w:rsid w:val="00B955AB"/>
    <w:rsid w:val="00B95AC8"/>
    <w:rsid w:val="00B9618B"/>
    <w:rsid w:val="00B97E63"/>
    <w:rsid w:val="00BA19D8"/>
    <w:rsid w:val="00BA3286"/>
    <w:rsid w:val="00BA3871"/>
    <w:rsid w:val="00BA4D28"/>
    <w:rsid w:val="00BA4E77"/>
    <w:rsid w:val="00BA61CC"/>
    <w:rsid w:val="00BB00BC"/>
    <w:rsid w:val="00BB0864"/>
    <w:rsid w:val="00BB3B04"/>
    <w:rsid w:val="00BB3EE8"/>
    <w:rsid w:val="00BB584D"/>
    <w:rsid w:val="00BB7084"/>
    <w:rsid w:val="00BB7E79"/>
    <w:rsid w:val="00BC2704"/>
    <w:rsid w:val="00BC7280"/>
    <w:rsid w:val="00BD120E"/>
    <w:rsid w:val="00BD2036"/>
    <w:rsid w:val="00BD2700"/>
    <w:rsid w:val="00BD47CA"/>
    <w:rsid w:val="00BD78FE"/>
    <w:rsid w:val="00BE0AD3"/>
    <w:rsid w:val="00BE15DA"/>
    <w:rsid w:val="00BE16E8"/>
    <w:rsid w:val="00BE1CEA"/>
    <w:rsid w:val="00BE5743"/>
    <w:rsid w:val="00BE5EA8"/>
    <w:rsid w:val="00BE642B"/>
    <w:rsid w:val="00BE67A9"/>
    <w:rsid w:val="00BE72D6"/>
    <w:rsid w:val="00BE7867"/>
    <w:rsid w:val="00BF166C"/>
    <w:rsid w:val="00BF31BA"/>
    <w:rsid w:val="00BF56EC"/>
    <w:rsid w:val="00BF5E9C"/>
    <w:rsid w:val="00BF6D9D"/>
    <w:rsid w:val="00BF7724"/>
    <w:rsid w:val="00C00B9C"/>
    <w:rsid w:val="00C014AB"/>
    <w:rsid w:val="00C0241E"/>
    <w:rsid w:val="00C02CA7"/>
    <w:rsid w:val="00C0362B"/>
    <w:rsid w:val="00C03773"/>
    <w:rsid w:val="00C0469E"/>
    <w:rsid w:val="00C055D5"/>
    <w:rsid w:val="00C06A57"/>
    <w:rsid w:val="00C06B30"/>
    <w:rsid w:val="00C079D2"/>
    <w:rsid w:val="00C07B9B"/>
    <w:rsid w:val="00C126E0"/>
    <w:rsid w:val="00C14221"/>
    <w:rsid w:val="00C1486D"/>
    <w:rsid w:val="00C150F9"/>
    <w:rsid w:val="00C170AF"/>
    <w:rsid w:val="00C17E35"/>
    <w:rsid w:val="00C20738"/>
    <w:rsid w:val="00C20AB9"/>
    <w:rsid w:val="00C220CE"/>
    <w:rsid w:val="00C22BB6"/>
    <w:rsid w:val="00C24150"/>
    <w:rsid w:val="00C245B6"/>
    <w:rsid w:val="00C24D7E"/>
    <w:rsid w:val="00C269AB"/>
    <w:rsid w:val="00C27711"/>
    <w:rsid w:val="00C3033B"/>
    <w:rsid w:val="00C309CE"/>
    <w:rsid w:val="00C32018"/>
    <w:rsid w:val="00C32119"/>
    <w:rsid w:val="00C34208"/>
    <w:rsid w:val="00C366C4"/>
    <w:rsid w:val="00C373C2"/>
    <w:rsid w:val="00C374F0"/>
    <w:rsid w:val="00C404E4"/>
    <w:rsid w:val="00C42508"/>
    <w:rsid w:val="00C42C10"/>
    <w:rsid w:val="00C42D9F"/>
    <w:rsid w:val="00C4437C"/>
    <w:rsid w:val="00C45FCC"/>
    <w:rsid w:val="00C50170"/>
    <w:rsid w:val="00C50A4B"/>
    <w:rsid w:val="00C516B0"/>
    <w:rsid w:val="00C5372F"/>
    <w:rsid w:val="00C54BAF"/>
    <w:rsid w:val="00C55B65"/>
    <w:rsid w:val="00C6025A"/>
    <w:rsid w:val="00C631B1"/>
    <w:rsid w:val="00C633A9"/>
    <w:rsid w:val="00C6465E"/>
    <w:rsid w:val="00C64A86"/>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3D2"/>
    <w:rsid w:val="00C8458D"/>
    <w:rsid w:val="00C8725E"/>
    <w:rsid w:val="00C90701"/>
    <w:rsid w:val="00C9106A"/>
    <w:rsid w:val="00C91242"/>
    <w:rsid w:val="00C91E8D"/>
    <w:rsid w:val="00C9585F"/>
    <w:rsid w:val="00C96C1B"/>
    <w:rsid w:val="00C97401"/>
    <w:rsid w:val="00C97AAA"/>
    <w:rsid w:val="00CA059D"/>
    <w:rsid w:val="00CA2C72"/>
    <w:rsid w:val="00CA4651"/>
    <w:rsid w:val="00CA6A5B"/>
    <w:rsid w:val="00CA6FB7"/>
    <w:rsid w:val="00CA7385"/>
    <w:rsid w:val="00CB0765"/>
    <w:rsid w:val="00CB0F85"/>
    <w:rsid w:val="00CB2B36"/>
    <w:rsid w:val="00CB2C0F"/>
    <w:rsid w:val="00CB31A0"/>
    <w:rsid w:val="00CB42FC"/>
    <w:rsid w:val="00CB5943"/>
    <w:rsid w:val="00CB619A"/>
    <w:rsid w:val="00CB63B3"/>
    <w:rsid w:val="00CC00CD"/>
    <w:rsid w:val="00CC0339"/>
    <w:rsid w:val="00CC0B3D"/>
    <w:rsid w:val="00CC0E85"/>
    <w:rsid w:val="00CC187C"/>
    <w:rsid w:val="00CC4DF1"/>
    <w:rsid w:val="00CC748E"/>
    <w:rsid w:val="00CD2B8C"/>
    <w:rsid w:val="00CD4A86"/>
    <w:rsid w:val="00CD5576"/>
    <w:rsid w:val="00CD7E27"/>
    <w:rsid w:val="00CE12E2"/>
    <w:rsid w:val="00CE15B5"/>
    <w:rsid w:val="00CE2805"/>
    <w:rsid w:val="00CE4E6E"/>
    <w:rsid w:val="00CE7A1A"/>
    <w:rsid w:val="00CF02E0"/>
    <w:rsid w:val="00CF0701"/>
    <w:rsid w:val="00CF53EE"/>
    <w:rsid w:val="00CF600D"/>
    <w:rsid w:val="00CF7275"/>
    <w:rsid w:val="00CF7A13"/>
    <w:rsid w:val="00D01760"/>
    <w:rsid w:val="00D01EBF"/>
    <w:rsid w:val="00D023AB"/>
    <w:rsid w:val="00D04192"/>
    <w:rsid w:val="00D06596"/>
    <w:rsid w:val="00D077EB"/>
    <w:rsid w:val="00D078B8"/>
    <w:rsid w:val="00D10800"/>
    <w:rsid w:val="00D12085"/>
    <w:rsid w:val="00D13D5F"/>
    <w:rsid w:val="00D15B95"/>
    <w:rsid w:val="00D16E39"/>
    <w:rsid w:val="00D170B9"/>
    <w:rsid w:val="00D17379"/>
    <w:rsid w:val="00D17985"/>
    <w:rsid w:val="00D1798A"/>
    <w:rsid w:val="00D21C43"/>
    <w:rsid w:val="00D220D3"/>
    <w:rsid w:val="00D2214A"/>
    <w:rsid w:val="00D223B6"/>
    <w:rsid w:val="00D22BEB"/>
    <w:rsid w:val="00D23AD8"/>
    <w:rsid w:val="00D2423E"/>
    <w:rsid w:val="00D24920"/>
    <w:rsid w:val="00D2686C"/>
    <w:rsid w:val="00D26B57"/>
    <w:rsid w:val="00D32A50"/>
    <w:rsid w:val="00D350DE"/>
    <w:rsid w:val="00D35709"/>
    <w:rsid w:val="00D35760"/>
    <w:rsid w:val="00D35FC1"/>
    <w:rsid w:val="00D41655"/>
    <w:rsid w:val="00D41EE1"/>
    <w:rsid w:val="00D42298"/>
    <w:rsid w:val="00D4320D"/>
    <w:rsid w:val="00D441AC"/>
    <w:rsid w:val="00D44E97"/>
    <w:rsid w:val="00D460D9"/>
    <w:rsid w:val="00D46667"/>
    <w:rsid w:val="00D47709"/>
    <w:rsid w:val="00D47924"/>
    <w:rsid w:val="00D506C0"/>
    <w:rsid w:val="00D525F7"/>
    <w:rsid w:val="00D53894"/>
    <w:rsid w:val="00D53C6C"/>
    <w:rsid w:val="00D54876"/>
    <w:rsid w:val="00D54C45"/>
    <w:rsid w:val="00D60327"/>
    <w:rsid w:val="00D641C3"/>
    <w:rsid w:val="00D645CB"/>
    <w:rsid w:val="00D64981"/>
    <w:rsid w:val="00D650B5"/>
    <w:rsid w:val="00D66C4F"/>
    <w:rsid w:val="00D679D8"/>
    <w:rsid w:val="00D7075B"/>
    <w:rsid w:val="00D710B9"/>
    <w:rsid w:val="00D71D22"/>
    <w:rsid w:val="00D72126"/>
    <w:rsid w:val="00D72E9D"/>
    <w:rsid w:val="00D73FA7"/>
    <w:rsid w:val="00D74765"/>
    <w:rsid w:val="00D7568C"/>
    <w:rsid w:val="00D7727A"/>
    <w:rsid w:val="00D805AB"/>
    <w:rsid w:val="00D82CE5"/>
    <w:rsid w:val="00D84FE0"/>
    <w:rsid w:val="00D85C8F"/>
    <w:rsid w:val="00D87181"/>
    <w:rsid w:val="00D8736E"/>
    <w:rsid w:val="00D90EFA"/>
    <w:rsid w:val="00D914DB"/>
    <w:rsid w:val="00D92770"/>
    <w:rsid w:val="00D93287"/>
    <w:rsid w:val="00D93661"/>
    <w:rsid w:val="00D94D04"/>
    <w:rsid w:val="00D95ECB"/>
    <w:rsid w:val="00D970D3"/>
    <w:rsid w:val="00D978B4"/>
    <w:rsid w:val="00D97DDD"/>
    <w:rsid w:val="00D97F9C"/>
    <w:rsid w:val="00DA2124"/>
    <w:rsid w:val="00DA41EF"/>
    <w:rsid w:val="00DA43D4"/>
    <w:rsid w:val="00DA583D"/>
    <w:rsid w:val="00DA5AB1"/>
    <w:rsid w:val="00DA66A2"/>
    <w:rsid w:val="00DA7B6E"/>
    <w:rsid w:val="00DA7CCA"/>
    <w:rsid w:val="00DB0DFA"/>
    <w:rsid w:val="00DB1542"/>
    <w:rsid w:val="00DB28B8"/>
    <w:rsid w:val="00DB3D31"/>
    <w:rsid w:val="00DB4E55"/>
    <w:rsid w:val="00DB6147"/>
    <w:rsid w:val="00DB6234"/>
    <w:rsid w:val="00DB68F9"/>
    <w:rsid w:val="00DB6A43"/>
    <w:rsid w:val="00DB7DAF"/>
    <w:rsid w:val="00DC0208"/>
    <w:rsid w:val="00DC02B2"/>
    <w:rsid w:val="00DC1562"/>
    <w:rsid w:val="00DC2AFD"/>
    <w:rsid w:val="00DC3544"/>
    <w:rsid w:val="00DC3A87"/>
    <w:rsid w:val="00DC4E41"/>
    <w:rsid w:val="00DC62E5"/>
    <w:rsid w:val="00DC743F"/>
    <w:rsid w:val="00DC78DC"/>
    <w:rsid w:val="00DD0BB0"/>
    <w:rsid w:val="00DD32A0"/>
    <w:rsid w:val="00DD3E02"/>
    <w:rsid w:val="00DD3E55"/>
    <w:rsid w:val="00DD451F"/>
    <w:rsid w:val="00DD47A2"/>
    <w:rsid w:val="00DD5A52"/>
    <w:rsid w:val="00DD5BBE"/>
    <w:rsid w:val="00DD652D"/>
    <w:rsid w:val="00DD6845"/>
    <w:rsid w:val="00DD6847"/>
    <w:rsid w:val="00DD735D"/>
    <w:rsid w:val="00DD7FA8"/>
    <w:rsid w:val="00DE247F"/>
    <w:rsid w:val="00DE308A"/>
    <w:rsid w:val="00DE3119"/>
    <w:rsid w:val="00DE3139"/>
    <w:rsid w:val="00DE5BCA"/>
    <w:rsid w:val="00DE6872"/>
    <w:rsid w:val="00DF20FB"/>
    <w:rsid w:val="00DF2128"/>
    <w:rsid w:val="00DF236B"/>
    <w:rsid w:val="00DF2804"/>
    <w:rsid w:val="00DF28C7"/>
    <w:rsid w:val="00DF3553"/>
    <w:rsid w:val="00DF3F8D"/>
    <w:rsid w:val="00DF6078"/>
    <w:rsid w:val="00DF60E8"/>
    <w:rsid w:val="00DF64F5"/>
    <w:rsid w:val="00DF6AA5"/>
    <w:rsid w:val="00DF7086"/>
    <w:rsid w:val="00DF7F9E"/>
    <w:rsid w:val="00E00221"/>
    <w:rsid w:val="00E0048D"/>
    <w:rsid w:val="00E005BB"/>
    <w:rsid w:val="00E018F9"/>
    <w:rsid w:val="00E034F0"/>
    <w:rsid w:val="00E04A52"/>
    <w:rsid w:val="00E057C5"/>
    <w:rsid w:val="00E0677C"/>
    <w:rsid w:val="00E06A8D"/>
    <w:rsid w:val="00E0703C"/>
    <w:rsid w:val="00E10879"/>
    <w:rsid w:val="00E13AB8"/>
    <w:rsid w:val="00E13D3F"/>
    <w:rsid w:val="00E1461C"/>
    <w:rsid w:val="00E1640E"/>
    <w:rsid w:val="00E16924"/>
    <w:rsid w:val="00E17EA3"/>
    <w:rsid w:val="00E234D7"/>
    <w:rsid w:val="00E25CB3"/>
    <w:rsid w:val="00E27E15"/>
    <w:rsid w:val="00E3074B"/>
    <w:rsid w:val="00E31A47"/>
    <w:rsid w:val="00E32A49"/>
    <w:rsid w:val="00E335EF"/>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3B77"/>
    <w:rsid w:val="00E54365"/>
    <w:rsid w:val="00E5462E"/>
    <w:rsid w:val="00E56EC0"/>
    <w:rsid w:val="00E57652"/>
    <w:rsid w:val="00E62C10"/>
    <w:rsid w:val="00E631C7"/>
    <w:rsid w:val="00E65BDD"/>
    <w:rsid w:val="00E66455"/>
    <w:rsid w:val="00E701D8"/>
    <w:rsid w:val="00E70C4B"/>
    <w:rsid w:val="00E73728"/>
    <w:rsid w:val="00E73C2F"/>
    <w:rsid w:val="00E73F9E"/>
    <w:rsid w:val="00E742E7"/>
    <w:rsid w:val="00E75BB9"/>
    <w:rsid w:val="00E76013"/>
    <w:rsid w:val="00E76D64"/>
    <w:rsid w:val="00E76DD0"/>
    <w:rsid w:val="00E81CD9"/>
    <w:rsid w:val="00E81FD0"/>
    <w:rsid w:val="00E872A1"/>
    <w:rsid w:val="00E87FB5"/>
    <w:rsid w:val="00E91B88"/>
    <w:rsid w:val="00E9622C"/>
    <w:rsid w:val="00E96F1A"/>
    <w:rsid w:val="00EA0C86"/>
    <w:rsid w:val="00EA2015"/>
    <w:rsid w:val="00EA2E7A"/>
    <w:rsid w:val="00EA3761"/>
    <w:rsid w:val="00EA3B8E"/>
    <w:rsid w:val="00EA4714"/>
    <w:rsid w:val="00EA48B9"/>
    <w:rsid w:val="00EA4951"/>
    <w:rsid w:val="00EB03A0"/>
    <w:rsid w:val="00EB0D38"/>
    <w:rsid w:val="00EB23D0"/>
    <w:rsid w:val="00EB2CBD"/>
    <w:rsid w:val="00EB5263"/>
    <w:rsid w:val="00EB5408"/>
    <w:rsid w:val="00EB55EE"/>
    <w:rsid w:val="00EB5A79"/>
    <w:rsid w:val="00EB65A0"/>
    <w:rsid w:val="00EB7070"/>
    <w:rsid w:val="00EC238B"/>
    <w:rsid w:val="00EC339E"/>
    <w:rsid w:val="00EC5592"/>
    <w:rsid w:val="00EC5B1B"/>
    <w:rsid w:val="00EC77E0"/>
    <w:rsid w:val="00ED0181"/>
    <w:rsid w:val="00ED05A8"/>
    <w:rsid w:val="00ED0D83"/>
    <w:rsid w:val="00ED18C9"/>
    <w:rsid w:val="00ED1921"/>
    <w:rsid w:val="00ED1A5E"/>
    <w:rsid w:val="00ED1D54"/>
    <w:rsid w:val="00ED21E1"/>
    <w:rsid w:val="00ED2C7A"/>
    <w:rsid w:val="00ED5E7E"/>
    <w:rsid w:val="00ED6D48"/>
    <w:rsid w:val="00EE050B"/>
    <w:rsid w:val="00EE084F"/>
    <w:rsid w:val="00EE2C9C"/>
    <w:rsid w:val="00EE336A"/>
    <w:rsid w:val="00EE432C"/>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EF7AD6"/>
    <w:rsid w:val="00F0076F"/>
    <w:rsid w:val="00F01990"/>
    <w:rsid w:val="00F04156"/>
    <w:rsid w:val="00F04D40"/>
    <w:rsid w:val="00F04D5E"/>
    <w:rsid w:val="00F05E5B"/>
    <w:rsid w:val="00F0608C"/>
    <w:rsid w:val="00F06296"/>
    <w:rsid w:val="00F074DD"/>
    <w:rsid w:val="00F0774D"/>
    <w:rsid w:val="00F077AE"/>
    <w:rsid w:val="00F10954"/>
    <w:rsid w:val="00F11955"/>
    <w:rsid w:val="00F11D29"/>
    <w:rsid w:val="00F128BC"/>
    <w:rsid w:val="00F15639"/>
    <w:rsid w:val="00F16AE2"/>
    <w:rsid w:val="00F172E0"/>
    <w:rsid w:val="00F2035B"/>
    <w:rsid w:val="00F2107D"/>
    <w:rsid w:val="00F21B2C"/>
    <w:rsid w:val="00F21BA2"/>
    <w:rsid w:val="00F21D09"/>
    <w:rsid w:val="00F223B3"/>
    <w:rsid w:val="00F24230"/>
    <w:rsid w:val="00F26F3C"/>
    <w:rsid w:val="00F26F4E"/>
    <w:rsid w:val="00F301AD"/>
    <w:rsid w:val="00F3110C"/>
    <w:rsid w:val="00F33364"/>
    <w:rsid w:val="00F34431"/>
    <w:rsid w:val="00F34C8E"/>
    <w:rsid w:val="00F34CBA"/>
    <w:rsid w:val="00F3533F"/>
    <w:rsid w:val="00F35599"/>
    <w:rsid w:val="00F3791E"/>
    <w:rsid w:val="00F42CA4"/>
    <w:rsid w:val="00F4315D"/>
    <w:rsid w:val="00F43A17"/>
    <w:rsid w:val="00F43A68"/>
    <w:rsid w:val="00F476A9"/>
    <w:rsid w:val="00F5101F"/>
    <w:rsid w:val="00F51E02"/>
    <w:rsid w:val="00F520D5"/>
    <w:rsid w:val="00F536CD"/>
    <w:rsid w:val="00F539D8"/>
    <w:rsid w:val="00F55F3A"/>
    <w:rsid w:val="00F574CC"/>
    <w:rsid w:val="00F6029C"/>
    <w:rsid w:val="00F6064F"/>
    <w:rsid w:val="00F61B1D"/>
    <w:rsid w:val="00F61C41"/>
    <w:rsid w:val="00F61F32"/>
    <w:rsid w:val="00F64376"/>
    <w:rsid w:val="00F64812"/>
    <w:rsid w:val="00F65EC5"/>
    <w:rsid w:val="00F6751F"/>
    <w:rsid w:val="00F71AE6"/>
    <w:rsid w:val="00F72DC9"/>
    <w:rsid w:val="00F73D70"/>
    <w:rsid w:val="00F764CE"/>
    <w:rsid w:val="00F77855"/>
    <w:rsid w:val="00F80D0F"/>
    <w:rsid w:val="00F80E8A"/>
    <w:rsid w:val="00F84899"/>
    <w:rsid w:val="00F859F0"/>
    <w:rsid w:val="00F90DB0"/>
    <w:rsid w:val="00F91287"/>
    <w:rsid w:val="00F91CA1"/>
    <w:rsid w:val="00F92D53"/>
    <w:rsid w:val="00F93250"/>
    <w:rsid w:val="00F94805"/>
    <w:rsid w:val="00F94B44"/>
    <w:rsid w:val="00F95598"/>
    <w:rsid w:val="00F95FAB"/>
    <w:rsid w:val="00FA0BE5"/>
    <w:rsid w:val="00FA1420"/>
    <w:rsid w:val="00FA15DA"/>
    <w:rsid w:val="00FA1947"/>
    <w:rsid w:val="00FA28BF"/>
    <w:rsid w:val="00FA3221"/>
    <w:rsid w:val="00FA63A7"/>
    <w:rsid w:val="00FA6B54"/>
    <w:rsid w:val="00FB1473"/>
    <w:rsid w:val="00FB48C5"/>
    <w:rsid w:val="00FB589C"/>
    <w:rsid w:val="00FB5E3B"/>
    <w:rsid w:val="00FC08AD"/>
    <w:rsid w:val="00FC16AE"/>
    <w:rsid w:val="00FC29C1"/>
    <w:rsid w:val="00FC4AF7"/>
    <w:rsid w:val="00FC5EB6"/>
    <w:rsid w:val="00FC6F2F"/>
    <w:rsid w:val="00FD1C4A"/>
    <w:rsid w:val="00FD2088"/>
    <w:rsid w:val="00FD2829"/>
    <w:rsid w:val="00FD2EA3"/>
    <w:rsid w:val="00FD3E1B"/>
    <w:rsid w:val="00FD3F65"/>
    <w:rsid w:val="00FD461D"/>
    <w:rsid w:val="00FD46B4"/>
    <w:rsid w:val="00FD4AA4"/>
    <w:rsid w:val="00FD5F1B"/>
    <w:rsid w:val="00FD6C0B"/>
    <w:rsid w:val="00FD7084"/>
    <w:rsid w:val="00FD7D17"/>
    <w:rsid w:val="00FE07B7"/>
    <w:rsid w:val="00FE094E"/>
    <w:rsid w:val="00FE0B32"/>
    <w:rsid w:val="00FE0F74"/>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D3"/>
    <w:pPr>
      <w:spacing w:before="0" w:after="0" w:line="240" w:lineRule="auto"/>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Invias-VietaNumeradaCar">
    <w:name w:val="Invias-Viñeta Numerada Car"/>
    <w:link w:val="Invias-VietaNumerada"/>
    <w:uiPriority w:val="99"/>
    <w:locked/>
    <w:rsid w:val="003F529F"/>
    <w:rPr>
      <w:rFonts w:ascii="Arial Narrow" w:eastAsia="Times New Roman" w:hAnsi="Arial Narrow" w:cs="Times New Roman"/>
      <w:sz w:val="24"/>
      <w:szCs w:val="24"/>
      <w:lang w:val="en-US" w:eastAsia="es-ES"/>
    </w:rPr>
  </w:style>
  <w:style w:type="paragraph" w:customStyle="1" w:styleId="Invias-VietaNumerada">
    <w:name w:val="Invias-Viñeta Numerada"/>
    <w:next w:val="Normal"/>
    <w:link w:val="Invias-VietaNumeradaCar"/>
    <w:uiPriority w:val="99"/>
    <w:qFormat/>
    <w:rsid w:val="003F529F"/>
    <w:pPr>
      <w:spacing w:before="240" w:line="240" w:lineRule="auto"/>
    </w:pPr>
    <w:rPr>
      <w:rFonts w:ascii="Arial Narrow" w:eastAsia="Times New Roman" w:hAnsi="Arial Narrow"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2589739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5750103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2186548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4508945">
      <w:bodyDiv w:val="1"/>
      <w:marLeft w:val="0"/>
      <w:marRight w:val="0"/>
      <w:marTop w:val="0"/>
      <w:marBottom w:val="0"/>
      <w:divBdr>
        <w:top w:val="none" w:sz="0" w:space="0" w:color="auto"/>
        <w:left w:val="none" w:sz="0" w:space="0" w:color="auto"/>
        <w:bottom w:val="none" w:sz="0" w:space="0" w:color="auto"/>
        <w:right w:val="none" w:sz="0" w:space="0" w:color="auto"/>
      </w:divBdr>
    </w:div>
    <w:div w:id="308289970">
      <w:bodyDiv w:val="1"/>
      <w:marLeft w:val="0"/>
      <w:marRight w:val="0"/>
      <w:marTop w:val="0"/>
      <w:marBottom w:val="0"/>
      <w:divBdr>
        <w:top w:val="none" w:sz="0" w:space="0" w:color="auto"/>
        <w:left w:val="none" w:sz="0" w:space="0" w:color="auto"/>
        <w:bottom w:val="none" w:sz="0" w:space="0" w:color="auto"/>
        <w:right w:val="none" w:sz="0" w:space="0" w:color="auto"/>
      </w:divBdr>
    </w:div>
    <w:div w:id="337196181">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89693172">
      <w:bodyDiv w:val="1"/>
      <w:marLeft w:val="0"/>
      <w:marRight w:val="0"/>
      <w:marTop w:val="0"/>
      <w:marBottom w:val="0"/>
      <w:divBdr>
        <w:top w:val="none" w:sz="0" w:space="0" w:color="auto"/>
        <w:left w:val="none" w:sz="0" w:space="0" w:color="auto"/>
        <w:bottom w:val="none" w:sz="0" w:space="0" w:color="auto"/>
        <w:right w:val="none" w:sz="0" w:space="0" w:color="auto"/>
      </w:divBdr>
      <w:divsChild>
        <w:div w:id="1247421476">
          <w:marLeft w:val="0"/>
          <w:marRight w:val="0"/>
          <w:marTop w:val="0"/>
          <w:marBottom w:val="0"/>
          <w:divBdr>
            <w:top w:val="none" w:sz="0" w:space="0" w:color="auto"/>
            <w:left w:val="none" w:sz="0" w:space="0" w:color="auto"/>
            <w:bottom w:val="none" w:sz="0" w:space="0" w:color="auto"/>
            <w:right w:val="none" w:sz="0" w:space="0" w:color="auto"/>
          </w:divBdr>
        </w:div>
      </w:divsChild>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83207314">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598484281">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894704546">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34051">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1929056">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9923680">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8923627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6910807">
      <w:bodyDiv w:val="1"/>
      <w:marLeft w:val="0"/>
      <w:marRight w:val="0"/>
      <w:marTop w:val="0"/>
      <w:marBottom w:val="0"/>
      <w:divBdr>
        <w:top w:val="none" w:sz="0" w:space="0" w:color="auto"/>
        <w:left w:val="none" w:sz="0" w:space="0" w:color="auto"/>
        <w:bottom w:val="none" w:sz="0" w:space="0" w:color="auto"/>
        <w:right w:val="none" w:sz="0" w:space="0" w:color="auto"/>
      </w:divBdr>
    </w:div>
    <w:div w:id="1341734028">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1625063">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041066">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790081862">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13545984">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termcat.cat/es/diccionaris-en-linia/240/search/mantenimiento?type=basic&amp;language=&amp;condition=match" TargetMode="External"/><Relationship Id="rId1" Type="http://schemas.openxmlformats.org/officeDocument/2006/relationships/hyperlink" Target="https://www.colombiacompra.gov.co/sites/cce_public/files/cce_documents/cce_guia_garant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759B3-EA68-4C58-B3B2-A64244C7AB2E}">
  <ds:schemaRefs>
    <ds:schemaRef ds:uri="http://schemas.openxmlformats.org/officeDocument/2006/bibliography"/>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5C5AC62C-4C40-4B81-8A1D-BE0495F39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10</Pages>
  <Words>3403</Words>
  <Characters>18718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2022-06-21T19:33:00Z</dcterms:created>
  <dcterms:modified xsi:type="dcterms:W3CDTF">2022-06-21T19:33:00Z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