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829" w14:textId="77777777" w:rsidR="00362817" w:rsidRPr="00362817" w:rsidRDefault="00362817" w:rsidP="00362817">
      <w:pPr>
        <w:spacing w:after="0" w:line="240" w:lineRule="auto"/>
        <w:ind w:firstLine="709"/>
        <w:jc w:val="right"/>
        <w:rPr>
          <w:rFonts w:ascii="Arial" w:eastAsia="Calibri" w:hAnsi="Arial" w:cs="Arial"/>
          <w:b/>
          <w:color w:val="000000"/>
          <w:sz w:val="20"/>
          <w:szCs w:val="20"/>
          <w:lang w:val="es-ES_tradnl" w:eastAsia="es-ES_tradnl"/>
        </w:rPr>
      </w:pPr>
      <w:bookmarkStart w:id="0" w:name="_Hlk28946138"/>
      <w:bookmarkStart w:id="1" w:name="_Hlk29548183"/>
      <w:r w:rsidRPr="00362817">
        <w:rPr>
          <w:rFonts w:ascii="Arial" w:eastAsia="Times New Roman" w:hAnsi="Arial" w:cs="Arial"/>
          <w:bCs/>
          <w:color w:val="000000"/>
          <w:sz w:val="16"/>
          <w:szCs w:val="16"/>
          <w:lang w:val="es-ES_tradnl" w:eastAsia="es-ES"/>
        </w:rPr>
        <w:t>CCE-DES-FM-17</w:t>
      </w:r>
      <w:bookmarkEnd w:id="0"/>
      <w:bookmarkEnd w:id="1"/>
    </w:p>
    <w:p w14:paraId="47F0708E"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6E1AD23F" w14:textId="77777777" w:rsidR="00362817" w:rsidRPr="00362817" w:rsidRDefault="00362817" w:rsidP="00362817">
      <w:pPr>
        <w:spacing w:after="0" w:line="240" w:lineRule="auto"/>
        <w:jc w:val="both"/>
        <w:rPr>
          <w:rFonts w:ascii="Arial" w:eastAsia="Calibri" w:hAnsi="Arial" w:cs="Arial"/>
          <w:b/>
          <w:color w:val="000000"/>
          <w:szCs w:val="24"/>
          <w:lang w:val="es-ES_tradnl" w:eastAsia="es-ES_tradnl"/>
        </w:rPr>
      </w:pPr>
      <w:r w:rsidRPr="00362817">
        <w:rPr>
          <w:rFonts w:ascii="Arial" w:eastAsia="Calibri" w:hAnsi="Arial" w:cs="Arial"/>
          <w:b/>
          <w:color w:val="000000"/>
          <w:szCs w:val="24"/>
          <w:lang w:val="es-ES_tradnl" w:eastAsia="es-ES_tradnl"/>
        </w:rPr>
        <w:t>DECRETO 399 DE 2021 – Finalidad – Reactivación económica</w:t>
      </w:r>
    </w:p>
    <w:p w14:paraId="7DB52365" w14:textId="77777777" w:rsidR="005B0AA5" w:rsidRDefault="005B0AA5" w:rsidP="005B0AA5">
      <w:pPr>
        <w:spacing w:after="0" w:line="276" w:lineRule="auto"/>
        <w:jc w:val="both"/>
        <w:rPr>
          <w:rFonts w:ascii="Arial" w:eastAsia="Times New Roman" w:hAnsi="Arial" w:cs="Arial"/>
          <w:noProof/>
          <w:color w:val="000000"/>
          <w:szCs w:val="24"/>
          <w:lang w:val="es-ES_tradnl" w:eastAsia="es-ES_tradnl"/>
        </w:rPr>
      </w:pPr>
    </w:p>
    <w:p w14:paraId="4D71CCD4" w14:textId="0593869F" w:rsidR="00362817" w:rsidRPr="005B0AA5" w:rsidRDefault="005B0AA5" w:rsidP="005B0AA5">
      <w:pPr>
        <w:spacing w:after="0" w:line="240" w:lineRule="auto"/>
        <w:jc w:val="both"/>
        <w:rPr>
          <w:rFonts w:ascii="Arial" w:eastAsia="Calibri" w:hAnsi="Arial" w:cs="Arial"/>
          <w:color w:val="000000"/>
          <w:sz w:val="20"/>
          <w:szCs w:val="20"/>
          <w:lang w:val="es-ES_tradnl" w:eastAsia="es-ES_tradnl"/>
        </w:rPr>
      </w:pPr>
      <w:r w:rsidRPr="005B0AA5">
        <w:rPr>
          <w:rFonts w:ascii="Arial" w:eastAsia="Calibri" w:hAnsi="Arial" w:cs="Arial"/>
          <w:color w:val="000000"/>
          <w:sz w:val="20"/>
          <w:szCs w:val="20"/>
          <w:lang w:val="es-ES_tradnl" w:eastAsia="es-ES_tradnl"/>
        </w:rPr>
        <w:t xml:space="preserve">Para alcanzar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w:t>
      </w:r>
      <w:r w:rsidRPr="005B0AA5">
        <w:rPr>
          <w:rFonts w:ascii="Arial" w:eastAsia="Calibri" w:hAnsi="Arial" w:cs="Arial"/>
          <w:i/>
          <w:iCs/>
          <w:color w:val="000000"/>
          <w:sz w:val="20"/>
          <w:szCs w:val="20"/>
          <w:lang w:val="es-ES_tradnl" w:eastAsia="es-ES_tradnl"/>
        </w:rPr>
        <w:t>julio</w:t>
      </w:r>
      <w:r w:rsidRPr="005B0AA5">
        <w:rPr>
          <w:rFonts w:ascii="Arial" w:eastAsia="Calibri" w:hAnsi="Arial" w:cs="Arial"/>
          <w:color w:val="000000"/>
          <w:sz w:val="20"/>
          <w:szCs w:val="20"/>
          <w:lang w:val="es-ES_tradnl" w:eastAsia="es-ES_tradnl"/>
        </w:rPr>
        <w:t xml:space="preserve"> de 2021 las entidades estatales deberán tener en cuenta los datos sobre la capacidad financiera y organizacional de los últimos tres años, consignada en el RUP.</w:t>
      </w:r>
    </w:p>
    <w:p w14:paraId="5C9829F3" w14:textId="77777777" w:rsidR="005B0AA5" w:rsidRPr="00362817" w:rsidRDefault="005B0AA5" w:rsidP="00362817">
      <w:pPr>
        <w:spacing w:after="0" w:line="276" w:lineRule="auto"/>
        <w:ind w:firstLine="709"/>
        <w:jc w:val="both"/>
        <w:rPr>
          <w:rFonts w:ascii="Arial" w:eastAsia="Times New Roman" w:hAnsi="Arial" w:cs="Arial"/>
          <w:noProof/>
          <w:color w:val="000000"/>
          <w:szCs w:val="24"/>
          <w:lang w:val="es-ES_tradnl" w:eastAsia="es-ES_tradnl"/>
        </w:rPr>
      </w:pPr>
    </w:p>
    <w:p w14:paraId="21CBCEA3" w14:textId="77777777" w:rsidR="00362817" w:rsidRPr="00362817" w:rsidRDefault="00362817" w:rsidP="00362817">
      <w:pPr>
        <w:spacing w:after="0" w:line="240" w:lineRule="auto"/>
        <w:jc w:val="both"/>
        <w:rPr>
          <w:rFonts w:ascii="Arial" w:eastAsia="Calibri" w:hAnsi="Arial" w:cs="Arial"/>
          <w:b/>
          <w:color w:val="000000"/>
          <w:szCs w:val="24"/>
          <w:lang w:val="es-ES_tradnl" w:eastAsia="es-ES_tradnl"/>
        </w:rPr>
      </w:pPr>
      <w:r w:rsidRPr="00362817">
        <w:rPr>
          <w:rFonts w:ascii="Arial" w:eastAsia="Calibri" w:hAnsi="Arial" w:cs="Arial"/>
          <w:b/>
          <w:color w:val="000000"/>
          <w:szCs w:val="24"/>
          <w:lang w:val="es-ES_tradnl" w:eastAsia="es-ES_tradnl"/>
        </w:rPr>
        <w:t xml:space="preserve">DECRETO 399 DE 2021 – Información – Capacidad financiera – Capacidad organizacional </w:t>
      </w:r>
    </w:p>
    <w:p w14:paraId="22C31317"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586314D2" w14:textId="394B14D2" w:rsidR="005B0AA5" w:rsidRPr="005B0AA5" w:rsidRDefault="00362817" w:rsidP="00D61B55">
      <w:pPr>
        <w:spacing w:after="120" w:line="240" w:lineRule="auto"/>
        <w:jc w:val="both"/>
        <w:rPr>
          <w:rFonts w:ascii="Arial" w:eastAsia="Calibri" w:hAnsi="Arial" w:cs="Arial"/>
          <w:color w:val="000000"/>
          <w:sz w:val="20"/>
          <w:szCs w:val="20"/>
          <w:lang w:val="es-ES_tradnl" w:eastAsia="es-ES_tradnl"/>
        </w:rPr>
      </w:pPr>
      <w:r w:rsidRPr="005B0AA5">
        <w:rPr>
          <w:rFonts w:ascii="Arial" w:eastAsia="Calibri" w:hAnsi="Arial" w:cs="Arial"/>
          <w:color w:val="000000"/>
          <w:sz w:val="20"/>
          <w:szCs w:val="20"/>
          <w:lang w:val="es-ES_tradnl" w:eastAsia="es-ES_tradnl"/>
        </w:rPr>
        <w:t xml:space="preserve">[…] </w:t>
      </w:r>
      <w:r w:rsidR="005B0AA5" w:rsidRPr="005B0AA5">
        <w:rPr>
          <w:rFonts w:ascii="Arial" w:eastAsia="Calibri" w:hAnsi="Arial" w:cs="Arial"/>
          <w:color w:val="000000"/>
          <w:sz w:val="20"/>
          <w:szCs w:val="20"/>
          <w:lang w:val="es-ES_tradnl" w:eastAsia="es-ES_tradnl"/>
        </w:rPr>
        <w:t>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38BFD52B" w14:textId="6149698C" w:rsidR="005B0AA5" w:rsidRPr="005B0AA5" w:rsidRDefault="005B0AA5" w:rsidP="00D61B55">
      <w:pPr>
        <w:spacing w:after="0" w:line="240" w:lineRule="auto"/>
        <w:jc w:val="both"/>
        <w:rPr>
          <w:rFonts w:ascii="Arial" w:eastAsia="Calibri" w:hAnsi="Arial" w:cs="Arial"/>
          <w:color w:val="000000"/>
          <w:sz w:val="20"/>
          <w:szCs w:val="20"/>
          <w:lang w:val="es-ES_tradnl" w:eastAsia="es-ES_tradnl"/>
        </w:rPr>
      </w:pPr>
      <w:r w:rsidRPr="005B0AA5">
        <w:rPr>
          <w:rFonts w:ascii="Arial" w:eastAsia="Calibri" w:hAnsi="Arial" w:cs="Arial"/>
          <w:color w:val="000000"/>
          <w:sz w:val="20"/>
          <w:szCs w:val="20"/>
          <w:lang w:val="es-ES_tradnl" w:eastAsia="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5B0AA5">
        <w:rPr>
          <w:rFonts w:ascii="Arial" w:eastAsia="Times New Roman" w:hAnsi="Arial" w:cs="Arial"/>
          <w:color w:val="000000"/>
          <w:sz w:val="20"/>
          <w:szCs w:val="20"/>
          <w:lang w:val="es-ES_tradnl" w:eastAsia="es-ES_tradnl"/>
        </w:rPr>
        <w:t xml:space="preserve">[…] </w:t>
      </w:r>
      <w:r w:rsidRPr="005B0AA5">
        <w:rPr>
          <w:rFonts w:ascii="Arial" w:eastAsia="Calibri" w:hAnsi="Arial" w:cs="Arial"/>
          <w:color w:val="000000"/>
          <w:sz w:val="20"/>
          <w:szCs w:val="20"/>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5B0AA5">
        <w:rPr>
          <w:rFonts w:ascii="Arial" w:eastAsia="Times New Roman" w:hAnsi="Arial" w:cs="Arial"/>
          <w:color w:val="000000"/>
          <w:sz w:val="20"/>
          <w:szCs w:val="20"/>
          <w:lang w:val="es-ES_tradnl" w:eastAsia="es-ES_tradnl"/>
        </w:rPr>
        <w:t>c</w:t>
      </w:r>
      <w:r w:rsidRPr="005B0AA5">
        <w:rPr>
          <w:rFonts w:ascii="Arial" w:eastAsia="Calibri" w:hAnsi="Arial" w:cs="Arial"/>
          <w:color w:val="000000"/>
          <w:sz w:val="20"/>
          <w:szCs w:val="20"/>
          <w:lang w:val="es-ES_tradnl" w:eastAsia="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5B0AA5">
        <w:rPr>
          <w:rFonts w:ascii="Arial" w:eastAsia="Calibri" w:hAnsi="Arial" w:cs="Arial"/>
          <w:color w:val="000000"/>
          <w:sz w:val="20"/>
          <w:szCs w:val="20"/>
          <w:lang w:val="es-ES_tradnl" w:eastAsia="es-ES_tradnl"/>
        </w:rPr>
        <w:t>ii</w:t>
      </w:r>
      <w:proofErr w:type="spellEnd"/>
      <w:r w:rsidRPr="005B0AA5">
        <w:rPr>
          <w:rFonts w:ascii="Arial" w:eastAsia="Calibri" w:hAnsi="Arial" w:cs="Arial"/>
          <w:color w:val="000000"/>
          <w:sz w:val="20"/>
          <w:szCs w:val="20"/>
          <w:lang w:val="es-ES_tradnl" w:eastAsia="es-ES_tradnl"/>
        </w:rPr>
        <w:t xml:space="preserve">) el índice de endeudamiento y </w:t>
      </w:r>
      <w:proofErr w:type="spellStart"/>
      <w:r w:rsidRPr="005B0AA5">
        <w:rPr>
          <w:rFonts w:ascii="Arial" w:eastAsia="Calibri" w:hAnsi="Arial" w:cs="Arial"/>
          <w:color w:val="000000"/>
          <w:sz w:val="20"/>
          <w:szCs w:val="20"/>
          <w:lang w:val="es-ES_tradnl" w:eastAsia="es-ES_tradnl"/>
        </w:rPr>
        <w:t>iii</w:t>
      </w:r>
      <w:proofErr w:type="spellEnd"/>
      <w:r w:rsidRPr="005B0AA5">
        <w:rPr>
          <w:rFonts w:ascii="Arial" w:eastAsia="Calibri" w:hAnsi="Arial" w:cs="Arial"/>
          <w:color w:val="000000"/>
          <w:sz w:val="20"/>
          <w:szCs w:val="20"/>
          <w:lang w:val="es-ES_tradnl" w:eastAsia="es-ES_tradnl"/>
        </w:rPr>
        <w:t xml:space="preserve">) la razón de cobertura de intereses. Los requisitos e indicadores de capacidad organizacional son: i) la rentabilidad del patrimonio y </w:t>
      </w:r>
      <w:proofErr w:type="spellStart"/>
      <w:r w:rsidRPr="005B0AA5">
        <w:rPr>
          <w:rFonts w:ascii="Arial" w:eastAsia="Calibri" w:hAnsi="Arial" w:cs="Arial"/>
          <w:color w:val="000000"/>
          <w:sz w:val="20"/>
          <w:szCs w:val="20"/>
          <w:lang w:val="es-ES_tradnl" w:eastAsia="es-ES_tradnl"/>
        </w:rPr>
        <w:t>ii</w:t>
      </w:r>
      <w:proofErr w:type="spellEnd"/>
      <w:r w:rsidRPr="005B0AA5">
        <w:rPr>
          <w:rFonts w:ascii="Arial" w:eastAsia="Calibri" w:hAnsi="Arial" w:cs="Arial"/>
          <w:color w:val="000000"/>
          <w:sz w:val="20"/>
          <w:szCs w:val="20"/>
          <w:lang w:val="es-ES_tradnl" w:eastAsia="es-ES_tradnl"/>
        </w:rPr>
        <w:t>) la rentabilidad del activo. El segundo parágrafo transitorio establece que «El</w:t>
      </w:r>
      <w:r w:rsidRPr="005B0AA5">
        <w:rPr>
          <w:rFonts w:ascii="Arial" w:eastAsia="Times New Roman" w:hAnsi="Arial" w:cs="Arial"/>
          <w:color w:val="000000"/>
          <w:sz w:val="20"/>
          <w:szCs w:val="20"/>
          <w:lang w:val="es-ES_tradnl" w:eastAsia="es-ES_tradnl"/>
        </w:rPr>
        <w:t xml:space="preserve"> </w:t>
      </w:r>
      <w:r w:rsidRPr="005B0AA5">
        <w:rPr>
          <w:rFonts w:ascii="Arial" w:eastAsia="Calibri" w:hAnsi="Arial" w:cs="Arial"/>
          <w:color w:val="000000"/>
          <w:sz w:val="20"/>
          <w:szCs w:val="20"/>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097FC50E"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05B7606A" w14:textId="77777777" w:rsidR="00362817" w:rsidRPr="00362817" w:rsidRDefault="00362817" w:rsidP="00362817">
      <w:pPr>
        <w:spacing w:after="0" w:line="240" w:lineRule="auto"/>
        <w:jc w:val="both"/>
        <w:rPr>
          <w:rFonts w:ascii="Arial" w:eastAsia="Calibri" w:hAnsi="Arial" w:cs="Arial"/>
          <w:b/>
          <w:color w:val="000000"/>
          <w:szCs w:val="24"/>
          <w:lang w:val="es-ES_tradnl" w:eastAsia="es-ES_tradnl"/>
        </w:rPr>
      </w:pPr>
      <w:r w:rsidRPr="00362817">
        <w:rPr>
          <w:rFonts w:ascii="Arial" w:eastAsia="Calibri" w:hAnsi="Arial" w:cs="Arial"/>
          <w:b/>
          <w:color w:val="000000"/>
          <w:szCs w:val="24"/>
          <w:lang w:val="es-ES_tradnl" w:eastAsia="es-ES_tradnl"/>
        </w:rPr>
        <w:t>MEJOR AÑO FISCAL – Decreto 399 – Capacidad financiera – Capacidad organizacional – Interpretación</w:t>
      </w:r>
    </w:p>
    <w:p w14:paraId="66FA6A11"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2C7A48A5" w14:textId="77777777" w:rsidR="00D61B55" w:rsidRPr="00D61B55" w:rsidRDefault="00D61B55" w:rsidP="00D61B55">
      <w:pPr>
        <w:spacing w:before="120" w:after="0" w:line="240" w:lineRule="auto"/>
        <w:jc w:val="both"/>
        <w:rPr>
          <w:rFonts w:ascii="Arial" w:eastAsia="Calibri" w:hAnsi="Arial" w:cs="Arial"/>
          <w:color w:val="000000"/>
          <w:sz w:val="20"/>
          <w:szCs w:val="20"/>
          <w:lang w:val="es-ES_tradnl" w:eastAsia="es-ES_tradnl"/>
        </w:rPr>
      </w:pPr>
      <w:r w:rsidRPr="00D61B55">
        <w:rPr>
          <w:rFonts w:ascii="Arial" w:eastAsia="Calibri" w:hAnsi="Arial" w:cs="Arial"/>
          <w:color w:val="000000"/>
          <w:sz w:val="20"/>
          <w:szCs w:val="20"/>
          <w:lang w:val="es-ES_tradnl" w:eastAsia="es-ES_tradnl"/>
        </w:rPr>
        <w:t xml:space="preserve">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w:t>
      </w:r>
      <w:r w:rsidRPr="00D61B55">
        <w:rPr>
          <w:rFonts w:ascii="Arial" w:eastAsia="Calibri" w:hAnsi="Arial" w:cs="Arial"/>
          <w:color w:val="000000"/>
          <w:sz w:val="20"/>
          <w:szCs w:val="20"/>
          <w:lang w:val="es-ES_tradnl" w:eastAsia="es-ES_tradnl"/>
        </w:rPr>
        <w:lastRenderedPageBreak/>
        <w:t>2.2.1.1.1.6.2, adicionado por el artículo 6 del Decreto 399 de 2021 y sustituido por el artículo 3 del Decreto 579 de 2021, establece que «</w:t>
      </w:r>
      <w:r w:rsidRPr="00D61B55">
        <w:rPr>
          <w:rFonts w:ascii="Arial" w:eastAsia="Times New Roman" w:hAnsi="Arial" w:cs="Arial"/>
          <w:color w:val="000000"/>
          <w:sz w:val="20"/>
          <w:szCs w:val="20"/>
          <w:lang w:val="es-ES_tradnl" w:eastAsia="es-ES_tradnl"/>
        </w:rPr>
        <w:t xml:space="preserve">[…] </w:t>
      </w:r>
      <w:r w:rsidRPr="00D61B55">
        <w:rPr>
          <w:rFonts w:ascii="Arial" w:eastAsia="Calibri" w:hAnsi="Arial" w:cs="Arial"/>
          <w:color w:val="000000"/>
          <w:sz w:val="20"/>
          <w:szCs w:val="20"/>
          <w:lang w:val="es-ES_tradnl" w:eastAsia="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0EDE771F" w14:textId="77777777" w:rsidR="00362817" w:rsidRPr="00362817" w:rsidRDefault="00362817" w:rsidP="00362817">
      <w:pPr>
        <w:spacing w:after="0" w:line="240" w:lineRule="auto"/>
        <w:jc w:val="both"/>
        <w:rPr>
          <w:rFonts w:ascii="Arial" w:eastAsia="Times New Roman" w:hAnsi="Arial" w:cs="Arial"/>
          <w:color w:val="000000"/>
          <w:sz w:val="20"/>
          <w:szCs w:val="20"/>
          <w:lang w:val="es-ES_tradnl" w:eastAsia="es-ES_tradnl"/>
        </w:rPr>
      </w:pPr>
    </w:p>
    <w:p w14:paraId="078C9949" w14:textId="77777777" w:rsidR="00362817" w:rsidRPr="00362817" w:rsidRDefault="00362817" w:rsidP="00362817">
      <w:pPr>
        <w:spacing w:after="0" w:line="240" w:lineRule="auto"/>
        <w:jc w:val="both"/>
        <w:rPr>
          <w:rFonts w:ascii="Arial" w:eastAsia="Times New Roman" w:hAnsi="Arial" w:cs="Arial"/>
          <w:b/>
          <w:bCs/>
          <w:color w:val="000000"/>
          <w:lang w:val="es-ES_tradnl" w:eastAsia="es-ES_tradnl"/>
        </w:rPr>
      </w:pPr>
      <w:r w:rsidRPr="00362817">
        <w:rPr>
          <w:rFonts w:ascii="Arial" w:eastAsia="Times New Roman" w:hAnsi="Arial" w:cs="Arial"/>
          <w:b/>
          <w:bCs/>
          <w:color w:val="000000"/>
          <w:lang w:val="es-ES_tradnl" w:eastAsia="es-ES_tradnl"/>
        </w:rPr>
        <w:t>CAPACIDAD FINANCIERA Y ORGANIZACIONAL – Evaluación – Proponente plural – Mejor año fiscal</w:t>
      </w:r>
    </w:p>
    <w:p w14:paraId="37E141C3" w14:textId="77777777" w:rsidR="00362817" w:rsidRPr="00362817" w:rsidRDefault="00362817" w:rsidP="00886E33">
      <w:pPr>
        <w:spacing w:after="0" w:line="276" w:lineRule="auto"/>
        <w:jc w:val="both"/>
        <w:rPr>
          <w:rFonts w:ascii="Arial" w:eastAsia="Times New Roman" w:hAnsi="Arial" w:cs="Arial"/>
          <w:noProof/>
          <w:color w:val="000000"/>
          <w:szCs w:val="24"/>
          <w:lang w:val="es-ES_tradnl" w:eastAsia="es-ES_tradnl"/>
        </w:rPr>
      </w:pPr>
    </w:p>
    <w:p w14:paraId="103AB99A" w14:textId="77777777" w:rsidR="00886E33" w:rsidRPr="00886E33" w:rsidRDefault="00886E33" w:rsidP="00886E33">
      <w:pPr>
        <w:spacing w:after="120" w:line="240" w:lineRule="auto"/>
        <w:jc w:val="both"/>
        <w:rPr>
          <w:rFonts w:ascii="Arial" w:eastAsia="Calibri" w:hAnsi="Arial" w:cs="Arial"/>
          <w:color w:val="000000"/>
          <w:sz w:val="20"/>
          <w:szCs w:val="20"/>
          <w:lang w:val="es-ES_tradnl" w:eastAsia="es-ES_tradnl"/>
        </w:rPr>
      </w:pPr>
      <w:r w:rsidRPr="00886E33">
        <w:rPr>
          <w:rFonts w:ascii="Arial" w:eastAsia="Calibri" w:hAnsi="Arial" w:cs="Arial"/>
          <w:color w:val="000000"/>
          <w:sz w:val="20"/>
          <w:szCs w:val="20"/>
          <w:lang w:val="es-ES_tradnl" w:eastAsia="es-ES_tradnl"/>
        </w:rPr>
        <w:t>Dado que los consorcios y las uniones temporales carecen de RUP, cuando la norma se refiere a que «</w:t>
      </w:r>
      <w:r w:rsidRPr="00886E33">
        <w:rPr>
          <w:rFonts w:ascii="Arial" w:eastAsia="Times New Roman" w:hAnsi="Arial" w:cs="Arial"/>
          <w:sz w:val="20"/>
          <w:szCs w:val="20"/>
          <w:lang w:val="es-ES_tradnl" w:eastAsia="es-ES_tradnl"/>
        </w:rPr>
        <w:t xml:space="preserve">[…] </w:t>
      </w:r>
      <w:r w:rsidRPr="00886E33">
        <w:rPr>
          <w:rFonts w:ascii="Arial" w:eastAsia="Calibri" w:hAnsi="Arial" w:cs="Arial"/>
          <w:color w:val="000000"/>
          <w:sz w:val="20"/>
          <w:szCs w:val="20"/>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37EF11EB" w14:textId="5CFA7A73" w:rsidR="00886E33" w:rsidRDefault="00886E33" w:rsidP="00886E33">
      <w:pPr>
        <w:spacing w:after="0" w:line="240" w:lineRule="auto"/>
        <w:jc w:val="both"/>
        <w:rPr>
          <w:rFonts w:ascii="Arial" w:eastAsia="Calibri" w:hAnsi="Arial" w:cs="Arial"/>
          <w:color w:val="000000"/>
          <w:sz w:val="20"/>
          <w:szCs w:val="20"/>
          <w:lang w:val="es-ES_tradnl" w:eastAsia="es-ES_tradnl"/>
        </w:rPr>
      </w:pPr>
      <w:r w:rsidRPr="00886E33">
        <w:rPr>
          <w:rFonts w:ascii="Arial" w:eastAsia="Times New Roman" w:hAnsi="Arial" w:cs="Arial"/>
          <w:color w:val="000000"/>
          <w:sz w:val="20"/>
          <w:szCs w:val="20"/>
          <w:lang w:val="es-ES_tradnl" w:eastAsia="es-ES_tradnl"/>
        </w:rPr>
        <w:t>Lo anterior significa que el mejor año fiscal no necesariamente debe corresponder a la vigencia para todos los integrantes del proponente plural, sino que puede variar de un integrante a otro, de acuerdo con sus condiciones particulares. En gracia de discusión, si a efectos de realizar la evaluación de la capacidad financiera y organizacional se pretendiera</w:t>
      </w:r>
      <w:r w:rsidRPr="00886E33">
        <w:rPr>
          <w:rFonts w:ascii="Arial" w:eastAsia="Calibri" w:hAnsi="Arial" w:cs="Arial"/>
          <w:color w:val="000000"/>
          <w:sz w:val="20"/>
          <w:szCs w:val="20"/>
          <w:lang w:val="es-ES_tradnl" w:eastAsia="es-ES_tradnl"/>
        </w:rPr>
        <w:t xml:space="preserve"> tomar un año en común para todos los integrantes del proponente plural, la aplicación de la norma podría eventualmente podría encontrarse con el mejor año para un proponente es el peor para otro, de modo que se desdibujaría el propósito del Decreto 399 de 2021 modificado por el Decreto 579 de 2021, que, precisamente, busca la reactivación económica del país y con ello, ampliar la posibilidad de acceso a los procesos de contratación pública. Teniendo en cuenta lo anterior,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p w14:paraId="103865E5" w14:textId="77777777" w:rsidR="00886E33" w:rsidRPr="00886E33" w:rsidRDefault="00886E33" w:rsidP="00886E33">
      <w:pPr>
        <w:spacing w:after="0" w:line="240" w:lineRule="auto"/>
        <w:jc w:val="both"/>
        <w:rPr>
          <w:rFonts w:ascii="Arial" w:eastAsia="Calibri" w:hAnsi="Arial" w:cs="Arial"/>
          <w:color w:val="000000"/>
          <w:sz w:val="20"/>
          <w:szCs w:val="20"/>
          <w:lang w:val="es-ES_tradnl" w:eastAsia="es-ES_tradnl"/>
        </w:rPr>
      </w:pPr>
    </w:p>
    <w:p w14:paraId="57AB4701" w14:textId="2FC1FA55" w:rsidR="00886E33" w:rsidRDefault="00886E33" w:rsidP="00886E33">
      <w:pPr>
        <w:spacing w:after="0" w:line="240" w:lineRule="auto"/>
        <w:jc w:val="both"/>
        <w:rPr>
          <w:rFonts w:ascii="Arial" w:eastAsia="Calibri" w:hAnsi="Arial" w:cs="Arial"/>
          <w:b/>
          <w:bCs/>
          <w:color w:val="000000" w:themeColor="text1"/>
          <w:lang w:val="es-ES_tradnl"/>
        </w:rPr>
      </w:pPr>
      <w:r w:rsidRPr="00B865D7">
        <w:rPr>
          <w:rFonts w:ascii="Arial" w:eastAsia="Calibri" w:hAnsi="Arial" w:cs="Arial"/>
          <w:b/>
          <w:bCs/>
          <w:color w:val="000000" w:themeColor="text1"/>
          <w:lang w:val="es-ES_tradnl"/>
        </w:rPr>
        <w:t xml:space="preserve">CAPITAL DE TRABAJO </w:t>
      </w:r>
      <w:r>
        <w:rPr>
          <w:rFonts w:ascii="Arial" w:eastAsia="Calibri" w:hAnsi="Arial" w:cs="Arial"/>
          <w:b/>
          <w:bCs/>
          <w:color w:val="000000" w:themeColor="text1"/>
          <w:lang w:val="es-ES_tradnl"/>
        </w:rPr>
        <w:t>− I</w:t>
      </w:r>
      <w:r w:rsidRPr="00B865D7">
        <w:rPr>
          <w:rFonts w:ascii="Arial" w:eastAsia="Calibri" w:hAnsi="Arial" w:cs="Arial"/>
          <w:b/>
          <w:bCs/>
          <w:color w:val="000000" w:themeColor="text1"/>
          <w:lang w:val="es-ES_tradnl"/>
        </w:rPr>
        <w:t xml:space="preserve">ndicador adicional </w:t>
      </w:r>
      <w:r>
        <w:rPr>
          <w:rFonts w:ascii="Arial" w:eastAsia="Calibri" w:hAnsi="Arial" w:cs="Arial"/>
          <w:b/>
          <w:bCs/>
          <w:color w:val="000000" w:themeColor="text1"/>
          <w:lang w:val="es-ES_tradnl"/>
        </w:rPr>
        <w:t>− C</w:t>
      </w:r>
      <w:r w:rsidRPr="00B865D7">
        <w:rPr>
          <w:rFonts w:ascii="Arial" w:eastAsia="Calibri" w:hAnsi="Arial" w:cs="Arial"/>
          <w:b/>
          <w:bCs/>
          <w:color w:val="000000" w:themeColor="text1"/>
          <w:lang w:val="es-ES_tradnl"/>
        </w:rPr>
        <w:t>apacidad financiera</w:t>
      </w:r>
    </w:p>
    <w:p w14:paraId="60CFD0AC" w14:textId="77777777" w:rsidR="00886E33" w:rsidRPr="00B865D7" w:rsidRDefault="00886E33" w:rsidP="00886E33">
      <w:pPr>
        <w:spacing w:after="0" w:line="240" w:lineRule="auto"/>
        <w:jc w:val="both"/>
        <w:rPr>
          <w:rFonts w:ascii="Arial" w:eastAsia="Calibri" w:hAnsi="Arial" w:cs="Arial"/>
          <w:b/>
          <w:bCs/>
          <w:color w:val="000000" w:themeColor="text1"/>
          <w:lang w:val="es-ES_tradnl"/>
        </w:rPr>
      </w:pPr>
    </w:p>
    <w:p w14:paraId="09188A17" w14:textId="53CD5DE6" w:rsidR="00886E33" w:rsidRPr="00F67581" w:rsidRDefault="00886E33" w:rsidP="00F67581">
      <w:pPr>
        <w:spacing w:after="120" w:line="240" w:lineRule="auto"/>
        <w:jc w:val="both"/>
        <w:rPr>
          <w:rFonts w:ascii="Arial" w:eastAsia="Calibri" w:hAnsi="Arial" w:cs="Arial"/>
          <w:color w:val="000000"/>
          <w:sz w:val="20"/>
          <w:szCs w:val="20"/>
          <w:lang w:val="es-ES_tradnl"/>
        </w:rPr>
      </w:pPr>
      <w:r w:rsidRPr="00F67581">
        <w:rPr>
          <w:rFonts w:ascii="Arial" w:eastAsia="Calibri" w:hAnsi="Arial" w:cs="Arial"/>
          <w:color w:val="000000"/>
          <w:sz w:val="20"/>
          <w:szCs w:val="20"/>
          <w:lang w:val="es-ES_tradnl"/>
        </w:rPr>
        <w:t xml:space="preserve">De la norma citada se desprende que, el capital de trabajo no fue incluido dentro de los indicadores de capacidad financiera previstos en el Decreto 1082 de 2015,  conclusión similar se obtiene al observar el texto de los Decretos 399 y 579 de 2021,  en los que se mencionan los </w:t>
      </w:r>
      <w:r w:rsidRPr="00F67581">
        <w:rPr>
          <w:rFonts w:ascii="Arial" w:eastAsia="Calibri" w:hAnsi="Arial" w:cs="Arial"/>
          <w:color w:val="000000" w:themeColor="text1"/>
          <w:sz w:val="20"/>
          <w:szCs w:val="20"/>
          <w:lang w:val="es-ES_tradnl"/>
        </w:rPr>
        <w:t xml:space="preserve">indicadores de la capacidad financiera consagrados en el literal (b) del artículo 2.2.1.1.1.5.6., precepto que a su vez, remite expresamente al artículo </w:t>
      </w:r>
      <w:r w:rsidRPr="00F67581">
        <w:rPr>
          <w:rFonts w:ascii="Arial" w:eastAsia="Calibri" w:hAnsi="Arial" w:cs="Arial"/>
          <w:color w:val="000000"/>
          <w:sz w:val="20"/>
          <w:szCs w:val="20"/>
          <w:lang w:val="es-ES_tradnl"/>
        </w:rPr>
        <w:t xml:space="preserve">2.2.1.1.1.5.3 del Decreto 1082 de 2015, que trata sobre los indicadores de la capacidad financiera previamente referidos y dentro de los cuales no fue incluido el de capital de trabajo. </w:t>
      </w:r>
    </w:p>
    <w:p w14:paraId="0D765852" w14:textId="0D8B4B56" w:rsidR="00886E33" w:rsidRPr="00F67581" w:rsidRDefault="00886E33" w:rsidP="00F67581">
      <w:pPr>
        <w:spacing w:after="120" w:line="240" w:lineRule="auto"/>
        <w:jc w:val="both"/>
        <w:rPr>
          <w:rFonts w:ascii="Arial" w:eastAsia="Calibri" w:hAnsi="Arial" w:cs="Arial"/>
          <w:b/>
          <w:bCs/>
          <w:color w:val="000000" w:themeColor="text1"/>
          <w:sz w:val="20"/>
          <w:szCs w:val="20"/>
          <w:lang w:val="es-ES_tradnl"/>
        </w:rPr>
      </w:pPr>
      <w:r w:rsidRPr="00F67581">
        <w:rPr>
          <w:rFonts w:ascii="Arial" w:eastAsia="Calibri" w:hAnsi="Arial" w:cs="Arial"/>
          <w:color w:val="000000"/>
          <w:sz w:val="20"/>
          <w:szCs w:val="20"/>
          <w:lang w:val="es-ES_tradnl"/>
        </w:rPr>
        <w:t xml:space="preserve">Sin perjuicio de lo anterior, la entidad puede acudir a indicadores adicionales, en cumplimiento de su deber de análisis y acorde con las características del contrato a suscribir y demás aspectos precisados con antelación. En este sentido, la Agencia Nacional de Contratación Pública – Colombia Compra Eficiente, ha recomendado valorar otro tipo de indicadores como el capital de trabajo, la razón de efectivo, la denominada prueba ácida, la concentración de endeudamiento a corto y a largo plazo y el patrimonio.  </w:t>
      </w:r>
    </w:p>
    <w:p w14:paraId="1026EB9A" w14:textId="77777777" w:rsidR="00886E33" w:rsidRPr="00F67581" w:rsidRDefault="00886E33" w:rsidP="00F67581">
      <w:pPr>
        <w:spacing w:after="120" w:line="240" w:lineRule="auto"/>
        <w:jc w:val="both"/>
        <w:rPr>
          <w:rFonts w:ascii="Arial" w:eastAsia="Calibri" w:hAnsi="Arial" w:cs="Arial"/>
          <w:color w:val="000000"/>
          <w:sz w:val="20"/>
          <w:szCs w:val="20"/>
          <w:lang w:val="es-ES_tradnl"/>
        </w:rPr>
      </w:pPr>
      <w:r w:rsidRPr="00F67581">
        <w:rPr>
          <w:rFonts w:ascii="Arial" w:eastAsia="Calibri" w:hAnsi="Arial" w:cs="Arial"/>
          <w:color w:val="000000"/>
          <w:sz w:val="20"/>
          <w:szCs w:val="20"/>
          <w:lang w:val="es-ES_tradnl"/>
        </w:rPr>
        <w:t xml:space="preserve">En este sentido, la decisión sobre la inclusión de indicadores adicionales corresponderá a cada entidad estatal y deberá ser producto del análisis correspondiente, y </w:t>
      </w:r>
      <w:proofErr w:type="gramStart"/>
      <w:r w:rsidRPr="00F67581">
        <w:rPr>
          <w:rFonts w:ascii="Arial" w:eastAsia="Calibri" w:hAnsi="Arial" w:cs="Arial"/>
          <w:color w:val="000000"/>
          <w:sz w:val="20"/>
          <w:szCs w:val="20"/>
          <w:lang w:val="es-ES_tradnl"/>
        </w:rPr>
        <w:t>en caso que</w:t>
      </w:r>
      <w:proofErr w:type="gramEnd"/>
      <w:r w:rsidRPr="00F67581">
        <w:rPr>
          <w:rFonts w:ascii="Arial" w:eastAsia="Calibri" w:hAnsi="Arial" w:cs="Arial"/>
          <w:color w:val="000000"/>
          <w:sz w:val="20"/>
          <w:szCs w:val="20"/>
          <w:lang w:val="es-ES_tradnl"/>
        </w:rPr>
        <w:t xml:space="preserve"> se incluya el </w:t>
      </w:r>
      <w:r w:rsidRPr="00F67581">
        <w:rPr>
          <w:rFonts w:ascii="Arial" w:eastAsia="Calibri" w:hAnsi="Arial" w:cs="Arial"/>
          <w:color w:val="000000"/>
          <w:sz w:val="20"/>
          <w:szCs w:val="20"/>
          <w:lang w:val="es-ES_tradnl"/>
        </w:rPr>
        <w:lastRenderedPageBreak/>
        <w:t>indicador de capital de trabajo, para efectos de su evaluación no deviene obligatorio para las entidades estatales la aplicación de los Decretos 399 y 579 de 2021, toda vez que dicho indicador no fue objeto de regulación en estos.</w:t>
      </w:r>
    </w:p>
    <w:p w14:paraId="65EC24E7" w14:textId="77777777" w:rsidR="00886E33" w:rsidRPr="00362817" w:rsidRDefault="00886E33" w:rsidP="00886E33">
      <w:pPr>
        <w:spacing w:after="0" w:line="276" w:lineRule="auto"/>
        <w:ind w:firstLine="709"/>
        <w:jc w:val="both"/>
        <w:rPr>
          <w:rFonts w:ascii="Arial" w:eastAsia="Calibri" w:hAnsi="Arial" w:cs="Arial"/>
          <w:color w:val="000000"/>
          <w:lang w:val="es-ES_tradnl" w:eastAsia="es-ES_tradnl"/>
        </w:rPr>
      </w:pPr>
    </w:p>
    <w:p w14:paraId="642DF54B"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5228384E"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6C04DE0D"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1C79123"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30179B4C"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4AD7333"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5D293508"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0E45504"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229E3D84"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2BAABA3C"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4FB75C00"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48513B6C"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6F618CC0"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0C619EE2"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81904C4"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2D8A3AE"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C0C00D6"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1388D52E"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03670B79"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232FD88E"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7D9390E1" w14:textId="77777777" w:rsidR="00362817" w:rsidRPr="00362817" w:rsidRDefault="00362817" w:rsidP="00362817">
      <w:pPr>
        <w:spacing w:after="0" w:line="276" w:lineRule="auto"/>
        <w:ind w:firstLine="709"/>
        <w:jc w:val="both"/>
        <w:rPr>
          <w:rFonts w:ascii="Arial" w:eastAsia="Times New Roman" w:hAnsi="Arial" w:cs="Arial"/>
          <w:noProof/>
          <w:color w:val="000000"/>
          <w:szCs w:val="24"/>
          <w:lang w:val="es-ES_tradnl" w:eastAsia="es-ES_tradnl"/>
        </w:rPr>
      </w:pPr>
    </w:p>
    <w:p w14:paraId="212A0B04" w14:textId="77777777" w:rsidR="00362817" w:rsidRPr="00362817" w:rsidRDefault="00362817" w:rsidP="00362817">
      <w:pPr>
        <w:spacing w:after="0" w:line="276" w:lineRule="auto"/>
        <w:rPr>
          <w:rFonts w:ascii="Arial" w:eastAsia="Times New Roman" w:hAnsi="Arial" w:cs="Arial"/>
          <w:noProof/>
          <w:color w:val="000000"/>
          <w:szCs w:val="24"/>
          <w:lang w:val="es-ES_tradnl" w:eastAsia="es-ES_tradnl"/>
        </w:rPr>
      </w:pPr>
    </w:p>
    <w:p w14:paraId="64F554EB" w14:textId="073EEFAF" w:rsidR="00362817" w:rsidRDefault="00362817" w:rsidP="00362817">
      <w:pPr>
        <w:spacing w:after="0" w:line="276" w:lineRule="auto"/>
        <w:jc w:val="right"/>
        <w:rPr>
          <w:rFonts w:ascii="Arial" w:eastAsia="Times New Roman" w:hAnsi="Arial" w:cs="Arial"/>
          <w:noProof/>
          <w:color w:val="000000"/>
          <w:szCs w:val="24"/>
          <w:lang w:val="es-ES_tradnl" w:eastAsia="es-ES_tradnl"/>
        </w:rPr>
      </w:pPr>
    </w:p>
    <w:p w14:paraId="364F38AE" w14:textId="227771FA" w:rsidR="00080742" w:rsidRDefault="00080742" w:rsidP="00362817">
      <w:pPr>
        <w:spacing w:after="0" w:line="276" w:lineRule="auto"/>
        <w:jc w:val="right"/>
        <w:rPr>
          <w:rFonts w:ascii="Arial" w:eastAsia="Times New Roman" w:hAnsi="Arial" w:cs="Arial"/>
          <w:noProof/>
          <w:color w:val="000000"/>
          <w:szCs w:val="24"/>
          <w:lang w:val="es-ES_tradnl" w:eastAsia="es-ES_tradnl"/>
        </w:rPr>
      </w:pPr>
    </w:p>
    <w:p w14:paraId="5B5C4754" w14:textId="10BB8DD7" w:rsidR="00080742" w:rsidRDefault="00080742" w:rsidP="00362817">
      <w:pPr>
        <w:spacing w:after="0" w:line="276" w:lineRule="auto"/>
        <w:jc w:val="right"/>
        <w:rPr>
          <w:rFonts w:ascii="Arial" w:eastAsia="Times New Roman" w:hAnsi="Arial" w:cs="Arial"/>
          <w:noProof/>
          <w:color w:val="000000"/>
          <w:szCs w:val="24"/>
          <w:lang w:val="es-ES_tradnl" w:eastAsia="es-ES_tradnl"/>
        </w:rPr>
      </w:pPr>
    </w:p>
    <w:p w14:paraId="063D325F" w14:textId="3B9BFFE5" w:rsidR="00F67581" w:rsidRDefault="00F67581" w:rsidP="00362817">
      <w:pPr>
        <w:spacing w:after="0" w:line="276" w:lineRule="auto"/>
        <w:jc w:val="right"/>
        <w:rPr>
          <w:rFonts w:ascii="Arial" w:eastAsia="Times New Roman" w:hAnsi="Arial" w:cs="Arial"/>
          <w:noProof/>
          <w:color w:val="000000"/>
          <w:szCs w:val="24"/>
          <w:lang w:val="es-ES_tradnl" w:eastAsia="es-ES_tradnl"/>
        </w:rPr>
      </w:pPr>
    </w:p>
    <w:p w14:paraId="6AB4CB1B" w14:textId="34E0BF9F" w:rsidR="00F67581" w:rsidRDefault="00F67581" w:rsidP="00362817">
      <w:pPr>
        <w:spacing w:after="0" w:line="276" w:lineRule="auto"/>
        <w:jc w:val="right"/>
        <w:rPr>
          <w:rFonts w:ascii="Arial" w:eastAsia="Times New Roman" w:hAnsi="Arial" w:cs="Arial"/>
          <w:noProof/>
          <w:color w:val="000000"/>
          <w:szCs w:val="24"/>
          <w:lang w:val="es-ES_tradnl" w:eastAsia="es-ES_tradnl"/>
        </w:rPr>
      </w:pPr>
    </w:p>
    <w:p w14:paraId="2D24176C" w14:textId="5CA349D9" w:rsidR="00F67581" w:rsidRDefault="00F67581" w:rsidP="00362817">
      <w:pPr>
        <w:spacing w:after="0" w:line="276" w:lineRule="auto"/>
        <w:jc w:val="right"/>
        <w:rPr>
          <w:rFonts w:ascii="Arial" w:eastAsia="Times New Roman" w:hAnsi="Arial" w:cs="Arial"/>
          <w:noProof/>
          <w:color w:val="000000"/>
          <w:szCs w:val="24"/>
          <w:lang w:val="es-ES_tradnl" w:eastAsia="es-ES_tradnl"/>
        </w:rPr>
      </w:pPr>
    </w:p>
    <w:p w14:paraId="7F54EBD6" w14:textId="77E8610E" w:rsidR="00F67581" w:rsidRDefault="00F67581" w:rsidP="00362817">
      <w:pPr>
        <w:spacing w:after="0" w:line="276" w:lineRule="auto"/>
        <w:jc w:val="right"/>
        <w:rPr>
          <w:rFonts w:ascii="Arial" w:eastAsia="Times New Roman" w:hAnsi="Arial" w:cs="Arial"/>
          <w:noProof/>
          <w:color w:val="000000"/>
          <w:szCs w:val="24"/>
          <w:lang w:val="es-ES_tradnl" w:eastAsia="es-ES_tradnl"/>
        </w:rPr>
      </w:pPr>
    </w:p>
    <w:p w14:paraId="28E06114" w14:textId="42F91402" w:rsidR="00F67581" w:rsidRDefault="00F67581" w:rsidP="00362817">
      <w:pPr>
        <w:spacing w:after="0" w:line="276" w:lineRule="auto"/>
        <w:jc w:val="right"/>
        <w:rPr>
          <w:rFonts w:ascii="Arial" w:eastAsia="Times New Roman" w:hAnsi="Arial" w:cs="Arial"/>
          <w:noProof/>
          <w:color w:val="000000"/>
          <w:szCs w:val="24"/>
          <w:lang w:val="es-ES_tradnl" w:eastAsia="es-ES_tradnl"/>
        </w:rPr>
      </w:pPr>
    </w:p>
    <w:p w14:paraId="68815F19" w14:textId="77777777" w:rsidR="00F67581" w:rsidRPr="00362817" w:rsidRDefault="00F67581" w:rsidP="00362817">
      <w:pPr>
        <w:spacing w:after="0" w:line="276" w:lineRule="auto"/>
        <w:jc w:val="right"/>
        <w:rPr>
          <w:rFonts w:ascii="Arial" w:eastAsia="Times New Roman" w:hAnsi="Arial" w:cs="Arial"/>
          <w:noProof/>
          <w:color w:val="000000"/>
          <w:szCs w:val="24"/>
          <w:lang w:val="es-ES_tradnl" w:eastAsia="es-ES_tradnl"/>
        </w:rPr>
      </w:pPr>
    </w:p>
    <w:p w14:paraId="7EA9E1B3" w14:textId="7B1D3F4D" w:rsidR="00AA6F34" w:rsidRPr="00362817" w:rsidRDefault="006D558C" w:rsidP="006D558C">
      <w:pPr>
        <w:spacing w:after="0" w:line="276" w:lineRule="auto"/>
        <w:jc w:val="right"/>
        <w:rPr>
          <w:rFonts w:ascii="Arial" w:eastAsia="Times New Roman" w:hAnsi="Arial" w:cs="Arial"/>
          <w:noProof/>
          <w:color w:val="000000"/>
          <w:szCs w:val="24"/>
          <w:lang w:val="es-ES_tradnl" w:eastAsia="es-ES_tradnl"/>
        </w:rPr>
      </w:pPr>
      <w:r>
        <w:rPr>
          <w:noProof/>
        </w:rPr>
        <w:drawing>
          <wp:inline distT="0" distB="0" distL="0" distR="0" wp14:anchorId="2C125E0A" wp14:editId="382EE5CA">
            <wp:extent cx="3383196" cy="971968"/>
            <wp:effectExtent l="0" t="0" r="8255"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rotWithShape="1">
                    <a:blip r:embed="rId7"/>
                    <a:srcRect l="53293" t="32042" r="15988" b="53838"/>
                    <a:stretch/>
                  </pic:blipFill>
                  <pic:spPr bwMode="auto">
                    <a:xfrm>
                      <a:off x="0" y="0"/>
                      <a:ext cx="3408857" cy="979340"/>
                    </a:xfrm>
                    <a:prstGeom prst="rect">
                      <a:avLst/>
                    </a:prstGeom>
                    <a:ln>
                      <a:noFill/>
                    </a:ln>
                    <a:extLst>
                      <a:ext uri="{53640926-AAD7-44D8-BBD7-CCE9431645EC}">
                        <a14:shadowObscured xmlns:a14="http://schemas.microsoft.com/office/drawing/2010/main"/>
                      </a:ext>
                    </a:extLst>
                  </pic:spPr>
                </pic:pic>
              </a:graphicData>
            </a:graphic>
          </wp:inline>
        </w:drawing>
      </w:r>
    </w:p>
    <w:p w14:paraId="35DBB6D7" w14:textId="77777777" w:rsidR="00552DE8" w:rsidRDefault="00552DE8" w:rsidP="00080742">
      <w:pPr>
        <w:spacing w:after="0" w:line="276" w:lineRule="auto"/>
        <w:rPr>
          <w:rFonts w:ascii="Arial" w:hAnsi="Arial" w:cs="Arial"/>
        </w:rPr>
      </w:pPr>
    </w:p>
    <w:p w14:paraId="33361B92" w14:textId="414CAED3" w:rsidR="00080742" w:rsidRPr="006D558C" w:rsidRDefault="006D558C" w:rsidP="00080742">
      <w:pPr>
        <w:spacing w:after="0" w:line="276" w:lineRule="auto"/>
        <w:rPr>
          <w:rFonts w:ascii="Arial" w:eastAsia="Calibri" w:hAnsi="Arial" w:cs="Arial"/>
          <w:lang w:val="es-MX"/>
        </w:rPr>
      </w:pPr>
      <w:r w:rsidRPr="006D558C">
        <w:rPr>
          <w:rFonts w:ascii="Arial" w:hAnsi="Arial" w:cs="Arial"/>
        </w:rPr>
        <w:lastRenderedPageBreak/>
        <w:t xml:space="preserve">Bogotá, 14 </w:t>
      </w:r>
      <w:proofErr w:type="gramStart"/>
      <w:r w:rsidRPr="006D558C">
        <w:rPr>
          <w:rFonts w:ascii="Arial" w:hAnsi="Arial" w:cs="Arial"/>
        </w:rPr>
        <w:t>Junio</w:t>
      </w:r>
      <w:proofErr w:type="gramEnd"/>
      <w:r w:rsidRPr="006D558C">
        <w:rPr>
          <w:rFonts w:ascii="Arial" w:hAnsi="Arial" w:cs="Arial"/>
        </w:rPr>
        <w:t xml:space="preserve"> 2022</w:t>
      </w:r>
    </w:p>
    <w:p w14:paraId="1E490249" w14:textId="77777777" w:rsidR="00362817" w:rsidRPr="00362817" w:rsidRDefault="00362817" w:rsidP="00362817">
      <w:pPr>
        <w:spacing w:after="0" w:line="240" w:lineRule="auto"/>
        <w:jc w:val="both"/>
        <w:rPr>
          <w:rFonts w:ascii="Arial" w:eastAsia="Times New Roman" w:hAnsi="Arial" w:cs="Arial"/>
          <w:b/>
          <w:color w:val="000000"/>
          <w:szCs w:val="24"/>
          <w:lang w:val="es-ES_tradnl" w:eastAsia="es-ES_tradnl"/>
        </w:rPr>
      </w:pPr>
    </w:p>
    <w:p w14:paraId="71E9651C" w14:textId="77777777" w:rsidR="00362817" w:rsidRPr="002230EA" w:rsidRDefault="00362817" w:rsidP="001C160D">
      <w:pPr>
        <w:spacing w:after="0" w:line="276" w:lineRule="auto"/>
        <w:jc w:val="both"/>
        <w:rPr>
          <w:rFonts w:ascii="Arial" w:eastAsia="Calibri" w:hAnsi="Arial" w:cs="Arial"/>
          <w:bCs/>
          <w:color w:val="000000"/>
          <w:szCs w:val="24"/>
          <w:lang w:val="es-ES_tradnl" w:eastAsia="es-ES_tradnl"/>
        </w:rPr>
      </w:pPr>
      <w:bookmarkStart w:id="2" w:name="_Hlk106095109"/>
      <w:r w:rsidRPr="002230EA">
        <w:rPr>
          <w:rFonts w:ascii="Arial" w:eastAsia="Calibri" w:hAnsi="Arial" w:cs="Arial"/>
          <w:bCs/>
          <w:color w:val="000000"/>
          <w:szCs w:val="24"/>
          <w:lang w:val="es-ES_tradnl" w:eastAsia="es-ES_tradnl"/>
        </w:rPr>
        <w:t>Señor</w:t>
      </w:r>
    </w:p>
    <w:p w14:paraId="14DA16DF" w14:textId="48F037BB" w:rsidR="00080742" w:rsidRPr="001C160D" w:rsidRDefault="002230EA" w:rsidP="001C160D">
      <w:pPr>
        <w:spacing w:after="0" w:line="276" w:lineRule="auto"/>
        <w:jc w:val="both"/>
        <w:rPr>
          <w:rFonts w:ascii="Arial" w:hAnsi="Arial" w:cs="Arial"/>
          <w:b/>
          <w:bCs/>
        </w:rPr>
      </w:pPr>
      <w:r w:rsidRPr="001C160D">
        <w:rPr>
          <w:rFonts w:ascii="Arial" w:hAnsi="Arial" w:cs="Arial"/>
          <w:b/>
          <w:bCs/>
        </w:rPr>
        <w:t>Albert Andrés Jamaica Molano</w:t>
      </w:r>
    </w:p>
    <w:p w14:paraId="797507DB" w14:textId="32846D7A" w:rsidR="002230EA" w:rsidRPr="002230EA" w:rsidRDefault="002230EA" w:rsidP="001C160D">
      <w:pPr>
        <w:spacing w:after="0" w:line="276" w:lineRule="auto"/>
        <w:jc w:val="both"/>
        <w:rPr>
          <w:rFonts w:ascii="Arial" w:eastAsia="Calibri" w:hAnsi="Arial" w:cs="Arial"/>
          <w:b/>
          <w:color w:val="000000"/>
          <w:szCs w:val="24"/>
          <w:lang w:val="es-ES_tradnl" w:eastAsia="es-ES_tradnl"/>
        </w:rPr>
      </w:pPr>
      <w:r w:rsidRPr="001C160D">
        <w:rPr>
          <w:rFonts w:ascii="Arial" w:hAnsi="Arial" w:cs="Arial"/>
        </w:rPr>
        <w:t xml:space="preserve">Tenjo, Cundinamarca </w:t>
      </w:r>
    </w:p>
    <w:p w14:paraId="18D6E8C8" w14:textId="77777777" w:rsidR="00362817" w:rsidRPr="00362817" w:rsidRDefault="00362817" w:rsidP="00362817">
      <w:pPr>
        <w:spacing w:after="0" w:line="240" w:lineRule="auto"/>
        <w:jc w:val="both"/>
        <w:rPr>
          <w:rFonts w:ascii="Arial" w:eastAsia="Calibri" w:hAnsi="Arial" w:cs="Arial"/>
          <w:color w:val="000000"/>
          <w:szCs w:val="24"/>
          <w:lang w:val="es-ES_tradnl" w:eastAsia="es-ES_tradnl"/>
        </w:rPr>
      </w:pPr>
    </w:p>
    <w:p w14:paraId="07ACECB8" w14:textId="00CA6CC8" w:rsidR="00362817" w:rsidRPr="00362817" w:rsidRDefault="00362817" w:rsidP="00362817">
      <w:pPr>
        <w:spacing w:after="0" w:line="240" w:lineRule="auto"/>
        <w:ind w:firstLine="709"/>
        <w:rPr>
          <w:rFonts w:ascii="Arial" w:eastAsia="Calibri" w:hAnsi="Arial" w:cs="Arial"/>
          <w:b/>
          <w:bCs/>
          <w:color w:val="000000"/>
          <w:szCs w:val="24"/>
          <w:lang w:val="es-ES_tradnl" w:eastAsia="es-ES_tradnl"/>
        </w:rPr>
      </w:pPr>
      <w:r w:rsidRPr="00362817">
        <w:rPr>
          <w:rFonts w:ascii="Arial" w:eastAsia="Calibri" w:hAnsi="Arial" w:cs="Arial"/>
          <w:b/>
          <w:bCs/>
          <w:color w:val="000000"/>
          <w:szCs w:val="24"/>
          <w:lang w:val="es-ES_tradnl" w:eastAsia="es-ES_tradnl"/>
        </w:rPr>
        <w:t xml:space="preserve">                                 Concepto C ‒ </w:t>
      </w:r>
      <w:r w:rsidR="00080742">
        <w:rPr>
          <w:rFonts w:ascii="Arial" w:eastAsia="Calibri" w:hAnsi="Arial" w:cs="Arial"/>
          <w:b/>
          <w:bCs/>
          <w:color w:val="000000"/>
          <w:szCs w:val="24"/>
          <w:lang w:val="es-ES_tradnl" w:eastAsia="es-ES_tradnl"/>
        </w:rPr>
        <w:t>393</w:t>
      </w:r>
      <w:r w:rsidRPr="00362817">
        <w:rPr>
          <w:rFonts w:ascii="Arial" w:eastAsia="Calibri" w:hAnsi="Arial" w:cs="Arial"/>
          <w:b/>
          <w:bCs/>
          <w:color w:val="000000"/>
          <w:szCs w:val="24"/>
          <w:lang w:val="es-ES_tradnl" w:eastAsia="es-ES_tradnl"/>
        </w:rPr>
        <w:t xml:space="preserve"> de 202</w:t>
      </w:r>
      <w:r w:rsidR="00080742">
        <w:rPr>
          <w:rFonts w:ascii="Arial" w:eastAsia="Calibri" w:hAnsi="Arial" w:cs="Arial"/>
          <w:b/>
          <w:bCs/>
          <w:color w:val="000000"/>
          <w:szCs w:val="24"/>
          <w:lang w:val="es-ES_tradnl" w:eastAsia="es-ES_tradnl"/>
        </w:rPr>
        <w:t>2</w:t>
      </w:r>
    </w:p>
    <w:p w14:paraId="1001FAD4" w14:textId="77777777" w:rsidR="00362817" w:rsidRPr="00362817" w:rsidRDefault="00362817" w:rsidP="00362817">
      <w:pPr>
        <w:spacing w:after="0" w:line="240" w:lineRule="auto"/>
        <w:ind w:firstLine="709"/>
        <w:jc w:val="both"/>
        <w:rPr>
          <w:rFonts w:ascii="Arial" w:eastAsia="Calibri" w:hAnsi="Arial" w:cs="Arial"/>
          <w:color w:val="000000"/>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2817" w:rsidRPr="00362817" w14:paraId="0D5310BF" w14:textId="77777777" w:rsidTr="00323B4A">
        <w:tc>
          <w:tcPr>
            <w:tcW w:w="2689" w:type="dxa"/>
          </w:tcPr>
          <w:p w14:paraId="37006265" w14:textId="77777777" w:rsidR="00362817" w:rsidRPr="00362817" w:rsidRDefault="00362817" w:rsidP="00362817">
            <w:pPr>
              <w:jc w:val="both"/>
              <w:rPr>
                <w:rFonts w:ascii="Arial" w:eastAsia="Calibri" w:hAnsi="Arial" w:cs="Arial"/>
                <w:color w:val="000000"/>
                <w:szCs w:val="24"/>
                <w:lang w:val="es-ES_tradnl" w:eastAsia="es-ES_tradnl"/>
              </w:rPr>
            </w:pPr>
            <w:r w:rsidRPr="00362817">
              <w:rPr>
                <w:rFonts w:ascii="Arial" w:eastAsia="Calibri" w:hAnsi="Arial" w:cs="Arial"/>
                <w:b/>
                <w:color w:val="000000"/>
                <w:szCs w:val="24"/>
                <w:lang w:val="es-ES_tradnl" w:eastAsia="es-ES_tradnl"/>
              </w:rPr>
              <w:t>Temas:</w:t>
            </w:r>
            <w:r w:rsidRPr="00362817">
              <w:rPr>
                <w:rFonts w:ascii="Arial" w:eastAsia="Calibri" w:hAnsi="Arial" w:cs="Arial"/>
                <w:color w:val="000000"/>
                <w:szCs w:val="24"/>
                <w:lang w:val="es-ES_tradnl" w:eastAsia="es-ES_tradnl"/>
              </w:rPr>
              <w:t xml:space="preserve">                                      </w:t>
            </w:r>
          </w:p>
        </w:tc>
        <w:tc>
          <w:tcPr>
            <w:tcW w:w="6237" w:type="dxa"/>
          </w:tcPr>
          <w:p w14:paraId="24CB8C31" w14:textId="77777777" w:rsidR="00362817" w:rsidRPr="00362817" w:rsidRDefault="00362817" w:rsidP="001C160D">
            <w:pPr>
              <w:ind w:firstLine="0"/>
              <w:jc w:val="both"/>
              <w:rPr>
                <w:rFonts w:ascii="Arial" w:eastAsia="Times New Roman" w:hAnsi="Arial" w:cs="Arial"/>
                <w:b/>
                <w:bCs/>
                <w:color w:val="000000"/>
                <w:lang w:val="es-ES_tradnl" w:eastAsia="es-ES_tradnl"/>
              </w:rPr>
            </w:pPr>
            <w:r w:rsidRPr="00362817">
              <w:rPr>
                <w:rFonts w:ascii="Arial" w:eastAsia="Calibri" w:hAnsi="Arial" w:cs="Arial"/>
                <w:bCs/>
                <w:color w:val="000000"/>
                <w:szCs w:val="24"/>
                <w:lang w:val="es-ES_tradnl" w:eastAsia="es-ES_tradnl"/>
              </w:rPr>
              <w:t>DECRETO 399 DE 2021 – Finalidad – Reactivación económica / DECRETO 399 DE 2021 – Información – Capacidad financiera – Capacidad organizacional / MEJOR AÑO FISCAL – Decreto 399 – Capacidad financiera – Capacidad organizacional /</w:t>
            </w:r>
            <w:r w:rsidRPr="00362817">
              <w:rPr>
                <w:rFonts w:ascii="Arial" w:eastAsia="Times New Roman" w:hAnsi="Arial" w:cs="Arial"/>
                <w:bCs/>
                <w:color w:val="000000"/>
                <w:lang w:val="es-ES_tradnl" w:eastAsia="es-ES_tradnl"/>
              </w:rPr>
              <w:t xml:space="preserve"> EVALUACIÓN DE LA CAPACIDAD FINANCIERA Y ORGANIZACIONAL – Proponente plural – Mejor año fiscal</w:t>
            </w:r>
          </w:p>
          <w:p w14:paraId="2FCE02ED" w14:textId="77777777" w:rsidR="00362817" w:rsidRPr="00362817" w:rsidRDefault="00362817" w:rsidP="00362817">
            <w:pPr>
              <w:jc w:val="both"/>
              <w:rPr>
                <w:rFonts w:ascii="Arial" w:eastAsia="Calibri" w:hAnsi="Arial" w:cs="Arial"/>
                <w:color w:val="000000"/>
                <w:szCs w:val="24"/>
                <w:lang w:val="es-ES_tradnl" w:eastAsia="es-ES_tradnl"/>
              </w:rPr>
            </w:pPr>
          </w:p>
        </w:tc>
      </w:tr>
      <w:tr w:rsidR="00362817" w:rsidRPr="00362817" w14:paraId="41B21FD3" w14:textId="77777777" w:rsidTr="00323B4A">
        <w:trPr>
          <w:trHeight w:val="67"/>
        </w:trPr>
        <w:tc>
          <w:tcPr>
            <w:tcW w:w="2689" w:type="dxa"/>
          </w:tcPr>
          <w:p w14:paraId="46B63046" w14:textId="77777777" w:rsidR="00362817" w:rsidRPr="00362817" w:rsidRDefault="00362817" w:rsidP="00362817">
            <w:pPr>
              <w:spacing w:before="120"/>
              <w:jc w:val="both"/>
              <w:rPr>
                <w:rFonts w:ascii="Arial" w:eastAsia="Calibri" w:hAnsi="Arial" w:cs="Arial"/>
                <w:b/>
                <w:color w:val="000000"/>
                <w:lang w:val="es-ES_tradnl" w:eastAsia="es-ES_tradnl"/>
              </w:rPr>
            </w:pPr>
            <w:r w:rsidRPr="00362817">
              <w:rPr>
                <w:rFonts w:ascii="Arial" w:eastAsia="Calibri" w:hAnsi="Arial" w:cs="Arial"/>
                <w:b/>
                <w:color w:val="000000"/>
                <w:lang w:val="es-ES_tradnl" w:eastAsia="es-ES_tradnl"/>
              </w:rPr>
              <w:t>Radicación:</w:t>
            </w:r>
            <w:r w:rsidRPr="00362817">
              <w:rPr>
                <w:rFonts w:ascii="Arial" w:eastAsia="Calibri" w:hAnsi="Arial" w:cs="Arial"/>
                <w:color w:val="000000"/>
                <w:lang w:val="es-ES_tradnl" w:eastAsia="es-ES_tradnl"/>
              </w:rPr>
              <w:t xml:space="preserve">                              </w:t>
            </w:r>
          </w:p>
        </w:tc>
        <w:tc>
          <w:tcPr>
            <w:tcW w:w="6237" w:type="dxa"/>
          </w:tcPr>
          <w:p w14:paraId="5666D2CE" w14:textId="350C45CA" w:rsidR="00362817" w:rsidRPr="00362817" w:rsidRDefault="00362817" w:rsidP="001C160D">
            <w:pPr>
              <w:spacing w:before="120"/>
              <w:ind w:firstLine="0"/>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 xml:space="preserve">Respuesta a consulta # </w:t>
            </w:r>
            <w:r w:rsidR="00080742" w:rsidRPr="00080742">
              <w:rPr>
                <w:rFonts w:ascii="Arial" w:eastAsia="Calibri" w:hAnsi="Arial" w:cs="Arial"/>
                <w:color w:val="000000"/>
                <w:lang w:val="es-ES_tradnl" w:eastAsia="es-ES_tradnl"/>
              </w:rPr>
              <w:t>P20220504004399</w:t>
            </w:r>
          </w:p>
        </w:tc>
      </w:tr>
    </w:tbl>
    <w:p w14:paraId="697BA636" w14:textId="293E4740" w:rsidR="00362817" w:rsidRDefault="00362817" w:rsidP="00362817">
      <w:pPr>
        <w:spacing w:after="0" w:line="240" w:lineRule="auto"/>
        <w:ind w:firstLine="709"/>
        <w:jc w:val="both"/>
        <w:rPr>
          <w:rFonts w:ascii="Arial" w:eastAsia="Calibri" w:hAnsi="Arial" w:cs="Arial"/>
          <w:color w:val="000000"/>
          <w:szCs w:val="24"/>
          <w:lang w:val="es-ES_tradnl" w:eastAsia="es-ES_tradnl"/>
        </w:rPr>
      </w:pPr>
    </w:p>
    <w:p w14:paraId="55403AE4" w14:textId="77777777" w:rsidR="002230EA" w:rsidRPr="00362817" w:rsidRDefault="002230EA" w:rsidP="00362817">
      <w:pPr>
        <w:spacing w:after="0" w:line="240" w:lineRule="auto"/>
        <w:ind w:firstLine="709"/>
        <w:jc w:val="both"/>
        <w:rPr>
          <w:rFonts w:ascii="Arial" w:eastAsia="Calibri" w:hAnsi="Arial" w:cs="Arial"/>
          <w:color w:val="000000"/>
          <w:szCs w:val="24"/>
          <w:lang w:val="es-ES_tradnl" w:eastAsia="es-ES_tradnl"/>
        </w:rPr>
      </w:pPr>
    </w:p>
    <w:p w14:paraId="47A4472C" w14:textId="0F535FB8" w:rsidR="00362817" w:rsidRPr="00362817" w:rsidRDefault="00362817" w:rsidP="00362817">
      <w:pPr>
        <w:spacing w:after="0" w:line="240" w:lineRule="auto"/>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Estimado señor</w:t>
      </w:r>
      <w:r w:rsidR="002230EA">
        <w:rPr>
          <w:rFonts w:ascii="Arial" w:eastAsia="Calibri" w:hAnsi="Arial" w:cs="Arial"/>
          <w:color w:val="000000"/>
          <w:szCs w:val="24"/>
          <w:lang w:val="es-ES_tradnl" w:eastAsia="es-ES_tradnl"/>
        </w:rPr>
        <w:t xml:space="preserve"> Jamaica Molano</w:t>
      </w:r>
      <w:r w:rsidRPr="00362817">
        <w:rPr>
          <w:rFonts w:ascii="Arial" w:eastAsia="Calibri" w:hAnsi="Arial" w:cs="Arial"/>
          <w:color w:val="000000"/>
          <w:szCs w:val="24"/>
          <w:lang w:val="es-ES_tradnl" w:eastAsia="es-ES_tradnl"/>
        </w:rPr>
        <w:t>:</w:t>
      </w:r>
    </w:p>
    <w:p w14:paraId="044B4FDC" w14:textId="77777777" w:rsidR="00362817" w:rsidRPr="00362817" w:rsidRDefault="00362817" w:rsidP="00362817">
      <w:pPr>
        <w:spacing w:after="0" w:line="240" w:lineRule="auto"/>
        <w:ind w:firstLine="709"/>
        <w:jc w:val="both"/>
        <w:rPr>
          <w:rFonts w:ascii="Arial" w:eastAsia="Calibri" w:hAnsi="Arial" w:cs="Arial"/>
          <w:color w:val="000000"/>
          <w:szCs w:val="24"/>
          <w:lang w:val="es-ES_tradnl" w:eastAsia="es-ES_tradnl"/>
        </w:rPr>
      </w:pPr>
    </w:p>
    <w:p w14:paraId="58435B79" w14:textId="40F9A017" w:rsidR="00362817" w:rsidRPr="00362817" w:rsidRDefault="00362817" w:rsidP="00362817">
      <w:pPr>
        <w:spacing w:after="0" w:line="276" w:lineRule="auto"/>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230EA">
        <w:rPr>
          <w:rFonts w:ascii="Arial" w:eastAsia="Calibri" w:hAnsi="Arial" w:cs="Arial"/>
          <w:color w:val="000000"/>
          <w:szCs w:val="24"/>
          <w:lang w:val="es-ES_tradnl" w:eastAsia="es-ES_tradnl"/>
        </w:rPr>
        <w:t>4</w:t>
      </w:r>
      <w:r w:rsidRPr="00362817">
        <w:rPr>
          <w:rFonts w:ascii="Arial" w:eastAsia="Calibri" w:hAnsi="Arial" w:cs="Arial"/>
          <w:color w:val="000000"/>
          <w:szCs w:val="24"/>
          <w:lang w:val="es-ES_tradnl" w:eastAsia="es-ES_tradnl"/>
        </w:rPr>
        <w:t xml:space="preserve"> de </w:t>
      </w:r>
      <w:r w:rsidR="002230EA">
        <w:rPr>
          <w:rFonts w:ascii="Arial" w:eastAsia="Calibri" w:hAnsi="Arial" w:cs="Arial"/>
          <w:color w:val="000000"/>
          <w:szCs w:val="24"/>
          <w:lang w:val="es-ES_tradnl" w:eastAsia="es-ES_tradnl"/>
        </w:rPr>
        <w:t>mayo</w:t>
      </w:r>
      <w:r w:rsidRPr="00362817">
        <w:rPr>
          <w:rFonts w:ascii="Arial" w:eastAsia="Calibri" w:hAnsi="Arial" w:cs="Arial"/>
          <w:color w:val="000000"/>
          <w:szCs w:val="24"/>
          <w:lang w:val="es-ES_tradnl" w:eastAsia="es-ES_tradnl"/>
        </w:rPr>
        <w:t xml:space="preserve"> de 202</w:t>
      </w:r>
      <w:r w:rsidR="002230EA">
        <w:rPr>
          <w:rFonts w:ascii="Arial" w:eastAsia="Calibri" w:hAnsi="Arial" w:cs="Arial"/>
          <w:color w:val="000000"/>
          <w:szCs w:val="24"/>
          <w:lang w:val="es-ES_tradnl" w:eastAsia="es-ES_tradnl"/>
        </w:rPr>
        <w:t>2</w:t>
      </w:r>
      <w:r w:rsidRPr="00362817">
        <w:rPr>
          <w:rFonts w:ascii="Arial" w:eastAsia="Calibri" w:hAnsi="Arial" w:cs="Arial"/>
          <w:color w:val="000000"/>
          <w:szCs w:val="24"/>
          <w:lang w:val="es-ES_tradnl" w:eastAsia="es-ES_tradnl"/>
        </w:rPr>
        <w:t>.</w:t>
      </w:r>
    </w:p>
    <w:p w14:paraId="2B1925C6" w14:textId="77777777" w:rsidR="00362817" w:rsidRPr="00362817" w:rsidRDefault="00362817" w:rsidP="00362817">
      <w:pPr>
        <w:spacing w:after="0" w:line="276" w:lineRule="auto"/>
        <w:ind w:firstLine="709"/>
        <w:jc w:val="both"/>
        <w:rPr>
          <w:rFonts w:ascii="Arial" w:eastAsia="Calibri" w:hAnsi="Arial" w:cs="Arial"/>
          <w:b/>
          <w:color w:val="000000"/>
          <w:szCs w:val="24"/>
          <w:lang w:val="es-ES_tradnl" w:eastAsia="es-ES_tradnl"/>
        </w:rPr>
      </w:pPr>
    </w:p>
    <w:p w14:paraId="7ECAD738" w14:textId="0AE94081" w:rsidR="00362817" w:rsidRPr="001C160D" w:rsidRDefault="00362817" w:rsidP="001C160D">
      <w:pPr>
        <w:pStyle w:val="Prrafodelista"/>
        <w:numPr>
          <w:ilvl w:val="0"/>
          <w:numId w:val="3"/>
        </w:numPr>
        <w:tabs>
          <w:tab w:val="left" w:pos="0"/>
          <w:tab w:val="left" w:pos="142"/>
          <w:tab w:val="left" w:pos="284"/>
        </w:tabs>
        <w:spacing w:after="0" w:line="276" w:lineRule="auto"/>
        <w:ind w:left="360"/>
        <w:jc w:val="both"/>
        <w:rPr>
          <w:rFonts w:ascii="Arial" w:eastAsia="Calibri" w:hAnsi="Arial" w:cs="Arial"/>
          <w:b/>
          <w:color w:val="000000"/>
          <w:lang w:val="es-ES_tradnl"/>
        </w:rPr>
      </w:pPr>
      <w:r w:rsidRPr="001C160D">
        <w:rPr>
          <w:rFonts w:ascii="Arial" w:eastAsia="Calibri" w:hAnsi="Arial" w:cs="Arial"/>
          <w:b/>
          <w:color w:val="000000"/>
          <w:lang w:val="es-ES_tradnl"/>
        </w:rPr>
        <w:t xml:space="preserve">Problema planteado </w:t>
      </w:r>
    </w:p>
    <w:p w14:paraId="46AF8BAF" w14:textId="77777777" w:rsidR="00362817" w:rsidRPr="00362817" w:rsidRDefault="00362817" w:rsidP="00362817">
      <w:pPr>
        <w:spacing w:after="0" w:line="276" w:lineRule="auto"/>
        <w:jc w:val="both"/>
        <w:rPr>
          <w:rFonts w:ascii="Arial" w:eastAsia="Times New Roman" w:hAnsi="Arial" w:cs="Arial"/>
          <w:color w:val="000000"/>
          <w:szCs w:val="24"/>
          <w:lang w:val="es-ES_tradnl" w:eastAsia="es-ES_tradnl"/>
        </w:rPr>
      </w:pPr>
    </w:p>
    <w:p w14:paraId="3C45147C" w14:textId="12597974" w:rsidR="00AA6F34" w:rsidRDefault="00DE5791" w:rsidP="001C160D">
      <w:pPr>
        <w:spacing w:after="0" w:line="276" w:lineRule="auto"/>
        <w:jc w:val="both"/>
        <w:rPr>
          <w:rFonts w:ascii="Arial" w:hAnsi="Arial" w:cs="Arial"/>
          <w:sz w:val="21"/>
          <w:szCs w:val="21"/>
        </w:rPr>
      </w:pPr>
      <w:r>
        <w:rPr>
          <w:rFonts w:ascii="Arial" w:hAnsi="Arial" w:cs="Arial"/>
          <w:color w:val="000000" w:themeColor="text1"/>
          <w:lang w:val="es-ES_tradnl"/>
        </w:rPr>
        <w:t>En su solicitud</w:t>
      </w:r>
      <w:r w:rsidR="00F70D31">
        <w:rPr>
          <w:rFonts w:ascii="Arial" w:hAnsi="Arial" w:cs="Arial"/>
          <w:color w:val="000000" w:themeColor="text1"/>
          <w:lang w:val="es-ES_tradnl"/>
        </w:rPr>
        <w:t xml:space="preserve"> usted indaga en torno a la posibilidad de realizar </w:t>
      </w:r>
      <w:r w:rsidR="00702681">
        <w:rPr>
          <w:rFonts w:ascii="Arial" w:hAnsi="Arial" w:cs="Arial"/>
          <w:color w:val="000000" w:themeColor="text1"/>
          <w:lang w:val="es-ES_tradnl"/>
        </w:rPr>
        <w:t>la evaluación de indicadores</w:t>
      </w:r>
      <w:r w:rsidR="00F70D31">
        <w:rPr>
          <w:rFonts w:ascii="Arial" w:hAnsi="Arial" w:cs="Arial"/>
          <w:color w:val="000000" w:themeColor="text1"/>
          <w:lang w:val="es-ES_tradnl"/>
        </w:rPr>
        <w:t xml:space="preserve"> financieros</w:t>
      </w:r>
      <w:r w:rsidR="00702681">
        <w:rPr>
          <w:rFonts w:ascii="Arial" w:hAnsi="Arial" w:cs="Arial"/>
          <w:color w:val="000000" w:themeColor="text1"/>
          <w:lang w:val="es-ES_tradnl"/>
        </w:rPr>
        <w:t xml:space="preserve"> </w:t>
      </w:r>
      <w:r w:rsidRPr="00323B4A">
        <w:rPr>
          <w:rFonts w:ascii="Arial" w:hAnsi="Arial" w:cs="Arial"/>
          <w:sz w:val="21"/>
          <w:szCs w:val="21"/>
        </w:rPr>
        <w:t>para proponentes</w:t>
      </w:r>
      <w:r w:rsidR="00F70D31">
        <w:rPr>
          <w:rFonts w:ascii="Arial" w:hAnsi="Arial" w:cs="Arial"/>
          <w:sz w:val="21"/>
          <w:szCs w:val="21"/>
        </w:rPr>
        <w:t xml:space="preserve"> plurales</w:t>
      </w:r>
      <w:r w:rsidRPr="00323B4A">
        <w:rPr>
          <w:rFonts w:ascii="Arial" w:hAnsi="Arial" w:cs="Arial"/>
          <w:sz w:val="21"/>
          <w:szCs w:val="21"/>
        </w:rPr>
        <w:t xml:space="preserve"> </w:t>
      </w:r>
      <w:r w:rsidR="00F70D31">
        <w:rPr>
          <w:rFonts w:ascii="Arial" w:hAnsi="Arial" w:cs="Arial"/>
          <w:sz w:val="21"/>
          <w:szCs w:val="21"/>
        </w:rPr>
        <w:t xml:space="preserve">«[…] </w:t>
      </w:r>
      <w:r w:rsidRPr="00323B4A">
        <w:rPr>
          <w:rFonts w:ascii="Arial" w:hAnsi="Arial" w:cs="Arial"/>
          <w:sz w:val="21"/>
          <w:szCs w:val="21"/>
        </w:rPr>
        <w:t xml:space="preserve">con los mejores indicadores financieros de los </w:t>
      </w:r>
      <w:proofErr w:type="spellStart"/>
      <w:r w:rsidRPr="00323B4A">
        <w:rPr>
          <w:rFonts w:ascii="Arial" w:hAnsi="Arial" w:cs="Arial"/>
          <w:sz w:val="21"/>
          <w:szCs w:val="21"/>
        </w:rPr>
        <w:t>ultimos</w:t>
      </w:r>
      <w:proofErr w:type="spellEnd"/>
      <w:r>
        <w:rPr>
          <w:rFonts w:ascii="Arial" w:hAnsi="Arial" w:cs="Arial"/>
          <w:sz w:val="21"/>
          <w:szCs w:val="21"/>
        </w:rPr>
        <w:t xml:space="preserve"> </w:t>
      </w:r>
      <w:r w:rsidRPr="00323B4A">
        <w:rPr>
          <w:rFonts w:ascii="Arial" w:hAnsi="Arial" w:cs="Arial"/>
          <w:sz w:val="21"/>
          <w:szCs w:val="21"/>
        </w:rPr>
        <w:t>3 años de cada integrante</w:t>
      </w:r>
      <w:r>
        <w:rPr>
          <w:rFonts w:ascii="Arial" w:hAnsi="Arial" w:cs="Arial"/>
          <w:sz w:val="21"/>
          <w:szCs w:val="21"/>
        </w:rPr>
        <w:t>»</w:t>
      </w:r>
      <w:r w:rsidR="00F70D31">
        <w:rPr>
          <w:rFonts w:ascii="Arial" w:hAnsi="Arial" w:cs="Arial"/>
          <w:sz w:val="21"/>
          <w:szCs w:val="21"/>
        </w:rPr>
        <w:t xml:space="preserve"> (sic). Al respecto pregunta: </w:t>
      </w:r>
    </w:p>
    <w:p w14:paraId="3D070B99" w14:textId="77777777" w:rsidR="00AA6F34" w:rsidRDefault="00AA6F34" w:rsidP="001C160D">
      <w:pPr>
        <w:spacing w:after="0" w:line="276" w:lineRule="auto"/>
        <w:jc w:val="both"/>
        <w:rPr>
          <w:rFonts w:ascii="Arial" w:hAnsi="Arial" w:cs="Arial"/>
          <w:sz w:val="21"/>
          <w:szCs w:val="21"/>
        </w:rPr>
      </w:pPr>
    </w:p>
    <w:p w14:paraId="7E815DF9" w14:textId="3D7B44B1" w:rsidR="00362817" w:rsidRPr="00B86920" w:rsidRDefault="00DE5791" w:rsidP="00B86920">
      <w:pPr>
        <w:spacing w:after="0" w:line="276" w:lineRule="auto"/>
        <w:ind w:left="709" w:right="709"/>
        <w:jc w:val="both"/>
        <w:rPr>
          <w:rFonts w:ascii="Arial" w:eastAsia="Times New Roman" w:hAnsi="Arial" w:cs="Arial"/>
          <w:color w:val="000000"/>
          <w:lang w:val="es-MX" w:eastAsia="es-ES_tradnl"/>
        </w:rPr>
      </w:pPr>
      <w:r w:rsidRPr="00AA6F34" w:rsidDel="00DE5791">
        <w:rPr>
          <w:rFonts w:ascii="Arial" w:hAnsi="Arial" w:cs="Arial"/>
          <w:color w:val="000000" w:themeColor="text1"/>
          <w:lang w:val="es-ES_tradnl"/>
        </w:rPr>
        <w:t xml:space="preserve"> </w:t>
      </w:r>
      <w:r w:rsidRPr="00AA6F34">
        <w:rPr>
          <w:rFonts w:ascii="Arial" w:hAnsi="Arial" w:cs="Arial"/>
          <w:color w:val="000000" w:themeColor="text1"/>
          <w:lang w:val="es-ES_tradnl"/>
        </w:rPr>
        <w:t>«[</w:t>
      </w:r>
      <w:r w:rsidRPr="00B86920">
        <w:rPr>
          <w:rFonts w:ascii="Arial" w:hAnsi="Arial" w:cs="Arial"/>
        </w:rPr>
        <w:t>l]</w:t>
      </w:r>
      <w:r w:rsidR="002230EA" w:rsidRPr="00B86920">
        <w:rPr>
          <w:rFonts w:ascii="Arial" w:hAnsi="Arial" w:cs="Arial"/>
        </w:rPr>
        <w:t xml:space="preserve">a vigencia tiene que ser la misma para todos los integrantes o la vigencia puede ser diferente. Ejemplo. Capital de trabajo Integrante A acredita la mejor información financiera relacionando el año 2020, integrante B aporta la mejor información financiera relacionando el año 2019, integrante C aporta la mejor información financiera relacionado el 2018. ¿Es </w:t>
      </w:r>
      <w:proofErr w:type="spellStart"/>
      <w:r w:rsidR="002230EA" w:rsidRPr="00B86920">
        <w:rPr>
          <w:rFonts w:ascii="Arial" w:hAnsi="Arial" w:cs="Arial"/>
        </w:rPr>
        <w:t>valido</w:t>
      </w:r>
      <w:proofErr w:type="spellEnd"/>
      <w:r w:rsidR="002230EA" w:rsidRPr="00B86920">
        <w:rPr>
          <w:rFonts w:ascii="Arial" w:hAnsi="Arial" w:cs="Arial"/>
        </w:rPr>
        <w:t xml:space="preserve"> (sic) que el requisito se calcule con diferentes vigencias de cada uno de los integrantes o todos los integrantes tienen que aportar la información financiera de una misma anualidad, o sea, todos con 2020 o 2019 o 2018?»</w:t>
      </w:r>
    </w:p>
    <w:p w14:paraId="29DC18EC" w14:textId="77777777" w:rsidR="00362817" w:rsidRPr="00362817" w:rsidRDefault="00362817" w:rsidP="001C160D">
      <w:pPr>
        <w:spacing w:after="0" w:line="240" w:lineRule="auto"/>
        <w:jc w:val="both"/>
        <w:rPr>
          <w:rFonts w:ascii="Arial" w:eastAsia="Times New Roman" w:hAnsi="Arial" w:cs="Arial"/>
          <w:color w:val="000000"/>
          <w:sz w:val="21"/>
          <w:szCs w:val="21"/>
          <w:lang w:val="es-MX" w:eastAsia="es-ES_tradnl"/>
        </w:rPr>
      </w:pPr>
    </w:p>
    <w:p w14:paraId="7BB4E574" w14:textId="3D5D7182" w:rsidR="00362817" w:rsidRPr="001C160D" w:rsidRDefault="00362817" w:rsidP="00B86920">
      <w:pPr>
        <w:pStyle w:val="Prrafodelista"/>
        <w:numPr>
          <w:ilvl w:val="0"/>
          <w:numId w:val="3"/>
        </w:numPr>
        <w:tabs>
          <w:tab w:val="left" w:pos="0"/>
          <w:tab w:val="left" w:pos="284"/>
        </w:tabs>
        <w:spacing w:after="0" w:line="276" w:lineRule="auto"/>
        <w:ind w:left="360"/>
        <w:jc w:val="both"/>
        <w:rPr>
          <w:rFonts w:ascii="Arial" w:eastAsia="Calibri" w:hAnsi="Arial" w:cs="Arial"/>
          <w:color w:val="000000"/>
          <w:lang w:val="es-ES_tradnl" w:eastAsia="es-ES_tradnl"/>
        </w:rPr>
      </w:pPr>
      <w:r w:rsidRPr="001C160D">
        <w:rPr>
          <w:rFonts w:ascii="Arial" w:eastAsia="Calibri" w:hAnsi="Arial" w:cs="Arial"/>
          <w:b/>
          <w:color w:val="000000"/>
          <w:lang w:val="es-ES_tradnl"/>
        </w:rPr>
        <w:t>Consideraciones</w:t>
      </w:r>
    </w:p>
    <w:p w14:paraId="65D39D88" w14:textId="77777777" w:rsidR="00362817" w:rsidRPr="00362817" w:rsidRDefault="00362817" w:rsidP="00362817">
      <w:pPr>
        <w:tabs>
          <w:tab w:val="left" w:pos="0"/>
          <w:tab w:val="left" w:pos="284"/>
        </w:tabs>
        <w:spacing w:after="120" w:line="276" w:lineRule="auto"/>
        <w:contextualSpacing/>
        <w:jc w:val="both"/>
        <w:rPr>
          <w:rFonts w:ascii="Arial" w:eastAsia="Calibri" w:hAnsi="Arial" w:cs="Arial"/>
          <w:color w:val="000000"/>
          <w:lang w:val="es-ES_tradnl" w:eastAsia="es-ES_tradnl"/>
        </w:rPr>
      </w:pPr>
    </w:p>
    <w:p w14:paraId="024F5722" w14:textId="0D9519D5" w:rsidR="00362817" w:rsidRPr="00362817" w:rsidRDefault="00362817" w:rsidP="00362817">
      <w:pPr>
        <w:tabs>
          <w:tab w:val="left" w:pos="0"/>
          <w:tab w:val="left" w:pos="284"/>
        </w:tabs>
        <w:snapToGrid w:val="0"/>
        <w:spacing w:after="120" w:line="276" w:lineRule="auto"/>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 xml:space="preserve">La Subdirección de Gestión Contractual responderá la consulta, luego de analizar los siguientes temas: i) requisitos habilitantes de capacidad financiera y organizacional; </w:t>
      </w:r>
      <w:proofErr w:type="spellStart"/>
      <w:r w:rsidRPr="00362817">
        <w:rPr>
          <w:rFonts w:ascii="Arial" w:eastAsia="Calibri" w:hAnsi="Arial" w:cs="Arial"/>
          <w:color w:val="000000"/>
          <w:lang w:val="es-ES_tradnl" w:eastAsia="es-ES_tradnl"/>
        </w:rPr>
        <w:t>ii</w:t>
      </w:r>
      <w:proofErr w:type="spellEnd"/>
      <w:r w:rsidRPr="00362817">
        <w:rPr>
          <w:rFonts w:ascii="Arial" w:eastAsia="Calibri" w:hAnsi="Arial" w:cs="Arial"/>
          <w:color w:val="000000"/>
          <w:lang w:val="es-ES_tradnl" w:eastAsia="es-ES_tradnl"/>
        </w:rPr>
        <w:t xml:space="preserve">) </w:t>
      </w:r>
      <w:r w:rsidRPr="00362817">
        <w:rPr>
          <w:rFonts w:ascii="Arial" w:eastAsia="Calibri" w:hAnsi="Arial" w:cs="Arial"/>
          <w:color w:val="000000"/>
          <w:lang w:val="es-ES_tradnl" w:eastAsia="es-ES_tradnl"/>
        </w:rPr>
        <w:lastRenderedPageBreak/>
        <w:t>modificaciones introducidas por los Decretos 399 de 2021 y 579 de 2021 respecto a la información contenida en el RUP y delimitación de su verificación dentro del «mejor año fiscal»</w:t>
      </w:r>
      <w:r w:rsidR="002B2913">
        <w:rPr>
          <w:rFonts w:ascii="Arial" w:eastAsia="Calibri" w:hAnsi="Arial" w:cs="Arial"/>
          <w:color w:val="000000"/>
          <w:lang w:val="es-ES_tradnl" w:eastAsia="es-ES_tradnl"/>
        </w:rPr>
        <w:t>,</w:t>
      </w:r>
      <w:r w:rsidRPr="00362817">
        <w:rPr>
          <w:rFonts w:ascii="Arial" w:eastAsia="Calibri" w:hAnsi="Arial" w:cs="Arial"/>
          <w:color w:val="000000"/>
          <w:lang w:val="es-ES_tradnl" w:eastAsia="es-ES_tradnl"/>
        </w:rPr>
        <w:t xml:space="preserve"> </w:t>
      </w:r>
      <w:proofErr w:type="spellStart"/>
      <w:r w:rsidRPr="00362817">
        <w:rPr>
          <w:rFonts w:ascii="Arial" w:eastAsia="Calibri" w:hAnsi="Arial" w:cs="Arial"/>
          <w:color w:val="000000"/>
          <w:lang w:val="es-ES_tradnl" w:eastAsia="es-ES_tradnl"/>
        </w:rPr>
        <w:t>iii</w:t>
      </w:r>
      <w:proofErr w:type="spellEnd"/>
      <w:r w:rsidRPr="00362817">
        <w:rPr>
          <w:rFonts w:ascii="Arial" w:eastAsia="Calibri" w:hAnsi="Arial" w:cs="Arial"/>
          <w:color w:val="000000"/>
          <w:lang w:val="es-ES_tradnl" w:eastAsia="es-ES_tradnl"/>
        </w:rPr>
        <w:t>) evaluación de la capacidad financiera y organizacional de los proponentes plurales a la luz de los Decretos 399 de 2021 y 579 de 2021</w:t>
      </w:r>
      <w:r w:rsidR="002B2913">
        <w:rPr>
          <w:rFonts w:ascii="Arial" w:eastAsia="Calibri" w:hAnsi="Arial" w:cs="Arial"/>
          <w:color w:val="000000"/>
          <w:lang w:val="es-ES_tradnl" w:eastAsia="es-ES_tradnl"/>
        </w:rPr>
        <w:t xml:space="preserve"> y </w:t>
      </w:r>
      <w:proofErr w:type="spellStart"/>
      <w:r w:rsidR="002B2913">
        <w:rPr>
          <w:rFonts w:ascii="Arial" w:eastAsia="Calibri" w:hAnsi="Arial" w:cs="Arial"/>
          <w:color w:val="000000"/>
          <w:lang w:val="es-ES_tradnl" w:eastAsia="es-ES_tradnl"/>
        </w:rPr>
        <w:t>iv</w:t>
      </w:r>
      <w:proofErr w:type="spellEnd"/>
      <w:r w:rsidR="002B2913">
        <w:rPr>
          <w:rFonts w:ascii="Arial" w:eastAsia="Calibri" w:hAnsi="Arial" w:cs="Arial"/>
          <w:color w:val="000000"/>
          <w:lang w:val="es-ES_tradnl" w:eastAsia="es-ES_tradnl"/>
        </w:rPr>
        <w:t>) c</w:t>
      </w:r>
      <w:r w:rsidR="002B2913" w:rsidRPr="002B2913">
        <w:rPr>
          <w:rFonts w:ascii="Arial" w:eastAsia="Calibri" w:hAnsi="Arial" w:cs="Arial"/>
          <w:color w:val="000000"/>
          <w:lang w:val="es-ES_tradnl" w:eastAsia="es-ES_tradnl"/>
        </w:rPr>
        <w:t>apital de trabajo como indicador adicional de capacidad financiera y noción de «mejor año fiscal» como buena práctica contractual</w:t>
      </w:r>
      <w:r w:rsidRPr="00362817">
        <w:rPr>
          <w:rFonts w:ascii="Arial" w:eastAsia="Calibri" w:hAnsi="Arial" w:cs="Arial"/>
          <w:color w:val="000000"/>
          <w:lang w:val="es-ES_tradnl" w:eastAsia="es-ES_tradnl"/>
        </w:rPr>
        <w:t>.</w:t>
      </w:r>
    </w:p>
    <w:p w14:paraId="38CE55F8" w14:textId="1F196291" w:rsidR="00362817" w:rsidRDefault="00362817" w:rsidP="007213B3">
      <w:pPr>
        <w:snapToGrid w:val="0"/>
        <w:spacing w:after="0" w:line="276" w:lineRule="auto"/>
        <w:ind w:firstLine="709"/>
        <w:jc w:val="both"/>
        <w:rPr>
          <w:rFonts w:ascii="Arial" w:hAnsi="Arial" w:cs="Arial"/>
          <w:color w:val="000000" w:themeColor="text1"/>
          <w:lang w:val="es-ES_tradnl"/>
        </w:rPr>
      </w:pPr>
      <w:r w:rsidRPr="00362817">
        <w:rPr>
          <w:rFonts w:ascii="Arial" w:eastAsia="Calibri" w:hAnsi="Arial" w:cs="Arial"/>
          <w:color w:val="000000" w:themeColor="text1"/>
          <w:lang w:val="es-ES_tradnl"/>
        </w:rPr>
        <w:t xml:space="preserve">La Agencia Nacional de Contratación Pública – Colombia Compra Eficiente, se pronunció </w:t>
      </w:r>
      <w:r w:rsidRPr="00362817">
        <w:rPr>
          <w:rFonts w:ascii="Arial" w:hAnsi="Arial" w:cs="Arial"/>
          <w:color w:val="000000"/>
          <w:shd w:val="clear" w:color="auto" w:fill="FFFFFF"/>
          <w:lang w:val="es-ES"/>
        </w:rPr>
        <w:t xml:space="preserve">sobre </w:t>
      </w:r>
      <w:r w:rsidRPr="00362817">
        <w:rPr>
          <w:rFonts w:ascii="Arial" w:hAnsi="Arial" w:cs="Arial"/>
          <w:color w:val="000000" w:themeColor="text1"/>
          <w:lang w:val="es-ES_tradnl"/>
        </w:rPr>
        <w:t xml:space="preserve">la acreditación de los indicadores de capacidad financiera y organizacional, entre otros, </w:t>
      </w:r>
      <w:r w:rsidRPr="00362817">
        <w:rPr>
          <w:rFonts w:ascii="Arial" w:eastAsia="Calibri" w:hAnsi="Arial" w:cs="Arial"/>
          <w:color w:val="000000" w:themeColor="text1"/>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Pr="00362817">
        <w:rPr>
          <w:rFonts w:ascii="Arial" w:hAnsi="Arial" w:cs="Arial"/>
          <w:color w:val="000000" w:themeColor="text1"/>
          <w:lang w:val="es-ES_tradnl"/>
        </w:rPr>
        <w:t>Adicionalmente, en los conceptos C-288 del 17 de junio de 2021, C-353 del 19 de julio de 2021, C-366 del 26 de julio de 2021, C-372 del 28 de julio de 2021, C-406 del 13 de agosto de 2021, C-407, C-443 y C</w:t>
      </w:r>
      <w:r w:rsidR="00DE5791">
        <w:rPr>
          <w:rFonts w:ascii="Arial" w:hAnsi="Arial" w:cs="Arial"/>
          <w:color w:val="000000" w:themeColor="text1"/>
          <w:lang w:val="es-ES_tradnl"/>
        </w:rPr>
        <w:t>-</w:t>
      </w:r>
      <w:r w:rsidRPr="00362817">
        <w:rPr>
          <w:rFonts w:ascii="Arial" w:hAnsi="Arial" w:cs="Arial"/>
          <w:color w:val="000000" w:themeColor="text1"/>
          <w:lang w:val="es-ES_tradnl"/>
        </w:rPr>
        <w:t>540 del 25 de agosto de 2021</w:t>
      </w:r>
      <w:r w:rsidR="00DE5791">
        <w:rPr>
          <w:rFonts w:ascii="Arial" w:hAnsi="Arial" w:cs="Arial"/>
          <w:color w:val="000000" w:themeColor="text1"/>
          <w:lang w:val="es-ES_tradnl"/>
        </w:rPr>
        <w:t>,</w:t>
      </w:r>
      <w:r w:rsidRPr="00362817">
        <w:rPr>
          <w:rFonts w:ascii="Arial" w:hAnsi="Arial" w:cs="Arial"/>
          <w:color w:val="000000" w:themeColor="text1"/>
          <w:lang w:val="es-ES_tradnl"/>
        </w:rPr>
        <w:t xml:space="preserve"> C-558 del 2 de septiembre de 2021,</w:t>
      </w:r>
      <w:r w:rsidR="007213B3">
        <w:rPr>
          <w:rFonts w:ascii="Arial" w:hAnsi="Arial" w:cs="Arial"/>
          <w:color w:val="000000" w:themeColor="text1"/>
          <w:lang w:val="es-ES_tradnl"/>
        </w:rPr>
        <w:t xml:space="preserve"> C-516 del 22 de septiembre de 2021, C-527 del 23 de septiembre de 2021, C-538 y 530 del 27 de septiembre de 2021, C-581 del 14 de octubre de 2021,</w:t>
      </w:r>
      <w:r w:rsidRPr="00362817">
        <w:rPr>
          <w:rFonts w:ascii="Arial" w:hAnsi="Arial" w:cs="Arial"/>
          <w:color w:val="000000" w:themeColor="text1"/>
          <w:lang w:val="es-ES_tradnl"/>
        </w:rPr>
        <w:t xml:space="preserve"> C-618, C-620 y C-621 del 4 de noviembre de 2021</w:t>
      </w:r>
      <w:r w:rsidR="007213B3">
        <w:rPr>
          <w:rFonts w:ascii="Arial" w:hAnsi="Arial" w:cs="Arial"/>
          <w:color w:val="000000" w:themeColor="text1"/>
          <w:lang w:val="es-ES_tradnl"/>
        </w:rPr>
        <w:t xml:space="preserve">, </w:t>
      </w:r>
      <w:r w:rsidRPr="00362817">
        <w:rPr>
          <w:rFonts w:ascii="Arial" w:hAnsi="Arial" w:cs="Arial"/>
          <w:color w:val="000000" w:themeColor="text1"/>
          <w:lang w:val="es-ES_tradnl"/>
        </w:rPr>
        <w:t>C-628 del 9 de noviembre de 2021</w:t>
      </w:r>
      <w:r w:rsidR="007213B3">
        <w:rPr>
          <w:rFonts w:ascii="Arial" w:hAnsi="Arial" w:cs="Arial"/>
          <w:color w:val="000000" w:themeColor="text1"/>
          <w:lang w:val="es-ES_tradnl"/>
        </w:rPr>
        <w:t>, C-710 del 10 de diciembre de 2021 y C-748 del 4 de febrero de 2022,</w:t>
      </w:r>
      <w:r w:rsidRPr="00362817">
        <w:rPr>
          <w:rFonts w:ascii="Arial" w:hAnsi="Arial" w:cs="Arial"/>
          <w:color w:val="000000" w:themeColor="text1"/>
          <w:lang w:val="es-ES_tradnl"/>
        </w:rPr>
        <w:t xml:space="preserve"> se analizó la definición del «mejor año fiscal» y la forma en que se efectuará la verificación de las ofertas, a la luz de las modificaciones introducidas mediante los Decretos 399 y 579 de 2021. Algunas de las consideraciones de estos conceptos, se reiteran y complementan a continuación</w:t>
      </w:r>
      <w:r w:rsidRPr="00362817">
        <w:rPr>
          <w:rFonts w:ascii="Arial" w:hAnsi="Arial" w:cs="Arial"/>
          <w:color w:val="000000" w:themeColor="text1"/>
          <w:vertAlign w:val="superscript"/>
          <w:lang w:val="es-ES_tradnl"/>
        </w:rPr>
        <w:footnoteReference w:id="1"/>
      </w:r>
      <w:r w:rsidRPr="00362817">
        <w:rPr>
          <w:rFonts w:ascii="Arial" w:hAnsi="Arial" w:cs="Arial"/>
          <w:color w:val="000000" w:themeColor="text1"/>
          <w:lang w:val="es-ES_tradnl"/>
        </w:rPr>
        <w:t>.</w:t>
      </w:r>
    </w:p>
    <w:p w14:paraId="2B4BA586" w14:textId="77777777" w:rsidR="007213B3" w:rsidRPr="00362817" w:rsidRDefault="007213B3" w:rsidP="007213B3">
      <w:pPr>
        <w:snapToGrid w:val="0"/>
        <w:spacing w:after="0" w:line="276" w:lineRule="auto"/>
        <w:ind w:firstLine="709"/>
        <w:jc w:val="both"/>
        <w:rPr>
          <w:rFonts w:ascii="Arial" w:eastAsia="Calibri" w:hAnsi="Arial" w:cs="Arial"/>
          <w:color w:val="000000" w:themeColor="text1"/>
          <w:lang w:val="es-ES_tradnl"/>
        </w:rPr>
      </w:pPr>
    </w:p>
    <w:p w14:paraId="5EC4E1C9" w14:textId="77777777" w:rsidR="00362817" w:rsidRPr="00362817" w:rsidRDefault="00362817" w:rsidP="001C160D">
      <w:pPr>
        <w:tabs>
          <w:tab w:val="left" w:pos="426"/>
        </w:tabs>
        <w:spacing w:after="0" w:line="276" w:lineRule="auto"/>
        <w:jc w:val="both"/>
        <w:rPr>
          <w:rFonts w:ascii="Arial" w:eastAsia="Calibri" w:hAnsi="Arial" w:cs="Arial"/>
          <w:b/>
          <w:bCs/>
          <w:color w:val="000000"/>
          <w:lang w:val="es-ES_tradnl" w:eastAsia="es-ES_tradnl"/>
        </w:rPr>
      </w:pPr>
      <w:r w:rsidRPr="00362817">
        <w:rPr>
          <w:rFonts w:ascii="Arial" w:eastAsia="Calibri" w:hAnsi="Arial" w:cs="Arial"/>
          <w:b/>
          <w:color w:val="000000"/>
          <w:szCs w:val="24"/>
          <w:lang w:val="es-ES_tradnl" w:eastAsia="es-ES_tradnl"/>
        </w:rPr>
        <w:t>2.1. R</w:t>
      </w:r>
      <w:r w:rsidRPr="00362817">
        <w:rPr>
          <w:rFonts w:ascii="Arial" w:eastAsia="Calibri" w:hAnsi="Arial" w:cs="Arial"/>
          <w:b/>
          <w:bCs/>
          <w:color w:val="000000"/>
          <w:lang w:val="es-ES_tradnl" w:eastAsia="es-ES_tradnl"/>
        </w:rPr>
        <w:t>equisitos habilitantes de capacidad financiera y organizacional</w:t>
      </w:r>
    </w:p>
    <w:p w14:paraId="4216D2EE" w14:textId="77777777" w:rsidR="00362817" w:rsidRPr="00362817" w:rsidRDefault="00362817" w:rsidP="00362817">
      <w:pPr>
        <w:tabs>
          <w:tab w:val="left" w:pos="426"/>
        </w:tabs>
        <w:spacing w:after="0" w:line="276" w:lineRule="auto"/>
        <w:ind w:firstLine="709"/>
        <w:jc w:val="both"/>
        <w:rPr>
          <w:rFonts w:ascii="Arial" w:eastAsia="Calibri" w:hAnsi="Arial" w:cs="Arial"/>
          <w:b/>
          <w:color w:val="000000"/>
          <w:szCs w:val="24"/>
          <w:lang w:val="es-ES_tradnl" w:eastAsia="es-ES_tradnl"/>
        </w:rPr>
      </w:pPr>
    </w:p>
    <w:p w14:paraId="00A6D86B" w14:textId="77777777" w:rsidR="00362817" w:rsidRPr="00362817" w:rsidRDefault="00362817" w:rsidP="00362817">
      <w:pPr>
        <w:spacing w:after="0" w:line="276" w:lineRule="auto"/>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362817">
        <w:rPr>
          <w:rFonts w:ascii="Arial" w:eastAsia="Calibri" w:hAnsi="Arial" w:cs="Arial"/>
          <w:color w:val="000000"/>
          <w:szCs w:val="24"/>
          <w:vertAlign w:val="superscript"/>
          <w:lang w:val="es-ES_tradnl" w:eastAsia="es-ES_tradnl"/>
        </w:rPr>
        <w:footnoteReference w:id="2"/>
      </w:r>
      <w:r w:rsidRPr="00362817">
        <w:rPr>
          <w:rFonts w:ascii="Arial" w:eastAsia="Calibri" w:hAnsi="Arial" w:cs="Arial"/>
          <w:color w:val="000000"/>
          <w:szCs w:val="24"/>
          <w:lang w:val="es-ES_tradnl" w:eastAsia="es-ES_tradnl"/>
        </w:rPr>
        <w:t xml:space="preserve">. Dentro de los requisitos habilitantes se destaca la «capacidad financiera» y la </w:t>
      </w:r>
      <w:r w:rsidRPr="00362817">
        <w:rPr>
          <w:rFonts w:ascii="Arial" w:eastAsia="Calibri" w:hAnsi="Arial" w:cs="Arial"/>
          <w:color w:val="000000"/>
          <w:szCs w:val="24"/>
          <w:lang w:val="es-ES_tradnl" w:eastAsia="es-ES_tradnl"/>
        </w:rPr>
        <w:lastRenderedPageBreak/>
        <w:t>«capacidad organizacional». La entidad estatal,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362817">
        <w:rPr>
          <w:rFonts w:ascii="Arial" w:eastAsia="Calibri" w:hAnsi="Arial" w:cs="Arial"/>
          <w:color w:val="000000"/>
          <w:szCs w:val="24"/>
          <w:vertAlign w:val="superscript"/>
          <w:lang w:val="es-ES_tradnl" w:eastAsia="es-ES_tradnl"/>
        </w:rPr>
        <w:footnoteReference w:id="3"/>
      </w:r>
      <w:r w:rsidRPr="00362817">
        <w:rPr>
          <w:rFonts w:ascii="Arial" w:eastAsia="Calibri" w:hAnsi="Arial" w:cs="Arial"/>
          <w:color w:val="000000"/>
          <w:szCs w:val="24"/>
          <w:lang w:val="es-ES_tradnl" w:eastAsia="es-ES_tradnl"/>
        </w:rPr>
        <w:t>.</w:t>
      </w:r>
    </w:p>
    <w:p w14:paraId="1BC94030" w14:textId="77777777" w:rsidR="00362817" w:rsidRPr="00362817" w:rsidRDefault="00362817" w:rsidP="00362817">
      <w:pPr>
        <w:spacing w:before="120" w:after="120" w:line="276" w:lineRule="auto"/>
        <w:ind w:firstLine="708"/>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362817">
        <w:rPr>
          <w:rFonts w:ascii="Arial" w:eastAsia="Calibri" w:hAnsi="Arial" w:cs="Arial"/>
          <w:color w:val="000000"/>
          <w:szCs w:val="24"/>
          <w:vertAlign w:val="superscript"/>
          <w:lang w:val="es-ES_tradnl" w:eastAsia="es-ES_tradnl"/>
        </w:rPr>
        <w:footnoteReference w:id="4"/>
      </w:r>
      <w:r w:rsidRPr="00362817">
        <w:rPr>
          <w:rFonts w:ascii="Arial" w:eastAsia="Calibri" w:hAnsi="Arial" w:cs="Arial"/>
          <w:color w:val="000000"/>
          <w:szCs w:val="24"/>
          <w:lang w:val="es-ES_tradnl" w:eastAsia="es-ES_tradnl"/>
        </w:rPr>
        <w:t xml:space="preserve">. </w:t>
      </w:r>
    </w:p>
    <w:p w14:paraId="12B03793" w14:textId="77777777" w:rsidR="00362817" w:rsidRPr="00362817" w:rsidRDefault="00362817" w:rsidP="00362817">
      <w:pPr>
        <w:spacing w:before="120" w:after="120" w:line="276" w:lineRule="auto"/>
        <w:ind w:firstLine="708"/>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362817">
        <w:rPr>
          <w:rFonts w:ascii="Arial" w:eastAsia="Calibri" w:hAnsi="Arial" w:cs="Arial"/>
          <w:color w:val="000000"/>
          <w:szCs w:val="24"/>
          <w:vertAlign w:val="superscript"/>
          <w:lang w:val="es-ES_tradnl" w:eastAsia="es-ES_tradnl"/>
        </w:rPr>
        <w:footnoteReference w:id="5"/>
      </w:r>
      <w:r w:rsidRPr="00362817">
        <w:rPr>
          <w:rFonts w:ascii="Arial" w:eastAsia="Calibri" w:hAnsi="Arial" w:cs="Arial"/>
          <w:color w:val="000000"/>
          <w:szCs w:val="24"/>
          <w:lang w:val="es-ES_tradnl" w:eastAsia="es-ES_tradnl"/>
        </w:rPr>
        <w:t xml:space="preserve">. </w:t>
      </w:r>
    </w:p>
    <w:p w14:paraId="0D50C1FB" w14:textId="77777777" w:rsidR="00362817" w:rsidRPr="00362817" w:rsidRDefault="00362817" w:rsidP="00362817">
      <w:pPr>
        <w:spacing w:before="120" w:after="120" w:line="276" w:lineRule="auto"/>
        <w:ind w:firstLine="709"/>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 xml:space="preserve">La capacidad financiera debe inscribirse en el RUP con los estados financieros del proponente, suscritos por el representante legal y el revisor fiscal, si cuenta con él. Si es </w:t>
      </w:r>
      <w:proofErr w:type="gramStart"/>
      <w:r w:rsidRPr="00362817">
        <w:rPr>
          <w:rFonts w:ascii="Arial" w:eastAsia="Calibri" w:hAnsi="Arial" w:cs="Arial"/>
          <w:color w:val="000000"/>
          <w:szCs w:val="24"/>
          <w:lang w:val="es-ES_tradnl" w:eastAsia="es-ES_tradnl"/>
        </w:rPr>
        <w:t>una sociedad no obligada a tenerlo</w:t>
      </w:r>
      <w:proofErr w:type="gramEnd"/>
      <w:r w:rsidRPr="00362817">
        <w:rPr>
          <w:rFonts w:ascii="Arial" w:eastAsia="Calibri" w:hAnsi="Arial" w:cs="Arial"/>
          <w:color w:val="000000"/>
          <w:szCs w:val="24"/>
          <w:lang w:val="es-ES_tradnl" w:eastAsia="es-ES_tradnl"/>
        </w:rPr>
        <w:t xml:space="preserve">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w:t>
      </w:r>
      <w:r w:rsidRPr="00362817">
        <w:rPr>
          <w:rFonts w:ascii="Arial" w:eastAsia="Calibri" w:hAnsi="Arial" w:cs="Arial"/>
          <w:color w:val="000000"/>
          <w:szCs w:val="24"/>
          <w:lang w:val="es-ES_tradnl" w:eastAsia="es-ES_tradnl"/>
        </w:rPr>
        <w:lastRenderedPageBreak/>
        <w:t>proporcional a su organización interna, y también se verifica con el RUP, de acuerdo con los indicadores financieros y organizacionales señalados en el artículo 2.2.1.1.1.5.3. del Decreto 1082 de 2015.</w:t>
      </w:r>
    </w:p>
    <w:p w14:paraId="6E2E8586" w14:textId="77777777" w:rsidR="00362817" w:rsidRPr="00362817" w:rsidRDefault="00362817" w:rsidP="00362817">
      <w:pPr>
        <w:spacing w:after="0" w:line="276" w:lineRule="auto"/>
        <w:ind w:firstLine="708"/>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362817">
        <w:rPr>
          <w:rFonts w:ascii="Arial" w:eastAsia="Calibri" w:hAnsi="Arial" w:cs="Arial"/>
          <w:color w:val="000000"/>
          <w:szCs w:val="24"/>
          <w:vertAlign w:val="superscript"/>
          <w:lang w:val="es-ES_tradnl" w:eastAsia="es-ES_tradnl"/>
        </w:rPr>
        <w:footnoteReference w:id="6"/>
      </w:r>
      <w:r w:rsidRPr="00362817">
        <w:rPr>
          <w:rFonts w:ascii="Arial" w:eastAsia="Calibri" w:hAnsi="Arial" w:cs="Arial"/>
          <w:color w:val="000000"/>
          <w:szCs w:val="24"/>
          <w:lang w:val="es-ES_tradnl" w:eastAsia="es-ES_tradnl"/>
        </w:rPr>
        <w:t>.</w:t>
      </w:r>
    </w:p>
    <w:p w14:paraId="09C544E1" w14:textId="77777777" w:rsidR="00362817" w:rsidRPr="00362817" w:rsidRDefault="00362817" w:rsidP="00362817">
      <w:pPr>
        <w:spacing w:before="120" w:after="0" w:line="276" w:lineRule="auto"/>
        <w:ind w:firstLine="709"/>
        <w:jc w:val="both"/>
        <w:rPr>
          <w:rFonts w:ascii="Arial" w:eastAsia="Calibri" w:hAnsi="Arial" w:cs="Arial"/>
          <w:color w:val="000000"/>
          <w:szCs w:val="24"/>
          <w:lang w:val="es-ES_tradnl" w:eastAsia="es-ES_tradnl"/>
        </w:rPr>
      </w:pPr>
      <w:r w:rsidRPr="00362817">
        <w:rPr>
          <w:rFonts w:ascii="Arial" w:eastAsia="Calibri" w:hAnsi="Arial" w:cs="Arial"/>
          <w:color w:val="000000"/>
          <w:szCs w:val="24"/>
          <w:lang w:val="es-ES_tradnl" w:eastAsia="es-ES_tradnl"/>
        </w:rPr>
        <w:t xml:space="preserve">Ahora bien, la capacidad organizacional también se mide a través de indicadores: i) rentabilidad del patrimonio y </w:t>
      </w:r>
      <w:proofErr w:type="spellStart"/>
      <w:r w:rsidRPr="00362817">
        <w:rPr>
          <w:rFonts w:ascii="Arial" w:eastAsia="Calibri" w:hAnsi="Arial" w:cs="Arial"/>
          <w:color w:val="000000"/>
          <w:szCs w:val="24"/>
          <w:lang w:val="es-ES_tradnl" w:eastAsia="es-ES_tradnl"/>
        </w:rPr>
        <w:t>ii</w:t>
      </w:r>
      <w:proofErr w:type="spellEnd"/>
      <w:r w:rsidRPr="00362817">
        <w:rPr>
          <w:rFonts w:ascii="Arial" w:eastAsia="Calibri" w:hAnsi="Arial" w:cs="Arial"/>
          <w:color w:val="000000"/>
          <w:szCs w:val="24"/>
          <w:lang w:val="es-ES_tradnl" w:eastAsia="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362817">
        <w:rPr>
          <w:rFonts w:ascii="Arial" w:eastAsia="Calibri" w:hAnsi="Arial" w:cs="Arial"/>
          <w:color w:val="000000"/>
          <w:szCs w:val="24"/>
          <w:vertAlign w:val="superscript"/>
          <w:lang w:val="es-ES_tradnl" w:eastAsia="es-ES_tradnl"/>
        </w:rPr>
        <w:footnoteReference w:id="7"/>
      </w:r>
      <w:r w:rsidRPr="00362817">
        <w:rPr>
          <w:rFonts w:ascii="Arial" w:eastAsia="Calibri" w:hAnsi="Arial" w:cs="Arial"/>
          <w:color w:val="000000"/>
          <w:szCs w:val="24"/>
          <w:lang w:val="es-ES_tradnl" w:eastAsia="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08806689" w14:textId="77777777" w:rsidR="00362817" w:rsidRPr="00362817" w:rsidRDefault="00362817" w:rsidP="00362817">
      <w:pPr>
        <w:spacing w:after="0" w:line="276" w:lineRule="auto"/>
        <w:ind w:firstLine="709"/>
        <w:jc w:val="both"/>
        <w:rPr>
          <w:rFonts w:ascii="Arial" w:eastAsia="Calibri" w:hAnsi="Arial" w:cs="Arial"/>
          <w:color w:val="000000"/>
          <w:lang w:val="es-ES_tradnl" w:eastAsia="es-ES_tradnl"/>
        </w:rPr>
      </w:pPr>
    </w:p>
    <w:p w14:paraId="778741DD" w14:textId="77777777" w:rsidR="00362817" w:rsidRPr="00362817" w:rsidRDefault="00362817" w:rsidP="00362817">
      <w:pPr>
        <w:spacing w:after="0" w:line="276" w:lineRule="auto"/>
        <w:jc w:val="both"/>
        <w:rPr>
          <w:rFonts w:ascii="Arial" w:eastAsia="Calibri" w:hAnsi="Arial" w:cs="Arial"/>
          <w:color w:val="000000"/>
          <w:lang w:val="es-ES_tradnl" w:eastAsia="es-ES_tradnl"/>
        </w:rPr>
      </w:pPr>
      <w:r w:rsidRPr="00362817">
        <w:rPr>
          <w:rFonts w:ascii="Arial" w:eastAsia="Calibri" w:hAnsi="Arial" w:cs="Arial"/>
          <w:b/>
          <w:bCs/>
          <w:color w:val="000000"/>
          <w:lang w:val="es-ES_tradnl" w:eastAsia="es-ES_tradnl"/>
        </w:rPr>
        <w:t>2.2. Modificaciones introducidas por los Decretos 399 de 2021 y 579 de 2021 respecto a la información contenida en el RUP y delimitación de su verificación dentro del «mejor año fiscal»</w:t>
      </w:r>
      <w:r w:rsidRPr="00362817">
        <w:rPr>
          <w:rFonts w:ascii="Arial" w:eastAsia="Calibri" w:hAnsi="Arial" w:cs="Arial"/>
          <w:color w:val="000000"/>
          <w:lang w:val="es-ES_tradnl" w:eastAsia="es-ES_tradnl"/>
        </w:rPr>
        <w:t xml:space="preserve">   </w:t>
      </w:r>
    </w:p>
    <w:p w14:paraId="1AF6C588" w14:textId="77777777" w:rsidR="00362817" w:rsidRPr="00362817" w:rsidRDefault="00362817" w:rsidP="00362817">
      <w:pPr>
        <w:spacing w:after="0" w:line="276" w:lineRule="auto"/>
        <w:jc w:val="both"/>
        <w:rPr>
          <w:rFonts w:ascii="Arial" w:eastAsia="Calibri" w:hAnsi="Arial" w:cs="Arial"/>
          <w:color w:val="000000"/>
          <w:lang w:val="es-ES_tradnl" w:eastAsia="es-ES_tradnl"/>
        </w:rPr>
      </w:pPr>
    </w:p>
    <w:p w14:paraId="0804AAD5" w14:textId="77777777" w:rsidR="00362817" w:rsidRPr="00362817" w:rsidRDefault="00362817" w:rsidP="00362817">
      <w:pPr>
        <w:spacing w:after="0" w:line="276" w:lineRule="auto"/>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 xml:space="preserve">Para alcanzar la reactivación económica, ante la crisis generada por la pandemia del COVID-19, el gobierno nacional expidió el Decreto 399 de 2021, mediante el cual se establecen algunas modificaciones al Decreto 1082 de 2015 frente a la regulación de la </w:t>
      </w:r>
      <w:r w:rsidRPr="00362817">
        <w:rPr>
          <w:rFonts w:ascii="Arial" w:eastAsia="Calibri" w:hAnsi="Arial" w:cs="Arial"/>
          <w:color w:val="000000"/>
          <w:lang w:val="es-ES_tradnl" w:eastAsia="es-ES_tradnl"/>
        </w:rPr>
        <w:lastRenderedPageBreak/>
        <w:t xml:space="preserve">información financiera y organizacional prevista en el Registro Único de Proponentes –RUP–. En tal sentido, se indicó –con la modificación posteriormente introducida por el Decreto 579 de 2021– que a partir del 1 de </w:t>
      </w:r>
      <w:r w:rsidRPr="00362817">
        <w:rPr>
          <w:rFonts w:ascii="Arial" w:eastAsia="Calibri" w:hAnsi="Arial" w:cs="Arial"/>
          <w:i/>
          <w:iCs/>
          <w:color w:val="000000"/>
          <w:lang w:val="es-ES_tradnl" w:eastAsia="es-ES_tradnl"/>
        </w:rPr>
        <w:t>julio</w:t>
      </w:r>
      <w:r w:rsidRPr="00362817">
        <w:rPr>
          <w:rFonts w:ascii="Arial" w:eastAsia="Calibri" w:hAnsi="Arial" w:cs="Arial"/>
          <w:color w:val="000000"/>
          <w:lang w:val="es-ES_tradnl" w:eastAsia="es-ES_tradnl"/>
        </w:rPr>
        <w:t xml:space="preserve"> de 2021</w:t>
      </w:r>
      <w:r w:rsidRPr="00362817">
        <w:rPr>
          <w:rFonts w:ascii="Arial" w:eastAsia="Calibri" w:hAnsi="Arial" w:cs="Arial"/>
          <w:color w:val="000000"/>
          <w:vertAlign w:val="superscript"/>
          <w:lang w:val="es-ES_tradnl" w:eastAsia="es-ES_tradnl"/>
        </w:rPr>
        <w:footnoteReference w:id="8"/>
      </w:r>
      <w:r w:rsidRPr="00362817">
        <w:rPr>
          <w:rFonts w:ascii="Arial" w:eastAsia="Calibri" w:hAnsi="Arial" w:cs="Arial"/>
          <w:color w:val="000000"/>
          <w:lang w:val="es-ES_tradnl" w:eastAsia="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361A583D" w14:textId="77777777" w:rsidR="00362817" w:rsidRPr="00362817" w:rsidRDefault="00362817" w:rsidP="00362817">
      <w:pPr>
        <w:spacing w:after="0" w:line="240" w:lineRule="auto"/>
        <w:ind w:left="709" w:right="709" w:firstLine="709"/>
        <w:jc w:val="both"/>
        <w:rPr>
          <w:rFonts w:ascii="Arial" w:eastAsia="Calibri" w:hAnsi="Arial" w:cs="Arial"/>
          <w:color w:val="000000"/>
          <w:sz w:val="21"/>
          <w:szCs w:val="21"/>
          <w:lang w:val="es-ES_tradnl" w:eastAsia="es-ES_tradnl"/>
        </w:rPr>
      </w:pPr>
    </w:p>
    <w:p w14:paraId="2BB7F21B" w14:textId="77777777" w:rsidR="00362817" w:rsidRPr="00362817" w:rsidRDefault="00362817" w:rsidP="00362817">
      <w:pPr>
        <w:spacing w:after="0" w:line="240" w:lineRule="auto"/>
        <w:ind w:left="709" w:right="709"/>
        <w:jc w:val="both"/>
        <w:rPr>
          <w:rFonts w:ascii="Arial" w:eastAsia="Calibri" w:hAnsi="Arial" w:cs="Arial"/>
          <w:color w:val="000000"/>
          <w:sz w:val="21"/>
          <w:szCs w:val="21"/>
          <w:lang w:val="es-ES_tradnl" w:eastAsia="es-ES_tradnl"/>
        </w:rPr>
      </w:pPr>
      <w:r w:rsidRPr="00362817">
        <w:rPr>
          <w:rFonts w:ascii="Arial" w:eastAsia="Calibri" w:hAnsi="Arial" w:cs="Arial"/>
          <w:color w:val="000000"/>
          <w:sz w:val="21"/>
          <w:szCs w:val="21"/>
          <w:lang w:val="es-ES_tradnl"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4ACFB665" w14:textId="77777777" w:rsidR="00362817" w:rsidRPr="00362817" w:rsidRDefault="00362817" w:rsidP="00362817">
      <w:pPr>
        <w:spacing w:after="0" w:line="240" w:lineRule="auto"/>
        <w:ind w:left="709" w:right="709" w:firstLine="709"/>
        <w:jc w:val="both"/>
        <w:rPr>
          <w:rFonts w:ascii="Arial" w:eastAsia="Calibri" w:hAnsi="Arial" w:cs="Arial"/>
          <w:color w:val="000000"/>
          <w:sz w:val="21"/>
          <w:szCs w:val="21"/>
          <w:lang w:val="es-ES_tradnl" w:eastAsia="es-ES_tradnl"/>
        </w:rPr>
      </w:pPr>
    </w:p>
    <w:p w14:paraId="1D953090" w14:textId="77777777" w:rsidR="00362817" w:rsidRPr="00362817" w:rsidRDefault="00362817" w:rsidP="00362817">
      <w:pPr>
        <w:spacing w:after="0" w:line="240" w:lineRule="auto"/>
        <w:ind w:left="709" w:right="709"/>
        <w:jc w:val="both"/>
        <w:rPr>
          <w:rFonts w:ascii="Arial" w:eastAsia="Calibri" w:hAnsi="Arial" w:cs="Arial"/>
          <w:color w:val="000000"/>
          <w:sz w:val="21"/>
          <w:szCs w:val="21"/>
          <w:lang w:val="es-ES_tradnl" w:eastAsia="es-ES_tradnl"/>
        </w:rPr>
      </w:pPr>
      <w:r w:rsidRPr="00362817">
        <w:rPr>
          <w:rFonts w:ascii="Arial" w:eastAsia="Calibri" w:hAnsi="Arial" w:cs="Arial"/>
          <w:color w:val="000000"/>
          <w:sz w:val="21"/>
          <w:szCs w:val="21"/>
          <w:lang w:val="es-ES_tradnl" w:eastAsia="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7F74BF0E" w14:textId="77777777" w:rsidR="00362817" w:rsidRPr="00362817" w:rsidRDefault="00362817" w:rsidP="00362817">
      <w:pPr>
        <w:spacing w:after="0" w:line="240" w:lineRule="auto"/>
        <w:ind w:left="709" w:right="709" w:firstLine="709"/>
        <w:jc w:val="both"/>
        <w:rPr>
          <w:rFonts w:ascii="Arial" w:eastAsia="Calibri" w:hAnsi="Arial" w:cs="Arial"/>
          <w:color w:val="000000"/>
          <w:sz w:val="21"/>
          <w:szCs w:val="21"/>
          <w:lang w:val="es-ES_tradnl" w:eastAsia="es-ES_tradnl"/>
        </w:rPr>
      </w:pPr>
    </w:p>
    <w:p w14:paraId="3CD26583" w14:textId="77777777" w:rsidR="00362817" w:rsidRPr="00362817" w:rsidRDefault="00362817" w:rsidP="00362817">
      <w:pPr>
        <w:spacing w:after="0" w:line="240" w:lineRule="auto"/>
        <w:ind w:left="709" w:right="709"/>
        <w:jc w:val="both"/>
        <w:rPr>
          <w:rFonts w:ascii="Arial" w:eastAsia="Calibri" w:hAnsi="Arial" w:cs="Arial"/>
          <w:color w:val="000000"/>
          <w:sz w:val="21"/>
          <w:szCs w:val="21"/>
          <w:lang w:val="es-ES_tradnl" w:eastAsia="es-ES_tradnl"/>
        </w:rPr>
      </w:pPr>
      <w:r w:rsidRPr="00362817">
        <w:rPr>
          <w:rFonts w:ascii="Arial" w:eastAsia="Calibri" w:hAnsi="Arial" w:cs="Arial"/>
          <w:color w:val="000000"/>
          <w:sz w:val="21"/>
          <w:szCs w:val="21"/>
          <w:lang w:val="es-ES_tradnl" w:eastAsia="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6E8D1BF1" w14:textId="77777777" w:rsidR="00362817" w:rsidRPr="00362817" w:rsidRDefault="00362817" w:rsidP="00362817">
      <w:pPr>
        <w:spacing w:after="0" w:line="240" w:lineRule="auto"/>
        <w:ind w:left="709" w:right="709" w:firstLine="709"/>
        <w:jc w:val="both"/>
        <w:rPr>
          <w:rFonts w:ascii="Arial" w:eastAsia="Calibri" w:hAnsi="Arial" w:cs="Arial"/>
          <w:color w:val="000000"/>
          <w:sz w:val="21"/>
          <w:szCs w:val="21"/>
          <w:lang w:val="es-ES_tradnl" w:eastAsia="es-ES_tradnl"/>
        </w:rPr>
      </w:pPr>
    </w:p>
    <w:p w14:paraId="3675E616" w14:textId="77777777" w:rsidR="00362817" w:rsidRPr="00362817" w:rsidRDefault="00362817" w:rsidP="00362817">
      <w:pPr>
        <w:spacing w:after="0" w:line="240" w:lineRule="auto"/>
        <w:ind w:left="709" w:right="709"/>
        <w:jc w:val="both"/>
        <w:rPr>
          <w:rFonts w:ascii="Arial" w:eastAsia="Calibri" w:hAnsi="Arial" w:cs="Arial"/>
          <w:color w:val="000000"/>
          <w:sz w:val="21"/>
          <w:szCs w:val="21"/>
          <w:lang w:val="es-ES_tradnl" w:eastAsia="es-ES_tradnl"/>
        </w:rPr>
      </w:pPr>
      <w:r w:rsidRPr="00362817">
        <w:rPr>
          <w:rFonts w:ascii="Arial" w:eastAsia="Calibri" w:hAnsi="Arial" w:cs="Arial"/>
          <w:color w:val="000000"/>
          <w:sz w:val="21"/>
          <w:szCs w:val="21"/>
          <w:lang w:val="es-ES_tradnl" w:eastAsia="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6408A571" w14:textId="77777777" w:rsidR="00362817" w:rsidRPr="00362817" w:rsidRDefault="00362817" w:rsidP="00362817">
      <w:pPr>
        <w:spacing w:after="0" w:line="276" w:lineRule="auto"/>
        <w:ind w:firstLine="709"/>
        <w:jc w:val="both"/>
        <w:rPr>
          <w:rFonts w:ascii="Arial" w:eastAsia="Calibri" w:hAnsi="Arial" w:cs="Arial"/>
          <w:color w:val="000000"/>
          <w:lang w:val="es-ES_tradnl" w:eastAsia="es-ES_tradnl"/>
        </w:rPr>
      </w:pPr>
    </w:p>
    <w:p w14:paraId="3ABFDCE2" w14:textId="77777777" w:rsidR="00362817" w:rsidRPr="00362817" w:rsidRDefault="00362817" w:rsidP="00362817">
      <w:pPr>
        <w:spacing w:after="0" w:line="276" w:lineRule="auto"/>
        <w:ind w:firstLine="708"/>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lastRenderedPageBreak/>
        <w:t>En tal sentido, el artículo 4 del Decreto 399 de 2021 adicionó dos parágrafos transitorios al artículo 2.2.1.1.1.5.2. del Decreto 1082 de 2015, que a su vez fueron sustituidos posteriormente por el artículo 1 del Decreto 579 del 31 de mayo de 2021</w:t>
      </w:r>
      <w:r w:rsidRPr="00362817">
        <w:rPr>
          <w:rFonts w:ascii="Arial" w:eastAsia="Calibri" w:hAnsi="Arial" w:cs="Arial"/>
          <w:color w:val="000000"/>
          <w:vertAlign w:val="superscript"/>
          <w:lang w:val="es-ES_tradnl" w:eastAsia="es-ES_tradnl"/>
        </w:rPr>
        <w:footnoteReference w:id="9"/>
      </w:r>
      <w:r w:rsidRPr="00362817">
        <w:rPr>
          <w:rFonts w:ascii="Arial" w:eastAsia="Calibri" w:hAnsi="Arial" w:cs="Arial"/>
          <w:color w:val="000000"/>
          <w:lang w:val="es-ES_tradnl" w:eastAsia="es-ES_tradnl"/>
        </w:rPr>
        <w:t>.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6D89951A"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interesado correspondiente a los años 2019 y/o 2020 reposa en la cámara de comercio, no se tendrá que presentar de nuevo, porque conservará firmeza para efectos de su certificación.</w:t>
      </w:r>
    </w:p>
    <w:p w14:paraId="5229FFD4"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lastRenderedPageBreak/>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362817">
        <w:rPr>
          <w:rFonts w:ascii="Arial" w:eastAsia="Times New Roman" w:hAnsi="Arial" w:cs="Arial"/>
          <w:color w:val="000000"/>
          <w:lang w:val="es-ES_tradnl" w:eastAsia="es-ES_tradnl"/>
        </w:rPr>
        <w:t xml:space="preserve">[…] </w:t>
      </w:r>
      <w:r w:rsidRPr="00362817">
        <w:rPr>
          <w:rFonts w:ascii="Arial" w:eastAsia="Calibri" w:hAnsi="Arial" w:cs="Arial"/>
          <w:color w:val="000000"/>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362817">
        <w:rPr>
          <w:rFonts w:ascii="Arial" w:eastAsia="Times New Roman" w:hAnsi="Arial" w:cs="Arial"/>
          <w:color w:val="000000"/>
          <w:lang w:val="es-ES_tradnl" w:eastAsia="es-ES_tradnl"/>
        </w:rPr>
        <w:t>c</w:t>
      </w:r>
      <w:r w:rsidRPr="00362817">
        <w:rPr>
          <w:rFonts w:ascii="Arial" w:eastAsia="Calibri" w:hAnsi="Arial" w:cs="Arial"/>
          <w:color w:val="000000"/>
          <w:lang w:val="es-ES_tradnl" w:eastAsia="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362817">
        <w:rPr>
          <w:rFonts w:ascii="Arial" w:eastAsia="Calibri" w:hAnsi="Arial" w:cs="Arial"/>
          <w:color w:val="000000"/>
          <w:lang w:val="es-ES_tradnl" w:eastAsia="es-ES_tradnl"/>
        </w:rPr>
        <w:t>ii</w:t>
      </w:r>
      <w:proofErr w:type="spellEnd"/>
      <w:r w:rsidRPr="00362817">
        <w:rPr>
          <w:rFonts w:ascii="Arial" w:eastAsia="Calibri" w:hAnsi="Arial" w:cs="Arial"/>
          <w:color w:val="000000"/>
          <w:lang w:val="es-ES_tradnl" w:eastAsia="es-ES_tradnl"/>
        </w:rPr>
        <w:t xml:space="preserve">) el índice de endeudamiento y </w:t>
      </w:r>
      <w:proofErr w:type="spellStart"/>
      <w:r w:rsidRPr="00362817">
        <w:rPr>
          <w:rFonts w:ascii="Arial" w:eastAsia="Calibri" w:hAnsi="Arial" w:cs="Arial"/>
          <w:color w:val="000000"/>
          <w:lang w:val="es-ES_tradnl" w:eastAsia="es-ES_tradnl"/>
        </w:rPr>
        <w:t>iii</w:t>
      </w:r>
      <w:proofErr w:type="spellEnd"/>
      <w:r w:rsidRPr="00362817">
        <w:rPr>
          <w:rFonts w:ascii="Arial" w:eastAsia="Calibri" w:hAnsi="Arial" w:cs="Arial"/>
          <w:color w:val="000000"/>
          <w:lang w:val="es-ES_tradnl" w:eastAsia="es-ES_tradnl"/>
        </w:rPr>
        <w:t xml:space="preserve">) la razón de cobertura de intereses. Los requisitos e indicadores de capacidad organizacional son: i) la rentabilidad del patrimonio y </w:t>
      </w:r>
      <w:proofErr w:type="spellStart"/>
      <w:r w:rsidRPr="00362817">
        <w:rPr>
          <w:rFonts w:ascii="Arial" w:eastAsia="Calibri" w:hAnsi="Arial" w:cs="Arial"/>
          <w:color w:val="000000"/>
          <w:lang w:val="es-ES_tradnl" w:eastAsia="es-ES_tradnl"/>
        </w:rPr>
        <w:t>ii</w:t>
      </w:r>
      <w:proofErr w:type="spellEnd"/>
      <w:r w:rsidRPr="00362817">
        <w:rPr>
          <w:rFonts w:ascii="Arial" w:eastAsia="Calibri" w:hAnsi="Arial" w:cs="Arial"/>
          <w:color w:val="000000"/>
          <w:lang w:val="es-ES_tradnl" w:eastAsia="es-ES_tradnl"/>
        </w:rPr>
        <w:t>) la rentabilidad del activo. El segundo parágrafo transitorio establece que «El</w:t>
      </w:r>
      <w:r w:rsidRPr="00362817">
        <w:rPr>
          <w:rFonts w:ascii="Arial" w:eastAsia="Times New Roman" w:hAnsi="Arial" w:cs="Arial"/>
          <w:color w:val="000000"/>
          <w:lang w:val="es-ES_tradnl" w:eastAsia="es-ES_tradnl"/>
        </w:rPr>
        <w:t xml:space="preserve"> </w:t>
      </w:r>
      <w:r w:rsidRPr="00362817">
        <w:rPr>
          <w:rFonts w:ascii="Arial" w:eastAsia="Calibri" w:hAnsi="Arial" w:cs="Arial"/>
          <w:color w:val="000000"/>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30484BBF"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De otro lado, el artículo 6 del Decreto 399 de 2021 adiciona un parágrafo transitorio –sustituido después por el artículo 3 del Decreto 579 de 2021– al artículo 2.2.1.1.1.6.2. del Decreto 1082 de 2015</w:t>
      </w:r>
      <w:r w:rsidRPr="00362817">
        <w:rPr>
          <w:rFonts w:ascii="Arial" w:eastAsia="Calibri" w:hAnsi="Arial" w:cs="Arial"/>
          <w:color w:val="000000"/>
          <w:vertAlign w:val="superscript"/>
          <w:lang w:val="es-ES_tradnl" w:eastAsia="es-ES_tradnl"/>
        </w:rPr>
        <w:footnoteReference w:id="10"/>
      </w:r>
      <w:r w:rsidRPr="00362817">
        <w:rPr>
          <w:rFonts w:ascii="Arial" w:eastAsia="Calibri" w:hAnsi="Arial" w:cs="Arial"/>
          <w:color w:val="000000"/>
          <w:lang w:val="es-ES_tradnl" w:eastAsia="es-ES_tradnl"/>
        </w:rPr>
        <w:t>, con el siguiente contenido:</w:t>
      </w:r>
    </w:p>
    <w:p w14:paraId="608EAF28" w14:textId="77777777" w:rsidR="00362817" w:rsidRPr="00362817" w:rsidRDefault="00362817" w:rsidP="00362817">
      <w:pPr>
        <w:spacing w:after="0" w:line="240" w:lineRule="auto"/>
        <w:ind w:left="709" w:right="709" w:firstLine="709"/>
        <w:jc w:val="both"/>
        <w:rPr>
          <w:rFonts w:ascii="Arial" w:eastAsia="Calibri" w:hAnsi="Arial" w:cs="Arial"/>
          <w:color w:val="000000"/>
          <w:sz w:val="21"/>
          <w:szCs w:val="21"/>
          <w:lang w:val="es-ES_tradnl" w:eastAsia="es-ES_tradnl"/>
        </w:rPr>
      </w:pPr>
    </w:p>
    <w:p w14:paraId="5CE28A64" w14:textId="77777777" w:rsidR="00362817" w:rsidRPr="00362817" w:rsidRDefault="00362817" w:rsidP="00362817">
      <w:pPr>
        <w:spacing w:after="0" w:line="240" w:lineRule="auto"/>
        <w:ind w:left="709" w:right="709"/>
        <w:jc w:val="both"/>
        <w:rPr>
          <w:rFonts w:ascii="Arial" w:eastAsia="Calibri" w:hAnsi="Arial" w:cs="Arial"/>
          <w:color w:val="000000"/>
          <w:sz w:val="21"/>
          <w:szCs w:val="21"/>
          <w:lang w:val="es-ES_tradnl" w:eastAsia="es-ES_tradnl"/>
        </w:rPr>
      </w:pPr>
      <w:r w:rsidRPr="00362817">
        <w:rPr>
          <w:rFonts w:ascii="Arial" w:eastAsia="Calibri" w:hAnsi="Arial" w:cs="Arial"/>
          <w:color w:val="000000"/>
          <w:sz w:val="21"/>
          <w:szCs w:val="21"/>
          <w:lang w:val="es-ES_tradnl" w:eastAsia="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79E3F7A4" w14:textId="77777777" w:rsidR="00362817" w:rsidRPr="00362817" w:rsidRDefault="00362817" w:rsidP="00362817">
      <w:pPr>
        <w:spacing w:after="0" w:line="240" w:lineRule="auto"/>
        <w:ind w:left="709" w:right="709" w:firstLine="709"/>
        <w:jc w:val="both"/>
        <w:rPr>
          <w:rFonts w:ascii="Arial" w:eastAsia="Calibri" w:hAnsi="Arial" w:cs="Arial"/>
          <w:color w:val="000000"/>
          <w:sz w:val="21"/>
          <w:szCs w:val="21"/>
          <w:lang w:val="es-ES_tradnl" w:eastAsia="es-ES_tradnl"/>
        </w:rPr>
      </w:pPr>
    </w:p>
    <w:p w14:paraId="39A03C33" w14:textId="77777777" w:rsidR="00362817" w:rsidRPr="00362817" w:rsidRDefault="00362817" w:rsidP="00362817">
      <w:pPr>
        <w:spacing w:after="0" w:line="240" w:lineRule="auto"/>
        <w:ind w:left="709" w:right="709"/>
        <w:jc w:val="both"/>
        <w:rPr>
          <w:rFonts w:ascii="Arial" w:eastAsia="Calibri" w:hAnsi="Arial" w:cs="Arial"/>
          <w:color w:val="000000"/>
          <w:sz w:val="21"/>
          <w:szCs w:val="21"/>
          <w:lang w:val="es-ES_tradnl" w:eastAsia="es-ES_tradnl"/>
        </w:rPr>
      </w:pPr>
      <w:r w:rsidRPr="00362817">
        <w:rPr>
          <w:rFonts w:ascii="Arial" w:eastAsia="Calibri" w:hAnsi="Arial" w:cs="Arial"/>
          <w:color w:val="000000"/>
          <w:sz w:val="21"/>
          <w:szCs w:val="21"/>
          <w:lang w:val="es-ES_tradnl" w:eastAsia="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5332407A" w14:textId="77777777" w:rsidR="00362817" w:rsidRPr="00362817" w:rsidRDefault="00362817" w:rsidP="00362817">
      <w:pPr>
        <w:spacing w:after="0" w:line="276" w:lineRule="auto"/>
        <w:ind w:firstLine="709"/>
        <w:jc w:val="both"/>
        <w:rPr>
          <w:rFonts w:ascii="Arial" w:eastAsia="Calibri" w:hAnsi="Arial" w:cs="Arial"/>
          <w:color w:val="000000"/>
          <w:lang w:val="es-ES_tradnl" w:eastAsia="es-ES_tradnl"/>
        </w:rPr>
      </w:pPr>
    </w:p>
    <w:p w14:paraId="49E05AE4" w14:textId="77777777" w:rsidR="00362817" w:rsidRPr="00362817" w:rsidRDefault="00362817" w:rsidP="00362817">
      <w:pPr>
        <w:spacing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lastRenderedPageBreak/>
        <w:t>Como se observa, el parágrafo transitorio, agregado al artículo 2.2.1.1.1.6.2. del Decreto 1082 de 2015 por el artículo 6 del Decreto 399 de 2021 y sustituido por el artículo 3 del Decreto 579 de 2021, establece que:</w:t>
      </w:r>
    </w:p>
    <w:p w14:paraId="3F0BBD1D"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4062C4AC"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proofErr w:type="spellStart"/>
      <w:r w:rsidRPr="00362817">
        <w:rPr>
          <w:rFonts w:ascii="Arial" w:eastAsia="Calibri" w:hAnsi="Arial" w:cs="Arial"/>
          <w:color w:val="000000"/>
          <w:lang w:val="es-ES_tradnl" w:eastAsia="es-ES_tradnl"/>
        </w:rPr>
        <w:t>ii</w:t>
      </w:r>
      <w:proofErr w:type="spellEnd"/>
      <w:r w:rsidRPr="00362817">
        <w:rPr>
          <w:rFonts w:ascii="Arial" w:eastAsia="Calibri" w:hAnsi="Arial" w:cs="Arial"/>
          <w:color w:val="000000"/>
          <w:lang w:val="es-ES_tradnl" w:eastAsia="es-ES_tradnl"/>
        </w:rPr>
        <w:t>)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281FCABC"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proofErr w:type="spellStart"/>
      <w:r w:rsidRPr="00362817">
        <w:rPr>
          <w:rFonts w:ascii="Arial" w:eastAsia="Calibri" w:hAnsi="Arial" w:cs="Arial"/>
          <w:color w:val="000000"/>
          <w:lang w:val="es-ES_tradnl" w:eastAsia="es-ES_tradnl"/>
        </w:rPr>
        <w:t>iii</w:t>
      </w:r>
      <w:proofErr w:type="spellEnd"/>
      <w:r w:rsidRPr="00362817">
        <w:rPr>
          <w:rFonts w:ascii="Arial" w:eastAsia="Calibri" w:hAnsi="Arial" w:cs="Arial"/>
          <w:color w:val="000000"/>
          <w:lang w:val="es-ES_tradnl" w:eastAsia="es-ES_tradnl"/>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66B15660"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proofErr w:type="spellStart"/>
      <w:r w:rsidRPr="00362817">
        <w:rPr>
          <w:rFonts w:ascii="Arial" w:eastAsia="Calibri" w:hAnsi="Arial" w:cs="Arial"/>
          <w:color w:val="000000"/>
          <w:lang w:val="es-ES_tradnl" w:eastAsia="es-ES_tradnl"/>
        </w:rPr>
        <w:t>iv</w:t>
      </w:r>
      <w:proofErr w:type="spellEnd"/>
      <w:r w:rsidRPr="00362817">
        <w:rPr>
          <w:rFonts w:ascii="Arial" w:eastAsia="Calibri" w:hAnsi="Arial" w:cs="Arial"/>
          <w:color w:val="000000"/>
          <w:lang w:val="es-ES_tradnl" w:eastAsia="es-ES_tradnl"/>
        </w:rPr>
        <w:t xml:space="preserve">) A partir de la fecha establecida anteriormente, la evaluación de los indicadores de capacidad </w:t>
      </w:r>
      <w:r w:rsidRPr="00362817">
        <w:rPr>
          <w:rFonts w:ascii="Arial" w:eastAsia="Calibri" w:hAnsi="Arial" w:cs="Arial"/>
          <w:i/>
          <w:iCs/>
          <w:color w:val="000000"/>
          <w:lang w:val="es-ES_tradnl" w:eastAsia="es-ES_tradnl"/>
        </w:rPr>
        <w:t>financiera –</w:t>
      </w:r>
      <w:r w:rsidRPr="00362817">
        <w:rPr>
          <w:rFonts w:ascii="Arial" w:eastAsia="Calibri" w:hAnsi="Arial" w:cs="Arial"/>
          <w:color w:val="000000"/>
          <w:lang w:val="es-ES_tradnl" w:eastAsia="es-ES_tradnl"/>
        </w:rPr>
        <w:t xml:space="preserve">índice de liquidez, índice de endeudamiento y razón de cobertura de intereses– y </w:t>
      </w:r>
      <w:r w:rsidRPr="00362817">
        <w:rPr>
          <w:rFonts w:ascii="Arial" w:eastAsia="Calibri" w:hAnsi="Arial" w:cs="Arial"/>
          <w:i/>
          <w:iCs/>
          <w:color w:val="000000"/>
          <w:lang w:val="es-ES_tradnl" w:eastAsia="es-ES_tradnl"/>
        </w:rPr>
        <w:t>organizacional</w:t>
      </w:r>
      <w:r w:rsidRPr="00362817">
        <w:rPr>
          <w:rFonts w:ascii="Arial" w:eastAsia="Calibri" w:hAnsi="Arial" w:cs="Arial"/>
          <w:color w:val="000000"/>
          <w:lang w:val="es-ES_tradnl" w:eastAsia="es-ES_tradnl"/>
        </w:rPr>
        <w:t xml:space="preserve"> –rentabilidad del patrimonio y rentabilidad del activo–, se deberá realizar por parte de las entidades estatales «teniendo en cuenta </w:t>
      </w:r>
      <w:r w:rsidRPr="00362817">
        <w:rPr>
          <w:rFonts w:ascii="Arial" w:eastAsia="Calibri" w:hAnsi="Arial" w:cs="Arial"/>
          <w:i/>
          <w:iCs/>
          <w:color w:val="000000"/>
          <w:lang w:val="es-ES_tradnl" w:eastAsia="es-ES_tradnl"/>
        </w:rPr>
        <w:t>el mejor año fiscal que se refleje en el registro</w:t>
      </w:r>
      <w:r w:rsidRPr="00362817">
        <w:rPr>
          <w:rFonts w:ascii="Arial" w:eastAsia="Calibri" w:hAnsi="Arial" w:cs="Arial"/>
          <w:color w:val="000000"/>
          <w:lang w:val="es-ES_tradnl" w:eastAsia="es-ES_tradnl"/>
        </w:rPr>
        <w:t xml:space="preserve"> de cada proponente» (énfasis fuera de texto). </w:t>
      </w:r>
    </w:p>
    <w:p w14:paraId="3C4B970A"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362817">
        <w:rPr>
          <w:rFonts w:ascii="Arial" w:eastAsia="Times New Roman" w:hAnsi="Arial" w:cs="Arial"/>
          <w:color w:val="000000"/>
          <w:lang w:val="es-ES_tradnl" w:eastAsia="es-ES_tradnl"/>
        </w:rPr>
        <w:t xml:space="preserve">[…] </w:t>
      </w:r>
      <w:r w:rsidRPr="00362817">
        <w:rPr>
          <w:rFonts w:ascii="Arial" w:eastAsia="Calibri" w:hAnsi="Arial" w:cs="Arial"/>
          <w:color w:val="000000"/>
          <w:lang w:val="es-ES_tradnl" w:eastAsia="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3AEE1F45"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 xml:space="preserve">Por lo tanto, el parágrafo transitorio, agregado al artículo 2.2.1.1.1.6.2. del Decreto 1082 de 2015 por el artículo 6 del Decreto 399 de 2021 y sustituido por el artículo 3 del </w:t>
      </w:r>
      <w:r w:rsidRPr="00362817">
        <w:rPr>
          <w:rFonts w:ascii="Arial" w:eastAsia="Calibri" w:hAnsi="Arial" w:cs="Arial"/>
          <w:color w:val="000000"/>
          <w:lang w:val="es-ES_tradnl" w:eastAsia="es-ES_tradnl"/>
        </w:rPr>
        <w:lastRenderedPageBreak/>
        <w:t xml:space="preserve">Decreto 579 de 2021, no exige que las entidades estatales tengan en cuenta el mejor año </w:t>
      </w:r>
      <w:r w:rsidRPr="00362817">
        <w:rPr>
          <w:rFonts w:ascii="Arial" w:eastAsia="Calibri" w:hAnsi="Arial" w:cs="Arial"/>
          <w:i/>
          <w:iCs/>
          <w:color w:val="000000"/>
          <w:lang w:val="es-ES_tradnl" w:eastAsia="es-ES_tradnl"/>
        </w:rPr>
        <w:t>por cada indicador</w:t>
      </w:r>
      <w:r w:rsidRPr="00362817">
        <w:rPr>
          <w:rFonts w:ascii="Arial" w:eastAsia="Calibri" w:hAnsi="Arial" w:cs="Arial"/>
          <w:color w:val="000000"/>
          <w:lang w:val="es-ES_tradnl" w:eastAsia="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5C325C3A"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30905D3" w14:textId="77777777" w:rsidR="00362817" w:rsidRPr="00362817" w:rsidRDefault="00362817" w:rsidP="00362817">
      <w:pPr>
        <w:spacing w:after="0" w:line="240" w:lineRule="auto"/>
        <w:jc w:val="both"/>
        <w:rPr>
          <w:rFonts w:ascii="Arial" w:eastAsia="Calibri" w:hAnsi="Arial" w:cs="Arial"/>
          <w:b/>
          <w:bCs/>
          <w:color w:val="000000"/>
          <w:lang w:val="es-ES_tradnl" w:eastAsia="es-ES_tradnl"/>
        </w:rPr>
      </w:pPr>
    </w:p>
    <w:p w14:paraId="5C312094" w14:textId="77777777" w:rsidR="00362817" w:rsidRPr="00362817" w:rsidRDefault="00362817" w:rsidP="00362817">
      <w:pPr>
        <w:spacing w:after="0" w:line="240" w:lineRule="auto"/>
        <w:jc w:val="both"/>
        <w:rPr>
          <w:rFonts w:ascii="Arial" w:eastAsia="Calibri" w:hAnsi="Arial" w:cs="Arial"/>
          <w:b/>
          <w:bCs/>
          <w:color w:val="000000"/>
          <w:lang w:val="es-ES_tradnl" w:eastAsia="es-ES_tradnl"/>
        </w:rPr>
      </w:pPr>
      <w:r w:rsidRPr="00362817">
        <w:rPr>
          <w:rFonts w:ascii="Arial" w:eastAsia="Calibri" w:hAnsi="Arial" w:cs="Arial"/>
          <w:b/>
          <w:bCs/>
          <w:color w:val="000000"/>
          <w:lang w:val="es-ES_tradnl" w:eastAsia="es-ES_tradnl"/>
        </w:rPr>
        <w:t>2.3. Evaluación de la capacidad financiera y organizacional de los proponentes plurales a la luz de los Decretos 399 de 2021 y 579 de 2021</w:t>
      </w:r>
      <w:bookmarkStart w:id="3" w:name="_Hlk81469948"/>
    </w:p>
    <w:p w14:paraId="63BBBF0E" w14:textId="77777777" w:rsidR="00362817" w:rsidRPr="00362817" w:rsidRDefault="00362817" w:rsidP="00362817">
      <w:pPr>
        <w:spacing w:after="0" w:line="240" w:lineRule="auto"/>
        <w:jc w:val="both"/>
        <w:rPr>
          <w:rFonts w:ascii="Arial" w:eastAsia="Calibri" w:hAnsi="Arial" w:cs="Arial"/>
          <w:b/>
          <w:bCs/>
          <w:color w:val="000000"/>
          <w:lang w:val="es-ES_tradnl" w:eastAsia="es-ES_tradnl"/>
        </w:rPr>
      </w:pPr>
    </w:p>
    <w:p w14:paraId="349D6E81" w14:textId="77777777" w:rsidR="00362817" w:rsidRPr="00362817" w:rsidRDefault="00362817" w:rsidP="00362817">
      <w:pPr>
        <w:spacing w:after="0" w:line="276" w:lineRule="auto"/>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Como se precisó, siendo el espíritu de la norma alcanzar la reactivación económica, la posibilidad de tener un margen de tres (3) años de información en el certificado del RUP permite que no se tome necesariamente el periodo inmediatamente anterior, favoreciendo a aquellos oferentes que hayan sufrido afectaciones económicas dentro de dicho lapso por causa de la pandemia. Al respecto, conviene precisar que la norma señala que se tendrá en cuenta «el mejor año fiscal» en singular; en efecto, no se alude a una mezcla de vigencias. Se especifica «el mejor», es decir, un solo año, dentro del cual se verificarán en conjunto todos los indicadores, correspondiendo a las entidades estatales el deber de análisis desde todas las perspectivas del proceso.</w:t>
      </w:r>
    </w:p>
    <w:p w14:paraId="16A50C5A" w14:textId="77777777" w:rsidR="00362817" w:rsidRPr="00362817" w:rsidRDefault="00362817" w:rsidP="00362817">
      <w:pPr>
        <w:spacing w:before="120" w:after="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 xml:space="preserve">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en su calidad de tales, a inscribirse en el registro único de proponentes, porque carecen de personería jurídica, a pesar de tener capacidad contractual. En efecto, el primer inciso del artículo 6 de la Ley 1150 de 2007 obliga a inscribirse en el RUP a «Todas las personas naturales o jurídicas nacionales o extranjeras domiciliadas o con sucursal en Colombia, que aspiren a celebrar contratos con las entidades estatales», sin mencionar a los consorcios y uniones temporales, aunque sí deben inscribirse sus integrantes en calidad </w:t>
      </w:r>
      <w:r w:rsidRPr="00362817">
        <w:rPr>
          <w:rFonts w:ascii="Arial" w:eastAsia="Calibri" w:hAnsi="Arial" w:cs="Arial"/>
          <w:color w:val="000000"/>
          <w:lang w:val="es-ES_tradnl" w:eastAsia="es-ES_tradnl"/>
        </w:rPr>
        <w:lastRenderedPageBreak/>
        <w:t>de personas.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sidRPr="00362817">
        <w:rPr>
          <w:rFonts w:ascii="Arial" w:eastAsia="Calibri" w:hAnsi="Arial" w:cs="Arial"/>
          <w:color w:val="000000"/>
          <w:vertAlign w:val="superscript"/>
          <w:lang w:val="es-ES_tradnl" w:eastAsia="es-ES_tradnl"/>
        </w:rPr>
        <w:footnoteReference w:id="11"/>
      </w:r>
      <w:r w:rsidRPr="00362817">
        <w:rPr>
          <w:rFonts w:ascii="Arial" w:eastAsia="Calibri" w:hAnsi="Arial" w:cs="Arial"/>
          <w:color w:val="000000"/>
          <w:lang w:val="es-ES_tradnl" w:eastAsia="es-ES_tradnl"/>
        </w:rPr>
        <w:t xml:space="preserve">.  </w:t>
      </w:r>
    </w:p>
    <w:p w14:paraId="54D7A918" w14:textId="77777777" w:rsidR="00362817" w:rsidRPr="00362817" w:rsidRDefault="00362817" w:rsidP="00362817">
      <w:pPr>
        <w:spacing w:before="120" w:after="120" w:line="276" w:lineRule="auto"/>
        <w:ind w:firstLine="709"/>
        <w:jc w:val="both"/>
        <w:rPr>
          <w:rFonts w:ascii="Arial" w:eastAsia="Calibri" w:hAnsi="Arial" w:cs="Arial"/>
          <w:color w:val="000000"/>
          <w:lang w:val="es-ES_tradnl" w:eastAsia="es-ES_tradnl"/>
        </w:rPr>
      </w:pPr>
      <w:r w:rsidRPr="00362817">
        <w:rPr>
          <w:rFonts w:ascii="Arial" w:eastAsia="Calibri" w:hAnsi="Arial" w:cs="Arial"/>
          <w:color w:val="000000"/>
          <w:lang w:val="es-ES_tradnl" w:eastAsia="es-ES_tradnl"/>
        </w:rPr>
        <w:t>Dado que los consorcios y las uniones temporales carecen de RUP, cuando la norma se refiere a que «</w:t>
      </w:r>
      <w:r w:rsidRPr="00362817">
        <w:rPr>
          <w:rFonts w:ascii="Arial" w:eastAsia="Times New Roman" w:hAnsi="Arial" w:cs="Arial"/>
          <w:lang w:val="es-ES_tradnl" w:eastAsia="es-ES_tradnl"/>
        </w:rPr>
        <w:t xml:space="preserve">[…] </w:t>
      </w:r>
      <w:r w:rsidRPr="00362817">
        <w:rPr>
          <w:rFonts w:ascii="Arial" w:eastAsia="Calibri" w:hAnsi="Arial" w:cs="Arial"/>
          <w:color w:val="000000"/>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4C8DC137" w14:textId="5C98B2A7" w:rsidR="00362817" w:rsidRDefault="00DE46E7" w:rsidP="000B4981">
      <w:pPr>
        <w:spacing w:after="0" w:line="276" w:lineRule="auto"/>
        <w:ind w:firstLine="709"/>
        <w:jc w:val="both"/>
        <w:rPr>
          <w:rFonts w:ascii="Arial" w:eastAsia="Calibri" w:hAnsi="Arial" w:cs="Arial"/>
          <w:color w:val="000000"/>
          <w:lang w:val="es-ES_tradnl" w:eastAsia="es-ES_tradnl"/>
        </w:rPr>
      </w:pPr>
      <w:r>
        <w:rPr>
          <w:rFonts w:ascii="Arial" w:eastAsia="Times New Roman" w:hAnsi="Arial" w:cs="Arial"/>
          <w:color w:val="000000"/>
          <w:lang w:val="es-ES_tradnl" w:eastAsia="es-ES_tradnl"/>
        </w:rPr>
        <w:t xml:space="preserve">Lo anterior significa que el mejor año fiscal </w:t>
      </w:r>
      <w:r w:rsidR="00A909CC">
        <w:rPr>
          <w:rFonts w:ascii="Arial" w:eastAsia="Times New Roman" w:hAnsi="Arial" w:cs="Arial"/>
          <w:color w:val="000000"/>
          <w:lang w:val="es-ES_tradnl" w:eastAsia="es-ES_tradnl"/>
        </w:rPr>
        <w:t>no necesariamente debe corresponder a la vigencia para todos los integrantes del proponente plural,</w:t>
      </w:r>
      <w:r w:rsidR="00793F95">
        <w:rPr>
          <w:rFonts w:ascii="Arial" w:eastAsia="Times New Roman" w:hAnsi="Arial" w:cs="Arial"/>
          <w:color w:val="000000"/>
          <w:lang w:val="es-ES_tradnl" w:eastAsia="es-ES_tradnl"/>
        </w:rPr>
        <w:t xml:space="preserve"> sino que </w:t>
      </w:r>
      <w:r w:rsidR="00CC0D87">
        <w:rPr>
          <w:rFonts w:ascii="Arial" w:eastAsia="Times New Roman" w:hAnsi="Arial" w:cs="Arial"/>
          <w:color w:val="000000"/>
          <w:lang w:val="es-ES_tradnl" w:eastAsia="es-ES_tradnl"/>
        </w:rPr>
        <w:t>puede variar de un integrante a otro, de acuerdo con sus condiciones particulares. En gracia de discusión</w:t>
      </w:r>
      <w:r w:rsidR="00817C58">
        <w:rPr>
          <w:rFonts w:ascii="Arial" w:eastAsia="Times New Roman" w:hAnsi="Arial" w:cs="Arial"/>
          <w:color w:val="000000"/>
          <w:lang w:val="es-ES_tradnl" w:eastAsia="es-ES_tradnl"/>
        </w:rPr>
        <w:t xml:space="preserve">, si a efectos de realizar </w:t>
      </w:r>
      <w:r w:rsidR="00EA206F">
        <w:rPr>
          <w:rFonts w:ascii="Arial" w:eastAsia="Times New Roman" w:hAnsi="Arial" w:cs="Arial"/>
          <w:color w:val="000000"/>
          <w:lang w:val="es-ES_tradnl" w:eastAsia="es-ES_tradnl"/>
        </w:rPr>
        <w:t xml:space="preserve">la evaluación de la capacidad financiera y organizacional </w:t>
      </w:r>
      <w:r w:rsidR="00817C58">
        <w:rPr>
          <w:rFonts w:ascii="Arial" w:eastAsia="Times New Roman" w:hAnsi="Arial" w:cs="Arial"/>
          <w:color w:val="000000"/>
          <w:lang w:val="es-ES_tradnl" w:eastAsia="es-ES_tradnl"/>
        </w:rPr>
        <w:t>se pretendiera</w:t>
      </w:r>
      <w:r w:rsidR="00362817" w:rsidRPr="00362817">
        <w:rPr>
          <w:rFonts w:ascii="Arial" w:eastAsia="Calibri" w:hAnsi="Arial" w:cs="Arial"/>
          <w:color w:val="000000"/>
          <w:lang w:val="es-ES_tradnl" w:eastAsia="es-ES_tradnl"/>
        </w:rPr>
        <w:t xml:space="preserve"> tomar un año en común para todos los integrantes del proponente plural</w:t>
      </w:r>
      <w:r w:rsidR="00EA206F">
        <w:rPr>
          <w:rFonts w:ascii="Arial" w:eastAsia="Calibri" w:hAnsi="Arial" w:cs="Arial"/>
          <w:color w:val="000000"/>
          <w:lang w:val="es-ES_tradnl" w:eastAsia="es-ES_tradnl"/>
        </w:rPr>
        <w:t xml:space="preserve">, </w:t>
      </w:r>
      <w:r w:rsidR="00364786">
        <w:rPr>
          <w:rFonts w:ascii="Arial" w:eastAsia="Calibri" w:hAnsi="Arial" w:cs="Arial"/>
          <w:color w:val="000000"/>
          <w:lang w:val="es-ES_tradnl" w:eastAsia="es-ES_tradnl"/>
        </w:rPr>
        <w:t xml:space="preserve">la aplicación de la norma podría eventualmente podría encontrarse con el mejor año para un proponente es el peor para otro, </w:t>
      </w:r>
      <w:r w:rsidR="00362817" w:rsidRPr="00362817">
        <w:rPr>
          <w:rFonts w:ascii="Arial" w:eastAsia="Calibri" w:hAnsi="Arial" w:cs="Arial"/>
          <w:color w:val="000000"/>
          <w:lang w:val="es-ES_tradnl" w:eastAsia="es-ES_tradnl"/>
        </w:rPr>
        <w:t>de modo que se desdibujaría el propósito del Decreto 399 de 2021 modificado por el Decreto 579 de 2021, que, precisamente, busca la reactivación económica del país y con ello, ampliar la posibilidad de acceso a los procesos de contratación pública.</w:t>
      </w:r>
      <w:r w:rsidR="00AE2671">
        <w:rPr>
          <w:rFonts w:ascii="Arial" w:eastAsia="Calibri" w:hAnsi="Arial" w:cs="Arial"/>
          <w:color w:val="000000"/>
          <w:lang w:val="es-ES_tradnl" w:eastAsia="es-ES_tradnl"/>
        </w:rPr>
        <w:t xml:space="preserve"> </w:t>
      </w:r>
      <w:r w:rsidR="00362817" w:rsidRPr="00362817">
        <w:rPr>
          <w:rFonts w:ascii="Arial" w:eastAsia="Calibri" w:hAnsi="Arial" w:cs="Arial"/>
          <w:color w:val="000000"/>
          <w:lang w:val="es-ES_tradnl" w:eastAsia="es-ES_tradnl"/>
        </w:rPr>
        <w:t>Teniendo en cuenta lo anterior,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p w14:paraId="1F578141" w14:textId="7E30BDD8" w:rsidR="006A6A4C" w:rsidRDefault="006A6A4C" w:rsidP="000B4981">
      <w:pPr>
        <w:spacing w:after="0" w:line="276" w:lineRule="auto"/>
        <w:ind w:firstLine="709"/>
        <w:jc w:val="both"/>
        <w:rPr>
          <w:rFonts w:ascii="Arial" w:eastAsia="Calibri" w:hAnsi="Arial" w:cs="Arial"/>
          <w:color w:val="000000"/>
          <w:lang w:val="es-ES_tradnl" w:eastAsia="es-ES_tradnl"/>
        </w:rPr>
      </w:pPr>
    </w:p>
    <w:p w14:paraId="6CA75F91" w14:textId="4445FD15" w:rsidR="006A6A4C" w:rsidRDefault="006A6A4C" w:rsidP="00625BF8">
      <w:pPr>
        <w:spacing w:after="0" w:line="240" w:lineRule="auto"/>
        <w:jc w:val="both"/>
        <w:rPr>
          <w:rFonts w:ascii="Arial" w:eastAsia="Calibri" w:hAnsi="Arial" w:cs="Arial"/>
          <w:b/>
          <w:bCs/>
          <w:color w:val="000000" w:themeColor="text1"/>
          <w:lang w:val="es-ES_tradnl"/>
        </w:rPr>
      </w:pPr>
      <w:r w:rsidRPr="00B865D7">
        <w:rPr>
          <w:rFonts w:ascii="Arial" w:eastAsia="Calibri" w:hAnsi="Arial" w:cs="Arial"/>
          <w:b/>
          <w:bCs/>
          <w:color w:val="000000" w:themeColor="text1"/>
          <w:lang w:val="es-ES_tradnl"/>
        </w:rPr>
        <w:t>2.</w:t>
      </w:r>
      <w:r w:rsidR="00625BF8">
        <w:rPr>
          <w:rFonts w:ascii="Arial" w:eastAsia="Calibri" w:hAnsi="Arial" w:cs="Arial"/>
          <w:b/>
          <w:bCs/>
          <w:color w:val="000000" w:themeColor="text1"/>
          <w:lang w:val="es-ES_tradnl"/>
        </w:rPr>
        <w:t>4</w:t>
      </w:r>
      <w:r w:rsidRPr="00B865D7">
        <w:rPr>
          <w:rFonts w:ascii="Arial" w:eastAsia="Calibri" w:hAnsi="Arial" w:cs="Arial"/>
          <w:b/>
          <w:bCs/>
          <w:color w:val="000000" w:themeColor="text1"/>
          <w:lang w:val="es-ES_tradnl"/>
        </w:rPr>
        <w:t>. Capital de trabajo como indicador adicional de capacidad financiera</w:t>
      </w:r>
      <w:r w:rsidRPr="006311EB">
        <w:t xml:space="preserve"> </w:t>
      </w:r>
      <w:r>
        <w:rPr>
          <w:rFonts w:ascii="Arial" w:eastAsia="Calibri" w:hAnsi="Arial" w:cs="Arial"/>
          <w:b/>
          <w:bCs/>
          <w:color w:val="000000" w:themeColor="text1"/>
          <w:lang w:val="es-ES_tradnl"/>
        </w:rPr>
        <w:t>y n</w:t>
      </w:r>
      <w:r w:rsidRPr="006311EB">
        <w:rPr>
          <w:rFonts w:ascii="Arial" w:eastAsia="Calibri" w:hAnsi="Arial" w:cs="Arial"/>
          <w:b/>
          <w:bCs/>
          <w:color w:val="000000" w:themeColor="text1"/>
          <w:lang w:val="es-ES_tradnl"/>
        </w:rPr>
        <w:t>oción de «mejor año fiscal» como buena práctica contractual</w:t>
      </w:r>
    </w:p>
    <w:p w14:paraId="4C0AF727" w14:textId="77777777" w:rsidR="00625BF8" w:rsidRPr="00B865D7" w:rsidRDefault="00625BF8" w:rsidP="00B86920">
      <w:pPr>
        <w:spacing w:after="0" w:line="240" w:lineRule="auto"/>
        <w:jc w:val="both"/>
        <w:rPr>
          <w:rFonts w:ascii="Arial" w:eastAsia="Calibri" w:hAnsi="Arial" w:cs="Arial"/>
          <w:b/>
          <w:bCs/>
          <w:color w:val="000000" w:themeColor="text1"/>
          <w:lang w:val="es-ES_tradnl"/>
        </w:rPr>
      </w:pPr>
    </w:p>
    <w:p w14:paraId="5DEC69F7" w14:textId="77777777" w:rsidR="006A6A4C" w:rsidRPr="00C63114" w:rsidRDefault="006A6A4C" w:rsidP="006A6A4C">
      <w:pPr>
        <w:spacing w:after="120" w:line="276" w:lineRule="auto"/>
        <w:jc w:val="both"/>
        <w:rPr>
          <w:rFonts w:ascii="Arial" w:eastAsia="Calibri" w:hAnsi="Arial" w:cs="Arial"/>
          <w:color w:val="000000" w:themeColor="text1"/>
          <w:lang w:val="es-ES_tradnl"/>
        </w:rPr>
      </w:pPr>
      <w:r w:rsidRPr="00B865D7">
        <w:rPr>
          <w:rFonts w:ascii="Arial" w:eastAsia="Calibri" w:hAnsi="Arial" w:cs="Arial"/>
          <w:color w:val="000000"/>
          <w:lang w:val="es-ES_tradnl"/>
        </w:rPr>
        <w:t>De acuerdo con la naturaleza del contrato a suscribir, su valor, plazo</w:t>
      </w:r>
      <w:r>
        <w:rPr>
          <w:rFonts w:ascii="Arial" w:eastAsia="Calibri" w:hAnsi="Arial" w:cs="Arial"/>
          <w:color w:val="000000"/>
          <w:lang w:val="es-ES_tradnl"/>
        </w:rPr>
        <w:t>,</w:t>
      </w:r>
      <w:r w:rsidRPr="00B865D7">
        <w:rPr>
          <w:rFonts w:ascii="Arial" w:eastAsia="Calibri" w:hAnsi="Arial" w:cs="Arial"/>
          <w:color w:val="000000"/>
          <w:lang w:val="es-ES_tradnl"/>
        </w:rPr>
        <w:t xml:space="preserve"> forma de pago, </w:t>
      </w:r>
      <w:r>
        <w:rPr>
          <w:rFonts w:ascii="Arial" w:eastAsia="Calibri" w:hAnsi="Arial" w:cs="Arial"/>
          <w:color w:val="000000"/>
          <w:lang w:val="es-ES_tradnl"/>
        </w:rPr>
        <w:t xml:space="preserve">y demás características que le identifiquen, </w:t>
      </w:r>
      <w:r w:rsidRPr="00B865D7">
        <w:rPr>
          <w:rFonts w:ascii="Arial" w:eastAsia="Calibri" w:hAnsi="Arial" w:cs="Arial"/>
          <w:color w:val="000000"/>
          <w:lang w:val="es-ES_tradnl"/>
        </w:rPr>
        <w:t xml:space="preserve">la entidad debe </w:t>
      </w:r>
      <w:r>
        <w:rPr>
          <w:rFonts w:ascii="Arial" w:eastAsia="Calibri" w:hAnsi="Arial" w:cs="Arial"/>
          <w:color w:val="000000"/>
          <w:lang w:val="es-ES_tradnl"/>
        </w:rPr>
        <w:t xml:space="preserve">emplear </w:t>
      </w:r>
      <w:r w:rsidRPr="00B865D7">
        <w:rPr>
          <w:rFonts w:ascii="Arial" w:eastAsia="Calibri" w:hAnsi="Arial" w:cs="Arial"/>
          <w:color w:val="000000"/>
          <w:lang w:val="es-ES_tradnl"/>
        </w:rPr>
        <w:t xml:space="preserve">los indicadores que </w:t>
      </w:r>
      <w:r w:rsidRPr="00C63114">
        <w:rPr>
          <w:rFonts w:ascii="Arial" w:eastAsia="Calibri" w:hAnsi="Arial" w:cs="Arial"/>
          <w:color w:val="000000" w:themeColor="text1"/>
          <w:lang w:val="es-ES_tradnl"/>
        </w:rPr>
        <w:t xml:space="preserve">considere adecuados respecto del objeto del proceso de contratación, para lo cual no es suficiente la aplicación mecánica de fórmulas financieras, pues deben conocer cada indicador, sus fórmulas de cálculo y su interpretación. </w:t>
      </w:r>
    </w:p>
    <w:p w14:paraId="51AA2124" w14:textId="77777777" w:rsidR="006A6A4C" w:rsidRPr="00C63114" w:rsidRDefault="006A6A4C" w:rsidP="006A6A4C">
      <w:pPr>
        <w:spacing w:before="120" w:after="120" w:line="276" w:lineRule="auto"/>
        <w:ind w:firstLine="709"/>
        <w:jc w:val="both"/>
        <w:rPr>
          <w:rFonts w:ascii="Arial" w:eastAsia="Calibri" w:hAnsi="Arial" w:cs="Arial"/>
          <w:color w:val="000000" w:themeColor="text1"/>
          <w:lang w:val="es-ES_tradnl"/>
        </w:rPr>
      </w:pPr>
      <w:r w:rsidRPr="00C63114">
        <w:rPr>
          <w:rFonts w:ascii="Arial" w:eastAsia="Calibri" w:hAnsi="Arial" w:cs="Arial"/>
          <w:color w:val="000000" w:themeColor="text1"/>
          <w:lang w:val="es-ES_tradnl"/>
        </w:rPr>
        <w:lastRenderedPageBreak/>
        <w:t xml:space="preserve">Respecto al concepto de </w:t>
      </w:r>
      <w:r w:rsidRPr="00C63114">
        <w:rPr>
          <w:rFonts w:ascii="Arial" w:eastAsia="Calibri" w:hAnsi="Arial" w:cs="Arial"/>
          <w:bCs/>
          <w:color w:val="000000" w:themeColor="text1"/>
          <w:lang w:val="es-ES_tradnl"/>
        </w:rPr>
        <w:t>capacidad de organización</w:t>
      </w:r>
      <w:r w:rsidRPr="00C63114">
        <w:rPr>
          <w:rFonts w:ascii="Arial" w:eastAsia="Calibri" w:hAnsi="Arial" w:cs="Arial"/>
          <w:color w:val="000000" w:themeColor="text1"/>
          <w:lang w:val="es-ES_tradnl"/>
        </w:rPr>
        <w:t xml:space="preserve">, según el «Manual para determinar y verificar los requisitos habilitantes en los Procesos de Contratación», elaborado por esta 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C63114">
        <w:rPr>
          <w:rFonts w:ascii="Arial" w:eastAsia="Calibri" w:hAnsi="Arial" w:cs="Arial"/>
          <w:i/>
          <w:iCs/>
          <w:color w:val="000000" w:themeColor="text1"/>
          <w:lang w:val="es-ES_tradnl"/>
        </w:rPr>
        <w:t>rentabilidad del patrimonio</w:t>
      </w:r>
      <w:r w:rsidRPr="00C63114">
        <w:rPr>
          <w:rFonts w:ascii="Arial" w:eastAsia="Calibri" w:hAnsi="Arial" w:cs="Arial"/>
          <w:color w:val="000000" w:themeColor="text1"/>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C63114">
        <w:rPr>
          <w:rFonts w:ascii="Arial" w:eastAsia="Calibri" w:hAnsi="Arial" w:cs="Arial"/>
          <w:i/>
          <w:iCs/>
          <w:color w:val="000000" w:themeColor="text1"/>
          <w:lang w:val="es-ES_tradnl"/>
        </w:rPr>
        <w:t>rentabilidad del activo</w:t>
      </w:r>
      <w:r w:rsidRPr="00C63114">
        <w:rPr>
          <w:rFonts w:ascii="Arial" w:eastAsia="Calibri" w:hAnsi="Arial" w:cs="Arial"/>
          <w:color w:val="000000" w:themeColor="text1"/>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06C637F3" w14:textId="77777777" w:rsidR="006A6A4C" w:rsidRPr="006D7CA5" w:rsidRDefault="006A6A4C" w:rsidP="006A6A4C">
      <w:pPr>
        <w:spacing w:before="120" w:after="120" w:line="276" w:lineRule="auto"/>
        <w:ind w:firstLine="709"/>
        <w:jc w:val="both"/>
        <w:rPr>
          <w:rFonts w:ascii="Arial" w:eastAsia="Calibri" w:hAnsi="Arial" w:cs="Arial"/>
          <w:color w:val="FF0000"/>
          <w:lang w:val="es-ES_tradnl"/>
        </w:rPr>
      </w:pPr>
      <w:r>
        <w:rPr>
          <w:rFonts w:ascii="Arial" w:eastAsia="Calibri" w:hAnsi="Arial" w:cs="Arial"/>
          <w:color w:val="000000"/>
          <w:lang w:val="es-ES_tradnl"/>
        </w:rPr>
        <w:t>En lo concerniente a la capacidad financiera, s</w:t>
      </w:r>
      <w:r w:rsidRPr="00B865D7">
        <w:rPr>
          <w:rFonts w:ascii="Arial" w:eastAsia="Calibri" w:hAnsi="Arial" w:cs="Arial"/>
          <w:color w:val="000000"/>
          <w:lang w:val="es-ES_tradnl"/>
        </w:rPr>
        <w:t xml:space="preserve">egún lo establecido en el artículo 2.2.1.1.1.5.3. del Decreto 1082 de 2015, </w:t>
      </w:r>
      <w:r>
        <w:rPr>
          <w:rFonts w:ascii="Arial" w:eastAsia="Calibri" w:hAnsi="Arial" w:cs="Arial"/>
          <w:color w:val="000000"/>
          <w:lang w:val="es-ES_tradnl"/>
        </w:rPr>
        <w:t>se prevén los siguientes indicadores</w:t>
      </w:r>
      <w:r w:rsidRPr="00B865D7">
        <w:rPr>
          <w:rFonts w:ascii="Arial" w:eastAsia="Calibri" w:hAnsi="Arial" w:cs="Arial"/>
          <w:color w:val="000000"/>
          <w:lang w:val="es-ES_tradnl"/>
        </w:rPr>
        <w:t xml:space="preserve">: i) el </w:t>
      </w:r>
      <w:r w:rsidRPr="00B865D7">
        <w:rPr>
          <w:rFonts w:ascii="Arial" w:eastAsia="Calibri" w:hAnsi="Arial" w:cs="Arial"/>
          <w:i/>
          <w:iCs/>
          <w:color w:val="000000"/>
          <w:lang w:val="es-ES_tradnl"/>
        </w:rPr>
        <w:t>índice de liquidez</w:t>
      </w:r>
      <w:r w:rsidRPr="00B865D7">
        <w:rPr>
          <w:rFonts w:ascii="Arial" w:eastAsia="Calibri" w:hAnsi="Arial" w:cs="Arial"/>
          <w:color w:val="000000"/>
          <w:lang w:val="es-ES_tradnl"/>
        </w:rPr>
        <w:t xml:space="preserve">, que corresponde a la división entre el activo corriente y el pasivo corriente, y que determina la capacidad que tiene el proponente para cumplir con sus obligaciones de corto plazo; </w:t>
      </w:r>
      <w:proofErr w:type="spellStart"/>
      <w:r w:rsidRPr="00B865D7">
        <w:rPr>
          <w:rFonts w:ascii="Arial" w:eastAsia="Calibri" w:hAnsi="Arial" w:cs="Arial"/>
          <w:color w:val="000000"/>
          <w:lang w:val="es-ES_tradnl"/>
        </w:rPr>
        <w:t>ii</w:t>
      </w:r>
      <w:proofErr w:type="spellEnd"/>
      <w:r w:rsidRPr="00B865D7">
        <w:rPr>
          <w:rFonts w:ascii="Arial" w:eastAsia="Calibri" w:hAnsi="Arial" w:cs="Arial"/>
          <w:color w:val="000000"/>
          <w:lang w:val="es-ES_tradnl"/>
        </w:rPr>
        <w:t xml:space="preserve">) el </w:t>
      </w:r>
      <w:r w:rsidRPr="00B865D7">
        <w:rPr>
          <w:rFonts w:ascii="Arial" w:eastAsia="Calibri" w:hAnsi="Arial" w:cs="Arial"/>
          <w:i/>
          <w:iCs/>
          <w:color w:val="000000"/>
          <w:lang w:val="es-ES_tradnl"/>
        </w:rPr>
        <w:t>índice de endeudamiento</w:t>
      </w:r>
      <w:r w:rsidRPr="00B865D7">
        <w:rPr>
          <w:rFonts w:ascii="Arial" w:eastAsia="Calibri" w:hAnsi="Arial" w:cs="Arial"/>
          <w:color w:val="000000"/>
          <w:lang w:val="es-ES_tradnl"/>
        </w:rPr>
        <w:t xml:space="preserve">, que se calcula dividiendo el pasivo total por el activo total, el cual determina el grado de endeudamiento en la estructura de financiación del proponente; y </w:t>
      </w:r>
      <w:proofErr w:type="spellStart"/>
      <w:r w:rsidRPr="00B865D7">
        <w:rPr>
          <w:rFonts w:ascii="Arial" w:eastAsia="Calibri" w:hAnsi="Arial" w:cs="Arial"/>
          <w:color w:val="000000"/>
          <w:lang w:val="es-ES_tradnl"/>
        </w:rPr>
        <w:t>iii</w:t>
      </w:r>
      <w:proofErr w:type="spellEnd"/>
      <w:r w:rsidRPr="00B865D7">
        <w:rPr>
          <w:rFonts w:ascii="Arial" w:eastAsia="Calibri" w:hAnsi="Arial" w:cs="Arial"/>
          <w:color w:val="000000"/>
          <w:lang w:val="es-ES_tradnl"/>
        </w:rPr>
        <w:t xml:space="preserve">) la </w:t>
      </w:r>
      <w:r w:rsidRPr="00B865D7">
        <w:rPr>
          <w:rFonts w:ascii="Arial" w:eastAsia="Calibri" w:hAnsi="Arial" w:cs="Arial"/>
          <w:i/>
          <w:iCs/>
          <w:color w:val="000000"/>
          <w:lang w:val="es-ES_tradnl"/>
        </w:rPr>
        <w:t>razón de cobertura de intereses</w:t>
      </w:r>
      <w:r w:rsidRPr="00B865D7">
        <w:rPr>
          <w:rFonts w:ascii="Arial" w:eastAsia="Calibri" w:hAnsi="Arial" w:cs="Arial"/>
          <w:color w:val="000000"/>
          <w:lang w:val="es-ES_tradnl"/>
        </w:rPr>
        <w:t xml:space="preserve">, que es igual a la utilidad operacional, sobre los gastos de intereses, y que refleja la capacidad del proponente para cumplir con sus obligaciones financieras. </w:t>
      </w:r>
    </w:p>
    <w:p w14:paraId="7D5D1EE5" w14:textId="77777777" w:rsidR="006A6A4C" w:rsidRDefault="006A6A4C" w:rsidP="006A6A4C">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 xml:space="preserve">De la norma citada se desprende que, el capital de trabajo no fue incluido dentro de los indicadores de capacidad financiera previstos en el Decreto 1082 de 2015,  conclusión similar se obtiene al observar el texto de los Decretos 399 y 579 de 2021,  en los que se mencionan los </w:t>
      </w:r>
      <w:r w:rsidRPr="00B865D7">
        <w:rPr>
          <w:rFonts w:ascii="Arial" w:eastAsia="Calibri" w:hAnsi="Arial" w:cs="Arial"/>
          <w:color w:val="000000" w:themeColor="text1"/>
          <w:lang w:val="es-ES_tradnl"/>
        </w:rPr>
        <w:t>indicadores de la capacidad financiera consagrados en el literal (b) del artículo 2.2.1.1.1.5.6.</w:t>
      </w:r>
      <w:r>
        <w:rPr>
          <w:rFonts w:ascii="Arial" w:eastAsia="Calibri" w:hAnsi="Arial" w:cs="Arial"/>
          <w:color w:val="000000" w:themeColor="text1"/>
          <w:lang w:val="es-ES_tradnl"/>
        </w:rPr>
        <w:t xml:space="preserve">, precepto que a su vez, remite expresamente al artículo </w:t>
      </w:r>
      <w:r w:rsidRPr="00B865D7">
        <w:rPr>
          <w:rFonts w:ascii="Arial" w:eastAsia="Calibri" w:hAnsi="Arial" w:cs="Arial"/>
          <w:color w:val="000000"/>
          <w:lang w:val="es-ES_tradnl"/>
        </w:rPr>
        <w:t>2.2.1.1.1.5.3</w:t>
      </w:r>
      <w:r>
        <w:rPr>
          <w:rFonts w:ascii="Arial" w:eastAsia="Calibri" w:hAnsi="Arial" w:cs="Arial"/>
          <w:color w:val="000000"/>
          <w:lang w:val="es-ES_tradnl"/>
        </w:rPr>
        <w:t xml:space="preserve"> del Decreto 1082 de 2015, que trata sobre los </w:t>
      </w:r>
      <w:r w:rsidRPr="00B865D7">
        <w:rPr>
          <w:rFonts w:ascii="Arial" w:eastAsia="Calibri" w:hAnsi="Arial" w:cs="Arial"/>
          <w:color w:val="000000"/>
          <w:lang w:val="es-ES_tradnl"/>
        </w:rPr>
        <w:t>indicadores de la capacidad financiera</w:t>
      </w:r>
      <w:r>
        <w:rPr>
          <w:rFonts w:ascii="Arial" w:eastAsia="Calibri" w:hAnsi="Arial" w:cs="Arial"/>
          <w:color w:val="000000"/>
          <w:lang w:val="es-ES_tradnl"/>
        </w:rPr>
        <w:t xml:space="preserve"> previamente referidos y dentro de los cuales no fue incluido el de capital de trabajo. </w:t>
      </w:r>
    </w:p>
    <w:p w14:paraId="78772B2D" w14:textId="77777777" w:rsidR="006A6A4C" w:rsidRDefault="006A6A4C" w:rsidP="006A6A4C">
      <w:pPr>
        <w:spacing w:after="120" w:line="276" w:lineRule="auto"/>
        <w:ind w:firstLine="709"/>
        <w:jc w:val="both"/>
        <w:rPr>
          <w:rFonts w:ascii="Arial" w:eastAsia="Calibri" w:hAnsi="Arial" w:cs="Arial"/>
          <w:b/>
          <w:bCs/>
          <w:color w:val="000000" w:themeColor="text1"/>
          <w:lang w:val="es-ES_tradnl"/>
        </w:rPr>
      </w:pPr>
      <w:r w:rsidRPr="00B865D7">
        <w:rPr>
          <w:rFonts w:ascii="Arial" w:eastAsia="Calibri" w:hAnsi="Arial" w:cs="Arial"/>
          <w:color w:val="000000"/>
          <w:lang w:val="es-ES_tradnl"/>
        </w:rPr>
        <w:t xml:space="preserve">Sin perjuicio de lo anterior, la entidad puede acudir a indicadores adicionales, en </w:t>
      </w:r>
      <w:r>
        <w:rPr>
          <w:rFonts w:ascii="Arial" w:eastAsia="Calibri" w:hAnsi="Arial" w:cs="Arial"/>
          <w:color w:val="000000"/>
          <w:lang w:val="es-ES_tradnl"/>
        </w:rPr>
        <w:t xml:space="preserve">cumplimiento </w:t>
      </w:r>
      <w:r w:rsidRPr="00B865D7">
        <w:rPr>
          <w:rFonts w:ascii="Arial" w:eastAsia="Calibri" w:hAnsi="Arial" w:cs="Arial"/>
          <w:color w:val="000000"/>
          <w:lang w:val="es-ES_tradnl"/>
        </w:rPr>
        <w:t xml:space="preserve">de su deber de análisis y acorde con las características </w:t>
      </w:r>
      <w:r>
        <w:rPr>
          <w:rFonts w:ascii="Arial" w:eastAsia="Calibri" w:hAnsi="Arial" w:cs="Arial"/>
          <w:color w:val="000000"/>
          <w:lang w:val="es-ES_tradnl"/>
        </w:rPr>
        <w:t>d</w:t>
      </w:r>
      <w:r w:rsidRPr="00B865D7">
        <w:rPr>
          <w:rFonts w:ascii="Arial" w:eastAsia="Calibri" w:hAnsi="Arial" w:cs="Arial"/>
          <w:color w:val="000000"/>
          <w:lang w:val="es-ES_tradnl"/>
        </w:rPr>
        <w:t>el contrato a suscribir y demás aspectos precisados con antelación. En este sentido, la Agencia Nacional de Contratación Pública – Colombia Compra Eficiente</w:t>
      </w:r>
      <w:r>
        <w:rPr>
          <w:rFonts w:ascii="Arial" w:eastAsia="Calibri" w:hAnsi="Arial" w:cs="Arial"/>
          <w:color w:val="000000"/>
          <w:lang w:val="es-ES_tradnl"/>
        </w:rPr>
        <w:t>,</w:t>
      </w:r>
      <w:r w:rsidRPr="00B865D7">
        <w:rPr>
          <w:rFonts w:ascii="Arial" w:eastAsia="Calibri" w:hAnsi="Arial" w:cs="Arial"/>
          <w:color w:val="000000"/>
          <w:lang w:val="es-ES_tradnl"/>
        </w:rPr>
        <w:t xml:space="preserve"> </w:t>
      </w:r>
      <w:r>
        <w:rPr>
          <w:rFonts w:ascii="Arial" w:eastAsia="Calibri" w:hAnsi="Arial" w:cs="Arial"/>
          <w:color w:val="000000"/>
          <w:lang w:val="es-ES_tradnl"/>
        </w:rPr>
        <w:t>ha recomendado</w:t>
      </w:r>
      <w:r w:rsidRPr="00B865D7">
        <w:rPr>
          <w:rFonts w:ascii="Arial" w:eastAsia="Calibri" w:hAnsi="Arial" w:cs="Arial"/>
          <w:color w:val="000000"/>
          <w:lang w:val="es-ES_tradnl"/>
        </w:rPr>
        <w:t xml:space="preserve"> valorar otro tipo de </w:t>
      </w:r>
      <w:r w:rsidRPr="00B865D7">
        <w:rPr>
          <w:rFonts w:ascii="Arial" w:eastAsia="Calibri" w:hAnsi="Arial" w:cs="Arial"/>
          <w:color w:val="000000"/>
          <w:lang w:val="es-ES_tradnl"/>
        </w:rPr>
        <w:lastRenderedPageBreak/>
        <w:t>indicadores como el capital de trabajo, la razón de efectivo, la denominada prueba ácida</w:t>
      </w:r>
      <w:r w:rsidRPr="00B865D7">
        <w:rPr>
          <w:rFonts w:ascii="Arial" w:eastAsia="Calibri" w:hAnsi="Arial" w:cs="Arial"/>
          <w:color w:val="000000"/>
          <w:vertAlign w:val="superscript"/>
          <w:lang w:val="es-ES_tradnl"/>
        </w:rPr>
        <w:footnoteReference w:id="12"/>
      </w:r>
      <w:r w:rsidRPr="00B865D7">
        <w:rPr>
          <w:rFonts w:ascii="Arial" w:eastAsia="Calibri" w:hAnsi="Arial" w:cs="Arial"/>
          <w:color w:val="000000"/>
          <w:lang w:val="es-ES_tradnl"/>
        </w:rPr>
        <w:t>, la concentración de endeudamiento a corto y a largo plazo y el patrimonio</w:t>
      </w:r>
      <w:r w:rsidRPr="00B865D7">
        <w:rPr>
          <w:rStyle w:val="Refdenotaalpie"/>
          <w:rFonts w:ascii="Arial" w:eastAsia="Calibri" w:hAnsi="Arial" w:cs="Arial"/>
          <w:color w:val="000000"/>
          <w:lang w:val="es-ES_tradnl"/>
        </w:rPr>
        <w:footnoteReference w:id="13"/>
      </w:r>
      <w:r>
        <w:rPr>
          <w:rFonts w:ascii="Arial" w:eastAsia="Calibri" w:hAnsi="Arial" w:cs="Arial"/>
          <w:color w:val="000000"/>
          <w:lang w:val="es-ES_tradnl"/>
        </w:rPr>
        <w:t xml:space="preserve">.  </w:t>
      </w:r>
    </w:p>
    <w:p w14:paraId="0EC06472" w14:textId="77777777" w:rsidR="006A6A4C" w:rsidRDefault="006A6A4C" w:rsidP="006A6A4C">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 xml:space="preserve">En este sentido, la decisión sobre la inclusión de indicadores adicionales corresponderá a cada entidad estatal y deberá ser producto del análisis correspondiente, y </w:t>
      </w:r>
      <w:proofErr w:type="gramStart"/>
      <w:r>
        <w:rPr>
          <w:rFonts w:ascii="Arial" w:eastAsia="Calibri" w:hAnsi="Arial" w:cs="Arial"/>
          <w:color w:val="000000"/>
          <w:lang w:val="es-ES_tradnl"/>
        </w:rPr>
        <w:t>en caso que</w:t>
      </w:r>
      <w:proofErr w:type="gramEnd"/>
      <w:r>
        <w:rPr>
          <w:rFonts w:ascii="Arial" w:eastAsia="Calibri" w:hAnsi="Arial" w:cs="Arial"/>
          <w:color w:val="000000"/>
          <w:lang w:val="es-ES_tradnl"/>
        </w:rPr>
        <w:t xml:space="preserve"> se incluya el indicador de capital de trabajo, para efectos de su evaluación no deviene obligatorio para las entidades estatales</w:t>
      </w:r>
      <w:r w:rsidRPr="00FC10AC">
        <w:rPr>
          <w:rFonts w:ascii="Arial" w:eastAsia="Calibri" w:hAnsi="Arial" w:cs="Arial"/>
          <w:color w:val="000000"/>
          <w:lang w:val="es-ES_tradnl"/>
        </w:rPr>
        <w:t xml:space="preserve"> </w:t>
      </w:r>
      <w:r>
        <w:rPr>
          <w:rFonts w:ascii="Arial" w:eastAsia="Calibri" w:hAnsi="Arial" w:cs="Arial"/>
          <w:color w:val="000000"/>
          <w:lang w:val="es-ES_tradnl"/>
        </w:rPr>
        <w:t>la aplicación de los Decretos 399 y 579 de 2021, toda vez que dicho indicador no fue objeto de regulación en estos.</w:t>
      </w:r>
    </w:p>
    <w:p w14:paraId="05DA3013" w14:textId="77777777" w:rsidR="006A6A4C" w:rsidRPr="000639C8" w:rsidRDefault="006A6A4C" w:rsidP="006A6A4C">
      <w:pPr>
        <w:spacing w:after="120" w:line="276" w:lineRule="auto"/>
        <w:ind w:firstLine="709"/>
        <w:jc w:val="both"/>
        <w:rPr>
          <w:rFonts w:ascii="Arial" w:eastAsia="Calibri" w:hAnsi="Arial" w:cs="Arial"/>
          <w:color w:val="FF0000"/>
          <w:lang w:val="es-ES_tradnl"/>
        </w:rPr>
      </w:pPr>
      <w:r>
        <w:rPr>
          <w:rFonts w:ascii="Arial" w:eastAsia="Calibri" w:hAnsi="Arial" w:cs="Arial"/>
          <w:color w:val="000000"/>
          <w:lang w:val="es-ES_tradnl"/>
        </w:rPr>
        <w:t>No obstante,</w:t>
      </w:r>
      <w:r w:rsidRPr="007435EC">
        <w:rPr>
          <w:rFonts w:ascii="Arial" w:eastAsia="Calibri" w:hAnsi="Arial" w:cs="Arial"/>
          <w:color w:val="000000"/>
          <w:lang w:val="es-ES_tradnl"/>
        </w:rPr>
        <w:t xml:space="preserve"> </w:t>
      </w:r>
      <w:r>
        <w:rPr>
          <w:rFonts w:ascii="Arial" w:eastAsia="Calibri" w:hAnsi="Arial" w:cs="Arial"/>
          <w:color w:val="000000"/>
          <w:lang w:val="es-ES_tradnl"/>
        </w:rPr>
        <w:t xml:space="preserve">en ejercicio de su autonomía para incluir el capital de trabajo como indicador adicional, las entidades también podrán acoger voluntariamente el </w:t>
      </w:r>
      <w:r w:rsidRPr="007435EC">
        <w:rPr>
          <w:rFonts w:ascii="Arial" w:eastAsia="Calibri" w:hAnsi="Arial" w:cs="Arial"/>
          <w:color w:val="000000"/>
          <w:lang w:val="es-ES_tradnl"/>
        </w:rPr>
        <w:t xml:space="preserve">concepto de </w:t>
      </w:r>
      <w:r>
        <w:rPr>
          <w:rFonts w:ascii="Arial" w:eastAsia="Calibri" w:hAnsi="Arial" w:cs="Arial"/>
          <w:color w:val="000000"/>
          <w:lang w:val="es-ES_tradnl"/>
        </w:rPr>
        <w:t>«</w:t>
      </w:r>
      <w:r w:rsidRPr="007435EC">
        <w:rPr>
          <w:rFonts w:ascii="Arial" w:eastAsia="Calibri" w:hAnsi="Arial" w:cs="Arial"/>
          <w:color w:val="000000"/>
          <w:lang w:val="es-ES_tradnl"/>
        </w:rPr>
        <w:t>mejor año fiscal</w:t>
      </w:r>
      <w:r>
        <w:rPr>
          <w:rFonts w:ascii="Arial" w:eastAsia="Calibri" w:hAnsi="Arial" w:cs="Arial"/>
          <w:color w:val="000000"/>
          <w:lang w:val="es-ES_tradnl"/>
        </w:rPr>
        <w:t>»</w:t>
      </w:r>
      <w:r w:rsidRPr="007435EC">
        <w:rPr>
          <w:rFonts w:ascii="Arial" w:eastAsia="Calibri" w:hAnsi="Arial" w:cs="Arial"/>
          <w:color w:val="000000"/>
          <w:lang w:val="es-ES_tradnl"/>
        </w:rPr>
        <w:t xml:space="preserve"> </w:t>
      </w:r>
      <w:r>
        <w:rPr>
          <w:rFonts w:ascii="Arial" w:eastAsia="Calibri" w:hAnsi="Arial" w:cs="Arial"/>
          <w:color w:val="000000"/>
          <w:lang w:val="es-ES_tradnl"/>
        </w:rPr>
        <w:t>para efectuar</w:t>
      </w:r>
      <w:r w:rsidRPr="007435EC">
        <w:rPr>
          <w:rFonts w:ascii="Arial" w:eastAsia="Calibri" w:hAnsi="Arial" w:cs="Arial"/>
          <w:color w:val="000000"/>
          <w:lang w:val="es-ES_tradnl"/>
        </w:rPr>
        <w:t xml:space="preserve"> la evaluación </w:t>
      </w:r>
      <w:r>
        <w:rPr>
          <w:rFonts w:ascii="Arial" w:eastAsia="Calibri" w:hAnsi="Arial" w:cs="Arial"/>
          <w:color w:val="000000"/>
          <w:lang w:val="es-ES_tradnl"/>
        </w:rPr>
        <w:t xml:space="preserve">de dicho indicador, considerando las consecuencias de la pandemia en el sector económico – además fundamento de los </w:t>
      </w:r>
      <w:r w:rsidRPr="007435EC">
        <w:rPr>
          <w:rFonts w:ascii="Arial" w:eastAsia="Calibri" w:hAnsi="Arial" w:cs="Arial"/>
          <w:color w:val="000000"/>
          <w:lang w:val="es-ES_tradnl"/>
        </w:rPr>
        <w:t>Decreto</w:t>
      </w:r>
      <w:r>
        <w:rPr>
          <w:rFonts w:ascii="Arial" w:eastAsia="Calibri" w:hAnsi="Arial" w:cs="Arial"/>
          <w:color w:val="000000"/>
          <w:lang w:val="es-ES_tradnl"/>
        </w:rPr>
        <w:t>s</w:t>
      </w:r>
      <w:r w:rsidRPr="007435EC">
        <w:rPr>
          <w:rFonts w:ascii="Arial" w:eastAsia="Calibri" w:hAnsi="Arial" w:cs="Arial"/>
          <w:color w:val="000000"/>
          <w:lang w:val="es-ES_tradnl"/>
        </w:rPr>
        <w:t xml:space="preserve"> 399 y 579</w:t>
      </w:r>
      <w:r>
        <w:rPr>
          <w:rFonts w:ascii="Arial" w:eastAsia="Calibri" w:hAnsi="Arial" w:cs="Arial"/>
          <w:color w:val="000000"/>
          <w:lang w:val="es-ES_tradnl"/>
        </w:rPr>
        <w:t xml:space="preserve"> de 2021 –,</w:t>
      </w:r>
      <w:r w:rsidRPr="007435EC">
        <w:rPr>
          <w:rFonts w:ascii="Arial" w:eastAsia="Calibri" w:hAnsi="Arial" w:cs="Arial"/>
          <w:color w:val="000000"/>
          <w:lang w:val="es-ES_tradnl"/>
        </w:rPr>
        <w:t xml:space="preserve"> </w:t>
      </w:r>
      <w:r>
        <w:rPr>
          <w:rFonts w:ascii="Arial" w:eastAsia="Calibri" w:hAnsi="Arial" w:cs="Arial"/>
          <w:color w:val="000000"/>
          <w:lang w:val="es-ES_tradnl"/>
        </w:rPr>
        <w:t xml:space="preserve">aspecto que podría erigirse como una </w:t>
      </w:r>
      <w:r w:rsidRPr="007435EC">
        <w:rPr>
          <w:rFonts w:ascii="Arial" w:eastAsia="Calibri" w:hAnsi="Arial" w:cs="Arial"/>
          <w:color w:val="000000"/>
          <w:lang w:val="es-ES_tradnl"/>
        </w:rPr>
        <w:t>buena práctica contractual.</w:t>
      </w:r>
    </w:p>
    <w:p w14:paraId="1E730765" w14:textId="77777777" w:rsidR="006A6A4C" w:rsidRPr="00B865D7" w:rsidRDefault="006A6A4C" w:rsidP="00B86920">
      <w:pPr>
        <w:spacing w:after="0" w:line="276" w:lineRule="auto"/>
        <w:ind w:firstLine="709"/>
        <w:jc w:val="both"/>
        <w:rPr>
          <w:rFonts w:ascii="Arial" w:eastAsia="Calibri" w:hAnsi="Arial" w:cs="Arial"/>
          <w:color w:val="000000"/>
          <w:lang w:val="es-ES_tradnl"/>
        </w:rPr>
      </w:pPr>
      <w:r w:rsidRPr="00B865D7">
        <w:rPr>
          <w:rFonts w:ascii="Arial" w:eastAsia="Calibri" w:hAnsi="Arial" w:cs="Arial"/>
          <w:color w:val="000000"/>
          <w:lang w:val="es-ES_tradnl"/>
        </w:rPr>
        <w:t>De acuerdo con lo expuesto, la posibilidad de considerar el capital de trabajo como un indicador adicional de la capacidad financiera, dependerá del análisis previo que corresponde a la entidad, que de considerar pertinente su inclusión,  constituirá uno de los factores que medirá la fortaleza financiera del proponente, y para este se emplearía la fórmula: «Activo corriente - Pasivo corriente», como se precisa en el «Manual para determinar y verificar los requisitos habilitantes en los Procesos de Contratación», expedido por esta Agencia, en el que se describe el capital de trabajo, en los siguientes términos:</w:t>
      </w:r>
    </w:p>
    <w:p w14:paraId="3DEF73E6" w14:textId="77777777" w:rsidR="006A6A4C" w:rsidRPr="00B865D7" w:rsidRDefault="006A6A4C" w:rsidP="00B86920">
      <w:pPr>
        <w:spacing w:after="0" w:line="276" w:lineRule="auto"/>
        <w:ind w:firstLine="709"/>
        <w:jc w:val="both"/>
        <w:rPr>
          <w:rFonts w:ascii="Arial" w:eastAsia="Calibri" w:hAnsi="Arial" w:cs="Arial"/>
          <w:color w:val="000000"/>
          <w:lang w:val="es-ES_tradnl"/>
        </w:rPr>
      </w:pPr>
    </w:p>
    <w:p w14:paraId="263E1FF7" w14:textId="77777777" w:rsidR="006A6A4C" w:rsidRDefault="006A6A4C" w:rsidP="00B86920">
      <w:pPr>
        <w:spacing w:after="0"/>
        <w:ind w:left="709" w:right="709"/>
        <w:jc w:val="both"/>
        <w:rPr>
          <w:rFonts w:ascii="Arial" w:eastAsia="Calibri" w:hAnsi="Arial" w:cs="Arial"/>
          <w:color w:val="000000"/>
          <w:sz w:val="21"/>
          <w:szCs w:val="21"/>
          <w:lang w:val="es-ES_tradnl"/>
        </w:rPr>
      </w:pPr>
      <w:r w:rsidRPr="00B865D7">
        <w:rPr>
          <w:rFonts w:ascii="Arial" w:eastAsia="Calibri" w:hAnsi="Arial" w:cs="Arial"/>
          <w:color w:val="000000"/>
          <w:sz w:val="21"/>
          <w:szCs w:val="21"/>
          <w:lang w:val="es-ES_tradnl"/>
        </w:rPr>
        <w:t>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económica del proponente. Es recomendable su uso cuando la Entidad Estatal requiere analizar el nivel de liquidez en términos absolutos.</w:t>
      </w:r>
    </w:p>
    <w:p w14:paraId="385CFF4D" w14:textId="77777777" w:rsidR="006A6A4C" w:rsidRPr="00B865D7" w:rsidRDefault="006A6A4C" w:rsidP="00B86920">
      <w:pPr>
        <w:spacing w:after="0"/>
        <w:ind w:left="709" w:right="709"/>
        <w:jc w:val="both"/>
        <w:rPr>
          <w:rFonts w:ascii="Arial" w:eastAsia="Calibri" w:hAnsi="Arial" w:cs="Arial"/>
          <w:color w:val="000000"/>
          <w:sz w:val="21"/>
          <w:szCs w:val="21"/>
          <w:lang w:val="es-ES_tradnl"/>
        </w:rPr>
      </w:pPr>
    </w:p>
    <w:p w14:paraId="62BB0C21" w14:textId="77777777" w:rsidR="006A6A4C" w:rsidRPr="00B865D7" w:rsidRDefault="006A6A4C" w:rsidP="00B86920">
      <w:pPr>
        <w:spacing w:after="0" w:line="276" w:lineRule="auto"/>
        <w:ind w:firstLine="709"/>
        <w:jc w:val="both"/>
        <w:rPr>
          <w:rFonts w:ascii="Arial" w:eastAsia="Calibri" w:hAnsi="Arial" w:cs="Arial"/>
          <w:color w:val="000000"/>
          <w:lang w:val="es-ES_tradnl"/>
        </w:rPr>
      </w:pPr>
      <w:r w:rsidRPr="00B865D7">
        <w:rPr>
          <w:rFonts w:ascii="Arial" w:eastAsia="Calibri" w:hAnsi="Arial" w:cs="Arial"/>
          <w:color w:val="000000"/>
          <w:lang w:val="es-ES_tradnl"/>
        </w:rPr>
        <w:t xml:space="preserve">En suma, las entidades estatales son autónomas en la estructuración de sus procedimientos contractuales, por lo cual, en sus pliegos de condiciones o documentos equivalentes pueden establecer los indicadores financieros y organizacionales necesarios, pudiendo incluir dentro de los primeros el capital de trabajo, recomendado en aquellos casos en los que de acuerdo con el análisis efectuado por la entidad, conviene valorar el </w:t>
      </w:r>
      <w:r w:rsidRPr="00B865D7">
        <w:rPr>
          <w:rFonts w:ascii="Arial" w:eastAsia="Calibri" w:hAnsi="Arial" w:cs="Arial"/>
          <w:color w:val="000000"/>
          <w:lang w:val="es-ES_tradnl"/>
        </w:rPr>
        <w:lastRenderedPageBreak/>
        <w:t>nivel de liquidez en términos absolutos, velando siempre por la correspondencia entre los indicadores establecidos y el futuro contrato, de manera que la acreditación de aquellos permita dar cumplimiento a este último.</w:t>
      </w:r>
    </w:p>
    <w:p w14:paraId="68223E79" w14:textId="77777777" w:rsidR="0009232C" w:rsidRPr="00362817" w:rsidRDefault="0009232C" w:rsidP="001C160D">
      <w:pPr>
        <w:spacing w:after="0" w:line="276" w:lineRule="auto"/>
        <w:ind w:firstLine="709"/>
        <w:jc w:val="both"/>
        <w:rPr>
          <w:rFonts w:ascii="Arial" w:eastAsia="Calibri" w:hAnsi="Arial" w:cs="Arial"/>
          <w:color w:val="000000"/>
          <w:lang w:val="es-ES_tradnl" w:eastAsia="es-ES_tradnl"/>
        </w:rPr>
      </w:pPr>
    </w:p>
    <w:bookmarkEnd w:id="3"/>
    <w:p w14:paraId="753A46CD" w14:textId="77777777" w:rsidR="00362817" w:rsidRPr="00362817" w:rsidRDefault="00362817" w:rsidP="0009232C">
      <w:pPr>
        <w:tabs>
          <w:tab w:val="left" w:pos="0"/>
        </w:tabs>
        <w:spacing w:after="0" w:line="240" w:lineRule="auto"/>
        <w:jc w:val="both"/>
        <w:rPr>
          <w:rFonts w:ascii="Arial" w:eastAsia="Calibri" w:hAnsi="Arial" w:cs="Arial"/>
          <w:b/>
          <w:color w:val="000000"/>
          <w:szCs w:val="24"/>
          <w:lang w:val="es-ES_tradnl" w:eastAsia="es-ES_tradnl"/>
        </w:rPr>
      </w:pPr>
      <w:r w:rsidRPr="00362817">
        <w:rPr>
          <w:rFonts w:ascii="Arial" w:eastAsia="Calibri" w:hAnsi="Arial" w:cs="Arial"/>
          <w:b/>
          <w:color w:val="000000"/>
          <w:szCs w:val="24"/>
          <w:lang w:val="es-ES_tradnl" w:eastAsia="es-ES_tradnl"/>
        </w:rPr>
        <w:t>3. Respuesta</w:t>
      </w:r>
    </w:p>
    <w:p w14:paraId="57BB0EEC" w14:textId="77777777" w:rsidR="00362817" w:rsidRPr="00362817" w:rsidRDefault="00362817" w:rsidP="00362817">
      <w:pPr>
        <w:tabs>
          <w:tab w:val="left" w:pos="0"/>
        </w:tabs>
        <w:spacing w:after="0" w:line="240" w:lineRule="auto"/>
        <w:ind w:firstLine="709"/>
        <w:jc w:val="both"/>
        <w:rPr>
          <w:rFonts w:ascii="Arial" w:eastAsia="Calibri" w:hAnsi="Arial" w:cs="Arial"/>
          <w:b/>
          <w:color w:val="000000"/>
          <w:szCs w:val="24"/>
          <w:lang w:val="es-ES_tradnl" w:eastAsia="es-ES_tradnl"/>
        </w:rPr>
      </w:pPr>
    </w:p>
    <w:p w14:paraId="7A34DA0E" w14:textId="3FEDEA26" w:rsidR="0009232C" w:rsidRPr="0009232C" w:rsidRDefault="0009232C" w:rsidP="001C160D">
      <w:pPr>
        <w:spacing w:after="0" w:line="240" w:lineRule="auto"/>
        <w:ind w:left="709" w:right="709"/>
        <w:jc w:val="both"/>
        <w:rPr>
          <w:rFonts w:ascii="Arial" w:eastAsia="Times New Roman" w:hAnsi="Arial" w:cs="Arial"/>
          <w:color w:val="000000"/>
          <w:sz w:val="21"/>
          <w:szCs w:val="21"/>
          <w:lang w:val="es-MX" w:eastAsia="es-ES_tradnl"/>
        </w:rPr>
      </w:pPr>
      <w:r w:rsidRPr="001C160D">
        <w:rPr>
          <w:rFonts w:ascii="Arial" w:hAnsi="Arial" w:cs="Arial"/>
          <w:color w:val="000000" w:themeColor="text1"/>
          <w:sz w:val="21"/>
          <w:szCs w:val="21"/>
          <w:lang w:val="es-ES_tradnl"/>
        </w:rPr>
        <w:t>«</w:t>
      </w:r>
      <w:r w:rsidRPr="0009232C">
        <w:rPr>
          <w:rFonts w:ascii="Arial" w:hAnsi="Arial" w:cs="Arial"/>
          <w:sz w:val="21"/>
          <w:szCs w:val="21"/>
        </w:rPr>
        <w:t xml:space="preserve">En la evaluación financiera para proponentes conjuntos, se realiza con los mejores indicadores financieros de los </w:t>
      </w:r>
      <w:proofErr w:type="spellStart"/>
      <w:r w:rsidRPr="0009232C">
        <w:rPr>
          <w:rFonts w:ascii="Arial" w:hAnsi="Arial" w:cs="Arial"/>
          <w:sz w:val="21"/>
          <w:szCs w:val="21"/>
        </w:rPr>
        <w:t>ultimos</w:t>
      </w:r>
      <w:proofErr w:type="spellEnd"/>
      <w:r w:rsidRPr="0009232C">
        <w:rPr>
          <w:rFonts w:ascii="Arial" w:hAnsi="Arial" w:cs="Arial"/>
          <w:sz w:val="21"/>
          <w:szCs w:val="21"/>
        </w:rPr>
        <w:t xml:space="preserve"> (sic) 3 años de cada integrante». </w:t>
      </w:r>
      <w:r w:rsidRPr="001C160D">
        <w:rPr>
          <w:rFonts w:ascii="Arial" w:hAnsi="Arial" w:cs="Arial"/>
          <w:sz w:val="21"/>
          <w:szCs w:val="21"/>
        </w:rPr>
        <w:t xml:space="preserve">La consulta es: La </w:t>
      </w:r>
      <w:r w:rsidRPr="0009232C">
        <w:rPr>
          <w:rFonts w:ascii="Arial" w:hAnsi="Arial" w:cs="Arial"/>
          <w:sz w:val="21"/>
          <w:szCs w:val="21"/>
        </w:rPr>
        <w:t xml:space="preserve">vigencia tiene que ser la misma para todos los integrantes o la vigencia puede ser diferente. Ejemplo. Capital de trabajo Integrante A acredita la mejor información financiera relacionando el año 2020, integrante B aporta la mejor información financiera relacionando el año 2019, integrante C aporta la mejor información financiera relacionado el 2018. ¿Es </w:t>
      </w:r>
      <w:proofErr w:type="spellStart"/>
      <w:r w:rsidRPr="0009232C">
        <w:rPr>
          <w:rFonts w:ascii="Arial" w:hAnsi="Arial" w:cs="Arial"/>
          <w:sz w:val="21"/>
          <w:szCs w:val="21"/>
        </w:rPr>
        <w:t>valido</w:t>
      </w:r>
      <w:proofErr w:type="spellEnd"/>
      <w:r w:rsidRPr="0009232C">
        <w:rPr>
          <w:rFonts w:ascii="Arial" w:hAnsi="Arial" w:cs="Arial"/>
          <w:sz w:val="21"/>
          <w:szCs w:val="21"/>
        </w:rPr>
        <w:t xml:space="preserve"> (sic) que el requisito se calcule con diferentes vigencias de cada uno de los integrantes o todos los integrantes tienen que aportar la información financiera de una misma anualidad, o sea, todos con 2020 o 2019 o 2018?»</w:t>
      </w:r>
    </w:p>
    <w:p w14:paraId="123B441C" w14:textId="77777777" w:rsidR="00362817" w:rsidRPr="00362817" w:rsidRDefault="00362817" w:rsidP="00362817">
      <w:pPr>
        <w:spacing w:after="0" w:line="276" w:lineRule="auto"/>
        <w:jc w:val="both"/>
        <w:rPr>
          <w:rFonts w:ascii="Arial" w:eastAsia="Calibri" w:hAnsi="Arial" w:cs="Arial"/>
          <w:color w:val="000000"/>
          <w:szCs w:val="24"/>
          <w:lang w:val="es-ES_tradnl" w:eastAsia="es-ES_tradnl"/>
        </w:rPr>
      </w:pPr>
    </w:p>
    <w:p w14:paraId="3567215F" w14:textId="77777777" w:rsidR="002004D4" w:rsidRPr="000C4CC7" w:rsidRDefault="002004D4" w:rsidP="002004D4">
      <w:pPr>
        <w:spacing w:line="276" w:lineRule="auto"/>
        <w:jc w:val="both"/>
        <w:rPr>
          <w:rFonts w:ascii="Arial" w:eastAsia="Calibri" w:hAnsi="Arial" w:cs="Arial"/>
          <w:color w:val="000000" w:themeColor="text1"/>
          <w:lang w:val="es-ES_tradnl"/>
        </w:rPr>
      </w:pPr>
      <w:r w:rsidRPr="000C4CC7">
        <w:rPr>
          <w:rFonts w:ascii="Arial" w:eastAsia="Calibri" w:hAnsi="Arial" w:cs="Arial"/>
          <w:color w:val="000000" w:themeColor="text1"/>
          <w:lang w:val="es-ES_tradnl"/>
        </w:rPr>
        <w:t>Por las razones expuestas en el presente oficio, teniendo en cuenta que el parágrafo transitorio del artículo 2.2.1.1.1.6.2 del Decreto 1082 del 2015 no realiza distinciones entre el proponente individual y plural, cuando la norma se refiere a que «</w:t>
      </w:r>
      <w:r w:rsidRPr="000C4CC7">
        <w:rPr>
          <w:rFonts w:ascii="Arial" w:hAnsi="Arial" w:cs="Arial"/>
          <w:lang w:val="es-ES_tradnl"/>
        </w:rPr>
        <w:t xml:space="preserve">[…] </w:t>
      </w:r>
      <w:r w:rsidRPr="000C4CC7">
        <w:rPr>
          <w:rFonts w:ascii="Arial" w:eastAsia="Calibri" w:hAnsi="Arial" w:cs="Arial"/>
          <w:color w:val="000000" w:themeColor="text1"/>
          <w:lang w:val="es-ES_tradnl"/>
        </w:rPr>
        <w:t xml:space="preserve">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lo explicado en el concepto. </w:t>
      </w:r>
    </w:p>
    <w:p w14:paraId="7C494F2A" w14:textId="0EDC5051" w:rsidR="001C160D" w:rsidRPr="001C160D" w:rsidRDefault="00035752" w:rsidP="002B2913">
      <w:pPr>
        <w:spacing w:after="120" w:line="276" w:lineRule="auto"/>
        <w:ind w:firstLine="709"/>
        <w:jc w:val="both"/>
        <w:rPr>
          <w:rFonts w:ascii="Arial" w:eastAsia="Calibri" w:hAnsi="Arial" w:cs="Arial"/>
          <w:color w:val="000000"/>
          <w:szCs w:val="24"/>
          <w:lang w:val="es-ES_tradnl" w:eastAsia="es-ES_tradnl"/>
        </w:rPr>
      </w:pPr>
      <w:r>
        <w:rPr>
          <w:rFonts w:ascii="Arial" w:eastAsia="Calibri" w:hAnsi="Arial" w:cs="Arial"/>
          <w:color w:val="000000" w:themeColor="text1"/>
          <w:lang w:val="es-ES_tradnl"/>
        </w:rPr>
        <w:t>Con todo, debe recordarse que p</w:t>
      </w:r>
      <w:r w:rsidRPr="000C4CC7">
        <w:rPr>
          <w:rFonts w:ascii="Arial" w:eastAsia="Calibri" w:hAnsi="Arial" w:cs="Arial"/>
          <w:color w:val="000000" w:themeColor="text1"/>
          <w:lang w:val="es-ES_tradnl"/>
        </w:rPr>
        <w:t>or «mejor año fiscal» se interpreta la información relativa a</w:t>
      </w:r>
      <w:r w:rsidR="00B201B8">
        <w:rPr>
          <w:rFonts w:ascii="Arial" w:eastAsia="Calibri" w:hAnsi="Arial" w:cs="Arial"/>
          <w:color w:val="000000" w:themeColor="text1"/>
          <w:lang w:val="es-ES_tradnl"/>
        </w:rPr>
        <w:t xml:space="preserve"> un</w:t>
      </w:r>
      <w:r w:rsidRPr="000C4CC7">
        <w:rPr>
          <w:rFonts w:ascii="Arial" w:eastAsia="Calibri" w:hAnsi="Arial" w:cs="Arial"/>
          <w:color w:val="000000" w:themeColor="text1"/>
          <w:lang w:val="es-ES_tradnl"/>
        </w:rPr>
        <w:t xml:space="preserve"> año </w:t>
      </w:r>
      <w:r w:rsidR="00B201B8">
        <w:rPr>
          <w:rFonts w:ascii="Arial" w:eastAsia="Calibri" w:hAnsi="Arial" w:cs="Arial"/>
          <w:color w:val="000000" w:themeColor="text1"/>
          <w:lang w:val="es-ES_tradnl"/>
        </w:rPr>
        <w:t xml:space="preserve">en particular que, </w:t>
      </w:r>
      <w:r w:rsidRPr="000C4CC7">
        <w:rPr>
          <w:rFonts w:ascii="Arial" w:eastAsia="Calibri" w:hAnsi="Arial" w:cs="Arial"/>
          <w:color w:val="000000" w:themeColor="text1"/>
          <w:lang w:val="es-ES_tradnl"/>
        </w:rPr>
        <w:t>apreciada en su conjunto, o sea, de manera integral, permit</w:t>
      </w:r>
      <w:r w:rsidR="00B201B8">
        <w:rPr>
          <w:rFonts w:ascii="Arial" w:eastAsia="Calibri" w:hAnsi="Arial" w:cs="Arial"/>
          <w:color w:val="000000" w:themeColor="text1"/>
          <w:lang w:val="es-ES_tradnl"/>
        </w:rPr>
        <w:t>e</w:t>
      </w:r>
      <w:r w:rsidRPr="000C4CC7">
        <w:rPr>
          <w:rFonts w:ascii="Arial" w:eastAsia="Calibri" w:hAnsi="Arial" w:cs="Arial"/>
          <w:color w:val="000000" w:themeColor="text1"/>
          <w:lang w:val="es-ES_tradnl"/>
        </w:rPr>
        <w:t xml:space="preserve"> al proponente</w:t>
      </w:r>
      <w:r w:rsidR="00B201B8">
        <w:rPr>
          <w:rFonts w:ascii="Arial" w:eastAsia="Calibri" w:hAnsi="Arial" w:cs="Arial"/>
          <w:color w:val="000000" w:themeColor="text1"/>
          <w:lang w:val="es-ES_tradnl"/>
        </w:rPr>
        <w:t xml:space="preserve"> o integrante del proponente plural</w:t>
      </w:r>
      <w:r w:rsidRPr="000C4CC7">
        <w:rPr>
          <w:rFonts w:ascii="Arial" w:eastAsia="Calibri" w:hAnsi="Arial" w:cs="Arial"/>
          <w:color w:val="000000" w:themeColor="text1"/>
          <w:lang w:val="es-ES_tradnl"/>
        </w:rPr>
        <w:t xml:space="preserve"> cumplir los requisitos habilitantes de capacidad financiera y organizacional. </w:t>
      </w:r>
      <w:r w:rsidR="00A449FC">
        <w:rPr>
          <w:rFonts w:ascii="Arial" w:eastAsia="Calibri" w:hAnsi="Arial" w:cs="Arial"/>
          <w:color w:val="000000" w:themeColor="text1"/>
          <w:lang w:val="es-ES_tradnl"/>
        </w:rPr>
        <w:t xml:space="preserve"> Esto significa que</w:t>
      </w:r>
      <w:r w:rsidR="001C160D" w:rsidRPr="001C160D">
        <w:rPr>
          <w:rFonts w:ascii="Arial" w:eastAsia="Calibri" w:hAnsi="Arial" w:cs="Arial"/>
          <w:color w:val="000000"/>
          <w:szCs w:val="24"/>
          <w:lang w:val="es-ES_tradnl" w:eastAsia="es-ES_tradnl"/>
        </w:rPr>
        <w:t xml:space="preserve">, los indicadores de cada integrante del proponente plural se </w:t>
      </w:r>
      <w:r w:rsidR="000B4981">
        <w:rPr>
          <w:rFonts w:ascii="Arial" w:eastAsia="Calibri" w:hAnsi="Arial" w:cs="Arial"/>
          <w:color w:val="000000"/>
          <w:szCs w:val="24"/>
          <w:lang w:val="es-ES_tradnl" w:eastAsia="es-ES_tradnl"/>
        </w:rPr>
        <w:t>evaluaran</w:t>
      </w:r>
      <w:r w:rsidR="001C160D" w:rsidRPr="001C160D">
        <w:rPr>
          <w:rFonts w:ascii="Arial" w:eastAsia="Calibri" w:hAnsi="Arial" w:cs="Arial"/>
          <w:color w:val="000000"/>
          <w:szCs w:val="24"/>
          <w:lang w:val="es-ES_tradnl" w:eastAsia="es-ES_tradnl"/>
        </w:rPr>
        <w:t xml:space="preserve"> dentro </w:t>
      </w:r>
      <w:r w:rsidR="000B4981">
        <w:rPr>
          <w:rFonts w:ascii="Arial" w:eastAsia="Calibri" w:hAnsi="Arial" w:cs="Arial"/>
          <w:color w:val="000000"/>
          <w:szCs w:val="24"/>
          <w:lang w:val="es-ES_tradnl" w:eastAsia="es-ES_tradnl"/>
        </w:rPr>
        <w:t>teniendo</w:t>
      </w:r>
      <w:r w:rsidR="001C160D" w:rsidRPr="001C160D">
        <w:rPr>
          <w:rFonts w:ascii="Arial" w:eastAsia="Calibri" w:hAnsi="Arial" w:cs="Arial"/>
          <w:color w:val="000000"/>
          <w:szCs w:val="24"/>
          <w:lang w:val="es-ES_tradnl" w:eastAsia="es-ES_tradnl"/>
        </w:rPr>
        <w:t xml:space="preserve"> </w:t>
      </w:r>
      <w:r w:rsidR="000B4981">
        <w:rPr>
          <w:rFonts w:ascii="Arial" w:eastAsia="Calibri" w:hAnsi="Arial" w:cs="Arial"/>
          <w:color w:val="000000"/>
          <w:szCs w:val="24"/>
          <w:lang w:val="es-ES_tradnl" w:eastAsia="es-ES_tradnl"/>
        </w:rPr>
        <w:t xml:space="preserve">en cuenta el </w:t>
      </w:r>
      <w:r w:rsidR="001C160D" w:rsidRPr="001C160D">
        <w:rPr>
          <w:rFonts w:ascii="Arial" w:eastAsia="Calibri" w:hAnsi="Arial" w:cs="Arial"/>
          <w:color w:val="000000"/>
          <w:szCs w:val="24"/>
          <w:lang w:val="es-ES_tradnl" w:eastAsia="es-ES_tradnl"/>
        </w:rPr>
        <w:t>mejor año fiscal que se identifique particularmente</w:t>
      </w:r>
      <w:r w:rsidR="000B4981">
        <w:rPr>
          <w:rFonts w:ascii="Arial" w:eastAsia="Calibri" w:hAnsi="Arial" w:cs="Arial"/>
          <w:color w:val="000000"/>
          <w:szCs w:val="24"/>
          <w:lang w:val="es-ES_tradnl" w:eastAsia="es-ES_tradnl"/>
        </w:rPr>
        <w:t xml:space="preserve"> para los integrantes</w:t>
      </w:r>
      <w:r w:rsidR="001C160D" w:rsidRPr="001C160D">
        <w:rPr>
          <w:rFonts w:ascii="Arial" w:eastAsia="Calibri" w:hAnsi="Arial" w:cs="Arial"/>
          <w:color w:val="000000"/>
          <w:szCs w:val="24"/>
          <w:lang w:val="es-ES_tradnl" w:eastAsia="es-ES_tradnl"/>
        </w:rPr>
        <w:t xml:space="preserve">, </w:t>
      </w:r>
      <w:r w:rsidR="00A449FC">
        <w:rPr>
          <w:rFonts w:ascii="Arial" w:eastAsia="Calibri" w:hAnsi="Arial" w:cs="Arial"/>
          <w:color w:val="000000"/>
          <w:szCs w:val="24"/>
          <w:lang w:val="es-ES_tradnl" w:eastAsia="es-ES_tradnl"/>
        </w:rPr>
        <w:t>ma</w:t>
      </w:r>
      <w:r w:rsidR="00560E80">
        <w:rPr>
          <w:rFonts w:ascii="Arial" w:eastAsia="Calibri" w:hAnsi="Arial" w:cs="Arial"/>
          <w:color w:val="000000"/>
          <w:szCs w:val="24"/>
          <w:lang w:val="es-ES_tradnl" w:eastAsia="es-ES_tradnl"/>
        </w:rPr>
        <w:t>s</w:t>
      </w:r>
      <w:r w:rsidR="001C160D" w:rsidRPr="001C160D">
        <w:rPr>
          <w:rFonts w:ascii="Arial" w:eastAsia="Calibri" w:hAnsi="Arial" w:cs="Arial"/>
          <w:color w:val="000000"/>
          <w:szCs w:val="24"/>
          <w:lang w:val="es-ES_tradnl" w:eastAsia="es-ES_tradnl"/>
        </w:rPr>
        <w:t xml:space="preserve"> no será viable mezclar indicadores de diferentes vigencias individualmente.</w:t>
      </w:r>
    </w:p>
    <w:p w14:paraId="1810E7A9" w14:textId="77777777" w:rsidR="002B2913" w:rsidRDefault="002B2913" w:rsidP="002B2913">
      <w:pPr>
        <w:spacing w:after="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En lo que respecta al capital de trabajo, este </w:t>
      </w:r>
      <w:r w:rsidRPr="00D274A9">
        <w:rPr>
          <w:rFonts w:ascii="Arial" w:eastAsia="Calibri" w:hAnsi="Arial" w:cs="Arial"/>
          <w:color w:val="000000" w:themeColor="text1"/>
          <w:lang w:val="es-ES_tradnl"/>
        </w:rPr>
        <w:t>no fue</w:t>
      </w:r>
      <w:r>
        <w:rPr>
          <w:rFonts w:ascii="Arial" w:eastAsia="Calibri" w:hAnsi="Arial" w:cs="Arial"/>
          <w:color w:val="000000" w:themeColor="text1"/>
          <w:lang w:val="es-ES_tradnl"/>
        </w:rPr>
        <w:t xml:space="preserve"> objeto de la regulación expresa prevista </w:t>
      </w:r>
      <w:r w:rsidRPr="00D274A9">
        <w:rPr>
          <w:rFonts w:ascii="Arial" w:eastAsia="Calibri" w:hAnsi="Arial" w:cs="Arial"/>
          <w:color w:val="000000" w:themeColor="text1"/>
          <w:lang w:val="es-ES_tradnl"/>
        </w:rPr>
        <w:t>en</w:t>
      </w:r>
      <w:r>
        <w:rPr>
          <w:rFonts w:ascii="Arial" w:eastAsia="Calibri" w:hAnsi="Arial" w:cs="Arial"/>
          <w:color w:val="000000" w:themeColor="text1"/>
          <w:lang w:val="es-ES_tradnl"/>
        </w:rPr>
        <w:t xml:space="preserve"> el</w:t>
      </w:r>
      <w:r w:rsidRPr="00D274A9">
        <w:rPr>
          <w:rFonts w:ascii="Arial" w:eastAsia="Calibri" w:hAnsi="Arial" w:cs="Arial"/>
          <w:color w:val="000000" w:themeColor="text1"/>
          <w:lang w:val="es-ES_tradnl"/>
        </w:rPr>
        <w:t xml:space="preserve"> Decreto 1082 de 2015,</w:t>
      </w:r>
      <w:r>
        <w:rPr>
          <w:rFonts w:ascii="Arial" w:eastAsia="Calibri" w:hAnsi="Arial" w:cs="Arial"/>
          <w:color w:val="000000" w:themeColor="text1"/>
          <w:lang w:val="es-ES_tradnl"/>
        </w:rPr>
        <w:t xml:space="preserve"> ni en los Decretos</w:t>
      </w:r>
      <w:r w:rsidRPr="00D274A9">
        <w:rPr>
          <w:rFonts w:ascii="Arial" w:eastAsia="Calibri" w:hAnsi="Arial" w:cs="Arial"/>
          <w:color w:val="000000" w:themeColor="text1"/>
          <w:lang w:val="es-ES_tradnl"/>
        </w:rPr>
        <w:t xml:space="preserve"> 399 y 579 de 2021, </w:t>
      </w:r>
      <w:r>
        <w:rPr>
          <w:rFonts w:ascii="Arial" w:eastAsia="Calibri" w:hAnsi="Arial" w:cs="Arial"/>
          <w:color w:val="000000" w:themeColor="text1"/>
          <w:lang w:val="es-ES_tradnl"/>
        </w:rPr>
        <w:t xml:space="preserve">por lo que su inclusión en un proceso depende de que la entidad lo considere pertinente, sin embargo, no será obligatorio para las entidades estatales aplicar el contenido de la citada normativa. </w:t>
      </w:r>
      <w:r w:rsidRPr="00D274A9">
        <w:rPr>
          <w:rFonts w:ascii="Arial" w:eastAsia="Calibri" w:hAnsi="Arial" w:cs="Arial"/>
          <w:color w:val="000000" w:themeColor="text1"/>
          <w:lang w:val="es-ES_tradnl"/>
        </w:rPr>
        <w:t>Sin perjuicio de lo anterior, las entidades en ejercicio de su autonomía</w:t>
      </w:r>
      <w:r>
        <w:rPr>
          <w:rFonts w:ascii="Arial" w:eastAsia="Calibri" w:hAnsi="Arial" w:cs="Arial"/>
          <w:color w:val="000000" w:themeColor="text1"/>
          <w:lang w:val="es-ES_tradnl"/>
        </w:rPr>
        <w:t xml:space="preserve"> pueden </w:t>
      </w:r>
      <w:r w:rsidRPr="00D274A9">
        <w:rPr>
          <w:rFonts w:ascii="Arial" w:eastAsia="Calibri" w:hAnsi="Arial" w:cs="Arial"/>
          <w:color w:val="000000" w:themeColor="text1"/>
          <w:lang w:val="es-ES_tradnl"/>
        </w:rPr>
        <w:t xml:space="preserve">incluir el </w:t>
      </w:r>
      <w:r w:rsidRPr="00D274A9">
        <w:rPr>
          <w:rFonts w:ascii="Arial" w:eastAsia="Calibri" w:hAnsi="Arial" w:cs="Arial"/>
          <w:color w:val="000000" w:themeColor="text1"/>
          <w:lang w:val="es-ES_tradnl"/>
        </w:rPr>
        <w:lastRenderedPageBreak/>
        <w:t>capital de trabajo como indicador adicional</w:t>
      </w:r>
      <w:r>
        <w:rPr>
          <w:rFonts w:ascii="Arial" w:eastAsia="Calibri" w:hAnsi="Arial" w:cs="Arial"/>
          <w:color w:val="000000" w:themeColor="text1"/>
          <w:lang w:val="es-ES_tradnl"/>
        </w:rPr>
        <w:t xml:space="preserve"> y también </w:t>
      </w:r>
      <w:r w:rsidRPr="00D274A9">
        <w:rPr>
          <w:rFonts w:ascii="Arial" w:eastAsia="Calibri" w:hAnsi="Arial" w:cs="Arial"/>
          <w:color w:val="000000" w:themeColor="text1"/>
          <w:lang w:val="es-ES_tradnl"/>
        </w:rPr>
        <w:t>acoger voluntariamente el concepto de «mejor año fiscal» para efectuar la evaluación de dicho indicador</w:t>
      </w:r>
      <w:r>
        <w:rPr>
          <w:rFonts w:ascii="Arial" w:eastAsia="Calibri" w:hAnsi="Arial" w:cs="Arial"/>
          <w:color w:val="000000" w:themeColor="text1"/>
          <w:lang w:val="es-ES_tradnl"/>
        </w:rPr>
        <w:t>, toda vez que</w:t>
      </w:r>
      <w:r w:rsidRPr="00C63114">
        <w:rPr>
          <w:rFonts w:ascii="Arial" w:eastAsia="Calibri" w:hAnsi="Arial" w:cs="Arial"/>
          <w:color w:val="000000" w:themeColor="text1"/>
          <w:lang w:val="es-ES_tradnl"/>
        </w:rPr>
        <w:t xml:space="preserve"> los factores estimados para el cálculo del capital de trabajo también han podido verse afectados por los mismos hechos que </w:t>
      </w:r>
      <w:r>
        <w:rPr>
          <w:rFonts w:ascii="Arial" w:eastAsia="Calibri" w:hAnsi="Arial" w:cs="Arial"/>
          <w:color w:val="000000" w:themeColor="text1"/>
          <w:lang w:val="es-ES_tradnl"/>
        </w:rPr>
        <w:t xml:space="preserve">incidieron en los demás indicadores de </w:t>
      </w:r>
      <w:r w:rsidRPr="00C63114">
        <w:rPr>
          <w:rFonts w:ascii="Arial" w:eastAsia="Calibri" w:hAnsi="Arial" w:cs="Arial"/>
          <w:color w:val="000000" w:themeColor="text1"/>
          <w:lang w:val="es-ES_tradnl"/>
        </w:rPr>
        <w:t xml:space="preserve">la capacidad financiera y de organización. </w:t>
      </w:r>
    </w:p>
    <w:p w14:paraId="5B93F5C4" w14:textId="71D86948" w:rsidR="002B2913" w:rsidRDefault="002B2913" w:rsidP="00B86920">
      <w:pPr>
        <w:spacing w:after="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En caso de que se </w:t>
      </w:r>
      <w:r w:rsidRPr="00186FE7">
        <w:rPr>
          <w:rFonts w:ascii="Arial" w:eastAsia="Calibri" w:hAnsi="Arial" w:cs="Arial"/>
          <w:color w:val="000000" w:themeColor="text1"/>
          <w:lang w:val="es-ES_tradnl"/>
        </w:rPr>
        <w:t>requier</w:t>
      </w:r>
      <w:r>
        <w:rPr>
          <w:rFonts w:ascii="Arial" w:eastAsia="Calibri" w:hAnsi="Arial" w:cs="Arial"/>
          <w:color w:val="000000" w:themeColor="text1"/>
          <w:lang w:val="es-ES_tradnl"/>
        </w:rPr>
        <w:t>a</w:t>
      </w:r>
      <w:r w:rsidRPr="00186FE7">
        <w:rPr>
          <w:rFonts w:ascii="Arial" w:eastAsia="Calibri" w:hAnsi="Arial" w:cs="Arial"/>
          <w:color w:val="000000" w:themeColor="text1"/>
          <w:lang w:val="es-ES_tradnl"/>
        </w:rPr>
        <w:t xml:space="preserve"> analizar el nivel de liquidez en términos absolutos</w:t>
      </w:r>
      <w:r>
        <w:rPr>
          <w:rFonts w:ascii="Arial" w:eastAsia="Calibri" w:hAnsi="Arial" w:cs="Arial"/>
          <w:color w:val="000000" w:themeColor="text1"/>
          <w:lang w:val="es-ES_tradnl"/>
        </w:rPr>
        <w:t xml:space="preserve">, esta Agencia ha recomendado la inclusión del capital de trabajo, </w:t>
      </w:r>
      <w:r w:rsidRPr="00186FE7">
        <w:rPr>
          <w:rFonts w:ascii="Arial" w:eastAsia="Calibri" w:hAnsi="Arial" w:cs="Arial"/>
          <w:color w:val="000000" w:themeColor="text1"/>
          <w:lang w:val="es-ES_tradnl"/>
        </w:rPr>
        <w:t>entendido como un indicador adicional de la capacidad financiera</w:t>
      </w:r>
      <w:r>
        <w:rPr>
          <w:rFonts w:ascii="Arial" w:eastAsia="Calibri" w:hAnsi="Arial" w:cs="Arial"/>
          <w:color w:val="000000" w:themeColor="text1"/>
          <w:lang w:val="es-ES_tradnl"/>
        </w:rPr>
        <w:t xml:space="preserve">. Sin embargo, corresponderá a las entidades estatales de acuerdo con el </w:t>
      </w:r>
      <w:r w:rsidRPr="00186FE7">
        <w:rPr>
          <w:rFonts w:ascii="Arial" w:eastAsia="Calibri" w:hAnsi="Arial" w:cs="Arial"/>
          <w:color w:val="000000" w:themeColor="text1"/>
          <w:lang w:val="es-ES_tradnl"/>
        </w:rPr>
        <w:t xml:space="preserve">análisis previo que </w:t>
      </w:r>
      <w:r>
        <w:rPr>
          <w:rFonts w:ascii="Arial" w:eastAsia="Calibri" w:hAnsi="Arial" w:cs="Arial"/>
          <w:color w:val="000000" w:themeColor="text1"/>
          <w:lang w:val="es-ES_tradnl"/>
        </w:rPr>
        <w:t xml:space="preserve">les </w:t>
      </w:r>
      <w:r w:rsidRPr="00186FE7">
        <w:rPr>
          <w:rFonts w:ascii="Arial" w:eastAsia="Calibri" w:hAnsi="Arial" w:cs="Arial"/>
          <w:color w:val="000000" w:themeColor="text1"/>
          <w:lang w:val="es-ES_tradnl"/>
        </w:rPr>
        <w:t>concierne</w:t>
      </w:r>
      <w:r>
        <w:rPr>
          <w:rFonts w:ascii="Arial" w:eastAsia="Calibri" w:hAnsi="Arial" w:cs="Arial"/>
          <w:color w:val="000000" w:themeColor="text1"/>
          <w:lang w:val="es-ES_tradnl"/>
        </w:rPr>
        <w:t xml:space="preserve">, decidir sobre su incorporación al proceso de selección, así como la forma en que efectuarán la evaluación de dicho indicador, determinando si tendrán en cuenta el último año reflejado en el RUP o si acogerán la noción de «mejor año fiscal» para su valoración, a modo de </w:t>
      </w:r>
      <w:r w:rsidRPr="00C63114">
        <w:rPr>
          <w:rFonts w:ascii="Arial" w:eastAsia="Calibri" w:hAnsi="Arial" w:cs="Arial"/>
          <w:color w:val="000000" w:themeColor="text1"/>
          <w:lang w:val="es-ES_tradnl"/>
        </w:rPr>
        <w:t>buena práctica contractua</w:t>
      </w:r>
      <w:r>
        <w:rPr>
          <w:rFonts w:ascii="Arial" w:eastAsia="Calibri" w:hAnsi="Arial" w:cs="Arial"/>
          <w:color w:val="000000" w:themeColor="text1"/>
          <w:lang w:val="es-ES_tradnl"/>
        </w:rPr>
        <w:t>l.</w:t>
      </w:r>
    </w:p>
    <w:p w14:paraId="5C7A1C48" w14:textId="77777777" w:rsidR="00362817" w:rsidRPr="00362817" w:rsidRDefault="00362817" w:rsidP="00B86920">
      <w:pPr>
        <w:spacing w:after="0" w:line="276" w:lineRule="auto"/>
        <w:ind w:firstLine="709"/>
        <w:jc w:val="both"/>
        <w:rPr>
          <w:rFonts w:ascii="Arial" w:eastAsia="Calibri" w:hAnsi="Arial" w:cs="Arial"/>
          <w:color w:val="000000"/>
          <w:szCs w:val="24"/>
          <w:lang w:val="es-ES_tradnl" w:eastAsia="es-ES_tradnl"/>
        </w:rPr>
      </w:pPr>
    </w:p>
    <w:p w14:paraId="539BDB29" w14:textId="77777777" w:rsidR="00362817" w:rsidRPr="00362817" w:rsidRDefault="00362817" w:rsidP="00362817">
      <w:pPr>
        <w:spacing w:after="0" w:line="276" w:lineRule="auto"/>
        <w:jc w:val="both"/>
        <w:rPr>
          <w:rFonts w:ascii="Arial" w:eastAsia="Calibri" w:hAnsi="Arial" w:cs="Arial"/>
          <w:color w:val="000000"/>
          <w:szCs w:val="24"/>
          <w:lang w:val="es-ES_tradnl" w:eastAsia="es-ES_tradnl"/>
        </w:rPr>
      </w:pPr>
      <w:r w:rsidRPr="00362817">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1D33880B" w14:textId="77777777" w:rsidR="00362817" w:rsidRPr="00362817" w:rsidRDefault="00362817" w:rsidP="00362817">
      <w:pPr>
        <w:spacing w:after="0" w:line="276" w:lineRule="auto"/>
        <w:ind w:firstLine="709"/>
        <w:jc w:val="both"/>
        <w:rPr>
          <w:rFonts w:ascii="Arial" w:eastAsia="Times New Roman" w:hAnsi="Arial" w:cs="Arial"/>
          <w:color w:val="000000"/>
          <w:lang w:val="es-ES_tradnl" w:eastAsia="es-CO"/>
        </w:rPr>
      </w:pPr>
    </w:p>
    <w:p w14:paraId="5CF6C0CC" w14:textId="36F9D802" w:rsidR="00362817" w:rsidRDefault="00362817" w:rsidP="00362817">
      <w:pPr>
        <w:spacing w:after="0" w:line="276" w:lineRule="auto"/>
        <w:jc w:val="both"/>
        <w:rPr>
          <w:rFonts w:ascii="Arial" w:eastAsia="Times New Roman" w:hAnsi="Arial" w:cs="Arial"/>
          <w:color w:val="000000"/>
          <w:lang w:val="es-ES_tradnl" w:eastAsia="es-CO"/>
        </w:rPr>
      </w:pPr>
      <w:r w:rsidRPr="00362817">
        <w:rPr>
          <w:rFonts w:ascii="Arial" w:eastAsia="Times New Roman" w:hAnsi="Arial" w:cs="Arial"/>
          <w:color w:val="000000"/>
          <w:lang w:val="es-ES_tradnl" w:eastAsia="es-CO"/>
        </w:rPr>
        <w:t>Atentamente,</w:t>
      </w:r>
    </w:p>
    <w:p w14:paraId="29E09893" w14:textId="2849FCB2" w:rsidR="00362817" w:rsidRDefault="00362817" w:rsidP="00362817">
      <w:pPr>
        <w:spacing w:after="0" w:line="276" w:lineRule="auto"/>
        <w:jc w:val="both"/>
        <w:rPr>
          <w:rFonts w:ascii="Arial" w:eastAsia="Times New Roman" w:hAnsi="Arial" w:cs="Arial"/>
          <w:color w:val="000000"/>
          <w:lang w:val="es-ES_tradnl" w:eastAsia="es-CO"/>
        </w:rPr>
      </w:pPr>
    </w:p>
    <w:p w14:paraId="39700278" w14:textId="05874C57" w:rsidR="00362817" w:rsidRPr="00362817" w:rsidRDefault="005B0AA5" w:rsidP="00362817">
      <w:pPr>
        <w:spacing w:after="0" w:line="276" w:lineRule="auto"/>
        <w:jc w:val="center"/>
        <w:rPr>
          <w:rFonts w:ascii="Arial" w:eastAsia="Times New Roman" w:hAnsi="Arial" w:cs="Arial"/>
          <w:color w:val="000000"/>
          <w:lang w:val="es-ES_tradnl" w:eastAsia="es-CO"/>
        </w:rPr>
      </w:pPr>
      <w:r>
        <w:rPr>
          <w:noProof/>
        </w:rPr>
        <w:drawing>
          <wp:inline distT="0" distB="0" distL="0" distR="0" wp14:anchorId="32886B71" wp14:editId="368E8C9E">
            <wp:extent cx="2247182" cy="983411"/>
            <wp:effectExtent l="0" t="0" r="1270" b="7620"/>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8"/>
                    <a:stretch>
                      <a:fillRect/>
                    </a:stretch>
                  </pic:blipFill>
                  <pic:spPr>
                    <a:xfrm>
                      <a:off x="0" y="0"/>
                      <a:ext cx="2262203" cy="989984"/>
                    </a:xfrm>
                    <a:prstGeom prst="rect">
                      <a:avLst/>
                    </a:prstGeom>
                  </pic:spPr>
                </pic:pic>
              </a:graphicData>
            </a:graphic>
          </wp:inline>
        </w:drawing>
      </w:r>
    </w:p>
    <w:p w14:paraId="014F31CC" w14:textId="77777777" w:rsidR="00362817" w:rsidRPr="00362817" w:rsidRDefault="00362817" w:rsidP="00362817">
      <w:pPr>
        <w:spacing w:after="0" w:line="276" w:lineRule="auto"/>
        <w:jc w:val="both"/>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62817" w:rsidRPr="00A95034" w14:paraId="261D9769" w14:textId="77777777" w:rsidTr="00323B4A">
        <w:trPr>
          <w:trHeight w:val="315"/>
        </w:trPr>
        <w:tc>
          <w:tcPr>
            <w:tcW w:w="812" w:type="dxa"/>
            <w:vAlign w:val="center"/>
            <w:hideMark/>
          </w:tcPr>
          <w:p w14:paraId="5E40FEDA"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Elaboró:</w:t>
            </w:r>
          </w:p>
        </w:tc>
        <w:tc>
          <w:tcPr>
            <w:tcW w:w="4413" w:type="dxa"/>
            <w:tcBorders>
              <w:top w:val="nil"/>
              <w:left w:val="nil"/>
              <w:bottom w:val="dotted" w:sz="4" w:space="0" w:color="7F7F7F"/>
              <w:right w:val="nil"/>
            </w:tcBorders>
            <w:vAlign w:val="center"/>
            <w:hideMark/>
          </w:tcPr>
          <w:p w14:paraId="7E7DD3B9"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Carlos Mario Castrillón Endo</w:t>
            </w:r>
          </w:p>
          <w:p w14:paraId="3C305AF1"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Contratista de la Subdirección de Gestión Contractual</w:t>
            </w:r>
          </w:p>
        </w:tc>
      </w:tr>
      <w:tr w:rsidR="00362817" w:rsidRPr="00A95034" w14:paraId="3568ECC8" w14:textId="77777777" w:rsidTr="00323B4A">
        <w:trPr>
          <w:trHeight w:val="330"/>
        </w:trPr>
        <w:tc>
          <w:tcPr>
            <w:tcW w:w="812" w:type="dxa"/>
            <w:vAlign w:val="center"/>
            <w:hideMark/>
          </w:tcPr>
          <w:p w14:paraId="58465209"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Revisó:</w:t>
            </w:r>
          </w:p>
        </w:tc>
        <w:tc>
          <w:tcPr>
            <w:tcW w:w="4413" w:type="dxa"/>
            <w:tcBorders>
              <w:top w:val="dotted" w:sz="4" w:space="0" w:color="7F7F7F"/>
              <w:left w:val="nil"/>
              <w:bottom w:val="dotted" w:sz="4" w:space="0" w:color="7F7F7F"/>
              <w:right w:val="nil"/>
            </w:tcBorders>
            <w:vAlign w:val="center"/>
            <w:hideMark/>
          </w:tcPr>
          <w:p w14:paraId="517989A7" w14:textId="676AFC2E" w:rsidR="00362817" w:rsidRDefault="00362817" w:rsidP="00323B4A">
            <w:pPr>
              <w:rPr>
                <w:rFonts w:ascii="Arial" w:eastAsia="Calibri" w:hAnsi="Arial" w:cs="Arial"/>
                <w:color w:val="000000"/>
                <w:sz w:val="16"/>
                <w:szCs w:val="16"/>
                <w:lang w:val="es-ES_tradnl" w:eastAsia="es-ES"/>
              </w:rPr>
            </w:pPr>
            <w:r>
              <w:rPr>
                <w:rFonts w:ascii="Arial" w:eastAsia="Calibri" w:hAnsi="Arial" w:cs="Arial"/>
                <w:color w:val="000000"/>
                <w:sz w:val="16"/>
                <w:szCs w:val="16"/>
                <w:lang w:val="es-ES_tradnl" w:eastAsia="es-ES"/>
              </w:rPr>
              <w:t xml:space="preserve">Alejandro Sarmiento Cantillo </w:t>
            </w:r>
          </w:p>
          <w:p w14:paraId="76F879E3" w14:textId="163384C7" w:rsidR="00362817" w:rsidRPr="00A95034" w:rsidRDefault="00362817" w:rsidP="00323B4A">
            <w:pPr>
              <w:rPr>
                <w:rFonts w:ascii="Arial" w:eastAsia="Times New Roman" w:hAnsi="Arial" w:cs="Arial"/>
                <w:sz w:val="16"/>
                <w:szCs w:val="16"/>
                <w:lang w:val="es-MX" w:eastAsia="es-ES"/>
              </w:rPr>
            </w:pPr>
            <w:r w:rsidRPr="00A95034">
              <w:rPr>
                <w:rFonts w:ascii="Arial" w:eastAsia="Calibri" w:hAnsi="Arial" w:cs="Arial"/>
                <w:color w:val="000000"/>
                <w:sz w:val="16"/>
                <w:szCs w:val="16"/>
                <w:lang w:val="es-ES_tradnl" w:eastAsia="es-ES"/>
              </w:rPr>
              <w:t xml:space="preserve">Gestor T1-15 </w:t>
            </w:r>
            <w:r w:rsidRPr="00A95034">
              <w:rPr>
                <w:rFonts w:ascii="Arial" w:eastAsia="Times New Roman" w:hAnsi="Arial" w:cs="Arial"/>
                <w:sz w:val="16"/>
                <w:szCs w:val="16"/>
                <w:lang w:val="es-MX" w:eastAsia="es-ES"/>
              </w:rPr>
              <w:t>Subdirección de Gestión Contractual</w:t>
            </w:r>
          </w:p>
        </w:tc>
      </w:tr>
      <w:tr w:rsidR="00362817" w:rsidRPr="00A95034" w14:paraId="19978D0B" w14:textId="77777777" w:rsidTr="00323B4A">
        <w:trPr>
          <w:trHeight w:val="300"/>
        </w:trPr>
        <w:tc>
          <w:tcPr>
            <w:tcW w:w="812" w:type="dxa"/>
            <w:vAlign w:val="center"/>
            <w:hideMark/>
          </w:tcPr>
          <w:p w14:paraId="15507D1D"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Aprobó:</w:t>
            </w:r>
          </w:p>
        </w:tc>
        <w:tc>
          <w:tcPr>
            <w:tcW w:w="4413" w:type="dxa"/>
            <w:tcBorders>
              <w:top w:val="dotted" w:sz="4" w:space="0" w:color="7F7F7F"/>
              <w:left w:val="nil"/>
              <w:bottom w:val="dotted" w:sz="4" w:space="0" w:color="7F7F7F"/>
              <w:right w:val="nil"/>
            </w:tcBorders>
            <w:vAlign w:val="center"/>
            <w:hideMark/>
          </w:tcPr>
          <w:p w14:paraId="4BDC8DD0"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Jorge Augusto Tirado Navarro</w:t>
            </w:r>
          </w:p>
          <w:p w14:paraId="67393AF4" w14:textId="77777777" w:rsidR="00362817" w:rsidRPr="00A95034" w:rsidRDefault="00362817" w:rsidP="00323B4A">
            <w:pPr>
              <w:rPr>
                <w:rFonts w:ascii="Arial" w:eastAsia="Times New Roman" w:hAnsi="Arial" w:cs="Arial"/>
                <w:sz w:val="16"/>
                <w:szCs w:val="16"/>
                <w:lang w:val="es-MX" w:eastAsia="es-ES"/>
              </w:rPr>
            </w:pPr>
            <w:r w:rsidRPr="00A95034">
              <w:rPr>
                <w:rFonts w:ascii="Arial" w:eastAsia="Times New Roman" w:hAnsi="Arial" w:cs="Arial"/>
                <w:sz w:val="16"/>
                <w:szCs w:val="16"/>
                <w:lang w:val="es-MX" w:eastAsia="es-ES"/>
              </w:rPr>
              <w:t>Subdirector de Gestión Contractual</w:t>
            </w:r>
          </w:p>
        </w:tc>
      </w:tr>
    </w:tbl>
    <w:p w14:paraId="660A8FC6" w14:textId="77777777" w:rsidR="00362817" w:rsidRPr="00A95034" w:rsidRDefault="00362817" w:rsidP="00362817">
      <w:pPr>
        <w:spacing w:after="0" w:line="240" w:lineRule="auto"/>
        <w:rPr>
          <w:sz w:val="24"/>
          <w:lang w:val="es-MX"/>
        </w:rPr>
      </w:pPr>
    </w:p>
    <w:p w14:paraId="590FFE0C" w14:textId="77777777" w:rsidR="00362817" w:rsidRPr="00362817" w:rsidRDefault="00362817" w:rsidP="00362817">
      <w:pPr>
        <w:spacing w:after="0" w:line="240" w:lineRule="auto"/>
        <w:rPr>
          <w:sz w:val="24"/>
          <w:lang w:val="es-MX"/>
        </w:rPr>
      </w:pPr>
    </w:p>
    <w:p w14:paraId="5591F437" w14:textId="77777777" w:rsidR="00362817" w:rsidRPr="00362817" w:rsidRDefault="00362817" w:rsidP="00362817">
      <w:pPr>
        <w:spacing w:after="0" w:line="240" w:lineRule="auto"/>
        <w:rPr>
          <w:sz w:val="24"/>
          <w:lang w:val="es-MX"/>
        </w:rPr>
      </w:pPr>
    </w:p>
    <w:bookmarkEnd w:id="2"/>
    <w:p w14:paraId="33C1B6A6" w14:textId="77777777" w:rsidR="00FB347B" w:rsidRDefault="00FB347B"/>
    <w:sectPr w:rsidR="00FB347B" w:rsidSect="0043588C">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3C07" w14:textId="77777777" w:rsidR="00B65C70" w:rsidRDefault="00B65C70" w:rsidP="00362817">
      <w:pPr>
        <w:spacing w:after="0" w:line="240" w:lineRule="auto"/>
      </w:pPr>
      <w:r>
        <w:separator/>
      </w:r>
    </w:p>
  </w:endnote>
  <w:endnote w:type="continuationSeparator" w:id="0">
    <w:p w14:paraId="14380B34" w14:textId="77777777" w:rsidR="00B65C70" w:rsidRDefault="00B65C70" w:rsidP="0036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B913" w14:textId="77777777" w:rsidR="00C11BCD" w:rsidRPr="00D36E83" w:rsidRDefault="001C160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09EEF648" w14:textId="77777777" w:rsidR="00C11BCD" w:rsidRDefault="001C160D" w:rsidP="0043588C">
    <w:pPr>
      <w:pStyle w:val="Piedepgina"/>
      <w:jc w:val="center"/>
      <w:rPr>
        <w:lang w:val="es-ES"/>
      </w:rPr>
    </w:pPr>
    <w:r>
      <w:rPr>
        <w:noProof/>
        <w:lang w:val="en-US"/>
      </w:rPr>
      <w:drawing>
        <wp:inline distT="0" distB="0" distL="0" distR="0" wp14:anchorId="53E1A7C4" wp14:editId="12EDDD1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F6ADC9B" w14:textId="77777777" w:rsidR="00C11BCD" w:rsidRPr="00E756AC" w:rsidRDefault="00F67581" w:rsidP="0043588C">
    <w:pPr>
      <w:pStyle w:val="Piedepgina"/>
      <w:jc w:val="center"/>
      <w:rPr>
        <w:sz w:val="18"/>
        <w:szCs w:val="18"/>
        <w:lang w:val="es-ES"/>
      </w:rPr>
    </w:pPr>
  </w:p>
  <w:p w14:paraId="319E05D8" w14:textId="77777777" w:rsidR="00C11BCD" w:rsidRPr="00E756AC" w:rsidRDefault="00F67581"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A723" w14:textId="77777777" w:rsidR="00B65C70" w:rsidRDefault="00B65C70" w:rsidP="00362817">
      <w:pPr>
        <w:spacing w:after="0" w:line="240" w:lineRule="auto"/>
      </w:pPr>
      <w:r>
        <w:separator/>
      </w:r>
    </w:p>
  </w:footnote>
  <w:footnote w:type="continuationSeparator" w:id="0">
    <w:p w14:paraId="1C2C53A4" w14:textId="77777777" w:rsidR="00B65C70" w:rsidRDefault="00B65C70" w:rsidP="00362817">
      <w:pPr>
        <w:spacing w:after="0" w:line="240" w:lineRule="auto"/>
      </w:pPr>
      <w:r>
        <w:continuationSeparator/>
      </w:r>
    </w:p>
  </w:footnote>
  <w:footnote w:id="1">
    <w:p w14:paraId="7F510B5B" w14:textId="77777777" w:rsidR="00362817" w:rsidRPr="00B86920" w:rsidRDefault="00362817" w:rsidP="00362817">
      <w:pPr>
        <w:pStyle w:val="Textonotapie"/>
        <w:ind w:firstLine="709"/>
        <w:jc w:val="both"/>
        <w:rPr>
          <w:rFonts w:ascii="Arial" w:hAnsi="Arial" w:cs="Arial"/>
          <w:color w:val="000000" w:themeColor="text1"/>
          <w:sz w:val="18"/>
          <w:szCs w:val="18"/>
        </w:rPr>
      </w:pPr>
      <w:r w:rsidRPr="00B86920">
        <w:rPr>
          <w:rStyle w:val="Refdenotaalpie"/>
          <w:rFonts w:ascii="Arial" w:hAnsi="Arial" w:cs="Arial"/>
          <w:sz w:val="18"/>
          <w:szCs w:val="18"/>
        </w:rPr>
        <w:footnoteRef/>
      </w:r>
      <w:r w:rsidRPr="00B86920">
        <w:rPr>
          <w:rFonts w:ascii="Arial" w:hAnsi="Arial" w:cs="Arial"/>
          <w:sz w:val="18"/>
          <w:szCs w:val="18"/>
        </w:rPr>
        <w:t xml:space="preserve"> Estos conceptos </w:t>
      </w:r>
      <w:r w:rsidRPr="00B86920">
        <w:rPr>
          <w:rFonts w:ascii="Arial" w:hAnsi="Arial" w:cs="Arial"/>
          <w:sz w:val="18"/>
          <w:szCs w:val="18"/>
          <w:lang w:val="es-ES_tradnl"/>
        </w:rPr>
        <w:t xml:space="preserve">se encuentran publicados en la relatoría de la entidad. </w:t>
      </w:r>
      <w:hyperlink r:id="rId1" w:history="1">
        <w:r w:rsidRPr="00B86920">
          <w:rPr>
            <w:rStyle w:val="Hipervnculo"/>
            <w:rFonts w:ascii="Arial" w:hAnsi="Arial" w:cs="Arial"/>
            <w:color w:val="000000" w:themeColor="text1"/>
            <w:sz w:val="18"/>
            <w:szCs w:val="18"/>
          </w:rPr>
          <w:t>https://relatoria.colombiacompra.gov.co/busqueda/conceptos</w:t>
        </w:r>
      </w:hyperlink>
    </w:p>
    <w:p w14:paraId="632D997E" w14:textId="77777777" w:rsidR="00362817" w:rsidRPr="00B86920" w:rsidRDefault="00362817" w:rsidP="00362817">
      <w:pPr>
        <w:pStyle w:val="Textonotapie"/>
        <w:rPr>
          <w:rFonts w:ascii="Arial" w:hAnsi="Arial" w:cs="Arial"/>
          <w:sz w:val="18"/>
          <w:szCs w:val="18"/>
          <w:lang w:val="es-ES"/>
        </w:rPr>
      </w:pPr>
    </w:p>
  </w:footnote>
  <w:footnote w:id="2">
    <w:p w14:paraId="6766654A" w14:textId="77777777" w:rsidR="00362817" w:rsidRPr="00B86920" w:rsidRDefault="00362817" w:rsidP="00362817">
      <w:pPr>
        <w:pStyle w:val="Textonotapie"/>
        <w:ind w:firstLine="709"/>
        <w:jc w:val="both"/>
        <w:rPr>
          <w:rFonts w:ascii="Arial" w:hAnsi="Arial" w:cs="Arial"/>
          <w:sz w:val="18"/>
          <w:szCs w:val="18"/>
        </w:rPr>
      </w:pPr>
      <w:r w:rsidRPr="00B86920">
        <w:rPr>
          <w:rStyle w:val="Refdenotaalpie"/>
          <w:rFonts w:ascii="Arial" w:hAnsi="Arial" w:cs="Arial"/>
          <w:sz w:val="18"/>
          <w:szCs w:val="18"/>
        </w:rPr>
        <w:footnoteRef/>
      </w:r>
      <w:r w:rsidRPr="00B86920">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B86920">
        <w:rPr>
          <w:rFonts w:ascii="Arial" w:hAnsi="Arial" w:cs="Arial"/>
          <w:sz w:val="18"/>
          <w:szCs w:val="18"/>
        </w:rPr>
        <w:t>equivalentes,</w:t>
      </w:r>
      <w:proofErr w:type="gramEnd"/>
      <w:r w:rsidRPr="00B86920">
        <w:rPr>
          <w:rFonts w:ascii="Arial" w:hAnsi="Arial" w:cs="Arial"/>
          <w:sz w:val="18"/>
          <w:szCs w:val="18"/>
        </w:rPr>
        <w:t xml:space="preserve"> tendrán en cuenta los siguientes criterios:</w:t>
      </w:r>
    </w:p>
    <w:p w14:paraId="5E48C503" w14:textId="77777777" w:rsidR="00362817" w:rsidRPr="00B86920" w:rsidRDefault="00362817" w:rsidP="00362817">
      <w:pPr>
        <w:pStyle w:val="Textonotapie"/>
        <w:ind w:firstLine="709"/>
        <w:jc w:val="both"/>
        <w:rPr>
          <w:rFonts w:ascii="Arial" w:hAnsi="Arial" w:cs="Arial"/>
          <w:sz w:val="18"/>
          <w:szCs w:val="18"/>
        </w:rPr>
      </w:pPr>
      <w:r w:rsidRPr="00B86920">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8BAEAF8" w14:textId="77777777" w:rsidR="00362817" w:rsidRPr="00B86920" w:rsidRDefault="00362817" w:rsidP="00362817">
      <w:pPr>
        <w:pStyle w:val="Textonotapie"/>
        <w:ind w:firstLine="709"/>
        <w:jc w:val="both"/>
        <w:rPr>
          <w:rFonts w:ascii="Arial" w:hAnsi="Arial" w:cs="Arial"/>
          <w:sz w:val="18"/>
          <w:szCs w:val="18"/>
        </w:rPr>
      </w:pPr>
      <w:r w:rsidRPr="00B86920">
        <w:rPr>
          <w:rFonts w:ascii="Arial" w:hAnsi="Arial" w:cs="Arial"/>
          <w:sz w:val="18"/>
          <w:szCs w:val="18"/>
        </w:rPr>
        <w:t>»[...]».</w:t>
      </w:r>
    </w:p>
    <w:p w14:paraId="25D4EEA2" w14:textId="77777777" w:rsidR="00362817" w:rsidRPr="00B86920" w:rsidRDefault="00362817" w:rsidP="00362817">
      <w:pPr>
        <w:pStyle w:val="Textonotapie"/>
        <w:jc w:val="both"/>
        <w:rPr>
          <w:rFonts w:ascii="Arial" w:hAnsi="Arial" w:cs="Arial"/>
          <w:sz w:val="18"/>
          <w:szCs w:val="18"/>
          <w:lang w:val="es-ES"/>
        </w:rPr>
      </w:pPr>
    </w:p>
  </w:footnote>
  <w:footnote w:id="3">
    <w:p w14:paraId="74D37BB7" w14:textId="77777777" w:rsidR="00362817" w:rsidRPr="00B86920" w:rsidRDefault="00362817" w:rsidP="00362817">
      <w:pPr>
        <w:pStyle w:val="Textonotapie"/>
        <w:ind w:firstLine="709"/>
        <w:jc w:val="both"/>
        <w:rPr>
          <w:rFonts w:ascii="Arial" w:hAnsi="Arial" w:cs="Arial"/>
          <w:sz w:val="18"/>
          <w:szCs w:val="18"/>
        </w:rPr>
      </w:pPr>
      <w:r w:rsidRPr="00B86920">
        <w:rPr>
          <w:rStyle w:val="Refdenotaalpie"/>
          <w:rFonts w:ascii="Arial" w:hAnsi="Arial" w:cs="Arial"/>
          <w:sz w:val="18"/>
          <w:szCs w:val="18"/>
        </w:rPr>
        <w:footnoteRef/>
      </w:r>
      <w:r w:rsidRPr="00B86920">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03E0487" w14:textId="77777777" w:rsidR="00362817" w:rsidRPr="00B86920" w:rsidRDefault="00362817" w:rsidP="00362817">
      <w:pPr>
        <w:pStyle w:val="Textonotapie"/>
        <w:jc w:val="both"/>
        <w:rPr>
          <w:rFonts w:ascii="Arial" w:hAnsi="Arial" w:cs="Arial"/>
          <w:sz w:val="18"/>
          <w:szCs w:val="18"/>
          <w:lang w:val="es-ES"/>
        </w:rPr>
      </w:pPr>
    </w:p>
  </w:footnote>
  <w:footnote w:id="4">
    <w:p w14:paraId="1640A25C" w14:textId="77777777" w:rsidR="00362817" w:rsidRPr="00B86920" w:rsidRDefault="00362817" w:rsidP="00362817">
      <w:pPr>
        <w:pStyle w:val="Textonotapie"/>
        <w:ind w:firstLine="709"/>
        <w:jc w:val="both"/>
        <w:rPr>
          <w:rFonts w:ascii="Arial" w:hAnsi="Arial" w:cs="Arial"/>
          <w:sz w:val="18"/>
          <w:szCs w:val="18"/>
          <w:lang w:val="es-ES"/>
        </w:rPr>
      </w:pPr>
      <w:r w:rsidRPr="00B86920">
        <w:rPr>
          <w:rStyle w:val="Refdenotaalpie"/>
          <w:rFonts w:ascii="Arial" w:hAnsi="Arial" w:cs="Arial"/>
          <w:sz w:val="18"/>
          <w:szCs w:val="18"/>
        </w:rPr>
        <w:footnoteRef/>
      </w:r>
      <w:r w:rsidRPr="00B86920">
        <w:rPr>
          <w:rFonts w:ascii="Arial" w:hAnsi="Arial" w:cs="Arial"/>
          <w:sz w:val="18"/>
          <w:szCs w:val="18"/>
        </w:rPr>
        <w:t xml:space="preserve"> </w:t>
      </w:r>
      <w:r w:rsidRPr="00B86920">
        <w:rPr>
          <w:rFonts w:ascii="Arial" w:hAnsi="Arial" w:cs="Arial"/>
          <w:sz w:val="18"/>
          <w:szCs w:val="18"/>
          <w:lang w:val="es-ES"/>
        </w:rPr>
        <w:t>Disponible en:</w:t>
      </w:r>
    </w:p>
    <w:p w14:paraId="48A16BE1"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https://www.colombiacompra.gov.co/sites/cce_public/files/cce_documents/cce_manual_requisitos_habilitantes.pdf</w:t>
      </w:r>
    </w:p>
  </w:footnote>
  <w:footnote w:id="5">
    <w:p w14:paraId="73B46303" w14:textId="77777777" w:rsidR="00362817" w:rsidRPr="00B86920" w:rsidRDefault="00362817" w:rsidP="00362817">
      <w:pPr>
        <w:pStyle w:val="Textonotapie"/>
        <w:ind w:firstLine="709"/>
        <w:jc w:val="both"/>
        <w:rPr>
          <w:rFonts w:ascii="Arial" w:hAnsi="Arial" w:cs="Arial"/>
          <w:sz w:val="18"/>
          <w:szCs w:val="18"/>
          <w:lang w:val="es-ES"/>
        </w:rPr>
      </w:pPr>
    </w:p>
    <w:p w14:paraId="6A4766D8" w14:textId="77777777" w:rsidR="00362817" w:rsidRPr="00B86920" w:rsidRDefault="00362817" w:rsidP="00362817">
      <w:pPr>
        <w:pStyle w:val="Textonotapie"/>
        <w:ind w:firstLine="709"/>
        <w:jc w:val="both"/>
        <w:rPr>
          <w:rFonts w:ascii="Arial" w:hAnsi="Arial" w:cs="Arial"/>
          <w:sz w:val="18"/>
          <w:szCs w:val="18"/>
          <w:lang w:val="es-ES"/>
        </w:rPr>
      </w:pPr>
      <w:r w:rsidRPr="00B86920">
        <w:rPr>
          <w:rStyle w:val="Refdenotaalpie"/>
          <w:rFonts w:ascii="Arial" w:hAnsi="Arial" w:cs="Arial"/>
          <w:sz w:val="18"/>
          <w:szCs w:val="18"/>
        </w:rPr>
        <w:footnoteRef/>
      </w:r>
      <w:r w:rsidRPr="00B86920">
        <w:rPr>
          <w:rFonts w:ascii="Arial" w:hAnsi="Arial" w:cs="Arial"/>
          <w:sz w:val="18"/>
          <w:szCs w:val="18"/>
        </w:rPr>
        <w:t xml:space="preserve"> </w:t>
      </w:r>
      <w:proofErr w:type="spellStart"/>
      <w:r w:rsidRPr="00B86920">
        <w:rPr>
          <w:rFonts w:ascii="Arial" w:hAnsi="Arial" w:cs="Arial"/>
          <w:sz w:val="18"/>
          <w:szCs w:val="18"/>
          <w:lang w:val="es-ES"/>
        </w:rPr>
        <w:t>Ibíd</w:t>
      </w:r>
      <w:proofErr w:type="spellEnd"/>
      <w:r w:rsidRPr="00B86920">
        <w:rPr>
          <w:rFonts w:ascii="Arial" w:hAnsi="Arial" w:cs="Arial"/>
          <w:sz w:val="18"/>
          <w:szCs w:val="18"/>
          <w:lang w:val="es-ES"/>
        </w:rPr>
        <w:t>.</w:t>
      </w:r>
    </w:p>
  </w:footnote>
  <w:footnote w:id="6">
    <w:p w14:paraId="504156F1" w14:textId="77777777" w:rsidR="00362817" w:rsidRPr="00B86920" w:rsidRDefault="00362817" w:rsidP="00362817">
      <w:pPr>
        <w:pStyle w:val="Textonotapie"/>
        <w:jc w:val="both"/>
        <w:rPr>
          <w:rFonts w:ascii="Arial" w:hAnsi="Arial" w:cs="Arial"/>
          <w:sz w:val="18"/>
          <w:szCs w:val="18"/>
        </w:rPr>
      </w:pPr>
    </w:p>
    <w:p w14:paraId="75B139A8" w14:textId="77777777" w:rsidR="00362817" w:rsidRPr="00B86920" w:rsidRDefault="00362817" w:rsidP="00362817">
      <w:pPr>
        <w:pStyle w:val="Textonotapie"/>
        <w:ind w:firstLine="709"/>
        <w:jc w:val="both"/>
        <w:rPr>
          <w:rFonts w:ascii="Arial" w:hAnsi="Arial" w:cs="Arial"/>
          <w:sz w:val="18"/>
          <w:szCs w:val="18"/>
        </w:rPr>
      </w:pPr>
      <w:r w:rsidRPr="00B86920">
        <w:rPr>
          <w:rStyle w:val="Refdenotaalpie"/>
          <w:rFonts w:ascii="Arial" w:hAnsi="Arial" w:cs="Arial"/>
          <w:sz w:val="18"/>
          <w:szCs w:val="18"/>
        </w:rPr>
        <w:footnoteRef/>
      </w:r>
      <w:r w:rsidRPr="00B86920">
        <w:rPr>
          <w:rFonts w:ascii="Arial" w:hAnsi="Arial" w:cs="Arial"/>
          <w:sz w:val="18"/>
          <w:szCs w:val="18"/>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2AFDE7A1" w14:textId="77777777" w:rsidR="00362817" w:rsidRPr="00B86920" w:rsidRDefault="00362817" w:rsidP="00362817">
      <w:pPr>
        <w:pStyle w:val="Textonotapie"/>
        <w:jc w:val="both"/>
        <w:rPr>
          <w:rFonts w:ascii="Arial" w:hAnsi="Arial" w:cs="Arial"/>
          <w:sz w:val="18"/>
          <w:szCs w:val="18"/>
        </w:rPr>
      </w:pPr>
      <w:r w:rsidRPr="00B86920">
        <w:rPr>
          <w:rFonts w:ascii="Arial" w:hAnsi="Arial" w:cs="Arial"/>
          <w:sz w:val="18"/>
          <w:szCs w:val="18"/>
        </w:rPr>
        <w:t>«Las Entidades Estatales no deben limitarse a determinar y aplicar de forma mecánica fórmulas financieras para determinar los indicadores. Deben conocer cada indicador, sus fórmulas de cálculo y su interpretación».</w:t>
      </w:r>
    </w:p>
  </w:footnote>
  <w:footnote w:id="7">
    <w:p w14:paraId="69ABE03B" w14:textId="77777777" w:rsidR="00362817" w:rsidRPr="00B86920" w:rsidRDefault="00362817" w:rsidP="00362817">
      <w:pPr>
        <w:pStyle w:val="Textonotapie"/>
        <w:jc w:val="both"/>
        <w:rPr>
          <w:rFonts w:ascii="Arial" w:hAnsi="Arial" w:cs="Arial"/>
          <w:sz w:val="18"/>
          <w:szCs w:val="18"/>
        </w:rPr>
      </w:pPr>
    </w:p>
    <w:p w14:paraId="01C621FC" w14:textId="77777777" w:rsidR="00362817" w:rsidRPr="00B86920" w:rsidRDefault="00362817" w:rsidP="00362817">
      <w:pPr>
        <w:pStyle w:val="Textonotapie"/>
        <w:ind w:firstLine="709"/>
        <w:jc w:val="both"/>
        <w:rPr>
          <w:rFonts w:ascii="Arial" w:hAnsi="Arial" w:cs="Arial"/>
          <w:sz w:val="18"/>
          <w:szCs w:val="18"/>
          <w:lang w:val="es-ES"/>
        </w:rPr>
      </w:pPr>
      <w:r w:rsidRPr="00B86920">
        <w:rPr>
          <w:rStyle w:val="Refdenotaalpie"/>
          <w:rFonts w:ascii="Arial" w:hAnsi="Arial" w:cs="Arial"/>
          <w:sz w:val="18"/>
          <w:szCs w:val="18"/>
        </w:rPr>
        <w:footnoteRef/>
      </w:r>
      <w:r w:rsidRPr="00B86920">
        <w:rPr>
          <w:rFonts w:ascii="Arial" w:hAnsi="Arial" w:cs="Arial"/>
          <w:sz w:val="18"/>
          <w:szCs w:val="18"/>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29127F43" w14:textId="77777777" w:rsidR="00362817" w:rsidRPr="00B86920" w:rsidRDefault="00362817" w:rsidP="00362817">
      <w:pPr>
        <w:pStyle w:val="Textonotapie"/>
        <w:jc w:val="both"/>
        <w:rPr>
          <w:rFonts w:ascii="Arial" w:hAnsi="Arial" w:cs="Arial"/>
          <w:sz w:val="18"/>
          <w:szCs w:val="18"/>
        </w:rPr>
      </w:pPr>
    </w:p>
    <w:p w14:paraId="45A90874" w14:textId="77777777" w:rsidR="00362817" w:rsidRPr="00B86920" w:rsidRDefault="00362817" w:rsidP="00362817">
      <w:pPr>
        <w:pStyle w:val="Textonotapie"/>
        <w:ind w:firstLine="709"/>
        <w:jc w:val="both"/>
        <w:rPr>
          <w:rFonts w:ascii="Arial" w:hAnsi="Arial" w:cs="Arial"/>
          <w:sz w:val="18"/>
          <w:szCs w:val="18"/>
          <w:lang w:val="es-ES"/>
        </w:rPr>
      </w:pPr>
      <w:r w:rsidRPr="00B86920">
        <w:rPr>
          <w:rStyle w:val="Refdenotaalpie"/>
          <w:rFonts w:ascii="Arial" w:hAnsi="Arial" w:cs="Arial"/>
          <w:sz w:val="18"/>
          <w:szCs w:val="18"/>
        </w:rPr>
        <w:footnoteRef/>
      </w:r>
      <w:r w:rsidRPr="00B86920">
        <w:rPr>
          <w:rFonts w:ascii="Arial" w:hAnsi="Arial" w:cs="Arial"/>
          <w:sz w:val="18"/>
          <w:szCs w:val="18"/>
        </w:rPr>
        <w:t xml:space="preserve"> En efecto</w:t>
      </w:r>
      <w:r w:rsidRPr="00B86920">
        <w:rPr>
          <w:rFonts w:ascii="Arial" w:hAnsi="Arial" w:cs="Arial"/>
          <w:sz w:val="18"/>
          <w:szCs w:val="18"/>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B86920">
        <w:rPr>
          <w:rFonts w:ascii="Arial" w:hAnsi="Arial" w:cs="Arial"/>
          <w:i/>
          <w:iCs/>
          <w:sz w:val="18"/>
          <w:szCs w:val="18"/>
          <w:lang w:val="es-ES"/>
        </w:rPr>
        <w:t>julio</w:t>
      </w:r>
      <w:r w:rsidRPr="00B86920">
        <w:rPr>
          <w:rFonts w:ascii="Arial" w:hAnsi="Arial" w:cs="Arial"/>
          <w:sz w:val="18"/>
          <w:szCs w:val="18"/>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00B63631" w14:textId="77777777" w:rsidR="00362817" w:rsidRPr="00B86920" w:rsidRDefault="00362817" w:rsidP="00362817">
      <w:pPr>
        <w:pStyle w:val="Textonotapie"/>
        <w:ind w:firstLine="709"/>
        <w:jc w:val="both"/>
        <w:rPr>
          <w:rFonts w:ascii="Arial" w:hAnsi="Arial" w:cs="Arial"/>
          <w:sz w:val="18"/>
          <w:szCs w:val="18"/>
          <w:lang w:val="es-ES"/>
        </w:rPr>
      </w:pPr>
      <w:r w:rsidRPr="00B86920">
        <w:rPr>
          <w:rStyle w:val="Refdenotaalpie"/>
          <w:rFonts w:ascii="Arial" w:hAnsi="Arial" w:cs="Arial"/>
          <w:sz w:val="18"/>
          <w:szCs w:val="18"/>
        </w:rPr>
        <w:footnoteRef/>
      </w:r>
      <w:r w:rsidRPr="00B86920">
        <w:rPr>
          <w:rFonts w:ascii="Arial" w:hAnsi="Arial" w:cs="Arial"/>
          <w:sz w:val="18"/>
          <w:szCs w:val="18"/>
        </w:rPr>
        <w:t xml:space="preserve"> </w:t>
      </w:r>
      <w:r w:rsidRPr="00B86920">
        <w:rPr>
          <w:rFonts w:ascii="Arial" w:hAnsi="Arial" w:cs="Arial"/>
          <w:sz w:val="18"/>
          <w:szCs w:val="18"/>
          <w:lang w:val="es-ES"/>
        </w:rPr>
        <w:t>«</w:t>
      </w:r>
      <w:proofErr w:type="gramStart"/>
      <w:r w:rsidRPr="00B86920">
        <w:rPr>
          <w:rFonts w:ascii="Arial" w:hAnsi="Arial" w:cs="Arial"/>
          <w:sz w:val="18"/>
          <w:szCs w:val="18"/>
          <w:lang w:val="es-ES"/>
        </w:rPr>
        <w:t>Artículo  1</w:t>
      </w:r>
      <w:proofErr w:type="gramEnd"/>
      <w:r w:rsidRPr="00B86920">
        <w:rPr>
          <w:rFonts w:ascii="Arial" w:hAnsi="Arial" w:cs="Arial"/>
          <w:sz w:val="18"/>
          <w:szCs w:val="18"/>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6949A66D"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9829F61"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329343D"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 xml:space="preserve">El proponente con inscripción activa y vigente que no tenga la información de la capacidad financiera y organizacional </w:t>
      </w:r>
      <w:proofErr w:type="gramStart"/>
      <w:r w:rsidRPr="00B86920">
        <w:rPr>
          <w:rFonts w:ascii="Arial" w:hAnsi="Arial" w:cs="Arial"/>
          <w:sz w:val="18"/>
          <w:szCs w:val="18"/>
          <w:lang w:val="es-ES"/>
        </w:rPr>
        <w:t>delos</w:t>
      </w:r>
      <w:proofErr w:type="gramEnd"/>
      <w:r w:rsidRPr="00B86920">
        <w:rPr>
          <w:rFonts w:ascii="Arial" w:hAnsi="Arial" w:cs="Arial"/>
          <w:sz w:val="18"/>
          <w:szCs w:val="18"/>
          <w:lang w:val="es-ES"/>
        </w:rPr>
        <w:t xml:space="preserve"> años 2018 y/o 2019 inscrita en el Registro Único de Proponentes, durante el mes de junio de 2021, podrá reportar por única vez, mediante una solicitud de actualización, únicamente la información contable correspondiente a estos años, sin costo alguno.</w:t>
      </w:r>
    </w:p>
    <w:p w14:paraId="4EC5E67F"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192863EA"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3D8DD050" w14:textId="77777777" w:rsidR="00362817" w:rsidRPr="00B86920" w:rsidRDefault="00362817" w:rsidP="00362817">
      <w:pPr>
        <w:pStyle w:val="Textonotapie"/>
        <w:ind w:firstLine="709"/>
        <w:jc w:val="both"/>
        <w:rPr>
          <w:rFonts w:ascii="Arial" w:hAnsi="Arial" w:cs="Arial"/>
          <w:sz w:val="18"/>
          <w:szCs w:val="18"/>
          <w:lang w:val="es-ES"/>
        </w:rPr>
      </w:pPr>
      <w:r w:rsidRPr="00B86920">
        <w:rPr>
          <w:rFonts w:ascii="Arial" w:hAnsi="Arial" w:cs="Arial"/>
          <w:sz w:val="18"/>
          <w:szCs w:val="18"/>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47D71C5" w14:textId="77777777" w:rsidR="00362817" w:rsidRPr="00B86920" w:rsidRDefault="00362817" w:rsidP="00362817">
      <w:pPr>
        <w:pStyle w:val="Textonotapie"/>
        <w:ind w:firstLine="709"/>
        <w:jc w:val="both"/>
        <w:rPr>
          <w:rFonts w:ascii="Arial" w:hAnsi="Arial" w:cs="Arial"/>
          <w:sz w:val="18"/>
          <w:szCs w:val="18"/>
          <w:lang w:val="es-CO"/>
        </w:rPr>
      </w:pPr>
      <w:r w:rsidRPr="00B86920">
        <w:rPr>
          <w:rFonts w:ascii="Arial" w:hAnsi="Arial" w:cs="Arial"/>
          <w:sz w:val="18"/>
          <w:szCs w:val="18"/>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5B824AD6" w14:textId="77777777" w:rsidR="00362817" w:rsidRPr="00B86920" w:rsidRDefault="00362817" w:rsidP="00362817">
      <w:pPr>
        <w:pStyle w:val="Textonotapie"/>
        <w:jc w:val="both"/>
        <w:rPr>
          <w:rFonts w:ascii="Arial" w:hAnsi="Arial" w:cs="Arial"/>
          <w:sz w:val="18"/>
          <w:szCs w:val="18"/>
          <w:lang w:val="es-ES"/>
        </w:rPr>
      </w:pPr>
      <w:r w:rsidRPr="00B86920">
        <w:rPr>
          <w:rStyle w:val="Refdenotaalpie"/>
          <w:rFonts w:ascii="Arial" w:hAnsi="Arial" w:cs="Arial"/>
          <w:sz w:val="18"/>
          <w:szCs w:val="18"/>
        </w:rPr>
        <w:footnoteRef/>
      </w:r>
      <w:r w:rsidRPr="00B86920">
        <w:rPr>
          <w:rFonts w:ascii="Arial" w:hAnsi="Arial" w:cs="Arial"/>
          <w:sz w:val="18"/>
          <w:szCs w:val="18"/>
        </w:rPr>
        <w:t xml:space="preserve"> </w:t>
      </w:r>
      <w:r w:rsidRPr="00B86920">
        <w:rPr>
          <w:rFonts w:ascii="Arial" w:hAnsi="Arial" w:cs="Arial"/>
          <w:sz w:val="18"/>
          <w:szCs w:val="18"/>
          <w:lang w:val="es-ES"/>
        </w:rPr>
        <w:t>Debe recordarse que el artículo 2.2.1.1.1.6.2. del Decreto 1082 de 2015 prevé lo siguiente: «</w:t>
      </w:r>
      <w:r w:rsidRPr="00B86920">
        <w:rPr>
          <w:rFonts w:ascii="Arial" w:hAnsi="Arial" w:cs="Arial"/>
          <w:sz w:val="18"/>
          <w:szCs w:val="18"/>
        </w:rPr>
        <w:t>La</w:t>
      </w:r>
      <w:r w:rsidRPr="00B86920">
        <w:rPr>
          <w:rFonts w:ascii="Arial" w:hAnsi="Arial" w:cs="Arial"/>
          <w:sz w:val="18"/>
          <w:szCs w:val="18"/>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307DDD64" w14:textId="77777777" w:rsidR="00362817" w:rsidRPr="00B86920" w:rsidRDefault="00362817" w:rsidP="00362817">
      <w:pPr>
        <w:pStyle w:val="Textonotapie"/>
        <w:ind w:firstLine="708"/>
        <w:jc w:val="both"/>
        <w:rPr>
          <w:rFonts w:ascii="Arial" w:hAnsi="Arial" w:cs="Arial"/>
          <w:sz w:val="18"/>
          <w:szCs w:val="18"/>
          <w:lang w:val="es-ES_tradnl"/>
        </w:rPr>
      </w:pPr>
      <w:r w:rsidRPr="00B86920">
        <w:rPr>
          <w:rStyle w:val="Refdenotaalpie"/>
          <w:rFonts w:ascii="Arial" w:hAnsi="Arial" w:cs="Arial"/>
          <w:sz w:val="18"/>
          <w:szCs w:val="18"/>
        </w:rPr>
        <w:footnoteRef/>
      </w:r>
      <w:r w:rsidRPr="00B86920">
        <w:rPr>
          <w:rFonts w:ascii="Arial" w:hAnsi="Arial" w:cs="Arial"/>
          <w:sz w:val="18"/>
          <w:szCs w:val="18"/>
        </w:rPr>
        <w:t xml:space="preserve"> DÁVILA VINUEZA, Luis Guillermo. Régimen jurídico de la contratación estatal. 3ª ed. Bogotá: Legis, 2016. p. 104. </w:t>
      </w:r>
    </w:p>
  </w:footnote>
  <w:footnote w:id="12">
    <w:p w14:paraId="3CCD420D" w14:textId="77777777" w:rsidR="006A6A4C" w:rsidRPr="002B2913" w:rsidRDefault="006A6A4C" w:rsidP="006A6A4C">
      <w:pPr>
        <w:pStyle w:val="Textonotapie"/>
        <w:ind w:firstLine="708"/>
        <w:jc w:val="both"/>
        <w:rPr>
          <w:rFonts w:ascii="Arial" w:hAnsi="Arial" w:cs="Arial"/>
          <w:sz w:val="18"/>
          <w:szCs w:val="18"/>
        </w:rPr>
      </w:pPr>
      <w:r w:rsidRPr="002B2913">
        <w:rPr>
          <w:rStyle w:val="Refdenotaalpie"/>
          <w:rFonts w:ascii="Arial" w:hAnsi="Arial" w:cs="Arial"/>
          <w:sz w:val="18"/>
          <w:szCs w:val="18"/>
        </w:rPr>
        <w:footnoteRef/>
      </w:r>
      <w:r w:rsidRPr="002B2913">
        <w:rPr>
          <w:rFonts w:ascii="Arial" w:hAnsi="Arial" w:cs="Arial"/>
          <w:sz w:val="18"/>
          <w:szCs w:val="18"/>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296BD46D" w14:textId="77777777" w:rsidR="006A6A4C" w:rsidRPr="002B2913" w:rsidRDefault="006A6A4C" w:rsidP="006A6A4C">
      <w:pPr>
        <w:pStyle w:val="Textonotapie"/>
        <w:ind w:firstLine="708"/>
        <w:jc w:val="both"/>
        <w:rPr>
          <w:rFonts w:ascii="Arial" w:hAnsi="Arial" w:cs="Arial"/>
          <w:sz w:val="18"/>
          <w:szCs w:val="18"/>
          <w:lang w:val="es-ES"/>
        </w:rPr>
      </w:pPr>
    </w:p>
  </w:footnote>
  <w:footnote w:id="13">
    <w:p w14:paraId="28C11C10" w14:textId="77777777" w:rsidR="006A6A4C" w:rsidRPr="002B2913" w:rsidRDefault="006A6A4C" w:rsidP="006A6A4C">
      <w:pPr>
        <w:pStyle w:val="Textonotapie"/>
        <w:ind w:firstLine="708"/>
        <w:jc w:val="both"/>
        <w:rPr>
          <w:rFonts w:ascii="Arial" w:hAnsi="Arial" w:cs="Arial"/>
          <w:sz w:val="18"/>
          <w:szCs w:val="18"/>
          <w:lang w:val="es-ES"/>
        </w:rPr>
      </w:pPr>
      <w:r w:rsidRPr="002B2913">
        <w:rPr>
          <w:rStyle w:val="Refdenotaalpie"/>
          <w:rFonts w:ascii="Arial" w:hAnsi="Arial" w:cs="Arial"/>
          <w:sz w:val="18"/>
          <w:szCs w:val="18"/>
        </w:rPr>
        <w:footnoteRef/>
      </w:r>
      <w:r w:rsidRPr="002B2913">
        <w:rPr>
          <w:rFonts w:ascii="Arial" w:hAnsi="Arial" w:cs="Arial"/>
          <w:sz w:val="18"/>
          <w:szCs w:val="18"/>
        </w:rPr>
        <w:t xml:space="preserve"> </w:t>
      </w:r>
      <w:r w:rsidRPr="002B2913">
        <w:rPr>
          <w:rFonts w:ascii="Arial" w:hAnsi="Arial" w:cs="Arial"/>
          <w:sz w:val="18"/>
          <w:szCs w:val="18"/>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2" w:history="1">
        <w:r w:rsidRPr="002B2913">
          <w:rPr>
            <w:rStyle w:val="Hipervnculo"/>
            <w:rFonts w:ascii="Arial" w:hAnsi="Arial" w:cs="Arial"/>
            <w:color w:val="0070C0"/>
            <w:sz w:val="18"/>
            <w:szCs w:val="18"/>
            <w:lang w:val="es-ES"/>
          </w:rPr>
          <w:t>https://colombiacompra.gov.co/sites/default/files/manuales/20140901_manual_requisitos_habilitantes_4_web.pdf</w:t>
        </w:r>
      </w:hyperlink>
      <w:r w:rsidRPr="002B2913">
        <w:rPr>
          <w:rFonts w:ascii="Arial" w:hAnsi="Arial" w:cs="Arial"/>
          <w:sz w:val="18"/>
          <w:szCs w:val="18"/>
          <w:lang w:val="es-ES"/>
        </w:rPr>
        <w:t xml:space="preserve">. </w:t>
      </w:r>
    </w:p>
    <w:p w14:paraId="135E49B6" w14:textId="77777777" w:rsidR="006A6A4C" w:rsidRPr="002B2913" w:rsidRDefault="006A6A4C" w:rsidP="006A6A4C">
      <w:pPr>
        <w:pStyle w:val="Textonotapie"/>
        <w:ind w:firstLine="567"/>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2383" w14:textId="77777777" w:rsidR="00C11BCD" w:rsidRDefault="001C160D">
    <w:pPr>
      <w:pStyle w:val="Encabezado"/>
    </w:pPr>
    <w:r>
      <w:rPr>
        <w:noProof/>
        <w:lang w:val="en-US"/>
      </w:rPr>
      <w:drawing>
        <wp:anchor distT="0" distB="0" distL="114300" distR="114300" simplePos="0" relativeHeight="251659264" behindDoc="1" locked="0" layoutInCell="1" allowOverlap="1" wp14:anchorId="08402867" wp14:editId="205ABBC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3D7C5E"/>
    <w:multiLevelType w:val="hybridMultilevel"/>
    <w:tmpl w:val="CFE40C5A"/>
    <w:lvl w:ilvl="0" w:tplc="02A499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6109593">
    <w:abstractNumId w:val="0"/>
  </w:num>
  <w:num w:numId="2" w16cid:durableId="653754116">
    <w:abstractNumId w:val="2"/>
  </w:num>
  <w:num w:numId="3" w16cid:durableId="106399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17"/>
    <w:rsid w:val="00035752"/>
    <w:rsid w:val="00042D0A"/>
    <w:rsid w:val="00080742"/>
    <w:rsid w:val="0009232C"/>
    <w:rsid w:val="000B4981"/>
    <w:rsid w:val="000C639D"/>
    <w:rsid w:val="000D1DB5"/>
    <w:rsid w:val="000F53AE"/>
    <w:rsid w:val="001312AE"/>
    <w:rsid w:val="001425C6"/>
    <w:rsid w:val="00181A0F"/>
    <w:rsid w:val="001A5C14"/>
    <w:rsid w:val="001C160D"/>
    <w:rsid w:val="002004D4"/>
    <w:rsid w:val="002230EA"/>
    <w:rsid w:val="002B2913"/>
    <w:rsid w:val="00362817"/>
    <w:rsid w:val="00364786"/>
    <w:rsid w:val="00390DA0"/>
    <w:rsid w:val="003B4E0B"/>
    <w:rsid w:val="00552DE8"/>
    <w:rsid w:val="00560E80"/>
    <w:rsid w:val="005A3892"/>
    <w:rsid w:val="005B0AA5"/>
    <w:rsid w:val="00625BF8"/>
    <w:rsid w:val="00686921"/>
    <w:rsid w:val="0069711C"/>
    <w:rsid w:val="006A6A4C"/>
    <w:rsid w:val="006A7D5D"/>
    <w:rsid w:val="006D558C"/>
    <w:rsid w:val="00702681"/>
    <w:rsid w:val="007213B3"/>
    <w:rsid w:val="00793F95"/>
    <w:rsid w:val="00817C58"/>
    <w:rsid w:val="00827F1A"/>
    <w:rsid w:val="00886E33"/>
    <w:rsid w:val="00913074"/>
    <w:rsid w:val="00A449FC"/>
    <w:rsid w:val="00A909CC"/>
    <w:rsid w:val="00AA6F34"/>
    <w:rsid w:val="00AE2671"/>
    <w:rsid w:val="00B201B8"/>
    <w:rsid w:val="00B65C70"/>
    <w:rsid w:val="00B86920"/>
    <w:rsid w:val="00CC0D87"/>
    <w:rsid w:val="00D61B55"/>
    <w:rsid w:val="00DE46E7"/>
    <w:rsid w:val="00DE5791"/>
    <w:rsid w:val="00EA206F"/>
    <w:rsid w:val="00F67581"/>
    <w:rsid w:val="00F70D31"/>
    <w:rsid w:val="00FB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BF45"/>
  <w15:chartTrackingRefBased/>
  <w15:docId w15:val="{504951C9-55B2-4F2A-8E3F-8F430FCB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817"/>
  </w:style>
  <w:style w:type="paragraph" w:styleId="Piedepgina">
    <w:name w:val="footer"/>
    <w:basedOn w:val="Normal"/>
    <w:link w:val="PiedepginaCar"/>
    <w:uiPriority w:val="99"/>
    <w:unhideWhenUsed/>
    <w:rsid w:val="0036281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362817"/>
    <w:rPr>
      <w:sz w:val="24"/>
      <w:lang w:val="es-MX"/>
    </w:rPr>
  </w:style>
  <w:style w:type="table" w:styleId="Tablaconcuadrcula">
    <w:name w:val="Table Grid"/>
    <w:basedOn w:val="Tablanormal"/>
    <w:uiPriority w:val="59"/>
    <w:rsid w:val="0036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281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628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62817"/>
    <w:pPr>
      <w:spacing w:after="0" w:line="240" w:lineRule="auto"/>
    </w:pPr>
    <w:rPr>
      <w:sz w:val="20"/>
      <w:szCs w:val="20"/>
      <w:lang w:val="es-MX"/>
    </w:rPr>
  </w:style>
  <w:style w:type="character" w:customStyle="1" w:styleId="TextonotapieCar1">
    <w:name w:val="Texto nota pie Car1"/>
    <w:basedOn w:val="Fuentedeprrafopredeter"/>
    <w:uiPriority w:val="99"/>
    <w:semiHidden/>
    <w:rsid w:val="0036281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62817"/>
    <w:rPr>
      <w:vertAlign w:val="superscript"/>
    </w:rPr>
  </w:style>
  <w:style w:type="character" w:styleId="Hipervnculo">
    <w:name w:val="Hyperlink"/>
    <w:basedOn w:val="Fuentedeprrafopredeter"/>
    <w:uiPriority w:val="99"/>
    <w:unhideWhenUsed/>
    <w:rsid w:val="00362817"/>
    <w:rPr>
      <w:color w:val="0563C1" w:themeColor="hyperlink"/>
      <w:u w:val="single"/>
    </w:rPr>
  </w:style>
  <w:style w:type="paragraph" w:customStyle="1" w:styleId="Appelnotedebasde">
    <w:name w:val="Appel note de bas de..."/>
    <w:basedOn w:val="Normal"/>
    <w:link w:val="Refdenotaalpie"/>
    <w:uiPriority w:val="99"/>
    <w:rsid w:val="00362817"/>
    <w:pPr>
      <w:spacing w:line="240" w:lineRule="exact"/>
    </w:pPr>
    <w:rPr>
      <w:vertAlign w:val="superscript"/>
    </w:rPr>
  </w:style>
  <w:style w:type="table" w:customStyle="1" w:styleId="Tablaconcuadrcula1">
    <w:name w:val="Tabla con cuadrícula1"/>
    <w:basedOn w:val="Tablanormal"/>
    <w:next w:val="Tablaconcuadrcula"/>
    <w:uiPriority w:val="59"/>
    <w:rsid w:val="00362817"/>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80742"/>
    <w:pPr>
      <w:spacing w:after="0" w:line="240" w:lineRule="auto"/>
    </w:pPr>
  </w:style>
  <w:style w:type="paragraph" w:styleId="Prrafodelista">
    <w:name w:val="List Paragraph"/>
    <w:basedOn w:val="Normal"/>
    <w:uiPriority w:val="34"/>
    <w:qFormat/>
    <w:rsid w:val="002230EA"/>
    <w:pPr>
      <w:ind w:left="720"/>
      <w:contextualSpacing/>
    </w:pPr>
  </w:style>
  <w:style w:type="character" w:styleId="Refdecomentario">
    <w:name w:val="annotation reference"/>
    <w:basedOn w:val="Fuentedeprrafopredeter"/>
    <w:uiPriority w:val="99"/>
    <w:semiHidden/>
    <w:unhideWhenUsed/>
    <w:rsid w:val="002B2913"/>
    <w:rPr>
      <w:sz w:val="16"/>
      <w:szCs w:val="16"/>
    </w:rPr>
  </w:style>
  <w:style w:type="paragraph" w:styleId="Textocomentario">
    <w:name w:val="annotation text"/>
    <w:basedOn w:val="Normal"/>
    <w:link w:val="TextocomentarioCar"/>
    <w:uiPriority w:val="99"/>
    <w:semiHidden/>
    <w:unhideWhenUsed/>
    <w:rsid w:val="002B29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913"/>
    <w:rPr>
      <w:sz w:val="20"/>
      <w:szCs w:val="20"/>
    </w:rPr>
  </w:style>
  <w:style w:type="paragraph" w:styleId="Asuntodelcomentario">
    <w:name w:val="annotation subject"/>
    <w:basedOn w:val="Textocomentario"/>
    <w:next w:val="Textocomentario"/>
    <w:link w:val="AsuntodelcomentarioCar"/>
    <w:uiPriority w:val="99"/>
    <w:semiHidden/>
    <w:unhideWhenUsed/>
    <w:rsid w:val="002B2913"/>
    <w:rPr>
      <w:b/>
      <w:bCs/>
    </w:rPr>
  </w:style>
  <w:style w:type="character" w:customStyle="1" w:styleId="AsuntodelcomentarioCar">
    <w:name w:val="Asunto del comentario Car"/>
    <w:basedOn w:val="TextocomentarioCar"/>
    <w:link w:val="Asuntodelcomentario"/>
    <w:uiPriority w:val="99"/>
    <w:semiHidden/>
    <w:rsid w:val="002B2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E357BE-9607-4EA4-A11F-8FF8E4D01B47}"/>
</file>

<file path=customXml/itemProps2.xml><?xml version="1.0" encoding="utf-8"?>
<ds:datastoreItem xmlns:ds="http://schemas.openxmlformats.org/officeDocument/2006/customXml" ds:itemID="{4F6B1396-913E-464C-9A48-0FA727F8A99E}"/>
</file>

<file path=customXml/itemProps3.xml><?xml version="1.0" encoding="utf-8"?>
<ds:datastoreItem xmlns:ds="http://schemas.openxmlformats.org/officeDocument/2006/customXml" ds:itemID="{2AD22AA5-9742-4E5F-904B-5564A502806E}"/>
</file>

<file path=docProps/app.xml><?xml version="1.0" encoding="utf-8"?>
<Properties xmlns="http://schemas.openxmlformats.org/officeDocument/2006/extended-properties" xmlns:vt="http://schemas.openxmlformats.org/officeDocument/2006/docPropsVTypes">
  <Template>Normal</Template>
  <TotalTime>10</TotalTime>
  <Pages>17</Pages>
  <Words>6763</Words>
  <Characters>37199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8</cp:revision>
  <dcterms:created xsi:type="dcterms:W3CDTF">2022-06-14T15:35:00Z</dcterms:created>
  <dcterms:modified xsi:type="dcterms:W3CDTF">2022-06-21T18:39:00Z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