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AB628F" w:rsidRDefault="002A3452" w:rsidP="00B32DB2">
      <w:pPr>
        <w:spacing w:before="240" w:line="276" w:lineRule="auto"/>
        <w:jc w:val="right"/>
        <w:rPr>
          <w:rFonts w:ascii="Arial" w:eastAsia="Calibri" w:hAnsi="Arial" w:cs="Arial"/>
          <w:b/>
          <w:bCs/>
          <w:sz w:val="22"/>
        </w:rPr>
      </w:pPr>
      <w:bookmarkStart w:id="0" w:name="_Hlk47949675"/>
      <w:r w:rsidRPr="009A758C">
        <w:rPr>
          <w:rFonts w:ascii="Arial" w:hAnsi="Arial" w:cs="Arial"/>
          <w:b/>
          <w:bCs/>
          <w:sz w:val="16"/>
          <w:szCs w:val="16"/>
          <w:lang w:eastAsia="es-ES"/>
        </w:rPr>
        <w:t>CCE-DES-FM-17</w:t>
      </w:r>
    </w:p>
    <w:bookmarkEnd w:id="0"/>
    <w:p w14:paraId="6E32C85B" w14:textId="77777777" w:rsidR="005526A0" w:rsidRDefault="005526A0" w:rsidP="004F0804">
      <w:pPr>
        <w:tabs>
          <w:tab w:val="left" w:pos="0"/>
        </w:tabs>
        <w:jc w:val="both"/>
        <w:rPr>
          <w:rFonts w:ascii="Arial" w:eastAsia="Calibri" w:hAnsi="Arial" w:cs="Arial"/>
          <w:b/>
          <w:sz w:val="22"/>
          <w:szCs w:val="22"/>
        </w:rPr>
      </w:pPr>
    </w:p>
    <w:p w14:paraId="60DE55F8" w14:textId="5EDDE5C9" w:rsidR="004F0804" w:rsidRPr="003B2A1E" w:rsidRDefault="004F0804" w:rsidP="004F0804">
      <w:pPr>
        <w:tabs>
          <w:tab w:val="left" w:pos="0"/>
        </w:tabs>
        <w:jc w:val="both"/>
        <w:rPr>
          <w:rFonts w:ascii="Arial" w:eastAsia="Calibri" w:hAnsi="Arial" w:cs="Arial"/>
          <w:b/>
          <w:sz w:val="22"/>
          <w:szCs w:val="22"/>
        </w:rPr>
      </w:pPr>
      <w:r w:rsidRPr="003B2A1E">
        <w:rPr>
          <w:rFonts w:ascii="Arial" w:eastAsia="Calibri" w:hAnsi="Arial" w:cs="Arial"/>
          <w:b/>
          <w:sz w:val="22"/>
          <w:szCs w:val="22"/>
        </w:rPr>
        <w:t xml:space="preserve">CAPACIDAD RESIDUAL – </w:t>
      </w:r>
      <w:r w:rsidR="005526A0">
        <w:rPr>
          <w:rFonts w:ascii="Arial" w:eastAsia="Calibri" w:hAnsi="Arial" w:cs="Arial"/>
          <w:b/>
          <w:sz w:val="22"/>
          <w:szCs w:val="22"/>
        </w:rPr>
        <w:t xml:space="preserve">Definición </w:t>
      </w:r>
      <w:r w:rsidR="005526A0" w:rsidRPr="003B2A1E">
        <w:rPr>
          <w:rFonts w:ascii="Arial" w:eastAsia="Calibri" w:hAnsi="Arial" w:cs="Arial"/>
          <w:b/>
          <w:sz w:val="22"/>
          <w:szCs w:val="22"/>
        </w:rPr>
        <w:t>–</w:t>
      </w:r>
      <w:r w:rsidR="005526A0">
        <w:rPr>
          <w:rFonts w:ascii="Arial" w:eastAsia="Calibri" w:hAnsi="Arial" w:cs="Arial"/>
          <w:b/>
          <w:sz w:val="22"/>
          <w:szCs w:val="22"/>
        </w:rPr>
        <w:t xml:space="preserve"> Requisito habilitante </w:t>
      </w:r>
      <w:r w:rsidR="005526A0" w:rsidRPr="003B2A1E">
        <w:rPr>
          <w:rFonts w:ascii="Arial" w:eastAsia="Calibri" w:hAnsi="Arial" w:cs="Arial"/>
          <w:b/>
          <w:sz w:val="22"/>
          <w:szCs w:val="22"/>
        </w:rPr>
        <w:t>–</w:t>
      </w:r>
      <w:r w:rsidR="005526A0">
        <w:rPr>
          <w:rFonts w:ascii="Arial" w:eastAsia="Calibri" w:hAnsi="Arial" w:cs="Arial"/>
          <w:b/>
          <w:sz w:val="22"/>
          <w:szCs w:val="22"/>
        </w:rPr>
        <w:t xml:space="preserve"> Contratos de Obra Pública. </w:t>
      </w:r>
    </w:p>
    <w:p w14:paraId="4C94FF75" w14:textId="77777777" w:rsidR="004F0804" w:rsidRDefault="004F0804" w:rsidP="004F0804">
      <w:pPr>
        <w:tabs>
          <w:tab w:val="left" w:pos="0"/>
        </w:tabs>
        <w:jc w:val="both"/>
        <w:rPr>
          <w:rFonts w:ascii="Arial" w:eastAsia="Calibri" w:hAnsi="Arial" w:cs="Arial"/>
          <w:b/>
        </w:rPr>
      </w:pPr>
    </w:p>
    <w:p w14:paraId="0B1908B8" w14:textId="0338BE8D" w:rsidR="004F0804" w:rsidRDefault="004F0804" w:rsidP="004F0804">
      <w:pPr>
        <w:tabs>
          <w:tab w:val="left" w:pos="0"/>
        </w:tabs>
        <w:jc w:val="both"/>
        <w:rPr>
          <w:rFonts w:ascii="Arial" w:hAnsi="Arial" w:cs="Arial"/>
          <w:sz w:val="20"/>
          <w:szCs w:val="20"/>
        </w:rPr>
      </w:pPr>
      <w:r w:rsidRPr="00455152">
        <w:rPr>
          <w:rFonts w:ascii="Arial" w:eastAsiaTheme="minorHAnsi" w:hAnsi="Arial" w:cs="Arial"/>
          <w:color w:val="000000" w:themeColor="text1"/>
          <w:sz w:val="20"/>
          <w:szCs w:val="20"/>
          <w:lang w:val="es-MX"/>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 la diferencia que existe entre el potencial de contratación que se tiene y los compromisos que haya adquirido y que se encuentren en ejecución, para la fecha de presentación de la oferta».</w:t>
      </w:r>
      <w:r w:rsidR="005526A0">
        <w:rPr>
          <w:rFonts w:ascii="Arial" w:eastAsiaTheme="minorHAnsi" w:hAnsi="Arial" w:cs="Arial"/>
          <w:color w:val="000000" w:themeColor="text1"/>
          <w:sz w:val="20"/>
          <w:szCs w:val="20"/>
          <w:lang w:val="es-MX"/>
        </w:rPr>
        <w:t xml:space="preserve"> </w:t>
      </w:r>
      <w:r w:rsidRPr="00455152">
        <w:rPr>
          <w:rFonts w:ascii="Arial" w:eastAsiaTheme="minorHAnsi" w:hAnsi="Arial" w:cs="Arial"/>
          <w:color w:val="000000" w:themeColor="text1"/>
          <w:sz w:val="20"/>
          <w:szCs w:val="20"/>
          <w:lang w:val="es-MX"/>
        </w:rPr>
        <w:t>En tales términos, la capacidad residual hace referencia a la suficiencia que tiene el proponente para asumir nuevas obligaciones que se derivan del contrato objeto del proceso de contratación, en relación con las obligaciones que ya adquirió frente a otros contratos</w:t>
      </w:r>
      <w:r w:rsidRPr="00455152">
        <w:rPr>
          <w:rFonts w:ascii="Arial" w:hAnsi="Arial" w:cs="Arial"/>
          <w:sz w:val="20"/>
          <w:szCs w:val="20"/>
        </w:rPr>
        <w:t xml:space="preserve">. </w:t>
      </w:r>
    </w:p>
    <w:p w14:paraId="1E8291A8" w14:textId="77777777" w:rsidR="004F0804" w:rsidRDefault="004F0804" w:rsidP="00861D0A">
      <w:pPr>
        <w:rPr>
          <w:rFonts w:ascii="Arial" w:eastAsia="Calibri" w:hAnsi="Arial" w:cs="Arial"/>
          <w:b/>
          <w:bCs/>
          <w:color w:val="161616" w:themeColor="background1" w:themeShade="1A"/>
          <w:sz w:val="20"/>
          <w:szCs w:val="20"/>
          <w:lang w:val="es-ES_tradnl"/>
        </w:rPr>
      </w:pPr>
    </w:p>
    <w:p w14:paraId="10948A63" w14:textId="77777777" w:rsidR="008B29AC" w:rsidRDefault="008B29AC" w:rsidP="008B29AC">
      <w:pPr>
        <w:jc w:val="both"/>
        <w:rPr>
          <w:rFonts w:ascii="Arial" w:eastAsia="Calibri" w:hAnsi="Arial" w:cs="Arial"/>
          <w:b/>
          <w:sz w:val="22"/>
          <w:szCs w:val="22"/>
          <w:lang w:val="es-MX"/>
        </w:rPr>
      </w:pPr>
      <w:r>
        <w:rPr>
          <w:rFonts w:ascii="Arial" w:eastAsia="Calibri" w:hAnsi="Arial" w:cs="Arial"/>
          <w:b/>
          <w:sz w:val="22"/>
          <w:szCs w:val="22"/>
          <w:lang w:val="es-MX"/>
        </w:rPr>
        <w:t xml:space="preserve">CAPACIDAD RESIDUAL – Acreditación </w:t>
      </w:r>
    </w:p>
    <w:p w14:paraId="2D8DC465" w14:textId="77777777" w:rsidR="008B29AC" w:rsidRDefault="008B29AC" w:rsidP="008B29AC">
      <w:pPr>
        <w:jc w:val="both"/>
        <w:rPr>
          <w:rFonts w:ascii="Arial" w:eastAsia="Calibri" w:hAnsi="Arial" w:cs="Arial"/>
          <w:b/>
          <w:sz w:val="22"/>
          <w:szCs w:val="22"/>
          <w:lang w:val="es-MX"/>
        </w:rPr>
      </w:pPr>
    </w:p>
    <w:p w14:paraId="32B414A9" w14:textId="77777777" w:rsidR="008B29AC" w:rsidRPr="00A60957" w:rsidRDefault="008B29AC" w:rsidP="008B29AC">
      <w:pPr>
        <w:jc w:val="both"/>
        <w:rPr>
          <w:rFonts w:ascii="Arial" w:hAnsi="Arial" w:cs="Arial"/>
          <w:sz w:val="20"/>
          <w:szCs w:val="20"/>
        </w:rPr>
      </w:pPr>
      <w:r w:rsidRPr="00A60957">
        <w:rPr>
          <w:rFonts w:ascii="Arial" w:hAnsi="Arial" w:cs="Arial"/>
          <w:sz w:val="20"/>
          <w:szCs w:val="20"/>
        </w:rPr>
        <w:t xml:space="preserve">De conformidad con lo anterior, esta Agencia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 […]. </w:t>
      </w:r>
    </w:p>
    <w:p w14:paraId="41895330" w14:textId="77777777" w:rsidR="008B29AC" w:rsidRDefault="008B29AC" w:rsidP="008B29AC">
      <w:pPr>
        <w:jc w:val="both"/>
        <w:rPr>
          <w:rFonts w:ascii="Arial" w:eastAsia="Calibri" w:hAnsi="Arial" w:cs="Arial"/>
          <w:b/>
          <w:sz w:val="22"/>
          <w:szCs w:val="22"/>
          <w:lang w:val="es-MX"/>
        </w:rPr>
      </w:pPr>
    </w:p>
    <w:p w14:paraId="64355540" w14:textId="20070457" w:rsidR="00861D0A" w:rsidRPr="00B02AD1" w:rsidRDefault="00861D0A" w:rsidP="00861D0A">
      <w:pPr>
        <w:tabs>
          <w:tab w:val="left" w:pos="426"/>
        </w:tabs>
        <w:jc w:val="both"/>
        <w:rPr>
          <w:rFonts w:ascii="Arial" w:hAnsi="Arial" w:cs="Arial"/>
          <w:b/>
          <w:bCs/>
          <w:sz w:val="22"/>
          <w:szCs w:val="22"/>
          <w:lang w:eastAsia="es-CO"/>
        </w:rPr>
      </w:pPr>
      <w:r w:rsidRPr="00B02AD1">
        <w:rPr>
          <w:rFonts w:ascii="Arial" w:hAnsi="Arial" w:cs="Arial"/>
          <w:b/>
          <w:bCs/>
          <w:sz w:val="22"/>
          <w:szCs w:val="22"/>
          <w:lang w:eastAsia="es-CO"/>
        </w:rPr>
        <w:t>CAPACIDAD RESIDUAL – Cálculo – Factores</w:t>
      </w:r>
      <w:r w:rsidR="00BE2BCB" w:rsidRPr="00B02AD1">
        <w:rPr>
          <w:rFonts w:ascii="Arial" w:hAnsi="Arial" w:cs="Arial"/>
          <w:b/>
          <w:bCs/>
          <w:sz w:val="22"/>
          <w:szCs w:val="22"/>
          <w:lang w:eastAsia="es-CO"/>
        </w:rPr>
        <w:t xml:space="preserve"> – Contratos en ejecución</w:t>
      </w:r>
    </w:p>
    <w:p w14:paraId="6D1471C8" w14:textId="77777777" w:rsidR="00861D0A" w:rsidRPr="00861D0A" w:rsidRDefault="00861D0A" w:rsidP="00861D0A">
      <w:pPr>
        <w:tabs>
          <w:tab w:val="left" w:pos="426"/>
        </w:tabs>
        <w:jc w:val="both"/>
        <w:rPr>
          <w:rFonts w:ascii="Arial" w:hAnsi="Arial" w:cs="Arial"/>
          <w:b/>
          <w:bCs/>
          <w:sz w:val="20"/>
          <w:szCs w:val="20"/>
          <w:lang w:eastAsia="es-CO"/>
        </w:rPr>
      </w:pPr>
    </w:p>
    <w:p w14:paraId="445DF753"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La Ley 1150 de 2007 establece que la capacidad residual de los interesados en participar en procesos de selección para contratos de obra deberá ser igual o superior al que la entidad ha establecido en los pliegos de condiciones […]</w:t>
      </w:r>
    </w:p>
    <w:p w14:paraId="63E5F3C2" w14:textId="77777777" w:rsidR="00861D0A" w:rsidRPr="00861D0A" w:rsidRDefault="00861D0A" w:rsidP="00861D0A">
      <w:pPr>
        <w:tabs>
          <w:tab w:val="left" w:pos="426"/>
        </w:tabs>
        <w:jc w:val="both"/>
        <w:rPr>
          <w:rFonts w:ascii="Arial" w:hAnsi="Arial" w:cs="Arial"/>
          <w:sz w:val="20"/>
          <w:szCs w:val="20"/>
          <w:lang w:eastAsia="es-CO"/>
        </w:rPr>
      </w:pPr>
    </w:p>
    <w:p w14:paraId="07C533B2"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w:t>
      </w:r>
    </w:p>
    <w:p w14:paraId="335CDB74" w14:textId="77777777" w:rsidR="00861D0A" w:rsidRPr="00861D0A" w:rsidRDefault="00861D0A" w:rsidP="00861D0A">
      <w:pPr>
        <w:tabs>
          <w:tab w:val="left" w:pos="426"/>
        </w:tabs>
        <w:jc w:val="both"/>
        <w:rPr>
          <w:rFonts w:ascii="Arial" w:hAnsi="Arial" w:cs="Arial"/>
          <w:sz w:val="20"/>
          <w:szCs w:val="20"/>
          <w:lang w:eastAsia="es-CO"/>
        </w:rPr>
      </w:pPr>
    </w:p>
    <w:p w14:paraId="0C5BB5EE"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El artículo 2.2.1.1.1.6.3 del Decreto 1082 de 2015 estableció que las entidades estatales deberán calcular la capacidad residual conforme a la metodología definida por la Agencia Nacional de Contratación Pública – Colombia Compra Eficiente y precisó que para ello se debían tener en cuenta los factores de experiencia, capacidad financiera, capacidad técnica, capacidad de organización y los saldos de los contratos en ejecución.</w:t>
      </w:r>
    </w:p>
    <w:p w14:paraId="355F1532" w14:textId="77777777" w:rsidR="00861D0A" w:rsidRPr="00861D0A" w:rsidRDefault="00861D0A" w:rsidP="00861D0A">
      <w:pPr>
        <w:tabs>
          <w:tab w:val="left" w:pos="426"/>
        </w:tabs>
        <w:jc w:val="both"/>
        <w:rPr>
          <w:rFonts w:ascii="Arial" w:hAnsi="Arial" w:cs="Arial"/>
          <w:b/>
          <w:bCs/>
          <w:sz w:val="20"/>
          <w:szCs w:val="20"/>
          <w:lang w:eastAsia="es-CO"/>
        </w:rPr>
      </w:pPr>
    </w:p>
    <w:p w14:paraId="1BBCFFAD"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w:t>
      </w:r>
    </w:p>
    <w:p w14:paraId="3CA94187" w14:textId="77777777" w:rsidR="00861D0A" w:rsidRPr="00861D0A" w:rsidRDefault="00861D0A" w:rsidP="00861D0A">
      <w:pPr>
        <w:tabs>
          <w:tab w:val="left" w:pos="426"/>
        </w:tabs>
        <w:jc w:val="both"/>
        <w:rPr>
          <w:rFonts w:ascii="Arial" w:hAnsi="Arial" w:cs="Arial"/>
          <w:sz w:val="20"/>
          <w:szCs w:val="20"/>
          <w:lang w:eastAsia="es-CO"/>
        </w:rPr>
      </w:pPr>
    </w:p>
    <w:p w14:paraId="44439BEE"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 xml:space="preserve">De conformidad con lo anterior, la Agencia Nacional de Contratación Pública – Colombia Compra Eficiente expidió la Guía para Determinar y Verificar la Capacidad Residual del Proponente en los Procesos de Contratación de Obra Pública. </w:t>
      </w:r>
    </w:p>
    <w:p w14:paraId="70C1C2AA" w14:textId="77777777" w:rsidR="00861D0A" w:rsidRPr="00861D0A" w:rsidRDefault="00861D0A" w:rsidP="00861D0A">
      <w:pPr>
        <w:tabs>
          <w:tab w:val="left" w:pos="426"/>
        </w:tabs>
        <w:jc w:val="both"/>
        <w:rPr>
          <w:rFonts w:ascii="Arial" w:hAnsi="Arial" w:cs="Arial"/>
          <w:sz w:val="20"/>
          <w:szCs w:val="20"/>
          <w:lang w:eastAsia="es-CO"/>
        </w:rPr>
      </w:pPr>
    </w:p>
    <w:p w14:paraId="5455DF5B" w14:textId="77777777" w:rsidR="00861D0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t>[…]</w:t>
      </w:r>
    </w:p>
    <w:p w14:paraId="7D66799A" w14:textId="77777777" w:rsidR="00861D0A" w:rsidRPr="00861D0A" w:rsidRDefault="00861D0A" w:rsidP="00861D0A">
      <w:pPr>
        <w:tabs>
          <w:tab w:val="left" w:pos="426"/>
        </w:tabs>
        <w:jc w:val="both"/>
        <w:rPr>
          <w:rFonts w:ascii="Arial" w:hAnsi="Arial" w:cs="Arial"/>
          <w:sz w:val="20"/>
          <w:szCs w:val="20"/>
          <w:lang w:eastAsia="es-CO"/>
        </w:rPr>
      </w:pPr>
    </w:p>
    <w:p w14:paraId="5F60A316" w14:textId="333B07CC" w:rsidR="000520BA" w:rsidRPr="00861D0A" w:rsidRDefault="00861D0A" w:rsidP="00861D0A">
      <w:pPr>
        <w:tabs>
          <w:tab w:val="left" w:pos="426"/>
        </w:tabs>
        <w:jc w:val="both"/>
        <w:rPr>
          <w:rFonts w:ascii="Arial" w:hAnsi="Arial" w:cs="Arial"/>
          <w:sz w:val="20"/>
          <w:szCs w:val="20"/>
          <w:lang w:eastAsia="es-CO"/>
        </w:rPr>
      </w:pPr>
      <w:r w:rsidRPr="00861D0A">
        <w:rPr>
          <w:rFonts w:ascii="Arial" w:hAnsi="Arial" w:cs="Arial"/>
          <w:sz w:val="20"/>
          <w:szCs w:val="20"/>
          <w:lang w:eastAsia="es-CO"/>
        </w:rPr>
        <w:lastRenderedPageBreak/>
        <w:t>La Agencia Nacional de Contratación Pública estableció como fórmula que las entidades estatales calculen la experiencia conforme a los cinco factores que deben ser tenidos en cuenta, así: Capacidad Residual del Proponente= Co*[(E+CT+CF) / 100] - SCE […] Conforme a lo anterior, es la entidad estatal quien debe calcular la capacidad residual, pero el proponente tiene como carga aportar los documentos para acreditar su capacidad residual.</w:t>
      </w:r>
    </w:p>
    <w:p w14:paraId="7AA6D9CC" w14:textId="6DFE6C41" w:rsidR="00861D0A" w:rsidRDefault="00861D0A" w:rsidP="00861D0A">
      <w:pPr>
        <w:tabs>
          <w:tab w:val="left" w:pos="426"/>
        </w:tabs>
        <w:jc w:val="both"/>
        <w:rPr>
          <w:rFonts w:ascii="Arial" w:hAnsi="Arial" w:cs="Arial"/>
          <w:b/>
          <w:bCs/>
          <w:sz w:val="20"/>
          <w:szCs w:val="20"/>
          <w:lang w:eastAsia="es-CO"/>
        </w:rPr>
      </w:pPr>
    </w:p>
    <w:p w14:paraId="1BE209A2" w14:textId="77777777" w:rsidR="003E1DFC" w:rsidRDefault="003E1DFC" w:rsidP="003E1DFC">
      <w:pPr>
        <w:jc w:val="both"/>
        <w:rPr>
          <w:rFonts w:ascii="Arial" w:eastAsia="Calibri" w:hAnsi="Arial" w:cs="Arial"/>
          <w:b/>
          <w:sz w:val="22"/>
          <w:szCs w:val="22"/>
          <w:lang w:val="es-MX"/>
        </w:rPr>
      </w:pPr>
      <w:r w:rsidRPr="00CB410C">
        <w:rPr>
          <w:rFonts w:ascii="Arial" w:eastAsia="Calibri" w:hAnsi="Arial" w:cs="Arial"/>
          <w:b/>
          <w:sz w:val="22"/>
          <w:szCs w:val="22"/>
          <w:lang w:val="es-MX"/>
        </w:rPr>
        <w:t xml:space="preserve">CONTRATOS EN EJECUCIÓN – Definición </w:t>
      </w:r>
    </w:p>
    <w:p w14:paraId="49984386" w14:textId="77777777" w:rsidR="003E1DFC" w:rsidRDefault="003E1DFC" w:rsidP="003E1DFC">
      <w:pPr>
        <w:jc w:val="both"/>
        <w:rPr>
          <w:rFonts w:ascii="Arial" w:eastAsia="Calibri" w:hAnsi="Arial" w:cs="Arial"/>
          <w:b/>
          <w:sz w:val="22"/>
          <w:szCs w:val="22"/>
          <w:lang w:val="es-MX"/>
        </w:rPr>
      </w:pPr>
    </w:p>
    <w:p w14:paraId="716343F1" w14:textId="77777777" w:rsidR="003E1DFC" w:rsidRPr="008F3730" w:rsidRDefault="003E1DFC" w:rsidP="003E1DFC">
      <w:pPr>
        <w:jc w:val="both"/>
        <w:rPr>
          <w:rFonts w:ascii="Arial" w:hAnsi="Arial" w:cs="Arial"/>
          <w:i/>
          <w:iCs/>
          <w:sz w:val="20"/>
          <w:szCs w:val="20"/>
        </w:rPr>
      </w:pPr>
      <w:r w:rsidRPr="008F3730">
        <w:rPr>
          <w:rFonts w:ascii="Arial" w:eastAsia="Arial," w:hAnsi="Arial" w:cs="Arial"/>
          <w:sz w:val="20"/>
          <w:szCs w:val="20"/>
        </w:rPr>
        <w:t xml:space="preserve">[…] </w:t>
      </w:r>
      <w:r w:rsidRPr="008F3730">
        <w:rPr>
          <w:rFonts w:ascii="Arial" w:hAnsi="Arial" w:cs="Arial"/>
          <w:sz w:val="20"/>
          <w:szCs w:val="20"/>
        </w:rPr>
        <w:t xml:space="preserve">En este orden de ideas, la referida Guía define los </w:t>
      </w:r>
      <w:r w:rsidRPr="008F3730">
        <w:rPr>
          <w:rFonts w:ascii="Arial" w:hAnsi="Arial" w:cs="Arial"/>
          <w:i/>
          <w:iCs/>
          <w:sz w:val="20"/>
          <w:szCs w:val="20"/>
        </w:rPr>
        <w:t>Contratos en ejecución</w:t>
      </w:r>
      <w:r w:rsidRPr="008F3730">
        <w:rPr>
          <w:rFonts w:ascii="Arial" w:hAnsi="Arial" w:cs="Arial"/>
          <w:sz w:val="20"/>
          <w:szCs w:val="20"/>
        </w:rPr>
        <w:t xml:space="preserve"> de la siguiente manera:</w:t>
      </w:r>
      <w:r>
        <w:rPr>
          <w:rFonts w:ascii="Arial" w:hAnsi="Arial" w:cs="Arial"/>
          <w:sz w:val="20"/>
          <w:szCs w:val="20"/>
        </w:rPr>
        <w:t xml:space="preserve"> </w:t>
      </w:r>
      <w:r w:rsidRPr="008F3730">
        <w:rPr>
          <w:rFonts w:ascii="Arial" w:hAnsi="Arial" w:cs="Arial"/>
          <w:sz w:val="20"/>
          <w:szCs w:val="20"/>
        </w:rPr>
        <w:t>«</w:t>
      </w:r>
      <w:r w:rsidRPr="008F3730">
        <w:rPr>
          <w:rFonts w:ascii="Arial" w:hAnsi="Arial" w:cs="Arial"/>
          <w:i/>
          <w:iCs/>
          <w:sz w:val="20"/>
          <w:szCs w:val="20"/>
          <w:u w:val="single"/>
        </w:rPr>
        <w:t>Son los contratos que a la fecha de presentación de la oferta obligan al proponente con Entidades Estatales y con entidades privadas para ejecutar obras civiles</w:t>
      </w:r>
      <w:r w:rsidRPr="008F3730">
        <w:rPr>
          <w:rFonts w:ascii="Arial" w:hAnsi="Arial" w:cs="Arial"/>
          <w:sz w:val="20"/>
          <w:szCs w:val="20"/>
        </w:rPr>
        <w:t xml:space="preserve">, incluyendo la ejecución de obras civiles en los contratos de concesión y los contratos de obra suscritos con concesionarios, </w:t>
      </w:r>
      <w:r w:rsidRPr="008F3730">
        <w:rPr>
          <w:rFonts w:ascii="Arial" w:hAnsi="Arial" w:cs="Arial"/>
          <w:sz w:val="20"/>
          <w:szCs w:val="20"/>
          <w:u w:val="single"/>
        </w:rPr>
        <w:t>incluyendo los contratos suspendidos y aquellos que no tengan acta de inicio.</w:t>
      </w:r>
      <w:r w:rsidRPr="008F3730">
        <w:rPr>
          <w:rFonts w:ascii="Arial" w:hAnsi="Arial" w:cs="Arial"/>
          <w:sz w:val="20"/>
          <w:szCs w:val="20"/>
        </w:rPr>
        <w:t xml:space="preserve"> No se entenderán como contratos en ejecución los que se encuentren en liquidación.» (Subrayas fuera del texto)</w:t>
      </w:r>
      <w:r w:rsidRPr="008F3730">
        <w:rPr>
          <w:rFonts w:ascii="Arial" w:eastAsia="Arial," w:hAnsi="Arial" w:cs="Arial"/>
          <w:sz w:val="20"/>
          <w:szCs w:val="20"/>
        </w:rPr>
        <w:t>.»</w:t>
      </w:r>
    </w:p>
    <w:p w14:paraId="04CF63FE" w14:textId="233BC1A6" w:rsidR="005526A0" w:rsidRDefault="005526A0" w:rsidP="00861D0A">
      <w:pPr>
        <w:tabs>
          <w:tab w:val="left" w:pos="426"/>
        </w:tabs>
        <w:jc w:val="both"/>
        <w:rPr>
          <w:rFonts w:ascii="Arial" w:eastAsia="Calibri" w:hAnsi="Arial" w:cs="Arial"/>
          <w:b/>
          <w:bCs/>
          <w:noProof/>
          <w:sz w:val="20"/>
          <w:szCs w:val="20"/>
        </w:rPr>
      </w:pPr>
    </w:p>
    <w:p w14:paraId="4680B484" w14:textId="529A17E3" w:rsidR="005526A0" w:rsidRDefault="005526A0" w:rsidP="00861D0A">
      <w:pPr>
        <w:tabs>
          <w:tab w:val="left" w:pos="426"/>
        </w:tabs>
        <w:jc w:val="both"/>
        <w:rPr>
          <w:rFonts w:ascii="Arial" w:eastAsia="Calibri" w:hAnsi="Arial" w:cs="Arial"/>
          <w:b/>
          <w:bCs/>
          <w:noProof/>
          <w:sz w:val="20"/>
          <w:szCs w:val="20"/>
        </w:rPr>
      </w:pPr>
    </w:p>
    <w:p w14:paraId="7C933F38" w14:textId="37ED4CCB" w:rsidR="005526A0" w:rsidRDefault="005526A0" w:rsidP="00861D0A">
      <w:pPr>
        <w:tabs>
          <w:tab w:val="left" w:pos="426"/>
        </w:tabs>
        <w:jc w:val="both"/>
        <w:rPr>
          <w:rFonts w:ascii="Arial" w:eastAsia="Calibri" w:hAnsi="Arial" w:cs="Arial"/>
          <w:b/>
          <w:bCs/>
          <w:noProof/>
          <w:sz w:val="20"/>
          <w:szCs w:val="20"/>
        </w:rPr>
      </w:pPr>
    </w:p>
    <w:p w14:paraId="25A7CE8E" w14:textId="31ABEA04" w:rsidR="005526A0" w:rsidRDefault="005526A0" w:rsidP="00861D0A">
      <w:pPr>
        <w:tabs>
          <w:tab w:val="left" w:pos="426"/>
        </w:tabs>
        <w:jc w:val="both"/>
        <w:rPr>
          <w:rFonts w:ascii="Arial" w:eastAsia="Calibri" w:hAnsi="Arial" w:cs="Arial"/>
          <w:b/>
          <w:bCs/>
          <w:noProof/>
          <w:sz w:val="20"/>
          <w:szCs w:val="20"/>
        </w:rPr>
      </w:pPr>
    </w:p>
    <w:p w14:paraId="2B3D596C" w14:textId="6B9C4006" w:rsidR="005526A0" w:rsidRDefault="005526A0" w:rsidP="00861D0A">
      <w:pPr>
        <w:tabs>
          <w:tab w:val="left" w:pos="426"/>
        </w:tabs>
        <w:jc w:val="both"/>
        <w:rPr>
          <w:rFonts w:ascii="Arial" w:eastAsia="Calibri" w:hAnsi="Arial" w:cs="Arial"/>
          <w:b/>
          <w:bCs/>
          <w:noProof/>
          <w:sz w:val="20"/>
          <w:szCs w:val="20"/>
        </w:rPr>
      </w:pPr>
    </w:p>
    <w:p w14:paraId="6451246F" w14:textId="17EF92B7" w:rsidR="005526A0" w:rsidRDefault="005526A0" w:rsidP="00861D0A">
      <w:pPr>
        <w:tabs>
          <w:tab w:val="left" w:pos="426"/>
        </w:tabs>
        <w:jc w:val="both"/>
        <w:rPr>
          <w:rFonts w:ascii="Arial" w:eastAsia="Calibri" w:hAnsi="Arial" w:cs="Arial"/>
          <w:b/>
          <w:bCs/>
          <w:noProof/>
          <w:sz w:val="20"/>
          <w:szCs w:val="20"/>
        </w:rPr>
      </w:pPr>
    </w:p>
    <w:p w14:paraId="5CDC2888" w14:textId="050BD023" w:rsidR="005526A0" w:rsidRDefault="005526A0" w:rsidP="00861D0A">
      <w:pPr>
        <w:tabs>
          <w:tab w:val="left" w:pos="426"/>
        </w:tabs>
        <w:jc w:val="both"/>
        <w:rPr>
          <w:rFonts w:ascii="Arial" w:eastAsia="Calibri" w:hAnsi="Arial" w:cs="Arial"/>
          <w:b/>
          <w:bCs/>
          <w:noProof/>
          <w:sz w:val="20"/>
          <w:szCs w:val="20"/>
        </w:rPr>
      </w:pPr>
    </w:p>
    <w:p w14:paraId="313C8351" w14:textId="79868188" w:rsidR="005526A0" w:rsidRDefault="005526A0" w:rsidP="00861D0A">
      <w:pPr>
        <w:tabs>
          <w:tab w:val="left" w:pos="426"/>
        </w:tabs>
        <w:jc w:val="both"/>
        <w:rPr>
          <w:rFonts w:ascii="Arial" w:eastAsia="Calibri" w:hAnsi="Arial" w:cs="Arial"/>
          <w:b/>
          <w:bCs/>
          <w:noProof/>
          <w:sz w:val="20"/>
          <w:szCs w:val="20"/>
        </w:rPr>
      </w:pPr>
    </w:p>
    <w:p w14:paraId="382426B5" w14:textId="5DEDC199" w:rsidR="005526A0" w:rsidRDefault="005526A0" w:rsidP="00861D0A">
      <w:pPr>
        <w:tabs>
          <w:tab w:val="left" w:pos="426"/>
        </w:tabs>
        <w:jc w:val="both"/>
        <w:rPr>
          <w:rFonts w:ascii="Arial" w:eastAsia="Calibri" w:hAnsi="Arial" w:cs="Arial"/>
          <w:b/>
          <w:bCs/>
          <w:noProof/>
          <w:sz w:val="20"/>
          <w:szCs w:val="20"/>
        </w:rPr>
      </w:pPr>
    </w:p>
    <w:p w14:paraId="0528EE3E" w14:textId="0E4863F8" w:rsidR="005526A0" w:rsidRDefault="005526A0" w:rsidP="00861D0A">
      <w:pPr>
        <w:tabs>
          <w:tab w:val="left" w:pos="426"/>
        </w:tabs>
        <w:jc w:val="both"/>
        <w:rPr>
          <w:rFonts w:ascii="Arial" w:eastAsia="Calibri" w:hAnsi="Arial" w:cs="Arial"/>
          <w:b/>
          <w:bCs/>
          <w:noProof/>
          <w:sz w:val="20"/>
          <w:szCs w:val="20"/>
        </w:rPr>
      </w:pPr>
    </w:p>
    <w:p w14:paraId="0A2FD15A" w14:textId="677F1C45" w:rsidR="005526A0" w:rsidRDefault="005526A0" w:rsidP="00861D0A">
      <w:pPr>
        <w:tabs>
          <w:tab w:val="left" w:pos="426"/>
        </w:tabs>
        <w:jc w:val="both"/>
        <w:rPr>
          <w:rFonts w:ascii="Arial" w:eastAsia="Calibri" w:hAnsi="Arial" w:cs="Arial"/>
          <w:b/>
          <w:bCs/>
          <w:noProof/>
          <w:sz w:val="20"/>
          <w:szCs w:val="20"/>
        </w:rPr>
      </w:pPr>
    </w:p>
    <w:p w14:paraId="126C7436" w14:textId="65B2F9BB" w:rsidR="005526A0" w:rsidRDefault="005526A0" w:rsidP="00861D0A">
      <w:pPr>
        <w:tabs>
          <w:tab w:val="left" w:pos="426"/>
        </w:tabs>
        <w:jc w:val="both"/>
        <w:rPr>
          <w:rFonts w:ascii="Arial" w:eastAsia="Calibri" w:hAnsi="Arial" w:cs="Arial"/>
          <w:b/>
          <w:bCs/>
          <w:noProof/>
          <w:sz w:val="20"/>
          <w:szCs w:val="20"/>
        </w:rPr>
      </w:pPr>
    </w:p>
    <w:p w14:paraId="1E236B07" w14:textId="4FCDBB31" w:rsidR="005526A0" w:rsidRDefault="005526A0" w:rsidP="00861D0A">
      <w:pPr>
        <w:tabs>
          <w:tab w:val="left" w:pos="426"/>
        </w:tabs>
        <w:jc w:val="both"/>
        <w:rPr>
          <w:rFonts w:ascii="Arial" w:eastAsia="Calibri" w:hAnsi="Arial" w:cs="Arial"/>
          <w:b/>
          <w:bCs/>
          <w:noProof/>
          <w:sz w:val="20"/>
          <w:szCs w:val="20"/>
        </w:rPr>
      </w:pPr>
    </w:p>
    <w:p w14:paraId="229323DD" w14:textId="01D39FB1" w:rsidR="005526A0" w:rsidRDefault="005526A0" w:rsidP="00861D0A">
      <w:pPr>
        <w:tabs>
          <w:tab w:val="left" w:pos="426"/>
        </w:tabs>
        <w:jc w:val="both"/>
        <w:rPr>
          <w:rFonts w:ascii="Arial" w:eastAsia="Calibri" w:hAnsi="Arial" w:cs="Arial"/>
          <w:b/>
          <w:bCs/>
          <w:noProof/>
          <w:sz w:val="20"/>
          <w:szCs w:val="20"/>
        </w:rPr>
      </w:pPr>
    </w:p>
    <w:p w14:paraId="2EA20AF0" w14:textId="198A7787" w:rsidR="005526A0" w:rsidRDefault="005526A0" w:rsidP="00861D0A">
      <w:pPr>
        <w:tabs>
          <w:tab w:val="left" w:pos="426"/>
        </w:tabs>
        <w:jc w:val="both"/>
        <w:rPr>
          <w:rFonts w:ascii="Arial" w:eastAsia="Calibri" w:hAnsi="Arial" w:cs="Arial"/>
          <w:b/>
          <w:bCs/>
          <w:noProof/>
          <w:sz w:val="20"/>
          <w:szCs w:val="20"/>
        </w:rPr>
      </w:pPr>
    </w:p>
    <w:p w14:paraId="70183475" w14:textId="6BA1521B" w:rsidR="005526A0" w:rsidRDefault="005526A0" w:rsidP="00861D0A">
      <w:pPr>
        <w:tabs>
          <w:tab w:val="left" w:pos="426"/>
        </w:tabs>
        <w:jc w:val="both"/>
        <w:rPr>
          <w:rFonts w:ascii="Arial" w:eastAsia="Calibri" w:hAnsi="Arial" w:cs="Arial"/>
          <w:b/>
          <w:bCs/>
          <w:noProof/>
          <w:sz w:val="20"/>
          <w:szCs w:val="20"/>
        </w:rPr>
      </w:pPr>
    </w:p>
    <w:p w14:paraId="26D7BB57" w14:textId="3D3AB0E1" w:rsidR="005526A0" w:rsidRDefault="005526A0" w:rsidP="00861D0A">
      <w:pPr>
        <w:tabs>
          <w:tab w:val="left" w:pos="426"/>
        </w:tabs>
        <w:jc w:val="both"/>
        <w:rPr>
          <w:rFonts w:ascii="Arial" w:eastAsia="Calibri" w:hAnsi="Arial" w:cs="Arial"/>
          <w:b/>
          <w:bCs/>
          <w:noProof/>
          <w:sz w:val="20"/>
          <w:szCs w:val="20"/>
        </w:rPr>
      </w:pPr>
    </w:p>
    <w:p w14:paraId="0FA06B07" w14:textId="1836A35E" w:rsidR="005526A0" w:rsidRDefault="005526A0" w:rsidP="00861D0A">
      <w:pPr>
        <w:tabs>
          <w:tab w:val="left" w:pos="426"/>
        </w:tabs>
        <w:jc w:val="both"/>
        <w:rPr>
          <w:rFonts w:ascii="Arial" w:eastAsia="Calibri" w:hAnsi="Arial" w:cs="Arial"/>
          <w:b/>
          <w:bCs/>
          <w:noProof/>
          <w:sz w:val="20"/>
          <w:szCs w:val="20"/>
        </w:rPr>
      </w:pPr>
    </w:p>
    <w:p w14:paraId="03260CFE" w14:textId="65CD1675" w:rsidR="005526A0" w:rsidRDefault="005526A0" w:rsidP="00861D0A">
      <w:pPr>
        <w:tabs>
          <w:tab w:val="left" w:pos="426"/>
        </w:tabs>
        <w:jc w:val="both"/>
        <w:rPr>
          <w:rFonts w:ascii="Arial" w:eastAsia="Calibri" w:hAnsi="Arial" w:cs="Arial"/>
          <w:b/>
          <w:bCs/>
          <w:noProof/>
          <w:sz w:val="20"/>
          <w:szCs w:val="20"/>
        </w:rPr>
      </w:pPr>
    </w:p>
    <w:p w14:paraId="07E36A77" w14:textId="3A78072F" w:rsidR="005526A0" w:rsidRDefault="005526A0" w:rsidP="00861D0A">
      <w:pPr>
        <w:tabs>
          <w:tab w:val="left" w:pos="426"/>
        </w:tabs>
        <w:jc w:val="both"/>
        <w:rPr>
          <w:rFonts w:ascii="Arial" w:eastAsia="Calibri" w:hAnsi="Arial" w:cs="Arial"/>
          <w:b/>
          <w:bCs/>
          <w:noProof/>
          <w:sz w:val="20"/>
          <w:szCs w:val="20"/>
        </w:rPr>
      </w:pPr>
    </w:p>
    <w:p w14:paraId="29B87981" w14:textId="77777777" w:rsidR="005526A0" w:rsidRPr="00861D0A" w:rsidRDefault="005526A0" w:rsidP="00861D0A">
      <w:pPr>
        <w:tabs>
          <w:tab w:val="left" w:pos="426"/>
        </w:tabs>
        <w:jc w:val="both"/>
        <w:rPr>
          <w:rFonts w:ascii="Arial" w:eastAsia="Calibri" w:hAnsi="Arial" w:cs="Arial"/>
          <w:b/>
          <w:bCs/>
          <w:noProof/>
          <w:sz w:val="20"/>
          <w:szCs w:val="20"/>
        </w:rPr>
      </w:pPr>
    </w:p>
    <w:p w14:paraId="6A63C585" w14:textId="367F628A" w:rsidR="00E111EA" w:rsidRPr="00B03CFE" w:rsidRDefault="00E111EA" w:rsidP="00F06A29">
      <w:pPr>
        <w:jc w:val="both"/>
        <w:rPr>
          <w:rFonts w:ascii="Arial" w:hAnsi="Arial" w:cs="Arial"/>
          <w:color w:val="000000" w:themeColor="text1"/>
          <w:sz w:val="22"/>
          <w:szCs w:val="22"/>
          <w:lang w:val="es-ES"/>
        </w:rPr>
      </w:pPr>
    </w:p>
    <w:p w14:paraId="4FF41096" w14:textId="612D3D21" w:rsidR="00451E90" w:rsidRPr="00B03CFE" w:rsidRDefault="00451E90" w:rsidP="00F06A29">
      <w:pPr>
        <w:jc w:val="both"/>
        <w:rPr>
          <w:rFonts w:ascii="Arial" w:hAnsi="Arial" w:cs="Arial"/>
          <w:color w:val="000000" w:themeColor="text1"/>
          <w:sz w:val="22"/>
          <w:szCs w:val="22"/>
          <w:lang w:val="es-ES"/>
        </w:rPr>
      </w:pPr>
    </w:p>
    <w:p w14:paraId="1F8F17BF" w14:textId="4F8EBE6C" w:rsidR="00451E90" w:rsidRPr="00B03CFE" w:rsidRDefault="00451E90" w:rsidP="00F06A29">
      <w:pPr>
        <w:jc w:val="both"/>
        <w:rPr>
          <w:rFonts w:ascii="Arial" w:hAnsi="Arial" w:cs="Arial"/>
          <w:color w:val="000000" w:themeColor="text1"/>
          <w:sz w:val="22"/>
          <w:szCs w:val="22"/>
          <w:lang w:val="es-ES"/>
        </w:rPr>
      </w:pPr>
    </w:p>
    <w:p w14:paraId="322C0C61" w14:textId="251A2521" w:rsidR="00451E90" w:rsidRDefault="00451E90" w:rsidP="00F06A29">
      <w:pPr>
        <w:jc w:val="both"/>
        <w:rPr>
          <w:rFonts w:ascii="Arial" w:hAnsi="Arial" w:cs="Arial"/>
          <w:color w:val="000000" w:themeColor="text1"/>
          <w:sz w:val="22"/>
          <w:szCs w:val="22"/>
          <w:lang w:val="es-ES"/>
        </w:rPr>
      </w:pPr>
    </w:p>
    <w:p w14:paraId="770F1F9A" w14:textId="1A3C5521" w:rsidR="005526A0" w:rsidRDefault="005526A0" w:rsidP="00F06A29">
      <w:pPr>
        <w:jc w:val="both"/>
        <w:rPr>
          <w:rFonts w:ascii="Arial" w:hAnsi="Arial" w:cs="Arial"/>
          <w:color w:val="000000" w:themeColor="text1"/>
          <w:sz w:val="22"/>
          <w:szCs w:val="22"/>
          <w:lang w:val="es-ES"/>
        </w:rPr>
      </w:pPr>
    </w:p>
    <w:p w14:paraId="179A81F9" w14:textId="77777777" w:rsidR="005526A0" w:rsidRPr="00B03CFE" w:rsidRDefault="005526A0" w:rsidP="00F06A29">
      <w:pPr>
        <w:jc w:val="both"/>
        <w:rPr>
          <w:rFonts w:ascii="Arial" w:hAnsi="Arial" w:cs="Arial"/>
          <w:color w:val="000000" w:themeColor="text1"/>
          <w:sz w:val="22"/>
          <w:szCs w:val="22"/>
          <w:lang w:val="es-ES"/>
        </w:rPr>
      </w:pPr>
    </w:p>
    <w:p w14:paraId="5DD385BA" w14:textId="16BE17AD" w:rsidR="00451E90" w:rsidRPr="00B03CFE" w:rsidRDefault="00451E90" w:rsidP="00F06A29">
      <w:pPr>
        <w:jc w:val="both"/>
        <w:rPr>
          <w:rFonts w:ascii="Arial" w:hAnsi="Arial" w:cs="Arial"/>
          <w:color w:val="000000" w:themeColor="text1"/>
          <w:sz w:val="22"/>
          <w:szCs w:val="22"/>
          <w:lang w:val="es-ES"/>
        </w:rPr>
      </w:pPr>
    </w:p>
    <w:p w14:paraId="159EF8EE" w14:textId="4DF0D993" w:rsidR="00451E90" w:rsidRDefault="00451E90" w:rsidP="00F06A29">
      <w:pPr>
        <w:jc w:val="both"/>
        <w:rPr>
          <w:rFonts w:ascii="Arial" w:hAnsi="Arial" w:cs="Arial"/>
          <w:color w:val="000000" w:themeColor="text1"/>
          <w:sz w:val="22"/>
          <w:szCs w:val="22"/>
          <w:lang w:val="es-ES"/>
        </w:rPr>
      </w:pPr>
    </w:p>
    <w:p w14:paraId="2BD7C621" w14:textId="77777777" w:rsidR="006F6B04" w:rsidRPr="00B03CFE" w:rsidRDefault="006F6B04" w:rsidP="00F06A29">
      <w:pPr>
        <w:jc w:val="both"/>
        <w:rPr>
          <w:rFonts w:ascii="Arial" w:hAnsi="Arial" w:cs="Arial"/>
          <w:color w:val="000000" w:themeColor="text1"/>
          <w:sz w:val="22"/>
          <w:szCs w:val="22"/>
          <w:lang w:val="es-ES"/>
        </w:rPr>
      </w:pPr>
    </w:p>
    <w:p w14:paraId="49D15ABF" w14:textId="77777777" w:rsidR="004B3D4D" w:rsidRPr="00B03CFE" w:rsidRDefault="004B3D4D" w:rsidP="00F06A29">
      <w:pPr>
        <w:jc w:val="both"/>
        <w:rPr>
          <w:rFonts w:ascii="Arial" w:hAnsi="Arial" w:cs="Arial"/>
          <w:bCs/>
          <w:color w:val="161616" w:themeColor="background1" w:themeShade="1A"/>
          <w:sz w:val="22"/>
          <w:szCs w:val="22"/>
          <w:lang w:val="es-ES"/>
        </w:rPr>
      </w:pPr>
    </w:p>
    <w:p w14:paraId="36437CB6" w14:textId="77777777" w:rsidR="005526A0" w:rsidRDefault="005526A0" w:rsidP="00F06A29">
      <w:pPr>
        <w:rPr>
          <w:rFonts w:ascii="Arial" w:hAnsi="Arial" w:cs="Arial"/>
          <w:color w:val="161616" w:themeColor="background1" w:themeShade="1A"/>
          <w:sz w:val="22"/>
          <w:szCs w:val="22"/>
          <w:lang w:val="es-ES"/>
        </w:rPr>
      </w:pPr>
      <w:bookmarkStart w:id="1" w:name="_Hlk70510939"/>
    </w:p>
    <w:p w14:paraId="5E20D099" w14:textId="77777777" w:rsidR="005526A0" w:rsidRDefault="005526A0" w:rsidP="00F06A29">
      <w:pPr>
        <w:rPr>
          <w:rFonts w:ascii="Arial" w:hAnsi="Arial" w:cs="Arial"/>
          <w:color w:val="161616" w:themeColor="background1" w:themeShade="1A"/>
          <w:sz w:val="22"/>
          <w:szCs w:val="22"/>
          <w:lang w:val="es-ES"/>
        </w:rPr>
      </w:pPr>
    </w:p>
    <w:p w14:paraId="31292648" w14:textId="12AE6E8D" w:rsidR="00103D05" w:rsidRDefault="00103D05" w:rsidP="00F06A29">
      <w:pPr>
        <w:rPr>
          <w:rFonts w:ascii="Arial" w:hAnsi="Arial" w:cs="Arial"/>
          <w:color w:val="161616" w:themeColor="background1" w:themeShade="1A"/>
          <w:sz w:val="22"/>
          <w:szCs w:val="22"/>
          <w:lang w:val="es-ES"/>
        </w:rPr>
      </w:pPr>
    </w:p>
    <w:p w14:paraId="48D3DB42" w14:textId="7215DA4D" w:rsidR="00103D05" w:rsidRDefault="00103D05" w:rsidP="00103D05">
      <w:pPr>
        <w:jc w:val="right"/>
        <w:rPr>
          <w:rFonts w:ascii="Arial" w:hAnsi="Arial" w:cs="Arial"/>
          <w:color w:val="161616" w:themeColor="background1" w:themeShade="1A"/>
          <w:sz w:val="22"/>
          <w:szCs w:val="22"/>
          <w:lang w:val="es-ES"/>
        </w:rPr>
      </w:pPr>
      <w:r>
        <w:rPr>
          <w:noProof/>
        </w:rPr>
        <w:drawing>
          <wp:inline distT="0" distB="0" distL="0" distR="0" wp14:anchorId="4B64BF79" wp14:editId="02E63ECA">
            <wp:extent cx="3086100" cy="790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07" t="58716" r="8185" b="15902"/>
                    <a:stretch/>
                  </pic:blipFill>
                  <pic:spPr bwMode="auto">
                    <a:xfrm>
                      <a:off x="0" y="0"/>
                      <a:ext cx="3086100" cy="790575"/>
                    </a:xfrm>
                    <a:prstGeom prst="rect">
                      <a:avLst/>
                    </a:prstGeom>
                    <a:ln>
                      <a:noFill/>
                    </a:ln>
                    <a:extLst>
                      <a:ext uri="{53640926-AAD7-44D8-BBD7-CCE9431645EC}">
                        <a14:shadowObscured xmlns:a14="http://schemas.microsoft.com/office/drawing/2010/main"/>
                      </a:ext>
                    </a:extLst>
                  </pic:spPr>
                </pic:pic>
              </a:graphicData>
            </a:graphic>
          </wp:inline>
        </w:drawing>
      </w:r>
    </w:p>
    <w:p w14:paraId="14B88906" w14:textId="3FF0BEC6" w:rsidR="00A52206" w:rsidRDefault="00A52206" w:rsidP="00A52206">
      <w:pPr>
        <w:rPr>
          <w:rFonts w:ascii="Arial" w:hAnsi="Arial" w:cs="Arial"/>
          <w:color w:val="161616" w:themeColor="background1" w:themeShade="1A"/>
          <w:sz w:val="22"/>
          <w:szCs w:val="22"/>
          <w:lang w:val="es-ES"/>
        </w:rPr>
      </w:pPr>
      <w:r>
        <w:rPr>
          <w:rFonts w:ascii="Arial" w:hAnsi="Arial" w:cs="Arial"/>
          <w:color w:val="161616" w:themeColor="background1" w:themeShade="1A"/>
          <w:sz w:val="22"/>
          <w:szCs w:val="22"/>
          <w:lang w:val="es-ES"/>
        </w:rPr>
        <w:t>Bogotá</w:t>
      </w:r>
      <w:r>
        <w:rPr>
          <w:rFonts w:ascii="Arial" w:hAnsi="Arial" w:cs="Arial"/>
          <w:color w:val="161616" w:themeColor="background1" w:themeShade="1A"/>
          <w:sz w:val="22"/>
          <w:szCs w:val="22"/>
          <w:lang w:val="es-ES"/>
        </w:rPr>
        <w:t>,</w:t>
      </w:r>
      <w:r>
        <w:rPr>
          <w:rFonts w:ascii="Arial" w:hAnsi="Arial" w:cs="Arial"/>
          <w:color w:val="161616" w:themeColor="background1" w:themeShade="1A"/>
          <w:sz w:val="22"/>
          <w:szCs w:val="22"/>
          <w:lang w:val="es-ES"/>
        </w:rPr>
        <w:t xml:space="preserve"> 23 mayo 2022</w:t>
      </w:r>
    </w:p>
    <w:p w14:paraId="748DF33A" w14:textId="4F0306F5" w:rsidR="00103D05" w:rsidRDefault="00103D05" w:rsidP="00F06A29">
      <w:pPr>
        <w:rPr>
          <w:rFonts w:ascii="Arial" w:hAnsi="Arial" w:cs="Arial"/>
          <w:color w:val="161616" w:themeColor="background1" w:themeShade="1A"/>
          <w:sz w:val="22"/>
          <w:szCs w:val="22"/>
          <w:lang w:val="es-ES"/>
        </w:rPr>
      </w:pPr>
    </w:p>
    <w:p w14:paraId="422EB3E7" w14:textId="77777777" w:rsidR="00A52206" w:rsidRDefault="00A52206" w:rsidP="00F06A29">
      <w:pPr>
        <w:rPr>
          <w:rFonts w:ascii="Arial" w:hAnsi="Arial" w:cs="Arial"/>
          <w:color w:val="161616" w:themeColor="background1" w:themeShade="1A"/>
          <w:sz w:val="22"/>
          <w:szCs w:val="22"/>
          <w:lang w:val="es-ES"/>
        </w:rPr>
      </w:pPr>
    </w:p>
    <w:p w14:paraId="6E444D61" w14:textId="4D2737A1" w:rsidR="00E54365" w:rsidRPr="00B03CFE" w:rsidRDefault="00E54365" w:rsidP="00F06A29">
      <w:pPr>
        <w:rPr>
          <w:rFonts w:ascii="Arial" w:hAnsi="Arial" w:cs="Arial"/>
          <w:color w:val="161616" w:themeColor="background1" w:themeShade="1A"/>
          <w:sz w:val="22"/>
          <w:szCs w:val="22"/>
          <w:lang w:val="es-ES"/>
        </w:rPr>
      </w:pPr>
      <w:r w:rsidRPr="00B03CFE">
        <w:rPr>
          <w:rFonts w:ascii="Arial" w:hAnsi="Arial" w:cs="Arial"/>
          <w:color w:val="161616" w:themeColor="background1" w:themeShade="1A"/>
          <w:sz w:val="22"/>
          <w:szCs w:val="22"/>
          <w:lang w:val="es-ES"/>
        </w:rPr>
        <w:t>Señor</w:t>
      </w:r>
    </w:p>
    <w:p w14:paraId="5054D7CD" w14:textId="344DF945" w:rsidR="00212401" w:rsidRPr="00CF267E" w:rsidRDefault="00A878F0" w:rsidP="00B0182C">
      <w:pPr>
        <w:jc w:val="both"/>
        <w:rPr>
          <w:rFonts w:ascii="Arial" w:hAnsi="Arial" w:cs="Arial"/>
          <w:color w:val="000000" w:themeColor="text1"/>
          <w:sz w:val="22"/>
          <w:szCs w:val="22"/>
          <w:lang w:val="es-ES_tradnl"/>
        </w:rPr>
      </w:pPr>
      <w:r w:rsidRPr="00A878F0">
        <w:rPr>
          <w:rFonts w:ascii="Arial" w:hAnsi="Arial" w:cs="Arial"/>
          <w:b/>
          <w:bCs/>
          <w:color w:val="000000" w:themeColor="text1"/>
          <w:sz w:val="22"/>
          <w:szCs w:val="22"/>
        </w:rPr>
        <w:t>Jesús Armando Cervantes Ceballos</w:t>
      </w:r>
      <w:r w:rsidRPr="00A878F0">
        <w:rPr>
          <w:rFonts w:ascii="Arial" w:hAnsi="Arial" w:cs="Arial"/>
          <w:color w:val="000000" w:themeColor="text1"/>
          <w:sz w:val="22"/>
          <w:szCs w:val="22"/>
        </w:rPr>
        <w:cr/>
      </w:r>
      <w:r w:rsidR="00C2524E">
        <w:rPr>
          <w:rFonts w:ascii="Arial" w:hAnsi="Arial" w:cs="Arial"/>
          <w:color w:val="000000" w:themeColor="text1"/>
          <w:sz w:val="22"/>
          <w:szCs w:val="22"/>
        </w:rPr>
        <w:t>Valledupar</w:t>
      </w:r>
      <w:r w:rsidR="006F6B04">
        <w:rPr>
          <w:rFonts w:ascii="Arial" w:hAnsi="Arial" w:cs="Arial"/>
          <w:color w:val="000000" w:themeColor="text1"/>
          <w:sz w:val="22"/>
          <w:szCs w:val="22"/>
        </w:rPr>
        <w:t>, Cesar</w:t>
      </w:r>
      <w:r w:rsidR="00CF267E">
        <w:rPr>
          <w:rFonts w:ascii="Arial" w:hAnsi="Arial" w:cs="Arial"/>
          <w:color w:val="000000" w:themeColor="text1"/>
          <w:sz w:val="22"/>
          <w:szCs w:val="22"/>
          <w:lang w:val="es-ES_tradnl"/>
        </w:rPr>
        <w:t xml:space="preserve"> </w:t>
      </w:r>
    </w:p>
    <w:p w14:paraId="462F7397" w14:textId="06930FB6" w:rsidR="0076432E" w:rsidRDefault="0076432E" w:rsidP="00F06A29">
      <w:pPr>
        <w:ind w:left="2124" w:firstLine="708"/>
        <w:rPr>
          <w:rFonts w:ascii="Arial" w:hAnsi="Arial" w:cs="Arial"/>
          <w:b/>
          <w:bCs/>
          <w:color w:val="161616" w:themeColor="background1" w:themeShade="1A"/>
          <w:sz w:val="22"/>
          <w:szCs w:val="22"/>
          <w:lang w:val="es-ES_tradnl"/>
        </w:rPr>
      </w:pPr>
    </w:p>
    <w:p w14:paraId="52CE7B0E" w14:textId="77777777" w:rsidR="004B3D4D" w:rsidRPr="00515D32" w:rsidRDefault="004B3D4D" w:rsidP="00F06A29">
      <w:pPr>
        <w:ind w:left="2124" w:firstLine="708"/>
        <w:rPr>
          <w:rFonts w:ascii="Arial" w:hAnsi="Arial" w:cs="Arial"/>
          <w:b/>
          <w:bCs/>
          <w:color w:val="161616" w:themeColor="background1" w:themeShade="1A"/>
          <w:sz w:val="22"/>
          <w:szCs w:val="22"/>
          <w:lang w:val="es-ES_tradnl"/>
        </w:rPr>
      </w:pPr>
    </w:p>
    <w:p w14:paraId="17BA6817" w14:textId="7934CC3A" w:rsidR="00E54365" w:rsidRPr="00515D32" w:rsidRDefault="00E54365" w:rsidP="00F06A29">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672725">
        <w:rPr>
          <w:rFonts w:ascii="Arial" w:hAnsi="Arial" w:cs="Arial"/>
          <w:b/>
          <w:bCs/>
          <w:color w:val="161616" w:themeColor="background1" w:themeShade="1A"/>
          <w:sz w:val="22"/>
          <w:szCs w:val="22"/>
          <w:lang w:val="es-ES_tradnl"/>
        </w:rPr>
        <w:t>351</w:t>
      </w:r>
      <w:r w:rsidR="00455438">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22E8A6F3" w14:textId="74431952" w:rsidR="00672725" w:rsidRPr="003E1DFC" w:rsidRDefault="00E54365" w:rsidP="00672725">
      <w:pPr>
        <w:ind w:left="2824" w:hanging="2818"/>
        <w:jc w:val="both"/>
        <w:rPr>
          <w:rFonts w:ascii="Arial" w:eastAsia="Calibri" w:hAnsi="Arial" w:cs="Arial"/>
          <w:bCs/>
          <w:color w:val="161616" w:themeColor="background1" w:themeShade="1A"/>
          <w:sz w:val="22"/>
          <w:szCs w:val="22"/>
          <w:lang w:val="es-MX"/>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5526A0" w:rsidRPr="005526A0">
        <w:rPr>
          <w:rFonts w:ascii="Arial" w:eastAsia="Calibri" w:hAnsi="Arial" w:cs="Arial"/>
          <w:bCs/>
          <w:color w:val="161616" w:themeColor="background1" w:themeShade="1A"/>
          <w:sz w:val="22"/>
          <w:szCs w:val="22"/>
          <w:lang w:val="es-ES_tradnl"/>
        </w:rPr>
        <w:t>CAPACIDAD RESIDUAL – Definición – Requisito habilitante – Contratos de Obra Pública</w:t>
      </w:r>
      <w:r w:rsidR="005526A0">
        <w:rPr>
          <w:rFonts w:ascii="Arial" w:eastAsia="Calibri" w:hAnsi="Arial" w:cs="Arial"/>
          <w:bCs/>
          <w:color w:val="161616" w:themeColor="background1" w:themeShade="1A"/>
          <w:sz w:val="22"/>
          <w:szCs w:val="22"/>
          <w:lang w:val="es-ES_tradnl"/>
        </w:rPr>
        <w:t xml:space="preserve"> / </w:t>
      </w:r>
      <w:r w:rsidR="00496FA4" w:rsidRPr="00496FA4">
        <w:rPr>
          <w:rFonts w:ascii="Arial" w:eastAsia="Calibri" w:hAnsi="Arial" w:cs="Arial"/>
          <w:bCs/>
          <w:color w:val="161616" w:themeColor="background1" w:themeShade="1A"/>
          <w:sz w:val="22"/>
          <w:szCs w:val="22"/>
          <w:lang w:val="es-ES_tradnl"/>
        </w:rPr>
        <w:t>CAPACIDAD RESIDUAL – Acreditación</w:t>
      </w:r>
      <w:r w:rsidR="003E1DFC">
        <w:rPr>
          <w:rFonts w:ascii="Arial" w:eastAsia="Calibri" w:hAnsi="Arial" w:cs="Arial"/>
          <w:bCs/>
          <w:color w:val="161616" w:themeColor="background1" w:themeShade="1A"/>
          <w:sz w:val="22"/>
          <w:szCs w:val="22"/>
          <w:lang w:val="es-ES_tradnl"/>
        </w:rPr>
        <w:t xml:space="preserve"> / </w:t>
      </w:r>
      <w:r w:rsidR="003E1DFC" w:rsidRPr="003E1DFC">
        <w:rPr>
          <w:rFonts w:ascii="Arial" w:eastAsia="Calibri" w:hAnsi="Arial" w:cs="Arial"/>
          <w:bCs/>
          <w:color w:val="161616" w:themeColor="background1" w:themeShade="1A"/>
          <w:sz w:val="22"/>
          <w:szCs w:val="22"/>
          <w:lang w:val="es-ES_tradnl"/>
        </w:rPr>
        <w:t>CAPACIDAD RESIDUAL – Cálculo – Factores – Contratos en ejecución</w:t>
      </w:r>
      <w:r w:rsidR="003E1DFC">
        <w:rPr>
          <w:rFonts w:ascii="Arial" w:eastAsia="Calibri" w:hAnsi="Arial" w:cs="Arial"/>
          <w:bCs/>
          <w:color w:val="161616" w:themeColor="background1" w:themeShade="1A"/>
          <w:sz w:val="22"/>
          <w:szCs w:val="22"/>
          <w:lang w:val="es-ES_tradnl"/>
        </w:rPr>
        <w:t xml:space="preserve"> / </w:t>
      </w:r>
      <w:r w:rsidR="003E1DFC" w:rsidRPr="003E1DFC">
        <w:rPr>
          <w:rFonts w:ascii="Arial" w:eastAsia="Calibri" w:hAnsi="Arial" w:cs="Arial"/>
          <w:bCs/>
          <w:color w:val="161616" w:themeColor="background1" w:themeShade="1A"/>
          <w:sz w:val="22"/>
          <w:szCs w:val="22"/>
          <w:lang w:val="es-ES_tradnl"/>
        </w:rPr>
        <w:t>CONTRATOS EN EJECUCIÓN – Definición</w:t>
      </w:r>
      <w:r w:rsidR="003E1DFC">
        <w:rPr>
          <w:rFonts w:ascii="Arial" w:eastAsia="Calibri" w:hAnsi="Arial" w:cs="Arial"/>
          <w:bCs/>
          <w:color w:val="161616" w:themeColor="background1" w:themeShade="1A"/>
          <w:sz w:val="22"/>
          <w:szCs w:val="22"/>
          <w:lang w:val="es-ES_tradnl"/>
        </w:rPr>
        <w:t xml:space="preserve">. </w:t>
      </w:r>
    </w:p>
    <w:p w14:paraId="6059F3C0" w14:textId="5259745E" w:rsidR="000E561B" w:rsidRPr="00672725" w:rsidRDefault="000E561B" w:rsidP="00983695">
      <w:pPr>
        <w:spacing w:after="120"/>
        <w:ind w:left="2824" w:hanging="2818"/>
        <w:jc w:val="both"/>
        <w:rPr>
          <w:rFonts w:ascii="Arial" w:eastAsia="Calibri" w:hAnsi="Arial" w:cs="Arial"/>
          <w:bCs/>
          <w:color w:val="161616" w:themeColor="background1" w:themeShade="1A"/>
          <w:sz w:val="22"/>
          <w:szCs w:val="22"/>
        </w:rPr>
      </w:pPr>
    </w:p>
    <w:p w14:paraId="49699107" w14:textId="2C67CD4B" w:rsidR="00E54365" w:rsidRPr="00515D32" w:rsidRDefault="00E54365" w:rsidP="00F06A29">
      <w:pPr>
        <w:ind w:left="2835" w:hanging="2835"/>
        <w:jc w:val="both"/>
        <w:rPr>
          <w:rFonts w:ascii="Arial" w:hAnsi="Arial" w:cs="Arial"/>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1419D7" w:rsidRPr="001419D7">
        <w:rPr>
          <w:rFonts w:ascii="Arial" w:eastAsia="Calibri" w:hAnsi="Arial" w:cs="Arial"/>
          <w:bCs/>
          <w:noProof/>
          <w:color w:val="161616" w:themeColor="background1" w:themeShade="1A"/>
          <w:sz w:val="22"/>
          <w:szCs w:val="22"/>
          <w:lang w:val="es-ES_tradnl" w:eastAsia="en-US"/>
        </w:rPr>
        <w:t>P20220420003854</w:t>
      </w:r>
      <w:r w:rsidR="00E111EA">
        <w:rPr>
          <w:rFonts w:ascii="Arial" w:eastAsia="Calibri" w:hAnsi="Arial" w:cs="Arial"/>
          <w:bCs/>
          <w:noProof/>
          <w:color w:val="161616" w:themeColor="background1" w:themeShade="1A"/>
          <w:sz w:val="22"/>
          <w:szCs w:val="22"/>
          <w:lang w:val="es-ES_tradnl" w:eastAsia="en-US"/>
        </w:rPr>
        <w:t xml:space="preserve"> </w:t>
      </w:r>
    </w:p>
    <w:p w14:paraId="6502F989" w14:textId="124AE9D6" w:rsidR="00C366C4" w:rsidRDefault="00C366C4" w:rsidP="00F06A29">
      <w:pPr>
        <w:rPr>
          <w:rFonts w:ascii="Arial" w:hAnsi="Arial" w:cs="Arial"/>
          <w:color w:val="161616" w:themeColor="background1" w:themeShade="1A"/>
          <w:sz w:val="22"/>
          <w:szCs w:val="22"/>
          <w:lang w:val="es-ES_tradnl"/>
        </w:rPr>
      </w:pPr>
    </w:p>
    <w:p w14:paraId="5EF97382" w14:textId="77777777" w:rsidR="0063440E" w:rsidRPr="00515D32" w:rsidRDefault="0063440E" w:rsidP="00F06A29">
      <w:pPr>
        <w:rPr>
          <w:rFonts w:ascii="Arial" w:hAnsi="Arial" w:cs="Arial"/>
          <w:color w:val="161616" w:themeColor="background1" w:themeShade="1A"/>
          <w:sz w:val="22"/>
          <w:szCs w:val="22"/>
          <w:lang w:val="es-ES_tradnl"/>
        </w:rPr>
      </w:pPr>
    </w:p>
    <w:p w14:paraId="71ED9EB2" w14:textId="4A58F30F" w:rsidR="00E54365" w:rsidRPr="00515D32" w:rsidRDefault="00E54365" w:rsidP="00870412">
      <w:pPr>
        <w:spacing w:before="240" w:line="276" w:lineRule="auto"/>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1419D7">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w:t>
      </w:r>
      <w:r w:rsidR="001419D7">
        <w:rPr>
          <w:rFonts w:ascii="Arial" w:hAnsi="Arial" w:cs="Arial"/>
          <w:color w:val="161616" w:themeColor="background1" w:themeShade="1A"/>
          <w:sz w:val="22"/>
          <w:szCs w:val="22"/>
          <w:lang w:val="es-ES_tradnl"/>
        </w:rPr>
        <w:t xml:space="preserve"> Cervantes</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59F550C5" w14:textId="4839CA97" w:rsidR="00B32DB2" w:rsidRPr="00515D32" w:rsidRDefault="00E54365"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584D9E" w:rsidRPr="00584D9E">
        <w:rPr>
          <w:rFonts w:ascii="Arial" w:hAnsi="Arial" w:cs="Arial"/>
          <w:color w:val="161616" w:themeColor="background1" w:themeShade="1A"/>
          <w:sz w:val="22"/>
          <w:szCs w:val="22"/>
          <w:lang w:val="es-ES_tradnl"/>
        </w:rPr>
        <w:t xml:space="preserve">remitida el </w:t>
      </w:r>
      <w:r w:rsidR="00EA2015">
        <w:rPr>
          <w:rFonts w:ascii="Arial" w:hAnsi="Arial" w:cs="Arial"/>
          <w:color w:val="161616" w:themeColor="background1" w:themeShade="1A"/>
          <w:sz w:val="22"/>
          <w:szCs w:val="22"/>
          <w:lang w:val="es-ES_tradnl"/>
        </w:rPr>
        <w:t>2</w:t>
      </w:r>
      <w:r w:rsidR="00D517B4">
        <w:rPr>
          <w:rFonts w:ascii="Arial" w:hAnsi="Arial" w:cs="Arial"/>
          <w:color w:val="161616" w:themeColor="background1" w:themeShade="1A"/>
          <w:sz w:val="22"/>
          <w:szCs w:val="22"/>
          <w:lang w:val="es-ES_tradnl"/>
        </w:rPr>
        <w:t>0</w:t>
      </w:r>
      <w:r w:rsidR="00EA2015">
        <w:rPr>
          <w:rFonts w:ascii="Arial" w:hAnsi="Arial" w:cs="Arial"/>
          <w:color w:val="161616" w:themeColor="background1" w:themeShade="1A"/>
          <w:sz w:val="22"/>
          <w:szCs w:val="22"/>
          <w:lang w:val="es-ES_tradnl"/>
        </w:rPr>
        <w:t xml:space="preserve"> de </w:t>
      </w:r>
      <w:r w:rsidR="00D517B4">
        <w:rPr>
          <w:rFonts w:ascii="Arial" w:hAnsi="Arial" w:cs="Arial"/>
          <w:color w:val="161616" w:themeColor="background1" w:themeShade="1A"/>
          <w:sz w:val="22"/>
          <w:szCs w:val="22"/>
          <w:lang w:val="es-ES_tradnl"/>
        </w:rPr>
        <w:t>abril</w:t>
      </w:r>
      <w:r w:rsidR="002E257B">
        <w:rPr>
          <w:rFonts w:ascii="Arial" w:hAnsi="Arial" w:cs="Arial"/>
          <w:color w:val="161616" w:themeColor="background1" w:themeShade="1A"/>
          <w:sz w:val="22"/>
          <w:szCs w:val="22"/>
          <w:lang w:val="es-ES_tradnl"/>
        </w:rPr>
        <w:t xml:space="preserve"> </w:t>
      </w:r>
      <w:r w:rsidR="00EA2015">
        <w:rPr>
          <w:rFonts w:ascii="Arial" w:hAnsi="Arial" w:cs="Arial"/>
          <w:color w:val="161616" w:themeColor="background1" w:themeShade="1A"/>
          <w:sz w:val="22"/>
          <w:szCs w:val="22"/>
          <w:lang w:val="es-ES_tradnl"/>
        </w:rPr>
        <w:t>de 2022</w:t>
      </w:r>
      <w:r w:rsidR="002E257B">
        <w:rPr>
          <w:rFonts w:ascii="Arial" w:hAnsi="Arial" w:cs="Arial"/>
          <w:color w:val="161616" w:themeColor="background1" w:themeShade="1A"/>
          <w:sz w:val="22"/>
          <w:szCs w:val="22"/>
          <w:lang w:val="es-ES_tradnl"/>
        </w:rPr>
        <w:t xml:space="preserve">. </w:t>
      </w:r>
    </w:p>
    <w:p w14:paraId="4CDB27A1" w14:textId="23AF4B73" w:rsidR="00FB5E3B" w:rsidRPr="00515D3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0144AA5A" w14:textId="485898A4" w:rsidR="00B32DB2" w:rsidRPr="009B5DE1" w:rsidRDefault="00FB5E3B" w:rsidP="00870412">
      <w:pPr>
        <w:spacing w:before="240" w:line="276" w:lineRule="auto"/>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 siguiente consulta</w:t>
      </w:r>
      <w:r w:rsidR="009B5DE1" w:rsidRPr="009B5DE1">
        <w:rPr>
          <w:rFonts w:ascii="Arial" w:hAnsi="Arial" w:cs="Arial"/>
          <w:color w:val="161616" w:themeColor="background1" w:themeShade="1A"/>
          <w:sz w:val="22"/>
          <w:szCs w:val="22"/>
          <w:lang w:val="es-ES_tradnl"/>
        </w:rPr>
        <w:t>:</w:t>
      </w:r>
      <w:r w:rsidR="00151D08" w:rsidRPr="009B5DE1">
        <w:rPr>
          <w:rFonts w:ascii="Arial" w:hAnsi="Arial" w:cs="Arial"/>
          <w:color w:val="161616" w:themeColor="background1" w:themeShade="1A"/>
          <w:sz w:val="22"/>
          <w:szCs w:val="22"/>
          <w:lang w:val="es-ES_tradnl"/>
        </w:rPr>
        <w:t xml:space="preserve"> </w:t>
      </w:r>
      <w:r w:rsidR="00B94548" w:rsidRPr="009B5DE1">
        <w:rPr>
          <w:rFonts w:ascii="Arial" w:hAnsi="Arial" w:cs="Arial"/>
          <w:color w:val="161616" w:themeColor="background1" w:themeShade="1A"/>
          <w:sz w:val="22"/>
          <w:szCs w:val="22"/>
          <w:lang w:val="es-ES_tradnl"/>
        </w:rPr>
        <w:t>«</w:t>
      </w:r>
      <w:r w:rsidR="00E111EA" w:rsidRPr="009B5DE1">
        <w:rPr>
          <w:rFonts w:ascii="Arial" w:hAnsi="Arial" w:cs="Arial"/>
          <w:color w:val="161616" w:themeColor="background1" w:themeShade="1A"/>
          <w:sz w:val="22"/>
          <w:szCs w:val="22"/>
          <w:lang w:val="es-ES_tradnl"/>
        </w:rPr>
        <w:t>buenos días la presente es para consultar si dentro del formato capacidad residual, el formato saldo de contratos en ejecución se deben relacionar los contratos que tengan actas de adjudicación al momento del cierre de la propuesta</w:t>
      </w:r>
      <w:r w:rsidR="00EA04BE" w:rsidRPr="009B5DE1">
        <w:rPr>
          <w:rFonts w:ascii="Arial" w:hAnsi="Arial" w:cs="Arial"/>
          <w:color w:val="161616" w:themeColor="background1" w:themeShade="1A"/>
          <w:sz w:val="22"/>
          <w:szCs w:val="22"/>
          <w:lang w:val="es-ES_tradnl"/>
        </w:rPr>
        <w:t>»</w:t>
      </w:r>
      <w:r w:rsidR="00983695" w:rsidRPr="009B5DE1">
        <w:rPr>
          <w:rFonts w:ascii="Arial" w:hAnsi="Arial" w:cs="Arial"/>
          <w:color w:val="161616" w:themeColor="background1" w:themeShade="1A"/>
          <w:sz w:val="22"/>
          <w:szCs w:val="22"/>
          <w:lang w:val="es-ES_tradnl"/>
        </w:rPr>
        <w:t>.</w:t>
      </w:r>
    </w:p>
    <w:p w14:paraId="0F58A986" w14:textId="041060E5" w:rsidR="00AA171A" w:rsidRPr="00870412" w:rsidRDefault="00E54365" w:rsidP="00870412">
      <w:pPr>
        <w:spacing w:before="24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2. Consideraciones </w:t>
      </w:r>
    </w:p>
    <w:p w14:paraId="6DCB1B64" w14:textId="646199DD" w:rsidR="00E02842" w:rsidRPr="00E02842" w:rsidRDefault="00E02842" w:rsidP="00870412">
      <w:pPr>
        <w:spacing w:before="240" w:line="276" w:lineRule="auto"/>
        <w:jc w:val="both"/>
        <w:rPr>
          <w:rFonts w:ascii="Arial" w:hAnsi="Arial" w:cs="Arial"/>
          <w:bCs/>
          <w:color w:val="161616" w:themeColor="background1" w:themeShade="1A"/>
          <w:sz w:val="22"/>
          <w:szCs w:val="22"/>
          <w:lang w:val="es-ES"/>
        </w:rPr>
      </w:pPr>
      <w:r w:rsidRPr="00E02842">
        <w:rPr>
          <w:rFonts w:ascii="Arial" w:hAnsi="Arial" w:cs="Arial"/>
          <w:bCs/>
          <w:color w:val="161616" w:themeColor="background1" w:themeShade="1A"/>
          <w:sz w:val="22"/>
          <w:szCs w:val="22"/>
          <w:lang w:val="es-ES"/>
        </w:rPr>
        <w:lastRenderedPageBreak/>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760D29">
        <w:rPr>
          <w:rFonts w:ascii="Arial" w:hAnsi="Arial" w:cs="Arial"/>
          <w:bCs/>
          <w:color w:val="161616" w:themeColor="background1" w:themeShade="1A"/>
          <w:sz w:val="22"/>
          <w:szCs w:val="22"/>
          <w:lang w:val="es-ES"/>
        </w:rPr>
        <w:t>concretos</w:t>
      </w:r>
      <w:r w:rsidR="00760D29" w:rsidRPr="00E02842">
        <w:rPr>
          <w:rFonts w:ascii="Arial" w:hAnsi="Arial" w:cs="Arial"/>
          <w:bCs/>
          <w:color w:val="161616" w:themeColor="background1" w:themeShade="1A"/>
          <w:sz w:val="22"/>
          <w:szCs w:val="22"/>
          <w:lang w:val="es-ES"/>
        </w:rPr>
        <w:t xml:space="preserve"> </w:t>
      </w:r>
      <w:r w:rsidRPr="00E02842">
        <w:rPr>
          <w:rFonts w:ascii="Arial" w:hAnsi="Arial" w:cs="Arial"/>
          <w:bCs/>
          <w:color w:val="161616" w:themeColor="background1" w:themeShade="1A"/>
          <w:sz w:val="22"/>
          <w:szCs w:val="22"/>
          <w:lang w:val="es-ES"/>
        </w:rPr>
        <w:t>de todos los partícipes de la contratación estatal.</w:t>
      </w:r>
    </w:p>
    <w:p w14:paraId="7D730F63" w14:textId="2D501507" w:rsidR="00324011" w:rsidRDefault="00E02842" w:rsidP="00870412">
      <w:pPr>
        <w:spacing w:before="240" w:line="276" w:lineRule="auto"/>
        <w:ind w:firstLine="708"/>
        <w:jc w:val="both"/>
        <w:rPr>
          <w:rFonts w:ascii="Arial" w:hAnsi="Arial" w:cs="Arial"/>
          <w:bCs/>
          <w:color w:val="161616" w:themeColor="background1" w:themeShade="1A"/>
          <w:sz w:val="22"/>
          <w:szCs w:val="22"/>
          <w:lang w:val="es-ES"/>
        </w:rPr>
      </w:pPr>
      <w:r w:rsidRPr="00E02842">
        <w:rPr>
          <w:rFonts w:ascii="Arial" w:hAnsi="Arial" w:cs="Arial"/>
          <w:bCs/>
          <w:color w:val="161616" w:themeColor="background1" w:themeShade="1A"/>
          <w:sz w:val="22"/>
          <w:szCs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 </w:t>
      </w:r>
      <w:r w:rsidR="00BA60E7">
        <w:rPr>
          <w:rFonts w:ascii="Arial" w:hAnsi="Arial" w:cs="Arial"/>
          <w:sz w:val="22"/>
          <w:lang w:val="es-ES"/>
        </w:rPr>
        <w:t xml:space="preserve">Esto en la medida en </w:t>
      </w:r>
      <w:proofErr w:type="gramStart"/>
      <w:r w:rsidR="00BA60E7">
        <w:rPr>
          <w:rFonts w:ascii="Arial" w:hAnsi="Arial" w:cs="Arial"/>
          <w:sz w:val="22"/>
          <w:lang w:val="es-ES"/>
        </w:rPr>
        <w:t>que</w:t>
      </w:r>
      <w:proofErr w:type="gramEnd"/>
      <w:r w:rsidR="00BA60E7">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r w:rsidR="00D54D4B">
        <w:rPr>
          <w:rFonts w:ascii="Arial" w:hAnsi="Arial" w:cs="Arial"/>
          <w:sz w:val="22"/>
          <w:lang w:val="es-ES"/>
        </w:rPr>
        <w:t>.</w:t>
      </w:r>
      <w:r w:rsidR="00D26E1A">
        <w:rPr>
          <w:rFonts w:ascii="Arial" w:hAnsi="Arial" w:cs="Arial"/>
          <w:bCs/>
          <w:color w:val="161616" w:themeColor="background1" w:themeShade="1A"/>
          <w:sz w:val="22"/>
          <w:szCs w:val="22"/>
          <w:lang w:val="es-ES"/>
        </w:rPr>
        <w:t xml:space="preserve"> </w:t>
      </w:r>
      <w:r w:rsidRPr="00E02842">
        <w:rPr>
          <w:rFonts w:ascii="Arial" w:hAnsi="Arial" w:cs="Arial"/>
          <w:bCs/>
          <w:color w:val="161616" w:themeColor="background1" w:themeShade="1A"/>
          <w:sz w:val="22"/>
          <w:szCs w:val="22"/>
          <w:lang w:val="es-ES"/>
        </w:rPr>
        <w:t>Por lo anterior, previo concepto de sus órganos asesores, la solución de estos temas corresponde a la entidad que adelanta el procedimiento de selección y, en caso de conflicto, a las autoridades judiciales, fiscales y disciplinarias.</w:t>
      </w:r>
    </w:p>
    <w:p w14:paraId="39458E44" w14:textId="3673C663" w:rsidR="00870412" w:rsidRPr="00870412" w:rsidRDefault="00E02842" w:rsidP="00870412">
      <w:pPr>
        <w:spacing w:before="240" w:line="276" w:lineRule="auto"/>
        <w:ind w:firstLine="708"/>
        <w:jc w:val="both"/>
        <w:rPr>
          <w:rFonts w:ascii="Arial" w:hAnsi="Arial" w:cs="Arial"/>
          <w:bCs/>
          <w:color w:val="161616" w:themeColor="background1" w:themeShade="1A"/>
          <w:sz w:val="22"/>
          <w:szCs w:val="22"/>
          <w:lang w:val="es-ES"/>
        </w:rPr>
      </w:pPr>
      <w:r w:rsidRPr="00E02842">
        <w:rPr>
          <w:rFonts w:ascii="Arial" w:hAnsi="Arial" w:cs="Arial"/>
          <w:bCs/>
          <w:color w:val="161616" w:themeColor="background1" w:themeShade="1A"/>
          <w:sz w:val="22"/>
          <w:szCs w:val="22"/>
          <w:lang w:val="es-ES"/>
        </w:rPr>
        <w:t>En este contexto, la Subdirección –dentro de los límites de sus atribuciones, esto es, haciendo abstracción del caso particular expuesto por el peticionario– resolverá la consulta conforme a las normas generales en materia de contratación estatal.</w:t>
      </w:r>
      <w:r w:rsidR="00587E63">
        <w:rPr>
          <w:rFonts w:ascii="Arial" w:hAnsi="Arial" w:cs="Arial"/>
          <w:bCs/>
          <w:color w:val="161616" w:themeColor="background1" w:themeShade="1A"/>
          <w:sz w:val="22"/>
          <w:szCs w:val="22"/>
          <w:lang w:val="es-ES"/>
        </w:rPr>
        <w:t xml:space="preserve"> </w:t>
      </w:r>
      <w:r w:rsidR="00870412">
        <w:rPr>
          <w:rFonts w:ascii="Arial" w:hAnsi="Arial" w:cs="Arial"/>
          <w:bCs/>
          <w:color w:val="161616" w:themeColor="background1" w:themeShade="1A"/>
          <w:sz w:val="22"/>
          <w:szCs w:val="22"/>
          <w:lang w:val="es-ES"/>
        </w:rPr>
        <w:t xml:space="preserve">Para ello, </w:t>
      </w:r>
      <w:r w:rsidR="00870412" w:rsidRPr="00DA403A">
        <w:rPr>
          <w:rFonts w:ascii="Arial" w:eastAsia="Calibri" w:hAnsi="Arial" w:cs="Arial"/>
          <w:sz w:val="22"/>
        </w:rPr>
        <w:t xml:space="preserve">esta dependencia analizará los siguientes temas: i) </w:t>
      </w:r>
      <w:r w:rsidR="00870412">
        <w:rPr>
          <w:rFonts w:ascii="Arial" w:eastAsia="Calibri" w:hAnsi="Arial" w:cs="Arial"/>
          <w:sz w:val="22"/>
        </w:rPr>
        <w:t xml:space="preserve">capacidad residual: generalidades y </w:t>
      </w:r>
      <w:proofErr w:type="spellStart"/>
      <w:r w:rsidR="00870412">
        <w:rPr>
          <w:rFonts w:ascii="Arial" w:eastAsia="Calibri" w:hAnsi="Arial" w:cs="Arial"/>
          <w:sz w:val="22"/>
        </w:rPr>
        <w:t>ii</w:t>
      </w:r>
      <w:proofErr w:type="spellEnd"/>
      <w:r w:rsidR="00870412">
        <w:rPr>
          <w:rFonts w:ascii="Arial" w:eastAsia="Calibri" w:hAnsi="Arial" w:cs="Arial"/>
          <w:sz w:val="22"/>
        </w:rPr>
        <w:t xml:space="preserve">) </w:t>
      </w:r>
      <w:bookmarkStart w:id="2" w:name="_Hlk81557838"/>
      <w:r w:rsidR="00870412" w:rsidRPr="002409FC">
        <w:rPr>
          <w:rFonts w:ascii="Arial" w:hAnsi="Arial" w:cs="Arial"/>
          <w:sz w:val="22"/>
          <w:szCs w:val="22"/>
        </w:rPr>
        <w:t>Contratos a tener en cuenta para el cálculo del factor Saldos de Contratos en Ejecución (SCE) de la fórmula para determinar la Capacidad Residual del Proponente (CRP)</w:t>
      </w:r>
      <w:bookmarkEnd w:id="2"/>
      <w:r w:rsidR="00870412" w:rsidRPr="002409FC">
        <w:rPr>
          <w:rFonts w:ascii="Arial" w:hAnsi="Arial" w:cs="Arial"/>
          <w:sz w:val="22"/>
          <w:szCs w:val="22"/>
        </w:rPr>
        <w:t>.</w:t>
      </w:r>
      <w:r w:rsidR="00870412">
        <w:rPr>
          <w:rFonts w:ascii="Arial" w:hAnsi="Arial" w:cs="Arial"/>
          <w:b/>
          <w:bCs/>
          <w:sz w:val="22"/>
          <w:szCs w:val="22"/>
        </w:rPr>
        <w:t xml:space="preserve"> </w:t>
      </w:r>
    </w:p>
    <w:p w14:paraId="302008FE" w14:textId="41C996C3" w:rsidR="00F2274F" w:rsidRDefault="00F2274F" w:rsidP="00870412">
      <w:pPr>
        <w:spacing w:before="240" w:line="276" w:lineRule="auto"/>
        <w:ind w:firstLine="708"/>
        <w:jc w:val="both"/>
        <w:rPr>
          <w:rFonts w:ascii="Arial" w:hAnsi="Arial" w:cs="Arial"/>
          <w:bCs/>
          <w:color w:val="161616" w:themeColor="background1" w:themeShade="1A"/>
          <w:sz w:val="22"/>
          <w:szCs w:val="22"/>
        </w:rPr>
      </w:pPr>
      <w:r w:rsidRPr="00F2274F">
        <w:rPr>
          <w:rFonts w:ascii="Arial" w:hAnsi="Arial" w:cs="Arial"/>
          <w:bCs/>
          <w:color w:val="161616" w:themeColor="background1" w:themeShade="1A"/>
          <w:sz w:val="22"/>
          <w:szCs w:val="22"/>
        </w:rPr>
        <w:t>La Agencia Nacional de Contratación Pública − Colombia Compra Eficiente se ha pronunciado sobre la capacidad residual, y la forma como esta se debe acreditar, en los conceptos</w:t>
      </w:r>
      <w:r>
        <w:rPr>
          <w:rFonts w:ascii="Arial" w:hAnsi="Arial" w:cs="Arial"/>
          <w:bCs/>
          <w:color w:val="161616" w:themeColor="background1" w:themeShade="1A"/>
          <w:sz w:val="22"/>
          <w:szCs w:val="22"/>
        </w:rPr>
        <w:t xml:space="preserve"> </w:t>
      </w:r>
      <w:r>
        <w:rPr>
          <w:rStyle w:val="normaltextrun"/>
          <w:rFonts w:ascii="Arial" w:hAnsi="Arial" w:cs="Arial"/>
          <w:sz w:val="22"/>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Pr>
          <w:rStyle w:val="normaltextrun"/>
        </w:rPr>
        <w:t xml:space="preserve"> </w:t>
      </w:r>
      <w:r>
        <w:rPr>
          <w:rStyle w:val="normaltextrun"/>
          <w:rFonts w:ascii="Arial" w:hAnsi="Arial" w:cs="Arial"/>
          <w:sz w:val="22"/>
        </w:rPr>
        <w:t xml:space="preserve">C-461 del 13 de julio de 2020, C–668 del 20 de noviembre de 2020, C–742 del 16 de diciembre de 2020, C–045 del 5 de marzo de 2021, C–003 del 26 de marzo de 2021, C–121 del 31 de </w:t>
      </w:r>
      <w:r>
        <w:rPr>
          <w:rStyle w:val="normaltextrun"/>
          <w:rFonts w:ascii="Arial" w:hAnsi="Arial" w:cs="Arial"/>
          <w:sz w:val="22"/>
        </w:rPr>
        <w:lastRenderedPageBreak/>
        <w:t xml:space="preserve">marzo de 2021, C–143 del 9 de abril de 2021, C–202 del 7 de mayo de 2021, C–219 del 19 de mayo de 2021, C–368 del 28 de julio de 2021, C–392 del 5 de agosto de 2021, C–513 del 23 de septiembre de 2021, C–590 del 12 de octubre de 2021, </w:t>
      </w:r>
      <w:r w:rsidRPr="00F2274F">
        <w:rPr>
          <w:rFonts w:ascii="Arial" w:hAnsi="Arial" w:cs="Arial"/>
          <w:bCs/>
          <w:color w:val="161616" w:themeColor="background1" w:themeShade="1A"/>
          <w:sz w:val="22"/>
          <w:szCs w:val="22"/>
        </w:rPr>
        <w:t>C-068 de</w:t>
      </w:r>
      <w:r>
        <w:rPr>
          <w:rFonts w:ascii="Arial" w:hAnsi="Arial" w:cs="Arial"/>
          <w:bCs/>
          <w:color w:val="161616" w:themeColor="background1" w:themeShade="1A"/>
          <w:sz w:val="22"/>
          <w:szCs w:val="22"/>
        </w:rPr>
        <w:t xml:space="preserve">l 9 de marzo de </w:t>
      </w:r>
      <w:r w:rsidRPr="00F2274F">
        <w:rPr>
          <w:rFonts w:ascii="Arial" w:hAnsi="Arial" w:cs="Arial"/>
          <w:bCs/>
          <w:color w:val="161616" w:themeColor="background1" w:themeShade="1A"/>
          <w:sz w:val="22"/>
          <w:szCs w:val="22"/>
        </w:rPr>
        <w:t>2022</w:t>
      </w:r>
      <w:r>
        <w:rPr>
          <w:rFonts w:ascii="Arial" w:hAnsi="Arial" w:cs="Arial"/>
          <w:bCs/>
          <w:color w:val="161616" w:themeColor="background1" w:themeShade="1A"/>
          <w:sz w:val="22"/>
          <w:szCs w:val="22"/>
        </w:rPr>
        <w:t xml:space="preserve"> y </w:t>
      </w:r>
      <w:r w:rsidRPr="00F2274F">
        <w:rPr>
          <w:rFonts w:ascii="Arial" w:eastAsia="Calibri" w:hAnsi="Arial" w:cs="Arial"/>
          <w:bCs/>
          <w:sz w:val="22"/>
          <w:szCs w:val="22"/>
          <w:lang w:val="es-ES"/>
        </w:rPr>
        <w:t>C-</w:t>
      </w:r>
      <w:r w:rsidR="00870412">
        <w:rPr>
          <w:rFonts w:ascii="Arial" w:eastAsia="Calibri" w:hAnsi="Arial" w:cs="Arial"/>
          <w:bCs/>
          <w:sz w:val="22"/>
          <w:szCs w:val="22"/>
          <w:lang w:val="es-ES"/>
        </w:rPr>
        <w:t>220</w:t>
      </w:r>
      <w:r w:rsidRPr="00F2274F">
        <w:rPr>
          <w:rFonts w:ascii="Arial" w:eastAsia="Calibri" w:hAnsi="Arial" w:cs="Arial"/>
          <w:bCs/>
          <w:sz w:val="22"/>
          <w:szCs w:val="22"/>
          <w:lang w:val="es-ES"/>
        </w:rPr>
        <w:t xml:space="preserve"> del 22 de abril de 2022</w:t>
      </w:r>
      <w:r>
        <w:rPr>
          <w:rFonts w:ascii="Arial" w:hAnsi="Arial" w:cs="Arial"/>
          <w:bCs/>
          <w:color w:val="161616" w:themeColor="background1" w:themeShade="1A"/>
          <w:sz w:val="22"/>
          <w:szCs w:val="22"/>
          <w:lang w:val="es-ES"/>
        </w:rPr>
        <w:t xml:space="preserve">. </w:t>
      </w:r>
      <w:r w:rsidRPr="00F2274F">
        <w:rPr>
          <w:rFonts w:ascii="Arial" w:hAnsi="Arial" w:cs="Arial"/>
          <w:bCs/>
          <w:color w:val="161616" w:themeColor="background1" w:themeShade="1A"/>
          <w:sz w:val="22"/>
          <w:szCs w:val="22"/>
        </w:rPr>
        <w:t>La tesis propuesta se expone y, en lo pertinente, se complementa a continuación:</w:t>
      </w:r>
    </w:p>
    <w:p w14:paraId="19480BC8" w14:textId="7ACBF85D" w:rsidR="009A23CE" w:rsidRDefault="00CB3E91" w:rsidP="00870412">
      <w:pPr>
        <w:spacing w:before="240" w:line="276" w:lineRule="auto"/>
        <w:jc w:val="both"/>
        <w:rPr>
          <w:rFonts w:ascii="Arial" w:hAnsi="Arial" w:cs="Arial"/>
          <w:b/>
          <w:bCs/>
          <w:sz w:val="22"/>
          <w:lang w:val="es-ES"/>
        </w:rPr>
      </w:pPr>
      <w:r w:rsidRPr="00CB3E91">
        <w:rPr>
          <w:rFonts w:ascii="Arial" w:eastAsia="Calibri" w:hAnsi="Arial" w:cs="Arial"/>
          <w:b/>
          <w:bCs/>
          <w:sz w:val="22"/>
          <w:szCs w:val="22"/>
        </w:rPr>
        <w:t xml:space="preserve">2.1. </w:t>
      </w:r>
      <w:r w:rsidR="006F6B04">
        <w:rPr>
          <w:rFonts w:ascii="Arial" w:eastAsia="Calibri" w:hAnsi="Arial" w:cs="Arial"/>
          <w:b/>
          <w:bCs/>
          <w:sz w:val="22"/>
          <w:szCs w:val="22"/>
        </w:rPr>
        <w:t>La capacidad residual como requisito habilitante en los contratos de obra pública</w:t>
      </w:r>
      <w:r w:rsidR="009A23CE">
        <w:rPr>
          <w:rFonts w:ascii="Arial" w:hAnsi="Arial" w:cs="Arial"/>
          <w:b/>
          <w:bCs/>
          <w:sz w:val="22"/>
          <w:lang w:val="es-ES"/>
        </w:rPr>
        <w:t xml:space="preserve"> </w:t>
      </w:r>
    </w:p>
    <w:p w14:paraId="0CBEB50E" w14:textId="33F9B36D" w:rsidR="009A23CE" w:rsidRPr="009A23CE" w:rsidRDefault="009A23CE" w:rsidP="005526A0">
      <w:pPr>
        <w:pStyle w:val="Textoindependiente"/>
        <w:spacing w:before="240" w:beforeAutospacing="0" w:after="0" w:afterAutospacing="0" w:line="276" w:lineRule="auto"/>
        <w:ind w:firstLine="708"/>
        <w:jc w:val="both"/>
        <w:rPr>
          <w:rFonts w:ascii="Arial" w:hAnsi="Arial" w:cs="Arial"/>
          <w:bCs/>
          <w:sz w:val="22"/>
          <w:szCs w:val="22"/>
          <w:lang w:val="es-MX" w:eastAsia="x-none"/>
        </w:rPr>
      </w:pPr>
      <w:r w:rsidRPr="009A23CE">
        <w:rPr>
          <w:rFonts w:ascii="Arial" w:hAnsi="Arial" w:cs="Arial"/>
          <w:bCs/>
          <w:sz w:val="22"/>
          <w:szCs w:val="22"/>
          <w:lang w:val="es-MX" w:eastAsia="x-none"/>
        </w:rPr>
        <w:t>De acuerdo con la definición establecida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r w:rsidR="005C12C8">
        <w:rPr>
          <w:rStyle w:val="Refdenotaalpie"/>
          <w:rFonts w:ascii="Arial" w:hAnsi="Arial" w:cs="Arial"/>
          <w:bCs/>
          <w:sz w:val="22"/>
          <w:szCs w:val="22"/>
          <w:lang w:val="es-MX" w:eastAsia="x-none"/>
        </w:rPr>
        <w:footnoteReference w:id="1"/>
      </w:r>
      <w:r w:rsidRPr="009A23CE">
        <w:rPr>
          <w:rFonts w:ascii="Arial" w:hAnsi="Arial" w:cs="Arial"/>
          <w:bCs/>
          <w:sz w:val="22"/>
          <w:szCs w:val="22"/>
          <w:lang w:val="es-MX" w:eastAsia="x-none"/>
        </w:rPr>
        <w:t>. Por su parte, el Consejo de Estado ha definido la capacidad residual como «[…] la diferencia que existe entre el potencial de contratación que se tiene y los compromisos que haya adquirido y que se encuentren en ejecución, para la fecha de presentación de la oferta»</w:t>
      </w:r>
      <w:r w:rsidR="005C12C8">
        <w:rPr>
          <w:rStyle w:val="Refdenotaalpie"/>
          <w:rFonts w:ascii="Arial" w:hAnsi="Arial" w:cs="Arial"/>
          <w:bCs/>
          <w:sz w:val="22"/>
          <w:szCs w:val="22"/>
          <w:lang w:val="es-MX" w:eastAsia="x-none"/>
        </w:rPr>
        <w:footnoteReference w:id="2"/>
      </w:r>
      <w:r w:rsidRPr="009A23CE">
        <w:rPr>
          <w:rFonts w:ascii="Arial" w:hAnsi="Arial" w:cs="Arial"/>
          <w:bCs/>
          <w:sz w:val="22"/>
          <w:szCs w:val="22"/>
          <w:lang w:val="es-MX" w:eastAsia="x-none"/>
        </w:rPr>
        <w:t>. En tales términos, la capacidad residual hace referencia a la suficiencia que tiene el proponente para asumir nuevas obligaciones que se derivan del contrato objeto del proceso de contratación, en relación con las obligaciones que ya adquirió frente a otros contratos.</w:t>
      </w:r>
    </w:p>
    <w:p w14:paraId="0B348CD1" w14:textId="77777777" w:rsidR="009A23CE" w:rsidRPr="009A23CE" w:rsidRDefault="009A23CE" w:rsidP="00870412">
      <w:pPr>
        <w:spacing w:before="240" w:line="276" w:lineRule="auto"/>
        <w:ind w:firstLine="708"/>
        <w:jc w:val="both"/>
        <w:rPr>
          <w:rFonts w:ascii="Arial" w:hAnsi="Arial" w:cs="Arial"/>
          <w:bCs/>
          <w:sz w:val="22"/>
          <w:szCs w:val="22"/>
          <w:lang w:val="es-MX" w:eastAsia="x-none"/>
        </w:rPr>
      </w:pPr>
      <w:r w:rsidRPr="009A23CE">
        <w:rPr>
          <w:rFonts w:ascii="Arial" w:hAnsi="Arial" w:cs="Arial"/>
          <w:bCs/>
          <w:sz w:val="22"/>
          <w:szCs w:val="22"/>
          <w:lang w:val="es-MX" w:eastAsia="x-none"/>
        </w:rPr>
        <w:t xml:space="preserve">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0E4AE008" w14:textId="77777777" w:rsidR="009A23CE" w:rsidRPr="005C12C8" w:rsidRDefault="009A23CE" w:rsidP="00870412">
      <w:pPr>
        <w:spacing w:before="240" w:line="276" w:lineRule="auto"/>
        <w:ind w:left="708" w:right="709"/>
        <w:jc w:val="both"/>
        <w:rPr>
          <w:rFonts w:ascii="Arial" w:hAnsi="Arial" w:cs="Arial"/>
          <w:bCs/>
          <w:sz w:val="21"/>
          <w:szCs w:val="21"/>
          <w:lang w:val="es-MX" w:eastAsia="x-none"/>
        </w:rPr>
      </w:pPr>
      <w:r w:rsidRPr="005C12C8">
        <w:rPr>
          <w:rFonts w:ascii="Arial" w:hAnsi="Arial" w:cs="Arial"/>
          <w:bCs/>
          <w:sz w:val="21"/>
          <w:szCs w:val="21"/>
          <w:lang w:val="es-MX" w:eastAsia="x-none"/>
        </w:rPr>
        <w:t xml:space="preserve">«Parágrafo 1°. Para poder participar en los procesos de selección de los contratos de obra y demás que señale el reglamento, la capacidad residual del </w:t>
      </w:r>
      <w:r w:rsidRPr="005C12C8">
        <w:rPr>
          <w:rFonts w:ascii="Arial" w:hAnsi="Arial" w:cs="Arial"/>
          <w:bCs/>
          <w:sz w:val="21"/>
          <w:szCs w:val="21"/>
          <w:lang w:val="es-MX" w:eastAsia="x-none"/>
        </w:rPr>
        <w:lastRenderedPageBreak/>
        <w:t>proponente o K de contratación deberá ser igual o superior al que la entidad haya establecido para el efecto en los pliegos de condiciones.</w:t>
      </w:r>
    </w:p>
    <w:p w14:paraId="22EB4771" w14:textId="77777777" w:rsidR="009A23CE" w:rsidRPr="005C12C8" w:rsidRDefault="009A23CE" w:rsidP="00870412">
      <w:pPr>
        <w:spacing w:before="240" w:line="276" w:lineRule="auto"/>
        <w:ind w:left="708" w:right="709"/>
        <w:jc w:val="both"/>
        <w:rPr>
          <w:rFonts w:ascii="Arial" w:hAnsi="Arial" w:cs="Arial"/>
          <w:bCs/>
          <w:sz w:val="21"/>
          <w:szCs w:val="21"/>
          <w:lang w:val="es-MX" w:eastAsia="x-none"/>
        </w:rPr>
      </w:pPr>
      <w:r w:rsidRPr="005C12C8">
        <w:rPr>
          <w:rFonts w:ascii="Arial" w:hAnsi="Arial" w:cs="Arial"/>
          <w:bCs/>
          <w:sz w:val="21"/>
          <w:szCs w:val="21"/>
          <w:lang w:val="es-MX" w:eastAsia="x-none"/>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7746A9F7" w14:textId="26C2BCA8" w:rsidR="009A23CE" w:rsidRPr="009A23CE" w:rsidRDefault="009A23CE" w:rsidP="00870412">
      <w:pPr>
        <w:spacing w:before="24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6CF3505B" w14:textId="77777777" w:rsidR="009A23CE" w:rsidRPr="009A23CE" w:rsidRDefault="009A23CE" w:rsidP="00870412">
      <w:pPr>
        <w:spacing w:before="24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Igualmente, el artículo 2.2.1.1.1.6.4 del Decreto 1082 de 2015, establece que las entidades estatales deberán calcular la capacidad residual conforme a la metodología definida por Colombia Compre Eficiente y precisó que, para tales fines, resulta necesario tener en cuenta los factores de: i) experiencia; </w:t>
      </w:r>
      <w:proofErr w:type="spellStart"/>
      <w:r w:rsidRPr="009A23CE">
        <w:rPr>
          <w:rFonts w:ascii="Arial" w:hAnsi="Arial" w:cs="Arial"/>
          <w:bCs/>
          <w:sz w:val="22"/>
          <w:szCs w:val="22"/>
          <w:lang w:val="es-MX" w:eastAsia="x-none"/>
        </w:rPr>
        <w:t>ii</w:t>
      </w:r>
      <w:proofErr w:type="spellEnd"/>
      <w:r w:rsidRPr="009A23CE">
        <w:rPr>
          <w:rFonts w:ascii="Arial" w:hAnsi="Arial" w:cs="Arial"/>
          <w:bCs/>
          <w:sz w:val="22"/>
          <w:szCs w:val="22"/>
          <w:lang w:val="es-MX" w:eastAsia="x-none"/>
        </w:rPr>
        <w:t xml:space="preserve">) capacidad financiera; </w:t>
      </w:r>
      <w:proofErr w:type="spellStart"/>
      <w:r w:rsidRPr="009A23CE">
        <w:rPr>
          <w:rFonts w:ascii="Arial" w:hAnsi="Arial" w:cs="Arial"/>
          <w:bCs/>
          <w:sz w:val="22"/>
          <w:szCs w:val="22"/>
          <w:lang w:val="es-MX" w:eastAsia="x-none"/>
        </w:rPr>
        <w:t>iii</w:t>
      </w:r>
      <w:proofErr w:type="spellEnd"/>
      <w:r w:rsidRPr="009A23CE">
        <w:rPr>
          <w:rFonts w:ascii="Arial" w:hAnsi="Arial" w:cs="Arial"/>
          <w:bCs/>
          <w:sz w:val="22"/>
          <w:szCs w:val="22"/>
          <w:lang w:val="es-MX" w:eastAsia="x-none"/>
        </w:rPr>
        <w:t xml:space="preserve">) capacidad técnica; </w:t>
      </w:r>
      <w:proofErr w:type="spellStart"/>
      <w:r w:rsidRPr="009A23CE">
        <w:rPr>
          <w:rFonts w:ascii="Arial" w:hAnsi="Arial" w:cs="Arial"/>
          <w:bCs/>
          <w:sz w:val="22"/>
          <w:szCs w:val="22"/>
          <w:lang w:val="es-MX" w:eastAsia="x-none"/>
        </w:rPr>
        <w:t>iv</w:t>
      </w:r>
      <w:proofErr w:type="spellEnd"/>
      <w:r w:rsidRPr="009A23CE">
        <w:rPr>
          <w:rFonts w:ascii="Arial" w:hAnsi="Arial" w:cs="Arial"/>
          <w:bCs/>
          <w:sz w:val="22"/>
          <w:szCs w:val="22"/>
          <w:lang w:val="es-MX" w:eastAsia="x-none"/>
        </w:rPr>
        <w:t>) capacidad de organización; y v) los saldos de los contratos en ejecución, así:</w:t>
      </w:r>
    </w:p>
    <w:p w14:paraId="78046B57" w14:textId="77777777" w:rsidR="005C12C8" w:rsidRPr="00677097" w:rsidRDefault="009A23CE" w:rsidP="00870412">
      <w:pPr>
        <w:spacing w:before="240" w:line="276" w:lineRule="auto"/>
        <w:ind w:left="708" w:right="709"/>
        <w:jc w:val="both"/>
        <w:rPr>
          <w:rFonts w:ascii="Arial" w:hAnsi="Arial" w:cs="Arial"/>
          <w:bCs/>
          <w:sz w:val="21"/>
          <w:szCs w:val="21"/>
          <w:lang w:val="es-MX" w:eastAsia="x-none"/>
        </w:rPr>
      </w:pPr>
      <w:bookmarkStart w:id="3" w:name="_Hlk99783567"/>
      <w:r w:rsidRPr="00677097">
        <w:rPr>
          <w:rFonts w:ascii="Arial" w:hAnsi="Arial" w:cs="Arial"/>
          <w:bCs/>
          <w:sz w:val="21"/>
          <w:szCs w:val="21"/>
          <w:lang w:val="es-MX" w:eastAsia="x-none"/>
        </w:rPr>
        <w:t>«</w:t>
      </w:r>
      <w:bookmarkEnd w:id="3"/>
      <w:r w:rsidRPr="00677097">
        <w:rPr>
          <w:rFonts w:ascii="Arial" w:hAnsi="Arial" w:cs="Arial"/>
          <w:bCs/>
          <w:sz w:val="21"/>
          <w:szCs w:val="21"/>
          <w:lang w:val="es-MX" w:eastAsia="x-none"/>
        </w:rPr>
        <w:t xml:space="preserve">Artículo 2.2.1.1.1.6.4. Capacidad Residual. El interesado en celebrar contratos de obra pública con Entidades Estatales debe acreditar su Capacidad Residual o K de Contratación con los siguientes documentos: </w:t>
      </w:r>
    </w:p>
    <w:p w14:paraId="40869756" w14:textId="54C0803C" w:rsidR="009A23CE" w:rsidRPr="00677097" w:rsidRDefault="009A23CE" w:rsidP="00870412">
      <w:pPr>
        <w:spacing w:before="240" w:line="276" w:lineRule="auto"/>
        <w:ind w:left="708" w:right="709"/>
        <w:jc w:val="both"/>
        <w:rPr>
          <w:rFonts w:ascii="Arial" w:hAnsi="Arial" w:cs="Arial"/>
          <w:bCs/>
          <w:sz w:val="21"/>
          <w:szCs w:val="21"/>
          <w:lang w:val="es-MX" w:eastAsia="x-none"/>
        </w:rPr>
      </w:pPr>
      <w:r w:rsidRPr="00677097">
        <w:rPr>
          <w:rFonts w:ascii="Arial" w:hAnsi="Arial" w:cs="Arial"/>
          <w:bCs/>
          <w:sz w:val="21"/>
          <w:szCs w:val="21"/>
          <w:lang w:val="es-MX" w:eastAsia="x-none"/>
        </w:rPr>
        <w:t>[…]</w:t>
      </w:r>
      <w:bookmarkStart w:id="4" w:name="_Hlk99783586"/>
      <w:r w:rsidRPr="00677097">
        <w:rPr>
          <w:rFonts w:ascii="Arial" w:hAnsi="Arial" w:cs="Arial"/>
          <w:bCs/>
          <w:sz w:val="21"/>
          <w:szCs w:val="21"/>
          <w:lang w:val="es-MX" w:eastAsia="x-none"/>
        </w:rPr>
        <w:t>»</w:t>
      </w:r>
      <w:bookmarkEnd w:id="4"/>
    </w:p>
    <w:p w14:paraId="7323EBE1" w14:textId="77777777" w:rsidR="009A23CE" w:rsidRPr="00677097" w:rsidRDefault="009A23CE" w:rsidP="00870412">
      <w:pPr>
        <w:pStyle w:val="Textoindependiente"/>
        <w:spacing w:before="240" w:beforeAutospacing="0" w:after="0" w:afterAutospacing="0" w:line="276" w:lineRule="auto"/>
        <w:ind w:left="708" w:right="616" w:firstLine="1"/>
        <w:jc w:val="both"/>
        <w:rPr>
          <w:rFonts w:ascii="Arial" w:hAnsi="Arial" w:cs="Arial"/>
          <w:bCs/>
          <w:sz w:val="21"/>
          <w:szCs w:val="21"/>
          <w:lang w:val="es-MX" w:eastAsia="x-none"/>
        </w:rPr>
      </w:pPr>
      <w:r w:rsidRPr="00677097">
        <w:rPr>
          <w:rFonts w:ascii="Arial" w:hAnsi="Arial" w:cs="Arial"/>
          <w:bCs/>
          <w:sz w:val="21"/>
          <w:szCs w:val="21"/>
          <w:lang w:val="es-MX" w:eastAsia="x-none"/>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29765F33" w14:textId="4543A325" w:rsidR="009A23CE" w:rsidRP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De conformidad con lo anterior, esta Agencia expidió la Guía para Determinar y Verificar la Capacidad Residual del Proponente en los Procesos de Contratación de Obra Pública. En este documento se establece, entre </w:t>
      </w:r>
      <w:r w:rsidR="00451E90">
        <w:rPr>
          <w:rFonts w:ascii="Arial" w:hAnsi="Arial" w:cs="Arial"/>
          <w:bCs/>
          <w:sz w:val="22"/>
          <w:szCs w:val="22"/>
          <w:lang w:val="es-MX" w:eastAsia="x-none"/>
        </w:rPr>
        <w:t>otros aspectos</w:t>
      </w:r>
      <w:r w:rsidRPr="009A23CE">
        <w:rPr>
          <w:rFonts w:ascii="Arial" w:hAnsi="Arial" w:cs="Arial"/>
          <w:bCs/>
          <w:sz w:val="22"/>
          <w:szCs w:val="22"/>
          <w:lang w:val="es-MX" w:eastAsia="x-none"/>
        </w:rPr>
        <w:t xml:space="preserve">, que a la entidad contratante le corresponde, primero, establecer la capacidad residual del proceso de contratación –CRPC– y, segundo, determinar si los proponentes cumplen con la capacidad </w:t>
      </w:r>
      <w:r w:rsidRPr="009A23CE">
        <w:rPr>
          <w:rFonts w:ascii="Arial" w:hAnsi="Arial" w:cs="Arial"/>
          <w:bCs/>
          <w:sz w:val="22"/>
          <w:szCs w:val="22"/>
          <w:lang w:val="es-MX" w:eastAsia="x-none"/>
        </w:rPr>
        <w:lastRenderedPageBreak/>
        <w:t>residual del proceso de contratación, claro está, teniendo en cuenta la siguiente información aportada por el proponente:</w:t>
      </w:r>
    </w:p>
    <w:p w14:paraId="1330FFBA" w14:textId="77777777" w:rsidR="00C837D5" w:rsidRDefault="009A23CE" w:rsidP="00870412">
      <w:pPr>
        <w:pStyle w:val="Textoindependiente"/>
        <w:widowControl w:val="0"/>
        <w:numPr>
          <w:ilvl w:val="0"/>
          <w:numId w:val="27"/>
        </w:numPr>
        <w:tabs>
          <w:tab w:val="left" w:pos="993"/>
        </w:tabs>
        <w:autoSpaceDE w:val="0"/>
        <w:autoSpaceDN w:val="0"/>
        <w:spacing w:before="240" w:beforeAutospacing="0" w:after="0" w:afterAutospacing="0" w:line="276" w:lineRule="auto"/>
        <w:ind w:right="709"/>
        <w:jc w:val="both"/>
        <w:rPr>
          <w:rFonts w:ascii="Arial" w:hAnsi="Arial" w:cs="Arial"/>
          <w:bCs/>
          <w:sz w:val="22"/>
          <w:szCs w:val="22"/>
          <w:lang w:val="es-MX" w:eastAsia="x-none"/>
        </w:rPr>
      </w:pPr>
      <w:r w:rsidRPr="009A23CE">
        <w:rPr>
          <w:rFonts w:ascii="Arial" w:hAnsi="Arial" w:cs="Arial"/>
          <w:bCs/>
          <w:sz w:val="22"/>
          <w:szCs w:val="22"/>
          <w:lang w:val="es-MX" w:eastAsia="x-none"/>
        </w:rPr>
        <w:t>La lista de los Contratos en Ejecución, así como el valor y plazo de tales contratos.</w:t>
      </w:r>
    </w:p>
    <w:p w14:paraId="426ADA1F" w14:textId="35442AF6" w:rsidR="009A23CE" w:rsidRPr="009A23CE" w:rsidRDefault="009A23CE" w:rsidP="00870412">
      <w:pPr>
        <w:pStyle w:val="Textoindependiente"/>
        <w:widowControl w:val="0"/>
        <w:numPr>
          <w:ilvl w:val="0"/>
          <w:numId w:val="27"/>
        </w:numPr>
        <w:tabs>
          <w:tab w:val="left" w:pos="993"/>
        </w:tabs>
        <w:autoSpaceDE w:val="0"/>
        <w:autoSpaceDN w:val="0"/>
        <w:spacing w:before="240" w:beforeAutospacing="0" w:after="0" w:afterAutospacing="0" w:line="276" w:lineRule="auto"/>
        <w:ind w:right="709"/>
        <w:jc w:val="both"/>
        <w:rPr>
          <w:rFonts w:ascii="Arial" w:hAnsi="Arial" w:cs="Arial"/>
          <w:bCs/>
          <w:sz w:val="22"/>
          <w:szCs w:val="22"/>
          <w:lang w:val="es-MX" w:eastAsia="x-none"/>
        </w:rPr>
      </w:pPr>
      <w:r w:rsidRPr="009A23CE">
        <w:rPr>
          <w:rFonts w:ascii="Arial" w:hAnsi="Arial" w:cs="Arial"/>
          <w:bCs/>
          <w:sz w:val="22"/>
          <w:szCs w:val="22"/>
          <w:lang w:val="es-MX" w:eastAsia="x-none"/>
        </w:rPr>
        <w:t>La lista de los Contratos en Ejecución, suscritos por sociedades, consorcios o uniones temporales, en los cuales el proponente tenga participación, así como el valor y plazo de tales contratos.</w:t>
      </w:r>
    </w:p>
    <w:p w14:paraId="3A6489DD" w14:textId="77777777" w:rsidR="009A23CE" w:rsidRPr="009A23CE" w:rsidRDefault="009A23CE" w:rsidP="00870412">
      <w:pPr>
        <w:pStyle w:val="Textoindependiente"/>
        <w:widowControl w:val="0"/>
        <w:numPr>
          <w:ilvl w:val="0"/>
          <w:numId w:val="27"/>
        </w:numPr>
        <w:tabs>
          <w:tab w:val="left" w:pos="993"/>
        </w:tabs>
        <w:autoSpaceDE w:val="0"/>
        <w:autoSpaceDN w:val="0"/>
        <w:spacing w:before="240" w:beforeAutospacing="0" w:after="0" w:afterAutospacing="0" w:line="276" w:lineRule="auto"/>
        <w:ind w:right="709"/>
        <w:jc w:val="both"/>
        <w:rPr>
          <w:rFonts w:ascii="Arial" w:hAnsi="Arial" w:cs="Arial"/>
          <w:bCs/>
          <w:sz w:val="22"/>
          <w:szCs w:val="22"/>
          <w:lang w:val="es-MX" w:eastAsia="x-none"/>
        </w:rPr>
      </w:pPr>
      <w:r w:rsidRPr="009A23CE">
        <w:rPr>
          <w:rFonts w:ascii="Arial" w:hAnsi="Arial" w:cs="Arial"/>
          <w:bCs/>
          <w:sz w:val="22"/>
          <w:szCs w:val="22"/>
          <w:lang w:val="es-MX" w:eastAsia="x-none"/>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7B49A46" w14:textId="77777777" w:rsidR="009A23CE" w:rsidRP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Ahora bien, para lo primero, esto es, para establecer la capacidad residual del proceso de contratación «CRPC»,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068F22D6" w14:textId="4D2F6549" w:rsidR="009A23CE" w:rsidRDefault="00AA171A"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noProof/>
          <w:sz w:val="22"/>
          <w:szCs w:val="22"/>
        </w:rPr>
        <w:drawing>
          <wp:anchor distT="0" distB="0" distL="0" distR="0" simplePos="0" relativeHeight="251659264" behindDoc="0" locked="0" layoutInCell="1" allowOverlap="1" wp14:anchorId="4F5209A0" wp14:editId="7823BAC5">
            <wp:simplePos x="0" y="0"/>
            <wp:positionH relativeFrom="page">
              <wp:posOffset>2038350</wp:posOffset>
            </wp:positionH>
            <wp:positionV relativeFrom="paragraph">
              <wp:posOffset>1254760</wp:posOffset>
            </wp:positionV>
            <wp:extent cx="3819525" cy="554990"/>
            <wp:effectExtent l="0" t="0" r="9525" b="0"/>
            <wp:wrapTopAndBottom/>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554990"/>
                    </a:xfrm>
                    <a:prstGeom prst="rect">
                      <a:avLst/>
                    </a:prstGeom>
                    <a:noFill/>
                  </pic:spPr>
                </pic:pic>
              </a:graphicData>
            </a:graphic>
            <wp14:sizeRelH relativeFrom="margin">
              <wp14:pctWidth>0</wp14:pctWidth>
            </wp14:sizeRelH>
            <wp14:sizeRelV relativeFrom="page">
              <wp14:pctHeight>0</wp14:pctHeight>
            </wp14:sizeRelV>
          </wp:anchor>
        </w:drawing>
      </w:r>
      <w:r w:rsidR="009A23CE" w:rsidRPr="009A23CE">
        <w:rPr>
          <w:rFonts w:ascii="Arial" w:hAnsi="Arial" w:cs="Arial"/>
          <w:bCs/>
          <w:sz w:val="22"/>
          <w:szCs w:val="22"/>
          <w:lang w:val="es-MX" w:eastAsia="x-none"/>
        </w:rPr>
        <w:t xml:space="preserve">Para lo segundo, es decir, para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009A23CE" w:rsidRPr="009A23CE">
        <w:rPr>
          <w:rFonts w:ascii="Arial" w:hAnsi="Arial" w:cs="Arial"/>
          <w:bCs/>
          <w:sz w:val="22"/>
          <w:szCs w:val="22"/>
          <w:lang w:val="es-MX" w:eastAsia="x-none"/>
        </w:rPr>
        <w:t>ii</w:t>
      </w:r>
      <w:proofErr w:type="spellEnd"/>
      <w:r w:rsidR="009A23CE" w:rsidRPr="009A23CE">
        <w:rPr>
          <w:rFonts w:ascii="Arial" w:hAnsi="Arial" w:cs="Arial"/>
          <w:bCs/>
          <w:sz w:val="22"/>
          <w:szCs w:val="22"/>
          <w:lang w:val="es-MX" w:eastAsia="x-none"/>
        </w:rPr>
        <w:t xml:space="preserve">) capacidad financiera «CF»; </w:t>
      </w:r>
      <w:proofErr w:type="spellStart"/>
      <w:r w:rsidR="009A23CE" w:rsidRPr="009A23CE">
        <w:rPr>
          <w:rFonts w:ascii="Arial" w:hAnsi="Arial" w:cs="Arial"/>
          <w:bCs/>
          <w:sz w:val="22"/>
          <w:szCs w:val="22"/>
          <w:lang w:val="es-MX" w:eastAsia="x-none"/>
        </w:rPr>
        <w:t>iii</w:t>
      </w:r>
      <w:proofErr w:type="spellEnd"/>
      <w:r w:rsidR="009A23CE" w:rsidRPr="009A23CE">
        <w:rPr>
          <w:rFonts w:ascii="Arial" w:hAnsi="Arial" w:cs="Arial"/>
          <w:bCs/>
          <w:sz w:val="22"/>
          <w:szCs w:val="22"/>
          <w:lang w:val="es-MX" w:eastAsia="x-none"/>
        </w:rPr>
        <w:t xml:space="preserve">) capacidad técnica «CT», </w:t>
      </w:r>
      <w:proofErr w:type="spellStart"/>
      <w:r w:rsidR="009A23CE" w:rsidRPr="009A23CE">
        <w:rPr>
          <w:rFonts w:ascii="Arial" w:hAnsi="Arial" w:cs="Arial"/>
          <w:bCs/>
          <w:sz w:val="22"/>
          <w:szCs w:val="22"/>
          <w:lang w:val="es-MX" w:eastAsia="x-none"/>
        </w:rPr>
        <w:t>iv</w:t>
      </w:r>
      <w:proofErr w:type="spellEnd"/>
      <w:r w:rsidR="009A23CE" w:rsidRPr="009A23CE">
        <w:rPr>
          <w:rFonts w:ascii="Arial" w:hAnsi="Arial" w:cs="Arial"/>
          <w:bCs/>
          <w:sz w:val="22"/>
          <w:szCs w:val="22"/>
          <w:lang w:val="es-MX" w:eastAsia="x-none"/>
        </w:rPr>
        <w:t>) capacidad de organización «CO»; y v) los saldos de los contratos en ejecución «SCE», según la siguiente fórmula:</w:t>
      </w:r>
    </w:p>
    <w:p w14:paraId="6C29D9ED" w14:textId="5CD9991F" w:rsidR="009A23CE" w:rsidRP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A cada uno de estos factores se les debe asignar el siguiente puntaje máximo: i) «E» 120; </w:t>
      </w:r>
      <w:proofErr w:type="spellStart"/>
      <w:r w:rsidRPr="009A23CE">
        <w:rPr>
          <w:rFonts w:ascii="Arial" w:hAnsi="Arial" w:cs="Arial"/>
          <w:bCs/>
          <w:sz w:val="22"/>
          <w:szCs w:val="22"/>
          <w:lang w:val="es-MX" w:eastAsia="x-none"/>
        </w:rPr>
        <w:t>ii</w:t>
      </w:r>
      <w:proofErr w:type="spellEnd"/>
      <w:r w:rsidRPr="009A23CE">
        <w:rPr>
          <w:rFonts w:ascii="Arial" w:hAnsi="Arial" w:cs="Arial"/>
          <w:bCs/>
          <w:sz w:val="22"/>
          <w:szCs w:val="22"/>
          <w:lang w:val="es-MX" w:eastAsia="x-none"/>
        </w:rPr>
        <w:t xml:space="preserve">) «CF» 40; y </w:t>
      </w:r>
      <w:proofErr w:type="spellStart"/>
      <w:r w:rsidRPr="009A23CE">
        <w:rPr>
          <w:rFonts w:ascii="Arial" w:hAnsi="Arial" w:cs="Arial"/>
          <w:bCs/>
          <w:sz w:val="22"/>
          <w:szCs w:val="22"/>
          <w:lang w:val="es-MX" w:eastAsia="x-none"/>
        </w:rPr>
        <w:t>iii</w:t>
      </w:r>
      <w:proofErr w:type="spellEnd"/>
      <w:r w:rsidRPr="009A23CE">
        <w:rPr>
          <w:rFonts w:ascii="Arial" w:hAnsi="Arial" w:cs="Arial"/>
          <w:bCs/>
          <w:sz w:val="22"/>
          <w:szCs w:val="22"/>
          <w:lang w:val="es-MX" w:eastAsia="x-none"/>
        </w:rPr>
        <w:t xml:space="preserve">) «CT» 40. La «CO» no tiene asignación de puntaje en la fórmula, por un lado, porque su unidad de medida es en pesos colombianos «COP» y, por el otro, </w:t>
      </w:r>
      <w:r w:rsidRPr="009A23CE">
        <w:rPr>
          <w:rFonts w:ascii="Arial" w:hAnsi="Arial" w:cs="Arial"/>
          <w:bCs/>
          <w:sz w:val="22"/>
          <w:szCs w:val="22"/>
          <w:lang w:val="es-MX" w:eastAsia="x-none"/>
        </w:rPr>
        <w:lastRenderedPageBreak/>
        <w:t>debido a que el mismo constituye un factor multiplicador de los demás factores en la fórmula. A continuación, se explicará, en términos generales, cómo calcular cada factor:</w:t>
      </w:r>
    </w:p>
    <w:p w14:paraId="1C9A4EBD" w14:textId="77777777" w:rsidR="009A23CE" w:rsidRPr="009A23CE" w:rsidRDefault="009A23CE" w:rsidP="00870412">
      <w:pPr>
        <w:pStyle w:val="Textoindependiente"/>
        <w:widowControl w:val="0"/>
        <w:numPr>
          <w:ilvl w:val="0"/>
          <w:numId w:val="26"/>
        </w:numPr>
        <w:tabs>
          <w:tab w:val="left" w:pos="993"/>
        </w:tabs>
        <w:autoSpaceDE w:val="0"/>
        <w:autoSpaceDN w:val="0"/>
        <w:spacing w:before="24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Capacidad financiera (CF). Se mide por el «índice de liquidez» y este, a su vez, corresponde al resultado de dividir el «activo corriente» sobre el «pasivo corriente». El resultado puede ser calificado entre 20 y cuarenta puntos, según se explica en la Guía.</w:t>
      </w:r>
    </w:p>
    <w:p w14:paraId="66CB6307" w14:textId="77777777" w:rsidR="009A23CE" w:rsidRPr="009A23CE" w:rsidRDefault="009A23CE" w:rsidP="00870412">
      <w:pPr>
        <w:pStyle w:val="Textoindependiente"/>
        <w:widowControl w:val="0"/>
        <w:numPr>
          <w:ilvl w:val="0"/>
          <w:numId w:val="26"/>
        </w:numPr>
        <w:tabs>
          <w:tab w:val="left" w:pos="993"/>
        </w:tabs>
        <w:autoSpaceDE w:val="0"/>
        <w:autoSpaceDN w:val="0"/>
        <w:spacing w:before="24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Capacidad técnica (CT). Se determina teniendo en cuenta el número de socios y profesionales de la arquitectura, ingeniería y geología vinculados mediante una relación laboral o contractual. El puntaje a asignar, según la Guía, oscila entre 20 y 40 puntos. Para tales fines, se aclara, el proponente debe diligenciar el Anexo 2 de la «Guía para Determinar y Verificar la Capacidad Residual del Proponente en los Procesos de Contratación de Obra Pública</w:t>
      </w:r>
      <w:proofErr w:type="gramStart"/>
      <w:r w:rsidRPr="009A23CE">
        <w:rPr>
          <w:rFonts w:ascii="Arial" w:hAnsi="Arial" w:cs="Arial"/>
          <w:bCs/>
          <w:sz w:val="22"/>
          <w:szCs w:val="22"/>
          <w:lang w:val="es-MX" w:eastAsia="x-none"/>
        </w:rPr>
        <w:t>» .</w:t>
      </w:r>
      <w:proofErr w:type="gramEnd"/>
    </w:p>
    <w:p w14:paraId="23A2F07E" w14:textId="589CAC7B" w:rsidR="009A23CE" w:rsidRDefault="009A23CE" w:rsidP="00870412">
      <w:pPr>
        <w:pStyle w:val="Textoindependiente"/>
        <w:widowControl w:val="0"/>
        <w:numPr>
          <w:ilvl w:val="0"/>
          <w:numId w:val="26"/>
        </w:numPr>
        <w:tabs>
          <w:tab w:val="left" w:pos="993"/>
        </w:tabs>
        <w:autoSpaceDE w:val="0"/>
        <w:autoSpaceDN w:val="0"/>
        <w:spacing w:before="24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Capacidad de organización (CO). Corresponde a los ingresos operacionales, según el siguiente cuadro:</w:t>
      </w:r>
    </w:p>
    <w:p w14:paraId="0D91E0C6" w14:textId="77777777" w:rsidR="001D3585" w:rsidRPr="001D3585" w:rsidRDefault="001D3585" w:rsidP="00870412">
      <w:pPr>
        <w:pStyle w:val="Textoindependiente"/>
        <w:widowControl w:val="0"/>
        <w:tabs>
          <w:tab w:val="left" w:pos="993"/>
        </w:tabs>
        <w:autoSpaceDE w:val="0"/>
        <w:autoSpaceDN w:val="0"/>
        <w:spacing w:before="240" w:beforeAutospacing="0" w:after="0" w:afterAutospacing="0" w:line="276" w:lineRule="auto"/>
        <w:ind w:left="709"/>
        <w:jc w:val="both"/>
        <w:rPr>
          <w:rFonts w:ascii="Arial" w:hAnsi="Arial" w:cs="Arial"/>
          <w:bCs/>
          <w:sz w:val="16"/>
          <w:szCs w:val="16"/>
          <w:lang w:val="es-MX" w:eastAsia="x-none"/>
        </w:rPr>
      </w:pPr>
    </w:p>
    <w:tbl>
      <w:tblPr>
        <w:tblStyle w:val="Tablaconcuadrcula"/>
        <w:tblW w:w="7366" w:type="dxa"/>
        <w:tblInd w:w="709" w:type="dxa"/>
        <w:tblLook w:val="04A0" w:firstRow="1" w:lastRow="0" w:firstColumn="1" w:lastColumn="0" w:noHBand="0" w:noVBand="1"/>
      </w:tblPr>
      <w:tblGrid>
        <w:gridCol w:w="4053"/>
        <w:gridCol w:w="3313"/>
      </w:tblGrid>
      <w:tr w:rsidR="009A23CE" w:rsidRPr="009A23CE" w14:paraId="1E1A0239" w14:textId="77777777" w:rsidTr="009A23CE">
        <w:tc>
          <w:tcPr>
            <w:tcW w:w="4053" w:type="dxa"/>
            <w:tcBorders>
              <w:top w:val="single" w:sz="4" w:space="0" w:color="auto"/>
              <w:left w:val="single" w:sz="4" w:space="0" w:color="auto"/>
              <w:bottom w:val="single" w:sz="4" w:space="0" w:color="auto"/>
              <w:right w:val="single" w:sz="4" w:space="0" w:color="auto"/>
            </w:tcBorders>
            <w:shd w:val="clear" w:color="auto" w:fill="BABABA" w:themeFill="background1" w:themeFillShade="D9"/>
            <w:hideMark/>
          </w:tcPr>
          <w:p w14:paraId="3CF0C94C" w14:textId="77777777" w:rsidR="009A23CE" w:rsidRPr="009A23CE" w:rsidRDefault="009A23CE" w:rsidP="006E0932">
            <w:pPr>
              <w:pStyle w:val="Textoindependiente"/>
              <w:tabs>
                <w:tab w:val="left" w:pos="993"/>
              </w:tabs>
              <w:spacing w:before="0" w:beforeAutospacing="0" w:after="0" w:afterAutospacing="0" w:line="276" w:lineRule="auto"/>
              <w:ind w:right="51"/>
              <w:jc w:val="center"/>
              <w:rPr>
                <w:rFonts w:ascii="Arial" w:hAnsi="Arial" w:cs="Arial"/>
                <w:bCs/>
                <w:sz w:val="22"/>
                <w:szCs w:val="22"/>
                <w:lang w:val="es-MX" w:eastAsia="x-none"/>
              </w:rPr>
            </w:pPr>
            <w:r w:rsidRPr="009A23CE">
              <w:rPr>
                <w:rFonts w:ascii="Arial" w:hAnsi="Arial" w:cs="Arial"/>
                <w:bCs/>
                <w:sz w:val="22"/>
                <w:szCs w:val="22"/>
                <w:lang w:val="es-MX" w:eastAsia="x-none"/>
              </w:rPr>
              <w:t>Años de información financiera</w:t>
            </w:r>
          </w:p>
        </w:tc>
        <w:tc>
          <w:tcPr>
            <w:tcW w:w="3313" w:type="dxa"/>
            <w:tcBorders>
              <w:top w:val="single" w:sz="4" w:space="0" w:color="auto"/>
              <w:left w:val="single" w:sz="4" w:space="0" w:color="auto"/>
              <w:bottom w:val="single" w:sz="4" w:space="0" w:color="auto"/>
              <w:right w:val="single" w:sz="4" w:space="0" w:color="auto"/>
            </w:tcBorders>
            <w:shd w:val="clear" w:color="auto" w:fill="BABABA" w:themeFill="background1" w:themeFillShade="D9"/>
            <w:hideMark/>
          </w:tcPr>
          <w:p w14:paraId="7C6732EF" w14:textId="77777777" w:rsidR="009A23CE" w:rsidRPr="009A23CE" w:rsidRDefault="009A23CE" w:rsidP="006E0932">
            <w:pPr>
              <w:pStyle w:val="Textoindependiente"/>
              <w:tabs>
                <w:tab w:val="left" w:pos="993"/>
              </w:tabs>
              <w:spacing w:before="0" w:beforeAutospacing="0" w:after="0" w:afterAutospacing="0" w:line="276" w:lineRule="auto"/>
              <w:ind w:right="51"/>
              <w:jc w:val="center"/>
              <w:rPr>
                <w:rFonts w:ascii="Arial" w:hAnsi="Arial" w:cs="Arial"/>
                <w:bCs/>
                <w:sz w:val="22"/>
                <w:szCs w:val="22"/>
                <w:lang w:val="es-MX" w:eastAsia="x-none"/>
              </w:rPr>
            </w:pPr>
            <w:r w:rsidRPr="009A23CE">
              <w:rPr>
                <w:rFonts w:ascii="Arial" w:hAnsi="Arial" w:cs="Arial"/>
                <w:bCs/>
                <w:sz w:val="22"/>
                <w:szCs w:val="22"/>
                <w:lang w:val="es-MX" w:eastAsia="x-none"/>
              </w:rPr>
              <w:t>Capacidad de organización</w:t>
            </w:r>
          </w:p>
        </w:tc>
      </w:tr>
      <w:tr w:rsidR="009A23CE" w:rsidRPr="009A23CE" w14:paraId="1E761818" w14:textId="77777777" w:rsidTr="006E0932">
        <w:trPr>
          <w:trHeight w:val="550"/>
        </w:trPr>
        <w:tc>
          <w:tcPr>
            <w:tcW w:w="4053" w:type="dxa"/>
            <w:tcBorders>
              <w:top w:val="single" w:sz="4" w:space="0" w:color="auto"/>
              <w:left w:val="single" w:sz="4" w:space="0" w:color="auto"/>
              <w:bottom w:val="single" w:sz="4" w:space="0" w:color="auto"/>
              <w:right w:val="single" w:sz="4" w:space="0" w:color="auto"/>
            </w:tcBorders>
            <w:hideMark/>
          </w:tcPr>
          <w:p w14:paraId="66D400DF"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Cinco (5) años o más</w:t>
            </w:r>
          </w:p>
        </w:tc>
        <w:tc>
          <w:tcPr>
            <w:tcW w:w="3313" w:type="dxa"/>
            <w:tcBorders>
              <w:top w:val="single" w:sz="4" w:space="0" w:color="auto"/>
              <w:left w:val="single" w:sz="4" w:space="0" w:color="auto"/>
              <w:bottom w:val="single" w:sz="4" w:space="0" w:color="auto"/>
              <w:right w:val="single" w:sz="4" w:space="0" w:color="auto"/>
            </w:tcBorders>
            <w:hideMark/>
          </w:tcPr>
          <w:p w14:paraId="6E3265BE"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Mayor ingreso operacional de los últimos cinco años</w:t>
            </w:r>
          </w:p>
        </w:tc>
      </w:tr>
      <w:tr w:rsidR="009A23CE" w:rsidRPr="009A23CE" w14:paraId="1569F78F" w14:textId="77777777" w:rsidTr="009A23CE">
        <w:tc>
          <w:tcPr>
            <w:tcW w:w="4053" w:type="dxa"/>
            <w:tcBorders>
              <w:top w:val="single" w:sz="4" w:space="0" w:color="auto"/>
              <w:left w:val="single" w:sz="4" w:space="0" w:color="auto"/>
              <w:bottom w:val="single" w:sz="4" w:space="0" w:color="auto"/>
              <w:right w:val="single" w:sz="4" w:space="0" w:color="auto"/>
            </w:tcBorders>
            <w:hideMark/>
          </w:tcPr>
          <w:p w14:paraId="3387241D"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Entre uno (1) y cinco (5) años</w:t>
            </w:r>
          </w:p>
        </w:tc>
        <w:tc>
          <w:tcPr>
            <w:tcW w:w="3313" w:type="dxa"/>
            <w:tcBorders>
              <w:top w:val="single" w:sz="4" w:space="0" w:color="auto"/>
              <w:left w:val="single" w:sz="4" w:space="0" w:color="auto"/>
              <w:bottom w:val="single" w:sz="4" w:space="0" w:color="auto"/>
              <w:right w:val="single" w:sz="4" w:space="0" w:color="auto"/>
            </w:tcBorders>
            <w:hideMark/>
          </w:tcPr>
          <w:p w14:paraId="62814CBE"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Mayor ingreso operacional de los años de vida del oferente</w:t>
            </w:r>
          </w:p>
        </w:tc>
      </w:tr>
      <w:tr w:rsidR="009A23CE" w:rsidRPr="009A23CE" w14:paraId="3E96E570" w14:textId="77777777" w:rsidTr="009A23CE">
        <w:tc>
          <w:tcPr>
            <w:tcW w:w="4053" w:type="dxa"/>
            <w:tcBorders>
              <w:top w:val="single" w:sz="4" w:space="0" w:color="auto"/>
              <w:left w:val="single" w:sz="4" w:space="0" w:color="auto"/>
              <w:bottom w:val="single" w:sz="4" w:space="0" w:color="auto"/>
              <w:right w:val="single" w:sz="4" w:space="0" w:color="auto"/>
            </w:tcBorders>
            <w:hideMark/>
          </w:tcPr>
          <w:p w14:paraId="1D4AD6F5"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Menos de un (1) año</w:t>
            </w:r>
          </w:p>
        </w:tc>
        <w:tc>
          <w:tcPr>
            <w:tcW w:w="3313" w:type="dxa"/>
            <w:tcBorders>
              <w:top w:val="single" w:sz="4" w:space="0" w:color="auto"/>
              <w:left w:val="single" w:sz="4" w:space="0" w:color="auto"/>
              <w:bottom w:val="single" w:sz="4" w:space="0" w:color="auto"/>
              <w:right w:val="single" w:sz="4" w:space="0" w:color="auto"/>
            </w:tcBorders>
            <w:hideMark/>
          </w:tcPr>
          <w:p w14:paraId="5B253CB5" w14:textId="77777777" w:rsidR="009A23CE" w:rsidRPr="009A23CE" w:rsidRDefault="009A23CE" w:rsidP="006E0932">
            <w:pPr>
              <w:pStyle w:val="Textoindependiente"/>
              <w:tabs>
                <w:tab w:val="left" w:pos="993"/>
              </w:tabs>
              <w:spacing w:before="0" w:beforeAutospacing="0" w:after="0" w:afterAutospacing="0" w:line="276" w:lineRule="auto"/>
              <w:ind w:right="51"/>
              <w:jc w:val="both"/>
              <w:rPr>
                <w:rFonts w:ascii="Arial" w:hAnsi="Arial" w:cs="Arial"/>
                <w:bCs/>
                <w:sz w:val="22"/>
                <w:szCs w:val="22"/>
                <w:lang w:val="es-MX" w:eastAsia="x-none"/>
              </w:rPr>
            </w:pPr>
            <w:r w:rsidRPr="009A23CE">
              <w:rPr>
                <w:rFonts w:ascii="Arial" w:hAnsi="Arial" w:cs="Arial"/>
                <w:bCs/>
                <w:sz w:val="22"/>
                <w:szCs w:val="22"/>
                <w:lang w:val="es-MX" w:eastAsia="x-none"/>
              </w:rPr>
              <w:t>USD 125.000</w:t>
            </w:r>
          </w:p>
        </w:tc>
      </w:tr>
    </w:tbl>
    <w:p w14:paraId="3DECD2ED" w14:textId="3068C999" w:rsidR="009A23CE" w:rsidRPr="009A23CE" w:rsidRDefault="009A23CE" w:rsidP="00870412">
      <w:pPr>
        <w:pStyle w:val="Textoindependiente"/>
        <w:widowControl w:val="0"/>
        <w:numPr>
          <w:ilvl w:val="0"/>
          <w:numId w:val="26"/>
        </w:numPr>
        <w:tabs>
          <w:tab w:val="left" w:pos="993"/>
        </w:tabs>
        <w:autoSpaceDE w:val="0"/>
        <w:autoSpaceDN w:val="0"/>
        <w:spacing w:before="24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Saldos de los Contratos en ejecución (SCE).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4164B4C0" w14:textId="77777777" w:rsidR="009A23CE" w:rsidRPr="009A23CE" w:rsidRDefault="009A23CE" w:rsidP="00870412">
      <w:pPr>
        <w:pStyle w:val="Textoindependiente"/>
        <w:widowControl w:val="0"/>
        <w:numPr>
          <w:ilvl w:val="0"/>
          <w:numId w:val="26"/>
        </w:numPr>
        <w:tabs>
          <w:tab w:val="left" w:pos="993"/>
        </w:tabs>
        <w:autoSpaceDE w:val="0"/>
        <w:autoSpaceDN w:val="0"/>
        <w:spacing w:before="240" w:beforeAutospacing="0" w:after="0" w:afterAutospacing="0" w:line="276" w:lineRule="auto"/>
        <w:ind w:left="0" w:firstLine="709"/>
        <w:jc w:val="both"/>
        <w:rPr>
          <w:rFonts w:ascii="Arial" w:hAnsi="Arial" w:cs="Arial"/>
          <w:bCs/>
          <w:sz w:val="22"/>
          <w:szCs w:val="22"/>
          <w:lang w:val="es-MX" w:eastAsia="x-none"/>
        </w:rPr>
      </w:pPr>
      <w:r w:rsidRPr="009A23CE">
        <w:rPr>
          <w:rFonts w:ascii="Arial" w:hAnsi="Arial" w:cs="Arial"/>
          <w:bCs/>
          <w:sz w:val="22"/>
          <w:szCs w:val="22"/>
          <w:lang w:val="es-MX" w:eastAsia="x-none"/>
        </w:rPr>
        <w:t xml:space="preserve">Experiencia (E). Para los efectos de la capacidad residual, corresponde de un lado, a la relación entre «el valor total en pesos de los contratos relacionados con la actividad de la construcción inscritos por el proponente en el Registro Único de Proponentes “RUP” en el segmento 72 […] del Clasificador de Bienes y Servicios», y del otro, al presupuesto oficial estimado del Proceso de Contratación. La relación indica el número de veces que el proponente ha ejecutado contratos equivalentes a la cuantía del proceso de contratación.  </w:t>
      </w:r>
    </w:p>
    <w:p w14:paraId="4F76FDBE" w14:textId="5F4B1526" w:rsidR="009A23CE" w:rsidRDefault="009A23CE" w:rsidP="00870412">
      <w:pPr>
        <w:pStyle w:val="Textoindependiente"/>
        <w:spacing w:before="240" w:beforeAutospacing="0" w:after="0" w:afterAutospacing="0" w:line="276" w:lineRule="auto"/>
        <w:ind w:firstLine="709"/>
        <w:jc w:val="both"/>
        <w:rPr>
          <w:rFonts w:ascii="Arial" w:hAnsi="Arial" w:cs="Arial"/>
          <w:bCs/>
          <w:sz w:val="22"/>
          <w:szCs w:val="22"/>
          <w:lang w:val="es-MX" w:eastAsia="x-none"/>
        </w:rPr>
      </w:pPr>
      <w:r w:rsidRPr="009A23CE">
        <w:rPr>
          <w:rFonts w:ascii="Arial" w:hAnsi="Arial" w:cs="Arial"/>
          <w:bCs/>
          <w:sz w:val="22"/>
          <w:szCs w:val="22"/>
          <w:lang w:val="es-MX" w:eastAsia="x-none"/>
        </w:rPr>
        <w:lastRenderedPageBreak/>
        <w:t>En este contexto, resulta oportuno precisar que, si bien es cierto la entidad estatal es la que debe calcular la capacidad residual de los proponentes, también lo es que estos últimos, como se referenció, tienen la carga de aportar los documentos para acreditar su capacidad residual</w:t>
      </w:r>
      <w:r w:rsidR="00677097">
        <w:rPr>
          <w:rStyle w:val="Refdenotaalpie"/>
          <w:rFonts w:ascii="Arial" w:hAnsi="Arial" w:cs="Arial"/>
          <w:bCs/>
          <w:sz w:val="22"/>
          <w:szCs w:val="22"/>
          <w:lang w:val="es-MX" w:eastAsia="x-none"/>
        </w:rPr>
        <w:footnoteReference w:id="3"/>
      </w:r>
      <w:r w:rsidRPr="009A23CE">
        <w:rPr>
          <w:rFonts w:ascii="Arial" w:hAnsi="Arial" w:cs="Arial"/>
          <w:bCs/>
          <w:sz w:val="22"/>
          <w:szCs w:val="22"/>
          <w:lang w:val="es-MX" w:eastAsia="x-none"/>
        </w:rPr>
        <w:t xml:space="preserve">. </w:t>
      </w:r>
    </w:p>
    <w:p w14:paraId="7A36B89B" w14:textId="1FAD4873" w:rsidR="001D3585" w:rsidRDefault="001D3585" w:rsidP="00870412">
      <w:pPr>
        <w:spacing w:before="240" w:line="276" w:lineRule="auto"/>
        <w:ind w:firstLine="709"/>
        <w:jc w:val="both"/>
        <w:rPr>
          <w:rFonts w:ascii="Arial" w:hAnsi="Arial" w:cs="Arial"/>
          <w:bCs/>
          <w:sz w:val="22"/>
          <w:szCs w:val="22"/>
          <w:lang w:val="es-MX" w:eastAsia="x-none"/>
        </w:rPr>
      </w:pPr>
      <w:r w:rsidRPr="001D3585">
        <w:rPr>
          <w:rFonts w:ascii="Arial" w:hAnsi="Arial" w:cs="Arial"/>
          <w:bCs/>
          <w:sz w:val="22"/>
          <w:szCs w:val="22"/>
          <w:lang w:val="es-MX" w:eastAsia="x-none"/>
        </w:rPr>
        <w:t>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(i) el valor del contrato; (</w:t>
      </w:r>
      <w:proofErr w:type="spellStart"/>
      <w:r w:rsidRPr="001D3585">
        <w:rPr>
          <w:rFonts w:ascii="Arial" w:hAnsi="Arial" w:cs="Arial"/>
          <w:bCs/>
          <w:sz w:val="22"/>
          <w:szCs w:val="22"/>
          <w:lang w:val="es-MX" w:eastAsia="x-none"/>
        </w:rPr>
        <w:t>ii</w:t>
      </w:r>
      <w:proofErr w:type="spellEnd"/>
      <w:r w:rsidRPr="001D3585">
        <w:rPr>
          <w:rFonts w:ascii="Arial" w:hAnsi="Arial" w:cs="Arial"/>
          <w:bCs/>
          <w:sz w:val="22"/>
          <w:szCs w:val="22"/>
          <w:lang w:val="es-MX" w:eastAsia="x-none"/>
        </w:rPr>
        <w:t>) el plazo del contrato en meses; (</w:t>
      </w:r>
      <w:proofErr w:type="spellStart"/>
      <w:r w:rsidRPr="001D3585">
        <w:rPr>
          <w:rFonts w:ascii="Arial" w:hAnsi="Arial" w:cs="Arial"/>
          <w:bCs/>
          <w:sz w:val="22"/>
          <w:szCs w:val="22"/>
          <w:lang w:val="es-MX" w:eastAsia="x-none"/>
        </w:rPr>
        <w:t>iii</w:t>
      </w:r>
      <w:proofErr w:type="spellEnd"/>
      <w:r w:rsidRPr="001D3585">
        <w:rPr>
          <w:rFonts w:ascii="Arial" w:hAnsi="Arial" w:cs="Arial"/>
          <w:bCs/>
          <w:sz w:val="22"/>
          <w:szCs w:val="22"/>
          <w:lang w:val="es-MX" w:eastAsia="x-none"/>
        </w:rPr>
        <w:t>) la fecha de inicio de las obras objeto del contrato, día, mes, año; (</w:t>
      </w:r>
      <w:proofErr w:type="spellStart"/>
      <w:r w:rsidRPr="001D3585">
        <w:rPr>
          <w:rFonts w:ascii="Arial" w:hAnsi="Arial" w:cs="Arial"/>
          <w:bCs/>
          <w:sz w:val="22"/>
          <w:szCs w:val="22"/>
          <w:lang w:val="es-MX" w:eastAsia="x-none"/>
        </w:rPr>
        <w:t>iv</w:t>
      </w:r>
      <w:proofErr w:type="spellEnd"/>
      <w:r w:rsidRPr="001D3585">
        <w:rPr>
          <w:rFonts w:ascii="Arial" w:hAnsi="Arial" w:cs="Arial"/>
          <w:bCs/>
          <w:sz w:val="22"/>
          <w:szCs w:val="22"/>
          <w:lang w:val="es-MX" w:eastAsia="x-none"/>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246F3E5E" w14:textId="15C3C2E0" w:rsidR="00C837D5" w:rsidRPr="006E0932" w:rsidRDefault="00CB3E91" w:rsidP="006E0932">
      <w:pPr>
        <w:spacing w:before="240" w:line="276" w:lineRule="auto"/>
        <w:ind w:right="49"/>
        <w:jc w:val="both"/>
        <w:rPr>
          <w:rFonts w:ascii="Arial" w:eastAsia="Arial," w:hAnsi="Arial" w:cs="Arial"/>
          <w:sz w:val="22"/>
          <w:szCs w:val="22"/>
        </w:rPr>
      </w:pPr>
      <w:r w:rsidRPr="00CB3E91">
        <w:rPr>
          <w:rFonts w:ascii="Arial" w:hAnsi="Arial" w:cs="Arial"/>
          <w:b/>
          <w:sz w:val="22"/>
          <w:szCs w:val="22"/>
          <w:lang w:val="es-ES" w:eastAsia="es-CO"/>
        </w:rPr>
        <w:t xml:space="preserve">2.2. </w:t>
      </w:r>
      <w:bookmarkStart w:id="5" w:name="_Hlk75784645"/>
      <w:r w:rsidR="00C837D5" w:rsidRPr="00C837D5">
        <w:rPr>
          <w:rFonts w:ascii="Arial" w:hAnsi="Arial" w:cs="Arial"/>
          <w:b/>
          <w:sz w:val="22"/>
          <w:szCs w:val="22"/>
          <w:lang w:val="es-ES" w:eastAsia="es-CO"/>
        </w:rPr>
        <w:t>Contratos a tener en cuenta para el cálculo del factor Saldos de Contratos en Ejecución (SCE) de la fórmula para determinar la Capacidad Residual del Proponente (CRP)</w:t>
      </w:r>
    </w:p>
    <w:p w14:paraId="5AB851A5" w14:textId="77777777" w:rsidR="00C837D5" w:rsidRPr="00C837D5" w:rsidRDefault="00C837D5" w:rsidP="006E0932">
      <w:pPr>
        <w:spacing w:before="240" w:line="276" w:lineRule="auto"/>
        <w:contextualSpacing/>
        <w:jc w:val="both"/>
        <w:rPr>
          <w:rFonts w:ascii="Arial" w:hAnsi="Arial" w:cs="Arial"/>
          <w:b/>
          <w:sz w:val="22"/>
          <w:szCs w:val="22"/>
          <w:lang w:val="es-ES" w:eastAsia="es-CO"/>
        </w:rPr>
      </w:pPr>
    </w:p>
    <w:p w14:paraId="564440C5" w14:textId="77777777" w:rsidR="00420A6C" w:rsidRDefault="00C837D5" w:rsidP="003E1DFC">
      <w:pPr>
        <w:spacing w:before="240" w:line="276" w:lineRule="auto"/>
        <w:ind w:firstLine="708"/>
        <w:contextualSpacing/>
        <w:jc w:val="both"/>
        <w:rPr>
          <w:rFonts w:ascii="Arial" w:hAnsi="Arial" w:cs="Arial"/>
          <w:bCs/>
          <w:sz w:val="22"/>
          <w:szCs w:val="22"/>
          <w:lang w:val="es-ES" w:eastAsia="es-CO"/>
        </w:rPr>
      </w:pPr>
      <w:r w:rsidRPr="00C837D5">
        <w:rPr>
          <w:rFonts w:ascii="Arial" w:hAnsi="Arial" w:cs="Arial"/>
          <w:bCs/>
          <w:sz w:val="22"/>
          <w:szCs w:val="22"/>
          <w:lang w:val="es-ES" w:eastAsia="es-CO"/>
        </w:rPr>
        <w:t xml:space="preserve">A efectos del cálculo de la Capacidad Residual del Proponente (CRP), conforme a la metodología descrita supra, es necesario tener en cuenta la lista de los contratos en ejecución en cabeza del proponente, que son aquellos que, a la fecha de presentación de la oferta, obligan al proponente con entidades estatales y con entidades privadas para </w:t>
      </w:r>
      <w:r w:rsidRPr="00C837D5">
        <w:rPr>
          <w:rFonts w:ascii="Arial" w:hAnsi="Arial" w:cs="Arial"/>
          <w:bCs/>
          <w:sz w:val="22"/>
          <w:szCs w:val="22"/>
          <w:lang w:val="es-ES" w:eastAsia="es-CO"/>
        </w:rPr>
        <w:lastRenderedPageBreak/>
        <w:t xml:space="preserve">ejecutar obras públicas.  Es decir, los saldos pendientes se derivan de las obligaciones que se encuentran vigentes al momento de la presentación de la oferta. </w:t>
      </w:r>
    </w:p>
    <w:p w14:paraId="22432C86" w14:textId="77777777" w:rsidR="00420A6C" w:rsidRDefault="00420A6C" w:rsidP="00870412">
      <w:pPr>
        <w:spacing w:before="240" w:line="276" w:lineRule="auto"/>
        <w:ind w:firstLine="708"/>
        <w:contextualSpacing/>
        <w:jc w:val="both"/>
        <w:rPr>
          <w:rFonts w:ascii="Arial" w:hAnsi="Arial" w:cs="Arial"/>
          <w:bCs/>
          <w:sz w:val="22"/>
          <w:szCs w:val="22"/>
          <w:lang w:val="es-ES" w:eastAsia="es-CO"/>
        </w:rPr>
      </w:pPr>
    </w:p>
    <w:p w14:paraId="4D215C8C" w14:textId="13759E36" w:rsidR="00C837D5" w:rsidRPr="00C837D5" w:rsidRDefault="00C837D5" w:rsidP="00870412">
      <w:pPr>
        <w:spacing w:before="240" w:line="276" w:lineRule="auto"/>
        <w:ind w:firstLine="708"/>
        <w:contextualSpacing/>
        <w:jc w:val="both"/>
        <w:rPr>
          <w:rFonts w:ascii="Arial" w:hAnsi="Arial" w:cs="Arial"/>
          <w:bCs/>
          <w:sz w:val="22"/>
          <w:szCs w:val="22"/>
          <w:lang w:val="es-ES" w:eastAsia="es-CO"/>
        </w:rPr>
      </w:pPr>
      <w:r w:rsidRPr="00C837D5">
        <w:rPr>
          <w:rFonts w:ascii="Arial" w:hAnsi="Arial" w:cs="Arial"/>
          <w:bCs/>
          <w:sz w:val="22"/>
          <w:szCs w:val="22"/>
          <w:lang w:val="es-ES" w:eastAsia="es-CO"/>
        </w:rPr>
        <w:t xml:space="preserve">Para acreditar tales valores, correspondientes al factor Saldos de Contratos en Ejecución (SCE), la Guía para Determinar y Verificar la Capacidad Residual del Proponente en los Procesos de Contratación de Obra Pública establece lo siguiente: </w:t>
      </w:r>
    </w:p>
    <w:p w14:paraId="13E83F34" w14:textId="77777777" w:rsidR="00C837D5" w:rsidRPr="00C837D5" w:rsidRDefault="00C837D5" w:rsidP="00870412">
      <w:pPr>
        <w:spacing w:before="240" w:line="276" w:lineRule="auto"/>
        <w:contextualSpacing/>
        <w:jc w:val="both"/>
        <w:rPr>
          <w:rFonts w:ascii="Arial" w:hAnsi="Arial" w:cs="Arial"/>
          <w:bCs/>
          <w:sz w:val="22"/>
          <w:szCs w:val="22"/>
          <w:lang w:val="es-ES" w:eastAsia="es-CO"/>
        </w:rPr>
      </w:pPr>
    </w:p>
    <w:p w14:paraId="4FCD6749" w14:textId="4C7B7BDB" w:rsidR="00C837D5" w:rsidRPr="00420A6C" w:rsidRDefault="00C837D5" w:rsidP="00870412">
      <w:pPr>
        <w:spacing w:before="240" w:line="276" w:lineRule="auto"/>
        <w:ind w:left="567" w:right="786"/>
        <w:contextualSpacing/>
        <w:jc w:val="both"/>
        <w:rPr>
          <w:rFonts w:ascii="Arial" w:hAnsi="Arial" w:cs="Arial"/>
          <w:bCs/>
          <w:sz w:val="21"/>
          <w:szCs w:val="21"/>
          <w:lang w:val="es-ES" w:eastAsia="es-CO"/>
        </w:rPr>
      </w:pPr>
      <w:r w:rsidRPr="00420A6C">
        <w:rPr>
          <w:rFonts w:ascii="Arial" w:hAnsi="Arial" w:cs="Arial"/>
          <w:bCs/>
          <w:sz w:val="21"/>
          <w:szCs w:val="21"/>
          <w:lang w:val="es-ES" w:eastAsia="es-CO"/>
        </w:rPr>
        <w:t>El proponente debe presentar un certificado suscrito por su representante legal y su revisor fiscal, si el proponente está obligado a tenerlo, o por el contador o su auditor independiente, el cual contenga la lista de los Contratos en Ejecución, tanto a nivel nacional como internacional, indicando: (i) el valor del contrato; (</w:t>
      </w:r>
      <w:proofErr w:type="spellStart"/>
      <w:r w:rsidRPr="00420A6C">
        <w:rPr>
          <w:rFonts w:ascii="Arial" w:hAnsi="Arial" w:cs="Arial"/>
          <w:bCs/>
          <w:sz w:val="21"/>
          <w:szCs w:val="21"/>
          <w:lang w:val="es-ES" w:eastAsia="es-CO"/>
        </w:rPr>
        <w:t>ii</w:t>
      </w:r>
      <w:proofErr w:type="spellEnd"/>
      <w:r w:rsidRPr="00420A6C">
        <w:rPr>
          <w:rFonts w:ascii="Arial" w:hAnsi="Arial" w:cs="Arial"/>
          <w:bCs/>
          <w:sz w:val="21"/>
          <w:szCs w:val="21"/>
          <w:lang w:val="es-ES" w:eastAsia="es-CO"/>
        </w:rPr>
        <w:t>) el plazo del contrato en meses; (</w:t>
      </w:r>
      <w:proofErr w:type="spellStart"/>
      <w:r w:rsidRPr="00420A6C">
        <w:rPr>
          <w:rFonts w:ascii="Arial" w:hAnsi="Arial" w:cs="Arial"/>
          <w:bCs/>
          <w:sz w:val="21"/>
          <w:szCs w:val="21"/>
          <w:lang w:val="es-ES" w:eastAsia="es-CO"/>
        </w:rPr>
        <w:t>iii</w:t>
      </w:r>
      <w:proofErr w:type="spellEnd"/>
      <w:r w:rsidRPr="00420A6C">
        <w:rPr>
          <w:rFonts w:ascii="Arial" w:hAnsi="Arial" w:cs="Arial"/>
          <w:bCs/>
          <w:sz w:val="21"/>
          <w:szCs w:val="21"/>
          <w:lang w:val="es-ES" w:eastAsia="es-CO"/>
        </w:rPr>
        <w:t>) la fecha de inicio de las obras objeto del contrato, día, mes, año; (</w:t>
      </w:r>
      <w:proofErr w:type="spellStart"/>
      <w:r w:rsidRPr="00420A6C">
        <w:rPr>
          <w:rFonts w:ascii="Arial" w:hAnsi="Arial" w:cs="Arial"/>
          <w:bCs/>
          <w:sz w:val="21"/>
          <w:szCs w:val="21"/>
          <w:lang w:val="es-ES" w:eastAsia="es-CO"/>
        </w:rPr>
        <w:t>iv</w:t>
      </w:r>
      <w:proofErr w:type="spellEnd"/>
      <w:r w:rsidRPr="00420A6C">
        <w:rPr>
          <w:rFonts w:ascii="Arial" w:hAnsi="Arial" w:cs="Arial"/>
          <w:bCs/>
          <w:sz w:val="21"/>
          <w:szCs w:val="21"/>
          <w:lang w:val="es-ES" w:eastAsia="es-CO"/>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r w:rsidR="00420A6C">
        <w:rPr>
          <w:rStyle w:val="Refdenotaalpie"/>
          <w:rFonts w:ascii="Arial" w:hAnsi="Arial" w:cs="Arial"/>
          <w:bCs/>
          <w:sz w:val="21"/>
          <w:szCs w:val="21"/>
          <w:lang w:val="es-ES" w:eastAsia="es-CO"/>
        </w:rPr>
        <w:footnoteReference w:id="4"/>
      </w:r>
      <w:r w:rsidRPr="00420A6C">
        <w:rPr>
          <w:rFonts w:ascii="Arial" w:hAnsi="Arial" w:cs="Arial"/>
          <w:bCs/>
          <w:sz w:val="21"/>
          <w:szCs w:val="21"/>
          <w:lang w:val="es-ES" w:eastAsia="es-CO"/>
        </w:rPr>
        <w:t>.</w:t>
      </w:r>
    </w:p>
    <w:p w14:paraId="3123C454" w14:textId="77777777" w:rsidR="00420A6C" w:rsidRDefault="00420A6C" w:rsidP="00870412">
      <w:pPr>
        <w:spacing w:before="240" w:line="276" w:lineRule="auto"/>
        <w:ind w:firstLine="567"/>
        <w:contextualSpacing/>
        <w:jc w:val="both"/>
        <w:rPr>
          <w:rFonts w:ascii="Arial" w:hAnsi="Arial" w:cs="Arial"/>
          <w:bCs/>
          <w:sz w:val="22"/>
          <w:szCs w:val="22"/>
          <w:lang w:val="es-ES" w:eastAsia="es-CO"/>
        </w:rPr>
      </w:pPr>
    </w:p>
    <w:p w14:paraId="21D5130B" w14:textId="0C13D102" w:rsidR="00C837D5" w:rsidRPr="00C837D5" w:rsidRDefault="00C837D5" w:rsidP="00870412">
      <w:pPr>
        <w:spacing w:before="240" w:line="276" w:lineRule="auto"/>
        <w:ind w:firstLine="567"/>
        <w:contextualSpacing/>
        <w:jc w:val="both"/>
        <w:rPr>
          <w:rFonts w:ascii="Arial" w:hAnsi="Arial" w:cs="Arial"/>
          <w:bCs/>
          <w:sz w:val="22"/>
          <w:szCs w:val="22"/>
          <w:lang w:val="es-ES" w:eastAsia="es-CO"/>
        </w:rPr>
      </w:pPr>
      <w:r w:rsidRPr="00C837D5">
        <w:rPr>
          <w:rFonts w:ascii="Arial" w:hAnsi="Arial" w:cs="Arial"/>
          <w:bCs/>
          <w:sz w:val="22"/>
          <w:szCs w:val="22"/>
          <w:lang w:val="es-ES" w:eastAsia="es-CO"/>
        </w:rPr>
        <w:t xml:space="preserve"> </w:t>
      </w:r>
      <w:r w:rsidR="00766E39">
        <w:rPr>
          <w:rFonts w:ascii="Arial" w:hAnsi="Arial" w:cs="Arial"/>
          <w:bCs/>
          <w:sz w:val="22"/>
          <w:szCs w:val="22"/>
          <w:lang w:val="es-ES" w:eastAsia="es-CO"/>
        </w:rPr>
        <w:t>L</w:t>
      </w:r>
      <w:r w:rsidRPr="00C837D5">
        <w:rPr>
          <w:rFonts w:ascii="Arial" w:hAnsi="Arial" w:cs="Arial"/>
          <w:bCs/>
          <w:sz w:val="22"/>
          <w:szCs w:val="22"/>
          <w:lang w:val="es-ES" w:eastAsia="es-CO"/>
        </w:rPr>
        <w:t xml:space="preserve">a «Guía para Determinar y Verificar la Capacidad Residual del Proponente en los Procesos de Contratación de Obra Pública» define los </w:t>
      </w:r>
      <w:r w:rsidR="00766E39">
        <w:rPr>
          <w:rFonts w:ascii="Arial" w:hAnsi="Arial" w:cs="Arial"/>
          <w:bCs/>
          <w:sz w:val="22"/>
          <w:szCs w:val="22"/>
          <w:lang w:val="es-ES" w:eastAsia="es-CO"/>
        </w:rPr>
        <w:t>«</w:t>
      </w:r>
      <w:r w:rsidRPr="00C837D5">
        <w:rPr>
          <w:rFonts w:ascii="Arial" w:hAnsi="Arial" w:cs="Arial"/>
          <w:bCs/>
          <w:sz w:val="22"/>
          <w:szCs w:val="22"/>
          <w:lang w:val="es-ES" w:eastAsia="es-CO"/>
        </w:rPr>
        <w:t>Contratos en ejecución</w:t>
      </w:r>
      <w:r w:rsidR="00766E39">
        <w:rPr>
          <w:rFonts w:ascii="Arial" w:hAnsi="Arial" w:cs="Arial"/>
          <w:bCs/>
          <w:sz w:val="22"/>
          <w:szCs w:val="22"/>
          <w:lang w:val="es-ES" w:eastAsia="es-CO"/>
        </w:rPr>
        <w:t>»</w:t>
      </w:r>
      <w:r w:rsidRPr="00C837D5">
        <w:rPr>
          <w:rFonts w:ascii="Arial" w:hAnsi="Arial" w:cs="Arial"/>
          <w:bCs/>
          <w:sz w:val="22"/>
          <w:szCs w:val="22"/>
          <w:lang w:val="es-ES" w:eastAsia="es-CO"/>
        </w:rPr>
        <w:t xml:space="preserve">, para efectos de calcular la capacidad residual, de la siguiente manera:  </w:t>
      </w:r>
    </w:p>
    <w:p w14:paraId="437BCCF5" w14:textId="77777777" w:rsidR="00451E90" w:rsidRPr="00AA171A" w:rsidRDefault="00451E90" w:rsidP="00870412">
      <w:pPr>
        <w:spacing w:before="240" w:line="276" w:lineRule="auto"/>
        <w:ind w:left="567" w:right="786"/>
        <w:contextualSpacing/>
        <w:jc w:val="both"/>
        <w:rPr>
          <w:rFonts w:ascii="Arial" w:hAnsi="Arial" w:cs="Arial"/>
          <w:bCs/>
          <w:sz w:val="16"/>
          <w:szCs w:val="16"/>
          <w:lang w:val="es-ES" w:eastAsia="es-CO"/>
        </w:rPr>
      </w:pPr>
    </w:p>
    <w:p w14:paraId="6CFBFA27" w14:textId="5FCC80F3" w:rsidR="00420A6C" w:rsidRPr="00420A6C" w:rsidRDefault="00C837D5" w:rsidP="00870412">
      <w:pPr>
        <w:spacing w:before="240" w:line="276" w:lineRule="auto"/>
        <w:ind w:left="567" w:right="786"/>
        <w:contextualSpacing/>
        <w:jc w:val="both"/>
        <w:rPr>
          <w:rFonts w:ascii="Arial" w:hAnsi="Arial" w:cs="Arial"/>
          <w:bCs/>
          <w:sz w:val="21"/>
          <w:szCs w:val="21"/>
          <w:lang w:val="es-ES" w:eastAsia="es-CO"/>
        </w:rPr>
      </w:pPr>
      <w:r w:rsidRPr="00420A6C">
        <w:rPr>
          <w:rFonts w:ascii="Arial" w:hAnsi="Arial" w:cs="Arial"/>
          <w:bCs/>
          <w:sz w:val="21"/>
          <w:szCs w:val="21"/>
          <w:lang w:val="es-ES" w:eastAsia="es-CO"/>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420A6C">
        <w:rPr>
          <w:rStyle w:val="Refdenotaalpie"/>
          <w:rFonts w:ascii="Arial" w:hAnsi="Arial" w:cs="Arial"/>
          <w:bCs/>
          <w:sz w:val="21"/>
          <w:szCs w:val="21"/>
          <w:lang w:val="es-ES" w:eastAsia="es-CO"/>
        </w:rPr>
        <w:footnoteReference w:id="5"/>
      </w:r>
      <w:r w:rsidRPr="00420A6C">
        <w:rPr>
          <w:rFonts w:ascii="Arial" w:hAnsi="Arial" w:cs="Arial"/>
          <w:bCs/>
          <w:sz w:val="21"/>
          <w:szCs w:val="21"/>
          <w:lang w:val="es-ES" w:eastAsia="es-CO"/>
        </w:rPr>
        <w:t xml:space="preserve"> </w:t>
      </w:r>
    </w:p>
    <w:p w14:paraId="59812B6B" w14:textId="77777777" w:rsidR="00420A6C" w:rsidRPr="00C837D5" w:rsidRDefault="00420A6C" w:rsidP="00870412">
      <w:pPr>
        <w:spacing w:before="240" w:line="276" w:lineRule="auto"/>
        <w:ind w:left="567" w:right="786"/>
        <w:contextualSpacing/>
        <w:jc w:val="both"/>
        <w:rPr>
          <w:rFonts w:ascii="Arial" w:hAnsi="Arial" w:cs="Arial"/>
          <w:bCs/>
          <w:sz w:val="22"/>
          <w:szCs w:val="22"/>
          <w:lang w:val="es-ES" w:eastAsia="es-CO"/>
        </w:rPr>
      </w:pPr>
    </w:p>
    <w:p w14:paraId="01323E4F" w14:textId="6DC746FD" w:rsidR="000217A2" w:rsidRDefault="00A66BF9" w:rsidP="00870412">
      <w:pPr>
        <w:spacing w:before="240" w:line="276" w:lineRule="auto"/>
        <w:ind w:firstLine="567"/>
        <w:contextualSpacing/>
        <w:jc w:val="both"/>
        <w:rPr>
          <w:rFonts w:ascii="Arial" w:hAnsi="Arial" w:cs="Arial"/>
          <w:bCs/>
          <w:sz w:val="22"/>
          <w:szCs w:val="22"/>
          <w:lang w:val="es-ES" w:eastAsia="es-CO"/>
        </w:rPr>
      </w:pPr>
      <w:r>
        <w:rPr>
          <w:rFonts w:ascii="Arial" w:hAnsi="Arial" w:cs="Arial"/>
          <w:bCs/>
          <w:sz w:val="22"/>
          <w:szCs w:val="22"/>
          <w:lang w:val="es-ES" w:eastAsia="es-CO"/>
        </w:rPr>
        <w:t xml:space="preserve">Conforme a lo anterior, </w:t>
      </w:r>
      <w:r w:rsidR="00551FE1">
        <w:rPr>
          <w:rFonts w:ascii="Arial" w:hAnsi="Arial" w:cs="Arial"/>
          <w:bCs/>
          <w:sz w:val="22"/>
          <w:szCs w:val="22"/>
          <w:lang w:val="es-ES" w:eastAsia="es-CO"/>
        </w:rPr>
        <w:t xml:space="preserve">los «Contratos en ejecución» que deben ser tenidos en cuenta para el </w:t>
      </w:r>
      <w:proofErr w:type="spellStart"/>
      <w:r w:rsidR="00551FE1">
        <w:rPr>
          <w:rFonts w:ascii="Arial" w:hAnsi="Arial" w:cs="Arial"/>
          <w:bCs/>
          <w:sz w:val="22"/>
          <w:szCs w:val="22"/>
          <w:lang w:val="es-ES" w:eastAsia="es-CO"/>
        </w:rPr>
        <w:t>calculo</w:t>
      </w:r>
      <w:proofErr w:type="spellEnd"/>
      <w:r w:rsidR="00551FE1">
        <w:rPr>
          <w:rFonts w:ascii="Arial" w:hAnsi="Arial" w:cs="Arial"/>
          <w:bCs/>
          <w:sz w:val="22"/>
          <w:szCs w:val="22"/>
          <w:lang w:val="es-ES" w:eastAsia="es-CO"/>
        </w:rPr>
        <w:t xml:space="preserve"> del factor (SCE) son aquellos que</w:t>
      </w:r>
      <w:r w:rsidR="00440B8D">
        <w:rPr>
          <w:rFonts w:ascii="Arial" w:hAnsi="Arial" w:cs="Arial"/>
          <w:bCs/>
          <w:sz w:val="22"/>
          <w:szCs w:val="22"/>
          <w:lang w:val="es-ES" w:eastAsia="es-CO"/>
        </w:rPr>
        <w:t>,</w:t>
      </w:r>
      <w:r w:rsidR="00487BC0">
        <w:rPr>
          <w:rFonts w:ascii="Arial" w:hAnsi="Arial" w:cs="Arial"/>
          <w:bCs/>
          <w:sz w:val="22"/>
          <w:szCs w:val="22"/>
          <w:lang w:val="es-ES" w:eastAsia="es-CO"/>
        </w:rPr>
        <w:t xml:space="preserve"> al momento de presentarse la oferta, obligan al proponente a ejecutar obras civiles</w:t>
      </w:r>
      <w:r w:rsidR="001A4E88">
        <w:rPr>
          <w:rFonts w:ascii="Arial" w:hAnsi="Arial" w:cs="Arial"/>
          <w:bCs/>
          <w:sz w:val="22"/>
          <w:szCs w:val="22"/>
          <w:lang w:val="es-ES" w:eastAsia="es-CO"/>
        </w:rPr>
        <w:t>. En ese sentido,</w:t>
      </w:r>
      <w:r w:rsidR="00440B8D">
        <w:rPr>
          <w:rFonts w:ascii="Arial" w:hAnsi="Arial" w:cs="Arial"/>
          <w:bCs/>
          <w:sz w:val="22"/>
          <w:szCs w:val="22"/>
          <w:lang w:val="es-ES" w:eastAsia="es-CO"/>
        </w:rPr>
        <w:t xml:space="preserve"> lo determinante es </w:t>
      </w:r>
      <w:r w:rsidR="00CB772B">
        <w:rPr>
          <w:rFonts w:ascii="Arial" w:hAnsi="Arial" w:cs="Arial"/>
          <w:bCs/>
          <w:sz w:val="22"/>
          <w:szCs w:val="22"/>
          <w:lang w:val="es-ES" w:eastAsia="es-CO"/>
        </w:rPr>
        <w:t xml:space="preserve">que del contrato derive un compromiso </w:t>
      </w:r>
      <w:r w:rsidR="00BC4869">
        <w:rPr>
          <w:rFonts w:ascii="Arial" w:hAnsi="Arial" w:cs="Arial"/>
          <w:bCs/>
          <w:sz w:val="22"/>
          <w:szCs w:val="22"/>
          <w:lang w:val="es-ES" w:eastAsia="es-CO"/>
        </w:rPr>
        <w:t>vinculante de ejecutar obras civiles, por lo que</w:t>
      </w:r>
      <w:r w:rsidR="001A4E88">
        <w:rPr>
          <w:rFonts w:ascii="Arial" w:hAnsi="Arial" w:cs="Arial"/>
          <w:bCs/>
          <w:sz w:val="22"/>
          <w:szCs w:val="22"/>
          <w:lang w:val="es-ES" w:eastAsia="es-CO"/>
        </w:rPr>
        <w:t xml:space="preserve"> se requiere que el contrato se encuentre en eje</w:t>
      </w:r>
      <w:r w:rsidR="00E56338">
        <w:rPr>
          <w:rFonts w:ascii="Arial" w:hAnsi="Arial" w:cs="Arial"/>
          <w:bCs/>
          <w:sz w:val="22"/>
          <w:szCs w:val="22"/>
          <w:lang w:val="es-ES" w:eastAsia="es-CO"/>
        </w:rPr>
        <w:t xml:space="preserve">cución en estricto sentido, </w:t>
      </w:r>
      <w:r w:rsidR="00BC4869">
        <w:rPr>
          <w:rFonts w:ascii="Arial" w:hAnsi="Arial" w:cs="Arial"/>
          <w:bCs/>
          <w:sz w:val="22"/>
          <w:szCs w:val="22"/>
          <w:lang w:val="es-ES" w:eastAsia="es-CO"/>
        </w:rPr>
        <w:t>razón por</w:t>
      </w:r>
      <w:r w:rsidR="00E56338">
        <w:rPr>
          <w:rFonts w:ascii="Arial" w:hAnsi="Arial" w:cs="Arial"/>
          <w:bCs/>
          <w:sz w:val="22"/>
          <w:szCs w:val="22"/>
          <w:lang w:val="es-ES" w:eastAsia="es-CO"/>
        </w:rPr>
        <w:t xml:space="preserve"> l</w:t>
      </w:r>
      <w:r w:rsidR="00BC4869">
        <w:rPr>
          <w:rFonts w:ascii="Arial" w:hAnsi="Arial" w:cs="Arial"/>
          <w:bCs/>
          <w:sz w:val="22"/>
          <w:szCs w:val="22"/>
          <w:lang w:val="es-ES" w:eastAsia="es-CO"/>
        </w:rPr>
        <w:t>a</w:t>
      </w:r>
      <w:r w:rsidR="00E56338">
        <w:rPr>
          <w:rFonts w:ascii="Arial" w:hAnsi="Arial" w:cs="Arial"/>
          <w:bCs/>
          <w:sz w:val="22"/>
          <w:szCs w:val="22"/>
          <w:lang w:val="es-ES" w:eastAsia="es-CO"/>
        </w:rPr>
        <w:t xml:space="preserve"> que la </w:t>
      </w:r>
      <w:r w:rsidR="00E56338">
        <w:rPr>
          <w:rFonts w:ascii="Arial" w:hAnsi="Arial" w:cs="Arial"/>
          <w:bCs/>
          <w:sz w:val="22"/>
          <w:szCs w:val="22"/>
          <w:lang w:val="es-ES" w:eastAsia="es-CO"/>
        </w:rPr>
        <w:lastRenderedPageBreak/>
        <w:t xml:space="preserve">propia definición establece que cobija a aquellos contratos </w:t>
      </w:r>
      <w:r w:rsidR="00440B8D">
        <w:rPr>
          <w:rFonts w:ascii="Arial" w:hAnsi="Arial" w:cs="Arial"/>
          <w:bCs/>
          <w:sz w:val="22"/>
          <w:szCs w:val="22"/>
          <w:lang w:val="es-ES" w:eastAsia="es-CO"/>
        </w:rPr>
        <w:t>suspendidos y a los que n</w:t>
      </w:r>
      <w:r w:rsidR="00E56338">
        <w:rPr>
          <w:rFonts w:ascii="Arial" w:hAnsi="Arial" w:cs="Arial"/>
          <w:bCs/>
          <w:sz w:val="22"/>
          <w:szCs w:val="22"/>
          <w:lang w:val="es-ES" w:eastAsia="es-CO"/>
        </w:rPr>
        <w:t xml:space="preserve">o cuenten con un acta de </w:t>
      </w:r>
      <w:r w:rsidR="00114EE9">
        <w:rPr>
          <w:rFonts w:ascii="Arial" w:hAnsi="Arial" w:cs="Arial"/>
          <w:bCs/>
          <w:sz w:val="22"/>
          <w:szCs w:val="22"/>
          <w:lang w:val="es-ES" w:eastAsia="es-CO"/>
        </w:rPr>
        <w:t>inicio</w:t>
      </w:r>
      <w:r w:rsidR="00BC4869">
        <w:rPr>
          <w:rFonts w:ascii="Arial" w:hAnsi="Arial" w:cs="Arial"/>
          <w:bCs/>
          <w:sz w:val="22"/>
          <w:szCs w:val="22"/>
          <w:lang w:val="es-ES" w:eastAsia="es-CO"/>
        </w:rPr>
        <w:t>.</w:t>
      </w:r>
    </w:p>
    <w:p w14:paraId="10FB417D" w14:textId="77777777" w:rsidR="003E1DFC" w:rsidRDefault="003E1DFC" w:rsidP="00870412">
      <w:pPr>
        <w:spacing w:before="240" w:line="276" w:lineRule="auto"/>
        <w:ind w:firstLine="567"/>
        <w:contextualSpacing/>
        <w:jc w:val="both"/>
        <w:rPr>
          <w:rFonts w:ascii="Arial" w:hAnsi="Arial" w:cs="Arial"/>
          <w:bCs/>
          <w:sz w:val="22"/>
          <w:szCs w:val="22"/>
          <w:lang w:val="es-ES" w:eastAsia="es-CO"/>
        </w:rPr>
      </w:pPr>
    </w:p>
    <w:p w14:paraId="544EB711" w14:textId="120C0957" w:rsidR="00E90847" w:rsidRDefault="00D65318" w:rsidP="003E1DFC">
      <w:pPr>
        <w:spacing w:before="240" w:line="276" w:lineRule="auto"/>
        <w:ind w:firstLine="567"/>
        <w:contextualSpacing/>
        <w:jc w:val="both"/>
        <w:rPr>
          <w:rFonts w:ascii="Arial" w:eastAsia="Calibri" w:hAnsi="Arial" w:cs="Arial"/>
          <w:sz w:val="21"/>
          <w:szCs w:val="21"/>
        </w:rPr>
      </w:pPr>
      <w:r>
        <w:rPr>
          <w:rFonts w:ascii="Arial" w:hAnsi="Arial" w:cs="Arial"/>
          <w:bCs/>
          <w:sz w:val="22"/>
          <w:szCs w:val="22"/>
          <w:lang w:val="es-ES" w:eastAsia="es-CO"/>
        </w:rPr>
        <w:t>De acuerdo con esto, en relación con el objeto de la consulta, debe ponerse de presente que</w:t>
      </w:r>
      <w:r w:rsidR="00320075">
        <w:rPr>
          <w:rFonts w:ascii="Arial" w:hAnsi="Arial" w:cs="Arial"/>
          <w:bCs/>
          <w:sz w:val="22"/>
          <w:szCs w:val="22"/>
          <w:lang w:val="es-ES" w:eastAsia="es-CO"/>
        </w:rPr>
        <w:t>,</w:t>
      </w:r>
      <w:r>
        <w:rPr>
          <w:rFonts w:ascii="Arial" w:hAnsi="Arial" w:cs="Arial"/>
          <w:bCs/>
          <w:sz w:val="22"/>
          <w:szCs w:val="22"/>
          <w:lang w:val="es-ES" w:eastAsia="es-CO"/>
        </w:rPr>
        <w:t xml:space="preserve"> ciertamente</w:t>
      </w:r>
      <w:r w:rsidR="001F4619">
        <w:rPr>
          <w:rFonts w:ascii="Arial" w:hAnsi="Arial" w:cs="Arial"/>
          <w:bCs/>
          <w:sz w:val="22"/>
          <w:szCs w:val="22"/>
          <w:lang w:val="es-ES" w:eastAsia="es-CO"/>
        </w:rPr>
        <w:t>,</w:t>
      </w:r>
      <w:r>
        <w:rPr>
          <w:rFonts w:ascii="Arial" w:hAnsi="Arial" w:cs="Arial"/>
          <w:bCs/>
          <w:sz w:val="22"/>
          <w:szCs w:val="22"/>
          <w:lang w:val="es-ES" w:eastAsia="es-CO"/>
        </w:rPr>
        <w:t xml:space="preserve"> </w:t>
      </w:r>
      <w:r w:rsidR="00320075">
        <w:rPr>
          <w:rFonts w:ascii="Arial" w:hAnsi="Arial" w:cs="Arial"/>
          <w:bCs/>
          <w:sz w:val="22"/>
          <w:szCs w:val="22"/>
          <w:lang w:val="es-ES" w:eastAsia="es-CO"/>
        </w:rPr>
        <w:t xml:space="preserve">el hecho de que </w:t>
      </w:r>
      <w:r w:rsidR="00A22FB9">
        <w:rPr>
          <w:rFonts w:ascii="Arial" w:hAnsi="Arial" w:cs="Arial"/>
          <w:bCs/>
          <w:sz w:val="22"/>
          <w:szCs w:val="22"/>
          <w:lang w:val="es-ES" w:eastAsia="es-CO"/>
        </w:rPr>
        <w:t xml:space="preserve">en el marco de un proceso de contratación </w:t>
      </w:r>
      <w:r w:rsidR="00320075">
        <w:rPr>
          <w:rFonts w:ascii="Arial" w:hAnsi="Arial" w:cs="Arial"/>
          <w:bCs/>
          <w:sz w:val="22"/>
          <w:szCs w:val="22"/>
          <w:lang w:val="es-ES" w:eastAsia="es-CO"/>
        </w:rPr>
        <w:t>se</w:t>
      </w:r>
      <w:r w:rsidR="001F4619">
        <w:rPr>
          <w:rFonts w:ascii="Arial" w:hAnsi="Arial" w:cs="Arial"/>
          <w:bCs/>
          <w:sz w:val="22"/>
          <w:szCs w:val="22"/>
          <w:lang w:val="es-ES" w:eastAsia="es-CO"/>
        </w:rPr>
        <w:t xml:space="preserve"> expida un acto administrativo </w:t>
      </w:r>
      <w:r w:rsidR="00F84F4F">
        <w:rPr>
          <w:rFonts w:ascii="Arial" w:hAnsi="Arial" w:cs="Arial"/>
          <w:bCs/>
          <w:sz w:val="22"/>
          <w:szCs w:val="22"/>
          <w:lang w:val="es-ES" w:eastAsia="es-CO"/>
        </w:rPr>
        <w:t>adjudicando</w:t>
      </w:r>
      <w:r>
        <w:rPr>
          <w:rFonts w:ascii="Arial" w:hAnsi="Arial" w:cs="Arial"/>
          <w:bCs/>
          <w:sz w:val="22"/>
          <w:szCs w:val="22"/>
          <w:lang w:val="es-ES" w:eastAsia="es-CO"/>
        </w:rPr>
        <w:t xml:space="preserve"> </w:t>
      </w:r>
      <w:r w:rsidR="00F84F4F">
        <w:rPr>
          <w:rFonts w:ascii="Arial" w:hAnsi="Arial" w:cs="Arial"/>
          <w:bCs/>
          <w:sz w:val="22"/>
          <w:szCs w:val="22"/>
          <w:lang w:val="es-ES" w:eastAsia="es-CO"/>
        </w:rPr>
        <w:t>uno de los proponentes</w:t>
      </w:r>
      <w:r w:rsidR="00320075">
        <w:rPr>
          <w:rFonts w:ascii="Arial" w:hAnsi="Arial" w:cs="Arial"/>
          <w:bCs/>
          <w:sz w:val="22"/>
          <w:szCs w:val="22"/>
          <w:lang w:val="es-ES" w:eastAsia="es-CO"/>
        </w:rPr>
        <w:t xml:space="preserve"> </w:t>
      </w:r>
      <w:r w:rsidR="0090222E">
        <w:rPr>
          <w:rFonts w:ascii="Arial" w:hAnsi="Arial" w:cs="Arial"/>
          <w:bCs/>
          <w:sz w:val="22"/>
          <w:szCs w:val="22"/>
          <w:lang w:val="es-ES" w:eastAsia="es-CO"/>
        </w:rPr>
        <w:t>un</w:t>
      </w:r>
      <w:r w:rsidR="00320075">
        <w:rPr>
          <w:rFonts w:ascii="Arial" w:hAnsi="Arial" w:cs="Arial"/>
          <w:bCs/>
          <w:sz w:val="22"/>
          <w:szCs w:val="22"/>
          <w:lang w:val="es-ES" w:eastAsia="es-CO"/>
        </w:rPr>
        <w:t xml:space="preserve"> </w:t>
      </w:r>
      <w:r>
        <w:rPr>
          <w:rFonts w:ascii="Arial" w:hAnsi="Arial" w:cs="Arial"/>
          <w:bCs/>
          <w:sz w:val="22"/>
          <w:szCs w:val="22"/>
          <w:lang w:val="es-ES" w:eastAsia="es-CO"/>
        </w:rPr>
        <w:t>contrato</w:t>
      </w:r>
      <w:r w:rsidR="00A22FB9">
        <w:rPr>
          <w:rFonts w:ascii="Arial" w:hAnsi="Arial" w:cs="Arial"/>
          <w:bCs/>
          <w:sz w:val="22"/>
          <w:szCs w:val="22"/>
          <w:lang w:val="es-ES" w:eastAsia="es-CO"/>
        </w:rPr>
        <w:t xml:space="preserve"> de obra </w:t>
      </w:r>
      <w:r w:rsidR="0056311D">
        <w:rPr>
          <w:rFonts w:ascii="Arial" w:hAnsi="Arial" w:cs="Arial"/>
          <w:bCs/>
          <w:sz w:val="22"/>
          <w:szCs w:val="22"/>
          <w:lang w:val="es-ES" w:eastAsia="es-CO"/>
        </w:rPr>
        <w:t>pública</w:t>
      </w:r>
      <w:r w:rsidR="00F84F4F">
        <w:rPr>
          <w:rFonts w:ascii="Arial" w:hAnsi="Arial" w:cs="Arial"/>
          <w:bCs/>
          <w:sz w:val="22"/>
          <w:szCs w:val="22"/>
          <w:lang w:val="es-ES" w:eastAsia="es-CO"/>
        </w:rPr>
        <w:t xml:space="preserve"> </w:t>
      </w:r>
      <w:r w:rsidR="00A44260">
        <w:rPr>
          <w:rFonts w:ascii="Arial" w:hAnsi="Arial" w:cs="Arial"/>
          <w:bCs/>
          <w:sz w:val="22"/>
          <w:szCs w:val="22"/>
          <w:lang w:val="es-ES" w:eastAsia="es-CO"/>
        </w:rPr>
        <w:t>es un hecho del que se colige</w:t>
      </w:r>
      <w:r w:rsidR="003A3529">
        <w:rPr>
          <w:rFonts w:ascii="Arial" w:hAnsi="Arial" w:cs="Arial"/>
          <w:bCs/>
          <w:sz w:val="22"/>
          <w:szCs w:val="22"/>
          <w:lang w:val="es-ES" w:eastAsia="es-CO"/>
        </w:rPr>
        <w:t xml:space="preserve"> que la ejecución de</w:t>
      </w:r>
      <w:r w:rsidR="009E043B">
        <w:rPr>
          <w:rFonts w:ascii="Arial" w:hAnsi="Arial" w:cs="Arial"/>
          <w:bCs/>
          <w:sz w:val="22"/>
          <w:szCs w:val="22"/>
          <w:lang w:val="es-ES" w:eastAsia="es-CO"/>
        </w:rPr>
        <w:t>l mismo deberá ser asumid</w:t>
      </w:r>
      <w:r w:rsidR="005E5B1E">
        <w:rPr>
          <w:rFonts w:ascii="Arial" w:hAnsi="Arial" w:cs="Arial"/>
          <w:bCs/>
          <w:sz w:val="22"/>
          <w:szCs w:val="22"/>
          <w:lang w:val="es-ES" w:eastAsia="es-CO"/>
        </w:rPr>
        <w:t>a</w:t>
      </w:r>
      <w:r w:rsidR="009E043B">
        <w:rPr>
          <w:rFonts w:ascii="Arial" w:hAnsi="Arial" w:cs="Arial"/>
          <w:bCs/>
          <w:sz w:val="22"/>
          <w:szCs w:val="22"/>
          <w:lang w:val="es-ES" w:eastAsia="es-CO"/>
        </w:rPr>
        <w:t xml:space="preserve"> por dicho proponente</w:t>
      </w:r>
      <w:r w:rsidR="00886168">
        <w:rPr>
          <w:rFonts w:ascii="Arial" w:hAnsi="Arial" w:cs="Arial"/>
          <w:bCs/>
          <w:sz w:val="22"/>
          <w:szCs w:val="22"/>
          <w:lang w:val="es-ES" w:eastAsia="es-CO"/>
        </w:rPr>
        <w:t xml:space="preserve">, quien </w:t>
      </w:r>
      <w:r w:rsidR="00A60441">
        <w:rPr>
          <w:rFonts w:ascii="Arial" w:hAnsi="Arial" w:cs="Arial"/>
          <w:bCs/>
          <w:sz w:val="22"/>
          <w:szCs w:val="22"/>
          <w:lang w:val="es-ES" w:eastAsia="es-CO"/>
        </w:rPr>
        <w:t xml:space="preserve">presentó una oferta con dicho propósito. No obstante, también es cierto que la adjudicación del contrato de </w:t>
      </w:r>
      <w:r w:rsidR="00AD4D49">
        <w:rPr>
          <w:rFonts w:ascii="Arial" w:hAnsi="Arial" w:cs="Arial"/>
          <w:bCs/>
          <w:sz w:val="22"/>
          <w:szCs w:val="22"/>
          <w:lang w:val="es-ES" w:eastAsia="es-CO"/>
        </w:rPr>
        <w:t>contrato es un acto que precede a la suscripción del mismo</w:t>
      </w:r>
      <w:r w:rsidR="0056311D">
        <w:rPr>
          <w:rFonts w:ascii="Arial" w:hAnsi="Arial" w:cs="Arial"/>
          <w:bCs/>
          <w:sz w:val="22"/>
          <w:szCs w:val="22"/>
          <w:lang w:val="es-ES" w:eastAsia="es-CO"/>
        </w:rPr>
        <w:t xml:space="preserve">, el cual es </w:t>
      </w:r>
      <w:r w:rsidR="00504E1A">
        <w:rPr>
          <w:rFonts w:ascii="Arial" w:hAnsi="Arial" w:cs="Arial"/>
          <w:bCs/>
          <w:sz w:val="22"/>
          <w:szCs w:val="22"/>
          <w:lang w:val="es-ES" w:eastAsia="es-CO"/>
        </w:rPr>
        <w:t>un acto requerido para su perfeccionamiento, dado el carácter solemne del contrato estatal</w:t>
      </w:r>
      <w:r w:rsidR="006009A3">
        <w:rPr>
          <w:rFonts w:ascii="Arial" w:eastAsia="Calibri" w:hAnsi="Arial" w:cs="Arial"/>
          <w:sz w:val="22"/>
        </w:rPr>
        <w:t>, conforme se</w:t>
      </w:r>
      <w:r w:rsidR="00700BFB">
        <w:rPr>
          <w:rFonts w:ascii="Arial" w:eastAsia="Calibri" w:hAnsi="Arial" w:cs="Arial"/>
          <w:sz w:val="22"/>
        </w:rPr>
        <w:t xml:space="preserve"> desprende del</w:t>
      </w:r>
      <w:r w:rsidR="00E90847">
        <w:rPr>
          <w:rFonts w:ascii="Arial" w:eastAsia="Calibri" w:hAnsi="Arial" w:cs="Arial"/>
          <w:sz w:val="22"/>
        </w:rPr>
        <w:t xml:space="preserve"> </w:t>
      </w:r>
      <w:r w:rsidR="006009A3">
        <w:rPr>
          <w:rFonts w:ascii="Arial" w:eastAsia="Calibri" w:hAnsi="Arial" w:cs="Arial"/>
          <w:sz w:val="22"/>
        </w:rPr>
        <w:t xml:space="preserve">inciso primero del </w:t>
      </w:r>
      <w:r w:rsidR="00E90847">
        <w:rPr>
          <w:rFonts w:ascii="Arial" w:eastAsia="Calibri" w:hAnsi="Arial" w:cs="Arial"/>
          <w:sz w:val="22"/>
        </w:rPr>
        <w:t xml:space="preserve">artículo 41 de la Ley 80 de 1993 </w:t>
      </w:r>
      <w:r w:rsidR="00E90847">
        <w:rPr>
          <w:rStyle w:val="Refdenotaalpie"/>
          <w:rFonts w:ascii="Arial" w:eastAsia="Calibri" w:hAnsi="Arial" w:cs="Arial"/>
          <w:sz w:val="22"/>
        </w:rPr>
        <w:footnoteReference w:id="6"/>
      </w:r>
      <w:r w:rsidR="00860F20">
        <w:rPr>
          <w:rFonts w:ascii="Arial" w:eastAsia="Calibri" w:hAnsi="Arial" w:cs="Arial"/>
          <w:sz w:val="22"/>
          <w:vertAlign w:val="superscript"/>
        </w:rPr>
        <w:t xml:space="preserve">- </w:t>
      </w:r>
      <w:r w:rsidR="00E90847">
        <w:rPr>
          <w:rStyle w:val="Refdenotaalpie"/>
          <w:rFonts w:ascii="Arial" w:eastAsia="Calibri" w:hAnsi="Arial" w:cs="Arial"/>
          <w:sz w:val="21"/>
          <w:szCs w:val="21"/>
        </w:rPr>
        <w:footnoteReference w:id="7"/>
      </w:r>
      <w:r w:rsidR="00E90847">
        <w:rPr>
          <w:rFonts w:ascii="Arial" w:eastAsia="Calibri" w:hAnsi="Arial" w:cs="Arial"/>
          <w:sz w:val="21"/>
          <w:szCs w:val="21"/>
        </w:rPr>
        <w:t>.</w:t>
      </w:r>
    </w:p>
    <w:p w14:paraId="58C3FB5F" w14:textId="43D12972" w:rsidR="00DA191E" w:rsidRDefault="00DA191E" w:rsidP="0000147C">
      <w:pPr>
        <w:spacing w:before="240" w:line="276" w:lineRule="auto"/>
        <w:ind w:firstLine="709"/>
        <w:jc w:val="both"/>
        <w:rPr>
          <w:rFonts w:ascii="Arial" w:eastAsia="Calibri" w:hAnsi="Arial" w:cs="Arial"/>
          <w:sz w:val="22"/>
        </w:rPr>
      </w:pPr>
      <w:r>
        <w:rPr>
          <w:rFonts w:ascii="Arial" w:eastAsia="Calibri" w:hAnsi="Arial" w:cs="Arial"/>
          <w:sz w:val="22"/>
        </w:rPr>
        <w:t>En consideración a lo anterior, en la medida en que un contrato estatal requiere de su elevación a escrito como presupuesto para su perfeccionamiento,</w:t>
      </w:r>
      <w:r w:rsidR="00EA3916">
        <w:rPr>
          <w:rFonts w:ascii="Arial" w:eastAsia="Calibri" w:hAnsi="Arial" w:cs="Arial"/>
          <w:sz w:val="22"/>
        </w:rPr>
        <w:t xml:space="preserve"> no puede decirse </w:t>
      </w:r>
      <w:r w:rsidR="00EA3916">
        <w:rPr>
          <w:rFonts w:ascii="Arial" w:eastAsia="Calibri" w:hAnsi="Arial" w:cs="Arial"/>
          <w:sz w:val="22"/>
        </w:rPr>
        <w:lastRenderedPageBreak/>
        <w:t xml:space="preserve">que de un </w:t>
      </w:r>
      <w:r w:rsidR="00E81300">
        <w:rPr>
          <w:rFonts w:ascii="Arial" w:eastAsia="Calibri" w:hAnsi="Arial" w:cs="Arial"/>
          <w:sz w:val="22"/>
        </w:rPr>
        <w:t xml:space="preserve">proceso de contratación </w:t>
      </w:r>
      <w:r w:rsidR="000B4246">
        <w:rPr>
          <w:rFonts w:ascii="Arial" w:eastAsia="Calibri" w:hAnsi="Arial" w:cs="Arial"/>
          <w:sz w:val="22"/>
        </w:rPr>
        <w:t>adjudicado</w:t>
      </w:r>
      <w:r w:rsidR="00EA3916">
        <w:rPr>
          <w:rFonts w:ascii="Arial" w:eastAsia="Calibri" w:hAnsi="Arial" w:cs="Arial"/>
          <w:sz w:val="22"/>
        </w:rPr>
        <w:t xml:space="preserve"> derive el compromiso</w:t>
      </w:r>
      <w:r w:rsidR="000B4246">
        <w:rPr>
          <w:rFonts w:ascii="Arial" w:eastAsia="Calibri" w:hAnsi="Arial" w:cs="Arial"/>
          <w:sz w:val="22"/>
        </w:rPr>
        <w:t xml:space="preserve"> de ejecutar obras civiles para el proponente</w:t>
      </w:r>
      <w:r w:rsidR="00E81300">
        <w:rPr>
          <w:rFonts w:ascii="Arial" w:eastAsia="Calibri" w:hAnsi="Arial" w:cs="Arial"/>
          <w:sz w:val="22"/>
        </w:rPr>
        <w:t>, comoquiera que ello es u</w:t>
      </w:r>
      <w:r w:rsidR="00E02B70">
        <w:rPr>
          <w:rFonts w:ascii="Arial" w:eastAsia="Calibri" w:hAnsi="Arial" w:cs="Arial"/>
          <w:sz w:val="22"/>
        </w:rPr>
        <w:t xml:space="preserve">na obligación que surge a partir del contrato, el cual requiere de su celebración </w:t>
      </w:r>
      <w:r w:rsidR="009C2DCC">
        <w:rPr>
          <w:rFonts w:ascii="Arial" w:eastAsia="Calibri" w:hAnsi="Arial" w:cs="Arial"/>
          <w:sz w:val="22"/>
        </w:rPr>
        <w:t>por escrito para su perfeccionamiento</w:t>
      </w:r>
      <w:r w:rsidR="000B4246">
        <w:rPr>
          <w:rFonts w:ascii="Arial" w:eastAsia="Calibri" w:hAnsi="Arial" w:cs="Arial"/>
          <w:sz w:val="22"/>
        </w:rPr>
        <w:t xml:space="preserve">. En ese sentido, </w:t>
      </w:r>
      <w:r w:rsidR="00F65FD5">
        <w:rPr>
          <w:rFonts w:ascii="Arial" w:eastAsia="Calibri" w:hAnsi="Arial" w:cs="Arial"/>
          <w:sz w:val="22"/>
        </w:rPr>
        <w:t>contratos</w:t>
      </w:r>
      <w:r w:rsidR="009C2DCC">
        <w:rPr>
          <w:rFonts w:ascii="Arial" w:eastAsia="Calibri" w:hAnsi="Arial" w:cs="Arial"/>
          <w:sz w:val="22"/>
        </w:rPr>
        <w:t xml:space="preserve"> estatales</w:t>
      </w:r>
      <w:r w:rsidR="00F65FD5">
        <w:rPr>
          <w:rFonts w:ascii="Arial" w:eastAsia="Calibri" w:hAnsi="Arial" w:cs="Arial"/>
          <w:sz w:val="22"/>
        </w:rPr>
        <w:t xml:space="preserve"> no perfeccionado</w:t>
      </w:r>
      <w:r w:rsidR="009C2DCC">
        <w:rPr>
          <w:rFonts w:ascii="Arial" w:eastAsia="Calibri" w:hAnsi="Arial" w:cs="Arial"/>
          <w:sz w:val="22"/>
        </w:rPr>
        <w:t>s</w:t>
      </w:r>
      <w:r w:rsidR="00F65FD5">
        <w:rPr>
          <w:rFonts w:ascii="Arial" w:eastAsia="Calibri" w:hAnsi="Arial" w:cs="Arial"/>
          <w:sz w:val="22"/>
        </w:rPr>
        <w:t xml:space="preserve"> </w:t>
      </w:r>
      <w:r w:rsidR="009C2DCC">
        <w:rPr>
          <w:rFonts w:ascii="Arial" w:eastAsia="Calibri" w:hAnsi="Arial" w:cs="Arial"/>
          <w:sz w:val="22"/>
        </w:rPr>
        <w:t xml:space="preserve">al momento de la </w:t>
      </w:r>
      <w:r w:rsidR="00DD49C4">
        <w:rPr>
          <w:rFonts w:ascii="Arial" w:eastAsia="Calibri" w:hAnsi="Arial" w:cs="Arial"/>
          <w:sz w:val="22"/>
        </w:rPr>
        <w:t xml:space="preserve">presentación de la oferta </w:t>
      </w:r>
      <w:r w:rsidR="007F4118">
        <w:rPr>
          <w:rFonts w:ascii="Arial" w:eastAsia="Calibri" w:hAnsi="Arial" w:cs="Arial"/>
          <w:sz w:val="22"/>
        </w:rPr>
        <w:t>no pueden ser tenido</w:t>
      </w:r>
      <w:r w:rsidR="009C2DCC">
        <w:rPr>
          <w:rFonts w:ascii="Arial" w:eastAsia="Calibri" w:hAnsi="Arial" w:cs="Arial"/>
          <w:sz w:val="22"/>
        </w:rPr>
        <w:t>s</w:t>
      </w:r>
      <w:r w:rsidR="007F4118">
        <w:rPr>
          <w:rFonts w:ascii="Arial" w:eastAsia="Calibri" w:hAnsi="Arial" w:cs="Arial"/>
          <w:sz w:val="22"/>
        </w:rPr>
        <w:t xml:space="preserve"> en cuenta para </w:t>
      </w:r>
      <w:r w:rsidR="00103D05">
        <w:rPr>
          <w:rFonts w:ascii="Arial" w:eastAsia="Calibri" w:hAnsi="Arial" w:cs="Arial"/>
          <w:sz w:val="22"/>
        </w:rPr>
        <w:t>cálculo</w:t>
      </w:r>
      <w:r w:rsidR="007F4118">
        <w:rPr>
          <w:rFonts w:ascii="Arial" w:eastAsia="Calibri" w:hAnsi="Arial" w:cs="Arial"/>
          <w:sz w:val="22"/>
        </w:rPr>
        <w:t xml:space="preserve"> del factor (SCE)</w:t>
      </w:r>
      <w:r w:rsidR="00DD49C4">
        <w:rPr>
          <w:rFonts w:ascii="Arial" w:eastAsia="Calibri" w:hAnsi="Arial" w:cs="Arial"/>
          <w:sz w:val="22"/>
        </w:rPr>
        <w:t xml:space="preserve"> en eventuales procesos de contratación a los que se presente el proponente,</w:t>
      </w:r>
      <w:r w:rsidR="007F4118">
        <w:rPr>
          <w:rFonts w:ascii="Arial" w:eastAsia="Calibri" w:hAnsi="Arial" w:cs="Arial"/>
          <w:sz w:val="22"/>
        </w:rPr>
        <w:t xml:space="preserve"> comoquiera que no encajan dentro de la noción de «Contratos en ejecución»</w:t>
      </w:r>
      <w:r w:rsidR="00DD49C4">
        <w:rPr>
          <w:rFonts w:ascii="Arial" w:eastAsia="Calibri" w:hAnsi="Arial" w:cs="Arial"/>
          <w:sz w:val="22"/>
        </w:rPr>
        <w:t xml:space="preserve"> establecida en la guía. </w:t>
      </w:r>
      <w:r w:rsidR="007F4118">
        <w:rPr>
          <w:rFonts w:ascii="Arial" w:eastAsia="Calibri" w:hAnsi="Arial" w:cs="Arial"/>
          <w:sz w:val="22"/>
        </w:rPr>
        <w:t xml:space="preserve"> </w:t>
      </w:r>
      <w:r>
        <w:rPr>
          <w:rFonts w:ascii="Arial" w:eastAsia="Calibri" w:hAnsi="Arial" w:cs="Arial"/>
          <w:sz w:val="22"/>
        </w:rPr>
        <w:t xml:space="preserve"> </w:t>
      </w:r>
    </w:p>
    <w:p w14:paraId="0B5723FA" w14:textId="1B397430" w:rsidR="00C32018" w:rsidRDefault="00E54365" w:rsidP="00870412">
      <w:pPr>
        <w:spacing w:before="240" w:line="276" w:lineRule="auto"/>
        <w:ind w:right="79"/>
        <w:jc w:val="both"/>
        <w:rPr>
          <w:rFonts w:ascii="Arial" w:eastAsia="Calibri" w:hAnsi="Arial" w:cs="Arial"/>
          <w:b/>
          <w:noProof/>
          <w:color w:val="161616" w:themeColor="background1" w:themeShade="1A"/>
          <w:sz w:val="22"/>
          <w:szCs w:val="22"/>
          <w:lang w:val="es-ES_tradnl"/>
        </w:rPr>
      </w:pPr>
      <w:bookmarkStart w:id="6" w:name="_1y810tw" w:colFirst="0" w:colLast="0"/>
      <w:bookmarkStart w:id="7" w:name="_2xcytpi" w:colFirst="0" w:colLast="0"/>
      <w:bookmarkStart w:id="8" w:name="_1ci93xb" w:colFirst="0" w:colLast="0"/>
      <w:bookmarkStart w:id="9" w:name="_3whwml4" w:colFirst="0" w:colLast="0"/>
      <w:bookmarkEnd w:id="5"/>
      <w:bookmarkEnd w:id="6"/>
      <w:bookmarkEnd w:id="7"/>
      <w:bookmarkEnd w:id="8"/>
      <w:bookmarkEnd w:id="9"/>
      <w:r w:rsidRPr="00D86474">
        <w:rPr>
          <w:rFonts w:ascii="Arial" w:eastAsia="Calibri" w:hAnsi="Arial" w:cs="Arial"/>
          <w:b/>
          <w:noProof/>
          <w:color w:val="161616" w:themeColor="background1" w:themeShade="1A"/>
          <w:sz w:val="22"/>
          <w:szCs w:val="22"/>
          <w:lang w:val="es-ES_tradnl"/>
        </w:rPr>
        <w:t>3. Respuesta</w:t>
      </w:r>
    </w:p>
    <w:p w14:paraId="1361D8C9" w14:textId="77777777" w:rsidR="008D6907" w:rsidRDefault="00A529CB" w:rsidP="00870412">
      <w:pPr>
        <w:spacing w:before="240"/>
        <w:ind w:left="567" w:right="786"/>
        <w:jc w:val="both"/>
        <w:rPr>
          <w:rFonts w:ascii="Arial" w:hAnsi="Arial" w:cs="Arial"/>
          <w:color w:val="161616" w:themeColor="background1" w:themeShade="1A"/>
          <w:sz w:val="21"/>
          <w:szCs w:val="21"/>
          <w:lang w:val="es-ES_tradnl"/>
        </w:rPr>
      </w:pPr>
      <w:r w:rsidRPr="00515D32">
        <w:rPr>
          <w:rFonts w:ascii="Arial" w:hAnsi="Arial" w:cs="Arial"/>
          <w:color w:val="161616" w:themeColor="background1" w:themeShade="1A"/>
          <w:sz w:val="21"/>
          <w:szCs w:val="21"/>
          <w:lang w:val="es-ES_tradnl"/>
        </w:rPr>
        <w:t>«</w:t>
      </w:r>
      <w:r w:rsidR="00451E90" w:rsidRPr="00451E90">
        <w:rPr>
          <w:rFonts w:ascii="Arial" w:hAnsi="Arial" w:cs="Arial"/>
          <w:color w:val="161616" w:themeColor="background1" w:themeShade="1A"/>
          <w:sz w:val="21"/>
          <w:szCs w:val="21"/>
          <w:lang w:val="es-ES_tradnl"/>
        </w:rPr>
        <w:t>buenos días la presente es para consultar si dentro del formato capacidad residual, el formato saldo de contratos en ejecución se deben relacionar los contratos que tengan actas de adjudicación al momento del cierre de la propuesta».</w:t>
      </w:r>
    </w:p>
    <w:p w14:paraId="576382C9" w14:textId="77777777" w:rsidR="00713BDB" w:rsidRDefault="00713BDB" w:rsidP="00713BDB">
      <w:pPr>
        <w:spacing w:line="276" w:lineRule="auto"/>
        <w:ind w:right="77"/>
        <w:jc w:val="both"/>
        <w:rPr>
          <w:rFonts w:ascii="Arial" w:hAnsi="Arial" w:cs="Arial"/>
          <w:sz w:val="22"/>
          <w:szCs w:val="22"/>
        </w:rPr>
      </w:pPr>
    </w:p>
    <w:p w14:paraId="7BAC2E3D" w14:textId="76ADEABD" w:rsidR="00D27442" w:rsidRPr="00AC4E34" w:rsidRDefault="00D27442" w:rsidP="00983F3D">
      <w:pPr>
        <w:spacing w:after="120" w:line="276" w:lineRule="auto"/>
        <w:ind w:right="79" w:firstLine="567"/>
        <w:jc w:val="both"/>
        <w:rPr>
          <w:rFonts w:ascii="Arial" w:hAnsi="Arial" w:cs="Arial"/>
          <w:iCs/>
          <w:color w:val="000000" w:themeColor="text1"/>
          <w:sz w:val="22"/>
          <w:lang w:val="es-ES_tradnl"/>
        </w:rPr>
      </w:pPr>
      <w:r w:rsidRPr="00073AA8">
        <w:rPr>
          <w:rFonts w:ascii="Arial" w:hAnsi="Arial" w:cs="Arial"/>
          <w:sz w:val="22"/>
          <w:szCs w:val="22"/>
        </w:rPr>
        <w:t xml:space="preserve">De </w:t>
      </w:r>
      <w:r>
        <w:rPr>
          <w:rFonts w:ascii="Arial" w:hAnsi="Arial" w:cs="Arial"/>
          <w:sz w:val="22"/>
          <w:szCs w:val="22"/>
        </w:rPr>
        <w:t>conformidad con lo expuesto</w:t>
      </w:r>
      <w:r w:rsidRPr="00073AA8">
        <w:rPr>
          <w:rFonts w:ascii="Arial" w:hAnsi="Arial" w:cs="Arial"/>
          <w:sz w:val="22"/>
          <w:szCs w:val="22"/>
        </w:rPr>
        <w:t xml:space="preserve">, </w:t>
      </w:r>
      <w:r>
        <w:rPr>
          <w:rFonts w:ascii="Arial" w:hAnsi="Arial" w:cs="Arial"/>
          <w:sz w:val="22"/>
          <w:szCs w:val="22"/>
        </w:rPr>
        <w:t>es posible concluir que</w:t>
      </w:r>
      <w:r w:rsidR="00723A5D">
        <w:rPr>
          <w:rFonts w:ascii="Arial" w:hAnsi="Arial" w:cs="Arial"/>
          <w:sz w:val="22"/>
          <w:szCs w:val="22"/>
        </w:rPr>
        <w:t>,</w:t>
      </w:r>
      <w:r>
        <w:rPr>
          <w:rFonts w:ascii="Arial" w:hAnsi="Arial" w:cs="Arial"/>
          <w:sz w:val="22"/>
          <w:szCs w:val="22"/>
        </w:rPr>
        <w:t xml:space="preserve"> </w:t>
      </w:r>
      <w:r w:rsidR="00723A5D">
        <w:rPr>
          <w:rFonts w:ascii="Arial" w:hAnsi="Arial" w:cs="Arial"/>
          <w:sz w:val="22"/>
          <w:szCs w:val="22"/>
        </w:rPr>
        <w:t>el «Saldo de Contratos en ejecución</w:t>
      </w:r>
      <w:r w:rsidR="007A04A7">
        <w:rPr>
          <w:rFonts w:ascii="Arial" w:hAnsi="Arial" w:cs="Arial"/>
          <w:sz w:val="22"/>
          <w:szCs w:val="22"/>
        </w:rPr>
        <w:t>»</w:t>
      </w:r>
      <w:r w:rsidRPr="00073AA8">
        <w:rPr>
          <w:rFonts w:ascii="Arial" w:hAnsi="Arial" w:cs="Arial"/>
          <w:sz w:val="22"/>
          <w:szCs w:val="22"/>
        </w:rPr>
        <w:t xml:space="preserve"> corresponde a</w:t>
      </w:r>
      <w:r w:rsidR="007A04A7">
        <w:rPr>
          <w:rFonts w:ascii="Arial" w:hAnsi="Arial" w:cs="Arial"/>
          <w:sz w:val="22"/>
          <w:szCs w:val="22"/>
        </w:rPr>
        <w:t xml:space="preserve"> la sumatoria de los saldos de los </w:t>
      </w:r>
      <w:r w:rsidR="00713BDB">
        <w:rPr>
          <w:rFonts w:ascii="Arial" w:hAnsi="Arial" w:cs="Arial"/>
          <w:sz w:val="22"/>
          <w:szCs w:val="22"/>
        </w:rPr>
        <w:t>«C</w:t>
      </w:r>
      <w:r w:rsidR="007A04A7">
        <w:rPr>
          <w:rFonts w:ascii="Arial" w:hAnsi="Arial" w:cs="Arial"/>
          <w:sz w:val="22"/>
          <w:szCs w:val="22"/>
        </w:rPr>
        <w:t>ontratos</w:t>
      </w:r>
      <w:r w:rsidR="00713BDB">
        <w:rPr>
          <w:rFonts w:ascii="Arial" w:hAnsi="Arial" w:cs="Arial"/>
          <w:sz w:val="22"/>
          <w:szCs w:val="22"/>
        </w:rPr>
        <w:t xml:space="preserve"> en ejecución»</w:t>
      </w:r>
      <w:r w:rsidR="007A04A7">
        <w:rPr>
          <w:rFonts w:ascii="Arial" w:hAnsi="Arial" w:cs="Arial"/>
          <w:sz w:val="22"/>
          <w:szCs w:val="22"/>
        </w:rPr>
        <w:t xml:space="preserve"> </w:t>
      </w:r>
      <w:r w:rsidRPr="00073AA8">
        <w:rPr>
          <w:rFonts w:ascii="Arial" w:hAnsi="Arial" w:cs="Arial"/>
          <w:sz w:val="22"/>
          <w:szCs w:val="22"/>
        </w:rPr>
        <w:t>que obligan al proponente</w:t>
      </w:r>
      <w:r w:rsidR="00730CAD">
        <w:rPr>
          <w:rFonts w:ascii="Arial" w:hAnsi="Arial" w:cs="Arial"/>
          <w:sz w:val="22"/>
          <w:szCs w:val="22"/>
        </w:rPr>
        <w:t xml:space="preserve"> a la ejecución de obras civiles</w:t>
      </w:r>
      <w:r w:rsidRPr="00073AA8">
        <w:rPr>
          <w:rFonts w:ascii="Arial" w:hAnsi="Arial" w:cs="Arial"/>
          <w:sz w:val="22"/>
          <w:szCs w:val="22"/>
        </w:rPr>
        <w:t xml:space="preserve">, </w:t>
      </w:r>
      <w:r>
        <w:rPr>
          <w:rFonts w:ascii="Arial" w:hAnsi="Arial" w:cs="Arial"/>
          <w:sz w:val="22"/>
          <w:szCs w:val="22"/>
        </w:rPr>
        <w:t xml:space="preserve">en los que </w:t>
      </w:r>
      <w:r w:rsidRPr="00073AA8">
        <w:rPr>
          <w:rFonts w:ascii="Arial" w:hAnsi="Arial" w:cs="Arial"/>
          <w:sz w:val="22"/>
          <w:szCs w:val="22"/>
        </w:rPr>
        <w:t>el proponente tiene obligaciones pendientes</w:t>
      </w:r>
      <w:r>
        <w:rPr>
          <w:rFonts w:ascii="Arial" w:hAnsi="Arial" w:cs="Arial"/>
          <w:sz w:val="22"/>
          <w:szCs w:val="22"/>
        </w:rPr>
        <w:t xml:space="preserve"> de ejecutar,</w:t>
      </w:r>
      <w:r w:rsidRPr="00073AA8">
        <w:rPr>
          <w:rFonts w:ascii="Arial" w:hAnsi="Arial" w:cs="Arial"/>
          <w:sz w:val="22"/>
          <w:szCs w:val="22"/>
        </w:rPr>
        <w:t xml:space="preserve"> bien sea con entidades estatales o entidades privadas</w:t>
      </w:r>
      <w:r w:rsidR="00730CAD">
        <w:rPr>
          <w:rFonts w:ascii="Arial" w:hAnsi="Arial" w:cs="Arial"/>
          <w:sz w:val="22"/>
          <w:szCs w:val="22"/>
        </w:rPr>
        <w:t>.</w:t>
      </w:r>
      <w:r>
        <w:rPr>
          <w:rFonts w:ascii="Arial" w:hAnsi="Arial" w:cs="Arial"/>
          <w:sz w:val="22"/>
          <w:szCs w:val="22"/>
        </w:rPr>
        <w:t xml:space="preserve"> </w:t>
      </w:r>
      <w:r w:rsidR="00AC4E34">
        <w:rPr>
          <w:rFonts w:ascii="Arial" w:hAnsi="Arial" w:cs="Arial"/>
          <w:iCs/>
          <w:color w:val="000000" w:themeColor="text1"/>
          <w:sz w:val="22"/>
          <w:lang w:val="es-ES_tradnl"/>
        </w:rPr>
        <w:t xml:space="preserve">Frente al particular, </w:t>
      </w:r>
      <w:r w:rsidR="00AC4E34" w:rsidRPr="00AC4E34">
        <w:rPr>
          <w:rFonts w:ascii="Arial" w:hAnsi="Arial" w:cs="Arial"/>
          <w:iCs/>
          <w:color w:val="000000" w:themeColor="text1"/>
          <w:sz w:val="22"/>
          <w:lang w:val="es-ES_tradnl"/>
        </w:rPr>
        <w:t>la «Guía para Determinar y Verificar la Capacidad Residual del Proponente en los Procesos de Contratación de Obra Pública» define los Contratos en ejecución de la siguiente manera: «Son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C54978">
        <w:rPr>
          <w:rFonts w:ascii="Arial" w:hAnsi="Arial" w:cs="Arial"/>
          <w:iCs/>
          <w:color w:val="000000" w:themeColor="text1"/>
          <w:sz w:val="22"/>
          <w:lang w:val="es-ES_tradnl"/>
        </w:rPr>
        <w:t>.</w:t>
      </w:r>
    </w:p>
    <w:p w14:paraId="64C659C4" w14:textId="63B9BA24" w:rsidR="00451E90" w:rsidRPr="008D6907" w:rsidRDefault="00713BDB" w:rsidP="00983F3D">
      <w:pPr>
        <w:spacing w:line="276" w:lineRule="auto"/>
        <w:ind w:right="77" w:firstLine="708"/>
        <w:jc w:val="both"/>
        <w:rPr>
          <w:rFonts w:ascii="Arial" w:hAnsi="Arial" w:cs="Arial"/>
          <w:color w:val="161616" w:themeColor="background1" w:themeShade="1A"/>
          <w:sz w:val="21"/>
          <w:szCs w:val="21"/>
          <w:lang w:val="es-ES_tradnl"/>
        </w:rPr>
      </w:pPr>
      <w:r>
        <w:rPr>
          <w:rFonts w:ascii="Arial" w:eastAsia="Arial" w:hAnsi="Arial" w:cs="Arial"/>
          <w:color w:val="161616" w:themeColor="background1" w:themeShade="1A"/>
          <w:sz w:val="22"/>
          <w:szCs w:val="22"/>
        </w:rPr>
        <w:t>De acuerdo con lo anterior, y considerando que los contratos estatales son solemnes</w:t>
      </w:r>
      <w:r w:rsidR="00C54978">
        <w:rPr>
          <w:rFonts w:ascii="Arial" w:eastAsia="Arial" w:hAnsi="Arial" w:cs="Arial"/>
          <w:color w:val="161616" w:themeColor="background1" w:themeShade="1A"/>
          <w:sz w:val="22"/>
          <w:szCs w:val="22"/>
        </w:rPr>
        <w:t xml:space="preserve">, </w:t>
      </w:r>
      <w:r w:rsidR="006343EE">
        <w:rPr>
          <w:rFonts w:ascii="Arial" w:eastAsia="Arial" w:hAnsi="Arial" w:cs="Arial"/>
          <w:color w:val="161616" w:themeColor="background1" w:themeShade="1A"/>
          <w:sz w:val="22"/>
          <w:szCs w:val="22"/>
        </w:rPr>
        <w:t>es posible afirmar que</w:t>
      </w:r>
      <w:r w:rsidR="002E7580">
        <w:rPr>
          <w:rFonts w:ascii="Arial" w:eastAsia="Arial" w:hAnsi="Arial" w:cs="Arial"/>
          <w:color w:val="161616" w:themeColor="background1" w:themeShade="1A"/>
          <w:sz w:val="22"/>
          <w:szCs w:val="22"/>
        </w:rPr>
        <w:t>,</w:t>
      </w:r>
      <w:r w:rsidR="006343EE">
        <w:rPr>
          <w:rFonts w:ascii="Arial" w:eastAsia="Arial" w:hAnsi="Arial" w:cs="Arial"/>
          <w:color w:val="161616" w:themeColor="background1" w:themeShade="1A"/>
          <w:sz w:val="22"/>
          <w:szCs w:val="22"/>
        </w:rPr>
        <w:t xml:space="preserve"> </w:t>
      </w:r>
      <w:r w:rsidR="0024424D">
        <w:rPr>
          <w:rFonts w:ascii="Arial" w:eastAsia="Arial" w:hAnsi="Arial" w:cs="Arial"/>
          <w:color w:val="161616" w:themeColor="background1" w:themeShade="1A"/>
          <w:sz w:val="22"/>
          <w:szCs w:val="22"/>
        </w:rPr>
        <w:t>el hecho</w:t>
      </w:r>
      <w:r w:rsidR="00257918">
        <w:rPr>
          <w:rFonts w:ascii="Arial" w:eastAsia="Arial" w:hAnsi="Arial" w:cs="Arial"/>
          <w:color w:val="161616" w:themeColor="background1" w:themeShade="1A"/>
          <w:sz w:val="22"/>
          <w:szCs w:val="22"/>
        </w:rPr>
        <w:t xml:space="preserve"> de que </w:t>
      </w:r>
      <w:r w:rsidR="00E84BEA">
        <w:rPr>
          <w:rFonts w:ascii="Arial" w:eastAsia="Arial" w:hAnsi="Arial" w:cs="Arial"/>
          <w:color w:val="161616" w:themeColor="background1" w:themeShade="1A"/>
          <w:sz w:val="22"/>
          <w:szCs w:val="22"/>
        </w:rPr>
        <w:t xml:space="preserve">al momento de presentar la oferta </w:t>
      </w:r>
      <w:r w:rsidR="002E7580">
        <w:rPr>
          <w:rFonts w:ascii="Arial" w:eastAsia="Arial" w:hAnsi="Arial" w:cs="Arial"/>
          <w:color w:val="161616" w:themeColor="background1" w:themeShade="1A"/>
          <w:sz w:val="22"/>
          <w:szCs w:val="22"/>
        </w:rPr>
        <w:t>a</w:t>
      </w:r>
      <w:r w:rsidR="00E84BEA">
        <w:rPr>
          <w:rFonts w:ascii="Arial" w:eastAsia="Arial" w:hAnsi="Arial" w:cs="Arial"/>
          <w:color w:val="161616" w:themeColor="background1" w:themeShade="1A"/>
          <w:sz w:val="22"/>
          <w:szCs w:val="22"/>
        </w:rPr>
        <w:t xml:space="preserve">l proponente </w:t>
      </w:r>
      <w:r w:rsidR="002E7580">
        <w:rPr>
          <w:rFonts w:ascii="Arial" w:eastAsia="Arial" w:hAnsi="Arial" w:cs="Arial"/>
          <w:color w:val="161616" w:themeColor="background1" w:themeShade="1A"/>
          <w:sz w:val="22"/>
          <w:szCs w:val="22"/>
        </w:rPr>
        <w:t xml:space="preserve">le haya sido adjudicado un contrato, en </w:t>
      </w:r>
      <w:proofErr w:type="spellStart"/>
      <w:r w:rsidR="002E7580">
        <w:rPr>
          <w:rFonts w:ascii="Arial" w:eastAsia="Arial" w:hAnsi="Arial" w:cs="Arial"/>
          <w:color w:val="161616" w:themeColor="background1" w:themeShade="1A"/>
          <w:sz w:val="22"/>
          <w:szCs w:val="22"/>
        </w:rPr>
        <w:t>si</w:t>
      </w:r>
      <w:proofErr w:type="spellEnd"/>
      <w:r w:rsidR="002E7580">
        <w:rPr>
          <w:rFonts w:ascii="Arial" w:eastAsia="Arial" w:hAnsi="Arial" w:cs="Arial"/>
          <w:color w:val="161616" w:themeColor="background1" w:themeShade="1A"/>
          <w:sz w:val="22"/>
          <w:szCs w:val="22"/>
        </w:rPr>
        <w:t xml:space="preserve"> mismo no constituye un </w:t>
      </w:r>
      <w:r w:rsidR="00C25DEC">
        <w:rPr>
          <w:rFonts w:ascii="Arial" w:eastAsia="Arial" w:hAnsi="Arial" w:cs="Arial"/>
          <w:color w:val="161616" w:themeColor="background1" w:themeShade="1A"/>
          <w:sz w:val="22"/>
          <w:szCs w:val="22"/>
        </w:rPr>
        <w:t xml:space="preserve">«Contrato en ejecución», de conformidad con lo mencionado en la referida guía. En ese </w:t>
      </w:r>
      <w:proofErr w:type="gramStart"/>
      <w:r w:rsidR="00C25DEC">
        <w:rPr>
          <w:rFonts w:ascii="Arial" w:eastAsia="Arial" w:hAnsi="Arial" w:cs="Arial"/>
          <w:color w:val="161616" w:themeColor="background1" w:themeShade="1A"/>
          <w:sz w:val="22"/>
          <w:szCs w:val="22"/>
        </w:rPr>
        <w:t>sentido</w:t>
      </w:r>
      <w:r w:rsidR="005B1772">
        <w:rPr>
          <w:rFonts w:ascii="Arial" w:eastAsia="Arial" w:hAnsi="Arial" w:cs="Arial"/>
          <w:color w:val="161616" w:themeColor="background1" w:themeShade="1A"/>
          <w:sz w:val="22"/>
          <w:szCs w:val="22"/>
        </w:rPr>
        <w:t xml:space="preserve">, </w:t>
      </w:r>
      <w:r w:rsidR="00AC4E34">
        <w:rPr>
          <w:rFonts w:ascii="Arial" w:eastAsia="Arial" w:hAnsi="Arial" w:cs="Arial"/>
          <w:color w:val="161616" w:themeColor="background1" w:themeShade="1A"/>
          <w:sz w:val="22"/>
          <w:szCs w:val="22"/>
        </w:rPr>
        <w:t xml:space="preserve"> p</w:t>
      </w:r>
      <w:r w:rsidR="00451E90" w:rsidRPr="00451E90">
        <w:rPr>
          <w:rFonts w:ascii="Arial" w:eastAsia="Arial" w:hAnsi="Arial" w:cs="Arial"/>
          <w:color w:val="161616" w:themeColor="background1" w:themeShade="1A"/>
          <w:sz w:val="22"/>
          <w:szCs w:val="22"/>
        </w:rPr>
        <w:t>ara</w:t>
      </w:r>
      <w:proofErr w:type="gramEnd"/>
      <w:r w:rsidR="00451E90" w:rsidRPr="00451E90">
        <w:rPr>
          <w:rFonts w:ascii="Arial" w:eastAsia="Arial" w:hAnsi="Arial" w:cs="Arial"/>
          <w:color w:val="161616" w:themeColor="background1" w:themeShade="1A"/>
          <w:sz w:val="22"/>
          <w:szCs w:val="22"/>
        </w:rPr>
        <w:t xml:space="preserve"> acreditar el factor saldos contratos en ejecución «SCE», de la capacidad residual del proponente, no se deben incluir los contratos que, habiendo sido adjudicados, no se encuentran suscritos por las partes, pues este es un requisito de perfeccionamiento, o sea, directamente ligado con la existencia de estos. </w:t>
      </w:r>
    </w:p>
    <w:p w14:paraId="64BE30C1" w14:textId="6066E4F5" w:rsidR="00695B70" w:rsidRDefault="00695B70" w:rsidP="00983F3D">
      <w:pPr>
        <w:spacing w:before="240"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73353508" w14:textId="7ED2BB33" w:rsidR="00EE6A82" w:rsidRPr="00515D32" w:rsidRDefault="00EE6A82" w:rsidP="005E363E">
      <w:pPr>
        <w:spacing w:before="240" w:line="276" w:lineRule="auto"/>
        <w:jc w:val="both"/>
        <w:rPr>
          <w:rFonts w:ascii="Arial" w:hAnsi="Arial" w:cs="Arial"/>
          <w:color w:val="161616" w:themeColor="background1" w:themeShade="1A"/>
          <w:sz w:val="22"/>
          <w:szCs w:val="22"/>
          <w:lang w:val="es-ES_tradnl" w:eastAsia="es-CO"/>
        </w:rPr>
      </w:pPr>
      <w:bookmarkStart w:id="10" w:name="_Hlk50986665"/>
      <w:bookmarkStart w:id="11" w:name="_Hlk52766744"/>
      <w:r w:rsidRPr="00515D32">
        <w:rPr>
          <w:rFonts w:ascii="Arial" w:hAnsi="Arial" w:cs="Arial"/>
          <w:color w:val="161616" w:themeColor="background1" w:themeShade="1A"/>
          <w:sz w:val="22"/>
          <w:szCs w:val="22"/>
          <w:lang w:val="es-ES_tradnl" w:eastAsia="es-CO"/>
        </w:rPr>
        <w:lastRenderedPageBreak/>
        <w:t>Atentamente,</w:t>
      </w:r>
    </w:p>
    <w:bookmarkEnd w:id="1"/>
    <w:bookmarkEnd w:id="10"/>
    <w:bookmarkEnd w:id="11"/>
    <w:p w14:paraId="4D1C4C79" w14:textId="77777777" w:rsidR="00103D05" w:rsidRDefault="00103D05" w:rsidP="00B32DB2">
      <w:pPr>
        <w:spacing w:before="240"/>
        <w:jc w:val="center"/>
        <w:rPr>
          <w:rFonts w:ascii="Arial" w:hAnsi="Arial" w:cs="Arial"/>
          <w:color w:val="161616" w:themeColor="background1" w:themeShade="1A"/>
          <w:sz w:val="22"/>
          <w:szCs w:val="22"/>
          <w:lang w:val="es-ES_tradnl" w:eastAsia="es-CO"/>
        </w:rPr>
      </w:pPr>
    </w:p>
    <w:p w14:paraId="3377EDF8" w14:textId="4B96E3CC" w:rsidR="00103D05" w:rsidRDefault="00103D05" w:rsidP="00B32DB2">
      <w:pPr>
        <w:spacing w:before="240"/>
        <w:jc w:val="center"/>
        <w:rPr>
          <w:rFonts w:ascii="Arial" w:hAnsi="Arial" w:cs="Arial"/>
          <w:color w:val="161616" w:themeColor="background1" w:themeShade="1A"/>
          <w:sz w:val="22"/>
          <w:szCs w:val="22"/>
          <w:lang w:val="es-ES_tradnl" w:eastAsia="es-CO"/>
        </w:rPr>
      </w:pPr>
      <w:r w:rsidRPr="00570FD2">
        <w:rPr>
          <w:rFonts w:ascii="Arial" w:hAnsi="Arial" w:cs="Arial"/>
          <w:noProof/>
          <w:color w:val="000000" w:themeColor="text1"/>
          <w:sz w:val="22"/>
          <w:lang w:eastAsia="es-CO"/>
        </w:rPr>
        <w:drawing>
          <wp:anchor distT="0" distB="0" distL="114300" distR="114300" simplePos="0" relativeHeight="251661312" behindDoc="0" locked="0" layoutInCell="1" allowOverlap="1" wp14:anchorId="1E7E8C25" wp14:editId="7DEE6074">
            <wp:simplePos x="0" y="0"/>
            <wp:positionH relativeFrom="margin">
              <wp:posOffset>1628775</wp:posOffset>
            </wp:positionH>
            <wp:positionV relativeFrom="paragraph">
              <wp:posOffset>11430</wp:posOffset>
            </wp:positionV>
            <wp:extent cx="2200275" cy="934085"/>
            <wp:effectExtent l="0" t="0" r="9525"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2F124CF2" w14:textId="642A7637" w:rsidR="00103D05" w:rsidRDefault="00103D05" w:rsidP="00B32DB2">
      <w:pPr>
        <w:spacing w:before="240"/>
        <w:jc w:val="center"/>
        <w:rPr>
          <w:rFonts w:ascii="Arial" w:hAnsi="Arial" w:cs="Arial"/>
          <w:color w:val="161616" w:themeColor="background1" w:themeShade="1A"/>
          <w:sz w:val="22"/>
          <w:szCs w:val="22"/>
          <w:lang w:val="es-ES_tradnl" w:eastAsia="es-CO"/>
        </w:rPr>
      </w:pPr>
    </w:p>
    <w:p w14:paraId="700E46B3" w14:textId="2FB9249F" w:rsidR="00103D05" w:rsidRDefault="00103D05" w:rsidP="00B32DB2">
      <w:pPr>
        <w:spacing w:before="240"/>
        <w:jc w:val="center"/>
        <w:rPr>
          <w:rFonts w:ascii="Arial" w:hAnsi="Arial" w:cs="Arial"/>
          <w:color w:val="161616" w:themeColor="background1" w:themeShade="1A"/>
          <w:sz w:val="22"/>
          <w:szCs w:val="22"/>
          <w:lang w:val="es-ES_tradnl" w:eastAsia="es-CO"/>
        </w:rPr>
      </w:pPr>
    </w:p>
    <w:p w14:paraId="35B56F46" w14:textId="6CC48E60" w:rsidR="00746E08" w:rsidRDefault="00746E08" w:rsidP="00103D05">
      <w:pPr>
        <w:spacing w:before="240"/>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6328BD" w14:paraId="47EE0A9C" w14:textId="77777777" w:rsidTr="00EA4372">
        <w:trPr>
          <w:trHeight w:val="286"/>
        </w:trPr>
        <w:tc>
          <w:tcPr>
            <w:tcW w:w="817" w:type="dxa"/>
            <w:vAlign w:val="center"/>
          </w:tcPr>
          <w:p w14:paraId="05579E3A"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Elaboró:</w:t>
            </w:r>
          </w:p>
        </w:tc>
        <w:tc>
          <w:tcPr>
            <w:tcW w:w="4445" w:type="dxa"/>
            <w:tcBorders>
              <w:bottom w:val="dotted" w:sz="4" w:space="0" w:color="7F7F7F"/>
            </w:tcBorders>
            <w:vAlign w:val="center"/>
          </w:tcPr>
          <w:p w14:paraId="0D5DC54E" w14:textId="77777777" w:rsidR="008423BA" w:rsidRPr="006328BD" w:rsidRDefault="008423BA" w:rsidP="00EA4372">
            <w:pPr>
              <w:rPr>
                <w:rFonts w:ascii="Arial" w:hAnsi="Arial" w:cs="Arial"/>
                <w:sz w:val="14"/>
                <w:szCs w:val="14"/>
                <w:lang w:eastAsia="es-ES"/>
              </w:rPr>
            </w:pPr>
            <w:r>
              <w:rPr>
                <w:rFonts w:ascii="Arial" w:hAnsi="Arial" w:cs="Arial"/>
                <w:sz w:val="14"/>
                <w:szCs w:val="14"/>
                <w:lang w:eastAsia="es-ES"/>
              </w:rPr>
              <w:t>Diana Fabiola Herrera Hernández</w:t>
            </w:r>
            <w:r w:rsidRPr="006328BD">
              <w:rPr>
                <w:rFonts w:ascii="Arial" w:hAnsi="Arial" w:cs="Arial"/>
                <w:sz w:val="14"/>
                <w:szCs w:val="14"/>
                <w:lang w:eastAsia="es-ES"/>
              </w:rPr>
              <w:t xml:space="preserve"> </w:t>
            </w:r>
          </w:p>
          <w:p w14:paraId="61670314"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Contratista de la Subdirección de Gestión Contractual</w:t>
            </w:r>
          </w:p>
        </w:tc>
      </w:tr>
      <w:tr w:rsidR="008423BA" w:rsidRPr="006328BD" w14:paraId="2D328240" w14:textId="77777777" w:rsidTr="00EA4372">
        <w:trPr>
          <w:trHeight w:val="299"/>
        </w:trPr>
        <w:tc>
          <w:tcPr>
            <w:tcW w:w="817" w:type="dxa"/>
            <w:vAlign w:val="center"/>
          </w:tcPr>
          <w:p w14:paraId="1219E7C1"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37A4E093" w14:textId="49E76ADD" w:rsidR="008423BA" w:rsidRDefault="001D3178" w:rsidP="00EA4372">
            <w:pPr>
              <w:rPr>
                <w:rFonts w:ascii="Arial" w:hAnsi="Arial" w:cs="Arial"/>
                <w:sz w:val="14"/>
                <w:szCs w:val="14"/>
                <w:lang w:eastAsia="es-ES"/>
              </w:rPr>
            </w:pPr>
            <w:r>
              <w:rPr>
                <w:rFonts w:ascii="Arial" w:hAnsi="Arial" w:cs="Arial"/>
                <w:sz w:val="14"/>
                <w:szCs w:val="14"/>
                <w:lang w:eastAsia="es-ES"/>
              </w:rPr>
              <w:t>Alejandro Sarmiento Cantillo</w:t>
            </w:r>
          </w:p>
          <w:p w14:paraId="4B483BFF"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Gestor T1-15 de la Subdirección de Gestión Contractual</w:t>
            </w:r>
          </w:p>
        </w:tc>
      </w:tr>
      <w:tr w:rsidR="008423BA" w:rsidRPr="006328BD" w14:paraId="695797F3" w14:textId="77777777" w:rsidTr="00EA4372">
        <w:trPr>
          <w:trHeight w:val="272"/>
        </w:trPr>
        <w:tc>
          <w:tcPr>
            <w:tcW w:w="817" w:type="dxa"/>
            <w:vAlign w:val="center"/>
          </w:tcPr>
          <w:p w14:paraId="05BB9836"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08CB039F"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Jorge Augusto Tirado Navarro</w:t>
            </w:r>
          </w:p>
          <w:p w14:paraId="6F56A07C" w14:textId="77777777" w:rsidR="008423BA" w:rsidRPr="006328BD" w:rsidRDefault="008423BA" w:rsidP="00EA4372">
            <w:pPr>
              <w:rPr>
                <w:rFonts w:ascii="Arial" w:hAnsi="Arial" w:cs="Arial"/>
                <w:sz w:val="14"/>
                <w:szCs w:val="14"/>
                <w:lang w:eastAsia="es-ES"/>
              </w:rPr>
            </w:pPr>
            <w:r w:rsidRPr="006328BD">
              <w:rPr>
                <w:rFonts w:ascii="Arial" w:hAnsi="Arial" w:cs="Arial"/>
                <w:sz w:val="14"/>
                <w:szCs w:val="14"/>
                <w:lang w:eastAsia="es-ES"/>
              </w:rPr>
              <w:t>Subdirector de Gestión Contractual ANCP – CCE</w:t>
            </w:r>
          </w:p>
        </w:tc>
      </w:tr>
    </w:tbl>
    <w:p w14:paraId="23EAD1F9" w14:textId="1D1C6BDB" w:rsidR="008423BA" w:rsidRDefault="008423BA" w:rsidP="00B32DB2">
      <w:pPr>
        <w:spacing w:before="240"/>
        <w:jc w:val="center"/>
        <w:rPr>
          <w:rFonts w:ascii="Arial" w:hAnsi="Arial" w:cs="Arial"/>
          <w:color w:val="161616" w:themeColor="background1" w:themeShade="1A"/>
          <w:sz w:val="22"/>
          <w:szCs w:val="22"/>
          <w:lang w:val="es-ES_tradnl" w:eastAsia="es-CO"/>
        </w:rPr>
      </w:pPr>
    </w:p>
    <w:p w14:paraId="46A2D6C9" w14:textId="77777777" w:rsidR="00123BE2" w:rsidRPr="00515D32" w:rsidRDefault="00123BE2" w:rsidP="00B32DB2">
      <w:pPr>
        <w:spacing w:before="240"/>
        <w:rPr>
          <w:rFonts w:ascii="Arial" w:hAnsi="Arial" w:cs="Arial"/>
          <w:color w:val="161616" w:themeColor="background1" w:themeShade="1A"/>
          <w:sz w:val="22"/>
          <w:szCs w:val="22"/>
          <w:lang w:val="es-ES_tradnl"/>
        </w:rPr>
      </w:pPr>
    </w:p>
    <w:sectPr w:rsidR="00123BE2" w:rsidRPr="00515D32" w:rsidSect="00D650B5">
      <w:headerReference w:type="default" r:id="rId14"/>
      <w:footerReference w:type="default" r:id="rId15"/>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6289" w14:textId="77777777" w:rsidR="00456AC2" w:rsidRDefault="00456AC2">
      <w:r>
        <w:separator/>
      </w:r>
    </w:p>
  </w:endnote>
  <w:endnote w:type="continuationSeparator" w:id="0">
    <w:p w14:paraId="749C35B8" w14:textId="77777777" w:rsidR="00456AC2" w:rsidRDefault="0045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235C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235C4">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E25E" w14:textId="77777777" w:rsidR="00456AC2" w:rsidRDefault="00456AC2">
      <w:r>
        <w:separator/>
      </w:r>
    </w:p>
  </w:footnote>
  <w:footnote w:type="continuationSeparator" w:id="0">
    <w:p w14:paraId="7974C18B" w14:textId="77777777" w:rsidR="00456AC2" w:rsidRDefault="00456AC2">
      <w:r>
        <w:continuationSeparator/>
      </w:r>
    </w:p>
  </w:footnote>
  <w:footnote w:id="1">
    <w:p w14:paraId="1FCE141E" w14:textId="77777777" w:rsidR="005C12C8" w:rsidRPr="00983F3D" w:rsidRDefault="005C12C8" w:rsidP="00700370">
      <w:pPr>
        <w:pStyle w:val="Textonotapie"/>
        <w:spacing w:before="0" w:after="0" w:line="240" w:lineRule="auto"/>
        <w:ind w:firstLine="708"/>
        <w:rPr>
          <w:rFonts w:ascii="Arial" w:eastAsia="Calibri" w:hAnsi="Arial" w:cs="Arial"/>
          <w:color w:val="000000" w:themeColor="text1"/>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w:t>
      </w:r>
      <w:r w:rsidRPr="00983F3D">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FE683DD" w14:textId="77777777" w:rsidR="005C12C8" w:rsidRPr="00983F3D" w:rsidRDefault="005C12C8" w:rsidP="00700370">
      <w:pPr>
        <w:pStyle w:val="Textonotapie"/>
        <w:spacing w:before="0" w:after="0" w:line="240" w:lineRule="auto"/>
        <w:ind w:firstLine="708"/>
        <w:rPr>
          <w:rFonts w:ascii="Arial" w:eastAsia="Calibri" w:hAnsi="Arial" w:cs="Arial"/>
          <w:color w:val="000000" w:themeColor="text1"/>
          <w:sz w:val="18"/>
          <w:szCs w:val="18"/>
        </w:rPr>
      </w:pPr>
      <w:r w:rsidRPr="00983F3D">
        <w:rPr>
          <w:rFonts w:ascii="Arial" w:eastAsia="Calibri" w:hAnsi="Arial" w:cs="Arial"/>
          <w:color w:val="000000" w:themeColor="text1"/>
          <w:sz w:val="18"/>
          <w:szCs w:val="18"/>
        </w:rPr>
        <w:t>[…]</w:t>
      </w:r>
    </w:p>
    <w:p w14:paraId="095D7B46" w14:textId="77777777" w:rsidR="005C12C8" w:rsidRPr="00983F3D" w:rsidRDefault="005C12C8" w:rsidP="00700370">
      <w:pPr>
        <w:pStyle w:val="Textonotapie"/>
        <w:spacing w:before="0" w:after="0" w:line="240" w:lineRule="auto"/>
        <w:ind w:firstLine="708"/>
        <w:rPr>
          <w:rFonts w:ascii="Arial" w:hAnsi="Arial" w:cs="Arial"/>
          <w:color w:val="000000" w:themeColor="text1"/>
          <w:sz w:val="18"/>
          <w:szCs w:val="18"/>
          <w:lang w:val="es-CO"/>
        </w:rPr>
      </w:pPr>
      <w:r w:rsidRPr="00983F3D">
        <w:rPr>
          <w:rFonts w:ascii="Arial" w:eastAsia="Calibri" w:hAnsi="Arial" w:cs="Arial"/>
          <w:color w:val="000000" w:themeColor="text1"/>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983F3D">
        <w:rPr>
          <w:rFonts w:ascii="Arial" w:hAnsi="Arial" w:cs="Arial"/>
          <w:color w:val="000000" w:themeColor="text1"/>
          <w:sz w:val="18"/>
          <w:szCs w:val="18"/>
          <w:lang w:val="es-CO"/>
        </w:rPr>
        <w:t xml:space="preserve"> </w:t>
      </w:r>
    </w:p>
    <w:p w14:paraId="2F23F25A" w14:textId="04F0EFFA" w:rsidR="005C12C8" w:rsidRPr="00983F3D" w:rsidRDefault="005C12C8" w:rsidP="00700370">
      <w:pPr>
        <w:pStyle w:val="Textonotapie"/>
        <w:spacing w:before="0" w:after="0" w:line="240" w:lineRule="auto"/>
        <w:rPr>
          <w:rFonts w:ascii="Arial" w:hAnsi="Arial" w:cs="Arial"/>
          <w:sz w:val="18"/>
          <w:szCs w:val="18"/>
          <w:lang w:val="es-CO"/>
        </w:rPr>
      </w:pPr>
    </w:p>
  </w:footnote>
  <w:footnote w:id="2">
    <w:p w14:paraId="0D651972" w14:textId="0C1289D4" w:rsidR="005C12C8" w:rsidRPr="00983F3D" w:rsidRDefault="005C12C8" w:rsidP="00700370">
      <w:pPr>
        <w:pStyle w:val="Textonotapie"/>
        <w:spacing w:before="0" w:after="0" w:line="240" w:lineRule="auto"/>
        <w:ind w:firstLine="708"/>
        <w:rPr>
          <w:rFonts w:ascii="Arial" w:hAnsi="Arial" w:cs="Arial"/>
          <w:sz w:val="18"/>
          <w:szCs w:val="18"/>
          <w:lang w:val="es-CO"/>
        </w:rPr>
      </w:pPr>
      <w:r w:rsidRPr="00983F3D">
        <w:rPr>
          <w:rStyle w:val="Refdenotaalpie"/>
          <w:rFonts w:ascii="Arial" w:hAnsi="Arial" w:cs="Arial"/>
          <w:sz w:val="18"/>
          <w:szCs w:val="18"/>
        </w:rPr>
        <w:footnoteRef/>
      </w:r>
      <w:r w:rsidRPr="00983F3D">
        <w:rPr>
          <w:rFonts w:ascii="Arial" w:hAnsi="Arial" w:cs="Arial"/>
          <w:sz w:val="18"/>
          <w:szCs w:val="18"/>
        </w:rPr>
        <w:t xml:space="preserve"> </w:t>
      </w:r>
      <w:r w:rsidRPr="00983F3D">
        <w:rPr>
          <w:rFonts w:ascii="Arial" w:eastAsia="Calibri" w:hAnsi="Arial" w:cs="Arial"/>
          <w:color w:val="000000" w:themeColor="text1"/>
          <w:sz w:val="18"/>
          <w:szCs w:val="18"/>
        </w:rPr>
        <w:t>CONSEJO DE ESTADO. Sección Tercera. Sentencia del 26 de junio de 2003. Rad. 13.354. C.P: María Elena Giraldo Gómez.</w:t>
      </w:r>
    </w:p>
  </w:footnote>
  <w:footnote w:id="3">
    <w:p w14:paraId="087BF8CF" w14:textId="77777777" w:rsidR="00677097" w:rsidRPr="00983F3D" w:rsidRDefault="00677097" w:rsidP="00700370">
      <w:pPr>
        <w:ind w:right="49" w:firstLine="708"/>
        <w:jc w:val="both"/>
        <w:rPr>
          <w:rFonts w:ascii="Arial" w:hAnsi="Arial" w:cs="Arial"/>
          <w:color w:val="000000" w:themeColor="text1"/>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w:t>
      </w:r>
      <w:r w:rsidRPr="00983F3D">
        <w:rPr>
          <w:rFonts w:ascii="Arial" w:hAnsi="Arial" w:cs="Arial"/>
          <w:color w:val="000000" w:themeColor="text1"/>
          <w:sz w:val="18"/>
          <w:szCs w:val="18"/>
        </w:rPr>
        <w:t>Decreto 1082 de 2015. «Artículo 2.2.1.1.1.6.4. Capacidad Residual. El interesado en celebrar contratos de obra pública con Entidades Estatales debe acreditar su Capacidad Residual o K de Contratación con los siguientes</w:t>
      </w:r>
      <w:r w:rsidRPr="00983F3D">
        <w:rPr>
          <w:rFonts w:ascii="Arial" w:hAnsi="Arial" w:cs="Arial"/>
          <w:color w:val="000000" w:themeColor="text1"/>
          <w:spacing w:val="-3"/>
          <w:sz w:val="18"/>
          <w:szCs w:val="18"/>
        </w:rPr>
        <w:t xml:space="preserve"> </w:t>
      </w:r>
      <w:r w:rsidRPr="00983F3D">
        <w:rPr>
          <w:rFonts w:ascii="Arial" w:hAnsi="Arial" w:cs="Arial"/>
          <w:color w:val="000000" w:themeColor="text1"/>
          <w:sz w:val="18"/>
          <w:szCs w:val="18"/>
        </w:rPr>
        <w:t>documentos:</w:t>
      </w:r>
    </w:p>
    <w:p w14:paraId="1704E249" w14:textId="77777777" w:rsidR="00677097" w:rsidRPr="00983F3D" w:rsidRDefault="00677097" w:rsidP="00700370">
      <w:pPr>
        <w:ind w:right="49" w:firstLine="708"/>
        <w:jc w:val="both"/>
        <w:rPr>
          <w:rFonts w:ascii="Arial" w:hAnsi="Arial" w:cs="Arial"/>
          <w:color w:val="000000" w:themeColor="text1"/>
          <w:sz w:val="18"/>
          <w:szCs w:val="18"/>
        </w:rPr>
      </w:pPr>
      <w:r w:rsidRPr="00983F3D">
        <w:rPr>
          <w:rFonts w:ascii="Arial" w:hAnsi="Arial" w:cs="Arial"/>
          <w:color w:val="000000" w:themeColor="text1"/>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983F3D">
        <w:rPr>
          <w:rFonts w:ascii="Arial" w:hAnsi="Arial" w:cs="Arial"/>
          <w:color w:val="000000" w:themeColor="text1"/>
          <w:spacing w:val="-4"/>
          <w:sz w:val="18"/>
          <w:szCs w:val="18"/>
        </w:rPr>
        <w:t xml:space="preserve"> </w:t>
      </w:r>
      <w:r w:rsidRPr="00983F3D">
        <w:rPr>
          <w:rFonts w:ascii="Arial" w:hAnsi="Arial" w:cs="Arial"/>
          <w:color w:val="000000" w:themeColor="text1"/>
          <w:sz w:val="18"/>
          <w:szCs w:val="18"/>
        </w:rPr>
        <w:t>concesionarios.</w:t>
      </w:r>
    </w:p>
    <w:p w14:paraId="3169D021" w14:textId="77777777" w:rsidR="00677097" w:rsidRPr="00983F3D" w:rsidRDefault="00677097" w:rsidP="00700370">
      <w:pPr>
        <w:ind w:right="49" w:firstLine="708"/>
        <w:jc w:val="both"/>
        <w:rPr>
          <w:rFonts w:ascii="Arial" w:hAnsi="Arial" w:cs="Arial"/>
          <w:color w:val="000000" w:themeColor="text1"/>
          <w:sz w:val="18"/>
          <w:szCs w:val="18"/>
        </w:rPr>
      </w:pPr>
      <w:r w:rsidRPr="00983F3D">
        <w:rPr>
          <w:rFonts w:ascii="Arial" w:hAnsi="Arial" w:cs="Arial"/>
          <w:color w:val="000000" w:themeColor="text1"/>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3625203" w14:textId="77777777" w:rsidR="00677097" w:rsidRPr="00983F3D" w:rsidRDefault="00677097" w:rsidP="00700370">
      <w:pPr>
        <w:ind w:right="49" w:firstLine="708"/>
        <w:jc w:val="both"/>
        <w:rPr>
          <w:rFonts w:ascii="Arial" w:hAnsi="Arial" w:cs="Arial"/>
          <w:color w:val="000000" w:themeColor="text1"/>
          <w:sz w:val="18"/>
          <w:szCs w:val="18"/>
        </w:rPr>
      </w:pPr>
      <w:r w:rsidRPr="00983F3D">
        <w:rPr>
          <w:rFonts w:ascii="Arial" w:hAnsi="Arial" w:cs="Arial"/>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6095A8BB" w14:textId="2DF116A1" w:rsidR="00677097" w:rsidRPr="00983F3D" w:rsidRDefault="00677097" w:rsidP="00700370">
      <w:pPr>
        <w:pStyle w:val="Textonotapie"/>
        <w:spacing w:before="0" w:after="0" w:line="240" w:lineRule="auto"/>
        <w:ind w:left="567" w:right="786"/>
        <w:rPr>
          <w:rFonts w:ascii="Arial" w:hAnsi="Arial" w:cs="Arial"/>
          <w:sz w:val="18"/>
          <w:szCs w:val="18"/>
          <w:lang w:val="es-CO"/>
        </w:rPr>
      </w:pPr>
    </w:p>
  </w:footnote>
  <w:footnote w:id="4">
    <w:p w14:paraId="384B6184" w14:textId="50530AF4" w:rsidR="00420A6C" w:rsidRPr="00983F3D" w:rsidRDefault="00420A6C" w:rsidP="00983F3D">
      <w:pPr>
        <w:pStyle w:val="Textonotapie"/>
        <w:spacing w:before="0" w:after="0" w:line="240" w:lineRule="auto"/>
        <w:ind w:firstLine="708"/>
        <w:rPr>
          <w:rFonts w:ascii="Arial" w:hAnsi="Arial" w:cs="Arial"/>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Agencia Nacional de Contratación Pública Colombia Compra Eficiente. Guía para Determinar y Verificar la Capacidad Residual del Proponente en los Procesos de Contratación de Obra Pública. Disponible en: </w:t>
      </w:r>
      <w:hyperlink r:id="rId1" w:history="1">
        <w:r w:rsidRPr="00983F3D">
          <w:rPr>
            <w:rStyle w:val="Hipervnculo"/>
            <w:rFonts w:ascii="Arial" w:hAnsi="Arial" w:cs="Arial"/>
            <w:color w:val="000099"/>
            <w:sz w:val="18"/>
            <w:szCs w:val="18"/>
          </w:rPr>
          <w:t>https://www.colombiacompra.gov.co/sites/cce_public/files/cce_documents/cce_guia_capacidad_residual.pdf</w:t>
        </w:r>
      </w:hyperlink>
    </w:p>
  </w:footnote>
  <w:footnote w:id="5">
    <w:p w14:paraId="79B00958" w14:textId="77777777" w:rsidR="00860F20" w:rsidRDefault="00860F20" w:rsidP="00860F20">
      <w:pPr>
        <w:pStyle w:val="Textonotapie"/>
        <w:spacing w:before="0" w:after="0" w:line="240" w:lineRule="auto"/>
        <w:ind w:firstLine="708"/>
        <w:rPr>
          <w:rFonts w:ascii="Arial" w:hAnsi="Arial" w:cs="Arial"/>
          <w:sz w:val="18"/>
          <w:szCs w:val="18"/>
        </w:rPr>
      </w:pPr>
    </w:p>
    <w:p w14:paraId="7A5B46BF" w14:textId="299FFCC0" w:rsidR="00420A6C" w:rsidRPr="00983F3D" w:rsidRDefault="00420A6C" w:rsidP="00983F3D">
      <w:pPr>
        <w:pStyle w:val="Textonotapie"/>
        <w:spacing w:before="0" w:after="0" w:line="240" w:lineRule="auto"/>
        <w:ind w:firstLine="708"/>
        <w:rPr>
          <w:rFonts w:ascii="Arial" w:hAnsi="Arial" w:cs="Arial"/>
          <w:sz w:val="18"/>
          <w:szCs w:val="18"/>
          <w:lang w:val="es-CO"/>
        </w:rPr>
      </w:pPr>
      <w:r w:rsidRPr="00983F3D">
        <w:rPr>
          <w:rStyle w:val="Refdenotaalpie"/>
          <w:rFonts w:ascii="Arial" w:hAnsi="Arial" w:cs="Arial"/>
          <w:sz w:val="18"/>
          <w:szCs w:val="18"/>
        </w:rPr>
        <w:footnoteRef/>
      </w:r>
      <w:r w:rsidRPr="00983F3D">
        <w:rPr>
          <w:rFonts w:ascii="Arial" w:hAnsi="Arial" w:cs="Arial"/>
          <w:sz w:val="18"/>
          <w:szCs w:val="18"/>
        </w:rPr>
        <w:t xml:space="preserve"> Ibidem</w:t>
      </w:r>
    </w:p>
  </w:footnote>
  <w:footnote w:id="6">
    <w:p w14:paraId="3647A24B" w14:textId="77777777" w:rsidR="00E90847" w:rsidRPr="00983F3D" w:rsidRDefault="00E90847" w:rsidP="00700370">
      <w:pPr>
        <w:pStyle w:val="Textonotapie"/>
        <w:spacing w:before="0" w:after="0" w:line="240" w:lineRule="auto"/>
        <w:ind w:firstLine="708"/>
        <w:rPr>
          <w:rFonts w:ascii="Arial" w:hAnsi="Arial" w:cs="Arial"/>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Ley 80 de 1993: «Artículo 41. Del perfeccionamiento del contrato. Los contratos del Estado se perfeccionan cuando se logre acuerdo sobre el objeto y la contraprestación y éste se eleve a escrito.</w:t>
      </w:r>
    </w:p>
    <w:p w14:paraId="7529D4FC" w14:textId="77777777" w:rsidR="00E90847" w:rsidRPr="00983F3D" w:rsidRDefault="00E90847" w:rsidP="00700370">
      <w:pPr>
        <w:pStyle w:val="Textonotapie"/>
        <w:spacing w:before="0" w:after="0" w:line="240" w:lineRule="auto"/>
        <w:ind w:firstLine="708"/>
        <w:rPr>
          <w:rFonts w:ascii="Arial" w:hAnsi="Arial" w:cs="Arial"/>
          <w:sz w:val="18"/>
          <w:szCs w:val="18"/>
        </w:rPr>
      </w:pPr>
      <w:r w:rsidRPr="00983F3D">
        <w:rPr>
          <w:rFonts w:ascii="Arial" w:hAnsi="Arial" w:cs="Arial"/>
          <w:sz w:val="18"/>
          <w:szCs w:val="18"/>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0DCBB29" w14:textId="77777777" w:rsidR="00E90847" w:rsidRPr="00983F3D" w:rsidRDefault="00E90847" w:rsidP="00700370">
      <w:pPr>
        <w:pStyle w:val="Textonotapie"/>
        <w:spacing w:before="0" w:after="0" w:line="240" w:lineRule="auto"/>
        <w:ind w:firstLine="708"/>
        <w:rPr>
          <w:rFonts w:ascii="Arial" w:hAnsi="Arial" w:cs="Arial"/>
          <w:sz w:val="18"/>
          <w:szCs w:val="18"/>
        </w:rPr>
      </w:pPr>
      <w:r w:rsidRPr="00983F3D">
        <w:rPr>
          <w:rFonts w:ascii="Arial" w:hAnsi="Arial" w:cs="Arial"/>
          <w:sz w:val="18"/>
          <w:szCs w:val="18"/>
        </w:rPr>
        <w:t xml:space="preserve">»Los contratos estatales son intuito </w:t>
      </w:r>
      <w:r w:rsidRPr="00983F3D">
        <w:rPr>
          <w:rFonts w:ascii="Arial" w:hAnsi="Arial" w:cs="Arial"/>
          <w:sz w:val="18"/>
          <w:szCs w:val="18"/>
        </w:rPr>
        <w:t>personae &lt;sic&gt; y, en consecuencia, una vez celebrados no podrán cederse sin previa autorización escrita de la entidad contratante.</w:t>
      </w:r>
    </w:p>
    <w:p w14:paraId="0F04F83A" w14:textId="77777777" w:rsidR="00E90847" w:rsidRPr="00983F3D" w:rsidRDefault="00E90847" w:rsidP="00700370">
      <w:pPr>
        <w:pStyle w:val="Textonotapie"/>
        <w:spacing w:before="0" w:after="0" w:line="240" w:lineRule="auto"/>
        <w:ind w:firstLine="708"/>
        <w:rPr>
          <w:rFonts w:ascii="Arial" w:hAnsi="Arial" w:cs="Arial"/>
          <w:sz w:val="18"/>
          <w:szCs w:val="18"/>
        </w:rPr>
      </w:pPr>
      <w:r w:rsidRPr="00983F3D">
        <w:rPr>
          <w:rFonts w:ascii="Arial" w:hAnsi="Arial" w:cs="Arial"/>
          <w:sz w:val="18"/>
          <w:szCs w:val="18"/>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4CB384DD" w14:textId="77777777" w:rsidR="00E90847" w:rsidRPr="00983F3D" w:rsidRDefault="00E90847" w:rsidP="00700370">
      <w:pPr>
        <w:pStyle w:val="Textonotapie"/>
        <w:spacing w:before="0" w:after="0" w:line="240" w:lineRule="auto"/>
        <w:ind w:firstLine="708"/>
        <w:rPr>
          <w:rFonts w:ascii="Arial" w:hAnsi="Arial" w:cs="Arial"/>
          <w:sz w:val="18"/>
          <w:szCs w:val="18"/>
        </w:rPr>
      </w:pPr>
      <w:r w:rsidRPr="00983F3D">
        <w:rPr>
          <w:rFonts w:ascii="Arial" w:hAnsi="Arial" w:cs="Arial"/>
          <w:sz w:val="18"/>
          <w:szCs w:val="18"/>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1DFCEA2E" w14:textId="77777777" w:rsidR="00E90847" w:rsidRPr="00983F3D" w:rsidRDefault="00E90847" w:rsidP="00700370">
      <w:pPr>
        <w:pStyle w:val="Textonotapie"/>
        <w:spacing w:before="0" w:after="0" w:line="240" w:lineRule="auto"/>
        <w:ind w:firstLine="708"/>
        <w:rPr>
          <w:rFonts w:ascii="Arial" w:hAnsi="Arial" w:cs="Arial"/>
          <w:sz w:val="18"/>
          <w:szCs w:val="18"/>
          <w:lang w:val="es-ES"/>
        </w:rPr>
      </w:pPr>
    </w:p>
  </w:footnote>
  <w:footnote w:id="7">
    <w:p w14:paraId="0AB09CAA" w14:textId="1DA0F524" w:rsidR="00E90847" w:rsidRPr="00983F3D" w:rsidRDefault="00E90847" w:rsidP="00983F3D">
      <w:pPr>
        <w:ind w:firstLine="708"/>
        <w:contextualSpacing/>
        <w:jc w:val="both"/>
        <w:rPr>
          <w:rFonts w:ascii="Arial" w:hAnsi="Arial" w:cs="Arial"/>
          <w:sz w:val="18"/>
          <w:szCs w:val="18"/>
        </w:rPr>
      </w:pPr>
      <w:r w:rsidRPr="00983F3D">
        <w:rPr>
          <w:rStyle w:val="Refdenotaalpie"/>
          <w:rFonts w:ascii="Arial" w:hAnsi="Arial" w:cs="Arial"/>
          <w:sz w:val="18"/>
          <w:szCs w:val="18"/>
        </w:rPr>
        <w:footnoteRef/>
      </w:r>
      <w:r w:rsidRPr="00983F3D">
        <w:rPr>
          <w:rFonts w:ascii="Arial" w:hAnsi="Arial" w:cs="Arial"/>
          <w:sz w:val="18"/>
          <w:szCs w:val="18"/>
        </w:rPr>
        <w:t xml:space="preserve"> </w:t>
      </w:r>
      <w:r w:rsidR="0000147C" w:rsidRPr="00983F3D">
        <w:rPr>
          <w:rFonts w:ascii="Arial" w:eastAsia="Calibri" w:hAnsi="Arial" w:cs="Arial"/>
          <w:sz w:val="18"/>
          <w:szCs w:val="18"/>
        </w:rPr>
        <w:t xml:space="preserve">El Consejo de Estado se pronunció sobre la solemnidad del contrato estatal y la imposibilidad de modificarla por voluntad de sus </w:t>
      </w:r>
      <w:r w:rsidR="00983F3D" w:rsidRPr="00983F3D">
        <w:rPr>
          <w:rFonts w:ascii="Arial" w:eastAsia="Calibri" w:hAnsi="Arial" w:cs="Arial"/>
          <w:sz w:val="18"/>
          <w:szCs w:val="18"/>
        </w:rPr>
        <w:t>destinatarios:</w:t>
      </w:r>
      <w:r w:rsidR="00983F3D">
        <w:rPr>
          <w:rFonts w:ascii="Arial" w:eastAsia="Calibri" w:hAnsi="Arial" w:cs="Arial"/>
          <w:sz w:val="18"/>
          <w:szCs w:val="18"/>
        </w:rPr>
        <w:t xml:space="preserve"> </w:t>
      </w:r>
      <w:r w:rsidR="00983F3D" w:rsidRPr="00983F3D">
        <w:rPr>
          <w:rFonts w:ascii="Arial" w:eastAsia="Calibri" w:hAnsi="Arial" w:cs="Arial"/>
          <w:sz w:val="18"/>
          <w:szCs w:val="18"/>
        </w:rPr>
        <w:t>”Pues</w:t>
      </w:r>
      <w:r w:rsidR="0000147C" w:rsidRPr="00983F3D">
        <w:rPr>
          <w:rFonts w:ascii="Arial" w:eastAsia="Calibri" w:hAnsi="Arial" w:cs="Arial"/>
          <w:sz w:val="18"/>
          <w:szCs w:val="18"/>
        </w:rPr>
        <w:t xml:space="preserve">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w:t>
      </w:r>
      <w:r w:rsidR="007B1D86" w:rsidRPr="00983F3D">
        <w:rPr>
          <w:rFonts w:ascii="Arial" w:eastAsia="Calibri" w:hAnsi="Arial" w:cs="Arial"/>
          <w:sz w:val="18"/>
          <w:szCs w:val="18"/>
        </w:rPr>
        <w:t xml:space="preserve">». </w:t>
      </w:r>
      <w:r w:rsidRPr="00983F3D">
        <w:rPr>
          <w:rFonts w:ascii="Arial" w:hAnsi="Arial" w:cs="Arial"/>
          <w:sz w:val="18"/>
          <w:szCs w:val="18"/>
        </w:rPr>
        <w:t xml:space="preserve">Consejo de Estado. Sección tercera. Sentencia del 18 de mayo de 2017. </w:t>
      </w:r>
      <w:r w:rsidRPr="00983F3D">
        <w:rPr>
          <w:rFonts w:ascii="Arial" w:hAnsi="Arial" w:cs="Arial"/>
          <w:sz w:val="18"/>
          <w:szCs w:val="18"/>
        </w:rPr>
        <w:t>Exp. 48.396. C.P. Jaime Orlando Santofimio Gamboa.</w:t>
      </w:r>
    </w:p>
    <w:p w14:paraId="3476D0D8" w14:textId="77777777" w:rsidR="00E90847" w:rsidRPr="00983F3D" w:rsidRDefault="00E90847" w:rsidP="00700370">
      <w:pPr>
        <w:pStyle w:val="Textonotapie"/>
        <w:spacing w:before="0" w:after="0" w:line="240" w:lineRule="auto"/>
        <w:ind w:firstLine="708"/>
        <w:rPr>
          <w:rFonts w:ascii="Arial" w:hAnsi="Arial" w:cs="Arial"/>
          <w:sz w:val="18"/>
          <w:szCs w:val="18"/>
          <w:lang w:val="es-ES"/>
        </w:rPr>
      </w:pPr>
      <w:r w:rsidRPr="00983F3D">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0"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2"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7258809">
    <w:abstractNumId w:val="11"/>
  </w:num>
  <w:num w:numId="2" w16cid:durableId="1929848231">
    <w:abstractNumId w:val="9"/>
  </w:num>
  <w:num w:numId="3" w16cid:durableId="1863585604">
    <w:abstractNumId w:val="16"/>
  </w:num>
  <w:num w:numId="4" w16cid:durableId="432092555">
    <w:abstractNumId w:val="17"/>
  </w:num>
  <w:num w:numId="5" w16cid:durableId="1473058159">
    <w:abstractNumId w:val="23"/>
  </w:num>
  <w:num w:numId="6" w16cid:durableId="8501408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28112">
    <w:abstractNumId w:val="18"/>
  </w:num>
  <w:num w:numId="8" w16cid:durableId="174541266">
    <w:abstractNumId w:val="6"/>
  </w:num>
  <w:num w:numId="9" w16cid:durableId="1975721018">
    <w:abstractNumId w:val="1"/>
  </w:num>
  <w:num w:numId="10" w16cid:durableId="164057260">
    <w:abstractNumId w:val="7"/>
  </w:num>
  <w:num w:numId="11" w16cid:durableId="1954090647">
    <w:abstractNumId w:val="2"/>
  </w:num>
  <w:num w:numId="12" w16cid:durableId="813447557">
    <w:abstractNumId w:val="10"/>
  </w:num>
  <w:num w:numId="13" w16cid:durableId="1826701661">
    <w:abstractNumId w:val="3"/>
  </w:num>
  <w:num w:numId="14" w16cid:durableId="771314303">
    <w:abstractNumId w:val="20"/>
  </w:num>
  <w:num w:numId="15" w16cid:durableId="285081967">
    <w:abstractNumId w:val="15"/>
  </w:num>
  <w:num w:numId="16" w16cid:durableId="1838886472">
    <w:abstractNumId w:val="13"/>
  </w:num>
  <w:num w:numId="17" w16cid:durableId="1634560719">
    <w:abstractNumId w:val="25"/>
  </w:num>
  <w:num w:numId="18" w16cid:durableId="1872650766">
    <w:abstractNumId w:val="5"/>
  </w:num>
  <w:num w:numId="19" w16cid:durableId="1757508530">
    <w:abstractNumId w:val="12"/>
  </w:num>
  <w:num w:numId="20" w16cid:durableId="453791486">
    <w:abstractNumId w:val="14"/>
  </w:num>
  <w:num w:numId="21" w16cid:durableId="591278473">
    <w:abstractNumId w:val="22"/>
  </w:num>
  <w:num w:numId="22" w16cid:durableId="105123696">
    <w:abstractNumId w:val="8"/>
  </w:num>
  <w:num w:numId="23" w16cid:durableId="1239513320">
    <w:abstractNumId w:val="26"/>
  </w:num>
  <w:num w:numId="24" w16cid:durableId="1943106736">
    <w:abstractNumId w:val="24"/>
  </w:num>
  <w:num w:numId="25" w16cid:durableId="1233472052">
    <w:abstractNumId w:val="21"/>
  </w:num>
  <w:num w:numId="26" w16cid:durableId="846794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660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47C"/>
    <w:rsid w:val="000019A6"/>
    <w:rsid w:val="00001A1D"/>
    <w:rsid w:val="000025E0"/>
    <w:rsid w:val="000034EE"/>
    <w:rsid w:val="00003617"/>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17A2"/>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352A2"/>
    <w:rsid w:val="000360E0"/>
    <w:rsid w:val="00040044"/>
    <w:rsid w:val="000414BE"/>
    <w:rsid w:val="00041517"/>
    <w:rsid w:val="00042FD0"/>
    <w:rsid w:val="000432DF"/>
    <w:rsid w:val="00044D8C"/>
    <w:rsid w:val="00050C64"/>
    <w:rsid w:val="0005181E"/>
    <w:rsid w:val="000520BA"/>
    <w:rsid w:val="00053136"/>
    <w:rsid w:val="000540E1"/>
    <w:rsid w:val="00054817"/>
    <w:rsid w:val="000641A8"/>
    <w:rsid w:val="0006467C"/>
    <w:rsid w:val="0006474E"/>
    <w:rsid w:val="00065205"/>
    <w:rsid w:val="00066517"/>
    <w:rsid w:val="00071132"/>
    <w:rsid w:val="00071351"/>
    <w:rsid w:val="000716B2"/>
    <w:rsid w:val="0007405A"/>
    <w:rsid w:val="00074BEE"/>
    <w:rsid w:val="00074D1E"/>
    <w:rsid w:val="00075C19"/>
    <w:rsid w:val="00075D07"/>
    <w:rsid w:val="00076B31"/>
    <w:rsid w:val="000770DB"/>
    <w:rsid w:val="00080542"/>
    <w:rsid w:val="0008228E"/>
    <w:rsid w:val="000822A6"/>
    <w:rsid w:val="0008274C"/>
    <w:rsid w:val="00082CE0"/>
    <w:rsid w:val="00084B97"/>
    <w:rsid w:val="00086501"/>
    <w:rsid w:val="00086D8D"/>
    <w:rsid w:val="000877B5"/>
    <w:rsid w:val="000902BC"/>
    <w:rsid w:val="00091AC6"/>
    <w:rsid w:val="00092617"/>
    <w:rsid w:val="00092B6A"/>
    <w:rsid w:val="000942EB"/>
    <w:rsid w:val="000943FC"/>
    <w:rsid w:val="00095B25"/>
    <w:rsid w:val="00096C01"/>
    <w:rsid w:val="0009763D"/>
    <w:rsid w:val="000A1B61"/>
    <w:rsid w:val="000A4DD7"/>
    <w:rsid w:val="000A5915"/>
    <w:rsid w:val="000B076C"/>
    <w:rsid w:val="000B0E61"/>
    <w:rsid w:val="000B103F"/>
    <w:rsid w:val="000B14BA"/>
    <w:rsid w:val="000B2D9A"/>
    <w:rsid w:val="000B4246"/>
    <w:rsid w:val="000B5C13"/>
    <w:rsid w:val="000C00A2"/>
    <w:rsid w:val="000C0769"/>
    <w:rsid w:val="000C1515"/>
    <w:rsid w:val="000C1CBB"/>
    <w:rsid w:val="000C3232"/>
    <w:rsid w:val="000C394F"/>
    <w:rsid w:val="000C3F9B"/>
    <w:rsid w:val="000C4E3E"/>
    <w:rsid w:val="000C5512"/>
    <w:rsid w:val="000C5D99"/>
    <w:rsid w:val="000D1837"/>
    <w:rsid w:val="000D186A"/>
    <w:rsid w:val="000D25BC"/>
    <w:rsid w:val="000D5214"/>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3D05"/>
    <w:rsid w:val="001041A9"/>
    <w:rsid w:val="00105AAA"/>
    <w:rsid w:val="001072DB"/>
    <w:rsid w:val="001078AA"/>
    <w:rsid w:val="00110CE1"/>
    <w:rsid w:val="001112FD"/>
    <w:rsid w:val="0011178C"/>
    <w:rsid w:val="00111CDF"/>
    <w:rsid w:val="001124EB"/>
    <w:rsid w:val="00113157"/>
    <w:rsid w:val="00114327"/>
    <w:rsid w:val="00114900"/>
    <w:rsid w:val="00114EE9"/>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50CB3"/>
    <w:rsid w:val="00151129"/>
    <w:rsid w:val="00151936"/>
    <w:rsid w:val="00151D08"/>
    <w:rsid w:val="00152FDA"/>
    <w:rsid w:val="00154785"/>
    <w:rsid w:val="00155B3D"/>
    <w:rsid w:val="00155C13"/>
    <w:rsid w:val="00156216"/>
    <w:rsid w:val="0015738F"/>
    <w:rsid w:val="00160CB0"/>
    <w:rsid w:val="00161A37"/>
    <w:rsid w:val="001643A4"/>
    <w:rsid w:val="00165347"/>
    <w:rsid w:val="00165995"/>
    <w:rsid w:val="00171685"/>
    <w:rsid w:val="00172F4D"/>
    <w:rsid w:val="0017335A"/>
    <w:rsid w:val="00173B85"/>
    <w:rsid w:val="00173DE5"/>
    <w:rsid w:val="00176A9A"/>
    <w:rsid w:val="00180188"/>
    <w:rsid w:val="001824DD"/>
    <w:rsid w:val="001827CB"/>
    <w:rsid w:val="00182A86"/>
    <w:rsid w:val="00182EEE"/>
    <w:rsid w:val="0018335C"/>
    <w:rsid w:val="00185A59"/>
    <w:rsid w:val="0018635C"/>
    <w:rsid w:val="00190961"/>
    <w:rsid w:val="00191C4D"/>
    <w:rsid w:val="00192CDC"/>
    <w:rsid w:val="00192CE0"/>
    <w:rsid w:val="001961C8"/>
    <w:rsid w:val="00197BB3"/>
    <w:rsid w:val="001A0A19"/>
    <w:rsid w:val="001A0E7A"/>
    <w:rsid w:val="001A1753"/>
    <w:rsid w:val="001A1FB1"/>
    <w:rsid w:val="001A217F"/>
    <w:rsid w:val="001A2EBE"/>
    <w:rsid w:val="001A40A1"/>
    <w:rsid w:val="001A4E88"/>
    <w:rsid w:val="001A78DE"/>
    <w:rsid w:val="001A7FD7"/>
    <w:rsid w:val="001B0444"/>
    <w:rsid w:val="001B0BE3"/>
    <w:rsid w:val="001B2F08"/>
    <w:rsid w:val="001B39FA"/>
    <w:rsid w:val="001B5217"/>
    <w:rsid w:val="001B5D90"/>
    <w:rsid w:val="001B6E10"/>
    <w:rsid w:val="001B789E"/>
    <w:rsid w:val="001C01AF"/>
    <w:rsid w:val="001C24BF"/>
    <w:rsid w:val="001C2ED7"/>
    <w:rsid w:val="001C47C8"/>
    <w:rsid w:val="001C5143"/>
    <w:rsid w:val="001C6F95"/>
    <w:rsid w:val="001C763E"/>
    <w:rsid w:val="001D0C03"/>
    <w:rsid w:val="001D1560"/>
    <w:rsid w:val="001D17C2"/>
    <w:rsid w:val="001D2F93"/>
    <w:rsid w:val="001D2FC9"/>
    <w:rsid w:val="001D30D8"/>
    <w:rsid w:val="001D3178"/>
    <w:rsid w:val="001D33DD"/>
    <w:rsid w:val="001D3585"/>
    <w:rsid w:val="001D4EA4"/>
    <w:rsid w:val="001D5434"/>
    <w:rsid w:val="001D567B"/>
    <w:rsid w:val="001D612F"/>
    <w:rsid w:val="001D745B"/>
    <w:rsid w:val="001E01F9"/>
    <w:rsid w:val="001E074F"/>
    <w:rsid w:val="001E1959"/>
    <w:rsid w:val="001E1EEE"/>
    <w:rsid w:val="001E2866"/>
    <w:rsid w:val="001E2A7A"/>
    <w:rsid w:val="001E4B0D"/>
    <w:rsid w:val="001E6C8C"/>
    <w:rsid w:val="001E7D79"/>
    <w:rsid w:val="001F4619"/>
    <w:rsid w:val="001F4D43"/>
    <w:rsid w:val="001F4F5C"/>
    <w:rsid w:val="001F5388"/>
    <w:rsid w:val="001F5745"/>
    <w:rsid w:val="001F6290"/>
    <w:rsid w:val="001F6378"/>
    <w:rsid w:val="001F7341"/>
    <w:rsid w:val="001F774C"/>
    <w:rsid w:val="0020001F"/>
    <w:rsid w:val="0020059F"/>
    <w:rsid w:val="00200651"/>
    <w:rsid w:val="00200E03"/>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67B"/>
    <w:rsid w:val="002232F5"/>
    <w:rsid w:val="002246A7"/>
    <w:rsid w:val="002249BC"/>
    <w:rsid w:val="002255EF"/>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424D"/>
    <w:rsid w:val="002456B1"/>
    <w:rsid w:val="002456DB"/>
    <w:rsid w:val="00246944"/>
    <w:rsid w:val="00247C35"/>
    <w:rsid w:val="0025069C"/>
    <w:rsid w:val="0025151A"/>
    <w:rsid w:val="002534F1"/>
    <w:rsid w:val="002538B5"/>
    <w:rsid w:val="00254711"/>
    <w:rsid w:val="00255215"/>
    <w:rsid w:val="00255D2C"/>
    <w:rsid w:val="00256CE7"/>
    <w:rsid w:val="002576FD"/>
    <w:rsid w:val="00257918"/>
    <w:rsid w:val="00261136"/>
    <w:rsid w:val="002627A8"/>
    <w:rsid w:val="0026362F"/>
    <w:rsid w:val="00263755"/>
    <w:rsid w:val="0026403D"/>
    <w:rsid w:val="002647F7"/>
    <w:rsid w:val="00264E94"/>
    <w:rsid w:val="002654C1"/>
    <w:rsid w:val="0026616C"/>
    <w:rsid w:val="00267A47"/>
    <w:rsid w:val="00267DDA"/>
    <w:rsid w:val="002708A2"/>
    <w:rsid w:val="00271043"/>
    <w:rsid w:val="002725EE"/>
    <w:rsid w:val="00272858"/>
    <w:rsid w:val="00272FBF"/>
    <w:rsid w:val="002737FD"/>
    <w:rsid w:val="00273E83"/>
    <w:rsid w:val="00274DDF"/>
    <w:rsid w:val="00275C49"/>
    <w:rsid w:val="00275E86"/>
    <w:rsid w:val="00277969"/>
    <w:rsid w:val="002801C7"/>
    <w:rsid w:val="00284D31"/>
    <w:rsid w:val="00285503"/>
    <w:rsid w:val="00285AC8"/>
    <w:rsid w:val="00285AC9"/>
    <w:rsid w:val="00286089"/>
    <w:rsid w:val="00286153"/>
    <w:rsid w:val="00287343"/>
    <w:rsid w:val="00287741"/>
    <w:rsid w:val="00290E9F"/>
    <w:rsid w:val="002914E1"/>
    <w:rsid w:val="00291C4F"/>
    <w:rsid w:val="00291FE3"/>
    <w:rsid w:val="002938BD"/>
    <w:rsid w:val="00293BBD"/>
    <w:rsid w:val="002941C6"/>
    <w:rsid w:val="00296B40"/>
    <w:rsid w:val="002A2E12"/>
    <w:rsid w:val="002A3452"/>
    <w:rsid w:val="002A3C30"/>
    <w:rsid w:val="002A3C35"/>
    <w:rsid w:val="002A4F9E"/>
    <w:rsid w:val="002A5498"/>
    <w:rsid w:val="002A5F87"/>
    <w:rsid w:val="002A695B"/>
    <w:rsid w:val="002B3433"/>
    <w:rsid w:val="002B41FB"/>
    <w:rsid w:val="002B4390"/>
    <w:rsid w:val="002B55C7"/>
    <w:rsid w:val="002C088B"/>
    <w:rsid w:val="002C216A"/>
    <w:rsid w:val="002C28E1"/>
    <w:rsid w:val="002C2B56"/>
    <w:rsid w:val="002C2D1E"/>
    <w:rsid w:val="002C32E1"/>
    <w:rsid w:val="002C40FB"/>
    <w:rsid w:val="002C4C0C"/>
    <w:rsid w:val="002C57C8"/>
    <w:rsid w:val="002C6821"/>
    <w:rsid w:val="002D08FE"/>
    <w:rsid w:val="002D155C"/>
    <w:rsid w:val="002D1FC4"/>
    <w:rsid w:val="002D2CD0"/>
    <w:rsid w:val="002D3589"/>
    <w:rsid w:val="002D481A"/>
    <w:rsid w:val="002D65E2"/>
    <w:rsid w:val="002D7275"/>
    <w:rsid w:val="002E06A1"/>
    <w:rsid w:val="002E257B"/>
    <w:rsid w:val="002E7580"/>
    <w:rsid w:val="002E7979"/>
    <w:rsid w:val="002F334B"/>
    <w:rsid w:val="002F4470"/>
    <w:rsid w:val="002F7BD7"/>
    <w:rsid w:val="003016E2"/>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5FA4"/>
    <w:rsid w:val="00316214"/>
    <w:rsid w:val="003162C8"/>
    <w:rsid w:val="00316B16"/>
    <w:rsid w:val="00320075"/>
    <w:rsid w:val="00321018"/>
    <w:rsid w:val="00322937"/>
    <w:rsid w:val="0032350A"/>
    <w:rsid w:val="003238A9"/>
    <w:rsid w:val="00324011"/>
    <w:rsid w:val="0032590F"/>
    <w:rsid w:val="00327549"/>
    <w:rsid w:val="00327CEB"/>
    <w:rsid w:val="00330722"/>
    <w:rsid w:val="00331030"/>
    <w:rsid w:val="00334638"/>
    <w:rsid w:val="003404C6"/>
    <w:rsid w:val="0034096E"/>
    <w:rsid w:val="0034177C"/>
    <w:rsid w:val="00341D52"/>
    <w:rsid w:val="00341F89"/>
    <w:rsid w:val="003429F6"/>
    <w:rsid w:val="0034354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18CD"/>
    <w:rsid w:val="00361BA8"/>
    <w:rsid w:val="00361F13"/>
    <w:rsid w:val="00364EF6"/>
    <w:rsid w:val="003652E7"/>
    <w:rsid w:val="00366283"/>
    <w:rsid w:val="00366693"/>
    <w:rsid w:val="00367828"/>
    <w:rsid w:val="00371F43"/>
    <w:rsid w:val="00372E26"/>
    <w:rsid w:val="003754D2"/>
    <w:rsid w:val="003757C2"/>
    <w:rsid w:val="00376930"/>
    <w:rsid w:val="00380FAE"/>
    <w:rsid w:val="00381C32"/>
    <w:rsid w:val="00381F36"/>
    <w:rsid w:val="003834F8"/>
    <w:rsid w:val="00384C43"/>
    <w:rsid w:val="00385CF3"/>
    <w:rsid w:val="00386456"/>
    <w:rsid w:val="003901B3"/>
    <w:rsid w:val="003903B0"/>
    <w:rsid w:val="00390C02"/>
    <w:rsid w:val="003912A3"/>
    <w:rsid w:val="0039143D"/>
    <w:rsid w:val="003923F8"/>
    <w:rsid w:val="003949EE"/>
    <w:rsid w:val="003964D5"/>
    <w:rsid w:val="00396918"/>
    <w:rsid w:val="003A0878"/>
    <w:rsid w:val="003A0EBE"/>
    <w:rsid w:val="003A30B4"/>
    <w:rsid w:val="003A3529"/>
    <w:rsid w:val="003A4CA4"/>
    <w:rsid w:val="003A581E"/>
    <w:rsid w:val="003A5E90"/>
    <w:rsid w:val="003A6751"/>
    <w:rsid w:val="003A7F89"/>
    <w:rsid w:val="003B027A"/>
    <w:rsid w:val="003B2341"/>
    <w:rsid w:val="003B267F"/>
    <w:rsid w:val="003B3044"/>
    <w:rsid w:val="003B43DB"/>
    <w:rsid w:val="003B49DA"/>
    <w:rsid w:val="003B73DE"/>
    <w:rsid w:val="003C01B1"/>
    <w:rsid w:val="003C0588"/>
    <w:rsid w:val="003C0D86"/>
    <w:rsid w:val="003C6CBA"/>
    <w:rsid w:val="003C75FC"/>
    <w:rsid w:val="003D1BE9"/>
    <w:rsid w:val="003D33FF"/>
    <w:rsid w:val="003D3D29"/>
    <w:rsid w:val="003D3D9D"/>
    <w:rsid w:val="003D43B0"/>
    <w:rsid w:val="003D45AC"/>
    <w:rsid w:val="003D527E"/>
    <w:rsid w:val="003D7E29"/>
    <w:rsid w:val="003E04EE"/>
    <w:rsid w:val="003E0D9E"/>
    <w:rsid w:val="003E1992"/>
    <w:rsid w:val="003E1DFC"/>
    <w:rsid w:val="003E4A30"/>
    <w:rsid w:val="003E6423"/>
    <w:rsid w:val="003E6884"/>
    <w:rsid w:val="003E71FC"/>
    <w:rsid w:val="003E7AA5"/>
    <w:rsid w:val="003F00C3"/>
    <w:rsid w:val="003F0161"/>
    <w:rsid w:val="003F18DE"/>
    <w:rsid w:val="003F1D3C"/>
    <w:rsid w:val="003F4E89"/>
    <w:rsid w:val="0040246E"/>
    <w:rsid w:val="004030F2"/>
    <w:rsid w:val="00405913"/>
    <w:rsid w:val="00406251"/>
    <w:rsid w:val="00406A1A"/>
    <w:rsid w:val="00407705"/>
    <w:rsid w:val="0040799E"/>
    <w:rsid w:val="004129BB"/>
    <w:rsid w:val="00412A43"/>
    <w:rsid w:val="00413C8D"/>
    <w:rsid w:val="00413E61"/>
    <w:rsid w:val="00414152"/>
    <w:rsid w:val="00414BC9"/>
    <w:rsid w:val="00415DDE"/>
    <w:rsid w:val="00416308"/>
    <w:rsid w:val="00416996"/>
    <w:rsid w:val="0041702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0B8D"/>
    <w:rsid w:val="00441DC6"/>
    <w:rsid w:val="00441EE4"/>
    <w:rsid w:val="004422D6"/>
    <w:rsid w:val="0044490E"/>
    <w:rsid w:val="00446E21"/>
    <w:rsid w:val="00447165"/>
    <w:rsid w:val="00447729"/>
    <w:rsid w:val="004511B1"/>
    <w:rsid w:val="00451E90"/>
    <w:rsid w:val="00452F9A"/>
    <w:rsid w:val="00454101"/>
    <w:rsid w:val="00455438"/>
    <w:rsid w:val="00455EAA"/>
    <w:rsid w:val="00456AC2"/>
    <w:rsid w:val="00457110"/>
    <w:rsid w:val="00460D1C"/>
    <w:rsid w:val="00461E70"/>
    <w:rsid w:val="00464311"/>
    <w:rsid w:val="00466026"/>
    <w:rsid w:val="0046603E"/>
    <w:rsid w:val="00466082"/>
    <w:rsid w:val="0046653B"/>
    <w:rsid w:val="0046694E"/>
    <w:rsid w:val="00472B78"/>
    <w:rsid w:val="00472BBB"/>
    <w:rsid w:val="0047380F"/>
    <w:rsid w:val="0047426F"/>
    <w:rsid w:val="0047453E"/>
    <w:rsid w:val="004746AD"/>
    <w:rsid w:val="00474E3B"/>
    <w:rsid w:val="00475F18"/>
    <w:rsid w:val="00477498"/>
    <w:rsid w:val="00477514"/>
    <w:rsid w:val="004779F8"/>
    <w:rsid w:val="00480824"/>
    <w:rsid w:val="00480D03"/>
    <w:rsid w:val="00480ECA"/>
    <w:rsid w:val="00482900"/>
    <w:rsid w:val="00485814"/>
    <w:rsid w:val="004861E4"/>
    <w:rsid w:val="0048674D"/>
    <w:rsid w:val="004870BB"/>
    <w:rsid w:val="004872D8"/>
    <w:rsid w:val="0048754A"/>
    <w:rsid w:val="00487BC0"/>
    <w:rsid w:val="00487C10"/>
    <w:rsid w:val="00490A62"/>
    <w:rsid w:val="0049241A"/>
    <w:rsid w:val="004956F3"/>
    <w:rsid w:val="00496FA4"/>
    <w:rsid w:val="004974CD"/>
    <w:rsid w:val="004A0085"/>
    <w:rsid w:val="004A0106"/>
    <w:rsid w:val="004A0F49"/>
    <w:rsid w:val="004A34D2"/>
    <w:rsid w:val="004A4F76"/>
    <w:rsid w:val="004A677C"/>
    <w:rsid w:val="004A6841"/>
    <w:rsid w:val="004A7B59"/>
    <w:rsid w:val="004B0B42"/>
    <w:rsid w:val="004B1C70"/>
    <w:rsid w:val="004B353C"/>
    <w:rsid w:val="004B3D4D"/>
    <w:rsid w:val="004B580E"/>
    <w:rsid w:val="004B6500"/>
    <w:rsid w:val="004B6E7D"/>
    <w:rsid w:val="004B7D5F"/>
    <w:rsid w:val="004C246A"/>
    <w:rsid w:val="004C31AF"/>
    <w:rsid w:val="004C3ADF"/>
    <w:rsid w:val="004C3BA4"/>
    <w:rsid w:val="004C49B9"/>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F0804"/>
    <w:rsid w:val="004F1425"/>
    <w:rsid w:val="004F16DB"/>
    <w:rsid w:val="004F30F8"/>
    <w:rsid w:val="004F3492"/>
    <w:rsid w:val="004F3517"/>
    <w:rsid w:val="004F3CDF"/>
    <w:rsid w:val="004F510B"/>
    <w:rsid w:val="004F5B24"/>
    <w:rsid w:val="004F6048"/>
    <w:rsid w:val="00501473"/>
    <w:rsid w:val="00504E1A"/>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1FE1"/>
    <w:rsid w:val="005526A0"/>
    <w:rsid w:val="00552754"/>
    <w:rsid w:val="00554A77"/>
    <w:rsid w:val="005564CA"/>
    <w:rsid w:val="005601A8"/>
    <w:rsid w:val="00561506"/>
    <w:rsid w:val="0056182B"/>
    <w:rsid w:val="005622EB"/>
    <w:rsid w:val="00562332"/>
    <w:rsid w:val="0056311D"/>
    <w:rsid w:val="0056728F"/>
    <w:rsid w:val="00567F3B"/>
    <w:rsid w:val="00570F08"/>
    <w:rsid w:val="0057142B"/>
    <w:rsid w:val="005721B3"/>
    <w:rsid w:val="00573F4F"/>
    <w:rsid w:val="005756AA"/>
    <w:rsid w:val="0057591C"/>
    <w:rsid w:val="00575A1C"/>
    <w:rsid w:val="0057646F"/>
    <w:rsid w:val="00577148"/>
    <w:rsid w:val="005771B5"/>
    <w:rsid w:val="00582AE3"/>
    <w:rsid w:val="00583D79"/>
    <w:rsid w:val="00584054"/>
    <w:rsid w:val="00584D9E"/>
    <w:rsid w:val="0058679D"/>
    <w:rsid w:val="00586BDB"/>
    <w:rsid w:val="00587458"/>
    <w:rsid w:val="005879CA"/>
    <w:rsid w:val="00587E63"/>
    <w:rsid w:val="00590380"/>
    <w:rsid w:val="005930B1"/>
    <w:rsid w:val="0059377A"/>
    <w:rsid w:val="0059502B"/>
    <w:rsid w:val="00596896"/>
    <w:rsid w:val="00597412"/>
    <w:rsid w:val="005A0414"/>
    <w:rsid w:val="005A119F"/>
    <w:rsid w:val="005A1645"/>
    <w:rsid w:val="005A2130"/>
    <w:rsid w:val="005A4FC5"/>
    <w:rsid w:val="005A6AB9"/>
    <w:rsid w:val="005A7DBD"/>
    <w:rsid w:val="005B1144"/>
    <w:rsid w:val="005B1772"/>
    <w:rsid w:val="005B1817"/>
    <w:rsid w:val="005B4267"/>
    <w:rsid w:val="005B59E8"/>
    <w:rsid w:val="005B5BE2"/>
    <w:rsid w:val="005B753A"/>
    <w:rsid w:val="005C00FA"/>
    <w:rsid w:val="005C04BF"/>
    <w:rsid w:val="005C12C8"/>
    <w:rsid w:val="005C2A3B"/>
    <w:rsid w:val="005C343C"/>
    <w:rsid w:val="005C3BE4"/>
    <w:rsid w:val="005C5C9A"/>
    <w:rsid w:val="005C6A48"/>
    <w:rsid w:val="005C6C85"/>
    <w:rsid w:val="005C7184"/>
    <w:rsid w:val="005C7FC4"/>
    <w:rsid w:val="005D0467"/>
    <w:rsid w:val="005D1BC0"/>
    <w:rsid w:val="005D3155"/>
    <w:rsid w:val="005D35B6"/>
    <w:rsid w:val="005D36B1"/>
    <w:rsid w:val="005D483D"/>
    <w:rsid w:val="005D4AEF"/>
    <w:rsid w:val="005D4E8A"/>
    <w:rsid w:val="005D50CE"/>
    <w:rsid w:val="005D51FA"/>
    <w:rsid w:val="005D5B90"/>
    <w:rsid w:val="005D791B"/>
    <w:rsid w:val="005E01CE"/>
    <w:rsid w:val="005E09A6"/>
    <w:rsid w:val="005E139E"/>
    <w:rsid w:val="005E1974"/>
    <w:rsid w:val="005E2C01"/>
    <w:rsid w:val="005E363E"/>
    <w:rsid w:val="005E3B5B"/>
    <w:rsid w:val="005E42CD"/>
    <w:rsid w:val="005E4765"/>
    <w:rsid w:val="005E5697"/>
    <w:rsid w:val="005E5B1E"/>
    <w:rsid w:val="005F055F"/>
    <w:rsid w:val="005F1B0F"/>
    <w:rsid w:val="005F22F9"/>
    <w:rsid w:val="005F317C"/>
    <w:rsid w:val="005F37CD"/>
    <w:rsid w:val="005F3CD0"/>
    <w:rsid w:val="005F51FB"/>
    <w:rsid w:val="005F53B6"/>
    <w:rsid w:val="005F599B"/>
    <w:rsid w:val="005F650A"/>
    <w:rsid w:val="005F68F7"/>
    <w:rsid w:val="005F788C"/>
    <w:rsid w:val="0060070B"/>
    <w:rsid w:val="006009A3"/>
    <w:rsid w:val="00602708"/>
    <w:rsid w:val="00603E4D"/>
    <w:rsid w:val="00603FBE"/>
    <w:rsid w:val="00604384"/>
    <w:rsid w:val="00604893"/>
    <w:rsid w:val="00604B04"/>
    <w:rsid w:val="006058F6"/>
    <w:rsid w:val="00611ED9"/>
    <w:rsid w:val="00612C51"/>
    <w:rsid w:val="00613FDA"/>
    <w:rsid w:val="006146F1"/>
    <w:rsid w:val="00614817"/>
    <w:rsid w:val="00616E1F"/>
    <w:rsid w:val="00620C5F"/>
    <w:rsid w:val="00620FE8"/>
    <w:rsid w:val="00621021"/>
    <w:rsid w:val="00621A1E"/>
    <w:rsid w:val="00623D2C"/>
    <w:rsid w:val="00624498"/>
    <w:rsid w:val="00625EEF"/>
    <w:rsid w:val="0062724E"/>
    <w:rsid w:val="00630D7C"/>
    <w:rsid w:val="006318E7"/>
    <w:rsid w:val="0063224F"/>
    <w:rsid w:val="0063269D"/>
    <w:rsid w:val="00633DBF"/>
    <w:rsid w:val="006341BB"/>
    <w:rsid w:val="006343EE"/>
    <w:rsid w:val="0063440E"/>
    <w:rsid w:val="00635DED"/>
    <w:rsid w:val="0063667E"/>
    <w:rsid w:val="0063754D"/>
    <w:rsid w:val="00643B51"/>
    <w:rsid w:val="006441CE"/>
    <w:rsid w:val="006447B9"/>
    <w:rsid w:val="00644D7F"/>
    <w:rsid w:val="0064514E"/>
    <w:rsid w:val="00650FE8"/>
    <w:rsid w:val="00651335"/>
    <w:rsid w:val="006518DC"/>
    <w:rsid w:val="00651D7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148D"/>
    <w:rsid w:val="0067157B"/>
    <w:rsid w:val="00672272"/>
    <w:rsid w:val="00672725"/>
    <w:rsid w:val="006728A0"/>
    <w:rsid w:val="006734E6"/>
    <w:rsid w:val="006748E0"/>
    <w:rsid w:val="00674F99"/>
    <w:rsid w:val="00677097"/>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0D3D"/>
    <w:rsid w:val="006B1779"/>
    <w:rsid w:val="006B2398"/>
    <w:rsid w:val="006B24DE"/>
    <w:rsid w:val="006B2D45"/>
    <w:rsid w:val="006B318A"/>
    <w:rsid w:val="006B39D4"/>
    <w:rsid w:val="006B5019"/>
    <w:rsid w:val="006B5051"/>
    <w:rsid w:val="006B5FA9"/>
    <w:rsid w:val="006B6E0A"/>
    <w:rsid w:val="006C06E6"/>
    <w:rsid w:val="006C116D"/>
    <w:rsid w:val="006C132E"/>
    <w:rsid w:val="006C1463"/>
    <w:rsid w:val="006C18C1"/>
    <w:rsid w:val="006C1A72"/>
    <w:rsid w:val="006C2A51"/>
    <w:rsid w:val="006C2B00"/>
    <w:rsid w:val="006C3B52"/>
    <w:rsid w:val="006C4F62"/>
    <w:rsid w:val="006C53B1"/>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572"/>
    <w:rsid w:val="006E0932"/>
    <w:rsid w:val="006E131E"/>
    <w:rsid w:val="006E170C"/>
    <w:rsid w:val="006E19D3"/>
    <w:rsid w:val="006E1E98"/>
    <w:rsid w:val="006E37FA"/>
    <w:rsid w:val="006E59A1"/>
    <w:rsid w:val="006E66D9"/>
    <w:rsid w:val="006F3617"/>
    <w:rsid w:val="006F4EB3"/>
    <w:rsid w:val="006F56C4"/>
    <w:rsid w:val="006F6168"/>
    <w:rsid w:val="006F6B04"/>
    <w:rsid w:val="006F7679"/>
    <w:rsid w:val="00700370"/>
    <w:rsid w:val="00700B57"/>
    <w:rsid w:val="00700BFB"/>
    <w:rsid w:val="007014F8"/>
    <w:rsid w:val="00705403"/>
    <w:rsid w:val="00705631"/>
    <w:rsid w:val="00706C8B"/>
    <w:rsid w:val="00707531"/>
    <w:rsid w:val="00710134"/>
    <w:rsid w:val="00710DF4"/>
    <w:rsid w:val="00711205"/>
    <w:rsid w:val="00711F32"/>
    <w:rsid w:val="007136AC"/>
    <w:rsid w:val="00713BDB"/>
    <w:rsid w:val="00715437"/>
    <w:rsid w:val="00715EAA"/>
    <w:rsid w:val="0071643A"/>
    <w:rsid w:val="007168C5"/>
    <w:rsid w:val="00716CC3"/>
    <w:rsid w:val="00720050"/>
    <w:rsid w:val="007213F0"/>
    <w:rsid w:val="00722293"/>
    <w:rsid w:val="00723A5D"/>
    <w:rsid w:val="00723B38"/>
    <w:rsid w:val="00724D11"/>
    <w:rsid w:val="00726952"/>
    <w:rsid w:val="00726F60"/>
    <w:rsid w:val="00730CAD"/>
    <w:rsid w:val="00733984"/>
    <w:rsid w:val="00733BCA"/>
    <w:rsid w:val="0073441F"/>
    <w:rsid w:val="0073589B"/>
    <w:rsid w:val="00735AEF"/>
    <w:rsid w:val="00735C0B"/>
    <w:rsid w:val="00736AB2"/>
    <w:rsid w:val="00737D33"/>
    <w:rsid w:val="007412B8"/>
    <w:rsid w:val="00741A9E"/>
    <w:rsid w:val="00742281"/>
    <w:rsid w:val="00742DD2"/>
    <w:rsid w:val="00746E08"/>
    <w:rsid w:val="00747C96"/>
    <w:rsid w:val="007503E9"/>
    <w:rsid w:val="0075094E"/>
    <w:rsid w:val="007522E8"/>
    <w:rsid w:val="00755CC4"/>
    <w:rsid w:val="0075647A"/>
    <w:rsid w:val="007572F9"/>
    <w:rsid w:val="00760166"/>
    <w:rsid w:val="00760D29"/>
    <w:rsid w:val="00762948"/>
    <w:rsid w:val="00762F48"/>
    <w:rsid w:val="007634AD"/>
    <w:rsid w:val="00763845"/>
    <w:rsid w:val="00764011"/>
    <w:rsid w:val="0076432E"/>
    <w:rsid w:val="007668D9"/>
    <w:rsid w:val="00766A70"/>
    <w:rsid w:val="00766E39"/>
    <w:rsid w:val="0077057C"/>
    <w:rsid w:val="007707A7"/>
    <w:rsid w:val="00770A41"/>
    <w:rsid w:val="00770B28"/>
    <w:rsid w:val="00771DF3"/>
    <w:rsid w:val="00773CB2"/>
    <w:rsid w:val="00775563"/>
    <w:rsid w:val="00776689"/>
    <w:rsid w:val="007767FE"/>
    <w:rsid w:val="00776838"/>
    <w:rsid w:val="0078122E"/>
    <w:rsid w:val="00783A83"/>
    <w:rsid w:val="00786FF8"/>
    <w:rsid w:val="00792E66"/>
    <w:rsid w:val="00792F13"/>
    <w:rsid w:val="007930A5"/>
    <w:rsid w:val="00793E57"/>
    <w:rsid w:val="00794007"/>
    <w:rsid w:val="00795647"/>
    <w:rsid w:val="007970CB"/>
    <w:rsid w:val="007973B1"/>
    <w:rsid w:val="007A04A7"/>
    <w:rsid w:val="007A174B"/>
    <w:rsid w:val="007A3611"/>
    <w:rsid w:val="007A5737"/>
    <w:rsid w:val="007A5FD3"/>
    <w:rsid w:val="007A6125"/>
    <w:rsid w:val="007A7594"/>
    <w:rsid w:val="007A76FC"/>
    <w:rsid w:val="007B0854"/>
    <w:rsid w:val="007B1A29"/>
    <w:rsid w:val="007B1ACE"/>
    <w:rsid w:val="007B1D86"/>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C16"/>
    <w:rsid w:val="007E676C"/>
    <w:rsid w:val="007E7A93"/>
    <w:rsid w:val="007F15AE"/>
    <w:rsid w:val="007F1C69"/>
    <w:rsid w:val="007F4032"/>
    <w:rsid w:val="007F4118"/>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E0D"/>
    <w:rsid w:val="0081553B"/>
    <w:rsid w:val="00815BCC"/>
    <w:rsid w:val="008160B2"/>
    <w:rsid w:val="00817744"/>
    <w:rsid w:val="008178A8"/>
    <w:rsid w:val="00817C29"/>
    <w:rsid w:val="0082065D"/>
    <w:rsid w:val="00820A37"/>
    <w:rsid w:val="008217B7"/>
    <w:rsid w:val="00822950"/>
    <w:rsid w:val="0082422A"/>
    <w:rsid w:val="00824BF9"/>
    <w:rsid w:val="00830018"/>
    <w:rsid w:val="00830303"/>
    <w:rsid w:val="0083119B"/>
    <w:rsid w:val="00833039"/>
    <w:rsid w:val="00835917"/>
    <w:rsid w:val="00836EAB"/>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7EEA"/>
    <w:rsid w:val="00860F20"/>
    <w:rsid w:val="00861D0A"/>
    <w:rsid w:val="00861F54"/>
    <w:rsid w:val="0086218A"/>
    <w:rsid w:val="008632AF"/>
    <w:rsid w:val="008636DE"/>
    <w:rsid w:val="00864821"/>
    <w:rsid w:val="008654BA"/>
    <w:rsid w:val="00870412"/>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168"/>
    <w:rsid w:val="00886E97"/>
    <w:rsid w:val="00887C57"/>
    <w:rsid w:val="00890D42"/>
    <w:rsid w:val="008915B7"/>
    <w:rsid w:val="00891FB0"/>
    <w:rsid w:val="008927F9"/>
    <w:rsid w:val="0089306D"/>
    <w:rsid w:val="00894211"/>
    <w:rsid w:val="00894D5C"/>
    <w:rsid w:val="0089774F"/>
    <w:rsid w:val="008A18EE"/>
    <w:rsid w:val="008A1C35"/>
    <w:rsid w:val="008A1C99"/>
    <w:rsid w:val="008A1E91"/>
    <w:rsid w:val="008A2550"/>
    <w:rsid w:val="008A2823"/>
    <w:rsid w:val="008A3153"/>
    <w:rsid w:val="008A383B"/>
    <w:rsid w:val="008A4934"/>
    <w:rsid w:val="008A519B"/>
    <w:rsid w:val="008B1829"/>
    <w:rsid w:val="008B29AC"/>
    <w:rsid w:val="008B2C6A"/>
    <w:rsid w:val="008B3AED"/>
    <w:rsid w:val="008B6265"/>
    <w:rsid w:val="008B6B7E"/>
    <w:rsid w:val="008C30C7"/>
    <w:rsid w:val="008C34B5"/>
    <w:rsid w:val="008C3736"/>
    <w:rsid w:val="008C4741"/>
    <w:rsid w:val="008C5D2B"/>
    <w:rsid w:val="008C6F87"/>
    <w:rsid w:val="008C7425"/>
    <w:rsid w:val="008C7C2E"/>
    <w:rsid w:val="008D1EFE"/>
    <w:rsid w:val="008D271F"/>
    <w:rsid w:val="008D46D3"/>
    <w:rsid w:val="008D56BF"/>
    <w:rsid w:val="008D572E"/>
    <w:rsid w:val="008D6907"/>
    <w:rsid w:val="008D711B"/>
    <w:rsid w:val="008D79F4"/>
    <w:rsid w:val="008D7EE7"/>
    <w:rsid w:val="008E1C15"/>
    <w:rsid w:val="008E35DC"/>
    <w:rsid w:val="008E3C08"/>
    <w:rsid w:val="008E4E6A"/>
    <w:rsid w:val="008E5687"/>
    <w:rsid w:val="008E7DBB"/>
    <w:rsid w:val="008F0B5E"/>
    <w:rsid w:val="008F0C40"/>
    <w:rsid w:val="008F2683"/>
    <w:rsid w:val="008F2D5F"/>
    <w:rsid w:val="008F39C7"/>
    <w:rsid w:val="008F538E"/>
    <w:rsid w:val="008F5551"/>
    <w:rsid w:val="008F6CB0"/>
    <w:rsid w:val="008F7712"/>
    <w:rsid w:val="00900304"/>
    <w:rsid w:val="00900817"/>
    <w:rsid w:val="009008CF"/>
    <w:rsid w:val="00900F40"/>
    <w:rsid w:val="0090222E"/>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68B9"/>
    <w:rsid w:val="00937020"/>
    <w:rsid w:val="00940DB9"/>
    <w:rsid w:val="0094567D"/>
    <w:rsid w:val="009458F0"/>
    <w:rsid w:val="009471A0"/>
    <w:rsid w:val="00947622"/>
    <w:rsid w:val="00951621"/>
    <w:rsid w:val="00951845"/>
    <w:rsid w:val="00951B07"/>
    <w:rsid w:val="00952E98"/>
    <w:rsid w:val="0095385A"/>
    <w:rsid w:val="00955202"/>
    <w:rsid w:val="00955B44"/>
    <w:rsid w:val="00956821"/>
    <w:rsid w:val="00964425"/>
    <w:rsid w:val="00964942"/>
    <w:rsid w:val="009658C0"/>
    <w:rsid w:val="00967268"/>
    <w:rsid w:val="00967CD8"/>
    <w:rsid w:val="00970437"/>
    <w:rsid w:val="00971F9D"/>
    <w:rsid w:val="00971FAB"/>
    <w:rsid w:val="009726BB"/>
    <w:rsid w:val="0097606C"/>
    <w:rsid w:val="00976295"/>
    <w:rsid w:val="00981216"/>
    <w:rsid w:val="00982027"/>
    <w:rsid w:val="009820DB"/>
    <w:rsid w:val="0098238F"/>
    <w:rsid w:val="00983695"/>
    <w:rsid w:val="00983F3D"/>
    <w:rsid w:val="0098489D"/>
    <w:rsid w:val="00984AB9"/>
    <w:rsid w:val="009900DC"/>
    <w:rsid w:val="009906BE"/>
    <w:rsid w:val="0099095D"/>
    <w:rsid w:val="009916A7"/>
    <w:rsid w:val="00992127"/>
    <w:rsid w:val="009922C8"/>
    <w:rsid w:val="0099237F"/>
    <w:rsid w:val="0099262B"/>
    <w:rsid w:val="00994DF5"/>
    <w:rsid w:val="00994E2D"/>
    <w:rsid w:val="009976EE"/>
    <w:rsid w:val="009A0F94"/>
    <w:rsid w:val="009A23CE"/>
    <w:rsid w:val="009A2B57"/>
    <w:rsid w:val="009A3569"/>
    <w:rsid w:val="009A4826"/>
    <w:rsid w:val="009A60FC"/>
    <w:rsid w:val="009A758C"/>
    <w:rsid w:val="009B4776"/>
    <w:rsid w:val="009B512E"/>
    <w:rsid w:val="009B5190"/>
    <w:rsid w:val="009B5DE1"/>
    <w:rsid w:val="009B61A4"/>
    <w:rsid w:val="009C0D78"/>
    <w:rsid w:val="009C2DCC"/>
    <w:rsid w:val="009C31BE"/>
    <w:rsid w:val="009C37DC"/>
    <w:rsid w:val="009C38F7"/>
    <w:rsid w:val="009C57EF"/>
    <w:rsid w:val="009C6959"/>
    <w:rsid w:val="009C713B"/>
    <w:rsid w:val="009D3BBA"/>
    <w:rsid w:val="009D3CF6"/>
    <w:rsid w:val="009D4945"/>
    <w:rsid w:val="009D4B2F"/>
    <w:rsid w:val="009D5C7D"/>
    <w:rsid w:val="009D6E69"/>
    <w:rsid w:val="009E043B"/>
    <w:rsid w:val="009E30D4"/>
    <w:rsid w:val="009E54F2"/>
    <w:rsid w:val="009E5853"/>
    <w:rsid w:val="009E5D6E"/>
    <w:rsid w:val="009E64D5"/>
    <w:rsid w:val="009F1040"/>
    <w:rsid w:val="009F261D"/>
    <w:rsid w:val="009F3602"/>
    <w:rsid w:val="009F5096"/>
    <w:rsid w:val="009F59C2"/>
    <w:rsid w:val="009F78A0"/>
    <w:rsid w:val="00A0103E"/>
    <w:rsid w:val="00A010FC"/>
    <w:rsid w:val="00A02213"/>
    <w:rsid w:val="00A03425"/>
    <w:rsid w:val="00A03867"/>
    <w:rsid w:val="00A04977"/>
    <w:rsid w:val="00A04B5C"/>
    <w:rsid w:val="00A05140"/>
    <w:rsid w:val="00A0528D"/>
    <w:rsid w:val="00A066BD"/>
    <w:rsid w:val="00A071E0"/>
    <w:rsid w:val="00A10053"/>
    <w:rsid w:val="00A11895"/>
    <w:rsid w:val="00A12B18"/>
    <w:rsid w:val="00A13886"/>
    <w:rsid w:val="00A14415"/>
    <w:rsid w:val="00A146B7"/>
    <w:rsid w:val="00A1653D"/>
    <w:rsid w:val="00A16FAB"/>
    <w:rsid w:val="00A1798B"/>
    <w:rsid w:val="00A2084E"/>
    <w:rsid w:val="00A20C9F"/>
    <w:rsid w:val="00A21B32"/>
    <w:rsid w:val="00A228C5"/>
    <w:rsid w:val="00A22FB9"/>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4260"/>
    <w:rsid w:val="00A462AB"/>
    <w:rsid w:val="00A46DD4"/>
    <w:rsid w:val="00A500EF"/>
    <w:rsid w:val="00A505A0"/>
    <w:rsid w:val="00A509BC"/>
    <w:rsid w:val="00A51659"/>
    <w:rsid w:val="00A5208D"/>
    <w:rsid w:val="00A52206"/>
    <w:rsid w:val="00A529CB"/>
    <w:rsid w:val="00A5350E"/>
    <w:rsid w:val="00A5539A"/>
    <w:rsid w:val="00A568F6"/>
    <w:rsid w:val="00A57160"/>
    <w:rsid w:val="00A579E9"/>
    <w:rsid w:val="00A60441"/>
    <w:rsid w:val="00A60D5F"/>
    <w:rsid w:val="00A61297"/>
    <w:rsid w:val="00A612F6"/>
    <w:rsid w:val="00A62322"/>
    <w:rsid w:val="00A65AD5"/>
    <w:rsid w:val="00A66BF9"/>
    <w:rsid w:val="00A7090A"/>
    <w:rsid w:val="00A7157E"/>
    <w:rsid w:val="00A715D2"/>
    <w:rsid w:val="00A734C1"/>
    <w:rsid w:val="00A73C6F"/>
    <w:rsid w:val="00A74544"/>
    <w:rsid w:val="00A757E2"/>
    <w:rsid w:val="00A771A5"/>
    <w:rsid w:val="00A82473"/>
    <w:rsid w:val="00A83087"/>
    <w:rsid w:val="00A83E55"/>
    <w:rsid w:val="00A83F78"/>
    <w:rsid w:val="00A8570E"/>
    <w:rsid w:val="00A878F0"/>
    <w:rsid w:val="00A87ECD"/>
    <w:rsid w:val="00A91699"/>
    <w:rsid w:val="00A91BEA"/>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808"/>
    <w:rsid w:val="00AB2664"/>
    <w:rsid w:val="00AB3212"/>
    <w:rsid w:val="00AB3581"/>
    <w:rsid w:val="00AB35A6"/>
    <w:rsid w:val="00AB5852"/>
    <w:rsid w:val="00AB5969"/>
    <w:rsid w:val="00AB5C7F"/>
    <w:rsid w:val="00AB628F"/>
    <w:rsid w:val="00AB6591"/>
    <w:rsid w:val="00AB6875"/>
    <w:rsid w:val="00AC146A"/>
    <w:rsid w:val="00AC27E8"/>
    <w:rsid w:val="00AC4829"/>
    <w:rsid w:val="00AC4E34"/>
    <w:rsid w:val="00AC514C"/>
    <w:rsid w:val="00AC5690"/>
    <w:rsid w:val="00AC5F3A"/>
    <w:rsid w:val="00AD1A73"/>
    <w:rsid w:val="00AD45E3"/>
    <w:rsid w:val="00AD4D49"/>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B000D8"/>
    <w:rsid w:val="00B012D7"/>
    <w:rsid w:val="00B0182C"/>
    <w:rsid w:val="00B02774"/>
    <w:rsid w:val="00B02AD1"/>
    <w:rsid w:val="00B03CFE"/>
    <w:rsid w:val="00B04012"/>
    <w:rsid w:val="00B04E6F"/>
    <w:rsid w:val="00B050B8"/>
    <w:rsid w:val="00B05411"/>
    <w:rsid w:val="00B074DD"/>
    <w:rsid w:val="00B0753B"/>
    <w:rsid w:val="00B12F06"/>
    <w:rsid w:val="00B13EC0"/>
    <w:rsid w:val="00B15011"/>
    <w:rsid w:val="00B16829"/>
    <w:rsid w:val="00B179C1"/>
    <w:rsid w:val="00B20525"/>
    <w:rsid w:val="00B21442"/>
    <w:rsid w:val="00B22E22"/>
    <w:rsid w:val="00B235C4"/>
    <w:rsid w:val="00B2423F"/>
    <w:rsid w:val="00B2513E"/>
    <w:rsid w:val="00B2548B"/>
    <w:rsid w:val="00B25E66"/>
    <w:rsid w:val="00B27AD4"/>
    <w:rsid w:val="00B30086"/>
    <w:rsid w:val="00B31325"/>
    <w:rsid w:val="00B31F22"/>
    <w:rsid w:val="00B32BCD"/>
    <w:rsid w:val="00B32DB2"/>
    <w:rsid w:val="00B35625"/>
    <w:rsid w:val="00B359ED"/>
    <w:rsid w:val="00B36260"/>
    <w:rsid w:val="00B37C00"/>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F6E"/>
    <w:rsid w:val="00B84416"/>
    <w:rsid w:val="00B84BA7"/>
    <w:rsid w:val="00B85186"/>
    <w:rsid w:val="00B91AF0"/>
    <w:rsid w:val="00B91B8E"/>
    <w:rsid w:val="00B9384C"/>
    <w:rsid w:val="00B93C9A"/>
    <w:rsid w:val="00B94548"/>
    <w:rsid w:val="00B955AB"/>
    <w:rsid w:val="00B95AC8"/>
    <w:rsid w:val="00B9618B"/>
    <w:rsid w:val="00B96AA5"/>
    <w:rsid w:val="00B97E63"/>
    <w:rsid w:val="00BA19D8"/>
    <w:rsid w:val="00BA3286"/>
    <w:rsid w:val="00BA3871"/>
    <w:rsid w:val="00BA4D28"/>
    <w:rsid w:val="00BA4E77"/>
    <w:rsid w:val="00BA60E7"/>
    <w:rsid w:val="00BB00BC"/>
    <w:rsid w:val="00BB3B04"/>
    <w:rsid w:val="00BB3EE8"/>
    <w:rsid w:val="00BB584D"/>
    <w:rsid w:val="00BB7084"/>
    <w:rsid w:val="00BB7E79"/>
    <w:rsid w:val="00BC2704"/>
    <w:rsid w:val="00BC3EC6"/>
    <w:rsid w:val="00BC4869"/>
    <w:rsid w:val="00BC7280"/>
    <w:rsid w:val="00BD120E"/>
    <w:rsid w:val="00BD15FA"/>
    <w:rsid w:val="00BD2036"/>
    <w:rsid w:val="00BD2700"/>
    <w:rsid w:val="00BD78FE"/>
    <w:rsid w:val="00BE0AD3"/>
    <w:rsid w:val="00BE15DA"/>
    <w:rsid w:val="00BE16E8"/>
    <w:rsid w:val="00BE1CEA"/>
    <w:rsid w:val="00BE2BCB"/>
    <w:rsid w:val="00BE642B"/>
    <w:rsid w:val="00BE67A9"/>
    <w:rsid w:val="00BE72D6"/>
    <w:rsid w:val="00BE7DEE"/>
    <w:rsid w:val="00BE7E91"/>
    <w:rsid w:val="00BF31BA"/>
    <w:rsid w:val="00BF3C4C"/>
    <w:rsid w:val="00BF5E9C"/>
    <w:rsid w:val="00BF618F"/>
    <w:rsid w:val="00BF653A"/>
    <w:rsid w:val="00BF6D9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20CE"/>
    <w:rsid w:val="00C225E9"/>
    <w:rsid w:val="00C22BB6"/>
    <w:rsid w:val="00C24150"/>
    <w:rsid w:val="00C245B6"/>
    <w:rsid w:val="00C24D7E"/>
    <w:rsid w:val="00C2524E"/>
    <w:rsid w:val="00C25DEC"/>
    <w:rsid w:val="00C269AB"/>
    <w:rsid w:val="00C27711"/>
    <w:rsid w:val="00C3033B"/>
    <w:rsid w:val="00C309CE"/>
    <w:rsid w:val="00C32018"/>
    <w:rsid w:val="00C32119"/>
    <w:rsid w:val="00C34208"/>
    <w:rsid w:val="00C34AAC"/>
    <w:rsid w:val="00C3555C"/>
    <w:rsid w:val="00C366C4"/>
    <w:rsid w:val="00C373C2"/>
    <w:rsid w:val="00C374F0"/>
    <w:rsid w:val="00C375CB"/>
    <w:rsid w:val="00C404E4"/>
    <w:rsid w:val="00C42508"/>
    <w:rsid w:val="00C42C10"/>
    <w:rsid w:val="00C42D9F"/>
    <w:rsid w:val="00C4437C"/>
    <w:rsid w:val="00C444D0"/>
    <w:rsid w:val="00C472D7"/>
    <w:rsid w:val="00C50170"/>
    <w:rsid w:val="00C50A4B"/>
    <w:rsid w:val="00C5372F"/>
    <w:rsid w:val="00C54978"/>
    <w:rsid w:val="00C54BAF"/>
    <w:rsid w:val="00C60DBA"/>
    <w:rsid w:val="00C62699"/>
    <w:rsid w:val="00C6465E"/>
    <w:rsid w:val="00C64A86"/>
    <w:rsid w:val="00C64E43"/>
    <w:rsid w:val="00C6552A"/>
    <w:rsid w:val="00C65533"/>
    <w:rsid w:val="00C66DA8"/>
    <w:rsid w:val="00C70B9D"/>
    <w:rsid w:val="00C75629"/>
    <w:rsid w:val="00C758C6"/>
    <w:rsid w:val="00C76212"/>
    <w:rsid w:val="00C76AD9"/>
    <w:rsid w:val="00C77041"/>
    <w:rsid w:val="00C77849"/>
    <w:rsid w:val="00C77F03"/>
    <w:rsid w:val="00C818AF"/>
    <w:rsid w:val="00C81ADC"/>
    <w:rsid w:val="00C81F3D"/>
    <w:rsid w:val="00C822C2"/>
    <w:rsid w:val="00C837D5"/>
    <w:rsid w:val="00C841DD"/>
    <w:rsid w:val="00C8458D"/>
    <w:rsid w:val="00C8725E"/>
    <w:rsid w:val="00C90701"/>
    <w:rsid w:val="00C9106A"/>
    <w:rsid w:val="00C91242"/>
    <w:rsid w:val="00C91E8D"/>
    <w:rsid w:val="00C92E3E"/>
    <w:rsid w:val="00C93279"/>
    <w:rsid w:val="00C9585F"/>
    <w:rsid w:val="00C96C1B"/>
    <w:rsid w:val="00C97AAA"/>
    <w:rsid w:val="00CA059D"/>
    <w:rsid w:val="00CA2C72"/>
    <w:rsid w:val="00CA6FB7"/>
    <w:rsid w:val="00CA7385"/>
    <w:rsid w:val="00CB0765"/>
    <w:rsid w:val="00CB2B36"/>
    <w:rsid w:val="00CB2C0F"/>
    <w:rsid w:val="00CB3E91"/>
    <w:rsid w:val="00CB42FC"/>
    <w:rsid w:val="00CB5943"/>
    <w:rsid w:val="00CB619A"/>
    <w:rsid w:val="00CB63B3"/>
    <w:rsid w:val="00CB67C1"/>
    <w:rsid w:val="00CB772B"/>
    <w:rsid w:val="00CC00CD"/>
    <w:rsid w:val="00CC0339"/>
    <w:rsid w:val="00CC0B3D"/>
    <w:rsid w:val="00CC0E85"/>
    <w:rsid w:val="00CC4DF1"/>
    <w:rsid w:val="00CC748E"/>
    <w:rsid w:val="00CD02E0"/>
    <w:rsid w:val="00CD2B8C"/>
    <w:rsid w:val="00CD305E"/>
    <w:rsid w:val="00CD4A86"/>
    <w:rsid w:val="00CD5576"/>
    <w:rsid w:val="00CD7005"/>
    <w:rsid w:val="00CD7E27"/>
    <w:rsid w:val="00CE12E2"/>
    <w:rsid w:val="00CE15B5"/>
    <w:rsid w:val="00CE2805"/>
    <w:rsid w:val="00CE4E6E"/>
    <w:rsid w:val="00CE7A1A"/>
    <w:rsid w:val="00CF02E0"/>
    <w:rsid w:val="00CF0701"/>
    <w:rsid w:val="00CF1B01"/>
    <w:rsid w:val="00CF267E"/>
    <w:rsid w:val="00CF2CB7"/>
    <w:rsid w:val="00CF4E65"/>
    <w:rsid w:val="00CF600D"/>
    <w:rsid w:val="00CF7275"/>
    <w:rsid w:val="00CF7A13"/>
    <w:rsid w:val="00D01760"/>
    <w:rsid w:val="00D01EBF"/>
    <w:rsid w:val="00D06596"/>
    <w:rsid w:val="00D077EB"/>
    <w:rsid w:val="00D078B8"/>
    <w:rsid w:val="00D10800"/>
    <w:rsid w:val="00D12085"/>
    <w:rsid w:val="00D129EB"/>
    <w:rsid w:val="00D13D5F"/>
    <w:rsid w:val="00D15B95"/>
    <w:rsid w:val="00D16E39"/>
    <w:rsid w:val="00D170B9"/>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442"/>
    <w:rsid w:val="00D27E69"/>
    <w:rsid w:val="00D30F01"/>
    <w:rsid w:val="00D32A50"/>
    <w:rsid w:val="00D350DE"/>
    <w:rsid w:val="00D35FC1"/>
    <w:rsid w:val="00D41655"/>
    <w:rsid w:val="00D41EE1"/>
    <w:rsid w:val="00D42298"/>
    <w:rsid w:val="00D42E4F"/>
    <w:rsid w:val="00D4320D"/>
    <w:rsid w:val="00D44E97"/>
    <w:rsid w:val="00D460D9"/>
    <w:rsid w:val="00D47709"/>
    <w:rsid w:val="00D506C0"/>
    <w:rsid w:val="00D517B4"/>
    <w:rsid w:val="00D53894"/>
    <w:rsid w:val="00D53C6C"/>
    <w:rsid w:val="00D54876"/>
    <w:rsid w:val="00D54C45"/>
    <w:rsid w:val="00D54D4B"/>
    <w:rsid w:val="00D56F1D"/>
    <w:rsid w:val="00D60327"/>
    <w:rsid w:val="00D612BB"/>
    <w:rsid w:val="00D641C3"/>
    <w:rsid w:val="00D64981"/>
    <w:rsid w:val="00D650B5"/>
    <w:rsid w:val="00D65318"/>
    <w:rsid w:val="00D66C4F"/>
    <w:rsid w:val="00D679D8"/>
    <w:rsid w:val="00D7075B"/>
    <w:rsid w:val="00D710B9"/>
    <w:rsid w:val="00D71D22"/>
    <w:rsid w:val="00D72126"/>
    <w:rsid w:val="00D72E9D"/>
    <w:rsid w:val="00D73FA7"/>
    <w:rsid w:val="00D74765"/>
    <w:rsid w:val="00D7568C"/>
    <w:rsid w:val="00D757E1"/>
    <w:rsid w:val="00D7727A"/>
    <w:rsid w:val="00D82CE5"/>
    <w:rsid w:val="00D84FE0"/>
    <w:rsid w:val="00D85A25"/>
    <w:rsid w:val="00D85C8F"/>
    <w:rsid w:val="00D86474"/>
    <w:rsid w:val="00D87181"/>
    <w:rsid w:val="00D8736E"/>
    <w:rsid w:val="00D90EFA"/>
    <w:rsid w:val="00D914DB"/>
    <w:rsid w:val="00D92770"/>
    <w:rsid w:val="00D93287"/>
    <w:rsid w:val="00D94D04"/>
    <w:rsid w:val="00D95BD9"/>
    <w:rsid w:val="00D970D3"/>
    <w:rsid w:val="00D978B4"/>
    <w:rsid w:val="00D97DDD"/>
    <w:rsid w:val="00DA191E"/>
    <w:rsid w:val="00DA41EF"/>
    <w:rsid w:val="00DA583D"/>
    <w:rsid w:val="00DA5AB1"/>
    <w:rsid w:val="00DA77EC"/>
    <w:rsid w:val="00DA7B6E"/>
    <w:rsid w:val="00DA7CCA"/>
    <w:rsid w:val="00DB0DFA"/>
    <w:rsid w:val="00DB1542"/>
    <w:rsid w:val="00DB28B8"/>
    <w:rsid w:val="00DB3D31"/>
    <w:rsid w:val="00DB6234"/>
    <w:rsid w:val="00DB68F9"/>
    <w:rsid w:val="00DC02B2"/>
    <w:rsid w:val="00DC1562"/>
    <w:rsid w:val="00DC2AFD"/>
    <w:rsid w:val="00DC3544"/>
    <w:rsid w:val="00DC3A87"/>
    <w:rsid w:val="00DC4E41"/>
    <w:rsid w:val="00DC62E5"/>
    <w:rsid w:val="00DC743F"/>
    <w:rsid w:val="00DC78DC"/>
    <w:rsid w:val="00DD0BB0"/>
    <w:rsid w:val="00DD293E"/>
    <w:rsid w:val="00DD32A0"/>
    <w:rsid w:val="00DD3E02"/>
    <w:rsid w:val="00DD3E55"/>
    <w:rsid w:val="00DD451F"/>
    <w:rsid w:val="00DD47A2"/>
    <w:rsid w:val="00DD49C4"/>
    <w:rsid w:val="00DD5376"/>
    <w:rsid w:val="00DD54ED"/>
    <w:rsid w:val="00DD652D"/>
    <w:rsid w:val="00DD6845"/>
    <w:rsid w:val="00DD6847"/>
    <w:rsid w:val="00DD735D"/>
    <w:rsid w:val="00DD7FA8"/>
    <w:rsid w:val="00DE07A5"/>
    <w:rsid w:val="00DE247F"/>
    <w:rsid w:val="00DE308A"/>
    <w:rsid w:val="00DE3119"/>
    <w:rsid w:val="00DE3139"/>
    <w:rsid w:val="00DE3BBA"/>
    <w:rsid w:val="00DE5BCA"/>
    <w:rsid w:val="00DE6872"/>
    <w:rsid w:val="00DF0650"/>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19EA"/>
    <w:rsid w:val="00E02842"/>
    <w:rsid w:val="00E02B70"/>
    <w:rsid w:val="00E04A52"/>
    <w:rsid w:val="00E057C5"/>
    <w:rsid w:val="00E0677C"/>
    <w:rsid w:val="00E06A8D"/>
    <w:rsid w:val="00E10879"/>
    <w:rsid w:val="00E111EA"/>
    <w:rsid w:val="00E11408"/>
    <w:rsid w:val="00E13AB8"/>
    <w:rsid w:val="00E13D3F"/>
    <w:rsid w:val="00E1640E"/>
    <w:rsid w:val="00E16924"/>
    <w:rsid w:val="00E228D6"/>
    <w:rsid w:val="00E234D7"/>
    <w:rsid w:val="00E25CB3"/>
    <w:rsid w:val="00E27E15"/>
    <w:rsid w:val="00E3074B"/>
    <w:rsid w:val="00E31A47"/>
    <w:rsid w:val="00E32A49"/>
    <w:rsid w:val="00E33B62"/>
    <w:rsid w:val="00E34106"/>
    <w:rsid w:val="00E34DEB"/>
    <w:rsid w:val="00E354CF"/>
    <w:rsid w:val="00E356D7"/>
    <w:rsid w:val="00E359EB"/>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E0F"/>
    <w:rsid w:val="00E53B77"/>
    <w:rsid w:val="00E54365"/>
    <w:rsid w:val="00E5462E"/>
    <w:rsid w:val="00E56338"/>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300"/>
    <w:rsid w:val="00E81CD9"/>
    <w:rsid w:val="00E81FD0"/>
    <w:rsid w:val="00E84BEA"/>
    <w:rsid w:val="00E87FB5"/>
    <w:rsid w:val="00E90617"/>
    <w:rsid w:val="00E90847"/>
    <w:rsid w:val="00E91B88"/>
    <w:rsid w:val="00E9622C"/>
    <w:rsid w:val="00E96F1A"/>
    <w:rsid w:val="00EA04BE"/>
    <w:rsid w:val="00EA0C86"/>
    <w:rsid w:val="00EA1DB5"/>
    <w:rsid w:val="00EA2015"/>
    <w:rsid w:val="00EA2E7A"/>
    <w:rsid w:val="00EA3761"/>
    <w:rsid w:val="00EA3916"/>
    <w:rsid w:val="00EA3B8E"/>
    <w:rsid w:val="00EA4951"/>
    <w:rsid w:val="00EA620F"/>
    <w:rsid w:val="00EB03A0"/>
    <w:rsid w:val="00EB0D38"/>
    <w:rsid w:val="00EB23D0"/>
    <w:rsid w:val="00EB2CBD"/>
    <w:rsid w:val="00EB5263"/>
    <w:rsid w:val="00EB5408"/>
    <w:rsid w:val="00EB55EE"/>
    <w:rsid w:val="00EB5A79"/>
    <w:rsid w:val="00EB5E41"/>
    <w:rsid w:val="00EC2339"/>
    <w:rsid w:val="00EC5592"/>
    <w:rsid w:val="00EC5B1B"/>
    <w:rsid w:val="00EC77E0"/>
    <w:rsid w:val="00ED0181"/>
    <w:rsid w:val="00ED05A8"/>
    <w:rsid w:val="00ED0D83"/>
    <w:rsid w:val="00ED18C9"/>
    <w:rsid w:val="00ED1921"/>
    <w:rsid w:val="00ED1A5E"/>
    <w:rsid w:val="00ED21E1"/>
    <w:rsid w:val="00ED2C7A"/>
    <w:rsid w:val="00ED3136"/>
    <w:rsid w:val="00ED5E7E"/>
    <w:rsid w:val="00ED6D48"/>
    <w:rsid w:val="00ED716D"/>
    <w:rsid w:val="00EE084F"/>
    <w:rsid w:val="00EE2C9C"/>
    <w:rsid w:val="00EE336A"/>
    <w:rsid w:val="00EE3508"/>
    <w:rsid w:val="00EE4DB1"/>
    <w:rsid w:val="00EE55BB"/>
    <w:rsid w:val="00EE59B5"/>
    <w:rsid w:val="00EE64FF"/>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33A6"/>
    <w:rsid w:val="00F04156"/>
    <w:rsid w:val="00F04D40"/>
    <w:rsid w:val="00F05E5B"/>
    <w:rsid w:val="00F0608C"/>
    <w:rsid w:val="00F06296"/>
    <w:rsid w:val="00F06A29"/>
    <w:rsid w:val="00F074DD"/>
    <w:rsid w:val="00F0774D"/>
    <w:rsid w:val="00F077AE"/>
    <w:rsid w:val="00F10954"/>
    <w:rsid w:val="00F11955"/>
    <w:rsid w:val="00F11D29"/>
    <w:rsid w:val="00F128BC"/>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47A21"/>
    <w:rsid w:val="00F5101F"/>
    <w:rsid w:val="00F5123F"/>
    <w:rsid w:val="00F51E02"/>
    <w:rsid w:val="00F520D5"/>
    <w:rsid w:val="00F536CD"/>
    <w:rsid w:val="00F55F3A"/>
    <w:rsid w:val="00F574CC"/>
    <w:rsid w:val="00F6029C"/>
    <w:rsid w:val="00F6064F"/>
    <w:rsid w:val="00F61B1D"/>
    <w:rsid w:val="00F61C41"/>
    <w:rsid w:val="00F61F32"/>
    <w:rsid w:val="00F62963"/>
    <w:rsid w:val="00F64812"/>
    <w:rsid w:val="00F64BC2"/>
    <w:rsid w:val="00F65EC5"/>
    <w:rsid w:val="00F65FD5"/>
    <w:rsid w:val="00F6751F"/>
    <w:rsid w:val="00F73D70"/>
    <w:rsid w:val="00F75BAD"/>
    <w:rsid w:val="00F764CE"/>
    <w:rsid w:val="00F77855"/>
    <w:rsid w:val="00F80D0F"/>
    <w:rsid w:val="00F80E8A"/>
    <w:rsid w:val="00F84899"/>
    <w:rsid w:val="00F84F4F"/>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63A7"/>
    <w:rsid w:val="00FA6B54"/>
    <w:rsid w:val="00FB324F"/>
    <w:rsid w:val="00FB48C5"/>
    <w:rsid w:val="00FB5E3B"/>
    <w:rsid w:val="00FB5F23"/>
    <w:rsid w:val="00FC08AD"/>
    <w:rsid w:val="00FC16AE"/>
    <w:rsid w:val="00FC4AF7"/>
    <w:rsid w:val="00FC5EB6"/>
    <w:rsid w:val="00FD1C4A"/>
    <w:rsid w:val="00FD2088"/>
    <w:rsid w:val="00FD2829"/>
    <w:rsid w:val="00FD2EA3"/>
    <w:rsid w:val="00FD3F65"/>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capacidad_resid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34BD75A-A4CA-4FCC-AD53-A62EFC8174EA}">
  <ds:schemaRefs>
    <ds:schemaRef ds:uri="http://schemas.openxmlformats.org/officeDocument/2006/bibliography"/>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0B4C10EF-6D79-4B66-967C-A10EBDC6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3715</Words>
  <Characters>20434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2022-06-21T20:54:00Z</dcterms:created>
  <dcterms:modified xsi:type="dcterms:W3CDTF">2022-06-21T20:54:00Z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