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037F" w14:textId="77777777" w:rsidR="00E419C7" w:rsidRPr="00F95886" w:rsidRDefault="00E419C7" w:rsidP="00E419C7">
      <w:pPr>
        <w:jc w:val="right"/>
        <w:rPr>
          <w:rFonts w:ascii="Arial" w:hAnsi="Arial" w:cs="Arial"/>
          <w:b/>
          <w:color w:val="000000" w:themeColor="text1"/>
          <w:sz w:val="16"/>
          <w:szCs w:val="16"/>
          <w:lang w:eastAsia="es-ES"/>
        </w:rPr>
      </w:pPr>
      <w:bookmarkStart w:id="0" w:name="_Hlk28946138"/>
      <w:bookmarkStart w:id="1" w:name="_Hlk29548183"/>
      <w:r w:rsidRPr="00F95886">
        <w:rPr>
          <w:rFonts w:ascii="Arial" w:hAnsi="Arial" w:cs="Arial"/>
          <w:b/>
          <w:color w:val="000000" w:themeColor="text1"/>
          <w:sz w:val="21"/>
          <w:szCs w:val="21"/>
          <w:lang w:eastAsia="es-ES"/>
        </w:rPr>
        <w:tab/>
      </w:r>
      <w:r w:rsidRPr="00F95886">
        <w:rPr>
          <w:rFonts w:ascii="Arial" w:hAnsi="Arial" w:cs="Arial"/>
          <w:b/>
          <w:color w:val="000000" w:themeColor="text1"/>
          <w:sz w:val="16"/>
          <w:szCs w:val="16"/>
          <w:lang w:eastAsia="es-ES"/>
        </w:rPr>
        <w:t>CCE-DES-FM-17</w:t>
      </w:r>
    </w:p>
    <w:p w14:paraId="75200137" w14:textId="77777777" w:rsidR="00E419C7" w:rsidRPr="00685238" w:rsidRDefault="00E419C7" w:rsidP="00E419C7">
      <w:pPr>
        <w:jc w:val="both"/>
        <w:rPr>
          <w:rFonts w:ascii="Arial" w:eastAsia="Calibri" w:hAnsi="Arial" w:cs="Arial"/>
          <w:b/>
          <w:color w:val="000000" w:themeColor="text1"/>
          <w:sz w:val="16"/>
          <w:szCs w:val="16"/>
        </w:rPr>
      </w:pPr>
    </w:p>
    <w:p w14:paraId="67DB9DE1" w14:textId="65F2DD86" w:rsidR="00E419C7" w:rsidRPr="00F95886" w:rsidRDefault="00E419C7" w:rsidP="00E419C7">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R</w:t>
      </w:r>
      <w:r w:rsidR="000972D5">
        <w:rPr>
          <w:rFonts w:ascii="Arial" w:eastAsia="Calibri" w:hAnsi="Arial" w:cs="Arial"/>
          <w:b/>
          <w:bCs/>
          <w:color w:val="000000" w:themeColor="text1"/>
          <w:sz w:val="22"/>
          <w:lang w:val="es-ES_tradnl"/>
        </w:rPr>
        <w:t>É</w:t>
      </w:r>
      <w:r>
        <w:rPr>
          <w:rFonts w:ascii="Arial" w:eastAsia="Calibri" w:hAnsi="Arial" w:cs="Arial"/>
          <w:b/>
          <w:bCs/>
          <w:color w:val="000000" w:themeColor="text1"/>
          <w:sz w:val="22"/>
          <w:lang w:val="es-ES_tradnl"/>
        </w:rPr>
        <w:t xml:space="preserve">GIMEN DE </w:t>
      </w:r>
      <w:r w:rsidRPr="00F95886">
        <w:rPr>
          <w:rFonts w:ascii="Arial" w:eastAsia="Calibri" w:hAnsi="Arial" w:cs="Arial"/>
          <w:b/>
          <w:bCs/>
          <w:color w:val="000000" w:themeColor="text1"/>
          <w:sz w:val="22"/>
          <w:lang w:val="es-ES_tradnl"/>
        </w:rPr>
        <w:t xml:space="preserve">INHABILIDADES E INCOMPATIBILIDADES </w:t>
      </w:r>
      <w:r w:rsidRPr="00F95886">
        <w:rPr>
          <w:rFonts w:ascii="Arial" w:eastAsia="Calibri" w:hAnsi="Arial" w:cs="Arial"/>
          <w:b/>
          <w:color w:val="000000" w:themeColor="text1"/>
          <w:sz w:val="22"/>
        </w:rPr>
        <w:t>–</w:t>
      </w:r>
      <w:r w:rsidRPr="00F95886">
        <w:rPr>
          <w:rFonts w:ascii="Arial" w:eastAsia="Calibri" w:hAnsi="Arial" w:cs="Arial"/>
          <w:b/>
          <w:bCs/>
          <w:color w:val="000000" w:themeColor="text1"/>
          <w:sz w:val="22"/>
          <w:lang w:val="es-ES_tradnl"/>
        </w:rPr>
        <w:t xml:space="preserve"> Concepto </w:t>
      </w:r>
      <w:r w:rsidRPr="00F95886">
        <w:rPr>
          <w:rFonts w:ascii="Arial" w:eastAsia="Calibri" w:hAnsi="Arial" w:cs="Arial"/>
          <w:b/>
          <w:color w:val="000000" w:themeColor="text1"/>
          <w:sz w:val="22"/>
        </w:rPr>
        <w:t>–</w:t>
      </w:r>
      <w:r w:rsidRPr="00F95886">
        <w:rPr>
          <w:rFonts w:ascii="Arial" w:eastAsia="Calibri" w:hAnsi="Arial" w:cs="Arial"/>
          <w:b/>
          <w:bCs/>
          <w:color w:val="000000" w:themeColor="text1"/>
          <w:sz w:val="22"/>
          <w:lang w:val="es-ES_tradnl"/>
        </w:rPr>
        <w:t xml:space="preserve"> Principio de legalidad </w:t>
      </w:r>
      <w:r w:rsidRPr="00F95886">
        <w:rPr>
          <w:rFonts w:ascii="Arial" w:eastAsia="Calibri" w:hAnsi="Arial" w:cs="Arial"/>
          <w:b/>
          <w:color w:val="000000" w:themeColor="text1"/>
          <w:sz w:val="22"/>
        </w:rPr>
        <w:t>–</w:t>
      </w:r>
      <w:r w:rsidRPr="00F95886">
        <w:rPr>
          <w:rFonts w:ascii="Arial" w:eastAsia="Calibri" w:hAnsi="Arial" w:cs="Arial"/>
          <w:b/>
          <w:bCs/>
          <w:color w:val="000000" w:themeColor="text1"/>
          <w:sz w:val="22"/>
          <w:lang w:val="es-ES_tradnl"/>
        </w:rPr>
        <w:t xml:space="preserve"> Interpretación restrictiva</w:t>
      </w:r>
    </w:p>
    <w:p w14:paraId="6F44A72A" w14:textId="77777777" w:rsidR="00E419C7" w:rsidRPr="00F95886" w:rsidRDefault="00E419C7" w:rsidP="00E419C7">
      <w:pPr>
        <w:jc w:val="both"/>
        <w:rPr>
          <w:rFonts w:ascii="Arial" w:eastAsia="Calibri" w:hAnsi="Arial" w:cs="Arial"/>
          <w:b/>
          <w:bCs/>
          <w:color w:val="000000" w:themeColor="text1"/>
          <w:sz w:val="20"/>
          <w:szCs w:val="20"/>
          <w:lang w:val="es-ES_tradnl"/>
        </w:rPr>
      </w:pPr>
    </w:p>
    <w:p w14:paraId="1D5E424D" w14:textId="31FAC502" w:rsidR="00E419C7" w:rsidRDefault="00E419C7" w:rsidP="00612C7B">
      <w:pPr>
        <w:jc w:val="both"/>
        <w:rPr>
          <w:rFonts w:ascii="Arial" w:eastAsia="Calibri" w:hAnsi="Arial" w:cs="Arial"/>
          <w:color w:val="000000" w:themeColor="text1"/>
          <w:sz w:val="20"/>
          <w:szCs w:val="20"/>
          <w:lang w:val="es-ES_tradnl"/>
        </w:rPr>
      </w:pPr>
      <w:r w:rsidRPr="00F95886">
        <w:rPr>
          <w:rFonts w:ascii="Arial" w:eastAsia="Calibri" w:hAnsi="Arial" w:cs="Arial"/>
          <w:color w:val="000000" w:themeColor="text1"/>
          <w:sz w:val="20"/>
          <w:szCs w:val="20"/>
          <w:lang w:val="es-ES_tradnl"/>
        </w:rPr>
        <w:t xml:space="preserve">Las </w:t>
      </w:r>
      <w:r w:rsidRPr="00F95886">
        <w:rPr>
          <w:rFonts w:ascii="Arial" w:eastAsia="Calibri" w:hAnsi="Arial" w:cs="Arial"/>
          <w:i/>
          <w:iCs/>
          <w:color w:val="000000" w:themeColor="text1"/>
          <w:sz w:val="20"/>
          <w:szCs w:val="20"/>
          <w:lang w:val="es-ES_tradnl"/>
        </w:rPr>
        <w:t>inhabilidades</w:t>
      </w:r>
      <w:r w:rsidRPr="00F95886">
        <w:rPr>
          <w:rFonts w:ascii="Arial" w:eastAsia="Calibri" w:hAnsi="Arial" w:cs="Arial"/>
          <w:color w:val="000000" w:themeColor="text1"/>
          <w:sz w:val="20"/>
          <w:szCs w:val="20"/>
          <w:lang w:val="es-ES_tradnl"/>
        </w:rPr>
        <w:t xml:space="preserve"> son prohibiciones para concurrir a los procedimientos de selección y para contratar con el Estado, que se derivan</w:t>
      </w:r>
      <w:r w:rsidR="009B084E">
        <w:rPr>
          <w:rFonts w:ascii="Arial" w:eastAsia="Calibri" w:hAnsi="Arial" w:cs="Arial"/>
          <w:color w:val="000000" w:themeColor="text1"/>
          <w:sz w:val="20"/>
          <w:szCs w:val="20"/>
          <w:lang w:val="es-ES_tradnl"/>
        </w:rPr>
        <w:t xml:space="preserve"> de</w:t>
      </w:r>
      <w:r w:rsidRPr="00F95886">
        <w:rPr>
          <w:rFonts w:ascii="Arial" w:eastAsia="Calibri" w:hAnsi="Arial" w:cs="Arial"/>
          <w:color w:val="000000" w:themeColor="text1"/>
          <w:sz w:val="20"/>
          <w:szCs w:val="20"/>
          <w:lang w:val="es-ES_tradnl"/>
        </w:rPr>
        <w:t xml:space="preserve"> i) de la existencia de comportamientos reprochables o de sanciones anteriormente impuestas, </w:t>
      </w:r>
      <w:proofErr w:type="spellStart"/>
      <w:r w:rsidRPr="00F95886">
        <w:rPr>
          <w:rFonts w:ascii="Arial" w:eastAsia="Calibri" w:hAnsi="Arial" w:cs="Arial"/>
          <w:color w:val="000000" w:themeColor="text1"/>
          <w:sz w:val="20"/>
          <w:szCs w:val="20"/>
          <w:lang w:val="es-ES_tradnl"/>
        </w:rPr>
        <w:t>ii</w:t>
      </w:r>
      <w:proofErr w:type="spellEnd"/>
      <w:r w:rsidRPr="00F95886">
        <w:rPr>
          <w:rFonts w:ascii="Arial" w:eastAsia="Calibri" w:hAnsi="Arial" w:cs="Arial"/>
          <w:color w:val="000000" w:themeColor="text1"/>
          <w:sz w:val="20"/>
          <w:szCs w:val="20"/>
          <w:lang w:val="es-ES_tradnl"/>
        </w:rPr>
        <w:t xml:space="preserve">) de vínculos personales relativos al parentesco o al estado civil o </w:t>
      </w:r>
      <w:proofErr w:type="spellStart"/>
      <w:r w:rsidRPr="00F95886">
        <w:rPr>
          <w:rFonts w:ascii="Arial" w:eastAsia="Calibri" w:hAnsi="Arial" w:cs="Arial"/>
          <w:color w:val="000000" w:themeColor="text1"/>
          <w:sz w:val="20"/>
          <w:szCs w:val="20"/>
          <w:lang w:val="es-ES_tradnl"/>
        </w:rPr>
        <w:t>iii</w:t>
      </w:r>
      <w:proofErr w:type="spellEnd"/>
      <w:r w:rsidRPr="00F95886">
        <w:rPr>
          <w:rFonts w:ascii="Arial" w:eastAsia="Calibri" w:hAnsi="Arial" w:cs="Arial"/>
          <w:color w:val="000000" w:themeColor="text1"/>
          <w:sz w:val="20"/>
          <w:szCs w:val="20"/>
          <w:lang w:val="es-ES_tradnl"/>
        </w:rPr>
        <w:t xml:space="preserve">) de una actividad u oficio que se desempeñó en el pasado. De otro lado, las </w:t>
      </w:r>
      <w:r w:rsidRPr="00F95886">
        <w:rPr>
          <w:rFonts w:ascii="Arial" w:eastAsia="Calibri" w:hAnsi="Arial" w:cs="Arial"/>
          <w:i/>
          <w:iCs/>
          <w:color w:val="000000" w:themeColor="text1"/>
          <w:sz w:val="20"/>
          <w:szCs w:val="20"/>
          <w:lang w:val="es-ES_tradnl"/>
        </w:rPr>
        <w:t>incompatibilidades</w:t>
      </w:r>
      <w:r w:rsidRPr="00F95886">
        <w:rPr>
          <w:rFonts w:ascii="Arial" w:eastAsia="Calibri" w:hAnsi="Arial" w:cs="Arial"/>
          <w:color w:val="000000" w:themeColor="text1"/>
          <w:sz w:val="20"/>
          <w:szCs w:val="20"/>
          <w:lang w:val="es-ES_tradn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6185F330" w14:textId="77777777" w:rsidR="001A1DAC" w:rsidRDefault="001A1DAC" w:rsidP="00612C7B">
      <w:pPr>
        <w:jc w:val="both"/>
        <w:rPr>
          <w:rFonts w:ascii="Arial" w:eastAsia="Calibri" w:hAnsi="Arial" w:cs="Arial"/>
          <w:color w:val="000000" w:themeColor="text1"/>
          <w:sz w:val="20"/>
          <w:szCs w:val="20"/>
          <w:lang w:val="es-ES_tradnl"/>
        </w:rPr>
      </w:pPr>
    </w:p>
    <w:p w14:paraId="0E064715" w14:textId="77777777" w:rsidR="00BA4820" w:rsidRPr="004F5DE5" w:rsidRDefault="00BA4820" w:rsidP="00BA482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INHABILIDADES ― Interpretación restrictiva ― </w:t>
      </w:r>
      <w:r w:rsidRPr="004F5DE5">
        <w:rPr>
          <w:rFonts w:ascii="Arial" w:eastAsia="Calibri" w:hAnsi="Arial" w:cs="Arial"/>
          <w:b/>
          <w:bCs/>
          <w:color w:val="000000" w:themeColor="text1"/>
          <w:sz w:val="22"/>
          <w:lang w:val="es-ES_tradnl"/>
        </w:rPr>
        <w:t xml:space="preserve">Principio </w:t>
      </w:r>
      <w:r w:rsidRPr="004F5DE5">
        <w:rPr>
          <w:rFonts w:ascii="Arial" w:eastAsia="Calibri" w:hAnsi="Arial" w:cs="Arial"/>
          <w:b/>
          <w:bCs/>
          <w:i/>
          <w:iCs/>
          <w:color w:val="000000" w:themeColor="text1"/>
          <w:sz w:val="22"/>
          <w:lang w:val="es-ES_tradnl"/>
        </w:rPr>
        <w:t xml:space="preserve">pro </w:t>
      </w:r>
      <w:proofErr w:type="spellStart"/>
      <w:r w:rsidRPr="004F5DE5">
        <w:rPr>
          <w:rFonts w:ascii="Arial" w:eastAsia="Calibri" w:hAnsi="Arial" w:cs="Arial"/>
          <w:b/>
          <w:bCs/>
          <w:i/>
          <w:iCs/>
          <w:color w:val="000000" w:themeColor="text1"/>
          <w:sz w:val="22"/>
          <w:lang w:val="es-ES_tradnl"/>
        </w:rPr>
        <w:t>libertate</w:t>
      </w:r>
      <w:proofErr w:type="spellEnd"/>
    </w:p>
    <w:p w14:paraId="335148E4" w14:textId="77777777" w:rsidR="001A1DAC" w:rsidRPr="004F5DE5" w:rsidRDefault="001A1DAC" w:rsidP="00612C7B">
      <w:pPr>
        <w:jc w:val="both"/>
        <w:rPr>
          <w:rFonts w:ascii="Arial" w:eastAsia="Calibri" w:hAnsi="Arial" w:cs="Arial"/>
          <w:color w:val="000000" w:themeColor="text1"/>
          <w:sz w:val="20"/>
          <w:szCs w:val="20"/>
          <w:lang w:val="es-ES_tradnl"/>
        </w:rPr>
      </w:pPr>
    </w:p>
    <w:p w14:paraId="6FB60872" w14:textId="0359BDEF" w:rsidR="00E419C7" w:rsidRPr="004F5DE5" w:rsidRDefault="00020D3A" w:rsidP="00612C7B">
      <w:pPr>
        <w:jc w:val="both"/>
        <w:rPr>
          <w:rFonts w:ascii="Arial" w:eastAsia="Calibri" w:hAnsi="Arial" w:cs="Arial"/>
          <w:color w:val="000000" w:themeColor="text1"/>
          <w:sz w:val="20"/>
          <w:szCs w:val="20"/>
          <w:lang w:val="es-ES_tradnl"/>
        </w:rPr>
      </w:pPr>
      <w:r w:rsidRPr="00020D3A">
        <w:rPr>
          <w:rFonts w:ascii="Arial" w:eastAsia="Calibri" w:hAnsi="Arial" w:cs="Arial"/>
          <w:color w:val="000000" w:themeColor="text1"/>
          <w:sz w:val="20"/>
          <w:szCs w:val="20"/>
          <w:lang w:val="es-ES_tradnl"/>
        </w:rPr>
        <w:t>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w:t>
      </w:r>
      <w:r>
        <w:rPr>
          <w:rFonts w:ascii="Arial" w:eastAsia="Calibri" w:hAnsi="Arial" w:cs="Arial"/>
          <w:color w:val="000000" w:themeColor="text1"/>
          <w:sz w:val="20"/>
          <w:szCs w:val="20"/>
          <w:lang w:val="es-ES_tradnl"/>
        </w:rPr>
        <w:t>.</w:t>
      </w:r>
    </w:p>
    <w:p w14:paraId="356EFD2B" w14:textId="0E05F554" w:rsidR="00E419C7" w:rsidRPr="004F5DE5" w:rsidRDefault="00E419C7" w:rsidP="00E419C7">
      <w:pPr>
        <w:jc w:val="both"/>
        <w:rPr>
          <w:rFonts w:ascii="Arial" w:eastAsia="Calibri" w:hAnsi="Arial" w:cs="Arial"/>
          <w:color w:val="000000" w:themeColor="text1"/>
          <w:sz w:val="20"/>
          <w:szCs w:val="20"/>
          <w:lang w:val="es-ES_tradnl"/>
        </w:rPr>
      </w:pPr>
    </w:p>
    <w:p w14:paraId="68146074" w14:textId="77777777" w:rsidR="00B47318" w:rsidRDefault="00B47318" w:rsidP="00B47318">
      <w:pPr>
        <w:jc w:val="both"/>
        <w:rPr>
          <w:rFonts w:ascii="Arial" w:eastAsia="Calibri" w:hAnsi="Arial" w:cs="Arial"/>
          <w:color w:val="000000" w:themeColor="text1"/>
          <w:sz w:val="20"/>
          <w:szCs w:val="20"/>
          <w:lang w:val="es-ES_tradnl"/>
        </w:rPr>
      </w:pPr>
      <w:r w:rsidRPr="004F5DE5">
        <w:rPr>
          <w:rFonts w:ascii="Arial" w:eastAsia="Calibri" w:hAnsi="Arial" w:cs="Arial"/>
          <w:color w:val="000000" w:themeColor="text1"/>
          <w:sz w:val="20"/>
          <w:szCs w:val="20"/>
          <w:lang w:val="es-ES_tradnl"/>
        </w:rPr>
        <w:t xml:space="preserve">Como se aprecia, el principio </w:t>
      </w:r>
      <w:r w:rsidRPr="004F5DE5">
        <w:rPr>
          <w:rFonts w:ascii="Arial" w:eastAsia="Calibri" w:hAnsi="Arial" w:cs="Arial"/>
          <w:i/>
          <w:iCs/>
          <w:color w:val="000000" w:themeColor="text1"/>
          <w:sz w:val="20"/>
          <w:szCs w:val="20"/>
          <w:lang w:val="es-ES_tradnl"/>
        </w:rPr>
        <w:t xml:space="preserve">pro </w:t>
      </w:r>
      <w:proofErr w:type="spellStart"/>
      <w:r w:rsidRPr="004F5DE5">
        <w:rPr>
          <w:rFonts w:ascii="Arial" w:eastAsia="Calibri" w:hAnsi="Arial" w:cs="Arial"/>
          <w:i/>
          <w:iCs/>
          <w:color w:val="000000" w:themeColor="text1"/>
          <w:sz w:val="20"/>
          <w:szCs w:val="20"/>
          <w:lang w:val="es-ES_tradnl"/>
        </w:rPr>
        <w:t>libertate</w:t>
      </w:r>
      <w:proofErr w:type="spellEnd"/>
      <w:r w:rsidRPr="004F5DE5">
        <w:rPr>
          <w:rFonts w:ascii="Arial" w:eastAsia="Calibri" w:hAnsi="Arial" w:cs="Arial"/>
          <w:color w:val="000000" w:themeColor="text1"/>
          <w:sz w:val="20"/>
          <w:szCs w:val="20"/>
          <w:lang w:val="es-ES_tradnl"/>
        </w:rPr>
        <w:t xml:space="preserve"> es el que debe dirigir la interpretación de las disposiciones normativas que consagran restricciones de derechos, como sucede con las causales de inhabilidad e incompatibilidad en la contratación estatal.</w:t>
      </w:r>
      <w:r w:rsidRPr="00F11461">
        <w:rPr>
          <w:rFonts w:ascii="Arial" w:eastAsia="Calibri" w:hAnsi="Arial" w:cs="Arial"/>
          <w:color w:val="000000" w:themeColor="text1"/>
          <w:sz w:val="20"/>
          <w:szCs w:val="20"/>
          <w:lang w:val="es-ES_tradnl"/>
        </w:rPr>
        <w:t xml:space="preserve"> </w:t>
      </w:r>
    </w:p>
    <w:p w14:paraId="15A14D04" w14:textId="77777777" w:rsidR="00B47318" w:rsidRPr="00F95886" w:rsidRDefault="00B47318" w:rsidP="00E419C7">
      <w:pPr>
        <w:jc w:val="both"/>
        <w:rPr>
          <w:rFonts w:ascii="Arial" w:eastAsia="Calibri" w:hAnsi="Arial" w:cs="Arial"/>
          <w:color w:val="000000" w:themeColor="text1"/>
          <w:sz w:val="20"/>
          <w:szCs w:val="20"/>
          <w:lang w:val="es-ES_tradnl"/>
        </w:rPr>
      </w:pPr>
    </w:p>
    <w:p w14:paraId="7DF328EB" w14:textId="11CEF348" w:rsidR="00E419C7" w:rsidRPr="00524DA0" w:rsidRDefault="00E419C7" w:rsidP="00E419C7">
      <w:pPr>
        <w:jc w:val="both"/>
        <w:rPr>
          <w:rFonts w:ascii="Arial" w:hAnsi="Arial" w:cs="Arial"/>
          <w:b/>
          <w:bCs/>
          <w:color w:val="000000" w:themeColor="text1"/>
          <w:sz w:val="22"/>
          <w:lang w:val="es-ES_tradnl"/>
        </w:rPr>
      </w:pPr>
      <w:r w:rsidRPr="00524DA0">
        <w:rPr>
          <w:rFonts w:ascii="Arial" w:hAnsi="Arial" w:cs="Arial"/>
          <w:b/>
          <w:bCs/>
          <w:color w:val="000000" w:themeColor="text1"/>
          <w:sz w:val="22"/>
          <w:lang w:val="es-ES_tradnl"/>
        </w:rPr>
        <w:t xml:space="preserve">CONTRATO DE PRESTACIÓN DE SERVICIOS PROFESIONALES </w:t>
      </w:r>
      <w:r w:rsidRPr="00524DA0">
        <w:rPr>
          <w:rFonts w:ascii="Arial" w:eastAsia="Calibri" w:hAnsi="Arial" w:cs="Arial"/>
          <w:b/>
          <w:color w:val="000000" w:themeColor="text1"/>
          <w:sz w:val="22"/>
        </w:rPr>
        <w:t>–</w:t>
      </w:r>
      <w:r w:rsidRPr="00524DA0">
        <w:rPr>
          <w:rFonts w:ascii="Arial" w:hAnsi="Arial" w:cs="Arial"/>
          <w:b/>
          <w:bCs/>
          <w:color w:val="000000" w:themeColor="text1"/>
          <w:sz w:val="22"/>
          <w:lang w:val="es-ES_tradnl"/>
        </w:rPr>
        <w:t xml:space="preserve"> Concepto </w:t>
      </w:r>
      <w:r w:rsidRPr="00524DA0">
        <w:rPr>
          <w:rFonts w:ascii="Arial" w:eastAsia="Calibri" w:hAnsi="Arial" w:cs="Arial"/>
          <w:b/>
          <w:color w:val="000000" w:themeColor="text1"/>
          <w:sz w:val="22"/>
        </w:rPr>
        <w:t>–</w:t>
      </w:r>
      <w:r w:rsidRPr="00524DA0">
        <w:rPr>
          <w:rFonts w:ascii="Arial" w:hAnsi="Arial" w:cs="Arial"/>
          <w:b/>
          <w:bCs/>
          <w:color w:val="000000" w:themeColor="text1"/>
          <w:sz w:val="22"/>
          <w:lang w:val="es-ES_tradnl"/>
        </w:rPr>
        <w:t xml:space="preserve"> </w:t>
      </w:r>
      <w:r w:rsidR="000C79C2" w:rsidRPr="00524DA0">
        <w:rPr>
          <w:rFonts w:ascii="Arial" w:hAnsi="Arial" w:cs="Arial"/>
          <w:b/>
          <w:bCs/>
          <w:color w:val="000000" w:themeColor="text1"/>
          <w:sz w:val="22"/>
          <w:lang w:val="es-ES_tradnl"/>
        </w:rPr>
        <w:t>Objeto</w:t>
      </w:r>
    </w:p>
    <w:p w14:paraId="7475B874" w14:textId="0D218C55" w:rsidR="00E419C7" w:rsidRPr="00524DA0" w:rsidRDefault="00E419C7" w:rsidP="00E419C7">
      <w:pPr>
        <w:jc w:val="both"/>
        <w:rPr>
          <w:rFonts w:ascii="Arial" w:hAnsi="Arial" w:cs="Arial"/>
          <w:color w:val="000000" w:themeColor="text1"/>
          <w:sz w:val="20"/>
          <w:szCs w:val="20"/>
          <w:lang w:val="es-ES_tradnl"/>
        </w:rPr>
      </w:pPr>
    </w:p>
    <w:p w14:paraId="5B114B14" w14:textId="79390EB6" w:rsidR="000C79C2" w:rsidRPr="000C79C2" w:rsidRDefault="000C79C2" w:rsidP="00E419C7">
      <w:pPr>
        <w:jc w:val="both"/>
        <w:rPr>
          <w:rFonts w:ascii="Arial" w:eastAsia="Calibri" w:hAnsi="Arial" w:cs="Arial"/>
          <w:sz w:val="20"/>
          <w:szCs w:val="20"/>
          <w:lang w:val="es-ES_tradnl"/>
        </w:rPr>
      </w:pPr>
      <w:r w:rsidRPr="00524DA0">
        <w:rPr>
          <w:rFonts w:ascii="Arial" w:eastAsia="Calibri" w:hAnsi="Arial" w:cs="Arial"/>
          <w:sz w:val="20"/>
          <w:szCs w:val="20"/>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524DA0">
        <w:rPr>
          <w:rFonts w:ascii="Arial" w:eastAsia="Calibri" w:hAnsi="Arial" w:cs="Arial"/>
          <w:sz w:val="20"/>
          <w:szCs w:val="20"/>
          <w:lang w:val="es-ES_tradnl"/>
        </w:rPr>
        <w:t xml:space="preserve"> La celebración de dicho contrato debe efectuarse a través de la modalidad de contratación directa.</w:t>
      </w:r>
      <w:r>
        <w:rPr>
          <w:rFonts w:ascii="Arial" w:eastAsia="Calibri" w:hAnsi="Arial" w:cs="Arial"/>
          <w:sz w:val="20"/>
          <w:szCs w:val="20"/>
          <w:lang w:val="es-ES_tradnl"/>
        </w:rPr>
        <w:t xml:space="preserve"> </w:t>
      </w:r>
    </w:p>
    <w:p w14:paraId="1100588C" w14:textId="77777777" w:rsidR="00E419C7" w:rsidRPr="00F95886" w:rsidRDefault="00E419C7" w:rsidP="00E419C7">
      <w:pPr>
        <w:jc w:val="both"/>
        <w:rPr>
          <w:rFonts w:ascii="Arial" w:hAnsi="Arial" w:cs="Arial"/>
          <w:color w:val="000000" w:themeColor="text1"/>
          <w:sz w:val="20"/>
          <w:szCs w:val="20"/>
          <w:lang w:val="es-ES_tradnl"/>
        </w:rPr>
      </w:pPr>
    </w:p>
    <w:p w14:paraId="50B90578" w14:textId="77777777" w:rsidR="007868EA" w:rsidRPr="002240E7" w:rsidRDefault="007868EA" w:rsidP="007868EA">
      <w:pPr>
        <w:jc w:val="both"/>
        <w:rPr>
          <w:rFonts w:ascii="Arial" w:eastAsia="Calibri" w:hAnsi="Arial" w:cs="Arial"/>
          <w:b/>
          <w:color w:val="000000" w:themeColor="text1"/>
          <w:sz w:val="22"/>
          <w:lang w:val="es-ES_tradnl"/>
        </w:rPr>
      </w:pPr>
      <w:r w:rsidRPr="002240E7">
        <w:rPr>
          <w:rFonts w:ascii="Arial" w:eastAsia="Calibri" w:hAnsi="Arial" w:cs="Arial"/>
          <w:b/>
          <w:sz w:val="22"/>
          <w:lang w:val="es-ES_tradnl"/>
        </w:rPr>
        <w:t xml:space="preserve">CONTRATO DE PRESTACIÓN DE SERVICIOS </w:t>
      </w:r>
      <w:r w:rsidRPr="002240E7">
        <w:rPr>
          <w:rFonts w:ascii="Arial" w:eastAsia="Calibri" w:hAnsi="Arial" w:cs="Arial"/>
          <w:b/>
          <w:color w:val="000000" w:themeColor="text1"/>
          <w:sz w:val="22"/>
          <w:lang w:val="es-ES_tradnl"/>
        </w:rPr>
        <w:t xml:space="preserve">– Género – </w:t>
      </w:r>
      <w:r w:rsidRPr="002240E7">
        <w:rPr>
          <w:rFonts w:ascii="Arial" w:eastAsia="Calibri" w:hAnsi="Arial" w:cs="Arial"/>
          <w:b/>
          <w:sz w:val="22"/>
          <w:lang w:val="es-ES_tradnl"/>
        </w:rPr>
        <w:t xml:space="preserve">Servicios Profesionales </w:t>
      </w:r>
      <w:r w:rsidRPr="002240E7">
        <w:rPr>
          <w:rFonts w:ascii="Arial" w:eastAsia="Calibri" w:hAnsi="Arial" w:cs="Arial"/>
          <w:b/>
          <w:color w:val="000000" w:themeColor="text1"/>
          <w:sz w:val="22"/>
          <w:lang w:val="es-ES_tradnl"/>
        </w:rPr>
        <w:t>–</w:t>
      </w:r>
      <w:r w:rsidRPr="002240E7">
        <w:rPr>
          <w:rFonts w:ascii="Arial" w:eastAsia="Calibri" w:hAnsi="Arial" w:cs="Arial"/>
          <w:b/>
          <w:sz w:val="22"/>
          <w:lang w:val="es-ES_tradnl"/>
        </w:rPr>
        <w:t xml:space="preserve">Apoyo a la gestión </w:t>
      </w:r>
      <w:r w:rsidRPr="002240E7">
        <w:rPr>
          <w:rFonts w:ascii="Arial" w:eastAsia="Calibri" w:hAnsi="Arial" w:cs="Arial"/>
          <w:b/>
          <w:color w:val="000000" w:themeColor="text1"/>
          <w:sz w:val="22"/>
          <w:lang w:val="es-ES_tradnl"/>
        </w:rPr>
        <w:t xml:space="preserve">– Trabajos artísticos – Especie </w:t>
      </w:r>
    </w:p>
    <w:p w14:paraId="6513B1BF" w14:textId="77777777" w:rsidR="007868EA" w:rsidRPr="002240E7" w:rsidRDefault="007868EA" w:rsidP="007868EA">
      <w:pPr>
        <w:jc w:val="both"/>
        <w:rPr>
          <w:rFonts w:ascii="Arial" w:eastAsia="Calibri" w:hAnsi="Arial" w:cs="Arial"/>
          <w:b/>
          <w:bCs/>
          <w:color w:val="000000" w:themeColor="text1"/>
          <w:sz w:val="22"/>
        </w:rPr>
      </w:pPr>
    </w:p>
    <w:p w14:paraId="3F96CE78" w14:textId="77777777" w:rsidR="007868EA" w:rsidRPr="002240E7" w:rsidRDefault="007868EA" w:rsidP="007868EA">
      <w:pPr>
        <w:jc w:val="both"/>
        <w:rPr>
          <w:rFonts w:ascii="Arial" w:eastAsia="Calibri" w:hAnsi="Arial" w:cs="Arial"/>
          <w:i/>
          <w:iCs/>
          <w:sz w:val="20"/>
          <w:szCs w:val="20"/>
          <w:lang w:val="es-ES_tradnl"/>
        </w:rPr>
      </w:pPr>
      <w:r w:rsidRPr="002240E7">
        <w:rPr>
          <w:rFonts w:ascii="Arial" w:eastAsia="Calibri" w:hAnsi="Arial" w:cs="Arial"/>
          <w:sz w:val="20"/>
          <w:szCs w:val="20"/>
        </w:rPr>
        <w:t xml:space="preserve">Como especies del género </w:t>
      </w:r>
      <w:r w:rsidRPr="002240E7">
        <w:rPr>
          <w:rFonts w:ascii="Arial" w:eastAsia="Calibri" w:hAnsi="Arial" w:cs="Arial"/>
          <w:i/>
          <w:sz w:val="20"/>
          <w:szCs w:val="20"/>
        </w:rPr>
        <w:t>prestación de servicios,</w:t>
      </w:r>
      <w:r w:rsidRPr="002240E7">
        <w:rPr>
          <w:rFonts w:ascii="Arial" w:eastAsia="Calibri" w:hAnsi="Arial" w:cs="Arial"/>
          <w:sz w:val="20"/>
          <w:szCs w:val="20"/>
        </w:rPr>
        <w:t xml:space="preserve"> se incluyen </w:t>
      </w:r>
      <w:r w:rsidRPr="002240E7">
        <w:rPr>
          <w:rFonts w:ascii="Arial" w:eastAsia="Calibri" w:hAnsi="Arial" w:cs="Arial"/>
          <w:sz w:val="20"/>
          <w:szCs w:val="20"/>
          <w:lang w:val="es-ES_tradnl"/>
        </w:rPr>
        <w:t xml:space="preserve">los </w:t>
      </w:r>
      <w:r w:rsidRPr="002240E7">
        <w:rPr>
          <w:rFonts w:ascii="Arial" w:eastAsia="Calibri" w:hAnsi="Arial" w:cs="Arial"/>
          <w:i/>
          <w:iCs/>
          <w:sz w:val="20"/>
          <w:szCs w:val="20"/>
          <w:lang w:val="es-ES_tradnl"/>
        </w:rPr>
        <w:t>contratos de prestación de servicios profesionales, los contratos de prestación de servicios apoyo a la gestión</w:t>
      </w:r>
      <w:r w:rsidRPr="002240E7">
        <w:rPr>
          <w:rFonts w:ascii="Arial" w:eastAsia="Calibri" w:hAnsi="Arial" w:cs="Arial"/>
          <w:sz w:val="20"/>
          <w:szCs w:val="20"/>
          <w:lang w:val="es-ES_tradnl"/>
        </w:rPr>
        <w:t xml:space="preserve"> y los </w:t>
      </w:r>
      <w:r w:rsidRPr="002240E7">
        <w:rPr>
          <w:rFonts w:ascii="Arial" w:eastAsia="Calibri" w:hAnsi="Arial" w:cs="Arial"/>
          <w:i/>
          <w:iCs/>
          <w:sz w:val="20"/>
          <w:szCs w:val="20"/>
          <w:lang w:val="es-ES_tradnl"/>
        </w:rPr>
        <w:t xml:space="preserve">contratos de prestación de servicios artísticos que solo pueden encomendarse a determinadas personas naturales. […] </w:t>
      </w:r>
    </w:p>
    <w:p w14:paraId="177BA285" w14:textId="77777777" w:rsidR="007868EA" w:rsidRPr="002240E7" w:rsidRDefault="007868EA" w:rsidP="007868EA">
      <w:pPr>
        <w:jc w:val="both"/>
        <w:rPr>
          <w:rFonts w:ascii="Arial" w:eastAsia="Calibri" w:hAnsi="Arial" w:cs="Arial"/>
          <w:sz w:val="20"/>
          <w:szCs w:val="20"/>
          <w:lang w:val="es-ES_tradnl"/>
        </w:rPr>
      </w:pPr>
    </w:p>
    <w:p w14:paraId="7D168262" w14:textId="51F92B3F" w:rsidR="007868EA" w:rsidRPr="00F11461" w:rsidRDefault="007868EA" w:rsidP="007868EA">
      <w:pPr>
        <w:jc w:val="both"/>
        <w:rPr>
          <w:rFonts w:ascii="Arial" w:eastAsia="Calibri" w:hAnsi="Arial" w:cs="Arial"/>
          <w:sz w:val="20"/>
          <w:szCs w:val="20"/>
        </w:rPr>
      </w:pPr>
      <w:r w:rsidRPr="002240E7">
        <w:rPr>
          <w:rFonts w:ascii="Arial" w:eastAsia="Calibri" w:hAnsi="Arial" w:cs="Arial"/>
          <w:sz w:val="20"/>
          <w:szCs w:val="20"/>
          <w:lang w:val="es-ES_tradnl"/>
        </w:rPr>
        <w:t xml:space="preserve">En este sentido, el contrato de prestación de servicios </w:t>
      </w:r>
      <w:r w:rsidRPr="002240E7">
        <w:rPr>
          <w:rFonts w:ascii="Arial" w:eastAsia="Calibri" w:hAnsi="Arial" w:cs="Arial"/>
          <w:i/>
          <w:iCs/>
          <w:sz w:val="20"/>
          <w:szCs w:val="20"/>
          <w:lang w:val="es-ES_tradnl"/>
        </w:rPr>
        <w:t>profesionales</w:t>
      </w:r>
      <w:r w:rsidRPr="002240E7">
        <w:rPr>
          <w:rFonts w:ascii="Arial" w:eastAsia="Calibri" w:hAnsi="Arial" w:cs="Arial"/>
          <w:sz w:val="20"/>
          <w:szCs w:val="20"/>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2240E7">
        <w:rPr>
          <w:rFonts w:ascii="Arial" w:eastAsia="Calibri" w:hAnsi="Arial" w:cs="Arial"/>
          <w:i/>
          <w:iCs/>
          <w:sz w:val="20"/>
          <w:szCs w:val="20"/>
          <w:lang w:val="es-ES_tradnl"/>
        </w:rPr>
        <w:t>saber intelectivo cualificado.</w:t>
      </w:r>
      <w:r w:rsidRPr="002240E7">
        <w:rPr>
          <w:rFonts w:ascii="Arial" w:eastAsia="Calibri" w:hAnsi="Arial" w:cs="Arial"/>
          <w:sz w:val="20"/>
          <w:szCs w:val="20"/>
          <w:lang w:val="es-ES_tradnl"/>
        </w:rPr>
        <w:t xml:space="preserve"> </w:t>
      </w:r>
    </w:p>
    <w:p w14:paraId="418970CB" w14:textId="77777777" w:rsidR="007868EA" w:rsidRDefault="007868EA" w:rsidP="00E419C7">
      <w:pPr>
        <w:jc w:val="both"/>
        <w:rPr>
          <w:rFonts w:ascii="Arial" w:hAnsi="Arial" w:cs="Arial"/>
          <w:b/>
          <w:bCs/>
          <w:color w:val="000000" w:themeColor="text1"/>
          <w:sz w:val="22"/>
          <w:lang w:val="es-ES_tradnl"/>
        </w:rPr>
      </w:pPr>
    </w:p>
    <w:p w14:paraId="5551C02F" w14:textId="006E235B" w:rsidR="00E419C7" w:rsidRPr="00F95886" w:rsidRDefault="00E419C7" w:rsidP="00E419C7">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 xml:space="preserve">CONTRATO DE PRESTACION DE SERVICIOS </w:t>
      </w:r>
      <w:r w:rsidRPr="00F95886">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hAnsi="Arial" w:cs="Arial"/>
          <w:b/>
          <w:bCs/>
          <w:color w:val="000000" w:themeColor="text1"/>
          <w:sz w:val="22"/>
          <w:lang w:val="es-ES_tradnl"/>
        </w:rPr>
        <w:t xml:space="preserve">Celebración </w:t>
      </w:r>
      <w:r w:rsidRPr="00F95886">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hAnsi="Arial" w:cs="Arial"/>
          <w:b/>
          <w:bCs/>
          <w:color w:val="000000" w:themeColor="text1"/>
          <w:sz w:val="22"/>
          <w:lang w:val="es-ES_tradnl"/>
        </w:rPr>
        <w:t xml:space="preserve">Simultaneidad </w:t>
      </w:r>
      <w:r w:rsidRPr="00F95886">
        <w:rPr>
          <w:rFonts w:ascii="Arial" w:eastAsia="Calibri" w:hAnsi="Arial" w:cs="Arial"/>
          <w:b/>
          <w:color w:val="000000" w:themeColor="text1"/>
          <w:sz w:val="22"/>
        </w:rPr>
        <w:t>–</w:t>
      </w:r>
      <w:r w:rsidRPr="00F95886">
        <w:rPr>
          <w:rFonts w:ascii="Arial" w:hAnsi="Arial" w:cs="Arial"/>
          <w:b/>
          <w:bCs/>
          <w:color w:val="000000" w:themeColor="text1"/>
          <w:sz w:val="22"/>
          <w:lang w:val="es-ES_tradnl"/>
        </w:rPr>
        <w:t xml:space="preserve">Ausencia </w:t>
      </w:r>
      <w:r w:rsidR="00BC4CBB">
        <w:rPr>
          <w:rFonts w:ascii="Arial" w:eastAsia="Calibri" w:hAnsi="Arial" w:cs="Arial"/>
          <w:b/>
          <w:color w:val="000000" w:themeColor="text1"/>
          <w:sz w:val="22"/>
        </w:rPr>
        <w:t>de</w:t>
      </w:r>
      <w:r>
        <w:rPr>
          <w:rFonts w:ascii="Arial" w:eastAsia="Calibri" w:hAnsi="Arial" w:cs="Arial"/>
          <w:b/>
          <w:color w:val="000000" w:themeColor="text1"/>
          <w:sz w:val="22"/>
        </w:rPr>
        <w:t xml:space="preserve"> </w:t>
      </w:r>
      <w:r w:rsidR="00BC4CBB">
        <w:rPr>
          <w:rFonts w:ascii="Arial" w:eastAsia="Calibri" w:hAnsi="Arial" w:cs="Arial"/>
          <w:b/>
          <w:color w:val="000000" w:themeColor="text1"/>
          <w:sz w:val="22"/>
        </w:rPr>
        <w:t>i</w:t>
      </w:r>
      <w:r w:rsidR="00DC2B66">
        <w:rPr>
          <w:rFonts w:ascii="Arial" w:eastAsia="Calibri" w:hAnsi="Arial" w:cs="Arial"/>
          <w:b/>
          <w:color w:val="000000" w:themeColor="text1"/>
          <w:sz w:val="22"/>
        </w:rPr>
        <w:t>nhabilidad</w:t>
      </w:r>
      <w:r w:rsidRPr="00F95886">
        <w:rPr>
          <w:rFonts w:ascii="Arial" w:hAnsi="Arial" w:cs="Arial"/>
          <w:b/>
          <w:bCs/>
          <w:color w:val="000000" w:themeColor="text1"/>
          <w:sz w:val="22"/>
          <w:lang w:val="es-ES_tradnl"/>
        </w:rPr>
        <w:t xml:space="preserve"> </w:t>
      </w:r>
      <w:proofErr w:type="spellStart"/>
      <w:r w:rsidRPr="00F95886">
        <w:rPr>
          <w:rFonts w:ascii="Arial" w:hAnsi="Arial" w:cs="Arial"/>
          <w:b/>
          <w:bCs/>
          <w:color w:val="000000" w:themeColor="text1"/>
          <w:sz w:val="22"/>
          <w:lang w:val="es-ES_tradnl"/>
        </w:rPr>
        <w:t>e</w:t>
      </w:r>
      <w:proofErr w:type="spellEnd"/>
      <w:r w:rsidRPr="00F95886">
        <w:rPr>
          <w:rFonts w:ascii="Arial" w:hAnsi="Arial" w:cs="Arial"/>
          <w:b/>
          <w:bCs/>
          <w:color w:val="000000" w:themeColor="text1"/>
          <w:sz w:val="22"/>
          <w:lang w:val="es-ES_tradnl"/>
        </w:rPr>
        <w:t xml:space="preserve"> incompatibilidad</w:t>
      </w:r>
    </w:p>
    <w:p w14:paraId="3C46B64C" w14:textId="77777777" w:rsidR="00E419C7" w:rsidRPr="00F95886" w:rsidRDefault="00E419C7" w:rsidP="00083784">
      <w:pPr>
        <w:jc w:val="both"/>
        <w:rPr>
          <w:rFonts w:ascii="Arial" w:hAnsi="Arial" w:cs="Arial"/>
          <w:color w:val="000000" w:themeColor="text1"/>
          <w:sz w:val="20"/>
          <w:szCs w:val="20"/>
          <w:lang w:val="es-ES_tradnl"/>
        </w:rPr>
      </w:pPr>
    </w:p>
    <w:p w14:paraId="77A671F1" w14:textId="7D817C24" w:rsidR="00083784" w:rsidRPr="00083784" w:rsidRDefault="00083784" w:rsidP="00083784">
      <w:pPr>
        <w:spacing w:after="200"/>
        <w:jc w:val="both"/>
        <w:rPr>
          <w:rFonts w:ascii="Arial" w:hAnsi="Arial" w:cs="Arial"/>
          <w:color w:val="000000" w:themeColor="text1"/>
          <w:sz w:val="20"/>
          <w:szCs w:val="20"/>
          <w:lang w:val="es-ES_tradnl"/>
        </w:rPr>
      </w:pPr>
      <w:r w:rsidRPr="00083784">
        <w:rPr>
          <w:rFonts w:ascii="Arial" w:hAnsi="Arial" w:cs="Arial"/>
          <w:color w:val="000000" w:themeColor="text1"/>
          <w:sz w:val="20"/>
          <w:szCs w:val="20"/>
          <w:lang w:val="es-ES_tradnl"/>
        </w:rPr>
        <w:t>Analizado el régimen de inhabilidades e incompatibilidades previsto para la contratación estatal, así como los requisitos y límites de los contratos de prestación de servicios profesionales, se concluye que</w:t>
      </w:r>
      <w:r w:rsidR="00EC42E8">
        <w:rPr>
          <w:rFonts w:ascii="Arial" w:hAnsi="Arial" w:cs="Arial"/>
          <w:color w:val="000000" w:themeColor="text1"/>
          <w:sz w:val="20"/>
          <w:szCs w:val="20"/>
          <w:lang w:val="es-ES_tradnl"/>
        </w:rPr>
        <w:t xml:space="preserve"> </w:t>
      </w:r>
      <w:r w:rsidR="00EC42E8" w:rsidRPr="00EC42E8">
        <w:rPr>
          <w:rFonts w:ascii="Arial" w:hAnsi="Arial" w:cs="Arial"/>
          <w:color w:val="000000" w:themeColor="text1"/>
          <w:sz w:val="20"/>
          <w:szCs w:val="20"/>
          <w:lang w:val="es-ES_tradnl"/>
        </w:rPr>
        <w:t>–sin perjuicio de lo previsto en el inciso final del artículo 2.8.4.4.5 del Decreto 1068 de 2015-</w:t>
      </w:r>
      <w:r w:rsidRPr="00EC42E8">
        <w:rPr>
          <w:rFonts w:ascii="Arial" w:hAnsi="Arial" w:cs="Arial"/>
          <w:color w:val="000000" w:themeColor="text1"/>
          <w:sz w:val="20"/>
          <w:szCs w:val="20"/>
          <w:lang w:val="es-ES_tradnl"/>
        </w:rPr>
        <w:t xml:space="preserve"> no existe</w:t>
      </w:r>
      <w:r w:rsidRPr="00083784">
        <w:rPr>
          <w:rFonts w:ascii="Arial" w:hAnsi="Arial" w:cs="Arial"/>
          <w:color w:val="000000" w:themeColor="text1"/>
          <w:sz w:val="20"/>
          <w:szCs w:val="20"/>
          <w:lang w:val="es-ES_tradnl"/>
        </w:rPr>
        <w:t xml:space="preserve"> una </w:t>
      </w:r>
      <w:r w:rsidRPr="00BB37F1">
        <w:rPr>
          <w:rFonts w:ascii="Arial" w:hAnsi="Arial" w:cs="Arial"/>
          <w:color w:val="000000" w:themeColor="text1"/>
          <w:sz w:val="20"/>
          <w:szCs w:val="20"/>
          <w:lang w:val="es-ES_tradnl"/>
        </w:rPr>
        <w:t>inhabilidad, incompatibilidad o prohibición de otra naturaleza para que una entidad estatal celebre dos o más contratos de prestación de servicios profesionales con una misma persona, así dichos contratos coexistan en el tiempo</w:t>
      </w:r>
      <w:r w:rsidR="00EC42E8">
        <w:rPr>
          <w:rFonts w:ascii="Arial" w:hAnsi="Arial" w:cs="Arial"/>
          <w:color w:val="000000" w:themeColor="text1"/>
          <w:sz w:val="20"/>
          <w:szCs w:val="20"/>
          <w:lang w:val="es-ES_tradnl"/>
        </w:rPr>
        <w:t xml:space="preserve">. </w:t>
      </w:r>
    </w:p>
    <w:p w14:paraId="476E16F9" w14:textId="77777777" w:rsidR="00083784" w:rsidRPr="00083784" w:rsidRDefault="00083784" w:rsidP="00083784">
      <w:pPr>
        <w:spacing w:after="200"/>
        <w:jc w:val="both"/>
        <w:rPr>
          <w:rFonts w:ascii="Arial" w:hAnsi="Arial" w:cs="Arial"/>
          <w:color w:val="000000" w:themeColor="text1"/>
          <w:sz w:val="20"/>
          <w:szCs w:val="20"/>
          <w:lang w:val="es-ES_tradnl"/>
        </w:rPr>
      </w:pPr>
      <w:r w:rsidRPr="00083784">
        <w:rPr>
          <w:rFonts w:ascii="Arial" w:hAnsi="Arial" w:cs="Arial"/>
          <w:color w:val="000000" w:themeColor="text1"/>
          <w:sz w:val="20"/>
          <w:szCs w:val="20"/>
          <w:lang w:val="es-ES_tradnl"/>
        </w:rPr>
        <w:t xml:space="preserve">La anterior conclusión se apoya en la idea de que las inhabilidades e incompatibilidades, al ser limitaciones a la capacidad contractual, y por tanto al afectar derechos como la libre concurrencia o la libertad de ejercicio de la profesión u oficio, es decir, al ser enunciados normativos gravosos, deben interpretarse restrictivamente; o sea, no admiten una interpretación amplia, extensiva o analógica. Precisamente, al leer las causales previstas en la Constitución, así como en el artículo 8 de la Ley 80 de 1993 y en otras disposiciones complementarias, no se observa una prohibición para que una misma persona natural preste sus servicios profesionales a una entidad, a través de contratos distintos y concomitantes. </w:t>
      </w:r>
    </w:p>
    <w:p w14:paraId="0FDBFC0F" w14:textId="33494825" w:rsidR="002640BA" w:rsidRDefault="00083784" w:rsidP="00083784">
      <w:pPr>
        <w:spacing w:after="200"/>
        <w:jc w:val="both"/>
        <w:rPr>
          <w:rFonts w:ascii="Arial" w:hAnsi="Arial" w:cs="Arial"/>
          <w:color w:val="000000" w:themeColor="text1"/>
          <w:sz w:val="20"/>
          <w:szCs w:val="20"/>
          <w:lang w:val="es-ES_tradnl"/>
        </w:rPr>
      </w:pPr>
      <w:r w:rsidRPr="00083784">
        <w:rPr>
          <w:rFonts w:ascii="Arial" w:hAnsi="Arial" w:cs="Arial"/>
          <w:color w:val="000000" w:themeColor="text1"/>
          <w:sz w:val="20"/>
          <w:szCs w:val="20"/>
          <w:lang w:val="es-ES_tradnl"/>
        </w:rPr>
        <w:t xml:space="preserve">Sin embargo, el hecho de que no haya una causal de inhabilidad o de incompatibilidad no significa que siempre se pueda celebrar el contrato de prestación de servicios profesionales. Para que ello sea viable, deben cumplirse los requisitos a los que se </w:t>
      </w:r>
      <w:r w:rsidRPr="00BB37F1">
        <w:rPr>
          <w:rFonts w:ascii="Arial" w:hAnsi="Arial" w:cs="Arial"/>
          <w:color w:val="000000" w:themeColor="text1"/>
          <w:sz w:val="20"/>
          <w:szCs w:val="20"/>
          <w:lang w:val="es-ES_tradnl"/>
        </w:rPr>
        <w:t>hizo referencia en el numeral 2.2. de este concepto, pues se recuerda que la celebración del contrato de prestación de servicios profesionales con una persona natural es excepcional, ya que solo es admisible cuando las «actividades no puedan realizarse con personal de planta o requieran conocimientos</w:t>
      </w:r>
      <w:r w:rsidRPr="00083784">
        <w:rPr>
          <w:rFonts w:ascii="Arial" w:hAnsi="Arial" w:cs="Arial"/>
          <w:color w:val="000000" w:themeColor="text1"/>
          <w:sz w:val="20"/>
          <w:szCs w:val="20"/>
          <w:lang w:val="es-ES_tradnl"/>
        </w:rPr>
        <w:t xml:space="preserve"> especializados», lo cual debe justificarse satisfactoriamente en los estudios previos. Además, dicho contrato debe ser temporal y no puede servir para la creación de nóminas paralelas. </w:t>
      </w:r>
      <w:r w:rsidR="002640BA">
        <w:rPr>
          <w:rFonts w:ascii="Arial" w:hAnsi="Arial" w:cs="Arial"/>
          <w:color w:val="000000" w:themeColor="text1"/>
          <w:sz w:val="20"/>
          <w:szCs w:val="20"/>
          <w:lang w:val="es-ES_tradnl"/>
        </w:rPr>
        <w:br w:type="page"/>
      </w:r>
    </w:p>
    <w:p w14:paraId="07DACE12" w14:textId="77777777" w:rsidR="00607492" w:rsidRPr="00D50465" w:rsidRDefault="00607492" w:rsidP="00607492">
      <w:pPr>
        <w:pStyle w:val="Default"/>
        <w:rPr>
          <w:b/>
          <w:color w:val="000000" w:themeColor="text1"/>
          <w:sz w:val="22"/>
        </w:rPr>
      </w:pPr>
    </w:p>
    <w:p w14:paraId="798E6F96" w14:textId="0C26D450" w:rsidR="00E419C7" w:rsidRDefault="00710F6E" w:rsidP="00710F6E">
      <w:pPr>
        <w:tabs>
          <w:tab w:val="left" w:pos="3374"/>
        </w:tabs>
        <w:spacing w:line="276" w:lineRule="auto"/>
        <w:jc w:val="right"/>
        <w:rPr>
          <w:rFonts w:ascii="Arial" w:eastAsia="Calibri" w:hAnsi="Arial" w:cs="Arial"/>
          <w:color w:val="000000" w:themeColor="text1"/>
          <w:sz w:val="22"/>
        </w:rPr>
      </w:pPr>
      <w:r>
        <w:rPr>
          <w:noProof/>
          <w:lang w:val="es-CO" w:eastAsia="es-CO"/>
        </w:rPr>
        <w:drawing>
          <wp:inline distT="0" distB="0" distL="0" distR="0" wp14:anchorId="48ABBA02" wp14:editId="6FF507E4">
            <wp:extent cx="2980112" cy="763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060" t="50631" r="18793" b="25166"/>
                    <a:stretch/>
                  </pic:blipFill>
                  <pic:spPr bwMode="auto">
                    <a:xfrm>
                      <a:off x="0" y="0"/>
                      <a:ext cx="2982713" cy="763991"/>
                    </a:xfrm>
                    <a:prstGeom prst="rect">
                      <a:avLst/>
                    </a:prstGeom>
                    <a:ln>
                      <a:noFill/>
                    </a:ln>
                    <a:extLst>
                      <a:ext uri="{53640926-AAD7-44D8-BBD7-CCE9431645EC}">
                        <a14:shadowObscured xmlns:a14="http://schemas.microsoft.com/office/drawing/2010/main"/>
                      </a:ext>
                    </a:extLst>
                  </pic:spPr>
                </pic:pic>
              </a:graphicData>
            </a:graphic>
          </wp:inline>
        </w:drawing>
      </w:r>
    </w:p>
    <w:p w14:paraId="52E4BAA5" w14:textId="771E7054" w:rsidR="00F8069E" w:rsidRDefault="00F8069E" w:rsidP="00F8069E">
      <w:pPr>
        <w:pStyle w:val="Default"/>
        <w:rPr>
          <w:color w:val="000000" w:themeColor="text1"/>
          <w:sz w:val="22"/>
          <w:szCs w:val="22"/>
        </w:rPr>
      </w:pPr>
      <w:bookmarkStart w:id="2" w:name="_Hlk63942304"/>
      <w:r w:rsidRPr="00D50465">
        <w:rPr>
          <w:color w:val="000000" w:themeColor="text1"/>
          <w:sz w:val="22"/>
          <w:szCs w:val="22"/>
        </w:rPr>
        <w:t>Bogotá</w:t>
      </w:r>
      <w:bookmarkEnd w:id="2"/>
      <w:r w:rsidRPr="00D50465">
        <w:rPr>
          <w:color w:val="000000" w:themeColor="text1"/>
          <w:sz w:val="22"/>
          <w:szCs w:val="22"/>
        </w:rPr>
        <w:t xml:space="preserve">, </w:t>
      </w:r>
      <w:r>
        <w:rPr>
          <w:color w:val="000000" w:themeColor="text1"/>
          <w:sz w:val="22"/>
          <w:szCs w:val="22"/>
        </w:rPr>
        <w:t>14 junio 2022</w:t>
      </w:r>
    </w:p>
    <w:p w14:paraId="687B07BD" w14:textId="77777777" w:rsidR="00F8069E" w:rsidRDefault="00F8069E" w:rsidP="00E419C7">
      <w:pPr>
        <w:rPr>
          <w:rFonts w:ascii="Arial" w:eastAsia="Calibri" w:hAnsi="Arial" w:cs="Arial"/>
          <w:color w:val="000000" w:themeColor="text1"/>
          <w:sz w:val="22"/>
          <w:szCs w:val="20"/>
          <w:lang w:val="es-ES_tradnl"/>
        </w:rPr>
      </w:pPr>
    </w:p>
    <w:p w14:paraId="685BD962" w14:textId="5EF49813" w:rsidR="00E419C7" w:rsidRPr="00F95886" w:rsidRDefault="00E419C7" w:rsidP="00E419C7">
      <w:pPr>
        <w:rPr>
          <w:rFonts w:ascii="Arial" w:eastAsia="Calibri" w:hAnsi="Arial" w:cs="Arial"/>
          <w:color w:val="000000" w:themeColor="text1"/>
          <w:sz w:val="22"/>
          <w:szCs w:val="20"/>
          <w:lang w:val="es-ES_tradnl"/>
        </w:rPr>
      </w:pPr>
      <w:r w:rsidRPr="00F95886">
        <w:rPr>
          <w:rFonts w:ascii="Arial" w:eastAsia="Calibri" w:hAnsi="Arial" w:cs="Arial"/>
          <w:color w:val="000000" w:themeColor="text1"/>
          <w:sz w:val="22"/>
          <w:szCs w:val="20"/>
          <w:lang w:val="es-ES_tradnl"/>
        </w:rPr>
        <w:t>Señor</w:t>
      </w:r>
    </w:p>
    <w:p w14:paraId="108EB0BB" w14:textId="75CEBA32" w:rsidR="006775BB" w:rsidRDefault="006775BB" w:rsidP="00E419C7">
      <w:pPr>
        <w:rPr>
          <w:rFonts w:ascii="Arial" w:eastAsia="Calibri" w:hAnsi="Arial" w:cs="Arial"/>
          <w:b/>
          <w:color w:val="000000" w:themeColor="text1"/>
          <w:sz w:val="22"/>
          <w:szCs w:val="20"/>
          <w:lang w:val="es-ES_tradnl"/>
        </w:rPr>
      </w:pPr>
      <w:r>
        <w:rPr>
          <w:rFonts w:ascii="Arial" w:eastAsia="Calibri" w:hAnsi="Arial" w:cs="Arial"/>
          <w:b/>
          <w:color w:val="000000" w:themeColor="text1"/>
          <w:sz w:val="22"/>
          <w:szCs w:val="20"/>
          <w:lang w:val="es-ES_tradnl"/>
        </w:rPr>
        <w:t xml:space="preserve">Víctor Danilo </w:t>
      </w:r>
      <w:proofErr w:type="spellStart"/>
      <w:r>
        <w:rPr>
          <w:rFonts w:ascii="Arial" w:eastAsia="Calibri" w:hAnsi="Arial" w:cs="Arial"/>
          <w:b/>
          <w:color w:val="000000" w:themeColor="text1"/>
          <w:sz w:val="22"/>
          <w:szCs w:val="20"/>
          <w:lang w:val="es-ES_tradnl"/>
        </w:rPr>
        <w:t>Charrys</w:t>
      </w:r>
      <w:proofErr w:type="spellEnd"/>
      <w:r>
        <w:rPr>
          <w:rFonts w:ascii="Arial" w:eastAsia="Calibri" w:hAnsi="Arial" w:cs="Arial"/>
          <w:b/>
          <w:color w:val="000000" w:themeColor="text1"/>
          <w:sz w:val="22"/>
          <w:szCs w:val="20"/>
          <w:lang w:val="es-ES_tradnl"/>
        </w:rPr>
        <w:t xml:space="preserve"> Pérez</w:t>
      </w:r>
    </w:p>
    <w:p w14:paraId="317EDE72" w14:textId="4F79D935" w:rsidR="00E419C7" w:rsidRPr="00F95886" w:rsidRDefault="002D2E4E" w:rsidP="00E419C7">
      <w:pPr>
        <w:rPr>
          <w:rFonts w:ascii="Arial" w:eastAsia="Calibri" w:hAnsi="Arial" w:cs="Arial"/>
          <w:b/>
          <w:color w:val="000000" w:themeColor="text1"/>
          <w:sz w:val="22"/>
          <w:szCs w:val="20"/>
          <w:lang w:val="es-ES_tradnl"/>
        </w:rPr>
      </w:pPr>
      <w:r w:rsidRPr="002D2E4E">
        <w:rPr>
          <w:rFonts w:ascii="Arial" w:eastAsia="Calibri" w:hAnsi="Arial" w:cs="Arial"/>
          <w:color w:val="000000" w:themeColor="text1"/>
          <w:sz w:val="22"/>
          <w:szCs w:val="20"/>
          <w:lang w:val="es-ES_tradnl"/>
        </w:rPr>
        <w:t>Bogotá D.C.</w:t>
      </w:r>
    </w:p>
    <w:p w14:paraId="6B289999" w14:textId="77777777" w:rsidR="00E419C7" w:rsidRDefault="00E419C7" w:rsidP="00E419C7">
      <w:pPr>
        <w:jc w:val="center"/>
        <w:rPr>
          <w:rFonts w:ascii="Arial" w:eastAsia="Calibri" w:hAnsi="Arial" w:cs="Arial"/>
          <w:b/>
          <w:color w:val="000000" w:themeColor="text1"/>
          <w:sz w:val="22"/>
          <w:lang w:val="es-ES_tradnl"/>
        </w:rPr>
      </w:pPr>
    </w:p>
    <w:p w14:paraId="0F9968CA" w14:textId="77777777" w:rsidR="00E419C7" w:rsidRPr="00F95886" w:rsidRDefault="00E419C7" w:rsidP="00E419C7">
      <w:pPr>
        <w:jc w:val="center"/>
        <w:rPr>
          <w:rFonts w:ascii="Arial" w:eastAsia="Calibri" w:hAnsi="Arial" w:cs="Arial"/>
          <w:b/>
          <w:color w:val="000000" w:themeColor="text1"/>
          <w:sz w:val="22"/>
          <w:lang w:val="es-ES_tradnl"/>
        </w:rPr>
      </w:pPr>
    </w:p>
    <w:p w14:paraId="0B55B792" w14:textId="43D705CF" w:rsidR="00E419C7" w:rsidRDefault="002D2E4E" w:rsidP="00DC2B66">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                                            </w:t>
      </w:r>
      <w:r w:rsidR="00E419C7" w:rsidRPr="00F95886">
        <w:rPr>
          <w:rFonts w:ascii="Arial" w:eastAsia="Calibri" w:hAnsi="Arial" w:cs="Arial"/>
          <w:b/>
          <w:color w:val="000000" w:themeColor="text1"/>
          <w:sz w:val="22"/>
          <w:lang w:val="es-ES_tradnl"/>
        </w:rPr>
        <w:t xml:space="preserve">Concepto C </w:t>
      </w:r>
      <w:r>
        <w:rPr>
          <w:rFonts w:ascii="Arial" w:eastAsia="Calibri" w:hAnsi="Arial" w:cs="Arial"/>
          <w:b/>
          <w:color w:val="000000" w:themeColor="text1"/>
          <w:sz w:val="22"/>
          <w:lang w:val="es-ES_tradnl"/>
        </w:rPr>
        <w:t>–</w:t>
      </w:r>
      <w:r w:rsidR="00E419C7" w:rsidRPr="00F95886">
        <w:rPr>
          <w:rFonts w:ascii="Arial" w:eastAsia="Calibri" w:hAnsi="Arial" w:cs="Arial"/>
          <w:b/>
          <w:color w:val="000000" w:themeColor="text1"/>
          <w:sz w:val="22"/>
          <w:lang w:val="es-ES_tradnl"/>
        </w:rPr>
        <w:t xml:space="preserve"> </w:t>
      </w:r>
      <w:r w:rsidR="00A6780A">
        <w:rPr>
          <w:rFonts w:ascii="Arial" w:eastAsia="Calibri" w:hAnsi="Arial" w:cs="Arial"/>
          <w:b/>
          <w:color w:val="000000" w:themeColor="text1"/>
          <w:sz w:val="22"/>
          <w:lang w:val="es-ES_tradnl"/>
        </w:rPr>
        <w:t>376</w:t>
      </w:r>
      <w:r w:rsidR="00E419C7" w:rsidRPr="00F95886">
        <w:rPr>
          <w:rFonts w:ascii="Arial" w:eastAsia="Calibri" w:hAnsi="Arial" w:cs="Arial"/>
          <w:b/>
          <w:color w:val="000000" w:themeColor="text1"/>
          <w:sz w:val="22"/>
          <w:lang w:val="es-ES_tradnl"/>
        </w:rPr>
        <w:t xml:space="preserve"> de 202</w:t>
      </w:r>
      <w:r w:rsidR="00A6780A">
        <w:rPr>
          <w:rFonts w:ascii="Arial" w:eastAsia="Calibri" w:hAnsi="Arial" w:cs="Arial"/>
          <w:b/>
          <w:color w:val="000000" w:themeColor="text1"/>
          <w:sz w:val="22"/>
          <w:lang w:val="es-ES_tradnl"/>
        </w:rPr>
        <w:t>2</w:t>
      </w:r>
    </w:p>
    <w:p w14:paraId="51941B2A" w14:textId="77777777" w:rsidR="00E419C7" w:rsidRPr="00F95886" w:rsidRDefault="00E419C7" w:rsidP="00E419C7">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419C7" w:rsidRPr="00F95886" w14:paraId="5B70DAC7" w14:textId="77777777" w:rsidTr="00A23E4E">
        <w:tc>
          <w:tcPr>
            <w:tcW w:w="2689" w:type="dxa"/>
            <w:hideMark/>
          </w:tcPr>
          <w:p w14:paraId="39E306D4" w14:textId="77777777" w:rsidR="00E419C7" w:rsidRPr="00F95886" w:rsidRDefault="00E419C7" w:rsidP="00A23E4E">
            <w:pPr>
              <w:rPr>
                <w:rFonts w:ascii="Arial" w:eastAsia="Calibri" w:hAnsi="Arial" w:cs="Arial"/>
                <w:color w:val="000000" w:themeColor="text1"/>
                <w:sz w:val="22"/>
                <w:lang w:val="es-ES_tradnl"/>
              </w:rPr>
            </w:pPr>
            <w:r w:rsidRPr="00F95886">
              <w:rPr>
                <w:rFonts w:ascii="Arial" w:eastAsia="Calibri" w:hAnsi="Arial" w:cs="Arial"/>
                <w:b/>
                <w:color w:val="000000" w:themeColor="text1"/>
                <w:sz w:val="22"/>
                <w:lang w:val="es-ES_tradnl"/>
              </w:rPr>
              <w:t>Temas:</w:t>
            </w:r>
            <w:r w:rsidRPr="00F95886">
              <w:rPr>
                <w:rFonts w:ascii="Arial" w:eastAsia="Calibri" w:hAnsi="Arial" w:cs="Arial"/>
                <w:color w:val="000000" w:themeColor="text1"/>
                <w:sz w:val="22"/>
                <w:lang w:val="es-ES_tradnl"/>
              </w:rPr>
              <w:t xml:space="preserve">           </w:t>
            </w:r>
          </w:p>
          <w:p w14:paraId="5589D46C" w14:textId="77777777" w:rsidR="00E419C7" w:rsidRPr="00F95886" w:rsidRDefault="00E419C7" w:rsidP="00A23E4E">
            <w:pPr>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                           </w:t>
            </w:r>
          </w:p>
        </w:tc>
        <w:tc>
          <w:tcPr>
            <w:tcW w:w="6237" w:type="dxa"/>
            <w:hideMark/>
          </w:tcPr>
          <w:p w14:paraId="07747D66" w14:textId="6CF9D132" w:rsidR="000972D5" w:rsidRPr="000972D5" w:rsidRDefault="000972D5" w:rsidP="00DC2B66">
            <w:pPr>
              <w:spacing w:after="120"/>
              <w:jc w:val="both"/>
              <w:rPr>
                <w:rFonts w:ascii="Arial" w:hAnsi="Arial" w:cs="Arial"/>
                <w:color w:val="000000" w:themeColor="text1"/>
                <w:sz w:val="22"/>
                <w:lang w:val="es-ES_tradnl"/>
              </w:rPr>
            </w:pPr>
            <w:r w:rsidRPr="000972D5">
              <w:rPr>
                <w:rFonts w:ascii="Arial" w:eastAsia="Calibri" w:hAnsi="Arial" w:cs="Arial"/>
                <w:color w:val="000000" w:themeColor="text1"/>
                <w:sz w:val="22"/>
                <w:lang w:val="es-ES_tradnl"/>
              </w:rPr>
              <w:t>R</w:t>
            </w:r>
            <w:r>
              <w:rPr>
                <w:rFonts w:ascii="Arial" w:eastAsia="Calibri" w:hAnsi="Arial" w:cs="Arial"/>
                <w:color w:val="000000" w:themeColor="text1"/>
                <w:sz w:val="22"/>
                <w:lang w:val="es-ES_tradnl"/>
              </w:rPr>
              <w:t>É</w:t>
            </w:r>
            <w:r w:rsidRPr="000972D5">
              <w:rPr>
                <w:rFonts w:ascii="Arial" w:eastAsia="Calibri" w:hAnsi="Arial" w:cs="Arial"/>
                <w:color w:val="000000" w:themeColor="text1"/>
                <w:sz w:val="22"/>
                <w:lang w:val="es-ES_tradnl"/>
              </w:rPr>
              <w:t xml:space="preserve">GIMEN DE INHABILIDADES E INCOMPATIBILIDADES </w:t>
            </w:r>
            <w:r w:rsidRPr="000972D5">
              <w:rPr>
                <w:rFonts w:ascii="Arial" w:eastAsia="Calibri" w:hAnsi="Arial" w:cs="Arial"/>
                <w:color w:val="000000" w:themeColor="text1"/>
                <w:sz w:val="22"/>
              </w:rPr>
              <w:t>–</w:t>
            </w:r>
            <w:r w:rsidRPr="000972D5">
              <w:rPr>
                <w:rFonts w:ascii="Arial" w:eastAsia="Calibri" w:hAnsi="Arial" w:cs="Arial"/>
                <w:color w:val="000000" w:themeColor="text1"/>
                <w:sz w:val="22"/>
                <w:lang w:val="es-ES_tradnl"/>
              </w:rPr>
              <w:t xml:space="preserve"> Concepto </w:t>
            </w:r>
            <w:r w:rsidRPr="000972D5">
              <w:rPr>
                <w:rFonts w:ascii="Arial" w:eastAsia="Calibri" w:hAnsi="Arial" w:cs="Arial"/>
                <w:color w:val="000000" w:themeColor="text1"/>
                <w:sz w:val="22"/>
              </w:rPr>
              <w:t>–</w:t>
            </w:r>
            <w:r w:rsidRPr="000972D5">
              <w:rPr>
                <w:rFonts w:ascii="Arial" w:eastAsia="Calibri" w:hAnsi="Arial" w:cs="Arial"/>
                <w:color w:val="000000" w:themeColor="text1"/>
                <w:sz w:val="22"/>
                <w:lang w:val="es-ES_tradnl"/>
              </w:rPr>
              <w:t xml:space="preserve"> Principio de legalidad </w:t>
            </w:r>
            <w:r w:rsidRPr="000972D5">
              <w:rPr>
                <w:rFonts w:ascii="Arial" w:eastAsia="Calibri" w:hAnsi="Arial" w:cs="Arial"/>
                <w:color w:val="000000" w:themeColor="text1"/>
                <w:sz w:val="22"/>
              </w:rPr>
              <w:t>–</w:t>
            </w:r>
            <w:r w:rsidRPr="000972D5">
              <w:rPr>
                <w:rFonts w:ascii="Arial" w:eastAsia="Calibri" w:hAnsi="Arial" w:cs="Arial"/>
                <w:color w:val="000000" w:themeColor="text1"/>
                <w:sz w:val="22"/>
                <w:lang w:val="es-ES_tradnl"/>
              </w:rPr>
              <w:t xml:space="preserve"> Interpretación restrictiva / INHABILIDADES ― Interpretación restrictiva ― Principio </w:t>
            </w:r>
            <w:r w:rsidRPr="000972D5">
              <w:rPr>
                <w:rFonts w:ascii="Arial" w:eastAsia="Calibri" w:hAnsi="Arial" w:cs="Arial"/>
                <w:i/>
                <w:iCs/>
                <w:color w:val="000000" w:themeColor="text1"/>
                <w:sz w:val="22"/>
                <w:lang w:val="es-ES_tradnl"/>
              </w:rPr>
              <w:t xml:space="preserve">pro </w:t>
            </w:r>
            <w:proofErr w:type="spellStart"/>
            <w:r w:rsidRPr="000972D5">
              <w:rPr>
                <w:rFonts w:ascii="Arial" w:eastAsia="Calibri" w:hAnsi="Arial" w:cs="Arial"/>
                <w:i/>
                <w:iCs/>
                <w:color w:val="000000" w:themeColor="text1"/>
                <w:sz w:val="22"/>
                <w:lang w:val="es-ES_tradnl"/>
              </w:rPr>
              <w:t>libertate</w:t>
            </w:r>
            <w:proofErr w:type="spellEnd"/>
            <w:r w:rsidRPr="000972D5">
              <w:rPr>
                <w:rFonts w:ascii="Arial" w:eastAsia="Calibri" w:hAnsi="Arial" w:cs="Arial"/>
                <w:i/>
                <w:iCs/>
                <w:color w:val="000000" w:themeColor="text1"/>
                <w:sz w:val="22"/>
                <w:lang w:val="es-ES_tradnl"/>
              </w:rPr>
              <w:t xml:space="preserve"> </w:t>
            </w:r>
            <w:r w:rsidRPr="000972D5">
              <w:rPr>
                <w:rFonts w:ascii="Arial" w:eastAsia="Calibri" w:hAnsi="Arial" w:cs="Arial"/>
                <w:color w:val="000000" w:themeColor="text1"/>
                <w:sz w:val="22"/>
                <w:lang w:val="es-ES_tradnl"/>
              </w:rPr>
              <w:t xml:space="preserve">/ </w:t>
            </w:r>
            <w:r w:rsidRPr="000972D5">
              <w:rPr>
                <w:rFonts w:ascii="Arial" w:hAnsi="Arial" w:cs="Arial"/>
                <w:color w:val="000000" w:themeColor="text1"/>
                <w:sz w:val="22"/>
                <w:lang w:val="es-ES_tradnl"/>
              </w:rPr>
              <w:t xml:space="preserve">CONTRATO DE PRESTACIÓN DE SERVICIOS PROFESIONALES </w:t>
            </w:r>
            <w:r w:rsidRPr="000972D5">
              <w:rPr>
                <w:rFonts w:ascii="Arial" w:eastAsia="Calibri" w:hAnsi="Arial" w:cs="Arial"/>
                <w:color w:val="000000" w:themeColor="text1"/>
                <w:sz w:val="22"/>
              </w:rPr>
              <w:t>–</w:t>
            </w:r>
            <w:r w:rsidRPr="000972D5">
              <w:rPr>
                <w:rFonts w:ascii="Arial" w:hAnsi="Arial" w:cs="Arial"/>
                <w:color w:val="000000" w:themeColor="text1"/>
                <w:sz w:val="22"/>
                <w:lang w:val="es-ES_tradnl"/>
              </w:rPr>
              <w:t xml:space="preserve"> Concepto </w:t>
            </w:r>
            <w:r w:rsidRPr="000972D5">
              <w:rPr>
                <w:rFonts w:ascii="Arial" w:eastAsia="Calibri" w:hAnsi="Arial" w:cs="Arial"/>
                <w:color w:val="000000" w:themeColor="text1"/>
                <w:sz w:val="22"/>
              </w:rPr>
              <w:t>–</w:t>
            </w:r>
            <w:r w:rsidRPr="000972D5">
              <w:rPr>
                <w:rFonts w:ascii="Arial" w:hAnsi="Arial" w:cs="Arial"/>
                <w:color w:val="000000" w:themeColor="text1"/>
                <w:sz w:val="22"/>
                <w:lang w:val="es-ES_tradnl"/>
              </w:rPr>
              <w:t xml:space="preserve"> Objeto / </w:t>
            </w:r>
            <w:r w:rsidRPr="000972D5">
              <w:rPr>
                <w:rFonts w:ascii="Arial" w:eastAsia="Calibri" w:hAnsi="Arial" w:cs="Arial"/>
                <w:sz w:val="22"/>
                <w:lang w:val="es-ES_tradnl"/>
              </w:rPr>
              <w:t xml:space="preserve">CONTRATO DE PRESTACIÓN DE SERVICIOS </w:t>
            </w:r>
            <w:r w:rsidRPr="000972D5">
              <w:rPr>
                <w:rFonts w:ascii="Arial" w:eastAsia="Calibri" w:hAnsi="Arial" w:cs="Arial"/>
                <w:color w:val="000000" w:themeColor="text1"/>
                <w:sz w:val="22"/>
                <w:lang w:val="es-ES_tradnl"/>
              </w:rPr>
              <w:t xml:space="preserve">– Género – </w:t>
            </w:r>
            <w:r w:rsidRPr="000972D5">
              <w:rPr>
                <w:rFonts w:ascii="Arial" w:eastAsia="Calibri" w:hAnsi="Arial" w:cs="Arial"/>
                <w:sz w:val="22"/>
                <w:lang w:val="es-ES_tradnl"/>
              </w:rPr>
              <w:t xml:space="preserve">Servicios Profesionales </w:t>
            </w:r>
            <w:r w:rsidRPr="000972D5">
              <w:rPr>
                <w:rFonts w:ascii="Arial" w:eastAsia="Calibri" w:hAnsi="Arial" w:cs="Arial"/>
                <w:color w:val="000000" w:themeColor="text1"/>
                <w:sz w:val="22"/>
                <w:lang w:val="es-ES_tradnl"/>
              </w:rPr>
              <w:t>–</w:t>
            </w:r>
            <w:r w:rsidRPr="000972D5">
              <w:rPr>
                <w:rFonts w:ascii="Arial" w:eastAsia="Calibri" w:hAnsi="Arial" w:cs="Arial"/>
                <w:sz w:val="22"/>
                <w:lang w:val="es-ES_tradnl"/>
              </w:rPr>
              <w:t xml:space="preserve">Apoyo a la gestión </w:t>
            </w:r>
            <w:r w:rsidRPr="000972D5">
              <w:rPr>
                <w:rFonts w:ascii="Arial" w:eastAsia="Calibri" w:hAnsi="Arial" w:cs="Arial"/>
                <w:color w:val="000000" w:themeColor="text1"/>
                <w:sz w:val="22"/>
                <w:lang w:val="es-ES_tradnl"/>
              </w:rPr>
              <w:t xml:space="preserve">– Trabajos artísticos – Especie / </w:t>
            </w:r>
            <w:r w:rsidRPr="000972D5">
              <w:rPr>
                <w:rFonts w:ascii="Arial" w:hAnsi="Arial" w:cs="Arial"/>
                <w:color w:val="000000" w:themeColor="text1"/>
                <w:sz w:val="22"/>
                <w:lang w:val="es-ES_tradnl"/>
              </w:rPr>
              <w:t xml:space="preserve">CONTRATO DE PRESTACION DE SERVICIOS </w:t>
            </w:r>
            <w:r w:rsidRPr="000972D5">
              <w:rPr>
                <w:rFonts w:ascii="Arial" w:eastAsia="Calibri" w:hAnsi="Arial" w:cs="Arial"/>
                <w:color w:val="000000" w:themeColor="text1"/>
                <w:sz w:val="22"/>
              </w:rPr>
              <w:t xml:space="preserve">– </w:t>
            </w:r>
            <w:r w:rsidRPr="000972D5">
              <w:rPr>
                <w:rFonts w:ascii="Arial" w:hAnsi="Arial" w:cs="Arial"/>
                <w:color w:val="000000" w:themeColor="text1"/>
                <w:sz w:val="22"/>
                <w:lang w:val="es-ES_tradnl"/>
              </w:rPr>
              <w:t xml:space="preserve">Celebración </w:t>
            </w:r>
            <w:r w:rsidRPr="000972D5">
              <w:rPr>
                <w:rFonts w:ascii="Arial" w:eastAsia="Calibri" w:hAnsi="Arial" w:cs="Arial"/>
                <w:color w:val="000000" w:themeColor="text1"/>
                <w:sz w:val="22"/>
              </w:rPr>
              <w:t xml:space="preserve">– </w:t>
            </w:r>
            <w:r w:rsidRPr="000972D5">
              <w:rPr>
                <w:rFonts w:ascii="Arial" w:hAnsi="Arial" w:cs="Arial"/>
                <w:color w:val="000000" w:themeColor="text1"/>
                <w:sz w:val="22"/>
                <w:lang w:val="es-ES_tradnl"/>
              </w:rPr>
              <w:t xml:space="preserve">Simultaneidad </w:t>
            </w:r>
            <w:r w:rsidRPr="000972D5">
              <w:rPr>
                <w:rFonts w:ascii="Arial" w:eastAsia="Calibri" w:hAnsi="Arial" w:cs="Arial"/>
                <w:color w:val="000000" w:themeColor="text1"/>
                <w:sz w:val="22"/>
              </w:rPr>
              <w:t>–</w:t>
            </w:r>
            <w:r w:rsidRPr="000972D5">
              <w:rPr>
                <w:rFonts w:ascii="Arial" w:hAnsi="Arial" w:cs="Arial"/>
                <w:color w:val="000000" w:themeColor="text1"/>
                <w:sz w:val="22"/>
                <w:lang w:val="es-ES_tradnl"/>
              </w:rPr>
              <w:t xml:space="preserve">Ausencia </w:t>
            </w:r>
            <w:r w:rsidRPr="000972D5">
              <w:rPr>
                <w:rFonts w:ascii="Arial" w:eastAsia="Calibri" w:hAnsi="Arial" w:cs="Arial"/>
                <w:color w:val="000000" w:themeColor="text1"/>
                <w:sz w:val="22"/>
              </w:rPr>
              <w:t>de inhabilidad</w:t>
            </w:r>
            <w:r w:rsidRPr="000972D5">
              <w:rPr>
                <w:rFonts w:ascii="Arial" w:hAnsi="Arial" w:cs="Arial"/>
                <w:color w:val="000000" w:themeColor="text1"/>
                <w:sz w:val="22"/>
                <w:lang w:val="es-ES_tradnl"/>
              </w:rPr>
              <w:t xml:space="preserve"> </w:t>
            </w:r>
            <w:proofErr w:type="spellStart"/>
            <w:r w:rsidRPr="000972D5">
              <w:rPr>
                <w:rFonts w:ascii="Arial" w:hAnsi="Arial" w:cs="Arial"/>
                <w:color w:val="000000" w:themeColor="text1"/>
                <w:sz w:val="22"/>
                <w:lang w:val="es-ES_tradnl"/>
              </w:rPr>
              <w:t>e</w:t>
            </w:r>
            <w:proofErr w:type="spellEnd"/>
            <w:r w:rsidRPr="000972D5">
              <w:rPr>
                <w:rFonts w:ascii="Arial" w:hAnsi="Arial" w:cs="Arial"/>
                <w:color w:val="000000" w:themeColor="text1"/>
                <w:sz w:val="22"/>
                <w:lang w:val="es-ES_tradnl"/>
              </w:rPr>
              <w:t xml:space="preserve"> incompatibilidad</w:t>
            </w:r>
          </w:p>
          <w:p w14:paraId="23A7122C" w14:textId="4E6157DC" w:rsidR="000972D5" w:rsidRPr="00F95886" w:rsidRDefault="000972D5" w:rsidP="00DC2B66">
            <w:pPr>
              <w:spacing w:after="120"/>
              <w:jc w:val="both"/>
              <w:rPr>
                <w:rFonts w:ascii="Arial" w:eastAsia="Calibri" w:hAnsi="Arial" w:cs="Arial"/>
                <w:color w:val="000000" w:themeColor="text1"/>
                <w:sz w:val="22"/>
                <w:lang w:val="es-ES_tradnl"/>
              </w:rPr>
            </w:pPr>
          </w:p>
        </w:tc>
      </w:tr>
      <w:tr w:rsidR="00E419C7" w:rsidRPr="00F95886" w14:paraId="2891D54E" w14:textId="77777777" w:rsidTr="00A23E4E">
        <w:tc>
          <w:tcPr>
            <w:tcW w:w="2689" w:type="dxa"/>
          </w:tcPr>
          <w:p w14:paraId="1385F85C" w14:textId="77777777" w:rsidR="00E419C7" w:rsidRPr="00F95886" w:rsidRDefault="00E419C7" w:rsidP="00A23E4E">
            <w:pPr>
              <w:rPr>
                <w:rFonts w:ascii="Arial" w:eastAsia="Calibri" w:hAnsi="Arial" w:cs="Arial"/>
                <w:b/>
                <w:color w:val="000000" w:themeColor="text1"/>
                <w:sz w:val="22"/>
                <w:lang w:val="es-ES_tradnl"/>
              </w:rPr>
            </w:pPr>
            <w:r w:rsidRPr="00F95886">
              <w:rPr>
                <w:rFonts w:ascii="Arial" w:eastAsia="Calibri" w:hAnsi="Arial" w:cs="Arial"/>
                <w:b/>
                <w:color w:val="000000" w:themeColor="text1"/>
                <w:sz w:val="22"/>
                <w:lang w:val="es-ES_tradnl"/>
              </w:rPr>
              <w:t>Radicación:</w:t>
            </w:r>
            <w:r w:rsidRPr="00F95886">
              <w:rPr>
                <w:rFonts w:ascii="Arial" w:eastAsia="Calibri" w:hAnsi="Arial" w:cs="Arial"/>
                <w:color w:val="000000" w:themeColor="text1"/>
                <w:sz w:val="22"/>
                <w:lang w:val="es-ES_tradnl"/>
              </w:rPr>
              <w:t xml:space="preserve">                              </w:t>
            </w:r>
          </w:p>
        </w:tc>
        <w:tc>
          <w:tcPr>
            <w:tcW w:w="6237" w:type="dxa"/>
          </w:tcPr>
          <w:p w14:paraId="1595A2C3" w14:textId="09770760" w:rsidR="00E419C7" w:rsidRPr="00F95886" w:rsidRDefault="00E419C7" w:rsidP="00A23E4E">
            <w:pPr>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Respuesta a consulta </w:t>
            </w:r>
            <w:r w:rsidR="00744634" w:rsidRPr="00744634">
              <w:rPr>
                <w:rFonts w:ascii="Arial" w:eastAsia="Calibri" w:hAnsi="Arial" w:cs="Arial"/>
                <w:color w:val="000000" w:themeColor="text1"/>
                <w:sz w:val="22"/>
                <w:lang w:val="es-ES_tradnl"/>
              </w:rPr>
              <w:t>P20220502004281</w:t>
            </w:r>
          </w:p>
        </w:tc>
      </w:tr>
    </w:tbl>
    <w:p w14:paraId="7DB0C93B" w14:textId="2A6F45FC" w:rsidR="00E419C7" w:rsidRDefault="00E419C7" w:rsidP="00E419C7">
      <w:pPr>
        <w:jc w:val="both"/>
        <w:rPr>
          <w:rFonts w:ascii="Arial" w:eastAsia="Calibri" w:hAnsi="Arial" w:cs="Arial"/>
          <w:color w:val="000000" w:themeColor="text1"/>
          <w:sz w:val="22"/>
          <w:lang w:val="es-ES_tradnl"/>
        </w:rPr>
      </w:pPr>
    </w:p>
    <w:p w14:paraId="23BF6371" w14:textId="67EA3E49" w:rsidR="001F4336" w:rsidRDefault="001F4336" w:rsidP="00E419C7">
      <w:pPr>
        <w:jc w:val="both"/>
        <w:rPr>
          <w:rFonts w:ascii="Arial" w:eastAsia="Calibri" w:hAnsi="Arial" w:cs="Arial"/>
          <w:color w:val="000000" w:themeColor="text1"/>
          <w:sz w:val="22"/>
          <w:lang w:val="es-ES_tradnl"/>
        </w:rPr>
      </w:pPr>
    </w:p>
    <w:p w14:paraId="62B2F867" w14:textId="77777777" w:rsidR="0037540C" w:rsidRPr="004F5DE5" w:rsidRDefault="0037540C" w:rsidP="0037540C">
      <w:pPr>
        <w:jc w:val="both"/>
        <w:rPr>
          <w:rFonts w:ascii="Arial" w:eastAsia="Calibri" w:hAnsi="Arial" w:cs="Arial"/>
          <w:color w:val="000000" w:themeColor="text1"/>
          <w:sz w:val="20"/>
          <w:szCs w:val="20"/>
          <w:lang w:val="es-ES_tradnl"/>
        </w:rPr>
      </w:pPr>
    </w:p>
    <w:p w14:paraId="0224C99C" w14:textId="0BD79A8C" w:rsidR="00E419C7" w:rsidRPr="00F95886" w:rsidRDefault="00E419C7" w:rsidP="00E419C7">
      <w:pPr>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Estimad</w:t>
      </w:r>
      <w:r w:rsidR="00744634">
        <w:rPr>
          <w:rFonts w:ascii="Arial" w:eastAsia="Calibri" w:hAnsi="Arial" w:cs="Arial"/>
          <w:color w:val="000000" w:themeColor="text1"/>
          <w:sz w:val="22"/>
          <w:lang w:val="es-ES_tradnl"/>
        </w:rPr>
        <w:t>o</w:t>
      </w:r>
      <w:r w:rsidRPr="00F95886">
        <w:rPr>
          <w:rFonts w:ascii="Arial" w:eastAsia="Calibri" w:hAnsi="Arial" w:cs="Arial"/>
          <w:color w:val="000000" w:themeColor="text1"/>
          <w:sz w:val="22"/>
          <w:lang w:val="es-ES_tradnl"/>
        </w:rPr>
        <w:t xml:space="preserve"> señor </w:t>
      </w:r>
      <w:proofErr w:type="spellStart"/>
      <w:r w:rsidR="00744634">
        <w:rPr>
          <w:rFonts w:ascii="Arial" w:eastAsia="Calibri" w:hAnsi="Arial" w:cs="Arial"/>
          <w:color w:val="000000" w:themeColor="text1"/>
          <w:sz w:val="22"/>
          <w:lang w:val="es-ES_tradnl"/>
        </w:rPr>
        <w:t>Charrys</w:t>
      </w:r>
      <w:proofErr w:type="spellEnd"/>
      <w:r w:rsidR="001F4336">
        <w:rPr>
          <w:rFonts w:ascii="Arial" w:eastAsia="Calibri" w:hAnsi="Arial" w:cs="Arial"/>
          <w:color w:val="000000" w:themeColor="text1"/>
          <w:sz w:val="22"/>
          <w:lang w:val="es-ES_tradnl"/>
        </w:rPr>
        <w:t>:</w:t>
      </w:r>
    </w:p>
    <w:p w14:paraId="58570BCF" w14:textId="77777777" w:rsidR="00E419C7" w:rsidRPr="00F95886" w:rsidRDefault="00E419C7" w:rsidP="00E419C7">
      <w:pPr>
        <w:rPr>
          <w:rFonts w:ascii="Arial" w:eastAsia="Calibri" w:hAnsi="Arial" w:cs="Arial"/>
          <w:color w:val="000000" w:themeColor="text1"/>
          <w:sz w:val="22"/>
          <w:lang w:val="es-ES_tradnl"/>
        </w:rPr>
      </w:pPr>
    </w:p>
    <w:p w14:paraId="1E6CEF80" w14:textId="1CF1920E" w:rsidR="00E419C7" w:rsidRPr="00F95886" w:rsidRDefault="00C80FE9" w:rsidP="00E419C7">
      <w:pPr>
        <w:spacing w:line="276" w:lineRule="auto"/>
        <w:ind w:right="49"/>
        <w:jc w:val="both"/>
        <w:rPr>
          <w:rFonts w:ascii="Arial" w:eastAsia="Calibri" w:hAnsi="Arial" w:cs="Arial"/>
          <w:color w:val="000000" w:themeColor="text1"/>
          <w:sz w:val="22"/>
          <w:lang w:val="es-ES_tradnl"/>
        </w:rPr>
      </w:pPr>
      <w:r w:rsidRPr="00D509DB">
        <w:rPr>
          <w:rFonts w:ascii="Arial" w:eastAsia="Calibri" w:hAnsi="Arial" w:cs="Arial"/>
          <w:color w:val="000000" w:themeColor="text1"/>
          <w:sz w:val="22"/>
          <w:lang w:val="es-ES_tradnl"/>
        </w:rPr>
        <w:t>En ejercicio de la competencia o torgada por el numeral</w:t>
      </w:r>
      <w:r w:rsidRPr="00E23980">
        <w:rPr>
          <w:rFonts w:ascii="Arial" w:eastAsia="Calibri" w:hAnsi="Arial" w:cs="Arial"/>
          <w:color w:val="000000" w:themeColor="text1"/>
          <w:sz w:val="22"/>
          <w:lang w:val="es-ES_tradnl"/>
        </w:rPr>
        <w:t xml:space="preserve"> 8 del artículo 11 y el numeral 5 del artículo 3 del Decreto Ley 4170 de 2011, la Agencia Nacional de Contratación Pública </w:t>
      </w:r>
      <w:r>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w:t>
      </w:r>
      <w:r w:rsidR="004267EF">
        <w:rPr>
          <w:rFonts w:ascii="Arial" w:eastAsia="Calibri" w:hAnsi="Arial" w:cs="Arial"/>
          <w:color w:val="000000" w:themeColor="text1"/>
          <w:sz w:val="22"/>
          <w:lang w:val="es-ES_tradnl"/>
        </w:rPr>
        <w:t>, la cual fue</w:t>
      </w:r>
      <w:r w:rsidRPr="00E23980">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remitida por competencia por el Departamento Administrativo de la Función Pública a esta entidad </w:t>
      </w:r>
      <w:r w:rsidRPr="00E23980">
        <w:rPr>
          <w:rFonts w:ascii="Arial" w:eastAsia="Calibri" w:hAnsi="Arial" w:cs="Arial"/>
          <w:color w:val="000000" w:themeColor="text1"/>
          <w:sz w:val="22"/>
          <w:lang w:val="es-ES_tradnl"/>
        </w:rPr>
        <w:t xml:space="preserve">el </w:t>
      </w:r>
      <w:r w:rsidR="001C21DA">
        <w:rPr>
          <w:rFonts w:ascii="Arial" w:eastAsia="Calibri" w:hAnsi="Arial" w:cs="Arial"/>
          <w:color w:val="000000" w:themeColor="text1"/>
          <w:sz w:val="22"/>
          <w:lang w:val="es-ES_tradnl"/>
        </w:rPr>
        <w:t>2</w:t>
      </w:r>
      <w:r>
        <w:rPr>
          <w:rFonts w:ascii="Arial" w:eastAsia="Calibri" w:hAnsi="Arial" w:cs="Arial"/>
          <w:color w:val="000000" w:themeColor="text1"/>
          <w:sz w:val="22"/>
          <w:lang w:val="es-ES_tradnl"/>
        </w:rPr>
        <w:t xml:space="preserve"> de </w:t>
      </w:r>
      <w:r w:rsidR="004664BE">
        <w:rPr>
          <w:rFonts w:ascii="Arial" w:eastAsia="Calibri" w:hAnsi="Arial" w:cs="Arial"/>
          <w:color w:val="000000" w:themeColor="text1"/>
          <w:sz w:val="22"/>
          <w:lang w:val="es-ES_tradnl"/>
        </w:rPr>
        <w:t>mayo</w:t>
      </w:r>
      <w:r>
        <w:rPr>
          <w:rFonts w:ascii="Arial" w:eastAsia="Calibri" w:hAnsi="Arial" w:cs="Arial"/>
          <w:color w:val="000000" w:themeColor="text1"/>
          <w:sz w:val="22"/>
          <w:lang w:val="es-ES_tradnl"/>
        </w:rPr>
        <w:t xml:space="preserve"> de 202</w:t>
      </w:r>
      <w:r w:rsidR="004664BE">
        <w:rPr>
          <w:rFonts w:ascii="Arial" w:eastAsia="Calibri" w:hAnsi="Arial" w:cs="Arial"/>
          <w:color w:val="000000" w:themeColor="text1"/>
          <w:sz w:val="22"/>
          <w:lang w:val="es-ES_tradnl"/>
        </w:rPr>
        <w:t>2</w:t>
      </w:r>
      <w:r w:rsidR="00E419C7" w:rsidRPr="00F95886">
        <w:rPr>
          <w:rFonts w:ascii="Arial" w:eastAsia="Calibri" w:hAnsi="Arial" w:cs="Arial"/>
          <w:color w:val="000000" w:themeColor="text1"/>
          <w:sz w:val="22"/>
          <w:lang w:val="es-ES_tradnl"/>
        </w:rPr>
        <w:t xml:space="preserve">. </w:t>
      </w:r>
    </w:p>
    <w:p w14:paraId="542CD02C" w14:textId="77777777" w:rsidR="00E419C7" w:rsidRPr="00F95886" w:rsidRDefault="00E419C7" w:rsidP="00E419C7">
      <w:pPr>
        <w:spacing w:line="276" w:lineRule="auto"/>
        <w:jc w:val="both"/>
        <w:rPr>
          <w:rFonts w:ascii="Arial" w:eastAsia="Calibri" w:hAnsi="Arial" w:cs="Arial"/>
          <w:color w:val="000000" w:themeColor="text1"/>
          <w:sz w:val="22"/>
          <w:lang w:val="es-ES_tradnl"/>
        </w:rPr>
      </w:pPr>
    </w:p>
    <w:p w14:paraId="563B1D8C" w14:textId="77777777" w:rsidR="00E419C7" w:rsidRPr="00F95886" w:rsidRDefault="00E419C7" w:rsidP="00E419C7">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F95886">
        <w:rPr>
          <w:rFonts w:ascii="Arial" w:eastAsia="Calibri" w:hAnsi="Arial" w:cs="Arial"/>
          <w:b/>
          <w:color w:val="000000" w:themeColor="text1"/>
          <w:sz w:val="22"/>
        </w:rPr>
        <w:t xml:space="preserve">Problemas planteados </w:t>
      </w:r>
    </w:p>
    <w:p w14:paraId="34E95D7A" w14:textId="77777777" w:rsidR="00E419C7" w:rsidRPr="00F95886" w:rsidRDefault="00E419C7" w:rsidP="00E419C7">
      <w:pPr>
        <w:tabs>
          <w:tab w:val="left" w:pos="426"/>
        </w:tabs>
        <w:spacing w:line="276" w:lineRule="auto"/>
        <w:jc w:val="both"/>
        <w:rPr>
          <w:rFonts w:ascii="Arial" w:eastAsia="Calibri" w:hAnsi="Arial" w:cs="Arial"/>
          <w:b/>
          <w:color w:val="000000" w:themeColor="text1"/>
          <w:sz w:val="22"/>
        </w:rPr>
      </w:pPr>
    </w:p>
    <w:p w14:paraId="70CC2420" w14:textId="64164873" w:rsidR="00B61357" w:rsidRPr="00F95886" w:rsidRDefault="00E419C7" w:rsidP="00E419C7">
      <w:pPr>
        <w:tabs>
          <w:tab w:val="left" w:pos="426"/>
        </w:tabs>
        <w:spacing w:line="276" w:lineRule="auto"/>
        <w:jc w:val="both"/>
        <w:rPr>
          <w:rFonts w:ascii="Arial" w:eastAsia="Calibri" w:hAnsi="Arial" w:cs="Arial"/>
          <w:color w:val="000000" w:themeColor="text1"/>
          <w:sz w:val="22"/>
        </w:rPr>
      </w:pPr>
      <w:r w:rsidRPr="00F95886">
        <w:rPr>
          <w:rFonts w:ascii="Arial" w:eastAsia="Calibri" w:hAnsi="Arial" w:cs="Arial"/>
          <w:color w:val="000000" w:themeColor="text1"/>
          <w:sz w:val="22"/>
        </w:rPr>
        <w:t xml:space="preserve">Usted realiza la siguiente pregunta: </w:t>
      </w:r>
      <w:bookmarkStart w:id="3" w:name="_Hlk63944432"/>
      <w:r w:rsidR="00663C10">
        <w:rPr>
          <w:rFonts w:ascii="Arial" w:eastAsia="Calibri" w:hAnsi="Arial" w:cs="Arial"/>
          <w:color w:val="000000" w:themeColor="text1"/>
          <w:sz w:val="22"/>
        </w:rPr>
        <w:t>«¿Puede una persona celebrar dos o más contratos de prestación de servicios profesionales con una misma entidad del estado? ¿existe alguna inhabilidad o incompatibilidad en este caso?</w:t>
      </w:r>
      <w:r w:rsidR="001F4336" w:rsidRPr="001F4336">
        <w:rPr>
          <w:rFonts w:ascii="Arial" w:eastAsia="Calibri" w:hAnsi="Arial" w:cs="Arial"/>
          <w:color w:val="000000" w:themeColor="text1"/>
          <w:sz w:val="22"/>
        </w:rPr>
        <w:t>»</w:t>
      </w:r>
      <w:r w:rsidRPr="00F95886">
        <w:rPr>
          <w:rFonts w:ascii="Arial" w:eastAsia="Calibri" w:hAnsi="Arial" w:cs="Arial"/>
          <w:color w:val="000000" w:themeColor="text1"/>
          <w:sz w:val="22"/>
        </w:rPr>
        <w:t xml:space="preserve">.  </w:t>
      </w:r>
      <w:bookmarkEnd w:id="3"/>
    </w:p>
    <w:p w14:paraId="7B900C77" w14:textId="61FEA935" w:rsidR="00E419C7" w:rsidRPr="00B34705" w:rsidRDefault="00E419C7" w:rsidP="00B34705">
      <w:pPr>
        <w:pStyle w:val="Prrafodelista"/>
        <w:numPr>
          <w:ilvl w:val="0"/>
          <w:numId w:val="6"/>
        </w:numPr>
        <w:tabs>
          <w:tab w:val="left" w:pos="426"/>
        </w:tabs>
        <w:spacing w:before="240" w:line="276" w:lineRule="auto"/>
        <w:ind w:left="284" w:hanging="284"/>
        <w:jc w:val="both"/>
        <w:rPr>
          <w:rFonts w:ascii="Arial" w:eastAsia="Calibri" w:hAnsi="Arial" w:cs="Arial"/>
          <w:b/>
          <w:color w:val="000000" w:themeColor="text1"/>
          <w:sz w:val="22"/>
        </w:rPr>
      </w:pPr>
      <w:r w:rsidRPr="00F95886">
        <w:rPr>
          <w:rFonts w:ascii="Arial" w:eastAsia="Calibri" w:hAnsi="Arial" w:cs="Arial"/>
          <w:b/>
          <w:color w:val="000000" w:themeColor="text1"/>
          <w:sz w:val="22"/>
        </w:rPr>
        <w:t>Consideraciones</w:t>
      </w:r>
      <w:bookmarkEnd w:id="0"/>
      <w:bookmarkEnd w:id="1"/>
    </w:p>
    <w:p w14:paraId="603B32C8" w14:textId="385DBD63" w:rsidR="00E419C7" w:rsidRDefault="00E419C7" w:rsidP="00D62F3A">
      <w:pPr>
        <w:spacing w:before="240" w:line="276" w:lineRule="auto"/>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Para </w:t>
      </w:r>
      <w:r w:rsidR="002C680C">
        <w:rPr>
          <w:rFonts w:ascii="Arial" w:eastAsia="Calibri" w:hAnsi="Arial" w:cs="Arial"/>
          <w:color w:val="000000" w:themeColor="text1"/>
          <w:sz w:val="22"/>
          <w:lang w:val="es-ES_tradnl"/>
        </w:rPr>
        <w:t>analizar</w:t>
      </w:r>
      <w:r w:rsidR="002C680C" w:rsidRPr="00F95886">
        <w:rPr>
          <w:rFonts w:ascii="Arial" w:eastAsia="Calibri" w:hAnsi="Arial" w:cs="Arial"/>
          <w:color w:val="000000" w:themeColor="text1"/>
          <w:sz w:val="22"/>
          <w:lang w:val="es-ES_tradnl"/>
        </w:rPr>
        <w:t xml:space="preserve"> </w:t>
      </w:r>
      <w:r w:rsidRPr="00F95886">
        <w:rPr>
          <w:rFonts w:ascii="Arial" w:eastAsia="Calibri" w:hAnsi="Arial" w:cs="Arial"/>
          <w:color w:val="000000" w:themeColor="text1"/>
          <w:sz w:val="22"/>
          <w:lang w:val="es-ES_tradnl"/>
        </w:rPr>
        <w:t>el problema planteado, en primer lugar, se explicarán las características del régimen de inhabilidades e incompatibilidades en la contratación estatal, como límite a la capacidad para participar en procedimientos de selección y para celebrar contratos estatales. De manera especial, se sustentará la idea de que la interpretación restrictiva es un criterio hermenéutico que debe aplicarse, al tratar de desentrañar el sentido de las disposiciones que integran dicho régimen. En segundo lugar, se analizará el concepto, así como los requisitos y límites del contrato de prestación de servicios profesionales. En tercer lugar, se abordará la cuestión de si una entidad estatal puede celebrar dos o más contratos de prestación de servicios profesionales con alguien y si dichos contratos pueden coexistir.</w:t>
      </w:r>
    </w:p>
    <w:p w14:paraId="74DAE2B5" w14:textId="3B88BB6C" w:rsidR="00B34705" w:rsidRPr="00B34705" w:rsidRDefault="00783AC5" w:rsidP="00B34705">
      <w:pPr>
        <w:spacing w:before="240" w:line="276" w:lineRule="auto"/>
        <w:ind w:firstLine="708"/>
        <w:jc w:val="both"/>
        <w:rPr>
          <w:rFonts w:ascii="Arial" w:eastAsia="Calibri" w:hAnsi="Arial" w:cs="Arial"/>
          <w:color w:val="000000" w:themeColor="text1"/>
          <w:sz w:val="22"/>
        </w:rPr>
      </w:pPr>
      <w:r w:rsidRPr="00783AC5">
        <w:rPr>
          <w:rFonts w:ascii="Arial" w:eastAsia="Calibri" w:hAnsi="Arial" w:cs="Arial"/>
          <w:color w:val="000000" w:themeColor="text1"/>
          <w:sz w:val="22"/>
          <w:lang w:val="es-ES_tradnl"/>
        </w:rPr>
        <w:t xml:space="preserve">La Agencia Nacional de Contratación Pública – Colombia Compra Eficiente, </w:t>
      </w:r>
      <w:r w:rsidR="00A47EBD">
        <w:rPr>
          <w:rFonts w:ascii="Arial" w:hAnsi="Arial" w:cs="Arial"/>
          <w:color w:val="000000" w:themeColor="text1"/>
          <w:sz w:val="22"/>
          <w:lang w:val="es-ES_tradnl"/>
        </w:rPr>
        <w:t>Eficiente</w:t>
      </w:r>
      <w:r w:rsidR="00A47EBD" w:rsidRPr="00222BE8">
        <w:rPr>
          <w:rFonts w:ascii="Arial" w:hAnsi="Arial" w:cs="Arial"/>
          <w:color w:val="000000" w:themeColor="text1"/>
          <w:sz w:val="22"/>
          <w:lang w:val="es-ES_tradnl"/>
        </w:rPr>
        <w:t xml:space="preserve"> </w:t>
      </w:r>
      <w:r w:rsidR="00A47EBD">
        <w:rPr>
          <w:rFonts w:ascii="Arial" w:hAnsi="Arial" w:cs="Arial"/>
          <w:color w:val="000000" w:themeColor="text1"/>
          <w:sz w:val="22"/>
          <w:lang w:val="es-ES_tradnl"/>
        </w:rPr>
        <w:t xml:space="preserve">analizó desde una perspectiva general el régimen de inhabilidades e incompatibilidades en la </w:t>
      </w:r>
      <w:r w:rsidR="00A47EBD" w:rsidRPr="00D21E06">
        <w:rPr>
          <w:rFonts w:ascii="Arial" w:hAnsi="Arial" w:cs="Arial"/>
          <w:color w:val="000000" w:themeColor="text1"/>
          <w:sz w:val="22"/>
          <w:lang w:val="es-ES_tradnl"/>
        </w:rPr>
        <w:t>contratación pública, en los conceptos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w:t>
      </w:r>
      <w:r w:rsidR="00E102A3">
        <w:rPr>
          <w:rFonts w:ascii="Arial" w:hAnsi="Arial" w:cs="Arial"/>
          <w:color w:val="000000" w:themeColor="text1"/>
          <w:sz w:val="22"/>
          <w:lang w:val="es-ES_tradnl"/>
        </w:rPr>
        <w:t>,</w:t>
      </w:r>
      <w:r w:rsidR="00A47EBD" w:rsidRPr="00D21E06">
        <w:rPr>
          <w:rFonts w:ascii="Arial" w:hAnsi="Arial" w:cs="Arial"/>
          <w:color w:val="000000" w:themeColor="text1"/>
          <w:sz w:val="22"/>
          <w:lang w:val="es-ES_tradnl"/>
        </w:rPr>
        <w:t xml:space="preserve"> C-815 del 18 de febrero de 2021, C-210 del 12 de mayo de 2021, C-275 del 11 de junio de 2021</w:t>
      </w:r>
      <w:r w:rsidR="00E102A3">
        <w:rPr>
          <w:rFonts w:ascii="Arial" w:hAnsi="Arial" w:cs="Arial"/>
          <w:color w:val="000000" w:themeColor="text1"/>
          <w:sz w:val="22"/>
          <w:lang w:val="es-ES_tradnl"/>
        </w:rPr>
        <w:t xml:space="preserve">, </w:t>
      </w:r>
      <w:r w:rsidR="00E102A3">
        <w:rPr>
          <w:rFonts w:ascii="Arial" w:hAnsi="Arial" w:cs="Arial"/>
          <w:noProof/>
          <w:sz w:val="22"/>
          <w:lang w:val="es-ES_tradnl"/>
        </w:rPr>
        <w:t>C-321 del 2 de julio de 2021</w:t>
      </w:r>
      <w:r w:rsidR="00A927B4">
        <w:rPr>
          <w:rFonts w:ascii="Arial" w:hAnsi="Arial" w:cs="Arial"/>
          <w:noProof/>
          <w:sz w:val="22"/>
          <w:lang w:val="es-ES_tradnl"/>
        </w:rPr>
        <w:t xml:space="preserve">, </w:t>
      </w:r>
      <w:r w:rsidR="00A927B4" w:rsidRPr="00D21E06">
        <w:rPr>
          <w:rFonts w:ascii="Arial" w:hAnsi="Arial" w:cs="Arial"/>
          <w:color w:val="000000" w:themeColor="text1"/>
          <w:sz w:val="22"/>
          <w:lang w:val="es-ES_tradnl"/>
        </w:rPr>
        <w:t>C-410 del 7 de julio del 2021</w:t>
      </w:r>
      <w:r w:rsidR="00A927B4">
        <w:rPr>
          <w:rFonts w:ascii="Arial" w:hAnsi="Arial" w:cs="Arial"/>
          <w:color w:val="000000" w:themeColor="text1"/>
          <w:sz w:val="22"/>
          <w:lang w:val="es-ES_tradnl"/>
        </w:rPr>
        <w:t xml:space="preserve"> </w:t>
      </w:r>
      <w:r w:rsidR="00E102A3">
        <w:rPr>
          <w:rFonts w:ascii="Arial" w:hAnsi="Arial" w:cs="Arial"/>
          <w:noProof/>
          <w:sz w:val="22"/>
          <w:lang w:val="es-ES_tradnl"/>
        </w:rPr>
        <w:t>y C-491 del 14 de septiembre de 2021.</w:t>
      </w:r>
      <w:r w:rsidR="00A927B4">
        <w:rPr>
          <w:rFonts w:ascii="Arial" w:hAnsi="Arial" w:cs="Arial"/>
          <w:noProof/>
          <w:sz w:val="22"/>
          <w:lang w:val="es-ES_tradnl"/>
        </w:rPr>
        <w:t xml:space="preserve"> </w:t>
      </w:r>
      <w:r w:rsidR="00A47EBD">
        <w:rPr>
          <w:rFonts w:ascii="Arial" w:hAnsi="Arial" w:cs="Arial"/>
          <w:color w:val="000000" w:themeColor="text1"/>
          <w:sz w:val="22"/>
          <w:lang w:val="es-ES_tradnl"/>
        </w:rPr>
        <w:t>Frente</w:t>
      </w:r>
      <w:r w:rsidR="00A927B4">
        <w:rPr>
          <w:rFonts w:ascii="Arial" w:hAnsi="Arial" w:cs="Arial"/>
          <w:color w:val="000000" w:themeColor="text1"/>
          <w:sz w:val="22"/>
          <w:lang w:val="es-ES_tradnl"/>
        </w:rPr>
        <w:t xml:space="preserve"> a</w:t>
      </w:r>
      <w:r w:rsidR="00A47EBD">
        <w:rPr>
          <w:rFonts w:ascii="Arial" w:hAnsi="Arial" w:cs="Arial"/>
          <w:color w:val="000000" w:themeColor="text1"/>
          <w:sz w:val="22"/>
          <w:lang w:val="es-ES_tradnl"/>
        </w:rPr>
        <w:t xml:space="preserve"> </w:t>
      </w:r>
      <w:r w:rsidR="00A927B4" w:rsidRPr="00783AC5">
        <w:rPr>
          <w:rFonts w:ascii="Arial" w:eastAsia="Calibri" w:hAnsi="Arial" w:cs="Arial"/>
          <w:color w:val="000000" w:themeColor="text1"/>
          <w:sz w:val="22"/>
        </w:rPr>
        <w:t xml:space="preserve">la posibilidad de </w:t>
      </w:r>
      <w:r w:rsidR="00A927B4" w:rsidRPr="006B73CA">
        <w:rPr>
          <w:rFonts w:ascii="Arial" w:eastAsia="Calibri" w:hAnsi="Arial" w:cs="Arial"/>
          <w:color w:val="000000" w:themeColor="text1"/>
          <w:sz w:val="22"/>
        </w:rPr>
        <w:t>que una persona ejecute varios contratos de prestación de servicios de manera simultánea</w:t>
      </w:r>
      <w:r w:rsidR="00A47EBD" w:rsidRPr="006B73CA">
        <w:rPr>
          <w:rFonts w:ascii="Arial" w:hAnsi="Arial" w:cs="Arial"/>
          <w:color w:val="000000" w:themeColor="text1"/>
          <w:sz w:val="22"/>
          <w:lang w:val="es-ES_tradnl"/>
        </w:rPr>
        <w:t xml:space="preserve">, esta Agencia se pronunció en los conceptos </w:t>
      </w:r>
      <w:r w:rsidRPr="006B73CA">
        <w:rPr>
          <w:rFonts w:ascii="Arial" w:eastAsia="Calibri" w:hAnsi="Arial" w:cs="Arial"/>
          <w:color w:val="000000" w:themeColor="text1"/>
          <w:sz w:val="22"/>
          <w:lang w:val="es-ES_tradnl"/>
        </w:rPr>
        <w:t xml:space="preserve">Concepto </w:t>
      </w:r>
      <w:r w:rsidRPr="006B73CA">
        <w:rPr>
          <w:rFonts w:ascii="Arial" w:eastAsia="Calibri" w:hAnsi="Arial" w:cs="Arial"/>
          <w:color w:val="000000" w:themeColor="text1"/>
          <w:sz w:val="22"/>
        </w:rPr>
        <w:t>C-090 del 24 de febrero de 2020</w:t>
      </w:r>
      <w:r w:rsidR="00D0513E" w:rsidRPr="006B73CA">
        <w:rPr>
          <w:rFonts w:ascii="Arial" w:eastAsia="Calibri" w:hAnsi="Arial" w:cs="Arial"/>
          <w:color w:val="000000" w:themeColor="text1"/>
          <w:sz w:val="22"/>
        </w:rPr>
        <w:t xml:space="preserve"> y C-004 del 12 de febrero de 202</w:t>
      </w:r>
      <w:r w:rsidR="004A182F" w:rsidRPr="006B73CA">
        <w:rPr>
          <w:rFonts w:ascii="Arial" w:eastAsia="Calibri" w:hAnsi="Arial" w:cs="Arial"/>
          <w:color w:val="000000" w:themeColor="text1"/>
          <w:sz w:val="22"/>
        </w:rPr>
        <w:t>1</w:t>
      </w:r>
      <w:r w:rsidRPr="006B73CA">
        <w:rPr>
          <w:rFonts w:ascii="Arial" w:eastAsia="Calibri" w:hAnsi="Arial" w:cs="Arial"/>
          <w:color w:val="000000" w:themeColor="text1"/>
          <w:sz w:val="22"/>
        </w:rPr>
        <w:t>. La</w:t>
      </w:r>
      <w:r w:rsidR="00A927B4" w:rsidRPr="006B73CA">
        <w:rPr>
          <w:rFonts w:ascii="Arial" w:eastAsia="Calibri" w:hAnsi="Arial" w:cs="Arial"/>
          <w:color w:val="000000" w:themeColor="text1"/>
          <w:sz w:val="22"/>
        </w:rPr>
        <w:t>s</w:t>
      </w:r>
      <w:r w:rsidRPr="006B73CA">
        <w:rPr>
          <w:rFonts w:ascii="Arial" w:eastAsia="Calibri" w:hAnsi="Arial" w:cs="Arial"/>
          <w:color w:val="000000" w:themeColor="text1"/>
          <w:sz w:val="22"/>
        </w:rPr>
        <w:t xml:space="preserve"> tesis desarrollada</w:t>
      </w:r>
      <w:r w:rsidR="00A927B4" w:rsidRPr="006B73CA">
        <w:rPr>
          <w:rFonts w:ascii="Arial" w:eastAsia="Calibri" w:hAnsi="Arial" w:cs="Arial"/>
          <w:color w:val="000000" w:themeColor="text1"/>
          <w:sz w:val="22"/>
        </w:rPr>
        <w:t>s</w:t>
      </w:r>
      <w:r w:rsidRPr="006B73CA">
        <w:rPr>
          <w:rFonts w:ascii="Arial" w:eastAsia="Calibri" w:hAnsi="Arial" w:cs="Arial"/>
          <w:color w:val="000000" w:themeColor="text1"/>
          <w:sz w:val="22"/>
        </w:rPr>
        <w:t xml:space="preserve"> se reitera</w:t>
      </w:r>
      <w:r w:rsidR="00A927B4" w:rsidRPr="006B73CA">
        <w:rPr>
          <w:rFonts w:ascii="Arial" w:eastAsia="Calibri" w:hAnsi="Arial" w:cs="Arial"/>
          <w:color w:val="000000" w:themeColor="text1"/>
          <w:sz w:val="22"/>
        </w:rPr>
        <w:t>n y complementan</w:t>
      </w:r>
      <w:r w:rsidR="0082723A" w:rsidRPr="006B73CA">
        <w:rPr>
          <w:rFonts w:ascii="Arial" w:eastAsia="Calibri" w:hAnsi="Arial" w:cs="Arial"/>
          <w:color w:val="000000" w:themeColor="text1"/>
          <w:sz w:val="22"/>
        </w:rPr>
        <w:t xml:space="preserve"> en lo pertinente</w:t>
      </w:r>
      <w:r w:rsidRPr="006B73CA">
        <w:rPr>
          <w:rFonts w:ascii="Arial" w:eastAsia="Calibri" w:hAnsi="Arial" w:cs="Arial"/>
          <w:color w:val="000000" w:themeColor="text1"/>
          <w:sz w:val="22"/>
        </w:rPr>
        <w:t xml:space="preserve"> a continuación:</w:t>
      </w:r>
    </w:p>
    <w:p w14:paraId="1214F850" w14:textId="13E160E5" w:rsidR="00E419C7" w:rsidRPr="00B34705" w:rsidRDefault="00E419C7" w:rsidP="00B34705">
      <w:pPr>
        <w:tabs>
          <w:tab w:val="left" w:pos="426"/>
        </w:tabs>
        <w:spacing w:before="240" w:line="276" w:lineRule="auto"/>
        <w:jc w:val="both"/>
        <w:rPr>
          <w:rFonts w:ascii="Arial" w:eastAsia="Calibri" w:hAnsi="Arial" w:cs="Arial"/>
          <w:b/>
          <w:color w:val="000000" w:themeColor="text1"/>
          <w:sz w:val="22"/>
          <w:lang w:val="es-ES_tradnl"/>
        </w:rPr>
      </w:pPr>
      <w:r w:rsidRPr="00F95886">
        <w:rPr>
          <w:rFonts w:ascii="Arial" w:eastAsia="Calibri" w:hAnsi="Arial" w:cs="Arial"/>
          <w:b/>
          <w:color w:val="000000" w:themeColor="text1"/>
          <w:sz w:val="22"/>
          <w:lang w:val="es-ES_tradnl"/>
        </w:rPr>
        <w:t xml:space="preserve">2.1. Régimen de inhabilidades e incompatibilidades en la contratación estatal: un límite a la capacidad contractual. La interpretación restrictiva como criterio hermenéutico de </w:t>
      </w:r>
      <w:r w:rsidR="0099311A">
        <w:rPr>
          <w:rFonts w:ascii="Arial" w:eastAsia="Calibri" w:hAnsi="Arial" w:cs="Arial"/>
          <w:b/>
          <w:color w:val="000000" w:themeColor="text1"/>
          <w:sz w:val="22"/>
          <w:lang w:val="es-ES_tradnl"/>
        </w:rPr>
        <w:t>normas que afectan la capacidad jurídica</w:t>
      </w:r>
      <w:r w:rsidRPr="00F95886">
        <w:rPr>
          <w:rFonts w:ascii="Arial" w:eastAsia="Calibri" w:hAnsi="Arial" w:cs="Arial"/>
          <w:b/>
          <w:color w:val="000000" w:themeColor="text1"/>
          <w:sz w:val="22"/>
          <w:lang w:val="es-ES_tradnl"/>
        </w:rPr>
        <w:t xml:space="preserve"> </w:t>
      </w:r>
    </w:p>
    <w:p w14:paraId="4986C82A" w14:textId="0A90D674" w:rsidR="00E419C7" w:rsidRPr="00F77AF2" w:rsidRDefault="00F77AF2" w:rsidP="00C1034B">
      <w:pPr>
        <w:spacing w:before="240" w:line="276" w:lineRule="auto"/>
        <w:jc w:val="both"/>
        <w:rPr>
          <w:rFonts w:ascii="Arial" w:eastAsia="Arial" w:hAnsi="Arial" w:cs="Arial"/>
          <w:color w:val="000000"/>
          <w:sz w:val="22"/>
          <w:lang w:val="es-ES_tradnl"/>
        </w:rPr>
      </w:pPr>
      <w:r w:rsidRPr="00E84F83">
        <w:rPr>
          <w:rFonts w:ascii="Arial" w:eastAsia="Arial" w:hAnsi="Arial" w:cs="Arial"/>
          <w:color w:val="000000"/>
          <w:sz w:val="22"/>
          <w:lang w:val="es-ES_tradnl"/>
        </w:rPr>
        <w:t xml:space="preserve">En la contratación estatal, la </w:t>
      </w:r>
      <w:r w:rsidRPr="00E84F83">
        <w:rPr>
          <w:rFonts w:ascii="Arial" w:eastAsia="Arial" w:hAnsi="Arial" w:cs="Arial"/>
          <w:i/>
          <w:iCs/>
          <w:color w:val="000000"/>
          <w:sz w:val="22"/>
          <w:lang w:val="es-ES_tradnl"/>
        </w:rPr>
        <w:t>capacidad</w:t>
      </w:r>
      <w:r w:rsidRPr="00E84F83">
        <w:rPr>
          <w:rFonts w:ascii="Arial" w:eastAsia="Arial" w:hAnsi="Arial" w:cs="Arial"/>
          <w:color w:val="000000"/>
          <w:sz w:val="22"/>
          <w:lang w:val="es-ES_tradnl"/>
        </w:rPr>
        <w:t xml:space="preserve"> </w:t>
      </w:r>
      <w:r w:rsidRPr="00E84F83">
        <w:rPr>
          <w:rFonts w:ascii="Arial" w:eastAsia="Arial" w:hAnsi="Arial" w:cs="Arial"/>
          <w:i/>
          <w:iCs/>
          <w:color w:val="000000"/>
          <w:sz w:val="22"/>
          <w:lang w:val="es-ES_tradnl"/>
        </w:rPr>
        <w:t>jurídica</w:t>
      </w:r>
      <w:r w:rsidRPr="00E84F83">
        <w:rPr>
          <w:rFonts w:ascii="Arial" w:eastAsia="Arial" w:hAnsi="Arial" w:cs="Arial"/>
          <w:color w:val="000000"/>
          <w:sz w:val="22"/>
          <w:lang w:val="es-ES_tradnl"/>
        </w:rPr>
        <w:t xml:space="preserve"> también es un requisito de validez de los contratos, tanto en el régimen de las entidades sujetas al Estatuto General de Contratación de la Administración Pública</w:t>
      </w:r>
      <w:r w:rsidRPr="00E84F83">
        <w:rPr>
          <w:rFonts w:ascii="Arial" w:eastAsia="Arial" w:hAnsi="Arial" w:cs="Arial"/>
          <w:color w:val="000000"/>
          <w:sz w:val="22"/>
          <w:vertAlign w:val="superscript"/>
          <w:lang w:val="es-ES_tradnl"/>
        </w:rPr>
        <w:footnoteReference w:id="2"/>
      </w:r>
      <w:r w:rsidRPr="00E84F83">
        <w:rPr>
          <w:rFonts w:ascii="Arial" w:eastAsia="Arial" w:hAnsi="Arial" w:cs="Arial"/>
          <w:color w:val="000000"/>
          <w:sz w:val="22"/>
          <w:lang w:val="es-ES_tradnl"/>
        </w:rPr>
        <w:t xml:space="preserve"> como en el de las entidades exceptuadas de aquel</w:t>
      </w:r>
      <w:r w:rsidRPr="00E84F83">
        <w:rPr>
          <w:rFonts w:ascii="Arial" w:eastAsia="Arial" w:hAnsi="Arial" w:cs="Arial"/>
          <w:color w:val="000000"/>
          <w:sz w:val="22"/>
          <w:vertAlign w:val="superscript"/>
          <w:lang w:val="es-ES_tradnl"/>
        </w:rPr>
        <w:footnoteReference w:id="3"/>
      </w:r>
      <w:r w:rsidRPr="00E84F83">
        <w:rPr>
          <w:rFonts w:ascii="Arial" w:eastAsia="Arial" w:hAnsi="Arial" w:cs="Arial"/>
          <w:color w:val="000000"/>
          <w:sz w:val="22"/>
          <w:lang w:val="es-ES_tradnl"/>
        </w:rPr>
        <w:t>. Si bien la regulación de la capacidad se integra por varias disposiciones y exigencias especiales –como el requisito de inscribirse, por regla general, en el Registro Único de Proponentes (RUP)–,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E84F83">
        <w:rPr>
          <w:rFonts w:ascii="Arial" w:eastAsia="Arial" w:hAnsi="Arial" w:cs="Arial"/>
          <w:color w:val="000000"/>
          <w:sz w:val="22"/>
          <w:vertAlign w:val="superscript"/>
          <w:lang w:val="es-ES_tradnl"/>
        </w:rPr>
        <w:footnoteReference w:id="4"/>
      </w:r>
      <w:r w:rsidRPr="00E84F83">
        <w:rPr>
          <w:rFonts w:ascii="Arial" w:eastAsia="Arial" w:hAnsi="Arial" w:cs="Arial"/>
          <w:color w:val="000000"/>
          <w:sz w:val="22"/>
          <w:lang w:val="es-ES_tradnl"/>
        </w:rPr>
        <w:t>.</w:t>
      </w:r>
    </w:p>
    <w:p w14:paraId="52B9C873" w14:textId="77777777" w:rsidR="00E419C7" w:rsidRPr="00F95886" w:rsidRDefault="00E419C7" w:rsidP="00C1034B">
      <w:pPr>
        <w:spacing w:before="240" w:after="120"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Las inhabilidades son prohibiciones para concurrir a los procedimientos de selección y para contratar con el Estado, que se derivan i) de la existencia de comportamientos reprochables o de sanciones anteriormente impuestas</w:t>
      </w:r>
      <w:r w:rsidRPr="00F95886">
        <w:rPr>
          <w:rFonts w:ascii="Arial" w:eastAsia="Calibri" w:hAnsi="Arial" w:cs="Arial"/>
          <w:color w:val="000000" w:themeColor="text1"/>
          <w:sz w:val="22"/>
          <w:vertAlign w:val="superscript"/>
          <w:lang w:val="es-ES_tradnl"/>
        </w:rPr>
        <w:footnoteReference w:id="5"/>
      </w:r>
      <w:r w:rsidRPr="00F95886">
        <w:rPr>
          <w:rFonts w:ascii="Arial" w:eastAsia="Calibri" w:hAnsi="Arial" w:cs="Arial"/>
          <w:color w:val="000000" w:themeColor="text1"/>
          <w:sz w:val="22"/>
          <w:lang w:val="es-ES_tradnl"/>
        </w:rPr>
        <w:t xml:space="preserve">, </w:t>
      </w:r>
      <w:proofErr w:type="spellStart"/>
      <w:r w:rsidRPr="00F95886">
        <w:rPr>
          <w:rFonts w:ascii="Arial" w:eastAsia="Calibri" w:hAnsi="Arial" w:cs="Arial"/>
          <w:color w:val="000000" w:themeColor="text1"/>
          <w:sz w:val="22"/>
          <w:lang w:val="es-ES_tradnl"/>
        </w:rPr>
        <w:t>ii</w:t>
      </w:r>
      <w:proofErr w:type="spellEnd"/>
      <w:r w:rsidRPr="00F95886">
        <w:rPr>
          <w:rFonts w:ascii="Arial" w:eastAsia="Calibri" w:hAnsi="Arial" w:cs="Arial"/>
          <w:color w:val="000000" w:themeColor="text1"/>
          <w:sz w:val="22"/>
          <w:lang w:val="es-ES_tradnl"/>
        </w:rPr>
        <w:t>) de vínculos personales relativos al parentesco o al estado civil</w:t>
      </w:r>
      <w:r w:rsidRPr="00F95886">
        <w:rPr>
          <w:rFonts w:ascii="Arial" w:eastAsia="Calibri" w:hAnsi="Arial" w:cs="Arial"/>
          <w:color w:val="000000" w:themeColor="text1"/>
          <w:sz w:val="22"/>
          <w:vertAlign w:val="superscript"/>
          <w:lang w:val="es-ES_tradnl"/>
        </w:rPr>
        <w:footnoteReference w:id="6"/>
      </w:r>
      <w:r w:rsidRPr="00F95886">
        <w:rPr>
          <w:rFonts w:ascii="Arial" w:eastAsia="Calibri" w:hAnsi="Arial" w:cs="Arial"/>
          <w:color w:val="000000" w:themeColor="text1"/>
          <w:sz w:val="22"/>
          <w:lang w:val="es-ES_tradnl"/>
        </w:rPr>
        <w:t xml:space="preserve"> o </w:t>
      </w:r>
      <w:proofErr w:type="spellStart"/>
      <w:r w:rsidRPr="00F95886">
        <w:rPr>
          <w:rFonts w:ascii="Arial" w:eastAsia="Calibri" w:hAnsi="Arial" w:cs="Arial"/>
          <w:color w:val="000000" w:themeColor="text1"/>
          <w:sz w:val="22"/>
          <w:lang w:val="es-ES_tradnl"/>
        </w:rPr>
        <w:t>iii</w:t>
      </w:r>
      <w:proofErr w:type="spellEnd"/>
      <w:r w:rsidRPr="00F95886">
        <w:rPr>
          <w:rFonts w:ascii="Arial" w:eastAsia="Calibri" w:hAnsi="Arial" w:cs="Arial"/>
          <w:color w:val="000000" w:themeColor="text1"/>
          <w:sz w:val="22"/>
          <w:lang w:val="es-ES_tradnl"/>
        </w:rPr>
        <w:t>) de una actividad u oficio que se desempeñó en el pasado</w:t>
      </w:r>
      <w:r w:rsidRPr="00F95886">
        <w:rPr>
          <w:rFonts w:ascii="Arial" w:eastAsia="Calibri" w:hAnsi="Arial" w:cs="Arial"/>
          <w:color w:val="000000" w:themeColor="text1"/>
          <w:sz w:val="22"/>
          <w:vertAlign w:val="superscript"/>
          <w:lang w:val="es-ES_tradnl"/>
        </w:rPr>
        <w:footnoteReference w:id="7"/>
      </w:r>
      <w:r w:rsidRPr="00F95886">
        <w:rPr>
          <w:rFonts w:ascii="Arial" w:eastAsia="Calibri" w:hAnsi="Arial" w:cs="Arial"/>
          <w:color w:val="000000" w:themeColor="text1"/>
          <w:sz w:val="22"/>
          <w:lang w:val="es-ES_tradnl"/>
        </w:rPr>
        <w:t>.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F95886">
        <w:rPr>
          <w:rFonts w:ascii="Arial" w:eastAsia="Calibri" w:hAnsi="Arial" w:cs="Arial"/>
          <w:color w:val="000000" w:themeColor="text1"/>
          <w:sz w:val="22"/>
          <w:vertAlign w:val="superscript"/>
          <w:lang w:val="es-ES_tradnl"/>
        </w:rPr>
        <w:footnoteReference w:id="8"/>
      </w:r>
      <w:r w:rsidRPr="00F95886">
        <w:rPr>
          <w:rFonts w:ascii="Arial" w:eastAsia="Calibri" w:hAnsi="Arial" w:cs="Arial"/>
          <w:color w:val="000000" w:themeColor="text1"/>
          <w:sz w:val="22"/>
          <w:lang w:val="es-ES_tradnl"/>
        </w:rPr>
        <w:t xml:space="preserve">. </w:t>
      </w:r>
    </w:p>
    <w:p w14:paraId="3C4BD1C6" w14:textId="0190BBF0" w:rsidR="00E419C7" w:rsidRPr="00F95886" w:rsidRDefault="00E419C7" w:rsidP="00DC2B66">
      <w:pPr>
        <w:spacing w:after="120"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El régimen de inhabilidades e incompatibilidades en la contratación pública responde a la tendencia</w:t>
      </w:r>
      <w:r w:rsidR="00260F10">
        <w:rPr>
          <w:rFonts w:ascii="Arial" w:eastAsia="Calibri" w:hAnsi="Arial" w:cs="Arial"/>
          <w:color w:val="000000" w:themeColor="text1"/>
          <w:sz w:val="22"/>
          <w:lang w:val="es-ES_tradnl"/>
        </w:rPr>
        <w:t xml:space="preserve"> </w:t>
      </w:r>
      <w:r w:rsidRPr="00F95886">
        <w:rPr>
          <w:rFonts w:ascii="Arial" w:eastAsia="Calibri" w:hAnsi="Arial" w:cs="Arial"/>
          <w:color w:val="000000" w:themeColor="text1"/>
          <w:sz w:val="22"/>
          <w:lang w:val="es-ES_tradnl"/>
        </w:rPr>
        <w:t>de asegurar que la provisión de los bienes y servicios por parte de las entidades estatales se efectúe cumpliendo con los principios de la función administrativa y de la gestión fiscal, especialmente con probidad y transparencia. Es por e</w:t>
      </w:r>
      <w:r w:rsidR="00492A9F">
        <w:rPr>
          <w:rFonts w:ascii="Arial" w:eastAsia="Calibri" w:hAnsi="Arial" w:cs="Arial"/>
          <w:color w:val="000000" w:themeColor="text1"/>
          <w:sz w:val="22"/>
          <w:lang w:val="es-ES_tradnl"/>
        </w:rPr>
        <w:t>so</w:t>
      </w:r>
      <w:r w:rsidRPr="00F95886">
        <w:rPr>
          <w:rFonts w:ascii="Arial" w:eastAsia="Calibri" w:hAnsi="Arial" w:cs="Arial"/>
          <w:color w:val="000000" w:themeColor="text1"/>
          <w:sz w:val="22"/>
          <w:lang w:val="es-ES_tradnl"/>
        </w:rPr>
        <w:t xml:space="preserve"> </w:t>
      </w:r>
      <w:proofErr w:type="gramStart"/>
      <w:r w:rsidRPr="00F95886">
        <w:rPr>
          <w:rFonts w:ascii="Arial" w:eastAsia="Calibri" w:hAnsi="Arial" w:cs="Arial"/>
          <w:color w:val="000000" w:themeColor="text1"/>
          <w:sz w:val="22"/>
          <w:lang w:val="es-ES_tradnl"/>
        </w:rPr>
        <w:t>que</w:t>
      </w:r>
      <w:proofErr w:type="gramEnd"/>
      <w:r w:rsidRPr="00F95886">
        <w:rPr>
          <w:rFonts w:ascii="Arial" w:eastAsia="Calibri" w:hAnsi="Arial" w:cs="Arial"/>
          <w:color w:val="000000" w:themeColor="text1"/>
          <w:sz w:val="22"/>
          <w:lang w:val="es-ES_tradnl"/>
        </w:rPr>
        <w:t xml:space="preserve">, como lo ha destacado la doctrina, las inhabilidades e incompatibilidades </w:t>
      </w:r>
      <w:r w:rsidR="00260F10">
        <w:rPr>
          <w:rFonts w:ascii="Arial" w:eastAsia="Calibri" w:hAnsi="Arial" w:cs="Arial"/>
          <w:color w:val="000000" w:themeColor="text1"/>
          <w:sz w:val="22"/>
          <w:lang w:val="es-ES_tradnl"/>
        </w:rPr>
        <w:t>son</w:t>
      </w:r>
      <w:r w:rsidRPr="00F95886">
        <w:rPr>
          <w:rFonts w:ascii="Arial" w:eastAsia="Calibri" w:hAnsi="Arial" w:cs="Arial"/>
          <w:color w:val="000000" w:themeColor="text1"/>
          <w:sz w:val="22"/>
          <w:lang w:val="es-ES_tradnl"/>
        </w:rPr>
        <w:t xml:space="preserve"> herramientas en la lucha contra la corrupción, adoptando paulatinamente un </w:t>
      </w:r>
      <w:r w:rsidR="00260F10">
        <w:rPr>
          <w:rFonts w:ascii="Arial" w:eastAsia="Calibri" w:hAnsi="Arial" w:cs="Arial"/>
          <w:color w:val="000000" w:themeColor="text1"/>
          <w:sz w:val="22"/>
          <w:lang w:val="es-ES_tradnl"/>
        </w:rPr>
        <w:t>carácter</w:t>
      </w:r>
      <w:r w:rsidR="00260F10" w:rsidRPr="00F95886">
        <w:rPr>
          <w:rFonts w:ascii="Arial" w:eastAsia="Calibri" w:hAnsi="Arial" w:cs="Arial"/>
          <w:color w:val="000000" w:themeColor="text1"/>
          <w:sz w:val="22"/>
          <w:lang w:val="es-ES_tradnl"/>
        </w:rPr>
        <w:t xml:space="preserve"> </w:t>
      </w:r>
      <w:r w:rsidRPr="00F95886">
        <w:rPr>
          <w:rFonts w:ascii="Arial" w:eastAsia="Calibri" w:hAnsi="Arial" w:cs="Arial"/>
          <w:color w:val="000000" w:themeColor="text1"/>
          <w:sz w:val="22"/>
          <w:lang w:val="es-ES_tradnl"/>
        </w:rPr>
        <w:t>sancionatorio o «</w:t>
      </w:r>
      <w:proofErr w:type="spellStart"/>
      <w:r w:rsidRPr="00F95886">
        <w:rPr>
          <w:rFonts w:ascii="Arial" w:eastAsia="Calibri" w:hAnsi="Arial" w:cs="Arial"/>
          <w:color w:val="000000" w:themeColor="text1"/>
          <w:sz w:val="22"/>
          <w:lang w:val="es-ES_tradnl"/>
        </w:rPr>
        <w:t>neopunitivo</w:t>
      </w:r>
      <w:proofErr w:type="spellEnd"/>
      <w:r w:rsidRPr="00F95886">
        <w:rPr>
          <w:rFonts w:ascii="Arial" w:eastAsia="Calibri" w:hAnsi="Arial" w:cs="Arial"/>
          <w:color w:val="000000" w:themeColor="text1"/>
          <w:sz w:val="22"/>
          <w:lang w:val="es-ES_tradnl"/>
        </w:rPr>
        <w:t>»</w:t>
      </w:r>
      <w:r w:rsidRPr="00F95886">
        <w:rPr>
          <w:rFonts w:ascii="Arial" w:eastAsia="Calibri" w:hAnsi="Arial" w:cs="Arial"/>
          <w:color w:val="000000" w:themeColor="text1"/>
          <w:sz w:val="22"/>
          <w:vertAlign w:val="superscript"/>
          <w:lang w:val="es-ES_tradnl"/>
        </w:rPr>
        <w:footnoteReference w:id="9"/>
      </w:r>
      <w:r w:rsidRPr="00F95886">
        <w:rPr>
          <w:rFonts w:ascii="Arial" w:eastAsia="Calibri" w:hAnsi="Arial" w:cs="Arial"/>
          <w:color w:val="000000" w:themeColor="text1"/>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3BB6548" w14:textId="2886A188" w:rsidR="00E419C7" w:rsidRPr="00F95886" w:rsidRDefault="00E419C7" w:rsidP="00DC2B66">
      <w:pPr>
        <w:spacing w:after="120"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F95886">
        <w:rPr>
          <w:rFonts w:ascii="Arial" w:eastAsia="Calibri" w:hAnsi="Arial" w:cs="Arial"/>
          <w:i/>
          <w:iCs/>
          <w:color w:val="000000" w:themeColor="text1"/>
          <w:sz w:val="22"/>
          <w:lang w:val="es-ES_tradnl"/>
        </w:rPr>
        <w:t>restrictiva</w:t>
      </w:r>
      <w:r w:rsidRPr="00F95886">
        <w:rPr>
          <w:rFonts w:ascii="Arial" w:eastAsia="Calibri" w:hAnsi="Arial" w:cs="Arial"/>
          <w:color w:val="000000" w:themeColor="text1"/>
          <w:sz w:val="22"/>
          <w:vertAlign w:val="superscript"/>
          <w:lang w:val="es-ES_tradnl"/>
        </w:rPr>
        <w:footnoteReference w:id="10"/>
      </w:r>
      <w:r w:rsidR="00260F10">
        <w:rPr>
          <w:rFonts w:ascii="Arial" w:eastAsia="Calibri" w:hAnsi="Arial" w:cs="Arial"/>
          <w:color w:val="000000" w:themeColor="text1"/>
          <w:sz w:val="22"/>
          <w:lang w:val="es-ES_tradnl"/>
        </w:rPr>
        <w:t xml:space="preserve">. En efecto, </w:t>
      </w:r>
      <w:r w:rsidRPr="00F95886">
        <w:rPr>
          <w:rFonts w:ascii="Arial" w:eastAsia="Calibri" w:hAnsi="Arial" w:cs="Arial"/>
          <w:color w:val="000000" w:themeColor="text1"/>
          <w:sz w:val="22"/>
          <w:lang w:val="es-ES_tradnl"/>
        </w:rPr>
        <w:t xml:space="preserve">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07295885" w14:textId="77777777" w:rsidR="00E419C7" w:rsidRPr="00F95886" w:rsidRDefault="00E419C7" w:rsidP="00E419C7">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F95886">
        <w:rPr>
          <w:rFonts w:ascii="Arial" w:eastAsia="Calibri" w:hAnsi="Arial" w:cs="Arial"/>
          <w:color w:val="000000" w:themeColor="text1"/>
          <w:sz w:val="22"/>
          <w:vertAlign w:val="superscript"/>
          <w:lang w:val="es-ES_tradnl"/>
        </w:rPr>
        <w:footnoteReference w:id="11"/>
      </w:r>
      <w:r w:rsidRPr="00F95886">
        <w:rPr>
          <w:rFonts w:ascii="Arial" w:eastAsia="Calibri" w:hAnsi="Arial" w:cs="Arial"/>
          <w:color w:val="000000" w:themeColor="text1"/>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F95886">
        <w:rPr>
          <w:rFonts w:ascii="Arial" w:eastAsia="Calibri" w:hAnsi="Arial" w:cs="Arial"/>
          <w:color w:val="000000" w:themeColor="text1"/>
          <w:sz w:val="22"/>
          <w:vertAlign w:val="superscript"/>
          <w:lang w:val="es-ES_tradnl"/>
        </w:rPr>
        <w:footnoteReference w:id="12"/>
      </w:r>
      <w:r w:rsidRPr="00F95886">
        <w:rPr>
          <w:rFonts w:ascii="Arial" w:eastAsia="Calibri" w:hAnsi="Arial" w:cs="Arial"/>
          <w:color w:val="000000" w:themeColor="text1"/>
          <w:sz w:val="22"/>
          <w:lang w:val="es-ES_tradnl"/>
        </w:rPr>
        <w:t>. En tal sentido, la Sección Tercera ha señalado que:</w:t>
      </w:r>
    </w:p>
    <w:p w14:paraId="5835A63B" w14:textId="77777777" w:rsidR="00E419C7" w:rsidRPr="00F95886" w:rsidRDefault="00E419C7" w:rsidP="00E419C7">
      <w:pPr>
        <w:spacing w:line="276" w:lineRule="auto"/>
        <w:ind w:firstLine="709"/>
        <w:jc w:val="both"/>
        <w:rPr>
          <w:rFonts w:ascii="Arial" w:eastAsia="Calibri" w:hAnsi="Arial" w:cs="Arial"/>
          <w:color w:val="000000" w:themeColor="text1"/>
          <w:sz w:val="22"/>
          <w:lang w:val="es-ES_tradnl"/>
        </w:rPr>
      </w:pPr>
    </w:p>
    <w:p w14:paraId="1D36FCF4" w14:textId="77777777" w:rsidR="00E419C7" w:rsidRPr="00F95886" w:rsidRDefault="00E419C7" w:rsidP="00E419C7">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F95886">
        <w:rPr>
          <w:rFonts w:ascii="Arial" w:hAnsi="Arial" w:cs="Arial"/>
          <w:color w:val="000000" w:themeColor="text1"/>
          <w:sz w:val="21"/>
          <w:szCs w:val="21"/>
          <w:vertAlign w:val="superscript"/>
          <w:lang w:val="es-ES_tradnl"/>
        </w:rPr>
        <w:footnoteReference w:id="13"/>
      </w:r>
      <w:r w:rsidRPr="00F95886">
        <w:rPr>
          <w:rFonts w:ascii="Arial" w:hAnsi="Arial" w:cs="Arial"/>
          <w:color w:val="000000" w:themeColor="text1"/>
          <w:sz w:val="21"/>
          <w:szCs w:val="21"/>
          <w:lang w:val="es-ES_tradnl"/>
        </w:rPr>
        <w:t>.</w:t>
      </w:r>
    </w:p>
    <w:p w14:paraId="6192D61C" w14:textId="77777777" w:rsidR="00E419C7" w:rsidRPr="00F95886" w:rsidRDefault="00E419C7" w:rsidP="00E419C7">
      <w:pPr>
        <w:ind w:left="709" w:right="709"/>
        <w:jc w:val="both"/>
        <w:rPr>
          <w:rFonts w:ascii="Arial" w:hAnsi="Arial" w:cs="Arial"/>
          <w:bCs/>
          <w:color w:val="000000" w:themeColor="text1"/>
          <w:sz w:val="21"/>
          <w:szCs w:val="21"/>
          <w:lang w:val="es-ES_tradnl"/>
        </w:rPr>
      </w:pPr>
    </w:p>
    <w:p w14:paraId="592CD639" w14:textId="77777777" w:rsidR="00E419C7" w:rsidRPr="00F95886" w:rsidRDefault="00E419C7" w:rsidP="00E419C7">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También ha dicho que:</w:t>
      </w:r>
    </w:p>
    <w:p w14:paraId="282331AF" w14:textId="77777777" w:rsidR="00E419C7" w:rsidRPr="00F95886" w:rsidRDefault="00E419C7" w:rsidP="00E419C7">
      <w:pPr>
        <w:ind w:firstLine="709"/>
        <w:jc w:val="both"/>
        <w:rPr>
          <w:rFonts w:ascii="Arial" w:eastAsia="Calibri" w:hAnsi="Arial" w:cs="Arial"/>
          <w:color w:val="000000" w:themeColor="text1"/>
          <w:sz w:val="21"/>
          <w:szCs w:val="21"/>
          <w:lang w:val="es-ES_tradnl"/>
        </w:rPr>
      </w:pPr>
    </w:p>
    <w:p w14:paraId="6935CC68" w14:textId="77777777" w:rsidR="00E419C7" w:rsidRPr="00F95886" w:rsidRDefault="00E419C7" w:rsidP="00E419C7">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 xml:space="preserve">[…] la aplicación de estos preceptos exige una interpretación restrictiva, dado que según el principio hermenéutico </w:t>
      </w:r>
      <w:r w:rsidRPr="00F95886">
        <w:rPr>
          <w:rFonts w:ascii="Arial" w:hAnsi="Arial" w:cs="Arial"/>
          <w:i/>
          <w:iCs/>
          <w:color w:val="000000" w:themeColor="text1"/>
          <w:sz w:val="21"/>
          <w:szCs w:val="21"/>
          <w:lang w:val="es-ES_tradnl"/>
        </w:rPr>
        <w:t xml:space="preserve">pro </w:t>
      </w:r>
      <w:proofErr w:type="spellStart"/>
      <w:r w:rsidRPr="00F95886">
        <w:rPr>
          <w:rFonts w:ascii="Arial" w:hAnsi="Arial" w:cs="Arial"/>
          <w:i/>
          <w:iCs/>
          <w:color w:val="000000" w:themeColor="text1"/>
          <w:sz w:val="21"/>
          <w:szCs w:val="21"/>
          <w:lang w:val="es-ES_tradnl"/>
        </w:rPr>
        <w:t>libertate</w:t>
      </w:r>
      <w:proofErr w:type="spellEnd"/>
      <w:r w:rsidRPr="00F95886">
        <w:rPr>
          <w:rFonts w:ascii="Arial" w:hAnsi="Arial" w:cs="Arial"/>
          <w:color w:val="000000" w:themeColor="text1"/>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F95886">
        <w:rPr>
          <w:rFonts w:ascii="Arial" w:hAnsi="Arial" w:cs="Arial"/>
          <w:color w:val="000000" w:themeColor="text1"/>
          <w:sz w:val="21"/>
          <w:szCs w:val="21"/>
          <w:vertAlign w:val="superscript"/>
          <w:lang w:val="es-ES_tradnl"/>
        </w:rPr>
        <w:footnoteReference w:id="14"/>
      </w:r>
      <w:r w:rsidRPr="00F95886">
        <w:rPr>
          <w:rFonts w:ascii="Arial" w:hAnsi="Arial" w:cs="Arial"/>
          <w:color w:val="000000" w:themeColor="text1"/>
          <w:sz w:val="21"/>
          <w:szCs w:val="21"/>
          <w:lang w:val="es-ES_tradnl"/>
        </w:rPr>
        <w:t>.</w:t>
      </w:r>
    </w:p>
    <w:p w14:paraId="4FEF96B6" w14:textId="77777777" w:rsidR="00E419C7" w:rsidRPr="00F95886" w:rsidRDefault="00E419C7" w:rsidP="00E419C7">
      <w:pPr>
        <w:spacing w:line="276" w:lineRule="auto"/>
        <w:ind w:left="709" w:right="709"/>
        <w:jc w:val="both"/>
        <w:rPr>
          <w:rFonts w:ascii="Arial" w:hAnsi="Arial" w:cs="Arial"/>
          <w:color w:val="000000" w:themeColor="text1"/>
          <w:sz w:val="21"/>
          <w:szCs w:val="21"/>
          <w:lang w:val="es-ES_tradnl"/>
        </w:rPr>
      </w:pPr>
    </w:p>
    <w:p w14:paraId="6DE55F3A" w14:textId="062FA975" w:rsidR="00287CAD" w:rsidRPr="00287CAD" w:rsidRDefault="002C6195" w:rsidP="00287CAD">
      <w:pPr>
        <w:pStyle w:val="NormalWeb"/>
        <w:shd w:val="clear" w:color="auto" w:fill="FFFFFF"/>
        <w:spacing w:before="0" w:beforeAutospacing="0" w:after="0" w:afterAutospacing="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As</w:t>
      </w:r>
      <w:r w:rsidR="00794C87">
        <w:rPr>
          <w:rFonts w:ascii="Arial" w:eastAsia="Calibri" w:hAnsi="Arial" w:cs="Arial"/>
          <w:color w:val="000000" w:themeColor="text1"/>
          <w:sz w:val="22"/>
          <w:lang w:val="es-ES_tradnl"/>
        </w:rPr>
        <w:t xml:space="preserve">í </w:t>
      </w:r>
      <w:r>
        <w:rPr>
          <w:rFonts w:ascii="Arial" w:eastAsia="Calibri" w:hAnsi="Arial" w:cs="Arial"/>
          <w:color w:val="000000" w:themeColor="text1"/>
          <w:sz w:val="22"/>
          <w:lang w:val="es-ES_tradnl"/>
        </w:rPr>
        <w:t>mismo</w:t>
      </w:r>
      <w:r w:rsidR="00287CAD">
        <w:rPr>
          <w:rFonts w:ascii="Arial" w:eastAsia="Calibri" w:hAnsi="Arial" w:cs="Arial"/>
          <w:color w:val="000000" w:themeColor="text1"/>
          <w:sz w:val="22"/>
          <w:lang w:val="es-ES_tradnl"/>
        </w:rPr>
        <w:t xml:space="preserve">, </w:t>
      </w:r>
      <w:r w:rsidR="00287CAD" w:rsidRPr="00287CAD">
        <w:rPr>
          <w:rFonts w:ascii="Arial" w:eastAsia="Calibri" w:hAnsi="Arial" w:cs="Arial"/>
          <w:color w:val="000000" w:themeColor="text1"/>
          <w:sz w:val="22"/>
          <w:lang w:val="es-ES_tradnl"/>
        </w:rPr>
        <w:t>la Sala Plena del Consejo de Estado en sentencia dictada el 8 de febrero de 2011, respecto del régimen de inhabilidades e incompatibilidades, consideró lo siguiente:</w:t>
      </w:r>
    </w:p>
    <w:p w14:paraId="138323DE" w14:textId="77777777" w:rsidR="00287CAD" w:rsidRPr="00287CAD" w:rsidRDefault="00287CAD" w:rsidP="00287CAD">
      <w:pPr>
        <w:pStyle w:val="NormalWeb"/>
        <w:shd w:val="clear" w:color="auto" w:fill="FFFFFF"/>
        <w:spacing w:before="0" w:beforeAutospacing="0" w:after="0" w:afterAutospacing="0" w:line="276" w:lineRule="auto"/>
        <w:jc w:val="both"/>
        <w:rPr>
          <w:rFonts w:ascii="Arial" w:eastAsia="Calibri" w:hAnsi="Arial" w:cs="Arial"/>
          <w:color w:val="000000" w:themeColor="text1"/>
          <w:sz w:val="22"/>
          <w:lang w:val="es-ES_tradnl"/>
        </w:rPr>
      </w:pPr>
      <w:r w:rsidRPr="00287CAD">
        <w:rPr>
          <w:rFonts w:ascii="Arial" w:eastAsia="Calibri" w:hAnsi="Arial" w:cs="Arial"/>
          <w:color w:val="000000" w:themeColor="text1"/>
          <w:sz w:val="22"/>
          <w:lang w:val="es-ES_tradnl"/>
        </w:rPr>
        <w:t> </w:t>
      </w:r>
    </w:p>
    <w:p w14:paraId="79D8BEA8" w14:textId="57BDEDD3" w:rsidR="00287CAD" w:rsidRPr="00D62F3A" w:rsidRDefault="00287CAD" w:rsidP="00287CAD">
      <w:pPr>
        <w:pStyle w:val="NormalWeb"/>
        <w:shd w:val="clear" w:color="auto" w:fill="FFFFFF"/>
        <w:spacing w:before="0" w:beforeAutospacing="0" w:after="0" w:afterAutospacing="0"/>
        <w:ind w:left="709" w:right="758"/>
        <w:jc w:val="both"/>
        <w:rPr>
          <w:rFonts w:ascii="Arial" w:eastAsia="Calibri" w:hAnsi="Arial" w:cs="Arial"/>
          <w:color w:val="000000" w:themeColor="text1"/>
          <w:sz w:val="21"/>
          <w:szCs w:val="21"/>
          <w:lang w:val="es-ES_tradnl"/>
        </w:rPr>
      </w:pPr>
      <w:r w:rsidRPr="00D62F3A">
        <w:rPr>
          <w:rFonts w:ascii="Arial" w:eastAsia="Calibri" w:hAnsi="Arial" w:cs="Arial"/>
          <w:b/>
          <w:bCs/>
          <w:color w:val="000000" w:themeColor="text1"/>
          <w:sz w:val="21"/>
          <w:szCs w:val="21"/>
          <w:lang w:val="es-ES_tradnl"/>
        </w:rPr>
        <w:t xml:space="preserve">Las inhabilidades e incompatibilidades, en tanto limitan la libertad y los derechos de las personas, son de origen constitucional y legal. </w:t>
      </w:r>
      <w:r w:rsidRPr="00D62F3A">
        <w:rPr>
          <w:rFonts w:ascii="Arial" w:eastAsia="Calibri" w:hAnsi="Arial" w:cs="Arial"/>
          <w:b/>
          <w:bCs/>
          <w:color w:val="000000" w:themeColor="text1"/>
          <w:sz w:val="21"/>
          <w:szCs w:val="21"/>
          <w:u w:val="single"/>
          <w:lang w:val="es-ES_tradnl"/>
        </w:rPr>
        <w:t xml:space="preserve">La tipificación de sus causas, vigencia, naturaleza y efectos es rígida y taxativa; su aplicación es restrictiva, de manera que excluye la analogía </w:t>
      </w:r>
      <w:proofErr w:type="spellStart"/>
      <w:r w:rsidRPr="00D62F3A">
        <w:rPr>
          <w:rFonts w:ascii="Arial" w:eastAsia="Calibri" w:hAnsi="Arial" w:cs="Arial"/>
          <w:b/>
          <w:bCs/>
          <w:color w:val="000000" w:themeColor="text1"/>
          <w:sz w:val="21"/>
          <w:szCs w:val="21"/>
          <w:u w:val="single"/>
          <w:lang w:val="es-ES_tradnl"/>
        </w:rPr>
        <w:t>legis</w:t>
      </w:r>
      <w:proofErr w:type="spellEnd"/>
      <w:r w:rsidRPr="00D62F3A">
        <w:rPr>
          <w:rFonts w:ascii="Arial" w:eastAsia="Calibri" w:hAnsi="Arial" w:cs="Arial"/>
          <w:b/>
          <w:bCs/>
          <w:color w:val="000000" w:themeColor="text1"/>
          <w:sz w:val="21"/>
          <w:szCs w:val="21"/>
          <w:u w:val="single"/>
          <w:lang w:val="es-ES_tradnl"/>
        </w:rPr>
        <w:t xml:space="preserve"> o iuris, excepto en lo favorable; están definidas en el tiempo, salvo aquellas de carácter constitucional</w:t>
      </w:r>
      <w:r w:rsidRPr="00D62F3A">
        <w:rPr>
          <w:rFonts w:ascii="Arial" w:eastAsia="Calibri" w:hAnsi="Arial" w:cs="Arial"/>
          <w:color w:val="000000" w:themeColor="text1"/>
          <w:sz w:val="21"/>
          <w:szCs w:val="21"/>
          <w:lang w:val="es-ES_tradnl"/>
        </w:rPr>
        <w:t xml:space="preserve"> (verbi gratia arts. 179 No.1, 197 y 267 C.P.); y, además, hacen parte de un conjunto de disposiciones que integran un régimen jurídico imperativo y de orden público, razón por la cual no son disponibles ni pueden ser derogadas por acuerdo o convenio”. (Las negrillas y subrayas son de la Sala).</w:t>
      </w:r>
    </w:p>
    <w:p w14:paraId="17400ED7" w14:textId="77777777" w:rsidR="00287CAD" w:rsidRDefault="00287CAD" w:rsidP="00172475">
      <w:pPr>
        <w:spacing w:line="276" w:lineRule="auto"/>
        <w:ind w:firstLine="720"/>
        <w:jc w:val="both"/>
        <w:rPr>
          <w:rFonts w:ascii="Arial" w:eastAsia="Calibri" w:hAnsi="Arial" w:cs="Arial"/>
          <w:color w:val="000000" w:themeColor="text1"/>
          <w:sz w:val="22"/>
          <w:lang w:val="es-ES_tradnl"/>
        </w:rPr>
      </w:pPr>
    </w:p>
    <w:p w14:paraId="27532C3F" w14:textId="59A3BEBA" w:rsidR="00172475" w:rsidRPr="00E84F83" w:rsidRDefault="00E419C7" w:rsidP="00172475">
      <w:pPr>
        <w:spacing w:line="276" w:lineRule="auto"/>
        <w:ind w:firstLine="720"/>
        <w:jc w:val="both"/>
        <w:rPr>
          <w:rFonts w:ascii="Arial" w:eastAsia="Calibri" w:hAnsi="Arial" w:cs="Arial"/>
          <w:color w:val="000000" w:themeColor="text1"/>
          <w:sz w:val="22"/>
          <w:lang w:val="es-ES"/>
        </w:rPr>
      </w:pPr>
      <w:r w:rsidRPr="00F95886">
        <w:rPr>
          <w:rFonts w:ascii="Arial" w:eastAsia="Calibri" w:hAnsi="Arial" w:cs="Arial"/>
          <w:color w:val="000000" w:themeColor="text1"/>
          <w:sz w:val="22"/>
          <w:lang w:val="es-ES_tradnl"/>
        </w:rPr>
        <w:t xml:space="preserve">Como se aprecia, el principio </w:t>
      </w:r>
      <w:r w:rsidRPr="00F95886">
        <w:rPr>
          <w:rFonts w:ascii="Arial" w:eastAsia="Calibri" w:hAnsi="Arial" w:cs="Arial"/>
          <w:i/>
          <w:iCs/>
          <w:color w:val="000000" w:themeColor="text1"/>
          <w:sz w:val="22"/>
          <w:lang w:val="es-ES_tradnl"/>
        </w:rPr>
        <w:t xml:space="preserve">pro </w:t>
      </w:r>
      <w:proofErr w:type="spellStart"/>
      <w:r w:rsidRPr="00F95886">
        <w:rPr>
          <w:rFonts w:ascii="Arial" w:eastAsia="Calibri" w:hAnsi="Arial" w:cs="Arial"/>
          <w:i/>
          <w:iCs/>
          <w:color w:val="000000" w:themeColor="text1"/>
          <w:sz w:val="22"/>
          <w:lang w:val="es-ES_tradnl"/>
        </w:rPr>
        <w:t>libertate</w:t>
      </w:r>
      <w:proofErr w:type="spellEnd"/>
      <w:r w:rsidRPr="00F95886">
        <w:rPr>
          <w:rFonts w:ascii="Arial" w:eastAsia="Calibri" w:hAnsi="Arial" w:cs="Arial"/>
          <w:color w:val="000000" w:themeColor="text1"/>
          <w:sz w:val="22"/>
          <w:lang w:val="es-ES_tradnl"/>
        </w:rPr>
        <w:t xml:space="preserve"> es el que debe dirigir la interpretación de las disposiciones normativas que consagran restricciones de derechos, como sucede con las causales de inhabilidad e incompatibilidad en la contratación estatal.</w:t>
      </w:r>
      <w:r w:rsidR="007A5851">
        <w:rPr>
          <w:rFonts w:ascii="Arial" w:eastAsia="Calibri" w:hAnsi="Arial" w:cs="Arial"/>
          <w:color w:val="000000" w:themeColor="text1"/>
          <w:sz w:val="22"/>
          <w:lang w:val="es-ES_tradnl"/>
        </w:rPr>
        <w:t xml:space="preserve"> </w:t>
      </w:r>
      <w:r w:rsidR="00172475" w:rsidRPr="00E84F83">
        <w:rPr>
          <w:rFonts w:ascii="Arial" w:eastAsia="Arial" w:hAnsi="Arial" w:cs="Arial"/>
          <w:color w:val="000000"/>
          <w:sz w:val="22"/>
          <w:lang w:val="es-ES_tradnl"/>
        </w:rPr>
        <w:t>Además, en relación con la determinación de las causales de inhabilidad e incompatibilidad, la</w:t>
      </w:r>
      <w:r w:rsidR="00172475" w:rsidRPr="00E84F83">
        <w:rPr>
          <w:rFonts w:ascii="Arial" w:hAnsi="Arial" w:cs="Arial"/>
          <w:color w:val="000000" w:themeColor="text1"/>
          <w:sz w:val="22"/>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p>
    <w:p w14:paraId="3CD53DCF" w14:textId="77777777" w:rsidR="00172475" w:rsidRPr="00E84F83" w:rsidRDefault="00172475" w:rsidP="00172475">
      <w:pPr>
        <w:tabs>
          <w:tab w:val="left" w:pos="1532"/>
        </w:tabs>
        <w:spacing w:line="276" w:lineRule="auto"/>
        <w:jc w:val="both"/>
        <w:rPr>
          <w:rFonts w:ascii="Arial" w:hAnsi="Arial" w:cs="Arial"/>
          <w:color w:val="000000" w:themeColor="text1"/>
          <w:sz w:val="22"/>
        </w:rPr>
      </w:pPr>
      <w:r w:rsidRPr="00E84F83">
        <w:rPr>
          <w:rFonts w:ascii="Arial" w:hAnsi="Arial" w:cs="Arial"/>
          <w:color w:val="000000" w:themeColor="text1"/>
        </w:rPr>
        <w:tab/>
      </w:r>
    </w:p>
    <w:p w14:paraId="5BB10EA1" w14:textId="77777777" w:rsidR="00172475" w:rsidRPr="00E84F83" w:rsidRDefault="00172475" w:rsidP="00172475">
      <w:pPr>
        <w:ind w:left="709" w:right="709"/>
        <w:jc w:val="both"/>
        <w:rPr>
          <w:rFonts w:ascii="Arial" w:hAnsi="Arial" w:cs="Arial"/>
          <w:color w:val="000000" w:themeColor="text1"/>
          <w:sz w:val="21"/>
          <w:szCs w:val="21"/>
        </w:rPr>
      </w:pPr>
      <w:r w:rsidRPr="00E84F83">
        <w:rPr>
          <w:rFonts w:ascii="Arial" w:hAnsi="Arial" w:cs="Arial"/>
          <w:color w:val="000000" w:themeColor="text1"/>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E84F83">
        <w:rPr>
          <w:rFonts w:ascii="Arial" w:hAnsi="Arial" w:cs="Arial"/>
          <w:color w:val="000000" w:themeColor="text1"/>
          <w:sz w:val="21"/>
          <w:szCs w:val="21"/>
        </w:rPr>
        <w:t>libertate</w:t>
      </w:r>
      <w:proofErr w:type="spellEnd"/>
      <w:r w:rsidRPr="00E84F83">
        <w:rPr>
          <w:rFonts w:ascii="Arial" w:hAnsi="Arial" w:cs="Arial"/>
          <w:color w:val="000000" w:themeColor="text1"/>
          <w:sz w:val="21"/>
          <w:szCs w:val="21"/>
        </w:rPr>
        <w:t xml:space="preserve">, sino el de legalidad, el que ordena que la función pública debe someterse estrictamente a lo que disponga la Constitución y la ley (CP art. 6). </w:t>
      </w:r>
    </w:p>
    <w:p w14:paraId="328B2DED" w14:textId="77777777" w:rsidR="00172475" w:rsidRPr="00E84F83" w:rsidRDefault="00172475" w:rsidP="00172475">
      <w:pPr>
        <w:spacing w:after="120"/>
        <w:ind w:left="709" w:right="709"/>
        <w:jc w:val="both"/>
        <w:rPr>
          <w:rFonts w:ascii="Arial" w:hAnsi="Arial" w:cs="Arial"/>
          <w:color w:val="000000" w:themeColor="text1"/>
          <w:sz w:val="21"/>
          <w:szCs w:val="21"/>
        </w:rPr>
      </w:pPr>
      <w:r w:rsidRPr="00E84F83">
        <w:rPr>
          <w:rFonts w:ascii="Arial" w:hAnsi="Arial" w:cs="Arial"/>
          <w:color w:val="000000" w:themeColor="text1"/>
          <w:sz w:val="21"/>
          <w:szCs w:val="21"/>
        </w:rPr>
        <w:t>[…]</w:t>
      </w:r>
    </w:p>
    <w:p w14:paraId="206DA51B" w14:textId="77777777" w:rsidR="00172475" w:rsidRPr="00E84F83" w:rsidRDefault="00172475" w:rsidP="00172475">
      <w:pPr>
        <w:ind w:left="709" w:right="709"/>
        <w:jc w:val="both"/>
        <w:rPr>
          <w:rFonts w:ascii="Arial" w:hAnsi="Arial" w:cs="Arial"/>
          <w:color w:val="000000" w:themeColor="text1"/>
          <w:sz w:val="21"/>
          <w:szCs w:val="21"/>
        </w:rPr>
      </w:pPr>
      <w:r w:rsidRPr="00E84F83">
        <w:rPr>
          <w:rFonts w:ascii="Arial" w:hAnsi="Arial" w:cs="Arial"/>
          <w:color w:val="000000" w:themeColor="text1"/>
          <w:sz w:val="21"/>
          <w:szCs w:val="21"/>
        </w:rPr>
        <w:t xml:space="preserve">Se comprende con facilidad que el régimen de inhabilidades e </w:t>
      </w:r>
      <w:proofErr w:type="gramStart"/>
      <w:r w:rsidRPr="00E84F83">
        <w:rPr>
          <w:rFonts w:ascii="Arial" w:hAnsi="Arial" w:cs="Arial"/>
          <w:color w:val="000000" w:themeColor="text1"/>
          <w:sz w:val="21"/>
          <w:szCs w:val="21"/>
        </w:rPr>
        <w:t>incompatibilidades,</w:t>
      </w:r>
      <w:proofErr w:type="gramEnd"/>
      <w:r w:rsidRPr="00E84F83">
        <w:rPr>
          <w:rFonts w:ascii="Arial" w:hAnsi="Arial" w:cs="Arial"/>
          <w:color w:val="000000" w:themeColor="text1"/>
          <w:sz w:val="21"/>
          <w:szCs w:val="21"/>
        </w:rPr>
        <w:t xml:space="preserve"> corresponde a una materia de normal y obligada inclusión en un estatuto contractual. El legislador, a quien se ha confiado expedir el indicado estatuto, tiene, pues, competencia para establecerlo (CP art. 150)</w:t>
      </w:r>
      <w:r w:rsidRPr="00E84F83">
        <w:rPr>
          <w:rFonts w:ascii="Arial" w:hAnsi="Arial" w:cs="Arial"/>
          <w:color w:val="000000" w:themeColor="text1"/>
          <w:sz w:val="21"/>
          <w:szCs w:val="21"/>
          <w:vertAlign w:val="superscript"/>
        </w:rPr>
        <w:footnoteReference w:id="15"/>
      </w:r>
      <w:r w:rsidRPr="00E84F83">
        <w:rPr>
          <w:rFonts w:ascii="Arial" w:hAnsi="Arial" w:cs="Arial"/>
          <w:color w:val="000000" w:themeColor="text1"/>
          <w:sz w:val="21"/>
          <w:szCs w:val="21"/>
        </w:rPr>
        <w:t>.</w:t>
      </w:r>
    </w:p>
    <w:p w14:paraId="7DBA25B0" w14:textId="2963C5A4" w:rsidR="00172475" w:rsidRDefault="00172475" w:rsidP="00E419C7">
      <w:pPr>
        <w:spacing w:line="276" w:lineRule="auto"/>
        <w:ind w:firstLine="709"/>
        <w:jc w:val="both"/>
        <w:rPr>
          <w:rFonts w:ascii="Arial" w:eastAsia="Calibri" w:hAnsi="Arial" w:cs="Arial"/>
          <w:color w:val="000000" w:themeColor="text1"/>
          <w:sz w:val="22"/>
          <w:lang w:val="es-ES_tradnl"/>
        </w:rPr>
      </w:pPr>
    </w:p>
    <w:p w14:paraId="4CC93570" w14:textId="77777777" w:rsidR="00172475" w:rsidRPr="00E84F83" w:rsidRDefault="00172475" w:rsidP="00172475">
      <w:pPr>
        <w:spacing w:line="276" w:lineRule="auto"/>
        <w:ind w:firstLine="709"/>
        <w:jc w:val="both"/>
        <w:rPr>
          <w:rFonts w:ascii="Arial" w:hAnsi="Arial" w:cs="Arial"/>
          <w:color w:val="000000" w:themeColor="text1"/>
          <w:sz w:val="22"/>
        </w:rPr>
      </w:pPr>
      <w:r w:rsidRPr="00E84F83">
        <w:rPr>
          <w:rFonts w:ascii="Arial" w:hAnsi="Arial" w:cs="Arial"/>
          <w:color w:val="000000" w:themeColor="text1"/>
          <w:sz w:val="22"/>
        </w:rPr>
        <w:t>De igual forma, conviene acudir a la distinción que se ha trazado en torno a la fuente de las inhabilidades</w:t>
      </w:r>
      <w:bookmarkStart w:id="4" w:name="_Hlk67555152"/>
      <w:r w:rsidRPr="00E84F83">
        <w:rPr>
          <w:rFonts w:ascii="Arial" w:hAnsi="Arial" w:cs="Arial"/>
          <w:color w:val="000000" w:themeColor="text1"/>
          <w:sz w:val="22"/>
        </w:rPr>
        <w:t xml:space="preserve">, las cuales han sido clasificadas en dos grupos: i) inhabilidades-sanción y </w:t>
      </w:r>
      <w:proofErr w:type="spellStart"/>
      <w:r w:rsidRPr="00E84F83">
        <w:rPr>
          <w:rFonts w:ascii="Arial" w:hAnsi="Arial" w:cs="Arial"/>
          <w:color w:val="000000" w:themeColor="text1"/>
          <w:sz w:val="22"/>
        </w:rPr>
        <w:t>ii</w:t>
      </w:r>
      <w:proofErr w:type="spellEnd"/>
      <w:r w:rsidRPr="00E84F83">
        <w:rPr>
          <w:rFonts w:ascii="Arial" w:hAnsi="Arial" w:cs="Arial"/>
          <w:color w:val="000000" w:themeColor="text1"/>
          <w:sz w:val="22"/>
        </w:rPr>
        <w:t>)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bookmarkEnd w:id="4"/>
      <w:r w:rsidRPr="00E84F83">
        <w:rPr>
          <w:rFonts w:ascii="Arial" w:hAnsi="Arial" w:cs="Arial"/>
          <w:color w:val="000000" w:themeColor="text1"/>
          <w:sz w:val="22"/>
          <w:vertAlign w:val="superscript"/>
        </w:rPr>
        <w:footnoteReference w:id="16"/>
      </w:r>
      <w:r w:rsidRPr="00E84F83">
        <w:rPr>
          <w:rFonts w:ascii="Arial" w:hAnsi="Arial" w:cs="Arial"/>
          <w:color w:val="000000" w:themeColor="text1"/>
          <w:sz w:val="22"/>
        </w:rPr>
        <w:t xml:space="preserve">. </w:t>
      </w:r>
    </w:p>
    <w:p w14:paraId="5E13DDC1" w14:textId="77777777" w:rsidR="00172475" w:rsidRPr="00E84F83" w:rsidRDefault="00172475" w:rsidP="00172475">
      <w:pPr>
        <w:spacing w:before="120" w:line="276" w:lineRule="auto"/>
        <w:ind w:firstLine="709"/>
        <w:jc w:val="both"/>
        <w:rPr>
          <w:rFonts w:ascii="Arial" w:hAnsi="Arial" w:cs="Arial"/>
          <w:color w:val="000000" w:themeColor="text1"/>
          <w:sz w:val="22"/>
          <w:lang w:val="es-ES"/>
        </w:rPr>
      </w:pPr>
      <w:r w:rsidRPr="00E84F83">
        <w:rPr>
          <w:rFonts w:ascii="Arial" w:hAnsi="Arial" w:cs="Arial"/>
          <w:color w:val="000000" w:themeColor="text1"/>
          <w:sz w:val="22"/>
          <w:lang w:val="es-ES"/>
        </w:rPr>
        <w:t>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A su turno,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w:t>
      </w:r>
    </w:p>
    <w:p w14:paraId="3B2F2DAC" w14:textId="09BA6C0A" w:rsidR="00172475" w:rsidRPr="00172475" w:rsidRDefault="00172475" w:rsidP="00D62F3A">
      <w:pPr>
        <w:spacing w:before="240" w:line="276" w:lineRule="auto"/>
        <w:ind w:firstLine="720"/>
        <w:jc w:val="both"/>
        <w:rPr>
          <w:rFonts w:ascii="Arial" w:eastAsia="Calibri" w:hAnsi="Arial" w:cs="Arial"/>
          <w:color w:val="000000" w:themeColor="text1"/>
          <w:sz w:val="22"/>
          <w:lang w:val="es-ES_tradnl"/>
        </w:rPr>
      </w:pPr>
      <w:r w:rsidRPr="00E84F83">
        <w:rPr>
          <w:rFonts w:ascii="Arial" w:hAnsi="Arial" w:cs="Arial"/>
          <w:color w:val="000000" w:themeColor="text1"/>
          <w:sz w:val="22"/>
          <w:lang w:val="es-ES_tradnl"/>
        </w:rPr>
        <w:t xml:space="preserve">Al margen de la clasificación mencionada, el carácter reconocidamente taxativo y restrictivo del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w:t>
      </w:r>
      <w:r>
        <w:rPr>
          <w:rFonts w:ascii="Arial" w:hAnsi="Arial" w:cs="Arial"/>
          <w:color w:val="000000" w:themeColor="text1"/>
          <w:sz w:val="22"/>
          <w:lang w:val="es-ES_tradnl"/>
        </w:rPr>
        <w:t>En este sentido, la aplicación de las inhabilidades debe apegarse estrictamente a lo consagrado en la norma que la contempla, de manera que no resulta procedente su extensión a otras situaciones o condiciones diferente a las establecidas, en perjuicio de quienes aspiran a contratar con el Estado.</w:t>
      </w:r>
      <w:r w:rsidR="00E81775">
        <w:rPr>
          <w:rFonts w:ascii="Arial" w:eastAsia="Calibri" w:hAnsi="Arial" w:cs="Arial"/>
          <w:color w:val="000000" w:themeColor="text1"/>
          <w:sz w:val="22"/>
          <w:lang w:val="es-ES_tradnl"/>
        </w:rPr>
        <w:t xml:space="preserve"> </w:t>
      </w:r>
    </w:p>
    <w:p w14:paraId="7EBE4993" w14:textId="21B236C8" w:rsidR="00EC56B6" w:rsidRPr="00F95886" w:rsidRDefault="00EC56B6" w:rsidP="00E419C7">
      <w:pPr>
        <w:spacing w:line="276" w:lineRule="auto"/>
        <w:jc w:val="both"/>
        <w:rPr>
          <w:rFonts w:ascii="Arial" w:eastAsia="Calibri" w:hAnsi="Arial" w:cs="Arial"/>
          <w:color w:val="000000" w:themeColor="text1"/>
          <w:sz w:val="22"/>
          <w:lang w:val="es-ES_tradnl"/>
        </w:rPr>
      </w:pPr>
    </w:p>
    <w:p w14:paraId="7B1A8BB6" w14:textId="77777777" w:rsidR="00E419C7" w:rsidRPr="00F95886" w:rsidRDefault="00E419C7" w:rsidP="00E419C7">
      <w:pPr>
        <w:spacing w:line="276" w:lineRule="auto"/>
        <w:jc w:val="both"/>
        <w:rPr>
          <w:rFonts w:ascii="Arial" w:eastAsia="Calibri" w:hAnsi="Arial" w:cs="Arial"/>
          <w:b/>
          <w:bCs/>
          <w:color w:val="000000" w:themeColor="text1"/>
          <w:sz w:val="22"/>
          <w:lang w:val="es-ES_tradnl"/>
        </w:rPr>
      </w:pPr>
      <w:r w:rsidRPr="00F95886">
        <w:rPr>
          <w:rFonts w:ascii="Arial" w:eastAsia="Calibri" w:hAnsi="Arial" w:cs="Arial"/>
          <w:b/>
          <w:bCs/>
          <w:color w:val="000000" w:themeColor="text1"/>
          <w:sz w:val="22"/>
          <w:lang w:val="es-ES_tradnl"/>
        </w:rPr>
        <w:t>2.2. Contrato de prestación de servicios profesionales. Requisitos y límites para su celebración</w:t>
      </w:r>
    </w:p>
    <w:p w14:paraId="446EC71E" w14:textId="77777777" w:rsidR="00E419C7" w:rsidRPr="00F95886" w:rsidRDefault="00E419C7" w:rsidP="00E419C7">
      <w:pPr>
        <w:spacing w:line="276" w:lineRule="auto"/>
        <w:jc w:val="both"/>
        <w:rPr>
          <w:rFonts w:ascii="Arial" w:eastAsia="Calibri" w:hAnsi="Arial" w:cs="Arial"/>
          <w:color w:val="000000" w:themeColor="text1"/>
          <w:sz w:val="22"/>
          <w:lang w:val="es-ES_tradnl"/>
        </w:rPr>
      </w:pPr>
    </w:p>
    <w:p w14:paraId="19A4F915" w14:textId="77777777" w:rsidR="00AB7DC5" w:rsidRPr="000A091D" w:rsidRDefault="00AB7DC5" w:rsidP="00AB7DC5">
      <w:pPr>
        <w:spacing w:line="276" w:lineRule="auto"/>
        <w:jc w:val="both"/>
        <w:rPr>
          <w:rFonts w:ascii="Arial" w:hAnsi="Arial" w:cs="Arial"/>
          <w:color w:val="000000" w:themeColor="text1"/>
          <w:sz w:val="22"/>
          <w:lang w:val="es-ES_tradnl"/>
        </w:rPr>
      </w:pPr>
      <w:r w:rsidRPr="000A091D">
        <w:rPr>
          <w:rFonts w:ascii="Arial" w:hAnsi="Arial" w:cs="Arial"/>
          <w:color w:val="000000" w:themeColor="text1"/>
          <w:sz w:val="22"/>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0A091D">
        <w:rPr>
          <w:rFonts w:ascii="Arial" w:eastAsia="Calibri" w:hAnsi="Arial" w:cs="Arial"/>
          <w:color w:val="000000" w:themeColor="text1"/>
          <w:sz w:val="22"/>
          <w:lang w:val="es-ES_tradnl"/>
        </w:rPr>
        <w:t xml:space="preserve"> La celebración de dicho contrato debe efectuarse a través de la modalidad de contratación directa. Así lo dispone el artículo 2, numeral 4º, literal h), de la Ley 1150 de 2007:</w:t>
      </w:r>
    </w:p>
    <w:p w14:paraId="68F45E96" w14:textId="77777777" w:rsidR="00AB7DC5" w:rsidRPr="000A091D" w:rsidRDefault="00AB7DC5" w:rsidP="00AB7DC5">
      <w:pPr>
        <w:ind w:right="709"/>
        <w:jc w:val="both"/>
        <w:rPr>
          <w:rFonts w:ascii="Arial" w:eastAsia="Calibri" w:hAnsi="Arial" w:cs="Arial"/>
          <w:color w:val="000000" w:themeColor="text1"/>
          <w:sz w:val="21"/>
          <w:szCs w:val="21"/>
          <w:lang w:val="es-ES_tradnl"/>
        </w:rPr>
      </w:pPr>
    </w:p>
    <w:p w14:paraId="01DD9708" w14:textId="77777777" w:rsidR="00AB7DC5" w:rsidRPr="000A091D" w:rsidRDefault="00AB7DC5" w:rsidP="00AB7DC5">
      <w:pPr>
        <w:ind w:left="709" w:right="758"/>
        <w:jc w:val="both"/>
        <w:rPr>
          <w:rFonts w:ascii="Arial" w:eastAsia="Calibri" w:hAnsi="Arial" w:cs="Arial"/>
          <w:color w:val="000000" w:themeColor="text1"/>
          <w:sz w:val="21"/>
          <w:szCs w:val="21"/>
        </w:rPr>
      </w:pPr>
      <w:r w:rsidRPr="000A091D">
        <w:rPr>
          <w:rFonts w:ascii="Arial" w:eastAsia="Calibri" w:hAnsi="Arial" w:cs="Arial"/>
          <w:color w:val="000000" w:themeColor="text1"/>
          <w:sz w:val="21"/>
          <w:szCs w:val="21"/>
        </w:rPr>
        <w:t>La escogencia del contratista se efectuará con arreglo a las modalidades de selección de licitación pública, selección abreviada, concurso de méritos y contratación directa, con base en las siguientes reglas:</w:t>
      </w:r>
    </w:p>
    <w:p w14:paraId="2CF7CF05" w14:textId="77777777" w:rsidR="00AB7DC5" w:rsidRPr="000A091D" w:rsidRDefault="00AB7DC5" w:rsidP="00AB7DC5">
      <w:pPr>
        <w:spacing w:after="120"/>
        <w:ind w:left="709" w:right="760"/>
        <w:jc w:val="both"/>
        <w:rPr>
          <w:rFonts w:ascii="Arial" w:eastAsia="Calibri" w:hAnsi="Arial" w:cs="Arial"/>
          <w:color w:val="000000" w:themeColor="text1"/>
          <w:sz w:val="21"/>
          <w:szCs w:val="21"/>
        </w:rPr>
      </w:pPr>
      <w:r w:rsidRPr="000A091D">
        <w:rPr>
          <w:rFonts w:ascii="Arial" w:eastAsia="Calibri" w:hAnsi="Arial" w:cs="Arial"/>
          <w:color w:val="000000" w:themeColor="text1"/>
          <w:sz w:val="21"/>
          <w:szCs w:val="21"/>
        </w:rPr>
        <w:t>[…]</w:t>
      </w:r>
    </w:p>
    <w:p w14:paraId="39CDC6BD" w14:textId="77777777" w:rsidR="00AB7DC5" w:rsidRPr="000A091D" w:rsidRDefault="00AB7DC5" w:rsidP="00AB7DC5">
      <w:pPr>
        <w:ind w:left="709" w:right="758"/>
        <w:jc w:val="both"/>
        <w:rPr>
          <w:rFonts w:ascii="Arial" w:eastAsia="Calibri" w:hAnsi="Arial" w:cs="Arial"/>
          <w:color w:val="000000" w:themeColor="text1"/>
          <w:sz w:val="21"/>
          <w:szCs w:val="21"/>
        </w:rPr>
      </w:pPr>
      <w:r w:rsidRPr="000A091D">
        <w:rPr>
          <w:rFonts w:ascii="Arial" w:eastAsia="Calibri" w:hAnsi="Arial" w:cs="Arial"/>
          <w:color w:val="000000" w:themeColor="text1"/>
          <w:sz w:val="21"/>
          <w:szCs w:val="21"/>
        </w:rPr>
        <w:t xml:space="preserve">4. Contratación directa. La modalidad de selección de contratación </w:t>
      </w:r>
      <w:proofErr w:type="gramStart"/>
      <w:r w:rsidRPr="000A091D">
        <w:rPr>
          <w:rFonts w:ascii="Arial" w:eastAsia="Calibri" w:hAnsi="Arial" w:cs="Arial"/>
          <w:color w:val="000000" w:themeColor="text1"/>
          <w:sz w:val="21"/>
          <w:szCs w:val="21"/>
        </w:rPr>
        <w:t>directa,</w:t>
      </w:r>
      <w:proofErr w:type="gramEnd"/>
      <w:r w:rsidRPr="000A091D">
        <w:rPr>
          <w:rFonts w:ascii="Arial" w:eastAsia="Calibri" w:hAnsi="Arial" w:cs="Arial"/>
          <w:color w:val="000000" w:themeColor="text1"/>
          <w:sz w:val="21"/>
          <w:szCs w:val="21"/>
        </w:rPr>
        <w:t xml:space="preserve"> solamente procederá en los siguientes casos:</w:t>
      </w:r>
    </w:p>
    <w:p w14:paraId="264E1BED" w14:textId="77777777" w:rsidR="00AB7DC5" w:rsidRPr="000A091D" w:rsidRDefault="00AB7DC5" w:rsidP="00AB7DC5">
      <w:pPr>
        <w:spacing w:after="120"/>
        <w:ind w:left="709" w:right="760"/>
        <w:jc w:val="both"/>
        <w:rPr>
          <w:rFonts w:ascii="Arial" w:eastAsia="Calibri" w:hAnsi="Arial" w:cs="Arial"/>
          <w:color w:val="000000" w:themeColor="text1"/>
          <w:sz w:val="21"/>
          <w:szCs w:val="21"/>
        </w:rPr>
      </w:pPr>
      <w:r w:rsidRPr="000A091D">
        <w:rPr>
          <w:rFonts w:ascii="Arial" w:eastAsia="Calibri" w:hAnsi="Arial" w:cs="Arial"/>
          <w:color w:val="000000" w:themeColor="text1"/>
          <w:sz w:val="21"/>
          <w:szCs w:val="21"/>
        </w:rPr>
        <w:t>[…]</w:t>
      </w:r>
    </w:p>
    <w:p w14:paraId="1D920FB8" w14:textId="77777777" w:rsidR="00AB7DC5" w:rsidRPr="000A091D" w:rsidRDefault="00AB7DC5" w:rsidP="00AB7DC5">
      <w:pPr>
        <w:ind w:left="709" w:right="758"/>
        <w:jc w:val="both"/>
        <w:rPr>
          <w:rFonts w:ascii="Arial" w:eastAsia="Calibri" w:hAnsi="Arial" w:cs="Arial"/>
          <w:color w:val="000000" w:themeColor="text1"/>
          <w:sz w:val="21"/>
          <w:szCs w:val="21"/>
        </w:rPr>
      </w:pPr>
      <w:r w:rsidRPr="000A091D">
        <w:rPr>
          <w:rFonts w:ascii="Arial" w:eastAsia="Calibri" w:hAnsi="Arial" w:cs="Arial"/>
          <w:color w:val="000000" w:themeColor="text1"/>
          <w:sz w:val="21"/>
          <w:szCs w:val="21"/>
        </w:rPr>
        <w:t>h) Para la prestación de servicios profesionales y de apoyo a la gestión, o para la ejecución de trabajos artísticos que sólo puedan encomendarse a determinadas personas naturales.</w:t>
      </w:r>
    </w:p>
    <w:p w14:paraId="0771B74D" w14:textId="77777777" w:rsidR="00AB7DC5" w:rsidRPr="000A091D" w:rsidRDefault="00AB7DC5" w:rsidP="00AB7DC5">
      <w:pPr>
        <w:spacing w:line="276" w:lineRule="auto"/>
        <w:ind w:left="709" w:right="760"/>
        <w:jc w:val="both"/>
        <w:rPr>
          <w:rFonts w:ascii="Arial" w:eastAsia="Calibri" w:hAnsi="Arial" w:cs="Arial"/>
          <w:color w:val="000000" w:themeColor="text1"/>
          <w:sz w:val="21"/>
          <w:szCs w:val="21"/>
        </w:rPr>
      </w:pPr>
    </w:p>
    <w:p w14:paraId="3091B3F4" w14:textId="77777777" w:rsidR="00AB7DC5" w:rsidRPr="000A091D" w:rsidRDefault="00AB7DC5" w:rsidP="00AB7DC5">
      <w:pPr>
        <w:tabs>
          <w:tab w:val="left" w:pos="0"/>
        </w:tabs>
        <w:spacing w:line="276" w:lineRule="auto"/>
        <w:jc w:val="both"/>
        <w:rPr>
          <w:rFonts w:ascii="Arial" w:hAnsi="Arial" w:cs="Arial"/>
          <w:noProof/>
          <w:sz w:val="22"/>
          <w:lang w:val="es-ES_tradnl"/>
        </w:rPr>
      </w:pPr>
      <w:r w:rsidRPr="000A091D">
        <w:rPr>
          <w:rFonts w:ascii="Arial" w:hAnsi="Arial" w:cs="Arial"/>
          <w:noProof/>
          <w:sz w:val="22"/>
          <w:lang w:val="es-ES_tradnl"/>
        </w:rPr>
        <w:tab/>
      </w:r>
      <w:r w:rsidRPr="000A091D">
        <w:rPr>
          <w:rFonts w:ascii="Arial" w:hAnsi="Arial" w:cs="Arial"/>
          <w:color w:val="000000" w:themeColor="text1"/>
          <w:sz w:val="22"/>
          <w:lang w:val="es-ES_tradnl"/>
        </w:rPr>
        <w:t>A partir de las disposiciones citadas y de los pronunciamientos judiciales más destacados sobre el tema, es posible señalar las siguientes características del contrato de prestación de servicios</w:t>
      </w:r>
      <w:r w:rsidRPr="000A091D">
        <w:rPr>
          <w:rFonts w:ascii="Arial" w:hAnsi="Arial" w:cs="Arial"/>
          <w:noProof/>
          <w:sz w:val="22"/>
          <w:lang w:val="es-ES_tradnl"/>
        </w:rPr>
        <w:t>:</w:t>
      </w:r>
    </w:p>
    <w:p w14:paraId="60B16D35" w14:textId="77777777" w:rsidR="00AB7DC5" w:rsidRPr="000A091D" w:rsidRDefault="00AB7DC5" w:rsidP="00AB7DC5">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i) Admite que se suscriba con personas naturales o jurídicas. Sin embargo, cuando se celebre con aquellas,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14:paraId="11B774BB" w14:textId="77777777" w:rsidR="00AB7DC5" w:rsidRPr="000A091D" w:rsidRDefault="00AB7DC5" w:rsidP="00AB7DC5">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ii) Si bien se celebran para obtener la prestación personal de un servicio, se diferencian del contrato de trabajo</w:t>
      </w:r>
      <w:r w:rsidRPr="000A091D">
        <w:rPr>
          <w:rStyle w:val="Refdenotaalpie"/>
          <w:rFonts w:ascii="Arial" w:hAnsi="Arial" w:cs="Arial"/>
          <w:noProof/>
          <w:sz w:val="22"/>
          <w:lang w:val="es-ES_tradnl"/>
        </w:rPr>
        <w:footnoteReference w:id="17"/>
      </w:r>
      <w:r w:rsidRPr="000A091D">
        <w:rPr>
          <w:rFonts w:ascii="Arial" w:hAnsi="Arial" w:cs="Arial"/>
          <w:noProof/>
          <w:sz w:val="22"/>
          <w:lang w:val="es-ES_tradnl"/>
        </w:rPr>
        <w:t xml:space="preserve"> en que quien celebra el contrato de prestación de servicios debe mantener autonomía e independencia en la ejecución de la labor, lo que significa que no debe existir </w:t>
      </w:r>
      <w:r w:rsidRPr="000A091D">
        <w:rPr>
          <w:rFonts w:ascii="Arial" w:hAnsi="Arial" w:cs="Arial"/>
          <w:i/>
          <w:noProof/>
          <w:sz w:val="22"/>
          <w:lang w:val="es-ES_tradnl"/>
        </w:rPr>
        <w:t xml:space="preserve">subordinación </w:t>
      </w:r>
      <w:r w:rsidRPr="000A091D">
        <w:rPr>
          <w:rFonts w:ascii="Arial" w:hAnsi="Arial" w:cs="Arial"/>
          <w:iCs/>
          <w:noProof/>
          <w:sz w:val="22"/>
          <w:lang w:val="es-ES_tradnl"/>
        </w:rPr>
        <w:t>ni</w:t>
      </w:r>
      <w:r w:rsidRPr="000A091D">
        <w:rPr>
          <w:rFonts w:ascii="Arial" w:hAnsi="Arial" w:cs="Arial"/>
          <w:i/>
          <w:noProof/>
          <w:sz w:val="22"/>
          <w:lang w:val="es-ES_tradnl"/>
        </w:rPr>
        <w:t xml:space="preserve"> dependencia</w:t>
      </w:r>
      <w:r w:rsidRPr="000A091D">
        <w:rPr>
          <w:rFonts w:ascii="Arial" w:hAnsi="Arial" w:cs="Arial"/>
          <w:iCs/>
          <w:noProof/>
          <w:sz w:val="22"/>
          <w:lang w:val="es-ES_tradnl"/>
        </w:rPr>
        <w:t>,</w:t>
      </w:r>
      <w:r w:rsidRPr="000A091D">
        <w:rPr>
          <w:rFonts w:ascii="Arial" w:hAnsi="Arial" w:cs="Arial"/>
          <w:noProof/>
          <w:sz w:val="22"/>
          <w:lang w:val="es-ES_tradnl"/>
        </w:rPr>
        <w:t xml:space="preserve"> que es uno de los elementos constitutivos del vínculo laboral.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0A091D">
        <w:rPr>
          <w:rFonts w:ascii="Arial" w:hAnsi="Arial" w:cs="Arial"/>
          <w:i/>
          <w:noProof/>
          <w:sz w:val="22"/>
          <w:lang w:val="es-ES_tradnl"/>
        </w:rPr>
        <w:t>no pueden</w:t>
      </w:r>
      <w:r w:rsidRPr="000A091D">
        <w:rPr>
          <w:rFonts w:ascii="Arial" w:hAnsi="Arial" w:cs="Arial"/>
          <w:noProof/>
          <w:sz w:val="22"/>
          <w:lang w:val="es-ES_tradnl"/>
        </w:rPr>
        <w:t xml:space="preserve"> generar relación laboral, ni dar lugar a que las entidades estatales paguen por su cuenta los aportes al Sistema de Seguridad Social Integral del contratista. Tal como se indicó, no puede existir subordinación y dependencia, por lo que la relación laboral está proscrita y el contratista es quien, como «trabajador independiente», debe cotizar por su cuenta y riesgo al Sistema de Seguridad Social Integral</w:t>
      </w:r>
      <w:r w:rsidRPr="000A091D">
        <w:rPr>
          <w:rStyle w:val="Refdenotaalpie"/>
          <w:rFonts w:ascii="Arial" w:hAnsi="Arial" w:cs="Arial"/>
          <w:noProof/>
          <w:sz w:val="22"/>
          <w:lang w:val="es-ES_tradnl"/>
        </w:rPr>
        <w:footnoteReference w:id="18"/>
      </w:r>
      <w:r w:rsidRPr="000A091D">
        <w:rPr>
          <w:rFonts w:ascii="Arial" w:hAnsi="Arial" w:cs="Arial"/>
          <w:noProof/>
          <w:sz w:val="22"/>
          <w:lang w:val="es-ES_tradnl"/>
        </w:rPr>
        <w:t xml:space="preserve">. </w:t>
      </w:r>
    </w:p>
    <w:p w14:paraId="4605E1AE" w14:textId="77777777" w:rsidR="00AB7DC5" w:rsidRPr="000A091D" w:rsidRDefault="00AB7DC5" w:rsidP="00AB7DC5">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 xml:space="preserve">A pesar de este mandato deontológico, es posible que en la práctica se configure una relación laboral, pues el contrato de trabajo es </w:t>
      </w:r>
      <w:r w:rsidRPr="000A091D">
        <w:rPr>
          <w:rFonts w:ascii="Arial" w:hAnsi="Arial" w:cs="Arial"/>
          <w:i/>
          <w:iCs/>
          <w:noProof/>
          <w:sz w:val="22"/>
          <w:lang w:val="es-ES_tradnl"/>
        </w:rPr>
        <w:t xml:space="preserve">de </w:t>
      </w:r>
      <w:r w:rsidRPr="000A091D">
        <w:rPr>
          <w:rFonts w:ascii="Arial" w:hAnsi="Arial" w:cs="Arial"/>
          <w:i/>
          <w:noProof/>
          <w:sz w:val="22"/>
          <w:lang w:val="es-ES_tradnl"/>
        </w:rPr>
        <w:t>realidad</w:t>
      </w:r>
      <w:r w:rsidRPr="000A091D">
        <w:rPr>
          <w:rFonts w:ascii="Arial" w:hAnsi="Arial" w:cs="Arial"/>
          <w:noProof/>
          <w:sz w:val="22"/>
          <w:lang w:val="es-ES_tradnl"/>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0A091D">
        <w:rPr>
          <w:rStyle w:val="Refdenotaalpie"/>
          <w:rFonts w:ascii="Arial" w:hAnsi="Arial" w:cs="Arial"/>
          <w:noProof/>
          <w:sz w:val="22"/>
          <w:lang w:val="es-ES_tradnl"/>
        </w:rPr>
        <w:footnoteReference w:id="19"/>
      </w:r>
      <w:r w:rsidRPr="000A091D">
        <w:rPr>
          <w:rFonts w:ascii="Arial" w:hAnsi="Arial" w:cs="Arial"/>
          <w:noProof/>
          <w:sz w:val="22"/>
          <w:lang w:val="es-ES_tradnl"/>
        </w:rPr>
        <w:t>. Por su parte, el Consejo de Estado en sentencia de unificación jurisprudencial del 9 de septiembre de 2021 se pronunció respecto de los criterios para identificar la existencia de una relación laboral encubierta o subyacente por contratos de prestación de servicios y definó tres reglas para el efecto</w:t>
      </w:r>
      <w:r w:rsidRPr="000A091D">
        <w:rPr>
          <w:vertAlign w:val="superscript"/>
          <w:lang w:val="es-ES_tradnl"/>
        </w:rPr>
        <w:footnoteReference w:id="20"/>
      </w:r>
      <w:r w:rsidRPr="000A091D">
        <w:rPr>
          <w:rFonts w:ascii="Arial" w:hAnsi="Arial" w:cs="Arial"/>
          <w:noProof/>
          <w:sz w:val="22"/>
          <w:lang w:val="es-ES_tradnl"/>
        </w:rPr>
        <w:t>.</w:t>
      </w:r>
    </w:p>
    <w:p w14:paraId="6AAFAF71" w14:textId="77777777" w:rsidR="00AB7DC5" w:rsidRPr="000A091D" w:rsidRDefault="00AB7DC5" w:rsidP="00AB7DC5">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iii) Deben ser temporales. Así lo consideró</w:t>
      </w:r>
      <w:r w:rsidRPr="000A091D">
        <w:rPr>
          <w:rFonts w:ascii="Arial" w:hAnsi="Arial" w:cs="Arial"/>
          <w:noProof/>
          <w:sz w:val="21"/>
          <w:szCs w:val="21"/>
          <w:lang w:val="es-ES_tradnl"/>
        </w:rPr>
        <w:t xml:space="preserve"> </w:t>
      </w:r>
      <w:r w:rsidRPr="000A091D">
        <w:rPr>
          <w:rFonts w:ascii="Arial" w:hAnsi="Arial" w:cs="Arial"/>
          <w:noProof/>
          <w:sz w:val="22"/>
          <w:lang w:val="es-ES_tradnl"/>
        </w:rPr>
        <w:t xml:space="preserve">el Consejo de Estado en la sentencia de unificación jurisprudencial antes citada, que se refirió a la temporalidad como elemento del contrato estatal de prestación de servicios señalando lo siguiente: </w:t>
      </w:r>
    </w:p>
    <w:p w14:paraId="70EA7D15" w14:textId="77777777" w:rsidR="00AB7DC5" w:rsidRPr="000A091D" w:rsidRDefault="00AB7DC5" w:rsidP="00AB7DC5">
      <w:pPr>
        <w:ind w:left="709" w:right="709"/>
        <w:jc w:val="both"/>
        <w:rPr>
          <w:rFonts w:ascii="Arial" w:hAnsi="Arial" w:cs="Arial"/>
          <w:noProof/>
          <w:sz w:val="21"/>
          <w:szCs w:val="21"/>
          <w:lang w:val="es-ES_tradnl"/>
        </w:rPr>
      </w:pPr>
    </w:p>
    <w:p w14:paraId="6ECD7235" w14:textId="77777777" w:rsidR="00AB7DC5" w:rsidRPr="000A091D" w:rsidRDefault="00AB7DC5" w:rsidP="00AB7DC5">
      <w:pPr>
        <w:ind w:left="709" w:right="709"/>
        <w:jc w:val="both"/>
        <w:rPr>
          <w:rFonts w:ascii="Arial" w:hAnsi="Arial" w:cs="Arial"/>
          <w:noProof/>
          <w:sz w:val="21"/>
          <w:szCs w:val="21"/>
          <w:lang w:val="es-ES_tradnl"/>
        </w:rPr>
      </w:pPr>
      <w:r w:rsidRPr="000A091D">
        <w:rPr>
          <w:rFonts w:ascii="Arial" w:hAnsi="Arial" w:cs="Arial"/>
          <w:noProof/>
          <w:sz w:val="21"/>
          <w:szCs w:val="21"/>
          <w:lang w:val="es-ES_tradnl"/>
        </w:rPr>
        <w:t>En ese orden de ideas, la Sala unifica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sidRPr="000A091D">
        <w:rPr>
          <w:rStyle w:val="Refdenotaalpie"/>
          <w:rFonts w:ascii="Arial" w:hAnsi="Arial" w:cs="Arial"/>
          <w:noProof/>
          <w:sz w:val="21"/>
          <w:szCs w:val="21"/>
          <w:lang w:val="es-ES_tradnl"/>
        </w:rPr>
        <w:footnoteReference w:id="21"/>
      </w:r>
      <w:r w:rsidRPr="000A091D">
        <w:rPr>
          <w:rFonts w:ascii="Arial" w:hAnsi="Arial" w:cs="Arial"/>
          <w:noProof/>
          <w:sz w:val="21"/>
          <w:szCs w:val="21"/>
          <w:lang w:val="es-ES_tradnl"/>
        </w:rPr>
        <w:t>.</w:t>
      </w:r>
    </w:p>
    <w:p w14:paraId="5AA34487" w14:textId="77777777" w:rsidR="00AB7DC5" w:rsidRPr="000A091D" w:rsidRDefault="00AB7DC5" w:rsidP="00AB7DC5">
      <w:pPr>
        <w:ind w:left="709" w:right="709"/>
        <w:jc w:val="both"/>
        <w:rPr>
          <w:rFonts w:ascii="Arial" w:hAnsi="Arial" w:cs="Arial"/>
          <w:noProof/>
          <w:sz w:val="21"/>
          <w:szCs w:val="21"/>
          <w:lang w:val="es-ES_tradnl"/>
        </w:rPr>
      </w:pPr>
    </w:p>
    <w:p w14:paraId="4488D0D3" w14:textId="77777777" w:rsidR="00AB7DC5" w:rsidRPr="000A091D" w:rsidRDefault="00AB7DC5" w:rsidP="00AB7DC5">
      <w:pPr>
        <w:spacing w:after="120" w:line="276" w:lineRule="auto"/>
        <w:ind w:firstLine="709"/>
        <w:jc w:val="both"/>
        <w:rPr>
          <w:rFonts w:ascii="Arial" w:hAnsi="Arial" w:cs="Arial"/>
          <w:noProof/>
          <w:sz w:val="22"/>
          <w:lang w:val="es-ES_tradnl"/>
        </w:rPr>
      </w:pPr>
      <w:r w:rsidRPr="000A091D">
        <w:rPr>
          <w:rFonts w:ascii="Arial" w:hAnsi="Arial" w:cs="Arial"/>
          <w:noProof/>
          <w:sz w:val="22"/>
          <w:lang w:val="es-ES_tradnl"/>
        </w:rPr>
        <w:t xml:space="preserve">iv) Se celebran a través de la modalidad de contratación directa, independientemente de la cuantía y del tipo de servicio profesional, siempre que su objeto no sea la consultoría. Esto por cuanto, como lo indicó el Consejo de Estado en la sentencia de unificación jurisprudencial del </w:t>
      </w:r>
      <w:r w:rsidRPr="000A091D">
        <w:rPr>
          <w:rFonts w:ascii="Arial" w:hAnsi="Arial" w:cs="Arial"/>
          <w:color w:val="000000" w:themeColor="text1"/>
          <w:sz w:val="22"/>
          <w:lang w:val="es-ES_tradnl"/>
        </w:rPr>
        <w:t xml:space="preserve">2 de diciembre de </w:t>
      </w:r>
      <w:r w:rsidRPr="000A091D">
        <w:rPr>
          <w:rFonts w:ascii="Arial" w:hAnsi="Arial" w:cs="Arial"/>
          <w:noProof/>
          <w:sz w:val="22"/>
          <w:lang w:val="es-ES_tradnl"/>
        </w:rPr>
        <w:t>2013</w:t>
      </w:r>
      <w:r w:rsidRPr="000A091D">
        <w:rPr>
          <w:rStyle w:val="Refdenotaalpie"/>
          <w:rFonts w:ascii="Arial" w:hAnsi="Arial" w:cs="Arial"/>
          <w:noProof/>
          <w:sz w:val="22"/>
          <w:lang w:val="es-ES_tradnl"/>
        </w:rPr>
        <w:footnoteReference w:id="22"/>
      </w:r>
      <w:r w:rsidRPr="000A091D">
        <w:rPr>
          <w:rFonts w:ascii="Arial" w:hAnsi="Arial" w:cs="Arial"/>
          <w:noProof/>
          <w:sz w:val="22"/>
          <w:lang w:val="es-ES_tradnl"/>
        </w:rPr>
        <w:t>, si bien en ambos existe un componente intelectual y profesional, el objeto del contrato de consultoría es especial y debe celebrarse, por regla general, mediante un concurso de méritos</w:t>
      </w:r>
      <w:r w:rsidRPr="000A091D">
        <w:rPr>
          <w:rStyle w:val="Refdenotaalpie"/>
          <w:rFonts w:ascii="Arial" w:hAnsi="Arial" w:cs="Arial"/>
          <w:noProof/>
          <w:sz w:val="22"/>
          <w:lang w:val="es-ES_tradnl"/>
        </w:rPr>
        <w:footnoteReference w:id="23"/>
      </w:r>
      <w:r w:rsidRPr="000A091D">
        <w:rPr>
          <w:rFonts w:ascii="Arial" w:hAnsi="Arial" w:cs="Arial"/>
          <w:noProof/>
          <w:sz w:val="22"/>
          <w:lang w:val="es-ES_tradnl"/>
        </w:rPr>
        <w:t xml:space="preserve">. </w:t>
      </w:r>
    </w:p>
    <w:p w14:paraId="4FC00A10" w14:textId="77777777" w:rsidR="00AB7DC5" w:rsidRPr="000A091D" w:rsidRDefault="00AB7DC5" w:rsidP="00AB7DC5">
      <w:pPr>
        <w:spacing w:after="120" w:line="276" w:lineRule="auto"/>
        <w:ind w:firstLine="709"/>
        <w:jc w:val="both"/>
        <w:rPr>
          <w:rFonts w:ascii="Arial" w:hAnsi="Arial" w:cs="Arial"/>
          <w:noProof/>
          <w:sz w:val="22"/>
          <w:lang w:val="es-ES_tradnl"/>
        </w:rPr>
      </w:pPr>
      <w:r w:rsidRPr="000A091D">
        <w:rPr>
          <w:rFonts w:ascii="Arial" w:hAnsi="Arial" w:cs="Arial"/>
          <w:noProof/>
          <w:sz w:val="22"/>
          <w:lang w:val="es-ES_tradnl"/>
        </w:rPr>
        <w:t>Debe aclararse que no debe suscribirse un contrato de prestación de servicios profesionales para ejecutar actividades que se enmarcan en los otros contratos tipificados en el artículo 32 de la Ley 80 de 1993, como, por ejemplo, la construcción de una obra.</w:t>
      </w:r>
    </w:p>
    <w:p w14:paraId="154EF8BB" w14:textId="77777777" w:rsidR="00AB7DC5" w:rsidRPr="000A091D" w:rsidRDefault="00AB7DC5" w:rsidP="00AB7DC5">
      <w:pPr>
        <w:spacing w:after="120" w:line="276" w:lineRule="auto"/>
        <w:ind w:firstLine="709"/>
        <w:jc w:val="both"/>
        <w:rPr>
          <w:rFonts w:ascii="Arial" w:hAnsi="Arial" w:cs="Arial"/>
          <w:noProof/>
          <w:sz w:val="22"/>
          <w:lang w:val="es-ES_tradnl"/>
        </w:rPr>
      </w:pPr>
      <w:r w:rsidRPr="000A091D">
        <w:rPr>
          <w:rFonts w:ascii="Arial" w:hAnsi="Arial" w:cs="Arial"/>
          <w:noProof/>
          <w:sz w:val="22"/>
          <w:lang w:val="es-ES_tradnl"/>
        </w:rPr>
        <w:t>v) Para celebrarlo no se requiere expedir un acto administrativo de justificación de la contratación directa</w:t>
      </w:r>
      <w:r w:rsidRPr="000A091D">
        <w:rPr>
          <w:rStyle w:val="Refdenotaalpie"/>
          <w:rFonts w:ascii="Arial" w:hAnsi="Arial" w:cs="Arial"/>
          <w:noProof/>
          <w:sz w:val="22"/>
          <w:lang w:val="es-ES_tradnl"/>
        </w:rPr>
        <w:footnoteReference w:id="24"/>
      </w:r>
      <w:r w:rsidRPr="000A091D">
        <w:rPr>
          <w:rFonts w:ascii="Arial" w:hAnsi="Arial" w:cs="Arial"/>
          <w:noProof/>
          <w:sz w:val="22"/>
          <w:lang w:val="es-ES_tradnl"/>
        </w:rPr>
        <w:t>.</w:t>
      </w:r>
    </w:p>
    <w:p w14:paraId="11A8ED83" w14:textId="77777777" w:rsidR="00AB7DC5" w:rsidRPr="000A091D" w:rsidRDefault="00AB7DC5" w:rsidP="00AB7DC5">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vi)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r w:rsidRPr="000A091D">
        <w:rPr>
          <w:rStyle w:val="Refdenotaalpie"/>
          <w:rFonts w:ascii="Arial" w:hAnsi="Arial" w:cs="Arial"/>
          <w:noProof/>
          <w:sz w:val="22"/>
          <w:lang w:val="es-ES_tradnl"/>
        </w:rPr>
        <w:footnoteReference w:id="25"/>
      </w:r>
      <w:r w:rsidRPr="000A091D">
        <w:rPr>
          <w:rFonts w:ascii="Arial" w:hAnsi="Arial" w:cs="Arial"/>
          <w:noProof/>
          <w:sz w:val="22"/>
          <w:lang w:val="es-ES_tradnl"/>
        </w:rPr>
        <w:t>.</w:t>
      </w:r>
    </w:p>
    <w:p w14:paraId="18AC6A52" w14:textId="77777777" w:rsidR="00AB7DC5" w:rsidRPr="000A091D" w:rsidRDefault="00AB7DC5" w:rsidP="00AB7DC5">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vii) No es obligatorio liquidar estos contratos, como lo establece el artículo 217 del Decreto 019 de 2012, que modificó el artículo 60 de la Ley 80 de 1993</w:t>
      </w:r>
      <w:r w:rsidRPr="000A091D">
        <w:rPr>
          <w:rStyle w:val="Refdenotaalpie"/>
          <w:rFonts w:ascii="Arial" w:hAnsi="Arial" w:cs="Arial"/>
          <w:noProof/>
          <w:sz w:val="22"/>
          <w:lang w:val="es-ES_tradnl"/>
        </w:rPr>
        <w:footnoteReference w:id="26"/>
      </w:r>
      <w:r w:rsidRPr="000A091D">
        <w:rPr>
          <w:rFonts w:ascii="Arial" w:hAnsi="Arial" w:cs="Arial"/>
          <w:noProof/>
          <w:sz w:val="22"/>
          <w:lang w:val="es-ES_tradnl"/>
        </w:rPr>
        <w:t>.</w:t>
      </w:r>
    </w:p>
    <w:p w14:paraId="29779A51" w14:textId="77777777" w:rsidR="00AB7DC5" w:rsidRPr="000A091D" w:rsidRDefault="00AB7DC5" w:rsidP="00AB7DC5">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viii) Para celebrarlos no se requiere estar inscrito en el Registro Único de Proponentes –RUP–, como lo señala el artículo 6 de la Ley 1150 de 2007</w:t>
      </w:r>
      <w:r w:rsidRPr="000A091D">
        <w:rPr>
          <w:rStyle w:val="Refdenotaalpie"/>
          <w:rFonts w:ascii="Arial" w:hAnsi="Arial" w:cs="Arial"/>
          <w:noProof/>
          <w:sz w:val="22"/>
          <w:lang w:val="es-ES_tradnl"/>
        </w:rPr>
        <w:footnoteReference w:id="27"/>
      </w:r>
      <w:r w:rsidRPr="000A091D">
        <w:rPr>
          <w:rFonts w:ascii="Arial" w:hAnsi="Arial" w:cs="Arial"/>
          <w:noProof/>
          <w:sz w:val="22"/>
          <w:lang w:val="es-ES_tradnl"/>
        </w:rPr>
        <w:t>.</w:t>
      </w:r>
    </w:p>
    <w:p w14:paraId="6C67D6B0" w14:textId="77777777" w:rsidR="00AB7DC5" w:rsidRPr="000A091D" w:rsidRDefault="00AB7DC5" w:rsidP="00AB7DC5">
      <w:pPr>
        <w:spacing w:before="120" w:line="276" w:lineRule="auto"/>
        <w:ind w:firstLine="708"/>
        <w:jc w:val="both"/>
        <w:rPr>
          <w:rFonts w:ascii="Arial" w:hAnsi="Arial" w:cs="Arial"/>
          <w:noProof/>
          <w:sz w:val="22"/>
          <w:lang w:val="es-ES_tradnl"/>
        </w:rPr>
      </w:pPr>
      <w:r w:rsidRPr="000A091D">
        <w:rPr>
          <w:rFonts w:ascii="Arial" w:hAnsi="Arial" w:cs="Arial"/>
          <w:noProof/>
          <w:sz w:val="22"/>
          <w:lang w:val="es-ES_tradnl"/>
        </w:rPr>
        <w:t>ix) No es necesario que el Estado exija garantías</w:t>
      </w:r>
      <w:r w:rsidRPr="000A091D">
        <w:rPr>
          <w:rStyle w:val="Refdenotaalpie"/>
          <w:rFonts w:ascii="Arial" w:hAnsi="Arial" w:cs="Arial"/>
          <w:noProof/>
          <w:sz w:val="22"/>
          <w:lang w:val="es-ES_tradnl"/>
        </w:rPr>
        <w:footnoteReference w:id="28"/>
      </w:r>
      <w:r w:rsidRPr="000A091D">
        <w:rPr>
          <w:rFonts w:ascii="Arial" w:hAnsi="Arial" w:cs="Arial"/>
          <w:noProof/>
          <w:sz w:val="22"/>
          <w:lang w:val="es-ES_tradnl"/>
        </w:rPr>
        <w:t>.</w:t>
      </w:r>
    </w:p>
    <w:p w14:paraId="66A3FFCB" w14:textId="77777777" w:rsidR="00AB7DC5" w:rsidRPr="000A091D" w:rsidRDefault="00AB7DC5" w:rsidP="00AB7DC5">
      <w:pPr>
        <w:tabs>
          <w:tab w:val="left" w:pos="0"/>
        </w:tabs>
        <w:spacing w:before="120" w:line="276" w:lineRule="auto"/>
        <w:ind w:firstLine="709"/>
        <w:jc w:val="both"/>
        <w:rPr>
          <w:rFonts w:ascii="Arial" w:hAnsi="Arial" w:cs="Arial"/>
          <w:color w:val="000000" w:themeColor="text1"/>
          <w:sz w:val="21"/>
          <w:szCs w:val="21"/>
        </w:rPr>
      </w:pPr>
      <w:r w:rsidRPr="000A091D">
        <w:rPr>
          <w:rFonts w:ascii="Arial" w:hAnsi="Arial" w:cs="Arial"/>
          <w:color w:val="000000" w:themeColor="text1"/>
          <w:sz w:val="22"/>
        </w:rPr>
        <w:t xml:space="preserve">Como especies del género </w:t>
      </w:r>
      <w:r w:rsidRPr="000A091D">
        <w:rPr>
          <w:rFonts w:ascii="Arial" w:hAnsi="Arial" w:cs="Arial"/>
          <w:i/>
          <w:color w:val="000000" w:themeColor="text1"/>
          <w:sz w:val="22"/>
        </w:rPr>
        <w:t>prestación de servicios,</w:t>
      </w:r>
      <w:r w:rsidRPr="000A091D">
        <w:rPr>
          <w:rFonts w:ascii="Arial" w:hAnsi="Arial" w:cs="Arial"/>
          <w:color w:val="000000" w:themeColor="text1"/>
          <w:sz w:val="22"/>
        </w:rPr>
        <w:t xml:space="preserve"> se incluyen </w:t>
      </w:r>
      <w:r w:rsidRPr="000A091D">
        <w:rPr>
          <w:rFonts w:ascii="Arial" w:hAnsi="Arial" w:cs="Arial"/>
          <w:color w:val="000000" w:themeColor="text1"/>
          <w:sz w:val="22"/>
          <w:lang w:val="es-ES_tradnl"/>
        </w:rPr>
        <w:t xml:space="preserve">los </w:t>
      </w:r>
      <w:r w:rsidRPr="000A091D">
        <w:rPr>
          <w:rFonts w:ascii="Arial" w:hAnsi="Arial" w:cs="Arial"/>
          <w:i/>
          <w:iCs/>
          <w:color w:val="000000" w:themeColor="text1"/>
          <w:sz w:val="22"/>
          <w:lang w:val="es-ES_tradnl"/>
        </w:rPr>
        <w:t>contratos de prestación de servicios profesionales, los contratos de prestación de servicios apoyo a la gestión</w:t>
      </w:r>
      <w:r w:rsidRPr="000A091D">
        <w:rPr>
          <w:rFonts w:ascii="Arial" w:hAnsi="Arial" w:cs="Arial"/>
          <w:color w:val="000000" w:themeColor="text1"/>
          <w:sz w:val="22"/>
          <w:lang w:val="es-ES_tradnl"/>
        </w:rPr>
        <w:t xml:space="preserve"> y los </w:t>
      </w:r>
      <w:r w:rsidRPr="000A091D">
        <w:rPr>
          <w:rFonts w:ascii="Arial" w:hAnsi="Arial" w:cs="Arial"/>
          <w:i/>
          <w:iCs/>
          <w:color w:val="000000" w:themeColor="text1"/>
          <w:sz w:val="22"/>
          <w:lang w:val="es-ES_tradnl"/>
        </w:rPr>
        <w:t>contratos de prestación de servicios artísticos que solo pueden encomendarse a determinadas personas naturales</w:t>
      </w:r>
      <w:r w:rsidRPr="000A091D">
        <w:rPr>
          <w:rFonts w:ascii="Arial" w:hAnsi="Arial" w:cs="Arial"/>
          <w:color w:val="000000" w:themeColor="text1"/>
          <w:sz w:val="22"/>
          <w:vertAlign w:val="superscript"/>
          <w:lang w:val="es-ES_tradnl"/>
        </w:rPr>
        <w:footnoteReference w:id="29"/>
      </w:r>
      <w:r w:rsidRPr="000A091D">
        <w:rPr>
          <w:rFonts w:ascii="Arial" w:hAnsi="Arial" w:cs="Arial"/>
          <w:color w:val="000000" w:themeColor="text1"/>
          <w:sz w:val="22"/>
        </w:rPr>
        <w:t xml:space="preserve">. </w:t>
      </w:r>
      <w:r w:rsidRPr="000A091D">
        <w:rPr>
          <w:rFonts w:ascii="Arial" w:hAnsi="Arial" w:cs="Arial"/>
          <w:color w:val="000000" w:themeColor="text1"/>
          <w:sz w:val="22"/>
          <w:lang w:val="es-ES_tradnl"/>
        </w:rPr>
        <w:t xml:space="preserve">La diferencia entre el contrato de prestación de servicios </w:t>
      </w:r>
      <w:r w:rsidRPr="000A091D">
        <w:rPr>
          <w:rFonts w:ascii="Arial" w:hAnsi="Arial" w:cs="Arial"/>
          <w:i/>
          <w:color w:val="000000" w:themeColor="text1"/>
          <w:sz w:val="22"/>
          <w:lang w:val="es-ES_tradnl"/>
        </w:rPr>
        <w:t>profesionales</w:t>
      </w:r>
      <w:r w:rsidRPr="000A091D">
        <w:rPr>
          <w:rFonts w:ascii="Arial" w:hAnsi="Arial" w:cs="Arial"/>
          <w:color w:val="000000" w:themeColor="text1"/>
          <w:sz w:val="22"/>
          <w:lang w:val="es-ES_tradnl"/>
        </w:rPr>
        <w:t xml:space="preserve"> con las otras dos especies del género en el cual se </w:t>
      </w:r>
      <w:proofErr w:type="gramStart"/>
      <w:r w:rsidRPr="000A091D">
        <w:rPr>
          <w:rFonts w:ascii="Arial" w:hAnsi="Arial" w:cs="Arial"/>
          <w:color w:val="000000" w:themeColor="text1"/>
          <w:sz w:val="22"/>
          <w:lang w:val="es-ES_tradnl"/>
        </w:rPr>
        <w:t>ubican,</w:t>
      </w:r>
      <w:proofErr w:type="gramEnd"/>
      <w:r w:rsidRPr="000A091D">
        <w:rPr>
          <w:rFonts w:ascii="Arial" w:hAnsi="Arial" w:cs="Arial"/>
          <w:color w:val="000000" w:themeColor="text1"/>
          <w:sz w:val="22"/>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3C98F147" w14:textId="77777777" w:rsidR="00AB7DC5" w:rsidRPr="000A091D" w:rsidRDefault="00AB7DC5" w:rsidP="00AB7DC5">
      <w:pPr>
        <w:spacing w:line="276" w:lineRule="auto"/>
        <w:ind w:firstLine="709"/>
        <w:jc w:val="both"/>
        <w:rPr>
          <w:rFonts w:ascii="Arial" w:hAnsi="Arial" w:cs="Arial"/>
          <w:color w:val="000000" w:themeColor="text1"/>
          <w:sz w:val="22"/>
          <w:lang w:val="es-ES_tradnl"/>
        </w:rPr>
      </w:pPr>
    </w:p>
    <w:p w14:paraId="526D0529" w14:textId="77777777" w:rsidR="00AB7DC5" w:rsidRPr="000A091D" w:rsidRDefault="00AB7DC5" w:rsidP="00AB7DC5">
      <w:pPr>
        <w:ind w:left="709" w:right="709"/>
        <w:jc w:val="both"/>
        <w:rPr>
          <w:rFonts w:ascii="Arial" w:hAnsi="Arial" w:cs="Arial"/>
          <w:color w:val="000000" w:themeColor="text1"/>
          <w:sz w:val="21"/>
          <w:szCs w:val="21"/>
          <w:lang w:val="es-ES_tradnl"/>
        </w:rPr>
      </w:pPr>
      <w:r w:rsidRPr="000A091D">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0A091D">
        <w:rPr>
          <w:rStyle w:val="Refdenotaalpie"/>
          <w:rFonts w:ascii="Arial" w:hAnsi="Arial" w:cs="Arial"/>
          <w:color w:val="000000" w:themeColor="text1"/>
          <w:sz w:val="21"/>
          <w:szCs w:val="21"/>
          <w:lang w:val="es-ES_tradnl"/>
        </w:rPr>
        <w:footnoteReference w:id="30"/>
      </w:r>
      <w:r w:rsidRPr="000A091D">
        <w:rPr>
          <w:rFonts w:ascii="Arial" w:hAnsi="Arial" w:cs="Arial"/>
          <w:color w:val="000000" w:themeColor="text1"/>
          <w:sz w:val="21"/>
          <w:szCs w:val="21"/>
          <w:lang w:val="es-ES_tradnl"/>
        </w:rPr>
        <w:t>.</w:t>
      </w:r>
    </w:p>
    <w:p w14:paraId="3B6BE3F7" w14:textId="77777777" w:rsidR="00AB7DC5" w:rsidRPr="000A091D" w:rsidRDefault="00AB7DC5" w:rsidP="00AB7DC5">
      <w:pPr>
        <w:spacing w:line="276" w:lineRule="auto"/>
        <w:ind w:firstLine="709"/>
        <w:jc w:val="both"/>
        <w:rPr>
          <w:rFonts w:ascii="Arial" w:hAnsi="Arial" w:cs="Arial"/>
          <w:color w:val="000000" w:themeColor="text1"/>
          <w:sz w:val="22"/>
          <w:lang w:val="es-ES_tradnl"/>
        </w:rPr>
      </w:pPr>
    </w:p>
    <w:p w14:paraId="35154E0D" w14:textId="77777777" w:rsidR="00AB7DC5" w:rsidRPr="000A091D" w:rsidRDefault="00AB7DC5" w:rsidP="00AB7DC5">
      <w:pPr>
        <w:spacing w:line="276" w:lineRule="auto"/>
        <w:ind w:firstLine="709"/>
        <w:jc w:val="both"/>
        <w:rPr>
          <w:rFonts w:ascii="Arial" w:hAnsi="Arial" w:cs="Arial"/>
          <w:color w:val="000000" w:themeColor="text1"/>
          <w:sz w:val="22"/>
          <w:lang w:val="es-ES_tradnl"/>
        </w:rPr>
      </w:pPr>
      <w:r w:rsidRPr="000A091D">
        <w:rPr>
          <w:rFonts w:ascii="Arial" w:hAnsi="Arial" w:cs="Arial"/>
          <w:color w:val="000000" w:themeColor="text1"/>
          <w:sz w:val="22"/>
          <w:lang w:val="es-ES_tradnl"/>
        </w:rPr>
        <w:t xml:space="preserve">Lo expuesto, según la jurisprudencia citada, se diferencia del objeto del </w:t>
      </w:r>
      <w:r w:rsidRPr="000A091D">
        <w:rPr>
          <w:rFonts w:ascii="Arial" w:hAnsi="Arial" w:cs="Arial"/>
          <w:i/>
          <w:iCs/>
          <w:color w:val="000000" w:themeColor="text1"/>
          <w:sz w:val="22"/>
          <w:lang w:val="es-ES_tradnl"/>
        </w:rPr>
        <w:t>contrato de prestación de servicios de apoyo a la gestión</w:t>
      </w:r>
      <w:r w:rsidRPr="000A091D">
        <w:rPr>
          <w:rFonts w:ascii="Arial" w:hAnsi="Arial" w:cs="Arial"/>
          <w:color w:val="000000" w:themeColor="text1"/>
          <w:sz w:val="22"/>
          <w:lang w:val="es-ES_tradnl"/>
        </w:rPr>
        <w:t>, en los siguientes aspectos:</w:t>
      </w:r>
    </w:p>
    <w:p w14:paraId="0D6021F7" w14:textId="77777777" w:rsidR="00AB7DC5" w:rsidRPr="000A091D" w:rsidRDefault="00AB7DC5" w:rsidP="00AB7DC5">
      <w:pPr>
        <w:spacing w:line="276" w:lineRule="auto"/>
        <w:ind w:firstLine="709"/>
        <w:jc w:val="both"/>
        <w:rPr>
          <w:rFonts w:ascii="Arial" w:hAnsi="Arial" w:cs="Arial"/>
          <w:color w:val="000000" w:themeColor="text1"/>
          <w:sz w:val="22"/>
          <w:lang w:val="es-ES_tradnl"/>
        </w:rPr>
      </w:pPr>
    </w:p>
    <w:p w14:paraId="3C03C105" w14:textId="77777777" w:rsidR="00AB7DC5" w:rsidRPr="000A091D" w:rsidRDefault="00AB7DC5" w:rsidP="00AB7DC5">
      <w:pPr>
        <w:spacing w:after="120"/>
        <w:ind w:left="709" w:right="709"/>
        <w:jc w:val="both"/>
        <w:rPr>
          <w:rFonts w:ascii="Arial" w:hAnsi="Arial" w:cs="Arial"/>
          <w:color w:val="000000" w:themeColor="text1"/>
          <w:sz w:val="21"/>
          <w:szCs w:val="21"/>
          <w:lang w:val="es-ES_tradnl"/>
        </w:rPr>
      </w:pPr>
      <w:r w:rsidRPr="000A091D">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710B0CF" w14:textId="77777777" w:rsidR="00AB7DC5" w:rsidRPr="000A091D" w:rsidRDefault="00AB7DC5" w:rsidP="00AB7DC5">
      <w:pPr>
        <w:spacing w:after="120"/>
        <w:ind w:left="709" w:right="709"/>
        <w:jc w:val="both"/>
        <w:rPr>
          <w:rFonts w:ascii="Arial" w:hAnsi="Arial" w:cs="Arial"/>
          <w:color w:val="000000" w:themeColor="text1"/>
          <w:sz w:val="21"/>
          <w:szCs w:val="21"/>
          <w:lang w:val="es-ES_tradnl"/>
        </w:rPr>
      </w:pPr>
      <w:r w:rsidRPr="000A091D">
        <w:rPr>
          <w:rFonts w:ascii="Arial" w:hAnsi="Arial" w:cs="Arial"/>
          <w:color w:val="000000" w:themeColor="text1"/>
          <w:sz w:val="21"/>
          <w:szCs w:val="21"/>
          <w:lang w:val="es-ES_tradnl"/>
        </w:rPr>
        <w:t xml:space="preserve">Aunque también se caracteriza por el desempeño de actividad intelectiva, ésta </w:t>
      </w:r>
      <w:proofErr w:type="gramStart"/>
      <w:r w:rsidRPr="000A091D">
        <w:rPr>
          <w:rFonts w:ascii="Arial" w:hAnsi="Arial" w:cs="Arial"/>
          <w:color w:val="000000" w:themeColor="text1"/>
          <w:sz w:val="21"/>
          <w:szCs w:val="21"/>
          <w:lang w:val="es-ES_tradnl"/>
        </w:rPr>
        <w:t>se enmarca dentro de</w:t>
      </w:r>
      <w:proofErr w:type="gramEnd"/>
      <w:r w:rsidRPr="000A091D">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565BE6CA" w14:textId="77777777" w:rsidR="00AB7DC5" w:rsidRPr="000A091D" w:rsidRDefault="00AB7DC5" w:rsidP="00AB7DC5">
      <w:pPr>
        <w:ind w:left="709" w:right="709"/>
        <w:jc w:val="both"/>
        <w:rPr>
          <w:rFonts w:ascii="Arial" w:hAnsi="Arial" w:cs="Arial"/>
          <w:color w:val="000000" w:themeColor="text1"/>
          <w:sz w:val="21"/>
          <w:szCs w:val="21"/>
          <w:lang w:val="es-ES_tradnl"/>
        </w:rPr>
      </w:pPr>
      <w:r w:rsidRPr="000A091D">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0A091D">
        <w:rPr>
          <w:rStyle w:val="Refdenotaalpie"/>
          <w:rFonts w:ascii="Arial" w:hAnsi="Arial" w:cs="Arial"/>
          <w:color w:val="000000" w:themeColor="text1"/>
          <w:sz w:val="21"/>
          <w:szCs w:val="21"/>
          <w:lang w:val="es-ES_tradnl"/>
        </w:rPr>
        <w:footnoteReference w:id="31"/>
      </w:r>
      <w:r w:rsidRPr="000A091D">
        <w:rPr>
          <w:rFonts w:ascii="Arial" w:hAnsi="Arial" w:cs="Arial"/>
          <w:color w:val="000000" w:themeColor="text1"/>
          <w:sz w:val="21"/>
          <w:szCs w:val="21"/>
          <w:lang w:val="es-ES_tradnl"/>
        </w:rPr>
        <w:t>.</w:t>
      </w:r>
    </w:p>
    <w:p w14:paraId="1EB1BB50" w14:textId="77777777" w:rsidR="00AB7DC5" w:rsidRPr="000A091D" w:rsidRDefault="00AB7DC5" w:rsidP="00AB7DC5">
      <w:pPr>
        <w:spacing w:line="276" w:lineRule="auto"/>
        <w:ind w:firstLine="709"/>
        <w:jc w:val="both"/>
        <w:rPr>
          <w:rFonts w:ascii="Arial" w:hAnsi="Arial" w:cs="Arial"/>
          <w:color w:val="000000" w:themeColor="text1"/>
          <w:sz w:val="22"/>
          <w:lang w:val="es-ES_tradnl"/>
        </w:rPr>
      </w:pPr>
    </w:p>
    <w:p w14:paraId="236B9D11" w14:textId="77777777" w:rsidR="00AB7DC5" w:rsidRPr="000A091D" w:rsidRDefault="00AB7DC5" w:rsidP="00AB7DC5">
      <w:pPr>
        <w:spacing w:line="276" w:lineRule="auto"/>
        <w:ind w:firstLine="709"/>
        <w:jc w:val="both"/>
        <w:rPr>
          <w:rFonts w:ascii="Arial" w:hAnsi="Arial" w:cs="Arial"/>
          <w:color w:val="000000" w:themeColor="text1"/>
          <w:sz w:val="22"/>
          <w:lang w:val="es-ES_tradnl"/>
        </w:rPr>
      </w:pPr>
      <w:r w:rsidRPr="000A091D">
        <w:rPr>
          <w:rFonts w:ascii="Arial" w:hAnsi="Arial" w:cs="Arial"/>
          <w:color w:val="000000" w:themeColor="text1"/>
          <w:sz w:val="22"/>
          <w:lang w:val="es-ES_tradnl"/>
        </w:rPr>
        <w:t xml:space="preserve">En relación con el </w:t>
      </w:r>
      <w:r w:rsidRPr="000A091D">
        <w:rPr>
          <w:rFonts w:ascii="Arial" w:hAnsi="Arial" w:cs="Arial"/>
          <w:i/>
          <w:iCs/>
          <w:color w:val="000000" w:themeColor="text1"/>
          <w:sz w:val="22"/>
          <w:lang w:val="es-ES_tradnl"/>
        </w:rPr>
        <w:t>contrato de prestación de servicios artísticos que solo pueden encomendarse a determinadas personas naturales</w:t>
      </w:r>
      <w:r w:rsidRPr="000A091D">
        <w:rPr>
          <w:rFonts w:ascii="Arial" w:hAnsi="Arial" w:cs="Arial"/>
          <w:color w:val="000000" w:themeColor="text1"/>
          <w:sz w:val="22"/>
          <w:lang w:val="es-ES_tradnl"/>
        </w:rPr>
        <w:t>, señala la mencionada decisión judicial lo siguiente:</w:t>
      </w:r>
    </w:p>
    <w:p w14:paraId="72756712" w14:textId="77777777" w:rsidR="00AB7DC5" w:rsidRPr="000A091D" w:rsidRDefault="00AB7DC5" w:rsidP="00AB7DC5">
      <w:pPr>
        <w:ind w:left="709" w:right="709"/>
        <w:jc w:val="both"/>
        <w:rPr>
          <w:rFonts w:ascii="Arial" w:hAnsi="Arial" w:cs="Arial"/>
          <w:color w:val="000000" w:themeColor="text1"/>
          <w:sz w:val="21"/>
          <w:szCs w:val="21"/>
          <w:lang w:val="es-ES_tradnl"/>
        </w:rPr>
      </w:pPr>
    </w:p>
    <w:p w14:paraId="1D000BD6" w14:textId="77777777" w:rsidR="00AB7DC5" w:rsidRPr="000A091D" w:rsidRDefault="00AB7DC5" w:rsidP="00AB7DC5">
      <w:pPr>
        <w:ind w:left="709" w:right="709"/>
        <w:jc w:val="both"/>
        <w:rPr>
          <w:rFonts w:ascii="Arial" w:hAnsi="Arial" w:cs="Arial"/>
          <w:color w:val="000000" w:themeColor="text1"/>
          <w:sz w:val="21"/>
          <w:szCs w:val="21"/>
          <w:lang w:val="es-ES_tradnl"/>
        </w:rPr>
      </w:pPr>
      <w:r w:rsidRPr="000A091D">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0A091D">
        <w:rPr>
          <w:rStyle w:val="Refdenotaalpie"/>
          <w:rFonts w:ascii="Arial" w:hAnsi="Arial" w:cs="Arial"/>
          <w:color w:val="000000" w:themeColor="text1"/>
          <w:sz w:val="21"/>
          <w:szCs w:val="21"/>
          <w:lang w:val="es-ES_tradnl"/>
        </w:rPr>
        <w:footnoteReference w:id="32"/>
      </w:r>
      <w:r w:rsidRPr="000A091D">
        <w:rPr>
          <w:rFonts w:ascii="Arial" w:hAnsi="Arial" w:cs="Arial"/>
          <w:color w:val="000000" w:themeColor="text1"/>
          <w:sz w:val="21"/>
          <w:szCs w:val="21"/>
          <w:lang w:val="es-ES_tradnl"/>
        </w:rPr>
        <w:t>.</w:t>
      </w:r>
    </w:p>
    <w:p w14:paraId="25D2D29B" w14:textId="77777777" w:rsidR="00AB7DC5" w:rsidRPr="000A091D" w:rsidRDefault="00AB7DC5" w:rsidP="00AB7DC5">
      <w:pPr>
        <w:ind w:left="709" w:right="709"/>
        <w:jc w:val="both"/>
        <w:rPr>
          <w:rFonts w:ascii="Arial" w:hAnsi="Arial" w:cs="Arial"/>
          <w:color w:val="000000" w:themeColor="text1"/>
          <w:sz w:val="21"/>
          <w:szCs w:val="21"/>
          <w:lang w:val="es-ES_tradnl"/>
        </w:rPr>
      </w:pPr>
    </w:p>
    <w:p w14:paraId="0BDF609C" w14:textId="3DB42AC9" w:rsidR="00D631E3" w:rsidRDefault="00AB7DC5" w:rsidP="005F60BA">
      <w:pPr>
        <w:spacing w:before="120" w:after="120" w:line="276" w:lineRule="auto"/>
        <w:ind w:firstLine="709"/>
        <w:jc w:val="both"/>
        <w:rPr>
          <w:rFonts w:ascii="Arial" w:hAnsi="Arial" w:cs="Arial"/>
          <w:color w:val="000000" w:themeColor="text1"/>
          <w:sz w:val="22"/>
          <w:lang w:val="es-ES_tradnl"/>
        </w:rPr>
      </w:pPr>
      <w:r w:rsidRPr="000A091D">
        <w:rPr>
          <w:rFonts w:ascii="Arial" w:hAnsi="Arial" w:cs="Arial"/>
          <w:color w:val="000000" w:themeColor="text1"/>
          <w:sz w:val="22"/>
          <w:lang w:val="es-ES_tradnl"/>
        </w:rPr>
        <w:t xml:space="preserve">En este sentido, el contrato de prestación de servicios </w:t>
      </w:r>
      <w:r w:rsidRPr="000A091D">
        <w:rPr>
          <w:rFonts w:ascii="Arial" w:hAnsi="Arial" w:cs="Arial"/>
          <w:i/>
          <w:iCs/>
          <w:color w:val="000000" w:themeColor="text1"/>
          <w:sz w:val="22"/>
          <w:lang w:val="es-ES_tradnl"/>
        </w:rPr>
        <w:t>profesionales</w:t>
      </w:r>
      <w:r w:rsidRPr="000A091D">
        <w:rPr>
          <w:rFonts w:ascii="Arial" w:hAnsi="Arial" w:cs="Arial"/>
          <w:color w:val="000000" w:themeColor="text1"/>
          <w:sz w:val="22"/>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0A091D">
        <w:rPr>
          <w:rFonts w:ascii="Arial" w:hAnsi="Arial" w:cs="Arial"/>
          <w:i/>
          <w:iCs/>
          <w:color w:val="000000" w:themeColor="text1"/>
          <w:sz w:val="22"/>
          <w:lang w:val="es-ES_tradnl"/>
        </w:rPr>
        <w:t>saber intelectivo cualificado.</w:t>
      </w:r>
      <w:r w:rsidRPr="000A091D">
        <w:rPr>
          <w:rFonts w:ascii="Arial" w:hAnsi="Arial" w:cs="Arial"/>
          <w:color w:val="000000" w:themeColor="text1"/>
          <w:sz w:val="22"/>
          <w:lang w:val="es-ES_tradnl"/>
        </w:rPr>
        <w:t xml:space="preserve"> En cambio, los contratos de prestación de servicios de </w:t>
      </w:r>
      <w:r w:rsidRPr="000A091D">
        <w:rPr>
          <w:rFonts w:ascii="Arial" w:hAnsi="Arial" w:cs="Arial"/>
          <w:i/>
          <w:iCs/>
          <w:color w:val="000000" w:themeColor="text1"/>
          <w:sz w:val="22"/>
          <w:lang w:val="es-ES_tradnl"/>
        </w:rPr>
        <w:t>apoyo a la gestión</w:t>
      </w:r>
      <w:r w:rsidRPr="000A091D">
        <w:rPr>
          <w:rFonts w:ascii="Arial" w:hAnsi="Arial" w:cs="Arial"/>
          <w:color w:val="000000" w:themeColor="text1"/>
          <w:sz w:val="22"/>
          <w:lang w:val="es-ES_tradnl"/>
        </w:rPr>
        <w:t xml:space="preserve"> y de </w:t>
      </w:r>
      <w:r w:rsidRPr="000A091D">
        <w:rPr>
          <w:rFonts w:ascii="Arial" w:hAnsi="Arial" w:cs="Arial"/>
          <w:i/>
          <w:iCs/>
          <w:color w:val="000000" w:themeColor="text1"/>
          <w:sz w:val="22"/>
          <w:lang w:val="es-ES_tradnl"/>
        </w:rPr>
        <w:t>servicios artísticos</w:t>
      </w:r>
      <w:r w:rsidRPr="000A091D">
        <w:rPr>
          <w:rFonts w:ascii="Arial" w:hAnsi="Arial" w:cs="Arial"/>
          <w:color w:val="000000" w:themeColor="text1"/>
          <w:sz w:val="22"/>
          <w:lang w:val="es-ES_tradnl"/>
        </w:rPr>
        <w:t xml:space="preserve"> no involucran ese conocimiento profesional </w:t>
      </w:r>
      <w:r w:rsidRPr="000A091D">
        <w:rPr>
          <w:rFonts w:ascii="Arial" w:hAnsi="Arial" w:cs="Arial"/>
          <w:color w:val="000000" w:themeColor="text1"/>
          <w:sz w:val="22"/>
        </w:rPr>
        <w:t xml:space="preserve">o especializado para su ejecución. En los de apoyo a la gestión </w:t>
      </w:r>
      <w:r w:rsidRPr="000A091D">
        <w:rPr>
          <w:rFonts w:ascii="Arial" w:hAnsi="Arial" w:cs="Arial"/>
          <w:color w:val="000000" w:themeColor="text1"/>
          <w:sz w:val="22"/>
          <w:lang w:val="es-ES_tradnl"/>
        </w:rPr>
        <w:t xml:space="preserve">el contratista desempeña un esfuerzo o actividad de apoyo, acompañamiento, o soporte, </w:t>
      </w:r>
      <w:r w:rsidRPr="000A091D">
        <w:rPr>
          <w:rFonts w:ascii="Arial" w:hAnsi="Arial" w:cs="Arial"/>
          <w:color w:val="000000" w:themeColor="text1"/>
          <w:sz w:val="22"/>
        </w:rPr>
        <w:t xml:space="preserve">en donde </w:t>
      </w:r>
      <w:r w:rsidRPr="000A091D">
        <w:rPr>
          <w:rFonts w:ascii="Arial" w:hAnsi="Arial" w:cs="Arial"/>
          <w:color w:val="000000" w:themeColor="text1"/>
          <w:sz w:val="22"/>
          <w:lang w:val="es-ES_tradnl"/>
        </w:rPr>
        <w:t xml:space="preserve">«lo predominante es el actuar como ejecutor, con el propósito y finalidad de satisfacer necesidades de las entidades estatales en lo relacionado con la gestión administrativa o funcionamiento de </w:t>
      </w:r>
      <w:proofErr w:type="gramStart"/>
      <w:r w:rsidRPr="000A091D">
        <w:rPr>
          <w:rFonts w:ascii="Arial" w:hAnsi="Arial" w:cs="Arial"/>
          <w:color w:val="000000" w:themeColor="text1"/>
          <w:sz w:val="22"/>
          <w:lang w:val="es-ES_tradnl"/>
        </w:rPr>
        <w:t>la misma</w:t>
      </w:r>
      <w:proofErr w:type="gramEnd"/>
      <w:r w:rsidRPr="000A091D">
        <w:rPr>
          <w:rFonts w:ascii="Arial" w:hAnsi="Arial" w:cs="Arial"/>
          <w:color w:val="000000" w:themeColor="text1"/>
          <w:sz w:val="22"/>
          <w:lang w:val="es-ES_tradnl"/>
        </w:rPr>
        <w:t>,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w:t>
      </w:r>
      <w:bookmarkStart w:id="5" w:name="_Hlk80118732"/>
      <w:r w:rsidRPr="000A091D">
        <w:rPr>
          <w:rFonts w:ascii="Arial" w:hAnsi="Arial" w:cs="Arial"/>
          <w:color w:val="000000" w:themeColor="text1"/>
          <w:sz w:val="22"/>
          <w:lang w:val="es-ES_tradnl"/>
        </w:rPr>
        <w:t>»</w:t>
      </w:r>
      <w:bookmarkEnd w:id="5"/>
      <w:r w:rsidRPr="000A091D">
        <w:rPr>
          <w:rFonts w:ascii="Arial" w:hAnsi="Arial" w:cs="Arial"/>
          <w:color w:val="000000" w:themeColor="text1"/>
          <w:sz w:val="22"/>
          <w:lang w:val="es-ES_tradnl"/>
        </w:rPr>
        <w:t>, en donde es indiferente el carácter de profesional.</w:t>
      </w:r>
    </w:p>
    <w:p w14:paraId="71B0E72C" w14:textId="68AAF918" w:rsidR="00E419C7" w:rsidRPr="00F95886" w:rsidRDefault="00E419C7" w:rsidP="00E419C7">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Teniendo en cuenta las anteriores características del contrato de prestación de servicios profesionales, así como el régimen de inhabilidades e incompatibilidades previsto para la contratación estatal, se abordará a continuación la inquietud formulada en la consulta.</w:t>
      </w:r>
    </w:p>
    <w:p w14:paraId="2AA16A63" w14:textId="77777777" w:rsidR="00E419C7" w:rsidRPr="00F95886" w:rsidRDefault="00E419C7" w:rsidP="00E419C7">
      <w:pPr>
        <w:ind w:left="709" w:right="709"/>
        <w:jc w:val="both"/>
        <w:rPr>
          <w:rFonts w:ascii="Arial" w:hAnsi="Arial" w:cs="Arial"/>
          <w:color w:val="000000" w:themeColor="text1"/>
          <w:sz w:val="21"/>
          <w:szCs w:val="21"/>
          <w:lang w:val="es-ES_tradnl"/>
        </w:rPr>
      </w:pPr>
    </w:p>
    <w:p w14:paraId="0D7B24EB" w14:textId="26350ECA" w:rsidR="00E419C7" w:rsidRPr="00F95886" w:rsidRDefault="00E419C7" w:rsidP="00E419C7">
      <w:pPr>
        <w:spacing w:line="276" w:lineRule="auto"/>
        <w:jc w:val="both"/>
        <w:rPr>
          <w:rFonts w:ascii="Arial" w:eastAsia="Calibri" w:hAnsi="Arial" w:cs="Arial"/>
          <w:b/>
          <w:bCs/>
          <w:color w:val="000000" w:themeColor="text1"/>
          <w:sz w:val="22"/>
          <w:lang w:val="es-ES_tradnl"/>
        </w:rPr>
      </w:pPr>
      <w:r w:rsidRPr="00F95886">
        <w:rPr>
          <w:rFonts w:ascii="Arial" w:eastAsia="Calibri" w:hAnsi="Arial" w:cs="Arial"/>
          <w:b/>
          <w:bCs/>
          <w:color w:val="000000" w:themeColor="text1"/>
          <w:sz w:val="22"/>
          <w:lang w:val="es-ES_tradnl"/>
        </w:rPr>
        <w:t xml:space="preserve">2.3. Posibilidad de celebrar </w:t>
      </w:r>
      <w:r w:rsidR="009E2B8D">
        <w:rPr>
          <w:rFonts w:ascii="Arial" w:eastAsia="Calibri" w:hAnsi="Arial" w:cs="Arial"/>
          <w:b/>
          <w:bCs/>
          <w:color w:val="000000" w:themeColor="text1"/>
          <w:sz w:val="22"/>
          <w:lang w:val="es-ES_tradnl"/>
        </w:rPr>
        <w:t>varios</w:t>
      </w:r>
      <w:r w:rsidRPr="00F95886">
        <w:rPr>
          <w:rFonts w:ascii="Arial" w:eastAsia="Calibri" w:hAnsi="Arial" w:cs="Arial"/>
          <w:b/>
          <w:bCs/>
          <w:color w:val="000000" w:themeColor="text1"/>
          <w:sz w:val="22"/>
          <w:lang w:val="es-ES_tradnl"/>
        </w:rPr>
        <w:t xml:space="preserve"> contratos de prestación de servicios profesionales con entidad</w:t>
      </w:r>
      <w:r w:rsidR="009E2B8D">
        <w:rPr>
          <w:rFonts w:ascii="Arial" w:eastAsia="Calibri" w:hAnsi="Arial" w:cs="Arial"/>
          <w:b/>
          <w:bCs/>
          <w:color w:val="000000" w:themeColor="text1"/>
          <w:sz w:val="22"/>
          <w:lang w:val="es-ES_tradnl"/>
        </w:rPr>
        <w:t>es</w:t>
      </w:r>
      <w:r w:rsidR="00CD7ABA">
        <w:rPr>
          <w:rFonts w:ascii="Arial" w:eastAsia="Calibri" w:hAnsi="Arial" w:cs="Arial"/>
          <w:b/>
          <w:bCs/>
          <w:color w:val="000000" w:themeColor="text1"/>
          <w:sz w:val="22"/>
          <w:lang w:val="es-ES_tradnl"/>
        </w:rPr>
        <w:t xml:space="preserve"> diferentes</w:t>
      </w:r>
      <w:r w:rsidRPr="00F95886">
        <w:rPr>
          <w:rFonts w:ascii="Arial" w:eastAsia="Calibri" w:hAnsi="Arial" w:cs="Arial"/>
          <w:b/>
          <w:bCs/>
          <w:color w:val="000000" w:themeColor="text1"/>
          <w:sz w:val="22"/>
          <w:lang w:val="es-ES_tradnl"/>
        </w:rPr>
        <w:t>, y que además coexistan</w:t>
      </w:r>
    </w:p>
    <w:p w14:paraId="484413C0" w14:textId="77777777" w:rsidR="00E419C7" w:rsidRPr="00F95886" w:rsidRDefault="00E419C7" w:rsidP="00E419C7">
      <w:pPr>
        <w:spacing w:line="276" w:lineRule="auto"/>
        <w:jc w:val="both"/>
        <w:rPr>
          <w:rFonts w:ascii="Arial" w:hAnsi="Arial" w:cs="Arial"/>
          <w:color w:val="000000" w:themeColor="text1"/>
          <w:sz w:val="22"/>
          <w:lang w:val="es-ES_tradnl"/>
        </w:rPr>
      </w:pPr>
    </w:p>
    <w:p w14:paraId="76B6986B" w14:textId="4374F94A" w:rsidR="00E419C7" w:rsidRPr="00F95886" w:rsidRDefault="00E419C7" w:rsidP="00BD1139">
      <w:pPr>
        <w:spacing w:after="200" w:line="276" w:lineRule="auto"/>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Analizado el régimen de inhabilidades e incompatibilidades previsto para la contratación estatal, así como los requisitos y límites de los contratos de prestación de servicios profesionales, se concluye que </w:t>
      </w:r>
      <w:r w:rsidR="0089078E">
        <w:rPr>
          <w:rFonts w:ascii="Arial" w:hAnsi="Arial" w:cs="Arial"/>
          <w:color w:val="000000" w:themeColor="text1"/>
          <w:sz w:val="22"/>
          <w:lang w:val="es-ES_tradnl"/>
        </w:rPr>
        <w:t>–sin perjuicio de lo prev</w:t>
      </w:r>
      <w:r w:rsidR="00E118C0">
        <w:rPr>
          <w:rFonts w:ascii="Arial" w:hAnsi="Arial" w:cs="Arial"/>
          <w:color w:val="000000" w:themeColor="text1"/>
          <w:sz w:val="22"/>
          <w:lang w:val="es-ES_tradnl"/>
        </w:rPr>
        <w:t xml:space="preserve">isto en el inciso final del artículo </w:t>
      </w:r>
      <w:r w:rsidR="008D0B5E">
        <w:rPr>
          <w:rStyle w:val="normaltextrun"/>
          <w:rFonts w:ascii="Arial" w:hAnsi="Arial" w:cs="Arial"/>
          <w:color w:val="000000"/>
          <w:sz w:val="22"/>
          <w:bdr w:val="none" w:sz="0" w:space="0" w:color="auto" w:frame="1"/>
        </w:rPr>
        <w:t>2.8.4.4.5 del Decreto 1068 de 2015</w:t>
      </w:r>
      <w:r w:rsidR="00251A6F">
        <w:rPr>
          <w:rStyle w:val="Refdenotaalpie"/>
          <w:rFonts w:ascii="Arial" w:hAnsi="Arial" w:cs="Arial"/>
          <w:color w:val="000000"/>
          <w:sz w:val="22"/>
          <w:bdr w:val="none" w:sz="0" w:space="0" w:color="auto" w:frame="1"/>
        </w:rPr>
        <w:footnoteReference w:id="33"/>
      </w:r>
      <w:r w:rsidR="008D0B5E">
        <w:rPr>
          <w:rStyle w:val="normaltextrun"/>
          <w:rFonts w:ascii="Arial" w:hAnsi="Arial" w:cs="Arial"/>
          <w:color w:val="000000"/>
          <w:sz w:val="22"/>
          <w:bdr w:val="none" w:sz="0" w:space="0" w:color="auto" w:frame="1"/>
        </w:rPr>
        <w:t xml:space="preserve">– </w:t>
      </w:r>
      <w:r w:rsidRPr="00F95886">
        <w:rPr>
          <w:rFonts w:ascii="Arial" w:hAnsi="Arial" w:cs="Arial"/>
          <w:color w:val="000000" w:themeColor="text1"/>
          <w:sz w:val="22"/>
          <w:lang w:val="es-ES_tradnl"/>
        </w:rPr>
        <w:t xml:space="preserve">no existe una inhabilidad, incompatibilidad o prohibición de otra naturaleza para que una entidad estatal celebre dos o más contratos de prestación de servicios profesionales con una </w:t>
      </w:r>
      <w:r w:rsidRPr="00BD1139">
        <w:rPr>
          <w:rFonts w:ascii="Arial" w:hAnsi="Arial" w:cs="Arial"/>
          <w:color w:val="000000" w:themeColor="text1"/>
          <w:sz w:val="22"/>
          <w:lang w:val="es-ES_tradnl"/>
        </w:rPr>
        <w:t>misma persona</w:t>
      </w:r>
      <w:r w:rsidRPr="00F95886">
        <w:rPr>
          <w:rFonts w:ascii="Arial" w:hAnsi="Arial" w:cs="Arial"/>
          <w:color w:val="000000" w:themeColor="text1"/>
          <w:sz w:val="22"/>
          <w:lang w:val="es-ES_tradnl"/>
        </w:rPr>
        <w:t>, así dichos contratos coexistan en el tiempo</w:t>
      </w:r>
      <w:r w:rsidR="00382CE2">
        <w:rPr>
          <w:rStyle w:val="Refdenotaalpie"/>
          <w:rFonts w:ascii="Arial" w:hAnsi="Arial" w:cs="Arial"/>
          <w:color w:val="000000" w:themeColor="text1"/>
          <w:sz w:val="22"/>
          <w:lang w:val="es-ES_tradnl"/>
        </w:rPr>
        <w:footnoteReference w:id="34"/>
      </w:r>
      <w:r w:rsidR="00BD1139" w:rsidRPr="00BD1139">
        <w:rPr>
          <w:rFonts w:ascii="Arial" w:hAnsi="Arial" w:cs="Arial"/>
          <w:color w:val="000000" w:themeColor="text1"/>
          <w:sz w:val="22"/>
          <w:lang w:val="es-ES_tradnl"/>
        </w:rPr>
        <w:t xml:space="preserve">. </w:t>
      </w:r>
    </w:p>
    <w:p w14:paraId="0ADC1FEB" w14:textId="25F7CE7E" w:rsidR="001E78E9" w:rsidRPr="001E78E9" w:rsidRDefault="00E419C7" w:rsidP="00D62F3A">
      <w:pPr>
        <w:spacing w:after="120" w:line="276" w:lineRule="auto"/>
        <w:ind w:firstLine="708"/>
        <w:jc w:val="both"/>
        <w:rPr>
          <w:rFonts w:ascii="Arial" w:hAnsi="Arial" w:cs="Arial"/>
          <w:color w:val="000000" w:themeColor="text1"/>
          <w:sz w:val="22"/>
          <w:lang w:val="es-ES_tradnl"/>
        </w:rPr>
      </w:pPr>
      <w:r w:rsidRPr="00F95886">
        <w:rPr>
          <w:rFonts w:ascii="Arial" w:hAnsi="Arial" w:cs="Arial"/>
          <w:color w:val="000000" w:themeColor="text1"/>
          <w:sz w:val="22"/>
          <w:lang w:val="es-ES_tradnl"/>
        </w:rPr>
        <w:t>La anterior conclusión se apoya en la idea de que las inhabilidades e incompatibilidades, al ser limitaciones a la capacidad contractual, y por tanto al afectar derechos como la libre concurrencia o la libertad de ejercicio de la profesión u oficio, es decir, al ser enunciados normativos gravosos, deben interpretarse restrictivamente; o sea, no admiten una interpretación amplia, extensiva o analógica. Precisamente, al leer las causales previstas en la Constitución, así como en el artículo 8 de la Ley 80 de 1993 y en otras disposiciones complementarias, no se observa una prohibición para que una misma persona natural preste sus servicios profesionales a una entidad, a través de contratos distintos y concomitantes</w:t>
      </w:r>
      <w:r w:rsidR="00AF010B">
        <w:rPr>
          <w:rStyle w:val="Refdenotaalpie"/>
          <w:rFonts w:ascii="Arial" w:hAnsi="Arial" w:cs="Arial"/>
          <w:color w:val="000000" w:themeColor="text1"/>
          <w:sz w:val="22"/>
          <w:lang w:val="es-ES_tradnl"/>
        </w:rPr>
        <w:footnoteReference w:id="35"/>
      </w:r>
      <w:r w:rsidRPr="00F95886">
        <w:rPr>
          <w:rFonts w:ascii="Arial" w:hAnsi="Arial" w:cs="Arial"/>
          <w:color w:val="000000" w:themeColor="text1"/>
          <w:sz w:val="22"/>
          <w:lang w:val="es-ES_tradnl"/>
        </w:rPr>
        <w:t>.</w:t>
      </w:r>
    </w:p>
    <w:p w14:paraId="2FA12669" w14:textId="77777777" w:rsidR="00E419C7" w:rsidRPr="00F95886" w:rsidRDefault="00E419C7" w:rsidP="00DC2B66">
      <w:pPr>
        <w:spacing w:after="120"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Sin embargo, el hecho de que no haya una causal de inhabilidad o de incompatibilidad no significa que siempre se pueda celebrar el contrato de prestación de servicios profesionales. Para que ello sea viable, deben cumplirse los requisitos a los que se hizo referencia en el numeral 2.2. de este concepto, pues se recuerda que la celebración del contrato de prestación de servicios profesionales con una persona natural es </w:t>
      </w:r>
      <w:r w:rsidRPr="00F95886">
        <w:rPr>
          <w:rFonts w:ascii="Arial" w:hAnsi="Arial" w:cs="Arial"/>
          <w:i/>
          <w:iCs/>
          <w:color w:val="000000" w:themeColor="text1"/>
          <w:sz w:val="22"/>
          <w:lang w:val="es-ES_tradnl"/>
        </w:rPr>
        <w:t>excepcional</w:t>
      </w:r>
      <w:r w:rsidRPr="00F95886">
        <w:rPr>
          <w:rFonts w:ascii="Arial" w:hAnsi="Arial" w:cs="Arial"/>
          <w:color w:val="000000" w:themeColor="text1"/>
          <w:sz w:val="22"/>
          <w:lang w:val="es-ES_tradnl"/>
        </w:rPr>
        <w:t xml:space="preserve">, ya que solo es admisible cuando las «actividades no puedan realizarse con personal de planta o requieran conocimientos especializados», lo cual debe justificarse satisfactoriamente en los estudios previos. Además, dicho contrato debe ser </w:t>
      </w:r>
      <w:r w:rsidRPr="00F95886">
        <w:rPr>
          <w:rFonts w:ascii="Arial" w:hAnsi="Arial" w:cs="Arial"/>
          <w:i/>
          <w:iCs/>
          <w:color w:val="000000" w:themeColor="text1"/>
          <w:sz w:val="22"/>
          <w:lang w:val="es-ES_tradnl"/>
        </w:rPr>
        <w:t>temporal</w:t>
      </w:r>
      <w:r w:rsidRPr="00F95886">
        <w:rPr>
          <w:rFonts w:ascii="Arial" w:hAnsi="Arial" w:cs="Arial"/>
          <w:color w:val="000000" w:themeColor="text1"/>
          <w:sz w:val="22"/>
          <w:lang w:val="es-ES_tradnl"/>
        </w:rPr>
        <w:t xml:space="preserve"> y no puede servir para la creación de nóminas paralelas</w:t>
      </w:r>
      <w:r w:rsidRPr="00F95886">
        <w:rPr>
          <w:rStyle w:val="Refdenotaalpie"/>
          <w:rFonts w:ascii="Arial" w:hAnsi="Arial" w:cs="Arial"/>
          <w:color w:val="000000" w:themeColor="text1"/>
          <w:sz w:val="22"/>
          <w:lang w:val="es-ES_tradnl"/>
        </w:rPr>
        <w:footnoteReference w:id="36"/>
      </w:r>
      <w:r w:rsidRPr="00F95886">
        <w:rPr>
          <w:rFonts w:ascii="Arial" w:hAnsi="Arial" w:cs="Arial"/>
          <w:color w:val="000000" w:themeColor="text1"/>
          <w:sz w:val="22"/>
          <w:lang w:val="es-ES_tradnl"/>
        </w:rPr>
        <w:t xml:space="preserve">. </w:t>
      </w:r>
    </w:p>
    <w:p w14:paraId="1AB5AD22" w14:textId="7FEAAB5E" w:rsidR="00371784" w:rsidRDefault="00E419C7" w:rsidP="00D62F3A">
      <w:pPr>
        <w:spacing w:after="120"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Adicionalmente, las entidades estatales deben ser diligentes en el análisis de las condiciones de ejecución del contrato de prestación de servicios profesionales, midiendo la complejidad y al alcance de las labores encomendadas al contratista, pues solo de esta manera pueden determinar razonablemente si el mismo contratista tiene la capacidad, no solo jurídica sino también técnica y económica, para celebrar otro contrato de prestación de servicios. Si tales factores no se tienen en cuenta, existe el riesgo de que el contratista termine incumpliendo sus obligaciones, por la sobrecarga de actividades.   </w:t>
      </w:r>
    </w:p>
    <w:p w14:paraId="5DDD0DF1" w14:textId="77777777" w:rsidR="00A844F6" w:rsidRPr="00F95886" w:rsidRDefault="00A844F6" w:rsidP="00A844F6">
      <w:pPr>
        <w:spacing w:line="276" w:lineRule="auto"/>
        <w:jc w:val="both"/>
        <w:rPr>
          <w:rFonts w:ascii="Arial" w:hAnsi="Arial" w:cs="Arial"/>
          <w:bCs/>
          <w:color w:val="000000" w:themeColor="text1"/>
          <w:sz w:val="22"/>
          <w:lang w:val="es-ES_tradnl"/>
        </w:rPr>
      </w:pPr>
    </w:p>
    <w:p w14:paraId="6FE1A687" w14:textId="21904AD5" w:rsidR="00E419C7" w:rsidRPr="00A844F6" w:rsidRDefault="00E419C7" w:rsidP="00D62F3A">
      <w:pPr>
        <w:pStyle w:val="Prrafodelista"/>
        <w:numPr>
          <w:ilvl w:val="0"/>
          <w:numId w:val="6"/>
        </w:numPr>
        <w:tabs>
          <w:tab w:val="left" w:pos="284"/>
        </w:tabs>
        <w:spacing w:line="276" w:lineRule="auto"/>
        <w:ind w:left="0" w:firstLine="0"/>
        <w:jc w:val="both"/>
        <w:rPr>
          <w:rFonts w:ascii="Arial" w:eastAsia="Calibri" w:hAnsi="Arial" w:cs="Arial"/>
          <w:color w:val="000000" w:themeColor="text1"/>
          <w:sz w:val="22"/>
        </w:rPr>
      </w:pPr>
      <w:r w:rsidRPr="00F95886">
        <w:rPr>
          <w:rFonts w:ascii="Arial" w:eastAsia="Calibri" w:hAnsi="Arial" w:cs="Arial"/>
          <w:b/>
          <w:color w:val="000000" w:themeColor="text1"/>
          <w:sz w:val="22"/>
        </w:rPr>
        <w:t>Respuesta</w:t>
      </w:r>
    </w:p>
    <w:p w14:paraId="37938101" w14:textId="77777777" w:rsidR="00A844F6" w:rsidRPr="00F95886" w:rsidRDefault="00A844F6" w:rsidP="00A844F6">
      <w:pPr>
        <w:pStyle w:val="Prrafodelista"/>
        <w:tabs>
          <w:tab w:val="left" w:pos="284"/>
        </w:tabs>
        <w:spacing w:line="276" w:lineRule="auto"/>
        <w:ind w:left="0"/>
        <w:jc w:val="both"/>
        <w:rPr>
          <w:rFonts w:ascii="Arial" w:eastAsia="Calibri" w:hAnsi="Arial" w:cs="Arial"/>
          <w:color w:val="000000" w:themeColor="text1"/>
          <w:sz w:val="22"/>
        </w:rPr>
      </w:pPr>
    </w:p>
    <w:p w14:paraId="2D849491" w14:textId="36A1DEE3" w:rsidR="00E419C7" w:rsidRPr="00BB37F1" w:rsidRDefault="007139E3" w:rsidP="00DC2B66">
      <w:pPr>
        <w:ind w:left="708" w:right="709"/>
        <w:jc w:val="both"/>
        <w:rPr>
          <w:rFonts w:ascii="Arial" w:eastAsia="Calibri" w:hAnsi="Arial" w:cs="Arial"/>
          <w:color w:val="000000" w:themeColor="text1"/>
          <w:sz w:val="21"/>
          <w:szCs w:val="21"/>
        </w:rPr>
      </w:pPr>
      <w:r w:rsidRPr="00BB37F1">
        <w:rPr>
          <w:rFonts w:ascii="Arial" w:eastAsia="Calibri" w:hAnsi="Arial" w:cs="Arial"/>
          <w:color w:val="000000" w:themeColor="text1"/>
          <w:sz w:val="21"/>
          <w:szCs w:val="21"/>
        </w:rPr>
        <w:t>«¿Puede una persona celebrar dos o más contratos de prestación de servicios profesionales con una misma entidad del estado? ¿existe alguna inhabilidad o incompatibilidad en este caso?»</w:t>
      </w:r>
      <w:r>
        <w:rPr>
          <w:rFonts w:ascii="Arial" w:eastAsia="Calibri" w:hAnsi="Arial" w:cs="Arial"/>
          <w:color w:val="000000" w:themeColor="text1"/>
          <w:sz w:val="21"/>
          <w:szCs w:val="21"/>
        </w:rPr>
        <w:t>.</w:t>
      </w:r>
      <w:r w:rsidRPr="00BB37F1">
        <w:rPr>
          <w:rFonts w:ascii="Arial" w:eastAsia="Calibri" w:hAnsi="Arial" w:cs="Arial"/>
          <w:color w:val="000000" w:themeColor="text1"/>
          <w:sz w:val="21"/>
          <w:szCs w:val="21"/>
        </w:rPr>
        <w:t xml:space="preserve"> </w:t>
      </w:r>
    </w:p>
    <w:p w14:paraId="06E55086" w14:textId="77777777" w:rsidR="00B50B3F" w:rsidRDefault="00B50B3F" w:rsidP="00B50B3F">
      <w:pPr>
        <w:spacing w:line="276" w:lineRule="auto"/>
        <w:jc w:val="both"/>
        <w:rPr>
          <w:rFonts w:ascii="Arial" w:eastAsia="Calibri" w:hAnsi="Arial" w:cs="Arial"/>
          <w:color w:val="000000" w:themeColor="text1"/>
          <w:sz w:val="22"/>
          <w:lang w:val="es-ES_tradnl"/>
        </w:rPr>
      </w:pPr>
    </w:p>
    <w:p w14:paraId="0E74110E" w14:textId="6BD828B2" w:rsidR="007139E3" w:rsidRPr="00F95886" w:rsidRDefault="007139E3" w:rsidP="007139E3">
      <w:pPr>
        <w:spacing w:after="200" w:line="276" w:lineRule="auto"/>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Analizado el régimen de inhabilidades e incompatibilidades previsto para la contratación estatal, así como los requisitos y límites de los contratos de prestación de servicios profesionales, se concluye que </w:t>
      </w:r>
      <w:r>
        <w:rPr>
          <w:rFonts w:ascii="Arial" w:hAnsi="Arial" w:cs="Arial"/>
          <w:color w:val="000000" w:themeColor="text1"/>
          <w:sz w:val="22"/>
          <w:lang w:val="es-ES_tradnl"/>
        </w:rPr>
        <w:t xml:space="preserve">–sin perjuicio de lo previsto en el inciso final del artículo </w:t>
      </w:r>
      <w:r>
        <w:rPr>
          <w:rStyle w:val="normaltextrun"/>
          <w:rFonts w:ascii="Arial" w:hAnsi="Arial" w:cs="Arial"/>
          <w:color w:val="000000"/>
          <w:sz w:val="22"/>
          <w:bdr w:val="none" w:sz="0" w:space="0" w:color="auto" w:frame="1"/>
        </w:rPr>
        <w:t xml:space="preserve">2.8.4.4.5 del Decreto 1068 de 2015– </w:t>
      </w:r>
      <w:r w:rsidRPr="00F95886">
        <w:rPr>
          <w:rFonts w:ascii="Arial" w:hAnsi="Arial" w:cs="Arial"/>
          <w:color w:val="000000" w:themeColor="text1"/>
          <w:sz w:val="22"/>
          <w:lang w:val="es-ES_tradnl"/>
        </w:rPr>
        <w:t xml:space="preserve">no existe una inhabilidad, incompatibilidad o prohibición de otra naturaleza para que una entidad estatal celebre dos o más contratos de prestación de servicios profesionales con una </w:t>
      </w:r>
      <w:r w:rsidRPr="00BD1139">
        <w:rPr>
          <w:rFonts w:ascii="Arial" w:hAnsi="Arial" w:cs="Arial"/>
          <w:color w:val="000000" w:themeColor="text1"/>
          <w:sz w:val="22"/>
          <w:lang w:val="es-ES_tradnl"/>
        </w:rPr>
        <w:t>misma persona</w:t>
      </w:r>
      <w:r w:rsidRPr="00F95886">
        <w:rPr>
          <w:rFonts w:ascii="Arial" w:hAnsi="Arial" w:cs="Arial"/>
          <w:color w:val="000000" w:themeColor="text1"/>
          <w:sz w:val="22"/>
          <w:lang w:val="es-ES_tradnl"/>
        </w:rPr>
        <w:t>, así dichos contratos coexistan en el tiempo</w:t>
      </w:r>
      <w:r w:rsidRPr="00BD1139">
        <w:rPr>
          <w:rFonts w:ascii="Arial" w:hAnsi="Arial" w:cs="Arial"/>
          <w:color w:val="000000" w:themeColor="text1"/>
          <w:sz w:val="22"/>
          <w:lang w:val="es-ES_tradnl"/>
        </w:rPr>
        <w:t xml:space="preserve">. </w:t>
      </w:r>
    </w:p>
    <w:p w14:paraId="15BF08B3" w14:textId="77777777" w:rsidR="007139E3" w:rsidRPr="001E78E9" w:rsidRDefault="007139E3" w:rsidP="007139E3">
      <w:pPr>
        <w:spacing w:after="120" w:line="276" w:lineRule="auto"/>
        <w:ind w:firstLine="708"/>
        <w:jc w:val="both"/>
        <w:rPr>
          <w:rFonts w:ascii="Arial" w:hAnsi="Arial" w:cs="Arial"/>
          <w:color w:val="000000" w:themeColor="text1"/>
          <w:sz w:val="22"/>
          <w:lang w:val="es-ES_tradnl"/>
        </w:rPr>
      </w:pPr>
      <w:r w:rsidRPr="00F95886">
        <w:rPr>
          <w:rFonts w:ascii="Arial" w:hAnsi="Arial" w:cs="Arial"/>
          <w:color w:val="000000" w:themeColor="text1"/>
          <w:sz w:val="22"/>
          <w:lang w:val="es-ES_tradnl"/>
        </w:rPr>
        <w:t>La anterior conclusión se apoya en la idea de que las inhabilidades e incompatibilidades, al ser limitaciones a la capacidad contractual, y por tanto al afectar derechos como la libre concurrencia o la libertad de ejercicio de la profesión u oficio, es decir, al ser enunciados normativos gravosos, deben interpretarse restrictivamente; o sea, no admiten una interpretación amplia, extensiva o analógica. Precisamente, al leer las causales previstas en la Constitución, así como en el artículo 8 de la Ley 80 de 1993 y en otras disposiciones complementarias, no se observa una prohibición para que una misma persona natural preste sus servicios profesionales a una entidad, a través de contratos distintos y concomitantes</w:t>
      </w:r>
      <w:r>
        <w:rPr>
          <w:rStyle w:val="Refdenotaalpie"/>
          <w:rFonts w:ascii="Arial" w:hAnsi="Arial" w:cs="Arial"/>
          <w:color w:val="000000" w:themeColor="text1"/>
          <w:sz w:val="22"/>
          <w:lang w:val="es-ES_tradnl"/>
        </w:rPr>
        <w:footnoteReference w:id="37"/>
      </w:r>
      <w:r w:rsidRPr="00F95886">
        <w:rPr>
          <w:rFonts w:ascii="Arial" w:hAnsi="Arial" w:cs="Arial"/>
          <w:color w:val="000000" w:themeColor="text1"/>
          <w:sz w:val="22"/>
          <w:lang w:val="es-ES_tradnl"/>
        </w:rPr>
        <w:t>.</w:t>
      </w:r>
    </w:p>
    <w:p w14:paraId="5CBD80DC" w14:textId="04098B60" w:rsidR="007139E3" w:rsidRPr="00F95886" w:rsidRDefault="007139E3" w:rsidP="007139E3">
      <w:pPr>
        <w:spacing w:after="120"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Sin embargo, el hecho de que no haya una causal de inhabilidad o de incompatibilidad no significa que siempre se pueda celebrar el contrato de prestación de servicios profesionales. Para que ello sea viable, deben cumplirse los requisitos a los que se hizo referencia en el numeral 2.2. de este concepto, pues se recuerda que la celebración del contrato de prestación de servicios profesionales con una persona natural es </w:t>
      </w:r>
      <w:r w:rsidRPr="00F95886">
        <w:rPr>
          <w:rFonts w:ascii="Arial" w:hAnsi="Arial" w:cs="Arial"/>
          <w:i/>
          <w:iCs/>
          <w:color w:val="000000" w:themeColor="text1"/>
          <w:sz w:val="22"/>
          <w:lang w:val="es-ES_tradnl"/>
        </w:rPr>
        <w:t>excepcional</w:t>
      </w:r>
      <w:r w:rsidRPr="00F95886">
        <w:rPr>
          <w:rFonts w:ascii="Arial" w:hAnsi="Arial" w:cs="Arial"/>
          <w:color w:val="000000" w:themeColor="text1"/>
          <w:sz w:val="22"/>
          <w:lang w:val="es-ES_tradnl"/>
        </w:rPr>
        <w:t xml:space="preserve">, ya que solo es admisible cuando las «actividades no puedan realizarse con personal de planta o requieran conocimientos especializados», lo cual debe justificarse satisfactoriamente en los estudios previos. Además, dicho contrato debe ser </w:t>
      </w:r>
      <w:r w:rsidRPr="00F95886">
        <w:rPr>
          <w:rFonts w:ascii="Arial" w:hAnsi="Arial" w:cs="Arial"/>
          <w:i/>
          <w:iCs/>
          <w:color w:val="000000" w:themeColor="text1"/>
          <w:sz w:val="22"/>
          <w:lang w:val="es-ES_tradnl"/>
        </w:rPr>
        <w:t>temporal</w:t>
      </w:r>
      <w:r w:rsidRPr="00F95886">
        <w:rPr>
          <w:rFonts w:ascii="Arial" w:hAnsi="Arial" w:cs="Arial"/>
          <w:color w:val="000000" w:themeColor="text1"/>
          <w:sz w:val="22"/>
          <w:lang w:val="es-ES_tradnl"/>
        </w:rPr>
        <w:t xml:space="preserve"> y no puede servir para la creación de nóminas paralelas. </w:t>
      </w:r>
    </w:p>
    <w:p w14:paraId="6D055CD9" w14:textId="77777777" w:rsidR="007139E3" w:rsidRDefault="007139E3" w:rsidP="007139E3">
      <w:pPr>
        <w:spacing w:after="120"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Adicionalmente, las entidades estatales deben ser diligentes en el análisis de las condiciones de ejecución del contrato de prestación de servicios profesionales, midiendo la complejidad y al alcance de las labores encomendadas al contratista, pues solo de esta manera pueden determinar razonablemente si el mismo contratista tiene la capacidad, no solo jurídica sino también técnica y económica, para celebrar otro contrato de prestación de servicios. Si tales factores no se tienen en cuenta, existe el riesgo de que el contratista termine incumpliendo sus obligaciones, por la sobrecarga de actividades.   </w:t>
      </w:r>
    </w:p>
    <w:p w14:paraId="1B7FD4EC" w14:textId="77777777" w:rsidR="00F87113" w:rsidRDefault="00F87113" w:rsidP="00E419C7">
      <w:pPr>
        <w:spacing w:line="276" w:lineRule="auto"/>
        <w:jc w:val="both"/>
        <w:rPr>
          <w:rFonts w:ascii="Arial" w:eastAsia="Calibri" w:hAnsi="Arial" w:cs="Arial"/>
          <w:color w:val="000000" w:themeColor="text1"/>
          <w:sz w:val="22"/>
        </w:rPr>
      </w:pPr>
    </w:p>
    <w:p w14:paraId="670BFD0D" w14:textId="77777777" w:rsidR="00E419C7" w:rsidRPr="00F95886" w:rsidRDefault="00E419C7" w:rsidP="00E419C7">
      <w:pPr>
        <w:spacing w:line="276" w:lineRule="auto"/>
        <w:jc w:val="both"/>
        <w:rPr>
          <w:rFonts w:ascii="Arial" w:eastAsia="Calibri" w:hAnsi="Arial" w:cs="Arial"/>
          <w:color w:val="000000" w:themeColor="text1"/>
          <w:sz w:val="22"/>
        </w:rPr>
      </w:pPr>
      <w:r w:rsidRPr="00F95886">
        <w:rPr>
          <w:rFonts w:ascii="Arial" w:eastAsia="Calibri" w:hAnsi="Arial" w:cs="Arial"/>
          <w:color w:val="000000" w:themeColor="text1"/>
          <w:sz w:val="22"/>
        </w:rPr>
        <w:t>Este concepto tiene el alcance previsto en el artículo 28 del Código de Procedimiento Administrativo y de lo Contencioso Administrativo.</w:t>
      </w:r>
    </w:p>
    <w:p w14:paraId="2B61146B" w14:textId="4C05F9E7" w:rsidR="00E419C7" w:rsidRPr="00F95886" w:rsidRDefault="00E419C7" w:rsidP="00E419C7">
      <w:pPr>
        <w:spacing w:line="276" w:lineRule="auto"/>
        <w:jc w:val="both"/>
        <w:rPr>
          <w:rFonts w:ascii="Arial" w:eastAsia="Calibri" w:hAnsi="Arial" w:cs="Arial"/>
          <w:color w:val="000000" w:themeColor="text1"/>
          <w:sz w:val="22"/>
        </w:rPr>
      </w:pPr>
    </w:p>
    <w:p w14:paraId="35B56F46" w14:textId="3B764A19" w:rsidR="00746E08" w:rsidRDefault="00E419C7" w:rsidP="00E419C7">
      <w:r w:rsidRPr="00F95886">
        <w:rPr>
          <w:rFonts w:ascii="Arial" w:eastAsia="Times New Roman" w:hAnsi="Arial" w:cs="Arial"/>
          <w:color w:val="000000" w:themeColor="text1"/>
          <w:sz w:val="22"/>
          <w:lang w:eastAsia="es-CO"/>
        </w:rPr>
        <w:t>Atentamente,</w:t>
      </w:r>
      <w:r w:rsidR="00CE7E4D" w:rsidRPr="00F95886" w:rsidDel="00CE7E4D">
        <w:rPr>
          <w:rFonts w:ascii="Arial" w:eastAsia="Times New Roman" w:hAnsi="Arial" w:cs="Arial"/>
          <w:color w:val="000000" w:themeColor="text1"/>
          <w:sz w:val="22"/>
          <w:lang w:eastAsia="es-CO"/>
        </w:rPr>
        <w:t xml:space="preserve"> </w:t>
      </w:r>
    </w:p>
    <w:p w14:paraId="5DE28C6D" w14:textId="1B85FC88" w:rsidR="00083784" w:rsidRDefault="00710F6E" w:rsidP="00083784">
      <w:pPr>
        <w:jc w:val="center"/>
        <w:rPr>
          <w:rFonts w:ascii="Arial" w:hAnsi="Arial" w:cs="Arial"/>
          <w:noProof/>
          <w:color w:val="161616" w:themeColor="background1" w:themeShade="1A"/>
          <w:sz w:val="22"/>
          <w:lang w:val="es-CO" w:eastAsia="es-CO"/>
        </w:rPr>
      </w:pPr>
      <w:r w:rsidRPr="00570FD2">
        <w:rPr>
          <w:rFonts w:ascii="Arial" w:hAnsi="Arial" w:cs="Arial"/>
          <w:noProof/>
          <w:color w:val="000000" w:themeColor="text1"/>
          <w:sz w:val="22"/>
          <w:lang w:eastAsia="es-CO"/>
        </w:rPr>
        <w:drawing>
          <wp:anchor distT="0" distB="0" distL="114300" distR="114300" simplePos="0" relativeHeight="251659264" behindDoc="0" locked="0" layoutInCell="1" allowOverlap="1" wp14:anchorId="12BE43C5" wp14:editId="1E6657E2">
            <wp:simplePos x="0" y="0"/>
            <wp:positionH relativeFrom="margin">
              <wp:posOffset>1486894</wp:posOffset>
            </wp:positionH>
            <wp:positionV relativeFrom="paragraph">
              <wp:posOffset>113665</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01CB566F" w14:textId="27163F45" w:rsidR="00710F6E" w:rsidRDefault="00710F6E" w:rsidP="00083784">
      <w:pPr>
        <w:jc w:val="center"/>
        <w:rPr>
          <w:rFonts w:ascii="Arial" w:hAnsi="Arial" w:cs="Arial"/>
          <w:noProof/>
          <w:color w:val="161616" w:themeColor="background1" w:themeShade="1A"/>
          <w:sz w:val="22"/>
          <w:lang w:val="es-CO" w:eastAsia="es-CO"/>
        </w:rPr>
      </w:pPr>
    </w:p>
    <w:p w14:paraId="483F90F3" w14:textId="36C4FF0D" w:rsidR="00710F6E" w:rsidRDefault="00710F6E" w:rsidP="00083784">
      <w:pPr>
        <w:jc w:val="center"/>
        <w:rPr>
          <w:rFonts w:ascii="Arial" w:hAnsi="Arial" w:cs="Arial"/>
          <w:noProof/>
          <w:color w:val="161616" w:themeColor="background1" w:themeShade="1A"/>
          <w:sz w:val="22"/>
          <w:lang w:val="es-CO" w:eastAsia="es-CO"/>
        </w:rPr>
      </w:pPr>
    </w:p>
    <w:p w14:paraId="49A888A8" w14:textId="77777777" w:rsidR="00710F6E" w:rsidRDefault="00710F6E" w:rsidP="00083784">
      <w:pPr>
        <w:jc w:val="center"/>
        <w:rPr>
          <w:rFonts w:ascii="Arial" w:hAnsi="Arial" w:cs="Arial"/>
          <w:noProof/>
          <w:color w:val="161616" w:themeColor="background1" w:themeShade="1A"/>
          <w:sz w:val="22"/>
          <w:lang w:val="es-CO" w:eastAsia="es-CO"/>
        </w:rPr>
      </w:pPr>
    </w:p>
    <w:p w14:paraId="618F5F5C" w14:textId="77777777" w:rsidR="00710F6E" w:rsidRDefault="00710F6E" w:rsidP="00083784">
      <w:pPr>
        <w:jc w:val="center"/>
        <w:rPr>
          <w:rFonts w:ascii="Arial" w:hAnsi="Arial" w:cs="Arial"/>
          <w:noProof/>
          <w:color w:val="161616" w:themeColor="background1" w:themeShade="1A"/>
          <w:sz w:val="22"/>
          <w:lang w:val="es-CO" w:eastAsia="es-CO"/>
        </w:rPr>
      </w:pPr>
    </w:p>
    <w:p w14:paraId="544A2D74" w14:textId="77777777" w:rsidR="00710F6E" w:rsidRDefault="00710F6E" w:rsidP="00083784">
      <w:pPr>
        <w:jc w:val="center"/>
        <w:rPr>
          <w:rFonts w:ascii="Times New Roman" w:eastAsia="Times New Roman" w:hAnsi="Times New Roman" w:cs="Times New Roman"/>
          <w:szCs w:val="24"/>
          <w:lang w:val="es-CO" w:eastAsia="es-ES_tradnl"/>
        </w:rPr>
      </w:pPr>
    </w:p>
    <w:p w14:paraId="6731CAFC" w14:textId="7C451809" w:rsidR="00385962" w:rsidRDefault="00385962" w:rsidP="00083784">
      <w:pPr>
        <w:jc w:val="center"/>
        <w:rPr>
          <w:rFonts w:ascii="Times New Roman" w:eastAsia="Times New Roman" w:hAnsi="Times New Roman" w:cs="Times New Roman"/>
          <w:szCs w:val="24"/>
          <w:lang w:val="es-CO" w:eastAsia="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E7E4D" w:rsidRPr="003F6D32" w14:paraId="5F0BAD65" w14:textId="77777777" w:rsidTr="00C439F6">
        <w:trPr>
          <w:trHeight w:val="315"/>
        </w:trPr>
        <w:tc>
          <w:tcPr>
            <w:tcW w:w="812" w:type="dxa"/>
            <w:vAlign w:val="center"/>
            <w:hideMark/>
          </w:tcPr>
          <w:p w14:paraId="47C6C7D7" w14:textId="77777777" w:rsidR="00CE7E4D" w:rsidRPr="006C15D5" w:rsidRDefault="00CE7E4D" w:rsidP="00C439F6">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FED5B39" w14:textId="61A4A860" w:rsidR="00CE7E4D" w:rsidRPr="006C15D5" w:rsidRDefault="00CE7E4D" w:rsidP="00C439F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D</w:t>
            </w:r>
            <w:r w:rsidR="00676193">
              <w:rPr>
                <w:rFonts w:ascii="Arial" w:eastAsia="Times New Roman" w:hAnsi="Arial" w:cs="Arial"/>
                <w:color w:val="000000" w:themeColor="text1"/>
                <w:sz w:val="16"/>
                <w:szCs w:val="16"/>
                <w:lang w:eastAsia="es-ES"/>
              </w:rPr>
              <w:t>iana Fabiola Herrera Hernández</w:t>
            </w:r>
          </w:p>
          <w:p w14:paraId="3FD16490" w14:textId="7A52CBF3" w:rsidR="00CE7E4D" w:rsidRPr="006C15D5" w:rsidRDefault="00CE7E4D" w:rsidP="00C439F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w:t>
            </w:r>
            <w:r w:rsidRPr="00CD169B">
              <w:rPr>
                <w:rFonts w:ascii="Arial" w:eastAsia="Times New Roman" w:hAnsi="Arial" w:cs="Arial"/>
                <w:color w:val="000000" w:themeColor="text1"/>
                <w:sz w:val="16"/>
                <w:szCs w:val="16"/>
                <w:lang w:eastAsia="es-ES"/>
              </w:rPr>
              <w:t xml:space="preserve"> de la Subdirección de Gestión Contractual</w:t>
            </w:r>
          </w:p>
        </w:tc>
      </w:tr>
      <w:tr w:rsidR="00CE7E4D" w:rsidRPr="003F6D32" w14:paraId="48627867" w14:textId="77777777" w:rsidTr="00C439F6">
        <w:trPr>
          <w:trHeight w:val="330"/>
        </w:trPr>
        <w:tc>
          <w:tcPr>
            <w:tcW w:w="812" w:type="dxa"/>
            <w:vAlign w:val="center"/>
            <w:hideMark/>
          </w:tcPr>
          <w:p w14:paraId="5E07E7A9" w14:textId="77777777" w:rsidR="00CE7E4D" w:rsidRPr="006C15D5" w:rsidRDefault="00CE7E4D" w:rsidP="00C439F6">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FE83AE" w14:textId="77777777" w:rsidR="00CE7E4D" w:rsidRPr="006C15D5" w:rsidRDefault="00CE7E4D" w:rsidP="00CE7E4D">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29A8B632" w14:textId="4F0E9AC1" w:rsidR="00CE7E4D" w:rsidRPr="006C15D5" w:rsidRDefault="00CE7E4D" w:rsidP="00CE7E4D">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Gestor T1-15 de la Subdirección de Gestión Contractual</w:t>
            </w:r>
          </w:p>
        </w:tc>
      </w:tr>
      <w:tr w:rsidR="00CE7E4D" w:rsidRPr="003F6D32" w14:paraId="02EBF853" w14:textId="77777777" w:rsidTr="00C439F6">
        <w:trPr>
          <w:trHeight w:val="300"/>
        </w:trPr>
        <w:tc>
          <w:tcPr>
            <w:tcW w:w="812" w:type="dxa"/>
            <w:vAlign w:val="center"/>
            <w:hideMark/>
          </w:tcPr>
          <w:p w14:paraId="04B1D1E7" w14:textId="77777777" w:rsidR="00CE7E4D" w:rsidRPr="006C15D5" w:rsidRDefault="00CE7E4D" w:rsidP="00C439F6">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CE2D29" w14:textId="77777777" w:rsidR="00CE7E4D" w:rsidRPr="00CD169B" w:rsidRDefault="00CE7E4D" w:rsidP="00C439F6">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Jorge Augusto Tirado Navarro</w:t>
            </w:r>
          </w:p>
          <w:p w14:paraId="64A7581B" w14:textId="77777777" w:rsidR="00CE7E4D" w:rsidRPr="006C15D5" w:rsidRDefault="00CE7E4D" w:rsidP="00C439F6">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Subdirector de Gestión Contractual ANCP – CCE</w:t>
            </w:r>
          </w:p>
        </w:tc>
      </w:tr>
    </w:tbl>
    <w:p w14:paraId="3B4483B6" w14:textId="37369686" w:rsidR="00CE7E4D" w:rsidRDefault="00CE7E4D" w:rsidP="00F87113">
      <w:pPr>
        <w:jc w:val="center"/>
      </w:pPr>
    </w:p>
    <w:sectPr w:rsidR="00CE7E4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CF68" w14:textId="77777777" w:rsidR="00550797" w:rsidRDefault="00550797">
      <w:r>
        <w:separator/>
      </w:r>
    </w:p>
  </w:endnote>
  <w:endnote w:type="continuationSeparator" w:id="0">
    <w:p w14:paraId="031EF061" w14:textId="77777777" w:rsidR="00550797" w:rsidRDefault="00550797">
      <w:r>
        <w:continuationSeparator/>
      </w:r>
    </w:p>
  </w:endnote>
  <w:endnote w:type="continuationNotice" w:id="1">
    <w:p w14:paraId="59C89625" w14:textId="77777777" w:rsidR="00550797" w:rsidRDefault="00550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EEEF958" w:rsidR="008217B7" w:rsidRDefault="008217B7" w:rsidP="00322937">
    <w:pPr>
      <w:pStyle w:val="Sinespaciado"/>
      <w:jc w:val="right"/>
      <w:rPr>
        <w:rFonts w:ascii="Arial" w:hAnsi="Arial" w:cs="Arial"/>
        <w:sz w:val="18"/>
        <w:szCs w:val="18"/>
      </w:rPr>
    </w:pPr>
  </w:p>
  <w:p w14:paraId="30E0A459" w14:textId="77777777" w:rsidR="00F95886" w:rsidRDefault="00F95886" w:rsidP="00322937">
    <w:pPr>
      <w:pStyle w:val="Sinespaciado"/>
      <w:jc w:val="right"/>
      <w:rPr>
        <w:rFonts w:ascii="Arial" w:hAnsi="Arial" w:cs="Arial"/>
        <w:sz w:val="18"/>
        <w:szCs w:val="18"/>
      </w:rPr>
    </w:pP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710F6E">
      <w:rPr>
        <w:rFonts w:ascii="Arial" w:hAnsi="Arial" w:cs="Arial"/>
        <w:b/>
        <w:bCs/>
        <w:noProof/>
        <w:color w:val="7F7F7F" w:themeColor="text1" w:themeTint="80"/>
        <w:sz w:val="16"/>
        <w:szCs w:val="16"/>
      </w:rPr>
      <w:t>20</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710F6E">
      <w:rPr>
        <w:rFonts w:ascii="Arial" w:hAnsi="Arial" w:cs="Arial"/>
        <w:b/>
        <w:bCs/>
        <w:noProof/>
        <w:color w:val="7F7F7F" w:themeColor="text1" w:themeTint="80"/>
        <w:sz w:val="16"/>
        <w:szCs w:val="16"/>
      </w:rPr>
      <w:t>20</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D251" w14:textId="77777777" w:rsidR="00550797" w:rsidRDefault="00550797">
      <w:r>
        <w:separator/>
      </w:r>
    </w:p>
  </w:footnote>
  <w:footnote w:type="continuationSeparator" w:id="0">
    <w:p w14:paraId="0E697D9A" w14:textId="77777777" w:rsidR="00550797" w:rsidRDefault="00550797">
      <w:r>
        <w:continuationSeparator/>
      </w:r>
    </w:p>
  </w:footnote>
  <w:footnote w:type="continuationNotice" w:id="1">
    <w:p w14:paraId="3B15F8AB" w14:textId="77777777" w:rsidR="00550797" w:rsidRDefault="00550797"/>
  </w:footnote>
  <w:footnote w:id="2">
    <w:p w14:paraId="04F40B53" w14:textId="77777777" w:rsidR="00F77AF2" w:rsidRPr="00C36C58" w:rsidRDefault="00F77AF2" w:rsidP="00025292">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732BAC8C" w14:textId="67492E45" w:rsidR="00F77AF2" w:rsidRPr="00025292" w:rsidRDefault="00F77AF2" w:rsidP="00025292">
      <w:pPr>
        <w:pStyle w:val="Textonotapie"/>
        <w:ind w:firstLine="709"/>
        <w:jc w:val="both"/>
        <w:rPr>
          <w:rFonts w:ascii="Arial" w:eastAsia="Calibri" w:hAnsi="Arial" w:cs="Arial"/>
          <w:color w:val="000000" w:themeColor="text1"/>
          <w:sz w:val="19"/>
          <w:szCs w:val="19"/>
          <w:lang w:val="es-CO"/>
        </w:rPr>
      </w:pPr>
      <w:proofErr w:type="gramStart"/>
      <w:r w:rsidRPr="00C36C58">
        <w:rPr>
          <w:rFonts w:ascii="Arial" w:hAnsi="Arial" w:cs="Arial"/>
          <w:color w:val="000000" w:themeColor="text1"/>
          <w:sz w:val="19"/>
          <w:szCs w:val="19"/>
        </w:rPr>
        <w:t>»Las</w:t>
      </w:r>
      <w:proofErr w:type="gramEnd"/>
      <w:r w:rsidRPr="00C36C58">
        <w:rPr>
          <w:rFonts w:ascii="Arial" w:hAnsi="Arial" w:cs="Arial"/>
          <w:color w:val="000000" w:themeColor="text1"/>
          <w:sz w:val="19"/>
          <w:szCs w:val="19"/>
        </w:rPr>
        <w:t xml:space="preserve"> personas jurídicas nacionales y extranjeras deberán acreditar que su duración no será inferior a la del plazo del contrato y un año más».</w:t>
      </w:r>
    </w:p>
  </w:footnote>
  <w:footnote w:id="3">
    <w:p w14:paraId="6D875C9C" w14:textId="77777777" w:rsidR="00F77AF2" w:rsidRPr="00C36C58" w:rsidRDefault="00F77AF2" w:rsidP="00025292">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7CF8C048" w14:textId="77777777" w:rsidR="00F77AF2" w:rsidRPr="00C36C58" w:rsidRDefault="00F77AF2" w:rsidP="00025292">
      <w:pPr>
        <w:pStyle w:val="Textonotapie"/>
        <w:ind w:firstLine="709"/>
        <w:jc w:val="both"/>
        <w:rPr>
          <w:rFonts w:ascii="Arial" w:hAnsi="Arial" w:cs="Arial"/>
          <w:color w:val="000000" w:themeColor="text1"/>
          <w:sz w:val="19"/>
          <w:szCs w:val="19"/>
        </w:rPr>
      </w:pPr>
      <w:r w:rsidRPr="00C36C58">
        <w:rPr>
          <w:rFonts w:ascii="Arial" w:hAnsi="Arial" w:cs="Arial"/>
          <w:color w:val="000000" w:themeColor="text1"/>
          <w:sz w:val="19"/>
          <w:szCs w:val="19"/>
        </w:rPr>
        <w:t>»1o.) que sea legalmente capaz.</w:t>
      </w:r>
    </w:p>
    <w:p w14:paraId="6DF594D9" w14:textId="77777777" w:rsidR="00F77AF2" w:rsidRPr="00C36C58" w:rsidRDefault="00F77AF2" w:rsidP="00025292">
      <w:pPr>
        <w:pStyle w:val="Textonotapie"/>
        <w:ind w:firstLine="709"/>
        <w:jc w:val="both"/>
        <w:rPr>
          <w:rFonts w:ascii="Arial" w:hAnsi="Arial" w:cs="Arial"/>
          <w:color w:val="000000" w:themeColor="text1"/>
          <w:sz w:val="19"/>
          <w:szCs w:val="19"/>
        </w:rPr>
      </w:pPr>
      <w:r w:rsidRPr="00C36C58">
        <w:rPr>
          <w:rFonts w:ascii="Arial" w:hAnsi="Arial" w:cs="Arial"/>
          <w:color w:val="000000" w:themeColor="text1"/>
          <w:sz w:val="19"/>
          <w:szCs w:val="19"/>
        </w:rPr>
        <w:t>[…]</w:t>
      </w:r>
    </w:p>
    <w:p w14:paraId="47ECE3BF" w14:textId="7D80EFBE" w:rsidR="00F77AF2" w:rsidRPr="00C36C58" w:rsidRDefault="00F77AF2" w:rsidP="00025292">
      <w:pPr>
        <w:pStyle w:val="Textonotapie"/>
        <w:ind w:firstLine="709"/>
        <w:jc w:val="both"/>
        <w:rPr>
          <w:rFonts w:ascii="Arial" w:hAnsi="Arial" w:cs="Arial"/>
          <w:color w:val="000000" w:themeColor="text1"/>
          <w:sz w:val="19"/>
          <w:szCs w:val="19"/>
        </w:rPr>
      </w:pPr>
      <w:r w:rsidRPr="00C36C58">
        <w:rPr>
          <w:rFonts w:ascii="Arial" w:hAnsi="Arial" w:cs="Arial"/>
          <w:color w:val="000000" w:themeColor="text1"/>
          <w:sz w:val="19"/>
          <w:szCs w:val="19"/>
        </w:rPr>
        <w:t>»La capacidad legal de una persona consiste en poderse obligar por sí misma, sin el ministerio o la autorización de otra».</w:t>
      </w:r>
    </w:p>
  </w:footnote>
  <w:footnote w:id="4">
    <w:p w14:paraId="5B7DD506" w14:textId="429387E8" w:rsidR="00F77AF2" w:rsidRPr="00C36C58" w:rsidRDefault="00F77AF2" w:rsidP="00025292">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C36C58">
        <w:rPr>
          <w:rFonts w:ascii="Arial" w:hAnsi="Arial" w:cs="Arial"/>
          <w:i/>
          <w:iCs/>
          <w:color w:val="000000" w:themeColor="text1"/>
          <w:sz w:val="19"/>
          <w:szCs w:val="19"/>
          <w:lang w:val="es-ES"/>
        </w:rPr>
        <w:t>el régimen de inhabilidades e incompatibilidades</w:t>
      </w:r>
      <w:r w:rsidRPr="00C36C58">
        <w:rPr>
          <w:rFonts w:ascii="Arial" w:hAnsi="Arial" w:cs="Arial"/>
          <w:color w:val="000000" w:themeColor="text1"/>
          <w:sz w:val="19"/>
          <w:szCs w:val="19"/>
          <w:lang w:val="es-ES"/>
        </w:rPr>
        <w:t xml:space="preserve"> (1) y la obligación de ciertos proponentes de inscribirse en el </w:t>
      </w:r>
      <w:r w:rsidRPr="00C36C58">
        <w:rPr>
          <w:rFonts w:ascii="Arial" w:hAnsi="Arial" w:cs="Arial"/>
          <w:i/>
          <w:iCs/>
          <w:color w:val="000000" w:themeColor="text1"/>
          <w:sz w:val="19"/>
          <w:szCs w:val="19"/>
          <w:lang w:val="es-ES"/>
        </w:rPr>
        <w:t>registro único</w:t>
      </w:r>
      <w:r w:rsidRPr="00C36C58">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 </w:t>
      </w:r>
    </w:p>
  </w:footnote>
  <w:footnote w:id="5">
    <w:p w14:paraId="444416C4" w14:textId="30D1968A" w:rsidR="00E419C7" w:rsidRPr="007C17EA" w:rsidRDefault="00E419C7" w:rsidP="00025292">
      <w:pPr>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Son inhabilidades que responden a esta circunstancia, entre otras, las siguientes: «Quienes participaron en las licitaciones o celebraron los contratos de que trata el literal anterior estando inhabilitados»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b, Ley 80/93); «Quienes dieron lugar a la declaratoria de caducidad»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c), Ley 80/93); «Quienes en sentencia judicial hayan sido condenados a la pena accesoria de interdicción de derechos y funciones públicas y quienes hayan sido sancionados disciplinariamente con destitución»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d), Ley 80/93); «Quienes sin justa causa se abstengan de suscribir el contrato estatal adjudicado»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e), Ley 80/93); «i) Los socios de sociedades de personas a las cuales se haya declarado la caducidad, así como las sociedades de personas de las que aquellos formen parte con posterioridad a dicha declaratoria»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a), b) y c), Ley 1474/11, modificado por el art. 43, Ley 1955/19).</w:t>
      </w:r>
    </w:p>
  </w:footnote>
  <w:footnote w:id="6">
    <w:p w14:paraId="06A54621" w14:textId="73890A64" w:rsidR="00E419C7" w:rsidRPr="00287CAD" w:rsidRDefault="00E419C7" w:rsidP="00025292">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b), Ley 80/93); «El cónyuge, compañero o compañera permanente del servidor público en los niveles directivo, asesor, ejecutivo, o de un miembro de la junta o consejo directivo, o de quien ejerza funciones de control interno o de control fiscal»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d), Ley 80/93).</w:t>
      </w:r>
    </w:p>
  </w:footnote>
  <w:footnote w:id="7">
    <w:p w14:paraId="02FC617B" w14:textId="7F593D5E" w:rsidR="00E419C7" w:rsidRPr="00287CAD" w:rsidRDefault="00E419C7" w:rsidP="00025292">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k), Ley 80/93, modificado por el art. 33, Ley 1778/16); «Quienes fueron miembros de la junta o consejo directivo o servidores públicos de la entidad contratante»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f), Ley 80/93, adicionado por el art. 4º, Ley 1474/2011) [a pesar de que la norma la califica como una incompatibilidad, en realidad se trata de una inhabilidad, ya que en dicha causal no existe concurrencia de calidades en un sujeto]. </w:t>
      </w:r>
    </w:p>
  </w:footnote>
  <w:footnote w:id="8">
    <w:p w14:paraId="1FBEE34C" w14:textId="1D944A98" w:rsidR="00E419C7" w:rsidRPr="007C17EA" w:rsidRDefault="00E419C7" w:rsidP="00025292">
      <w:pPr>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Como las señaladas a continuación: «Los servidores públicos»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d), Ley 80/93); «Los miembros de las juntas o consejos directivos. Esta incompatibilidad sólo se predica respecto de la entidad a la cual prestan sus servicios y de las del sector administrativo al que la misma esté adscrita o vinculada»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e), Ley 80/93); «Quien haya celebrado un contrato estatal de obra pública, de concesión, suministro de medicamentos y de alimentos o su cónyuge, compañero o compañera permanente, pariente hasta el segundo grado de </w:t>
      </w:r>
      <w:proofErr w:type="spellStart"/>
      <w:r w:rsidRPr="007C17EA">
        <w:rPr>
          <w:rFonts w:ascii="Arial" w:hAnsi="Arial" w:cs="Arial"/>
          <w:color w:val="000000" w:themeColor="text1"/>
          <w:sz w:val="19"/>
          <w:szCs w:val="19"/>
          <w:lang w:val="es-ES"/>
        </w:rPr>
        <w:t>consaguinidad</w:t>
      </w:r>
      <w:proofErr w:type="spellEnd"/>
      <w:r w:rsidRPr="007C17EA">
        <w:rPr>
          <w:rFonts w:ascii="Arial" w:hAnsi="Arial" w:cs="Arial"/>
          <w:color w:val="000000" w:themeColor="text1"/>
          <w:sz w:val="19"/>
          <w:szCs w:val="19"/>
          <w:lang w:val="es-ES"/>
        </w:rPr>
        <w:t xml:space="preserve">,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9">
    <w:p w14:paraId="42BDC988" w14:textId="5CFE5E0B" w:rsidR="00E419C7" w:rsidRPr="007C17EA" w:rsidRDefault="00E419C7" w:rsidP="00025292">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BARRETO ROZO, Antonio Alejandro. Inhabilidades de la contratación estatal, efectos y </w:t>
      </w:r>
      <w:proofErr w:type="spellStart"/>
      <w:r w:rsidRPr="007C17EA">
        <w:rPr>
          <w:rFonts w:ascii="Arial" w:hAnsi="Arial" w:cs="Arial"/>
          <w:color w:val="000000" w:themeColor="text1"/>
          <w:sz w:val="19"/>
          <w:szCs w:val="19"/>
          <w:lang w:val="es-ES"/>
        </w:rPr>
        <w:t>neopunitivismo</w:t>
      </w:r>
      <w:proofErr w:type="spellEnd"/>
      <w:r w:rsidRPr="007C17EA">
        <w:rPr>
          <w:rFonts w:ascii="Arial" w:hAnsi="Arial" w:cs="Arial"/>
          <w:color w:val="000000" w:themeColor="text1"/>
          <w:sz w:val="19"/>
          <w:szCs w:val="19"/>
          <w:lang w:val="es-ES"/>
        </w:rPr>
        <w:t xml:space="preserve"> en el Estatuto Anticorrupción. En: ALVIAR GARCÍA, Helena (Coordinadora). Nuevas tendencias del Derecho administrativo. Bogotá: Universidad de los Andes; Temis, 2016. pp. 63-99.</w:t>
      </w:r>
    </w:p>
  </w:footnote>
  <w:footnote w:id="10">
    <w:p w14:paraId="617D751B" w14:textId="256AA803" w:rsidR="00E419C7" w:rsidRPr="007C17EA" w:rsidRDefault="00E419C7" w:rsidP="00025292">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proofErr w:type="spellStart"/>
      <w:r w:rsidRPr="007C17EA">
        <w:rPr>
          <w:rFonts w:ascii="Arial" w:hAnsi="Arial" w:cs="Arial"/>
          <w:color w:val="000000" w:themeColor="text1"/>
          <w:sz w:val="19"/>
          <w:szCs w:val="19"/>
          <w:lang w:val="es-ES"/>
        </w:rPr>
        <w:t>Ibíd</w:t>
      </w:r>
      <w:proofErr w:type="spellEnd"/>
      <w:r w:rsidRPr="007C17EA">
        <w:rPr>
          <w:rFonts w:ascii="Arial" w:hAnsi="Arial" w:cs="Arial"/>
          <w:color w:val="000000" w:themeColor="text1"/>
          <w:sz w:val="19"/>
          <w:szCs w:val="19"/>
          <w:lang w:val="es-ES"/>
        </w:rPr>
        <w:t>., p. 69.</w:t>
      </w:r>
    </w:p>
  </w:footnote>
  <w:footnote w:id="11">
    <w:p w14:paraId="6CDA49EA" w14:textId="07BC30AB" w:rsidR="00E419C7" w:rsidRPr="007C17EA" w:rsidRDefault="00E419C7" w:rsidP="00025292">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footnote>
  <w:footnote w:id="12">
    <w:p w14:paraId="34D7E1AD" w14:textId="567A54B1" w:rsidR="00E419C7" w:rsidRPr="007C17EA" w:rsidRDefault="00E419C7" w:rsidP="00025292">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7C17EA">
        <w:rPr>
          <w:rFonts w:ascii="Arial" w:hAnsi="Arial" w:cs="Arial"/>
          <w:color w:val="000000" w:themeColor="text1"/>
          <w:sz w:val="19"/>
          <w:szCs w:val="19"/>
          <w:lang w:val="es-ES"/>
        </w:rPr>
        <w:t>Namén</w:t>
      </w:r>
      <w:proofErr w:type="spellEnd"/>
      <w:r w:rsidRPr="007C17EA">
        <w:rPr>
          <w:rFonts w:ascii="Arial" w:hAnsi="Arial" w:cs="Arial"/>
          <w:color w:val="000000" w:themeColor="text1"/>
          <w:sz w:val="19"/>
          <w:szCs w:val="19"/>
          <w:lang w:val="es-ES"/>
        </w:rPr>
        <w:t xml:space="preserve"> Vargas.</w:t>
      </w:r>
    </w:p>
  </w:footnote>
  <w:footnote w:id="13">
    <w:p w14:paraId="740A8D77" w14:textId="2E0FF021" w:rsidR="00E419C7" w:rsidRPr="00025292" w:rsidRDefault="00E419C7" w:rsidP="00025292">
      <w:pPr>
        <w:pStyle w:val="Textonotapie"/>
        <w:ind w:firstLine="709"/>
        <w:jc w:val="both"/>
        <w:rPr>
          <w:rFonts w:ascii="Arial" w:hAnsi="Arial" w:cs="Arial"/>
          <w:color w:val="000000" w:themeColor="text1"/>
          <w:sz w:val="19"/>
          <w:szCs w:val="19"/>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Consejo de Estado. Sección Tercera. Subsección A. Sentencia del 24 de junio de 2015. </w:t>
      </w:r>
      <w:proofErr w:type="spellStart"/>
      <w:r w:rsidRPr="007C17EA">
        <w:rPr>
          <w:rFonts w:ascii="Arial" w:hAnsi="Arial" w:cs="Arial"/>
          <w:color w:val="000000" w:themeColor="text1"/>
          <w:sz w:val="19"/>
          <w:szCs w:val="19"/>
        </w:rPr>
        <w:t>Exp</w:t>
      </w:r>
      <w:proofErr w:type="spellEnd"/>
      <w:r w:rsidRPr="007C17EA">
        <w:rPr>
          <w:rFonts w:ascii="Arial" w:hAnsi="Arial" w:cs="Arial"/>
          <w:color w:val="000000" w:themeColor="text1"/>
          <w:sz w:val="19"/>
          <w:szCs w:val="19"/>
        </w:rPr>
        <w:t>. 40.635. Consejero Ponente: Hernán Andrade Rincón (E).</w:t>
      </w:r>
    </w:p>
  </w:footnote>
  <w:footnote w:id="14">
    <w:p w14:paraId="20090440" w14:textId="347BF60F" w:rsidR="00E419C7" w:rsidRPr="00025292" w:rsidRDefault="00E419C7" w:rsidP="00025292">
      <w:pPr>
        <w:pStyle w:val="Textonotapie"/>
        <w:ind w:firstLine="709"/>
        <w:jc w:val="both"/>
        <w:rPr>
          <w:rFonts w:ascii="Arial" w:hAnsi="Arial" w:cs="Arial"/>
          <w:color w:val="000000" w:themeColor="text1"/>
          <w:sz w:val="19"/>
          <w:szCs w:val="19"/>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Consejo de Estado. Sección Tercera. Subsección C. Sentencia del 22 de mayo de 2013. </w:t>
      </w:r>
      <w:proofErr w:type="spellStart"/>
      <w:r w:rsidRPr="007C17EA">
        <w:rPr>
          <w:rFonts w:ascii="Arial" w:hAnsi="Arial" w:cs="Arial"/>
          <w:color w:val="000000" w:themeColor="text1"/>
          <w:sz w:val="19"/>
          <w:szCs w:val="19"/>
        </w:rPr>
        <w:t>Exp</w:t>
      </w:r>
      <w:proofErr w:type="spellEnd"/>
      <w:r w:rsidRPr="007C17EA">
        <w:rPr>
          <w:rFonts w:ascii="Arial" w:hAnsi="Arial" w:cs="Arial"/>
          <w:color w:val="000000" w:themeColor="text1"/>
          <w:sz w:val="19"/>
          <w:szCs w:val="19"/>
        </w:rPr>
        <w:t xml:space="preserve">. 24.057. Consejera Ponente: Olga </w:t>
      </w:r>
      <w:proofErr w:type="spellStart"/>
      <w:r w:rsidRPr="007C17EA">
        <w:rPr>
          <w:rFonts w:ascii="Arial" w:hAnsi="Arial" w:cs="Arial"/>
          <w:color w:val="000000" w:themeColor="text1"/>
          <w:sz w:val="19"/>
          <w:szCs w:val="19"/>
        </w:rPr>
        <w:t>Melida</w:t>
      </w:r>
      <w:proofErr w:type="spellEnd"/>
      <w:r w:rsidRPr="007C17EA">
        <w:rPr>
          <w:rFonts w:ascii="Arial" w:hAnsi="Arial" w:cs="Arial"/>
          <w:color w:val="000000" w:themeColor="text1"/>
          <w:sz w:val="19"/>
          <w:szCs w:val="19"/>
        </w:rPr>
        <w:t xml:space="preserve"> Valle De </w:t>
      </w:r>
      <w:proofErr w:type="spellStart"/>
      <w:r w:rsidRPr="007C17EA">
        <w:rPr>
          <w:rFonts w:ascii="Arial" w:hAnsi="Arial" w:cs="Arial"/>
          <w:color w:val="000000" w:themeColor="text1"/>
          <w:sz w:val="19"/>
          <w:szCs w:val="19"/>
        </w:rPr>
        <w:t>De</w:t>
      </w:r>
      <w:proofErr w:type="spellEnd"/>
      <w:r w:rsidRPr="007C17EA">
        <w:rPr>
          <w:rFonts w:ascii="Arial" w:hAnsi="Arial" w:cs="Arial"/>
          <w:color w:val="000000" w:themeColor="text1"/>
          <w:sz w:val="19"/>
          <w:szCs w:val="19"/>
        </w:rPr>
        <w:t xml:space="preserve"> La Hoz.</w:t>
      </w:r>
    </w:p>
  </w:footnote>
  <w:footnote w:id="15">
    <w:p w14:paraId="261ABE08" w14:textId="42A0BB05" w:rsidR="00172475" w:rsidRPr="00E8110D" w:rsidRDefault="00172475" w:rsidP="00025292">
      <w:pPr>
        <w:pStyle w:val="Textonotapie"/>
        <w:ind w:firstLine="708"/>
        <w:jc w:val="both"/>
        <w:rPr>
          <w:rFonts w:ascii="Arial" w:hAnsi="Arial" w:cs="Arial"/>
          <w:color w:val="000000" w:themeColor="text1"/>
          <w:sz w:val="19"/>
          <w:szCs w:val="19"/>
          <w:lang w:val="es-CO"/>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i/>
          <w:iCs/>
          <w:color w:val="000000" w:themeColor="text1"/>
          <w:sz w:val="19"/>
          <w:szCs w:val="19"/>
        </w:rPr>
        <w:t>Ibid</w:t>
      </w:r>
      <w:r w:rsidRPr="00C36C58">
        <w:rPr>
          <w:rFonts w:ascii="Arial" w:hAnsi="Arial" w:cs="Arial"/>
          <w:color w:val="000000" w:themeColor="text1"/>
          <w:sz w:val="19"/>
          <w:szCs w:val="19"/>
        </w:rPr>
        <w:t xml:space="preserve">. </w:t>
      </w:r>
    </w:p>
  </w:footnote>
  <w:footnote w:id="16">
    <w:p w14:paraId="14A305A0" w14:textId="75A668D3" w:rsidR="00172475" w:rsidRPr="00C36C58" w:rsidRDefault="00172475" w:rsidP="00025292">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E520F">
        <w:rPr>
          <w:rFonts w:ascii="Arial" w:hAnsi="Arial" w:cs="Arial"/>
          <w:color w:val="000000" w:themeColor="text1"/>
          <w:sz w:val="19"/>
          <w:szCs w:val="19"/>
          <w:lang w:val="es-ES"/>
        </w:rPr>
        <w:t xml:space="preserve">  Cfr. Corte Constitucional. Sentencia C-780 de 2001. </w:t>
      </w:r>
      <w:r w:rsidRPr="00C36C58">
        <w:rPr>
          <w:rFonts w:ascii="Arial" w:hAnsi="Arial" w:cs="Arial"/>
          <w:color w:val="000000" w:themeColor="text1"/>
          <w:sz w:val="19"/>
          <w:szCs w:val="19"/>
        </w:rPr>
        <w:t>M.P. Jaime Córdoba Triviño.</w:t>
      </w:r>
    </w:p>
  </w:footnote>
  <w:footnote w:id="17">
    <w:p w14:paraId="55C55FD9" w14:textId="77777777" w:rsidR="00AB7DC5" w:rsidRPr="00046FD0" w:rsidRDefault="00AB7DC5" w:rsidP="00AB7DC5">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0FFAF7A1" w14:textId="77777777" w:rsidR="00AB7DC5" w:rsidRPr="00046FD0" w:rsidRDefault="00AB7DC5" w:rsidP="00AB7DC5">
      <w:pPr>
        <w:pStyle w:val="Textonotapie"/>
        <w:ind w:firstLine="709"/>
        <w:jc w:val="both"/>
        <w:rPr>
          <w:rFonts w:ascii="Arial" w:hAnsi="Arial" w:cs="Arial"/>
          <w:sz w:val="19"/>
          <w:szCs w:val="19"/>
          <w:lang w:val="es-ES"/>
        </w:rPr>
      </w:pPr>
    </w:p>
  </w:footnote>
  <w:footnote w:id="18">
    <w:p w14:paraId="29FA8F44" w14:textId="77777777" w:rsidR="00AB7DC5" w:rsidRPr="00046FD0" w:rsidRDefault="00AB7DC5" w:rsidP="00AB7DC5">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0C56EAE3"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7D7DCF5E"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lang w:val="es-ES"/>
        </w:rPr>
        <w:t>El Gobierno nacional reglamentará el mecanismo para realizar la mensualización de que trata el presente artículo.</w:t>
      </w:r>
    </w:p>
    <w:p w14:paraId="5E893F3C" w14:textId="77777777" w:rsidR="00AB7DC5" w:rsidRPr="00046FD0" w:rsidRDefault="00AB7DC5" w:rsidP="00AB7DC5">
      <w:pPr>
        <w:pStyle w:val="Textonotapie"/>
        <w:ind w:firstLine="709"/>
        <w:jc w:val="both"/>
        <w:rPr>
          <w:rFonts w:ascii="Arial" w:hAnsi="Arial" w:cs="Arial"/>
          <w:sz w:val="19"/>
          <w:szCs w:val="19"/>
          <w:lang w:val="pt-BR"/>
        </w:rPr>
      </w:pPr>
      <w:r w:rsidRPr="00046FD0">
        <w:rPr>
          <w:rFonts w:ascii="Arial" w:hAnsi="Arial" w:cs="Arial"/>
          <w:sz w:val="19"/>
          <w:szCs w:val="19"/>
          <w:lang w:val="pt-BR"/>
        </w:rPr>
        <w:t>[…]».</w:t>
      </w:r>
    </w:p>
    <w:p w14:paraId="524BC4D3" w14:textId="77777777" w:rsidR="00AB7DC5" w:rsidRPr="00046FD0" w:rsidRDefault="00AB7DC5" w:rsidP="00AB7DC5">
      <w:pPr>
        <w:pStyle w:val="Textonotapie"/>
        <w:ind w:firstLine="709"/>
        <w:jc w:val="both"/>
        <w:rPr>
          <w:rFonts w:ascii="Arial" w:hAnsi="Arial" w:cs="Arial"/>
          <w:sz w:val="19"/>
          <w:szCs w:val="19"/>
          <w:lang w:val="pt-BR"/>
        </w:rPr>
      </w:pPr>
    </w:p>
  </w:footnote>
  <w:footnote w:id="19">
    <w:p w14:paraId="3FCABF4C" w14:textId="77777777" w:rsidR="00AB7DC5" w:rsidRPr="00046FD0" w:rsidRDefault="00AB7DC5" w:rsidP="00AB7DC5">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lang w:val="pt-BR"/>
        </w:rPr>
        <w:t xml:space="preserve"> Corte Constitucional. Sentencia C-154 de 1997. </w:t>
      </w:r>
      <w:r w:rsidRPr="00046FD0">
        <w:rPr>
          <w:rFonts w:ascii="Arial" w:hAnsi="Arial" w:cs="Arial"/>
          <w:sz w:val="19"/>
          <w:szCs w:val="19"/>
          <w:lang w:val="es-ES"/>
        </w:rPr>
        <w:t>MP: Hernando Herrera Vergara.</w:t>
      </w:r>
    </w:p>
    <w:p w14:paraId="6019AEFC" w14:textId="77777777" w:rsidR="00AB7DC5" w:rsidRPr="00046FD0" w:rsidRDefault="00AB7DC5" w:rsidP="00AB7DC5">
      <w:pPr>
        <w:pStyle w:val="Textonotapie"/>
        <w:ind w:firstLine="709"/>
        <w:jc w:val="both"/>
        <w:rPr>
          <w:rFonts w:ascii="Arial" w:hAnsi="Arial" w:cs="Arial"/>
          <w:sz w:val="19"/>
          <w:szCs w:val="19"/>
          <w:lang w:val="es-ES"/>
        </w:rPr>
      </w:pPr>
    </w:p>
  </w:footnote>
  <w:footnote w:id="20">
    <w:p w14:paraId="545AD45C" w14:textId="77777777" w:rsidR="00AB7DC5" w:rsidRPr="00046FD0" w:rsidRDefault="00AB7DC5" w:rsidP="00AB7DC5">
      <w:pPr>
        <w:pStyle w:val="Textonotapie"/>
        <w:ind w:firstLine="709"/>
        <w:jc w:val="both"/>
        <w:rPr>
          <w:rFonts w:ascii="Arial" w:hAnsi="Arial" w:cs="Arial"/>
          <w:color w:val="000000" w:themeColor="text1"/>
          <w:sz w:val="19"/>
          <w:szCs w:val="19"/>
          <w:lang w:val="es-CO"/>
        </w:rPr>
      </w:pPr>
      <w:r w:rsidRPr="00046FD0">
        <w:rPr>
          <w:rStyle w:val="Refdenotaalpie"/>
          <w:sz w:val="19"/>
          <w:szCs w:val="19"/>
        </w:rPr>
        <w:footnoteRef/>
      </w:r>
      <w:r w:rsidRPr="00046FD0">
        <w:rPr>
          <w:sz w:val="19"/>
          <w:szCs w:val="19"/>
        </w:rPr>
        <w:t xml:space="preserve"> </w:t>
      </w:r>
      <w:r w:rsidRPr="00046FD0">
        <w:rPr>
          <w:rFonts w:ascii="Arial" w:hAnsi="Arial" w:cs="Arial"/>
          <w:color w:val="000000" w:themeColor="text1"/>
          <w:sz w:val="19"/>
          <w:szCs w:val="19"/>
          <w:lang w:val="es-ES"/>
        </w:rPr>
        <w:t xml:space="preserve">Consejo de Estado. Sección Segunda. Sentencia de Unificación Jurisprudencial </w:t>
      </w:r>
      <w:r w:rsidRPr="00046FD0">
        <w:rPr>
          <w:rFonts w:ascii="Arial" w:hAnsi="Arial" w:cs="Arial"/>
          <w:color w:val="000000" w:themeColor="text1"/>
          <w:sz w:val="19"/>
          <w:szCs w:val="19"/>
          <w:lang w:val="es-CO"/>
        </w:rPr>
        <w:t>SUJ-025-CE-S2-2021.</w:t>
      </w:r>
      <w:r w:rsidRPr="00046FD0">
        <w:rPr>
          <w:rFonts w:ascii="Arial" w:hAnsi="Arial" w:cs="Arial"/>
          <w:color w:val="000000" w:themeColor="text1"/>
          <w:sz w:val="19"/>
          <w:szCs w:val="19"/>
          <w:lang w:val="es-ES"/>
        </w:rPr>
        <w:t xml:space="preserve"> Radicado (1317-2016). El numeral primero de la parte resolutiva de la sentencia señala lo siguiente:</w:t>
      </w:r>
      <w:r w:rsidRPr="00046FD0">
        <w:rPr>
          <w:rFonts w:ascii="Times New Roman" w:eastAsia="Times New Roman" w:hAnsi="Times New Roman" w:cs="Times New Roman"/>
          <w:sz w:val="19"/>
          <w:szCs w:val="19"/>
          <w:lang w:val="es-CO" w:eastAsia="es-ES_tradnl"/>
        </w:rPr>
        <w:t xml:space="preserve"> </w:t>
      </w:r>
      <w:r w:rsidRPr="00046FD0">
        <w:rPr>
          <w:rFonts w:ascii="Arial" w:hAnsi="Arial" w:cs="Arial"/>
          <w:noProof/>
          <w:sz w:val="19"/>
          <w:szCs w:val="19"/>
          <w:lang w:val="es-ES_tradnl"/>
        </w:rPr>
        <w:t>«</w:t>
      </w:r>
      <w:r w:rsidRPr="00046FD0">
        <w:rPr>
          <w:rFonts w:ascii="Arial" w:hAnsi="Arial" w:cs="Arial"/>
          <w:color w:val="000000" w:themeColor="text1"/>
          <w:sz w:val="19"/>
          <w:szCs w:val="19"/>
          <w:lang w:val="es-CO"/>
        </w:rPr>
        <w:t xml:space="preserve">Unificar la jurisprudencia de la Sección Segunda del Consejo de Estado, en el sentido de precisar las siguientes reglas en las relaciones laborales encubiertas o subyacentes: </w:t>
      </w:r>
    </w:p>
    <w:p w14:paraId="3B91ACF5" w14:textId="77777777" w:rsidR="00AB7DC5" w:rsidRPr="00046FD0" w:rsidRDefault="00AB7DC5" w:rsidP="00AB7DC5">
      <w:pPr>
        <w:pStyle w:val="Textonotapie"/>
        <w:ind w:firstLine="709"/>
        <w:jc w:val="both"/>
        <w:rPr>
          <w:rFonts w:ascii="Arial" w:hAnsi="Arial" w:cs="Arial"/>
          <w:color w:val="000000" w:themeColor="text1"/>
          <w:sz w:val="19"/>
          <w:szCs w:val="19"/>
          <w:lang w:val="es-CO"/>
        </w:rPr>
      </w:pPr>
      <w:r w:rsidRPr="00046FD0">
        <w:rPr>
          <w:rFonts w:ascii="Arial" w:hAnsi="Arial" w:cs="Arial"/>
          <w:color w:val="000000" w:themeColor="text1"/>
          <w:sz w:val="19"/>
          <w:szCs w:val="19"/>
          <w:lang w:val="es-ES"/>
        </w:rPr>
        <w:t xml:space="preserve"> </w:t>
      </w:r>
      <w:r w:rsidRPr="00046FD0">
        <w:rPr>
          <w:rFonts w:ascii="Arial" w:hAnsi="Arial" w:cs="Arial"/>
          <w:sz w:val="19"/>
          <w:szCs w:val="19"/>
          <w:lang w:val="pt-BR"/>
        </w:rPr>
        <w:t>»</w:t>
      </w:r>
      <w:r w:rsidRPr="00046FD0">
        <w:rPr>
          <w:rFonts w:ascii="Arial" w:hAnsi="Arial" w:cs="Arial"/>
          <w:color w:val="000000" w:themeColor="text1"/>
          <w:sz w:val="19"/>
          <w:szCs w:val="19"/>
          <w:lang w:val="es-CO"/>
        </w:rPr>
        <w:t xml:space="preserve">(i) La primera regla define que el concepto de «término estrictamente indispensable», al que alude el numeral 3.º del artículo 32 de la Ley 80 de 1993, es el señalado en los estudios previos y en el objeto del contrato, el cual, de acuerdo con el principio de planeación, tiene que estar justificado en la necesidad de la prestación del servicio a favor de la Administración, de forma esencialmente temporal y, de ninguna manera, con ánimo de permanencia. </w:t>
      </w:r>
    </w:p>
    <w:p w14:paraId="5EA4FD2E" w14:textId="77777777" w:rsidR="00AB7DC5" w:rsidRPr="00046FD0" w:rsidRDefault="00AB7DC5" w:rsidP="00AB7DC5">
      <w:pPr>
        <w:pStyle w:val="Textonotapie"/>
        <w:ind w:firstLine="709"/>
        <w:jc w:val="both"/>
        <w:rPr>
          <w:rFonts w:ascii="Arial" w:hAnsi="Arial" w:cs="Arial"/>
          <w:color w:val="000000" w:themeColor="text1"/>
          <w:sz w:val="19"/>
          <w:szCs w:val="19"/>
          <w:lang w:val="es-CO"/>
        </w:rPr>
      </w:pPr>
      <w:r w:rsidRPr="00046FD0">
        <w:rPr>
          <w:rFonts w:ascii="Arial" w:hAnsi="Arial" w:cs="Arial"/>
          <w:sz w:val="19"/>
          <w:szCs w:val="19"/>
          <w:lang w:val="pt-BR"/>
        </w:rPr>
        <w:t>»</w:t>
      </w:r>
      <w:r w:rsidRPr="00046FD0">
        <w:rPr>
          <w:rFonts w:ascii="Arial" w:hAnsi="Arial" w:cs="Arial"/>
          <w:color w:val="000000" w:themeColor="text1"/>
          <w:sz w:val="19"/>
          <w:szCs w:val="19"/>
          <w:lang w:val="es-CO"/>
        </w:rPr>
        <w:t>(</w:t>
      </w:r>
      <w:proofErr w:type="spellStart"/>
      <w:r w:rsidRPr="00046FD0">
        <w:rPr>
          <w:rFonts w:ascii="Arial" w:hAnsi="Arial" w:cs="Arial"/>
          <w:color w:val="000000" w:themeColor="text1"/>
          <w:sz w:val="19"/>
          <w:szCs w:val="19"/>
          <w:lang w:val="es-CO"/>
        </w:rPr>
        <w:t>ii</w:t>
      </w:r>
      <w:proofErr w:type="spellEnd"/>
      <w:r w:rsidRPr="00046FD0">
        <w:rPr>
          <w:rFonts w:ascii="Arial" w:hAnsi="Arial" w:cs="Arial"/>
          <w:color w:val="000000" w:themeColor="text1"/>
          <w:sz w:val="19"/>
          <w:szCs w:val="19"/>
          <w:lang w:val="es-CO"/>
        </w:rPr>
        <w:t xml:space="preserve">) La segunda regla establece un periodo de treinta (30) días hábiles, entre la finalización de un contrato y la ejecución del siguiente, como término de la no solución de continuidad, el cual, en los casos que se exceda, podrá flexibilizarse en atención a las especiales circunstancias que el juez encuentre probadas dentro del expediente. </w:t>
      </w:r>
    </w:p>
    <w:p w14:paraId="7A91C72B" w14:textId="77777777" w:rsidR="00AB7DC5" w:rsidRDefault="00AB7DC5" w:rsidP="00AB7DC5">
      <w:pPr>
        <w:pStyle w:val="Textonotapie"/>
        <w:ind w:firstLine="709"/>
        <w:jc w:val="both"/>
        <w:rPr>
          <w:rFonts w:ascii="Arial" w:hAnsi="Arial" w:cs="Arial"/>
          <w:sz w:val="19"/>
          <w:szCs w:val="19"/>
          <w:lang w:val="pt-BR"/>
        </w:rPr>
      </w:pPr>
      <w:r w:rsidRPr="00046FD0">
        <w:rPr>
          <w:rFonts w:ascii="Arial" w:hAnsi="Arial" w:cs="Arial"/>
          <w:sz w:val="19"/>
          <w:szCs w:val="19"/>
          <w:lang w:val="pt-BR"/>
        </w:rPr>
        <w:t>»</w:t>
      </w:r>
      <w:r w:rsidRPr="00046FD0">
        <w:rPr>
          <w:rFonts w:ascii="Arial" w:hAnsi="Arial" w:cs="Arial"/>
          <w:color w:val="000000" w:themeColor="text1"/>
          <w:sz w:val="19"/>
          <w:szCs w:val="19"/>
          <w:lang w:val="es-CO"/>
        </w:rPr>
        <w:t>(</w:t>
      </w:r>
      <w:proofErr w:type="spellStart"/>
      <w:r w:rsidRPr="00046FD0">
        <w:rPr>
          <w:rFonts w:ascii="Arial" w:hAnsi="Arial" w:cs="Arial"/>
          <w:color w:val="000000" w:themeColor="text1"/>
          <w:sz w:val="19"/>
          <w:szCs w:val="19"/>
          <w:lang w:val="es-CO"/>
        </w:rPr>
        <w:t>iii</w:t>
      </w:r>
      <w:proofErr w:type="spellEnd"/>
      <w:r w:rsidRPr="00046FD0">
        <w:rPr>
          <w:rFonts w:ascii="Arial" w:hAnsi="Arial" w:cs="Arial"/>
          <w:color w:val="000000" w:themeColor="text1"/>
          <w:sz w:val="19"/>
          <w:szCs w:val="19"/>
          <w:lang w:val="es-CO"/>
        </w:rPr>
        <w:t>) La tercera regla determina que frente a la no afiliación al sistema de la Seguridad Social en salud, por parte de la Administración, es improcedente la devolución de los valores que el contratista hubiese asumido de más, en tanto se recaudaron como recursos de naturaleza parafiscal</w:t>
      </w:r>
      <w:r w:rsidRPr="00046FD0">
        <w:rPr>
          <w:rFonts w:ascii="Arial" w:hAnsi="Arial" w:cs="Arial"/>
          <w:sz w:val="19"/>
          <w:szCs w:val="19"/>
          <w:lang w:val="pt-BR"/>
        </w:rPr>
        <w:t>»</w:t>
      </w:r>
      <w:r>
        <w:rPr>
          <w:rFonts w:ascii="Arial" w:hAnsi="Arial" w:cs="Arial"/>
          <w:sz w:val="19"/>
          <w:szCs w:val="19"/>
          <w:lang w:val="pt-BR"/>
        </w:rPr>
        <w:t>.</w:t>
      </w:r>
    </w:p>
    <w:p w14:paraId="4592A752" w14:textId="77777777" w:rsidR="00AB7DC5" w:rsidRPr="00046FD0" w:rsidRDefault="00AB7DC5" w:rsidP="00AB7DC5">
      <w:pPr>
        <w:pStyle w:val="Textonotapie"/>
        <w:ind w:firstLine="709"/>
        <w:jc w:val="both"/>
        <w:rPr>
          <w:sz w:val="19"/>
          <w:szCs w:val="19"/>
          <w:lang w:val="es-CO"/>
        </w:rPr>
      </w:pPr>
    </w:p>
  </w:footnote>
  <w:footnote w:id="21">
    <w:p w14:paraId="2629C171" w14:textId="77777777" w:rsidR="00AB7DC5" w:rsidRDefault="00AB7DC5" w:rsidP="00AB7DC5">
      <w:pPr>
        <w:pStyle w:val="Textonotapie"/>
        <w:ind w:firstLine="709"/>
        <w:jc w:val="both"/>
        <w:rPr>
          <w:rFonts w:ascii="Arial" w:hAnsi="Arial" w:cs="Arial"/>
          <w:color w:val="000000" w:themeColor="text1"/>
          <w:sz w:val="19"/>
          <w:szCs w:val="19"/>
          <w:lang w:val="es-ES"/>
        </w:rPr>
      </w:pPr>
      <w:r w:rsidRPr="00046FD0">
        <w:rPr>
          <w:rStyle w:val="Refdenotaalpie"/>
          <w:sz w:val="19"/>
          <w:szCs w:val="19"/>
        </w:rPr>
        <w:footnoteRef/>
      </w:r>
      <w:r w:rsidRPr="00046FD0">
        <w:rPr>
          <w:sz w:val="19"/>
          <w:szCs w:val="19"/>
        </w:rPr>
        <w:t xml:space="preserve"> </w:t>
      </w:r>
      <w:r w:rsidRPr="00046FD0">
        <w:rPr>
          <w:rFonts w:ascii="Arial" w:hAnsi="Arial" w:cs="Arial"/>
          <w:color w:val="000000" w:themeColor="text1"/>
          <w:sz w:val="19"/>
          <w:szCs w:val="19"/>
          <w:lang w:val="es-ES"/>
        </w:rPr>
        <w:t xml:space="preserve">Consejo de Estado. Sección Segunda. Sentencia de Unificación Jurisprudencial </w:t>
      </w:r>
      <w:r w:rsidRPr="00046FD0">
        <w:rPr>
          <w:rFonts w:ascii="Arial" w:hAnsi="Arial" w:cs="Arial"/>
          <w:color w:val="000000" w:themeColor="text1"/>
          <w:sz w:val="19"/>
          <w:szCs w:val="19"/>
          <w:lang w:val="es-CO"/>
        </w:rPr>
        <w:t>SUJ-025-CE-S2-2021.</w:t>
      </w:r>
      <w:r w:rsidRPr="00046FD0">
        <w:rPr>
          <w:rFonts w:ascii="Arial" w:hAnsi="Arial" w:cs="Arial"/>
          <w:color w:val="000000" w:themeColor="text1"/>
          <w:sz w:val="19"/>
          <w:szCs w:val="19"/>
          <w:lang w:val="es-ES"/>
        </w:rPr>
        <w:t xml:space="preserve"> Radicado (1317-2016).</w:t>
      </w:r>
      <w:r>
        <w:rPr>
          <w:rFonts w:ascii="Arial" w:hAnsi="Arial" w:cs="Arial"/>
          <w:color w:val="000000" w:themeColor="text1"/>
          <w:sz w:val="19"/>
          <w:szCs w:val="19"/>
          <w:lang w:val="es-ES"/>
        </w:rPr>
        <w:t xml:space="preserve"> En el mismo sentido, la</w:t>
      </w:r>
      <w:r w:rsidRPr="00117CD7">
        <w:rPr>
          <w:rFonts w:ascii="Arial" w:hAnsi="Arial" w:cs="Arial"/>
          <w:color w:val="000000" w:themeColor="text1"/>
          <w:sz w:val="19"/>
          <w:szCs w:val="19"/>
          <w:lang w:val="es-ES"/>
        </w:rPr>
        <w:t xml:space="preserve"> Corte Constitucional expresa que:</w:t>
      </w:r>
      <w:r>
        <w:rPr>
          <w:rFonts w:ascii="Arial" w:hAnsi="Arial" w:cs="Arial"/>
          <w:color w:val="000000" w:themeColor="text1"/>
          <w:sz w:val="19"/>
          <w:szCs w:val="19"/>
          <w:lang w:val="es-ES"/>
        </w:rPr>
        <w:t xml:space="preserve"> «</w:t>
      </w:r>
      <w:r w:rsidRPr="00117CD7">
        <w:rPr>
          <w:rFonts w:ascii="Arial" w:hAnsi="Arial" w:cs="Arial"/>
          <w:color w:val="000000" w:themeColor="text1"/>
          <w:sz w:val="19"/>
          <w:szCs w:val="19"/>
          <w:lang w:val="es-ES"/>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rFonts w:ascii="Arial" w:hAnsi="Arial" w:cs="Arial"/>
          <w:color w:val="000000" w:themeColor="text1"/>
          <w:sz w:val="19"/>
          <w:szCs w:val="19"/>
          <w:lang w:val="es-ES"/>
        </w:rPr>
        <w:t xml:space="preserve">» (Cfr. </w:t>
      </w:r>
      <w:r w:rsidRPr="00046FD0">
        <w:rPr>
          <w:rFonts w:ascii="Arial" w:hAnsi="Arial" w:cs="Arial"/>
          <w:sz w:val="19"/>
          <w:szCs w:val="19"/>
          <w:lang w:val="pt-BR"/>
        </w:rPr>
        <w:t xml:space="preserve">Corte Constitucional. Sentencia C-154 de 1997. </w:t>
      </w:r>
      <w:r w:rsidRPr="00046FD0">
        <w:rPr>
          <w:rFonts w:ascii="Arial" w:hAnsi="Arial" w:cs="Arial"/>
          <w:sz w:val="19"/>
          <w:szCs w:val="19"/>
          <w:lang w:val="es-ES"/>
        </w:rPr>
        <w:t>MP: Hernando Herrera Vergara</w:t>
      </w:r>
      <w:r>
        <w:rPr>
          <w:rFonts w:ascii="Arial" w:hAnsi="Arial" w:cs="Arial"/>
          <w:sz w:val="19"/>
          <w:szCs w:val="19"/>
          <w:lang w:val="es-ES"/>
        </w:rPr>
        <w:t>)</w:t>
      </w:r>
      <w:r>
        <w:rPr>
          <w:rFonts w:ascii="Arial" w:hAnsi="Arial" w:cs="Arial"/>
          <w:color w:val="000000" w:themeColor="text1"/>
          <w:sz w:val="19"/>
          <w:szCs w:val="19"/>
          <w:lang w:val="es-ES"/>
        </w:rPr>
        <w:t>.</w:t>
      </w:r>
    </w:p>
    <w:p w14:paraId="2AEEDEEC" w14:textId="77777777" w:rsidR="00AB7DC5" w:rsidRPr="00046FD0" w:rsidRDefault="00AB7DC5" w:rsidP="00AB7DC5">
      <w:pPr>
        <w:pStyle w:val="Textonotapie"/>
        <w:ind w:firstLine="709"/>
        <w:rPr>
          <w:sz w:val="19"/>
          <w:szCs w:val="19"/>
          <w:lang w:val="es-CO"/>
        </w:rPr>
      </w:pPr>
    </w:p>
  </w:footnote>
  <w:footnote w:id="22">
    <w:p w14:paraId="28EAD987" w14:textId="77777777" w:rsidR="00AB7DC5" w:rsidRPr="00046FD0" w:rsidRDefault="00AB7DC5" w:rsidP="00AB7DC5">
      <w:pPr>
        <w:pStyle w:val="Textonotapie"/>
        <w:ind w:firstLine="709"/>
        <w:jc w:val="both"/>
        <w:rPr>
          <w:sz w:val="19"/>
          <w:szCs w:val="19"/>
          <w:lang w:val="es-CO"/>
        </w:rPr>
      </w:pPr>
      <w:r w:rsidRPr="00046FD0">
        <w:rPr>
          <w:rStyle w:val="Refdenotaalpie"/>
          <w:sz w:val="19"/>
          <w:szCs w:val="19"/>
        </w:rPr>
        <w:footnoteRef/>
      </w:r>
      <w:r w:rsidRPr="00046FD0">
        <w:rPr>
          <w:sz w:val="19"/>
          <w:szCs w:val="19"/>
        </w:rPr>
        <w:t xml:space="preserve"> </w:t>
      </w:r>
      <w:r w:rsidRPr="00046FD0">
        <w:rPr>
          <w:rFonts w:ascii="Arial" w:eastAsia="Times New Roman" w:hAnsi="Arial" w:cs="Arial"/>
          <w:color w:val="000000"/>
          <w:sz w:val="19"/>
          <w:szCs w:val="19"/>
          <w:lang w:val="es-CO" w:eastAsia="es-ES_tradnl"/>
        </w:rPr>
        <w:t xml:space="preserve">Consejo de Estado. Sección Tercera. Subsección C. Sentencia del 2 de diciembre de 2013. </w:t>
      </w:r>
      <w:proofErr w:type="spellStart"/>
      <w:r w:rsidRPr="00046FD0">
        <w:rPr>
          <w:rFonts w:ascii="Arial" w:eastAsia="Times New Roman" w:hAnsi="Arial" w:cs="Arial"/>
          <w:color w:val="000000"/>
          <w:sz w:val="19"/>
          <w:szCs w:val="19"/>
          <w:lang w:val="es-CO" w:eastAsia="es-ES_tradnl"/>
        </w:rPr>
        <w:t>Exp</w:t>
      </w:r>
      <w:proofErr w:type="spellEnd"/>
      <w:r w:rsidRPr="00046FD0">
        <w:rPr>
          <w:rFonts w:ascii="Arial" w:eastAsia="Times New Roman" w:hAnsi="Arial" w:cs="Arial"/>
          <w:color w:val="000000"/>
          <w:sz w:val="19"/>
          <w:szCs w:val="19"/>
          <w:lang w:val="es-CO" w:eastAsia="es-ES_tradnl"/>
        </w:rPr>
        <w:t>. 41719. C.P. Jaime Orlando Santofimio Gamboa.</w:t>
      </w:r>
    </w:p>
  </w:footnote>
  <w:footnote w:id="23">
    <w:p w14:paraId="54A7E90F" w14:textId="77777777" w:rsidR="00AB7DC5" w:rsidRPr="00046FD0" w:rsidRDefault="00AB7DC5" w:rsidP="00AB7DC5">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8A4B632"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14:paraId="71EE7C85"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24">
    <w:p w14:paraId="652BEAC8" w14:textId="77777777" w:rsidR="00AB7DC5" w:rsidRPr="00046FD0" w:rsidRDefault="00AB7DC5" w:rsidP="00AB7DC5">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60DAED38"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lang w:val="es-ES"/>
        </w:rPr>
        <w:t>»1. La causal que invoca para contratar directamente.</w:t>
      </w:r>
    </w:p>
    <w:p w14:paraId="49CB7321"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lang w:val="es-ES"/>
        </w:rPr>
        <w:t>»2. El objeto del contrato.</w:t>
      </w:r>
    </w:p>
    <w:p w14:paraId="1D0CA783"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lang w:val="es-ES"/>
        </w:rPr>
        <w:t>»3. El presupuesto para la contratación y las condiciones que exigirá al contratista.</w:t>
      </w:r>
    </w:p>
    <w:p w14:paraId="0982FCFF"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lang w:val="es-ES"/>
        </w:rPr>
        <w:t>»4. El lugar en el cual los interesados pueden consultar los estudios y documentos previos.</w:t>
      </w:r>
    </w:p>
    <w:p w14:paraId="01308327"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25">
    <w:p w14:paraId="3D2431B4" w14:textId="77777777" w:rsidR="00AB7DC5" w:rsidRPr="00046FD0" w:rsidRDefault="00AB7DC5" w:rsidP="00AB7DC5">
      <w:pPr>
        <w:pStyle w:val="Textonotapie"/>
        <w:jc w:val="both"/>
        <w:rPr>
          <w:rFonts w:ascii="Arial" w:hAnsi="Arial" w:cs="Arial"/>
          <w:sz w:val="19"/>
          <w:szCs w:val="19"/>
        </w:rPr>
      </w:pPr>
    </w:p>
    <w:p w14:paraId="3093AB9F" w14:textId="77777777" w:rsidR="00AB7DC5" w:rsidRPr="00046FD0" w:rsidRDefault="00AB7DC5" w:rsidP="00AB7DC5">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 xml:space="preserve">La norma expresa: «Art. 14. </w:t>
      </w:r>
      <w:r w:rsidRPr="00046FD0">
        <w:rPr>
          <w:rFonts w:ascii="Arial" w:hAnsi="Arial" w:cs="Arial"/>
          <w:sz w:val="19"/>
          <w:szCs w:val="19"/>
        </w:rPr>
        <w:t>P</w:t>
      </w:r>
      <w:r w:rsidRPr="00046FD0">
        <w:rPr>
          <w:rFonts w:ascii="Arial" w:hAnsi="Arial" w:cs="Arial"/>
          <w:sz w:val="19"/>
          <w:szCs w:val="19"/>
          <w:lang w:val="es-ES"/>
        </w:rPr>
        <w:t>ara el cumplimiento de los fines de la contratación, las entidades estatales al celebrar un contrato:</w:t>
      </w:r>
    </w:p>
    <w:p w14:paraId="2C2BC0EA"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lang w:val="es-ES"/>
        </w:rPr>
        <w:t>[…]</w:t>
      </w:r>
    </w:p>
    <w:p w14:paraId="259495CB"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50435CD8"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lang w:val="es-ES"/>
        </w:rPr>
        <w:t>Las entidades estatales podrán pactar estas cláusulas en los contratos de suministro y de prestación de servicios.</w:t>
      </w:r>
    </w:p>
    <w:p w14:paraId="434DAAFA"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lang w:val="es-ES"/>
        </w:rPr>
        <w:t>[…]».</w:t>
      </w:r>
    </w:p>
  </w:footnote>
  <w:footnote w:id="26">
    <w:p w14:paraId="15A510DD" w14:textId="77777777" w:rsidR="00AB7DC5" w:rsidRPr="00046FD0" w:rsidRDefault="00AB7DC5" w:rsidP="00AB7DC5">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La norma dispone: «La liquidación a que se refiere el presente artículo no será obligatoria en los contratos de prestación de servicios profesionales y de apoyo a la gestión».</w:t>
      </w:r>
    </w:p>
  </w:footnote>
  <w:footnote w:id="27">
    <w:p w14:paraId="7884B22B" w14:textId="77777777" w:rsidR="00AB7DC5" w:rsidRPr="00046FD0" w:rsidRDefault="00AB7DC5" w:rsidP="00AB7DC5">
      <w:pPr>
        <w:pStyle w:val="Textonotapie"/>
        <w:ind w:firstLine="709"/>
        <w:jc w:val="both"/>
        <w:rPr>
          <w:rFonts w:ascii="Arial" w:hAnsi="Arial" w:cs="Arial"/>
          <w:sz w:val="19"/>
          <w:szCs w:val="19"/>
        </w:rPr>
      </w:pPr>
      <w:r w:rsidRPr="00046FD0">
        <w:rPr>
          <w:rStyle w:val="Refdenotaalpie"/>
          <w:rFonts w:ascii="Arial" w:hAnsi="Arial" w:cs="Arial"/>
          <w:sz w:val="19"/>
          <w:szCs w:val="19"/>
        </w:rPr>
        <w:footnoteRef/>
      </w:r>
      <w:r w:rsidRPr="00046FD0">
        <w:rPr>
          <w:rFonts w:ascii="Arial" w:hAnsi="Arial" w:cs="Arial"/>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5B40B31" w14:textId="77777777" w:rsidR="00AB7DC5" w:rsidRPr="00046FD0" w:rsidRDefault="00AB7DC5" w:rsidP="00AB7DC5">
      <w:pPr>
        <w:pStyle w:val="Textonotapie"/>
        <w:ind w:firstLine="709"/>
        <w:jc w:val="both"/>
        <w:rPr>
          <w:rFonts w:ascii="Arial" w:hAnsi="Arial" w:cs="Arial"/>
          <w:sz w:val="19"/>
          <w:szCs w:val="19"/>
        </w:rPr>
      </w:pPr>
      <w:r w:rsidRPr="00046FD0">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71E1C1C" w14:textId="77777777" w:rsidR="00AB7DC5" w:rsidRPr="00046FD0" w:rsidRDefault="00AB7DC5" w:rsidP="00AB7DC5">
      <w:pPr>
        <w:pStyle w:val="Textonotapie"/>
        <w:ind w:firstLine="709"/>
        <w:jc w:val="both"/>
        <w:rPr>
          <w:rFonts w:ascii="Arial" w:hAnsi="Arial" w:cs="Arial"/>
          <w:sz w:val="19"/>
          <w:szCs w:val="19"/>
          <w:lang w:val="es-ES"/>
        </w:rPr>
      </w:pPr>
      <w:r w:rsidRPr="00046FD0">
        <w:rPr>
          <w:rFonts w:ascii="Arial" w:hAnsi="Arial" w:cs="Arial"/>
          <w:sz w:val="19"/>
          <w:szCs w:val="19"/>
        </w:rPr>
        <w:t>[…]».</w:t>
      </w:r>
    </w:p>
  </w:footnote>
  <w:footnote w:id="28">
    <w:p w14:paraId="192938B0" w14:textId="77777777" w:rsidR="00AB7DC5" w:rsidRPr="00046FD0" w:rsidRDefault="00AB7DC5" w:rsidP="00AB7DC5">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5D707B99" w14:textId="77777777" w:rsidR="00AB7DC5" w:rsidRPr="00046FD0" w:rsidRDefault="00AB7DC5" w:rsidP="00AB7DC5">
      <w:pPr>
        <w:pStyle w:val="Textonotapie"/>
        <w:ind w:firstLine="709"/>
        <w:jc w:val="both"/>
        <w:rPr>
          <w:rFonts w:ascii="Arial" w:hAnsi="Arial" w:cs="Arial"/>
          <w:sz w:val="19"/>
          <w:szCs w:val="19"/>
          <w:lang w:val="es-ES"/>
        </w:rPr>
      </w:pPr>
    </w:p>
  </w:footnote>
  <w:footnote w:id="29">
    <w:p w14:paraId="3F42773F" w14:textId="77777777" w:rsidR="00AB7DC5" w:rsidRPr="00046FD0" w:rsidRDefault="00AB7DC5" w:rsidP="00AB7DC5">
      <w:pPr>
        <w:pStyle w:val="Textonotapie"/>
        <w:ind w:firstLine="709"/>
        <w:jc w:val="both"/>
        <w:rPr>
          <w:rFonts w:ascii="Arial" w:hAnsi="Arial" w:cs="Arial"/>
          <w:color w:val="000000" w:themeColor="text1"/>
          <w:sz w:val="19"/>
          <w:szCs w:val="19"/>
          <w:lang w:val="es-ES"/>
        </w:rPr>
      </w:pPr>
      <w:r w:rsidRPr="00046FD0">
        <w:rPr>
          <w:rStyle w:val="Refdenotaalpie"/>
          <w:rFonts w:ascii="Arial" w:hAnsi="Arial" w:cs="Arial"/>
          <w:color w:val="000000" w:themeColor="text1"/>
          <w:sz w:val="19"/>
          <w:szCs w:val="19"/>
        </w:rPr>
        <w:footnoteRef/>
      </w:r>
      <w:r w:rsidRPr="00046FD0">
        <w:rPr>
          <w:rFonts w:ascii="Arial" w:hAnsi="Arial" w:cs="Arial"/>
          <w:color w:val="000000" w:themeColor="text1"/>
          <w:sz w:val="19"/>
          <w:szCs w:val="19"/>
        </w:rPr>
        <w:t xml:space="preserve"> </w:t>
      </w:r>
      <w:r w:rsidRPr="00046FD0">
        <w:rPr>
          <w:rFonts w:ascii="Arial" w:hAnsi="Arial" w:cs="Arial"/>
          <w:color w:val="000000" w:themeColor="text1"/>
          <w:sz w:val="19"/>
          <w:szCs w:val="19"/>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3E57D7B" w14:textId="77777777" w:rsidR="00AB7DC5" w:rsidRPr="00046FD0" w:rsidRDefault="00AB7DC5" w:rsidP="00AB7DC5">
      <w:pPr>
        <w:pStyle w:val="Textonotapie"/>
        <w:ind w:firstLine="709"/>
        <w:jc w:val="both"/>
        <w:rPr>
          <w:rFonts w:ascii="Arial" w:hAnsi="Arial" w:cs="Arial"/>
          <w:color w:val="000000" w:themeColor="text1"/>
          <w:sz w:val="19"/>
          <w:szCs w:val="19"/>
          <w:lang w:val="es-ES"/>
        </w:rPr>
      </w:pPr>
      <w:r w:rsidRPr="00046FD0">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460BD078" w14:textId="77777777" w:rsidR="00AB7DC5" w:rsidRPr="00046FD0" w:rsidRDefault="00AB7DC5" w:rsidP="00AB7DC5">
      <w:pPr>
        <w:pStyle w:val="Textonotapie"/>
        <w:ind w:firstLine="709"/>
        <w:jc w:val="both"/>
        <w:rPr>
          <w:rFonts w:ascii="Arial" w:hAnsi="Arial" w:cs="Arial"/>
          <w:color w:val="000000" w:themeColor="text1"/>
          <w:sz w:val="19"/>
          <w:szCs w:val="19"/>
          <w:lang w:val="es-ES"/>
        </w:rPr>
      </w:pPr>
      <w:r w:rsidRPr="00046FD0">
        <w:rPr>
          <w:rFonts w:ascii="Arial" w:hAnsi="Arial" w:cs="Arial"/>
          <w:color w:val="000000" w:themeColor="text1"/>
          <w:sz w:val="19"/>
          <w:szCs w:val="19"/>
          <w:lang w:val="es-ES"/>
        </w:rPr>
        <w:t>»La Entidad Estatal, para la contratación de trabajos artísticos que solamente puedan en</w:t>
      </w:r>
      <w:r w:rsidRPr="00046FD0">
        <w:rPr>
          <w:rFonts w:ascii="Arial" w:hAnsi="Arial" w:cs="Arial"/>
          <w:color w:val="000000" w:themeColor="text1"/>
          <w:sz w:val="19"/>
          <w:szCs w:val="19"/>
          <w:lang w:val="es-ES"/>
        </w:rPr>
        <w:softHyphen/>
        <w:t>comendarse a determinadas personas naturales, debe justificar esta situación en los estudios y documentos previos».</w:t>
      </w:r>
    </w:p>
    <w:p w14:paraId="4E495DF0" w14:textId="77777777" w:rsidR="00AB7DC5" w:rsidRPr="00046FD0" w:rsidRDefault="00AB7DC5" w:rsidP="00AB7DC5">
      <w:pPr>
        <w:pStyle w:val="Textonotapie"/>
        <w:ind w:firstLine="709"/>
        <w:jc w:val="both"/>
        <w:rPr>
          <w:rFonts w:ascii="Arial" w:hAnsi="Arial" w:cs="Arial"/>
          <w:color w:val="000000" w:themeColor="text1"/>
          <w:sz w:val="19"/>
          <w:szCs w:val="19"/>
          <w:lang w:val="es-ES"/>
        </w:rPr>
      </w:pPr>
    </w:p>
  </w:footnote>
  <w:footnote w:id="30">
    <w:p w14:paraId="6FA5B1ED" w14:textId="77777777" w:rsidR="00AB7DC5" w:rsidRPr="00046FD0" w:rsidRDefault="00AB7DC5" w:rsidP="00AB7DC5">
      <w:pPr>
        <w:pStyle w:val="Textonotapie"/>
        <w:ind w:firstLine="709"/>
        <w:jc w:val="both"/>
        <w:rPr>
          <w:rFonts w:ascii="Arial" w:hAnsi="Arial" w:cs="Arial"/>
          <w:color w:val="000000" w:themeColor="text1"/>
          <w:sz w:val="19"/>
          <w:szCs w:val="19"/>
          <w:lang w:val="es-ES"/>
        </w:rPr>
      </w:pPr>
      <w:r w:rsidRPr="00046FD0">
        <w:rPr>
          <w:rStyle w:val="Refdenotaalpie"/>
          <w:rFonts w:ascii="Arial" w:hAnsi="Arial" w:cs="Arial"/>
          <w:color w:val="000000" w:themeColor="text1"/>
          <w:sz w:val="19"/>
          <w:szCs w:val="19"/>
        </w:rPr>
        <w:footnoteRef/>
      </w:r>
      <w:r w:rsidRPr="00046FD0">
        <w:rPr>
          <w:rFonts w:ascii="Arial" w:hAnsi="Arial" w:cs="Arial"/>
          <w:color w:val="000000" w:themeColor="text1"/>
          <w:sz w:val="19"/>
          <w:szCs w:val="19"/>
        </w:rPr>
        <w:t xml:space="preserve"> </w:t>
      </w:r>
      <w:r w:rsidRPr="00046FD0">
        <w:rPr>
          <w:rFonts w:ascii="Arial" w:hAnsi="Arial" w:cs="Arial"/>
          <w:color w:val="000000" w:themeColor="text1"/>
          <w:sz w:val="19"/>
          <w:szCs w:val="19"/>
          <w:lang w:val="es-ES"/>
        </w:rPr>
        <w:t xml:space="preserve">Consejo de Estado. Sección Tercera. Subsección C. Sentencia de Unificación del 2 de diciembre de 2013. </w:t>
      </w:r>
      <w:proofErr w:type="spellStart"/>
      <w:r w:rsidRPr="00046FD0">
        <w:rPr>
          <w:rFonts w:ascii="Arial" w:hAnsi="Arial" w:cs="Arial"/>
          <w:color w:val="000000" w:themeColor="text1"/>
          <w:sz w:val="19"/>
          <w:szCs w:val="19"/>
          <w:lang w:val="es-ES"/>
        </w:rPr>
        <w:t>Exp</w:t>
      </w:r>
      <w:proofErr w:type="spellEnd"/>
      <w:r w:rsidRPr="00046FD0">
        <w:rPr>
          <w:rFonts w:ascii="Arial" w:hAnsi="Arial" w:cs="Arial"/>
          <w:color w:val="000000" w:themeColor="text1"/>
          <w:sz w:val="19"/>
          <w:szCs w:val="19"/>
          <w:lang w:val="es-ES"/>
        </w:rPr>
        <w:t>. 41.719. C.P. Jaime Orlando Santofimio Gamboa.</w:t>
      </w:r>
    </w:p>
    <w:p w14:paraId="42A7C6F6" w14:textId="77777777" w:rsidR="00AB7DC5" w:rsidRPr="00046FD0" w:rsidRDefault="00AB7DC5" w:rsidP="00AB7DC5">
      <w:pPr>
        <w:pStyle w:val="Textonotapie"/>
        <w:ind w:firstLine="709"/>
        <w:jc w:val="both"/>
        <w:rPr>
          <w:rFonts w:ascii="Arial" w:hAnsi="Arial" w:cs="Arial"/>
          <w:color w:val="000000" w:themeColor="text1"/>
          <w:sz w:val="19"/>
          <w:szCs w:val="19"/>
          <w:lang w:val="es-ES"/>
        </w:rPr>
      </w:pPr>
    </w:p>
  </w:footnote>
  <w:footnote w:id="31">
    <w:p w14:paraId="39889A91" w14:textId="77777777" w:rsidR="00AB7DC5" w:rsidRPr="00046FD0" w:rsidRDefault="00AB7DC5" w:rsidP="00AB7DC5">
      <w:pPr>
        <w:pStyle w:val="Textonotapie"/>
        <w:ind w:firstLine="709"/>
        <w:jc w:val="both"/>
        <w:rPr>
          <w:rFonts w:ascii="Arial" w:hAnsi="Arial" w:cs="Arial"/>
          <w:color w:val="000000" w:themeColor="text1"/>
          <w:sz w:val="19"/>
          <w:szCs w:val="19"/>
          <w:lang w:val="es-ES"/>
        </w:rPr>
      </w:pPr>
      <w:r w:rsidRPr="00046FD0">
        <w:rPr>
          <w:rStyle w:val="Refdenotaalpie"/>
          <w:rFonts w:ascii="Arial" w:hAnsi="Arial" w:cs="Arial"/>
          <w:color w:val="000000" w:themeColor="text1"/>
          <w:sz w:val="19"/>
          <w:szCs w:val="19"/>
        </w:rPr>
        <w:footnoteRef/>
      </w:r>
      <w:r w:rsidRPr="00046FD0">
        <w:rPr>
          <w:rFonts w:ascii="Arial" w:hAnsi="Arial" w:cs="Arial"/>
          <w:color w:val="000000" w:themeColor="text1"/>
          <w:sz w:val="19"/>
          <w:szCs w:val="19"/>
        </w:rPr>
        <w:t xml:space="preserve"> </w:t>
      </w:r>
      <w:proofErr w:type="spellStart"/>
      <w:r w:rsidRPr="00046FD0">
        <w:rPr>
          <w:rFonts w:ascii="Arial" w:hAnsi="Arial" w:cs="Arial"/>
          <w:i/>
          <w:iCs/>
          <w:color w:val="000000" w:themeColor="text1"/>
          <w:sz w:val="19"/>
          <w:szCs w:val="19"/>
          <w:lang w:val="es-ES"/>
        </w:rPr>
        <w:t>Ibíd</w:t>
      </w:r>
      <w:proofErr w:type="spellEnd"/>
      <w:r w:rsidRPr="00046FD0">
        <w:rPr>
          <w:rFonts w:ascii="Arial" w:hAnsi="Arial" w:cs="Arial"/>
          <w:color w:val="000000" w:themeColor="text1"/>
          <w:sz w:val="19"/>
          <w:szCs w:val="19"/>
          <w:lang w:val="es-ES"/>
        </w:rPr>
        <w:t>.</w:t>
      </w:r>
    </w:p>
    <w:p w14:paraId="489E864A" w14:textId="77777777" w:rsidR="00AB7DC5" w:rsidRPr="00046FD0" w:rsidRDefault="00AB7DC5" w:rsidP="00AB7DC5">
      <w:pPr>
        <w:pStyle w:val="Textonotapie"/>
        <w:ind w:firstLine="709"/>
        <w:jc w:val="both"/>
        <w:rPr>
          <w:rFonts w:ascii="Arial" w:hAnsi="Arial" w:cs="Arial"/>
          <w:color w:val="000000" w:themeColor="text1"/>
          <w:sz w:val="19"/>
          <w:szCs w:val="19"/>
          <w:lang w:val="es-ES"/>
        </w:rPr>
      </w:pPr>
    </w:p>
  </w:footnote>
  <w:footnote w:id="32">
    <w:p w14:paraId="0492A804" w14:textId="77777777" w:rsidR="00AB7DC5" w:rsidRDefault="00AB7DC5" w:rsidP="00AB7DC5">
      <w:pPr>
        <w:pStyle w:val="Textonotapie"/>
        <w:ind w:firstLine="709"/>
        <w:jc w:val="both"/>
        <w:rPr>
          <w:rFonts w:ascii="Arial" w:hAnsi="Arial" w:cs="Arial"/>
          <w:color w:val="000000" w:themeColor="text1"/>
          <w:sz w:val="19"/>
          <w:szCs w:val="19"/>
          <w:lang w:val="es-ES"/>
        </w:rPr>
      </w:pPr>
      <w:r w:rsidRPr="00046FD0">
        <w:rPr>
          <w:rStyle w:val="Refdenotaalpie"/>
          <w:rFonts w:ascii="Arial" w:hAnsi="Arial" w:cs="Arial"/>
          <w:color w:val="000000" w:themeColor="text1"/>
          <w:sz w:val="19"/>
          <w:szCs w:val="19"/>
        </w:rPr>
        <w:footnoteRef/>
      </w:r>
      <w:r w:rsidRPr="00046FD0">
        <w:rPr>
          <w:rFonts w:ascii="Arial" w:hAnsi="Arial" w:cs="Arial"/>
          <w:color w:val="000000" w:themeColor="text1"/>
          <w:sz w:val="19"/>
          <w:szCs w:val="19"/>
        </w:rPr>
        <w:t xml:space="preserve"> </w:t>
      </w:r>
      <w:proofErr w:type="spellStart"/>
      <w:r w:rsidRPr="00046FD0">
        <w:rPr>
          <w:rFonts w:ascii="Arial" w:hAnsi="Arial" w:cs="Arial"/>
          <w:i/>
          <w:iCs/>
          <w:color w:val="000000" w:themeColor="text1"/>
          <w:sz w:val="19"/>
          <w:szCs w:val="19"/>
          <w:lang w:val="es-ES"/>
        </w:rPr>
        <w:t>Ibíd</w:t>
      </w:r>
      <w:proofErr w:type="spellEnd"/>
      <w:r w:rsidRPr="00046FD0">
        <w:rPr>
          <w:rFonts w:ascii="Arial" w:hAnsi="Arial" w:cs="Arial"/>
          <w:color w:val="000000" w:themeColor="text1"/>
          <w:sz w:val="19"/>
          <w:szCs w:val="19"/>
          <w:lang w:val="es-ES"/>
        </w:rPr>
        <w:t>.</w:t>
      </w:r>
    </w:p>
    <w:p w14:paraId="094460D9" w14:textId="77777777" w:rsidR="00AB7DC5" w:rsidRPr="00046FD0" w:rsidRDefault="00AB7DC5" w:rsidP="00AB7DC5">
      <w:pPr>
        <w:pStyle w:val="Textonotapie"/>
        <w:ind w:firstLine="709"/>
        <w:jc w:val="both"/>
        <w:rPr>
          <w:rFonts w:ascii="Arial" w:hAnsi="Arial" w:cs="Arial"/>
          <w:color w:val="000000" w:themeColor="text1"/>
          <w:sz w:val="19"/>
          <w:szCs w:val="19"/>
          <w:lang w:val="es-ES"/>
        </w:rPr>
      </w:pPr>
    </w:p>
  </w:footnote>
  <w:footnote w:id="33">
    <w:p w14:paraId="0E4635E3" w14:textId="7675AAC6" w:rsidR="001D5867" w:rsidRPr="001D5867" w:rsidRDefault="00251A6F" w:rsidP="00D62F3A">
      <w:pPr>
        <w:pStyle w:val="Textonotapie"/>
        <w:ind w:firstLine="708"/>
        <w:jc w:val="both"/>
        <w:rPr>
          <w:rFonts w:ascii="Arial" w:hAnsi="Arial" w:cs="Arial"/>
          <w:sz w:val="19"/>
          <w:szCs w:val="19"/>
        </w:rPr>
      </w:pPr>
      <w:r w:rsidRPr="00D62F3A">
        <w:rPr>
          <w:rStyle w:val="Refdenotaalpie"/>
          <w:rFonts w:ascii="Arial" w:hAnsi="Arial" w:cs="Arial"/>
          <w:sz w:val="19"/>
          <w:szCs w:val="19"/>
        </w:rPr>
        <w:footnoteRef/>
      </w:r>
      <w:r w:rsidRPr="00D62F3A">
        <w:rPr>
          <w:rFonts w:ascii="Arial" w:hAnsi="Arial" w:cs="Arial"/>
          <w:sz w:val="19"/>
          <w:szCs w:val="19"/>
        </w:rPr>
        <w:t xml:space="preserve"> </w:t>
      </w:r>
      <w:r w:rsidR="001D5867">
        <w:rPr>
          <w:rFonts w:ascii="Arial" w:hAnsi="Arial" w:cs="Arial"/>
          <w:sz w:val="19"/>
          <w:szCs w:val="19"/>
        </w:rPr>
        <w:t>La norma dispone lo siguiente: «</w:t>
      </w:r>
      <w:r w:rsidR="001D5867" w:rsidRPr="001D5867">
        <w:rPr>
          <w:rFonts w:ascii="Arial" w:hAnsi="Arial" w:cs="Arial"/>
          <w:sz w:val="19"/>
          <w:szCs w:val="19"/>
        </w:rPr>
        <w:t>Los contratos de prestación de servicios con personas naturales o jurídicas, sólo se podrán celebrar cuando no exista personal de planta con capacidad para realizar las actividades que se contratarán.</w:t>
      </w:r>
    </w:p>
    <w:p w14:paraId="7F6BC908" w14:textId="20211191" w:rsidR="001D5867" w:rsidRPr="001D5867" w:rsidRDefault="001D5867" w:rsidP="00D62F3A">
      <w:pPr>
        <w:pStyle w:val="Textonotapie"/>
        <w:ind w:firstLine="708"/>
        <w:jc w:val="both"/>
        <w:rPr>
          <w:rFonts w:ascii="Arial" w:hAnsi="Arial" w:cs="Arial"/>
          <w:sz w:val="19"/>
          <w:szCs w:val="19"/>
        </w:rPr>
      </w:pPr>
      <w:r>
        <w:rPr>
          <w:rFonts w:ascii="Arial" w:hAnsi="Arial" w:cs="Arial"/>
          <w:sz w:val="19"/>
          <w:szCs w:val="19"/>
        </w:rPr>
        <w:t>»</w:t>
      </w:r>
      <w:r w:rsidRPr="001D5867">
        <w:rPr>
          <w:rFonts w:ascii="Arial" w:hAnsi="Arial" w:cs="Arial"/>
          <w:sz w:val="19"/>
          <w:szCs w:val="19"/>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w:t>
      </w:r>
    </w:p>
    <w:p w14:paraId="6D899E0B" w14:textId="60D15E18" w:rsidR="00251A6F" w:rsidRDefault="001D5867" w:rsidP="001D5867">
      <w:pPr>
        <w:pStyle w:val="Textonotapie"/>
        <w:ind w:firstLine="708"/>
        <w:jc w:val="both"/>
        <w:rPr>
          <w:rFonts w:ascii="Arial" w:hAnsi="Arial" w:cs="Arial"/>
          <w:sz w:val="19"/>
          <w:szCs w:val="19"/>
        </w:rPr>
      </w:pPr>
      <w:r>
        <w:rPr>
          <w:rFonts w:ascii="Arial" w:hAnsi="Arial" w:cs="Arial"/>
          <w:sz w:val="19"/>
          <w:szCs w:val="19"/>
        </w:rPr>
        <w:t>»</w:t>
      </w:r>
      <w:r w:rsidRPr="001D5867">
        <w:rPr>
          <w:rFonts w:ascii="Arial" w:hAnsi="Arial" w:cs="Arial"/>
          <w:sz w:val="19"/>
          <w:szCs w:val="19"/>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r>
        <w:rPr>
          <w:rFonts w:ascii="Arial" w:hAnsi="Arial" w:cs="Arial"/>
          <w:sz w:val="19"/>
          <w:szCs w:val="19"/>
        </w:rPr>
        <w:t>».</w:t>
      </w:r>
    </w:p>
    <w:p w14:paraId="7B244807" w14:textId="77777777" w:rsidR="00FF12B9" w:rsidRPr="00D62F3A" w:rsidRDefault="00FF12B9" w:rsidP="00D62F3A">
      <w:pPr>
        <w:pStyle w:val="Textonotapie"/>
        <w:jc w:val="both"/>
        <w:rPr>
          <w:rFonts w:ascii="Arial" w:hAnsi="Arial" w:cs="Arial"/>
          <w:sz w:val="19"/>
          <w:szCs w:val="19"/>
        </w:rPr>
      </w:pPr>
    </w:p>
  </w:footnote>
  <w:footnote w:id="34">
    <w:p w14:paraId="4F234CA0" w14:textId="3EF2D308" w:rsidR="00382CE2" w:rsidRPr="00D62F3A" w:rsidRDefault="00382CE2" w:rsidP="00D62F3A">
      <w:pPr>
        <w:pStyle w:val="Textonotapie"/>
        <w:ind w:firstLine="708"/>
        <w:jc w:val="both"/>
        <w:rPr>
          <w:rFonts w:ascii="Arial" w:hAnsi="Arial" w:cs="Arial"/>
          <w:sz w:val="19"/>
          <w:szCs w:val="19"/>
        </w:rPr>
      </w:pPr>
      <w:r w:rsidRPr="00D62F3A">
        <w:rPr>
          <w:rStyle w:val="Refdenotaalpie"/>
          <w:rFonts w:ascii="Arial" w:hAnsi="Arial" w:cs="Arial"/>
          <w:sz w:val="19"/>
          <w:szCs w:val="19"/>
        </w:rPr>
        <w:footnoteRef/>
      </w:r>
      <w:r w:rsidRPr="00D62F3A">
        <w:rPr>
          <w:rFonts w:ascii="Arial" w:hAnsi="Arial" w:cs="Arial"/>
          <w:sz w:val="19"/>
          <w:szCs w:val="19"/>
        </w:rPr>
        <w:t xml:space="preserve"> </w:t>
      </w:r>
      <w:r w:rsidR="000A355B" w:rsidRPr="000A355B">
        <w:rPr>
          <w:rFonts w:ascii="Arial" w:hAnsi="Arial" w:cs="Arial"/>
          <w:sz w:val="19"/>
          <w:szCs w:val="19"/>
        </w:rPr>
        <w:t>El último inciso del artículo 2.8.4.4.5 del Decreto 1068 de 2015 dispone que no es posible que se celebren contratos de prestación de servicios con objeto similar a otros que se encuentren vigentes. Sin embargo, la excepción a esta prohibición general está condicionada a la existencia de una autorización expresa por parte del «jefe del respectivo órgano, ente o entidad contratante». Así las cosas, siempre que se cumpla la disposición normativa citada, nada impide que se celebren contratos de prestación de servicios con objeto, actividades y tiempos similares a otros que se encuentren vigentes si se expide la mencionada autorización.</w:t>
      </w:r>
    </w:p>
  </w:footnote>
  <w:footnote w:id="35">
    <w:p w14:paraId="46FDF75E" w14:textId="63316D7B" w:rsidR="00AF010B" w:rsidRDefault="00AF010B" w:rsidP="00D62F3A">
      <w:pPr>
        <w:pStyle w:val="Textonotapie"/>
        <w:ind w:firstLine="708"/>
        <w:jc w:val="both"/>
        <w:rPr>
          <w:rFonts w:ascii="Arial" w:hAnsi="Arial" w:cs="Arial"/>
          <w:sz w:val="19"/>
          <w:szCs w:val="19"/>
        </w:rPr>
      </w:pPr>
      <w:r w:rsidRPr="00D62F3A">
        <w:rPr>
          <w:rStyle w:val="Refdenotaalpie"/>
          <w:rFonts w:ascii="Arial" w:hAnsi="Arial" w:cs="Arial"/>
          <w:sz w:val="19"/>
          <w:szCs w:val="19"/>
        </w:rPr>
        <w:footnoteRef/>
      </w:r>
      <w:r w:rsidRPr="00D62F3A">
        <w:rPr>
          <w:rFonts w:ascii="Arial" w:hAnsi="Arial" w:cs="Arial"/>
          <w:sz w:val="19"/>
          <w:szCs w:val="19"/>
        </w:rPr>
        <w:t xml:space="preserve"> </w:t>
      </w:r>
      <w:r w:rsidRPr="00AF010B">
        <w:rPr>
          <w:rFonts w:ascii="Arial" w:hAnsi="Arial" w:cs="Arial"/>
          <w:sz w:val="19"/>
          <w:szCs w:val="19"/>
        </w:rPr>
        <w:t>Así las cosas, respecto a si un particular puede tener varios contratos de prestación servicios en una entidad, el Consejo de Estado en concepto de la Sala de Consulta y Servicio Civil, radicación No 1344 de mayo 10 de 2001, Consejero Ponente Flavio Augusto Rodríguez Arce, relativo al artículo 128 de la Carta Política, expresó:</w:t>
      </w:r>
      <w:r w:rsidR="00F84373">
        <w:rPr>
          <w:rFonts w:ascii="Arial" w:hAnsi="Arial" w:cs="Arial"/>
          <w:sz w:val="19"/>
          <w:szCs w:val="19"/>
        </w:rPr>
        <w:t xml:space="preserve"> «</w:t>
      </w:r>
      <w:r w:rsidRPr="00AF010B">
        <w:rPr>
          <w:rFonts w:ascii="Arial" w:hAnsi="Arial" w:cs="Arial"/>
          <w:sz w:val="19"/>
          <w:szCs w:val="19"/>
        </w:rPr>
        <w:t xml:space="preserve">[…]  los artículos 128 de la Constitución Política y 19 de la ley 4a de 1992, no son aplicables al particular que celebra contratos con una entidad estatal. No sobra advertir, que no existe norma que establezca incompatibilidad al respecto por lo que, conforme al artículo 6° constitucional, al particular contratista sólo le es exigible la responsabilidad ante las autoridades por infringir la Constitución y la ley, en los términos que ellas señalen, circunstancia que impide, por lo demás, toda aplicación analógica o extensiva de las prohibiciones establecidas para los servidores públicos Por lo demás, el artículo 8° </w:t>
      </w:r>
      <w:proofErr w:type="spellStart"/>
      <w:r w:rsidRPr="00AF010B">
        <w:rPr>
          <w:rFonts w:ascii="Arial" w:hAnsi="Arial" w:cs="Arial"/>
          <w:sz w:val="19"/>
          <w:szCs w:val="19"/>
        </w:rPr>
        <w:t>ibídem</w:t>
      </w:r>
      <w:proofErr w:type="spellEnd"/>
      <w:r w:rsidRPr="00AF010B">
        <w:rPr>
          <w:rFonts w:ascii="Arial" w:hAnsi="Arial" w:cs="Arial"/>
          <w:sz w:val="19"/>
          <w:szCs w:val="19"/>
        </w:rPr>
        <w:t xml:space="preserve"> regula lo relativo a las inhabilidades e incompatibilidades para participar en licitaciones o concursos y para celebrar contratos con las entidades estatales. Estas mismas razones explican la inexistencia de incompatibilidad para que una misma persona natural celebre más de un contrato de prestación de servicios</w:t>
      </w:r>
      <w:r w:rsidR="00F84373">
        <w:rPr>
          <w:rFonts w:ascii="Arial" w:hAnsi="Arial" w:cs="Arial"/>
          <w:sz w:val="19"/>
          <w:szCs w:val="19"/>
        </w:rPr>
        <w:t>»</w:t>
      </w:r>
      <w:r w:rsidRPr="00AF010B">
        <w:rPr>
          <w:rFonts w:ascii="Arial" w:hAnsi="Arial" w:cs="Arial"/>
          <w:sz w:val="19"/>
          <w:szCs w:val="19"/>
        </w:rPr>
        <w:t>.</w:t>
      </w:r>
    </w:p>
    <w:p w14:paraId="17CBB3DD" w14:textId="77777777" w:rsidR="00AF010B" w:rsidRPr="00D62F3A" w:rsidRDefault="00AF010B" w:rsidP="00D62F3A">
      <w:pPr>
        <w:pStyle w:val="Textonotapie"/>
        <w:ind w:firstLine="708"/>
        <w:rPr>
          <w:rFonts w:ascii="Arial" w:hAnsi="Arial" w:cs="Arial"/>
          <w:sz w:val="19"/>
          <w:szCs w:val="19"/>
        </w:rPr>
      </w:pPr>
    </w:p>
  </w:footnote>
  <w:footnote w:id="36">
    <w:p w14:paraId="32B21611" w14:textId="77777777" w:rsidR="00E419C7" w:rsidRPr="007C17EA" w:rsidRDefault="00E419C7" w:rsidP="00025292">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Así lo ha reconocido la doctrina: «Por otra parte, la reglamentación de la prestación de servicios comprende una paleta normativa que busca limitar la tergiversación de este tipo de contratos en beneficio de las </w:t>
      </w:r>
      <w:r w:rsidRPr="007C17EA">
        <w:rPr>
          <w:rFonts w:ascii="Arial" w:hAnsi="Arial" w:cs="Arial"/>
          <w:i/>
          <w:color w:val="000000" w:themeColor="text1"/>
          <w:sz w:val="19"/>
          <w:szCs w:val="19"/>
          <w:lang w:val="es-ES"/>
        </w:rPr>
        <w:t>nóminas paralelas</w:t>
      </w:r>
      <w:r w:rsidRPr="007C17EA">
        <w:rPr>
          <w:rFonts w:ascii="Arial" w:hAnsi="Arial" w:cs="Arial"/>
          <w:color w:val="000000" w:themeColor="text1"/>
          <w:sz w:val="19"/>
          <w:szCs w:val="19"/>
          <w:lang w:val="es-ES"/>
        </w:rPr>
        <w:t>, como práctica de substitución de los empleos públicos por prestadores de servicios, y las sanciones disciplinarias por entregar a contratistas el ejercicio permanente de funciones administrativas, que implican ejercicio de prerrogativas de poder público, complementadas en la responsabilidad fiscal y personal de los funcionarios» (BENAVIDES, José Luis. Contrato de prestación de servicios. Difícil delimitación frente al contrato realidad. En: Contratos público. Estudios. Bogotá: Universidad Externado de Colombia, 2014. pp. 311-312).</w:t>
      </w:r>
    </w:p>
  </w:footnote>
  <w:footnote w:id="37">
    <w:p w14:paraId="640DA035" w14:textId="77777777" w:rsidR="007139E3" w:rsidRDefault="007139E3" w:rsidP="007139E3">
      <w:pPr>
        <w:pStyle w:val="Textonotapie"/>
        <w:ind w:firstLine="708"/>
        <w:jc w:val="both"/>
        <w:rPr>
          <w:rFonts w:ascii="Arial" w:hAnsi="Arial" w:cs="Arial"/>
          <w:sz w:val="19"/>
          <w:szCs w:val="19"/>
        </w:rPr>
      </w:pPr>
      <w:r w:rsidRPr="006C37BE">
        <w:rPr>
          <w:rStyle w:val="Refdenotaalpie"/>
          <w:rFonts w:ascii="Arial" w:hAnsi="Arial" w:cs="Arial"/>
          <w:sz w:val="19"/>
          <w:szCs w:val="19"/>
        </w:rPr>
        <w:footnoteRef/>
      </w:r>
      <w:r w:rsidRPr="006C37BE">
        <w:rPr>
          <w:rFonts w:ascii="Arial" w:hAnsi="Arial" w:cs="Arial"/>
          <w:sz w:val="19"/>
          <w:szCs w:val="19"/>
        </w:rPr>
        <w:t xml:space="preserve"> </w:t>
      </w:r>
      <w:r w:rsidRPr="00AF010B">
        <w:rPr>
          <w:rFonts w:ascii="Arial" w:hAnsi="Arial" w:cs="Arial"/>
          <w:sz w:val="19"/>
          <w:szCs w:val="19"/>
        </w:rPr>
        <w:t>Así las cosas, respecto a si un particular puede tener varios contratos de prestación servicios en una entidad, el Consejo de Estado en concepto de la Sala de Consulta y Servicio Civil, radicación No 1344 de mayo 10 de 2001, Consejero Ponente Flavio Augusto Rodríguez Arce, relativo al artículo 128 de la Carta Política, expresó:</w:t>
      </w:r>
      <w:r>
        <w:rPr>
          <w:rFonts w:ascii="Arial" w:hAnsi="Arial" w:cs="Arial"/>
          <w:sz w:val="19"/>
          <w:szCs w:val="19"/>
        </w:rPr>
        <w:t xml:space="preserve"> «</w:t>
      </w:r>
      <w:r w:rsidRPr="00AF010B">
        <w:rPr>
          <w:rFonts w:ascii="Arial" w:hAnsi="Arial" w:cs="Arial"/>
          <w:sz w:val="19"/>
          <w:szCs w:val="19"/>
        </w:rPr>
        <w:t xml:space="preserve">[…]  los artículos 128 de la Constitución Política y 19 de la ley 4a de 1992, no son aplicables al particular que celebra contratos con una entidad estatal. No sobra advertir, que no existe norma que establezca incompatibilidad al respecto por lo que, conforme al artículo 6° constitucional, al particular contratista sólo le es exigible la responsabilidad ante las autoridades por infringir la Constitución y la ley, en los términos que ellas señalen, circunstancia que impide, por lo demás, toda aplicación analógica o extensiva de las prohibiciones establecidas para los servidores públicos Por lo demás, el artículo 8° </w:t>
      </w:r>
      <w:proofErr w:type="spellStart"/>
      <w:r w:rsidRPr="00AF010B">
        <w:rPr>
          <w:rFonts w:ascii="Arial" w:hAnsi="Arial" w:cs="Arial"/>
          <w:sz w:val="19"/>
          <w:szCs w:val="19"/>
        </w:rPr>
        <w:t>ibídem</w:t>
      </w:r>
      <w:proofErr w:type="spellEnd"/>
      <w:r w:rsidRPr="00AF010B">
        <w:rPr>
          <w:rFonts w:ascii="Arial" w:hAnsi="Arial" w:cs="Arial"/>
          <w:sz w:val="19"/>
          <w:szCs w:val="19"/>
        </w:rPr>
        <w:t xml:space="preserve"> regula lo relativo a las inhabilidades e incompatibilidades para participar en licitaciones o concursos y para celebrar contratos con las entidades estatales. Estas mismas razones explican la inexistencia de incompatibilidad para que una misma persona natural celebre más de un contrato de prestación de servicios</w:t>
      </w:r>
      <w:r>
        <w:rPr>
          <w:rFonts w:ascii="Arial" w:hAnsi="Arial" w:cs="Arial"/>
          <w:sz w:val="19"/>
          <w:szCs w:val="19"/>
        </w:rPr>
        <w:t>»</w:t>
      </w:r>
      <w:r w:rsidRPr="00AF010B">
        <w:rPr>
          <w:rFonts w:ascii="Arial" w:hAnsi="Arial" w:cs="Arial"/>
          <w:sz w:val="19"/>
          <w:szCs w:val="19"/>
        </w:rPr>
        <w:t>.</w:t>
      </w:r>
    </w:p>
    <w:p w14:paraId="79C80C48" w14:textId="77777777" w:rsidR="007139E3" w:rsidRPr="006C37BE" w:rsidRDefault="007139E3" w:rsidP="007139E3">
      <w:pPr>
        <w:pStyle w:val="Textonotapie"/>
        <w:ind w:firstLine="708"/>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0854" w:rsidRDefault="007B0854">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69ACB2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358191104">
    <w:abstractNumId w:val="2"/>
  </w:num>
  <w:num w:numId="2" w16cid:durableId="1013385484">
    <w:abstractNumId w:val="1"/>
  </w:num>
  <w:num w:numId="3" w16cid:durableId="1708871268">
    <w:abstractNumId w:val="3"/>
  </w:num>
  <w:num w:numId="4" w16cid:durableId="1356884091">
    <w:abstractNumId w:val="4"/>
  </w:num>
  <w:num w:numId="5" w16cid:durableId="1141649764">
    <w:abstractNumId w:val="6"/>
  </w:num>
  <w:num w:numId="6" w16cid:durableId="162839149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9747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6AF8"/>
    <w:rsid w:val="00020D3A"/>
    <w:rsid w:val="00025292"/>
    <w:rsid w:val="00027C8A"/>
    <w:rsid w:val="00031CFD"/>
    <w:rsid w:val="000449A2"/>
    <w:rsid w:val="00052E6D"/>
    <w:rsid w:val="0005695F"/>
    <w:rsid w:val="00061CA6"/>
    <w:rsid w:val="00062363"/>
    <w:rsid w:val="0006499F"/>
    <w:rsid w:val="000668F2"/>
    <w:rsid w:val="00067C41"/>
    <w:rsid w:val="00083784"/>
    <w:rsid w:val="00083BF8"/>
    <w:rsid w:val="00084AA0"/>
    <w:rsid w:val="00084B97"/>
    <w:rsid w:val="00085147"/>
    <w:rsid w:val="000921C6"/>
    <w:rsid w:val="000942EB"/>
    <w:rsid w:val="00096EE0"/>
    <w:rsid w:val="000972D5"/>
    <w:rsid w:val="000A355B"/>
    <w:rsid w:val="000B103F"/>
    <w:rsid w:val="000B6F0F"/>
    <w:rsid w:val="000B71E4"/>
    <w:rsid w:val="000C0D40"/>
    <w:rsid w:val="000C79C2"/>
    <w:rsid w:val="000E3936"/>
    <w:rsid w:val="000F14E8"/>
    <w:rsid w:val="00103915"/>
    <w:rsid w:val="00122B23"/>
    <w:rsid w:val="00137885"/>
    <w:rsid w:val="00137FFA"/>
    <w:rsid w:val="00150BAE"/>
    <w:rsid w:val="00155152"/>
    <w:rsid w:val="00157123"/>
    <w:rsid w:val="00157A04"/>
    <w:rsid w:val="001659D9"/>
    <w:rsid w:val="001704FF"/>
    <w:rsid w:val="00170956"/>
    <w:rsid w:val="00172475"/>
    <w:rsid w:val="00172D04"/>
    <w:rsid w:val="00181317"/>
    <w:rsid w:val="00191592"/>
    <w:rsid w:val="001A1DAC"/>
    <w:rsid w:val="001A7081"/>
    <w:rsid w:val="001B0444"/>
    <w:rsid w:val="001C21DA"/>
    <w:rsid w:val="001C7E97"/>
    <w:rsid w:val="001D4B66"/>
    <w:rsid w:val="001D5867"/>
    <w:rsid w:val="001E33D7"/>
    <w:rsid w:val="001E60CB"/>
    <w:rsid w:val="001E78E9"/>
    <w:rsid w:val="001F34D4"/>
    <w:rsid w:val="001F4336"/>
    <w:rsid w:val="001F71C5"/>
    <w:rsid w:val="001F7D57"/>
    <w:rsid w:val="0020632A"/>
    <w:rsid w:val="002110EB"/>
    <w:rsid w:val="00211338"/>
    <w:rsid w:val="002233B1"/>
    <w:rsid w:val="002240E7"/>
    <w:rsid w:val="002306FF"/>
    <w:rsid w:val="00234B84"/>
    <w:rsid w:val="002457A1"/>
    <w:rsid w:val="00251A6F"/>
    <w:rsid w:val="00260F08"/>
    <w:rsid w:val="00260F10"/>
    <w:rsid w:val="002640BA"/>
    <w:rsid w:val="00287CAD"/>
    <w:rsid w:val="00292756"/>
    <w:rsid w:val="00293F87"/>
    <w:rsid w:val="002A11F2"/>
    <w:rsid w:val="002B3902"/>
    <w:rsid w:val="002C03BC"/>
    <w:rsid w:val="002C4C0C"/>
    <w:rsid w:val="002C4D47"/>
    <w:rsid w:val="002C59E6"/>
    <w:rsid w:val="002C6195"/>
    <w:rsid w:val="002C680C"/>
    <w:rsid w:val="002C7F9C"/>
    <w:rsid w:val="002D2E4E"/>
    <w:rsid w:val="002D6C6B"/>
    <w:rsid w:val="002E4FAE"/>
    <w:rsid w:val="002F1A14"/>
    <w:rsid w:val="002F292D"/>
    <w:rsid w:val="002F454C"/>
    <w:rsid w:val="00301184"/>
    <w:rsid w:val="003033BA"/>
    <w:rsid w:val="003074AE"/>
    <w:rsid w:val="00314F59"/>
    <w:rsid w:val="00322937"/>
    <w:rsid w:val="00322ECA"/>
    <w:rsid w:val="00325E6F"/>
    <w:rsid w:val="00336972"/>
    <w:rsid w:val="0034177C"/>
    <w:rsid w:val="00341F9D"/>
    <w:rsid w:val="00343C4B"/>
    <w:rsid w:val="0034677C"/>
    <w:rsid w:val="0034680A"/>
    <w:rsid w:val="00353DD5"/>
    <w:rsid w:val="00371784"/>
    <w:rsid w:val="0037540C"/>
    <w:rsid w:val="00382CE2"/>
    <w:rsid w:val="00385962"/>
    <w:rsid w:val="00386456"/>
    <w:rsid w:val="00396FE0"/>
    <w:rsid w:val="003A0878"/>
    <w:rsid w:val="003A2753"/>
    <w:rsid w:val="003A581E"/>
    <w:rsid w:val="003C24CD"/>
    <w:rsid w:val="003C63A9"/>
    <w:rsid w:val="003D000D"/>
    <w:rsid w:val="003D2E2C"/>
    <w:rsid w:val="003F3468"/>
    <w:rsid w:val="0040604B"/>
    <w:rsid w:val="00412C63"/>
    <w:rsid w:val="00417788"/>
    <w:rsid w:val="00423F9F"/>
    <w:rsid w:val="004267EF"/>
    <w:rsid w:val="00427331"/>
    <w:rsid w:val="00433D53"/>
    <w:rsid w:val="004422D6"/>
    <w:rsid w:val="004460E2"/>
    <w:rsid w:val="004569DB"/>
    <w:rsid w:val="0045748F"/>
    <w:rsid w:val="004644A2"/>
    <w:rsid w:val="004664BE"/>
    <w:rsid w:val="00471AD5"/>
    <w:rsid w:val="00473979"/>
    <w:rsid w:val="0048136F"/>
    <w:rsid w:val="00484FB7"/>
    <w:rsid w:val="0049094E"/>
    <w:rsid w:val="0049241A"/>
    <w:rsid w:val="00492A9F"/>
    <w:rsid w:val="004A182F"/>
    <w:rsid w:val="004A34D2"/>
    <w:rsid w:val="004B1996"/>
    <w:rsid w:val="004C4E49"/>
    <w:rsid w:val="004E2176"/>
    <w:rsid w:val="004E5EAC"/>
    <w:rsid w:val="004F5DE5"/>
    <w:rsid w:val="0051074C"/>
    <w:rsid w:val="00513AF2"/>
    <w:rsid w:val="005178B0"/>
    <w:rsid w:val="0052039C"/>
    <w:rsid w:val="00524DA0"/>
    <w:rsid w:val="005321A6"/>
    <w:rsid w:val="0054413A"/>
    <w:rsid w:val="00550797"/>
    <w:rsid w:val="005564CA"/>
    <w:rsid w:val="0056182B"/>
    <w:rsid w:val="005756AA"/>
    <w:rsid w:val="00596405"/>
    <w:rsid w:val="005A66E5"/>
    <w:rsid w:val="005A692D"/>
    <w:rsid w:val="005C0573"/>
    <w:rsid w:val="005C1218"/>
    <w:rsid w:val="005C2447"/>
    <w:rsid w:val="005D0F03"/>
    <w:rsid w:val="005D3341"/>
    <w:rsid w:val="005D51FA"/>
    <w:rsid w:val="005D791B"/>
    <w:rsid w:val="005F60BA"/>
    <w:rsid w:val="006010F7"/>
    <w:rsid w:val="00607492"/>
    <w:rsid w:val="00611B77"/>
    <w:rsid w:val="00612C7B"/>
    <w:rsid w:val="00614817"/>
    <w:rsid w:val="00617FF2"/>
    <w:rsid w:val="00621ED3"/>
    <w:rsid w:val="00622A3C"/>
    <w:rsid w:val="00633DBF"/>
    <w:rsid w:val="006344B7"/>
    <w:rsid w:val="00640AEF"/>
    <w:rsid w:val="006426BC"/>
    <w:rsid w:val="00644C0A"/>
    <w:rsid w:val="00655371"/>
    <w:rsid w:val="00657704"/>
    <w:rsid w:val="00660B1A"/>
    <w:rsid w:val="006636B5"/>
    <w:rsid w:val="00663C10"/>
    <w:rsid w:val="00665AA7"/>
    <w:rsid w:val="00676193"/>
    <w:rsid w:val="006775BB"/>
    <w:rsid w:val="0069015F"/>
    <w:rsid w:val="006911AD"/>
    <w:rsid w:val="006967F3"/>
    <w:rsid w:val="00697665"/>
    <w:rsid w:val="006A7CB5"/>
    <w:rsid w:val="006A7FD0"/>
    <w:rsid w:val="006B3FCA"/>
    <w:rsid w:val="006B60C8"/>
    <w:rsid w:val="006B73CA"/>
    <w:rsid w:val="006C1C9E"/>
    <w:rsid w:val="006D687F"/>
    <w:rsid w:val="006D7687"/>
    <w:rsid w:val="006E0572"/>
    <w:rsid w:val="006E52DB"/>
    <w:rsid w:val="006F2A69"/>
    <w:rsid w:val="00700267"/>
    <w:rsid w:val="00705631"/>
    <w:rsid w:val="00705F07"/>
    <w:rsid w:val="00710F6E"/>
    <w:rsid w:val="007139E3"/>
    <w:rsid w:val="00715EAA"/>
    <w:rsid w:val="0072288F"/>
    <w:rsid w:val="0073456B"/>
    <w:rsid w:val="00742DD2"/>
    <w:rsid w:val="00744634"/>
    <w:rsid w:val="00746E08"/>
    <w:rsid w:val="00747C96"/>
    <w:rsid w:val="0075094E"/>
    <w:rsid w:val="00751504"/>
    <w:rsid w:val="007522E8"/>
    <w:rsid w:val="0075647A"/>
    <w:rsid w:val="007634AD"/>
    <w:rsid w:val="00772656"/>
    <w:rsid w:val="0078122E"/>
    <w:rsid w:val="00783AC5"/>
    <w:rsid w:val="00786873"/>
    <w:rsid w:val="007868EA"/>
    <w:rsid w:val="00790122"/>
    <w:rsid w:val="00794C87"/>
    <w:rsid w:val="00795647"/>
    <w:rsid w:val="007A4609"/>
    <w:rsid w:val="007A5851"/>
    <w:rsid w:val="007A60EF"/>
    <w:rsid w:val="007B0854"/>
    <w:rsid w:val="007B6F1D"/>
    <w:rsid w:val="007C17EA"/>
    <w:rsid w:val="007C3F63"/>
    <w:rsid w:val="007D7BD9"/>
    <w:rsid w:val="007F4562"/>
    <w:rsid w:val="007F6B46"/>
    <w:rsid w:val="007F72CB"/>
    <w:rsid w:val="00803058"/>
    <w:rsid w:val="00811CB5"/>
    <w:rsid w:val="0081537B"/>
    <w:rsid w:val="008217B7"/>
    <w:rsid w:val="0082723A"/>
    <w:rsid w:val="0083119B"/>
    <w:rsid w:val="00836EAB"/>
    <w:rsid w:val="008465D1"/>
    <w:rsid w:val="0085092D"/>
    <w:rsid w:val="00850F79"/>
    <w:rsid w:val="008517B4"/>
    <w:rsid w:val="00854CFC"/>
    <w:rsid w:val="00870F20"/>
    <w:rsid w:val="00871FD2"/>
    <w:rsid w:val="00882AAB"/>
    <w:rsid w:val="0089078E"/>
    <w:rsid w:val="008929E4"/>
    <w:rsid w:val="0089774F"/>
    <w:rsid w:val="008A55BC"/>
    <w:rsid w:val="008B047A"/>
    <w:rsid w:val="008B5B04"/>
    <w:rsid w:val="008B6FF8"/>
    <w:rsid w:val="008C6F27"/>
    <w:rsid w:val="008D0B5E"/>
    <w:rsid w:val="008D6DE0"/>
    <w:rsid w:val="008D7994"/>
    <w:rsid w:val="008E09CF"/>
    <w:rsid w:val="008E1C15"/>
    <w:rsid w:val="008F538E"/>
    <w:rsid w:val="008F6999"/>
    <w:rsid w:val="009025BE"/>
    <w:rsid w:val="009047C5"/>
    <w:rsid w:val="009058E3"/>
    <w:rsid w:val="00905DDA"/>
    <w:rsid w:val="00923BCA"/>
    <w:rsid w:val="009256D5"/>
    <w:rsid w:val="0094362D"/>
    <w:rsid w:val="0095385A"/>
    <w:rsid w:val="00953E0F"/>
    <w:rsid w:val="00960D5C"/>
    <w:rsid w:val="009616AF"/>
    <w:rsid w:val="00962E23"/>
    <w:rsid w:val="0096318D"/>
    <w:rsid w:val="009661A0"/>
    <w:rsid w:val="00985EFB"/>
    <w:rsid w:val="0099311A"/>
    <w:rsid w:val="0099575F"/>
    <w:rsid w:val="009A7824"/>
    <w:rsid w:val="009B084E"/>
    <w:rsid w:val="009B31C8"/>
    <w:rsid w:val="009D0BBF"/>
    <w:rsid w:val="009E1BE1"/>
    <w:rsid w:val="009E2B8D"/>
    <w:rsid w:val="009F0BB6"/>
    <w:rsid w:val="009F59C2"/>
    <w:rsid w:val="009F5D34"/>
    <w:rsid w:val="00A006AE"/>
    <w:rsid w:val="00A03F19"/>
    <w:rsid w:val="00A0570C"/>
    <w:rsid w:val="00A0759B"/>
    <w:rsid w:val="00A07FC9"/>
    <w:rsid w:val="00A114A5"/>
    <w:rsid w:val="00A114CB"/>
    <w:rsid w:val="00A23E4E"/>
    <w:rsid w:val="00A24560"/>
    <w:rsid w:val="00A278BD"/>
    <w:rsid w:val="00A311B2"/>
    <w:rsid w:val="00A34004"/>
    <w:rsid w:val="00A34538"/>
    <w:rsid w:val="00A346CD"/>
    <w:rsid w:val="00A37FB6"/>
    <w:rsid w:val="00A47EBD"/>
    <w:rsid w:val="00A618EC"/>
    <w:rsid w:val="00A6780A"/>
    <w:rsid w:val="00A754E3"/>
    <w:rsid w:val="00A844F6"/>
    <w:rsid w:val="00A85C07"/>
    <w:rsid w:val="00A910CB"/>
    <w:rsid w:val="00A927B4"/>
    <w:rsid w:val="00A97D21"/>
    <w:rsid w:val="00AA08E7"/>
    <w:rsid w:val="00AA442B"/>
    <w:rsid w:val="00AA669D"/>
    <w:rsid w:val="00AB7DC5"/>
    <w:rsid w:val="00AC21F5"/>
    <w:rsid w:val="00AC7720"/>
    <w:rsid w:val="00AE6036"/>
    <w:rsid w:val="00AE70B1"/>
    <w:rsid w:val="00AF010B"/>
    <w:rsid w:val="00AF6DAE"/>
    <w:rsid w:val="00B030B1"/>
    <w:rsid w:val="00B04007"/>
    <w:rsid w:val="00B05A55"/>
    <w:rsid w:val="00B073F3"/>
    <w:rsid w:val="00B13EC0"/>
    <w:rsid w:val="00B22024"/>
    <w:rsid w:val="00B22E22"/>
    <w:rsid w:val="00B23041"/>
    <w:rsid w:val="00B25ADA"/>
    <w:rsid w:val="00B34705"/>
    <w:rsid w:val="00B36547"/>
    <w:rsid w:val="00B451B3"/>
    <w:rsid w:val="00B460E5"/>
    <w:rsid w:val="00B47318"/>
    <w:rsid w:val="00B50B3F"/>
    <w:rsid w:val="00B525CB"/>
    <w:rsid w:val="00B53D6C"/>
    <w:rsid w:val="00B61357"/>
    <w:rsid w:val="00B6189A"/>
    <w:rsid w:val="00B63872"/>
    <w:rsid w:val="00B63CB2"/>
    <w:rsid w:val="00B64EDB"/>
    <w:rsid w:val="00B66F0B"/>
    <w:rsid w:val="00B7315F"/>
    <w:rsid w:val="00B75A9B"/>
    <w:rsid w:val="00B91B8E"/>
    <w:rsid w:val="00B92156"/>
    <w:rsid w:val="00BA1266"/>
    <w:rsid w:val="00BA4820"/>
    <w:rsid w:val="00BB37F1"/>
    <w:rsid w:val="00BC4CBB"/>
    <w:rsid w:val="00BD1139"/>
    <w:rsid w:val="00BD2DDD"/>
    <w:rsid w:val="00BD3394"/>
    <w:rsid w:val="00BD3D51"/>
    <w:rsid w:val="00BD78FE"/>
    <w:rsid w:val="00BD7ABD"/>
    <w:rsid w:val="00BE194E"/>
    <w:rsid w:val="00BE33E3"/>
    <w:rsid w:val="00BE5842"/>
    <w:rsid w:val="00BF4D87"/>
    <w:rsid w:val="00C1034B"/>
    <w:rsid w:val="00C23295"/>
    <w:rsid w:val="00C358C6"/>
    <w:rsid w:val="00C40E3E"/>
    <w:rsid w:val="00C4503A"/>
    <w:rsid w:val="00C60414"/>
    <w:rsid w:val="00C61D16"/>
    <w:rsid w:val="00C634EA"/>
    <w:rsid w:val="00C65161"/>
    <w:rsid w:val="00C653AC"/>
    <w:rsid w:val="00C67844"/>
    <w:rsid w:val="00C707CB"/>
    <w:rsid w:val="00C80FE9"/>
    <w:rsid w:val="00C86EE2"/>
    <w:rsid w:val="00C91FB2"/>
    <w:rsid w:val="00C93443"/>
    <w:rsid w:val="00CA3543"/>
    <w:rsid w:val="00CA4C54"/>
    <w:rsid w:val="00CC00CD"/>
    <w:rsid w:val="00CC796D"/>
    <w:rsid w:val="00CD078A"/>
    <w:rsid w:val="00CD7ABA"/>
    <w:rsid w:val="00CE6D9E"/>
    <w:rsid w:val="00CE7E4D"/>
    <w:rsid w:val="00CF3B21"/>
    <w:rsid w:val="00D01760"/>
    <w:rsid w:val="00D0513E"/>
    <w:rsid w:val="00D1044A"/>
    <w:rsid w:val="00D16E39"/>
    <w:rsid w:val="00D16FA8"/>
    <w:rsid w:val="00D20AD0"/>
    <w:rsid w:val="00D223B6"/>
    <w:rsid w:val="00D26A74"/>
    <w:rsid w:val="00D361BF"/>
    <w:rsid w:val="00D45313"/>
    <w:rsid w:val="00D4557E"/>
    <w:rsid w:val="00D50465"/>
    <w:rsid w:val="00D55FE5"/>
    <w:rsid w:val="00D56E20"/>
    <w:rsid w:val="00D60327"/>
    <w:rsid w:val="00D62734"/>
    <w:rsid w:val="00D62F3A"/>
    <w:rsid w:val="00D631E3"/>
    <w:rsid w:val="00D64830"/>
    <w:rsid w:val="00D66CC3"/>
    <w:rsid w:val="00D72E9D"/>
    <w:rsid w:val="00D746FD"/>
    <w:rsid w:val="00D82CE5"/>
    <w:rsid w:val="00D91951"/>
    <w:rsid w:val="00D94962"/>
    <w:rsid w:val="00DA5AB1"/>
    <w:rsid w:val="00DB04D4"/>
    <w:rsid w:val="00DB6633"/>
    <w:rsid w:val="00DC06A6"/>
    <w:rsid w:val="00DC2B66"/>
    <w:rsid w:val="00DC62E5"/>
    <w:rsid w:val="00DD6ABE"/>
    <w:rsid w:val="00DD735D"/>
    <w:rsid w:val="00DE3119"/>
    <w:rsid w:val="00DE6E0C"/>
    <w:rsid w:val="00DE74A8"/>
    <w:rsid w:val="00DF0721"/>
    <w:rsid w:val="00DF236B"/>
    <w:rsid w:val="00E04179"/>
    <w:rsid w:val="00E06450"/>
    <w:rsid w:val="00E102A3"/>
    <w:rsid w:val="00E10A7E"/>
    <w:rsid w:val="00E118C0"/>
    <w:rsid w:val="00E11C35"/>
    <w:rsid w:val="00E11ED6"/>
    <w:rsid w:val="00E13AB8"/>
    <w:rsid w:val="00E22816"/>
    <w:rsid w:val="00E25CB3"/>
    <w:rsid w:val="00E33B62"/>
    <w:rsid w:val="00E4143A"/>
    <w:rsid w:val="00E419C7"/>
    <w:rsid w:val="00E6039E"/>
    <w:rsid w:val="00E61AEE"/>
    <w:rsid w:val="00E8110D"/>
    <w:rsid w:val="00E81775"/>
    <w:rsid w:val="00EA0B3F"/>
    <w:rsid w:val="00EC42E8"/>
    <w:rsid w:val="00EC56B6"/>
    <w:rsid w:val="00EC6C6C"/>
    <w:rsid w:val="00ED069A"/>
    <w:rsid w:val="00ED7BFF"/>
    <w:rsid w:val="00EE59B5"/>
    <w:rsid w:val="00F132C2"/>
    <w:rsid w:val="00F15CE6"/>
    <w:rsid w:val="00F23E3A"/>
    <w:rsid w:val="00F31A6E"/>
    <w:rsid w:val="00F431BE"/>
    <w:rsid w:val="00F4662C"/>
    <w:rsid w:val="00F5291B"/>
    <w:rsid w:val="00F603CC"/>
    <w:rsid w:val="00F72043"/>
    <w:rsid w:val="00F77AF2"/>
    <w:rsid w:val="00F8069E"/>
    <w:rsid w:val="00F84230"/>
    <w:rsid w:val="00F84373"/>
    <w:rsid w:val="00F84899"/>
    <w:rsid w:val="00F859F0"/>
    <w:rsid w:val="00F870EF"/>
    <w:rsid w:val="00F87113"/>
    <w:rsid w:val="00F95886"/>
    <w:rsid w:val="00FA039C"/>
    <w:rsid w:val="00FA19FB"/>
    <w:rsid w:val="00FA3EC5"/>
    <w:rsid w:val="00FB1417"/>
    <w:rsid w:val="00FB77C8"/>
    <w:rsid w:val="00FB7FA5"/>
    <w:rsid w:val="00FC1D2E"/>
    <w:rsid w:val="00FC26E7"/>
    <w:rsid w:val="00FC53F2"/>
    <w:rsid w:val="00FE141E"/>
    <w:rsid w:val="00FE180D"/>
    <w:rsid w:val="00FE36B6"/>
    <w:rsid w:val="00FE42ED"/>
    <w:rsid w:val="00FE5201"/>
    <w:rsid w:val="00FF0706"/>
    <w:rsid w:val="00FF12B9"/>
    <w:rsid w:val="00FF711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D42E843C-199F-4F61-BCDD-EA6BA7D0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paragraph" w:customStyle="1" w:styleId="Default">
    <w:name w:val="Default"/>
    <w:rsid w:val="007C3F63"/>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1C7E97"/>
    <w:pPr>
      <w:spacing w:after="160" w:line="240" w:lineRule="exact"/>
    </w:pPr>
    <w:rPr>
      <w:sz w:val="22"/>
      <w:vertAlign w:val="superscript"/>
      <w:lang w:val="es-CO"/>
    </w:rPr>
  </w:style>
  <w:style w:type="paragraph" w:styleId="Revisin">
    <w:name w:val="Revision"/>
    <w:hidden/>
    <w:uiPriority w:val="99"/>
    <w:semiHidden/>
    <w:rsid w:val="005C2447"/>
    <w:pPr>
      <w:spacing w:after="0" w:line="240" w:lineRule="auto"/>
    </w:pPr>
    <w:rPr>
      <w:sz w:val="24"/>
      <w:lang w:val="es-MX"/>
    </w:rPr>
  </w:style>
  <w:style w:type="character" w:customStyle="1" w:styleId="normaltextrun">
    <w:name w:val="normaltextrun"/>
    <w:basedOn w:val="Fuentedeprrafopredeter"/>
    <w:rsid w:val="008D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757653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980424358">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874465042">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5760-4F8F-46AA-94C3-A2CC0F8B2198}">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B6F2393-272F-4B87-8398-3D276DEE1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755E5-4634-45D1-ADFD-A4890D3A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20</Pages>
  <Words>5651</Words>
  <Characters>31084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Edwin Johan Chocontá Quintero</cp:lastModifiedBy>
  <cp:revision>2</cp:revision>
  <cp:lastPrinted>2020-01-30T18:05:00Z</cp:lastPrinted>
  <dcterms:created xsi:type="dcterms:W3CDTF">2022-06-21T21:23:00Z</dcterms:created>
  <dcterms:modified xsi:type="dcterms:W3CDTF">2022-06-21T21:23:00Z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