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8DE9" w14:textId="77777777" w:rsidR="002A3452" w:rsidRPr="00AB628F" w:rsidRDefault="002A3452" w:rsidP="00B32DB2">
      <w:pPr>
        <w:spacing w:before="240" w:line="276" w:lineRule="auto"/>
        <w:jc w:val="right"/>
        <w:rPr>
          <w:rFonts w:ascii="Arial" w:eastAsia="Calibri" w:hAnsi="Arial" w:cs="Arial"/>
          <w:b/>
          <w:bCs/>
          <w:sz w:val="22"/>
        </w:rPr>
      </w:pPr>
      <w:bookmarkStart w:id="0" w:name="_Hlk47949675"/>
      <w:r w:rsidRPr="009A758C">
        <w:rPr>
          <w:rFonts w:ascii="Arial" w:hAnsi="Arial" w:cs="Arial"/>
          <w:b/>
          <w:bCs/>
          <w:sz w:val="16"/>
          <w:szCs w:val="16"/>
          <w:lang w:eastAsia="es-ES"/>
        </w:rPr>
        <w:t>CCE-DES-FM-17</w:t>
      </w:r>
    </w:p>
    <w:bookmarkEnd w:id="0"/>
    <w:p w14:paraId="6E32C85B" w14:textId="77777777" w:rsidR="005526A0" w:rsidRDefault="005526A0" w:rsidP="004F0804">
      <w:pPr>
        <w:tabs>
          <w:tab w:val="left" w:pos="0"/>
        </w:tabs>
        <w:jc w:val="both"/>
        <w:rPr>
          <w:rFonts w:ascii="Arial" w:eastAsia="Calibri" w:hAnsi="Arial" w:cs="Arial"/>
          <w:b/>
          <w:sz w:val="22"/>
          <w:szCs w:val="22"/>
        </w:rPr>
      </w:pPr>
    </w:p>
    <w:p w14:paraId="60DE55F8" w14:textId="761BEDA7" w:rsidR="004F0804" w:rsidRPr="003B2A1E" w:rsidRDefault="004F0804" w:rsidP="004F0804">
      <w:pPr>
        <w:tabs>
          <w:tab w:val="left" w:pos="0"/>
        </w:tabs>
        <w:jc w:val="both"/>
        <w:rPr>
          <w:rFonts w:ascii="Arial" w:eastAsia="Calibri" w:hAnsi="Arial" w:cs="Arial"/>
          <w:b/>
          <w:sz w:val="22"/>
          <w:szCs w:val="22"/>
        </w:rPr>
      </w:pPr>
      <w:r w:rsidRPr="003B2A1E">
        <w:rPr>
          <w:rFonts w:ascii="Arial" w:eastAsia="Calibri" w:hAnsi="Arial" w:cs="Arial"/>
          <w:b/>
          <w:sz w:val="22"/>
          <w:szCs w:val="22"/>
        </w:rPr>
        <w:t xml:space="preserve">CAPACIDAD RESIDUAL – </w:t>
      </w:r>
      <w:r w:rsidR="005526A0">
        <w:rPr>
          <w:rFonts w:ascii="Arial" w:eastAsia="Calibri" w:hAnsi="Arial" w:cs="Arial"/>
          <w:b/>
          <w:sz w:val="22"/>
          <w:szCs w:val="22"/>
        </w:rPr>
        <w:t xml:space="preserve">Definición </w:t>
      </w:r>
      <w:r w:rsidR="005526A0" w:rsidRPr="003B2A1E">
        <w:rPr>
          <w:rFonts w:ascii="Arial" w:eastAsia="Calibri" w:hAnsi="Arial" w:cs="Arial"/>
          <w:b/>
          <w:sz w:val="22"/>
          <w:szCs w:val="22"/>
        </w:rPr>
        <w:t>–</w:t>
      </w:r>
      <w:r w:rsidR="001C2D94">
        <w:rPr>
          <w:rFonts w:ascii="Arial" w:eastAsia="Calibri" w:hAnsi="Arial" w:cs="Arial"/>
          <w:b/>
          <w:bCs/>
          <w:sz w:val="22"/>
          <w:szCs w:val="22"/>
        </w:rPr>
        <w:t xml:space="preserve"> Alcance</w:t>
      </w:r>
    </w:p>
    <w:p w14:paraId="4C94FF75" w14:textId="77777777" w:rsidR="004F0804" w:rsidRDefault="004F0804" w:rsidP="004F0804">
      <w:pPr>
        <w:tabs>
          <w:tab w:val="left" w:pos="0"/>
        </w:tabs>
        <w:jc w:val="both"/>
        <w:rPr>
          <w:rFonts w:ascii="Arial" w:eastAsia="Calibri" w:hAnsi="Arial" w:cs="Arial"/>
          <w:b/>
        </w:rPr>
      </w:pPr>
    </w:p>
    <w:p w14:paraId="0B1908B8" w14:textId="2439513D" w:rsidR="004F0804" w:rsidRDefault="004F0804" w:rsidP="004F0804">
      <w:pPr>
        <w:tabs>
          <w:tab w:val="left" w:pos="0"/>
        </w:tabs>
        <w:jc w:val="both"/>
        <w:rPr>
          <w:rFonts w:ascii="Arial" w:hAnsi="Arial" w:cs="Arial"/>
          <w:sz w:val="20"/>
          <w:szCs w:val="20"/>
        </w:rPr>
      </w:pPr>
      <w:r w:rsidRPr="00455152">
        <w:rPr>
          <w:rFonts w:ascii="Arial" w:eastAsiaTheme="minorHAnsi" w:hAnsi="Arial" w:cs="Arial"/>
          <w:color w:val="000000" w:themeColor="text1"/>
          <w:sz w:val="20"/>
          <w:szCs w:val="20"/>
          <w:lang w:val="es-MX"/>
        </w:rPr>
        <w:t>De acuerdo con la definición establecida en el artículo 2.2.1.1.1.3.1. del Decreto 1082 de 2015, la capacidad residual es la aptitud de los oferentes para cumplir de manera oportuna y a cabalidad el objeto de un contrato de obra, sin que los demás compromisos contractuales que han adquirido afecten su habilidad para cumplir el objeto del contrato que está en proceso de selección. Por su parte, el Consejo de Estado ha definido la capacidad residual como «[…] la diferencia que existe entre el potencial de contratación que se tiene y los compromisos que haya adquirido y que se encuentren en ejecución, para la fecha de presentación de la oferta».</w:t>
      </w:r>
      <w:r w:rsidR="005526A0">
        <w:rPr>
          <w:rFonts w:ascii="Arial" w:eastAsiaTheme="minorHAnsi" w:hAnsi="Arial" w:cs="Arial"/>
          <w:color w:val="000000" w:themeColor="text1"/>
          <w:sz w:val="20"/>
          <w:szCs w:val="20"/>
          <w:lang w:val="es-MX"/>
        </w:rPr>
        <w:t xml:space="preserve"> </w:t>
      </w:r>
      <w:r w:rsidRPr="00455152">
        <w:rPr>
          <w:rFonts w:ascii="Arial" w:eastAsiaTheme="minorHAnsi" w:hAnsi="Arial" w:cs="Arial"/>
          <w:color w:val="000000" w:themeColor="text1"/>
          <w:sz w:val="20"/>
          <w:szCs w:val="20"/>
          <w:lang w:val="es-MX"/>
        </w:rPr>
        <w:t>En tales términos, la capacidad residual hace referencia a la suficiencia que tiene el proponente para asumir nuevas obligaciones que se derivan del contrato objeto del proceso de contratación, en relación con las obligaciones que ya adquirió frente a otros contratos</w:t>
      </w:r>
      <w:r w:rsidR="00B15B3C">
        <w:rPr>
          <w:rFonts w:ascii="Arial" w:eastAsiaTheme="minorHAnsi" w:hAnsi="Arial" w:cs="Arial"/>
          <w:color w:val="000000" w:themeColor="text1"/>
          <w:sz w:val="20"/>
          <w:szCs w:val="20"/>
          <w:lang w:val="es-MX"/>
        </w:rPr>
        <w:t xml:space="preserve"> </w:t>
      </w:r>
      <w:r w:rsidR="00B15B3C" w:rsidRPr="00B15B3C">
        <w:rPr>
          <w:rFonts w:ascii="Arial" w:eastAsiaTheme="minorHAnsi" w:hAnsi="Arial" w:cs="Arial"/>
          <w:color w:val="000000" w:themeColor="text1"/>
          <w:sz w:val="20"/>
          <w:szCs w:val="20"/>
          <w:lang w:val="es-MX"/>
        </w:rPr>
        <w:t>y que tendría que cumplir simultáneamente con las derivadas del eventual nuevo contrato</w:t>
      </w:r>
      <w:r w:rsidRPr="00B15B3C">
        <w:rPr>
          <w:rFonts w:ascii="Arial" w:eastAsiaTheme="minorHAnsi" w:hAnsi="Arial" w:cs="Arial"/>
          <w:color w:val="000000" w:themeColor="text1"/>
          <w:sz w:val="20"/>
          <w:szCs w:val="20"/>
          <w:lang w:val="es-MX"/>
        </w:rPr>
        <w:t>.</w:t>
      </w:r>
      <w:r w:rsidRPr="00455152">
        <w:rPr>
          <w:rFonts w:ascii="Arial" w:hAnsi="Arial" w:cs="Arial"/>
          <w:sz w:val="20"/>
          <w:szCs w:val="20"/>
        </w:rPr>
        <w:t xml:space="preserve"> </w:t>
      </w:r>
    </w:p>
    <w:p w14:paraId="1E8291A8" w14:textId="77777777" w:rsidR="004F0804" w:rsidRDefault="004F0804" w:rsidP="00861D0A">
      <w:pPr>
        <w:rPr>
          <w:rFonts w:ascii="Arial" w:eastAsia="Calibri" w:hAnsi="Arial" w:cs="Arial"/>
          <w:b/>
          <w:bCs/>
          <w:color w:val="161616" w:themeColor="background1" w:themeShade="1A"/>
          <w:sz w:val="20"/>
          <w:szCs w:val="20"/>
          <w:lang w:val="es-ES_tradnl"/>
        </w:rPr>
      </w:pPr>
    </w:p>
    <w:p w14:paraId="10948A63" w14:textId="77777777" w:rsidR="008B29AC" w:rsidRDefault="008B29AC" w:rsidP="008B29AC">
      <w:pPr>
        <w:jc w:val="both"/>
        <w:rPr>
          <w:rFonts w:ascii="Arial" w:eastAsia="Calibri" w:hAnsi="Arial" w:cs="Arial"/>
          <w:b/>
          <w:sz w:val="22"/>
          <w:szCs w:val="22"/>
          <w:lang w:val="es-MX"/>
        </w:rPr>
      </w:pPr>
      <w:r>
        <w:rPr>
          <w:rFonts w:ascii="Arial" w:eastAsia="Calibri" w:hAnsi="Arial" w:cs="Arial"/>
          <w:b/>
          <w:sz w:val="22"/>
          <w:szCs w:val="22"/>
          <w:lang w:val="es-MX"/>
        </w:rPr>
        <w:t xml:space="preserve">CAPACIDAD RESIDUAL – Acreditación </w:t>
      </w:r>
    </w:p>
    <w:p w14:paraId="2D8DC465" w14:textId="77777777" w:rsidR="008B29AC" w:rsidRDefault="008B29AC" w:rsidP="008B29AC">
      <w:pPr>
        <w:jc w:val="both"/>
        <w:rPr>
          <w:rFonts w:ascii="Arial" w:eastAsia="Calibri" w:hAnsi="Arial" w:cs="Arial"/>
          <w:b/>
          <w:sz w:val="22"/>
          <w:szCs w:val="22"/>
          <w:lang w:val="es-MX"/>
        </w:rPr>
      </w:pPr>
    </w:p>
    <w:p w14:paraId="32B414A9" w14:textId="77777777" w:rsidR="008B29AC" w:rsidRPr="00A60957" w:rsidRDefault="008B29AC" w:rsidP="008B29AC">
      <w:pPr>
        <w:jc w:val="both"/>
        <w:rPr>
          <w:rFonts w:ascii="Arial" w:hAnsi="Arial" w:cs="Arial"/>
          <w:sz w:val="20"/>
          <w:szCs w:val="20"/>
        </w:rPr>
      </w:pPr>
      <w:r w:rsidRPr="00A60957">
        <w:rPr>
          <w:rFonts w:ascii="Arial" w:hAnsi="Arial" w:cs="Arial"/>
          <w:sz w:val="20"/>
          <w:szCs w:val="20"/>
        </w:rPr>
        <w:t xml:space="preserve">De conformidad con lo anterior, esta Agencia expidió la «Guía para Determinar y Verificar la Capacidad Residual del Proponente en los Procesos de Contratación de Obra Pública». Este documento establece, entre otras cuestiones, que a la entidad contratante corresponde, primero, establecer la capacidad residual del proceso de contratación «CRPC» y, segundo, determinar si los proponentes cumplen con la capacidad residual del proceso de contratación […]. </w:t>
      </w:r>
    </w:p>
    <w:p w14:paraId="41895330" w14:textId="77777777" w:rsidR="008B29AC" w:rsidRDefault="008B29AC" w:rsidP="008B29AC">
      <w:pPr>
        <w:jc w:val="both"/>
        <w:rPr>
          <w:rFonts w:ascii="Arial" w:eastAsia="Calibri" w:hAnsi="Arial" w:cs="Arial"/>
          <w:b/>
          <w:sz w:val="22"/>
          <w:szCs w:val="22"/>
          <w:lang w:val="es-MX"/>
        </w:rPr>
      </w:pPr>
    </w:p>
    <w:p w14:paraId="64355540" w14:textId="02ED0749" w:rsidR="00861D0A" w:rsidRPr="00B02AD1" w:rsidRDefault="00861D0A" w:rsidP="00861D0A">
      <w:pPr>
        <w:tabs>
          <w:tab w:val="left" w:pos="426"/>
        </w:tabs>
        <w:jc w:val="both"/>
        <w:rPr>
          <w:rFonts w:ascii="Arial" w:hAnsi="Arial" w:cs="Arial"/>
          <w:b/>
          <w:bCs/>
          <w:sz w:val="22"/>
          <w:szCs w:val="22"/>
          <w:lang w:eastAsia="es-CO"/>
        </w:rPr>
      </w:pPr>
      <w:r w:rsidRPr="00B02AD1">
        <w:rPr>
          <w:rFonts w:ascii="Arial" w:hAnsi="Arial" w:cs="Arial"/>
          <w:b/>
          <w:bCs/>
          <w:sz w:val="22"/>
          <w:szCs w:val="22"/>
          <w:lang w:eastAsia="es-CO"/>
        </w:rPr>
        <w:t>CAPACIDAD RESIDUAL – Cálculo</w:t>
      </w:r>
    </w:p>
    <w:p w14:paraId="6D1471C8" w14:textId="77777777" w:rsidR="00861D0A" w:rsidRPr="00861D0A" w:rsidRDefault="00861D0A" w:rsidP="00861D0A">
      <w:pPr>
        <w:tabs>
          <w:tab w:val="left" w:pos="426"/>
        </w:tabs>
        <w:jc w:val="both"/>
        <w:rPr>
          <w:rFonts w:ascii="Arial" w:hAnsi="Arial" w:cs="Arial"/>
          <w:b/>
          <w:bCs/>
          <w:sz w:val="20"/>
          <w:szCs w:val="20"/>
          <w:lang w:eastAsia="es-CO"/>
        </w:rPr>
      </w:pPr>
    </w:p>
    <w:p w14:paraId="445DF753" w14:textId="77777777" w:rsidR="00861D0A" w:rsidRPr="00861D0A" w:rsidRDefault="00861D0A" w:rsidP="00861D0A">
      <w:pPr>
        <w:tabs>
          <w:tab w:val="left" w:pos="426"/>
        </w:tabs>
        <w:jc w:val="both"/>
        <w:rPr>
          <w:rFonts w:ascii="Arial" w:hAnsi="Arial" w:cs="Arial"/>
          <w:sz w:val="20"/>
          <w:szCs w:val="20"/>
          <w:lang w:eastAsia="es-CO"/>
        </w:rPr>
      </w:pPr>
      <w:r w:rsidRPr="00861D0A">
        <w:rPr>
          <w:rFonts w:ascii="Arial" w:hAnsi="Arial" w:cs="Arial"/>
          <w:sz w:val="20"/>
          <w:szCs w:val="20"/>
          <w:lang w:eastAsia="es-CO"/>
        </w:rPr>
        <w:t>La Ley 1150 de 2007 establece que la capacidad residual de los interesados en participar en procesos de selección para contratos de obra deberá ser igual o superior al que la entidad ha establecido en los pliegos de condiciones […]</w:t>
      </w:r>
    </w:p>
    <w:p w14:paraId="07C533B2" w14:textId="77777777" w:rsidR="00861D0A" w:rsidRPr="00861D0A" w:rsidRDefault="00861D0A" w:rsidP="00861D0A">
      <w:pPr>
        <w:tabs>
          <w:tab w:val="left" w:pos="426"/>
        </w:tabs>
        <w:jc w:val="both"/>
        <w:rPr>
          <w:rFonts w:ascii="Arial" w:hAnsi="Arial" w:cs="Arial"/>
          <w:sz w:val="20"/>
          <w:szCs w:val="20"/>
          <w:lang w:eastAsia="es-CO"/>
        </w:rPr>
      </w:pPr>
      <w:r w:rsidRPr="00861D0A">
        <w:rPr>
          <w:rFonts w:ascii="Arial" w:hAnsi="Arial" w:cs="Arial"/>
          <w:sz w:val="20"/>
          <w:szCs w:val="20"/>
          <w:lang w:eastAsia="es-CO"/>
        </w:rPr>
        <w:t>[…]</w:t>
      </w:r>
    </w:p>
    <w:p w14:paraId="6743419E" w14:textId="595B712B" w:rsidR="00A30B95" w:rsidRPr="00861D0A" w:rsidRDefault="00A30B95" w:rsidP="00861D0A">
      <w:pPr>
        <w:tabs>
          <w:tab w:val="left" w:pos="426"/>
        </w:tabs>
        <w:jc w:val="both"/>
        <w:rPr>
          <w:rFonts w:ascii="Arial" w:hAnsi="Arial" w:cs="Arial"/>
          <w:sz w:val="20"/>
          <w:szCs w:val="20"/>
          <w:lang w:eastAsia="es-CO"/>
        </w:rPr>
      </w:pPr>
      <w:r>
        <w:rPr>
          <w:rFonts w:ascii="Arial" w:hAnsi="Arial" w:cs="Arial"/>
          <w:sz w:val="20"/>
          <w:szCs w:val="20"/>
          <w:lang w:eastAsia="es-CO"/>
        </w:rPr>
        <w:t>E</w:t>
      </w:r>
      <w:r w:rsidRPr="00A30B95">
        <w:rPr>
          <w:rFonts w:ascii="Arial" w:hAnsi="Arial" w:cs="Arial"/>
          <w:sz w:val="20"/>
          <w:szCs w:val="20"/>
          <w:lang w:eastAsia="es-CO"/>
        </w:rPr>
        <w:t>l artículo 2.2.1.1.1.6.4 del Decreto 1082 de 2015, establece que las entidades estatales deberán calcular la capacidad residual conforme a la metodología definida por Colombia Compre Eficiente y precisó que, para tales fines, resulta necesario tener en cuenta los factores de: i) experiencia; ii) capacidad financiera; iii) capacidad técnica; iv) capacidad de organización; y v) los saldos de los contratos en ejecución</w:t>
      </w:r>
      <w:r>
        <w:rPr>
          <w:rFonts w:ascii="Arial" w:hAnsi="Arial" w:cs="Arial"/>
          <w:sz w:val="20"/>
          <w:szCs w:val="20"/>
          <w:lang w:eastAsia="es-CO"/>
        </w:rPr>
        <w:t>.</w:t>
      </w:r>
    </w:p>
    <w:p w14:paraId="1BBCFFAD" w14:textId="77777777" w:rsidR="00861D0A" w:rsidRPr="00861D0A" w:rsidRDefault="00861D0A" w:rsidP="00861D0A">
      <w:pPr>
        <w:tabs>
          <w:tab w:val="left" w:pos="426"/>
        </w:tabs>
        <w:jc w:val="both"/>
        <w:rPr>
          <w:rFonts w:ascii="Arial" w:hAnsi="Arial" w:cs="Arial"/>
          <w:sz w:val="20"/>
          <w:szCs w:val="20"/>
          <w:lang w:eastAsia="es-CO"/>
        </w:rPr>
      </w:pPr>
      <w:r w:rsidRPr="00861D0A">
        <w:rPr>
          <w:rFonts w:ascii="Arial" w:hAnsi="Arial" w:cs="Arial"/>
          <w:sz w:val="20"/>
          <w:szCs w:val="20"/>
          <w:lang w:eastAsia="es-CO"/>
        </w:rPr>
        <w:t>[…]</w:t>
      </w:r>
    </w:p>
    <w:p w14:paraId="5F60A316" w14:textId="1E378B64" w:rsidR="000520BA" w:rsidRPr="00861D0A" w:rsidRDefault="00861D0A" w:rsidP="00861D0A">
      <w:pPr>
        <w:tabs>
          <w:tab w:val="left" w:pos="426"/>
        </w:tabs>
        <w:jc w:val="both"/>
        <w:rPr>
          <w:rFonts w:ascii="Arial" w:hAnsi="Arial" w:cs="Arial"/>
          <w:sz w:val="20"/>
          <w:szCs w:val="20"/>
          <w:lang w:eastAsia="es-CO"/>
        </w:rPr>
      </w:pPr>
      <w:r w:rsidRPr="00861D0A">
        <w:rPr>
          <w:rFonts w:ascii="Arial" w:hAnsi="Arial" w:cs="Arial"/>
          <w:sz w:val="20"/>
          <w:szCs w:val="20"/>
          <w:lang w:eastAsia="es-CO"/>
        </w:rPr>
        <w:t>La Agencia Nacional de Contratación Pública estableció como fórmula que las entidades estatales calculen la experiencia conforme a los cinco factores que deben ser tenidos en cuenta […] Conforme a lo anterior, es la entidad estatal quien debe calcular la capacidad residual, pero el proponente tiene como carga aportar los documentos para acreditar su capacidad residual.</w:t>
      </w:r>
    </w:p>
    <w:p w14:paraId="7AA6D9CC" w14:textId="6DFE6C41" w:rsidR="00861D0A" w:rsidRDefault="00861D0A" w:rsidP="00861D0A">
      <w:pPr>
        <w:tabs>
          <w:tab w:val="left" w:pos="426"/>
        </w:tabs>
        <w:jc w:val="both"/>
        <w:rPr>
          <w:rFonts w:ascii="Arial" w:hAnsi="Arial" w:cs="Arial"/>
          <w:b/>
          <w:bCs/>
          <w:sz w:val="20"/>
          <w:szCs w:val="20"/>
          <w:lang w:eastAsia="es-CO"/>
        </w:rPr>
      </w:pPr>
    </w:p>
    <w:p w14:paraId="1BE209A2" w14:textId="77777777" w:rsidR="003E1DFC" w:rsidRDefault="003E1DFC" w:rsidP="003E1DFC">
      <w:pPr>
        <w:jc w:val="both"/>
        <w:rPr>
          <w:rFonts w:ascii="Arial" w:eastAsia="Calibri" w:hAnsi="Arial" w:cs="Arial"/>
          <w:b/>
          <w:sz w:val="22"/>
          <w:szCs w:val="22"/>
          <w:lang w:val="es-MX"/>
        </w:rPr>
      </w:pPr>
      <w:r w:rsidRPr="00CB410C">
        <w:rPr>
          <w:rFonts w:ascii="Arial" w:eastAsia="Calibri" w:hAnsi="Arial" w:cs="Arial"/>
          <w:b/>
          <w:sz w:val="22"/>
          <w:szCs w:val="22"/>
          <w:lang w:val="es-MX"/>
        </w:rPr>
        <w:t xml:space="preserve">CONTRATOS EN EJECUCIÓN – Definición </w:t>
      </w:r>
    </w:p>
    <w:p w14:paraId="49984386" w14:textId="77777777" w:rsidR="003E1DFC" w:rsidRDefault="003E1DFC" w:rsidP="003E1DFC">
      <w:pPr>
        <w:jc w:val="both"/>
        <w:rPr>
          <w:rFonts w:ascii="Arial" w:eastAsia="Calibri" w:hAnsi="Arial" w:cs="Arial"/>
          <w:b/>
          <w:sz w:val="22"/>
          <w:szCs w:val="22"/>
          <w:lang w:val="es-MX"/>
        </w:rPr>
      </w:pPr>
    </w:p>
    <w:p w14:paraId="716343F1" w14:textId="38530963" w:rsidR="003E1DFC" w:rsidRPr="008F3730" w:rsidRDefault="003E1DFC" w:rsidP="003E1DFC">
      <w:pPr>
        <w:jc w:val="both"/>
        <w:rPr>
          <w:rFonts w:ascii="Arial" w:hAnsi="Arial" w:cs="Arial"/>
          <w:i/>
          <w:iCs/>
          <w:sz w:val="20"/>
          <w:szCs w:val="20"/>
        </w:rPr>
      </w:pPr>
      <w:r w:rsidRPr="008F3730">
        <w:rPr>
          <w:rFonts w:ascii="Arial" w:eastAsia="Arial," w:hAnsi="Arial" w:cs="Arial"/>
          <w:sz w:val="20"/>
          <w:szCs w:val="20"/>
        </w:rPr>
        <w:t xml:space="preserve">[…] </w:t>
      </w:r>
      <w:r w:rsidR="00750EC1" w:rsidRPr="00750EC1">
        <w:rPr>
          <w:rFonts w:ascii="Arial" w:hAnsi="Arial" w:cs="Arial"/>
          <w:sz w:val="20"/>
          <w:szCs w:val="20"/>
          <w:lang w:eastAsia="es-CO"/>
        </w:rPr>
        <w:t xml:space="preserve">la «Guía para Determinar y Verificar la Capacidad Residual del Proponente en los Procesos de Contratación de Obra Pública» define los Contratos en ejecución de la siguiente manera: «Son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w:t>
      </w:r>
      <w:r w:rsidR="00750EC1" w:rsidRPr="00750EC1">
        <w:rPr>
          <w:rFonts w:ascii="Arial" w:hAnsi="Arial" w:cs="Arial"/>
          <w:sz w:val="20"/>
          <w:szCs w:val="20"/>
          <w:lang w:eastAsia="es-CO"/>
        </w:rPr>
        <w:lastRenderedPageBreak/>
        <w:t>contratos suspendidos y aquellos que no tengan acta de inicio. No se entenderán como contratos en ejecución los que se encuentren en liquidación».</w:t>
      </w:r>
    </w:p>
    <w:p w14:paraId="04CF63FE" w14:textId="233BC1A6" w:rsidR="005526A0" w:rsidRDefault="005526A0" w:rsidP="00861D0A">
      <w:pPr>
        <w:tabs>
          <w:tab w:val="left" w:pos="426"/>
        </w:tabs>
        <w:jc w:val="both"/>
        <w:rPr>
          <w:rFonts w:ascii="Arial" w:eastAsia="Calibri" w:hAnsi="Arial" w:cs="Arial"/>
          <w:b/>
          <w:bCs/>
          <w:noProof/>
          <w:sz w:val="20"/>
          <w:szCs w:val="20"/>
        </w:rPr>
      </w:pPr>
    </w:p>
    <w:p w14:paraId="203B3B2D" w14:textId="77777777" w:rsidR="001C2D94" w:rsidRDefault="001C2D94" w:rsidP="001C2D94">
      <w:pPr>
        <w:jc w:val="both"/>
        <w:rPr>
          <w:rFonts w:ascii="Arial" w:eastAsia="Calibri" w:hAnsi="Arial" w:cs="Arial"/>
          <w:b/>
          <w:sz w:val="22"/>
          <w:szCs w:val="22"/>
          <w:lang w:val="es-MX"/>
        </w:rPr>
      </w:pPr>
      <w:r>
        <w:rPr>
          <w:rFonts w:ascii="Arial" w:eastAsia="Calibri" w:hAnsi="Arial" w:cs="Arial"/>
          <w:b/>
          <w:sz w:val="22"/>
          <w:szCs w:val="22"/>
          <w:lang w:val="es-MX"/>
        </w:rPr>
        <w:t xml:space="preserve">CONTRATOS EN ESTADO DE LIQUIDACIÓN – Relación con la capacidad residual </w:t>
      </w:r>
    </w:p>
    <w:p w14:paraId="1B59FE93" w14:textId="77777777" w:rsidR="001C2D94" w:rsidRPr="00261AE6" w:rsidRDefault="001C2D94" w:rsidP="001C2D94">
      <w:pPr>
        <w:jc w:val="both"/>
        <w:rPr>
          <w:rFonts w:ascii="Arial" w:eastAsia="Calibri" w:hAnsi="Arial" w:cs="Arial"/>
          <w:b/>
          <w:sz w:val="20"/>
          <w:szCs w:val="20"/>
          <w:lang w:val="es-MX"/>
        </w:rPr>
      </w:pPr>
    </w:p>
    <w:p w14:paraId="0A011024" w14:textId="1B66D80E" w:rsidR="001C2D94" w:rsidRDefault="001C2D94" w:rsidP="001C2D94">
      <w:pPr>
        <w:spacing w:after="120"/>
        <w:jc w:val="both"/>
        <w:rPr>
          <w:rFonts w:ascii="Arial" w:hAnsi="Arial" w:cs="Arial"/>
          <w:sz w:val="20"/>
          <w:szCs w:val="20"/>
          <w:lang w:eastAsia="es-CO"/>
        </w:rPr>
      </w:pPr>
      <w:r>
        <w:rPr>
          <w:rFonts w:ascii="Arial" w:hAnsi="Arial" w:cs="Arial"/>
          <w:sz w:val="20"/>
          <w:szCs w:val="20"/>
        </w:rPr>
        <w:t xml:space="preserve">[…] </w:t>
      </w:r>
      <w:r w:rsidR="00562C2D" w:rsidRPr="00562C2D">
        <w:rPr>
          <w:rFonts w:ascii="Arial" w:hAnsi="Arial" w:cs="Arial"/>
          <w:sz w:val="20"/>
          <w:szCs w:val="20"/>
          <w:lang w:eastAsia="es-CO"/>
        </w:rPr>
        <w:t>retomando la definición de contratos en ejecución contenida en la «Guía para Determinar y Verificar la Capacidad Residual del Proponente en los Procesos de Contratación de Obra Pública» debe resaltarse que, en los eventos en que se logre determinar que los contratos ya no están en etapa de ejecución y se dio inicio a la etapa de liquidación contractual, aunque excepcionalmente existan prestaciones pendientes por ejecutar, esos contratos no deberán ser tenidos en cuenta para el cálculo de la capacidad residual, pues no son «contratos en ejecución», sino en liquidación, por cuanto la fase de liquidación tiene lugar una vez concluida la fase de ejecución del contrato estatal</w:t>
      </w:r>
      <w:r w:rsidRPr="00545883">
        <w:rPr>
          <w:rFonts w:ascii="Arial" w:hAnsi="Arial" w:cs="Arial"/>
          <w:sz w:val="20"/>
          <w:szCs w:val="20"/>
          <w:lang w:eastAsia="es-CO"/>
        </w:rPr>
        <w:t>.</w:t>
      </w:r>
      <w:r w:rsidRPr="00E21B4B">
        <w:rPr>
          <w:rFonts w:ascii="Arial" w:hAnsi="Arial" w:cs="Arial"/>
          <w:sz w:val="20"/>
          <w:szCs w:val="20"/>
          <w:lang w:eastAsia="es-CO"/>
        </w:rPr>
        <w:t xml:space="preserve"> </w:t>
      </w:r>
    </w:p>
    <w:p w14:paraId="4680B484" w14:textId="529A17E3" w:rsidR="005526A0" w:rsidRDefault="005526A0" w:rsidP="00861D0A">
      <w:pPr>
        <w:tabs>
          <w:tab w:val="left" w:pos="426"/>
        </w:tabs>
        <w:jc w:val="both"/>
        <w:rPr>
          <w:rFonts w:ascii="Arial" w:eastAsia="Calibri" w:hAnsi="Arial" w:cs="Arial"/>
          <w:b/>
          <w:bCs/>
          <w:noProof/>
          <w:sz w:val="20"/>
          <w:szCs w:val="20"/>
        </w:rPr>
      </w:pPr>
    </w:p>
    <w:p w14:paraId="7C933F38" w14:textId="37ED4CCB" w:rsidR="005526A0" w:rsidRDefault="005526A0" w:rsidP="00861D0A">
      <w:pPr>
        <w:tabs>
          <w:tab w:val="left" w:pos="426"/>
        </w:tabs>
        <w:jc w:val="both"/>
        <w:rPr>
          <w:rFonts w:ascii="Arial" w:eastAsia="Calibri" w:hAnsi="Arial" w:cs="Arial"/>
          <w:b/>
          <w:bCs/>
          <w:noProof/>
          <w:sz w:val="20"/>
          <w:szCs w:val="20"/>
        </w:rPr>
      </w:pPr>
    </w:p>
    <w:p w14:paraId="25A7CE8E" w14:textId="31ABEA04" w:rsidR="005526A0" w:rsidRDefault="005526A0" w:rsidP="00861D0A">
      <w:pPr>
        <w:tabs>
          <w:tab w:val="left" w:pos="426"/>
        </w:tabs>
        <w:jc w:val="both"/>
        <w:rPr>
          <w:rFonts w:ascii="Arial" w:eastAsia="Calibri" w:hAnsi="Arial" w:cs="Arial"/>
          <w:b/>
          <w:bCs/>
          <w:noProof/>
          <w:sz w:val="20"/>
          <w:szCs w:val="20"/>
        </w:rPr>
      </w:pPr>
    </w:p>
    <w:p w14:paraId="2B3D596C" w14:textId="6B9C4006" w:rsidR="005526A0" w:rsidRDefault="005526A0" w:rsidP="00861D0A">
      <w:pPr>
        <w:tabs>
          <w:tab w:val="left" w:pos="426"/>
        </w:tabs>
        <w:jc w:val="both"/>
        <w:rPr>
          <w:rFonts w:ascii="Arial" w:eastAsia="Calibri" w:hAnsi="Arial" w:cs="Arial"/>
          <w:b/>
          <w:bCs/>
          <w:noProof/>
          <w:sz w:val="20"/>
          <w:szCs w:val="20"/>
        </w:rPr>
      </w:pPr>
    </w:p>
    <w:p w14:paraId="6451246F" w14:textId="17EF92B7" w:rsidR="005526A0" w:rsidRDefault="005526A0" w:rsidP="00861D0A">
      <w:pPr>
        <w:tabs>
          <w:tab w:val="left" w:pos="426"/>
        </w:tabs>
        <w:jc w:val="both"/>
        <w:rPr>
          <w:rFonts w:ascii="Arial" w:eastAsia="Calibri" w:hAnsi="Arial" w:cs="Arial"/>
          <w:b/>
          <w:bCs/>
          <w:noProof/>
          <w:sz w:val="20"/>
          <w:szCs w:val="20"/>
        </w:rPr>
      </w:pPr>
    </w:p>
    <w:p w14:paraId="5CDC2888" w14:textId="050BD023" w:rsidR="005526A0" w:rsidRDefault="005526A0" w:rsidP="00861D0A">
      <w:pPr>
        <w:tabs>
          <w:tab w:val="left" w:pos="426"/>
        </w:tabs>
        <w:jc w:val="both"/>
        <w:rPr>
          <w:rFonts w:ascii="Arial" w:eastAsia="Calibri" w:hAnsi="Arial" w:cs="Arial"/>
          <w:b/>
          <w:bCs/>
          <w:noProof/>
          <w:sz w:val="20"/>
          <w:szCs w:val="20"/>
        </w:rPr>
      </w:pPr>
    </w:p>
    <w:p w14:paraId="313C8351" w14:textId="79868188" w:rsidR="005526A0" w:rsidRDefault="005526A0" w:rsidP="00861D0A">
      <w:pPr>
        <w:tabs>
          <w:tab w:val="left" w:pos="426"/>
        </w:tabs>
        <w:jc w:val="both"/>
        <w:rPr>
          <w:rFonts w:ascii="Arial" w:eastAsia="Calibri" w:hAnsi="Arial" w:cs="Arial"/>
          <w:b/>
          <w:bCs/>
          <w:noProof/>
          <w:sz w:val="20"/>
          <w:szCs w:val="20"/>
        </w:rPr>
      </w:pPr>
    </w:p>
    <w:p w14:paraId="382426B5" w14:textId="5DEDC199" w:rsidR="005526A0" w:rsidRDefault="005526A0" w:rsidP="00861D0A">
      <w:pPr>
        <w:tabs>
          <w:tab w:val="left" w:pos="426"/>
        </w:tabs>
        <w:jc w:val="both"/>
        <w:rPr>
          <w:rFonts w:ascii="Arial" w:eastAsia="Calibri" w:hAnsi="Arial" w:cs="Arial"/>
          <w:b/>
          <w:bCs/>
          <w:noProof/>
          <w:sz w:val="20"/>
          <w:szCs w:val="20"/>
        </w:rPr>
      </w:pPr>
    </w:p>
    <w:p w14:paraId="0528EE3E" w14:textId="0E4863F8" w:rsidR="005526A0" w:rsidRDefault="005526A0" w:rsidP="00861D0A">
      <w:pPr>
        <w:tabs>
          <w:tab w:val="left" w:pos="426"/>
        </w:tabs>
        <w:jc w:val="both"/>
        <w:rPr>
          <w:rFonts w:ascii="Arial" w:eastAsia="Calibri" w:hAnsi="Arial" w:cs="Arial"/>
          <w:b/>
          <w:bCs/>
          <w:noProof/>
          <w:sz w:val="20"/>
          <w:szCs w:val="20"/>
        </w:rPr>
      </w:pPr>
    </w:p>
    <w:p w14:paraId="0A2FD15A" w14:textId="677F1C45" w:rsidR="005526A0" w:rsidRDefault="005526A0" w:rsidP="00861D0A">
      <w:pPr>
        <w:tabs>
          <w:tab w:val="left" w:pos="426"/>
        </w:tabs>
        <w:jc w:val="both"/>
        <w:rPr>
          <w:rFonts w:ascii="Arial" w:eastAsia="Calibri" w:hAnsi="Arial" w:cs="Arial"/>
          <w:b/>
          <w:bCs/>
          <w:noProof/>
          <w:sz w:val="20"/>
          <w:szCs w:val="20"/>
        </w:rPr>
      </w:pPr>
    </w:p>
    <w:p w14:paraId="126C7436" w14:textId="65B2F9BB" w:rsidR="005526A0" w:rsidRDefault="005526A0" w:rsidP="00861D0A">
      <w:pPr>
        <w:tabs>
          <w:tab w:val="left" w:pos="426"/>
        </w:tabs>
        <w:jc w:val="both"/>
        <w:rPr>
          <w:rFonts w:ascii="Arial" w:eastAsia="Calibri" w:hAnsi="Arial" w:cs="Arial"/>
          <w:b/>
          <w:bCs/>
          <w:noProof/>
          <w:sz w:val="20"/>
          <w:szCs w:val="20"/>
        </w:rPr>
      </w:pPr>
    </w:p>
    <w:p w14:paraId="1E236B07" w14:textId="4FCDBB31" w:rsidR="005526A0" w:rsidRDefault="005526A0" w:rsidP="00861D0A">
      <w:pPr>
        <w:tabs>
          <w:tab w:val="left" w:pos="426"/>
        </w:tabs>
        <w:jc w:val="both"/>
        <w:rPr>
          <w:rFonts w:ascii="Arial" w:eastAsia="Calibri" w:hAnsi="Arial" w:cs="Arial"/>
          <w:b/>
          <w:bCs/>
          <w:noProof/>
          <w:sz w:val="20"/>
          <w:szCs w:val="20"/>
        </w:rPr>
      </w:pPr>
    </w:p>
    <w:p w14:paraId="229323DD" w14:textId="01D39FB1" w:rsidR="005526A0" w:rsidRDefault="005526A0" w:rsidP="00861D0A">
      <w:pPr>
        <w:tabs>
          <w:tab w:val="left" w:pos="426"/>
        </w:tabs>
        <w:jc w:val="both"/>
        <w:rPr>
          <w:rFonts w:ascii="Arial" w:eastAsia="Calibri" w:hAnsi="Arial" w:cs="Arial"/>
          <w:b/>
          <w:bCs/>
          <w:noProof/>
          <w:sz w:val="20"/>
          <w:szCs w:val="20"/>
        </w:rPr>
      </w:pPr>
    </w:p>
    <w:p w14:paraId="2EA20AF0" w14:textId="198A7787" w:rsidR="005526A0" w:rsidRDefault="005526A0" w:rsidP="00861D0A">
      <w:pPr>
        <w:tabs>
          <w:tab w:val="left" w:pos="426"/>
        </w:tabs>
        <w:jc w:val="both"/>
        <w:rPr>
          <w:rFonts w:ascii="Arial" w:eastAsia="Calibri" w:hAnsi="Arial" w:cs="Arial"/>
          <w:b/>
          <w:bCs/>
          <w:noProof/>
          <w:sz w:val="20"/>
          <w:szCs w:val="20"/>
        </w:rPr>
      </w:pPr>
    </w:p>
    <w:p w14:paraId="70183475" w14:textId="6BA1521B" w:rsidR="005526A0" w:rsidRDefault="005526A0" w:rsidP="00861D0A">
      <w:pPr>
        <w:tabs>
          <w:tab w:val="left" w:pos="426"/>
        </w:tabs>
        <w:jc w:val="both"/>
        <w:rPr>
          <w:rFonts w:ascii="Arial" w:eastAsia="Calibri" w:hAnsi="Arial" w:cs="Arial"/>
          <w:b/>
          <w:bCs/>
          <w:noProof/>
          <w:sz w:val="20"/>
          <w:szCs w:val="20"/>
        </w:rPr>
      </w:pPr>
    </w:p>
    <w:p w14:paraId="26D7BB57" w14:textId="3D3AB0E1" w:rsidR="005526A0" w:rsidRDefault="005526A0" w:rsidP="00861D0A">
      <w:pPr>
        <w:tabs>
          <w:tab w:val="left" w:pos="426"/>
        </w:tabs>
        <w:jc w:val="both"/>
        <w:rPr>
          <w:rFonts w:ascii="Arial" w:eastAsia="Calibri" w:hAnsi="Arial" w:cs="Arial"/>
          <w:b/>
          <w:bCs/>
          <w:noProof/>
          <w:sz w:val="20"/>
          <w:szCs w:val="20"/>
        </w:rPr>
      </w:pPr>
    </w:p>
    <w:p w14:paraId="0FA06B07" w14:textId="1836A35E" w:rsidR="005526A0" w:rsidRDefault="005526A0" w:rsidP="00861D0A">
      <w:pPr>
        <w:tabs>
          <w:tab w:val="left" w:pos="426"/>
        </w:tabs>
        <w:jc w:val="both"/>
        <w:rPr>
          <w:rFonts w:ascii="Arial" w:eastAsia="Calibri" w:hAnsi="Arial" w:cs="Arial"/>
          <w:b/>
          <w:bCs/>
          <w:noProof/>
          <w:sz w:val="20"/>
          <w:szCs w:val="20"/>
        </w:rPr>
      </w:pPr>
    </w:p>
    <w:p w14:paraId="03260CFE" w14:textId="65CD1675" w:rsidR="005526A0" w:rsidRDefault="005526A0" w:rsidP="00861D0A">
      <w:pPr>
        <w:tabs>
          <w:tab w:val="left" w:pos="426"/>
        </w:tabs>
        <w:jc w:val="both"/>
        <w:rPr>
          <w:rFonts w:ascii="Arial" w:eastAsia="Calibri" w:hAnsi="Arial" w:cs="Arial"/>
          <w:b/>
          <w:bCs/>
          <w:noProof/>
          <w:sz w:val="20"/>
          <w:szCs w:val="20"/>
        </w:rPr>
      </w:pPr>
    </w:p>
    <w:p w14:paraId="07E36A77" w14:textId="3A78072F" w:rsidR="005526A0" w:rsidRDefault="005526A0" w:rsidP="00861D0A">
      <w:pPr>
        <w:tabs>
          <w:tab w:val="left" w:pos="426"/>
        </w:tabs>
        <w:jc w:val="both"/>
        <w:rPr>
          <w:rFonts w:ascii="Arial" w:eastAsia="Calibri" w:hAnsi="Arial" w:cs="Arial"/>
          <w:b/>
          <w:bCs/>
          <w:noProof/>
          <w:sz w:val="20"/>
          <w:szCs w:val="20"/>
        </w:rPr>
      </w:pPr>
    </w:p>
    <w:p w14:paraId="29B87981" w14:textId="77777777" w:rsidR="005526A0" w:rsidRPr="00861D0A" w:rsidRDefault="005526A0" w:rsidP="00861D0A">
      <w:pPr>
        <w:tabs>
          <w:tab w:val="left" w:pos="426"/>
        </w:tabs>
        <w:jc w:val="both"/>
        <w:rPr>
          <w:rFonts w:ascii="Arial" w:eastAsia="Calibri" w:hAnsi="Arial" w:cs="Arial"/>
          <w:b/>
          <w:bCs/>
          <w:noProof/>
          <w:sz w:val="20"/>
          <w:szCs w:val="20"/>
        </w:rPr>
      </w:pPr>
    </w:p>
    <w:p w14:paraId="6A63C585" w14:textId="367F628A" w:rsidR="00E111EA" w:rsidRPr="00B03CFE" w:rsidRDefault="00E111EA" w:rsidP="00F06A29">
      <w:pPr>
        <w:jc w:val="both"/>
        <w:rPr>
          <w:rFonts w:ascii="Arial" w:hAnsi="Arial" w:cs="Arial"/>
          <w:color w:val="000000" w:themeColor="text1"/>
          <w:sz w:val="22"/>
          <w:szCs w:val="22"/>
          <w:lang w:val="es-ES"/>
        </w:rPr>
      </w:pPr>
    </w:p>
    <w:p w14:paraId="4FF41096" w14:textId="612D3D21" w:rsidR="00451E90" w:rsidRPr="00B03CFE" w:rsidRDefault="00451E90" w:rsidP="00F06A29">
      <w:pPr>
        <w:jc w:val="both"/>
        <w:rPr>
          <w:rFonts w:ascii="Arial" w:hAnsi="Arial" w:cs="Arial"/>
          <w:color w:val="000000" w:themeColor="text1"/>
          <w:sz w:val="22"/>
          <w:szCs w:val="22"/>
          <w:lang w:val="es-ES"/>
        </w:rPr>
      </w:pPr>
    </w:p>
    <w:p w14:paraId="1F8F17BF" w14:textId="4F8EBE6C" w:rsidR="00451E90" w:rsidRPr="00B03CFE" w:rsidRDefault="00451E90" w:rsidP="00F06A29">
      <w:pPr>
        <w:jc w:val="both"/>
        <w:rPr>
          <w:rFonts w:ascii="Arial" w:hAnsi="Arial" w:cs="Arial"/>
          <w:color w:val="000000" w:themeColor="text1"/>
          <w:sz w:val="22"/>
          <w:szCs w:val="22"/>
          <w:lang w:val="es-ES"/>
        </w:rPr>
      </w:pPr>
    </w:p>
    <w:p w14:paraId="322C0C61" w14:textId="251A2521" w:rsidR="00451E90" w:rsidRDefault="00451E90" w:rsidP="00F06A29">
      <w:pPr>
        <w:jc w:val="both"/>
        <w:rPr>
          <w:rFonts w:ascii="Arial" w:hAnsi="Arial" w:cs="Arial"/>
          <w:color w:val="000000" w:themeColor="text1"/>
          <w:sz w:val="22"/>
          <w:szCs w:val="22"/>
          <w:lang w:val="es-ES"/>
        </w:rPr>
      </w:pPr>
    </w:p>
    <w:p w14:paraId="770F1F9A" w14:textId="173A83D0" w:rsidR="005526A0" w:rsidRDefault="005526A0" w:rsidP="00F06A29">
      <w:pPr>
        <w:jc w:val="both"/>
        <w:rPr>
          <w:rFonts w:ascii="Arial" w:hAnsi="Arial" w:cs="Arial"/>
          <w:color w:val="000000" w:themeColor="text1"/>
          <w:sz w:val="22"/>
          <w:szCs w:val="22"/>
          <w:lang w:val="es-ES"/>
        </w:rPr>
      </w:pPr>
    </w:p>
    <w:p w14:paraId="3ADF785D" w14:textId="2E42F403" w:rsidR="001E5E5F" w:rsidRDefault="001E5E5F" w:rsidP="00F06A29">
      <w:pPr>
        <w:jc w:val="both"/>
        <w:rPr>
          <w:rFonts w:ascii="Arial" w:hAnsi="Arial" w:cs="Arial"/>
          <w:color w:val="000000" w:themeColor="text1"/>
          <w:sz w:val="22"/>
          <w:szCs w:val="22"/>
          <w:lang w:val="es-ES"/>
        </w:rPr>
      </w:pPr>
    </w:p>
    <w:p w14:paraId="5997E2D8" w14:textId="77777777" w:rsidR="001E5E5F" w:rsidRDefault="001E5E5F" w:rsidP="00F06A29">
      <w:pPr>
        <w:jc w:val="both"/>
        <w:rPr>
          <w:rFonts w:ascii="Arial" w:hAnsi="Arial" w:cs="Arial"/>
          <w:color w:val="000000" w:themeColor="text1"/>
          <w:sz w:val="22"/>
          <w:szCs w:val="22"/>
          <w:lang w:val="es-ES"/>
        </w:rPr>
      </w:pPr>
    </w:p>
    <w:p w14:paraId="179A81F9" w14:textId="537B52CC" w:rsidR="00562C2D" w:rsidRDefault="00562C2D">
      <w:pPr>
        <w:spacing w:before="120" w:after="120" w:line="276" w:lineRule="auto"/>
        <w:jc w:val="both"/>
        <w:rPr>
          <w:rFonts w:ascii="Arial" w:hAnsi="Arial" w:cs="Arial"/>
          <w:color w:val="000000" w:themeColor="text1"/>
          <w:sz w:val="22"/>
          <w:szCs w:val="22"/>
          <w:lang w:val="es-ES"/>
        </w:rPr>
      </w:pPr>
      <w:r>
        <w:rPr>
          <w:rFonts w:ascii="Arial" w:hAnsi="Arial" w:cs="Arial"/>
          <w:color w:val="000000" w:themeColor="text1"/>
          <w:sz w:val="22"/>
          <w:szCs w:val="22"/>
          <w:lang w:val="es-ES"/>
        </w:rPr>
        <w:br w:type="page"/>
      </w:r>
    </w:p>
    <w:p w14:paraId="4A468101" w14:textId="77777777" w:rsidR="00D5114B" w:rsidRDefault="00D5114B" w:rsidP="00F06A29">
      <w:pPr>
        <w:jc w:val="both"/>
        <w:rPr>
          <w:rFonts w:ascii="Arial" w:hAnsi="Arial" w:cs="Arial"/>
          <w:color w:val="000000" w:themeColor="text1"/>
          <w:sz w:val="22"/>
          <w:szCs w:val="22"/>
          <w:lang w:val="es-ES"/>
        </w:rPr>
      </w:pPr>
    </w:p>
    <w:p w14:paraId="6103A811" w14:textId="54637683" w:rsidR="00D5114B" w:rsidRDefault="00D5114B" w:rsidP="00D5114B">
      <w:pPr>
        <w:jc w:val="right"/>
        <w:rPr>
          <w:rFonts w:ascii="Arial" w:hAnsi="Arial" w:cs="Arial"/>
          <w:color w:val="000000" w:themeColor="text1"/>
          <w:sz w:val="22"/>
          <w:szCs w:val="22"/>
          <w:lang w:val="es-ES"/>
        </w:rPr>
      </w:pPr>
      <w:r>
        <w:rPr>
          <w:noProof/>
          <w:lang w:eastAsia="es-CO"/>
        </w:rPr>
        <w:drawing>
          <wp:inline distT="0" distB="0" distL="0" distR="0" wp14:anchorId="06C6723C" wp14:editId="40D08B0A">
            <wp:extent cx="2722058" cy="707666"/>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1064" t="41594" r="19158" b="40020"/>
                    <a:stretch/>
                  </pic:blipFill>
                  <pic:spPr bwMode="auto">
                    <a:xfrm>
                      <a:off x="0" y="0"/>
                      <a:ext cx="2736411" cy="711397"/>
                    </a:xfrm>
                    <a:prstGeom prst="rect">
                      <a:avLst/>
                    </a:prstGeom>
                    <a:ln>
                      <a:noFill/>
                    </a:ln>
                    <a:extLst>
                      <a:ext uri="{53640926-AAD7-44D8-BBD7-CCE9431645EC}">
                        <a14:shadowObscured xmlns:a14="http://schemas.microsoft.com/office/drawing/2010/main"/>
                      </a:ext>
                    </a:extLst>
                  </pic:spPr>
                </pic:pic>
              </a:graphicData>
            </a:graphic>
          </wp:inline>
        </w:drawing>
      </w:r>
    </w:p>
    <w:p w14:paraId="5252EA25" w14:textId="77777777" w:rsidR="00D5114B" w:rsidRDefault="00D5114B" w:rsidP="00F06A29">
      <w:pPr>
        <w:jc w:val="both"/>
        <w:rPr>
          <w:rFonts w:ascii="Arial" w:hAnsi="Arial" w:cs="Arial"/>
          <w:color w:val="000000" w:themeColor="text1"/>
          <w:sz w:val="22"/>
          <w:szCs w:val="22"/>
          <w:lang w:val="es-ES"/>
        </w:rPr>
      </w:pPr>
    </w:p>
    <w:p w14:paraId="7A31FFB5" w14:textId="3448380C" w:rsidR="006808A1" w:rsidRDefault="006808A1" w:rsidP="006808A1">
      <w:pPr>
        <w:jc w:val="both"/>
        <w:rPr>
          <w:rFonts w:ascii="Arial" w:hAnsi="Arial" w:cs="Arial"/>
          <w:color w:val="000000" w:themeColor="text1"/>
          <w:sz w:val="22"/>
          <w:szCs w:val="22"/>
          <w:lang w:val="es-ES"/>
        </w:rPr>
      </w:pPr>
      <w:r>
        <w:rPr>
          <w:rFonts w:ascii="Arial" w:hAnsi="Arial" w:cs="Arial"/>
          <w:color w:val="000000" w:themeColor="text1"/>
          <w:sz w:val="22"/>
          <w:szCs w:val="22"/>
          <w:lang w:val="es-ES"/>
        </w:rPr>
        <w:t>Bogotá, 16 junio 2022</w:t>
      </w:r>
    </w:p>
    <w:p w14:paraId="2553DD26" w14:textId="77777777" w:rsidR="00D5114B" w:rsidRPr="00B03CFE" w:rsidRDefault="00D5114B" w:rsidP="00F06A29">
      <w:pPr>
        <w:jc w:val="both"/>
        <w:rPr>
          <w:rFonts w:ascii="Arial" w:hAnsi="Arial" w:cs="Arial"/>
          <w:color w:val="000000" w:themeColor="text1"/>
          <w:sz w:val="22"/>
          <w:szCs w:val="22"/>
          <w:lang w:val="es-ES"/>
        </w:rPr>
      </w:pPr>
    </w:p>
    <w:p w14:paraId="6E444D61" w14:textId="5ECCCACF" w:rsidR="00E54365" w:rsidRPr="00B03CFE" w:rsidRDefault="00E54365" w:rsidP="00F06A29">
      <w:pPr>
        <w:rPr>
          <w:rFonts w:ascii="Arial" w:hAnsi="Arial" w:cs="Arial"/>
          <w:color w:val="161616" w:themeColor="background1" w:themeShade="1A"/>
          <w:sz w:val="22"/>
          <w:szCs w:val="22"/>
          <w:lang w:val="es-ES"/>
        </w:rPr>
      </w:pPr>
      <w:bookmarkStart w:id="1" w:name="_Hlk70510939"/>
      <w:r w:rsidRPr="00B03CFE">
        <w:rPr>
          <w:rFonts w:ascii="Arial" w:hAnsi="Arial" w:cs="Arial"/>
          <w:color w:val="161616" w:themeColor="background1" w:themeShade="1A"/>
          <w:sz w:val="22"/>
          <w:szCs w:val="22"/>
          <w:lang w:val="es-ES"/>
        </w:rPr>
        <w:t>Señor</w:t>
      </w:r>
    </w:p>
    <w:p w14:paraId="5054D7CD" w14:textId="43D8F512" w:rsidR="00212401" w:rsidRPr="00CF267E" w:rsidRDefault="00A878F0" w:rsidP="00B0182C">
      <w:pPr>
        <w:jc w:val="both"/>
        <w:rPr>
          <w:rFonts w:ascii="Arial" w:hAnsi="Arial" w:cs="Arial"/>
          <w:color w:val="000000" w:themeColor="text1"/>
          <w:sz w:val="22"/>
          <w:szCs w:val="22"/>
          <w:lang w:val="es-ES_tradnl"/>
        </w:rPr>
      </w:pPr>
      <w:r w:rsidRPr="00A878F0">
        <w:rPr>
          <w:rFonts w:ascii="Arial" w:hAnsi="Arial" w:cs="Arial"/>
          <w:b/>
          <w:bCs/>
          <w:color w:val="000000" w:themeColor="text1"/>
          <w:sz w:val="22"/>
          <w:szCs w:val="22"/>
        </w:rPr>
        <w:t>J</w:t>
      </w:r>
      <w:r w:rsidR="00551411">
        <w:rPr>
          <w:rFonts w:ascii="Arial" w:hAnsi="Arial" w:cs="Arial"/>
          <w:b/>
          <w:bCs/>
          <w:color w:val="000000" w:themeColor="text1"/>
          <w:sz w:val="22"/>
          <w:szCs w:val="22"/>
        </w:rPr>
        <w:t xml:space="preserve">uan Carlos Rodríguez Sierra </w:t>
      </w:r>
      <w:r w:rsidRPr="00A878F0">
        <w:rPr>
          <w:rFonts w:ascii="Arial" w:hAnsi="Arial" w:cs="Arial"/>
          <w:color w:val="000000" w:themeColor="text1"/>
          <w:sz w:val="22"/>
          <w:szCs w:val="22"/>
        </w:rPr>
        <w:cr/>
      </w:r>
      <w:r w:rsidR="00551411">
        <w:rPr>
          <w:rFonts w:ascii="Arial" w:hAnsi="Arial" w:cs="Arial"/>
          <w:color w:val="000000" w:themeColor="text1"/>
          <w:sz w:val="22"/>
          <w:szCs w:val="22"/>
        </w:rPr>
        <w:t>Medellín</w:t>
      </w:r>
      <w:r w:rsidR="00CF267E">
        <w:rPr>
          <w:rFonts w:ascii="Arial" w:hAnsi="Arial" w:cs="Arial"/>
          <w:color w:val="000000" w:themeColor="text1"/>
          <w:sz w:val="22"/>
          <w:szCs w:val="22"/>
          <w:lang w:val="es-ES_tradnl"/>
        </w:rPr>
        <w:t xml:space="preserve"> </w:t>
      </w:r>
    </w:p>
    <w:p w14:paraId="462F7397" w14:textId="06930FB6" w:rsidR="0076432E" w:rsidRDefault="0076432E" w:rsidP="00F06A29">
      <w:pPr>
        <w:ind w:left="2124" w:firstLine="708"/>
        <w:rPr>
          <w:rFonts w:ascii="Arial" w:hAnsi="Arial" w:cs="Arial"/>
          <w:b/>
          <w:bCs/>
          <w:color w:val="161616" w:themeColor="background1" w:themeShade="1A"/>
          <w:sz w:val="22"/>
          <w:szCs w:val="22"/>
          <w:lang w:val="es-ES_tradnl"/>
        </w:rPr>
      </w:pPr>
    </w:p>
    <w:p w14:paraId="52CE7B0E" w14:textId="77777777" w:rsidR="004B3D4D" w:rsidRPr="00515D32" w:rsidRDefault="004B3D4D" w:rsidP="00F06A29">
      <w:pPr>
        <w:ind w:left="2124" w:firstLine="708"/>
        <w:rPr>
          <w:rFonts w:ascii="Arial" w:hAnsi="Arial" w:cs="Arial"/>
          <w:b/>
          <w:bCs/>
          <w:color w:val="161616" w:themeColor="background1" w:themeShade="1A"/>
          <w:sz w:val="22"/>
          <w:szCs w:val="22"/>
          <w:lang w:val="es-ES_tradnl"/>
        </w:rPr>
      </w:pPr>
    </w:p>
    <w:p w14:paraId="17BA6817" w14:textId="668D2402" w:rsidR="00E54365" w:rsidRPr="00515D32" w:rsidRDefault="00E54365" w:rsidP="00F06A29">
      <w:pPr>
        <w:ind w:left="2124" w:firstLine="708"/>
        <w:rPr>
          <w:rFonts w:ascii="Arial" w:hAnsi="Arial" w:cs="Arial"/>
          <w:b/>
          <w:bCs/>
          <w:color w:val="161616" w:themeColor="background1" w:themeShade="1A"/>
          <w:sz w:val="22"/>
          <w:szCs w:val="22"/>
          <w:lang w:val="es-ES_tradnl"/>
        </w:rPr>
      </w:pPr>
      <w:r w:rsidRPr="00515D32">
        <w:rPr>
          <w:rFonts w:ascii="Arial" w:hAnsi="Arial" w:cs="Arial"/>
          <w:b/>
          <w:bCs/>
          <w:color w:val="161616" w:themeColor="background1" w:themeShade="1A"/>
          <w:sz w:val="22"/>
          <w:szCs w:val="22"/>
          <w:lang w:val="es-ES_tradnl"/>
        </w:rPr>
        <w:t>Concepto</w:t>
      </w:r>
      <w:r w:rsidR="006559E3" w:rsidRPr="00515D32">
        <w:rPr>
          <w:rFonts w:ascii="Arial" w:hAnsi="Arial" w:cs="Arial"/>
          <w:b/>
          <w:bCs/>
          <w:color w:val="161616" w:themeColor="background1" w:themeShade="1A"/>
          <w:sz w:val="22"/>
          <w:szCs w:val="22"/>
          <w:lang w:val="es-ES_tradnl"/>
        </w:rPr>
        <w:t xml:space="preserve"> </w:t>
      </w:r>
      <w:r w:rsidRPr="00515D32">
        <w:rPr>
          <w:rFonts w:ascii="Arial" w:hAnsi="Arial" w:cs="Arial"/>
          <w:b/>
          <w:bCs/>
          <w:color w:val="161616" w:themeColor="background1" w:themeShade="1A"/>
          <w:sz w:val="22"/>
          <w:szCs w:val="22"/>
          <w:lang w:val="es-ES_tradnl"/>
        </w:rPr>
        <w:t>C</w:t>
      </w:r>
      <w:r w:rsidR="00766A70" w:rsidRPr="00515D32">
        <w:rPr>
          <w:rFonts w:ascii="Arial" w:hAnsi="Arial" w:cs="Arial"/>
          <w:b/>
          <w:bCs/>
          <w:color w:val="161616" w:themeColor="background1" w:themeShade="1A"/>
          <w:sz w:val="22"/>
          <w:szCs w:val="22"/>
          <w:lang w:val="es-ES_tradnl"/>
        </w:rPr>
        <w:t xml:space="preserve"> </w:t>
      </w:r>
      <w:r w:rsidR="00F301AD" w:rsidRPr="00515D32">
        <w:rPr>
          <w:rFonts w:ascii="Arial" w:hAnsi="Arial" w:cs="Arial"/>
          <w:b/>
          <w:bCs/>
          <w:color w:val="161616" w:themeColor="background1" w:themeShade="1A"/>
          <w:sz w:val="22"/>
          <w:szCs w:val="22"/>
          <w:lang w:val="es-ES_tradnl"/>
        </w:rPr>
        <w:t>–</w:t>
      </w:r>
      <w:r w:rsidR="00766A70" w:rsidRPr="00515D32">
        <w:rPr>
          <w:rFonts w:ascii="Arial" w:hAnsi="Arial" w:cs="Arial"/>
          <w:b/>
          <w:bCs/>
          <w:color w:val="161616" w:themeColor="background1" w:themeShade="1A"/>
          <w:sz w:val="22"/>
          <w:szCs w:val="22"/>
          <w:lang w:val="es-ES_tradnl"/>
        </w:rPr>
        <w:t xml:space="preserve"> </w:t>
      </w:r>
      <w:r w:rsidR="00672725">
        <w:rPr>
          <w:rFonts w:ascii="Arial" w:hAnsi="Arial" w:cs="Arial"/>
          <w:b/>
          <w:bCs/>
          <w:color w:val="161616" w:themeColor="background1" w:themeShade="1A"/>
          <w:sz w:val="22"/>
          <w:szCs w:val="22"/>
          <w:lang w:val="es-ES_tradnl"/>
        </w:rPr>
        <w:t>3</w:t>
      </w:r>
      <w:r w:rsidR="00551411">
        <w:rPr>
          <w:rFonts w:ascii="Arial" w:hAnsi="Arial" w:cs="Arial"/>
          <w:b/>
          <w:bCs/>
          <w:color w:val="161616" w:themeColor="background1" w:themeShade="1A"/>
          <w:sz w:val="22"/>
          <w:szCs w:val="22"/>
          <w:lang w:val="es-ES_tradnl"/>
        </w:rPr>
        <w:t>92</w:t>
      </w:r>
      <w:r w:rsidR="00455438">
        <w:rPr>
          <w:rFonts w:ascii="Arial" w:hAnsi="Arial" w:cs="Arial"/>
          <w:b/>
          <w:bCs/>
          <w:color w:val="161616" w:themeColor="background1" w:themeShade="1A"/>
          <w:sz w:val="22"/>
          <w:szCs w:val="22"/>
          <w:lang w:val="es-ES_tradnl"/>
        </w:rPr>
        <w:t xml:space="preserve"> </w:t>
      </w:r>
      <w:r w:rsidRPr="00515D32">
        <w:rPr>
          <w:rFonts w:ascii="Arial" w:hAnsi="Arial" w:cs="Arial"/>
          <w:b/>
          <w:bCs/>
          <w:color w:val="161616" w:themeColor="background1" w:themeShade="1A"/>
          <w:sz w:val="22"/>
          <w:szCs w:val="22"/>
          <w:lang w:val="es-ES_tradnl"/>
        </w:rPr>
        <w:t>de 202</w:t>
      </w:r>
      <w:r w:rsidR="00DC02B2" w:rsidRPr="00515D32">
        <w:rPr>
          <w:rFonts w:ascii="Arial" w:hAnsi="Arial" w:cs="Arial"/>
          <w:b/>
          <w:bCs/>
          <w:color w:val="161616" w:themeColor="background1" w:themeShade="1A"/>
          <w:sz w:val="22"/>
          <w:szCs w:val="22"/>
          <w:lang w:val="es-ES_tradnl"/>
        </w:rPr>
        <w:t>2</w:t>
      </w:r>
    </w:p>
    <w:p w14:paraId="3C57C781" w14:textId="77777777" w:rsidR="00FE4C26" w:rsidRPr="00515D32" w:rsidRDefault="00FE4C26" w:rsidP="00F06A29">
      <w:pPr>
        <w:ind w:left="2824" w:hanging="2818"/>
        <w:jc w:val="both"/>
        <w:rPr>
          <w:rFonts w:ascii="Arial" w:eastAsia="Calibri" w:hAnsi="Arial" w:cs="Arial"/>
          <w:b/>
          <w:noProof/>
          <w:color w:val="161616" w:themeColor="background1" w:themeShade="1A"/>
          <w:sz w:val="22"/>
          <w:szCs w:val="22"/>
          <w:lang w:val="es-ES_tradnl" w:eastAsia="en-US"/>
        </w:rPr>
      </w:pPr>
    </w:p>
    <w:p w14:paraId="22E8A6F3" w14:textId="60FE287A" w:rsidR="00672725" w:rsidRPr="001C2D94" w:rsidRDefault="00E54365" w:rsidP="00672725">
      <w:pPr>
        <w:ind w:left="2824" w:hanging="2818"/>
        <w:jc w:val="both"/>
        <w:rPr>
          <w:rFonts w:ascii="Arial" w:eastAsia="Calibri" w:hAnsi="Arial" w:cs="Arial"/>
          <w:bCs/>
          <w:color w:val="161616" w:themeColor="background1" w:themeShade="1A"/>
          <w:sz w:val="22"/>
          <w:szCs w:val="22"/>
          <w:lang w:val="es-ES_tradnl"/>
        </w:rPr>
      </w:pPr>
      <w:r w:rsidRPr="00515D32">
        <w:rPr>
          <w:rFonts w:ascii="Arial" w:eastAsia="Calibri" w:hAnsi="Arial" w:cs="Arial"/>
          <w:b/>
          <w:noProof/>
          <w:color w:val="161616" w:themeColor="background1" w:themeShade="1A"/>
          <w:sz w:val="22"/>
          <w:szCs w:val="22"/>
          <w:lang w:val="es-ES_tradnl" w:eastAsia="en-US"/>
        </w:rPr>
        <w:t>Temas</w:t>
      </w:r>
      <w:r w:rsidRPr="00515D32">
        <w:rPr>
          <w:rFonts w:ascii="Arial" w:eastAsia="Calibri" w:hAnsi="Arial" w:cs="Arial"/>
          <w:bCs/>
          <w:noProof/>
          <w:color w:val="161616" w:themeColor="background1" w:themeShade="1A"/>
          <w:sz w:val="22"/>
          <w:szCs w:val="22"/>
          <w:lang w:val="es-ES_tradnl" w:eastAsia="en-US"/>
        </w:rPr>
        <w:t xml:space="preserve">: </w:t>
      </w:r>
      <w:r w:rsidRPr="00515D32">
        <w:rPr>
          <w:rFonts w:ascii="Arial" w:eastAsia="Calibri" w:hAnsi="Arial" w:cs="Arial"/>
          <w:bCs/>
          <w:noProof/>
          <w:color w:val="161616" w:themeColor="background1" w:themeShade="1A"/>
          <w:sz w:val="22"/>
          <w:szCs w:val="22"/>
          <w:lang w:val="es-ES_tradnl" w:eastAsia="en-US"/>
        </w:rPr>
        <w:tab/>
      </w:r>
      <w:r w:rsidR="005526A0" w:rsidRPr="005526A0">
        <w:rPr>
          <w:rFonts w:ascii="Arial" w:eastAsia="Calibri" w:hAnsi="Arial" w:cs="Arial"/>
          <w:bCs/>
          <w:color w:val="161616" w:themeColor="background1" w:themeShade="1A"/>
          <w:sz w:val="22"/>
          <w:szCs w:val="22"/>
          <w:lang w:val="es-ES_tradnl"/>
        </w:rPr>
        <w:t xml:space="preserve">CAPACIDAD RESIDUAL – Definición – </w:t>
      </w:r>
      <w:r w:rsidR="001C2D94">
        <w:rPr>
          <w:rFonts w:ascii="Arial" w:eastAsia="Calibri" w:hAnsi="Arial" w:cs="Arial"/>
          <w:bCs/>
          <w:color w:val="161616" w:themeColor="background1" w:themeShade="1A"/>
          <w:sz w:val="22"/>
          <w:szCs w:val="22"/>
          <w:lang w:val="es-ES_tradnl"/>
        </w:rPr>
        <w:t>Alcance</w:t>
      </w:r>
      <w:r w:rsidR="005526A0">
        <w:rPr>
          <w:rFonts w:ascii="Arial" w:eastAsia="Calibri" w:hAnsi="Arial" w:cs="Arial"/>
          <w:bCs/>
          <w:color w:val="161616" w:themeColor="background1" w:themeShade="1A"/>
          <w:sz w:val="22"/>
          <w:szCs w:val="22"/>
          <w:lang w:val="es-ES_tradnl"/>
        </w:rPr>
        <w:t xml:space="preserve"> / </w:t>
      </w:r>
      <w:r w:rsidR="00496FA4" w:rsidRPr="00496FA4">
        <w:rPr>
          <w:rFonts w:ascii="Arial" w:eastAsia="Calibri" w:hAnsi="Arial" w:cs="Arial"/>
          <w:bCs/>
          <w:color w:val="161616" w:themeColor="background1" w:themeShade="1A"/>
          <w:sz w:val="22"/>
          <w:szCs w:val="22"/>
          <w:lang w:val="es-ES_tradnl"/>
        </w:rPr>
        <w:t>CAPACIDAD RESIDUAL – Acreditación</w:t>
      </w:r>
      <w:r w:rsidR="003E1DFC">
        <w:rPr>
          <w:rFonts w:ascii="Arial" w:eastAsia="Calibri" w:hAnsi="Arial" w:cs="Arial"/>
          <w:bCs/>
          <w:color w:val="161616" w:themeColor="background1" w:themeShade="1A"/>
          <w:sz w:val="22"/>
          <w:szCs w:val="22"/>
          <w:lang w:val="es-ES_tradnl"/>
        </w:rPr>
        <w:t xml:space="preserve"> / </w:t>
      </w:r>
      <w:r w:rsidR="003E1DFC" w:rsidRPr="003E1DFC">
        <w:rPr>
          <w:rFonts w:ascii="Arial" w:eastAsia="Calibri" w:hAnsi="Arial" w:cs="Arial"/>
          <w:bCs/>
          <w:color w:val="161616" w:themeColor="background1" w:themeShade="1A"/>
          <w:sz w:val="22"/>
          <w:szCs w:val="22"/>
          <w:lang w:val="es-ES_tradnl"/>
        </w:rPr>
        <w:t xml:space="preserve">CAPACIDAD RESIDUAL – Cálculo </w:t>
      </w:r>
      <w:r w:rsidR="003E1DFC">
        <w:rPr>
          <w:rFonts w:ascii="Arial" w:eastAsia="Calibri" w:hAnsi="Arial" w:cs="Arial"/>
          <w:bCs/>
          <w:color w:val="161616" w:themeColor="background1" w:themeShade="1A"/>
          <w:sz w:val="22"/>
          <w:szCs w:val="22"/>
          <w:lang w:val="es-ES_tradnl"/>
        </w:rPr>
        <w:t xml:space="preserve">/ </w:t>
      </w:r>
      <w:r w:rsidR="003E1DFC" w:rsidRPr="003E1DFC">
        <w:rPr>
          <w:rFonts w:ascii="Arial" w:eastAsia="Calibri" w:hAnsi="Arial" w:cs="Arial"/>
          <w:bCs/>
          <w:color w:val="161616" w:themeColor="background1" w:themeShade="1A"/>
          <w:sz w:val="22"/>
          <w:szCs w:val="22"/>
          <w:lang w:val="es-ES_tradnl"/>
        </w:rPr>
        <w:t>CONTRATOS EN EJECUCIÓN – Definición</w:t>
      </w:r>
      <w:r w:rsidR="001C2D94">
        <w:rPr>
          <w:rFonts w:ascii="Arial" w:eastAsia="Calibri" w:hAnsi="Arial" w:cs="Arial"/>
          <w:bCs/>
          <w:color w:val="161616" w:themeColor="background1" w:themeShade="1A"/>
          <w:sz w:val="22"/>
          <w:szCs w:val="22"/>
          <w:lang w:val="es-ES_tradnl"/>
        </w:rPr>
        <w:t xml:space="preserve"> / </w:t>
      </w:r>
      <w:r w:rsidR="001C2D94" w:rsidRPr="001C2D94">
        <w:rPr>
          <w:rFonts w:ascii="Arial" w:eastAsia="Calibri" w:hAnsi="Arial" w:cs="Arial"/>
          <w:bCs/>
          <w:color w:val="161616" w:themeColor="background1" w:themeShade="1A"/>
          <w:sz w:val="22"/>
          <w:szCs w:val="22"/>
          <w:lang w:val="es-ES_tradnl"/>
        </w:rPr>
        <w:t>CONTRATOS EN ESTADO DE LIQUIDACIÓN – Relación con la capacidad residual</w:t>
      </w:r>
      <w:r w:rsidR="003E1DFC">
        <w:rPr>
          <w:rFonts w:ascii="Arial" w:eastAsia="Calibri" w:hAnsi="Arial" w:cs="Arial"/>
          <w:bCs/>
          <w:color w:val="161616" w:themeColor="background1" w:themeShade="1A"/>
          <w:sz w:val="22"/>
          <w:szCs w:val="22"/>
          <w:lang w:val="es-ES_tradnl"/>
        </w:rPr>
        <w:t xml:space="preserve"> </w:t>
      </w:r>
    </w:p>
    <w:p w14:paraId="6059F3C0" w14:textId="5259745E" w:rsidR="000E561B" w:rsidRPr="00672725" w:rsidRDefault="000E561B" w:rsidP="00983695">
      <w:pPr>
        <w:spacing w:after="120"/>
        <w:ind w:left="2824" w:hanging="2818"/>
        <w:jc w:val="both"/>
        <w:rPr>
          <w:rFonts w:ascii="Arial" w:eastAsia="Calibri" w:hAnsi="Arial" w:cs="Arial"/>
          <w:bCs/>
          <w:color w:val="161616" w:themeColor="background1" w:themeShade="1A"/>
          <w:sz w:val="22"/>
          <w:szCs w:val="22"/>
        </w:rPr>
      </w:pPr>
    </w:p>
    <w:p w14:paraId="49699107" w14:textId="5C9991DF" w:rsidR="00E54365" w:rsidRPr="00551411" w:rsidRDefault="00E54365" w:rsidP="00F06A29">
      <w:pPr>
        <w:ind w:left="2835" w:hanging="2835"/>
        <w:jc w:val="both"/>
        <w:rPr>
          <w:rFonts w:ascii="Arial" w:eastAsia="Calibri" w:hAnsi="Arial" w:cs="Arial"/>
          <w:bCs/>
          <w:noProof/>
          <w:color w:val="161616" w:themeColor="background1" w:themeShade="1A"/>
          <w:sz w:val="22"/>
          <w:szCs w:val="22"/>
          <w:lang w:val="es-ES_tradnl" w:eastAsia="en-US"/>
        </w:rPr>
      </w:pPr>
      <w:r w:rsidRPr="00515D32">
        <w:rPr>
          <w:rFonts w:ascii="Arial" w:eastAsia="Calibri" w:hAnsi="Arial" w:cs="Arial"/>
          <w:b/>
          <w:noProof/>
          <w:color w:val="161616" w:themeColor="background1" w:themeShade="1A"/>
          <w:sz w:val="22"/>
          <w:szCs w:val="22"/>
          <w:lang w:val="es-ES_tradnl" w:eastAsia="en-US"/>
        </w:rPr>
        <w:t>Radicación</w:t>
      </w:r>
      <w:r w:rsidRPr="00515D32">
        <w:rPr>
          <w:rFonts w:ascii="Arial" w:eastAsia="Calibri" w:hAnsi="Arial" w:cs="Arial"/>
          <w:bCs/>
          <w:noProof/>
          <w:color w:val="161616" w:themeColor="background1" w:themeShade="1A"/>
          <w:sz w:val="22"/>
          <w:szCs w:val="22"/>
          <w:lang w:val="es-ES_tradnl" w:eastAsia="en-US"/>
        </w:rPr>
        <w:t>:</w:t>
      </w:r>
      <w:r w:rsidRPr="00515D32">
        <w:rPr>
          <w:rFonts w:ascii="Arial" w:eastAsia="Calibri" w:hAnsi="Arial" w:cs="Arial"/>
          <w:bCs/>
          <w:noProof/>
          <w:color w:val="161616" w:themeColor="background1" w:themeShade="1A"/>
          <w:sz w:val="22"/>
          <w:szCs w:val="22"/>
          <w:lang w:val="es-ES_tradnl" w:eastAsia="en-US"/>
        </w:rPr>
        <w:tab/>
        <w:t>Respuesta a consulta</w:t>
      </w:r>
      <w:r w:rsidR="00FB5E3B" w:rsidRPr="00515D32">
        <w:rPr>
          <w:rFonts w:ascii="Arial" w:eastAsia="Calibri" w:hAnsi="Arial" w:cs="Arial"/>
          <w:bCs/>
          <w:noProof/>
          <w:color w:val="161616" w:themeColor="background1" w:themeShade="1A"/>
          <w:sz w:val="22"/>
          <w:szCs w:val="22"/>
          <w:lang w:val="es-ES_tradnl" w:eastAsia="en-US"/>
        </w:rPr>
        <w:t xml:space="preserve"> </w:t>
      </w:r>
      <w:r w:rsidR="00551411" w:rsidRPr="00551411">
        <w:rPr>
          <w:rFonts w:ascii="Arial" w:eastAsia="Calibri" w:hAnsi="Arial" w:cs="Arial"/>
          <w:bCs/>
          <w:noProof/>
          <w:color w:val="161616" w:themeColor="background1" w:themeShade="1A"/>
          <w:sz w:val="22"/>
          <w:szCs w:val="22"/>
          <w:lang w:val="es-ES_tradnl" w:eastAsia="en-US"/>
        </w:rPr>
        <w:t>P20220504004396</w:t>
      </w:r>
      <w:r w:rsidR="00E111EA">
        <w:rPr>
          <w:rFonts w:ascii="Arial" w:eastAsia="Calibri" w:hAnsi="Arial" w:cs="Arial"/>
          <w:bCs/>
          <w:noProof/>
          <w:color w:val="161616" w:themeColor="background1" w:themeShade="1A"/>
          <w:sz w:val="22"/>
          <w:szCs w:val="22"/>
          <w:lang w:val="es-ES_tradnl" w:eastAsia="en-US"/>
        </w:rPr>
        <w:t xml:space="preserve"> </w:t>
      </w:r>
    </w:p>
    <w:p w14:paraId="6502F989" w14:textId="124AE9D6" w:rsidR="00C366C4" w:rsidRDefault="00C366C4" w:rsidP="00F06A29">
      <w:pPr>
        <w:rPr>
          <w:rFonts w:ascii="Arial" w:hAnsi="Arial" w:cs="Arial"/>
          <w:color w:val="161616" w:themeColor="background1" w:themeShade="1A"/>
          <w:sz w:val="22"/>
          <w:szCs w:val="22"/>
          <w:lang w:val="es-ES_tradnl"/>
        </w:rPr>
      </w:pPr>
    </w:p>
    <w:p w14:paraId="5EF97382" w14:textId="77777777" w:rsidR="0063440E" w:rsidRPr="00515D32" w:rsidRDefault="0063440E" w:rsidP="00F06A29">
      <w:pPr>
        <w:rPr>
          <w:rFonts w:ascii="Arial" w:hAnsi="Arial" w:cs="Arial"/>
          <w:color w:val="161616" w:themeColor="background1" w:themeShade="1A"/>
          <w:sz w:val="22"/>
          <w:szCs w:val="22"/>
          <w:lang w:val="es-ES_tradnl"/>
        </w:rPr>
      </w:pPr>
    </w:p>
    <w:p w14:paraId="71ED9EB2" w14:textId="48F88C10" w:rsidR="00E54365" w:rsidRPr="00515D32" w:rsidRDefault="00E54365" w:rsidP="00870412">
      <w:pPr>
        <w:spacing w:before="240" w:line="276" w:lineRule="auto"/>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Estimad</w:t>
      </w:r>
      <w:r w:rsidR="001419D7">
        <w:rPr>
          <w:rFonts w:ascii="Arial" w:hAnsi="Arial" w:cs="Arial"/>
          <w:color w:val="161616" w:themeColor="background1" w:themeShade="1A"/>
          <w:sz w:val="22"/>
          <w:szCs w:val="22"/>
          <w:lang w:val="es-ES_tradnl"/>
        </w:rPr>
        <w:t>o</w:t>
      </w:r>
      <w:r w:rsidR="007168C5">
        <w:rPr>
          <w:rFonts w:ascii="Arial" w:hAnsi="Arial" w:cs="Arial"/>
          <w:color w:val="161616" w:themeColor="background1" w:themeShade="1A"/>
          <w:sz w:val="22"/>
          <w:szCs w:val="22"/>
          <w:lang w:val="es-ES_tradnl"/>
        </w:rPr>
        <w:t xml:space="preserve"> Señor</w:t>
      </w:r>
      <w:r w:rsidR="001419D7">
        <w:rPr>
          <w:rFonts w:ascii="Arial" w:hAnsi="Arial" w:cs="Arial"/>
          <w:color w:val="161616" w:themeColor="background1" w:themeShade="1A"/>
          <w:sz w:val="22"/>
          <w:szCs w:val="22"/>
          <w:lang w:val="es-ES_tradnl"/>
        </w:rPr>
        <w:t xml:space="preserve"> </w:t>
      </w:r>
      <w:r w:rsidR="00551411">
        <w:rPr>
          <w:rFonts w:ascii="Arial" w:hAnsi="Arial" w:cs="Arial"/>
          <w:color w:val="161616" w:themeColor="background1" w:themeShade="1A"/>
          <w:sz w:val="22"/>
          <w:szCs w:val="22"/>
          <w:lang w:val="es-ES_tradnl"/>
        </w:rPr>
        <w:t>Rodríguez</w:t>
      </w:r>
      <w:r w:rsidR="007168C5">
        <w:rPr>
          <w:rFonts w:ascii="Arial" w:hAnsi="Arial" w:cs="Arial"/>
          <w:color w:val="161616" w:themeColor="background1" w:themeShade="1A"/>
          <w:sz w:val="22"/>
          <w:szCs w:val="22"/>
          <w:lang w:val="es-ES_tradnl"/>
        </w:rPr>
        <w:t xml:space="preserve">, </w:t>
      </w:r>
      <w:r w:rsidR="006D2519" w:rsidRPr="00515D32">
        <w:rPr>
          <w:rFonts w:ascii="Arial" w:hAnsi="Arial" w:cs="Arial"/>
          <w:color w:val="161616" w:themeColor="background1" w:themeShade="1A"/>
          <w:sz w:val="22"/>
          <w:szCs w:val="22"/>
          <w:lang w:val="es-ES_tradnl"/>
        </w:rPr>
        <w:t xml:space="preserve"> </w:t>
      </w:r>
      <w:r w:rsidRPr="00515D32">
        <w:rPr>
          <w:rFonts w:ascii="Arial" w:hAnsi="Arial" w:cs="Arial"/>
          <w:color w:val="161616" w:themeColor="background1" w:themeShade="1A"/>
          <w:sz w:val="22"/>
          <w:szCs w:val="22"/>
          <w:lang w:val="es-ES_tradnl"/>
        </w:rPr>
        <w:t xml:space="preserve"> </w:t>
      </w:r>
    </w:p>
    <w:p w14:paraId="59F550C5" w14:textId="242B3D02" w:rsidR="00B32DB2" w:rsidRPr="00515D32" w:rsidRDefault="00E54365" w:rsidP="00870412">
      <w:pPr>
        <w:spacing w:before="240" w:line="276" w:lineRule="auto"/>
        <w:jc w:val="both"/>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 xml:space="preserve">En ejercicio de la competencia otorgada por el numeral 8 del artículo 11 y el numeral 5 del artículo 3 del Decreto Ley 4170 de 2011, la Agencia Nacional de Contratación Pública− Colombia Compra Eficiente responde su consulta </w:t>
      </w:r>
      <w:r w:rsidR="00584D9E" w:rsidRPr="00584D9E">
        <w:rPr>
          <w:rFonts w:ascii="Arial" w:hAnsi="Arial" w:cs="Arial"/>
          <w:color w:val="161616" w:themeColor="background1" w:themeShade="1A"/>
          <w:sz w:val="22"/>
          <w:szCs w:val="22"/>
          <w:lang w:val="es-ES_tradnl"/>
        </w:rPr>
        <w:t xml:space="preserve">remitida el </w:t>
      </w:r>
      <w:r w:rsidR="00551411">
        <w:rPr>
          <w:rFonts w:ascii="Arial" w:hAnsi="Arial" w:cs="Arial"/>
          <w:color w:val="161616" w:themeColor="background1" w:themeShade="1A"/>
          <w:sz w:val="22"/>
          <w:szCs w:val="22"/>
          <w:lang w:val="es-ES_tradnl"/>
        </w:rPr>
        <w:t>4</w:t>
      </w:r>
      <w:r w:rsidR="00EA2015">
        <w:rPr>
          <w:rFonts w:ascii="Arial" w:hAnsi="Arial" w:cs="Arial"/>
          <w:color w:val="161616" w:themeColor="background1" w:themeShade="1A"/>
          <w:sz w:val="22"/>
          <w:szCs w:val="22"/>
          <w:lang w:val="es-ES_tradnl"/>
        </w:rPr>
        <w:t xml:space="preserve"> de </w:t>
      </w:r>
      <w:r w:rsidR="00551411">
        <w:rPr>
          <w:rFonts w:ascii="Arial" w:hAnsi="Arial" w:cs="Arial"/>
          <w:color w:val="161616" w:themeColor="background1" w:themeShade="1A"/>
          <w:sz w:val="22"/>
          <w:szCs w:val="22"/>
          <w:lang w:val="es-ES_tradnl"/>
        </w:rPr>
        <w:t>mayo</w:t>
      </w:r>
      <w:r w:rsidR="002E257B">
        <w:rPr>
          <w:rFonts w:ascii="Arial" w:hAnsi="Arial" w:cs="Arial"/>
          <w:color w:val="161616" w:themeColor="background1" w:themeShade="1A"/>
          <w:sz w:val="22"/>
          <w:szCs w:val="22"/>
          <w:lang w:val="es-ES_tradnl"/>
        </w:rPr>
        <w:t xml:space="preserve"> </w:t>
      </w:r>
      <w:r w:rsidR="00EA2015">
        <w:rPr>
          <w:rFonts w:ascii="Arial" w:hAnsi="Arial" w:cs="Arial"/>
          <w:color w:val="161616" w:themeColor="background1" w:themeShade="1A"/>
          <w:sz w:val="22"/>
          <w:szCs w:val="22"/>
          <w:lang w:val="es-ES_tradnl"/>
        </w:rPr>
        <w:t>de 2022</w:t>
      </w:r>
      <w:r w:rsidR="002E257B">
        <w:rPr>
          <w:rFonts w:ascii="Arial" w:hAnsi="Arial" w:cs="Arial"/>
          <w:color w:val="161616" w:themeColor="background1" w:themeShade="1A"/>
          <w:sz w:val="22"/>
          <w:szCs w:val="22"/>
          <w:lang w:val="es-ES_tradnl"/>
        </w:rPr>
        <w:t xml:space="preserve">. </w:t>
      </w:r>
    </w:p>
    <w:p w14:paraId="4CDB27A1" w14:textId="23AF4B73" w:rsidR="00FB5E3B" w:rsidRPr="00515D32" w:rsidRDefault="00E54365" w:rsidP="00870412">
      <w:pPr>
        <w:spacing w:before="240" w:line="276" w:lineRule="auto"/>
        <w:rPr>
          <w:rFonts w:ascii="Arial" w:hAnsi="Arial" w:cs="Arial"/>
          <w:b/>
          <w:color w:val="161616" w:themeColor="background1" w:themeShade="1A"/>
          <w:sz w:val="22"/>
          <w:szCs w:val="22"/>
          <w:lang w:val="es-ES_tradnl"/>
        </w:rPr>
      </w:pPr>
      <w:r w:rsidRPr="00515D32">
        <w:rPr>
          <w:rFonts w:ascii="Arial" w:hAnsi="Arial" w:cs="Arial"/>
          <w:b/>
          <w:color w:val="161616" w:themeColor="background1" w:themeShade="1A"/>
          <w:sz w:val="22"/>
          <w:szCs w:val="22"/>
          <w:lang w:val="es-ES_tradnl"/>
        </w:rPr>
        <w:t xml:space="preserve">1. Problema planteado </w:t>
      </w:r>
    </w:p>
    <w:p w14:paraId="0144AA5A" w14:textId="3D617535" w:rsidR="00B32DB2" w:rsidRPr="009B5DE1" w:rsidRDefault="00FB5E3B" w:rsidP="00870412">
      <w:pPr>
        <w:spacing w:before="240" w:line="276" w:lineRule="auto"/>
        <w:jc w:val="both"/>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 xml:space="preserve">Usted </w:t>
      </w:r>
      <w:r w:rsidR="00EF64D8" w:rsidRPr="00515D32">
        <w:rPr>
          <w:rFonts w:ascii="Arial" w:hAnsi="Arial" w:cs="Arial"/>
          <w:color w:val="161616" w:themeColor="background1" w:themeShade="1A"/>
          <w:sz w:val="22"/>
          <w:szCs w:val="22"/>
          <w:lang w:val="es-ES_tradnl"/>
        </w:rPr>
        <w:t>formula</w:t>
      </w:r>
      <w:r w:rsidRPr="00515D32">
        <w:rPr>
          <w:rFonts w:ascii="Arial" w:hAnsi="Arial" w:cs="Arial"/>
          <w:color w:val="161616" w:themeColor="background1" w:themeShade="1A"/>
          <w:sz w:val="22"/>
          <w:szCs w:val="22"/>
          <w:lang w:val="es-ES_tradnl"/>
        </w:rPr>
        <w:t xml:space="preserve"> la siguiente consulta</w:t>
      </w:r>
      <w:r w:rsidR="009B5DE1" w:rsidRPr="009B5DE1">
        <w:rPr>
          <w:rFonts w:ascii="Arial" w:hAnsi="Arial" w:cs="Arial"/>
          <w:color w:val="161616" w:themeColor="background1" w:themeShade="1A"/>
          <w:sz w:val="22"/>
          <w:szCs w:val="22"/>
          <w:lang w:val="es-ES_tradnl"/>
        </w:rPr>
        <w:t>:</w:t>
      </w:r>
      <w:r w:rsidR="00151D08" w:rsidRPr="009B5DE1">
        <w:rPr>
          <w:rFonts w:ascii="Arial" w:hAnsi="Arial" w:cs="Arial"/>
          <w:color w:val="161616" w:themeColor="background1" w:themeShade="1A"/>
          <w:sz w:val="22"/>
          <w:szCs w:val="22"/>
          <w:lang w:val="es-ES_tradnl"/>
        </w:rPr>
        <w:t xml:space="preserve"> </w:t>
      </w:r>
      <w:r w:rsidR="00B94548" w:rsidRPr="009B5DE1">
        <w:rPr>
          <w:rFonts w:ascii="Arial" w:hAnsi="Arial" w:cs="Arial"/>
          <w:color w:val="161616" w:themeColor="background1" w:themeShade="1A"/>
          <w:sz w:val="22"/>
          <w:szCs w:val="22"/>
          <w:lang w:val="es-ES_tradnl"/>
        </w:rPr>
        <w:t>«</w:t>
      </w:r>
      <w:r w:rsidR="00603291" w:rsidRPr="008F3730">
        <w:rPr>
          <w:rFonts w:ascii="Arial" w:eastAsia="Arial," w:hAnsi="Arial" w:cs="Arial"/>
          <w:sz w:val="20"/>
          <w:szCs w:val="20"/>
        </w:rPr>
        <w:t>[…]</w:t>
      </w:r>
      <w:r w:rsidR="00603291">
        <w:rPr>
          <w:rFonts w:ascii="Arial" w:eastAsia="Arial," w:hAnsi="Arial" w:cs="Arial"/>
          <w:sz w:val="20"/>
          <w:szCs w:val="20"/>
        </w:rPr>
        <w:t xml:space="preserve"> </w:t>
      </w:r>
      <w:r w:rsidR="00603291" w:rsidRPr="00603291">
        <w:rPr>
          <w:rFonts w:ascii="Arial" w:hAnsi="Arial" w:cs="Arial"/>
          <w:color w:val="161616" w:themeColor="background1" w:themeShade="1A"/>
          <w:sz w:val="22"/>
          <w:szCs w:val="22"/>
          <w:lang w:val="es-ES_tradnl"/>
        </w:rPr>
        <w:t>comedidamente solicito dar la claridad correspondiente, para el tema de la capacidad residual, específicamente sobre los saldos de contratos en ejecución, ya que el Decreto 791 de 2014, no menciona si los contratos deben estar liquidados, pues existen contratos que ya no están en etapa de ejecución, sino en la de liquidación y ya no están generando saldos pendientes; entonces, esos contratos se pueden omitir del formulario de capacidad residual, contratos en ejecución, para la presentación de propuestas?</w:t>
      </w:r>
      <w:r w:rsidR="00EA04BE" w:rsidRPr="009B5DE1">
        <w:rPr>
          <w:rFonts w:ascii="Arial" w:hAnsi="Arial" w:cs="Arial"/>
          <w:color w:val="161616" w:themeColor="background1" w:themeShade="1A"/>
          <w:sz w:val="22"/>
          <w:szCs w:val="22"/>
          <w:lang w:val="es-ES_tradnl"/>
        </w:rPr>
        <w:t>»</w:t>
      </w:r>
      <w:r w:rsidR="00983695" w:rsidRPr="009B5DE1">
        <w:rPr>
          <w:rFonts w:ascii="Arial" w:hAnsi="Arial" w:cs="Arial"/>
          <w:color w:val="161616" w:themeColor="background1" w:themeShade="1A"/>
          <w:sz w:val="22"/>
          <w:szCs w:val="22"/>
          <w:lang w:val="es-ES_tradnl"/>
        </w:rPr>
        <w:t>.</w:t>
      </w:r>
    </w:p>
    <w:p w14:paraId="0F58A986" w14:textId="041060E5" w:rsidR="00AA171A" w:rsidRPr="00870412" w:rsidRDefault="00E54365" w:rsidP="00870412">
      <w:pPr>
        <w:spacing w:before="240" w:line="276" w:lineRule="auto"/>
        <w:rPr>
          <w:rFonts w:ascii="Arial" w:hAnsi="Arial" w:cs="Arial"/>
          <w:b/>
          <w:color w:val="161616" w:themeColor="background1" w:themeShade="1A"/>
          <w:sz w:val="22"/>
          <w:szCs w:val="22"/>
          <w:lang w:val="es-ES_tradnl"/>
        </w:rPr>
      </w:pPr>
      <w:r w:rsidRPr="00515D32">
        <w:rPr>
          <w:rFonts w:ascii="Arial" w:hAnsi="Arial" w:cs="Arial"/>
          <w:b/>
          <w:color w:val="161616" w:themeColor="background1" w:themeShade="1A"/>
          <w:sz w:val="22"/>
          <w:szCs w:val="22"/>
          <w:lang w:val="es-ES_tradnl"/>
        </w:rPr>
        <w:t xml:space="preserve">2. Consideraciones </w:t>
      </w:r>
    </w:p>
    <w:p w14:paraId="6DCB1B64" w14:textId="646199DD" w:rsidR="00E02842" w:rsidRPr="00E02842" w:rsidRDefault="00E02842" w:rsidP="00870412">
      <w:pPr>
        <w:spacing w:before="240" w:line="276" w:lineRule="auto"/>
        <w:jc w:val="both"/>
        <w:rPr>
          <w:rFonts w:ascii="Arial" w:hAnsi="Arial" w:cs="Arial"/>
          <w:bCs/>
          <w:color w:val="161616" w:themeColor="background1" w:themeShade="1A"/>
          <w:sz w:val="22"/>
          <w:szCs w:val="22"/>
          <w:lang w:val="es-ES"/>
        </w:rPr>
      </w:pPr>
      <w:r w:rsidRPr="00E02842">
        <w:rPr>
          <w:rFonts w:ascii="Arial" w:hAnsi="Arial" w:cs="Arial"/>
          <w:bCs/>
          <w:color w:val="161616" w:themeColor="background1" w:themeShade="1A"/>
          <w:sz w:val="22"/>
          <w:szCs w:val="22"/>
          <w:lang w:val="es-ES"/>
        </w:rPr>
        <w:lastRenderedPageBreak/>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sidR="00760D29">
        <w:rPr>
          <w:rFonts w:ascii="Arial" w:hAnsi="Arial" w:cs="Arial"/>
          <w:bCs/>
          <w:color w:val="161616" w:themeColor="background1" w:themeShade="1A"/>
          <w:sz w:val="22"/>
          <w:szCs w:val="22"/>
          <w:lang w:val="es-ES"/>
        </w:rPr>
        <w:t>concretos</w:t>
      </w:r>
      <w:r w:rsidR="00760D29" w:rsidRPr="00E02842">
        <w:rPr>
          <w:rFonts w:ascii="Arial" w:hAnsi="Arial" w:cs="Arial"/>
          <w:bCs/>
          <w:color w:val="161616" w:themeColor="background1" w:themeShade="1A"/>
          <w:sz w:val="22"/>
          <w:szCs w:val="22"/>
          <w:lang w:val="es-ES"/>
        </w:rPr>
        <w:t xml:space="preserve"> </w:t>
      </w:r>
      <w:r w:rsidRPr="00E02842">
        <w:rPr>
          <w:rFonts w:ascii="Arial" w:hAnsi="Arial" w:cs="Arial"/>
          <w:bCs/>
          <w:color w:val="161616" w:themeColor="background1" w:themeShade="1A"/>
          <w:sz w:val="22"/>
          <w:szCs w:val="22"/>
          <w:lang w:val="es-ES"/>
        </w:rPr>
        <w:t>de todos los partícipes de la contratación estatal.</w:t>
      </w:r>
    </w:p>
    <w:p w14:paraId="7D730F63" w14:textId="419EAB62" w:rsidR="00324011" w:rsidRDefault="00E02842" w:rsidP="00F14985">
      <w:pPr>
        <w:spacing w:before="120" w:line="276" w:lineRule="auto"/>
        <w:ind w:firstLine="709"/>
        <w:jc w:val="both"/>
        <w:rPr>
          <w:rFonts w:ascii="Arial" w:hAnsi="Arial" w:cs="Arial"/>
          <w:bCs/>
          <w:color w:val="161616" w:themeColor="background1" w:themeShade="1A"/>
          <w:sz w:val="22"/>
          <w:szCs w:val="22"/>
          <w:lang w:val="es-ES"/>
        </w:rPr>
      </w:pPr>
      <w:r w:rsidRPr="00E02842">
        <w:rPr>
          <w:rFonts w:ascii="Arial" w:hAnsi="Arial" w:cs="Arial"/>
          <w:bCs/>
          <w:color w:val="161616" w:themeColor="background1" w:themeShade="1A"/>
          <w:sz w:val="22"/>
          <w:szCs w:val="22"/>
          <w:lang w:val="es-ES"/>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brindar asesorías sobre casos puntuales. </w:t>
      </w:r>
      <w:r w:rsidR="00BA60E7">
        <w:rPr>
          <w:rFonts w:ascii="Arial" w:hAnsi="Arial" w:cs="Arial"/>
          <w:sz w:val="22"/>
          <w:lang w:val="es-ES"/>
        </w:rPr>
        <w:t>Esto en la medida en que</w:t>
      </w:r>
      <w:r w:rsidR="00E91C7E">
        <w:rPr>
          <w:rFonts w:ascii="Arial" w:hAnsi="Arial" w:cs="Arial"/>
          <w:sz w:val="22"/>
          <w:lang w:val="es-ES"/>
        </w:rPr>
        <w:t>,</w:t>
      </w:r>
      <w:r w:rsidR="00BA60E7">
        <w:rPr>
          <w:rFonts w:ascii="Arial" w:hAnsi="Arial" w:cs="Arial"/>
          <w:sz w:val="22"/>
          <w:lang w:val="es-ES"/>
        </w:rPr>
        <w:t xml:space="preserve"> para resolver una consulta de carácter particular, además de conocer un sinnúmero de detalles de la actuación administrativa, es necesario acceder al expediente y a los documentos del procedimiento contractual donde surge la inquietud</w:t>
      </w:r>
      <w:r w:rsidR="00D54D4B">
        <w:rPr>
          <w:rFonts w:ascii="Arial" w:hAnsi="Arial" w:cs="Arial"/>
          <w:sz w:val="22"/>
          <w:lang w:val="es-ES"/>
        </w:rPr>
        <w:t>.</w:t>
      </w:r>
      <w:r w:rsidR="00D26E1A">
        <w:rPr>
          <w:rFonts w:ascii="Arial" w:hAnsi="Arial" w:cs="Arial"/>
          <w:bCs/>
          <w:color w:val="161616" w:themeColor="background1" w:themeShade="1A"/>
          <w:sz w:val="22"/>
          <w:szCs w:val="22"/>
          <w:lang w:val="es-ES"/>
        </w:rPr>
        <w:t xml:space="preserve"> </w:t>
      </w:r>
      <w:r w:rsidRPr="00E02842">
        <w:rPr>
          <w:rFonts w:ascii="Arial" w:hAnsi="Arial" w:cs="Arial"/>
          <w:bCs/>
          <w:color w:val="161616" w:themeColor="background1" w:themeShade="1A"/>
          <w:sz w:val="22"/>
          <w:szCs w:val="22"/>
          <w:lang w:val="es-ES"/>
        </w:rPr>
        <w:t>Por lo anterior, previo concepto de sus órganos asesores, la solución de estos temas corresponde a la entidad que adelanta el procedimiento de selección y, en caso de conflicto, a las autoridades judiciales, fiscales y disciplinarias.</w:t>
      </w:r>
    </w:p>
    <w:p w14:paraId="39458E44" w14:textId="516D1C05" w:rsidR="00870412" w:rsidRPr="00870412" w:rsidRDefault="00E02842" w:rsidP="00F14985">
      <w:pPr>
        <w:spacing w:before="120" w:line="276" w:lineRule="auto"/>
        <w:ind w:firstLine="709"/>
        <w:jc w:val="both"/>
        <w:rPr>
          <w:rFonts w:ascii="Arial" w:hAnsi="Arial" w:cs="Arial"/>
          <w:bCs/>
          <w:color w:val="161616" w:themeColor="background1" w:themeShade="1A"/>
          <w:sz w:val="22"/>
          <w:szCs w:val="22"/>
          <w:lang w:val="es-ES"/>
        </w:rPr>
      </w:pPr>
      <w:r w:rsidRPr="00E02842">
        <w:rPr>
          <w:rFonts w:ascii="Arial" w:hAnsi="Arial" w:cs="Arial"/>
          <w:bCs/>
          <w:color w:val="161616" w:themeColor="background1" w:themeShade="1A"/>
          <w:sz w:val="22"/>
          <w:szCs w:val="22"/>
          <w:lang w:val="es-ES"/>
        </w:rPr>
        <w:t>En este contexto, la Subdirección –dentro de los límites de sus atribuciones, esto es, haciendo abstracción del caso particular expuesto por el peticionario– resolverá la consulta conforme a las normas generales en materia de contratación estatal.</w:t>
      </w:r>
      <w:r w:rsidR="00587E63">
        <w:rPr>
          <w:rFonts w:ascii="Arial" w:hAnsi="Arial" w:cs="Arial"/>
          <w:bCs/>
          <w:color w:val="161616" w:themeColor="background1" w:themeShade="1A"/>
          <w:sz w:val="22"/>
          <w:szCs w:val="22"/>
          <w:lang w:val="es-ES"/>
        </w:rPr>
        <w:t xml:space="preserve"> </w:t>
      </w:r>
      <w:r w:rsidR="00870412">
        <w:rPr>
          <w:rFonts w:ascii="Arial" w:hAnsi="Arial" w:cs="Arial"/>
          <w:bCs/>
          <w:color w:val="161616" w:themeColor="background1" w:themeShade="1A"/>
          <w:sz w:val="22"/>
          <w:szCs w:val="22"/>
          <w:lang w:val="es-ES"/>
        </w:rPr>
        <w:t xml:space="preserve">Para ello, </w:t>
      </w:r>
      <w:r w:rsidR="00870412" w:rsidRPr="00DA403A">
        <w:rPr>
          <w:rFonts w:ascii="Arial" w:eastAsia="Calibri" w:hAnsi="Arial" w:cs="Arial"/>
          <w:sz w:val="22"/>
        </w:rPr>
        <w:t xml:space="preserve">esta dependencia analizará los siguientes temas: i) </w:t>
      </w:r>
      <w:r w:rsidR="00870412">
        <w:rPr>
          <w:rFonts w:ascii="Arial" w:eastAsia="Calibri" w:hAnsi="Arial" w:cs="Arial"/>
          <w:sz w:val="22"/>
        </w:rPr>
        <w:t xml:space="preserve">capacidad residual: generalidades y ii) </w:t>
      </w:r>
      <w:bookmarkStart w:id="2" w:name="_Hlk81557838"/>
      <w:r w:rsidR="001E5E5F">
        <w:rPr>
          <w:rFonts w:ascii="Arial" w:hAnsi="Arial" w:cs="Arial"/>
          <w:sz w:val="22"/>
          <w:szCs w:val="22"/>
        </w:rPr>
        <w:t>c</w:t>
      </w:r>
      <w:r w:rsidR="00870412" w:rsidRPr="002409FC">
        <w:rPr>
          <w:rFonts w:ascii="Arial" w:hAnsi="Arial" w:cs="Arial"/>
          <w:sz w:val="22"/>
          <w:szCs w:val="22"/>
        </w:rPr>
        <w:t xml:space="preserve">ontratos a tener en cuenta para el cálculo del factor Saldos de Contratos en Ejecución </w:t>
      </w:r>
      <w:r w:rsidR="001E5E5F">
        <w:rPr>
          <w:rFonts w:ascii="Arial" w:hAnsi="Arial" w:cs="Arial"/>
          <w:sz w:val="22"/>
          <w:szCs w:val="22"/>
        </w:rPr>
        <w:t>–</w:t>
      </w:r>
      <w:r w:rsidR="00870412" w:rsidRPr="002409FC">
        <w:rPr>
          <w:rFonts w:ascii="Arial" w:hAnsi="Arial" w:cs="Arial"/>
          <w:sz w:val="22"/>
          <w:szCs w:val="22"/>
        </w:rPr>
        <w:t>SCE</w:t>
      </w:r>
      <w:r w:rsidR="001E5E5F">
        <w:rPr>
          <w:rFonts w:ascii="Arial" w:hAnsi="Arial" w:cs="Arial"/>
          <w:sz w:val="22"/>
          <w:szCs w:val="22"/>
        </w:rPr>
        <w:t>–</w:t>
      </w:r>
      <w:r w:rsidR="00870412" w:rsidRPr="002409FC">
        <w:rPr>
          <w:rFonts w:ascii="Arial" w:hAnsi="Arial" w:cs="Arial"/>
          <w:sz w:val="22"/>
          <w:szCs w:val="22"/>
        </w:rPr>
        <w:t xml:space="preserve"> de la fórmula para determinar la Capacidad Residual del Proponente </w:t>
      </w:r>
      <w:r w:rsidR="001E5E5F">
        <w:rPr>
          <w:rFonts w:ascii="Arial" w:hAnsi="Arial" w:cs="Arial"/>
          <w:sz w:val="22"/>
          <w:szCs w:val="22"/>
        </w:rPr>
        <w:t>–</w:t>
      </w:r>
      <w:r w:rsidR="00870412" w:rsidRPr="002409FC">
        <w:rPr>
          <w:rFonts w:ascii="Arial" w:hAnsi="Arial" w:cs="Arial"/>
          <w:sz w:val="22"/>
          <w:szCs w:val="22"/>
        </w:rPr>
        <w:t>CRP</w:t>
      </w:r>
      <w:r w:rsidR="001E5E5F">
        <w:rPr>
          <w:rFonts w:ascii="Arial" w:hAnsi="Arial" w:cs="Arial"/>
          <w:sz w:val="22"/>
          <w:szCs w:val="22"/>
        </w:rPr>
        <w:t>–</w:t>
      </w:r>
      <w:bookmarkEnd w:id="2"/>
      <w:r w:rsidR="00870412" w:rsidRPr="002409FC">
        <w:rPr>
          <w:rFonts w:ascii="Arial" w:hAnsi="Arial" w:cs="Arial"/>
          <w:sz w:val="22"/>
          <w:szCs w:val="22"/>
        </w:rPr>
        <w:t>.</w:t>
      </w:r>
      <w:r w:rsidR="00870412">
        <w:rPr>
          <w:rFonts w:ascii="Arial" w:hAnsi="Arial" w:cs="Arial"/>
          <w:b/>
          <w:bCs/>
          <w:sz w:val="22"/>
          <w:szCs w:val="22"/>
        </w:rPr>
        <w:t xml:space="preserve"> </w:t>
      </w:r>
    </w:p>
    <w:p w14:paraId="302008FE" w14:textId="55FDDE3E" w:rsidR="00F2274F" w:rsidRDefault="00F2274F" w:rsidP="00F14985">
      <w:pPr>
        <w:spacing w:before="120" w:line="276" w:lineRule="auto"/>
        <w:ind w:firstLine="709"/>
        <w:jc w:val="both"/>
        <w:rPr>
          <w:rFonts w:ascii="Arial" w:hAnsi="Arial" w:cs="Arial"/>
          <w:bCs/>
          <w:color w:val="161616" w:themeColor="background1" w:themeShade="1A"/>
          <w:sz w:val="22"/>
          <w:szCs w:val="22"/>
        </w:rPr>
      </w:pPr>
      <w:r w:rsidRPr="00F2274F">
        <w:rPr>
          <w:rFonts w:ascii="Arial" w:hAnsi="Arial" w:cs="Arial"/>
          <w:bCs/>
          <w:color w:val="161616" w:themeColor="background1" w:themeShade="1A"/>
          <w:sz w:val="22"/>
          <w:szCs w:val="22"/>
        </w:rPr>
        <w:t>La Agencia Nacional de Contratación Pública − Colombia Compra Eficiente se ha pronunciado sobre la capacidad residual, y la forma como esta se debe acreditar, en los conceptos</w:t>
      </w:r>
      <w:r>
        <w:rPr>
          <w:rFonts w:ascii="Arial" w:hAnsi="Arial" w:cs="Arial"/>
          <w:bCs/>
          <w:color w:val="161616" w:themeColor="background1" w:themeShade="1A"/>
          <w:sz w:val="22"/>
          <w:szCs w:val="22"/>
        </w:rPr>
        <w:t xml:space="preserve"> </w:t>
      </w:r>
      <w:r>
        <w:rPr>
          <w:rStyle w:val="normaltextrun"/>
          <w:rFonts w:ascii="Arial" w:hAnsi="Arial" w:cs="Arial"/>
          <w:sz w:val="22"/>
        </w:rPr>
        <w:t>2201913000006275 del 27 de agosto de 2019, 2201913000009465 del 20 de diciembre de 2019, 2201913000009642 y 2201913000009640 del 26 de diciembre de 2019; así como en los conceptos C–022 del 20 de febrero de 2020, C–089 del 4 de marzo de 2020, C–112 del 16 de marzo de 2020, C–133 del 25 de marzo de 2020, C–194 del 21 de abril de 2020, C–326 del 9 de junio de 2020, C–446 del 6 de julio de 2020,</w:t>
      </w:r>
      <w:r>
        <w:rPr>
          <w:rStyle w:val="normaltextrun"/>
        </w:rPr>
        <w:t xml:space="preserve"> </w:t>
      </w:r>
      <w:r>
        <w:rPr>
          <w:rStyle w:val="normaltextrun"/>
          <w:rFonts w:ascii="Arial" w:hAnsi="Arial" w:cs="Arial"/>
          <w:sz w:val="22"/>
        </w:rPr>
        <w:t xml:space="preserve">C-461 del 13 de julio de 2020, C–668 del 20 de noviembre de 2020, C–742 del 16 de diciembre de 2020, C–045 del 5 de marzo de 2021, C–003 del 26 de marzo de 2021, C–121 del 31 de marzo de 2021, C–143 del 9 de abril de 2021, C–202 del 7 de mayo de 2021, C–219 del 19 de mayo de 2021, C–368 del 28 de julio de 2021, C–392 del 5 de agosto de 2021, C–513 del 23 de septiembre de 2021, C–590 del 12 de octubre de 2021, </w:t>
      </w:r>
      <w:r w:rsidRPr="00F2274F">
        <w:rPr>
          <w:rFonts w:ascii="Arial" w:hAnsi="Arial" w:cs="Arial"/>
          <w:bCs/>
          <w:color w:val="161616" w:themeColor="background1" w:themeShade="1A"/>
          <w:sz w:val="22"/>
          <w:szCs w:val="22"/>
        </w:rPr>
        <w:t>C-068 de</w:t>
      </w:r>
      <w:r>
        <w:rPr>
          <w:rFonts w:ascii="Arial" w:hAnsi="Arial" w:cs="Arial"/>
          <w:bCs/>
          <w:color w:val="161616" w:themeColor="background1" w:themeShade="1A"/>
          <w:sz w:val="22"/>
          <w:szCs w:val="22"/>
        </w:rPr>
        <w:t xml:space="preserve">l 9 de </w:t>
      </w:r>
      <w:r>
        <w:rPr>
          <w:rFonts w:ascii="Arial" w:hAnsi="Arial" w:cs="Arial"/>
          <w:bCs/>
          <w:color w:val="161616" w:themeColor="background1" w:themeShade="1A"/>
          <w:sz w:val="22"/>
          <w:szCs w:val="22"/>
        </w:rPr>
        <w:lastRenderedPageBreak/>
        <w:t xml:space="preserve">marzo de </w:t>
      </w:r>
      <w:r w:rsidRPr="00F2274F">
        <w:rPr>
          <w:rFonts w:ascii="Arial" w:hAnsi="Arial" w:cs="Arial"/>
          <w:bCs/>
          <w:color w:val="161616" w:themeColor="background1" w:themeShade="1A"/>
          <w:sz w:val="22"/>
          <w:szCs w:val="22"/>
        </w:rPr>
        <w:t>2022</w:t>
      </w:r>
      <w:r w:rsidR="00E91C7E">
        <w:rPr>
          <w:rFonts w:ascii="Arial" w:hAnsi="Arial" w:cs="Arial"/>
          <w:bCs/>
          <w:color w:val="161616" w:themeColor="background1" w:themeShade="1A"/>
          <w:sz w:val="22"/>
          <w:szCs w:val="22"/>
        </w:rPr>
        <w:t>,</w:t>
      </w:r>
      <w:r>
        <w:rPr>
          <w:rFonts w:ascii="Arial" w:hAnsi="Arial" w:cs="Arial"/>
          <w:bCs/>
          <w:color w:val="161616" w:themeColor="background1" w:themeShade="1A"/>
          <w:sz w:val="22"/>
          <w:szCs w:val="22"/>
        </w:rPr>
        <w:t xml:space="preserve"> </w:t>
      </w:r>
      <w:r w:rsidRPr="00F2274F">
        <w:rPr>
          <w:rFonts w:ascii="Arial" w:eastAsia="Calibri" w:hAnsi="Arial" w:cs="Arial"/>
          <w:bCs/>
          <w:sz w:val="22"/>
          <w:szCs w:val="22"/>
          <w:lang w:val="es-ES"/>
        </w:rPr>
        <w:t>C-</w:t>
      </w:r>
      <w:r w:rsidR="00870412">
        <w:rPr>
          <w:rFonts w:ascii="Arial" w:eastAsia="Calibri" w:hAnsi="Arial" w:cs="Arial"/>
          <w:bCs/>
          <w:sz w:val="22"/>
          <w:szCs w:val="22"/>
          <w:lang w:val="es-ES"/>
        </w:rPr>
        <w:t>220</w:t>
      </w:r>
      <w:r w:rsidRPr="00F2274F">
        <w:rPr>
          <w:rFonts w:ascii="Arial" w:eastAsia="Calibri" w:hAnsi="Arial" w:cs="Arial"/>
          <w:bCs/>
          <w:sz w:val="22"/>
          <w:szCs w:val="22"/>
          <w:lang w:val="es-ES"/>
        </w:rPr>
        <w:t xml:space="preserve"> del 22 de abril de 2022</w:t>
      </w:r>
      <w:r w:rsidR="00E91C7E">
        <w:rPr>
          <w:rFonts w:ascii="Arial" w:eastAsia="Calibri" w:hAnsi="Arial" w:cs="Arial"/>
          <w:bCs/>
          <w:sz w:val="22"/>
          <w:szCs w:val="22"/>
          <w:lang w:val="es-ES"/>
        </w:rPr>
        <w:t xml:space="preserve"> y C-351 del 23 de mayo de 2022</w:t>
      </w:r>
      <w:r>
        <w:rPr>
          <w:rFonts w:ascii="Arial" w:hAnsi="Arial" w:cs="Arial"/>
          <w:bCs/>
          <w:color w:val="161616" w:themeColor="background1" w:themeShade="1A"/>
          <w:sz w:val="22"/>
          <w:szCs w:val="22"/>
          <w:lang w:val="es-ES"/>
        </w:rPr>
        <w:t xml:space="preserve">. </w:t>
      </w:r>
      <w:r w:rsidRPr="00F2274F">
        <w:rPr>
          <w:rFonts w:ascii="Arial" w:hAnsi="Arial" w:cs="Arial"/>
          <w:bCs/>
          <w:color w:val="161616" w:themeColor="background1" w:themeShade="1A"/>
          <w:sz w:val="22"/>
          <w:szCs w:val="22"/>
        </w:rPr>
        <w:t>La tesis propuesta se expone y, en lo pertinente, se complementa a continuación:</w:t>
      </w:r>
    </w:p>
    <w:p w14:paraId="19480BC8" w14:textId="61D8C5A7" w:rsidR="009A23CE" w:rsidRDefault="00CB3E91" w:rsidP="00870412">
      <w:pPr>
        <w:spacing w:before="240" w:line="276" w:lineRule="auto"/>
        <w:jc w:val="both"/>
        <w:rPr>
          <w:rFonts w:ascii="Arial" w:hAnsi="Arial" w:cs="Arial"/>
          <w:b/>
          <w:bCs/>
          <w:sz w:val="22"/>
          <w:lang w:val="es-ES"/>
        </w:rPr>
      </w:pPr>
      <w:r w:rsidRPr="00CB3E91">
        <w:rPr>
          <w:rFonts w:ascii="Arial" w:eastAsia="Calibri" w:hAnsi="Arial" w:cs="Arial"/>
          <w:b/>
          <w:bCs/>
          <w:sz w:val="22"/>
          <w:szCs w:val="22"/>
        </w:rPr>
        <w:t xml:space="preserve">2.1. </w:t>
      </w:r>
      <w:r w:rsidR="001E5E5F">
        <w:rPr>
          <w:rFonts w:ascii="Arial" w:eastAsia="Calibri" w:hAnsi="Arial" w:cs="Arial"/>
          <w:b/>
          <w:bCs/>
          <w:sz w:val="22"/>
          <w:szCs w:val="22"/>
        </w:rPr>
        <w:t>C</w:t>
      </w:r>
      <w:r w:rsidR="006F6B04">
        <w:rPr>
          <w:rFonts w:ascii="Arial" w:eastAsia="Calibri" w:hAnsi="Arial" w:cs="Arial"/>
          <w:b/>
          <w:bCs/>
          <w:sz w:val="22"/>
          <w:szCs w:val="22"/>
        </w:rPr>
        <w:t>apacidad residual como requisito habilitante en los contratos de obra pública</w:t>
      </w:r>
      <w:r w:rsidR="009A23CE">
        <w:rPr>
          <w:rFonts w:ascii="Arial" w:hAnsi="Arial" w:cs="Arial"/>
          <w:b/>
          <w:bCs/>
          <w:sz w:val="22"/>
          <w:lang w:val="es-ES"/>
        </w:rPr>
        <w:t xml:space="preserve"> </w:t>
      </w:r>
    </w:p>
    <w:p w14:paraId="0CBEB50E" w14:textId="1F3FC8F5" w:rsidR="009A23CE" w:rsidRPr="009A23CE" w:rsidRDefault="009A23CE" w:rsidP="00175E61">
      <w:pPr>
        <w:pStyle w:val="Textoindependiente"/>
        <w:spacing w:before="240" w:beforeAutospacing="0" w:after="0" w:afterAutospacing="0" w:line="276" w:lineRule="auto"/>
        <w:jc w:val="both"/>
        <w:rPr>
          <w:rFonts w:ascii="Arial" w:hAnsi="Arial" w:cs="Arial"/>
          <w:bCs/>
          <w:sz w:val="22"/>
          <w:szCs w:val="22"/>
          <w:lang w:val="es-MX" w:eastAsia="x-none"/>
        </w:rPr>
      </w:pPr>
      <w:r w:rsidRPr="009A23CE">
        <w:rPr>
          <w:rFonts w:ascii="Arial" w:hAnsi="Arial" w:cs="Arial"/>
          <w:bCs/>
          <w:sz w:val="22"/>
          <w:szCs w:val="22"/>
          <w:lang w:val="es-MX" w:eastAsia="x-none"/>
        </w:rPr>
        <w:t>De acuerdo con la definición establecida en el artículo 2.2.1.1.1.3.1. del Decreto 1082 de 2015, la capacidad residual es la aptitud de los oferentes para cumplir de manera oportuna y a cabalidad el objeto de un contrato de obra</w:t>
      </w:r>
      <w:r w:rsidR="00C53AC7">
        <w:rPr>
          <w:rFonts w:ascii="Arial" w:hAnsi="Arial" w:cs="Arial"/>
          <w:bCs/>
          <w:sz w:val="22"/>
          <w:szCs w:val="22"/>
          <w:lang w:val="es-MX" w:eastAsia="x-none"/>
        </w:rPr>
        <w:t xml:space="preserve"> pública</w:t>
      </w:r>
      <w:r w:rsidRPr="009A23CE">
        <w:rPr>
          <w:rFonts w:ascii="Arial" w:hAnsi="Arial" w:cs="Arial"/>
          <w:bCs/>
          <w:sz w:val="22"/>
          <w:szCs w:val="22"/>
          <w:lang w:val="es-MX" w:eastAsia="x-none"/>
        </w:rPr>
        <w:t>, sin que los demás compromisos contractuales que han adquirido afecten su habilidad para cumplir el objeto del contrato que está en proceso de selección</w:t>
      </w:r>
      <w:r w:rsidR="005C12C8">
        <w:rPr>
          <w:rStyle w:val="Refdenotaalpie"/>
          <w:rFonts w:ascii="Arial" w:hAnsi="Arial" w:cs="Arial"/>
          <w:bCs/>
          <w:sz w:val="22"/>
          <w:szCs w:val="22"/>
          <w:lang w:val="es-MX" w:eastAsia="x-none"/>
        </w:rPr>
        <w:footnoteReference w:id="1"/>
      </w:r>
      <w:r w:rsidRPr="009A23CE">
        <w:rPr>
          <w:rFonts w:ascii="Arial" w:hAnsi="Arial" w:cs="Arial"/>
          <w:bCs/>
          <w:sz w:val="22"/>
          <w:szCs w:val="22"/>
          <w:lang w:val="es-MX" w:eastAsia="x-none"/>
        </w:rPr>
        <w:t>. Por su parte, el Consejo de Estado ha definido la capacidad residual como «[…] la diferencia que existe entre el potencial de contratación que se tiene y los compromisos que haya adquirido y que se encuentren en ejecución, para la fecha de presentación de la oferta»</w:t>
      </w:r>
      <w:r w:rsidR="005C12C8">
        <w:rPr>
          <w:rStyle w:val="Refdenotaalpie"/>
          <w:rFonts w:ascii="Arial" w:hAnsi="Arial" w:cs="Arial"/>
          <w:bCs/>
          <w:sz w:val="22"/>
          <w:szCs w:val="22"/>
          <w:lang w:val="es-MX" w:eastAsia="x-none"/>
        </w:rPr>
        <w:footnoteReference w:id="2"/>
      </w:r>
      <w:r w:rsidRPr="009A23CE">
        <w:rPr>
          <w:rFonts w:ascii="Arial" w:hAnsi="Arial" w:cs="Arial"/>
          <w:bCs/>
          <w:sz w:val="22"/>
          <w:szCs w:val="22"/>
          <w:lang w:val="es-MX" w:eastAsia="x-none"/>
        </w:rPr>
        <w:t>. En tales términos, la capacidad residual hace referencia a la suficiencia que tiene el proponente para asumir nuevas obligaciones que se derivan del contrato objeto del proceso de contratación, en relación con las obligaciones que ya adquirió frente a otros contratos</w:t>
      </w:r>
      <w:r w:rsidR="00C53AC7">
        <w:rPr>
          <w:rFonts w:ascii="Arial" w:hAnsi="Arial" w:cs="Arial"/>
          <w:bCs/>
          <w:sz w:val="22"/>
          <w:szCs w:val="22"/>
          <w:lang w:val="es-MX" w:eastAsia="x-none"/>
        </w:rPr>
        <w:t xml:space="preserve"> </w:t>
      </w:r>
      <w:r w:rsidR="00C53AC7" w:rsidRPr="00C53AC7">
        <w:rPr>
          <w:rFonts w:ascii="Arial" w:hAnsi="Arial" w:cs="Arial"/>
          <w:bCs/>
          <w:sz w:val="22"/>
          <w:szCs w:val="22"/>
          <w:lang w:val="es-MX" w:eastAsia="x-none"/>
        </w:rPr>
        <w:t>y que tendría que cumplir simultáneamente con las derivadas del eventual nuevo contrato</w:t>
      </w:r>
      <w:r w:rsidRPr="009A23CE">
        <w:rPr>
          <w:rFonts w:ascii="Arial" w:hAnsi="Arial" w:cs="Arial"/>
          <w:bCs/>
          <w:sz w:val="22"/>
          <w:szCs w:val="22"/>
          <w:lang w:val="es-MX" w:eastAsia="x-none"/>
        </w:rPr>
        <w:t>.</w:t>
      </w:r>
    </w:p>
    <w:p w14:paraId="0B348CD1" w14:textId="77777777" w:rsidR="009A23CE" w:rsidRPr="009A23CE" w:rsidRDefault="009A23CE" w:rsidP="00F14985">
      <w:pPr>
        <w:spacing w:before="120" w:line="276" w:lineRule="auto"/>
        <w:ind w:firstLine="709"/>
        <w:jc w:val="both"/>
        <w:rPr>
          <w:rFonts w:ascii="Arial" w:hAnsi="Arial" w:cs="Arial"/>
          <w:bCs/>
          <w:sz w:val="22"/>
          <w:szCs w:val="22"/>
          <w:lang w:val="es-MX" w:eastAsia="x-none"/>
        </w:rPr>
      </w:pPr>
      <w:r w:rsidRPr="009A23CE">
        <w:rPr>
          <w:rFonts w:ascii="Arial" w:hAnsi="Arial" w:cs="Arial"/>
          <w:bCs/>
          <w:sz w:val="22"/>
          <w:szCs w:val="22"/>
          <w:lang w:val="es-MX" w:eastAsia="x-none"/>
        </w:rPr>
        <w:t xml:space="preserve">El artículo 6 de la Ley 1150 de 2007 estableció como condición «para poder participar en los procesos de selección de los contratos de obra, la capacidad residual del proponente o K de contratación». Además, determinó que esta debe ser igual o superior a la establecida en los pliegos de condiciones, en los siguientes términos: </w:t>
      </w:r>
    </w:p>
    <w:p w14:paraId="0E4AE008" w14:textId="77777777" w:rsidR="009A23CE" w:rsidRPr="005C12C8" w:rsidRDefault="009A23CE" w:rsidP="00F14985">
      <w:pPr>
        <w:spacing w:before="240"/>
        <w:ind w:left="708" w:right="709"/>
        <w:jc w:val="both"/>
        <w:rPr>
          <w:rFonts w:ascii="Arial" w:hAnsi="Arial" w:cs="Arial"/>
          <w:bCs/>
          <w:sz w:val="21"/>
          <w:szCs w:val="21"/>
          <w:lang w:val="es-MX" w:eastAsia="x-none"/>
        </w:rPr>
      </w:pPr>
      <w:r w:rsidRPr="005C12C8">
        <w:rPr>
          <w:rFonts w:ascii="Arial" w:hAnsi="Arial" w:cs="Arial"/>
          <w:bCs/>
          <w:sz w:val="21"/>
          <w:szCs w:val="21"/>
          <w:lang w:val="es-MX" w:eastAsia="x-none"/>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22EB4771" w14:textId="54238FB4" w:rsidR="009A23CE" w:rsidRPr="005C12C8" w:rsidRDefault="009A23CE" w:rsidP="00F14985">
      <w:pPr>
        <w:spacing w:before="240"/>
        <w:ind w:left="708" w:right="709"/>
        <w:jc w:val="both"/>
        <w:rPr>
          <w:rFonts w:ascii="Arial" w:hAnsi="Arial" w:cs="Arial"/>
          <w:bCs/>
          <w:sz w:val="21"/>
          <w:szCs w:val="21"/>
          <w:lang w:val="es-MX" w:eastAsia="x-none"/>
        </w:rPr>
      </w:pPr>
      <w:r w:rsidRPr="005C12C8">
        <w:rPr>
          <w:rFonts w:ascii="Arial" w:hAnsi="Arial" w:cs="Arial"/>
          <w:bCs/>
          <w:sz w:val="21"/>
          <w:szCs w:val="21"/>
          <w:lang w:val="es-MX" w:eastAsia="x-none"/>
        </w:rPr>
        <w:t xml:space="preserve">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w:t>
      </w:r>
      <w:r w:rsidRPr="005C12C8">
        <w:rPr>
          <w:rFonts w:ascii="Arial" w:hAnsi="Arial" w:cs="Arial"/>
          <w:bCs/>
          <w:sz w:val="21"/>
          <w:szCs w:val="21"/>
          <w:lang w:val="es-MX" w:eastAsia="x-none"/>
        </w:rPr>
        <w:lastRenderedPageBreak/>
        <w:t>para establecer el real K de contratación, en cada oportunidad. El Gobierno Nacional reglamentará la materia»</w:t>
      </w:r>
      <w:r w:rsidR="001E5E5F">
        <w:rPr>
          <w:rFonts w:ascii="Arial" w:hAnsi="Arial" w:cs="Arial"/>
          <w:bCs/>
          <w:sz w:val="21"/>
          <w:szCs w:val="21"/>
          <w:lang w:val="es-MX" w:eastAsia="x-none"/>
        </w:rPr>
        <w:t>.</w:t>
      </w:r>
    </w:p>
    <w:p w14:paraId="7B1D3D7D" w14:textId="634C57E1" w:rsidR="00C53AC7" w:rsidRDefault="00C53AC7" w:rsidP="00C53AC7">
      <w:pPr>
        <w:spacing w:before="240" w:line="276" w:lineRule="auto"/>
        <w:ind w:firstLine="709"/>
        <w:jc w:val="both"/>
        <w:rPr>
          <w:rFonts w:ascii="Arial" w:hAnsi="Arial" w:cs="Arial"/>
          <w:bCs/>
          <w:sz w:val="22"/>
          <w:szCs w:val="22"/>
          <w:lang w:val="es-MX" w:eastAsia="x-none"/>
        </w:rPr>
      </w:pPr>
      <w:r w:rsidRPr="00C53AC7">
        <w:rPr>
          <w:rFonts w:ascii="Arial" w:hAnsi="Arial" w:cs="Arial"/>
          <w:bCs/>
          <w:sz w:val="22"/>
          <w:szCs w:val="22"/>
          <w:lang w:val="es-MX" w:eastAsia="x-none"/>
        </w:rPr>
        <w:t xml:space="preserve">Como se observa, la ley es clara en establecer que para determinar la capacidad residual se deben tener en cuenta todos </w:t>
      </w:r>
      <w:r w:rsidR="00D634A3">
        <w:rPr>
          <w:rFonts w:ascii="Arial" w:hAnsi="Arial" w:cs="Arial"/>
          <w:bCs/>
          <w:sz w:val="22"/>
          <w:szCs w:val="22"/>
          <w:lang w:val="es-MX" w:eastAsia="x-none"/>
        </w:rPr>
        <w:t>–</w:t>
      </w:r>
      <w:r w:rsidRPr="00C53AC7">
        <w:rPr>
          <w:rFonts w:ascii="Arial" w:hAnsi="Arial" w:cs="Arial"/>
          <w:bCs/>
          <w:sz w:val="22"/>
          <w:szCs w:val="22"/>
          <w:lang w:val="es-MX" w:eastAsia="x-none"/>
        </w:rPr>
        <w:t>y solo</w:t>
      </w:r>
      <w:r w:rsidR="00D634A3">
        <w:rPr>
          <w:rFonts w:ascii="Arial" w:hAnsi="Arial" w:cs="Arial"/>
          <w:bCs/>
          <w:sz w:val="22"/>
          <w:szCs w:val="22"/>
          <w:lang w:val="es-MX" w:eastAsia="x-none"/>
        </w:rPr>
        <w:t>–</w:t>
      </w:r>
      <w:r w:rsidRPr="00C53AC7">
        <w:rPr>
          <w:rFonts w:ascii="Arial" w:hAnsi="Arial" w:cs="Arial"/>
          <w:bCs/>
          <w:sz w:val="22"/>
          <w:szCs w:val="22"/>
          <w:lang w:val="es-MX" w:eastAsia="x-none"/>
        </w:rPr>
        <w:t xml:space="preserve"> los contratos que el proponente u oferente tenga en estado de ejecución al momento de presentar la oferta.</w:t>
      </w:r>
    </w:p>
    <w:p w14:paraId="7746A9F7" w14:textId="0A585E10" w:rsidR="009A23CE" w:rsidRPr="009A23CE" w:rsidRDefault="009A23CE" w:rsidP="00F14985">
      <w:pPr>
        <w:spacing w:before="120" w:line="276" w:lineRule="auto"/>
        <w:ind w:firstLine="709"/>
        <w:jc w:val="both"/>
        <w:rPr>
          <w:rFonts w:ascii="Arial" w:hAnsi="Arial" w:cs="Arial"/>
          <w:bCs/>
          <w:sz w:val="22"/>
          <w:szCs w:val="22"/>
          <w:lang w:val="es-MX" w:eastAsia="x-none"/>
        </w:rPr>
      </w:pPr>
      <w:r w:rsidRPr="009A23CE">
        <w:rPr>
          <w:rFonts w:ascii="Arial" w:hAnsi="Arial" w:cs="Arial"/>
          <w:bCs/>
          <w:sz w:val="22"/>
          <w:szCs w:val="22"/>
          <w:lang w:val="es-MX" w:eastAsia="x-none"/>
        </w:rPr>
        <w:t xml:space="preserve">Por su parte, 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Organización –CO–. </w:t>
      </w:r>
    </w:p>
    <w:p w14:paraId="6CF3505B" w14:textId="77777777" w:rsidR="009A23CE" w:rsidRPr="009A23CE" w:rsidRDefault="009A23CE" w:rsidP="00F14985">
      <w:pPr>
        <w:spacing w:before="120" w:line="276" w:lineRule="auto"/>
        <w:ind w:firstLine="709"/>
        <w:jc w:val="both"/>
        <w:rPr>
          <w:rFonts w:ascii="Arial" w:hAnsi="Arial" w:cs="Arial"/>
          <w:bCs/>
          <w:sz w:val="22"/>
          <w:szCs w:val="22"/>
          <w:lang w:val="es-MX" w:eastAsia="x-none"/>
        </w:rPr>
      </w:pPr>
      <w:r w:rsidRPr="009A23CE">
        <w:rPr>
          <w:rFonts w:ascii="Arial" w:hAnsi="Arial" w:cs="Arial"/>
          <w:bCs/>
          <w:sz w:val="22"/>
          <w:szCs w:val="22"/>
          <w:lang w:val="es-MX" w:eastAsia="x-none"/>
        </w:rPr>
        <w:t>Igualmente, el artículo 2.2.1.1.1.6.4 del Decreto 1082 de 2015, establece que las entidades estatales deberán calcular la capacidad residual conforme a la metodología definida por Colombia Compre Eficiente y precisó que, para tales fines, resulta necesario tener en cuenta los factores de: i) experiencia; ii) capacidad financiera; iii) capacidad técnica; iv) capacidad de organización; y v) los saldos de los contratos en ejecución, así:</w:t>
      </w:r>
    </w:p>
    <w:p w14:paraId="78046B57" w14:textId="77777777" w:rsidR="005C12C8" w:rsidRPr="00677097" w:rsidRDefault="009A23CE" w:rsidP="00F14985">
      <w:pPr>
        <w:spacing w:before="240"/>
        <w:ind w:left="708" w:right="709"/>
        <w:jc w:val="both"/>
        <w:rPr>
          <w:rFonts w:ascii="Arial" w:hAnsi="Arial" w:cs="Arial"/>
          <w:bCs/>
          <w:sz w:val="21"/>
          <w:szCs w:val="21"/>
          <w:lang w:val="es-MX" w:eastAsia="x-none"/>
        </w:rPr>
      </w:pPr>
      <w:bookmarkStart w:id="3" w:name="_Hlk99783567"/>
      <w:r w:rsidRPr="00677097">
        <w:rPr>
          <w:rFonts w:ascii="Arial" w:hAnsi="Arial" w:cs="Arial"/>
          <w:bCs/>
          <w:sz w:val="21"/>
          <w:szCs w:val="21"/>
          <w:lang w:val="es-MX" w:eastAsia="x-none"/>
        </w:rPr>
        <w:t>«</w:t>
      </w:r>
      <w:bookmarkEnd w:id="3"/>
      <w:r w:rsidRPr="00677097">
        <w:rPr>
          <w:rFonts w:ascii="Arial" w:hAnsi="Arial" w:cs="Arial"/>
          <w:bCs/>
          <w:sz w:val="21"/>
          <w:szCs w:val="21"/>
          <w:lang w:val="es-MX" w:eastAsia="x-none"/>
        </w:rPr>
        <w:t xml:space="preserve">Artículo 2.2.1.1.1.6.4. Capacidad Residual. El interesado en celebrar contratos de obra pública con Entidades Estatales debe acreditar su Capacidad Residual o K de Contratación con los siguientes documentos: </w:t>
      </w:r>
    </w:p>
    <w:p w14:paraId="40869756" w14:textId="54C0803C" w:rsidR="009A23CE" w:rsidRPr="00677097" w:rsidRDefault="009A23CE" w:rsidP="00F14985">
      <w:pPr>
        <w:spacing w:before="120"/>
        <w:ind w:left="709" w:right="709"/>
        <w:jc w:val="both"/>
        <w:rPr>
          <w:rFonts w:ascii="Arial" w:hAnsi="Arial" w:cs="Arial"/>
          <w:bCs/>
          <w:sz w:val="21"/>
          <w:szCs w:val="21"/>
          <w:lang w:val="es-MX" w:eastAsia="x-none"/>
        </w:rPr>
      </w:pPr>
      <w:r w:rsidRPr="00677097">
        <w:rPr>
          <w:rFonts w:ascii="Arial" w:hAnsi="Arial" w:cs="Arial"/>
          <w:bCs/>
          <w:sz w:val="21"/>
          <w:szCs w:val="21"/>
          <w:lang w:val="es-MX" w:eastAsia="x-none"/>
        </w:rPr>
        <w:t>[…]</w:t>
      </w:r>
      <w:bookmarkStart w:id="4" w:name="_Hlk99783586"/>
      <w:r w:rsidRPr="00677097">
        <w:rPr>
          <w:rFonts w:ascii="Arial" w:hAnsi="Arial" w:cs="Arial"/>
          <w:bCs/>
          <w:sz w:val="21"/>
          <w:szCs w:val="21"/>
          <w:lang w:val="es-MX" w:eastAsia="x-none"/>
        </w:rPr>
        <w:t>»</w:t>
      </w:r>
      <w:bookmarkEnd w:id="4"/>
    </w:p>
    <w:p w14:paraId="7323EBE1" w14:textId="02D444DC" w:rsidR="009A23CE" w:rsidRPr="00677097" w:rsidRDefault="009A23CE" w:rsidP="00F14985">
      <w:pPr>
        <w:pStyle w:val="Textoindependiente"/>
        <w:spacing w:before="120" w:beforeAutospacing="0" w:after="0" w:afterAutospacing="0"/>
        <w:ind w:left="709" w:right="616" w:firstLine="1"/>
        <w:jc w:val="both"/>
        <w:rPr>
          <w:rFonts w:ascii="Arial" w:hAnsi="Arial" w:cs="Arial"/>
          <w:bCs/>
          <w:sz w:val="21"/>
          <w:szCs w:val="21"/>
          <w:lang w:val="es-MX" w:eastAsia="x-none"/>
        </w:rPr>
      </w:pPr>
      <w:r w:rsidRPr="00677097">
        <w:rPr>
          <w:rFonts w:ascii="Arial" w:hAnsi="Arial" w:cs="Arial"/>
          <w:bCs/>
          <w:sz w:val="21"/>
          <w:szCs w:val="21"/>
          <w:lang w:val="es-MX" w:eastAsia="x-none"/>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r w:rsidR="00D634A3">
        <w:rPr>
          <w:rFonts w:ascii="Arial" w:hAnsi="Arial" w:cs="Arial"/>
          <w:bCs/>
          <w:sz w:val="21"/>
          <w:szCs w:val="21"/>
          <w:lang w:val="es-MX" w:eastAsia="x-none"/>
        </w:rPr>
        <w:t>.</w:t>
      </w:r>
    </w:p>
    <w:p w14:paraId="29765F33" w14:textId="4543A325" w:rsidR="009A23CE" w:rsidRPr="009A23CE" w:rsidRDefault="009A23CE" w:rsidP="00870412">
      <w:pPr>
        <w:pStyle w:val="Textoindependiente"/>
        <w:spacing w:before="240" w:beforeAutospacing="0" w:after="0" w:afterAutospacing="0" w:line="276" w:lineRule="auto"/>
        <w:ind w:firstLine="709"/>
        <w:jc w:val="both"/>
        <w:rPr>
          <w:rFonts w:ascii="Arial" w:hAnsi="Arial" w:cs="Arial"/>
          <w:bCs/>
          <w:sz w:val="22"/>
          <w:szCs w:val="22"/>
          <w:lang w:val="es-MX" w:eastAsia="x-none"/>
        </w:rPr>
      </w:pPr>
      <w:r w:rsidRPr="009A23CE">
        <w:rPr>
          <w:rFonts w:ascii="Arial" w:hAnsi="Arial" w:cs="Arial"/>
          <w:bCs/>
          <w:sz w:val="22"/>
          <w:szCs w:val="22"/>
          <w:lang w:val="es-MX" w:eastAsia="x-none"/>
        </w:rPr>
        <w:t xml:space="preserve">De conformidad con lo anterior, esta Agencia expidió la Guía para Determinar y Verificar la Capacidad Residual del Proponente en los Procesos de Contratación de Obra Pública. En este documento se establece, entre </w:t>
      </w:r>
      <w:r w:rsidR="00451E90">
        <w:rPr>
          <w:rFonts w:ascii="Arial" w:hAnsi="Arial" w:cs="Arial"/>
          <w:bCs/>
          <w:sz w:val="22"/>
          <w:szCs w:val="22"/>
          <w:lang w:val="es-MX" w:eastAsia="x-none"/>
        </w:rPr>
        <w:t>otros aspectos</w:t>
      </w:r>
      <w:r w:rsidRPr="009A23CE">
        <w:rPr>
          <w:rFonts w:ascii="Arial" w:hAnsi="Arial" w:cs="Arial"/>
          <w:bCs/>
          <w:sz w:val="22"/>
          <w:szCs w:val="22"/>
          <w:lang w:val="es-MX" w:eastAsia="x-none"/>
        </w:rPr>
        <w:t>, que a la entidad contratante le corresponde, primero, establecer la capacidad residual del proceso de contratación –CRPC– y, segundo, determinar si los proponentes cumplen con la capacidad residual del proceso de contratación, claro está, teniendo en cuenta la siguiente información aportada por el proponente:</w:t>
      </w:r>
    </w:p>
    <w:p w14:paraId="1330FFBA" w14:textId="77777777" w:rsidR="00C837D5" w:rsidRPr="00F14985" w:rsidRDefault="009A23CE" w:rsidP="00F14985">
      <w:pPr>
        <w:pStyle w:val="Textoindependiente"/>
        <w:widowControl w:val="0"/>
        <w:numPr>
          <w:ilvl w:val="0"/>
          <w:numId w:val="27"/>
        </w:numPr>
        <w:tabs>
          <w:tab w:val="left" w:pos="993"/>
        </w:tabs>
        <w:autoSpaceDE w:val="0"/>
        <w:autoSpaceDN w:val="0"/>
        <w:spacing w:before="240" w:beforeAutospacing="0" w:after="0" w:afterAutospacing="0"/>
        <w:ind w:right="709"/>
        <w:jc w:val="both"/>
        <w:rPr>
          <w:rFonts w:ascii="Arial" w:hAnsi="Arial" w:cs="Arial"/>
          <w:bCs/>
          <w:sz w:val="21"/>
          <w:szCs w:val="21"/>
          <w:lang w:val="es-MX" w:eastAsia="x-none"/>
        </w:rPr>
      </w:pPr>
      <w:r w:rsidRPr="00F14985">
        <w:rPr>
          <w:rFonts w:ascii="Arial" w:hAnsi="Arial" w:cs="Arial"/>
          <w:bCs/>
          <w:sz w:val="21"/>
          <w:szCs w:val="21"/>
          <w:lang w:val="es-MX" w:eastAsia="x-none"/>
        </w:rPr>
        <w:t>La lista de los Contratos en Ejecución, así como el valor y plazo de tales contratos.</w:t>
      </w:r>
    </w:p>
    <w:p w14:paraId="426ADA1F" w14:textId="35442AF6" w:rsidR="009A23CE" w:rsidRPr="00F14985" w:rsidRDefault="009A23CE" w:rsidP="00F14985">
      <w:pPr>
        <w:pStyle w:val="Textoindependiente"/>
        <w:widowControl w:val="0"/>
        <w:numPr>
          <w:ilvl w:val="0"/>
          <w:numId w:val="27"/>
        </w:numPr>
        <w:tabs>
          <w:tab w:val="left" w:pos="993"/>
        </w:tabs>
        <w:autoSpaceDE w:val="0"/>
        <w:autoSpaceDN w:val="0"/>
        <w:spacing w:before="240" w:beforeAutospacing="0" w:after="0" w:afterAutospacing="0"/>
        <w:ind w:right="709"/>
        <w:jc w:val="both"/>
        <w:rPr>
          <w:rFonts w:ascii="Arial" w:hAnsi="Arial" w:cs="Arial"/>
          <w:bCs/>
          <w:sz w:val="21"/>
          <w:szCs w:val="21"/>
          <w:lang w:val="es-MX" w:eastAsia="x-none"/>
        </w:rPr>
      </w:pPr>
      <w:r w:rsidRPr="00F14985">
        <w:rPr>
          <w:rFonts w:ascii="Arial" w:hAnsi="Arial" w:cs="Arial"/>
          <w:bCs/>
          <w:sz w:val="21"/>
          <w:szCs w:val="21"/>
          <w:lang w:val="es-MX" w:eastAsia="x-none"/>
        </w:rPr>
        <w:t>La lista de los Contratos en Ejecución, suscritos por sociedades, consorcios o uniones temporales, en los cuales el proponente tenga participación, así como el valor y plazo de tales contratos.</w:t>
      </w:r>
    </w:p>
    <w:p w14:paraId="3A6489DD" w14:textId="77777777" w:rsidR="009A23CE" w:rsidRPr="00F14985" w:rsidRDefault="009A23CE" w:rsidP="00F14985">
      <w:pPr>
        <w:pStyle w:val="Textoindependiente"/>
        <w:widowControl w:val="0"/>
        <w:numPr>
          <w:ilvl w:val="0"/>
          <w:numId w:val="27"/>
        </w:numPr>
        <w:tabs>
          <w:tab w:val="left" w:pos="993"/>
        </w:tabs>
        <w:autoSpaceDE w:val="0"/>
        <w:autoSpaceDN w:val="0"/>
        <w:spacing w:before="240" w:beforeAutospacing="0" w:after="0" w:afterAutospacing="0"/>
        <w:ind w:right="709"/>
        <w:jc w:val="both"/>
        <w:rPr>
          <w:rFonts w:ascii="Arial" w:hAnsi="Arial" w:cs="Arial"/>
          <w:bCs/>
          <w:sz w:val="21"/>
          <w:szCs w:val="21"/>
          <w:lang w:val="es-MX" w:eastAsia="x-none"/>
        </w:rPr>
      </w:pPr>
      <w:r w:rsidRPr="00F14985">
        <w:rPr>
          <w:rFonts w:ascii="Arial" w:hAnsi="Arial" w:cs="Arial"/>
          <w:bCs/>
          <w:sz w:val="21"/>
          <w:szCs w:val="21"/>
          <w:lang w:val="es-MX" w:eastAsia="x-none"/>
        </w:rPr>
        <w:lastRenderedPageBreak/>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17B49A46" w14:textId="77777777" w:rsidR="009A23CE" w:rsidRPr="009A23CE" w:rsidRDefault="009A23CE" w:rsidP="00870412">
      <w:pPr>
        <w:pStyle w:val="Textoindependiente"/>
        <w:spacing w:before="240" w:beforeAutospacing="0" w:after="0" w:afterAutospacing="0" w:line="276" w:lineRule="auto"/>
        <w:ind w:firstLine="709"/>
        <w:jc w:val="both"/>
        <w:rPr>
          <w:rFonts w:ascii="Arial" w:hAnsi="Arial" w:cs="Arial"/>
          <w:bCs/>
          <w:sz w:val="22"/>
          <w:szCs w:val="22"/>
          <w:lang w:val="es-MX" w:eastAsia="x-none"/>
        </w:rPr>
      </w:pPr>
      <w:r w:rsidRPr="009A23CE">
        <w:rPr>
          <w:rFonts w:ascii="Arial" w:hAnsi="Arial" w:cs="Arial"/>
          <w:bCs/>
          <w:sz w:val="22"/>
          <w:szCs w:val="22"/>
          <w:lang w:val="es-MX" w:eastAsia="x-none"/>
        </w:rPr>
        <w:t>Ahora bien, para lo primero, esto es, para establecer la capacidad residual del proceso de contratación «CRPC», se debe determinar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068F22D6" w14:textId="4D2F6549" w:rsidR="009A23CE" w:rsidRDefault="00AA171A" w:rsidP="00F14985">
      <w:pPr>
        <w:pStyle w:val="Textoindependiente"/>
        <w:spacing w:before="120" w:beforeAutospacing="0" w:after="0" w:afterAutospacing="0" w:line="276" w:lineRule="auto"/>
        <w:ind w:firstLine="709"/>
        <w:jc w:val="both"/>
        <w:rPr>
          <w:rFonts w:ascii="Arial" w:hAnsi="Arial" w:cs="Arial"/>
          <w:bCs/>
          <w:sz w:val="22"/>
          <w:szCs w:val="22"/>
          <w:lang w:val="es-MX" w:eastAsia="x-none"/>
        </w:rPr>
      </w:pPr>
      <w:r w:rsidRPr="009A23CE">
        <w:rPr>
          <w:rFonts w:ascii="Arial" w:hAnsi="Arial" w:cs="Arial"/>
          <w:bCs/>
          <w:noProof/>
          <w:sz w:val="22"/>
          <w:szCs w:val="22"/>
        </w:rPr>
        <w:drawing>
          <wp:anchor distT="0" distB="0" distL="0" distR="0" simplePos="0" relativeHeight="251659264" behindDoc="0" locked="0" layoutInCell="1" allowOverlap="1" wp14:anchorId="4F5209A0" wp14:editId="7823BAC5">
            <wp:simplePos x="0" y="0"/>
            <wp:positionH relativeFrom="page">
              <wp:posOffset>2038350</wp:posOffset>
            </wp:positionH>
            <wp:positionV relativeFrom="paragraph">
              <wp:posOffset>1254760</wp:posOffset>
            </wp:positionV>
            <wp:extent cx="3819525" cy="554990"/>
            <wp:effectExtent l="0" t="0" r="9525" b="0"/>
            <wp:wrapTopAndBottom/>
            <wp:docPr id="6"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9525" cy="554990"/>
                    </a:xfrm>
                    <a:prstGeom prst="rect">
                      <a:avLst/>
                    </a:prstGeom>
                    <a:noFill/>
                  </pic:spPr>
                </pic:pic>
              </a:graphicData>
            </a:graphic>
            <wp14:sizeRelH relativeFrom="margin">
              <wp14:pctWidth>0</wp14:pctWidth>
            </wp14:sizeRelH>
            <wp14:sizeRelV relativeFrom="page">
              <wp14:pctHeight>0</wp14:pctHeight>
            </wp14:sizeRelV>
          </wp:anchor>
        </w:drawing>
      </w:r>
      <w:r w:rsidR="009A23CE" w:rsidRPr="009A23CE">
        <w:rPr>
          <w:rFonts w:ascii="Arial" w:hAnsi="Arial" w:cs="Arial"/>
          <w:bCs/>
          <w:sz w:val="22"/>
          <w:szCs w:val="22"/>
          <w:lang w:val="es-MX" w:eastAsia="x-none"/>
        </w:rPr>
        <w:t>Para lo segundo, es decir, para verificar que cada proponente cumple con la CRPC, la entidad pública debe verificar que la capacidad residual del proponente «CRP» sea igual o superior a la capacidad referida en el párrafo precedente. De todas formas, previamente debe establecer la CRP, con fundamento en los siguientes factores: i) experiencia «E»; ii) capacidad financiera «CF»; iii) capacidad técnica «CT», iv) capacidad de organización «CO»; y v) los saldos de los contratos en ejecución «SCE», según la siguiente fórmula:</w:t>
      </w:r>
    </w:p>
    <w:p w14:paraId="6C29D9ED" w14:textId="5CD9991F" w:rsidR="009A23CE" w:rsidRPr="009A23CE" w:rsidRDefault="009A23CE" w:rsidP="00870412">
      <w:pPr>
        <w:pStyle w:val="Textoindependiente"/>
        <w:spacing w:before="240" w:beforeAutospacing="0" w:after="0" w:afterAutospacing="0" w:line="276" w:lineRule="auto"/>
        <w:ind w:firstLine="709"/>
        <w:jc w:val="both"/>
        <w:rPr>
          <w:rFonts w:ascii="Arial" w:hAnsi="Arial" w:cs="Arial"/>
          <w:bCs/>
          <w:sz w:val="22"/>
          <w:szCs w:val="22"/>
          <w:lang w:val="es-MX" w:eastAsia="x-none"/>
        </w:rPr>
      </w:pPr>
      <w:r w:rsidRPr="009A23CE">
        <w:rPr>
          <w:rFonts w:ascii="Arial" w:hAnsi="Arial" w:cs="Arial"/>
          <w:bCs/>
          <w:sz w:val="22"/>
          <w:szCs w:val="22"/>
          <w:lang w:val="es-MX" w:eastAsia="x-none"/>
        </w:rPr>
        <w:t>A cada uno de estos factores se les debe asignar el siguiente puntaje máximo: i) «E» 120; ii) «CF» 40; y iii) «CT» 40. La «CO» no tiene asignación de puntaje en la fórmula, por un lado, porque su unidad de medida es en pesos colombianos «COP» y, por el otro, debido a que el mismo constituye un factor multiplicador de los demás factores en la fórmula. A continuación, se explicará, en términos generales, cómo calcular cada factor:</w:t>
      </w:r>
    </w:p>
    <w:p w14:paraId="1C9A4EBD" w14:textId="77777777" w:rsidR="009A23CE" w:rsidRPr="009A23CE" w:rsidRDefault="009A23CE" w:rsidP="00F14985">
      <w:pPr>
        <w:pStyle w:val="Textoindependiente"/>
        <w:widowControl w:val="0"/>
        <w:numPr>
          <w:ilvl w:val="0"/>
          <w:numId w:val="26"/>
        </w:numPr>
        <w:tabs>
          <w:tab w:val="left" w:pos="993"/>
        </w:tabs>
        <w:autoSpaceDE w:val="0"/>
        <w:autoSpaceDN w:val="0"/>
        <w:spacing w:before="120" w:beforeAutospacing="0" w:after="0" w:afterAutospacing="0" w:line="276" w:lineRule="auto"/>
        <w:ind w:left="0" w:firstLine="709"/>
        <w:jc w:val="both"/>
        <w:rPr>
          <w:rFonts w:ascii="Arial" w:hAnsi="Arial" w:cs="Arial"/>
          <w:bCs/>
          <w:sz w:val="22"/>
          <w:szCs w:val="22"/>
          <w:lang w:val="es-MX" w:eastAsia="x-none"/>
        </w:rPr>
      </w:pPr>
      <w:r w:rsidRPr="009A23CE">
        <w:rPr>
          <w:rFonts w:ascii="Arial" w:hAnsi="Arial" w:cs="Arial"/>
          <w:bCs/>
          <w:sz w:val="22"/>
          <w:szCs w:val="22"/>
          <w:lang w:val="es-MX" w:eastAsia="x-none"/>
        </w:rPr>
        <w:t>Capacidad financiera (CF). Se mide por el «índice de liquidez» y este, a su vez, corresponde al resultado de dividir el «activo corriente» sobre el «pasivo corriente». El resultado puede ser calificado entre 20 y cuarenta puntos, según se explica en la Guía.</w:t>
      </w:r>
    </w:p>
    <w:p w14:paraId="66CB6307" w14:textId="2E673D7C" w:rsidR="009A23CE" w:rsidRPr="009A23CE" w:rsidRDefault="009A23CE" w:rsidP="00F14985">
      <w:pPr>
        <w:pStyle w:val="Textoindependiente"/>
        <w:widowControl w:val="0"/>
        <w:numPr>
          <w:ilvl w:val="0"/>
          <w:numId w:val="26"/>
        </w:numPr>
        <w:tabs>
          <w:tab w:val="left" w:pos="993"/>
        </w:tabs>
        <w:autoSpaceDE w:val="0"/>
        <w:autoSpaceDN w:val="0"/>
        <w:spacing w:before="120" w:beforeAutospacing="0" w:after="0" w:afterAutospacing="0" w:line="276" w:lineRule="auto"/>
        <w:ind w:left="0" w:firstLine="709"/>
        <w:jc w:val="both"/>
        <w:rPr>
          <w:rFonts w:ascii="Arial" w:hAnsi="Arial" w:cs="Arial"/>
          <w:bCs/>
          <w:sz w:val="22"/>
          <w:szCs w:val="22"/>
          <w:lang w:val="es-MX" w:eastAsia="x-none"/>
        </w:rPr>
      </w:pPr>
      <w:r w:rsidRPr="009A23CE">
        <w:rPr>
          <w:rFonts w:ascii="Arial" w:hAnsi="Arial" w:cs="Arial"/>
          <w:bCs/>
          <w:sz w:val="22"/>
          <w:szCs w:val="22"/>
          <w:lang w:val="es-MX" w:eastAsia="x-none"/>
        </w:rPr>
        <w:t>Capacidad técnica (CT). Se determina teniendo en cuenta el número de socios y profesionales de la arquitectura, ingeniería y geología vinculados mediante una relación laboral o contractual. El puntaje a asignar, según la Guía, oscila entre 20 y 40 puntos. Para tales fines, se aclara, el proponente debe diligenciar el Anexo 2 de la «Guía para Determinar y Verificar la Capacidad Residual del Proponente en los Procesos de Contratación de Obra Pública».</w:t>
      </w:r>
    </w:p>
    <w:p w14:paraId="23A2F07E" w14:textId="589CAC7B" w:rsidR="009A23CE" w:rsidRDefault="009A23CE" w:rsidP="00F14985">
      <w:pPr>
        <w:pStyle w:val="Textoindependiente"/>
        <w:widowControl w:val="0"/>
        <w:numPr>
          <w:ilvl w:val="0"/>
          <w:numId w:val="26"/>
        </w:numPr>
        <w:tabs>
          <w:tab w:val="left" w:pos="993"/>
        </w:tabs>
        <w:autoSpaceDE w:val="0"/>
        <w:autoSpaceDN w:val="0"/>
        <w:spacing w:before="120" w:beforeAutospacing="0" w:after="0" w:afterAutospacing="0" w:line="276" w:lineRule="auto"/>
        <w:ind w:left="0" w:firstLine="709"/>
        <w:jc w:val="both"/>
        <w:rPr>
          <w:rFonts w:ascii="Arial" w:hAnsi="Arial" w:cs="Arial"/>
          <w:bCs/>
          <w:sz w:val="22"/>
          <w:szCs w:val="22"/>
          <w:lang w:val="es-MX" w:eastAsia="x-none"/>
        </w:rPr>
      </w:pPr>
      <w:r w:rsidRPr="009A23CE">
        <w:rPr>
          <w:rFonts w:ascii="Arial" w:hAnsi="Arial" w:cs="Arial"/>
          <w:bCs/>
          <w:sz w:val="22"/>
          <w:szCs w:val="22"/>
          <w:lang w:val="es-MX" w:eastAsia="x-none"/>
        </w:rPr>
        <w:lastRenderedPageBreak/>
        <w:t>Capacidad de organización (CO). Corresponde a los ingresos operacionales, según el siguiente cuadro:</w:t>
      </w:r>
    </w:p>
    <w:p w14:paraId="0D91E0C6" w14:textId="77777777" w:rsidR="001D3585" w:rsidRPr="001D3585" w:rsidRDefault="001D3585" w:rsidP="00870412">
      <w:pPr>
        <w:pStyle w:val="Textoindependiente"/>
        <w:widowControl w:val="0"/>
        <w:tabs>
          <w:tab w:val="left" w:pos="993"/>
        </w:tabs>
        <w:autoSpaceDE w:val="0"/>
        <w:autoSpaceDN w:val="0"/>
        <w:spacing w:before="240" w:beforeAutospacing="0" w:after="0" w:afterAutospacing="0" w:line="276" w:lineRule="auto"/>
        <w:ind w:left="709"/>
        <w:jc w:val="both"/>
        <w:rPr>
          <w:rFonts w:ascii="Arial" w:hAnsi="Arial" w:cs="Arial"/>
          <w:bCs/>
          <w:sz w:val="16"/>
          <w:szCs w:val="16"/>
          <w:lang w:val="es-MX" w:eastAsia="x-none"/>
        </w:rPr>
      </w:pPr>
    </w:p>
    <w:tbl>
      <w:tblPr>
        <w:tblStyle w:val="Tablaconcuadrcula"/>
        <w:tblW w:w="7366" w:type="dxa"/>
        <w:tblInd w:w="709" w:type="dxa"/>
        <w:tblLook w:val="04A0" w:firstRow="1" w:lastRow="0" w:firstColumn="1" w:lastColumn="0" w:noHBand="0" w:noVBand="1"/>
      </w:tblPr>
      <w:tblGrid>
        <w:gridCol w:w="4053"/>
        <w:gridCol w:w="3313"/>
      </w:tblGrid>
      <w:tr w:rsidR="009A23CE" w:rsidRPr="009A23CE" w14:paraId="1E1A0239" w14:textId="77777777" w:rsidTr="009A23CE">
        <w:tc>
          <w:tcPr>
            <w:tcW w:w="4053" w:type="dxa"/>
            <w:tcBorders>
              <w:top w:val="single" w:sz="4" w:space="0" w:color="auto"/>
              <w:left w:val="single" w:sz="4" w:space="0" w:color="auto"/>
              <w:bottom w:val="single" w:sz="4" w:space="0" w:color="auto"/>
              <w:right w:val="single" w:sz="4" w:space="0" w:color="auto"/>
            </w:tcBorders>
            <w:shd w:val="clear" w:color="auto" w:fill="BABABA" w:themeFill="background1" w:themeFillShade="D9"/>
            <w:hideMark/>
          </w:tcPr>
          <w:p w14:paraId="3CF0C94C" w14:textId="77777777" w:rsidR="009A23CE" w:rsidRPr="009A23CE" w:rsidRDefault="009A23CE" w:rsidP="006E0932">
            <w:pPr>
              <w:pStyle w:val="Textoindependiente"/>
              <w:tabs>
                <w:tab w:val="left" w:pos="993"/>
              </w:tabs>
              <w:spacing w:before="0" w:beforeAutospacing="0" w:after="0" w:afterAutospacing="0" w:line="276" w:lineRule="auto"/>
              <w:ind w:right="51"/>
              <w:jc w:val="center"/>
              <w:rPr>
                <w:rFonts w:ascii="Arial" w:hAnsi="Arial" w:cs="Arial"/>
                <w:bCs/>
                <w:sz w:val="22"/>
                <w:szCs w:val="22"/>
                <w:lang w:val="es-MX" w:eastAsia="x-none"/>
              </w:rPr>
            </w:pPr>
            <w:r w:rsidRPr="009A23CE">
              <w:rPr>
                <w:rFonts w:ascii="Arial" w:hAnsi="Arial" w:cs="Arial"/>
                <w:bCs/>
                <w:sz w:val="22"/>
                <w:szCs w:val="22"/>
                <w:lang w:val="es-MX" w:eastAsia="x-none"/>
              </w:rPr>
              <w:t>Años de información financiera</w:t>
            </w:r>
          </w:p>
        </w:tc>
        <w:tc>
          <w:tcPr>
            <w:tcW w:w="3313" w:type="dxa"/>
            <w:tcBorders>
              <w:top w:val="single" w:sz="4" w:space="0" w:color="auto"/>
              <w:left w:val="single" w:sz="4" w:space="0" w:color="auto"/>
              <w:bottom w:val="single" w:sz="4" w:space="0" w:color="auto"/>
              <w:right w:val="single" w:sz="4" w:space="0" w:color="auto"/>
            </w:tcBorders>
            <w:shd w:val="clear" w:color="auto" w:fill="BABABA" w:themeFill="background1" w:themeFillShade="D9"/>
            <w:hideMark/>
          </w:tcPr>
          <w:p w14:paraId="7C6732EF" w14:textId="77777777" w:rsidR="009A23CE" w:rsidRPr="009A23CE" w:rsidRDefault="009A23CE" w:rsidP="006E0932">
            <w:pPr>
              <w:pStyle w:val="Textoindependiente"/>
              <w:tabs>
                <w:tab w:val="left" w:pos="993"/>
              </w:tabs>
              <w:spacing w:before="0" w:beforeAutospacing="0" w:after="0" w:afterAutospacing="0" w:line="276" w:lineRule="auto"/>
              <w:ind w:right="51"/>
              <w:jc w:val="center"/>
              <w:rPr>
                <w:rFonts w:ascii="Arial" w:hAnsi="Arial" w:cs="Arial"/>
                <w:bCs/>
                <w:sz w:val="22"/>
                <w:szCs w:val="22"/>
                <w:lang w:val="es-MX" w:eastAsia="x-none"/>
              </w:rPr>
            </w:pPr>
            <w:r w:rsidRPr="009A23CE">
              <w:rPr>
                <w:rFonts w:ascii="Arial" w:hAnsi="Arial" w:cs="Arial"/>
                <w:bCs/>
                <w:sz w:val="22"/>
                <w:szCs w:val="22"/>
                <w:lang w:val="es-MX" w:eastAsia="x-none"/>
              </w:rPr>
              <w:t>Capacidad de organización</w:t>
            </w:r>
          </w:p>
        </w:tc>
      </w:tr>
      <w:tr w:rsidR="009A23CE" w:rsidRPr="009A23CE" w14:paraId="1E761818" w14:textId="77777777" w:rsidTr="006E0932">
        <w:trPr>
          <w:trHeight w:val="550"/>
        </w:trPr>
        <w:tc>
          <w:tcPr>
            <w:tcW w:w="4053" w:type="dxa"/>
            <w:tcBorders>
              <w:top w:val="single" w:sz="4" w:space="0" w:color="auto"/>
              <w:left w:val="single" w:sz="4" w:space="0" w:color="auto"/>
              <w:bottom w:val="single" w:sz="4" w:space="0" w:color="auto"/>
              <w:right w:val="single" w:sz="4" w:space="0" w:color="auto"/>
            </w:tcBorders>
            <w:hideMark/>
          </w:tcPr>
          <w:p w14:paraId="66D400DF" w14:textId="77777777" w:rsidR="009A23CE" w:rsidRPr="009A23CE" w:rsidRDefault="009A23CE" w:rsidP="006E0932">
            <w:pPr>
              <w:pStyle w:val="Textoindependiente"/>
              <w:tabs>
                <w:tab w:val="left" w:pos="993"/>
              </w:tabs>
              <w:spacing w:before="0" w:beforeAutospacing="0" w:after="0" w:afterAutospacing="0" w:line="276" w:lineRule="auto"/>
              <w:ind w:right="51"/>
              <w:jc w:val="both"/>
              <w:rPr>
                <w:rFonts w:ascii="Arial" w:hAnsi="Arial" w:cs="Arial"/>
                <w:bCs/>
                <w:sz w:val="22"/>
                <w:szCs w:val="22"/>
                <w:lang w:val="es-MX" w:eastAsia="x-none"/>
              </w:rPr>
            </w:pPr>
            <w:r w:rsidRPr="009A23CE">
              <w:rPr>
                <w:rFonts w:ascii="Arial" w:hAnsi="Arial" w:cs="Arial"/>
                <w:bCs/>
                <w:sz w:val="22"/>
                <w:szCs w:val="22"/>
                <w:lang w:val="es-MX" w:eastAsia="x-none"/>
              </w:rPr>
              <w:t>Cinco (5) años o más</w:t>
            </w:r>
          </w:p>
        </w:tc>
        <w:tc>
          <w:tcPr>
            <w:tcW w:w="3313" w:type="dxa"/>
            <w:tcBorders>
              <w:top w:val="single" w:sz="4" w:space="0" w:color="auto"/>
              <w:left w:val="single" w:sz="4" w:space="0" w:color="auto"/>
              <w:bottom w:val="single" w:sz="4" w:space="0" w:color="auto"/>
              <w:right w:val="single" w:sz="4" w:space="0" w:color="auto"/>
            </w:tcBorders>
            <w:hideMark/>
          </w:tcPr>
          <w:p w14:paraId="6E3265BE" w14:textId="77777777" w:rsidR="009A23CE" w:rsidRPr="009A23CE" w:rsidRDefault="009A23CE" w:rsidP="006E0932">
            <w:pPr>
              <w:pStyle w:val="Textoindependiente"/>
              <w:tabs>
                <w:tab w:val="left" w:pos="993"/>
              </w:tabs>
              <w:spacing w:before="0" w:beforeAutospacing="0" w:after="0" w:afterAutospacing="0" w:line="276" w:lineRule="auto"/>
              <w:ind w:right="51"/>
              <w:jc w:val="both"/>
              <w:rPr>
                <w:rFonts w:ascii="Arial" w:hAnsi="Arial" w:cs="Arial"/>
                <w:bCs/>
                <w:sz w:val="22"/>
                <w:szCs w:val="22"/>
                <w:lang w:val="es-MX" w:eastAsia="x-none"/>
              </w:rPr>
            </w:pPr>
            <w:r w:rsidRPr="009A23CE">
              <w:rPr>
                <w:rFonts w:ascii="Arial" w:hAnsi="Arial" w:cs="Arial"/>
                <w:bCs/>
                <w:sz w:val="22"/>
                <w:szCs w:val="22"/>
                <w:lang w:val="es-MX" w:eastAsia="x-none"/>
              </w:rPr>
              <w:t>Mayor ingreso operacional de los últimos cinco años</w:t>
            </w:r>
          </w:p>
        </w:tc>
      </w:tr>
      <w:tr w:rsidR="009A23CE" w:rsidRPr="009A23CE" w14:paraId="1569F78F" w14:textId="77777777" w:rsidTr="009A23CE">
        <w:tc>
          <w:tcPr>
            <w:tcW w:w="4053" w:type="dxa"/>
            <w:tcBorders>
              <w:top w:val="single" w:sz="4" w:space="0" w:color="auto"/>
              <w:left w:val="single" w:sz="4" w:space="0" w:color="auto"/>
              <w:bottom w:val="single" w:sz="4" w:space="0" w:color="auto"/>
              <w:right w:val="single" w:sz="4" w:space="0" w:color="auto"/>
            </w:tcBorders>
            <w:hideMark/>
          </w:tcPr>
          <w:p w14:paraId="3387241D" w14:textId="77777777" w:rsidR="009A23CE" w:rsidRPr="009A23CE" w:rsidRDefault="009A23CE" w:rsidP="006E0932">
            <w:pPr>
              <w:pStyle w:val="Textoindependiente"/>
              <w:tabs>
                <w:tab w:val="left" w:pos="993"/>
              </w:tabs>
              <w:spacing w:before="0" w:beforeAutospacing="0" w:after="0" w:afterAutospacing="0" w:line="276" w:lineRule="auto"/>
              <w:ind w:right="51"/>
              <w:jc w:val="both"/>
              <w:rPr>
                <w:rFonts w:ascii="Arial" w:hAnsi="Arial" w:cs="Arial"/>
                <w:bCs/>
                <w:sz w:val="22"/>
                <w:szCs w:val="22"/>
                <w:lang w:val="es-MX" w:eastAsia="x-none"/>
              </w:rPr>
            </w:pPr>
            <w:r w:rsidRPr="009A23CE">
              <w:rPr>
                <w:rFonts w:ascii="Arial" w:hAnsi="Arial" w:cs="Arial"/>
                <w:bCs/>
                <w:sz w:val="22"/>
                <w:szCs w:val="22"/>
                <w:lang w:val="es-MX" w:eastAsia="x-none"/>
              </w:rPr>
              <w:t>Entre uno (1) y cinco (5) años</w:t>
            </w:r>
          </w:p>
        </w:tc>
        <w:tc>
          <w:tcPr>
            <w:tcW w:w="3313" w:type="dxa"/>
            <w:tcBorders>
              <w:top w:val="single" w:sz="4" w:space="0" w:color="auto"/>
              <w:left w:val="single" w:sz="4" w:space="0" w:color="auto"/>
              <w:bottom w:val="single" w:sz="4" w:space="0" w:color="auto"/>
              <w:right w:val="single" w:sz="4" w:space="0" w:color="auto"/>
            </w:tcBorders>
            <w:hideMark/>
          </w:tcPr>
          <w:p w14:paraId="62814CBE" w14:textId="77777777" w:rsidR="009A23CE" w:rsidRPr="009A23CE" w:rsidRDefault="009A23CE" w:rsidP="006E0932">
            <w:pPr>
              <w:pStyle w:val="Textoindependiente"/>
              <w:tabs>
                <w:tab w:val="left" w:pos="993"/>
              </w:tabs>
              <w:spacing w:before="0" w:beforeAutospacing="0" w:after="0" w:afterAutospacing="0" w:line="276" w:lineRule="auto"/>
              <w:ind w:right="51"/>
              <w:jc w:val="both"/>
              <w:rPr>
                <w:rFonts w:ascii="Arial" w:hAnsi="Arial" w:cs="Arial"/>
                <w:bCs/>
                <w:sz w:val="22"/>
                <w:szCs w:val="22"/>
                <w:lang w:val="es-MX" w:eastAsia="x-none"/>
              </w:rPr>
            </w:pPr>
            <w:r w:rsidRPr="009A23CE">
              <w:rPr>
                <w:rFonts w:ascii="Arial" w:hAnsi="Arial" w:cs="Arial"/>
                <w:bCs/>
                <w:sz w:val="22"/>
                <w:szCs w:val="22"/>
                <w:lang w:val="es-MX" w:eastAsia="x-none"/>
              </w:rPr>
              <w:t>Mayor ingreso operacional de los años de vida del oferente</w:t>
            </w:r>
          </w:p>
        </w:tc>
      </w:tr>
      <w:tr w:rsidR="009A23CE" w:rsidRPr="009A23CE" w14:paraId="3E96E570" w14:textId="77777777" w:rsidTr="009A23CE">
        <w:tc>
          <w:tcPr>
            <w:tcW w:w="4053" w:type="dxa"/>
            <w:tcBorders>
              <w:top w:val="single" w:sz="4" w:space="0" w:color="auto"/>
              <w:left w:val="single" w:sz="4" w:space="0" w:color="auto"/>
              <w:bottom w:val="single" w:sz="4" w:space="0" w:color="auto"/>
              <w:right w:val="single" w:sz="4" w:space="0" w:color="auto"/>
            </w:tcBorders>
            <w:hideMark/>
          </w:tcPr>
          <w:p w14:paraId="1D4AD6F5" w14:textId="77777777" w:rsidR="009A23CE" w:rsidRPr="009A23CE" w:rsidRDefault="009A23CE" w:rsidP="006E0932">
            <w:pPr>
              <w:pStyle w:val="Textoindependiente"/>
              <w:tabs>
                <w:tab w:val="left" w:pos="993"/>
              </w:tabs>
              <w:spacing w:before="0" w:beforeAutospacing="0" w:after="0" w:afterAutospacing="0" w:line="276" w:lineRule="auto"/>
              <w:ind w:right="51"/>
              <w:jc w:val="both"/>
              <w:rPr>
                <w:rFonts w:ascii="Arial" w:hAnsi="Arial" w:cs="Arial"/>
                <w:bCs/>
                <w:sz w:val="22"/>
                <w:szCs w:val="22"/>
                <w:lang w:val="es-MX" w:eastAsia="x-none"/>
              </w:rPr>
            </w:pPr>
            <w:r w:rsidRPr="009A23CE">
              <w:rPr>
                <w:rFonts w:ascii="Arial" w:hAnsi="Arial" w:cs="Arial"/>
                <w:bCs/>
                <w:sz w:val="22"/>
                <w:szCs w:val="22"/>
                <w:lang w:val="es-MX" w:eastAsia="x-none"/>
              </w:rPr>
              <w:t>Menos de un (1) año</w:t>
            </w:r>
          </w:p>
        </w:tc>
        <w:tc>
          <w:tcPr>
            <w:tcW w:w="3313" w:type="dxa"/>
            <w:tcBorders>
              <w:top w:val="single" w:sz="4" w:space="0" w:color="auto"/>
              <w:left w:val="single" w:sz="4" w:space="0" w:color="auto"/>
              <w:bottom w:val="single" w:sz="4" w:space="0" w:color="auto"/>
              <w:right w:val="single" w:sz="4" w:space="0" w:color="auto"/>
            </w:tcBorders>
            <w:hideMark/>
          </w:tcPr>
          <w:p w14:paraId="5B253CB5" w14:textId="77777777" w:rsidR="009A23CE" w:rsidRPr="009A23CE" w:rsidRDefault="009A23CE" w:rsidP="006E0932">
            <w:pPr>
              <w:pStyle w:val="Textoindependiente"/>
              <w:tabs>
                <w:tab w:val="left" w:pos="993"/>
              </w:tabs>
              <w:spacing w:before="0" w:beforeAutospacing="0" w:after="0" w:afterAutospacing="0" w:line="276" w:lineRule="auto"/>
              <w:ind w:right="51"/>
              <w:jc w:val="both"/>
              <w:rPr>
                <w:rFonts w:ascii="Arial" w:hAnsi="Arial" w:cs="Arial"/>
                <w:bCs/>
                <w:sz w:val="22"/>
                <w:szCs w:val="22"/>
                <w:lang w:val="es-MX" w:eastAsia="x-none"/>
              </w:rPr>
            </w:pPr>
            <w:r w:rsidRPr="009A23CE">
              <w:rPr>
                <w:rFonts w:ascii="Arial" w:hAnsi="Arial" w:cs="Arial"/>
                <w:bCs/>
                <w:sz w:val="22"/>
                <w:szCs w:val="22"/>
                <w:lang w:val="es-MX" w:eastAsia="x-none"/>
              </w:rPr>
              <w:t>USD 125.000</w:t>
            </w:r>
          </w:p>
        </w:tc>
      </w:tr>
    </w:tbl>
    <w:p w14:paraId="3DECD2ED" w14:textId="3068C999" w:rsidR="009A23CE" w:rsidRPr="009A23CE" w:rsidRDefault="009A23CE" w:rsidP="00870412">
      <w:pPr>
        <w:pStyle w:val="Textoindependiente"/>
        <w:widowControl w:val="0"/>
        <w:numPr>
          <w:ilvl w:val="0"/>
          <w:numId w:val="26"/>
        </w:numPr>
        <w:tabs>
          <w:tab w:val="left" w:pos="993"/>
        </w:tabs>
        <w:autoSpaceDE w:val="0"/>
        <w:autoSpaceDN w:val="0"/>
        <w:spacing w:before="240" w:beforeAutospacing="0" w:after="0" w:afterAutospacing="0" w:line="276" w:lineRule="auto"/>
        <w:ind w:left="0" w:firstLine="709"/>
        <w:jc w:val="both"/>
        <w:rPr>
          <w:rFonts w:ascii="Arial" w:hAnsi="Arial" w:cs="Arial"/>
          <w:bCs/>
          <w:sz w:val="22"/>
          <w:szCs w:val="22"/>
          <w:lang w:val="es-MX" w:eastAsia="x-none"/>
        </w:rPr>
      </w:pPr>
      <w:r w:rsidRPr="009A23CE">
        <w:rPr>
          <w:rFonts w:ascii="Arial" w:hAnsi="Arial" w:cs="Arial"/>
          <w:bCs/>
          <w:sz w:val="22"/>
          <w:szCs w:val="22"/>
          <w:lang w:val="es-MX" w:eastAsia="x-none"/>
        </w:rPr>
        <w:t>Saldos de los Contratos en ejecución (SCE). Debe hacerse linealmente y calculando una «ejecución diaria equivalente al valor del contrato dividido por el plazo del contrato expresado en días». El resultado obtenido se debe multiplicar por el número de días pendientes para cumplir el plazo del contrato. Si el número de días por ejecutar un contrato es superior a 360 días, solo se tendrá en cuenta la proporción lineal de 12 meses.</w:t>
      </w:r>
    </w:p>
    <w:p w14:paraId="4164B4C0" w14:textId="4971063C" w:rsidR="009A23CE" w:rsidRPr="009A23CE" w:rsidRDefault="009A23CE" w:rsidP="00F14985">
      <w:pPr>
        <w:pStyle w:val="Textoindependiente"/>
        <w:widowControl w:val="0"/>
        <w:numPr>
          <w:ilvl w:val="0"/>
          <w:numId w:val="26"/>
        </w:numPr>
        <w:tabs>
          <w:tab w:val="left" w:pos="993"/>
        </w:tabs>
        <w:autoSpaceDE w:val="0"/>
        <w:autoSpaceDN w:val="0"/>
        <w:spacing w:before="120" w:beforeAutospacing="0" w:after="0" w:afterAutospacing="0" w:line="276" w:lineRule="auto"/>
        <w:ind w:left="0" w:firstLine="709"/>
        <w:jc w:val="both"/>
        <w:rPr>
          <w:rFonts w:ascii="Arial" w:hAnsi="Arial" w:cs="Arial"/>
          <w:bCs/>
          <w:sz w:val="22"/>
          <w:szCs w:val="22"/>
          <w:lang w:val="es-MX" w:eastAsia="x-none"/>
        </w:rPr>
      </w:pPr>
      <w:r w:rsidRPr="009A23CE">
        <w:rPr>
          <w:rFonts w:ascii="Arial" w:hAnsi="Arial" w:cs="Arial"/>
          <w:bCs/>
          <w:sz w:val="22"/>
          <w:szCs w:val="22"/>
          <w:lang w:val="es-MX" w:eastAsia="x-none"/>
        </w:rPr>
        <w:t>Experiencia (E). Para los efectos de la capacidad residual, corresponde</w:t>
      </w:r>
      <w:r w:rsidR="00D634A3">
        <w:rPr>
          <w:rFonts w:ascii="Arial" w:hAnsi="Arial" w:cs="Arial"/>
          <w:bCs/>
          <w:sz w:val="22"/>
          <w:szCs w:val="22"/>
          <w:lang w:val="es-MX" w:eastAsia="x-none"/>
        </w:rPr>
        <w:t>,</w:t>
      </w:r>
      <w:r w:rsidRPr="009A23CE">
        <w:rPr>
          <w:rFonts w:ascii="Arial" w:hAnsi="Arial" w:cs="Arial"/>
          <w:bCs/>
          <w:sz w:val="22"/>
          <w:szCs w:val="22"/>
          <w:lang w:val="es-MX" w:eastAsia="x-none"/>
        </w:rPr>
        <w:t xml:space="preserve"> de un lado, a la relación entre «el valor total en pesos de los contratos relacionados con la actividad de la construcción inscritos por el proponente en el Registro Único de Proponentes “RUP” en el segmento 72 […] del Clasificador de Bienes y Servicios», y del otro, al presupuesto oficial estimado del Proceso de Contratación. La relación indica el número de veces que el proponente ha ejecutado contratos equivalentes a la cuantía del proceso de contratación.  </w:t>
      </w:r>
    </w:p>
    <w:p w14:paraId="4F76FDBE" w14:textId="5F4B1526" w:rsidR="009A23CE" w:rsidRDefault="009A23CE" w:rsidP="00F14985">
      <w:pPr>
        <w:pStyle w:val="Textoindependiente"/>
        <w:spacing w:before="120" w:beforeAutospacing="0" w:after="0" w:afterAutospacing="0" w:line="276" w:lineRule="auto"/>
        <w:ind w:firstLine="709"/>
        <w:jc w:val="both"/>
        <w:rPr>
          <w:rFonts w:ascii="Arial" w:hAnsi="Arial" w:cs="Arial"/>
          <w:bCs/>
          <w:sz w:val="22"/>
          <w:szCs w:val="22"/>
          <w:lang w:val="es-MX" w:eastAsia="x-none"/>
        </w:rPr>
      </w:pPr>
      <w:r w:rsidRPr="009A23CE">
        <w:rPr>
          <w:rFonts w:ascii="Arial" w:hAnsi="Arial" w:cs="Arial"/>
          <w:bCs/>
          <w:sz w:val="22"/>
          <w:szCs w:val="22"/>
          <w:lang w:val="es-MX" w:eastAsia="x-none"/>
        </w:rPr>
        <w:t>En este contexto, resulta oportuno precisar que, si bien es cierto la entidad estatal es la que debe calcular la capacidad residual de los proponentes, también lo es que estos últimos, como se referenció, tienen la carga de aportar los documentos para acreditar su capacidad residual</w:t>
      </w:r>
      <w:r w:rsidR="00677097">
        <w:rPr>
          <w:rStyle w:val="Refdenotaalpie"/>
          <w:rFonts w:ascii="Arial" w:hAnsi="Arial" w:cs="Arial"/>
          <w:bCs/>
          <w:sz w:val="22"/>
          <w:szCs w:val="22"/>
          <w:lang w:val="es-MX" w:eastAsia="x-none"/>
        </w:rPr>
        <w:footnoteReference w:id="3"/>
      </w:r>
      <w:r w:rsidRPr="009A23CE">
        <w:rPr>
          <w:rFonts w:ascii="Arial" w:hAnsi="Arial" w:cs="Arial"/>
          <w:bCs/>
          <w:sz w:val="22"/>
          <w:szCs w:val="22"/>
          <w:lang w:val="es-MX" w:eastAsia="x-none"/>
        </w:rPr>
        <w:t xml:space="preserve">. </w:t>
      </w:r>
    </w:p>
    <w:p w14:paraId="7A36B89B" w14:textId="56DD944E" w:rsidR="001D3585" w:rsidRDefault="001D3585" w:rsidP="00F14985">
      <w:pPr>
        <w:spacing w:before="120" w:line="276" w:lineRule="auto"/>
        <w:ind w:firstLine="709"/>
        <w:jc w:val="both"/>
        <w:rPr>
          <w:rFonts w:ascii="Arial" w:hAnsi="Arial" w:cs="Arial"/>
          <w:bCs/>
          <w:sz w:val="22"/>
          <w:szCs w:val="22"/>
          <w:lang w:val="es-MX" w:eastAsia="x-none"/>
        </w:rPr>
      </w:pPr>
      <w:r w:rsidRPr="001D3585">
        <w:rPr>
          <w:rFonts w:ascii="Arial" w:hAnsi="Arial" w:cs="Arial"/>
          <w:bCs/>
          <w:sz w:val="22"/>
          <w:szCs w:val="22"/>
          <w:lang w:val="es-MX" w:eastAsia="x-none"/>
        </w:rPr>
        <w:lastRenderedPageBreak/>
        <w:t xml:space="preserve">Para acreditar el factor (SCE) «Saldos contratos en ejecución», como lo establece la Guía para determinar y verificar la Capacidad Residual del proponente en los procesos de contratación de obra pública, el proponente debe presentar la lista de Contratos en ejecución, tanto a nivel nacional como internacional </w:t>
      </w:r>
      <w:r w:rsidR="00D634A3">
        <w:rPr>
          <w:rFonts w:ascii="Arial" w:hAnsi="Arial" w:cs="Arial"/>
          <w:bCs/>
          <w:sz w:val="22"/>
          <w:szCs w:val="22"/>
          <w:lang w:val="es-MX" w:eastAsia="x-none"/>
        </w:rPr>
        <w:t xml:space="preserve">señalando: </w:t>
      </w:r>
      <w:r w:rsidRPr="001D3585">
        <w:rPr>
          <w:rFonts w:ascii="Arial" w:hAnsi="Arial" w:cs="Arial"/>
          <w:bCs/>
          <w:sz w:val="22"/>
          <w:szCs w:val="22"/>
          <w:lang w:val="es-MX" w:eastAsia="x-none"/>
        </w:rPr>
        <w:t>(i) el valor del contrato; (ii) el plazo del contrato en meses; (iii) la fecha de inicio de las obras objeto del contrato, día, mes, año; (iv)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p>
    <w:p w14:paraId="246F3E5E" w14:textId="15C3C2E0" w:rsidR="00C837D5" w:rsidRPr="006E0932" w:rsidRDefault="00CB3E91" w:rsidP="006E0932">
      <w:pPr>
        <w:spacing w:before="240" w:line="276" w:lineRule="auto"/>
        <w:ind w:right="49"/>
        <w:jc w:val="both"/>
        <w:rPr>
          <w:rFonts w:ascii="Arial" w:eastAsia="Arial," w:hAnsi="Arial" w:cs="Arial"/>
          <w:sz w:val="22"/>
          <w:szCs w:val="22"/>
        </w:rPr>
      </w:pPr>
      <w:r w:rsidRPr="00CB3E91">
        <w:rPr>
          <w:rFonts w:ascii="Arial" w:hAnsi="Arial" w:cs="Arial"/>
          <w:b/>
          <w:sz w:val="22"/>
          <w:szCs w:val="22"/>
          <w:lang w:val="es-ES" w:eastAsia="es-CO"/>
        </w:rPr>
        <w:t xml:space="preserve">2.2. </w:t>
      </w:r>
      <w:bookmarkStart w:id="5" w:name="_Hlk75784645"/>
      <w:r w:rsidR="00C837D5" w:rsidRPr="00C837D5">
        <w:rPr>
          <w:rFonts w:ascii="Arial" w:hAnsi="Arial" w:cs="Arial"/>
          <w:b/>
          <w:sz w:val="22"/>
          <w:szCs w:val="22"/>
          <w:lang w:val="es-ES" w:eastAsia="es-CO"/>
        </w:rPr>
        <w:t>Contratos a tener en cuenta para el cálculo del factor Saldos de Contratos en Ejecución (SCE) de la fórmula para determinar la Capacidad Residual del Proponente (CRP)</w:t>
      </w:r>
    </w:p>
    <w:p w14:paraId="5AB851A5" w14:textId="77777777" w:rsidR="00C837D5" w:rsidRPr="00C837D5" w:rsidRDefault="00C837D5" w:rsidP="006E0932">
      <w:pPr>
        <w:spacing w:before="240" w:line="276" w:lineRule="auto"/>
        <w:contextualSpacing/>
        <w:jc w:val="both"/>
        <w:rPr>
          <w:rFonts w:ascii="Arial" w:hAnsi="Arial" w:cs="Arial"/>
          <w:b/>
          <w:sz w:val="22"/>
          <w:szCs w:val="22"/>
          <w:lang w:val="es-ES" w:eastAsia="es-CO"/>
        </w:rPr>
      </w:pPr>
    </w:p>
    <w:p w14:paraId="564440C5" w14:textId="6ADED5A7" w:rsidR="00420A6C" w:rsidRDefault="00C837D5" w:rsidP="00CA4D9B">
      <w:pPr>
        <w:spacing w:before="240" w:line="276" w:lineRule="auto"/>
        <w:contextualSpacing/>
        <w:jc w:val="both"/>
        <w:rPr>
          <w:rFonts w:ascii="Arial" w:hAnsi="Arial" w:cs="Arial"/>
          <w:bCs/>
          <w:sz w:val="22"/>
          <w:szCs w:val="22"/>
          <w:lang w:val="es-ES" w:eastAsia="es-CO"/>
        </w:rPr>
      </w:pPr>
      <w:r w:rsidRPr="00C837D5">
        <w:rPr>
          <w:rFonts w:ascii="Arial" w:hAnsi="Arial" w:cs="Arial"/>
          <w:bCs/>
          <w:sz w:val="22"/>
          <w:szCs w:val="22"/>
          <w:lang w:val="es-ES" w:eastAsia="es-CO"/>
        </w:rPr>
        <w:t xml:space="preserve">A efectos del cálculo de la Capacidad Residual del Proponente (CRP), conforme </w:t>
      </w:r>
      <w:r w:rsidR="00052889">
        <w:rPr>
          <w:rFonts w:ascii="Arial" w:hAnsi="Arial" w:cs="Arial"/>
          <w:bCs/>
          <w:sz w:val="22"/>
          <w:szCs w:val="22"/>
          <w:lang w:val="es-ES" w:eastAsia="es-CO"/>
        </w:rPr>
        <w:t>con</w:t>
      </w:r>
      <w:r w:rsidRPr="00C837D5">
        <w:rPr>
          <w:rFonts w:ascii="Arial" w:hAnsi="Arial" w:cs="Arial"/>
          <w:bCs/>
          <w:sz w:val="22"/>
          <w:szCs w:val="22"/>
          <w:lang w:val="es-ES" w:eastAsia="es-CO"/>
        </w:rPr>
        <w:t xml:space="preserve"> la metodología descrita </w:t>
      </w:r>
      <w:r w:rsidRPr="00F14985">
        <w:rPr>
          <w:rFonts w:ascii="Arial" w:hAnsi="Arial" w:cs="Arial"/>
          <w:bCs/>
          <w:i/>
          <w:iCs/>
          <w:sz w:val="22"/>
          <w:szCs w:val="22"/>
          <w:lang w:val="es-ES" w:eastAsia="es-CO"/>
        </w:rPr>
        <w:t>supra</w:t>
      </w:r>
      <w:r w:rsidRPr="00C837D5">
        <w:rPr>
          <w:rFonts w:ascii="Arial" w:hAnsi="Arial" w:cs="Arial"/>
          <w:bCs/>
          <w:sz w:val="22"/>
          <w:szCs w:val="22"/>
          <w:lang w:val="es-ES" w:eastAsia="es-CO"/>
        </w:rPr>
        <w:t xml:space="preserve">, es necesario tener en cuenta la lista de los contratos en ejecución del proponente, que son aquellos que, a la fecha de presentación de la oferta, obligan al proponente con entidades estatales y con entidades privadas para ejecutar obras públicas. Es decir, los saldos pendientes se derivan de las obligaciones que se encuentran vigentes al momento de la presentación de la oferta. </w:t>
      </w:r>
    </w:p>
    <w:p w14:paraId="4D215C8C" w14:textId="13759E36" w:rsidR="00C837D5" w:rsidRPr="00C837D5" w:rsidRDefault="00C837D5" w:rsidP="00F14985">
      <w:pPr>
        <w:spacing w:before="120" w:line="276" w:lineRule="auto"/>
        <w:ind w:firstLine="709"/>
        <w:jc w:val="both"/>
        <w:rPr>
          <w:rFonts w:ascii="Arial" w:hAnsi="Arial" w:cs="Arial"/>
          <w:bCs/>
          <w:sz w:val="22"/>
          <w:szCs w:val="22"/>
          <w:lang w:val="es-ES" w:eastAsia="es-CO"/>
        </w:rPr>
      </w:pPr>
      <w:r w:rsidRPr="00C837D5">
        <w:rPr>
          <w:rFonts w:ascii="Arial" w:hAnsi="Arial" w:cs="Arial"/>
          <w:bCs/>
          <w:sz w:val="22"/>
          <w:szCs w:val="22"/>
          <w:lang w:val="es-ES" w:eastAsia="es-CO"/>
        </w:rPr>
        <w:t xml:space="preserve">Para acreditar tales valores, correspondientes al factor Saldos de Contratos en Ejecución (SCE), la Guía para Determinar y Verificar la Capacidad Residual del Proponente en los Procesos de Contratación de Obra Pública establece lo siguiente: </w:t>
      </w:r>
    </w:p>
    <w:p w14:paraId="13E83F34" w14:textId="77777777" w:rsidR="00C837D5" w:rsidRPr="00C837D5" w:rsidRDefault="00C837D5" w:rsidP="00870412">
      <w:pPr>
        <w:spacing w:before="240" w:line="276" w:lineRule="auto"/>
        <w:contextualSpacing/>
        <w:jc w:val="both"/>
        <w:rPr>
          <w:rFonts w:ascii="Arial" w:hAnsi="Arial" w:cs="Arial"/>
          <w:bCs/>
          <w:sz w:val="22"/>
          <w:szCs w:val="22"/>
          <w:lang w:val="es-ES" w:eastAsia="es-CO"/>
        </w:rPr>
      </w:pPr>
    </w:p>
    <w:p w14:paraId="4FCD6749" w14:textId="4C7B7BDB" w:rsidR="00C837D5" w:rsidRPr="00420A6C" w:rsidRDefault="00C837D5" w:rsidP="00F14985">
      <w:pPr>
        <w:spacing w:before="240"/>
        <w:ind w:left="567" w:right="786"/>
        <w:contextualSpacing/>
        <w:jc w:val="both"/>
        <w:rPr>
          <w:rFonts w:ascii="Arial" w:hAnsi="Arial" w:cs="Arial"/>
          <w:bCs/>
          <w:sz w:val="21"/>
          <w:szCs w:val="21"/>
          <w:lang w:val="es-ES" w:eastAsia="es-CO"/>
        </w:rPr>
      </w:pPr>
      <w:r w:rsidRPr="00420A6C">
        <w:rPr>
          <w:rFonts w:ascii="Arial" w:hAnsi="Arial" w:cs="Arial"/>
          <w:bCs/>
          <w:sz w:val="21"/>
          <w:szCs w:val="21"/>
          <w:lang w:val="es-ES" w:eastAsia="es-CO"/>
        </w:rPr>
        <w:t>El proponente debe presentar un certificado suscrito por su representante legal y su revisor fiscal, si el proponente está obligado a tenerlo, o por el contador o su auditor independiente, el cual contenga la lista de los Contratos en Ejecución, tanto a nivel nacional como internacional, indicando: (i) el valor del contrato; (ii) el plazo del contrato en meses; (iii) la fecha de inicio de las obras objeto del contrato, día, mes, año; (iv)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r w:rsidR="00420A6C">
        <w:rPr>
          <w:rStyle w:val="Refdenotaalpie"/>
          <w:rFonts w:ascii="Arial" w:hAnsi="Arial" w:cs="Arial"/>
          <w:bCs/>
          <w:sz w:val="21"/>
          <w:szCs w:val="21"/>
          <w:lang w:val="es-ES" w:eastAsia="es-CO"/>
        </w:rPr>
        <w:footnoteReference w:id="4"/>
      </w:r>
      <w:r w:rsidRPr="00420A6C">
        <w:rPr>
          <w:rFonts w:ascii="Arial" w:hAnsi="Arial" w:cs="Arial"/>
          <w:bCs/>
          <w:sz w:val="21"/>
          <w:szCs w:val="21"/>
          <w:lang w:val="es-ES" w:eastAsia="es-CO"/>
        </w:rPr>
        <w:t>.</w:t>
      </w:r>
    </w:p>
    <w:p w14:paraId="3123C454" w14:textId="77777777" w:rsidR="00420A6C" w:rsidRDefault="00420A6C" w:rsidP="00870412">
      <w:pPr>
        <w:spacing w:before="240" w:line="276" w:lineRule="auto"/>
        <w:ind w:firstLine="567"/>
        <w:contextualSpacing/>
        <w:jc w:val="both"/>
        <w:rPr>
          <w:rFonts w:ascii="Arial" w:hAnsi="Arial" w:cs="Arial"/>
          <w:bCs/>
          <w:sz w:val="22"/>
          <w:szCs w:val="22"/>
          <w:lang w:val="es-ES" w:eastAsia="es-CO"/>
        </w:rPr>
      </w:pPr>
    </w:p>
    <w:p w14:paraId="21D5130B" w14:textId="0C13D102" w:rsidR="00C837D5" w:rsidRPr="00C837D5" w:rsidRDefault="00C837D5" w:rsidP="00870412">
      <w:pPr>
        <w:spacing w:before="240" w:line="276" w:lineRule="auto"/>
        <w:ind w:firstLine="567"/>
        <w:contextualSpacing/>
        <w:jc w:val="both"/>
        <w:rPr>
          <w:rFonts w:ascii="Arial" w:hAnsi="Arial" w:cs="Arial"/>
          <w:bCs/>
          <w:sz w:val="22"/>
          <w:szCs w:val="22"/>
          <w:lang w:val="es-ES" w:eastAsia="es-CO"/>
        </w:rPr>
      </w:pPr>
      <w:r w:rsidRPr="00C837D5">
        <w:rPr>
          <w:rFonts w:ascii="Arial" w:hAnsi="Arial" w:cs="Arial"/>
          <w:bCs/>
          <w:sz w:val="22"/>
          <w:szCs w:val="22"/>
          <w:lang w:val="es-ES" w:eastAsia="es-CO"/>
        </w:rPr>
        <w:lastRenderedPageBreak/>
        <w:t xml:space="preserve"> </w:t>
      </w:r>
      <w:r w:rsidR="00766E39">
        <w:rPr>
          <w:rFonts w:ascii="Arial" w:hAnsi="Arial" w:cs="Arial"/>
          <w:bCs/>
          <w:sz w:val="22"/>
          <w:szCs w:val="22"/>
          <w:lang w:val="es-ES" w:eastAsia="es-CO"/>
        </w:rPr>
        <w:t>L</w:t>
      </w:r>
      <w:r w:rsidRPr="00C837D5">
        <w:rPr>
          <w:rFonts w:ascii="Arial" w:hAnsi="Arial" w:cs="Arial"/>
          <w:bCs/>
          <w:sz w:val="22"/>
          <w:szCs w:val="22"/>
          <w:lang w:val="es-ES" w:eastAsia="es-CO"/>
        </w:rPr>
        <w:t xml:space="preserve">a «Guía para Determinar y Verificar la Capacidad Residual del Proponente en los Procesos de Contratación de Obra Pública» define los </w:t>
      </w:r>
      <w:r w:rsidR="00766E39">
        <w:rPr>
          <w:rFonts w:ascii="Arial" w:hAnsi="Arial" w:cs="Arial"/>
          <w:bCs/>
          <w:sz w:val="22"/>
          <w:szCs w:val="22"/>
          <w:lang w:val="es-ES" w:eastAsia="es-CO"/>
        </w:rPr>
        <w:t>«</w:t>
      </w:r>
      <w:r w:rsidRPr="00C837D5">
        <w:rPr>
          <w:rFonts w:ascii="Arial" w:hAnsi="Arial" w:cs="Arial"/>
          <w:bCs/>
          <w:sz w:val="22"/>
          <w:szCs w:val="22"/>
          <w:lang w:val="es-ES" w:eastAsia="es-CO"/>
        </w:rPr>
        <w:t>Contratos en ejecución</w:t>
      </w:r>
      <w:r w:rsidR="00766E39">
        <w:rPr>
          <w:rFonts w:ascii="Arial" w:hAnsi="Arial" w:cs="Arial"/>
          <w:bCs/>
          <w:sz w:val="22"/>
          <w:szCs w:val="22"/>
          <w:lang w:val="es-ES" w:eastAsia="es-CO"/>
        </w:rPr>
        <w:t>»</w:t>
      </w:r>
      <w:r w:rsidRPr="00C837D5">
        <w:rPr>
          <w:rFonts w:ascii="Arial" w:hAnsi="Arial" w:cs="Arial"/>
          <w:bCs/>
          <w:sz w:val="22"/>
          <w:szCs w:val="22"/>
          <w:lang w:val="es-ES" w:eastAsia="es-CO"/>
        </w:rPr>
        <w:t xml:space="preserve">, para efectos de calcular la capacidad residual, de la siguiente manera:  </w:t>
      </w:r>
    </w:p>
    <w:p w14:paraId="437BCCF5" w14:textId="77777777" w:rsidR="00451E90" w:rsidRPr="00AA171A" w:rsidRDefault="00451E90" w:rsidP="00870412">
      <w:pPr>
        <w:spacing w:before="240" w:line="276" w:lineRule="auto"/>
        <w:ind w:left="567" w:right="786"/>
        <w:contextualSpacing/>
        <w:jc w:val="both"/>
        <w:rPr>
          <w:rFonts w:ascii="Arial" w:hAnsi="Arial" w:cs="Arial"/>
          <w:bCs/>
          <w:sz w:val="16"/>
          <w:szCs w:val="16"/>
          <w:lang w:val="es-ES" w:eastAsia="es-CO"/>
        </w:rPr>
      </w:pPr>
    </w:p>
    <w:p w14:paraId="6CFBFA27" w14:textId="01B75332" w:rsidR="00420A6C" w:rsidRPr="00420A6C" w:rsidRDefault="00C837D5" w:rsidP="00F14985">
      <w:pPr>
        <w:spacing w:before="240"/>
        <w:ind w:left="567" w:right="786"/>
        <w:contextualSpacing/>
        <w:jc w:val="both"/>
        <w:rPr>
          <w:rFonts w:ascii="Arial" w:hAnsi="Arial" w:cs="Arial"/>
          <w:bCs/>
          <w:sz w:val="21"/>
          <w:szCs w:val="21"/>
          <w:lang w:val="es-ES" w:eastAsia="es-CO"/>
        </w:rPr>
      </w:pPr>
      <w:r w:rsidRPr="00420A6C">
        <w:rPr>
          <w:rFonts w:ascii="Arial" w:hAnsi="Arial" w:cs="Arial"/>
          <w:bCs/>
          <w:sz w:val="21"/>
          <w:szCs w:val="21"/>
          <w:lang w:val="es-ES" w:eastAsia="es-CO"/>
        </w:rPr>
        <w:t xml:space="preserve">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w:t>
      </w:r>
      <w:r w:rsidRPr="00F14985">
        <w:rPr>
          <w:rFonts w:ascii="Arial" w:hAnsi="Arial" w:cs="Arial"/>
          <w:bCs/>
          <w:i/>
          <w:iCs/>
          <w:sz w:val="21"/>
          <w:szCs w:val="21"/>
          <w:lang w:val="es-ES" w:eastAsia="es-CO"/>
        </w:rPr>
        <w:t>No se entenderán como contratos en ejecución los que se encuentren en liquidación</w:t>
      </w:r>
      <w:r w:rsidR="00420A6C">
        <w:rPr>
          <w:rStyle w:val="Refdenotaalpie"/>
          <w:rFonts w:ascii="Arial" w:hAnsi="Arial" w:cs="Arial"/>
          <w:bCs/>
          <w:sz w:val="21"/>
          <w:szCs w:val="21"/>
          <w:lang w:val="es-ES" w:eastAsia="es-CO"/>
        </w:rPr>
        <w:footnoteReference w:id="5"/>
      </w:r>
      <w:r w:rsidRPr="00420A6C">
        <w:rPr>
          <w:rFonts w:ascii="Arial" w:hAnsi="Arial" w:cs="Arial"/>
          <w:bCs/>
          <w:sz w:val="21"/>
          <w:szCs w:val="21"/>
          <w:lang w:val="es-ES" w:eastAsia="es-CO"/>
        </w:rPr>
        <w:t xml:space="preserve"> </w:t>
      </w:r>
      <w:r w:rsidR="00CA4D9B" w:rsidRPr="00B33BD8">
        <w:rPr>
          <w:rFonts w:ascii="Arial" w:hAnsi="Arial" w:cs="Arial"/>
          <w:sz w:val="21"/>
          <w:szCs w:val="21"/>
        </w:rPr>
        <w:t>(</w:t>
      </w:r>
      <w:r w:rsidR="00052889">
        <w:rPr>
          <w:rFonts w:ascii="Arial" w:hAnsi="Arial" w:cs="Arial"/>
          <w:sz w:val="21"/>
          <w:szCs w:val="21"/>
        </w:rPr>
        <w:t>Cursiva</w:t>
      </w:r>
      <w:r w:rsidR="00052889" w:rsidRPr="00B33BD8">
        <w:rPr>
          <w:rFonts w:ascii="Arial" w:hAnsi="Arial" w:cs="Arial"/>
          <w:sz w:val="21"/>
          <w:szCs w:val="21"/>
        </w:rPr>
        <w:t xml:space="preserve"> </w:t>
      </w:r>
      <w:r w:rsidR="00CA4D9B" w:rsidRPr="00B33BD8">
        <w:rPr>
          <w:rFonts w:ascii="Arial" w:hAnsi="Arial" w:cs="Arial"/>
          <w:sz w:val="21"/>
          <w:szCs w:val="21"/>
        </w:rPr>
        <w:t>fuera del texto)</w:t>
      </w:r>
    </w:p>
    <w:p w14:paraId="59812B6B" w14:textId="77777777" w:rsidR="00420A6C" w:rsidRPr="00C837D5" w:rsidRDefault="00420A6C" w:rsidP="00870412">
      <w:pPr>
        <w:spacing w:before="240" w:line="276" w:lineRule="auto"/>
        <w:ind w:left="567" w:right="786"/>
        <w:contextualSpacing/>
        <w:jc w:val="both"/>
        <w:rPr>
          <w:rFonts w:ascii="Arial" w:hAnsi="Arial" w:cs="Arial"/>
          <w:bCs/>
          <w:sz w:val="22"/>
          <w:szCs w:val="22"/>
          <w:lang w:val="es-ES" w:eastAsia="es-CO"/>
        </w:rPr>
      </w:pPr>
    </w:p>
    <w:p w14:paraId="01323E4F" w14:textId="017EC295" w:rsidR="000217A2" w:rsidRDefault="00A66BF9" w:rsidP="00870412">
      <w:pPr>
        <w:spacing w:before="240" w:line="276" w:lineRule="auto"/>
        <w:ind w:firstLine="567"/>
        <w:contextualSpacing/>
        <w:jc w:val="both"/>
        <w:rPr>
          <w:rFonts w:ascii="Arial" w:hAnsi="Arial" w:cs="Arial"/>
          <w:bCs/>
          <w:sz w:val="22"/>
          <w:szCs w:val="22"/>
          <w:lang w:val="es-ES" w:eastAsia="es-CO"/>
        </w:rPr>
      </w:pPr>
      <w:r>
        <w:rPr>
          <w:rFonts w:ascii="Arial" w:hAnsi="Arial" w:cs="Arial"/>
          <w:bCs/>
          <w:sz w:val="22"/>
          <w:szCs w:val="22"/>
          <w:lang w:val="es-ES" w:eastAsia="es-CO"/>
        </w:rPr>
        <w:t xml:space="preserve">Conforme a lo anterior, </w:t>
      </w:r>
      <w:r w:rsidR="00551FE1">
        <w:rPr>
          <w:rFonts w:ascii="Arial" w:hAnsi="Arial" w:cs="Arial"/>
          <w:bCs/>
          <w:sz w:val="22"/>
          <w:szCs w:val="22"/>
          <w:lang w:val="es-ES" w:eastAsia="es-CO"/>
        </w:rPr>
        <w:t xml:space="preserve">los «Contratos en ejecución» que deben ser tenidos en cuenta para el </w:t>
      </w:r>
      <w:r w:rsidR="00CA4D9B">
        <w:rPr>
          <w:rFonts w:ascii="Arial" w:hAnsi="Arial" w:cs="Arial"/>
          <w:bCs/>
          <w:sz w:val="22"/>
          <w:szCs w:val="22"/>
          <w:lang w:val="es-ES" w:eastAsia="es-CO"/>
        </w:rPr>
        <w:t>cálculo</w:t>
      </w:r>
      <w:r w:rsidR="00551FE1">
        <w:rPr>
          <w:rFonts w:ascii="Arial" w:hAnsi="Arial" w:cs="Arial"/>
          <w:bCs/>
          <w:sz w:val="22"/>
          <w:szCs w:val="22"/>
          <w:lang w:val="es-ES" w:eastAsia="es-CO"/>
        </w:rPr>
        <w:t xml:space="preserve"> del factor </w:t>
      </w:r>
      <w:r w:rsidR="00052889" w:rsidRPr="00C837D5">
        <w:rPr>
          <w:rFonts w:ascii="Arial" w:hAnsi="Arial" w:cs="Arial"/>
          <w:bCs/>
          <w:sz w:val="22"/>
          <w:szCs w:val="22"/>
          <w:lang w:val="es-ES" w:eastAsia="es-CO"/>
        </w:rPr>
        <w:t>Saldos de Contratos en Ejecución</w:t>
      </w:r>
      <w:r w:rsidR="00052889">
        <w:rPr>
          <w:rFonts w:ascii="Arial" w:hAnsi="Arial" w:cs="Arial"/>
          <w:bCs/>
          <w:sz w:val="22"/>
          <w:szCs w:val="22"/>
          <w:lang w:val="es-ES" w:eastAsia="es-CO"/>
        </w:rPr>
        <w:t xml:space="preserve"> </w:t>
      </w:r>
      <w:r w:rsidR="00551FE1">
        <w:rPr>
          <w:rFonts w:ascii="Arial" w:hAnsi="Arial" w:cs="Arial"/>
          <w:bCs/>
          <w:sz w:val="22"/>
          <w:szCs w:val="22"/>
          <w:lang w:val="es-ES" w:eastAsia="es-CO"/>
        </w:rPr>
        <w:t>(SCE) son aquellos que</w:t>
      </w:r>
      <w:r w:rsidR="00440B8D">
        <w:rPr>
          <w:rFonts w:ascii="Arial" w:hAnsi="Arial" w:cs="Arial"/>
          <w:bCs/>
          <w:sz w:val="22"/>
          <w:szCs w:val="22"/>
          <w:lang w:val="es-ES" w:eastAsia="es-CO"/>
        </w:rPr>
        <w:t>,</w:t>
      </w:r>
      <w:r w:rsidR="00487BC0">
        <w:rPr>
          <w:rFonts w:ascii="Arial" w:hAnsi="Arial" w:cs="Arial"/>
          <w:bCs/>
          <w:sz w:val="22"/>
          <w:szCs w:val="22"/>
          <w:lang w:val="es-ES" w:eastAsia="es-CO"/>
        </w:rPr>
        <w:t xml:space="preserve"> al momento de presentarse la oferta, obligan al proponente a ejecutar obras civiles</w:t>
      </w:r>
      <w:r w:rsidR="001A4E88">
        <w:rPr>
          <w:rFonts w:ascii="Arial" w:hAnsi="Arial" w:cs="Arial"/>
          <w:bCs/>
          <w:sz w:val="22"/>
          <w:szCs w:val="22"/>
          <w:lang w:val="es-ES" w:eastAsia="es-CO"/>
        </w:rPr>
        <w:t>. En ese sentido,</w:t>
      </w:r>
      <w:r w:rsidR="00440B8D">
        <w:rPr>
          <w:rFonts w:ascii="Arial" w:hAnsi="Arial" w:cs="Arial"/>
          <w:bCs/>
          <w:sz w:val="22"/>
          <w:szCs w:val="22"/>
          <w:lang w:val="es-ES" w:eastAsia="es-CO"/>
        </w:rPr>
        <w:t xml:space="preserve"> lo determinante es </w:t>
      </w:r>
      <w:r w:rsidR="00CB772B">
        <w:rPr>
          <w:rFonts w:ascii="Arial" w:hAnsi="Arial" w:cs="Arial"/>
          <w:bCs/>
          <w:sz w:val="22"/>
          <w:szCs w:val="22"/>
          <w:lang w:val="es-ES" w:eastAsia="es-CO"/>
        </w:rPr>
        <w:t xml:space="preserve">que del contrato derive un compromiso </w:t>
      </w:r>
      <w:r w:rsidR="00BC4869">
        <w:rPr>
          <w:rFonts w:ascii="Arial" w:hAnsi="Arial" w:cs="Arial"/>
          <w:bCs/>
          <w:sz w:val="22"/>
          <w:szCs w:val="22"/>
          <w:lang w:val="es-ES" w:eastAsia="es-CO"/>
        </w:rPr>
        <w:t>vinculante de ejecutar obras civiles, por lo que</w:t>
      </w:r>
      <w:r w:rsidR="001A4E88">
        <w:rPr>
          <w:rFonts w:ascii="Arial" w:hAnsi="Arial" w:cs="Arial"/>
          <w:bCs/>
          <w:sz w:val="22"/>
          <w:szCs w:val="22"/>
          <w:lang w:val="es-ES" w:eastAsia="es-CO"/>
        </w:rPr>
        <w:t xml:space="preserve"> se requiere que el contrato se encuentre en eje</w:t>
      </w:r>
      <w:r w:rsidR="00E56338">
        <w:rPr>
          <w:rFonts w:ascii="Arial" w:hAnsi="Arial" w:cs="Arial"/>
          <w:bCs/>
          <w:sz w:val="22"/>
          <w:szCs w:val="22"/>
          <w:lang w:val="es-ES" w:eastAsia="es-CO"/>
        </w:rPr>
        <w:t>cución,</w:t>
      </w:r>
      <w:r w:rsidR="00052889">
        <w:rPr>
          <w:rFonts w:ascii="Arial" w:hAnsi="Arial" w:cs="Arial"/>
          <w:bCs/>
          <w:sz w:val="22"/>
          <w:szCs w:val="22"/>
          <w:lang w:val="es-ES" w:eastAsia="es-CO"/>
        </w:rPr>
        <w:t xml:space="preserve"> en los términos establecidos en la guía, donde además se precisa que se incluyen </w:t>
      </w:r>
      <w:r w:rsidR="00E56338">
        <w:rPr>
          <w:rFonts w:ascii="Arial" w:hAnsi="Arial" w:cs="Arial"/>
          <w:bCs/>
          <w:sz w:val="22"/>
          <w:szCs w:val="22"/>
          <w:lang w:val="es-ES" w:eastAsia="es-CO"/>
        </w:rPr>
        <w:t xml:space="preserve">aquellos contratos </w:t>
      </w:r>
      <w:r w:rsidR="00440B8D">
        <w:rPr>
          <w:rFonts w:ascii="Arial" w:hAnsi="Arial" w:cs="Arial"/>
          <w:bCs/>
          <w:sz w:val="22"/>
          <w:szCs w:val="22"/>
          <w:lang w:val="es-ES" w:eastAsia="es-CO"/>
        </w:rPr>
        <w:t>suspendidos y los que n</w:t>
      </w:r>
      <w:r w:rsidR="00E56338">
        <w:rPr>
          <w:rFonts w:ascii="Arial" w:hAnsi="Arial" w:cs="Arial"/>
          <w:bCs/>
          <w:sz w:val="22"/>
          <w:szCs w:val="22"/>
          <w:lang w:val="es-ES" w:eastAsia="es-CO"/>
        </w:rPr>
        <w:t xml:space="preserve">o </w:t>
      </w:r>
      <w:r w:rsidR="00052889">
        <w:rPr>
          <w:rFonts w:ascii="Arial" w:hAnsi="Arial" w:cs="Arial"/>
          <w:bCs/>
          <w:sz w:val="22"/>
          <w:szCs w:val="22"/>
          <w:lang w:val="es-ES" w:eastAsia="es-CO"/>
        </w:rPr>
        <w:t>tengan</w:t>
      </w:r>
      <w:r w:rsidR="00E56338">
        <w:rPr>
          <w:rFonts w:ascii="Arial" w:hAnsi="Arial" w:cs="Arial"/>
          <w:bCs/>
          <w:sz w:val="22"/>
          <w:szCs w:val="22"/>
          <w:lang w:val="es-ES" w:eastAsia="es-CO"/>
        </w:rPr>
        <w:t xml:space="preserve"> acta de </w:t>
      </w:r>
      <w:r w:rsidR="00114EE9">
        <w:rPr>
          <w:rFonts w:ascii="Arial" w:hAnsi="Arial" w:cs="Arial"/>
          <w:bCs/>
          <w:sz w:val="22"/>
          <w:szCs w:val="22"/>
          <w:lang w:val="es-ES" w:eastAsia="es-CO"/>
        </w:rPr>
        <w:t>inicio</w:t>
      </w:r>
      <w:r w:rsidR="00BC4869">
        <w:rPr>
          <w:rFonts w:ascii="Arial" w:hAnsi="Arial" w:cs="Arial"/>
          <w:bCs/>
          <w:sz w:val="22"/>
          <w:szCs w:val="22"/>
          <w:lang w:val="es-ES" w:eastAsia="es-CO"/>
        </w:rPr>
        <w:t>.</w:t>
      </w:r>
    </w:p>
    <w:p w14:paraId="5AD18236" w14:textId="76FB8F04" w:rsidR="00CA4D9B" w:rsidRPr="005379D0" w:rsidRDefault="00CA4D9B" w:rsidP="00F14985">
      <w:pPr>
        <w:spacing w:before="120" w:after="120" w:line="276" w:lineRule="auto"/>
        <w:ind w:firstLine="709"/>
        <w:jc w:val="both"/>
        <w:rPr>
          <w:rFonts w:ascii="Arial" w:hAnsi="Arial" w:cs="Arial"/>
          <w:sz w:val="22"/>
          <w:szCs w:val="22"/>
        </w:rPr>
      </w:pPr>
      <w:r>
        <w:rPr>
          <w:rFonts w:ascii="Arial" w:hAnsi="Arial" w:cs="Arial"/>
          <w:color w:val="000000"/>
          <w:sz w:val="22"/>
          <w:szCs w:val="22"/>
          <w:shd w:val="clear" w:color="auto" w:fill="FFFFFF"/>
        </w:rPr>
        <w:t xml:space="preserve">Como se aprecia, </w:t>
      </w:r>
      <w:r w:rsidRPr="005379D0">
        <w:rPr>
          <w:rFonts w:ascii="Arial" w:hAnsi="Arial" w:cs="Arial"/>
          <w:sz w:val="22"/>
          <w:szCs w:val="22"/>
        </w:rPr>
        <w:t xml:space="preserve">los saldos pendientes por ejecutar de los contratos suspendidos es una información que interesa para el cálculo del factor (SCE) «Saldos contratos en ejecución». Al respecto debe mencionarse que, si bien la suspensión de los contratos estatales no es una institución regulada explícitamente en el Estatuto General de Contratación de la Administración Pública, </w:t>
      </w:r>
      <w:r>
        <w:rPr>
          <w:rFonts w:ascii="Arial" w:hAnsi="Arial" w:cs="Arial"/>
          <w:sz w:val="22"/>
          <w:szCs w:val="22"/>
        </w:rPr>
        <w:t>s</w:t>
      </w:r>
      <w:r w:rsidR="00BE2A65">
        <w:rPr>
          <w:rFonts w:ascii="Arial" w:hAnsi="Arial" w:cs="Arial"/>
          <w:sz w:val="22"/>
          <w:szCs w:val="22"/>
        </w:rPr>
        <w:t>í</w:t>
      </w:r>
      <w:r>
        <w:rPr>
          <w:rFonts w:ascii="Arial" w:hAnsi="Arial" w:cs="Arial"/>
          <w:sz w:val="22"/>
          <w:szCs w:val="22"/>
        </w:rPr>
        <w:t xml:space="preserve"> es una categoría relevante para el cálculo de la capacidad residual, en la medida en que de </w:t>
      </w:r>
      <w:r w:rsidRPr="005379D0">
        <w:rPr>
          <w:rFonts w:ascii="Arial" w:hAnsi="Arial" w:cs="Arial"/>
          <w:sz w:val="22"/>
          <w:szCs w:val="22"/>
        </w:rPr>
        <w:t>los contratos afectados por una suspensión</w:t>
      </w:r>
      <w:r>
        <w:rPr>
          <w:rFonts w:ascii="Arial" w:hAnsi="Arial" w:cs="Arial"/>
          <w:sz w:val="22"/>
          <w:szCs w:val="22"/>
        </w:rPr>
        <w:t xml:space="preserve"> devienen obligaciones para el proponente que podrían condicionar su capacidad para ejecutar otros compromisos. </w:t>
      </w:r>
    </w:p>
    <w:p w14:paraId="327D4B14" w14:textId="77777777" w:rsidR="00CA4D9B" w:rsidRDefault="00CA4D9B" w:rsidP="00CA4D9B">
      <w:pPr>
        <w:spacing w:after="120" w:line="276" w:lineRule="auto"/>
        <w:ind w:firstLine="709"/>
        <w:jc w:val="both"/>
        <w:rPr>
          <w:rFonts w:ascii="Arial" w:hAnsi="Arial" w:cs="Arial"/>
          <w:sz w:val="22"/>
          <w:szCs w:val="22"/>
        </w:rPr>
      </w:pPr>
      <w:r w:rsidRPr="005379D0">
        <w:rPr>
          <w:rFonts w:ascii="Arial" w:hAnsi="Arial" w:cs="Arial"/>
          <w:sz w:val="22"/>
          <w:szCs w:val="22"/>
        </w:rPr>
        <w:t xml:space="preserve"> En efecto, su relevancia surge en la medida en que la </w:t>
      </w:r>
      <w:r>
        <w:rPr>
          <w:rFonts w:ascii="Arial" w:hAnsi="Arial" w:cs="Arial"/>
          <w:sz w:val="22"/>
          <w:szCs w:val="22"/>
        </w:rPr>
        <w:t xml:space="preserve">eventual reanudación de la </w:t>
      </w:r>
      <w:r w:rsidRPr="005379D0">
        <w:rPr>
          <w:rFonts w:ascii="Arial" w:hAnsi="Arial" w:cs="Arial"/>
          <w:sz w:val="22"/>
          <w:szCs w:val="22"/>
        </w:rPr>
        <w:t xml:space="preserve">ejecución de los contratos en principio suspendidos </w:t>
      </w:r>
      <w:r>
        <w:rPr>
          <w:rFonts w:ascii="Arial" w:hAnsi="Arial" w:cs="Arial"/>
          <w:sz w:val="22"/>
          <w:szCs w:val="22"/>
        </w:rPr>
        <w:t>podría</w:t>
      </w:r>
      <w:r w:rsidRPr="005379D0">
        <w:rPr>
          <w:rFonts w:ascii="Arial" w:hAnsi="Arial" w:cs="Arial"/>
          <w:sz w:val="22"/>
          <w:szCs w:val="22"/>
        </w:rPr>
        <w:t xml:space="preserve"> afectar la aptitud del oferente para cumplir con el contrato ofertado</w:t>
      </w:r>
      <w:r>
        <w:rPr>
          <w:rFonts w:ascii="Arial" w:hAnsi="Arial" w:cs="Arial"/>
          <w:sz w:val="22"/>
          <w:szCs w:val="22"/>
        </w:rPr>
        <w:t>.</w:t>
      </w:r>
      <w:r w:rsidRPr="005379D0">
        <w:rPr>
          <w:rFonts w:ascii="Arial" w:hAnsi="Arial" w:cs="Arial"/>
          <w:sz w:val="22"/>
          <w:szCs w:val="22"/>
        </w:rPr>
        <w:t xml:space="preserve"> </w:t>
      </w:r>
      <w:r>
        <w:rPr>
          <w:rFonts w:ascii="Arial" w:hAnsi="Arial" w:cs="Arial"/>
          <w:sz w:val="22"/>
          <w:szCs w:val="22"/>
        </w:rPr>
        <w:t>A</w:t>
      </w:r>
      <w:r w:rsidRPr="005379D0">
        <w:rPr>
          <w:rFonts w:ascii="Arial" w:hAnsi="Arial" w:cs="Arial"/>
          <w:sz w:val="22"/>
          <w:szCs w:val="22"/>
        </w:rPr>
        <w:t xml:space="preserve">nte </w:t>
      </w:r>
      <w:r>
        <w:rPr>
          <w:rFonts w:ascii="Arial" w:hAnsi="Arial" w:cs="Arial"/>
          <w:sz w:val="22"/>
          <w:szCs w:val="22"/>
        </w:rPr>
        <w:t>t</w:t>
      </w:r>
      <w:r w:rsidRPr="005379D0">
        <w:rPr>
          <w:rFonts w:ascii="Arial" w:hAnsi="Arial" w:cs="Arial"/>
          <w:sz w:val="22"/>
          <w:szCs w:val="22"/>
        </w:rPr>
        <w:t>a</w:t>
      </w:r>
      <w:r>
        <w:rPr>
          <w:rFonts w:ascii="Arial" w:hAnsi="Arial" w:cs="Arial"/>
          <w:sz w:val="22"/>
          <w:szCs w:val="22"/>
        </w:rPr>
        <w:t>l</w:t>
      </w:r>
      <w:r w:rsidRPr="005379D0">
        <w:rPr>
          <w:rFonts w:ascii="Arial" w:hAnsi="Arial" w:cs="Arial"/>
          <w:sz w:val="22"/>
          <w:szCs w:val="22"/>
        </w:rPr>
        <w:t xml:space="preserve"> posibilida</w:t>
      </w:r>
      <w:r>
        <w:rPr>
          <w:rFonts w:ascii="Arial" w:hAnsi="Arial" w:cs="Arial"/>
          <w:sz w:val="22"/>
          <w:szCs w:val="22"/>
        </w:rPr>
        <w:t>d, es</w:t>
      </w:r>
      <w:r w:rsidRPr="005379D0">
        <w:rPr>
          <w:rFonts w:ascii="Arial" w:hAnsi="Arial" w:cs="Arial"/>
          <w:sz w:val="22"/>
          <w:szCs w:val="22"/>
        </w:rPr>
        <w:t xml:space="preserve"> </w:t>
      </w:r>
      <w:r>
        <w:rPr>
          <w:rFonts w:ascii="Arial" w:hAnsi="Arial" w:cs="Arial"/>
          <w:sz w:val="22"/>
          <w:szCs w:val="22"/>
        </w:rPr>
        <w:t>importante que, al</w:t>
      </w:r>
      <w:r w:rsidRPr="005379D0">
        <w:rPr>
          <w:rFonts w:ascii="Arial" w:hAnsi="Arial" w:cs="Arial"/>
          <w:sz w:val="22"/>
          <w:szCs w:val="22"/>
        </w:rPr>
        <w:t xml:space="preserve"> evaluar</w:t>
      </w:r>
      <w:r>
        <w:rPr>
          <w:rFonts w:ascii="Arial" w:hAnsi="Arial" w:cs="Arial"/>
          <w:sz w:val="22"/>
          <w:szCs w:val="22"/>
        </w:rPr>
        <w:t>se</w:t>
      </w:r>
      <w:r w:rsidRPr="005379D0">
        <w:rPr>
          <w:rFonts w:ascii="Arial" w:hAnsi="Arial" w:cs="Arial"/>
          <w:sz w:val="22"/>
          <w:szCs w:val="22"/>
        </w:rPr>
        <w:t xml:space="preserve"> </w:t>
      </w:r>
      <w:r>
        <w:rPr>
          <w:rFonts w:ascii="Arial" w:hAnsi="Arial" w:cs="Arial"/>
          <w:sz w:val="22"/>
          <w:szCs w:val="22"/>
        </w:rPr>
        <w:t xml:space="preserve">la capacidad residual, se tengan en cuenta </w:t>
      </w:r>
      <w:r w:rsidRPr="005379D0">
        <w:rPr>
          <w:rFonts w:ascii="Arial" w:hAnsi="Arial" w:cs="Arial"/>
          <w:sz w:val="22"/>
          <w:szCs w:val="22"/>
        </w:rPr>
        <w:t>los saldos pendientes por ejecutar de tales contratos</w:t>
      </w:r>
      <w:r>
        <w:rPr>
          <w:rFonts w:ascii="Arial" w:hAnsi="Arial" w:cs="Arial"/>
          <w:sz w:val="22"/>
          <w:szCs w:val="22"/>
        </w:rPr>
        <w:t>,</w:t>
      </w:r>
      <w:r w:rsidRPr="005379D0">
        <w:rPr>
          <w:rFonts w:ascii="Arial" w:hAnsi="Arial" w:cs="Arial"/>
          <w:sz w:val="22"/>
          <w:szCs w:val="22"/>
        </w:rPr>
        <w:t xml:space="preserve"> </w:t>
      </w:r>
      <w:r>
        <w:rPr>
          <w:rFonts w:ascii="Arial" w:hAnsi="Arial" w:cs="Arial"/>
          <w:sz w:val="22"/>
          <w:szCs w:val="22"/>
        </w:rPr>
        <w:t>ya que son relevantes para poder determinar de manera objetiva</w:t>
      </w:r>
      <w:r w:rsidRPr="005379D0">
        <w:rPr>
          <w:rFonts w:ascii="Arial" w:hAnsi="Arial" w:cs="Arial"/>
          <w:sz w:val="22"/>
          <w:szCs w:val="22"/>
        </w:rPr>
        <w:t xml:space="preserve"> si el proponente cumple </w:t>
      </w:r>
      <w:r>
        <w:rPr>
          <w:rFonts w:ascii="Arial" w:hAnsi="Arial" w:cs="Arial"/>
          <w:sz w:val="22"/>
          <w:szCs w:val="22"/>
        </w:rPr>
        <w:t xml:space="preserve">o no </w:t>
      </w:r>
      <w:r w:rsidRPr="005379D0">
        <w:rPr>
          <w:rFonts w:ascii="Arial" w:hAnsi="Arial" w:cs="Arial"/>
          <w:sz w:val="22"/>
          <w:szCs w:val="22"/>
        </w:rPr>
        <w:t xml:space="preserve">con la capacidad residual requerida. Conforme a esto, en virtud de la competencia otorgada por el artículo 2.2.1.1.1.6.4 del Decreto 1082 de 2015 a esta Agencia para determinar la metodología para el cálculo de la capacidad residual, en el marco de la expedición de la guía mencionada, incluyó el saldo pendiente por ejecutar de los contratos suspendidos dentro del factor (SCE) «Saldos contratos en ejecución» en los términos antes precisados. </w:t>
      </w:r>
    </w:p>
    <w:p w14:paraId="462420E4" w14:textId="08B25F41" w:rsidR="00CA4D9B" w:rsidRPr="005379D0" w:rsidRDefault="00BE2A65" w:rsidP="00CA4D9B">
      <w:pPr>
        <w:spacing w:after="120" w:line="276" w:lineRule="auto"/>
        <w:ind w:firstLine="709"/>
        <w:jc w:val="both"/>
        <w:rPr>
          <w:rFonts w:ascii="Arial" w:hAnsi="Arial" w:cs="Arial"/>
          <w:sz w:val="22"/>
          <w:szCs w:val="22"/>
        </w:rPr>
      </w:pPr>
      <w:r>
        <w:rPr>
          <w:rFonts w:ascii="Arial" w:hAnsi="Arial" w:cs="Arial"/>
          <w:sz w:val="22"/>
          <w:szCs w:val="22"/>
        </w:rPr>
        <w:lastRenderedPageBreak/>
        <w:t>Conforme l</w:t>
      </w:r>
      <w:r w:rsidR="00CA4D9B" w:rsidRPr="005379D0">
        <w:rPr>
          <w:rFonts w:ascii="Arial" w:eastAsia="Arial," w:hAnsi="Arial" w:cs="Arial"/>
          <w:sz w:val="22"/>
          <w:szCs w:val="22"/>
        </w:rPr>
        <w:t xml:space="preserve">o dispuesto en la </w:t>
      </w:r>
      <w:r w:rsidR="00CA4D9B" w:rsidRPr="005379D0">
        <w:rPr>
          <w:rFonts w:ascii="Arial" w:hAnsi="Arial" w:cs="Arial"/>
          <w:sz w:val="22"/>
          <w:szCs w:val="22"/>
        </w:rPr>
        <w:t xml:space="preserve">«Guía para Determinar y Verificar la Capacidad Residual del Proponente en los Procesos de Contratación de Obra Pública» expedida por esta Agencia, </w:t>
      </w:r>
      <w:r>
        <w:rPr>
          <w:rFonts w:ascii="Arial" w:hAnsi="Arial" w:cs="Arial"/>
          <w:sz w:val="22"/>
          <w:szCs w:val="22"/>
        </w:rPr>
        <w:t xml:space="preserve">en relación con los «contratos en ejecución» explícitamente se señaló que </w:t>
      </w:r>
      <w:r w:rsidR="00CA4D9B" w:rsidRPr="005379D0">
        <w:rPr>
          <w:rFonts w:ascii="Arial" w:hAnsi="Arial" w:cs="Arial"/>
          <w:sz w:val="22"/>
          <w:szCs w:val="22"/>
        </w:rPr>
        <w:t xml:space="preserve">«no se entenderán como contratos en ejecución los que se encuentren en liquidación». </w:t>
      </w:r>
    </w:p>
    <w:p w14:paraId="3E08C40A" w14:textId="10F9D903" w:rsidR="00F11566" w:rsidRDefault="00CA4D9B" w:rsidP="00F14985">
      <w:pPr>
        <w:spacing w:before="240" w:line="276" w:lineRule="auto"/>
        <w:ind w:firstLine="708"/>
        <w:contextualSpacing/>
        <w:jc w:val="both"/>
        <w:rPr>
          <w:rFonts w:ascii="Arial" w:hAnsi="Arial" w:cs="Arial"/>
          <w:color w:val="000000" w:themeColor="text1"/>
          <w:sz w:val="22"/>
          <w:lang w:val="es-ES_tradnl"/>
        </w:rPr>
      </w:pPr>
      <w:r>
        <w:rPr>
          <w:rFonts w:ascii="Arial" w:eastAsia="Arial," w:hAnsi="Arial" w:cs="Arial"/>
          <w:sz w:val="22"/>
        </w:rPr>
        <w:t>Esta determinación de la guía</w:t>
      </w:r>
      <w:r w:rsidRPr="005379D0">
        <w:rPr>
          <w:rFonts w:ascii="Arial" w:eastAsia="Arial," w:hAnsi="Arial" w:cs="Arial"/>
          <w:sz w:val="22"/>
        </w:rPr>
        <w:t xml:space="preserve"> </w:t>
      </w:r>
      <w:r>
        <w:rPr>
          <w:rFonts w:ascii="Arial" w:eastAsia="Arial," w:hAnsi="Arial" w:cs="Arial"/>
          <w:sz w:val="22"/>
        </w:rPr>
        <w:t xml:space="preserve">de excluir a </w:t>
      </w:r>
      <w:r w:rsidRPr="005379D0">
        <w:rPr>
          <w:rFonts w:ascii="Arial" w:eastAsia="Arial," w:hAnsi="Arial" w:cs="Arial"/>
          <w:sz w:val="22"/>
        </w:rPr>
        <w:t>los contratos en liquidación de l</w:t>
      </w:r>
      <w:r>
        <w:rPr>
          <w:rFonts w:ascii="Arial" w:eastAsia="Arial," w:hAnsi="Arial" w:cs="Arial"/>
          <w:sz w:val="22"/>
        </w:rPr>
        <w:t>a noción de</w:t>
      </w:r>
      <w:r w:rsidRPr="005379D0">
        <w:rPr>
          <w:rFonts w:ascii="Arial" w:eastAsia="Arial," w:hAnsi="Arial" w:cs="Arial"/>
          <w:sz w:val="22"/>
        </w:rPr>
        <w:t xml:space="preserve"> </w:t>
      </w:r>
      <w:r w:rsidRPr="00080865">
        <w:rPr>
          <w:rFonts w:ascii="Arial" w:eastAsia="Arial," w:hAnsi="Arial" w:cs="Arial"/>
          <w:i/>
          <w:iCs/>
          <w:sz w:val="22"/>
        </w:rPr>
        <w:t>contratos en ejecución</w:t>
      </w:r>
      <w:r>
        <w:rPr>
          <w:rFonts w:ascii="Arial" w:eastAsia="Arial," w:hAnsi="Arial" w:cs="Arial"/>
          <w:i/>
          <w:iCs/>
          <w:sz w:val="22"/>
        </w:rPr>
        <w:t>,</w:t>
      </w:r>
      <w:r w:rsidRPr="005379D0">
        <w:rPr>
          <w:rFonts w:ascii="Arial" w:eastAsia="Arial," w:hAnsi="Arial" w:cs="Arial"/>
          <w:sz w:val="22"/>
        </w:rPr>
        <w:t xml:space="preserve"> </w:t>
      </w:r>
      <w:r>
        <w:rPr>
          <w:rFonts w:ascii="Arial" w:eastAsia="Arial," w:hAnsi="Arial" w:cs="Arial"/>
          <w:sz w:val="22"/>
        </w:rPr>
        <w:t xml:space="preserve">tiene que ver con </w:t>
      </w:r>
      <w:r w:rsidRPr="005379D0">
        <w:rPr>
          <w:rFonts w:ascii="Arial" w:eastAsia="Arial," w:hAnsi="Arial" w:cs="Arial"/>
          <w:sz w:val="22"/>
        </w:rPr>
        <w:t>la</w:t>
      </w:r>
      <w:r>
        <w:rPr>
          <w:rFonts w:ascii="Arial" w:eastAsia="Arial," w:hAnsi="Arial" w:cs="Arial"/>
          <w:sz w:val="22"/>
        </w:rPr>
        <w:t>s particularidades de etapa de liquidación de los contratos. Esto por cuanto</w:t>
      </w:r>
      <w:r w:rsidR="00F075FE">
        <w:rPr>
          <w:rFonts w:ascii="Arial" w:eastAsia="Arial," w:hAnsi="Arial" w:cs="Arial"/>
          <w:sz w:val="22"/>
        </w:rPr>
        <w:t xml:space="preserve"> se parte que bajo condiciones normales </w:t>
      </w:r>
      <w:r>
        <w:rPr>
          <w:rFonts w:ascii="Arial" w:eastAsia="Arial," w:hAnsi="Arial" w:cs="Arial"/>
          <w:sz w:val="22"/>
        </w:rPr>
        <w:t>la fase de liquidación tiene lugar</w:t>
      </w:r>
      <w:r w:rsidRPr="005379D0">
        <w:rPr>
          <w:rFonts w:ascii="Arial" w:eastAsia="Arial," w:hAnsi="Arial" w:cs="Arial"/>
          <w:sz w:val="22"/>
        </w:rPr>
        <w:t xml:space="preserve"> </w:t>
      </w:r>
      <w:r w:rsidRPr="005379D0">
        <w:rPr>
          <w:rFonts w:ascii="Arial" w:hAnsi="Arial" w:cs="Arial"/>
          <w:color w:val="000000" w:themeColor="text1"/>
          <w:sz w:val="22"/>
          <w:lang w:val="es-ES_tradnl"/>
        </w:rPr>
        <w:t>una vez concluid</w:t>
      </w:r>
      <w:r>
        <w:rPr>
          <w:rFonts w:ascii="Arial" w:hAnsi="Arial" w:cs="Arial"/>
          <w:color w:val="000000" w:themeColor="text1"/>
          <w:sz w:val="22"/>
          <w:lang w:val="es-ES_tradnl"/>
        </w:rPr>
        <w:t>a la ejecución del</w:t>
      </w:r>
      <w:r w:rsidRPr="005379D0">
        <w:rPr>
          <w:rFonts w:ascii="Arial" w:hAnsi="Arial" w:cs="Arial"/>
          <w:color w:val="000000" w:themeColor="text1"/>
          <w:sz w:val="22"/>
          <w:lang w:val="es-ES_tradnl"/>
        </w:rPr>
        <w:t xml:space="preserve"> contrato estatal, </w:t>
      </w:r>
      <w:r>
        <w:rPr>
          <w:rFonts w:ascii="Arial" w:hAnsi="Arial" w:cs="Arial"/>
          <w:color w:val="000000" w:themeColor="text1"/>
          <w:sz w:val="22"/>
          <w:lang w:val="es-ES_tradnl"/>
        </w:rPr>
        <w:t>siendo la oportunidad para que</w:t>
      </w:r>
      <w:r w:rsidRPr="005379D0">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las </w:t>
      </w:r>
      <w:r w:rsidRPr="005379D0">
        <w:rPr>
          <w:rFonts w:ascii="Arial" w:hAnsi="Arial" w:cs="Arial"/>
          <w:color w:val="000000" w:themeColor="text1"/>
          <w:sz w:val="22"/>
          <w:lang w:val="es-ES_tradnl"/>
        </w:rPr>
        <w:t>partes cru</w:t>
      </w:r>
      <w:r>
        <w:rPr>
          <w:rFonts w:ascii="Arial" w:hAnsi="Arial" w:cs="Arial"/>
          <w:color w:val="000000" w:themeColor="text1"/>
          <w:sz w:val="22"/>
          <w:lang w:val="es-ES_tradnl"/>
        </w:rPr>
        <w:t>cen</w:t>
      </w:r>
      <w:r w:rsidRPr="005379D0">
        <w:rPr>
          <w:rFonts w:ascii="Arial" w:hAnsi="Arial" w:cs="Arial"/>
          <w:color w:val="000000" w:themeColor="text1"/>
          <w:sz w:val="22"/>
          <w:lang w:val="es-ES_tradnl"/>
        </w:rPr>
        <w:t xml:space="preserve"> cuentas respecto de sus obligaciones, </w:t>
      </w:r>
      <w:r>
        <w:rPr>
          <w:rFonts w:ascii="Arial" w:hAnsi="Arial" w:cs="Arial"/>
          <w:color w:val="000000" w:themeColor="text1"/>
          <w:sz w:val="22"/>
          <w:lang w:val="es-ES_tradnl"/>
        </w:rPr>
        <w:t xml:space="preserve">para </w:t>
      </w:r>
      <w:r w:rsidRPr="005379D0">
        <w:rPr>
          <w:rFonts w:ascii="Arial" w:hAnsi="Arial" w:cs="Arial"/>
          <w:color w:val="000000" w:themeColor="text1"/>
          <w:sz w:val="22"/>
          <w:lang w:val="es-ES_tradnl"/>
        </w:rPr>
        <w:t xml:space="preserve">determinar si pueden declararse a paz y salvo mutuo o si, por el contrario, existen aún obligaciones por cumplir, para acordar la forma en que deben ser </w:t>
      </w:r>
      <w:r>
        <w:rPr>
          <w:rFonts w:ascii="Arial" w:hAnsi="Arial" w:cs="Arial"/>
          <w:color w:val="000000" w:themeColor="text1"/>
          <w:sz w:val="22"/>
          <w:lang w:val="es-ES_tradnl"/>
        </w:rPr>
        <w:t>saldadas</w:t>
      </w:r>
      <w:r>
        <w:rPr>
          <w:rFonts w:ascii="Arial" w:hAnsi="Arial" w:cs="Arial"/>
          <w:color w:val="000000" w:themeColor="text1"/>
          <w:sz w:val="21"/>
          <w:szCs w:val="21"/>
          <w:lang w:val="es-ES_tradnl"/>
        </w:rPr>
        <w:t>.</w:t>
      </w:r>
      <w:r w:rsidRPr="00607622">
        <w:rPr>
          <w:rFonts w:ascii="Arial" w:hAnsi="Arial" w:cs="Arial"/>
          <w:sz w:val="21"/>
          <w:szCs w:val="21"/>
        </w:rPr>
        <w:t xml:space="preserve"> </w:t>
      </w:r>
      <w:r>
        <w:rPr>
          <w:rFonts w:ascii="Arial" w:hAnsi="Arial" w:cs="Arial"/>
          <w:color w:val="000000" w:themeColor="text1"/>
          <w:sz w:val="22"/>
          <w:lang w:val="es-ES_tradnl"/>
        </w:rPr>
        <w:t xml:space="preserve">En ese orden, la exclusión de los contratos en liquidación del factor (SCE) se sustenta en el hecho de </w:t>
      </w:r>
      <w:r w:rsidRPr="005379D0">
        <w:rPr>
          <w:rFonts w:ascii="Arial" w:hAnsi="Arial" w:cs="Arial"/>
          <w:color w:val="000000" w:themeColor="text1"/>
          <w:sz w:val="22"/>
          <w:lang w:val="es-ES_tradnl"/>
        </w:rPr>
        <w:t>que la etapa de liquidación inicia una vez cumplido el plazo de ejecución contractual.</w:t>
      </w:r>
    </w:p>
    <w:p w14:paraId="6D951685" w14:textId="16F42DBF" w:rsidR="00F11566" w:rsidRPr="005379D0" w:rsidRDefault="00F11566" w:rsidP="00F11566">
      <w:pPr>
        <w:pStyle w:val="Sinespaciado"/>
        <w:spacing w:after="120" w:line="276" w:lineRule="auto"/>
        <w:ind w:firstLine="709"/>
        <w:rPr>
          <w:rFonts w:ascii="Arial" w:hAnsi="Arial" w:cs="Arial"/>
          <w:color w:val="000000" w:themeColor="text1"/>
          <w:sz w:val="22"/>
          <w:lang w:val="es-ES_tradnl"/>
        </w:rPr>
      </w:pPr>
      <w:r w:rsidRPr="005379D0">
        <w:rPr>
          <w:rFonts w:ascii="Arial" w:hAnsi="Arial" w:cs="Arial"/>
          <w:color w:val="000000" w:themeColor="text1"/>
          <w:sz w:val="22"/>
          <w:lang w:val="es-ES_tradnl"/>
        </w:rPr>
        <w:t xml:space="preserve">Entonces, como se observa, lo ideal es que en la liquidación de los contratos las partes resulten a paz y salvo. Sin embargo, </w:t>
      </w:r>
      <w:r w:rsidR="00B705C9">
        <w:rPr>
          <w:rFonts w:ascii="Arial" w:hAnsi="Arial" w:cs="Arial"/>
          <w:color w:val="000000" w:themeColor="text1"/>
          <w:sz w:val="22"/>
          <w:lang w:val="es-ES_tradnl"/>
        </w:rPr>
        <w:t>es posible que en e</w:t>
      </w:r>
      <w:r w:rsidRPr="005379D0">
        <w:rPr>
          <w:rFonts w:ascii="Arial" w:hAnsi="Arial" w:cs="Arial"/>
          <w:color w:val="000000" w:themeColor="text1"/>
          <w:sz w:val="22"/>
          <w:lang w:val="es-ES_tradnl"/>
        </w:rPr>
        <w:t xml:space="preserve">sa etapa </w:t>
      </w:r>
      <w:r w:rsidR="00B705C9">
        <w:rPr>
          <w:rFonts w:ascii="Arial" w:hAnsi="Arial" w:cs="Arial"/>
          <w:color w:val="000000" w:themeColor="text1"/>
          <w:sz w:val="22"/>
          <w:lang w:val="es-ES_tradnl"/>
        </w:rPr>
        <w:t xml:space="preserve">se </w:t>
      </w:r>
      <w:r w:rsidRPr="005379D0">
        <w:rPr>
          <w:rFonts w:ascii="Arial" w:hAnsi="Arial" w:cs="Arial"/>
          <w:color w:val="000000" w:themeColor="text1"/>
          <w:sz w:val="22"/>
          <w:lang w:val="es-ES_tradnl"/>
        </w:rPr>
        <w:t>verifi</w:t>
      </w:r>
      <w:r w:rsidR="00B705C9">
        <w:rPr>
          <w:rFonts w:ascii="Arial" w:hAnsi="Arial" w:cs="Arial"/>
          <w:color w:val="000000" w:themeColor="text1"/>
          <w:sz w:val="22"/>
          <w:lang w:val="es-ES_tradnl"/>
        </w:rPr>
        <w:t>que</w:t>
      </w:r>
      <w:r w:rsidRPr="005379D0">
        <w:rPr>
          <w:rFonts w:ascii="Arial" w:hAnsi="Arial" w:cs="Arial"/>
          <w:color w:val="000000" w:themeColor="text1"/>
          <w:sz w:val="22"/>
          <w:lang w:val="es-ES_tradnl"/>
        </w:rPr>
        <w:t xml:space="preserve"> la existencia de obligaciones en mora y pendientes de ser ejecutadas, luego del plazo de ejecución, para acordar la forma en que serán satisfechas. En relación con la posibilidad de ejecutar prestaciones contractuales por fuera del plazo de ejecución, recientemente, el Consejo de Estado</w:t>
      </w:r>
      <w:r>
        <w:rPr>
          <w:rFonts w:ascii="Arial" w:hAnsi="Arial" w:cs="Arial"/>
          <w:color w:val="000000" w:themeColor="text1"/>
          <w:sz w:val="22"/>
          <w:lang w:val="es-ES_tradnl"/>
        </w:rPr>
        <w:t xml:space="preserve"> </w:t>
      </w:r>
      <w:r w:rsidR="007637C0">
        <w:rPr>
          <w:rFonts w:ascii="Arial" w:hAnsi="Arial" w:cs="Arial"/>
          <w:color w:val="000000" w:themeColor="text1"/>
          <w:sz w:val="22"/>
          <w:lang w:val="es-ES_tradnl"/>
        </w:rPr>
        <w:t>consideró</w:t>
      </w:r>
      <w:r w:rsidRPr="005379D0">
        <w:rPr>
          <w:rFonts w:ascii="Arial" w:hAnsi="Arial" w:cs="Arial"/>
          <w:color w:val="000000" w:themeColor="text1"/>
          <w:sz w:val="22"/>
          <w:lang w:val="es-ES_tradnl"/>
        </w:rPr>
        <w:t xml:space="preserve"> que: </w:t>
      </w:r>
    </w:p>
    <w:p w14:paraId="0B8DE362" w14:textId="308BC052" w:rsidR="00F11566" w:rsidRPr="00607622" w:rsidRDefault="00F11566" w:rsidP="00F11566">
      <w:pPr>
        <w:pStyle w:val="Sinespaciado"/>
        <w:spacing w:after="120"/>
        <w:ind w:left="709" w:right="902"/>
        <w:rPr>
          <w:rFonts w:ascii="Arial" w:hAnsi="Arial" w:cs="Arial"/>
          <w:color w:val="000000" w:themeColor="text1"/>
          <w:sz w:val="21"/>
          <w:szCs w:val="21"/>
          <w:lang w:val="es-ES_tradnl"/>
        </w:rPr>
      </w:pPr>
      <w:r w:rsidRPr="00607622">
        <w:rPr>
          <w:rFonts w:ascii="Arial" w:hAnsi="Arial" w:cs="Arial"/>
          <w:color w:val="000000" w:themeColor="text1"/>
          <w:sz w:val="21"/>
          <w:szCs w:val="21"/>
          <w:lang w:val="es-ES_tradnl"/>
        </w:rPr>
        <w:t>«</w:t>
      </w:r>
      <w:r w:rsidRPr="00607622">
        <w:rPr>
          <w:rFonts w:ascii="Arial" w:hAnsi="Arial" w:cs="Arial"/>
          <w:sz w:val="21"/>
          <w:szCs w:val="21"/>
        </w:rPr>
        <w:t xml:space="preserve">[…] </w:t>
      </w:r>
      <w:r w:rsidRPr="00607622">
        <w:rPr>
          <w:rFonts w:ascii="Arial" w:hAnsi="Arial" w:cs="Arial"/>
          <w:color w:val="000000" w:themeColor="text1"/>
          <w:sz w:val="21"/>
          <w:szCs w:val="21"/>
          <w:lang w:val="es-ES_tradnl"/>
        </w:rPr>
        <w:t>si un contratista cumple con sus obligaciones contractuales por fuera del plazo de ejecución, y la entidad decide recibir la prestación que se le adeuda, resulta lógico que el contratista tenga el derecho de recibir la contraprestación de las prestaciones ejecutadas y recibidas a satisfacción. Lo anterior no implica que las entidades estatales estén obligadas a recibir las prestaciones ejecutadas fuera del plazo de ejecución. Tampoco quiere decir lo anterior que todas las obras ejecutadas fuera del plazo deban ser pagadas. De la misma manera, lo sostenido no significa que las entidades no puedan ejercer sus poderes excepcionales para declarar el incumplimiento de la obligación e imponer el pago de los perjuicios causados por entregar fuera del plazo. Menos aún, que no se puedan reclamar judicialmente tales perjuicios o que las partes no puedan realizar acuerdos sobre este asunto en la etapa de liquidación del contrato»</w:t>
      </w:r>
      <w:r w:rsidRPr="00607622">
        <w:rPr>
          <w:rStyle w:val="Refdenotaalpie"/>
          <w:rFonts w:ascii="Arial" w:hAnsi="Arial" w:cs="Arial"/>
          <w:color w:val="000000" w:themeColor="text1"/>
          <w:sz w:val="21"/>
          <w:szCs w:val="21"/>
          <w:lang w:val="es-ES_tradnl"/>
        </w:rPr>
        <w:footnoteReference w:id="6"/>
      </w:r>
      <w:r w:rsidR="00F075FE">
        <w:rPr>
          <w:rFonts w:ascii="Arial" w:hAnsi="Arial" w:cs="Arial"/>
          <w:color w:val="000000" w:themeColor="text1"/>
          <w:sz w:val="21"/>
          <w:szCs w:val="21"/>
          <w:lang w:val="es-ES_tradnl"/>
        </w:rPr>
        <w:t>.</w:t>
      </w:r>
    </w:p>
    <w:p w14:paraId="5D58CBD7" w14:textId="373BB0DC" w:rsidR="00F11566" w:rsidRPr="005379D0" w:rsidRDefault="007637C0" w:rsidP="00F11566">
      <w:pPr>
        <w:pStyle w:val="Sinespaciado"/>
        <w:spacing w:after="120" w:line="276" w:lineRule="auto"/>
        <w:ind w:firstLine="709"/>
        <w:rPr>
          <w:rFonts w:ascii="Arial" w:hAnsi="Arial" w:cs="Arial"/>
          <w:color w:val="000000" w:themeColor="text1"/>
          <w:sz w:val="22"/>
          <w:lang w:val="es-ES_tradnl"/>
        </w:rPr>
      </w:pPr>
      <w:r>
        <w:rPr>
          <w:rFonts w:ascii="Arial" w:hAnsi="Arial" w:cs="Arial"/>
          <w:color w:val="000000" w:themeColor="text1"/>
          <w:sz w:val="22"/>
          <w:lang w:val="es-ES_tradnl"/>
        </w:rPr>
        <w:t>Como se advierte de lo anterior, es posible que excepcionalmente se ejecuten prestaciones en favor de las entidades estatales por fuera del plazo de ejecución pactado en el contrato</w:t>
      </w:r>
      <w:r w:rsidR="00F11566" w:rsidRPr="005379D0">
        <w:rPr>
          <w:rFonts w:ascii="Arial" w:hAnsi="Arial" w:cs="Arial"/>
          <w:color w:val="000000" w:themeColor="text1"/>
          <w:sz w:val="22"/>
          <w:lang w:val="es-ES_tradnl"/>
        </w:rPr>
        <w:t xml:space="preserve">. Sin embargo, a pesar de esto último, </w:t>
      </w:r>
      <w:r>
        <w:rPr>
          <w:rFonts w:ascii="Arial" w:hAnsi="Arial" w:cs="Arial"/>
          <w:color w:val="000000" w:themeColor="text1"/>
          <w:sz w:val="22"/>
          <w:lang w:val="es-ES_tradnl"/>
        </w:rPr>
        <w:t xml:space="preserve">que no es lo que normalmente ocurre en los contratos estatales, </w:t>
      </w:r>
      <w:r w:rsidR="00F11566" w:rsidRPr="005379D0">
        <w:rPr>
          <w:rFonts w:ascii="Arial" w:hAnsi="Arial" w:cs="Arial"/>
          <w:color w:val="000000" w:themeColor="text1"/>
          <w:sz w:val="22"/>
          <w:lang w:val="es-ES_tradnl"/>
        </w:rPr>
        <w:t xml:space="preserve">esta Agencia determinó, en ejercicio de sus competencias, que </w:t>
      </w:r>
      <w:r>
        <w:rPr>
          <w:rFonts w:ascii="Arial" w:hAnsi="Arial" w:cs="Arial"/>
          <w:color w:val="000000" w:themeColor="text1"/>
          <w:sz w:val="22"/>
          <w:lang w:val="es-ES_tradnl"/>
        </w:rPr>
        <w:t>para</w:t>
      </w:r>
      <w:r w:rsidR="00F11566" w:rsidRPr="005379D0">
        <w:rPr>
          <w:rFonts w:ascii="Arial" w:hAnsi="Arial" w:cs="Arial"/>
          <w:color w:val="000000" w:themeColor="text1"/>
          <w:sz w:val="22"/>
          <w:lang w:val="es-ES_tradnl"/>
        </w:rPr>
        <w:t xml:space="preserve"> determinar la capacidad residual s</w:t>
      </w:r>
      <w:r>
        <w:rPr>
          <w:rFonts w:ascii="Arial" w:hAnsi="Arial" w:cs="Arial"/>
          <w:color w:val="000000" w:themeColor="text1"/>
          <w:sz w:val="22"/>
          <w:lang w:val="es-ES_tradnl"/>
        </w:rPr>
        <w:t>o</w:t>
      </w:r>
      <w:r w:rsidR="00F11566" w:rsidRPr="005379D0">
        <w:rPr>
          <w:rFonts w:ascii="Arial" w:hAnsi="Arial" w:cs="Arial"/>
          <w:color w:val="000000" w:themeColor="text1"/>
          <w:sz w:val="22"/>
          <w:lang w:val="es-ES_tradnl"/>
        </w:rPr>
        <w:t xml:space="preserve">lo se tendrán en cuenta los </w:t>
      </w:r>
      <w:r w:rsidR="00F11566" w:rsidRPr="005379D0">
        <w:rPr>
          <w:rFonts w:ascii="Arial" w:hAnsi="Arial" w:cs="Arial"/>
          <w:i/>
          <w:iCs/>
          <w:color w:val="000000" w:themeColor="text1"/>
          <w:sz w:val="22"/>
          <w:lang w:val="es-ES_tradnl"/>
        </w:rPr>
        <w:t>contratos en ejecución</w:t>
      </w:r>
      <w:r w:rsidR="00F11566" w:rsidRPr="005379D0">
        <w:rPr>
          <w:rFonts w:ascii="Arial" w:hAnsi="Arial" w:cs="Arial"/>
          <w:color w:val="000000" w:themeColor="text1"/>
          <w:sz w:val="22"/>
          <w:lang w:val="es-ES_tradnl"/>
        </w:rPr>
        <w:t xml:space="preserve"> </w:t>
      </w:r>
      <w:r w:rsidR="00F11566" w:rsidRPr="005379D0">
        <w:rPr>
          <w:rFonts w:ascii="Arial" w:hAnsi="Arial" w:cs="Arial"/>
          <w:color w:val="000000" w:themeColor="text1"/>
          <w:sz w:val="22"/>
          <w:lang w:val="es-ES_tradnl"/>
        </w:rPr>
        <w:lastRenderedPageBreak/>
        <w:t xml:space="preserve">y, tal como se señaló, de manera expresa </w:t>
      </w:r>
      <w:r w:rsidR="00323E0F" w:rsidRPr="005379D0">
        <w:rPr>
          <w:rFonts w:ascii="Arial" w:eastAsia="Arial," w:hAnsi="Arial" w:cs="Arial"/>
          <w:sz w:val="22"/>
        </w:rPr>
        <w:t xml:space="preserve">la </w:t>
      </w:r>
      <w:r w:rsidR="00323E0F" w:rsidRPr="005379D0">
        <w:rPr>
          <w:rFonts w:ascii="Arial" w:hAnsi="Arial" w:cs="Arial"/>
          <w:sz w:val="22"/>
        </w:rPr>
        <w:t xml:space="preserve">«Guía para Determinar y Verificar la Capacidad Residual del Proponente en los Procesos de Contratación de Obra Pública», </w:t>
      </w:r>
      <w:r w:rsidR="00323E0F">
        <w:rPr>
          <w:rFonts w:ascii="Arial" w:hAnsi="Arial" w:cs="Arial"/>
          <w:sz w:val="22"/>
        </w:rPr>
        <w:t xml:space="preserve">señala que </w:t>
      </w:r>
      <w:r w:rsidR="00323E0F" w:rsidRPr="005379D0">
        <w:rPr>
          <w:rFonts w:ascii="Arial" w:hAnsi="Arial" w:cs="Arial"/>
          <w:sz w:val="22"/>
        </w:rPr>
        <w:t>«no se entenderán como contratos en ejecución los que se encuentren en liquidación»</w:t>
      </w:r>
      <w:r w:rsidR="00323E0F">
        <w:rPr>
          <w:rFonts w:ascii="Arial" w:hAnsi="Arial" w:cs="Arial"/>
          <w:sz w:val="22"/>
        </w:rPr>
        <w:t>.</w:t>
      </w:r>
    </w:p>
    <w:p w14:paraId="3290DB83" w14:textId="1C2098C6" w:rsidR="00F11566" w:rsidRPr="00545883" w:rsidRDefault="00F11566" w:rsidP="00F11566">
      <w:pPr>
        <w:pStyle w:val="Sinespaciado"/>
        <w:spacing w:after="120" w:line="276" w:lineRule="auto"/>
        <w:ind w:firstLine="708"/>
        <w:rPr>
          <w:rFonts w:ascii="Arial" w:hAnsi="Arial" w:cs="Arial"/>
          <w:color w:val="000000" w:themeColor="text1"/>
          <w:sz w:val="22"/>
          <w:lang w:val="es-ES_tradnl"/>
        </w:rPr>
      </w:pPr>
      <w:r>
        <w:rPr>
          <w:rFonts w:ascii="Arial" w:hAnsi="Arial" w:cs="Arial"/>
          <w:color w:val="000000" w:themeColor="text1"/>
          <w:sz w:val="22"/>
          <w:lang w:val="es-ES_tradnl"/>
        </w:rPr>
        <w:t xml:space="preserve">En este orden de ideas, </w:t>
      </w:r>
      <w:r w:rsidR="008B2D18" w:rsidRPr="005379D0">
        <w:rPr>
          <w:rFonts w:ascii="Arial" w:hAnsi="Arial" w:cs="Arial"/>
          <w:color w:val="000000" w:themeColor="text1"/>
          <w:sz w:val="22"/>
          <w:lang w:val="es-ES_tradnl"/>
        </w:rPr>
        <w:t>a efectos de su pregunta</w:t>
      </w:r>
      <w:r w:rsidR="008B2D18">
        <w:rPr>
          <w:rFonts w:ascii="Arial" w:hAnsi="Arial" w:cs="Arial"/>
          <w:color w:val="000000" w:themeColor="text1"/>
          <w:sz w:val="22"/>
          <w:lang w:val="es-ES_tradnl"/>
        </w:rPr>
        <w:t xml:space="preserve"> y </w:t>
      </w:r>
      <w:r>
        <w:rPr>
          <w:rFonts w:ascii="Arial" w:hAnsi="Arial" w:cs="Arial"/>
          <w:color w:val="000000" w:themeColor="text1"/>
          <w:sz w:val="22"/>
          <w:lang w:val="es-ES_tradnl"/>
        </w:rPr>
        <w:t xml:space="preserve">retomando la definición de contratos en ejecución contenida en la </w:t>
      </w:r>
      <w:r w:rsidR="00545883" w:rsidRPr="00545883">
        <w:rPr>
          <w:rFonts w:ascii="Arial" w:hAnsi="Arial" w:cs="Arial"/>
          <w:color w:val="000000" w:themeColor="text1"/>
          <w:sz w:val="22"/>
          <w:lang w:val="es-ES_tradnl"/>
        </w:rPr>
        <w:t xml:space="preserve">«Guía para Determinar y Verificar la Capacidad Residual del Proponente en los Procesos de Contratación de Obra Pública» debe resaltarse que, </w:t>
      </w:r>
      <w:r w:rsidR="008B2D18" w:rsidRPr="005379D0">
        <w:rPr>
          <w:rFonts w:ascii="Arial" w:hAnsi="Arial" w:cs="Arial"/>
          <w:color w:val="000000" w:themeColor="text1"/>
          <w:sz w:val="22"/>
          <w:lang w:val="es-ES_tradnl"/>
        </w:rPr>
        <w:t>en los eventos en que</w:t>
      </w:r>
      <w:r w:rsidR="008B2D18">
        <w:rPr>
          <w:rFonts w:ascii="Arial" w:hAnsi="Arial" w:cs="Arial"/>
          <w:color w:val="000000" w:themeColor="text1"/>
          <w:sz w:val="22"/>
          <w:lang w:val="es-ES_tradnl"/>
        </w:rPr>
        <w:t xml:space="preserve"> se logre determinar que los contratos </w:t>
      </w:r>
      <w:r w:rsidR="008B2D18" w:rsidRPr="001139C1">
        <w:rPr>
          <w:rFonts w:ascii="Arial" w:hAnsi="Arial" w:cs="Arial"/>
          <w:color w:val="000000" w:themeColor="text1"/>
          <w:sz w:val="22"/>
          <w:lang w:val="es-ES_tradnl"/>
        </w:rPr>
        <w:t>ya no están en etapa de ejecución</w:t>
      </w:r>
      <w:r w:rsidR="008B2D18">
        <w:rPr>
          <w:rFonts w:ascii="Arial" w:hAnsi="Arial" w:cs="Arial"/>
          <w:color w:val="000000" w:themeColor="text1"/>
          <w:sz w:val="22"/>
          <w:lang w:val="es-ES_tradnl"/>
        </w:rPr>
        <w:t xml:space="preserve"> y</w:t>
      </w:r>
      <w:r w:rsidR="00545883" w:rsidRPr="00545883">
        <w:rPr>
          <w:rFonts w:ascii="Arial" w:hAnsi="Arial" w:cs="Arial"/>
          <w:color w:val="000000" w:themeColor="text1"/>
          <w:sz w:val="22"/>
          <w:lang w:val="es-ES_tradnl"/>
        </w:rPr>
        <w:t xml:space="preserve"> se dio inicio a la etapa de liquidación contractual, </w:t>
      </w:r>
      <w:r w:rsidR="00323E0F">
        <w:rPr>
          <w:rFonts w:ascii="Arial" w:hAnsi="Arial" w:cs="Arial"/>
          <w:color w:val="000000" w:themeColor="text1"/>
          <w:sz w:val="22"/>
          <w:lang w:val="es-ES_tradnl"/>
        </w:rPr>
        <w:t>aunque excepcionalmente existan</w:t>
      </w:r>
      <w:r w:rsidR="00545883" w:rsidRPr="00545883">
        <w:rPr>
          <w:rFonts w:ascii="Arial" w:hAnsi="Arial" w:cs="Arial"/>
          <w:color w:val="000000" w:themeColor="text1"/>
          <w:sz w:val="22"/>
          <w:lang w:val="es-ES_tradnl"/>
        </w:rPr>
        <w:t xml:space="preserve"> prestaciones pendientes por ejecutar, esos contratos no deberán ser tenidos en cuenta para el cálculo de la capacidad residual, pues no son «contratos en ejecución», sino en liquidación</w:t>
      </w:r>
      <w:r w:rsidR="00545883">
        <w:rPr>
          <w:rFonts w:ascii="Arial" w:hAnsi="Arial" w:cs="Arial"/>
          <w:color w:val="000000" w:themeColor="text1"/>
          <w:sz w:val="22"/>
          <w:lang w:val="es-ES_tradnl"/>
        </w:rPr>
        <w:t xml:space="preserve">, </w:t>
      </w:r>
      <w:r w:rsidR="00545883">
        <w:rPr>
          <w:rFonts w:ascii="Arial" w:eastAsia="Arial," w:hAnsi="Arial" w:cs="Arial"/>
          <w:sz w:val="22"/>
        </w:rPr>
        <w:t>por cuanto la fase de liquidación tiene lugar</w:t>
      </w:r>
      <w:r w:rsidR="00545883" w:rsidRPr="005379D0">
        <w:rPr>
          <w:rFonts w:ascii="Arial" w:eastAsia="Arial," w:hAnsi="Arial" w:cs="Arial"/>
          <w:sz w:val="22"/>
        </w:rPr>
        <w:t xml:space="preserve"> </w:t>
      </w:r>
      <w:r w:rsidR="00545883" w:rsidRPr="005379D0">
        <w:rPr>
          <w:rFonts w:ascii="Arial" w:hAnsi="Arial" w:cs="Arial"/>
          <w:color w:val="000000" w:themeColor="text1"/>
          <w:sz w:val="22"/>
          <w:lang w:val="es-ES_tradnl"/>
        </w:rPr>
        <w:t>una vez concluid</w:t>
      </w:r>
      <w:r w:rsidR="00545883">
        <w:rPr>
          <w:rFonts w:ascii="Arial" w:hAnsi="Arial" w:cs="Arial"/>
          <w:color w:val="000000" w:themeColor="text1"/>
          <w:sz w:val="22"/>
          <w:lang w:val="es-ES_tradnl"/>
        </w:rPr>
        <w:t>a la fase de ejecución del</w:t>
      </w:r>
      <w:r w:rsidR="00545883" w:rsidRPr="005379D0">
        <w:rPr>
          <w:rFonts w:ascii="Arial" w:hAnsi="Arial" w:cs="Arial"/>
          <w:color w:val="000000" w:themeColor="text1"/>
          <w:sz w:val="22"/>
          <w:lang w:val="es-ES_tradnl"/>
        </w:rPr>
        <w:t xml:space="preserve"> contrato estatal</w:t>
      </w:r>
      <w:r w:rsidRPr="00545883">
        <w:rPr>
          <w:rFonts w:ascii="Arial" w:hAnsi="Arial" w:cs="Arial"/>
          <w:color w:val="000000" w:themeColor="text1"/>
          <w:sz w:val="22"/>
          <w:lang w:val="es-ES_tradnl"/>
        </w:rPr>
        <w:t>.  </w:t>
      </w:r>
    </w:p>
    <w:p w14:paraId="0B5723FA" w14:textId="1B397430" w:rsidR="00C32018" w:rsidRDefault="00E54365" w:rsidP="00870412">
      <w:pPr>
        <w:spacing w:before="240" w:line="276" w:lineRule="auto"/>
        <w:ind w:right="79"/>
        <w:jc w:val="both"/>
        <w:rPr>
          <w:rFonts w:ascii="Arial" w:eastAsia="Calibri" w:hAnsi="Arial" w:cs="Arial"/>
          <w:b/>
          <w:noProof/>
          <w:color w:val="161616" w:themeColor="background1" w:themeShade="1A"/>
          <w:sz w:val="22"/>
          <w:szCs w:val="22"/>
          <w:lang w:val="es-ES_tradnl"/>
        </w:rPr>
      </w:pPr>
      <w:bookmarkStart w:id="6" w:name="_1y810tw" w:colFirst="0" w:colLast="0"/>
      <w:bookmarkStart w:id="7" w:name="_2xcytpi" w:colFirst="0" w:colLast="0"/>
      <w:bookmarkStart w:id="8" w:name="_1ci93xb" w:colFirst="0" w:colLast="0"/>
      <w:bookmarkStart w:id="9" w:name="_3whwml4" w:colFirst="0" w:colLast="0"/>
      <w:bookmarkEnd w:id="5"/>
      <w:bookmarkEnd w:id="6"/>
      <w:bookmarkEnd w:id="7"/>
      <w:bookmarkEnd w:id="8"/>
      <w:bookmarkEnd w:id="9"/>
      <w:r w:rsidRPr="00D86474">
        <w:rPr>
          <w:rFonts w:ascii="Arial" w:eastAsia="Calibri" w:hAnsi="Arial" w:cs="Arial"/>
          <w:b/>
          <w:noProof/>
          <w:color w:val="161616" w:themeColor="background1" w:themeShade="1A"/>
          <w:sz w:val="22"/>
          <w:szCs w:val="22"/>
          <w:lang w:val="es-ES_tradnl"/>
        </w:rPr>
        <w:t>3. Respuesta</w:t>
      </w:r>
    </w:p>
    <w:p w14:paraId="1361D8C9" w14:textId="53E6BE6C" w:rsidR="008D6907" w:rsidRPr="001139C1" w:rsidRDefault="001139C1" w:rsidP="00870412">
      <w:pPr>
        <w:spacing w:before="240"/>
        <w:ind w:left="567" w:right="786"/>
        <w:jc w:val="both"/>
        <w:rPr>
          <w:rFonts w:ascii="Arial" w:hAnsi="Arial" w:cs="Arial"/>
          <w:color w:val="161616" w:themeColor="background1" w:themeShade="1A"/>
          <w:sz w:val="21"/>
          <w:szCs w:val="21"/>
          <w:lang w:val="es-ES_tradnl"/>
        </w:rPr>
      </w:pPr>
      <w:r w:rsidRPr="001139C1">
        <w:rPr>
          <w:rFonts w:ascii="Arial" w:hAnsi="Arial" w:cs="Arial"/>
          <w:color w:val="161616" w:themeColor="background1" w:themeShade="1A"/>
          <w:sz w:val="21"/>
          <w:szCs w:val="21"/>
          <w:lang w:val="es-ES_tradnl"/>
        </w:rPr>
        <w:t>«</w:t>
      </w:r>
      <w:r w:rsidRPr="001139C1">
        <w:rPr>
          <w:rFonts w:ascii="Arial" w:eastAsia="Arial," w:hAnsi="Arial" w:cs="Arial"/>
          <w:sz w:val="21"/>
          <w:szCs w:val="21"/>
        </w:rPr>
        <w:t xml:space="preserve">[…] </w:t>
      </w:r>
      <w:r w:rsidRPr="001139C1">
        <w:rPr>
          <w:rFonts w:ascii="Arial" w:hAnsi="Arial" w:cs="Arial"/>
          <w:color w:val="161616" w:themeColor="background1" w:themeShade="1A"/>
          <w:sz w:val="21"/>
          <w:szCs w:val="21"/>
          <w:lang w:val="es-ES_tradnl"/>
        </w:rPr>
        <w:t>comedidamente solicito dar la claridad correspondiente, para el tema de la capacidad residual, específicamente sobre los saldos de contratos en ejecución, ya que el Decreto 791 de 2014, no menciona si los contratos deben estar liquidados, pues existen contratos que ya no están en etapa de ejecución, sino en la de liquidación y ya no están generando saldos pendientes; entonces, esos contratos se pueden omitir del formulario de capacidad residual, contratos en ejecución, para la presentación de propuestas?»</w:t>
      </w:r>
      <w:r w:rsidR="00451E90" w:rsidRPr="001139C1">
        <w:rPr>
          <w:rFonts w:ascii="Arial" w:hAnsi="Arial" w:cs="Arial"/>
          <w:color w:val="161616" w:themeColor="background1" w:themeShade="1A"/>
          <w:sz w:val="21"/>
          <w:szCs w:val="21"/>
          <w:lang w:val="es-ES_tradnl"/>
        </w:rPr>
        <w:t>.</w:t>
      </w:r>
    </w:p>
    <w:p w14:paraId="576382C9" w14:textId="77777777" w:rsidR="00713BDB" w:rsidRDefault="00713BDB" w:rsidP="00713BDB">
      <w:pPr>
        <w:spacing w:line="276" w:lineRule="auto"/>
        <w:ind w:right="77"/>
        <w:jc w:val="both"/>
        <w:rPr>
          <w:rFonts w:ascii="Arial" w:hAnsi="Arial" w:cs="Arial"/>
          <w:sz w:val="22"/>
          <w:szCs w:val="22"/>
        </w:rPr>
      </w:pPr>
    </w:p>
    <w:p w14:paraId="7BAC2E3D" w14:textId="230362D0" w:rsidR="00D27442" w:rsidRPr="00AC4E34" w:rsidRDefault="00D27442" w:rsidP="00F14985">
      <w:pPr>
        <w:spacing w:after="120" w:line="276" w:lineRule="auto"/>
        <w:ind w:right="79"/>
        <w:jc w:val="both"/>
        <w:rPr>
          <w:rFonts w:ascii="Arial" w:hAnsi="Arial" w:cs="Arial"/>
          <w:iCs/>
          <w:color w:val="000000" w:themeColor="text1"/>
          <w:sz w:val="22"/>
          <w:lang w:val="es-ES_tradnl"/>
        </w:rPr>
      </w:pPr>
      <w:r w:rsidRPr="005F7142">
        <w:rPr>
          <w:rFonts w:ascii="Arial" w:hAnsi="Arial" w:cs="Arial"/>
          <w:sz w:val="22"/>
          <w:szCs w:val="22"/>
        </w:rPr>
        <w:t xml:space="preserve">De conformidad con lo expuesto, es posible concluir que </w:t>
      </w:r>
      <w:r w:rsidR="00723A5D" w:rsidRPr="005F7142">
        <w:rPr>
          <w:rFonts w:ascii="Arial" w:hAnsi="Arial" w:cs="Arial"/>
          <w:sz w:val="22"/>
          <w:szCs w:val="22"/>
        </w:rPr>
        <w:t>el «Saldo de Contratos en ejecución</w:t>
      </w:r>
      <w:r w:rsidR="007A04A7" w:rsidRPr="005F7142">
        <w:rPr>
          <w:rFonts w:ascii="Arial" w:hAnsi="Arial" w:cs="Arial"/>
          <w:sz w:val="22"/>
          <w:szCs w:val="22"/>
        </w:rPr>
        <w:t>»</w:t>
      </w:r>
      <w:r w:rsidRPr="005F7142">
        <w:rPr>
          <w:rFonts w:ascii="Arial" w:hAnsi="Arial" w:cs="Arial"/>
          <w:sz w:val="22"/>
          <w:szCs w:val="22"/>
        </w:rPr>
        <w:t xml:space="preserve"> corresponde a</w:t>
      </w:r>
      <w:r w:rsidR="007A04A7" w:rsidRPr="005F7142">
        <w:rPr>
          <w:rFonts w:ascii="Arial" w:hAnsi="Arial" w:cs="Arial"/>
          <w:sz w:val="22"/>
          <w:szCs w:val="22"/>
        </w:rPr>
        <w:t xml:space="preserve"> la sumatoria de los saldos de los </w:t>
      </w:r>
      <w:r w:rsidR="005F7142">
        <w:rPr>
          <w:rFonts w:ascii="Arial" w:hAnsi="Arial" w:cs="Arial"/>
          <w:sz w:val="22"/>
          <w:szCs w:val="22"/>
        </w:rPr>
        <w:t>c</w:t>
      </w:r>
      <w:r w:rsidR="007A04A7" w:rsidRPr="005F7142">
        <w:rPr>
          <w:rFonts w:ascii="Arial" w:hAnsi="Arial" w:cs="Arial"/>
          <w:sz w:val="22"/>
          <w:szCs w:val="22"/>
        </w:rPr>
        <w:t>ontratos</w:t>
      </w:r>
      <w:r w:rsidR="00713BDB" w:rsidRPr="005F7142">
        <w:rPr>
          <w:rFonts w:ascii="Arial" w:hAnsi="Arial" w:cs="Arial"/>
          <w:sz w:val="22"/>
          <w:szCs w:val="22"/>
        </w:rPr>
        <w:t xml:space="preserve"> </w:t>
      </w:r>
      <w:r w:rsidRPr="005F7142">
        <w:rPr>
          <w:rFonts w:ascii="Arial" w:hAnsi="Arial" w:cs="Arial"/>
          <w:sz w:val="22"/>
          <w:szCs w:val="22"/>
        </w:rPr>
        <w:t>que obligan al proponente</w:t>
      </w:r>
      <w:r w:rsidR="00730CAD" w:rsidRPr="005F7142">
        <w:rPr>
          <w:rFonts w:ascii="Arial" w:hAnsi="Arial" w:cs="Arial"/>
          <w:sz w:val="22"/>
          <w:szCs w:val="22"/>
        </w:rPr>
        <w:t xml:space="preserve"> a la ejecución de obras civiles</w:t>
      </w:r>
      <w:r w:rsidRPr="005F7142">
        <w:rPr>
          <w:rFonts w:ascii="Arial" w:hAnsi="Arial" w:cs="Arial"/>
          <w:sz w:val="22"/>
          <w:szCs w:val="22"/>
        </w:rPr>
        <w:t>, bien sea con entidades estatales o entidades privadas</w:t>
      </w:r>
      <w:r w:rsidR="00730CAD" w:rsidRPr="005F7142">
        <w:rPr>
          <w:rFonts w:ascii="Arial" w:hAnsi="Arial" w:cs="Arial"/>
          <w:sz w:val="22"/>
          <w:szCs w:val="22"/>
        </w:rPr>
        <w:t>.</w:t>
      </w:r>
      <w:r w:rsidRPr="005F7142">
        <w:rPr>
          <w:rFonts w:ascii="Arial" w:hAnsi="Arial" w:cs="Arial"/>
          <w:sz w:val="22"/>
          <w:szCs w:val="22"/>
        </w:rPr>
        <w:t xml:space="preserve"> </w:t>
      </w:r>
      <w:r w:rsidR="00AC4E34" w:rsidRPr="005F7142">
        <w:rPr>
          <w:rFonts w:ascii="Arial" w:hAnsi="Arial" w:cs="Arial"/>
          <w:iCs/>
          <w:color w:val="000000" w:themeColor="text1"/>
          <w:sz w:val="22"/>
          <w:lang w:val="es-ES_tradnl"/>
        </w:rPr>
        <w:t>Frente al particular, la «Guía para Determinar y Verificar la Capacidad Residual del Proponente en los Procesos de Contratación de Obra Pública» define</w:t>
      </w:r>
      <w:r w:rsidR="00AC4E34" w:rsidRPr="00AC4E34">
        <w:rPr>
          <w:rFonts w:ascii="Arial" w:hAnsi="Arial" w:cs="Arial"/>
          <w:iCs/>
          <w:color w:val="000000" w:themeColor="text1"/>
          <w:sz w:val="22"/>
          <w:lang w:val="es-ES_tradnl"/>
        </w:rPr>
        <w:t xml:space="preserve"> los Contratos en ejecución de la siguiente manera: «Son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w:t>
      </w:r>
      <w:r w:rsidR="00AC4E34" w:rsidRPr="00F14985">
        <w:rPr>
          <w:rFonts w:ascii="Arial" w:hAnsi="Arial" w:cs="Arial"/>
          <w:i/>
          <w:color w:val="000000" w:themeColor="text1"/>
          <w:sz w:val="22"/>
          <w:lang w:val="es-ES_tradnl"/>
        </w:rPr>
        <w:t>No se entenderán como contratos en ejecución los que se encuentren en liquidación</w:t>
      </w:r>
      <w:r w:rsidR="00AC4E34" w:rsidRPr="00F14985">
        <w:rPr>
          <w:rFonts w:ascii="Arial" w:hAnsi="Arial" w:cs="Arial"/>
          <w:iCs/>
          <w:color w:val="000000" w:themeColor="text1"/>
          <w:sz w:val="22"/>
          <w:lang w:val="es-ES_tradnl"/>
        </w:rPr>
        <w:t>»</w:t>
      </w:r>
      <w:r w:rsidR="005F7142" w:rsidRPr="00F14985">
        <w:rPr>
          <w:rFonts w:ascii="Arial" w:hAnsi="Arial" w:cs="Arial"/>
          <w:iCs/>
          <w:color w:val="000000" w:themeColor="text1"/>
          <w:sz w:val="22"/>
          <w:lang w:val="es-ES_tradnl"/>
        </w:rPr>
        <w:t xml:space="preserve"> </w:t>
      </w:r>
      <w:r w:rsidR="005F7142" w:rsidRPr="005F7142">
        <w:rPr>
          <w:rFonts w:ascii="Arial" w:hAnsi="Arial" w:cs="Arial"/>
          <w:iCs/>
          <w:color w:val="000000" w:themeColor="text1"/>
          <w:sz w:val="22"/>
          <w:lang w:val="es-ES_tradnl"/>
        </w:rPr>
        <w:t>(</w:t>
      </w:r>
      <w:r w:rsidR="003C4FD7">
        <w:rPr>
          <w:rFonts w:ascii="Arial" w:hAnsi="Arial" w:cs="Arial"/>
          <w:iCs/>
          <w:color w:val="000000" w:themeColor="text1"/>
          <w:sz w:val="22"/>
          <w:lang w:val="es-ES_tradnl"/>
        </w:rPr>
        <w:t>Cursivas</w:t>
      </w:r>
      <w:r w:rsidR="003C4FD7" w:rsidRPr="005F7142">
        <w:rPr>
          <w:rFonts w:ascii="Arial" w:hAnsi="Arial" w:cs="Arial"/>
          <w:iCs/>
          <w:color w:val="000000" w:themeColor="text1"/>
          <w:sz w:val="22"/>
          <w:lang w:val="es-ES_tradnl"/>
        </w:rPr>
        <w:t xml:space="preserve"> </w:t>
      </w:r>
      <w:r w:rsidR="005F7142" w:rsidRPr="005F7142">
        <w:rPr>
          <w:rFonts w:ascii="Arial" w:hAnsi="Arial" w:cs="Arial"/>
          <w:iCs/>
          <w:color w:val="000000" w:themeColor="text1"/>
          <w:sz w:val="22"/>
          <w:lang w:val="es-ES_tradnl"/>
        </w:rPr>
        <w:t>fuera del texto)</w:t>
      </w:r>
      <w:r w:rsidR="00C54978">
        <w:rPr>
          <w:rFonts w:ascii="Arial" w:hAnsi="Arial" w:cs="Arial"/>
          <w:iCs/>
          <w:color w:val="000000" w:themeColor="text1"/>
          <w:sz w:val="22"/>
          <w:lang w:val="es-ES_tradnl"/>
        </w:rPr>
        <w:t>.</w:t>
      </w:r>
    </w:p>
    <w:p w14:paraId="0CBA773D" w14:textId="68B99122" w:rsidR="00717D2F" w:rsidRDefault="00713BDB" w:rsidP="00F14985">
      <w:pPr>
        <w:spacing w:after="120" w:line="276" w:lineRule="auto"/>
        <w:ind w:right="77" w:firstLine="708"/>
        <w:jc w:val="both"/>
        <w:rPr>
          <w:rFonts w:ascii="Arial" w:eastAsia="Arial" w:hAnsi="Arial" w:cs="Arial"/>
          <w:color w:val="161616" w:themeColor="background1" w:themeShade="1A"/>
          <w:sz w:val="22"/>
          <w:szCs w:val="22"/>
        </w:rPr>
      </w:pPr>
      <w:r>
        <w:rPr>
          <w:rFonts w:ascii="Arial" w:eastAsia="Arial" w:hAnsi="Arial" w:cs="Arial"/>
          <w:color w:val="161616" w:themeColor="background1" w:themeShade="1A"/>
          <w:sz w:val="22"/>
          <w:szCs w:val="22"/>
        </w:rPr>
        <w:t xml:space="preserve">De </w:t>
      </w:r>
      <w:r w:rsidR="00717D2F">
        <w:rPr>
          <w:rFonts w:ascii="Arial" w:eastAsia="Arial" w:hAnsi="Arial" w:cs="Arial"/>
          <w:color w:val="161616" w:themeColor="background1" w:themeShade="1A"/>
          <w:sz w:val="22"/>
          <w:szCs w:val="22"/>
        </w:rPr>
        <w:t xml:space="preserve">lo anterior se concluye que </w:t>
      </w:r>
      <w:r w:rsidR="00717D2F">
        <w:rPr>
          <w:rFonts w:ascii="Arial" w:hAnsi="Arial" w:cs="Arial"/>
          <w:sz w:val="22"/>
          <w:szCs w:val="22"/>
        </w:rPr>
        <w:t xml:space="preserve">este tipo de saldos afecta la capacidad residual del proponente única y exclusivamente cuando se trate de </w:t>
      </w:r>
      <w:r w:rsidR="00717D2F" w:rsidRPr="006709D2">
        <w:rPr>
          <w:rFonts w:ascii="Arial" w:hAnsi="Arial" w:cs="Arial"/>
          <w:i/>
          <w:iCs/>
          <w:color w:val="000000" w:themeColor="text1"/>
          <w:sz w:val="22"/>
          <w:lang w:val="es-ES_tradnl"/>
        </w:rPr>
        <w:t>«contratos en ejecución»</w:t>
      </w:r>
      <w:r w:rsidR="00717D2F">
        <w:rPr>
          <w:rFonts w:ascii="Arial" w:hAnsi="Arial" w:cs="Arial"/>
          <w:color w:val="000000" w:themeColor="text1"/>
          <w:sz w:val="22"/>
          <w:lang w:val="es-ES_tradnl"/>
        </w:rPr>
        <w:t xml:space="preserve">, de los que se excluyen, de manera expresa, los contratos que </w:t>
      </w:r>
      <w:r w:rsidR="00717D2F" w:rsidRPr="009107DE">
        <w:rPr>
          <w:rFonts w:ascii="Arial" w:hAnsi="Arial" w:cs="Arial"/>
          <w:color w:val="000000" w:themeColor="text1"/>
          <w:sz w:val="22"/>
          <w:lang w:val="es-ES_tradnl"/>
        </w:rPr>
        <w:t>«</w:t>
      </w:r>
      <w:r w:rsidR="00717D2F">
        <w:rPr>
          <w:rFonts w:ascii="Arial" w:hAnsi="Arial" w:cs="Arial"/>
          <w:color w:val="000000" w:themeColor="text1"/>
          <w:sz w:val="22"/>
          <w:lang w:val="es-ES_tradnl"/>
        </w:rPr>
        <w:t>se encuentren en liquidación</w:t>
      </w:r>
      <w:r w:rsidR="00717D2F" w:rsidRPr="009107DE">
        <w:rPr>
          <w:rFonts w:ascii="Arial" w:hAnsi="Arial" w:cs="Arial"/>
          <w:color w:val="000000" w:themeColor="text1"/>
          <w:sz w:val="22"/>
          <w:lang w:val="es-ES_tradnl"/>
        </w:rPr>
        <w:t>»</w:t>
      </w:r>
      <w:r w:rsidR="00717D2F">
        <w:rPr>
          <w:rFonts w:ascii="Arial" w:hAnsi="Arial" w:cs="Arial"/>
          <w:color w:val="000000" w:themeColor="text1"/>
          <w:sz w:val="22"/>
          <w:lang w:val="es-ES_tradnl"/>
        </w:rPr>
        <w:t>.</w:t>
      </w:r>
      <w:r w:rsidR="003C4FD7">
        <w:rPr>
          <w:rFonts w:ascii="Arial" w:hAnsi="Arial" w:cs="Arial"/>
          <w:color w:val="000000" w:themeColor="text1"/>
          <w:sz w:val="22"/>
          <w:lang w:val="es-ES_tradnl"/>
        </w:rPr>
        <w:t xml:space="preserve"> </w:t>
      </w:r>
      <w:r w:rsidR="00717D2F">
        <w:rPr>
          <w:rFonts w:ascii="Arial" w:hAnsi="Arial" w:cs="Arial"/>
          <w:color w:val="000000" w:themeColor="text1"/>
          <w:sz w:val="22"/>
          <w:lang w:val="es-ES_tradnl"/>
        </w:rPr>
        <w:t xml:space="preserve">En concordancia con esto, debe advertirse que si se dio inicio a la etapa de liquidación del contrato, </w:t>
      </w:r>
      <w:r w:rsidR="003C4FD7">
        <w:rPr>
          <w:rFonts w:ascii="Arial" w:hAnsi="Arial" w:cs="Arial"/>
          <w:color w:val="000000" w:themeColor="text1"/>
          <w:sz w:val="22"/>
          <w:lang w:val="es-ES_tradnl"/>
        </w:rPr>
        <w:t>est</w:t>
      </w:r>
      <w:r w:rsidR="00EE5212">
        <w:rPr>
          <w:rFonts w:ascii="Arial" w:hAnsi="Arial" w:cs="Arial"/>
          <w:color w:val="000000" w:themeColor="text1"/>
          <w:sz w:val="22"/>
          <w:lang w:val="es-ES_tradnl"/>
        </w:rPr>
        <w:t>e</w:t>
      </w:r>
      <w:r w:rsidR="003C4FD7">
        <w:rPr>
          <w:rFonts w:ascii="Arial" w:hAnsi="Arial" w:cs="Arial"/>
          <w:color w:val="000000" w:themeColor="text1"/>
          <w:sz w:val="22"/>
          <w:lang w:val="es-ES_tradnl"/>
        </w:rPr>
        <w:t xml:space="preserve"> no </w:t>
      </w:r>
      <w:r w:rsidR="00EE5212">
        <w:rPr>
          <w:rFonts w:ascii="Arial" w:hAnsi="Arial" w:cs="Arial"/>
          <w:color w:val="000000" w:themeColor="text1"/>
          <w:sz w:val="22"/>
          <w:lang w:val="es-ES_tradnl"/>
        </w:rPr>
        <w:t>debe</w:t>
      </w:r>
      <w:r w:rsidR="003C4FD7">
        <w:rPr>
          <w:rFonts w:ascii="Arial" w:hAnsi="Arial" w:cs="Arial"/>
          <w:color w:val="000000" w:themeColor="text1"/>
          <w:sz w:val="22"/>
          <w:lang w:val="es-ES_tradnl"/>
        </w:rPr>
        <w:t xml:space="preserve"> tenerse en cuenta para el cálculo de los Saldos de Contratos en Ejecución</w:t>
      </w:r>
      <w:r w:rsidR="00717D2F">
        <w:rPr>
          <w:rFonts w:ascii="Arial" w:hAnsi="Arial" w:cs="Arial"/>
          <w:color w:val="000000" w:themeColor="text1"/>
          <w:sz w:val="22"/>
          <w:lang w:val="es-ES_tradnl"/>
        </w:rPr>
        <w:t>.</w:t>
      </w:r>
    </w:p>
    <w:p w14:paraId="64BE30C1" w14:textId="01AFE6F3" w:rsidR="00695B70" w:rsidRDefault="00695B70" w:rsidP="003C4FD7">
      <w:pPr>
        <w:spacing w:before="240" w:line="276" w:lineRule="auto"/>
        <w:jc w:val="both"/>
        <w:rPr>
          <w:rFonts w:ascii="Arial" w:eastAsia="Calibri" w:hAnsi="Arial" w:cs="Arial"/>
          <w:color w:val="161616" w:themeColor="background1" w:themeShade="1A"/>
          <w:sz w:val="22"/>
          <w:szCs w:val="22"/>
          <w:lang w:val="es-ES_tradnl"/>
        </w:rPr>
      </w:pPr>
      <w:r w:rsidRPr="00515D32">
        <w:rPr>
          <w:rFonts w:ascii="Arial" w:eastAsia="Calibri" w:hAnsi="Arial" w:cs="Arial"/>
          <w:color w:val="161616" w:themeColor="background1" w:themeShade="1A"/>
          <w:sz w:val="22"/>
          <w:szCs w:val="22"/>
          <w:lang w:val="es-ES_tradnl"/>
        </w:rPr>
        <w:lastRenderedPageBreak/>
        <w:t>Este concepto tiene el alcance previsto en el artículo 28 del Código de Procedimiento Administrativo y de lo Contencioso Administrativo.</w:t>
      </w:r>
    </w:p>
    <w:p w14:paraId="73353508" w14:textId="608FDA29" w:rsidR="00EE6A82" w:rsidRPr="00515D32" w:rsidRDefault="00D5114B" w:rsidP="005E363E">
      <w:pPr>
        <w:spacing w:before="240" w:line="276" w:lineRule="auto"/>
        <w:jc w:val="both"/>
        <w:rPr>
          <w:rFonts w:ascii="Arial" w:hAnsi="Arial" w:cs="Arial"/>
          <w:color w:val="161616" w:themeColor="background1" w:themeShade="1A"/>
          <w:sz w:val="22"/>
          <w:szCs w:val="22"/>
          <w:lang w:val="es-ES_tradnl" w:eastAsia="es-CO"/>
        </w:rPr>
      </w:pPr>
      <w:bookmarkStart w:id="10" w:name="_Hlk50986665"/>
      <w:bookmarkStart w:id="11" w:name="_Hlk52766744"/>
      <w:r w:rsidRPr="00570FD2">
        <w:rPr>
          <w:rFonts w:ascii="Arial" w:hAnsi="Arial" w:cs="Arial"/>
          <w:noProof/>
          <w:color w:val="000000" w:themeColor="text1"/>
          <w:sz w:val="22"/>
          <w:lang w:eastAsia="es-CO"/>
        </w:rPr>
        <w:drawing>
          <wp:anchor distT="0" distB="0" distL="114300" distR="114300" simplePos="0" relativeHeight="251661312" behindDoc="0" locked="0" layoutInCell="1" allowOverlap="1" wp14:anchorId="42BA1662" wp14:editId="16DC8B4D">
            <wp:simplePos x="0" y="0"/>
            <wp:positionH relativeFrom="margin">
              <wp:posOffset>1589764</wp:posOffset>
            </wp:positionH>
            <wp:positionV relativeFrom="paragraph">
              <wp:posOffset>312420</wp:posOffset>
            </wp:positionV>
            <wp:extent cx="2200275" cy="934085"/>
            <wp:effectExtent l="0" t="0" r="9525" b="0"/>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200275" cy="934085"/>
                    </a:xfrm>
                    <a:prstGeom prst="rect">
                      <a:avLst/>
                    </a:prstGeom>
                  </pic:spPr>
                </pic:pic>
              </a:graphicData>
            </a:graphic>
            <wp14:sizeRelH relativeFrom="page">
              <wp14:pctWidth>0</wp14:pctWidth>
            </wp14:sizeRelH>
            <wp14:sizeRelV relativeFrom="page">
              <wp14:pctHeight>0</wp14:pctHeight>
            </wp14:sizeRelV>
          </wp:anchor>
        </w:drawing>
      </w:r>
      <w:r w:rsidR="00EE6A82" w:rsidRPr="00515D32">
        <w:rPr>
          <w:rFonts w:ascii="Arial" w:hAnsi="Arial" w:cs="Arial"/>
          <w:color w:val="161616" w:themeColor="background1" w:themeShade="1A"/>
          <w:sz w:val="22"/>
          <w:szCs w:val="22"/>
          <w:lang w:val="es-ES_tradnl" w:eastAsia="es-CO"/>
        </w:rPr>
        <w:t>Atentamente,</w:t>
      </w:r>
    </w:p>
    <w:bookmarkEnd w:id="1"/>
    <w:bookmarkEnd w:id="10"/>
    <w:bookmarkEnd w:id="11"/>
    <w:p w14:paraId="35B56F46" w14:textId="2151F77A" w:rsidR="00746E08" w:rsidRDefault="00746E08" w:rsidP="00B32DB2">
      <w:pPr>
        <w:spacing w:before="240"/>
        <w:jc w:val="center"/>
        <w:rPr>
          <w:rFonts w:ascii="Arial" w:hAnsi="Arial" w:cs="Arial"/>
          <w:noProof/>
          <w:color w:val="161616" w:themeColor="background1" w:themeShade="1A"/>
          <w:sz w:val="22"/>
          <w:szCs w:val="22"/>
          <w:lang w:eastAsia="es-CO"/>
        </w:rPr>
      </w:pPr>
    </w:p>
    <w:p w14:paraId="1EDEF787" w14:textId="77777777" w:rsidR="00D5114B" w:rsidRDefault="00D5114B" w:rsidP="00B32DB2">
      <w:pPr>
        <w:spacing w:before="240"/>
        <w:jc w:val="center"/>
        <w:rPr>
          <w:rFonts w:ascii="Arial" w:hAnsi="Arial" w:cs="Arial"/>
          <w:noProof/>
          <w:color w:val="161616" w:themeColor="background1" w:themeShade="1A"/>
          <w:sz w:val="22"/>
          <w:szCs w:val="22"/>
          <w:lang w:eastAsia="es-CO"/>
        </w:rPr>
      </w:pPr>
    </w:p>
    <w:p w14:paraId="0002528A" w14:textId="77777777" w:rsidR="00D5114B" w:rsidRDefault="00D5114B" w:rsidP="00B32DB2">
      <w:pPr>
        <w:spacing w:before="240"/>
        <w:jc w:val="center"/>
        <w:rPr>
          <w:rFonts w:ascii="Arial" w:hAnsi="Arial" w:cs="Arial"/>
          <w:color w:val="161616" w:themeColor="background1" w:themeShade="1A"/>
          <w:sz w:val="22"/>
          <w:szCs w:val="22"/>
          <w:lang w:val="es-ES_tradnl" w:eastAsia="es-CO"/>
        </w:rP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8423BA" w:rsidRPr="006328BD" w14:paraId="47EE0A9C" w14:textId="77777777" w:rsidTr="00EA4372">
        <w:trPr>
          <w:trHeight w:val="286"/>
        </w:trPr>
        <w:tc>
          <w:tcPr>
            <w:tcW w:w="817" w:type="dxa"/>
            <w:vAlign w:val="center"/>
          </w:tcPr>
          <w:p w14:paraId="05579E3A"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Elaboró:</w:t>
            </w:r>
          </w:p>
        </w:tc>
        <w:tc>
          <w:tcPr>
            <w:tcW w:w="4445" w:type="dxa"/>
            <w:tcBorders>
              <w:bottom w:val="dotted" w:sz="4" w:space="0" w:color="7F7F7F"/>
            </w:tcBorders>
            <w:vAlign w:val="center"/>
          </w:tcPr>
          <w:p w14:paraId="0D5DC54E" w14:textId="77777777" w:rsidR="008423BA" w:rsidRPr="006328BD" w:rsidRDefault="008423BA" w:rsidP="00EA4372">
            <w:pPr>
              <w:rPr>
                <w:rFonts w:ascii="Arial" w:hAnsi="Arial" w:cs="Arial"/>
                <w:sz w:val="14"/>
                <w:szCs w:val="14"/>
                <w:lang w:eastAsia="es-ES"/>
              </w:rPr>
            </w:pPr>
            <w:r>
              <w:rPr>
                <w:rFonts w:ascii="Arial" w:hAnsi="Arial" w:cs="Arial"/>
                <w:sz w:val="14"/>
                <w:szCs w:val="14"/>
                <w:lang w:eastAsia="es-ES"/>
              </w:rPr>
              <w:t>Diana Fabiola Herrera Hernández</w:t>
            </w:r>
            <w:r w:rsidRPr="006328BD">
              <w:rPr>
                <w:rFonts w:ascii="Arial" w:hAnsi="Arial" w:cs="Arial"/>
                <w:sz w:val="14"/>
                <w:szCs w:val="14"/>
                <w:lang w:eastAsia="es-ES"/>
              </w:rPr>
              <w:t xml:space="preserve"> </w:t>
            </w:r>
          </w:p>
          <w:p w14:paraId="61670314"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Contratista de la Subdirección de Gestión Contractual</w:t>
            </w:r>
          </w:p>
        </w:tc>
      </w:tr>
      <w:tr w:rsidR="008423BA" w:rsidRPr="006328BD" w14:paraId="2D328240" w14:textId="77777777" w:rsidTr="00EA4372">
        <w:trPr>
          <w:trHeight w:val="299"/>
        </w:trPr>
        <w:tc>
          <w:tcPr>
            <w:tcW w:w="817" w:type="dxa"/>
            <w:vAlign w:val="center"/>
          </w:tcPr>
          <w:p w14:paraId="1219E7C1"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Revisó:</w:t>
            </w:r>
          </w:p>
        </w:tc>
        <w:tc>
          <w:tcPr>
            <w:tcW w:w="4445" w:type="dxa"/>
            <w:tcBorders>
              <w:top w:val="dotted" w:sz="4" w:space="0" w:color="7F7F7F"/>
              <w:bottom w:val="dotted" w:sz="4" w:space="0" w:color="7F7F7F"/>
            </w:tcBorders>
            <w:vAlign w:val="center"/>
          </w:tcPr>
          <w:p w14:paraId="092EF87E" w14:textId="77777777" w:rsidR="00CF44E0" w:rsidRPr="00CF44E0" w:rsidRDefault="00CF44E0" w:rsidP="00CF44E0">
            <w:pPr>
              <w:rPr>
                <w:rFonts w:ascii="Arial" w:hAnsi="Arial" w:cs="Arial"/>
                <w:sz w:val="14"/>
                <w:szCs w:val="14"/>
                <w:lang w:eastAsia="es-ES"/>
              </w:rPr>
            </w:pPr>
            <w:r w:rsidRPr="00CF44E0">
              <w:rPr>
                <w:rFonts w:ascii="Arial" w:hAnsi="Arial" w:cs="Arial"/>
                <w:sz w:val="14"/>
                <w:szCs w:val="14"/>
                <w:lang w:eastAsia="es-ES"/>
              </w:rPr>
              <w:t>Sebastián Ramírez Grisales</w:t>
            </w:r>
          </w:p>
          <w:p w14:paraId="4B483BFF" w14:textId="69FFA23C" w:rsidR="008423BA" w:rsidRPr="006328BD" w:rsidRDefault="00CF44E0" w:rsidP="00CF44E0">
            <w:pPr>
              <w:rPr>
                <w:rFonts w:ascii="Arial" w:hAnsi="Arial" w:cs="Arial"/>
                <w:sz w:val="14"/>
                <w:szCs w:val="14"/>
                <w:lang w:eastAsia="es-ES"/>
              </w:rPr>
            </w:pPr>
            <w:r w:rsidRPr="00CF44E0">
              <w:rPr>
                <w:rFonts w:ascii="Arial" w:hAnsi="Arial" w:cs="Arial"/>
                <w:sz w:val="14"/>
                <w:szCs w:val="14"/>
                <w:lang w:eastAsia="es-ES"/>
              </w:rPr>
              <w:t>Contratista de la Subdirección de Gestión Contractual</w:t>
            </w:r>
          </w:p>
        </w:tc>
      </w:tr>
      <w:tr w:rsidR="008423BA" w:rsidRPr="006328BD" w14:paraId="695797F3" w14:textId="77777777" w:rsidTr="00EA4372">
        <w:trPr>
          <w:trHeight w:val="272"/>
        </w:trPr>
        <w:tc>
          <w:tcPr>
            <w:tcW w:w="817" w:type="dxa"/>
            <w:vAlign w:val="center"/>
          </w:tcPr>
          <w:p w14:paraId="05BB9836"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Aprobó:</w:t>
            </w:r>
          </w:p>
        </w:tc>
        <w:tc>
          <w:tcPr>
            <w:tcW w:w="4445" w:type="dxa"/>
            <w:tcBorders>
              <w:top w:val="dotted" w:sz="4" w:space="0" w:color="7F7F7F"/>
              <w:bottom w:val="dotted" w:sz="4" w:space="0" w:color="7F7F7F"/>
            </w:tcBorders>
            <w:vAlign w:val="center"/>
          </w:tcPr>
          <w:p w14:paraId="08CB039F"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Jorge Augusto Tirado Navarro</w:t>
            </w:r>
          </w:p>
          <w:p w14:paraId="6F56A07C"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Subdirector de Gestión Contractual ANCP – CCE</w:t>
            </w:r>
          </w:p>
        </w:tc>
      </w:tr>
    </w:tbl>
    <w:p w14:paraId="23EAD1F9" w14:textId="1D1C6BDB" w:rsidR="008423BA" w:rsidRDefault="008423BA" w:rsidP="00B32DB2">
      <w:pPr>
        <w:spacing w:before="240"/>
        <w:jc w:val="center"/>
        <w:rPr>
          <w:rFonts w:ascii="Arial" w:hAnsi="Arial" w:cs="Arial"/>
          <w:color w:val="161616" w:themeColor="background1" w:themeShade="1A"/>
          <w:sz w:val="22"/>
          <w:szCs w:val="22"/>
          <w:lang w:val="es-ES_tradnl" w:eastAsia="es-CO"/>
        </w:rPr>
      </w:pPr>
    </w:p>
    <w:p w14:paraId="46A2D6C9" w14:textId="77777777" w:rsidR="00123BE2" w:rsidRPr="00515D32" w:rsidRDefault="00123BE2" w:rsidP="00B32DB2">
      <w:pPr>
        <w:spacing w:before="240"/>
        <w:rPr>
          <w:rFonts w:ascii="Arial" w:hAnsi="Arial" w:cs="Arial"/>
          <w:color w:val="161616" w:themeColor="background1" w:themeShade="1A"/>
          <w:sz w:val="22"/>
          <w:szCs w:val="22"/>
          <w:lang w:val="es-ES_tradnl"/>
        </w:rPr>
      </w:pPr>
    </w:p>
    <w:sectPr w:rsidR="00123BE2" w:rsidRPr="00515D32" w:rsidSect="00D650B5">
      <w:headerReference w:type="default" r:id="rId14"/>
      <w:footerReference w:type="default" r:id="rId15"/>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6636C" w14:textId="77777777" w:rsidR="009713CE" w:rsidRDefault="009713CE">
      <w:r>
        <w:separator/>
      </w:r>
    </w:p>
  </w:endnote>
  <w:endnote w:type="continuationSeparator" w:id="0">
    <w:p w14:paraId="6C19843C" w14:textId="77777777" w:rsidR="009713CE" w:rsidRDefault="0097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5114B">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5114B">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CO" w:eastAsia="es-CO"/>
      </w:rPr>
      <w:drawing>
        <wp:inline distT="0" distB="0" distL="0" distR="0" wp14:anchorId="608B196D" wp14:editId="40ED6A14">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1394" w14:textId="77777777" w:rsidR="009713CE" w:rsidRDefault="009713CE">
      <w:r>
        <w:separator/>
      </w:r>
    </w:p>
  </w:footnote>
  <w:footnote w:type="continuationSeparator" w:id="0">
    <w:p w14:paraId="37643264" w14:textId="77777777" w:rsidR="009713CE" w:rsidRDefault="009713CE">
      <w:r>
        <w:continuationSeparator/>
      </w:r>
    </w:p>
  </w:footnote>
  <w:footnote w:id="1">
    <w:p w14:paraId="1FCE141E" w14:textId="77777777" w:rsidR="005C12C8" w:rsidRPr="00175E61" w:rsidRDefault="005C12C8" w:rsidP="00700370">
      <w:pPr>
        <w:pStyle w:val="Textonotapie"/>
        <w:spacing w:before="0" w:after="0" w:line="240" w:lineRule="auto"/>
        <w:ind w:firstLine="708"/>
        <w:rPr>
          <w:rFonts w:ascii="Arial" w:eastAsia="Calibri" w:hAnsi="Arial" w:cs="Arial"/>
          <w:color w:val="000000" w:themeColor="text1"/>
          <w:sz w:val="18"/>
          <w:szCs w:val="18"/>
        </w:rPr>
      </w:pPr>
      <w:r w:rsidRPr="00175E61">
        <w:rPr>
          <w:rStyle w:val="Refdenotaalpie"/>
          <w:rFonts w:ascii="Arial" w:hAnsi="Arial" w:cs="Arial"/>
          <w:sz w:val="18"/>
          <w:szCs w:val="18"/>
        </w:rPr>
        <w:footnoteRef/>
      </w:r>
      <w:r w:rsidRPr="00175E61">
        <w:rPr>
          <w:rFonts w:ascii="Arial" w:hAnsi="Arial" w:cs="Arial"/>
          <w:sz w:val="18"/>
          <w:szCs w:val="18"/>
        </w:rPr>
        <w:t xml:space="preserve"> </w:t>
      </w:r>
      <w:r w:rsidRPr="00175E61">
        <w:rPr>
          <w:rFonts w:ascii="Arial" w:eastAsia="Calibri" w:hAnsi="Arial" w:cs="Arial"/>
          <w:color w:val="000000" w:themeColor="text1"/>
          <w:sz w:val="18"/>
          <w:szCs w:val="18"/>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3FE683DD" w14:textId="77777777" w:rsidR="005C12C8" w:rsidRPr="00175E61" w:rsidRDefault="005C12C8" w:rsidP="00700370">
      <w:pPr>
        <w:pStyle w:val="Textonotapie"/>
        <w:spacing w:before="0" w:after="0" w:line="240" w:lineRule="auto"/>
        <w:ind w:firstLine="708"/>
        <w:rPr>
          <w:rFonts w:ascii="Arial" w:eastAsia="Calibri" w:hAnsi="Arial" w:cs="Arial"/>
          <w:color w:val="000000" w:themeColor="text1"/>
          <w:sz w:val="18"/>
          <w:szCs w:val="18"/>
        </w:rPr>
      </w:pPr>
      <w:r w:rsidRPr="00175E61">
        <w:rPr>
          <w:rFonts w:ascii="Arial" w:eastAsia="Calibri" w:hAnsi="Arial" w:cs="Arial"/>
          <w:color w:val="000000" w:themeColor="text1"/>
          <w:sz w:val="18"/>
          <w:szCs w:val="18"/>
        </w:rPr>
        <w:t>[…]</w:t>
      </w:r>
    </w:p>
    <w:p w14:paraId="095D7B46" w14:textId="77777777" w:rsidR="005C12C8" w:rsidRPr="00175E61" w:rsidRDefault="005C12C8" w:rsidP="00700370">
      <w:pPr>
        <w:pStyle w:val="Textonotapie"/>
        <w:spacing w:before="0" w:after="0" w:line="240" w:lineRule="auto"/>
        <w:ind w:firstLine="708"/>
        <w:rPr>
          <w:rFonts w:ascii="Arial" w:hAnsi="Arial" w:cs="Arial"/>
          <w:color w:val="000000" w:themeColor="text1"/>
          <w:sz w:val="18"/>
          <w:szCs w:val="18"/>
          <w:lang w:val="es-CO"/>
        </w:rPr>
      </w:pPr>
      <w:r w:rsidRPr="00175E61">
        <w:rPr>
          <w:rFonts w:ascii="Arial" w:eastAsia="Calibri" w:hAnsi="Arial" w:cs="Arial"/>
          <w:color w:val="000000" w:themeColor="text1"/>
          <w:sz w:val="18"/>
          <w:szCs w:val="18"/>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175E61">
        <w:rPr>
          <w:rFonts w:ascii="Arial" w:hAnsi="Arial" w:cs="Arial"/>
          <w:color w:val="000000" w:themeColor="text1"/>
          <w:sz w:val="18"/>
          <w:szCs w:val="18"/>
          <w:lang w:val="es-CO"/>
        </w:rPr>
        <w:t xml:space="preserve"> </w:t>
      </w:r>
    </w:p>
    <w:p w14:paraId="2F23F25A" w14:textId="04F0EFFA" w:rsidR="005C12C8" w:rsidRPr="00175E61" w:rsidRDefault="005C12C8" w:rsidP="00700370">
      <w:pPr>
        <w:pStyle w:val="Textonotapie"/>
        <w:spacing w:before="0" w:after="0" w:line="240" w:lineRule="auto"/>
        <w:rPr>
          <w:rFonts w:ascii="Arial" w:hAnsi="Arial" w:cs="Arial"/>
          <w:sz w:val="18"/>
          <w:szCs w:val="18"/>
          <w:lang w:val="es-CO"/>
        </w:rPr>
      </w:pPr>
    </w:p>
  </w:footnote>
  <w:footnote w:id="2">
    <w:p w14:paraId="0D651972" w14:textId="0C1289D4" w:rsidR="005C12C8" w:rsidRPr="00175E61" w:rsidRDefault="005C12C8" w:rsidP="00700370">
      <w:pPr>
        <w:pStyle w:val="Textonotapie"/>
        <w:spacing w:before="0" w:after="0" w:line="240" w:lineRule="auto"/>
        <w:ind w:firstLine="708"/>
        <w:rPr>
          <w:rFonts w:ascii="Arial" w:hAnsi="Arial" w:cs="Arial"/>
          <w:sz w:val="18"/>
          <w:szCs w:val="18"/>
          <w:lang w:val="es-CO"/>
        </w:rPr>
      </w:pPr>
      <w:r w:rsidRPr="00175E61">
        <w:rPr>
          <w:rStyle w:val="Refdenotaalpie"/>
          <w:rFonts w:ascii="Arial" w:hAnsi="Arial" w:cs="Arial"/>
          <w:sz w:val="18"/>
          <w:szCs w:val="18"/>
        </w:rPr>
        <w:footnoteRef/>
      </w:r>
      <w:r w:rsidRPr="00175E61">
        <w:rPr>
          <w:rFonts w:ascii="Arial" w:hAnsi="Arial" w:cs="Arial"/>
          <w:sz w:val="18"/>
          <w:szCs w:val="18"/>
        </w:rPr>
        <w:t xml:space="preserve"> </w:t>
      </w:r>
      <w:r w:rsidRPr="00175E61">
        <w:rPr>
          <w:rFonts w:ascii="Arial" w:eastAsia="Calibri" w:hAnsi="Arial" w:cs="Arial"/>
          <w:color w:val="000000" w:themeColor="text1"/>
          <w:sz w:val="18"/>
          <w:szCs w:val="18"/>
        </w:rPr>
        <w:t>CONSEJO DE ESTADO. Sección Tercera. Sentencia del 26 de junio de 2003. Rad. 13.354. C.P: María Elena Giraldo Gómez.</w:t>
      </w:r>
    </w:p>
  </w:footnote>
  <w:footnote w:id="3">
    <w:p w14:paraId="087BF8CF" w14:textId="77777777" w:rsidR="00677097" w:rsidRPr="00983F3D" w:rsidRDefault="00677097" w:rsidP="00700370">
      <w:pPr>
        <w:ind w:right="49" w:firstLine="708"/>
        <w:jc w:val="both"/>
        <w:rPr>
          <w:rFonts w:ascii="Arial" w:hAnsi="Arial" w:cs="Arial"/>
          <w:color w:val="000000" w:themeColor="text1"/>
          <w:sz w:val="18"/>
          <w:szCs w:val="18"/>
        </w:rPr>
      </w:pPr>
      <w:r w:rsidRPr="00983F3D">
        <w:rPr>
          <w:rStyle w:val="Refdenotaalpie"/>
          <w:rFonts w:ascii="Arial" w:hAnsi="Arial" w:cs="Arial"/>
          <w:sz w:val="18"/>
          <w:szCs w:val="18"/>
        </w:rPr>
        <w:footnoteRef/>
      </w:r>
      <w:r w:rsidRPr="00983F3D">
        <w:rPr>
          <w:rFonts w:ascii="Arial" w:hAnsi="Arial" w:cs="Arial"/>
          <w:sz w:val="18"/>
          <w:szCs w:val="18"/>
        </w:rPr>
        <w:t xml:space="preserve"> </w:t>
      </w:r>
      <w:r w:rsidRPr="00983F3D">
        <w:rPr>
          <w:rFonts w:ascii="Arial" w:hAnsi="Arial" w:cs="Arial"/>
          <w:color w:val="000000" w:themeColor="text1"/>
          <w:sz w:val="18"/>
          <w:szCs w:val="18"/>
        </w:rPr>
        <w:t>Decreto 1082 de 2015. «Artículo 2.2.1.1.1.6.4. Capacidad Residual. El interesado en celebrar contratos de obra pública con Entidades Estatales debe acreditar su Capacidad Residual o K de Contratación con los siguientes</w:t>
      </w:r>
      <w:r w:rsidRPr="00983F3D">
        <w:rPr>
          <w:rFonts w:ascii="Arial" w:hAnsi="Arial" w:cs="Arial"/>
          <w:color w:val="000000" w:themeColor="text1"/>
          <w:spacing w:val="-3"/>
          <w:sz w:val="18"/>
          <w:szCs w:val="18"/>
        </w:rPr>
        <w:t xml:space="preserve"> </w:t>
      </w:r>
      <w:r w:rsidRPr="00983F3D">
        <w:rPr>
          <w:rFonts w:ascii="Arial" w:hAnsi="Arial" w:cs="Arial"/>
          <w:color w:val="000000" w:themeColor="text1"/>
          <w:sz w:val="18"/>
          <w:szCs w:val="18"/>
        </w:rPr>
        <w:t>documentos:</w:t>
      </w:r>
    </w:p>
    <w:p w14:paraId="1704E249" w14:textId="77777777" w:rsidR="00677097" w:rsidRPr="00983F3D" w:rsidRDefault="00677097" w:rsidP="00700370">
      <w:pPr>
        <w:ind w:right="49" w:firstLine="708"/>
        <w:jc w:val="both"/>
        <w:rPr>
          <w:rFonts w:ascii="Arial" w:hAnsi="Arial" w:cs="Arial"/>
          <w:color w:val="000000" w:themeColor="text1"/>
          <w:sz w:val="18"/>
          <w:szCs w:val="18"/>
        </w:rPr>
      </w:pPr>
      <w:r w:rsidRPr="00983F3D">
        <w:rPr>
          <w:rFonts w:ascii="Arial" w:hAnsi="Arial" w:cs="Arial"/>
          <w:color w:val="000000" w:themeColor="text1"/>
          <w:sz w:val="18"/>
          <w:szCs w:val="18"/>
        </w:rPr>
        <w:t>»1. La lista de los contratos de obras civiles en ejecución suscritos con Entidades Estatales y con entidades privadas, así como el valor y plazo de tales contratos, incluyendo contratos de concesión y los contratos de obra suscritos con</w:t>
      </w:r>
      <w:r w:rsidRPr="00983F3D">
        <w:rPr>
          <w:rFonts w:ascii="Arial" w:hAnsi="Arial" w:cs="Arial"/>
          <w:color w:val="000000" w:themeColor="text1"/>
          <w:spacing w:val="-4"/>
          <w:sz w:val="18"/>
          <w:szCs w:val="18"/>
        </w:rPr>
        <w:t xml:space="preserve"> </w:t>
      </w:r>
      <w:r w:rsidRPr="00983F3D">
        <w:rPr>
          <w:rFonts w:ascii="Arial" w:hAnsi="Arial" w:cs="Arial"/>
          <w:color w:val="000000" w:themeColor="text1"/>
          <w:sz w:val="18"/>
          <w:szCs w:val="18"/>
        </w:rPr>
        <w:t>concesionarios.</w:t>
      </w:r>
    </w:p>
    <w:p w14:paraId="3169D021" w14:textId="77777777" w:rsidR="00677097" w:rsidRPr="00983F3D" w:rsidRDefault="00677097" w:rsidP="00700370">
      <w:pPr>
        <w:ind w:right="49" w:firstLine="708"/>
        <w:jc w:val="both"/>
        <w:rPr>
          <w:rFonts w:ascii="Arial" w:hAnsi="Arial" w:cs="Arial"/>
          <w:color w:val="000000" w:themeColor="text1"/>
          <w:sz w:val="18"/>
          <w:szCs w:val="18"/>
        </w:rPr>
      </w:pPr>
      <w:r w:rsidRPr="00983F3D">
        <w:rPr>
          <w:rFonts w:ascii="Arial" w:hAnsi="Arial" w:cs="Arial"/>
          <w:color w:val="000000" w:themeColor="text1"/>
          <w:sz w:val="18"/>
          <w:szCs w:val="18"/>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43625203" w14:textId="77777777" w:rsidR="00677097" w:rsidRPr="00983F3D" w:rsidRDefault="00677097" w:rsidP="00700370">
      <w:pPr>
        <w:ind w:right="49" w:firstLine="708"/>
        <w:jc w:val="both"/>
        <w:rPr>
          <w:rFonts w:ascii="Arial" w:hAnsi="Arial" w:cs="Arial"/>
          <w:color w:val="000000" w:themeColor="text1"/>
          <w:sz w:val="18"/>
          <w:szCs w:val="18"/>
        </w:rPr>
      </w:pPr>
      <w:r w:rsidRPr="00983F3D">
        <w:rPr>
          <w:rFonts w:ascii="Arial" w:hAnsi="Arial" w:cs="Arial"/>
          <w:color w:val="000000" w:themeColor="text1"/>
          <w:sz w:val="18"/>
          <w:szCs w:val="18"/>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6095A8BB" w14:textId="2DF116A1" w:rsidR="00677097" w:rsidRPr="00983F3D" w:rsidRDefault="00677097" w:rsidP="00700370">
      <w:pPr>
        <w:pStyle w:val="Textonotapie"/>
        <w:spacing w:before="0" w:after="0" w:line="240" w:lineRule="auto"/>
        <w:ind w:left="567" w:right="786"/>
        <w:rPr>
          <w:rFonts w:ascii="Arial" w:hAnsi="Arial" w:cs="Arial"/>
          <w:sz w:val="18"/>
          <w:szCs w:val="18"/>
          <w:lang w:val="es-CO"/>
        </w:rPr>
      </w:pPr>
    </w:p>
  </w:footnote>
  <w:footnote w:id="4">
    <w:p w14:paraId="384B6184" w14:textId="50530AF4" w:rsidR="00420A6C" w:rsidRPr="00983F3D" w:rsidRDefault="00420A6C" w:rsidP="00983F3D">
      <w:pPr>
        <w:pStyle w:val="Textonotapie"/>
        <w:spacing w:before="0" w:after="0" w:line="240" w:lineRule="auto"/>
        <w:ind w:firstLine="708"/>
        <w:rPr>
          <w:rFonts w:ascii="Arial" w:hAnsi="Arial" w:cs="Arial"/>
          <w:sz w:val="18"/>
          <w:szCs w:val="18"/>
        </w:rPr>
      </w:pPr>
      <w:r w:rsidRPr="00983F3D">
        <w:rPr>
          <w:rStyle w:val="Refdenotaalpie"/>
          <w:rFonts w:ascii="Arial" w:hAnsi="Arial" w:cs="Arial"/>
          <w:sz w:val="18"/>
          <w:szCs w:val="18"/>
        </w:rPr>
        <w:footnoteRef/>
      </w:r>
      <w:r w:rsidRPr="00983F3D">
        <w:rPr>
          <w:rFonts w:ascii="Arial" w:hAnsi="Arial" w:cs="Arial"/>
          <w:sz w:val="18"/>
          <w:szCs w:val="18"/>
        </w:rPr>
        <w:t xml:space="preserve"> Agencia Nacional de Contratación Pública Colombia Compra Eficiente. Guía para Determinar y Verificar la Capacidad Residual del Proponente en los Procesos de Contratación de Obra Pública. Disponible en: </w:t>
      </w:r>
      <w:hyperlink r:id="rId1" w:history="1">
        <w:r w:rsidRPr="00983F3D">
          <w:rPr>
            <w:rStyle w:val="Hipervnculo"/>
            <w:rFonts w:ascii="Arial" w:hAnsi="Arial" w:cs="Arial"/>
            <w:color w:val="000099"/>
            <w:sz w:val="18"/>
            <w:szCs w:val="18"/>
          </w:rPr>
          <w:t>https://www.colombiacompra.gov.co/sites/cce_public/files/cce_documents/cce_guia_capacidad_residual.pdf</w:t>
        </w:r>
      </w:hyperlink>
    </w:p>
  </w:footnote>
  <w:footnote w:id="5">
    <w:p w14:paraId="79B00958" w14:textId="77777777" w:rsidR="00860F20" w:rsidRDefault="00860F20" w:rsidP="00860F20">
      <w:pPr>
        <w:pStyle w:val="Textonotapie"/>
        <w:spacing w:before="0" w:after="0" w:line="240" w:lineRule="auto"/>
        <w:ind w:firstLine="708"/>
        <w:rPr>
          <w:rFonts w:ascii="Arial" w:hAnsi="Arial" w:cs="Arial"/>
          <w:sz w:val="18"/>
          <w:szCs w:val="18"/>
        </w:rPr>
      </w:pPr>
    </w:p>
    <w:p w14:paraId="7A5B46BF" w14:textId="7DB0D9CF" w:rsidR="00420A6C" w:rsidRPr="00983F3D" w:rsidRDefault="00420A6C" w:rsidP="00983F3D">
      <w:pPr>
        <w:pStyle w:val="Textonotapie"/>
        <w:spacing w:before="0" w:after="0" w:line="240" w:lineRule="auto"/>
        <w:ind w:firstLine="708"/>
        <w:rPr>
          <w:rFonts w:ascii="Arial" w:hAnsi="Arial" w:cs="Arial"/>
          <w:sz w:val="18"/>
          <w:szCs w:val="18"/>
          <w:lang w:val="es-CO"/>
        </w:rPr>
      </w:pPr>
      <w:r w:rsidRPr="00983F3D">
        <w:rPr>
          <w:rStyle w:val="Refdenotaalpie"/>
          <w:rFonts w:ascii="Arial" w:hAnsi="Arial" w:cs="Arial"/>
          <w:sz w:val="18"/>
          <w:szCs w:val="18"/>
        </w:rPr>
        <w:footnoteRef/>
      </w:r>
      <w:r w:rsidRPr="00983F3D">
        <w:rPr>
          <w:rFonts w:ascii="Arial" w:hAnsi="Arial" w:cs="Arial"/>
          <w:sz w:val="18"/>
          <w:szCs w:val="18"/>
        </w:rPr>
        <w:t xml:space="preserve"> </w:t>
      </w:r>
      <w:r w:rsidRPr="00F14985">
        <w:rPr>
          <w:rFonts w:ascii="Arial" w:hAnsi="Arial" w:cs="Arial"/>
          <w:i/>
          <w:iCs/>
          <w:sz w:val="18"/>
          <w:szCs w:val="18"/>
        </w:rPr>
        <w:t>Ibidem</w:t>
      </w:r>
      <w:r w:rsidR="00052889">
        <w:rPr>
          <w:rFonts w:ascii="Arial" w:hAnsi="Arial" w:cs="Arial"/>
          <w:i/>
          <w:iCs/>
          <w:sz w:val="18"/>
          <w:szCs w:val="18"/>
        </w:rPr>
        <w:t>.</w:t>
      </w:r>
    </w:p>
  </w:footnote>
  <w:footnote w:id="6">
    <w:p w14:paraId="4F219777" w14:textId="16353154" w:rsidR="00F11566" w:rsidRPr="008251E1" w:rsidRDefault="00F11566" w:rsidP="00F11566">
      <w:pPr>
        <w:pStyle w:val="Textonotapie"/>
        <w:ind w:firstLine="708"/>
        <w:rPr>
          <w:rFonts w:ascii="Arial" w:hAnsi="Arial" w:cs="Arial"/>
          <w:sz w:val="19"/>
          <w:szCs w:val="19"/>
          <w:lang w:val="es-CO"/>
        </w:rPr>
      </w:pPr>
      <w:r w:rsidRPr="008251E1">
        <w:rPr>
          <w:rStyle w:val="Refdenotaalpie"/>
          <w:rFonts w:ascii="Arial" w:hAnsi="Arial" w:cs="Arial"/>
          <w:sz w:val="19"/>
          <w:szCs w:val="19"/>
        </w:rPr>
        <w:footnoteRef/>
      </w:r>
      <w:r w:rsidRPr="008251E1">
        <w:rPr>
          <w:rFonts w:ascii="Arial" w:hAnsi="Arial" w:cs="Arial"/>
          <w:sz w:val="19"/>
          <w:szCs w:val="19"/>
        </w:rPr>
        <w:t xml:space="preserve"> CONSEJO DE ESTADO</w:t>
      </w:r>
      <w:r>
        <w:rPr>
          <w:rFonts w:ascii="Arial" w:hAnsi="Arial" w:cs="Arial"/>
          <w:sz w:val="19"/>
          <w:szCs w:val="19"/>
        </w:rPr>
        <w:t>.</w:t>
      </w:r>
      <w:r w:rsidRPr="008251E1">
        <w:rPr>
          <w:rFonts w:ascii="Arial" w:hAnsi="Arial" w:cs="Arial"/>
          <w:sz w:val="19"/>
          <w:szCs w:val="19"/>
        </w:rPr>
        <w:t xml:space="preserve"> Sección Tercera. </w:t>
      </w:r>
      <w:r>
        <w:rPr>
          <w:rFonts w:ascii="Arial" w:hAnsi="Arial" w:cs="Arial"/>
          <w:sz w:val="19"/>
          <w:szCs w:val="19"/>
        </w:rPr>
        <w:t>Sentencia del</w:t>
      </w:r>
      <w:r w:rsidRPr="008251E1">
        <w:rPr>
          <w:rFonts w:ascii="Arial" w:hAnsi="Arial" w:cs="Arial"/>
          <w:sz w:val="19"/>
          <w:szCs w:val="19"/>
        </w:rPr>
        <w:t xml:space="preserve"> 1</w:t>
      </w:r>
      <w:r>
        <w:rPr>
          <w:rFonts w:ascii="Arial" w:hAnsi="Arial" w:cs="Arial"/>
          <w:sz w:val="19"/>
          <w:szCs w:val="19"/>
        </w:rPr>
        <w:t xml:space="preserve">8 de noviembre de </w:t>
      </w:r>
      <w:r w:rsidRPr="008251E1">
        <w:rPr>
          <w:rFonts w:ascii="Arial" w:hAnsi="Arial" w:cs="Arial"/>
          <w:sz w:val="19"/>
          <w:szCs w:val="19"/>
        </w:rPr>
        <w:t>20</w:t>
      </w:r>
      <w:r>
        <w:rPr>
          <w:rFonts w:ascii="Arial" w:hAnsi="Arial" w:cs="Arial"/>
          <w:sz w:val="19"/>
          <w:szCs w:val="19"/>
        </w:rPr>
        <w:t>21</w:t>
      </w:r>
      <w:r w:rsidRPr="008251E1">
        <w:rPr>
          <w:rFonts w:ascii="Arial" w:hAnsi="Arial" w:cs="Arial"/>
          <w:sz w:val="19"/>
          <w:szCs w:val="19"/>
        </w:rPr>
        <w:t xml:space="preserve">. </w:t>
      </w:r>
      <w:r>
        <w:rPr>
          <w:rFonts w:ascii="Arial" w:hAnsi="Arial" w:cs="Arial"/>
          <w:sz w:val="19"/>
          <w:szCs w:val="19"/>
        </w:rPr>
        <w:t>Exp. No.</w:t>
      </w:r>
      <w:r w:rsidR="00716AD3">
        <w:rPr>
          <w:rFonts w:ascii="Arial" w:hAnsi="Arial" w:cs="Arial"/>
          <w:sz w:val="19"/>
          <w:szCs w:val="19"/>
        </w:rPr>
        <w:t xml:space="preserve"> </w:t>
      </w:r>
      <w:r w:rsidRPr="008251E1">
        <w:rPr>
          <w:rFonts w:ascii="Arial" w:hAnsi="Arial" w:cs="Arial"/>
          <w:sz w:val="19"/>
          <w:szCs w:val="19"/>
        </w:rPr>
        <w:t>61</w:t>
      </w:r>
      <w:r w:rsidR="007637C0">
        <w:rPr>
          <w:rFonts w:ascii="Arial" w:hAnsi="Arial" w:cs="Arial"/>
          <w:sz w:val="19"/>
          <w:szCs w:val="19"/>
        </w:rPr>
        <w:t>.</w:t>
      </w:r>
      <w:r w:rsidRPr="008251E1">
        <w:rPr>
          <w:rFonts w:ascii="Arial" w:hAnsi="Arial" w:cs="Arial"/>
          <w:sz w:val="19"/>
          <w:szCs w:val="19"/>
        </w:rPr>
        <w:t xml:space="preserve">641. C.P. </w:t>
      </w:r>
      <w:r>
        <w:rPr>
          <w:rFonts w:ascii="Arial" w:hAnsi="Arial" w:cs="Arial"/>
          <w:sz w:val="19"/>
          <w:szCs w:val="19"/>
        </w:rPr>
        <w:t>Alberto Montaña Plata.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1CED79AB"/>
    <w:multiLevelType w:val="hybridMultilevel"/>
    <w:tmpl w:val="A9AE1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3B7C4233"/>
    <w:multiLevelType w:val="hybridMultilevel"/>
    <w:tmpl w:val="6CDA6FB8"/>
    <w:lvl w:ilvl="0" w:tplc="893674DA">
      <w:start w:val="2"/>
      <w:numFmt w:val="upperRoman"/>
      <w:lvlText w:val="%1."/>
      <w:lvlJc w:val="right"/>
      <w:pPr>
        <w:ind w:left="1067" w:hanging="360"/>
      </w:pPr>
      <w:rPr>
        <w:rFonts w:hint="default"/>
        <w:color w:val="262626" w:themeColor="text1" w:themeTint="D9"/>
        <w:sz w:val="21"/>
        <w:szCs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0090DB1"/>
    <w:multiLevelType w:val="hybridMultilevel"/>
    <w:tmpl w:val="078E2E72"/>
    <w:lvl w:ilvl="0" w:tplc="30687C90">
      <w:start w:val="1"/>
      <w:numFmt w:val="lowerRoman"/>
      <w:lvlText w:val="%1)"/>
      <w:lvlJc w:val="left"/>
      <w:pPr>
        <w:ind w:left="1427" w:hanging="720"/>
      </w:pPr>
    </w:lvl>
    <w:lvl w:ilvl="1" w:tplc="080A0019">
      <w:start w:val="1"/>
      <w:numFmt w:val="lowerLetter"/>
      <w:lvlText w:val="%2."/>
      <w:lvlJc w:val="left"/>
      <w:pPr>
        <w:ind w:left="1787" w:hanging="360"/>
      </w:pPr>
    </w:lvl>
    <w:lvl w:ilvl="2" w:tplc="080A001B">
      <w:start w:val="1"/>
      <w:numFmt w:val="lowerRoman"/>
      <w:lvlText w:val="%3."/>
      <w:lvlJc w:val="right"/>
      <w:pPr>
        <w:ind w:left="2507" w:hanging="180"/>
      </w:pPr>
    </w:lvl>
    <w:lvl w:ilvl="3" w:tplc="080A000F">
      <w:start w:val="1"/>
      <w:numFmt w:val="decimal"/>
      <w:lvlText w:val="%4."/>
      <w:lvlJc w:val="left"/>
      <w:pPr>
        <w:ind w:left="3227" w:hanging="360"/>
      </w:pPr>
    </w:lvl>
    <w:lvl w:ilvl="4" w:tplc="080A0019">
      <w:start w:val="1"/>
      <w:numFmt w:val="lowerLetter"/>
      <w:lvlText w:val="%5."/>
      <w:lvlJc w:val="left"/>
      <w:pPr>
        <w:ind w:left="3947" w:hanging="360"/>
      </w:pPr>
    </w:lvl>
    <w:lvl w:ilvl="5" w:tplc="080A001B">
      <w:start w:val="1"/>
      <w:numFmt w:val="lowerRoman"/>
      <w:lvlText w:val="%6."/>
      <w:lvlJc w:val="right"/>
      <w:pPr>
        <w:ind w:left="4667" w:hanging="180"/>
      </w:pPr>
    </w:lvl>
    <w:lvl w:ilvl="6" w:tplc="080A000F">
      <w:start w:val="1"/>
      <w:numFmt w:val="decimal"/>
      <w:lvlText w:val="%7."/>
      <w:lvlJc w:val="left"/>
      <w:pPr>
        <w:ind w:left="5387" w:hanging="360"/>
      </w:pPr>
    </w:lvl>
    <w:lvl w:ilvl="7" w:tplc="080A0019">
      <w:start w:val="1"/>
      <w:numFmt w:val="lowerLetter"/>
      <w:lvlText w:val="%8."/>
      <w:lvlJc w:val="left"/>
      <w:pPr>
        <w:ind w:left="6107" w:hanging="360"/>
      </w:pPr>
    </w:lvl>
    <w:lvl w:ilvl="8" w:tplc="080A001B">
      <w:start w:val="1"/>
      <w:numFmt w:val="lowerRoman"/>
      <w:lvlText w:val="%9."/>
      <w:lvlJc w:val="right"/>
      <w:pPr>
        <w:ind w:left="6827" w:hanging="180"/>
      </w:pPr>
    </w:lvl>
  </w:abstractNum>
  <w:abstractNum w:abstractNumId="21"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23"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7"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40148911">
    <w:abstractNumId w:val="11"/>
  </w:num>
  <w:num w:numId="2" w16cid:durableId="979115513">
    <w:abstractNumId w:val="9"/>
  </w:num>
  <w:num w:numId="3" w16cid:durableId="999697684">
    <w:abstractNumId w:val="17"/>
  </w:num>
  <w:num w:numId="4" w16cid:durableId="1831479178">
    <w:abstractNumId w:val="18"/>
  </w:num>
  <w:num w:numId="5" w16cid:durableId="1001855140">
    <w:abstractNumId w:val="24"/>
  </w:num>
  <w:num w:numId="6" w16cid:durableId="40704635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010655">
    <w:abstractNumId w:val="19"/>
  </w:num>
  <w:num w:numId="8" w16cid:durableId="343016113">
    <w:abstractNumId w:val="6"/>
  </w:num>
  <w:num w:numId="9" w16cid:durableId="2078085845">
    <w:abstractNumId w:val="1"/>
  </w:num>
  <w:num w:numId="10" w16cid:durableId="1714039080">
    <w:abstractNumId w:val="7"/>
  </w:num>
  <w:num w:numId="11" w16cid:durableId="1240674057">
    <w:abstractNumId w:val="2"/>
  </w:num>
  <w:num w:numId="12" w16cid:durableId="2035571429">
    <w:abstractNumId w:val="10"/>
  </w:num>
  <w:num w:numId="13" w16cid:durableId="613900326">
    <w:abstractNumId w:val="3"/>
  </w:num>
  <w:num w:numId="14" w16cid:durableId="1631740014">
    <w:abstractNumId w:val="21"/>
  </w:num>
  <w:num w:numId="15" w16cid:durableId="1827361570">
    <w:abstractNumId w:val="16"/>
  </w:num>
  <w:num w:numId="16" w16cid:durableId="659700248">
    <w:abstractNumId w:val="13"/>
  </w:num>
  <w:num w:numId="17" w16cid:durableId="874191613">
    <w:abstractNumId w:val="26"/>
  </w:num>
  <w:num w:numId="18" w16cid:durableId="1730037815">
    <w:abstractNumId w:val="5"/>
  </w:num>
  <w:num w:numId="19" w16cid:durableId="311059510">
    <w:abstractNumId w:val="12"/>
  </w:num>
  <w:num w:numId="20" w16cid:durableId="970476139">
    <w:abstractNumId w:val="15"/>
  </w:num>
  <w:num w:numId="21" w16cid:durableId="1801261757">
    <w:abstractNumId w:val="23"/>
  </w:num>
  <w:num w:numId="22" w16cid:durableId="1180317004">
    <w:abstractNumId w:val="8"/>
  </w:num>
  <w:num w:numId="23" w16cid:durableId="1246764326">
    <w:abstractNumId w:val="27"/>
  </w:num>
  <w:num w:numId="24" w16cid:durableId="1324702975">
    <w:abstractNumId w:val="25"/>
  </w:num>
  <w:num w:numId="25" w16cid:durableId="1193610172">
    <w:abstractNumId w:val="22"/>
  </w:num>
  <w:num w:numId="26" w16cid:durableId="5176247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1983273">
    <w:abstractNumId w:val="4"/>
  </w:num>
  <w:num w:numId="28" w16cid:durableId="6336338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0B16"/>
    <w:rsid w:val="0000126D"/>
    <w:rsid w:val="0000147C"/>
    <w:rsid w:val="000019A6"/>
    <w:rsid w:val="00001A1D"/>
    <w:rsid w:val="000025E0"/>
    <w:rsid w:val="000034EE"/>
    <w:rsid w:val="00003617"/>
    <w:rsid w:val="000070A8"/>
    <w:rsid w:val="0001231C"/>
    <w:rsid w:val="000135A1"/>
    <w:rsid w:val="00013F7C"/>
    <w:rsid w:val="00015BF3"/>
    <w:rsid w:val="00015E80"/>
    <w:rsid w:val="00015F78"/>
    <w:rsid w:val="000169A0"/>
    <w:rsid w:val="00016D26"/>
    <w:rsid w:val="00016D2E"/>
    <w:rsid w:val="00017245"/>
    <w:rsid w:val="00017253"/>
    <w:rsid w:val="00017C1D"/>
    <w:rsid w:val="000205F1"/>
    <w:rsid w:val="000210DF"/>
    <w:rsid w:val="000217A2"/>
    <w:rsid w:val="0002264C"/>
    <w:rsid w:val="0002271C"/>
    <w:rsid w:val="000229A9"/>
    <w:rsid w:val="00023CD9"/>
    <w:rsid w:val="00024653"/>
    <w:rsid w:val="000268E2"/>
    <w:rsid w:val="0002739B"/>
    <w:rsid w:val="000300C6"/>
    <w:rsid w:val="00030271"/>
    <w:rsid w:val="00032989"/>
    <w:rsid w:val="00032A51"/>
    <w:rsid w:val="00033802"/>
    <w:rsid w:val="00033C14"/>
    <w:rsid w:val="00033D8C"/>
    <w:rsid w:val="00034398"/>
    <w:rsid w:val="00034663"/>
    <w:rsid w:val="000352A2"/>
    <w:rsid w:val="000360E0"/>
    <w:rsid w:val="00040044"/>
    <w:rsid w:val="000414BE"/>
    <w:rsid w:val="00041517"/>
    <w:rsid w:val="00042FD0"/>
    <w:rsid w:val="000432DF"/>
    <w:rsid w:val="00044D8C"/>
    <w:rsid w:val="00050C64"/>
    <w:rsid w:val="0005181E"/>
    <w:rsid w:val="000520BA"/>
    <w:rsid w:val="00052889"/>
    <w:rsid w:val="00053136"/>
    <w:rsid w:val="000540E1"/>
    <w:rsid w:val="00054817"/>
    <w:rsid w:val="00056B2F"/>
    <w:rsid w:val="000641A8"/>
    <w:rsid w:val="0006467C"/>
    <w:rsid w:val="0006474E"/>
    <w:rsid w:val="00065205"/>
    <w:rsid w:val="00066517"/>
    <w:rsid w:val="00071132"/>
    <w:rsid w:val="00071351"/>
    <w:rsid w:val="000716B2"/>
    <w:rsid w:val="0007405A"/>
    <w:rsid w:val="00074BEE"/>
    <w:rsid w:val="00074D1E"/>
    <w:rsid w:val="00075C19"/>
    <w:rsid w:val="00075D07"/>
    <w:rsid w:val="00076B31"/>
    <w:rsid w:val="000770DB"/>
    <w:rsid w:val="00080542"/>
    <w:rsid w:val="0008228E"/>
    <w:rsid w:val="000822A6"/>
    <w:rsid w:val="0008274C"/>
    <w:rsid w:val="00082CE0"/>
    <w:rsid w:val="00084B97"/>
    <w:rsid w:val="00086501"/>
    <w:rsid w:val="00086638"/>
    <w:rsid w:val="00086D8D"/>
    <w:rsid w:val="000877B5"/>
    <w:rsid w:val="000902BC"/>
    <w:rsid w:val="00091AC6"/>
    <w:rsid w:val="00092617"/>
    <w:rsid w:val="00092B6A"/>
    <w:rsid w:val="000942EB"/>
    <w:rsid w:val="000943FC"/>
    <w:rsid w:val="00095B25"/>
    <w:rsid w:val="00096C01"/>
    <w:rsid w:val="0009763D"/>
    <w:rsid w:val="000A1B61"/>
    <w:rsid w:val="000A4DD7"/>
    <w:rsid w:val="000A5915"/>
    <w:rsid w:val="000B076C"/>
    <w:rsid w:val="000B0E61"/>
    <w:rsid w:val="000B103F"/>
    <w:rsid w:val="000B14BA"/>
    <w:rsid w:val="000B2D9A"/>
    <w:rsid w:val="000B4246"/>
    <w:rsid w:val="000B5C13"/>
    <w:rsid w:val="000C00A2"/>
    <w:rsid w:val="000C0769"/>
    <w:rsid w:val="000C1515"/>
    <w:rsid w:val="000C1CBB"/>
    <w:rsid w:val="000C3232"/>
    <w:rsid w:val="000C394F"/>
    <w:rsid w:val="000C3F9B"/>
    <w:rsid w:val="000C47E0"/>
    <w:rsid w:val="000C4E3E"/>
    <w:rsid w:val="000C5512"/>
    <w:rsid w:val="000C5D99"/>
    <w:rsid w:val="000D1837"/>
    <w:rsid w:val="000D186A"/>
    <w:rsid w:val="000D25BC"/>
    <w:rsid w:val="000D5214"/>
    <w:rsid w:val="000D7953"/>
    <w:rsid w:val="000D7A0F"/>
    <w:rsid w:val="000E0DED"/>
    <w:rsid w:val="000E2239"/>
    <w:rsid w:val="000E3909"/>
    <w:rsid w:val="000E561B"/>
    <w:rsid w:val="000E6563"/>
    <w:rsid w:val="000E739D"/>
    <w:rsid w:val="000F091C"/>
    <w:rsid w:val="000F14E8"/>
    <w:rsid w:val="000F2AA2"/>
    <w:rsid w:val="000F2EE1"/>
    <w:rsid w:val="000F4695"/>
    <w:rsid w:val="000F7FC3"/>
    <w:rsid w:val="00100D69"/>
    <w:rsid w:val="00101018"/>
    <w:rsid w:val="00103915"/>
    <w:rsid w:val="001041A9"/>
    <w:rsid w:val="00105AAA"/>
    <w:rsid w:val="001072DB"/>
    <w:rsid w:val="001078AA"/>
    <w:rsid w:val="00110CE1"/>
    <w:rsid w:val="001112FD"/>
    <w:rsid w:val="0011178C"/>
    <w:rsid w:val="00111CDF"/>
    <w:rsid w:val="001124EB"/>
    <w:rsid w:val="00113157"/>
    <w:rsid w:val="001139C1"/>
    <w:rsid w:val="00114327"/>
    <w:rsid w:val="00114900"/>
    <w:rsid w:val="00114EE9"/>
    <w:rsid w:val="0011520A"/>
    <w:rsid w:val="00115328"/>
    <w:rsid w:val="001155B8"/>
    <w:rsid w:val="00116C84"/>
    <w:rsid w:val="0011766B"/>
    <w:rsid w:val="00120D67"/>
    <w:rsid w:val="001214BC"/>
    <w:rsid w:val="00122B23"/>
    <w:rsid w:val="00122B9A"/>
    <w:rsid w:val="00123BE2"/>
    <w:rsid w:val="0012416B"/>
    <w:rsid w:val="00124A82"/>
    <w:rsid w:val="001300F3"/>
    <w:rsid w:val="00130457"/>
    <w:rsid w:val="001336B2"/>
    <w:rsid w:val="00133F8F"/>
    <w:rsid w:val="00134D65"/>
    <w:rsid w:val="0013770F"/>
    <w:rsid w:val="001377EC"/>
    <w:rsid w:val="00137E66"/>
    <w:rsid w:val="00137FFA"/>
    <w:rsid w:val="0014071F"/>
    <w:rsid w:val="001419D7"/>
    <w:rsid w:val="00141B41"/>
    <w:rsid w:val="00141CCA"/>
    <w:rsid w:val="00141E25"/>
    <w:rsid w:val="0014214B"/>
    <w:rsid w:val="00142560"/>
    <w:rsid w:val="001429C2"/>
    <w:rsid w:val="00143D03"/>
    <w:rsid w:val="00144D68"/>
    <w:rsid w:val="00150CB3"/>
    <w:rsid w:val="00151129"/>
    <w:rsid w:val="00151936"/>
    <w:rsid w:val="00151D08"/>
    <w:rsid w:val="00152FDA"/>
    <w:rsid w:val="00154785"/>
    <w:rsid w:val="00155B3D"/>
    <w:rsid w:val="00155C13"/>
    <w:rsid w:val="00156216"/>
    <w:rsid w:val="0015738F"/>
    <w:rsid w:val="00160CB0"/>
    <w:rsid w:val="00161A37"/>
    <w:rsid w:val="001643A4"/>
    <w:rsid w:val="00165347"/>
    <w:rsid w:val="00165995"/>
    <w:rsid w:val="00171685"/>
    <w:rsid w:val="00172F4D"/>
    <w:rsid w:val="0017335A"/>
    <w:rsid w:val="00173B85"/>
    <w:rsid w:val="00173DE5"/>
    <w:rsid w:val="00175E61"/>
    <w:rsid w:val="00176A9A"/>
    <w:rsid w:val="00180188"/>
    <w:rsid w:val="001824DD"/>
    <w:rsid w:val="001827CB"/>
    <w:rsid w:val="00182A86"/>
    <w:rsid w:val="00182EEE"/>
    <w:rsid w:val="0018335C"/>
    <w:rsid w:val="00185A59"/>
    <w:rsid w:val="0018635C"/>
    <w:rsid w:val="00190961"/>
    <w:rsid w:val="00191C4D"/>
    <w:rsid w:val="00192CDC"/>
    <w:rsid w:val="00192CE0"/>
    <w:rsid w:val="001961C8"/>
    <w:rsid w:val="00197BB3"/>
    <w:rsid w:val="001A0A19"/>
    <w:rsid w:val="001A0E7A"/>
    <w:rsid w:val="001A1753"/>
    <w:rsid w:val="001A1FB1"/>
    <w:rsid w:val="001A217F"/>
    <w:rsid w:val="001A2EBE"/>
    <w:rsid w:val="001A40A1"/>
    <w:rsid w:val="001A4E88"/>
    <w:rsid w:val="001A78DE"/>
    <w:rsid w:val="001A7FD7"/>
    <w:rsid w:val="001B0444"/>
    <w:rsid w:val="001B0BE3"/>
    <w:rsid w:val="001B2F08"/>
    <w:rsid w:val="001B39FA"/>
    <w:rsid w:val="001B5217"/>
    <w:rsid w:val="001B5D90"/>
    <w:rsid w:val="001B6E10"/>
    <w:rsid w:val="001B789E"/>
    <w:rsid w:val="001C01AF"/>
    <w:rsid w:val="001C24BF"/>
    <w:rsid w:val="001C2D94"/>
    <w:rsid w:val="001C2ED7"/>
    <w:rsid w:val="001C47C8"/>
    <w:rsid w:val="001C5143"/>
    <w:rsid w:val="001C6F95"/>
    <w:rsid w:val="001C763E"/>
    <w:rsid w:val="001D0C03"/>
    <w:rsid w:val="001D1560"/>
    <w:rsid w:val="001D17C2"/>
    <w:rsid w:val="001D2F93"/>
    <w:rsid w:val="001D2FC9"/>
    <w:rsid w:val="001D30D8"/>
    <w:rsid w:val="001D3178"/>
    <w:rsid w:val="001D33DD"/>
    <w:rsid w:val="001D3585"/>
    <w:rsid w:val="001D4EA4"/>
    <w:rsid w:val="001D5434"/>
    <w:rsid w:val="001D567B"/>
    <w:rsid w:val="001D612F"/>
    <w:rsid w:val="001D745B"/>
    <w:rsid w:val="001E01F9"/>
    <w:rsid w:val="001E074F"/>
    <w:rsid w:val="001E1959"/>
    <w:rsid w:val="001E1EEE"/>
    <w:rsid w:val="001E2866"/>
    <w:rsid w:val="001E2A7A"/>
    <w:rsid w:val="001E4B0D"/>
    <w:rsid w:val="001E5E5F"/>
    <w:rsid w:val="001E6C8C"/>
    <w:rsid w:val="001E7D79"/>
    <w:rsid w:val="001F4619"/>
    <w:rsid w:val="001F4D43"/>
    <w:rsid w:val="001F4F5C"/>
    <w:rsid w:val="001F5388"/>
    <w:rsid w:val="001F5745"/>
    <w:rsid w:val="001F6290"/>
    <w:rsid w:val="001F6378"/>
    <w:rsid w:val="001F7341"/>
    <w:rsid w:val="001F774C"/>
    <w:rsid w:val="0020001F"/>
    <w:rsid w:val="0020059F"/>
    <w:rsid w:val="00200651"/>
    <w:rsid w:val="00200E03"/>
    <w:rsid w:val="002025CC"/>
    <w:rsid w:val="0020324E"/>
    <w:rsid w:val="00203979"/>
    <w:rsid w:val="00203E16"/>
    <w:rsid w:val="00204675"/>
    <w:rsid w:val="00205185"/>
    <w:rsid w:val="00205753"/>
    <w:rsid w:val="00205CAE"/>
    <w:rsid w:val="0020632A"/>
    <w:rsid w:val="002075B6"/>
    <w:rsid w:val="002076CC"/>
    <w:rsid w:val="00210A2D"/>
    <w:rsid w:val="00210DF2"/>
    <w:rsid w:val="002110EB"/>
    <w:rsid w:val="00211338"/>
    <w:rsid w:val="00212401"/>
    <w:rsid w:val="00213541"/>
    <w:rsid w:val="0021518A"/>
    <w:rsid w:val="00215618"/>
    <w:rsid w:val="00215B97"/>
    <w:rsid w:val="00216AEE"/>
    <w:rsid w:val="00216E64"/>
    <w:rsid w:val="002177D9"/>
    <w:rsid w:val="00217988"/>
    <w:rsid w:val="00217C7F"/>
    <w:rsid w:val="00220120"/>
    <w:rsid w:val="002203DA"/>
    <w:rsid w:val="00220E20"/>
    <w:rsid w:val="0022167B"/>
    <w:rsid w:val="002232F5"/>
    <w:rsid w:val="002246A7"/>
    <w:rsid w:val="002249BC"/>
    <w:rsid w:val="002255EF"/>
    <w:rsid w:val="002270C0"/>
    <w:rsid w:val="002309D1"/>
    <w:rsid w:val="00230F89"/>
    <w:rsid w:val="00233909"/>
    <w:rsid w:val="002339D3"/>
    <w:rsid w:val="00234113"/>
    <w:rsid w:val="00234B84"/>
    <w:rsid w:val="00234C1A"/>
    <w:rsid w:val="002364D4"/>
    <w:rsid w:val="0023691B"/>
    <w:rsid w:val="002379B1"/>
    <w:rsid w:val="002409B6"/>
    <w:rsid w:val="002439AD"/>
    <w:rsid w:val="00243EE8"/>
    <w:rsid w:val="0024424D"/>
    <w:rsid w:val="002456B1"/>
    <w:rsid w:val="002456DB"/>
    <w:rsid w:val="00246944"/>
    <w:rsid w:val="00247C35"/>
    <w:rsid w:val="0025069C"/>
    <w:rsid w:val="0025151A"/>
    <w:rsid w:val="002534F1"/>
    <w:rsid w:val="002538B5"/>
    <w:rsid w:val="00254711"/>
    <w:rsid w:val="00255215"/>
    <w:rsid w:val="00255D2C"/>
    <w:rsid w:val="00256CE7"/>
    <w:rsid w:val="002576FD"/>
    <w:rsid w:val="00257918"/>
    <w:rsid w:val="00261136"/>
    <w:rsid w:val="002627A8"/>
    <w:rsid w:val="0026362F"/>
    <w:rsid w:val="00263755"/>
    <w:rsid w:val="0026403D"/>
    <w:rsid w:val="002647F7"/>
    <w:rsid w:val="00264E94"/>
    <w:rsid w:val="002654C1"/>
    <w:rsid w:val="0026616C"/>
    <w:rsid w:val="00267A47"/>
    <w:rsid w:val="00267DDA"/>
    <w:rsid w:val="002708A2"/>
    <w:rsid w:val="00271043"/>
    <w:rsid w:val="002725EE"/>
    <w:rsid w:val="00272858"/>
    <w:rsid w:val="00272FBF"/>
    <w:rsid w:val="002737FD"/>
    <w:rsid w:val="00273E83"/>
    <w:rsid w:val="00274DDF"/>
    <w:rsid w:val="00275C49"/>
    <w:rsid w:val="00275E86"/>
    <w:rsid w:val="00277969"/>
    <w:rsid w:val="002801C7"/>
    <w:rsid w:val="00284D31"/>
    <w:rsid w:val="00285503"/>
    <w:rsid w:val="00285AC8"/>
    <w:rsid w:val="00285AC9"/>
    <w:rsid w:val="00286089"/>
    <w:rsid w:val="00286153"/>
    <w:rsid w:val="00287343"/>
    <w:rsid w:val="00287741"/>
    <w:rsid w:val="00290E9F"/>
    <w:rsid w:val="002914E1"/>
    <w:rsid w:val="00291C4F"/>
    <w:rsid w:val="00291FE3"/>
    <w:rsid w:val="002938BD"/>
    <w:rsid w:val="00293BBD"/>
    <w:rsid w:val="002941C6"/>
    <w:rsid w:val="00296B40"/>
    <w:rsid w:val="002A2E12"/>
    <w:rsid w:val="002A3452"/>
    <w:rsid w:val="002A3C30"/>
    <w:rsid w:val="002A3C35"/>
    <w:rsid w:val="002A4F9E"/>
    <w:rsid w:val="002A5498"/>
    <w:rsid w:val="002A55B2"/>
    <w:rsid w:val="002A5F87"/>
    <w:rsid w:val="002A695B"/>
    <w:rsid w:val="002B3433"/>
    <w:rsid w:val="002B41FB"/>
    <w:rsid w:val="002B4390"/>
    <w:rsid w:val="002B55C7"/>
    <w:rsid w:val="002C088B"/>
    <w:rsid w:val="002C216A"/>
    <w:rsid w:val="002C28E1"/>
    <w:rsid w:val="002C2B56"/>
    <w:rsid w:val="002C2D1E"/>
    <w:rsid w:val="002C32E1"/>
    <w:rsid w:val="002C40FB"/>
    <w:rsid w:val="002C4C0C"/>
    <w:rsid w:val="002C57C8"/>
    <w:rsid w:val="002C6821"/>
    <w:rsid w:val="002D08FE"/>
    <w:rsid w:val="002D155C"/>
    <w:rsid w:val="002D1FC4"/>
    <w:rsid w:val="002D2CD0"/>
    <w:rsid w:val="002D3589"/>
    <w:rsid w:val="002D481A"/>
    <w:rsid w:val="002D65E2"/>
    <w:rsid w:val="002D7275"/>
    <w:rsid w:val="002E06A1"/>
    <w:rsid w:val="002E257B"/>
    <w:rsid w:val="002E7580"/>
    <w:rsid w:val="002E7979"/>
    <w:rsid w:val="002F334B"/>
    <w:rsid w:val="002F4470"/>
    <w:rsid w:val="002F7BD7"/>
    <w:rsid w:val="003016E2"/>
    <w:rsid w:val="003033BA"/>
    <w:rsid w:val="00304580"/>
    <w:rsid w:val="00304B38"/>
    <w:rsid w:val="0030589C"/>
    <w:rsid w:val="00306C30"/>
    <w:rsid w:val="00307067"/>
    <w:rsid w:val="003073C0"/>
    <w:rsid w:val="00307855"/>
    <w:rsid w:val="003078D7"/>
    <w:rsid w:val="003108EF"/>
    <w:rsid w:val="0031206F"/>
    <w:rsid w:val="00312204"/>
    <w:rsid w:val="00312ADC"/>
    <w:rsid w:val="00312D89"/>
    <w:rsid w:val="00314C7D"/>
    <w:rsid w:val="00315FA4"/>
    <w:rsid w:val="00316214"/>
    <w:rsid w:val="003162C8"/>
    <w:rsid w:val="00316B16"/>
    <w:rsid w:val="00320075"/>
    <w:rsid w:val="00321018"/>
    <w:rsid w:val="00322937"/>
    <w:rsid w:val="0032350A"/>
    <w:rsid w:val="003238A9"/>
    <w:rsid w:val="00323E0F"/>
    <w:rsid w:val="00324011"/>
    <w:rsid w:val="0032590F"/>
    <w:rsid w:val="00327549"/>
    <w:rsid w:val="00327CEB"/>
    <w:rsid w:val="00330722"/>
    <w:rsid w:val="00331030"/>
    <w:rsid w:val="00334638"/>
    <w:rsid w:val="003404C6"/>
    <w:rsid w:val="0034096E"/>
    <w:rsid w:val="0034177C"/>
    <w:rsid w:val="00341D52"/>
    <w:rsid w:val="00341F89"/>
    <w:rsid w:val="003429F6"/>
    <w:rsid w:val="00343547"/>
    <w:rsid w:val="00344B03"/>
    <w:rsid w:val="00345705"/>
    <w:rsid w:val="0034680A"/>
    <w:rsid w:val="00347024"/>
    <w:rsid w:val="00350AA9"/>
    <w:rsid w:val="00350DA7"/>
    <w:rsid w:val="00352AD1"/>
    <w:rsid w:val="00353653"/>
    <w:rsid w:val="00353DD5"/>
    <w:rsid w:val="00353EE8"/>
    <w:rsid w:val="00355084"/>
    <w:rsid w:val="00355E8C"/>
    <w:rsid w:val="00357167"/>
    <w:rsid w:val="00361495"/>
    <w:rsid w:val="003618CD"/>
    <w:rsid w:val="00361BA8"/>
    <w:rsid w:val="00361F13"/>
    <w:rsid w:val="00364EF6"/>
    <w:rsid w:val="003652E7"/>
    <w:rsid w:val="00366283"/>
    <w:rsid w:val="00366693"/>
    <w:rsid w:val="00367828"/>
    <w:rsid w:val="00371F43"/>
    <w:rsid w:val="00372E26"/>
    <w:rsid w:val="003754D2"/>
    <w:rsid w:val="003757C2"/>
    <w:rsid w:val="00376930"/>
    <w:rsid w:val="00380FAE"/>
    <w:rsid w:val="00381C32"/>
    <w:rsid w:val="00381F36"/>
    <w:rsid w:val="003834F8"/>
    <w:rsid w:val="00384C43"/>
    <w:rsid w:val="00385CF3"/>
    <w:rsid w:val="00386456"/>
    <w:rsid w:val="003901B3"/>
    <w:rsid w:val="003903B0"/>
    <w:rsid w:val="00390C02"/>
    <w:rsid w:val="003912A3"/>
    <w:rsid w:val="0039143D"/>
    <w:rsid w:val="003923F8"/>
    <w:rsid w:val="003949EE"/>
    <w:rsid w:val="003964D5"/>
    <w:rsid w:val="00396918"/>
    <w:rsid w:val="003A0878"/>
    <w:rsid w:val="003A0EBE"/>
    <w:rsid w:val="003A30B4"/>
    <w:rsid w:val="003A3529"/>
    <w:rsid w:val="003A4CA4"/>
    <w:rsid w:val="003A581E"/>
    <w:rsid w:val="003A5E90"/>
    <w:rsid w:val="003A6751"/>
    <w:rsid w:val="003A7F89"/>
    <w:rsid w:val="003B027A"/>
    <w:rsid w:val="003B2341"/>
    <w:rsid w:val="003B267F"/>
    <w:rsid w:val="003B3044"/>
    <w:rsid w:val="003B43DB"/>
    <w:rsid w:val="003B49DA"/>
    <w:rsid w:val="003B73DE"/>
    <w:rsid w:val="003C01B1"/>
    <w:rsid w:val="003C0588"/>
    <w:rsid w:val="003C0D86"/>
    <w:rsid w:val="003C4FD7"/>
    <w:rsid w:val="003C6CBA"/>
    <w:rsid w:val="003C75FC"/>
    <w:rsid w:val="003D1BE9"/>
    <w:rsid w:val="003D33FF"/>
    <w:rsid w:val="003D3D29"/>
    <w:rsid w:val="003D3D9D"/>
    <w:rsid w:val="003D43B0"/>
    <w:rsid w:val="003D45AC"/>
    <w:rsid w:val="003D4864"/>
    <w:rsid w:val="003D527E"/>
    <w:rsid w:val="003D5647"/>
    <w:rsid w:val="003D7E29"/>
    <w:rsid w:val="003E04EE"/>
    <w:rsid w:val="003E0D9E"/>
    <w:rsid w:val="003E1992"/>
    <w:rsid w:val="003E1DFC"/>
    <w:rsid w:val="003E4A30"/>
    <w:rsid w:val="003E6423"/>
    <w:rsid w:val="003E6884"/>
    <w:rsid w:val="003E71FC"/>
    <w:rsid w:val="003E7AA5"/>
    <w:rsid w:val="003F00C3"/>
    <w:rsid w:val="003F0161"/>
    <w:rsid w:val="003F18DE"/>
    <w:rsid w:val="003F1D3C"/>
    <w:rsid w:val="003F4E89"/>
    <w:rsid w:val="0040246E"/>
    <w:rsid w:val="004030F2"/>
    <w:rsid w:val="00405913"/>
    <w:rsid w:val="00406251"/>
    <w:rsid w:val="00406A1A"/>
    <w:rsid w:val="00407705"/>
    <w:rsid w:val="0040799E"/>
    <w:rsid w:val="004129BB"/>
    <w:rsid w:val="00412A43"/>
    <w:rsid w:val="00413C8D"/>
    <w:rsid w:val="00413E61"/>
    <w:rsid w:val="00414152"/>
    <w:rsid w:val="00414BC9"/>
    <w:rsid w:val="00415DDE"/>
    <w:rsid w:val="00416308"/>
    <w:rsid w:val="00416996"/>
    <w:rsid w:val="00417025"/>
    <w:rsid w:val="00417425"/>
    <w:rsid w:val="00420A6C"/>
    <w:rsid w:val="00421624"/>
    <w:rsid w:val="00421DF6"/>
    <w:rsid w:val="004228D3"/>
    <w:rsid w:val="00423F66"/>
    <w:rsid w:val="00423F9F"/>
    <w:rsid w:val="00425FD7"/>
    <w:rsid w:val="00426486"/>
    <w:rsid w:val="00426DD1"/>
    <w:rsid w:val="00427F2F"/>
    <w:rsid w:val="00430D86"/>
    <w:rsid w:val="00432AD1"/>
    <w:rsid w:val="00432B52"/>
    <w:rsid w:val="00433494"/>
    <w:rsid w:val="00434140"/>
    <w:rsid w:val="00435826"/>
    <w:rsid w:val="0043612C"/>
    <w:rsid w:val="004376B9"/>
    <w:rsid w:val="00437BA7"/>
    <w:rsid w:val="00440848"/>
    <w:rsid w:val="00440B8D"/>
    <w:rsid w:val="00441DC6"/>
    <w:rsid w:val="00441EE4"/>
    <w:rsid w:val="004422D6"/>
    <w:rsid w:val="0044490E"/>
    <w:rsid w:val="00446E21"/>
    <w:rsid w:val="00447165"/>
    <w:rsid w:val="00447729"/>
    <w:rsid w:val="004511B1"/>
    <w:rsid w:val="00451E90"/>
    <w:rsid w:val="00452F9A"/>
    <w:rsid w:val="00454101"/>
    <w:rsid w:val="00455438"/>
    <w:rsid w:val="00455EAA"/>
    <w:rsid w:val="00457110"/>
    <w:rsid w:val="00460D1C"/>
    <w:rsid w:val="00461E70"/>
    <w:rsid w:val="00464311"/>
    <w:rsid w:val="00466026"/>
    <w:rsid w:val="0046603E"/>
    <w:rsid w:val="00466082"/>
    <w:rsid w:val="0046653B"/>
    <w:rsid w:val="0046694E"/>
    <w:rsid w:val="00472B78"/>
    <w:rsid w:val="00472BBB"/>
    <w:rsid w:val="0047380F"/>
    <w:rsid w:val="0047426F"/>
    <w:rsid w:val="0047453E"/>
    <w:rsid w:val="004746AD"/>
    <w:rsid w:val="00474E3B"/>
    <w:rsid w:val="00475F18"/>
    <w:rsid w:val="00477498"/>
    <w:rsid w:val="00477514"/>
    <w:rsid w:val="004779F8"/>
    <w:rsid w:val="00480824"/>
    <w:rsid w:val="00480D03"/>
    <w:rsid w:val="00480ECA"/>
    <w:rsid w:val="00482900"/>
    <w:rsid w:val="00485814"/>
    <w:rsid w:val="004861E4"/>
    <w:rsid w:val="0048674D"/>
    <w:rsid w:val="004870BB"/>
    <w:rsid w:val="004872D8"/>
    <w:rsid w:val="0048754A"/>
    <w:rsid w:val="00487BC0"/>
    <w:rsid w:val="00487C10"/>
    <w:rsid w:val="00490A62"/>
    <w:rsid w:val="0049241A"/>
    <w:rsid w:val="004956F3"/>
    <w:rsid w:val="00496FA4"/>
    <w:rsid w:val="004974CD"/>
    <w:rsid w:val="004A0085"/>
    <w:rsid w:val="004A0106"/>
    <w:rsid w:val="004A0F49"/>
    <w:rsid w:val="004A34D2"/>
    <w:rsid w:val="004A4F76"/>
    <w:rsid w:val="004A677C"/>
    <w:rsid w:val="004A6841"/>
    <w:rsid w:val="004A7B59"/>
    <w:rsid w:val="004B0B42"/>
    <w:rsid w:val="004B1C70"/>
    <w:rsid w:val="004B353C"/>
    <w:rsid w:val="004B3D4D"/>
    <w:rsid w:val="004B580E"/>
    <w:rsid w:val="004B6500"/>
    <w:rsid w:val="004B6E7D"/>
    <w:rsid w:val="004B7D5F"/>
    <w:rsid w:val="004C246A"/>
    <w:rsid w:val="004C31AF"/>
    <w:rsid w:val="004C3ADF"/>
    <w:rsid w:val="004C3BA4"/>
    <w:rsid w:val="004C49B9"/>
    <w:rsid w:val="004C59F7"/>
    <w:rsid w:val="004C60C5"/>
    <w:rsid w:val="004C755C"/>
    <w:rsid w:val="004C7603"/>
    <w:rsid w:val="004D087D"/>
    <w:rsid w:val="004D22DE"/>
    <w:rsid w:val="004D4A87"/>
    <w:rsid w:val="004D52FA"/>
    <w:rsid w:val="004D53FA"/>
    <w:rsid w:val="004D5756"/>
    <w:rsid w:val="004D63F7"/>
    <w:rsid w:val="004D65AC"/>
    <w:rsid w:val="004D702B"/>
    <w:rsid w:val="004D7944"/>
    <w:rsid w:val="004D7D21"/>
    <w:rsid w:val="004D7FB4"/>
    <w:rsid w:val="004E05CC"/>
    <w:rsid w:val="004E07A4"/>
    <w:rsid w:val="004E4C6D"/>
    <w:rsid w:val="004E5463"/>
    <w:rsid w:val="004E5A0D"/>
    <w:rsid w:val="004F0804"/>
    <w:rsid w:val="004F1425"/>
    <w:rsid w:val="004F16DB"/>
    <w:rsid w:val="004F30F8"/>
    <w:rsid w:val="004F3492"/>
    <w:rsid w:val="004F3517"/>
    <w:rsid w:val="004F3CDF"/>
    <w:rsid w:val="004F510B"/>
    <w:rsid w:val="004F5B24"/>
    <w:rsid w:val="004F6048"/>
    <w:rsid w:val="00501473"/>
    <w:rsid w:val="00504E1A"/>
    <w:rsid w:val="005051F8"/>
    <w:rsid w:val="0051074C"/>
    <w:rsid w:val="00510CF8"/>
    <w:rsid w:val="005112E4"/>
    <w:rsid w:val="00511922"/>
    <w:rsid w:val="00513AF2"/>
    <w:rsid w:val="00514439"/>
    <w:rsid w:val="00514D99"/>
    <w:rsid w:val="00514E3C"/>
    <w:rsid w:val="00515D32"/>
    <w:rsid w:val="0051759B"/>
    <w:rsid w:val="005216C1"/>
    <w:rsid w:val="00523703"/>
    <w:rsid w:val="00525997"/>
    <w:rsid w:val="00525FE7"/>
    <w:rsid w:val="005265E4"/>
    <w:rsid w:val="00526943"/>
    <w:rsid w:val="00527E3C"/>
    <w:rsid w:val="0053038B"/>
    <w:rsid w:val="0053170C"/>
    <w:rsid w:val="00531D5C"/>
    <w:rsid w:val="00532B96"/>
    <w:rsid w:val="00535106"/>
    <w:rsid w:val="005355D8"/>
    <w:rsid w:val="00535A34"/>
    <w:rsid w:val="0054155D"/>
    <w:rsid w:val="00542B62"/>
    <w:rsid w:val="00542BA7"/>
    <w:rsid w:val="0054413A"/>
    <w:rsid w:val="00545883"/>
    <w:rsid w:val="0054713D"/>
    <w:rsid w:val="005472F5"/>
    <w:rsid w:val="00550567"/>
    <w:rsid w:val="00550D93"/>
    <w:rsid w:val="00551411"/>
    <w:rsid w:val="005514ED"/>
    <w:rsid w:val="00551FE1"/>
    <w:rsid w:val="005526A0"/>
    <w:rsid w:val="00552754"/>
    <w:rsid w:val="00554A77"/>
    <w:rsid w:val="005564CA"/>
    <w:rsid w:val="005601A8"/>
    <w:rsid w:val="00561506"/>
    <w:rsid w:val="0056182B"/>
    <w:rsid w:val="005622EB"/>
    <w:rsid w:val="00562332"/>
    <w:rsid w:val="00562C2D"/>
    <w:rsid w:val="0056311D"/>
    <w:rsid w:val="0056728F"/>
    <w:rsid w:val="00567F3B"/>
    <w:rsid w:val="00570F08"/>
    <w:rsid w:val="0057142B"/>
    <w:rsid w:val="005721B3"/>
    <w:rsid w:val="00573F4F"/>
    <w:rsid w:val="005756AA"/>
    <w:rsid w:val="0057591C"/>
    <w:rsid w:val="00575A1C"/>
    <w:rsid w:val="0057646F"/>
    <w:rsid w:val="00577148"/>
    <w:rsid w:val="005771B5"/>
    <w:rsid w:val="00582AE3"/>
    <w:rsid w:val="00583D79"/>
    <w:rsid w:val="00584054"/>
    <w:rsid w:val="00584D9E"/>
    <w:rsid w:val="0058679D"/>
    <w:rsid w:val="00586BDB"/>
    <w:rsid w:val="00587458"/>
    <w:rsid w:val="005879CA"/>
    <w:rsid w:val="00587E63"/>
    <w:rsid w:val="00590380"/>
    <w:rsid w:val="005930B1"/>
    <w:rsid w:val="0059377A"/>
    <w:rsid w:val="0059502B"/>
    <w:rsid w:val="00596896"/>
    <w:rsid w:val="00597412"/>
    <w:rsid w:val="005A0414"/>
    <w:rsid w:val="005A119F"/>
    <w:rsid w:val="005A1645"/>
    <w:rsid w:val="005A2130"/>
    <w:rsid w:val="005A4FC5"/>
    <w:rsid w:val="005A6AB9"/>
    <w:rsid w:val="005A7DBD"/>
    <w:rsid w:val="005B1144"/>
    <w:rsid w:val="005B1772"/>
    <w:rsid w:val="005B1817"/>
    <w:rsid w:val="005B4267"/>
    <w:rsid w:val="005B59E8"/>
    <w:rsid w:val="005B5BE2"/>
    <w:rsid w:val="005B753A"/>
    <w:rsid w:val="005C00FA"/>
    <w:rsid w:val="005C04BF"/>
    <w:rsid w:val="005C12C8"/>
    <w:rsid w:val="005C2A3B"/>
    <w:rsid w:val="005C343C"/>
    <w:rsid w:val="005C3BE4"/>
    <w:rsid w:val="005C49A2"/>
    <w:rsid w:val="005C5C9A"/>
    <w:rsid w:val="005C6A48"/>
    <w:rsid w:val="005C6C85"/>
    <w:rsid w:val="005C7184"/>
    <w:rsid w:val="005C7FC4"/>
    <w:rsid w:val="005D0467"/>
    <w:rsid w:val="005D1BC0"/>
    <w:rsid w:val="005D3155"/>
    <w:rsid w:val="005D35B6"/>
    <w:rsid w:val="005D36B1"/>
    <w:rsid w:val="005D483D"/>
    <w:rsid w:val="005D4AEF"/>
    <w:rsid w:val="005D4E8A"/>
    <w:rsid w:val="005D50CE"/>
    <w:rsid w:val="005D51FA"/>
    <w:rsid w:val="005D5B90"/>
    <w:rsid w:val="005D791B"/>
    <w:rsid w:val="005E01CE"/>
    <w:rsid w:val="005E09A6"/>
    <w:rsid w:val="005E139E"/>
    <w:rsid w:val="005E1974"/>
    <w:rsid w:val="005E2C01"/>
    <w:rsid w:val="005E363E"/>
    <w:rsid w:val="005E3B5B"/>
    <w:rsid w:val="005E42CD"/>
    <w:rsid w:val="005E4765"/>
    <w:rsid w:val="005E5697"/>
    <w:rsid w:val="005E5B1E"/>
    <w:rsid w:val="005F055F"/>
    <w:rsid w:val="005F1B0F"/>
    <w:rsid w:val="005F22F9"/>
    <w:rsid w:val="005F317C"/>
    <w:rsid w:val="005F37CD"/>
    <w:rsid w:val="005F3CD0"/>
    <w:rsid w:val="005F51FB"/>
    <w:rsid w:val="005F53B6"/>
    <w:rsid w:val="005F599B"/>
    <w:rsid w:val="005F650A"/>
    <w:rsid w:val="005F68F7"/>
    <w:rsid w:val="005F7142"/>
    <w:rsid w:val="005F788C"/>
    <w:rsid w:val="0060070B"/>
    <w:rsid w:val="006009A3"/>
    <w:rsid w:val="00602708"/>
    <w:rsid w:val="00603291"/>
    <w:rsid w:val="00603E4D"/>
    <w:rsid w:val="00603FBE"/>
    <w:rsid w:val="00604384"/>
    <w:rsid w:val="00604893"/>
    <w:rsid w:val="00604B04"/>
    <w:rsid w:val="006058F6"/>
    <w:rsid w:val="00611ED9"/>
    <w:rsid w:val="00612C51"/>
    <w:rsid w:val="00613FDA"/>
    <w:rsid w:val="006146F1"/>
    <w:rsid w:val="00614817"/>
    <w:rsid w:val="00616E1F"/>
    <w:rsid w:val="00620C5F"/>
    <w:rsid w:val="00620FE8"/>
    <w:rsid w:val="00621021"/>
    <w:rsid w:val="00621A1E"/>
    <w:rsid w:val="00623D2C"/>
    <w:rsid w:val="00624498"/>
    <w:rsid w:val="00625EEF"/>
    <w:rsid w:val="0062724E"/>
    <w:rsid w:val="00630D7C"/>
    <w:rsid w:val="006318E7"/>
    <w:rsid w:val="0063224F"/>
    <w:rsid w:val="0063269D"/>
    <w:rsid w:val="00633DBF"/>
    <w:rsid w:val="006341BB"/>
    <w:rsid w:val="006343EE"/>
    <w:rsid w:val="0063440E"/>
    <w:rsid w:val="00635DED"/>
    <w:rsid w:val="0063667E"/>
    <w:rsid w:val="0063754D"/>
    <w:rsid w:val="00643B51"/>
    <w:rsid w:val="006441CE"/>
    <w:rsid w:val="006447B9"/>
    <w:rsid w:val="00644D7F"/>
    <w:rsid w:val="0064514E"/>
    <w:rsid w:val="00650FE8"/>
    <w:rsid w:val="00651335"/>
    <w:rsid w:val="006518DC"/>
    <w:rsid w:val="00651D7C"/>
    <w:rsid w:val="00652BAA"/>
    <w:rsid w:val="00653CA3"/>
    <w:rsid w:val="00654069"/>
    <w:rsid w:val="0065480B"/>
    <w:rsid w:val="00655371"/>
    <w:rsid w:val="006559E3"/>
    <w:rsid w:val="00656EB7"/>
    <w:rsid w:val="00657259"/>
    <w:rsid w:val="00657446"/>
    <w:rsid w:val="00660D51"/>
    <w:rsid w:val="00661799"/>
    <w:rsid w:val="00662C7E"/>
    <w:rsid w:val="0066325D"/>
    <w:rsid w:val="00667768"/>
    <w:rsid w:val="006678A3"/>
    <w:rsid w:val="00667E0E"/>
    <w:rsid w:val="00670466"/>
    <w:rsid w:val="0067148D"/>
    <w:rsid w:val="0067157B"/>
    <w:rsid w:val="00672272"/>
    <w:rsid w:val="00672725"/>
    <w:rsid w:val="006728A0"/>
    <w:rsid w:val="006734E6"/>
    <w:rsid w:val="006748E0"/>
    <w:rsid w:val="00674F99"/>
    <w:rsid w:val="00677097"/>
    <w:rsid w:val="006807C6"/>
    <w:rsid w:val="006808A1"/>
    <w:rsid w:val="00680B58"/>
    <w:rsid w:val="00681EED"/>
    <w:rsid w:val="00682E7B"/>
    <w:rsid w:val="006852F3"/>
    <w:rsid w:val="006906D4"/>
    <w:rsid w:val="0069141C"/>
    <w:rsid w:val="006919EA"/>
    <w:rsid w:val="00692992"/>
    <w:rsid w:val="00692F57"/>
    <w:rsid w:val="006954E4"/>
    <w:rsid w:val="00695B70"/>
    <w:rsid w:val="00697665"/>
    <w:rsid w:val="00697742"/>
    <w:rsid w:val="00697C55"/>
    <w:rsid w:val="00697DD0"/>
    <w:rsid w:val="006A0EB7"/>
    <w:rsid w:val="006A6ACB"/>
    <w:rsid w:val="006A7BB4"/>
    <w:rsid w:val="006A7CB5"/>
    <w:rsid w:val="006A7FD0"/>
    <w:rsid w:val="006B064B"/>
    <w:rsid w:val="006B08EC"/>
    <w:rsid w:val="006B0C4E"/>
    <w:rsid w:val="006B0D3D"/>
    <w:rsid w:val="006B1779"/>
    <w:rsid w:val="006B2398"/>
    <w:rsid w:val="006B24DE"/>
    <w:rsid w:val="006B2D45"/>
    <w:rsid w:val="006B318A"/>
    <w:rsid w:val="006B39D4"/>
    <w:rsid w:val="006B5019"/>
    <w:rsid w:val="006B5051"/>
    <w:rsid w:val="006B5FA9"/>
    <w:rsid w:val="006B6E0A"/>
    <w:rsid w:val="006C06E6"/>
    <w:rsid w:val="006C116D"/>
    <w:rsid w:val="006C132E"/>
    <w:rsid w:val="006C1463"/>
    <w:rsid w:val="006C18C1"/>
    <w:rsid w:val="006C1A72"/>
    <w:rsid w:val="006C2A51"/>
    <w:rsid w:val="006C2B00"/>
    <w:rsid w:val="006C3B52"/>
    <w:rsid w:val="006C4F62"/>
    <w:rsid w:val="006C53B1"/>
    <w:rsid w:val="006C6EE9"/>
    <w:rsid w:val="006C771B"/>
    <w:rsid w:val="006C7CD4"/>
    <w:rsid w:val="006C7EC1"/>
    <w:rsid w:val="006C7F3D"/>
    <w:rsid w:val="006D0BAE"/>
    <w:rsid w:val="006D2519"/>
    <w:rsid w:val="006D5552"/>
    <w:rsid w:val="006D5B2B"/>
    <w:rsid w:val="006D6079"/>
    <w:rsid w:val="006D7687"/>
    <w:rsid w:val="006D78DC"/>
    <w:rsid w:val="006D7CF6"/>
    <w:rsid w:val="006E034F"/>
    <w:rsid w:val="006E0572"/>
    <w:rsid w:val="006E0932"/>
    <w:rsid w:val="006E131E"/>
    <w:rsid w:val="006E170C"/>
    <w:rsid w:val="006E19D3"/>
    <w:rsid w:val="006E1E98"/>
    <w:rsid w:val="006E37FA"/>
    <w:rsid w:val="006E59A1"/>
    <w:rsid w:val="006E66D9"/>
    <w:rsid w:val="006F3617"/>
    <w:rsid w:val="006F4EB3"/>
    <w:rsid w:val="006F56C4"/>
    <w:rsid w:val="006F6168"/>
    <w:rsid w:val="006F6B04"/>
    <w:rsid w:val="006F6CA8"/>
    <w:rsid w:val="006F7679"/>
    <w:rsid w:val="00700370"/>
    <w:rsid w:val="00700B57"/>
    <w:rsid w:val="00700BFB"/>
    <w:rsid w:val="007014F8"/>
    <w:rsid w:val="00705403"/>
    <w:rsid w:val="00705631"/>
    <w:rsid w:val="00706C8B"/>
    <w:rsid w:val="00707531"/>
    <w:rsid w:val="00710134"/>
    <w:rsid w:val="00710DF4"/>
    <w:rsid w:val="00711205"/>
    <w:rsid w:val="00711F32"/>
    <w:rsid w:val="007136AC"/>
    <w:rsid w:val="00713BDB"/>
    <w:rsid w:val="00715437"/>
    <w:rsid w:val="00715EAA"/>
    <w:rsid w:val="0071643A"/>
    <w:rsid w:val="007168C5"/>
    <w:rsid w:val="00716AD3"/>
    <w:rsid w:val="00716CC3"/>
    <w:rsid w:val="00717D2F"/>
    <w:rsid w:val="00720050"/>
    <w:rsid w:val="007213F0"/>
    <w:rsid w:val="00722293"/>
    <w:rsid w:val="00723A5D"/>
    <w:rsid w:val="00723B38"/>
    <w:rsid w:val="00724D11"/>
    <w:rsid w:val="00726952"/>
    <w:rsid w:val="00726F60"/>
    <w:rsid w:val="00730CAD"/>
    <w:rsid w:val="00733984"/>
    <w:rsid w:val="00733BCA"/>
    <w:rsid w:val="0073441F"/>
    <w:rsid w:val="0073589B"/>
    <w:rsid w:val="00735AEF"/>
    <w:rsid w:val="00735C0B"/>
    <w:rsid w:val="00736AB2"/>
    <w:rsid w:val="00737D33"/>
    <w:rsid w:val="007412B8"/>
    <w:rsid w:val="00741A9E"/>
    <w:rsid w:val="00742281"/>
    <w:rsid w:val="00742DD2"/>
    <w:rsid w:val="00746E08"/>
    <w:rsid w:val="00747C96"/>
    <w:rsid w:val="007503E9"/>
    <w:rsid w:val="0075094E"/>
    <w:rsid w:val="00750EC1"/>
    <w:rsid w:val="007522E8"/>
    <w:rsid w:val="00755CC4"/>
    <w:rsid w:val="0075647A"/>
    <w:rsid w:val="007572F9"/>
    <w:rsid w:val="00760166"/>
    <w:rsid w:val="00760D29"/>
    <w:rsid w:val="00762948"/>
    <w:rsid w:val="00762F48"/>
    <w:rsid w:val="007634AD"/>
    <w:rsid w:val="007637C0"/>
    <w:rsid w:val="00763845"/>
    <w:rsid w:val="00764011"/>
    <w:rsid w:val="0076432E"/>
    <w:rsid w:val="007668D9"/>
    <w:rsid w:val="00766A70"/>
    <w:rsid w:val="00766E39"/>
    <w:rsid w:val="0077057C"/>
    <w:rsid w:val="007707A7"/>
    <w:rsid w:val="00770A41"/>
    <w:rsid w:val="00770B28"/>
    <w:rsid w:val="00771DF3"/>
    <w:rsid w:val="00773CB2"/>
    <w:rsid w:val="00775563"/>
    <w:rsid w:val="00776689"/>
    <w:rsid w:val="007767FE"/>
    <w:rsid w:val="00776838"/>
    <w:rsid w:val="0078122E"/>
    <w:rsid w:val="00783A83"/>
    <w:rsid w:val="00786FF8"/>
    <w:rsid w:val="00792E66"/>
    <w:rsid w:val="00792F13"/>
    <w:rsid w:val="007930A5"/>
    <w:rsid w:val="00793E57"/>
    <w:rsid w:val="00794007"/>
    <w:rsid w:val="00795647"/>
    <w:rsid w:val="007970CB"/>
    <w:rsid w:val="007973B1"/>
    <w:rsid w:val="007A04A7"/>
    <w:rsid w:val="007A174B"/>
    <w:rsid w:val="007A3611"/>
    <w:rsid w:val="007A5737"/>
    <w:rsid w:val="007A5FD3"/>
    <w:rsid w:val="007A6125"/>
    <w:rsid w:val="007A7594"/>
    <w:rsid w:val="007A76FC"/>
    <w:rsid w:val="007B0854"/>
    <w:rsid w:val="007B1A29"/>
    <w:rsid w:val="007B1ACE"/>
    <w:rsid w:val="007B1D86"/>
    <w:rsid w:val="007B27D7"/>
    <w:rsid w:val="007B2D7A"/>
    <w:rsid w:val="007B4F45"/>
    <w:rsid w:val="007B4F4C"/>
    <w:rsid w:val="007B660A"/>
    <w:rsid w:val="007C0AB3"/>
    <w:rsid w:val="007C1528"/>
    <w:rsid w:val="007C15C8"/>
    <w:rsid w:val="007C209F"/>
    <w:rsid w:val="007C22B6"/>
    <w:rsid w:val="007C2357"/>
    <w:rsid w:val="007C2D7E"/>
    <w:rsid w:val="007C33A6"/>
    <w:rsid w:val="007C4A1C"/>
    <w:rsid w:val="007C4BE5"/>
    <w:rsid w:val="007C58BD"/>
    <w:rsid w:val="007C5C1C"/>
    <w:rsid w:val="007C691F"/>
    <w:rsid w:val="007D00BD"/>
    <w:rsid w:val="007D01F0"/>
    <w:rsid w:val="007D0B72"/>
    <w:rsid w:val="007D2169"/>
    <w:rsid w:val="007D3671"/>
    <w:rsid w:val="007D4919"/>
    <w:rsid w:val="007D4DBE"/>
    <w:rsid w:val="007D4F06"/>
    <w:rsid w:val="007D4FD1"/>
    <w:rsid w:val="007D5C3E"/>
    <w:rsid w:val="007D6C71"/>
    <w:rsid w:val="007D7901"/>
    <w:rsid w:val="007D7DD8"/>
    <w:rsid w:val="007E02AE"/>
    <w:rsid w:val="007E0C58"/>
    <w:rsid w:val="007E1312"/>
    <w:rsid w:val="007E25A3"/>
    <w:rsid w:val="007E3ACA"/>
    <w:rsid w:val="007E5C16"/>
    <w:rsid w:val="007E676C"/>
    <w:rsid w:val="007E7A93"/>
    <w:rsid w:val="007F15AE"/>
    <w:rsid w:val="007F1C69"/>
    <w:rsid w:val="007F4032"/>
    <w:rsid w:val="007F4118"/>
    <w:rsid w:val="007F51B0"/>
    <w:rsid w:val="007F54FB"/>
    <w:rsid w:val="007F5623"/>
    <w:rsid w:val="007F573F"/>
    <w:rsid w:val="007F6A64"/>
    <w:rsid w:val="007F6B46"/>
    <w:rsid w:val="007F6D80"/>
    <w:rsid w:val="007F72CB"/>
    <w:rsid w:val="00800C47"/>
    <w:rsid w:val="0080224B"/>
    <w:rsid w:val="0080370F"/>
    <w:rsid w:val="0080514C"/>
    <w:rsid w:val="00806AD5"/>
    <w:rsid w:val="008132FA"/>
    <w:rsid w:val="00813988"/>
    <w:rsid w:val="00814E0D"/>
    <w:rsid w:val="0081553B"/>
    <w:rsid w:val="00815BCC"/>
    <w:rsid w:val="008160B2"/>
    <w:rsid w:val="00817744"/>
    <w:rsid w:val="008178A8"/>
    <w:rsid w:val="00817C29"/>
    <w:rsid w:val="0082065D"/>
    <w:rsid w:val="00820A37"/>
    <w:rsid w:val="008217B7"/>
    <w:rsid w:val="00822950"/>
    <w:rsid w:val="0082422A"/>
    <w:rsid w:val="00824BF9"/>
    <w:rsid w:val="00830018"/>
    <w:rsid w:val="00830303"/>
    <w:rsid w:val="0083119B"/>
    <w:rsid w:val="00833039"/>
    <w:rsid w:val="00835917"/>
    <w:rsid w:val="00836EAB"/>
    <w:rsid w:val="0083782B"/>
    <w:rsid w:val="00837845"/>
    <w:rsid w:val="00840960"/>
    <w:rsid w:val="008420C6"/>
    <w:rsid w:val="008423BA"/>
    <w:rsid w:val="008445AD"/>
    <w:rsid w:val="00844864"/>
    <w:rsid w:val="00845AF5"/>
    <w:rsid w:val="00845FC4"/>
    <w:rsid w:val="00846235"/>
    <w:rsid w:val="00846B3D"/>
    <w:rsid w:val="0085092D"/>
    <w:rsid w:val="00850F79"/>
    <w:rsid w:val="00851723"/>
    <w:rsid w:val="00851D62"/>
    <w:rsid w:val="00852EBF"/>
    <w:rsid w:val="00853074"/>
    <w:rsid w:val="00853AE0"/>
    <w:rsid w:val="00853AF8"/>
    <w:rsid w:val="00854D44"/>
    <w:rsid w:val="00854DB7"/>
    <w:rsid w:val="00857EEA"/>
    <w:rsid w:val="00860F20"/>
    <w:rsid w:val="00861D0A"/>
    <w:rsid w:val="00861F54"/>
    <w:rsid w:val="0086218A"/>
    <w:rsid w:val="008632AF"/>
    <w:rsid w:val="008636DE"/>
    <w:rsid w:val="00864821"/>
    <w:rsid w:val="008654BA"/>
    <w:rsid w:val="00870412"/>
    <w:rsid w:val="00870AF9"/>
    <w:rsid w:val="00871990"/>
    <w:rsid w:val="00872A2E"/>
    <w:rsid w:val="008749A9"/>
    <w:rsid w:val="00876146"/>
    <w:rsid w:val="0087668B"/>
    <w:rsid w:val="00876868"/>
    <w:rsid w:val="008770F7"/>
    <w:rsid w:val="00880378"/>
    <w:rsid w:val="00880D11"/>
    <w:rsid w:val="00881812"/>
    <w:rsid w:val="00881A23"/>
    <w:rsid w:val="00882C43"/>
    <w:rsid w:val="00882F5E"/>
    <w:rsid w:val="0088409B"/>
    <w:rsid w:val="0088434E"/>
    <w:rsid w:val="0088605D"/>
    <w:rsid w:val="00886168"/>
    <w:rsid w:val="00886E97"/>
    <w:rsid w:val="00887C57"/>
    <w:rsid w:val="00890D42"/>
    <w:rsid w:val="008915B7"/>
    <w:rsid w:val="00891FB0"/>
    <w:rsid w:val="008927F9"/>
    <w:rsid w:val="0089306D"/>
    <w:rsid w:val="00894211"/>
    <w:rsid w:val="00894D5C"/>
    <w:rsid w:val="0089774F"/>
    <w:rsid w:val="008A18EE"/>
    <w:rsid w:val="008A1C35"/>
    <w:rsid w:val="008A1C99"/>
    <w:rsid w:val="008A1E91"/>
    <w:rsid w:val="008A2550"/>
    <w:rsid w:val="008A2823"/>
    <w:rsid w:val="008A3153"/>
    <w:rsid w:val="008A383B"/>
    <w:rsid w:val="008A4934"/>
    <w:rsid w:val="008A519B"/>
    <w:rsid w:val="008B1829"/>
    <w:rsid w:val="008B29AC"/>
    <w:rsid w:val="008B2C6A"/>
    <w:rsid w:val="008B2D18"/>
    <w:rsid w:val="008B3AED"/>
    <w:rsid w:val="008B6265"/>
    <w:rsid w:val="008B6B7E"/>
    <w:rsid w:val="008C30C7"/>
    <w:rsid w:val="008C34B5"/>
    <w:rsid w:val="008C3736"/>
    <w:rsid w:val="008C4741"/>
    <w:rsid w:val="008C5D2B"/>
    <w:rsid w:val="008C6F87"/>
    <w:rsid w:val="008C7425"/>
    <w:rsid w:val="008C7C2E"/>
    <w:rsid w:val="008D1EFE"/>
    <w:rsid w:val="008D271F"/>
    <w:rsid w:val="008D46D3"/>
    <w:rsid w:val="008D56BF"/>
    <w:rsid w:val="008D572E"/>
    <w:rsid w:val="008D6907"/>
    <w:rsid w:val="008D711B"/>
    <w:rsid w:val="008D79F4"/>
    <w:rsid w:val="008D7EE7"/>
    <w:rsid w:val="008E1C15"/>
    <w:rsid w:val="008E35DC"/>
    <w:rsid w:val="008E3C08"/>
    <w:rsid w:val="008E4E6A"/>
    <w:rsid w:val="008E5687"/>
    <w:rsid w:val="008E7DBB"/>
    <w:rsid w:val="008F0B5E"/>
    <w:rsid w:val="008F2683"/>
    <w:rsid w:val="008F2D5F"/>
    <w:rsid w:val="008F39C7"/>
    <w:rsid w:val="008F538E"/>
    <w:rsid w:val="008F5551"/>
    <w:rsid w:val="008F6CB0"/>
    <w:rsid w:val="008F7712"/>
    <w:rsid w:val="00900304"/>
    <w:rsid w:val="00900817"/>
    <w:rsid w:val="009008CF"/>
    <w:rsid w:val="00900F40"/>
    <w:rsid w:val="0090222E"/>
    <w:rsid w:val="009037EE"/>
    <w:rsid w:val="00904534"/>
    <w:rsid w:val="00904785"/>
    <w:rsid w:val="009047C5"/>
    <w:rsid w:val="009065BE"/>
    <w:rsid w:val="00906A56"/>
    <w:rsid w:val="0091187A"/>
    <w:rsid w:val="00911E6D"/>
    <w:rsid w:val="009139FF"/>
    <w:rsid w:val="00913DEE"/>
    <w:rsid w:val="00914DA0"/>
    <w:rsid w:val="00914F6A"/>
    <w:rsid w:val="00915799"/>
    <w:rsid w:val="00915933"/>
    <w:rsid w:val="00915B66"/>
    <w:rsid w:val="00916D58"/>
    <w:rsid w:val="009173EE"/>
    <w:rsid w:val="0091758D"/>
    <w:rsid w:val="00917D8E"/>
    <w:rsid w:val="00920A32"/>
    <w:rsid w:val="00921674"/>
    <w:rsid w:val="009224E5"/>
    <w:rsid w:val="00922597"/>
    <w:rsid w:val="00922786"/>
    <w:rsid w:val="009234B9"/>
    <w:rsid w:val="00923802"/>
    <w:rsid w:val="00923BB6"/>
    <w:rsid w:val="009246D0"/>
    <w:rsid w:val="00924C63"/>
    <w:rsid w:val="00927D00"/>
    <w:rsid w:val="009350C1"/>
    <w:rsid w:val="009368B9"/>
    <w:rsid w:val="00937020"/>
    <w:rsid w:val="00940DB9"/>
    <w:rsid w:val="0094567D"/>
    <w:rsid w:val="009458F0"/>
    <w:rsid w:val="009471A0"/>
    <w:rsid w:val="00947622"/>
    <w:rsid w:val="00951621"/>
    <w:rsid w:val="00951845"/>
    <w:rsid w:val="00951B07"/>
    <w:rsid w:val="00952E98"/>
    <w:rsid w:val="0095385A"/>
    <w:rsid w:val="00955202"/>
    <w:rsid w:val="00955B44"/>
    <w:rsid w:val="00956821"/>
    <w:rsid w:val="00956B93"/>
    <w:rsid w:val="00964425"/>
    <w:rsid w:val="00964942"/>
    <w:rsid w:val="009658C0"/>
    <w:rsid w:val="00967268"/>
    <w:rsid w:val="00967CD8"/>
    <w:rsid w:val="00970437"/>
    <w:rsid w:val="009713CE"/>
    <w:rsid w:val="00971F9D"/>
    <w:rsid w:val="00971FAB"/>
    <w:rsid w:val="009726BB"/>
    <w:rsid w:val="0097606C"/>
    <w:rsid w:val="00976295"/>
    <w:rsid w:val="00981216"/>
    <w:rsid w:val="00982027"/>
    <w:rsid w:val="009820DB"/>
    <w:rsid w:val="0098238F"/>
    <w:rsid w:val="00983695"/>
    <w:rsid w:val="00983F3D"/>
    <w:rsid w:val="0098489D"/>
    <w:rsid w:val="00984AB9"/>
    <w:rsid w:val="009900DC"/>
    <w:rsid w:val="009906BE"/>
    <w:rsid w:val="0099095D"/>
    <w:rsid w:val="009916A7"/>
    <w:rsid w:val="00992127"/>
    <w:rsid w:val="009922C8"/>
    <w:rsid w:val="0099237F"/>
    <w:rsid w:val="0099262B"/>
    <w:rsid w:val="00994DF5"/>
    <w:rsid w:val="00994E2D"/>
    <w:rsid w:val="009976EE"/>
    <w:rsid w:val="009A0F94"/>
    <w:rsid w:val="009A23CE"/>
    <w:rsid w:val="009A2B57"/>
    <w:rsid w:val="009A3569"/>
    <w:rsid w:val="009A4826"/>
    <w:rsid w:val="009A60FC"/>
    <w:rsid w:val="009A758C"/>
    <w:rsid w:val="009B4776"/>
    <w:rsid w:val="009B512E"/>
    <w:rsid w:val="009B5190"/>
    <w:rsid w:val="009B5DE1"/>
    <w:rsid w:val="009B61A4"/>
    <w:rsid w:val="009C0D78"/>
    <w:rsid w:val="009C2DCC"/>
    <w:rsid w:val="009C31BE"/>
    <w:rsid w:val="009C37DC"/>
    <w:rsid w:val="009C38F7"/>
    <w:rsid w:val="009C57EF"/>
    <w:rsid w:val="009C6959"/>
    <w:rsid w:val="009C713B"/>
    <w:rsid w:val="009D3BBA"/>
    <w:rsid w:val="009D3CF6"/>
    <w:rsid w:val="009D4945"/>
    <w:rsid w:val="009D4B2F"/>
    <w:rsid w:val="009D5C7D"/>
    <w:rsid w:val="009D6E69"/>
    <w:rsid w:val="009E043B"/>
    <w:rsid w:val="009E30D4"/>
    <w:rsid w:val="009E54F2"/>
    <w:rsid w:val="009E5853"/>
    <w:rsid w:val="009E5D6E"/>
    <w:rsid w:val="009E64D5"/>
    <w:rsid w:val="009F1040"/>
    <w:rsid w:val="009F261D"/>
    <w:rsid w:val="009F3602"/>
    <w:rsid w:val="009F5096"/>
    <w:rsid w:val="009F59C2"/>
    <w:rsid w:val="009F78A0"/>
    <w:rsid w:val="00A0103E"/>
    <w:rsid w:val="00A010FC"/>
    <w:rsid w:val="00A02213"/>
    <w:rsid w:val="00A03425"/>
    <w:rsid w:val="00A03867"/>
    <w:rsid w:val="00A04977"/>
    <w:rsid w:val="00A04B5C"/>
    <w:rsid w:val="00A05140"/>
    <w:rsid w:val="00A0528D"/>
    <w:rsid w:val="00A066BD"/>
    <w:rsid w:val="00A071E0"/>
    <w:rsid w:val="00A10053"/>
    <w:rsid w:val="00A11895"/>
    <w:rsid w:val="00A12B18"/>
    <w:rsid w:val="00A13886"/>
    <w:rsid w:val="00A14415"/>
    <w:rsid w:val="00A146B7"/>
    <w:rsid w:val="00A1653D"/>
    <w:rsid w:val="00A16FAB"/>
    <w:rsid w:val="00A1798B"/>
    <w:rsid w:val="00A2084E"/>
    <w:rsid w:val="00A20C9F"/>
    <w:rsid w:val="00A21B32"/>
    <w:rsid w:val="00A228C5"/>
    <w:rsid w:val="00A22FB9"/>
    <w:rsid w:val="00A23693"/>
    <w:rsid w:val="00A23CE5"/>
    <w:rsid w:val="00A2433B"/>
    <w:rsid w:val="00A2439B"/>
    <w:rsid w:val="00A24560"/>
    <w:rsid w:val="00A24834"/>
    <w:rsid w:val="00A27708"/>
    <w:rsid w:val="00A30B95"/>
    <w:rsid w:val="00A32B79"/>
    <w:rsid w:val="00A3420B"/>
    <w:rsid w:val="00A34538"/>
    <w:rsid w:val="00A350AF"/>
    <w:rsid w:val="00A35AD8"/>
    <w:rsid w:val="00A37C18"/>
    <w:rsid w:val="00A37FB6"/>
    <w:rsid w:val="00A40A28"/>
    <w:rsid w:val="00A42365"/>
    <w:rsid w:val="00A426EC"/>
    <w:rsid w:val="00A44260"/>
    <w:rsid w:val="00A462AB"/>
    <w:rsid w:val="00A46DD4"/>
    <w:rsid w:val="00A500EF"/>
    <w:rsid w:val="00A505A0"/>
    <w:rsid w:val="00A509BC"/>
    <w:rsid w:val="00A51659"/>
    <w:rsid w:val="00A5208D"/>
    <w:rsid w:val="00A529CB"/>
    <w:rsid w:val="00A5350E"/>
    <w:rsid w:val="00A5539A"/>
    <w:rsid w:val="00A568F6"/>
    <w:rsid w:val="00A57160"/>
    <w:rsid w:val="00A579E9"/>
    <w:rsid w:val="00A60441"/>
    <w:rsid w:val="00A60D5F"/>
    <w:rsid w:val="00A61297"/>
    <w:rsid w:val="00A612F6"/>
    <w:rsid w:val="00A62322"/>
    <w:rsid w:val="00A65AD5"/>
    <w:rsid w:val="00A66BF9"/>
    <w:rsid w:val="00A67294"/>
    <w:rsid w:val="00A7090A"/>
    <w:rsid w:val="00A7157E"/>
    <w:rsid w:val="00A715D2"/>
    <w:rsid w:val="00A734C1"/>
    <w:rsid w:val="00A73C6F"/>
    <w:rsid w:val="00A74544"/>
    <w:rsid w:val="00A757E2"/>
    <w:rsid w:val="00A771A5"/>
    <w:rsid w:val="00A82473"/>
    <w:rsid w:val="00A83087"/>
    <w:rsid w:val="00A83E55"/>
    <w:rsid w:val="00A83F78"/>
    <w:rsid w:val="00A8570E"/>
    <w:rsid w:val="00A878F0"/>
    <w:rsid w:val="00A87ECD"/>
    <w:rsid w:val="00A91699"/>
    <w:rsid w:val="00A91BEA"/>
    <w:rsid w:val="00A944C2"/>
    <w:rsid w:val="00A9502E"/>
    <w:rsid w:val="00A95095"/>
    <w:rsid w:val="00A95142"/>
    <w:rsid w:val="00A9533C"/>
    <w:rsid w:val="00A957B9"/>
    <w:rsid w:val="00A9641E"/>
    <w:rsid w:val="00A97125"/>
    <w:rsid w:val="00A97234"/>
    <w:rsid w:val="00AA08E7"/>
    <w:rsid w:val="00AA0B78"/>
    <w:rsid w:val="00AA0BE1"/>
    <w:rsid w:val="00AA171A"/>
    <w:rsid w:val="00AA2094"/>
    <w:rsid w:val="00AA442B"/>
    <w:rsid w:val="00AA669D"/>
    <w:rsid w:val="00AA7403"/>
    <w:rsid w:val="00AA7503"/>
    <w:rsid w:val="00AB0808"/>
    <w:rsid w:val="00AB2664"/>
    <w:rsid w:val="00AB3212"/>
    <w:rsid w:val="00AB3581"/>
    <w:rsid w:val="00AB35A6"/>
    <w:rsid w:val="00AB5852"/>
    <w:rsid w:val="00AB5969"/>
    <w:rsid w:val="00AB5C7F"/>
    <w:rsid w:val="00AB628F"/>
    <w:rsid w:val="00AB6591"/>
    <w:rsid w:val="00AB6875"/>
    <w:rsid w:val="00AC146A"/>
    <w:rsid w:val="00AC27E8"/>
    <w:rsid w:val="00AC4829"/>
    <w:rsid w:val="00AC4E34"/>
    <w:rsid w:val="00AC514C"/>
    <w:rsid w:val="00AC5690"/>
    <w:rsid w:val="00AC5F3A"/>
    <w:rsid w:val="00AD1A73"/>
    <w:rsid w:val="00AD45E3"/>
    <w:rsid w:val="00AD4D49"/>
    <w:rsid w:val="00AD52AD"/>
    <w:rsid w:val="00AE08F9"/>
    <w:rsid w:val="00AE1539"/>
    <w:rsid w:val="00AE2D2E"/>
    <w:rsid w:val="00AE32F2"/>
    <w:rsid w:val="00AE3618"/>
    <w:rsid w:val="00AE4B35"/>
    <w:rsid w:val="00AE4C20"/>
    <w:rsid w:val="00AE5ABF"/>
    <w:rsid w:val="00AE61E1"/>
    <w:rsid w:val="00AE6434"/>
    <w:rsid w:val="00AE69A5"/>
    <w:rsid w:val="00AE6C09"/>
    <w:rsid w:val="00AE7779"/>
    <w:rsid w:val="00AF07FB"/>
    <w:rsid w:val="00AF0BEC"/>
    <w:rsid w:val="00AF373E"/>
    <w:rsid w:val="00AF561D"/>
    <w:rsid w:val="00B000D8"/>
    <w:rsid w:val="00B012D7"/>
    <w:rsid w:val="00B0182C"/>
    <w:rsid w:val="00B02774"/>
    <w:rsid w:val="00B02AD1"/>
    <w:rsid w:val="00B03CFE"/>
    <w:rsid w:val="00B04012"/>
    <w:rsid w:val="00B04E6F"/>
    <w:rsid w:val="00B050B8"/>
    <w:rsid w:val="00B05411"/>
    <w:rsid w:val="00B074DD"/>
    <w:rsid w:val="00B0753B"/>
    <w:rsid w:val="00B12F06"/>
    <w:rsid w:val="00B13EC0"/>
    <w:rsid w:val="00B15011"/>
    <w:rsid w:val="00B15B3C"/>
    <w:rsid w:val="00B16829"/>
    <w:rsid w:val="00B179C1"/>
    <w:rsid w:val="00B20525"/>
    <w:rsid w:val="00B21442"/>
    <w:rsid w:val="00B22E22"/>
    <w:rsid w:val="00B235C4"/>
    <w:rsid w:val="00B2423F"/>
    <w:rsid w:val="00B2513E"/>
    <w:rsid w:val="00B2548B"/>
    <w:rsid w:val="00B25E66"/>
    <w:rsid w:val="00B27AD4"/>
    <w:rsid w:val="00B30086"/>
    <w:rsid w:val="00B31325"/>
    <w:rsid w:val="00B31F22"/>
    <w:rsid w:val="00B32BCD"/>
    <w:rsid w:val="00B32DB2"/>
    <w:rsid w:val="00B35625"/>
    <w:rsid w:val="00B359ED"/>
    <w:rsid w:val="00B36260"/>
    <w:rsid w:val="00B37C00"/>
    <w:rsid w:val="00B426AA"/>
    <w:rsid w:val="00B44270"/>
    <w:rsid w:val="00B44AD6"/>
    <w:rsid w:val="00B44E8E"/>
    <w:rsid w:val="00B46C42"/>
    <w:rsid w:val="00B51003"/>
    <w:rsid w:val="00B512FD"/>
    <w:rsid w:val="00B525CB"/>
    <w:rsid w:val="00B5487A"/>
    <w:rsid w:val="00B552B6"/>
    <w:rsid w:val="00B5546E"/>
    <w:rsid w:val="00B5566E"/>
    <w:rsid w:val="00B55851"/>
    <w:rsid w:val="00B5758A"/>
    <w:rsid w:val="00B57B27"/>
    <w:rsid w:val="00B60461"/>
    <w:rsid w:val="00B61B4F"/>
    <w:rsid w:val="00B62A61"/>
    <w:rsid w:val="00B62F95"/>
    <w:rsid w:val="00B633F9"/>
    <w:rsid w:val="00B63872"/>
    <w:rsid w:val="00B63CB2"/>
    <w:rsid w:val="00B641D9"/>
    <w:rsid w:val="00B64EDB"/>
    <w:rsid w:val="00B654E7"/>
    <w:rsid w:val="00B66578"/>
    <w:rsid w:val="00B705C9"/>
    <w:rsid w:val="00B71C79"/>
    <w:rsid w:val="00B7315F"/>
    <w:rsid w:val="00B750D9"/>
    <w:rsid w:val="00B76967"/>
    <w:rsid w:val="00B77F95"/>
    <w:rsid w:val="00B81F6E"/>
    <w:rsid w:val="00B84416"/>
    <w:rsid w:val="00B84BA7"/>
    <w:rsid w:val="00B85186"/>
    <w:rsid w:val="00B91AF0"/>
    <w:rsid w:val="00B91B8E"/>
    <w:rsid w:val="00B9384C"/>
    <w:rsid w:val="00B93C9A"/>
    <w:rsid w:val="00B94548"/>
    <w:rsid w:val="00B955AB"/>
    <w:rsid w:val="00B95AC8"/>
    <w:rsid w:val="00B9618B"/>
    <w:rsid w:val="00B96AA5"/>
    <w:rsid w:val="00B97E63"/>
    <w:rsid w:val="00BA19D8"/>
    <w:rsid w:val="00BA3286"/>
    <w:rsid w:val="00BA3871"/>
    <w:rsid w:val="00BA4D28"/>
    <w:rsid w:val="00BA4E77"/>
    <w:rsid w:val="00BA60E7"/>
    <w:rsid w:val="00BB00BC"/>
    <w:rsid w:val="00BB2606"/>
    <w:rsid w:val="00BB3B04"/>
    <w:rsid w:val="00BB3EE8"/>
    <w:rsid w:val="00BB584D"/>
    <w:rsid w:val="00BB7084"/>
    <w:rsid w:val="00BB7E79"/>
    <w:rsid w:val="00BC2704"/>
    <w:rsid w:val="00BC3EC6"/>
    <w:rsid w:val="00BC4869"/>
    <w:rsid w:val="00BC7280"/>
    <w:rsid w:val="00BD120E"/>
    <w:rsid w:val="00BD15FA"/>
    <w:rsid w:val="00BD2036"/>
    <w:rsid w:val="00BD2700"/>
    <w:rsid w:val="00BD78FE"/>
    <w:rsid w:val="00BE0AD3"/>
    <w:rsid w:val="00BE15DA"/>
    <w:rsid w:val="00BE16E8"/>
    <w:rsid w:val="00BE1CEA"/>
    <w:rsid w:val="00BE2A65"/>
    <w:rsid w:val="00BE2BCB"/>
    <w:rsid w:val="00BE642B"/>
    <w:rsid w:val="00BE67A9"/>
    <w:rsid w:val="00BE72D6"/>
    <w:rsid w:val="00BE7DEE"/>
    <w:rsid w:val="00BE7E91"/>
    <w:rsid w:val="00BF31BA"/>
    <w:rsid w:val="00BF3C4C"/>
    <w:rsid w:val="00BF5E9C"/>
    <w:rsid w:val="00BF618F"/>
    <w:rsid w:val="00BF653A"/>
    <w:rsid w:val="00BF6D9D"/>
    <w:rsid w:val="00BF7724"/>
    <w:rsid w:val="00C00202"/>
    <w:rsid w:val="00C00B9C"/>
    <w:rsid w:val="00C014AB"/>
    <w:rsid w:val="00C0241E"/>
    <w:rsid w:val="00C02CA7"/>
    <w:rsid w:val="00C0362B"/>
    <w:rsid w:val="00C03773"/>
    <w:rsid w:val="00C0469E"/>
    <w:rsid w:val="00C055D5"/>
    <w:rsid w:val="00C06A57"/>
    <w:rsid w:val="00C06B30"/>
    <w:rsid w:val="00C07B9B"/>
    <w:rsid w:val="00C126E0"/>
    <w:rsid w:val="00C1486D"/>
    <w:rsid w:val="00C170AF"/>
    <w:rsid w:val="00C17177"/>
    <w:rsid w:val="00C17E35"/>
    <w:rsid w:val="00C20738"/>
    <w:rsid w:val="00C20AB9"/>
    <w:rsid w:val="00C220CE"/>
    <w:rsid w:val="00C225E9"/>
    <w:rsid w:val="00C22BB6"/>
    <w:rsid w:val="00C24150"/>
    <w:rsid w:val="00C245B6"/>
    <w:rsid w:val="00C24D7E"/>
    <w:rsid w:val="00C2524E"/>
    <w:rsid w:val="00C25DEC"/>
    <w:rsid w:val="00C269AB"/>
    <w:rsid w:val="00C275FA"/>
    <w:rsid w:val="00C27711"/>
    <w:rsid w:val="00C3033B"/>
    <w:rsid w:val="00C309CE"/>
    <w:rsid w:val="00C32018"/>
    <w:rsid w:val="00C32119"/>
    <w:rsid w:val="00C34208"/>
    <w:rsid w:val="00C34AAC"/>
    <w:rsid w:val="00C3555C"/>
    <w:rsid w:val="00C366C4"/>
    <w:rsid w:val="00C373C2"/>
    <w:rsid w:val="00C374F0"/>
    <w:rsid w:val="00C375CB"/>
    <w:rsid w:val="00C404E4"/>
    <w:rsid w:val="00C42508"/>
    <w:rsid w:val="00C42C10"/>
    <w:rsid w:val="00C42D9F"/>
    <w:rsid w:val="00C4437C"/>
    <w:rsid w:val="00C444D0"/>
    <w:rsid w:val="00C472D7"/>
    <w:rsid w:val="00C50170"/>
    <w:rsid w:val="00C50A4B"/>
    <w:rsid w:val="00C5372F"/>
    <w:rsid w:val="00C53AC7"/>
    <w:rsid w:val="00C54978"/>
    <w:rsid w:val="00C54BA3"/>
    <w:rsid w:val="00C54BAF"/>
    <w:rsid w:val="00C60DBA"/>
    <w:rsid w:val="00C62699"/>
    <w:rsid w:val="00C6465E"/>
    <w:rsid w:val="00C64A86"/>
    <w:rsid w:val="00C64E43"/>
    <w:rsid w:val="00C6552A"/>
    <w:rsid w:val="00C65533"/>
    <w:rsid w:val="00C66DA8"/>
    <w:rsid w:val="00C70B9D"/>
    <w:rsid w:val="00C75629"/>
    <w:rsid w:val="00C758C6"/>
    <w:rsid w:val="00C76212"/>
    <w:rsid w:val="00C76AD9"/>
    <w:rsid w:val="00C77041"/>
    <w:rsid w:val="00C77849"/>
    <w:rsid w:val="00C77F03"/>
    <w:rsid w:val="00C818AF"/>
    <w:rsid w:val="00C81ADC"/>
    <w:rsid w:val="00C81F3D"/>
    <w:rsid w:val="00C822C2"/>
    <w:rsid w:val="00C837D5"/>
    <w:rsid w:val="00C841DD"/>
    <w:rsid w:val="00C8458D"/>
    <w:rsid w:val="00C8725E"/>
    <w:rsid w:val="00C90701"/>
    <w:rsid w:val="00C9106A"/>
    <w:rsid w:val="00C91242"/>
    <w:rsid w:val="00C91E8D"/>
    <w:rsid w:val="00C92E3E"/>
    <w:rsid w:val="00C93279"/>
    <w:rsid w:val="00C9585F"/>
    <w:rsid w:val="00C96C1B"/>
    <w:rsid w:val="00C97AAA"/>
    <w:rsid w:val="00CA059D"/>
    <w:rsid w:val="00CA2C72"/>
    <w:rsid w:val="00CA4D9B"/>
    <w:rsid w:val="00CA6FB7"/>
    <w:rsid w:val="00CA7385"/>
    <w:rsid w:val="00CB0765"/>
    <w:rsid w:val="00CB2B36"/>
    <w:rsid w:val="00CB2C0F"/>
    <w:rsid w:val="00CB3E91"/>
    <w:rsid w:val="00CB42FC"/>
    <w:rsid w:val="00CB5943"/>
    <w:rsid w:val="00CB619A"/>
    <w:rsid w:val="00CB63B3"/>
    <w:rsid w:val="00CB67C1"/>
    <w:rsid w:val="00CB772B"/>
    <w:rsid w:val="00CC00CD"/>
    <w:rsid w:val="00CC0339"/>
    <w:rsid w:val="00CC0B3D"/>
    <w:rsid w:val="00CC0E85"/>
    <w:rsid w:val="00CC4DF1"/>
    <w:rsid w:val="00CC748E"/>
    <w:rsid w:val="00CD02E0"/>
    <w:rsid w:val="00CD2B8C"/>
    <w:rsid w:val="00CD305E"/>
    <w:rsid w:val="00CD4A86"/>
    <w:rsid w:val="00CD5576"/>
    <w:rsid w:val="00CD7005"/>
    <w:rsid w:val="00CD7E27"/>
    <w:rsid w:val="00CE12E2"/>
    <w:rsid w:val="00CE15B5"/>
    <w:rsid w:val="00CE2805"/>
    <w:rsid w:val="00CE4E6E"/>
    <w:rsid w:val="00CE7A1A"/>
    <w:rsid w:val="00CF02E0"/>
    <w:rsid w:val="00CF0701"/>
    <w:rsid w:val="00CF1B01"/>
    <w:rsid w:val="00CF267E"/>
    <w:rsid w:val="00CF2CB7"/>
    <w:rsid w:val="00CF44E0"/>
    <w:rsid w:val="00CF4E65"/>
    <w:rsid w:val="00CF600D"/>
    <w:rsid w:val="00CF7275"/>
    <w:rsid w:val="00CF7A13"/>
    <w:rsid w:val="00D003D4"/>
    <w:rsid w:val="00D01760"/>
    <w:rsid w:val="00D01EBF"/>
    <w:rsid w:val="00D06596"/>
    <w:rsid w:val="00D077EB"/>
    <w:rsid w:val="00D078B8"/>
    <w:rsid w:val="00D10800"/>
    <w:rsid w:val="00D12085"/>
    <w:rsid w:val="00D129EB"/>
    <w:rsid w:val="00D13D5F"/>
    <w:rsid w:val="00D15B95"/>
    <w:rsid w:val="00D16E39"/>
    <w:rsid w:val="00D170B9"/>
    <w:rsid w:val="00D17379"/>
    <w:rsid w:val="00D1798A"/>
    <w:rsid w:val="00D21C43"/>
    <w:rsid w:val="00D220D3"/>
    <w:rsid w:val="00D2214A"/>
    <w:rsid w:val="00D223B6"/>
    <w:rsid w:val="00D22BEB"/>
    <w:rsid w:val="00D23AD8"/>
    <w:rsid w:val="00D2423E"/>
    <w:rsid w:val="00D25DC9"/>
    <w:rsid w:val="00D261E8"/>
    <w:rsid w:val="00D2686C"/>
    <w:rsid w:val="00D26B57"/>
    <w:rsid w:val="00D26E1A"/>
    <w:rsid w:val="00D27442"/>
    <w:rsid w:val="00D27E69"/>
    <w:rsid w:val="00D30F01"/>
    <w:rsid w:val="00D32A50"/>
    <w:rsid w:val="00D350DE"/>
    <w:rsid w:val="00D35FC1"/>
    <w:rsid w:val="00D41655"/>
    <w:rsid w:val="00D41EE1"/>
    <w:rsid w:val="00D42298"/>
    <w:rsid w:val="00D42E4F"/>
    <w:rsid w:val="00D4320D"/>
    <w:rsid w:val="00D44E97"/>
    <w:rsid w:val="00D460D9"/>
    <w:rsid w:val="00D47709"/>
    <w:rsid w:val="00D506C0"/>
    <w:rsid w:val="00D5114B"/>
    <w:rsid w:val="00D517B4"/>
    <w:rsid w:val="00D53894"/>
    <w:rsid w:val="00D53C6C"/>
    <w:rsid w:val="00D54876"/>
    <w:rsid w:val="00D54C45"/>
    <w:rsid w:val="00D54D4B"/>
    <w:rsid w:val="00D56F1D"/>
    <w:rsid w:val="00D57CBC"/>
    <w:rsid w:val="00D60327"/>
    <w:rsid w:val="00D612BB"/>
    <w:rsid w:val="00D634A3"/>
    <w:rsid w:val="00D641C3"/>
    <w:rsid w:val="00D64981"/>
    <w:rsid w:val="00D650B5"/>
    <w:rsid w:val="00D65318"/>
    <w:rsid w:val="00D66C4F"/>
    <w:rsid w:val="00D679D8"/>
    <w:rsid w:val="00D7075B"/>
    <w:rsid w:val="00D710B9"/>
    <w:rsid w:val="00D71D22"/>
    <w:rsid w:val="00D72126"/>
    <w:rsid w:val="00D72E9D"/>
    <w:rsid w:val="00D73FA7"/>
    <w:rsid w:val="00D74765"/>
    <w:rsid w:val="00D7568C"/>
    <w:rsid w:val="00D757E1"/>
    <w:rsid w:val="00D7727A"/>
    <w:rsid w:val="00D82CE5"/>
    <w:rsid w:val="00D84FE0"/>
    <w:rsid w:val="00D85A25"/>
    <w:rsid w:val="00D85C8F"/>
    <w:rsid w:val="00D86474"/>
    <w:rsid w:val="00D87181"/>
    <w:rsid w:val="00D8736E"/>
    <w:rsid w:val="00D90EFA"/>
    <w:rsid w:val="00D914DB"/>
    <w:rsid w:val="00D92770"/>
    <w:rsid w:val="00D93287"/>
    <w:rsid w:val="00D94D04"/>
    <w:rsid w:val="00D95BD9"/>
    <w:rsid w:val="00D970D3"/>
    <w:rsid w:val="00D978B4"/>
    <w:rsid w:val="00D97DDD"/>
    <w:rsid w:val="00DA191E"/>
    <w:rsid w:val="00DA24C1"/>
    <w:rsid w:val="00DA41EF"/>
    <w:rsid w:val="00DA583D"/>
    <w:rsid w:val="00DA5AB1"/>
    <w:rsid w:val="00DA77EC"/>
    <w:rsid w:val="00DA7B6E"/>
    <w:rsid w:val="00DA7CCA"/>
    <w:rsid w:val="00DB0DFA"/>
    <w:rsid w:val="00DB1542"/>
    <w:rsid w:val="00DB28B8"/>
    <w:rsid w:val="00DB3D31"/>
    <w:rsid w:val="00DB6234"/>
    <w:rsid w:val="00DB68F9"/>
    <w:rsid w:val="00DC02B2"/>
    <w:rsid w:val="00DC1562"/>
    <w:rsid w:val="00DC2AFD"/>
    <w:rsid w:val="00DC3544"/>
    <w:rsid w:val="00DC3A87"/>
    <w:rsid w:val="00DC4E41"/>
    <w:rsid w:val="00DC62E5"/>
    <w:rsid w:val="00DC743F"/>
    <w:rsid w:val="00DC78DC"/>
    <w:rsid w:val="00DD0BB0"/>
    <w:rsid w:val="00DD293E"/>
    <w:rsid w:val="00DD32A0"/>
    <w:rsid w:val="00DD3E02"/>
    <w:rsid w:val="00DD3E55"/>
    <w:rsid w:val="00DD451F"/>
    <w:rsid w:val="00DD47A2"/>
    <w:rsid w:val="00DD49C4"/>
    <w:rsid w:val="00DD5376"/>
    <w:rsid w:val="00DD54ED"/>
    <w:rsid w:val="00DD652D"/>
    <w:rsid w:val="00DD6845"/>
    <w:rsid w:val="00DD6847"/>
    <w:rsid w:val="00DD735D"/>
    <w:rsid w:val="00DD7FA8"/>
    <w:rsid w:val="00DE07A5"/>
    <w:rsid w:val="00DE247F"/>
    <w:rsid w:val="00DE308A"/>
    <w:rsid w:val="00DE3119"/>
    <w:rsid w:val="00DE3139"/>
    <w:rsid w:val="00DE3BBA"/>
    <w:rsid w:val="00DE5BCA"/>
    <w:rsid w:val="00DE6872"/>
    <w:rsid w:val="00DF0650"/>
    <w:rsid w:val="00DF20FB"/>
    <w:rsid w:val="00DF2128"/>
    <w:rsid w:val="00DF236B"/>
    <w:rsid w:val="00DF2804"/>
    <w:rsid w:val="00DF28C7"/>
    <w:rsid w:val="00DF3553"/>
    <w:rsid w:val="00DF3F8D"/>
    <w:rsid w:val="00DF64F5"/>
    <w:rsid w:val="00DF6AA5"/>
    <w:rsid w:val="00DF7086"/>
    <w:rsid w:val="00DF7F9E"/>
    <w:rsid w:val="00E00221"/>
    <w:rsid w:val="00E0048D"/>
    <w:rsid w:val="00E00F1D"/>
    <w:rsid w:val="00E018F9"/>
    <w:rsid w:val="00E019EA"/>
    <w:rsid w:val="00E02842"/>
    <w:rsid w:val="00E02B70"/>
    <w:rsid w:val="00E04A52"/>
    <w:rsid w:val="00E057C5"/>
    <w:rsid w:val="00E0677C"/>
    <w:rsid w:val="00E06A8D"/>
    <w:rsid w:val="00E10879"/>
    <w:rsid w:val="00E111EA"/>
    <w:rsid w:val="00E11408"/>
    <w:rsid w:val="00E13AB8"/>
    <w:rsid w:val="00E13D3F"/>
    <w:rsid w:val="00E1640E"/>
    <w:rsid w:val="00E16924"/>
    <w:rsid w:val="00E228D6"/>
    <w:rsid w:val="00E234D7"/>
    <w:rsid w:val="00E25CB3"/>
    <w:rsid w:val="00E27E15"/>
    <w:rsid w:val="00E3074B"/>
    <w:rsid w:val="00E31A47"/>
    <w:rsid w:val="00E32A49"/>
    <w:rsid w:val="00E33B62"/>
    <w:rsid w:val="00E34106"/>
    <w:rsid w:val="00E34DEB"/>
    <w:rsid w:val="00E354CF"/>
    <w:rsid w:val="00E356D7"/>
    <w:rsid w:val="00E359EB"/>
    <w:rsid w:val="00E36139"/>
    <w:rsid w:val="00E40D14"/>
    <w:rsid w:val="00E4143A"/>
    <w:rsid w:val="00E41823"/>
    <w:rsid w:val="00E41943"/>
    <w:rsid w:val="00E42461"/>
    <w:rsid w:val="00E42761"/>
    <w:rsid w:val="00E43624"/>
    <w:rsid w:val="00E44610"/>
    <w:rsid w:val="00E46137"/>
    <w:rsid w:val="00E50774"/>
    <w:rsid w:val="00E510C7"/>
    <w:rsid w:val="00E5199E"/>
    <w:rsid w:val="00E51CF8"/>
    <w:rsid w:val="00E52E0F"/>
    <w:rsid w:val="00E53B77"/>
    <w:rsid w:val="00E54365"/>
    <w:rsid w:val="00E5462E"/>
    <w:rsid w:val="00E56338"/>
    <w:rsid w:val="00E56EC0"/>
    <w:rsid w:val="00E57652"/>
    <w:rsid w:val="00E62C10"/>
    <w:rsid w:val="00E631C7"/>
    <w:rsid w:val="00E65BDD"/>
    <w:rsid w:val="00E66455"/>
    <w:rsid w:val="00E66F90"/>
    <w:rsid w:val="00E70C4B"/>
    <w:rsid w:val="00E73728"/>
    <w:rsid w:val="00E73C2F"/>
    <w:rsid w:val="00E73F9E"/>
    <w:rsid w:val="00E742E7"/>
    <w:rsid w:val="00E76013"/>
    <w:rsid w:val="00E76D64"/>
    <w:rsid w:val="00E76DD0"/>
    <w:rsid w:val="00E76F4B"/>
    <w:rsid w:val="00E81300"/>
    <w:rsid w:val="00E81CD9"/>
    <w:rsid w:val="00E81FD0"/>
    <w:rsid w:val="00E84BEA"/>
    <w:rsid w:val="00E87FB5"/>
    <w:rsid w:val="00E90617"/>
    <w:rsid w:val="00E90847"/>
    <w:rsid w:val="00E91B88"/>
    <w:rsid w:val="00E91C7E"/>
    <w:rsid w:val="00E9622C"/>
    <w:rsid w:val="00E96F1A"/>
    <w:rsid w:val="00EA04BE"/>
    <w:rsid w:val="00EA0C86"/>
    <w:rsid w:val="00EA1DB5"/>
    <w:rsid w:val="00EA2015"/>
    <w:rsid w:val="00EA2E7A"/>
    <w:rsid w:val="00EA3761"/>
    <w:rsid w:val="00EA3916"/>
    <w:rsid w:val="00EA3B8E"/>
    <w:rsid w:val="00EA4951"/>
    <w:rsid w:val="00EA620F"/>
    <w:rsid w:val="00EB03A0"/>
    <w:rsid w:val="00EB0D38"/>
    <w:rsid w:val="00EB23D0"/>
    <w:rsid w:val="00EB2CBD"/>
    <w:rsid w:val="00EB5263"/>
    <w:rsid w:val="00EB5408"/>
    <w:rsid w:val="00EB55EE"/>
    <w:rsid w:val="00EB5A79"/>
    <w:rsid w:val="00EB5E41"/>
    <w:rsid w:val="00EC2339"/>
    <w:rsid w:val="00EC5592"/>
    <w:rsid w:val="00EC5B1B"/>
    <w:rsid w:val="00EC77E0"/>
    <w:rsid w:val="00ED0181"/>
    <w:rsid w:val="00ED05A8"/>
    <w:rsid w:val="00ED0D83"/>
    <w:rsid w:val="00ED18C9"/>
    <w:rsid w:val="00ED1921"/>
    <w:rsid w:val="00ED1A5E"/>
    <w:rsid w:val="00ED21E1"/>
    <w:rsid w:val="00ED2C7A"/>
    <w:rsid w:val="00ED3136"/>
    <w:rsid w:val="00ED5E7E"/>
    <w:rsid w:val="00ED6D48"/>
    <w:rsid w:val="00ED716D"/>
    <w:rsid w:val="00EE084F"/>
    <w:rsid w:val="00EE2C9C"/>
    <w:rsid w:val="00EE336A"/>
    <w:rsid w:val="00EE3508"/>
    <w:rsid w:val="00EE4DB1"/>
    <w:rsid w:val="00EE5212"/>
    <w:rsid w:val="00EE55BB"/>
    <w:rsid w:val="00EE59B5"/>
    <w:rsid w:val="00EE64FF"/>
    <w:rsid w:val="00EE6A82"/>
    <w:rsid w:val="00EE75CC"/>
    <w:rsid w:val="00EE7C1A"/>
    <w:rsid w:val="00EF0420"/>
    <w:rsid w:val="00EF169E"/>
    <w:rsid w:val="00EF1F7B"/>
    <w:rsid w:val="00EF28A9"/>
    <w:rsid w:val="00EF2D58"/>
    <w:rsid w:val="00EF3258"/>
    <w:rsid w:val="00EF3F42"/>
    <w:rsid w:val="00EF4E3B"/>
    <w:rsid w:val="00EF5547"/>
    <w:rsid w:val="00EF5E27"/>
    <w:rsid w:val="00EF64D8"/>
    <w:rsid w:val="00EF6FEA"/>
    <w:rsid w:val="00F0076F"/>
    <w:rsid w:val="00F01990"/>
    <w:rsid w:val="00F033A6"/>
    <w:rsid w:val="00F04156"/>
    <w:rsid w:val="00F04D40"/>
    <w:rsid w:val="00F05E5B"/>
    <w:rsid w:val="00F0608C"/>
    <w:rsid w:val="00F06296"/>
    <w:rsid w:val="00F06A29"/>
    <w:rsid w:val="00F074DD"/>
    <w:rsid w:val="00F075FE"/>
    <w:rsid w:val="00F0774D"/>
    <w:rsid w:val="00F077AE"/>
    <w:rsid w:val="00F10954"/>
    <w:rsid w:val="00F11566"/>
    <w:rsid w:val="00F11955"/>
    <w:rsid w:val="00F11D29"/>
    <w:rsid w:val="00F128BC"/>
    <w:rsid w:val="00F14985"/>
    <w:rsid w:val="00F16AE2"/>
    <w:rsid w:val="00F172E0"/>
    <w:rsid w:val="00F2035B"/>
    <w:rsid w:val="00F2107D"/>
    <w:rsid w:val="00F2195A"/>
    <w:rsid w:val="00F21B2C"/>
    <w:rsid w:val="00F21BA2"/>
    <w:rsid w:val="00F21D09"/>
    <w:rsid w:val="00F2274F"/>
    <w:rsid w:val="00F24230"/>
    <w:rsid w:val="00F25C0B"/>
    <w:rsid w:val="00F26F3C"/>
    <w:rsid w:val="00F26F4E"/>
    <w:rsid w:val="00F301AD"/>
    <w:rsid w:val="00F3110C"/>
    <w:rsid w:val="00F33364"/>
    <w:rsid w:val="00F34431"/>
    <w:rsid w:val="00F34C8E"/>
    <w:rsid w:val="00F34CBA"/>
    <w:rsid w:val="00F3533F"/>
    <w:rsid w:val="00F3791E"/>
    <w:rsid w:val="00F42CA4"/>
    <w:rsid w:val="00F4315D"/>
    <w:rsid w:val="00F43A17"/>
    <w:rsid w:val="00F43A68"/>
    <w:rsid w:val="00F476A9"/>
    <w:rsid w:val="00F47A21"/>
    <w:rsid w:val="00F5101F"/>
    <w:rsid w:val="00F5123F"/>
    <w:rsid w:val="00F51E02"/>
    <w:rsid w:val="00F520D5"/>
    <w:rsid w:val="00F536CD"/>
    <w:rsid w:val="00F55F3A"/>
    <w:rsid w:val="00F574CC"/>
    <w:rsid w:val="00F6029C"/>
    <w:rsid w:val="00F6064F"/>
    <w:rsid w:val="00F60B42"/>
    <w:rsid w:val="00F61B1D"/>
    <w:rsid w:val="00F61C41"/>
    <w:rsid w:val="00F61F32"/>
    <w:rsid w:val="00F62963"/>
    <w:rsid w:val="00F64812"/>
    <w:rsid w:val="00F65EC5"/>
    <w:rsid w:val="00F65FD5"/>
    <w:rsid w:val="00F6751F"/>
    <w:rsid w:val="00F73D70"/>
    <w:rsid w:val="00F75BAD"/>
    <w:rsid w:val="00F764CE"/>
    <w:rsid w:val="00F77855"/>
    <w:rsid w:val="00F80D0F"/>
    <w:rsid w:val="00F80E8A"/>
    <w:rsid w:val="00F84899"/>
    <w:rsid w:val="00F84F4F"/>
    <w:rsid w:val="00F859F0"/>
    <w:rsid w:val="00F90D7E"/>
    <w:rsid w:val="00F90DB0"/>
    <w:rsid w:val="00F91287"/>
    <w:rsid w:val="00F91CA1"/>
    <w:rsid w:val="00F92D53"/>
    <w:rsid w:val="00F93250"/>
    <w:rsid w:val="00F94805"/>
    <w:rsid w:val="00F94B44"/>
    <w:rsid w:val="00F9511B"/>
    <w:rsid w:val="00F95598"/>
    <w:rsid w:val="00F95FAB"/>
    <w:rsid w:val="00F97544"/>
    <w:rsid w:val="00FA0BE5"/>
    <w:rsid w:val="00FA1420"/>
    <w:rsid w:val="00FA15DA"/>
    <w:rsid w:val="00FA1947"/>
    <w:rsid w:val="00FA28BF"/>
    <w:rsid w:val="00FA3221"/>
    <w:rsid w:val="00FA63A7"/>
    <w:rsid w:val="00FA6B54"/>
    <w:rsid w:val="00FB324F"/>
    <w:rsid w:val="00FB48C5"/>
    <w:rsid w:val="00FB5E3B"/>
    <w:rsid w:val="00FB5F23"/>
    <w:rsid w:val="00FC08AD"/>
    <w:rsid w:val="00FC16AE"/>
    <w:rsid w:val="00FC4AF7"/>
    <w:rsid w:val="00FC5EB6"/>
    <w:rsid w:val="00FD1C4A"/>
    <w:rsid w:val="00FD2088"/>
    <w:rsid w:val="00FD2829"/>
    <w:rsid w:val="00FD2EA3"/>
    <w:rsid w:val="00FD3F65"/>
    <w:rsid w:val="00FD461D"/>
    <w:rsid w:val="00FD46B4"/>
    <w:rsid w:val="00FD4AA4"/>
    <w:rsid w:val="00FD5F1B"/>
    <w:rsid w:val="00FD7084"/>
    <w:rsid w:val="00FD7993"/>
    <w:rsid w:val="00FD7D17"/>
    <w:rsid w:val="00FE07B7"/>
    <w:rsid w:val="00FE094E"/>
    <w:rsid w:val="00FE0B32"/>
    <w:rsid w:val="00FE141E"/>
    <w:rsid w:val="00FE1B1A"/>
    <w:rsid w:val="00FE1C75"/>
    <w:rsid w:val="00FE1C7D"/>
    <w:rsid w:val="00FE1E34"/>
    <w:rsid w:val="00FE38FF"/>
    <w:rsid w:val="00FE3D48"/>
    <w:rsid w:val="00FE42ED"/>
    <w:rsid w:val="00FE4C26"/>
    <w:rsid w:val="00FE4EF2"/>
    <w:rsid w:val="00FE63C7"/>
    <w:rsid w:val="00FE6445"/>
    <w:rsid w:val="00FE759E"/>
    <w:rsid w:val="00FE7664"/>
    <w:rsid w:val="00FF1C68"/>
    <w:rsid w:val="00FF4164"/>
    <w:rsid w:val="00FF485B"/>
    <w:rsid w:val="00FF4CB9"/>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 w:type="character" w:customStyle="1" w:styleId="Mencinsinresolver3">
    <w:name w:val="Mención sin resolver3"/>
    <w:basedOn w:val="Fuentedeprrafopredeter"/>
    <w:uiPriority w:val="99"/>
    <w:semiHidden/>
    <w:unhideWhenUsed/>
    <w:rsid w:val="00B552B6"/>
    <w:rPr>
      <w:color w:val="605E5C"/>
      <w:shd w:val="clear" w:color="auto" w:fill="E1DFDD"/>
    </w:rPr>
  </w:style>
  <w:style w:type="character" w:customStyle="1" w:styleId="normaltextrun">
    <w:name w:val="normaltextrun"/>
    <w:basedOn w:val="Fuentedeprrafopredeter"/>
    <w:rsid w:val="00F2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54686247">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3216244">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09284185">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499346589">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5329">
      <w:bodyDiv w:val="1"/>
      <w:marLeft w:val="0"/>
      <w:marRight w:val="0"/>
      <w:marTop w:val="0"/>
      <w:marBottom w:val="0"/>
      <w:divBdr>
        <w:top w:val="none" w:sz="0" w:space="0" w:color="auto"/>
        <w:left w:val="none" w:sz="0" w:space="0" w:color="auto"/>
        <w:bottom w:val="none" w:sz="0" w:space="0" w:color="auto"/>
        <w:right w:val="none" w:sz="0" w:space="0" w:color="auto"/>
      </w:divBdr>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357188">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44299666">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799808717">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58267825">
      <w:bodyDiv w:val="1"/>
      <w:marLeft w:val="0"/>
      <w:marRight w:val="0"/>
      <w:marTop w:val="0"/>
      <w:marBottom w:val="0"/>
      <w:divBdr>
        <w:top w:val="none" w:sz="0" w:space="0" w:color="auto"/>
        <w:left w:val="none" w:sz="0" w:space="0" w:color="auto"/>
        <w:bottom w:val="none" w:sz="0" w:space="0" w:color="auto"/>
        <w:right w:val="none" w:sz="0" w:space="0" w:color="auto"/>
      </w:divBdr>
    </w:div>
    <w:div w:id="969702650">
      <w:bodyDiv w:val="1"/>
      <w:marLeft w:val="0"/>
      <w:marRight w:val="0"/>
      <w:marTop w:val="0"/>
      <w:marBottom w:val="0"/>
      <w:divBdr>
        <w:top w:val="none" w:sz="0" w:space="0" w:color="auto"/>
        <w:left w:val="none" w:sz="0" w:space="0" w:color="auto"/>
        <w:bottom w:val="none" w:sz="0" w:space="0" w:color="auto"/>
        <w:right w:val="none" w:sz="0" w:space="0" w:color="auto"/>
      </w:divBdr>
    </w:div>
    <w:div w:id="974527350">
      <w:bodyDiv w:val="1"/>
      <w:marLeft w:val="0"/>
      <w:marRight w:val="0"/>
      <w:marTop w:val="0"/>
      <w:marBottom w:val="0"/>
      <w:divBdr>
        <w:top w:val="none" w:sz="0" w:space="0" w:color="auto"/>
        <w:left w:val="none" w:sz="0" w:space="0" w:color="auto"/>
        <w:bottom w:val="none" w:sz="0" w:space="0" w:color="auto"/>
        <w:right w:val="none" w:sz="0" w:space="0" w:color="auto"/>
      </w:divBdr>
    </w:div>
    <w:div w:id="992298205">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88667">
      <w:bodyDiv w:val="1"/>
      <w:marLeft w:val="0"/>
      <w:marRight w:val="0"/>
      <w:marTop w:val="0"/>
      <w:marBottom w:val="0"/>
      <w:divBdr>
        <w:top w:val="none" w:sz="0" w:space="0" w:color="auto"/>
        <w:left w:val="none" w:sz="0" w:space="0" w:color="auto"/>
        <w:bottom w:val="none" w:sz="0" w:space="0" w:color="auto"/>
        <w:right w:val="none" w:sz="0" w:space="0" w:color="auto"/>
      </w:divBdr>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72965863">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57264985">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178304134">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07139070">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0252316">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17289661">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25941">
      <w:bodyDiv w:val="1"/>
      <w:marLeft w:val="0"/>
      <w:marRight w:val="0"/>
      <w:marTop w:val="0"/>
      <w:marBottom w:val="0"/>
      <w:divBdr>
        <w:top w:val="none" w:sz="0" w:space="0" w:color="auto"/>
        <w:left w:val="none" w:sz="0" w:space="0" w:color="auto"/>
        <w:bottom w:val="none" w:sz="0" w:space="0" w:color="auto"/>
        <w:right w:val="none" w:sz="0" w:space="0" w:color="auto"/>
      </w:divBdr>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09334319">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21401915">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capacidad_resid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2436B-D19E-4EF4-804A-B052EAC28DA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A0A433F7-3F7E-4B1D-90B1-03D31608A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13</Pages>
  <Words>4514</Words>
  <Characters>24830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2022-06-21T21:39:00Z</dcterms:created>
  <dcterms:modified xsi:type="dcterms:W3CDTF">2022-06-21T21:39:00Z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