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D5F3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D5F33">
        <w:rPr>
          <w:rFonts w:ascii="Arial" w:hAnsi="Arial" w:cs="Arial"/>
          <w:bCs/>
          <w:color w:val="000000" w:themeColor="text1"/>
          <w:sz w:val="16"/>
          <w:szCs w:val="16"/>
          <w:lang w:val="es-ES_tradnl" w:eastAsia="es-ES"/>
        </w:rPr>
        <w:t>CCE-DES-FM-17</w:t>
      </w:r>
      <w:bookmarkEnd w:id="0"/>
      <w:bookmarkEnd w:id="1"/>
    </w:p>
    <w:p w14:paraId="55FBD910" w14:textId="77777777" w:rsidR="008536BB" w:rsidRPr="00DD5F33" w:rsidRDefault="008536BB" w:rsidP="00B95C30">
      <w:pPr>
        <w:spacing w:line="276" w:lineRule="auto"/>
        <w:jc w:val="both"/>
        <w:rPr>
          <w:rFonts w:ascii="Arial" w:hAnsi="Arial" w:cs="Arial"/>
          <w:noProof/>
          <w:color w:val="000000" w:themeColor="text1"/>
          <w:sz w:val="22"/>
          <w:lang w:val="es-ES_tradnl"/>
        </w:rPr>
      </w:pPr>
    </w:p>
    <w:p w14:paraId="72CC44DB" w14:textId="0163CE97" w:rsidR="00D92C14" w:rsidRPr="00DD5F33" w:rsidRDefault="003B7F37" w:rsidP="00D92C14">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LEY DE EMPRENDIMIENTO</w:t>
      </w:r>
      <w:r w:rsidR="00D92C14"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Ley 2069 de 2020 – Contenido – Finalidad</w:t>
      </w:r>
    </w:p>
    <w:p w14:paraId="217A7DBF" w14:textId="77777777" w:rsidR="00D92C14" w:rsidRPr="00DD5F33" w:rsidRDefault="00D92C14" w:rsidP="00D92C14">
      <w:pPr>
        <w:spacing w:after="120"/>
        <w:contextualSpacing/>
        <w:jc w:val="both"/>
        <w:rPr>
          <w:rFonts w:ascii="Arial" w:eastAsia="Calibri" w:hAnsi="Arial" w:cs="Arial"/>
          <w:color w:val="000000" w:themeColor="text1"/>
          <w:sz w:val="20"/>
          <w:szCs w:val="20"/>
          <w:lang w:val="es-ES_tradnl" w:eastAsia="en-US"/>
        </w:rPr>
      </w:pPr>
    </w:p>
    <w:p w14:paraId="33EE5AA7" w14:textId="065F6805" w:rsidR="003B7F37" w:rsidRPr="00DD5F33" w:rsidRDefault="003B7F37" w:rsidP="003B7F37">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El 31 de diciembre de 2020, en congruencia con el «Pacto por el emprendimiento, la formalización y la productividad» del Plan Nacional de Desarrollo 2018-2022, el Presidente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15B13FC0" w14:textId="77777777" w:rsidR="00295CAA" w:rsidRPr="00DD5F33" w:rsidRDefault="00295CAA" w:rsidP="003B7F37">
      <w:pPr>
        <w:tabs>
          <w:tab w:val="left" w:pos="426"/>
        </w:tabs>
        <w:jc w:val="both"/>
        <w:rPr>
          <w:rFonts w:ascii="Arial" w:hAnsi="Arial" w:cs="Arial"/>
          <w:bCs/>
          <w:color w:val="000000" w:themeColor="text1"/>
          <w:sz w:val="20"/>
          <w:szCs w:val="20"/>
          <w:lang w:val="es-ES_tradnl" w:eastAsia="es-CO"/>
        </w:rPr>
      </w:pPr>
    </w:p>
    <w:p w14:paraId="17D747AE" w14:textId="41DED502" w:rsidR="00D92C14" w:rsidRPr="00DD5F33" w:rsidRDefault="003B7F37" w:rsidP="003B7F37">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1C9E88B1" w14:textId="08EEB569" w:rsidR="00E10CC7" w:rsidRPr="00DD5F33" w:rsidRDefault="00E10CC7" w:rsidP="003B7F37">
      <w:pPr>
        <w:tabs>
          <w:tab w:val="left" w:pos="426"/>
        </w:tabs>
        <w:jc w:val="both"/>
        <w:rPr>
          <w:rFonts w:ascii="Arial" w:hAnsi="Arial" w:cs="Arial"/>
          <w:bCs/>
          <w:color w:val="000000" w:themeColor="text1"/>
          <w:sz w:val="20"/>
          <w:szCs w:val="20"/>
          <w:lang w:val="es-ES_tradnl" w:eastAsia="es-CO"/>
        </w:rPr>
      </w:pPr>
    </w:p>
    <w:p w14:paraId="792ADC78" w14:textId="280035AC" w:rsidR="00E10CC7" w:rsidRPr="00DD5F33" w:rsidRDefault="00553ACB" w:rsidP="00E10CC7">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MÍNIMA CUANTÍA</w:t>
      </w:r>
      <w:r w:rsidR="00E10CC7" w:rsidRPr="00DD5F33">
        <w:rPr>
          <w:rFonts w:ascii="Arial" w:eastAsia="Calibri" w:hAnsi="Arial" w:cs="Arial"/>
          <w:b/>
          <w:bCs/>
          <w:color w:val="000000" w:themeColor="text1"/>
          <w:sz w:val="22"/>
          <w:szCs w:val="22"/>
          <w:lang w:val="es-ES_tradnl" w:eastAsia="en-US"/>
        </w:rPr>
        <w:t xml:space="preserve"> – </w:t>
      </w:r>
      <w:r w:rsidR="00E51A83" w:rsidRPr="00DD5F33">
        <w:rPr>
          <w:rFonts w:ascii="Arial" w:eastAsia="Calibri" w:hAnsi="Arial" w:cs="Arial"/>
          <w:b/>
          <w:bCs/>
          <w:color w:val="000000" w:themeColor="text1"/>
          <w:sz w:val="22"/>
          <w:szCs w:val="22"/>
          <w:lang w:val="es-ES_tradnl" w:eastAsia="en-US"/>
        </w:rPr>
        <w:t xml:space="preserve">Contenido – </w:t>
      </w:r>
      <w:r w:rsidRPr="00DD5F33">
        <w:rPr>
          <w:rFonts w:ascii="Arial" w:eastAsia="Calibri" w:hAnsi="Arial" w:cs="Arial"/>
          <w:b/>
          <w:bCs/>
          <w:color w:val="000000" w:themeColor="text1"/>
          <w:sz w:val="22"/>
          <w:szCs w:val="22"/>
          <w:lang w:val="es-ES_tradnl" w:eastAsia="en-US"/>
        </w:rPr>
        <w:t>Eficacia directa</w:t>
      </w:r>
      <w:r w:rsidR="00E10CC7"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Decreto 1</w:t>
      </w:r>
      <w:r w:rsidR="009762F0" w:rsidRPr="00DD5F33">
        <w:rPr>
          <w:rFonts w:ascii="Arial" w:eastAsia="Calibri" w:hAnsi="Arial" w:cs="Arial"/>
          <w:b/>
          <w:bCs/>
          <w:color w:val="000000" w:themeColor="text1"/>
          <w:sz w:val="22"/>
          <w:szCs w:val="22"/>
          <w:lang w:val="es-ES_tradnl" w:eastAsia="en-US"/>
        </w:rPr>
        <w:t>86</w:t>
      </w:r>
      <w:r w:rsidRPr="00DD5F33">
        <w:rPr>
          <w:rFonts w:ascii="Arial" w:eastAsia="Calibri" w:hAnsi="Arial" w:cs="Arial"/>
          <w:b/>
          <w:bCs/>
          <w:color w:val="000000" w:themeColor="text1"/>
          <w:sz w:val="22"/>
          <w:szCs w:val="22"/>
          <w:lang w:val="es-ES_tradnl" w:eastAsia="en-US"/>
        </w:rPr>
        <w:t>0 de 2021</w:t>
      </w:r>
    </w:p>
    <w:p w14:paraId="7C58F19C" w14:textId="77777777" w:rsidR="00E10CC7" w:rsidRPr="00DD5F33" w:rsidRDefault="00E10CC7" w:rsidP="00E10CC7">
      <w:pPr>
        <w:spacing w:after="120"/>
        <w:contextualSpacing/>
        <w:jc w:val="both"/>
        <w:rPr>
          <w:rFonts w:ascii="Arial" w:eastAsia="Calibri" w:hAnsi="Arial" w:cs="Arial"/>
          <w:color w:val="000000" w:themeColor="text1"/>
          <w:sz w:val="20"/>
          <w:szCs w:val="20"/>
          <w:lang w:val="es-ES_tradnl" w:eastAsia="en-US"/>
        </w:rPr>
      </w:pPr>
    </w:p>
    <w:p w14:paraId="4D6C21A7" w14:textId="0610482A" w:rsidR="00933F0F" w:rsidRPr="00DD5F33" w:rsidRDefault="00933F0F" w:rsidP="00933F0F">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 dado que el artículo 30 de la Ley 2069 de 2020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su vigencia efectiva. En otras palabras, la mínima cuantía es directamente aplicable, sin perjuicio de que a través del ejercicio de la potestad reglamentaria se desarrolle específicamente la «Singularidad, especialidad e individualidad» del trámite, así como la realización de estas adquisiciones a mipymes o establecimientos que correspondan a la definición de «gran almacén», lo cual se realizó mediante el Decreto 1860 del 24 de diciembre de 2021, pero que solo resulta aplicable para los procesos de mínima cuantía, cuya invitación se </w:t>
      </w:r>
      <w:r w:rsidR="00E51A83" w:rsidRPr="00DD5F33">
        <w:rPr>
          <w:rFonts w:ascii="Arial" w:hAnsi="Arial" w:cs="Arial"/>
          <w:bCs/>
          <w:color w:val="000000" w:themeColor="text1"/>
          <w:sz w:val="20"/>
          <w:szCs w:val="20"/>
          <w:lang w:val="es-ES_tradnl" w:eastAsia="es-CO"/>
        </w:rPr>
        <w:t>haya publicado</w:t>
      </w:r>
      <w:r w:rsidRPr="00DD5F33">
        <w:rPr>
          <w:rFonts w:ascii="Arial" w:hAnsi="Arial" w:cs="Arial"/>
          <w:bCs/>
          <w:color w:val="000000" w:themeColor="text1"/>
          <w:sz w:val="20"/>
          <w:szCs w:val="20"/>
          <w:lang w:val="es-ES_tradnl" w:eastAsia="es-CO"/>
        </w:rPr>
        <w:t xml:space="preserve"> a partir del 24 de marzo de 2022.</w:t>
      </w:r>
      <w:r w:rsidR="00E51A83" w:rsidRPr="00DD5F33">
        <w:rPr>
          <w:rFonts w:ascii="Arial" w:hAnsi="Arial" w:cs="Arial"/>
          <w:bCs/>
          <w:color w:val="000000" w:themeColor="text1"/>
          <w:sz w:val="20"/>
          <w:szCs w:val="20"/>
          <w:lang w:val="es-ES_tradnl" w:eastAsia="es-CO"/>
        </w:rPr>
        <w:t xml:space="preserve"> </w:t>
      </w:r>
      <w:r w:rsidRPr="00DD5F33">
        <w:rPr>
          <w:rFonts w:ascii="Arial" w:hAnsi="Arial" w:cs="Arial"/>
          <w:bCs/>
          <w:color w:val="000000" w:themeColor="text1"/>
          <w:sz w:val="20"/>
          <w:szCs w:val="20"/>
          <w:lang w:val="es-ES_tradnl" w:eastAsia="es-CO"/>
        </w:rPr>
        <w:t xml:space="preserve">Teniendo en cuenta lo anterior, bajo el marco jurídico actual es posible afirmar que el artículo 30 de la Ley 2069 de 2020 sustituyó el contenido del numeral 5, del artículo 2 de la Ley 1150 de 2007. </w:t>
      </w:r>
    </w:p>
    <w:p w14:paraId="39AD2B9B" w14:textId="7C5ADE48" w:rsidR="00EE4AC9" w:rsidRPr="00DD5F33" w:rsidRDefault="00EE4AC9" w:rsidP="00933F0F">
      <w:pPr>
        <w:tabs>
          <w:tab w:val="left" w:pos="426"/>
        </w:tabs>
        <w:jc w:val="both"/>
        <w:rPr>
          <w:rFonts w:ascii="Arial" w:hAnsi="Arial" w:cs="Arial"/>
          <w:bCs/>
          <w:color w:val="000000" w:themeColor="text1"/>
          <w:sz w:val="20"/>
          <w:szCs w:val="20"/>
          <w:lang w:val="es-ES_tradnl" w:eastAsia="es-CO"/>
        </w:rPr>
      </w:pPr>
    </w:p>
    <w:p w14:paraId="53A36611" w14:textId="6731899C" w:rsidR="00454390" w:rsidRPr="00DD5F33" w:rsidRDefault="00454390" w:rsidP="00454390">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MÍNIMA CUANTÍA – Subsanabilidad – Término – Decreto 1</w:t>
      </w:r>
      <w:r w:rsidR="009762F0" w:rsidRPr="00DD5F33">
        <w:rPr>
          <w:rFonts w:ascii="Arial" w:eastAsia="Calibri" w:hAnsi="Arial" w:cs="Arial"/>
          <w:b/>
          <w:bCs/>
          <w:color w:val="000000" w:themeColor="text1"/>
          <w:sz w:val="22"/>
          <w:szCs w:val="22"/>
          <w:lang w:val="es-ES_tradnl" w:eastAsia="en-US"/>
        </w:rPr>
        <w:t>86</w:t>
      </w:r>
      <w:r w:rsidRPr="00DD5F33">
        <w:rPr>
          <w:rFonts w:ascii="Arial" w:eastAsia="Calibri" w:hAnsi="Arial" w:cs="Arial"/>
          <w:b/>
          <w:bCs/>
          <w:color w:val="000000" w:themeColor="text1"/>
          <w:sz w:val="22"/>
          <w:szCs w:val="22"/>
          <w:lang w:val="es-ES_tradnl" w:eastAsia="en-US"/>
        </w:rPr>
        <w:t>0 de 2021</w:t>
      </w:r>
    </w:p>
    <w:p w14:paraId="450E60C6" w14:textId="77777777" w:rsidR="00454390" w:rsidRPr="00DD5F33" w:rsidRDefault="00454390" w:rsidP="00933F0F">
      <w:pPr>
        <w:tabs>
          <w:tab w:val="left" w:pos="426"/>
        </w:tabs>
        <w:jc w:val="both"/>
        <w:rPr>
          <w:rFonts w:ascii="Arial" w:hAnsi="Arial" w:cs="Arial"/>
          <w:bCs/>
          <w:color w:val="000000" w:themeColor="text1"/>
          <w:sz w:val="20"/>
          <w:szCs w:val="20"/>
          <w:lang w:val="es-ES_tradnl" w:eastAsia="es-CO"/>
        </w:rPr>
      </w:pPr>
    </w:p>
    <w:p w14:paraId="55DDE308" w14:textId="102A01D9" w:rsidR="00EE4AC9" w:rsidRPr="00DD5F33" w:rsidRDefault="00454390" w:rsidP="00EE4AC9">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w:t>
      </w:r>
      <w:r w:rsidR="00EE4AC9" w:rsidRPr="00DD5F33">
        <w:rPr>
          <w:rFonts w:ascii="Arial" w:hAnsi="Arial" w:cs="Arial"/>
          <w:bCs/>
          <w:color w:val="000000" w:themeColor="text1"/>
          <w:sz w:val="20"/>
          <w:szCs w:val="20"/>
          <w:lang w:val="es-ES_tradnl" w:eastAsia="es-CO"/>
        </w:rPr>
        <w:t xml:space="preserve">, el artículo 2.2.1.2.1.5.2. del Decreto 1082 de 2015, modificado por el artículo 2 del Decreto 1860 de 2021, indica que las entidades estatales «establecerán un término preclusivo en la invitación para recibir los documentos subsanables, frente a cada uno de los requerimientos». Las entidades estatales gozan, pues, de discrecionalidad administrativa para establecer el término de subsanación en la invitación, pero una vez lo hagan aquel se convierte en reglado y preclusivo. Si la entidad estatal no define el término, «los proponentes podrán subsanar sus ofertas hasta antes de que finalice el traslado del informe de evaluación». </w:t>
      </w:r>
    </w:p>
    <w:p w14:paraId="5CE5483F" w14:textId="77777777" w:rsidR="00454390" w:rsidRPr="00DD5F33" w:rsidRDefault="00454390" w:rsidP="00EE4AC9">
      <w:pPr>
        <w:tabs>
          <w:tab w:val="left" w:pos="426"/>
        </w:tabs>
        <w:jc w:val="both"/>
        <w:rPr>
          <w:rFonts w:ascii="Arial" w:hAnsi="Arial" w:cs="Arial"/>
          <w:bCs/>
          <w:color w:val="000000" w:themeColor="text1"/>
          <w:sz w:val="20"/>
          <w:szCs w:val="20"/>
          <w:lang w:val="es-ES_tradnl" w:eastAsia="es-CO"/>
        </w:rPr>
      </w:pPr>
    </w:p>
    <w:p w14:paraId="3C5B8ACA" w14:textId="2ADC34E0" w:rsidR="00EE4AC9" w:rsidRPr="00DD5F33" w:rsidRDefault="00EE4AC9" w:rsidP="00EE4AC9">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lastRenderedPageBreak/>
        <w:t xml:space="preserve">Ahora bien, el numeral 5 del artículo 2.2.1.2.1.5.2. no permite que en un solo documento común la entidad estatal solicite la subsanación de los requisitos habilitantes de todos los oferentes sin haber verificado primero el menor precio. Obsérvese que la norma establece que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w:t>
      </w:r>
    </w:p>
    <w:p w14:paraId="2ECFE23A" w14:textId="77777777" w:rsidR="00454390" w:rsidRPr="00DD5F33" w:rsidRDefault="00454390" w:rsidP="00EE4AC9">
      <w:pPr>
        <w:tabs>
          <w:tab w:val="left" w:pos="426"/>
        </w:tabs>
        <w:jc w:val="both"/>
        <w:rPr>
          <w:rFonts w:ascii="Arial" w:hAnsi="Arial" w:cs="Arial"/>
          <w:bCs/>
          <w:color w:val="000000" w:themeColor="text1"/>
          <w:sz w:val="20"/>
          <w:szCs w:val="20"/>
          <w:lang w:val="es-ES_tradnl" w:eastAsia="es-CO"/>
        </w:rPr>
      </w:pPr>
    </w:p>
    <w:p w14:paraId="0685A561" w14:textId="63116EAE" w:rsidR="00EE4AC9" w:rsidRPr="00DD5F33" w:rsidRDefault="00EE4AC9" w:rsidP="00EE4AC9">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En tal sentido, una vez la entidad estatal constate que un oferente presentó el menor precio de todas las propuestas allegadas, verificará si cumple con los requisitos habilitantes. En caso de no cumplirlos y respetando lo dispuesto en el artículo 5 de la Ley 1150 de 2007, le solicitará que subsane el defecto correspondiente, en el término preclusivo previsto en la invitación. Si no se señala término alguno, el proponente podrá subsanar «hasta antes de que finalice el traslado del informe de evaluación» –el cual es de un (1) día hábil–, y así procederá con los demás, en caso de que este no subsane.</w:t>
      </w:r>
    </w:p>
    <w:p w14:paraId="53EC9032" w14:textId="74C6F2E1" w:rsidR="008815D1" w:rsidRPr="00DD5F33" w:rsidRDefault="008815D1" w:rsidP="003A68F4">
      <w:pPr>
        <w:spacing w:line="276" w:lineRule="auto"/>
        <w:jc w:val="both"/>
        <w:rPr>
          <w:rFonts w:ascii="Arial" w:hAnsi="Arial" w:cs="Arial"/>
          <w:noProof/>
          <w:color w:val="000000" w:themeColor="text1"/>
          <w:sz w:val="22"/>
          <w:lang w:val="es-ES_tradnl"/>
        </w:rPr>
      </w:pPr>
    </w:p>
    <w:p w14:paraId="06E426E3" w14:textId="6921DFE6" w:rsidR="000935DA" w:rsidRPr="00DD5F33" w:rsidRDefault="000935DA" w:rsidP="000935DA">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MÍNIMA CUANTÍA – Grandes almacenes – Limitación a mipymes – Solicitud</w:t>
      </w:r>
      <w:r w:rsidR="00391EBF" w:rsidRPr="00DD5F33">
        <w:rPr>
          <w:rFonts w:ascii="Arial" w:eastAsia="Calibri" w:hAnsi="Arial" w:cs="Arial"/>
          <w:b/>
          <w:bCs/>
          <w:color w:val="000000" w:themeColor="text1"/>
          <w:sz w:val="22"/>
          <w:szCs w:val="22"/>
          <w:lang w:val="es-ES_tradnl" w:eastAsia="en-US"/>
        </w:rPr>
        <w:t xml:space="preserve"> – Decreto 1860 de 2021</w:t>
      </w:r>
    </w:p>
    <w:p w14:paraId="0F609295" w14:textId="77777777" w:rsidR="000935DA" w:rsidRPr="00DD5F33" w:rsidRDefault="000935DA" w:rsidP="003A68F4">
      <w:pPr>
        <w:spacing w:line="276" w:lineRule="auto"/>
        <w:jc w:val="both"/>
        <w:rPr>
          <w:rFonts w:ascii="Arial" w:hAnsi="Arial" w:cs="Arial"/>
          <w:noProof/>
          <w:color w:val="000000" w:themeColor="text1"/>
          <w:sz w:val="22"/>
          <w:lang w:val="es-ES_tradnl"/>
        </w:rPr>
      </w:pPr>
    </w:p>
    <w:p w14:paraId="2CDF0928" w14:textId="2943EC6A" w:rsidR="000935DA" w:rsidRPr="00DD5F33" w:rsidRDefault="00391EBF" w:rsidP="000935DA">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w:t>
      </w:r>
      <w:r w:rsidR="000935DA" w:rsidRPr="00DD5F33">
        <w:rPr>
          <w:rFonts w:ascii="Arial" w:hAnsi="Arial" w:cs="Arial"/>
          <w:bCs/>
          <w:color w:val="000000" w:themeColor="text1"/>
          <w:sz w:val="20"/>
          <w:szCs w:val="20"/>
          <w:lang w:val="es-ES_tradnl" w:eastAsia="es-CO"/>
        </w:rPr>
        <w:t xml:space="preserve">, el artículo 2.2.1.2.1.5.3. establece que corresponde a cada entidad estatal decidir si realizará la adquisición en grandes almacenes. En otras palabras, aquella cuenta con discrecionalidad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w:t>
      </w:r>
    </w:p>
    <w:p w14:paraId="3DE2B59F" w14:textId="77777777" w:rsidR="000935DA" w:rsidRPr="00DD5F33" w:rsidRDefault="000935DA" w:rsidP="000935DA">
      <w:pPr>
        <w:tabs>
          <w:tab w:val="left" w:pos="426"/>
        </w:tabs>
        <w:jc w:val="both"/>
        <w:rPr>
          <w:rFonts w:ascii="Arial" w:hAnsi="Arial" w:cs="Arial"/>
          <w:bCs/>
          <w:color w:val="000000" w:themeColor="text1"/>
          <w:sz w:val="20"/>
          <w:szCs w:val="20"/>
          <w:lang w:val="es-ES_tradnl" w:eastAsia="es-CO"/>
        </w:rPr>
      </w:pPr>
    </w:p>
    <w:p w14:paraId="1E92DBFF" w14:textId="036F016D" w:rsidR="000935DA" w:rsidRPr="00DD5F33" w:rsidRDefault="000935DA" w:rsidP="000935DA">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Por otra parte, según lo indica el numeral 3 del artículo 2.2.1.2.1.5.2., en el término que tienen los interesados para formular observaciones a la invitación, «podrán presentar las solicitudes para limitar la convocatoria a Mipyme colombianas». De acuerdo con el numeral cuarto del referido artículo, la entidad estatal debe señalar en el cronograma «El momento en que publicará un aviso en el SECOP precisando si el proceso efectivamente se limitó a Mipyme o si podrá participar cualquier otro interesado». En este aviso, además, «[…] se indicará si en el proceso aplican las limitaciones territoriales de que trata el artículo 2.2.1.2.4.2.3 o si podrá participar cualquier Mipyme nacional». El parágrafo del artículo 2.2.1.2.1.5.2., igualmente, señala que «en estos procedimientos de selección para Mipyme se aplicará lo prescrito en los artículos 2.2.1.2.4.2.2 a 2.2.1.2.4.2.4 de este Decreto». Así pues, las limitaciones a mipymes colombianas se torna obligatoria en la mínima cuantía si se concurren los elementos establecidos en el artículo 2.2.1.2.4.2.2.; mientras que la limitación territorial a mipymes colombianas domiciliadas en los departamentos o municipios en donde se va a ejecutar el contrato es facultativa, de conformidad con el parágrafo 1 del artículo 12 de la Ley 1150 de 2007 y el artículo 2.2.1.2.4.2.3. del Decreto 1082 de 2015.</w:t>
      </w:r>
    </w:p>
    <w:p w14:paraId="447AC8C5" w14:textId="77777777" w:rsidR="008815D1" w:rsidRPr="00DD5F33" w:rsidRDefault="008815D1" w:rsidP="00DE1786">
      <w:pPr>
        <w:tabs>
          <w:tab w:val="left" w:pos="426"/>
        </w:tabs>
        <w:jc w:val="both"/>
        <w:rPr>
          <w:rFonts w:ascii="Arial" w:hAnsi="Arial" w:cs="Arial"/>
          <w:bCs/>
          <w:color w:val="000000" w:themeColor="text1"/>
          <w:sz w:val="20"/>
          <w:szCs w:val="20"/>
          <w:lang w:val="es-ES_tradnl" w:eastAsia="es-CO"/>
        </w:rPr>
      </w:pPr>
    </w:p>
    <w:p w14:paraId="311B3F10" w14:textId="5F6EC7F0" w:rsidR="00DE1786" w:rsidRPr="00DD5F33" w:rsidRDefault="00DE1786" w:rsidP="00DE1786">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DD5F33">
        <w:rPr>
          <w:rFonts w:ascii="Arial" w:hAnsi="Arial" w:cs="Arial"/>
          <w:bCs/>
          <w:i/>
          <w:iCs/>
          <w:color w:val="000000" w:themeColor="text1"/>
          <w:sz w:val="20"/>
          <w:szCs w:val="20"/>
          <w:lang w:val="es-ES_tradnl" w:eastAsia="es-CO"/>
        </w:rPr>
        <w:t>motu proprio</w:t>
      </w:r>
      <w:r w:rsidRPr="00DD5F33">
        <w:rPr>
          <w:rFonts w:ascii="Arial" w:hAnsi="Arial" w:cs="Arial"/>
          <w:bCs/>
          <w:color w:val="000000" w:themeColor="text1"/>
          <w:sz w:val="20"/>
          <w:szCs w:val="20"/>
          <w:lang w:val="es-ES_tradnl" w:eastAsia="es-CO"/>
        </w:rPr>
        <w:t xml:space="preserve"> proceder con la «limitación territorial» de que trata el artículo 2.2.1.2.4.2.3. del Decreto 1082 de 2015. Esto debido a que el ejercicio de esta facultad </w:t>
      </w:r>
      <w:r w:rsidRPr="00DD5F33">
        <w:rPr>
          <w:rFonts w:ascii="Arial" w:hAnsi="Arial" w:cs="Arial"/>
          <w:bCs/>
          <w:color w:val="000000" w:themeColor="text1"/>
          <w:sz w:val="20"/>
          <w:szCs w:val="20"/>
          <w:lang w:val="es-ES_tradnl" w:eastAsia="es-CO"/>
        </w:rPr>
        <w:lastRenderedPageBreak/>
        <w:t>solo puede darse ante la «limitación a Mipymes colombianas», lo cual supone verificar los supuestos legales establecidos en los mencionados numerales.</w:t>
      </w:r>
    </w:p>
    <w:p w14:paraId="63A9610A"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08CA5ACE" w14:textId="54C21F51" w:rsidR="004224A4" w:rsidRPr="00DD5F33" w:rsidRDefault="004224A4" w:rsidP="004224A4">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MIPYMES – Criterios diferenciales – Decreto 1</w:t>
      </w:r>
      <w:r w:rsidR="009762F0" w:rsidRPr="00DD5F33">
        <w:rPr>
          <w:rFonts w:ascii="Arial" w:eastAsia="Calibri" w:hAnsi="Arial" w:cs="Arial"/>
          <w:b/>
          <w:bCs/>
          <w:color w:val="000000" w:themeColor="text1"/>
          <w:sz w:val="22"/>
          <w:szCs w:val="22"/>
          <w:lang w:val="es-ES_tradnl" w:eastAsia="en-US"/>
        </w:rPr>
        <w:t>86</w:t>
      </w:r>
      <w:r w:rsidRPr="00DD5F33">
        <w:rPr>
          <w:rFonts w:ascii="Arial" w:eastAsia="Calibri" w:hAnsi="Arial" w:cs="Arial"/>
          <w:b/>
          <w:bCs/>
          <w:color w:val="000000" w:themeColor="text1"/>
          <w:sz w:val="22"/>
          <w:szCs w:val="22"/>
          <w:lang w:val="es-ES_tradnl" w:eastAsia="en-US"/>
        </w:rPr>
        <w:t>0 de 2021 – Contenido</w:t>
      </w:r>
      <w:r w:rsidR="00EC6E7E" w:rsidRPr="00DD5F33">
        <w:rPr>
          <w:rFonts w:ascii="Arial" w:eastAsia="Calibri" w:hAnsi="Arial" w:cs="Arial"/>
          <w:b/>
          <w:bCs/>
          <w:color w:val="000000" w:themeColor="text1"/>
          <w:sz w:val="22"/>
          <w:szCs w:val="22"/>
          <w:lang w:val="es-ES_tradnl" w:eastAsia="en-US"/>
        </w:rPr>
        <w:t xml:space="preserve"> </w:t>
      </w:r>
      <w:r w:rsidR="00196D1B" w:rsidRPr="00DD5F33">
        <w:rPr>
          <w:rFonts w:ascii="Arial" w:eastAsia="Calibri" w:hAnsi="Arial" w:cs="Arial"/>
          <w:b/>
          <w:bCs/>
          <w:color w:val="000000" w:themeColor="text1"/>
          <w:sz w:val="22"/>
          <w:szCs w:val="22"/>
          <w:lang w:val="es-ES_tradnl" w:eastAsia="en-US"/>
        </w:rPr>
        <w:t xml:space="preserve">– </w:t>
      </w:r>
      <w:r w:rsidR="00A52C69" w:rsidRPr="00DD5F33">
        <w:rPr>
          <w:rFonts w:ascii="Arial" w:eastAsia="Calibri" w:hAnsi="Arial" w:cs="Arial"/>
          <w:b/>
          <w:bCs/>
          <w:color w:val="000000" w:themeColor="text1"/>
          <w:sz w:val="22"/>
          <w:szCs w:val="22"/>
          <w:lang w:val="es-ES_tradnl" w:eastAsia="en-US"/>
        </w:rPr>
        <w:t>Distinciones</w:t>
      </w:r>
    </w:p>
    <w:p w14:paraId="403322F1" w14:textId="2745C1AA" w:rsidR="000844E7" w:rsidRPr="00DD5F33" w:rsidRDefault="000844E7" w:rsidP="003A68F4">
      <w:pPr>
        <w:spacing w:line="276" w:lineRule="auto"/>
        <w:jc w:val="both"/>
        <w:rPr>
          <w:rFonts w:ascii="Arial" w:hAnsi="Arial" w:cs="Arial"/>
          <w:noProof/>
          <w:color w:val="000000" w:themeColor="text1"/>
          <w:sz w:val="22"/>
          <w:lang w:val="es-ES_tradnl"/>
        </w:rPr>
      </w:pPr>
    </w:p>
    <w:p w14:paraId="3A234F54" w14:textId="677FA331" w:rsidR="000B354D" w:rsidRPr="00DD5F33" w:rsidRDefault="000B354D" w:rsidP="000B354D">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El segundo inciso del artículo 12 de la Ley 1150 de 2007, modificado por el artículo 34 de la Ley 2069 de 2020, dispone que el reglamento podrá establecer condiciones preferenciales en favor de la oferta de bienes y servicios producidos por las Mipyme, respetando los montos y las condiciones contenidas en los compromisos internacionales vigentes, cuando sean aplicables». En desarrollo de este enunciado normativo, el artículo 3 del Decreto 1860 de 2021 adicionó al Decreto 1082 de 2015 el artículo 2.2.1.2.4.2.18, […]</w:t>
      </w:r>
    </w:p>
    <w:p w14:paraId="26A47022" w14:textId="0D6EA052" w:rsidR="000B354D" w:rsidRPr="00DD5F33" w:rsidRDefault="000B354D" w:rsidP="000B354D">
      <w:pPr>
        <w:tabs>
          <w:tab w:val="left" w:pos="426"/>
        </w:tabs>
        <w:jc w:val="both"/>
        <w:rPr>
          <w:rFonts w:ascii="Arial" w:hAnsi="Arial" w:cs="Arial"/>
          <w:bCs/>
          <w:color w:val="000000" w:themeColor="text1"/>
          <w:sz w:val="20"/>
          <w:szCs w:val="20"/>
          <w:lang w:val="es-ES_tradnl" w:eastAsia="es-CO"/>
        </w:rPr>
      </w:pPr>
    </w:p>
    <w:p w14:paraId="680926B4" w14:textId="7620F6EB" w:rsidR="000B354D" w:rsidRPr="00DD5F33" w:rsidRDefault="000B354D" w:rsidP="000B354D">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w:t>
      </w:r>
    </w:p>
    <w:p w14:paraId="69AD7A26" w14:textId="3F33E97C" w:rsidR="000B354D" w:rsidRPr="00DD5F33" w:rsidRDefault="000B354D" w:rsidP="003A68F4">
      <w:pPr>
        <w:spacing w:line="276" w:lineRule="auto"/>
        <w:jc w:val="both"/>
        <w:rPr>
          <w:rFonts w:ascii="Arial" w:eastAsia="Calibri" w:hAnsi="Arial" w:cs="Arial"/>
          <w:bCs/>
          <w:color w:val="000000" w:themeColor="text1"/>
          <w:sz w:val="22"/>
          <w:lang w:val="es-ES_tradnl"/>
        </w:rPr>
      </w:pPr>
    </w:p>
    <w:p w14:paraId="75EA8768" w14:textId="609431F8" w:rsidR="00C0500C" w:rsidRPr="00DD5F33" w:rsidRDefault="00C0500C" w:rsidP="00C0500C">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Se deben diferenciar, pues, dos circunstancias: i) una es la limitación de una convocatoria a mipymes –regulada en los artículos 2.2.1.2.4.2.2. al 2.2.1.2.4.2.4. del Decreto 1082 de 2015, modificados por el artículo 5 del Decreto 1860 de 2021– y ii) otra es el establecimiento de criterios</w:t>
      </w:r>
      <w:r w:rsidR="00F80269" w:rsidRPr="00DD5F33">
        <w:rPr>
          <w:rFonts w:ascii="Arial" w:hAnsi="Arial" w:cs="Arial"/>
          <w:bCs/>
          <w:color w:val="000000" w:themeColor="text1"/>
          <w:sz w:val="20"/>
          <w:szCs w:val="20"/>
          <w:lang w:val="es-ES_tradnl" w:eastAsia="es-CO"/>
        </w:rPr>
        <w:t xml:space="preserve"> diferenciales</w:t>
      </w:r>
      <w:r w:rsidRPr="00DD5F33">
        <w:rPr>
          <w:rFonts w:ascii="Arial" w:hAnsi="Arial" w:cs="Arial"/>
          <w:bCs/>
          <w:color w:val="000000" w:themeColor="text1"/>
          <w:sz w:val="20"/>
          <w:szCs w:val="20"/>
          <w:lang w:val="es-ES_tradnl" w:eastAsia="es-CO"/>
        </w:rPr>
        <w:t xml:space="preserve"> para mipymes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63556952" w14:textId="77777777" w:rsidR="00C0500C" w:rsidRPr="00DD5F33" w:rsidRDefault="00C0500C" w:rsidP="00C0500C">
      <w:pPr>
        <w:tabs>
          <w:tab w:val="left" w:pos="426"/>
        </w:tabs>
        <w:jc w:val="both"/>
        <w:rPr>
          <w:rFonts w:ascii="Arial" w:hAnsi="Arial" w:cs="Arial"/>
          <w:bCs/>
          <w:color w:val="000000" w:themeColor="text1"/>
          <w:sz w:val="20"/>
          <w:szCs w:val="20"/>
          <w:lang w:val="es-ES_tradnl" w:eastAsia="es-CO"/>
        </w:rPr>
      </w:pPr>
    </w:p>
    <w:p w14:paraId="4159900D" w14:textId="35178BA8" w:rsidR="00C0500C" w:rsidRPr="00DD5F33" w:rsidRDefault="00C0500C" w:rsidP="00C0500C">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Pero lo anterior no significa que las entidades estatales no deban aplicar los criterios diferenciales para promover y facilitar la participación en los procedimientos de selección competitivos de las mipymes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Único Reglamentario del Sector Comercio, Industria y Turismo, o la norma que lo modifique, derogue o sustituya.</w:t>
      </w:r>
    </w:p>
    <w:p w14:paraId="4591002E" w14:textId="77777777" w:rsidR="000B354D" w:rsidRPr="00DD5F33" w:rsidRDefault="000B354D" w:rsidP="003A68F4">
      <w:pPr>
        <w:spacing w:line="276" w:lineRule="auto"/>
        <w:jc w:val="both"/>
        <w:rPr>
          <w:rFonts w:ascii="Arial" w:hAnsi="Arial" w:cs="Arial"/>
          <w:noProof/>
          <w:color w:val="000000" w:themeColor="text1"/>
          <w:sz w:val="22"/>
          <w:lang w:val="es-ES_tradnl"/>
        </w:rPr>
      </w:pPr>
    </w:p>
    <w:p w14:paraId="12A77988" w14:textId="3BB4BB5E" w:rsidR="00F34CF0" w:rsidRPr="00DD5F33" w:rsidRDefault="00EC6E7E" w:rsidP="00F34CF0">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COLOMBIA COMPRA EFICIENTE</w:t>
      </w:r>
      <w:r w:rsidR="00F34CF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 xml:space="preserve">Suficiencia </w:t>
      </w:r>
      <w:r w:rsidR="00F34CF0" w:rsidRPr="00DD5F33">
        <w:rPr>
          <w:rFonts w:ascii="Arial" w:eastAsia="Calibri" w:hAnsi="Arial" w:cs="Arial"/>
          <w:b/>
          <w:bCs/>
          <w:color w:val="000000" w:themeColor="text1"/>
          <w:sz w:val="22"/>
          <w:szCs w:val="22"/>
          <w:lang w:val="es-ES_tradnl" w:eastAsia="en-US"/>
        </w:rPr>
        <w:t xml:space="preserve">– </w:t>
      </w:r>
      <w:r w:rsidRPr="00DD5F33">
        <w:rPr>
          <w:rFonts w:ascii="Arial" w:eastAsia="Calibri" w:hAnsi="Arial" w:cs="Arial"/>
          <w:b/>
          <w:bCs/>
          <w:color w:val="000000" w:themeColor="text1"/>
          <w:sz w:val="22"/>
          <w:szCs w:val="22"/>
          <w:lang w:val="es-ES_tradnl" w:eastAsia="en-US"/>
        </w:rPr>
        <w:t>Garantía de seriedad</w:t>
      </w:r>
      <w:r w:rsidR="00F34CF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Acuerdos marcos de precios</w:t>
      </w:r>
      <w:r w:rsidR="00F34CF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Mipymes  – Emprendimientos de mujeres – Empresas de mujeres</w:t>
      </w:r>
    </w:p>
    <w:p w14:paraId="4805AD08"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2657FBB6" w14:textId="7235F18A" w:rsidR="00EC6E7E" w:rsidRPr="00DD5F33" w:rsidRDefault="00EC6E7E" w:rsidP="00EC6E7E">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 aunque el artículo 2.2.1.2.3.1.9. del Decreto 1082 de 2015 regula la suficiencia de la garantía de seriedad de la oferta, indicando en el primer inciso que «su valor debe ser de por lo menos el diez por ciento (10%) del valor de la oferta», el artículo 4 del Decreto 1860 de 2021 adicionó un parágrafo a aquella disposición, que establece que «Colombia Compra Eficiente podrá definir un valor de suficiencia diferencial para la garantía de seriedad de las ofertas presentadas por los emprendimientos y las empresas de mujeres, y las Mipyme en los Acuerdos Marco de Precio». </w:t>
      </w:r>
    </w:p>
    <w:p w14:paraId="6BBFC68D" w14:textId="77777777" w:rsidR="00EC6E7E" w:rsidRPr="00DD5F33" w:rsidRDefault="00EC6E7E" w:rsidP="00EC6E7E">
      <w:pPr>
        <w:tabs>
          <w:tab w:val="left" w:pos="426"/>
        </w:tabs>
        <w:jc w:val="both"/>
        <w:rPr>
          <w:rFonts w:ascii="Arial" w:hAnsi="Arial" w:cs="Arial"/>
          <w:bCs/>
          <w:color w:val="000000" w:themeColor="text1"/>
          <w:sz w:val="20"/>
          <w:szCs w:val="20"/>
          <w:lang w:val="es-ES_tradnl" w:eastAsia="es-CO"/>
        </w:rPr>
      </w:pPr>
    </w:p>
    <w:p w14:paraId="18603D6D" w14:textId="77777777" w:rsidR="00EC6E7E" w:rsidRPr="00DD5F33" w:rsidRDefault="00EC6E7E" w:rsidP="00EC6E7E">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Lo anterior quiere decir que el reglamento concedió competencia a Colombia Compra Eficiente para definir un valor de suficiencia diferencial, que no necesariamente deberá coincidir con el valor mínimo del diez por ciento (10%), indicado en el inciso primero del artículo 2.2.1.2.3.1.9. del Decreto 1082 de 2015, en relación con las ofertas presentadas por los emprendimientos y las empresas de mujeres, y las Mipyme en los Acuerdos Marco de Precio. Este será un análisis que realizará la Agencia, en cumplimiento de la facultad señalada en el artículo 4 del Decreto 1860 de 2021, a partir del estudio de oportunidad y conveniencia correspondiente.</w:t>
      </w:r>
    </w:p>
    <w:p w14:paraId="5772C873"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51E2FD30" w14:textId="3ABB32B8" w:rsidR="00564646" w:rsidRPr="00DD5F33" w:rsidRDefault="00564646" w:rsidP="00564646">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EMPRENDIMIENTOS</w:t>
      </w:r>
      <w:r w:rsidR="00B934F5" w:rsidRPr="00DD5F33">
        <w:rPr>
          <w:rFonts w:ascii="Arial" w:eastAsia="Calibri" w:hAnsi="Arial" w:cs="Arial"/>
          <w:b/>
          <w:bCs/>
          <w:color w:val="000000" w:themeColor="text1"/>
          <w:sz w:val="22"/>
          <w:szCs w:val="22"/>
          <w:lang w:val="es-ES_tradnl" w:eastAsia="en-US"/>
        </w:rPr>
        <w:t xml:space="preserve"> Y EMPRESAS</w:t>
      </w:r>
      <w:r w:rsidRPr="00DD5F33">
        <w:rPr>
          <w:rFonts w:ascii="Arial" w:eastAsia="Calibri" w:hAnsi="Arial" w:cs="Arial"/>
          <w:b/>
          <w:bCs/>
          <w:color w:val="000000" w:themeColor="text1"/>
          <w:sz w:val="22"/>
          <w:szCs w:val="22"/>
          <w:lang w:val="es-ES_tradnl" w:eastAsia="en-US"/>
        </w:rPr>
        <w:t xml:space="preserve"> DE MUJERES – Criterios diferenciales – Decreto 1</w:t>
      </w:r>
      <w:r w:rsidR="00DC6C9C" w:rsidRPr="00DD5F33">
        <w:rPr>
          <w:rFonts w:ascii="Arial" w:eastAsia="Calibri" w:hAnsi="Arial" w:cs="Arial"/>
          <w:b/>
          <w:bCs/>
          <w:color w:val="000000" w:themeColor="text1"/>
          <w:sz w:val="22"/>
          <w:szCs w:val="22"/>
          <w:lang w:val="es-ES_tradnl" w:eastAsia="en-US"/>
        </w:rPr>
        <w:t>860 de 2021</w:t>
      </w:r>
      <w:r w:rsidRPr="00DD5F33">
        <w:rPr>
          <w:rFonts w:ascii="Arial" w:eastAsia="Calibri" w:hAnsi="Arial" w:cs="Arial"/>
          <w:b/>
          <w:bCs/>
          <w:color w:val="000000" w:themeColor="text1"/>
          <w:sz w:val="22"/>
          <w:szCs w:val="22"/>
          <w:lang w:val="es-ES_tradnl" w:eastAsia="en-US"/>
        </w:rPr>
        <w:t xml:space="preserve"> – </w:t>
      </w:r>
      <w:r w:rsidR="00DC6C9C" w:rsidRPr="00DD5F33">
        <w:rPr>
          <w:rFonts w:ascii="Arial" w:eastAsia="Calibri" w:hAnsi="Arial" w:cs="Arial"/>
          <w:b/>
          <w:bCs/>
          <w:color w:val="000000" w:themeColor="text1"/>
          <w:sz w:val="22"/>
          <w:szCs w:val="22"/>
          <w:lang w:val="es-ES_tradnl" w:eastAsia="en-US"/>
        </w:rPr>
        <w:t>Forma de acreditación</w:t>
      </w:r>
    </w:p>
    <w:p w14:paraId="1033A040" w14:textId="77777777" w:rsidR="00564646" w:rsidRPr="00DD5F33" w:rsidRDefault="00564646" w:rsidP="00564646">
      <w:pPr>
        <w:jc w:val="both"/>
        <w:rPr>
          <w:rFonts w:ascii="Arial" w:eastAsia="Calibri" w:hAnsi="Arial" w:cs="Arial"/>
          <w:bCs/>
          <w:color w:val="000000"/>
          <w:sz w:val="20"/>
          <w:szCs w:val="20"/>
          <w:lang w:val="es-ES_tradnl" w:eastAsia="en-US"/>
        </w:rPr>
      </w:pPr>
    </w:p>
    <w:p w14:paraId="26C319EE" w14:textId="1E19FC70" w:rsidR="00564646" w:rsidRPr="00DD5F33" w:rsidRDefault="00DC6C9C" w:rsidP="00564646">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w:t>
      </w:r>
      <w:r w:rsidR="00564646" w:rsidRPr="00DD5F33">
        <w:rPr>
          <w:rFonts w:ascii="Arial" w:eastAsia="Calibri" w:hAnsi="Arial" w:cs="Arial"/>
          <w:bCs/>
          <w:color w:val="000000"/>
          <w:sz w:val="20"/>
          <w:szCs w:val="20"/>
          <w:lang w:val="es-ES_tradnl" w:eastAsia="en-US"/>
        </w:rPr>
        <w:t xml:space="preserve">el artículo 2.2.1.2.4.2.14. del Decreto 1082 de 2015, adicionado por el artículo 3 del Decreto 1860 de 2021, establece los documentos que acreditan cada una de las circunstancias por las cuales se puede demostrar que alguien tiene la calidad de emprendimiento y empresa de mujeres. Los documentos a los que se refiere la norma son, por regla general, </w:t>
      </w:r>
      <w:r w:rsidR="00564646" w:rsidRPr="00DD5F33">
        <w:rPr>
          <w:rFonts w:ascii="Arial" w:eastAsia="Calibri" w:hAnsi="Arial" w:cs="Arial"/>
          <w:bCs/>
          <w:i/>
          <w:iCs/>
          <w:color w:val="000000"/>
          <w:sz w:val="20"/>
          <w:szCs w:val="20"/>
          <w:lang w:val="es-ES_tradnl" w:eastAsia="en-US"/>
        </w:rPr>
        <w:t>certificaciones</w:t>
      </w:r>
      <w:r w:rsidR="00564646" w:rsidRPr="00DD5F33">
        <w:rPr>
          <w:rFonts w:ascii="Arial" w:eastAsia="Calibri" w:hAnsi="Arial" w:cs="Arial"/>
          <w:bCs/>
          <w:color w:val="000000"/>
          <w:sz w:val="20"/>
          <w:szCs w:val="20"/>
          <w:lang w:val="es-ES_tradnl" w:eastAsia="en-US"/>
        </w:rPr>
        <w:t xml:space="preserve"> emitidas </w:t>
      </w:r>
      <w:r w:rsidR="00564646" w:rsidRPr="00DD5F33">
        <w:rPr>
          <w:rFonts w:ascii="Arial" w:eastAsia="Calibri" w:hAnsi="Arial" w:cs="Arial"/>
          <w:bCs/>
          <w:i/>
          <w:iCs/>
          <w:color w:val="000000"/>
          <w:sz w:val="20"/>
          <w:szCs w:val="20"/>
          <w:lang w:val="es-ES_tradnl" w:eastAsia="en-US"/>
        </w:rPr>
        <w:t>bajo la gravedad del juramento</w:t>
      </w:r>
      <w:r w:rsidR="00564646" w:rsidRPr="00DD5F33">
        <w:rPr>
          <w:rFonts w:ascii="Arial" w:eastAsia="Calibri" w:hAnsi="Arial" w:cs="Arial"/>
          <w:bCs/>
          <w:color w:val="000000"/>
          <w:sz w:val="20"/>
          <w:szCs w:val="20"/>
          <w:lang w:val="es-ES_tradnl" w:eastAsia="en-US"/>
        </w:rPr>
        <w:t xml:space="preserve">. En el supuesto del numeral 2,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Por su parte, en el evento previsto en el numeral 3, la calidad indicada se debe acreditar mediante «copia de cédula de ciudadanía, la cédula de extranjería o el pasaporte, así como la copia del registro mercantil». Igualmente, es importante considerar que el parágrafo 1 del artículo </w:t>
      </w:r>
      <w:r w:rsidR="00564646" w:rsidRPr="00DD5F33">
        <w:rPr>
          <w:rFonts w:ascii="Arial" w:eastAsia="Calibri" w:hAnsi="Arial" w:cs="Arial"/>
          <w:color w:val="000000"/>
          <w:sz w:val="20"/>
          <w:szCs w:val="20"/>
          <w:lang w:eastAsia="en-US"/>
        </w:rPr>
        <w:t>2.2.1.2.4.2.15.</w:t>
      </w:r>
      <w:r w:rsidR="00564646" w:rsidRPr="00DD5F33">
        <w:rPr>
          <w:rFonts w:ascii="Arial" w:eastAsia="Calibri" w:hAnsi="Arial" w:cs="Arial"/>
          <w:bCs/>
          <w:color w:val="000000"/>
          <w:sz w:val="20"/>
          <w:szCs w:val="20"/>
          <w:lang w:eastAsia="en-US"/>
        </w:rPr>
        <w:t xml:space="preserve"> </w:t>
      </w:r>
      <w:r w:rsidR="00564646" w:rsidRPr="00DD5F33">
        <w:rPr>
          <w:rFonts w:ascii="Arial" w:eastAsia="Calibri" w:hAnsi="Arial" w:cs="Arial"/>
          <w:bCs/>
          <w:color w:val="000000"/>
          <w:sz w:val="20"/>
          <w:szCs w:val="20"/>
          <w:lang w:val="es-ES_tradnl" w:eastAsia="en-US"/>
        </w:rPr>
        <w:t>dice que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para lo cual será necesario aportar, entonces, el documento de constitución del consorcio o la unión temporal.</w:t>
      </w:r>
    </w:p>
    <w:p w14:paraId="62983D76" w14:textId="77777777" w:rsidR="00564646" w:rsidRPr="00DD5F33" w:rsidRDefault="00564646" w:rsidP="00564646">
      <w:pPr>
        <w:jc w:val="both"/>
        <w:rPr>
          <w:rFonts w:ascii="Arial" w:eastAsia="Calibri" w:hAnsi="Arial" w:cs="Arial"/>
          <w:bCs/>
          <w:color w:val="000000"/>
          <w:sz w:val="20"/>
          <w:szCs w:val="20"/>
          <w:lang w:val="es-ES_tradnl" w:eastAsia="en-US"/>
        </w:rPr>
      </w:pPr>
    </w:p>
    <w:p w14:paraId="25C67B55" w14:textId="2F1C0FD5" w:rsidR="00564646" w:rsidRPr="00DD5F33" w:rsidRDefault="00564646" w:rsidP="00564646">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Por tanto, teniendo en cuenta i) que el reglamento define los documentos que demuestran las circunstancias reguladas en los artículos 2.2.1.2.4.2.14. y </w:t>
      </w:r>
      <w:r w:rsidRPr="00DD5F33">
        <w:rPr>
          <w:rFonts w:ascii="Arial" w:eastAsia="Calibri" w:hAnsi="Arial" w:cs="Arial"/>
          <w:color w:val="000000"/>
          <w:sz w:val="20"/>
          <w:szCs w:val="20"/>
          <w:lang w:eastAsia="en-US"/>
        </w:rPr>
        <w:t>2.2.1.2.4.2.15.</w:t>
      </w:r>
      <w:r w:rsidRPr="00DD5F33">
        <w:rPr>
          <w:rFonts w:ascii="Arial" w:eastAsia="Calibri" w:hAnsi="Arial" w:cs="Arial"/>
          <w:bCs/>
          <w:color w:val="000000"/>
          <w:sz w:val="20"/>
          <w:szCs w:val="20"/>
          <w:lang w:val="es-ES_tradnl" w:eastAsia="en-US"/>
        </w:rPr>
        <w:t>,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0F18F87B"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49FAAFF2" w14:textId="100BD202" w:rsidR="00936882" w:rsidRPr="00DD5F33" w:rsidRDefault="00936882" w:rsidP="00936882">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 xml:space="preserve">EMPRENDIMIENTOS Y EMPRESAS DE MUJERES – </w:t>
      </w:r>
      <w:r w:rsidR="00E82027" w:rsidRPr="00DD5F33">
        <w:rPr>
          <w:rFonts w:ascii="Arial" w:eastAsia="Calibri" w:hAnsi="Arial" w:cs="Arial"/>
          <w:b/>
          <w:bCs/>
          <w:color w:val="000000" w:themeColor="text1"/>
          <w:sz w:val="22"/>
          <w:szCs w:val="22"/>
          <w:lang w:val="es-ES_tradnl" w:eastAsia="en-US"/>
        </w:rPr>
        <w:t xml:space="preserve">Mujer </w:t>
      </w:r>
      <w:r w:rsidR="00B757ED" w:rsidRPr="00DD5F33">
        <w:rPr>
          <w:rFonts w:ascii="Arial" w:eastAsia="Calibri" w:hAnsi="Arial" w:cs="Arial"/>
          <w:b/>
          <w:bCs/>
          <w:color w:val="000000" w:themeColor="text1"/>
          <w:sz w:val="22"/>
          <w:szCs w:val="22"/>
          <w:lang w:val="es-ES_tradnl" w:eastAsia="en-US"/>
        </w:rPr>
        <w:t xml:space="preserve">– </w:t>
      </w:r>
      <w:r w:rsidR="00E82027" w:rsidRPr="00DD5F33">
        <w:rPr>
          <w:rFonts w:ascii="Arial" w:eastAsia="Calibri" w:hAnsi="Arial" w:cs="Arial"/>
          <w:b/>
          <w:bCs/>
          <w:color w:val="000000" w:themeColor="text1"/>
          <w:sz w:val="22"/>
          <w:szCs w:val="22"/>
          <w:lang w:val="es-ES_tradnl" w:eastAsia="en-US"/>
        </w:rPr>
        <w:t>persona natural</w:t>
      </w:r>
      <w:r w:rsidRPr="00DD5F33">
        <w:rPr>
          <w:rFonts w:ascii="Arial" w:eastAsia="Calibri" w:hAnsi="Arial" w:cs="Arial"/>
          <w:b/>
          <w:bCs/>
          <w:color w:val="000000" w:themeColor="text1"/>
          <w:sz w:val="22"/>
          <w:szCs w:val="22"/>
          <w:lang w:val="es-ES_tradnl" w:eastAsia="en-US"/>
        </w:rPr>
        <w:t xml:space="preserve"> – </w:t>
      </w:r>
      <w:r w:rsidR="00E82027" w:rsidRPr="00DD5F33">
        <w:rPr>
          <w:rFonts w:ascii="Arial" w:eastAsia="Calibri" w:hAnsi="Arial" w:cs="Arial"/>
          <w:b/>
          <w:bCs/>
          <w:color w:val="000000" w:themeColor="text1"/>
          <w:sz w:val="22"/>
          <w:szCs w:val="22"/>
          <w:lang w:val="es-ES_tradnl" w:eastAsia="en-US"/>
        </w:rPr>
        <w:t>Igualdad</w:t>
      </w:r>
      <w:r w:rsidRPr="00DD5F33">
        <w:rPr>
          <w:rFonts w:ascii="Arial" w:eastAsia="Calibri" w:hAnsi="Arial" w:cs="Arial"/>
          <w:b/>
          <w:bCs/>
          <w:color w:val="000000" w:themeColor="text1"/>
          <w:sz w:val="22"/>
          <w:szCs w:val="22"/>
          <w:lang w:val="es-ES_tradnl" w:eastAsia="en-US"/>
        </w:rPr>
        <w:t xml:space="preserve"> – Forma de acreditación</w:t>
      </w:r>
    </w:p>
    <w:p w14:paraId="7635F7F1" w14:textId="27AC197B" w:rsidR="003B1DAF" w:rsidRPr="00DD5F33" w:rsidRDefault="003B1DAF" w:rsidP="00E82027">
      <w:pPr>
        <w:jc w:val="both"/>
        <w:rPr>
          <w:rFonts w:ascii="Arial" w:eastAsia="Calibri" w:hAnsi="Arial" w:cs="Arial"/>
          <w:bCs/>
          <w:color w:val="000000"/>
          <w:sz w:val="20"/>
          <w:szCs w:val="20"/>
          <w:lang w:val="es-ES_tradnl" w:eastAsia="en-US"/>
        </w:rPr>
      </w:pPr>
    </w:p>
    <w:p w14:paraId="712264A2" w14:textId="77777777" w:rsidR="00E82027" w:rsidRPr="00DD5F33" w:rsidRDefault="00E82027" w:rsidP="00E8202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La Agencia no considera que entender como empresa o emprendimiento de mujer a la persona natural que «sea una mujer y haya ejercido actividades comerciales a través de un establecimiento de comercio durante al menos el último año anterior a la fecha de cierre del proceso de selección» –según lo prevé el numeral 3 del artículo 2.2.1.2.4.2.14.– sea una ventaja injustificada. Por el contrario, esta condición desarrolla el artículo 32 de la Ley 2069 de 2020. Además, el Gobierno Nacional goza de libertad de configuración reglamentaria en la materia, pues el parágrafo 1 del referido artículo establece que «La definición de emprendimientos y empresas de mujeres se reglamentará por el gobierno nacional». Sería, en cambio, discriminatorio, entender que una mujer –persona natural– no puede considerarse empresa o emprendimiento de mujer, cuando realiza actividades mercantiles a través de un establecimiento de comercio, a pesar de no tener una persona jurídica conformada.</w:t>
      </w:r>
    </w:p>
    <w:p w14:paraId="105A3EA8" w14:textId="77777777" w:rsidR="00E82027" w:rsidRPr="00DD5F33" w:rsidRDefault="00E82027" w:rsidP="003A68F4">
      <w:pPr>
        <w:spacing w:line="276" w:lineRule="auto"/>
        <w:jc w:val="both"/>
        <w:rPr>
          <w:rFonts w:ascii="Arial" w:hAnsi="Arial" w:cs="Arial"/>
          <w:noProof/>
          <w:color w:val="000000" w:themeColor="text1"/>
          <w:sz w:val="22"/>
          <w:lang w:val="es-ES_tradnl"/>
        </w:rPr>
      </w:pPr>
    </w:p>
    <w:p w14:paraId="45157C33" w14:textId="2DF0EC4D" w:rsidR="00AF7C20" w:rsidRPr="00DD5F33" w:rsidRDefault="00D937D4" w:rsidP="00AF7C20">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CRITERIOS DIFERENCIALES</w:t>
      </w:r>
      <w:r w:rsidR="00AF7C2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Emprendimientos de mujeres</w:t>
      </w:r>
      <w:r w:rsidR="00AF7C2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Empresas de mujeres</w:t>
      </w:r>
      <w:r w:rsidR="00AF7C20" w:rsidRPr="00DD5F33">
        <w:rPr>
          <w:rFonts w:ascii="Arial" w:eastAsia="Calibri" w:hAnsi="Arial" w:cs="Arial"/>
          <w:b/>
          <w:bCs/>
          <w:color w:val="000000" w:themeColor="text1"/>
          <w:sz w:val="22"/>
          <w:szCs w:val="22"/>
          <w:lang w:val="es-ES_tradnl" w:eastAsia="en-US"/>
        </w:rPr>
        <w:t xml:space="preserve"> – </w:t>
      </w:r>
      <w:r w:rsidR="00CC4C95" w:rsidRPr="00DD5F33">
        <w:rPr>
          <w:rFonts w:ascii="Arial" w:eastAsia="Calibri" w:hAnsi="Arial" w:cs="Arial"/>
          <w:b/>
          <w:bCs/>
          <w:color w:val="000000" w:themeColor="text1"/>
          <w:sz w:val="22"/>
          <w:szCs w:val="22"/>
          <w:lang w:val="es-ES_tradnl" w:eastAsia="en-US"/>
        </w:rPr>
        <w:t>Análisis</w:t>
      </w:r>
      <w:r w:rsidRPr="00DD5F33">
        <w:rPr>
          <w:rFonts w:ascii="Arial" w:eastAsia="Calibri" w:hAnsi="Arial" w:cs="Arial"/>
          <w:b/>
          <w:bCs/>
          <w:color w:val="000000" w:themeColor="text1"/>
          <w:sz w:val="22"/>
          <w:szCs w:val="22"/>
          <w:lang w:val="es-ES_tradnl" w:eastAsia="en-US"/>
        </w:rPr>
        <w:t xml:space="preserve"> del sector</w:t>
      </w:r>
    </w:p>
    <w:p w14:paraId="6AFE8D23" w14:textId="644A971A" w:rsidR="00F6478E" w:rsidRPr="00DD5F33" w:rsidRDefault="00F6478E" w:rsidP="00DF7420">
      <w:pPr>
        <w:spacing w:line="276" w:lineRule="auto"/>
        <w:jc w:val="both"/>
        <w:rPr>
          <w:rFonts w:ascii="Arial" w:hAnsi="Arial" w:cs="Arial"/>
          <w:noProof/>
          <w:color w:val="000000" w:themeColor="text1"/>
          <w:sz w:val="22"/>
          <w:lang w:val="es-ES_tradnl"/>
        </w:rPr>
      </w:pPr>
    </w:p>
    <w:p w14:paraId="0725A893" w14:textId="77777777"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lastRenderedPageBreak/>
        <w:t>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lo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w:t>
      </w:r>
    </w:p>
    <w:p w14:paraId="1C6053C7" w14:textId="0615A348"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w:t>
      </w:r>
    </w:p>
    <w:p w14:paraId="367AA859" w14:textId="50344A1A"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En efecto, según lo indicó Colombia Compra Eficiente en la Guía para la Elaboración de Estudios del Sector, en esta actividad las entidades estatales deben realizar un estudio de la oferta, que responda, entre otras, las siguientes preguntas: i) «Quién vende», y ii)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–SIREM–4;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14:paraId="1C93B3D6" w14:textId="3F920E55" w:rsidR="00AF7C20" w:rsidRPr="00DD5F33" w:rsidRDefault="00AF7C20" w:rsidP="00DF7420">
      <w:pPr>
        <w:spacing w:line="276" w:lineRule="auto"/>
        <w:jc w:val="both"/>
        <w:rPr>
          <w:rFonts w:ascii="Arial" w:hAnsi="Arial" w:cs="Arial"/>
          <w:noProof/>
          <w:color w:val="000000" w:themeColor="text1"/>
          <w:sz w:val="22"/>
          <w:lang w:val="es-ES_tradnl"/>
        </w:rPr>
      </w:pPr>
    </w:p>
    <w:p w14:paraId="6C53E7B3" w14:textId="5DB3837A" w:rsidR="00A45EA7" w:rsidRPr="00DD5F33" w:rsidRDefault="00A45EA7" w:rsidP="00A45EA7">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CRITERIOS DIFERENCIALES – Emprendimientos de mujeres – Empresas de mujeres – Acuerdos comerciales – Aplicación prevalente</w:t>
      </w:r>
    </w:p>
    <w:p w14:paraId="76385708" w14:textId="77777777" w:rsidR="00767AF9" w:rsidRPr="00DD5F33" w:rsidRDefault="00767AF9" w:rsidP="001C661B">
      <w:pPr>
        <w:spacing w:line="276" w:lineRule="auto"/>
        <w:jc w:val="both"/>
        <w:rPr>
          <w:rFonts w:ascii="Arial" w:hAnsi="Arial" w:cs="Arial"/>
          <w:noProof/>
          <w:color w:val="000000" w:themeColor="text1"/>
          <w:sz w:val="22"/>
          <w:lang w:val="es-ES_tradnl"/>
        </w:rPr>
      </w:pPr>
    </w:p>
    <w:p w14:paraId="3EC645E2" w14:textId="2D3E43F2" w:rsidR="005A2A10" w:rsidRPr="00DD5F33" w:rsidRDefault="00A45EA7" w:rsidP="00A45EA7">
      <w:pPr>
        <w:jc w:val="both"/>
        <w:rPr>
          <w:rFonts w:ascii="Arial" w:eastAsia="Calibri" w:hAnsi="Arial" w:cs="Arial"/>
          <w:bCs/>
          <w:color w:val="000000"/>
          <w:sz w:val="20"/>
          <w:szCs w:val="20"/>
          <w:lang w:eastAsia="en-US"/>
        </w:rPr>
      </w:pPr>
      <w:r w:rsidRPr="00DD5F33">
        <w:rPr>
          <w:rFonts w:ascii="Arial" w:eastAsia="Calibri" w:hAnsi="Arial" w:cs="Arial"/>
          <w:bCs/>
          <w:color w:val="000000"/>
          <w:sz w:val="20"/>
          <w:szCs w:val="20"/>
          <w:lang w:val="es-ES_tradnl" w:eastAsia="en-US"/>
        </w:rPr>
        <w:t>[…]</w:t>
      </w:r>
      <w:r w:rsidR="005A2A10" w:rsidRPr="00DD5F33">
        <w:rPr>
          <w:rFonts w:ascii="Arial" w:eastAsia="Calibri" w:hAnsi="Arial" w:cs="Arial"/>
          <w:bCs/>
          <w:color w:val="000000"/>
          <w:sz w:val="20"/>
          <w:szCs w:val="20"/>
          <w:lang w:val="es-ES_tradnl" w:eastAsia="en-US"/>
        </w:rPr>
        <w:t xml:space="preserve">, lo que indica el artículo 2.2.1.2.4.2.15., cuando establece que «Las Entidades incluirán estos requisitos diferenciales y puntajes adicionales de acuerdo con los resultados del análisis del sector, desde la perspectiva del estudio de la oferta de las obras, bienes o servicios que requiere, </w:t>
      </w:r>
      <w:r w:rsidR="005A2A10" w:rsidRPr="00DD5F33">
        <w:rPr>
          <w:rFonts w:ascii="Arial" w:eastAsia="Calibri" w:hAnsi="Arial" w:cs="Arial"/>
          <w:bCs/>
          <w:i/>
          <w:iCs/>
          <w:color w:val="000000"/>
          <w:sz w:val="20"/>
          <w:szCs w:val="20"/>
          <w:lang w:val="es-ES_tradnl" w:eastAsia="en-US"/>
        </w:rPr>
        <w:t>sin perjuicio de los compromisos adquiridos por Colombia en los Acuerdos Comerciales vigentes</w:t>
      </w:r>
      <w:r w:rsidR="005A2A10" w:rsidRPr="00DD5F33">
        <w:rPr>
          <w:rFonts w:ascii="Arial" w:eastAsia="Calibri" w:hAnsi="Arial" w:cs="Arial"/>
          <w:bCs/>
          <w:color w:val="000000"/>
          <w:sz w:val="20"/>
          <w:szCs w:val="20"/>
          <w:lang w:val="es-ES_tradnl" w:eastAsia="en-US"/>
        </w:rPr>
        <w:t xml:space="preserve">» (énfasis fuera de texto), es que, en caso de existir acuerdos comerciales vigentes que rijan el procedimiento contractual, la entidad estatal debe aplicar, de manera prevalente, las estipulaciones del tratado, en virtud del principio </w:t>
      </w:r>
      <w:r w:rsidR="005A2A10" w:rsidRPr="00DD5F33">
        <w:rPr>
          <w:rFonts w:ascii="Arial" w:eastAsia="Calibri" w:hAnsi="Arial" w:cs="Arial"/>
          <w:bCs/>
          <w:i/>
          <w:iCs/>
          <w:color w:val="000000"/>
          <w:sz w:val="20"/>
          <w:szCs w:val="20"/>
          <w:lang w:val="es-ES_tradnl" w:eastAsia="en-US"/>
        </w:rPr>
        <w:t>pacta sunt servanda</w:t>
      </w:r>
      <w:r w:rsidR="005A2A10" w:rsidRPr="00DD5F33">
        <w:rPr>
          <w:rFonts w:ascii="Arial" w:eastAsia="Calibri" w:hAnsi="Arial" w:cs="Arial"/>
          <w:bCs/>
          <w:color w:val="000000"/>
          <w:sz w:val="20"/>
          <w:szCs w:val="20"/>
          <w:lang w:val="es-ES_tradnl" w:eastAsia="en-US"/>
        </w:rPr>
        <w:t xml:space="preserve">. Así lo dispone el artículo 2.2.1.2.4.1.1., al señalar que «Las Entidades Estatales deben adelantar los Procesos de Contratación de acuerdo con lo previsto en los Acuerdos Comerciales, cuando estos les sean aplicables».​ El artículo 2.2.1.2.4.2.15. se refiere, literalmente, a los </w:t>
      </w:r>
      <w:r w:rsidR="005A2A10" w:rsidRPr="00DD5F33">
        <w:rPr>
          <w:rFonts w:ascii="Arial" w:eastAsia="Calibri" w:hAnsi="Arial" w:cs="Arial"/>
          <w:bCs/>
          <w:i/>
          <w:iCs/>
          <w:color w:val="000000"/>
          <w:sz w:val="20"/>
          <w:szCs w:val="20"/>
          <w:lang w:val="es-ES_tradnl" w:eastAsia="en-US"/>
        </w:rPr>
        <w:t>acuerdos comerciales vigentes</w:t>
      </w:r>
      <w:r w:rsidR="005A2A10" w:rsidRPr="00DD5F33">
        <w:rPr>
          <w:rFonts w:ascii="Arial" w:eastAsia="Calibri" w:hAnsi="Arial" w:cs="Arial"/>
          <w:bCs/>
          <w:color w:val="000000"/>
          <w:sz w:val="20"/>
          <w:szCs w:val="20"/>
          <w:lang w:val="es-ES_tradnl" w:eastAsia="en-US"/>
        </w:rPr>
        <w:t>. En consecuencia</w:t>
      </w:r>
      <w:r w:rsidRPr="00DD5F33">
        <w:rPr>
          <w:rFonts w:ascii="Arial" w:eastAsia="Calibri" w:hAnsi="Arial" w:cs="Arial"/>
          <w:bCs/>
          <w:color w:val="000000"/>
          <w:sz w:val="20"/>
          <w:szCs w:val="20"/>
          <w:lang w:val="es-ES_tradnl" w:eastAsia="en-US"/>
        </w:rPr>
        <w:t>,</w:t>
      </w:r>
      <w:r w:rsidR="005A2A10" w:rsidRPr="00DD5F33">
        <w:rPr>
          <w:rFonts w:ascii="Arial" w:eastAsia="Calibri" w:hAnsi="Arial" w:cs="Arial"/>
          <w:bCs/>
          <w:color w:val="000000"/>
          <w:sz w:val="20"/>
          <w:szCs w:val="20"/>
          <w:lang w:val="es-ES_tradnl" w:eastAsia="en-US"/>
        </w:rPr>
        <w:t xml:space="preserve"> se trata de un tema distinto al del trato nacional para el otorgamiento del puntaje para la promoción de la industria nacional, regulado en la Ley 816 de 2003, el Decreto 680 de 2021 y demás disposiciones complementarias, ante la existencia de certificados de trato nacional por reciprocidad.</w:t>
      </w:r>
    </w:p>
    <w:p w14:paraId="14B80882" w14:textId="525702AF" w:rsidR="001E2880" w:rsidRPr="00DD5F33" w:rsidRDefault="001E2880" w:rsidP="001C661B">
      <w:pPr>
        <w:spacing w:line="276" w:lineRule="auto"/>
        <w:jc w:val="both"/>
        <w:rPr>
          <w:rFonts w:ascii="Arial" w:hAnsi="Arial" w:cs="Arial"/>
          <w:noProof/>
          <w:color w:val="000000" w:themeColor="text1"/>
          <w:sz w:val="22"/>
        </w:rPr>
      </w:pPr>
    </w:p>
    <w:p w14:paraId="24CBBA1D" w14:textId="1E934D61" w:rsidR="003E64E0" w:rsidRPr="00DD5F33" w:rsidRDefault="00EB3108" w:rsidP="003E64E0">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eastAsia="en-US"/>
        </w:rPr>
        <w:t>CONVOCATORIAS LIMITADAS</w:t>
      </w:r>
      <w:r w:rsidR="003E64E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Mipymes</w:t>
      </w:r>
      <w:r w:rsidR="003E64E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Posibilidad</w:t>
      </w:r>
      <w:r w:rsidR="003E64E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Vigencia</w:t>
      </w:r>
      <w:r w:rsidR="003E64E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Decreto 1860 de 2021</w:t>
      </w:r>
    </w:p>
    <w:p w14:paraId="6F0EC5EB" w14:textId="77777777" w:rsidR="003E64E0" w:rsidRPr="00DD5F33" w:rsidRDefault="003E64E0" w:rsidP="001C661B">
      <w:pPr>
        <w:spacing w:line="276" w:lineRule="auto"/>
        <w:jc w:val="both"/>
        <w:rPr>
          <w:rFonts w:ascii="Arial" w:hAnsi="Arial" w:cs="Arial"/>
          <w:noProof/>
          <w:color w:val="000000" w:themeColor="text1"/>
          <w:sz w:val="22"/>
          <w:lang w:val="es-ES_tradnl"/>
        </w:rPr>
      </w:pPr>
    </w:p>
    <w:p w14:paraId="4E22ACC1" w14:textId="77777777" w:rsidR="003E64E0" w:rsidRPr="00DD5F33" w:rsidRDefault="003E64E0" w:rsidP="00EB3108">
      <w:pPr>
        <w:jc w:val="both"/>
        <w:rPr>
          <w:rFonts w:ascii="Arial" w:eastAsia="Calibri" w:hAnsi="Arial" w:cs="Arial"/>
          <w:sz w:val="20"/>
          <w:szCs w:val="20"/>
          <w:lang w:val="es-ES_tradnl"/>
        </w:rPr>
      </w:pPr>
      <w:r w:rsidRPr="00DD5F33">
        <w:rPr>
          <w:rFonts w:ascii="Arial" w:eastAsia="Calibri" w:hAnsi="Arial" w:cs="Arial"/>
          <w:color w:val="000000"/>
          <w:sz w:val="20"/>
          <w:szCs w:val="20"/>
          <w:lang w:val="es-ES_tradnl" w:eastAsia="en-US"/>
        </w:rPr>
        <w:t xml:space="preserve">Tal como lo indicó esta Agencia en oportunidades anteriores –mencionadas en las consideraciones del presente concepto– el </w:t>
      </w:r>
      <w:r w:rsidRPr="00DD5F33">
        <w:rPr>
          <w:rFonts w:ascii="Arial" w:eastAsia="Calibri" w:hAnsi="Arial" w:cs="Arial"/>
          <w:sz w:val="20"/>
          <w:szCs w:val="20"/>
          <w:lang w:val="es-ES_tradnl"/>
        </w:rPr>
        <w:t xml:space="preserve">artículo 34 de la Ley 2069 de 2020 modificó el artículo 12 de la Ley 1150 de 2007, por lo cual los artículos </w:t>
      </w:r>
      <w:r w:rsidRPr="00DD5F33">
        <w:rPr>
          <w:rFonts w:ascii="Arial" w:eastAsia="Calibri" w:hAnsi="Arial" w:cs="Arial"/>
          <w:bCs/>
          <w:color w:val="000000"/>
          <w:sz w:val="20"/>
          <w:szCs w:val="20"/>
          <w:lang w:val="es-ES_tradnl" w:eastAsia="en-US"/>
        </w:rPr>
        <w:t>2.2.1.2.4.2.2. al 2.2.1.2.4.2.4. del Decreto 1082 de 2015</w:t>
      </w:r>
      <w:r w:rsidRPr="00DD5F33">
        <w:rPr>
          <w:rFonts w:ascii="Arial" w:eastAsia="Calibri" w:hAnsi="Arial" w:cs="Arial"/>
          <w:sz w:val="20"/>
          <w:szCs w:val="20"/>
          <w:lang w:val="es-ES_tradnl"/>
        </w:rPr>
        <w:t xml:space="preserve">, que regían las convocatorias limitadas a mipymes, en su momento, perdieron vigencia, porque su contenido era contrario al del artículo 34 de la Ley 2069 de 2020. En tal sentido, operó la pérdida de fuerza </w:t>
      </w:r>
      <w:r w:rsidRPr="00DD5F33">
        <w:rPr>
          <w:rFonts w:ascii="Arial" w:eastAsia="Calibri" w:hAnsi="Arial" w:cs="Arial"/>
          <w:sz w:val="20"/>
          <w:szCs w:val="20"/>
          <w:lang w:val="es-ES_tradnl"/>
        </w:rPr>
        <w:lastRenderedPageBreak/>
        <w:t xml:space="preserve">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6F42F3D6" w14:textId="77777777" w:rsidR="00EB3108" w:rsidRPr="00DD5F33" w:rsidRDefault="00EB3108" w:rsidP="00EB3108">
      <w:pPr>
        <w:jc w:val="both"/>
        <w:rPr>
          <w:rFonts w:ascii="Arial" w:eastAsia="Calibri" w:hAnsi="Arial" w:cs="Arial"/>
          <w:sz w:val="20"/>
          <w:szCs w:val="20"/>
          <w:lang w:val="es-ES_tradnl"/>
        </w:rPr>
      </w:pPr>
    </w:p>
    <w:p w14:paraId="234A59C8" w14:textId="19A87952" w:rsidR="003E64E0" w:rsidRPr="00DD5F33" w:rsidRDefault="003E64E0" w:rsidP="00EB3108">
      <w:pPr>
        <w:jc w:val="both"/>
        <w:rPr>
          <w:rFonts w:ascii="Arial" w:eastAsia="Calibri" w:hAnsi="Arial" w:cs="Arial"/>
          <w:sz w:val="20"/>
          <w:szCs w:val="20"/>
          <w:lang w:val="es-ES_tradnl"/>
        </w:rPr>
      </w:pPr>
      <w:r w:rsidRPr="00DD5F33">
        <w:rPr>
          <w:rFonts w:ascii="Arial" w:eastAsia="Calibri" w:hAnsi="Arial" w:cs="Arial"/>
          <w:sz w:val="20"/>
          <w:szCs w:val="20"/>
          <w:lang w:val="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Ahora bien, esta modificación entró a regir a partir del 24 de marzo de 2022, pues el artículo 8 de la nueva norma reglamentaria sometió la vigencia de los cambios al transcurso del período de 3 meses siguientes a la expedición del Decreto. Por lo tanto, desde la fecha indicada anteriormente las entidades estatales deben aplicar los nuevos artículos </w:t>
      </w:r>
      <w:r w:rsidRPr="00DD5F33">
        <w:rPr>
          <w:rFonts w:ascii="Arial" w:eastAsia="Calibri" w:hAnsi="Arial" w:cs="Arial"/>
          <w:bCs/>
          <w:color w:val="000000"/>
          <w:sz w:val="20"/>
          <w:szCs w:val="20"/>
          <w:lang w:val="es-ES_tradnl" w:eastAsia="en-US"/>
        </w:rPr>
        <w:t>2.2.1.2.4.2.2. al 2.2.1.2.4.2.4. del Decreto 1082 de 2015, modificados por el artículo 5 del Decreto 1820 de 2021, para realizar las convocatorias limitadas a mipymes, si se presentan los requisitos establecidos en las normas que ya se encuentran vigentes.</w:t>
      </w:r>
    </w:p>
    <w:p w14:paraId="21C177BA" w14:textId="77777777" w:rsidR="003E64E0" w:rsidRPr="00DD5F33" w:rsidRDefault="003E64E0" w:rsidP="001C661B">
      <w:pPr>
        <w:spacing w:line="276" w:lineRule="auto"/>
        <w:jc w:val="both"/>
        <w:rPr>
          <w:rFonts w:ascii="Arial" w:hAnsi="Arial" w:cs="Arial"/>
          <w:noProof/>
          <w:color w:val="000000" w:themeColor="text1"/>
          <w:sz w:val="22"/>
          <w:lang w:val="es-ES_tradnl"/>
        </w:rPr>
      </w:pPr>
    </w:p>
    <w:p w14:paraId="5A88213B" w14:textId="1FB07A5D" w:rsidR="001E2880" w:rsidRPr="00DD5F33" w:rsidRDefault="00237D62" w:rsidP="00237D62">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 xml:space="preserve">PROMOCIÓN DEL DESARROLLO – Contratación pública – Pobreza extrema – Desplazamiento forzado – Proceso de reintegración – Proceso de reincorporación </w:t>
      </w:r>
      <w:r w:rsidR="00F26FD1" w:rsidRPr="00DD5F33">
        <w:rPr>
          <w:rFonts w:ascii="Arial" w:eastAsia="Calibri" w:hAnsi="Arial" w:cs="Arial"/>
          <w:b/>
          <w:bCs/>
          <w:color w:val="000000" w:themeColor="text1"/>
          <w:sz w:val="22"/>
          <w:szCs w:val="22"/>
          <w:lang w:eastAsia="en-US"/>
        </w:rPr>
        <w:t xml:space="preserve">– </w:t>
      </w:r>
      <w:r w:rsidRPr="00DD5F33">
        <w:rPr>
          <w:rFonts w:ascii="Arial" w:eastAsia="Calibri" w:hAnsi="Arial" w:cs="Arial"/>
          <w:b/>
          <w:bCs/>
          <w:color w:val="000000" w:themeColor="text1"/>
          <w:sz w:val="22"/>
          <w:szCs w:val="22"/>
          <w:lang w:eastAsia="en-US"/>
        </w:rPr>
        <w:t>especial protección constitucional</w:t>
      </w:r>
    </w:p>
    <w:p w14:paraId="5DF38B4F" w14:textId="52804E7F" w:rsidR="001E2880" w:rsidRPr="00DD5F33" w:rsidRDefault="001E2880" w:rsidP="001C661B">
      <w:pPr>
        <w:spacing w:line="276" w:lineRule="auto"/>
        <w:jc w:val="both"/>
        <w:rPr>
          <w:rFonts w:ascii="Arial" w:hAnsi="Arial" w:cs="Arial"/>
          <w:noProof/>
          <w:color w:val="000000" w:themeColor="text1"/>
          <w:sz w:val="22"/>
          <w:lang w:val="es-ES_tradnl"/>
        </w:rPr>
      </w:pPr>
    </w:p>
    <w:p w14:paraId="624411B7" w14:textId="40CE682D" w:rsidR="00F26FD1" w:rsidRPr="00DD5F33" w:rsidRDefault="00F26FD1" w:rsidP="00484C9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El cuarto inciso del artículo 12 de la Ley 1150 de 2007, modificado por el artículo 34 de la Ley 2069 de 2020, establece que «las Entidades Estatales indistintamente de su régimen de contratación, los patrimonios autónomos constituidos por Entidades Estatales y los particulares que ejecuten recursos públicos»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Reglamentando este tema, el artículo 3 del Decreto 1860 de 2021 adiciona el artículo 2.2.1.2.4.2.16</w:t>
      </w:r>
      <w:r w:rsidR="00484C97" w:rsidRPr="00DD5F33">
        <w:rPr>
          <w:rFonts w:ascii="Arial" w:eastAsia="Calibri" w:hAnsi="Arial" w:cs="Arial"/>
          <w:bCs/>
          <w:color w:val="000000"/>
          <w:sz w:val="20"/>
          <w:szCs w:val="20"/>
          <w:lang w:val="es-ES_tradnl" w:eastAsia="en-US"/>
        </w:rPr>
        <w:t>., […].</w:t>
      </w:r>
    </w:p>
    <w:p w14:paraId="1F502FBC" w14:textId="3574B04D" w:rsidR="00F26FD1" w:rsidRPr="00DD5F33" w:rsidRDefault="00F26FD1" w:rsidP="001C661B">
      <w:pPr>
        <w:spacing w:line="276" w:lineRule="auto"/>
        <w:jc w:val="both"/>
        <w:rPr>
          <w:rFonts w:ascii="Arial" w:hAnsi="Arial" w:cs="Arial"/>
          <w:noProof/>
          <w:color w:val="000000" w:themeColor="text1"/>
          <w:sz w:val="22"/>
          <w:lang w:val="es-ES_tradnl"/>
        </w:rPr>
      </w:pPr>
    </w:p>
    <w:p w14:paraId="7FF7A7DA" w14:textId="3ABEB2C6" w:rsidR="00484C97" w:rsidRPr="00DD5F33" w:rsidRDefault="00484C97" w:rsidP="00484C97">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PROMOCIÓN DEL DESARROLLO – Porcentaje – Bienes o servicios requeridos</w:t>
      </w:r>
    </w:p>
    <w:p w14:paraId="40DD3577" w14:textId="0158E06A" w:rsidR="00484C97" w:rsidRPr="00DD5F33" w:rsidRDefault="00484C97" w:rsidP="00484C97">
      <w:pPr>
        <w:spacing w:after="120"/>
        <w:contextualSpacing/>
        <w:jc w:val="both"/>
        <w:rPr>
          <w:rFonts w:ascii="Arial" w:eastAsia="Calibri" w:hAnsi="Arial" w:cs="Arial"/>
          <w:b/>
          <w:bCs/>
          <w:color w:val="000000" w:themeColor="text1"/>
          <w:sz w:val="22"/>
          <w:szCs w:val="22"/>
          <w:lang w:eastAsia="en-US"/>
        </w:rPr>
      </w:pPr>
    </w:p>
    <w:p w14:paraId="7DD7E1DB" w14:textId="1BA4134C" w:rsidR="00484C97" w:rsidRPr="00DD5F33" w:rsidRDefault="00484C97" w:rsidP="00484C9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DD5F33">
        <w:rPr>
          <w:rFonts w:ascii="Arial" w:eastAsia="Calibri" w:hAnsi="Arial" w:cs="Arial"/>
          <w:bCs/>
          <w:i/>
          <w:iCs/>
          <w:color w:val="000000"/>
          <w:sz w:val="20"/>
          <w:szCs w:val="20"/>
          <w:lang w:val="es-ES_tradnl" w:eastAsia="en-US"/>
        </w:rPr>
        <w:t>de los bienes o servicios requeridos</w:t>
      </w:r>
      <w:r w:rsidRPr="00DD5F33">
        <w:rPr>
          <w:rFonts w:ascii="Arial" w:eastAsia="Calibri" w:hAnsi="Arial" w:cs="Arial"/>
          <w:bCs/>
          <w:color w:val="000000"/>
          <w:sz w:val="20"/>
          <w:szCs w:val="20"/>
          <w:lang w:val="es-ES_tradnl" w:eastAsia="en-US"/>
        </w:rPr>
        <w:t xml:space="preserve"> para la ejecución del contrato, de manera que no se ponga en riesgo su cumplimiento adecuado» (énfasis fuera de texto). Obsérvese que la norma hace referencia a los bienes o servicios requeridos;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población en pobreza extrema, desplazados por la violencia, personas en proceso de reintegración o reincorporación y sujetos de especial protección constitucional.</w:t>
      </w:r>
    </w:p>
    <w:p w14:paraId="49A5EF3D" w14:textId="77777777" w:rsidR="00484C97" w:rsidRPr="00DD5F33" w:rsidRDefault="00484C97" w:rsidP="00484C97">
      <w:pPr>
        <w:spacing w:after="120"/>
        <w:contextualSpacing/>
        <w:jc w:val="both"/>
        <w:rPr>
          <w:rFonts w:ascii="Arial" w:eastAsia="Calibri" w:hAnsi="Arial" w:cs="Arial"/>
          <w:b/>
          <w:bCs/>
          <w:color w:val="000000" w:themeColor="text1"/>
          <w:sz w:val="22"/>
          <w:szCs w:val="22"/>
          <w:lang w:eastAsia="en-US"/>
        </w:rPr>
      </w:pPr>
    </w:p>
    <w:p w14:paraId="78064A97" w14:textId="77777777" w:rsidR="00484C97" w:rsidRPr="00DD5F33" w:rsidRDefault="00484C97" w:rsidP="00484C97">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PROMOCIÓN DEL DESARROLLO – Acreditación – Sujetos – Especial protección constitucional – Circunstancias</w:t>
      </w:r>
    </w:p>
    <w:p w14:paraId="577EAA73" w14:textId="77777777" w:rsidR="00484C97" w:rsidRPr="00DD5F33" w:rsidRDefault="00484C97" w:rsidP="00484C97">
      <w:pPr>
        <w:spacing w:after="120"/>
        <w:contextualSpacing/>
        <w:jc w:val="both"/>
        <w:rPr>
          <w:rFonts w:ascii="Arial" w:eastAsia="Calibri" w:hAnsi="Arial" w:cs="Arial"/>
          <w:b/>
          <w:bCs/>
          <w:color w:val="000000" w:themeColor="text1"/>
          <w:sz w:val="22"/>
          <w:szCs w:val="22"/>
          <w:lang w:eastAsia="en-US"/>
        </w:rPr>
      </w:pPr>
    </w:p>
    <w:p w14:paraId="64462700" w14:textId="77777777" w:rsidR="008E1177" w:rsidRPr="00DD5F33" w:rsidRDefault="00484C97" w:rsidP="00484C9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w:t>
      </w:r>
      <w:r w:rsidRPr="00DD5F33">
        <w:rPr>
          <w:rFonts w:ascii="Arial" w:eastAsia="Calibri" w:hAnsi="Arial" w:cs="Arial"/>
          <w:bCs/>
          <w:color w:val="000000"/>
          <w:sz w:val="20"/>
          <w:szCs w:val="20"/>
          <w:lang w:val="es-ES_tradnl" w:eastAsia="en-US"/>
        </w:rPr>
        <w:lastRenderedPageBreak/>
        <w:t>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w:t>
      </w:r>
    </w:p>
    <w:p w14:paraId="77CD882D" w14:textId="77777777" w:rsidR="008E1177" w:rsidRPr="00DD5F33" w:rsidRDefault="008E1177" w:rsidP="00484C97">
      <w:pPr>
        <w:jc w:val="both"/>
        <w:rPr>
          <w:rFonts w:ascii="Arial" w:eastAsia="Calibri" w:hAnsi="Arial" w:cs="Arial"/>
          <w:bCs/>
          <w:color w:val="000000"/>
          <w:sz w:val="20"/>
          <w:szCs w:val="20"/>
          <w:lang w:val="es-ES_tradnl" w:eastAsia="en-US"/>
        </w:rPr>
      </w:pPr>
    </w:p>
    <w:p w14:paraId="03254888" w14:textId="77777777" w:rsidR="008E1177" w:rsidRPr="00DD5F33" w:rsidRDefault="008E1177" w:rsidP="00484C9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w:t>
      </w:r>
    </w:p>
    <w:p w14:paraId="16A0EFE1" w14:textId="77777777" w:rsidR="008E1177" w:rsidRPr="00DD5F33" w:rsidRDefault="008E1177" w:rsidP="00484C97">
      <w:pPr>
        <w:jc w:val="both"/>
        <w:rPr>
          <w:rFonts w:ascii="Arial" w:eastAsia="Calibri" w:hAnsi="Arial" w:cs="Arial"/>
          <w:bCs/>
          <w:color w:val="000000"/>
          <w:sz w:val="20"/>
          <w:szCs w:val="20"/>
          <w:lang w:val="es-ES_tradnl" w:eastAsia="en-US"/>
        </w:rPr>
      </w:pPr>
    </w:p>
    <w:p w14:paraId="371F5944" w14:textId="160DEECF" w:rsidR="008E1177" w:rsidRPr="00DD5F33" w:rsidRDefault="008E1177" w:rsidP="008E117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2F8F4B26" w14:textId="2742C361" w:rsidR="008E1177" w:rsidRPr="00DD5F33" w:rsidRDefault="008E1177" w:rsidP="008E1177">
      <w:pPr>
        <w:jc w:val="both"/>
        <w:rPr>
          <w:rFonts w:ascii="Arial" w:eastAsia="Calibri" w:hAnsi="Arial" w:cs="Arial"/>
          <w:bCs/>
          <w:color w:val="000000"/>
          <w:sz w:val="20"/>
          <w:szCs w:val="20"/>
          <w:lang w:val="es-ES_tradnl" w:eastAsia="en-US"/>
        </w:rPr>
      </w:pPr>
    </w:p>
    <w:p w14:paraId="1A4E5A08" w14:textId="34FD6BAA" w:rsidR="008E1177" w:rsidRPr="00DD5F33" w:rsidRDefault="008E1177" w:rsidP="008E1177">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 xml:space="preserve">PROMOCIÓN DEL DESARROLLO – </w:t>
      </w:r>
      <w:r w:rsidR="007473D5" w:rsidRPr="00DD5F33">
        <w:rPr>
          <w:rFonts w:ascii="Arial" w:eastAsia="Calibri" w:hAnsi="Arial" w:cs="Arial"/>
          <w:b/>
          <w:bCs/>
          <w:color w:val="000000" w:themeColor="text1"/>
          <w:sz w:val="22"/>
          <w:szCs w:val="22"/>
          <w:lang w:eastAsia="en-US"/>
        </w:rPr>
        <w:t>Forma de vinculación</w:t>
      </w:r>
      <w:r w:rsidRPr="00DD5F33">
        <w:rPr>
          <w:rFonts w:ascii="Arial" w:eastAsia="Calibri" w:hAnsi="Arial" w:cs="Arial"/>
          <w:b/>
          <w:bCs/>
          <w:color w:val="000000" w:themeColor="text1"/>
          <w:sz w:val="22"/>
          <w:szCs w:val="22"/>
          <w:lang w:eastAsia="en-US"/>
        </w:rPr>
        <w:t xml:space="preserve"> – Sujetos – Especial protección constitucional – </w:t>
      </w:r>
      <w:r w:rsidR="007473D5" w:rsidRPr="00DD5F33">
        <w:rPr>
          <w:rFonts w:ascii="Arial" w:eastAsia="Calibri" w:hAnsi="Arial" w:cs="Arial"/>
          <w:b/>
          <w:bCs/>
          <w:color w:val="000000" w:themeColor="text1"/>
          <w:sz w:val="22"/>
          <w:szCs w:val="22"/>
          <w:lang w:eastAsia="en-US"/>
        </w:rPr>
        <w:t>Modalidades contractuales</w:t>
      </w:r>
    </w:p>
    <w:p w14:paraId="474E1A28" w14:textId="791834B1" w:rsidR="008E1177" w:rsidRPr="00DD5F33" w:rsidRDefault="008E1177" w:rsidP="008E1177">
      <w:pPr>
        <w:jc w:val="both"/>
        <w:rPr>
          <w:rFonts w:ascii="Arial" w:eastAsia="Calibri" w:hAnsi="Arial" w:cs="Arial"/>
          <w:bCs/>
          <w:color w:val="000000"/>
          <w:sz w:val="20"/>
          <w:szCs w:val="20"/>
          <w:lang w:eastAsia="en-US"/>
        </w:rPr>
      </w:pPr>
    </w:p>
    <w:p w14:paraId="1409D118" w14:textId="3C0BF882" w:rsidR="007473D5" w:rsidRPr="00DD5F33" w:rsidRDefault="007473D5" w:rsidP="007473D5">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el inciso quinto del artículo 2.2.1.2.4.2.16. establece que «El supervisor o el interventor, según el caso, realizará el seguimiento y verificará que las personas </w:t>
      </w:r>
      <w:r w:rsidRPr="00DD5F33">
        <w:rPr>
          <w:rFonts w:ascii="Arial" w:eastAsia="Calibri" w:hAnsi="Arial" w:cs="Arial"/>
          <w:bCs/>
          <w:i/>
          <w:iCs/>
          <w:color w:val="000000"/>
          <w:sz w:val="20"/>
          <w:szCs w:val="20"/>
          <w:lang w:val="es-ES_tradnl" w:eastAsia="en-US"/>
        </w:rPr>
        <w:t>vinculadas</w:t>
      </w:r>
      <w:r w:rsidRPr="00DD5F33">
        <w:rPr>
          <w:rFonts w:ascii="Arial" w:eastAsia="Calibri" w:hAnsi="Arial" w:cs="Arial"/>
          <w:bCs/>
          <w:color w:val="000000"/>
          <w:sz w:val="20"/>
          <w:szCs w:val="20"/>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 para vender, suministrar o prestar bienes o servicios.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60EE2013" w14:textId="77777777" w:rsidR="007473D5" w:rsidRPr="00DD5F33" w:rsidRDefault="007473D5" w:rsidP="007473D5">
      <w:pPr>
        <w:jc w:val="both"/>
        <w:rPr>
          <w:rFonts w:ascii="Arial" w:eastAsia="Calibri" w:hAnsi="Arial" w:cs="Arial"/>
          <w:bCs/>
          <w:color w:val="000000"/>
          <w:sz w:val="20"/>
          <w:szCs w:val="20"/>
          <w:lang w:val="es-ES_tradnl" w:eastAsia="en-US"/>
        </w:rPr>
      </w:pPr>
    </w:p>
    <w:p w14:paraId="57A74602" w14:textId="18F33918" w:rsidR="007473D5" w:rsidRPr="00DD5F33" w:rsidRDefault="007473D5" w:rsidP="007473D5">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Ahora bien, la provisión de los bienes o servicios se debe realizar directamente por la población en pobreza extrema, desplazados por la violencia, personas en proceso de reintegración o reincorporación y 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45E2101B" w14:textId="0C90B31B" w:rsidR="00577880" w:rsidRPr="00DD5F33" w:rsidRDefault="00577880" w:rsidP="007473D5">
      <w:pPr>
        <w:jc w:val="both"/>
        <w:rPr>
          <w:rFonts w:ascii="Arial" w:eastAsia="Calibri" w:hAnsi="Arial" w:cs="Arial"/>
          <w:bCs/>
          <w:color w:val="000000"/>
          <w:sz w:val="20"/>
          <w:szCs w:val="20"/>
          <w:lang w:val="es-ES_tradnl" w:eastAsia="en-US"/>
        </w:rPr>
      </w:pPr>
    </w:p>
    <w:p w14:paraId="290EA9EE" w14:textId="6D3124E1" w:rsidR="00577880" w:rsidRPr="00DD5F33" w:rsidRDefault="00477031" w:rsidP="00577880">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lastRenderedPageBreak/>
        <w:t>FACTORES DE DESEMPATE</w:t>
      </w:r>
      <w:r w:rsidR="00577880" w:rsidRPr="00DD5F33">
        <w:rPr>
          <w:rFonts w:ascii="Arial" w:eastAsia="Calibri" w:hAnsi="Arial" w:cs="Arial"/>
          <w:b/>
          <w:bCs/>
          <w:color w:val="000000" w:themeColor="text1"/>
          <w:sz w:val="22"/>
          <w:szCs w:val="22"/>
          <w:lang w:eastAsia="en-US"/>
        </w:rPr>
        <w:t xml:space="preserve"> – </w:t>
      </w:r>
      <w:r w:rsidRPr="00DD5F33">
        <w:rPr>
          <w:rFonts w:ascii="Arial" w:eastAsia="Calibri" w:hAnsi="Arial" w:cs="Arial"/>
          <w:b/>
          <w:bCs/>
          <w:color w:val="000000" w:themeColor="text1"/>
          <w:sz w:val="22"/>
          <w:szCs w:val="22"/>
          <w:lang w:eastAsia="en-US"/>
        </w:rPr>
        <w:t>Vigencia</w:t>
      </w:r>
      <w:r w:rsidR="00577880" w:rsidRPr="00DD5F33">
        <w:rPr>
          <w:rFonts w:ascii="Arial" w:eastAsia="Calibri" w:hAnsi="Arial" w:cs="Arial"/>
          <w:b/>
          <w:bCs/>
          <w:color w:val="000000" w:themeColor="text1"/>
          <w:sz w:val="22"/>
          <w:szCs w:val="22"/>
          <w:lang w:eastAsia="en-US"/>
        </w:rPr>
        <w:t xml:space="preserve"> – </w:t>
      </w:r>
      <w:r w:rsidRPr="00DD5F33">
        <w:rPr>
          <w:rFonts w:ascii="Arial" w:eastAsia="Calibri" w:hAnsi="Arial" w:cs="Arial"/>
          <w:b/>
          <w:bCs/>
          <w:color w:val="000000" w:themeColor="text1"/>
          <w:sz w:val="22"/>
          <w:szCs w:val="22"/>
          <w:lang w:eastAsia="en-US"/>
        </w:rPr>
        <w:t>Eficacia directa</w:t>
      </w:r>
      <w:r w:rsidR="00577880" w:rsidRPr="00DD5F33">
        <w:rPr>
          <w:rFonts w:ascii="Arial" w:eastAsia="Calibri" w:hAnsi="Arial" w:cs="Arial"/>
          <w:b/>
          <w:bCs/>
          <w:color w:val="000000" w:themeColor="text1"/>
          <w:sz w:val="22"/>
          <w:szCs w:val="22"/>
          <w:lang w:eastAsia="en-US"/>
        </w:rPr>
        <w:t xml:space="preserve"> – </w:t>
      </w:r>
      <w:r w:rsidRPr="00DD5F33">
        <w:rPr>
          <w:rFonts w:ascii="Arial" w:eastAsia="Calibri" w:hAnsi="Arial" w:cs="Arial"/>
          <w:b/>
          <w:bCs/>
          <w:color w:val="000000" w:themeColor="text1"/>
          <w:sz w:val="22"/>
          <w:szCs w:val="22"/>
          <w:lang w:eastAsia="en-US"/>
        </w:rPr>
        <w:t>Reglamentación</w:t>
      </w:r>
      <w:r w:rsidR="00577880" w:rsidRPr="00DD5F33">
        <w:rPr>
          <w:rFonts w:ascii="Arial" w:eastAsia="Calibri" w:hAnsi="Arial" w:cs="Arial"/>
          <w:b/>
          <w:bCs/>
          <w:color w:val="000000" w:themeColor="text1"/>
          <w:sz w:val="22"/>
          <w:szCs w:val="22"/>
          <w:lang w:eastAsia="en-US"/>
        </w:rPr>
        <w:t xml:space="preserve"> – </w:t>
      </w:r>
      <w:r w:rsidRPr="00DD5F33">
        <w:rPr>
          <w:rFonts w:ascii="Arial" w:eastAsia="Calibri" w:hAnsi="Arial" w:cs="Arial"/>
          <w:b/>
          <w:bCs/>
          <w:color w:val="000000" w:themeColor="text1"/>
          <w:sz w:val="22"/>
          <w:szCs w:val="22"/>
          <w:lang w:eastAsia="en-US"/>
        </w:rPr>
        <w:t>Decreto 1860 de 2021</w:t>
      </w:r>
    </w:p>
    <w:p w14:paraId="2633B760" w14:textId="1160BAEF" w:rsidR="00577880" w:rsidRPr="00DD5F33" w:rsidRDefault="00577880" w:rsidP="007473D5">
      <w:pPr>
        <w:jc w:val="both"/>
        <w:rPr>
          <w:rFonts w:ascii="Arial" w:eastAsia="Calibri" w:hAnsi="Arial" w:cs="Arial"/>
          <w:bCs/>
          <w:color w:val="000000"/>
          <w:sz w:val="20"/>
          <w:szCs w:val="20"/>
          <w:lang w:eastAsia="en-US"/>
        </w:rPr>
      </w:pPr>
    </w:p>
    <w:p w14:paraId="06C4B4EB" w14:textId="77777777" w:rsidR="00477031" w:rsidRPr="00DD5F33" w:rsidRDefault="00477031" w:rsidP="00477031">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Aunque algunas normas de la Ley de Emprendimiento aluden a la reglamentación posterior, esta no condiciona la vigencia del artículo 35. En efecto, si bien los factores de desempate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46F02B94" w14:textId="011D9EAA" w:rsidR="00477031" w:rsidRPr="00DD5F33" w:rsidRDefault="00477031" w:rsidP="007473D5">
      <w:pPr>
        <w:jc w:val="both"/>
        <w:rPr>
          <w:rFonts w:ascii="Arial" w:eastAsia="Calibri" w:hAnsi="Arial" w:cs="Arial"/>
          <w:bCs/>
          <w:color w:val="000000"/>
          <w:sz w:val="20"/>
          <w:szCs w:val="20"/>
          <w:lang w:val="es-ES_tradnl" w:eastAsia="en-US"/>
        </w:rPr>
      </w:pPr>
    </w:p>
    <w:p w14:paraId="40DCE9BD" w14:textId="696AFC70" w:rsidR="006C71AD" w:rsidRPr="00DD5F33" w:rsidRDefault="006C71AD" w:rsidP="006C71AD">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 xml:space="preserve">FACTORES DE DESEMPATE – </w:t>
      </w:r>
      <w:r w:rsidR="00B3608B" w:rsidRPr="00DD5F33">
        <w:rPr>
          <w:rFonts w:ascii="Arial" w:eastAsia="Calibri" w:hAnsi="Arial" w:cs="Arial"/>
          <w:b/>
          <w:bCs/>
          <w:color w:val="000000" w:themeColor="text1"/>
          <w:sz w:val="22"/>
          <w:szCs w:val="22"/>
          <w:lang w:eastAsia="en-US"/>
        </w:rPr>
        <w:t>Carácter sucesivo</w:t>
      </w:r>
      <w:r w:rsidRPr="00DD5F33">
        <w:rPr>
          <w:rFonts w:ascii="Arial" w:eastAsia="Calibri" w:hAnsi="Arial" w:cs="Arial"/>
          <w:b/>
          <w:bCs/>
          <w:color w:val="000000" w:themeColor="text1"/>
          <w:sz w:val="22"/>
          <w:szCs w:val="22"/>
          <w:lang w:eastAsia="en-US"/>
        </w:rPr>
        <w:t xml:space="preserve"> – </w:t>
      </w:r>
      <w:r w:rsidR="00B3608B" w:rsidRPr="00DD5F33">
        <w:rPr>
          <w:rFonts w:ascii="Arial" w:eastAsia="Calibri" w:hAnsi="Arial" w:cs="Arial"/>
          <w:b/>
          <w:bCs/>
          <w:color w:val="000000" w:themeColor="text1"/>
          <w:sz w:val="22"/>
          <w:szCs w:val="22"/>
          <w:lang w:eastAsia="en-US"/>
        </w:rPr>
        <w:t>Carácter excluyente</w:t>
      </w:r>
      <w:r w:rsidRPr="00DD5F33">
        <w:rPr>
          <w:rFonts w:ascii="Arial" w:eastAsia="Calibri" w:hAnsi="Arial" w:cs="Arial"/>
          <w:b/>
          <w:bCs/>
          <w:color w:val="000000" w:themeColor="text1"/>
          <w:sz w:val="22"/>
          <w:szCs w:val="22"/>
          <w:lang w:eastAsia="en-US"/>
        </w:rPr>
        <w:t xml:space="preserve"> – </w:t>
      </w:r>
      <w:r w:rsidR="00B3608B" w:rsidRPr="00DD5F33">
        <w:rPr>
          <w:rFonts w:ascii="Arial" w:eastAsia="Calibri" w:hAnsi="Arial" w:cs="Arial"/>
          <w:b/>
          <w:bCs/>
          <w:color w:val="000000" w:themeColor="text1"/>
          <w:sz w:val="22"/>
          <w:szCs w:val="22"/>
          <w:lang w:eastAsia="en-US"/>
        </w:rPr>
        <w:t>Interpretación</w:t>
      </w:r>
    </w:p>
    <w:p w14:paraId="685C8811" w14:textId="48634382" w:rsidR="006C71AD" w:rsidRPr="00DD5F33" w:rsidRDefault="006C71AD" w:rsidP="007473D5">
      <w:pPr>
        <w:jc w:val="both"/>
        <w:rPr>
          <w:rFonts w:ascii="Arial" w:eastAsia="Calibri" w:hAnsi="Arial" w:cs="Arial"/>
          <w:bCs/>
          <w:color w:val="000000"/>
          <w:sz w:val="20"/>
          <w:szCs w:val="20"/>
          <w:lang w:eastAsia="en-US"/>
        </w:rPr>
      </w:pPr>
    </w:p>
    <w:p w14:paraId="5BCA9141" w14:textId="21CCFEFD" w:rsidR="00B3608B" w:rsidRPr="00DD5F33" w:rsidRDefault="00B3608B" w:rsidP="00B3608B">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El carácter sucesivo y excluyente que debe regir la aplicación de los factores de desempate también se encuentra previsto en el primer inciso del artículo 2.2.1.2.4.2.17. del Decreto 1082 de 2015, adicionado por el artículo 3 del Decreto 1860 de 2021. Por tanto, para resolver qué sucede si en dos proponentes concurre el mismo factor de desempate, debe aclararse el alcance de la expresión «de forma sucesiva y excluyente». El Consejo de Estado se pronunció sobre este tema en la Sentencia del 23 de mayo de 2012, que, si bien se expidió en vigencia de otra normativa, puede considerarse como precedente judicial, porque el supuesto jurídico es similar. […]</w:t>
      </w:r>
    </w:p>
    <w:p w14:paraId="505EE961" w14:textId="642C144A" w:rsidR="00B3608B" w:rsidRPr="00DD5F33" w:rsidRDefault="00B3608B" w:rsidP="00B3608B">
      <w:pPr>
        <w:jc w:val="both"/>
        <w:rPr>
          <w:rFonts w:ascii="Arial" w:eastAsia="Calibri" w:hAnsi="Arial" w:cs="Arial"/>
          <w:bCs/>
          <w:color w:val="000000"/>
          <w:sz w:val="20"/>
          <w:szCs w:val="20"/>
          <w:lang w:val="es-ES_tradnl" w:eastAsia="en-US"/>
        </w:rPr>
      </w:pPr>
    </w:p>
    <w:p w14:paraId="0A1343DC" w14:textId="52A70A0C" w:rsidR="00B3608B" w:rsidRPr="00DD5F33" w:rsidRDefault="00B3608B" w:rsidP="00B3608B">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w:t>
      </w:r>
    </w:p>
    <w:p w14:paraId="4DE69A80" w14:textId="22C20E7F" w:rsidR="00B3608B" w:rsidRPr="00DD5F33" w:rsidRDefault="00B3608B" w:rsidP="00B3608B">
      <w:pPr>
        <w:jc w:val="both"/>
        <w:rPr>
          <w:rFonts w:ascii="Arial" w:eastAsia="Calibri" w:hAnsi="Arial" w:cs="Arial"/>
          <w:bCs/>
          <w:color w:val="000000"/>
          <w:sz w:val="20"/>
          <w:szCs w:val="20"/>
          <w:lang w:val="es-ES_tradnl" w:eastAsia="en-US"/>
        </w:rPr>
      </w:pPr>
    </w:p>
    <w:p w14:paraId="2FDA9AC6" w14:textId="2FF570D3" w:rsidR="00B3608B" w:rsidRPr="00DD5F33" w:rsidRDefault="00B3608B" w:rsidP="00B3608B">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Esta Agencia acoge la interpretación del Consejo de Estado de la expresión «de forma sucesiva y excluyente», como «"una cosa que sucede o se sigue a otra" o aquello que se dice del "tiempo que ha de seguir al momento en que se está"». En consecuencia, si dos proponentes se encuentran en el mismo supuesto fáctico de un factor de desempate, la entidad estatal debe continuar con el siguiente factor – de los consagrados en el artículo 35 de la Ley 2069 de 2020 y reglamentados por el artículo 2.2.1.2.4.2.17. del Decreto 1082 de 2015, adicionado por el artículo 3 del Decreto 1860 de 2021– y así sucesivamente, en caso de mantenerse el empate.</w:t>
      </w:r>
    </w:p>
    <w:p w14:paraId="09B2EA7E" w14:textId="77777777" w:rsidR="00B3608B" w:rsidRPr="00DD5F33" w:rsidRDefault="00B3608B" w:rsidP="00B3608B">
      <w:pPr>
        <w:jc w:val="both"/>
        <w:rPr>
          <w:rFonts w:ascii="Arial" w:eastAsia="Calibri" w:hAnsi="Arial" w:cs="Arial"/>
          <w:bCs/>
          <w:color w:val="000000"/>
          <w:sz w:val="20"/>
          <w:szCs w:val="20"/>
          <w:lang w:val="es-ES_tradnl" w:eastAsia="en-US"/>
        </w:rPr>
      </w:pPr>
    </w:p>
    <w:p w14:paraId="35661F90" w14:textId="19E1052C" w:rsidR="002E657C" w:rsidRPr="00DD5F33" w:rsidRDefault="002E657C" w:rsidP="002E657C">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 xml:space="preserve">FACTORES DE DESEMPATE – </w:t>
      </w:r>
      <w:r w:rsidR="00475A10" w:rsidRPr="00DD5F33">
        <w:rPr>
          <w:rFonts w:ascii="Arial" w:eastAsia="Calibri" w:hAnsi="Arial" w:cs="Arial"/>
          <w:b/>
          <w:bCs/>
          <w:color w:val="000000" w:themeColor="text1"/>
          <w:sz w:val="22"/>
          <w:szCs w:val="22"/>
          <w:lang w:eastAsia="en-US"/>
        </w:rPr>
        <w:t>Reservas de información</w:t>
      </w:r>
      <w:r w:rsidRPr="00DD5F33">
        <w:rPr>
          <w:rFonts w:ascii="Arial" w:eastAsia="Calibri" w:hAnsi="Arial" w:cs="Arial"/>
          <w:b/>
          <w:bCs/>
          <w:color w:val="000000" w:themeColor="text1"/>
          <w:sz w:val="22"/>
          <w:szCs w:val="22"/>
          <w:lang w:eastAsia="en-US"/>
        </w:rPr>
        <w:t xml:space="preserve"> – </w:t>
      </w:r>
      <w:r w:rsidR="00475A10" w:rsidRPr="00DD5F33">
        <w:rPr>
          <w:rFonts w:ascii="Arial" w:eastAsia="Calibri" w:hAnsi="Arial" w:cs="Arial"/>
          <w:b/>
          <w:bCs/>
          <w:color w:val="000000" w:themeColor="text1"/>
          <w:sz w:val="22"/>
          <w:szCs w:val="22"/>
          <w:lang w:eastAsia="en-US"/>
        </w:rPr>
        <w:t>Prohibición de publicación</w:t>
      </w:r>
      <w:r w:rsidRPr="00DD5F33">
        <w:rPr>
          <w:rFonts w:ascii="Arial" w:eastAsia="Calibri" w:hAnsi="Arial" w:cs="Arial"/>
          <w:b/>
          <w:bCs/>
          <w:color w:val="000000" w:themeColor="text1"/>
          <w:sz w:val="22"/>
          <w:szCs w:val="22"/>
          <w:lang w:eastAsia="en-US"/>
        </w:rPr>
        <w:t xml:space="preserve"> – </w:t>
      </w:r>
      <w:r w:rsidR="00475A10" w:rsidRPr="00DD5F33">
        <w:rPr>
          <w:rFonts w:ascii="Arial" w:eastAsia="Calibri" w:hAnsi="Arial" w:cs="Arial"/>
          <w:b/>
          <w:bCs/>
          <w:color w:val="000000" w:themeColor="text1"/>
          <w:sz w:val="22"/>
          <w:szCs w:val="22"/>
          <w:lang w:eastAsia="en-US"/>
        </w:rPr>
        <w:t xml:space="preserve">SECOP </w:t>
      </w:r>
    </w:p>
    <w:p w14:paraId="23219E81" w14:textId="77777777" w:rsidR="00B3608B" w:rsidRPr="00DD5F33" w:rsidRDefault="00B3608B" w:rsidP="007473D5">
      <w:pPr>
        <w:jc w:val="both"/>
        <w:rPr>
          <w:rFonts w:ascii="Arial" w:eastAsia="Calibri" w:hAnsi="Arial" w:cs="Arial"/>
          <w:bCs/>
          <w:color w:val="000000"/>
          <w:sz w:val="20"/>
          <w:szCs w:val="20"/>
          <w:lang w:eastAsia="en-US"/>
        </w:rPr>
      </w:pPr>
    </w:p>
    <w:p w14:paraId="30AA65A2" w14:textId="77777777" w:rsidR="007473D5" w:rsidRPr="00DD5F33" w:rsidRDefault="007473D5" w:rsidP="00475A10">
      <w:pPr>
        <w:jc w:val="both"/>
        <w:rPr>
          <w:rFonts w:ascii="Arial" w:eastAsia="Calibri" w:hAnsi="Arial" w:cs="Arial"/>
          <w:bCs/>
          <w:color w:val="000000"/>
          <w:sz w:val="20"/>
          <w:szCs w:val="20"/>
          <w:lang w:eastAsia="en-US"/>
        </w:rPr>
      </w:pPr>
    </w:p>
    <w:p w14:paraId="533C3B40" w14:textId="07419402" w:rsidR="002E657C" w:rsidRPr="00DD5F33" w:rsidRDefault="00475A10" w:rsidP="00475A10">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w:t>
      </w:r>
      <w:r w:rsidR="002E657C" w:rsidRPr="00DD5F33">
        <w:rPr>
          <w:rFonts w:ascii="Arial" w:eastAsia="Calibri" w:hAnsi="Arial" w:cs="Arial"/>
          <w:bCs/>
          <w:color w:val="000000"/>
          <w:sz w:val="20"/>
          <w:szCs w:val="20"/>
          <w:lang w:val="es-ES_tradnl" w:eastAsia="en-US"/>
        </w:rPr>
        <w:t xml:space="preserve">, el parágrafo 3 del artículo 2.2.1.2.4.2.17. establece una excepción razonable al derecho de acceso a la información y a los documentos públicos consagrado en el artículo 74 de la Constitución Política. Este último precepto dispone que «Todas las personas tienen derecho a acceder a los documentos públicos </w:t>
      </w:r>
      <w:r w:rsidR="002E657C" w:rsidRPr="00DD5F33">
        <w:rPr>
          <w:rFonts w:ascii="Arial" w:eastAsia="Calibri" w:hAnsi="Arial" w:cs="Arial"/>
          <w:bCs/>
          <w:i/>
          <w:iCs/>
          <w:color w:val="000000"/>
          <w:sz w:val="20"/>
          <w:szCs w:val="20"/>
          <w:lang w:val="es-ES_tradnl" w:eastAsia="en-US"/>
        </w:rPr>
        <w:t>salvo los casos que establezca la ley</w:t>
      </w:r>
      <w:r w:rsidR="002E657C" w:rsidRPr="00DD5F33">
        <w:rPr>
          <w:rFonts w:ascii="Arial" w:eastAsia="Calibri" w:hAnsi="Arial" w:cs="Arial"/>
          <w:bCs/>
          <w:color w:val="000000"/>
          <w:sz w:val="20"/>
          <w:szCs w:val="20"/>
          <w:lang w:val="es-ES_tradnl" w:eastAsia="en-US"/>
        </w:rPr>
        <w:t xml:space="preserve">» (énfasis fuera de texto). Por tanto, la ley puede establecer reservas de información, para garantizar bienes jurídicos que se consideran más relevantes en cada caso, a partir de un test de ponderación realizado, </w:t>
      </w:r>
      <w:r w:rsidR="002E657C" w:rsidRPr="00DD5F33">
        <w:rPr>
          <w:rFonts w:ascii="Arial" w:eastAsia="Calibri" w:hAnsi="Arial" w:cs="Arial"/>
          <w:bCs/>
          <w:i/>
          <w:iCs/>
          <w:color w:val="000000"/>
          <w:sz w:val="20"/>
          <w:szCs w:val="20"/>
          <w:lang w:val="es-ES_tradnl" w:eastAsia="en-US"/>
        </w:rPr>
        <w:t>prima facie</w:t>
      </w:r>
      <w:r w:rsidR="002E657C" w:rsidRPr="00DD5F33">
        <w:rPr>
          <w:rFonts w:ascii="Arial" w:eastAsia="Calibri" w:hAnsi="Arial" w:cs="Arial"/>
          <w:bCs/>
          <w:color w:val="000000"/>
          <w:sz w:val="20"/>
          <w:szCs w:val="20"/>
          <w:lang w:val="es-ES_tradnl" w:eastAsia="en-US"/>
        </w:rPr>
        <w:t xml:space="preserve">, por el legislador. Debido a lo anterior, los artículos 5 y 6 de la Ley 1581 de 2012 califican algunos datos como sensibles y prohíben su tratamiento, salvo excepciones. En forma similar, el artículo 18 de la Ley 1712 de 2014 impone denegar el acceso a la información pública, por el daño que podría ocasionar a derechos como la intimidad, la vida, la salud y la seguridad. </w:t>
      </w:r>
    </w:p>
    <w:p w14:paraId="79D7BF07" w14:textId="77777777" w:rsidR="00475A10" w:rsidRPr="00DD5F33" w:rsidRDefault="00475A10" w:rsidP="00475A10">
      <w:pPr>
        <w:shd w:val="clear" w:color="auto" w:fill="FFFFFF"/>
        <w:jc w:val="both"/>
        <w:rPr>
          <w:rFonts w:ascii="Arial" w:eastAsia="Calibri" w:hAnsi="Arial" w:cs="Arial"/>
          <w:bCs/>
          <w:color w:val="000000"/>
          <w:sz w:val="20"/>
          <w:szCs w:val="20"/>
          <w:lang w:val="es-ES_tradnl" w:eastAsia="en-US"/>
        </w:rPr>
      </w:pPr>
    </w:p>
    <w:p w14:paraId="48B9E57C" w14:textId="2D4710CE" w:rsidR="002E657C" w:rsidRPr="00DD5F33" w:rsidRDefault="002E657C" w:rsidP="00475A10">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lastRenderedPageBreak/>
        <w:t xml:space="preserve">En armonía con estos mandatos constitucionales y legales, el parágrafo 3 del artículo 2.2.1.2.4.2.17. establece que «en la plataforma del SECOP </w:t>
      </w:r>
      <w:r w:rsidRPr="00DD5F33">
        <w:rPr>
          <w:rFonts w:ascii="Arial" w:eastAsia="Calibri" w:hAnsi="Arial" w:cs="Arial"/>
          <w:bCs/>
          <w:i/>
          <w:iCs/>
          <w:color w:val="000000"/>
          <w:sz w:val="20"/>
          <w:szCs w:val="20"/>
          <w:lang w:val="es-ES_tradnl" w:eastAsia="en-US"/>
        </w:rPr>
        <w:t>no se publicará</w:t>
      </w:r>
      <w:r w:rsidRPr="00DD5F33">
        <w:rPr>
          <w:rFonts w:ascii="Arial" w:eastAsia="Calibri" w:hAnsi="Arial" w:cs="Arial"/>
          <w:bCs/>
          <w:color w:val="000000"/>
          <w:sz w:val="20"/>
          <w:szCs w:val="20"/>
          <w:lang w:val="es-ES_tradnl" w:eastAsia="en-US"/>
        </w:rPr>
        <w:t xml:space="preserve">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 (énfasis fuera de texto). Adviértase que la norma contiene una prohibición, al emplear la expresión </w:t>
      </w:r>
      <w:r w:rsidRPr="00DD5F33">
        <w:rPr>
          <w:rFonts w:ascii="Arial" w:eastAsia="Calibri" w:hAnsi="Arial" w:cs="Arial"/>
          <w:bCs/>
          <w:i/>
          <w:iCs/>
          <w:color w:val="000000"/>
          <w:sz w:val="20"/>
          <w:szCs w:val="20"/>
          <w:lang w:val="es-ES_tradnl" w:eastAsia="en-US"/>
        </w:rPr>
        <w:t>no se publicará</w:t>
      </w:r>
      <w:r w:rsidRPr="00DD5F33">
        <w:rPr>
          <w:rFonts w:ascii="Arial" w:eastAsia="Calibri" w:hAnsi="Arial" w:cs="Arial"/>
          <w:bCs/>
          <w:color w:val="000000"/>
          <w:sz w:val="20"/>
          <w:szCs w:val="20"/>
          <w:lang w:val="es-ES_tradnl" w:eastAsia="en-US"/>
        </w:rPr>
        <w:t xml:space="preserve">; lo que constituye un deber para las entidades estatales, en consideración a la ejecutoriedad del reglamento y a que esta excepción al mandato de publicar los documentos es legítima, en términos constitucionales y legales. </w:t>
      </w:r>
    </w:p>
    <w:p w14:paraId="6195D05E" w14:textId="1EA59AB8" w:rsidR="00484C97" w:rsidRPr="00DD5F33" w:rsidRDefault="00484C97" w:rsidP="00484C97">
      <w:pPr>
        <w:jc w:val="both"/>
        <w:rPr>
          <w:rFonts w:ascii="Arial" w:eastAsia="Calibri" w:hAnsi="Arial" w:cs="Arial"/>
          <w:bCs/>
          <w:color w:val="000000"/>
          <w:sz w:val="20"/>
          <w:szCs w:val="20"/>
          <w:lang w:val="es-ES_tradnl" w:eastAsia="en-US"/>
        </w:rPr>
      </w:pPr>
    </w:p>
    <w:p w14:paraId="75B48009" w14:textId="5E907548" w:rsidR="00475A10" w:rsidRPr="00DD5F33" w:rsidRDefault="00475A10" w:rsidP="00475A10">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FACTORES DE DESEMPATE – Datos sensibles – Manejo – Entidad estatal</w:t>
      </w:r>
      <w:r w:rsidR="000016A7" w:rsidRPr="00DD5F33">
        <w:rPr>
          <w:rFonts w:ascii="Arial" w:eastAsia="Calibri" w:hAnsi="Arial" w:cs="Arial"/>
          <w:b/>
          <w:bCs/>
          <w:color w:val="000000" w:themeColor="text1"/>
          <w:sz w:val="22"/>
          <w:szCs w:val="22"/>
          <w:lang w:eastAsia="en-US"/>
        </w:rPr>
        <w:t xml:space="preserve"> – Autorización del titular</w:t>
      </w:r>
    </w:p>
    <w:p w14:paraId="589C51B6" w14:textId="5A508309" w:rsidR="00484C97" w:rsidRPr="00DD5F33" w:rsidRDefault="00484C97" w:rsidP="00475A10">
      <w:pPr>
        <w:shd w:val="clear" w:color="auto" w:fill="FFFFFF"/>
        <w:jc w:val="both"/>
        <w:rPr>
          <w:rFonts w:ascii="Arial" w:eastAsia="Calibri" w:hAnsi="Arial" w:cs="Arial"/>
          <w:bCs/>
          <w:color w:val="000000"/>
          <w:sz w:val="20"/>
          <w:szCs w:val="20"/>
          <w:lang w:val="es-ES_tradnl" w:eastAsia="en-US"/>
        </w:rPr>
      </w:pPr>
    </w:p>
    <w:p w14:paraId="234BD3BD" w14:textId="134B37D5" w:rsidR="00475A10" w:rsidRPr="00DD5F33" w:rsidRDefault="00475A10" w:rsidP="00475A10">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Si un proponente solicita el documento reservado, la entidad puede rechazar el acceso al mismo de manera motivada, de conformidad con el artículo 6 de la Ley 1581 de 2012 y el artículo 18 de la Ley 1712 de 2014. Lo anterior, sin perjuicio de lo indicado en el literal a) del artículo 6 de la Ley 1581 de 2012, para cuando «El Titular haya dado su autorización explícita a dicho Tratamiento, salvo en los casos que por ley no sea requerido el otorgamiento de dicha autorización» y de lo previsto en el parágrafo del artículo 18 de la Ley 1712 de 2014, que indica: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 En otras palabras, una lectura sistemática del parágrafo 3 del artículo 2.2.1.2.4.2.17. del Decreto 1082 de 2015, con los artículos legales a los que se ha hecho referencia, permite concluir que solo si el titular de la información brinda su consentimiento se podrá publicar o dar acceso a su información, en principio, reservada.</w:t>
      </w:r>
    </w:p>
    <w:p w14:paraId="47A99A9B" w14:textId="77777777" w:rsidR="00475A10" w:rsidRPr="00DD5F33" w:rsidRDefault="00475A10" w:rsidP="00475A10">
      <w:pPr>
        <w:shd w:val="clear" w:color="auto" w:fill="FFFFFF"/>
        <w:jc w:val="both"/>
        <w:rPr>
          <w:rFonts w:ascii="Arial" w:eastAsia="Calibri" w:hAnsi="Arial" w:cs="Arial"/>
          <w:bCs/>
          <w:color w:val="000000"/>
          <w:sz w:val="20"/>
          <w:szCs w:val="20"/>
          <w:lang w:val="es-ES_tradnl" w:eastAsia="en-US"/>
        </w:rPr>
      </w:pPr>
    </w:p>
    <w:p w14:paraId="2F06D18D" w14:textId="77777777" w:rsidR="00475A10" w:rsidRPr="00DD5F33" w:rsidRDefault="00475A10" w:rsidP="00475A10">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Cabe anotar, sin perjuicio de lo anterior, que no necesariamente la autorización para el manejo de datos sensibles por parte de la entidad estatal, a la que aluden los últimos incisos de los numerales 5 y 6 del artículo 2.2.1.2.4.2.17. implica una autorización para que aquella publique en el SECOP los datos. La autorización a la que se refieren dichos incisos es para que la entidad estatal pueda tratar o manejar dicha información; y no para que terceras personas puedan acceder a esta. Distinto es el consentimiento para la revelación de la información al que alude el parágrafo del artículo 18 de la Ley 1712 de 2014. Si este consentimiento no se ha otorgado, se debe aplicar la prohibición a publicar dicha información en el SECOP, contenida en el parágrafo 3 del artículo 2.2.1.2.4.2.17. del Decreto 1082 de 2015, adicionado por el artículo 3 del Decreto 1860 de 2021.</w:t>
      </w:r>
    </w:p>
    <w:p w14:paraId="5DBFD499" w14:textId="79377AF7" w:rsidR="00475A10" w:rsidRPr="00DD5F33" w:rsidRDefault="00475A10" w:rsidP="00475A10">
      <w:pPr>
        <w:shd w:val="clear" w:color="auto" w:fill="FFFFFF"/>
        <w:jc w:val="both"/>
        <w:rPr>
          <w:rFonts w:ascii="Arial" w:eastAsia="Calibri" w:hAnsi="Arial" w:cs="Arial"/>
          <w:bCs/>
          <w:color w:val="000000"/>
          <w:sz w:val="20"/>
          <w:szCs w:val="20"/>
          <w:lang w:val="es-ES_tradnl" w:eastAsia="en-US"/>
        </w:rPr>
      </w:pPr>
    </w:p>
    <w:p w14:paraId="11239B80" w14:textId="21BEED0A" w:rsidR="00D1328C" w:rsidRPr="00DD5F33" w:rsidRDefault="00D1328C" w:rsidP="00D1328C">
      <w:pPr>
        <w:spacing w:after="120"/>
        <w:contextualSpacing/>
        <w:jc w:val="both"/>
        <w:rPr>
          <w:rFonts w:ascii="Arial" w:eastAsia="Calibri" w:hAnsi="Arial" w:cs="Arial"/>
          <w:b/>
          <w:bCs/>
          <w:color w:val="000000" w:themeColor="text1"/>
          <w:sz w:val="22"/>
          <w:szCs w:val="22"/>
          <w:lang w:eastAsia="en-US"/>
        </w:rPr>
      </w:pPr>
      <w:r w:rsidRPr="00DD5F33">
        <w:rPr>
          <w:rFonts w:ascii="Arial" w:eastAsia="Calibri" w:hAnsi="Arial" w:cs="Arial"/>
          <w:b/>
          <w:bCs/>
          <w:color w:val="000000" w:themeColor="text1"/>
          <w:sz w:val="22"/>
          <w:szCs w:val="22"/>
          <w:lang w:eastAsia="en-US"/>
        </w:rPr>
        <w:t>SUBSANABILIDAD – Documentos – Factores de desempate– Prohibición</w:t>
      </w:r>
    </w:p>
    <w:p w14:paraId="60755AA7" w14:textId="77777777" w:rsidR="00D1328C" w:rsidRPr="00DD5F33" w:rsidRDefault="00D1328C" w:rsidP="00475A10">
      <w:pPr>
        <w:shd w:val="clear" w:color="auto" w:fill="FFFFFF"/>
        <w:jc w:val="both"/>
        <w:rPr>
          <w:rFonts w:ascii="Arial" w:eastAsia="Calibri" w:hAnsi="Arial" w:cs="Arial"/>
          <w:bCs/>
          <w:color w:val="000000"/>
          <w:sz w:val="20"/>
          <w:szCs w:val="20"/>
          <w:lang w:eastAsia="en-US"/>
        </w:rPr>
      </w:pPr>
    </w:p>
    <w:p w14:paraId="5A4BF1FA" w14:textId="3F5D05C4" w:rsidR="00D1328C" w:rsidRPr="00DD5F33" w:rsidRDefault="001B3154" w:rsidP="001B3154">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w:t>
      </w:r>
      <w:r w:rsidR="00D1328C" w:rsidRPr="00DD5F33">
        <w:rPr>
          <w:rFonts w:ascii="Arial" w:eastAsia="Calibri" w:hAnsi="Arial" w:cs="Arial"/>
          <w:bCs/>
          <w:color w:val="000000"/>
          <w:sz w:val="20"/>
          <w:szCs w:val="20"/>
          <w:lang w:val="es-ES_tradnl" w:eastAsia="en-US"/>
        </w:rPr>
        <w:t xml:space="preserve">el parágrafo 1 del artículo 5 de la Ley 1150 de 2007, modificado por el artículo 5 de la Ley 1882 de 2018, </w:t>
      </w:r>
      <w:r w:rsidRPr="00DD5F33">
        <w:rPr>
          <w:rFonts w:ascii="Arial" w:eastAsia="Calibri" w:hAnsi="Arial" w:cs="Arial"/>
          <w:bCs/>
          <w:color w:val="000000"/>
          <w:sz w:val="20"/>
          <w:szCs w:val="20"/>
          <w:lang w:val="es-ES_tradnl" w:eastAsia="en-US"/>
        </w:rPr>
        <w:t>[…]</w:t>
      </w:r>
      <w:r w:rsidR="00D1328C" w:rsidRPr="00DD5F33">
        <w:rPr>
          <w:rFonts w:ascii="Arial" w:eastAsia="Calibri" w:hAnsi="Arial" w:cs="Arial"/>
          <w:bCs/>
          <w:color w:val="000000"/>
          <w:sz w:val="20"/>
          <w:szCs w:val="20"/>
          <w:lang w:val="es-ES_tradnl" w:eastAsia="en-US"/>
        </w:rPr>
        <w:t xml:space="preserve"> indica que «[…], todos aquellos requisitos de la propuesta </w:t>
      </w:r>
      <w:r w:rsidR="00D1328C" w:rsidRPr="00DD5F33">
        <w:rPr>
          <w:rFonts w:ascii="Arial" w:eastAsia="Calibri" w:hAnsi="Arial" w:cs="Arial"/>
          <w:bCs/>
          <w:i/>
          <w:iCs/>
          <w:color w:val="000000"/>
          <w:sz w:val="20"/>
          <w:szCs w:val="20"/>
          <w:lang w:val="es-ES_tradnl" w:eastAsia="en-US"/>
        </w:rPr>
        <w:t>que no afecten la asignación de puntaje</w:t>
      </w:r>
      <w:r w:rsidR="00D1328C" w:rsidRPr="00DD5F33">
        <w:rPr>
          <w:rFonts w:ascii="Arial" w:eastAsia="Calibri" w:hAnsi="Arial" w:cs="Arial"/>
          <w:bCs/>
          <w:color w:val="000000"/>
          <w:sz w:val="20"/>
          <w:szCs w:val="20"/>
          <w:lang w:val="es-ES_tradnl" w:eastAsia="en-U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(énfasis fuera de texto). </w:t>
      </w:r>
    </w:p>
    <w:p w14:paraId="6EB2F3DC" w14:textId="77777777" w:rsidR="001B3154" w:rsidRPr="00DD5F33" w:rsidRDefault="001B3154" w:rsidP="001B3154">
      <w:pPr>
        <w:shd w:val="clear" w:color="auto" w:fill="FFFFFF"/>
        <w:jc w:val="both"/>
        <w:rPr>
          <w:rFonts w:ascii="Arial" w:eastAsia="Calibri" w:hAnsi="Arial" w:cs="Arial"/>
          <w:bCs/>
          <w:color w:val="000000"/>
          <w:sz w:val="20"/>
          <w:szCs w:val="20"/>
          <w:lang w:val="es-ES_tradnl" w:eastAsia="en-US"/>
        </w:rPr>
      </w:pPr>
    </w:p>
    <w:p w14:paraId="2E8EDC50" w14:textId="454669A4" w:rsidR="00D1328C" w:rsidRPr="00DD5F33" w:rsidRDefault="00D1328C" w:rsidP="001B3154">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De allí se desprende que los documentos que deba presentar el oferente para acreditar las circunstancias que otorgan puntaje no son subsanables. Esto ocurre, precisamente, con los documentos que han de aportarse para demostrar que el proponente se encuentra en los supuestos </w:t>
      </w:r>
      <w:r w:rsidRPr="00DD5F33">
        <w:rPr>
          <w:rFonts w:ascii="Arial" w:eastAsia="Calibri" w:hAnsi="Arial" w:cs="Arial"/>
          <w:bCs/>
          <w:color w:val="000000"/>
          <w:sz w:val="20"/>
          <w:szCs w:val="20"/>
          <w:lang w:val="es-ES_tradnl" w:eastAsia="en-US"/>
        </w:rPr>
        <w:lastRenderedPageBreak/>
        <w:t xml:space="preserve">regulados en el artículo 35 de la Ley 2069 de 2020, reglamentado por el artículo 2.2.1.2.4.2.17. del Decreto 1082 de 2015 –adicionado por el artículo 3 del Decreto 1860 de 2021–, para ser beneficiario de los factores de desempate, pues estos inciden sobre la calificación. </w:t>
      </w:r>
    </w:p>
    <w:p w14:paraId="394FA440" w14:textId="77777777" w:rsidR="001B3154" w:rsidRPr="00DD5F33" w:rsidRDefault="001B3154" w:rsidP="001B3154">
      <w:pPr>
        <w:shd w:val="clear" w:color="auto" w:fill="FFFFFF"/>
        <w:jc w:val="both"/>
        <w:rPr>
          <w:rFonts w:ascii="Arial" w:eastAsia="Calibri" w:hAnsi="Arial" w:cs="Arial"/>
          <w:bCs/>
          <w:color w:val="000000"/>
          <w:sz w:val="20"/>
          <w:szCs w:val="20"/>
          <w:lang w:val="es-ES_tradnl" w:eastAsia="en-US"/>
        </w:rPr>
      </w:pPr>
    </w:p>
    <w:p w14:paraId="39A6B065" w14:textId="720C4DD1" w:rsidR="00D1328C" w:rsidRPr="00DD5F33" w:rsidRDefault="00D1328C" w:rsidP="001B3154">
      <w:pPr>
        <w:shd w:val="clear" w:color="auto" w:fill="FFFFFF"/>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A partir de lo anterior, puede decirse que si un documento sirve para acreditar un requisito habilitante y también para demostrar alguna de los supuestos que permiten la aplicación de los factores de desempate, debe permitirse su subsanación frente al requisito habilitante, más no frente a los factores de desempate. Así también lo ha interpretado esta Agencia en los documentos tipo. Por ejemplo, en lo que respecta a la acreditación del puntaje por servicios nacionales o con trato nacional, ha indicado: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p>
    <w:p w14:paraId="2623284D"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4EF0A6D7"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296BA60A"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64CAA1BD"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73CCD006"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51CAD26A"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5E30D9A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2D9C5F9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02FBBE1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71785AC6"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639E579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6A9BE833"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66AF0AC1"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7DAEBED3"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26522C48" w14:textId="77777777" w:rsidR="00593C7A" w:rsidRPr="00DD5F33" w:rsidRDefault="00593C7A" w:rsidP="001C661B">
      <w:pPr>
        <w:spacing w:line="276" w:lineRule="auto"/>
        <w:jc w:val="both"/>
        <w:rPr>
          <w:rFonts w:ascii="Arial" w:hAnsi="Arial" w:cs="Arial"/>
          <w:noProof/>
          <w:color w:val="000000" w:themeColor="text1"/>
          <w:sz w:val="22"/>
          <w:lang w:val="es-ES_tradnl"/>
        </w:rPr>
      </w:pPr>
    </w:p>
    <w:p w14:paraId="05B49C96" w14:textId="77777777" w:rsidR="00593C7A" w:rsidRPr="00DD5F33" w:rsidRDefault="00593C7A" w:rsidP="001C661B">
      <w:pPr>
        <w:spacing w:line="276" w:lineRule="auto"/>
        <w:jc w:val="both"/>
        <w:rPr>
          <w:rFonts w:ascii="Arial" w:hAnsi="Arial" w:cs="Arial"/>
          <w:noProof/>
          <w:color w:val="000000" w:themeColor="text1"/>
          <w:sz w:val="22"/>
          <w:lang w:val="es-ES_tradnl"/>
        </w:rPr>
      </w:pPr>
    </w:p>
    <w:p w14:paraId="65263653" w14:textId="77777777" w:rsidR="00593C7A" w:rsidRPr="00DD5F33" w:rsidRDefault="00593C7A" w:rsidP="001C661B">
      <w:pPr>
        <w:spacing w:line="276" w:lineRule="auto"/>
        <w:jc w:val="both"/>
        <w:rPr>
          <w:rFonts w:ascii="Arial" w:hAnsi="Arial" w:cs="Arial"/>
          <w:noProof/>
          <w:color w:val="000000" w:themeColor="text1"/>
          <w:sz w:val="22"/>
          <w:lang w:val="es-ES_tradnl"/>
        </w:rPr>
      </w:pPr>
    </w:p>
    <w:p w14:paraId="76B1B811" w14:textId="77777777" w:rsidR="00C920FD" w:rsidRPr="00DD5F33" w:rsidRDefault="00C920FD" w:rsidP="001C661B">
      <w:pPr>
        <w:spacing w:line="276" w:lineRule="auto"/>
        <w:jc w:val="both"/>
        <w:rPr>
          <w:rFonts w:ascii="Arial" w:hAnsi="Arial" w:cs="Arial"/>
          <w:noProof/>
          <w:color w:val="000000" w:themeColor="text1"/>
          <w:sz w:val="22"/>
          <w:lang w:val="es-ES_tradnl"/>
        </w:rPr>
      </w:pPr>
    </w:p>
    <w:p w14:paraId="6AD12717" w14:textId="77777777" w:rsidR="00C920FD" w:rsidRPr="00DD5F33" w:rsidRDefault="00C920FD" w:rsidP="001C661B">
      <w:pPr>
        <w:spacing w:line="276" w:lineRule="auto"/>
        <w:jc w:val="both"/>
        <w:rPr>
          <w:rFonts w:ascii="Arial" w:hAnsi="Arial" w:cs="Arial"/>
          <w:noProof/>
          <w:color w:val="000000" w:themeColor="text1"/>
          <w:sz w:val="22"/>
          <w:lang w:val="es-ES_tradnl"/>
        </w:rPr>
      </w:pPr>
    </w:p>
    <w:p w14:paraId="427A63BA" w14:textId="77777777" w:rsidR="00C920FD" w:rsidRPr="00DD5F33" w:rsidRDefault="00C920FD" w:rsidP="001C661B">
      <w:pPr>
        <w:spacing w:line="276" w:lineRule="auto"/>
        <w:jc w:val="both"/>
        <w:rPr>
          <w:rFonts w:ascii="Arial" w:hAnsi="Arial" w:cs="Arial"/>
          <w:noProof/>
          <w:color w:val="000000" w:themeColor="text1"/>
          <w:sz w:val="22"/>
          <w:lang w:val="es-ES_tradnl"/>
        </w:rPr>
      </w:pPr>
    </w:p>
    <w:p w14:paraId="25F51A6C"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6837005F"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68A07E24"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4C0A71A9"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5E5B3DC6"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3FFAB6BC"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2FC910BB"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6DD6E71A"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2FB5D743"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7584077A" w14:textId="77777777" w:rsidR="009B016E" w:rsidRPr="00DD5F33" w:rsidRDefault="009B016E" w:rsidP="001C661B">
      <w:pPr>
        <w:spacing w:line="276" w:lineRule="auto"/>
        <w:jc w:val="both"/>
        <w:rPr>
          <w:rFonts w:ascii="Arial" w:hAnsi="Arial" w:cs="Arial"/>
          <w:noProof/>
          <w:color w:val="000000" w:themeColor="text1"/>
          <w:sz w:val="22"/>
          <w:lang w:val="es-ES_tradnl"/>
        </w:rPr>
      </w:pPr>
    </w:p>
    <w:p w14:paraId="28D35FFE" w14:textId="19264A4D" w:rsidR="001C661B" w:rsidRPr="00DD5F33" w:rsidRDefault="001C661B" w:rsidP="001C661B">
      <w:pPr>
        <w:spacing w:line="276" w:lineRule="auto"/>
        <w:jc w:val="both"/>
        <w:rPr>
          <w:rFonts w:ascii="Arial" w:hAnsi="Arial" w:cs="Arial"/>
          <w:b/>
          <w:color w:val="000000" w:themeColor="text1"/>
          <w:sz w:val="22"/>
          <w:lang w:val="es-ES_tradnl"/>
        </w:rPr>
      </w:pPr>
      <w:r w:rsidRPr="00DD5F33">
        <w:rPr>
          <w:rFonts w:ascii="Arial" w:hAnsi="Arial" w:cs="Arial"/>
          <w:noProof/>
          <w:color w:val="000000" w:themeColor="text1"/>
          <w:sz w:val="22"/>
          <w:lang w:val="es-ES_tradnl"/>
        </w:rPr>
        <w:lastRenderedPageBreak/>
        <w:t xml:space="preserve">Bogotá D.C., </w:t>
      </w:r>
      <w:r w:rsidR="00335B06">
        <w:rPr>
          <w:rFonts w:ascii="Arial" w:hAnsi="Arial" w:cs="Arial"/>
          <w:b/>
          <w:color w:val="000000" w:themeColor="text1"/>
          <w:sz w:val="22"/>
          <w:lang w:val="es-ES_tradnl"/>
        </w:rPr>
        <w:t>12/05/2022 16:04:19</w:t>
      </w:r>
    </w:p>
    <w:p w14:paraId="50165522" w14:textId="77777777" w:rsidR="001C661B" w:rsidRPr="00DD5F33" w:rsidRDefault="001C661B" w:rsidP="001C661B">
      <w:pPr>
        <w:spacing w:line="276" w:lineRule="auto"/>
        <w:jc w:val="both"/>
        <w:rPr>
          <w:rFonts w:ascii="Arial" w:eastAsia="Calibri" w:hAnsi="Arial" w:cs="Arial"/>
          <w:noProof/>
          <w:color w:val="000000" w:themeColor="text1"/>
          <w:sz w:val="22"/>
          <w:szCs w:val="22"/>
          <w:lang w:val="es-ES_tradnl"/>
        </w:rPr>
      </w:pPr>
    </w:p>
    <w:p w14:paraId="628CB3E2" w14:textId="0CFC3254" w:rsidR="00DF7420" w:rsidRPr="00DD5F33" w:rsidRDefault="00335B06" w:rsidP="00335B06">
      <w:pPr>
        <w:jc w:val="right"/>
        <w:rPr>
          <w:rFonts w:ascii="Arial" w:hAnsi="Arial" w:cs="Arial"/>
          <w:bCs/>
          <w:color w:val="000000" w:themeColor="text1"/>
          <w:sz w:val="22"/>
          <w:lang w:val="es-ES_tradnl"/>
        </w:rPr>
      </w:pPr>
      <w:r w:rsidRPr="00335B06">
        <w:rPr>
          <w:rFonts w:ascii="Arial" w:hAnsi="Arial" w:cs="Arial"/>
          <w:b/>
          <w:noProof/>
          <w:color w:val="000000" w:themeColor="text1"/>
          <w:sz w:val="22"/>
          <w:lang w:val="es-ES_tradnl"/>
        </w:rPr>
        <w:drawing>
          <wp:inline distT="0" distB="0" distL="0" distR="0" wp14:anchorId="422370B2" wp14:editId="64A72EA2">
            <wp:extent cx="2501900" cy="66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1900" cy="660400"/>
                    </a:xfrm>
                    <a:prstGeom prst="rect">
                      <a:avLst/>
                    </a:prstGeom>
                  </pic:spPr>
                </pic:pic>
              </a:graphicData>
            </a:graphic>
          </wp:inline>
        </w:drawing>
      </w:r>
    </w:p>
    <w:p w14:paraId="0BABB61F" w14:textId="77777777" w:rsidR="00D63A42" w:rsidRPr="00DD5F33" w:rsidRDefault="00D63A42" w:rsidP="00D63A42">
      <w:pPr>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Doctora</w:t>
      </w:r>
    </w:p>
    <w:p w14:paraId="557675C3" w14:textId="1D069FCA" w:rsidR="00D63A42" w:rsidRPr="00DD5F33" w:rsidRDefault="00F37108" w:rsidP="00D63A42">
      <w:pPr>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Zulma Rojas Suárez</w:t>
      </w:r>
    </w:p>
    <w:p w14:paraId="3C90A404" w14:textId="7649EBB6" w:rsidR="00D63A42" w:rsidRPr="00DD5F33" w:rsidRDefault="00F37108" w:rsidP="00D63A42">
      <w:pPr>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Directora Distrital de Política Jurídica</w:t>
      </w:r>
    </w:p>
    <w:p w14:paraId="1B9950B2" w14:textId="37A38083" w:rsidR="008B5E48" w:rsidRPr="00DD5F33" w:rsidRDefault="004F386A" w:rsidP="00D63A42">
      <w:pPr>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Secretaría Jurídica Distrital</w:t>
      </w:r>
    </w:p>
    <w:p w14:paraId="13F0EFB1" w14:textId="77777777" w:rsidR="00D63A42" w:rsidRPr="00DD5F33" w:rsidRDefault="00D63A42" w:rsidP="00D63A42">
      <w:pPr>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Bogotá, D.C.</w:t>
      </w:r>
    </w:p>
    <w:p w14:paraId="0A3EDA97" w14:textId="3B537491" w:rsidR="00DF7420" w:rsidRPr="00DD5F33" w:rsidRDefault="00DF7420" w:rsidP="00DF7420">
      <w:pPr>
        <w:jc w:val="both"/>
        <w:rPr>
          <w:rFonts w:ascii="Arial" w:eastAsia="Calibri" w:hAnsi="Arial" w:cs="Arial"/>
          <w:color w:val="000000" w:themeColor="text1"/>
          <w:sz w:val="22"/>
          <w:lang w:val="es-ES_tradnl"/>
        </w:rPr>
      </w:pPr>
    </w:p>
    <w:p w14:paraId="3F3D1203" w14:textId="77777777" w:rsidR="00B95C30" w:rsidRPr="00DD5F33" w:rsidRDefault="00B95C30" w:rsidP="00B95C30">
      <w:pPr>
        <w:jc w:val="both"/>
        <w:rPr>
          <w:rFonts w:ascii="Arial" w:eastAsia="Calibri" w:hAnsi="Arial" w:cs="Arial"/>
          <w:color w:val="000000" w:themeColor="text1"/>
          <w:sz w:val="22"/>
          <w:lang w:val="es-ES_tradnl"/>
        </w:rPr>
      </w:pPr>
    </w:p>
    <w:p w14:paraId="24E8D2A9" w14:textId="77777777" w:rsidR="00B95C30" w:rsidRPr="00DD5F33" w:rsidRDefault="00B95C30" w:rsidP="00B95C30">
      <w:pPr>
        <w:jc w:val="both"/>
        <w:rPr>
          <w:rFonts w:ascii="Arial" w:eastAsia="Calibri" w:hAnsi="Arial" w:cs="Arial"/>
          <w:color w:val="000000" w:themeColor="text1"/>
          <w:sz w:val="22"/>
          <w:lang w:val="es-ES_tradnl"/>
        </w:rPr>
      </w:pPr>
    </w:p>
    <w:p w14:paraId="12E66182" w14:textId="72903625" w:rsidR="00B95C30" w:rsidRPr="00DD5F33" w:rsidRDefault="008815D1" w:rsidP="00B06C81">
      <w:pPr>
        <w:rPr>
          <w:rFonts w:ascii="Arial" w:eastAsia="Calibri" w:hAnsi="Arial" w:cs="Arial"/>
          <w:b/>
          <w:bCs/>
          <w:color w:val="000000" w:themeColor="text1"/>
          <w:sz w:val="22"/>
          <w:lang w:val="es-ES_tradnl"/>
        </w:rPr>
      </w:pPr>
      <w:r w:rsidRPr="00DD5F33">
        <w:rPr>
          <w:rFonts w:ascii="Arial" w:eastAsia="Calibri" w:hAnsi="Arial" w:cs="Arial"/>
          <w:b/>
          <w:bCs/>
          <w:color w:val="000000" w:themeColor="text1"/>
          <w:sz w:val="22"/>
          <w:lang w:val="es-ES_tradnl"/>
        </w:rPr>
        <w:t xml:space="preserve">                                            </w:t>
      </w:r>
      <w:r w:rsidR="00B95C30" w:rsidRPr="00DD5F33">
        <w:rPr>
          <w:rFonts w:ascii="Arial" w:eastAsia="Calibri" w:hAnsi="Arial" w:cs="Arial"/>
          <w:b/>
          <w:bCs/>
          <w:color w:val="000000" w:themeColor="text1"/>
          <w:sz w:val="22"/>
          <w:lang w:val="es-ES_tradnl"/>
        </w:rPr>
        <w:t xml:space="preserve">Concepto C ‒ </w:t>
      </w:r>
      <w:r w:rsidR="00655D10" w:rsidRPr="00DD5F33">
        <w:rPr>
          <w:rFonts w:ascii="Arial" w:eastAsia="Calibri" w:hAnsi="Arial" w:cs="Arial"/>
          <w:b/>
          <w:bCs/>
          <w:color w:val="000000" w:themeColor="text1"/>
          <w:sz w:val="22"/>
          <w:lang w:val="es-ES_tradnl"/>
        </w:rPr>
        <w:t>281</w:t>
      </w:r>
      <w:r w:rsidR="001429DA" w:rsidRPr="00DD5F33">
        <w:rPr>
          <w:rFonts w:ascii="Arial" w:eastAsia="Calibri" w:hAnsi="Arial" w:cs="Arial"/>
          <w:b/>
          <w:bCs/>
          <w:color w:val="000000" w:themeColor="text1"/>
          <w:sz w:val="22"/>
          <w:lang w:val="es-ES_tradnl"/>
        </w:rPr>
        <w:t xml:space="preserve"> </w:t>
      </w:r>
      <w:r w:rsidR="00B95C30" w:rsidRPr="00DD5F33">
        <w:rPr>
          <w:rFonts w:ascii="Arial" w:eastAsia="Calibri" w:hAnsi="Arial" w:cs="Arial"/>
          <w:b/>
          <w:bCs/>
          <w:color w:val="000000" w:themeColor="text1"/>
          <w:sz w:val="22"/>
          <w:lang w:val="es-ES_tradnl"/>
        </w:rPr>
        <w:t>de 202</w:t>
      </w:r>
      <w:r w:rsidR="00A40781" w:rsidRPr="00DD5F33">
        <w:rPr>
          <w:rFonts w:ascii="Arial" w:eastAsia="Calibri" w:hAnsi="Arial" w:cs="Arial"/>
          <w:b/>
          <w:bCs/>
          <w:color w:val="000000" w:themeColor="text1"/>
          <w:sz w:val="22"/>
          <w:lang w:val="es-ES_tradnl"/>
        </w:rPr>
        <w:t>2</w:t>
      </w:r>
    </w:p>
    <w:p w14:paraId="1BD594F9" w14:textId="77777777" w:rsidR="00B95C30" w:rsidRPr="00DD5F3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D5F33" w14:paraId="19DFC051" w14:textId="77777777" w:rsidTr="0015145A">
        <w:tc>
          <w:tcPr>
            <w:tcW w:w="2689" w:type="dxa"/>
          </w:tcPr>
          <w:p w14:paraId="6BC0D1AC" w14:textId="77777777" w:rsidR="00B95C30" w:rsidRPr="00DD5F33" w:rsidRDefault="00B95C30" w:rsidP="0015145A">
            <w:pPr>
              <w:jc w:val="both"/>
              <w:rPr>
                <w:rFonts w:ascii="Arial" w:eastAsia="Calibri" w:hAnsi="Arial" w:cs="Arial"/>
                <w:color w:val="000000" w:themeColor="text1"/>
                <w:sz w:val="22"/>
                <w:lang w:val="es-ES_tradnl"/>
              </w:rPr>
            </w:pPr>
            <w:r w:rsidRPr="00DD5F33">
              <w:rPr>
                <w:rFonts w:ascii="Arial" w:eastAsia="Calibri" w:hAnsi="Arial" w:cs="Arial"/>
                <w:b/>
                <w:color w:val="000000" w:themeColor="text1"/>
                <w:sz w:val="22"/>
                <w:lang w:val="es-ES_tradnl"/>
              </w:rPr>
              <w:t>Temas:</w:t>
            </w:r>
            <w:r w:rsidRPr="00DD5F33">
              <w:rPr>
                <w:rFonts w:ascii="Arial" w:eastAsia="Calibri" w:hAnsi="Arial" w:cs="Arial"/>
                <w:color w:val="000000" w:themeColor="text1"/>
                <w:sz w:val="22"/>
                <w:lang w:val="es-ES_tradnl"/>
              </w:rPr>
              <w:t xml:space="preserve">                                      </w:t>
            </w:r>
          </w:p>
        </w:tc>
        <w:tc>
          <w:tcPr>
            <w:tcW w:w="6237" w:type="dxa"/>
          </w:tcPr>
          <w:p w14:paraId="5F389CAF" w14:textId="4A276039" w:rsidR="00B95C30" w:rsidRPr="00DD5F33" w:rsidRDefault="00180833" w:rsidP="0038512F">
            <w:pPr>
              <w:pStyle w:val="Sinespaciado"/>
              <w:jc w:val="both"/>
              <w:rPr>
                <w:rFonts w:ascii="Arial" w:hAnsi="Arial" w:cs="Arial"/>
                <w:bCs/>
                <w:sz w:val="22"/>
                <w:lang w:val="es-CO"/>
              </w:rPr>
            </w:pPr>
            <w:r w:rsidRPr="00DD5F33">
              <w:rPr>
                <w:rFonts w:ascii="Arial" w:hAnsi="Arial" w:cs="Arial"/>
                <w:bCs/>
                <w:sz w:val="22"/>
                <w:lang w:val="es-ES_tradnl" w:eastAsia="es-CO"/>
              </w:rPr>
              <w:t>LEY DE EMPRENDIMIENTO – Ley 2069 de 2020 – Contenido – Finalidad / MÍNIMA CUANTÍA – Contenido – Eficacia directa – Decreto 1</w:t>
            </w:r>
            <w:r w:rsidR="009762F0" w:rsidRPr="00DD5F33">
              <w:rPr>
                <w:rFonts w:ascii="Arial" w:hAnsi="Arial" w:cs="Arial"/>
                <w:bCs/>
                <w:sz w:val="22"/>
                <w:lang w:val="es-ES_tradnl" w:eastAsia="es-CO"/>
              </w:rPr>
              <w:t>86</w:t>
            </w:r>
            <w:r w:rsidRPr="00DD5F33">
              <w:rPr>
                <w:rFonts w:ascii="Arial" w:hAnsi="Arial" w:cs="Arial"/>
                <w:bCs/>
                <w:sz w:val="22"/>
                <w:lang w:val="es-ES_tradnl" w:eastAsia="es-CO"/>
              </w:rPr>
              <w:t>0 de 2021 / MÍNIMA CUANTÍA – Subsanabilidad – Término – Decreto 1</w:t>
            </w:r>
            <w:r w:rsidR="009762F0" w:rsidRPr="00DD5F33">
              <w:rPr>
                <w:rFonts w:ascii="Arial" w:hAnsi="Arial" w:cs="Arial"/>
                <w:bCs/>
                <w:sz w:val="22"/>
                <w:lang w:val="es-ES_tradnl" w:eastAsia="es-CO"/>
              </w:rPr>
              <w:t>86</w:t>
            </w:r>
            <w:r w:rsidRPr="00DD5F33">
              <w:rPr>
                <w:rFonts w:ascii="Arial" w:hAnsi="Arial" w:cs="Arial"/>
                <w:bCs/>
                <w:sz w:val="22"/>
                <w:lang w:val="es-ES_tradnl" w:eastAsia="es-CO"/>
              </w:rPr>
              <w:t>0 de 2021 / MÍNIMA CUANTÍA – Grandes almacenes – Limitación a mipymes – Solicitud – Decreto 1860 de 2021 / MIPYMES – Criterios diferenciales – Decreto 1</w:t>
            </w:r>
            <w:r w:rsidR="009762F0" w:rsidRPr="00DD5F33">
              <w:rPr>
                <w:rFonts w:ascii="Arial" w:hAnsi="Arial" w:cs="Arial"/>
                <w:bCs/>
                <w:sz w:val="22"/>
                <w:lang w:val="es-ES_tradnl" w:eastAsia="es-CO"/>
              </w:rPr>
              <w:t>86</w:t>
            </w:r>
            <w:r w:rsidRPr="00DD5F33">
              <w:rPr>
                <w:rFonts w:ascii="Arial" w:hAnsi="Arial" w:cs="Arial"/>
                <w:bCs/>
                <w:sz w:val="22"/>
                <w:lang w:val="es-ES_tradnl" w:eastAsia="es-CO"/>
              </w:rPr>
              <w:t>0 de 2021 – Contenido – Distinciones</w:t>
            </w:r>
            <w:r w:rsidR="00156F04" w:rsidRPr="00DD5F33">
              <w:rPr>
                <w:rFonts w:ascii="Arial" w:hAnsi="Arial" w:cs="Arial"/>
                <w:bCs/>
                <w:sz w:val="22"/>
                <w:lang w:val="es-ES_tradnl" w:eastAsia="es-CO"/>
              </w:rPr>
              <w:t xml:space="preserve"> / COLOMBIA COMPRA EFICIENTE – Suficiencia – Garantía de seriedad – Acuerdos marcos de precios – Mipymes  – Emprendimientos de mujeres – Empresas de mujeres / EMPRENDIMIENTOS Y EMPRESAS DE MUJERES – Criterios diferenciales – Decreto 1860 de 2021 – Forma de acreditación / EMPRENDIMIENTOS Y EMPRESAS DE MUJERES – Mujer – persona natural – Igualdad – Forma de acreditación / CRITERIOS DIFERENCIALES – Emprendimientos de mujeres – Empresas de mujeres – Análisis del sector / CRITERIOS DIFERENCIALES – Emprendimientos de mujeres – Empresas de mujeres – Acuerdos comerciales – Aplicación prevalente / CONVOCATORIAS LIMITADAS – Mipymes – Posibilidad – Vigencia – Decreto 1860 de 2021 / PROMOCIÓN DEL DESARROLLO – Contratación pública – Pobreza extrema – Desplazamiento forzado – Proceso de reintegración – Proceso de reincorporación – especial protección constitucional / PROMOCIÓN DEL DESARROLLO – Porcentaje – Bienes o servicios requeridos / PROMOCIÓN DEL DESARROLLO – Acreditación – Sujetos – Especial protección constitucional – Circunstancias / PROMOCIÓN DEL DESARROLLO – Forma de vinculación – Sujetos – Especial protección constitucional – Modalidades contractuales / FACTORES DE DESEMPATE – Vigencia – Eficacia directa – Reglamentación – Decreto 1860 de 2021 / FACTORES DE </w:t>
            </w:r>
            <w:r w:rsidR="00156F04" w:rsidRPr="00DD5F33">
              <w:rPr>
                <w:rFonts w:ascii="Arial" w:hAnsi="Arial" w:cs="Arial"/>
                <w:bCs/>
                <w:sz w:val="22"/>
                <w:lang w:val="es-ES_tradnl" w:eastAsia="es-CO"/>
              </w:rPr>
              <w:lastRenderedPageBreak/>
              <w:t>DESEMPATE – Carácter sucesivo – Carácter excluyente – Interpretación / FACTORES DE DESEMPATE – Reservas de información – Prohibición de publicación – SECOP / FACTORES DE DESEMPATE – Datos sensibles – Manejo – Entidad estatal – Autorización del titular / SUBSANABILIDAD – Documentos – Factores de desempate– Prohibición</w:t>
            </w:r>
          </w:p>
        </w:tc>
      </w:tr>
      <w:tr w:rsidR="00B95C30" w:rsidRPr="00DD5F33" w14:paraId="27CD52AB" w14:textId="77777777" w:rsidTr="0015145A">
        <w:tc>
          <w:tcPr>
            <w:tcW w:w="2689" w:type="dxa"/>
          </w:tcPr>
          <w:p w14:paraId="37E195A1" w14:textId="4C368209" w:rsidR="00B95C30" w:rsidRPr="00DD5F33" w:rsidRDefault="00B95C30" w:rsidP="0015145A">
            <w:pPr>
              <w:spacing w:before="12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lastRenderedPageBreak/>
              <w:t>Radicación:</w:t>
            </w:r>
            <w:r w:rsidRPr="00DD5F33">
              <w:rPr>
                <w:rFonts w:ascii="Arial" w:eastAsia="Calibri" w:hAnsi="Arial" w:cs="Arial"/>
                <w:color w:val="000000" w:themeColor="text1"/>
                <w:sz w:val="22"/>
                <w:lang w:val="es-ES_tradnl"/>
              </w:rPr>
              <w:t xml:space="preserve">                              </w:t>
            </w:r>
          </w:p>
        </w:tc>
        <w:tc>
          <w:tcPr>
            <w:tcW w:w="6237" w:type="dxa"/>
          </w:tcPr>
          <w:p w14:paraId="09088B1B" w14:textId="42E9BFA3" w:rsidR="00B95C30" w:rsidRPr="00DD5F33" w:rsidRDefault="00B95C30" w:rsidP="0015145A">
            <w:pPr>
              <w:spacing w:before="120"/>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Respuesta a consulta</w:t>
            </w:r>
            <w:r w:rsidR="00680297" w:rsidRPr="00DD5F33">
              <w:rPr>
                <w:rFonts w:ascii="Arial" w:eastAsia="Calibri" w:hAnsi="Arial" w:cs="Arial"/>
                <w:color w:val="000000" w:themeColor="text1"/>
                <w:sz w:val="22"/>
                <w:lang w:val="es-ES_tradnl"/>
              </w:rPr>
              <w:t xml:space="preserve"> </w:t>
            </w:r>
            <w:r w:rsidRPr="00DD5F33">
              <w:rPr>
                <w:rFonts w:ascii="Arial" w:eastAsia="Calibri" w:hAnsi="Arial" w:cs="Arial"/>
                <w:color w:val="000000" w:themeColor="text1"/>
                <w:sz w:val="22"/>
                <w:lang w:val="es-ES_tradnl"/>
              </w:rPr>
              <w:t xml:space="preserve"># </w:t>
            </w:r>
            <w:r w:rsidR="006C1C01" w:rsidRPr="00DD5F33">
              <w:rPr>
                <w:rFonts w:ascii="Arial" w:eastAsia="Calibri" w:hAnsi="Arial" w:cs="Arial"/>
                <w:color w:val="000000" w:themeColor="text1"/>
                <w:sz w:val="22"/>
                <w:lang w:val="es-ES_tradnl"/>
              </w:rPr>
              <w:t>P20220324002962</w:t>
            </w:r>
          </w:p>
        </w:tc>
      </w:tr>
    </w:tbl>
    <w:p w14:paraId="1BBCEF05" w14:textId="77777777" w:rsidR="008815D1" w:rsidRPr="00DD5F33" w:rsidRDefault="008815D1" w:rsidP="003C3339">
      <w:pPr>
        <w:jc w:val="both"/>
        <w:rPr>
          <w:rFonts w:ascii="Arial" w:eastAsia="Calibri" w:hAnsi="Arial" w:cs="Arial"/>
          <w:color w:val="000000" w:themeColor="text1"/>
          <w:sz w:val="22"/>
          <w:lang w:val="es-ES_tradnl"/>
        </w:rPr>
      </w:pPr>
    </w:p>
    <w:p w14:paraId="4F7A4DD4" w14:textId="77777777" w:rsidR="008815D1" w:rsidRPr="00DD5F33" w:rsidRDefault="008815D1" w:rsidP="003C3339">
      <w:pPr>
        <w:jc w:val="both"/>
        <w:rPr>
          <w:rFonts w:ascii="Arial" w:eastAsia="Calibri" w:hAnsi="Arial" w:cs="Arial"/>
          <w:color w:val="000000" w:themeColor="text1"/>
          <w:sz w:val="22"/>
          <w:lang w:val="es-ES_tradnl"/>
        </w:rPr>
      </w:pPr>
    </w:p>
    <w:p w14:paraId="40F93D15" w14:textId="4C73A318" w:rsidR="003A74FC" w:rsidRPr="00DD5F33" w:rsidRDefault="003A74FC" w:rsidP="003A74FC">
      <w:pPr>
        <w:spacing w:before="12" w:line="276" w:lineRule="auto"/>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 xml:space="preserve">Estimada Doctora </w:t>
      </w:r>
      <w:r w:rsidR="006F08AD" w:rsidRPr="00DD5F33">
        <w:rPr>
          <w:rFonts w:ascii="Arial" w:eastAsia="Calibri" w:hAnsi="Arial" w:cs="Arial"/>
          <w:color w:val="000000" w:themeColor="text1"/>
          <w:sz w:val="22"/>
          <w:lang w:val="es-ES_tradnl"/>
        </w:rPr>
        <w:t>Rojas</w:t>
      </w:r>
      <w:r w:rsidRPr="00DD5F33">
        <w:rPr>
          <w:rFonts w:ascii="Arial" w:eastAsia="Calibri" w:hAnsi="Arial" w:cs="Arial"/>
          <w:color w:val="000000" w:themeColor="text1"/>
          <w:sz w:val="22"/>
          <w:lang w:val="es-ES_tradnl"/>
        </w:rPr>
        <w:t>:</w:t>
      </w:r>
    </w:p>
    <w:p w14:paraId="1EAE5543" w14:textId="77777777" w:rsidR="00DD5B04" w:rsidRPr="00DD5F33" w:rsidRDefault="00DD5B04" w:rsidP="00DF76A2">
      <w:pPr>
        <w:jc w:val="both"/>
        <w:rPr>
          <w:rFonts w:ascii="Arial" w:eastAsia="Calibri" w:hAnsi="Arial" w:cs="Arial"/>
          <w:color w:val="000000" w:themeColor="text1"/>
          <w:sz w:val="22"/>
          <w:lang w:val="es-ES_tradnl"/>
        </w:rPr>
      </w:pPr>
    </w:p>
    <w:p w14:paraId="2109B2D3" w14:textId="1FD3B668" w:rsidR="00DD5B04" w:rsidRPr="00DD5F33" w:rsidRDefault="00DD5B04" w:rsidP="00DF76A2">
      <w:pPr>
        <w:spacing w:line="276" w:lineRule="auto"/>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D5F33">
        <w:rPr>
          <w:rFonts w:ascii="Arial" w:eastAsia="Calibri" w:hAnsi="Arial" w:cs="Arial"/>
          <w:color w:val="000000" w:themeColor="text1"/>
          <w:sz w:val="22"/>
          <w:lang w:val="es-ES_tradnl"/>
        </w:rPr>
        <w:t xml:space="preserve"> </w:t>
      </w:r>
      <w:r w:rsidRPr="00DD5F33">
        <w:rPr>
          <w:rFonts w:ascii="Arial" w:eastAsia="Calibri" w:hAnsi="Arial" w:cs="Arial"/>
          <w:color w:val="000000" w:themeColor="text1"/>
          <w:sz w:val="22"/>
          <w:lang w:val="es-ES_tradnl"/>
        </w:rPr>
        <w:t xml:space="preserve">responde su consulta del </w:t>
      </w:r>
      <w:r w:rsidR="00B95F81" w:rsidRPr="00DD5F33">
        <w:rPr>
          <w:rFonts w:ascii="Arial" w:eastAsia="Calibri" w:hAnsi="Arial" w:cs="Arial"/>
          <w:color w:val="000000" w:themeColor="text1"/>
          <w:sz w:val="22"/>
          <w:lang w:val="es-ES_tradnl"/>
        </w:rPr>
        <w:t>24</w:t>
      </w:r>
      <w:r w:rsidR="00FD4AF3" w:rsidRPr="00DD5F33">
        <w:rPr>
          <w:rFonts w:ascii="Arial" w:eastAsia="Calibri" w:hAnsi="Arial" w:cs="Arial"/>
          <w:color w:val="000000" w:themeColor="text1"/>
          <w:sz w:val="22"/>
          <w:lang w:val="es-ES_tradnl"/>
        </w:rPr>
        <w:t xml:space="preserve"> de </w:t>
      </w:r>
      <w:r w:rsidR="00DF7420" w:rsidRPr="00DD5F33">
        <w:rPr>
          <w:rFonts w:ascii="Arial" w:eastAsia="Calibri" w:hAnsi="Arial" w:cs="Arial"/>
          <w:color w:val="000000" w:themeColor="text1"/>
          <w:sz w:val="22"/>
          <w:lang w:val="es-ES_tradnl"/>
        </w:rPr>
        <w:t>marzo</w:t>
      </w:r>
      <w:r w:rsidRPr="00DD5F33">
        <w:rPr>
          <w:rFonts w:ascii="Arial" w:eastAsia="Calibri" w:hAnsi="Arial" w:cs="Arial"/>
          <w:color w:val="000000" w:themeColor="text1"/>
          <w:sz w:val="22"/>
          <w:lang w:val="es-ES_tradnl"/>
        </w:rPr>
        <w:t xml:space="preserve"> del</w:t>
      </w:r>
      <w:r w:rsidR="007E74BF" w:rsidRPr="00DD5F33">
        <w:rPr>
          <w:rFonts w:ascii="Arial" w:eastAsia="Calibri" w:hAnsi="Arial" w:cs="Arial"/>
          <w:color w:val="000000" w:themeColor="text1"/>
          <w:sz w:val="22"/>
          <w:lang w:val="es-ES_tradnl"/>
        </w:rPr>
        <w:t xml:space="preserve"> </w:t>
      </w:r>
      <w:r w:rsidRPr="00DD5F33">
        <w:rPr>
          <w:rFonts w:ascii="Arial" w:eastAsia="Calibri" w:hAnsi="Arial" w:cs="Arial"/>
          <w:color w:val="000000" w:themeColor="text1"/>
          <w:sz w:val="22"/>
          <w:lang w:val="es-ES_tradnl"/>
        </w:rPr>
        <w:t>202</w:t>
      </w:r>
      <w:r w:rsidR="00FF5DBF" w:rsidRPr="00DD5F33">
        <w:rPr>
          <w:rFonts w:ascii="Arial" w:eastAsia="Calibri" w:hAnsi="Arial" w:cs="Arial"/>
          <w:color w:val="000000" w:themeColor="text1"/>
          <w:sz w:val="22"/>
          <w:lang w:val="es-ES_tradnl"/>
        </w:rPr>
        <w:t>2</w:t>
      </w:r>
      <w:r w:rsidR="008C3C57" w:rsidRPr="00DD5F33">
        <w:rPr>
          <w:rFonts w:ascii="Arial" w:eastAsia="Calibri" w:hAnsi="Arial" w:cs="Arial"/>
          <w:color w:val="000000" w:themeColor="text1"/>
          <w:sz w:val="22"/>
          <w:lang w:val="es-ES_tradnl"/>
        </w:rPr>
        <w:t>.</w:t>
      </w:r>
    </w:p>
    <w:p w14:paraId="0C1E0712" w14:textId="77777777" w:rsidR="00DD5B04" w:rsidRPr="00DD5F3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D5F3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 xml:space="preserve">Problema planteado </w:t>
      </w:r>
    </w:p>
    <w:p w14:paraId="224B43D3" w14:textId="77777777" w:rsidR="00DD5B04" w:rsidRPr="00DD5F3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0CB00B7" w:rsidR="00443B55" w:rsidRPr="00DD5F33" w:rsidRDefault="00DD5B04" w:rsidP="0099583D">
      <w:pPr>
        <w:spacing w:line="276" w:lineRule="auto"/>
        <w:jc w:val="both"/>
        <w:rPr>
          <w:rFonts w:ascii="Arial" w:hAnsi="Arial" w:cs="Arial"/>
          <w:color w:val="000000" w:themeColor="text1"/>
          <w:sz w:val="22"/>
          <w:lang w:val="es-ES_tradnl"/>
        </w:rPr>
      </w:pPr>
      <w:r w:rsidRPr="00DD5F33">
        <w:rPr>
          <w:rFonts w:ascii="Arial" w:hAnsi="Arial" w:cs="Arial"/>
          <w:color w:val="000000" w:themeColor="text1"/>
          <w:sz w:val="22"/>
          <w:lang w:val="es-ES_tradnl"/>
        </w:rPr>
        <w:t xml:space="preserve">Usted </w:t>
      </w:r>
      <w:r w:rsidR="00B422C0" w:rsidRPr="00DD5F33">
        <w:rPr>
          <w:rFonts w:ascii="Arial" w:hAnsi="Arial" w:cs="Arial"/>
          <w:color w:val="000000" w:themeColor="text1"/>
          <w:sz w:val="22"/>
          <w:lang w:val="es-ES_tradnl"/>
        </w:rPr>
        <w:t>formula</w:t>
      </w:r>
      <w:r w:rsidR="006D46A3" w:rsidRPr="00DD5F33">
        <w:rPr>
          <w:rFonts w:ascii="Arial" w:hAnsi="Arial" w:cs="Arial"/>
          <w:color w:val="000000" w:themeColor="text1"/>
          <w:sz w:val="22"/>
          <w:lang w:val="es-ES_tradnl"/>
        </w:rPr>
        <w:t xml:space="preserve"> la siguiente </w:t>
      </w:r>
      <w:r w:rsidR="00B46915" w:rsidRPr="00DD5F33">
        <w:rPr>
          <w:rFonts w:ascii="Arial" w:hAnsi="Arial" w:cs="Arial"/>
          <w:color w:val="000000" w:themeColor="text1"/>
          <w:sz w:val="22"/>
          <w:lang w:val="es-ES_tradnl"/>
        </w:rPr>
        <w:t>consulta</w:t>
      </w:r>
      <w:r w:rsidR="0019324F" w:rsidRPr="00DD5F33">
        <w:rPr>
          <w:rFonts w:ascii="Arial" w:hAnsi="Arial" w:cs="Arial"/>
          <w:color w:val="000000" w:themeColor="text1"/>
          <w:sz w:val="22"/>
          <w:lang w:val="es-ES_tradnl"/>
        </w:rPr>
        <w:t xml:space="preserve">, relacionada con </w:t>
      </w:r>
      <w:r w:rsidR="00DB239C" w:rsidRPr="00DD5F33">
        <w:rPr>
          <w:rFonts w:ascii="Arial" w:hAnsi="Arial" w:cs="Arial"/>
          <w:color w:val="000000" w:themeColor="text1"/>
          <w:sz w:val="22"/>
          <w:lang w:val="es-ES_tradnl"/>
        </w:rPr>
        <w:t xml:space="preserve">la reglamentación de </w:t>
      </w:r>
      <w:r w:rsidR="0019324F" w:rsidRPr="00DD5F33">
        <w:rPr>
          <w:rFonts w:ascii="Arial" w:hAnsi="Arial" w:cs="Arial"/>
          <w:color w:val="000000" w:themeColor="text1"/>
          <w:sz w:val="22"/>
          <w:lang w:val="es-ES_tradnl"/>
        </w:rPr>
        <w:t>los artículos</w:t>
      </w:r>
      <w:r w:rsidR="00DB239C" w:rsidRPr="00DD5F33">
        <w:rPr>
          <w:rFonts w:ascii="Arial" w:hAnsi="Arial" w:cs="Arial"/>
          <w:color w:val="000000" w:themeColor="text1"/>
          <w:sz w:val="22"/>
          <w:lang w:val="es-ES_tradnl"/>
        </w:rPr>
        <w:t xml:space="preserve"> 30, 31, 32, 34 y 35 de la Ley 2069 de 2020</w:t>
      </w:r>
      <w:r w:rsidR="00550E50" w:rsidRPr="00DD5F33">
        <w:rPr>
          <w:rFonts w:ascii="Arial" w:hAnsi="Arial" w:cs="Arial"/>
          <w:color w:val="000000" w:themeColor="text1"/>
          <w:sz w:val="22"/>
          <w:lang w:val="es-ES_tradnl"/>
        </w:rPr>
        <w:t>, por el Decreto 1860 de 2021</w:t>
      </w:r>
      <w:r w:rsidR="00B422C0" w:rsidRPr="00DD5F33">
        <w:rPr>
          <w:rFonts w:ascii="Arial" w:hAnsi="Arial" w:cs="Arial"/>
          <w:color w:val="000000" w:themeColor="text1"/>
          <w:sz w:val="22"/>
          <w:lang w:val="es-ES_tradnl"/>
        </w:rPr>
        <w:t>:</w:t>
      </w:r>
      <w:r w:rsidR="007E18DF" w:rsidRPr="00DD5F33">
        <w:rPr>
          <w:rFonts w:ascii="Arial" w:hAnsi="Arial" w:cs="Arial"/>
          <w:color w:val="000000" w:themeColor="text1"/>
          <w:sz w:val="22"/>
          <w:lang w:val="es-ES_tradnl"/>
        </w:rPr>
        <w:t xml:space="preserve"> </w:t>
      </w:r>
    </w:p>
    <w:p w14:paraId="559EE20C" w14:textId="77777777" w:rsidR="00443B55" w:rsidRPr="00DD5F33" w:rsidRDefault="00443B55" w:rsidP="00E965BC">
      <w:pPr>
        <w:jc w:val="both"/>
        <w:rPr>
          <w:rFonts w:ascii="Arial" w:hAnsi="Arial" w:cs="Arial"/>
          <w:color w:val="000000" w:themeColor="text1"/>
          <w:sz w:val="22"/>
          <w:lang w:val="es-ES_tradnl"/>
        </w:rPr>
      </w:pPr>
    </w:p>
    <w:p w14:paraId="3B5562FB" w14:textId="404E587B" w:rsidR="009B2514" w:rsidRPr="00DD5F33" w:rsidRDefault="00F40FD8" w:rsidP="009B251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67FDE" w:rsidRPr="00DD5F33">
        <w:rPr>
          <w:rFonts w:ascii="Arial" w:hAnsi="Arial" w:cs="Arial"/>
          <w:color w:val="000000" w:themeColor="text1"/>
          <w:sz w:val="21"/>
          <w:szCs w:val="21"/>
          <w:lang w:val="es-ES_tradnl"/>
        </w:rPr>
        <w:t xml:space="preserve">[…] la </w:t>
      </w:r>
      <w:r w:rsidR="00EC182D" w:rsidRPr="00DD5F33">
        <w:rPr>
          <w:rFonts w:ascii="Arial" w:hAnsi="Arial" w:cs="Arial"/>
          <w:color w:val="000000" w:themeColor="text1"/>
          <w:sz w:val="21"/>
          <w:szCs w:val="21"/>
          <w:lang w:val="es-ES_tradnl"/>
        </w:rPr>
        <w:t>Secretaría</w:t>
      </w:r>
      <w:r w:rsidR="009B2514" w:rsidRPr="00DD5F33">
        <w:rPr>
          <w:rFonts w:ascii="Arial" w:hAnsi="Arial" w:cs="Arial"/>
          <w:color w:val="000000" w:themeColor="text1"/>
          <w:sz w:val="21"/>
          <w:szCs w:val="21"/>
          <w:lang w:val="es-ES_tradnl"/>
        </w:rPr>
        <w:t xml:space="preserve"> </w:t>
      </w:r>
      <w:r w:rsidR="00EC182D" w:rsidRPr="00DD5F33">
        <w:rPr>
          <w:rFonts w:ascii="Arial" w:hAnsi="Arial" w:cs="Arial"/>
          <w:color w:val="000000" w:themeColor="text1"/>
          <w:sz w:val="21"/>
          <w:szCs w:val="21"/>
          <w:lang w:val="es-ES_tradnl"/>
        </w:rPr>
        <w:t>Jurídica</w:t>
      </w:r>
      <w:r w:rsidR="009B2514" w:rsidRPr="00DD5F33">
        <w:rPr>
          <w:rFonts w:ascii="Arial" w:hAnsi="Arial" w:cs="Arial"/>
          <w:color w:val="000000" w:themeColor="text1"/>
          <w:sz w:val="21"/>
          <w:szCs w:val="21"/>
          <w:lang w:val="es-ES_tradnl"/>
        </w:rPr>
        <w:t xml:space="preserve"> Distrital, en el marco de sus funciones, recopila las inquietudes que se han presentado en las diferentes entidades del distrito para la correcta </w:t>
      </w:r>
      <w:r w:rsidR="002C1AEE" w:rsidRPr="00DD5F33">
        <w:rPr>
          <w:rFonts w:ascii="Arial" w:hAnsi="Arial" w:cs="Arial"/>
          <w:color w:val="000000" w:themeColor="text1"/>
          <w:sz w:val="21"/>
          <w:szCs w:val="21"/>
          <w:lang w:val="es-ES_tradnl"/>
        </w:rPr>
        <w:t>implementación</w:t>
      </w:r>
      <w:r w:rsidR="009B2514" w:rsidRPr="00DD5F33">
        <w:rPr>
          <w:rFonts w:ascii="Arial" w:hAnsi="Arial" w:cs="Arial"/>
          <w:color w:val="000000" w:themeColor="text1"/>
          <w:sz w:val="21"/>
          <w:szCs w:val="21"/>
          <w:lang w:val="es-ES_tradnl"/>
        </w:rPr>
        <w:t xml:space="preserve"> del Decreto en los diferentes procesos de </w:t>
      </w:r>
      <w:r w:rsidR="002C1AEE" w:rsidRPr="00DD5F33">
        <w:rPr>
          <w:rFonts w:ascii="Arial" w:hAnsi="Arial" w:cs="Arial"/>
          <w:color w:val="000000" w:themeColor="text1"/>
          <w:sz w:val="21"/>
          <w:szCs w:val="21"/>
          <w:lang w:val="es-ES_tradnl"/>
        </w:rPr>
        <w:t>selección</w:t>
      </w:r>
      <w:r w:rsidR="009B2514" w:rsidRPr="00DD5F33">
        <w:rPr>
          <w:rFonts w:ascii="Arial" w:hAnsi="Arial" w:cs="Arial"/>
          <w:color w:val="000000" w:themeColor="text1"/>
          <w:sz w:val="21"/>
          <w:szCs w:val="21"/>
          <w:lang w:val="es-ES_tradnl"/>
        </w:rPr>
        <w:t xml:space="preserve">, con el fin de ser analizadas y resueltas en conjunto con la Agencia Nacional Colombia Compra Eficiente </w:t>
      </w:r>
      <w:r w:rsidR="002C1AEE" w:rsidRPr="00DD5F33">
        <w:rPr>
          <w:rFonts w:ascii="Arial" w:hAnsi="Arial" w:cs="Arial"/>
          <w:color w:val="000000" w:themeColor="text1"/>
          <w:sz w:val="21"/>
          <w:szCs w:val="21"/>
          <w:lang w:val="es-ES_tradnl"/>
        </w:rPr>
        <w:t>así</w:t>
      </w:r>
      <w:r w:rsidR="009B2514" w:rsidRPr="00DD5F33">
        <w:rPr>
          <w:rFonts w:ascii="Arial" w:hAnsi="Arial" w:cs="Arial"/>
          <w:color w:val="000000" w:themeColor="text1"/>
          <w:sz w:val="21"/>
          <w:szCs w:val="21"/>
          <w:lang w:val="es-ES_tradnl"/>
        </w:rPr>
        <w:t>:</w:t>
      </w:r>
    </w:p>
    <w:p w14:paraId="6D1CF947" w14:textId="77777777" w:rsidR="00EC182D" w:rsidRPr="00DD5F33" w:rsidRDefault="00EC182D" w:rsidP="009B2514">
      <w:pPr>
        <w:ind w:left="709" w:right="709"/>
        <w:jc w:val="both"/>
        <w:rPr>
          <w:rFonts w:ascii="Arial" w:hAnsi="Arial" w:cs="Arial"/>
          <w:color w:val="000000" w:themeColor="text1"/>
          <w:sz w:val="21"/>
          <w:szCs w:val="21"/>
          <w:lang w:val="es-ES_tradnl"/>
        </w:rPr>
      </w:pPr>
    </w:p>
    <w:p w14:paraId="55C31033" w14:textId="5BAB6331" w:rsidR="009B2514" w:rsidRPr="00DD5F33" w:rsidRDefault="00014CA7" w:rsidP="009B251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9B2514" w:rsidRPr="00DD5F33">
        <w:rPr>
          <w:rFonts w:ascii="Arial" w:hAnsi="Arial" w:cs="Arial"/>
          <w:color w:val="000000" w:themeColor="text1"/>
          <w:sz w:val="21"/>
          <w:szCs w:val="21"/>
          <w:lang w:val="es-ES_tradnl"/>
        </w:rPr>
        <w:t xml:space="preserve">“ARTÍCULO 2. </w:t>
      </w:r>
      <w:r w:rsidR="004A4D70" w:rsidRPr="00DD5F33">
        <w:rPr>
          <w:rFonts w:ascii="Arial" w:hAnsi="Arial" w:cs="Arial"/>
          <w:color w:val="000000" w:themeColor="text1"/>
          <w:sz w:val="21"/>
          <w:szCs w:val="21"/>
          <w:lang w:val="es-ES_tradnl"/>
        </w:rPr>
        <w:t>Modificación</w:t>
      </w:r>
      <w:r w:rsidR="009B2514" w:rsidRPr="00DD5F33">
        <w:rPr>
          <w:rFonts w:ascii="Arial" w:hAnsi="Arial" w:cs="Arial"/>
          <w:color w:val="000000" w:themeColor="text1"/>
          <w:sz w:val="21"/>
          <w:szCs w:val="21"/>
          <w:lang w:val="es-ES_tradnl"/>
        </w:rPr>
        <w:t xml:space="preserve"> de la </w:t>
      </w:r>
      <w:r w:rsidR="004A4D70" w:rsidRPr="00DD5F33">
        <w:rPr>
          <w:rFonts w:ascii="Arial" w:hAnsi="Arial" w:cs="Arial"/>
          <w:color w:val="000000" w:themeColor="text1"/>
          <w:sz w:val="21"/>
          <w:szCs w:val="21"/>
          <w:lang w:val="es-ES_tradnl"/>
        </w:rPr>
        <w:t>Subsección</w:t>
      </w:r>
      <w:r w:rsidR="009B2514" w:rsidRPr="00DD5F33">
        <w:rPr>
          <w:rFonts w:ascii="Arial" w:hAnsi="Arial" w:cs="Arial"/>
          <w:color w:val="000000" w:themeColor="text1"/>
          <w:sz w:val="21"/>
          <w:szCs w:val="21"/>
          <w:lang w:val="es-ES_tradnl"/>
        </w:rPr>
        <w:t xml:space="preserve"> 5 de la </w:t>
      </w:r>
      <w:r w:rsidR="004A4D70" w:rsidRPr="00DD5F33">
        <w:rPr>
          <w:rFonts w:ascii="Arial" w:hAnsi="Arial" w:cs="Arial"/>
          <w:color w:val="000000" w:themeColor="text1"/>
          <w:sz w:val="21"/>
          <w:szCs w:val="21"/>
          <w:lang w:val="es-ES_tradnl"/>
        </w:rPr>
        <w:t>Sección</w:t>
      </w:r>
      <w:r w:rsidR="009B2514" w:rsidRPr="00DD5F33">
        <w:rPr>
          <w:rFonts w:ascii="Arial" w:hAnsi="Arial" w:cs="Arial"/>
          <w:color w:val="000000" w:themeColor="text1"/>
          <w:sz w:val="21"/>
          <w:szCs w:val="21"/>
          <w:lang w:val="es-ES_tradnl"/>
        </w:rPr>
        <w:t xml:space="preserve"> 1 del </w:t>
      </w:r>
      <w:r w:rsidR="004A4D70" w:rsidRPr="00DD5F33">
        <w:rPr>
          <w:rFonts w:ascii="Arial" w:hAnsi="Arial" w:cs="Arial"/>
          <w:color w:val="000000" w:themeColor="text1"/>
          <w:sz w:val="21"/>
          <w:szCs w:val="21"/>
          <w:lang w:val="es-ES_tradnl"/>
        </w:rPr>
        <w:t>Capítulo</w:t>
      </w:r>
      <w:r w:rsidR="009B2514" w:rsidRPr="00DD5F33">
        <w:rPr>
          <w:rFonts w:ascii="Arial" w:hAnsi="Arial" w:cs="Arial"/>
          <w:color w:val="000000" w:themeColor="text1"/>
          <w:sz w:val="21"/>
          <w:szCs w:val="21"/>
          <w:lang w:val="es-ES_tradnl"/>
        </w:rPr>
        <w:t xml:space="preserve"> 2 del </w:t>
      </w:r>
      <w:r w:rsidR="004A4D70" w:rsidRPr="00DD5F33">
        <w:rPr>
          <w:rFonts w:ascii="Arial" w:hAnsi="Arial" w:cs="Arial"/>
          <w:color w:val="000000" w:themeColor="text1"/>
          <w:sz w:val="21"/>
          <w:szCs w:val="21"/>
          <w:lang w:val="es-ES_tradnl"/>
        </w:rPr>
        <w:t>Título</w:t>
      </w:r>
      <w:r w:rsidR="009B2514" w:rsidRPr="00DD5F33">
        <w:rPr>
          <w:rFonts w:ascii="Arial" w:hAnsi="Arial" w:cs="Arial"/>
          <w:color w:val="000000" w:themeColor="text1"/>
          <w:sz w:val="21"/>
          <w:szCs w:val="21"/>
          <w:lang w:val="es-ES_tradnl"/>
        </w:rPr>
        <w:t xml:space="preserve"> 1 de la Parte 2 del Libro 2 del Decreto 1082 de 2015. </w:t>
      </w:r>
      <w:r w:rsidR="004A4D70" w:rsidRPr="00DD5F33">
        <w:rPr>
          <w:rFonts w:ascii="Arial" w:hAnsi="Arial" w:cs="Arial"/>
          <w:color w:val="000000" w:themeColor="text1"/>
          <w:sz w:val="21"/>
          <w:szCs w:val="21"/>
          <w:lang w:val="es-ES_tradnl"/>
        </w:rPr>
        <w:t>Modifíquese</w:t>
      </w:r>
      <w:r w:rsidR="009B2514" w:rsidRPr="00DD5F33">
        <w:rPr>
          <w:rFonts w:ascii="Arial" w:hAnsi="Arial" w:cs="Arial"/>
          <w:color w:val="000000" w:themeColor="text1"/>
          <w:sz w:val="21"/>
          <w:szCs w:val="21"/>
          <w:lang w:val="es-ES_tradnl"/>
        </w:rPr>
        <w:t xml:space="preserve"> la </w:t>
      </w:r>
      <w:r w:rsidR="004A4D70" w:rsidRPr="00DD5F33">
        <w:rPr>
          <w:rFonts w:ascii="Arial" w:hAnsi="Arial" w:cs="Arial"/>
          <w:color w:val="000000" w:themeColor="text1"/>
          <w:sz w:val="21"/>
          <w:szCs w:val="21"/>
          <w:lang w:val="es-ES_tradnl"/>
        </w:rPr>
        <w:t>Subsección</w:t>
      </w:r>
      <w:r w:rsidR="009B2514" w:rsidRPr="00DD5F33">
        <w:rPr>
          <w:rFonts w:ascii="Arial" w:hAnsi="Arial" w:cs="Arial"/>
          <w:color w:val="000000" w:themeColor="text1"/>
          <w:sz w:val="21"/>
          <w:szCs w:val="21"/>
          <w:lang w:val="es-ES_tradnl"/>
        </w:rPr>
        <w:t xml:space="preserve"> 5 de la </w:t>
      </w:r>
      <w:r w:rsidR="004A4D70" w:rsidRPr="00DD5F33">
        <w:rPr>
          <w:rFonts w:ascii="Arial" w:hAnsi="Arial" w:cs="Arial"/>
          <w:color w:val="000000" w:themeColor="text1"/>
          <w:sz w:val="21"/>
          <w:szCs w:val="21"/>
          <w:lang w:val="es-ES_tradnl"/>
        </w:rPr>
        <w:t>Sección</w:t>
      </w:r>
      <w:r w:rsidR="009B2514" w:rsidRPr="00DD5F33">
        <w:rPr>
          <w:rFonts w:ascii="Arial" w:hAnsi="Arial" w:cs="Arial"/>
          <w:color w:val="000000" w:themeColor="text1"/>
          <w:sz w:val="21"/>
          <w:szCs w:val="21"/>
          <w:lang w:val="es-ES_tradnl"/>
        </w:rPr>
        <w:t xml:space="preserve"> 1 del </w:t>
      </w:r>
      <w:r w:rsidR="00437D55" w:rsidRPr="00DD5F33">
        <w:rPr>
          <w:rFonts w:ascii="Arial" w:hAnsi="Arial" w:cs="Arial"/>
          <w:color w:val="000000" w:themeColor="text1"/>
          <w:sz w:val="21"/>
          <w:szCs w:val="21"/>
          <w:lang w:val="es-ES_tradnl"/>
        </w:rPr>
        <w:t>Capítulo</w:t>
      </w:r>
      <w:r w:rsidR="009B2514" w:rsidRPr="00DD5F33">
        <w:rPr>
          <w:rFonts w:ascii="Arial" w:hAnsi="Arial" w:cs="Arial"/>
          <w:color w:val="000000" w:themeColor="text1"/>
          <w:sz w:val="21"/>
          <w:szCs w:val="21"/>
          <w:lang w:val="es-ES_tradnl"/>
        </w:rPr>
        <w:t xml:space="preserve"> 2 del </w:t>
      </w:r>
      <w:r w:rsidR="00437D55" w:rsidRPr="00DD5F33">
        <w:rPr>
          <w:rFonts w:ascii="Arial" w:hAnsi="Arial" w:cs="Arial"/>
          <w:color w:val="000000" w:themeColor="text1"/>
          <w:sz w:val="21"/>
          <w:szCs w:val="21"/>
          <w:lang w:val="es-ES_tradnl"/>
        </w:rPr>
        <w:t>Título</w:t>
      </w:r>
      <w:r w:rsidR="009B2514" w:rsidRPr="00DD5F33">
        <w:rPr>
          <w:rFonts w:ascii="Arial" w:hAnsi="Arial" w:cs="Arial"/>
          <w:color w:val="000000" w:themeColor="text1"/>
          <w:sz w:val="21"/>
          <w:szCs w:val="21"/>
          <w:lang w:val="es-ES_tradnl"/>
        </w:rPr>
        <w:t xml:space="preserve"> 1 de la Parte 2 del Libro 2 del Decreto 1082 de 2015, la cual quedará de la siguiente manera:</w:t>
      </w:r>
    </w:p>
    <w:p w14:paraId="1FA748AA" w14:textId="77777777" w:rsidR="00437D55" w:rsidRPr="00DD5F33" w:rsidRDefault="00437D55" w:rsidP="009B2514">
      <w:pPr>
        <w:ind w:left="709" w:right="709"/>
        <w:jc w:val="both"/>
        <w:rPr>
          <w:rFonts w:ascii="Arial" w:hAnsi="Arial" w:cs="Arial"/>
          <w:color w:val="000000" w:themeColor="text1"/>
          <w:sz w:val="21"/>
          <w:szCs w:val="21"/>
          <w:lang w:val="es-ES_tradnl"/>
        </w:rPr>
      </w:pPr>
    </w:p>
    <w:p w14:paraId="37514646" w14:textId="5273EA34" w:rsidR="009B2514" w:rsidRPr="00DD5F33" w:rsidRDefault="00014CA7" w:rsidP="009B251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9B2514" w:rsidRPr="00DD5F33">
        <w:rPr>
          <w:rFonts w:ascii="Arial" w:hAnsi="Arial" w:cs="Arial"/>
          <w:color w:val="000000" w:themeColor="text1"/>
          <w:sz w:val="21"/>
          <w:szCs w:val="21"/>
          <w:lang w:val="es-ES_tradnl"/>
        </w:rPr>
        <w:t xml:space="preserve">ARTÍCULO 2.2.1.2.1.5.2. Procedimiento para la </w:t>
      </w:r>
      <w:r w:rsidR="00437D55" w:rsidRPr="00DD5F33">
        <w:rPr>
          <w:rFonts w:ascii="Arial" w:hAnsi="Arial" w:cs="Arial"/>
          <w:color w:val="000000" w:themeColor="text1"/>
          <w:sz w:val="21"/>
          <w:szCs w:val="21"/>
          <w:lang w:val="es-ES_tradnl"/>
        </w:rPr>
        <w:t>contratación</w:t>
      </w:r>
      <w:r w:rsidR="009B2514" w:rsidRPr="00DD5F33">
        <w:rPr>
          <w:rFonts w:ascii="Arial" w:hAnsi="Arial" w:cs="Arial"/>
          <w:color w:val="000000" w:themeColor="text1"/>
          <w:sz w:val="21"/>
          <w:szCs w:val="21"/>
          <w:lang w:val="es-ES_tradnl"/>
        </w:rPr>
        <w:t xml:space="preserve"> de </w:t>
      </w:r>
      <w:r w:rsidR="00437D55" w:rsidRPr="00DD5F33">
        <w:rPr>
          <w:rFonts w:ascii="Arial" w:hAnsi="Arial" w:cs="Arial"/>
          <w:color w:val="000000" w:themeColor="text1"/>
          <w:sz w:val="21"/>
          <w:szCs w:val="21"/>
          <w:lang w:val="es-ES_tradnl"/>
        </w:rPr>
        <w:t>mínima</w:t>
      </w:r>
      <w:r w:rsidR="009B2514" w:rsidRPr="00DD5F33">
        <w:rPr>
          <w:rFonts w:ascii="Arial" w:hAnsi="Arial" w:cs="Arial"/>
          <w:color w:val="000000" w:themeColor="text1"/>
          <w:sz w:val="21"/>
          <w:szCs w:val="21"/>
          <w:lang w:val="es-ES_tradnl"/>
        </w:rPr>
        <w:t xml:space="preserve"> </w:t>
      </w:r>
      <w:r w:rsidR="00437D55" w:rsidRPr="00DD5F33">
        <w:rPr>
          <w:rFonts w:ascii="Arial" w:hAnsi="Arial" w:cs="Arial"/>
          <w:color w:val="000000" w:themeColor="text1"/>
          <w:sz w:val="21"/>
          <w:szCs w:val="21"/>
          <w:lang w:val="es-ES_tradnl"/>
        </w:rPr>
        <w:t>cuantía</w:t>
      </w:r>
      <w:r w:rsidR="009B2514" w:rsidRPr="00DD5F33">
        <w:rPr>
          <w:rFonts w:ascii="Arial" w:hAnsi="Arial" w:cs="Arial"/>
          <w:color w:val="000000" w:themeColor="text1"/>
          <w:sz w:val="21"/>
          <w:szCs w:val="21"/>
          <w:lang w:val="es-ES_tradnl"/>
        </w:rPr>
        <w:t xml:space="preserve">. Las siguientes reglas son aplicables a la </w:t>
      </w:r>
      <w:r w:rsidR="00437D55" w:rsidRPr="00DD5F33">
        <w:rPr>
          <w:rFonts w:ascii="Arial" w:hAnsi="Arial" w:cs="Arial"/>
          <w:color w:val="000000" w:themeColor="text1"/>
          <w:sz w:val="21"/>
          <w:szCs w:val="21"/>
          <w:lang w:val="es-ES_tradnl"/>
        </w:rPr>
        <w:t>contratación</w:t>
      </w:r>
      <w:r w:rsidR="009B2514" w:rsidRPr="00DD5F33">
        <w:rPr>
          <w:rFonts w:ascii="Arial" w:hAnsi="Arial" w:cs="Arial"/>
          <w:color w:val="000000" w:themeColor="text1"/>
          <w:sz w:val="21"/>
          <w:szCs w:val="21"/>
          <w:lang w:val="es-ES_tradnl"/>
        </w:rPr>
        <w:t xml:space="preserve"> cuyo valor no excede del diez por ciento (10%) de la menor </w:t>
      </w:r>
      <w:r w:rsidR="00437D55" w:rsidRPr="00DD5F33">
        <w:rPr>
          <w:rFonts w:ascii="Arial" w:hAnsi="Arial" w:cs="Arial"/>
          <w:color w:val="000000" w:themeColor="text1"/>
          <w:sz w:val="21"/>
          <w:szCs w:val="21"/>
          <w:lang w:val="es-ES_tradnl"/>
        </w:rPr>
        <w:t>cuantía</w:t>
      </w:r>
      <w:r w:rsidR="009B2514" w:rsidRPr="00DD5F33">
        <w:rPr>
          <w:rFonts w:ascii="Arial" w:hAnsi="Arial" w:cs="Arial"/>
          <w:color w:val="000000" w:themeColor="text1"/>
          <w:sz w:val="21"/>
          <w:szCs w:val="21"/>
          <w:lang w:val="es-ES_tradnl"/>
        </w:rPr>
        <w:t xml:space="preserve"> de la Entidad Estatal, independientemente de su objeto:</w:t>
      </w:r>
    </w:p>
    <w:p w14:paraId="67ABD3B5" w14:textId="498C630E" w:rsidR="00C67FDE" w:rsidRPr="00DD5F33" w:rsidRDefault="00EB6C66" w:rsidP="00C67FD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9B2514" w:rsidRPr="00DD5F33">
        <w:rPr>
          <w:rFonts w:ascii="Arial" w:hAnsi="Arial" w:cs="Arial"/>
          <w:color w:val="000000" w:themeColor="text1"/>
          <w:sz w:val="21"/>
          <w:szCs w:val="21"/>
          <w:lang w:val="es-ES_tradnl"/>
        </w:rPr>
        <w:t xml:space="preserve">(...) 5. La Entidad Estatal debe revisar las ofertas </w:t>
      </w:r>
      <w:r w:rsidR="00C77FAB" w:rsidRPr="00DD5F33">
        <w:rPr>
          <w:rFonts w:ascii="Arial" w:hAnsi="Arial" w:cs="Arial"/>
          <w:color w:val="000000" w:themeColor="text1"/>
          <w:sz w:val="21"/>
          <w:szCs w:val="21"/>
          <w:lang w:val="es-ES_tradnl"/>
        </w:rPr>
        <w:t>económicas</w:t>
      </w:r>
      <w:r w:rsidR="009B2514" w:rsidRPr="00DD5F33">
        <w:rPr>
          <w:rFonts w:ascii="Arial" w:hAnsi="Arial" w:cs="Arial"/>
          <w:color w:val="000000" w:themeColor="text1"/>
          <w:sz w:val="21"/>
          <w:szCs w:val="21"/>
          <w:lang w:val="es-ES_tradnl"/>
        </w:rPr>
        <w:t xml:space="preserve"> y verificar que la de menor precio cumple con las condiciones de la </w:t>
      </w:r>
      <w:r w:rsidR="00C77FAB" w:rsidRPr="00DD5F33">
        <w:rPr>
          <w:rFonts w:ascii="Arial" w:hAnsi="Arial" w:cs="Arial"/>
          <w:color w:val="000000" w:themeColor="text1"/>
          <w:sz w:val="21"/>
          <w:szCs w:val="21"/>
          <w:lang w:val="es-ES_tradnl"/>
        </w:rPr>
        <w:t>invitación</w:t>
      </w:r>
      <w:r w:rsidR="009B2514" w:rsidRPr="00DD5F33">
        <w:rPr>
          <w:rFonts w:ascii="Arial" w:hAnsi="Arial" w:cs="Arial"/>
          <w:color w:val="000000" w:themeColor="text1"/>
          <w:sz w:val="21"/>
          <w:szCs w:val="21"/>
          <w:lang w:val="es-ES_tradnl"/>
        </w:rPr>
        <w:t xml:space="preserve">. Si esta no cumple, la Entidad Estatal debe verificar el cumplimento de los requisitos de la </w:t>
      </w:r>
      <w:r w:rsidR="00C77FAB" w:rsidRPr="00DD5F33">
        <w:rPr>
          <w:rFonts w:ascii="Arial" w:hAnsi="Arial" w:cs="Arial"/>
          <w:color w:val="000000" w:themeColor="text1"/>
          <w:sz w:val="21"/>
          <w:szCs w:val="21"/>
          <w:lang w:val="es-ES_tradnl"/>
        </w:rPr>
        <w:t>invitación</w:t>
      </w:r>
      <w:r w:rsidR="009B2514" w:rsidRPr="00DD5F33">
        <w:rPr>
          <w:rFonts w:ascii="Arial" w:hAnsi="Arial" w:cs="Arial"/>
          <w:color w:val="000000" w:themeColor="text1"/>
          <w:sz w:val="21"/>
          <w:szCs w:val="21"/>
          <w:lang w:val="es-ES_tradnl"/>
        </w:rPr>
        <w:t xml:space="preserve"> de</w:t>
      </w:r>
      <w:r w:rsidR="00C77FAB" w:rsidRPr="00DD5F33">
        <w:rPr>
          <w:rFonts w:ascii="Arial" w:hAnsi="Arial" w:cs="Arial"/>
          <w:color w:val="000000" w:themeColor="text1"/>
          <w:sz w:val="21"/>
          <w:szCs w:val="21"/>
          <w:lang w:val="es-ES_tradnl"/>
        </w:rPr>
        <w:t xml:space="preserve"> la oferta con el segundo mejor precio, y </w:t>
      </w:r>
      <w:r w:rsidR="005F1712" w:rsidRPr="00DD5F33">
        <w:rPr>
          <w:rFonts w:ascii="Arial" w:hAnsi="Arial" w:cs="Arial"/>
          <w:color w:val="000000" w:themeColor="text1"/>
          <w:sz w:val="21"/>
          <w:szCs w:val="21"/>
          <w:lang w:val="es-ES_tradnl"/>
        </w:rPr>
        <w:t>así</w:t>
      </w:r>
      <w:r w:rsidR="00C77FAB" w:rsidRPr="00DD5F33">
        <w:rPr>
          <w:rFonts w:ascii="Arial" w:hAnsi="Arial" w:cs="Arial"/>
          <w:color w:val="000000" w:themeColor="text1"/>
          <w:sz w:val="21"/>
          <w:szCs w:val="21"/>
          <w:lang w:val="es-ES_tradnl"/>
        </w:rPr>
        <w:t xml:space="preserve"> sucesivamente. Lo anterior sin perjuicio de la oportunidad que </w:t>
      </w:r>
      <w:r w:rsidR="005F1712" w:rsidRPr="00DD5F33">
        <w:rPr>
          <w:rFonts w:ascii="Arial" w:hAnsi="Arial" w:cs="Arial"/>
          <w:color w:val="000000" w:themeColor="text1"/>
          <w:sz w:val="21"/>
          <w:szCs w:val="21"/>
          <w:lang w:val="es-ES_tradnl"/>
        </w:rPr>
        <w:t>deberán</w:t>
      </w:r>
      <w:r w:rsidR="00C77FAB" w:rsidRPr="00DD5F33">
        <w:rPr>
          <w:rFonts w:ascii="Arial" w:hAnsi="Arial" w:cs="Arial"/>
          <w:color w:val="000000" w:themeColor="text1"/>
          <w:sz w:val="21"/>
          <w:szCs w:val="21"/>
          <w:lang w:val="es-ES_tradnl"/>
        </w:rPr>
        <w:t xml:space="preserve"> otorgar las Entidades Estatales para subsanar las ofertas, en los </w:t>
      </w:r>
      <w:r w:rsidR="005F1712" w:rsidRPr="00DD5F33">
        <w:rPr>
          <w:rFonts w:ascii="Arial" w:hAnsi="Arial" w:cs="Arial"/>
          <w:color w:val="000000" w:themeColor="text1"/>
          <w:sz w:val="21"/>
          <w:szCs w:val="21"/>
          <w:lang w:val="es-ES_tradnl"/>
        </w:rPr>
        <w:t>términos</w:t>
      </w:r>
      <w:r w:rsidR="00C77FAB" w:rsidRPr="00DD5F33">
        <w:rPr>
          <w:rFonts w:ascii="Arial" w:hAnsi="Arial" w:cs="Arial"/>
          <w:color w:val="000000" w:themeColor="text1"/>
          <w:sz w:val="21"/>
          <w:szCs w:val="21"/>
          <w:lang w:val="es-ES_tradnl"/>
        </w:rPr>
        <w:t xml:space="preserve"> del </w:t>
      </w:r>
      <w:r w:rsidR="005F1712" w:rsidRPr="00DD5F33">
        <w:rPr>
          <w:rFonts w:ascii="Arial" w:hAnsi="Arial" w:cs="Arial"/>
          <w:color w:val="000000" w:themeColor="text1"/>
          <w:sz w:val="21"/>
          <w:szCs w:val="21"/>
          <w:lang w:val="es-ES_tradnl"/>
        </w:rPr>
        <w:t>artículo</w:t>
      </w:r>
      <w:r w:rsidR="00C77FAB" w:rsidRPr="00DD5F33">
        <w:rPr>
          <w:rFonts w:ascii="Arial" w:hAnsi="Arial" w:cs="Arial"/>
          <w:color w:val="000000" w:themeColor="text1"/>
          <w:sz w:val="21"/>
          <w:szCs w:val="21"/>
          <w:lang w:val="es-ES_tradnl"/>
        </w:rPr>
        <w:t xml:space="preserve"> 5 de la Ley 1150 de 2007, para lo cual </w:t>
      </w:r>
      <w:r w:rsidR="005F1712" w:rsidRPr="00DD5F33">
        <w:rPr>
          <w:rFonts w:ascii="Arial" w:hAnsi="Arial" w:cs="Arial"/>
          <w:color w:val="000000" w:themeColor="text1"/>
          <w:sz w:val="21"/>
          <w:szCs w:val="21"/>
          <w:lang w:val="es-ES_tradnl"/>
        </w:rPr>
        <w:t>establecerán</w:t>
      </w:r>
      <w:r w:rsidR="00C77FAB" w:rsidRPr="00DD5F33">
        <w:rPr>
          <w:rFonts w:ascii="Arial" w:hAnsi="Arial" w:cs="Arial"/>
          <w:color w:val="000000" w:themeColor="text1"/>
          <w:sz w:val="21"/>
          <w:szCs w:val="21"/>
          <w:lang w:val="es-ES_tradnl"/>
        </w:rPr>
        <w:t xml:space="preserve"> un </w:t>
      </w:r>
      <w:r w:rsidR="005F1712" w:rsidRPr="00DD5F33">
        <w:rPr>
          <w:rFonts w:ascii="Arial" w:hAnsi="Arial" w:cs="Arial"/>
          <w:color w:val="000000" w:themeColor="text1"/>
          <w:sz w:val="21"/>
          <w:szCs w:val="21"/>
          <w:lang w:val="es-ES_tradnl"/>
        </w:rPr>
        <w:t>término</w:t>
      </w:r>
      <w:r w:rsidR="00C77FAB" w:rsidRPr="00DD5F33">
        <w:rPr>
          <w:rFonts w:ascii="Arial" w:hAnsi="Arial" w:cs="Arial"/>
          <w:color w:val="000000" w:themeColor="text1"/>
          <w:sz w:val="21"/>
          <w:szCs w:val="21"/>
          <w:lang w:val="es-ES_tradnl"/>
        </w:rPr>
        <w:t xml:space="preserve"> preclusivo en la </w:t>
      </w:r>
      <w:r w:rsidR="005F1712" w:rsidRPr="00DD5F33">
        <w:rPr>
          <w:rFonts w:ascii="Arial" w:hAnsi="Arial" w:cs="Arial"/>
          <w:color w:val="000000" w:themeColor="text1"/>
          <w:sz w:val="21"/>
          <w:szCs w:val="21"/>
          <w:lang w:val="es-ES_tradnl"/>
        </w:rPr>
        <w:t>invitación</w:t>
      </w:r>
      <w:r w:rsidR="00C77FAB" w:rsidRPr="00DD5F33">
        <w:rPr>
          <w:rFonts w:ascii="Arial" w:hAnsi="Arial" w:cs="Arial"/>
          <w:color w:val="000000" w:themeColor="text1"/>
          <w:sz w:val="21"/>
          <w:szCs w:val="21"/>
          <w:lang w:val="es-ES_tradnl"/>
        </w:rPr>
        <w:t xml:space="preserve"> para recibir los documentos subsanables, frente a cada uno de los requerimientos. En caso de que no se establezca este </w:t>
      </w:r>
      <w:r w:rsidR="005F1712" w:rsidRPr="00DD5F33">
        <w:rPr>
          <w:rFonts w:ascii="Arial" w:hAnsi="Arial" w:cs="Arial"/>
          <w:color w:val="000000" w:themeColor="text1"/>
          <w:sz w:val="21"/>
          <w:szCs w:val="21"/>
          <w:lang w:val="es-ES_tradnl"/>
        </w:rPr>
        <w:t>término</w:t>
      </w:r>
      <w:r w:rsidR="00C77FAB" w:rsidRPr="00DD5F33">
        <w:rPr>
          <w:rFonts w:ascii="Arial" w:hAnsi="Arial" w:cs="Arial"/>
          <w:color w:val="000000" w:themeColor="text1"/>
          <w:sz w:val="21"/>
          <w:szCs w:val="21"/>
          <w:lang w:val="es-ES_tradnl"/>
        </w:rPr>
        <w:t xml:space="preserve">, los proponentes </w:t>
      </w:r>
      <w:r w:rsidR="005F1712" w:rsidRPr="00DD5F33">
        <w:rPr>
          <w:rFonts w:ascii="Arial" w:hAnsi="Arial" w:cs="Arial"/>
          <w:color w:val="000000" w:themeColor="text1"/>
          <w:sz w:val="21"/>
          <w:szCs w:val="21"/>
          <w:lang w:val="es-ES_tradnl"/>
        </w:rPr>
        <w:t>podrán</w:t>
      </w:r>
      <w:r w:rsidR="00C77FAB" w:rsidRPr="00DD5F33">
        <w:rPr>
          <w:rFonts w:ascii="Arial" w:hAnsi="Arial" w:cs="Arial"/>
          <w:color w:val="000000" w:themeColor="text1"/>
          <w:sz w:val="21"/>
          <w:szCs w:val="21"/>
          <w:lang w:val="es-ES_tradnl"/>
        </w:rPr>
        <w:t xml:space="preserve"> subsanar sus ofertas hasta antes de que finalice el traslado del informe de </w:t>
      </w:r>
      <w:r w:rsidR="005F1712" w:rsidRPr="00DD5F33">
        <w:rPr>
          <w:rFonts w:ascii="Arial" w:hAnsi="Arial" w:cs="Arial"/>
          <w:color w:val="000000" w:themeColor="text1"/>
          <w:sz w:val="21"/>
          <w:szCs w:val="21"/>
          <w:lang w:val="es-ES_tradnl"/>
        </w:rPr>
        <w:t>evaluación</w:t>
      </w:r>
      <w:r w:rsidR="00C77FAB" w:rsidRPr="00DD5F33">
        <w:rPr>
          <w:rFonts w:ascii="Arial" w:hAnsi="Arial" w:cs="Arial"/>
          <w:color w:val="000000" w:themeColor="text1"/>
          <w:sz w:val="21"/>
          <w:szCs w:val="21"/>
          <w:lang w:val="es-ES_tradnl"/>
        </w:rPr>
        <w:t>. (...)”</w:t>
      </w:r>
    </w:p>
    <w:p w14:paraId="025C42F6" w14:textId="77777777" w:rsidR="00C67FDE" w:rsidRPr="00DD5F33" w:rsidRDefault="00C67FDE" w:rsidP="00C67FDE">
      <w:pPr>
        <w:ind w:left="709" w:right="709"/>
        <w:jc w:val="both"/>
        <w:rPr>
          <w:rFonts w:ascii="Arial" w:hAnsi="Arial" w:cs="Arial"/>
          <w:color w:val="000000" w:themeColor="text1"/>
          <w:sz w:val="21"/>
          <w:szCs w:val="21"/>
          <w:lang w:val="es-ES_tradnl"/>
        </w:rPr>
      </w:pPr>
    </w:p>
    <w:p w14:paraId="5F120CC8" w14:textId="4B720197" w:rsidR="00C67FDE" w:rsidRPr="00DD5F33" w:rsidRDefault="00EB6C66" w:rsidP="00C67FD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67FDE" w:rsidRPr="00DD5F33">
        <w:rPr>
          <w:rFonts w:ascii="Arial" w:hAnsi="Arial" w:cs="Arial"/>
          <w:color w:val="000000" w:themeColor="text1"/>
          <w:sz w:val="21"/>
          <w:szCs w:val="21"/>
          <w:lang w:val="es-ES_tradnl"/>
        </w:rPr>
        <w:t>Al respecto se consulta:</w:t>
      </w:r>
    </w:p>
    <w:p w14:paraId="0C64F5E6" w14:textId="77777777" w:rsidR="00C67FDE" w:rsidRPr="00DD5F33" w:rsidRDefault="00C67FDE" w:rsidP="00C67FDE">
      <w:pPr>
        <w:ind w:left="709" w:right="709"/>
        <w:jc w:val="both"/>
        <w:rPr>
          <w:rFonts w:ascii="Arial" w:hAnsi="Arial" w:cs="Arial"/>
          <w:color w:val="000000" w:themeColor="text1"/>
          <w:sz w:val="21"/>
          <w:szCs w:val="21"/>
          <w:lang w:val="es-ES_tradnl"/>
        </w:rPr>
      </w:pPr>
    </w:p>
    <w:p w14:paraId="52812EA5" w14:textId="6FB3DAD7" w:rsidR="00C67FDE" w:rsidRPr="00DD5F33" w:rsidRDefault="00EB6C66" w:rsidP="00C67FD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67FDE" w:rsidRPr="00DD5F33">
        <w:rPr>
          <w:rFonts w:ascii="Arial" w:hAnsi="Arial" w:cs="Arial"/>
          <w:color w:val="000000" w:themeColor="text1"/>
          <w:sz w:val="21"/>
          <w:szCs w:val="21"/>
          <w:lang w:val="es-ES_tradnl"/>
        </w:rPr>
        <w:t>1. Teniendo en cuenta un criterio jurídico diferencial entre la verificación y la evaluación de las ofertas, ¿la Entidad podría emitir un documento de requerimientos de subsanación para todos los proponentes previo al informe de evaluación?</w:t>
      </w:r>
    </w:p>
    <w:p w14:paraId="0903143D" w14:textId="77777777" w:rsidR="00C67FDE" w:rsidRPr="00DD5F33" w:rsidRDefault="00C67FDE" w:rsidP="00C67FDE">
      <w:pPr>
        <w:ind w:left="709" w:right="709"/>
        <w:jc w:val="both"/>
        <w:rPr>
          <w:rFonts w:ascii="Arial" w:hAnsi="Arial" w:cs="Arial"/>
          <w:color w:val="000000" w:themeColor="text1"/>
          <w:sz w:val="21"/>
          <w:szCs w:val="21"/>
          <w:lang w:val="es-ES_tradnl"/>
        </w:rPr>
      </w:pPr>
    </w:p>
    <w:p w14:paraId="5D61784C" w14:textId="43935A84" w:rsidR="00B51D8B" w:rsidRPr="00DD5F33" w:rsidRDefault="00EB6C66" w:rsidP="00C67FD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67FDE" w:rsidRPr="00DD5F33">
        <w:rPr>
          <w:rFonts w:ascii="Arial" w:hAnsi="Arial" w:cs="Arial"/>
          <w:color w:val="000000" w:themeColor="text1"/>
          <w:sz w:val="21"/>
          <w:szCs w:val="21"/>
          <w:lang w:val="es-ES_tradnl"/>
        </w:rPr>
        <w:t xml:space="preserve">Lo anterior con la intención de evitar la emisión indefinida de adendas para que cada oferente pueda subsanar en un término perentorio de manera individual y previo a la evaluación, lo que desnaturalizaría la finalidad de la mínima cuantía. </w:t>
      </w:r>
      <w:r w:rsidRPr="00DD5F33">
        <w:rPr>
          <w:rFonts w:ascii="Arial" w:hAnsi="Arial" w:cs="Arial"/>
          <w:color w:val="000000" w:themeColor="text1"/>
          <w:sz w:val="21"/>
          <w:szCs w:val="21"/>
          <w:lang w:val="es-ES_tradnl"/>
        </w:rPr>
        <w:t>»</w:t>
      </w:r>
      <w:r w:rsidR="003E2FA3" w:rsidRPr="00DD5F33">
        <w:rPr>
          <w:rFonts w:ascii="Arial" w:hAnsi="Arial" w:cs="Arial"/>
          <w:color w:val="000000" w:themeColor="text1"/>
          <w:sz w:val="21"/>
          <w:szCs w:val="21"/>
          <w:lang w:val="es-ES_tradnl"/>
        </w:rPr>
        <w:t>[…]</w:t>
      </w:r>
      <w:r w:rsidR="00C67FDE" w:rsidRPr="00DD5F33">
        <w:rPr>
          <w:rFonts w:ascii="Arial" w:hAnsi="Arial" w:cs="Arial"/>
          <w:color w:val="000000" w:themeColor="text1"/>
          <w:sz w:val="21"/>
          <w:szCs w:val="21"/>
          <w:lang w:val="es-ES_tradnl"/>
        </w:rPr>
        <w:t>.</w:t>
      </w:r>
    </w:p>
    <w:p w14:paraId="5D75134A" w14:textId="77777777" w:rsidR="00B51D8B" w:rsidRPr="00DD5F33" w:rsidRDefault="00B51D8B" w:rsidP="00C67FDE">
      <w:pPr>
        <w:ind w:left="709" w:right="709"/>
        <w:jc w:val="both"/>
        <w:rPr>
          <w:rFonts w:ascii="Arial" w:hAnsi="Arial" w:cs="Arial"/>
          <w:color w:val="000000" w:themeColor="text1"/>
          <w:sz w:val="21"/>
          <w:szCs w:val="21"/>
          <w:lang w:val="es-ES_tradnl"/>
        </w:rPr>
      </w:pPr>
    </w:p>
    <w:p w14:paraId="5E1A7033" w14:textId="2ED32BC7" w:rsidR="00390811" w:rsidRPr="00DD5F33" w:rsidRDefault="00EB6C66" w:rsidP="00C67FD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51D8B" w:rsidRPr="00DD5F33">
        <w:rPr>
          <w:rFonts w:ascii="Arial" w:hAnsi="Arial" w:cs="Arial"/>
          <w:color w:val="000000" w:themeColor="text1"/>
          <w:sz w:val="21"/>
          <w:szCs w:val="21"/>
          <w:lang w:val="es-ES_tradnl"/>
        </w:rPr>
        <w:t xml:space="preserve">“ARTÍCULO 2.2.1.2.1.5.3. Adquisiciones en grandes almacenes cuando se trate de </w:t>
      </w:r>
      <w:r w:rsidR="00A04194" w:rsidRPr="00DD5F33">
        <w:rPr>
          <w:rFonts w:ascii="Arial" w:hAnsi="Arial" w:cs="Arial"/>
          <w:color w:val="000000" w:themeColor="text1"/>
          <w:sz w:val="21"/>
          <w:szCs w:val="21"/>
          <w:lang w:val="es-ES_tradnl"/>
        </w:rPr>
        <w:t>mínima</w:t>
      </w:r>
      <w:r w:rsidR="00B51D8B" w:rsidRPr="00DD5F33">
        <w:rPr>
          <w:rFonts w:ascii="Arial" w:hAnsi="Arial" w:cs="Arial"/>
          <w:color w:val="000000" w:themeColor="text1"/>
          <w:sz w:val="21"/>
          <w:szCs w:val="21"/>
          <w:lang w:val="es-ES_tradnl"/>
        </w:rPr>
        <w:t xml:space="preserve"> </w:t>
      </w:r>
      <w:r w:rsidR="00A04194" w:rsidRPr="00DD5F33">
        <w:rPr>
          <w:rFonts w:ascii="Arial" w:hAnsi="Arial" w:cs="Arial"/>
          <w:color w:val="000000" w:themeColor="text1"/>
          <w:sz w:val="21"/>
          <w:szCs w:val="21"/>
          <w:lang w:val="es-ES_tradnl"/>
        </w:rPr>
        <w:t>cuantía</w:t>
      </w:r>
      <w:r w:rsidR="00B51D8B" w:rsidRPr="00DD5F33">
        <w:rPr>
          <w:rFonts w:ascii="Arial" w:hAnsi="Arial" w:cs="Arial"/>
          <w:color w:val="000000" w:themeColor="text1"/>
          <w:sz w:val="21"/>
          <w:szCs w:val="21"/>
          <w:lang w:val="es-ES_tradnl"/>
        </w:rPr>
        <w:t xml:space="preserve">. Las Entidades Estatales deben aplicar las siguientes reglas cuando decidan adquirir bienes hasta por el monto de su </w:t>
      </w:r>
      <w:r w:rsidR="00A04194" w:rsidRPr="00DD5F33">
        <w:rPr>
          <w:rFonts w:ascii="Arial" w:hAnsi="Arial" w:cs="Arial"/>
          <w:color w:val="000000" w:themeColor="text1"/>
          <w:sz w:val="21"/>
          <w:szCs w:val="21"/>
          <w:lang w:val="es-ES_tradnl"/>
        </w:rPr>
        <w:t>mínima</w:t>
      </w:r>
      <w:r w:rsidR="00B51D8B" w:rsidRPr="00DD5F33">
        <w:rPr>
          <w:rFonts w:ascii="Arial" w:hAnsi="Arial" w:cs="Arial"/>
          <w:color w:val="000000" w:themeColor="text1"/>
          <w:sz w:val="21"/>
          <w:szCs w:val="21"/>
          <w:lang w:val="es-ES_tradnl"/>
        </w:rPr>
        <w:t xml:space="preserve"> </w:t>
      </w:r>
      <w:r w:rsidR="00A04194" w:rsidRPr="00DD5F33">
        <w:rPr>
          <w:rFonts w:ascii="Arial" w:hAnsi="Arial" w:cs="Arial"/>
          <w:color w:val="000000" w:themeColor="text1"/>
          <w:sz w:val="21"/>
          <w:szCs w:val="21"/>
          <w:lang w:val="es-ES_tradnl"/>
        </w:rPr>
        <w:t>cuantía</w:t>
      </w:r>
      <w:r w:rsidR="00B51D8B" w:rsidRPr="00DD5F33">
        <w:rPr>
          <w:rFonts w:ascii="Arial" w:hAnsi="Arial" w:cs="Arial"/>
          <w:color w:val="000000" w:themeColor="text1"/>
          <w:sz w:val="21"/>
          <w:szCs w:val="21"/>
          <w:lang w:val="es-ES_tradnl"/>
        </w:rPr>
        <w:t xml:space="preserve"> en establecimientos que correspondan a la </w:t>
      </w:r>
      <w:r w:rsidR="00A04194" w:rsidRPr="00DD5F33">
        <w:rPr>
          <w:rFonts w:ascii="Arial" w:hAnsi="Arial" w:cs="Arial"/>
          <w:color w:val="000000" w:themeColor="text1"/>
          <w:sz w:val="21"/>
          <w:szCs w:val="21"/>
          <w:lang w:val="es-ES_tradnl"/>
        </w:rPr>
        <w:t>definición</w:t>
      </w:r>
      <w:r w:rsidR="00B51D8B" w:rsidRPr="00DD5F33">
        <w:rPr>
          <w:rFonts w:ascii="Arial" w:hAnsi="Arial" w:cs="Arial"/>
          <w:color w:val="000000" w:themeColor="text1"/>
          <w:sz w:val="21"/>
          <w:szCs w:val="21"/>
          <w:lang w:val="es-ES_tradnl"/>
        </w:rPr>
        <w:t xml:space="preserve"> de "gran </w:t>
      </w:r>
      <w:r w:rsidR="004939C1" w:rsidRPr="00DD5F33">
        <w:rPr>
          <w:rFonts w:ascii="Arial" w:hAnsi="Arial" w:cs="Arial"/>
          <w:color w:val="000000" w:themeColor="text1"/>
          <w:sz w:val="21"/>
          <w:szCs w:val="21"/>
          <w:lang w:val="es-ES_tradnl"/>
        </w:rPr>
        <w:t>almacén</w:t>
      </w:r>
      <w:r w:rsidR="00B51D8B" w:rsidRPr="00DD5F33">
        <w:rPr>
          <w:rFonts w:ascii="Arial" w:hAnsi="Arial" w:cs="Arial"/>
          <w:color w:val="000000" w:themeColor="text1"/>
          <w:sz w:val="21"/>
          <w:szCs w:val="21"/>
          <w:lang w:val="es-ES_tradnl"/>
        </w:rPr>
        <w:t xml:space="preserve">" </w:t>
      </w:r>
      <w:r w:rsidR="004939C1" w:rsidRPr="00DD5F33">
        <w:rPr>
          <w:rFonts w:ascii="Arial" w:hAnsi="Arial" w:cs="Arial"/>
          <w:color w:val="000000" w:themeColor="text1"/>
          <w:sz w:val="21"/>
          <w:szCs w:val="21"/>
          <w:lang w:val="es-ES_tradnl"/>
        </w:rPr>
        <w:t>señalada</w:t>
      </w:r>
      <w:r w:rsidR="00B51D8B" w:rsidRPr="00DD5F33">
        <w:rPr>
          <w:rFonts w:ascii="Arial" w:hAnsi="Arial" w:cs="Arial"/>
          <w:color w:val="000000" w:themeColor="text1"/>
          <w:sz w:val="21"/>
          <w:szCs w:val="21"/>
          <w:lang w:val="es-ES_tradnl"/>
        </w:rPr>
        <w:t xml:space="preserve"> por la Superintendencia de Industria y Comercio:”</w:t>
      </w:r>
    </w:p>
    <w:p w14:paraId="77B91F6B" w14:textId="77777777" w:rsidR="00390811" w:rsidRPr="00DD5F33" w:rsidRDefault="00390811" w:rsidP="00C67FDE">
      <w:pPr>
        <w:ind w:left="709" w:right="709"/>
        <w:jc w:val="both"/>
        <w:rPr>
          <w:rFonts w:ascii="Arial" w:hAnsi="Arial" w:cs="Arial"/>
          <w:color w:val="000000" w:themeColor="text1"/>
          <w:sz w:val="21"/>
          <w:szCs w:val="21"/>
          <w:lang w:val="es-ES_tradnl"/>
        </w:rPr>
      </w:pPr>
    </w:p>
    <w:p w14:paraId="422D4A60" w14:textId="76434EE0" w:rsidR="00390811" w:rsidRPr="00DD5F33" w:rsidRDefault="00EB6C66" w:rsidP="00390811">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390811" w:rsidRPr="00DD5F33">
        <w:rPr>
          <w:rFonts w:ascii="Arial" w:hAnsi="Arial" w:cs="Arial"/>
          <w:color w:val="000000" w:themeColor="text1"/>
          <w:sz w:val="21"/>
          <w:szCs w:val="21"/>
          <w:lang w:val="es-ES_tradnl"/>
        </w:rPr>
        <w:t>Al respecto se consulta:</w:t>
      </w:r>
    </w:p>
    <w:p w14:paraId="434DCFE1" w14:textId="77777777" w:rsidR="00390811" w:rsidRPr="00DD5F33" w:rsidRDefault="00390811" w:rsidP="00390811">
      <w:pPr>
        <w:ind w:left="709" w:right="709"/>
        <w:jc w:val="both"/>
        <w:rPr>
          <w:rFonts w:ascii="Arial" w:hAnsi="Arial" w:cs="Arial"/>
          <w:color w:val="000000" w:themeColor="text1"/>
          <w:sz w:val="21"/>
          <w:szCs w:val="21"/>
          <w:lang w:val="es-ES_tradnl"/>
        </w:rPr>
      </w:pPr>
    </w:p>
    <w:p w14:paraId="5E8B1F9D" w14:textId="0F35E28F" w:rsidR="00390811" w:rsidRPr="00DD5F33" w:rsidRDefault="00EB6C66" w:rsidP="00390811">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390811" w:rsidRPr="00DD5F33">
        <w:rPr>
          <w:rFonts w:ascii="Arial" w:hAnsi="Arial" w:cs="Arial"/>
          <w:color w:val="000000" w:themeColor="text1"/>
          <w:sz w:val="21"/>
          <w:szCs w:val="21"/>
          <w:lang w:val="es-ES_tradnl"/>
        </w:rPr>
        <w:t xml:space="preserve">1. La entidad </w:t>
      </w:r>
      <w:r w:rsidR="007A6526" w:rsidRPr="00DD5F33">
        <w:rPr>
          <w:rFonts w:ascii="Arial" w:hAnsi="Arial" w:cs="Arial"/>
          <w:color w:val="000000" w:themeColor="text1"/>
          <w:sz w:val="21"/>
          <w:szCs w:val="21"/>
          <w:lang w:val="es-ES_tradnl"/>
        </w:rPr>
        <w:t>cómo</w:t>
      </w:r>
      <w:r w:rsidR="00390811" w:rsidRPr="00DD5F33">
        <w:rPr>
          <w:rFonts w:ascii="Arial" w:hAnsi="Arial" w:cs="Arial"/>
          <w:color w:val="000000" w:themeColor="text1"/>
          <w:sz w:val="21"/>
          <w:szCs w:val="21"/>
          <w:lang w:val="es-ES_tradnl"/>
        </w:rPr>
        <w:t xml:space="preserve"> decide si hacer </w:t>
      </w:r>
      <w:r w:rsidR="007A6526" w:rsidRPr="00DD5F33">
        <w:rPr>
          <w:rFonts w:ascii="Arial" w:hAnsi="Arial" w:cs="Arial"/>
          <w:color w:val="000000" w:themeColor="text1"/>
          <w:sz w:val="21"/>
          <w:szCs w:val="21"/>
          <w:lang w:val="es-ES_tradnl"/>
        </w:rPr>
        <w:t>adquisición</w:t>
      </w:r>
      <w:r w:rsidR="00390811" w:rsidRPr="00DD5F33">
        <w:rPr>
          <w:rFonts w:ascii="Arial" w:hAnsi="Arial" w:cs="Arial"/>
          <w:color w:val="000000" w:themeColor="text1"/>
          <w:sz w:val="21"/>
          <w:szCs w:val="21"/>
          <w:lang w:val="es-ES_tradnl"/>
        </w:rPr>
        <w:t xml:space="preserve"> en “Grandes Almacenes” o convoca Mipymes, teniendo en cuenta que, de acuerdo con las cifras reportadas en el SECOP II, desde el </w:t>
      </w:r>
      <w:r w:rsidR="007A6526" w:rsidRPr="00DD5F33">
        <w:rPr>
          <w:rFonts w:ascii="Arial" w:hAnsi="Arial" w:cs="Arial"/>
          <w:color w:val="000000" w:themeColor="text1"/>
          <w:sz w:val="21"/>
          <w:szCs w:val="21"/>
          <w:lang w:val="es-ES_tradnl"/>
        </w:rPr>
        <w:t>año</w:t>
      </w:r>
      <w:r w:rsidR="00390811" w:rsidRPr="00DD5F33">
        <w:rPr>
          <w:rFonts w:ascii="Arial" w:hAnsi="Arial" w:cs="Arial"/>
          <w:color w:val="000000" w:themeColor="text1"/>
          <w:sz w:val="21"/>
          <w:szCs w:val="21"/>
          <w:lang w:val="es-ES_tradnl"/>
        </w:rPr>
        <w:t xml:space="preserve"> 2017 hasta el 2021, se demuestra que </w:t>
      </w:r>
      <w:r w:rsidR="007A6526" w:rsidRPr="00DD5F33">
        <w:rPr>
          <w:rFonts w:ascii="Arial" w:hAnsi="Arial" w:cs="Arial"/>
          <w:color w:val="000000" w:themeColor="text1"/>
          <w:sz w:val="21"/>
          <w:szCs w:val="21"/>
          <w:lang w:val="es-ES_tradnl"/>
        </w:rPr>
        <w:t>únicamente</w:t>
      </w:r>
      <w:r w:rsidR="00390811" w:rsidRPr="00DD5F33">
        <w:rPr>
          <w:rFonts w:ascii="Arial" w:hAnsi="Arial" w:cs="Arial"/>
          <w:color w:val="000000" w:themeColor="text1"/>
          <w:sz w:val="21"/>
          <w:szCs w:val="21"/>
          <w:lang w:val="es-ES_tradnl"/>
        </w:rPr>
        <w:t xml:space="preserve"> el 16,64% –67,95 mil– de la totalidad de proveedores corresponden a Mipymes, mientras que el 83,36% –340,35– no lo son. </w:t>
      </w:r>
      <w:r w:rsidR="007A6526" w:rsidRPr="00DD5F33">
        <w:rPr>
          <w:rFonts w:ascii="Arial" w:hAnsi="Arial" w:cs="Arial"/>
          <w:color w:val="000000" w:themeColor="text1"/>
          <w:sz w:val="21"/>
          <w:szCs w:val="21"/>
          <w:lang w:val="es-ES_tradnl"/>
        </w:rPr>
        <w:t>Además</w:t>
      </w:r>
      <w:r w:rsidR="00390811" w:rsidRPr="00DD5F33">
        <w:rPr>
          <w:rFonts w:ascii="Arial" w:hAnsi="Arial" w:cs="Arial"/>
          <w:color w:val="000000" w:themeColor="text1"/>
          <w:sz w:val="21"/>
          <w:szCs w:val="21"/>
          <w:lang w:val="es-ES_tradnl"/>
        </w:rPr>
        <w:t xml:space="preserve">, del </w:t>
      </w:r>
      <w:r w:rsidR="007A6526" w:rsidRPr="00DD5F33">
        <w:rPr>
          <w:rFonts w:ascii="Arial" w:hAnsi="Arial" w:cs="Arial"/>
          <w:color w:val="000000" w:themeColor="text1"/>
          <w:sz w:val="21"/>
          <w:szCs w:val="21"/>
          <w:lang w:val="es-ES_tradnl"/>
        </w:rPr>
        <w:t>análisis</w:t>
      </w:r>
      <w:r w:rsidR="00390811" w:rsidRPr="00DD5F33">
        <w:rPr>
          <w:rFonts w:ascii="Arial" w:hAnsi="Arial" w:cs="Arial"/>
          <w:color w:val="000000" w:themeColor="text1"/>
          <w:sz w:val="21"/>
          <w:szCs w:val="21"/>
          <w:lang w:val="es-ES_tradnl"/>
        </w:rPr>
        <w:t xml:space="preserve"> realizado a la </w:t>
      </w:r>
      <w:r w:rsidR="007A6526" w:rsidRPr="00DD5F33">
        <w:rPr>
          <w:rFonts w:ascii="Arial" w:hAnsi="Arial" w:cs="Arial"/>
          <w:color w:val="000000" w:themeColor="text1"/>
          <w:sz w:val="21"/>
          <w:szCs w:val="21"/>
          <w:lang w:val="es-ES_tradnl"/>
        </w:rPr>
        <w:t>participación</w:t>
      </w:r>
      <w:r w:rsidR="00390811" w:rsidRPr="00DD5F33">
        <w:rPr>
          <w:rFonts w:ascii="Arial" w:hAnsi="Arial" w:cs="Arial"/>
          <w:color w:val="000000" w:themeColor="text1"/>
          <w:sz w:val="21"/>
          <w:szCs w:val="21"/>
          <w:lang w:val="es-ES_tradnl"/>
        </w:rPr>
        <w:t xml:space="preserve"> que </w:t>
      </w:r>
      <w:r w:rsidR="007A6526" w:rsidRPr="00DD5F33">
        <w:rPr>
          <w:rFonts w:ascii="Arial" w:hAnsi="Arial" w:cs="Arial"/>
          <w:color w:val="000000" w:themeColor="text1"/>
          <w:sz w:val="21"/>
          <w:szCs w:val="21"/>
          <w:lang w:val="es-ES_tradnl"/>
        </w:rPr>
        <w:t>éstas</w:t>
      </w:r>
      <w:r w:rsidR="00390811" w:rsidRPr="00DD5F33">
        <w:rPr>
          <w:rFonts w:ascii="Arial" w:hAnsi="Arial" w:cs="Arial"/>
          <w:color w:val="000000" w:themeColor="text1"/>
          <w:sz w:val="21"/>
          <w:szCs w:val="21"/>
          <w:lang w:val="es-ES_tradnl"/>
        </w:rPr>
        <w:t xml:space="preserve"> han tenido en las distintas modalidades de </w:t>
      </w:r>
      <w:r w:rsidR="007A6526" w:rsidRPr="00DD5F33">
        <w:rPr>
          <w:rFonts w:ascii="Arial" w:hAnsi="Arial" w:cs="Arial"/>
          <w:color w:val="000000" w:themeColor="text1"/>
          <w:sz w:val="21"/>
          <w:szCs w:val="21"/>
          <w:lang w:val="es-ES_tradnl"/>
        </w:rPr>
        <w:t>selección</w:t>
      </w:r>
      <w:r w:rsidR="00390811" w:rsidRPr="00DD5F33">
        <w:rPr>
          <w:rFonts w:ascii="Arial" w:hAnsi="Arial" w:cs="Arial"/>
          <w:color w:val="000000" w:themeColor="text1"/>
          <w:sz w:val="21"/>
          <w:szCs w:val="21"/>
          <w:lang w:val="es-ES_tradnl"/>
        </w:rPr>
        <w:t xml:space="preserve">, se demuestra que en la modalidad de </w:t>
      </w:r>
      <w:r w:rsidR="007A6526" w:rsidRPr="00DD5F33">
        <w:rPr>
          <w:rFonts w:ascii="Arial" w:hAnsi="Arial" w:cs="Arial"/>
          <w:color w:val="000000" w:themeColor="text1"/>
          <w:sz w:val="21"/>
          <w:szCs w:val="21"/>
          <w:lang w:val="es-ES_tradnl"/>
        </w:rPr>
        <w:t>mínima</w:t>
      </w:r>
      <w:r w:rsidR="00390811" w:rsidRPr="00DD5F33">
        <w:rPr>
          <w:rFonts w:ascii="Arial" w:hAnsi="Arial" w:cs="Arial"/>
          <w:color w:val="000000" w:themeColor="text1"/>
          <w:sz w:val="21"/>
          <w:szCs w:val="21"/>
          <w:lang w:val="es-ES_tradnl"/>
        </w:rPr>
        <w:t xml:space="preserve"> </w:t>
      </w:r>
      <w:r w:rsidR="007A6526" w:rsidRPr="00DD5F33">
        <w:rPr>
          <w:rFonts w:ascii="Arial" w:hAnsi="Arial" w:cs="Arial"/>
          <w:color w:val="000000" w:themeColor="text1"/>
          <w:sz w:val="21"/>
          <w:szCs w:val="21"/>
          <w:lang w:val="es-ES_tradnl"/>
        </w:rPr>
        <w:t>cuantía</w:t>
      </w:r>
      <w:r w:rsidR="00390811" w:rsidRPr="00DD5F33">
        <w:rPr>
          <w:rFonts w:ascii="Arial" w:hAnsi="Arial" w:cs="Arial"/>
          <w:color w:val="000000" w:themeColor="text1"/>
          <w:sz w:val="21"/>
          <w:szCs w:val="21"/>
          <w:lang w:val="es-ES_tradnl"/>
        </w:rPr>
        <w:t xml:space="preserve"> es en la que menos participan.</w:t>
      </w:r>
    </w:p>
    <w:p w14:paraId="6B4C8F9B" w14:textId="77777777" w:rsidR="00390811" w:rsidRPr="00DD5F33" w:rsidRDefault="00390811" w:rsidP="00390811">
      <w:pPr>
        <w:ind w:left="709" w:right="709"/>
        <w:jc w:val="both"/>
        <w:rPr>
          <w:rFonts w:ascii="Arial" w:hAnsi="Arial" w:cs="Arial"/>
          <w:color w:val="000000" w:themeColor="text1"/>
          <w:sz w:val="21"/>
          <w:szCs w:val="21"/>
          <w:lang w:val="es-ES_tradnl"/>
        </w:rPr>
      </w:pPr>
    </w:p>
    <w:p w14:paraId="0AA519E0" w14:textId="312963E8" w:rsidR="006C0860" w:rsidRPr="00DD5F33" w:rsidRDefault="00EB6C66" w:rsidP="00390811">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390811" w:rsidRPr="00DD5F33">
        <w:rPr>
          <w:rFonts w:ascii="Arial" w:hAnsi="Arial" w:cs="Arial"/>
          <w:color w:val="000000" w:themeColor="text1"/>
          <w:sz w:val="21"/>
          <w:szCs w:val="21"/>
          <w:lang w:val="es-ES_tradnl"/>
        </w:rPr>
        <w:t xml:space="preserve">“ARTÍCULO 3. </w:t>
      </w:r>
      <w:r w:rsidR="007A6526" w:rsidRPr="00DD5F33">
        <w:rPr>
          <w:rFonts w:ascii="Arial" w:hAnsi="Arial" w:cs="Arial"/>
          <w:color w:val="000000" w:themeColor="text1"/>
          <w:sz w:val="21"/>
          <w:szCs w:val="21"/>
          <w:lang w:val="es-ES_tradnl"/>
        </w:rPr>
        <w:t>Adición</w:t>
      </w:r>
      <w:r w:rsidR="00390811" w:rsidRPr="00DD5F33">
        <w:rPr>
          <w:rFonts w:ascii="Arial" w:hAnsi="Arial" w:cs="Arial"/>
          <w:color w:val="000000" w:themeColor="text1"/>
          <w:sz w:val="21"/>
          <w:szCs w:val="21"/>
          <w:lang w:val="es-ES_tradnl"/>
        </w:rPr>
        <w:t xml:space="preserve"> de los </w:t>
      </w:r>
      <w:r w:rsidR="007A6526" w:rsidRPr="00DD5F33">
        <w:rPr>
          <w:rFonts w:ascii="Arial" w:hAnsi="Arial" w:cs="Arial"/>
          <w:color w:val="000000" w:themeColor="text1"/>
          <w:sz w:val="21"/>
          <w:szCs w:val="21"/>
          <w:lang w:val="es-ES_tradnl"/>
        </w:rPr>
        <w:t>artículos</w:t>
      </w:r>
      <w:r w:rsidR="00390811" w:rsidRPr="00DD5F33">
        <w:rPr>
          <w:rFonts w:ascii="Arial" w:hAnsi="Arial" w:cs="Arial"/>
          <w:color w:val="000000" w:themeColor="text1"/>
          <w:sz w:val="21"/>
          <w:szCs w:val="21"/>
          <w:lang w:val="es-ES_tradnl"/>
        </w:rPr>
        <w:t xml:space="preserve"> 2.2.1.2.4.2.14, 2.2.1.2.4.2.15, 2.2.1.2.4.2.16, 2.2.1.2.4.2.17 y 2.2.1.2.4.2. 18 a la </w:t>
      </w:r>
      <w:r w:rsidR="007A6526" w:rsidRPr="00DD5F33">
        <w:rPr>
          <w:rFonts w:ascii="Arial" w:hAnsi="Arial" w:cs="Arial"/>
          <w:color w:val="000000" w:themeColor="text1"/>
          <w:sz w:val="21"/>
          <w:szCs w:val="21"/>
          <w:lang w:val="es-ES_tradnl"/>
        </w:rPr>
        <w:t>Subsección</w:t>
      </w:r>
      <w:r w:rsidR="00390811" w:rsidRPr="00DD5F33">
        <w:rPr>
          <w:rFonts w:ascii="Arial" w:hAnsi="Arial" w:cs="Arial"/>
          <w:color w:val="000000" w:themeColor="text1"/>
          <w:sz w:val="21"/>
          <w:szCs w:val="21"/>
          <w:lang w:val="es-ES_tradnl"/>
        </w:rPr>
        <w:t xml:space="preserve"> 2 de la </w:t>
      </w:r>
      <w:r w:rsidR="007A6526" w:rsidRPr="00DD5F33">
        <w:rPr>
          <w:rFonts w:ascii="Arial" w:hAnsi="Arial" w:cs="Arial"/>
          <w:color w:val="000000" w:themeColor="text1"/>
          <w:sz w:val="21"/>
          <w:szCs w:val="21"/>
          <w:lang w:val="es-ES_tradnl"/>
        </w:rPr>
        <w:t>Sección</w:t>
      </w:r>
      <w:r w:rsidR="00390811" w:rsidRPr="00DD5F33">
        <w:rPr>
          <w:rFonts w:ascii="Arial" w:hAnsi="Arial" w:cs="Arial"/>
          <w:color w:val="000000" w:themeColor="text1"/>
          <w:sz w:val="21"/>
          <w:szCs w:val="21"/>
          <w:lang w:val="es-ES_tradnl"/>
        </w:rPr>
        <w:t xml:space="preserve"> 4 del </w:t>
      </w:r>
      <w:r w:rsidR="007A6526" w:rsidRPr="00DD5F33">
        <w:rPr>
          <w:rFonts w:ascii="Arial" w:hAnsi="Arial" w:cs="Arial"/>
          <w:color w:val="000000" w:themeColor="text1"/>
          <w:sz w:val="21"/>
          <w:szCs w:val="21"/>
          <w:lang w:val="es-ES_tradnl"/>
        </w:rPr>
        <w:t>Capítulo</w:t>
      </w:r>
      <w:r w:rsidR="00390811" w:rsidRPr="00DD5F33">
        <w:rPr>
          <w:rFonts w:ascii="Arial" w:hAnsi="Arial" w:cs="Arial"/>
          <w:color w:val="000000" w:themeColor="text1"/>
          <w:sz w:val="21"/>
          <w:szCs w:val="21"/>
          <w:lang w:val="es-ES_tradnl"/>
        </w:rPr>
        <w:t xml:space="preserve"> 2 del </w:t>
      </w:r>
      <w:r w:rsidR="007A6526" w:rsidRPr="00DD5F33">
        <w:rPr>
          <w:rFonts w:ascii="Arial" w:hAnsi="Arial" w:cs="Arial"/>
          <w:color w:val="000000" w:themeColor="text1"/>
          <w:sz w:val="21"/>
          <w:szCs w:val="21"/>
          <w:lang w:val="es-ES_tradnl"/>
        </w:rPr>
        <w:t>Título</w:t>
      </w:r>
      <w:r w:rsidR="00390811" w:rsidRPr="00DD5F33">
        <w:rPr>
          <w:rFonts w:ascii="Arial" w:hAnsi="Arial" w:cs="Arial"/>
          <w:color w:val="000000" w:themeColor="text1"/>
          <w:sz w:val="21"/>
          <w:szCs w:val="21"/>
          <w:lang w:val="es-ES_tradnl"/>
        </w:rPr>
        <w:t xml:space="preserve"> 1 de la Parte 2 del Libro 2 del Decreto 1082 de 2015. </w:t>
      </w:r>
      <w:r w:rsidR="007A6526" w:rsidRPr="00DD5F33">
        <w:rPr>
          <w:rFonts w:ascii="Arial" w:hAnsi="Arial" w:cs="Arial"/>
          <w:color w:val="000000" w:themeColor="text1"/>
          <w:sz w:val="21"/>
          <w:szCs w:val="21"/>
          <w:lang w:val="es-ES_tradnl"/>
        </w:rPr>
        <w:t>Adiciónense</w:t>
      </w:r>
      <w:r w:rsidR="00390811" w:rsidRPr="00DD5F33">
        <w:rPr>
          <w:rFonts w:ascii="Arial" w:hAnsi="Arial" w:cs="Arial"/>
          <w:color w:val="000000" w:themeColor="text1"/>
          <w:sz w:val="21"/>
          <w:szCs w:val="21"/>
          <w:lang w:val="es-ES_tradnl"/>
        </w:rPr>
        <w:t xml:space="preserve"> los </w:t>
      </w:r>
      <w:r w:rsidR="007A6526" w:rsidRPr="00DD5F33">
        <w:rPr>
          <w:rFonts w:ascii="Arial" w:hAnsi="Arial" w:cs="Arial"/>
          <w:color w:val="000000" w:themeColor="text1"/>
          <w:sz w:val="21"/>
          <w:szCs w:val="21"/>
          <w:lang w:val="es-ES_tradnl"/>
        </w:rPr>
        <w:t>artículos</w:t>
      </w:r>
      <w:r w:rsidR="00390811" w:rsidRPr="00DD5F33">
        <w:rPr>
          <w:rFonts w:ascii="Arial" w:hAnsi="Arial" w:cs="Arial"/>
          <w:color w:val="000000" w:themeColor="text1"/>
          <w:sz w:val="21"/>
          <w:szCs w:val="21"/>
          <w:lang w:val="es-ES_tradnl"/>
        </w:rPr>
        <w:t xml:space="preserve"> 2.2.1.2.4.2.14, 2.2.1.2.4.2.15, 2.2.1.2.4.2.16, 2.2.1.2.4.2.17 y 2.2.1.2.4.2.18 a la </w:t>
      </w:r>
      <w:r w:rsidR="007A6526" w:rsidRPr="00DD5F33">
        <w:rPr>
          <w:rFonts w:ascii="Arial" w:hAnsi="Arial" w:cs="Arial"/>
          <w:color w:val="000000" w:themeColor="text1"/>
          <w:sz w:val="21"/>
          <w:szCs w:val="21"/>
          <w:lang w:val="es-ES_tradnl"/>
        </w:rPr>
        <w:t>Subsección</w:t>
      </w:r>
      <w:r w:rsidR="00390811" w:rsidRPr="00DD5F33">
        <w:rPr>
          <w:rFonts w:ascii="Arial" w:hAnsi="Arial" w:cs="Arial"/>
          <w:color w:val="000000" w:themeColor="text1"/>
          <w:sz w:val="21"/>
          <w:szCs w:val="21"/>
          <w:lang w:val="es-ES_tradnl"/>
        </w:rPr>
        <w:t xml:space="preserve"> 2 de la </w:t>
      </w:r>
      <w:r w:rsidR="007A6526" w:rsidRPr="00DD5F33">
        <w:rPr>
          <w:rFonts w:ascii="Arial" w:hAnsi="Arial" w:cs="Arial"/>
          <w:color w:val="000000" w:themeColor="text1"/>
          <w:sz w:val="21"/>
          <w:szCs w:val="21"/>
          <w:lang w:val="es-ES_tradnl"/>
        </w:rPr>
        <w:t>Sección</w:t>
      </w:r>
      <w:r w:rsidR="00390811" w:rsidRPr="00DD5F33">
        <w:rPr>
          <w:rFonts w:ascii="Arial" w:hAnsi="Arial" w:cs="Arial"/>
          <w:color w:val="000000" w:themeColor="text1"/>
          <w:sz w:val="21"/>
          <w:szCs w:val="21"/>
          <w:lang w:val="es-ES_tradnl"/>
        </w:rPr>
        <w:t xml:space="preserve"> 4 del </w:t>
      </w:r>
      <w:r w:rsidR="007A6526" w:rsidRPr="00DD5F33">
        <w:rPr>
          <w:rFonts w:ascii="Arial" w:hAnsi="Arial" w:cs="Arial"/>
          <w:color w:val="000000" w:themeColor="text1"/>
          <w:sz w:val="21"/>
          <w:szCs w:val="21"/>
          <w:lang w:val="es-ES_tradnl"/>
        </w:rPr>
        <w:t>Capítulo</w:t>
      </w:r>
      <w:r w:rsidR="00390811" w:rsidRPr="00DD5F33">
        <w:rPr>
          <w:rFonts w:ascii="Arial" w:hAnsi="Arial" w:cs="Arial"/>
          <w:color w:val="000000" w:themeColor="text1"/>
          <w:sz w:val="21"/>
          <w:szCs w:val="21"/>
          <w:lang w:val="es-ES_tradnl"/>
        </w:rPr>
        <w:t xml:space="preserve"> 2 del </w:t>
      </w:r>
      <w:r w:rsidR="007A6526" w:rsidRPr="00DD5F33">
        <w:rPr>
          <w:rFonts w:ascii="Arial" w:hAnsi="Arial" w:cs="Arial"/>
          <w:color w:val="000000" w:themeColor="text1"/>
          <w:sz w:val="21"/>
          <w:szCs w:val="21"/>
          <w:lang w:val="es-ES_tradnl"/>
        </w:rPr>
        <w:t>Título</w:t>
      </w:r>
      <w:r w:rsidR="00390811" w:rsidRPr="00DD5F33">
        <w:rPr>
          <w:rFonts w:ascii="Arial" w:hAnsi="Arial" w:cs="Arial"/>
          <w:color w:val="000000" w:themeColor="text1"/>
          <w:sz w:val="21"/>
          <w:szCs w:val="21"/>
          <w:lang w:val="es-ES_tradnl"/>
        </w:rPr>
        <w:t xml:space="preserve"> 1 de la Parte 2 del Libro 2 del Decreto 1082 de 2015, los cuales </w:t>
      </w:r>
      <w:r w:rsidR="007A6526" w:rsidRPr="00DD5F33">
        <w:rPr>
          <w:rFonts w:ascii="Arial" w:hAnsi="Arial" w:cs="Arial"/>
          <w:color w:val="000000" w:themeColor="text1"/>
          <w:sz w:val="21"/>
          <w:szCs w:val="21"/>
          <w:lang w:val="es-ES_tradnl"/>
        </w:rPr>
        <w:t>quedarán</w:t>
      </w:r>
      <w:r w:rsidR="00390811" w:rsidRPr="00DD5F33">
        <w:rPr>
          <w:rFonts w:ascii="Arial" w:hAnsi="Arial" w:cs="Arial"/>
          <w:color w:val="000000" w:themeColor="text1"/>
          <w:sz w:val="21"/>
          <w:szCs w:val="21"/>
          <w:lang w:val="es-ES_tradnl"/>
        </w:rPr>
        <w:t xml:space="preserve"> </w:t>
      </w:r>
      <w:r w:rsidR="006C0860" w:rsidRPr="00DD5F33">
        <w:rPr>
          <w:rFonts w:ascii="Arial" w:hAnsi="Arial" w:cs="Arial"/>
          <w:color w:val="000000" w:themeColor="text1"/>
          <w:sz w:val="21"/>
          <w:szCs w:val="21"/>
          <w:lang w:val="es-ES_tradnl"/>
        </w:rPr>
        <w:t>así</w:t>
      </w:r>
      <w:r w:rsidR="00390811" w:rsidRPr="00DD5F33">
        <w:rPr>
          <w:rFonts w:ascii="Arial" w:hAnsi="Arial" w:cs="Arial"/>
          <w:color w:val="000000" w:themeColor="text1"/>
          <w:sz w:val="21"/>
          <w:szCs w:val="21"/>
          <w:lang w:val="es-ES_tradnl"/>
        </w:rPr>
        <w:t>.</w:t>
      </w:r>
    </w:p>
    <w:p w14:paraId="402F6619" w14:textId="77777777" w:rsidR="006C0860" w:rsidRPr="00DD5F33" w:rsidRDefault="006C0860" w:rsidP="00390811">
      <w:pPr>
        <w:ind w:left="709" w:right="709"/>
        <w:jc w:val="both"/>
        <w:rPr>
          <w:rFonts w:ascii="Arial" w:hAnsi="Arial" w:cs="Arial"/>
          <w:color w:val="000000" w:themeColor="text1"/>
          <w:sz w:val="21"/>
          <w:szCs w:val="21"/>
          <w:lang w:val="es-ES_tradnl"/>
        </w:rPr>
      </w:pPr>
    </w:p>
    <w:p w14:paraId="33D94FED" w14:textId="7D2A01E8" w:rsidR="006847B7" w:rsidRPr="00DD5F33" w:rsidRDefault="00EB6C66" w:rsidP="006847B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ARTÍCULO 2.2.1.2.4.2.17. Factores de desempate y acreditación. 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deberá utilizar las siguientes reglas de forma sucesiva y excluyente para seleccionar al oferente favorecido, respetando en todo caso las obligaciones contenidas en los Acuerdos Comerciales vigentes, especialmente en materia de trato nacional.</w:t>
      </w:r>
    </w:p>
    <w:p w14:paraId="07EF9B4C" w14:textId="77777777" w:rsidR="006847B7" w:rsidRPr="00DD5F33" w:rsidRDefault="006847B7" w:rsidP="006847B7">
      <w:pPr>
        <w:ind w:left="709" w:right="709"/>
        <w:jc w:val="both"/>
        <w:rPr>
          <w:rFonts w:ascii="Arial" w:hAnsi="Arial" w:cs="Arial"/>
          <w:color w:val="000000" w:themeColor="text1"/>
          <w:sz w:val="21"/>
          <w:szCs w:val="21"/>
          <w:lang w:val="es-ES_tradnl"/>
        </w:rPr>
      </w:pPr>
    </w:p>
    <w:p w14:paraId="32DC16A2" w14:textId="14B896B4" w:rsidR="006847B7" w:rsidRPr="00DD5F33" w:rsidRDefault="00EB6C66" w:rsidP="006847B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 PARÁGRAFO 3. Conforme con el artículo 18 de la Ley 1712 de 2014 y los artículos 5 y 6 de la Ley 1581 de 2012, la Entidad Estatal garantizará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w:t>
      </w:r>
    </w:p>
    <w:p w14:paraId="150AA13F" w14:textId="77777777" w:rsidR="002C62B0" w:rsidRPr="00DD5F33" w:rsidRDefault="002C62B0" w:rsidP="006847B7">
      <w:pPr>
        <w:ind w:left="709" w:right="709"/>
        <w:jc w:val="both"/>
        <w:rPr>
          <w:rFonts w:ascii="Arial" w:hAnsi="Arial" w:cs="Arial"/>
          <w:color w:val="000000" w:themeColor="text1"/>
          <w:sz w:val="21"/>
          <w:szCs w:val="21"/>
          <w:lang w:val="es-ES_tradnl"/>
        </w:rPr>
      </w:pPr>
    </w:p>
    <w:p w14:paraId="405D0F08" w14:textId="087A2420" w:rsidR="006847B7" w:rsidRPr="00DD5F33" w:rsidRDefault="00EB6C66" w:rsidP="006847B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 xml:space="preserve">En </w:t>
      </w:r>
      <w:r w:rsidR="002C62B0" w:rsidRPr="00DD5F33">
        <w:rPr>
          <w:rFonts w:ascii="Arial" w:hAnsi="Arial" w:cs="Arial"/>
          <w:color w:val="000000" w:themeColor="text1"/>
          <w:sz w:val="21"/>
          <w:szCs w:val="21"/>
          <w:lang w:val="es-ES_tradnl"/>
        </w:rPr>
        <w:t>armonía</w:t>
      </w:r>
      <w:r w:rsidR="006847B7" w:rsidRPr="00DD5F33">
        <w:rPr>
          <w:rFonts w:ascii="Arial" w:hAnsi="Arial" w:cs="Arial"/>
          <w:color w:val="000000" w:themeColor="text1"/>
          <w:sz w:val="21"/>
          <w:szCs w:val="21"/>
          <w:lang w:val="es-ES_tradnl"/>
        </w:rPr>
        <w:t xml:space="preserve"> con lo anterior, en la plataforma del SECOP no se publicará para conocimiento de terceros la </w:t>
      </w:r>
      <w:r w:rsidR="002C62B0" w:rsidRPr="00DD5F33">
        <w:rPr>
          <w:rFonts w:ascii="Arial" w:hAnsi="Arial" w:cs="Arial"/>
          <w:color w:val="000000" w:themeColor="text1"/>
          <w:sz w:val="21"/>
          <w:szCs w:val="21"/>
          <w:lang w:val="es-ES_tradnl"/>
        </w:rPr>
        <w:t>información</w:t>
      </w:r>
      <w:r w:rsidR="006847B7" w:rsidRPr="00DD5F33">
        <w:rPr>
          <w:rFonts w:ascii="Arial" w:hAnsi="Arial" w:cs="Arial"/>
          <w:color w:val="000000" w:themeColor="text1"/>
          <w:sz w:val="21"/>
          <w:szCs w:val="21"/>
          <w:lang w:val="es-ES_tradnl"/>
        </w:rPr>
        <w:t xml:space="preserve"> relacionada con los factores de desempate de personas en procesos de </w:t>
      </w:r>
      <w:r w:rsidR="002C62B0" w:rsidRPr="00DD5F33">
        <w:rPr>
          <w:rFonts w:ascii="Arial" w:hAnsi="Arial" w:cs="Arial"/>
          <w:color w:val="000000" w:themeColor="text1"/>
          <w:sz w:val="21"/>
          <w:szCs w:val="21"/>
          <w:lang w:val="es-ES_tradnl"/>
        </w:rPr>
        <w:t>reincorporación</w:t>
      </w:r>
      <w:r w:rsidR="006847B7" w:rsidRPr="00DD5F33">
        <w:rPr>
          <w:rFonts w:ascii="Arial" w:hAnsi="Arial" w:cs="Arial"/>
          <w:color w:val="000000" w:themeColor="text1"/>
          <w:sz w:val="21"/>
          <w:szCs w:val="21"/>
          <w:lang w:val="es-ES_tradnl"/>
        </w:rPr>
        <w:t xml:space="preserve"> o </w:t>
      </w:r>
      <w:r w:rsidR="002C62B0" w:rsidRPr="00DD5F33">
        <w:rPr>
          <w:rFonts w:ascii="Arial" w:hAnsi="Arial" w:cs="Arial"/>
          <w:color w:val="000000" w:themeColor="text1"/>
          <w:sz w:val="21"/>
          <w:szCs w:val="21"/>
          <w:lang w:val="es-ES_tradnl"/>
        </w:rPr>
        <w:t>reintegración</w:t>
      </w:r>
      <w:r w:rsidR="006847B7" w:rsidRPr="00DD5F33">
        <w:rPr>
          <w:rFonts w:ascii="Arial" w:hAnsi="Arial" w:cs="Arial"/>
          <w:color w:val="000000" w:themeColor="text1"/>
          <w:sz w:val="21"/>
          <w:szCs w:val="21"/>
          <w:lang w:val="es-ES_tradnl"/>
        </w:rPr>
        <w:t xml:space="preserve"> o mujeres </w:t>
      </w:r>
      <w:r w:rsidR="002C62B0" w:rsidRPr="00DD5F33">
        <w:rPr>
          <w:rFonts w:ascii="Arial" w:hAnsi="Arial" w:cs="Arial"/>
          <w:color w:val="000000" w:themeColor="text1"/>
          <w:sz w:val="21"/>
          <w:szCs w:val="21"/>
          <w:lang w:val="es-ES_tradnl"/>
        </w:rPr>
        <w:t>víctimas</w:t>
      </w:r>
      <w:r w:rsidR="006847B7" w:rsidRPr="00DD5F33">
        <w:rPr>
          <w:rFonts w:ascii="Arial" w:hAnsi="Arial" w:cs="Arial"/>
          <w:color w:val="000000" w:themeColor="text1"/>
          <w:sz w:val="21"/>
          <w:szCs w:val="21"/>
          <w:lang w:val="es-ES_tradnl"/>
        </w:rPr>
        <w:t xml:space="preserve"> de violencia intrafamiliar o la </w:t>
      </w:r>
      <w:r w:rsidR="002C62B0" w:rsidRPr="00DD5F33">
        <w:rPr>
          <w:rFonts w:ascii="Arial" w:hAnsi="Arial" w:cs="Arial"/>
          <w:color w:val="000000" w:themeColor="text1"/>
          <w:sz w:val="21"/>
          <w:szCs w:val="21"/>
          <w:lang w:val="es-ES_tradnl"/>
        </w:rPr>
        <w:t>población</w:t>
      </w:r>
      <w:r w:rsidR="006847B7" w:rsidRPr="00DD5F33">
        <w:rPr>
          <w:rFonts w:ascii="Arial" w:hAnsi="Arial" w:cs="Arial"/>
          <w:color w:val="000000" w:themeColor="text1"/>
          <w:sz w:val="21"/>
          <w:szCs w:val="21"/>
          <w:lang w:val="es-ES_tradnl"/>
        </w:rPr>
        <w:t xml:space="preserve"> </w:t>
      </w:r>
      <w:r w:rsidR="002C62B0" w:rsidRPr="00DD5F33">
        <w:rPr>
          <w:rFonts w:ascii="Arial" w:hAnsi="Arial" w:cs="Arial"/>
          <w:color w:val="000000" w:themeColor="text1"/>
          <w:sz w:val="21"/>
          <w:szCs w:val="21"/>
          <w:lang w:val="es-ES_tradnl"/>
        </w:rPr>
        <w:t>indígena</w:t>
      </w:r>
      <w:r w:rsidR="006847B7" w:rsidRPr="00DD5F33">
        <w:rPr>
          <w:rFonts w:ascii="Arial" w:hAnsi="Arial" w:cs="Arial"/>
          <w:color w:val="000000" w:themeColor="text1"/>
          <w:sz w:val="21"/>
          <w:szCs w:val="21"/>
          <w:lang w:val="es-ES_tradnl"/>
        </w:rPr>
        <w:t xml:space="preserve">, negra, afrocolombiana, raizal, palenquera, Rrom o gitana, puesto que su </w:t>
      </w:r>
      <w:r w:rsidR="002C62B0" w:rsidRPr="00DD5F33">
        <w:rPr>
          <w:rFonts w:ascii="Arial" w:hAnsi="Arial" w:cs="Arial"/>
          <w:color w:val="000000" w:themeColor="text1"/>
          <w:sz w:val="21"/>
          <w:szCs w:val="21"/>
          <w:lang w:val="es-ES_tradnl"/>
        </w:rPr>
        <w:t>público</w:t>
      </w:r>
      <w:r w:rsidR="006847B7" w:rsidRPr="00DD5F33">
        <w:rPr>
          <w:rFonts w:ascii="Arial" w:hAnsi="Arial" w:cs="Arial"/>
          <w:color w:val="000000" w:themeColor="text1"/>
          <w:sz w:val="21"/>
          <w:szCs w:val="21"/>
          <w:lang w:val="es-ES_tradnl"/>
        </w:rPr>
        <w:t xml:space="preserve"> conocimiento puede afectar el derecho a la intimidad de los oferentes o de sus trabajadores o socios o accionistas.”</w:t>
      </w:r>
    </w:p>
    <w:p w14:paraId="39A79377" w14:textId="77777777" w:rsidR="002C62B0" w:rsidRPr="00DD5F33" w:rsidRDefault="002C62B0" w:rsidP="006847B7">
      <w:pPr>
        <w:ind w:left="709" w:right="709"/>
        <w:jc w:val="both"/>
        <w:rPr>
          <w:rFonts w:ascii="Arial" w:hAnsi="Arial" w:cs="Arial"/>
          <w:color w:val="000000" w:themeColor="text1"/>
          <w:sz w:val="21"/>
          <w:szCs w:val="21"/>
          <w:lang w:val="es-ES_tradnl"/>
        </w:rPr>
      </w:pPr>
    </w:p>
    <w:p w14:paraId="4D167900" w14:textId="50C8A3F5" w:rsidR="006847B7" w:rsidRPr="00DD5F33" w:rsidRDefault="00EB6C66" w:rsidP="006847B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Al respecto se consulta:</w:t>
      </w:r>
    </w:p>
    <w:p w14:paraId="02250E91" w14:textId="77777777" w:rsidR="002C62B0" w:rsidRPr="00DD5F33" w:rsidRDefault="002C62B0" w:rsidP="006847B7">
      <w:pPr>
        <w:ind w:left="709" w:right="709"/>
        <w:jc w:val="both"/>
        <w:rPr>
          <w:rFonts w:ascii="Arial" w:hAnsi="Arial" w:cs="Arial"/>
          <w:color w:val="000000" w:themeColor="text1"/>
          <w:sz w:val="21"/>
          <w:szCs w:val="21"/>
          <w:lang w:val="es-ES_tradnl"/>
        </w:rPr>
      </w:pPr>
    </w:p>
    <w:p w14:paraId="722CDFB2" w14:textId="3C46E105" w:rsidR="006847B7" w:rsidRPr="00DD5F33" w:rsidRDefault="00EB6C66" w:rsidP="006847B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 xml:space="preserve">1. ¿En caso de presentarse observaciones en el proceso de </w:t>
      </w:r>
      <w:r w:rsidR="002C62B0" w:rsidRPr="00DD5F33">
        <w:rPr>
          <w:rFonts w:ascii="Arial" w:hAnsi="Arial" w:cs="Arial"/>
          <w:color w:val="000000" w:themeColor="text1"/>
          <w:sz w:val="21"/>
          <w:szCs w:val="21"/>
          <w:lang w:val="es-ES_tradnl"/>
        </w:rPr>
        <w:t>selección</w:t>
      </w:r>
      <w:r w:rsidR="006847B7" w:rsidRPr="00DD5F33">
        <w:rPr>
          <w:rFonts w:ascii="Arial" w:hAnsi="Arial" w:cs="Arial"/>
          <w:color w:val="000000" w:themeColor="text1"/>
          <w:sz w:val="21"/>
          <w:szCs w:val="21"/>
          <w:lang w:val="es-ES_tradnl"/>
        </w:rPr>
        <w:t xml:space="preserve"> por la </w:t>
      </w:r>
      <w:r w:rsidR="002C62B0" w:rsidRPr="00DD5F33">
        <w:rPr>
          <w:rFonts w:ascii="Arial" w:hAnsi="Arial" w:cs="Arial"/>
          <w:color w:val="000000" w:themeColor="text1"/>
          <w:sz w:val="21"/>
          <w:szCs w:val="21"/>
          <w:lang w:val="es-ES_tradnl"/>
        </w:rPr>
        <w:t>aplicación</w:t>
      </w:r>
      <w:r w:rsidR="006847B7" w:rsidRPr="00DD5F33">
        <w:rPr>
          <w:rFonts w:ascii="Arial" w:hAnsi="Arial" w:cs="Arial"/>
          <w:color w:val="000000" w:themeColor="text1"/>
          <w:sz w:val="21"/>
          <w:szCs w:val="21"/>
          <w:lang w:val="es-ES_tradnl"/>
        </w:rPr>
        <w:t xml:space="preserve"> del criterio de desempate que documento deberá publicar la Entidad para demostrar que efectivamente el oferente dio cumplimiento a los requisitos establecidos en la Ley para obtener esta </w:t>
      </w:r>
      <w:r w:rsidR="002C62B0" w:rsidRPr="00DD5F33">
        <w:rPr>
          <w:rFonts w:ascii="Arial" w:hAnsi="Arial" w:cs="Arial"/>
          <w:color w:val="000000" w:themeColor="text1"/>
          <w:sz w:val="21"/>
          <w:szCs w:val="21"/>
          <w:lang w:val="es-ES_tradnl"/>
        </w:rPr>
        <w:t>acreditación</w:t>
      </w:r>
      <w:r w:rsidR="006847B7" w:rsidRPr="00DD5F33">
        <w:rPr>
          <w:rFonts w:ascii="Arial" w:hAnsi="Arial" w:cs="Arial"/>
          <w:color w:val="000000" w:themeColor="text1"/>
          <w:sz w:val="21"/>
          <w:szCs w:val="21"/>
          <w:lang w:val="es-ES_tradnl"/>
        </w:rPr>
        <w:t xml:space="preserve">? ¿Sí los oferentes solicitan la </w:t>
      </w:r>
      <w:r w:rsidR="002C62B0" w:rsidRPr="00DD5F33">
        <w:rPr>
          <w:rFonts w:ascii="Arial" w:hAnsi="Arial" w:cs="Arial"/>
          <w:color w:val="000000" w:themeColor="text1"/>
          <w:sz w:val="21"/>
          <w:szCs w:val="21"/>
          <w:lang w:val="es-ES_tradnl"/>
        </w:rPr>
        <w:t>publicación</w:t>
      </w:r>
      <w:r w:rsidR="006847B7" w:rsidRPr="00DD5F33">
        <w:rPr>
          <w:rFonts w:ascii="Arial" w:hAnsi="Arial" w:cs="Arial"/>
          <w:color w:val="000000" w:themeColor="text1"/>
          <w:sz w:val="21"/>
          <w:szCs w:val="21"/>
          <w:lang w:val="es-ES_tradnl"/>
        </w:rPr>
        <w:t xml:space="preserve"> de esta </w:t>
      </w:r>
      <w:r w:rsidR="002C62B0" w:rsidRPr="00DD5F33">
        <w:rPr>
          <w:rFonts w:ascii="Arial" w:hAnsi="Arial" w:cs="Arial"/>
          <w:color w:val="000000" w:themeColor="text1"/>
          <w:sz w:val="21"/>
          <w:szCs w:val="21"/>
          <w:lang w:val="es-ES_tradnl"/>
        </w:rPr>
        <w:t>información</w:t>
      </w:r>
      <w:r w:rsidR="006847B7" w:rsidRPr="00DD5F33">
        <w:rPr>
          <w:rFonts w:ascii="Arial" w:hAnsi="Arial" w:cs="Arial"/>
          <w:color w:val="000000" w:themeColor="text1"/>
          <w:sz w:val="21"/>
          <w:szCs w:val="21"/>
          <w:lang w:val="es-ES_tradnl"/>
        </w:rPr>
        <w:t xml:space="preserve">, como deberá proceder la Entidad para emitir la respectiva respuesta? ¿Se establece alguna </w:t>
      </w:r>
      <w:r w:rsidR="002C62B0" w:rsidRPr="00DD5F33">
        <w:rPr>
          <w:rFonts w:ascii="Arial" w:hAnsi="Arial" w:cs="Arial"/>
          <w:color w:val="000000" w:themeColor="text1"/>
          <w:sz w:val="21"/>
          <w:szCs w:val="21"/>
          <w:lang w:val="es-ES_tradnl"/>
        </w:rPr>
        <w:t>excepción</w:t>
      </w:r>
      <w:r w:rsidR="006847B7" w:rsidRPr="00DD5F33">
        <w:rPr>
          <w:rFonts w:ascii="Arial" w:hAnsi="Arial" w:cs="Arial"/>
          <w:color w:val="000000" w:themeColor="text1"/>
          <w:sz w:val="21"/>
          <w:szCs w:val="21"/>
          <w:lang w:val="es-ES_tradnl"/>
        </w:rPr>
        <w:t xml:space="preserve"> para la </w:t>
      </w:r>
      <w:r w:rsidR="002C62B0" w:rsidRPr="00DD5F33">
        <w:rPr>
          <w:rFonts w:ascii="Arial" w:hAnsi="Arial" w:cs="Arial"/>
          <w:color w:val="000000" w:themeColor="text1"/>
          <w:sz w:val="21"/>
          <w:szCs w:val="21"/>
          <w:lang w:val="es-ES_tradnl"/>
        </w:rPr>
        <w:t>publicación</w:t>
      </w:r>
      <w:r w:rsidR="006847B7" w:rsidRPr="00DD5F33">
        <w:rPr>
          <w:rFonts w:ascii="Arial" w:hAnsi="Arial" w:cs="Arial"/>
          <w:color w:val="000000" w:themeColor="text1"/>
          <w:sz w:val="21"/>
          <w:szCs w:val="21"/>
          <w:lang w:val="es-ES_tradnl"/>
        </w:rPr>
        <w:t xml:space="preserve"> de esta </w:t>
      </w:r>
      <w:r w:rsidR="002C62B0" w:rsidRPr="00DD5F33">
        <w:rPr>
          <w:rFonts w:ascii="Arial" w:hAnsi="Arial" w:cs="Arial"/>
          <w:color w:val="000000" w:themeColor="text1"/>
          <w:sz w:val="21"/>
          <w:szCs w:val="21"/>
          <w:lang w:val="es-ES_tradnl"/>
        </w:rPr>
        <w:t>información</w:t>
      </w:r>
      <w:r w:rsidR="006847B7" w:rsidRPr="00DD5F33">
        <w:rPr>
          <w:rFonts w:ascii="Arial" w:hAnsi="Arial" w:cs="Arial"/>
          <w:color w:val="000000" w:themeColor="text1"/>
          <w:sz w:val="21"/>
          <w:szCs w:val="21"/>
          <w:lang w:val="es-ES_tradnl"/>
        </w:rPr>
        <w:t xml:space="preserve"> en SECOP II, si existe </w:t>
      </w:r>
      <w:r w:rsidR="002C62B0" w:rsidRPr="00DD5F33">
        <w:rPr>
          <w:rFonts w:ascii="Arial" w:hAnsi="Arial" w:cs="Arial"/>
          <w:color w:val="000000" w:themeColor="text1"/>
          <w:sz w:val="21"/>
          <w:szCs w:val="21"/>
          <w:lang w:val="es-ES_tradnl"/>
        </w:rPr>
        <w:t>autorización</w:t>
      </w:r>
      <w:r w:rsidR="006847B7" w:rsidRPr="00DD5F33">
        <w:rPr>
          <w:rFonts w:ascii="Arial" w:hAnsi="Arial" w:cs="Arial"/>
          <w:color w:val="000000" w:themeColor="text1"/>
          <w:sz w:val="21"/>
          <w:szCs w:val="21"/>
          <w:lang w:val="es-ES_tradnl"/>
        </w:rPr>
        <w:t xml:space="preserve"> de la persona para publicarla?</w:t>
      </w:r>
    </w:p>
    <w:p w14:paraId="0EE962C3" w14:textId="77777777" w:rsidR="002C62B0" w:rsidRPr="00DD5F33" w:rsidRDefault="002C62B0" w:rsidP="006847B7">
      <w:pPr>
        <w:ind w:left="709" w:right="709"/>
        <w:jc w:val="both"/>
        <w:rPr>
          <w:rFonts w:ascii="Arial" w:hAnsi="Arial" w:cs="Arial"/>
          <w:color w:val="000000" w:themeColor="text1"/>
          <w:sz w:val="21"/>
          <w:szCs w:val="21"/>
          <w:lang w:val="es-ES_tradnl"/>
        </w:rPr>
      </w:pPr>
    </w:p>
    <w:p w14:paraId="2A73781C" w14:textId="06334FB1" w:rsidR="000D4F79"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847B7" w:rsidRPr="00DD5F33">
        <w:rPr>
          <w:rFonts w:ascii="Arial" w:hAnsi="Arial" w:cs="Arial"/>
          <w:color w:val="000000" w:themeColor="text1"/>
          <w:sz w:val="21"/>
          <w:szCs w:val="21"/>
          <w:lang w:val="es-ES_tradnl"/>
        </w:rPr>
        <w:t xml:space="preserve">2. En los </w:t>
      </w:r>
      <w:r w:rsidR="002C62B0" w:rsidRPr="00DD5F33">
        <w:rPr>
          <w:rFonts w:ascii="Arial" w:hAnsi="Arial" w:cs="Arial"/>
          <w:color w:val="000000" w:themeColor="text1"/>
          <w:sz w:val="21"/>
          <w:szCs w:val="21"/>
          <w:lang w:val="es-ES_tradnl"/>
        </w:rPr>
        <w:t>últimos</w:t>
      </w:r>
      <w:r w:rsidR="006847B7" w:rsidRPr="00DD5F33">
        <w:rPr>
          <w:rFonts w:ascii="Arial" w:hAnsi="Arial" w:cs="Arial"/>
          <w:color w:val="000000" w:themeColor="text1"/>
          <w:sz w:val="21"/>
          <w:szCs w:val="21"/>
          <w:lang w:val="es-ES_tradnl"/>
        </w:rPr>
        <w:t xml:space="preserve"> incisos de los numerales 5° y 6° requiere que se solicite </w:t>
      </w:r>
      <w:r w:rsidR="002C62B0" w:rsidRPr="00DD5F33">
        <w:rPr>
          <w:rFonts w:ascii="Arial" w:hAnsi="Arial" w:cs="Arial"/>
          <w:color w:val="000000" w:themeColor="text1"/>
          <w:sz w:val="21"/>
          <w:szCs w:val="21"/>
          <w:lang w:val="es-ES_tradnl"/>
        </w:rPr>
        <w:t>autorización</w:t>
      </w:r>
      <w:r w:rsidR="006847B7" w:rsidRPr="00DD5F33">
        <w:rPr>
          <w:rFonts w:ascii="Arial" w:hAnsi="Arial" w:cs="Arial"/>
          <w:color w:val="000000" w:themeColor="text1"/>
          <w:sz w:val="21"/>
          <w:szCs w:val="21"/>
          <w:lang w:val="es-ES_tradnl"/>
        </w:rPr>
        <w:t xml:space="preserve"> expresa de esas personas para el tratamiento de la </w:t>
      </w:r>
      <w:r w:rsidR="002C62B0" w:rsidRPr="00DD5F33">
        <w:rPr>
          <w:rFonts w:ascii="Arial" w:hAnsi="Arial" w:cs="Arial"/>
          <w:color w:val="000000" w:themeColor="text1"/>
          <w:sz w:val="21"/>
          <w:szCs w:val="21"/>
          <w:lang w:val="es-ES_tradnl"/>
        </w:rPr>
        <w:t>información</w:t>
      </w:r>
      <w:r w:rsidR="006847B7" w:rsidRPr="00DD5F33">
        <w:rPr>
          <w:rFonts w:ascii="Arial" w:hAnsi="Arial" w:cs="Arial"/>
          <w:color w:val="000000" w:themeColor="text1"/>
          <w:sz w:val="21"/>
          <w:szCs w:val="21"/>
          <w:lang w:val="es-ES_tradnl"/>
        </w:rPr>
        <w:t xml:space="preserve">, lo cual, </w:t>
      </w:r>
      <w:r w:rsidR="002C62B0" w:rsidRPr="00DD5F33">
        <w:rPr>
          <w:rFonts w:ascii="Arial" w:hAnsi="Arial" w:cs="Arial"/>
          <w:color w:val="000000" w:themeColor="text1"/>
          <w:sz w:val="21"/>
          <w:szCs w:val="21"/>
          <w:lang w:val="es-ES_tradnl"/>
        </w:rPr>
        <w:t>según</w:t>
      </w:r>
      <w:r w:rsidR="006847B7" w:rsidRPr="00DD5F33">
        <w:rPr>
          <w:rFonts w:ascii="Arial" w:hAnsi="Arial" w:cs="Arial"/>
          <w:color w:val="000000" w:themeColor="text1"/>
          <w:sz w:val="21"/>
          <w:szCs w:val="21"/>
          <w:lang w:val="es-ES_tradnl"/>
        </w:rPr>
        <w:t xml:space="preserve"> el literal g) del </w:t>
      </w:r>
      <w:r w:rsidR="002C62B0" w:rsidRPr="00DD5F33">
        <w:rPr>
          <w:rFonts w:ascii="Arial" w:hAnsi="Arial" w:cs="Arial"/>
          <w:color w:val="000000" w:themeColor="text1"/>
          <w:sz w:val="21"/>
          <w:szCs w:val="21"/>
          <w:lang w:val="es-ES_tradnl"/>
        </w:rPr>
        <w:t>artículo</w:t>
      </w:r>
      <w:r w:rsidR="006847B7" w:rsidRPr="00DD5F33">
        <w:rPr>
          <w:rFonts w:ascii="Arial" w:hAnsi="Arial" w:cs="Arial"/>
          <w:color w:val="000000" w:themeColor="text1"/>
          <w:sz w:val="21"/>
          <w:szCs w:val="21"/>
          <w:lang w:val="es-ES_tradnl"/>
        </w:rPr>
        <w:t xml:space="preserve"> tercero de la Ley 1581 de 2012, incluye la </w:t>
      </w:r>
      <w:r w:rsidR="002C62B0" w:rsidRPr="00DD5F33">
        <w:rPr>
          <w:rFonts w:ascii="Arial" w:hAnsi="Arial" w:cs="Arial"/>
          <w:color w:val="000000" w:themeColor="text1"/>
          <w:sz w:val="21"/>
          <w:szCs w:val="21"/>
          <w:lang w:val="es-ES_tradnl"/>
        </w:rPr>
        <w:t>circulación</w:t>
      </w:r>
      <w:r w:rsidR="006847B7" w:rsidRPr="00DD5F33">
        <w:rPr>
          <w:rFonts w:ascii="Arial" w:hAnsi="Arial" w:cs="Arial"/>
          <w:color w:val="000000" w:themeColor="text1"/>
          <w:sz w:val="21"/>
          <w:szCs w:val="21"/>
          <w:lang w:val="es-ES_tradnl"/>
        </w:rPr>
        <w:t xml:space="preserve"> de la </w:t>
      </w:r>
      <w:r w:rsidR="002C62B0" w:rsidRPr="00DD5F33">
        <w:rPr>
          <w:rFonts w:ascii="Arial" w:hAnsi="Arial" w:cs="Arial"/>
          <w:color w:val="000000" w:themeColor="text1"/>
          <w:sz w:val="21"/>
          <w:szCs w:val="21"/>
          <w:lang w:val="es-ES_tradnl"/>
        </w:rPr>
        <w:t>información</w:t>
      </w:r>
      <w:r w:rsidR="006847B7" w:rsidRPr="00DD5F33">
        <w:rPr>
          <w:rFonts w:ascii="Arial" w:hAnsi="Arial" w:cs="Arial"/>
          <w:color w:val="000000" w:themeColor="text1"/>
          <w:sz w:val="21"/>
          <w:szCs w:val="21"/>
          <w:lang w:val="es-ES_tradnl"/>
        </w:rPr>
        <w:t xml:space="preserve">. En ese sentido no es claro si a pesar de contar con la </w:t>
      </w:r>
      <w:r w:rsidR="002C62B0" w:rsidRPr="00DD5F33">
        <w:rPr>
          <w:rFonts w:ascii="Arial" w:hAnsi="Arial" w:cs="Arial"/>
          <w:color w:val="000000" w:themeColor="text1"/>
          <w:sz w:val="21"/>
          <w:szCs w:val="21"/>
          <w:lang w:val="es-ES_tradnl"/>
        </w:rPr>
        <w:t>autorización</w:t>
      </w:r>
      <w:r w:rsidR="006847B7" w:rsidRPr="00DD5F33">
        <w:rPr>
          <w:rFonts w:ascii="Arial" w:hAnsi="Arial" w:cs="Arial"/>
          <w:color w:val="000000" w:themeColor="text1"/>
          <w:sz w:val="21"/>
          <w:szCs w:val="21"/>
          <w:lang w:val="es-ES_tradnl"/>
        </w:rPr>
        <w:t xml:space="preserve"> de tratamiento no se deben publicar dichos documentos, surgiendo la interrogante de ¿</w:t>
      </w:r>
      <w:r w:rsidR="002C62B0" w:rsidRPr="00DD5F33">
        <w:rPr>
          <w:rFonts w:ascii="Arial" w:hAnsi="Arial" w:cs="Arial"/>
          <w:color w:val="000000" w:themeColor="text1"/>
          <w:sz w:val="21"/>
          <w:szCs w:val="21"/>
          <w:lang w:val="es-ES_tradnl"/>
        </w:rPr>
        <w:t>cuál</w:t>
      </w:r>
      <w:r w:rsidR="006847B7" w:rsidRPr="00DD5F33">
        <w:rPr>
          <w:rFonts w:ascii="Arial" w:hAnsi="Arial" w:cs="Arial"/>
          <w:color w:val="000000" w:themeColor="text1"/>
          <w:sz w:val="21"/>
          <w:szCs w:val="21"/>
          <w:lang w:val="es-ES_tradnl"/>
        </w:rPr>
        <w:t xml:space="preserve"> es la finalidad de</w:t>
      </w:r>
      <w:r w:rsidR="00C77FAB"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 xml:space="preserve">solicitar </w:t>
      </w:r>
      <w:r w:rsidR="00106D84" w:rsidRPr="00DD5F33">
        <w:rPr>
          <w:rFonts w:ascii="Arial" w:hAnsi="Arial" w:cs="Arial"/>
          <w:color w:val="000000" w:themeColor="text1"/>
          <w:sz w:val="21"/>
          <w:szCs w:val="21"/>
          <w:lang w:val="es-ES_tradnl"/>
        </w:rPr>
        <w:t>autorización</w:t>
      </w:r>
      <w:r w:rsidR="000D4F79" w:rsidRPr="00DD5F33">
        <w:rPr>
          <w:rFonts w:ascii="Arial" w:hAnsi="Arial" w:cs="Arial"/>
          <w:color w:val="000000" w:themeColor="text1"/>
          <w:sz w:val="21"/>
          <w:szCs w:val="21"/>
          <w:lang w:val="es-ES_tradnl"/>
        </w:rPr>
        <w:t xml:space="preserve"> de tratamiento de datos? Dado que el decreto exige la </w:t>
      </w:r>
      <w:r w:rsidR="00106D84" w:rsidRPr="00DD5F33">
        <w:rPr>
          <w:rFonts w:ascii="Arial" w:hAnsi="Arial" w:cs="Arial"/>
          <w:color w:val="000000" w:themeColor="text1"/>
          <w:sz w:val="21"/>
          <w:szCs w:val="21"/>
          <w:lang w:val="es-ES_tradnl"/>
        </w:rPr>
        <w:t>garantía</w:t>
      </w:r>
      <w:r w:rsidR="000D4F79" w:rsidRPr="00DD5F33">
        <w:rPr>
          <w:rFonts w:ascii="Arial" w:hAnsi="Arial" w:cs="Arial"/>
          <w:color w:val="000000" w:themeColor="text1"/>
          <w:sz w:val="21"/>
          <w:szCs w:val="21"/>
          <w:lang w:val="es-ES_tradnl"/>
        </w:rPr>
        <w:t xml:space="preserve"> de la reserva legal de dicha </w:t>
      </w:r>
      <w:r w:rsidR="00106D84" w:rsidRPr="00DD5F33">
        <w:rPr>
          <w:rFonts w:ascii="Arial" w:hAnsi="Arial" w:cs="Arial"/>
          <w:color w:val="000000" w:themeColor="text1"/>
          <w:sz w:val="21"/>
          <w:szCs w:val="21"/>
          <w:lang w:val="es-ES_tradnl"/>
        </w:rPr>
        <w:t>información</w:t>
      </w:r>
      <w:r w:rsidR="000D4F79" w:rsidRPr="00DD5F33">
        <w:rPr>
          <w:rFonts w:ascii="Arial" w:hAnsi="Arial" w:cs="Arial"/>
          <w:color w:val="000000" w:themeColor="text1"/>
          <w:sz w:val="21"/>
          <w:szCs w:val="21"/>
          <w:lang w:val="es-ES_tradnl"/>
        </w:rPr>
        <w:t>.</w:t>
      </w:r>
    </w:p>
    <w:p w14:paraId="0126F34E" w14:textId="77777777" w:rsidR="00106D84" w:rsidRPr="00DD5F33" w:rsidRDefault="00106D84" w:rsidP="000D4F79">
      <w:pPr>
        <w:ind w:left="709" w:right="709"/>
        <w:jc w:val="both"/>
        <w:rPr>
          <w:rFonts w:ascii="Arial" w:hAnsi="Arial" w:cs="Arial"/>
          <w:color w:val="000000" w:themeColor="text1"/>
          <w:sz w:val="21"/>
          <w:szCs w:val="21"/>
          <w:lang w:val="es-ES_tradnl"/>
        </w:rPr>
      </w:pPr>
    </w:p>
    <w:p w14:paraId="2AD3976D" w14:textId="7984E8BA" w:rsidR="000D4F79"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0D4F79" w:rsidRPr="00DD5F33">
        <w:rPr>
          <w:rFonts w:ascii="Arial" w:hAnsi="Arial" w:cs="Arial"/>
          <w:color w:val="000000" w:themeColor="text1"/>
          <w:sz w:val="21"/>
          <w:szCs w:val="21"/>
          <w:lang w:val="es-ES_tradnl"/>
        </w:rPr>
        <w:t xml:space="preserve">Lo anterior es importante para determinar ¿qué documentos son </w:t>
      </w:r>
      <w:r w:rsidR="00106D84" w:rsidRPr="00DD5F33">
        <w:rPr>
          <w:rFonts w:ascii="Arial" w:hAnsi="Arial" w:cs="Arial"/>
          <w:color w:val="000000" w:themeColor="text1"/>
          <w:sz w:val="21"/>
          <w:szCs w:val="21"/>
          <w:lang w:val="es-ES_tradnl"/>
        </w:rPr>
        <w:t>públicos</w:t>
      </w:r>
      <w:r w:rsidR="000D4F79" w:rsidRPr="00DD5F33">
        <w:rPr>
          <w:rFonts w:ascii="Arial" w:hAnsi="Arial" w:cs="Arial"/>
          <w:color w:val="000000" w:themeColor="text1"/>
          <w:sz w:val="21"/>
          <w:szCs w:val="21"/>
          <w:lang w:val="es-ES_tradnl"/>
        </w:rPr>
        <w:t xml:space="preserve"> y </w:t>
      </w:r>
      <w:r w:rsidR="00106D84" w:rsidRPr="00DD5F33">
        <w:rPr>
          <w:rFonts w:ascii="Arial" w:hAnsi="Arial" w:cs="Arial"/>
          <w:color w:val="000000" w:themeColor="text1"/>
          <w:sz w:val="21"/>
          <w:szCs w:val="21"/>
          <w:lang w:val="es-ES_tradnl"/>
        </w:rPr>
        <w:t>cuáles</w:t>
      </w:r>
      <w:r w:rsidR="000D4F79" w:rsidRPr="00DD5F33">
        <w:rPr>
          <w:rFonts w:ascii="Arial" w:hAnsi="Arial" w:cs="Arial"/>
          <w:color w:val="000000" w:themeColor="text1"/>
          <w:sz w:val="21"/>
          <w:szCs w:val="21"/>
          <w:lang w:val="es-ES_tradnl"/>
        </w:rPr>
        <w:t xml:space="preserve"> no al momento de dar publicidad a las propuestas?</w:t>
      </w:r>
    </w:p>
    <w:p w14:paraId="1264EE7E" w14:textId="7AE126F2" w:rsidR="000D4F79"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0D4F79" w:rsidRPr="00DD5F33">
        <w:rPr>
          <w:rFonts w:ascii="Arial" w:hAnsi="Arial" w:cs="Arial"/>
          <w:color w:val="000000" w:themeColor="text1"/>
          <w:sz w:val="21"/>
          <w:szCs w:val="21"/>
          <w:lang w:val="es-ES_tradnl"/>
        </w:rPr>
        <w:t>3.</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Frente</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al</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criterio</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de</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desempate</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relativo</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a personas</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naturales</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en</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proceso</w:t>
      </w:r>
      <w:r w:rsidR="00B60360" w:rsidRPr="00DD5F33">
        <w:rPr>
          <w:rFonts w:ascii="Arial" w:hAnsi="Arial" w:cs="Arial"/>
          <w:color w:val="000000" w:themeColor="text1"/>
          <w:sz w:val="21"/>
          <w:szCs w:val="21"/>
          <w:lang w:val="es-ES_tradnl"/>
        </w:rPr>
        <w:t xml:space="preserve"> </w:t>
      </w:r>
      <w:r w:rsidR="000D4F79" w:rsidRPr="00DD5F33">
        <w:rPr>
          <w:rFonts w:ascii="Arial" w:hAnsi="Arial" w:cs="Arial"/>
          <w:color w:val="000000" w:themeColor="text1"/>
          <w:sz w:val="21"/>
          <w:szCs w:val="21"/>
          <w:lang w:val="es-ES_tradnl"/>
        </w:rPr>
        <w:t xml:space="preserve">de </w:t>
      </w:r>
      <w:r w:rsidR="00B60360" w:rsidRPr="00DD5F33">
        <w:rPr>
          <w:rFonts w:ascii="Arial" w:hAnsi="Arial" w:cs="Arial"/>
          <w:color w:val="000000" w:themeColor="text1"/>
          <w:sz w:val="21"/>
          <w:szCs w:val="21"/>
          <w:lang w:val="es-ES_tradnl"/>
        </w:rPr>
        <w:t>reintegración</w:t>
      </w:r>
      <w:r w:rsidR="000D4F79" w:rsidRPr="00DD5F33">
        <w:rPr>
          <w:rFonts w:ascii="Arial" w:hAnsi="Arial" w:cs="Arial"/>
          <w:color w:val="000000" w:themeColor="text1"/>
          <w:sz w:val="21"/>
          <w:szCs w:val="21"/>
          <w:lang w:val="es-ES_tradnl"/>
        </w:rPr>
        <w:t xml:space="preserve"> o </w:t>
      </w:r>
      <w:r w:rsidR="00B60360" w:rsidRPr="00DD5F33">
        <w:rPr>
          <w:rFonts w:ascii="Arial" w:hAnsi="Arial" w:cs="Arial"/>
          <w:color w:val="000000" w:themeColor="text1"/>
          <w:sz w:val="21"/>
          <w:szCs w:val="21"/>
          <w:lang w:val="es-ES_tradnl"/>
        </w:rPr>
        <w:t>reincorporación</w:t>
      </w:r>
      <w:r w:rsidR="000D4F79" w:rsidRPr="00DD5F33">
        <w:rPr>
          <w:rFonts w:ascii="Arial" w:hAnsi="Arial" w:cs="Arial"/>
          <w:color w:val="000000" w:themeColor="text1"/>
          <w:sz w:val="21"/>
          <w:szCs w:val="21"/>
          <w:lang w:val="es-ES_tradnl"/>
        </w:rPr>
        <w:t xml:space="preserve">, la norma indica: "(...) criterio de desempate se entregan certificados que contienen datos sensibles, de acuerdo con el </w:t>
      </w:r>
      <w:r w:rsidR="00B60360" w:rsidRPr="00DD5F33">
        <w:rPr>
          <w:rFonts w:ascii="Arial" w:hAnsi="Arial" w:cs="Arial"/>
          <w:color w:val="000000" w:themeColor="text1"/>
          <w:sz w:val="21"/>
          <w:szCs w:val="21"/>
          <w:lang w:val="es-ES_tradnl"/>
        </w:rPr>
        <w:t>artículo</w:t>
      </w:r>
      <w:r w:rsidR="000D4F79" w:rsidRPr="00DD5F33">
        <w:rPr>
          <w:rFonts w:ascii="Arial" w:hAnsi="Arial" w:cs="Arial"/>
          <w:color w:val="000000" w:themeColor="text1"/>
          <w:sz w:val="21"/>
          <w:szCs w:val="21"/>
          <w:lang w:val="es-ES_tradnl"/>
        </w:rPr>
        <w:t xml:space="preserve"> 5 de la Ley 1581 de 2012, se requiere que el titular de la </w:t>
      </w:r>
      <w:r w:rsidR="00B60360" w:rsidRPr="00DD5F33">
        <w:rPr>
          <w:rFonts w:ascii="Arial" w:hAnsi="Arial" w:cs="Arial"/>
          <w:color w:val="000000" w:themeColor="text1"/>
          <w:sz w:val="21"/>
          <w:szCs w:val="21"/>
          <w:lang w:val="es-ES_tradnl"/>
        </w:rPr>
        <w:t>información</w:t>
      </w:r>
      <w:r w:rsidR="000D4F79" w:rsidRPr="00DD5F33">
        <w:rPr>
          <w:rFonts w:ascii="Arial" w:hAnsi="Arial" w:cs="Arial"/>
          <w:color w:val="000000" w:themeColor="text1"/>
          <w:sz w:val="21"/>
          <w:szCs w:val="21"/>
          <w:lang w:val="es-ES_tradnl"/>
        </w:rPr>
        <w:t xml:space="preserve"> de estos, como son las personas en proceso de </w:t>
      </w:r>
      <w:r w:rsidR="00B60360" w:rsidRPr="00DD5F33">
        <w:rPr>
          <w:rFonts w:ascii="Arial" w:hAnsi="Arial" w:cs="Arial"/>
          <w:color w:val="000000" w:themeColor="text1"/>
          <w:sz w:val="21"/>
          <w:szCs w:val="21"/>
          <w:lang w:val="es-ES_tradnl"/>
        </w:rPr>
        <w:t>reincorporación</w:t>
      </w:r>
      <w:r w:rsidR="000D4F79" w:rsidRPr="00DD5F33">
        <w:rPr>
          <w:rFonts w:ascii="Arial" w:hAnsi="Arial" w:cs="Arial"/>
          <w:color w:val="000000" w:themeColor="text1"/>
          <w:sz w:val="21"/>
          <w:szCs w:val="21"/>
          <w:lang w:val="es-ES_tradnl"/>
        </w:rPr>
        <w:t xml:space="preserve"> o </w:t>
      </w:r>
      <w:r w:rsidR="00B60360" w:rsidRPr="00DD5F33">
        <w:rPr>
          <w:rFonts w:ascii="Arial" w:hAnsi="Arial" w:cs="Arial"/>
          <w:color w:val="000000" w:themeColor="text1"/>
          <w:sz w:val="21"/>
          <w:szCs w:val="21"/>
          <w:lang w:val="es-ES_tradnl"/>
        </w:rPr>
        <w:t>reintegración</w:t>
      </w:r>
      <w:r w:rsidR="000D4F79" w:rsidRPr="00DD5F33">
        <w:rPr>
          <w:rFonts w:ascii="Arial" w:hAnsi="Arial" w:cs="Arial"/>
          <w:color w:val="000000" w:themeColor="text1"/>
          <w:sz w:val="21"/>
          <w:szCs w:val="21"/>
          <w:lang w:val="es-ES_tradnl"/>
        </w:rPr>
        <w:t xml:space="preserve">, autoricen a la entidad de manera previa y expresa el manejo de esta </w:t>
      </w:r>
      <w:r w:rsidR="00B60360" w:rsidRPr="00DD5F33">
        <w:rPr>
          <w:rFonts w:ascii="Arial" w:hAnsi="Arial" w:cs="Arial"/>
          <w:color w:val="000000" w:themeColor="text1"/>
          <w:sz w:val="21"/>
          <w:szCs w:val="21"/>
          <w:lang w:val="es-ES_tradnl"/>
        </w:rPr>
        <w:t>información</w:t>
      </w:r>
      <w:r w:rsidR="000D4F79" w:rsidRPr="00DD5F33">
        <w:rPr>
          <w:rFonts w:ascii="Arial" w:hAnsi="Arial" w:cs="Arial"/>
          <w:color w:val="000000" w:themeColor="text1"/>
          <w:sz w:val="21"/>
          <w:szCs w:val="21"/>
          <w:lang w:val="es-ES_tradnl"/>
        </w:rPr>
        <w:t xml:space="preserve">, en los </w:t>
      </w:r>
      <w:r w:rsidR="00B60360" w:rsidRPr="00DD5F33">
        <w:rPr>
          <w:rFonts w:ascii="Arial" w:hAnsi="Arial" w:cs="Arial"/>
          <w:color w:val="000000" w:themeColor="text1"/>
          <w:sz w:val="21"/>
          <w:szCs w:val="21"/>
          <w:lang w:val="es-ES_tradnl"/>
        </w:rPr>
        <w:t>términos</w:t>
      </w:r>
      <w:r w:rsidR="000D4F79" w:rsidRPr="00DD5F33">
        <w:rPr>
          <w:rFonts w:ascii="Arial" w:hAnsi="Arial" w:cs="Arial"/>
          <w:color w:val="000000" w:themeColor="text1"/>
          <w:sz w:val="21"/>
          <w:szCs w:val="21"/>
          <w:lang w:val="es-ES_tradnl"/>
        </w:rPr>
        <w:t xml:space="preserve"> del literal a) del </w:t>
      </w:r>
      <w:r w:rsidR="00B60360" w:rsidRPr="00DD5F33">
        <w:rPr>
          <w:rFonts w:ascii="Arial" w:hAnsi="Arial" w:cs="Arial"/>
          <w:color w:val="000000" w:themeColor="text1"/>
          <w:sz w:val="21"/>
          <w:szCs w:val="21"/>
          <w:lang w:val="es-ES_tradnl"/>
        </w:rPr>
        <w:t>artículo</w:t>
      </w:r>
      <w:r w:rsidR="000D4F79" w:rsidRPr="00DD5F33">
        <w:rPr>
          <w:rFonts w:ascii="Arial" w:hAnsi="Arial" w:cs="Arial"/>
          <w:color w:val="000000" w:themeColor="text1"/>
          <w:sz w:val="21"/>
          <w:szCs w:val="21"/>
          <w:lang w:val="es-ES_tradnl"/>
        </w:rPr>
        <w:t xml:space="preserve"> 6 de la Ley 1581 de 2012 como requisito para el otorgamiento de este criterio de desempate"</w:t>
      </w:r>
    </w:p>
    <w:p w14:paraId="3F5524CD" w14:textId="77777777" w:rsidR="00B60360" w:rsidRPr="00DD5F33" w:rsidRDefault="00B60360" w:rsidP="000D4F79">
      <w:pPr>
        <w:ind w:left="709" w:right="709"/>
        <w:jc w:val="both"/>
        <w:rPr>
          <w:rFonts w:ascii="Arial" w:hAnsi="Arial" w:cs="Arial"/>
          <w:color w:val="000000" w:themeColor="text1"/>
          <w:sz w:val="21"/>
          <w:szCs w:val="21"/>
          <w:lang w:val="es-ES_tradnl"/>
        </w:rPr>
      </w:pPr>
    </w:p>
    <w:p w14:paraId="451E0C99" w14:textId="2AA00A07" w:rsidR="000D4F79"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w:t>
      </w:r>
      <w:r w:rsidR="000D4F79" w:rsidRPr="00DD5F33">
        <w:rPr>
          <w:rFonts w:ascii="Arial" w:hAnsi="Arial" w:cs="Arial"/>
          <w:color w:val="000000" w:themeColor="text1"/>
          <w:sz w:val="21"/>
          <w:szCs w:val="21"/>
          <w:lang w:val="es-ES_tradnl"/>
        </w:rPr>
        <w:t xml:space="preserve">¿Como se va a garantizar el anonimato de estas personas, teniendo en cuenta que a pesar de que el titular otorgue a la entidad </w:t>
      </w:r>
      <w:r w:rsidR="00B60360" w:rsidRPr="00DD5F33">
        <w:rPr>
          <w:rFonts w:ascii="Arial" w:hAnsi="Arial" w:cs="Arial"/>
          <w:color w:val="000000" w:themeColor="text1"/>
          <w:sz w:val="21"/>
          <w:szCs w:val="21"/>
          <w:lang w:val="es-ES_tradnl"/>
        </w:rPr>
        <w:t>autorización</w:t>
      </w:r>
      <w:r w:rsidR="000D4F79" w:rsidRPr="00DD5F33">
        <w:rPr>
          <w:rFonts w:ascii="Arial" w:hAnsi="Arial" w:cs="Arial"/>
          <w:color w:val="000000" w:themeColor="text1"/>
          <w:sz w:val="21"/>
          <w:szCs w:val="21"/>
          <w:lang w:val="es-ES_tradnl"/>
        </w:rPr>
        <w:t xml:space="preserve"> para el tratamiento de datos, hacer el mismo </w:t>
      </w:r>
      <w:r w:rsidR="00B60360" w:rsidRPr="00DD5F33">
        <w:rPr>
          <w:rFonts w:ascii="Arial" w:hAnsi="Arial" w:cs="Arial"/>
          <w:color w:val="000000" w:themeColor="text1"/>
          <w:sz w:val="21"/>
          <w:szCs w:val="21"/>
          <w:lang w:val="es-ES_tradnl"/>
        </w:rPr>
        <w:t>público</w:t>
      </w:r>
      <w:r w:rsidR="000D4F79" w:rsidRPr="00DD5F33">
        <w:rPr>
          <w:rFonts w:ascii="Arial" w:hAnsi="Arial" w:cs="Arial"/>
          <w:color w:val="000000" w:themeColor="text1"/>
          <w:sz w:val="21"/>
          <w:szCs w:val="21"/>
          <w:lang w:val="es-ES_tradnl"/>
        </w:rPr>
        <w:t xml:space="preserve"> puede significar riesgos para su integridad o intimidad? ¿SECOP II </w:t>
      </w:r>
      <w:r w:rsidR="00B60360" w:rsidRPr="00DD5F33">
        <w:rPr>
          <w:rFonts w:ascii="Arial" w:hAnsi="Arial" w:cs="Arial"/>
          <w:color w:val="000000" w:themeColor="text1"/>
          <w:sz w:val="21"/>
          <w:szCs w:val="21"/>
          <w:lang w:val="es-ES_tradnl"/>
        </w:rPr>
        <w:t>permitirá</w:t>
      </w:r>
      <w:r w:rsidR="000D4F79" w:rsidRPr="00DD5F33">
        <w:rPr>
          <w:rFonts w:ascii="Arial" w:hAnsi="Arial" w:cs="Arial"/>
          <w:color w:val="000000" w:themeColor="text1"/>
          <w:sz w:val="21"/>
          <w:szCs w:val="21"/>
          <w:lang w:val="es-ES_tradnl"/>
        </w:rPr>
        <w:t xml:space="preserve"> tratar esa </w:t>
      </w:r>
      <w:r w:rsidR="00B60360" w:rsidRPr="00DD5F33">
        <w:rPr>
          <w:rFonts w:ascii="Arial" w:hAnsi="Arial" w:cs="Arial"/>
          <w:color w:val="000000" w:themeColor="text1"/>
          <w:sz w:val="21"/>
          <w:szCs w:val="21"/>
          <w:lang w:val="es-ES_tradnl"/>
        </w:rPr>
        <w:t>información</w:t>
      </w:r>
      <w:r w:rsidR="000D4F79" w:rsidRPr="00DD5F33">
        <w:rPr>
          <w:rFonts w:ascii="Arial" w:hAnsi="Arial" w:cs="Arial"/>
          <w:color w:val="000000" w:themeColor="text1"/>
          <w:sz w:val="21"/>
          <w:szCs w:val="21"/>
          <w:lang w:val="es-ES_tradnl"/>
        </w:rPr>
        <w:t xml:space="preserve"> como confidencial?</w:t>
      </w:r>
    </w:p>
    <w:p w14:paraId="60D2B615" w14:textId="77777777" w:rsidR="00B60360" w:rsidRPr="00DD5F33" w:rsidRDefault="00B60360" w:rsidP="000D4F79">
      <w:pPr>
        <w:ind w:left="709" w:right="709"/>
        <w:jc w:val="both"/>
        <w:rPr>
          <w:rFonts w:ascii="Arial" w:hAnsi="Arial" w:cs="Arial"/>
          <w:color w:val="000000" w:themeColor="text1"/>
          <w:sz w:val="21"/>
          <w:szCs w:val="21"/>
          <w:lang w:val="es-ES_tradnl"/>
        </w:rPr>
      </w:pPr>
    </w:p>
    <w:p w14:paraId="2CD62598" w14:textId="1A439A2E" w:rsidR="000D4F79"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0D4F79" w:rsidRPr="00DD5F33">
        <w:rPr>
          <w:rFonts w:ascii="Arial" w:hAnsi="Arial" w:cs="Arial"/>
          <w:color w:val="000000" w:themeColor="text1"/>
          <w:sz w:val="21"/>
          <w:szCs w:val="21"/>
          <w:lang w:val="es-ES_tradnl"/>
        </w:rPr>
        <w:t xml:space="preserve">“ARTÍCULO 3. </w:t>
      </w:r>
      <w:r w:rsidR="00B60360" w:rsidRPr="00DD5F33">
        <w:rPr>
          <w:rFonts w:ascii="Arial" w:hAnsi="Arial" w:cs="Arial"/>
          <w:color w:val="000000" w:themeColor="text1"/>
          <w:sz w:val="21"/>
          <w:szCs w:val="21"/>
          <w:lang w:val="es-ES_tradnl"/>
        </w:rPr>
        <w:t>Adición</w:t>
      </w:r>
      <w:r w:rsidR="000D4F79" w:rsidRPr="00DD5F33">
        <w:rPr>
          <w:rFonts w:ascii="Arial" w:hAnsi="Arial" w:cs="Arial"/>
          <w:color w:val="000000" w:themeColor="text1"/>
          <w:sz w:val="21"/>
          <w:szCs w:val="21"/>
          <w:lang w:val="es-ES_tradnl"/>
        </w:rPr>
        <w:t xml:space="preserve"> de los </w:t>
      </w:r>
      <w:r w:rsidR="00B60360" w:rsidRPr="00DD5F33">
        <w:rPr>
          <w:rFonts w:ascii="Arial" w:hAnsi="Arial" w:cs="Arial"/>
          <w:color w:val="000000" w:themeColor="text1"/>
          <w:sz w:val="21"/>
          <w:szCs w:val="21"/>
          <w:lang w:val="es-ES_tradnl"/>
        </w:rPr>
        <w:t>artículos</w:t>
      </w:r>
      <w:r w:rsidR="000D4F79" w:rsidRPr="00DD5F33">
        <w:rPr>
          <w:rFonts w:ascii="Arial" w:hAnsi="Arial" w:cs="Arial"/>
          <w:color w:val="000000" w:themeColor="text1"/>
          <w:sz w:val="21"/>
          <w:szCs w:val="21"/>
          <w:lang w:val="es-ES_tradnl"/>
        </w:rPr>
        <w:t xml:space="preserve"> 2.2.1.2.4.2.14, 2.2.1.2.4.2.15, 2.2.1.2.4.2.16, 2.2.1.2.4.2.17 y 2.2.1.2.4.2. 18 a la </w:t>
      </w:r>
      <w:r w:rsidR="00B60360" w:rsidRPr="00DD5F33">
        <w:rPr>
          <w:rFonts w:ascii="Arial" w:hAnsi="Arial" w:cs="Arial"/>
          <w:color w:val="000000" w:themeColor="text1"/>
          <w:sz w:val="21"/>
          <w:szCs w:val="21"/>
          <w:lang w:val="es-ES_tradnl"/>
        </w:rPr>
        <w:t>Subsección</w:t>
      </w:r>
      <w:r w:rsidR="000D4F79" w:rsidRPr="00DD5F33">
        <w:rPr>
          <w:rFonts w:ascii="Arial" w:hAnsi="Arial" w:cs="Arial"/>
          <w:color w:val="000000" w:themeColor="text1"/>
          <w:sz w:val="21"/>
          <w:szCs w:val="21"/>
          <w:lang w:val="es-ES_tradnl"/>
        </w:rPr>
        <w:t xml:space="preserve"> 2 de la </w:t>
      </w:r>
      <w:r w:rsidR="00B60360" w:rsidRPr="00DD5F33">
        <w:rPr>
          <w:rFonts w:ascii="Arial" w:hAnsi="Arial" w:cs="Arial"/>
          <w:color w:val="000000" w:themeColor="text1"/>
          <w:sz w:val="21"/>
          <w:szCs w:val="21"/>
          <w:lang w:val="es-ES_tradnl"/>
        </w:rPr>
        <w:t>Sección</w:t>
      </w:r>
      <w:r w:rsidR="000D4F79" w:rsidRPr="00DD5F33">
        <w:rPr>
          <w:rFonts w:ascii="Arial" w:hAnsi="Arial" w:cs="Arial"/>
          <w:color w:val="000000" w:themeColor="text1"/>
          <w:sz w:val="21"/>
          <w:szCs w:val="21"/>
          <w:lang w:val="es-ES_tradnl"/>
        </w:rPr>
        <w:t xml:space="preserve"> 4 del </w:t>
      </w:r>
      <w:r w:rsidR="00FC07E7" w:rsidRPr="00DD5F33">
        <w:rPr>
          <w:rFonts w:ascii="Arial" w:hAnsi="Arial" w:cs="Arial"/>
          <w:color w:val="000000" w:themeColor="text1"/>
          <w:sz w:val="21"/>
          <w:szCs w:val="21"/>
          <w:lang w:val="es-ES_tradnl"/>
        </w:rPr>
        <w:t>Capítulo</w:t>
      </w:r>
      <w:r w:rsidR="000D4F79" w:rsidRPr="00DD5F33">
        <w:rPr>
          <w:rFonts w:ascii="Arial" w:hAnsi="Arial" w:cs="Arial"/>
          <w:color w:val="000000" w:themeColor="text1"/>
          <w:sz w:val="21"/>
          <w:szCs w:val="21"/>
          <w:lang w:val="es-ES_tradnl"/>
        </w:rPr>
        <w:t xml:space="preserve"> 2 del </w:t>
      </w:r>
      <w:r w:rsidR="00FC07E7" w:rsidRPr="00DD5F33">
        <w:rPr>
          <w:rFonts w:ascii="Arial" w:hAnsi="Arial" w:cs="Arial"/>
          <w:color w:val="000000" w:themeColor="text1"/>
          <w:sz w:val="21"/>
          <w:szCs w:val="21"/>
          <w:lang w:val="es-ES_tradnl"/>
        </w:rPr>
        <w:t>Título</w:t>
      </w:r>
      <w:r w:rsidR="000D4F79" w:rsidRPr="00DD5F33">
        <w:rPr>
          <w:rFonts w:ascii="Arial" w:hAnsi="Arial" w:cs="Arial"/>
          <w:color w:val="000000" w:themeColor="text1"/>
          <w:sz w:val="21"/>
          <w:szCs w:val="21"/>
          <w:lang w:val="es-ES_tradnl"/>
        </w:rPr>
        <w:t xml:space="preserve"> 1 de la Parte 2 del Libro 2 del Decreto 1082 de 2015. </w:t>
      </w:r>
      <w:r w:rsidR="00FC07E7" w:rsidRPr="00DD5F33">
        <w:rPr>
          <w:rFonts w:ascii="Arial" w:hAnsi="Arial" w:cs="Arial"/>
          <w:color w:val="000000" w:themeColor="text1"/>
          <w:sz w:val="21"/>
          <w:szCs w:val="21"/>
          <w:lang w:val="es-ES_tradnl"/>
        </w:rPr>
        <w:t>Adiciónense</w:t>
      </w:r>
      <w:r w:rsidR="000D4F79" w:rsidRPr="00DD5F33">
        <w:rPr>
          <w:rFonts w:ascii="Arial" w:hAnsi="Arial" w:cs="Arial"/>
          <w:color w:val="000000" w:themeColor="text1"/>
          <w:sz w:val="21"/>
          <w:szCs w:val="21"/>
          <w:lang w:val="es-ES_tradnl"/>
        </w:rPr>
        <w:t xml:space="preserve"> los </w:t>
      </w:r>
      <w:r w:rsidR="00FC07E7" w:rsidRPr="00DD5F33">
        <w:rPr>
          <w:rFonts w:ascii="Arial" w:hAnsi="Arial" w:cs="Arial"/>
          <w:color w:val="000000" w:themeColor="text1"/>
          <w:sz w:val="21"/>
          <w:szCs w:val="21"/>
          <w:lang w:val="es-ES_tradnl"/>
        </w:rPr>
        <w:t>artículos</w:t>
      </w:r>
      <w:r w:rsidR="000D4F79" w:rsidRPr="00DD5F33">
        <w:rPr>
          <w:rFonts w:ascii="Arial" w:hAnsi="Arial" w:cs="Arial"/>
          <w:color w:val="000000" w:themeColor="text1"/>
          <w:sz w:val="21"/>
          <w:szCs w:val="21"/>
          <w:lang w:val="es-ES_tradnl"/>
        </w:rPr>
        <w:t xml:space="preserve"> 2.2.1.2.4.2.14, 2.2.1.2.4.2.15, 2.2.1.2.4.2.16, 2.2.1.2.4.2.17 y 2.2.1.2.4.2.18 a la </w:t>
      </w:r>
      <w:r w:rsidR="00FC07E7" w:rsidRPr="00DD5F33">
        <w:rPr>
          <w:rFonts w:ascii="Arial" w:hAnsi="Arial" w:cs="Arial"/>
          <w:color w:val="000000" w:themeColor="text1"/>
          <w:sz w:val="21"/>
          <w:szCs w:val="21"/>
          <w:lang w:val="es-ES_tradnl"/>
        </w:rPr>
        <w:t>Subsección</w:t>
      </w:r>
      <w:r w:rsidR="000D4F79" w:rsidRPr="00DD5F33">
        <w:rPr>
          <w:rFonts w:ascii="Arial" w:hAnsi="Arial" w:cs="Arial"/>
          <w:color w:val="000000" w:themeColor="text1"/>
          <w:sz w:val="21"/>
          <w:szCs w:val="21"/>
          <w:lang w:val="es-ES_tradnl"/>
        </w:rPr>
        <w:t xml:space="preserve"> 2 de la </w:t>
      </w:r>
      <w:r w:rsidR="00FC07E7" w:rsidRPr="00DD5F33">
        <w:rPr>
          <w:rFonts w:ascii="Arial" w:hAnsi="Arial" w:cs="Arial"/>
          <w:color w:val="000000" w:themeColor="text1"/>
          <w:sz w:val="21"/>
          <w:szCs w:val="21"/>
          <w:lang w:val="es-ES_tradnl"/>
        </w:rPr>
        <w:t>Sección</w:t>
      </w:r>
      <w:r w:rsidR="000D4F79" w:rsidRPr="00DD5F33">
        <w:rPr>
          <w:rFonts w:ascii="Arial" w:hAnsi="Arial" w:cs="Arial"/>
          <w:color w:val="000000" w:themeColor="text1"/>
          <w:sz w:val="21"/>
          <w:szCs w:val="21"/>
          <w:lang w:val="es-ES_tradnl"/>
        </w:rPr>
        <w:t xml:space="preserve"> 4 del </w:t>
      </w:r>
      <w:r w:rsidR="00FC07E7" w:rsidRPr="00DD5F33">
        <w:rPr>
          <w:rFonts w:ascii="Arial" w:hAnsi="Arial" w:cs="Arial"/>
          <w:color w:val="000000" w:themeColor="text1"/>
          <w:sz w:val="21"/>
          <w:szCs w:val="21"/>
          <w:lang w:val="es-ES_tradnl"/>
        </w:rPr>
        <w:t>Capítulo</w:t>
      </w:r>
      <w:r w:rsidR="000D4F79" w:rsidRPr="00DD5F33">
        <w:rPr>
          <w:rFonts w:ascii="Arial" w:hAnsi="Arial" w:cs="Arial"/>
          <w:color w:val="000000" w:themeColor="text1"/>
          <w:sz w:val="21"/>
          <w:szCs w:val="21"/>
          <w:lang w:val="es-ES_tradnl"/>
        </w:rPr>
        <w:t xml:space="preserve"> 2 del </w:t>
      </w:r>
      <w:r w:rsidR="00FC07E7" w:rsidRPr="00DD5F33">
        <w:rPr>
          <w:rFonts w:ascii="Arial" w:hAnsi="Arial" w:cs="Arial"/>
          <w:color w:val="000000" w:themeColor="text1"/>
          <w:sz w:val="21"/>
          <w:szCs w:val="21"/>
          <w:lang w:val="es-ES_tradnl"/>
        </w:rPr>
        <w:t>Título</w:t>
      </w:r>
      <w:r w:rsidR="000D4F79" w:rsidRPr="00DD5F33">
        <w:rPr>
          <w:rFonts w:ascii="Arial" w:hAnsi="Arial" w:cs="Arial"/>
          <w:color w:val="000000" w:themeColor="text1"/>
          <w:sz w:val="21"/>
          <w:szCs w:val="21"/>
          <w:lang w:val="es-ES_tradnl"/>
        </w:rPr>
        <w:t xml:space="preserve"> 1 de la Parte 2 del Libro 2 del Decreto 1082 de 2015, los cuales </w:t>
      </w:r>
      <w:r w:rsidR="00FC07E7" w:rsidRPr="00DD5F33">
        <w:rPr>
          <w:rFonts w:ascii="Arial" w:hAnsi="Arial" w:cs="Arial"/>
          <w:color w:val="000000" w:themeColor="text1"/>
          <w:sz w:val="21"/>
          <w:szCs w:val="21"/>
          <w:lang w:val="es-ES_tradnl"/>
        </w:rPr>
        <w:t>quedarán</w:t>
      </w:r>
      <w:r w:rsidR="000D4F79" w:rsidRPr="00DD5F33">
        <w:rPr>
          <w:rFonts w:ascii="Arial" w:hAnsi="Arial" w:cs="Arial"/>
          <w:color w:val="000000" w:themeColor="text1"/>
          <w:sz w:val="21"/>
          <w:szCs w:val="21"/>
          <w:lang w:val="es-ES_tradnl"/>
        </w:rPr>
        <w:t xml:space="preserve"> </w:t>
      </w:r>
      <w:r w:rsidR="00FC07E7" w:rsidRPr="00DD5F33">
        <w:rPr>
          <w:rFonts w:ascii="Arial" w:hAnsi="Arial" w:cs="Arial"/>
          <w:color w:val="000000" w:themeColor="text1"/>
          <w:sz w:val="21"/>
          <w:szCs w:val="21"/>
          <w:lang w:val="es-ES_tradnl"/>
        </w:rPr>
        <w:t>así</w:t>
      </w:r>
      <w:r w:rsidR="000D4F79" w:rsidRPr="00DD5F33">
        <w:rPr>
          <w:rFonts w:ascii="Arial" w:hAnsi="Arial" w:cs="Arial"/>
          <w:color w:val="000000" w:themeColor="text1"/>
          <w:sz w:val="21"/>
          <w:szCs w:val="21"/>
          <w:lang w:val="es-ES_tradnl"/>
        </w:rPr>
        <w:t>.</w:t>
      </w:r>
    </w:p>
    <w:p w14:paraId="7DF1EF30" w14:textId="77777777" w:rsidR="00B60360" w:rsidRPr="00DD5F33" w:rsidRDefault="00B60360" w:rsidP="000D4F79">
      <w:pPr>
        <w:ind w:left="709" w:right="709"/>
        <w:jc w:val="both"/>
        <w:rPr>
          <w:rFonts w:ascii="Arial" w:hAnsi="Arial" w:cs="Arial"/>
          <w:color w:val="000000" w:themeColor="text1"/>
          <w:sz w:val="21"/>
          <w:szCs w:val="21"/>
          <w:lang w:val="es-ES_tradnl"/>
        </w:rPr>
      </w:pPr>
    </w:p>
    <w:p w14:paraId="75784B21" w14:textId="11685F67" w:rsidR="00C77FAB" w:rsidRPr="00DD5F33" w:rsidRDefault="00EB6C66" w:rsidP="000D4F7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0D4F79" w:rsidRPr="00DD5F33">
        <w:rPr>
          <w:rFonts w:ascii="Arial" w:hAnsi="Arial" w:cs="Arial"/>
          <w:color w:val="000000" w:themeColor="text1"/>
          <w:sz w:val="21"/>
          <w:szCs w:val="21"/>
          <w:lang w:val="es-ES_tradnl"/>
        </w:rPr>
        <w:t xml:space="preserve">(...) ARTÍCULO 2.2.1.2.4.2.16. Fomento a la </w:t>
      </w:r>
      <w:r w:rsidR="00FC07E7" w:rsidRPr="00DD5F33">
        <w:rPr>
          <w:rFonts w:ascii="Arial" w:hAnsi="Arial" w:cs="Arial"/>
          <w:color w:val="000000" w:themeColor="text1"/>
          <w:sz w:val="21"/>
          <w:szCs w:val="21"/>
          <w:lang w:val="es-ES_tradnl"/>
        </w:rPr>
        <w:t>ejecución</w:t>
      </w:r>
      <w:r w:rsidR="000D4F79" w:rsidRPr="00DD5F33">
        <w:rPr>
          <w:rFonts w:ascii="Arial" w:hAnsi="Arial" w:cs="Arial"/>
          <w:color w:val="000000" w:themeColor="text1"/>
          <w:sz w:val="21"/>
          <w:szCs w:val="21"/>
          <w:lang w:val="es-ES_tradnl"/>
        </w:rPr>
        <w:t xml:space="preserve"> de contratos estatales por parte de </w:t>
      </w:r>
      <w:r w:rsidR="00FC07E7" w:rsidRPr="00DD5F33">
        <w:rPr>
          <w:rFonts w:ascii="Arial" w:hAnsi="Arial" w:cs="Arial"/>
          <w:color w:val="000000" w:themeColor="text1"/>
          <w:sz w:val="21"/>
          <w:szCs w:val="21"/>
          <w:lang w:val="es-ES_tradnl"/>
        </w:rPr>
        <w:t>población</w:t>
      </w:r>
      <w:r w:rsidR="000D4F79" w:rsidRPr="00DD5F33">
        <w:rPr>
          <w:rFonts w:ascii="Arial" w:hAnsi="Arial" w:cs="Arial"/>
          <w:color w:val="000000" w:themeColor="text1"/>
          <w:sz w:val="21"/>
          <w:szCs w:val="21"/>
          <w:lang w:val="es-ES_tradnl"/>
        </w:rPr>
        <w:t xml:space="preserve"> en pobreza extrema, desplazados por la violencia, personas en proceso de </w:t>
      </w:r>
      <w:r w:rsidR="00FC07E7" w:rsidRPr="00DD5F33">
        <w:rPr>
          <w:rFonts w:ascii="Arial" w:hAnsi="Arial" w:cs="Arial"/>
          <w:color w:val="000000" w:themeColor="text1"/>
          <w:sz w:val="21"/>
          <w:szCs w:val="21"/>
          <w:lang w:val="es-ES_tradnl"/>
        </w:rPr>
        <w:t>reintegración</w:t>
      </w:r>
      <w:r w:rsidR="000D4F79" w:rsidRPr="00DD5F33">
        <w:rPr>
          <w:rFonts w:ascii="Arial" w:hAnsi="Arial" w:cs="Arial"/>
          <w:color w:val="000000" w:themeColor="text1"/>
          <w:sz w:val="21"/>
          <w:szCs w:val="21"/>
          <w:lang w:val="es-ES_tradnl"/>
        </w:rPr>
        <w:t xml:space="preserve"> o </w:t>
      </w:r>
      <w:r w:rsidR="00FC07E7" w:rsidRPr="00DD5F33">
        <w:rPr>
          <w:rFonts w:ascii="Arial" w:hAnsi="Arial" w:cs="Arial"/>
          <w:color w:val="000000" w:themeColor="text1"/>
          <w:sz w:val="21"/>
          <w:szCs w:val="21"/>
          <w:lang w:val="es-ES_tradnl"/>
        </w:rPr>
        <w:t>reincorporación</w:t>
      </w:r>
      <w:r w:rsidR="000D4F79" w:rsidRPr="00DD5F33">
        <w:rPr>
          <w:rFonts w:ascii="Arial" w:hAnsi="Arial" w:cs="Arial"/>
          <w:color w:val="000000" w:themeColor="text1"/>
          <w:sz w:val="21"/>
          <w:szCs w:val="21"/>
          <w:lang w:val="es-ES_tradnl"/>
        </w:rPr>
        <w:t xml:space="preserve"> y sujetos de especial </w:t>
      </w:r>
      <w:r w:rsidR="00FC07E7" w:rsidRPr="00DD5F33">
        <w:rPr>
          <w:rFonts w:ascii="Arial" w:hAnsi="Arial" w:cs="Arial"/>
          <w:color w:val="000000" w:themeColor="text1"/>
          <w:sz w:val="21"/>
          <w:szCs w:val="21"/>
          <w:lang w:val="es-ES_tradnl"/>
        </w:rPr>
        <w:t>protección</w:t>
      </w:r>
      <w:r w:rsidR="000D4F79" w:rsidRPr="00DD5F33">
        <w:rPr>
          <w:rFonts w:ascii="Arial" w:hAnsi="Arial" w:cs="Arial"/>
          <w:color w:val="000000" w:themeColor="text1"/>
          <w:sz w:val="21"/>
          <w:szCs w:val="21"/>
          <w:lang w:val="es-ES_tradnl"/>
        </w:rPr>
        <w:t xml:space="preserve"> </w:t>
      </w:r>
      <w:r w:rsidR="00FC07E7" w:rsidRPr="00DD5F33">
        <w:rPr>
          <w:rFonts w:ascii="Arial" w:hAnsi="Arial" w:cs="Arial"/>
          <w:color w:val="000000" w:themeColor="text1"/>
          <w:sz w:val="21"/>
          <w:szCs w:val="21"/>
          <w:lang w:val="es-ES_tradnl"/>
        </w:rPr>
        <w:t>constitucional. En</w:t>
      </w:r>
      <w:r w:rsidR="000D4F79" w:rsidRPr="00DD5F33">
        <w:rPr>
          <w:rFonts w:ascii="Arial" w:hAnsi="Arial" w:cs="Arial"/>
          <w:color w:val="000000" w:themeColor="text1"/>
          <w:sz w:val="21"/>
          <w:szCs w:val="21"/>
          <w:lang w:val="es-ES_tradnl"/>
        </w:rPr>
        <w:t xml:space="preserve"> los Procesos de </w:t>
      </w:r>
      <w:r w:rsidR="00FC07E7" w:rsidRPr="00DD5F33">
        <w:rPr>
          <w:rFonts w:ascii="Arial" w:hAnsi="Arial" w:cs="Arial"/>
          <w:color w:val="000000" w:themeColor="text1"/>
          <w:sz w:val="21"/>
          <w:szCs w:val="21"/>
          <w:lang w:val="es-ES_tradnl"/>
        </w:rPr>
        <w:t>Contratación</w:t>
      </w:r>
      <w:r w:rsidR="000D4F79" w:rsidRPr="00DD5F33">
        <w:rPr>
          <w:rFonts w:ascii="Arial" w:hAnsi="Arial" w:cs="Arial"/>
          <w:color w:val="000000" w:themeColor="text1"/>
          <w:sz w:val="21"/>
          <w:szCs w:val="21"/>
          <w:lang w:val="es-ES_tradnl"/>
        </w:rPr>
        <w:t xml:space="preserve">, las Entidades Estatales indistintamente de su </w:t>
      </w:r>
      <w:r w:rsidR="00FC07E7" w:rsidRPr="00DD5F33">
        <w:rPr>
          <w:rFonts w:ascii="Arial" w:hAnsi="Arial" w:cs="Arial"/>
          <w:color w:val="000000" w:themeColor="text1"/>
          <w:sz w:val="21"/>
          <w:szCs w:val="21"/>
          <w:lang w:val="es-ES_tradnl"/>
        </w:rPr>
        <w:t>régimen</w:t>
      </w:r>
      <w:r w:rsidR="000D4F79" w:rsidRPr="00DD5F33">
        <w:rPr>
          <w:rFonts w:ascii="Arial" w:hAnsi="Arial" w:cs="Arial"/>
          <w:color w:val="000000" w:themeColor="text1"/>
          <w:sz w:val="21"/>
          <w:szCs w:val="21"/>
          <w:lang w:val="es-ES_tradnl"/>
        </w:rPr>
        <w:t xml:space="preserve"> de </w:t>
      </w:r>
      <w:r w:rsidR="00FC07E7" w:rsidRPr="00DD5F33">
        <w:rPr>
          <w:rFonts w:ascii="Arial" w:hAnsi="Arial" w:cs="Arial"/>
          <w:color w:val="000000" w:themeColor="text1"/>
          <w:sz w:val="21"/>
          <w:szCs w:val="21"/>
          <w:lang w:val="es-ES_tradnl"/>
        </w:rPr>
        <w:t>contratación</w:t>
      </w:r>
      <w:r w:rsidR="000D4F79" w:rsidRPr="00DD5F33">
        <w:rPr>
          <w:rFonts w:ascii="Arial" w:hAnsi="Arial" w:cs="Arial"/>
          <w:color w:val="000000" w:themeColor="text1"/>
          <w:sz w:val="21"/>
          <w:szCs w:val="21"/>
          <w:lang w:val="es-ES_tradnl"/>
        </w:rPr>
        <w:t xml:space="preserve">, los patrimonios </w:t>
      </w:r>
      <w:r w:rsidR="00FC07E7" w:rsidRPr="00DD5F33">
        <w:rPr>
          <w:rFonts w:ascii="Arial" w:hAnsi="Arial" w:cs="Arial"/>
          <w:color w:val="000000" w:themeColor="text1"/>
          <w:sz w:val="21"/>
          <w:szCs w:val="21"/>
          <w:lang w:val="es-ES_tradnl"/>
        </w:rPr>
        <w:t>autónomos</w:t>
      </w:r>
      <w:r w:rsidR="000D4F79" w:rsidRPr="00DD5F33">
        <w:rPr>
          <w:rFonts w:ascii="Arial" w:hAnsi="Arial" w:cs="Arial"/>
          <w:color w:val="000000" w:themeColor="text1"/>
          <w:sz w:val="21"/>
          <w:szCs w:val="21"/>
          <w:lang w:val="es-ES_tradnl"/>
        </w:rPr>
        <w:t xml:space="preserve"> constituidos por Entidades Estatales y los particulares que ejecuten recursos </w:t>
      </w:r>
      <w:r w:rsidR="00FC07E7" w:rsidRPr="00DD5F33">
        <w:rPr>
          <w:rFonts w:ascii="Arial" w:hAnsi="Arial" w:cs="Arial"/>
          <w:color w:val="000000" w:themeColor="text1"/>
          <w:sz w:val="21"/>
          <w:szCs w:val="21"/>
          <w:lang w:val="es-ES_tradnl"/>
        </w:rPr>
        <w:t>públicos</w:t>
      </w:r>
      <w:r w:rsidR="000D4F79" w:rsidRPr="00DD5F33">
        <w:rPr>
          <w:rFonts w:ascii="Arial" w:hAnsi="Arial" w:cs="Arial"/>
          <w:color w:val="000000" w:themeColor="text1"/>
          <w:sz w:val="21"/>
          <w:szCs w:val="21"/>
          <w:lang w:val="es-ES_tradnl"/>
        </w:rPr>
        <w:t xml:space="preserve"> </w:t>
      </w:r>
      <w:r w:rsidR="00FC07E7" w:rsidRPr="00DD5F33">
        <w:rPr>
          <w:rFonts w:ascii="Arial" w:hAnsi="Arial" w:cs="Arial"/>
          <w:color w:val="000000" w:themeColor="text1"/>
          <w:sz w:val="21"/>
          <w:szCs w:val="21"/>
          <w:lang w:val="es-ES_tradnl"/>
        </w:rPr>
        <w:t>fomentarán</w:t>
      </w:r>
      <w:r w:rsidR="000D4F79" w:rsidRPr="00DD5F33">
        <w:rPr>
          <w:rFonts w:ascii="Arial" w:hAnsi="Arial" w:cs="Arial"/>
          <w:color w:val="000000" w:themeColor="text1"/>
          <w:sz w:val="21"/>
          <w:szCs w:val="21"/>
          <w:lang w:val="es-ES_tradnl"/>
        </w:rPr>
        <w:t xml:space="preserve"> en los pliegos de condiciones o documento equivalente que los contratistas destinen al cumplimiento del objeto contractual la </w:t>
      </w:r>
      <w:r w:rsidR="00FC07E7" w:rsidRPr="00DD5F33">
        <w:rPr>
          <w:rFonts w:ascii="Arial" w:hAnsi="Arial" w:cs="Arial"/>
          <w:color w:val="000000" w:themeColor="text1"/>
          <w:sz w:val="21"/>
          <w:szCs w:val="21"/>
          <w:lang w:val="es-ES_tradnl"/>
        </w:rPr>
        <w:t>provisión</w:t>
      </w:r>
      <w:r w:rsidR="000D4F79" w:rsidRPr="00DD5F33">
        <w:rPr>
          <w:rFonts w:ascii="Arial" w:hAnsi="Arial" w:cs="Arial"/>
          <w:color w:val="000000" w:themeColor="text1"/>
          <w:sz w:val="21"/>
          <w:szCs w:val="21"/>
          <w:lang w:val="es-ES_tradnl"/>
        </w:rPr>
        <w:t xml:space="preserve"> de bienes o servicios por parte de </w:t>
      </w:r>
      <w:r w:rsidR="00FC07E7" w:rsidRPr="00DD5F33">
        <w:rPr>
          <w:rFonts w:ascii="Arial" w:hAnsi="Arial" w:cs="Arial"/>
          <w:color w:val="000000" w:themeColor="text1"/>
          <w:sz w:val="21"/>
          <w:szCs w:val="21"/>
          <w:lang w:val="es-ES_tradnl"/>
        </w:rPr>
        <w:t>población</w:t>
      </w:r>
      <w:r w:rsidR="000D4F79" w:rsidRPr="00DD5F33">
        <w:rPr>
          <w:rFonts w:ascii="Arial" w:hAnsi="Arial" w:cs="Arial"/>
          <w:color w:val="000000" w:themeColor="text1"/>
          <w:sz w:val="21"/>
          <w:szCs w:val="21"/>
          <w:lang w:val="es-ES_tradnl"/>
        </w:rPr>
        <w:t xml:space="preserve"> en pobreza extrema, desplazados por la violencia, personas en proceso de </w:t>
      </w:r>
      <w:r w:rsidR="00FC07E7" w:rsidRPr="00DD5F33">
        <w:rPr>
          <w:rFonts w:ascii="Arial" w:hAnsi="Arial" w:cs="Arial"/>
          <w:color w:val="000000" w:themeColor="text1"/>
          <w:sz w:val="21"/>
          <w:szCs w:val="21"/>
          <w:lang w:val="es-ES_tradnl"/>
        </w:rPr>
        <w:t>reintegración</w:t>
      </w:r>
      <w:r w:rsidR="000D4F79" w:rsidRPr="00DD5F33">
        <w:rPr>
          <w:rFonts w:ascii="Arial" w:hAnsi="Arial" w:cs="Arial"/>
          <w:color w:val="000000" w:themeColor="text1"/>
          <w:sz w:val="21"/>
          <w:szCs w:val="21"/>
          <w:lang w:val="es-ES_tradnl"/>
        </w:rPr>
        <w:t xml:space="preserve"> o </w:t>
      </w:r>
      <w:r w:rsidR="00FC07E7" w:rsidRPr="00DD5F33">
        <w:rPr>
          <w:rFonts w:ascii="Arial" w:hAnsi="Arial" w:cs="Arial"/>
          <w:color w:val="000000" w:themeColor="text1"/>
          <w:sz w:val="21"/>
          <w:szCs w:val="21"/>
          <w:lang w:val="es-ES_tradnl"/>
        </w:rPr>
        <w:t>reincorporación</w:t>
      </w:r>
      <w:r w:rsidR="000D4F79" w:rsidRPr="00DD5F33">
        <w:rPr>
          <w:rFonts w:ascii="Arial" w:hAnsi="Arial" w:cs="Arial"/>
          <w:color w:val="000000" w:themeColor="text1"/>
          <w:sz w:val="21"/>
          <w:szCs w:val="21"/>
          <w:lang w:val="es-ES_tradnl"/>
        </w:rPr>
        <w:t xml:space="preserve"> y sujetos de especial </w:t>
      </w:r>
      <w:r w:rsidR="00FC07E7" w:rsidRPr="00DD5F33">
        <w:rPr>
          <w:rFonts w:ascii="Arial" w:hAnsi="Arial" w:cs="Arial"/>
          <w:color w:val="000000" w:themeColor="text1"/>
          <w:sz w:val="21"/>
          <w:szCs w:val="21"/>
          <w:lang w:val="es-ES_tradnl"/>
        </w:rPr>
        <w:t>protección</w:t>
      </w:r>
      <w:r w:rsidR="000D4F79" w:rsidRPr="00DD5F33">
        <w:rPr>
          <w:rFonts w:ascii="Arial" w:hAnsi="Arial" w:cs="Arial"/>
          <w:color w:val="000000" w:themeColor="text1"/>
          <w:sz w:val="21"/>
          <w:szCs w:val="21"/>
          <w:lang w:val="es-ES_tradnl"/>
        </w:rPr>
        <w:t xml:space="preserve"> constitucional, garantizando las condiciones de calidad y sin perjuicio de los Acuerdos Comerciales vigentes.</w:t>
      </w:r>
    </w:p>
    <w:p w14:paraId="07377B80" w14:textId="76899DB6" w:rsidR="00465745" w:rsidRPr="00DD5F33" w:rsidRDefault="00465745" w:rsidP="000D4F79">
      <w:pPr>
        <w:ind w:left="709" w:right="709"/>
        <w:jc w:val="both"/>
        <w:rPr>
          <w:rFonts w:ascii="Arial" w:hAnsi="Arial" w:cs="Arial"/>
          <w:color w:val="000000" w:themeColor="text1"/>
          <w:sz w:val="21"/>
          <w:szCs w:val="21"/>
          <w:lang w:val="es-ES_tradnl"/>
        </w:rPr>
      </w:pPr>
    </w:p>
    <w:p w14:paraId="7BAF82CE" w14:textId="6C20B853"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 xml:space="preserve">La </w:t>
      </w:r>
      <w:r w:rsidR="00573907" w:rsidRPr="00DD5F33">
        <w:rPr>
          <w:rFonts w:ascii="Arial" w:hAnsi="Arial" w:cs="Arial"/>
          <w:color w:val="000000" w:themeColor="text1"/>
          <w:sz w:val="21"/>
          <w:szCs w:val="21"/>
          <w:lang w:val="es-ES_tradnl"/>
        </w:rPr>
        <w:t>participación</w:t>
      </w:r>
      <w:r w:rsidR="00465745" w:rsidRPr="00DD5F33">
        <w:rPr>
          <w:rFonts w:ascii="Arial" w:hAnsi="Arial" w:cs="Arial"/>
          <w:color w:val="000000" w:themeColor="text1"/>
          <w:sz w:val="21"/>
          <w:szCs w:val="21"/>
          <w:lang w:val="es-ES_tradnl"/>
        </w:rPr>
        <w:t xml:space="preserve"> de los sujetos anteriormente mencionados en la </w:t>
      </w:r>
      <w:r w:rsidR="00573907" w:rsidRPr="00DD5F33">
        <w:rPr>
          <w:rFonts w:ascii="Arial" w:hAnsi="Arial" w:cs="Arial"/>
          <w:color w:val="000000" w:themeColor="text1"/>
          <w:sz w:val="21"/>
          <w:szCs w:val="21"/>
          <w:lang w:val="es-ES_tradnl"/>
        </w:rPr>
        <w:t>ejecución</w:t>
      </w:r>
      <w:r w:rsidR="00465745" w:rsidRPr="00DD5F33">
        <w:rPr>
          <w:rFonts w:ascii="Arial" w:hAnsi="Arial" w:cs="Arial"/>
          <w:color w:val="000000" w:themeColor="text1"/>
          <w:sz w:val="21"/>
          <w:szCs w:val="21"/>
          <w:lang w:val="es-ES_tradnl"/>
        </w:rPr>
        <w:t xml:space="preserve"> del contrato se fomentará previo </w:t>
      </w:r>
      <w:r w:rsidR="00573907" w:rsidRPr="00DD5F33">
        <w:rPr>
          <w:rFonts w:ascii="Arial" w:hAnsi="Arial" w:cs="Arial"/>
          <w:color w:val="000000" w:themeColor="text1"/>
          <w:sz w:val="21"/>
          <w:szCs w:val="21"/>
          <w:lang w:val="es-ES_tradnl"/>
        </w:rPr>
        <w:t>análisis</w:t>
      </w:r>
      <w:r w:rsidR="00465745" w:rsidRPr="00DD5F33">
        <w:rPr>
          <w:rFonts w:ascii="Arial" w:hAnsi="Arial" w:cs="Arial"/>
          <w:color w:val="000000" w:themeColor="text1"/>
          <w:sz w:val="21"/>
          <w:szCs w:val="21"/>
          <w:lang w:val="es-ES_tradnl"/>
        </w:rPr>
        <w:t xml:space="preserve"> de su oportunidad y conveniencia en los Documentos del Proceso, teniendo en cuenta el objeto contractual y el alcance de las obligaciones.</w:t>
      </w:r>
    </w:p>
    <w:p w14:paraId="535F904F" w14:textId="77777777" w:rsidR="00573907" w:rsidRPr="00DD5F33" w:rsidRDefault="00573907" w:rsidP="00465745">
      <w:pPr>
        <w:ind w:left="709" w:right="709"/>
        <w:jc w:val="both"/>
        <w:rPr>
          <w:rFonts w:ascii="Arial" w:hAnsi="Arial" w:cs="Arial"/>
          <w:color w:val="000000" w:themeColor="text1"/>
          <w:sz w:val="21"/>
          <w:szCs w:val="21"/>
          <w:lang w:val="es-ES_tradnl"/>
        </w:rPr>
      </w:pPr>
    </w:p>
    <w:p w14:paraId="173A1BBD" w14:textId="3E4C340D"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 xml:space="preserve">Esta </w:t>
      </w:r>
      <w:r w:rsidR="00573907" w:rsidRPr="00DD5F33">
        <w:rPr>
          <w:rFonts w:ascii="Arial" w:hAnsi="Arial" w:cs="Arial"/>
          <w:color w:val="000000" w:themeColor="text1"/>
          <w:sz w:val="21"/>
          <w:szCs w:val="21"/>
          <w:lang w:val="es-ES_tradnl"/>
        </w:rPr>
        <w:t>provisión</w:t>
      </w:r>
      <w:r w:rsidR="00465745" w:rsidRPr="00DD5F33">
        <w:rPr>
          <w:rFonts w:ascii="Arial" w:hAnsi="Arial" w:cs="Arial"/>
          <w:color w:val="000000" w:themeColor="text1"/>
          <w:sz w:val="21"/>
          <w:szCs w:val="21"/>
          <w:lang w:val="es-ES_tradnl"/>
        </w:rPr>
        <w:t xml:space="preserve"> se </w:t>
      </w:r>
      <w:r w:rsidR="00573907" w:rsidRPr="00DD5F33">
        <w:rPr>
          <w:rFonts w:ascii="Arial" w:hAnsi="Arial" w:cs="Arial"/>
          <w:color w:val="000000" w:themeColor="text1"/>
          <w:sz w:val="21"/>
          <w:szCs w:val="21"/>
          <w:lang w:val="es-ES_tradnl"/>
        </w:rPr>
        <w:t>establecerá</w:t>
      </w:r>
      <w:r w:rsidR="00465745" w:rsidRPr="00DD5F33">
        <w:rPr>
          <w:rFonts w:ascii="Arial" w:hAnsi="Arial" w:cs="Arial"/>
          <w:color w:val="000000" w:themeColor="text1"/>
          <w:sz w:val="21"/>
          <w:szCs w:val="21"/>
          <w:lang w:val="es-ES_tradnl"/>
        </w:rPr>
        <w:t xml:space="preserve"> en un porcentaje que no </w:t>
      </w:r>
      <w:r w:rsidR="007E4EC4" w:rsidRPr="00DD5F33">
        <w:rPr>
          <w:rFonts w:ascii="Arial" w:hAnsi="Arial" w:cs="Arial"/>
          <w:color w:val="000000" w:themeColor="text1"/>
          <w:sz w:val="21"/>
          <w:szCs w:val="21"/>
          <w:lang w:val="es-ES_tradnl"/>
        </w:rPr>
        <w:t>será</w:t>
      </w:r>
      <w:r w:rsidR="00465745" w:rsidRPr="00DD5F33">
        <w:rPr>
          <w:rFonts w:ascii="Arial" w:hAnsi="Arial" w:cs="Arial"/>
          <w:color w:val="000000" w:themeColor="text1"/>
          <w:sz w:val="21"/>
          <w:szCs w:val="21"/>
          <w:lang w:val="es-ES_tradnl"/>
        </w:rPr>
        <w:t xml:space="preserve"> superior al diez por ciento (10%) ni inferior al cinco por ciento (5%) de los bienes o servicios requeridos para la </w:t>
      </w:r>
      <w:r w:rsidR="007E4EC4" w:rsidRPr="00DD5F33">
        <w:rPr>
          <w:rFonts w:ascii="Arial" w:hAnsi="Arial" w:cs="Arial"/>
          <w:color w:val="000000" w:themeColor="text1"/>
          <w:sz w:val="21"/>
          <w:szCs w:val="21"/>
          <w:lang w:val="es-ES_tradnl"/>
        </w:rPr>
        <w:t>ejecución</w:t>
      </w:r>
      <w:r w:rsidR="00465745" w:rsidRPr="00DD5F33">
        <w:rPr>
          <w:rFonts w:ascii="Arial" w:hAnsi="Arial" w:cs="Arial"/>
          <w:color w:val="000000" w:themeColor="text1"/>
          <w:sz w:val="21"/>
          <w:szCs w:val="21"/>
          <w:lang w:val="es-ES_tradnl"/>
        </w:rPr>
        <w:t xml:space="preserve"> del contrato, de manera que no se ponga en riesgo su cumplimiento adecuado.</w:t>
      </w:r>
    </w:p>
    <w:p w14:paraId="48F4C3CF" w14:textId="77777777" w:rsidR="007E4EC4" w:rsidRPr="00DD5F33" w:rsidRDefault="007E4EC4" w:rsidP="00465745">
      <w:pPr>
        <w:ind w:left="709" w:right="709"/>
        <w:jc w:val="both"/>
        <w:rPr>
          <w:rFonts w:ascii="Arial" w:hAnsi="Arial" w:cs="Arial"/>
          <w:color w:val="000000" w:themeColor="text1"/>
          <w:sz w:val="21"/>
          <w:szCs w:val="21"/>
          <w:lang w:val="es-ES_tradnl"/>
        </w:rPr>
      </w:pPr>
    </w:p>
    <w:p w14:paraId="2B46E1BA" w14:textId="0C759FC8"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 xml:space="preserve">Previo </w:t>
      </w:r>
      <w:r w:rsidR="007E4EC4" w:rsidRPr="00DD5F33">
        <w:rPr>
          <w:rFonts w:ascii="Arial" w:hAnsi="Arial" w:cs="Arial"/>
          <w:color w:val="000000" w:themeColor="text1"/>
          <w:sz w:val="21"/>
          <w:szCs w:val="21"/>
          <w:lang w:val="es-ES_tradnl"/>
        </w:rPr>
        <w:t>análisis</w:t>
      </w:r>
      <w:r w:rsidR="00465745" w:rsidRPr="00DD5F33">
        <w:rPr>
          <w:rFonts w:ascii="Arial" w:hAnsi="Arial" w:cs="Arial"/>
          <w:color w:val="000000" w:themeColor="text1"/>
          <w:sz w:val="21"/>
          <w:szCs w:val="21"/>
          <w:lang w:val="es-ES_tradnl"/>
        </w:rPr>
        <w:t xml:space="preserve"> de oportunidad y conveniencia, la Entidad Estatal incorporará esta </w:t>
      </w:r>
      <w:r w:rsidR="007E4EC4" w:rsidRPr="00DD5F33">
        <w:rPr>
          <w:rFonts w:ascii="Arial" w:hAnsi="Arial" w:cs="Arial"/>
          <w:color w:val="000000" w:themeColor="text1"/>
          <w:sz w:val="21"/>
          <w:szCs w:val="21"/>
          <w:lang w:val="es-ES_tradnl"/>
        </w:rPr>
        <w:t>obligación</w:t>
      </w:r>
      <w:r w:rsidR="00465745" w:rsidRPr="00DD5F33">
        <w:rPr>
          <w:rFonts w:ascii="Arial" w:hAnsi="Arial" w:cs="Arial"/>
          <w:color w:val="000000" w:themeColor="text1"/>
          <w:sz w:val="21"/>
          <w:szCs w:val="21"/>
          <w:lang w:val="es-ES_tradnl"/>
        </w:rPr>
        <w:t xml:space="preserve"> en la minuta del contrato del pliego de condiciones o documento equivalente, precisando las sanciones pecuniarias producto del incumplimiento injustificado de esta a </w:t>
      </w:r>
      <w:r w:rsidR="007E4EC4" w:rsidRPr="00DD5F33">
        <w:rPr>
          <w:rFonts w:ascii="Arial" w:hAnsi="Arial" w:cs="Arial"/>
          <w:color w:val="000000" w:themeColor="text1"/>
          <w:sz w:val="21"/>
          <w:szCs w:val="21"/>
          <w:lang w:val="es-ES_tradnl"/>
        </w:rPr>
        <w:t>través</w:t>
      </w:r>
      <w:r w:rsidR="00465745" w:rsidRPr="00DD5F33">
        <w:rPr>
          <w:rFonts w:ascii="Arial" w:hAnsi="Arial" w:cs="Arial"/>
          <w:color w:val="000000" w:themeColor="text1"/>
          <w:sz w:val="21"/>
          <w:szCs w:val="21"/>
          <w:lang w:val="es-ES_tradnl"/>
        </w:rPr>
        <w:t xml:space="preserve"> de las causales de multa que estime pertinentes.</w:t>
      </w:r>
    </w:p>
    <w:p w14:paraId="2A74C421" w14:textId="77777777" w:rsidR="00AB2B0B" w:rsidRPr="00DD5F33" w:rsidRDefault="00AB2B0B" w:rsidP="00465745">
      <w:pPr>
        <w:ind w:left="709" w:right="709"/>
        <w:jc w:val="both"/>
        <w:rPr>
          <w:rFonts w:ascii="Arial" w:hAnsi="Arial" w:cs="Arial"/>
          <w:color w:val="000000" w:themeColor="text1"/>
          <w:sz w:val="21"/>
          <w:szCs w:val="21"/>
          <w:lang w:val="es-ES_tradnl"/>
        </w:rPr>
      </w:pPr>
    </w:p>
    <w:p w14:paraId="594E5BA9" w14:textId="177F72F5"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 xml:space="preserve">El supervisor o el interventor, </w:t>
      </w:r>
      <w:r w:rsidR="00AB2B0B" w:rsidRPr="00DD5F33">
        <w:rPr>
          <w:rFonts w:ascii="Arial" w:hAnsi="Arial" w:cs="Arial"/>
          <w:color w:val="000000" w:themeColor="text1"/>
          <w:sz w:val="21"/>
          <w:szCs w:val="21"/>
          <w:lang w:val="es-ES_tradnl"/>
        </w:rPr>
        <w:t>según</w:t>
      </w:r>
      <w:r w:rsidR="00465745" w:rsidRPr="00DD5F33">
        <w:rPr>
          <w:rFonts w:ascii="Arial" w:hAnsi="Arial" w:cs="Arial"/>
          <w:color w:val="000000" w:themeColor="text1"/>
          <w:sz w:val="21"/>
          <w:szCs w:val="21"/>
          <w:lang w:val="es-ES_tradnl"/>
        </w:rPr>
        <w:t xml:space="preserve"> el caso, realizará el seguimiento y verificará que las personas vinculadas al inicio y durante la </w:t>
      </w:r>
      <w:r w:rsidR="00AB2B0B" w:rsidRPr="00DD5F33">
        <w:rPr>
          <w:rFonts w:ascii="Arial" w:hAnsi="Arial" w:cs="Arial"/>
          <w:color w:val="000000" w:themeColor="text1"/>
          <w:sz w:val="21"/>
          <w:szCs w:val="21"/>
          <w:lang w:val="es-ES_tradnl"/>
        </w:rPr>
        <w:t>ejecución</w:t>
      </w:r>
      <w:r w:rsidR="00465745" w:rsidRPr="00DD5F33">
        <w:rPr>
          <w:rFonts w:ascii="Arial" w:hAnsi="Arial" w:cs="Arial"/>
          <w:color w:val="000000" w:themeColor="text1"/>
          <w:sz w:val="21"/>
          <w:szCs w:val="21"/>
          <w:lang w:val="es-ES_tradnl"/>
        </w:rPr>
        <w:t xml:space="preserve"> del contrato pertenezcan a los grupos poblacionales enunciados anteriormente. (...)”</w:t>
      </w:r>
    </w:p>
    <w:p w14:paraId="5BC9F14D" w14:textId="77777777" w:rsidR="00AB2B0B" w:rsidRPr="00DD5F33" w:rsidRDefault="00AB2B0B" w:rsidP="00465745">
      <w:pPr>
        <w:ind w:left="709" w:right="709"/>
        <w:jc w:val="both"/>
        <w:rPr>
          <w:rFonts w:ascii="Arial" w:hAnsi="Arial" w:cs="Arial"/>
          <w:color w:val="000000" w:themeColor="text1"/>
          <w:sz w:val="21"/>
          <w:szCs w:val="21"/>
          <w:lang w:val="es-ES_tradnl"/>
        </w:rPr>
      </w:pPr>
    </w:p>
    <w:p w14:paraId="2E1F39FD" w14:textId="0F69D66E"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Al respecto se consulta:</w:t>
      </w:r>
    </w:p>
    <w:p w14:paraId="0BAAB0EA" w14:textId="77777777" w:rsidR="00AB2B0B" w:rsidRPr="00DD5F33" w:rsidRDefault="00AB2B0B" w:rsidP="00465745">
      <w:pPr>
        <w:ind w:left="709" w:right="709"/>
        <w:jc w:val="both"/>
        <w:rPr>
          <w:rFonts w:ascii="Arial" w:hAnsi="Arial" w:cs="Arial"/>
          <w:color w:val="000000" w:themeColor="text1"/>
          <w:sz w:val="21"/>
          <w:szCs w:val="21"/>
          <w:lang w:val="es-ES_tradnl"/>
        </w:rPr>
      </w:pPr>
    </w:p>
    <w:p w14:paraId="3C577252" w14:textId="6A5400FE" w:rsidR="00DF1BE8" w:rsidRPr="00DD5F33" w:rsidRDefault="00EB6C66" w:rsidP="00DF1BE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w:t>
      </w:r>
      <w:r w:rsidR="00465745" w:rsidRPr="00DD5F33">
        <w:rPr>
          <w:rFonts w:ascii="Arial" w:hAnsi="Arial" w:cs="Arial"/>
          <w:color w:val="000000" w:themeColor="text1"/>
          <w:sz w:val="21"/>
          <w:szCs w:val="21"/>
          <w:lang w:val="es-ES_tradnl"/>
        </w:rPr>
        <w:t xml:space="preserve">1. ¿Qué documento </w:t>
      </w:r>
      <w:r w:rsidR="00AB2B0B" w:rsidRPr="00DD5F33">
        <w:rPr>
          <w:rFonts w:ascii="Arial" w:hAnsi="Arial" w:cs="Arial"/>
          <w:color w:val="000000" w:themeColor="text1"/>
          <w:sz w:val="21"/>
          <w:szCs w:val="21"/>
          <w:lang w:val="es-ES_tradnl"/>
        </w:rPr>
        <w:t>público</w:t>
      </w:r>
      <w:r w:rsidR="00465745" w:rsidRPr="00DD5F33">
        <w:rPr>
          <w:rFonts w:ascii="Arial" w:hAnsi="Arial" w:cs="Arial"/>
          <w:color w:val="000000" w:themeColor="text1"/>
          <w:sz w:val="21"/>
          <w:szCs w:val="21"/>
          <w:lang w:val="es-ES_tradnl"/>
        </w:rPr>
        <w:t xml:space="preserve"> y que Entidad de orden Nacional y/o Distrital </w:t>
      </w:r>
      <w:r w:rsidR="00AB2B0B" w:rsidRPr="00DD5F33">
        <w:rPr>
          <w:rFonts w:ascii="Arial" w:hAnsi="Arial" w:cs="Arial"/>
          <w:color w:val="000000" w:themeColor="text1"/>
          <w:sz w:val="21"/>
          <w:szCs w:val="21"/>
          <w:lang w:val="es-ES_tradnl"/>
        </w:rPr>
        <w:t>emitirá</w:t>
      </w:r>
      <w:r w:rsidR="00465745" w:rsidRPr="00DD5F33">
        <w:rPr>
          <w:rFonts w:ascii="Arial" w:hAnsi="Arial" w:cs="Arial"/>
          <w:color w:val="000000" w:themeColor="text1"/>
          <w:sz w:val="21"/>
          <w:szCs w:val="21"/>
          <w:lang w:val="es-ES_tradnl"/>
        </w:rPr>
        <w:t xml:space="preserve"> la </w:t>
      </w:r>
      <w:r w:rsidR="00AB2B0B" w:rsidRPr="00DD5F33">
        <w:rPr>
          <w:rFonts w:ascii="Arial" w:hAnsi="Arial" w:cs="Arial"/>
          <w:color w:val="000000" w:themeColor="text1"/>
          <w:sz w:val="21"/>
          <w:szCs w:val="21"/>
          <w:lang w:val="es-ES_tradnl"/>
        </w:rPr>
        <w:t>acreditación</w:t>
      </w:r>
      <w:r w:rsidR="00465745" w:rsidRPr="00DD5F33">
        <w:rPr>
          <w:rFonts w:ascii="Arial" w:hAnsi="Arial" w:cs="Arial"/>
          <w:color w:val="000000" w:themeColor="text1"/>
          <w:sz w:val="21"/>
          <w:szCs w:val="21"/>
          <w:lang w:val="es-ES_tradnl"/>
        </w:rPr>
        <w:t xml:space="preserve"> de los sujetos de especial </w:t>
      </w:r>
      <w:r w:rsidR="00AB2B0B" w:rsidRPr="00DD5F33">
        <w:rPr>
          <w:rFonts w:ascii="Arial" w:hAnsi="Arial" w:cs="Arial"/>
          <w:color w:val="000000" w:themeColor="text1"/>
          <w:sz w:val="21"/>
          <w:szCs w:val="21"/>
          <w:lang w:val="es-ES_tradnl"/>
        </w:rPr>
        <w:t>protección</w:t>
      </w:r>
      <w:r w:rsidR="00465745" w:rsidRPr="00DD5F33">
        <w:rPr>
          <w:rFonts w:ascii="Arial" w:hAnsi="Arial" w:cs="Arial"/>
          <w:color w:val="000000" w:themeColor="text1"/>
          <w:sz w:val="21"/>
          <w:szCs w:val="21"/>
          <w:lang w:val="es-ES_tradnl"/>
        </w:rPr>
        <w:t xml:space="preserve"> constitucional? ¿Qué documentos adicionales se </w:t>
      </w:r>
      <w:r w:rsidR="00AB2B0B" w:rsidRPr="00DD5F33">
        <w:rPr>
          <w:rFonts w:ascii="Arial" w:hAnsi="Arial" w:cs="Arial"/>
          <w:color w:val="000000" w:themeColor="text1"/>
          <w:sz w:val="21"/>
          <w:szCs w:val="21"/>
          <w:lang w:val="es-ES_tradnl"/>
        </w:rPr>
        <w:t>deberán</w:t>
      </w:r>
      <w:r w:rsidR="00465745" w:rsidRPr="00DD5F33">
        <w:rPr>
          <w:rFonts w:ascii="Arial" w:hAnsi="Arial" w:cs="Arial"/>
          <w:color w:val="000000" w:themeColor="text1"/>
          <w:sz w:val="21"/>
          <w:szCs w:val="21"/>
          <w:lang w:val="es-ES_tradnl"/>
        </w:rPr>
        <w:t xml:space="preserve"> presentar para acreditar la </w:t>
      </w:r>
      <w:r w:rsidR="00AB2B0B" w:rsidRPr="00DD5F33">
        <w:rPr>
          <w:rFonts w:ascii="Arial" w:hAnsi="Arial" w:cs="Arial"/>
          <w:color w:val="000000" w:themeColor="text1"/>
          <w:sz w:val="21"/>
          <w:szCs w:val="21"/>
          <w:lang w:val="es-ES_tradnl"/>
        </w:rPr>
        <w:t>condición</w:t>
      </w:r>
      <w:r w:rsidR="00465745" w:rsidRPr="00DD5F33">
        <w:rPr>
          <w:rFonts w:ascii="Arial" w:hAnsi="Arial" w:cs="Arial"/>
          <w:color w:val="000000" w:themeColor="text1"/>
          <w:sz w:val="21"/>
          <w:szCs w:val="21"/>
          <w:lang w:val="es-ES_tradnl"/>
        </w:rPr>
        <w:t xml:space="preserve"> especial? ¿La </w:t>
      </w:r>
      <w:r w:rsidR="00AB2B0B" w:rsidRPr="00DD5F33">
        <w:rPr>
          <w:rFonts w:ascii="Arial" w:hAnsi="Arial" w:cs="Arial"/>
          <w:color w:val="000000" w:themeColor="text1"/>
          <w:sz w:val="21"/>
          <w:szCs w:val="21"/>
          <w:lang w:val="es-ES_tradnl"/>
        </w:rPr>
        <w:t>documentación</w:t>
      </w:r>
      <w:r w:rsidR="00465745" w:rsidRPr="00DD5F33">
        <w:rPr>
          <w:rFonts w:ascii="Arial" w:hAnsi="Arial" w:cs="Arial"/>
          <w:color w:val="000000" w:themeColor="text1"/>
          <w:sz w:val="21"/>
          <w:szCs w:val="21"/>
          <w:lang w:val="es-ES_tradnl"/>
        </w:rPr>
        <w:t xml:space="preserve"> para acreditar la </w:t>
      </w:r>
      <w:r w:rsidR="00AB2B0B" w:rsidRPr="00DD5F33">
        <w:rPr>
          <w:rFonts w:ascii="Arial" w:hAnsi="Arial" w:cs="Arial"/>
          <w:color w:val="000000" w:themeColor="text1"/>
          <w:sz w:val="21"/>
          <w:szCs w:val="21"/>
          <w:lang w:val="es-ES_tradnl"/>
        </w:rPr>
        <w:t>condición</w:t>
      </w:r>
      <w:r w:rsidR="00465745" w:rsidRPr="00DD5F33">
        <w:rPr>
          <w:rFonts w:ascii="Arial" w:hAnsi="Arial" w:cs="Arial"/>
          <w:color w:val="000000" w:themeColor="text1"/>
          <w:sz w:val="21"/>
          <w:szCs w:val="21"/>
          <w:lang w:val="es-ES_tradnl"/>
        </w:rPr>
        <w:t xml:space="preserve"> especial de </w:t>
      </w:r>
      <w:r w:rsidR="00AB2B0B" w:rsidRPr="00DD5F33">
        <w:rPr>
          <w:rFonts w:ascii="Arial" w:hAnsi="Arial" w:cs="Arial"/>
          <w:color w:val="000000" w:themeColor="text1"/>
          <w:sz w:val="21"/>
          <w:szCs w:val="21"/>
          <w:lang w:val="es-ES_tradnl"/>
        </w:rPr>
        <w:t>protección</w:t>
      </w:r>
      <w:r w:rsidR="00465745" w:rsidRPr="00DD5F33">
        <w:rPr>
          <w:rFonts w:ascii="Arial" w:hAnsi="Arial" w:cs="Arial"/>
          <w:color w:val="000000" w:themeColor="text1"/>
          <w:sz w:val="21"/>
          <w:szCs w:val="21"/>
          <w:lang w:val="es-ES_tradnl"/>
        </w:rPr>
        <w:t xml:space="preserve"> constitucional </w:t>
      </w:r>
      <w:r w:rsidR="00AB2B0B" w:rsidRPr="00DD5F33">
        <w:rPr>
          <w:rFonts w:ascii="Arial" w:hAnsi="Arial" w:cs="Arial"/>
          <w:color w:val="000000" w:themeColor="text1"/>
          <w:sz w:val="21"/>
          <w:szCs w:val="21"/>
          <w:lang w:val="es-ES_tradnl"/>
        </w:rPr>
        <w:t>podrá</w:t>
      </w:r>
      <w:r w:rsidR="00465745" w:rsidRPr="00DD5F33">
        <w:rPr>
          <w:rFonts w:ascii="Arial" w:hAnsi="Arial" w:cs="Arial"/>
          <w:color w:val="000000" w:themeColor="text1"/>
          <w:sz w:val="21"/>
          <w:szCs w:val="21"/>
          <w:lang w:val="es-ES_tradnl"/>
        </w:rPr>
        <w:t xml:space="preserve"> ser publicada en SECOP para co</w:t>
      </w:r>
      <w:r w:rsidR="006505BE" w:rsidRPr="00DD5F33">
        <w:rPr>
          <w:rFonts w:ascii="Arial" w:hAnsi="Arial" w:cs="Arial"/>
          <w:color w:val="000000" w:themeColor="text1"/>
          <w:sz w:val="21"/>
          <w:szCs w:val="21"/>
          <w:lang w:val="es-ES_tradnl"/>
        </w:rPr>
        <w:t xml:space="preserve"> (sic)</w:t>
      </w:r>
    </w:p>
    <w:p w14:paraId="4C56BB43" w14:textId="240DB14C" w:rsidR="00465745" w:rsidRPr="00DD5F33" w:rsidRDefault="00465745" w:rsidP="00DF1BE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2. nocimiento de terceros o </w:t>
      </w:r>
      <w:r w:rsidR="008D510F" w:rsidRPr="00DD5F33">
        <w:rPr>
          <w:rFonts w:ascii="Arial" w:hAnsi="Arial" w:cs="Arial"/>
          <w:color w:val="000000" w:themeColor="text1"/>
          <w:sz w:val="21"/>
          <w:szCs w:val="21"/>
          <w:lang w:val="es-ES_tradnl"/>
        </w:rPr>
        <w:t>afectaría</w:t>
      </w:r>
      <w:r w:rsidRPr="00DD5F33">
        <w:rPr>
          <w:rFonts w:ascii="Arial" w:hAnsi="Arial" w:cs="Arial"/>
          <w:color w:val="000000" w:themeColor="text1"/>
          <w:sz w:val="21"/>
          <w:szCs w:val="21"/>
          <w:lang w:val="es-ES_tradnl"/>
        </w:rPr>
        <w:t xml:space="preserve"> el derecho a la intimidad de los sujetos?</w:t>
      </w:r>
      <w:r w:rsidR="006505BE" w:rsidRPr="00DD5F33">
        <w:rPr>
          <w:rFonts w:ascii="Arial" w:hAnsi="Arial" w:cs="Arial"/>
          <w:color w:val="000000" w:themeColor="text1"/>
          <w:sz w:val="21"/>
          <w:szCs w:val="21"/>
          <w:lang w:val="es-ES_tradnl"/>
        </w:rPr>
        <w:t xml:space="preserve"> (sic)</w:t>
      </w:r>
    </w:p>
    <w:p w14:paraId="58C5E458" w14:textId="77777777" w:rsidR="006505BE" w:rsidRPr="00DD5F33" w:rsidRDefault="006505BE" w:rsidP="00465745">
      <w:pPr>
        <w:ind w:left="709" w:right="709"/>
        <w:jc w:val="both"/>
        <w:rPr>
          <w:rFonts w:ascii="Arial" w:hAnsi="Arial" w:cs="Arial"/>
          <w:color w:val="000000" w:themeColor="text1"/>
          <w:sz w:val="21"/>
          <w:szCs w:val="21"/>
          <w:lang w:val="es-ES_tradnl"/>
        </w:rPr>
      </w:pPr>
    </w:p>
    <w:p w14:paraId="365AE2C4" w14:textId="33B6F19B"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3.</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¿Qué</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fuentes</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de</w:t>
      </w:r>
      <w:r w:rsidR="006505BE" w:rsidRPr="00DD5F33">
        <w:rPr>
          <w:rFonts w:ascii="Arial" w:hAnsi="Arial" w:cs="Arial"/>
          <w:color w:val="000000" w:themeColor="text1"/>
          <w:sz w:val="21"/>
          <w:szCs w:val="21"/>
          <w:lang w:val="es-ES_tradnl"/>
        </w:rPr>
        <w:t xml:space="preserve"> información </w:t>
      </w:r>
      <w:r w:rsidR="00465745" w:rsidRPr="00DD5F33">
        <w:rPr>
          <w:rFonts w:ascii="Arial" w:hAnsi="Arial" w:cs="Arial"/>
          <w:color w:val="000000" w:themeColor="text1"/>
          <w:sz w:val="21"/>
          <w:szCs w:val="21"/>
          <w:lang w:val="es-ES_tradnl"/>
        </w:rPr>
        <w:t>pueden</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consultar</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las</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entidades</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para</w:t>
      </w:r>
      <w:r w:rsidR="006505BE"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 xml:space="preserve">identificar bienes, servicios y la </w:t>
      </w:r>
      <w:r w:rsidR="006505BE" w:rsidRPr="00DD5F33">
        <w:rPr>
          <w:rFonts w:ascii="Arial" w:hAnsi="Arial" w:cs="Arial"/>
          <w:color w:val="000000" w:themeColor="text1"/>
          <w:sz w:val="21"/>
          <w:szCs w:val="21"/>
          <w:lang w:val="es-ES_tradnl"/>
        </w:rPr>
        <w:t>participación</w:t>
      </w:r>
      <w:r w:rsidR="00465745" w:rsidRPr="00DD5F33">
        <w:rPr>
          <w:rFonts w:ascii="Arial" w:hAnsi="Arial" w:cs="Arial"/>
          <w:color w:val="000000" w:themeColor="text1"/>
          <w:sz w:val="21"/>
          <w:szCs w:val="21"/>
          <w:lang w:val="es-ES_tradnl"/>
        </w:rPr>
        <w:t xml:space="preserve"> en la </w:t>
      </w:r>
      <w:r w:rsidR="006505BE" w:rsidRPr="00DD5F33">
        <w:rPr>
          <w:rFonts w:ascii="Arial" w:hAnsi="Arial" w:cs="Arial"/>
          <w:color w:val="000000" w:themeColor="text1"/>
          <w:sz w:val="21"/>
          <w:szCs w:val="21"/>
          <w:lang w:val="es-ES_tradnl"/>
        </w:rPr>
        <w:t>economía</w:t>
      </w:r>
      <w:r w:rsidR="00465745" w:rsidRPr="00DD5F33">
        <w:rPr>
          <w:rFonts w:ascii="Arial" w:hAnsi="Arial" w:cs="Arial"/>
          <w:color w:val="000000" w:themeColor="text1"/>
          <w:sz w:val="21"/>
          <w:szCs w:val="21"/>
          <w:lang w:val="es-ES_tradnl"/>
        </w:rPr>
        <w:t xml:space="preserve"> y en los sectores de la </w:t>
      </w:r>
      <w:r w:rsidR="006505BE" w:rsidRPr="00DD5F33">
        <w:rPr>
          <w:rFonts w:ascii="Arial" w:hAnsi="Arial" w:cs="Arial"/>
          <w:color w:val="000000" w:themeColor="text1"/>
          <w:sz w:val="21"/>
          <w:szCs w:val="21"/>
          <w:lang w:val="es-ES_tradnl"/>
        </w:rPr>
        <w:t>población</w:t>
      </w:r>
      <w:r w:rsidR="00465745" w:rsidRPr="00DD5F33">
        <w:rPr>
          <w:rFonts w:ascii="Arial" w:hAnsi="Arial" w:cs="Arial"/>
          <w:color w:val="000000" w:themeColor="text1"/>
          <w:sz w:val="21"/>
          <w:szCs w:val="21"/>
          <w:lang w:val="es-ES_tradnl"/>
        </w:rPr>
        <w:t xml:space="preserve"> en pobreza extrema, desplazados por la violencia, personas en proceso de </w:t>
      </w:r>
      <w:r w:rsidR="006505BE" w:rsidRPr="00DD5F33">
        <w:rPr>
          <w:rFonts w:ascii="Arial" w:hAnsi="Arial" w:cs="Arial"/>
          <w:color w:val="000000" w:themeColor="text1"/>
          <w:sz w:val="21"/>
          <w:szCs w:val="21"/>
          <w:lang w:val="es-ES_tradnl"/>
        </w:rPr>
        <w:t>reintegración</w:t>
      </w:r>
      <w:r w:rsidR="00465745" w:rsidRPr="00DD5F33">
        <w:rPr>
          <w:rFonts w:ascii="Arial" w:hAnsi="Arial" w:cs="Arial"/>
          <w:color w:val="000000" w:themeColor="text1"/>
          <w:sz w:val="21"/>
          <w:szCs w:val="21"/>
          <w:lang w:val="es-ES_tradnl"/>
        </w:rPr>
        <w:t xml:space="preserve"> o </w:t>
      </w:r>
      <w:r w:rsidR="006505BE" w:rsidRPr="00DD5F33">
        <w:rPr>
          <w:rFonts w:ascii="Arial" w:hAnsi="Arial" w:cs="Arial"/>
          <w:color w:val="000000" w:themeColor="text1"/>
          <w:sz w:val="21"/>
          <w:szCs w:val="21"/>
          <w:lang w:val="es-ES_tradnl"/>
        </w:rPr>
        <w:t>reincorporación</w:t>
      </w:r>
      <w:r w:rsidR="00465745" w:rsidRPr="00DD5F33">
        <w:rPr>
          <w:rFonts w:ascii="Arial" w:hAnsi="Arial" w:cs="Arial"/>
          <w:color w:val="000000" w:themeColor="text1"/>
          <w:sz w:val="21"/>
          <w:szCs w:val="21"/>
          <w:lang w:val="es-ES_tradnl"/>
        </w:rPr>
        <w:t xml:space="preserve"> y sujetos de especial </w:t>
      </w:r>
      <w:r w:rsidR="008D510F" w:rsidRPr="00DD5F33">
        <w:rPr>
          <w:rFonts w:ascii="Arial" w:hAnsi="Arial" w:cs="Arial"/>
          <w:color w:val="000000" w:themeColor="text1"/>
          <w:sz w:val="21"/>
          <w:szCs w:val="21"/>
          <w:lang w:val="es-ES_tradnl"/>
        </w:rPr>
        <w:t>protección</w:t>
      </w:r>
      <w:r w:rsidR="00465745" w:rsidRPr="00DD5F33">
        <w:rPr>
          <w:rFonts w:ascii="Arial" w:hAnsi="Arial" w:cs="Arial"/>
          <w:color w:val="000000" w:themeColor="text1"/>
          <w:sz w:val="21"/>
          <w:szCs w:val="21"/>
          <w:lang w:val="es-ES_tradnl"/>
        </w:rPr>
        <w:t xml:space="preserve"> constitucional?</w:t>
      </w:r>
    </w:p>
    <w:p w14:paraId="0135DAC7" w14:textId="77777777" w:rsidR="008D510F" w:rsidRPr="00DD5F33" w:rsidRDefault="008D510F" w:rsidP="00465745">
      <w:pPr>
        <w:ind w:left="709" w:right="709"/>
        <w:jc w:val="both"/>
        <w:rPr>
          <w:rFonts w:ascii="Arial" w:hAnsi="Arial" w:cs="Arial"/>
          <w:color w:val="000000" w:themeColor="text1"/>
          <w:sz w:val="21"/>
          <w:szCs w:val="21"/>
          <w:lang w:val="es-ES_tradnl"/>
        </w:rPr>
      </w:pPr>
    </w:p>
    <w:p w14:paraId="57BA427B" w14:textId="0C5F9F47"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 xml:space="preserve">4. ¿Para determinar el 5% o 10% de </w:t>
      </w:r>
      <w:r w:rsidR="008D510F" w:rsidRPr="00DD5F33">
        <w:rPr>
          <w:rFonts w:ascii="Arial" w:hAnsi="Arial" w:cs="Arial"/>
          <w:color w:val="000000" w:themeColor="text1"/>
          <w:sz w:val="21"/>
          <w:szCs w:val="21"/>
          <w:lang w:val="es-ES_tradnl"/>
        </w:rPr>
        <w:t>provisión</w:t>
      </w:r>
      <w:r w:rsidR="00465745" w:rsidRPr="00DD5F33">
        <w:rPr>
          <w:rFonts w:ascii="Arial" w:hAnsi="Arial" w:cs="Arial"/>
          <w:color w:val="000000" w:themeColor="text1"/>
          <w:sz w:val="21"/>
          <w:szCs w:val="21"/>
          <w:lang w:val="es-ES_tradnl"/>
        </w:rPr>
        <w:t xml:space="preserve"> de bienes y servicios, se toma el valor presupuestal o la cantidad de los mismos?</w:t>
      </w:r>
    </w:p>
    <w:p w14:paraId="627255A6" w14:textId="77777777" w:rsidR="008D510F" w:rsidRPr="00DD5F33" w:rsidRDefault="008D510F" w:rsidP="00465745">
      <w:pPr>
        <w:ind w:left="709" w:right="709"/>
        <w:jc w:val="both"/>
        <w:rPr>
          <w:rFonts w:ascii="Arial" w:hAnsi="Arial" w:cs="Arial"/>
          <w:color w:val="000000" w:themeColor="text1"/>
          <w:sz w:val="21"/>
          <w:szCs w:val="21"/>
          <w:lang w:val="es-ES_tradnl"/>
        </w:rPr>
      </w:pPr>
    </w:p>
    <w:p w14:paraId="1F955B40" w14:textId="4B6E23B6" w:rsidR="00465745" w:rsidRPr="00DD5F33" w:rsidRDefault="00EB6C66" w:rsidP="00465745">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5.</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¿La</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palabra</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w:t>
      </w:r>
      <w:r w:rsidR="00796908" w:rsidRPr="00DD5F33">
        <w:rPr>
          <w:rFonts w:ascii="Arial" w:hAnsi="Arial" w:cs="Arial"/>
          <w:color w:val="000000" w:themeColor="text1"/>
          <w:sz w:val="21"/>
          <w:szCs w:val="21"/>
          <w:lang w:val="es-ES_tradnl"/>
        </w:rPr>
        <w:t>vinculación</w:t>
      </w:r>
      <w:r w:rsidR="00465745" w:rsidRPr="00DD5F33">
        <w:rPr>
          <w:rFonts w:ascii="Arial" w:hAnsi="Arial" w:cs="Arial"/>
          <w:color w:val="000000" w:themeColor="text1"/>
          <w:sz w:val="21"/>
          <w:szCs w:val="21"/>
          <w:lang w:val="es-ES_tradnl"/>
        </w:rPr>
        <w:t>”</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del</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inciso</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quinto,</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hace</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referencia</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a</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un</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contrato</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 xml:space="preserve">de </w:t>
      </w:r>
      <w:r w:rsidR="00796908" w:rsidRPr="00DD5F33">
        <w:rPr>
          <w:rFonts w:ascii="Arial" w:hAnsi="Arial" w:cs="Arial"/>
          <w:color w:val="000000" w:themeColor="text1"/>
          <w:sz w:val="21"/>
          <w:szCs w:val="21"/>
          <w:lang w:val="es-ES_tradnl"/>
        </w:rPr>
        <w:t>prestación</w:t>
      </w:r>
      <w:r w:rsidR="00465745" w:rsidRPr="00DD5F33">
        <w:rPr>
          <w:rFonts w:ascii="Arial" w:hAnsi="Arial" w:cs="Arial"/>
          <w:color w:val="000000" w:themeColor="text1"/>
          <w:sz w:val="21"/>
          <w:szCs w:val="21"/>
          <w:lang w:val="es-ES_tradnl"/>
        </w:rPr>
        <w:t xml:space="preserve"> de servicios o laboral?</w:t>
      </w:r>
    </w:p>
    <w:p w14:paraId="3A8D3596" w14:textId="77777777" w:rsidR="008D510F" w:rsidRPr="00DD5F33" w:rsidRDefault="008D510F" w:rsidP="00465745">
      <w:pPr>
        <w:ind w:left="709" w:right="709"/>
        <w:jc w:val="both"/>
        <w:rPr>
          <w:rFonts w:ascii="Arial" w:hAnsi="Arial" w:cs="Arial"/>
          <w:color w:val="000000" w:themeColor="text1"/>
          <w:sz w:val="21"/>
          <w:szCs w:val="21"/>
          <w:lang w:val="es-ES_tradnl"/>
        </w:rPr>
      </w:pPr>
    </w:p>
    <w:p w14:paraId="3C570E8A" w14:textId="5B5CCA71"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465745" w:rsidRPr="00DD5F33">
        <w:rPr>
          <w:rFonts w:ascii="Arial" w:hAnsi="Arial" w:cs="Arial"/>
          <w:color w:val="000000" w:themeColor="text1"/>
          <w:sz w:val="21"/>
          <w:szCs w:val="21"/>
          <w:lang w:val="es-ES_tradnl"/>
        </w:rPr>
        <w:t>6.</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¿Si</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el</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contratista</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adquiere</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bienes</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(Contrato</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de</w:t>
      </w:r>
      <w:r w:rsidR="008D510F"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compraventas</w:t>
      </w:r>
      <w:r w:rsidR="00796908"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o</w:t>
      </w:r>
      <w:r w:rsidR="00796908"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suministros)</w:t>
      </w:r>
      <w:r w:rsidR="00796908" w:rsidRPr="00DD5F33">
        <w:rPr>
          <w:rFonts w:ascii="Arial" w:hAnsi="Arial" w:cs="Arial"/>
          <w:color w:val="000000" w:themeColor="text1"/>
          <w:sz w:val="21"/>
          <w:szCs w:val="21"/>
          <w:lang w:val="es-ES_tradnl"/>
        </w:rPr>
        <w:t xml:space="preserve"> </w:t>
      </w:r>
      <w:r w:rsidR="00465745" w:rsidRPr="00DD5F33">
        <w:rPr>
          <w:rFonts w:ascii="Arial" w:hAnsi="Arial" w:cs="Arial"/>
          <w:color w:val="000000" w:themeColor="text1"/>
          <w:sz w:val="21"/>
          <w:szCs w:val="21"/>
          <w:lang w:val="es-ES_tradnl"/>
        </w:rPr>
        <w:t xml:space="preserve">con una persona </w:t>
      </w:r>
      <w:r w:rsidR="00796908" w:rsidRPr="00DD5F33">
        <w:rPr>
          <w:rFonts w:ascii="Arial" w:hAnsi="Arial" w:cs="Arial"/>
          <w:color w:val="000000" w:themeColor="text1"/>
          <w:sz w:val="21"/>
          <w:szCs w:val="21"/>
          <w:lang w:val="es-ES_tradnl"/>
        </w:rPr>
        <w:t>jurídica</w:t>
      </w:r>
      <w:r w:rsidR="00465745" w:rsidRPr="00DD5F33">
        <w:rPr>
          <w:rFonts w:ascii="Arial" w:hAnsi="Arial" w:cs="Arial"/>
          <w:color w:val="000000" w:themeColor="text1"/>
          <w:sz w:val="21"/>
          <w:szCs w:val="21"/>
          <w:lang w:val="es-ES_tradnl"/>
        </w:rPr>
        <w:t xml:space="preserve"> que comercia bienes de la </w:t>
      </w:r>
      <w:r w:rsidR="00796908" w:rsidRPr="00DD5F33">
        <w:rPr>
          <w:rFonts w:ascii="Arial" w:hAnsi="Arial" w:cs="Arial"/>
          <w:color w:val="000000" w:themeColor="text1"/>
          <w:sz w:val="21"/>
          <w:szCs w:val="21"/>
          <w:lang w:val="es-ES_tradnl"/>
        </w:rPr>
        <w:t>población</w:t>
      </w:r>
      <w:r w:rsidR="00465745" w:rsidRPr="00DD5F33">
        <w:rPr>
          <w:rFonts w:ascii="Arial" w:hAnsi="Arial" w:cs="Arial"/>
          <w:color w:val="000000" w:themeColor="text1"/>
          <w:sz w:val="21"/>
          <w:szCs w:val="21"/>
          <w:lang w:val="es-ES_tradnl"/>
        </w:rPr>
        <w:t xml:space="preserve"> beneficiaria,</w:t>
      </w:r>
      <w:r w:rsidR="00AF4169" w:rsidRPr="00DD5F33">
        <w:rPr>
          <w:rFonts w:ascii="Arial" w:hAnsi="Arial" w:cs="Arial"/>
          <w:color w:val="000000" w:themeColor="text1"/>
          <w:sz w:val="21"/>
          <w:szCs w:val="21"/>
          <w:lang w:val="es-ES_tradnl"/>
        </w:rPr>
        <w:t xml:space="preserve"> se entiende que dichos grupos poblacionales </w:t>
      </w:r>
      <w:r w:rsidR="008D32B6" w:rsidRPr="00DD5F33">
        <w:rPr>
          <w:rFonts w:ascii="Arial" w:hAnsi="Arial" w:cs="Arial"/>
          <w:color w:val="000000" w:themeColor="text1"/>
          <w:sz w:val="21"/>
          <w:szCs w:val="21"/>
          <w:lang w:val="es-ES_tradnl"/>
        </w:rPr>
        <w:t>están</w:t>
      </w:r>
      <w:r w:rsidR="00AF4169" w:rsidRPr="00DD5F33">
        <w:rPr>
          <w:rFonts w:ascii="Arial" w:hAnsi="Arial" w:cs="Arial"/>
          <w:color w:val="000000" w:themeColor="text1"/>
          <w:sz w:val="21"/>
          <w:szCs w:val="21"/>
          <w:lang w:val="es-ES_tradnl"/>
        </w:rPr>
        <w:t xml:space="preserve"> “Vinculados a la </w:t>
      </w:r>
      <w:r w:rsidR="008D32B6" w:rsidRPr="00DD5F33">
        <w:rPr>
          <w:rFonts w:ascii="Arial" w:hAnsi="Arial" w:cs="Arial"/>
          <w:color w:val="000000" w:themeColor="text1"/>
          <w:sz w:val="21"/>
          <w:szCs w:val="21"/>
          <w:lang w:val="es-ES_tradnl"/>
        </w:rPr>
        <w:t>ejecución</w:t>
      </w:r>
      <w:r w:rsidR="00AF4169" w:rsidRPr="00DD5F33">
        <w:rPr>
          <w:rFonts w:ascii="Arial" w:hAnsi="Arial" w:cs="Arial"/>
          <w:color w:val="000000" w:themeColor="text1"/>
          <w:sz w:val="21"/>
          <w:szCs w:val="21"/>
          <w:lang w:val="es-ES_tradnl"/>
        </w:rPr>
        <w:t xml:space="preserve"> del contrato”?</w:t>
      </w:r>
    </w:p>
    <w:p w14:paraId="7CB7ECC0" w14:textId="77777777" w:rsidR="008D32B6" w:rsidRPr="00DD5F33" w:rsidRDefault="008D32B6" w:rsidP="00AF4169">
      <w:pPr>
        <w:ind w:left="709" w:right="709"/>
        <w:jc w:val="both"/>
        <w:rPr>
          <w:rFonts w:ascii="Arial" w:hAnsi="Arial" w:cs="Arial"/>
          <w:color w:val="000000" w:themeColor="text1"/>
          <w:sz w:val="21"/>
          <w:szCs w:val="21"/>
          <w:lang w:val="es-ES_tradnl"/>
        </w:rPr>
      </w:pPr>
    </w:p>
    <w:p w14:paraId="72D5A8E9" w14:textId="28138486"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“ARTÍCULO 3. </w:t>
      </w:r>
      <w:r w:rsidR="008D32B6" w:rsidRPr="00DD5F33">
        <w:rPr>
          <w:rFonts w:ascii="Arial" w:hAnsi="Arial" w:cs="Arial"/>
          <w:color w:val="000000" w:themeColor="text1"/>
          <w:sz w:val="21"/>
          <w:szCs w:val="21"/>
          <w:lang w:val="es-ES_tradnl"/>
        </w:rPr>
        <w:t>Adición</w:t>
      </w:r>
      <w:r w:rsidR="00AF4169" w:rsidRPr="00DD5F33">
        <w:rPr>
          <w:rFonts w:ascii="Arial" w:hAnsi="Arial" w:cs="Arial"/>
          <w:color w:val="000000" w:themeColor="text1"/>
          <w:sz w:val="21"/>
          <w:szCs w:val="21"/>
          <w:lang w:val="es-ES_tradnl"/>
        </w:rPr>
        <w:t xml:space="preserve"> de los </w:t>
      </w:r>
      <w:r w:rsidR="008D32B6" w:rsidRPr="00DD5F33">
        <w:rPr>
          <w:rFonts w:ascii="Arial" w:hAnsi="Arial" w:cs="Arial"/>
          <w:color w:val="000000" w:themeColor="text1"/>
          <w:sz w:val="21"/>
          <w:szCs w:val="21"/>
          <w:lang w:val="es-ES_tradnl"/>
        </w:rPr>
        <w:t>artículos</w:t>
      </w:r>
      <w:r w:rsidR="00AF4169" w:rsidRPr="00DD5F33">
        <w:rPr>
          <w:rFonts w:ascii="Arial" w:hAnsi="Arial" w:cs="Arial"/>
          <w:color w:val="000000" w:themeColor="text1"/>
          <w:sz w:val="21"/>
          <w:szCs w:val="21"/>
          <w:lang w:val="es-ES_tradnl"/>
        </w:rPr>
        <w:t xml:space="preserve"> 2.2.1.2.4.2.14, 2.2.1.2.4.2.15, 2.2.1.2.4.2.16, 2.2.1.2.4.2.17 y 2.2.1.2.4.2. 18 a la </w:t>
      </w:r>
      <w:r w:rsidR="008D32B6" w:rsidRPr="00DD5F33">
        <w:rPr>
          <w:rFonts w:ascii="Arial" w:hAnsi="Arial" w:cs="Arial"/>
          <w:color w:val="000000" w:themeColor="text1"/>
          <w:sz w:val="21"/>
          <w:szCs w:val="21"/>
          <w:lang w:val="es-ES_tradnl"/>
        </w:rPr>
        <w:t>Subsección</w:t>
      </w:r>
      <w:r w:rsidR="00AF4169" w:rsidRPr="00DD5F33">
        <w:rPr>
          <w:rFonts w:ascii="Arial" w:hAnsi="Arial" w:cs="Arial"/>
          <w:color w:val="000000" w:themeColor="text1"/>
          <w:sz w:val="21"/>
          <w:szCs w:val="21"/>
          <w:lang w:val="es-ES_tradnl"/>
        </w:rPr>
        <w:t xml:space="preserve"> 2 de la </w:t>
      </w:r>
      <w:r w:rsidR="008D32B6" w:rsidRPr="00DD5F33">
        <w:rPr>
          <w:rFonts w:ascii="Arial" w:hAnsi="Arial" w:cs="Arial"/>
          <w:color w:val="000000" w:themeColor="text1"/>
          <w:sz w:val="21"/>
          <w:szCs w:val="21"/>
          <w:lang w:val="es-ES_tradnl"/>
        </w:rPr>
        <w:t>Sección</w:t>
      </w:r>
      <w:r w:rsidR="00AF4169" w:rsidRPr="00DD5F33">
        <w:rPr>
          <w:rFonts w:ascii="Arial" w:hAnsi="Arial" w:cs="Arial"/>
          <w:color w:val="000000" w:themeColor="text1"/>
          <w:sz w:val="21"/>
          <w:szCs w:val="21"/>
          <w:lang w:val="es-ES_tradnl"/>
        </w:rPr>
        <w:t xml:space="preserve"> 4 del </w:t>
      </w:r>
      <w:r w:rsidR="008D32B6" w:rsidRPr="00DD5F33">
        <w:rPr>
          <w:rFonts w:ascii="Arial" w:hAnsi="Arial" w:cs="Arial"/>
          <w:color w:val="000000" w:themeColor="text1"/>
          <w:sz w:val="21"/>
          <w:szCs w:val="21"/>
          <w:lang w:val="es-ES_tradnl"/>
        </w:rPr>
        <w:t>Capítulo</w:t>
      </w:r>
      <w:r w:rsidR="00AF4169" w:rsidRPr="00DD5F33">
        <w:rPr>
          <w:rFonts w:ascii="Arial" w:hAnsi="Arial" w:cs="Arial"/>
          <w:color w:val="000000" w:themeColor="text1"/>
          <w:sz w:val="21"/>
          <w:szCs w:val="21"/>
          <w:lang w:val="es-ES_tradnl"/>
        </w:rPr>
        <w:t xml:space="preserve"> 2 del </w:t>
      </w:r>
      <w:r w:rsidR="008D32B6" w:rsidRPr="00DD5F33">
        <w:rPr>
          <w:rFonts w:ascii="Arial" w:hAnsi="Arial" w:cs="Arial"/>
          <w:color w:val="000000" w:themeColor="text1"/>
          <w:sz w:val="21"/>
          <w:szCs w:val="21"/>
          <w:lang w:val="es-ES_tradnl"/>
        </w:rPr>
        <w:t>Título</w:t>
      </w:r>
      <w:r w:rsidR="00AF4169" w:rsidRPr="00DD5F33">
        <w:rPr>
          <w:rFonts w:ascii="Arial" w:hAnsi="Arial" w:cs="Arial"/>
          <w:color w:val="000000" w:themeColor="text1"/>
          <w:sz w:val="21"/>
          <w:szCs w:val="21"/>
          <w:lang w:val="es-ES_tradnl"/>
        </w:rPr>
        <w:t xml:space="preserve"> 1 de la Parte 2 del Libro 2 del Decreto 1082 de 2015. </w:t>
      </w:r>
      <w:r w:rsidR="008D32B6" w:rsidRPr="00DD5F33">
        <w:rPr>
          <w:rFonts w:ascii="Arial" w:hAnsi="Arial" w:cs="Arial"/>
          <w:color w:val="000000" w:themeColor="text1"/>
          <w:sz w:val="21"/>
          <w:szCs w:val="21"/>
          <w:lang w:val="es-ES_tradnl"/>
        </w:rPr>
        <w:t>Adiciónense</w:t>
      </w:r>
      <w:r w:rsidR="00AF4169" w:rsidRPr="00DD5F33">
        <w:rPr>
          <w:rFonts w:ascii="Arial" w:hAnsi="Arial" w:cs="Arial"/>
          <w:color w:val="000000" w:themeColor="text1"/>
          <w:sz w:val="21"/>
          <w:szCs w:val="21"/>
          <w:lang w:val="es-ES_tradnl"/>
        </w:rPr>
        <w:t xml:space="preserve"> los </w:t>
      </w:r>
      <w:r w:rsidR="008D32B6" w:rsidRPr="00DD5F33">
        <w:rPr>
          <w:rFonts w:ascii="Arial" w:hAnsi="Arial" w:cs="Arial"/>
          <w:color w:val="000000" w:themeColor="text1"/>
          <w:sz w:val="21"/>
          <w:szCs w:val="21"/>
          <w:lang w:val="es-ES_tradnl"/>
        </w:rPr>
        <w:t>artículos</w:t>
      </w:r>
      <w:r w:rsidR="00AF4169" w:rsidRPr="00DD5F33">
        <w:rPr>
          <w:rFonts w:ascii="Arial" w:hAnsi="Arial" w:cs="Arial"/>
          <w:color w:val="000000" w:themeColor="text1"/>
          <w:sz w:val="21"/>
          <w:szCs w:val="21"/>
          <w:lang w:val="es-ES_tradnl"/>
        </w:rPr>
        <w:t xml:space="preserve"> 2.2.1.2.4.2.14, 2.2.1.2.4.2.15, 2.2.1.2.4.2.16, 2.2.1.2.4.2.17 y 2.2.1.2.4.2.18 a la </w:t>
      </w:r>
      <w:r w:rsidR="008D32B6" w:rsidRPr="00DD5F33">
        <w:rPr>
          <w:rFonts w:ascii="Arial" w:hAnsi="Arial" w:cs="Arial"/>
          <w:color w:val="000000" w:themeColor="text1"/>
          <w:sz w:val="21"/>
          <w:szCs w:val="21"/>
          <w:lang w:val="es-ES_tradnl"/>
        </w:rPr>
        <w:t>Subsección</w:t>
      </w:r>
      <w:r w:rsidR="00AF4169" w:rsidRPr="00DD5F33">
        <w:rPr>
          <w:rFonts w:ascii="Arial" w:hAnsi="Arial" w:cs="Arial"/>
          <w:color w:val="000000" w:themeColor="text1"/>
          <w:sz w:val="21"/>
          <w:szCs w:val="21"/>
          <w:lang w:val="es-ES_tradnl"/>
        </w:rPr>
        <w:t xml:space="preserve"> 2 de la </w:t>
      </w:r>
      <w:r w:rsidR="008D32B6" w:rsidRPr="00DD5F33">
        <w:rPr>
          <w:rFonts w:ascii="Arial" w:hAnsi="Arial" w:cs="Arial"/>
          <w:color w:val="000000" w:themeColor="text1"/>
          <w:sz w:val="21"/>
          <w:szCs w:val="21"/>
          <w:lang w:val="es-ES_tradnl"/>
        </w:rPr>
        <w:t>Sección</w:t>
      </w:r>
      <w:r w:rsidR="00AF4169" w:rsidRPr="00DD5F33">
        <w:rPr>
          <w:rFonts w:ascii="Arial" w:hAnsi="Arial" w:cs="Arial"/>
          <w:color w:val="000000" w:themeColor="text1"/>
          <w:sz w:val="21"/>
          <w:szCs w:val="21"/>
          <w:lang w:val="es-ES_tradnl"/>
        </w:rPr>
        <w:t xml:space="preserve"> 4 del </w:t>
      </w:r>
      <w:r w:rsidR="008D32B6" w:rsidRPr="00DD5F33">
        <w:rPr>
          <w:rFonts w:ascii="Arial" w:hAnsi="Arial" w:cs="Arial"/>
          <w:color w:val="000000" w:themeColor="text1"/>
          <w:sz w:val="21"/>
          <w:szCs w:val="21"/>
          <w:lang w:val="es-ES_tradnl"/>
        </w:rPr>
        <w:t>Capítulo</w:t>
      </w:r>
      <w:r w:rsidR="00AF4169" w:rsidRPr="00DD5F33">
        <w:rPr>
          <w:rFonts w:ascii="Arial" w:hAnsi="Arial" w:cs="Arial"/>
          <w:color w:val="000000" w:themeColor="text1"/>
          <w:sz w:val="21"/>
          <w:szCs w:val="21"/>
          <w:lang w:val="es-ES_tradnl"/>
        </w:rPr>
        <w:t xml:space="preserve"> 2 del </w:t>
      </w:r>
      <w:r w:rsidR="008D32B6" w:rsidRPr="00DD5F33">
        <w:rPr>
          <w:rFonts w:ascii="Arial" w:hAnsi="Arial" w:cs="Arial"/>
          <w:color w:val="000000" w:themeColor="text1"/>
          <w:sz w:val="21"/>
          <w:szCs w:val="21"/>
          <w:lang w:val="es-ES_tradnl"/>
        </w:rPr>
        <w:t>Título</w:t>
      </w:r>
      <w:r w:rsidR="00AF4169" w:rsidRPr="00DD5F33">
        <w:rPr>
          <w:rFonts w:ascii="Arial" w:hAnsi="Arial" w:cs="Arial"/>
          <w:color w:val="000000" w:themeColor="text1"/>
          <w:sz w:val="21"/>
          <w:szCs w:val="21"/>
          <w:lang w:val="es-ES_tradnl"/>
        </w:rPr>
        <w:t xml:space="preserve"> 1 de la Parte 2 del Libro 2 del Decreto 1082 de 2015, los cuales </w:t>
      </w:r>
      <w:r w:rsidR="008D32B6" w:rsidRPr="00DD5F33">
        <w:rPr>
          <w:rFonts w:ascii="Arial" w:hAnsi="Arial" w:cs="Arial"/>
          <w:color w:val="000000" w:themeColor="text1"/>
          <w:sz w:val="21"/>
          <w:szCs w:val="21"/>
          <w:lang w:val="es-ES_tradnl"/>
        </w:rPr>
        <w:t>quedarán</w:t>
      </w:r>
      <w:r w:rsidR="00AF4169" w:rsidRPr="00DD5F33">
        <w:rPr>
          <w:rFonts w:ascii="Arial" w:hAnsi="Arial" w:cs="Arial"/>
          <w:color w:val="000000" w:themeColor="text1"/>
          <w:sz w:val="21"/>
          <w:szCs w:val="21"/>
          <w:lang w:val="es-ES_tradnl"/>
        </w:rPr>
        <w:t xml:space="preserve"> </w:t>
      </w:r>
      <w:r w:rsidR="008D32B6" w:rsidRPr="00DD5F33">
        <w:rPr>
          <w:rFonts w:ascii="Arial" w:hAnsi="Arial" w:cs="Arial"/>
          <w:color w:val="000000" w:themeColor="text1"/>
          <w:sz w:val="21"/>
          <w:szCs w:val="21"/>
          <w:lang w:val="es-ES_tradnl"/>
        </w:rPr>
        <w:t>así</w:t>
      </w:r>
      <w:r w:rsidR="00AF4169" w:rsidRPr="00DD5F33">
        <w:rPr>
          <w:rFonts w:ascii="Arial" w:hAnsi="Arial" w:cs="Arial"/>
          <w:color w:val="000000" w:themeColor="text1"/>
          <w:sz w:val="21"/>
          <w:szCs w:val="21"/>
          <w:lang w:val="es-ES_tradnl"/>
        </w:rPr>
        <w:t>.</w:t>
      </w:r>
    </w:p>
    <w:p w14:paraId="77DE2CC3" w14:textId="77777777" w:rsidR="008D32B6" w:rsidRPr="00DD5F33" w:rsidRDefault="008D32B6" w:rsidP="00AF4169">
      <w:pPr>
        <w:ind w:left="709" w:right="709"/>
        <w:jc w:val="both"/>
        <w:rPr>
          <w:rFonts w:ascii="Arial" w:hAnsi="Arial" w:cs="Arial"/>
          <w:color w:val="000000" w:themeColor="text1"/>
          <w:sz w:val="21"/>
          <w:szCs w:val="21"/>
          <w:lang w:val="es-ES_tradnl"/>
        </w:rPr>
      </w:pPr>
    </w:p>
    <w:p w14:paraId="09BDD840" w14:textId="254ABC61"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 ARTÍCULO 2.2.1.2.4.2.18. Criterios diferenciales para Mipyme en el sistema de compras </w:t>
      </w:r>
      <w:r w:rsidR="00A1382C" w:rsidRPr="00DD5F33">
        <w:rPr>
          <w:rFonts w:ascii="Arial" w:hAnsi="Arial" w:cs="Arial"/>
          <w:color w:val="000000" w:themeColor="text1"/>
          <w:sz w:val="21"/>
          <w:szCs w:val="21"/>
          <w:lang w:val="es-ES_tradnl"/>
        </w:rPr>
        <w:t>públicas</w:t>
      </w:r>
      <w:r w:rsidR="00AF4169" w:rsidRPr="00DD5F33">
        <w:rPr>
          <w:rFonts w:ascii="Arial" w:hAnsi="Arial" w:cs="Arial"/>
          <w:color w:val="000000" w:themeColor="text1"/>
          <w:sz w:val="21"/>
          <w:szCs w:val="21"/>
          <w:lang w:val="es-ES_tradnl"/>
        </w:rPr>
        <w:t xml:space="preserve">. De acuerdo con el numeral 1 del </w:t>
      </w:r>
      <w:r w:rsidR="00A1382C" w:rsidRPr="00DD5F33">
        <w:rPr>
          <w:rFonts w:ascii="Arial" w:hAnsi="Arial" w:cs="Arial"/>
          <w:color w:val="000000" w:themeColor="text1"/>
          <w:sz w:val="21"/>
          <w:szCs w:val="21"/>
          <w:lang w:val="es-ES_tradnl"/>
        </w:rPr>
        <w:t>artículo</w:t>
      </w:r>
      <w:r w:rsidR="00AF4169" w:rsidRPr="00DD5F33">
        <w:rPr>
          <w:rFonts w:ascii="Arial" w:hAnsi="Arial" w:cs="Arial"/>
          <w:color w:val="000000" w:themeColor="text1"/>
          <w:sz w:val="21"/>
          <w:szCs w:val="21"/>
          <w:lang w:val="es-ES_tradnl"/>
        </w:rPr>
        <w:t xml:space="preserve"> 12 de la Ley 590 de 2000, </w:t>
      </w:r>
      <w:r w:rsidR="00A1382C" w:rsidRPr="00DD5F33">
        <w:rPr>
          <w:rFonts w:ascii="Arial" w:hAnsi="Arial" w:cs="Arial"/>
          <w:color w:val="000000" w:themeColor="text1"/>
          <w:sz w:val="21"/>
          <w:szCs w:val="21"/>
          <w:lang w:val="es-ES_tradnl"/>
        </w:rPr>
        <w:t>según</w:t>
      </w:r>
      <w:r w:rsidR="00AF4169" w:rsidRPr="00DD5F33">
        <w:rPr>
          <w:rFonts w:ascii="Arial" w:hAnsi="Arial" w:cs="Arial"/>
          <w:color w:val="000000" w:themeColor="text1"/>
          <w:sz w:val="21"/>
          <w:szCs w:val="21"/>
          <w:lang w:val="es-ES_tradnl"/>
        </w:rPr>
        <w:t xml:space="preserve"> los resultados del </w:t>
      </w:r>
      <w:r w:rsidR="00A1382C" w:rsidRPr="00DD5F33">
        <w:rPr>
          <w:rFonts w:ascii="Arial" w:hAnsi="Arial" w:cs="Arial"/>
          <w:color w:val="000000" w:themeColor="text1"/>
          <w:sz w:val="21"/>
          <w:szCs w:val="21"/>
          <w:lang w:val="es-ES_tradnl"/>
        </w:rPr>
        <w:t>análisis</w:t>
      </w:r>
      <w:r w:rsidR="00AF4169" w:rsidRPr="00DD5F33">
        <w:rPr>
          <w:rFonts w:ascii="Arial" w:hAnsi="Arial" w:cs="Arial"/>
          <w:color w:val="000000" w:themeColor="text1"/>
          <w:sz w:val="21"/>
          <w:szCs w:val="21"/>
          <w:lang w:val="es-ES_tradnl"/>
        </w:rPr>
        <w:t xml:space="preserve"> del sector, las Entidades Estatales indistintamente de su </w:t>
      </w:r>
      <w:r w:rsidR="00A1382C" w:rsidRPr="00DD5F33">
        <w:rPr>
          <w:rFonts w:ascii="Arial" w:hAnsi="Arial" w:cs="Arial"/>
          <w:color w:val="000000" w:themeColor="text1"/>
          <w:sz w:val="21"/>
          <w:szCs w:val="21"/>
          <w:lang w:val="es-ES_tradnl"/>
        </w:rPr>
        <w:t>régimen</w:t>
      </w:r>
      <w:r w:rsidR="00AF4169" w:rsidRPr="00DD5F33">
        <w:rPr>
          <w:rFonts w:ascii="Arial" w:hAnsi="Arial" w:cs="Arial"/>
          <w:color w:val="000000" w:themeColor="text1"/>
          <w:sz w:val="21"/>
          <w:szCs w:val="21"/>
          <w:lang w:val="es-ES_tradnl"/>
        </w:rPr>
        <w:t xml:space="preserve"> de </w:t>
      </w:r>
      <w:r w:rsidR="00A1382C" w:rsidRPr="00DD5F33">
        <w:rPr>
          <w:rFonts w:ascii="Arial" w:hAnsi="Arial" w:cs="Arial"/>
          <w:color w:val="000000" w:themeColor="text1"/>
          <w:sz w:val="21"/>
          <w:szCs w:val="21"/>
          <w:lang w:val="es-ES_tradnl"/>
        </w:rPr>
        <w:t>contratación</w:t>
      </w:r>
      <w:r w:rsidR="00AF4169" w:rsidRPr="00DD5F33">
        <w:rPr>
          <w:rFonts w:ascii="Arial" w:hAnsi="Arial" w:cs="Arial"/>
          <w:color w:val="000000" w:themeColor="text1"/>
          <w:sz w:val="21"/>
          <w:szCs w:val="21"/>
          <w:lang w:val="es-ES_tradnl"/>
        </w:rPr>
        <w:t xml:space="preserve">, los patrimonios </w:t>
      </w:r>
      <w:r w:rsidR="00A1382C" w:rsidRPr="00DD5F33">
        <w:rPr>
          <w:rFonts w:ascii="Arial" w:hAnsi="Arial" w:cs="Arial"/>
          <w:color w:val="000000" w:themeColor="text1"/>
          <w:sz w:val="21"/>
          <w:szCs w:val="21"/>
          <w:lang w:val="es-ES_tradnl"/>
        </w:rPr>
        <w:t>autónomos</w:t>
      </w:r>
      <w:r w:rsidR="00AF4169" w:rsidRPr="00DD5F33">
        <w:rPr>
          <w:rFonts w:ascii="Arial" w:hAnsi="Arial" w:cs="Arial"/>
          <w:color w:val="000000" w:themeColor="text1"/>
          <w:sz w:val="21"/>
          <w:szCs w:val="21"/>
          <w:lang w:val="es-ES_tradnl"/>
        </w:rPr>
        <w:t xml:space="preserve"> constituidos por Entidades Estatales y los particulares que ejecuten recursos </w:t>
      </w:r>
      <w:r w:rsidR="00A1382C" w:rsidRPr="00DD5F33">
        <w:rPr>
          <w:rFonts w:ascii="Arial" w:hAnsi="Arial" w:cs="Arial"/>
          <w:color w:val="000000" w:themeColor="text1"/>
          <w:sz w:val="21"/>
          <w:szCs w:val="21"/>
          <w:lang w:val="es-ES_tradnl"/>
        </w:rPr>
        <w:t>públicos</w:t>
      </w:r>
      <w:r w:rsidR="00AF4169" w:rsidRPr="00DD5F33">
        <w:rPr>
          <w:rFonts w:ascii="Arial" w:hAnsi="Arial" w:cs="Arial"/>
          <w:color w:val="000000" w:themeColor="text1"/>
          <w:sz w:val="21"/>
          <w:szCs w:val="21"/>
          <w:lang w:val="es-ES_tradnl"/>
        </w:rPr>
        <w:t xml:space="preserve"> </w:t>
      </w:r>
      <w:r w:rsidR="00A1382C" w:rsidRPr="00DD5F33">
        <w:rPr>
          <w:rFonts w:ascii="Arial" w:hAnsi="Arial" w:cs="Arial"/>
          <w:color w:val="000000" w:themeColor="text1"/>
          <w:sz w:val="21"/>
          <w:szCs w:val="21"/>
          <w:lang w:val="es-ES_tradnl"/>
        </w:rPr>
        <w:t>establecerán</w:t>
      </w:r>
      <w:r w:rsidR="00AF4169" w:rsidRPr="00DD5F33">
        <w:rPr>
          <w:rFonts w:ascii="Arial" w:hAnsi="Arial" w:cs="Arial"/>
          <w:color w:val="000000" w:themeColor="text1"/>
          <w:sz w:val="21"/>
          <w:szCs w:val="21"/>
          <w:lang w:val="es-ES_tradnl"/>
        </w:rPr>
        <w:t xml:space="preserve"> condiciones habilitantes diferenciales que promuevan y faciliten la </w:t>
      </w:r>
      <w:r w:rsidR="00A1382C" w:rsidRPr="00DD5F33">
        <w:rPr>
          <w:rFonts w:ascii="Arial" w:hAnsi="Arial" w:cs="Arial"/>
          <w:color w:val="000000" w:themeColor="text1"/>
          <w:sz w:val="21"/>
          <w:szCs w:val="21"/>
          <w:lang w:val="es-ES_tradnl"/>
        </w:rPr>
        <w:t>participación</w:t>
      </w:r>
      <w:r w:rsidR="00AF4169" w:rsidRPr="00DD5F33">
        <w:rPr>
          <w:rFonts w:ascii="Arial" w:hAnsi="Arial" w:cs="Arial"/>
          <w:color w:val="000000" w:themeColor="text1"/>
          <w:sz w:val="21"/>
          <w:szCs w:val="21"/>
          <w:lang w:val="es-ES_tradnl"/>
        </w:rPr>
        <w:t xml:space="preserve"> en los procedimientos de </w:t>
      </w:r>
      <w:r w:rsidR="00A1382C" w:rsidRPr="00DD5F33">
        <w:rPr>
          <w:rFonts w:ascii="Arial" w:hAnsi="Arial" w:cs="Arial"/>
          <w:color w:val="000000" w:themeColor="text1"/>
          <w:sz w:val="21"/>
          <w:szCs w:val="21"/>
          <w:lang w:val="es-ES_tradnl"/>
        </w:rPr>
        <w:t>selección</w:t>
      </w:r>
      <w:r w:rsidR="00AF4169" w:rsidRPr="00DD5F33">
        <w:rPr>
          <w:rFonts w:ascii="Arial" w:hAnsi="Arial" w:cs="Arial"/>
          <w:color w:val="000000" w:themeColor="text1"/>
          <w:sz w:val="21"/>
          <w:szCs w:val="21"/>
          <w:lang w:val="es-ES_tradnl"/>
        </w:rPr>
        <w:t xml:space="preserve"> competitivos de las Mipyme domiciliadas en Colombia. Para el efecto, en </w:t>
      </w:r>
      <w:r w:rsidR="00A1382C" w:rsidRPr="00DD5F33">
        <w:rPr>
          <w:rFonts w:ascii="Arial" w:hAnsi="Arial" w:cs="Arial"/>
          <w:color w:val="000000" w:themeColor="text1"/>
          <w:sz w:val="21"/>
          <w:szCs w:val="21"/>
          <w:lang w:val="es-ES_tradnl"/>
        </w:rPr>
        <w:t>función</w:t>
      </w:r>
      <w:r w:rsidR="00AF4169" w:rsidRPr="00DD5F33">
        <w:rPr>
          <w:rFonts w:ascii="Arial" w:hAnsi="Arial" w:cs="Arial"/>
          <w:color w:val="000000" w:themeColor="text1"/>
          <w:sz w:val="21"/>
          <w:szCs w:val="21"/>
          <w:lang w:val="es-ES_tradnl"/>
        </w:rPr>
        <w:t xml:space="preserve"> de los criterios de </w:t>
      </w:r>
      <w:r w:rsidR="00A1382C" w:rsidRPr="00DD5F33">
        <w:rPr>
          <w:rFonts w:ascii="Arial" w:hAnsi="Arial" w:cs="Arial"/>
          <w:color w:val="000000" w:themeColor="text1"/>
          <w:sz w:val="21"/>
          <w:szCs w:val="21"/>
          <w:lang w:val="es-ES_tradnl"/>
        </w:rPr>
        <w:t>clasificación</w:t>
      </w:r>
      <w:r w:rsidR="00AF4169" w:rsidRPr="00DD5F33">
        <w:rPr>
          <w:rFonts w:ascii="Arial" w:hAnsi="Arial" w:cs="Arial"/>
          <w:color w:val="000000" w:themeColor="text1"/>
          <w:sz w:val="21"/>
          <w:szCs w:val="21"/>
          <w:lang w:val="es-ES_tradnl"/>
        </w:rPr>
        <w:t xml:space="preserve"> empresarial, los Documentos del Proceso </w:t>
      </w:r>
      <w:r w:rsidR="00A1382C" w:rsidRPr="00DD5F33">
        <w:rPr>
          <w:rFonts w:ascii="Arial" w:hAnsi="Arial" w:cs="Arial"/>
          <w:color w:val="000000" w:themeColor="text1"/>
          <w:sz w:val="21"/>
          <w:szCs w:val="21"/>
          <w:lang w:val="es-ES_tradnl"/>
        </w:rPr>
        <w:t>deberán</w:t>
      </w:r>
      <w:r w:rsidR="00AF4169" w:rsidRPr="00DD5F33">
        <w:rPr>
          <w:rFonts w:ascii="Arial" w:hAnsi="Arial" w:cs="Arial"/>
          <w:color w:val="000000" w:themeColor="text1"/>
          <w:sz w:val="21"/>
          <w:szCs w:val="21"/>
          <w:lang w:val="es-ES_tradnl"/>
        </w:rPr>
        <w:t xml:space="preserve"> incorporar requisitos habilitantes diferenciales relacionados con alguno o algunos de los siguientes aspectos:</w:t>
      </w:r>
    </w:p>
    <w:p w14:paraId="2EF65F76" w14:textId="77777777" w:rsidR="00A1382C" w:rsidRPr="00DD5F33" w:rsidRDefault="00A1382C" w:rsidP="00AF4169">
      <w:pPr>
        <w:ind w:left="709" w:right="709"/>
        <w:jc w:val="both"/>
        <w:rPr>
          <w:rFonts w:ascii="Arial" w:hAnsi="Arial" w:cs="Arial"/>
          <w:color w:val="000000" w:themeColor="text1"/>
          <w:sz w:val="21"/>
          <w:szCs w:val="21"/>
          <w:lang w:val="es-ES_tradnl"/>
        </w:rPr>
      </w:pPr>
    </w:p>
    <w:p w14:paraId="531DCE6A" w14:textId="3F299C58"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1. Tiempo de experiencia.</w:t>
      </w:r>
    </w:p>
    <w:p w14:paraId="1D2088AF" w14:textId="77777777" w:rsidR="00A1382C" w:rsidRPr="00DD5F33" w:rsidRDefault="00A1382C" w:rsidP="00AF4169">
      <w:pPr>
        <w:ind w:left="709" w:right="709"/>
        <w:jc w:val="both"/>
        <w:rPr>
          <w:rFonts w:ascii="Arial" w:hAnsi="Arial" w:cs="Arial"/>
          <w:color w:val="000000" w:themeColor="text1"/>
          <w:sz w:val="21"/>
          <w:szCs w:val="21"/>
          <w:lang w:val="es-ES_tradnl"/>
        </w:rPr>
      </w:pPr>
    </w:p>
    <w:p w14:paraId="5A34E3EE" w14:textId="3A5FC445" w:rsidR="008C00B0"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2. </w:t>
      </w:r>
      <w:r w:rsidR="008C00B0" w:rsidRPr="00DD5F33">
        <w:rPr>
          <w:rFonts w:ascii="Arial" w:hAnsi="Arial" w:cs="Arial"/>
          <w:color w:val="000000" w:themeColor="text1"/>
          <w:sz w:val="21"/>
          <w:szCs w:val="21"/>
          <w:lang w:val="es-ES_tradnl"/>
        </w:rPr>
        <w:t>Número</w:t>
      </w:r>
      <w:r w:rsidR="00AF4169" w:rsidRPr="00DD5F33">
        <w:rPr>
          <w:rFonts w:ascii="Arial" w:hAnsi="Arial" w:cs="Arial"/>
          <w:color w:val="000000" w:themeColor="text1"/>
          <w:sz w:val="21"/>
          <w:szCs w:val="21"/>
          <w:lang w:val="es-ES_tradnl"/>
        </w:rPr>
        <w:t xml:space="preserve"> de contratos para la </w:t>
      </w:r>
      <w:r w:rsidR="008C00B0" w:rsidRPr="00DD5F33">
        <w:rPr>
          <w:rFonts w:ascii="Arial" w:hAnsi="Arial" w:cs="Arial"/>
          <w:color w:val="000000" w:themeColor="text1"/>
          <w:sz w:val="21"/>
          <w:szCs w:val="21"/>
          <w:lang w:val="es-ES_tradnl"/>
        </w:rPr>
        <w:t>acreditación</w:t>
      </w:r>
      <w:r w:rsidR="00AF4169" w:rsidRPr="00DD5F33">
        <w:rPr>
          <w:rFonts w:ascii="Arial" w:hAnsi="Arial" w:cs="Arial"/>
          <w:color w:val="000000" w:themeColor="text1"/>
          <w:sz w:val="21"/>
          <w:szCs w:val="21"/>
          <w:lang w:val="es-ES_tradnl"/>
        </w:rPr>
        <w:t xml:space="preserve"> de la experiencia. </w:t>
      </w:r>
    </w:p>
    <w:p w14:paraId="6EF9E1C6" w14:textId="77777777" w:rsidR="008C00B0" w:rsidRPr="00DD5F33" w:rsidRDefault="008C00B0" w:rsidP="00AF4169">
      <w:pPr>
        <w:ind w:left="709" w:right="709"/>
        <w:jc w:val="both"/>
        <w:rPr>
          <w:rFonts w:ascii="Arial" w:hAnsi="Arial" w:cs="Arial"/>
          <w:color w:val="000000" w:themeColor="text1"/>
          <w:sz w:val="21"/>
          <w:szCs w:val="21"/>
          <w:lang w:val="es-ES_tradnl"/>
        </w:rPr>
      </w:pPr>
    </w:p>
    <w:p w14:paraId="39849711" w14:textId="06F95EEA"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3. </w:t>
      </w:r>
      <w:r w:rsidR="008C00B0" w:rsidRPr="00DD5F33">
        <w:rPr>
          <w:rFonts w:ascii="Arial" w:hAnsi="Arial" w:cs="Arial"/>
          <w:color w:val="000000" w:themeColor="text1"/>
          <w:sz w:val="21"/>
          <w:szCs w:val="21"/>
          <w:lang w:val="es-ES_tradnl"/>
        </w:rPr>
        <w:t>Índices</w:t>
      </w:r>
      <w:r w:rsidR="00AF4169" w:rsidRPr="00DD5F33">
        <w:rPr>
          <w:rFonts w:ascii="Arial" w:hAnsi="Arial" w:cs="Arial"/>
          <w:color w:val="000000" w:themeColor="text1"/>
          <w:sz w:val="21"/>
          <w:szCs w:val="21"/>
          <w:lang w:val="es-ES_tradnl"/>
        </w:rPr>
        <w:t xml:space="preserve"> de capacidad financiera.</w:t>
      </w:r>
    </w:p>
    <w:p w14:paraId="26E0279E" w14:textId="77777777" w:rsidR="008C00B0" w:rsidRPr="00DD5F33" w:rsidRDefault="008C00B0" w:rsidP="00AF4169">
      <w:pPr>
        <w:ind w:left="709" w:right="709"/>
        <w:jc w:val="both"/>
        <w:rPr>
          <w:rFonts w:ascii="Arial" w:hAnsi="Arial" w:cs="Arial"/>
          <w:color w:val="000000" w:themeColor="text1"/>
          <w:sz w:val="21"/>
          <w:szCs w:val="21"/>
          <w:lang w:val="es-ES_tradnl"/>
        </w:rPr>
      </w:pPr>
    </w:p>
    <w:p w14:paraId="2EA449DC" w14:textId="27BAF44D"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4. </w:t>
      </w:r>
      <w:r w:rsidR="008C00B0" w:rsidRPr="00DD5F33">
        <w:rPr>
          <w:rFonts w:ascii="Arial" w:hAnsi="Arial" w:cs="Arial"/>
          <w:color w:val="000000" w:themeColor="text1"/>
          <w:sz w:val="21"/>
          <w:szCs w:val="21"/>
          <w:lang w:val="es-ES_tradnl"/>
        </w:rPr>
        <w:t>Índices</w:t>
      </w:r>
      <w:r w:rsidR="00AF4169" w:rsidRPr="00DD5F33">
        <w:rPr>
          <w:rFonts w:ascii="Arial" w:hAnsi="Arial" w:cs="Arial"/>
          <w:color w:val="000000" w:themeColor="text1"/>
          <w:sz w:val="21"/>
          <w:szCs w:val="21"/>
          <w:lang w:val="es-ES_tradnl"/>
        </w:rPr>
        <w:t xml:space="preserve"> de capacidad organizacional.</w:t>
      </w:r>
    </w:p>
    <w:p w14:paraId="6AEE9EA7" w14:textId="77777777" w:rsidR="008C00B0" w:rsidRPr="00DD5F33" w:rsidRDefault="008C00B0" w:rsidP="00AF4169">
      <w:pPr>
        <w:ind w:left="709" w:right="709"/>
        <w:jc w:val="both"/>
        <w:rPr>
          <w:rFonts w:ascii="Arial" w:hAnsi="Arial" w:cs="Arial"/>
          <w:color w:val="000000" w:themeColor="text1"/>
          <w:sz w:val="21"/>
          <w:szCs w:val="21"/>
          <w:lang w:val="es-ES_tradnl"/>
        </w:rPr>
      </w:pPr>
    </w:p>
    <w:p w14:paraId="6FB238DD" w14:textId="4A3AF7C7"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5. Valor de la </w:t>
      </w:r>
      <w:r w:rsidR="008C00B0" w:rsidRPr="00DD5F33">
        <w:rPr>
          <w:rFonts w:ascii="Arial" w:hAnsi="Arial" w:cs="Arial"/>
          <w:color w:val="000000" w:themeColor="text1"/>
          <w:sz w:val="21"/>
          <w:szCs w:val="21"/>
          <w:lang w:val="es-ES_tradnl"/>
        </w:rPr>
        <w:t>garantía</w:t>
      </w:r>
      <w:r w:rsidR="00AF4169" w:rsidRPr="00DD5F33">
        <w:rPr>
          <w:rFonts w:ascii="Arial" w:hAnsi="Arial" w:cs="Arial"/>
          <w:color w:val="000000" w:themeColor="text1"/>
          <w:sz w:val="21"/>
          <w:szCs w:val="21"/>
          <w:lang w:val="es-ES_tradnl"/>
        </w:rPr>
        <w:t xml:space="preserve"> de seriedad de la oferta.</w:t>
      </w:r>
    </w:p>
    <w:p w14:paraId="49B7609C" w14:textId="77777777" w:rsidR="008C00B0" w:rsidRPr="00DD5F33" w:rsidRDefault="008C00B0" w:rsidP="00AF4169">
      <w:pPr>
        <w:ind w:left="709" w:right="709"/>
        <w:jc w:val="both"/>
        <w:rPr>
          <w:rFonts w:ascii="Arial" w:hAnsi="Arial" w:cs="Arial"/>
          <w:color w:val="000000" w:themeColor="text1"/>
          <w:sz w:val="21"/>
          <w:szCs w:val="21"/>
          <w:lang w:val="es-ES_tradnl"/>
        </w:rPr>
      </w:pPr>
    </w:p>
    <w:p w14:paraId="233C5C1D" w14:textId="534063E9" w:rsidR="00AF4169" w:rsidRPr="00DD5F33" w:rsidRDefault="00EB6C66" w:rsidP="00AF416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Los requisitos mencionados </w:t>
      </w:r>
      <w:r w:rsidR="008C00B0" w:rsidRPr="00DD5F33">
        <w:rPr>
          <w:rFonts w:ascii="Arial" w:hAnsi="Arial" w:cs="Arial"/>
          <w:color w:val="000000" w:themeColor="text1"/>
          <w:sz w:val="21"/>
          <w:szCs w:val="21"/>
          <w:lang w:val="es-ES_tradnl"/>
        </w:rPr>
        <w:t>deberán</w:t>
      </w:r>
      <w:r w:rsidR="00AF4169" w:rsidRPr="00DD5F33">
        <w:rPr>
          <w:rFonts w:ascii="Arial" w:hAnsi="Arial" w:cs="Arial"/>
          <w:color w:val="000000" w:themeColor="text1"/>
          <w:sz w:val="21"/>
          <w:szCs w:val="21"/>
          <w:lang w:val="es-ES_tradnl"/>
        </w:rPr>
        <w:t xml:space="preserve"> fijarse respetando las condiciones habilitantes requeridas para el cumplimiento adecuado del contrato, teniendo en cuenta el alcance de las obligaciones. En desarrollo de lo anterior, con la finalidad de beneficiar a las Mipyme, se </w:t>
      </w:r>
      <w:r w:rsidR="008C00B0" w:rsidRPr="00DD5F33">
        <w:rPr>
          <w:rFonts w:ascii="Arial" w:hAnsi="Arial" w:cs="Arial"/>
          <w:color w:val="000000" w:themeColor="text1"/>
          <w:sz w:val="21"/>
          <w:szCs w:val="21"/>
          <w:lang w:val="es-ES_tradnl"/>
        </w:rPr>
        <w:t>establecerán</w:t>
      </w:r>
      <w:r w:rsidR="00AF4169" w:rsidRPr="00DD5F33">
        <w:rPr>
          <w:rFonts w:ascii="Arial" w:hAnsi="Arial" w:cs="Arial"/>
          <w:color w:val="000000" w:themeColor="text1"/>
          <w:sz w:val="21"/>
          <w:szCs w:val="21"/>
          <w:lang w:val="es-ES_tradnl"/>
        </w:rPr>
        <w:t xml:space="preserve"> condiciones </w:t>
      </w:r>
      <w:r w:rsidR="008C00B0" w:rsidRPr="00DD5F33">
        <w:rPr>
          <w:rFonts w:ascii="Arial" w:hAnsi="Arial" w:cs="Arial"/>
          <w:color w:val="000000" w:themeColor="text1"/>
          <w:sz w:val="21"/>
          <w:szCs w:val="21"/>
          <w:lang w:val="es-ES_tradnl"/>
        </w:rPr>
        <w:t>más</w:t>
      </w:r>
      <w:r w:rsidR="00AF4169" w:rsidRPr="00DD5F33">
        <w:rPr>
          <w:rFonts w:ascii="Arial" w:hAnsi="Arial" w:cs="Arial"/>
          <w:color w:val="000000" w:themeColor="text1"/>
          <w:sz w:val="21"/>
          <w:szCs w:val="21"/>
          <w:lang w:val="es-ES_tradnl"/>
        </w:rPr>
        <w:t xml:space="preserve"> exigentes respecto a alguno o algunos de los criterios de </w:t>
      </w:r>
      <w:r w:rsidR="00F56C39" w:rsidRPr="00DD5F33">
        <w:rPr>
          <w:rFonts w:ascii="Arial" w:hAnsi="Arial" w:cs="Arial"/>
          <w:color w:val="000000" w:themeColor="text1"/>
          <w:sz w:val="21"/>
          <w:szCs w:val="21"/>
          <w:lang w:val="es-ES_tradnl"/>
        </w:rPr>
        <w:t>participación</w:t>
      </w:r>
      <w:r w:rsidR="00AF4169" w:rsidRPr="00DD5F33">
        <w:rPr>
          <w:rFonts w:ascii="Arial" w:hAnsi="Arial" w:cs="Arial"/>
          <w:color w:val="000000" w:themeColor="text1"/>
          <w:sz w:val="21"/>
          <w:szCs w:val="21"/>
          <w:lang w:val="es-ES_tradnl"/>
        </w:rPr>
        <w:t xml:space="preserve"> antes enunciados frente a los </w:t>
      </w:r>
      <w:r w:rsidR="00F56C39" w:rsidRPr="00DD5F33">
        <w:rPr>
          <w:rFonts w:ascii="Arial" w:hAnsi="Arial" w:cs="Arial"/>
          <w:color w:val="000000" w:themeColor="text1"/>
          <w:sz w:val="21"/>
          <w:szCs w:val="21"/>
          <w:lang w:val="es-ES_tradnl"/>
        </w:rPr>
        <w:t>demás</w:t>
      </w:r>
      <w:r w:rsidR="00AF4169" w:rsidRPr="00DD5F33">
        <w:rPr>
          <w:rFonts w:ascii="Arial" w:hAnsi="Arial" w:cs="Arial"/>
          <w:color w:val="000000" w:themeColor="text1"/>
          <w:sz w:val="21"/>
          <w:szCs w:val="21"/>
          <w:lang w:val="es-ES_tradnl"/>
        </w:rPr>
        <w:t xml:space="preserve"> proponentes que concurran al procedimiento de </w:t>
      </w:r>
      <w:r w:rsidR="00F56C39" w:rsidRPr="00DD5F33">
        <w:rPr>
          <w:rFonts w:ascii="Arial" w:hAnsi="Arial" w:cs="Arial"/>
          <w:color w:val="000000" w:themeColor="text1"/>
          <w:sz w:val="21"/>
          <w:szCs w:val="21"/>
          <w:lang w:val="es-ES_tradnl"/>
        </w:rPr>
        <w:t>selección</w:t>
      </w:r>
      <w:r w:rsidR="00AF4169" w:rsidRPr="00DD5F33">
        <w:rPr>
          <w:rFonts w:ascii="Arial" w:hAnsi="Arial" w:cs="Arial"/>
          <w:color w:val="000000" w:themeColor="text1"/>
          <w:sz w:val="21"/>
          <w:szCs w:val="21"/>
          <w:lang w:val="es-ES_tradnl"/>
        </w:rPr>
        <w:t xml:space="preserve"> que no sean Mipyme.</w:t>
      </w:r>
    </w:p>
    <w:p w14:paraId="10B63AA1" w14:textId="77777777" w:rsidR="00F56C39" w:rsidRPr="00DD5F33" w:rsidRDefault="00F56C39" w:rsidP="00AF4169">
      <w:pPr>
        <w:ind w:left="709" w:right="709"/>
        <w:jc w:val="both"/>
        <w:rPr>
          <w:rFonts w:ascii="Arial" w:hAnsi="Arial" w:cs="Arial"/>
          <w:color w:val="000000" w:themeColor="text1"/>
          <w:sz w:val="21"/>
          <w:szCs w:val="21"/>
          <w:lang w:val="es-ES_tradnl"/>
        </w:rPr>
      </w:pPr>
    </w:p>
    <w:p w14:paraId="0759594F" w14:textId="6845BA95"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AF4169" w:rsidRPr="00DD5F33">
        <w:rPr>
          <w:rFonts w:ascii="Arial" w:hAnsi="Arial" w:cs="Arial"/>
          <w:color w:val="000000" w:themeColor="text1"/>
          <w:sz w:val="21"/>
          <w:szCs w:val="21"/>
          <w:lang w:val="es-ES_tradnl"/>
        </w:rPr>
        <w:t xml:space="preserve">Con </w:t>
      </w:r>
      <w:r w:rsidR="00F56C39" w:rsidRPr="00DD5F33">
        <w:rPr>
          <w:rFonts w:ascii="Arial" w:hAnsi="Arial" w:cs="Arial"/>
          <w:color w:val="000000" w:themeColor="text1"/>
          <w:sz w:val="21"/>
          <w:szCs w:val="21"/>
          <w:lang w:val="es-ES_tradnl"/>
        </w:rPr>
        <w:t>excepción</w:t>
      </w:r>
      <w:r w:rsidR="00AF4169" w:rsidRPr="00DD5F33">
        <w:rPr>
          <w:rFonts w:ascii="Arial" w:hAnsi="Arial" w:cs="Arial"/>
          <w:color w:val="000000" w:themeColor="text1"/>
          <w:sz w:val="21"/>
          <w:szCs w:val="21"/>
          <w:lang w:val="es-ES_tradnl"/>
        </w:rPr>
        <w:t xml:space="preserve"> de los procedimientos de </w:t>
      </w:r>
      <w:r w:rsidR="00F56C39" w:rsidRPr="00DD5F33">
        <w:rPr>
          <w:rFonts w:ascii="Arial" w:hAnsi="Arial" w:cs="Arial"/>
          <w:color w:val="000000" w:themeColor="text1"/>
          <w:sz w:val="21"/>
          <w:szCs w:val="21"/>
          <w:lang w:val="es-ES_tradnl"/>
        </w:rPr>
        <w:t>selección</w:t>
      </w:r>
      <w:r w:rsidR="00AF4169" w:rsidRPr="00DD5F33">
        <w:rPr>
          <w:rFonts w:ascii="Arial" w:hAnsi="Arial" w:cs="Arial"/>
          <w:color w:val="000000" w:themeColor="text1"/>
          <w:sz w:val="21"/>
          <w:szCs w:val="21"/>
          <w:lang w:val="es-ES_tradnl"/>
        </w:rPr>
        <w:t xml:space="preserve"> abreviada por subasta inversa y de </w:t>
      </w:r>
      <w:r w:rsidR="00F56C39" w:rsidRPr="00DD5F33">
        <w:rPr>
          <w:rFonts w:ascii="Arial" w:hAnsi="Arial" w:cs="Arial"/>
          <w:color w:val="000000" w:themeColor="text1"/>
          <w:sz w:val="21"/>
          <w:szCs w:val="21"/>
          <w:lang w:val="es-ES_tradnl"/>
        </w:rPr>
        <w:t>mínima</w:t>
      </w:r>
      <w:r w:rsidR="00AF4169" w:rsidRPr="00DD5F33">
        <w:rPr>
          <w:rFonts w:ascii="Arial" w:hAnsi="Arial" w:cs="Arial"/>
          <w:color w:val="000000" w:themeColor="text1"/>
          <w:sz w:val="21"/>
          <w:szCs w:val="21"/>
          <w:lang w:val="es-ES_tradnl"/>
        </w:rPr>
        <w:t xml:space="preserve"> </w:t>
      </w:r>
      <w:r w:rsidR="00F56C39" w:rsidRPr="00DD5F33">
        <w:rPr>
          <w:rFonts w:ascii="Arial" w:hAnsi="Arial" w:cs="Arial"/>
          <w:color w:val="000000" w:themeColor="text1"/>
          <w:sz w:val="21"/>
          <w:szCs w:val="21"/>
          <w:lang w:val="es-ES_tradnl"/>
        </w:rPr>
        <w:t>cuantía</w:t>
      </w:r>
      <w:r w:rsidR="00AF4169" w:rsidRPr="00DD5F33">
        <w:rPr>
          <w:rFonts w:ascii="Arial" w:hAnsi="Arial" w:cs="Arial"/>
          <w:color w:val="000000" w:themeColor="text1"/>
          <w:sz w:val="21"/>
          <w:szCs w:val="21"/>
          <w:lang w:val="es-ES_tradnl"/>
        </w:rPr>
        <w:t xml:space="preserve">, las entidades sometidas al Estatuto General de </w:t>
      </w:r>
      <w:r w:rsidR="00F56C39" w:rsidRPr="00DD5F33">
        <w:rPr>
          <w:rFonts w:ascii="Arial" w:hAnsi="Arial" w:cs="Arial"/>
          <w:color w:val="000000" w:themeColor="text1"/>
          <w:sz w:val="21"/>
          <w:szCs w:val="21"/>
          <w:lang w:val="es-ES_tradnl"/>
        </w:rPr>
        <w:t>Contratación</w:t>
      </w:r>
      <w:r w:rsidR="006727FE" w:rsidRPr="00DD5F33">
        <w:rPr>
          <w:rFonts w:ascii="Arial" w:hAnsi="Arial" w:cs="Arial"/>
          <w:color w:val="000000" w:themeColor="text1"/>
          <w:sz w:val="21"/>
          <w:szCs w:val="21"/>
          <w:lang w:val="es-ES_tradnl"/>
        </w:rPr>
        <w:t xml:space="preserve"> de la </w:t>
      </w:r>
      <w:r w:rsidR="002E2515" w:rsidRPr="00DD5F33">
        <w:rPr>
          <w:rFonts w:ascii="Arial" w:hAnsi="Arial" w:cs="Arial"/>
          <w:color w:val="000000" w:themeColor="text1"/>
          <w:sz w:val="21"/>
          <w:szCs w:val="21"/>
          <w:lang w:val="es-ES_tradnl"/>
        </w:rPr>
        <w:t>Administración</w:t>
      </w:r>
      <w:r w:rsidR="006727FE" w:rsidRPr="00DD5F33">
        <w:rPr>
          <w:rFonts w:ascii="Arial" w:hAnsi="Arial" w:cs="Arial"/>
          <w:color w:val="000000" w:themeColor="text1"/>
          <w:sz w:val="21"/>
          <w:szCs w:val="21"/>
          <w:lang w:val="es-ES_tradnl"/>
        </w:rPr>
        <w:t xml:space="preserve"> </w:t>
      </w:r>
      <w:r w:rsidR="002E2515" w:rsidRPr="00DD5F33">
        <w:rPr>
          <w:rFonts w:ascii="Arial" w:hAnsi="Arial" w:cs="Arial"/>
          <w:color w:val="000000" w:themeColor="text1"/>
          <w:sz w:val="21"/>
          <w:szCs w:val="21"/>
          <w:lang w:val="es-ES_tradnl"/>
        </w:rPr>
        <w:t>Pública</w:t>
      </w:r>
      <w:r w:rsidR="006727FE" w:rsidRPr="00DD5F33">
        <w:rPr>
          <w:rFonts w:ascii="Arial" w:hAnsi="Arial" w:cs="Arial"/>
          <w:color w:val="000000" w:themeColor="text1"/>
          <w:sz w:val="21"/>
          <w:szCs w:val="21"/>
          <w:lang w:val="es-ES_tradnl"/>
        </w:rPr>
        <w:t xml:space="preserve">, teniendo en cuenta los criterios de </w:t>
      </w:r>
      <w:r w:rsidR="002E2515" w:rsidRPr="00DD5F33">
        <w:rPr>
          <w:rFonts w:ascii="Arial" w:hAnsi="Arial" w:cs="Arial"/>
          <w:color w:val="000000" w:themeColor="text1"/>
          <w:sz w:val="21"/>
          <w:szCs w:val="21"/>
          <w:lang w:val="es-ES_tradnl"/>
        </w:rPr>
        <w:t>clasificación</w:t>
      </w:r>
      <w:r w:rsidR="006727FE" w:rsidRPr="00DD5F33">
        <w:rPr>
          <w:rFonts w:ascii="Arial" w:hAnsi="Arial" w:cs="Arial"/>
          <w:color w:val="000000" w:themeColor="text1"/>
          <w:sz w:val="21"/>
          <w:szCs w:val="21"/>
          <w:lang w:val="es-ES_tradnl"/>
        </w:rPr>
        <w:t xml:space="preserve"> empresarial, </w:t>
      </w:r>
      <w:r w:rsidR="002E2515" w:rsidRPr="00DD5F33">
        <w:rPr>
          <w:rFonts w:ascii="Arial" w:hAnsi="Arial" w:cs="Arial"/>
          <w:color w:val="000000" w:themeColor="text1"/>
          <w:sz w:val="21"/>
          <w:szCs w:val="21"/>
          <w:lang w:val="es-ES_tradnl"/>
        </w:rPr>
        <w:t>podrán</w:t>
      </w:r>
      <w:r w:rsidR="006727FE" w:rsidRPr="00DD5F33">
        <w:rPr>
          <w:rFonts w:ascii="Arial" w:hAnsi="Arial" w:cs="Arial"/>
          <w:color w:val="000000" w:themeColor="text1"/>
          <w:sz w:val="21"/>
          <w:szCs w:val="21"/>
          <w:lang w:val="es-ES_tradnl"/>
        </w:rPr>
        <w:t xml:space="preserve"> establecer puntajes adicionales para Mipyme. En </w:t>
      </w:r>
      <w:r w:rsidR="002E2515" w:rsidRPr="00DD5F33">
        <w:rPr>
          <w:rFonts w:ascii="Arial" w:hAnsi="Arial" w:cs="Arial"/>
          <w:color w:val="000000" w:themeColor="text1"/>
          <w:sz w:val="21"/>
          <w:szCs w:val="21"/>
          <w:lang w:val="es-ES_tradnl"/>
        </w:rPr>
        <w:t>ningún</w:t>
      </w:r>
      <w:r w:rsidR="006727FE" w:rsidRPr="00DD5F33">
        <w:rPr>
          <w:rFonts w:ascii="Arial" w:hAnsi="Arial" w:cs="Arial"/>
          <w:color w:val="000000" w:themeColor="text1"/>
          <w:sz w:val="21"/>
          <w:szCs w:val="21"/>
          <w:lang w:val="es-ES_tradnl"/>
        </w:rPr>
        <w:t xml:space="preserve"> caso, estos </w:t>
      </w:r>
      <w:r w:rsidR="002E2515" w:rsidRPr="00DD5F33">
        <w:rPr>
          <w:rFonts w:ascii="Arial" w:hAnsi="Arial" w:cs="Arial"/>
          <w:color w:val="000000" w:themeColor="text1"/>
          <w:sz w:val="21"/>
          <w:szCs w:val="21"/>
          <w:lang w:val="es-ES_tradnl"/>
        </w:rPr>
        <w:t>podrán</w:t>
      </w:r>
      <w:r w:rsidR="006727FE" w:rsidRPr="00DD5F33">
        <w:rPr>
          <w:rFonts w:ascii="Arial" w:hAnsi="Arial" w:cs="Arial"/>
          <w:color w:val="000000" w:themeColor="text1"/>
          <w:sz w:val="21"/>
          <w:szCs w:val="21"/>
          <w:lang w:val="es-ES_tradnl"/>
        </w:rPr>
        <w:t xml:space="preserve"> superar el cero punto veinticinco por ciento (0.25%) del total de los puntos establecidos en el pliego de condiciones.</w:t>
      </w:r>
    </w:p>
    <w:p w14:paraId="59DFE55E" w14:textId="77777777" w:rsidR="002E2515" w:rsidRPr="00DD5F33" w:rsidRDefault="002E2515" w:rsidP="006727FE">
      <w:pPr>
        <w:ind w:left="709" w:right="709"/>
        <w:jc w:val="both"/>
        <w:rPr>
          <w:rFonts w:ascii="Arial" w:hAnsi="Arial" w:cs="Arial"/>
          <w:color w:val="000000" w:themeColor="text1"/>
          <w:sz w:val="21"/>
          <w:szCs w:val="21"/>
          <w:lang w:val="es-ES_tradnl"/>
        </w:rPr>
      </w:pPr>
    </w:p>
    <w:p w14:paraId="09C3E672" w14:textId="5613D745"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 xml:space="preserve">PARÁGRAFO 1. Para los efectos de este </w:t>
      </w:r>
      <w:r w:rsidR="00986B2A" w:rsidRPr="00DD5F33">
        <w:rPr>
          <w:rFonts w:ascii="Arial" w:hAnsi="Arial" w:cs="Arial"/>
          <w:color w:val="000000" w:themeColor="text1"/>
          <w:sz w:val="21"/>
          <w:szCs w:val="21"/>
          <w:lang w:val="es-ES_tradnl"/>
        </w:rPr>
        <w:t>artículo</w:t>
      </w:r>
      <w:r w:rsidR="006727FE" w:rsidRPr="00DD5F33">
        <w:rPr>
          <w:rFonts w:ascii="Arial" w:hAnsi="Arial" w:cs="Arial"/>
          <w:color w:val="000000" w:themeColor="text1"/>
          <w:sz w:val="21"/>
          <w:szCs w:val="21"/>
          <w:lang w:val="es-ES_tradnl"/>
        </w:rPr>
        <w:t xml:space="preserve">, los criterios de </w:t>
      </w:r>
      <w:r w:rsidR="00986B2A" w:rsidRPr="00DD5F33">
        <w:rPr>
          <w:rFonts w:ascii="Arial" w:hAnsi="Arial" w:cs="Arial"/>
          <w:color w:val="000000" w:themeColor="text1"/>
          <w:sz w:val="21"/>
          <w:szCs w:val="21"/>
          <w:lang w:val="es-ES_tradnl"/>
        </w:rPr>
        <w:t>clasificación</w:t>
      </w:r>
      <w:r w:rsidR="006727FE" w:rsidRPr="00DD5F33">
        <w:rPr>
          <w:rFonts w:ascii="Arial" w:hAnsi="Arial" w:cs="Arial"/>
          <w:color w:val="000000" w:themeColor="text1"/>
          <w:sz w:val="21"/>
          <w:szCs w:val="21"/>
          <w:lang w:val="es-ES_tradnl"/>
        </w:rPr>
        <w:t xml:space="preserve"> empresarial son los definidos en el </w:t>
      </w:r>
      <w:r w:rsidR="00986B2A" w:rsidRPr="00DD5F33">
        <w:rPr>
          <w:rFonts w:ascii="Arial" w:hAnsi="Arial" w:cs="Arial"/>
          <w:color w:val="000000" w:themeColor="text1"/>
          <w:sz w:val="21"/>
          <w:szCs w:val="21"/>
          <w:lang w:val="es-ES_tradnl"/>
        </w:rPr>
        <w:t>artículo</w:t>
      </w:r>
      <w:r w:rsidR="006727FE" w:rsidRPr="00DD5F33">
        <w:rPr>
          <w:rFonts w:ascii="Arial" w:hAnsi="Arial" w:cs="Arial"/>
          <w:color w:val="000000" w:themeColor="text1"/>
          <w:sz w:val="21"/>
          <w:szCs w:val="21"/>
          <w:lang w:val="es-ES_tradnl"/>
        </w:rPr>
        <w:t xml:space="preserve"> 2.2.1.13.2.2 del Decreto 1074 de 2015, </w:t>
      </w:r>
      <w:r w:rsidR="00986B2A" w:rsidRPr="00DD5F33">
        <w:rPr>
          <w:rFonts w:ascii="Arial" w:hAnsi="Arial" w:cs="Arial"/>
          <w:color w:val="000000" w:themeColor="text1"/>
          <w:sz w:val="21"/>
          <w:szCs w:val="21"/>
          <w:lang w:val="es-ES_tradnl"/>
        </w:rPr>
        <w:t>Único</w:t>
      </w:r>
      <w:r w:rsidR="006727FE" w:rsidRPr="00DD5F33">
        <w:rPr>
          <w:rFonts w:ascii="Arial" w:hAnsi="Arial" w:cs="Arial"/>
          <w:color w:val="000000" w:themeColor="text1"/>
          <w:sz w:val="21"/>
          <w:szCs w:val="21"/>
          <w:lang w:val="es-ES_tradnl"/>
        </w:rPr>
        <w:t xml:space="preserve"> Reglamentario del Sector Comercio, Industria y Turismo, o la norma que lo modifique, derogue o sustituya.</w:t>
      </w:r>
    </w:p>
    <w:p w14:paraId="199769C1" w14:textId="77777777" w:rsidR="00986B2A" w:rsidRPr="00DD5F33" w:rsidRDefault="00986B2A" w:rsidP="006727FE">
      <w:pPr>
        <w:ind w:left="709" w:right="709"/>
        <w:jc w:val="both"/>
        <w:rPr>
          <w:rFonts w:ascii="Arial" w:hAnsi="Arial" w:cs="Arial"/>
          <w:color w:val="000000" w:themeColor="text1"/>
          <w:sz w:val="21"/>
          <w:szCs w:val="21"/>
          <w:lang w:val="es-ES_tradnl"/>
        </w:rPr>
      </w:pPr>
    </w:p>
    <w:p w14:paraId="3B6C667A" w14:textId="5236568B"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 xml:space="preserve">PARÁGRAFO 2. </w:t>
      </w:r>
      <w:r w:rsidR="00986B2A" w:rsidRPr="00DD5F33">
        <w:rPr>
          <w:rFonts w:ascii="Arial" w:hAnsi="Arial" w:cs="Arial"/>
          <w:color w:val="000000" w:themeColor="text1"/>
          <w:sz w:val="21"/>
          <w:szCs w:val="21"/>
          <w:lang w:val="es-ES_tradnl"/>
        </w:rPr>
        <w:t>Tratándose</w:t>
      </w:r>
      <w:r w:rsidR="006727FE" w:rsidRPr="00DD5F33">
        <w:rPr>
          <w:rFonts w:ascii="Arial" w:hAnsi="Arial" w:cs="Arial"/>
          <w:color w:val="000000" w:themeColor="text1"/>
          <w:sz w:val="21"/>
          <w:szCs w:val="21"/>
          <w:lang w:val="es-ES_tradnl"/>
        </w:rPr>
        <w:t xml:space="preserve"> de proponentes plurales, los criterios diferenciales y los puntajes adicionales solo se </w:t>
      </w:r>
      <w:r w:rsidR="00986B2A" w:rsidRPr="00DD5F33">
        <w:rPr>
          <w:rFonts w:ascii="Arial" w:hAnsi="Arial" w:cs="Arial"/>
          <w:color w:val="000000" w:themeColor="text1"/>
          <w:sz w:val="21"/>
          <w:szCs w:val="21"/>
          <w:lang w:val="es-ES_tradnl"/>
        </w:rPr>
        <w:t>aplicarán</w:t>
      </w:r>
      <w:r w:rsidR="006727FE" w:rsidRPr="00DD5F33">
        <w:rPr>
          <w:rFonts w:ascii="Arial" w:hAnsi="Arial" w:cs="Arial"/>
          <w:color w:val="000000" w:themeColor="text1"/>
          <w:sz w:val="21"/>
          <w:szCs w:val="21"/>
          <w:lang w:val="es-ES_tradnl"/>
        </w:rPr>
        <w:t xml:space="preserve"> si por lo menos uno de los integrantes acredita la calidad de Mipyme y tiene una </w:t>
      </w:r>
      <w:r w:rsidR="00986B2A" w:rsidRPr="00DD5F33">
        <w:rPr>
          <w:rFonts w:ascii="Arial" w:hAnsi="Arial" w:cs="Arial"/>
          <w:color w:val="000000" w:themeColor="text1"/>
          <w:sz w:val="21"/>
          <w:szCs w:val="21"/>
          <w:lang w:val="es-ES_tradnl"/>
        </w:rPr>
        <w:t>participación</w:t>
      </w:r>
      <w:r w:rsidR="006727FE" w:rsidRPr="00DD5F33">
        <w:rPr>
          <w:rFonts w:ascii="Arial" w:hAnsi="Arial" w:cs="Arial"/>
          <w:color w:val="000000" w:themeColor="text1"/>
          <w:sz w:val="21"/>
          <w:szCs w:val="21"/>
          <w:lang w:val="es-ES_tradnl"/>
        </w:rPr>
        <w:t xml:space="preserve"> igual o superior al diez por ciento (10%) en el consorcio o la </w:t>
      </w:r>
      <w:r w:rsidR="00AB7A86" w:rsidRPr="00DD5F33">
        <w:rPr>
          <w:rFonts w:ascii="Arial" w:hAnsi="Arial" w:cs="Arial"/>
          <w:color w:val="000000" w:themeColor="text1"/>
          <w:sz w:val="21"/>
          <w:szCs w:val="21"/>
          <w:lang w:val="es-ES_tradnl"/>
        </w:rPr>
        <w:t>unión</w:t>
      </w:r>
      <w:r w:rsidR="006727FE" w:rsidRPr="00DD5F33">
        <w:rPr>
          <w:rFonts w:ascii="Arial" w:hAnsi="Arial" w:cs="Arial"/>
          <w:color w:val="000000" w:themeColor="text1"/>
          <w:sz w:val="21"/>
          <w:szCs w:val="21"/>
          <w:lang w:val="es-ES_tradnl"/>
        </w:rPr>
        <w:t xml:space="preserve"> temporal.</w:t>
      </w:r>
    </w:p>
    <w:p w14:paraId="393ABE01" w14:textId="77777777" w:rsidR="00AB7A86" w:rsidRPr="00DD5F33" w:rsidRDefault="00AB7A86" w:rsidP="006727FE">
      <w:pPr>
        <w:ind w:left="709" w:right="709"/>
        <w:jc w:val="both"/>
        <w:rPr>
          <w:rFonts w:ascii="Arial" w:hAnsi="Arial" w:cs="Arial"/>
          <w:color w:val="000000" w:themeColor="text1"/>
          <w:sz w:val="21"/>
          <w:szCs w:val="21"/>
          <w:lang w:val="es-ES_tradnl"/>
        </w:rPr>
      </w:pPr>
    </w:p>
    <w:p w14:paraId="48A41F9A" w14:textId="09A30298"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 xml:space="preserve">PARÁGRAFO 3. Lo previsto en esta norma aplica sin perjuicio de lo dispuesto en los Acuerdos Comerciales suscritos por el Estado colombiano, pero no rige en las convocatorias limitadas que se realicen conforme a los </w:t>
      </w:r>
      <w:r w:rsidR="00AB7A86" w:rsidRPr="00DD5F33">
        <w:rPr>
          <w:rFonts w:ascii="Arial" w:hAnsi="Arial" w:cs="Arial"/>
          <w:color w:val="000000" w:themeColor="text1"/>
          <w:sz w:val="21"/>
          <w:szCs w:val="21"/>
          <w:lang w:val="es-ES_tradnl"/>
        </w:rPr>
        <w:t>artículos</w:t>
      </w:r>
      <w:r w:rsidR="006727FE" w:rsidRPr="00DD5F33">
        <w:rPr>
          <w:rFonts w:ascii="Arial" w:hAnsi="Arial" w:cs="Arial"/>
          <w:color w:val="000000" w:themeColor="text1"/>
          <w:sz w:val="21"/>
          <w:szCs w:val="21"/>
          <w:lang w:val="es-ES_tradnl"/>
        </w:rPr>
        <w:t xml:space="preserve"> 2.2.1.2.4.2.2 y 2.2.1.2.4.2.3 de este Decreto."</w:t>
      </w:r>
    </w:p>
    <w:p w14:paraId="6966258B" w14:textId="77777777" w:rsidR="00AB7A86" w:rsidRPr="00DD5F33" w:rsidRDefault="00AB7A86" w:rsidP="006727FE">
      <w:pPr>
        <w:ind w:left="709" w:right="709"/>
        <w:jc w:val="both"/>
        <w:rPr>
          <w:rFonts w:ascii="Arial" w:hAnsi="Arial" w:cs="Arial"/>
          <w:color w:val="000000" w:themeColor="text1"/>
          <w:sz w:val="21"/>
          <w:szCs w:val="21"/>
          <w:lang w:val="es-ES_tradnl"/>
        </w:rPr>
      </w:pPr>
    </w:p>
    <w:p w14:paraId="5B5D2325" w14:textId="4DA72A81"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 xml:space="preserve">Bajo este </w:t>
      </w:r>
      <w:r w:rsidR="00AB7A86" w:rsidRPr="00DD5F33">
        <w:rPr>
          <w:rFonts w:ascii="Arial" w:hAnsi="Arial" w:cs="Arial"/>
          <w:color w:val="000000" w:themeColor="text1"/>
          <w:sz w:val="21"/>
          <w:szCs w:val="21"/>
          <w:lang w:val="es-ES_tradnl"/>
        </w:rPr>
        <w:t>artículo</w:t>
      </w:r>
      <w:r w:rsidR="006727FE" w:rsidRPr="00DD5F33">
        <w:rPr>
          <w:rFonts w:ascii="Arial" w:hAnsi="Arial" w:cs="Arial"/>
          <w:color w:val="000000" w:themeColor="text1"/>
          <w:sz w:val="21"/>
          <w:szCs w:val="21"/>
          <w:lang w:val="es-ES_tradnl"/>
        </w:rPr>
        <w:t xml:space="preserve"> se consulta:</w:t>
      </w:r>
    </w:p>
    <w:p w14:paraId="1F1A383B" w14:textId="211673ED"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 xml:space="preserve">1. Deben seguirse aplicando los </w:t>
      </w:r>
      <w:r w:rsidR="00AB7A86" w:rsidRPr="00DD5F33">
        <w:rPr>
          <w:rFonts w:ascii="Arial" w:hAnsi="Arial" w:cs="Arial"/>
          <w:color w:val="000000" w:themeColor="text1"/>
          <w:sz w:val="21"/>
          <w:szCs w:val="21"/>
          <w:lang w:val="es-ES_tradnl"/>
        </w:rPr>
        <w:t>demás</w:t>
      </w:r>
      <w:r w:rsidR="006727FE" w:rsidRPr="00DD5F33">
        <w:rPr>
          <w:rFonts w:ascii="Arial" w:hAnsi="Arial" w:cs="Arial"/>
          <w:color w:val="000000" w:themeColor="text1"/>
          <w:sz w:val="21"/>
          <w:szCs w:val="21"/>
          <w:lang w:val="es-ES_tradnl"/>
        </w:rPr>
        <w:t xml:space="preserve"> requisitos establecidos en el </w:t>
      </w:r>
      <w:r w:rsidR="00160A60" w:rsidRPr="00DD5F33">
        <w:rPr>
          <w:rFonts w:ascii="Arial" w:hAnsi="Arial" w:cs="Arial"/>
          <w:color w:val="000000" w:themeColor="text1"/>
          <w:sz w:val="21"/>
          <w:szCs w:val="21"/>
          <w:lang w:val="es-ES_tradnl"/>
        </w:rPr>
        <w:t>artículo</w:t>
      </w:r>
      <w:r w:rsidR="006727FE" w:rsidRPr="00DD5F33">
        <w:rPr>
          <w:rFonts w:ascii="Arial" w:hAnsi="Arial" w:cs="Arial"/>
          <w:color w:val="000000" w:themeColor="text1"/>
          <w:sz w:val="21"/>
          <w:szCs w:val="21"/>
          <w:lang w:val="es-ES_tradnl"/>
        </w:rPr>
        <w:t xml:space="preserve"> 2.2.1.2.4.2.2 “Convocatorias limitadas a Mipyme” del Decreto 1082 de 2015, en lo que refiere al plazo de existencia de la Mipyme, el monto de la </w:t>
      </w:r>
      <w:r w:rsidR="00AB7A86" w:rsidRPr="00DD5F33">
        <w:rPr>
          <w:rFonts w:ascii="Arial" w:hAnsi="Arial" w:cs="Arial"/>
          <w:color w:val="000000" w:themeColor="text1"/>
          <w:sz w:val="21"/>
          <w:szCs w:val="21"/>
          <w:lang w:val="es-ES_tradnl"/>
        </w:rPr>
        <w:t>cuantía</w:t>
      </w:r>
      <w:r w:rsidR="006727FE" w:rsidRPr="00DD5F33">
        <w:rPr>
          <w:rFonts w:ascii="Arial" w:hAnsi="Arial" w:cs="Arial"/>
          <w:color w:val="000000" w:themeColor="text1"/>
          <w:sz w:val="21"/>
          <w:szCs w:val="21"/>
          <w:lang w:val="es-ES_tradnl"/>
        </w:rPr>
        <w:t xml:space="preserve"> del proceso que es susceptible de limitar a Mipyme, el origen nacional de la Mipyme y el plazo para recibir las manifestaciones para limitar el proceso o, nos abstenemos de aplicarlos hasta tanto no sea expedida una nueva </w:t>
      </w:r>
      <w:r w:rsidR="00AB7A86" w:rsidRPr="00DD5F33">
        <w:rPr>
          <w:rFonts w:ascii="Arial" w:hAnsi="Arial" w:cs="Arial"/>
          <w:color w:val="000000" w:themeColor="text1"/>
          <w:sz w:val="21"/>
          <w:szCs w:val="21"/>
          <w:lang w:val="es-ES_tradnl"/>
        </w:rPr>
        <w:t>reglamentación</w:t>
      </w:r>
      <w:r w:rsidR="006727FE" w:rsidRPr="00DD5F33">
        <w:rPr>
          <w:rFonts w:ascii="Arial" w:hAnsi="Arial" w:cs="Arial"/>
          <w:color w:val="000000" w:themeColor="text1"/>
          <w:sz w:val="21"/>
          <w:szCs w:val="21"/>
          <w:lang w:val="es-ES_tradnl"/>
        </w:rPr>
        <w:t xml:space="preserve"> en la materia que fije los montos y las </w:t>
      </w:r>
      <w:r w:rsidR="00AB7A86" w:rsidRPr="00DD5F33">
        <w:rPr>
          <w:rFonts w:ascii="Arial" w:hAnsi="Arial" w:cs="Arial"/>
          <w:color w:val="000000" w:themeColor="text1"/>
          <w:sz w:val="21"/>
          <w:szCs w:val="21"/>
          <w:lang w:val="es-ES_tradnl"/>
        </w:rPr>
        <w:t>demás</w:t>
      </w:r>
      <w:r w:rsidR="006727FE" w:rsidRPr="00DD5F33">
        <w:rPr>
          <w:rFonts w:ascii="Arial" w:hAnsi="Arial" w:cs="Arial"/>
          <w:color w:val="000000" w:themeColor="text1"/>
          <w:sz w:val="21"/>
          <w:szCs w:val="21"/>
          <w:lang w:val="es-ES_tradnl"/>
        </w:rPr>
        <w:t xml:space="preserve"> condiciones para limitar convocatorias </w:t>
      </w:r>
      <w:r w:rsidR="00AB7A86" w:rsidRPr="00DD5F33">
        <w:rPr>
          <w:rFonts w:ascii="Arial" w:hAnsi="Arial" w:cs="Arial"/>
          <w:color w:val="000000" w:themeColor="text1"/>
          <w:sz w:val="21"/>
          <w:szCs w:val="21"/>
          <w:lang w:val="es-ES_tradnl"/>
        </w:rPr>
        <w:t>públicas</w:t>
      </w:r>
      <w:r w:rsidR="006727FE" w:rsidRPr="00DD5F33">
        <w:rPr>
          <w:rFonts w:ascii="Arial" w:hAnsi="Arial" w:cs="Arial"/>
          <w:color w:val="000000" w:themeColor="text1"/>
          <w:sz w:val="21"/>
          <w:szCs w:val="21"/>
          <w:lang w:val="es-ES_tradnl"/>
        </w:rPr>
        <w:t xml:space="preserve"> a la </w:t>
      </w:r>
      <w:r w:rsidR="008B3544" w:rsidRPr="00DD5F33">
        <w:rPr>
          <w:rFonts w:ascii="Arial" w:hAnsi="Arial" w:cs="Arial"/>
          <w:color w:val="000000" w:themeColor="text1"/>
          <w:sz w:val="21"/>
          <w:szCs w:val="21"/>
          <w:lang w:val="es-ES_tradnl"/>
        </w:rPr>
        <w:t>participación</w:t>
      </w:r>
      <w:r w:rsidR="006727FE" w:rsidRPr="00DD5F33">
        <w:rPr>
          <w:rFonts w:ascii="Arial" w:hAnsi="Arial" w:cs="Arial"/>
          <w:color w:val="000000" w:themeColor="text1"/>
          <w:sz w:val="21"/>
          <w:szCs w:val="21"/>
          <w:lang w:val="es-ES_tradnl"/>
        </w:rPr>
        <w:t xml:space="preserve"> de Mipymes?</w:t>
      </w:r>
    </w:p>
    <w:p w14:paraId="271D45E8" w14:textId="77777777" w:rsidR="008B3544" w:rsidRPr="00DD5F33" w:rsidRDefault="008B3544" w:rsidP="006727FE">
      <w:pPr>
        <w:ind w:left="709" w:right="709"/>
        <w:jc w:val="both"/>
        <w:rPr>
          <w:rFonts w:ascii="Arial" w:hAnsi="Arial" w:cs="Arial"/>
          <w:color w:val="000000" w:themeColor="text1"/>
          <w:sz w:val="21"/>
          <w:szCs w:val="21"/>
          <w:lang w:val="es-ES_tradnl"/>
        </w:rPr>
      </w:pPr>
    </w:p>
    <w:p w14:paraId="4BEBF797" w14:textId="756A1580" w:rsidR="006727FE" w:rsidRPr="00DD5F33" w:rsidRDefault="00EB6C66" w:rsidP="006727F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w:t>
      </w:r>
      <w:r w:rsidR="006727FE" w:rsidRPr="00DD5F33">
        <w:rPr>
          <w:rFonts w:ascii="Arial" w:hAnsi="Arial" w:cs="Arial"/>
          <w:color w:val="000000" w:themeColor="text1"/>
          <w:sz w:val="21"/>
          <w:szCs w:val="21"/>
          <w:lang w:val="es-ES_tradnl"/>
        </w:rPr>
        <w:t xml:space="preserve">2. De acuerdo con el </w:t>
      </w:r>
      <w:r w:rsidR="008B3544" w:rsidRPr="00DD5F33">
        <w:rPr>
          <w:rFonts w:ascii="Arial" w:hAnsi="Arial" w:cs="Arial"/>
          <w:color w:val="000000" w:themeColor="text1"/>
          <w:sz w:val="21"/>
          <w:szCs w:val="21"/>
          <w:lang w:val="es-ES_tradnl"/>
        </w:rPr>
        <w:t>artículo</w:t>
      </w:r>
      <w:r w:rsidR="006727FE" w:rsidRPr="00DD5F33">
        <w:rPr>
          <w:rFonts w:ascii="Arial" w:hAnsi="Arial" w:cs="Arial"/>
          <w:color w:val="000000" w:themeColor="text1"/>
          <w:sz w:val="21"/>
          <w:szCs w:val="21"/>
          <w:lang w:val="es-ES_tradnl"/>
        </w:rPr>
        <w:t xml:space="preserve"> 8 del Decreto 1860 de 2021, este aplicará para los procedimientos de </w:t>
      </w:r>
      <w:r w:rsidR="008B3544" w:rsidRPr="00DD5F33">
        <w:rPr>
          <w:rFonts w:ascii="Arial" w:hAnsi="Arial" w:cs="Arial"/>
          <w:color w:val="000000" w:themeColor="text1"/>
          <w:sz w:val="21"/>
          <w:szCs w:val="21"/>
          <w:lang w:val="es-ES_tradnl"/>
        </w:rPr>
        <w:t>selección</w:t>
      </w:r>
      <w:r w:rsidR="006727FE" w:rsidRPr="00DD5F33">
        <w:rPr>
          <w:rFonts w:ascii="Arial" w:hAnsi="Arial" w:cs="Arial"/>
          <w:color w:val="000000" w:themeColor="text1"/>
          <w:sz w:val="21"/>
          <w:szCs w:val="21"/>
          <w:lang w:val="es-ES_tradnl"/>
        </w:rPr>
        <w:t xml:space="preserve"> cuya </w:t>
      </w:r>
      <w:r w:rsidR="008B3544" w:rsidRPr="00DD5F33">
        <w:rPr>
          <w:rFonts w:ascii="Arial" w:hAnsi="Arial" w:cs="Arial"/>
          <w:color w:val="000000" w:themeColor="text1"/>
          <w:sz w:val="21"/>
          <w:szCs w:val="21"/>
          <w:lang w:val="es-ES_tradnl"/>
        </w:rPr>
        <w:t>invitación</w:t>
      </w:r>
      <w:r w:rsidR="006727FE" w:rsidRPr="00DD5F33">
        <w:rPr>
          <w:rFonts w:ascii="Arial" w:hAnsi="Arial" w:cs="Arial"/>
          <w:color w:val="000000" w:themeColor="text1"/>
          <w:sz w:val="21"/>
          <w:szCs w:val="21"/>
          <w:lang w:val="es-ES_tradnl"/>
        </w:rPr>
        <w:t>, aviso de convocatoria o documento equivalente se publique a partir del 24 de marzo de 2022. ¿Las entidades estatales, no podemos adoptar convocatorias limitadas a Mipymes?</w:t>
      </w:r>
    </w:p>
    <w:p w14:paraId="4BA9E58D" w14:textId="77777777" w:rsidR="00343418" w:rsidRPr="00DD5F33" w:rsidRDefault="00343418" w:rsidP="006727FE">
      <w:pPr>
        <w:ind w:left="709" w:right="709"/>
        <w:jc w:val="both"/>
        <w:rPr>
          <w:rFonts w:ascii="Arial" w:hAnsi="Arial" w:cs="Arial"/>
          <w:color w:val="000000" w:themeColor="text1"/>
          <w:sz w:val="21"/>
          <w:szCs w:val="21"/>
          <w:lang w:val="es-ES_tradnl"/>
        </w:rPr>
      </w:pPr>
    </w:p>
    <w:p w14:paraId="052A1C9E" w14:textId="01C7B781"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6727FE" w:rsidRPr="00DD5F33">
        <w:rPr>
          <w:rFonts w:ascii="Arial" w:hAnsi="Arial" w:cs="Arial"/>
          <w:color w:val="000000" w:themeColor="text1"/>
          <w:sz w:val="21"/>
          <w:szCs w:val="21"/>
          <w:lang w:val="es-ES_tradnl"/>
        </w:rPr>
        <w:t>3.</w:t>
      </w:r>
      <w:r w:rsidR="007F7CC8" w:rsidRPr="00DD5F33">
        <w:rPr>
          <w:rFonts w:ascii="Arial" w:hAnsi="Arial" w:cs="Arial"/>
          <w:color w:val="000000" w:themeColor="text1"/>
          <w:sz w:val="21"/>
          <w:szCs w:val="21"/>
          <w:lang w:val="es-ES_tradnl"/>
        </w:rPr>
        <w:t xml:space="preserve"> </w:t>
      </w:r>
      <w:r w:rsidR="006727FE" w:rsidRPr="00DD5F33">
        <w:rPr>
          <w:rFonts w:ascii="Arial" w:hAnsi="Arial" w:cs="Arial"/>
          <w:color w:val="000000" w:themeColor="text1"/>
          <w:sz w:val="21"/>
          <w:szCs w:val="21"/>
          <w:lang w:val="es-ES_tradnl"/>
        </w:rPr>
        <w:t xml:space="preserve">Teniendo en cuenta que en los </w:t>
      </w:r>
      <w:r w:rsidR="00343418" w:rsidRPr="00DD5F33">
        <w:rPr>
          <w:rFonts w:ascii="Arial" w:hAnsi="Arial" w:cs="Arial"/>
          <w:color w:val="000000" w:themeColor="text1"/>
          <w:sz w:val="21"/>
          <w:szCs w:val="21"/>
          <w:lang w:val="es-ES_tradnl"/>
        </w:rPr>
        <w:t>demás</w:t>
      </w:r>
      <w:r w:rsidR="006727FE" w:rsidRPr="00DD5F33">
        <w:rPr>
          <w:rFonts w:ascii="Arial" w:hAnsi="Arial" w:cs="Arial"/>
          <w:color w:val="000000" w:themeColor="text1"/>
          <w:sz w:val="21"/>
          <w:szCs w:val="21"/>
          <w:lang w:val="es-ES_tradnl"/>
        </w:rPr>
        <w:t xml:space="preserve"> procesos de </w:t>
      </w:r>
      <w:r w:rsidR="00343418" w:rsidRPr="00DD5F33">
        <w:rPr>
          <w:rFonts w:ascii="Arial" w:hAnsi="Arial" w:cs="Arial"/>
          <w:color w:val="000000" w:themeColor="text1"/>
          <w:sz w:val="21"/>
          <w:szCs w:val="21"/>
          <w:lang w:val="es-ES_tradnl"/>
        </w:rPr>
        <w:t>contratación</w:t>
      </w:r>
      <w:r w:rsidR="006727FE" w:rsidRPr="00DD5F33">
        <w:rPr>
          <w:rFonts w:ascii="Arial" w:hAnsi="Arial" w:cs="Arial"/>
          <w:color w:val="000000" w:themeColor="text1"/>
          <w:sz w:val="21"/>
          <w:szCs w:val="21"/>
          <w:lang w:val="es-ES_tradnl"/>
        </w:rPr>
        <w:t xml:space="preserve"> la </w:t>
      </w:r>
      <w:r w:rsidR="00343418" w:rsidRPr="00DD5F33">
        <w:rPr>
          <w:rFonts w:ascii="Arial" w:hAnsi="Arial" w:cs="Arial"/>
          <w:color w:val="000000" w:themeColor="text1"/>
          <w:sz w:val="21"/>
          <w:szCs w:val="21"/>
          <w:lang w:val="es-ES_tradnl"/>
        </w:rPr>
        <w:t>manifestación</w:t>
      </w:r>
      <w:r w:rsidR="006727FE" w:rsidRPr="00DD5F33">
        <w:rPr>
          <w:rFonts w:ascii="Arial" w:hAnsi="Arial" w:cs="Arial"/>
          <w:color w:val="000000" w:themeColor="text1"/>
          <w:sz w:val="21"/>
          <w:szCs w:val="21"/>
          <w:lang w:val="es-ES_tradnl"/>
        </w:rPr>
        <w:t xml:space="preserve"> de limitar a Mypimes se encuentra entre la fase intermedia de prepliegos y los pliegos definitivos, la solicitud de limitar a Mypimes para la </w:t>
      </w:r>
      <w:r w:rsidR="00343418" w:rsidRPr="00DD5F33">
        <w:rPr>
          <w:rFonts w:ascii="Arial" w:hAnsi="Arial" w:cs="Arial"/>
          <w:color w:val="000000" w:themeColor="text1"/>
          <w:sz w:val="21"/>
          <w:szCs w:val="21"/>
          <w:lang w:val="es-ES_tradnl"/>
        </w:rPr>
        <w:t>mínima</w:t>
      </w:r>
      <w:r w:rsidR="006727FE" w:rsidRPr="00DD5F33">
        <w:rPr>
          <w:rFonts w:ascii="Arial" w:hAnsi="Arial" w:cs="Arial"/>
          <w:color w:val="000000" w:themeColor="text1"/>
          <w:sz w:val="21"/>
          <w:szCs w:val="21"/>
          <w:lang w:val="es-ES_tradnl"/>
        </w:rPr>
        <w:t xml:space="preserve"> </w:t>
      </w:r>
      <w:r w:rsidR="00343418" w:rsidRPr="00DD5F33">
        <w:rPr>
          <w:rFonts w:ascii="Arial" w:hAnsi="Arial" w:cs="Arial"/>
          <w:color w:val="000000" w:themeColor="text1"/>
          <w:sz w:val="21"/>
          <w:szCs w:val="21"/>
          <w:lang w:val="es-ES_tradnl"/>
        </w:rPr>
        <w:t>cuantía</w:t>
      </w:r>
      <w:r w:rsidR="006727FE" w:rsidRPr="00DD5F33">
        <w:rPr>
          <w:rFonts w:ascii="Arial" w:hAnsi="Arial" w:cs="Arial"/>
          <w:color w:val="000000" w:themeColor="text1"/>
          <w:sz w:val="21"/>
          <w:szCs w:val="21"/>
          <w:lang w:val="es-ES_tradnl"/>
        </w:rPr>
        <w:t xml:space="preserve"> debe hacerse antes de la </w:t>
      </w:r>
      <w:r w:rsidR="00343418" w:rsidRPr="00DD5F33">
        <w:rPr>
          <w:rFonts w:ascii="Arial" w:hAnsi="Arial" w:cs="Arial"/>
          <w:color w:val="000000" w:themeColor="text1"/>
          <w:sz w:val="21"/>
          <w:szCs w:val="21"/>
          <w:lang w:val="es-ES_tradnl"/>
        </w:rPr>
        <w:t>publicación</w:t>
      </w:r>
      <w:r w:rsidR="006727FE" w:rsidRPr="00DD5F33">
        <w:rPr>
          <w:rFonts w:ascii="Arial" w:hAnsi="Arial" w:cs="Arial"/>
          <w:color w:val="000000" w:themeColor="text1"/>
          <w:sz w:val="21"/>
          <w:szCs w:val="21"/>
          <w:lang w:val="es-ES_tradnl"/>
        </w:rPr>
        <w:t xml:space="preserve"> de la </w:t>
      </w:r>
      <w:r w:rsidR="00343418" w:rsidRPr="00DD5F33">
        <w:rPr>
          <w:rFonts w:ascii="Arial" w:hAnsi="Arial" w:cs="Arial"/>
          <w:color w:val="000000" w:themeColor="text1"/>
          <w:sz w:val="21"/>
          <w:szCs w:val="21"/>
          <w:lang w:val="es-ES_tradnl"/>
        </w:rPr>
        <w:t>invitación</w:t>
      </w:r>
      <w:r w:rsidR="006727FE" w:rsidRPr="00DD5F33">
        <w:rPr>
          <w:rFonts w:ascii="Arial" w:hAnsi="Arial" w:cs="Arial"/>
          <w:color w:val="000000" w:themeColor="text1"/>
          <w:sz w:val="21"/>
          <w:szCs w:val="21"/>
          <w:lang w:val="es-ES_tradnl"/>
        </w:rPr>
        <w:t xml:space="preserve"> </w:t>
      </w:r>
      <w:r w:rsidR="00343418" w:rsidRPr="00DD5F33">
        <w:rPr>
          <w:rFonts w:ascii="Arial" w:hAnsi="Arial" w:cs="Arial"/>
          <w:color w:val="000000" w:themeColor="text1"/>
          <w:sz w:val="21"/>
          <w:szCs w:val="21"/>
          <w:lang w:val="es-ES_tradnl"/>
        </w:rPr>
        <w:t>pública</w:t>
      </w:r>
      <w:r w:rsidR="006727FE" w:rsidRPr="00DD5F33">
        <w:rPr>
          <w:rFonts w:ascii="Arial" w:hAnsi="Arial" w:cs="Arial"/>
          <w:color w:val="000000" w:themeColor="text1"/>
          <w:sz w:val="21"/>
          <w:szCs w:val="21"/>
          <w:lang w:val="es-ES_tradnl"/>
        </w:rPr>
        <w:t xml:space="preserve"> o por adenda, ¿en este sentido se </w:t>
      </w:r>
      <w:r w:rsidR="00343418" w:rsidRPr="00DD5F33">
        <w:rPr>
          <w:rFonts w:ascii="Arial" w:hAnsi="Arial" w:cs="Arial"/>
          <w:color w:val="000000" w:themeColor="text1"/>
          <w:sz w:val="21"/>
          <w:szCs w:val="21"/>
          <w:lang w:val="es-ES_tradnl"/>
        </w:rPr>
        <w:t>utilizaría</w:t>
      </w:r>
      <w:r w:rsidR="006727FE" w:rsidRPr="00DD5F33">
        <w:rPr>
          <w:rFonts w:ascii="Arial" w:hAnsi="Arial" w:cs="Arial"/>
          <w:color w:val="000000" w:themeColor="text1"/>
          <w:sz w:val="21"/>
          <w:szCs w:val="21"/>
          <w:lang w:val="es-ES_tradnl"/>
        </w:rPr>
        <w:t xml:space="preserve"> para la </w:t>
      </w:r>
      <w:r w:rsidR="00343418" w:rsidRPr="00DD5F33">
        <w:rPr>
          <w:rFonts w:ascii="Arial" w:hAnsi="Arial" w:cs="Arial"/>
          <w:color w:val="000000" w:themeColor="text1"/>
          <w:sz w:val="21"/>
          <w:szCs w:val="21"/>
          <w:lang w:val="es-ES_tradnl"/>
        </w:rPr>
        <w:t>mínima</w:t>
      </w:r>
      <w:r w:rsidR="006727FE" w:rsidRPr="00DD5F33">
        <w:rPr>
          <w:rFonts w:ascii="Arial" w:hAnsi="Arial" w:cs="Arial"/>
          <w:color w:val="000000" w:themeColor="text1"/>
          <w:sz w:val="21"/>
          <w:szCs w:val="21"/>
          <w:lang w:val="es-ES_tradnl"/>
        </w:rPr>
        <w:t xml:space="preserve"> </w:t>
      </w:r>
      <w:r w:rsidR="00343418" w:rsidRPr="00DD5F33">
        <w:rPr>
          <w:rFonts w:ascii="Arial" w:hAnsi="Arial" w:cs="Arial"/>
          <w:color w:val="000000" w:themeColor="text1"/>
          <w:sz w:val="21"/>
          <w:szCs w:val="21"/>
          <w:lang w:val="es-ES_tradnl"/>
        </w:rPr>
        <w:t>también</w:t>
      </w:r>
      <w:r w:rsidR="00C17DF9" w:rsidRPr="00DD5F33">
        <w:rPr>
          <w:rFonts w:ascii="Arial" w:hAnsi="Arial" w:cs="Arial"/>
          <w:color w:val="000000" w:themeColor="text1"/>
          <w:sz w:val="21"/>
          <w:szCs w:val="21"/>
          <w:lang w:val="es-ES_tradnl"/>
        </w:rPr>
        <w:t xml:space="preserve"> el aviso? Y la plataforma en </w:t>
      </w:r>
      <w:r w:rsidR="007F7CC8" w:rsidRPr="00DD5F33">
        <w:rPr>
          <w:rFonts w:ascii="Arial" w:hAnsi="Arial" w:cs="Arial"/>
          <w:color w:val="000000" w:themeColor="text1"/>
          <w:sz w:val="21"/>
          <w:szCs w:val="21"/>
          <w:lang w:val="es-ES_tradnl"/>
        </w:rPr>
        <w:t>mínima</w:t>
      </w:r>
      <w:r w:rsidR="00C17DF9" w:rsidRPr="00DD5F33">
        <w:rPr>
          <w:rFonts w:ascii="Arial" w:hAnsi="Arial" w:cs="Arial"/>
          <w:color w:val="000000" w:themeColor="text1"/>
          <w:sz w:val="21"/>
          <w:szCs w:val="21"/>
          <w:lang w:val="es-ES_tradnl"/>
        </w:rPr>
        <w:t xml:space="preserve"> no tiene esa posibilidad de </w:t>
      </w:r>
      <w:r w:rsidR="007F7CC8" w:rsidRPr="00DD5F33">
        <w:rPr>
          <w:rFonts w:ascii="Arial" w:hAnsi="Arial" w:cs="Arial"/>
          <w:color w:val="000000" w:themeColor="text1"/>
          <w:sz w:val="21"/>
          <w:szCs w:val="21"/>
          <w:lang w:val="es-ES_tradnl"/>
        </w:rPr>
        <w:t>limitación</w:t>
      </w:r>
      <w:r w:rsidR="00C17DF9" w:rsidRPr="00DD5F33">
        <w:rPr>
          <w:rFonts w:ascii="Arial" w:hAnsi="Arial" w:cs="Arial"/>
          <w:color w:val="000000" w:themeColor="text1"/>
          <w:sz w:val="21"/>
          <w:szCs w:val="21"/>
          <w:lang w:val="es-ES_tradnl"/>
        </w:rPr>
        <w:t xml:space="preserve"> a Mypimes.</w:t>
      </w:r>
    </w:p>
    <w:p w14:paraId="67859D46" w14:textId="77777777" w:rsidR="007F7CC8" w:rsidRPr="00DD5F33" w:rsidRDefault="007F7CC8" w:rsidP="00C17DF9">
      <w:pPr>
        <w:ind w:left="709" w:right="709"/>
        <w:jc w:val="both"/>
        <w:rPr>
          <w:rFonts w:ascii="Arial" w:hAnsi="Arial" w:cs="Arial"/>
          <w:color w:val="000000" w:themeColor="text1"/>
          <w:sz w:val="21"/>
          <w:szCs w:val="21"/>
          <w:lang w:val="es-ES_tradnl"/>
        </w:rPr>
      </w:pPr>
    </w:p>
    <w:p w14:paraId="3B988EE6" w14:textId="716BCF9F"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 ARTÍCULO 2.2.1.2.4.2.15. Criterios diferenciales para emprendimientos y empresas de mujeres en el sistema de compras </w:t>
      </w:r>
      <w:r w:rsidR="004405CD" w:rsidRPr="00DD5F33">
        <w:rPr>
          <w:rFonts w:ascii="Arial" w:hAnsi="Arial" w:cs="Arial"/>
          <w:color w:val="000000" w:themeColor="text1"/>
          <w:sz w:val="21"/>
          <w:szCs w:val="21"/>
          <w:lang w:val="es-ES_tradnl"/>
        </w:rPr>
        <w:t>públicas</w:t>
      </w:r>
      <w:r w:rsidR="00C17DF9" w:rsidRPr="00DD5F33">
        <w:rPr>
          <w:rFonts w:ascii="Arial" w:hAnsi="Arial" w:cs="Arial"/>
          <w:color w:val="000000" w:themeColor="text1"/>
          <w:sz w:val="21"/>
          <w:szCs w:val="21"/>
          <w:lang w:val="es-ES_tradnl"/>
        </w:rPr>
        <w:t xml:space="preserve">. En los procesos de </w:t>
      </w:r>
      <w:r w:rsidR="004405CD" w:rsidRPr="00DD5F33">
        <w:rPr>
          <w:rFonts w:ascii="Arial" w:hAnsi="Arial" w:cs="Arial"/>
          <w:color w:val="000000" w:themeColor="text1"/>
          <w:sz w:val="21"/>
          <w:szCs w:val="21"/>
          <w:lang w:val="es-ES_tradnl"/>
        </w:rPr>
        <w:t>licitación</w:t>
      </w:r>
      <w:r w:rsidR="00C17DF9" w:rsidRPr="00DD5F33">
        <w:rPr>
          <w:rFonts w:ascii="Arial" w:hAnsi="Arial" w:cs="Arial"/>
          <w:color w:val="000000" w:themeColor="text1"/>
          <w:sz w:val="21"/>
          <w:szCs w:val="21"/>
          <w:lang w:val="es-ES_tradnl"/>
        </w:rPr>
        <w:t xml:space="preserve"> </w:t>
      </w:r>
      <w:r w:rsidR="004405CD" w:rsidRPr="00DD5F33">
        <w:rPr>
          <w:rFonts w:ascii="Arial" w:hAnsi="Arial" w:cs="Arial"/>
          <w:color w:val="000000" w:themeColor="text1"/>
          <w:sz w:val="21"/>
          <w:szCs w:val="21"/>
          <w:lang w:val="es-ES_tradnl"/>
        </w:rPr>
        <w:t>pública</w:t>
      </w:r>
      <w:r w:rsidR="00C17DF9" w:rsidRPr="00DD5F33">
        <w:rPr>
          <w:rFonts w:ascii="Arial" w:hAnsi="Arial" w:cs="Arial"/>
          <w:color w:val="000000" w:themeColor="text1"/>
          <w:sz w:val="21"/>
          <w:szCs w:val="21"/>
          <w:lang w:val="es-ES_tradnl"/>
        </w:rPr>
        <w:t xml:space="preserve">, </w:t>
      </w:r>
      <w:r w:rsidR="004405CD" w:rsidRPr="00DD5F33">
        <w:rPr>
          <w:rFonts w:ascii="Arial" w:hAnsi="Arial" w:cs="Arial"/>
          <w:color w:val="000000" w:themeColor="text1"/>
          <w:sz w:val="21"/>
          <w:szCs w:val="21"/>
          <w:lang w:val="es-ES_tradnl"/>
        </w:rPr>
        <w:t>selección</w:t>
      </w:r>
      <w:r w:rsidR="00C17DF9" w:rsidRPr="00DD5F33">
        <w:rPr>
          <w:rFonts w:ascii="Arial" w:hAnsi="Arial" w:cs="Arial"/>
          <w:color w:val="000000" w:themeColor="text1"/>
          <w:sz w:val="21"/>
          <w:szCs w:val="21"/>
          <w:lang w:val="es-ES_tradnl"/>
        </w:rPr>
        <w:t xml:space="preserve"> abreviada de menor </w:t>
      </w:r>
      <w:r w:rsidR="004405CD" w:rsidRPr="00DD5F33">
        <w:rPr>
          <w:rFonts w:ascii="Arial" w:hAnsi="Arial" w:cs="Arial"/>
          <w:color w:val="000000" w:themeColor="text1"/>
          <w:sz w:val="21"/>
          <w:szCs w:val="21"/>
          <w:lang w:val="es-ES_tradnl"/>
        </w:rPr>
        <w:t>cuantía</w:t>
      </w:r>
      <w:r w:rsidR="00C17DF9" w:rsidRPr="00DD5F33">
        <w:rPr>
          <w:rFonts w:ascii="Arial" w:hAnsi="Arial" w:cs="Arial"/>
          <w:color w:val="000000" w:themeColor="text1"/>
          <w:sz w:val="21"/>
          <w:szCs w:val="21"/>
          <w:lang w:val="es-ES_tradnl"/>
        </w:rPr>
        <w:t xml:space="preserve"> y concurso de </w:t>
      </w:r>
      <w:r w:rsidR="004405CD" w:rsidRPr="00DD5F33">
        <w:rPr>
          <w:rFonts w:ascii="Arial" w:hAnsi="Arial" w:cs="Arial"/>
          <w:color w:val="000000" w:themeColor="text1"/>
          <w:sz w:val="21"/>
          <w:szCs w:val="21"/>
          <w:lang w:val="es-ES_tradnl"/>
        </w:rPr>
        <w:t>méritos</w:t>
      </w:r>
      <w:r w:rsidR="00C17DF9" w:rsidRPr="00DD5F33">
        <w:rPr>
          <w:rFonts w:ascii="Arial" w:hAnsi="Arial" w:cs="Arial"/>
          <w:color w:val="000000" w:themeColor="text1"/>
          <w:sz w:val="21"/>
          <w:szCs w:val="21"/>
          <w:lang w:val="es-ES_tradnl"/>
        </w:rPr>
        <w:t xml:space="preserve">, </w:t>
      </w:r>
      <w:r w:rsidR="004405CD" w:rsidRPr="00DD5F33">
        <w:rPr>
          <w:rFonts w:ascii="Arial" w:hAnsi="Arial" w:cs="Arial"/>
          <w:color w:val="000000" w:themeColor="text1"/>
          <w:sz w:val="21"/>
          <w:szCs w:val="21"/>
          <w:lang w:val="es-ES_tradnl"/>
        </w:rPr>
        <w:t>así</w:t>
      </w:r>
      <w:r w:rsidR="00C17DF9" w:rsidRPr="00DD5F33">
        <w:rPr>
          <w:rFonts w:ascii="Arial" w:hAnsi="Arial" w:cs="Arial"/>
          <w:color w:val="000000" w:themeColor="text1"/>
          <w:sz w:val="21"/>
          <w:szCs w:val="21"/>
          <w:lang w:val="es-ES_tradnl"/>
        </w:rPr>
        <w:t xml:space="preserve"> como en los procesos competitivos que adelanten las Entidades Estatales no sometidas al Estatuto General de </w:t>
      </w:r>
      <w:r w:rsidR="004405CD" w:rsidRPr="00DD5F33">
        <w:rPr>
          <w:rFonts w:ascii="Arial" w:hAnsi="Arial" w:cs="Arial"/>
          <w:color w:val="000000" w:themeColor="text1"/>
          <w:sz w:val="21"/>
          <w:szCs w:val="21"/>
          <w:lang w:val="es-ES_tradnl"/>
        </w:rPr>
        <w:t>Contratación</w:t>
      </w:r>
      <w:r w:rsidR="00C17DF9" w:rsidRPr="00DD5F33">
        <w:rPr>
          <w:rFonts w:ascii="Arial" w:hAnsi="Arial" w:cs="Arial"/>
          <w:color w:val="000000" w:themeColor="text1"/>
          <w:sz w:val="21"/>
          <w:szCs w:val="21"/>
          <w:lang w:val="es-ES_tradnl"/>
        </w:rPr>
        <w:t xml:space="preserve"> de la </w:t>
      </w:r>
      <w:r w:rsidR="004405CD" w:rsidRPr="00DD5F33">
        <w:rPr>
          <w:rFonts w:ascii="Arial" w:hAnsi="Arial" w:cs="Arial"/>
          <w:color w:val="000000" w:themeColor="text1"/>
          <w:sz w:val="21"/>
          <w:szCs w:val="21"/>
          <w:lang w:val="es-ES_tradnl"/>
        </w:rPr>
        <w:t>Administración</w:t>
      </w:r>
      <w:r w:rsidR="00C17DF9" w:rsidRPr="00DD5F33">
        <w:rPr>
          <w:rFonts w:ascii="Arial" w:hAnsi="Arial" w:cs="Arial"/>
          <w:color w:val="000000" w:themeColor="text1"/>
          <w:sz w:val="21"/>
          <w:szCs w:val="21"/>
          <w:lang w:val="es-ES_tradnl"/>
        </w:rPr>
        <w:t xml:space="preserve"> </w:t>
      </w:r>
      <w:r w:rsidR="004405CD" w:rsidRPr="00DD5F33">
        <w:rPr>
          <w:rFonts w:ascii="Arial" w:hAnsi="Arial" w:cs="Arial"/>
          <w:color w:val="000000" w:themeColor="text1"/>
          <w:sz w:val="21"/>
          <w:szCs w:val="21"/>
          <w:lang w:val="es-ES_tradnl"/>
        </w:rPr>
        <w:t>Pública</w:t>
      </w:r>
      <w:r w:rsidR="00C17DF9" w:rsidRPr="00DD5F33">
        <w:rPr>
          <w:rFonts w:ascii="Arial" w:hAnsi="Arial" w:cs="Arial"/>
          <w:color w:val="000000" w:themeColor="text1"/>
          <w:sz w:val="21"/>
          <w:szCs w:val="21"/>
          <w:lang w:val="es-ES_tradnl"/>
        </w:rPr>
        <w:t xml:space="preserve">, las Entidades </w:t>
      </w:r>
      <w:r w:rsidR="004405CD" w:rsidRPr="00DD5F33">
        <w:rPr>
          <w:rFonts w:ascii="Arial" w:hAnsi="Arial" w:cs="Arial"/>
          <w:color w:val="000000" w:themeColor="text1"/>
          <w:sz w:val="21"/>
          <w:szCs w:val="21"/>
          <w:lang w:val="es-ES_tradnl"/>
        </w:rPr>
        <w:t>incluirán</w:t>
      </w:r>
      <w:r w:rsidR="00C17DF9" w:rsidRPr="00DD5F33">
        <w:rPr>
          <w:rFonts w:ascii="Arial" w:hAnsi="Arial" w:cs="Arial"/>
          <w:color w:val="000000" w:themeColor="text1"/>
          <w:sz w:val="21"/>
          <w:szCs w:val="21"/>
          <w:lang w:val="es-ES_tradnl"/>
        </w:rPr>
        <w:t xml:space="preserve"> condiciones habilitantes para incentivar los emprendimientos y empresas de mujeres con domicilio en el territorio nacional. Para el efecto, los Documentos del Proceso </w:t>
      </w:r>
      <w:r w:rsidR="004405CD" w:rsidRPr="00DD5F33">
        <w:rPr>
          <w:rFonts w:ascii="Arial" w:hAnsi="Arial" w:cs="Arial"/>
          <w:color w:val="000000" w:themeColor="text1"/>
          <w:sz w:val="21"/>
          <w:szCs w:val="21"/>
          <w:lang w:val="es-ES_tradnl"/>
        </w:rPr>
        <w:t>deberán</w:t>
      </w:r>
      <w:r w:rsidR="00C17DF9" w:rsidRPr="00DD5F33">
        <w:rPr>
          <w:rFonts w:ascii="Arial" w:hAnsi="Arial" w:cs="Arial"/>
          <w:color w:val="000000" w:themeColor="text1"/>
          <w:sz w:val="21"/>
          <w:szCs w:val="21"/>
          <w:lang w:val="es-ES_tradnl"/>
        </w:rPr>
        <w:t xml:space="preserve"> incorporar requisitos habilitantes diferenciales relacionados con alguno o algunos de los siguientes aspectos:</w:t>
      </w:r>
    </w:p>
    <w:p w14:paraId="4789BA2C" w14:textId="77777777" w:rsidR="00717347" w:rsidRPr="00DD5F33" w:rsidRDefault="00717347" w:rsidP="00C17DF9">
      <w:pPr>
        <w:ind w:left="709" w:right="709"/>
        <w:jc w:val="both"/>
        <w:rPr>
          <w:rFonts w:ascii="Arial" w:hAnsi="Arial" w:cs="Arial"/>
          <w:color w:val="000000" w:themeColor="text1"/>
          <w:sz w:val="21"/>
          <w:szCs w:val="21"/>
          <w:lang w:val="es-ES_tradnl"/>
        </w:rPr>
      </w:pPr>
    </w:p>
    <w:p w14:paraId="66AEDB8E" w14:textId="500908C3"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1. Tiempo</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experiencia.</w:t>
      </w:r>
    </w:p>
    <w:p w14:paraId="013658E9" w14:textId="77777777" w:rsidR="004405CD" w:rsidRPr="00DD5F33" w:rsidRDefault="004405CD" w:rsidP="00C17DF9">
      <w:pPr>
        <w:ind w:left="709" w:right="709"/>
        <w:jc w:val="both"/>
        <w:rPr>
          <w:rFonts w:ascii="Arial" w:hAnsi="Arial" w:cs="Arial"/>
          <w:color w:val="000000" w:themeColor="text1"/>
          <w:sz w:val="21"/>
          <w:szCs w:val="21"/>
          <w:lang w:val="es-ES_tradnl"/>
        </w:rPr>
      </w:pPr>
    </w:p>
    <w:p w14:paraId="2B672A2B" w14:textId="05A20061" w:rsidR="004405CD"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2. </w:t>
      </w:r>
      <w:r w:rsidR="004405CD" w:rsidRPr="00DD5F33">
        <w:rPr>
          <w:rFonts w:ascii="Arial" w:hAnsi="Arial" w:cs="Arial"/>
          <w:color w:val="000000" w:themeColor="text1"/>
          <w:sz w:val="21"/>
          <w:szCs w:val="21"/>
          <w:lang w:val="es-ES_tradnl"/>
        </w:rPr>
        <w:t xml:space="preserve">Número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contratos</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para</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la</w:t>
      </w:r>
      <w:r w:rsidR="004405CD" w:rsidRPr="00DD5F33">
        <w:rPr>
          <w:rFonts w:ascii="Arial" w:hAnsi="Arial" w:cs="Arial"/>
          <w:color w:val="000000" w:themeColor="text1"/>
          <w:sz w:val="21"/>
          <w:szCs w:val="21"/>
          <w:lang w:val="es-ES_tradnl"/>
        </w:rPr>
        <w:t xml:space="preserve"> acreditación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la</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 xml:space="preserve">experiencia. </w:t>
      </w:r>
    </w:p>
    <w:p w14:paraId="6286D690" w14:textId="77777777" w:rsidR="004405CD" w:rsidRPr="00DD5F33" w:rsidRDefault="004405CD" w:rsidP="00C17DF9">
      <w:pPr>
        <w:ind w:left="709" w:right="709"/>
        <w:jc w:val="both"/>
        <w:rPr>
          <w:rFonts w:ascii="Arial" w:hAnsi="Arial" w:cs="Arial"/>
          <w:color w:val="000000" w:themeColor="text1"/>
          <w:sz w:val="21"/>
          <w:szCs w:val="21"/>
          <w:lang w:val="es-ES_tradnl"/>
        </w:rPr>
      </w:pPr>
    </w:p>
    <w:p w14:paraId="5D29B3CC" w14:textId="32F52D0E"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3. </w:t>
      </w:r>
      <w:r w:rsidR="004405CD" w:rsidRPr="00DD5F33">
        <w:rPr>
          <w:rFonts w:ascii="Arial" w:hAnsi="Arial" w:cs="Arial"/>
          <w:color w:val="000000" w:themeColor="text1"/>
          <w:sz w:val="21"/>
          <w:szCs w:val="21"/>
          <w:lang w:val="es-ES_tradnl"/>
        </w:rPr>
        <w:t xml:space="preserve">Índices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capacidad</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financiera.</w:t>
      </w:r>
    </w:p>
    <w:p w14:paraId="7C38B5B3" w14:textId="77777777" w:rsidR="004405CD" w:rsidRPr="00DD5F33" w:rsidRDefault="004405CD" w:rsidP="00C17DF9">
      <w:pPr>
        <w:ind w:left="709" w:right="709"/>
        <w:jc w:val="both"/>
        <w:rPr>
          <w:rFonts w:ascii="Arial" w:hAnsi="Arial" w:cs="Arial"/>
          <w:color w:val="000000" w:themeColor="text1"/>
          <w:sz w:val="21"/>
          <w:szCs w:val="21"/>
          <w:lang w:val="es-ES_tradnl"/>
        </w:rPr>
      </w:pPr>
    </w:p>
    <w:p w14:paraId="23E37174" w14:textId="02CE452F"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4. </w:t>
      </w:r>
      <w:r w:rsidR="004405CD" w:rsidRPr="00DD5F33">
        <w:rPr>
          <w:rFonts w:ascii="Arial" w:hAnsi="Arial" w:cs="Arial"/>
          <w:color w:val="000000" w:themeColor="text1"/>
          <w:sz w:val="21"/>
          <w:szCs w:val="21"/>
          <w:lang w:val="es-ES_tradnl"/>
        </w:rPr>
        <w:t xml:space="preserve">Índices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capacidad</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organizacional.</w:t>
      </w:r>
    </w:p>
    <w:p w14:paraId="34DC2D38" w14:textId="77777777" w:rsidR="004405CD" w:rsidRPr="00DD5F33" w:rsidRDefault="004405CD" w:rsidP="00C17DF9">
      <w:pPr>
        <w:ind w:left="709" w:right="709"/>
        <w:jc w:val="both"/>
        <w:rPr>
          <w:rFonts w:ascii="Arial" w:hAnsi="Arial" w:cs="Arial"/>
          <w:color w:val="000000" w:themeColor="text1"/>
          <w:sz w:val="21"/>
          <w:szCs w:val="21"/>
          <w:lang w:val="es-ES_tradnl"/>
        </w:rPr>
      </w:pPr>
    </w:p>
    <w:p w14:paraId="67842889" w14:textId="3E40E069"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5. Valor</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la</w:t>
      </w:r>
      <w:r w:rsidR="004405CD" w:rsidRPr="00DD5F33">
        <w:rPr>
          <w:rFonts w:ascii="Arial" w:hAnsi="Arial" w:cs="Arial"/>
          <w:color w:val="000000" w:themeColor="text1"/>
          <w:sz w:val="21"/>
          <w:szCs w:val="21"/>
          <w:lang w:val="es-ES_tradnl"/>
        </w:rPr>
        <w:t xml:space="preserve"> garantía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seriedad</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de</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la</w:t>
      </w:r>
      <w:r w:rsidR="004405CD" w:rsidRPr="00DD5F33">
        <w:rPr>
          <w:rFonts w:ascii="Arial" w:hAnsi="Arial" w:cs="Arial"/>
          <w:color w:val="000000" w:themeColor="text1"/>
          <w:sz w:val="21"/>
          <w:szCs w:val="21"/>
          <w:lang w:val="es-ES_tradnl"/>
        </w:rPr>
        <w:t xml:space="preserve"> </w:t>
      </w:r>
      <w:r w:rsidR="00C17DF9" w:rsidRPr="00DD5F33">
        <w:rPr>
          <w:rFonts w:ascii="Arial" w:hAnsi="Arial" w:cs="Arial"/>
          <w:color w:val="000000" w:themeColor="text1"/>
          <w:sz w:val="21"/>
          <w:szCs w:val="21"/>
          <w:lang w:val="es-ES_tradnl"/>
        </w:rPr>
        <w:t>oferta.</w:t>
      </w:r>
    </w:p>
    <w:p w14:paraId="79A99CA4" w14:textId="77777777" w:rsidR="004405CD" w:rsidRPr="00DD5F33" w:rsidRDefault="004405CD" w:rsidP="00C17DF9">
      <w:pPr>
        <w:ind w:left="709" w:right="709"/>
        <w:jc w:val="both"/>
        <w:rPr>
          <w:rFonts w:ascii="Arial" w:hAnsi="Arial" w:cs="Arial"/>
          <w:color w:val="000000" w:themeColor="text1"/>
          <w:sz w:val="21"/>
          <w:szCs w:val="21"/>
          <w:lang w:val="es-ES_tradnl"/>
        </w:rPr>
      </w:pPr>
    </w:p>
    <w:p w14:paraId="5413EEDA" w14:textId="59EDE8CC"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Los requisitos mencionados </w:t>
      </w:r>
      <w:r w:rsidR="00F664EF" w:rsidRPr="00DD5F33">
        <w:rPr>
          <w:rFonts w:ascii="Arial" w:hAnsi="Arial" w:cs="Arial"/>
          <w:color w:val="000000" w:themeColor="text1"/>
          <w:sz w:val="21"/>
          <w:szCs w:val="21"/>
          <w:lang w:val="es-ES_tradnl"/>
        </w:rPr>
        <w:t>deberán</w:t>
      </w:r>
      <w:r w:rsidR="00C17DF9" w:rsidRPr="00DD5F33">
        <w:rPr>
          <w:rFonts w:ascii="Arial" w:hAnsi="Arial" w:cs="Arial"/>
          <w:color w:val="000000" w:themeColor="text1"/>
          <w:sz w:val="21"/>
          <w:szCs w:val="21"/>
          <w:lang w:val="es-ES_tradnl"/>
        </w:rPr>
        <w:t xml:space="preserve"> fijarse respetando las condiciones habilitantes requeridas para el cumplimiento adecuado del contrato, teniendo en cuenta el alcance de las obligaciones. En desarrollo de lo anterior, con la finalidad de beneficiar a las empresas y emprendimientos de mujeres, se </w:t>
      </w:r>
      <w:r w:rsidR="00F664EF" w:rsidRPr="00DD5F33">
        <w:rPr>
          <w:rFonts w:ascii="Arial" w:hAnsi="Arial" w:cs="Arial"/>
          <w:color w:val="000000" w:themeColor="text1"/>
          <w:sz w:val="21"/>
          <w:szCs w:val="21"/>
          <w:lang w:val="es-ES_tradnl"/>
        </w:rPr>
        <w:t>establecerán</w:t>
      </w:r>
      <w:r w:rsidR="00C17DF9" w:rsidRPr="00DD5F33">
        <w:rPr>
          <w:rFonts w:ascii="Arial" w:hAnsi="Arial" w:cs="Arial"/>
          <w:color w:val="000000" w:themeColor="text1"/>
          <w:sz w:val="21"/>
          <w:szCs w:val="21"/>
          <w:lang w:val="es-ES_tradnl"/>
        </w:rPr>
        <w:t xml:space="preserve"> condiciones </w:t>
      </w:r>
      <w:r w:rsidR="00F664EF" w:rsidRPr="00DD5F33">
        <w:rPr>
          <w:rFonts w:ascii="Arial" w:hAnsi="Arial" w:cs="Arial"/>
          <w:color w:val="000000" w:themeColor="text1"/>
          <w:sz w:val="21"/>
          <w:szCs w:val="21"/>
          <w:lang w:val="es-ES_tradnl"/>
        </w:rPr>
        <w:t>más</w:t>
      </w:r>
      <w:r w:rsidR="00C17DF9" w:rsidRPr="00DD5F33">
        <w:rPr>
          <w:rFonts w:ascii="Arial" w:hAnsi="Arial" w:cs="Arial"/>
          <w:color w:val="000000" w:themeColor="text1"/>
          <w:sz w:val="21"/>
          <w:szCs w:val="21"/>
          <w:lang w:val="es-ES_tradnl"/>
        </w:rPr>
        <w:t xml:space="preserve"> exigentes respecto a alguno o algunos de los criterios de </w:t>
      </w:r>
      <w:r w:rsidR="00F664EF" w:rsidRPr="00DD5F33">
        <w:rPr>
          <w:rFonts w:ascii="Arial" w:hAnsi="Arial" w:cs="Arial"/>
          <w:color w:val="000000" w:themeColor="text1"/>
          <w:sz w:val="21"/>
          <w:szCs w:val="21"/>
          <w:lang w:val="es-ES_tradnl"/>
        </w:rPr>
        <w:t>participación</w:t>
      </w:r>
      <w:r w:rsidR="00C17DF9" w:rsidRPr="00DD5F33">
        <w:rPr>
          <w:rFonts w:ascii="Arial" w:hAnsi="Arial" w:cs="Arial"/>
          <w:color w:val="000000" w:themeColor="text1"/>
          <w:sz w:val="21"/>
          <w:szCs w:val="21"/>
          <w:lang w:val="es-ES_tradnl"/>
        </w:rPr>
        <w:t xml:space="preserve"> antes enunciados frente a los </w:t>
      </w:r>
      <w:r w:rsidR="00F664EF" w:rsidRPr="00DD5F33">
        <w:rPr>
          <w:rFonts w:ascii="Arial" w:hAnsi="Arial" w:cs="Arial"/>
          <w:color w:val="000000" w:themeColor="text1"/>
          <w:sz w:val="21"/>
          <w:szCs w:val="21"/>
          <w:lang w:val="es-ES_tradnl"/>
        </w:rPr>
        <w:t>demás</w:t>
      </w:r>
      <w:r w:rsidR="00C17DF9" w:rsidRPr="00DD5F33">
        <w:rPr>
          <w:rFonts w:ascii="Arial" w:hAnsi="Arial" w:cs="Arial"/>
          <w:color w:val="000000" w:themeColor="text1"/>
          <w:sz w:val="21"/>
          <w:szCs w:val="21"/>
          <w:lang w:val="es-ES_tradnl"/>
        </w:rPr>
        <w:t xml:space="preserve"> proponentes que concurran al procedimiento de </w:t>
      </w:r>
      <w:r w:rsidR="00F664EF" w:rsidRPr="00DD5F33">
        <w:rPr>
          <w:rFonts w:ascii="Arial" w:hAnsi="Arial" w:cs="Arial"/>
          <w:color w:val="000000" w:themeColor="text1"/>
          <w:sz w:val="21"/>
          <w:szCs w:val="21"/>
          <w:lang w:val="es-ES_tradnl"/>
        </w:rPr>
        <w:t>selección</w:t>
      </w:r>
      <w:r w:rsidR="00C17DF9" w:rsidRPr="00DD5F33">
        <w:rPr>
          <w:rFonts w:ascii="Arial" w:hAnsi="Arial" w:cs="Arial"/>
          <w:color w:val="000000" w:themeColor="text1"/>
          <w:sz w:val="21"/>
          <w:szCs w:val="21"/>
          <w:lang w:val="es-ES_tradnl"/>
        </w:rPr>
        <w:t xml:space="preserve"> que no sean empresas o emprendimientos de mujeres.</w:t>
      </w:r>
    </w:p>
    <w:p w14:paraId="185E6C8C" w14:textId="77777777" w:rsidR="00F664EF" w:rsidRPr="00DD5F33" w:rsidRDefault="00F664EF" w:rsidP="00C17DF9">
      <w:pPr>
        <w:ind w:left="709" w:right="709"/>
        <w:jc w:val="both"/>
        <w:rPr>
          <w:rFonts w:ascii="Arial" w:hAnsi="Arial" w:cs="Arial"/>
          <w:color w:val="000000" w:themeColor="text1"/>
          <w:sz w:val="21"/>
          <w:szCs w:val="21"/>
          <w:lang w:val="es-ES_tradnl"/>
        </w:rPr>
      </w:pPr>
    </w:p>
    <w:p w14:paraId="1BBF0E4B" w14:textId="1708C3FC" w:rsidR="00C17DF9" w:rsidRPr="00DD5F33" w:rsidRDefault="00EB6C66" w:rsidP="00C17DF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De manera que no se ponga en riesgo el cumplimiento adecuado del objeto contractual, con </w:t>
      </w:r>
      <w:r w:rsidR="00F664EF" w:rsidRPr="00DD5F33">
        <w:rPr>
          <w:rFonts w:ascii="Arial" w:hAnsi="Arial" w:cs="Arial"/>
          <w:color w:val="000000" w:themeColor="text1"/>
          <w:sz w:val="21"/>
          <w:szCs w:val="21"/>
          <w:lang w:val="es-ES_tradnl"/>
        </w:rPr>
        <w:t>excepción</w:t>
      </w:r>
      <w:r w:rsidR="00C17DF9" w:rsidRPr="00DD5F33">
        <w:rPr>
          <w:rFonts w:ascii="Arial" w:hAnsi="Arial" w:cs="Arial"/>
          <w:color w:val="000000" w:themeColor="text1"/>
          <w:sz w:val="21"/>
          <w:szCs w:val="21"/>
          <w:lang w:val="es-ES_tradnl"/>
        </w:rPr>
        <w:t xml:space="preserve"> de los procedimientos donde el menor precio ofrecido sea el </w:t>
      </w:r>
      <w:r w:rsidR="00F664EF" w:rsidRPr="00DD5F33">
        <w:rPr>
          <w:rFonts w:ascii="Arial" w:hAnsi="Arial" w:cs="Arial"/>
          <w:color w:val="000000" w:themeColor="text1"/>
          <w:sz w:val="21"/>
          <w:szCs w:val="21"/>
          <w:lang w:val="es-ES_tradnl"/>
        </w:rPr>
        <w:t>único</w:t>
      </w:r>
      <w:r w:rsidR="00C17DF9" w:rsidRPr="00DD5F33">
        <w:rPr>
          <w:rFonts w:ascii="Arial" w:hAnsi="Arial" w:cs="Arial"/>
          <w:color w:val="000000" w:themeColor="text1"/>
          <w:sz w:val="21"/>
          <w:szCs w:val="21"/>
          <w:lang w:val="es-ES_tradnl"/>
        </w:rPr>
        <w:t xml:space="preserve"> factor de </w:t>
      </w:r>
      <w:r w:rsidR="00F664EF" w:rsidRPr="00DD5F33">
        <w:rPr>
          <w:rFonts w:ascii="Arial" w:hAnsi="Arial" w:cs="Arial"/>
          <w:color w:val="000000" w:themeColor="text1"/>
          <w:sz w:val="21"/>
          <w:szCs w:val="21"/>
          <w:lang w:val="es-ES_tradnl"/>
        </w:rPr>
        <w:t>evaluación</w:t>
      </w:r>
      <w:r w:rsidR="00C17DF9" w:rsidRPr="00DD5F33">
        <w:rPr>
          <w:rFonts w:ascii="Arial" w:hAnsi="Arial" w:cs="Arial"/>
          <w:color w:val="000000" w:themeColor="text1"/>
          <w:sz w:val="21"/>
          <w:szCs w:val="21"/>
          <w:lang w:val="es-ES_tradnl"/>
        </w:rPr>
        <w:t xml:space="preserve">, las Entidades </w:t>
      </w:r>
      <w:r w:rsidR="00F664EF" w:rsidRPr="00DD5F33">
        <w:rPr>
          <w:rFonts w:ascii="Arial" w:hAnsi="Arial" w:cs="Arial"/>
          <w:color w:val="000000" w:themeColor="text1"/>
          <w:sz w:val="21"/>
          <w:szCs w:val="21"/>
          <w:lang w:val="es-ES_tradnl"/>
        </w:rPr>
        <w:t>también</w:t>
      </w:r>
      <w:r w:rsidR="00C17DF9" w:rsidRPr="00DD5F33">
        <w:rPr>
          <w:rFonts w:ascii="Arial" w:hAnsi="Arial" w:cs="Arial"/>
          <w:color w:val="000000" w:themeColor="text1"/>
          <w:sz w:val="21"/>
          <w:szCs w:val="21"/>
          <w:lang w:val="es-ES_tradnl"/>
        </w:rPr>
        <w:t xml:space="preserve"> </w:t>
      </w:r>
      <w:r w:rsidR="00F664EF" w:rsidRPr="00DD5F33">
        <w:rPr>
          <w:rFonts w:ascii="Arial" w:hAnsi="Arial" w:cs="Arial"/>
          <w:color w:val="000000" w:themeColor="text1"/>
          <w:sz w:val="21"/>
          <w:szCs w:val="21"/>
          <w:lang w:val="es-ES_tradnl"/>
        </w:rPr>
        <w:t>otorgarán</w:t>
      </w:r>
      <w:r w:rsidR="00C17DF9" w:rsidRPr="00DD5F33">
        <w:rPr>
          <w:rFonts w:ascii="Arial" w:hAnsi="Arial" w:cs="Arial"/>
          <w:color w:val="000000" w:themeColor="text1"/>
          <w:sz w:val="21"/>
          <w:szCs w:val="21"/>
          <w:lang w:val="es-ES_tradnl"/>
        </w:rPr>
        <w:t xml:space="preserve"> un puntaje adicional de hasta el cero punto veinticinco por ciento (0.25%) del valor total de los puntos establecidos en los pliegos de condiciones o documentos </w:t>
      </w:r>
      <w:r w:rsidR="00C17DF9" w:rsidRPr="00DD5F33">
        <w:rPr>
          <w:rFonts w:ascii="Arial" w:hAnsi="Arial" w:cs="Arial"/>
          <w:color w:val="000000" w:themeColor="text1"/>
          <w:sz w:val="21"/>
          <w:szCs w:val="21"/>
          <w:lang w:val="es-ES_tradnl"/>
        </w:rPr>
        <w:lastRenderedPageBreak/>
        <w:t xml:space="preserve">equivalentes, a los proponentes que acrediten alguno de los supuestos del </w:t>
      </w:r>
      <w:r w:rsidR="00F664EF" w:rsidRPr="00DD5F33">
        <w:rPr>
          <w:rFonts w:ascii="Arial" w:hAnsi="Arial" w:cs="Arial"/>
          <w:color w:val="000000" w:themeColor="text1"/>
          <w:sz w:val="21"/>
          <w:szCs w:val="21"/>
          <w:lang w:val="es-ES_tradnl"/>
        </w:rPr>
        <w:t>artículo</w:t>
      </w:r>
      <w:r w:rsidR="00C17DF9" w:rsidRPr="00DD5F33">
        <w:rPr>
          <w:rFonts w:ascii="Arial" w:hAnsi="Arial" w:cs="Arial"/>
          <w:color w:val="000000" w:themeColor="text1"/>
          <w:sz w:val="21"/>
          <w:szCs w:val="21"/>
          <w:lang w:val="es-ES_tradnl"/>
        </w:rPr>
        <w:t xml:space="preserve"> 2.2.1.2.4.2.14 del presente Decreto.</w:t>
      </w:r>
    </w:p>
    <w:p w14:paraId="7686695A" w14:textId="77777777" w:rsidR="00F664EF" w:rsidRPr="00DD5F33" w:rsidRDefault="00F664EF" w:rsidP="00C17DF9">
      <w:pPr>
        <w:ind w:left="709" w:right="709"/>
        <w:jc w:val="both"/>
        <w:rPr>
          <w:rFonts w:ascii="Arial" w:hAnsi="Arial" w:cs="Arial"/>
          <w:color w:val="000000" w:themeColor="text1"/>
          <w:sz w:val="21"/>
          <w:szCs w:val="21"/>
          <w:lang w:val="es-ES_tradnl"/>
        </w:rPr>
      </w:pPr>
    </w:p>
    <w:p w14:paraId="021A813F" w14:textId="46536746"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C17DF9" w:rsidRPr="00DD5F33">
        <w:rPr>
          <w:rFonts w:ascii="Arial" w:hAnsi="Arial" w:cs="Arial"/>
          <w:color w:val="000000" w:themeColor="text1"/>
          <w:sz w:val="21"/>
          <w:szCs w:val="21"/>
          <w:lang w:val="es-ES_tradnl"/>
        </w:rPr>
        <w:t xml:space="preserve">Las Entidades </w:t>
      </w:r>
      <w:r w:rsidR="00F664EF" w:rsidRPr="00DD5F33">
        <w:rPr>
          <w:rFonts w:ascii="Arial" w:hAnsi="Arial" w:cs="Arial"/>
          <w:color w:val="000000" w:themeColor="text1"/>
          <w:sz w:val="21"/>
          <w:szCs w:val="21"/>
          <w:lang w:val="es-ES_tradnl"/>
        </w:rPr>
        <w:t>incluirán</w:t>
      </w:r>
      <w:r w:rsidR="00C17DF9" w:rsidRPr="00DD5F33">
        <w:rPr>
          <w:rFonts w:ascii="Arial" w:hAnsi="Arial" w:cs="Arial"/>
          <w:color w:val="000000" w:themeColor="text1"/>
          <w:sz w:val="21"/>
          <w:szCs w:val="21"/>
          <w:lang w:val="es-ES_tradnl"/>
        </w:rPr>
        <w:t xml:space="preserve"> estos requisitos diferenciales y puntajes adicionales de acuerdo con los resultados del </w:t>
      </w:r>
      <w:r w:rsidR="00F664EF" w:rsidRPr="00DD5F33">
        <w:rPr>
          <w:rFonts w:ascii="Arial" w:hAnsi="Arial" w:cs="Arial"/>
          <w:color w:val="000000" w:themeColor="text1"/>
          <w:sz w:val="21"/>
          <w:szCs w:val="21"/>
          <w:lang w:val="es-ES_tradnl"/>
        </w:rPr>
        <w:t>análisis</w:t>
      </w:r>
      <w:r w:rsidR="00C17DF9" w:rsidRPr="00DD5F33">
        <w:rPr>
          <w:rFonts w:ascii="Arial" w:hAnsi="Arial" w:cs="Arial"/>
          <w:color w:val="000000" w:themeColor="text1"/>
          <w:sz w:val="21"/>
          <w:szCs w:val="21"/>
          <w:lang w:val="es-ES_tradnl"/>
        </w:rPr>
        <w:t xml:space="preserve"> del sector, desde la perspectiva</w:t>
      </w:r>
      <w:r w:rsidR="00102D06" w:rsidRPr="00DD5F33">
        <w:rPr>
          <w:rFonts w:ascii="Arial" w:hAnsi="Arial" w:cs="Arial"/>
          <w:color w:val="000000" w:themeColor="text1"/>
          <w:sz w:val="21"/>
          <w:szCs w:val="21"/>
          <w:lang w:val="es-ES_tradnl"/>
        </w:rPr>
        <w:t xml:space="preserve"> del estudio de la oferta de las obras, bienes o servicios que requiere, sin perjuicio de los compromisos adquiridos por Colombia en los Acuerdos Comerciales vigentes.</w:t>
      </w:r>
    </w:p>
    <w:p w14:paraId="5FAD9AD7" w14:textId="77777777" w:rsidR="008667E0" w:rsidRPr="00DD5F33" w:rsidRDefault="008667E0" w:rsidP="00102D06">
      <w:pPr>
        <w:ind w:left="709" w:right="709"/>
        <w:jc w:val="both"/>
        <w:rPr>
          <w:rFonts w:ascii="Arial" w:hAnsi="Arial" w:cs="Arial"/>
          <w:color w:val="000000" w:themeColor="text1"/>
          <w:sz w:val="21"/>
          <w:szCs w:val="21"/>
          <w:lang w:val="es-ES_tradnl"/>
        </w:rPr>
      </w:pPr>
    </w:p>
    <w:p w14:paraId="4DDD0974" w14:textId="08ADC246"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PARÁGRAFO 1.</w:t>
      </w:r>
      <w:r w:rsidR="008667E0" w:rsidRPr="00DD5F33">
        <w:rPr>
          <w:rFonts w:ascii="Arial" w:hAnsi="Arial" w:cs="Arial"/>
          <w:color w:val="000000" w:themeColor="text1"/>
          <w:sz w:val="21"/>
          <w:szCs w:val="21"/>
          <w:lang w:val="es-ES_tradnl"/>
        </w:rPr>
        <w:t xml:space="preserve"> Tratándose</w:t>
      </w:r>
      <w:r w:rsidR="00102D06" w:rsidRPr="00DD5F33">
        <w:rPr>
          <w:rFonts w:ascii="Arial" w:hAnsi="Arial" w:cs="Arial"/>
          <w:color w:val="000000" w:themeColor="text1"/>
          <w:sz w:val="21"/>
          <w:szCs w:val="21"/>
          <w:lang w:val="es-ES_tradnl"/>
        </w:rPr>
        <w:t xml:space="preserve"> de proponentes plurales, los criterios diferenciales y los puntajes adicionales solo se </w:t>
      </w:r>
      <w:r w:rsidR="008667E0" w:rsidRPr="00DD5F33">
        <w:rPr>
          <w:rFonts w:ascii="Arial" w:hAnsi="Arial" w:cs="Arial"/>
          <w:color w:val="000000" w:themeColor="text1"/>
          <w:sz w:val="21"/>
          <w:szCs w:val="21"/>
          <w:lang w:val="es-ES_tradnl"/>
        </w:rPr>
        <w:t>aplicarán</w:t>
      </w:r>
      <w:r w:rsidR="00102D06" w:rsidRPr="00DD5F33">
        <w:rPr>
          <w:rFonts w:ascii="Arial" w:hAnsi="Arial" w:cs="Arial"/>
          <w:color w:val="000000" w:themeColor="text1"/>
          <w:sz w:val="21"/>
          <w:szCs w:val="21"/>
          <w:lang w:val="es-ES_tradnl"/>
        </w:rPr>
        <w:t xml:space="preserve"> si por lo menos uno de los integrantes acredita que es emprendimiento y empresa de mujeres bajo los criterios dispuestos en el </w:t>
      </w:r>
      <w:r w:rsidR="008667E0" w:rsidRPr="00DD5F33">
        <w:rPr>
          <w:rFonts w:ascii="Arial" w:hAnsi="Arial" w:cs="Arial"/>
          <w:color w:val="000000" w:themeColor="text1"/>
          <w:sz w:val="21"/>
          <w:szCs w:val="21"/>
          <w:lang w:val="es-ES_tradnl"/>
        </w:rPr>
        <w:t>artículo</w:t>
      </w:r>
      <w:r w:rsidR="00102D06" w:rsidRPr="00DD5F33">
        <w:rPr>
          <w:rFonts w:ascii="Arial" w:hAnsi="Arial" w:cs="Arial"/>
          <w:color w:val="000000" w:themeColor="text1"/>
          <w:sz w:val="21"/>
          <w:szCs w:val="21"/>
          <w:lang w:val="es-ES_tradnl"/>
        </w:rPr>
        <w:t xml:space="preserve"> precedente y que tiene una </w:t>
      </w:r>
      <w:r w:rsidR="008667E0" w:rsidRPr="00DD5F33">
        <w:rPr>
          <w:rFonts w:ascii="Arial" w:hAnsi="Arial" w:cs="Arial"/>
          <w:color w:val="000000" w:themeColor="text1"/>
          <w:sz w:val="21"/>
          <w:szCs w:val="21"/>
          <w:lang w:val="es-ES_tradnl"/>
        </w:rPr>
        <w:t>participación</w:t>
      </w:r>
      <w:r w:rsidR="00102D06" w:rsidRPr="00DD5F33">
        <w:rPr>
          <w:rFonts w:ascii="Arial" w:hAnsi="Arial" w:cs="Arial"/>
          <w:color w:val="000000" w:themeColor="text1"/>
          <w:sz w:val="21"/>
          <w:szCs w:val="21"/>
          <w:lang w:val="es-ES_tradnl"/>
        </w:rPr>
        <w:t xml:space="preserve"> igual o superior al diez por ciento (10%) en el consorcio o la </w:t>
      </w:r>
      <w:r w:rsidR="008667E0" w:rsidRPr="00DD5F33">
        <w:rPr>
          <w:rFonts w:ascii="Arial" w:hAnsi="Arial" w:cs="Arial"/>
          <w:color w:val="000000" w:themeColor="text1"/>
          <w:sz w:val="21"/>
          <w:szCs w:val="21"/>
          <w:lang w:val="es-ES_tradnl"/>
        </w:rPr>
        <w:t>unión</w:t>
      </w:r>
      <w:r w:rsidR="00102D06" w:rsidRPr="00DD5F33">
        <w:rPr>
          <w:rFonts w:ascii="Arial" w:hAnsi="Arial" w:cs="Arial"/>
          <w:color w:val="000000" w:themeColor="text1"/>
          <w:sz w:val="21"/>
          <w:szCs w:val="21"/>
          <w:lang w:val="es-ES_tradnl"/>
        </w:rPr>
        <w:t xml:space="preserve"> temporal.</w:t>
      </w:r>
    </w:p>
    <w:p w14:paraId="1439A049" w14:textId="77777777" w:rsidR="008667E0" w:rsidRPr="00DD5F33" w:rsidRDefault="008667E0" w:rsidP="00102D06">
      <w:pPr>
        <w:ind w:left="709" w:right="709"/>
        <w:jc w:val="both"/>
        <w:rPr>
          <w:rFonts w:ascii="Arial" w:hAnsi="Arial" w:cs="Arial"/>
          <w:color w:val="000000" w:themeColor="text1"/>
          <w:sz w:val="21"/>
          <w:szCs w:val="21"/>
          <w:lang w:val="es-ES_tradnl"/>
        </w:rPr>
      </w:pPr>
    </w:p>
    <w:p w14:paraId="33C0907E" w14:textId="0D02A2BE"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PARÁGRAFO 2.</w:t>
      </w:r>
      <w:r w:rsidR="008667E0" w:rsidRPr="00DD5F33">
        <w:rPr>
          <w:rFonts w:ascii="Arial" w:hAnsi="Arial" w:cs="Arial"/>
          <w:color w:val="000000" w:themeColor="text1"/>
          <w:sz w:val="21"/>
          <w:szCs w:val="21"/>
          <w:lang w:val="es-ES_tradnl"/>
        </w:rPr>
        <w:t xml:space="preserve"> </w:t>
      </w:r>
      <w:r w:rsidR="00102D06" w:rsidRPr="00DD5F33">
        <w:rPr>
          <w:rFonts w:ascii="Arial" w:hAnsi="Arial" w:cs="Arial"/>
          <w:color w:val="000000" w:themeColor="text1"/>
          <w:sz w:val="21"/>
          <w:szCs w:val="21"/>
          <w:lang w:val="es-ES_tradnl"/>
        </w:rPr>
        <w:t xml:space="preserve">Los incentivos contractuales para las empresas y emprendimientos de mujeres no excluyen la </w:t>
      </w:r>
      <w:r w:rsidR="008667E0" w:rsidRPr="00DD5F33">
        <w:rPr>
          <w:rFonts w:ascii="Arial" w:hAnsi="Arial" w:cs="Arial"/>
          <w:color w:val="000000" w:themeColor="text1"/>
          <w:sz w:val="21"/>
          <w:szCs w:val="21"/>
          <w:lang w:val="es-ES_tradnl"/>
        </w:rPr>
        <w:t>aplicación</w:t>
      </w:r>
      <w:r w:rsidR="00102D06" w:rsidRPr="00DD5F33">
        <w:rPr>
          <w:rFonts w:ascii="Arial" w:hAnsi="Arial" w:cs="Arial"/>
          <w:color w:val="000000" w:themeColor="text1"/>
          <w:sz w:val="21"/>
          <w:szCs w:val="21"/>
          <w:lang w:val="es-ES_tradnl"/>
        </w:rPr>
        <w:t xml:space="preserve"> de los criterios diferenciales para Mipyme en el sistema de compras </w:t>
      </w:r>
      <w:r w:rsidR="008667E0" w:rsidRPr="00DD5F33">
        <w:rPr>
          <w:rFonts w:ascii="Arial" w:hAnsi="Arial" w:cs="Arial"/>
          <w:color w:val="000000" w:themeColor="text1"/>
          <w:sz w:val="21"/>
          <w:szCs w:val="21"/>
          <w:lang w:val="es-ES_tradnl"/>
        </w:rPr>
        <w:t>públicas</w:t>
      </w:r>
      <w:r w:rsidR="00102D06" w:rsidRPr="00DD5F33">
        <w:rPr>
          <w:rFonts w:ascii="Arial" w:hAnsi="Arial" w:cs="Arial"/>
          <w:color w:val="000000" w:themeColor="text1"/>
          <w:sz w:val="21"/>
          <w:szCs w:val="21"/>
          <w:lang w:val="es-ES_tradnl"/>
        </w:rPr>
        <w:t xml:space="preserve"> (...)”</w:t>
      </w:r>
    </w:p>
    <w:p w14:paraId="10651B65" w14:textId="77777777" w:rsidR="008667E0" w:rsidRPr="00DD5F33" w:rsidRDefault="008667E0" w:rsidP="00102D06">
      <w:pPr>
        <w:ind w:left="709" w:right="709"/>
        <w:jc w:val="both"/>
        <w:rPr>
          <w:rFonts w:ascii="Arial" w:hAnsi="Arial" w:cs="Arial"/>
          <w:color w:val="000000" w:themeColor="text1"/>
          <w:sz w:val="21"/>
          <w:szCs w:val="21"/>
          <w:lang w:val="es-ES_tradnl"/>
        </w:rPr>
      </w:pPr>
    </w:p>
    <w:p w14:paraId="7D740B16" w14:textId="392A060D"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Al respecto se consulta:</w:t>
      </w:r>
    </w:p>
    <w:p w14:paraId="4130BE2E" w14:textId="77777777" w:rsidR="008667E0" w:rsidRPr="00DD5F33" w:rsidRDefault="008667E0" w:rsidP="00102D06">
      <w:pPr>
        <w:ind w:left="709" w:right="709"/>
        <w:jc w:val="both"/>
        <w:rPr>
          <w:rFonts w:ascii="Arial" w:hAnsi="Arial" w:cs="Arial"/>
          <w:color w:val="000000" w:themeColor="text1"/>
          <w:sz w:val="21"/>
          <w:szCs w:val="21"/>
          <w:lang w:val="es-ES_tradnl"/>
        </w:rPr>
      </w:pPr>
    </w:p>
    <w:p w14:paraId="67DA389C" w14:textId="1C36EEF3"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 xml:space="preserve">1. En el Estudio del sector de cada proceso, el </w:t>
      </w:r>
      <w:r w:rsidR="00980BDB" w:rsidRPr="00DD5F33">
        <w:rPr>
          <w:rFonts w:ascii="Arial" w:hAnsi="Arial" w:cs="Arial"/>
          <w:color w:val="000000" w:themeColor="text1"/>
          <w:sz w:val="21"/>
          <w:szCs w:val="21"/>
          <w:lang w:val="es-ES_tradnl"/>
        </w:rPr>
        <w:t>análisis</w:t>
      </w:r>
      <w:r w:rsidR="00102D06" w:rsidRPr="00DD5F33">
        <w:rPr>
          <w:rFonts w:ascii="Arial" w:hAnsi="Arial" w:cs="Arial"/>
          <w:color w:val="000000" w:themeColor="text1"/>
          <w:sz w:val="21"/>
          <w:szCs w:val="21"/>
          <w:lang w:val="es-ES_tradnl"/>
        </w:rPr>
        <w:t xml:space="preserve"> de la oferta (que es el estudio de ¿Quien vende? o quien presta el servicio que la entidad requiere?) se debe discriminar dentro del listado de posibles empresas proveedoras en el mercado, cuales pertenecen a mujeres? cuales en su </w:t>
      </w:r>
      <w:r w:rsidR="00980BDB" w:rsidRPr="00DD5F33">
        <w:rPr>
          <w:rFonts w:ascii="Arial" w:hAnsi="Arial" w:cs="Arial"/>
          <w:color w:val="000000" w:themeColor="text1"/>
          <w:sz w:val="21"/>
          <w:szCs w:val="21"/>
          <w:lang w:val="es-ES_tradnl"/>
        </w:rPr>
        <w:t>composición</w:t>
      </w:r>
      <w:r w:rsidR="00102D06" w:rsidRPr="00DD5F33">
        <w:rPr>
          <w:rFonts w:ascii="Arial" w:hAnsi="Arial" w:cs="Arial"/>
          <w:color w:val="000000" w:themeColor="text1"/>
          <w:sz w:val="21"/>
          <w:szCs w:val="21"/>
          <w:lang w:val="es-ES_tradnl"/>
        </w:rPr>
        <w:t xml:space="preserve"> accionaria cuentan con </w:t>
      </w:r>
      <w:r w:rsidR="00980BDB" w:rsidRPr="00DD5F33">
        <w:rPr>
          <w:rFonts w:ascii="Arial" w:hAnsi="Arial" w:cs="Arial"/>
          <w:color w:val="000000" w:themeColor="text1"/>
          <w:sz w:val="21"/>
          <w:szCs w:val="21"/>
          <w:lang w:val="es-ES_tradnl"/>
        </w:rPr>
        <w:t>más</w:t>
      </w:r>
      <w:r w:rsidR="00102D06" w:rsidRPr="00DD5F33">
        <w:rPr>
          <w:rFonts w:ascii="Arial" w:hAnsi="Arial" w:cs="Arial"/>
          <w:color w:val="000000" w:themeColor="text1"/>
          <w:sz w:val="21"/>
          <w:szCs w:val="21"/>
          <w:lang w:val="es-ES_tradnl"/>
        </w:rPr>
        <w:t xml:space="preserve"> del 50% de acciones en cabeza de mujeres? en cuales por lo menos el personal directivo el 50% son mujeres? Lo anterior teniendo en cuenta que la </w:t>
      </w:r>
      <w:r w:rsidR="00980BDB" w:rsidRPr="00DD5F33">
        <w:rPr>
          <w:rFonts w:ascii="Arial" w:hAnsi="Arial" w:cs="Arial"/>
          <w:color w:val="000000" w:themeColor="text1"/>
          <w:sz w:val="21"/>
          <w:szCs w:val="21"/>
          <w:lang w:val="es-ES_tradnl"/>
        </w:rPr>
        <w:t>determinación</w:t>
      </w:r>
      <w:r w:rsidR="00102D06" w:rsidRPr="00DD5F33">
        <w:rPr>
          <w:rFonts w:ascii="Arial" w:hAnsi="Arial" w:cs="Arial"/>
          <w:color w:val="000000" w:themeColor="text1"/>
          <w:sz w:val="21"/>
          <w:szCs w:val="21"/>
          <w:lang w:val="es-ES_tradnl"/>
        </w:rPr>
        <w:t xml:space="preserve"> de los requisitos diferenciales y puntajes adicionales son el resultado del </w:t>
      </w:r>
      <w:r w:rsidR="00980BDB" w:rsidRPr="00DD5F33">
        <w:rPr>
          <w:rFonts w:ascii="Arial" w:hAnsi="Arial" w:cs="Arial"/>
          <w:color w:val="000000" w:themeColor="text1"/>
          <w:sz w:val="21"/>
          <w:szCs w:val="21"/>
          <w:lang w:val="es-ES_tradnl"/>
        </w:rPr>
        <w:t>análisis</w:t>
      </w:r>
      <w:r w:rsidR="00102D06" w:rsidRPr="00DD5F33">
        <w:rPr>
          <w:rFonts w:ascii="Arial" w:hAnsi="Arial" w:cs="Arial"/>
          <w:color w:val="000000" w:themeColor="text1"/>
          <w:sz w:val="21"/>
          <w:szCs w:val="21"/>
          <w:lang w:val="es-ES_tradnl"/>
        </w:rPr>
        <w:t xml:space="preserve"> de la oferta del </w:t>
      </w:r>
      <w:r w:rsidR="00980BDB" w:rsidRPr="00DD5F33">
        <w:rPr>
          <w:rFonts w:ascii="Arial" w:hAnsi="Arial" w:cs="Arial"/>
          <w:color w:val="000000" w:themeColor="text1"/>
          <w:sz w:val="21"/>
          <w:szCs w:val="21"/>
          <w:lang w:val="es-ES_tradnl"/>
        </w:rPr>
        <w:t>análisis</w:t>
      </w:r>
      <w:r w:rsidR="00102D06" w:rsidRPr="00DD5F33">
        <w:rPr>
          <w:rFonts w:ascii="Arial" w:hAnsi="Arial" w:cs="Arial"/>
          <w:color w:val="000000" w:themeColor="text1"/>
          <w:sz w:val="21"/>
          <w:szCs w:val="21"/>
          <w:lang w:val="es-ES_tradnl"/>
        </w:rPr>
        <w:t xml:space="preserve"> del sector.</w:t>
      </w:r>
    </w:p>
    <w:p w14:paraId="26A80B8B" w14:textId="77777777" w:rsidR="00980BDB" w:rsidRPr="00DD5F33" w:rsidRDefault="00980BDB" w:rsidP="00102D06">
      <w:pPr>
        <w:ind w:left="709" w:right="709"/>
        <w:jc w:val="both"/>
        <w:rPr>
          <w:rFonts w:ascii="Arial" w:hAnsi="Arial" w:cs="Arial"/>
          <w:color w:val="000000" w:themeColor="text1"/>
          <w:sz w:val="21"/>
          <w:szCs w:val="21"/>
          <w:lang w:val="es-ES_tradnl"/>
        </w:rPr>
      </w:pPr>
    </w:p>
    <w:p w14:paraId="39BAAEFC" w14:textId="0279AC09"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De ser afirmativa la anterior pregunta, las entidades ¿</w:t>
      </w:r>
      <w:r w:rsidR="00980BDB" w:rsidRPr="00DD5F33">
        <w:rPr>
          <w:rFonts w:ascii="Arial" w:hAnsi="Arial" w:cs="Arial"/>
          <w:color w:val="000000" w:themeColor="text1"/>
          <w:sz w:val="21"/>
          <w:szCs w:val="21"/>
          <w:lang w:val="es-ES_tradnl"/>
        </w:rPr>
        <w:t>dónde</w:t>
      </w:r>
      <w:r w:rsidR="00102D06" w:rsidRPr="00DD5F33">
        <w:rPr>
          <w:rFonts w:ascii="Arial" w:hAnsi="Arial" w:cs="Arial"/>
          <w:color w:val="000000" w:themeColor="text1"/>
          <w:sz w:val="21"/>
          <w:szCs w:val="21"/>
          <w:lang w:val="es-ES_tradnl"/>
        </w:rPr>
        <w:t xml:space="preserve"> </w:t>
      </w:r>
      <w:r w:rsidR="00980BDB" w:rsidRPr="00DD5F33">
        <w:rPr>
          <w:rFonts w:ascii="Arial" w:hAnsi="Arial" w:cs="Arial"/>
          <w:color w:val="000000" w:themeColor="text1"/>
          <w:sz w:val="21"/>
          <w:szCs w:val="21"/>
          <w:lang w:val="es-ES_tradnl"/>
        </w:rPr>
        <w:t>podríamos</w:t>
      </w:r>
      <w:r w:rsidR="00102D06" w:rsidRPr="00DD5F33">
        <w:rPr>
          <w:rFonts w:ascii="Arial" w:hAnsi="Arial" w:cs="Arial"/>
          <w:color w:val="000000" w:themeColor="text1"/>
          <w:sz w:val="21"/>
          <w:szCs w:val="21"/>
          <w:lang w:val="es-ES_tradnl"/>
        </w:rPr>
        <w:t xml:space="preserve"> obtener esta </w:t>
      </w:r>
      <w:r w:rsidR="00980BDB" w:rsidRPr="00DD5F33">
        <w:rPr>
          <w:rFonts w:ascii="Arial" w:hAnsi="Arial" w:cs="Arial"/>
          <w:color w:val="000000" w:themeColor="text1"/>
          <w:sz w:val="21"/>
          <w:szCs w:val="21"/>
          <w:lang w:val="es-ES_tradnl"/>
        </w:rPr>
        <w:t>información</w:t>
      </w:r>
      <w:r w:rsidR="00102D06" w:rsidRPr="00DD5F33">
        <w:rPr>
          <w:rFonts w:ascii="Arial" w:hAnsi="Arial" w:cs="Arial"/>
          <w:color w:val="000000" w:themeColor="text1"/>
          <w:sz w:val="21"/>
          <w:szCs w:val="21"/>
          <w:lang w:val="es-ES_tradnl"/>
        </w:rPr>
        <w:t xml:space="preserve"> tan detallada? ¿Existen bases de datos con esta </w:t>
      </w:r>
      <w:r w:rsidR="00980BDB" w:rsidRPr="00DD5F33">
        <w:rPr>
          <w:rFonts w:ascii="Arial" w:hAnsi="Arial" w:cs="Arial"/>
          <w:color w:val="000000" w:themeColor="text1"/>
          <w:sz w:val="21"/>
          <w:szCs w:val="21"/>
          <w:lang w:val="es-ES_tradnl"/>
        </w:rPr>
        <w:t>información</w:t>
      </w:r>
      <w:r w:rsidR="00102D06" w:rsidRPr="00DD5F33">
        <w:rPr>
          <w:rFonts w:ascii="Arial" w:hAnsi="Arial" w:cs="Arial"/>
          <w:color w:val="000000" w:themeColor="text1"/>
          <w:sz w:val="21"/>
          <w:szCs w:val="21"/>
          <w:lang w:val="es-ES_tradnl"/>
        </w:rPr>
        <w:t xml:space="preserve">? ¿Existen </w:t>
      </w:r>
      <w:r w:rsidR="00980BDB" w:rsidRPr="00DD5F33">
        <w:rPr>
          <w:rFonts w:ascii="Arial" w:hAnsi="Arial" w:cs="Arial"/>
          <w:color w:val="000000" w:themeColor="text1"/>
          <w:sz w:val="21"/>
          <w:szCs w:val="21"/>
          <w:lang w:val="es-ES_tradnl"/>
        </w:rPr>
        <w:t>estadísticas</w:t>
      </w:r>
      <w:r w:rsidR="00102D06" w:rsidRPr="00DD5F33">
        <w:rPr>
          <w:rFonts w:ascii="Arial" w:hAnsi="Arial" w:cs="Arial"/>
          <w:color w:val="000000" w:themeColor="text1"/>
          <w:sz w:val="21"/>
          <w:szCs w:val="21"/>
          <w:lang w:val="es-ES_tradnl"/>
        </w:rPr>
        <w:t xml:space="preserve"> al respecto?</w:t>
      </w:r>
    </w:p>
    <w:p w14:paraId="0756F796" w14:textId="77777777" w:rsidR="00980BDB" w:rsidRPr="00DD5F33" w:rsidRDefault="00980BDB" w:rsidP="00102D06">
      <w:pPr>
        <w:ind w:left="709" w:right="709"/>
        <w:jc w:val="both"/>
        <w:rPr>
          <w:rFonts w:ascii="Arial" w:hAnsi="Arial" w:cs="Arial"/>
          <w:color w:val="000000" w:themeColor="text1"/>
          <w:sz w:val="21"/>
          <w:szCs w:val="21"/>
          <w:lang w:val="es-ES_tradnl"/>
        </w:rPr>
      </w:pPr>
    </w:p>
    <w:p w14:paraId="49D7CC1E" w14:textId="10C97AE3"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 xml:space="preserve">2. ¿Qué garantiza que a </w:t>
      </w:r>
      <w:r w:rsidR="00980BDB" w:rsidRPr="00DD5F33">
        <w:rPr>
          <w:rFonts w:ascii="Arial" w:hAnsi="Arial" w:cs="Arial"/>
          <w:color w:val="000000" w:themeColor="text1"/>
          <w:sz w:val="21"/>
          <w:szCs w:val="21"/>
          <w:lang w:val="es-ES_tradnl"/>
        </w:rPr>
        <w:t>través</w:t>
      </w:r>
      <w:r w:rsidR="00102D06" w:rsidRPr="00DD5F33">
        <w:rPr>
          <w:rFonts w:ascii="Arial" w:hAnsi="Arial" w:cs="Arial"/>
          <w:color w:val="000000" w:themeColor="text1"/>
          <w:sz w:val="21"/>
          <w:szCs w:val="21"/>
          <w:lang w:val="es-ES_tradnl"/>
        </w:rPr>
        <w:t xml:space="preserve"> de la </w:t>
      </w:r>
      <w:r w:rsidR="00980BDB" w:rsidRPr="00DD5F33">
        <w:rPr>
          <w:rFonts w:ascii="Arial" w:hAnsi="Arial" w:cs="Arial"/>
          <w:color w:val="000000" w:themeColor="text1"/>
          <w:sz w:val="21"/>
          <w:szCs w:val="21"/>
          <w:lang w:val="es-ES_tradnl"/>
        </w:rPr>
        <w:t>ejecución</w:t>
      </w:r>
      <w:r w:rsidR="00102D06" w:rsidRPr="00DD5F33">
        <w:rPr>
          <w:rFonts w:ascii="Arial" w:hAnsi="Arial" w:cs="Arial"/>
          <w:color w:val="000000" w:themeColor="text1"/>
          <w:sz w:val="21"/>
          <w:szCs w:val="21"/>
          <w:lang w:val="es-ES_tradnl"/>
        </w:rPr>
        <w:t xml:space="preserve"> del contrato se mantengan los porcentajes de </w:t>
      </w:r>
      <w:r w:rsidR="00980BDB" w:rsidRPr="00DD5F33">
        <w:rPr>
          <w:rFonts w:ascii="Arial" w:hAnsi="Arial" w:cs="Arial"/>
          <w:color w:val="000000" w:themeColor="text1"/>
          <w:sz w:val="21"/>
          <w:szCs w:val="21"/>
          <w:lang w:val="es-ES_tradnl"/>
        </w:rPr>
        <w:t>participación</w:t>
      </w:r>
      <w:r w:rsidR="00102D06" w:rsidRPr="00DD5F33">
        <w:rPr>
          <w:rFonts w:ascii="Arial" w:hAnsi="Arial" w:cs="Arial"/>
          <w:color w:val="000000" w:themeColor="text1"/>
          <w:sz w:val="21"/>
          <w:szCs w:val="21"/>
          <w:lang w:val="es-ES_tradnl"/>
        </w:rPr>
        <w:t xml:space="preserve"> de las mujeres para el emprendimiento y empresas de mujeres, una vez este sea celebrado?</w:t>
      </w:r>
    </w:p>
    <w:p w14:paraId="76D21623" w14:textId="77777777" w:rsidR="00980BDB" w:rsidRPr="00DD5F33" w:rsidRDefault="00980BDB" w:rsidP="00102D06">
      <w:pPr>
        <w:ind w:left="709" w:right="709"/>
        <w:jc w:val="both"/>
        <w:rPr>
          <w:rFonts w:ascii="Arial" w:hAnsi="Arial" w:cs="Arial"/>
          <w:color w:val="000000" w:themeColor="text1"/>
          <w:sz w:val="21"/>
          <w:szCs w:val="21"/>
          <w:lang w:val="es-ES_tradnl"/>
        </w:rPr>
      </w:pPr>
    </w:p>
    <w:p w14:paraId="76BE7B2E" w14:textId="1C7C10FD" w:rsidR="00102D06" w:rsidRPr="00DD5F33" w:rsidRDefault="00EB6C66" w:rsidP="00102D06">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 xml:space="preserve">3. Respecto a los incentivos contractuales para los emprendimientos y empresas de mujeres, ¿bastará con la </w:t>
      </w:r>
      <w:r w:rsidR="00980BDB" w:rsidRPr="00DD5F33">
        <w:rPr>
          <w:rFonts w:ascii="Arial" w:hAnsi="Arial" w:cs="Arial"/>
          <w:color w:val="000000" w:themeColor="text1"/>
          <w:sz w:val="21"/>
          <w:szCs w:val="21"/>
          <w:lang w:val="es-ES_tradnl"/>
        </w:rPr>
        <w:t>certificación</w:t>
      </w:r>
      <w:r w:rsidR="00102D06" w:rsidRPr="00DD5F33">
        <w:rPr>
          <w:rFonts w:ascii="Arial" w:hAnsi="Arial" w:cs="Arial"/>
          <w:color w:val="000000" w:themeColor="text1"/>
          <w:sz w:val="21"/>
          <w:szCs w:val="21"/>
          <w:lang w:val="es-ES_tradnl"/>
        </w:rPr>
        <w:t xml:space="preserve"> emitida bajo gravedad de juramento, sin que se deba demostrar la </w:t>
      </w:r>
      <w:r w:rsidR="00980BDB" w:rsidRPr="00DD5F33">
        <w:rPr>
          <w:rFonts w:ascii="Arial" w:hAnsi="Arial" w:cs="Arial"/>
          <w:color w:val="000000" w:themeColor="text1"/>
          <w:sz w:val="21"/>
          <w:szCs w:val="21"/>
          <w:lang w:val="es-ES_tradnl"/>
        </w:rPr>
        <w:t>participación</w:t>
      </w:r>
      <w:r w:rsidR="00102D06" w:rsidRPr="00DD5F33">
        <w:rPr>
          <w:rFonts w:ascii="Arial" w:hAnsi="Arial" w:cs="Arial"/>
          <w:color w:val="000000" w:themeColor="text1"/>
          <w:sz w:val="21"/>
          <w:szCs w:val="21"/>
          <w:lang w:val="es-ES_tradnl"/>
        </w:rPr>
        <w:t xml:space="preserve"> de estas, </w:t>
      </w:r>
      <w:r w:rsidR="00980BDB" w:rsidRPr="00DD5F33">
        <w:rPr>
          <w:rFonts w:ascii="Arial" w:hAnsi="Arial" w:cs="Arial"/>
          <w:color w:val="000000" w:themeColor="text1"/>
          <w:sz w:val="21"/>
          <w:szCs w:val="21"/>
          <w:lang w:val="es-ES_tradnl"/>
        </w:rPr>
        <w:t>según</w:t>
      </w:r>
      <w:r w:rsidR="00102D06" w:rsidRPr="00DD5F33">
        <w:rPr>
          <w:rFonts w:ascii="Arial" w:hAnsi="Arial" w:cs="Arial"/>
          <w:color w:val="000000" w:themeColor="text1"/>
          <w:sz w:val="21"/>
          <w:szCs w:val="21"/>
          <w:lang w:val="es-ES_tradnl"/>
        </w:rPr>
        <w:t xml:space="preserve"> el certificado de existencia y </w:t>
      </w:r>
      <w:r w:rsidR="00980BDB" w:rsidRPr="00DD5F33">
        <w:rPr>
          <w:rFonts w:ascii="Arial" w:hAnsi="Arial" w:cs="Arial"/>
          <w:color w:val="000000" w:themeColor="text1"/>
          <w:sz w:val="21"/>
          <w:szCs w:val="21"/>
          <w:lang w:val="es-ES_tradnl"/>
        </w:rPr>
        <w:t>representación</w:t>
      </w:r>
      <w:r w:rsidR="00102D06" w:rsidRPr="00DD5F33">
        <w:rPr>
          <w:rFonts w:ascii="Arial" w:hAnsi="Arial" w:cs="Arial"/>
          <w:color w:val="000000" w:themeColor="text1"/>
          <w:sz w:val="21"/>
          <w:szCs w:val="21"/>
          <w:lang w:val="es-ES_tradnl"/>
        </w:rPr>
        <w:t xml:space="preserve"> –</w:t>
      </w:r>
      <w:r w:rsidR="00980BDB" w:rsidRPr="00DD5F33">
        <w:rPr>
          <w:rFonts w:ascii="Arial" w:hAnsi="Arial" w:cs="Arial"/>
          <w:color w:val="000000" w:themeColor="text1"/>
          <w:sz w:val="21"/>
          <w:szCs w:val="21"/>
          <w:lang w:val="es-ES_tradnl"/>
        </w:rPr>
        <w:t>tratándose</w:t>
      </w:r>
      <w:r w:rsidR="00102D06" w:rsidRPr="00DD5F33">
        <w:rPr>
          <w:rFonts w:ascii="Arial" w:hAnsi="Arial" w:cs="Arial"/>
          <w:color w:val="000000" w:themeColor="text1"/>
          <w:sz w:val="21"/>
          <w:szCs w:val="21"/>
          <w:lang w:val="es-ES_tradnl"/>
        </w:rPr>
        <w:t xml:space="preserve"> de personas </w:t>
      </w:r>
      <w:r w:rsidR="00980BDB" w:rsidRPr="00DD5F33">
        <w:rPr>
          <w:rFonts w:ascii="Arial" w:hAnsi="Arial" w:cs="Arial"/>
          <w:color w:val="000000" w:themeColor="text1"/>
          <w:sz w:val="21"/>
          <w:szCs w:val="21"/>
          <w:lang w:val="es-ES_tradnl"/>
        </w:rPr>
        <w:t>jurídicas</w:t>
      </w:r>
      <w:r w:rsidR="00102D06" w:rsidRPr="00DD5F33">
        <w:rPr>
          <w:rFonts w:ascii="Arial" w:hAnsi="Arial" w:cs="Arial"/>
          <w:color w:val="000000" w:themeColor="text1"/>
          <w:sz w:val="21"/>
          <w:szCs w:val="21"/>
          <w:lang w:val="es-ES_tradnl"/>
        </w:rPr>
        <w:t xml:space="preserve">– o del documento de </w:t>
      </w:r>
      <w:r w:rsidR="00980BDB" w:rsidRPr="00DD5F33">
        <w:rPr>
          <w:rFonts w:ascii="Arial" w:hAnsi="Arial" w:cs="Arial"/>
          <w:color w:val="000000" w:themeColor="text1"/>
          <w:sz w:val="21"/>
          <w:szCs w:val="21"/>
          <w:lang w:val="es-ES_tradnl"/>
        </w:rPr>
        <w:t>constitución</w:t>
      </w:r>
      <w:r w:rsidR="00102D06" w:rsidRPr="00DD5F33">
        <w:rPr>
          <w:rFonts w:ascii="Arial" w:hAnsi="Arial" w:cs="Arial"/>
          <w:color w:val="000000" w:themeColor="text1"/>
          <w:sz w:val="21"/>
          <w:szCs w:val="21"/>
          <w:lang w:val="es-ES_tradnl"/>
        </w:rPr>
        <w:t xml:space="preserve"> del proponente plural?</w:t>
      </w:r>
    </w:p>
    <w:p w14:paraId="00476252" w14:textId="77777777" w:rsidR="00980BDB" w:rsidRPr="00DD5F33" w:rsidRDefault="00980BDB" w:rsidP="00102D06">
      <w:pPr>
        <w:ind w:left="709" w:right="709"/>
        <w:jc w:val="both"/>
        <w:rPr>
          <w:rFonts w:ascii="Arial" w:hAnsi="Arial" w:cs="Arial"/>
          <w:color w:val="000000" w:themeColor="text1"/>
          <w:sz w:val="21"/>
          <w:szCs w:val="21"/>
          <w:lang w:val="es-ES_tradnl"/>
        </w:rPr>
      </w:pPr>
    </w:p>
    <w:p w14:paraId="0312489B" w14:textId="5EA47F11"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102D06" w:rsidRPr="00DD5F33">
        <w:rPr>
          <w:rFonts w:ascii="Arial" w:hAnsi="Arial" w:cs="Arial"/>
          <w:color w:val="000000" w:themeColor="text1"/>
          <w:sz w:val="21"/>
          <w:szCs w:val="21"/>
          <w:lang w:val="es-ES_tradnl"/>
        </w:rPr>
        <w:t>4. Respecto del criterio de desempate “2. Preferir la propuesta de la mujer cabeza de familia” ¿</w:t>
      </w:r>
      <w:r w:rsidR="00980BDB" w:rsidRPr="00DD5F33">
        <w:rPr>
          <w:rFonts w:ascii="Arial" w:hAnsi="Arial" w:cs="Arial"/>
          <w:color w:val="000000" w:themeColor="text1"/>
          <w:sz w:val="21"/>
          <w:szCs w:val="21"/>
          <w:lang w:val="es-ES_tradnl"/>
        </w:rPr>
        <w:t>Quién</w:t>
      </w:r>
      <w:r w:rsidR="00102D06" w:rsidRPr="00DD5F33">
        <w:rPr>
          <w:rFonts w:ascii="Arial" w:hAnsi="Arial" w:cs="Arial"/>
          <w:color w:val="000000" w:themeColor="text1"/>
          <w:sz w:val="21"/>
          <w:szCs w:val="21"/>
          <w:lang w:val="es-ES_tradnl"/>
        </w:rPr>
        <w:t xml:space="preserve"> </w:t>
      </w:r>
      <w:r w:rsidR="00980BDB" w:rsidRPr="00DD5F33">
        <w:rPr>
          <w:rFonts w:ascii="Arial" w:hAnsi="Arial" w:cs="Arial"/>
          <w:color w:val="000000" w:themeColor="text1"/>
          <w:sz w:val="21"/>
          <w:szCs w:val="21"/>
          <w:lang w:val="es-ES_tradnl"/>
        </w:rPr>
        <w:t>será</w:t>
      </w:r>
      <w:r w:rsidR="00102D06" w:rsidRPr="00DD5F33">
        <w:rPr>
          <w:rFonts w:ascii="Arial" w:hAnsi="Arial" w:cs="Arial"/>
          <w:color w:val="000000" w:themeColor="text1"/>
          <w:sz w:val="21"/>
          <w:szCs w:val="21"/>
          <w:lang w:val="es-ES_tradnl"/>
        </w:rPr>
        <w:t xml:space="preserve"> el adjudicatario si dos o </w:t>
      </w:r>
      <w:r w:rsidR="00980BDB" w:rsidRPr="00DD5F33">
        <w:rPr>
          <w:rFonts w:ascii="Arial" w:hAnsi="Arial" w:cs="Arial"/>
          <w:color w:val="000000" w:themeColor="text1"/>
          <w:sz w:val="21"/>
          <w:szCs w:val="21"/>
          <w:lang w:val="es-ES_tradnl"/>
        </w:rPr>
        <w:t>más</w:t>
      </w:r>
      <w:r w:rsidR="00102D06" w:rsidRPr="00DD5F33">
        <w:rPr>
          <w:rFonts w:ascii="Arial" w:hAnsi="Arial" w:cs="Arial"/>
          <w:color w:val="000000" w:themeColor="text1"/>
          <w:sz w:val="21"/>
          <w:szCs w:val="21"/>
          <w:lang w:val="es-ES_tradnl"/>
        </w:rPr>
        <w:t xml:space="preserve"> empresas</w:t>
      </w:r>
      <w:r w:rsidR="00246912" w:rsidRPr="00DD5F33">
        <w:rPr>
          <w:rFonts w:ascii="Arial" w:hAnsi="Arial" w:cs="Arial"/>
          <w:color w:val="000000" w:themeColor="text1"/>
          <w:sz w:val="21"/>
          <w:szCs w:val="21"/>
          <w:lang w:val="es-ES_tradnl"/>
        </w:rPr>
        <w:t xml:space="preserve"> logran acreditar este requisito? ¿se </w:t>
      </w:r>
      <w:r w:rsidR="004D3106" w:rsidRPr="00DD5F33">
        <w:rPr>
          <w:rFonts w:ascii="Arial" w:hAnsi="Arial" w:cs="Arial"/>
          <w:color w:val="000000" w:themeColor="text1"/>
          <w:sz w:val="21"/>
          <w:szCs w:val="21"/>
          <w:lang w:val="es-ES_tradnl"/>
        </w:rPr>
        <w:t>elegirá</w:t>
      </w:r>
      <w:r w:rsidR="00246912" w:rsidRPr="00DD5F33">
        <w:rPr>
          <w:rFonts w:ascii="Arial" w:hAnsi="Arial" w:cs="Arial"/>
          <w:color w:val="000000" w:themeColor="text1"/>
          <w:sz w:val="21"/>
          <w:szCs w:val="21"/>
          <w:lang w:val="es-ES_tradnl"/>
        </w:rPr>
        <w:t xml:space="preserve">́ a la empresa que </w:t>
      </w:r>
      <w:r w:rsidR="004D3106" w:rsidRPr="00DD5F33">
        <w:rPr>
          <w:rFonts w:ascii="Arial" w:hAnsi="Arial" w:cs="Arial"/>
          <w:color w:val="000000" w:themeColor="text1"/>
          <w:sz w:val="21"/>
          <w:szCs w:val="21"/>
          <w:lang w:val="es-ES_tradnl"/>
        </w:rPr>
        <w:t>más</w:t>
      </w:r>
      <w:r w:rsidR="00246912" w:rsidRPr="00DD5F33">
        <w:rPr>
          <w:rFonts w:ascii="Arial" w:hAnsi="Arial" w:cs="Arial"/>
          <w:color w:val="000000" w:themeColor="text1"/>
          <w:sz w:val="21"/>
          <w:szCs w:val="21"/>
          <w:lang w:val="es-ES_tradnl"/>
        </w:rPr>
        <w:t xml:space="preserve"> mujeres cabeza de familia o </w:t>
      </w:r>
      <w:r w:rsidR="004D3106" w:rsidRPr="00DD5F33">
        <w:rPr>
          <w:rFonts w:ascii="Arial" w:hAnsi="Arial" w:cs="Arial"/>
          <w:color w:val="000000" w:themeColor="text1"/>
          <w:sz w:val="21"/>
          <w:szCs w:val="21"/>
          <w:lang w:val="es-ES_tradnl"/>
        </w:rPr>
        <w:t>víctimas</w:t>
      </w:r>
      <w:r w:rsidR="00246912" w:rsidRPr="00DD5F33">
        <w:rPr>
          <w:rFonts w:ascii="Arial" w:hAnsi="Arial" w:cs="Arial"/>
          <w:color w:val="000000" w:themeColor="text1"/>
          <w:sz w:val="21"/>
          <w:szCs w:val="21"/>
          <w:lang w:val="es-ES_tradnl"/>
        </w:rPr>
        <w:t xml:space="preserve"> de violencia intrafamiliar logre acreditar frente a las </w:t>
      </w:r>
      <w:r w:rsidR="004D3106" w:rsidRPr="00DD5F33">
        <w:rPr>
          <w:rFonts w:ascii="Arial" w:hAnsi="Arial" w:cs="Arial"/>
          <w:color w:val="000000" w:themeColor="text1"/>
          <w:sz w:val="21"/>
          <w:szCs w:val="21"/>
          <w:lang w:val="es-ES_tradnl"/>
        </w:rPr>
        <w:t>demás</w:t>
      </w:r>
      <w:r w:rsidR="00246912" w:rsidRPr="00DD5F33">
        <w:rPr>
          <w:rFonts w:ascii="Arial" w:hAnsi="Arial" w:cs="Arial"/>
          <w:color w:val="000000" w:themeColor="text1"/>
          <w:sz w:val="21"/>
          <w:szCs w:val="21"/>
          <w:lang w:val="es-ES_tradnl"/>
        </w:rPr>
        <w:t>?</w:t>
      </w:r>
    </w:p>
    <w:p w14:paraId="32F01216" w14:textId="77777777" w:rsidR="004D3106" w:rsidRPr="00DD5F33" w:rsidRDefault="004D3106" w:rsidP="00246912">
      <w:pPr>
        <w:ind w:left="709" w:right="709"/>
        <w:jc w:val="both"/>
        <w:rPr>
          <w:rFonts w:ascii="Arial" w:hAnsi="Arial" w:cs="Arial"/>
          <w:color w:val="000000" w:themeColor="text1"/>
          <w:sz w:val="21"/>
          <w:szCs w:val="21"/>
          <w:lang w:val="es-ES_tradnl"/>
        </w:rPr>
      </w:pPr>
    </w:p>
    <w:p w14:paraId="6F780B97" w14:textId="67ABA21D"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5. ¿</w:t>
      </w:r>
      <w:r w:rsidR="004D3106" w:rsidRPr="00DD5F33">
        <w:rPr>
          <w:rFonts w:ascii="Arial" w:hAnsi="Arial" w:cs="Arial"/>
          <w:color w:val="000000" w:themeColor="text1"/>
          <w:sz w:val="21"/>
          <w:szCs w:val="21"/>
          <w:lang w:val="es-ES_tradnl"/>
        </w:rPr>
        <w:t>Cuáles</w:t>
      </w:r>
      <w:r w:rsidR="00246912" w:rsidRPr="00DD5F33">
        <w:rPr>
          <w:rFonts w:ascii="Arial" w:hAnsi="Arial" w:cs="Arial"/>
          <w:color w:val="000000" w:themeColor="text1"/>
          <w:sz w:val="21"/>
          <w:szCs w:val="21"/>
          <w:lang w:val="es-ES_tradnl"/>
        </w:rPr>
        <w:t xml:space="preserve"> son las fuentes de consulta que se recomiendan para poder sustentar los criterios diferenciales que propone la norma?</w:t>
      </w:r>
    </w:p>
    <w:p w14:paraId="7915C90B" w14:textId="7264D0E6" w:rsidR="004D3106" w:rsidRPr="00DD5F33" w:rsidRDefault="004D310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 </w:t>
      </w:r>
    </w:p>
    <w:p w14:paraId="6B61A348" w14:textId="3E7724CD"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6. ¿</w:t>
      </w:r>
      <w:r w:rsidR="004D3106" w:rsidRPr="00DD5F33">
        <w:rPr>
          <w:rFonts w:ascii="Arial" w:hAnsi="Arial" w:cs="Arial"/>
          <w:color w:val="000000" w:themeColor="text1"/>
          <w:sz w:val="21"/>
          <w:szCs w:val="21"/>
          <w:lang w:val="es-ES_tradnl"/>
        </w:rPr>
        <w:t xml:space="preserve">Cuál sería </w:t>
      </w:r>
      <w:r w:rsidR="00246912" w:rsidRPr="00DD5F33">
        <w:rPr>
          <w:rFonts w:ascii="Arial" w:hAnsi="Arial" w:cs="Arial"/>
          <w:color w:val="000000" w:themeColor="text1"/>
          <w:sz w:val="21"/>
          <w:szCs w:val="21"/>
          <w:lang w:val="es-ES_tradnl"/>
        </w:rPr>
        <w:t>la</w:t>
      </w:r>
      <w:r w:rsidR="004D3106" w:rsidRPr="00DD5F33">
        <w:rPr>
          <w:rFonts w:ascii="Arial" w:hAnsi="Arial" w:cs="Arial"/>
          <w:color w:val="000000" w:themeColor="text1"/>
          <w:sz w:val="21"/>
          <w:szCs w:val="21"/>
          <w:lang w:val="es-ES_tradnl"/>
        </w:rPr>
        <w:t xml:space="preserve"> justificación </w:t>
      </w:r>
      <w:r w:rsidR="00246912" w:rsidRPr="00DD5F33">
        <w:rPr>
          <w:rFonts w:ascii="Arial" w:hAnsi="Arial" w:cs="Arial"/>
          <w:color w:val="000000" w:themeColor="text1"/>
          <w:sz w:val="21"/>
          <w:szCs w:val="21"/>
          <w:lang w:val="es-ES_tradnl"/>
        </w:rPr>
        <w:t>para</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poder</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aplicar</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el</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criterio</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diferencial</w:t>
      </w:r>
      <w:r w:rsidR="004D3106"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 xml:space="preserve">referente al valor de la </w:t>
      </w:r>
      <w:r w:rsidR="004D3106" w:rsidRPr="00DD5F33">
        <w:rPr>
          <w:rFonts w:ascii="Arial" w:hAnsi="Arial" w:cs="Arial"/>
          <w:color w:val="000000" w:themeColor="text1"/>
          <w:sz w:val="21"/>
          <w:szCs w:val="21"/>
          <w:lang w:val="es-ES_tradnl"/>
        </w:rPr>
        <w:t>garantía</w:t>
      </w:r>
      <w:r w:rsidR="00246912" w:rsidRPr="00DD5F33">
        <w:rPr>
          <w:rFonts w:ascii="Arial" w:hAnsi="Arial" w:cs="Arial"/>
          <w:color w:val="000000" w:themeColor="text1"/>
          <w:sz w:val="21"/>
          <w:szCs w:val="21"/>
          <w:lang w:val="es-ES_tradnl"/>
        </w:rPr>
        <w:t xml:space="preserve"> de seriedad de la oferta en un proceso de </w:t>
      </w:r>
      <w:r w:rsidR="004D3106" w:rsidRPr="00DD5F33">
        <w:rPr>
          <w:rFonts w:ascii="Arial" w:hAnsi="Arial" w:cs="Arial"/>
          <w:color w:val="000000" w:themeColor="text1"/>
          <w:sz w:val="21"/>
          <w:szCs w:val="21"/>
          <w:lang w:val="es-ES_tradnl"/>
        </w:rPr>
        <w:t>selección</w:t>
      </w:r>
      <w:r w:rsidR="00246912" w:rsidRPr="00DD5F33">
        <w:rPr>
          <w:rFonts w:ascii="Arial" w:hAnsi="Arial" w:cs="Arial"/>
          <w:color w:val="000000" w:themeColor="text1"/>
          <w:sz w:val="21"/>
          <w:szCs w:val="21"/>
          <w:lang w:val="es-ES_tradnl"/>
        </w:rPr>
        <w:t>?</w:t>
      </w:r>
    </w:p>
    <w:p w14:paraId="798F0A38" w14:textId="77777777" w:rsidR="004D3106" w:rsidRPr="00DD5F33" w:rsidRDefault="004D3106" w:rsidP="00246912">
      <w:pPr>
        <w:ind w:left="709" w:right="709"/>
        <w:jc w:val="both"/>
        <w:rPr>
          <w:rFonts w:ascii="Arial" w:hAnsi="Arial" w:cs="Arial"/>
          <w:color w:val="000000" w:themeColor="text1"/>
          <w:sz w:val="21"/>
          <w:szCs w:val="21"/>
          <w:lang w:val="es-ES_tradnl"/>
        </w:rPr>
      </w:pPr>
    </w:p>
    <w:p w14:paraId="1BC1E2A4" w14:textId="7BCBA662"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7. ¿</w:t>
      </w:r>
      <w:r w:rsidR="00C20539" w:rsidRPr="00DD5F33">
        <w:rPr>
          <w:rFonts w:ascii="Arial" w:hAnsi="Arial" w:cs="Arial"/>
          <w:color w:val="000000" w:themeColor="text1"/>
          <w:sz w:val="21"/>
          <w:szCs w:val="21"/>
          <w:lang w:val="es-ES_tradnl"/>
        </w:rPr>
        <w:t>Cómo</w:t>
      </w:r>
      <w:r w:rsidR="00246912" w:rsidRPr="00DD5F33">
        <w:rPr>
          <w:rFonts w:ascii="Arial" w:hAnsi="Arial" w:cs="Arial"/>
          <w:color w:val="000000" w:themeColor="text1"/>
          <w:sz w:val="21"/>
          <w:szCs w:val="21"/>
          <w:lang w:val="es-ES_tradnl"/>
        </w:rPr>
        <w:t xml:space="preserve"> medir el riesgo de siniestralidad en las </w:t>
      </w:r>
      <w:r w:rsidR="00C20539" w:rsidRPr="00DD5F33">
        <w:rPr>
          <w:rFonts w:ascii="Arial" w:hAnsi="Arial" w:cs="Arial"/>
          <w:color w:val="000000" w:themeColor="text1"/>
          <w:sz w:val="21"/>
          <w:szCs w:val="21"/>
          <w:lang w:val="es-ES_tradnl"/>
        </w:rPr>
        <w:t>garantías</w:t>
      </w:r>
      <w:r w:rsidR="00246912" w:rsidRPr="00DD5F33">
        <w:rPr>
          <w:rFonts w:ascii="Arial" w:hAnsi="Arial" w:cs="Arial"/>
          <w:color w:val="000000" w:themeColor="text1"/>
          <w:sz w:val="21"/>
          <w:szCs w:val="21"/>
          <w:lang w:val="es-ES_tradnl"/>
        </w:rPr>
        <w:t xml:space="preserve"> de seriedad de la oferta entre empresas de emprendimiento de mujeres y Mipymes frente a las otras empresas que no ostentan este criterio?</w:t>
      </w:r>
    </w:p>
    <w:p w14:paraId="0AB67828" w14:textId="77777777" w:rsidR="00C20539" w:rsidRPr="00DD5F33" w:rsidRDefault="00C20539" w:rsidP="00246912">
      <w:pPr>
        <w:ind w:left="709" w:right="709"/>
        <w:jc w:val="both"/>
        <w:rPr>
          <w:rFonts w:ascii="Arial" w:hAnsi="Arial" w:cs="Arial"/>
          <w:color w:val="000000" w:themeColor="text1"/>
          <w:sz w:val="21"/>
          <w:szCs w:val="21"/>
          <w:lang w:val="es-ES_tradnl"/>
        </w:rPr>
      </w:pPr>
    </w:p>
    <w:p w14:paraId="78206D30" w14:textId="4EBAFC9B"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 xml:space="preserve">8. De conformidad con lo descrito en el </w:t>
      </w:r>
      <w:r w:rsidR="00C20539" w:rsidRPr="00DD5F33">
        <w:rPr>
          <w:rFonts w:ascii="Arial" w:hAnsi="Arial" w:cs="Arial"/>
          <w:color w:val="000000" w:themeColor="text1"/>
          <w:sz w:val="21"/>
          <w:szCs w:val="21"/>
          <w:lang w:val="es-ES_tradnl"/>
        </w:rPr>
        <w:t>artículo</w:t>
      </w:r>
      <w:r w:rsidR="00246912" w:rsidRPr="00DD5F33">
        <w:rPr>
          <w:rFonts w:ascii="Arial" w:hAnsi="Arial" w:cs="Arial"/>
          <w:color w:val="000000" w:themeColor="text1"/>
          <w:sz w:val="21"/>
          <w:szCs w:val="21"/>
          <w:lang w:val="es-ES_tradnl"/>
        </w:rPr>
        <w:t xml:space="preserve"> 2.2.1.2.4.2.15., el cual expresa: “Las Entidades </w:t>
      </w:r>
      <w:r w:rsidR="00C20539" w:rsidRPr="00DD5F33">
        <w:rPr>
          <w:rFonts w:ascii="Arial" w:hAnsi="Arial" w:cs="Arial"/>
          <w:color w:val="000000" w:themeColor="text1"/>
          <w:sz w:val="21"/>
          <w:szCs w:val="21"/>
          <w:lang w:val="es-ES_tradnl"/>
        </w:rPr>
        <w:t>incluirán</w:t>
      </w:r>
      <w:r w:rsidR="00246912" w:rsidRPr="00DD5F33">
        <w:rPr>
          <w:rFonts w:ascii="Arial" w:hAnsi="Arial" w:cs="Arial"/>
          <w:color w:val="000000" w:themeColor="text1"/>
          <w:sz w:val="21"/>
          <w:szCs w:val="21"/>
          <w:lang w:val="es-ES_tradnl"/>
        </w:rPr>
        <w:t xml:space="preserve"> estos requisitos diferenciales y puntajes adicionales de acuerdo con los resultados del </w:t>
      </w:r>
      <w:r w:rsidR="00C20539" w:rsidRPr="00DD5F33">
        <w:rPr>
          <w:rFonts w:ascii="Arial" w:hAnsi="Arial" w:cs="Arial"/>
          <w:color w:val="000000" w:themeColor="text1"/>
          <w:sz w:val="21"/>
          <w:szCs w:val="21"/>
          <w:lang w:val="es-ES_tradnl"/>
        </w:rPr>
        <w:t>análisis</w:t>
      </w:r>
      <w:r w:rsidR="00246912" w:rsidRPr="00DD5F33">
        <w:rPr>
          <w:rFonts w:ascii="Arial" w:hAnsi="Arial" w:cs="Arial"/>
          <w:color w:val="000000" w:themeColor="text1"/>
          <w:sz w:val="21"/>
          <w:szCs w:val="21"/>
          <w:lang w:val="es-ES_tradnl"/>
        </w:rPr>
        <w:t xml:space="preserve"> del sector, desde la perspectiva del estudio de la oferta de las obras, bienes o servicios que requiere, sin perjuicio de los compromisos adquiridos por Colombia en los Acuerdos Comerciales vigentes.” ¿Si tengo un Acuerdo comercial vigente, no puedo aplicar los criterios diferenciales? Sin perjuicio de los “Acuerdos comerciales” ¿incluye el caso de proveedores provenientes de estados con los cuales son existe un acuerdo comercial, pero el Estado a certificado reciprocidad?</w:t>
      </w:r>
    </w:p>
    <w:p w14:paraId="3094FB9B" w14:textId="77777777" w:rsidR="00C20539" w:rsidRPr="00DD5F33" w:rsidRDefault="00C20539" w:rsidP="00246912">
      <w:pPr>
        <w:ind w:left="709" w:right="709"/>
        <w:jc w:val="both"/>
        <w:rPr>
          <w:rFonts w:ascii="Arial" w:hAnsi="Arial" w:cs="Arial"/>
          <w:color w:val="000000" w:themeColor="text1"/>
          <w:sz w:val="21"/>
          <w:szCs w:val="21"/>
          <w:lang w:val="es-ES_tradnl"/>
        </w:rPr>
      </w:pPr>
    </w:p>
    <w:p w14:paraId="0F09D2CF" w14:textId="76799BA6" w:rsidR="00246912" w:rsidRPr="00DD5F33" w:rsidRDefault="00EB6C66" w:rsidP="0024691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 xml:space="preserve">9. Teniendo en cuenta, el “ARTÍCULO 2.2.1.2.4.2.14. </w:t>
      </w:r>
      <w:r w:rsidR="00C20539" w:rsidRPr="00DD5F33">
        <w:rPr>
          <w:rFonts w:ascii="Arial" w:hAnsi="Arial" w:cs="Arial"/>
          <w:color w:val="000000" w:themeColor="text1"/>
          <w:sz w:val="21"/>
          <w:szCs w:val="21"/>
          <w:lang w:val="es-ES_tradnl"/>
        </w:rPr>
        <w:t>Definición</w:t>
      </w:r>
      <w:r w:rsidR="00246912" w:rsidRPr="00DD5F33">
        <w:rPr>
          <w:rFonts w:ascii="Arial" w:hAnsi="Arial" w:cs="Arial"/>
          <w:color w:val="000000" w:themeColor="text1"/>
          <w:sz w:val="21"/>
          <w:szCs w:val="21"/>
          <w:lang w:val="es-ES_tradnl"/>
        </w:rPr>
        <w:t xml:space="preserve"> de emprendimientos y empresas de mujeres. 3. Cuando la persona natural sea una mujer y haya ejercido actividades comerciales a </w:t>
      </w:r>
      <w:r w:rsidR="00C20539" w:rsidRPr="00DD5F33">
        <w:rPr>
          <w:rFonts w:ascii="Arial" w:hAnsi="Arial" w:cs="Arial"/>
          <w:color w:val="000000" w:themeColor="text1"/>
          <w:sz w:val="21"/>
          <w:szCs w:val="21"/>
          <w:lang w:val="es-ES_tradnl"/>
        </w:rPr>
        <w:t>través</w:t>
      </w:r>
      <w:r w:rsidR="00246912" w:rsidRPr="00DD5F33">
        <w:rPr>
          <w:rFonts w:ascii="Arial" w:hAnsi="Arial" w:cs="Arial"/>
          <w:color w:val="000000" w:themeColor="text1"/>
          <w:sz w:val="21"/>
          <w:szCs w:val="21"/>
          <w:lang w:val="es-ES_tradnl"/>
        </w:rPr>
        <w:t xml:space="preserve"> de un establecimiento de comercio durante al menos el </w:t>
      </w:r>
      <w:r w:rsidR="00C20539" w:rsidRPr="00DD5F33">
        <w:rPr>
          <w:rFonts w:ascii="Arial" w:hAnsi="Arial" w:cs="Arial"/>
          <w:color w:val="000000" w:themeColor="text1"/>
          <w:sz w:val="21"/>
          <w:szCs w:val="21"/>
          <w:lang w:val="es-ES_tradnl"/>
        </w:rPr>
        <w:t>último</w:t>
      </w:r>
      <w:r w:rsidR="00246912" w:rsidRPr="00DD5F33">
        <w:rPr>
          <w:rFonts w:ascii="Arial" w:hAnsi="Arial" w:cs="Arial"/>
          <w:color w:val="000000" w:themeColor="text1"/>
          <w:sz w:val="21"/>
          <w:szCs w:val="21"/>
          <w:lang w:val="es-ES_tradnl"/>
        </w:rPr>
        <w:t xml:space="preserve"> </w:t>
      </w:r>
      <w:r w:rsidR="00C20539" w:rsidRPr="00DD5F33">
        <w:rPr>
          <w:rFonts w:ascii="Arial" w:hAnsi="Arial" w:cs="Arial"/>
          <w:color w:val="000000" w:themeColor="text1"/>
          <w:sz w:val="21"/>
          <w:szCs w:val="21"/>
          <w:lang w:val="es-ES_tradnl"/>
        </w:rPr>
        <w:t>año</w:t>
      </w:r>
      <w:r w:rsidR="00246912" w:rsidRPr="00DD5F33">
        <w:rPr>
          <w:rFonts w:ascii="Arial" w:hAnsi="Arial" w:cs="Arial"/>
          <w:color w:val="000000" w:themeColor="text1"/>
          <w:sz w:val="21"/>
          <w:szCs w:val="21"/>
          <w:lang w:val="es-ES_tradnl"/>
        </w:rPr>
        <w:t xml:space="preserve"> anterior a la fecha de cierre del proceso de </w:t>
      </w:r>
      <w:r w:rsidR="00C20539" w:rsidRPr="00DD5F33">
        <w:rPr>
          <w:rFonts w:ascii="Arial" w:hAnsi="Arial" w:cs="Arial"/>
          <w:color w:val="000000" w:themeColor="text1"/>
          <w:sz w:val="21"/>
          <w:szCs w:val="21"/>
          <w:lang w:val="es-ES_tradnl"/>
        </w:rPr>
        <w:t>selección</w:t>
      </w:r>
      <w:r w:rsidR="00246912" w:rsidRPr="00DD5F33">
        <w:rPr>
          <w:rFonts w:ascii="Arial" w:hAnsi="Arial" w:cs="Arial"/>
          <w:color w:val="000000" w:themeColor="text1"/>
          <w:sz w:val="21"/>
          <w:szCs w:val="21"/>
          <w:lang w:val="es-ES_tradnl"/>
        </w:rPr>
        <w:t xml:space="preserve">. Esta circunstancia se acreditará mediante la copia de </w:t>
      </w:r>
      <w:r w:rsidR="00C20539" w:rsidRPr="00DD5F33">
        <w:rPr>
          <w:rFonts w:ascii="Arial" w:hAnsi="Arial" w:cs="Arial"/>
          <w:color w:val="000000" w:themeColor="text1"/>
          <w:sz w:val="21"/>
          <w:szCs w:val="21"/>
          <w:lang w:val="es-ES_tradnl"/>
        </w:rPr>
        <w:t>cédula</w:t>
      </w:r>
      <w:r w:rsidR="00246912" w:rsidRPr="00DD5F33">
        <w:rPr>
          <w:rFonts w:ascii="Arial" w:hAnsi="Arial" w:cs="Arial"/>
          <w:color w:val="000000" w:themeColor="text1"/>
          <w:sz w:val="21"/>
          <w:szCs w:val="21"/>
          <w:lang w:val="es-ES_tradnl"/>
        </w:rPr>
        <w:t xml:space="preserve"> de </w:t>
      </w:r>
      <w:r w:rsidR="00C20539" w:rsidRPr="00DD5F33">
        <w:rPr>
          <w:rFonts w:ascii="Arial" w:hAnsi="Arial" w:cs="Arial"/>
          <w:color w:val="000000" w:themeColor="text1"/>
          <w:sz w:val="21"/>
          <w:szCs w:val="21"/>
          <w:lang w:val="es-ES_tradnl"/>
        </w:rPr>
        <w:t>ciudadanía</w:t>
      </w:r>
      <w:r w:rsidR="00246912" w:rsidRPr="00DD5F33">
        <w:rPr>
          <w:rFonts w:ascii="Arial" w:hAnsi="Arial" w:cs="Arial"/>
          <w:color w:val="000000" w:themeColor="text1"/>
          <w:sz w:val="21"/>
          <w:szCs w:val="21"/>
          <w:lang w:val="es-ES_tradnl"/>
        </w:rPr>
        <w:t xml:space="preserve">, la </w:t>
      </w:r>
      <w:r w:rsidR="00C20539" w:rsidRPr="00DD5F33">
        <w:rPr>
          <w:rFonts w:ascii="Arial" w:hAnsi="Arial" w:cs="Arial"/>
          <w:color w:val="000000" w:themeColor="text1"/>
          <w:sz w:val="21"/>
          <w:szCs w:val="21"/>
          <w:lang w:val="es-ES_tradnl"/>
        </w:rPr>
        <w:t>cédula</w:t>
      </w:r>
      <w:r w:rsidR="00246912" w:rsidRPr="00DD5F33">
        <w:rPr>
          <w:rFonts w:ascii="Arial" w:hAnsi="Arial" w:cs="Arial"/>
          <w:color w:val="000000" w:themeColor="text1"/>
          <w:sz w:val="21"/>
          <w:szCs w:val="21"/>
          <w:lang w:val="es-ES_tradnl"/>
        </w:rPr>
        <w:t xml:space="preserve"> de </w:t>
      </w:r>
      <w:r w:rsidR="00C20539" w:rsidRPr="00DD5F33">
        <w:rPr>
          <w:rFonts w:ascii="Arial" w:hAnsi="Arial" w:cs="Arial"/>
          <w:color w:val="000000" w:themeColor="text1"/>
          <w:sz w:val="21"/>
          <w:szCs w:val="21"/>
          <w:lang w:val="es-ES_tradnl"/>
        </w:rPr>
        <w:t>extranjería</w:t>
      </w:r>
      <w:r w:rsidR="00246912" w:rsidRPr="00DD5F33">
        <w:rPr>
          <w:rFonts w:ascii="Arial" w:hAnsi="Arial" w:cs="Arial"/>
          <w:color w:val="000000" w:themeColor="text1"/>
          <w:sz w:val="21"/>
          <w:szCs w:val="21"/>
          <w:lang w:val="es-ES_tradnl"/>
        </w:rPr>
        <w:t xml:space="preserve"> o el pasaporte, </w:t>
      </w:r>
      <w:r w:rsidR="00C20539" w:rsidRPr="00DD5F33">
        <w:rPr>
          <w:rFonts w:ascii="Arial" w:hAnsi="Arial" w:cs="Arial"/>
          <w:color w:val="000000" w:themeColor="text1"/>
          <w:sz w:val="21"/>
          <w:szCs w:val="21"/>
          <w:lang w:val="es-ES_tradnl"/>
        </w:rPr>
        <w:t>así</w:t>
      </w:r>
      <w:r w:rsidR="00246912" w:rsidRPr="00DD5F33">
        <w:rPr>
          <w:rFonts w:ascii="Arial" w:hAnsi="Arial" w:cs="Arial"/>
          <w:color w:val="000000" w:themeColor="text1"/>
          <w:sz w:val="21"/>
          <w:szCs w:val="21"/>
          <w:lang w:val="es-ES_tradnl"/>
        </w:rPr>
        <w:t xml:space="preserve">́ como la copia del registro mercantil”. En caso de desempate y aplicando los criterios de desempate, ¿no </w:t>
      </w:r>
      <w:r w:rsidR="00C20539" w:rsidRPr="00DD5F33">
        <w:rPr>
          <w:rFonts w:ascii="Arial" w:hAnsi="Arial" w:cs="Arial"/>
          <w:color w:val="000000" w:themeColor="text1"/>
          <w:sz w:val="21"/>
          <w:szCs w:val="21"/>
          <w:lang w:val="es-ES_tradnl"/>
        </w:rPr>
        <w:t>tendría</w:t>
      </w:r>
      <w:r w:rsidR="00246912" w:rsidRPr="00DD5F33">
        <w:rPr>
          <w:rFonts w:ascii="Arial" w:hAnsi="Arial" w:cs="Arial"/>
          <w:color w:val="000000" w:themeColor="text1"/>
          <w:sz w:val="21"/>
          <w:szCs w:val="21"/>
          <w:lang w:val="es-ES_tradnl"/>
        </w:rPr>
        <w:t xml:space="preserve"> una desventaja sustancial?</w:t>
      </w:r>
    </w:p>
    <w:p w14:paraId="7E8362A5" w14:textId="77777777" w:rsidR="00C20539" w:rsidRPr="00DD5F33" w:rsidRDefault="00C20539" w:rsidP="00246912">
      <w:pPr>
        <w:ind w:left="709" w:right="709"/>
        <w:jc w:val="both"/>
        <w:rPr>
          <w:rFonts w:ascii="Arial" w:hAnsi="Arial" w:cs="Arial"/>
          <w:color w:val="000000" w:themeColor="text1"/>
          <w:sz w:val="21"/>
          <w:szCs w:val="21"/>
          <w:lang w:val="es-ES_tradnl"/>
        </w:rPr>
      </w:pPr>
    </w:p>
    <w:p w14:paraId="588DA8E8" w14:textId="2D1FFFEB"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246912" w:rsidRPr="00DD5F33">
        <w:rPr>
          <w:rFonts w:ascii="Arial" w:hAnsi="Arial" w:cs="Arial"/>
          <w:color w:val="000000" w:themeColor="text1"/>
          <w:sz w:val="21"/>
          <w:szCs w:val="21"/>
          <w:lang w:val="es-ES_tradnl"/>
        </w:rPr>
        <w:t xml:space="preserve">“ARTÍCULO 4. </w:t>
      </w:r>
      <w:r w:rsidR="004D768D" w:rsidRPr="00DD5F33">
        <w:rPr>
          <w:rFonts w:ascii="Arial" w:hAnsi="Arial" w:cs="Arial"/>
          <w:color w:val="000000" w:themeColor="text1"/>
          <w:sz w:val="21"/>
          <w:szCs w:val="21"/>
          <w:lang w:val="es-ES_tradnl"/>
        </w:rPr>
        <w:t>Adición</w:t>
      </w:r>
      <w:r w:rsidR="00246912" w:rsidRPr="00DD5F33">
        <w:rPr>
          <w:rFonts w:ascii="Arial" w:hAnsi="Arial" w:cs="Arial"/>
          <w:color w:val="000000" w:themeColor="text1"/>
          <w:sz w:val="21"/>
          <w:szCs w:val="21"/>
          <w:lang w:val="es-ES_tradnl"/>
        </w:rPr>
        <w:t xml:space="preserve"> de un </w:t>
      </w:r>
      <w:r w:rsidR="004D768D" w:rsidRPr="00DD5F33">
        <w:rPr>
          <w:rFonts w:ascii="Arial" w:hAnsi="Arial" w:cs="Arial"/>
          <w:color w:val="000000" w:themeColor="text1"/>
          <w:sz w:val="21"/>
          <w:szCs w:val="21"/>
          <w:lang w:val="es-ES_tradnl"/>
        </w:rPr>
        <w:t>parágrafo</w:t>
      </w:r>
      <w:r w:rsidR="00246912" w:rsidRPr="00DD5F33">
        <w:rPr>
          <w:rFonts w:ascii="Arial" w:hAnsi="Arial" w:cs="Arial"/>
          <w:color w:val="000000" w:themeColor="text1"/>
          <w:sz w:val="21"/>
          <w:szCs w:val="21"/>
          <w:lang w:val="es-ES_tradnl"/>
        </w:rPr>
        <w:t xml:space="preserve"> al </w:t>
      </w:r>
      <w:r w:rsidR="004D768D" w:rsidRPr="00DD5F33">
        <w:rPr>
          <w:rFonts w:ascii="Arial" w:hAnsi="Arial" w:cs="Arial"/>
          <w:color w:val="000000" w:themeColor="text1"/>
          <w:sz w:val="21"/>
          <w:szCs w:val="21"/>
          <w:lang w:val="es-ES_tradnl"/>
        </w:rPr>
        <w:t>artículo</w:t>
      </w:r>
      <w:r w:rsidR="00246912" w:rsidRPr="00DD5F33">
        <w:rPr>
          <w:rFonts w:ascii="Arial" w:hAnsi="Arial" w:cs="Arial"/>
          <w:color w:val="000000" w:themeColor="text1"/>
          <w:sz w:val="21"/>
          <w:szCs w:val="21"/>
          <w:lang w:val="es-ES_tradnl"/>
        </w:rPr>
        <w:t xml:space="preserve"> 2.2.1.2.3.1.9. de la </w:t>
      </w:r>
      <w:r w:rsidR="004D768D" w:rsidRPr="00DD5F33">
        <w:rPr>
          <w:rFonts w:ascii="Arial" w:hAnsi="Arial" w:cs="Arial"/>
          <w:color w:val="000000" w:themeColor="text1"/>
          <w:sz w:val="21"/>
          <w:szCs w:val="21"/>
          <w:lang w:val="es-ES_tradnl"/>
        </w:rPr>
        <w:t>Subsección</w:t>
      </w:r>
      <w:r w:rsidR="00246912" w:rsidRPr="00DD5F33">
        <w:rPr>
          <w:rFonts w:ascii="Arial" w:hAnsi="Arial" w:cs="Arial"/>
          <w:color w:val="000000" w:themeColor="text1"/>
          <w:sz w:val="21"/>
          <w:szCs w:val="21"/>
          <w:lang w:val="es-ES_tradnl"/>
        </w:rPr>
        <w:t xml:space="preserve"> 1 de la </w:t>
      </w:r>
      <w:r w:rsidR="004D768D" w:rsidRPr="00DD5F33">
        <w:rPr>
          <w:rFonts w:ascii="Arial" w:hAnsi="Arial" w:cs="Arial"/>
          <w:color w:val="000000" w:themeColor="text1"/>
          <w:sz w:val="21"/>
          <w:szCs w:val="21"/>
          <w:lang w:val="es-ES_tradnl"/>
        </w:rPr>
        <w:t>Sección</w:t>
      </w:r>
      <w:r w:rsidR="00246912" w:rsidRPr="00DD5F33">
        <w:rPr>
          <w:rFonts w:ascii="Arial" w:hAnsi="Arial" w:cs="Arial"/>
          <w:color w:val="000000" w:themeColor="text1"/>
          <w:sz w:val="21"/>
          <w:szCs w:val="21"/>
          <w:lang w:val="es-ES_tradnl"/>
        </w:rPr>
        <w:t xml:space="preserve"> 3 del </w:t>
      </w:r>
      <w:r w:rsidR="004D768D" w:rsidRPr="00DD5F33">
        <w:rPr>
          <w:rFonts w:ascii="Arial" w:hAnsi="Arial" w:cs="Arial"/>
          <w:color w:val="000000" w:themeColor="text1"/>
          <w:sz w:val="21"/>
          <w:szCs w:val="21"/>
          <w:lang w:val="es-ES_tradnl"/>
        </w:rPr>
        <w:t>Capítulo</w:t>
      </w:r>
      <w:r w:rsidR="00246912" w:rsidRPr="00DD5F33">
        <w:rPr>
          <w:rFonts w:ascii="Arial" w:hAnsi="Arial" w:cs="Arial"/>
          <w:color w:val="000000" w:themeColor="text1"/>
          <w:sz w:val="21"/>
          <w:szCs w:val="21"/>
          <w:lang w:val="es-ES_tradnl"/>
        </w:rPr>
        <w:t xml:space="preserve"> 2 del </w:t>
      </w:r>
      <w:r w:rsidR="004D768D" w:rsidRPr="00DD5F33">
        <w:rPr>
          <w:rFonts w:ascii="Arial" w:hAnsi="Arial" w:cs="Arial"/>
          <w:color w:val="000000" w:themeColor="text1"/>
          <w:sz w:val="21"/>
          <w:szCs w:val="21"/>
          <w:lang w:val="es-ES_tradnl"/>
        </w:rPr>
        <w:t>Título</w:t>
      </w:r>
      <w:r w:rsidR="00246912" w:rsidRPr="00DD5F33">
        <w:rPr>
          <w:rFonts w:ascii="Arial" w:hAnsi="Arial" w:cs="Arial"/>
          <w:color w:val="000000" w:themeColor="text1"/>
          <w:sz w:val="21"/>
          <w:szCs w:val="21"/>
          <w:lang w:val="es-ES_tradnl"/>
        </w:rPr>
        <w:t xml:space="preserve"> 1 de la Parte 2 del Libro 2 del Decreto 1082 de 2015.</w:t>
      </w:r>
      <w:r w:rsidR="004D768D" w:rsidRPr="00DD5F33">
        <w:rPr>
          <w:rFonts w:ascii="Arial" w:hAnsi="Arial" w:cs="Arial"/>
          <w:color w:val="000000" w:themeColor="text1"/>
          <w:sz w:val="21"/>
          <w:szCs w:val="21"/>
          <w:lang w:val="es-ES_tradnl"/>
        </w:rPr>
        <w:t xml:space="preserve"> </w:t>
      </w:r>
      <w:r w:rsidR="005834A1" w:rsidRPr="00DD5F33">
        <w:rPr>
          <w:rFonts w:ascii="Arial" w:hAnsi="Arial" w:cs="Arial"/>
          <w:color w:val="000000" w:themeColor="text1"/>
          <w:sz w:val="21"/>
          <w:szCs w:val="21"/>
          <w:lang w:val="es-ES_tradnl"/>
        </w:rPr>
        <w:t>Adiciónese</w:t>
      </w:r>
      <w:r w:rsidR="00246912" w:rsidRPr="00DD5F33">
        <w:rPr>
          <w:rFonts w:ascii="Arial" w:hAnsi="Arial" w:cs="Arial"/>
          <w:color w:val="000000" w:themeColor="text1"/>
          <w:sz w:val="21"/>
          <w:szCs w:val="21"/>
          <w:lang w:val="es-ES_tradnl"/>
        </w:rPr>
        <w:t xml:space="preserve"> un </w:t>
      </w:r>
      <w:r w:rsidR="005834A1" w:rsidRPr="00DD5F33">
        <w:rPr>
          <w:rFonts w:ascii="Arial" w:hAnsi="Arial" w:cs="Arial"/>
          <w:color w:val="000000" w:themeColor="text1"/>
          <w:sz w:val="21"/>
          <w:szCs w:val="21"/>
          <w:lang w:val="es-ES_tradnl"/>
        </w:rPr>
        <w:t>parágrafo</w:t>
      </w:r>
      <w:r w:rsidR="00246912" w:rsidRPr="00DD5F33">
        <w:rPr>
          <w:rFonts w:ascii="Arial" w:hAnsi="Arial" w:cs="Arial"/>
          <w:color w:val="000000" w:themeColor="text1"/>
          <w:sz w:val="21"/>
          <w:szCs w:val="21"/>
          <w:lang w:val="es-ES_tradnl"/>
        </w:rPr>
        <w:t xml:space="preserve"> al </w:t>
      </w:r>
      <w:r w:rsidR="005834A1" w:rsidRPr="00DD5F33">
        <w:rPr>
          <w:rFonts w:ascii="Arial" w:hAnsi="Arial" w:cs="Arial"/>
          <w:color w:val="000000" w:themeColor="text1"/>
          <w:sz w:val="21"/>
          <w:szCs w:val="21"/>
          <w:lang w:val="es-ES_tradnl"/>
        </w:rPr>
        <w:t>artículo</w:t>
      </w:r>
      <w:r w:rsidR="00246912" w:rsidRPr="00DD5F33">
        <w:rPr>
          <w:rFonts w:ascii="Arial" w:hAnsi="Arial" w:cs="Arial"/>
          <w:color w:val="000000" w:themeColor="text1"/>
          <w:sz w:val="21"/>
          <w:szCs w:val="21"/>
          <w:lang w:val="es-ES_tradnl"/>
        </w:rPr>
        <w:t xml:space="preserve"> 2.2.1.2.3.1.9 de la </w:t>
      </w:r>
      <w:r w:rsidR="005834A1" w:rsidRPr="00DD5F33">
        <w:rPr>
          <w:rFonts w:ascii="Arial" w:hAnsi="Arial" w:cs="Arial"/>
          <w:color w:val="000000" w:themeColor="text1"/>
          <w:sz w:val="21"/>
          <w:szCs w:val="21"/>
          <w:lang w:val="es-ES_tradnl"/>
        </w:rPr>
        <w:t>Subsección</w:t>
      </w:r>
      <w:r w:rsidR="00246912" w:rsidRPr="00DD5F33">
        <w:rPr>
          <w:rFonts w:ascii="Arial" w:hAnsi="Arial" w:cs="Arial"/>
          <w:color w:val="000000" w:themeColor="text1"/>
          <w:sz w:val="21"/>
          <w:szCs w:val="21"/>
          <w:lang w:val="es-ES_tradnl"/>
        </w:rPr>
        <w:t xml:space="preserve"> 1 de la </w:t>
      </w:r>
      <w:r w:rsidR="005834A1" w:rsidRPr="00DD5F33">
        <w:rPr>
          <w:rFonts w:ascii="Arial" w:hAnsi="Arial" w:cs="Arial"/>
          <w:color w:val="000000" w:themeColor="text1"/>
          <w:sz w:val="21"/>
          <w:szCs w:val="21"/>
          <w:lang w:val="es-ES_tradnl"/>
        </w:rPr>
        <w:t>Sección</w:t>
      </w:r>
      <w:r w:rsidR="00246912" w:rsidRPr="00DD5F33">
        <w:rPr>
          <w:rFonts w:ascii="Arial" w:hAnsi="Arial" w:cs="Arial"/>
          <w:color w:val="000000" w:themeColor="text1"/>
          <w:sz w:val="21"/>
          <w:szCs w:val="21"/>
          <w:lang w:val="es-ES_tradnl"/>
        </w:rPr>
        <w:t xml:space="preserve"> 3 del </w:t>
      </w:r>
      <w:r w:rsidR="00CF673F" w:rsidRPr="00DD5F33">
        <w:rPr>
          <w:rFonts w:ascii="Arial" w:hAnsi="Arial" w:cs="Arial"/>
          <w:color w:val="000000" w:themeColor="text1"/>
          <w:sz w:val="21"/>
          <w:szCs w:val="21"/>
          <w:lang w:val="es-ES_tradnl"/>
        </w:rPr>
        <w:t>Capítulo</w:t>
      </w:r>
      <w:r w:rsidR="00246912" w:rsidRPr="00DD5F33">
        <w:rPr>
          <w:rFonts w:ascii="Arial" w:hAnsi="Arial" w:cs="Arial"/>
          <w:color w:val="000000" w:themeColor="text1"/>
          <w:sz w:val="21"/>
          <w:szCs w:val="21"/>
          <w:lang w:val="es-ES_tradnl"/>
        </w:rPr>
        <w:t xml:space="preserve"> 2 del </w:t>
      </w:r>
      <w:r w:rsidR="00CF673F" w:rsidRPr="00DD5F33">
        <w:rPr>
          <w:rFonts w:ascii="Arial" w:hAnsi="Arial" w:cs="Arial"/>
          <w:color w:val="000000" w:themeColor="text1"/>
          <w:sz w:val="21"/>
          <w:szCs w:val="21"/>
          <w:lang w:val="es-ES_tradnl"/>
        </w:rPr>
        <w:t>Título</w:t>
      </w:r>
      <w:r w:rsidR="00246912" w:rsidRPr="00DD5F33">
        <w:rPr>
          <w:rFonts w:ascii="Arial" w:hAnsi="Arial" w:cs="Arial"/>
          <w:color w:val="000000" w:themeColor="text1"/>
          <w:sz w:val="21"/>
          <w:szCs w:val="21"/>
          <w:lang w:val="es-ES_tradnl"/>
        </w:rPr>
        <w:t xml:space="preserve"> 1 de la Parte 2 del Libro 2 del Decreto 1082 de 2015, el cual quedará </w:t>
      </w:r>
      <w:r w:rsidR="00CF673F" w:rsidRPr="00DD5F33">
        <w:rPr>
          <w:rFonts w:ascii="Arial" w:hAnsi="Arial" w:cs="Arial"/>
          <w:color w:val="000000" w:themeColor="text1"/>
          <w:sz w:val="21"/>
          <w:szCs w:val="21"/>
          <w:lang w:val="es-ES_tradnl"/>
        </w:rPr>
        <w:t>así</w:t>
      </w:r>
      <w:r w:rsidR="00246912" w:rsidRPr="00DD5F33">
        <w:rPr>
          <w:rFonts w:ascii="Arial" w:hAnsi="Arial" w:cs="Arial"/>
          <w:color w:val="000000" w:themeColor="text1"/>
          <w:sz w:val="21"/>
          <w:szCs w:val="21"/>
          <w:lang w:val="es-ES_tradnl"/>
        </w:rPr>
        <w:t>: "PARÁGRAFO.</w:t>
      </w:r>
      <w:r w:rsidR="00CF673F" w:rsidRPr="00DD5F33">
        <w:rPr>
          <w:rFonts w:ascii="Arial" w:hAnsi="Arial" w:cs="Arial"/>
          <w:color w:val="000000" w:themeColor="text1"/>
          <w:sz w:val="21"/>
          <w:szCs w:val="21"/>
          <w:lang w:val="es-ES_tradnl"/>
        </w:rPr>
        <w:t xml:space="preserve"> </w:t>
      </w:r>
      <w:r w:rsidR="00246912" w:rsidRPr="00DD5F33">
        <w:rPr>
          <w:rFonts w:ascii="Arial" w:hAnsi="Arial" w:cs="Arial"/>
          <w:color w:val="000000" w:themeColor="text1"/>
          <w:sz w:val="21"/>
          <w:szCs w:val="21"/>
          <w:lang w:val="es-ES_tradnl"/>
        </w:rPr>
        <w:t xml:space="preserve">Colombia Compra Eficiente </w:t>
      </w:r>
      <w:r w:rsidR="00CF673F" w:rsidRPr="00DD5F33">
        <w:rPr>
          <w:rFonts w:ascii="Arial" w:hAnsi="Arial" w:cs="Arial"/>
          <w:color w:val="000000" w:themeColor="text1"/>
          <w:sz w:val="21"/>
          <w:szCs w:val="21"/>
          <w:lang w:val="es-ES_tradnl"/>
        </w:rPr>
        <w:t>podrá</w:t>
      </w:r>
      <w:r w:rsidR="00246912" w:rsidRPr="00DD5F33">
        <w:rPr>
          <w:rFonts w:ascii="Arial" w:hAnsi="Arial" w:cs="Arial"/>
          <w:color w:val="000000" w:themeColor="text1"/>
          <w:sz w:val="21"/>
          <w:szCs w:val="21"/>
          <w:lang w:val="es-ES_tradnl"/>
        </w:rPr>
        <w:t xml:space="preserve"> definir un valor de suficiencia diferencial para la </w:t>
      </w:r>
      <w:r w:rsidR="00CF673F" w:rsidRPr="00DD5F33">
        <w:rPr>
          <w:rFonts w:ascii="Arial" w:hAnsi="Arial" w:cs="Arial"/>
          <w:color w:val="000000" w:themeColor="text1"/>
          <w:sz w:val="21"/>
          <w:szCs w:val="21"/>
          <w:lang w:val="es-ES_tradnl"/>
        </w:rPr>
        <w:t>garantía</w:t>
      </w:r>
      <w:r w:rsidR="00246912" w:rsidRPr="00DD5F33">
        <w:rPr>
          <w:rFonts w:ascii="Arial" w:hAnsi="Arial" w:cs="Arial"/>
          <w:color w:val="000000" w:themeColor="text1"/>
          <w:sz w:val="21"/>
          <w:szCs w:val="21"/>
          <w:lang w:val="es-ES_tradnl"/>
        </w:rPr>
        <w:t xml:space="preserve"> de seriedad de las ofertas presentadas</w:t>
      </w:r>
      <w:r w:rsidR="005A7BC7" w:rsidRPr="00DD5F33">
        <w:rPr>
          <w:rFonts w:ascii="Arial" w:hAnsi="Arial" w:cs="Arial"/>
          <w:color w:val="000000" w:themeColor="text1"/>
          <w:sz w:val="21"/>
          <w:szCs w:val="21"/>
          <w:lang w:val="es-ES_tradnl"/>
        </w:rPr>
        <w:t xml:space="preserve"> por los emprendimientos y las empresas de mujeres, y las Mipyme en los Acuerdos Marco de Precio.”</w:t>
      </w:r>
    </w:p>
    <w:p w14:paraId="238F205F" w14:textId="77777777" w:rsidR="0096158E" w:rsidRPr="00DD5F33" w:rsidRDefault="0096158E" w:rsidP="005A7BC7">
      <w:pPr>
        <w:ind w:left="709" w:right="709"/>
        <w:jc w:val="both"/>
        <w:rPr>
          <w:rFonts w:ascii="Arial" w:hAnsi="Arial" w:cs="Arial"/>
          <w:color w:val="000000" w:themeColor="text1"/>
          <w:sz w:val="21"/>
          <w:szCs w:val="21"/>
          <w:lang w:val="es-ES_tradnl"/>
        </w:rPr>
      </w:pPr>
    </w:p>
    <w:p w14:paraId="4D95A90B" w14:textId="3FA9B15D"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Al respecto se consulta:</w:t>
      </w:r>
    </w:p>
    <w:p w14:paraId="0182DFE5" w14:textId="6C061233"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 xml:space="preserve">1. De conformidad con los criterios diferenciales para emprendimientos y empresas de mujeres y para MIPYMES, se establece la posibilidad de incorporar requisitos habilitantes diferenciales, entre ellos, en el aspecto del valor de la </w:t>
      </w:r>
      <w:r w:rsidR="0096158E" w:rsidRPr="00DD5F33">
        <w:rPr>
          <w:rFonts w:ascii="Arial" w:hAnsi="Arial" w:cs="Arial"/>
          <w:color w:val="000000" w:themeColor="text1"/>
          <w:sz w:val="21"/>
          <w:szCs w:val="21"/>
          <w:lang w:val="es-ES_tradnl"/>
        </w:rPr>
        <w:t>garantía</w:t>
      </w:r>
      <w:r w:rsidR="005A7BC7" w:rsidRPr="00DD5F33">
        <w:rPr>
          <w:rFonts w:ascii="Arial" w:hAnsi="Arial" w:cs="Arial"/>
          <w:color w:val="000000" w:themeColor="text1"/>
          <w:sz w:val="21"/>
          <w:szCs w:val="21"/>
          <w:lang w:val="es-ES_tradnl"/>
        </w:rPr>
        <w:t xml:space="preserve"> de seriedad de la oferta. Por ende, conforme lo dispuesto en el Articulo 2.2.1.2.3.1.9., del Decreto 1082 de 2015 a efectos </w:t>
      </w:r>
      <w:r w:rsidR="0096158E" w:rsidRPr="00DD5F33">
        <w:rPr>
          <w:rFonts w:ascii="Arial" w:hAnsi="Arial" w:cs="Arial"/>
          <w:color w:val="000000" w:themeColor="text1"/>
          <w:sz w:val="21"/>
          <w:szCs w:val="21"/>
          <w:lang w:val="es-ES_tradnl"/>
        </w:rPr>
        <w:t>prácticos</w:t>
      </w:r>
      <w:r w:rsidR="005A7BC7" w:rsidRPr="00DD5F33">
        <w:rPr>
          <w:rFonts w:ascii="Arial" w:hAnsi="Arial" w:cs="Arial"/>
          <w:color w:val="000000" w:themeColor="text1"/>
          <w:sz w:val="21"/>
          <w:szCs w:val="21"/>
          <w:lang w:val="es-ES_tradnl"/>
        </w:rPr>
        <w:t>. ¿</w:t>
      </w:r>
      <w:r w:rsidR="0096158E" w:rsidRPr="00DD5F33">
        <w:rPr>
          <w:rFonts w:ascii="Arial" w:hAnsi="Arial" w:cs="Arial"/>
          <w:color w:val="000000" w:themeColor="text1"/>
          <w:sz w:val="21"/>
          <w:szCs w:val="21"/>
          <w:lang w:val="es-ES_tradnl"/>
        </w:rPr>
        <w:t>cómo</w:t>
      </w:r>
      <w:r w:rsidR="005A7BC7" w:rsidRPr="00DD5F33">
        <w:rPr>
          <w:rFonts w:ascii="Arial" w:hAnsi="Arial" w:cs="Arial"/>
          <w:color w:val="000000" w:themeColor="text1"/>
          <w:sz w:val="21"/>
          <w:szCs w:val="21"/>
          <w:lang w:val="es-ES_tradnl"/>
        </w:rPr>
        <w:t xml:space="preserve"> </w:t>
      </w:r>
      <w:r w:rsidR="0096158E" w:rsidRPr="00DD5F33">
        <w:rPr>
          <w:rFonts w:ascii="Arial" w:hAnsi="Arial" w:cs="Arial"/>
          <w:color w:val="000000" w:themeColor="text1"/>
          <w:sz w:val="21"/>
          <w:szCs w:val="21"/>
          <w:lang w:val="es-ES_tradnl"/>
        </w:rPr>
        <w:t>sería</w:t>
      </w:r>
      <w:r w:rsidR="005A7BC7" w:rsidRPr="00DD5F33">
        <w:rPr>
          <w:rFonts w:ascii="Arial" w:hAnsi="Arial" w:cs="Arial"/>
          <w:color w:val="000000" w:themeColor="text1"/>
          <w:sz w:val="21"/>
          <w:szCs w:val="21"/>
          <w:lang w:val="es-ES_tradnl"/>
        </w:rPr>
        <w:t xml:space="preserve"> posible establecer este diferencial de acuerdo con los valores y porcentajes para la suficiencia de esta </w:t>
      </w:r>
      <w:r w:rsidR="0096158E" w:rsidRPr="00DD5F33">
        <w:rPr>
          <w:rFonts w:ascii="Arial" w:hAnsi="Arial" w:cs="Arial"/>
          <w:color w:val="000000" w:themeColor="text1"/>
          <w:sz w:val="21"/>
          <w:szCs w:val="21"/>
          <w:lang w:val="es-ES_tradnl"/>
        </w:rPr>
        <w:t>garantía</w:t>
      </w:r>
      <w:r w:rsidR="005A7BC7" w:rsidRPr="00DD5F33">
        <w:rPr>
          <w:rFonts w:ascii="Arial" w:hAnsi="Arial" w:cs="Arial"/>
          <w:color w:val="000000" w:themeColor="text1"/>
          <w:sz w:val="21"/>
          <w:szCs w:val="21"/>
          <w:lang w:val="es-ES_tradnl"/>
        </w:rPr>
        <w:t>?</w:t>
      </w:r>
    </w:p>
    <w:p w14:paraId="6D5E0193" w14:textId="77777777" w:rsidR="0096158E" w:rsidRPr="00DD5F33" w:rsidRDefault="0096158E" w:rsidP="005A7BC7">
      <w:pPr>
        <w:ind w:left="709" w:right="709"/>
        <w:jc w:val="both"/>
        <w:rPr>
          <w:rFonts w:ascii="Arial" w:hAnsi="Arial" w:cs="Arial"/>
          <w:color w:val="000000" w:themeColor="text1"/>
          <w:sz w:val="21"/>
          <w:szCs w:val="21"/>
          <w:lang w:val="es-ES_tradnl"/>
        </w:rPr>
      </w:pPr>
    </w:p>
    <w:p w14:paraId="14D3FFF4" w14:textId="3FF5316D"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w:t>
      </w:r>
      <w:r w:rsidR="005A7BC7" w:rsidRPr="00DD5F33">
        <w:rPr>
          <w:rFonts w:ascii="Arial" w:hAnsi="Arial" w:cs="Arial"/>
          <w:color w:val="000000" w:themeColor="text1"/>
          <w:sz w:val="21"/>
          <w:szCs w:val="21"/>
          <w:lang w:val="es-ES_tradnl"/>
        </w:rPr>
        <w:t xml:space="preserve">2. Respecto de lo dispuesto en el </w:t>
      </w:r>
      <w:r w:rsidR="0096158E" w:rsidRPr="00DD5F33">
        <w:rPr>
          <w:rFonts w:ascii="Arial" w:hAnsi="Arial" w:cs="Arial"/>
          <w:color w:val="000000" w:themeColor="text1"/>
          <w:sz w:val="21"/>
          <w:szCs w:val="21"/>
          <w:lang w:val="es-ES_tradnl"/>
        </w:rPr>
        <w:t>artículo</w:t>
      </w:r>
      <w:r w:rsidR="005A7BC7" w:rsidRPr="00DD5F33">
        <w:rPr>
          <w:rFonts w:ascii="Arial" w:hAnsi="Arial" w:cs="Arial"/>
          <w:color w:val="000000" w:themeColor="text1"/>
          <w:sz w:val="21"/>
          <w:szCs w:val="21"/>
          <w:lang w:val="es-ES_tradnl"/>
        </w:rPr>
        <w:t xml:space="preserve"> 2.2.1.2.4.2.15. del Decreto 1082, modificado, </w:t>
      </w:r>
      <w:r w:rsidR="0096158E" w:rsidRPr="00DD5F33">
        <w:rPr>
          <w:rFonts w:ascii="Arial" w:hAnsi="Arial" w:cs="Arial"/>
          <w:color w:val="000000" w:themeColor="text1"/>
          <w:sz w:val="21"/>
          <w:szCs w:val="21"/>
          <w:lang w:val="es-ES_tradnl"/>
        </w:rPr>
        <w:t>específicamente</w:t>
      </w:r>
      <w:r w:rsidR="005A7BC7" w:rsidRPr="00DD5F33">
        <w:rPr>
          <w:rFonts w:ascii="Arial" w:hAnsi="Arial" w:cs="Arial"/>
          <w:color w:val="000000" w:themeColor="text1"/>
          <w:sz w:val="21"/>
          <w:szCs w:val="21"/>
          <w:lang w:val="es-ES_tradnl"/>
        </w:rPr>
        <w:t xml:space="preserve"> el tema del numeral 5 (Valor de la </w:t>
      </w:r>
      <w:r w:rsidR="0096158E" w:rsidRPr="00DD5F33">
        <w:rPr>
          <w:rFonts w:ascii="Arial" w:hAnsi="Arial" w:cs="Arial"/>
          <w:color w:val="000000" w:themeColor="text1"/>
          <w:sz w:val="21"/>
          <w:szCs w:val="21"/>
          <w:lang w:val="es-ES_tradnl"/>
        </w:rPr>
        <w:t>garantía</w:t>
      </w:r>
      <w:r w:rsidR="005A7BC7" w:rsidRPr="00DD5F33">
        <w:rPr>
          <w:rFonts w:ascii="Arial" w:hAnsi="Arial" w:cs="Arial"/>
          <w:color w:val="000000" w:themeColor="text1"/>
          <w:sz w:val="21"/>
          <w:szCs w:val="21"/>
          <w:lang w:val="es-ES_tradnl"/>
        </w:rPr>
        <w:t xml:space="preserve"> de seriedad de la oferta), dicha </w:t>
      </w:r>
      <w:r w:rsidR="0096158E" w:rsidRPr="00DD5F33">
        <w:rPr>
          <w:rFonts w:ascii="Arial" w:hAnsi="Arial" w:cs="Arial"/>
          <w:color w:val="000000" w:themeColor="text1"/>
          <w:sz w:val="21"/>
          <w:szCs w:val="21"/>
          <w:lang w:val="es-ES_tradnl"/>
        </w:rPr>
        <w:t>modificación</w:t>
      </w:r>
      <w:r w:rsidR="005A7BC7" w:rsidRPr="00DD5F33">
        <w:rPr>
          <w:rFonts w:ascii="Arial" w:hAnsi="Arial" w:cs="Arial"/>
          <w:color w:val="000000" w:themeColor="text1"/>
          <w:sz w:val="21"/>
          <w:szCs w:val="21"/>
          <w:lang w:val="es-ES_tradnl"/>
        </w:rPr>
        <w:t xml:space="preserve"> quiere decir que, en adelante, se deberá solicitar el piso establecido en el </w:t>
      </w:r>
      <w:r w:rsidR="0096158E" w:rsidRPr="00DD5F33">
        <w:rPr>
          <w:rFonts w:ascii="Arial" w:hAnsi="Arial" w:cs="Arial"/>
          <w:color w:val="000000" w:themeColor="text1"/>
          <w:sz w:val="21"/>
          <w:szCs w:val="21"/>
          <w:lang w:val="es-ES_tradnl"/>
        </w:rPr>
        <w:t>artículo</w:t>
      </w:r>
      <w:r w:rsidR="005A7BC7" w:rsidRPr="00DD5F33">
        <w:rPr>
          <w:rFonts w:ascii="Arial" w:hAnsi="Arial" w:cs="Arial"/>
          <w:color w:val="000000" w:themeColor="text1"/>
          <w:sz w:val="21"/>
          <w:szCs w:val="21"/>
          <w:lang w:val="es-ES_tradnl"/>
        </w:rPr>
        <w:t xml:space="preserve"> 2.2.1.2.3.1.9. de la misma norma, que como </w:t>
      </w:r>
      <w:r w:rsidR="0096158E" w:rsidRPr="00DD5F33">
        <w:rPr>
          <w:rFonts w:ascii="Arial" w:hAnsi="Arial" w:cs="Arial"/>
          <w:color w:val="000000" w:themeColor="text1"/>
          <w:sz w:val="21"/>
          <w:szCs w:val="21"/>
          <w:lang w:val="es-ES_tradnl"/>
        </w:rPr>
        <w:t>mínimo</w:t>
      </w:r>
      <w:r w:rsidR="005A7BC7" w:rsidRPr="00DD5F33">
        <w:rPr>
          <w:rFonts w:ascii="Arial" w:hAnsi="Arial" w:cs="Arial"/>
          <w:color w:val="000000" w:themeColor="text1"/>
          <w:sz w:val="21"/>
          <w:szCs w:val="21"/>
          <w:lang w:val="es-ES_tradnl"/>
        </w:rPr>
        <w:t xml:space="preserve"> exige una suficiencia de la </w:t>
      </w:r>
      <w:r w:rsidR="0096158E" w:rsidRPr="00DD5F33">
        <w:rPr>
          <w:rFonts w:ascii="Arial" w:hAnsi="Arial" w:cs="Arial"/>
          <w:color w:val="000000" w:themeColor="text1"/>
          <w:sz w:val="21"/>
          <w:szCs w:val="21"/>
          <w:lang w:val="es-ES_tradnl"/>
        </w:rPr>
        <w:t>garantía</w:t>
      </w:r>
      <w:r w:rsidR="005A7BC7" w:rsidRPr="00DD5F33">
        <w:rPr>
          <w:rFonts w:ascii="Arial" w:hAnsi="Arial" w:cs="Arial"/>
          <w:color w:val="000000" w:themeColor="text1"/>
          <w:sz w:val="21"/>
          <w:szCs w:val="21"/>
          <w:lang w:val="es-ES_tradnl"/>
        </w:rPr>
        <w:t xml:space="preserve"> de seriedad de la oferta en 10% del presupuesto oficial, para las empresas y emprendimientos de mujeres, y un incremento en dicho porcentaje para los </w:t>
      </w:r>
      <w:r w:rsidR="0096158E" w:rsidRPr="00DD5F33">
        <w:rPr>
          <w:rFonts w:ascii="Arial" w:hAnsi="Arial" w:cs="Arial"/>
          <w:color w:val="000000" w:themeColor="text1"/>
          <w:sz w:val="21"/>
          <w:szCs w:val="21"/>
          <w:lang w:val="es-ES_tradnl"/>
        </w:rPr>
        <w:t>demás</w:t>
      </w:r>
      <w:r w:rsidR="005A7BC7" w:rsidRPr="00DD5F33">
        <w:rPr>
          <w:rFonts w:ascii="Arial" w:hAnsi="Arial" w:cs="Arial"/>
          <w:color w:val="000000" w:themeColor="text1"/>
          <w:sz w:val="21"/>
          <w:szCs w:val="21"/>
          <w:lang w:val="es-ES_tradnl"/>
        </w:rPr>
        <w:t xml:space="preserve">. Lo anterior, porque se acostumbra a exigir el 10% del valor del presupuesto oficial como </w:t>
      </w:r>
      <w:r w:rsidR="0096158E" w:rsidRPr="00DD5F33">
        <w:rPr>
          <w:rFonts w:ascii="Arial" w:hAnsi="Arial" w:cs="Arial"/>
          <w:color w:val="000000" w:themeColor="text1"/>
          <w:sz w:val="21"/>
          <w:szCs w:val="21"/>
          <w:lang w:val="es-ES_tradnl"/>
        </w:rPr>
        <w:t>garantía</w:t>
      </w:r>
      <w:r w:rsidR="005A7BC7" w:rsidRPr="00DD5F33">
        <w:rPr>
          <w:rFonts w:ascii="Arial" w:hAnsi="Arial" w:cs="Arial"/>
          <w:color w:val="000000" w:themeColor="text1"/>
          <w:sz w:val="21"/>
          <w:szCs w:val="21"/>
          <w:lang w:val="es-ES_tradnl"/>
        </w:rPr>
        <w:t xml:space="preserve"> de seriedad de la oferta, y esto eleva los costos de </w:t>
      </w:r>
      <w:r w:rsidR="0096158E" w:rsidRPr="00DD5F33">
        <w:rPr>
          <w:rFonts w:ascii="Arial" w:hAnsi="Arial" w:cs="Arial"/>
          <w:color w:val="000000" w:themeColor="text1"/>
          <w:sz w:val="21"/>
          <w:szCs w:val="21"/>
          <w:lang w:val="es-ES_tradnl"/>
        </w:rPr>
        <w:t>presentación</w:t>
      </w:r>
      <w:r w:rsidR="005A7BC7" w:rsidRPr="00DD5F33">
        <w:rPr>
          <w:rFonts w:ascii="Arial" w:hAnsi="Arial" w:cs="Arial"/>
          <w:color w:val="000000" w:themeColor="text1"/>
          <w:sz w:val="21"/>
          <w:szCs w:val="21"/>
          <w:lang w:val="es-ES_tradnl"/>
        </w:rPr>
        <w:t xml:space="preserve"> de propuesta de los oferentes.</w:t>
      </w:r>
    </w:p>
    <w:p w14:paraId="30280C2B" w14:textId="77777777" w:rsidR="0096158E" w:rsidRPr="00DD5F33" w:rsidRDefault="0096158E" w:rsidP="005A7BC7">
      <w:pPr>
        <w:ind w:left="709" w:right="709"/>
        <w:jc w:val="both"/>
        <w:rPr>
          <w:rFonts w:ascii="Arial" w:hAnsi="Arial" w:cs="Arial"/>
          <w:color w:val="000000" w:themeColor="text1"/>
          <w:sz w:val="21"/>
          <w:szCs w:val="21"/>
          <w:lang w:val="es-ES_tradnl"/>
        </w:rPr>
      </w:pPr>
    </w:p>
    <w:p w14:paraId="240EEA1E" w14:textId="3C760906"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FRENTE A LOS CRITERIOS DE DESEMPATE</w:t>
      </w:r>
    </w:p>
    <w:p w14:paraId="1143E04D" w14:textId="77777777" w:rsidR="0096158E" w:rsidRPr="00DD5F33" w:rsidRDefault="0096158E" w:rsidP="005A7BC7">
      <w:pPr>
        <w:ind w:left="709" w:right="709"/>
        <w:jc w:val="both"/>
        <w:rPr>
          <w:rFonts w:ascii="Arial" w:hAnsi="Arial" w:cs="Arial"/>
          <w:color w:val="000000" w:themeColor="text1"/>
          <w:sz w:val="21"/>
          <w:szCs w:val="21"/>
          <w:lang w:val="es-ES_tradnl"/>
        </w:rPr>
      </w:pPr>
    </w:p>
    <w:p w14:paraId="6B3841E5" w14:textId="174510A3"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 xml:space="preserve">1. Si en el </w:t>
      </w:r>
      <w:r w:rsidR="0096158E" w:rsidRPr="00DD5F33">
        <w:rPr>
          <w:rFonts w:ascii="Arial" w:hAnsi="Arial" w:cs="Arial"/>
          <w:color w:val="000000" w:themeColor="text1"/>
          <w:sz w:val="21"/>
          <w:szCs w:val="21"/>
          <w:lang w:val="es-ES_tradnl"/>
        </w:rPr>
        <w:t>término</w:t>
      </w:r>
      <w:r w:rsidR="005A7BC7" w:rsidRPr="00DD5F33">
        <w:rPr>
          <w:rFonts w:ascii="Arial" w:hAnsi="Arial" w:cs="Arial"/>
          <w:color w:val="000000" w:themeColor="text1"/>
          <w:sz w:val="21"/>
          <w:szCs w:val="21"/>
          <w:lang w:val="es-ES_tradnl"/>
        </w:rPr>
        <w:t xml:space="preserve"> de </w:t>
      </w:r>
      <w:r w:rsidR="0096158E" w:rsidRPr="00DD5F33">
        <w:rPr>
          <w:rFonts w:ascii="Arial" w:hAnsi="Arial" w:cs="Arial"/>
          <w:color w:val="000000" w:themeColor="text1"/>
          <w:sz w:val="21"/>
          <w:szCs w:val="21"/>
          <w:lang w:val="es-ES_tradnl"/>
        </w:rPr>
        <w:t>verificación</w:t>
      </w:r>
      <w:r w:rsidR="005A7BC7" w:rsidRPr="00DD5F33">
        <w:rPr>
          <w:rFonts w:ascii="Arial" w:hAnsi="Arial" w:cs="Arial"/>
          <w:color w:val="000000" w:themeColor="text1"/>
          <w:sz w:val="21"/>
          <w:szCs w:val="21"/>
          <w:lang w:val="es-ES_tradnl"/>
        </w:rPr>
        <w:t xml:space="preserve"> la Entidad encuentra un documento que debe ser subsanado, pero este </w:t>
      </w:r>
      <w:r w:rsidR="00B1158E" w:rsidRPr="00DD5F33">
        <w:rPr>
          <w:rFonts w:ascii="Arial" w:hAnsi="Arial" w:cs="Arial"/>
          <w:color w:val="000000" w:themeColor="text1"/>
          <w:sz w:val="21"/>
          <w:szCs w:val="21"/>
          <w:lang w:val="es-ES_tradnl"/>
        </w:rPr>
        <w:t>también</w:t>
      </w:r>
      <w:r w:rsidR="005A7BC7" w:rsidRPr="00DD5F33">
        <w:rPr>
          <w:rFonts w:ascii="Arial" w:hAnsi="Arial" w:cs="Arial"/>
          <w:color w:val="000000" w:themeColor="text1"/>
          <w:sz w:val="21"/>
          <w:szCs w:val="21"/>
          <w:lang w:val="es-ES_tradnl"/>
        </w:rPr>
        <w:t xml:space="preserve"> sirve para el criterio de </w:t>
      </w:r>
      <w:r w:rsidR="00B1158E" w:rsidRPr="00DD5F33">
        <w:rPr>
          <w:rFonts w:ascii="Arial" w:hAnsi="Arial" w:cs="Arial"/>
          <w:color w:val="000000" w:themeColor="text1"/>
          <w:sz w:val="21"/>
          <w:szCs w:val="21"/>
          <w:lang w:val="es-ES_tradnl"/>
        </w:rPr>
        <w:t>puntuación</w:t>
      </w:r>
      <w:r w:rsidR="005A7BC7" w:rsidRPr="00DD5F33">
        <w:rPr>
          <w:rFonts w:ascii="Arial" w:hAnsi="Arial" w:cs="Arial"/>
          <w:color w:val="000000" w:themeColor="text1"/>
          <w:sz w:val="21"/>
          <w:szCs w:val="21"/>
          <w:lang w:val="es-ES_tradnl"/>
        </w:rPr>
        <w:t xml:space="preserve"> y desempate en el proceso de </w:t>
      </w:r>
      <w:r w:rsidR="00B1158E" w:rsidRPr="00DD5F33">
        <w:rPr>
          <w:rFonts w:ascii="Arial" w:hAnsi="Arial" w:cs="Arial"/>
          <w:color w:val="000000" w:themeColor="text1"/>
          <w:sz w:val="21"/>
          <w:szCs w:val="21"/>
          <w:lang w:val="es-ES_tradnl"/>
        </w:rPr>
        <w:t>selección</w:t>
      </w:r>
      <w:r w:rsidR="005A7BC7" w:rsidRPr="00DD5F33">
        <w:rPr>
          <w:rFonts w:ascii="Arial" w:hAnsi="Arial" w:cs="Arial"/>
          <w:color w:val="000000" w:themeColor="text1"/>
          <w:sz w:val="21"/>
          <w:szCs w:val="21"/>
          <w:lang w:val="es-ES_tradnl"/>
        </w:rPr>
        <w:t xml:space="preserve">, ¿puedo solicitar que se subsané? Por favor explicar la respuesta desde el componente </w:t>
      </w:r>
      <w:r w:rsidR="00B1158E" w:rsidRPr="00DD5F33">
        <w:rPr>
          <w:rFonts w:ascii="Arial" w:hAnsi="Arial" w:cs="Arial"/>
          <w:color w:val="000000" w:themeColor="text1"/>
          <w:sz w:val="21"/>
          <w:szCs w:val="21"/>
          <w:lang w:val="es-ES_tradnl"/>
        </w:rPr>
        <w:t>jurídico</w:t>
      </w:r>
      <w:r w:rsidR="005A7BC7" w:rsidRPr="00DD5F33">
        <w:rPr>
          <w:rFonts w:ascii="Arial" w:hAnsi="Arial" w:cs="Arial"/>
          <w:color w:val="000000" w:themeColor="text1"/>
          <w:sz w:val="21"/>
          <w:szCs w:val="21"/>
          <w:lang w:val="es-ES_tradnl"/>
        </w:rPr>
        <w:t xml:space="preserve"> entendiendo que los documentos objeto de </w:t>
      </w:r>
      <w:r w:rsidR="00B1158E" w:rsidRPr="00DD5F33">
        <w:rPr>
          <w:rFonts w:ascii="Arial" w:hAnsi="Arial" w:cs="Arial"/>
          <w:color w:val="000000" w:themeColor="text1"/>
          <w:sz w:val="21"/>
          <w:szCs w:val="21"/>
          <w:lang w:val="es-ES_tradnl"/>
        </w:rPr>
        <w:t>puntuación</w:t>
      </w:r>
      <w:r w:rsidR="005A7BC7" w:rsidRPr="00DD5F33">
        <w:rPr>
          <w:rFonts w:ascii="Arial" w:hAnsi="Arial" w:cs="Arial"/>
          <w:color w:val="000000" w:themeColor="text1"/>
          <w:sz w:val="21"/>
          <w:szCs w:val="21"/>
          <w:lang w:val="es-ES_tradnl"/>
        </w:rPr>
        <w:t xml:space="preserve"> no deben ser subsanados.</w:t>
      </w:r>
    </w:p>
    <w:p w14:paraId="7AC0C125" w14:textId="77777777" w:rsidR="00B1158E" w:rsidRPr="00DD5F33" w:rsidRDefault="00B1158E" w:rsidP="005A7BC7">
      <w:pPr>
        <w:ind w:left="709" w:right="709"/>
        <w:jc w:val="both"/>
        <w:rPr>
          <w:rFonts w:ascii="Arial" w:hAnsi="Arial" w:cs="Arial"/>
          <w:color w:val="000000" w:themeColor="text1"/>
          <w:sz w:val="21"/>
          <w:szCs w:val="21"/>
          <w:lang w:val="es-ES_tradnl"/>
        </w:rPr>
      </w:pPr>
    </w:p>
    <w:p w14:paraId="6844F134" w14:textId="4F9BEE71" w:rsidR="005A7BC7"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 xml:space="preserve">2. ¿Los documentos que son objeto de </w:t>
      </w:r>
      <w:r w:rsidR="00B1158E" w:rsidRPr="00DD5F33">
        <w:rPr>
          <w:rFonts w:ascii="Arial" w:hAnsi="Arial" w:cs="Arial"/>
          <w:color w:val="000000" w:themeColor="text1"/>
          <w:sz w:val="21"/>
          <w:szCs w:val="21"/>
          <w:lang w:val="es-ES_tradnl"/>
        </w:rPr>
        <w:t>verificación</w:t>
      </w:r>
      <w:r w:rsidR="005A7BC7" w:rsidRPr="00DD5F33">
        <w:rPr>
          <w:rFonts w:ascii="Arial" w:hAnsi="Arial" w:cs="Arial"/>
          <w:color w:val="000000" w:themeColor="text1"/>
          <w:sz w:val="21"/>
          <w:szCs w:val="21"/>
          <w:lang w:val="es-ES_tradnl"/>
        </w:rPr>
        <w:t xml:space="preserve"> para el desempate y que no fueron solicitados en el plazo de </w:t>
      </w:r>
      <w:r w:rsidR="00B1158E" w:rsidRPr="00DD5F33">
        <w:rPr>
          <w:rFonts w:ascii="Arial" w:hAnsi="Arial" w:cs="Arial"/>
          <w:color w:val="000000" w:themeColor="text1"/>
          <w:sz w:val="21"/>
          <w:szCs w:val="21"/>
          <w:lang w:val="es-ES_tradnl"/>
        </w:rPr>
        <w:t>subsanación</w:t>
      </w:r>
      <w:r w:rsidR="005A7BC7" w:rsidRPr="00DD5F33">
        <w:rPr>
          <w:rFonts w:ascii="Arial" w:hAnsi="Arial" w:cs="Arial"/>
          <w:color w:val="000000" w:themeColor="text1"/>
          <w:sz w:val="21"/>
          <w:szCs w:val="21"/>
          <w:lang w:val="es-ES_tradnl"/>
        </w:rPr>
        <w:t xml:space="preserve">, pueden solicitarse </w:t>
      </w:r>
      <w:r w:rsidR="00B1158E" w:rsidRPr="00DD5F33">
        <w:rPr>
          <w:rFonts w:ascii="Arial" w:hAnsi="Arial" w:cs="Arial"/>
          <w:color w:val="000000" w:themeColor="text1"/>
          <w:sz w:val="21"/>
          <w:szCs w:val="21"/>
          <w:lang w:val="es-ES_tradnl"/>
        </w:rPr>
        <w:t>después</w:t>
      </w:r>
      <w:r w:rsidR="005A7BC7" w:rsidRPr="00DD5F33">
        <w:rPr>
          <w:rFonts w:ascii="Arial" w:hAnsi="Arial" w:cs="Arial"/>
          <w:color w:val="000000" w:themeColor="text1"/>
          <w:sz w:val="21"/>
          <w:szCs w:val="21"/>
          <w:lang w:val="es-ES_tradnl"/>
        </w:rPr>
        <w:t xml:space="preserve"> de la </w:t>
      </w:r>
      <w:r w:rsidR="00B1158E" w:rsidRPr="00DD5F33">
        <w:rPr>
          <w:rFonts w:ascii="Arial" w:hAnsi="Arial" w:cs="Arial"/>
          <w:color w:val="000000" w:themeColor="text1"/>
          <w:sz w:val="21"/>
          <w:szCs w:val="21"/>
          <w:lang w:val="es-ES_tradnl"/>
        </w:rPr>
        <w:t>publicación</w:t>
      </w:r>
      <w:r w:rsidR="005A7BC7" w:rsidRPr="00DD5F33">
        <w:rPr>
          <w:rFonts w:ascii="Arial" w:hAnsi="Arial" w:cs="Arial"/>
          <w:color w:val="000000" w:themeColor="text1"/>
          <w:sz w:val="21"/>
          <w:szCs w:val="21"/>
          <w:lang w:val="es-ES_tradnl"/>
        </w:rPr>
        <w:t xml:space="preserve"> del informe de </w:t>
      </w:r>
      <w:r w:rsidR="00B1158E" w:rsidRPr="00DD5F33">
        <w:rPr>
          <w:rFonts w:ascii="Arial" w:hAnsi="Arial" w:cs="Arial"/>
          <w:color w:val="000000" w:themeColor="text1"/>
          <w:sz w:val="21"/>
          <w:szCs w:val="21"/>
          <w:lang w:val="es-ES_tradnl"/>
        </w:rPr>
        <w:t>evaluación</w:t>
      </w:r>
      <w:r w:rsidR="005A7BC7" w:rsidRPr="00DD5F33">
        <w:rPr>
          <w:rFonts w:ascii="Arial" w:hAnsi="Arial" w:cs="Arial"/>
          <w:color w:val="000000" w:themeColor="text1"/>
          <w:sz w:val="21"/>
          <w:szCs w:val="21"/>
          <w:lang w:val="es-ES_tradnl"/>
        </w:rPr>
        <w:t>?</w:t>
      </w:r>
    </w:p>
    <w:p w14:paraId="4C794F26" w14:textId="77777777" w:rsidR="00B1158E" w:rsidRPr="00DD5F33" w:rsidRDefault="00B1158E" w:rsidP="005A7BC7">
      <w:pPr>
        <w:ind w:left="709" w:right="709"/>
        <w:jc w:val="both"/>
        <w:rPr>
          <w:rFonts w:ascii="Arial" w:hAnsi="Arial" w:cs="Arial"/>
          <w:color w:val="000000" w:themeColor="text1"/>
          <w:sz w:val="21"/>
          <w:szCs w:val="21"/>
          <w:lang w:val="es-ES_tradnl"/>
        </w:rPr>
      </w:pPr>
    </w:p>
    <w:p w14:paraId="18744282" w14:textId="2C174BDB" w:rsidR="00465745" w:rsidRPr="00DD5F33" w:rsidRDefault="00EB6C66" w:rsidP="005A7BC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5A7BC7" w:rsidRPr="00DD5F33">
        <w:rPr>
          <w:rFonts w:ascii="Arial" w:hAnsi="Arial" w:cs="Arial"/>
          <w:color w:val="000000" w:themeColor="text1"/>
          <w:sz w:val="21"/>
          <w:szCs w:val="21"/>
          <w:lang w:val="es-ES_tradnl"/>
        </w:rPr>
        <w:t xml:space="preserve">3. Si bien el decreto propone que los criterios diferenciales, en materia de emprendimientos y empresas de mujeres Mipymes, se establezcan desde el estudio del sector, consideramos que dichos criterios deben ser resultado de que el proceso efectivamente quede limitado a Mipymes por cuanto desde el </w:t>
      </w:r>
      <w:r w:rsidR="00B1158E" w:rsidRPr="00DD5F33">
        <w:rPr>
          <w:rFonts w:ascii="Arial" w:hAnsi="Arial" w:cs="Arial"/>
          <w:color w:val="000000" w:themeColor="text1"/>
          <w:sz w:val="21"/>
          <w:szCs w:val="21"/>
          <w:lang w:val="es-ES_tradnl"/>
        </w:rPr>
        <w:t>análisis</w:t>
      </w:r>
      <w:r w:rsidR="005A7BC7" w:rsidRPr="00DD5F33">
        <w:rPr>
          <w:rFonts w:ascii="Arial" w:hAnsi="Arial" w:cs="Arial"/>
          <w:color w:val="000000" w:themeColor="text1"/>
          <w:sz w:val="21"/>
          <w:szCs w:val="21"/>
          <w:lang w:val="es-ES_tradnl"/>
        </w:rPr>
        <w:t xml:space="preserve"> del sector no se puede establecer si las empresas son con </w:t>
      </w:r>
      <w:r w:rsidR="00B1158E" w:rsidRPr="00DD5F33">
        <w:rPr>
          <w:rFonts w:ascii="Arial" w:hAnsi="Arial" w:cs="Arial"/>
          <w:color w:val="000000" w:themeColor="text1"/>
          <w:sz w:val="21"/>
          <w:szCs w:val="21"/>
          <w:lang w:val="es-ES_tradnl"/>
        </w:rPr>
        <w:t>participación</w:t>
      </w:r>
      <w:r w:rsidR="005A7BC7" w:rsidRPr="00DD5F33">
        <w:rPr>
          <w:rFonts w:ascii="Arial" w:hAnsi="Arial" w:cs="Arial"/>
          <w:color w:val="000000" w:themeColor="text1"/>
          <w:sz w:val="21"/>
          <w:szCs w:val="21"/>
          <w:lang w:val="es-ES_tradnl"/>
        </w:rPr>
        <w:t xml:space="preserve"> de </w:t>
      </w:r>
      <w:r w:rsidR="00B1158E" w:rsidRPr="00DD5F33">
        <w:rPr>
          <w:rFonts w:ascii="Arial" w:hAnsi="Arial" w:cs="Arial"/>
          <w:color w:val="000000" w:themeColor="text1"/>
          <w:sz w:val="21"/>
          <w:szCs w:val="21"/>
          <w:lang w:val="es-ES_tradnl"/>
        </w:rPr>
        <w:t>más</w:t>
      </w:r>
      <w:r w:rsidR="005A7BC7" w:rsidRPr="00DD5F33">
        <w:rPr>
          <w:rFonts w:ascii="Arial" w:hAnsi="Arial" w:cs="Arial"/>
          <w:color w:val="000000" w:themeColor="text1"/>
          <w:sz w:val="21"/>
          <w:szCs w:val="21"/>
          <w:lang w:val="es-ES_tradnl"/>
        </w:rPr>
        <w:t xml:space="preserve"> del 50% de mujeres o sus cargos directivos son de</w:t>
      </w:r>
      <w:r w:rsidR="00B91EF1" w:rsidRPr="00DD5F33">
        <w:rPr>
          <w:rFonts w:ascii="Arial" w:hAnsi="Arial" w:cs="Arial"/>
          <w:color w:val="000000" w:themeColor="text1"/>
          <w:sz w:val="21"/>
          <w:szCs w:val="21"/>
          <w:lang w:val="es-ES_tradnl"/>
        </w:rPr>
        <w:t xml:space="preserve"> mujeres, igual sucede con las Mipymes y el amplio espectro empresarial sin identificar su </w:t>
      </w:r>
      <w:r w:rsidR="00021748" w:rsidRPr="00DD5F33">
        <w:rPr>
          <w:rFonts w:ascii="Arial" w:hAnsi="Arial" w:cs="Arial"/>
          <w:color w:val="000000" w:themeColor="text1"/>
          <w:sz w:val="21"/>
          <w:szCs w:val="21"/>
          <w:lang w:val="es-ES_tradnl"/>
        </w:rPr>
        <w:t>tamaño</w:t>
      </w:r>
      <w:r w:rsidR="00E86BD3" w:rsidRPr="00DD5F33">
        <w:rPr>
          <w:rFonts w:ascii="Arial" w:hAnsi="Arial" w:cs="Arial"/>
          <w:color w:val="000000" w:themeColor="text1"/>
          <w:sz w:val="21"/>
          <w:szCs w:val="21"/>
          <w:lang w:val="es-ES_tradnl"/>
        </w:rPr>
        <w:t>»</w:t>
      </w:r>
      <w:r w:rsidR="00B91EF1" w:rsidRPr="00DD5F33">
        <w:rPr>
          <w:rFonts w:ascii="Arial" w:hAnsi="Arial" w:cs="Arial"/>
          <w:color w:val="000000" w:themeColor="text1"/>
          <w:sz w:val="21"/>
          <w:szCs w:val="21"/>
          <w:lang w:val="es-ES_tradnl"/>
        </w:rPr>
        <w:t>.</w:t>
      </w:r>
    </w:p>
    <w:p w14:paraId="6FFFA01A" w14:textId="36AFF880" w:rsidR="004A6334" w:rsidRPr="00DD5F33" w:rsidRDefault="004A6334" w:rsidP="00C77FAB">
      <w:pPr>
        <w:ind w:left="709" w:right="709"/>
        <w:jc w:val="both"/>
        <w:rPr>
          <w:rFonts w:ascii="Arial" w:hAnsi="Arial" w:cs="Arial"/>
          <w:color w:val="000000" w:themeColor="text1"/>
          <w:sz w:val="21"/>
          <w:szCs w:val="21"/>
          <w:lang w:val="es-ES_tradnl"/>
        </w:rPr>
      </w:pPr>
    </w:p>
    <w:p w14:paraId="45F2BEC6" w14:textId="77777777" w:rsidR="00A62DB2" w:rsidRPr="00DD5F33" w:rsidRDefault="00A62DB2" w:rsidP="00C77FAB">
      <w:pPr>
        <w:ind w:left="709" w:right="709"/>
        <w:jc w:val="both"/>
        <w:rPr>
          <w:rFonts w:ascii="Arial" w:hAnsi="Arial" w:cs="Arial"/>
          <w:color w:val="000000" w:themeColor="text1"/>
          <w:sz w:val="21"/>
          <w:szCs w:val="21"/>
          <w:lang w:val="es-ES_tradnl"/>
        </w:rPr>
      </w:pPr>
    </w:p>
    <w:p w14:paraId="4E86570E" w14:textId="77777777" w:rsidR="000A0DF7" w:rsidRPr="00DD5F33"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Consideraciones</w:t>
      </w:r>
    </w:p>
    <w:p w14:paraId="7B1C37D1" w14:textId="7945559D" w:rsidR="00AF09A9" w:rsidRPr="00DD5F33" w:rsidRDefault="00AF09A9" w:rsidP="00AF09A9">
      <w:pPr>
        <w:spacing w:line="276" w:lineRule="auto"/>
        <w:jc w:val="both"/>
        <w:rPr>
          <w:rFonts w:ascii="Arial" w:eastAsia="Calibri" w:hAnsi="Arial" w:cs="Arial"/>
          <w:color w:val="000000" w:themeColor="text1"/>
          <w:sz w:val="22"/>
          <w:lang w:val="es-ES_tradnl"/>
        </w:rPr>
      </w:pPr>
    </w:p>
    <w:p w14:paraId="26AFD3E3" w14:textId="5E1056B1" w:rsidR="009B3BCD" w:rsidRPr="00DD5F33" w:rsidRDefault="009B3BCD" w:rsidP="009B3BCD">
      <w:pPr>
        <w:spacing w:after="120" w:line="276" w:lineRule="auto"/>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La Agencia Nacional de Contratación Pública – Colombia Compra Eficiente se pronunció, en términos generales, sobre la vigencia en la Ley 2069 de 2020</w:t>
      </w:r>
      <w:r w:rsidR="00F93FB6" w:rsidRPr="00DD5F33">
        <w:rPr>
          <w:rFonts w:ascii="Arial" w:eastAsia="Calibri" w:hAnsi="Arial" w:cs="Arial"/>
          <w:color w:val="000000" w:themeColor="text1"/>
          <w:sz w:val="22"/>
          <w:lang w:val="es-ES_tradnl"/>
        </w:rPr>
        <w:t>,</w:t>
      </w:r>
      <w:r w:rsidRPr="00DD5F33">
        <w:rPr>
          <w:rFonts w:ascii="Arial" w:eastAsia="Calibri" w:hAnsi="Arial" w:cs="Arial"/>
          <w:color w:val="000000" w:themeColor="text1"/>
          <w:sz w:val="22"/>
          <w:lang w:val="es-ES_tradnl"/>
        </w:rPr>
        <w:t xml:space="preserve"> en los conceptos C-009, C-012, C-013, C-015, C-016 y C-026 del 4 de febrero de 2021, C-043 del 9 de febrero de 2021, C-005 del 16 de febrero, C-028 y C-029 del 23 de febrero de 2021 y C-037 del 26 de febrero de 2021.</w:t>
      </w:r>
    </w:p>
    <w:p w14:paraId="426081DB" w14:textId="4D5D45C9" w:rsidR="009B3BCD" w:rsidRPr="00DD5F33" w:rsidRDefault="00AB312F" w:rsidP="009B3BCD">
      <w:pPr>
        <w:spacing w:line="276" w:lineRule="auto"/>
        <w:ind w:firstLine="708"/>
        <w:jc w:val="both"/>
        <w:rPr>
          <w:rFonts w:ascii="Arial" w:hAnsi="Arial" w:cs="Arial"/>
          <w:color w:val="000000" w:themeColor="text1"/>
          <w:sz w:val="22"/>
          <w:lang w:val="es-ES_tradnl"/>
        </w:rPr>
      </w:pPr>
      <w:r w:rsidRPr="00DD5F33">
        <w:rPr>
          <w:rFonts w:ascii="Arial" w:eastAsia="Calibri" w:hAnsi="Arial" w:cs="Arial"/>
          <w:color w:val="000000" w:themeColor="text1"/>
          <w:sz w:val="22"/>
          <w:lang w:val="es-ES_tradnl"/>
        </w:rPr>
        <w:t>En relación con el artículo</w:t>
      </w:r>
      <w:r w:rsidR="00160D18" w:rsidRPr="00DD5F33">
        <w:rPr>
          <w:rFonts w:ascii="Arial" w:hAnsi="Arial" w:cs="Arial"/>
          <w:color w:val="000000" w:themeColor="text1"/>
          <w:sz w:val="22"/>
          <w:lang w:val="es-ES_tradnl"/>
        </w:rPr>
        <w:t xml:space="preserve"> 3</w:t>
      </w:r>
      <w:r w:rsidR="005F7A29" w:rsidRPr="00DD5F33">
        <w:rPr>
          <w:rFonts w:ascii="Arial" w:hAnsi="Arial" w:cs="Arial"/>
          <w:color w:val="000000" w:themeColor="text1"/>
          <w:sz w:val="22"/>
          <w:lang w:val="es-ES_tradnl"/>
        </w:rPr>
        <w:t>0</w:t>
      </w:r>
      <w:r w:rsidRPr="00DD5F33">
        <w:rPr>
          <w:rFonts w:ascii="Arial" w:hAnsi="Arial" w:cs="Arial"/>
          <w:color w:val="000000" w:themeColor="text1"/>
          <w:sz w:val="22"/>
          <w:lang w:val="es-ES_tradnl"/>
        </w:rPr>
        <w:t xml:space="preserve"> </w:t>
      </w:r>
      <w:r w:rsidR="00160D18" w:rsidRPr="00DD5F33">
        <w:rPr>
          <w:rFonts w:ascii="Arial" w:hAnsi="Arial" w:cs="Arial"/>
          <w:color w:val="000000" w:themeColor="text1"/>
          <w:sz w:val="22"/>
          <w:lang w:val="es-ES_tradnl"/>
        </w:rPr>
        <w:t xml:space="preserve">de la </w:t>
      </w:r>
      <w:r w:rsidR="00F93FB6" w:rsidRPr="00DD5F33">
        <w:rPr>
          <w:rFonts w:ascii="Arial" w:hAnsi="Arial" w:cs="Arial"/>
          <w:color w:val="000000" w:themeColor="text1"/>
          <w:sz w:val="22"/>
          <w:lang w:val="es-ES_tradnl"/>
        </w:rPr>
        <w:t xml:space="preserve">referida </w:t>
      </w:r>
      <w:r w:rsidR="00160D18" w:rsidRPr="00DD5F33">
        <w:rPr>
          <w:rFonts w:ascii="Arial" w:hAnsi="Arial" w:cs="Arial"/>
          <w:color w:val="000000" w:themeColor="text1"/>
          <w:sz w:val="22"/>
          <w:lang w:val="es-ES_tradnl"/>
        </w:rPr>
        <w:t>Ley,</w:t>
      </w:r>
      <w:r w:rsidRPr="00DD5F33">
        <w:rPr>
          <w:rFonts w:ascii="Arial" w:hAnsi="Arial" w:cs="Arial"/>
          <w:color w:val="000000" w:themeColor="text1"/>
          <w:sz w:val="22"/>
          <w:lang w:val="es-ES_tradnl"/>
        </w:rPr>
        <w:t xml:space="preserve"> la Agencia expidió los conceptos C-005 del 16</w:t>
      </w:r>
      <w:r w:rsidR="002C475A" w:rsidRPr="00DD5F33">
        <w:rPr>
          <w:rFonts w:ascii="Arial" w:hAnsi="Arial" w:cs="Arial"/>
          <w:color w:val="000000" w:themeColor="text1"/>
          <w:sz w:val="22"/>
          <w:lang w:val="es-ES_tradnl"/>
        </w:rPr>
        <w:t xml:space="preserve"> de febrero de </w:t>
      </w:r>
      <w:r w:rsidRPr="00DD5F33">
        <w:rPr>
          <w:rFonts w:ascii="Arial" w:hAnsi="Arial" w:cs="Arial"/>
          <w:color w:val="000000" w:themeColor="text1"/>
          <w:sz w:val="22"/>
          <w:lang w:val="es-ES_tradnl"/>
        </w:rPr>
        <w:t>2021, C-037 del 26</w:t>
      </w:r>
      <w:r w:rsidR="002C475A" w:rsidRPr="00DD5F33">
        <w:rPr>
          <w:rFonts w:ascii="Arial" w:hAnsi="Arial" w:cs="Arial"/>
          <w:color w:val="000000" w:themeColor="text1"/>
          <w:sz w:val="22"/>
          <w:lang w:val="es-ES_tradnl"/>
        </w:rPr>
        <w:t xml:space="preserve"> de febrero de </w:t>
      </w:r>
      <w:r w:rsidRPr="00DD5F33">
        <w:rPr>
          <w:rFonts w:ascii="Arial" w:hAnsi="Arial" w:cs="Arial"/>
          <w:color w:val="000000" w:themeColor="text1"/>
          <w:sz w:val="22"/>
          <w:lang w:val="es-ES_tradnl"/>
        </w:rPr>
        <w:t>2021, C-035 del 02</w:t>
      </w:r>
      <w:r w:rsidR="002C475A" w:rsidRPr="00DD5F33">
        <w:rPr>
          <w:rFonts w:ascii="Arial" w:hAnsi="Arial" w:cs="Arial"/>
          <w:color w:val="000000" w:themeColor="text1"/>
          <w:sz w:val="22"/>
          <w:lang w:val="es-ES_tradnl"/>
        </w:rPr>
        <w:t xml:space="preserve"> de marzo de </w:t>
      </w:r>
      <w:r w:rsidRPr="00DD5F33">
        <w:rPr>
          <w:rFonts w:ascii="Arial" w:hAnsi="Arial" w:cs="Arial"/>
          <w:color w:val="000000" w:themeColor="text1"/>
          <w:sz w:val="22"/>
          <w:lang w:val="es-ES_tradnl"/>
        </w:rPr>
        <w:t>2021, C-126 del 06</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C-127 del 06</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C-144 del 07</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C-141 del 08</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C-163 del 19</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C-164 del 19</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C-160 del 20</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C-166 del 23</w:t>
      </w:r>
      <w:r w:rsidR="002C475A" w:rsidRPr="00DD5F33">
        <w:rPr>
          <w:rFonts w:ascii="Arial" w:hAnsi="Arial" w:cs="Arial"/>
          <w:color w:val="000000" w:themeColor="text1"/>
          <w:sz w:val="22"/>
          <w:lang w:val="es-ES_tradnl"/>
        </w:rPr>
        <w:t xml:space="preserve"> de abril de </w:t>
      </w:r>
      <w:r w:rsidRPr="00DD5F33">
        <w:rPr>
          <w:rFonts w:ascii="Arial" w:hAnsi="Arial" w:cs="Arial"/>
          <w:color w:val="000000" w:themeColor="text1"/>
          <w:sz w:val="22"/>
          <w:lang w:val="es-ES_tradnl"/>
        </w:rPr>
        <w:t>2021, C−195 del 4</w:t>
      </w:r>
      <w:r w:rsidR="002C475A" w:rsidRPr="00DD5F33">
        <w:rPr>
          <w:rFonts w:ascii="Arial" w:hAnsi="Arial" w:cs="Arial"/>
          <w:color w:val="000000" w:themeColor="text1"/>
          <w:sz w:val="22"/>
          <w:lang w:val="es-ES_tradnl"/>
        </w:rPr>
        <w:t xml:space="preserve"> de mayo de </w:t>
      </w:r>
      <w:r w:rsidRPr="00DD5F33">
        <w:rPr>
          <w:rFonts w:ascii="Arial" w:hAnsi="Arial" w:cs="Arial"/>
          <w:color w:val="000000" w:themeColor="text1"/>
          <w:sz w:val="22"/>
          <w:lang w:val="es-ES_tradnl"/>
        </w:rPr>
        <w:t>2021, C−198 del 5</w:t>
      </w:r>
      <w:r w:rsidR="002C475A" w:rsidRPr="00DD5F33">
        <w:rPr>
          <w:rFonts w:ascii="Arial" w:hAnsi="Arial" w:cs="Arial"/>
          <w:color w:val="000000" w:themeColor="text1"/>
          <w:sz w:val="22"/>
          <w:lang w:val="es-ES_tradnl"/>
        </w:rPr>
        <w:t xml:space="preserve"> de mayo de </w:t>
      </w:r>
      <w:r w:rsidRPr="00DD5F33">
        <w:rPr>
          <w:rFonts w:ascii="Arial" w:hAnsi="Arial" w:cs="Arial"/>
          <w:color w:val="000000" w:themeColor="text1"/>
          <w:sz w:val="22"/>
          <w:lang w:val="es-ES_tradnl"/>
        </w:rPr>
        <w:t>2021, C-242 del 25</w:t>
      </w:r>
      <w:r w:rsidR="002C475A" w:rsidRPr="00DD5F33">
        <w:rPr>
          <w:rFonts w:ascii="Arial" w:hAnsi="Arial" w:cs="Arial"/>
          <w:color w:val="000000" w:themeColor="text1"/>
          <w:sz w:val="22"/>
          <w:lang w:val="es-ES_tradnl"/>
        </w:rPr>
        <w:t xml:space="preserve"> de mayo de </w:t>
      </w:r>
      <w:r w:rsidRPr="00DD5F33">
        <w:rPr>
          <w:rFonts w:ascii="Arial" w:hAnsi="Arial" w:cs="Arial"/>
          <w:color w:val="000000" w:themeColor="text1"/>
          <w:sz w:val="22"/>
          <w:lang w:val="es-ES_tradnl"/>
        </w:rPr>
        <w:t xml:space="preserve">2021, C-496 del </w:t>
      </w:r>
      <w:r w:rsidRPr="00DD5F33">
        <w:rPr>
          <w:rFonts w:ascii="Arial" w:hAnsi="Arial" w:cs="Arial"/>
          <w:color w:val="000000" w:themeColor="text1"/>
          <w:sz w:val="22"/>
          <w:lang w:val="es-ES_tradnl"/>
        </w:rPr>
        <w:lastRenderedPageBreak/>
        <w:t>14</w:t>
      </w:r>
      <w:r w:rsidR="002C475A" w:rsidRPr="00DD5F33">
        <w:rPr>
          <w:rFonts w:ascii="Arial" w:hAnsi="Arial" w:cs="Arial"/>
          <w:color w:val="000000" w:themeColor="text1"/>
          <w:sz w:val="22"/>
          <w:lang w:val="es-ES_tradnl"/>
        </w:rPr>
        <w:t xml:space="preserve"> de septiembre de </w:t>
      </w:r>
      <w:r w:rsidRPr="00DD5F33">
        <w:rPr>
          <w:rFonts w:ascii="Arial" w:hAnsi="Arial" w:cs="Arial"/>
          <w:color w:val="000000" w:themeColor="text1"/>
          <w:sz w:val="22"/>
          <w:lang w:val="es-ES_tradnl"/>
        </w:rPr>
        <w:t>2021</w:t>
      </w:r>
      <w:r w:rsidR="002C475A" w:rsidRPr="00DD5F33">
        <w:rPr>
          <w:rFonts w:ascii="Arial" w:hAnsi="Arial" w:cs="Arial"/>
          <w:color w:val="000000" w:themeColor="text1"/>
          <w:sz w:val="22"/>
          <w:lang w:val="es-ES_tradnl"/>
        </w:rPr>
        <w:t xml:space="preserve">, </w:t>
      </w:r>
      <w:r w:rsidRPr="00DD5F33">
        <w:rPr>
          <w:rFonts w:ascii="Arial" w:hAnsi="Arial" w:cs="Arial"/>
          <w:color w:val="000000" w:themeColor="text1"/>
          <w:sz w:val="22"/>
          <w:lang w:val="es-ES_tradnl"/>
        </w:rPr>
        <w:t>C-573 13</w:t>
      </w:r>
      <w:r w:rsidR="002C475A" w:rsidRPr="00DD5F33">
        <w:rPr>
          <w:rFonts w:ascii="Arial" w:hAnsi="Arial" w:cs="Arial"/>
          <w:color w:val="000000" w:themeColor="text1"/>
          <w:sz w:val="22"/>
          <w:lang w:val="es-ES_tradnl"/>
        </w:rPr>
        <w:t xml:space="preserve"> de octubre de </w:t>
      </w:r>
      <w:r w:rsidRPr="00DD5F33">
        <w:rPr>
          <w:rFonts w:ascii="Arial" w:hAnsi="Arial" w:cs="Arial"/>
          <w:color w:val="000000" w:themeColor="text1"/>
          <w:sz w:val="22"/>
          <w:lang w:val="es-ES_tradnl"/>
        </w:rPr>
        <w:t>2021, C-542 del 20</w:t>
      </w:r>
      <w:r w:rsidR="002C475A" w:rsidRPr="00DD5F33">
        <w:rPr>
          <w:rFonts w:ascii="Arial" w:hAnsi="Arial" w:cs="Arial"/>
          <w:color w:val="000000" w:themeColor="text1"/>
          <w:sz w:val="22"/>
          <w:lang w:val="es-ES_tradnl"/>
        </w:rPr>
        <w:t xml:space="preserve"> de octubre de </w:t>
      </w:r>
      <w:r w:rsidRPr="00DD5F33">
        <w:rPr>
          <w:rFonts w:ascii="Arial" w:hAnsi="Arial" w:cs="Arial"/>
          <w:color w:val="000000" w:themeColor="text1"/>
          <w:sz w:val="22"/>
          <w:lang w:val="es-ES_tradnl"/>
        </w:rPr>
        <w:t>2021, C-586 del 14</w:t>
      </w:r>
      <w:r w:rsidR="002C475A" w:rsidRPr="00DD5F33">
        <w:rPr>
          <w:rFonts w:ascii="Arial" w:hAnsi="Arial" w:cs="Arial"/>
          <w:color w:val="000000" w:themeColor="text1"/>
          <w:sz w:val="22"/>
          <w:lang w:val="es-ES_tradnl"/>
        </w:rPr>
        <w:t xml:space="preserve"> de octubre de </w:t>
      </w:r>
      <w:r w:rsidRPr="00DD5F33">
        <w:rPr>
          <w:rFonts w:ascii="Arial" w:hAnsi="Arial" w:cs="Arial"/>
          <w:color w:val="000000" w:themeColor="text1"/>
          <w:sz w:val="22"/>
          <w:lang w:val="es-ES_tradnl"/>
        </w:rPr>
        <w:t>2021,</w:t>
      </w:r>
      <w:r w:rsidR="002C475A" w:rsidRPr="00DD5F33">
        <w:rPr>
          <w:rFonts w:ascii="Arial" w:hAnsi="Arial" w:cs="Arial"/>
          <w:color w:val="000000" w:themeColor="text1"/>
          <w:sz w:val="22"/>
          <w:lang w:val="es-ES_tradnl"/>
        </w:rPr>
        <w:t xml:space="preserve"> </w:t>
      </w:r>
      <w:r w:rsidRPr="00DD5F33">
        <w:rPr>
          <w:rFonts w:ascii="Arial" w:hAnsi="Arial" w:cs="Arial"/>
          <w:color w:val="000000" w:themeColor="text1"/>
          <w:sz w:val="22"/>
          <w:lang w:val="es-ES_tradnl"/>
        </w:rPr>
        <w:t>C-001 del 17</w:t>
      </w:r>
      <w:r w:rsidR="002C475A" w:rsidRPr="00DD5F33">
        <w:rPr>
          <w:rFonts w:ascii="Arial" w:hAnsi="Arial" w:cs="Arial"/>
          <w:color w:val="000000" w:themeColor="text1"/>
          <w:sz w:val="22"/>
          <w:lang w:val="es-ES_tradnl"/>
        </w:rPr>
        <w:t xml:space="preserve"> de febrero de </w:t>
      </w:r>
      <w:r w:rsidRPr="00DD5F33">
        <w:rPr>
          <w:rFonts w:ascii="Arial" w:hAnsi="Arial" w:cs="Arial"/>
          <w:color w:val="000000" w:themeColor="text1"/>
          <w:sz w:val="22"/>
          <w:lang w:val="es-ES_tradnl"/>
        </w:rPr>
        <w:t>2022</w:t>
      </w:r>
      <w:r w:rsidR="002C475A" w:rsidRPr="00DD5F33">
        <w:rPr>
          <w:rFonts w:ascii="Arial" w:hAnsi="Arial" w:cs="Arial"/>
          <w:color w:val="000000" w:themeColor="text1"/>
          <w:sz w:val="22"/>
          <w:lang w:val="es-ES_tradnl"/>
        </w:rPr>
        <w:t xml:space="preserve"> y </w:t>
      </w:r>
      <w:r w:rsidRPr="00DD5F33">
        <w:rPr>
          <w:rFonts w:ascii="Arial" w:hAnsi="Arial" w:cs="Arial"/>
          <w:color w:val="000000" w:themeColor="text1"/>
          <w:sz w:val="22"/>
          <w:lang w:val="es-ES_tradnl"/>
        </w:rPr>
        <w:t>C-031 del 1</w:t>
      </w:r>
      <w:r w:rsidR="002C475A" w:rsidRPr="00DD5F33">
        <w:rPr>
          <w:rFonts w:ascii="Arial" w:hAnsi="Arial" w:cs="Arial"/>
          <w:color w:val="000000" w:themeColor="text1"/>
          <w:sz w:val="22"/>
          <w:lang w:val="es-ES_tradnl"/>
        </w:rPr>
        <w:t xml:space="preserve"> de marzo de </w:t>
      </w:r>
      <w:r w:rsidRPr="00DD5F33">
        <w:rPr>
          <w:rFonts w:ascii="Arial" w:hAnsi="Arial" w:cs="Arial"/>
          <w:color w:val="000000" w:themeColor="text1"/>
          <w:sz w:val="22"/>
          <w:lang w:val="es-ES_tradnl"/>
        </w:rPr>
        <w:t>2022</w:t>
      </w:r>
      <w:r w:rsidR="003C06ED" w:rsidRPr="00DD5F33">
        <w:rPr>
          <w:rFonts w:ascii="Arial" w:hAnsi="Arial" w:cs="Arial"/>
          <w:color w:val="000000" w:themeColor="text1"/>
          <w:sz w:val="22"/>
          <w:lang w:val="es-ES_tradnl"/>
        </w:rPr>
        <w:t>.</w:t>
      </w:r>
    </w:p>
    <w:p w14:paraId="6A6FBBC3" w14:textId="77777777" w:rsidR="00823452" w:rsidRPr="00DD5F33" w:rsidRDefault="003C06ED" w:rsidP="00823452">
      <w:pPr>
        <w:spacing w:before="120" w:line="276" w:lineRule="auto"/>
        <w:ind w:firstLine="709"/>
        <w:jc w:val="both"/>
        <w:rPr>
          <w:rFonts w:ascii="Arial" w:hAnsi="Arial" w:cs="Arial"/>
          <w:color w:val="000000" w:themeColor="text1"/>
          <w:sz w:val="22"/>
          <w:lang w:val="es-ES_tradnl"/>
        </w:rPr>
      </w:pPr>
      <w:r w:rsidRPr="00DD5F33">
        <w:rPr>
          <w:rFonts w:ascii="Arial" w:hAnsi="Arial" w:cs="Arial"/>
          <w:color w:val="000000" w:themeColor="text1"/>
          <w:sz w:val="22"/>
          <w:lang w:val="es-ES_tradnl"/>
        </w:rPr>
        <w:t>Por su parte, frente al artículo 3</w:t>
      </w:r>
      <w:r w:rsidR="005F7A29" w:rsidRPr="00DD5F33">
        <w:rPr>
          <w:rFonts w:ascii="Arial" w:hAnsi="Arial" w:cs="Arial"/>
          <w:color w:val="000000" w:themeColor="text1"/>
          <w:sz w:val="22"/>
          <w:lang w:val="es-ES_tradnl"/>
        </w:rPr>
        <w:t>1</w:t>
      </w:r>
      <w:r w:rsidRPr="00DD5F33">
        <w:rPr>
          <w:rFonts w:ascii="Arial" w:hAnsi="Arial" w:cs="Arial"/>
          <w:color w:val="000000" w:themeColor="text1"/>
          <w:sz w:val="22"/>
          <w:lang w:val="es-ES_tradnl"/>
        </w:rPr>
        <w:t xml:space="preserve"> de la misma Ley se expidieron los conceptos </w:t>
      </w:r>
      <w:r w:rsidR="00423BAB" w:rsidRPr="00DD5F33">
        <w:rPr>
          <w:rFonts w:ascii="Arial" w:hAnsi="Arial" w:cs="Arial"/>
          <w:color w:val="000000" w:themeColor="text1"/>
          <w:sz w:val="22"/>
          <w:lang w:val="es-ES_tradnl"/>
        </w:rPr>
        <w:t>C-029 del 23</w:t>
      </w:r>
      <w:r w:rsidR="00DB6B8D" w:rsidRPr="00DD5F33">
        <w:rPr>
          <w:rFonts w:ascii="Arial" w:hAnsi="Arial" w:cs="Arial"/>
          <w:color w:val="000000" w:themeColor="text1"/>
          <w:sz w:val="22"/>
          <w:lang w:val="es-ES_tradnl"/>
        </w:rPr>
        <w:t xml:space="preserve"> de febrero de </w:t>
      </w:r>
      <w:r w:rsidR="00423BAB" w:rsidRPr="00DD5F33">
        <w:rPr>
          <w:rFonts w:ascii="Arial" w:hAnsi="Arial" w:cs="Arial"/>
          <w:color w:val="000000" w:themeColor="text1"/>
          <w:sz w:val="22"/>
          <w:lang w:val="es-ES_tradnl"/>
        </w:rPr>
        <w:t>2021, C-037 del 26</w:t>
      </w:r>
      <w:r w:rsidR="00DB6B8D" w:rsidRPr="00DD5F33">
        <w:rPr>
          <w:rFonts w:ascii="Arial" w:hAnsi="Arial" w:cs="Arial"/>
          <w:color w:val="000000" w:themeColor="text1"/>
          <w:sz w:val="22"/>
          <w:lang w:val="es-ES_tradnl"/>
        </w:rPr>
        <w:t xml:space="preserve"> de febrero de </w:t>
      </w:r>
      <w:r w:rsidR="00423BAB" w:rsidRPr="00DD5F33">
        <w:rPr>
          <w:rFonts w:ascii="Arial" w:hAnsi="Arial" w:cs="Arial"/>
          <w:color w:val="000000" w:themeColor="text1"/>
          <w:sz w:val="22"/>
          <w:lang w:val="es-ES_tradnl"/>
        </w:rPr>
        <w:t>2021, C-035 del 02</w:t>
      </w:r>
      <w:r w:rsidR="00DB6B8D" w:rsidRPr="00DD5F33">
        <w:rPr>
          <w:rFonts w:ascii="Arial" w:hAnsi="Arial" w:cs="Arial"/>
          <w:color w:val="000000" w:themeColor="text1"/>
          <w:sz w:val="22"/>
          <w:lang w:val="es-ES_tradnl"/>
        </w:rPr>
        <w:t xml:space="preserve"> de marzo de </w:t>
      </w:r>
      <w:r w:rsidR="00423BAB" w:rsidRPr="00DD5F33">
        <w:rPr>
          <w:rFonts w:ascii="Arial" w:hAnsi="Arial" w:cs="Arial"/>
          <w:color w:val="000000" w:themeColor="text1"/>
          <w:sz w:val="22"/>
          <w:lang w:val="es-ES_tradnl"/>
        </w:rPr>
        <w:t>2021, C-141 del 08</w:t>
      </w:r>
      <w:r w:rsidR="00DB6B8D" w:rsidRPr="00DD5F33">
        <w:rPr>
          <w:rFonts w:ascii="Arial" w:hAnsi="Arial" w:cs="Arial"/>
          <w:color w:val="000000" w:themeColor="text1"/>
          <w:sz w:val="22"/>
          <w:lang w:val="es-ES_tradnl"/>
        </w:rPr>
        <w:t xml:space="preserve"> de abril de </w:t>
      </w:r>
      <w:r w:rsidR="00423BAB" w:rsidRPr="00DD5F33">
        <w:rPr>
          <w:rFonts w:ascii="Arial" w:hAnsi="Arial" w:cs="Arial"/>
          <w:color w:val="000000" w:themeColor="text1"/>
          <w:sz w:val="22"/>
          <w:lang w:val="es-ES_tradnl"/>
        </w:rPr>
        <w:t>2021, C-160 del 20</w:t>
      </w:r>
      <w:r w:rsidR="00DB6B8D" w:rsidRPr="00DD5F33">
        <w:rPr>
          <w:rFonts w:ascii="Arial" w:hAnsi="Arial" w:cs="Arial"/>
          <w:color w:val="000000" w:themeColor="text1"/>
          <w:sz w:val="22"/>
          <w:lang w:val="es-ES_tradnl"/>
        </w:rPr>
        <w:t xml:space="preserve"> de abril de </w:t>
      </w:r>
      <w:r w:rsidR="00423BAB" w:rsidRPr="00DD5F33">
        <w:rPr>
          <w:rFonts w:ascii="Arial" w:hAnsi="Arial" w:cs="Arial"/>
          <w:color w:val="000000" w:themeColor="text1"/>
          <w:sz w:val="22"/>
          <w:lang w:val="es-ES_tradnl"/>
        </w:rPr>
        <w:t>2021 y C-573 13</w:t>
      </w:r>
      <w:r w:rsidR="00DB6B8D" w:rsidRPr="00DD5F33">
        <w:rPr>
          <w:rFonts w:ascii="Arial" w:hAnsi="Arial" w:cs="Arial"/>
          <w:color w:val="000000" w:themeColor="text1"/>
          <w:sz w:val="22"/>
          <w:lang w:val="es-ES_tradnl"/>
        </w:rPr>
        <w:t xml:space="preserve"> de abril de </w:t>
      </w:r>
      <w:r w:rsidR="00423BAB" w:rsidRPr="00DD5F33">
        <w:rPr>
          <w:rFonts w:ascii="Arial" w:hAnsi="Arial" w:cs="Arial"/>
          <w:color w:val="000000" w:themeColor="text1"/>
          <w:sz w:val="22"/>
          <w:lang w:val="es-ES_tradnl"/>
        </w:rPr>
        <w:t>2021.</w:t>
      </w:r>
    </w:p>
    <w:p w14:paraId="11D84338" w14:textId="77777777" w:rsidR="007C1598" w:rsidRPr="00DD5F33" w:rsidRDefault="00423BAB" w:rsidP="007C1598">
      <w:pPr>
        <w:spacing w:before="120" w:line="276" w:lineRule="auto"/>
        <w:ind w:firstLine="709"/>
        <w:jc w:val="both"/>
        <w:rPr>
          <w:rFonts w:ascii="Arial" w:hAnsi="Arial" w:cs="Arial"/>
          <w:color w:val="000000" w:themeColor="text1"/>
          <w:sz w:val="22"/>
          <w:lang w:val="es-ES_tradnl"/>
        </w:rPr>
      </w:pPr>
      <w:r w:rsidRPr="00DD5F33">
        <w:rPr>
          <w:rFonts w:ascii="Arial" w:hAnsi="Arial" w:cs="Arial"/>
          <w:color w:val="000000" w:themeColor="text1"/>
          <w:sz w:val="22"/>
          <w:lang w:val="es-ES_tradnl"/>
        </w:rPr>
        <w:t>En lo que respecta al artículo 3</w:t>
      </w:r>
      <w:r w:rsidR="005F7A29" w:rsidRPr="00DD5F33">
        <w:rPr>
          <w:rFonts w:ascii="Arial" w:hAnsi="Arial" w:cs="Arial"/>
          <w:color w:val="000000" w:themeColor="text1"/>
          <w:sz w:val="22"/>
          <w:lang w:val="es-ES_tradnl"/>
        </w:rPr>
        <w:t>2</w:t>
      </w:r>
      <w:r w:rsidR="00B35FDE" w:rsidRPr="00DD5F33">
        <w:rPr>
          <w:rFonts w:ascii="Arial" w:hAnsi="Arial" w:cs="Arial"/>
          <w:color w:val="000000" w:themeColor="text1"/>
          <w:sz w:val="22"/>
          <w:lang w:val="es-ES_tradnl"/>
        </w:rPr>
        <w:t xml:space="preserve"> de la Ley en comento</w:t>
      </w:r>
      <w:r w:rsidRPr="00DD5F33">
        <w:rPr>
          <w:rFonts w:ascii="Arial" w:hAnsi="Arial" w:cs="Arial"/>
          <w:color w:val="000000" w:themeColor="text1"/>
          <w:sz w:val="22"/>
          <w:lang w:val="es-ES_tradnl"/>
        </w:rPr>
        <w:t xml:space="preserve">, </w:t>
      </w:r>
      <w:r w:rsidR="00DE71E3" w:rsidRPr="00DD5F33">
        <w:rPr>
          <w:rFonts w:ascii="Arial" w:hAnsi="Arial" w:cs="Arial"/>
          <w:color w:val="000000" w:themeColor="text1"/>
          <w:sz w:val="22"/>
          <w:lang w:val="es-ES_tradnl"/>
        </w:rPr>
        <w:t>pueden consultarse los conceptos C-005 del 16</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2021, C-029 del 23</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w:t>
      </w:r>
      <w:r w:rsidR="00823452" w:rsidRPr="00DD5F33">
        <w:rPr>
          <w:rFonts w:ascii="Arial" w:hAnsi="Arial" w:cs="Arial"/>
          <w:color w:val="000000" w:themeColor="text1"/>
          <w:sz w:val="22"/>
          <w:lang w:val="es-ES_tradnl"/>
        </w:rPr>
        <w:t>1</w:t>
      </w:r>
      <w:r w:rsidR="00DE71E3" w:rsidRPr="00DD5F33">
        <w:rPr>
          <w:rFonts w:ascii="Arial" w:hAnsi="Arial" w:cs="Arial"/>
          <w:color w:val="000000" w:themeColor="text1"/>
          <w:sz w:val="22"/>
          <w:lang w:val="es-ES_tradnl"/>
        </w:rPr>
        <w:t>, C-037 del 26</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2021, C-035 del 02</w:t>
      </w:r>
      <w:r w:rsidR="00823452" w:rsidRPr="00DD5F33">
        <w:rPr>
          <w:rFonts w:ascii="Arial" w:hAnsi="Arial" w:cs="Arial"/>
          <w:color w:val="000000" w:themeColor="text1"/>
          <w:sz w:val="22"/>
          <w:lang w:val="es-ES_tradnl"/>
        </w:rPr>
        <w:t xml:space="preserve"> de marzo de </w:t>
      </w:r>
      <w:r w:rsidR="00DE71E3" w:rsidRPr="00DD5F33">
        <w:rPr>
          <w:rFonts w:ascii="Arial" w:hAnsi="Arial" w:cs="Arial"/>
          <w:color w:val="000000" w:themeColor="text1"/>
          <w:sz w:val="22"/>
          <w:lang w:val="es-ES_tradnl"/>
        </w:rPr>
        <w:t>2021, C-141 del 08</w:t>
      </w:r>
      <w:r w:rsidR="00823452" w:rsidRPr="00DD5F33">
        <w:rPr>
          <w:rFonts w:ascii="Arial" w:hAnsi="Arial" w:cs="Arial"/>
          <w:color w:val="000000" w:themeColor="text1"/>
          <w:sz w:val="22"/>
          <w:lang w:val="es-ES_tradnl"/>
        </w:rPr>
        <w:t xml:space="preserve"> de abril de </w:t>
      </w:r>
      <w:r w:rsidR="00DE71E3" w:rsidRPr="00DD5F33">
        <w:rPr>
          <w:rFonts w:ascii="Arial" w:hAnsi="Arial" w:cs="Arial"/>
          <w:color w:val="000000" w:themeColor="text1"/>
          <w:sz w:val="22"/>
          <w:lang w:val="es-ES_tradnl"/>
        </w:rPr>
        <w:t>2021, C-160 del 20</w:t>
      </w:r>
      <w:r w:rsidR="00823452" w:rsidRPr="00DD5F33">
        <w:rPr>
          <w:rFonts w:ascii="Arial" w:hAnsi="Arial" w:cs="Arial"/>
          <w:color w:val="000000" w:themeColor="text1"/>
          <w:sz w:val="22"/>
          <w:lang w:val="es-ES_tradnl"/>
        </w:rPr>
        <w:t xml:space="preserve"> de abril de </w:t>
      </w:r>
      <w:r w:rsidR="00DE71E3" w:rsidRPr="00DD5F33">
        <w:rPr>
          <w:rFonts w:ascii="Arial" w:hAnsi="Arial" w:cs="Arial"/>
          <w:color w:val="000000" w:themeColor="text1"/>
          <w:sz w:val="22"/>
          <w:lang w:val="es-ES_tradnl"/>
        </w:rPr>
        <w:t>2021</w:t>
      </w:r>
      <w:r w:rsidR="00823452" w:rsidRPr="00DD5F33">
        <w:rPr>
          <w:rFonts w:ascii="Arial" w:hAnsi="Arial" w:cs="Arial"/>
          <w:color w:val="000000" w:themeColor="text1"/>
          <w:sz w:val="22"/>
          <w:lang w:val="es-ES_tradnl"/>
        </w:rPr>
        <w:t xml:space="preserve"> </w:t>
      </w:r>
      <w:r w:rsidR="00DE71E3" w:rsidRPr="00DD5F33">
        <w:rPr>
          <w:rFonts w:ascii="Arial" w:hAnsi="Arial" w:cs="Arial"/>
          <w:color w:val="000000" w:themeColor="text1"/>
          <w:sz w:val="22"/>
          <w:lang w:val="es-ES_tradnl"/>
        </w:rPr>
        <w:t>y C-031 del 1</w:t>
      </w:r>
      <w:r w:rsidR="00823452" w:rsidRPr="00DD5F33">
        <w:rPr>
          <w:rFonts w:ascii="Arial" w:hAnsi="Arial" w:cs="Arial"/>
          <w:color w:val="000000" w:themeColor="text1"/>
          <w:sz w:val="22"/>
          <w:lang w:val="es-ES_tradnl"/>
        </w:rPr>
        <w:t xml:space="preserve"> de marzo de </w:t>
      </w:r>
      <w:r w:rsidR="00DE71E3" w:rsidRPr="00DD5F33">
        <w:rPr>
          <w:rFonts w:ascii="Arial" w:hAnsi="Arial" w:cs="Arial"/>
          <w:color w:val="000000" w:themeColor="text1"/>
          <w:sz w:val="22"/>
          <w:lang w:val="es-ES_tradnl"/>
        </w:rPr>
        <w:t>2022.</w:t>
      </w:r>
    </w:p>
    <w:p w14:paraId="3B12F446" w14:textId="77777777" w:rsidR="00A62442" w:rsidRPr="00DD5F33" w:rsidRDefault="00215618" w:rsidP="00A62442">
      <w:pPr>
        <w:spacing w:before="120" w:line="276" w:lineRule="auto"/>
        <w:ind w:firstLine="709"/>
        <w:jc w:val="both"/>
        <w:rPr>
          <w:rFonts w:ascii="Arial" w:hAnsi="Arial" w:cs="Arial"/>
          <w:color w:val="000000" w:themeColor="text1"/>
          <w:sz w:val="22"/>
          <w:lang w:val="es-ES_tradnl"/>
        </w:rPr>
      </w:pPr>
      <w:r w:rsidRPr="00DD5F33">
        <w:rPr>
          <w:rFonts w:ascii="Arial" w:hAnsi="Arial" w:cs="Arial"/>
          <w:color w:val="000000" w:themeColor="text1"/>
          <w:sz w:val="22"/>
          <w:lang w:val="es-ES_tradnl"/>
        </w:rPr>
        <w:t>En lo concerniente al artículo 34</w:t>
      </w:r>
      <w:r w:rsidR="007C1598" w:rsidRPr="00DD5F33">
        <w:rPr>
          <w:rFonts w:ascii="Arial" w:hAnsi="Arial" w:cs="Arial"/>
          <w:color w:val="000000" w:themeColor="text1"/>
          <w:sz w:val="22"/>
          <w:lang w:val="es-ES_tradnl"/>
        </w:rPr>
        <w:t xml:space="preserve"> </w:t>
      </w:r>
      <w:r w:rsidR="00A62442" w:rsidRPr="00DD5F33">
        <w:rPr>
          <w:rFonts w:ascii="Arial" w:hAnsi="Arial" w:cs="Arial"/>
          <w:color w:val="000000" w:themeColor="text1"/>
          <w:sz w:val="22"/>
          <w:lang w:val="es-ES_tradnl"/>
        </w:rPr>
        <w:t xml:space="preserve">de la Ley </w:t>
      </w:r>
      <w:r w:rsidR="00A62442" w:rsidRPr="00DD5F33">
        <w:rPr>
          <w:rFonts w:ascii="Arial" w:hAnsi="Arial" w:cs="Arial"/>
          <w:i/>
          <w:iCs/>
          <w:color w:val="000000" w:themeColor="text1"/>
          <w:sz w:val="22"/>
          <w:lang w:val="es-ES_tradnl"/>
        </w:rPr>
        <w:t>ut supra</w:t>
      </w:r>
      <w:r w:rsidRPr="00DD5F33">
        <w:rPr>
          <w:rFonts w:ascii="Arial" w:hAnsi="Arial" w:cs="Arial"/>
          <w:color w:val="000000" w:themeColor="text1"/>
          <w:sz w:val="22"/>
          <w:lang w:val="es-ES_tradnl"/>
        </w:rPr>
        <w:t xml:space="preserve">, la Agencia profirió los conceptos </w:t>
      </w:r>
      <w:r w:rsidR="002E53C7" w:rsidRPr="00DD5F33">
        <w:rPr>
          <w:rFonts w:ascii="Arial" w:hAnsi="Arial" w:cs="Arial"/>
          <w:color w:val="000000" w:themeColor="text1"/>
          <w:sz w:val="22"/>
          <w:lang w:val="es-ES_tradnl"/>
        </w:rPr>
        <w:t>C-043 del 09</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C-005 del 16</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C-081 del 23</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C-087 del 23</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C-025 del 25</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C-037 del 26</w:t>
      </w:r>
      <w:r w:rsidR="005B2E9F" w:rsidRPr="00DD5F33">
        <w:rPr>
          <w:rFonts w:ascii="Arial" w:hAnsi="Arial" w:cs="Arial"/>
          <w:color w:val="000000" w:themeColor="text1"/>
          <w:sz w:val="22"/>
          <w:lang w:val="es-ES_tradnl"/>
        </w:rPr>
        <w:t xml:space="preserve"> de febrero de </w:t>
      </w:r>
      <w:r w:rsidR="002E53C7" w:rsidRPr="00DD5F33">
        <w:rPr>
          <w:rFonts w:ascii="Arial" w:hAnsi="Arial" w:cs="Arial"/>
          <w:color w:val="000000" w:themeColor="text1"/>
          <w:sz w:val="22"/>
          <w:lang w:val="es-ES_tradnl"/>
        </w:rPr>
        <w:t>2021, C-035 del 02</w:t>
      </w:r>
      <w:r w:rsidR="005B2E9F" w:rsidRPr="00DD5F33">
        <w:rPr>
          <w:rFonts w:ascii="Arial" w:hAnsi="Arial" w:cs="Arial"/>
          <w:color w:val="000000" w:themeColor="text1"/>
          <w:sz w:val="22"/>
          <w:lang w:val="es-ES_tradnl"/>
        </w:rPr>
        <w:t xml:space="preserve"> de marzo de </w:t>
      </w:r>
      <w:r w:rsidR="002E53C7" w:rsidRPr="00DD5F33">
        <w:rPr>
          <w:rFonts w:ascii="Arial" w:hAnsi="Arial" w:cs="Arial"/>
          <w:color w:val="000000" w:themeColor="text1"/>
          <w:sz w:val="22"/>
          <w:lang w:val="es-ES_tradnl"/>
        </w:rPr>
        <w:t>2021, C-040 del 02</w:t>
      </w:r>
      <w:r w:rsidR="005B2E9F" w:rsidRPr="00DD5F33">
        <w:rPr>
          <w:rFonts w:ascii="Arial" w:hAnsi="Arial" w:cs="Arial"/>
          <w:color w:val="000000" w:themeColor="text1"/>
          <w:sz w:val="22"/>
          <w:lang w:val="es-ES_tradnl"/>
        </w:rPr>
        <w:t xml:space="preserve"> de marzo de </w:t>
      </w:r>
      <w:r w:rsidR="002E53C7" w:rsidRPr="00DD5F33">
        <w:rPr>
          <w:rFonts w:ascii="Arial" w:hAnsi="Arial" w:cs="Arial"/>
          <w:color w:val="000000" w:themeColor="text1"/>
          <w:sz w:val="22"/>
          <w:lang w:val="es-ES_tradnl"/>
        </w:rPr>
        <w:t>2021, C-044 del 03</w:t>
      </w:r>
      <w:r w:rsidR="005B2E9F" w:rsidRPr="00DD5F33">
        <w:rPr>
          <w:rFonts w:ascii="Arial" w:hAnsi="Arial" w:cs="Arial"/>
          <w:color w:val="000000" w:themeColor="text1"/>
          <w:sz w:val="22"/>
          <w:lang w:val="es-ES_tradnl"/>
        </w:rPr>
        <w:t xml:space="preserve"> de marzo de </w:t>
      </w:r>
      <w:r w:rsidR="002E53C7" w:rsidRPr="00DD5F33">
        <w:rPr>
          <w:rFonts w:ascii="Arial" w:hAnsi="Arial" w:cs="Arial"/>
          <w:color w:val="000000" w:themeColor="text1"/>
          <w:sz w:val="22"/>
          <w:lang w:val="es-ES_tradnl"/>
        </w:rPr>
        <w:t>2021, C-125 del 05</w:t>
      </w:r>
      <w:r w:rsidR="005B2E9F"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C-127 del 06</w:t>
      </w:r>
      <w:r w:rsidR="005B2E9F"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C-130 del 07</w:t>
      </w:r>
      <w:r w:rsidR="00781004"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C-144 del 07/04/2021, C-125 del 5/04/2021, C-141 del 08/04/2021, C-114 del 13/07/2021, C−151 del 12</w:t>
      </w:r>
      <w:r w:rsidR="00781004"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C-160 del 20</w:t>
      </w:r>
      <w:r w:rsidR="00781004"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C−189 del 26</w:t>
      </w:r>
      <w:r w:rsidR="00781004" w:rsidRPr="00DD5F33">
        <w:rPr>
          <w:rFonts w:ascii="Arial" w:hAnsi="Arial" w:cs="Arial"/>
          <w:color w:val="000000" w:themeColor="text1"/>
          <w:sz w:val="22"/>
          <w:lang w:val="es-ES_tradnl"/>
        </w:rPr>
        <w:t xml:space="preserve"> de abril de </w:t>
      </w:r>
      <w:r w:rsidR="002E53C7" w:rsidRPr="00DD5F33">
        <w:rPr>
          <w:rFonts w:ascii="Arial" w:hAnsi="Arial" w:cs="Arial"/>
          <w:color w:val="000000" w:themeColor="text1"/>
          <w:sz w:val="22"/>
          <w:lang w:val="es-ES_tradnl"/>
        </w:rPr>
        <w:t>2021, C-206 del 3</w:t>
      </w:r>
      <w:r w:rsidR="00781004" w:rsidRPr="00DD5F33">
        <w:rPr>
          <w:rFonts w:ascii="Arial" w:hAnsi="Arial" w:cs="Arial"/>
          <w:color w:val="000000" w:themeColor="text1"/>
          <w:sz w:val="22"/>
          <w:lang w:val="es-ES_tradnl"/>
        </w:rPr>
        <w:t xml:space="preserve"> de mayo de </w:t>
      </w:r>
      <w:r w:rsidR="002E53C7" w:rsidRPr="00DD5F33">
        <w:rPr>
          <w:rFonts w:ascii="Arial" w:hAnsi="Arial" w:cs="Arial"/>
          <w:color w:val="000000" w:themeColor="text1"/>
          <w:sz w:val="22"/>
          <w:lang w:val="es-ES_tradnl"/>
        </w:rPr>
        <w:t>2021, C-208 del 10</w:t>
      </w:r>
      <w:r w:rsidR="007C1598" w:rsidRPr="00DD5F33">
        <w:rPr>
          <w:rFonts w:ascii="Arial" w:hAnsi="Arial" w:cs="Arial"/>
          <w:color w:val="000000" w:themeColor="text1"/>
          <w:sz w:val="22"/>
          <w:lang w:val="es-ES_tradnl"/>
        </w:rPr>
        <w:t xml:space="preserve"> de mayo de </w:t>
      </w:r>
      <w:r w:rsidR="002E53C7" w:rsidRPr="00DD5F33">
        <w:rPr>
          <w:rFonts w:ascii="Arial" w:hAnsi="Arial" w:cs="Arial"/>
          <w:color w:val="000000" w:themeColor="text1"/>
          <w:sz w:val="22"/>
          <w:lang w:val="es-ES_tradnl"/>
        </w:rPr>
        <w:t>2021, C-234 del 26</w:t>
      </w:r>
      <w:r w:rsidR="007C1598" w:rsidRPr="00DD5F33">
        <w:rPr>
          <w:rFonts w:ascii="Arial" w:hAnsi="Arial" w:cs="Arial"/>
          <w:color w:val="000000" w:themeColor="text1"/>
          <w:sz w:val="22"/>
          <w:lang w:val="es-ES_tradnl"/>
        </w:rPr>
        <w:t xml:space="preserve"> de mayo de </w:t>
      </w:r>
      <w:r w:rsidR="002E53C7" w:rsidRPr="00DD5F33">
        <w:rPr>
          <w:rFonts w:ascii="Arial" w:hAnsi="Arial" w:cs="Arial"/>
          <w:color w:val="000000" w:themeColor="text1"/>
          <w:sz w:val="22"/>
          <w:lang w:val="es-ES_tradnl"/>
        </w:rPr>
        <w:t>2021, C-306 del 28</w:t>
      </w:r>
      <w:r w:rsidR="007C1598" w:rsidRPr="00DD5F33">
        <w:rPr>
          <w:rFonts w:ascii="Arial" w:hAnsi="Arial" w:cs="Arial"/>
          <w:color w:val="000000" w:themeColor="text1"/>
          <w:sz w:val="22"/>
          <w:lang w:val="es-ES_tradnl"/>
        </w:rPr>
        <w:t xml:space="preserve"> de junio de </w:t>
      </w:r>
      <w:r w:rsidR="002E53C7" w:rsidRPr="00DD5F33">
        <w:rPr>
          <w:rFonts w:ascii="Arial" w:hAnsi="Arial" w:cs="Arial"/>
          <w:color w:val="000000" w:themeColor="text1"/>
          <w:sz w:val="22"/>
          <w:lang w:val="es-ES_tradnl"/>
        </w:rPr>
        <w:t>2021</w:t>
      </w:r>
      <w:r w:rsidR="007C1598" w:rsidRPr="00DD5F33">
        <w:rPr>
          <w:rFonts w:ascii="Arial" w:hAnsi="Arial" w:cs="Arial"/>
          <w:color w:val="000000" w:themeColor="text1"/>
          <w:sz w:val="22"/>
          <w:lang w:val="es-ES_tradnl"/>
        </w:rPr>
        <w:t>,</w:t>
      </w:r>
      <w:r w:rsidR="002E53C7" w:rsidRPr="00DD5F33">
        <w:rPr>
          <w:rFonts w:ascii="Arial" w:hAnsi="Arial" w:cs="Arial"/>
          <w:color w:val="000000" w:themeColor="text1"/>
          <w:sz w:val="22"/>
          <w:lang w:val="es-ES_tradnl"/>
        </w:rPr>
        <w:t xml:space="preserve"> C-455 del 31</w:t>
      </w:r>
      <w:r w:rsidR="007C1598" w:rsidRPr="00DD5F33">
        <w:rPr>
          <w:rFonts w:ascii="Arial" w:hAnsi="Arial" w:cs="Arial"/>
          <w:color w:val="000000" w:themeColor="text1"/>
          <w:sz w:val="22"/>
          <w:lang w:val="es-ES_tradnl"/>
        </w:rPr>
        <w:t xml:space="preserve"> de agosto de </w:t>
      </w:r>
      <w:r w:rsidR="002E53C7" w:rsidRPr="00DD5F33">
        <w:rPr>
          <w:rFonts w:ascii="Arial" w:hAnsi="Arial" w:cs="Arial"/>
          <w:color w:val="000000" w:themeColor="text1"/>
          <w:sz w:val="22"/>
          <w:lang w:val="es-ES_tradnl"/>
        </w:rPr>
        <w:t>2021</w:t>
      </w:r>
      <w:r w:rsidR="007C1598" w:rsidRPr="00DD5F33">
        <w:rPr>
          <w:rFonts w:ascii="Arial" w:hAnsi="Arial" w:cs="Arial"/>
          <w:color w:val="000000" w:themeColor="text1"/>
          <w:sz w:val="22"/>
          <w:lang w:val="es-ES_tradnl"/>
        </w:rPr>
        <w:t>,</w:t>
      </w:r>
      <w:r w:rsidR="002E53C7" w:rsidRPr="00DD5F33">
        <w:rPr>
          <w:rFonts w:ascii="Arial" w:hAnsi="Arial" w:cs="Arial"/>
          <w:color w:val="000000" w:themeColor="text1"/>
          <w:sz w:val="22"/>
          <w:lang w:val="es-ES_tradnl"/>
        </w:rPr>
        <w:t xml:space="preserve">  C-438 del 28</w:t>
      </w:r>
      <w:r w:rsidR="007C1598" w:rsidRPr="00DD5F33">
        <w:rPr>
          <w:rFonts w:ascii="Arial" w:hAnsi="Arial" w:cs="Arial"/>
          <w:color w:val="000000" w:themeColor="text1"/>
          <w:sz w:val="22"/>
          <w:lang w:val="es-ES_tradnl"/>
        </w:rPr>
        <w:t xml:space="preserve"> de septiembre de </w:t>
      </w:r>
      <w:r w:rsidR="002E53C7" w:rsidRPr="00DD5F33">
        <w:rPr>
          <w:rFonts w:ascii="Arial" w:hAnsi="Arial" w:cs="Arial"/>
          <w:color w:val="000000" w:themeColor="text1"/>
          <w:sz w:val="22"/>
          <w:lang w:val="es-ES_tradnl"/>
        </w:rPr>
        <w:t>2021</w:t>
      </w:r>
      <w:r w:rsidR="0085296E" w:rsidRPr="00DD5F33">
        <w:rPr>
          <w:rFonts w:ascii="Arial" w:hAnsi="Arial" w:cs="Arial"/>
          <w:color w:val="000000" w:themeColor="text1"/>
          <w:sz w:val="22"/>
          <w:lang w:val="es-ES_tradnl"/>
        </w:rPr>
        <w:t xml:space="preserve"> y </w:t>
      </w:r>
      <w:r w:rsidR="002E53C7" w:rsidRPr="00DD5F33">
        <w:rPr>
          <w:rFonts w:ascii="Arial" w:hAnsi="Arial" w:cs="Arial"/>
          <w:color w:val="000000" w:themeColor="text1"/>
          <w:sz w:val="22"/>
          <w:lang w:val="es-ES_tradnl"/>
        </w:rPr>
        <w:t>C-573 13</w:t>
      </w:r>
      <w:r w:rsidR="007C1598" w:rsidRPr="00DD5F33">
        <w:rPr>
          <w:rFonts w:ascii="Arial" w:hAnsi="Arial" w:cs="Arial"/>
          <w:color w:val="000000" w:themeColor="text1"/>
          <w:sz w:val="22"/>
          <w:lang w:val="es-ES_tradnl"/>
        </w:rPr>
        <w:t xml:space="preserve"> de octubre de </w:t>
      </w:r>
      <w:r w:rsidR="002E53C7" w:rsidRPr="00DD5F33">
        <w:rPr>
          <w:rFonts w:ascii="Arial" w:hAnsi="Arial" w:cs="Arial"/>
          <w:color w:val="000000" w:themeColor="text1"/>
          <w:sz w:val="22"/>
          <w:lang w:val="es-ES_tradnl"/>
        </w:rPr>
        <w:t>2021</w:t>
      </w:r>
      <w:r w:rsidR="0085296E" w:rsidRPr="00DD5F33">
        <w:rPr>
          <w:rFonts w:ascii="Arial" w:hAnsi="Arial" w:cs="Arial"/>
          <w:color w:val="000000" w:themeColor="text1"/>
          <w:sz w:val="22"/>
          <w:lang w:val="es-ES_tradnl"/>
        </w:rPr>
        <w:t>.</w:t>
      </w:r>
    </w:p>
    <w:p w14:paraId="40DD0B67" w14:textId="3B212008" w:rsidR="0067454E" w:rsidRPr="00DD5F33" w:rsidRDefault="0067454E" w:rsidP="00A62442">
      <w:pPr>
        <w:spacing w:before="120" w:line="276" w:lineRule="auto"/>
        <w:ind w:firstLine="709"/>
        <w:jc w:val="both"/>
        <w:rPr>
          <w:rFonts w:ascii="Arial" w:hAnsi="Arial" w:cs="Arial"/>
          <w:color w:val="000000" w:themeColor="text1"/>
          <w:sz w:val="22"/>
          <w:lang w:val="es-ES_tradnl"/>
        </w:rPr>
      </w:pPr>
      <w:r w:rsidRPr="00DD5F33">
        <w:rPr>
          <w:rFonts w:ascii="Arial" w:hAnsi="Arial" w:cs="Arial"/>
          <w:color w:val="000000" w:themeColor="text1"/>
          <w:sz w:val="22"/>
          <w:lang w:val="es-ES_tradnl"/>
        </w:rPr>
        <w:t>Finalmente, frente al artículo 35</w:t>
      </w:r>
      <w:r w:rsidR="00AF052E" w:rsidRPr="00DD5F33">
        <w:rPr>
          <w:rFonts w:ascii="Arial" w:hAnsi="Arial" w:cs="Arial"/>
          <w:color w:val="000000" w:themeColor="text1"/>
          <w:sz w:val="22"/>
          <w:lang w:val="es-ES_tradnl"/>
        </w:rPr>
        <w:t xml:space="preserve"> de la mencionada Ley</w:t>
      </w:r>
      <w:r w:rsidRPr="00DD5F33">
        <w:rPr>
          <w:rFonts w:ascii="Arial" w:hAnsi="Arial" w:cs="Arial"/>
          <w:color w:val="000000" w:themeColor="text1"/>
          <w:sz w:val="22"/>
          <w:lang w:val="es-ES_tradnl"/>
        </w:rPr>
        <w:t xml:space="preserve">, la </w:t>
      </w:r>
      <w:r w:rsidR="001A005D" w:rsidRPr="00DD5F33">
        <w:rPr>
          <w:rFonts w:ascii="Arial" w:hAnsi="Arial" w:cs="Arial"/>
          <w:color w:val="000000" w:themeColor="text1"/>
          <w:sz w:val="22"/>
          <w:lang w:val="es-ES_tradnl"/>
        </w:rPr>
        <w:t xml:space="preserve">Agencia expidió los conceptos </w:t>
      </w:r>
      <w:r w:rsidR="00BE7611" w:rsidRPr="00DD5F33">
        <w:rPr>
          <w:rFonts w:ascii="Arial" w:hAnsi="Arial" w:cs="Arial"/>
          <w:color w:val="000000" w:themeColor="text1"/>
          <w:sz w:val="22"/>
          <w:lang w:val="es-ES_tradnl"/>
        </w:rPr>
        <w:t>C-009 del 04</w:t>
      </w:r>
      <w:r w:rsidR="00AF052E"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C-012 del 04</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C-013 del 04</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C-015 del 04</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C-016 del 04</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C-026 del 04</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C-006 del 05</w:t>
      </w:r>
      <w:r w:rsidR="004850A3"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C-043 del 09</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C-005 del 16</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C-007 del 16</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C-098 del 23</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C-028 de 23</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C-081 del 23</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C-087 del 23</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C-037 del 26</w:t>
      </w:r>
      <w:r w:rsidR="00734106" w:rsidRPr="00DD5F33">
        <w:rPr>
          <w:rFonts w:ascii="Arial" w:hAnsi="Arial" w:cs="Arial"/>
          <w:color w:val="000000" w:themeColor="text1"/>
          <w:sz w:val="22"/>
          <w:lang w:val="es-ES_tradnl"/>
        </w:rPr>
        <w:t xml:space="preserve"> de febrero de </w:t>
      </w:r>
      <w:r w:rsidR="00BE7611" w:rsidRPr="00DD5F33">
        <w:rPr>
          <w:rFonts w:ascii="Arial" w:hAnsi="Arial" w:cs="Arial"/>
          <w:color w:val="000000" w:themeColor="text1"/>
          <w:sz w:val="22"/>
          <w:lang w:val="es-ES_tradnl"/>
        </w:rPr>
        <w:t>2021, C-035 del 02</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C-040 del 02</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C-044 del 03</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C-056 del 08</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C-061 del 10</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C-055 del 10</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C-058 del 11</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C-069 del 12</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 C-102 del 25</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2020, C-117 del 26</w:t>
      </w:r>
      <w:r w:rsidR="00734106" w:rsidRPr="00DD5F33">
        <w:rPr>
          <w:rFonts w:ascii="Arial" w:hAnsi="Arial" w:cs="Arial"/>
          <w:color w:val="000000" w:themeColor="text1"/>
          <w:sz w:val="22"/>
          <w:lang w:val="es-ES_tradnl"/>
        </w:rPr>
        <w:t xml:space="preserve"> de marzo de </w:t>
      </w:r>
      <w:r w:rsidR="00BE7611" w:rsidRPr="00DD5F33">
        <w:rPr>
          <w:rFonts w:ascii="Arial" w:hAnsi="Arial" w:cs="Arial"/>
          <w:color w:val="000000" w:themeColor="text1"/>
          <w:sz w:val="22"/>
          <w:lang w:val="es-ES_tradnl"/>
        </w:rPr>
        <w:t>2021</w:t>
      </w:r>
      <w:r w:rsidR="00734106"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C-136 del 07</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C-138 del 07</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C-139 del 07</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C-141 del 08</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C-162 de 13</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C-165 del 13</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C-164 del 19</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C−167 del 21</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C-166 del 23</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C-191 del 26</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C-187 del 28</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C-192 del 29</w:t>
      </w:r>
      <w:r w:rsidR="00734106" w:rsidRPr="00DD5F33">
        <w:rPr>
          <w:rFonts w:ascii="Arial" w:hAnsi="Arial" w:cs="Arial"/>
          <w:color w:val="000000" w:themeColor="text1"/>
          <w:sz w:val="22"/>
          <w:lang w:val="es-ES_tradnl"/>
        </w:rPr>
        <w:t xml:space="preserve"> de abril de </w:t>
      </w:r>
      <w:r w:rsidR="00BE7611" w:rsidRPr="00DD5F33">
        <w:rPr>
          <w:rFonts w:ascii="Arial" w:hAnsi="Arial" w:cs="Arial"/>
          <w:color w:val="000000" w:themeColor="text1"/>
          <w:sz w:val="22"/>
          <w:lang w:val="es-ES_tradnl"/>
        </w:rPr>
        <w:t>2021, C-206 del 03</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 C−198 del 5</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 C-203 del 6</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w:t>
      </w:r>
      <w:r w:rsidR="00044592"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C-180 del 10</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w:t>
      </w:r>
      <w:r w:rsidR="00044592"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C-210 del 10</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 C-221 del 18</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w:t>
      </w:r>
      <w:r w:rsidR="00734106"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C-235 del 27</w:t>
      </w:r>
      <w:r w:rsidR="00734106" w:rsidRPr="00DD5F33">
        <w:rPr>
          <w:rFonts w:ascii="Arial" w:hAnsi="Arial" w:cs="Arial"/>
          <w:color w:val="000000" w:themeColor="text1"/>
          <w:sz w:val="22"/>
          <w:lang w:val="es-ES_tradnl"/>
        </w:rPr>
        <w:t xml:space="preserve"> de mayo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w:t>
      </w:r>
      <w:r w:rsidR="00244440"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lastRenderedPageBreak/>
        <w:t>C-272 del 09</w:t>
      </w:r>
      <w:r w:rsidR="00244440" w:rsidRPr="00DD5F33">
        <w:rPr>
          <w:rFonts w:ascii="Arial" w:hAnsi="Arial" w:cs="Arial"/>
          <w:color w:val="000000" w:themeColor="text1"/>
          <w:sz w:val="22"/>
          <w:lang w:val="es-ES_tradnl"/>
        </w:rPr>
        <w:t xml:space="preserve"> de junio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C-265 del 1</w:t>
      </w:r>
      <w:r w:rsidR="00244440" w:rsidRPr="00DD5F33">
        <w:rPr>
          <w:rFonts w:ascii="Arial" w:hAnsi="Arial" w:cs="Arial"/>
          <w:color w:val="000000" w:themeColor="text1"/>
          <w:sz w:val="22"/>
          <w:lang w:val="es-ES_tradnl"/>
        </w:rPr>
        <w:t xml:space="preserve"> de junio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C-277 del 21</w:t>
      </w:r>
      <w:r w:rsidR="00244440" w:rsidRPr="00DD5F33">
        <w:rPr>
          <w:rFonts w:ascii="Arial" w:hAnsi="Arial" w:cs="Arial"/>
          <w:color w:val="000000" w:themeColor="text1"/>
          <w:sz w:val="22"/>
          <w:lang w:val="es-ES_tradnl"/>
        </w:rPr>
        <w:t xml:space="preserve"> de junio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C- 291 del 18</w:t>
      </w:r>
      <w:r w:rsidR="00244440" w:rsidRPr="00DD5F33">
        <w:rPr>
          <w:rFonts w:ascii="Arial" w:hAnsi="Arial" w:cs="Arial"/>
          <w:color w:val="000000" w:themeColor="text1"/>
          <w:sz w:val="22"/>
          <w:lang w:val="es-ES_tradnl"/>
        </w:rPr>
        <w:t xml:space="preserve"> de junio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C-320 del 01</w:t>
      </w:r>
      <w:r w:rsidR="00244440" w:rsidRPr="00DD5F33">
        <w:rPr>
          <w:rFonts w:ascii="Arial" w:hAnsi="Arial" w:cs="Arial"/>
          <w:color w:val="000000" w:themeColor="text1"/>
          <w:sz w:val="22"/>
          <w:lang w:val="es-ES_tradnl"/>
        </w:rPr>
        <w:t xml:space="preserve"> de julio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C-444 del 23</w:t>
      </w:r>
      <w:r w:rsidR="00244440" w:rsidRPr="00DD5F33">
        <w:rPr>
          <w:rFonts w:ascii="Arial" w:hAnsi="Arial" w:cs="Arial"/>
          <w:color w:val="000000" w:themeColor="text1"/>
          <w:sz w:val="22"/>
          <w:lang w:val="es-ES_tradnl"/>
        </w:rPr>
        <w:t xml:space="preserve"> de julio de </w:t>
      </w:r>
      <w:r w:rsidR="00BE7611" w:rsidRPr="00DD5F33">
        <w:rPr>
          <w:rFonts w:ascii="Arial" w:hAnsi="Arial" w:cs="Arial"/>
          <w:color w:val="000000" w:themeColor="text1"/>
          <w:sz w:val="22"/>
          <w:lang w:val="es-ES_tradnl"/>
        </w:rPr>
        <w:t>2021</w:t>
      </w:r>
      <w:r w:rsidR="00C61D71" w:rsidRPr="00DD5F33">
        <w:rPr>
          <w:rFonts w:ascii="Arial" w:hAnsi="Arial" w:cs="Arial"/>
          <w:color w:val="000000" w:themeColor="text1"/>
          <w:sz w:val="22"/>
          <w:lang w:val="es-ES_tradnl"/>
        </w:rPr>
        <w:t xml:space="preserve">, </w:t>
      </w:r>
      <w:r w:rsidR="00BE7611" w:rsidRPr="00DD5F33">
        <w:rPr>
          <w:rFonts w:ascii="Arial" w:hAnsi="Arial" w:cs="Arial"/>
          <w:color w:val="000000" w:themeColor="text1"/>
          <w:sz w:val="22"/>
          <w:lang w:val="es-ES_tradnl"/>
        </w:rPr>
        <w:t>C-438 del 28</w:t>
      </w:r>
      <w:r w:rsidR="002E7AB7" w:rsidRPr="00DD5F33">
        <w:rPr>
          <w:rFonts w:ascii="Arial" w:hAnsi="Arial" w:cs="Arial"/>
          <w:color w:val="000000" w:themeColor="text1"/>
          <w:sz w:val="22"/>
          <w:lang w:val="es-ES_tradnl"/>
        </w:rPr>
        <w:t xml:space="preserve"> de septiembre de </w:t>
      </w:r>
      <w:r w:rsidR="00BE7611" w:rsidRPr="00DD5F33">
        <w:rPr>
          <w:rFonts w:ascii="Arial" w:hAnsi="Arial" w:cs="Arial"/>
          <w:color w:val="000000" w:themeColor="text1"/>
          <w:sz w:val="22"/>
          <w:lang w:val="es-ES_tradnl"/>
        </w:rPr>
        <w:t>2021, C-576 del 13</w:t>
      </w:r>
      <w:r w:rsidR="002E7AB7" w:rsidRPr="00DD5F33">
        <w:rPr>
          <w:rFonts w:ascii="Arial" w:hAnsi="Arial" w:cs="Arial"/>
          <w:color w:val="000000" w:themeColor="text1"/>
          <w:sz w:val="22"/>
          <w:lang w:val="es-ES_tradnl"/>
        </w:rPr>
        <w:t xml:space="preserve"> de octubre de </w:t>
      </w:r>
      <w:r w:rsidR="00BE7611" w:rsidRPr="00DD5F33">
        <w:rPr>
          <w:rFonts w:ascii="Arial" w:hAnsi="Arial" w:cs="Arial"/>
          <w:color w:val="000000" w:themeColor="text1"/>
          <w:sz w:val="22"/>
          <w:lang w:val="es-ES_tradnl"/>
        </w:rPr>
        <w:t>2021, C-582 del 14</w:t>
      </w:r>
      <w:r w:rsidR="002E7AB7" w:rsidRPr="00DD5F33">
        <w:rPr>
          <w:rFonts w:ascii="Arial" w:hAnsi="Arial" w:cs="Arial"/>
          <w:color w:val="000000" w:themeColor="text1"/>
          <w:sz w:val="22"/>
          <w:lang w:val="es-ES_tradnl"/>
        </w:rPr>
        <w:t xml:space="preserve"> de octubre de </w:t>
      </w:r>
      <w:r w:rsidR="00BE7611" w:rsidRPr="00DD5F33">
        <w:rPr>
          <w:rFonts w:ascii="Arial" w:hAnsi="Arial" w:cs="Arial"/>
          <w:color w:val="000000" w:themeColor="text1"/>
          <w:sz w:val="22"/>
          <w:lang w:val="es-ES_tradnl"/>
        </w:rPr>
        <w:t>2021, C-586 del 14</w:t>
      </w:r>
      <w:r w:rsidR="002E7AB7" w:rsidRPr="00DD5F33">
        <w:rPr>
          <w:rFonts w:ascii="Arial" w:hAnsi="Arial" w:cs="Arial"/>
          <w:color w:val="000000" w:themeColor="text1"/>
          <w:sz w:val="22"/>
          <w:lang w:val="es-ES_tradnl"/>
        </w:rPr>
        <w:t xml:space="preserve"> de octubre de </w:t>
      </w:r>
      <w:r w:rsidR="00BE7611" w:rsidRPr="00DD5F33">
        <w:rPr>
          <w:rFonts w:ascii="Arial" w:hAnsi="Arial" w:cs="Arial"/>
          <w:color w:val="000000" w:themeColor="text1"/>
          <w:sz w:val="22"/>
          <w:lang w:val="es-ES_tradnl"/>
        </w:rPr>
        <w:t>2021</w:t>
      </w:r>
      <w:r w:rsidR="002E7AB7" w:rsidRPr="00DD5F33">
        <w:rPr>
          <w:rFonts w:ascii="Arial" w:hAnsi="Arial" w:cs="Arial"/>
          <w:color w:val="000000" w:themeColor="text1"/>
          <w:sz w:val="22"/>
          <w:lang w:val="es-ES_tradnl"/>
        </w:rPr>
        <w:t xml:space="preserve"> </w:t>
      </w:r>
      <w:r w:rsidR="00E63655" w:rsidRPr="00DD5F33">
        <w:rPr>
          <w:rFonts w:ascii="Arial" w:hAnsi="Arial" w:cs="Arial"/>
          <w:color w:val="000000" w:themeColor="text1"/>
          <w:sz w:val="22"/>
          <w:lang w:val="es-ES_tradnl"/>
        </w:rPr>
        <w:t xml:space="preserve">y </w:t>
      </w:r>
      <w:r w:rsidR="00BE7611" w:rsidRPr="00DD5F33">
        <w:rPr>
          <w:rFonts w:ascii="Arial" w:hAnsi="Arial" w:cs="Arial"/>
          <w:color w:val="000000" w:themeColor="text1"/>
          <w:sz w:val="22"/>
          <w:lang w:val="es-ES_tradnl"/>
        </w:rPr>
        <w:t>C-584 del 13/12/2021</w:t>
      </w:r>
      <w:r w:rsidR="00E63655" w:rsidRPr="00DD5F33">
        <w:rPr>
          <w:rFonts w:ascii="Arial" w:hAnsi="Arial" w:cs="Arial"/>
          <w:color w:val="000000" w:themeColor="text1"/>
          <w:sz w:val="22"/>
          <w:lang w:val="es-ES_tradnl"/>
        </w:rPr>
        <w:t>.</w:t>
      </w:r>
    </w:p>
    <w:p w14:paraId="6B9ABF98" w14:textId="00D69EF6" w:rsidR="00E63655" w:rsidRPr="00DD5F33" w:rsidRDefault="00E63655" w:rsidP="00E63655">
      <w:pPr>
        <w:spacing w:before="120" w:line="276" w:lineRule="auto"/>
        <w:ind w:firstLine="709"/>
        <w:jc w:val="both"/>
        <w:rPr>
          <w:rFonts w:ascii="Arial" w:hAnsi="Arial" w:cs="Arial"/>
          <w:color w:val="000000" w:themeColor="text1"/>
          <w:sz w:val="22"/>
          <w:lang w:val="es-ES_tradnl"/>
        </w:rPr>
      </w:pPr>
      <w:r w:rsidRPr="00DD5F33">
        <w:rPr>
          <w:rFonts w:ascii="Arial" w:hAnsi="Arial" w:cs="Arial"/>
          <w:color w:val="000000" w:themeColor="text1"/>
          <w:sz w:val="22"/>
          <w:lang w:val="es-ES_tradnl"/>
        </w:rPr>
        <w:t>Las ideas expuestas en los conceptos</w:t>
      </w:r>
      <w:r w:rsidR="002E7AB7" w:rsidRPr="00DD5F33">
        <w:rPr>
          <w:rStyle w:val="Refdenotaalpie"/>
          <w:rFonts w:ascii="Arial" w:hAnsi="Arial" w:cs="Arial"/>
          <w:color w:val="000000" w:themeColor="text1"/>
          <w:sz w:val="22"/>
          <w:lang w:val="es-ES_tradnl"/>
        </w:rPr>
        <w:footnoteReference w:id="2"/>
      </w:r>
      <w:r w:rsidRPr="00DD5F33">
        <w:rPr>
          <w:rFonts w:ascii="Arial" w:hAnsi="Arial" w:cs="Arial"/>
          <w:color w:val="000000" w:themeColor="text1"/>
          <w:sz w:val="22"/>
          <w:lang w:val="es-ES_tradnl"/>
        </w:rPr>
        <w:t xml:space="preserve"> mencionados se reiteran a continuación y se complementan en lo pertinente.</w:t>
      </w:r>
    </w:p>
    <w:p w14:paraId="0B6298F6" w14:textId="77777777" w:rsidR="009B3BCD" w:rsidRPr="00DD5F33" w:rsidRDefault="009B3BCD" w:rsidP="009B3BCD">
      <w:pPr>
        <w:spacing w:line="276" w:lineRule="auto"/>
        <w:ind w:firstLine="709"/>
        <w:jc w:val="both"/>
        <w:rPr>
          <w:rFonts w:ascii="Arial" w:eastAsia="Calibri" w:hAnsi="Arial" w:cs="Arial"/>
          <w:color w:val="000000" w:themeColor="text1"/>
          <w:sz w:val="22"/>
          <w:lang w:val="es-ES_tradnl"/>
        </w:rPr>
      </w:pPr>
    </w:p>
    <w:p w14:paraId="6092C625" w14:textId="77777777" w:rsidR="009B3BCD" w:rsidRPr="00DD5F33" w:rsidRDefault="009B3BCD" w:rsidP="00240B18">
      <w:pPr>
        <w:tabs>
          <w:tab w:val="left" w:pos="426"/>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2.1. Impacto de la Ley 2069 de 2020 en la contratación estatal</w:t>
      </w:r>
    </w:p>
    <w:p w14:paraId="79C85CCB" w14:textId="77777777" w:rsidR="009B3BCD" w:rsidRPr="00DD5F33" w:rsidRDefault="009B3BCD" w:rsidP="009B3BCD">
      <w:pPr>
        <w:tabs>
          <w:tab w:val="left" w:pos="426"/>
        </w:tabs>
        <w:spacing w:line="276" w:lineRule="auto"/>
        <w:jc w:val="both"/>
        <w:rPr>
          <w:rFonts w:ascii="Arial" w:eastAsia="Calibri" w:hAnsi="Arial" w:cs="Arial"/>
          <w:b/>
          <w:color w:val="000000" w:themeColor="text1"/>
          <w:sz w:val="22"/>
          <w:lang w:val="es-ES_tradnl"/>
        </w:rPr>
      </w:pPr>
    </w:p>
    <w:p w14:paraId="169CD268" w14:textId="79F1039C" w:rsidR="009B3BCD" w:rsidRPr="00DD5F33" w:rsidRDefault="009B3BCD" w:rsidP="009B3BCD">
      <w:pPr>
        <w:tabs>
          <w:tab w:val="left" w:pos="709"/>
        </w:tabs>
        <w:spacing w:after="120" w:line="276" w:lineRule="auto"/>
        <w:jc w:val="both"/>
        <w:rPr>
          <w:rFonts w:ascii="Arial" w:eastAsia="Calibri" w:hAnsi="Arial" w:cs="Arial"/>
          <w:bCs/>
          <w:color w:val="000000" w:themeColor="text1"/>
          <w:sz w:val="21"/>
          <w:szCs w:val="21"/>
          <w:lang w:val="es-ES_tradnl"/>
        </w:rPr>
      </w:pPr>
      <w:bookmarkStart w:id="2" w:name="_Hlk63883948"/>
      <w:r w:rsidRPr="00DD5F33">
        <w:rPr>
          <w:rFonts w:ascii="Arial" w:eastAsia="Calibri" w:hAnsi="Arial" w:cs="Arial"/>
          <w:bCs/>
          <w:color w:val="000000" w:themeColor="text1"/>
          <w:sz w:val="22"/>
          <w:lang w:val="es-ES_tradnl"/>
        </w:rPr>
        <w:t>El 31 de diciembre</w:t>
      </w:r>
      <w:r w:rsidR="00FF57FC" w:rsidRPr="00DD5F33">
        <w:rPr>
          <w:rFonts w:ascii="Arial" w:eastAsia="Calibri" w:hAnsi="Arial" w:cs="Arial"/>
          <w:bCs/>
          <w:color w:val="000000" w:themeColor="text1"/>
          <w:sz w:val="22"/>
          <w:lang w:val="es-ES_tradnl"/>
        </w:rPr>
        <w:t xml:space="preserve"> de 2020</w:t>
      </w:r>
      <w:r w:rsidRPr="00DD5F33">
        <w:rPr>
          <w:rFonts w:ascii="Arial" w:eastAsia="Calibri" w:hAnsi="Arial" w:cs="Arial"/>
          <w:bCs/>
          <w:color w:val="000000" w:themeColor="text1"/>
          <w:sz w:val="22"/>
          <w:lang w:val="es-ES_tradnl"/>
        </w:rPr>
        <w:t>, en congruencia con el «Pacto por el emprendimiento, la formalización y la productividad» del Plan Nacional de Desarrollo 2018-2022, el Presidente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w:t>
      </w:r>
      <w:r w:rsidRPr="00DD5F33">
        <w:rPr>
          <w:rStyle w:val="Refdenotaalpie"/>
          <w:rFonts w:ascii="Arial" w:eastAsia="Calibri" w:hAnsi="Arial" w:cs="Arial"/>
          <w:color w:val="000000" w:themeColor="text1"/>
          <w:sz w:val="22"/>
          <w:lang w:val="es-ES_tradnl"/>
        </w:rPr>
        <w:footnoteReference w:id="3"/>
      </w:r>
      <w:r w:rsidRPr="00DD5F33">
        <w:rPr>
          <w:rFonts w:ascii="Arial" w:eastAsia="Calibri" w:hAnsi="Arial" w:cs="Arial"/>
          <w:bCs/>
          <w:color w:val="000000" w:themeColor="text1"/>
          <w:sz w:val="22"/>
          <w:lang w:val="es-ES_tradnl"/>
        </w:rPr>
        <w:t xml:space="preserve">. De esta manera, la ley en comento también concreta la </w:t>
      </w:r>
      <w:bookmarkStart w:id="3" w:name="_Hlk63692496"/>
      <w:r w:rsidRPr="00DD5F33">
        <w:rPr>
          <w:rFonts w:ascii="Arial" w:eastAsia="Calibri" w:hAnsi="Arial" w:cs="Arial"/>
          <w:bCs/>
          <w:color w:val="000000" w:themeColor="text1"/>
          <w:sz w:val="22"/>
          <w:lang w:val="es-ES_tradnl"/>
        </w:rPr>
        <w:t>«Política de formalización empresarial»</w:t>
      </w:r>
      <w:bookmarkEnd w:id="3"/>
      <w:r w:rsidRPr="00DD5F33">
        <w:rPr>
          <w:rFonts w:ascii="Arial" w:eastAsia="Calibri" w:hAnsi="Arial" w:cs="Arial"/>
          <w:bCs/>
          <w:color w:val="000000" w:themeColor="text1"/>
          <w:sz w:val="22"/>
          <w:lang w:val="es-ES_tradnl"/>
        </w:rPr>
        <w:t xml:space="preserve"> del Documento CONPES 3956 del 8 de enero de 2019</w:t>
      </w:r>
      <w:r w:rsidRPr="00DD5F33">
        <w:rPr>
          <w:rStyle w:val="Refdenotaalpie"/>
          <w:rFonts w:ascii="Arial" w:eastAsia="Calibri" w:hAnsi="Arial" w:cs="Arial"/>
          <w:color w:val="000000" w:themeColor="text1"/>
          <w:sz w:val="22"/>
          <w:lang w:val="es-ES_tradnl"/>
        </w:rPr>
        <w:footnoteReference w:id="4"/>
      </w:r>
      <w:r w:rsidRPr="00DD5F33">
        <w:rPr>
          <w:rFonts w:ascii="Arial" w:eastAsia="Calibri" w:hAnsi="Arial" w:cs="Arial"/>
          <w:bCs/>
          <w:color w:val="000000" w:themeColor="text1"/>
          <w:sz w:val="22"/>
          <w:lang w:val="es-ES_tradnl"/>
        </w:rPr>
        <w:t>.</w:t>
      </w:r>
      <w:bookmarkEnd w:id="2"/>
    </w:p>
    <w:p w14:paraId="1940A099" w14:textId="77777777" w:rsidR="009B3BCD" w:rsidRPr="00DD5F33" w:rsidRDefault="009B3BCD" w:rsidP="009B3BCD">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Por ello, la ley impulsa medidas para i) reducir cargas y trámites para los emprendedores del país; ii) facilitar su acceso al sistema de compras y contratación pública; </w:t>
      </w:r>
      <w:r w:rsidRPr="00DD5F33">
        <w:rPr>
          <w:rFonts w:ascii="Arial" w:eastAsia="Calibri" w:hAnsi="Arial" w:cs="Arial"/>
          <w:bCs/>
          <w:color w:val="000000" w:themeColor="text1"/>
          <w:sz w:val="22"/>
          <w:lang w:val="es-ES_tradnl"/>
        </w:rPr>
        <w:lastRenderedPageBreak/>
        <w:t>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DD5F33">
        <w:rPr>
          <w:rStyle w:val="Refdenotaalpie"/>
          <w:rFonts w:ascii="Arial" w:eastAsia="Calibri" w:hAnsi="Arial" w:cs="Arial"/>
          <w:color w:val="000000" w:themeColor="text1"/>
          <w:sz w:val="22"/>
          <w:lang w:val="es-ES_tradnl"/>
        </w:rPr>
        <w:footnoteReference w:id="5"/>
      </w:r>
      <w:r w:rsidRPr="00DD5F33">
        <w:rPr>
          <w:rFonts w:ascii="Arial" w:eastAsia="Calibri" w:hAnsi="Arial" w:cs="Arial"/>
          <w:bCs/>
          <w:color w:val="000000" w:themeColor="text1"/>
          <w:sz w:val="22"/>
          <w:lang w:val="es-ES_tradnl"/>
        </w:rPr>
        <w:t>.</w:t>
      </w:r>
    </w:p>
    <w:p w14:paraId="5F5DC5A0" w14:textId="705FD715" w:rsidR="009B3BCD" w:rsidRPr="00DD5F33" w:rsidRDefault="009B3BCD" w:rsidP="009B3BCD">
      <w:pPr>
        <w:tabs>
          <w:tab w:val="left" w:pos="709"/>
        </w:tabs>
        <w:spacing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Para efectos de la consulta, </w:t>
      </w:r>
      <w:bookmarkStart w:id="5" w:name="_Hlk63848566"/>
      <w:r w:rsidRPr="00DD5F33">
        <w:rPr>
          <w:rFonts w:ascii="Arial" w:eastAsia="Calibri" w:hAnsi="Arial" w:cs="Arial"/>
          <w:bCs/>
          <w:color w:val="000000" w:themeColor="text1"/>
          <w:sz w:val="22"/>
          <w:lang w:val="es-ES_tradnl"/>
        </w:rPr>
        <w:t>los artículos 30, 31, 32, 33, 34, 35 y 36 de la Ley 2069 de 2020</w:t>
      </w:r>
      <w:bookmarkEnd w:id="5"/>
      <w:r w:rsidRPr="00DD5F33">
        <w:rPr>
          <w:rFonts w:ascii="Arial" w:eastAsia="Calibri" w:hAnsi="Arial" w:cs="Arial"/>
          <w:bCs/>
          <w:color w:val="000000" w:themeColor="text1"/>
          <w:sz w:val="22"/>
          <w:lang w:val="es-ES_tradnl"/>
        </w:rPr>
        <w:t xml:space="preserve"> crean una serie de incentivos para las personas interesadas en celebrar contratos con el Estado. Particularmente, conforme a la exposición de motivos, «</w:t>
      </w:r>
      <w:r w:rsidRPr="00DD5F33">
        <w:rPr>
          <w:rFonts w:ascii="Arial" w:hAnsi="Arial" w:cs="Arial"/>
          <w:color w:val="000000" w:themeColor="text1"/>
          <w:sz w:val="22"/>
          <w:lang w:val="es-ES_tradnl"/>
        </w:rPr>
        <w:t xml:space="preserve">[…] </w:t>
      </w:r>
      <w:r w:rsidRPr="00DD5F33">
        <w:rPr>
          <w:rFonts w:ascii="Arial" w:eastAsia="Calibri" w:hAnsi="Arial" w:cs="Arial"/>
          <w:bCs/>
          <w:color w:val="000000" w:themeColor="text1"/>
          <w:sz w:val="22"/>
          <w:lang w:val="es-ES_tradnl"/>
        </w:rPr>
        <w:t>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Pr="00DD5F33">
        <w:rPr>
          <w:rStyle w:val="Refdenotaalpie"/>
          <w:rFonts w:ascii="Arial" w:eastAsia="Calibri" w:hAnsi="Arial" w:cs="Arial"/>
          <w:color w:val="000000" w:themeColor="text1"/>
          <w:sz w:val="22"/>
          <w:lang w:val="es-ES_tradnl"/>
        </w:rPr>
        <w:footnoteReference w:id="6"/>
      </w:r>
      <w:r w:rsidRPr="00DD5F33">
        <w:rPr>
          <w:rFonts w:ascii="Arial" w:eastAsia="Calibri" w:hAnsi="Arial" w:cs="Arial"/>
          <w:bCs/>
          <w:color w:val="000000" w:themeColor="text1"/>
          <w:sz w:val="22"/>
          <w:lang w:val="es-ES_tradnl"/>
        </w:rPr>
        <w:t xml:space="preserve">. </w:t>
      </w:r>
    </w:p>
    <w:p w14:paraId="58C14952" w14:textId="0A26AB7B" w:rsidR="00045E8A" w:rsidRPr="00DD5F33" w:rsidRDefault="00045E8A" w:rsidP="009B3BCD">
      <w:pPr>
        <w:tabs>
          <w:tab w:val="left" w:pos="709"/>
        </w:tabs>
        <w:spacing w:line="276" w:lineRule="auto"/>
        <w:jc w:val="both"/>
        <w:rPr>
          <w:rFonts w:ascii="Arial" w:eastAsia="Calibri" w:hAnsi="Arial" w:cs="Arial"/>
          <w:bCs/>
          <w:color w:val="000000" w:themeColor="text1"/>
          <w:sz w:val="22"/>
          <w:lang w:val="es-ES_tradnl"/>
        </w:rPr>
      </w:pPr>
    </w:p>
    <w:p w14:paraId="2C408821" w14:textId="251B7844" w:rsidR="00045E8A" w:rsidRPr="00DD5F33" w:rsidRDefault="00045E8A" w:rsidP="00045E8A">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2</w:t>
      </w:r>
      <w:r w:rsidRPr="00DD5F33">
        <w:rPr>
          <w:rFonts w:ascii="Arial" w:eastAsia="Calibri" w:hAnsi="Arial" w:cs="Arial"/>
          <w:b/>
          <w:color w:val="000000" w:themeColor="text1"/>
          <w:sz w:val="22"/>
          <w:lang w:val="es-ES_tradnl"/>
        </w:rPr>
        <w:t xml:space="preserve">. Intervención necesaria del reglamento para la efectividad de la Ley 2069 de 2020 en el </w:t>
      </w:r>
      <w:bookmarkStart w:id="6" w:name="_Hlk63693402"/>
      <w:r w:rsidRPr="00DD5F33">
        <w:rPr>
          <w:rFonts w:ascii="Arial" w:eastAsia="Calibri" w:hAnsi="Arial" w:cs="Arial"/>
          <w:b/>
          <w:color w:val="000000" w:themeColor="text1"/>
          <w:sz w:val="22"/>
          <w:lang w:val="es-ES_tradnl"/>
        </w:rPr>
        <w:t>sistema de compras pública</w:t>
      </w:r>
      <w:bookmarkEnd w:id="6"/>
      <w:r w:rsidRPr="00DD5F33">
        <w:rPr>
          <w:rFonts w:ascii="Arial" w:eastAsia="Calibri" w:hAnsi="Arial" w:cs="Arial"/>
          <w:b/>
          <w:color w:val="000000" w:themeColor="text1"/>
          <w:sz w:val="22"/>
          <w:lang w:val="es-ES_tradnl"/>
        </w:rPr>
        <w:t>s</w:t>
      </w:r>
    </w:p>
    <w:p w14:paraId="42B33673" w14:textId="77777777" w:rsidR="00045E8A" w:rsidRPr="00DD5F33" w:rsidRDefault="00045E8A" w:rsidP="00045E8A">
      <w:pPr>
        <w:tabs>
          <w:tab w:val="left" w:pos="709"/>
        </w:tabs>
        <w:spacing w:line="276" w:lineRule="auto"/>
        <w:jc w:val="both"/>
        <w:rPr>
          <w:rFonts w:ascii="Arial" w:eastAsia="Calibri" w:hAnsi="Arial" w:cs="Arial"/>
          <w:bCs/>
          <w:color w:val="000000" w:themeColor="text1"/>
          <w:sz w:val="22"/>
          <w:lang w:val="es-ES_tradnl"/>
        </w:rPr>
      </w:pPr>
    </w:p>
    <w:p w14:paraId="703CB929" w14:textId="194B6121"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color w:val="000000" w:themeColor="text1"/>
          <w:sz w:val="22"/>
          <w:lang w:val="es-ES_tradnl"/>
        </w:rPr>
        <w:t>Entre otros aspectos, los artículos 31, 32, 34 y 36 de la Ley 2069 de 2020</w:t>
      </w:r>
      <w:r w:rsidRPr="00DD5F33">
        <w:rPr>
          <w:rFonts w:ascii="Arial" w:eastAsia="Calibri" w:hAnsi="Arial" w:cs="Arial"/>
          <w:bCs/>
          <w:color w:val="000000" w:themeColor="text1"/>
          <w:sz w:val="22"/>
          <w:lang w:val="es-ES_tradnl"/>
        </w:rPr>
        <w:t xml:space="preserve"> disponen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w:t>
      </w:r>
      <w:r w:rsidR="00DA4D91" w:rsidRPr="00DD5F33">
        <w:rPr>
          <w:rFonts w:ascii="Arial" w:eastAsia="Calibri" w:hAnsi="Arial" w:cs="Arial"/>
          <w:bCs/>
          <w:color w:val="000000" w:themeColor="text1"/>
          <w:sz w:val="22"/>
          <w:lang w:val="es-ES_tradnl"/>
        </w:rPr>
        <w:t>había quedado</w:t>
      </w:r>
      <w:r w:rsidRPr="00DD5F33">
        <w:rPr>
          <w:rFonts w:ascii="Arial" w:eastAsia="Calibri" w:hAnsi="Arial" w:cs="Arial"/>
          <w:bCs/>
          <w:color w:val="000000" w:themeColor="text1"/>
          <w:sz w:val="22"/>
          <w:lang w:val="es-ES_tradnl"/>
        </w:rPr>
        <w:t xml:space="preserve"> condicionada a la expedición del reglamento correspondiente. </w:t>
      </w:r>
    </w:p>
    <w:p w14:paraId="64983C80"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La respuesta a la inquietud planteada en el párrafo precedente es de enorme importancia por los efectos prácticos de ambas posiciones. Por un lado, </w:t>
      </w:r>
      <w:bookmarkStart w:id="7" w:name="_Hlk63884320"/>
      <w:r w:rsidRPr="00DD5F33">
        <w:rPr>
          <w:rFonts w:ascii="Arial" w:eastAsia="Calibri" w:hAnsi="Arial" w:cs="Arial"/>
          <w:bCs/>
          <w:color w:val="000000" w:themeColor="text1"/>
          <w:sz w:val="22"/>
          <w:lang w:val="es-ES_tradnl"/>
        </w:rPr>
        <w:t xml:space="preserve">quien opte por la </w:t>
      </w:r>
      <w:r w:rsidRPr="00DD5F33">
        <w:rPr>
          <w:rFonts w:ascii="Arial" w:eastAsia="Calibri" w:hAnsi="Arial" w:cs="Arial"/>
          <w:bCs/>
          <w:i/>
          <w:iCs/>
          <w:color w:val="000000" w:themeColor="text1"/>
          <w:sz w:val="22"/>
          <w:lang w:val="es-ES_tradnl"/>
        </w:rPr>
        <w:t>tesis de la aplicación directa</w:t>
      </w:r>
      <w:r w:rsidRPr="00DD5F33">
        <w:rPr>
          <w:rFonts w:ascii="Arial" w:eastAsia="Calibri" w:hAnsi="Arial" w:cs="Arial"/>
          <w:bCs/>
          <w:color w:val="000000" w:themeColor="text1"/>
          <w:sz w:val="22"/>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w:t>
      </w:r>
      <w:r w:rsidRPr="00DD5F33">
        <w:rPr>
          <w:rFonts w:ascii="Arial" w:eastAsia="Calibri" w:hAnsi="Arial" w:cs="Arial"/>
          <w:bCs/>
          <w:color w:val="000000" w:themeColor="text1"/>
          <w:sz w:val="22"/>
          <w:lang w:val="es-ES_tradnl"/>
        </w:rPr>
        <w:lastRenderedPageBreak/>
        <w:t xml:space="preserve">habilita el ejercicio de potestades discrecionales por parte de las entidades públicas, salvo que el reglamento eventualmente los limite. </w:t>
      </w:r>
      <w:bookmarkEnd w:id="7"/>
    </w:p>
    <w:p w14:paraId="3F55D5D7"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DD5F33">
        <w:rPr>
          <w:rStyle w:val="Refdenotaalpie"/>
          <w:rFonts w:ascii="Arial" w:eastAsia="Calibri" w:hAnsi="Arial" w:cs="Arial"/>
          <w:color w:val="000000" w:themeColor="text1"/>
          <w:sz w:val="22"/>
          <w:lang w:val="es-ES_tradnl"/>
        </w:rPr>
        <w:footnoteReference w:id="7"/>
      </w:r>
      <w:r w:rsidRPr="00DD5F33">
        <w:rPr>
          <w:rFonts w:ascii="Arial" w:eastAsia="Calibri" w:hAnsi="Arial" w:cs="Arial"/>
          <w:bCs/>
          <w:color w:val="000000" w:themeColor="text1"/>
          <w:sz w:val="22"/>
          <w:lang w:val="es-ES_tradnl"/>
        </w:rPr>
        <w:t>. En este contexto, si la expedición de reglamentos no es obligatoria, la ausencia de estos no excusa la inaplicación de la ley, pues contiene unos elementos mínimos que vinculan directamente a los destinatarios.</w:t>
      </w:r>
    </w:p>
    <w:p w14:paraId="5AF95CB1" w14:textId="795BA217" w:rsidR="00045E8A" w:rsidRPr="00DD5F33" w:rsidRDefault="00045E8A" w:rsidP="00045E8A">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Este es el caso de lo previsto en los artículos 30, 33 y 35 de la Ley de Emprendimiento. En relación con las mipymes y mínima cuantía, 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w:t>
      </w:r>
      <w:r w:rsidRPr="00DD5F33">
        <w:rPr>
          <w:rFonts w:ascii="Arial" w:eastAsia="Calibri" w:hAnsi="Arial" w:cs="Arial"/>
          <w:bCs/>
          <w:i/>
          <w:iCs/>
          <w:color w:val="000000"/>
          <w:sz w:val="22"/>
          <w:szCs w:val="22"/>
          <w:lang w:val="es-ES_tradnl" w:eastAsia="en-US"/>
        </w:rPr>
        <w:t>ibidem</w:t>
      </w:r>
      <w:r w:rsidRPr="00DD5F33">
        <w:rPr>
          <w:rFonts w:ascii="Arial" w:eastAsia="Calibri" w:hAnsi="Arial" w:cs="Arial"/>
          <w:bCs/>
          <w:color w:val="000000"/>
          <w:sz w:val="22"/>
          <w:szCs w:val="22"/>
          <w:lang w:val="es-ES_tradnl" w:eastAsia="en-US"/>
        </w:rPr>
        <w:t>, ejerza la potestad reglamentaria para regular tanto las particularidades del procedimiento de selección como la posibilidad de realizar estas adquisiciones a mipymes o establecimientos que correspondan a la definición de «gran almacén», aspectos en la que la norma excluye la regulación autónoma de la materia por parte de las entidades contratantes</w:t>
      </w:r>
      <w:r w:rsidR="0007194E" w:rsidRPr="00DD5F33">
        <w:rPr>
          <w:rFonts w:ascii="Arial" w:eastAsia="Calibri" w:hAnsi="Arial" w:cs="Arial"/>
          <w:bCs/>
          <w:color w:val="000000"/>
          <w:sz w:val="22"/>
          <w:szCs w:val="22"/>
          <w:lang w:val="es-ES_tradnl" w:eastAsia="en-US"/>
        </w:rPr>
        <w:t>.</w:t>
      </w:r>
      <w:r w:rsidRPr="00DD5F33">
        <w:rPr>
          <w:rFonts w:ascii="Arial" w:eastAsia="Calibri" w:hAnsi="Arial" w:cs="Arial"/>
          <w:bCs/>
          <w:color w:val="000000"/>
          <w:sz w:val="22"/>
          <w:szCs w:val="22"/>
          <w:lang w:val="es-ES_tradnl" w:eastAsia="en-US"/>
        </w:rPr>
        <w:t xml:space="preserve"> </w:t>
      </w:r>
      <w:r w:rsidR="0007194E" w:rsidRPr="00DD5F33">
        <w:rPr>
          <w:rFonts w:ascii="Arial" w:eastAsia="Calibri" w:hAnsi="Arial" w:cs="Arial"/>
          <w:bCs/>
          <w:color w:val="000000"/>
          <w:sz w:val="22"/>
          <w:szCs w:val="22"/>
          <w:lang w:val="es-ES_tradnl" w:eastAsia="en-US"/>
        </w:rPr>
        <w:t>Se aclara</w:t>
      </w:r>
      <w:r w:rsidRPr="00DD5F33">
        <w:rPr>
          <w:rFonts w:ascii="Arial" w:eastAsia="Calibri" w:hAnsi="Arial" w:cs="Arial"/>
          <w:bCs/>
          <w:color w:val="000000"/>
          <w:sz w:val="22"/>
          <w:szCs w:val="22"/>
          <w:lang w:val="es-ES_tradnl" w:eastAsia="en-US"/>
        </w:rPr>
        <w:t xml:space="preserve"> que esta </w:t>
      </w:r>
      <w:r w:rsidR="0007194E" w:rsidRPr="00DD5F33">
        <w:rPr>
          <w:rFonts w:ascii="Arial" w:eastAsia="Calibri" w:hAnsi="Arial" w:cs="Arial"/>
          <w:bCs/>
          <w:color w:val="000000"/>
          <w:sz w:val="22"/>
          <w:szCs w:val="22"/>
          <w:lang w:val="es-ES_tradnl" w:eastAsia="en-US"/>
        </w:rPr>
        <w:t>reglamentación</w:t>
      </w:r>
      <w:r w:rsidRPr="00DD5F33">
        <w:rPr>
          <w:rFonts w:ascii="Arial" w:eastAsia="Calibri" w:hAnsi="Arial" w:cs="Arial"/>
          <w:bCs/>
          <w:color w:val="000000"/>
          <w:sz w:val="22"/>
          <w:szCs w:val="22"/>
          <w:lang w:val="es-ES_tradnl" w:eastAsia="en-US"/>
        </w:rPr>
        <w:t xml:space="preserve"> se efectuó mediante el Decreto 1860 del 24 de diciembre de 2021, cuyas modificaciones, </w:t>
      </w:r>
      <w:r w:rsidRPr="00DD5F33">
        <w:rPr>
          <w:rFonts w:ascii="Arial" w:eastAsia="Calibri" w:hAnsi="Arial" w:cs="Arial"/>
          <w:color w:val="000000"/>
          <w:sz w:val="22"/>
          <w:szCs w:val="22"/>
          <w:lang w:val="es-ES_tradnl" w:eastAsia="en-US"/>
        </w:rPr>
        <w:t>de acuerdo con su artículo 8, solo «aplicarán a los procedimientos de selección cuya invitación, aviso de convocatoria o documento equivalente se publique a los tres (3) meses contados a partir de su expedición», esto es, a partir del 24 de marzo de 2022.</w:t>
      </w:r>
    </w:p>
    <w:p w14:paraId="2B65C5FF" w14:textId="77777777" w:rsidR="00045E8A" w:rsidRPr="00DD5F33" w:rsidRDefault="00045E8A" w:rsidP="00045E8A">
      <w:pPr>
        <w:spacing w:after="120" w:line="276" w:lineRule="auto"/>
        <w:jc w:val="both"/>
        <w:rPr>
          <w:rFonts w:ascii="Arial" w:hAnsi="Arial" w:cs="Arial"/>
          <w:sz w:val="22"/>
          <w:lang w:val="es-ES_tradnl"/>
        </w:rPr>
      </w:pPr>
      <w:r w:rsidRPr="00DD5F33">
        <w:rPr>
          <w:rFonts w:ascii="Arial" w:eastAsia="Calibri" w:hAnsi="Arial" w:cs="Arial"/>
          <w:bCs/>
          <w:color w:val="000000" w:themeColor="text1"/>
          <w:sz w:val="22"/>
          <w:lang w:val="es-ES_tradnl"/>
        </w:rPr>
        <w:tab/>
        <w:t xml:space="preserve">En lo que se refiere a la promoción del acceso de las mipymes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 </w:t>
      </w:r>
      <w:r w:rsidRPr="00DD5F33">
        <w:rPr>
          <w:rFonts w:ascii="Arial" w:hAnsi="Arial" w:cs="Arial"/>
          <w:sz w:val="22"/>
          <w:lang w:val="es-ES_tradnl"/>
        </w:rPr>
        <w:t>Por tanto, conforme al marco normativo que regule el acceso de las mipymes al mercado de compras públicas, las entidades deberán adoptar las medidas necesarias para el acatamiento de esta disposición.</w:t>
      </w:r>
    </w:p>
    <w:p w14:paraId="7A699D5A"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lastRenderedPageBreak/>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40C67E1B"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19E0A7C1" w14:textId="44E38E01"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w:t>
      </w:r>
      <w:r w:rsidR="00E05905" w:rsidRPr="00DD5F33">
        <w:rPr>
          <w:rFonts w:ascii="Arial" w:eastAsia="Calibri" w:hAnsi="Arial" w:cs="Arial"/>
          <w:bCs/>
          <w:color w:val="000000" w:themeColor="text1"/>
          <w:sz w:val="22"/>
          <w:lang w:val="es-ES_tradnl"/>
        </w:rPr>
        <w:t xml:space="preserve">Estos aspectos se encuentran regulados actualmente en el artículo </w:t>
      </w:r>
      <w:r w:rsidR="00026A88" w:rsidRPr="00DD5F33">
        <w:rPr>
          <w:rFonts w:ascii="Arial" w:eastAsia="Calibri" w:hAnsi="Arial" w:cs="Arial"/>
          <w:bCs/>
          <w:color w:val="000000" w:themeColor="text1"/>
          <w:sz w:val="22"/>
          <w:lang w:val="es-ES_tradnl"/>
        </w:rPr>
        <w:t>2.2.1.2.4.2.17. del Decreto 1082 de 2015, adicionado por el artículo 3 del Decreto 1860 de 2021.</w:t>
      </w:r>
    </w:p>
    <w:p w14:paraId="5A9057B3"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r>
      <w:bookmarkStart w:id="8" w:name="_Hlk63884375"/>
      <w:r w:rsidRPr="00DD5F33">
        <w:rPr>
          <w:rFonts w:ascii="Arial" w:eastAsia="Calibri" w:hAnsi="Arial" w:cs="Arial"/>
          <w:bCs/>
          <w:color w:val="000000" w:themeColor="text1"/>
          <w:sz w:val="22"/>
          <w:lang w:val="es-ES_tradnl"/>
        </w:rPr>
        <w:t xml:space="preserve">Ahora bien, la relación entre estas dos (2) fuentes del derecho es totalmente diferente en la </w:t>
      </w:r>
      <w:r w:rsidRPr="00DD5F33">
        <w:rPr>
          <w:rFonts w:ascii="Arial" w:eastAsia="Calibri" w:hAnsi="Arial" w:cs="Arial"/>
          <w:bCs/>
          <w:i/>
          <w:iCs/>
          <w:color w:val="000000" w:themeColor="text1"/>
          <w:sz w:val="22"/>
          <w:lang w:val="es-ES_tradnl"/>
        </w:rPr>
        <w:t>tesis de la reglamentación</w:t>
      </w:r>
      <w:r w:rsidRPr="00DD5F33">
        <w:rPr>
          <w:rFonts w:ascii="Arial" w:eastAsia="Calibri" w:hAnsi="Arial" w:cs="Arial"/>
          <w:bCs/>
          <w:color w:val="000000" w:themeColor="text1"/>
          <w:sz w:val="22"/>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8"/>
      <w:r w:rsidRPr="00DD5F33">
        <w:rPr>
          <w:rFonts w:ascii="Arial" w:eastAsia="Calibri" w:hAnsi="Arial" w:cs="Arial"/>
          <w:bCs/>
          <w:color w:val="000000" w:themeColor="text1"/>
          <w:sz w:val="22"/>
          <w:lang w:val="es-ES_tradnl"/>
        </w:rPr>
        <w:t>. Este el caso de los</w:t>
      </w:r>
      <w:r w:rsidRPr="00DD5F33">
        <w:rPr>
          <w:rFonts w:ascii="Arial" w:eastAsia="Calibri" w:hAnsi="Arial" w:cs="Arial"/>
          <w:color w:val="000000" w:themeColor="text1"/>
          <w:sz w:val="22"/>
          <w:lang w:val="es-ES_tradnl"/>
        </w:rPr>
        <w:t xml:space="preserve"> artículos 31, 32, 34 y 36 de la Ley de Emprendimiento</w:t>
      </w:r>
      <w:r w:rsidRPr="00DD5F33">
        <w:rPr>
          <w:rFonts w:ascii="Arial" w:eastAsia="Calibri" w:hAnsi="Arial" w:cs="Arial"/>
          <w:bCs/>
          <w:color w:val="000000" w:themeColor="text1"/>
          <w:sz w:val="22"/>
          <w:lang w:val="es-ES_tradnl"/>
        </w:rPr>
        <w:t xml:space="preserve">. </w:t>
      </w:r>
    </w:p>
    <w:p w14:paraId="6E815DE5"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En efecto, estas disposiciones contienen un mandato de reglamentación que debe acatar el Gobierno Nacional</w:t>
      </w:r>
      <w:r w:rsidRPr="00DD5F33">
        <w:rPr>
          <w:rStyle w:val="Refdenotaalpie"/>
          <w:rFonts w:ascii="Arial" w:eastAsia="Calibri" w:hAnsi="Arial" w:cs="Arial"/>
          <w:color w:val="000000" w:themeColor="text1"/>
          <w:sz w:val="22"/>
          <w:lang w:val="es-ES_tradnl"/>
        </w:rPr>
        <w:footnoteReference w:id="8"/>
      </w:r>
      <w:r w:rsidRPr="00DD5F33">
        <w:rPr>
          <w:rFonts w:ascii="Arial" w:eastAsia="Calibri" w:hAnsi="Arial" w:cs="Arial"/>
          <w:bCs/>
          <w:color w:val="000000" w:themeColor="text1"/>
          <w:sz w:val="22"/>
          <w:lang w:val="es-ES_tradnl"/>
        </w:rPr>
        <w:t xml:space="preserve">. Sin el decreto la ley es inaplicable, porque delega en una </w:t>
      </w:r>
      <w:r w:rsidRPr="00DD5F33">
        <w:rPr>
          <w:rFonts w:ascii="Arial" w:eastAsia="Calibri" w:hAnsi="Arial" w:cs="Arial"/>
          <w:bCs/>
          <w:color w:val="000000" w:themeColor="text1"/>
          <w:sz w:val="22"/>
          <w:lang w:val="es-ES_tradnl"/>
        </w:rPr>
        <w:lastRenderedPageBreak/>
        <w:t xml:space="preserve">fuente de inferior jerarquía la definición de los aspectos relevantes para efectividad de los mandatos contenidos en la misma. En estos casos, la omisión reglamentaria genera una </w:t>
      </w:r>
      <w:r w:rsidRPr="00DD5F33">
        <w:rPr>
          <w:rFonts w:ascii="Arial" w:eastAsia="Calibri" w:hAnsi="Arial" w:cs="Arial"/>
          <w:bCs/>
          <w:i/>
          <w:iCs/>
          <w:color w:val="000000" w:themeColor="text1"/>
          <w:sz w:val="22"/>
          <w:lang w:val="es-ES_tradnl"/>
        </w:rPr>
        <w:t>laguna técnica</w:t>
      </w:r>
      <w:r w:rsidRPr="00DD5F33">
        <w:rPr>
          <w:rFonts w:ascii="Arial" w:eastAsia="Calibri" w:hAnsi="Arial" w:cs="Arial"/>
          <w:bCs/>
          <w:color w:val="000000" w:themeColor="text1"/>
          <w:sz w:val="22"/>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DD5F33">
        <w:rPr>
          <w:rStyle w:val="Refdenotaalpie"/>
          <w:rFonts w:ascii="Arial" w:eastAsia="Calibri" w:hAnsi="Arial" w:cs="Arial"/>
          <w:color w:val="000000" w:themeColor="text1"/>
          <w:sz w:val="22"/>
          <w:lang w:val="es-ES_tradnl"/>
        </w:rPr>
        <w:footnoteReference w:id="9"/>
      </w:r>
      <w:r w:rsidRPr="00DD5F33">
        <w:rPr>
          <w:rFonts w:ascii="Arial" w:eastAsia="Calibri" w:hAnsi="Arial" w:cs="Arial"/>
          <w:bCs/>
          <w:color w:val="000000" w:themeColor="text1"/>
          <w:sz w:val="22"/>
          <w:lang w:val="es-ES_tradnl"/>
        </w:rPr>
        <w:t>.</w:t>
      </w:r>
    </w:p>
    <w:p w14:paraId="73FBFB4C" w14:textId="77777777" w:rsidR="00045E8A" w:rsidRPr="00DD5F33" w:rsidRDefault="00045E8A" w:rsidP="00045E8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Pr="00DD5F33">
        <w:rPr>
          <w:rFonts w:ascii="Arial" w:eastAsia="Calibri" w:hAnsi="Arial" w:cs="Arial"/>
          <w:bCs/>
          <w:i/>
          <w:iCs/>
          <w:color w:val="000000" w:themeColor="text1"/>
          <w:sz w:val="22"/>
          <w:lang w:val="es-ES_tradnl"/>
        </w:rPr>
        <w:t>ibidem</w:t>
      </w:r>
      <w:r w:rsidRPr="00DD5F33">
        <w:rPr>
          <w:rFonts w:ascii="Arial" w:eastAsia="Calibri" w:hAnsi="Arial" w:cs="Arial"/>
          <w:bCs/>
          <w:color w:val="000000" w:themeColor="text1"/>
          <w:sz w:val="22"/>
          <w:lang w:val="es-ES_tradnl"/>
        </w:rPr>
        <w:t xml:space="preserve"> antes de su declaratoria de inconstitucionalidad</w:t>
      </w:r>
      <w:r w:rsidRPr="00DD5F33">
        <w:rPr>
          <w:rStyle w:val="Refdenotaalpie"/>
          <w:rFonts w:ascii="Arial" w:eastAsia="Calibri" w:hAnsi="Arial" w:cs="Arial"/>
          <w:bCs/>
          <w:color w:val="000000" w:themeColor="text1"/>
          <w:sz w:val="22"/>
          <w:lang w:val="es-ES_tradnl"/>
        </w:rPr>
        <w:footnoteReference w:id="10"/>
      </w:r>
      <w:r w:rsidRPr="00DD5F33">
        <w:rPr>
          <w:rFonts w:ascii="Arial" w:eastAsia="Calibri" w:hAnsi="Arial" w:cs="Arial"/>
          <w:bCs/>
          <w:color w:val="000000" w:themeColor="text1"/>
          <w:sz w:val="22"/>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DD5F33">
        <w:rPr>
          <w:rStyle w:val="Refdenotaalpie"/>
          <w:rFonts w:ascii="Arial" w:eastAsia="Calibri" w:hAnsi="Arial" w:cs="Arial"/>
          <w:color w:val="000000" w:themeColor="text1"/>
          <w:sz w:val="22"/>
          <w:lang w:val="es-ES_tradnl"/>
        </w:rPr>
        <w:footnoteReference w:id="11"/>
      </w:r>
      <w:r w:rsidRPr="00DD5F33">
        <w:rPr>
          <w:rFonts w:ascii="Arial" w:eastAsia="Calibri" w:hAnsi="Arial" w:cs="Arial"/>
          <w:bCs/>
          <w:color w:val="000000" w:themeColor="text1"/>
          <w:sz w:val="22"/>
          <w:lang w:val="es-ES_tradnl"/>
        </w:rPr>
        <w:t xml:space="preserve">. </w:t>
      </w:r>
    </w:p>
    <w:p w14:paraId="24E47C09" w14:textId="77777777" w:rsidR="00045E8A" w:rsidRPr="00DD5F33" w:rsidRDefault="00045E8A" w:rsidP="00045E8A">
      <w:pPr>
        <w:spacing w:after="120" w:line="276" w:lineRule="auto"/>
        <w:ind w:firstLine="709"/>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 xml:space="preserve">Sin embargo, las leyes pueden modular sus efectos en el tiempo y establecer para el inicio de su entrada en vigor un plazo o una condición. Ejemplo de una norma que establece un plazo es la Ley 1952 de 2019, por medio de la cual se expide el Código </w:t>
      </w:r>
      <w:r w:rsidRPr="00DD5F33">
        <w:rPr>
          <w:rFonts w:ascii="Arial" w:eastAsia="Calibri" w:hAnsi="Arial" w:cs="Arial"/>
          <w:color w:val="000000" w:themeColor="text1"/>
          <w:sz w:val="22"/>
          <w:lang w:val="es-ES_tradnl"/>
        </w:rPr>
        <w:lastRenderedPageBreak/>
        <w:t xml:space="preserve">Disciplinario Único, cuyo artículo 265 disponía «la presente ley entrará a regir cuatro meses después de su sanción y publicación». El artículo 140 de la Ley 1955 de 2019 prorrogó este plazo hasta el 1 de julio de 2021. </w:t>
      </w:r>
    </w:p>
    <w:p w14:paraId="6C772E9F" w14:textId="77777777" w:rsidR="00045E8A" w:rsidRPr="00DD5F33" w:rsidRDefault="00045E8A" w:rsidP="00045E8A">
      <w:pPr>
        <w:spacing w:line="276" w:lineRule="auto"/>
        <w:ind w:firstLine="709"/>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3344834C" w14:textId="77777777" w:rsidR="00045E8A" w:rsidRPr="00DD5F33" w:rsidRDefault="00045E8A" w:rsidP="00045E8A">
      <w:pPr>
        <w:shd w:val="clear" w:color="auto" w:fill="FFFFFF"/>
        <w:spacing w:line="276" w:lineRule="auto"/>
        <w:ind w:left="709" w:right="760"/>
        <w:jc w:val="both"/>
        <w:rPr>
          <w:rFonts w:ascii="Arial" w:eastAsia="Calibri" w:hAnsi="Arial" w:cs="Arial"/>
          <w:color w:val="000000" w:themeColor="text1"/>
          <w:sz w:val="22"/>
          <w:lang w:val="es-ES_tradnl"/>
        </w:rPr>
      </w:pPr>
    </w:p>
    <w:p w14:paraId="666DC60F" w14:textId="77777777" w:rsidR="00045E8A" w:rsidRPr="00DD5F33" w:rsidRDefault="00045E8A" w:rsidP="00045E8A">
      <w:pPr>
        <w:shd w:val="clear" w:color="auto" w:fill="FFFFFF"/>
        <w:ind w:left="709" w:right="760"/>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DD5F33">
        <w:rPr>
          <w:rStyle w:val="Refdenotaalpie"/>
          <w:rFonts w:ascii="Arial" w:eastAsia="Calibri" w:hAnsi="Arial" w:cs="Arial"/>
          <w:color w:val="000000" w:themeColor="text1"/>
          <w:sz w:val="21"/>
          <w:szCs w:val="21"/>
          <w:lang w:val="es-ES_tradnl"/>
        </w:rPr>
        <w:footnoteReference w:id="12"/>
      </w:r>
      <w:r w:rsidRPr="00DD5F33">
        <w:rPr>
          <w:rFonts w:ascii="Arial" w:eastAsia="Calibri" w:hAnsi="Arial" w:cs="Arial"/>
          <w:color w:val="000000" w:themeColor="text1"/>
          <w:sz w:val="21"/>
          <w:szCs w:val="21"/>
          <w:lang w:val="es-ES_tradnl"/>
        </w:rPr>
        <w:t>.</w:t>
      </w:r>
    </w:p>
    <w:p w14:paraId="1C542A48" w14:textId="77777777" w:rsidR="00045E8A" w:rsidRPr="00DD5F33" w:rsidRDefault="00045E8A" w:rsidP="00045E8A">
      <w:pPr>
        <w:shd w:val="clear" w:color="auto" w:fill="FFFFFF"/>
        <w:spacing w:line="276" w:lineRule="auto"/>
        <w:ind w:left="709" w:right="760"/>
        <w:jc w:val="both"/>
        <w:rPr>
          <w:rFonts w:ascii="Arial" w:eastAsia="Calibri" w:hAnsi="Arial" w:cs="Arial"/>
          <w:color w:val="000000" w:themeColor="text1"/>
          <w:sz w:val="22"/>
          <w:lang w:val="es-ES_tradnl"/>
        </w:rPr>
      </w:pPr>
    </w:p>
    <w:p w14:paraId="63E6D728" w14:textId="77777777" w:rsidR="00045E8A" w:rsidRPr="00DD5F33" w:rsidRDefault="00045E8A" w:rsidP="00045E8A">
      <w:pPr>
        <w:shd w:val="clear" w:color="auto" w:fill="FFFFFF"/>
        <w:spacing w:after="120" w:line="276" w:lineRule="auto"/>
        <w:ind w:right="51" w:firstLine="709"/>
        <w:jc w:val="both"/>
        <w:rPr>
          <w:rFonts w:ascii="Arial" w:eastAsia="Calibri" w:hAnsi="Arial" w:cs="Arial"/>
          <w:color w:val="000000" w:themeColor="text1"/>
          <w:sz w:val="22"/>
          <w:lang w:val="es-ES_tradnl"/>
        </w:rPr>
      </w:pPr>
      <w:bookmarkStart w:id="9" w:name="_Hlk63884655"/>
      <w:r w:rsidRPr="00DD5F33">
        <w:rPr>
          <w:rFonts w:ascii="Arial" w:eastAsia="Calibri" w:hAnsi="Arial" w:cs="Arial"/>
          <w:color w:val="000000" w:themeColor="text1"/>
          <w:sz w:val="22"/>
          <w:lang w:val="es-ES_tradnl"/>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9"/>
    <w:p w14:paraId="29D912EB" w14:textId="4CDFAE53" w:rsidR="00045E8A" w:rsidRPr="00DD5F33" w:rsidRDefault="00045E8A" w:rsidP="00045E8A">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color w:val="000000" w:themeColor="text1"/>
          <w:sz w:val="22"/>
          <w:lang w:val="es-ES_tradnl"/>
        </w:rPr>
        <w:t>Para la Subdirección de Gestión Contractual, las consideraciones de los párrafos precedentes también son aplicables al tema objeto de consulta, ya que el Congreso de la República dispuso la expedición de un decreto reglamentario para detallar el contenido los artículos 31, 32, 34 y 36 de la Ley 2069 de 2020. Por ello, en ausencia de desarrollo normativo posterior</w:t>
      </w:r>
      <w:r w:rsidR="006C3886" w:rsidRPr="00DD5F33">
        <w:rPr>
          <w:rFonts w:ascii="Arial" w:eastAsia="Calibri" w:hAnsi="Arial" w:cs="Arial"/>
          <w:color w:val="000000" w:themeColor="text1"/>
          <w:sz w:val="22"/>
          <w:lang w:val="es-ES_tradnl"/>
        </w:rPr>
        <w:t>, antes de la entrada en vigencia del Decreto 1860 de 2021,</w:t>
      </w:r>
      <w:r w:rsidRPr="00DD5F33">
        <w:rPr>
          <w:rFonts w:ascii="Arial" w:eastAsia="Calibri" w:hAnsi="Arial" w:cs="Arial"/>
          <w:color w:val="000000" w:themeColor="text1"/>
          <w:sz w:val="22"/>
          <w:lang w:val="es-ES_tradnl"/>
        </w:rPr>
        <w:t xml:space="preserve"> exist</w:t>
      </w:r>
      <w:r w:rsidR="006C3886" w:rsidRPr="00DD5F33">
        <w:rPr>
          <w:rFonts w:ascii="Arial" w:eastAsia="Calibri" w:hAnsi="Arial" w:cs="Arial"/>
          <w:color w:val="000000" w:themeColor="text1"/>
          <w:sz w:val="22"/>
          <w:lang w:val="es-ES_tradnl"/>
        </w:rPr>
        <w:t>ía</w:t>
      </w:r>
      <w:r w:rsidRPr="00DD5F33">
        <w:rPr>
          <w:rFonts w:ascii="Arial" w:eastAsia="Calibri" w:hAnsi="Arial" w:cs="Arial"/>
          <w:color w:val="000000" w:themeColor="text1"/>
          <w:sz w:val="22"/>
          <w:lang w:val="es-ES_tradnl"/>
        </w:rPr>
        <w:t xml:space="preserve"> una </w:t>
      </w:r>
      <w:r w:rsidRPr="00DD5F33">
        <w:rPr>
          <w:rFonts w:ascii="Arial" w:eastAsia="Calibri" w:hAnsi="Arial" w:cs="Arial"/>
          <w:i/>
          <w:iCs/>
          <w:color w:val="000000" w:themeColor="text1"/>
          <w:sz w:val="22"/>
          <w:lang w:val="es-ES_tradnl"/>
        </w:rPr>
        <w:t>laguna técnica</w:t>
      </w:r>
      <w:r w:rsidRPr="00DD5F33">
        <w:rPr>
          <w:rFonts w:ascii="Arial" w:eastAsia="Calibri" w:hAnsi="Arial" w:cs="Arial"/>
          <w:color w:val="000000" w:themeColor="text1"/>
          <w:sz w:val="22"/>
          <w:lang w:val="es-ES_tradnl"/>
        </w:rPr>
        <w:t xml:space="preserve"> que imp</w:t>
      </w:r>
      <w:r w:rsidR="006C3886" w:rsidRPr="00DD5F33">
        <w:rPr>
          <w:rFonts w:ascii="Arial" w:eastAsia="Calibri" w:hAnsi="Arial" w:cs="Arial"/>
          <w:color w:val="000000" w:themeColor="text1"/>
          <w:sz w:val="22"/>
          <w:lang w:val="es-ES_tradnl"/>
        </w:rPr>
        <w:t>edía</w:t>
      </w:r>
      <w:r w:rsidRPr="00DD5F33">
        <w:rPr>
          <w:rFonts w:ascii="Arial" w:eastAsia="Calibri" w:hAnsi="Arial" w:cs="Arial"/>
          <w:color w:val="000000" w:themeColor="text1"/>
          <w:sz w:val="22"/>
          <w:lang w:val="es-ES_tradnl"/>
        </w:rPr>
        <w:t xml:space="preserve"> aplicar estas disposiciones</w:t>
      </w:r>
      <w:r w:rsidRPr="00DD5F33">
        <w:rPr>
          <w:rFonts w:ascii="Arial" w:eastAsia="Calibri" w:hAnsi="Arial" w:cs="Arial"/>
          <w:bCs/>
          <w:color w:val="000000" w:themeColor="text1"/>
          <w:sz w:val="22"/>
          <w:lang w:val="es-ES_tradnl"/>
        </w:rPr>
        <w:t xml:space="preserve">. </w:t>
      </w:r>
    </w:p>
    <w:p w14:paraId="07B77EBE" w14:textId="77777777" w:rsidR="00045E8A" w:rsidRPr="00DD5F33" w:rsidRDefault="00045E8A" w:rsidP="00045E8A">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mipymes y ii) las convocatorias limitadas </w:t>
      </w:r>
      <w:r w:rsidRPr="00DD5F33">
        <w:rPr>
          <w:rFonts w:ascii="Arial" w:eastAsia="Calibri" w:hAnsi="Arial" w:cs="Arial"/>
          <w:bCs/>
          <w:color w:val="000000" w:themeColor="text1"/>
          <w:sz w:val="22"/>
          <w:lang w:val="es-ES_tradnl"/>
        </w:rPr>
        <w:lastRenderedPageBreak/>
        <w:t>a mipymes, así como el fomento en la ejecución de los contratos estatales por parte de sujetos de especial protección</w:t>
      </w:r>
      <w:r w:rsidRPr="00DD5F33">
        <w:rPr>
          <w:rStyle w:val="Refdenotaalpie"/>
          <w:rFonts w:ascii="Arial" w:eastAsia="Calibri" w:hAnsi="Arial" w:cs="Arial"/>
          <w:color w:val="000000" w:themeColor="text1"/>
          <w:sz w:val="22"/>
          <w:lang w:val="es-ES_tradnl"/>
        </w:rPr>
        <w:footnoteReference w:id="13"/>
      </w:r>
      <w:r w:rsidRPr="00DD5F33">
        <w:rPr>
          <w:rFonts w:ascii="Arial" w:eastAsia="Calibri" w:hAnsi="Arial" w:cs="Arial"/>
          <w:bCs/>
          <w:color w:val="000000" w:themeColor="text1"/>
          <w:sz w:val="22"/>
          <w:lang w:val="es-ES_tradnl"/>
        </w:rPr>
        <w:t xml:space="preserve">. </w:t>
      </w:r>
    </w:p>
    <w:p w14:paraId="2585E96F" w14:textId="77777777" w:rsidR="00045E8A" w:rsidRPr="00DD5F33" w:rsidRDefault="00045E8A" w:rsidP="00045E8A">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DD5F33">
        <w:rPr>
          <w:rFonts w:ascii="Arial" w:eastAsia="Calibri" w:hAnsi="Arial" w:cs="Arial"/>
          <w:color w:val="000000" w:themeColor="text1"/>
          <w:sz w:val="22"/>
          <w:lang w:val="es-ES_tradnl"/>
        </w:rPr>
        <w:t>los artículos 31, 32, 34 y 36 de la Ley 2069 de 2020</w:t>
      </w:r>
      <w:r w:rsidRPr="00DD5F33">
        <w:rPr>
          <w:rFonts w:ascii="Arial" w:eastAsia="Calibri" w:hAnsi="Arial" w:cs="Arial"/>
          <w:bCs/>
          <w:color w:val="000000" w:themeColor="text1"/>
          <w:sz w:val="22"/>
          <w:lang w:val="es-ES_tradnl"/>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D5919D3" w14:textId="77777777" w:rsidR="00045E8A" w:rsidRPr="00DD5F33" w:rsidRDefault="00045E8A" w:rsidP="00045E8A">
      <w:pPr>
        <w:shd w:val="clear" w:color="auto" w:fill="FFFFFF"/>
        <w:spacing w:after="120"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Por tanto, </w:t>
      </w:r>
      <w:bookmarkStart w:id="10" w:name="_Hlk51668471"/>
      <w:r w:rsidRPr="00DD5F33">
        <w:rPr>
          <w:rFonts w:ascii="Arial" w:eastAsia="Calibri" w:hAnsi="Arial" w:cs="Arial"/>
          <w:bCs/>
          <w:color w:val="000000" w:themeColor="text1"/>
          <w:sz w:val="22"/>
          <w:lang w:val="es-ES_tradnl"/>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DD5F33">
        <w:rPr>
          <w:rStyle w:val="Refdenotaalpie"/>
          <w:rFonts w:ascii="Arial" w:eastAsia="Calibri" w:hAnsi="Arial" w:cs="Arial"/>
          <w:color w:val="000000" w:themeColor="text1"/>
          <w:sz w:val="22"/>
          <w:lang w:val="es-ES_tradnl"/>
        </w:rPr>
        <w:footnoteReference w:id="14"/>
      </w:r>
      <w:r w:rsidRPr="00DD5F33">
        <w:rPr>
          <w:rFonts w:ascii="Arial" w:eastAsia="Calibri" w:hAnsi="Arial" w:cs="Arial"/>
          <w:bCs/>
          <w:color w:val="000000" w:themeColor="text1"/>
          <w:sz w:val="22"/>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DD5F33">
        <w:rPr>
          <w:rStyle w:val="Refdenotaalpie"/>
          <w:rFonts w:ascii="Arial" w:eastAsia="Calibri" w:hAnsi="Arial" w:cs="Arial"/>
          <w:color w:val="000000" w:themeColor="text1"/>
          <w:sz w:val="22"/>
          <w:lang w:val="es-ES_tradnl"/>
        </w:rPr>
        <w:footnoteReference w:id="15"/>
      </w:r>
      <w:r w:rsidRPr="00DD5F33">
        <w:rPr>
          <w:rFonts w:ascii="Arial" w:eastAsia="Calibri" w:hAnsi="Arial" w:cs="Arial"/>
          <w:bCs/>
          <w:color w:val="000000" w:themeColor="text1"/>
          <w:sz w:val="22"/>
          <w:lang w:val="es-ES_tradnl"/>
        </w:rPr>
        <w:t>.</w:t>
      </w:r>
    </w:p>
    <w:p w14:paraId="09826E78" w14:textId="77777777" w:rsidR="006E68AE" w:rsidRPr="00DD5F33" w:rsidRDefault="00045E8A" w:rsidP="006E68AE">
      <w:pPr>
        <w:shd w:val="clear" w:color="auto" w:fill="FFFFFF"/>
        <w:spacing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En ese orden de ideas, es posible afirmar que</w:t>
      </w:r>
      <w:bookmarkEnd w:id="10"/>
      <w:r w:rsidRPr="00DD5F33">
        <w:rPr>
          <w:rFonts w:ascii="Arial" w:eastAsia="Calibri" w:hAnsi="Arial" w:cs="Arial"/>
          <w:bCs/>
          <w:color w:val="000000" w:themeColor="text1"/>
          <w:sz w:val="22"/>
          <w:lang w:val="es-ES_tradnl"/>
        </w:rPr>
        <w:t xml:space="preserve">, </w:t>
      </w:r>
      <w:bookmarkStart w:id="11" w:name="_Hlk63884107"/>
      <w:r w:rsidRPr="00DD5F33">
        <w:rPr>
          <w:rFonts w:ascii="Arial" w:eastAsia="Calibri" w:hAnsi="Arial" w:cs="Arial"/>
          <w:bCs/>
          <w:color w:val="000000" w:themeColor="text1"/>
          <w:sz w:val="22"/>
          <w:lang w:val="es-ES_tradnl"/>
        </w:rPr>
        <w:t xml:space="preserve">en </w:t>
      </w:r>
      <w:r w:rsidRPr="00DD5F33">
        <w:rPr>
          <w:rFonts w:ascii="Arial" w:eastAsia="Calibri" w:hAnsi="Arial" w:cs="Arial"/>
          <w:color w:val="000000" w:themeColor="text1"/>
          <w:sz w:val="22"/>
          <w:lang w:val="es-ES_tradnl"/>
        </w:rPr>
        <w:t>los artículos 31, 32, 34 y 36</w:t>
      </w:r>
      <w:r w:rsidRPr="00DD5F33">
        <w:rPr>
          <w:rFonts w:ascii="Arial" w:eastAsia="Calibri" w:hAnsi="Arial" w:cs="Arial"/>
          <w:bCs/>
          <w:color w:val="000000" w:themeColor="text1"/>
          <w:sz w:val="22"/>
          <w:lang w:val="es-ES_tradnl"/>
        </w:rPr>
        <w:t xml:space="preserve">, el Congreso de la República reconoce la necesidad de un reglamento para el efectivo cumplimiento de la </w:t>
      </w:r>
      <w:r w:rsidRPr="00DD5F33">
        <w:rPr>
          <w:rFonts w:ascii="Arial" w:eastAsia="Calibri" w:hAnsi="Arial" w:cs="Arial"/>
          <w:color w:val="000000" w:themeColor="text1"/>
          <w:sz w:val="22"/>
          <w:lang w:val="es-ES_tradnl"/>
        </w:rPr>
        <w:t>Ley 2069 de 2020</w:t>
      </w:r>
      <w:r w:rsidRPr="00DD5F33">
        <w:rPr>
          <w:rFonts w:ascii="Arial" w:eastAsia="Calibri" w:hAnsi="Arial" w:cs="Arial"/>
          <w:bCs/>
          <w:color w:val="000000" w:themeColor="text1"/>
          <w:sz w:val="22"/>
          <w:lang w:val="es-ES_tradnl"/>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bookmarkEnd w:id="11"/>
    </w:p>
    <w:p w14:paraId="2B73863C" w14:textId="311217B3" w:rsidR="009B3BCD" w:rsidRPr="00DD5F33" w:rsidRDefault="00045E8A" w:rsidP="006E68AE">
      <w:pPr>
        <w:shd w:val="clear" w:color="auto" w:fill="FFFFFF"/>
        <w:spacing w:before="120" w:line="276" w:lineRule="auto"/>
        <w:ind w:right="51" w:firstLine="709"/>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Actualmente, como se explicó, dicha reglamentación se efectuó, en lo que tiene relación con los artículos 30, 31, 32, 34 y 35 de la Ley 2069 de 2020, mediante el reciente Decreto 1860 del 24 de diciembre de 2021</w:t>
      </w:r>
      <w:r w:rsidR="00A60077" w:rsidRPr="00DD5F33">
        <w:rPr>
          <w:rFonts w:ascii="Arial" w:eastAsia="Calibri" w:hAnsi="Arial" w:cs="Arial"/>
          <w:bCs/>
          <w:color w:val="000000"/>
          <w:sz w:val="22"/>
          <w:szCs w:val="22"/>
          <w:lang w:val="es-ES_tradnl" w:eastAsia="en-US"/>
        </w:rPr>
        <w:t xml:space="preserve">, cuyas </w:t>
      </w:r>
      <w:r w:rsidRPr="00DD5F33">
        <w:rPr>
          <w:rFonts w:ascii="Arial" w:eastAsia="Calibri" w:hAnsi="Arial" w:cs="Arial"/>
          <w:bCs/>
          <w:color w:val="000000"/>
          <w:sz w:val="22"/>
          <w:szCs w:val="22"/>
          <w:lang w:val="es-ES_tradnl" w:eastAsia="en-US"/>
        </w:rPr>
        <w:t xml:space="preserve">disposiciones, </w:t>
      </w:r>
      <w:r w:rsidRPr="00DD5F33">
        <w:rPr>
          <w:rFonts w:ascii="Arial" w:eastAsia="Calibri" w:hAnsi="Arial" w:cs="Arial"/>
          <w:color w:val="000000"/>
          <w:sz w:val="22"/>
          <w:szCs w:val="22"/>
          <w:lang w:val="es-ES_tradnl" w:eastAsia="en-US"/>
        </w:rPr>
        <w:t xml:space="preserve">de acuerdo con su artículo </w:t>
      </w:r>
      <w:r w:rsidRPr="00DD5F33">
        <w:rPr>
          <w:rFonts w:ascii="Arial" w:eastAsia="Calibri" w:hAnsi="Arial" w:cs="Arial"/>
          <w:color w:val="000000"/>
          <w:sz w:val="22"/>
          <w:szCs w:val="22"/>
          <w:lang w:val="es-ES_tradnl" w:eastAsia="en-US"/>
        </w:rPr>
        <w:lastRenderedPageBreak/>
        <w:t xml:space="preserve">8, solo «aplicarán a los procedimientos de selección cuya invitación, aviso de convocatoria o documento equivalente se publique a los tres (3) meses contados a partir de su expedición», esto es, a partir del 24 de marzo de 2022. </w:t>
      </w:r>
      <w:r w:rsidR="00A60077" w:rsidRPr="00DD5F33">
        <w:rPr>
          <w:rFonts w:ascii="Arial" w:eastAsia="Calibri" w:hAnsi="Arial" w:cs="Arial"/>
          <w:color w:val="000000"/>
          <w:sz w:val="22"/>
          <w:szCs w:val="22"/>
          <w:lang w:val="es-ES_tradnl" w:eastAsia="en-US"/>
        </w:rPr>
        <w:t>En consecuencia, ya se encuentran vigentes.</w:t>
      </w:r>
    </w:p>
    <w:p w14:paraId="1E240E2A" w14:textId="54F87960" w:rsidR="006F4E65" w:rsidRPr="00DD5F33" w:rsidRDefault="006F4E65" w:rsidP="006E68AE">
      <w:pPr>
        <w:shd w:val="clear" w:color="auto" w:fill="FFFFFF"/>
        <w:spacing w:before="120" w:line="276" w:lineRule="auto"/>
        <w:ind w:right="51" w:firstLine="709"/>
        <w:jc w:val="both"/>
        <w:rPr>
          <w:rFonts w:ascii="Arial" w:eastAsia="Calibri" w:hAnsi="Arial" w:cs="Arial"/>
          <w:bCs/>
          <w:color w:val="000000" w:themeColor="text1"/>
          <w:sz w:val="22"/>
          <w:lang w:val="es-ES_tradnl"/>
        </w:rPr>
      </w:pPr>
      <w:r w:rsidRPr="00DD5F33">
        <w:rPr>
          <w:rFonts w:ascii="Arial" w:eastAsia="Calibri" w:hAnsi="Arial" w:cs="Arial"/>
          <w:color w:val="000000"/>
          <w:sz w:val="22"/>
          <w:szCs w:val="22"/>
          <w:lang w:val="es-ES_tradnl" w:eastAsia="en-US"/>
        </w:rPr>
        <w:t>A continuación</w:t>
      </w:r>
      <w:r w:rsidR="005C2A47" w:rsidRPr="00DD5F33">
        <w:rPr>
          <w:rFonts w:ascii="Arial" w:eastAsia="Calibri" w:hAnsi="Arial" w:cs="Arial"/>
          <w:color w:val="000000"/>
          <w:sz w:val="22"/>
          <w:szCs w:val="22"/>
          <w:lang w:val="es-ES_tradnl" w:eastAsia="en-US"/>
        </w:rPr>
        <w:t>,</w:t>
      </w:r>
      <w:r w:rsidRPr="00DD5F33">
        <w:rPr>
          <w:rFonts w:ascii="Arial" w:eastAsia="Calibri" w:hAnsi="Arial" w:cs="Arial"/>
          <w:color w:val="000000"/>
          <w:sz w:val="22"/>
          <w:szCs w:val="22"/>
          <w:lang w:val="es-ES_tradnl" w:eastAsia="en-US"/>
        </w:rPr>
        <w:t xml:space="preserve"> se analizarán </w:t>
      </w:r>
      <w:r w:rsidR="005C2A47" w:rsidRPr="00DD5F33">
        <w:rPr>
          <w:rFonts w:ascii="Arial" w:eastAsia="Calibri" w:hAnsi="Arial" w:cs="Arial"/>
          <w:color w:val="000000"/>
          <w:sz w:val="22"/>
          <w:szCs w:val="22"/>
          <w:lang w:val="es-ES_tradnl" w:eastAsia="en-US"/>
        </w:rPr>
        <w:t>algunos</w:t>
      </w:r>
      <w:r w:rsidRPr="00DD5F33">
        <w:rPr>
          <w:rFonts w:ascii="Arial" w:eastAsia="Calibri" w:hAnsi="Arial" w:cs="Arial"/>
          <w:color w:val="000000"/>
          <w:sz w:val="22"/>
          <w:szCs w:val="22"/>
          <w:lang w:val="es-ES_tradnl" w:eastAsia="en-US"/>
        </w:rPr>
        <w:t xml:space="preserve"> temas regulados en la Ley 2069 de 2020 y reglamentados por el </w:t>
      </w:r>
      <w:r w:rsidRPr="00DD5F33">
        <w:rPr>
          <w:rFonts w:ascii="Arial" w:eastAsia="Calibri" w:hAnsi="Arial" w:cs="Arial"/>
          <w:bCs/>
          <w:color w:val="000000"/>
          <w:sz w:val="22"/>
          <w:szCs w:val="22"/>
          <w:lang w:val="es-ES_tradnl" w:eastAsia="en-US"/>
        </w:rPr>
        <w:t xml:space="preserve">Decreto 1860, </w:t>
      </w:r>
      <w:r w:rsidR="002436E9" w:rsidRPr="00DD5F33">
        <w:rPr>
          <w:rFonts w:ascii="Arial" w:eastAsia="Calibri" w:hAnsi="Arial" w:cs="Arial"/>
          <w:bCs/>
          <w:color w:val="000000"/>
          <w:sz w:val="22"/>
          <w:szCs w:val="22"/>
          <w:lang w:val="es-ES_tradnl" w:eastAsia="en-US"/>
        </w:rPr>
        <w:t>sobre los cuales versan las preguntas formuladas en la consulta. En cada acápite la Agencia reiterará lo que ha señalado en relación con los enunciados normativos de la Ley en mención, desde el año 2020, introduciendo</w:t>
      </w:r>
      <w:r w:rsidR="005131D9" w:rsidRPr="00DD5F33">
        <w:rPr>
          <w:rFonts w:ascii="Arial" w:eastAsia="Calibri" w:hAnsi="Arial" w:cs="Arial"/>
          <w:bCs/>
          <w:color w:val="000000"/>
          <w:sz w:val="22"/>
          <w:szCs w:val="22"/>
          <w:lang w:val="es-ES_tradnl" w:eastAsia="en-US"/>
        </w:rPr>
        <w:t>,</w:t>
      </w:r>
      <w:r w:rsidR="002436E9" w:rsidRPr="00DD5F33">
        <w:rPr>
          <w:rFonts w:ascii="Arial" w:eastAsia="Calibri" w:hAnsi="Arial" w:cs="Arial"/>
          <w:bCs/>
          <w:color w:val="000000"/>
          <w:sz w:val="22"/>
          <w:szCs w:val="22"/>
          <w:lang w:val="es-ES_tradnl" w:eastAsia="en-US"/>
        </w:rPr>
        <w:t xml:space="preserve"> además</w:t>
      </w:r>
      <w:r w:rsidR="005131D9" w:rsidRPr="00DD5F33">
        <w:rPr>
          <w:rFonts w:ascii="Arial" w:eastAsia="Calibri" w:hAnsi="Arial" w:cs="Arial"/>
          <w:bCs/>
          <w:color w:val="000000"/>
          <w:sz w:val="22"/>
          <w:szCs w:val="22"/>
          <w:lang w:val="es-ES_tradnl" w:eastAsia="en-US"/>
        </w:rPr>
        <w:t>,</w:t>
      </w:r>
      <w:r w:rsidR="002436E9" w:rsidRPr="00DD5F33">
        <w:rPr>
          <w:rFonts w:ascii="Arial" w:eastAsia="Calibri" w:hAnsi="Arial" w:cs="Arial"/>
          <w:bCs/>
          <w:color w:val="000000"/>
          <w:sz w:val="22"/>
          <w:szCs w:val="22"/>
          <w:lang w:val="es-ES_tradnl" w:eastAsia="en-US"/>
        </w:rPr>
        <w:t xml:space="preserve"> algunos comentarios sobre la interpretación de las nuevas disposiciones contenidas en el Decreto 1860 de 2021, a partir de las inquie</w:t>
      </w:r>
      <w:r w:rsidR="005C2A47" w:rsidRPr="00DD5F33">
        <w:rPr>
          <w:rFonts w:ascii="Arial" w:eastAsia="Calibri" w:hAnsi="Arial" w:cs="Arial"/>
          <w:bCs/>
          <w:color w:val="000000"/>
          <w:sz w:val="22"/>
          <w:szCs w:val="22"/>
          <w:lang w:val="es-ES_tradnl" w:eastAsia="en-US"/>
        </w:rPr>
        <w:t xml:space="preserve">tudes </w:t>
      </w:r>
      <w:r w:rsidR="005131D9" w:rsidRPr="00DD5F33">
        <w:rPr>
          <w:rFonts w:ascii="Arial" w:eastAsia="Calibri" w:hAnsi="Arial" w:cs="Arial"/>
          <w:bCs/>
          <w:color w:val="000000"/>
          <w:sz w:val="22"/>
          <w:szCs w:val="22"/>
          <w:lang w:val="es-ES_tradnl" w:eastAsia="en-US"/>
        </w:rPr>
        <w:t>expresadas</w:t>
      </w:r>
      <w:r w:rsidR="005C2A47" w:rsidRPr="00DD5F33">
        <w:rPr>
          <w:rFonts w:ascii="Arial" w:eastAsia="Calibri" w:hAnsi="Arial" w:cs="Arial"/>
          <w:bCs/>
          <w:color w:val="000000"/>
          <w:sz w:val="22"/>
          <w:szCs w:val="22"/>
          <w:lang w:val="es-ES_tradnl" w:eastAsia="en-US"/>
        </w:rPr>
        <w:t xml:space="preserve"> en la petición.</w:t>
      </w:r>
    </w:p>
    <w:p w14:paraId="222D791C" w14:textId="77777777" w:rsidR="004B2B14" w:rsidRPr="00DD5F33" w:rsidRDefault="004B2B14" w:rsidP="004B2B14">
      <w:pPr>
        <w:rPr>
          <w:rFonts w:eastAsia="Calibri"/>
          <w:lang w:val="es-ES_tradnl"/>
        </w:rPr>
      </w:pPr>
    </w:p>
    <w:p w14:paraId="09F16FFC" w14:textId="4911C14B" w:rsidR="009B3BCD" w:rsidRPr="00DD5F33" w:rsidRDefault="00E46111" w:rsidP="00B03965">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3</w:t>
      </w:r>
      <w:r w:rsidRPr="00DD5F33">
        <w:rPr>
          <w:rFonts w:ascii="Arial" w:eastAsia="Calibri" w:hAnsi="Arial" w:cs="Arial"/>
          <w:b/>
          <w:color w:val="000000" w:themeColor="text1"/>
          <w:sz w:val="22"/>
          <w:lang w:val="es-ES_tradnl"/>
        </w:rPr>
        <w:t xml:space="preserve">. </w:t>
      </w:r>
      <w:r w:rsidR="00E709EC" w:rsidRPr="00DD5F33">
        <w:rPr>
          <w:rFonts w:ascii="Arial" w:eastAsia="Calibri" w:hAnsi="Arial" w:cs="Arial"/>
          <w:b/>
          <w:color w:val="000000"/>
          <w:sz w:val="22"/>
          <w:szCs w:val="22"/>
          <w:lang w:val="es-ES_tradnl" w:eastAsia="en-US"/>
        </w:rPr>
        <w:t xml:space="preserve">Eficacia directa del artículo 30 de la Ley 2069 de 2020: regulación de la mínima cuantía y vigencia del procedimiento previsto en el Decreto 1082 de 2015, </w:t>
      </w:r>
      <w:r w:rsidR="00F4050C" w:rsidRPr="00DD5F33">
        <w:rPr>
          <w:rFonts w:ascii="Arial" w:eastAsia="Calibri" w:hAnsi="Arial" w:cs="Arial"/>
          <w:b/>
          <w:color w:val="000000"/>
          <w:sz w:val="22"/>
          <w:szCs w:val="22"/>
          <w:lang w:val="es-ES_tradnl" w:eastAsia="en-US"/>
        </w:rPr>
        <w:t xml:space="preserve">incluso </w:t>
      </w:r>
      <w:r w:rsidR="00E709EC" w:rsidRPr="00DD5F33">
        <w:rPr>
          <w:rFonts w:ascii="Arial" w:eastAsia="Calibri" w:hAnsi="Arial" w:cs="Arial"/>
          <w:b/>
          <w:color w:val="000000"/>
          <w:sz w:val="22"/>
          <w:szCs w:val="22"/>
          <w:lang w:val="es-ES_tradnl" w:eastAsia="en-US"/>
        </w:rPr>
        <w:t>antes de la modificación realizada por el Decreto 1860 del 24 de diciembre de 2021</w:t>
      </w:r>
    </w:p>
    <w:p w14:paraId="07E763A9" w14:textId="77777777" w:rsidR="00045A95" w:rsidRPr="00DD5F33" w:rsidRDefault="00045A95" w:rsidP="00045A95">
      <w:pPr>
        <w:tabs>
          <w:tab w:val="left" w:pos="709"/>
        </w:tabs>
        <w:spacing w:line="276" w:lineRule="auto"/>
        <w:jc w:val="both"/>
        <w:rPr>
          <w:rFonts w:ascii="Arial" w:eastAsia="Calibri" w:hAnsi="Arial" w:cs="Arial"/>
          <w:bCs/>
          <w:color w:val="000000"/>
          <w:sz w:val="22"/>
          <w:szCs w:val="22"/>
          <w:lang w:val="es-ES_tradnl" w:eastAsia="en-US"/>
        </w:rPr>
      </w:pPr>
    </w:p>
    <w:p w14:paraId="52E70896"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Con la finalidad de explicar el régimen jurídico vigente aplicable a la modalidad de mínima cuantía, en este numeral se hará referencia a las normas del Decreto 1082 de 2015 que la regulan, antes de la reciente expedición del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De esta manera, se reitera la advertencia en el sentido de que las referencias que se harán al Decreto 1082 de 2015 se entenderán antes de las modificaciones realizadas por el Decreto 1860. </w:t>
      </w:r>
    </w:p>
    <w:p w14:paraId="04413332" w14:textId="2F63DF92"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Este esquema de análisis resulta procedente, toda vez, que de acuerdo con el Decreto 1860 de 2021</w:t>
      </w:r>
      <w:r w:rsidR="001522B7"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las disposiciones contenidas en dicho reglamento aplicarán a los procedimientos de selección cuya invitación, aviso de convocatoria o documento equivalente se publique a los tres (3) meses contados a partir de su expedición. En tal sentido, tratándose de los procesos de mínima cuantía, dichas modificaciones </w:t>
      </w:r>
      <w:r w:rsidR="00F4050C" w:rsidRPr="00DD5F33">
        <w:rPr>
          <w:rFonts w:ascii="Arial" w:eastAsia="Calibri" w:hAnsi="Arial" w:cs="Arial"/>
          <w:bCs/>
          <w:color w:val="000000"/>
          <w:sz w:val="22"/>
          <w:szCs w:val="22"/>
          <w:lang w:val="es-ES_tradnl" w:eastAsia="en-US"/>
        </w:rPr>
        <w:t>tienen</w:t>
      </w:r>
      <w:r w:rsidRPr="00DD5F33">
        <w:rPr>
          <w:rFonts w:ascii="Arial" w:eastAsia="Calibri" w:hAnsi="Arial" w:cs="Arial"/>
          <w:bCs/>
          <w:color w:val="000000"/>
          <w:sz w:val="22"/>
          <w:szCs w:val="22"/>
          <w:lang w:val="es-ES_tradnl" w:eastAsia="en-US"/>
        </w:rPr>
        <w:t xml:space="preserve"> efectos en los procesos cuya invitación se </w:t>
      </w:r>
      <w:r w:rsidR="00F4050C" w:rsidRPr="00DD5F33">
        <w:rPr>
          <w:rFonts w:ascii="Arial" w:eastAsia="Calibri" w:hAnsi="Arial" w:cs="Arial"/>
          <w:bCs/>
          <w:color w:val="000000"/>
          <w:sz w:val="22"/>
          <w:szCs w:val="22"/>
          <w:lang w:val="es-ES_tradnl" w:eastAsia="en-US"/>
        </w:rPr>
        <w:t>haya publicado</w:t>
      </w:r>
      <w:r w:rsidRPr="00DD5F33">
        <w:rPr>
          <w:rFonts w:ascii="Arial" w:eastAsia="Calibri" w:hAnsi="Arial" w:cs="Arial"/>
          <w:bCs/>
          <w:color w:val="000000"/>
          <w:sz w:val="22"/>
          <w:szCs w:val="22"/>
          <w:lang w:val="es-ES_tradnl" w:eastAsia="en-US"/>
        </w:rPr>
        <w:t xml:space="preserve"> a partir del 24 de marzo de 2022. Hecha la anterior precisión, a continuación, se explicará cuál es el régimen vigente en la actualidad, reiterando la interpretación realizada por la Agencia en conceptos anteriores</w:t>
      </w:r>
      <w:r w:rsidRPr="00DD5F33">
        <w:rPr>
          <w:rFonts w:ascii="Arial" w:eastAsia="Calibri" w:hAnsi="Arial" w:cs="Arial"/>
          <w:bCs/>
          <w:color w:val="000000"/>
          <w:sz w:val="22"/>
          <w:szCs w:val="22"/>
          <w:vertAlign w:val="superscript"/>
          <w:lang w:val="es-ES_tradnl" w:eastAsia="en-US"/>
        </w:rPr>
        <w:footnoteReference w:id="16"/>
      </w:r>
      <w:r w:rsidRPr="00DD5F33">
        <w:rPr>
          <w:rFonts w:ascii="Arial" w:eastAsia="Calibri" w:hAnsi="Arial" w:cs="Arial"/>
          <w:bCs/>
          <w:color w:val="000000"/>
          <w:sz w:val="22"/>
          <w:szCs w:val="22"/>
          <w:lang w:val="es-ES_tradnl" w:eastAsia="en-US"/>
        </w:rPr>
        <w:t>.</w:t>
      </w:r>
    </w:p>
    <w:p w14:paraId="5455AA54"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ab/>
        <w:t xml:space="preserve">El artículo 30 de la Ley 2069 de 2020 modifica el numeral 5 del artículo 2 de la Ley 1150 de 2007, el cual regula la mínima cuantía. En esta modalidad de selección, la entidad </w:t>
      </w:r>
      <w:r w:rsidRPr="00DD5F33">
        <w:rPr>
          <w:rFonts w:ascii="Arial" w:eastAsia="Calibri" w:hAnsi="Arial" w:cs="Arial"/>
          <w:bCs/>
          <w:color w:val="000000"/>
          <w:sz w:val="22"/>
          <w:szCs w:val="22"/>
          <w:lang w:val="es-ES_tradnl" w:eastAsia="en-US"/>
        </w:rPr>
        <w:lastRenderedPageBreak/>
        <w:t xml:space="preserve">estatal realiza una convocatoria pública para recibir ofertas de bienes o servicios cuyo valor no excede el diez por ciento –10%– de la menor cuantía. Fue creada por el artículo 274 de la Ley 1450 de 2011 y modificada por </w:t>
      </w:r>
      <w:bookmarkStart w:id="12" w:name="_Hlk69566698"/>
      <w:r w:rsidRPr="00DD5F33">
        <w:rPr>
          <w:rFonts w:ascii="Arial" w:eastAsia="Calibri" w:hAnsi="Arial" w:cs="Arial"/>
          <w:bCs/>
          <w:color w:val="000000"/>
          <w:sz w:val="22"/>
          <w:szCs w:val="22"/>
          <w:lang w:val="es-ES_tradnl" w:eastAsia="en-US"/>
        </w:rPr>
        <w:t>el artículo 94 de la Ley 1474 de 2011</w:t>
      </w:r>
      <w:bookmarkEnd w:id="12"/>
      <w:r w:rsidRPr="00DD5F33">
        <w:rPr>
          <w:rFonts w:ascii="Arial" w:eastAsia="Calibri" w:hAnsi="Arial" w:cs="Arial"/>
          <w:bCs/>
          <w:color w:val="000000"/>
          <w:sz w:val="22"/>
          <w:szCs w:val="22"/>
          <w:lang w:val="es-ES_tradnl" w:eastAsia="en-US"/>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DD5F33">
        <w:rPr>
          <w:rFonts w:ascii="Arial" w:eastAsia="Calibri" w:hAnsi="Arial" w:cs="Arial"/>
          <w:bCs/>
          <w:color w:val="000000"/>
          <w:sz w:val="22"/>
          <w:szCs w:val="22"/>
          <w:vertAlign w:val="superscript"/>
          <w:lang w:val="es-ES_tradnl" w:eastAsia="en-US"/>
        </w:rPr>
        <w:footnoteReference w:id="17"/>
      </w:r>
      <w:r w:rsidRPr="00DD5F33">
        <w:rPr>
          <w:rFonts w:ascii="Arial" w:eastAsia="Calibri" w:hAnsi="Arial" w:cs="Arial"/>
          <w:bCs/>
          <w:color w:val="000000"/>
          <w:sz w:val="22"/>
          <w:szCs w:val="22"/>
          <w:lang w:val="es-ES_tradnl" w:eastAsia="en-US"/>
        </w:rPr>
        <w:t>.</w:t>
      </w:r>
    </w:p>
    <w:p w14:paraId="757435F3"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En esencia, el artículo 30 de la Ley 2069 de 2020 conserva a grandes rasgos el procedimiento previsto en el derogado artículo 94 de la Ley 1474 de 2011, el cual define los aspectos generales del procedimiento contractual</w:t>
      </w:r>
      <w:r w:rsidRPr="00DD5F33">
        <w:rPr>
          <w:rFonts w:ascii="Arial" w:eastAsia="Calibri" w:hAnsi="Arial" w:cs="Arial"/>
          <w:bCs/>
          <w:color w:val="000000"/>
          <w:sz w:val="22"/>
          <w:szCs w:val="22"/>
          <w:vertAlign w:val="superscript"/>
          <w:lang w:val="es-ES_tradnl" w:eastAsia="en-US"/>
        </w:rPr>
        <w:footnoteReference w:id="18"/>
      </w:r>
      <w:r w:rsidRPr="00DD5F33">
        <w:rPr>
          <w:rFonts w:ascii="Arial" w:eastAsia="Calibri" w:hAnsi="Arial" w:cs="Arial"/>
          <w:bCs/>
          <w:color w:val="000000"/>
          <w:sz w:val="22"/>
          <w:szCs w:val="22"/>
          <w:lang w:val="es-ES_tradnl" w:eastAsia="en-US"/>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DD5F33">
        <w:rPr>
          <w:rFonts w:ascii="Arial" w:eastAsia="Calibri" w:hAnsi="Arial" w:cs="Arial"/>
          <w:bCs/>
          <w:i/>
          <w:iCs/>
          <w:color w:val="000000"/>
          <w:sz w:val="22"/>
          <w:szCs w:val="22"/>
          <w:lang w:val="es-ES_tradnl" w:eastAsia="en-US"/>
        </w:rPr>
        <w:t>a Mipymes</w:t>
      </w:r>
      <w:r w:rsidRPr="00DD5F33">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06469887"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Esta modificación es importante, pues antes de la Ley de Emprendimiento era imposible limitar a mipymes la mínima cuantía, especialmente, cuando el artículo 94 la Ley 1474 de 2011 disponía que no era aplicable la Ley 816 de 2003, «Por medio de la cual se apoya a la industria nacional a través de la contratación pública</w:t>
      </w:r>
      <w:r w:rsidRPr="00DD5F33">
        <w:rPr>
          <w:rFonts w:ascii="Arial" w:eastAsia="Calibri" w:hAnsi="Arial" w:cs="Arial"/>
          <w:color w:val="000000"/>
          <w:sz w:val="22"/>
          <w:szCs w:val="22"/>
          <w:lang w:val="es-ES_tradnl" w:eastAsia="en-US"/>
        </w:rPr>
        <w:t xml:space="preserve">», ni </w:t>
      </w:r>
      <w:r w:rsidRPr="00DD5F33">
        <w:rPr>
          <w:rFonts w:ascii="Arial" w:eastAsia="Calibri" w:hAnsi="Arial" w:cs="Arial"/>
          <w:bCs/>
          <w:color w:val="000000"/>
          <w:sz w:val="22"/>
          <w:szCs w:val="22"/>
          <w:lang w:val="es-ES_tradnl" w:eastAsia="en-US"/>
        </w:rPr>
        <w:t xml:space="preserve">el artículo 12 de la Ley </w:t>
      </w:r>
      <w:r w:rsidRPr="00DD5F33">
        <w:rPr>
          <w:rFonts w:ascii="Arial" w:eastAsia="Calibri" w:hAnsi="Arial" w:cs="Arial"/>
          <w:bCs/>
          <w:color w:val="000000"/>
          <w:sz w:val="22"/>
          <w:szCs w:val="22"/>
          <w:lang w:val="es-ES_tradnl" w:eastAsia="en-US"/>
        </w:rPr>
        <w:lastRenderedPageBreak/>
        <w:t>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mipymes en esta modalidad de selección.</w:t>
      </w:r>
    </w:p>
    <w:p w14:paraId="5D562039" w14:textId="2E1F5DC4"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Como se observa, el parágrafo 1 del artículo 30 de la Ley 2069 de 2020 dispone que el reglamento es importante para regular: i) las «particularidades del procedimiento de selección» y ii) la posibilidad de realizar estas adquisiciones a mipymes o establecimientos que correspondan a la definición de «gran almacén», desarrollos que se realizaron mediante el Decreto 1860 del 24 de diciembre de 2021, pero que solo resulta aplicable para los procesos de mínima cuantía, cuya invitación se </w:t>
      </w:r>
      <w:r w:rsidR="001D58B9" w:rsidRPr="00DD5F33">
        <w:rPr>
          <w:rFonts w:ascii="Arial" w:eastAsia="Calibri" w:hAnsi="Arial" w:cs="Arial"/>
          <w:bCs/>
          <w:color w:val="000000"/>
          <w:sz w:val="22"/>
          <w:szCs w:val="22"/>
          <w:lang w:val="es-ES_tradnl" w:eastAsia="en-US"/>
        </w:rPr>
        <w:t>publicó</w:t>
      </w:r>
      <w:r w:rsidRPr="00DD5F33">
        <w:rPr>
          <w:rFonts w:ascii="Arial" w:eastAsia="Calibri" w:hAnsi="Arial" w:cs="Arial"/>
          <w:bCs/>
          <w:color w:val="000000"/>
          <w:sz w:val="22"/>
          <w:szCs w:val="22"/>
          <w:lang w:val="es-ES_tradnl" w:eastAsia="en-US"/>
        </w:rPr>
        <w:t xml:space="preserve"> a partir del 24 de marzo de 2022. No obstante, mientras </w:t>
      </w:r>
      <w:r w:rsidR="00A0144E" w:rsidRPr="00DD5F33">
        <w:rPr>
          <w:rFonts w:ascii="Arial" w:eastAsia="Calibri" w:hAnsi="Arial" w:cs="Arial"/>
          <w:bCs/>
          <w:color w:val="000000"/>
          <w:sz w:val="22"/>
          <w:szCs w:val="22"/>
          <w:lang w:val="es-ES_tradnl" w:eastAsia="en-US"/>
        </w:rPr>
        <w:t>empezaran</w:t>
      </w:r>
      <w:r w:rsidRPr="00DD5F33">
        <w:rPr>
          <w:rFonts w:ascii="Arial" w:eastAsia="Calibri" w:hAnsi="Arial" w:cs="Arial"/>
          <w:bCs/>
          <w:color w:val="000000"/>
          <w:sz w:val="22"/>
          <w:szCs w:val="22"/>
          <w:lang w:val="es-ES_tradnl" w:eastAsia="en-US"/>
        </w:rPr>
        <w:t xml:space="preserve"> a regir las disposiciones del Decreto 1860 de 2021, ¿era necesario el desarrollo normativo para la vigencia de la mínima cuantía? En principio, la respuesta positiva a esta inquietud se fundamentaría en la necesidad de que el reglamento precis</w:t>
      </w:r>
      <w:r w:rsidR="00D338F9" w:rsidRPr="00DD5F33">
        <w:rPr>
          <w:rFonts w:ascii="Arial" w:eastAsia="Calibri" w:hAnsi="Arial" w:cs="Arial"/>
          <w:bCs/>
          <w:color w:val="000000"/>
          <w:sz w:val="22"/>
          <w:szCs w:val="22"/>
          <w:lang w:val="es-ES_tradnl" w:eastAsia="en-US"/>
        </w:rPr>
        <w:t>ara</w:t>
      </w:r>
      <w:r w:rsidRPr="00DD5F33">
        <w:rPr>
          <w:rFonts w:ascii="Arial" w:eastAsia="Calibri" w:hAnsi="Arial" w:cs="Arial"/>
          <w:bCs/>
          <w:color w:val="000000"/>
          <w:sz w:val="22"/>
          <w:szCs w:val="22"/>
          <w:lang w:val="es-ES_tradnl" w:eastAsia="en-US"/>
        </w:rPr>
        <w:t xml:space="preserve"> los detalles del procedimiento de selección.</w:t>
      </w:r>
    </w:p>
    <w:p w14:paraId="4C1F18DA"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DD5F33">
        <w:rPr>
          <w:rFonts w:ascii="Arial" w:eastAsia="Calibri" w:hAnsi="Arial" w:cs="Arial"/>
          <w:bCs/>
          <w:color w:val="000000"/>
          <w:sz w:val="22"/>
          <w:szCs w:val="22"/>
          <w:vertAlign w:val="superscript"/>
          <w:lang w:val="es-ES_tradnl" w:eastAsia="en-US"/>
        </w:rPr>
        <w:footnoteReference w:id="19"/>
      </w:r>
      <w:r w:rsidRPr="00DD5F33">
        <w:rPr>
          <w:rFonts w:ascii="Arial" w:eastAsia="Calibri" w:hAnsi="Arial" w:cs="Arial"/>
          <w:bCs/>
          <w:color w:val="000000"/>
          <w:sz w:val="22"/>
          <w:szCs w:val="22"/>
          <w:lang w:val="es-ES_tradnl" w:eastAsia="en-US"/>
        </w:rPr>
        <w:t xml:space="preserve">. </w:t>
      </w:r>
    </w:p>
    <w:p w14:paraId="60093D7B" w14:textId="141FFB04" w:rsidR="00045A95" w:rsidRPr="00DD5F33" w:rsidRDefault="00045A95" w:rsidP="00045A95">
      <w:pPr>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Por tanto, dado que </w:t>
      </w:r>
      <w:bookmarkStart w:id="13" w:name="_Hlk69400380"/>
      <w:r w:rsidRPr="00DD5F33">
        <w:rPr>
          <w:rFonts w:ascii="Arial" w:eastAsia="Calibri" w:hAnsi="Arial" w:cs="Arial"/>
          <w:bCs/>
          <w:color w:val="000000"/>
          <w:sz w:val="22"/>
          <w:szCs w:val="22"/>
          <w:lang w:val="es-ES_tradnl" w:eastAsia="en-US"/>
        </w:rPr>
        <w:t>el artículo 30 de la Ley 2069 de 2020</w:t>
      </w:r>
      <w:bookmarkEnd w:id="13"/>
      <w:r w:rsidRPr="00DD5F33">
        <w:rPr>
          <w:rFonts w:ascii="Arial" w:eastAsia="Calibri" w:hAnsi="Arial" w:cs="Arial"/>
          <w:bCs/>
          <w:color w:val="000000"/>
          <w:sz w:val="22"/>
          <w:szCs w:val="22"/>
          <w:lang w:val="es-ES_tradnl" w:eastAsia="en-US"/>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w:t>
      </w:r>
      <w:r w:rsidR="00D338F9" w:rsidRPr="00DD5F33">
        <w:rPr>
          <w:rFonts w:ascii="Arial" w:eastAsia="Calibri" w:hAnsi="Arial" w:cs="Arial"/>
          <w:bCs/>
          <w:color w:val="000000"/>
          <w:sz w:val="22"/>
          <w:szCs w:val="22"/>
          <w:lang w:val="es-ES_tradnl" w:eastAsia="en-US"/>
        </w:rPr>
        <w:t>debían</w:t>
      </w:r>
      <w:r w:rsidRPr="00DD5F33">
        <w:rPr>
          <w:rFonts w:ascii="Arial" w:eastAsia="Calibri" w:hAnsi="Arial" w:cs="Arial"/>
          <w:bCs/>
          <w:color w:val="000000"/>
          <w:sz w:val="22"/>
          <w:szCs w:val="22"/>
          <w:lang w:val="es-ES_tradnl" w:eastAsia="en-US"/>
        </w:rPr>
        <w:t xml:space="preserve"> estructurar sus procedimientos de selección de acuerdo con estos parámetros, los cuales tienen una aplicación inmediata sin que el reglamento condicione su vigencia efectiva. En otras palabras, la mínima cuantía es directamente aplicable, sin perjuicio de que a través del ejercicio de la potestad reglamentaria se desarrolle específicamente la «Singularidad, especialidad e individualidad» del trámite, así como la realización de estas adquisiciones a mipymes o establecimientos que correspondan a la definición de «gran almacén», lo cual se realizó mediante el Decreto 1860 del 24 de diciembre de 2021, pero que solo resulta aplicable para los procesos de mínima cuantía, cuya invitación se </w:t>
      </w:r>
      <w:r w:rsidR="00611142" w:rsidRPr="00DD5F33">
        <w:rPr>
          <w:rFonts w:ascii="Arial" w:eastAsia="Calibri" w:hAnsi="Arial" w:cs="Arial"/>
          <w:bCs/>
          <w:color w:val="000000"/>
          <w:sz w:val="22"/>
          <w:szCs w:val="22"/>
          <w:lang w:val="es-ES_tradnl" w:eastAsia="en-US"/>
        </w:rPr>
        <w:t>haya publicado</w:t>
      </w:r>
      <w:r w:rsidRPr="00DD5F33">
        <w:rPr>
          <w:rFonts w:ascii="Arial" w:eastAsia="Calibri" w:hAnsi="Arial" w:cs="Arial"/>
          <w:bCs/>
          <w:color w:val="000000"/>
          <w:sz w:val="22"/>
          <w:szCs w:val="22"/>
          <w:lang w:val="es-ES_tradnl" w:eastAsia="en-US"/>
        </w:rPr>
        <w:t xml:space="preserve"> a partir del 24 de marzo </w:t>
      </w:r>
      <w:r w:rsidRPr="00DD5F33">
        <w:rPr>
          <w:rFonts w:ascii="Arial" w:eastAsia="Calibri" w:hAnsi="Arial" w:cs="Arial"/>
          <w:bCs/>
          <w:color w:val="000000"/>
          <w:sz w:val="22"/>
          <w:szCs w:val="22"/>
          <w:lang w:val="es-ES_tradnl" w:eastAsia="en-US"/>
        </w:rPr>
        <w:lastRenderedPageBreak/>
        <w:t>de 2022.</w:t>
      </w:r>
      <w:r w:rsidRPr="00DD5F33">
        <w:rPr>
          <w:rFonts w:ascii="Arial" w:eastAsia="Calibri" w:hAnsi="Arial" w:cs="Arial"/>
          <w:color w:val="000000"/>
          <w:sz w:val="22"/>
          <w:szCs w:val="22"/>
          <w:lang w:val="es-ES_tradnl" w:eastAsia="en-US"/>
        </w:rPr>
        <w:t xml:space="preserve"> </w:t>
      </w:r>
      <w:bookmarkStart w:id="14" w:name="_Hlk69580333"/>
      <w:r w:rsidRPr="00DD5F33">
        <w:rPr>
          <w:rFonts w:ascii="Arial" w:eastAsia="Calibri" w:hAnsi="Arial" w:cs="Arial"/>
          <w:color w:val="000000"/>
          <w:sz w:val="22"/>
          <w:szCs w:val="22"/>
          <w:lang w:val="es-ES_tradnl" w:eastAsia="en-US"/>
        </w:rPr>
        <w:t xml:space="preserve">Teniendo en cuenta lo anterior, bajo el marco jurídico actual es posible afirmar que el artículo 30 de la Ley 2069 de 2020 </w:t>
      </w:r>
      <w:bookmarkStart w:id="15" w:name="_Hlk69396275"/>
      <w:r w:rsidRPr="00DD5F33">
        <w:rPr>
          <w:rFonts w:ascii="Arial" w:eastAsia="Calibri" w:hAnsi="Arial" w:cs="Arial"/>
          <w:color w:val="000000"/>
          <w:sz w:val="22"/>
          <w:szCs w:val="22"/>
          <w:lang w:val="es-ES_tradnl" w:eastAsia="en-US"/>
        </w:rPr>
        <w:t>sustituyó el contenido del numeral 5, del artículo 2 de la Ley 1150 de 2007</w:t>
      </w:r>
      <w:bookmarkEnd w:id="15"/>
      <w:r w:rsidRPr="00DD5F33">
        <w:rPr>
          <w:rFonts w:ascii="Arial" w:eastAsia="Calibri" w:hAnsi="Arial" w:cs="Arial"/>
          <w:color w:val="000000"/>
          <w:sz w:val="22"/>
          <w:szCs w:val="22"/>
          <w:lang w:val="es-ES_tradnl" w:eastAsia="en-US"/>
        </w:rPr>
        <w:t xml:space="preserve">. </w:t>
      </w:r>
    </w:p>
    <w:p w14:paraId="5D88932A" w14:textId="499BCC1E" w:rsidR="00045A95" w:rsidRPr="00DD5F33" w:rsidRDefault="00045A95" w:rsidP="00045A95">
      <w:pPr>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r>
      <w:r w:rsidR="00611142" w:rsidRPr="00DD5F33">
        <w:rPr>
          <w:rFonts w:ascii="Arial" w:eastAsia="Calibri" w:hAnsi="Arial" w:cs="Arial"/>
          <w:color w:val="000000"/>
          <w:sz w:val="22"/>
          <w:szCs w:val="22"/>
          <w:lang w:val="es-ES_tradnl" w:eastAsia="en-US"/>
        </w:rPr>
        <w:t>Es importante</w:t>
      </w:r>
      <w:r w:rsidRPr="00DD5F33">
        <w:rPr>
          <w:rFonts w:ascii="Arial" w:eastAsia="Calibri" w:hAnsi="Arial" w:cs="Arial"/>
          <w:color w:val="000000"/>
          <w:sz w:val="22"/>
          <w:szCs w:val="22"/>
          <w:lang w:val="es-ES_tradnl" w:eastAsia="en-US"/>
        </w:rPr>
        <w:t xml:space="preserve"> precisar</w:t>
      </w:r>
      <w:r w:rsidR="00611142" w:rsidRPr="00DD5F33">
        <w:rPr>
          <w:rFonts w:ascii="Arial" w:eastAsia="Calibri" w:hAnsi="Arial" w:cs="Arial"/>
          <w:color w:val="000000"/>
          <w:sz w:val="22"/>
          <w:szCs w:val="22"/>
          <w:lang w:val="es-ES_tradnl" w:eastAsia="en-US"/>
        </w:rPr>
        <w:t>, por tanto,</w:t>
      </w:r>
      <w:r w:rsidRPr="00DD5F33">
        <w:rPr>
          <w:rFonts w:ascii="Arial" w:eastAsia="Calibri" w:hAnsi="Arial" w:cs="Arial"/>
          <w:color w:val="000000"/>
          <w:sz w:val="22"/>
          <w:szCs w:val="22"/>
          <w:lang w:val="es-ES_tradnl" w:eastAsia="en-US"/>
        </w:rPr>
        <w:t xml:space="preserve"> si con el artículo 30 de la Ley 2069 de 2020 están vigentes los artículos originales 2.2.1.2.1.5.1 al 2.2.1.2.1.5.4 del Decreto 1082 de 2015, que regulan el procedimiento de la mínima cuantía en el Decreto Único Reglamentario del Sector Administrativo de Planeación Nacional, mientras entra</w:t>
      </w:r>
      <w:r w:rsidR="00A95011" w:rsidRPr="00DD5F33">
        <w:rPr>
          <w:rFonts w:ascii="Arial" w:eastAsia="Calibri" w:hAnsi="Arial" w:cs="Arial"/>
          <w:color w:val="000000"/>
          <w:sz w:val="22"/>
          <w:szCs w:val="22"/>
          <w:lang w:val="es-ES_tradnl" w:eastAsia="en-US"/>
        </w:rPr>
        <w:t>ban</w:t>
      </w:r>
      <w:r w:rsidRPr="00DD5F33">
        <w:rPr>
          <w:rFonts w:ascii="Arial" w:eastAsia="Calibri" w:hAnsi="Arial" w:cs="Arial"/>
          <w:color w:val="000000"/>
          <w:sz w:val="22"/>
          <w:szCs w:val="22"/>
          <w:lang w:val="es-ES_tradnl" w:eastAsia="en-US"/>
        </w:rPr>
        <w:t xml:space="preserve"> a regir las modificaciones realizadas por el Decreto 1860 del 24 de diciembre de 2021. En otras palabras, ¿la modificación de la Ley de Emprendimiento en la mínima cuantía supuso la desaparición del fundamento jurídico de los artículos originales del decreto 1082 de 2015 –antes de la modificación realizada por el Decreto 1860–? </w:t>
      </w:r>
    </w:p>
    <w:p w14:paraId="5B829948" w14:textId="2EDCDC36" w:rsidR="00045A95" w:rsidRPr="00DD5F33" w:rsidRDefault="00045A95" w:rsidP="00045A95">
      <w:pPr>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t xml:space="preserve">En principio, dado que </w:t>
      </w:r>
      <w:bookmarkStart w:id="16" w:name="_Hlk69395804"/>
      <w:r w:rsidRPr="00DD5F33">
        <w:rPr>
          <w:rFonts w:ascii="Arial" w:eastAsia="Calibri" w:hAnsi="Arial" w:cs="Arial"/>
          <w:color w:val="000000"/>
          <w:sz w:val="22"/>
          <w:szCs w:val="22"/>
          <w:lang w:val="es-ES_tradnl" w:eastAsia="en-US"/>
        </w:rPr>
        <w:t>el artículo 94 de la Ley 1474 de 2011</w:t>
      </w:r>
      <w:bookmarkEnd w:id="16"/>
      <w:r w:rsidRPr="00DD5F33">
        <w:rPr>
          <w:rFonts w:ascii="Arial" w:eastAsia="Calibri" w:hAnsi="Arial" w:cs="Arial"/>
          <w:color w:val="000000"/>
          <w:sz w:val="22"/>
          <w:szCs w:val="22"/>
          <w:lang w:val="es-ES_tradnl" w:eastAsia="en-US"/>
        </w:rPr>
        <w:t xml:space="preserve"> fue subrogado por el artículo 30 de la Ley 2069 de 2020, podría concluirse la pérdida de fuerza ejecutoria –o decaimiento– de los artículos originales 2.2.1.2.1.5.1 al 2.2.1.2.1.5.4 del Decreto 1082 de 2015, de conformidad con lo establecido en el artículo 91, numeral 2, de la Ley 1437 de 2011</w:t>
      </w:r>
      <w:r w:rsidRPr="00DD5F33">
        <w:rPr>
          <w:rFonts w:ascii="Arial" w:eastAsia="Calibri" w:hAnsi="Arial" w:cs="Arial"/>
          <w:color w:val="000000"/>
          <w:sz w:val="22"/>
          <w:szCs w:val="22"/>
          <w:vertAlign w:val="superscript"/>
          <w:lang w:val="es-ES_tradnl" w:eastAsia="en-US"/>
        </w:rPr>
        <w:footnoteReference w:id="20"/>
      </w:r>
      <w:r w:rsidRPr="00DD5F33">
        <w:rPr>
          <w:rFonts w:ascii="Arial" w:eastAsia="Calibri" w:hAnsi="Arial" w:cs="Arial"/>
          <w:color w:val="000000"/>
          <w:sz w:val="22"/>
          <w:szCs w:val="22"/>
          <w:lang w:val="es-ES_tradnl" w:eastAsia="en-US"/>
        </w:rPr>
        <w:t xml:space="preserve">. Esta conclusión podría sustentarse en dos (2) argumentos. </w:t>
      </w:r>
      <w:r w:rsidRPr="00DD5F33">
        <w:rPr>
          <w:rFonts w:ascii="Arial" w:eastAsia="Calibri" w:hAnsi="Arial" w:cs="Arial"/>
          <w:i/>
          <w:iCs/>
          <w:color w:val="000000"/>
          <w:sz w:val="22"/>
          <w:szCs w:val="22"/>
          <w:lang w:val="es-ES_tradnl" w:eastAsia="en-US"/>
        </w:rPr>
        <w:t>Por un lado</w:t>
      </w:r>
      <w:r w:rsidRPr="00DD5F33">
        <w:rPr>
          <w:rFonts w:ascii="Arial" w:eastAsia="Calibri" w:hAnsi="Arial" w:cs="Arial"/>
          <w:color w:val="000000"/>
          <w:sz w:val="22"/>
          <w:szCs w:val="22"/>
          <w:lang w:val="es-ES_tradnl" w:eastAsia="en-US"/>
        </w:rPr>
        <w:t xml:space="preserve">, en que el artículo 30 de la Ley 2069 de 2020, en el parágrafo primero, contiene un nuevo mandato de reglamentación. Esto significa que sería voluntad del legislador ordenarle al gobierno nacional que expidiera una nueva reglamentación en la que –además de regular la adquisición a mipymes– disponga las particularidades del procedimiento contractual. Por ello, ese mandato, que debería cumplirse en el futuro, mal podría entenderse satisfecho con normas reglamentarias del pasado, como son las originales del Decreto 1082 de 2015. </w:t>
      </w:r>
      <w:r w:rsidRPr="00DD5F33">
        <w:rPr>
          <w:rFonts w:ascii="Arial" w:eastAsia="Calibri" w:hAnsi="Arial" w:cs="Arial"/>
          <w:i/>
          <w:iCs/>
          <w:color w:val="000000"/>
          <w:sz w:val="22"/>
          <w:szCs w:val="22"/>
          <w:lang w:val="es-ES_tradnl" w:eastAsia="en-US"/>
        </w:rPr>
        <w:t>Por otra parte</w:t>
      </w:r>
      <w:r w:rsidRPr="00DD5F33">
        <w:rPr>
          <w:rFonts w:ascii="Arial" w:eastAsia="Calibri" w:hAnsi="Arial" w:cs="Arial"/>
          <w:color w:val="000000"/>
          <w:sz w:val="22"/>
          <w:szCs w:val="22"/>
          <w:lang w:val="es-ES_tradnl" w:eastAsia="en-US"/>
        </w:rPr>
        <w:t xml:space="preserve">, los parágrafos 2 y 3 del numeral 5 del artículo 2 de la Ley 1150 de 2007 fueron modificados por el artículo 30 de la Ley 2069 de 2020, en lo que respecta a la posibilidad de contratar con mipymes y de aplicar el artículo 12 de la Ley 1150 de 2007. Tales cambios exigen una reglamentación distinta del mandato legal, aunque esto no obsta para la aplicación inmediata del artículo 30 de la Ley 2069 de 2020, esto es, antes de que </w:t>
      </w:r>
      <w:r w:rsidR="00CE6C7D" w:rsidRPr="00DD5F33">
        <w:rPr>
          <w:rFonts w:ascii="Arial" w:eastAsia="Calibri" w:hAnsi="Arial" w:cs="Arial"/>
          <w:color w:val="000000"/>
          <w:sz w:val="22"/>
          <w:szCs w:val="22"/>
          <w:lang w:val="es-ES_tradnl" w:eastAsia="en-US"/>
        </w:rPr>
        <w:t>empezaran</w:t>
      </w:r>
      <w:r w:rsidRPr="00DD5F33">
        <w:rPr>
          <w:rFonts w:ascii="Arial" w:eastAsia="Calibri" w:hAnsi="Arial" w:cs="Arial"/>
          <w:color w:val="000000"/>
          <w:sz w:val="22"/>
          <w:szCs w:val="22"/>
          <w:lang w:val="es-ES_tradnl" w:eastAsia="en-US"/>
        </w:rPr>
        <w:t xml:space="preserve"> a regir las disposiciones del Decreto 1860 del 24 de diciembre de 2021.</w:t>
      </w:r>
    </w:p>
    <w:p w14:paraId="3C3F55FE" w14:textId="77777777" w:rsidR="00045A95" w:rsidRPr="00DD5F33" w:rsidRDefault="00045A95" w:rsidP="00045A95">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color w:val="000000"/>
          <w:sz w:val="22"/>
          <w:szCs w:val="22"/>
          <w:lang w:val="es-ES_tradnl" w:eastAsia="en-US"/>
        </w:rPr>
        <w:tab/>
        <w:t xml:space="preserve">Esta argumentación sería coherente con lo explicado por esta Agencia a partir del </w:t>
      </w:r>
      <w:r w:rsidRPr="00DD5F33">
        <w:rPr>
          <w:rFonts w:ascii="Arial" w:eastAsia="Calibri" w:hAnsi="Arial" w:cs="Arial"/>
          <w:bCs/>
          <w:sz w:val="22"/>
          <w:szCs w:val="22"/>
          <w:lang w:val="es-ES_tradnl" w:eastAsia="en-US"/>
        </w:rPr>
        <w:t xml:space="preserve">Concepto C-043 del 9 de febrero de 2020, </w:t>
      </w:r>
      <w:r w:rsidRPr="00DD5F33">
        <w:rPr>
          <w:rFonts w:ascii="Arial" w:eastAsia="Calibri" w:hAnsi="Arial" w:cs="Arial"/>
          <w:bCs/>
          <w:color w:val="000000"/>
          <w:sz w:val="22"/>
          <w:szCs w:val="22"/>
          <w:lang w:val="es-ES_tradnl" w:eastAsia="en-US"/>
        </w:rPr>
        <w:t>en relación con las convocatorias limitadas a mipymes</w:t>
      </w:r>
      <w:r w:rsidRPr="00DD5F33">
        <w:rPr>
          <w:rFonts w:ascii="Arial" w:eastAsia="Calibri" w:hAnsi="Arial" w:cs="Arial"/>
          <w:bCs/>
          <w:sz w:val="22"/>
          <w:szCs w:val="22"/>
          <w:lang w:val="es-ES_tradnl" w:eastAsia="en-US"/>
        </w:rPr>
        <w:t xml:space="preserve">. Con las precisiones doctrinales posteriores, </w:t>
      </w:r>
      <w:r w:rsidRPr="00DD5F33">
        <w:rPr>
          <w:rFonts w:ascii="Arial" w:eastAsia="Calibri" w:hAnsi="Arial" w:cs="Arial"/>
          <w:bCs/>
          <w:color w:val="000000"/>
          <w:sz w:val="22"/>
          <w:szCs w:val="22"/>
          <w:lang w:val="es-ES_tradnl" w:eastAsia="en-US"/>
        </w:rPr>
        <w:t xml:space="preserve">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w:t>
      </w:r>
      <w:r w:rsidRPr="00DD5F33">
        <w:rPr>
          <w:rFonts w:ascii="Arial" w:eastAsia="Calibri" w:hAnsi="Arial" w:cs="Arial"/>
          <w:bCs/>
          <w:color w:val="000000"/>
          <w:sz w:val="22"/>
          <w:szCs w:val="22"/>
          <w:lang w:val="es-ES_tradnl" w:eastAsia="en-US"/>
        </w:rPr>
        <w:lastRenderedPageBreak/>
        <w:t>la cual esta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ibídem. Al respecto, el concepto anteriormente citado precisa que:</w:t>
      </w:r>
    </w:p>
    <w:p w14:paraId="64D2CE42" w14:textId="77777777" w:rsidR="00045A95" w:rsidRPr="00DD5F33" w:rsidRDefault="00045A95" w:rsidP="00045A95">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 </w:t>
      </w:r>
    </w:p>
    <w:p w14:paraId="063FA3C7" w14:textId="77777777" w:rsidR="00045A95" w:rsidRPr="00DD5F33" w:rsidRDefault="00045A95" w:rsidP="00045A95">
      <w:pPr>
        <w:ind w:left="709" w:right="709"/>
        <w:jc w:val="both"/>
        <w:rPr>
          <w:rFonts w:ascii="Arial" w:eastAsia="Calibri" w:hAnsi="Arial" w:cs="Arial"/>
          <w:bCs/>
          <w:color w:val="000000"/>
          <w:sz w:val="21"/>
          <w:szCs w:val="21"/>
          <w:lang w:val="es-ES_tradnl" w:eastAsia="en-US"/>
        </w:rPr>
      </w:pPr>
      <w:r w:rsidRPr="00DD5F33">
        <w:rPr>
          <w:rFonts w:ascii="Arial" w:eastAsia="Calibri" w:hAnsi="Arial" w:cs="Arial"/>
          <w:bCs/>
          <w:color w:val="000000"/>
          <w:sz w:val="21"/>
          <w:szCs w:val="21"/>
          <w:lang w:val="es-ES_tradnl" w:eastAsia="en-US"/>
        </w:rPr>
        <w:t>[…]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p>
    <w:p w14:paraId="527ACF0D" w14:textId="77777777" w:rsidR="00045A95" w:rsidRPr="00DD5F33" w:rsidRDefault="00045A95" w:rsidP="00045A95">
      <w:pPr>
        <w:spacing w:line="276" w:lineRule="auto"/>
        <w:ind w:left="709" w:right="709"/>
        <w:jc w:val="both"/>
        <w:rPr>
          <w:rFonts w:ascii="Arial" w:eastAsia="Calibri" w:hAnsi="Arial" w:cs="Arial"/>
          <w:bCs/>
          <w:color w:val="000000"/>
          <w:sz w:val="22"/>
          <w:szCs w:val="22"/>
          <w:lang w:val="es-ES_tradnl" w:eastAsia="en-US"/>
        </w:rPr>
      </w:pPr>
    </w:p>
    <w:p w14:paraId="4C6603AF" w14:textId="77777777" w:rsidR="00045A95" w:rsidRPr="00DD5F33" w:rsidRDefault="00045A95" w:rsidP="00045A95">
      <w:pPr>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ab/>
        <w:t>Aplicando analógicamente este razonamiento a la mínima cuantía, debería concluirse que, como los</w:t>
      </w:r>
      <w:r w:rsidRPr="00DD5F33">
        <w:rPr>
          <w:rFonts w:ascii="Arial" w:eastAsia="Calibri" w:hAnsi="Arial" w:cs="Arial"/>
          <w:color w:val="000000"/>
          <w:sz w:val="22"/>
          <w:szCs w:val="22"/>
          <w:lang w:val="es-ES_tradnl" w:eastAsia="en-US"/>
        </w:rPr>
        <w:t xml:space="preserve"> artículos originales 2.2.1.2.1.5.1 al 2.2.1.2.1.5.4 del Decreto 1082 de 2015 reglamentaban el artículo 94 de la Ley 1474 de 2011, con el artículo 30 de la Ley 2069 de 2020 es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 </w:t>
      </w:r>
    </w:p>
    <w:p w14:paraId="00A821E0" w14:textId="77777777" w:rsidR="00045A95" w:rsidRPr="00DD5F33" w:rsidRDefault="00045A95" w:rsidP="00045A95">
      <w:pPr>
        <w:tabs>
          <w:tab w:val="left" w:pos="709"/>
        </w:tabs>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color w:val="000000"/>
          <w:sz w:val="22"/>
          <w:szCs w:val="22"/>
          <w:lang w:val="es-ES_tradnl" w:eastAsia="en-US"/>
        </w:rPr>
        <w:tab/>
        <w:t>Aunque el argumento es plausible, para la Subdirección de Gestión Contractual las consideraciones relacionadas con la limitación a mipymes no son aplicables a la regulación de la mínima cuantía, ya que tienen un alcance diferente. En efecto, e</w:t>
      </w:r>
      <w:r w:rsidRPr="00DD5F33">
        <w:rPr>
          <w:rFonts w:ascii="Arial" w:eastAsia="Calibri" w:hAnsi="Arial" w:cs="Arial"/>
          <w:bCs/>
          <w:color w:val="000000"/>
          <w:sz w:val="22"/>
          <w:szCs w:val="22"/>
          <w:lang w:val="es-ES_tradnl" w:eastAsia="en-US"/>
        </w:rPr>
        <w:t xml:space="preserve">l artículo 34 </w:t>
      </w:r>
      <w:r w:rsidRPr="00DD5F33">
        <w:rPr>
          <w:rFonts w:ascii="Arial" w:eastAsia="Calibri" w:hAnsi="Arial" w:cs="Arial"/>
          <w:bCs/>
          <w:i/>
          <w:iCs/>
          <w:color w:val="000000"/>
          <w:sz w:val="22"/>
          <w:szCs w:val="22"/>
          <w:lang w:val="es-ES_tradnl" w:eastAsia="en-US"/>
        </w:rPr>
        <w:t>ibidem</w:t>
      </w:r>
      <w:r w:rsidRPr="00DD5F33">
        <w:rPr>
          <w:rFonts w:ascii="Arial" w:eastAsia="Calibri" w:hAnsi="Arial" w:cs="Arial"/>
          <w:bCs/>
          <w:color w:val="000000"/>
          <w:sz w:val="22"/>
          <w:szCs w:val="22"/>
          <w:lang w:val="es-ES_tradnl" w:eastAsia="en-US"/>
        </w:rPr>
        <w:t xml:space="preserve"> modifica el artículo 12 de la Ley 1150 de 2007, el cual regula la promoción del desarrollo en la contratación pública. Inicialmente, la redacción de la Ley 1150 fue modificada por el artículo 32 de la Ley 1450 de 2011, pero esta última fue derogada con la expedición de la Ley de Emprendimiento. Al respecto, la norma dispone: </w:t>
      </w:r>
    </w:p>
    <w:p w14:paraId="4D2844EC" w14:textId="77777777" w:rsidR="00045A95" w:rsidRPr="00DD5F33" w:rsidRDefault="00045A95" w:rsidP="00045A95">
      <w:pPr>
        <w:tabs>
          <w:tab w:val="left" w:pos="709"/>
        </w:tabs>
        <w:spacing w:line="276" w:lineRule="auto"/>
        <w:jc w:val="both"/>
        <w:rPr>
          <w:rFonts w:ascii="Arial" w:eastAsia="Calibri" w:hAnsi="Arial" w:cs="Arial"/>
          <w:bCs/>
          <w:color w:val="000000"/>
          <w:sz w:val="22"/>
          <w:szCs w:val="22"/>
          <w:lang w:val="es-ES_tradnl" w:eastAsia="en-US"/>
        </w:rPr>
      </w:pPr>
    </w:p>
    <w:p w14:paraId="1CE8F492" w14:textId="77777777" w:rsidR="00045A95" w:rsidRPr="00DD5F33" w:rsidRDefault="00045A95" w:rsidP="00045A95">
      <w:pPr>
        <w:tabs>
          <w:tab w:val="left" w:pos="1276"/>
        </w:tabs>
        <w:spacing w:after="120"/>
        <w:ind w:left="709" w:right="709"/>
        <w:jc w:val="both"/>
        <w:rPr>
          <w:rFonts w:ascii="Arial" w:eastAsia="Calibri" w:hAnsi="Arial" w:cs="Arial"/>
          <w:bCs/>
          <w:color w:val="000000"/>
          <w:sz w:val="21"/>
          <w:szCs w:val="21"/>
          <w:lang w:val="es-ES_tradnl" w:eastAsia="en-US"/>
        </w:rPr>
      </w:pPr>
      <w:r w:rsidRPr="00DD5F33">
        <w:rPr>
          <w:rFonts w:ascii="Arial" w:eastAsia="Calibri" w:hAnsi="Arial" w:cs="Arial"/>
          <w:bCs/>
          <w:color w:val="000000"/>
          <w:sz w:val="21"/>
          <w:szCs w:val="21"/>
          <w:lang w:val="es-ES_tradnl" w:eastAsia="en-US"/>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DD5F33">
        <w:rPr>
          <w:rFonts w:ascii="Arial" w:eastAsia="Calibri" w:hAnsi="Arial" w:cs="Arial"/>
          <w:bCs/>
          <w:i/>
          <w:iCs/>
          <w:color w:val="000000"/>
          <w:sz w:val="21"/>
          <w:szCs w:val="21"/>
          <w:lang w:val="es-ES_tradnl" w:eastAsia="en-US"/>
        </w:rPr>
        <w:t>indistintamente de su régimen de contratación, los patrimonios autónomos constituidos por Entidades Estatales y los particulares que ejecuten recursos públicos,</w:t>
      </w:r>
      <w:r w:rsidRPr="00DD5F33">
        <w:rPr>
          <w:rFonts w:ascii="Arial" w:eastAsia="Calibri" w:hAnsi="Arial" w:cs="Arial"/>
          <w:bCs/>
          <w:color w:val="000000"/>
          <w:sz w:val="21"/>
          <w:szCs w:val="21"/>
          <w:lang w:val="es-ES_tradnl" w:eastAsia="en-US"/>
        </w:rPr>
        <w:t xml:space="preserve"> adopten en beneficio de las Mipyme, convocatorias limitadas a estas en las que, previo a la Resolución de apertura del proceso respectivo, se haya manifestado el interés </w:t>
      </w:r>
      <w:r w:rsidRPr="00DD5F33">
        <w:rPr>
          <w:rFonts w:ascii="Arial" w:eastAsia="Calibri" w:hAnsi="Arial" w:cs="Arial"/>
          <w:bCs/>
          <w:i/>
          <w:iCs/>
          <w:color w:val="000000"/>
          <w:sz w:val="21"/>
          <w:szCs w:val="21"/>
          <w:lang w:val="es-ES_tradnl" w:eastAsia="en-US"/>
        </w:rPr>
        <w:t>de por lo menos dos (2) Mipyme</w:t>
      </w:r>
      <w:r w:rsidRPr="00DD5F33">
        <w:rPr>
          <w:rFonts w:ascii="Arial" w:eastAsia="Calibri" w:hAnsi="Arial" w:cs="Arial"/>
          <w:bCs/>
          <w:color w:val="000000"/>
          <w:sz w:val="21"/>
          <w:szCs w:val="21"/>
          <w:lang w:val="es-ES_tradnl" w:eastAsia="en-US"/>
        </w:rPr>
        <w:t>.</w:t>
      </w:r>
    </w:p>
    <w:p w14:paraId="2FFB3405" w14:textId="77777777" w:rsidR="00045A95" w:rsidRPr="00DD5F33" w:rsidRDefault="00045A95" w:rsidP="00045A95">
      <w:pPr>
        <w:tabs>
          <w:tab w:val="left" w:pos="1276"/>
        </w:tabs>
        <w:spacing w:after="120"/>
        <w:ind w:left="709" w:right="709"/>
        <w:jc w:val="both"/>
        <w:rPr>
          <w:rFonts w:ascii="Arial" w:eastAsia="Calibri" w:hAnsi="Arial" w:cs="Arial"/>
          <w:bCs/>
          <w:color w:val="000000"/>
          <w:sz w:val="21"/>
          <w:szCs w:val="21"/>
          <w:lang w:val="es-ES_tradnl" w:eastAsia="en-US"/>
        </w:rPr>
      </w:pPr>
      <w:r w:rsidRPr="00DD5F33">
        <w:rPr>
          <w:rFonts w:ascii="Arial" w:eastAsia="Calibri" w:hAnsi="Arial" w:cs="Arial"/>
          <w:bCs/>
          <w:color w:val="000000"/>
          <w:sz w:val="21"/>
          <w:szCs w:val="21"/>
          <w:lang w:val="es-ES_tradnl" w:eastAsia="en-US"/>
        </w:rPr>
        <w:lastRenderedPageBreak/>
        <w:t>Asimismo, el reglamento podrá establecer condiciones preferenciales en favor de la oferta de bienes y servicios producidos por las Mipyme, respetando los montos y las condiciones contenidas en los compromisos internacionales vigentes</w:t>
      </w:r>
      <w:r w:rsidRPr="00DD5F33">
        <w:rPr>
          <w:rFonts w:ascii="Arial" w:eastAsia="Calibri" w:hAnsi="Arial" w:cs="Arial"/>
          <w:bCs/>
          <w:i/>
          <w:iCs/>
          <w:color w:val="000000"/>
          <w:sz w:val="21"/>
          <w:szCs w:val="21"/>
          <w:lang w:val="es-ES_tradnl" w:eastAsia="en-US"/>
        </w:rPr>
        <w:t>, cuando sean aplicables</w:t>
      </w:r>
      <w:r w:rsidRPr="00DD5F33">
        <w:rPr>
          <w:rFonts w:ascii="Arial" w:eastAsia="Calibri" w:hAnsi="Arial" w:cs="Arial"/>
          <w:bCs/>
          <w:color w:val="000000"/>
          <w:sz w:val="21"/>
          <w:szCs w:val="21"/>
          <w:lang w:val="es-ES_tradnl" w:eastAsia="en-US"/>
        </w:rPr>
        <w:t>.</w:t>
      </w:r>
    </w:p>
    <w:p w14:paraId="53077962" w14:textId="77777777" w:rsidR="00045A95" w:rsidRPr="00DD5F33" w:rsidRDefault="00045A95" w:rsidP="00045A95">
      <w:pPr>
        <w:tabs>
          <w:tab w:val="left" w:pos="1276"/>
        </w:tabs>
        <w:ind w:left="709" w:right="709"/>
        <w:jc w:val="both"/>
        <w:rPr>
          <w:rFonts w:ascii="Arial" w:eastAsia="Calibri" w:hAnsi="Arial" w:cs="Arial"/>
          <w:bCs/>
          <w:color w:val="000000"/>
          <w:sz w:val="21"/>
          <w:szCs w:val="21"/>
          <w:lang w:val="es-ES_tradnl" w:eastAsia="en-US"/>
        </w:rPr>
      </w:pPr>
      <w:r w:rsidRPr="00DD5F33">
        <w:rPr>
          <w:rFonts w:ascii="Arial" w:eastAsia="Calibri" w:hAnsi="Arial" w:cs="Arial"/>
          <w:bCs/>
          <w:color w:val="000000"/>
          <w:sz w:val="21"/>
          <w:szCs w:val="21"/>
          <w:lang w:val="es-ES_tradnl" w:eastAsia="en-US"/>
        </w:rPr>
        <w:t>En todo caso, se deberá garantizar la satisfacción de las condiciones técnicas y económicas requeridas en el Proceso de Contratación</w:t>
      </w:r>
      <w:r w:rsidRPr="00DD5F33">
        <w:rPr>
          <w:rFonts w:ascii="Arial" w:eastAsia="Calibri" w:hAnsi="Arial" w:cs="Arial"/>
          <w:bCs/>
          <w:color w:val="000000"/>
          <w:sz w:val="21"/>
          <w:szCs w:val="21"/>
          <w:vertAlign w:val="superscript"/>
          <w:lang w:val="es-ES_tradnl" w:eastAsia="en-US"/>
        </w:rPr>
        <w:footnoteReference w:id="21"/>
      </w:r>
      <w:r w:rsidRPr="00DD5F33">
        <w:rPr>
          <w:rFonts w:ascii="Arial" w:eastAsia="Calibri" w:hAnsi="Arial" w:cs="Arial"/>
          <w:bCs/>
          <w:color w:val="000000"/>
          <w:sz w:val="21"/>
          <w:szCs w:val="21"/>
          <w:lang w:val="es-ES_tradnl" w:eastAsia="en-US"/>
        </w:rPr>
        <w:t>. (Énfasis fuera de texto)</w:t>
      </w:r>
    </w:p>
    <w:p w14:paraId="60C88F13" w14:textId="77777777" w:rsidR="00045A95" w:rsidRPr="00DD5F33" w:rsidRDefault="00045A95" w:rsidP="00045A95">
      <w:pPr>
        <w:tabs>
          <w:tab w:val="left" w:pos="1276"/>
        </w:tabs>
        <w:spacing w:line="276" w:lineRule="auto"/>
        <w:ind w:left="709" w:right="709"/>
        <w:jc w:val="both"/>
        <w:rPr>
          <w:rFonts w:ascii="Arial" w:eastAsia="Calibri" w:hAnsi="Arial" w:cs="Arial"/>
          <w:bCs/>
          <w:color w:val="000000"/>
          <w:sz w:val="22"/>
          <w:szCs w:val="22"/>
          <w:lang w:val="es-ES_tradnl" w:eastAsia="en-US"/>
        </w:rPr>
      </w:pPr>
    </w:p>
    <w:p w14:paraId="0925AA04" w14:textId="77777777"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En contraste con la redacción de la Ley 1450 de 2011, la Ley de Emprendimiento amplía la limitación a mipymes, de forma que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04F81454" w14:textId="28B997EB" w:rsidR="00045A95" w:rsidRPr="00DD5F33"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Además de que el artículo 34 de la Ley de Emprendimiento no es una norma de aplicación directa, contempla supuestos que no estaban previstos en el Decreto 1082 de 2015 original –antes de la modificación realizada por el Decreto 1860 de 2021–. Particularmente, conforme al artículo 2.2.1.2.4.2.2 </w:t>
      </w:r>
      <w:r w:rsidRPr="00DD5F33">
        <w:rPr>
          <w:rFonts w:ascii="Arial" w:eastAsia="Calibri" w:hAnsi="Arial" w:cs="Arial"/>
          <w:bCs/>
          <w:i/>
          <w:iCs/>
          <w:color w:val="000000"/>
          <w:sz w:val="22"/>
          <w:szCs w:val="22"/>
          <w:lang w:val="es-ES_tradnl" w:eastAsia="en-US"/>
        </w:rPr>
        <w:t>ibídem</w:t>
      </w:r>
      <w:r w:rsidRPr="00DD5F33">
        <w:rPr>
          <w:rFonts w:ascii="Arial" w:eastAsia="Calibri" w:hAnsi="Arial" w:cs="Arial"/>
          <w:bCs/>
          <w:color w:val="000000"/>
          <w:sz w:val="22"/>
          <w:szCs w:val="22"/>
          <w:lang w:val="es-ES_tradnl" w:eastAsia="en-U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mipyme nacionales. Frente a este escenario, </w:t>
      </w:r>
      <w:r w:rsidR="00243F31" w:rsidRPr="00DD5F33">
        <w:rPr>
          <w:rFonts w:ascii="Arial" w:eastAsia="Calibri" w:hAnsi="Arial" w:cs="Arial"/>
          <w:bCs/>
          <w:color w:val="000000"/>
          <w:sz w:val="22"/>
          <w:szCs w:val="22"/>
          <w:lang w:val="es-ES_tradnl" w:eastAsia="en-US"/>
        </w:rPr>
        <w:t>surgió</w:t>
      </w:r>
      <w:r w:rsidRPr="00DD5F33">
        <w:rPr>
          <w:rFonts w:ascii="Arial" w:eastAsia="Calibri" w:hAnsi="Arial" w:cs="Arial"/>
          <w:bCs/>
          <w:color w:val="000000"/>
          <w:sz w:val="22"/>
          <w:szCs w:val="22"/>
          <w:lang w:val="es-ES_tradnl" w:eastAsia="en-US"/>
        </w:rPr>
        <w:t xml:space="preserve"> la necesidad de expedir una nueva reglamentación para las convocatorias limitadas que desarroll</w:t>
      </w:r>
      <w:r w:rsidR="00243F31" w:rsidRPr="00DD5F33">
        <w:rPr>
          <w:rFonts w:ascii="Arial" w:eastAsia="Calibri" w:hAnsi="Arial" w:cs="Arial"/>
          <w:bCs/>
          <w:color w:val="000000"/>
          <w:sz w:val="22"/>
          <w:szCs w:val="22"/>
          <w:lang w:val="es-ES_tradnl" w:eastAsia="en-US"/>
        </w:rPr>
        <w:t>ara</w:t>
      </w:r>
      <w:r w:rsidRPr="00DD5F33">
        <w:rPr>
          <w:rFonts w:ascii="Arial" w:eastAsia="Calibri" w:hAnsi="Arial" w:cs="Arial"/>
          <w:bCs/>
          <w:color w:val="000000"/>
          <w:sz w:val="22"/>
          <w:szCs w:val="22"/>
          <w:lang w:val="es-ES_tradnl" w:eastAsia="en-US"/>
        </w:rPr>
        <w:t xml:space="preserve"> los nuevos elementos previstos en la ley, regulación que se efectuó mediante el Decreto 1860 del 24 de diciembre de 2021</w:t>
      </w:r>
      <w:r w:rsidR="00243F31" w:rsidRPr="00DD5F33">
        <w:rPr>
          <w:rFonts w:ascii="Arial" w:eastAsia="Calibri" w:hAnsi="Arial" w:cs="Arial"/>
          <w:bCs/>
          <w:color w:val="000000"/>
          <w:sz w:val="22"/>
          <w:szCs w:val="22"/>
          <w:lang w:val="es-ES_tradnl" w:eastAsia="en-US"/>
        </w:rPr>
        <w:t>.</w:t>
      </w:r>
    </w:p>
    <w:p w14:paraId="3C3088D2" w14:textId="77777777"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Por el contrario, el artículo 30 de la Ley 2069 de 2020 es directamente aplicable, pues –a diferencia de que sucedió en su momento con la selección abreviada– la mínima cuantía no requería desarrollo reglamentario posterior para su vigencia. Aunque el parágrafo primero habilita el ejercicio de la potestad dispuesta en el artículo 189.11 superior, </w:t>
      </w:r>
      <w:r w:rsidRPr="00DD5F33">
        <w:rPr>
          <w:rFonts w:ascii="Arial" w:eastAsia="Calibri" w:hAnsi="Arial" w:cs="Arial"/>
          <w:bCs/>
          <w:color w:val="000000"/>
          <w:sz w:val="22"/>
          <w:szCs w:val="22"/>
          <w:lang w:val="es-ES_tradnl" w:eastAsia="en-US"/>
        </w:rPr>
        <w:lastRenderedPageBreak/>
        <w:t>el grueso de los</w:t>
      </w:r>
      <w:r w:rsidRPr="00DD5F33">
        <w:rPr>
          <w:rFonts w:ascii="Arial" w:eastAsia="Calibri" w:hAnsi="Arial" w:cs="Arial"/>
          <w:color w:val="000000"/>
          <w:sz w:val="22"/>
          <w:szCs w:val="22"/>
          <w:lang w:val="es-ES_tradnl" w:eastAsia="en-US"/>
        </w:rPr>
        <w:t xml:space="preserve"> artículos 2.2.1.2.1.5.1 al 2.2.1.2.1.5.4 originales del Decreto 1082 de 2015 son compatibles con la norma vigente. Lo anterior considerando que, conforme a los parágrafos del artículo 30 de la Ley 2069 de 2020, el cambio realmente consiste en la posibilidad de limitar a mypimes el procedimiento de selección. Esta materia corresponde al desarrollo reglamentario del artículo 34 </w:t>
      </w:r>
      <w:r w:rsidRPr="00DD5F33">
        <w:rPr>
          <w:rFonts w:ascii="Arial" w:eastAsia="Calibri" w:hAnsi="Arial" w:cs="Arial"/>
          <w:i/>
          <w:iCs/>
          <w:color w:val="000000"/>
          <w:sz w:val="22"/>
          <w:szCs w:val="22"/>
          <w:lang w:val="es-ES_tradnl" w:eastAsia="en-US"/>
        </w:rPr>
        <w:t>ibídem</w:t>
      </w:r>
      <w:r w:rsidRPr="00DD5F33">
        <w:rPr>
          <w:rFonts w:ascii="Arial" w:eastAsia="Calibri" w:hAnsi="Arial" w:cs="Arial"/>
          <w:color w:val="000000"/>
          <w:sz w:val="22"/>
          <w:szCs w:val="22"/>
          <w:lang w:val="es-ES_tradnl" w:eastAsia="en-US"/>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2CFDC3DF" w14:textId="77777777"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t xml:space="preserve">Por tanto, las diferencias entre el alcance de la mínima cuantía y de las convocatorias limitadas, impide aplicar por analogía las consideraciones realizadas por la Agencia a partir del </w:t>
      </w:r>
      <w:r w:rsidRPr="00DD5F33">
        <w:rPr>
          <w:rFonts w:ascii="Arial" w:eastAsia="Calibri" w:hAnsi="Arial" w:cs="Arial"/>
          <w:bCs/>
          <w:sz w:val="22"/>
          <w:szCs w:val="22"/>
          <w:lang w:val="es-ES_tradnl" w:eastAsia="en-US"/>
        </w:rPr>
        <w:t>Concepto C-043 del 9 de febrero de 2020 al artículo 30 de la Ley de Emprendimiento</w:t>
      </w:r>
      <w:r w:rsidRPr="00DD5F33">
        <w:rPr>
          <w:rFonts w:ascii="Arial" w:eastAsia="Calibri" w:hAnsi="Arial" w:cs="Arial"/>
          <w:color w:val="000000"/>
          <w:sz w:val="22"/>
          <w:szCs w:val="22"/>
          <w:lang w:val="es-ES_tradnl" w:eastAsia="en-US"/>
        </w:rPr>
        <w:t>. En este caso no es posible sostener que la sustitución del contenido del del artículo 2.5 de la Ley 1150 de 2007 genera el decaimiento de los artículos 2.2.1.2.1.5.1 al 2.2.1.2.1.5.4 originales del Decreto 1082 de 2015. Lo anterior teniendo en cuenta que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DD5F33">
        <w:rPr>
          <w:rFonts w:ascii="Arial" w:eastAsia="Calibri" w:hAnsi="Arial" w:cs="Arial"/>
          <w:color w:val="000000"/>
          <w:sz w:val="22"/>
          <w:szCs w:val="22"/>
          <w:vertAlign w:val="superscript"/>
          <w:lang w:val="es-ES_tradnl" w:eastAsia="en-US"/>
        </w:rPr>
        <w:footnoteReference w:id="22"/>
      </w:r>
      <w:r w:rsidRPr="00DD5F33">
        <w:rPr>
          <w:rFonts w:ascii="Arial" w:eastAsia="Calibri" w:hAnsi="Arial" w:cs="Arial"/>
          <w:color w:val="000000"/>
          <w:sz w:val="22"/>
          <w:szCs w:val="22"/>
          <w:lang w:val="es-ES_tradnl" w:eastAsia="en-US"/>
        </w:rPr>
        <w:t xml:space="preserve">. </w:t>
      </w:r>
    </w:p>
    <w:p w14:paraId="1E5004DA" w14:textId="190448DC"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t xml:space="preserve">El decaimiento afecta los artículos </w:t>
      </w:r>
      <w:r w:rsidRPr="00DD5F33">
        <w:rPr>
          <w:rFonts w:ascii="Arial" w:eastAsia="Calibri" w:hAnsi="Arial" w:cs="Arial"/>
          <w:bCs/>
          <w:color w:val="000000"/>
          <w:sz w:val="22"/>
          <w:szCs w:val="22"/>
          <w:lang w:val="es-ES_tradnl" w:eastAsia="en-US"/>
        </w:rPr>
        <w:t xml:space="preserve">2.2.1.2.4.2.2 y 2.2.1.2.4.2.3 del Decreto 1082 de 2015 </w:t>
      </w:r>
      <w:r w:rsidRPr="00DD5F33">
        <w:rPr>
          <w:rFonts w:ascii="Arial" w:eastAsia="Calibri" w:hAnsi="Arial" w:cs="Arial"/>
          <w:color w:val="000000"/>
          <w:sz w:val="22"/>
          <w:szCs w:val="22"/>
          <w:lang w:val="es-ES_tradnl" w:eastAsia="en-US"/>
        </w:rPr>
        <w:t xml:space="preserve">por la subrogación del artículo 32 de la Ley 1450 de 2011, el cual regulaba las convocatorias limitadas a mipymes.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DD5F33">
        <w:rPr>
          <w:rFonts w:ascii="Arial" w:eastAsia="Calibri" w:hAnsi="Arial" w:cs="Arial"/>
          <w:i/>
          <w:iCs/>
          <w:color w:val="000000"/>
          <w:sz w:val="22"/>
          <w:szCs w:val="22"/>
          <w:lang w:val="es-ES_tradnl" w:eastAsia="en-US"/>
        </w:rPr>
        <w:t>ut supra</w:t>
      </w:r>
      <w:r w:rsidRPr="00DD5F33">
        <w:rPr>
          <w:rFonts w:ascii="Arial" w:eastAsia="Calibri" w:hAnsi="Arial" w:cs="Arial"/>
          <w:color w:val="000000"/>
          <w:sz w:val="22"/>
          <w:szCs w:val="22"/>
          <w:lang w:val="es-ES_tradnl" w:eastAsia="en-US"/>
        </w:rPr>
        <w:t xml:space="preserve">, por lo que es necesario que un nuevo reglamento defina las reglas de las convocatorias limitadas como una condición para su exigibilidad en los procedimientos contractuales, regulación que se efectuó mediante el </w:t>
      </w:r>
      <w:r w:rsidRPr="00DD5F33">
        <w:rPr>
          <w:rFonts w:ascii="Arial" w:eastAsia="Calibri" w:hAnsi="Arial" w:cs="Arial"/>
          <w:bCs/>
          <w:color w:val="000000"/>
          <w:sz w:val="22"/>
          <w:szCs w:val="22"/>
          <w:lang w:val="es-ES_tradnl" w:eastAsia="en-US"/>
        </w:rPr>
        <w:t xml:space="preserve">Decreto 1860 del 24 de diciembre de 2021, pero que solo resulta aplicable para los procesos cuya invitación, aviso de convocatoria o documento equivalente se </w:t>
      </w:r>
      <w:r w:rsidR="00D83329" w:rsidRPr="00DD5F33">
        <w:rPr>
          <w:rFonts w:ascii="Arial" w:eastAsia="Calibri" w:hAnsi="Arial" w:cs="Arial"/>
          <w:bCs/>
          <w:color w:val="000000"/>
          <w:sz w:val="22"/>
          <w:szCs w:val="22"/>
          <w:lang w:val="es-ES_tradnl" w:eastAsia="en-US"/>
        </w:rPr>
        <w:t xml:space="preserve">haya </w:t>
      </w:r>
      <w:r w:rsidRPr="00DD5F33">
        <w:rPr>
          <w:rFonts w:ascii="Arial" w:eastAsia="Calibri" w:hAnsi="Arial" w:cs="Arial"/>
          <w:bCs/>
          <w:color w:val="000000"/>
          <w:sz w:val="22"/>
          <w:szCs w:val="22"/>
          <w:lang w:val="es-ES_tradnl" w:eastAsia="en-US"/>
        </w:rPr>
        <w:t>publi</w:t>
      </w:r>
      <w:r w:rsidR="00D83329" w:rsidRPr="00DD5F33">
        <w:rPr>
          <w:rFonts w:ascii="Arial" w:eastAsia="Calibri" w:hAnsi="Arial" w:cs="Arial"/>
          <w:bCs/>
          <w:color w:val="000000"/>
          <w:sz w:val="22"/>
          <w:szCs w:val="22"/>
          <w:lang w:val="es-ES_tradnl" w:eastAsia="en-US"/>
        </w:rPr>
        <w:t>cado</w:t>
      </w:r>
      <w:r w:rsidRPr="00DD5F33">
        <w:rPr>
          <w:rFonts w:ascii="Arial" w:eastAsia="Calibri" w:hAnsi="Arial" w:cs="Arial"/>
          <w:bCs/>
          <w:color w:val="000000"/>
          <w:sz w:val="22"/>
          <w:szCs w:val="22"/>
          <w:lang w:val="es-ES_tradnl" w:eastAsia="en-US"/>
        </w:rPr>
        <w:t xml:space="preserve"> a los tres (3) meses contados a partir de su expedición, esto es, a partir del 24 de marzo de 2022.</w:t>
      </w:r>
      <w:r w:rsidRPr="00DD5F33">
        <w:rPr>
          <w:rFonts w:ascii="Arial" w:eastAsia="Calibri" w:hAnsi="Arial" w:cs="Arial"/>
          <w:color w:val="000000"/>
          <w:sz w:val="22"/>
          <w:szCs w:val="22"/>
          <w:lang w:val="es-ES_tradnl" w:eastAsia="en-US"/>
        </w:rPr>
        <w:t xml:space="preserve"> </w:t>
      </w:r>
    </w:p>
    <w:p w14:paraId="7ED6D391" w14:textId="77777777"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t xml:space="preserve">Lo mismo no sucede con la regulación de la mínima cuantía en el Decreto 1082 de 2015. </w:t>
      </w:r>
      <w:bookmarkStart w:id="17" w:name="_Hlk69487065"/>
      <w:bookmarkStart w:id="18" w:name="_Hlk69487402"/>
      <w:r w:rsidRPr="00DD5F33">
        <w:rPr>
          <w:rFonts w:ascii="Arial" w:eastAsia="Calibri" w:hAnsi="Arial" w:cs="Arial"/>
          <w:color w:val="000000"/>
          <w:sz w:val="22"/>
          <w:szCs w:val="22"/>
          <w:lang w:val="es-ES_tradnl" w:eastAsia="en-US"/>
        </w:rPr>
        <w:t xml:space="preserve">Aunque el artículo 30 de la Ley de Emprendimiento subroga el contenido del numeral 5 del artículo 2 de la Ley 1150 de 2007, ambas disposiciones son de aplicación directa, sin que se necesitara la expedición de un nuevo reglamento. Adicionalmente, pese a que la </w:t>
      </w:r>
      <w:r w:rsidRPr="00DD5F33">
        <w:rPr>
          <w:rFonts w:ascii="Arial" w:eastAsia="Calibri" w:hAnsi="Arial" w:cs="Arial"/>
          <w:color w:val="000000"/>
          <w:sz w:val="22"/>
          <w:szCs w:val="22"/>
          <w:lang w:val="es-ES_tradnl" w:eastAsia="en-US"/>
        </w:rPr>
        <w:lastRenderedPageBreak/>
        <w:t xml:space="preserve">Ley de Emprendimiento permite las convocatorias limitadas a las mipymes en la mínima cuantía, el desarrollo reglamentario de este tema hace parte del artículo 34 </w:t>
      </w:r>
      <w:r w:rsidRPr="00DD5F33">
        <w:rPr>
          <w:rFonts w:ascii="Arial" w:eastAsia="Calibri" w:hAnsi="Arial" w:cs="Arial"/>
          <w:i/>
          <w:iCs/>
          <w:color w:val="000000"/>
          <w:sz w:val="22"/>
          <w:szCs w:val="22"/>
          <w:lang w:val="es-ES_tradnl" w:eastAsia="en-US"/>
        </w:rPr>
        <w:t>ibídem</w:t>
      </w:r>
      <w:r w:rsidRPr="00DD5F33">
        <w:rPr>
          <w:rFonts w:ascii="Arial" w:eastAsia="Calibri" w:hAnsi="Arial" w:cs="Arial"/>
          <w:color w:val="000000"/>
          <w:sz w:val="22"/>
          <w:szCs w:val="22"/>
          <w:lang w:val="es-ES_tradnl" w:eastAsia="en-US"/>
        </w:rPr>
        <w:t xml:space="preserve">. </w:t>
      </w:r>
      <w:bookmarkEnd w:id="17"/>
    </w:p>
    <w:p w14:paraId="127F609C" w14:textId="4A0E7ED1"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r>
      <w:r w:rsidRPr="00DD5F33">
        <w:rPr>
          <w:rFonts w:ascii="Arial" w:eastAsia="Calibri" w:hAnsi="Arial" w:cs="Arial"/>
          <w:bCs/>
          <w:color w:val="000000"/>
          <w:sz w:val="22"/>
          <w:szCs w:val="22"/>
          <w:lang w:val="es-ES_tradnl" w:eastAsia="en-US"/>
        </w:rPr>
        <w:t xml:space="preserve">Para permitir la adquisición a mipymes y la aplicación del artículo 12 de la Ley 1150 de 2007, </w:t>
      </w:r>
      <w:r w:rsidRPr="00DD5F33">
        <w:rPr>
          <w:rFonts w:ascii="Arial" w:eastAsia="Calibri" w:hAnsi="Arial" w:cs="Arial"/>
          <w:color w:val="000000"/>
          <w:sz w:val="22"/>
          <w:szCs w:val="22"/>
          <w:lang w:val="es-ES_tradnl" w:eastAsia="en-US"/>
        </w:rPr>
        <w:t>la Ley de Emprendimiento pudo modificar únicamente los parágrafos 1 y 2 d</w:t>
      </w:r>
      <w:r w:rsidRPr="00DD5F33">
        <w:rPr>
          <w:rFonts w:ascii="Arial" w:eastAsia="Calibri" w:hAnsi="Arial" w:cs="Arial"/>
          <w:bCs/>
          <w:color w:val="000000"/>
          <w:sz w:val="22"/>
          <w:szCs w:val="22"/>
          <w:lang w:val="es-ES_tradnl" w:eastAsia="en-US"/>
        </w:rPr>
        <w:t xml:space="preserve">el artículo 94 de la Ley 1474 de 2011. Pese a que el artículo 30 de la Ley 2069 de 2020 optó por sustituir integralmente la regulación anterior, </w:t>
      </w:r>
      <w:bookmarkStart w:id="19" w:name="_Hlk69572931"/>
      <w:r w:rsidRPr="00DD5F33">
        <w:rPr>
          <w:rFonts w:ascii="Arial" w:eastAsia="Calibri" w:hAnsi="Arial" w:cs="Arial"/>
          <w:bCs/>
          <w:color w:val="000000"/>
          <w:sz w:val="22"/>
          <w:szCs w:val="22"/>
          <w:lang w:val="es-ES_tradnl" w:eastAsia="en-US"/>
        </w:rPr>
        <w:t xml:space="preserve">se observa que materialmente no existe una derogación de la mínima cuantía ni una modificación sustancial que incida en el procedimiento, por lo que no desaparece el fundamento jurídico de las normas reglamentarias que </w:t>
      </w:r>
      <w:bookmarkEnd w:id="19"/>
      <w:r w:rsidRPr="00DD5F33">
        <w:rPr>
          <w:rFonts w:ascii="Arial" w:eastAsia="Calibri" w:hAnsi="Arial" w:cs="Arial"/>
          <w:bCs/>
          <w:color w:val="000000"/>
          <w:sz w:val="22"/>
          <w:szCs w:val="22"/>
          <w:lang w:val="es-ES_tradnl" w:eastAsia="en-US"/>
        </w:rPr>
        <w:t xml:space="preserve">desarrollaban esta modalidad de selección al momento de expedirse la Ley 2069 de 2020. </w:t>
      </w:r>
      <w:bookmarkStart w:id="20" w:name="_Hlk69573039"/>
      <w:r w:rsidRPr="00DD5F33">
        <w:rPr>
          <w:rFonts w:ascii="Arial" w:eastAsia="Calibri" w:hAnsi="Arial" w:cs="Arial"/>
          <w:bCs/>
          <w:color w:val="000000"/>
          <w:sz w:val="22"/>
          <w:szCs w:val="22"/>
          <w:lang w:val="es-ES_tradnl" w:eastAsia="en-US"/>
        </w:rPr>
        <w:t xml:space="preserve">En esta medida, siguen vigentes gran parte de los </w:t>
      </w:r>
      <w:r w:rsidRPr="00DD5F33">
        <w:rPr>
          <w:rFonts w:ascii="Arial" w:eastAsia="Calibri" w:hAnsi="Arial" w:cs="Arial"/>
          <w:color w:val="000000"/>
          <w:sz w:val="22"/>
          <w:szCs w:val="22"/>
          <w:lang w:val="es-ES_tradnl" w:eastAsia="en-US"/>
        </w:rPr>
        <w:t xml:space="preserve">artículos 2.2.1.2.1.5.1 al 2.2.1.2.1.5.4 originales del Decreto 1082 de 2015, los cuales aplicarán a los procesos de mínima cuantía que </w:t>
      </w:r>
      <w:r w:rsidR="00ED1161" w:rsidRPr="00DD5F33">
        <w:rPr>
          <w:rFonts w:ascii="Arial" w:eastAsia="Calibri" w:hAnsi="Arial" w:cs="Arial"/>
          <w:color w:val="000000"/>
          <w:sz w:val="22"/>
          <w:szCs w:val="22"/>
          <w:lang w:val="es-ES_tradnl" w:eastAsia="en-US"/>
        </w:rPr>
        <w:t>hayan iniciado</w:t>
      </w:r>
      <w:r w:rsidRPr="00DD5F33">
        <w:rPr>
          <w:rFonts w:ascii="Arial" w:eastAsia="Calibri" w:hAnsi="Arial" w:cs="Arial"/>
          <w:color w:val="000000"/>
          <w:sz w:val="22"/>
          <w:szCs w:val="22"/>
          <w:lang w:val="es-ES_tradnl" w:eastAsia="en-US"/>
        </w:rPr>
        <w:t xml:space="preserve"> antes del 24 de marzo de 2022, de acuerdo con las normas de vigencia del Decreto 1860 de 2021. </w:t>
      </w:r>
      <w:bookmarkEnd w:id="18"/>
    </w:p>
    <w:p w14:paraId="3BA9E8C2" w14:textId="77777777" w:rsidR="00045A95" w:rsidRPr="00DD5F33" w:rsidRDefault="00045A95" w:rsidP="00045A95">
      <w:pPr>
        <w:tabs>
          <w:tab w:val="left" w:pos="709"/>
        </w:tabs>
        <w:spacing w:after="120" w:line="276" w:lineRule="auto"/>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ab/>
        <w:t xml:space="preserve">No obstante, es necesario introducir un matiz en la conclusión precedente, pues los factores de desempate previstos en el numeral 7 del artículo 2.2.1.2.1.5.2 y el numeral 3 del artículo 2.2.1.2.1.5.3 del Decreto 1082 de 2015 perdieron vigencia con la expedición del artículo 35 de la Ley de Emprendimiento. </w:t>
      </w:r>
      <w:bookmarkEnd w:id="20"/>
      <w:r w:rsidRPr="00DD5F33">
        <w:rPr>
          <w:rFonts w:ascii="Arial" w:eastAsia="Calibri" w:hAnsi="Arial" w:cs="Arial"/>
          <w:color w:val="000000"/>
          <w:sz w:val="22"/>
          <w:szCs w:val="22"/>
          <w:lang w:val="es-ES_tradnl" w:eastAsia="en-US"/>
        </w:rPr>
        <w:t xml:space="preserve">Al respecto,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w:t>
      </w:r>
    </w:p>
    <w:p w14:paraId="00533B23" w14:textId="77777777" w:rsidR="00045A95" w:rsidRPr="00DD5F33" w:rsidRDefault="00045A95" w:rsidP="00045A95">
      <w:pPr>
        <w:spacing w:after="120" w:line="276" w:lineRule="auto"/>
        <w:ind w:firstLine="709"/>
        <w:jc w:val="both"/>
        <w:rPr>
          <w:rFonts w:ascii="Arial" w:eastAsia="Calibri" w:hAnsi="Arial" w:cs="Arial"/>
          <w:color w:val="000000"/>
          <w:sz w:val="22"/>
          <w:szCs w:val="22"/>
          <w:lang w:val="es-ES_tradnl" w:eastAsia="en-US"/>
        </w:rPr>
      </w:pPr>
      <w:bookmarkStart w:id="21" w:name="_Hlk69573103"/>
      <w:r w:rsidRPr="00DD5F33">
        <w:rPr>
          <w:rFonts w:ascii="Arial" w:eastAsia="Calibri" w:hAnsi="Arial" w:cs="Arial"/>
          <w:color w:val="000000"/>
          <w:sz w:val="22"/>
          <w:szCs w:val="22"/>
          <w:lang w:val="es-ES_tradnl" w:eastAsia="en-US"/>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r w:rsidRPr="00DD5F33">
        <w:rPr>
          <w:rFonts w:ascii="Arial" w:eastAsia="Calibri" w:hAnsi="Arial" w:cs="Arial"/>
          <w:i/>
          <w:iCs/>
          <w:color w:val="000000"/>
          <w:sz w:val="22"/>
          <w:szCs w:val="22"/>
          <w:lang w:val="es-ES_tradnl" w:eastAsia="en-US"/>
        </w:rPr>
        <w:t>secundum legem</w:t>
      </w:r>
      <w:r w:rsidRPr="00DD5F33">
        <w:rPr>
          <w:rFonts w:ascii="Arial" w:eastAsia="Calibri" w:hAnsi="Arial" w:cs="Arial"/>
          <w:color w:val="000000"/>
          <w:sz w:val="22"/>
          <w:szCs w:val="22"/>
          <w:lang w:val="es-ES_tradnl" w:eastAsia="en-US"/>
        </w:rPr>
        <w:t xml:space="preserve"> –es decir, que desarrolla una norma de mayor jerarquía–, la expedición de una ley en sentido formal –en otras palabras, una fuente que condiciona el contenido de este último–, hace que la disposición reglamentaria decaiga. </w:t>
      </w:r>
    </w:p>
    <w:bookmarkEnd w:id="21"/>
    <w:p w14:paraId="14106D55" w14:textId="77777777" w:rsidR="00045A95" w:rsidRPr="00DD5F33" w:rsidRDefault="00045A95" w:rsidP="00045A95">
      <w:pPr>
        <w:spacing w:after="120"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 xml:space="preserve">Lo expuesto en los dos (2) párrafos precedentes también aplica </w:t>
      </w:r>
      <w:r w:rsidRPr="00DD5F33">
        <w:rPr>
          <w:rFonts w:ascii="Arial" w:eastAsia="Calibri" w:hAnsi="Arial" w:cs="Arial"/>
          <w:i/>
          <w:iCs/>
          <w:color w:val="000000"/>
          <w:sz w:val="22"/>
          <w:szCs w:val="22"/>
          <w:lang w:val="es-ES_tradnl" w:eastAsia="en-US"/>
        </w:rPr>
        <w:t>mutatis mutandis</w:t>
      </w:r>
      <w:r w:rsidRPr="00DD5F33">
        <w:rPr>
          <w:rFonts w:ascii="Arial" w:eastAsia="Calibri" w:hAnsi="Arial" w:cs="Arial"/>
          <w:color w:val="000000"/>
          <w:sz w:val="22"/>
          <w:szCs w:val="22"/>
          <w:lang w:val="es-ES_tradnl" w:eastAsia="en-US"/>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 los Procesos de Contratación realizados con cargo a recursos públicos, los Procesos de Contratación realizados por las Entidades Estatales indistintamente de su régimen de contratación, así como los celebrados por los Procesos </w:t>
      </w:r>
      <w:r w:rsidRPr="00DD5F33">
        <w:rPr>
          <w:rFonts w:ascii="Arial" w:eastAsia="Calibri" w:hAnsi="Arial" w:cs="Arial"/>
          <w:color w:val="000000"/>
          <w:sz w:val="22"/>
          <w:szCs w:val="22"/>
          <w:lang w:val="es-ES_tradnl" w:eastAsia="en-US"/>
        </w:rPr>
        <w:lastRenderedPageBreak/>
        <w:t xml:space="preserve">de Contratación de los patrimonios autónomos constituidos por Entidades Estatales […]», sin distinguir entre modalidades de selección. </w:t>
      </w:r>
    </w:p>
    <w:p w14:paraId="553F1186" w14:textId="52E64ABE" w:rsidR="00045A95" w:rsidRPr="00DD5F33" w:rsidRDefault="00045A95" w:rsidP="00045A95">
      <w:pPr>
        <w:spacing w:after="120"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p>
    <w:p w14:paraId="6F901A00" w14:textId="77777777" w:rsidR="00045A95" w:rsidRPr="00DD5F33" w:rsidRDefault="00045A95" w:rsidP="00045A95">
      <w:pPr>
        <w:spacing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 xml:space="preserve">Además, aunque el artículo 5.1 de la Ley 57 de 1887 consagra la regla </w:t>
      </w:r>
      <w:r w:rsidRPr="00DD5F33">
        <w:rPr>
          <w:rFonts w:ascii="Arial" w:eastAsia="Calibri" w:hAnsi="Arial" w:cs="Arial"/>
          <w:i/>
          <w:iCs/>
          <w:color w:val="000000"/>
          <w:sz w:val="22"/>
          <w:szCs w:val="22"/>
          <w:lang w:val="es-ES_tradnl" w:eastAsia="en-US"/>
        </w:rPr>
        <w:t>lex specialis derogat legi generali</w:t>
      </w:r>
      <w:r w:rsidRPr="00DD5F33">
        <w:rPr>
          <w:rFonts w:ascii="Arial" w:eastAsia="Calibri" w:hAnsi="Arial" w:cs="Arial"/>
          <w:color w:val="000000"/>
          <w:sz w:val="22"/>
          <w:szCs w:val="22"/>
          <w:vertAlign w:val="superscript"/>
          <w:lang w:val="es-ES_tradnl" w:eastAsia="en-US"/>
        </w:rPr>
        <w:footnoteReference w:id="23"/>
      </w:r>
      <w:r w:rsidRPr="00DD5F33">
        <w:rPr>
          <w:rFonts w:ascii="Arial" w:eastAsia="Calibri" w:hAnsi="Arial" w:cs="Arial"/>
          <w:color w:val="000000"/>
          <w:sz w:val="22"/>
          <w:szCs w:val="22"/>
          <w:lang w:val="es-ES_tradnl" w:eastAsia="en-US"/>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DD5F33">
        <w:rPr>
          <w:rFonts w:ascii="Arial" w:eastAsia="Calibri" w:hAnsi="Arial" w:cs="Arial"/>
          <w:color w:val="000000"/>
          <w:sz w:val="22"/>
          <w:szCs w:val="22"/>
          <w:vertAlign w:val="superscript"/>
          <w:lang w:val="es-ES_tradnl" w:eastAsia="en-US"/>
        </w:rPr>
        <w:footnoteReference w:id="24"/>
      </w:r>
      <w:r w:rsidRPr="00DD5F33">
        <w:rPr>
          <w:rFonts w:ascii="Arial" w:eastAsia="Calibri" w:hAnsi="Arial" w:cs="Arial"/>
          <w:color w:val="000000"/>
          <w:sz w:val="22"/>
          <w:szCs w:val="22"/>
          <w:lang w:val="es-ES_tradnl" w:eastAsia="en-US"/>
        </w:rPr>
        <w:t xml:space="preserve">. Al respecto, la doctrina considera que: </w:t>
      </w:r>
    </w:p>
    <w:p w14:paraId="064259A1" w14:textId="77777777" w:rsidR="00045A95" w:rsidRPr="00DD5F33" w:rsidRDefault="00045A95" w:rsidP="00045A95">
      <w:pPr>
        <w:spacing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 xml:space="preserve"> </w:t>
      </w:r>
    </w:p>
    <w:p w14:paraId="3A75310F" w14:textId="77777777" w:rsidR="00045A95" w:rsidRPr="00DD5F33" w:rsidRDefault="00045A95" w:rsidP="00045A95">
      <w:pPr>
        <w:ind w:left="709" w:right="758"/>
        <w:jc w:val="both"/>
        <w:rPr>
          <w:rFonts w:ascii="Arial" w:eastAsia="Calibri" w:hAnsi="Arial" w:cs="Arial"/>
          <w:color w:val="000000"/>
          <w:sz w:val="21"/>
          <w:szCs w:val="21"/>
          <w:lang w:val="es-ES_tradnl" w:eastAsia="en-US"/>
        </w:rPr>
      </w:pPr>
      <w:r w:rsidRPr="00DD5F33">
        <w:rPr>
          <w:rFonts w:ascii="Arial" w:eastAsia="Calibri" w:hAnsi="Arial" w:cs="Arial"/>
          <w:color w:val="000000"/>
          <w:sz w:val="21"/>
          <w:szCs w:val="21"/>
          <w:lang w:val="es-ES_tradnl" w:eastAsia="en-US"/>
        </w:rPr>
        <w:t xml:space="preserve">[…] la preferencia por la norma especial sobre la norma posterior no puede tener jamás un valor absoluto, porque razones de orden teleológico pueden impeler a dar prioridad a la </w:t>
      </w:r>
      <w:r w:rsidRPr="00DD5F33">
        <w:rPr>
          <w:rFonts w:ascii="Arial" w:eastAsia="Calibri" w:hAnsi="Arial" w:cs="Arial"/>
          <w:i/>
          <w:iCs/>
          <w:color w:val="000000"/>
          <w:sz w:val="21"/>
          <w:szCs w:val="21"/>
          <w:lang w:val="es-ES_tradnl" w:eastAsia="en-US"/>
        </w:rPr>
        <w:t>lex posterior generalis</w:t>
      </w:r>
      <w:r w:rsidRPr="00DD5F33">
        <w:rPr>
          <w:rFonts w:ascii="Arial" w:eastAsia="Calibri" w:hAnsi="Arial" w:cs="Arial"/>
          <w:color w:val="000000"/>
          <w:sz w:val="21"/>
          <w:szCs w:val="21"/>
          <w:lang w:val="es-ES_tradnl" w:eastAsia="en-US"/>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DD5F33">
        <w:rPr>
          <w:rFonts w:ascii="Arial" w:eastAsia="Calibri" w:hAnsi="Arial" w:cs="Arial"/>
          <w:i/>
          <w:iCs/>
          <w:color w:val="000000"/>
          <w:sz w:val="21"/>
          <w:szCs w:val="21"/>
          <w:lang w:val="es-ES_tradnl" w:eastAsia="en-US"/>
        </w:rPr>
        <w:t xml:space="preserve">lex posterior generalis non derogat </w:t>
      </w:r>
      <w:r w:rsidRPr="00DD5F33">
        <w:rPr>
          <w:rFonts w:ascii="Arial" w:eastAsia="Calibri" w:hAnsi="Arial" w:cs="Arial"/>
          <w:i/>
          <w:iCs/>
          <w:color w:val="000000"/>
          <w:sz w:val="21"/>
          <w:szCs w:val="21"/>
          <w:lang w:val="es-ES_tradnl" w:eastAsia="en-US"/>
        </w:rPr>
        <w:lastRenderedPageBreak/>
        <w:t>legi priori speciali</w:t>
      </w:r>
      <w:r w:rsidRPr="00DD5F33">
        <w:rPr>
          <w:rFonts w:ascii="Arial" w:eastAsia="Calibri" w:hAnsi="Arial" w:cs="Arial"/>
          <w:color w:val="000000"/>
          <w:sz w:val="21"/>
          <w:szCs w:val="21"/>
          <w:lang w:val="es-ES_tradnl" w:eastAsia="en-US"/>
        </w:rPr>
        <w:t xml:space="preserve"> opera como una mera presunción hermenéutica, que puede ser destruida por una clara </w:t>
      </w:r>
      <w:r w:rsidRPr="00DD5F33">
        <w:rPr>
          <w:rFonts w:ascii="Arial" w:eastAsia="Calibri" w:hAnsi="Arial" w:cs="Arial"/>
          <w:i/>
          <w:iCs/>
          <w:color w:val="000000"/>
          <w:sz w:val="21"/>
          <w:szCs w:val="21"/>
          <w:lang w:val="es-ES_tradnl" w:eastAsia="en-US"/>
        </w:rPr>
        <w:t>voluntas legis</w:t>
      </w:r>
      <w:r w:rsidRPr="00DD5F33">
        <w:rPr>
          <w:rFonts w:ascii="Arial" w:eastAsia="Calibri" w:hAnsi="Arial" w:cs="Arial"/>
          <w:color w:val="000000"/>
          <w:sz w:val="21"/>
          <w:szCs w:val="21"/>
          <w:lang w:val="es-ES_tradnl" w:eastAsia="en-US"/>
        </w:rPr>
        <w:t xml:space="preserve"> de sentido contrario</w:t>
      </w:r>
      <w:r w:rsidRPr="00DD5F33">
        <w:rPr>
          <w:rFonts w:ascii="Arial" w:eastAsia="Calibri" w:hAnsi="Arial" w:cs="Arial"/>
          <w:color w:val="000000"/>
          <w:sz w:val="21"/>
          <w:szCs w:val="21"/>
          <w:vertAlign w:val="superscript"/>
          <w:lang w:val="es-ES_tradnl" w:eastAsia="en-US"/>
        </w:rPr>
        <w:footnoteReference w:id="25"/>
      </w:r>
      <w:r w:rsidRPr="00DD5F33">
        <w:rPr>
          <w:rFonts w:ascii="Arial" w:eastAsia="Calibri" w:hAnsi="Arial" w:cs="Arial"/>
          <w:color w:val="000000"/>
          <w:sz w:val="21"/>
          <w:szCs w:val="21"/>
          <w:lang w:val="es-ES_tradnl" w:eastAsia="en-US"/>
        </w:rPr>
        <w:t xml:space="preserve">. </w:t>
      </w:r>
    </w:p>
    <w:p w14:paraId="3CE7CF70" w14:textId="77777777" w:rsidR="00045A95" w:rsidRPr="00DD5F33" w:rsidRDefault="00045A95" w:rsidP="00045A95">
      <w:pPr>
        <w:spacing w:line="276" w:lineRule="auto"/>
        <w:jc w:val="both"/>
        <w:rPr>
          <w:rFonts w:ascii="Arial" w:eastAsia="Calibri" w:hAnsi="Arial" w:cs="Arial"/>
          <w:color w:val="000000"/>
          <w:sz w:val="22"/>
          <w:szCs w:val="22"/>
          <w:lang w:val="es-ES_tradnl" w:eastAsia="en-US"/>
        </w:rPr>
      </w:pPr>
    </w:p>
    <w:p w14:paraId="240DBE00" w14:textId="77777777" w:rsidR="00045A95" w:rsidRPr="00DD5F33" w:rsidRDefault="00045A95" w:rsidP="00045A95">
      <w:pPr>
        <w:spacing w:after="120" w:line="276" w:lineRule="auto"/>
        <w:jc w:val="both"/>
        <w:rPr>
          <w:rFonts w:ascii="Arial" w:eastAsia="Calibri" w:hAnsi="Arial" w:cs="Arial"/>
          <w:bCs/>
          <w:color w:val="000000"/>
          <w:sz w:val="22"/>
          <w:szCs w:val="22"/>
          <w:lang w:val="es-ES_tradnl" w:eastAsia="en-US"/>
        </w:rPr>
      </w:pPr>
      <w:r w:rsidRPr="00DD5F33">
        <w:rPr>
          <w:rFonts w:ascii="Arial" w:eastAsia="Calibri" w:hAnsi="Arial" w:cs="Arial"/>
          <w:color w:val="000000"/>
          <w:sz w:val="22"/>
          <w:szCs w:val="22"/>
          <w:lang w:val="es-ES_tradnl" w:eastAsia="en-US"/>
        </w:rPr>
        <w:tab/>
        <w:t xml:space="preserve">Tratándose de los factores de desempate, la intención del legislador es que el artículo 35 de la Ley de Emprendimiento sea una norma transversal al sistema de compras y contratación pública. Particularmente, </w:t>
      </w:r>
      <w:r w:rsidRPr="00DD5F33">
        <w:rPr>
          <w:rFonts w:ascii="Arial" w:eastAsia="Calibri" w:hAnsi="Arial" w:cs="Arial"/>
          <w:bCs/>
          <w:color w:val="000000"/>
          <w:sz w:val="22"/>
          <w:szCs w:val="22"/>
          <w:lang w:val="es-ES_tradnl" w:eastAsia="en-US"/>
        </w:rPr>
        <w:t>conforme a la exposición de motivos, la ley «</w:t>
      </w:r>
      <w:r w:rsidRPr="00DD5F33">
        <w:rPr>
          <w:rFonts w:ascii="Arial" w:eastAsia="Calibri" w:hAnsi="Arial" w:cs="Arial"/>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propone facilitar el acceso de las Mipymes a la modalidad de contratación de mínima cuantía, la limitación de estos procesos a Mipymes, […] y </w:t>
      </w:r>
      <w:r w:rsidRPr="00DD5F33">
        <w:rPr>
          <w:rFonts w:ascii="Arial" w:eastAsia="Calibri" w:hAnsi="Arial" w:cs="Arial"/>
          <w:bCs/>
          <w:i/>
          <w:iCs/>
          <w:color w:val="000000"/>
          <w:sz w:val="22"/>
          <w:szCs w:val="22"/>
          <w:lang w:val="es-ES_tradnl" w:eastAsia="en-US"/>
        </w:rPr>
        <w:t>define la inclusión de factores de desempate en los procesos de contratación pública que priorizan este segmento</w:t>
      </w:r>
      <w:r w:rsidRPr="00DD5F33">
        <w:rPr>
          <w:rFonts w:ascii="Arial" w:eastAsia="Calibri" w:hAnsi="Arial" w:cs="Arial"/>
          <w:bCs/>
          <w:color w:val="000000"/>
          <w:sz w:val="22"/>
          <w:szCs w:val="22"/>
          <w:lang w:val="es-ES_tradnl" w:eastAsia="en-US"/>
        </w:rPr>
        <w:t>» (Énfasis fuera de texto)</w:t>
      </w:r>
      <w:r w:rsidRPr="00DD5F33">
        <w:rPr>
          <w:rFonts w:ascii="Arial" w:eastAsia="Calibri" w:hAnsi="Arial" w:cs="Arial"/>
          <w:bCs/>
          <w:color w:val="000000"/>
          <w:sz w:val="22"/>
          <w:szCs w:val="22"/>
          <w:vertAlign w:val="superscript"/>
          <w:lang w:val="es-ES_tradnl" w:eastAsia="en-US"/>
        </w:rPr>
        <w:footnoteReference w:id="26"/>
      </w:r>
      <w:r w:rsidRPr="00DD5F33">
        <w:rPr>
          <w:rFonts w:ascii="Arial" w:eastAsia="Calibri" w:hAnsi="Arial" w:cs="Arial"/>
          <w:bCs/>
          <w:color w:val="000000"/>
          <w:sz w:val="22"/>
          <w:szCs w:val="22"/>
          <w:lang w:val="es-ES_tradnl" w:eastAsia="en-US"/>
        </w:rPr>
        <w:t>. En esta medida, carece de sentido que los criterios de desempate sean inaplicables a la mínima cuantía desde la expedición de la Ley 2069 de 2020, cuando la regla prevista en el artículo citado aplica en los procesos de contratación realizados por las entidades estatales indistintamente de su régimen de contratación, así como los celebrados por los procesos de contratación de los patrimonios autónomos constituidos por entidades estatales, sin consideración al valor del presupuesto oficial estimado. En este sentido, los criterios de desempate aplicables a los procesos de mínima cuantía, desde la expedición de la Ley 2069 de 2020 son los establecidos en el artículo 35 de dicha Ley, entendiéndose derogadas las normas que le sean contrarias.</w:t>
      </w:r>
    </w:p>
    <w:p w14:paraId="0E4CA096" w14:textId="1AB23280" w:rsidR="001522B7" w:rsidRPr="00DD5F33" w:rsidRDefault="00045A95" w:rsidP="001522B7">
      <w:pPr>
        <w:tabs>
          <w:tab w:val="left" w:pos="709"/>
        </w:tabs>
        <w:spacing w:line="276" w:lineRule="auto"/>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ab/>
        <w:t xml:space="preserve">Teniendo en cuenta lo anterior, se concluye que el artículo </w:t>
      </w:r>
      <w:r w:rsidRPr="00DD5F33">
        <w:rPr>
          <w:rFonts w:ascii="Arial" w:eastAsia="Calibri" w:hAnsi="Arial" w:cs="Arial"/>
          <w:color w:val="000000"/>
          <w:sz w:val="22"/>
          <w:szCs w:val="22"/>
          <w:lang w:val="es-ES_tradnl" w:eastAsia="en-US"/>
        </w:rPr>
        <w:t xml:space="preserve">35 de la Ley 2069 de 2020 es aplicable al procedimiento de mínima cuantía desde la expedición de dicha Ley, por lo que se presentó tanto la derogación como el decaimiento de los criterios de desempate previstos en el Decreto 1082 de 2015 para esta modalidad de selección. De esta manera, a excepción del numeral 7 del artículo 2.2.1.2.1.5.2 y el numeral 3 del artículo 2.2.1.2.1.5.3 del Decreto Único Reglamentario del Sector Administrativo de Planeación Nacional –que se refieren a criterios de desempate–, </w:t>
      </w:r>
      <w:r w:rsidRPr="00DD5F33">
        <w:rPr>
          <w:rFonts w:ascii="Arial" w:eastAsia="Calibri" w:hAnsi="Arial" w:cs="Arial"/>
          <w:bCs/>
          <w:color w:val="000000"/>
          <w:sz w:val="22"/>
          <w:szCs w:val="22"/>
          <w:lang w:val="es-ES_tradnl" w:eastAsia="en-US"/>
        </w:rPr>
        <w:t>los</w:t>
      </w:r>
      <w:r w:rsidRPr="00DD5F33">
        <w:rPr>
          <w:rFonts w:ascii="Arial" w:eastAsia="Calibri" w:hAnsi="Arial" w:cs="Arial"/>
          <w:color w:val="000000"/>
          <w:sz w:val="22"/>
          <w:szCs w:val="22"/>
          <w:lang w:val="es-ES_tradnl" w:eastAsia="en-US"/>
        </w:rPr>
        <w:t xml:space="preserve"> artículos 2.2.1.2.1.5.1 al 2.2.1.2.1.5.4 de este reglamento continúan rigiendo bajo la vigencia del numeral 5 del artículo 2 de la Ley 1150 de 2007, modificado por el artículo 30 de la Ley de Emprendimiento.</w:t>
      </w:r>
      <w:bookmarkEnd w:id="14"/>
      <w:r w:rsidRPr="00DD5F33">
        <w:rPr>
          <w:rFonts w:ascii="Arial" w:eastAsia="Calibri" w:hAnsi="Arial" w:cs="Arial"/>
          <w:color w:val="000000"/>
          <w:sz w:val="22"/>
          <w:szCs w:val="22"/>
          <w:lang w:val="es-ES_tradnl" w:eastAsia="en-US"/>
        </w:rPr>
        <w:t xml:space="preserve"> Sin embargo, el régimen aplicable a la mínima cuantía </w:t>
      </w:r>
      <w:r w:rsidR="00454F20" w:rsidRPr="00DD5F33">
        <w:rPr>
          <w:rFonts w:ascii="Arial" w:eastAsia="Calibri" w:hAnsi="Arial" w:cs="Arial"/>
          <w:color w:val="000000"/>
          <w:sz w:val="22"/>
          <w:szCs w:val="22"/>
          <w:lang w:val="es-ES_tradnl" w:eastAsia="en-US"/>
        </w:rPr>
        <w:t>varió</w:t>
      </w:r>
      <w:r w:rsidRPr="00DD5F33">
        <w:rPr>
          <w:rFonts w:ascii="Arial" w:eastAsia="Calibri" w:hAnsi="Arial" w:cs="Arial"/>
          <w:color w:val="000000"/>
          <w:sz w:val="22"/>
          <w:szCs w:val="22"/>
          <w:lang w:val="es-ES_tradnl" w:eastAsia="en-US"/>
        </w:rPr>
        <w:t xml:space="preserve"> para los procesos cuya invitación se </w:t>
      </w:r>
      <w:r w:rsidR="00454F20" w:rsidRPr="00DD5F33">
        <w:rPr>
          <w:rFonts w:ascii="Arial" w:eastAsia="Calibri" w:hAnsi="Arial" w:cs="Arial"/>
          <w:color w:val="000000"/>
          <w:sz w:val="22"/>
          <w:szCs w:val="22"/>
          <w:lang w:val="es-ES_tradnl" w:eastAsia="en-US"/>
        </w:rPr>
        <w:t>publicó</w:t>
      </w:r>
      <w:r w:rsidRPr="00DD5F33">
        <w:rPr>
          <w:rFonts w:ascii="Arial" w:eastAsia="Calibri" w:hAnsi="Arial" w:cs="Arial"/>
          <w:color w:val="000000"/>
          <w:sz w:val="22"/>
          <w:szCs w:val="22"/>
          <w:lang w:val="es-ES_tradnl" w:eastAsia="en-US"/>
        </w:rPr>
        <w:t xml:space="preserve"> a partir del 24 de marzo de 2022</w:t>
      </w:r>
      <w:r w:rsidR="00454F20" w:rsidRPr="00DD5F33">
        <w:rPr>
          <w:rFonts w:ascii="Arial" w:eastAsia="Calibri" w:hAnsi="Arial" w:cs="Arial"/>
          <w:color w:val="000000"/>
          <w:sz w:val="22"/>
          <w:szCs w:val="22"/>
          <w:lang w:val="es-ES_tradnl" w:eastAsia="en-US"/>
        </w:rPr>
        <w:t>.</w:t>
      </w:r>
    </w:p>
    <w:p w14:paraId="560BCF97" w14:textId="4E7F4323" w:rsidR="001522B7" w:rsidRPr="00DD5F33" w:rsidRDefault="00454F20" w:rsidP="001522B7">
      <w:pPr>
        <w:tabs>
          <w:tab w:val="left" w:pos="709"/>
        </w:tabs>
        <w:spacing w:before="120"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color w:val="000000"/>
          <w:sz w:val="22"/>
          <w:szCs w:val="22"/>
          <w:lang w:val="es-ES_tradnl" w:eastAsia="en-US"/>
        </w:rPr>
        <w:t>En efecto, r</w:t>
      </w:r>
      <w:r w:rsidR="00045A95" w:rsidRPr="00DD5F33">
        <w:rPr>
          <w:rFonts w:ascii="Arial" w:eastAsia="Calibri" w:hAnsi="Arial" w:cs="Arial"/>
          <w:color w:val="000000"/>
          <w:sz w:val="22"/>
          <w:szCs w:val="22"/>
          <w:lang w:val="es-ES_tradnl" w:eastAsia="en-US"/>
        </w:rPr>
        <w:t xml:space="preserve">ecientemente se expidió el Decreto 1860 del 24 de diciembre de 2021 </w:t>
      </w:r>
      <w:r w:rsidR="00045A95" w:rsidRPr="00DD5F33">
        <w:rPr>
          <w:rFonts w:ascii="Arial" w:eastAsia="Calibri" w:hAnsi="Arial" w:cs="Arial"/>
          <w:bCs/>
          <w:color w:val="000000"/>
          <w:sz w:val="22"/>
          <w:szCs w:val="22"/>
          <w:lang w:val="es-ES_tradnl" w:eastAsia="en-U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w:t>
      </w:r>
      <w:r w:rsidR="00045A95" w:rsidRPr="00DD5F33">
        <w:rPr>
          <w:rFonts w:ascii="Arial" w:eastAsia="Calibri" w:hAnsi="Arial" w:cs="Arial"/>
          <w:bCs/>
          <w:color w:val="000000"/>
          <w:sz w:val="22"/>
          <w:szCs w:val="22"/>
          <w:lang w:val="es-ES_tradnl" w:eastAsia="en-US"/>
        </w:rPr>
        <w:lastRenderedPageBreak/>
        <w:t>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23839AD1" w14:textId="77777777" w:rsidR="001522B7" w:rsidRPr="00DD5F33" w:rsidRDefault="00045A95" w:rsidP="001522B7">
      <w:pPr>
        <w:tabs>
          <w:tab w:val="left" w:pos="709"/>
        </w:tabs>
        <w:spacing w:before="120"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w:t>
      </w:r>
      <w:r w:rsidRPr="00DD5F33">
        <w:rPr>
          <w:rFonts w:ascii="Arial" w:eastAsia="Calibri" w:hAnsi="Arial" w:cs="Arial"/>
          <w:bCs/>
          <w:color w:val="000000"/>
          <w:sz w:val="22"/>
          <w:szCs w:val="22"/>
          <w:vertAlign w:val="superscript"/>
          <w:lang w:val="es-ES_tradnl" w:eastAsia="en-US"/>
        </w:rPr>
        <w:footnoteReference w:id="27"/>
      </w:r>
      <w:r w:rsidRPr="00DD5F33">
        <w:rPr>
          <w:rFonts w:ascii="Arial" w:eastAsia="Calibri" w:hAnsi="Arial" w:cs="Arial"/>
          <w:bCs/>
          <w:color w:val="000000"/>
          <w:sz w:val="22"/>
          <w:szCs w:val="22"/>
          <w:lang w:val="es-ES_tradnl" w:eastAsia="en-US"/>
        </w:rPr>
        <w:t>. iii) 2.2.1.2.1.5.3. que regula un procedimiento especial para las adquisiciones en grandes almacenes cuando se trate de mínima cuantía. iv) 2.2.1.2.1.5.4.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6858B7C1" w14:textId="77777777" w:rsidR="001522B7" w:rsidRPr="00DD5F33" w:rsidRDefault="00045A95" w:rsidP="001522B7">
      <w:pPr>
        <w:tabs>
          <w:tab w:val="left" w:pos="709"/>
        </w:tabs>
        <w:spacing w:before="120" w:line="276" w:lineRule="auto"/>
        <w:ind w:firstLine="709"/>
        <w:jc w:val="both"/>
        <w:rPr>
          <w:rFonts w:ascii="Arial" w:eastAsia="Calibri" w:hAnsi="Arial" w:cs="Arial"/>
          <w:color w:val="000000"/>
          <w:sz w:val="22"/>
          <w:szCs w:val="22"/>
          <w:lang w:val="es-ES_tradnl" w:eastAsia="en-US"/>
        </w:rPr>
      </w:pPr>
      <w:r w:rsidRPr="00DD5F33">
        <w:rPr>
          <w:rFonts w:ascii="Arial" w:eastAsia="Calibri" w:hAnsi="Arial" w:cs="Arial"/>
          <w:bCs/>
          <w:color w:val="000000"/>
          <w:sz w:val="22"/>
          <w:szCs w:val="22"/>
          <w:lang w:val="es-ES_tradnl" w:eastAsia="en-US"/>
        </w:rPr>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075F4094" w14:textId="4D051B5C" w:rsidR="00CB3448" w:rsidRPr="00DD5F33" w:rsidRDefault="00760429" w:rsidP="003564C4">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lo que se refiere a uno de los aspectos de la consulta</w:t>
      </w:r>
      <w:r w:rsidR="00957EAC" w:rsidRPr="00DD5F33">
        <w:rPr>
          <w:rFonts w:ascii="Arial" w:eastAsia="Calibri" w:hAnsi="Arial" w:cs="Arial"/>
          <w:bCs/>
          <w:color w:val="000000"/>
          <w:sz w:val="22"/>
          <w:szCs w:val="22"/>
          <w:lang w:val="es-ES_tradnl" w:eastAsia="en-US"/>
        </w:rPr>
        <w:t xml:space="preserve"> –en la cual se indaga por algunas cuestiones relativ</w:t>
      </w:r>
      <w:r w:rsidR="00E83647" w:rsidRPr="00DD5F33">
        <w:rPr>
          <w:rFonts w:ascii="Arial" w:eastAsia="Calibri" w:hAnsi="Arial" w:cs="Arial"/>
          <w:bCs/>
          <w:color w:val="000000"/>
          <w:sz w:val="22"/>
          <w:szCs w:val="22"/>
          <w:lang w:val="es-ES_tradnl" w:eastAsia="en-US"/>
        </w:rPr>
        <w:t>a</w:t>
      </w:r>
      <w:r w:rsidR="00957EAC" w:rsidRPr="00DD5F33">
        <w:rPr>
          <w:rFonts w:ascii="Arial" w:eastAsia="Calibri" w:hAnsi="Arial" w:cs="Arial"/>
          <w:bCs/>
          <w:color w:val="000000"/>
          <w:sz w:val="22"/>
          <w:szCs w:val="22"/>
          <w:lang w:val="es-ES_tradnl" w:eastAsia="en-US"/>
        </w:rPr>
        <w:t>s a la nueva reglamentación de la mínima cuantía–</w:t>
      </w:r>
      <w:r w:rsidRPr="00DD5F33">
        <w:rPr>
          <w:rFonts w:ascii="Arial" w:eastAsia="Calibri" w:hAnsi="Arial" w:cs="Arial"/>
          <w:bCs/>
          <w:color w:val="000000"/>
          <w:sz w:val="22"/>
          <w:szCs w:val="22"/>
          <w:lang w:val="es-ES_tradnl" w:eastAsia="en-US"/>
        </w:rPr>
        <w:t xml:space="preserve">, el artículo </w:t>
      </w:r>
      <w:r w:rsidR="00F32EF2" w:rsidRPr="00DD5F33">
        <w:rPr>
          <w:rFonts w:ascii="Arial" w:eastAsia="Calibri" w:hAnsi="Arial" w:cs="Arial"/>
          <w:bCs/>
          <w:color w:val="000000"/>
          <w:sz w:val="22"/>
          <w:szCs w:val="22"/>
          <w:lang w:val="es-ES_tradnl" w:eastAsia="en-US"/>
        </w:rPr>
        <w:t>2.2.1.2.1.5.2. del Decreto 1082 de 2015, modificado por el</w:t>
      </w:r>
      <w:r w:rsidR="007D594A" w:rsidRPr="00DD5F33">
        <w:rPr>
          <w:rFonts w:ascii="Arial" w:eastAsia="Calibri" w:hAnsi="Arial" w:cs="Arial"/>
          <w:bCs/>
          <w:color w:val="000000"/>
          <w:sz w:val="22"/>
          <w:szCs w:val="22"/>
          <w:lang w:val="es-ES_tradnl" w:eastAsia="en-US"/>
        </w:rPr>
        <w:t xml:space="preserve"> artículo 2 del Decreto 1860 de 2021, indica que </w:t>
      </w:r>
      <w:r w:rsidRPr="00DD5F33">
        <w:rPr>
          <w:rFonts w:ascii="Arial" w:eastAsia="Calibri" w:hAnsi="Arial" w:cs="Arial"/>
          <w:bCs/>
          <w:color w:val="000000"/>
          <w:sz w:val="22"/>
          <w:szCs w:val="22"/>
          <w:lang w:val="es-ES_tradnl" w:eastAsia="en-US"/>
        </w:rPr>
        <w:t xml:space="preserve">las entidades estatales «establecerán un término preclusivo en la invitación para recibir los documentos subsanables, frente a cada uno de los requerimientos». Las entidades estatales gozan, pues, de discrecionalidad administrativa para establecer el término de subsanación en la invitación, pero una vez lo hagan aquel se convierte en reglado y preclusivo. Si la entidad estatal no define el término, «los proponentes podrán subsanar sus ofertas hasta antes de que finalice el traslado del informe de evaluación». </w:t>
      </w:r>
    </w:p>
    <w:p w14:paraId="01A6A035" w14:textId="77777777" w:rsidR="007A02DD" w:rsidRPr="00DD5F33" w:rsidRDefault="00760429" w:rsidP="00CB3448">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 xml:space="preserve">Ahora bien, el numeral 5 del artículo 2.2.1.2.1.5.2. no permite que en un solo documento común la entidad estatal solicite la subsanación de los requisitos habilitantes de todos los oferentes sin haber verificado primero el menor precio. Obsérvese que la norma establece que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w:t>
      </w:r>
    </w:p>
    <w:p w14:paraId="489F1DDA" w14:textId="18654B88" w:rsidR="00760429" w:rsidRPr="00DD5F33" w:rsidRDefault="00760429" w:rsidP="00CB3448">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tal sentido, una vez la entidad estatal constate que un oferente presentó el menor precio de todas las propuestas allegadas, verificará si cumple con los requisitos habilitantes. En caso de no cumplirlos y respetando lo dispuesto en el artículo 5 de la Ley 1150 de 2007, le solicitará que subsane el defecto correspondiente, en el término preclusivo previsto en la invitación. Si no se señala término alguno, el proponente podrá subsanar «hasta antes de que finalice el traslado del informe de evaluación» –el cual es de un (1) día hábil–, y así procederá con los demás, en caso de que este no subsane.</w:t>
      </w:r>
    </w:p>
    <w:p w14:paraId="47565124" w14:textId="16E04E36" w:rsidR="00983875" w:rsidRPr="00DD5F33" w:rsidRDefault="00DE1786" w:rsidP="00983875">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Adicionalmente</w:t>
      </w:r>
      <w:r w:rsidR="00983875" w:rsidRPr="00DD5F33">
        <w:rPr>
          <w:rFonts w:ascii="Arial" w:eastAsia="Calibri" w:hAnsi="Arial" w:cs="Arial"/>
          <w:bCs/>
          <w:color w:val="000000"/>
          <w:sz w:val="22"/>
          <w:szCs w:val="22"/>
          <w:lang w:val="es-ES_tradnl" w:eastAsia="en-US"/>
        </w:rPr>
        <w:t xml:space="preserve">, el artículo 2.2.1.2.1.5.3. establece que corresponde a cada entidad estatal decidir si realizará la adquisición en grandes almacenes. En otras palabras, aquella cuenta con discrecionalidad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w:t>
      </w:r>
    </w:p>
    <w:p w14:paraId="5573A181" w14:textId="77777777" w:rsidR="00983875" w:rsidRPr="00DD5F33" w:rsidRDefault="00983875" w:rsidP="00983875">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otra parte, según lo indica el numeral 3 del artículo 2.2.1.2.1.5.2., en el término que tienen los interesados para formular observaciones a la invitación, «podrán presentar las solicitudes para limitar la convocatoria a Mipyme colombianas». De acuerdo con el numeral cuarto del referido artículo, la entidad estatal debe señalar en el cronograma «El momento en que publicará un aviso en el SECOP precisando si el proceso efectivamente se limitó a Mipyme o si podrá participar cualquier otro interesado». En este aviso, además, «</w:t>
      </w:r>
      <w:r w:rsidRPr="00DD5F33">
        <w:rPr>
          <w:rFonts w:ascii="Arial" w:hAnsi="Arial" w:cs="Arial"/>
          <w:sz w:val="22"/>
          <w:szCs w:val="22"/>
          <w:lang w:val="es-ES_tradnl"/>
        </w:rPr>
        <w:t xml:space="preserve">[…] </w:t>
      </w:r>
      <w:r w:rsidRPr="00DD5F33">
        <w:rPr>
          <w:rFonts w:ascii="Arial" w:eastAsia="Calibri" w:hAnsi="Arial" w:cs="Arial"/>
          <w:bCs/>
          <w:color w:val="000000"/>
          <w:sz w:val="22"/>
          <w:szCs w:val="22"/>
          <w:lang w:val="es-ES_tradnl" w:eastAsia="en-US"/>
        </w:rPr>
        <w:t xml:space="preserve">se indicará si en el proceso aplican las limitaciones territoriales de que trata el artículo 2.2.1.2.4.2.3 o si podrá participar cualquier Mipyme nacional». El parágrafo del artículo 2.2.1.2.1.5.2., igualmente, señala que «en estos procedimientos de selección para Mipyme se aplicará lo prescrito en los artículos 2.2.1.2.4.2.2 a 2.2.1.2.4.2.4 de este Decreto». Así pues, las limitaciones a mipymes colombianas se torna obligatoria en la mínima cuantía si se concurren los elementos establecidos en el artículo 2.2.1.2.4.2.2.; mientras que la limitación territorial a mipymes colombianas domiciliadas en los departamentos o municipios en donde se va a ejecutar el contrato es facultativa, de conformidad con el parágrafo 1 del artículo 12 de la Ley 1150 de 2007 y el artículo 2.2.1.2.4.2.3. del Decreto 1082 de 2015. </w:t>
      </w:r>
    </w:p>
    <w:p w14:paraId="5007A57C" w14:textId="77777777" w:rsidR="00983875" w:rsidRPr="00DD5F33" w:rsidRDefault="00983875" w:rsidP="00983875">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lastRenderedPageBreak/>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DD5F33">
        <w:rPr>
          <w:rFonts w:ascii="Arial" w:eastAsia="Arial" w:hAnsi="Arial" w:cs="Arial"/>
          <w:i/>
          <w:color w:val="000000"/>
          <w:sz w:val="22"/>
          <w:szCs w:val="22"/>
          <w:lang w:val="es-ES_tradnl" w:eastAsia="en-US"/>
        </w:rPr>
        <w:t xml:space="preserve">motu proprio </w:t>
      </w:r>
      <w:r w:rsidRPr="00DD5F33">
        <w:rPr>
          <w:rFonts w:ascii="Arial" w:eastAsia="Arial" w:hAnsi="Arial" w:cs="Arial"/>
          <w:color w:val="000000"/>
          <w:sz w:val="22"/>
          <w:szCs w:val="22"/>
          <w:lang w:val="es-ES_tradnl"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297CEC5D" w14:textId="54FD61CB" w:rsidR="009B3BCD" w:rsidRPr="00DD5F33" w:rsidRDefault="00983875" w:rsidP="00A804ED">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Además, debe tenerse en cuenta lo dispuesto en el artículo 2.2.1.2.1.5.4., según el cual «La Agencia Nacional de Contratación Pública - Colombia Compra Eficiente definirá en un plazo no mayor a tres (3) meses contados a partir de la publicación de este Decreto, las reglas para la creación y utilización de los catálogos de bienes o servicios derivados de instrumentos de agregación de demanda con Mipyme, así como con grandes almacenes, en la Tienda Virtual del Estado Colombiano, a los cuales podrán acudir las Entidades Estatales para celebrar contratos hasta por el monto de la mínima cuantía».</w:t>
      </w:r>
      <w:r w:rsidR="00045A95" w:rsidRPr="00DD5F33">
        <w:rPr>
          <w:rFonts w:ascii="Arial" w:eastAsia="Calibri" w:hAnsi="Arial" w:cs="Arial"/>
          <w:color w:val="000000"/>
          <w:sz w:val="22"/>
          <w:szCs w:val="22"/>
          <w:lang w:val="es-ES_tradnl" w:eastAsia="en-US"/>
        </w:rPr>
        <w:t xml:space="preserve"> </w:t>
      </w:r>
    </w:p>
    <w:p w14:paraId="67402286" w14:textId="77777777" w:rsidR="00957EAC" w:rsidRPr="00DD5F33" w:rsidRDefault="00957EAC" w:rsidP="00957EAC">
      <w:pPr>
        <w:rPr>
          <w:rFonts w:ascii="Arial" w:eastAsia="Calibri" w:hAnsi="Arial" w:cs="Arial"/>
          <w:lang w:val="es-ES_tradnl"/>
        </w:rPr>
      </w:pPr>
    </w:p>
    <w:p w14:paraId="388487DF" w14:textId="4E3F9F10" w:rsidR="009B3BCD" w:rsidRPr="00DD5F33" w:rsidRDefault="006F08B2" w:rsidP="00281A2B">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4</w:t>
      </w:r>
      <w:r w:rsidRPr="00DD5F33">
        <w:rPr>
          <w:rFonts w:ascii="Arial" w:eastAsia="Calibri" w:hAnsi="Arial" w:cs="Arial"/>
          <w:b/>
          <w:color w:val="000000" w:themeColor="text1"/>
          <w:sz w:val="22"/>
          <w:lang w:val="es-ES_tradnl"/>
        </w:rPr>
        <w:t xml:space="preserve">. </w:t>
      </w:r>
      <w:r w:rsidR="009B3BCD" w:rsidRPr="00DD5F33">
        <w:rPr>
          <w:rFonts w:ascii="Arial" w:eastAsia="Calibri" w:hAnsi="Arial" w:cs="Arial"/>
          <w:b/>
          <w:color w:val="000000" w:themeColor="text1"/>
          <w:sz w:val="22"/>
          <w:lang w:val="es-ES_tradnl"/>
        </w:rPr>
        <w:t>Criterios diferenciales para mipymes en el sistema de compra pública</w:t>
      </w:r>
      <w:r w:rsidRPr="00DD5F33">
        <w:rPr>
          <w:rFonts w:ascii="Arial" w:eastAsia="Calibri" w:hAnsi="Arial" w:cs="Arial"/>
          <w:b/>
          <w:color w:val="000000" w:themeColor="text1"/>
          <w:sz w:val="22"/>
          <w:lang w:val="es-ES_tradnl"/>
        </w:rPr>
        <w:t xml:space="preserve">, </w:t>
      </w:r>
      <w:r w:rsidR="00281A2B" w:rsidRPr="00DD5F33">
        <w:rPr>
          <w:rFonts w:ascii="Arial" w:eastAsia="Calibri" w:hAnsi="Arial" w:cs="Arial"/>
          <w:b/>
          <w:color w:val="000000" w:themeColor="text1"/>
          <w:sz w:val="22"/>
          <w:lang w:val="es-ES_tradnl"/>
        </w:rPr>
        <w:t>introducidos por el artículo 31 de la Ley 2069 de 2020 y reglamentados por el Decreto 1</w:t>
      </w:r>
      <w:r w:rsidR="00C754A1" w:rsidRPr="00DD5F33">
        <w:rPr>
          <w:rFonts w:ascii="Arial" w:eastAsia="Calibri" w:hAnsi="Arial" w:cs="Arial"/>
          <w:b/>
          <w:color w:val="000000" w:themeColor="text1"/>
          <w:sz w:val="22"/>
          <w:lang w:val="es-ES_tradnl"/>
        </w:rPr>
        <w:t>8</w:t>
      </w:r>
      <w:r w:rsidR="00281A2B" w:rsidRPr="00DD5F33">
        <w:rPr>
          <w:rFonts w:ascii="Arial" w:eastAsia="Calibri" w:hAnsi="Arial" w:cs="Arial"/>
          <w:b/>
          <w:color w:val="000000" w:themeColor="text1"/>
          <w:sz w:val="22"/>
          <w:lang w:val="es-ES_tradnl"/>
        </w:rPr>
        <w:t>60 de 2021</w:t>
      </w:r>
    </w:p>
    <w:p w14:paraId="4F5D58EB" w14:textId="77777777" w:rsidR="009B3BCD" w:rsidRPr="00DD5F33" w:rsidRDefault="009B3BCD" w:rsidP="009B3BCD">
      <w:pPr>
        <w:tabs>
          <w:tab w:val="left" w:pos="709"/>
        </w:tabs>
        <w:spacing w:line="276" w:lineRule="auto"/>
        <w:jc w:val="both"/>
        <w:rPr>
          <w:rFonts w:ascii="Arial" w:eastAsia="Calibri" w:hAnsi="Arial" w:cs="Arial"/>
          <w:bCs/>
          <w:color w:val="000000" w:themeColor="text1"/>
          <w:sz w:val="22"/>
          <w:lang w:val="es-ES_tradnl"/>
        </w:rPr>
      </w:pPr>
    </w:p>
    <w:p w14:paraId="5ADE48AB" w14:textId="1CA707D9" w:rsidR="00C95D65" w:rsidRPr="00DD5F33" w:rsidRDefault="009B3BCD" w:rsidP="0032456A">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artículo 31 de la Ley 2069 de 2020 introduce criterios diferenciales para el acceso de las mipymes al sistema de compras y contratación pública. Para estos efectos, el inciso primero dispone que «Las Entidades Estatales de acuerdo con el análisis de Sector </w:t>
      </w:r>
      <w:bookmarkStart w:id="22" w:name="_Hlk63767562"/>
      <w:r w:rsidRPr="00DD5F33">
        <w:rPr>
          <w:rFonts w:ascii="Arial" w:eastAsia="Calibri" w:hAnsi="Arial" w:cs="Arial"/>
          <w:bCs/>
          <w:color w:val="000000" w:themeColor="text1"/>
          <w:sz w:val="22"/>
          <w:lang w:val="es-ES_tradnl"/>
        </w:rPr>
        <w:t>podrán incluir, en los Documentos del Proceso, requisitos diferenciales y puntajes adicionales</w:t>
      </w:r>
      <w:bookmarkEnd w:id="22"/>
      <w:r w:rsidRPr="00DD5F33">
        <w:rPr>
          <w:rFonts w:ascii="Arial" w:eastAsia="Calibri" w:hAnsi="Arial" w:cs="Arial"/>
          <w:bCs/>
          <w:color w:val="000000" w:themeColor="text1"/>
          <w:sz w:val="22"/>
          <w:lang w:val="es-ES_tradnl"/>
        </w:rPr>
        <w:t>, en función del tamaño empresarial para la promoción del acceso de las MIPYMES al mercado de Compras Públicas».</w:t>
      </w:r>
      <w:r w:rsidR="00B724AE" w:rsidRPr="00DD5F33">
        <w:rPr>
          <w:rFonts w:ascii="Arial" w:eastAsia="Calibri" w:hAnsi="Arial" w:cs="Arial"/>
          <w:bCs/>
          <w:color w:val="000000" w:themeColor="text1"/>
          <w:sz w:val="22"/>
          <w:lang w:val="es-ES_tradnl"/>
        </w:rPr>
        <w:t xml:space="preserve"> </w:t>
      </w:r>
      <w:r w:rsidRPr="00DD5F33">
        <w:rPr>
          <w:rFonts w:ascii="Arial" w:eastAsia="Calibri" w:hAnsi="Arial" w:cs="Arial"/>
          <w:bCs/>
          <w:color w:val="000000" w:themeColor="text1"/>
          <w:sz w:val="22"/>
          <w:lang w:val="es-ES_tradnl"/>
        </w:rPr>
        <w:t>No obstante,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también dispone el desarrollo reglamentario como una condición previa para su aplicación.</w:t>
      </w:r>
    </w:p>
    <w:p w14:paraId="77B95109" w14:textId="12156C09" w:rsidR="00C95D65" w:rsidRPr="00DD5F33" w:rsidRDefault="00C95D65" w:rsidP="00C95D65">
      <w:pPr>
        <w:tabs>
          <w:tab w:val="left" w:pos="709"/>
        </w:tabs>
        <w:spacing w:before="120" w:line="276" w:lineRule="auto"/>
        <w:ind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segundo inciso del artículo 12 de la Ley 1150 de 2007, modificado por el artículo 34 de la Ley 2069 de 2020, dispone que el reglamento podrá establecer condiciones preferenciales en favor de la oferta de bienes y servicios producidos por las Mipyme, respetando los montos y las condiciones contenidas en los compromisos internacionales </w:t>
      </w:r>
      <w:r w:rsidRPr="00DD5F33">
        <w:rPr>
          <w:rFonts w:ascii="Arial" w:eastAsia="Calibri" w:hAnsi="Arial" w:cs="Arial"/>
          <w:bCs/>
          <w:color w:val="000000" w:themeColor="text1"/>
          <w:sz w:val="22"/>
          <w:lang w:val="es-ES_tradnl"/>
        </w:rPr>
        <w:lastRenderedPageBreak/>
        <w:t>vigentes, cuando sean aplicables». En desarrollo de este enunciado normativo, el artículo 3 del Decreto 1860 de 2021 adicionó al Decreto 1082 de 2015 el artículo 2.2.1.2.4.2.18, que indica:</w:t>
      </w:r>
    </w:p>
    <w:p w14:paraId="1B66BDDC" w14:textId="77777777" w:rsidR="00C95D65" w:rsidRPr="00DD5F33" w:rsidRDefault="00C95D65" w:rsidP="00C95D65">
      <w:pPr>
        <w:ind w:left="709" w:right="709"/>
        <w:jc w:val="both"/>
        <w:rPr>
          <w:rFonts w:ascii="Arial" w:hAnsi="Arial" w:cs="Arial"/>
          <w:sz w:val="21"/>
          <w:szCs w:val="21"/>
          <w:lang w:val="es-ES_tradnl"/>
        </w:rPr>
      </w:pPr>
      <w:r w:rsidRPr="00DD5F33">
        <w:rPr>
          <w:rFonts w:ascii="Arial" w:hAnsi="Arial" w:cs="Arial"/>
          <w:sz w:val="21"/>
          <w:szCs w:val="21"/>
          <w:lang w:val="es-ES_tradnl"/>
        </w:rPr>
        <w:t>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4F8E5080"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1. Tiempo de experiencia.</w:t>
      </w:r>
    </w:p>
    <w:p w14:paraId="21B32574"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2. Número de contratos para la acreditación de la experiencia.</w:t>
      </w:r>
    </w:p>
    <w:p w14:paraId="70B09CA5"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3. Índices de capacidad financiera.</w:t>
      </w:r>
    </w:p>
    <w:p w14:paraId="4276470C"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4. Índices de capacidad organizacional.</w:t>
      </w:r>
    </w:p>
    <w:p w14:paraId="4E9080C8"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5. Valor de la garantía de seriedad de la oferta.</w:t>
      </w:r>
    </w:p>
    <w:p w14:paraId="18A9684D"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36131E2D"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167973C6"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PARÁGRAFO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4C5B3B16"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PARÁGRAFO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62F691C2" w14:textId="77777777" w:rsidR="00C95D65" w:rsidRPr="00DD5F33" w:rsidRDefault="00C95D65" w:rsidP="00C95D65">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PARÁGRAFO 3. Lo previsto en esta norma aplica sin perjuicio de lo dispuesto en los Acuerdos Comerciales suscritos por el Estado colombiano, pero no rige en las convocatorias limitadas que se realicen conforme a los artículos 2.2.1.2.4.2.2 y 2.2.1.2.4.2.3 de este Decreto."</w:t>
      </w:r>
    </w:p>
    <w:p w14:paraId="5C20E677" w14:textId="77777777" w:rsidR="00C8540F" w:rsidRPr="00DD5F33" w:rsidRDefault="00C8540F" w:rsidP="00C8540F">
      <w:pPr>
        <w:spacing w:line="276" w:lineRule="auto"/>
        <w:ind w:firstLine="709"/>
        <w:jc w:val="both"/>
        <w:rPr>
          <w:rFonts w:ascii="Arial" w:eastAsia="Calibri" w:hAnsi="Arial" w:cs="Arial"/>
          <w:bCs/>
          <w:color w:val="000000"/>
          <w:sz w:val="22"/>
          <w:szCs w:val="22"/>
          <w:lang w:val="es-ES_tradnl" w:eastAsia="en-US"/>
        </w:rPr>
      </w:pPr>
    </w:p>
    <w:p w14:paraId="763E5C07" w14:textId="0EF451FB" w:rsidR="00C8540F" w:rsidRPr="00DD5F33" w:rsidRDefault="00C8540F" w:rsidP="00C8540F">
      <w:pPr>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Se deben diferenciar, pues, dos circunstancias: i) una es la limitación de una convocatoria a mipymes –regulada en los artículos 2.2.1.2.4.2.2.</w:t>
      </w:r>
      <w:r w:rsidR="00FA4DFD"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al 2.2.1.2.4.2.4. del Decreto 1082 de 2015, modificados por el artículo 5 del Decreto 1860 de 2021– y ii) otra es el establecimiento de criterios </w:t>
      </w:r>
      <w:r w:rsidR="00F80269" w:rsidRPr="00DD5F33">
        <w:rPr>
          <w:rFonts w:ascii="Arial" w:eastAsia="Calibri" w:hAnsi="Arial" w:cs="Arial"/>
          <w:bCs/>
          <w:color w:val="000000"/>
          <w:sz w:val="22"/>
          <w:szCs w:val="22"/>
          <w:lang w:val="es-ES_tradnl" w:eastAsia="en-US"/>
        </w:rPr>
        <w:t xml:space="preserve">diferenciales </w:t>
      </w:r>
      <w:r w:rsidRPr="00DD5F33">
        <w:rPr>
          <w:rFonts w:ascii="Arial" w:eastAsia="Calibri" w:hAnsi="Arial" w:cs="Arial"/>
          <w:bCs/>
          <w:color w:val="000000"/>
          <w:sz w:val="22"/>
          <w:szCs w:val="22"/>
          <w:lang w:val="es-ES_tradnl" w:eastAsia="en-US"/>
        </w:rPr>
        <w:t>para mipymes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515D5CDF" w14:textId="3244438E" w:rsidR="00C8540F" w:rsidRPr="00DD5F33" w:rsidRDefault="00C8540F" w:rsidP="00C8540F">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Pero lo anterior no significa que las entidades estatales no deban aplicar los criterios diferenciales para promover y facilitar la participación en los procedimientos de selección competitivos de las mipymes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Único Reglamentario del Sector Comercio, Industria y Turismo, o la norma que lo modifique, derogue o sustituya</w:t>
      </w:r>
      <w:r w:rsidRPr="00DD5F33">
        <w:rPr>
          <w:rStyle w:val="Refdenotaalpie"/>
          <w:rFonts w:ascii="Arial" w:eastAsia="Calibri" w:hAnsi="Arial" w:cs="Arial"/>
          <w:bCs/>
          <w:color w:val="000000"/>
          <w:sz w:val="22"/>
          <w:szCs w:val="22"/>
          <w:lang w:val="es-ES_tradnl" w:eastAsia="en-US"/>
        </w:rPr>
        <w:footnoteReference w:id="28"/>
      </w:r>
      <w:r w:rsidRPr="00DD5F33">
        <w:rPr>
          <w:rFonts w:ascii="Arial" w:eastAsia="Calibri" w:hAnsi="Arial" w:cs="Arial"/>
          <w:bCs/>
          <w:color w:val="000000"/>
          <w:sz w:val="22"/>
          <w:szCs w:val="22"/>
          <w:lang w:val="es-ES_tradnl" w:eastAsia="en-US"/>
        </w:rPr>
        <w:t>.</w:t>
      </w:r>
    </w:p>
    <w:p w14:paraId="5D540EFD" w14:textId="59270812" w:rsidR="00A91689" w:rsidRPr="00DD5F33" w:rsidRDefault="00A91689" w:rsidP="00A9168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 xml:space="preserve">Finalmente, aunque el artículo 2.2.1.2.3.1.9. del Decreto 1082 de 2015 regula la suficiencia de la garantía de seriedad de la oferta, indicando en el primer inciso que «su valor debe ser de por lo menos el diez por ciento (10%) del valor de la oferta», el artículo 4 del Decreto 1860 de 2021 adicionó un parágrafo a aquella disposición, que establece que «Colombia Compra Eficiente podrá definir un valor de suficiencia diferencial para la garantía de seriedad de las ofertas presentadas por los emprendimientos y las empresas de mujeres, y las Mipyme en los Acuerdos Marco de Precio». </w:t>
      </w:r>
    </w:p>
    <w:p w14:paraId="7FE05CC6" w14:textId="77735B54" w:rsidR="00A91689" w:rsidRPr="00DD5F33" w:rsidRDefault="00A91689" w:rsidP="0020795A">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Lo anterior quiere decir que el reglamento concedió competencia a Colombia Compra Eficiente para definir un valor de suficiencia diferencial, que no necesariamente deberá coincidir con el valor mínimo del diez por ciento (10%), indicado en el inciso primero del artículo 2.2.1.2.3.1.9. del Decreto 1082 de 2015, en relación con las ofertas presentadas por los emprendimientos y las empresas de mujeres, y las Mipyme en los Acuerdos Marco de Precio. Este será un análisis que realizará la Agencia, en cumplimiento de la facultad señalada en el artículo 4 del Decreto 1860 de 2021, a partir del estudio de oportunidad y conveniencia correspondiente.</w:t>
      </w:r>
    </w:p>
    <w:p w14:paraId="199E8867" w14:textId="77777777" w:rsidR="0020795A" w:rsidRPr="00DD5F33" w:rsidRDefault="0020795A" w:rsidP="0020795A">
      <w:pPr>
        <w:rPr>
          <w:rFonts w:ascii="Arial" w:eastAsia="Calibri" w:hAnsi="Arial" w:cs="Arial"/>
          <w:lang w:val="es-ES_tradnl"/>
        </w:rPr>
      </w:pPr>
    </w:p>
    <w:p w14:paraId="35E77960" w14:textId="3A94A708" w:rsidR="009B3BCD" w:rsidRPr="00DD5F33" w:rsidRDefault="008154AF" w:rsidP="008154AF">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5</w:t>
      </w:r>
      <w:r w:rsidRPr="00DD5F33">
        <w:rPr>
          <w:rFonts w:ascii="Arial" w:eastAsia="Calibri" w:hAnsi="Arial" w:cs="Arial"/>
          <w:b/>
          <w:color w:val="000000" w:themeColor="text1"/>
          <w:sz w:val="22"/>
          <w:lang w:val="es-ES_tradnl"/>
        </w:rPr>
        <w:t xml:space="preserve">. </w:t>
      </w:r>
      <w:r w:rsidR="009B3BCD" w:rsidRPr="00DD5F33">
        <w:rPr>
          <w:rFonts w:ascii="Arial" w:eastAsia="Calibri" w:hAnsi="Arial" w:cs="Arial"/>
          <w:b/>
          <w:color w:val="000000" w:themeColor="text1"/>
          <w:sz w:val="22"/>
          <w:lang w:val="es-ES_tradnl"/>
        </w:rPr>
        <w:t>Criterios diferenciales para emprendimientos y empresas de mujeres en el sistema de compras públicas</w:t>
      </w:r>
      <w:r w:rsidRPr="00DD5F33">
        <w:rPr>
          <w:rFonts w:ascii="Arial" w:eastAsia="Calibri" w:hAnsi="Arial" w:cs="Arial"/>
          <w:b/>
          <w:color w:val="000000" w:themeColor="text1"/>
          <w:sz w:val="22"/>
          <w:lang w:val="es-ES_tradnl"/>
        </w:rPr>
        <w:t>. Artículo 32 de la Ley 2069 de 2020 y Decreto 1860 de 2021</w:t>
      </w:r>
    </w:p>
    <w:p w14:paraId="0C28311E" w14:textId="77777777" w:rsidR="009B3BCD" w:rsidRPr="00DD5F33" w:rsidRDefault="009B3BCD" w:rsidP="009B3BCD">
      <w:pPr>
        <w:tabs>
          <w:tab w:val="left" w:pos="709"/>
        </w:tabs>
        <w:spacing w:line="276" w:lineRule="auto"/>
        <w:jc w:val="both"/>
        <w:rPr>
          <w:rFonts w:ascii="Arial" w:eastAsia="Calibri" w:hAnsi="Arial" w:cs="Arial"/>
          <w:b/>
          <w:color w:val="000000" w:themeColor="text1"/>
          <w:sz w:val="22"/>
          <w:lang w:val="es-ES_tradnl"/>
        </w:rPr>
      </w:pPr>
    </w:p>
    <w:p w14:paraId="71E37932" w14:textId="22A40962" w:rsidR="003A2111" w:rsidRPr="00DD5F33" w:rsidRDefault="009B3BCD" w:rsidP="009B3BCD">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artículo 32 de la Ley 2069 de 2020 regula criterios diferenciales para los «emprendimientos y empresas de mujeres» en el sistema de compras y contratación pública. En relación con este aspecto, el inciso primero de la norma citada prescribe lo </w:t>
      </w:r>
      <w:r w:rsidRPr="00DD5F33">
        <w:rPr>
          <w:rFonts w:ascii="Arial" w:eastAsia="Calibri" w:hAnsi="Arial" w:cs="Arial"/>
          <w:bCs/>
          <w:color w:val="000000" w:themeColor="text1"/>
          <w:sz w:val="22"/>
          <w:lang w:val="es-ES_tradnl"/>
        </w:rPr>
        <w:lastRenderedPageBreak/>
        <w:t xml:space="preserve">siguiente: «De acuerdo con el resultado del análisis del sector, las entidades estatales incluirán requisitos diferenciales y puntajes adicionales en los procesos de </w:t>
      </w:r>
      <w:bookmarkStart w:id="23" w:name="_Hlk63770487"/>
      <w:r w:rsidRPr="00DD5F33">
        <w:rPr>
          <w:rFonts w:ascii="Arial" w:eastAsia="Calibri" w:hAnsi="Arial" w:cs="Arial"/>
          <w:bCs/>
          <w:color w:val="000000" w:themeColor="text1"/>
          <w:sz w:val="22"/>
          <w:lang w:val="es-ES_tradnl"/>
        </w:rPr>
        <w:t>licitación pública, selección abreviada de menor cuantía y concurso de méritos</w:t>
      </w:r>
      <w:bookmarkEnd w:id="23"/>
      <w:r w:rsidRPr="00DD5F33">
        <w:rPr>
          <w:rFonts w:ascii="Arial" w:eastAsia="Calibri" w:hAnsi="Arial" w:cs="Arial"/>
          <w:bCs/>
          <w:color w:val="000000" w:themeColor="text1"/>
          <w:sz w:val="22"/>
          <w:lang w:val="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66D616F" w14:textId="3A1D453C" w:rsidR="009B3BCD" w:rsidRPr="00DD5F33" w:rsidRDefault="009B3BCD" w:rsidP="009B3BCD">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Por un lado, a diferencia del artículo 31 de la Ley de Emprendimiento, los «criterios diferenciales» artículo 32 </w:t>
      </w:r>
      <w:r w:rsidRPr="00DD5F33">
        <w:rPr>
          <w:rFonts w:ascii="Arial" w:eastAsia="Calibri" w:hAnsi="Arial" w:cs="Arial"/>
          <w:bCs/>
          <w:i/>
          <w:iCs/>
          <w:color w:val="000000" w:themeColor="text1"/>
          <w:sz w:val="22"/>
          <w:lang w:val="es-ES_tradnl"/>
        </w:rPr>
        <w:t>ibidem</w:t>
      </w:r>
      <w:r w:rsidRPr="00DD5F33">
        <w:rPr>
          <w:rFonts w:ascii="Arial" w:eastAsia="Calibri" w:hAnsi="Arial" w:cs="Arial"/>
          <w:bCs/>
          <w:color w:val="000000" w:themeColor="text1"/>
          <w:sz w:val="22"/>
          <w:lang w:val="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previstos en el manual de las entidades excluidas de la Ley 80 de 1993.     </w:t>
      </w:r>
    </w:p>
    <w:p w14:paraId="719EC06C" w14:textId="58343F21" w:rsidR="00FA17EA" w:rsidRPr="00DD5F33" w:rsidRDefault="009B3BCD" w:rsidP="00FA17EA">
      <w:pPr>
        <w:tabs>
          <w:tab w:val="left" w:pos="709"/>
        </w:tabs>
        <w:spacing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 xml:space="preserve">No obstante, </w:t>
      </w:r>
      <w:bookmarkStart w:id="24" w:name="_Hlk63879101"/>
      <w:r w:rsidRPr="00DD5F33">
        <w:rPr>
          <w:rFonts w:ascii="Arial" w:eastAsia="Calibri" w:hAnsi="Arial" w:cs="Arial"/>
          <w:bCs/>
          <w:color w:val="000000" w:themeColor="text1"/>
          <w:sz w:val="22"/>
          <w:lang w:val="es-ES_tradnl"/>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r w:rsidR="00686447" w:rsidRPr="00DD5F33">
        <w:rPr>
          <w:rFonts w:ascii="Arial" w:eastAsia="Calibri" w:hAnsi="Arial" w:cs="Arial"/>
          <w:bCs/>
          <w:color w:val="000000" w:themeColor="text1"/>
          <w:sz w:val="22"/>
          <w:lang w:val="es-ES_tradnl"/>
        </w:rPr>
        <w:t xml:space="preserve">de </w:t>
      </w:r>
      <w:r w:rsidRPr="00DD5F33">
        <w:rPr>
          <w:rFonts w:ascii="Arial" w:eastAsia="Calibri" w:hAnsi="Arial" w:cs="Arial"/>
          <w:bCs/>
          <w:color w:val="000000" w:themeColor="text1"/>
          <w:sz w:val="22"/>
          <w:lang w:val="es-ES_tradnl"/>
        </w:rPr>
        <w:t xml:space="preserve">que el reglamento podría intervenir </w:t>
      </w:r>
      <w:r w:rsidR="00686447" w:rsidRPr="00DD5F33">
        <w:rPr>
          <w:rFonts w:ascii="Arial" w:eastAsia="Calibri" w:hAnsi="Arial" w:cs="Arial"/>
          <w:bCs/>
          <w:color w:val="000000" w:themeColor="text1"/>
          <w:sz w:val="22"/>
          <w:lang w:val="es-ES_tradnl"/>
        </w:rPr>
        <w:t>en</w:t>
      </w:r>
      <w:r w:rsidRPr="00DD5F33">
        <w:rPr>
          <w:rFonts w:ascii="Arial" w:eastAsia="Calibri" w:hAnsi="Arial" w:cs="Arial"/>
          <w:bCs/>
          <w:color w:val="000000" w:themeColor="text1"/>
          <w:sz w:val="22"/>
          <w:lang w:val="es-ES_tradnl"/>
        </w:rPr>
        <w:t xml:space="preserve"> la definición de los «criterios diferenciales»</w:t>
      </w:r>
      <w:r w:rsidR="00686447" w:rsidRPr="00DD5F33">
        <w:rPr>
          <w:rFonts w:ascii="Arial" w:eastAsia="Calibri" w:hAnsi="Arial" w:cs="Arial"/>
          <w:bCs/>
          <w:color w:val="000000" w:themeColor="text1"/>
          <w:sz w:val="22"/>
          <w:lang w:val="es-ES_tradnl"/>
        </w:rPr>
        <w:t>,</w:t>
      </w:r>
      <w:r w:rsidRPr="00DD5F33">
        <w:rPr>
          <w:rFonts w:ascii="Arial" w:eastAsia="Calibri" w:hAnsi="Arial" w:cs="Arial"/>
          <w:bCs/>
          <w:color w:val="000000" w:themeColor="text1"/>
          <w:sz w:val="22"/>
          <w:lang w:val="es-ES_tradnl"/>
        </w:rPr>
        <w:t xml:space="preserve"> aunque no exista habilitación expresa por parte del Congreso de la República. Esto en la medida </w:t>
      </w:r>
      <w:r w:rsidR="00686447" w:rsidRPr="00DD5F33">
        <w:rPr>
          <w:rFonts w:ascii="Arial" w:eastAsia="Calibri" w:hAnsi="Arial" w:cs="Arial"/>
          <w:bCs/>
          <w:color w:val="000000" w:themeColor="text1"/>
          <w:sz w:val="22"/>
          <w:lang w:val="es-ES_tradnl"/>
        </w:rPr>
        <w:t xml:space="preserve">en </w:t>
      </w:r>
      <w:r w:rsidRPr="00DD5F33">
        <w:rPr>
          <w:rFonts w:ascii="Arial" w:eastAsia="Calibri" w:hAnsi="Arial" w:cs="Arial"/>
          <w:bCs/>
          <w:color w:val="000000" w:themeColor="text1"/>
          <w:sz w:val="22"/>
          <w:lang w:val="es-ES_tradnl"/>
        </w:rPr>
        <w:t>que la potestad reglamentaria se deriva del artículo 189.11 de la Constitución Política para la cumplida ejecución de la ley.</w:t>
      </w:r>
    </w:p>
    <w:p w14:paraId="33F91D79" w14:textId="77777777" w:rsidR="00FA17EA" w:rsidRPr="00DD5F33" w:rsidRDefault="00FA17EA" w:rsidP="00FA17EA">
      <w:pPr>
        <w:spacing w:before="120" w:after="120" w:line="276" w:lineRule="auto"/>
        <w:jc w:val="both"/>
        <w:rPr>
          <w:rFonts w:ascii="Arial" w:hAnsi="Arial" w:cs="Arial"/>
          <w:sz w:val="22"/>
          <w:szCs w:val="22"/>
          <w:lang w:val="es-ES_tradnl" w:eastAsia="es-CO"/>
        </w:rPr>
      </w:pPr>
      <w:r w:rsidRPr="00DD5F33">
        <w:rPr>
          <w:rFonts w:ascii="Arial" w:eastAsia="Calibri" w:hAnsi="Arial" w:cs="Arial"/>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87BC863" w14:textId="77777777" w:rsidR="00FA17EA" w:rsidRPr="00DD5F33" w:rsidRDefault="00FA17EA" w:rsidP="00FA17EA">
      <w:pPr>
        <w:spacing w:before="120" w:line="276" w:lineRule="auto"/>
        <w:ind w:firstLine="709"/>
        <w:jc w:val="both"/>
        <w:rPr>
          <w:rFonts w:ascii="Arial" w:hAnsi="Arial" w:cs="Arial"/>
          <w:sz w:val="22"/>
          <w:szCs w:val="22"/>
          <w:lang w:val="es-ES_tradnl" w:eastAsia="es-CO"/>
        </w:rPr>
      </w:pPr>
      <w:r w:rsidRPr="00DD5F33">
        <w:rPr>
          <w:rFonts w:ascii="Arial" w:eastAsia="Calibri" w:hAnsi="Arial" w:cs="Arial"/>
          <w:sz w:val="22"/>
          <w:szCs w:val="22"/>
          <w:lang w:val="es-ES_tradnl"/>
        </w:rPr>
        <w:t xml:space="preserve">Conforme se viene explicando, el artículo 32 de la Ley 2069 de 2021 introduce el deber de las Entidades Estatales de incluir </w:t>
      </w:r>
      <w:r w:rsidRPr="00DD5F33">
        <w:rPr>
          <w:rStyle w:val="normaltextrun"/>
          <w:rFonts w:ascii="Arial" w:hAnsi="Arial" w:cs="Arial"/>
          <w:sz w:val="22"/>
          <w:szCs w:val="22"/>
          <w:shd w:val="clear" w:color="auto" w:fill="FFFFFF"/>
          <w:lang w:val="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DD5F33">
        <w:rPr>
          <w:rStyle w:val="eop"/>
          <w:rFonts w:ascii="Arial" w:hAnsi="Arial" w:cs="Arial"/>
          <w:sz w:val="22"/>
          <w:szCs w:val="22"/>
          <w:shd w:val="clear" w:color="auto" w:fill="FFFFFF"/>
          <w:lang w:val="es-ES_tradnl"/>
        </w:rPr>
        <w:t> </w:t>
      </w:r>
    </w:p>
    <w:p w14:paraId="2BA37881" w14:textId="5D2390ED" w:rsidR="00FA17EA" w:rsidRPr="00DD5F33" w:rsidRDefault="00FA17EA" w:rsidP="00FA17EA">
      <w:pPr>
        <w:spacing w:before="120" w:line="276" w:lineRule="auto"/>
        <w:ind w:firstLine="709"/>
        <w:jc w:val="both"/>
        <w:rPr>
          <w:rFonts w:ascii="Arial" w:hAnsi="Arial" w:cs="Arial"/>
          <w:sz w:val="22"/>
          <w:szCs w:val="22"/>
          <w:lang w:val="es-ES_tradnl" w:eastAsia="es-CO"/>
        </w:rPr>
      </w:pPr>
      <w:r w:rsidRPr="00DD5F33">
        <w:rPr>
          <w:rFonts w:ascii="Arial" w:eastAsia="Calibri" w:hAnsi="Arial" w:cs="Arial"/>
          <w:sz w:val="22"/>
          <w:szCs w:val="22"/>
          <w:lang w:val="es-ES_tradnl"/>
        </w:rPr>
        <w:lastRenderedPageBreak/>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primero de dicho numerales, cuyo tenor literal indica:   </w:t>
      </w:r>
    </w:p>
    <w:p w14:paraId="3952B266" w14:textId="77777777" w:rsidR="00FA17EA" w:rsidRPr="00DD5F33" w:rsidRDefault="00FA17EA" w:rsidP="00FA17EA">
      <w:pPr>
        <w:spacing w:line="276" w:lineRule="auto"/>
        <w:jc w:val="both"/>
        <w:rPr>
          <w:rFonts w:ascii="Arial" w:eastAsia="Calibri" w:hAnsi="Arial" w:cs="Arial"/>
          <w:sz w:val="22"/>
          <w:szCs w:val="22"/>
          <w:lang w:val="es-ES_tradnl"/>
        </w:rPr>
      </w:pPr>
    </w:p>
    <w:p w14:paraId="3492BC1C" w14:textId="77777777" w:rsidR="00FA17EA" w:rsidRPr="00DD5F33" w:rsidRDefault="00FA17EA" w:rsidP="00FA17EA">
      <w:pPr>
        <w:shd w:val="clear" w:color="auto" w:fill="FFFFFF"/>
        <w:ind w:left="709" w:right="709"/>
        <w:jc w:val="both"/>
        <w:textAlignment w:val="baseline"/>
        <w:rPr>
          <w:rFonts w:ascii="Arial" w:hAnsi="Arial" w:cs="Arial"/>
          <w:sz w:val="20"/>
          <w:szCs w:val="20"/>
          <w:lang w:val="es-ES_tradnl" w:eastAsia="es-CO"/>
        </w:rPr>
      </w:pPr>
      <w:r w:rsidRPr="00DD5F33">
        <w:rPr>
          <w:rFonts w:ascii="Arial" w:hAnsi="Arial" w:cs="Arial"/>
          <w:sz w:val="20"/>
          <w:szCs w:val="20"/>
          <w:lang w:val="es-ES_tradnl"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7C475BD4" w14:textId="77777777" w:rsidR="00FA17EA" w:rsidRPr="00DD5F33" w:rsidRDefault="00FA17EA" w:rsidP="00FA17EA">
      <w:pPr>
        <w:shd w:val="clear" w:color="auto" w:fill="FFFFFF"/>
        <w:ind w:left="709" w:right="709"/>
        <w:jc w:val="both"/>
        <w:textAlignment w:val="baseline"/>
        <w:rPr>
          <w:rFonts w:ascii="Arial" w:hAnsi="Arial" w:cs="Arial"/>
          <w:sz w:val="20"/>
          <w:szCs w:val="20"/>
          <w:lang w:val="es-ES_tradnl" w:eastAsia="es-CO"/>
        </w:rPr>
      </w:pPr>
      <w:r w:rsidRPr="00DD5F33">
        <w:rPr>
          <w:rFonts w:ascii="Arial" w:hAnsi="Arial" w:cs="Arial"/>
          <w:sz w:val="20"/>
          <w:szCs w:val="20"/>
          <w:lang w:val="es-ES_tradnl" w:eastAsia="es-CO"/>
        </w:rPr>
        <w:t>  </w:t>
      </w:r>
    </w:p>
    <w:p w14:paraId="589AD62A" w14:textId="77777777" w:rsidR="00FA17EA" w:rsidRPr="00DD5F33" w:rsidRDefault="00FA17EA" w:rsidP="00FA17EA">
      <w:pPr>
        <w:shd w:val="clear" w:color="auto" w:fill="FFFFFF"/>
        <w:ind w:left="709" w:right="709"/>
        <w:jc w:val="both"/>
        <w:textAlignment w:val="baseline"/>
        <w:rPr>
          <w:rFonts w:ascii="Arial" w:hAnsi="Arial" w:cs="Arial"/>
          <w:sz w:val="20"/>
          <w:szCs w:val="20"/>
          <w:lang w:val="es-ES_tradnl" w:eastAsia="es-CO"/>
        </w:rPr>
      </w:pPr>
      <w:r w:rsidRPr="00DD5F33">
        <w:rPr>
          <w:rFonts w:ascii="Arial" w:hAnsi="Arial" w:cs="Arial"/>
          <w:sz w:val="20"/>
          <w:szCs w:val="20"/>
          <w:lang w:val="es-ES_tradnl" w:eastAsia="es-CO"/>
        </w:rPr>
        <w:t xml:space="preserve">1. Cuando más del cincuenta por ciento (50%) de las acciones, partes de interés o cuotas de participación de la persona jurídica pertenezcan a mujeres y los derechos de propiedad </w:t>
      </w:r>
      <w:bookmarkStart w:id="25" w:name="_Hlk94001820"/>
      <w:r w:rsidRPr="00DD5F33">
        <w:rPr>
          <w:rFonts w:ascii="Arial" w:hAnsi="Arial" w:cs="Arial"/>
          <w:i/>
          <w:iCs/>
          <w:sz w:val="20"/>
          <w:szCs w:val="20"/>
          <w:lang w:val="es-ES_tradnl" w:eastAsia="es-CO"/>
        </w:rPr>
        <w:t>hayan pertenecido a estas durante al menos el último año anterior a la fecha de cierre del Proceso de Selección</w:t>
      </w:r>
      <w:bookmarkEnd w:id="25"/>
      <w:r w:rsidRPr="00DD5F33">
        <w:rPr>
          <w:rFonts w:ascii="Arial" w:hAnsi="Arial" w:cs="Arial"/>
          <w:sz w:val="20"/>
          <w:szCs w:val="20"/>
          <w:lang w:val="es-ES_tradnl"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4716F6BA" w14:textId="77777777" w:rsidR="00FA17EA" w:rsidRPr="00DD5F33" w:rsidRDefault="00FA17EA" w:rsidP="00FA17EA">
      <w:pPr>
        <w:shd w:val="clear" w:color="auto" w:fill="FFFFFF"/>
        <w:ind w:left="709" w:right="709"/>
        <w:jc w:val="both"/>
        <w:textAlignment w:val="baseline"/>
        <w:rPr>
          <w:rFonts w:ascii="Arial" w:hAnsi="Arial" w:cs="Arial"/>
          <w:sz w:val="20"/>
          <w:szCs w:val="20"/>
          <w:lang w:val="es-ES_tradnl" w:eastAsia="es-CO"/>
        </w:rPr>
      </w:pPr>
      <w:r w:rsidRPr="00DD5F33">
        <w:rPr>
          <w:rFonts w:ascii="Arial" w:hAnsi="Arial" w:cs="Arial"/>
          <w:sz w:val="20"/>
          <w:szCs w:val="20"/>
          <w:lang w:val="es-ES_tradnl" w:eastAsia="es-CO"/>
        </w:rPr>
        <w:t> […]</w:t>
      </w:r>
    </w:p>
    <w:p w14:paraId="570425DF" w14:textId="77777777" w:rsidR="00FA17EA" w:rsidRPr="00DD5F33" w:rsidRDefault="00FA17EA" w:rsidP="00FA17EA">
      <w:pPr>
        <w:shd w:val="clear" w:color="auto" w:fill="FFFFFF"/>
        <w:ind w:left="709" w:right="709"/>
        <w:jc w:val="both"/>
        <w:textAlignment w:val="baseline"/>
        <w:rPr>
          <w:rFonts w:ascii="Arial" w:hAnsi="Arial" w:cs="Arial"/>
          <w:sz w:val="20"/>
          <w:szCs w:val="20"/>
          <w:lang w:val="es-ES_tradnl" w:eastAsia="es-CO"/>
        </w:rPr>
      </w:pPr>
      <w:r w:rsidRPr="00DD5F33">
        <w:rPr>
          <w:rFonts w:ascii="Arial" w:hAnsi="Arial" w:cs="Arial"/>
          <w:sz w:val="20"/>
          <w:szCs w:val="20"/>
          <w:lang w:val="es-ES_tradnl" w:eastAsia="es-CO"/>
        </w:rPr>
        <w:t xml:space="preserve">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w:t>
      </w:r>
      <w:r w:rsidRPr="00DD5F33">
        <w:rPr>
          <w:rFonts w:ascii="Arial" w:hAnsi="Arial" w:cs="Arial"/>
          <w:sz w:val="22"/>
          <w:szCs w:val="22"/>
          <w:lang w:val="es-ES_tradnl" w:eastAsia="es-CO"/>
        </w:rPr>
        <w:t>[Énfasis fuera de texto].</w:t>
      </w:r>
    </w:p>
    <w:p w14:paraId="552DAFDB" w14:textId="77777777" w:rsidR="00FA17EA" w:rsidRPr="00DD5F33" w:rsidRDefault="00FA17EA" w:rsidP="00FA17EA">
      <w:pPr>
        <w:spacing w:line="276" w:lineRule="auto"/>
        <w:jc w:val="both"/>
        <w:rPr>
          <w:rFonts w:ascii="Arial" w:eastAsia="Calibri" w:hAnsi="Arial" w:cs="Arial"/>
          <w:sz w:val="22"/>
          <w:szCs w:val="22"/>
          <w:lang w:val="es-ES_tradnl"/>
        </w:rPr>
      </w:pPr>
    </w:p>
    <w:p w14:paraId="54C04836" w14:textId="77777777" w:rsidR="00FA17EA" w:rsidRPr="00DD5F33" w:rsidRDefault="00FA17EA" w:rsidP="00FA17EA">
      <w:pPr>
        <w:spacing w:after="120"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ab/>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6F9F2FC8" w14:textId="77777777" w:rsidR="00FA17EA" w:rsidRPr="00DD5F33" w:rsidRDefault="00FA17EA" w:rsidP="00FA17EA">
      <w:pPr>
        <w:spacing w:after="120"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ab/>
        <w:t xml:space="preserve">Esto quiere decir que, no basta con que la participación en una sociedad sea mayoritariamente de mujeres para que sea considerada como un empresa o emprendimiento a los que se refiere la norma, sino que además es necesario que participación mayoritaria femenina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w:t>
      </w:r>
      <w:r w:rsidRPr="00DD5F33">
        <w:rPr>
          <w:rFonts w:ascii="Arial" w:eastAsia="Calibri" w:hAnsi="Arial" w:cs="Arial"/>
          <w:sz w:val="22"/>
          <w:szCs w:val="22"/>
          <w:lang w:val="es-ES_tradnl"/>
        </w:rPr>
        <w:lastRenderedPageBreak/>
        <w:t xml:space="preserve">con la participación mayoritaria de mujeres, no cuenten con el requerimiento del tiempo mínimo de un año. </w:t>
      </w:r>
    </w:p>
    <w:p w14:paraId="48F908A3" w14:textId="77777777" w:rsidR="00FA17EA" w:rsidRPr="00DD5F33" w:rsidRDefault="00FA17EA" w:rsidP="00FA17EA">
      <w:pPr>
        <w:spacing w:after="120"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 </w:t>
      </w:r>
    </w:p>
    <w:p w14:paraId="14CD2E28" w14:textId="6AD79E75" w:rsidR="00FA17EA" w:rsidRPr="00DD5F33" w:rsidRDefault="00FA17EA" w:rsidP="00FA17EA">
      <w:pPr>
        <w:spacing w:after="120"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ab/>
      </w:r>
      <w:r w:rsidR="00CB7399" w:rsidRPr="00DD5F33">
        <w:rPr>
          <w:rFonts w:ascii="Arial" w:eastAsia="Calibri" w:hAnsi="Arial" w:cs="Arial"/>
          <w:sz w:val="22"/>
          <w:szCs w:val="22"/>
          <w:lang w:val="es-ES_tradnl"/>
        </w:rPr>
        <w:t>L</w:t>
      </w:r>
      <w:r w:rsidRPr="00DD5F33">
        <w:rPr>
          <w:rFonts w:ascii="Arial" w:eastAsia="Calibri" w:hAnsi="Arial" w:cs="Arial"/>
          <w:sz w:val="22"/>
          <w:szCs w:val="22"/>
          <w:lang w:val="es-ES_tradnl"/>
        </w:rPr>
        <w:t xml:space="preserve">o anterior significa que sociedades con un término de constitución inferior a un año no encajan dentro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 </w:t>
      </w:r>
    </w:p>
    <w:p w14:paraId="1E707F50" w14:textId="77777777" w:rsidR="00FA17EA" w:rsidRPr="00DD5F33" w:rsidRDefault="00FA17EA" w:rsidP="00FA17EA">
      <w:pPr>
        <w:spacing w:after="120"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ab/>
        <w:t>Debe advertirse que el texto de la norma bajo examen no establece alguna consideración subsidiaria o permisiva en virtud de la cual fuera posible ubicar dentro de la definición de emprendimientos y empresas de mujeres que realiza el numeral 1, a personas jurídicas con un término inferior a un año –como, por ejemplo, lo hace explícitamente el parágrafo 2 del artículo 35 de la Ley 2069 de 2020, pero para otros efectos</w:t>
      </w:r>
      <w:r w:rsidRPr="00DD5F33">
        <w:rPr>
          <w:rStyle w:val="Refdenotaalpie"/>
          <w:rFonts w:ascii="Arial" w:eastAsia="Calibri" w:hAnsi="Arial" w:cs="Arial"/>
          <w:sz w:val="22"/>
          <w:szCs w:val="22"/>
          <w:lang w:val="es-ES_tradnl"/>
        </w:rPr>
        <w:footnoteReference w:id="29"/>
      </w:r>
      <w:r w:rsidRPr="00DD5F33">
        <w:rPr>
          <w:rFonts w:ascii="Arial" w:eastAsia="Calibri" w:hAnsi="Arial" w:cs="Arial"/>
          <w:sz w:val="22"/>
          <w:szCs w:val="22"/>
          <w:lang w:val="es-ES_tradnl"/>
        </w:rPr>
        <w:t xml:space="preserve">–. En ese sentido, es preciso descartar la posibilidad de que a una sociedad con un tiempo de constitución inferior a un año le aplique la definición de emprendimientos y empresas de mujeres del numeral 1 del artículo 2.2.1.2.4.2.14, por cuanto, ni siquiera acreditando que la participación mayoritaria de mujeres en la persona jurídica data del momento mismo de su constitución sería posible cumplir con el tiempo mínimo de un año. </w:t>
      </w:r>
    </w:p>
    <w:p w14:paraId="5CD0DE2D" w14:textId="77777777" w:rsidR="00FA17EA" w:rsidRPr="00DD5F33" w:rsidRDefault="00FA17EA" w:rsidP="00FA17EA">
      <w:pPr>
        <w:spacing w:after="120" w:line="276" w:lineRule="auto"/>
        <w:jc w:val="both"/>
        <w:rPr>
          <w:rFonts w:ascii="Arial" w:hAnsi="Arial" w:cs="Arial"/>
          <w:sz w:val="22"/>
          <w:szCs w:val="22"/>
          <w:lang w:val="es-ES_tradnl" w:eastAsia="es-CO"/>
        </w:rPr>
      </w:pPr>
      <w:r w:rsidRPr="00DD5F33">
        <w:rPr>
          <w:rFonts w:ascii="Arial" w:eastAsia="Calibri" w:hAnsi="Arial" w:cs="Arial"/>
          <w:sz w:val="22"/>
          <w:szCs w:val="22"/>
          <w:lang w:val="es-ES_tradnl"/>
        </w:rPr>
        <w:tab/>
        <w:t xml:space="preserve">Esta conclusión surge en atención lo expresamente indicado en el texto de la norma, el cual es claro al exigir que el </w:t>
      </w:r>
      <w:r w:rsidRPr="00DD5F33">
        <w:rPr>
          <w:rFonts w:ascii="Arial" w:hAnsi="Arial" w:cs="Arial"/>
          <w:sz w:val="22"/>
          <w:szCs w:val="22"/>
          <w:lang w:val="es-ES_tradnl" w:eastAsia="es-CO"/>
        </w:rPr>
        <w:t xml:space="preserve">50% de las acciones, partes de interés o cuotas de participación de la persona jurídica que correspondan a mujeres «[…] hayan pertenecido a estas durante al menos el último año anterior a la fecha de cierre del Proceso de Selección». </w:t>
      </w:r>
      <w:r w:rsidRPr="00DD5F33">
        <w:rPr>
          <w:rFonts w:ascii="Arial" w:hAnsi="Arial" w:cs="Arial"/>
          <w:sz w:val="22"/>
          <w:szCs w:val="22"/>
          <w:lang w:val="es-ES_tradnl" w:eastAsia="es-CO"/>
        </w:rPr>
        <w:lastRenderedPageBreak/>
        <w:t>Por lo tanto, la presente interpretación además se impone en virtud de aquella regla según la cual «cuando el sentido de la ley sea claro, no se desatenderá su tenor literal a pretexto de consultar su espíritu»</w:t>
      </w:r>
      <w:r w:rsidRPr="00DD5F33">
        <w:rPr>
          <w:rStyle w:val="Refdenotaalpie"/>
          <w:rFonts w:ascii="Arial" w:hAnsi="Arial" w:cs="Arial"/>
          <w:sz w:val="22"/>
          <w:szCs w:val="22"/>
          <w:lang w:val="es-ES_tradnl" w:eastAsia="es-CO"/>
        </w:rPr>
        <w:footnoteReference w:id="30"/>
      </w:r>
      <w:r w:rsidRPr="00DD5F33">
        <w:rPr>
          <w:rFonts w:ascii="Arial" w:hAnsi="Arial" w:cs="Arial"/>
          <w:sz w:val="22"/>
          <w:szCs w:val="22"/>
          <w:lang w:val="es-ES_tradnl" w:eastAsia="es-CO"/>
        </w:rPr>
        <w:t xml:space="preserve">. </w:t>
      </w:r>
    </w:p>
    <w:p w14:paraId="53E85471" w14:textId="77777777" w:rsidR="00FA17EA" w:rsidRPr="00DD5F33" w:rsidRDefault="00FA17EA" w:rsidP="00FA17EA">
      <w:pPr>
        <w:spacing w:after="120" w:line="276" w:lineRule="auto"/>
        <w:jc w:val="both"/>
        <w:rPr>
          <w:rFonts w:ascii="Arial" w:hAnsi="Arial" w:cs="Arial"/>
          <w:sz w:val="22"/>
          <w:szCs w:val="22"/>
          <w:lang w:val="es-ES_tradnl" w:eastAsia="es-CO"/>
        </w:rPr>
      </w:pPr>
      <w:r w:rsidRPr="00DD5F33">
        <w:rPr>
          <w:rFonts w:ascii="Arial" w:hAnsi="Arial" w:cs="Arial"/>
          <w:sz w:val="22"/>
          <w:szCs w:val="22"/>
          <w:lang w:val="es-ES_tradnl" w:eastAsia="es-CO"/>
        </w:rPr>
        <w:tab/>
        <w:t>Debe agregarse que el artículo 2.2.1.2.4.2.15 del Decreto 1082 de 2015</w:t>
      </w:r>
      <w:r w:rsidRPr="00DD5F33">
        <w:rPr>
          <w:rStyle w:val="Refdenotaalpie"/>
          <w:rFonts w:ascii="Arial" w:hAnsi="Arial" w:cs="Arial"/>
          <w:sz w:val="22"/>
          <w:szCs w:val="22"/>
          <w:lang w:val="es-ES_tradnl" w:eastAsia="es-CO"/>
        </w:rPr>
        <w:footnoteReference w:id="31"/>
      </w:r>
      <w:r w:rsidRPr="00DD5F33">
        <w:rPr>
          <w:rFonts w:ascii="Arial" w:hAnsi="Arial" w:cs="Arial"/>
          <w:sz w:val="22"/>
          <w:szCs w:val="22"/>
          <w:lang w:val="es-ES_tradnl" w:eastAsia="es-CO"/>
        </w:rPr>
        <w:t xml:space="preserve">,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w:t>
      </w:r>
      <w:r w:rsidRPr="00DD5F33">
        <w:rPr>
          <w:rFonts w:ascii="Arial" w:hAnsi="Arial" w:cs="Arial"/>
          <w:sz w:val="22"/>
          <w:szCs w:val="22"/>
          <w:lang w:val="es-ES_tradnl" w:eastAsia="es-CO"/>
        </w:rPr>
        <w:lastRenderedPageBreak/>
        <w:t>adicional</w:t>
      </w:r>
      <w:r w:rsidRPr="00DD5F33">
        <w:rPr>
          <w:rFonts w:ascii="Arial" w:hAnsi="Arial" w:cs="Arial"/>
          <w:sz w:val="22"/>
          <w:szCs w:val="22"/>
          <w:lang w:val="es-ES_tradnl"/>
        </w:rPr>
        <w:t xml:space="preserve"> </w:t>
      </w:r>
      <w:r w:rsidRPr="00DD5F33">
        <w:rPr>
          <w:rFonts w:ascii="Arial" w:hAnsi="Arial" w:cs="Arial"/>
          <w:sz w:val="22"/>
          <w:szCs w:val="22"/>
          <w:lang w:val="es-ES_tradnl" w:eastAsia="es-CO"/>
        </w:rPr>
        <w:t xml:space="preserve">de hasta el 0,25% del valor total de los puntos establecidos en los pliegos de condiciones o documentos equivalentes, para los proponentes que acrediten alguno de los supuestos del artículo 2.2.1.2.4.2.14. </w:t>
      </w:r>
    </w:p>
    <w:p w14:paraId="12BCFC69" w14:textId="77777777" w:rsidR="00B45921" w:rsidRPr="00DD5F33" w:rsidRDefault="00FA17EA" w:rsidP="00FA17EA">
      <w:pPr>
        <w:spacing w:line="276" w:lineRule="auto"/>
        <w:jc w:val="both"/>
        <w:rPr>
          <w:rFonts w:ascii="Arial" w:hAnsi="Arial" w:cs="Arial"/>
          <w:sz w:val="22"/>
          <w:szCs w:val="22"/>
          <w:lang w:val="es-ES_tradnl" w:eastAsia="es-CO"/>
        </w:rPr>
      </w:pPr>
      <w:r w:rsidRPr="00DD5F33">
        <w:rPr>
          <w:rFonts w:ascii="Arial" w:hAnsi="Arial" w:cs="Arial"/>
          <w:sz w:val="22"/>
          <w:szCs w:val="22"/>
          <w:lang w:val="es-ES_tradnl" w:eastAsia="es-CO"/>
        </w:rPr>
        <w:tab/>
        <w:t>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w:t>
      </w:r>
    </w:p>
    <w:p w14:paraId="3FBD4D6E" w14:textId="6653A0B4" w:rsidR="0020526F" w:rsidRPr="00DD5F33" w:rsidRDefault="003612F3" w:rsidP="00B45921">
      <w:pPr>
        <w:spacing w:before="120" w:line="276" w:lineRule="auto"/>
        <w:ind w:firstLine="709"/>
        <w:jc w:val="both"/>
        <w:rPr>
          <w:rFonts w:ascii="Arial" w:hAnsi="Arial" w:cs="Arial"/>
          <w:sz w:val="22"/>
          <w:szCs w:val="22"/>
          <w:lang w:val="es-ES_tradnl" w:eastAsia="es-CO"/>
        </w:rPr>
      </w:pPr>
      <w:r w:rsidRPr="00DD5F33">
        <w:rPr>
          <w:rFonts w:ascii="Arial" w:hAnsi="Arial" w:cs="Arial"/>
          <w:sz w:val="22"/>
          <w:szCs w:val="22"/>
          <w:lang w:val="es-ES_tradnl" w:eastAsia="es-CO"/>
        </w:rPr>
        <w:t>Adicionalmente, e</w:t>
      </w:r>
      <w:r w:rsidR="00763742" w:rsidRPr="00DD5F33">
        <w:rPr>
          <w:rFonts w:ascii="Arial" w:hAnsi="Arial" w:cs="Arial"/>
          <w:sz w:val="22"/>
          <w:szCs w:val="22"/>
          <w:lang w:val="es-ES_tradnl" w:eastAsia="es-CO"/>
        </w:rPr>
        <w:t>l artículo</w:t>
      </w:r>
      <w:r w:rsidR="0020526F" w:rsidRPr="00DD5F33">
        <w:rPr>
          <w:rFonts w:ascii="Arial" w:hAnsi="Arial" w:cs="Arial"/>
          <w:sz w:val="22"/>
          <w:szCs w:val="22"/>
          <w:lang w:val="es-ES_tradnl" w:eastAsia="es-CO"/>
        </w:rPr>
        <w:t xml:space="preserve"> 4 del Decreto 1860 de 2021 dispone:</w:t>
      </w:r>
    </w:p>
    <w:p w14:paraId="0CB00565" w14:textId="77777777" w:rsidR="0020526F" w:rsidRPr="00DD5F33" w:rsidRDefault="0020526F" w:rsidP="00FA17EA">
      <w:pPr>
        <w:spacing w:line="276" w:lineRule="auto"/>
        <w:jc w:val="both"/>
        <w:rPr>
          <w:rFonts w:ascii="Arial" w:hAnsi="Arial" w:cs="Arial"/>
          <w:sz w:val="22"/>
          <w:szCs w:val="22"/>
          <w:lang w:val="es-ES_tradnl" w:eastAsia="es-CO"/>
        </w:rPr>
      </w:pPr>
    </w:p>
    <w:p w14:paraId="183008E1" w14:textId="77777777" w:rsidR="0020526F" w:rsidRPr="00DD5F33" w:rsidRDefault="0020526F" w:rsidP="0020526F">
      <w:pPr>
        <w:ind w:left="709" w:right="709"/>
        <w:jc w:val="both"/>
        <w:rPr>
          <w:rFonts w:ascii="Arial" w:hAnsi="Arial" w:cs="Arial"/>
          <w:sz w:val="21"/>
          <w:szCs w:val="21"/>
          <w:lang w:val="es-ES_tradnl"/>
        </w:rPr>
      </w:pPr>
      <w:r w:rsidRPr="00DD5F33">
        <w:rPr>
          <w:rFonts w:ascii="Arial" w:hAnsi="Arial" w:cs="Arial"/>
          <w:sz w:val="21"/>
          <w:szCs w:val="21"/>
          <w:lang w:val="es-ES_tradnl"/>
        </w:rPr>
        <w:t>ARTÍCULO  4. Adición de un parágrafo al artículo 2.2.1.2.3.1.9. de la Subsección 1 de la Sección 3 del Capítulo 2 del Título 1 de la Parte 2 del Libro 2 del Decreto 1082 de 2015. Adiciónese un parágrafo al artículo 2.2.1.2.3.1.9 de la Subsección 1 de la Sección 3 del Capítulo 2 del Título 1 de la Parte 2 del Libro 2 del Decreto 1082 de 2015, el cual quedará así:</w:t>
      </w:r>
    </w:p>
    <w:p w14:paraId="2429F261" w14:textId="0C98D9D7" w:rsidR="0020526F" w:rsidRPr="00DD5F33" w:rsidRDefault="0020526F" w:rsidP="0020526F">
      <w:pPr>
        <w:ind w:right="709"/>
        <w:jc w:val="both"/>
        <w:rPr>
          <w:rFonts w:ascii="Arial" w:hAnsi="Arial" w:cs="Arial"/>
          <w:sz w:val="21"/>
          <w:szCs w:val="21"/>
          <w:lang w:val="es-ES_tradnl"/>
        </w:rPr>
      </w:pPr>
    </w:p>
    <w:p w14:paraId="12FC42B4" w14:textId="0F265DED" w:rsidR="00FA17EA" w:rsidRPr="00DD5F33" w:rsidRDefault="0020526F" w:rsidP="00B45921">
      <w:pPr>
        <w:ind w:left="709" w:right="709"/>
        <w:jc w:val="both"/>
        <w:rPr>
          <w:rFonts w:ascii="Arial" w:hAnsi="Arial" w:cs="Arial"/>
          <w:sz w:val="21"/>
          <w:szCs w:val="21"/>
          <w:lang w:val="es-ES_tradnl"/>
        </w:rPr>
      </w:pPr>
      <w:r w:rsidRPr="00DD5F33">
        <w:rPr>
          <w:rFonts w:ascii="Arial" w:hAnsi="Arial" w:cs="Arial"/>
          <w:sz w:val="21"/>
          <w:szCs w:val="21"/>
          <w:lang w:val="es-ES_tradnl"/>
        </w:rPr>
        <w:t>"PARÁGRAFO. Colombia Compra Eficiente podrá definir un valor de suficiencia diferencial para la garantía de seriedad de las ofertas presentadas por los emprendimientos y las empresas de mujeres, y las Mipyme en los Acuerdos Marco de Precio."</w:t>
      </w:r>
      <w:r w:rsidR="00763742" w:rsidRPr="00DD5F33">
        <w:rPr>
          <w:rFonts w:ascii="Arial" w:hAnsi="Arial" w:cs="Arial"/>
          <w:sz w:val="21"/>
          <w:szCs w:val="21"/>
          <w:lang w:val="es-ES_tradnl"/>
        </w:rPr>
        <w:t xml:space="preserve"> </w:t>
      </w:r>
    </w:p>
    <w:p w14:paraId="6C9E641F" w14:textId="77777777" w:rsidR="00B45921" w:rsidRPr="00DD5F33" w:rsidRDefault="00B45921" w:rsidP="009B3BCD">
      <w:pPr>
        <w:tabs>
          <w:tab w:val="left" w:pos="709"/>
        </w:tabs>
        <w:spacing w:line="276" w:lineRule="auto"/>
        <w:jc w:val="both"/>
        <w:rPr>
          <w:rFonts w:ascii="Arial" w:eastAsia="Calibri" w:hAnsi="Arial" w:cs="Arial"/>
          <w:bCs/>
          <w:color w:val="000000" w:themeColor="text1"/>
          <w:sz w:val="22"/>
          <w:lang w:val="es-ES_tradnl"/>
        </w:rPr>
      </w:pPr>
    </w:p>
    <w:p w14:paraId="08A4F7FE" w14:textId="77777777" w:rsidR="00095849" w:rsidRPr="00DD5F33" w:rsidRDefault="00F66777" w:rsidP="00095849">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lo que atañe a las preguntas contenidas en la consulta,</w:t>
      </w:r>
      <w:r w:rsidR="00745548" w:rsidRPr="00DD5F33">
        <w:rPr>
          <w:rFonts w:ascii="Arial" w:eastAsia="Calibri" w:hAnsi="Arial" w:cs="Arial"/>
          <w:bCs/>
          <w:color w:val="000000"/>
          <w:sz w:val="22"/>
          <w:szCs w:val="22"/>
          <w:lang w:val="es-ES_tradnl" w:eastAsia="en-US"/>
        </w:rPr>
        <w:t xml:space="preserve"> conviene destacar que el artículo 2.2.1.2.4.2.14. del Decreto 1082 de 2015, adicionado por el artículo 3 del Decreto 1860 de 2021</w:t>
      </w:r>
      <w:r w:rsidR="003612F3" w:rsidRPr="00DD5F33">
        <w:rPr>
          <w:rFonts w:ascii="Arial" w:eastAsia="Calibri" w:hAnsi="Arial" w:cs="Arial"/>
          <w:bCs/>
          <w:color w:val="000000"/>
          <w:sz w:val="22"/>
          <w:szCs w:val="22"/>
          <w:lang w:val="es-ES_tradnl" w:eastAsia="en-US"/>
        </w:rPr>
        <w:t>,</w:t>
      </w:r>
      <w:r w:rsidR="00745548" w:rsidRPr="00DD5F33">
        <w:rPr>
          <w:rFonts w:ascii="Arial" w:eastAsia="Calibri" w:hAnsi="Arial" w:cs="Arial"/>
          <w:bCs/>
          <w:color w:val="000000"/>
          <w:sz w:val="22"/>
          <w:szCs w:val="22"/>
          <w:lang w:val="es-ES_tradnl" w:eastAsia="en-US"/>
        </w:rPr>
        <w:t xml:space="preserve"> establece los documentos que acreditan cada una de las circunstancias por las cuales se puede demostrar que alguien tiene la calidad de emprendimiento y empresa de mujeres. Los documentos a los que se refiere la norma son, por regla general, </w:t>
      </w:r>
      <w:r w:rsidR="00745548" w:rsidRPr="00DD5F33">
        <w:rPr>
          <w:rFonts w:ascii="Arial" w:eastAsia="Calibri" w:hAnsi="Arial" w:cs="Arial"/>
          <w:bCs/>
          <w:i/>
          <w:iCs/>
          <w:color w:val="000000"/>
          <w:sz w:val="22"/>
          <w:szCs w:val="22"/>
          <w:lang w:val="es-ES_tradnl" w:eastAsia="en-US"/>
        </w:rPr>
        <w:t>certificaciones</w:t>
      </w:r>
      <w:r w:rsidR="00745548" w:rsidRPr="00DD5F33">
        <w:rPr>
          <w:rFonts w:ascii="Arial" w:eastAsia="Calibri" w:hAnsi="Arial" w:cs="Arial"/>
          <w:bCs/>
          <w:color w:val="000000"/>
          <w:sz w:val="22"/>
          <w:szCs w:val="22"/>
          <w:lang w:val="es-ES_tradnl" w:eastAsia="en-US"/>
        </w:rPr>
        <w:t xml:space="preserve"> emitidas </w:t>
      </w:r>
      <w:r w:rsidR="00745548" w:rsidRPr="00DD5F33">
        <w:rPr>
          <w:rFonts w:ascii="Arial" w:eastAsia="Calibri" w:hAnsi="Arial" w:cs="Arial"/>
          <w:bCs/>
          <w:i/>
          <w:iCs/>
          <w:color w:val="000000"/>
          <w:sz w:val="22"/>
          <w:szCs w:val="22"/>
          <w:lang w:val="es-ES_tradnl" w:eastAsia="en-US"/>
        </w:rPr>
        <w:t>bajo la gravedad del juramento</w:t>
      </w:r>
      <w:r w:rsidR="00745548" w:rsidRPr="00DD5F33">
        <w:rPr>
          <w:rFonts w:ascii="Arial" w:eastAsia="Calibri" w:hAnsi="Arial" w:cs="Arial"/>
          <w:bCs/>
          <w:color w:val="000000"/>
          <w:sz w:val="22"/>
          <w:szCs w:val="22"/>
          <w:lang w:val="es-ES_tradnl" w:eastAsia="en-US"/>
        </w:rPr>
        <w:t xml:space="preserve">. En el supuesto del numeral 2,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07049968" w14:textId="74BCC380" w:rsidR="00745548" w:rsidRPr="00DD5F33" w:rsidRDefault="00745548" w:rsidP="004C4AB0">
      <w:pPr>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su parte, en el evento previsto en el numeral 3 la calidad indicada se debe acreditar mediante «copia de cédula de ciudadanía, la cédula de extranjería o el pasaporte, así como la copia del registro mercantil». Igualmente, es importante considerar que el parágrafo 1 del artículo </w:t>
      </w:r>
      <w:r w:rsidRPr="00DD5F33">
        <w:rPr>
          <w:rFonts w:ascii="Arial" w:eastAsia="Calibri" w:hAnsi="Arial" w:cs="Arial"/>
          <w:color w:val="000000"/>
          <w:sz w:val="22"/>
          <w:szCs w:val="22"/>
          <w:lang w:eastAsia="en-US"/>
        </w:rPr>
        <w:t>2.2.1.2.4.2.15.</w:t>
      </w:r>
      <w:r w:rsidRPr="00DD5F33">
        <w:rPr>
          <w:rFonts w:ascii="Arial" w:eastAsia="Calibri" w:hAnsi="Arial" w:cs="Arial"/>
          <w:bCs/>
          <w:color w:val="000000"/>
          <w:sz w:val="22"/>
          <w:szCs w:val="22"/>
          <w:lang w:eastAsia="en-US"/>
        </w:rPr>
        <w:t xml:space="preserve"> </w:t>
      </w:r>
      <w:r w:rsidRPr="00DD5F33">
        <w:rPr>
          <w:rFonts w:ascii="Arial" w:eastAsia="Calibri" w:hAnsi="Arial" w:cs="Arial"/>
          <w:bCs/>
          <w:color w:val="000000"/>
          <w:sz w:val="22"/>
          <w:szCs w:val="22"/>
          <w:lang w:val="es-ES_tradnl" w:eastAsia="en-US"/>
        </w:rPr>
        <w:t xml:space="preserve">dice que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w:t>
      </w:r>
      <w:r w:rsidRPr="00DD5F33">
        <w:rPr>
          <w:rFonts w:ascii="Arial" w:eastAsia="Calibri" w:hAnsi="Arial" w:cs="Arial"/>
          <w:bCs/>
          <w:color w:val="000000"/>
          <w:sz w:val="22"/>
          <w:szCs w:val="22"/>
          <w:lang w:val="es-ES_tradnl" w:eastAsia="en-US"/>
        </w:rPr>
        <w:lastRenderedPageBreak/>
        <w:t>por ciento (10%) en el consorcio o la unión temporal», para lo cual será necesario aportar, entonces, el documento de constitución del consorcio o la unión temporal.</w:t>
      </w:r>
    </w:p>
    <w:p w14:paraId="567DD710" w14:textId="77777777" w:rsidR="00745548" w:rsidRPr="00DD5F33" w:rsidRDefault="00745548" w:rsidP="0074554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DD5F33">
        <w:rPr>
          <w:rFonts w:ascii="Arial" w:eastAsia="Calibri" w:hAnsi="Arial" w:cs="Arial"/>
          <w:color w:val="000000"/>
          <w:sz w:val="22"/>
          <w:szCs w:val="22"/>
          <w:lang w:eastAsia="en-US"/>
        </w:rPr>
        <w:t>2.2.1.2.4.2.15.</w:t>
      </w:r>
      <w:r w:rsidRPr="00DD5F33">
        <w:rPr>
          <w:rFonts w:ascii="Arial" w:eastAsia="Calibri" w:hAnsi="Arial" w:cs="Arial"/>
          <w:bCs/>
          <w:color w:val="000000"/>
          <w:sz w:val="22"/>
          <w:szCs w:val="22"/>
          <w:lang w:val="es-ES_tradnl" w:eastAsia="en-US"/>
        </w:rPr>
        <w:t>,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33A6D7B4" w14:textId="49A1E3E7" w:rsidR="004D2AD8" w:rsidRPr="00DD5F33" w:rsidRDefault="00577A2D" w:rsidP="004D2AD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otro lado, l</w:t>
      </w:r>
      <w:r w:rsidR="00745548" w:rsidRPr="00DD5F33">
        <w:rPr>
          <w:rFonts w:ascii="Arial" w:eastAsia="Calibri" w:hAnsi="Arial" w:cs="Arial"/>
          <w:bCs/>
          <w:color w:val="000000"/>
          <w:sz w:val="22"/>
          <w:szCs w:val="22"/>
          <w:lang w:val="es-ES_tradnl" w:eastAsia="en-US"/>
        </w:rPr>
        <w:t>a Agencia no considera que entender como empresa o emprendimiento de mujer a la persona natural que «sea una mujer y haya ejercido actividades comerciales a través de un establecimiento de comercio durante al menos el último año anterior a la fecha de cierre del proceso de selección» –según lo prevé el numeral 3 del artículo 2.2.1.2.4.2.14.– sea una ventaja injustificada. Por el contrario, esta condición desarrolla el artículo 32 de la Ley 2069 de 2020. Además, el Gobierno Nacional goza de libertad de configuración reglamentaria en la materia, pues el parágrafo 1 del referido artículo establece que «La definición de emprendimientos y empresas de mujeres se reglamentará por el gobierno nacional». Sería, en cambio, discriminatorio, entender que una mujer –persona natural– no puede considerarse empresa o emprendimiento de mujer, cuando realiza actividades mercantiles a través de un establecimiento de comercio, a pesar de no tener una persona jurídica conformada.</w:t>
      </w:r>
    </w:p>
    <w:p w14:paraId="76506597" w14:textId="10957849" w:rsidR="00F66777" w:rsidRPr="00DD5F33" w:rsidRDefault="007262B8" w:rsidP="004D2AD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Debe agregarse a las consideraciones sobre la regulación de los criterios diferenciales a favor de las empresas y los emprendimientos de mujeres que e</w:t>
      </w:r>
      <w:r w:rsidR="00F66777" w:rsidRPr="00DD5F33">
        <w:rPr>
          <w:rFonts w:ascii="Arial" w:eastAsia="Calibri" w:hAnsi="Arial" w:cs="Arial"/>
          <w:bCs/>
          <w:color w:val="000000"/>
          <w:sz w:val="22"/>
          <w:szCs w:val="22"/>
          <w:lang w:val="es-ES_tradnl" w:eastAsia="en-US"/>
        </w:rPr>
        <w:t>l cuarto inciso del artículo 2.2.1.2.4.2.15. del Decreto 1082 de 2015, adicionado por el artículo 3 del Decreto 1860 de 2021,</w:t>
      </w:r>
      <w:r w:rsidR="004D2AD8" w:rsidRPr="00DD5F33">
        <w:rPr>
          <w:rFonts w:ascii="Arial" w:eastAsia="Calibri" w:hAnsi="Arial" w:cs="Arial"/>
          <w:bCs/>
          <w:color w:val="000000"/>
          <w:sz w:val="22"/>
          <w:szCs w:val="22"/>
          <w:lang w:val="es-ES_tradnl" w:eastAsia="en-US"/>
        </w:rPr>
        <w:t xml:space="preserve"> </w:t>
      </w:r>
      <w:r w:rsidR="00F66777" w:rsidRPr="00DD5F33">
        <w:rPr>
          <w:rFonts w:ascii="Arial" w:eastAsia="Calibri" w:hAnsi="Arial" w:cs="Arial"/>
          <w:bCs/>
          <w:color w:val="000000"/>
          <w:sz w:val="22"/>
          <w:szCs w:val="22"/>
          <w:lang w:val="es-ES_tradnl" w:eastAsia="en-US"/>
        </w:rPr>
        <w:t xml:space="preserve">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w:t>
      </w:r>
      <w:r w:rsidR="00887C8A" w:rsidRPr="00DD5F33">
        <w:rPr>
          <w:rFonts w:ascii="Arial" w:eastAsia="Calibri" w:hAnsi="Arial" w:cs="Arial"/>
          <w:bCs/>
          <w:color w:val="000000"/>
          <w:sz w:val="22"/>
          <w:szCs w:val="22"/>
          <w:lang w:val="es-ES_tradnl" w:eastAsia="en-US"/>
        </w:rPr>
        <w:t xml:space="preserve">considerar las distintas variables </w:t>
      </w:r>
      <w:r w:rsidR="00F66777" w:rsidRPr="00DD5F33">
        <w:rPr>
          <w:rFonts w:ascii="Arial" w:eastAsia="Calibri" w:hAnsi="Arial" w:cs="Arial"/>
          <w:bCs/>
          <w:color w:val="000000"/>
          <w:sz w:val="22"/>
          <w:szCs w:val="22"/>
          <w:lang w:val="es-ES_tradnl" w:eastAsia="en-US"/>
        </w:rPr>
        <w:t xml:space="preserve">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w:t>
      </w:r>
      <w:r w:rsidR="00A763CD" w:rsidRPr="00DD5F33">
        <w:rPr>
          <w:rFonts w:ascii="Arial" w:eastAsia="Calibri" w:hAnsi="Arial" w:cs="Arial"/>
          <w:bCs/>
          <w:color w:val="000000"/>
          <w:sz w:val="22"/>
          <w:szCs w:val="22"/>
          <w:lang w:val="es-ES_tradnl" w:eastAsia="en-US"/>
        </w:rPr>
        <w:t>S</w:t>
      </w:r>
      <w:r w:rsidR="00F66777" w:rsidRPr="00DD5F33">
        <w:rPr>
          <w:rFonts w:ascii="Arial" w:eastAsia="Calibri" w:hAnsi="Arial" w:cs="Arial"/>
          <w:bCs/>
          <w:color w:val="000000"/>
          <w:sz w:val="22"/>
          <w:szCs w:val="22"/>
          <w:lang w:val="es-ES_tradnl" w:eastAsia="en-US"/>
        </w:rPr>
        <w:t xml:space="preserve">istema de </w:t>
      </w:r>
      <w:r w:rsidR="00A763CD" w:rsidRPr="00DD5F33">
        <w:rPr>
          <w:rFonts w:ascii="Arial" w:eastAsia="Calibri" w:hAnsi="Arial" w:cs="Arial"/>
          <w:bCs/>
          <w:color w:val="000000"/>
          <w:sz w:val="22"/>
          <w:szCs w:val="22"/>
          <w:lang w:val="es-ES_tradnl" w:eastAsia="en-US"/>
        </w:rPr>
        <w:t>C</w:t>
      </w:r>
      <w:r w:rsidR="00F66777" w:rsidRPr="00DD5F33">
        <w:rPr>
          <w:rFonts w:ascii="Arial" w:eastAsia="Calibri" w:hAnsi="Arial" w:cs="Arial"/>
          <w:bCs/>
          <w:color w:val="000000"/>
          <w:sz w:val="22"/>
          <w:szCs w:val="22"/>
          <w:lang w:val="es-ES_tradnl" w:eastAsia="en-US"/>
        </w:rPr>
        <w:t xml:space="preserve">ompras y </w:t>
      </w:r>
      <w:r w:rsidR="00A763CD" w:rsidRPr="00DD5F33">
        <w:rPr>
          <w:rFonts w:ascii="Arial" w:eastAsia="Calibri" w:hAnsi="Arial" w:cs="Arial"/>
          <w:bCs/>
          <w:color w:val="000000"/>
          <w:sz w:val="22"/>
          <w:szCs w:val="22"/>
          <w:lang w:val="es-ES_tradnl" w:eastAsia="en-US"/>
        </w:rPr>
        <w:t>C</w:t>
      </w:r>
      <w:r w:rsidR="00F66777" w:rsidRPr="00DD5F33">
        <w:rPr>
          <w:rFonts w:ascii="Arial" w:eastAsia="Calibri" w:hAnsi="Arial" w:cs="Arial"/>
          <w:bCs/>
          <w:color w:val="000000"/>
          <w:sz w:val="22"/>
          <w:szCs w:val="22"/>
          <w:lang w:val="es-ES_tradnl" w:eastAsia="en-US"/>
        </w:rPr>
        <w:t xml:space="preserve">ontratación </w:t>
      </w:r>
      <w:r w:rsidR="00A763CD" w:rsidRPr="00DD5F33">
        <w:rPr>
          <w:rFonts w:ascii="Arial" w:eastAsia="Calibri" w:hAnsi="Arial" w:cs="Arial"/>
          <w:bCs/>
          <w:color w:val="000000"/>
          <w:sz w:val="22"/>
          <w:szCs w:val="22"/>
          <w:lang w:val="es-ES_tradnl" w:eastAsia="en-US"/>
        </w:rPr>
        <w:t>P</w:t>
      </w:r>
      <w:r w:rsidR="00F66777" w:rsidRPr="00DD5F33">
        <w:rPr>
          <w:rFonts w:ascii="Arial" w:eastAsia="Calibri" w:hAnsi="Arial" w:cs="Arial"/>
          <w:bCs/>
          <w:color w:val="000000"/>
          <w:sz w:val="22"/>
          <w:szCs w:val="22"/>
          <w:lang w:val="es-ES_tradnl" w:eastAsia="en-US"/>
        </w:rPr>
        <w:t xml:space="preserve">ública, solo brinda algunas pautas al respecto. </w:t>
      </w:r>
    </w:p>
    <w:p w14:paraId="09F4970B" w14:textId="77777777" w:rsidR="00CB7399" w:rsidRPr="00DD5F33" w:rsidRDefault="00F66777"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En efecto, según lo indicó Colombia Compra Eficiente en la Guía para la Elaboración de Estudios del Sector, en esta actividad las entidades estatales deben realizar un estudio </w:t>
      </w:r>
      <w:r w:rsidRPr="00DD5F33">
        <w:rPr>
          <w:rFonts w:ascii="Arial" w:eastAsia="Calibri" w:hAnsi="Arial" w:cs="Arial"/>
          <w:bCs/>
          <w:color w:val="000000"/>
          <w:sz w:val="22"/>
          <w:szCs w:val="22"/>
          <w:lang w:val="es-ES_tradnl" w:eastAsia="en-US"/>
        </w:rPr>
        <w:lastRenderedPageBreak/>
        <w:t>de la oferta, que responda, entre otras, las siguientes preguntas: i) «Quién vende», y ii)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–SIREM–4;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w:t>
      </w:r>
      <w:r w:rsidRPr="00DD5F33">
        <w:rPr>
          <w:rStyle w:val="Refdenotaalpie"/>
          <w:rFonts w:ascii="Arial" w:eastAsia="Calibri" w:hAnsi="Arial" w:cs="Arial"/>
          <w:bCs/>
          <w:color w:val="000000"/>
          <w:sz w:val="22"/>
          <w:szCs w:val="22"/>
          <w:lang w:val="es-ES_tradnl" w:eastAsia="en-US"/>
        </w:rPr>
        <w:footnoteReference w:id="32"/>
      </w:r>
      <w:r w:rsidRPr="00DD5F33">
        <w:rPr>
          <w:rFonts w:ascii="Arial" w:eastAsia="Calibri" w:hAnsi="Arial" w:cs="Arial"/>
          <w:bCs/>
          <w:color w:val="000000"/>
          <w:sz w:val="22"/>
          <w:szCs w:val="22"/>
          <w:lang w:val="es-ES_tradnl" w:eastAsia="en-US"/>
        </w:rPr>
        <w:t>.</w:t>
      </w:r>
      <w:r w:rsidR="004A3A10" w:rsidRPr="00DD5F33">
        <w:rPr>
          <w:rFonts w:ascii="Arial" w:eastAsia="Calibri" w:hAnsi="Arial" w:cs="Arial"/>
          <w:bCs/>
          <w:color w:val="000000"/>
          <w:sz w:val="22"/>
          <w:szCs w:val="22"/>
          <w:lang w:val="es-ES_tradnl" w:eastAsia="en-US"/>
        </w:rPr>
        <w:t xml:space="preserve"> </w:t>
      </w:r>
    </w:p>
    <w:p w14:paraId="26556B34" w14:textId="27BA1ECF" w:rsidR="00CB7399" w:rsidRPr="00DD5F33" w:rsidRDefault="00A763CD"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la misma perspectiva, e</w:t>
      </w:r>
      <w:r w:rsidR="00CB7399" w:rsidRPr="00DD5F33">
        <w:rPr>
          <w:rFonts w:ascii="Arial" w:eastAsia="Calibri" w:hAnsi="Arial" w:cs="Arial"/>
          <w:bCs/>
          <w:color w:val="000000"/>
          <w:sz w:val="22"/>
          <w:szCs w:val="22"/>
          <w:lang w:val="es-ES_tradnl" w:eastAsia="en-US"/>
        </w:rPr>
        <w:t xml:space="preserve">l artículo 2.2.1.2.4.2.15. del Decreto 1082 de 2015, adicionado por el artículo 3 del Decreto 1860 de 2021, establece, además, que uno de los aspectos relacionados con los requisitos habilitantes diferenciales a favor de las empresas y emprendimientos de mujeres –que los documentos del proceso deben incorporar– es el relativo al «Valor de la garantía de seriedad de la oferta». La justificación de emplear este aspecto debe ser determinada por las entidades estatales en los estudios previos. Esto se deduce a partir de lo siguiente: </w:t>
      </w:r>
    </w:p>
    <w:p w14:paraId="35FE7618" w14:textId="77777777" w:rsidR="00CB7399" w:rsidRPr="00DD5F33" w:rsidRDefault="00CB7399"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 El primer inciso del artículo 2.2.1.2.4.2.15. establece que «los Documentos del Proceso deberán incorporar requisitos habilitantes diferenciales relacionados con alguno o algunos» de los cinco aspectos que la norma enlista a continuación. Eso significa que el valor de la garantía de seriedad de la oferta podría emplearse o no para definir los criterios diferenciales, lo cual dependerá del análisis de oportunidad y conveniencia efectuado por la Administración. </w:t>
      </w:r>
    </w:p>
    <w:p w14:paraId="7E054624" w14:textId="77777777" w:rsidR="00CB7399" w:rsidRPr="00DD5F33" w:rsidRDefault="00CB7399"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ii) El segundo inciso del artículo en comento, a su vez, indica que «Los requisitos mencionados deberán fijarse respetando las condiciones habilitantes requeridas para el cumplimiento adecuado del contrato, teniendo en cuenta el alcance de las obligaciones». Por tanto, las entidades estatales, en la planeación del procedimiento contractual, deben definir la idoneidad de los criterios diferenciales –entre estos, el del valor de la garantía de seriedad de la oferta–, según el alcance de las obligaciones que emanarán del contrato. </w:t>
      </w:r>
    </w:p>
    <w:p w14:paraId="2B60C199" w14:textId="77777777" w:rsidR="00CB7399" w:rsidRPr="00DD5F33" w:rsidRDefault="00CB7399"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iii) Lo anterior lo ratifica el cuarto inciso del artículo bajo análisis, según el cual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54B7B2DB" w14:textId="70B54BD1" w:rsidR="00CB7399" w:rsidRPr="00DD5F33" w:rsidRDefault="00CB7399" w:rsidP="00CB739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iv) Como parte de los estudios previos, en el análisis de los riesgos, la entidad estatal debe hacer una tipificación, estimación y asignación de los riesgos del contrato, para determinar la conveniencia de establecer un factor habilitante diferencial para la garantía de seriedad de la oferta a favor de los emprendimientos y empresas de mujeres. La Agencia Nacional de Contratación Pública – Colombia Compra Eficiente puso a disposición de los partícipes del Sistema de Compras y Contratación Pública el Manual para la Identificación y Cobertura del Riesgo en los Procesos de Contratación</w:t>
      </w:r>
      <w:r w:rsidRPr="00DD5F33">
        <w:rPr>
          <w:rStyle w:val="Refdenotaalpie"/>
          <w:rFonts w:ascii="Arial" w:eastAsia="Calibri" w:hAnsi="Arial" w:cs="Arial"/>
          <w:bCs/>
          <w:color w:val="000000"/>
          <w:sz w:val="22"/>
          <w:szCs w:val="22"/>
          <w:lang w:val="es-ES_tradnl" w:eastAsia="en-US"/>
        </w:rPr>
        <w:footnoteReference w:id="33"/>
      </w:r>
      <w:r w:rsidRPr="00DD5F33">
        <w:rPr>
          <w:rFonts w:ascii="Arial" w:eastAsia="Calibri" w:hAnsi="Arial" w:cs="Arial"/>
          <w:bCs/>
          <w:color w:val="000000"/>
          <w:sz w:val="22"/>
          <w:szCs w:val="22"/>
          <w:lang w:val="es-ES_tradnl" w:eastAsia="en-US"/>
        </w:rPr>
        <w:t>. Este documento recomienda una metodología que puede orientar dicha actividad, a cargo de las entidades estatales</w:t>
      </w:r>
      <w:r w:rsidR="00987426" w:rsidRPr="00DD5F33">
        <w:rPr>
          <w:rFonts w:ascii="Arial" w:eastAsia="Calibri" w:hAnsi="Arial" w:cs="Arial"/>
          <w:bCs/>
          <w:color w:val="000000"/>
          <w:sz w:val="22"/>
          <w:szCs w:val="22"/>
          <w:lang w:val="es-ES_tradnl" w:eastAsia="en-US"/>
        </w:rPr>
        <w:t>.</w:t>
      </w:r>
      <w:r w:rsidRPr="00DD5F33">
        <w:rPr>
          <w:rFonts w:ascii="Arial" w:eastAsia="Calibri" w:hAnsi="Arial" w:cs="Arial"/>
          <w:bCs/>
          <w:color w:val="000000"/>
          <w:sz w:val="22"/>
          <w:szCs w:val="22"/>
          <w:lang w:val="es-ES_tradnl" w:eastAsia="en-US"/>
        </w:rPr>
        <w:t xml:space="preserve">      </w:t>
      </w:r>
    </w:p>
    <w:p w14:paraId="5D686F76" w14:textId="056D601E" w:rsidR="004A3A10" w:rsidRPr="00DD5F33" w:rsidRDefault="004A3A10" w:rsidP="00B90B1C">
      <w:pPr>
        <w:spacing w:before="120" w:line="276" w:lineRule="auto"/>
        <w:ind w:firstLine="709"/>
        <w:jc w:val="both"/>
        <w:rPr>
          <w:rFonts w:ascii="Arial" w:eastAsia="Calibri" w:hAnsi="Arial" w:cs="Arial"/>
          <w:color w:val="000000"/>
          <w:sz w:val="22"/>
          <w:szCs w:val="22"/>
          <w:lang w:val="es-ES_tradnl" w:eastAsia="en-US"/>
        </w:rPr>
      </w:pPr>
      <w:r w:rsidRPr="00DD5F33">
        <w:rPr>
          <w:rFonts w:ascii="Arial" w:hAnsi="Arial" w:cs="Arial"/>
          <w:color w:val="000000" w:themeColor="text1"/>
          <w:sz w:val="22"/>
          <w:szCs w:val="22"/>
          <w:lang w:val="es-ES_tradnl"/>
        </w:rPr>
        <w:t xml:space="preserve">Ahora bien, en cuanto a la pregunta de </w:t>
      </w:r>
      <w:r w:rsidR="005908C9" w:rsidRPr="00DD5F33">
        <w:rPr>
          <w:rFonts w:ascii="Arial" w:hAnsi="Arial" w:cs="Arial"/>
          <w:color w:val="000000" w:themeColor="text1"/>
          <w:sz w:val="22"/>
          <w:szCs w:val="22"/>
          <w:lang w:val="es-ES_tradnl"/>
        </w:rPr>
        <w:t>«</w:t>
      </w:r>
      <w:r w:rsidRPr="00DD5F33">
        <w:rPr>
          <w:rFonts w:ascii="Arial" w:hAnsi="Arial" w:cs="Arial"/>
          <w:color w:val="000000" w:themeColor="text1"/>
          <w:sz w:val="22"/>
          <w:szCs w:val="22"/>
          <w:lang w:val="es-ES_tradnl"/>
        </w:rPr>
        <w:t>Qué garantiza que a través de la ejecución del contrato se mantengan los porcentajes de participación de las mujeres para el emprendimiento y empresas de mujeres, una vez este sea celebrado»</w:t>
      </w:r>
      <w:r w:rsidR="005908C9" w:rsidRPr="00DD5F33">
        <w:rPr>
          <w:rFonts w:ascii="Arial" w:hAnsi="Arial" w:cs="Arial"/>
          <w:color w:val="000000" w:themeColor="text1"/>
          <w:sz w:val="22"/>
          <w:szCs w:val="22"/>
          <w:lang w:val="es-ES_tradnl"/>
        </w:rPr>
        <w:t xml:space="preserve">, </w:t>
      </w:r>
      <w:r w:rsidR="005819C8" w:rsidRPr="00DD5F33">
        <w:rPr>
          <w:rFonts w:ascii="Arial" w:hAnsi="Arial" w:cs="Arial"/>
          <w:color w:val="000000" w:themeColor="text1"/>
          <w:sz w:val="22"/>
          <w:szCs w:val="22"/>
          <w:lang w:val="es-ES_tradnl"/>
        </w:rPr>
        <w:t>es i</w:t>
      </w:r>
      <w:r w:rsidR="00AD4BAE" w:rsidRPr="00DD5F33">
        <w:rPr>
          <w:rFonts w:ascii="Arial" w:hAnsi="Arial" w:cs="Arial"/>
          <w:color w:val="000000" w:themeColor="text1"/>
          <w:sz w:val="22"/>
          <w:szCs w:val="22"/>
          <w:lang w:val="es-ES_tradnl"/>
        </w:rPr>
        <w:t>mporte mencionar que</w:t>
      </w:r>
      <w:r w:rsidR="00FF480D" w:rsidRPr="00DD5F33">
        <w:rPr>
          <w:rFonts w:ascii="Arial" w:hAnsi="Arial" w:cs="Arial"/>
          <w:color w:val="000000" w:themeColor="text1"/>
          <w:sz w:val="22"/>
          <w:szCs w:val="22"/>
          <w:lang w:val="es-ES_tradnl"/>
        </w:rPr>
        <w:t xml:space="preserve"> a través de los documentos solicitados en</w:t>
      </w:r>
      <w:r w:rsidR="00AD4BAE" w:rsidRPr="00DD5F33">
        <w:rPr>
          <w:rFonts w:ascii="Arial" w:hAnsi="Arial" w:cs="Arial"/>
          <w:color w:val="000000" w:themeColor="text1"/>
          <w:sz w:val="22"/>
          <w:szCs w:val="22"/>
          <w:lang w:val="es-ES_tradnl"/>
        </w:rPr>
        <w:t xml:space="preserve"> el </w:t>
      </w:r>
      <w:r w:rsidR="00AD4BAE" w:rsidRPr="00DD5F33">
        <w:rPr>
          <w:rFonts w:ascii="Arial" w:eastAsia="Calibri" w:hAnsi="Arial" w:cs="Arial"/>
          <w:bCs/>
          <w:color w:val="000000"/>
          <w:sz w:val="22"/>
          <w:szCs w:val="22"/>
          <w:lang w:val="es-ES_tradnl" w:eastAsia="en-US"/>
        </w:rPr>
        <w:t xml:space="preserve">artículo 2.2.1.2.4.2.15 del Decreto 1082 de 2015 </w:t>
      </w:r>
      <w:r w:rsidR="006B0051" w:rsidRPr="00DD5F33">
        <w:rPr>
          <w:rFonts w:ascii="Arial" w:eastAsia="Calibri" w:hAnsi="Arial" w:cs="Arial"/>
          <w:bCs/>
          <w:color w:val="000000"/>
          <w:sz w:val="22"/>
          <w:szCs w:val="22"/>
          <w:lang w:val="es-ES_tradnl" w:eastAsia="en-US"/>
        </w:rPr>
        <w:t>–adicionado por el artículo 3 del Decreto 1860 de 2021–</w:t>
      </w:r>
      <w:r w:rsidR="00F31D44" w:rsidRPr="00DD5F33">
        <w:rPr>
          <w:rFonts w:ascii="Arial" w:eastAsia="Calibri" w:hAnsi="Arial" w:cs="Arial"/>
          <w:bCs/>
          <w:color w:val="000000"/>
          <w:sz w:val="22"/>
          <w:szCs w:val="22"/>
          <w:lang w:val="es-ES_tradnl" w:eastAsia="en-US"/>
        </w:rPr>
        <w:t xml:space="preserve"> </w:t>
      </w:r>
      <w:r w:rsidR="00FF480D" w:rsidRPr="00DD5F33">
        <w:rPr>
          <w:rFonts w:ascii="Arial" w:eastAsia="Calibri" w:hAnsi="Arial" w:cs="Arial"/>
          <w:bCs/>
          <w:color w:val="000000"/>
          <w:sz w:val="22"/>
          <w:szCs w:val="22"/>
          <w:lang w:val="es-ES_tradnl" w:eastAsia="en-US"/>
        </w:rPr>
        <w:t xml:space="preserve">la Administración </w:t>
      </w:r>
      <w:r w:rsidR="00AA2264" w:rsidRPr="00DD5F33">
        <w:rPr>
          <w:rFonts w:ascii="Arial" w:eastAsia="Calibri" w:hAnsi="Arial" w:cs="Arial"/>
          <w:bCs/>
          <w:color w:val="000000"/>
          <w:sz w:val="22"/>
          <w:szCs w:val="22"/>
          <w:lang w:val="es-ES_tradnl" w:eastAsia="en-US"/>
        </w:rPr>
        <w:t>verifica</w:t>
      </w:r>
      <w:r w:rsidR="00FF480D" w:rsidRPr="00DD5F33">
        <w:rPr>
          <w:rFonts w:ascii="Arial" w:eastAsia="Calibri" w:hAnsi="Arial" w:cs="Arial"/>
          <w:bCs/>
          <w:color w:val="000000"/>
          <w:sz w:val="22"/>
          <w:szCs w:val="22"/>
          <w:lang w:val="es-ES_tradnl" w:eastAsia="en-US"/>
        </w:rPr>
        <w:t xml:space="preserve"> </w:t>
      </w:r>
      <w:r w:rsidR="00FF480D" w:rsidRPr="00DD5F33">
        <w:rPr>
          <w:rFonts w:ascii="Arial" w:eastAsia="Calibri" w:hAnsi="Arial" w:cs="Arial"/>
          <w:bCs/>
          <w:i/>
          <w:iCs/>
          <w:color w:val="000000"/>
          <w:sz w:val="22"/>
          <w:szCs w:val="22"/>
          <w:lang w:val="es-ES_tradnl" w:eastAsia="en-US"/>
        </w:rPr>
        <w:t>ex ante</w:t>
      </w:r>
      <w:r w:rsidR="00AA2264" w:rsidRPr="00DD5F33">
        <w:rPr>
          <w:rFonts w:ascii="Arial" w:eastAsia="Calibri" w:hAnsi="Arial" w:cs="Arial"/>
          <w:bCs/>
          <w:color w:val="000000"/>
          <w:sz w:val="22"/>
          <w:szCs w:val="22"/>
          <w:lang w:val="es-ES_tradnl" w:eastAsia="en-US"/>
        </w:rPr>
        <w:t xml:space="preserve"> que el proponente que pretenda beneficiarse de los factores diferenciales</w:t>
      </w:r>
      <w:r w:rsidR="00FF480D" w:rsidRPr="00DD5F33">
        <w:rPr>
          <w:rFonts w:ascii="Arial" w:eastAsia="Calibri" w:hAnsi="Arial" w:cs="Arial"/>
          <w:bCs/>
          <w:color w:val="000000"/>
          <w:sz w:val="22"/>
          <w:szCs w:val="22"/>
          <w:lang w:val="es-ES_tradnl" w:eastAsia="en-US"/>
        </w:rPr>
        <w:t xml:space="preserve"> </w:t>
      </w:r>
      <w:r w:rsidR="0003000C" w:rsidRPr="00DD5F33">
        <w:rPr>
          <w:rFonts w:ascii="Arial" w:eastAsia="Calibri" w:hAnsi="Arial" w:cs="Arial"/>
          <w:bCs/>
          <w:color w:val="000000"/>
          <w:sz w:val="22"/>
          <w:szCs w:val="22"/>
          <w:lang w:val="es-ES_tradnl" w:eastAsia="en-US"/>
        </w:rPr>
        <w:t>tenga la calidad de empresa y emprendimiento de mujeres</w:t>
      </w:r>
      <w:r w:rsidR="00AC3C26" w:rsidRPr="00DD5F33">
        <w:rPr>
          <w:rFonts w:ascii="Arial" w:eastAsia="Calibri" w:hAnsi="Arial" w:cs="Arial"/>
          <w:bCs/>
          <w:color w:val="000000"/>
          <w:sz w:val="22"/>
          <w:szCs w:val="22"/>
          <w:lang w:val="es-ES_tradnl" w:eastAsia="en-US"/>
        </w:rPr>
        <w:t>. En este sentido</w:t>
      </w:r>
      <w:r w:rsidR="00DD416A" w:rsidRPr="00DD5F33">
        <w:rPr>
          <w:rFonts w:ascii="Arial" w:eastAsia="Calibri" w:hAnsi="Arial" w:cs="Arial"/>
          <w:bCs/>
          <w:color w:val="000000"/>
          <w:sz w:val="22"/>
          <w:szCs w:val="22"/>
          <w:lang w:val="es-ES_tradnl" w:eastAsia="en-US"/>
        </w:rPr>
        <w:t>,</w:t>
      </w:r>
      <w:r w:rsidR="00CF041E" w:rsidRPr="00DD5F33">
        <w:rPr>
          <w:rFonts w:ascii="Arial" w:eastAsia="Calibri" w:hAnsi="Arial" w:cs="Arial"/>
          <w:bCs/>
          <w:color w:val="000000"/>
          <w:sz w:val="22"/>
          <w:szCs w:val="22"/>
          <w:lang w:val="es-ES_tradnl" w:eastAsia="en-US"/>
        </w:rPr>
        <w:t xml:space="preserve"> no inciden en el cumplimiento de las obligaciones</w:t>
      </w:r>
      <w:r w:rsidR="00DD416A" w:rsidRPr="00DD5F33">
        <w:rPr>
          <w:rFonts w:ascii="Arial" w:eastAsia="Calibri" w:hAnsi="Arial" w:cs="Arial"/>
          <w:bCs/>
          <w:color w:val="000000"/>
          <w:sz w:val="22"/>
          <w:szCs w:val="22"/>
          <w:lang w:val="es-ES_tradnl" w:eastAsia="en-US"/>
        </w:rPr>
        <w:t xml:space="preserve"> </w:t>
      </w:r>
      <w:r w:rsidR="00CF041E" w:rsidRPr="00DD5F33">
        <w:rPr>
          <w:rFonts w:ascii="Arial" w:eastAsia="Calibri" w:hAnsi="Arial" w:cs="Arial"/>
          <w:bCs/>
          <w:color w:val="000000"/>
          <w:sz w:val="22"/>
          <w:szCs w:val="22"/>
          <w:lang w:val="es-ES_tradnl" w:eastAsia="en-US"/>
        </w:rPr>
        <w:t>circunstancias</w:t>
      </w:r>
      <w:r w:rsidR="00DD416A" w:rsidRPr="00DD5F33">
        <w:rPr>
          <w:rFonts w:ascii="Arial" w:eastAsia="Calibri" w:hAnsi="Arial" w:cs="Arial"/>
          <w:bCs/>
          <w:color w:val="000000"/>
          <w:sz w:val="22"/>
          <w:szCs w:val="22"/>
          <w:lang w:val="es-ES_tradnl" w:eastAsia="en-US"/>
        </w:rPr>
        <w:t xml:space="preserve"> como</w:t>
      </w:r>
      <w:r w:rsidR="00ED5FE1" w:rsidRPr="00DD5F33">
        <w:rPr>
          <w:rFonts w:ascii="Arial" w:eastAsia="Calibri" w:hAnsi="Arial" w:cs="Arial"/>
          <w:bCs/>
          <w:color w:val="000000"/>
          <w:sz w:val="22"/>
          <w:szCs w:val="22"/>
          <w:lang w:val="es-ES_tradnl" w:eastAsia="en-US"/>
        </w:rPr>
        <w:t xml:space="preserve">, </w:t>
      </w:r>
      <w:r w:rsidR="000B1FB1" w:rsidRPr="00DD5F33">
        <w:rPr>
          <w:rFonts w:ascii="Arial" w:eastAsia="Calibri" w:hAnsi="Arial" w:cs="Arial"/>
          <w:bCs/>
          <w:color w:val="000000"/>
          <w:sz w:val="22"/>
          <w:szCs w:val="22"/>
          <w:lang w:val="es-ES_tradnl" w:eastAsia="en-US"/>
        </w:rPr>
        <w:t>por ejemplo</w:t>
      </w:r>
      <w:r w:rsidR="00ED5FE1" w:rsidRPr="00DD5F33">
        <w:rPr>
          <w:rFonts w:ascii="Arial" w:eastAsia="Calibri" w:hAnsi="Arial" w:cs="Arial"/>
          <w:bCs/>
          <w:color w:val="000000"/>
          <w:sz w:val="22"/>
          <w:szCs w:val="22"/>
          <w:lang w:val="es-ES_tradnl" w:eastAsia="en-US"/>
        </w:rPr>
        <w:t>,</w:t>
      </w:r>
      <w:r w:rsidR="000B1FB1" w:rsidRPr="00DD5F33">
        <w:rPr>
          <w:rFonts w:ascii="Arial" w:eastAsia="Calibri" w:hAnsi="Arial" w:cs="Arial"/>
          <w:bCs/>
          <w:color w:val="000000"/>
          <w:sz w:val="22"/>
          <w:szCs w:val="22"/>
          <w:lang w:val="es-ES_tradnl" w:eastAsia="en-US"/>
        </w:rPr>
        <w:t xml:space="preserve"> </w:t>
      </w:r>
      <w:r w:rsidR="00DD416A" w:rsidRPr="00DD5F33">
        <w:rPr>
          <w:rFonts w:ascii="Arial" w:eastAsia="Calibri" w:hAnsi="Arial" w:cs="Arial"/>
          <w:bCs/>
          <w:color w:val="000000"/>
          <w:sz w:val="22"/>
          <w:szCs w:val="22"/>
          <w:lang w:val="es-ES_tradnl" w:eastAsia="en-US"/>
        </w:rPr>
        <w:t xml:space="preserve">el cambio en la </w:t>
      </w:r>
      <w:r w:rsidR="00BE1C37" w:rsidRPr="00DD5F33">
        <w:rPr>
          <w:rFonts w:ascii="Arial" w:eastAsia="Calibri" w:hAnsi="Arial" w:cs="Arial"/>
          <w:bCs/>
          <w:color w:val="000000"/>
          <w:sz w:val="22"/>
          <w:szCs w:val="22"/>
          <w:lang w:val="es-ES_tradnl" w:eastAsia="en-US"/>
        </w:rPr>
        <w:t>participación</w:t>
      </w:r>
      <w:r w:rsidR="00DD416A" w:rsidRPr="00DD5F33">
        <w:rPr>
          <w:rFonts w:ascii="Arial" w:eastAsia="Calibri" w:hAnsi="Arial" w:cs="Arial"/>
          <w:bCs/>
          <w:color w:val="000000"/>
          <w:sz w:val="22"/>
          <w:szCs w:val="22"/>
          <w:lang w:val="es-ES_tradnl" w:eastAsia="en-US"/>
        </w:rPr>
        <w:t xml:space="preserve"> accionaria </w:t>
      </w:r>
      <w:r w:rsidR="00BE1C37" w:rsidRPr="00DD5F33">
        <w:rPr>
          <w:rFonts w:ascii="Arial" w:eastAsia="Calibri" w:hAnsi="Arial" w:cs="Arial"/>
          <w:bCs/>
          <w:color w:val="000000"/>
          <w:sz w:val="22"/>
          <w:szCs w:val="22"/>
          <w:lang w:val="es-ES_tradnl" w:eastAsia="en-US"/>
        </w:rPr>
        <w:t xml:space="preserve">o en la planta de empleados del nivel directivo </w:t>
      </w:r>
      <w:r w:rsidR="00D06601" w:rsidRPr="00DD5F33">
        <w:rPr>
          <w:rFonts w:ascii="Arial" w:eastAsia="Calibri" w:hAnsi="Arial" w:cs="Arial"/>
          <w:bCs/>
          <w:color w:val="000000"/>
          <w:sz w:val="22"/>
          <w:szCs w:val="22"/>
          <w:lang w:val="es-ES_tradnl" w:eastAsia="en-US"/>
        </w:rPr>
        <w:t>durante la ejecución</w:t>
      </w:r>
      <w:r w:rsidR="00ED5FE1" w:rsidRPr="00DD5F33">
        <w:rPr>
          <w:rFonts w:ascii="Arial" w:eastAsia="Calibri" w:hAnsi="Arial" w:cs="Arial"/>
          <w:bCs/>
          <w:color w:val="000000"/>
          <w:sz w:val="22"/>
          <w:szCs w:val="22"/>
          <w:lang w:val="es-ES_tradnl" w:eastAsia="en-US"/>
        </w:rPr>
        <w:t xml:space="preserve"> del contrato</w:t>
      </w:r>
      <w:r w:rsidR="003F57BC" w:rsidRPr="00DD5F33">
        <w:rPr>
          <w:rFonts w:ascii="Arial" w:eastAsia="Calibri" w:hAnsi="Arial" w:cs="Arial"/>
          <w:bCs/>
          <w:color w:val="000000"/>
          <w:sz w:val="22"/>
          <w:szCs w:val="22"/>
          <w:lang w:val="es-ES_tradnl" w:eastAsia="en-US"/>
        </w:rPr>
        <w:t>. Esto en la medida que,</w:t>
      </w:r>
      <w:r w:rsidR="007011B6" w:rsidRPr="00DD5F33">
        <w:rPr>
          <w:rFonts w:ascii="Arial" w:eastAsia="Calibri" w:hAnsi="Arial" w:cs="Arial"/>
          <w:bCs/>
          <w:color w:val="000000"/>
          <w:sz w:val="22"/>
          <w:szCs w:val="22"/>
          <w:lang w:val="es-ES_tradnl" w:eastAsia="en-US"/>
        </w:rPr>
        <w:t xml:space="preserve"> para beneficiarse </w:t>
      </w:r>
      <w:r w:rsidR="00F841F7" w:rsidRPr="00DD5F33">
        <w:rPr>
          <w:rFonts w:ascii="Arial" w:eastAsia="Calibri" w:hAnsi="Arial" w:cs="Arial"/>
          <w:bCs/>
          <w:color w:val="000000"/>
          <w:sz w:val="22"/>
          <w:szCs w:val="22"/>
          <w:lang w:val="es-ES_tradnl" w:eastAsia="en-US"/>
        </w:rPr>
        <w:t>del incentivo durante el proceso de selección</w:t>
      </w:r>
      <w:r w:rsidR="003F57BC" w:rsidRPr="00DD5F33">
        <w:rPr>
          <w:rFonts w:ascii="Arial" w:eastAsia="Calibri" w:hAnsi="Arial" w:cs="Arial"/>
          <w:bCs/>
          <w:color w:val="000000"/>
          <w:sz w:val="22"/>
          <w:szCs w:val="22"/>
          <w:lang w:val="es-ES_tradnl" w:eastAsia="en-US"/>
        </w:rPr>
        <w:t>,</w:t>
      </w:r>
      <w:r w:rsidR="00627669" w:rsidRPr="00DD5F33">
        <w:rPr>
          <w:rFonts w:ascii="Arial" w:eastAsia="Calibri" w:hAnsi="Arial" w:cs="Arial"/>
          <w:bCs/>
          <w:color w:val="000000"/>
          <w:sz w:val="22"/>
          <w:szCs w:val="22"/>
          <w:lang w:val="es-ES_tradnl" w:eastAsia="en-US"/>
        </w:rPr>
        <w:t xml:space="preserve"> el interesado tuvo que </w:t>
      </w:r>
      <w:r w:rsidR="00CD136D" w:rsidRPr="00DD5F33">
        <w:rPr>
          <w:rFonts w:ascii="Arial" w:eastAsia="Calibri" w:hAnsi="Arial" w:cs="Arial"/>
          <w:bCs/>
          <w:color w:val="000000"/>
          <w:sz w:val="22"/>
          <w:szCs w:val="22"/>
          <w:lang w:val="es-ES_tradnl" w:eastAsia="en-US"/>
        </w:rPr>
        <w:t>demostrar</w:t>
      </w:r>
      <w:r w:rsidR="00627669" w:rsidRPr="00DD5F33">
        <w:rPr>
          <w:rFonts w:ascii="Arial" w:eastAsia="Calibri" w:hAnsi="Arial" w:cs="Arial"/>
          <w:bCs/>
          <w:color w:val="000000"/>
          <w:sz w:val="22"/>
          <w:szCs w:val="22"/>
          <w:lang w:val="es-ES_tradnl" w:eastAsia="en-US"/>
        </w:rPr>
        <w:t xml:space="preserve"> alguna de l</w:t>
      </w:r>
      <w:r w:rsidR="00820579" w:rsidRPr="00DD5F33">
        <w:rPr>
          <w:rFonts w:ascii="Arial" w:eastAsia="Calibri" w:hAnsi="Arial" w:cs="Arial"/>
          <w:bCs/>
          <w:color w:val="000000"/>
          <w:sz w:val="22"/>
          <w:szCs w:val="22"/>
          <w:lang w:val="es-ES_tradnl" w:eastAsia="en-US"/>
        </w:rPr>
        <w:t>os supuestos previstos</w:t>
      </w:r>
      <w:r w:rsidR="00627669" w:rsidRPr="00DD5F33">
        <w:rPr>
          <w:rFonts w:ascii="Arial" w:eastAsia="Calibri" w:hAnsi="Arial" w:cs="Arial"/>
          <w:bCs/>
          <w:color w:val="000000"/>
          <w:sz w:val="22"/>
          <w:szCs w:val="22"/>
          <w:lang w:val="es-ES_tradnl" w:eastAsia="en-US"/>
        </w:rPr>
        <w:t xml:space="preserve"> </w:t>
      </w:r>
      <w:r w:rsidR="003D0670" w:rsidRPr="00DD5F33">
        <w:rPr>
          <w:rFonts w:ascii="Arial" w:eastAsia="Calibri" w:hAnsi="Arial" w:cs="Arial"/>
          <w:bCs/>
          <w:color w:val="000000"/>
          <w:sz w:val="22"/>
          <w:szCs w:val="22"/>
          <w:lang w:val="es-ES_tradnl" w:eastAsia="en-US"/>
        </w:rPr>
        <w:t>en los numerales del artículo citado</w:t>
      </w:r>
      <w:r w:rsidR="006A20F3" w:rsidRPr="00DD5F33">
        <w:rPr>
          <w:rFonts w:ascii="Arial" w:eastAsia="Calibri" w:hAnsi="Arial" w:cs="Arial"/>
          <w:bCs/>
          <w:color w:val="000000"/>
          <w:sz w:val="22"/>
          <w:szCs w:val="22"/>
          <w:lang w:val="es-ES_tradnl" w:eastAsia="en-US"/>
        </w:rPr>
        <w:t xml:space="preserve"> durante</w:t>
      </w:r>
      <w:r w:rsidR="003C3B85" w:rsidRPr="00DD5F33">
        <w:rPr>
          <w:rFonts w:ascii="Arial" w:eastAsia="Calibri" w:hAnsi="Arial" w:cs="Arial"/>
          <w:bCs/>
          <w:color w:val="000000"/>
          <w:sz w:val="22"/>
          <w:szCs w:val="22"/>
          <w:lang w:val="es-ES_tradnl" w:eastAsia="en-US"/>
        </w:rPr>
        <w:t xml:space="preserve"> </w:t>
      </w:r>
      <w:r w:rsidR="00B032C0" w:rsidRPr="00DD5F33">
        <w:rPr>
          <w:rFonts w:ascii="Arial" w:eastAsia="Calibri" w:hAnsi="Arial" w:cs="Arial"/>
          <w:bCs/>
          <w:color w:val="000000"/>
          <w:sz w:val="22"/>
          <w:szCs w:val="22"/>
          <w:lang w:eastAsia="en-US"/>
        </w:rPr>
        <w:t>el último año anterior a la fecha de cierre</w:t>
      </w:r>
      <w:r w:rsidR="000B15C5" w:rsidRPr="00DD5F33">
        <w:rPr>
          <w:rFonts w:ascii="Arial" w:eastAsia="Calibri" w:hAnsi="Arial" w:cs="Arial"/>
          <w:bCs/>
          <w:color w:val="000000"/>
          <w:sz w:val="22"/>
          <w:szCs w:val="22"/>
          <w:lang w:eastAsia="en-US"/>
        </w:rPr>
        <w:t xml:space="preserve">. </w:t>
      </w:r>
      <w:r w:rsidR="007C3DD4" w:rsidRPr="00DD5F33">
        <w:rPr>
          <w:rFonts w:ascii="Arial" w:eastAsia="Calibri" w:hAnsi="Arial" w:cs="Arial"/>
          <w:bCs/>
          <w:color w:val="000000"/>
          <w:sz w:val="22"/>
          <w:szCs w:val="22"/>
          <w:lang w:eastAsia="en-US"/>
        </w:rPr>
        <w:t xml:space="preserve">De esta manera, a diferencia de lo previsto en el artículo </w:t>
      </w:r>
      <w:r w:rsidR="00B90B1C" w:rsidRPr="00DD5F33">
        <w:rPr>
          <w:rFonts w:ascii="Arial" w:eastAsia="Calibri" w:hAnsi="Arial" w:cs="Arial"/>
          <w:color w:val="000000"/>
          <w:sz w:val="22"/>
          <w:szCs w:val="22"/>
          <w:lang w:eastAsia="en-US"/>
        </w:rPr>
        <w:t>2.2.1.2.4.2.7 del Decreto 1082 de 2015 para las</w:t>
      </w:r>
      <w:r w:rsidR="00F0100F" w:rsidRPr="00DD5F33">
        <w:rPr>
          <w:rFonts w:ascii="Arial" w:eastAsia="Calibri" w:hAnsi="Arial" w:cs="Arial"/>
          <w:color w:val="000000"/>
          <w:sz w:val="22"/>
          <w:szCs w:val="22"/>
          <w:lang w:eastAsia="en-US"/>
        </w:rPr>
        <w:t xml:space="preserve"> personas en situación de discapacidad, el incentivo para empresas y emprendimientos de mujeres no contempla </w:t>
      </w:r>
      <w:r w:rsidR="00FE2F4F" w:rsidRPr="00DD5F33">
        <w:rPr>
          <w:rFonts w:ascii="Arial" w:eastAsia="Calibri" w:hAnsi="Arial" w:cs="Arial"/>
          <w:color w:val="000000"/>
          <w:sz w:val="22"/>
          <w:szCs w:val="22"/>
          <w:lang w:eastAsia="en-US"/>
        </w:rPr>
        <w:t xml:space="preserve">ningún mecanismo de seguimiento </w:t>
      </w:r>
      <w:r w:rsidR="00711CF1" w:rsidRPr="00DD5F33">
        <w:rPr>
          <w:rFonts w:ascii="Arial" w:eastAsia="Calibri" w:hAnsi="Arial" w:cs="Arial"/>
          <w:i/>
          <w:iCs/>
          <w:color w:val="000000"/>
          <w:sz w:val="22"/>
          <w:szCs w:val="22"/>
          <w:lang w:eastAsia="en-US"/>
        </w:rPr>
        <w:t>ex post</w:t>
      </w:r>
      <w:r w:rsidR="00E1665E" w:rsidRPr="00DD5F33">
        <w:rPr>
          <w:rFonts w:ascii="Arial" w:eastAsia="Calibri" w:hAnsi="Arial" w:cs="Arial"/>
          <w:color w:val="000000"/>
          <w:sz w:val="22"/>
          <w:szCs w:val="22"/>
          <w:lang w:eastAsia="en-US"/>
        </w:rPr>
        <w:t>, lo cual es acorde</w:t>
      </w:r>
      <w:r w:rsidR="006D265A" w:rsidRPr="00DD5F33">
        <w:rPr>
          <w:rFonts w:ascii="Arial" w:eastAsia="Calibri" w:hAnsi="Arial" w:cs="Arial"/>
          <w:color w:val="000000"/>
          <w:sz w:val="22"/>
          <w:szCs w:val="22"/>
          <w:lang w:eastAsia="en-US"/>
        </w:rPr>
        <w:t xml:space="preserve"> con la discrecionalidad de que goza el Gobierno Nacional en el ejercicio de la potestad reglamentaria.</w:t>
      </w:r>
      <w:r w:rsidR="00FE2F4F" w:rsidRPr="00DD5F33">
        <w:rPr>
          <w:rFonts w:ascii="Arial" w:eastAsia="Calibri" w:hAnsi="Arial" w:cs="Arial"/>
          <w:color w:val="000000"/>
          <w:sz w:val="22"/>
          <w:szCs w:val="22"/>
          <w:lang w:eastAsia="en-US"/>
        </w:rPr>
        <w:t xml:space="preserve"> </w:t>
      </w:r>
      <w:r w:rsidR="00B90B1C" w:rsidRPr="00DD5F33">
        <w:rPr>
          <w:rFonts w:ascii="Arial" w:eastAsia="Calibri" w:hAnsi="Arial" w:cs="Arial"/>
          <w:color w:val="000000"/>
          <w:sz w:val="22"/>
          <w:szCs w:val="22"/>
          <w:lang w:eastAsia="en-US"/>
        </w:rPr>
        <w:t xml:space="preserve"> </w:t>
      </w:r>
    </w:p>
    <w:p w14:paraId="51CEC2A6" w14:textId="2B359714" w:rsidR="008D5EC6" w:rsidRPr="00DD5F33" w:rsidRDefault="008D5EC6" w:rsidP="008D5EC6">
      <w:pPr>
        <w:spacing w:before="120" w:line="276" w:lineRule="auto"/>
        <w:ind w:firstLine="709"/>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Finalmente, lo que indica el artículo 2.2.1.2.4.2.15.,</w:t>
      </w:r>
      <w:r w:rsidR="004B0F13"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cuando establece que «Las Entidades incluirán estos requisitos diferenciales y puntajes adicionales de acuerdo con los resultados del análisis del sector, desde la perspectiva del estudio de la oferta de las obras, bienes o servicios que requiere, </w:t>
      </w:r>
      <w:r w:rsidRPr="00DD5F33">
        <w:rPr>
          <w:rFonts w:ascii="Arial" w:eastAsia="Calibri" w:hAnsi="Arial" w:cs="Arial"/>
          <w:bCs/>
          <w:i/>
          <w:iCs/>
          <w:color w:val="000000"/>
          <w:sz w:val="22"/>
          <w:szCs w:val="22"/>
          <w:lang w:val="es-ES_tradnl" w:eastAsia="en-US"/>
        </w:rPr>
        <w:t>sin perjuicio de los compromisos adquiridos por Colombia en los Acuerdos Comerciales vigentes</w:t>
      </w:r>
      <w:r w:rsidRPr="00DD5F33">
        <w:rPr>
          <w:rFonts w:ascii="Arial" w:eastAsia="Calibri" w:hAnsi="Arial" w:cs="Arial"/>
          <w:bCs/>
          <w:color w:val="000000"/>
          <w:sz w:val="22"/>
          <w:szCs w:val="22"/>
          <w:lang w:val="es-ES_tradnl" w:eastAsia="en-US"/>
        </w:rPr>
        <w:t xml:space="preserve">» (énfasis fuera de texto), es que, en caso de existir acuerdos comerciales vigentes que rijan el procedimiento contractual, la entidad estatal debe aplicar, de manera prevalente, las estipulaciones del tratado, en virtud del principio </w:t>
      </w:r>
      <w:r w:rsidRPr="00DD5F33">
        <w:rPr>
          <w:rFonts w:ascii="Arial" w:eastAsia="Calibri" w:hAnsi="Arial" w:cs="Arial"/>
          <w:bCs/>
          <w:i/>
          <w:iCs/>
          <w:color w:val="000000"/>
          <w:sz w:val="22"/>
          <w:szCs w:val="22"/>
          <w:lang w:val="es-ES_tradnl" w:eastAsia="en-US"/>
        </w:rPr>
        <w:t>pacta sunt servanda</w:t>
      </w:r>
      <w:r w:rsidRPr="00DD5F33">
        <w:rPr>
          <w:rFonts w:ascii="Arial" w:eastAsia="Calibri" w:hAnsi="Arial" w:cs="Arial"/>
          <w:bCs/>
          <w:color w:val="000000"/>
          <w:sz w:val="22"/>
          <w:szCs w:val="22"/>
          <w:lang w:val="es-ES_tradnl" w:eastAsia="en-US"/>
        </w:rPr>
        <w:t xml:space="preserve">. Así lo dispone el artículo 2.2.1.2.4.1.1., al señalar que «Las Entidades Estatales deben adelantar los Procesos de Contratación de acuerdo con lo previsto en los Acuerdos Comerciales, cuando estos les sean aplicables».​ El artículo 2.2.1.2.4.2.15. se refiere, literalmente, a los </w:t>
      </w:r>
      <w:r w:rsidRPr="00DD5F33">
        <w:rPr>
          <w:rFonts w:ascii="Arial" w:eastAsia="Calibri" w:hAnsi="Arial" w:cs="Arial"/>
          <w:bCs/>
          <w:i/>
          <w:iCs/>
          <w:color w:val="000000"/>
          <w:sz w:val="22"/>
          <w:szCs w:val="22"/>
          <w:lang w:val="es-ES_tradnl" w:eastAsia="en-US"/>
        </w:rPr>
        <w:t>acuerdos comerciales vigentes</w:t>
      </w:r>
      <w:r w:rsidRPr="00DD5F33">
        <w:rPr>
          <w:rFonts w:ascii="Arial" w:eastAsia="Calibri" w:hAnsi="Arial" w:cs="Arial"/>
          <w:bCs/>
          <w:color w:val="000000"/>
          <w:sz w:val="22"/>
          <w:szCs w:val="22"/>
          <w:lang w:val="es-ES_tradnl" w:eastAsia="en-US"/>
        </w:rPr>
        <w:t xml:space="preserve">. En </w:t>
      </w:r>
      <w:r w:rsidR="00D32E70" w:rsidRPr="00DD5F33">
        <w:rPr>
          <w:rFonts w:ascii="Arial" w:eastAsia="Calibri" w:hAnsi="Arial" w:cs="Arial"/>
          <w:bCs/>
          <w:color w:val="000000"/>
          <w:sz w:val="22"/>
          <w:szCs w:val="22"/>
          <w:lang w:val="es-ES_tradnl" w:eastAsia="en-US"/>
        </w:rPr>
        <w:t>consecuencia,</w:t>
      </w:r>
      <w:r w:rsidRPr="00DD5F33">
        <w:rPr>
          <w:rFonts w:ascii="Arial" w:eastAsia="Calibri" w:hAnsi="Arial" w:cs="Arial"/>
          <w:bCs/>
          <w:color w:val="000000"/>
          <w:sz w:val="22"/>
          <w:szCs w:val="22"/>
          <w:lang w:val="es-ES_tradnl" w:eastAsia="en-US"/>
        </w:rPr>
        <w:t xml:space="preserve"> se trata de un </w:t>
      </w:r>
      <w:r w:rsidRPr="00DD5F33">
        <w:rPr>
          <w:rFonts w:ascii="Arial" w:eastAsia="Calibri" w:hAnsi="Arial" w:cs="Arial"/>
          <w:bCs/>
          <w:color w:val="000000"/>
          <w:sz w:val="22"/>
          <w:szCs w:val="22"/>
          <w:lang w:val="es-ES_tradnl" w:eastAsia="en-US"/>
        </w:rPr>
        <w:lastRenderedPageBreak/>
        <w:t>tema distinto al del trato nacional para el otorgamiento del puntaje para la promoción de la industria nacional, regulado en la Ley 816 de 2003, el Decreto 680 de 2021 y demás disposiciones complementarias, ante la existencia de certificados de trato nacional por reciprocidad.</w:t>
      </w:r>
    </w:p>
    <w:bookmarkEnd w:id="24"/>
    <w:p w14:paraId="02969F63" w14:textId="0480DECC" w:rsidR="009B3BCD" w:rsidRPr="00DD5F33" w:rsidRDefault="009B3BCD" w:rsidP="009B3BCD">
      <w:pPr>
        <w:tabs>
          <w:tab w:val="left" w:pos="709"/>
        </w:tabs>
        <w:spacing w:line="276" w:lineRule="auto"/>
        <w:jc w:val="both"/>
        <w:rPr>
          <w:rFonts w:ascii="Arial" w:eastAsia="Calibri" w:hAnsi="Arial" w:cs="Arial"/>
          <w:bCs/>
          <w:color w:val="000000" w:themeColor="text1"/>
          <w:sz w:val="22"/>
          <w:lang w:val="es-ES_tradnl"/>
        </w:rPr>
      </w:pPr>
    </w:p>
    <w:p w14:paraId="3AB9B411" w14:textId="0F31E89E" w:rsidR="00D66556" w:rsidRPr="00DD5F33" w:rsidRDefault="00937F1B" w:rsidP="00D66556">
      <w:pPr>
        <w:tabs>
          <w:tab w:val="left" w:pos="709"/>
        </w:tabs>
        <w:spacing w:line="276" w:lineRule="auto"/>
        <w:jc w:val="both"/>
        <w:outlineLvl w:val="0"/>
        <w:rPr>
          <w:rFonts w:ascii="Arial" w:eastAsia="Calibri" w:hAnsi="Arial" w:cs="Arial"/>
          <w:b/>
          <w:bCs/>
          <w:sz w:val="22"/>
          <w:szCs w:val="22"/>
          <w:lang w:val="es-ES_tradnl"/>
        </w:rPr>
      </w:pPr>
      <w:r w:rsidRPr="00DD5F33">
        <w:rPr>
          <w:rFonts w:ascii="Arial" w:hAnsi="Arial" w:cs="Arial"/>
          <w:b/>
          <w:bCs/>
          <w:color w:val="000000" w:themeColor="text1"/>
          <w:sz w:val="22"/>
          <w:lang w:val="es-ES_tradnl"/>
        </w:rPr>
        <w:t>2.</w:t>
      </w:r>
      <w:r w:rsidR="004B2B14" w:rsidRPr="00DD5F33">
        <w:rPr>
          <w:rFonts w:ascii="Arial" w:hAnsi="Arial" w:cs="Arial"/>
          <w:b/>
          <w:bCs/>
          <w:color w:val="000000" w:themeColor="text1"/>
          <w:sz w:val="22"/>
          <w:lang w:val="es-ES_tradnl"/>
        </w:rPr>
        <w:t>6</w:t>
      </w:r>
      <w:r w:rsidRPr="00DD5F33">
        <w:rPr>
          <w:rFonts w:ascii="Arial" w:hAnsi="Arial" w:cs="Arial"/>
          <w:b/>
          <w:bCs/>
          <w:color w:val="000000" w:themeColor="text1"/>
          <w:sz w:val="22"/>
          <w:lang w:val="es-ES_tradnl"/>
        </w:rPr>
        <w:t xml:space="preserve">. </w:t>
      </w:r>
      <w:r w:rsidR="00D66556" w:rsidRPr="00DD5F33">
        <w:rPr>
          <w:rFonts w:ascii="Arial" w:eastAsia="Calibri" w:hAnsi="Arial" w:cs="Arial"/>
          <w:b/>
          <w:bCs/>
          <w:sz w:val="22"/>
          <w:szCs w:val="22"/>
          <w:lang w:val="es-ES_tradnl"/>
        </w:rPr>
        <w:t xml:space="preserve">Regulación de las convocatorias limitadas a mipymes en el artículo 34 de la Ley 2069 de 2020 y </w:t>
      </w:r>
      <w:r w:rsidR="00B53A99" w:rsidRPr="00DD5F33">
        <w:rPr>
          <w:rFonts w:ascii="Arial" w:eastAsia="Calibri" w:hAnsi="Arial" w:cs="Arial"/>
          <w:b/>
          <w:bCs/>
          <w:sz w:val="22"/>
          <w:szCs w:val="22"/>
          <w:lang w:val="es-ES_tradnl"/>
        </w:rPr>
        <w:t xml:space="preserve">en </w:t>
      </w:r>
      <w:r w:rsidR="00D66556" w:rsidRPr="00DD5F33">
        <w:rPr>
          <w:rFonts w:ascii="Arial" w:eastAsia="Calibri" w:hAnsi="Arial" w:cs="Arial"/>
          <w:b/>
          <w:bCs/>
          <w:sz w:val="22"/>
          <w:szCs w:val="22"/>
          <w:lang w:val="es-ES_tradnl"/>
        </w:rPr>
        <w:t xml:space="preserve">el Decreto 1860 de 2021 </w:t>
      </w:r>
    </w:p>
    <w:p w14:paraId="013DB4E4" w14:textId="77777777" w:rsidR="00D66556" w:rsidRPr="00DD5F33" w:rsidRDefault="00D66556" w:rsidP="00D66556">
      <w:pPr>
        <w:spacing w:line="276" w:lineRule="auto"/>
        <w:jc w:val="both"/>
        <w:rPr>
          <w:rFonts w:ascii="Arial" w:eastAsia="Calibri" w:hAnsi="Arial" w:cs="Arial"/>
          <w:sz w:val="22"/>
          <w:szCs w:val="22"/>
          <w:lang w:val="es-ES_tradnl"/>
        </w:rPr>
      </w:pPr>
    </w:p>
    <w:p w14:paraId="37513199" w14:textId="77777777" w:rsidR="00D66556" w:rsidRPr="00DD5F33" w:rsidRDefault="00D66556" w:rsidP="00D66556">
      <w:pPr>
        <w:spacing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El artículo 34 de la Ley 2069 de 2020 establece nuevas reglas sobre la promoción al desarrollo en la contratación estatal. Concretamente, modifica el contenido del artículo 12 de la Ley 1150 de 2007</w:t>
      </w:r>
      <w:r w:rsidRPr="00DD5F33">
        <w:rPr>
          <w:rStyle w:val="Refdenotaalpie"/>
          <w:rFonts w:ascii="Arial" w:eastAsia="Calibri" w:hAnsi="Arial" w:cs="Arial"/>
          <w:sz w:val="22"/>
          <w:szCs w:val="22"/>
          <w:lang w:val="es-ES_tradnl"/>
        </w:rPr>
        <w:footnoteReference w:id="34"/>
      </w:r>
      <w:r w:rsidRPr="00DD5F33">
        <w:rPr>
          <w:rFonts w:ascii="Arial" w:eastAsia="Calibri" w:hAnsi="Arial" w:cs="Arial"/>
          <w:sz w:val="22"/>
          <w:szCs w:val="22"/>
          <w:lang w:val="es-ES_tradnl"/>
        </w:rPr>
        <w:t>, prescribiendo lo que se indica a continuación:</w:t>
      </w:r>
    </w:p>
    <w:p w14:paraId="40E878D9"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w:t>
      </w:r>
      <w:r w:rsidRPr="00DD5F33">
        <w:rPr>
          <w:rFonts w:ascii="Arial" w:eastAsia="Calibri" w:hAnsi="Arial" w:cs="Arial"/>
          <w:sz w:val="22"/>
          <w:szCs w:val="22"/>
          <w:lang w:val="es-ES_tradnl"/>
        </w:rPr>
        <w:lastRenderedPageBreak/>
        <w:t xml:space="preserve">contratación. Y agrega que estas convocatorias se pueden realizar también en el ámbito municipal o departamental en el que se ejecute el contrato. </w:t>
      </w:r>
    </w:p>
    <w:p w14:paraId="3170FFF7"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ii) Indica que dichas convocatorias se deben efectuar siempre y cuando, antes del acto administrativo de apertura del proceso de selección, por lo menos dos (2) mipymes hayan manifestado su interés.</w:t>
      </w:r>
    </w:p>
    <w:p w14:paraId="5718661E"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E12805D"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iv) Establece que, en el reglamento, el gobierno nacional podría establecer condiciones preferenciales para los bienes y servicios producidos por las mipymes, sin contrariar los compromisos internacionales vigentes.</w:t>
      </w:r>
    </w:p>
    <w:p w14:paraId="06D3461B"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723536DF"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vi) Señala que el reglamento a cargo del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E870AA2"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1DAFF259"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01F0FFCD"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1592092F" w14:textId="77777777" w:rsidR="00D66556" w:rsidRPr="00DD5F33" w:rsidRDefault="00D66556" w:rsidP="00D66556">
      <w:pPr>
        <w:spacing w:line="276" w:lineRule="auto"/>
        <w:ind w:left="709" w:right="709"/>
        <w:jc w:val="both"/>
        <w:rPr>
          <w:rFonts w:ascii="Arial" w:eastAsia="Calibri" w:hAnsi="Arial" w:cs="Arial"/>
          <w:sz w:val="21"/>
          <w:szCs w:val="21"/>
          <w:lang w:val="es-ES_tradnl"/>
        </w:rPr>
      </w:pPr>
    </w:p>
    <w:p w14:paraId="1E76FBE9" w14:textId="77777777" w:rsidR="00D66556" w:rsidRPr="00DD5F33" w:rsidRDefault="00D66556" w:rsidP="00D66556">
      <w:pPr>
        <w:ind w:left="709" w:right="709"/>
        <w:jc w:val="both"/>
        <w:rPr>
          <w:rFonts w:ascii="Arial" w:eastAsia="Calibri" w:hAnsi="Arial" w:cs="Arial"/>
          <w:sz w:val="21"/>
          <w:szCs w:val="21"/>
          <w:lang w:val="es-ES_tradnl"/>
        </w:rPr>
      </w:pPr>
      <w:r w:rsidRPr="00DD5F33">
        <w:rPr>
          <w:rFonts w:ascii="Arial" w:eastAsia="Calibri" w:hAnsi="Arial" w:cs="Arial"/>
          <w:sz w:val="21"/>
          <w:szCs w:val="21"/>
          <w:lang w:val="es-ES_tradnl"/>
        </w:rPr>
        <w:lastRenderedPageBreak/>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DD5F33">
        <w:rPr>
          <w:rStyle w:val="Refdenotaalpie"/>
          <w:rFonts w:ascii="Arial" w:eastAsia="Calibri" w:hAnsi="Arial" w:cs="Arial"/>
          <w:sz w:val="21"/>
          <w:szCs w:val="21"/>
          <w:lang w:val="es-ES_tradnl"/>
        </w:rPr>
        <w:footnoteReference w:id="35"/>
      </w:r>
      <w:r w:rsidRPr="00DD5F33">
        <w:rPr>
          <w:rFonts w:ascii="Arial" w:eastAsia="Calibri" w:hAnsi="Arial" w:cs="Arial"/>
          <w:sz w:val="21"/>
          <w:szCs w:val="21"/>
          <w:lang w:val="es-ES_tradnl"/>
        </w:rPr>
        <w:t>.</w:t>
      </w:r>
    </w:p>
    <w:p w14:paraId="55AAEE16" w14:textId="77777777" w:rsidR="00D66556" w:rsidRPr="00DD5F33" w:rsidRDefault="00D66556" w:rsidP="00D66556">
      <w:pPr>
        <w:spacing w:line="276" w:lineRule="auto"/>
        <w:ind w:firstLine="709"/>
        <w:jc w:val="both"/>
        <w:rPr>
          <w:rFonts w:ascii="Arial" w:eastAsia="Calibri" w:hAnsi="Arial" w:cs="Arial"/>
          <w:sz w:val="22"/>
          <w:szCs w:val="22"/>
          <w:lang w:val="es-ES_tradnl"/>
        </w:rPr>
      </w:pPr>
    </w:p>
    <w:p w14:paraId="197CB708" w14:textId="77777777" w:rsidR="00D66556" w:rsidRPr="00DD5F33" w:rsidRDefault="00D66556" w:rsidP="00D66556">
      <w:pPr>
        <w:spacing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60867D1B"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227A4E6D" w14:textId="750A9EE6"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 modificación entr</w:t>
      </w:r>
      <w:r w:rsidR="00FF399E" w:rsidRPr="00DD5F33">
        <w:rPr>
          <w:rFonts w:ascii="Arial" w:eastAsia="Calibri" w:hAnsi="Arial" w:cs="Arial"/>
          <w:sz w:val="22"/>
          <w:szCs w:val="22"/>
          <w:lang w:val="es-ES_tradnl"/>
        </w:rPr>
        <w:t>ó</w:t>
      </w:r>
      <w:r w:rsidRPr="00DD5F33">
        <w:rPr>
          <w:rFonts w:ascii="Arial" w:eastAsia="Calibri" w:hAnsi="Arial" w:cs="Arial"/>
          <w:sz w:val="22"/>
          <w:szCs w:val="22"/>
          <w:lang w:val="es-ES_tradnl"/>
        </w:rPr>
        <w:t xml:space="preserve"> a regir a partir del 24 de marzo de 2022, pues el artículo 8 de la nueva norma reglamentaria sometió la vigencia de los cambios al transcurso del periodo de 3 meses siguientes a la expedición del </w:t>
      </w:r>
      <w:r w:rsidR="001B3706" w:rsidRPr="00DD5F33">
        <w:rPr>
          <w:rFonts w:ascii="Arial" w:eastAsia="Calibri" w:hAnsi="Arial" w:cs="Arial"/>
          <w:sz w:val="22"/>
          <w:szCs w:val="22"/>
          <w:lang w:val="es-ES_tradnl"/>
        </w:rPr>
        <w:t>D</w:t>
      </w:r>
      <w:r w:rsidRPr="00DD5F33">
        <w:rPr>
          <w:rFonts w:ascii="Arial" w:eastAsia="Calibri" w:hAnsi="Arial" w:cs="Arial"/>
          <w:sz w:val="22"/>
          <w:szCs w:val="22"/>
          <w:lang w:val="es-ES_tradnl"/>
        </w:rPr>
        <w:t>ecreto</w:t>
      </w:r>
      <w:r w:rsidR="001B3706" w:rsidRPr="00DD5F33">
        <w:rPr>
          <w:rFonts w:ascii="Arial" w:eastAsia="Calibri" w:hAnsi="Arial" w:cs="Arial"/>
          <w:sz w:val="22"/>
          <w:szCs w:val="22"/>
          <w:lang w:val="es-ES_tradnl"/>
        </w:rPr>
        <w:t>, tal como se ha explicado.</w:t>
      </w:r>
    </w:p>
    <w:p w14:paraId="491F685D" w14:textId="77777777" w:rsidR="00D66556" w:rsidRPr="00DD5F33" w:rsidRDefault="00D66556" w:rsidP="00D66556">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lastRenderedPageBreak/>
        <w:t>Por otro lado, en cuanto a lo dispuesto por el antiguo artículo 2.2.1.2.4.2.3 del Decreto 1082 de 2015</w:t>
      </w:r>
      <w:r w:rsidRPr="00DD5F33">
        <w:rPr>
          <w:rStyle w:val="Refdenotaalpie"/>
          <w:rFonts w:ascii="Arial" w:eastAsia="Calibri" w:hAnsi="Arial" w:cs="Arial"/>
          <w:sz w:val="22"/>
          <w:szCs w:val="22"/>
          <w:lang w:val="es-ES_tradnl"/>
        </w:rPr>
        <w:footnoteReference w:id="36"/>
      </w:r>
      <w:r w:rsidRPr="00DD5F33">
        <w:rPr>
          <w:rFonts w:ascii="Arial" w:eastAsia="Calibri" w:hAnsi="Arial" w:cs="Arial"/>
          <w:sz w:val="22"/>
          <w:szCs w:val="22"/>
          <w:lang w:val="es-ES_tradnl"/>
        </w:rPr>
        <w:t xml:space="preserve">, que regulaba la posibilidad de limitar convocatorias a mipymes domiciliadas en un determinado ámbito territorial, se estima que este, al igual que el artículo 2.2.1.2.4.2.2, también se afectó por el fenómeno del decaimiento y hoy quedó sustituido por lo dispuesto en el Decreto 1860 de 2021. </w:t>
      </w:r>
    </w:p>
    <w:p w14:paraId="54F39D89" w14:textId="77777777" w:rsidR="00D66556" w:rsidRPr="00DD5F33" w:rsidRDefault="00D66556" w:rsidP="00D66556">
      <w:pPr>
        <w:spacing w:before="120" w:line="276" w:lineRule="auto"/>
        <w:ind w:firstLine="709"/>
        <w:jc w:val="both"/>
        <w:rPr>
          <w:rFonts w:ascii="Arial" w:eastAsia="Calibri" w:hAnsi="Arial" w:cs="Arial"/>
          <w:sz w:val="22"/>
          <w:lang w:val="es-ES_tradnl"/>
        </w:rPr>
      </w:pPr>
      <w:r w:rsidRPr="00DD5F33">
        <w:rPr>
          <w:rFonts w:ascii="Arial" w:eastAsia="Calibri" w:hAnsi="Arial" w:cs="Arial"/>
          <w:sz w:val="22"/>
          <w:szCs w:val="22"/>
          <w:lang w:val="es-ES_tradnl"/>
        </w:rPr>
        <w:t>Sin perjuicio de lo anterior, es necesario tener en cuenta que sobre las limitaciones territoriales para convocatorias de mipymes a la luz del antiguo artículo 2.2.1.2.4.2.3 del Decreto 1082 de 2015, esta Agencia –</w:t>
      </w:r>
      <w:r w:rsidRPr="00DD5F33">
        <w:rPr>
          <w:rFonts w:ascii="Arial" w:hAnsi="Arial" w:cs="Arial"/>
          <w:sz w:val="22"/>
          <w:lang w:val="es-ES_tradnl"/>
        </w:rPr>
        <w:t>en los conceptos del 29 de enero de 2018 −radicado No. 4201714000006924−,</w:t>
      </w:r>
      <w:r w:rsidRPr="00DD5F33">
        <w:rPr>
          <w:rFonts w:ascii="Arial" w:eastAsia="Calibri" w:hAnsi="Arial" w:cs="Arial"/>
          <w:sz w:val="22"/>
          <w:lang w:val="es-ES_tradnl"/>
        </w:rPr>
        <w:t xml:space="preserve"> C – 045 del 17 de marzo de 2020, C – 162 del 16 de abril de 2020, C – 214 del 21 de abril de 2020, C – 258 del 17 de abril de 2020, C – 364 del 4 de junio de 2020, C – 413 del 30 de junio de 2020</w:t>
      </w:r>
      <w:r w:rsidRPr="00DD5F33">
        <w:rPr>
          <w:rFonts w:ascii="Arial" w:hAnsi="Arial" w:cs="Arial"/>
          <w:sz w:val="22"/>
          <w:lang w:val="es-ES_tradnl"/>
        </w:rPr>
        <w:t xml:space="preserve">, </w:t>
      </w:r>
      <w:r w:rsidRPr="00DD5F33">
        <w:rPr>
          <w:rFonts w:ascii="Arial" w:eastAsia="Calibri" w:hAnsi="Arial" w:cs="Arial"/>
          <w:sz w:val="22"/>
          <w:lang w:val="es-ES_tradnl"/>
        </w:rPr>
        <w:t>C – 492 del 24 de julio de 2020, C – 523 del 11 de agosto de 2020, C – 610 del 14 de septiembre de 2020 y C-700 de 1 de diciembre de 2020–</w:t>
      </w:r>
      <w:r w:rsidRPr="00DD5F33">
        <w:rPr>
          <w:rFonts w:ascii="Arial" w:eastAsia="Calibri" w:hAnsi="Arial" w:cs="Arial"/>
          <w:sz w:val="22"/>
          <w:szCs w:val="22"/>
          <w:lang w:val="es-ES_tradnl"/>
        </w:rPr>
        <w:t xml:space="preserve"> había sostenido que, para que se permitiera la participación de una Mipyme en uno de estos procesos, era necesario que esta demostrara estar domiciliada en el municipio o departamento en el que se ejecutaría el contrato, la tesis se expuso en los siguientes términos</w:t>
      </w:r>
      <w:r w:rsidRPr="00DD5F33">
        <w:rPr>
          <w:rFonts w:ascii="Arial" w:eastAsia="Calibri" w:hAnsi="Arial" w:cs="Arial"/>
          <w:sz w:val="22"/>
          <w:lang w:val="es-ES_tradnl"/>
        </w:rPr>
        <w:t xml:space="preserve">: </w:t>
      </w:r>
    </w:p>
    <w:p w14:paraId="20EF843C" w14:textId="77777777" w:rsidR="00D66556" w:rsidRPr="00DD5F33" w:rsidRDefault="00D66556" w:rsidP="00D66556">
      <w:pPr>
        <w:spacing w:line="276" w:lineRule="auto"/>
        <w:ind w:firstLine="709"/>
        <w:jc w:val="both"/>
        <w:rPr>
          <w:rFonts w:ascii="Arial" w:eastAsia="Calibri" w:hAnsi="Arial" w:cs="Arial"/>
          <w:sz w:val="22"/>
          <w:lang w:val="es-ES_tradnl"/>
        </w:rPr>
      </w:pPr>
    </w:p>
    <w:p w14:paraId="1FB0C81E" w14:textId="77777777" w:rsidR="00D66556" w:rsidRPr="00DD5F33" w:rsidRDefault="00D66556" w:rsidP="00D66556">
      <w:pPr>
        <w:spacing w:after="120"/>
        <w:ind w:left="709" w:right="709"/>
        <w:jc w:val="both"/>
        <w:rPr>
          <w:rFonts w:ascii="Arial" w:hAnsi="Arial" w:cs="Arial"/>
          <w:sz w:val="21"/>
          <w:szCs w:val="21"/>
          <w:lang w:val="es-ES_tradnl"/>
        </w:rPr>
      </w:pPr>
      <w:r w:rsidRPr="00DD5F33">
        <w:rPr>
          <w:rFonts w:ascii="Arial" w:hAnsi="Arial" w:cs="Arial"/>
          <w:sz w:val="21"/>
          <w:szCs w:val="21"/>
          <w:lang w:val="es-ES_tradnl"/>
        </w:rPr>
        <w:t xml:space="preserve">Es de resaltar que </w:t>
      </w:r>
      <w:r w:rsidRPr="00DD5F33">
        <w:rPr>
          <w:rFonts w:ascii="Arial" w:hAnsi="Arial" w:cs="Arial"/>
          <w:i/>
          <w:iCs/>
          <w:sz w:val="21"/>
          <w:szCs w:val="21"/>
          <w:lang w:val="es-ES_tradnl"/>
        </w:rPr>
        <w:t>estas normas se refieren a las Mipymes nacionales genéricamente y, particularmente, a las Mipymes nacionales «domiciliadas en los departamentos o municipios en donde se va a ejecutar el contrato».</w:t>
      </w:r>
      <w:r w:rsidRPr="00DD5F33">
        <w:rPr>
          <w:rFonts w:ascii="Arial" w:hAnsi="Arial" w:cs="Arial"/>
          <w:sz w:val="21"/>
          <w:szCs w:val="21"/>
          <w:lang w:val="es-ES_tradnl"/>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5BF9E3F7" w14:textId="77777777" w:rsidR="00D66556" w:rsidRPr="00DD5F33" w:rsidRDefault="00D66556" w:rsidP="00D66556">
      <w:pPr>
        <w:ind w:left="709" w:right="709"/>
        <w:jc w:val="both"/>
        <w:rPr>
          <w:rFonts w:ascii="Arial" w:hAnsi="Arial" w:cs="Arial"/>
          <w:sz w:val="22"/>
          <w:szCs w:val="22"/>
          <w:lang w:val="es-ES_tradnl"/>
        </w:rPr>
      </w:pPr>
      <w:r w:rsidRPr="00DD5F33">
        <w:rPr>
          <w:rFonts w:ascii="Arial" w:hAnsi="Arial" w:cs="Arial"/>
          <w:sz w:val="21"/>
          <w:szCs w:val="21"/>
          <w:lang w:val="es-ES_tradnl"/>
        </w:rPr>
        <w:t xml:space="preserve">Igualmente, se debe precisar que </w:t>
      </w:r>
      <w:r w:rsidRPr="00DD5F33">
        <w:rPr>
          <w:rFonts w:ascii="Arial" w:hAnsi="Arial" w:cs="Arial"/>
          <w:i/>
          <w:iCs/>
          <w:sz w:val="21"/>
          <w:szCs w:val="21"/>
          <w:lang w:val="es-ES_tradnl"/>
        </w:rPr>
        <w:t xml:space="preserve">el artículo 2.2.1.2.4.2.3. del Decreto 1082 de 2015 se refiere a las «Mipyme nacionales domiciliadas en los departamentos o municipios en donde se va a ejecutar el contrato» «cursivas propias», esto es, al «domicilio» y no a las «sucursales». Esta distinción es importante porque el </w:t>
      </w:r>
      <w:r w:rsidRPr="00DD5F33">
        <w:rPr>
          <w:rFonts w:ascii="Arial" w:hAnsi="Arial" w:cs="Arial"/>
          <w:i/>
          <w:iCs/>
          <w:sz w:val="21"/>
          <w:szCs w:val="21"/>
          <w:lang w:val="es-ES_tradnl"/>
        </w:rPr>
        <w:lastRenderedPageBreak/>
        <w:t>beneficio normativo únicamente aplica en el lugar en el que la Mipyme tiene su «domicilio», y no en donde tiene sucursales</w:t>
      </w:r>
      <w:r w:rsidRPr="00DD5F33">
        <w:rPr>
          <w:rStyle w:val="Refdenotaalpie"/>
          <w:rFonts w:ascii="Arial" w:hAnsi="Arial" w:cs="Arial"/>
          <w:i/>
          <w:iCs/>
          <w:sz w:val="21"/>
          <w:szCs w:val="21"/>
          <w:lang w:val="es-ES_tradnl"/>
        </w:rPr>
        <w:footnoteReference w:id="37"/>
      </w:r>
      <w:r w:rsidRPr="00DD5F33">
        <w:rPr>
          <w:rFonts w:ascii="Arial" w:hAnsi="Arial" w:cs="Arial"/>
          <w:sz w:val="21"/>
          <w:szCs w:val="21"/>
          <w:lang w:val="es-ES_tradnl"/>
        </w:rPr>
        <w:t xml:space="preserve">. </w:t>
      </w:r>
      <w:r w:rsidRPr="00DD5F33">
        <w:rPr>
          <w:rFonts w:ascii="Arial" w:hAnsi="Arial" w:cs="Arial"/>
          <w:sz w:val="22"/>
          <w:szCs w:val="22"/>
          <w:lang w:val="es-ES_tradnl"/>
        </w:rPr>
        <w:t>(Énfasis fuera de texto)</w:t>
      </w:r>
    </w:p>
    <w:p w14:paraId="1CAB55FF" w14:textId="77777777" w:rsidR="00D66556" w:rsidRPr="00DD5F33" w:rsidRDefault="00D66556" w:rsidP="00D66556">
      <w:pPr>
        <w:spacing w:line="276" w:lineRule="auto"/>
        <w:ind w:left="709" w:right="709"/>
        <w:jc w:val="both"/>
        <w:rPr>
          <w:rFonts w:ascii="Arial" w:hAnsi="Arial" w:cs="Arial"/>
          <w:sz w:val="22"/>
          <w:szCs w:val="22"/>
          <w:lang w:val="es-ES_tradnl"/>
        </w:rPr>
      </w:pPr>
    </w:p>
    <w:p w14:paraId="740ED440" w14:textId="77777777" w:rsidR="00D66556" w:rsidRPr="00DD5F33" w:rsidRDefault="00D66556" w:rsidP="00D66556">
      <w:pPr>
        <w:spacing w:after="120" w:line="276" w:lineRule="auto"/>
        <w:ind w:firstLine="709"/>
        <w:jc w:val="both"/>
        <w:rPr>
          <w:rFonts w:ascii="Arial" w:eastAsia="Calibri" w:hAnsi="Arial" w:cs="Arial"/>
          <w:sz w:val="22"/>
          <w:szCs w:val="22"/>
          <w:lang w:val="es-ES_tradnl"/>
        </w:rPr>
      </w:pPr>
      <w:r w:rsidRPr="00DD5F33">
        <w:rPr>
          <w:rFonts w:ascii="Arial" w:hAnsi="Arial" w:cs="Arial"/>
          <w:sz w:val="22"/>
          <w:szCs w:val="22"/>
          <w:lang w:val="es-ES_tradnl"/>
        </w:rPr>
        <w:t xml:space="preserve">Como se aprecia, la postura sostenida por esta Agencia en vigencia del artículo </w:t>
      </w:r>
      <w:r w:rsidRPr="00DD5F33">
        <w:rPr>
          <w:rFonts w:ascii="Arial" w:eastAsia="Calibri" w:hAnsi="Arial" w:cs="Arial"/>
          <w:sz w:val="22"/>
          <w:szCs w:val="22"/>
          <w:lang w:val="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 </w:t>
      </w:r>
    </w:p>
    <w:p w14:paraId="77F1996D" w14:textId="412102C1" w:rsidR="00D66556" w:rsidRPr="00DD5F33" w:rsidRDefault="00D66556" w:rsidP="00D66556">
      <w:pPr>
        <w:spacing w:line="276" w:lineRule="auto"/>
        <w:ind w:firstLine="708"/>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w:t>
      </w:r>
      <w:r w:rsidR="00F834DD" w:rsidRPr="00DD5F33">
        <w:rPr>
          <w:rFonts w:ascii="Arial" w:eastAsia="Calibri" w:hAnsi="Arial" w:cs="Arial"/>
          <w:sz w:val="22"/>
          <w:szCs w:val="22"/>
          <w:lang w:val="es-ES_tradnl"/>
        </w:rPr>
        <w:t xml:space="preserve">en </w:t>
      </w:r>
      <w:r w:rsidRPr="00DD5F33">
        <w:rPr>
          <w:rFonts w:ascii="Arial" w:eastAsia="Calibri" w:hAnsi="Arial" w:cs="Arial"/>
          <w:sz w:val="22"/>
          <w:szCs w:val="22"/>
          <w:lang w:val="es-ES_tradnl"/>
        </w:rPr>
        <w:t xml:space="preserve">que, respecto del domicilio de las mipymes en el departamento o municipio donde se ejecuta el contrato, la reglamentación no tuvo cambios. Así se desprende del texto de la nueva norma que es del siguiente tenor: </w:t>
      </w:r>
    </w:p>
    <w:p w14:paraId="0A97E64F" w14:textId="77777777" w:rsidR="00D66556" w:rsidRPr="00DD5F33" w:rsidRDefault="00D66556" w:rsidP="00D66556">
      <w:pPr>
        <w:ind w:right="709"/>
        <w:jc w:val="both"/>
        <w:rPr>
          <w:rFonts w:ascii="Arial" w:hAnsi="Arial" w:cs="Arial"/>
          <w:sz w:val="21"/>
          <w:szCs w:val="21"/>
          <w:lang w:val="es-ES_tradnl"/>
        </w:rPr>
      </w:pPr>
    </w:p>
    <w:p w14:paraId="006B13FC" w14:textId="77777777" w:rsidR="00D66556" w:rsidRPr="00DD5F33" w:rsidRDefault="00D66556" w:rsidP="00D66556">
      <w:pPr>
        <w:ind w:left="709" w:right="709"/>
        <w:jc w:val="both"/>
        <w:rPr>
          <w:rFonts w:ascii="Arial" w:hAnsi="Arial" w:cs="Arial"/>
          <w:sz w:val="21"/>
          <w:szCs w:val="21"/>
          <w:lang w:val="es-ES_tradnl"/>
        </w:rPr>
      </w:pPr>
      <w:r w:rsidRPr="00DD5F33">
        <w:rPr>
          <w:rFonts w:ascii="Arial" w:hAnsi="Arial" w:cs="Arial"/>
          <w:sz w:val="21"/>
          <w:szCs w:val="21"/>
          <w:lang w:val="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26EA4F43" w14:textId="77777777" w:rsidR="00D66556" w:rsidRPr="00DD5F33" w:rsidRDefault="00D66556" w:rsidP="00D66556">
      <w:pPr>
        <w:spacing w:after="120"/>
        <w:ind w:left="709" w:right="709"/>
        <w:jc w:val="both"/>
        <w:rPr>
          <w:rFonts w:ascii="Arial" w:hAnsi="Arial" w:cs="Arial"/>
          <w:sz w:val="21"/>
          <w:szCs w:val="21"/>
          <w:lang w:val="es-ES_tradnl"/>
        </w:rPr>
      </w:pPr>
      <w:r w:rsidRPr="00DD5F33">
        <w:rPr>
          <w:rFonts w:ascii="Arial" w:hAnsi="Arial" w:cs="Arial"/>
          <w:sz w:val="21"/>
          <w:szCs w:val="21"/>
          <w:lang w:val="es-ES_tradnl"/>
        </w:rPr>
        <w:t>[…]</w:t>
      </w:r>
    </w:p>
    <w:p w14:paraId="05EF9755" w14:textId="77777777" w:rsidR="00D66556" w:rsidRPr="00DD5F33" w:rsidRDefault="00D66556" w:rsidP="00D66556">
      <w:pPr>
        <w:ind w:left="709" w:right="709"/>
        <w:jc w:val="both"/>
        <w:rPr>
          <w:rFonts w:ascii="Arial" w:eastAsia="Calibri" w:hAnsi="Arial" w:cs="Arial"/>
          <w:sz w:val="22"/>
          <w:szCs w:val="22"/>
          <w:lang w:val="es-ES_tradnl"/>
        </w:rPr>
      </w:pPr>
      <w:r w:rsidRPr="00DD5F33">
        <w:rPr>
          <w:rFonts w:ascii="Arial" w:hAnsi="Arial" w:cs="Arial"/>
          <w:sz w:val="21"/>
          <w:szCs w:val="21"/>
          <w:lang w:val="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538D5CA0" w14:textId="77777777" w:rsidR="00D66556" w:rsidRPr="00DD5F33" w:rsidRDefault="00D66556" w:rsidP="00D66556">
      <w:pPr>
        <w:spacing w:line="276" w:lineRule="auto"/>
        <w:ind w:left="709" w:right="709"/>
        <w:jc w:val="both"/>
        <w:rPr>
          <w:rFonts w:ascii="Arial" w:eastAsia="Calibri" w:hAnsi="Arial" w:cs="Arial"/>
          <w:sz w:val="22"/>
          <w:szCs w:val="22"/>
          <w:lang w:val="es-ES_tradnl"/>
        </w:rPr>
      </w:pPr>
    </w:p>
    <w:p w14:paraId="712745EB" w14:textId="4B5B9C76" w:rsidR="00D66556" w:rsidRPr="00DD5F33" w:rsidRDefault="00D66556" w:rsidP="00D66556">
      <w:pPr>
        <w:spacing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La norma reglamentaria coincide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w:t>
      </w:r>
      <w:r w:rsidR="000B53C4" w:rsidRPr="00DD5F33">
        <w:rPr>
          <w:rFonts w:ascii="Arial" w:eastAsia="Calibri" w:hAnsi="Arial" w:cs="Arial"/>
          <w:sz w:val="22"/>
          <w:szCs w:val="22"/>
          <w:lang w:val="es-ES_tradnl"/>
        </w:rPr>
        <w:t>o</w:t>
      </w:r>
      <w:r w:rsidRPr="00DD5F33">
        <w:rPr>
          <w:rFonts w:ascii="Arial" w:eastAsia="Calibri" w:hAnsi="Arial" w:cs="Arial"/>
          <w:sz w:val="22"/>
          <w:szCs w:val="22"/>
          <w:lang w:val="es-ES_tradnl"/>
        </w:rPr>
        <w:t xml:space="preserve">lo contempla la posibilidad de limitar convocatorias a mipymes con domicilio en esos dos tipos de entidades territoriales. </w:t>
      </w:r>
    </w:p>
    <w:p w14:paraId="0AB23E29" w14:textId="776D48F2" w:rsidR="00D66556" w:rsidRPr="00DD5F33" w:rsidRDefault="00D66556" w:rsidP="00D66556">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 xml:space="preserve">En ese sentido, toda empresa constituida bajo las leyes colombianas o que tenga su domicilio principal en el territorio colombiano y, además, cumpla los criterios previstos por la Ley 590 de 2000 y el Decreto 957 de 2019, será considerada Mipyme nacional. </w:t>
      </w:r>
      <w:r w:rsidRPr="00DD5F33">
        <w:rPr>
          <w:rFonts w:ascii="Arial" w:eastAsia="Arial" w:hAnsi="Arial" w:cs="Arial"/>
          <w:color w:val="000000"/>
          <w:sz w:val="22"/>
          <w:szCs w:val="22"/>
          <w:lang w:val="es-ES_tradnl" w:eastAsia="en-US"/>
        </w:rPr>
        <w:lastRenderedPageBreak/>
        <w:t xml:space="preserve">Además, las normas de contratación permiten que las Mipymes nacionales puedan beneficiarse de la ejecución de un contrato dentro de la entidad territorial en la que tienen su «domicilio». </w:t>
      </w:r>
    </w:p>
    <w:p w14:paraId="7307730C" w14:textId="6BB05AD8" w:rsidR="00D66556" w:rsidRPr="00DD5F33" w:rsidRDefault="00D66556" w:rsidP="00D66556">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Ahora bien, el artículo 2.2.1.2.4.2.3. del Decreto 1082 de 2015, modificado por el artículo 5 del Decreto 1860 de 2021</w:t>
      </w:r>
      <w:r w:rsidR="00395E67" w:rsidRPr="00DD5F33">
        <w:rPr>
          <w:rFonts w:ascii="Arial" w:eastAsia="Arial" w:hAnsi="Arial" w:cs="Arial"/>
          <w:color w:val="000000"/>
          <w:sz w:val="22"/>
          <w:szCs w:val="22"/>
          <w:lang w:val="es-ES_tradnl" w:eastAsia="en-US"/>
        </w:rPr>
        <w:t>,</w:t>
      </w:r>
      <w:r w:rsidRPr="00DD5F33">
        <w:rPr>
          <w:rFonts w:ascii="Arial" w:eastAsia="Arial" w:hAnsi="Arial" w:cs="Arial"/>
          <w:color w:val="000000"/>
          <w:sz w:val="22"/>
          <w:szCs w:val="22"/>
          <w:lang w:val="es-ES_tradnl" w:eastAsia="en-US"/>
        </w:rPr>
        <w:t xml:space="preserve">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w:t>
      </w:r>
    </w:p>
    <w:p w14:paraId="7FD5907C" w14:textId="77777777" w:rsidR="00D66556" w:rsidRPr="00DD5F33" w:rsidRDefault="00D66556" w:rsidP="00D66556">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DD5F33">
        <w:rPr>
          <w:rFonts w:ascii="Arial" w:eastAsia="Arial" w:hAnsi="Arial" w:cs="Arial"/>
          <w:i/>
          <w:color w:val="000000"/>
          <w:sz w:val="22"/>
          <w:szCs w:val="22"/>
          <w:lang w:val="es-ES_tradnl" w:eastAsia="en-US"/>
        </w:rPr>
        <w:t>ibídem</w:t>
      </w:r>
      <w:r w:rsidRPr="00DD5F33">
        <w:rPr>
          <w:rFonts w:ascii="Arial" w:eastAsia="Arial" w:hAnsi="Arial" w:cs="Arial"/>
          <w:color w:val="000000"/>
          <w:sz w:val="22"/>
          <w:szCs w:val="22"/>
          <w:lang w:val="es-ES_tradnl"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DD5F33">
        <w:rPr>
          <w:rFonts w:ascii="Arial" w:eastAsia="Arial" w:hAnsi="Arial" w:cs="Arial"/>
          <w:i/>
          <w:color w:val="000000"/>
          <w:sz w:val="22"/>
          <w:szCs w:val="22"/>
          <w:lang w:val="es-ES_tradnl" w:eastAsia="en-US"/>
        </w:rPr>
        <w:t xml:space="preserve">ibídem </w:t>
      </w:r>
      <w:r w:rsidRPr="00DD5F33">
        <w:rPr>
          <w:rFonts w:ascii="Arial" w:eastAsia="Arial" w:hAnsi="Arial" w:cs="Arial"/>
          <w:color w:val="000000"/>
          <w:sz w:val="22"/>
          <w:szCs w:val="22"/>
          <w:lang w:val="es-ES_tradnl" w:eastAsia="en-US"/>
        </w:rPr>
        <w:t>a las entidades que tienen «sucursales» en el municipio o departamento en donde se va a ejecutar el contrato estatal.</w:t>
      </w:r>
    </w:p>
    <w:p w14:paraId="3F14F270" w14:textId="370AFD2A" w:rsidR="00D66556" w:rsidRPr="00DD5F33" w:rsidRDefault="00D66556" w:rsidP="00D66556">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DD5F33">
        <w:rPr>
          <w:rStyle w:val="Refdenotaalpie"/>
          <w:rFonts w:ascii="Arial" w:eastAsia="Arial" w:hAnsi="Arial" w:cs="Arial"/>
          <w:color w:val="000000"/>
          <w:sz w:val="22"/>
          <w:szCs w:val="22"/>
          <w:lang w:val="es-ES_tradnl" w:eastAsia="en-US"/>
        </w:rPr>
        <w:footnoteReference w:id="38"/>
      </w:r>
      <w:r w:rsidRPr="00DD5F33">
        <w:rPr>
          <w:rFonts w:ascii="Arial" w:eastAsia="Arial" w:hAnsi="Arial" w:cs="Arial"/>
          <w:color w:val="000000"/>
          <w:sz w:val="22"/>
          <w:szCs w:val="22"/>
          <w:lang w:val="es-ES_tradnl" w:eastAsia="en-US"/>
        </w:rPr>
        <w:t xml:space="preserve">. En ese sentido, si la </w:t>
      </w:r>
      <w:r w:rsidRPr="00DD5F33">
        <w:rPr>
          <w:rFonts w:ascii="Arial" w:eastAsia="Arial" w:hAnsi="Arial" w:cs="Arial"/>
          <w:color w:val="000000"/>
          <w:sz w:val="22"/>
          <w:szCs w:val="22"/>
          <w:lang w:val="es-ES_tradnl" w:eastAsia="en-US"/>
        </w:rPr>
        <w:lastRenderedPageBreak/>
        <w:t xml:space="preserve">entidad no recibió las solicitudes para limitar la convocatoria a Mipymes, no puede </w:t>
      </w:r>
      <w:r w:rsidRPr="00DD5F33">
        <w:rPr>
          <w:rFonts w:ascii="Arial" w:eastAsia="Arial" w:hAnsi="Arial" w:cs="Arial"/>
          <w:i/>
          <w:color w:val="000000"/>
          <w:sz w:val="22"/>
          <w:szCs w:val="22"/>
          <w:lang w:val="es-ES_tradnl" w:eastAsia="en-US"/>
        </w:rPr>
        <w:t>motu prop</w:t>
      </w:r>
      <w:r w:rsidR="007C3209" w:rsidRPr="00DD5F33">
        <w:rPr>
          <w:rFonts w:ascii="Arial" w:eastAsia="Arial" w:hAnsi="Arial" w:cs="Arial"/>
          <w:i/>
          <w:color w:val="000000"/>
          <w:sz w:val="22"/>
          <w:szCs w:val="22"/>
          <w:lang w:val="es-ES_tradnl" w:eastAsia="en-US"/>
        </w:rPr>
        <w:t>r</w:t>
      </w:r>
      <w:r w:rsidRPr="00DD5F33">
        <w:rPr>
          <w:rFonts w:ascii="Arial" w:eastAsia="Arial" w:hAnsi="Arial" w:cs="Arial"/>
          <w:i/>
          <w:color w:val="000000"/>
          <w:sz w:val="22"/>
          <w:szCs w:val="22"/>
          <w:lang w:val="es-ES_tradnl" w:eastAsia="en-US"/>
        </w:rPr>
        <w:t xml:space="preserve">io </w:t>
      </w:r>
      <w:r w:rsidRPr="00DD5F33">
        <w:rPr>
          <w:rFonts w:ascii="Arial" w:eastAsia="Arial" w:hAnsi="Arial" w:cs="Arial"/>
          <w:color w:val="000000"/>
          <w:sz w:val="22"/>
          <w:szCs w:val="22"/>
          <w:lang w:val="es-ES_tradnl"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0AEB482C" w14:textId="00F87009" w:rsidR="009B3BCD" w:rsidRPr="00DD5F33" w:rsidRDefault="006877A1" w:rsidP="00D66556">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Conviene, igualmente,</w:t>
      </w:r>
      <w:r w:rsidR="00D66556" w:rsidRPr="00DD5F33">
        <w:rPr>
          <w:rFonts w:ascii="Arial" w:eastAsia="Arial" w:hAnsi="Arial" w:cs="Arial"/>
          <w:color w:val="000000"/>
          <w:sz w:val="22"/>
          <w:szCs w:val="22"/>
          <w:lang w:val="es-ES_tradnl" w:eastAsia="en-US"/>
        </w:rPr>
        <w:t xml:space="preserve"> precisar que el domicilio de la mipymes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mipyme interesada en la limitación territorial de la convocatoria pública para celebrar el contrato, que corresponda con el lugar de ejecución del mismo, ya sea departamento o municipio.  </w:t>
      </w:r>
    </w:p>
    <w:p w14:paraId="408CD6ED" w14:textId="414CD7DC" w:rsidR="006877A1" w:rsidRPr="00DD5F33" w:rsidRDefault="006877A1" w:rsidP="006877A1">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 colombianas». Adicionalmente, el numeral 4 dispone que en el cronograma se debe señalar «El momento en que publicará un aviso en el SECOP precisando si el proceso efectivamente se limitó a Mipyme o si podrá participar cualquier otro interesado». Por otra parte, también es importante tener en cuenta el parágrafo del artículo 2.2.1.2.1.5.2., a cuyo tenor: </w:t>
      </w:r>
    </w:p>
    <w:p w14:paraId="761E132B" w14:textId="77777777" w:rsidR="006877A1" w:rsidRPr="00DD5F33" w:rsidRDefault="006877A1" w:rsidP="006877A1">
      <w:pPr>
        <w:spacing w:line="276" w:lineRule="auto"/>
        <w:jc w:val="both"/>
        <w:rPr>
          <w:rFonts w:ascii="Arial" w:eastAsia="Calibri" w:hAnsi="Arial" w:cs="Arial"/>
          <w:sz w:val="22"/>
          <w:szCs w:val="22"/>
          <w:lang w:val="es-ES_tradnl"/>
        </w:rPr>
      </w:pPr>
    </w:p>
    <w:p w14:paraId="7AD246FD" w14:textId="77777777" w:rsidR="006877A1" w:rsidRPr="00DD5F33" w:rsidRDefault="006877A1" w:rsidP="006877A1">
      <w:pPr>
        <w:ind w:left="709" w:right="709"/>
        <w:jc w:val="both"/>
        <w:rPr>
          <w:rFonts w:ascii="Arial" w:eastAsia="Calibri" w:hAnsi="Arial" w:cs="Arial"/>
          <w:sz w:val="21"/>
          <w:szCs w:val="21"/>
        </w:rPr>
      </w:pPr>
      <w:r w:rsidRPr="00DD5F33">
        <w:rPr>
          <w:rFonts w:ascii="Arial" w:eastAsia="Calibri" w:hAnsi="Arial" w:cs="Arial"/>
          <w:sz w:val="21"/>
          <w:szCs w:val="21"/>
        </w:rPr>
        <w:t xml:space="preserve">De conformidad con el parágrafo 1 del artículo 30 y el artículo 34 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w:t>
      </w:r>
      <w:r w:rsidRPr="00DD5F33">
        <w:rPr>
          <w:rFonts w:ascii="Arial" w:eastAsia="Calibri" w:hAnsi="Arial" w:cs="Arial"/>
          <w:sz w:val="21"/>
          <w:szCs w:val="21"/>
        </w:rPr>
        <w:lastRenderedPageBreak/>
        <w:t>indicará si en el proceso aplican las limitaciones territoriales de que trata el artículo 2.2.1.2.4.2.3 o si podrá participar cualquier Mipyme nacional.</w:t>
      </w:r>
    </w:p>
    <w:p w14:paraId="6FFA472D" w14:textId="77777777" w:rsidR="006877A1" w:rsidRPr="00DD5F33" w:rsidRDefault="006877A1" w:rsidP="006877A1">
      <w:pPr>
        <w:spacing w:line="276" w:lineRule="auto"/>
        <w:jc w:val="both"/>
        <w:rPr>
          <w:rFonts w:ascii="Arial" w:eastAsia="Calibri" w:hAnsi="Arial" w:cs="Arial"/>
          <w:sz w:val="22"/>
          <w:szCs w:val="22"/>
        </w:rPr>
      </w:pPr>
    </w:p>
    <w:p w14:paraId="55EEADC2" w14:textId="26E161F2" w:rsidR="006877A1" w:rsidRPr="00DD5F33" w:rsidRDefault="006877A1" w:rsidP="006877A1">
      <w:pPr>
        <w:spacing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Puede concluirse, entonces, que, en el procedimiento de mínima cuantía, la limitación de la convocatoria a mipymes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  </w:t>
      </w:r>
    </w:p>
    <w:p w14:paraId="6E9C5696" w14:textId="77777777" w:rsidR="00D66556" w:rsidRPr="00DD5F33" w:rsidRDefault="00D66556" w:rsidP="00D66556">
      <w:pPr>
        <w:rPr>
          <w:rFonts w:ascii="Arial" w:eastAsia="Calibri" w:hAnsi="Arial" w:cs="Arial"/>
          <w:lang w:val="es-ES_tradnl"/>
        </w:rPr>
      </w:pPr>
    </w:p>
    <w:p w14:paraId="771225ED" w14:textId="7ED59CB9" w:rsidR="00A2727F" w:rsidRPr="00DD5F33" w:rsidRDefault="00A2727F" w:rsidP="00ED0C3D">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7</w:t>
      </w:r>
      <w:r w:rsidRPr="00DD5F33">
        <w:rPr>
          <w:rFonts w:ascii="Arial" w:eastAsia="Calibri" w:hAnsi="Arial" w:cs="Arial"/>
          <w:b/>
          <w:color w:val="000000" w:themeColor="text1"/>
          <w:sz w:val="22"/>
          <w:lang w:val="es-ES_tradnl"/>
        </w:rPr>
        <w:t xml:space="preserve">. </w:t>
      </w:r>
      <w:r w:rsidR="00120E10" w:rsidRPr="00DD5F33">
        <w:rPr>
          <w:rFonts w:ascii="Arial" w:eastAsia="Calibri" w:hAnsi="Arial" w:cs="Arial"/>
          <w:b/>
          <w:color w:val="000000" w:themeColor="text1"/>
          <w:sz w:val="22"/>
          <w:lang w:val="es-ES_tradnl"/>
        </w:rPr>
        <w:t>P</w:t>
      </w:r>
      <w:r w:rsidR="000C4A40" w:rsidRPr="00DD5F33">
        <w:rPr>
          <w:rFonts w:ascii="Arial" w:eastAsia="Calibri" w:hAnsi="Arial" w:cs="Arial"/>
          <w:b/>
          <w:color w:val="000000" w:themeColor="text1"/>
          <w:sz w:val="22"/>
          <w:lang w:val="es-ES_tradnl"/>
        </w:rPr>
        <w:t>romoción del desarrollo</w:t>
      </w:r>
      <w:r w:rsidR="00120E10" w:rsidRPr="00DD5F33">
        <w:rPr>
          <w:rFonts w:ascii="Arial" w:eastAsia="Calibri" w:hAnsi="Arial" w:cs="Arial"/>
          <w:b/>
          <w:color w:val="000000" w:themeColor="text1"/>
          <w:sz w:val="22"/>
          <w:lang w:val="es-ES_tradnl"/>
        </w:rPr>
        <w:t xml:space="preserve"> en el sistema de compras públicas</w:t>
      </w:r>
      <w:r w:rsidR="000C4A40" w:rsidRPr="00DD5F33">
        <w:rPr>
          <w:rFonts w:ascii="Arial" w:eastAsia="Calibri" w:hAnsi="Arial" w:cs="Arial"/>
          <w:b/>
          <w:color w:val="000000" w:themeColor="text1"/>
          <w:sz w:val="22"/>
          <w:lang w:val="es-ES_tradnl"/>
        </w:rPr>
        <w:t xml:space="preserve">: acciones de fomento a favor de </w:t>
      </w:r>
      <w:r w:rsidR="009232E0" w:rsidRPr="00DD5F33">
        <w:rPr>
          <w:rFonts w:ascii="Arial" w:eastAsia="Calibri" w:hAnsi="Arial" w:cs="Arial"/>
          <w:b/>
          <w:color w:val="000000" w:themeColor="text1"/>
          <w:sz w:val="22"/>
          <w:lang w:val="es-ES_tradnl"/>
        </w:rPr>
        <w:t>población en pobreza extrema, desplazados por la violencia, personas en proceso de reintegración o reincorporación y, sujetos de especial protección constitucional</w:t>
      </w:r>
      <w:r w:rsidR="001B2C35" w:rsidRPr="00DD5F33">
        <w:rPr>
          <w:rFonts w:ascii="Arial" w:eastAsia="Calibri" w:hAnsi="Arial" w:cs="Arial"/>
          <w:b/>
          <w:color w:val="000000" w:themeColor="text1"/>
          <w:sz w:val="22"/>
          <w:lang w:val="es-ES_tradnl"/>
        </w:rPr>
        <w:t xml:space="preserve"> </w:t>
      </w:r>
    </w:p>
    <w:p w14:paraId="58E5C843" w14:textId="7D7E3E11" w:rsidR="002C5068" w:rsidRPr="00DD5F33" w:rsidRDefault="002C5068" w:rsidP="00A2727F">
      <w:pPr>
        <w:rPr>
          <w:rFonts w:ascii="Arial" w:eastAsia="Calibri" w:hAnsi="Arial" w:cs="Arial"/>
          <w:lang w:val="es-ES_tradnl"/>
        </w:rPr>
      </w:pPr>
    </w:p>
    <w:p w14:paraId="15B33BF2" w14:textId="5E084BA6" w:rsidR="00310066" w:rsidRPr="00DD5F33" w:rsidRDefault="002C5068" w:rsidP="00C26861">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w:t>
      </w:r>
      <w:r w:rsidR="00C5222E" w:rsidRPr="00DD5F33">
        <w:rPr>
          <w:rFonts w:ascii="Arial" w:eastAsia="Calibri" w:hAnsi="Arial" w:cs="Arial"/>
          <w:bCs/>
          <w:color w:val="000000" w:themeColor="text1"/>
          <w:sz w:val="22"/>
          <w:lang w:val="es-ES_tradnl"/>
        </w:rPr>
        <w:t>cuarto</w:t>
      </w:r>
      <w:r w:rsidRPr="00DD5F33">
        <w:rPr>
          <w:rFonts w:ascii="Arial" w:eastAsia="Calibri" w:hAnsi="Arial" w:cs="Arial"/>
          <w:bCs/>
          <w:color w:val="000000" w:themeColor="text1"/>
          <w:sz w:val="22"/>
          <w:lang w:val="es-ES_tradnl"/>
        </w:rPr>
        <w:t xml:space="preserve"> inciso del artículo 12 de la Ley 1150 de 2007, modificado por el artículo 34 de la Ley 2069 de 2020,</w:t>
      </w:r>
      <w:r w:rsidR="00C26861" w:rsidRPr="00DD5F33">
        <w:rPr>
          <w:rFonts w:ascii="Arial" w:eastAsia="Calibri" w:hAnsi="Arial" w:cs="Arial"/>
          <w:bCs/>
          <w:color w:val="000000" w:themeColor="text1"/>
          <w:sz w:val="22"/>
          <w:lang w:val="es-ES_tradnl"/>
        </w:rPr>
        <w:t xml:space="preserve"> </w:t>
      </w:r>
      <w:r w:rsidR="004E3924" w:rsidRPr="00DD5F33">
        <w:rPr>
          <w:rFonts w:ascii="Arial" w:eastAsia="Calibri" w:hAnsi="Arial" w:cs="Arial"/>
          <w:bCs/>
          <w:color w:val="000000" w:themeColor="text1"/>
          <w:sz w:val="22"/>
          <w:lang w:val="es-ES_tradnl"/>
        </w:rPr>
        <w:t>establece que</w:t>
      </w:r>
      <w:r w:rsidR="00454FC6" w:rsidRPr="00DD5F33">
        <w:rPr>
          <w:rFonts w:ascii="Arial" w:eastAsia="Calibri" w:hAnsi="Arial" w:cs="Arial"/>
          <w:bCs/>
          <w:color w:val="000000" w:themeColor="text1"/>
          <w:sz w:val="22"/>
          <w:lang w:val="es-ES_tradnl"/>
        </w:rPr>
        <w:t xml:space="preserve"> «las Entidades Estatales indistintamente de su régimen de contratación, los patrimonios autónomos constituidos por Entidades Estatales y los particulares que ejecuten recursos públicos» </w:t>
      </w:r>
      <w:r w:rsidR="004E3924" w:rsidRPr="00DD5F33">
        <w:rPr>
          <w:rFonts w:ascii="Arial" w:eastAsia="Calibri" w:hAnsi="Arial" w:cs="Arial"/>
          <w:bCs/>
          <w:color w:val="000000" w:themeColor="text1"/>
          <w:sz w:val="22"/>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C37AF2" w:rsidRPr="00DD5F33">
        <w:rPr>
          <w:rFonts w:ascii="Arial" w:eastAsia="Calibri" w:hAnsi="Arial" w:cs="Arial"/>
          <w:bCs/>
          <w:color w:val="000000" w:themeColor="text1"/>
          <w:sz w:val="22"/>
          <w:lang w:val="es-ES_tradnl"/>
        </w:rPr>
        <w:t xml:space="preserve"> Reglamentando este tema, </w:t>
      </w:r>
      <w:r w:rsidR="00C37AF2" w:rsidRPr="00DD5F33">
        <w:rPr>
          <w:rFonts w:ascii="Arial" w:eastAsia="Arial" w:hAnsi="Arial" w:cs="Arial"/>
          <w:color w:val="000000"/>
          <w:sz w:val="22"/>
          <w:szCs w:val="22"/>
          <w:lang w:val="es-ES_tradnl" w:eastAsia="en-US"/>
        </w:rPr>
        <w:t>e</w:t>
      </w:r>
      <w:r w:rsidR="00310066" w:rsidRPr="00DD5F33">
        <w:rPr>
          <w:rFonts w:ascii="Arial" w:eastAsia="Arial" w:hAnsi="Arial" w:cs="Arial"/>
          <w:color w:val="000000"/>
          <w:sz w:val="22"/>
          <w:szCs w:val="22"/>
          <w:lang w:val="es-ES_tradnl" w:eastAsia="en-US"/>
        </w:rPr>
        <w:t>l</w:t>
      </w:r>
      <w:r w:rsidR="00310066" w:rsidRPr="00DD5F33">
        <w:rPr>
          <w:rFonts w:ascii="Arial" w:hAnsi="Arial" w:cs="Arial"/>
          <w:sz w:val="22"/>
          <w:szCs w:val="22"/>
          <w:lang w:val="es-ES_tradnl" w:eastAsia="es-CO"/>
        </w:rPr>
        <w:t xml:space="preserve"> artículo 3 del Decreto 1860 de 2021 adiciona el artículo 2.2.1.2.4.2.16</w:t>
      </w:r>
      <w:r w:rsidR="00C37AF2" w:rsidRPr="00DD5F33">
        <w:rPr>
          <w:rFonts w:ascii="Arial" w:hAnsi="Arial" w:cs="Arial"/>
          <w:sz w:val="22"/>
          <w:szCs w:val="22"/>
          <w:lang w:val="es-ES_tradnl" w:eastAsia="es-CO"/>
        </w:rPr>
        <w:t>, indicando lo siguiente:</w:t>
      </w:r>
    </w:p>
    <w:p w14:paraId="4D819946" w14:textId="2E4D392C" w:rsidR="00735CF5" w:rsidRPr="00DD5F33" w:rsidRDefault="00735CF5" w:rsidP="000817D0">
      <w:pPr>
        <w:ind w:left="709" w:right="709"/>
        <w:jc w:val="both"/>
        <w:rPr>
          <w:rFonts w:ascii="Arial" w:hAnsi="Arial" w:cs="Arial"/>
          <w:sz w:val="21"/>
          <w:szCs w:val="21"/>
          <w:lang w:val="es-ES_tradnl"/>
        </w:rPr>
      </w:pPr>
      <w:r w:rsidRPr="00DD5F33">
        <w:rPr>
          <w:rFonts w:ascii="Arial" w:hAnsi="Arial" w:cs="Arial"/>
          <w:sz w:val="21"/>
          <w:szCs w:val="21"/>
          <w:lang w:val="es-ES_tradnl"/>
        </w:rPr>
        <w:t>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7494510D"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1996C7F7"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lastRenderedPageBreak/>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4511A5D8"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337F4362"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El supervisor o el interventor, según el caso, realizará el seguimiento y verificará que las personas vinculadas al inicio y durante la ejecución del contrato pertenezcan a los grupos poblacionales enunciados anteriormente.</w:t>
      </w:r>
    </w:p>
    <w:p w14:paraId="6DDFAB38"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14:paraId="1CF6C2F4" w14:textId="77777777" w:rsidR="000817D0"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3B31A72D" w14:textId="1AB14026" w:rsidR="00735CF5" w:rsidRPr="00DD5F33" w:rsidRDefault="00735CF5" w:rsidP="000817D0">
      <w:pPr>
        <w:spacing w:before="120"/>
        <w:ind w:left="709" w:right="709"/>
        <w:jc w:val="both"/>
        <w:rPr>
          <w:rFonts w:ascii="Arial" w:hAnsi="Arial" w:cs="Arial"/>
          <w:sz w:val="21"/>
          <w:szCs w:val="21"/>
          <w:lang w:val="es-ES_tradnl"/>
        </w:rPr>
      </w:pPr>
      <w:r w:rsidRPr="00DD5F33">
        <w:rPr>
          <w:rFonts w:ascii="Arial" w:hAnsi="Arial" w:cs="Arial"/>
          <w:sz w:val="21"/>
          <w:szCs w:val="21"/>
          <w:lang w:val="es-ES_tradnl"/>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29372B11" w14:textId="41A1D99E" w:rsidR="004E3924" w:rsidRPr="00DD5F33" w:rsidRDefault="004E3924" w:rsidP="00196975">
      <w:pPr>
        <w:tabs>
          <w:tab w:val="left" w:pos="709"/>
        </w:tabs>
        <w:spacing w:after="120" w:line="276" w:lineRule="auto"/>
        <w:jc w:val="both"/>
        <w:rPr>
          <w:rFonts w:ascii="Arial" w:eastAsia="Calibri" w:hAnsi="Arial" w:cs="Arial"/>
          <w:bCs/>
          <w:color w:val="000000" w:themeColor="text1"/>
          <w:sz w:val="22"/>
          <w:lang w:val="es-ES_tradnl"/>
        </w:rPr>
      </w:pPr>
    </w:p>
    <w:p w14:paraId="248DBB0F" w14:textId="46F0E7D7" w:rsidR="00DB726E" w:rsidRPr="00DD5F33" w:rsidRDefault="005D6EAC" w:rsidP="00DB726E">
      <w:pPr>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lo que respecta a las preguntas contenidas en la consulta, sobre la norma transcrita, l</w:t>
      </w:r>
      <w:r w:rsidR="00DB726E" w:rsidRPr="00DD5F33">
        <w:rPr>
          <w:rFonts w:ascii="Arial" w:eastAsia="Calibri" w:hAnsi="Arial" w:cs="Arial"/>
          <w:bCs/>
          <w:color w:val="000000"/>
          <w:sz w:val="22"/>
          <w:szCs w:val="22"/>
          <w:lang w:val="es-ES_tradnl" w:eastAsia="en-US"/>
        </w:rPr>
        <w:t xml:space="preserve">a interpretación razonable </w:t>
      </w:r>
      <w:r w:rsidRPr="00DD5F33">
        <w:rPr>
          <w:rFonts w:ascii="Arial" w:eastAsia="Calibri" w:hAnsi="Arial" w:cs="Arial"/>
          <w:bCs/>
          <w:color w:val="000000"/>
          <w:sz w:val="22"/>
          <w:szCs w:val="22"/>
          <w:lang w:val="es-ES_tradnl" w:eastAsia="en-US"/>
        </w:rPr>
        <w:t>del tercer inciso</w:t>
      </w:r>
      <w:r w:rsidR="00DB726E" w:rsidRPr="00DD5F33">
        <w:rPr>
          <w:rFonts w:ascii="Arial" w:eastAsia="Calibri" w:hAnsi="Arial" w:cs="Arial"/>
          <w:bCs/>
          <w:color w:val="000000"/>
          <w:sz w:val="22"/>
          <w:szCs w:val="22"/>
          <w:lang w:val="es-ES_tradnl" w:eastAsia="en-US"/>
        </w:rPr>
        <w:t xml:space="preserve">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00DB726E" w:rsidRPr="00DD5F33">
        <w:rPr>
          <w:rFonts w:ascii="Arial" w:eastAsia="Calibri" w:hAnsi="Arial" w:cs="Arial"/>
          <w:bCs/>
          <w:i/>
          <w:iCs/>
          <w:color w:val="000000"/>
          <w:sz w:val="22"/>
          <w:szCs w:val="22"/>
          <w:lang w:val="es-ES_tradnl" w:eastAsia="en-US"/>
        </w:rPr>
        <w:t>de los bienes o servicios requeridos</w:t>
      </w:r>
      <w:r w:rsidR="00DB726E" w:rsidRPr="00DD5F33">
        <w:rPr>
          <w:rFonts w:ascii="Arial" w:eastAsia="Calibri" w:hAnsi="Arial" w:cs="Arial"/>
          <w:bCs/>
          <w:color w:val="000000"/>
          <w:sz w:val="22"/>
          <w:szCs w:val="22"/>
          <w:lang w:val="es-ES_tradnl" w:eastAsia="en-US"/>
        </w:rPr>
        <w:t xml:space="preserve"> para la ejecución del contrato, de manera que no se ponga en riesgo su cumplimiento adecuado» (énfasis fuera de texto). Obsérvese que la norma hace referencia a los bienes o servicios requeridos</w:t>
      </w:r>
      <w:r w:rsidR="00A26019" w:rsidRPr="00DD5F33">
        <w:rPr>
          <w:rFonts w:ascii="Arial" w:eastAsia="Calibri" w:hAnsi="Arial" w:cs="Arial"/>
          <w:bCs/>
          <w:color w:val="000000"/>
          <w:sz w:val="22"/>
          <w:szCs w:val="22"/>
          <w:lang w:val="es-ES_tradnl" w:eastAsia="en-US"/>
        </w:rPr>
        <w:t>,</w:t>
      </w:r>
      <w:r w:rsidR="00DB726E" w:rsidRPr="00DD5F33">
        <w:rPr>
          <w:rFonts w:ascii="Arial" w:eastAsia="Calibri" w:hAnsi="Arial" w:cs="Arial"/>
          <w:bCs/>
          <w:color w:val="000000"/>
          <w:sz w:val="22"/>
          <w:szCs w:val="22"/>
          <w:lang w:val="es-ES_tradnl" w:eastAsia="en-US"/>
        </w:rPr>
        <w:t xml:space="preserve">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w:t>
      </w:r>
      <w:r w:rsidR="00CD54B8" w:rsidRPr="00DD5F33">
        <w:rPr>
          <w:rFonts w:ascii="Arial" w:eastAsia="Calibri" w:hAnsi="Arial" w:cs="Arial"/>
          <w:bCs/>
          <w:color w:val="000000"/>
          <w:sz w:val="22"/>
          <w:szCs w:val="22"/>
          <w:lang w:val="es-ES_tradnl" w:eastAsia="en-US"/>
        </w:rPr>
        <w:t xml:space="preserve">la </w:t>
      </w:r>
      <w:r w:rsidR="00DB726E" w:rsidRPr="00DD5F33">
        <w:rPr>
          <w:rFonts w:ascii="Arial" w:eastAsia="Calibri" w:hAnsi="Arial" w:cs="Arial"/>
          <w:bCs/>
          <w:color w:val="000000"/>
          <w:sz w:val="22"/>
          <w:szCs w:val="22"/>
          <w:lang w:val="es-ES_tradnl" w:eastAsia="en-US"/>
        </w:rPr>
        <w:t xml:space="preserve">población en pobreza extrema, </w:t>
      </w:r>
      <w:r w:rsidR="00CD54B8" w:rsidRPr="00DD5F33">
        <w:rPr>
          <w:rFonts w:ascii="Arial" w:eastAsia="Calibri" w:hAnsi="Arial" w:cs="Arial"/>
          <w:bCs/>
          <w:color w:val="000000"/>
          <w:sz w:val="22"/>
          <w:szCs w:val="22"/>
          <w:lang w:val="es-ES_tradnl" w:eastAsia="en-US"/>
        </w:rPr>
        <w:lastRenderedPageBreak/>
        <w:t xml:space="preserve">de las personas </w:t>
      </w:r>
      <w:r w:rsidR="00DB726E" w:rsidRPr="00DD5F33">
        <w:rPr>
          <w:rFonts w:ascii="Arial" w:eastAsia="Calibri" w:hAnsi="Arial" w:cs="Arial"/>
          <w:bCs/>
          <w:color w:val="000000"/>
          <w:sz w:val="22"/>
          <w:szCs w:val="22"/>
          <w:lang w:val="es-ES_tradnl" w:eastAsia="en-US"/>
        </w:rPr>
        <w:t>desplazad</w:t>
      </w:r>
      <w:r w:rsidR="00CD54B8" w:rsidRPr="00DD5F33">
        <w:rPr>
          <w:rFonts w:ascii="Arial" w:eastAsia="Calibri" w:hAnsi="Arial" w:cs="Arial"/>
          <w:bCs/>
          <w:color w:val="000000"/>
          <w:sz w:val="22"/>
          <w:szCs w:val="22"/>
          <w:lang w:val="es-ES_tradnl" w:eastAsia="en-US"/>
        </w:rPr>
        <w:t>a</w:t>
      </w:r>
      <w:r w:rsidR="00DB726E" w:rsidRPr="00DD5F33">
        <w:rPr>
          <w:rFonts w:ascii="Arial" w:eastAsia="Calibri" w:hAnsi="Arial" w:cs="Arial"/>
          <w:bCs/>
          <w:color w:val="000000"/>
          <w:sz w:val="22"/>
          <w:szCs w:val="22"/>
          <w:lang w:val="es-ES_tradnl" w:eastAsia="en-US"/>
        </w:rPr>
        <w:t xml:space="preserve">s por la violencia, </w:t>
      </w:r>
      <w:r w:rsidR="00326DAB" w:rsidRPr="00DD5F33">
        <w:rPr>
          <w:rFonts w:ascii="Arial" w:eastAsia="Calibri" w:hAnsi="Arial" w:cs="Arial"/>
          <w:bCs/>
          <w:color w:val="000000"/>
          <w:sz w:val="22"/>
          <w:szCs w:val="22"/>
          <w:lang w:val="es-ES_tradnl" w:eastAsia="en-US"/>
        </w:rPr>
        <w:t xml:space="preserve">de las </w:t>
      </w:r>
      <w:r w:rsidR="00DB726E" w:rsidRPr="00DD5F33">
        <w:rPr>
          <w:rFonts w:ascii="Arial" w:eastAsia="Calibri" w:hAnsi="Arial" w:cs="Arial"/>
          <w:bCs/>
          <w:color w:val="000000"/>
          <w:sz w:val="22"/>
          <w:szCs w:val="22"/>
          <w:lang w:val="es-ES_tradnl" w:eastAsia="en-US"/>
        </w:rPr>
        <w:t>personas en proceso de reintegración o reincorporación y</w:t>
      </w:r>
      <w:r w:rsidR="00326DAB" w:rsidRPr="00DD5F33">
        <w:rPr>
          <w:rFonts w:ascii="Arial" w:eastAsia="Calibri" w:hAnsi="Arial" w:cs="Arial"/>
          <w:bCs/>
          <w:color w:val="000000"/>
          <w:sz w:val="22"/>
          <w:szCs w:val="22"/>
          <w:lang w:val="es-ES_tradnl" w:eastAsia="en-US"/>
        </w:rPr>
        <w:t>,</w:t>
      </w:r>
      <w:r w:rsidR="00DB726E" w:rsidRPr="00DD5F33">
        <w:rPr>
          <w:rFonts w:ascii="Arial" w:eastAsia="Calibri" w:hAnsi="Arial" w:cs="Arial"/>
          <w:bCs/>
          <w:color w:val="000000"/>
          <w:sz w:val="22"/>
          <w:szCs w:val="22"/>
          <w:lang w:val="es-ES_tradnl" w:eastAsia="en-US"/>
        </w:rPr>
        <w:t xml:space="preserve"> </w:t>
      </w:r>
      <w:r w:rsidR="00326DAB" w:rsidRPr="00DD5F33">
        <w:rPr>
          <w:rFonts w:ascii="Arial" w:eastAsia="Calibri" w:hAnsi="Arial" w:cs="Arial"/>
          <w:bCs/>
          <w:color w:val="000000"/>
          <w:sz w:val="22"/>
          <w:szCs w:val="22"/>
          <w:lang w:val="es-ES_tradnl" w:eastAsia="en-US"/>
        </w:rPr>
        <w:t xml:space="preserve">en general, de los </w:t>
      </w:r>
      <w:r w:rsidR="00DB726E" w:rsidRPr="00DD5F33">
        <w:rPr>
          <w:rFonts w:ascii="Arial" w:eastAsia="Calibri" w:hAnsi="Arial" w:cs="Arial"/>
          <w:bCs/>
          <w:color w:val="000000"/>
          <w:sz w:val="22"/>
          <w:szCs w:val="22"/>
          <w:lang w:val="es-ES_tradnl" w:eastAsia="en-US"/>
        </w:rPr>
        <w:t>sujetos de especial protección constitucional.</w:t>
      </w:r>
    </w:p>
    <w:p w14:paraId="6EF37D14" w14:textId="25D55AB3" w:rsidR="00E52CB8" w:rsidRPr="00DD5F33" w:rsidRDefault="009C5647" w:rsidP="00DB726E">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Frente a la demostración de las circunstancias reguladas por la norma bajo análisis, c</w:t>
      </w:r>
      <w:r w:rsidR="00E52CB8" w:rsidRPr="00DD5F33">
        <w:rPr>
          <w:rFonts w:ascii="Arial" w:eastAsia="Calibri" w:hAnsi="Arial" w:cs="Arial"/>
          <w:bCs/>
          <w:color w:val="000000"/>
          <w:sz w:val="22"/>
          <w:szCs w:val="22"/>
          <w:lang w:val="es-ES_tradnl" w:eastAsia="en-US"/>
        </w:rPr>
        <w:t xml:space="preserve">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0E126BD8" w14:textId="77777777" w:rsidR="00E52CB8" w:rsidRPr="00DD5F33"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73BFEF71" w14:textId="77777777" w:rsidR="00E52CB8" w:rsidRPr="00DD5F33"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ii) Según el numeral 5, la acreditación de la pertenencia a la población indígena, negra, afrocolombiana, raizal, palenquera, Rrom o gitana, en los términos del Decreto Ley 2893 de 2011, o la norma que lo modifique, sustituya o complemente, se certifica por el Ministerio del Interior. </w:t>
      </w:r>
    </w:p>
    <w:p w14:paraId="2551C82D" w14:textId="77777777" w:rsidR="00E52CB8" w:rsidRPr="00DD5F33"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iii) De conformidad con el numeral 6, la situación de encontrarse en un proceso de reintegración o reincorporación,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4D791F38" w14:textId="74CF8323" w:rsidR="00E52CB8" w:rsidRPr="00DD5F33"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7E771F51" w14:textId="4670DDB7" w:rsidR="00BA7455" w:rsidRPr="00DD5F33" w:rsidRDefault="00BA7455" w:rsidP="00BA7455">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 xml:space="preserve">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w:t>
      </w:r>
      <w:r w:rsidR="006B69BC" w:rsidRPr="00DD5F33">
        <w:rPr>
          <w:rFonts w:ascii="Arial" w:eastAsia="Calibri" w:hAnsi="Arial" w:cs="Arial"/>
          <w:bCs/>
          <w:color w:val="000000"/>
          <w:sz w:val="22"/>
          <w:szCs w:val="22"/>
          <w:lang w:val="es-ES_tradnl" w:eastAsia="en-US"/>
        </w:rPr>
        <w:t>los documentos del proceso</w:t>
      </w:r>
      <w:r w:rsidRPr="00DD5F33">
        <w:rPr>
          <w:rFonts w:ascii="Arial" w:eastAsia="Calibri" w:hAnsi="Arial" w:cs="Arial"/>
          <w:bCs/>
          <w:color w:val="000000"/>
          <w:sz w:val="22"/>
          <w:szCs w:val="22"/>
          <w:lang w:val="es-ES_tradnl" w:eastAsia="en-US"/>
        </w:rPr>
        <w:t xml:space="preserve">. Así lo establece el artículo 2.2.1.2.4.2.16., en el segundo inciso, cuando dispone que «La participación de los sujetos anteriormente mencionados en la ejecución del contrato se fomentará previo análisis de su oportunidad y conveniencia en los Documentos del Proceso, teniendo en cuenta el objeto contractual y el alcance de las obligaciones». </w:t>
      </w:r>
    </w:p>
    <w:p w14:paraId="634B082F" w14:textId="239A01E1" w:rsidR="00AE6CFD" w:rsidRPr="00DD5F33" w:rsidRDefault="00AE6CFD" w:rsidP="00AE6CFD">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Adicionalmente, el inciso quinto del artículo 2.2.1.2.4.2.16. establece que «El supervisor o el interventor, según el caso, realizará el seguimiento y verificará que las personas </w:t>
      </w:r>
      <w:r w:rsidRPr="00DD5F33">
        <w:rPr>
          <w:rFonts w:ascii="Arial" w:eastAsia="Calibri" w:hAnsi="Arial" w:cs="Arial"/>
          <w:bCs/>
          <w:i/>
          <w:iCs/>
          <w:color w:val="000000"/>
          <w:sz w:val="22"/>
          <w:szCs w:val="22"/>
          <w:lang w:val="es-ES_tradnl" w:eastAsia="en-US"/>
        </w:rPr>
        <w:t>vinculadas</w:t>
      </w:r>
      <w:r w:rsidRPr="00DD5F33">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w:t>
      </w:r>
      <w:r w:rsidR="00CA4120" w:rsidRPr="00DD5F33">
        <w:rPr>
          <w:rFonts w:ascii="Arial" w:eastAsia="Calibri" w:hAnsi="Arial" w:cs="Arial"/>
          <w:bCs/>
          <w:color w:val="000000"/>
          <w:sz w:val="22"/>
          <w:szCs w:val="22"/>
          <w:lang w:val="es-ES_tradnl" w:eastAsia="en-US"/>
        </w:rPr>
        <w:t>,</w:t>
      </w:r>
      <w:r w:rsidRPr="00DD5F33">
        <w:rPr>
          <w:rFonts w:ascii="Arial" w:eastAsia="Calibri" w:hAnsi="Arial" w:cs="Arial"/>
          <w:bCs/>
          <w:color w:val="000000"/>
          <w:sz w:val="22"/>
          <w:szCs w:val="22"/>
          <w:lang w:val="es-ES_tradnl" w:eastAsia="en-US"/>
        </w:rPr>
        <w:t xml:space="preserve"> para vender, suministrar o prestar bienes o servicios</w:t>
      </w:r>
      <w:r w:rsidRPr="00DD5F33">
        <w:rPr>
          <w:rStyle w:val="Refdenotaalpie"/>
          <w:rFonts w:ascii="Arial" w:eastAsia="Calibri" w:hAnsi="Arial" w:cs="Arial"/>
          <w:bCs/>
          <w:color w:val="000000"/>
          <w:sz w:val="22"/>
          <w:szCs w:val="22"/>
          <w:lang w:val="es-ES_tradnl" w:eastAsia="en-US"/>
        </w:rPr>
        <w:footnoteReference w:id="39"/>
      </w:r>
      <w:r w:rsidRPr="00DD5F33">
        <w:rPr>
          <w:rFonts w:ascii="Arial" w:eastAsia="Calibri" w:hAnsi="Arial" w:cs="Arial"/>
          <w:bCs/>
          <w:color w:val="000000"/>
          <w:sz w:val="22"/>
          <w:szCs w:val="22"/>
          <w:lang w:val="es-ES_tradnl" w:eastAsia="en-US"/>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5085D5D4" w14:textId="6D7F6653" w:rsidR="00AE6CFD" w:rsidRPr="00DD5F33" w:rsidRDefault="00AE6CFD" w:rsidP="00AE6CFD">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Ahora bien, la provisión de los bienes o servicios se debe realizar directamente por la población en pobreza extrema, </w:t>
      </w:r>
      <w:r w:rsidR="000B7ED3" w:rsidRPr="00DD5F33">
        <w:rPr>
          <w:rFonts w:ascii="Arial" w:eastAsia="Calibri" w:hAnsi="Arial" w:cs="Arial"/>
          <w:bCs/>
          <w:color w:val="000000"/>
          <w:sz w:val="22"/>
          <w:szCs w:val="22"/>
          <w:lang w:val="es-ES_tradnl" w:eastAsia="en-US"/>
        </w:rPr>
        <w:t xml:space="preserve">los </w:t>
      </w:r>
      <w:r w:rsidRPr="00DD5F33">
        <w:rPr>
          <w:rFonts w:ascii="Arial" w:eastAsia="Calibri" w:hAnsi="Arial" w:cs="Arial"/>
          <w:bCs/>
          <w:color w:val="000000"/>
          <w:sz w:val="22"/>
          <w:szCs w:val="22"/>
          <w:lang w:val="es-ES_tradnl" w:eastAsia="en-US"/>
        </w:rPr>
        <w:t xml:space="preserve">desplazados por la violencia, </w:t>
      </w:r>
      <w:r w:rsidR="000B7ED3" w:rsidRPr="00DD5F33">
        <w:rPr>
          <w:rFonts w:ascii="Arial" w:eastAsia="Calibri" w:hAnsi="Arial" w:cs="Arial"/>
          <w:bCs/>
          <w:color w:val="000000"/>
          <w:sz w:val="22"/>
          <w:szCs w:val="22"/>
          <w:lang w:val="es-ES_tradnl" w:eastAsia="en-US"/>
        </w:rPr>
        <w:t xml:space="preserve">las </w:t>
      </w:r>
      <w:r w:rsidRPr="00DD5F33">
        <w:rPr>
          <w:rFonts w:ascii="Arial" w:eastAsia="Calibri" w:hAnsi="Arial" w:cs="Arial"/>
          <w:bCs/>
          <w:color w:val="000000"/>
          <w:sz w:val="22"/>
          <w:szCs w:val="22"/>
          <w:lang w:val="es-ES_tradnl" w:eastAsia="en-US"/>
        </w:rPr>
        <w:t xml:space="preserve">personas en proceso de reintegración o reincorporación y </w:t>
      </w:r>
      <w:r w:rsidR="000B7ED3" w:rsidRPr="00DD5F33">
        <w:rPr>
          <w:rFonts w:ascii="Arial" w:eastAsia="Calibri" w:hAnsi="Arial" w:cs="Arial"/>
          <w:bCs/>
          <w:color w:val="000000"/>
          <w:sz w:val="22"/>
          <w:szCs w:val="22"/>
          <w:lang w:val="es-ES_tradnl" w:eastAsia="en-US"/>
        </w:rPr>
        <w:t xml:space="preserve">los </w:t>
      </w:r>
      <w:r w:rsidRPr="00DD5F33">
        <w:rPr>
          <w:rFonts w:ascii="Arial" w:eastAsia="Calibri" w:hAnsi="Arial" w:cs="Arial"/>
          <w:bCs/>
          <w:color w:val="000000"/>
          <w:sz w:val="22"/>
          <w:szCs w:val="22"/>
          <w:lang w:val="es-ES_tradnl" w:eastAsia="en-US"/>
        </w:rPr>
        <w:t xml:space="preserve">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w:t>
      </w:r>
      <w:r w:rsidRPr="00DD5F33">
        <w:rPr>
          <w:rFonts w:ascii="Arial" w:eastAsia="Calibri" w:hAnsi="Arial" w:cs="Arial"/>
          <w:bCs/>
          <w:color w:val="000000"/>
          <w:sz w:val="22"/>
          <w:szCs w:val="22"/>
          <w:lang w:val="es-ES_tradnl" w:eastAsia="en-US"/>
        </w:rPr>
        <w:lastRenderedPageBreak/>
        <w:t>puede ser fuente de ganancia económica para sujetos que no caben en los grupos poblacionales beneficiados con esta medida, encareciendo con la intermediación el coste de los bienes o servicios requeridos para cumplir con el objeto contractual.</w:t>
      </w:r>
    </w:p>
    <w:p w14:paraId="793562AB" w14:textId="77777777" w:rsidR="00E52CB8" w:rsidRPr="00DD5F33" w:rsidRDefault="00E52CB8" w:rsidP="00BA7455">
      <w:pPr>
        <w:shd w:val="clear" w:color="auto" w:fill="FFFFFF"/>
        <w:spacing w:line="276" w:lineRule="auto"/>
        <w:jc w:val="both"/>
        <w:rPr>
          <w:rFonts w:ascii="Arial" w:hAnsi="Arial" w:cs="Arial"/>
          <w:color w:val="000000" w:themeColor="text1"/>
          <w:sz w:val="21"/>
          <w:szCs w:val="21"/>
          <w:lang w:val="es-ES_tradnl"/>
        </w:rPr>
      </w:pPr>
    </w:p>
    <w:p w14:paraId="7F3C770E" w14:textId="321900B4" w:rsidR="009B3BCD" w:rsidRPr="00DD5F33" w:rsidRDefault="00ED0C3D" w:rsidP="00ED0C3D">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4B2B14" w:rsidRPr="00DD5F33">
        <w:rPr>
          <w:rFonts w:ascii="Arial" w:eastAsia="Calibri" w:hAnsi="Arial" w:cs="Arial"/>
          <w:b/>
          <w:color w:val="000000" w:themeColor="text1"/>
          <w:sz w:val="22"/>
          <w:lang w:val="es-ES_tradnl"/>
        </w:rPr>
        <w:t>8</w:t>
      </w:r>
      <w:r w:rsidRPr="00DD5F33">
        <w:rPr>
          <w:rFonts w:ascii="Arial" w:eastAsia="Calibri" w:hAnsi="Arial" w:cs="Arial"/>
          <w:b/>
          <w:color w:val="000000" w:themeColor="text1"/>
          <w:sz w:val="22"/>
          <w:lang w:val="es-ES_tradnl"/>
        </w:rPr>
        <w:t>.</w:t>
      </w:r>
      <w:r w:rsidR="009B3BCD" w:rsidRPr="00DD5F33">
        <w:rPr>
          <w:rFonts w:ascii="Arial" w:eastAsia="Calibri" w:hAnsi="Arial" w:cs="Arial"/>
          <w:b/>
          <w:color w:val="000000" w:themeColor="text1"/>
          <w:sz w:val="22"/>
          <w:lang w:val="es-ES_tradnl"/>
        </w:rPr>
        <w:t xml:space="preserve"> Factores de desempate</w:t>
      </w:r>
      <w:r w:rsidRPr="00DD5F33">
        <w:rPr>
          <w:rFonts w:ascii="Arial" w:eastAsia="Calibri" w:hAnsi="Arial" w:cs="Arial"/>
          <w:b/>
          <w:color w:val="000000" w:themeColor="text1"/>
          <w:sz w:val="22"/>
          <w:lang w:val="es-ES_tradnl"/>
        </w:rPr>
        <w:t>. Artículo 35 de la Ley 2069 de 2020 y Decreto 1860 de 2021</w:t>
      </w:r>
    </w:p>
    <w:p w14:paraId="4DB04155" w14:textId="77777777" w:rsidR="009B3BCD" w:rsidRPr="00DD5F33" w:rsidRDefault="009B3BCD" w:rsidP="009B3BCD">
      <w:pPr>
        <w:tabs>
          <w:tab w:val="left" w:pos="709"/>
        </w:tabs>
        <w:spacing w:line="276" w:lineRule="auto"/>
        <w:jc w:val="both"/>
        <w:rPr>
          <w:rFonts w:ascii="Arial" w:eastAsia="Calibri" w:hAnsi="Arial" w:cs="Arial"/>
          <w:b/>
          <w:color w:val="000000" w:themeColor="text1"/>
          <w:sz w:val="22"/>
          <w:lang w:val="es-ES_tradnl"/>
        </w:rPr>
      </w:pPr>
    </w:p>
    <w:p w14:paraId="6FD908E1" w14:textId="22386DA7" w:rsidR="0059206B" w:rsidRPr="00DD5F33" w:rsidRDefault="009B3BCD" w:rsidP="0065791C">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El artículo 35 de la Ley 2069 de 2020 regula los factores de desempate</w:t>
      </w:r>
      <w:r w:rsidRPr="00DD5F33">
        <w:rPr>
          <w:rStyle w:val="Refdenotaalpie"/>
          <w:rFonts w:ascii="Arial" w:eastAsia="Calibri" w:hAnsi="Arial" w:cs="Arial"/>
          <w:color w:val="000000" w:themeColor="text1"/>
          <w:sz w:val="22"/>
          <w:lang w:val="es-ES_tradnl"/>
        </w:rPr>
        <w:footnoteReference w:id="40"/>
      </w:r>
      <w:r w:rsidRPr="00DD5F33">
        <w:rPr>
          <w:rFonts w:ascii="Arial" w:eastAsia="Calibri" w:hAnsi="Arial" w:cs="Arial"/>
          <w:bCs/>
          <w:color w:val="000000" w:themeColor="text1"/>
          <w:sz w:val="22"/>
          <w:lang w:val="es-ES_tradnl"/>
        </w:rPr>
        <w:t xml:space="preserve">. Conforme a la norma citada, estos aplican en los procedimientos de selección de las entidades sometidas </w:t>
      </w:r>
      <w:r w:rsidRPr="00DD5F33">
        <w:rPr>
          <w:rFonts w:ascii="Arial" w:eastAsia="Calibri" w:hAnsi="Arial" w:cs="Arial"/>
          <w:bCs/>
          <w:color w:val="000000" w:themeColor="text1"/>
          <w:sz w:val="22"/>
          <w:lang w:val="es-ES_tradnl"/>
        </w:rPr>
        <w:lastRenderedPageBreak/>
        <w:t xml:space="preserve">al Estatuto General, las entidades exceptuadas de la Ley 80 de 1993 y los patrimonios autónomos constituidos por entidades estatales. Incluso, al consagrarse en la ley, generan la derogación y decaimiento de los previstos en el artículo 2.2.1.1.2.2.9 del Decreto 1082 de 2015, pues se trata de una norma superior y posterior que genera la pérdida de los fundamentos de derecho en los previstos en el Decreto Único Reglamentario del Sector Administrativo de Planeación Nacional.  </w:t>
      </w:r>
    </w:p>
    <w:p w14:paraId="4B7E4C74" w14:textId="4E27F4D0" w:rsidR="00191D39" w:rsidRPr="00DD5F33" w:rsidRDefault="00B9586C" w:rsidP="00191D39">
      <w:pPr>
        <w:spacing w:before="120" w:line="276" w:lineRule="auto"/>
        <w:ind w:firstLine="709"/>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rPr>
        <w:t xml:space="preserve">En cuanto a la eficacia del artículo 35 de la Ley 2069 de 2020, </w:t>
      </w:r>
      <w:r w:rsidRPr="00DD5F33">
        <w:rPr>
          <w:rFonts w:ascii="Arial" w:eastAsia="Calibri" w:hAnsi="Arial" w:cs="Arial"/>
          <w:color w:val="000000" w:themeColor="text1"/>
          <w:sz w:val="22"/>
          <w:lang w:val="es-ES_tradnl"/>
        </w:rPr>
        <w:t>e</w:t>
      </w:r>
      <w:r w:rsidR="009B3BCD" w:rsidRPr="00DD5F33">
        <w:rPr>
          <w:rFonts w:ascii="Arial" w:eastAsia="Calibri" w:hAnsi="Arial" w:cs="Arial"/>
          <w:color w:val="000000" w:themeColor="text1"/>
          <w:sz w:val="22"/>
          <w:lang w:val="es-ES_tradnl"/>
        </w:rPr>
        <w:t xml:space="preserve">n concordancia con el artículo 189.11 superior, el gobierno nacional puede ejercer discrecionalmente para la ejecución de las leyes. </w:t>
      </w:r>
      <w:r w:rsidRPr="00DD5F33">
        <w:rPr>
          <w:rFonts w:ascii="Arial" w:eastAsia="Calibri" w:hAnsi="Arial" w:cs="Arial"/>
          <w:color w:val="000000" w:themeColor="text1"/>
          <w:sz w:val="22"/>
          <w:lang w:val="es-ES_tradnl"/>
        </w:rPr>
        <w:t>Pero</w:t>
      </w:r>
      <w:r w:rsidR="009B3BCD" w:rsidRPr="00DD5F33">
        <w:rPr>
          <w:rFonts w:ascii="Arial" w:eastAsia="Calibri" w:hAnsi="Arial" w:cs="Arial"/>
          <w:color w:val="000000" w:themeColor="text1"/>
          <w:sz w:val="22"/>
          <w:lang w:val="es-ES_tradnl"/>
        </w:rPr>
        <w:t>,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65673A7F" w14:textId="56E162D3" w:rsidR="00191D39" w:rsidRPr="00DD5F33" w:rsidRDefault="00191D39" w:rsidP="00191D39">
      <w:pPr>
        <w:spacing w:before="120" w:line="276" w:lineRule="auto"/>
        <w:ind w:firstLine="709"/>
        <w:jc w:val="both"/>
        <w:rPr>
          <w:rFonts w:ascii="Arial" w:eastAsia="Calibri" w:hAnsi="Arial" w:cs="Arial"/>
          <w:color w:val="000000" w:themeColor="text1"/>
          <w:sz w:val="22"/>
          <w:lang w:val="es-ES_tradnl"/>
        </w:rPr>
      </w:pPr>
      <w:r w:rsidRPr="00DD5F33">
        <w:rPr>
          <w:rFonts w:ascii="Arial" w:hAnsi="Arial" w:cs="Arial"/>
          <w:sz w:val="22"/>
          <w:szCs w:val="22"/>
          <w:lang w:val="es-ES_tradnl"/>
        </w:rPr>
        <w:t xml:space="preserve">Ahora bien, el artículo 7 del Decreto 1860 de 2021 modificó el contenido del artículo 2.2.1.2.4.2.8 </w:t>
      </w:r>
      <w:r w:rsidRPr="00DD5F33">
        <w:rPr>
          <w:rFonts w:ascii="Arial" w:hAnsi="Arial" w:cs="Arial"/>
          <w:sz w:val="22"/>
          <w:szCs w:val="22"/>
          <w:shd w:val="clear" w:color="auto" w:fill="FFFFFF"/>
          <w:lang w:val="es-ES_tradnl"/>
        </w:rPr>
        <w:t xml:space="preserve">de la Subsección 2 de la Sección 4 del Capítulo 2 del Título 1 de la Parte 2 del Libro 2 del Decreto 1082 de 2015, alusivo al sistema de preferencias en favor de las personas con discapacidad. </w:t>
      </w:r>
      <w:r w:rsidRPr="00DD5F33">
        <w:rPr>
          <w:rFonts w:ascii="Arial" w:hAnsi="Arial" w:cs="Arial"/>
          <w:sz w:val="22"/>
          <w:szCs w:val="22"/>
          <w:lang w:val="es-ES_tradnl"/>
        </w:rPr>
        <w:t xml:space="preserve">La modificación realizada reemplazó la referencia al artículo </w:t>
      </w:r>
      <w:r w:rsidRPr="00DD5F33">
        <w:rPr>
          <w:rFonts w:ascii="Arial" w:hAnsi="Arial" w:cs="Arial"/>
          <w:sz w:val="22"/>
          <w:szCs w:val="22"/>
          <w:lang w:val="es-ES_tradnl"/>
        </w:rPr>
        <w:lastRenderedPageBreak/>
        <w:t>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36B84B3A" w14:textId="0FD3FF0A" w:rsidR="00A37F66" w:rsidRPr="00DD5F33" w:rsidRDefault="00A37F66" w:rsidP="00A37F66">
      <w:pPr>
        <w:spacing w:before="120" w:line="276" w:lineRule="auto"/>
        <w:ind w:firstLine="709"/>
        <w:jc w:val="both"/>
        <w:rPr>
          <w:rFonts w:ascii="Arial" w:hAnsi="Arial" w:cs="Arial"/>
          <w:color w:val="000000" w:themeColor="text1"/>
          <w:sz w:val="21"/>
          <w:szCs w:val="21"/>
          <w:lang w:val="es-ES_tradnl"/>
        </w:rPr>
      </w:pPr>
      <w:r w:rsidRPr="00DD5F33">
        <w:rPr>
          <w:rFonts w:ascii="Arial" w:eastAsia="Calibri" w:hAnsi="Arial" w:cs="Arial"/>
          <w:color w:val="000000" w:themeColor="text1"/>
          <w:sz w:val="22"/>
          <w:szCs w:val="22"/>
          <w:lang w:val="es-ES_tradnl"/>
        </w:rPr>
        <w:t xml:space="preserve">Después de aclarar que el artículo 35 de la Ley 2069 de 2020 se encuentra vigente y </w:t>
      </w:r>
      <w:r w:rsidR="00354002" w:rsidRPr="00DD5F33">
        <w:rPr>
          <w:rFonts w:ascii="Arial" w:eastAsia="Calibri" w:hAnsi="Arial" w:cs="Arial"/>
          <w:color w:val="000000" w:themeColor="text1"/>
          <w:sz w:val="22"/>
          <w:szCs w:val="22"/>
          <w:lang w:val="es-ES_tradnl"/>
        </w:rPr>
        <w:t>reglamentado</w:t>
      </w:r>
      <w:r w:rsidRPr="00DD5F33">
        <w:rPr>
          <w:rFonts w:ascii="Arial" w:eastAsia="Calibri" w:hAnsi="Arial" w:cs="Arial"/>
          <w:color w:val="000000" w:themeColor="text1"/>
          <w:sz w:val="22"/>
          <w:szCs w:val="22"/>
          <w:lang w:val="es-ES_tradnl"/>
        </w:rPr>
        <w:t>, es menester hacer referencia al objeto de la consulta</w:t>
      </w:r>
      <w:r w:rsidR="00F60742" w:rsidRPr="00DD5F33">
        <w:rPr>
          <w:rFonts w:ascii="Arial" w:eastAsia="Calibri" w:hAnsi="Arial" w:cs="Arial"/>
          <w:color w:val="000000" w:themeColor="text1"/>
          <w:sz w:val="22"/>
          <w:szCs w:val="22"/>
          <w:lang w:val="es-ES_tradnl"/>
        </w:rPr>
        <w:t xml:space="preserve">, </w:t>
      </w:r>
      <w:r w:rsidR="00B0687E" w:rsidRPr="00DD5F33">
        <w:rPr>
          <w:rFonts w:ascii="Arial" w:eastAsia="Calibri" w:hAnsi="Arial" w:cs="Arial"/>
          <w:color w:val="000000" w:themeColor="text1"/>
          <w:sz w:val="22"/>
          <w:szCs w:val="22"/>
          <w:lang w:val="es-ES_tradnl"/>
        </w:rPr>
        <w:t>en el cual se formulan preguntas sobre los numerales</w:t>
      </w:r>
      <w:r w:rsidR="004636EE" w:rsidRPr="00DD5F33">
        <w:rPr>
          <w:rFonts w:ascii="Arial" w:eastAsia="Calibri" w:hAnsi="Arial" w:cs="Arial"/>
          <w:color w:val="000000" w:themeColor="text1"/>
          <w:sz w:val="22"/>
          <w:szCs w:val="22"/>
          <w:lang w:val="es-ES_tradnl"/>
        </w:rPr>
        <w:t xml:space="preserve"> 2,</w:t>
      </w:r>
      <w:r w:rsidR="00B0687E" w:rsidRPr="00DD5F33">
        <w:rPr>
          <w:rFonts w:ascii="Arial" w:eastAsia="Calibri" w:hAnsi="Arial" w:cs="Arial"/>
          <w:color w:val="000000" w:themeColor="text1"/>
          <w:sz w:val="22"/>
          <w:szCs w:val="22"/>
          <w:lang w:val="es-ES_tradnl"/>
        </w:rPr>
        <w:t xml:space="preserve"> 5 y 6 </w:t>
      </w:r>
      <w:r w:rsidRPr="00DD5F33">
        <w:rPr>
          <w:rFonts w:ascii="Arial" w:hAnsi="Arial" w:cs="Arial"/>
          <w:color w:val="000000" w:themeColor="text1"/>
          <w:sz w:val="22"/>
          <w:szCs w:val="22"/>
          <w:lang w:val="es-ES_tradnl"/>
        </w:rPr>
        <w:t>de dicho artículo</w:t>
      </w:r>
      <w:r w:rsidR="00B0687E" w:rsidRPr="00DD5F33">
        <w:rPr>
          <w:rFonts w:ascii="Arial" w:hAnsi="Arial" w:cs="Arial"/>
          <w:color w:val="000000" w:themeColor="text1"/>
          <w:sz w:val="22"/>
          <w:szCs w:val="22"/>
          <w:lang w:val="es-ES_tradnl"/>
        </w:rPr>
        <w:t>, a partir de su reglamentación por parte del Decreto 1860 de 2021</w:t>
      </w:r>
      <w:r w:rsidRPr="00DD5F33">
        <w:rPr>
          <w:rFonts w:ascii="Arial" w:hAnsi="Arial" w:cs="Arial"/>
          <w:color w:val="000000" w:themeColor="text1"/>
          <w:sz w:val="22"/>
          <w:szCs w:val="22"/>
          <w:lang w:val="es-ES_tradnl"/>
        </w:rPr>
        <w:t>. Tales circunstancias hacen referencia a los siguientes factores de desempate</w:t>
      </w:r>
      <w:r w:rsidRPr="00DD5F33">
        <w:rPr>
          <w:rFonts w:ascii="Arial" w:hAnsi="Arial" w:cs="Arial"/>
          <w:color w:val="000000" w:themeColor="text1"/>
          <w:sz w:val="21"/>
          <w:szCs w:val="21"/>
          <w:lang w:val="es-ES_tradnl"/>
        </w:rPr>
        <w:t>:</w:t>
      </w:r>
    </w:p>
    <w:p w14:paraId="572AB441" w14:textId="77777777" w:rsidR="00A37F66" w:rsidRPr="00DD5F33" w:rsidRDefault="00A37F66" w:rsidP="00A37F66">
      <w:pPr>
        <w:spacing w:before="120" w:line="276" w:lineRule="auto"/>
        <w:ind w:firstLine="709"/>
        <w:jc w:val="both"/>
        <w:rPr>
          <w:rFonts w:ascii="Arial" w:hAnsi="Arial" w:cs="Arial"/>
          <w:color w:val="000000" w:themeColor="text1"/>
          <w:sz w:val="21"/>
          <w:szCs w:val="21"/>
          <w:lang w:val="es-ES_tradnl"/>
        </w:rPr>
      </w:pPr>
    </w:p>
    <w:p w14:paraId="1C5206B2" w14:textId="77777777" w:rsidR="00A37F66" w:rsidRPr="00DD5F33" w:rsidRDefault="00A37F66" w:rsidP="00A37F66">
      <w:pPr>
        <w:spacing w:after="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w:t>
      </w:r>
    </w:p>
    <w:p w14:paraId="4B468D29" w14:textId="4CDD0FD4" w:rsidR="00120BEF" w:rsidRPr="00DD5F33" w:rsidRDefault="00120BEF" w:rsidP="00120BEF">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57B52077" w14:textId="18749894" w:rsidR="00120BEF" w:rsidRPr="00DD5F33" w:rsidRDefault="00120BEF" w:rsidP="00120BEF">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p>
    <w:p w14:paraId="262C75C1" w14:textId="77777777" w:rsidR="00A37F66" w:rsidRPr="00DD5F33" w:rsidRDefault="00A37F66" w:rsidP="00A37F66">
      <w:pPr>
        <w:spacing w:after="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5. Preferir la propuesta presentada por el oferente que acredite, en las condiciones establecidas en la ley, que por lo menos diez por ciento (10%) de su nómina pertenece a población indígena, negra, afrocolombiana, raizal, palanquera, Rrom o gitanas.</w:t>
      </w:r>
    </w:p>
    <w:p w14:paraId="12AE235D" w14:textId="77777777" w:rsidR="00A37F66" w:rsidRPr="00DD5F33" w:rsidRDefault="00A37F66" w:rsidP="00A37F66">
      <w:pPr>
        <w:spacing w:after="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05C1ACC9" w14:textId="48D56E9A" w:rsidR="00A37F66" w:rsidRPr="00DD5F33" w:rsidRDefault="00A37F66" w:rsidP="00A40310">
      <w:pPr>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w:t>
      </w:r>
    </w:p>
    <w:p w14:paraId="314DC347" w14:textId="2A6EEA8B" w:rsidR="0065791C" w:rsidRPr="00DD5F33" w:rsidRDefault="0065791C" w:rsidP="0065791C">
      <w:pPr>
        <w:spacing w:line="276" w:lineRule="auto"/>
        <w:ind w:firstLine="709"/>
        <w:jc w:val="both"/>
        <w:rPr>
          <w:rFonts w:ascii="Arial" w:eastAsia="Calibri" w:hAnsi="Arial" w:cs="Arial"/>
          <w:color w:val="000000" w:themeColor="text1"/>
          <w:sz w:val="22"/>
          <w:lang w:val="es-ES_tradnl"/>
        </w:rPr>
      </w:pPr>
    </w:p>
    <w:p w14:paraId="4021437E" w14:textId="1BF7DB73" w:rsidR="003B6721" w:rsidRPr="00DD5F33" w:rsidRDefault="003B6721" w:rsidP="003B6721">
      <w:pPr>
        <w:spacing w:before="120" w:line="276" w:lineRule="auto"/>
        <w:ind w:firstLine="709"/>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Como se observa, el carácter «sucesivo» y «excluyente» que debe regir la aplicación de los factores de desempate también se encuentra previsto en el primer inciso del artículo 2.2.1.2.4.2.17. del Decreto 1082 de 2015, adicionado por el artículo 3 del Decreto 1860 de 2021. Por tanto, para resolver qué sucede si en dos proponentes concurre el mismo factor de desempate, debe aclararse el alcance de la expresión «de forma sucesiva y excluyente». El Consejo de Estado se pronunció sobre este tema en la Sentencia del 23 de mayo de 2012, que, si bien se expidió en vigencia de otra normativa, puede considerarse como precedente judicial, porque el supuesto jurídico es similar. En efecto, según el alto tribunal:</w:t>
      </w:r>
    </w:p>
    <w:p w14:paraId="57270B45" w14:textId="77777777" w:rsidR="003B6721" w:rsidRPr="00DD5F33" w:rsidRDefault="003B6721" w:rsidP="003B6721">
      <w:pPr>
        <w:spacing w:line="276" w:lineRule="auto"/>
        <w:jc w:val="both"/>
        <w:rPr>
          <w:rFonts w:ascii="Arial" w:eastAsia="Calibri" w:hAnsi="Arial" w:cs="Arial"/>
          <w:bCs/>
          <w:color w:val="000000" w:themeColor="text1"/>
          <w:sz w:val="22"/>
          <w:szCs w:val="22"/>
          <w:lang w:val="es-ES_tradnl" w:eastAsia="en-US"/>
        </w:rPr>
      </w:pPr>
    </w:p>
    <w:p w14:paraId="0FE82F62"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r w:rsidRPr="00DD5F33">
        <w:rPr>
          <w:rFonts w:ascii="Arial" w:hAnsi="Arial" w:cs="Arial"/>
          <w:color w:val="000000" w:themeColor="text1"/>
          <w:sz w:val="21"/>
          <w:szCs w:val="21"/>
          <w:shd w:val="clear" w:color="auto" w:fill="FFFFFF"/>
        </w:rPr>
        <w:t xml:space="preserve">[…], a diferencia de lo sugerido por el actor, para determinar si la disposición contenida en el numeral 3º del artículo 2 del Decreto 2473 de 2010 es contraria al derecho a la igualdad es necesario entrar en el estudio de toda la disposición, </w:t>
      </w:r>
      <w:r w:rsidRPr="00DD5F33">
        <w:rPr>
          <w:rFonts w:ascii="Arial" w:hAnsi="Arial" w:cs="Arial"/>
          <w:color w:val="000000" w:themeColor="text1"/>
          <w:sz w:val="21"/>
          <w:szCs w:val="21"/>
          <w:shd w:val="clear" w:color="auto" w:fill="FFFFFF"/>
        </w:rPr>
        <w:lastRenderedPageBreak/>
        <w:t>pues detenerse sólo en el aparte demandado conduciría a una lectura descontextualizada de la norma reglamentaria, máxime cuando de lo que se ocupa es de delimitar factores o criterios de desempate. El precepto en cuestión señala:</w:t>
      </w:r>
    </w:p>
    <w:p w14:paraId="596E89DB"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00AB8CCD"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color w:val="000000" w:themeColor="text1"/>
          <w:sz w:val="21"/>
          <w:szCs w:val="21"/>
          <w:shd w:val="clear" w:color="auto" w:fill="FFFFFF"/>
        </w:rPr>
        <w:t>"</w:t>
      </w:r>
      <w:r w:rsidRPr="00DD5F33">
        <w:rPr>
          <w:rFonts w:ascii="Arial" w:hAnsi="Arial" w:cs="Arial"/>
          <w:i/>
          <w:iCs/>
          <w:color w:val="000000" w:themeColor="text1"/>
          <w:sz w:val="21"/>
          <w:szCs w:val="21"/>
          <w:shd w:val="clear" w:color="auto" w:fill="FFFFFF"/>
        </w:rPr>
        <w:t>FACTORES DE DESEMPATE. Salvo lo previsto para la adquisición de bienes y servicios de características técnicas uniformes y de común utilización en el Decreto 2474 de 2008, o de las normas que lo modifiquen, subroguen o deroguen, y de conformidad con el artículo 21 de la Ley 80 de 1993, el artículo 12 de la Ley 590 de 2000 modificado por el artículo 9 de la Ley 905 de 2004, los artículos 1 y 2 de la Ley 816 de 2003 y el artículo 5 de la Ley 1150 de 2007, en los pliegos de condiciones las Entidades Estatales sometidas al Estatuto General de Contratación de la Administración Pública determinarán los criterios de desempate de conformidad con las siguientes reglas sucesivas y excluyentes:</w:t>
      </w:r>
    </w:p>
    <w:p w14:paraId="504539B6"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0AC3DF87" w14:textId="77777777" w:rsidR="003B6721" w:rsidRPr="00DD5F33" w:rsidRDefault="003B6721" w:rsidP="003B672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w:t>
      </w:r>
      <w:r w:rsidRPr="00DD5F33">
        <w:rPr>
          <w:rFonts w:ascii="Arial" w:hAnsi="Arial" w:cs="Arial"/>
          <w:i/>
          <w:iCs/>
          <w:color w:val="000000" w:themeColor="text1"/>
          <w:sz w:val="21"/>
          <w:szCs w:val="21"/>
        </w:rPr>
        <w:t>1. En caso de que se presente igualdad en el puntaje total de las ofertas evaluadas, se aplicarán los criterios de desempate previstos en los pliegos de condiciones, mediante la priorización de los factores de escogencia y calificación que hayan sido utilizados en el proceso de selección, de conformidad con el artículo 5 de la Ley 1150 de 2007. Si después de aplicar esta regla persiste el empate, se entenderá que las ofertas se encuentran en igualdad de condiciones.</w:t>
      </w:r>
    </w:p>
    <w:p w14:paraId="1762E5E8"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"2. En caso de igualdad de condiciones, se preferirá la oferta de bienes o servicios nacionales frente a la oferta de bienes o servicios extranjeros.</w:t>
      </w:r>
    </w:p>
    <w:p w14:paraId="481AC109"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456C423F"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"3. Si se presenta empate o éste persiste y entre los empatados se encuentren Mipymes, se preferirá a la Mipyme nacional, sea proponente singular, o consorcio, unión temporal o promesa de sociedad futura, conformada únicamente por Mipymes nacionales.</w:t>
      </w:r>
    </w:p>
    <w:p w14:paraId="65364BC4"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6F059915"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"4. Si no hay lugar a la hipótesis prevista en el numeral anterior y entre los empatados se encuentran consorcios, uniones temporales o promesas de sociedad futura en los que tenga participación al menos una Mipyme, éste se preferirá.</w:t>
      </w:r>
    </w:p>
    <w:p w14:paraId="44CEB6A3"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4941565E"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"5. Si el empate se mantiene, se procederá como dispongan los pliegos, pudiendo utilizar métodos aleatorios"</w:t>
      </w:r>
    </w:p>
    <w:p w14:paraId="6A9B351A" w14:textId="77777777" w:rsidR="003B6721" w:rsidRPr="00DD5F33" w:rsidRDefault="003B6721" w:rsidP="003B6721">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5F51284B" w14:textId="77777777" w:rsidR="003B6721" w:rsidRPr="00DD5F33" w:rsidRDefault="003B6721" w:rsidP="003B672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 xml:space="preserve">La disposición acusada contiene un criterio de desempate, lo cual conlleva indefectiblemente a que dos o más individuos se encuentran dentro del proceso selectivo exactamente en el mismo supuesto fáctico exigido por la ley; circunstancia que viabiliza la determinación de criterios para establecer a quién corresponde el derecho reconocido. Por tanto, la posibilidad de que sea el reglamento el que fije una solución, se encuentra supeditada a la necesidad de no cambiar lo dispuesto por el legislador; en el caso que nos ocupa, se puede generar duda respecto a quién corresponde la adjudicación de un contrato si dos o más propuestas obtienen el mismo puntaje. Por esta razón, el inciso primero del artículo transcrito difiere a las entidades públicas la determinación en los pliegos de condiciones de los aspectos que se tendrán en cuenta para </w:t>
      </w:r>
      <w:r w:rsidRPr="00DD5F33">
        <w:rPr>
          <w:rFonts w:ascii="Arial" w:hAnsi="Arial" w:cs="Arial"/>
          <w:color w:val="000000" w:themeColor="text1"/>
          <w:sz w:val="21"/>
          <w:szCs w:val="21"/>
        </w:rPr>
        <w:lastRenderedPageBreak/>
        <w:t>desigualar, para lo cual deben atender las reglas que el reglamento establece de manera sucesiva y excluyente.</w:t>
      </w:r>
    </w:p>
    <w:p w14:paraId="4783BD22" w14:textId="77777777" w:rsidR="003B6721" w:rsidRPr="00DD5F33" w:rsidRDefault="003B6721" w:rsidP="003B672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23FB8CCE" w14:textId="77777777" w:rsidR="003B6721" w:rsidRPr="00DD5F33" w:rsidRDefault="003B6721" w:rsidP="003B672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El diccionario de la real academia de la lengua señala que debe entenderse por sucesivo "</w:t>
      </w:r>
      <w:r w:rsidRPr="00DD5F33">
        <w:rPr>
          <w:rFonts w:ascii="Arial" w:hAnsi="Arial" w:cs="Arial"/>
          <w:i/>
          <w:iCs/>
          <w:color w:val="000000" w:themeColor="text1"/>
          <w:sz w:val="21"/>
          <w:szCs w:val="21"/>
        </w:rPr>
        <w:t>una cosa que sucede o se sigue a otra"</w:t>
      </w:r>
      <w:r w:rsidRPr="00DD5F33">
        <w:rPr>
          <w:rFonts w:ascii="Arial" w:hAnsi="Arial" w:cs="Arial"/>
          <w:color w:val="000000" w:themeColor="text1"/>
          <w:sz w:val="21"/>
          <w:szCs w:val="21"/>
        </w:rPr>
        <w:t> o aquello que se dice del "</w:t>
      </w:r>
      <w:r w:rsidRPr="00DD5F33">
        <w:rPr>
          <w:rFonts w:ascii="Arial" w:hAnsi="Arial" w:cs="Arial"/>
          <w:i/>
          <w:iCs/>
          <w:color w:val="000000" w:themeColor="text1"/>
          <w:sz w:val="21"/>
          <w:szCs w:val="21"/>
        </w:rPr>
        <w:t>tiempo que ha de seguir al momento en que se está". </w:t>
      </w:r>
      <w:r w:rsidRPr="00DD5F33">
        <w:rPr>
          <w:rFonts w:ascii="Arial" w:hAnsi="Arial" w:cs="Arial"/>
          <w:color w:val="000000" w:themeColor="text1"/>
          <w:sz w:val="21"/>
          <w:szCs w:val="21"/>
        </w:rPr>
        <w:t>A su vez, define excluyente como el </w:t>
      </w:r>
      <w:r w:rsidRPr="00DD5F33">
        <w:rPr>
          <w:rFonts w:ascii="Arial" w:hAnsi="Arial" w:cs="Arial"/>
          <w:i/>
          <w:iCs/>
          <w:color w:val="000000" w:themeColor="text1"/>
          <w:sz w:val="21"/>
          <w:szCs w:val="21"/>
        </w:rPr>
        <w:t>"dejar por fuera o rechazar algo." </w:t>
      </w:r>
      <w:r w:rsidRPr="00DD5F33">
        <w:rPr>
          <w:rFonts w:ascii="Arial" w:hAnsi="Arial" w:cs="Arial"/>
          <w:color w:val="000000" w:themeColor="text1"/>
          <w:sz w:val="21"/>
          <w:szCs w:val="21"/>
        </w:rPr>
        <w:t>Por consiguiente, los criterios delimitados en el artículo 2º del decreto 2473 de 2010 no pueden aplicarse por parte de las Entidades Estatales de manera discrecional, aleatoria o caprichosa, ya que sólo pueden hacer uso de los mismos en el estricto orden en que fueron establecidos, de forma tal que la preferencia por la Mipymes es procedente cuando luego de analizados otros supuestos no se ha podido generar el desempate entre las propuestas presentadas.</w:t>
      </w:r>
    </w:p>
    <w:p w14:paraId="0455914F" w14:textId="77777777" w:rsidR="003B6721" w:rsidRPr="00DD5F33" w:rsidRDefault="003B6721" w:rsidP="003B672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1B42856"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r w:rsidRPr="00DD5F33">
        <w:rPr>
          <w:rFonts w:ascii="Arial" w:hAnsi="Arial" w:cs="Arial"/>
          <w:color w:val="000000" w:themeColor="text1"/>
          <w:sz w:val="21"/>
          <w:szCs w:val="21"/>
          <w:shd w:val="clear" w:color="auto" w:fill="FFFFFF"/>
        </w:rPr>
        <w:t>En efecto, en caso de igualdad en el puntaje total de las ofertas evaluadas se debe acudir en primer lugar a los criterios de desempate fijados en los pliegos de condiciones, a través de la priorización de los factores de escogencia y calificación que se hayan utilizado en el proceso de selección. Si luego de aplicar esta regla aún los proponentes ocupan la misma posición se debe escoger a la oferta de bienes y servicios nacionales sobre la oferta de bienes y servicios extranjeros. Sin embargo, si aún persiste el empate, y entre los empatados se encuentra una Mipyme nacional, la entidad debe preferirla con independencia de que sea proponente singular, consorcio o unión temporal conformada únicamente por Mipymes nacionales.</w:t>
      </w:r>
    </w:p>
    <w:p w14:paraId="577C64A0"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5A2D31DA" w14:textId="77777777" w:rsidR="003B6721" w:rsidRPr="00DD5F33" w:rsidRDefault="003B6721" w:rsidP="003B6721">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r w:rsidRPr="00DD5F33">
        <w:rPr>
          <w:rFonts w:ascii="Arial" w:hAnsi="Arial" w:cs="Arial"/>
          <w:color w:val="000000" w:themeColor="text1"/>
          <w:sz w:val="21"/>
          <w:szCs w:val="21"/>
          <w:shd w:val="clear" w:color="auto" w:fill="FFFFFF"/>
        </w:rPr>
        <w:t>No es difícil entonces que la Sala concluya, que no existe una contradicción entre la norma demandada y el artículo 13 de la Constitución, toda vez que es diáfano que el reglamento no se aparta del supuesto traído por la ley para determinar cuál es la primera propuesta y por ende quien tiene el derecho a ser el adjudicatario del contrato; el legislador es claro al disponer que las entidades deben determinar en los pliegos de condiciones las reglas para que en caso de empate determinar con quien se debe celebrar el contrato, sin desconocer dos criterios de prelación: la preferencia por las ofertas nacionales y la necesidad de viabilizar el desarrollo de las Mipymes. El dispensar un trato no discriminatorio a todas aquellas personas que participen en un procedimiento de carácter selectivo es otra manifestación más del principio de igualdad, porque éste no sólo se materializa en la toma de decisiones sustentadas en exclusivos criterios de objetividad sino también de fijar </w:t>
      </w:r>
      <w:r w:rsidRPr="00DD5F33">
        <w:rPr>
          <w:rFonts w:ascii="Arial" w:hAnsi="Arial" w:cs="Arial"/>
          <w:i/>
          <w:iCs/>
          <w:color w:val="000000" w:themeColor="text1"/>
          <w:sz w:val="21"/>
          <w:szCs w:val="21"/>
          <w:shd w:val="clear" w:color="auto" w:fill="FFFFFF"/>
        </w:rPr>
        <w:t>ab initio </w:t>
      </w:r>
      <w:r w:rsidRPr="00DD5F33">
        <w:rPr>
          <w:rFonts w:ascii="Arial" w:hAnsi="Arial" w:cs="Arial"/>
          <w:color w:val="000000" w:themeColor="text1"/>
          <w:sz w:val="21"/>
          <w:szCs w:val="21"/>
          <w:shd w:val="clear" w:color="auto" w:fill="FFFFFF"/>
        </w:rPr>
        <w:t>requisitos y condiciones nítidas e inescrutables que permitan, en caso de que varias ofertas obtengan la misma calificación, decidir a cual de ellas se debe escoger</w:t>
      </w:r>
      <w:r w:rsidRPr="00DD5F33">
        <w:rPr>
          <w:rStyle w:val="Refdenotaalpie"/>
          <w:rFonts w:ascii="Arial" w:hAnsi="Arial" w:cs="Arial"/>
          <w:color w:val="000000" w:themeColor="text1"/>
          <w:sz w:val="21"/>
          <w:szCs w:val="21"/>
          <w:shd w:val="clear" w:color="auto" w:fill="FFFFFF"/>
        </w:rPr>
        <w:footnoteReference w:id="41"/>
      </w:r>
      <w:r w:rsidRPr="00DD5F33">
        <w:rPr>
          <w:rFonts w:ascii="Arial" w:hAnsi="Arial" w:cs="Arial"/>
          <w:color w:val="000000" w:themeColor="text1"/>
          <w:sz w:val="21"/>
          <w:szCs w:val="21"/>
          <w:shd w:val="clear" w:color="auto" w:fill="FFFFFF"/>
        </w:rPr>
        <w:t>.</w:t>
      </w:r>
    </w:p>
    <w:p w14:paraId="12DE6F56" w14:textId="77777777" w:rsidR="003B6721" w:rsidRPr="00DD5F33" w:rsidRDefault="003B6721" w:rsidP="003B6721">
      <w:pPr>
        <w:ind w:right="709"/>
        <w:jc w:val="both"/>
        <w:rPr>
          <w:rFonts w:ascii="Arial" w:hAnsi="Arial" w:cs="Arial"/>
          <w:color w:val="000000" w:themeColor="text1"/>
          <w:sz w:val="21"/>
          <w:szCs w:val="21"/>
          <w:lang w:val="es-ES_tradnl"/>
        </w:rPr>
      </w:pPr>
    </w:p>
    <w:p w14:paraId="7C28B128" w14:textId="7A61E25F" w:rsidR="003B6721" w:rsidRPr="00DD5F33" w:rsidRDefault="003B6721" w:rsidP="003B6721">
      <w:pPr>
        <w:spacing w:line="276" w:lineRule="auto"/>
        <w:ind w:firstLine="709"/>
        <w:jc w:val="both"/>
        <w:rPr>
          <w:rFonts w:ascii="Arial" w:eastAsia="Calibri" w:hAnsi="Arial" w:cs="Arial"/>
          <w:color w:val="000000" w:themeColor="text1"/>
          <w:sz w:val="22"/>
          <w:lang w:val="es-ES_tradnl"/>
        </w:rPr>
      </w:pPr>
      <w:r w:rsidRPr="00DD5F33">
        <w:rPr>
          <w:rFonts w:ascii="Arial" w:eastAsia="Calibri" w:hAnsi="Arial" w:cs="Arial"/>
          <w:bCs/>
          <w:color w:val="000000"/>
          <w:sz w:val="22"/>
          <w:szCs w:val="22"/>
          <w:lang w:val="es-ES_tradnl" w:eastAsia="en-US"/>
        </w:rPr>
        <w:t xml:space="preserve">Esta Agencia acoge la interpretación del Consejo de Estado de la expresión «de forma sucesiva y excluyente», como «"una cosa que sucede o se sigue a otra" o aquello </w:t>
      </w:r>
      <w:r w:rsidRPr="00DD5F33">
        <w:rPr>
          <w:rFonts w:ascii="Arial" w:eastAsia="Calibri" w:hAnsi="Arial" w:cs="Arial"/>
          <w:bCs/>
          <w:color w:val="000000"/>
          <w:sz w:val="22"/>
          <w:szCs w:val="22"/>
          <w:lang w:val="es-ES_tradnl" w:eastAsia="en-US"/>
        </w:rPr>
        <w:lastRenderedPageBreak/>
        <w:t>que se dice del "tiempo que ha de seguir al momento en que se está"»</w:t>
      </w:r>
      <w:r w:rsidRPr="00DD5F33">
        <w:rPr>
          <w:rStyle w:val="Refdenotaalpie"/>
          <w:rFonts w:ascii="Arial" w:eastAsia="Calibri" w:hAnsi="Arial" w:cs="Arial"/>
          <w:bCs/>
          <w:color w:val="000000"/>
          <w:sz w:val="22"/>
          <w:szCs w:val="22"/>
          <w:lang w:val="es-ES_tradnl" w:eastAsia="en-US"/>
        </w:rPr>
        <w:footnoteReference w:id="42"/>
      </w:r>
      <w:r w:rsidRPr="00DD5F33">
        <w:rPr>
          <w:rFonts w:ascii="Arial" w:eastAsia="Calibri" w:hAnsi="Arial" w:cs="Arial"/>
          <w:bCs/>
          <w:color w:val="000000"/>
          <w:sz w:val="22"/>
          <w:szCs w:val="22"/>
          <w:lang w:val="es-ES_tradnl" w:eastAsia="en-US"/>
        </w:rPr>
        <w:t>. En consecuencia, si dos proponentes se encuentran en el mismo supuesto fáctico de un factor de desempate, la entidad estatal debe continuar con el siguiente factor – de los consagrados en el artículo 35 de la Ley 2069 de 2020 y reglamentados por el artículo 2.2.1.2.4.2.17. del Decreto 1082 de 2015, adicionado por el artículo 3 del Decreto 1860 de 2021– y así sucesivamente, en caso de mantenerse el empate.</w:t>
      </w:r>
    </w:p>
    <w:p w14:paraId="58265269" w14:textId="1DD329E8" w:rsidR="006F7924" w:rsidRPr="00DD5F33" w:rsidRDefault="003B6721" w:rsidP="003B6721">
      <w:pPr>
        <w:spacing w:before="120" w:line="276" w:lineRule="auto"/>
        <w:ind w:firstLine="709"/>
        <w:jc w:val="both"/>
        <w:rPr>
          <w:rFonts w:ascii="Arial" w:hAnsi="Arial" w:cs="Arial"/>
          <w:color w:val="000000" w:themeColor="text1"/>
          <w:sz w:val="22"/>
          <w:lang w:val="es-ES_tradnl"/>
        </w:rPr>
      </w:pPr>
      <w:r w:rsidRPr="00DD5F33">
        <w:rPr>
          <w:rFonts w:ascii="Arial" w:eastAsia="Calibri" w:hAnsi="Arial" w:cs="Arial"/>
          <w:color w:val="000000" w:themeColor="text1"/>
          <w:sz w:val="22"/>
          <w:lang w:val="es-ES_tradnl"/>
        </w:rPr>
        <w:t>Por otra parte, e</w:t>
      </w:r>
      <w:r w:rsidR="006F7924" w:rsidRPr="00DD5F33">
        <w:rPr>
          <w:rFonts w:ascii="Arial" w:hAnsi="Arial" w:cs="Arial"/>
          <w:color w:val="000000" w:themeColor="text1"/>
          <w:sz w:val="22"/>
          <w:lang w:val="es-ES_tradnl"/>
        </w:rPr>
        <w:t>l artículo 35, numeral 2, de la Ley 2069 de 2020</w:t>
      </w:r>
      <w:r w:rsidR="003257E1" w:rsidRPr="00DD5F33">
        <w:rPr>
          <w:rFonts w:ascii="Arial" w:hAnsi="Arial" w:cs="Arial"/>
          <w:color w:val="000000" w:themeColor="text1"/>
          <w:sz w:val="22"/>
          <w:lang w:val="es-ES_tradnl"/>
        </w:rPr>
        <w:t>,</w:t>
      </w:r>
      <w:r w:rsidR="006F7924" w:rsidRPr="00DD5F33">
        <w:rPr>
          <w:rFonts w:ascii="Arial" w:hAnsi="Arial" w:cs="Arial"/>
          <w:color w:val="000000" w:themeColor="text1"/>
          <w:sz w:val="22"/>
          <w:lang w:val="es-ES_tradnl"/>
        </w:rPr>
        <w:t xml:space="preserve"> utiliza un concepto jurídico indeterminado, cuando se refiere a la participación </w:t>
      </w:r>
      <w:r w:rsidR="006F7924" w:rsidRPr="00DD5F33">
        <w:rPr>
          <w:rFonts w:ascii="Arial" w:hAnsi="Arial" w:cs="Arial"/>
          <w:i/>
          <w:iCs/>
          <w:color w:val="000000" w:themeColor="text1"/>
          <w:sz w:val="22"/>
          <w:lang w:val="es-ES_tradnl"/>
        </w:rPr>
        <w:t>mayoritaria</w:t>
      </w:r>
      <w:r w:rsidR="006F7924" w:rsidRPr="00DD5F33">
        <w:rPr>
          <w:rFonts w:ascii="Arial" w:hAnsi="Arial" w:cs="Arial"/>
          <w:color w:val="000000" w:themeColor="text1"/>
          <w:sz w:val="22"/>
          <w:lang w:val="es-ES_tradnl"/>
        </w:rPr>
        <w:t xml:space="preserve"> de las mujeres cabeza de familia o mujeres víctimas de la violencia intrafamiliar en la persona jurídica o en el proponente plural. Sin embargo, esto lo aclaró el artículo 3 del Decreto 1860 de 2021, que adicionó el artículo 2.2.1.2.4.2.17. al Decreto 1082 de 2015, reglamentando así el artículo 35 de la Ley 2069 de 2020, frente al alcance de los factores de desempate. En lo pertinente –es decir, en relación con el factor de desempate consagrado en el artículo 35, numeral 2, de la Ley 2069 de 2020, que es sobre el cual versa la presente consulta–, el referido artículo 2.2.1.2.4.2.17. dispone:</w:t>
      </w:r>
    </w:p>
    <w:p w14:paraId="5134629B"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61B7B3B1"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p>
    <w:p w14:paraId="5F756FE8"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3752F29F"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p>
    <w:p w14:paraId="0432815A"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20990707" w14:textId="692ABE68"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27D78189" w14:textId="77777777" w:rsidR="00514745" w:rsidRPr="00DD5F33" w:rsidRDefault="00514745" w:rsidP="006F7924">
      <w:pPr>
        <w:ind w:left="709" w:right="709"/>
        <w:jc w:val="both"/>
        <w:rPr>
          <w:rFonts w:ascii="Arial" w:hAnsi="Arial" w:cs="Arial"/>
          <w:color w:val="000000" w:themeColor="text1"/>
          <w:sz w:val="21"/>
          <w:szCs w:val="21"/>
          <w:lang w:val="es-ES_tradnl"/>
        </w:rPr>
      </w:pPr>
    </w:p>
    <w:p w14:paraId="29AF6D43"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w:t>
      </w:r>
      <w:r w:rsidRPr="00DD5F33">
        <w:rPr>
          <w:rFonts w:ascii="Arial" w:hAnsi="Arial" w:cs="Arial"/>
          <w:color w:val="000000" w:themeColor="text1"/>
          <w:sz w:val="21"/>
          <w:szCs w:val="21"/>
          <w:lang w:val="es-ES_tradnl"/>
        </w:rPr>
        <w:lastRenderedPageBreak/>
        <w:t>lugar donde ocurrieron los hechos y, a falta de este, del juez civil municipal o promiscuo municipal, o la autoridad indígena en los casos de violencia intrafamiliar en las comunidades de esta naturaleza.</w:t>
      </w:r>
    </w:p>
    <w:p w14:paraId="49FF7563"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68472CD5"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0D8FC75E"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5FE00869"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Finalmente, en el caso de los proponentes plurales, se preferirá la oferta cuando cada uno de los integrantes acredite alguna de las condiciones señaladas en los incisos anteriores de este numeral.</w:t>
      </w:r>
    </w:p>
    <w:p w14:paraId="30AF84E1" w14:textId="77777777" w:rsidR="006F7924" w:rsidRPr="00DD5F33" w:rsidRDefault="006F7924" w:rsidP="006F7924">
      <w:pPr>
        <w:ind w:left="709" w:right="709"/>
        <w:jc w:val="both"/>
        <w:rPr>
          <w:rFonts w:ascii="Arial" w:hAnsi="Arial" w:cs="Arial"/>
          <w:color w:val="000000" w:themeColor="text1"/>
          <w:sz w:val="21"/>
          <w:szCs w:val="21"/>
          <w:lang w:val="es-ES_tradnl"/>
        </w:rPr>
      </w:pPr>
    </w:p>
    <w:p w14:paraId="58897252"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p w14:paraId="2BF391AD" w14:textId="77777777" w:rsidR="006F7924" w:rsidRPr="00DD5F33" w:rsidRDefault="006F7924" w:rsidP="006F7924">
      <w:pPr>
        <w:spacing w:line="276" w:lineRule="auto"/>
        <w:ind w:firstLine="709"/>
        <w:jc w:val="both"/>
        <w:rPr>
          <w:rFonts w:ascii="Arial" w:hAnsi="Arial" w:cs="Arial"/>
          <w:sz w:val="22"/>
          <w:lang w:val="es-ES_tradnl"/>
        </w:rPr>
      </w:pPr>
    </w:p>
    <w:p w14:paraId="3A28642D" w14:textId="77777777" w:rsidR="006F7924" w:rsidRPr="00DD5F33" w:rsidRDefault="006F7924" w:rsidP="006F7924">
      <w:pPr>
        <w:spacing w:line="276" w:lineRule="auto"/>
        <w:ind w:firstLine="709"/>
        <w:jc w:val="both"/>
        <w:rPr>
          <w:rFonts w:ascii="Arial" w:hAnsi="Arial" w:cs="Arial"/>
          <w:sz w:val="22"/>
          <w:lang w:val="es-ES_tradnl"/>
        </w:rPr>
      </w:pPr>
      <w:r w:rsidRPr="00DD5F33">
        <w:rPr>
          <w:rFonts w:ascii="Arial" w:hAnsi="Arial" w:cs="Arial"/>
          <w:sz w:val="22"/>
          <w:lang w:val="es-ES_tradnl"/>
        </w:rPr>
        <w:t>Por tanto, frente a la expresión «mayoritariamente», en concordancia con lo que ya había manifestado esta Subdirección, entre otros pronunciamientos, en los conceptos C-272 y C-302 del 9 y el 24 de junio de 2021, respectivamente, debe decirse que, si bien el artículo 35 de la Ley 2069 de 2020 no definió lo que debe interpretarse por «participación mayoritaria», se puede afirmar –acorde con el derecho societario– que por esta se entiende, verbigracia –pero no exclusivamente–, en las sociedades por acciones, la posición de un socio cuando tiene más del cincuenta por ciento (50%) de participación en la sociedad. Esto es lo que dice el tercer inciso del artículo citado con anterioridad, cuando dispone:</w:t>
      </w:r>
    </w:p>
    <w:p w14:paraId="3A97F361" w14:textId="77777777" w:rsidR="006F7924" w:rsidRPr="00DD5F33" w:rsidRDefault="006F7924" w:rsidP="006F7924">
      <w:pPr>
        <w:spacing w:line="276" w:lineRule="auto"/>
        <w:ind w:firstLine="709"/>
        <w:jc w:val="both"/>
        <w:rPr>
          <w:rFonts w:ascii="Arial" w:hAnsi="Arial" w:cs="Arial"/>
          <w:sz w:val="22"/>
          <w:lang w:val="es-ES_tradnl"/>
        </w:rPr>
      </w:pPr>
    </w:p>
    <w:p w14:paraId="7260B2B1" w14:textId="77777777" w:rsidR="006F7924" w:rsidRPr="00DD5F33" w:rsidRDefault="006F7924" w:rsidP="006F7924">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w:t>
      </w:r>
      <w:r w:rsidRPr="00DD5F33">
        <w:rPr>
          <w:rFonts w:ascii="Arial" w:hAnsi="Arial" w:cs="Arial"/>
          <w:i/>
          <w:iCs/>
          <w:color w:val="000000" w:themeColor="text1"/>
          <w:sz w:val="21"/>
          <w:szCs w:val="21"/>
          <w:lang w:val="es-ES_tradnl"/>
        </w:rPr>
        <w:t>que más del cincuenta por ciento (50 %) de la composición accionaria o cuota parte</w:t>
      </w:r>
      <w:r w:rsidRPr="00DD5F33">
        <w:rPr>
          <w:rFonts w:ascii="Arial" w:hAnsi="Arial" w:cs="Arial"/>
          <w:color w:val="000000" w:themeColor="text1"/>
          <w:sz w:val="21"/>
          <w:szCs w:val="21"/>
          <w:lang w:val="es-ES_tradnl"/>
        </w:rPr>
        <w:t xml:space="preserv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(Énfasis fuera de texto).</w:t>
      </w:r>
    </w:p>
    <w:p w14:paraId="02B42412" w14:textId="77777777" w:rsidR="006F7924" w:rsidRPr="00DD5F33" w:rsidRDefault="006F7924" w:rsidP="006F7924">
      <w:pPr>
        <w:spacing w:line="276" w:lineRule="auto"/>
        <w:ind w:firstLine="709"/>
        <w:jc w:val="both"/>
        <w:rPr>
          <w:rFonts w:ascii="Arial" w:hAnsi="Arial" w:cs="Arial"/>
          <w:sz w:val="22"/>
          <w:lang w:val="es-ES_tradnl"/>
        </w:rPr>
      </w:pPr>
    </w:p>
    <w:p w14:paraId="53D86C14" w14:textId="77777777" w:rsidR="006F7924" w:rsidRPr="00DD5F33" w:rsidRDefault="006F7924" w:rsidP="006F7924">
      <w:pPr>
        <w:spacing w:line="276" w:lineRule="auto"/>
        <w:ind w:firstLine="709"/>
        <w:jc w:val="both"/>
        <w:rPr>
          <w:rFonts w:ascii="Arial" w:hAnsi="Arial" w:cs="Arial"/>
          <w:sz w:val="22"/>
          <w:lang w:val="es-ES_tradnl"/>
        </w:rPr>
      </w:pPr>
      <w:r w:rsidRPr="00DD5F33">
        <w:rPr>
          <w:rFonts w:ascii="Arial" w:hAnsi="Arial" w:cs="Arial"/>
          <w:sz w:val="22"/>
          <w:lang w:val="es-ES_tradnl"/>
        </w:rPr>
        <w:lastRenderedPageBreak/>
        <w:t xml:space="preserve">Conforme a lo anterior, la expresión «mayoritariamente», contenida en el numeral 2 del artículo 35 de la Ley 2069 de 2020 exige que las mujeres cabeza de familia o mujeres víctimas de la violencia intrafamiliar cuenten –singular o conjuntamente– con una participación superior al (50%) en la sociedad, para que esta pueda ser considerada como mayoritaria. Además, se precisa que el carácter </w:t>
      </w:r>
      <w:r w:rsidRPr="00DD5F33">
        <w:rPr>
          <w:rFonts w:ascii="Arial" w:hAnsi="Arial" w:cs="Arial"/>
          <w:i/>
          <w:iCs/>
          <w:sz w:val="22"/>
          <w:lang w:val="es-ES_tradnl"/>
        </w:rPr>
        <w:t>mayoritario</w:t>
      </w:r>
      <w:r w:rsidRPr="00DD5F33">
        <w:rPr>
          <w:rFonts w:ascii="Arial" w:hAnsi="Arial" w:cs="Arial"/>
          <w:sz w:val="22"/>
          <w:lang w:val="es-ES_tradnl"/>
        </w:rPr>
        <w:t xml:space="preserve"> de la </w:t>
      </w:r>
      <w:r w:rsidRPr="00DD5F33">
        <w:rPr>
          <w:rFonts w:ascii="Arial" w:hAnsi="Arial" w:cs="Arial"/>
          <w:i/>
          <w:iCs/>
          <w:sz w:val="22"/>
          <w:lang w:val="es-ES_tradnl"/>
        </w:rPr>
        <w:t>participación</w:t>
      </w:r>
      <w:r w:rsidRPr="00DD5F33">
        <w:rPr>
          <w:rFonts w:ascii="Arial" w:hAnsi="Arial" w:cs="Arial"/>
          <w:sz w:val="22"/>
          <w:lang w:val="es-ES_tradnl"/>
        </w:rPr>
        <w:t xml:space="preserve"> de las mujeres cabeza de familia y de las mujeres víctimas de la violencia intrafamiliar no se predica exclusivamente de las sociedades por acciones, pues el artículo 35, numeral 2, de la Ley 2069 de 2020, se refiere, de manera genérica, a la participación mayoritaria, en una </w:t>
      </w:r>
      <w:r w:rsidRPr="00DD5F33">
        <w:rPr>
          <w:rFonts w:ascii="Arial" w:hAnsi="Arial" w:cs="Arial"/>
          <w:i/>
          <w:iCs/>
          <w:sz w:val="22"/>
          <w:lang w:val="es-ES_tradnl"/>
        </w:rPr>
        <w:t>persona jurídica</w:t>
      </w:r>
      <w:r w:rsidRPr="00DD5F33">
        <w:rPr>
          <w:rFonts w:ascii="Arial" w:hAnsi="Arial" w:cs="Arial"/>
          <w:sz w:val="22"/>
          <w:lang w:val="es-ES_tradnl"/>
        </w:rPr>
        <w:t>, concepto que define el artículo 633 del Código Civil de la siguiente manera: «Se llama persona jurídica, una persona ficticia, capaz de ejercer derechos y contraer obligaciones civiles, y de ser representada judicial y extrajudicialmente». Esta norma señala, a su vez, que «Las personas jurídicas son de dos especies: corporaciones y fundaciones de beneficencia pública».</w:t>
      </w:r>
      <w:r w:rsidRPr="00DD5F33">
        <w:rPr>
          <w:rFonts w:ascii="Arial" w:hAnsi="Arial" w:cs="Arial"/>
          <w:color w:val="000000" w:themeColor="text1"/>
          <w:sz w:val="22"/>
          <w:lang w:val="es-ES_tradnl"/>
        </w:rPr>
        <w:t xml:space="preserve"> Por tanto, la participación mayoritaria puede ser medida en acciones o cuotas parte, según el tipo de sociedad.</w:t>
      </w:r>
    </w:p>
    <w:p w14:paraId="22F2E1FE" w14:textId="77777777" w:rsidR="00A37F66" w:rsidRPr="00DD5F33" w:rsidRDefault="00A37F66" w:rsidP="00A37F66">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t>En lo que respecta al numeral 5, es decir, a la pertenencia a la «</w:t>
      </w:r>
      <w:r w:rsidRPr="00DD5F33">
        <w:rPr>
          <w:rFonts w:ascii="Arial" w:hAnsi="Arial" w:cs="Arial"/>
          <w:lang w:val="es-ES_tradnl"/>
        </w:rPr>
        <w:t xml:space="preserve">[…] </w:t>
      </w:r>
      <w:r w:rsidRPr="00DD5F33">
        <w:rPr>
          <w:rFonts w:ascii="Arial" w:eastAsia="Calibri" w:hAnsi="Arial" w:cs="Arial"/>
          <w:color w:val="000000" w:themeColor="text1"/>
          <w:sz w:val="22"/>
          <w:szCs w:val="22"/>
          <w:lang w:val="es-ES_tradnl"/>
        </w:rPr>
        <w:t>población indígena, negra, afrocolombiana, raizal, palanquera, Rrom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DD5F33">
        <w:rPr>
          <w:rFonts w:ascii="Arial" w:eastAsia="Calibri" w:hAnsi="Arial" w:cs="Arial"/>
          <w:color w:val="000000" w:themeColor="text1"/>
          <w:sz w:val="22"/>
          <w:szCs w:val="22"/>
          <w:vertAlign w:val="superscript"/>
          <w:lang w:val="es-ES_tradnl"/>
        </w:rPr>
        <w:footnoteReference w:id="43"/>
      </w:r>
      <w:r w:rsidRPr="00DD5F33">
        <w:rPr>
          <w:rFonts w:ascii="Arial" w:eastAsia="Calibri" w:hAnsi="Arial" w:cs="Arial"/>
          <w:color w:val="000000" w:themeColor="text1"/>
          <w:sz w:val="22"/>
          <w:szCs w:val="22"/>
          <w:lang w:val="es-ES_tradnl"/>
        </w:rPr>
        <w:t xml:space="preserve">. </w:t>
      </w:r>
    </w:p>
    <w:p w14:paraId="5AD49654" w14:textId="77777777" w:rsidR="00A37F66" w:rsidRPr="00DD5F33" w:rsidRDefault="00A37F66" w:rsidP="00A37F66">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t>Por su parte, el artículo 2, numeral 5, de la Ley 70 de 1993 dispone que «comunidad negra» «Es el conjunto de familias de ascendencia afrocolombiana que poseen una cultura propia, comparten una historia y tienen sus propias tradiciones y costumbre dentro de la relación compo-poblado, que revelan y conservan conciencia de identidad que las distinguen de otros grupos étnicos». De otro lado, «La población afrocolombiana está compuesta por hombres y mujeres con una marcada ascendencia (lingüística, étnica y cultural) africana. Los y las afrocolombianos (as) son algunos de los descendientes de africanos y africanas –provenientes de diversas regiones y etnias de África– que llegaron al continente americano en calidad de esclavos»</w:t>
      </w:r>
      <w:r w:rsidRPr="00DD5F33">
        <w:rPr>
          <w:rFonts w:ascii="Arial" w:eastAsia="Calibri" w:hAnsi="Arial" w:cs="Arial"/>
          <w:color w:val="000000" w:themeColor="text1"/>
          <w:sz w:val="22"/>
          <w:szCs w:val="22"/>
          <w:vertAlign w:val="superscript"/>
          <w:lang w:val="es-ES_tradnl"/>
        </w:rPr>
        <w:footnoteReference w:id="44"/>
      </w:r>
      <w:r w:rsidRPr="00DD5F33">
        <w:rPr>
          <w:rFonts w:ascii="Arial" w:eastAsia="Calibri" w:hAnsi="Arial" w:cs="Arial"/>
          <w:color w:val="000000" w:themeColor="text1"/>
          <w:sz w:val="22"/>
          <w:szCs w:val="22"/>
          <w:lang w:val="es-ES_tradnl"/>
        </w:rPr>
        <w:t xml:space="preserve">. </w:t>
      </w:r>
    </w:p>
    <w:p w14:paraId="2897F22E" w14:textId="77777777" w:rsidR="00A37F66" w:rsidRPr="00DD5F33" w:rsidRDefault="00A37F66" w:rsidP="00A37F66">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lastRenderedPageBreak/>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DD5F33">
        <w:rPr>
          <w:rFonts w:ascii="Arial" w:eastAsia="Calibri" w:hAnsi="Arial" w:cs="Arial"/>
          <w:color w:val="000000" w:themeColor="text1"/>
          <w:sz w:val="22"/>
          <w:szCs w:val="22"/>
          <w:vertAlign w:val="superscript"/>
          <w:lang w:val="es-ES_tradnl"/>
        </w:rPr>
        <w:footnoteReference w:id="45"/>
      </w:r>
      <w:r w:rsidRPr="00DD5F33">
        <w:rPr>
          <w:rFonts w:ascii="Arial" w:eastAsia="Calibri" w:hAnsi="Arial" w:cs="Arial"/>
          <w:color w:val="000000" w:themeColor="text1"/>
          <w:sz w:val="22"/>
          <w:szCs w:val="22"/>
          <w:lang w:val="es-ES_tradnl"/>
        </w:rPr>
        <w:t>. La «población palenquera» «</w:t>
      </w:r>
      <w:r w:rsidRPr="00DD5F33">
        <w:rPr>
          <w:rFonts w:ascii="Arial" w:hAnsi="Arial" w:cs="Arial"/>
          <w:lang w:val="es-ES_tradnl"/>
        </w:rPr>
        <w:t xml:space="preserve">[…] </w:t>
      </w:r>
      <w:r w:rsidRPr="00DD5F33">
        <w:rPr>
          <w:rFonts w:ascii="Arial" w:eastAsia="Calibri" w:hAnsi="Arial" w:cs="Arial"/>
          <w:color w:val="000000" w:themeColor="text1"/>
          <w:sz w:val="22"/>
          <w:szCs w:val="22"/>
          <w:lang w:val="es-ES_tradnl"/>
        </w:rPr>
        <w:t>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Uré (Córdoba), Jacobo Pérez escobar (Magdalena) y La Libertad (Sucre)»</w:t>
      </w:r>
      <w:r w:rsidRPr="00DD5F33">
        <w:rPr>
          <w:rFonts w:ascii="Arial" w:eastAsia="Calibri" w:hAnsi="Arial" w:cs="Arial"/>
          <w:color w:val="000000" w:themeColor="text1"/>
          <w:sz w:val="22"/>
          <w:szCs w:val="22"/>
          <w:vertAlign w:val="superscript"/>
          <w:lang w:val="es-ES_tradnl"/>
        </w:rPr>
        <w:footnoteReference w:id="46"/>
      </w:r>
      <w:r w:rsidRPr="00DD5F33">
        <w:rPr>
          <w:rFonts w:ascii="Arial" w:eastAsia="Calibri" w:hAnsi="Arial" w:cs="Arial"/>
          <w:color w:val="000000" w:themeColor="text1"/>
          <w:sz w:val="22"/>
          <w:szCs w:val="22"/>
          <w:lang w:val="es-ES_tradnl"/>
        </w:rPr>
        <w:t xml:space="preserve">. </w:t>
      </w:r>
    </w:p>
    <w:p w14:paraId="68328422" w14:textId="77777777" w:rsidR="00A37F66" w:rsidRPr="00DD5F33" w:rsidRDefault="00A37F66" w:rsidP="00A37F66">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t>En cuanto al Pueblo «Rrom» o «gitano» conviene indicar que, de acuerdo con el artículo 6 del Decreto 2957 del 6 de agosto de 2010, «El Estado colombiano reconoce a los Rom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DD5F33">
        <w:rPr>
          <w:rFonts w:ascii="Arial" w:eastAsia="Calibri" w:hAnsi="Arial" w:cs="Arial"/>
          <w:color w:val="000000" w:themeColor="text1"/>
          <w:sz w:val="22"/>
          <w:szCs w:val="22"/>
          <w:vertAlign w:val="superscript"/>
          <w:lang w:val="es-ES_tradnl"/>
        </w:rPr>
        <w:footnoteReference w:id="47"/>
      </w:r>
      <w:r w:rsidRPr="00DD5F33">
        <w:rPr>
          <w:rFonts w:ascii="Arial" w:eastAsia="Calibri" w:hAnsi="Arial" w:cs="Arial"/>
          <w:color w:val="000000" w:themeColor="text1"/>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4ED75224" w14:textId="6221F564" w:rsidR="00C911A3" w:rsidRPr="00DD5F33" w:rsidRDefault="00A37F66" w:rsidP="00A37F66">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t>Frente al numeral 6 del artículo 35 de la Ley 2069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Reincorporación y la Normalización –ARN–, es la «</w:t>
      </w:r>
      <w:r w:rsidRPr="00DD5F33">
        <w:rPr>
          <w:rFonts w:ascii="Arial" w:hAnsi="Arial" w:cs="Arial"/>
          <w:sz w:val="22"/>
          <w:szCs w:val="22"/>
          <w:lang w:val="es-ES_tradnl"/>
        </w:rPr>
        <w:t xml:space="preserve">[…] </w:t>
      </w:r>
      <w:r w:rsidRPr="00DD5F33">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sidRPr="00DD5F33">
        <w:rPr>
          <w:rFonts w:ascii="Arial" w:eastAsia="Calibri" w:hAnsi="Arial" w:cs="Arial"/>
          <w:color w:val="000000" w:themeColor="text1"/>
          <w:sz w:val="22"/>
          <w:szCs w:val="22"/>
          <w:vertAlign w:val="superscript"/>
          <w:lang w:val="es-ES_tradnl"/>
        </w:rPr>
        <w:footnoteReference w:id="48"/>
      </w:r>
      <w:r w:rsidRPr="00DD5F33">
        <w:rPr>
          <w:rFonts w:ascii="Arial" w:eastAsia="Calibri" w:hAnsi="Arial" w:cs="Arial"/>
          <w:color w:val="000000" w:themeColor="text1"/>
          <w:sz w:val="22"/>
          <w:szCs w:val="22"/>
          <w:lang w:val="es-ES_tradnl"/>
        </w:rPr>
        <w:t xml:space="preserve">. </w:t>
      </w:r>
    </w:p>
    <w:p w14:paraId="5D05AB6E" w14:textId="77777777" w:rsidR="004476D6" w:rsidRPr="00DD5F33" w:rsidRDefault="004476D6" w:rsidP="004476D6">
      <w:pPr>
        <w:spacing w:before="120" w:after="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lastRenderedPageBreak/>
        <w:t xml:space="preserve">Como se advierte, el texto del artículo 35 de la Ley 2069 de 2020 no establece un medio específico para acreditar las circunstancias a las que se refiere este numeral. Por lo tanto, en principio, corresponde a la entidad contratante analizar si el ordenamiento jurídico, en otras disposiciones legales o reglamentarias, exige un documento especial o si, por el contrario, existe libertad probatoria.  Al respecto, esta Agencia ha sostenido que, dicho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w:t>
      </w:r>
    </w:p>
    <w:p w14:paraId="0F006880" w14:textId="0BCD500A" w:rsidR="00D61556" w:rsidRPr="00DD5F33" w:rsidRDefault="004476D6" w:rsidP="00D61556">
      <w:pPr>
        <w:spacing w:line="276" w:lineRule="auto"/>
        <w:ind w:firstLine="709"/>
        <w:jc w:val="both"/>
        <w:rPr>
          <w:rFonts w:ascii="Arial" w:hAnsi="Arial" w:cs="Arial"/>
          <w:sz w:val="22"/>
          <w:szCs w:val="22"/>
          <w:lang w:val="es-ES_tradnl" w:eastAsia="es-CO"/>
        </w:rPr>
      </w:pPr>
      <w:r w:rsidRPr="00DD5F33">
        <w:rPr>
          <w:rFonts w:ascii="Arial" w:eastAsia="Calibri" w:hAnsi="Arial" w:cs="Arial"/>
          <w:sz w:val="22"/>
          <w:szCs w:val="22"/>
          <w:lang w:val="es-ES_tradnl"/>
        </w:rPr>
        <w:t xml:space="preserve">Sin perjuicio de lo anterior, debe destacarse que el Decreto 1860 de 2021 adicionó el artículo </w:t>
      </w:r>
      <w:r w:rsidRPr="00DD5F33">
        <w:rPr>
          <w:rFonts w:ascii="Arial" w:hAnsi="Arial" w:cs="Arial"/>
          <w:sz w:val="22"/>
          <w:szCs w:val="22"/>
          <w:lang w:val="es-ES_tradnl" w:eastAsia="es-CO"/>
        </w:rPr>
        <w:t>2.2.1.2.4.2.17 al Decreto 1082 de 2015, precepto que reglamenta la aplicación del artículo 35 de la Ley 2069 de 2020, estableciendo unos medios de acreditación específicos para cada una de las diferentes circunstancias a las que se refieren los factores de desempate, los cuales deberán aplicarse en los procesos de selección en los que rija el artículo 35 de la Ley de Emprendimiento.</w:t>
      </w:r>
      <w:r w:rsidR="00D61556" w:rsidRPr="00DD5F33">
        <w:rPr>
          <w:rFonts w:ascii="Arial" w:hAnsi="Arial" w:cs="Arial"/>
          <w:sz w:val="22"/>
          <w:szCs w:val="22"/>
          <w:lang w:val="es-ES_tradnl" w:eastAsia="es-CO"/>
        </w:rPr>
        <w:t xml:space="preserve"> En lo referente al criterio de desempate </w:t>
      </w:r>
      <w:r w:rsidR="003B45AD" w:rsidRPr="00DD5F33">
        <w:rPr>
          <w:rFonts w:ascii="Arial" w:hAnsi="Arial" w:cs="Arial"/>
          <w:sz w:val="22"/>
          <w:szCs w:val="22"/>
          <w:lang w:val="es-ES_tradnl" w:eastAsia="es-CO"/>
        </w:rPr>
        <w:t xml:space="preserve">de los numerales </w:t>
      </w:r>
      <w:r w:rsidR="00D61556" w:rsidRPr="00DD5F33">
        <w:rPr>
          <w:rFonts w:ascii="Arial" w:hAnsi="Arial" w:cs="Arial"/>
          <w:sz w:val="22"/>
          <w:szCs w:val="22"/>
          <w:lang w:val="es-ES_tradnl" w:eastAsia="es-CO"/>
        </w:rPr>
        <w:t>5</w:t>
      </w:r>
      <w:r w:rsidR="003B45AD" w:rsidRPr="00DD5F33">
        <w:rPr>
          <w:rFonts w:ascii="Arial" w:hAnsi="Arial" w:cs="Arial"/>
          <w:sz w:val="22"/>
          <w:szCs w:val="22"/>
          <w:lang w:val="es-ES_tradnl" w:eastAsia="es-CO"/>
        </w:rPr>
        <w:t xml:space="preserve"> y 6</w:t>
      </w:r>
      <w:r w:rsidR="00D61556" w:rsidRPr="00DD5F33">
        <w:rPr>
          <w:rFonts w:ascii="Arial" w:hAnsi="Arial" w:cs="Arial"/>
          <w:sz w:val="22"/>
          <w:szCs w:val="22"/>
          <w:lang w:val="es-ES_tradnl" w:eastAsia="es-CO"/>
        </w:rPr>
        <w:t xml:space="preserve"> del artículo 35 </w:t>
      </w:r>
      <w:r w:rsidR="00D61556" w:rsidRPr="00DD5F33">
        <w:rPr>
          <w:rFonts w:ascii="Arial" w:hAnsi="Arial" w:cs="Arial"/>
          <w:i/>
          <w:iCs/>
          <w:sz w:val="22"/>
          <w:szCs w:val="22"/>
          <w:lang w:val="es-ES_tradnl" w:eastAsia="es-CO"/>
        </w:rPr>
        <w:t xml:space="preserve">ibídem, </w:t>
      </w:r>
      <w:r w:rsidR="00D61556" w:rsidRPr="00DD5F33">
        <w:rPr>
          <w:rFonts w:ascii="Arial" w:hAnsi="Arial" w:cs="Arial"/>
          <w:sz w:val="22"/>
          <w:szCs w:val="22"/>
          <w:lang w:val="es-ES_tradnl" w:eastAsia="es-CO"/>
        </w:rPr>
        <w:t>el artículo 2.2.1.2.4.2.17 establece:</w:t>
      </w:r>
    </w:p>
    <w:p w14:paraId="3A2A6B22" w14:textId="77777777"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w:t>
      </w:r>
    </w:p>
    <w:p w14:paraId="33A36EAD" w14:textId="6EA08376"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2. 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5D4B7C03" w14:textId="60F42B1A"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53A89E9C" w14:textId="3A8C0FEA"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w:t>
      </w:r>
      <w:r w:rsidRPr="00DD5F33">
        <w:rPr>
          <w:rFonts w:ascii="Arial" w:eastAsia="Calibri" w:hAnsi="Arial" w:cs="Arial"/>
          <w:color w:val="000000" w:themeColor="text1"/>
          <w:sz w:val="21"/>
          <w:szCs w:val="21"/>
        </w:rPr>
        <w:lastRenderedPageBreak/>
        <w:t>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791D4F3E" w14:textId="2BF8608B"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Finalmente, en el caso de los proponentes plurales, se preferirá la oferta cuando cada uno de los integrantes acredite alguna de las condiciones señaladas en los incisos anteriores de este numeral.</w:t>
      </w:r>
    </w:p>
    <w:p w14:paraId="3FA4FB8F" w14:textId="6D9C3A00" w:rsidR="00D17A6C"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p w14:paraId="1D6A1367" w14:textId="19542678" w:rsidR="00BE3090" w:rsidRPr="00DD5F33" w:rsidRDefault="00BE3090" w:rsidP="00BE3090">
      <w:pPr>
        <w:spacing w:before="120" w:after="120"/>
        <w:ind w:left="709" w:right="709"/>
        <w:jc w:val="both"/>
        <w:rPr>
          <w:rFonts w:ascii="Arial" w:eastAsia="Calibri" w:hAnsi="Arial" w:cs="Arial"/>
          <w:color w:val="000000" w:themeColor="text1"/>
          <w:sz w:val="21"/>
          <w:szCs w:val="21"/>
        </w:rPr>
      </w:pPr>
      <w:r w:rsidRPr="00DD5F33">
        <w:rPr>
          <w:rFonts w:ascii="Arial" w:eastAsia="Calibri" w:hAnsi="Arial" w:cs="Arial"/>
          <w:color w:val="000000" w:themeColor="text1"/>
          <w:sz w:val="21"/>
          <w:szCs w:val="21"/>
        </w:rPr>
        <w:t>[…]</w:t>
      </w:r>
    </w:p>
    <w:p w14:paraId="08C87B17" w14:textId="4F5D0C12" w:rsidR="00D17A6C" w:rsidRPr="00DD5F33" w:rsidRDefault="00D17A6C" w:rsidP="00BE3090">
      <w:pPr>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5.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0BC87F90" w14:textId="7D1A03C8"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14304393" w14:textId="76644F62"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10C40736" w14:textId="0368461C"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4B404DB8" w14:textId="58EB46D0"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lastRenderedPageBreak/>
        <w:t>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w:t>
      </w:r>
    </w:p>
    <w:p w14:paraId="0F3A2E37" w14:textId="591DD425"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04A37B90" w14:textId="7D1F8B94"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4C8A86DB" w14:textId="1D128E42" w:rsidR="00D17A6C"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3953C051" w14:textId="79644C82" w:rsidR="004476D6" w:rsidRPr="00DD5F33" w:rsidRDefault="00D17A6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3EC83398" w14:textId="34BFDE0B" w:rsidR="00FE571C" w:rsidRPr="00DD5F33" w:rsidRDefault="00FF7AFA" w:rsidP="00514745">
      <w:pPr>
        <w:spacing w:before="120" w:line="276" w:lineRule="auto"/>
        <w:ind w:firstLine="709"/>
        <w:jc w:val="both"/>
        <w:rPr>
          <w:rFonts w:ascii="Arial" w:eastAsia="Calibri" w:hAnsi="Arial" w:cs="Arial"/>
          <w:color w:val="000000" w:themeColor="text1"/>
          <w:sz w:val="22"/>
          <w:szCs w:val="22"/>
          <w:lang w:val="es-ES_tradnl"/>
        </w:rPr>
      </w:pPr>
      <w:r w:rsidRPr="00DD5F33">
        <w:rPr>
          <w:rFonts w:ascii="Arial" w:eastAsia="Calibri" w:hAnsi="Arial" w:cs="Arial"/>
          <w:color w:val="000000" w:themeColor="text1"/>
          <w:sz w:val="22"/>
          <w:szCs w:val="22"/>
          <w:lang w:val="es-ES_tradnl"/>
        </w:rPr>
        <w:t xml:space="preserve">Ahora bien, el parágrafo 3 del </w:t>
      </w:r>
      <w:r w:rsidR="00FE571C" w:rsidRPr="00DD5F33">
        <w:rPr>
          <w:rFonts w:ascii="Arial" w:eastAsia="Calibri" w:hAnsi="Arial" w:cs="Arial"/>
          <w:color w:val="000000" w:themeColor="text1"/>
          <w:sz w:val="22"/>
          <w:szCs w:val="22"/>
          <w:lang w:val="es-ES_tradnl"/>
        </w:rPr>
        <w:t xml:space="preserve">artículo </w:t>
      </w:r>
      <w:r w:rsidR="00FE571C" w:rsidRPr="00DD5F33">
        <w:rPr>
          <w:rFonts w:ascii="Arial" w:hAnsi="Arial" w:cs="Arial"/>
          <w:sz w:val="22"/>
          <w:szCs w:val="22"/>
          <w:lang w:val="es-ES_tradnl" w:eastAsia="es-CO"/>
        </w:rPr>
        <w:t>2.2.1.2.4.2.17</w:t>
      </w:r>
      <w:r w:rsidR="00FE571C" w:rsidRPr="00DD5F33">
        <w:rPr>
          <w:rFonts w:ascii="Arial" w:eastAsia="Calibri" w:hAnsi="Arial" w:cs="Arial"/>
          <w:color w:val="000000" w:themeColor="text1"/>
          <w:sz w:val="22"/>
          <w:szCs w:val="22"/>
          <w:lang w:val="es-ES_tradnl"/>
        </w:rPr>
        <w:t xml:space="preserve"> establece: </w:t>
      </w:r>
    </w:p>
    <w:p w14:paraId="66C8ACC7" w14:textId="63F6083F" w:rsidR="00FE571C" w:rsidRPr="00DD5F33" w:rsidRDefault="00FE571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 xml:space="preserve">PARÁGRAFO 3. Conforme con el artículo 18 de la Ley 1712 de 2014 y los artículos 5 y 6 de la Ley 1581 de 2012, la Entidad Estatal garantizará el derecho a la reserva legal de toda aquella información que acredita el cumplimiento de </w:t>
      </w:r>
      <w:r w:rsidRPr="00DD5F33">
        <w:rPr>
          <w:rFonts w:ascii="Arial" w:eastAsia="Calibri" w:hAnsi="Arial" w:cs="Arial"/>
          <w:color w:val="000000" w:themeColor="text1"/>
          <w:sz w:val="21"/>
          <w:szCs w:val="21"/>
          <w:lang w:val="es-ES_tradnl"/>
        </w:rPr>
        <w:lastRenderedPageBreak/>
        <w:t>los factores de desempate de: i) las mujeres víctimas de violencia intrafamiliar, ii) las personas en proceso de reincorporación y/o reintegración y iii) la población indígena, negra, afrocolombiana, raizal, palenquera, Rrom o gitana.</w:t>
      </w:r>
    </w:p>
    <w:p w14:paraId="68E86029" w14:textId="3B993698" w:rsidR="00FE571C" w:rsidRPr="00DD5F33" w:rsidRDefault="00FE571C" w:rsidP="00BE3090">
      <w:pPr>
        <w:spacing w:before="120"/>
        <w:ind w:left="709" w:right="709"/>
        <w:jc w:val="both"/>
        <w:rPr>
          <w:rFonts w:ascii="Arial" w:eastAsia="Calibri" w:hAnsi="Arial" w:cs="Arial"/>
          <w:color w:val="000000" w:themeColor="text1"/>
          <w:sz w:val="21"/>
          <w:szCs w:val="21"/>
          <w:lang w:val="es-ES_tradnl"/>
        </w:rPr>
      </w:pPr>
      <w:r w:rsidRPr="00DD5F33">
        <w:rPr>
          <w:rFonts w:ascii="Arial" w:eastAsia="Calibri" w:hAnsi="Arial" w:cs="Arial"/>
          <w:color w:val="000000" w:themeColor="text1"/>
          <w:sz w:val="21"/>
          <w:szCs w:val="21"/>
          <w:lang w:val="es-ES_tradnl"/>
        </w:rPr>
        <w:t>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171C6CE8" w14:textId="01D62589" w:rsidR="009B3BCD" w:rsidRPr="00DD5F33" w:rsidRDefault="009B3BCD" w:rsidP="009B3BCD">
      <w:pPr>
        <w:spacing w:line="276" w:lineRule="auto"/>
        <w:ind w:firstLine="709"/>
        <w:jc w:val="both"/>
        <w:rPr>
          <w:rFonts w:ascii="Arial" w:eastAsia="Calibri" w:hAnsi="Arial" w:cs="Arial"/>
          <w:color w:val="000000" w:themeColor="text1"/>
          <w:sz w:val="22"/>
          <w:lang w:val="es-ES_tradnl"/>
        </w:rPr>
      </w:pPr>
    </w:p>
    <w:p w14:paraId="0F7D1391" w14:textId="031A3F7F" w:rsidR="007519B0" w:rsidRPr="00DD5F33" w:rsidRDefault="00BE3090" w:rsidP="00262EA6">
      <w:pPr>
        <w:shd w:val="clear" w:color="auto" w:fill="FFFFFF"/>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C</w:t>
      </w:r>
      <w:r w:rsidR="00262EA6" w:rsidRPr="00DD5F33">
        <w:rPr>
          <w:rFonts w:ascii="Arial" w:eastAsia="Calibri" w:hAnsi="Arial" w:cs="Arial"/>
          <w:bCs/>
          <w:color w:val="000000"/>
          <w:sz w:val="22"/>
          <w:szCs w:val="22"/>
          <w:lang w:val="es-ES_tradnl" w:eastAsia="en-US"/>
        </w:rPr>
        <w:t xml:space="preserve">omo puede apreciarse, </w:t>
      </w:r>
      <w:r w:rsidR="00C15CC3" w:rsidRPr="00DD5F33">
        <w:rPr>
          <w:rFonts w:ascii="Arial" w:eastAsia="Calibri" w:hAnsi="Arial" w:cs="Arial"/>
          <w:bCs/>
          <w:color w:val="000000"/>
          <w:sz w:val="22"/>
          <w:szCs w:val="22"/>
          <w:lang w:val="es-ES_tradnl" w:eastAsia="en-US"/>
        </w:rPr>
        <w:t>e</w:t>
      </w:r>
      <w:r w:rsidR="007519B0" w:rsidRPr="00DD5F33">
        <w:rPr>
          <w:rFonts w:ascii="Arial" w:eastAsia="Calibri" w:hAnsi="Arial" w:cs="Arial"/>
          <w:bCs/>
          <w:color w:val="000000"/>
          <w:sz w:val="22"/>
          <w:szCs w:val="22"/>
          <w:lang w:val="es-ES_tradnl" w:eastAsia="en-US"/>
        </w:rPr>
        <w:t xml:space="preserve">l parágrafo 3 del artículo 2.2.1.2.4.2.17. establece una excepción razonable al derecho de acceso a la información y a los documentos públicos consagrado en el artículo 74 de la Constitución Política. Este último precepto dispone que «Todas las personas tienen derecho a acceder a los documentos públicos </w:t>
      </w:r>
      <w:r w:rsidR="007519B0" w:rsidRPr="00DD5F33">
        <w:rPr>
          <w:rFonts w:ascii="Arial" w:eastAsia="Calibri" w:hAnsi="Arial" w:cs="Arial"/>
          <w:bCs/>
          <w:i/>
          <w:iCs/>
          <w:color w:val="000000"/>
          <w:sz w:val="22"/>
          <w:szCs w:val="22"/>
          <w:lang w:val="es-ES_tradnl" w:eastAsia="en-US"/>
        </w:rPr>
        <w:t>salvo los casos que establezca la ley</w:t>
      </w:r>
      <w:r w:rsidR="007519B0" w:rsidRPr="00DD5F33">
        <w:rPr>
          <w:rFonts w:ascii="Arial" w:eastAsia="Calibri" w:hAnsi="Arial" w:cs="Arial"/>
          <w:bCs/>
          <w:color w:val="000000"/>
          <w:sz w:val="22"/>
          <w:szCs w:val="22"/>
          <w:lang w:val="es-ES_tradnl" w:eastAsia="en-US"/>
        </w:rPr>
        <w:t xml:space="preserve">» (énfasis fuera de texto). Por tanto, la ley puede establecer reservas de información, para garantizar bienes jurídicos que se consideran más relevantes en cada caso, a partir de un test de ponderación realizado, </w:t>
      </w:r>
      <w:r w:rsidR="007519B0" w:rsidRPr="00DD5F33">
        <w:rPr>
          <w:rFonts w:ascii="Arial" w:eastAsia="Calibri" w:hAnsi="Arial" w:cs="Arial"/>
          <w:bCs/>
          <w:i/>
          <w:iCs/>
          <w:color w:val="000000"/>
          <w:sz w:val="22"/>
          <w:szCs w:val="22"/>
          <w:lang w:val="es-ES_tradnl" w:eastAsia="en-US"/>
        </w:rPr>
        <w:t>prima facie</w:t>
      </w:r>
      <w:r w:rsidR="007519B0" w:rsidRPr="00DD5F33">
        <w:rPr>
          <w:rFonts w:ascii="Arial" w:eastAsia="Calibri" w:hAnsi="Arial" w:cs="Arial"/>
          <w:bCs/>
          <w:color w:val="000000"/>
          <w:sz w:val="22"/>
          <w:szCs w:val="22"/>
          <w:lang w:val="es-ES_tradnl" w:eastAsia="en-US"/>
        </w:rPr>
        <w:t xml:space="preserve">, por el legislador. Debido a lo anterior, los artículos 5 y 6 de la Ley 1581 de 2012 califican algunos datos como sensibles y prohíben su tratamiento, salvo excepciones. En forma similar, el artículo 18 de la Ley 1712 de 2014 impone denegar el acceso a la información pública, por el daño que podría ocasionar a derechos como la intimidad, la vida, la salud y la seguridad. </w:t>
      </w:r>
    </w:p>
    <w:p w14:paraId="4C6451DB" w14:textId="77777777" w:rsidR="007519B0" w:rsidRPr="00DD5F33" w:rsidRDefault="007519B0" w:rsidP="007519B0">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En armonía con estos mandatos constitucionales y legales, el parágrafo 3 del artículo 2.2.1.2.4.2.17. establece que «en la plataforma del SECOP </w:t>
      </w:r>
      <w:r w:rsidRPr="00DD5F33">
        <w:rPr>
          <w:rFonts w:ascii="Arial" w:eastAsia="Calibri" w:hAnsi="Arial" w:cs="Arial"/>
          <w:bCs/>
          <w:i/>
          <w:iCs/>
          <w:color w:val="000000"/>
          <w:sz w:val="22"/>
          <w:szCs w:val="22"/>
          <w:lang w:val="es-ES_tradnl" w:eastAsia="en-US"/>
        </w:rPr>
        <w:t>no se publicará</w:t>
      </w:r>
      <w:r w:rsidRPr="00DD5F33">
        <w:rPr>
          <w:rFonts w:ascii="Arial" w:eastAsia="Calibri" w:hAnsi="Arial" w:cs="Arial"/>
          <w:bCs/>
          <w:color w:val="000000"/>
          <w:sz w:val="22"/>
          <w:szCs w:val="22"/>
          <w:lang w:val="es-ES_tradnl" w:eastAsia="en-US"/>
        </w:rPr>
        <w:t xml:space="preserve">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 (énfasis fuera de texto). Adviértase que la norma contiene una prohibición, al emplear la expresión </w:t>
      </w:r>
      <w:r w:rsidRPr="00DD5F33">
        <w:rPr>
          <w:rFonts w:ascii="Arial" w:eastAsia="Calibri" w:hAnsi="Arial" w:cs="Arial"/>
          <w:bCs/>
          <w:i/>
          <w:iCs/>
          <w:color w:val="000000"/>
          <w:sz w:val="22"/>
          <w:szCs w:val="22"/>
          <w:lang w:val="es-ES_tradnl" w:eastAsia="en-US"/>
        </w:rPr>
        <w:t>no se publicará</w:t>
      </w:r>
      <w:r w:rsidRPr="00DD5F33">
        <w:rPr>
          <w:rFonts w:ascii="Arial" w:eastAsia="Calibri" w:hAnsi="Arial" w:cs="Arial"/>
          <w:bCs/>
          <w:color w:val="000000"/>
          <w:sz w:val="22"/>
          <w:szCs w:val="22"/>
          <w:lang w:val="es-ES_tradnl" w:eastAsia="en-US"/>
        </w:rPr>
        <w:t>; lo que constituye un deber para las entidades estatales, en consideración a la ejecutoriedad del reglamento y a que esta excepción al mandato de publicar los documentos es legítima, en términos constitucionales y legales</w:t>
      </w:r>
      <w:r w:rsidRPr="00DD5F33">
        <w:rPr>
          <w:rStyle w:val="Refdenotaalpie"/>
          <w:rFonts w:ascii="Arial" w:eastAsia="Calibri" w:hAnsi="Arial" w:cs="Arial"/>
          <w:bCs/>
          <w:color w:val="000000"/>
          <w:sz w:val="22"/>
          <w:szCs w:val="22"/>
          <w:lang w:val="es-ES_tradnl" w:eastAsia="en-US"/>
        </w:rPr>
        <w:footnoteReference w:id="49"/>
      </w:r>
      <w:r w:rsidRPr="00DD5F33">
        <w:rPr>
          <w:rFonts w:ascii="Arial" w:eastAsia="Calibri" w:hAnsi="Arial" w:cs="Arial"/>
          <w:bCs/>
          <w:color w:val="000000"/>
          <w:sz w:val="22"/>
          <w:szCs w:val="22"/>
          <w:lang w:val="es-ES_tradnl" w:eastAsia="en-US"/>
        </w:rPr>
        <w:t xml:space="preserve">. </w:t>
      </w:r>
    </w:p>
    <w:p w14:paraId="3FA51088" w14:textId="77777777" w:rsidR="007519B0" w:rsidRPr="00DD5F33" w:rsidRDefault="007519B0" w:rsidP="007519B0">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lo anterior, si alguno de los oferentes presenta observaciones al informe de evaluación por la aplicación de los factores de desempate que operan en favor de las personas indicadas en el párrafo anterior, la entidad estatal deberá resolver y publicar la respuesta a la observación, garantizando el derecho de petición, pero también la reserva a </w:t>
      </w:r>
      <w:r w:rsidRPr="00DD5F33">
        <w:rPr>
          <w:rFonts w:ascii="Arial" w:eastAsia="Calibri" w:hAnsi="Arial" w:cs="Arial"/>
          <w:bCs/>
          <w:color w:val="000000"/>
          <w:sz w:val="22"/>
          <w:szCs w:val="22"/>
          <w:lang w:val="es-ES_tradnl" w:eastAsia="en-US"/>
        </w:rPr>
        <w:lastRenderedPageBreak/>
        <w:t>la que se ha aludido. Este tipo de respuestas, en las cuales se contesta y sustenta lo necesario, pero se mantiene la reserva de ciertos aspectos, también tiene fundamentación legal. En efecto, el primer inciso del artículo 21 de la Ley 1712 de 2014 establece: «</w:t>
      </w:r>
      <w:r w:rsidRPr="00DD5F33">
        <w:rPr>
          <w:rFonts w:ascii="Arial" w:hAnsi="Arial" w:cs="Arial"/>
          <w:color w:val="000000" w:themeColor="text1"/>
          <w:sz w:val="22"/>
          <w:szCs w:val="22"/>
          <w:lang w:val="es-ES_tradnl"/>
        </w:rPr>
        <w:t>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w:t>
      </w:r>
      <w:r w:rsidRPr="00DD5F33">
        <w:rPr>
          <w:rFonts w:ascii="Arial" w:eastAsia="Calibri" w:hAnsi="Arial" w:cs="Arial"/>
          <w:bCs/>
          <w:color w:val="000000"/>
          <w:sz w:val="22"/>
          <w:szCs w:val="22"/>
          <w:lang w:val="es-ES_tradnl" w:eastAsia="en-US"/>
        </w:rPr>
        <w:t xml:space="preserve"> </w:t>
      </w:r>
    </w:p>
    <w:p w14:paraId="3A78004E" w14:textId="77777777" w:rsidR="007519B0" w:rsidRPr="00DD5F33" w:rsidRDefault="007519B0" w:rsidP="007519B0">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Si un proponente solicita el documento reservado, la entidad puede rechazar el acceso al mismo de manera motivada, de conformidad con el artículo 6 de la Ley 1581 de 2012 y el artículo 18 de la Ley 1712 de 2014. Lo anterior, sin perjuicio de lo indicado en el literal a) del artículo 6 de la Ley 1581 de 2012, para cuando «El Titular haya dado su autorización explícita a dicho Tratamiento, salvo en los casos que por ley no sea requerido el otorgamiento de dicha autorización» y de lo previsto en el parágrafo del artículo 18 de la Ley 1712 de 2014, que indica: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 En otras palabras, una lectura sistemática del parágrafo 3 del artículo 2.2.1.2.4.2.17. del Decreto 1082 de 2015, con los artículos legales a los que se ha hecho referencia, permite concluir que solo si el titular de la información brinda su consentimiento se podrá publicar o dar acceso a su información, en principio, reservada.</w:t>
      </w:r>
    </w:p>
    <w:p w14:paraId="28B09471" w14:textId="65462753" w:rsidR="007519B0" w:rsidRPr="00DD5F33" w:rsidRDefault="007519B0" w:rsidP="007519B0">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Cabe anotar, sin perjuicio de lo anterior, que no necesariamente la autorización para el manejo de datos sensibles por parte de la entidad estatal, a la que aluden los últimos incisos de los numerales 5 y 6 del artículo 2.2.1.2.4.2.17. implica una autorización para que aquella publique en el SECOP los datos. La autorización a la que se refieren dichos incisos es para que la entidad estatal pueda tratar o manejar dicha información; y no para que terceras personas puedan acceder a esta. Distinto es el consentimiento para la revelación de la información al que alude el parágrafo del artículo 18 de la Ley 1712 de 2014. Si este consentimiento no se ha otorgado, se debe aplicar la prohibición a publicar dicha información en el SECOP, contenida en el parágrafo 3 del artículo 2.2.1.2.4.2.17. del Decreto 1082 de 2015, adicionado por el artículo 3 del Decreto 1860 de 2021.</w:t>
      </w:r>
    </w:p>
    <w:p w14:paraId="01CED984" w14:textId="0E333EBE" w:rsidR="00797467" w:rsidRPr="00DD5F33" w:rsidRDefault="00797467" w:rsidP="003C2A4D">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último, en lo que tiene que ver con la posibilidad o no de corregir los errores documentales o de aportar documentos faltantes para demostrar los factores de desempate, conviene hacer algunas consideraciones</w:t>
      </w:r>
      <w:r w:rsidR="003C2A4D" w:rsidRPr="00DD5F33">
        <w:rPr>
          <w:rFonts w:ascii="Arial" w:eastAsia="Calibri" w:hAnsi="Arial" w:cs="Arial"/>
          <w:bCs/>
          <w:color w:val="000000"/>
          <w:sz w:val="22"/>
          <w:szCs w:val="22"/>
          <w:lang w:val="es-ES_tradnl" w:eastAsia="en-US"/>
        </w:rPr>
        <w:t xml:space="preserve">, pues sobre este tema también se formulan algunas preguntas en la consulta. </w:t>
      </w:r>
      <w:r w:rsidRPr="00DD5F33">
        <w:rPr>
          <w:rFonts w:ascii="Arial" w:eastAsia="Calibri" w:hAnsi="Arial" w:cs="Arial"/>
          <w:bCs/>
          <w:color w:val="000000"/>
          <w:sz w:val="22"/>
          <w:szCs w:val="22"/>
          <w:lang w:val="es-ES_tradnl" w:eastAsia="en-US"/>
        </w:rPr>
        <w:t xml:space="preserve">Como lo ha indicado esta Agencia en los </w:t>
      </w:r>
      <w:r w:rsidRPr="00DD5F33">
        <w:rPr>
          <w:rFonts w:ascii="Arial" w:eastAsia="Calibri" w:hAnsi="Arial" w:cs="Arial"/>
          <w:bCs/>
          <w:color w:val="000000"/>
          <w:sz w:val="22"/>
          <w:szCs w:val="22"/>
          <w:lang w:val="es-ES_tradnl" w:eastAsia="en-US"/>
        </w:rPr>
        <w:lastRenderedPageBreak/>
        <w:t>documentos tipo</w:t>
      </w:r>
      <w:r w:rsidRPr="00DD5F33">
        <w:rPr>
          <w:rStyle w:val="Refdenotaalpie"/>
          <w:rFonts w:ascii="Arial" w:eastAsia="Calibri" w:hAnsi="Arial" w:cs="Arial"/>
          <w:bCs/>
          <w:color w:val="000000"/>
          <w:sz w:val="22"/>
          <w:szCs w:val="22"/>
          <w:lang w:val="es-ES_tradnl" w:eastAsia="en-US"/>
        </w:rPr>
        <w:footnoteReference w:id="50"/>
      </w:r>
      <w:r w:rsidRPr="00DD5F33">
        <w:rPr>
          <w:rFonts w:ascii="Arial" w:eastAsia="Calibri" w:hAnsi="Arial" w:cs="Arial"/>
          <w:bCs/>
          <w:color w:val="000000"/>
          <w:sz w:val="22"/>
          <w:szCs w:val="22"/>
          <w:lang w:val="es-ES_tradnl" w:eastAsia="en-US"/>
        </w:rPr>
        <w:t>, «Todos aquellos requisitos de la oferta que afecten la asignación de puntaje</w:t>
      </w:r>
      <w:r w:rsidRPr="00DD5F33">
        <w:rPr>
          <w:rFonts w:ascii="Arial" w:eastAsia="Calibri" w:hAnsi="Arial" w:cs="Arial"/>
          <w:bCs/>
          <w:i/>
          <w:iCs/>
          <w:color w:val="000000"/>
          <w:sz w:val="22"/>
          <w:szCs w:val="22"/>
          <w:lang w:val="es-ES_tradnl" w:eastAsia="en-US"/>
        </w:rPr>
        <w:t>, incluyendo los necesarios para acreditar requisitos de desempate</w:t>
      </w:r>
      <w:r w:rsidRPr="00DD5F33">
        <w:rPr>
          <w:rFonts w:ascii="Arial" w:eastAsia="Calibri" w:hAnsi="Arial" w:cs="Arial"/>
          <w:bCs/>
          <w:color w:val="000000"/>
          <w:sz w:val="22"/>
          <w:szCs w:val="22"/>
          <w:lang w:val="es-ES_tradnl" w:eastAsia="en-US"/>
        </w:rPr>
        <w:t xml:space="preserve">, no son subsanables, por lo que los mismos deben ser aportados por los proponentes desde la presentación de la oferta. No obstante, pueden ser aclarados o ser objeto de explicación» (énfasis fuera de texto). </w:t>
      </w:r>
    </w:p>
    <w:p w14:paraId="777B3B5F" w14:textId="77777777" w:rsidR="00797467" w:rsidRPr="00DD5F33" w:rsidRDefault="00797467" w:rsidP="00797467">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Esta interpretación guarda consonancia con el parágrafo 1 del artículo 5 de la Ley 1150 de 2007, modificado por el artículo 5 de la Ley 1882 de 2018, que indica que «[…], todos aquellos requisitos de la propuesta </w:t>
      </w:r>
      <w:r w:rsidRPr="00DD5F33">
        <w:rPr>
          <w:rFonts w:ascii="Arial" w:eastAsia="Calibri" w:hAnsi="Arial" w:cs="Arial"/>
          <w:bCs/>
          <w:i/>
          <w:iCs/>
          <w:color w:val="000000"/>
          <w:sz w:val="22"/>
          <w:szCs w:val="22"/>
          <w:lang w:val="es-ES_tradnl" w:eastAsia="en-US"/>
        </w:rPr>
        <w:t>que no afecten la asignación de puntaje</w:t>
      </w:r>
      <w:r w:rsidRPr="00DD5F33">
        <w:rPr>
          <w:rFonts w:ascii="Arial" w:eastAsia="Calibri" w:hAnsi="Arial" w:cs="Arial"/>
          <w:bCs/>
          <w:color w:val="000000"/>
          <w:sz w:val="22"/>
          <w:szCs w:val="22"/>
          <w:lang w:val="es-ES_tradnl" w:eastAsia="en-U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(énfasis fuera de texto). </w:t>
      </w:r>
    </w:p>
    <w:p w14:paraId="4DA1A1FA" w14:textId="77777777" w:rsidR="00797467" w:rsidRPr="00DD5F33" w:rsidRDefault="00797467" w:rsidP="00797467">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De allí se desprende que los documentos que deba presentar el oferente para acreditar las circunstancias que otorgan puntaje no son subsanables. Esto ocurre, precisamente, con los documentos que han de aportarse para demostrar que el proponente se encuentra en los supuestos regulados en el artículo 35 de la Ley 2069 de 2020, reglamentado por el artículo 2.2.1.2.4.2.17. del Decreto 1082 de 2015 –adicionado por el artículo 3 del Decreto 1860 de 2021–, para ser beneficiario de los factores de desempate, pues estos inciden sobre la calificación. </w:t>
      </w:r>
    </w:p>
    <w:p w14:paraId="4CCFC4F8" w14:textId="77777777" w:rsidR="00797467" w:rsidRPr="00DD5F33" w:rsidRDefault="00797467" w:rsidP="00797467">
      <w:pPr>
        <w:spacing w:before="120" w:line="276" w:lineRule="auto"/>
        <w:ind w:firstLine="709"/>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A partir de lo anterior, puede decirse que si un documento sirve para acreditar un requisito habilitante y también para demostrar alguna de los supuestos que permiten la aplicación de los factores de desempate, debe permitirse su subsanación frente al requisito habilitante, más no frente a los factores de desempate. Así también lo ha interpretado esta Agencia en los documentos tipo. Por ejemplo, en lo que respecta a la acreditación del puntaje por servicios nacionales o con trato nacional, ha indicado: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r w:rsidRPr="00DD5F33">
        <w:rPr>
          <w:rStyle w:val="Refdenotaalpie"/>
          <w:rFonts w:ascii="Arial" w:eastAsia="Calibri" w:hAnsi="Arial" w:cs="Arial"/>
          <w:bCs/>
          <w:color w:val="000000"/>
          <w:sz w:val="22"/>
          <w:szCs w:val="22"/>
          <w:lang w:val="es-ES_tradnl" w:eastAsia="en-US"/>
        </w:rPr>
        <w:footnoteReference w:id="51"/>
      </w:r>
      <w:r w:rsidRPr="00DD5F33">
        <w:rPr>
          <w:rFonts w:ascii="Arial" w:eastAsia="Calibri" w:hAnsi="Arial" w:cs="Arial"/>
          <w:bCs/>
          <w:color w:val="000000"/>
          <w:sz w:val="22"/>
          <w:szCs w:val="22"/>
          <w:lang w:val="es-ES_tradnl" w:eastAsia="en-US"/>
        </w:rPr>
        <w:t>.</w:t>
      </w:r>
    </w:p>
    <w:p w14:paraId="14DB1FE1" w14:textId="424C176C" w:rsidR="0032284F" w:rsidRPr="00DD5F33" w:rsidRDefault="0032284F" w:rsidP="00C2344D">
      <w:pPr>
        <w:spacing w:line="276" w:lineRule="auto"/>
        <w:jc w:val="both"/>
        <w:rPr>
          <w:rFonts w:ascii="Arial" w:eastAsia="Calibri" w:hAnsi="Arial" w:cs="Arial"/>
          <w:b/>
          <w:bCs/>
          <w:color w:val="000000" w:themeColor="text1"/>
          <w:sz w:val="22"/>
          <w:lang w:val="es-ES_tradnl"/>
        </w:rPr>
      </w:pPr>
    </w:p>
    <w:p w14:paraId="05F5364A" w14:textId="3D11DA9D" w:rsidR="000A0DF7" w:rsidRPr="00DD5F33" w:rsidRDefault="000A0DF7" w:rsidP="00AF1748">
      <w:pPr>
        <w:tabs>
          <w:tab w:val="left" w:pos="0"/>
        </w:tabs>
        <w:jc w:val="both"/>
        <w:outlineLvl w:val="0"/>
        <w:rPr>
          <w:rFonts w:ascii="Arial" w:eastAsia="Calibri" w:hAnsi="Arial" w:cs="Arial"/>
          <w:b/>
          <w:sz w:val="22"/>
          <w:lang w:val="es-ES_tradnl"/>
        </w:rPr>
      </w:pPr>
      <w:r w:rsidRPr="00DD5F33">
        <w:rPr>
          <w:rFonts w:ascii="Arial" w:eastAsia="Calibri" w:hAnsi="Arial" w:cs="Arial"/>
          <w:b/>
          <w:sz w:val="22"/>
          <w:lang w:val="es-ES_tradnl"/>
        </w:rPr>
        <w:t>3. Respuesta</w:t>
      </w:r>
    </w:p>
    <w:p w14:paraId="2B3071BA" w14:textId="77777777" w:rsidR="000A0DF7" w:rsidRPr="00DD5F33" w:rsidRDefault="000A0DF7" w:rsidP="000A0DF7">
      <w:pPr>
        <w:tabs>
          <w:tab w:val="left" w:pos="0"/>
        </w:tabs>
        <w:jc w:val="both"/>
        <w:rPr>
          <w:rFonts w:ascii="Arial" w:eastAsia="Calibri" w:hAnsi="Arial" w:cs="Arial"/>
          <w:sz w:val="21"/>
          <w:szCs w:val="21"/>
          <w:lang w:val="es-ES_tradnl"/>
        </w:rPr>
      </w:pPr>
    </w:p>
    <w:p w14:paraId="08773894" w14:textId="6E33CEBC" w:rsidR="00B02A68" w:rsidRPr="00DD5F33" w:rsidRDefault="00B02A68" w:rsidP="00B0240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 </w:t>
      </w:r>
    </w:p>
    <w:p w14:paraId="60C230C6"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14D5FFD0"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»ARTÍCULO 2.2.1.2.1.5.2. Procedimiento para la contratación de mínima cuantía. Las siguientes reglas son aplicables a la contratación cuyo valor no excede del diez por ciento (10%) de la menor cuantía de la Entidad Estatal, independientemente de su objeto:</w:t>
      </w:r>
    </w:p>
    <w:p w14:paraId="70C386E8"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 (...)”</w:t>
      </w:r>
    </w:p>
    <w:p w14:paraId="181B62E7"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DADEBB1"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4437D2D9"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2CA097E3"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Teniendo en cuenta un criterio jurídico diferencial entre la verificación y la evaluación de las ofertas, ¿la Entidad podría emitir un documento de requerimientos de subsanación para todos los proponentes previo al informe de evaluación?</w:t>
      </w:r>
    </w:p>
    <w:p w14:paraId="27EFBD2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337506A" w14:textId="2221433E"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»Lo anterior con la intención de evitar la emisión indefinida de adendas para que cada oferente pueda subsanar en un término perentorio de manera individual y previo a la evaluación, lo que desnaturalizaría la finalidad de la mínima cuantía. […]</w:t>
      </w:r>
      <w:r w:rsidR="001E056E" w:rsidRPr="00DD5F33">
        <w:rPr>
          <w:rFonts w:ascii="Arial" w:hAnsi="Arial" w:cs="Arial"/>
          <w:color w:val="000000" w:themeColor="text1"/>
          <w:sz w:val="21"/>
          <w:szCs w:val="21"/>
          <w:lang w:val="es-ES_tradnl"/>
        </w:rPr>
        <w:t>»</w:t>
      </w:r>
      <w:r w:rsidRPr="00DD5F33">
        <w:rPr>
          <w:rFonts w:ascii="Arial" w:hAnsi="Arial" w:cs="Arial"/>
          <w:color w:val="000000" w:themeColor="text1"/>
          <w:sz w:val="21"/>
          <w:szCs w:val="21"/>
          <w:lang w:val="es-ES_tradnl"/>
        </w:rPr>
        <w:t>.</w:t>
      </w:r>
    </w:p>
    <w:p w14:paraId="6C14B98A" w14:textId="0E500BF3" w:rsidR="00B02A68" w:rsidRPr="00DD5F33" w:rsidRDefault="00B02A68" w:rsidP="00B02A68">
      <w:pPr>
        <w:ind w:left="709" w:right="709"/>
        <w:jc w:val="both"/>
        <w:rPr>
          <w:rFonts w:ascii="Arial" w:hAnsi="Arial" w:cs="Arial"/>
          <w:color w:val="000000" w:themeColor="text1"/>
          <w:sz w:val="21"/>
          <w:szCs w:val="21"/>
          <w:lang w:val="es-ES_tradnl"/>
        </w:rPr>
      </w:pPr>
    </w:p>
    <w:p w14:paraId="75A9BB7A" w14:textId="72F6A199" w:rsidR="007A02DD" w:rsidRPr="00DD5F33" w:rsidRDefault="00A01535" w:rsidP="007A02DD">
      <w:pPr>
        <w:shd w:val="clear" w:color="auto" w:fill="FFFFFF"/>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w:t>
      </w:r>
      <w:r w:rsidR="007A02DD" w:rsidRPr="00DD5F33">
        <w:rPr>
          <w:rFonts w:ascii="Arial" w:eastAsia="Calibri" w:hAnsi="Arial" w:cs="Arial"/>
          <w:bCs/>
          <w:color w:val="000000"/>
          <w:sz w:val="22"/>
          <w:szCs w:val="22"/>
          <w:lang w:val="es-ES_tradnl" w:eastAsia="en-US"/>
        </w:rPr>
        <w:t xml:space="preserve">l artículo 2.2.1.2.1.5.2. del Decreto 1082 de 2015, modificado por el artículo 2 del Decreto 1860 de 2021, indica que las entidades estatales «establecerán un término preclusivo en la invitación para recibir los documentos subsanables, frente a cada uno de los requerimientos». Las entidades estatales gozan, pues, de discrecionalidad administrativa para establecer el término de subsanación en la invitación, pero una vez lo hagan aquel se convierte en reglado y preclusivo. Si la entidad estatal no define el término, «los proponentes podrán subsanar sus ofertas hasta antes de que finalice el traslado del informe de evaluación». </w:t>
      </w:r>
    </w:p>
    <w:p w14:paraId="0B8A2A44" w14:textId="77777777" w:rsidR="007A02DD" w:rsidRPr="00DD5F33" w:rsidRDefault="007A02DD" w:rsidP="007A02DD">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Ahora bien, el numeral 5 del artículo 2.2.1.2.1.5.2. no permite que en un solo documento común la entidad estatal solicite la subsanación de los requisitos habilitantes de todos los oferentes sin haber verificado primero el menor precio. Obsérvese que la norma establece que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w:t>
      </w:r>
    </w:p>
    <w:p w14:paraId="4E841864" w14:textId="77777777" w:rsidR="007A02DD" w:rsidRPr="00DD5F33" w:rsidRDefault="007A02DD" w:rsidP="007A02DD">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En tal sentido, una vez la entidad estatal constate que un oferente presentó el menor precio de todas las propuestas allegadas, verificará si cumple con los requisitos habilitantes. </w:t>
      </w:r>
      <w:r w:rsidRPr="00DD5F33">
        <w:rPr>
          <w:rFonts w:ascii="Arial" w:eastAsia="Calibri" w:hAnsi="Arial" w:cs="Arial"/>
          <w:bCs/>
          <w:color w:val="000000"/>
          <w:sz w:val="22"/>
          <w:szCs w:val="22"/>
          <w:lang w:val="es-ES_tradnl" w:eastAsia="en-US"/>
        </w:rPr>
        <w:lastRenderedPageBreak/>
        <w:t>En caso de no cumplirlos y respetando lo dispuesto en el artículo 5 de la Ley 1150 de 2007, le solicitará que subsane el defecto correspondiente, en el término preclusivo previsto en la invitación. Si no se señala término alguno, el proponente podrá subsanar «hasta antes de que finalice el traslado del informe de evaluación» –el cual es de un (1) día hábil–, y así procederá con los demás, en caso de que este no subsane.</w:t>
      </w:r>
    </w:p>
    <w:p w14:paraId="2FE7345B" w14:textId="77777777" w:rsidR="001E056E" w:rsidRPr="00DD5F33" w:rsidRDefault="001E056E" w:rsidP="00B02A68">
      <w:pPr>
        <w:ind w:left="709" w:right="709"/>
        <w:jc w:val="both"/>
        <w:rPr>
          <w:rFonts w:ascii="Arial" w:hAnsi="Arial" w:cs="Arial"/>
          <w:color w:val="000000" w:themeColor="text1"/>
          <w:sz w:val="21"/>
          <w:szCs w:val="21"/>
          <w:lang w:val="es-ES_tradnl"/>
        </w:rPr>
      </w:pPr>
    </w:p>
    <w:p w14:paraId="721EC476" w14:textId="79E15301" w:rsidR="00B02A68" w:rsidRPr="00DD5F33" w:rsidRDefault="00CF63C4"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“ARTÍCULO 2.2.1.2.1.5.3. Adquisiciones en grandes almacenes cuando se trate de mínima cuantía. Las Entidades Estatales deben aplicar las siguientes reglas cuando decidan adquirir bienes hasta por el monto de su mínima cuantía en establecimientos que correspondan a la definición de "gran almacén" señalada por la Superintendencia de Industria y Comercio:”</w:t>
      </w:r>
    </w:p>
    <w:p w14:paraId="2163E146"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0FC5FE65"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39BD128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257B9FFA" w14:textId="543A4F10"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La entidad cómo decide si hacer adquisición en “Grandes Almacenes” o convoca Mipymes, teniendo en cuenta que, de acuerdo con las cifras reportadas en el SECOP II, desde el año 2017 hasta el 2021, se demuestra que únicamente el 16,64% –67,95 mil– de la totalidad de proveedores corresponden a Mipymes, mientras que el 83,36% –340,35– no lo son. Además, del análisis realizado a la participación que éstas han tenido en las distintas modalidades de selección, se demuestra que en la modalidad de mínima cuantía es en la que menos participan</w:t>
      </w:r>
      <w:r w:rsidR="00CF63C4" w:rsidRPr="00DD5F33">
        <w:rPr>
          <w:rFonts w:ascii="Arial" w:hAnsi="Arial" w:cs="Arial"/>
          <w:color w:val="000000" w:themeColor="text1"/>
          <w:sz w:val="21"/>
          <w:szCs w:val="21"/>
          <w:lang w:val="es-ES_tradnl"/>
        </w:rPr>
        <w:t>»</w:t>
      </w:r>
      <w:r w:rsidRPr="00DD5F33">
        <w:rPr>
          <w:rFonts w:ascii="Arial" w:hAnsi="Arial" w:cs="Arial"/>
          <w:color w:val="000000" w:themeColor="text1"/>
          <w:sz w:val="21"/>
          <w:szCs w:val="21"/>
          <w:lang w:val="es-ES_tradnl"/>
        </w:rPr>
        <w:t>.</w:t>
      </w:r>
    </w:p>
    <w:p w14:paraId="12B50DBE" w14:textId="68CC18AA" w:rsidR="00B02A68" w:rsidRPr="00DD5F33" w:rsidRDefault="00B02A68" w:rsidP="00B02A68">
      <w:pPr>
        <w:ind w:left="709" w:right="709"/>
        <w:jc w:val="both"/>
        <w:rPr>
          <w:rFonts w:ascii="Arial" w:hAnsi="Arial" w:cs="Arial"/>
          <w:color w:val="000000" w:themeColor="text1"/>
          <w:sz w:val="21"/>
          <w:szCs w:val="21"/>
          <w:lang w:val="es-ES_tradnl"/>
        </w:rPr>
      </w:pPr>
    </w:p>
    <w:p w14:paraId="22DD350A" w14:textId="65E48BA0" w:rsidR="00E86FC5" w:rsidRPr="00DD5F33" w:rsidRDefault="00CF5838" w:rsidP="00B879F2">
      <w:pPr>
        <w:shd w:val="clear" w:color="auto" w:fill="FFFFFF"/>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El artículo 2.2.1.2.1.5.3. establece que c</w:t>
      </w:r>
      <w:r w:rsidR="00397007" w:rsidRPr="00DD5F33">
        <w:rPr>
          <w:rFonts w:ascii="Arial" w:eastAsia="Calibri" w:hAnsi="Arial" w:cs="Arial"/>
          <w:bCs/>
          <w:color w:val="000000"/>
          <w:sz w:val="22"/>
          <w:szCs w:val="22"/>
          <w:lang w:val="es-ES_tradnl" w:eastAsia="en-US"/>
        </w:rPr>
        <w:t xml:space="preserve">orresponde a cada entidad estatal </w:t>
      </w:r>
      <w:r w:rsidRPr="00DD5F33">
        <w:rPr>
          <w:rFonts w:ascii="Arial" w:eastAsia="Calibri" w:hAnsi="Arial" w:cs="Arial"/>
          <w:bCs/>
          <w:color w:val="000000"/>
          <w:sz w:val="22"/>
          <w:szCs w:val="22"/>
          <w:lang w:val="es-ES_tradnl" w:eastAsia="en-US"/>
        </w:rPr>
        <w:t>decidir si</w:t>
      </w:r>
      <w:r w:rsidR="00AA30E6" w:rsidRPr="00DD5F33">
        <w:rPr>
          <w:rFonts w:ascii="Arial" w:eastAsia="Calibri" w:hAnsi="Arial" w:cs="Arial"/>
          <w:bCs/>
          <w:color w:val="000000"/>
          <w:sz w:val="22"/>
          <w:szCs w:val="22"/>
          <w:lang w:val="es-ES_tradnl" w:eastAsia="en-US"/>
        </w:rPr>
        <w:t xml:space="preserve"> realizar</w:t>
      </w:r>
      <w:r w:rsidRPr="00DD5F33">
        <w:rPr>
          <w:rFonts w:ascii="Arial" w:eastAsia="Calibri" w:hAnsi="Arial" w:cs="Arial"/>
          <w:bCs/>
          <w:color w:val="000000"/>
          <w:sz w:val="22"/>
          <w:szCs w:val="22"/>
          <w:lang w:val="es-ES_tradnl" w:eastAsia="en-US"/>
        </w:rPr>
        <w:t>á</w:t>
      </w:r>
      <w:r w:rsidR="00AA30E6"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la</w:t>
      </w:r>
      <w:r w:rsidR="00AA30E6"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adquisición</w:t>
      </w:r>
      <w:r w:rsidR="00CF413E" w:rsidRPr="00DD5F33">
        <w:rPr>
          <w:rFonts w:ascii="Arial" w:eastAsia="Calibri" w:hAnsi="Arial" w:cs="Arial"/>
          <w:bCs/>
          <w:color w:val="000000"/>
          <w:sz w:val="22"/>
          <w:szCs w:val="22"/>
          <w:lang w:val="es-ES_tradnl" w:eastAsia="en-US"/>
        </w:rPr>
        <w:t xml:space="preserve"> en grandes almacenes</w:t>
      </w:r>
      <w:r w:rsidR="003E44BB" w:rsidRPr="00DD5F33">
        <w:rPr>
          <w:rFonts w:ascii="Arial" w:eastAsia="Calibri" w:hAnsi="Arial" w:cs="Arial"/>
          <w:bCs/>
          <w:color w:val="000000"/>
          <w:sz w:val="22"/>
          <w:szCs w:val="22"/>
          <w:lang w:val="es-ES_tradnl" w:eastAsia="en-US"/>
        </w:rPr>
        <w:t>. En otras palabras, aquella cuenta con discrecionalidad para adoptar dicha decisión, observando los límites</w:t>
      </w:r>
      <w:r w:rsidR="00F25215" w:rsidRPr="00DD5F33">
        <w:rPr>
          <w:rFonts w:ascii="Arial" w:eastAsia="Calibri" w:hAnsi="Arial" w:cs="Arial"/>
          <w:bCs/>
          <w:color w:val="000000"/>
          <w:sz w:val="22"/>
          <w:szCs w:val="22"/>
          <w:lang w:val="es-ES_tradnl" w:eastAsia="en-US"/>
        </w:rPr>
        <w:t xml:space="preserve"> de este tipo de potestades. Así, en los estudios previos la entidad estatal debe </w:t>
      </w:r>
      <w:r w:rsidR="00B42854" w:rsidRPr="00DD5F33">
        <w:rPr>
          <w:rFonts w:ascii="Arial" w:eastAsia="Calibri" w:hAnsi="Arial" w:cs="Arial"/>
          <w:bCs/>
          <w:color w:val="000000"/>
          <w:sz w:val="22"/>
          <w:szCs w:val="22"/>
          <w:lang w:val="es-ES_tradnl" w:eastAsia="en-US"/>
        </w:rPr>
        <w:t>analizar</w:t>
      </w:r>
      <w:r w:rsidR="00354964" w:rsidRPr="00DD5F33">
        <w:rPr>
          <w:rFonts w:ascii="Arial" w:eastAsia="Calibri" w:hAnsi="Arial" w:cs="Arial"/>
          <w:bCs/>
          <w:color w:val="000000"/>
          <w:sz w:val="22"/>
          <w:szCs w:val="22"/>
          <w:lang w:val="es-ES_tradnl" w:eastAsia="en-US"/>
        </w:rPr>
        <w:t xml:space="preserve"> </w:t>
      </w:r>
      <w:r w:rsidR="00F25215" w:rsidRPr="00DD5F33">
        <w:rPr>
          <w:rFonts w:ascii="Arial" w:eastAsia="Calibri" w:hAnsi="Arial" w:cs="Arial"/>
          <w:bCs/>
          <w:color w:val="000000"/>
          <w:sz w:val="22"/>
          <w:szCs w:val="22"/>
          <w:lang w:val="es-ES_tradnl" w:eastAsia="en-US"/>
        </w:rPr>
        <w:t>el sector económico</w:t>
      </w:r>
      <w:r w:rsidR="00555142" w:rsidRPr="00DD5F33">
        <w:rPr>
          <w:rFonts w:ascii="Arial" w:eastAsia="Calibri" w:hAnsi="Arial" w:cs="Arial"/>
          <w:bCs/>
          <w:color w:val="000000"/>
          <w:sz w:val="22"/>
          <w:szCs w:val="22"/>
          <w:lang w:val="es-ES_tradnl" w:eastAsia="en-US"/>
        </w:rPr>
        <w:t xml:space="preserve">, con la finalidad de constatar las características técnicas, </w:t>
      </w:r>
      <w:r w:rsidR="00354964" w:rsidRPr="00DD5F33">
        <w:rPr>
          <w:rFonts w:ascii="Arial" w:eastAsia="Calibri" w:hAnsi="Arial" w:cs="Arial"/>
          <w:bCs/>
          <w:color w:val="000000"/>
          <w:sz w:val="22"/>
          <w:szCs w:val="22"/>
          <w:lang w:val="es-ES_tradnl" w:eastAsia="en-US"/>
        </w:rPr>
        <w:t xml:space="preserve">al igual que </w:t>
      </w:r>
      <w:r w:rsidR="00555142" w:rsidRPr="00DD5F33">
        <w:rPr>
          <w:rFonts w:ascii="Arial" w:eastAsia="Calibri" w:hAnsi="Arial" w:cs="Arial"/>
          <w:bCs/>
          <w:color w:val="000000"/>
          <w:sz w:val="22"/>
          <w:szCs w:val="22"/>
          <w:lang w:val="es-ES_tradnl" w:eastAsia="en-US"/>
        </w:rPr>
        <w:t>los factores comerciales y económicos</w:t>
      </w:r>
      <w:r w:rsidR="00146046" w:rsidRPr="00DD5F33">
        <w:rPr>
          <w:rFonts w:ascii="Arial" w:eastAsia="Calibri" w:hAnsi="Arial" w:cs="Arial"/>
          <w:bCs/>
          <w:color w:val="000000"/>
          <w:sz w:val="22"/>
          <w:szCs w:val="22"/>
          <w:lang w:val="es-ES_tradnl" w:eastAsia="en-US"/>
        </w:rPr>
        <w:t xml:space="preserve"> de los eventuales proveedores. A partir de este análisis de oportunidad y conveniencia, podrá concluir si es </w:t>
      </w:r>
      <w:r w:rsidR="00BF0A80" w:rsidRPr="00DD5F33">
        <w:rPr>
          <w:rFonts w:ascii="Arial" w:eastAsia="Calibri" w:hAnsi="Arial" w:cs="Arial"/>
          <w:bCs/>
          <w:color w:val="000000"/>
          <w:sz w:val="22"/>
          <w:szCs w:val="22"/>
          <w:lang w:val="es-ES_tradnl" w:eastAsia="en-US"/>
        </w:rPr>
        <w:t>mejor, por ejemplo, adelantar el procedimiento de mínima cuantía haciendo la invitación general o solo a</w:t>
      </w:r>
      <w:r w:rsidR="00844407" w:rsidRPr="00DD5F33">
        <w:rPr>
          <w:rFonts w:ascii="Arial" w:eastAsia="Calibri" w:hAnsi="Arial" w:cs="Arial"/>
          <w:bCs/>
          <w:color w:val="000000"/>
          <w:sz w:val="22"/>
          <w:szCs w:val="22"/>
          <w:lang w:val="es-ES_tradnl" w:eastAsia="en-US"/>
        </w:rPr>
        <w:t xml:space="preserve"> los grandes almacenes.</w:t>
      </w:r>
      <w:r w:rsidR="004D40E3" w:rsidRPr="00DD5F33">
        <w:rPr>
          <w:rFonts w:ascii="Arial" w:eastAsia="Calibri" w:hAnsi="Arial" w:cs="Arial"/>
          <w:bCs/>
          <w:color w:val="000000"/>
          <w:sz w:val="22"/>
          <w:szCs w:val="22"/>
          <w:lang w:val="es-ES_tradnl" w:eastAsia="en-US"/>
        </w:rPr>
        <w:t xml:space="preserve"> </w:t>
      </w:r>
    </w:p>
    <w:p w14:paraId="0D328AAC" w14:textId="77777777" w:rsidR="00D00B6A" w:rsidRPr="00DD5F33" w:rsidRDefault="00482117" w:rsidP="003D2FDB">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otra parte</w:t>
      </w:r>
      <w:r w:rsidR="00697584" w:rsidRPr="00DD5F33">
        <w:rPr>
          <w:rFonts w:ascii="Arial" w:eastAsia="Calibri" w:hAnsi="Arial" w:cs="Arial"/>
          <w:bCs/>
          <w:color w:val="000000"/>
          <w:sz w:val="22"/>
          <w:szCs w:val="22"/>
          <w:lang w:val="es-ES_tradnl" w:eastAsia="en-US"/>
        </w:rPr>
        <w:t xml:space="preserve">, </w:t>
      </w:r>
      <w:r w:rsidR="00E72775" w:rsidRPr="00DD5F33">
        <w:rPr>
          <w:rFonts w:ascii="Arial" w:eastAsia="Calibri" w:hAnsi="Arial" w:cs="Arial"/>
          <w:bCs/>
          <w:color w:val="000000"/>
          <w:sz w:val="22"/>
          <w:szCs w:val="22"/>
          <w:lang w:val="es-ES_tradnl" w:eastAsia="en-US"/>
        </w:rPr>
        <w:t xml:space="preserve">según lo indica el numeral 3 del artículo </w:t>
      </w:r>
      <w:r w:rsidR="009E133A" w:rsidRPr="00DD5F33">
        <w:rPr>
          <w:rFonts w:ascii="Arial" w:eastAsia="Calibri" w:hAnsi="Arial" w:cs="Arial"/>
          <w:bCs/>
          <w:color w:val="000000"/>
          <w:sz w:val="22"/>
          <w:szCs w:val="22"/>
          <w:lang w:val="es-ES_tradnl" w:eastAsia="en-US"/>
        </w:rPr>
        <w:t>2.2.1.2.1.5.2.</w:t>
      </w:r>
      <w:r w:rsidR="00C96D2A" w:rsidRPr="00DD5F33">
        <w:rPr>
          <w:rFonts w:ascii="Arial" w:eastAsia="Calibri" w:hAnsi="Arial" w:cs="Arial"/>
          <w:bCs/>
          <w:color w:val="000000"/>
          <w:sz w:val="22"/>
          <w:szCs w:val="22"/>
          <w:lang w:val="es-ES_tradnl" w:eastAsia="en-US"/>
        </w:rPr>
        <w:t>,</w:t>
      </w:r>
      <w:r w:rsidR="009E133A" w:rsidRPr="00DD5F33">
        <w:rPr>
          <w:rFonts w:ascii="Arial" w:eastAsia="Calibri" w:hAnsi="Arial" w:cs="Arial"/>
          <w:bCs/>
          <w:color w:val="000000"/>
          <w:sz w:val="22"/>
          <w:szCs w:val="22"/>
          <w:lang w:val="es-ES_tradnl" w:eastAsia="en-US"/>
        </w:rPr>
        <w:t xml:space="preserve"> </w:t>
      </w:r>
      <w:r w:rsidR="00E72775" w:rsidRPr="00DD5F33">
        <w:rPr>
          <w:rFonts w:ascii="Arial" w:eastAsia="Calibri" w:hAnsi="Arial" w:cs="Arial"/>
          <w:bCs/>
          <w:color w:val="000000"/>
          <w:sz w:val="22"/>
          <w:szCs w:val="22"/>
          <w:lang w:val="es-ES_tradnl" w:eastAsia="en-US"/>
        </w:rPr>
        <w:t>en el término</w:t>
      </w:r>
      <w:r w:rsidRPr="00DD5F33">
        <w:rPr>
          <w:rFonts w:ascii="Arial" w:eastAsia="Calibri" w:hAnsi="Arial" w:cs="Arial"/>
          <w:bCs/>
          <w:color w:val="000000"/>
          <w:sz w:val="22"/>
          <w:szCs w:val="22"/>
          <w:lang w:val="es-ES_tradnl" w:eastAsia="en-US"/>
        </w:rPr>
        <w:t xml:space="preserve"> </w:t>
      </w:r>
      <w:r w:rsidR="00943BA6" w:rsidRPr="00DD5F33">
        <w:rPr>
          <w:rFonts w:ascii="Arial" w:eastAsia="Calibri" w:hAnsi="Arial" w:cs="Arial"/>
          <w:bCs/>
          <w:color w:val="000000"/>
          <w:sz w:val="22"/>
          <w:szCs w:val="22"/>
          <w:lang w:val="es-ES_tradnl" w:eastAsia="en-US"/>
        </w:rPr>
        <w:t>que tienen los</w:t>
      </w:r>
      <w:r w:rsidR="00697584" w:rsidRPr="00DD5F33">
        <w:rPr>
          <w:rFonts w:ascii="Arial" w:eastAsia="Calibri" w:hAnsi="Arial" w:cs="Arial"/>
          <w:bCs/>
          <w:color w:val="000000"/>
          <w:sz w:val="22"/>
          <w:szCs w:val="22"/>
          <w:lang w:val="es-ES_tradnl" w:eastAsia="en-US"/>
        </w:rPr>
        <w:t xml:space="preserve"> interesados </w:t>
      </w:r>
      <w:r w:rsidR="00943BA6" w:rsidRPr="00DD5F33">
        <w:rPr>
          <w:rFonts w:ascii="Arial" w:eastAsia="Calibri" w:hAnsi="Arial" w:cs="Arial"/>
          <w:bCs/>
          <w:color w:val="000000"/>
          <w:sz w:val="22"/>
          <w:szCs w:val="22"/>
          <w:lang w:val="es-ES_tradnl" w:eastAsia="en-US"/>
        </w:rPr>
        <w:t>para formular observaciones a la invitación,</w:t>
      </w:r>
      <w:r w:rsidR="00945D98" w:rsidRPr="00DD5F33">
        <w:rPr>
          <w:rFonts w:ascii="Arial" w:eastAsia="Calibri" w:hAnsi="Arial" w:cs="Arial"/>
          <w:bCs/>
          <w:color w:val="000000"/>
          <w:sz w:val="22"/>
          <w:szCs w:val="22"/>
          <w:lang w:val="es-ES_tradnl" w:eastAsia="en-US"/>
        </w:rPr>
        <w:t xml:space="preserve"> «podrán presentar las solicitudes para limitar la convocatoria a Mipyme colombianas»</w:t>
      </w:r>
      <w:r w:rsidR="00651B35" w:rsidRPr="00DD5F33">
        <w:rPr>
          <w:rFonts w:ascii="Arial" w:eastAsia="Calibri" w:hAnsi="Arial" w:cs="Arial"/>
          <w:bCs/>
          <w:color w:val="000000"/>
          <w:sz w:val="22"/>
          <w:szCs w:val="22"/>
          <w:lang w:val="es-ES_tradnl" w:eastAsia="en-US"/>
        </w:rPr>
        <w:t>. De acuerdo con el numeral cuarto del referido artículo, la entidad</w:t>
      </w:r>
      <w:r w:rsidR="00825625" w:rsidRPr="00DD5F33">
        <w:rPr>
          <w:rFonts w:ascii="Arial" w:eastAsia="Calibri" w:hAnsi="Arial" w:cs="Arial"/>
          <w:bCs/>
          <w:color w:val="000000"/>
          <w:sz w:val="22"/>
          <w:szCs w:val="22"/>
          <w:lang w:val="es-ES_tradnl" w:eastAsia="en-US"/>
        </w:rPr>
        <w:t xml:space="preserve"> estatal</w:t>
      </w:r>
      <w:r w:rsidR="00651B35" w:rsidRPr="00DD5F33">
        <w:rPr>
          <w:rFonts w:ascii="Arial" w:eastAsia="Calibri" w:hAnsi="Arial" w:cs="Arial"/>
          <w:bCs/>
          <w:color w:val="000000"/>
          <w:sz w:val="22"/>
          <w:szCs w:val="22"/>
          <w:lang w:val="es-ES_tradnl" w:eastAsia="en-US"/>
        </w:rPr>
        <w:t xml:space="preserve"> </w:t>
      </w:r>
      <w:r w:rsidR="000A2B06" w:rsidRPr="00DD5F33">
        <w:rPr>
          <w:rFonts w:ascii="Arial" w:eastAsia="Calibri" w:hAnsi="Arial" w:cs="Arial"/>
          <w:bCs/>
          <w:color w:val="000000"/>
          <w:sz w:val="22"/>
          <w:szCs w:val="22"/>
          <w:lang w:val="es-ES_tradnl" w:eastAsia="en-US"/>
        </w:rPr>
        <w:t>debe señalar en el cronograma «El momento en que publicará un aviso en el SECOP precisando si el proceso efectivamente se limitó a Mipyme o si podrá participar cualquier otro interesado».</w:t>
      </w:r>
      <w:r w:rsidR="0033080A" w:rsidRPr="00DD5F33">
        <w:rPr>
          <w:rFonts w:ascii="Arial" w:eastAsia="Calibri" w:hAnsi="Arial" w:cs="Arial"/>
          <w:bCs/>
          <w:color w:val="000000"/>
          <w:sz w:val="22"/>
          <w:szCs w:val="22"/>
          <w:lang w:val="es-ES_tradnl" w:eastAsia="en-US"/>
        </w:rPr>
        <w:t xml:space="preserve"> En este aviso, además</w:t>
      </w:r>
      <w:r w:rsidR="006D2D0E" w:rsidRPr="00DD5F33">
        <w:rPr>
          <w:rFonts w:ascii="Arial" w:eastAsia="Calibri" w:hAnsi="Arial" w:cs="Arial"/>
          <w:bCs/>
          <w:color w:val="000000"/>
          <w:sz w:val="22"/>
          <w:szCs w:val="22"/>
          <w:lang w:val="es-ES_tradnl" w:eastAsia="en-US"/>
        </w:rPr>
        <w:t>,</w:t>
      </w:r>
      <w:r w:rsidR="0033080A" w:rsidRPr="00DD5F33">
        <w:rPr>
          <w:rFonts w:ascii="Arial" w:eastAsia="Calibri" w:hAnsi="Arial" w:cs="Arial"/>
          <w:bCs/>
          <w:color w:val="000000"/>
          <w:sz w:val="22"/>
          <w:szCs w:val="22"/>
          <w:lang w:val="es-ES_tradnl" w:eastAsia="en-US"/>
        </w:rPr>
        <w:t xml:space="preserve"> «</w:t>
      </w:r>
      <w:r w:rsidR="0033080A" w:rsidRPr="00DD5F33">
        <w:rPr>
          <w:rFonts w:ascii="Arial" w:hAnsi="Arial" w:cs="Arial"/>
          <w:sz w:val="22"/>
          <w:szCs w:val="22"/>
          <w:lang w:val="es-ES_tradnl"/>
        </w:rPr>
        <w:t xml:space="preserve">[…] </w:t>
      </w:r>
      <w:r w:rsidR="0033080A" w:rsidRPr="00DD5F33">
        <w:rPr>
          <w:rFonts w:ascii="Arial" w:eastAsia="Calibri" w:hAnsi="Arial" w:cs="Arial"/>
          <w:bCs/>
          <w:color w:val="000000"/>
          <w:sz w:val="22"/>
          <w:szCs w:val="22"/>
          <w:lang w:val="es-ES_tradnl" w:eastAsia="en-US"/>
        </w:rPr>
        <w:t>se indicará si en el proceso aplican las limitaciones territoriales de que trata el artículo 2.2.1.2.4.2.3 o si podrá participar cualquier Mipyme nacional».</w:t>
      </w:r>
      <w:r w:rsidR="00651B35" w:rsidRPr="00DD5F33">
        <w:rPr>
          <w:rFonts w:ascii="Arial" w:eastAsia="Calibri" w:hAnsi="Arial" w:cs="Arial"/>
          <w:bCs/>
          <w:color w:val="000000"/>
          <w:sz w:val="22"/>
          <w:szCs w:val="22"/>
          <w:lang w:val="es-ES_tradnl" w:eastAsia="en-US"/>
        </w:rPr>
        <w:t xml:space="preserve"> </w:t>
      </w:r>
      <w:r w:rsidR="00825625" w:rsidRPr="00DD5F33">
        <w:rPr>
          <w:rFonts w:ascii="Arial" w:eastAsia="Calibri" w:hAnsi="Arial" w:cs="Arial"/>
          <w:bCs/>
          <w:color w:val="000000"/>
          <w:sz w:val="22"/>
          <w:szCs w:val="22"/>
          <w:lang w:val="es-ES_tradnl" w:eastAsia="en-US"/>
        </w:rPr>
        <w:t xml:space="preserve">El </w:t>
      </w:r>
      <w:r w:rsidR="0021522D" w:rsidRPr="00DD5F33">
        <w:rPr>
          <w:rFonts w:ascii="Arial" w:eastAsia="Calibri" w:hAnsi="Arial" w:cs="Arial"/>
          <w:bCs/>
          <w:color w:val="000000"/>
          <w:sz w:val="22"/>
          <w:szCs w:val="22"/>
          <w:lang w:val="es-ES_tradnl" w:eastAsia="en-US"/>
        </w:rPr>
        <w:t xml:space="preserve">parágrafo del </w:t>
      </w:r>
      <w:r w:rsidR="00825625" w:rsidRPr="00DD5F33">
        <w:rPr>
          <w:rFonts w:ascii="Arial" w:eastAsia="Calibri" w:hAnsi="Arial" w:cs="Arial"/>
          <w:bCs/>
          <w:color w:val="000000"/>
          <w:sz w:val="22"/>
          <w:szCs w:val="22"/>
          <w:lang w:val="es-ES_tradnl" w:eastAsia="en-US"/>
        </w:rPr>
        <w:t xml:space="preserve">artículo 2.2.1.2.1.5.2., igualmente, </w:t>
      </w:r>
      <w:r w:rsidR="0021522D" w:rsidRPr="00DD5F33">
        <w:rPr>
          <w:rFonts w:ascii="Arial" w:eastAsia="Calibri" w:hAnsi="Arial" w:cs="Arial"/>
          <w:bCs/>
          <w:color w:val="000000"/>
          <w:sz w:val="22"/>
          <w:szCs w:val="22"/>
          <w:lang w:val="es-ES_tradnl" w:eastAsia="en-US"/>
        </w:rPr>
        <w:t>señala que</w:t>
      </w:r>
      <w:r w:rsidR="00E94626" w:rsidRPr="00DD5F33">
        <w:rPr>
          <w:rFonts w:ascii="Arial" w:eastAsia="Calibri" w:hAnsi="Arial" w:cs="Arial"/>
          <w:bCs/>
          <w:color w:val="000000"/>
          <w:sz w:val="22"/>
          <w:szCs w:val="22"/>
          <w:lang w:val="es-ES_tradnl" w:eastAsia="en-US"/>
        </w:rPr>
        <w:t xml:space="preserve"> «en estos procedimientos de selección para Mipyme se aplicará lo prescrito en los artículos 2.2.1.2.4.2.2 a 2.2.1.2.4.2.4 de este Decreto».</w:t>
      </w:r>
      <w:r w:rsidR="00956C7D" w:rsidRPr="00DD5F33">
        <w:rPr>
          <w:rFonts w:ascii="Arial" w:eastAsia="Calibri" w:hAnsi="Arial" w:cs="Arial"/>
          <w:bCs/>
          <w:color w:val="000000"/>
          <w:sz w:val="22"/>
          <w:szCs w:val="22"/>
          <w:lang w:val="es-ES_tradnl" w:eastAsia="en-US"/>
        </w:rPr>
        <w:t xml:space="preserve"> Así pues, las limitaciones a mipymes</w:t>
      </w:r>
      <w:r w:rsidR="004303D2" w:rsidRPr="00DD5F33">
        <w:rPr>
          <w:rFonts w:ascii="Arial" w:eastAsia="Calibri" w:hAnsi="Arial" w:cs="Arial"/>
          <w:bCs/>
          <w:color w:val="000000"/>
          <w:sz w:val="22"/>
          <w:szCs w:val="22"/>
          <w:lang w:val="es-ES_tradnl" w:eastAsia="en-US"/>
        </w:rPr>
        <w:t xml:space="preserve"> colombianas se torna obligatoria en la mínima cuantía si </w:t>
      </w:r>
      <w:r w:rsidR="004303D2" w:rsidRPr="00DD5F33">
        <w:rPr>
          <w:rFonts w:ascii="Arial" w:eastAsia="Calibri" w:hAnsi="Arial" w:cs="Arial"/>
          <w:bCs/>
          <w:color w:val="000000"/>
          <w:sz w:val="22"/>
          <w:szCs w:val="22"/>
          <w:lang w:val="es-ES_tradnl" w:eastAsia="en-US"/>
        </w:rPr>
        <w:lastRenderedPageBreak/>
        <w:t xml:space="preserve">se concurren los elementos </w:t>
      </w:r>
      <w:r w:rsidR="00FA62B4" w:rsidRPr="00DD5F33">
        <w:rPr>
          <w:rFonts w:ascii="Arial" w:eastAsia="Calibri" w:hAnsi="Arial" w:cs="Arial"/>
          <w:bCs/>
          <w:color w:val="000000"/>
          <w:sz w:val="22"/>
          <w:szCs w:val="22"/>
          <w:lang w:val="es-ES_tradnl" w:eastAsia="en-US"/>
        </w:rPr>
        <w:t>establecidos en el artículo 2.2.1.2.4.2.2.</w:t>
      </w:r>
      <w:r w:rsidR="00CD523D" w:rsidRPr="00DD5F33">
        <w:rPr>
          <w:rFonts w:ascii="Arial" w:eastAsia="Calibri" w:hAnsi="Arial" w:cs="Arial"/>
          <w:bCs/>
          <w:color w:val="000000"/>
          <w:sz w:val="22"/>
          <w:szCs w:val="22"/>
          <w:lang w:val="es-ES_tradnl" w:eastAsia="en-US"/>
        </w:rPr>
        <w:t>;</w:t>
      </w:r>
      <w:r w:rsidR="00FA62B4" w:rsidRPr="00DD5F33">
        <w:rPr>
          <w:rFonts w:ascii="Arial" w:eastAsia="Calibri" w:hAnsi="Arial" w:cs="Arial"/>
          <w:bCs/>
          <w:color w:val="000000"/>
          <w:sz w:val="22"/>
          <w:szCs w:val="22"/>
          <w:lang w:val="es-ES_tradnl" w:eastAsia="en-US"/>
        </w:rPr>
        <w:t xml:space="preserve"> </w:t>
      </w:r>
      <w:r w:rsidR="00CD523D" w:rsidRPr="00DD5F33">
        <w:rPr>
          <w:rFonts w:ascii="Arial" w:eastAsia="Calibri" w:hAnsi="Arial" w:cs="Arial"/>
          <w:bCs/>
          <w:color w:val="000000"/>
          <w:sz w:val="22"/>
          <w:szCs w:val="22"/>
          <w:lang w:val="es-ES_tradnl" w:eastAsia="en-US"/>
        </w:rPr>
        <w:t xml:space="preserve">mientras que </w:t>
      </w:r>
      <w:r w:rsidR="00FA62B4" w:rsidRPr="00DD5F33">
        <w:rPr>
          <w:rFonts w:ascii="Arial" w:eastAsia="Calibri" w:hAnsi="Arial" w:cs="Arial"/>
          <w:bCs/>
          <w:color w:val="000000"/>
          <w:sz w:val="22"/>
          <w:szCs w:val="22"/>
          <w:lang w:val="es-ES_tradnl" w:eastAsia="en-US"/>
        </w:rPr>
        <w:t>la limitación</w:t>
      </w:r>
      <w:r w:rsidR="00985386" w:rsidRPr="00DD5F33">
        <w:rPr>
          <w:rFonts w:ascii="Arial" w:eastAsia="Calibri" w:hAnsi="Arial" w:cs="Arial"/>
          <w:bCs/>
          <w:color w:val="000000"/>
          <w:sz w:val="22"/>
          <w:szCs w:val="22"/>
          <w:lang w:val="es-ES_tradnl" w:eastAsia="en-US"/>
        </w:rPr>
        <w:t xml:space="preserve"> territorial</w:t>
      </w:r>
      <w:r w:rsidR="00FA62B4" w:rsidRPr="00DD5F33">
        <w:rPr>
          <w:rFonts w:ascii="Arial" w:eastAsia="Calibri" w:hAnsi="Arial" w:cs="Arial"/>
          <w:bCs/>
          <w:color w:val="000000"/>
          <w:sz w:val="22"/>
          <w:szCs w:val="22"/>
          <w:lang w:val="es-ES_tradnl" w:eastAsia="en-US"/>
        </w:rPr>
        <w:t xml:space="preserve"> a mipymes </w:t>
      </w:r>
      <w:r w:rsidR="00985386" w:rsidRPr="00DD5F33">
        <w:rPr>
          <w:rFonts w:ascii="Arial" w:eastAsia="Calibri" w:hAnsi="Arial" w:cs="Arial"/>
          <w:bCs/>
          <w:color w:val="000000"/>
          <w:sz w:val="22"/>
          <w:szCs w:val="22"/>
          <w:lang w:val="es-ES_tradnl" w:eastAsia="en-US"/>
        </w:rPr>
        <w:t xml:space="preserve">colombianas domiciliadas en los departamentos o municipios en donde se va a ejecutar el contrato </w:t>
      </w:r>
      <w:r w:rsidR="00FA62B4" w:rsidRPr="00DD5F33">
        <w:rPr>
          <w:rFonts w:ascii="Arial" w:eastAsia="Calibri" w:hAnsi="Arial" w:cs="Arial"/>
          <w:bCs/>
          <w:color w:val="000000"/>
          <w:sz w:val="22"/>
          <w:szCs w:val="22"/>
          <w:lang w:val="es-ES_tradnl" w:eastAsia="en-US"/>
        </w:rPr>
        <w:t>es facultativa</w:t>
      </w:r>
      <w:r w:rsidR="00985386" w:rsidRPr="00DD5F33">
        <w:rPr>
          <w:rFonts w:ascii="Arial" w:eastAsia="Calibri" w:hAnsi="Arial" w:cs="Arial"/>
          <w:bCs/>
          <w:color w:val="000000"/>
          <w:sz w:val="22"/>
          <w:szCs w:val="22"/>
          <w:lang w:val="es-ES_tradnl" w:eastAsia="en-US"/>
        </w:rPr>
        <w:t xml:space="preserve">, </w:t>
      </w:r>
      <w:r w:rsidR="00FD3097" w:rsidRPr="00DD5F33">
        <w:rPr>
          <w:rFonts w:ascii="Arial" w:eastAsia="Calibri" w:hAnsi="Arial" w:cs="Arial"/>
          <w:bCs/>
          <w:color w:val="000000"/>
          <w:sz w:val="22"/>
          <w:szCs w:val="22"/>
          <w:lang w:val="es-ES_tradnl" w:eastAsia="en-US"/>
        </w:rPr>
        <w:t>de conformidad con el parágrafo 1 del artículo 12 de la Ley 1150 de 2007</w:t>
      </w:r>
      <w:r w:rsidR="005966FB" w:rsidRPr="00DD5F33">
        <w:rPr>
          <w:rFonts w:ascii="Arial" w:eastAsia="Calibri" w:hAnsi="Arial" w:cs="Arial"/>
          <w:bCs/>
          <w:color w:val="000000"/>
          <w:sz w:val="22"/>
          <w:szCs w:val="22"/>
          <w:lang w:val="es-ES_tradnl" w:eastAsia="en-US"/>
        </w:rPr>
        <w:t xml:space="preserve"> y el artículo 2.2.1.2.4.2.3. del Decreto 1082 de 2015.</w:t>
      </w:r>
      <w:r w:rsidR="00D00B6A" w:rsidRPr="00DD5F33">
        <w:rPr>
          <w:rFonts w:ascii="Arial" w:eastAsia="Calibri" w:hAnsi="Arial" w:cs="Arial"/>
          <w:bCs/>
          <w:color w:val="000000"/>
          <w:sz w:val="22"/>
          <w:szCs w:val="22"/>
          <w:lang w:val="es-ES_tradnl" w:eastAsia="en-US"/>
        </w:rPr>
        <w:t xml:space="preserve"> </w:t>
      </w:r>
    </w:p>
    <w:p w14:paraId="0A32B1E6" w14:textId="63D27AA0" w:rsidR="00CF63C4" w:rsidRPr="00DD5F33" w:rsidRDefault="00D00B6A" w:rsidP="003D2FDB">
      <w:pPr>
        <w:spacing w:before="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DD5F33">
        <w:rPr>
          <w:rFonts w:ascii="Arial" w:eastAsia="Arial" w:hAnsi="Arial" w:cs="Arial"/>
          <w:i/>
          <w:color w:val="000000"/>
          <w:sz w:val="22"/>
          <w:szCs w:val="22"/>
          <w:lang w:val="es-ES_tradnl" w:eastAsia="en-US"/>
        </w:rPr>
        <w:t>motu prop</w:t>
      </w:r>
      <w:r w:rsidR="00140841" w:rsidRPr="00DD5F33">
        <w:rPr>
          <w:rFonts w:ascii="Arial" w:eastAsia="Arial" w:hAnsi="Arial" w:cs="Arial"/>
          <w:i/>
          <w:color w:val="000000"/>
          <w:sz w:val="22"/>
          <w:szCs w:val="22"/>
          <w:lang w:val="es-ES_tradnl" w:eastAsia="en-US"/>
        </w:rPr>
        <w:t>r</w:t>
      </w:r>
      <w:r w:rsidRPr="00DD5F33">
        <w:rPr>
          <w:rFonts w:ascii="Arial" w:eastAsia="Arial" w:hAnsi="Arial" w:cs="Arial"/>
          <w:i/>
          <w:color w:val="000000"/>
          <w:sz w:val="22"/>
          <w:szCs w:val="22"/>
          <w:lang w:val="es-ES_tradnl" w:eastAsia="en-US"/>
        </w:rPr>
        <w:t xml:space="preserve">io </w:t>
      </w:r>
      <w:r w:rsidRPr="00DD5F33">
        <w:rPr>
          <w:rFonts w:ascii="Arial" w:eastAsia="Arial" w:hAnsi="Arial" w:cs="Arial"/>
          <w:color w:val="000000"/>
          <w:sz w:val="22"/>
          <w:szCs w:val="22"/>
          <w:lang w:val="es-ES_tradnl"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61D9EAF" w14:textId="7F7DDE46" w:rsidR="00643416" w:rsidRPr="00DD5F33" w:rsidRDefault="00D00B6A" w:rsidP="003D2FDB">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Además</w:t>
      </w:r>
      <w:r w:rsidR="00643416" w:rsidRPr="00DD5F33">
        <w:rPr>
          <w:rFonts w:ascii="Arial" w:eastAsia="Calibri" w:hAnsi="Arial" w:cs="Arial"/>
          <w:bCs/>
          <w:color w:val="000000"/>
          <w:sz w:val="22"/>
          <w:szCs w:val="22"/>
          <w:lang w:val="es-ES_tradnl" w:eastAsia="en-US"/>
        </w:rPr>
        <w:t xml:space="preserve">, debe tenerse en cuenta lo dispuesto en el artículo </w:t>
      </w:r>
      <w:r w:rsidR="001B4D3A" w:rsidRPr="00DD5F33">
        <w:rPr>
          <w:rFonts w:ascii="Arial" w:eastAsia="Calibri" w:hAnsi="Arial" w:cs="Arial"/>
          <w:bCs/>
          <w:color w:val="000000"/>
          <w:sz w:val="22"/>
          <w:szCs w:val="22"/>
          <w:lang w:val="es-ES_tradnl" w:eastAsia="en-US"/>
        </w:rPr>
        <w:t>2.2.1.2.1.5.4., según el cual «La Agencia Nacional de Contratación Pública - Colombia Compra Eficiente definirá en un plazo no mayor a tres (3) meses contados a partir de la publicación de este Decreto, las reglas para la creación y utilización de los catálogos de bienes o servicios derivados de instrumentos de agregación de demanda con Mipyme, así como con grandes almacenes, en la Tienda Virtual del Estado Colombiano, a los cuales podrán acudir las Entidades Estatales para celebrar contratos hasta por el monto de la mínima cuantía».</w:t>
      </w:r>
    </w:p>
    <w:p w14:paraId="78DB254B" w14:textId="77777777" w:rsidR="00CF63C4" w:rsidRPr="00DD5F33" w:rsidRDefault="00CF63C4" w:rsidP="00B02A68">
      <w:pPr>
        <w:ind w:left="709" w:right="709"/>
        <w:jc w:val="both"/>
        <w:rPr>
          <w:rFonts w:ascii="Arial" w:hAnsi="Arial" w:cs="Arial"/>
          <w:color w:val="000000" w:themeColor="text1"/>
          <w:sz w:val="21"/>
          <w:szCs w:val="21"/>
          <w:lang w:val="es-ES_tradnl"/>
        </w:rPr>
      </w:pPr>
    </w:p>
    <w:p w14:paraId="46DCF648" w14:textId="22C6A116" w:rsidR="00B02A68" w:rsidRPr="00DD5F33" w:rsidRDefault="00A74609"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“ARTÍCULO 3. Adición de los artículos 2.2.1.2.4.2.14, 2.2.1.2.4.2.15, 2.2.1.2.4.2.16, 2.2.1.2.4.2.17 y 2.2.1.2.4.2. 18 a la Subsección 2 de la Sección 4 del Capítulo 2 del Título 1 de la Parte 2 del Libro 2 del Decreto 1082 de 2015. Adiciónense los artículos 2.2.1.2.4.2.14, 2.2.1.2.4.2.15, 2.2.1.2.4.2.16, 2.2.1.2.4.2.17 y 2.2.1.2.4.2.18 a la Subsección 2 de la Sección 4 del Capítulo 2 del Título 1 de la Parte 2 del Libro 2 del Decreto 1082 de 2015, los cuales quedarán así.</w:t>
      </w:r>
    </w:p>
    <w:p w14:paraId="25E11434"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46D0E5E2"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»ARTÍCULO 2.2.1.2.4.2.17. Factores de desempate y acreditación. 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deberá utilizar las siguientes reglas de forma sucesiva y excluyente para seleccionar al oferente favorecido, respetando en todo caso las obligaciones contenidas en los Acuerdos Comerciales vigentes, especialmente en materia de trato nacional.</w:t>
      </w:r>
    </w:p>
    <w:p w14:paraId="570FE485"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17BE9EDB"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 PARÁGRAFO 3. Conforme con el artículo 18 de la Ley 1712 de 2014 y los artículos 5 y 6 de la Ley 1581 de 2012, la Entidad Estatal garantizará el derecho </w:t>
      </w:r>
      <w:r w:rsidRPr="00DD5F33">
        <w:rPr>
          <w:rFonts w:ascii="Arial" w:hAnsi="Arial" w:cs="Arial"/>
          <w:color w:val="000000" w:themeColor="text1"/>
          <w:sz w:val="21"/>
          <w:szCs w:val="21"/>
          <w:lang w:val="es-ES_tradnl"/>
        </w:rPr>
        <w:lastRenderedPageBreak/>
        <w:t>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w:t>
      </w:r>
    </w:p>
    <w:p w14:paraId="06E0F78D"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F859457" w14:textId="391E8A68"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»En armonía con lo anterior, en la plataforma del SECOP no se publicará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4298CFAE"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B642CA2"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4D114EA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28FD65A9" w14:textId="47BDEB97" w:rsidR="00B02A68" w:rsidRPr="00DD5F33" w:rsidRDefault="00B02A68" w:rsidP="00B329CE">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¿En caso de presentarse observaciones en el proceso de selección por la aplicación del criterio de desempate que documento deberá publicar la Entidad para demostrar que efectivamente el oferente dio cumplimiento a los requisitos establecidos en la Ley para obtener esta acreditación? ¿Sí los oferentes solicitan la publicación de esta información, como deberá proceder la Entidad para emitir la respectiva respuesta? ¿Se establece alguna excepción para la publicación de esta información en SECOP II, si existe autorización de la persona para publicarla?</w:t>
      </w:r>
    </w:p>
    <w:p w14:paraId="5C03D054" w14:textId="195C0381" w:rsidR="00A24409" w:rsidRPr="00DD5F33" w:rsidRDefault="00A24409" w:rsidP="00B329CE">
      <w:pPr>
        <w:ind w:left="709" w:right="709"/>
        <w:jc w:val="both"/>
        <w:rPr>
          <w:rFonts w:ascii="Arial" w:hAnsi="Arial" w:cs="Arial"/>
          <w:color w:val="000000" w:themeColor="text1"/>
          <w:sz w:val="21"/>
          <w:szCs w:val="21"/>
          <w:lang w:val="es-ES_tradnl"/>
        </w:rPr>
      </w:pPr>
    </w:p>
    <w:p w14:paraId="4DC662BB" w14:textId="77777777" w:rsidR="00A24409" w:rsidRPr="00DD5F33" w:rsidRDefault="00A24409" w:rsidP="00A2440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En los últimos incisos de los numerales 5° y 6° requiere que se solicite autorización expresa de esas personas para el tratamiento de la información, lo cual, según el literal g) del artículo tercero de la Ley 1581 de 2012, incluye la circulación de la información. En ese sentido no es claro si a pesar de contar con la autorización de tratamiento no se deben publicar dichos documentos, surgiendo la interrogante de ¿cuál es la finalidad de solicitar autorización de tratamiento de datos? Dado que el decreto exige la garantía de la reserva legal de dicha información.</w:t>
      </w:r>
    </w:p>
    <w:p w14:paraId="4EC67DF8" w14:textId="77777777" w:rsidR="00A24409" w:rsidRPr="00DD5F33" w:rsidRDefault="00A24409" w:rsidP="00A24409">
      <w:pPr>
        <w:ind w:left="709" w:right="709"/>
        <w:jc w:val="both"/>
        <w:rPr>
          <w:rFonts w:ascii="Arial" w:hAnsi="Arial" w:cs="Arial"/>
          <w:color w:val="000000" w:themeColor="text1"/>
          <w:sz w:val="21"/>
          <w:szCs w:val="21"/>
          <w:lang w:val="es-ES_tradnl"/>
        </w:rPr>
      </w:pPr>
    </w:p>
    <w:p w14:paraId="79FF2F4C" w14:textId="08F75C64" w:rsidR="00A24409" w:rsidRPr="00DD5F33" w:rsidRDefault="00A24409" w:rsidP="00A24409">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»Lo anterior es importante para determinar ¿qué documentos son públicos y cuáles no al momento de dar publicidad a las propuestas?</w:t>
      </w:r>
    </w:p>
    <w:p w14:paraId="14A01D15" w14:textId="5D885D4F" w:rsidR="00A40457" w:rsidRPr="00DD5F33" w:rsidRDefault="00A40457" w:rsidP="00A24409">
      <w:pPr>
        <w:ind w:left="709" w:right="709"/>
        <w:jc w:val="both"/>
        <w:rPr>
          <w:rFonts w:ascii="Arial" w:hAnsi="Arial" w:cs="Arial"/>
          <w:color w:val="000000" w:themeColor="text1"/>
          <w:sz w:val="21"/>
          <w:szCs w:val="21"/>
          <w:lang w:val="es-ES_tradnl"/>
        </w:rPr>
      </w:pPr>
    </w:p>
    <w:p w14:paraId="1DE20A13" w14:textId="77777777" w:rsidR="00A40457" w:rsidRPr="00DD5F33" w:rsidRDefault="00A40457" w:rsidP="00A4045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»3. Frente al criterio de desempate relativo a personas naturales en proceso de reintegración o reincorporación, la norma indica: "(...)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03A93128" w14:textId="77777777" w:rsidR="00A40457" w:rsidRPr="00DD5F33" w:rsidRDefault="00A40457" w:rsidP="00A40457">
      <w:pPr>
        <w:ind w:left="709" w:right="709"/>
        <w:jc w:val="both"/>
        <w:rPr>
          <w:rFonts w:ascii="Arial" w:hAnsi="Arial" w:cs="Arial"/>
          <w:color w:val="000000" w:themeColor="text1"/>
          <w:sz w:val="21"/>
          <w:szCs w:val="21"/>
          <w:lang w:val="es-ES_tradnl"/>
        </w:rPr>
      </w:pPr>
    </w:p>
    <w:p w14:paraId="0CCF6C21" w14:textId="7F1140D8" w:rsidR="00A40457" w:rsidRPr="00DD5F33" w:rsidRDefault="00A40457" w:rsidP="00A40457">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»¿Como se va a garantizar el anonimato de estas personas, teniendo en cuenta que a pesar de que el titular otorgue a la entidad autorización para el tratamiento </w:t>
      </w:r>
      <w:r w:rsidRPr="00DD5F33">
        <w:rPr>
          <w:rFonts w:ascii="Arial" w:hAnsi="Arial" w:cs="Arial"/>
          <w:color w:val="000000" w:themeColor="text1"/>
          <w:sz w:val="21"/>
          <w:szCs w:val="21"/>
          <w:lang w:val="es-ES_tradnl"/>
        </w:rPr>
        <w:lastRenderedPageBreak/>
        <w:t>de datos, hacer el mismo público puede significar riesgos para su integridad o intimidad? ¿SECOP II permitirá tratar esa información como confidencial?</w:t>
      </w:r>
      <w:r w:rsidR="00B879F2" w:rsidRPr="00DD5F33">
        <w:rPr>
          <w:rFonts w:ascii="Arial" w:hAnsi="Arial" w:cs="Arial"/>
          <w:color w:val="000000" w:themeColor="text1"/>
          <w:sz w:val="21"/>
          <w:szCs w:val="21"/>
          <w:lang w:val="es-ES_tradnl"/>
        </w:rPr>
        <w:t>»</w:t>
      </w:r>
    </w:p>
    <w:p w14:paraId="2666A8E3" w14:textId="77777777" w:rsidR="00B329CE" w:rsidRPr="00DD5F33" w:rsidRDefault="00B329CE" w:rsidP="00A40457">
      <w:pPr>
        <w:shd w:val="clear" w:color="auto" w:fill="FFFFFF"/>
        <w:spacing w:line="276" w:lineRule="auto"/>
        <w:ind w:right="51"/>
        <w:jc w:val="both"/>
        <w:rPr>
          <w:rFonts w:ascii="Arial" w:eastAsia="Calibri" w:hAnsi="Arial" w:cs="Arial"/>
          <w:bCs/>
          <w:color w:val="000000"/>
          <w:sz w:val="22"/>
          <w:szCs w:val="22"/>
          <w:lang w:val="es-ES_tradnl" w:eastAsia="en-US"/>
        </w:rPr>
      </w:pPr>
    </w:p>
    <w:p w14:paraId="550BB27D" w14:textId="4B521A4A" w:rsidR="003D2FDB" w:rsidRPr="00DD5F33" w:rsidRDefault="00B866A4" w:rsidP="00B879F2">
      <w:pPr>
        <w:shd w:val="clear" w:color="auto" w:fill="FFFFFF"/>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El parágrafo 3 del artículo </w:t>
      </w:r>
      <w:r w:rsidR="000540ED" w:rsidRPr="00DD5F33">
        <w:rPr>
          <w:rFonts w:ascii="Arial" w:eastAsia="Calibri" w:hAnsi="Arial" w:cs="Arial"/>
          <w:bCs/>
          <w:color w:val="000000"/>
          <w:sz w:val="22"/>
          <w:szCs w:val="22"/>
          <w:lang w:val="es-ES_tradnl" w:eastAsia="en-US"/>
        </w:rPr>
        <w:t>2.2.1.2.4.2.17. establece una excepción razonable al derecho de acceso a la información y a los documentos públicos consagrado en el artículo 74 de la Constitución Polític</w:t>
      </w:r>
      <w:r w:rsidR="009F20A6" w:rsidRPr="00DD5F33">
        <w:rPr>
          <w:rFonts w:ascii="Arial" w:eastAsia="Calibri" w:hAnsi="Arial" w:cs="Arial"/>
          <w:bCs/>
          <w:color w:val="000000"/>
          <w:sz w:val="22"/>
          <w:szCs w:val="22"/>
          <w:lang w:val="es-ES_tradnl" w:eastAsia="en-US"/>
        </w:rPr>
        <w:t>a. Este último</w:t>
      </w:r>
      <w:r w:rsidR="004010C2" w:rsidRPr="00DD5F33">
        <w:rPr>
          <w:rFonts w:ascii="Arial" w:eastAsia="Calibri" w:hAnsi="Arial" w:cs="Arial"/>
          <w:bCs/>
          <w:color w:val="000000"/>
          <w:sz w:val="22"/>
          <w:szCs w:val="22"/>
          <w:lang w:val="es-ES_tradnl" w:eastAsia="en-US"/>
        </w:rPr>
        <w:t xml:space="preserve"> precepto dispone que «Todas las personas tienen derecho a acceder a los documentos públicos </w:t>
      </w:r>
      <w:r w:rsidR="004010C2" w:rsidRPr="00DD5F33">
        <w:rPr>
          <w:rFonts w:ascii="Arial" w:eastAsia="Calibri" w:hAnsi="Arial" w:cs="Arial"/>
          <w:bCs/>
          <w:i/>
          <w:iCs/>
          <w:color w:val="000000"/>
          <w:sz w:val="22"/>
          <w:szCs w:val="22"/>
          <w:lang w:val="es-ES_tradnl" w:eastAsia="en-US"/>
        </w:rPr>
        <w:t>salvo los casos que establezca la ley</w:t>
      </w:r>
      <w:r w:rsidR="004010C2" w:rsidRPr="00DD5F33">
        <w:rPr>
          <w:rFonts w:ascii="Arial" w:eastAsia="Calibri" w:hAnsi="Arial" w:cs="Arial"/>
          <w:bCs/>
          <w:color w:val="000000"/>
          <w:sz w:val="22"/>
          <w:szCs w:val="22"/>
          <w:lang w:val="es-ES_tradnl" w:eastAsia="en-US"/>
        </w:rPr>
        <w:t>» (énfasis fuera de texto). Por tanto, la ley puede establecer reservas de información</w:t>
      </w:r>
      <w:r w:rsidR="00B6754A" w:rsidRPr="00DD5F33">
        <w:rPr>
          <w:rFonts w:ascii="Arial" w:eastAsia="Calibri" w:hAnsi="Arial" w:cs="Arial"/>
          <w:bCs/>
          <w:color w:val="000000"/>
          <w:sz w:val="22"/>
          <w:szCs w:val="22"/>
          <w:lang w:val="es-ES_tradnl" w:eastAsia="en-US"/>
        </w:rPr>
        <w:t>, para garantizar bienes jurídicos que se consideran más relevantes en cada caso, a partir de un test de ponderación realizado</w:t>
      </w:r>
      <w:r w:rsidR="000145BE" w:rsidRPr="00DD5F33">
        <w:rPr>
          <w:rFonts w:ascii="Arial" w:eastAsia="Calibri" w:hAnsi="Arial" w:cs="Arial"/>
          <w:bCs/>
          <w:color w:val="000000"/>
          <w:sz w:val="22"/>
          <w:szCs w:val="22"/>
          <w:lang w:val="es-ES_tradnl" w:eastAsia="en-US"/>
        </w:rPr>
        <w:t>,</w:t>
      </w:r>
      <w:r w:rsidR="00B6754A" w:rsidRPr="00DD5F33">
        <w:rPr>
          <w:rFonts w:ascii="Arial" w:eastAsia="Calibri" w:hAnsi="Arial" w:cs="Arial"/>
          <w:bCs/>
          <w:color w:val="000000"/>
          <w:sz w:val="22"/>
          <w:szCs w:val="22"/>
          <w:lang w:val="es-ES_tradnl" w:eastAsia="en-US"/>
        </w:rPr>
        <w:t xml:space="preserve"> </w:t>
      </w:r>
      <w:r w:rsidR="000145BE" w:rsidRPr="00DD5F33">
        <w:rPr>
          <w:rFonts w:ascii="Arial" w:eastAsia="Calibri" w:hAnsi="Arial" w:cs="Arial"/>
          <w:bCs/>
          <w:i/>
          <w:iCs/>
          <w:color w:val="000000"/>
          <w:sz w:val="22"/>
          <w:szCs w:val="22"/>
          <w:lang w:val="es-ES_tradnl" w:eastAsia="en-US"/>
        </w:rPr>
        <w:t>prima facie</w:t>
      </w:r>
      <w:r w:rsidR="000145BE" w:rsidRPr="00DD5F33">
        <w:rPr>
          <w:rFonts w:ascii="Arial" w:eastAsia="Calibri" w:hAnsi="Arial" w:cs="Arial"/>
          <w:bCs/>
          <w:color w:val="000000"/>
          <w:sz w:val="22"/>
          <w:szCs w:val="22"/>
          <w:lang w:val="es-ES_tradnl" w:eastAsia="en-US"/>
        </w:rPr>
        <w:t xml:space="preserve">, </w:t>
      </w:r>
      <w:r w:rsidR="00B6754A" w:rsidRPr="00DD5F33">
        <w:rPr>
          <w:rFonts w:ascii="Arial" w:eastAsia="Calibri" w:hAnsi="Arial" w:cs="Arial"/>
          <w:bCs/>
          <w:color w:val="000000"/>
          <w:sz w:val="22"/>
          <w:szCs w:val="22"/>
          <w:lang w:val="es-ES_tradnl" w:eastAsia="en-US"/>
        </w:rPr>
        <w:t>por el legislador.</w:t>
      </w:r>
      <w:r w:rsidR="00EC0C67" w:rsidRPr="00DD5F33">
        <w:rPr>
          <w:rFonts w:ascii="Arial" w:eastAsia="Calibri" w:hAnsi="Arial" w:cs="Arial"/>
          <w:bCs/>
          <w:color w:val="000000"/>
          <w:sz w:val="22"/>
          <w:szCs w:val="22"/>
          <w:lang w:val="es-ES_tradnl" w:eastAsia="en-US"/>
        </w:rPr>
        <w:t xml:space="preserve"> Debido a lo anterior, </w:t>
      </w:r>
      <w:r w:rsidR="00521A4A" w:rsidRPr="00DD5F33">
        <w:rPr>
          <w:rFonts w:ascii="Arial" w:eastAsia="Calibri" w:hAnsi="Arial" w:cs="Arial"/>
          <w:bCs/>
          <w:color w:val="000000"/>
          <w:sz w:val="22"/>
          <w:szCs w:val="22"/>
          <w:lang w:val="es-ES_tradnl" w:eastAsia="en-US"/>
        </w:rPr>
        <w:t>los</w:t>
      </w:r>
      <w:r w:rsidR="00EC0C67" w:rsidRPr="00DD5F33">
        <w:rPr>
          <w:rFonts w:ascii="Arial" w:eastAsia="Calibri" w:hAnsi="Arial" w:cs="Arial"/>
          <w:bCs/>
          <w:color w:val="000000"/>
          <w:sz w:val="22"/>
          <w:szCs w:val="22"/>
          <w:lang w:val="es-ES_tradnl" w:eastAsia="en-US"/>
        </w:rPr>
        <w:t xml:space="preserve"> artículo</w:t>
      </w:r>
      <w:r w:rsidR="00521A4A" w:rsidRPr="00DD5F33">
        <w:rPr>
          <w:rFonts w:ascii="Arial" w:eastAsia="Calibri" w:hAnsi="Arial" w:cs="Arial"/>
          <w:bCs/>
          <w:color w:val="000000"/>
          <w:sz w:val="22"/>
          <w:szCs w:val="22"/>
          <w:lang w:val="es-ES_tradnl" w:eastAsia="en-US"/>
        </w:rPr>
        <w:t>s</w:t>
      </w:r>
      <w:r w:rsidR="00EC0C67" w:rsidRPr="00DD5F33">
        <w:rPr>
          <w:rFonts w:ascii="Arial" w:eastAsia="Calibri" w:hAnsi="Arial" w:cs="Arial"/>
          <w:bCs/>
          <w:color w:val="000000"/>
          <w:sz w:val="22"/>
          <w:szCs w:val="22"/>
          <w:lang w:val="es-ES_tradnl" w:eastAsia="en-US"/>
        </w:rPr>
        <w:t xml:space="preserve"> </w:t>
      </w:r>
      <w:r w:rsidR="00521A4A" w:rsidRPr="00DD5F33">
        <w:rPr>
          <w:rFonts w:ascii="Arial" w:eastAsia="Calibri" w:hAnsi="Arial" w:cs="Arial"/>
          <w:bCs/>
          <w:color w:val="000000"/>
          <w:sz w:val="22"/>
          <w:szCs w:val="22"/>
          <w:lang w:val="es-ES_tradnl" w:eastAsia="en-US"/>
        </w:rPr>
        <w:t>5 y 6 de la Ley 1581 de 2012</w:t>
      </w:r>
      <w:r w:rsidR="008C0E3D" w:rsidRPr="00DD5F33">
        <w:rPr>
          <w:rFonts w:ascii="Arial" w:eastAsia="Calibri" w:hAnsi="Arial" w:cs="Arial"/>
          <w:bCs/>
          <w:color w:val="000000"/>
          <w:sz w:val="22"/>
          <w:szCs w:val="22"/>
          <w:lang w:val="es-ES_tradnl" w:eastAsia="en-US"/>
        </w:rPr>
        <w:t xml:space="preserve"> califican algunos datos como sensibles y prohíben su tratamiento, salvo </w:t>
      </w:r>
      <w:r w:rsidR="004F0FAF" w:rsidRPr="00DD5F33">
        <w:rPr>
          <w:rFonts w:ascii="Arial" w:eastAsia="Calibri" w:hAnsi="Arial" w:cs="Arial"/>
          <w:bCs/>
          <w:color w:val="000000"/>
          <w:sz w:val="22"/>
          <w:szCs w:val="22"/>
          <w:lang w:val="es-ES_tradnl" w:eastAsia="en-US"/>
        </w:rPr>
        <w:t>excepciones. En forma similar, el artículo</w:t>
      </w:r>
      <w:r w:rsidR="000911B6" w:rsidRPr="00DD5F33">
        <w:rPr>
          <w:rFonts w:ascii="Arial" w:eastAsia="Calibri" w:hAnsi="Arial" w:cs="Arial"/>
          <w:bCs/>
          <w:color w:val="000000"/>
          <w:sz w:val="22"/>
          <w:szCs w:val="22"/>
          <w:lang w:val="es-ES_tradnl" w:eastAsia="en-US"/>
        </w:rPr>
        <w:t xml:space="preserve"> 18 de la Ley 1712 de 2014 impone </w:t>
      </w:r>
      <w:r w:rsidR="001704CE" w:rsidRPr="00DD5F33">
        <w:rPr>
          <w:rFonts w:ascii="Arial" w:eastAsia="Calibri" w:hAnsi="Arial" w:cs="Arial"/>
          <w:bCs/>
          <w:color w:val="000000"/>
          <w:sz w:val="22"/>
          <w:szCs w:val="22"/>
          <w:lang w:val="es-ES_tradnl" w:eastAsia="en-US"/>
        </w:rPr>
        <w:t>denegar el acceso a la información pública, por el daño que podría ocasionar</w:t>
      </w:r>
      <w:r w:rsidR="000744A0" w:rsidRPr="00DD5F33">
        <w:rPr>
          <w:rFonts w:ascii="Arial" w:eastAsia="Calibri" w:hAnsi="Arial" w:cs="Arial"/>
          <w:bCs/>
          <w:color w:val="000000"/>
          <w:sz w:val="22"/>
          <w:szCs w:val="22"/>
          <w:lang w:val="es-ES_tradnl" w:eastAsia="en-US"/>
        </w:rPr>
        <w:t xml:space="preserve"> a derechos como la intimidad, la vida, la salud y la seguridad.</w:t>
      </w:r>
      <w:r w:rsidR="00327898" w:rsidRPr="00DD5F33">
        <w:rPr>
          <w:rFonts w:ascii="Arial" w:eastAsia="Calibri" w:hAnsi="Arial" w:cs="Arial"/>
          <w:bCs/>
          <w:color w:val="000000"/>
          <w:sz w:val="22"/>
          <w:szCs w:val="22"/>
          <w:lang w:val="es-ES_tradnl" w:eastAsia="en-US"/>
        </w:rPr>
        <w:t xml:space="preserve"> </w:t>
      </w:r>
    </w:p>
    <w:p w14:paraId="5D7CE2CB" w14:textId="71CCD959" w:rsidR="00371152" w:rsidRPr="00DD5F33" w:rsidRDefault="00327898" w:rsidP="003D2FDB">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armonía con estos mandatos constitucionales y legales, el parágrafo 3 del artículo 2.2.1.2.4.2.17.</w:t>
      </w:r>
      <w:r w:rsidR="003D2FDB" w:rsidRPr="00DD5F33">
        <w:rPr>
          <w:rFonts w:ascii="Arial" w:eastAsia="Calibri" w:hAnsi="Arial" w:cs="Arial"/>
          <w:bCs/>
          <w:color w:val="000000"/>
          <w:sz w:val="22"/>
          <w:szCs w:val="22"/>
          <w:lang w:val="es-ES_tradnl" w:eastAsia="en-US"/>
        </w:rPr>
        <w:t xml:space="preserve"> establece que «en la plataforma del SECOP </w:t>
      </w:r>
      <w:r w:rsidR="003D2FDB" w:rsidRPr="00DD5F33">
        <w:rPr>
          <w:rFonts w:ascii="Arial" w:eastAsia="Calibri" w:hAnsi="Arial" w:cs="Arial"/>
          <w:bCs/>
          <w:i/>
          <w:iCs/>
          <w:color w:val="000000"/>
          <w:sz w:val="22"/>
          <w:szCs w:val="22"/>
          <w:lang w:val="es-ES_tradnl" w:eastAsia="en-US"/>
        </w:rPr>
        <w:t>no se publicará</w:t>
      </w:r>
      <w:r w:rsidR="003D2FDB" w:rsidRPr="00DD5F33">
        <w:rPr>
          <w:rFonts w:ascii="Arial" w:eastAsia="Calibri" w:hAnsi="Arial" w:cs="Arial"/>
          <w:bCs/>
          <w:color w:val="000000"/>
          <w:sz w:val="22"/>
          <w:szCs w:val="22"/>
          <w:lang w:val="es-ES_tradnl" w:eastAsia="en-US"/>
        </w:rPr>
        <w:t xml:space="preserve">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 (énfasis fuera de texto). Adviértase que la norma </w:t>
      </w:r>
      <w:r w:rsidR="009239E6" w:rsidRPr="00DD5F33">
        <w:rPr>
          <w:rFonts w:ascii="Arial" w:eastAsia="Calibri" w:hAnsi="Arial" w:cs="Arial"/>
          <w:bCs/>
          <w:color w:val="000000"/>
          <w:sz w:val="22"/>
          <w:szCs w:val="22"/>
          <w:lang w:val="es-ES_tradnl" w:eastAsia="en-US"/>
        </w:rPr>
        <w:t>contiene</w:t>
      </w:r>
      <w:r w:rsidR="003D2FDB" w:rsidRPr="00DD5F33">
        <w:rPr>
          <w:rFonts w:ascii="Arial" w:eastAsia="Calibri" w:hAnsi="Arial" w:cs="Arial"/>
          <w:bCs/>
          <w:color w:val="000000"/>
          <w:sz w:val="22"/>
          <w:szCs w:val="22"/>
          <w:lang w:val="es-ES_tradnl" w:eastAsia="en-US"/>
        </w:rPr>
        <w:t xml:space="preserve"> una prohibición, </w:t>
      </w:r>
      <w:r w:rsidR="009239E6" w:rsidRPr="00DD5F33">
        <w:rPr>
          <w:rFonts w:ascii="Arial" w:eastAsia="Calibri" w:hAnsi="Arial" w:cs="Arial"/>
          <w:bCs/>
          <w:color w:val="000000"/>
          <w:sz w:val="22"/>
          <w:szCs w:val="22"/>
          <w:lang w:val="es-ES_tradnl" w:eastAsia="en-US"/>
        </w:rPr>
        <w:t>al emplear la expresión</w:t>
      </w:r>
      <w:r w:rsidR="006A57FA" w:rsidRPr="00DD5F33">
        <w:rPr>
          <w:rFonts w:ascii="Arial" w:eastAsia="Calibri" w:hAnsi="Arial" w:cs="Arial"/>
          <w:bCs/>
          <w:color w:val="000000"/>
          <w:sz w:val="22"/>
          <w:szCs w:val="22"/>
          <w:lang w:val="es-ES_tradnl" w:eastAsia="en-US"/>
        </w:rPr>
        <w:t xml:space="preserve"> </w:t>
      </w:r>
      <w:r w:rsidR="006A57FA" w:rsidRPr="00DD5F33">
        <w:rPr>
          <w:rFonts w:ascii="Arial" w:eastAsia="Calibri" w:hAnsi="Arial" w:cs="Arial"/>
          <w:bCs/>
          <w:i/>
          <w:iCs/>
          <w:color w:val="000000"/>
          <w:sz w:val="22"/>
          <w:szCs w:val="22"/>
          <w:lang w:val="es-ES_tradnl" w:eastAsia="en-US"/>
        </w:rPr>
        <w:t>no se publicará</w:t>
      </w:r>
      <w:r w:rsidR="00AB0553" w:rsidRPr="00DD5F33">
        <w:rPr>
          <w:rFonts w:ascii="Arial" w:eastAsia="Calibri" w:hAnsi="Arial" w:cs="Arial"/>
          <w:bCs/>
          <w:color w:val="000000"/>
          <w:sz w:val="22"/>
          <w:szCs w:val="22"/>
          <w:lang w:val="es-ES_tradnl" w:eastAsia="en-US"/>
        </w:rPr>
        <w:t>;</w:t>
      </w:r>
      <w:r w:rsidR="006A57FA" w:rsidRPr="00DD5F33">
        <w:rPr>
          <w:rFonts w:ascii="Arial" w:eastAsia="Calibri" w:hAnsi="Arial" w:cs="Arial"/>
          <w:bCs/>
          <w:color w:val="000000"/>
          <w:sz w:val="22"/>
          <w:szCs w:val="22"/>
          <w:lang w:val="es-ES_tradnl" w:eastAsia="en-US"/>
        </w:rPr>
        <w:t xml:space="preserve"> lo que constituye un deber para las entidades estatales, en consideración a la ejecutoriedad del reglamento y a que esta excepción al </w:t>
      </w:r>
      <w:r w:rsidR="004936A9" w:rsidRPr="00DD5F33">
        <w:rPr>
          <w:rFonts w:ascii="Arial" w:eastAsia="Calibri" w:hAnsi="Arial" w:cs="Arial"/>
          <w:bCs/>
          <w:color w:val="000000"/>
          <w:sz w:val="22"/>
          <w:szCs w:val="22"/>
          <w:lang w:val="es-ES_tradnl" w:eastAsia="en-US"/>
        </w:rPr>
        <w:t>mandato</w:t>
      </w:r>
      <w:r w:rsidR="006A57FA" w:rsidRPr="00DD5F33">
        <w:rPr>
          <w:rFonts w:ascii="Arial" w:eastAsia="Calibri" w:hAnsi="Arial" w:cs="Arial"/>
          <w:bCs/>
          <w:color w:val="000000"/>
          <w:sz w:val="22"/>
          <w:szCs w:val="22"/>
          <w:lang w:val="es-ES_tradnl" w:eastAsia="en-US"/>
        </w:rPr>
        <w:t xml:space="preserve"> de </w:t>
      </w:r>
      <w:r w:rsidR="00D7096C" w:rsidRPr="00DD5F33">
        <w:rPr>
          <w:rFonts w:ascii="Arial" w:eastAsia="Calibri" w:hAnsi="Arial" w:cs="Arial"/>
          <w:bCs/>
          <w:color w:val="000000"/>
          <w:sz w:val="22"/>
          <w:szCs w:val="22"/>
          <w:lang w:val="es-ES_tradnl" w:eastAsia="en-US"/>
        </w:rPr>
        <w:t xml:space="preserve">publicar los documentos </w:t>
      </w:r>
      <w:r w:rsidR="004936A9" w:rsidRPr="00DD5F33">
        <w:rPr>
          <w:rFonts w:ascii="Arial" w:eastAsia="Calibri" w:hAnsi="Arial" w:cs="Arial"/>
          <w:bCs/>
          <w:color w:val="000000"/>
          <w:sz w:val="22"/>
          <w:szCs w:val="22"/>
          <w:lang w:val="es-ES_tradnl" w:eastAsia="en-US"/>
        </w:rPr>
        <w:t>es legítima</w:t>
      </w:r>
      <w:r w:rsidR="00D7096C" w:rsidRPr="00DD5F33">
        <w:rPr>
          <w:rFonts w:ascii="Arial" w:eastAsia="Calibri" w:hAnsi="Arial" w:cs="Arial"/>
          <w:bCs/>
          <w:color w:val="000000"/>
          <w:sz w:val="22"/>
          <w:szCs w:val="22"/>
          <w:lang w:val="es-ES_tradnl" w:eastAsia="en-US"/>
        </w:rPr>
        <w:t>, en términos constitucionales y legales</w:t>
      </w:r>
      <w:r w:rsidR="00971F1F" w:rsidRPr="00DD5F33">
        <w:rPr>
          <w:rStyle w:val="Refdenotaalpie"/>
          <w:rFonts w:ascii="Arial" w:eastAsia="Calibri" w:hAnsi="Arial" w:cs="Arial"/>
          <w:bCs/>
          <w:color w:val="000000"/>
          <w:sz w:val="22"/>
          <w:szCs w:val="22"/>
          <w:lang w:val="es-ES_tradnl" w:eastAsia="en-US"/>
        </w:rPr>
        <w:footnoteReference w:id="52"/>
      </w:r>
      <w:r w:rsidR="00D7096C" w:rsidRPr="00DD5F33">
        <w:rPr>
          <w:rFonts w:ascii="Arial" w:eastAsia="Calibri" w:hAnsi="Arial" w:cs="Arial"/>
          <w:bCs/>
          <w:color w:val="000000"/>
          <w:sz w:val="22"/>
          <w:szCs w:val="22"/>
          <w:lang w:val="es-ES_tradnl" w:eastAsia="en-US"/>
        </w:rPr>
        <w:t>.</w:t>
      </w:r>
      <w:r w:rsidR="00F37962" w:rsidRPr="00DD5F33">
        <w:rPr>
          <w:rFonts w:ascii="Arial" w:eastAsia="Calibri" w:hAnsi="Arial" w:cs="Arial"/>
          <w:bCs/>
          <w:color w:val="000000"/>
          <w:sz w:val="22"/>
          <w:szCs w:val="22"/>
          <w:lang w:val="es-ES_tradnl" w:eastAsia="en-US"/>
        </w:rPr>
        <w:t xml:space="preserve"> </w:t>
      </w:r>
    </w:p>
    <w:p w14:paraId="05432575" w14:textId="77777777" w:rsidR="00F331E1" w:rsidRPr="00DD5F33" w:rsidRDefault="00371152" w:rsidP="00F331E1">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lo anterior, si alguno de los oferentes presenta observacione</w:t>
      </w:r>
      <w:r w:rsidR="00677CAD" w:rsidRPr="00DD5F33">
        <w:rPr>
          <w:rFonts w:ascii="Arial" w:eastAsia="Calibri" w:hAnsi="Arial" w:cs="Arial"/>
          <w:bCs/>
          <w:color w:val="000000"/>
          <w:sz w:val="22"/>
          <w:szCs w:val="22"/>
          <w:lang w:val="es-ES_tradnl" w:eastAsia="en-US"/>
        </w:rPr>
        <w:t xml:space="preserve">s al informe de evaluación por la aplicación de los factores de desempate que </w:t>
      </w:r>
      <w:r w:rsidR="00AB0553" w:rsidRPr="00DD5F33">
        <w:rPr>
          <w:rFonts w:ascii="Arial" w:eastAsia="Calibri" w:hAnsi="Arial" w:cs="Arial"/>
          <w:bCs/>
          <w:color w:val="000000"/>
          <w:sz w:val="22"/>
          <w:szCs w:val="22"/>
          <w:lang w:val="es-ES_tradnl" w:eastAsia="en-US"/>
        </w:rPr>
        <w:t>operan</w:t>
      </w:r>
      <w:r w:rsidR="00677CAD" w:rsidRPr="00DD5F33">
        <w:rPr>
          <w:rFonts w:ascii="Arial" w:eastAsia="Calibri" w:hAnsi="Arial" w:cs="Arial"/>
          <w:bCs/>
          <w:color w:val="000000"/>
          <w:sz w:val="22"/>
          <w:szCs w:val="22"/>
          <w:lang w:val="es-ES_tradnl" w:eastAsia="en-US"/>
        </w:rPr>
        <w:t xml:space="preserve"> </w:t>
      </w:r>
      <w:r w:rsidR="00AB0553" w:rsidRPr="00DD5F33">
        <w:rPr>
          <w:rFonts w:ascii="Arial" w:eastAsia="Calibri" w:hAnsi="Arial" w:cs="Arial"/>
          <w:bCs/>
          <w:color w:val="000000"/>
          <w:sz w:val="22"/>
          <w:szCs w:val="22"/>
          <w:lang w:val="es-ES_tradnl" w:eastAsia="en-US"/>
        </w:rPr>
        <w:t>en</w:t>
      </w:r>
      <w:r w:rsidR="00677CAD" w:rsidRPr="00DD5F33">
        <w:rPr>
          <w:rFonts w:ascii="Arial" w:eastAsia="Calibri" w:hAnsi="Arial" w:cs="Arial"/>
          <w:bCs/>
          <w:color w:val="000000"/>
          <w:sz w:val="22"/>
          <w:szCs w:val="22"/>
          <w:lang w:val="es-ES_tradnl" w:eastAsia="en-US"/>
        </w:rPr>
        <w:t xml:space="preserve"> favor de las personas indicadas en el párrafo anterior, </w:t>
      </w:r>
      <w:r w:rsidR="005420C0" w:rsidRPr="00DD5F33">
        <w:rPr>
          <w:rFonts w:ascii="Arial" w:eastAsia="Calibri" w:hAnsi="Arial" w:cs="Arial"/>
          <w:bCs/>
          <w:color w:val="000000"/>
          <w:sz w:val="22"/>
          <w:szCs w:val="22"/>
          <w:lang w:val="es-ES_tradnl" w:eastAsia="en-US"/>
        </w:rPr>
        <w:t xml:space="preserve">la entidad estatal deberá resolver y publicar la respuesta a la observación, garantizando </w:t>
      </w:r>
      <w:r w:rsidR="00291717" w:rsidRPr="00DD5F33">
        <w:rPr>
          <w:rFonts w:ascii="Arial" w:eastAsia="Calibri" w:hAnsi="Arial" w:cs="Arial"/>
          <w:bCs/>
          <w:color w:val="000000"/>
          <w:sz w:val="22"/>
          <w:szCs w:val="22"/>
          <w:lang w:val="es-ES_tradnl" w:eastAsia="en-US"/>
        </w:rPr>
        <w:t>el derecho de petición, pero también la reserva</w:t>
      </w:r>
      <w:r w:rsidR="00CD5FE8" w:rsidRPr="00DD5F33">
        <w:rPr>
          <w:rFonts w:ascii="Arial" w:eastAsia="Calibri" w:hAnsi="Arial" w:cs="Arial"/>
          <w:bCs/>
          <w:color w:val="000000"/>
          <w:sz w:val="22"/>
          <w:szCs w:val="22"/>
          <w:lang w:val="es-ES_tradnl" w:eastAsia="en-US"/>
        </w:rPr>
        <w:t xml:space="preserve"> a la que se ha aludido. </w:t>
      </w:r>
      <w:r w:rsidR="00CA13AA" w:rsidRPr="00DD5F33">
        <w:rPr>
          <w:rFonts w:ascii="Arial" w:eastAsia="Calibri" w:hAnsi="Arial" w:cs="Arial"/>
          <w:bCs/>
          <w:color w:val="000000"/>
          <w:sz w:val="22"/>
          <w:szCs w:val="22"/>
          <w:lang w:val="es-ES_tradnl" w:eastAsia="en-US"/>
        </w:rPr>
        <w:t xml:space="preserve">Este tipo de respuestas, en las cuales se </w:t>
      </w:r>
      <w:r w:rsidR="00417E46" w:rsidRPr="00DD5F33">
        <w:rPr>
          <w:rFonts w:ascii="Arial" w:eastAsia="Calibri" w:hAnsi="Arial" w:cs="Arial"/>
          <w:bCs/>
          <w:color w:val="000000"/>
          <w:sz w:val="22"/>
          <w:szCs w:val="22"/>
          <w:lang w:val="es-ES_tradnl" w:eastAsia="en-US"/>
        </w:rPr>
        <w:t xml:space="preserve">contesta y sustenta lo necesario, pero se mantiene la reserva de ciertos aspectos, también </w:t>
      </w:r>
      <w:r w:rsidR="00870A84" w:rsidRPr="00DD5F33">
        <w:rPr>
          <w:rFonts w:ascii="Arial" w:eastAsia="Calibri" w:hAnsi="Arial" w:cs="Arial"/>
          <w:bCs/>
          <w:color w:val="000000"/>
          <w:sz w:val="22"/>
          <w:szCs w:val="22"/>
          <w:lang w:val="es-ES_tradnl" w:eastAsia="en-US"/>
        </w:rPr>
        <w:t>tiene fundamentación legal</w:t>
      </w:r>
      <w:r w:rsidR="00417E46" w:rsidRPr="00DD5F33">
        <w:rPr>
          <w:rFonts w:ascii="Arial" w:eastAsia="Calibri" w:hAnsi="Arial" w:cs="Arial"/>
          <w:bCs/>
          <w:color w:val="000000"/>
          <w:sz w:val="22"/>
          <w:szCs w:val="22"/>
          <w:lang w:val="es-ES_tradnl" w:eastAsia="en-US"/>
        </w:rPr>
        <w:t xml:space="preserve">. En efecto, el </w:t>
      </w:r>
      <w:r w:rsidR="003049BE" w:rsidRPr="00DD5F33">
        <w:rPr>
          <w:rFonts w:ascii="Arial" w:eastAsia="Calibri" w:hAnsi="Arial" w:cs="Arial"/>
          <w:bCs/>
          <w:color w:val="000000"/>
          <w:sz w:val="22"/>
          <w:szCs w:val="22"/>
          <w:lang w:val="es-ES_tradnl" w:eastAsia="en-US"/>
        </w:rPr>
        <w:t xml:space="preserve">primer inciso del </w:t>
      </w:r>
      <w:r w:rsidR="00417E46" w:rsidRPr="00DD5F33">
        <w:rPr>
          <w:rFonts w:ascii="Arial" w:eastAsia="Calibri" w:hAnsi="Arial" w:cs="Arial"/>
          <w:bCs/>
          <w:color w:val="000000"/>
          <w:sz w:val="22"/>
          <w:szCs w:val="22"/>
          <w:lang w:val="es-ES_tradnl" w:eastAsia="en-US"/>
        </w:rPr>
        <w:t xml:space="preserve">artículo </w:t>
      </w:r>
      <w:r w:rsidR="00BE3FF2" w:rsidRPr="00DD5F33">
        <w:rPr>
          <w:rFonts w:ascii="Arial" w:eastAsia="Calibri" w:hAnsi="Arial" w:cs="Arial"/>
          <w:bCs/>
          <w:color w:val="000000"/>
          <w:sz w:val="22"/>
          <w:szCs w:val="22"/>
          <w:lang w:val="es-ES_tradnl" w:eastAsia="en-US"/>
        </w:rPr>
        <w:t>21 de la Ley 1712 de 2014 establece</w:t>
      </w:r>
      <w:r w:rsidR="003049BE" w:rsidRPr="00DD5F33">
        <w:rPr>
          <w:rFonts w:ascii="Arial" w:eastAsia="Calibri" w:hAnsi="Arial" w:cs="Arial"/>
          <w:bCs/>
          <w:color w:val="000000"/>
          <w:sz w:val="22"/>
          <w:szCs w:val="22"/>
          <w:lang w:val="es-ES_tradnl" w:eastAsia="en-US"/>
        </w:rPr>
        <w:t>:</w:t>
      </w:r>
      <w:r w:rsidR="00F331E1" w:rsidRPr="00DD5F33">
        <w:rPr>
          <w:rFonts w:ascii="Arial" w:eastAsia="Calibri" w:hAnsi="Arial" w:cs="Arial"/>
          <w:bCs/>
          <w:color w:val="000000"/>
          <w:sz w:val="22"/>
          <w:szCs w:val="22"/>
          <w:lang w:val="es-ES_tradnl" w:eastAsia="en-US"/>
        </w:rPr>
        <w:t xml:space="preserve"> «</w:t>
      </w:r>
      <w:r w:rsidR="00BE3FF2" w:rsidRPr="00DD5F33">
        <w:rPr>
          <w:rFonts w:ascii="Arial" w:hAnsi="Arial" w:cs="Arial"/>
          <w:color w:val="000000" w:themeColor="text1"/>
          <w:sz w:val="22"/>
          <w:szCs w:val="22"/>
          <w:lang w:val="es-ES_tradnl"/>
        </w:rPr>
        <w:t xml:space="preserve">En aquellas circunstancias en que la totalidad de la información contenida en un documento no esté protegida por una excepción contenida en la presente ley, debe hacerse una versión pública que mantenga la reserva únicamente de la parte indispensable. La información </w:t>
      </w:r>
      <w:r w:rsidR="00BE3FF2" w:rsidRPr="00DD5F33">
        <w:rPr>
          <w:rFonts w:ascii="Arial" w:hAnsi="Arial" w:cs="Arial"/>
          <w:color w:val="000000" w:themeColor="text1"/>
          <w:sz w:val="22"/>
          <w:szCs w:val="22"/>
          <w:lang w:val="es-ES_tradnl"/>
        </w:rPr>
        <w:lastRenderedPageBreak/>
        <w:t xml:space="preserve">pública que no cae en ningún supuesto de excepción deberá ser entregada a la parte solicitante, así como ser de conocimiento público. </w:t>
      </w:r>
      <w:r w:rsidR="00F331E1" w:rsidRPr="00DD5F33">
        <w:rPr>
          <w:rFonts w:ascii="Arial" w:hAnsi="Arial" w:cs="Arial"/>
          <w:color w:val="000000" w:themeColor="text1"/>
          <w:sz w:val="22"/>
          <w:szCs w:val="22"/>
          <w:lang w:val="es-ES_tradnl"/>
        </w:rPr>
        <w:t>[…]».</w:t>
      </w:r>
      <w:r w:rsidR="00F331E1" w:rsidRPr="00DD5F33">
        <w:rPr>
          <w:rFonts w:ascii="Arial" w:eastAsia="Calibri" w:hAnsi="Arial" w:cs="Arial"/>
          <w:bCs/>
          <w:color w:val="000000"/>
          <w:sz w:val="22"/>
          <w:szCs w:val="22"/>
          <w:lang w:val="es-ES_tradnl" w:eastAsia="en-US"/>
        </w:rPr>
        <w:t xml:space="preserve"> </w:t>
      </w:r>
    </w:p>
    <w:p w14:paraId="33A1EA05" w14:textId="4BE21993" w:rsidR="00B16B58" w:rsidRPr="00DD5F33" w:rsidRDefault="004C4D4D" w:rsidP="00F331E1">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Si </w:t>
      </w:r>
      <w:r w:rsidR="001024C5" w:rsidRPr="00DD5F33">
        <w:rPr>
          <w:rFonts w:ascii="Arial" w:eastAsia="Calibri" w:hAnsi="Arial" w:cs="Arial"/>
          <w:bCs/>
          <w:color w:val="000000"/>
          <w:sz w:val="22"/>
          <w:szCs w:val="22"/>
          <w:lang w:val="es-ES_tradnl" w:eastAsia="en-US"/>
        </w:rPr>
        <w:t>un proponente</w:t>
      </w:r>
      <w:r w:rsidRPr="00DD5F33">
        <w:rPr>
          <w:rFonts w:ascii="Arial" w:eastAsia="Calibri" w:hAnsi="Arial" w:cs="Arial"/>
          <w:bCs/>
          <w:color w:val="000000"/>
          <w:sz w:val="22"/>
          <w:szCs w:val="22"/>
          <w:lang w:val="es-ES_tradnl" w:eastAsia="en-US"/>
        </w:rPr>
        <w:t xml:space="preserve"> solicita el documento reservado, la entidad puede rechazar el acceso al mismo</w:t>
      </w:r>
      <w:r w:rsidR="00800295" w:rsidRPr="00DD5F33">
        <w:rPr>
          <w:rFonts w:ascii="Arial" w:eastAsia="Calibri" w:hAnsi="Arial" w:cs="Arial"/>
          <w:bCs/>
          <w:color w:val="000000"/>
          <w:sz w:val="22"/>
          <w:szCs w:val="22"/>
          <w:lang w:val="es-ES_tradnl" w:eastAsia="en-US"/>
        </w:rPr>
        <w:t xml:space="preserve"> de manera motivada</w:t>
      </w:r>
      <w:r w:rsidRPr="00DD5F33">
        <w:rPr>
          <w:rFonts w:ascii="Arial" w:eastAsia="Calibri" w:hAnsi="Arial" w:cs="Arial"/>
          <w:bCs/>
          <w:color w:val="000000"/>
          <w:sz w:val="22"/>
          <w:szCs w:val="22"/>
          <w:lang w:val="es-ES_tradnl" w:eastAsia="en-US"/>
        </w:rPr>
        <w:t xml:space="preserve">, </w:t>
      </w:r>
      <w:r w:rsidR="00800295" w:rsidRPr="00DD5F33">
        <w:rPr>
          <w:rFonts w:ascii="Arial" w:eastAsia="Calibri" w:hAnsi="Arial" w:cs="Arial"/>
          <w:bCs/>
          <w:color w:val="000000"/>
          <w:sz w:val="22"/>
          <w:szCs w:val="22"/>
          <w:lang w:val="es-ES_tradnl" w:eastAsia="en-US"/>
        </w:rPr>
        <w:t xml:space="preserve">de conformidad con el artículo 6 de la Ley 1581 de 2012 y </w:t>
      </w:r>
      <w:r w:rsidR="00F37962" w:rsidRPr="00DD5F33">
        <w:rPr>
          <w:rFonts w:ascii="Arial" w:eastAsia="Calibri" w:hAnsi="Arial" w:cs="Arial"/>
          <w:bCs/>
          <w:color w:val="000000"/>
          <w:sz w:val="22"/>
          <w:szCs w:val="22"/>
          <w:lang w:val="es-ES_tradnl" w:eastAsia="en-US"/>
        </w:rPr>
        <w:t xml:space="preserve">el artículo </w:t>
      </w:r>
      <w:r w:rsidR="00800295" w:rsidRPr="00DD5F33">
        <w:rPr>
          <w:rFonts w:ascii="Arial" w:eastAsia="Calibri" w:hAnsi="Arial" w:cs="Arial"/>
          <w:bCs/>
          <w:color w:val="000000"/>
          <w:sz w:val="22"/>
          <w:szCs w:val="22"/>
          <w:lang w:val="es-ES_tradnl" w:eastAsia="en-US"/>
        </w:rPr>
        <w:t xml:space="preserve">18 de la Ley </w:t>
      </w:r>
      <w:r w:rsidR="00F37962" w:rsidRPr="00DD5F33">
        <w:rPr>
          <w:rFonts w:ascii="Arial" w:eastAsia="Calibri" w:hAnsi="Arial" w:cs="Arial"/>
          <w:bCs/>
          <w:color w:val="000000"/>
          <w:sz w:val="22"/>
          <w:szCs w:val="22"/>
          <w:lang w:val="es-ES_tradnl" w:eastAsia="en-US"/>
        </w:rPr>
        <w:t>1712 de 2014.</w:t>
      </w:r>
      <w:r w:rsidRPr="00DD5F33">
        <w:rPr>
          <w:rFonts w:ascii="Arial" w:eastAsia="Calibri" w:hAnsi="Arial" w:cs="Arial"/>
          <w:bCs/>
          <w:color w:val="000000"/>
          <w:sz w:val="22"/>
          <w:szCs w:val="22"/>
          <w:lang w:val="es-ES_tradnl" w:eastAsia="en-US"/>
        </w:rPr>
        <w:t xml:space="preserve"> </w:t>
      </w:r>
      <w:r w:rsidR="000F394D" w:rsidRPr="00DD5F33">
        <w:rPr>
          <w:rFonts w:ascii="Arial" w:eastAsia="Calibri" w:hAnsi="Arial" w:cs="Arial"/>
          <w:bCs/>
          <w:color w:val="000000"/>
          <w:sz w:val="22"/>
          <w:szCs w:val="22"/>
          <w:lang w:val="es-ES_tradnl" w:eastAsia="en-US"/>
        </w:rPr>
        <w:t xml:space="preserve">Lo anterior, sin perjuicio de lo indicado en el </w:t>
      </w:r>
      <w:r w:rsidR="00731FD7" w:rsidRPr="00DD5F33">
        <w:rPr>
          <w:rFonts w:ascii="Arial" w:eastAsia="Calibri" w:hAnsi="Arial" w:cs="Arial"/>
          <w:bCs/>
          <w:color w:val="000000"/>
          <w:sz w:val="22"/>
          <w:szCs w:val="22"/>
          <w:lang w:val="es-ES_tradnl" w:eastAsia="en-US"/>
        </w:rPr>
        <w:t>literal a) del artículo 6 de la Ley 1581 de 2012</w:t>
      </w:r>
      <w:r w:rsidR="00B16B58" w:rsidRPr="00DD5F33">
        <w:rPr>
          <w:rFonts w:ascii="Arial" w:eastAsia="Calibri" w:hAnsi="Arial" w:cs="Arial"/>
          <w:bCs/>
          <w:color w:val="000000"/>
          <w:sz w:val="22"/>
          <w:szCs w:val="22"/>
          <w:lang w:val="es-ES_tradnl" w:eastAsia="en-US"/>
        </w:rPr>
        <w:t>, para cuando «El Titular haya dado su autorización explícita a dicho Tratamiento, salvo en los casos que por ley no sea requerido el otorgamiento de dicha autorización</w:t>
      </w:r>
      <w:r w:rsidR="006C1BA5" w:rsidRPr="00DD5F33">
        <w:rPr>
          <w:rFonts w:ascii="Arial" w:eastAsia="Calibri" w:hAnsi="Arial" w:cs="Arial"/>
          <w:bCs/>
          <w:color w:val="000000"/>
          <w:sz w:val="22"/>
          <w:szCs w:val="22"/>
          <w:lang w:val="es-ES_tradnl" w:eastAsia="en-US"/>
        </w:rPr>
        <w:t>» y</w:t>
      </w:r>
      <w:r w:rsidR="00BE56EE" w:rsidRPr="00DD5F33">
        <w:rPr>
          <w:rFonts w:ascii="Arial" w:eastAsia="Calibri" w:hAnsi="Arial" w:cs="Arial"/>
          <w:bCs/>
          <w:color w:val="000000"/>
          <w:sz w:val="22"/>
          <w:szCs w:val="22"/>
          <w:lang w:val="es-ES_tradnl" w:eastAsia="en-US"/>
        </w:rPr>
        <w:t xml:space="preserve"> de lo previsto en el parágrafo del artículo 18 de la Ley 1712 de 2014, que indica:</w:t>
      </w:r>
      <w:r w:rsidR="000642C1" w:rsidRPr="00DD5F33">
        <w:rPr>
          <w:rFonts w:ascii="Arial" w:eastAsia="Calibri" w:hAnsi="Arial" w:cs="Arial"/>
          <w:bCs/>
          <w:color w:val="000000"/>
          <w:sz w:val="22"/>
          <w:szCs w:val="22"/>
          <w:lang w:val="es-ES_tradnl" w:eastAsia="en-US"/>
        </w:rPr>
        <w:t xml:space="preserve"> </w:t>
      </w:r>
      <w:r w:rsidR="00BE56EE" w:rsidRPr="00DD5F33">
        <w:rPr>
          <w:rFonts w:ascii="Arial" w:eastAsia="Calibri" w:hAnsi="Arial" w:cs="Arial"/>
          <w:bCs/>
          <w:color w:val="000000"/>
          <w:sz w:val="22"/>
          <w:szCs w:val="22"/>
          <w:lang w:val="es-ES_tradnl" w:eastAsia="en-US"/>
        </w:rPr>
        <w:t>«Estas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w:t>
      </w:r>
      <w:r w:rsidR="00D6271A" w:rsidRPr="00DD5F33">
        <w:rPr>
          <w:rFonts w:ascii="Arial" w:eastAsia="Calibri" w:hAnsi="Arial" w:cs="Arial"/>
          <w:bCs/>
          <w:color w:val="000000"/>
          <w:sz w:val="22"/>
          <w:szCs w:val="22"/>
          <w:lang w:val="es-ES_tradnl" w:eastAsia="en-US"/>
        </w:rPr>
        <w:t xml:space="preserve">». En otras palabras, una lectura sistemática del parágrafo 3 del artículo 2.2.1.2.4.2.17. del Decreto 1082 de 2015, con los artículos legales a los que se ha hecho referencia, permite concluir que </w:t>
      </w:r>
      <w:r w:rsidR="009F3ED7" w:rsidRPr="00DD5F33">
        <w:rPr>
          <w:rFonts w:ascii="Arial" w:eastAsia="Calibri" w:hAnsi="Arial" w:cs="Arial"/>
          <w:bCs/>
          <w:color w:val="000000"/>
          <w:sz w:val="22"/>
          <w:szCs w:val="22"/>
          <w:lang w:val="es-ES_tradnl" w:eastAsia="en-US"/>
        </w:rPr>
        <w:t xml:space="preserve">solo </w:t>
      </w:r>
      <w:r w:rsidR="00D6271A" w:rsidRPr="00DD5F33">
        <w:rPr>
          <w:rFonts w:ascii="Arial" w:eastAsia="Calibri" w:hAnsi="Arial" w:cs="Arial"/>
          <w:bCs/>
          <w:color w:val="000000"/>
          <w:sz w:val="22"/>
          <w:szCs w:val="22"/>
          <w:lang w:val="es-ES_tradnl" w:eastAsia="en-US"/>
        </w:rPr>
        <w:t>si el titular de la información brinda su consentimiento se podrá publicar</w:t>
      </w:r>
      <w:r w:rsidR="009F3ED7" w:rsidRPr="00DD5F33">
        <w:rPr>
          <w:rFonts w:ascii="Arial" w:eastAsia="Calibri" w:hAnsi="Arial" w:cs="Arial"/>
          <w:bCs/>
          <w:color w:val="000000"/>
          <w:sz w:val="22"/>
          <w:szCs w:val="22"/>
          <w:lang w:val="es-ES_tradnl" w:eastAsia="en-US"/>
        </w:rPr>
        <w:t xml:space="preserve"> o dar acceso a</w:t>
      </w:r>
      <w:r w:rsidR="00D6271A" w:rsidRPr="00DD5F33">
        <w:rPr>
          <w:rFonts w:ascii="Arial" w:eastAsia="Calibri" w:hAnsi="Arial" w:cs="Arial"/>
          <w:bCs/>
          <w:color w:val="000000"/>
          <w:sz w:val="22"/>
          <w:szCs w:val="22"/>
          <w:lang w:val="es-ES_tradnl" w:eastAsia="en-US"/>
        </w:rPr>
        <w:t xml:space="preserve"> su información</w:t>
      </w:r>
      <w:r w:rsidR="000642C1" w:rsidRPr="00DD5F33">
        <w:rPr>
          <w:rFonts w:ascii="Arial" w:eastAsia="Calibri" w:hAnsi="Arial" w:cs="Arial"/>
          <w:bCs/>
          <w:color w:val="000000"/>
          <w:sz w:val="22"/>
          <w:szCs w:val="22"/>
          <w:lang w:val="es-ES_tradnl" w:eastAsia="en-US"/>
        </w:rPr>
        <w:t>, en principio, reservada.</w:t>
      </w:r>
    </w:p>
    <w:p w14:paraId="43A870E8" w14:textId="7C5CEBE3" w:rsidR="00B329CE" w:rsidRPr="00DD5F33" w:rsidRDefault="002C6292" w:rsidP="00A40457">
      <w:pPr>
        <w:shd w:val="clear" w:color="auto" w:fill="FFFFFF"/>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Cabe anotar, sin perjuicio de lo anterior, que no necesariamente la autorización para el manejo de datos sensibles por parte de la entidad estatal, a la que aluden los últimos incisos de los numerales 5 y 6 del artículo </w:t>
      </w:r>
      <w:r w:rsidR="00CE1520" w:rsidRPr="00DD5F33">
        <w:rPr>
          <w:rFonts w:ascii="Arial" w:eastAsia="Calibri" w:hAnsi="Arial" w:cs="Arial"/>
          <w:bCs/>
          <w:color w:val="000000"/>
          <w:sz w:val="22"/>
          <w:szCs w:val="22"/>
          <w:lang w:val="es-ES_tradnl" w:eastAsia="en-US"/>
        </w:rPr>
        <w:t xml:space="preserve">2.2.1.2.4.2.17. implica una autorización para que </w:t>
      </w:r>
      <w:r w:rsidR="00DD3D76" w:rsidRPr="00DD5F33">
        <w:rPr>
          <w:rFonts w:ascii="Arial" w:eastAsia="Calibri" w:hAnsi="Arial" w:cs="Arial"/>
          <w:bCs/>
          <w:color w:val="000000"/>
          <w:sz w:val="22"/>
          <w:szCs w:val="22"/>
          <w:lang w:val="es-ES_tradnl" w:eastAsia="en-US"/>
        </w:rPr>
        <w:t>aquella</w:t>
      </w:r>
      <w:r w:rsidR="00CE1520" w:rsidRPr="00DD5F33">
        <w:rPr>
          <w:rFonts w:ascii="Arial" w:eastAsia="Calibri" w:hAnsi="Arial" w:cs="Arial"/>
          <w:bCs/>
          <w:color w:val="000000"/>
          <w:sz w:val="22"/>
          <w:szCs w:val="22"/>
          <w:lang w:val="es-ES_tradnl" w:eastAsia="en-US"/>
        </w:rPr>
        <w:t xml:space="preserve"> publique en el SECOP los datos</w:t>
      </w:r>
      <w:r w:rsidR="00F366C0" w:rsidRPr="00DD5F33">
        <w:rPr>
          <w:rFonts w:ascii="Arial" w:eastAsia="Calibri" w:hAnsi="Arial" w:cs="Arial"/>
          <w:bCs/>
          <w:color w:val="000000"/>
          <w:sz w:val="22"/>
          <w:szCs w:val="22"/>
          <w:lang w:val="es-ES_tradnl" w:eastAsia="en-US"/>
        </w:rPr>
        <w:t xml:space="preserve">. La autorización a la que se refieren dichos incisos es para que la entidad </w:t>
      </w:r>
      <w:r w:rsidR="002E0557" w:rsidRPr="00DD5F33">
        <w:rPr>
          <w:rFonts w:ascii="Arial" w:eastAsia="Calibri" w:hAnsi="Arial" w:cs="Arial"/>
          <w:bCs/>
          <w:color w:val="000000"/>
          <w:sz w:val="22"/>
          <w:szCs w:val="22"/>
          <w:lang w:val="es-ES_tradnl" w:eastAsia="en-US"/>
        </w:rPr>
        <w:t>estatal pueda tratar o manejar dicha información; y no para</w:t>
      </w:r>
      <w:r w:rsidR="00DD3D76" w:rsidRPr="00DD5F33">
        <w:rPr>
          <w:rFonts w:ascii="Arial" w:eastAsia="Calibri" w:hAnsi="Arial" w:cs="Arial"/>
          <w:bCs/>
          <w:color w:val="000000"/>
          <w:sz w:val="22"/>
          <w:szCs w:val="22"/>
          <w:lang w:val="es-ES_tradnl" w:eastAsia="en-US"/>
        </w:rPr>
        <w:t xml:space="preserve"> que</w:t>
      </w:r>
      <w:r w:rsidR="002E0557" w:rsidRPr="00DD5F33">
        <w:rPr>
          <w:rFonts w:ascii="Arial" w:eastAsia="Calibri" w:hAnsi="Arial" w:cs="Arial"/>
          <w:bCs/>
          <w:color w:val="000000"/>
          <w:sz w:val="22"/>
          <w:szCs w:val="22"/>
          <w:lang w:val="es-ES_tradnl" w:eastAsia="en-US"/>
        </w:rPr>
        <w:t xml:space="preserve"> terceras personas</w:t>
      </w:r>
      <w:r w:rsidR="00DD3D76" w:rsidRPr="00DD5F33">
        <w:rPr>
          <w:rFonts w:ascii="Arial" w:eastAsia="Calibri" w:hAnsi="Arial" w:cs="Arial"/>
          <w:bCs/>
          <w:color w:val="000000"/>
          <w:sz w:val="22"/>
          <w:szCs w:val="22"/>
          <w:lang w:val="es-ES_tradnl" w:eastAsia="en-US"/>
        </w:rPr>
        <w:t xml:space="preserve"> puedan acceder a esta</w:t>
      </w:r>
      <w:r w:rsidR="002E0557" w:rsidRPr="00DD5F33">
        <w:rPr>
          <w:rFonts w:ascii="Arial" w:eastAsia="Calibri" w:hAnsi="Arial" w:cs="Arial"/>
          <w:bCs/>
          <w:color w:val="000000"/>
          <w:sz w:val="22"/>
          <w:szCs w:val="22"/>
          <w:lang w:val="es-ES_tradnl" w:eastAsia="en-US"/>
        </w:rPr>
        <w:t xml:space="preserve">. </w:t>
      </w:r>
      <w:r w:rsidR="00DD3D76" w:rsidRPr="00DD5F33">
        <w:rPr>
          <w:rFonts w:ascii="Arial" w:eastAsia="Calibri" w:hAnsi="Arial" w:cs="Arial"/>
          <w:bCs/>
          <w:color w:val="000000"/>
          <w:sz w:val="22"/>
          <w:szCs w:val="22"/>
          <w:lang w:val="es-ES_tradnl" w:eastAsia="en-US"/>
        </w:rPr>
        <w:t>Distinto</w:t>
      </w:r>
      <w:r w:rsidR="001A1B20" w:rsidRPr="00DD5F33">
        <w:rPr>
          <w:rFonts w:ascii="Arial" w:eastAsia="Calibri" w:hAnsi="Arial" w:cs="Arial"/>
          <w:bCs/>
          <w:color w:val="000000"/>
          <w:sz w:val="22"/>
          <w:szCs w:val="22"/>
          <w:lang w:val="es-ES_tradnl" w:eastAsia="en-US"/>
        </w:rPr>
        <w:t xml:space="preserve"> es el consentimiento para la revelación de la información al que alude el parágrafo del artículo 18 de la Ley 1712 de 2014. Si este consentimiento no se ha otorgado, se debe aplicar la prohibición a publicar dicha información</w:t>
      </w:r>
      <w:r w:rsidR="00A40457" w:rsidRPr="00DD5F33">
        <w:rPr>
          <w:rFonts w:ascii="Arial" w:eastAsia="Calibri" w:hAnsi="Arial" w:cs="Arial"/>
          <w:bCs/>
          <w:color w:val="000000"/>
          <w:sz w:val="22"/>
          <w:szCs w:val="22"/>
          <w:lang w:val="es-ES_tradnl" w:eastAsia="en-US"/>
        </w:rPr>
        <w:t xml:space="preserve"> en el SECOP</w:t>
      </w:r>
      <w:r w:rsidR="001A1B20" w:rsidRPr="00DD5F33">
        <w:rPr>
          <w:rFonts w:ascii="Arial" w:eastAsia="Calibri" w:hAnsi="Arial" w:cs="Arial"/>
          <w:bCs/>
          <w:color w:val="000000"/>
          <w:sz w:val="22"/>
          <w:szCs w:val="22"/>
          <w:lang w:val="es-ES_tradnl" w:eastAsia="en-US"/>
        </w:rPr>
        <w:t>, contenida en el parágrafo 3 del artículo 2.2.1.2.4.2.17.</w:t>
      </w:r>
      <w:r w:rsidR="00644BD9" w:rsidRPr="00DD5F33">
        <w:rPr>
          <w:rFonts w:ascii="Arial" w:eastAsia="Calibri" w:hAnsi="Arial" w:cs="Arial"/>
          <w:bCs/>
          <w:color w:val="000000"/>
          <w:sz w:val="22"/>
          <w:szCs w:val="22"/>
          <w:lang w:val="es-ES_tradnl" w:eastAsia="en-US"/>
        </w:rPr>
        <w:t xml:space="preserve"> del Decreto 1082 de 2015, adicionado por el artículo 3 del Decreto 1860 de 2021.</w:t>
      </w:r>
    </w:p>
    <w:p w14:paraId="4044FBCC"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17C927C" w14:textId="6FC3BDAB" w:rsidR="00B02A68" w:rsidRPr="00DD5F33" w:rsidRDefault="003B2DFA"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“ARTÍCULO 3. Adición de los artículos 2.2.1.2.4.2.14, 2.2.1.2.4.2.15, 2.2.1.2.4.2.16, 2.2.1.2.4.2.17 y 2.2.1.2.4.2. 18 a la Subsección 2 de la Sección 4 del Capítulo 2 del Título 1 de la Parte 2 del Libro 2 del Decreto 1082 de 2015. Adiciónense los artículos 2.2.1.2.4.2.14, 2.2.1.2.4.2.15, 2.2.1.2.4.2.16, 2.2.1.2.4.2.17 y 2.2.1.2.4.2.18 a la Subsección 2 de la Sección 4 del Capítulo 2 del Título 1 de la Parte 2 del Libro 2 del Decreto 1082 de 2015, los cuales quedarán así.</w:t>
      </w:r>
    </w:p>
    <w:p w14:paraId="130C5C9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C47DF05"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 ARTÍCULO 2.2.1.2.4.2.16. 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w:t>
      </w:r>
      <w:r w:rsidRPr="00DD5F33">
        <w:rPr>
          <w:rFonts w:ascii="Arial" w:hAnsi="Arial" w:cs="Arial"/>
          <w:color w:val="000000" w:themeColor="text1"/>
          <w:sz w:val="21"/>
          <w:szCs w:val="21"/>
          <w:lang w:val="es-ES_tradnl"/>
        </w:rPr>
        <w:lastRenderedPageBreak/>
        <w:t>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4C43B36F"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C478363"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»La participación de los sujetos anteriormente mencionados en la ejecución del contrato se fomentará previo análisis de su oportunidad y conveniencia en los Documentos del Proceso, teniendo en cuenta el objeto contractual y el alcance de las obligaciones.</w:t>
      </w:r>
    </w:p>
    <w:p w14:paraId="3E88538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0EF9C88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1F8E8C08"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A9ED018"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»Previo análisis de oportunidad y conveniencia, la Entidad Estatal incorporará esta obligación en la minuta del contrato del pliego de condiciones o documento equivalente, precisando las sanciones pecuniarias producto del incumplimiento injustificado de esta a través de las causales de multa que estime pertinentes.</w:t>
      </w:r>
    </w:p>
    <w:p w14:paraId="79A2039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77137CF"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»El supervisor o el interventor, según el caso, realizará el seguimiento y verificará que las personas vinculadas al inicio y durante la ejecución del contrato pertenezcan a los grupos poblacionales enunciados anteriormente. (...)”</w:t>
      </w:r>
    </w:p>
    <w:p w14:paraId="2D76EC9F"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4660633B"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7ACBB59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4030014"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¿Qué documento público y que Entidad de orden Nacional y/o Distrital emitirá la acreditación de los sujetos de especial protección constitucional? ¿Qué documentos adicionales se deberán presentar para acreditar la condición especial? ¿La documentación para acreditar la condición especial de protección constitucional podrá ser publicada en SECOP para co (sic)</w:t>
      </w:r>
    </w:p>
    <w:p w14:paraId="3226FA60" w14:textId="50942E99"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nocimiento de terceros o afectaría el derecho a la intimidad de los sujetos? (sic)</w:t>
      </w:r>
      <w:r w:rsidR="00E7036D" w:rsidRPr="00DD5F33">
        <w:rPr>
          <w:rFonts w:ascii="Arial" w:hAnsi="Arial" w:cs="Arial"/>
          <w:color w:val="000000" w:themeColor="text1"/>
          <w:sz w:val="21"/>
          <w:szCs w:val="21"/>
          <w:lang w:val="es-ES_tradnl"/>
        </w:rPr>
        <w:t>»</w:t>
      </w:r>
    </w:p>
    <w:p w14:paraId="1C5FF923" w14:textId="4311289D" w:rsidR="00B02A68" w:rsidRPr="00DD5F33" w:rsidRDefault="00B02A68" w:rsidP="00B02A68">
      <w:pPr>
        <w:ind w:left="709" w:right="709"/>
        <w:jc w:val="both"/>
        <w:rPr>
          <w:rFonts w:ascii="Arial" w:hAnsi="Arial" w:cs="Arial"/>
          <w:color w:val="000000" w:themeColor="text1"/>
          <w:sz w:val="21"/>
          <w:szCs w:val="21"/>
          <w:lang w:val="es-ES_tradnl"/>
        </w:rPr>
      </w:pPr>
    </w:p>
    <w:p w14:paraId="30ADAF32" w14:textId="236D4F38" w:rsidR="00670F76" w:rsidRPr="00DD5F33" w:rsidRDefault="00F11F2F" w:rsidP="00077F6A">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El </w:t>
      </w:r>
      <w:r w:rsidR="004B4BCC" w:rsidRPr="00DD5F33">
        <w:rPr>
          <w:rFonts w:ascii="Arial" w:eastAsia="Calibri" w:hAnsi="Arial" w:cs="Arial"/>
          <w:bCs/>
          <w:color w:val="000000"/>
          <w:sz w:val="22"/>
          <w:szCs w:val="22"/>
          <w:lang w:val="es-ES_tradnl" w:eastAsia="en-US"/>
        </w:rPr>
        <w:t>segundo inciso del parágrafo 1 del artículo 2.2.1.2.4.2.16. establece que «</w:t>
      </w:r>
      <w:r w:rsidR="00670F76" w:rsidRPr="00DD5F33">
        <w:rPr>
          <w:rFonts w:ascii="Arial" w:eastAsia="Calibri" w:hAnsi="Arial" w:cs="Arial"/>
          <w:bCs/>
          <w:color w:val="000000"/>
          <w:sz w:val="22"/>
          <w:szCs w:val="22"/>
          <w:lang w:val="es-ES_tradnl" w:eastAsia="en-US"/>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r w:rsidR="005546AD" w:rsidRPr="00DD5F33">
        <w:rPr>
          <w:rFonts w:ascii="Arial" w:eastAsia="Calibri" w:hAnsi="Arial" w:cs="Arial"/>
          <w:bCs/>
          <w:color w:val="000000"/>
          <w:sz w:val="22"/>
          <w:szCs w:val="22"/>
          <w:lang w:val="es-ES_tradnl" w:eastAsia="en-US"/>
        </w:rPr>
        <w:t xml:space="preserve"> </w:t>
      </w:r>
      <w:r w:rsidR="001B3465" w:rsidRPr="00DD5F33">
        <w:rPr>
          <w:rFonts w:ascii="Arial" w:eastAsia="Calibri" w:hAnsi="Arial" w:cs="Arial"/>
          <w:bCs/>
          <w:color w:val="000000"/>
          <w:sz w:val="22"/>
          <w:szCs w:val="22"/>
          <w:lang w:val="es-ES_tradnl" w:eastAsia="en-US"/>
        </w:rPr>
        <w:t>En efecto, e</w:t>
      </w:r>
      <w:r w:rsidR="005546AD" w:rsidRPr="00DD5F33">
        <w:rPr>
          <w:rFonts w:ascii="Arial" w:eastAsia="Calibri" w:hAnsi="Arial" w:cs="Arial"/>
          <w:bCs/>
          <w:color w:val="000000"/>
          <w:sz w:val="22"/>
          <w:szCs w:val="22"/>
          <w:lang w:val="es-ES_tradnl" w:eastAsia="en-US"/>
        </w:rPr>
        <w:t>l artículo 2.2.1.2.4.2.17</w:t>
      </w:r>
      <w:r w:rsidR="00476E01" w:rsidRPr="00DD5F33">
        <w:rPr>
          <w:rFonts w:ascii="Arial" w:eastAsia="Calibri" w:hAnsi="Arial" w:cs="Arial"/>
          <w:bCs/>
          <w:color w:val="000000"/>
          <w:sz w:val="22"/>
          <w:szCs w:val="22"/>
          <w:lang w:val="es-ES_tradnl" w:eastAsia="en-US"/>
        </w:rPr>
        <w:t xml:space="preserve"> </w:t>
      </w:r>
      <w:r w:rsidR="00432A23" w:rsidRPr="00DD5F33">
        <w:rPr>
          <w:rFonts w:ascii="Arial" w:eastAsia="Calibri" w:hAnsi="Arial" w:cs="Arial"/>
          <w:bCs/>
          <w:color w:val="000000"/>
          <w:sz w:val="22"/>
          <w:szCs w:val="22"/>
          <w:lang w:val="es-ES_tradnl" w:eastAsia="en-US"/>
        </w:rPr>
        <w:t xml:space="preserve">establece la forma </w:t>
      </w:r>
      <w:r w:rsidR="00476E01" w:rsidRPr="00DD5F33">
        <w:rPr>
          <w:rFonts w:ascii="Arial" w:eastAsia="Calibri" w:hAnsi="Arial" w:cs="Arial"/>
          <w:bCs/>
          <w:color w:val="000000"/>
          <w:sz w:val="22"/>
          <w:szCs w:val="22"/>
          <w:lang w:val="es-ES_tradnl" w:eastAsia="en-US"/>
        </w:rPr>
        <w:t xml:space="preserve">como se </w:t>
      </w:r>
      <w:r w:rsidR="00432A23" w:rsidRPr="00DD5F33">
        <w:rPr>
          <w:rFonts w:ascii="Arial" w:eastAsia="Calibri" w:hAnsi="Arial" w:cs="Arial"/>
          <w:bCs/>
          <w:color w:val="000000"/>
          <w:sz w:val="22"/>
          <w:szCs w:val="22"/>
          <w:lang w:val="es-ES_tradnl" w:eastAsia="en-US"/>
        </w:rPr>
        <w:t>de</w:t>
      </w:r>
      <w:r w:rsidR="00476E01" w:rsidRPr="00DD5F33">
        <w:rPr>
          <w:rFonts w:ascii="Arial" w:eastAsia="Calibri" w:hAnsi="Arial" w:cs="Arial"/>
          <w:bCs/>
          <w:color w:val="000000"/>
          <w:sz w:val="22"/>
          <w:szCs w:val="22"/>
          <w:lang w:val="es-ES_tradnl" w:eastAsia="en-US"/>
        </w:rPr>
        <w:t>be</w:t>
      </w:r>
      <w:r w:rsidR="00432A23" w:rsidRPr="00DD5F33">
        <w:rPr>
          <w:rFonts w:ascii="Arial" w:eastAsia="Calibri" w:hAnsi="Arial" w:cs="Arial"/>
          <w:bCs/>
          <w:color w:val="000000"/>
          <w:sz w:val="22"/>
          <w:szCs w:val="22"/>
          <w:lang w:val="es-ES_tradnl" w:eastAsia="en-US"/>
        </w:rPr>
        <w:t xml:space="preserve"> </w:t>
      </w:r>
      <w:r w:rsidR="001B3465" w:rsidRPr="00DD5F33">
        <w:rPr>
          <w:rFonts w:ascii="Arial" w:eastAsia="Calibri" w:hAnsi="Arial" w:cs="Arial"/>
          <w:bCs/>
          <w:color w:val="000000"/>
          <w:sz w:val="22"/>
          <w:szCs w:val="22"/>
          <w:lang w:val="es-ES_tradnl" w:eastAsia="en-US"/>
        </w:rPr>
        <w:t>acreditar el carácter de sujeto de especial protección constitucional, en ciertos eventos</w:t>
      </w:r>
      <w:r w:rsidR="00432A23" w:rsidRPr="00DD5F33">
        <w:rPr>
          <w:rFonts w:ascii="Arial" w:eastAsia="Calibri" w:hAnsi="Arial" w:cs="Arial"/>
          <w:bCs/>
          <w:color w:val="000000"/>
          <w:sz w:val="22"/>
          <w:szCs w:val="22"/>
          <w:lang w:val="es-ES_tradnl" w:eastAsia="en-US"/>
        </w:rPr>
        <w:t>. Por ejemplo</w:t>
      </w:r>
      <w:r w:rsidR="00DE5B5A" w:rsidRPr="00DD5F33">
        <w:rPr>
          <w:rFonts w:ascii="Arial" w:eastAsia="Calibri" w:hAnsi="Arial" w:cs="Arial"/>
          <w:bCs/>
          <w:color w:val="000000"/>
          <w:sz w:val="22"/>
          <w:szCs w:val="22"/>
          <w:lang w:val="es-ES_tradnl" w:eastAsia="en-US"/>
        </w:rPr>
        <w:t>, a título enunciativo</w:t>
      </w:r>
      <w:r w:rsidR="00432A23" w:rsidRPr="00DD5F33">
        <w:rPr>
          <w:rFonts w:ascii="Arial" w:eastAsia="Calibri" w:hAnsi="Arial" w:cs="Arial"/>
          <w:bCs/>
          <w:color w:val="000000"/>
          <w:sz w:val="22"/>
          <w:szCs w:val="22"/>
          <w:lang w:val="es-ES_tradnl" w:eastAsia="en-US"/>
        </w:rPr>
        <w:t xml:space="preserve">: </w:t>
      </w:r>
    </w:p>
    <w:p w14:paraId="4979065F" w14:textId="030D3B2E" w:rsidR="00432A23" w:rsidRPr="00DD5F33" w:rsidRDefault="00432A23" w:rsidP="006F59C7">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 </w:t>
      </w:r>
      <w:r w:rsidR="003A3501" w:rsidRPr="00DD5F33">
        <w:rPr>
          <w:rFonts w:ascii="Arial" w:eastAsia="Calibri" w:hAnsi="Arial" w:cs="Arial"/>
          <w:bCs/>
          <w:color w:val="000000"/>
          <w:sz w:val="22"/>
          <w:szCs w:val="22"/>
          <w:lang w:val="es-ES_tradnl" w:eastAsia="en-US"/>
        </w:rPr>
        <w:t xml:space="preserve">De acuerdo con el numeral </w:t>
      </w:r>
      <w:r w:rsidR="008E09FE" w:rsidRPr="00DD5F33">
        <w:rPr>
          <w:rFonts w:ascii="Arial" w:eastAsia="Calibri" w:hAnsi="Arial" w:cs="Arial"/>
          <w:bCs/>
          <w:color w:val="000000"/>
          <w:sz w:val="22"/>
          <w:szCs w:val="22"/>
          <w:lang w:val="es-ES_tradnl" w:eastAsia="en-US"/>
        </w:rPr>
        <w:t>2, p</w:t>
      </w:r>
      <w:r w:rsidR="00F926FA" w:rsidRPr="00DD5F33">
        <w:rPr>
          <w:rFonts w:ascii="Arial" w:eastAsia="Calibri" w:hAnsi="Arial" w:cs="Arial"/>
          <w:bCs/>
          <w:color w:val="000000"/>
          <w:sz w:val="22"/>
          <w:szCs w:val="22"/>
          <w:lang w:val="es-ES_tradnl" w:eastAsia="en-US"/>
        </w:rPr>
        <w:t xml:space="preserve">ara las mujeres cabeza de familia, </w:t>
      </w:r>
      <w:r w:rsidR="006F59C7" w:rsidRPr="00DD5F33">
        <w:rPr>
          <w:rFonts w:ascii="Arial" w:eastAsia="Calibri" w:hAnsi="Arial" w:cs="Arial"/>
          <w:bCs/>
          <w:color w:val="000000"/>
          <w:sz w:val="22"/>
          <w:szCs w:val="22"/>
          <w:lang w:val="es-ES_tradnl" w:eastAsia="en-US"/>
        </w:rPr>
        <w:t xml:space="preserve">«Su acreditación se realizará en los términos del parágrafo del artículo 2 de la Ley 82 de 1993, modificado por el artículo 1 de la Ley 1232 de 2008, o la norma que lo modifique, aclare, adicione o </w:t>
      </w:r>
      <w:r w:rsidR="006F59C7" w:rsidRPr="00DD5F33">
        <w:rPr>
          <w:rFonts w:ascii="Arial" w:eastAsia="Calibri" w:hAnsi="Arial" w:cs="Arial"/>
          <w:bCs/>
          <w:color w:val="000000"/>
          <w:sz w:val="22"/>
          <w:szCs w:val="22"/>
          <w:lang w:val="es-ES_tradnl" w:eastAsia="en-US"/>
        </w:rPr>
        <w:lastRenderedPageBreak/>
        <w:t>sustituya. Es decir, la condición de mujer cabeza de familia y la cesación de esta se otorgará desde el momento en que ocurra el respectivo evento y se declare ante un notario».</w:t>
      </w:r>
    </w:p>
    <w:p w14:paraId="32563D37" w14:textId="61B00001" w:rsidR="006F59C7" w:rsidRPr="00DD5F33" w:rsidRDefault="006F59C7" w:rsidP="006F59C7">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ii) </w:t>
      </w:r>
      <w:r w:rsidR="003A3501" w:rsidRPr="00DD5F33">
        <w:rPr>
          <w:rFonts w:ascii="Arial" w:eastAsia="Calibri" w:hAnsi="Arial" w:cs="Arial"/>
          <w:bCs/>
          <w:color w:val="000000"/>
          <w:sz w:val="22"/>
          <w:szCs w:val="22"/>
          <w:lang w:val="es-ES_tradnl" w:eastAsia="en-US"/>
        </w:rPr>
        <w:t xml:space="preserve">Según el numeral 5, </w:t>
      </w:r>
      <w:r w:rsidR="0043488C" w:rsidRPr="00DD5F33">
        <w:rPr>
          <w:rFonts w:ascii="Arial" w:eastAsia="Calibri" w:hAnsi="Arial" w:cs="Arial"/>
          <w:bCs/>
          <w:color w:val="000000"/>
          <w:sz w:val="22"/>
          <w:szCs w:val="22"/>
          <w:lang w:val="es-ES_tradnl" w:eastAsia="en-US"/>
        </w:rPr>
        <w:t>la acreditación</w:t>
      </w:r>
      <w:r w:rsidR="004853CD" w:rsidRPr="00DD5F33">
        <w:rPr>
          <w:rFonts w:ascii="Arial" w:eastAsia="Calibri" w:hAnsi="Arial" w:cs="Arial"/>
          <w:bCs/>
          <w:color w:val="000000"/>
          <w:sz w:val="22"/>
          <w:szCs w:val="22"/>
          <w:lang w:val="es-ES_tradnl" w:eastAsia="en-US"/>
        </w:rPr>
        <w:t xml:space="preserve"> </w:t>
      </w:r>
      <w:r w:rsidR="0043488C" w:rsidRPr="00DD5F33">
        <w:rPr>
          <w:rFonts w:ascii="Arial" w:eastAsia="Calibri" w:hAnsi="Arial" w:cs="Arial"/>
          <w:bCs/>
          <w:color w:val="000000"/>
          <w:sz w:val="22"/>
          <w:szCs w:val="22"/>
          <w:lang w:val="es-ES_tradnl" w:eastAsia="en-US"/>
        </w:rPr>
        <w:t>de la pertenencia a</w:t>
      </w:r>
      <w:r w:rsidR="004853CD" w:rsidRPr="00DD5F33">
        <w:rPr>
          <w:rFonts w:ascii="Arial" w:eastAsia="Calibri" w:hAnsi="Arial" w:cs="Arial"/>
          <w:bCs/>
          <w:color w:val="000000"/>
          <w:sz w:val="22"/>
          <w:szCs w:val="22"/>
          <w:lang w:val="es-ES_tradnl" w:eastAsia="en-US"/>
        </w:rPr>
        <w:t xml:space="preserve"> la población indígena, negra, afrocolombiana, raizal, palenquera, Rrom o gitana, en los términos del Decreto Ley 2893 de 2011, o la norma que lo modifique, sustituya o complemente</w:t>
      </w:r>
      <w:r w:rsidR="00A7559A" w:rsidRPr="00DD5F33">
        <w:rPr>
          <w:rFonts w:ascii="Arial" w:eastAsia="Calibri" w:hAnsi="Arial" w:cs="Arial"/>
          <w:bCs/>
          <w:color w:val="000000"/>
          <w:sz w:val="22"/>
          <w:szCs w:val="22"/>
          <w:lang w:val="es-ES_tradnl" w:eastAsia="en-US"/>
        </w:rPr>
        <w:t xml:space="preserve">, se certifica </w:t>
      </w:r>
      <w:r w:rsidR="0043488C" w:rsidRPr="00DD5F33">
        <w:rPr>
          <w:rFonts w:ascii="Arial" w:eastAsia="Calibri" w:hAnsi="Arial" w:cs="Arial"/>
          <w:bCs/>
          <w:color w:val="000000"/>
          <w:sz w:val="22"/>
          <w:szCs w:val="22"/>
          <w:lang w:val="es-ES_tradnl" w:eastAsia="en-US"/>
        </w:rPr>
        <w:t xml:space="preserve">por </w:t>
      </w:r>
      <w:r w:rsidR="00A7559A" w:rsidRPr="00DD5F33">
        <w:rPr>
          <w:rFonts w:ascii="Arial" w:eastAsia="Calibri" w:hAnsi="Arial" w:cs="Arial"/>
          <w:bCs/>
          <w:color w:val="000000"/>
          <w:sz w:val="22"/>
          <w:szCs w:val="22"/>
          <w:lang w:val="es-ES_tradnl" w:eastAsia="en-US"/>
        </w:rPr>
        <w:t>el Ministerio del Interior</w:t>
      </w:r>
      <w:r w:rsidR="008E09FE" w:rsidRPr="00DD5F33">
        <w:rPr>
          <w:rFonts w:ascii="Arial" w:eastAsia="Calibri" w:hAnsi="Arial" w:cs="Arial"/>
          <w:bCs/>
          <w:color w:val="000000"/>
          <w:sz w:val="22"/>
          <w:szCs w:val="22"/>
          <w:lang w:val="es-ES_tradnl" w:eastAsia="en-US"/>
        </w:rPr>
        <w:t>.</w:t>
      </w:r>
      <w:r w:rsidR="0043488C" w:rsidRPr="00DD5F33">
        <w:rPr>
          <w:rFonts w:ascii="Arial" w:eastAsia="Calibri" w:hAnsi="Arial" w:cs="Arial"/>
          <w:bCs/>
          <w:color w:val="000000"/>
          <w:sz w:val="22"/>
          <w:szCs w:val="22"/>
          <w:lang w:val="es-ES_tradnl" w:eastAsia="en-US"/>
        </w:rPr>
        <w:t xml:space="preserve"> </w:t>
      </w:r>
    </w:p>
    <w:p w14:paraId="37FD11D0" w14:textId="02A0EDC1" w:rsidR="00DE5B5A" w:rsidRPr="00DD5F33" w:rsidRDefault="00DE5B5A" w:rsidP="006F59C7">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iii) De conformidad con el numeral 6, </w:t>
      </w:r>
      <w:r w:rsidR="00B945E3" w:rsidRPr="00DD5F33">
        <w:rPr>
          <w:rFonts w:ascii="Arial" w:eastAsia="Calibri" w:hAnsi="Arial" w:cs="Arial"/>
          <w:bCs/>
          <w:color w:val="000000"/>
          <w:sz w:val="22"/>
          <w:szCs w:val="22"/>
          <w:lang w:val="es-ES_tradnl" w:eastAsia="en-US"/>
        </w:rPr>
        <w:t>la situación de encontrarse en un proceso de reintegración o reincorporación</w:t>
      </w:r>
      <w:r w:rsidR="009D181A" w:rsidRPr="00DD5F33">
        <w:rPr>
          <w:rFonts w:ascii="Arial" w:eastAsia="Calibri" w:hAnsi="Arial" w:cs="Arial"/>
          <w:bCs/>
          <w:color w:val="000000"/>
          <w:sz w:val="22"/>
          <w:szCs w:val="22"/>
          <w:lang w:val="es-ES_tradnl" w:eastAsia="en-US"/>
        </w:rPr>
        <w:t>,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1226D3A1" w14:textId="1D4BB2D7" w:rsidR="00670F76" w:rsidRPr="00DD5F33" w:rsidRDefault="008A07C1" w:rsidP="008A07C1">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En todo caso, el </w:t>
      </w:r>
      <w:r w:rsidR="00925F4F" w:rsidRPr="00DD5F33">
        <w:rPr>
          <w:rFonts w:ascii="Arial" w:eastAsia="Calibri" w:hAnsi="Arial" w:cs="Arial"/>
          <w:bCs/>
          <w:color w:val="000000"/>
          <w:sz w:val="22"/>
          <w:szCs w:val="22"/>
          <w:lang w:val="es-ES_tradnl" w:eastAsia="en-US"/>
        </w:rPr>
        <w:t xml:space="preserve">parágrafo 1 del artículo 2.2.1.2.4.2.16. dispone que </w:t>
      </w:r>
      <w:r w:rsidR="00C76972" w:rsidRPr="00DD5F33">
        <w:rPr>
          <w:rFonts w:ascii="Arial" w:eastAsia="Calibri" w:hAnsi="Arial" w:cs="Arial"/>
          <w:bCs/>
          <w:color w:val="000000"/>
          <w:sz w:val="22"/>
          <w:szCs w:val="22"/>
          <w:lang w:val="es-ES_tradnl" w:eastAsia="en-US"/>
        </w:rPr>
        <w:t>si no existe</w:t>
      </w:r>
      <w:r w:rsidR="00CF3064" w:rsidRPr="00DD5F33">
        <w:rPr>
          <w:rFonts w:ascii="Arial" w:eastAsia="Calibri" w:hAnsi="Arial" w:cs="Arial"/>
          <w:bCs/>
          <w:color w:val="000000"/>
          <w:sz w:val="22"/>
          <w:szCs w:val="22"/>
          <w:lang w:val="es-ES_tradnl" w:eastAsia="en-US"/>
        </w:rPr>
        <w:t xml:space="preserve"> una condición especial para demostrar </w:t>
      </w:r>
      <w:r w:rsidR="00987B3A" w:rsidRPr="00DD5F33">
        <w:rPr>
          <w:rFonts w:ascii="Arial" w:eastAsia="Calibri" w:hAnsi="Arial" w:cs="Arial"/>
          <w:bCs/>
          <w:color w:val="000000"/>
          <w:sz w:val="22"/>
          <w:szCs w:val="22"/>
          <w:lang w:val="es-ES_tradnl" w:eastAsia="en-US"/>
        </w:rPr>
        <w:t>las circunstancias que hacen a las personas sujetos de especial protección constitucional</w:t>
      </w:r>
      <w:r w:rsidR="00925F4F" w:rsidRPr="00DD5F33">
        <w:rPr>
          <w:rFonts w:ascii="Arial" w:eastAsia="Calibri" w:hAnsi="Arial" w:cs="Arial"/>
          <w:bCs/>
          <w:color w:val="000000"/>
          <w:sz w:val="22"/>
          <w:szCs w:val="22"/>
          <w:lang w:val="es-ES_tradnl" w:eastAsia="en-US"/>
        </w:rPr>
        <w:t xml:space="preserve">, </w:t>
      </w:r>
      <w:r w:rsidR="00987B3A" w:rsidRPr="00DD5F33">
        <w:rPr>
          <w:rFonts w:ascii="Arial" w:eastAsia="Calibri" w:hAnsi="Arial" w:cs="Arial"/>
          <w:bCs/>
          <w:color w:val="000000"/>
          <w:sz w:val="22"/>
          <w:szCs w:val="22"/>
          <w:lang w:val="es-ES_tradnl" w:eastAsia="en-US"/>
        </w:rPr>
        <w:t>«</w:t>
      </w:r>
      <w:r w:rsidR="00925F4F" w:rsidRPr="00DD5F33">
        <w:rPr>
          <w:rFonts w:ascii="Arial" w:eastAsia="Calibri" w:hAnsi="Arial" w:cs="Arial"/>
          <w:bCs/>
          <w:color w:val="000000"/>
          <w:sz w:val="22"/>
          <w:szCs w:val="22"/>
          <w:lang w:val="es-ES_tradnl" w:eastAsia="en-US"/>
        </w:rPr>
        <w:t>se acreditarán en los términos que defina el pliego de condiciones o documento equivalente»</w:t>
      </w:r>
      <w:r w:rsidR="00987B3A" w:rsidRPr="00DD5F33">
        <w:rPr>
          <w:rFonts w:ascii="Arial" w:eastAsia="Calibri" w:hAnsi="Arial" w:cs="Arial"/>
          <w:bCs/>
          <w:color w:val="000000"/>
          <w:sz w:val="22"/>
          <w:szCs w:val="22"/>
          <w:lang w:val="es-ES_tradnl" w:eastAsia="en-US"/>
        </w:rPr>
        <w:t xml:space="preserve">. </w:t>
      </w:r>
      <w:r w:rsidR="008E2134" w:rsidRPr="00DD5F33">
        <w:rPr>
          <w:rFonts w:ascii="Arial" w:eastAsia="Calibri" w:hAnsi="Arial" w:cs="Arial"/>
          <w:bCs/>
          <w:color w:val="000000"/>
          <w:sz w:val="22"/>
          <w:szCs w:val="22"/>
          <w:lang w:val="es-ES_tradnl" w:eastAsia="en-US"/>
        </w:rPr>
        <w:t xml:space="preserve">Esto significa que si bien, en principio, existiría libertad probatoria, las entidades estatales podrían </w:t>
      </w:r>
      <w:r w:rsidR="008D15DB" w:rsidRPr="00DD5F33">
        <w:rPr>
          <w:rFonts w:ascii="Arial" w:eastAsia="Calibri" w:hAnsi="Arial" w:cs="Arial"/>
          <w:bCs/>
          <w:color w:val="000000"/>
          <w:sz w:val="22"/>
          <w:szCs w:val="22"/>
          <w:lang w:val="es-ES_tradnl" w:eastAsia="en-US"/>
        </w:rPr>
        <w:t>definir en el pliego de condiciones o documento equivalente de qué manera se deben acreditar tales situaciones. Al configurar est</w:t>
      </w:r>
      <w:r w:rsidR="00716F01" w:rsidRPr="00DD5F33">
        <w:rPr>
          <w:rFonts w:ascii="Arial" w:eastAsia="Calibri" w:hAnsi="Arial" w:cs="Arial"/>
          <w:bCs/>
          <w:color w:val="000000"/>
          <w:sz w:val="22"/>
          <w:szCs w:val="22"/>
          <w:lang w:val="es-ES_tradnl" w:eastAsia="en-US"/>
        </w:rPr>
        <w:t>os requisitos, las entidades públicas deben tener en cuenta el principio de proporcionalidad, de manera que no impongan requisitos probatorios</w:t>
      </w:r>
      <w:r w:rsidR="00C76972" w:rsidRPr="00DD5F33">
        <w:rPr>
          <w:rFonts w:ascii="Arial" w:eastAsia="Calibri" w:hAnsi="Arial" w:cs="Arial"/>
          <w:bCs/>
          <w:color w:val="000000"/>
          <w:sz w:val="22"/>
          <w:szCs w:val="22"/>
          <w:lang w:val="es-ES_tradnl" w:eastAsia="en-US"/>
        </w:rPr>
        <w:t xml:space="preserve"> irrazonables.</w:t>
      </w:r>
    </w:p>
    <w:p w14:paraId="044FE595" w14:textId="0021986D" w:rsidR="00E7036D" w:rsidRPr="00DD5F33" w:rsidRDefault="00A6276A" w:rsidP="00A6276A">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otra parte, r</w:t>
      </w:r>
      <w:r w:rsidR="006540D6" w:rsidRPr="00DD5F33">
        <w:rPr>
          <w:rFonts w:ascii="Arial" w:eastAsia="Calibri" w:hAnsi="Arial" w:cs="Arial"/>
          <w:bCs/>
          <w:color w:val="000000"/>
          <w:sz w:val="22"/>
          <w:szCs w:val="22"/>
          <w:lang w:val="es-ES_tradnl" w:eastAsia="en-US"/>
        </w:rPr>
        <w:t>eiterando lo dicho en una respuesta anterior, si se configura</w:t>
      </w:r>
      <w:r w:rsidR="00D66A0A" w:rsidRPr="00DD5F33">
        <w:rPr>
          <w:rFonts w:ascii="Arial" w:eastAsia="Calibri" w:hAnsi="Arial" w:cs="Arial"/>
          <w:bCs/>
          <w:color w:val="000000"/>
          <w:sz w:val="22"/>
          <w:szCs w:val="22"/>
          <w:lang w:val="es-ES_tradnl" w:eastAsia="en-US"/>
        </w:rPr>
        <w:t xml:space="preserve"> alguna circunstancia que exija tratar como reservada la información, en los términos de los artículos </w:t>
      </w:r>
      <w:r w:rsidR="00C45620" w:rsidRPr="00DD5F33">
        <w:rPr>
          <w:rFonts w:ascii="Arial" w:eastAsia="Calibri" w:hAnsi="Arial" w:cs="Arial"/>
          <w:bCs/>
          <w:color w:val="000000"/>
          <w:sz w:val="22"/>
          <w:szCs w:val="22"/>
          <w:lang w:val="es-ES_tradnl" w:eastAsia="en-US"/>
        </w:rPr>
        <w:t xml:space="preserve">5 y </w:t>
      </w:r>
      <w:r w:rsidR="00D66A0A" w:rsidRPr="00DD5F33">
        <w:rPr>
          <w:rFonts w:ascii="Arial" w:eastAsia="Calibri" w:hAnsi="Arial" w:cs="Arial"/>
          <w:bCs/>
          <w:color w:val="000000"/>
          <w:sz w:val="22"/>
          <w:szCs w:val="22"/>
          <w:lang w:val="es-ES_tradnl" w:eastAsia="en-US"/>
        </w:rPr>
        <w:t>6 de la Ley</w:t>
      </w:r>
      <w:r w:rsidR="00C45620" w:rsidRPr="00DD5F33">
        <w:rPr>
          <w:rFonts w:ascii="Arial" w:eastAsia="Calibri" w:hAnsi="Arial" w:cs="Arial"/>
          <w:bCs/>
          <w:color w:val="000000"/>
          <w:sz w:val="22"/>
          <w:szCs w:val="22"/>
          <w:lang w:val="es-ES_tradnl" w:eastAsia="en-US"/>
        </w:rPr>
        <w:t xml:space="preserve"> 1581 de 2012, 18 y 19 de la Ley 1712 de 2014 y </w:t>
      </w:r>
      <w:r w:rsidR="00B64863" w:rsidRPr="00DD5F33">
        <w:rPr>
          <w:rFonts w:ascii="Arial" w:eastAsia="Calibri" w:hAnsi="Arial" w:cs="Arial"/>
          <w:bCs/>
          <w:color w:val="000000"/>
          <w:sz w:val="22"/>
          <w:szCs w:val="22"/>
          <w:lang w:val="es-ES_tradnl" w:eastAsia="en-US"/>
        </w:rPr>
        <w:t>24 de la Ley 1437 de 2011 –</w:t>
      </w:r>
      <w:r w:rsidR="00B03FE5" w:rsidRPr="00DD5F33">
        <w:rPr>
          <w:rFonts w:ascii="Arial" w:eastAsia="Calibri" w:hAnsi="Arial" w:cs="Arial"/>
          <w:bCs/>
          <w:color w:val="000000"/>
          <w:sz w:val="22"/>
          <w:szCs w:val="22"/>
          <w:lang w:val="es-ES_tradnl" w:eastAsia="en-US"/>
        </w:rPr>
        <w:t>modificado por el artículo 1 de la Ley 1755 de 2015,</w:t>
      </w:r>
      <w:r w:rsidRPr="00DD5F33">
        <w:rPr>
          <w:rFonts w:ascii="Arial" w:eastAsia="Calibri" w:hAnsi="Arial" w:cs="Arial"/>
          <w:bCs/>
          <w:color w:val="000000"/>
          <w:sz w:val="22"/>
          <w:szCs w:val="22"/>
          <w:lang w:val="es-ES_tradnl" w:eastAsia="en-US"/>
        </w:rPr>
        <w:t>–</w:t>
      </w:r>
      <w:r w:rsidR="00B03FE5" w:rsidRPr="00DD5F33">
        <w:rPr>
          <w:rFonts w:ascii="Arial" w:eastAsia="Calibri" w:hAnsi="Arial" w:cs="Arial"/>
          <w:bCs/>
          <w:color w:val="000000"/>
          <w:sz w:val="22"/>
          <w:szCs w:val="22"/>
          <w:lang w:val="es-ES_tradnl" w:eastAsia="en-US"/>
        </w:rPr>
        <w:t>, la entidad estatal debe abstenerse de publicar dicha información en el SECOP o revelarla a terceras personas.</w:t>
      </w:r>
    </w:p>
    <w:p w14:paraId="42576E1E" w14:textId="77777777" w:rsidR="00E7036D" w:rsidRPr="00DD5F33" w:rsidRDefault="00E7036D" w:rsidP="00E7036D">
      <w:pPr>
        <w:shd w:val="clear" w:color="auto" w:fill="FFFFFF"/>
        <w:spacing w:line="276" w:lineRule="auto"/>
        <w:ind w:firstLine="709"/>
        <w:jc w:val="both"/>
        <w:rPr>
          <w:rFonts w:ascii="Arial" w:hAnsi="Arial" w:cs="Arial"/>
          <w:color w:val="000000" w:themeColor="text1"/>
          <w:sz w:val="21"/>
          <w:szCs w:val="21"/>
          <w:lang w:val="es-ES_tradnl"/>
        </w:rPr>
      </w:pPr>
    </w:p>
    <w:p w14:paraId="28E57966" w14:textId="53A0E59D" w:rsidR="00B02A68" w:rsidRPr="00DD5F33" w:rsidRDefault="00646F39"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3.</w:t>
      </w:r>
      <w:r w:rsidR="00077F6A" w:rsidRPr="00DD5F33">
        <w:rPr>
          <w:rFonts w:ascii="Arial" w:hAnsi="Arial" w:cs="Arial"/>
          <w:color w:val="000000" w:themeColor="text1"/>
          <w:sz w:val="21"/>
          <w:szCs w:val="21"/>
          <w:lang w:val="es-ES_tradnl"/>
        </w:rPr>
        <w:t xml:space="preserve"> </w:t>
      </w:r>
      <w:r w:rsidR="00B02A68" w:rsidRPr="00DD5F33">
        <w:rPr>
          <w:rFonts w:ascii="Arial" w:hAnsi="Arial" w:cs="Arial"/>
          <w:color w:val="000000" w:themeColor="text1"/>
          <w:sz w:val="21"/>
          <w:szCs w:val="21"/>
          <w:lang w:val="es-ES_tradnl"/>
        </w:rPr>
        <w:t>¿Qué fuentes de información pueden consultar las entidades para identificar bienes, servicios y la participación en la economía y en los sectores de la población en pobreza extrema, desplazados por la violencia, personas en proceso de reintegración o reincorporación y sujetos de especial protección constitucional?</w:t>
      </w:r>
      <w:r w:rsidRPr="00DD5F33">
        <w:rPr>
          <w:rFonts w:ascii="Arial" w:hAnsi="Arial" w:cs="Arial"/>
          <w:color w:val="000000" w:themeColor="text1"/>
          <w:sz w:val="21"/>
          <w:szCs w:val="21"/>
          <w:lang w:val="es-ES_tradnl"/>
        </w:rPr>
        <w:t>»</w:t>
      </w:r>
    </w:p>
    <w:p w14:paraId="3CFEB9B5" w14:textId="77777777" w:rsidR="00EE6256" w:rsidRPr="00DD5F33" w:rsidRDefault="00EE6256" w:rsidP="00C0427E">
      <w:pPr>
        <w:spacing w:line="276" w:lineRule="auto"/>
        <w:jc w:val="both"/>
        <w:rPr>
          <w:rFonts w:ascii="Arial" w:eastAsia="Calibri" w:hAnsi="Arial" w:cs="Arial"/>
          <w:bCs/>
          <w:color w:val="000000"/>
          <w:sz w:val="22"/>
          <w:szCs w:val="22"/>
          <w:lang w:val="es-ES_tradnl" w:eastAsia="en-US"/>
        </w:rPr>
      </w:pPr>
    </w:p>
    <w:p w14:paraId="5E959518" w14:textId="4D5FD83E" w:rsidR="00077F6A" w:rsidRPr="00DD5F33" w:rsidRDefault="00077F6A" w:rsidP="00C0427E">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El Decreto 1860 de 2021 no define fuentes de información específicas </w:t>
      </w:r>
      <w:r w:rsidR="00D47449" w:rsidRPr="00DD5F33">
        <w:rPr>
          <w:rFonts w:ascii="Arial" w:eastAsia="Calibri" w:hAnsi="Arial" w:cs="Arial"/>
          <w:bCs/>
          <w:color w:val="000000"/>
          <w:sz w:val="22"/>
          <w:szCs w:val="22"/>
          <w:lang w:val="es-ES_tradnl" w:eastAsia="en-US"/>
        </w:rPr>
        <w:t xml:space="preserve">que las entidades públicas puedan consultar para </w:t>
      </w:r>
      <w:r w:rsidR="005B1F85" w:rsidRPr="00DD5F33">
        <w:rPr>
          <w:rFonts w:ascii="Arial" w:eastAsia="Calibri" w:hAnsi="Arial" w:cs="Arial"/>
          <w:bCs/>
          <w:color w:val="000000"/>
          <w:sz w:val="22"/>
          <w:szCs w:val="22"/>
          <w:lang w:val="es-ES_tradnl" w:eastAsia="en-US"/>
        </w:rPr>
        <w:t xml:space="preserve">«identificar bienes, servicios y la participación en la economía y en los sectores de la población en pobreza extrema, desplazados por la violencia, personas en proceso de reintegración o reincorporación y sujetos de especial </w:t>
      </w:r>
      <w:r w:rsidR="005B1F85" w:rsidRPr="00DD5F33">
        <w:rPr>
          <w:rFonts w:ascii="Arial" w:eastAsia="Calibri" w:hAnsi="Arial" w:cs="Arial"/>
          <w:bCs/>
          <w:color w:val="000000"/>
          <w:sz w:val="22"/>
          <w:szCs w:val="22"/>
          <w:lang w:val="es-ES_tradnl" w:eastAsia="en-US"/>
        </w:rPr>
        <w:lastRenderedPageBreak/>
        <w:t xml:space="preserve">protección constitucional». Este es un aspecto que debe analizar cada entidad pública en </w:t>
      </w:r>
      <w:r w:rsidR="00936E1A" w:rsidRPr="00DD5F33">
        <w:rPr>
          <w:rFonts w:ascii="Arial" w:eastAsia="Calibri" w:hAnsi="Arial" w:cs="Arial"/>
          <w:bCs/>
          <w:color w:val="000000"/>
          <w:sz w:val="22"/>
          <w:szCs w:val="22"/>
          <w:lang w:val="es-ES_tradnl" w:eastAsia="en-US"/>
        </w:rPr>
        <w:t>los documentos del proceso</w:t>
      </w:r>
      <w:r w:rsidR="005B1F85" w:rsidRPr="00DD5F33">
        <w:rPr>
          <w:rFonts w:ascii="Arial" w:eastAsia="Calibri" w:hAnsi="Arial" w:cs="Arial"/>
          <w:bCs/>
          <w:color w:val="000000"/>
          <w:sz w:val="22"/>
          <w:szCs w:val="22"/>
          <w:lang w:val="es-ES_tradnl" w:eastAsia="en-US"/>
        </w:rPr>
        <w:t>.</w:t>
      </w:r>
      <w:r w:rsidR="003A236C" w:rsidRPr="00DD5F33">
        <w:rPr>
          <w:rFonts w:ascii="Arial" w:eastAsia="Calibri" w:hAnsi="Arial" w:cs="Arial"/>
          <w:bCs/>
          <w:color w:val="000000"/>
          <w:sz w:val="22"/>
          <w:szCs w:val="22"/>
          <w:lang w:val="es-ES_tradnl" w:eastAsia="en-US"/>
        </w:rPr>
        <w:t xml:space="preserve"> Así lo establece el artículo </w:t>
      </w:r>
      <w:r w:rsidR="00E9583E" w:rsidRPr="00DD5F33">
        <w:rPr>
          <w:rFonts w:ascii="Arial" w:eastAsia="Calibri" w:hAnsi="Arial" w:cs="Arial"/>
          <w:bCs/>
          <w:color w:val="000000"/>
          <w:sz w:val="22"/>
          <w:szCs w:val="22"/>
          <w:lang w:val="es-ES_tradnl" w:eastAsia="en-US"/>
        </w:rPr>
        <w:t>2.2.1.2.4.2.16., en el segundo inciso, cuando dispone que «La participación de los sujetos anteriormente mencionados en la ejecución del contrato se fomentará previo análisis de su oportunidad y conveniencia en los Documentos del Proceso, teniendo en cuenta el objeto contractual y el alcance de las obligaciones</w:t>
      </w:r>
      <w:r w:rsidR="009672D8" w:rsidRPr="00DD5F33">
        <w:rPr>
          <w:rFonts w:ascii="Arial" w:eastAsia="Calibri" w:hAnsi="Arial" w:cs="Arial"/>
          <w:bCs/>
          <w:color w:val="000000"/>
          <w:sz w:val="22"/>
          <w:szCs w:val="22"/>
          <w:lang w:val="es-ES_tradnl" w:eastAsia="en-US"/>
        </w:rPr>
        <w:t>»</w:t>
      </w:r>
      <w:r w:rsidR="00E9583E" w:rsidRPr="00DD5F33">
        <w:rPr>
          <w:rFonts w:ascii="Arial" w:eastAsia="Calibri" w:hAnsi="Arial" w:cs="Arial"/>
          <w:bCs/>
          <w:color w:val="000000"/>
          <w:sz w:val="22"/>
          <w:szCs w:val="22"/>
          <w:lang w:val="es-ES_tradnl" w:eastAsia="en-US"/>
        </w:rPr>
        <w:t>.</w:t>
      </w:r>
      <w:r w:rsidR="0038492B" w:rsidRPr="00DD5F33">
        <w:rPr>
          <w:rFonts w:ascii="Arial" w:eastAsia="Calibri" w:hAnsi="Arial" w:cs="Arial"/>
          <w:bCs/>
          <w:color w:val="000000"/>
          <w:sz w:val="22"/>
          <w:szCs w:val="22"/>
          <w:lang w:val="es-ES_tradnl" w:eastAsia="en-US"/>
        </w:rPr>
        <w:t xml:space="preserve"> </w:t>
      </w:r>
    </w:p>
    <w:p w14:paraId="066F150D"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E8742C6" w14:textId="3FC63E0F" w:rsidR="00B02A68" w:rsidRPr="00DD5F33" w:rsidRDefault="00C0427E"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4. ¿Para determinar el 5% o 10% de provisión de bienes y servicios, se toma el valor presupuestal o la cantidad de los mismos?</w:t>
      </w:r>
      <w:r w:rsidRPr="00DD5F33">
        <w:rPr>
          <w:rFonts w:ascii="Arial" w:hAnsi="Arial" w:cs="Arial"/>
          <w:color w:val="000000" w:themeColor="text1"/>
          <w:sz w:val="21"/>
          <w:szCs w:val="21"/>
          <w:lang w:val="es-ES_tradnl"/>
        </w:rPr>
        <w:t>»</w:t>
      </w:r>
    </w:p>
    <w:p w14:paraId="5619A8D4" w14:textId="755718D9" w:rsidR="00B02A68" w:rsidRPr="00DD5F33" w:rsidRDefault="00B02A68" w:rsidP="00B02A68">
      <w:pPr>
        <w:ind w:left="709" w:right="709"/>
        <w:jc w:val="both"/>
        <w:rPr>
          <w:rFonts w:ascii="Arial" w:hAnsi="Arial" w:cs="Arial"/>
          <w:color w:val="000000" w:themeColor="text1"/>
          <w:sz w:val="21"/>
          <w:szCs w:val="21"/>
          <w:lang w:val="es-ES_tradnl"/>
        </w:rPr>
      </w:pPr>
    </w:p>
    <w:p w14:paraId="12DF6F0D" w14:textId="685B8BC2" w:rsidR="00C0427E" w:rsidRPr="00DD5F33" w:rsidRDefault="00C0427E" w:rsidP="00C0427E">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La interpretación razonable de </w:t>
      </w:r>
      <w:r w:rsidR="00EE5636" w:rsidRPr="00DD5F33">
        <w:rPr>
          <w:rFonts w:ascii="Arial" w:eastAsia="Calibri" w:hAnsi="Arial" w:cs="Arial"/>
          <w:bCs/>
          <w:color w:val="000000"/>
          <w:sz w:val="22"/>
          <w:szCs w:val="22"/>
          <w:lang w:val="es-ES_tradnl" w:eastAsia="en-US"/>
        </w:rPr>
        <w:t>este</w:t>
      </w:r>
      <w:r w:rsidRPr="00DD5F33">
        <w:rPr>
          <w:rFonts w:ascii="Arial" w:eastAsia="Calibri" w:hAnsi="Arial" w:cs="Arial"/>
          <w:bCs/>
          <w:color w:val="000000"/>
          <w:sz w:val="22"/>
          <w:szCs w:val="22"/>
          <w:lang w:val="es-ES_tradnl" w:eastAsia="en-US"/>
        </w:rPr>
        <w:t xml:space="preserve"> apartado del artículo 2.2.1.2.4.2.16.</w:t>
      </w:r>
      <w:r w:rsidR="00673AE1" w:rsidRPr="00DD5F33">
        <w:rPr>
          <w:rFonts w:ascii="Arial" w:eastAsia="Calibri" w:hAnsi="Arial" w:cs="Arial"/>
          <w:bCs/>
          <w:color w:val="000000"/>
          <w:sz w:val="22"/>
          <w:szCs w:val="22"/>
          <w:lang w:val="es-ES_tradnl" w:eastAsia="en-US"/>
        </w:rPr>
        <w:t xml:space="preserve">, acorde con su tenor literal, es que </w:t>
      </w:r>
      <w:r w:rsidR="00533255" w:rsidRPr="00DD5F33">
        <w:rPr>
          <w:rFonts w:ascii="Arial" w:eastAsia="Calibri" w:hAnsi="Arial" w:cs="Arial"/>
          <w:bCs/>
          <w:color w:val="000000"/>
          <w:sz w:val="22"/>
          <w:szCs w:val="22"/>
          <w:lang w:val="es-ES_tradnl" w:eastAsia="en-US"/>
        </w:rPr>
        <w:t xml:space="preserve">el porcentaje se aplica sobre la cantidad de bienes o servicios. En efecto, el </w:t>
      </w:r>
      <w:r w:rsidR="00AD7B14" w:rsidRPr="00DD5F33">
        <w:rPr>
          <w:rFonts w:ascii="Arial" w:eastAsia="Calibri" w:hAnsi="Arial" w:cs="Arial"/>
          <w:bCs/>
          <w:color w:val="000000"/>
          <w:sz w:val="22"/>
          <w:szCs w:val="22"/>
          <w:lang w:val="es-ES_tradnl" w:eastAsia="en-US"/>
        </w:rPr>
        <w:t xml:space="preserve">tercer inciso de dicho artículo establece: «Esta provisión se establecerá en un porcentaje que no será superior al diez por ciento (10%) ni inferior al cinco por ciento (5%) </w:t>
      </w:r>
      <w:r w:rsidR="00AD7B14" w:rsidRPr="00DD5F33">
        <w:rPr>
          <w:rFonts w:ascii="Arial" w:eastAsia="Calibri" w:hAnsi="Arial" w:cs="Arial"/>
          <w:bCs/>
          <w:i/>
          <w:iCs/>
          <w:color w:val="000000"/>
          <w:sz w:val="22"/>
          <w:szCs w:val="22"/>
          <w:lang w:val="es-ES_tradnl" w:eastAsia="en-US"/>
        </w:rPr>
        <w:t>de los bienes o servicios requeridos</w:t>
      </w:r>
      <w:r w:rsidR="00AD7B14" w:rsidRPr="00DD5F33">
        <w:rPr>
          <w:rFonts w:ascii="Arial" w:eastAsia="Calibri" w:hAnsi="Arial" w:cs="Arial"/>
          <w:bCs/>
          <w:color w:val="000000"/>
          <w:sz w:val="22"/>
          <w:szCs w:val="22"/>
          <w:lang w:val="es-ES_tradnl" w:eastAsia="en-US"/>
        </w:rPr>
        <w:t xml:space="preserve"> para la ejecución del contrato, de manera que no se ponga en riesgo su cumplimiento adecuado»</w:t>
      </w:r>
      <w:r w:rsidR="008A720F" w:rsidRPr="00DD5F33">
        <w:rPr>
          <w:rFonts w:ascii="Arial" w:eastAsia="Calibri" w:hAnsi="Arial" w:cs="Arial"/>
          <w:bCs/>
          <w:color w:val="000000"/>
          <w:sz w:val="22"/>
          <w:szCs w:val="22"/>
          <w:lang w:val="es-ES_tradnl" w:eastAsia="en-US"/>
        </w:rPr>
        <w:t xml:space="preserve"> (énfasis fuera de texto)</w:t>
      </w:r>
      <w:r w:rsidR="00AD7B14" w:rsidRPr="00DD5F33">
        <w:rPr>
          <w:rFonts w:ascii="Arial" w:eastAsia="Calibri" w:hAnsi="Arial" w:cs="Arial"/>
          <w:bCs/>
          <w:color w:val="000000"/>
          <w:sz w:val="22"/>
          <w:szCs w:val="22"/>
          <w:lang w:val="es-ES_tradnl" w:eastAsia="en-US"/>
        </w:rPr>
        <w:t>.</w:t>
      </w:r>
      <w:r w:rsidR="008A720F" w:rsidRPr="00DD5F33">
        <w:rPr>
          <w:rFonts w:ascii="Arial" w:eastAsia="Calibri" w:hAnsi="Arial" w:cs="Arial"/>
          <w:bCs/>
          <w:color w:val="000000"/>
          <w:sz w:val="22"/>
          <w:szCs w:val="22"/>
          <w:lang w:val="es-ES_tradnl" w:eastAsia="en-US"/>
        </w:rPr>
        <w:t xml:space="preserve"> Obsérvese que la norma hace referencia a los bienes o servicios requeridos</w:t>
      </w:r>
      <w:r w:rsidR="00D47AA6" w:rsidRPr="00DD5F33">
        <w:rPr>
          <w:rFonts w:ascii="Arial" w:eastAsia="Calibri" w:hAnsi="Arial" w:cs="Arial"/>
          <w:bCs/>
          <w:color w:val="000000"/>
          <w:sz w:val="22"/>
          <w:szCs w:val="22"/>
          <w:lang w:val="es-ES_tradnl" w:eastAsia="en-US"/>
        </w:rPr>
        <w:t>,</w:t>
      </w:r>
      <w:r w:rsidR="008A720F" w:rsidRPr="00DD5F33">
        <w:rPr>
          <w:rFonts w:ascii="Arial" w:eastAsia="Calibri" w:hAnsi="Arial" w:cs="Arial"/>
          <w:bCs/>
          <w:color w:val="000000"/>
          <w:sz w:val="22"/>
          <w:szCs w:val="22"/>
          <w:lang w:val="es-ES_tradnl" w:eastAsia="en-US"/>
        </w:rPr>
        <w:t xml:space="preserve"> no al presupuesto oficial</w:t>
      </w:r>
      <w:r w:rsidR="00943214" w:rsidRPr="00DD5F33">
        <w:rPr>
          <w:rFonts w:ascii="Arial" w:eastAsia="Calibri" w:hAnsi="Arial" w:cs="Arial"/>
          <w:bCs/>
          <w:color w:val="000000"/>
          <w:sz w:val="22"/>
          <w:szCs w:val="22"/>
          <w:lang w:val="es-ES_tradnl" w:eastAsia="en-US"/>
        </w:rPr>
        <w:t xml:space="preserve"> ni al valor del contrato.</w:t>
      </w:r>
      <w:r w:rsidR="00572076" w:rsidRPr="00DD5F33">
        <w:rPr>
          <w:rFonts w:ascii="Arial" w:eastAsia="Calibri" w:hAnsi="Arial" w:cs="Arial"/>
          <w:bCs/>
          <w:color w:val="000000"/>
          <w:sz w:val="22"/>
          <w:szCs w:val="22"/>
          <w:lang w:val="es-ES_tradnl" w:eastAsia="en-US"/>
        </w:rPr>
        <w:t xml:space="preserve"> Así pues, en los estudios previos la entidad estatal debe analizar el objeto contractual y el alcance de las obligaciones, y, con fundamento en ello, definir el porcentaje de provisión de bienes o servicios</w:t>
      </w:r>
      <w:r w:rsidR="00150015" w:rsidRPr="00DD5F33">
        <w:rPr>
          <w:rFonts w:ascii="Arial" w:eastAsia="Calibri" w:hAnsi="Arial" w:cs="Arial"/>
          <w:bCs/>
          <w:color w:val="000000"/>
          <w:sz w:val="22"/>
          <w:szCs w:val="22"/>
          <w:lang w:val="es-ES_tradnl" w:eastAsia="en-US"/>
        </w:rPr>
        <w:t xml:space="preserve"> requeridos por parte de población en pobreza extrema, desplazados por la violencia, personas en proceso de reintegración o reincorporación y sujetos de especial protección constitucional.</w:t>
      </w:r>
    </w:p>
    <w:p w14:paraId="29613FF5" w14:textId="77777777" w:rsidR="00C0427E" w:rsidRPr="00DD5F33" w:rsidRDefault="00C0427E" w:rsidP="00B02A68">
      <w:pPr>
        <w:ind w:left="709" w:right="709"/>
        <w:jc w:val="both"/>
        <w:rPr>
          <w:rFonts w:ascii="Arial" w:hAnsi="Arial" w:cs="Arial"/>
          <w:color w:val="000000" w:themeColor="text1"/>
          <w:sz w:val="21"/>
          <w:szCs w:val="21"/>
          <w:lang w:val="es-ES_tradnl"/>
        </w:rPr>
      </w:pPr>
    </w:p>
    <w:p w14:paraId="316EB372" w14:textId="15BC7527" w:rsidR="00B02A68" w:rsidRPr="00DD5F33" w:rsidRDefault="00F20736"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5. ¿La palabra “vinculación” del inciso quinto, hace referencia a un contrato de prestación de servicios o laboral?</w:t>
      </w:r>
    </w:p>
    <w:p w14:paraId="3D4D6073" w14:textId="5C79E74E" w:rsidR="00866ADC" w:rsidRPr="00DD5F33" w:rsidRDefault="00866ADC" w:rsidP="00B02A68">
      <w:pPr>
        <w:ind w:left="709" w:right="709"/>
        <w:jc w:val="both"/>
        <w:rPr>
          <w:rFonts w:ascii="Arial" w:hAnsi="Arial" w:cs="Arial"/>
          <w:color w:val="000000" w:themeColor="text1"/>
          <w:sz w:val="21"/>
          <w:szCs w:val="21"/>
          <w:lang w:val="es-ES_tradnl"/>
        </w:rPr>
      </w:pPr>
    </w:p>
    <w:p w14:paraId="0C450AD1" w14:textId="1277B737" w:rsidR="00866ADC" w:rsidRPr="00DD5F33" w:rsidRDefault="00866ADC" w:rsidP="00866ADC">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»6. ¿Si el contratista adquiere bienes (Contrato de compraventas o suministros) con una persona jurídica que comercia bienes de la población beneficiaria, se entiende que dichos grupos poblacionales están “Vinculados a la ejecución del contrato”?»</w:t>
      </w:r>
    </w:p>
    <w:p w14:paraId="4BAB78C5" w14:textId="77777777" w:rsidR="00866ADC" w:rsidRPr="00DD5F33" w:rsidRDefault="00866ADC" w:rsidP="00B02A68">
      <w:pPr>
        <w:ind w:left="709" w:right="709"/>
        <w:jc w:val="both"/>
        <w:rPr>
          <w:rFonts w:ascii="Arial" w:hAnsi="Arial" w:cs="Arial"/>
          <w:color w:val="000000" w:themeColor="text1"/>
          <w:sz w:val="21"/>
          <w:szCs w:val="21"/>
          <w:lang w:val="es-ES_tradnl"/>
        </w:rPr>
      </w:pPr>
    </w:p>
    <w:p w14:paraId="4FE627B6" w14:textId="77777777" w:rsidR="00FF2C8B" w:rsidRPr="00DD5F33" w:rsidRDefault="00431599" w:rsidP="00117646">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El inciso quinto del artículo</w:t>
      </w:r>
      <w:r w:rsidR="00B504D4" w:rsidRPr="00DD5F33">
        <w:rPr>
          <w:rFonts w:ascii="Arial" w:eastAsia="Calibri" w:hAnsi="Arial" w:cs="Arial"/>
          <w:bCs/>
          <w:color w:val="000000"/>
          <w:sz w:val="22"/>
          <w:szCs w:val="22"/>
          <w:lang w:val="es-ES_tradnl" w:eastAsia="en-US"/>
        </w:rPr>
        <w:t xml:space="preserve"> 2.2.1.2.4.2.16. </w:t>
      </w:r>
      <w:r w:rsidRPr="00DD5F33">
        <w:rPr>
          <w:rFonts w:ascii="Arial" w:eastAsia="Calibri" w:hAnsi="Arial" w:cs="Arial"/>
          <w:bCs/>
          <w:color w:val="000000"/>
          <w:sz w:val="22"/>
          <w:szCs w:val="22"/>
          <w:lang w:val="es-ES_tradnl" w:eastAsia="en-US"/>
        </w:rPr>
        <w:t xml:space="preserve">establece que «El supervisor o el interventor, según el caso, realizará el seguimiento y verificará que las personas </w:t>
      </w:r>
      <w:r w:rsidRPr="00DD5F33">
        <w:rPr>
          <w:rFonts w:ascii="Arial" w:eastAsia="Calibri" w:hAnsi="Arial" w:cs="Arial"/>
          <w:bCs/>
          <w:i/>
          <w:iCs/>
          <w:color w:val="000000"/>
          <w:sz w:val="22"/>
          <w:szCs w:val="22"/>
          <w:lang w:val="es-ES_tradnl" w:eastAsia="en-US"/>
        </w:rPr>
        <w:t>vinculadas</w:t>
      </w:r>
      <w:r w:rsidRPr="00DD5F33">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w:t>
      </w:r>
      <w:r w:rsidR="00B504D4" w:rsidRPr="00DD5F33">
        <w:rPr>
          <w:rFonts w:ascii="Arial" w:eastAsia="Calibri" w:hAnsi="Arial" w:cs="Arial"/>
          <w:bCs/>
          <w:color w:val="000000"/>
          <w:sz w:val="22"/>
          <w:szCs w:val="22"/>
          <w:lang w:val="es-ES_tradnl" w:eastAsia="en-US"/>
        </w:rPr>
        <w:t xml:space="preserve"> </w:t>
      </w:r>
      <w:r w:rsidR="00B46093" w:rsidRPr="00DD5F33">
        <w:rPr>
          <w:rFonts w:ascii="Arial" w:eastAsia="Calibri" w:hAnsi="Arial" w:cs="Arial"/>
          <w:bCs/>
          <w:color w:val="000000"/>
          <w:sz w:val="22"/>
          <w:szCs w:val="22"/>
          <w:lang w:val="es-ES_tradnl" w:eastAsia="en-US"/>
        </w:rPr>
        <w:t>La norma no exige que la vinculación sea, necesariamente, laboral, pues de acuerdo con el primer inciso del artículo en comento,</w:t>
      </w:r>
      <w:r w:rsidR="009B5BA1" w:rsidRPr="00DD5F33">
        <w:rPr>
          <w:rFonts w:ascii="Arial" w:eastAsia="Calibri" w:hAnsi="Arial" w:cs="Arial"/>
          <w:bCs/>
          <w:color w:val="000000"/>
          <w:sz w:val="22"/>
          <w:szCs w:val="22"/>
          <w:lang w:val="es-ES_tradnl" w:eastAsia="en-US"/>
        </w:rPr>
        <w:t xml:space="preserve"> lo </w:t>
      </w:r>
      <w:r w:rsidR="00E47F58" w:rsidRPr="00DD5F33">
        <w:rPr>
          <w:rFonts w:ascii="Arial" w:eastAsia="Calibri" w:hAnsi="Arial" w:cs="Arial"/>
          <w:bCs/>
          <w:color w:val="000000"/>
          <w:sz w:val="22"/>
          <w:szCs w:val="22"/>
          <w:lang w:val="es-ES_tradnl" w:eastAsia="en-US"/>
        </w:rPr>
        <w:t>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r w:rsidR="00B46093" w:rsidRPr="00DD5F33">
        <w:rPr>
          <w:rFonts w:ascii="Arial" w:eastAsia="Calibri" w:hAnsi="Arial" w:cs="Arial"/>
          <w:bCs/>
          <w:color w:val="000000"/>
          <w:sz w:val="22"/>
          <w:szCs w:val="22"/>
          <w:lang w:val="es-ES_tradnl" w:eastAsia="en-US"/>
        </w:rPr>
        <w:t xml:space="preserve"> </w:t>
      </w:r>
      <w:r w:rsidR="00E47F58" w:rsidRPr="00DD5F33">
        <w:rPr>
          <w:rFonts w:ascii="Arial" w:eastAsia="Calibri" w:hAnsi="Arial" w:cs="Arial"/>
          <w:bCs/>
          <w:color w:val="000000"/>
          <w:sz w:val="22"/>
          <w:szCs w:val="22"/>
          <w:lang w:val="es-ES_tradnl" w:eastAsia="en-US"/>
        </w:rPr>
        <w:t>El concepto de «provisión de bienes o servicios» es amplio</w:t>
      </w:r>
      <w:r w:rsidR="00984AF1" w:rsidRPr="00DD5F33">
        <w:rPr>
          <w:rFonts w:ascii="Arial" w:eastAsia="Calibri" w:hAnsi="Arial" w:cs="Arial"/>
          <w:bCs/>
          <w:color w:val="000000"/>
          <w:sz w:val="22"/>
          <w:szCs w:val="22"/>
          <w:lang w:val="es-ES_tradnl" w:eastAsia="en-US"/>
        </w:rPr>
        <w:t xml:space="preserve">, pues </w:t>
      </w:r>
      <w:r w:rsidR="005B568B" w:rsidRPr="00DD5F33">
        <w:rPr>
          <w:rFonts w:ascii="Arial" w:eastAsia="Calibri" w:hAnsi="Arial" w:cs="Arial"/>
          <w:bCs/>
          <w:color w:val="000000"/>
          <w:sz w:val="22"/>
          <w:szCs w:val="22"/>
          <w:lang w:val="es-ES_tradnl" w:eastAsia="en-US"/>
        </w:rPr>
        <w:t xml:space="preserve">enmarca las actividades que se desarrollan en el mercado para vender, </w:t>
      </w:r>
      <w:r w:rsidR="005B568B" w:rsidRPr="00DD5F33">
        <w:rPr>
          <w:rFonts w:ascii="Arial" w:eastAsia="Calibri" w:hAnsi="Arial" w:cs="Arial"/>
          <w:bCs/>
          <w:color w:val="000000"/>
          <w:sz w:val="22"/>
          <w:szCs w:val="22"/>
          <w:lang w:val="es-ES_tradnl" w:eastAsia="en-US"/>
        </w:rPr>
        <w:lastRenderedPageBreak/>
        <w:t>suministrar o prestar bienes o servicios</w:t>
      </w:r>
      <w:r w:rsidR="006B6ECF" w:rsidRPr="00DD5F33">
        <w:rPr>
          <w:rStyle w:val="Refdenotaalpie"/>
          <w:rFonts w:ascii="Arial" w:eastAsia="Calibri" w:hAnsi="Arial" w:cs="Arial"/>
          <w:bCs/>
          <w:color w:val="000000"/>
          <w:sz w:val="22"/>
          <w:szCs w:val="22"/>
          <w:lang w:val="es-ES_tradnl" w:eastAsia="en-US"/>
        </w:rPr>
        <w:footnoteReference w:id="53"/>
      </w:r>
      <w:r w:rsidR="005B568B" w:rsidRPr="00DD5F33">
        <w:rPr>
          <w:rFonts w:ascii="Arial" w:eastAsia="Calibri" w:hAnsi="Arial" w:cs="Arial"/>
          <w:bCs/>
          <w:color w:val="000000"/>
          <w:sz w:val="22"/>
          <w:szCs w:val="22"/>
          <w:lang w:val="es-ES_tradnl" w:eastAsia="en-US"/>
        </w:rPr>
        <w:t xml:space="preserve">. </w:t>
      </w:r>
      <w:r w:rsidR="001C75EF" w:rsidRPr="00DD5F33">
        <w:rPr>
          <w:rFonts w:ascii="Arial" w:eastAsia="Calibri" w:hAnsi="Arial" w:cs="Arial"/>
          <w:bCs/>
          <w:color w:val="000000"/>
          <w:sz w:val="22"/>
          <w:szCs w:val="22"/>
          <w:lang w:val="es-ES_tradnl" w:eastAsia="en-US"/>
        </w:rPr>
        <w:t>Esto significa</w:t>
      </w:r>
      <w:r w:rsidR="00311929" w:rsidRPr="00DD5F33">
        <w:rPr>
          <w:rFonts w:ascii="Arial" w:eastAsia="Calibri" w:hAnsi="Arial" w:cs="Arial"/>
          <w:bCs/>
          <w:color w:val="000000"/>
          <w:sz w:val="22"/>
          <w:szCs w:val="22"/>
          <w:lang w:val="es-ES_tradnl" w:eastAsia="en-US"/>
        </w:rPr>
        <w:t xml:space="preserve"> </w:t>
      </w:r>
      <w:r w:rsidR="001C75EF" w:rsidRPr="00DD5F33">
        <w:rPr>
          <w:rFonts w:ascii="Arial" w:eastAsia="Calibri" w:hAnsi="Arial" w:cs="Arial"/>
          <w:bCs/>
          <w:color w:val="000000"/>
          <w:sz w:val="22"/>
          <w:szCs w:val="22"/>
          <w:lang w:val="es-ES_tradnl" w:eastAsia="en-US"/>
        </w:rPr>
        <w:t>que se puede ser proveedor de bienes o servicios, en calidad de trabajador o como contratista independiente.</w:t>
      </w:r>
      <w:r w:rsidR="00472E6B" w:rsidRPr="00DD5F33">
        <w:rPr>
          <w:rFonts w:ascii="Arial" w:eastAsia="Calibri" w:hAnsi="Arial" w:cs="Arial"/>
          <w:bCs/>
          <w:color w:val="000000"/>
          <w:sz w:val="22"/>
          <w:szCs w:val="22"/>
          <w:lang w:val="es-ES_tradnl" w:eastAsia="en-US"/>
        </w:rPr>
        <w:t xml:space="preserve"> El supervisor</w:t>
      </w:r>
      <w:r w:rsidR="00612550" w:rsidRPr="00DD5F33">
        <w:rPr>
          <w:rFonts w:ascii="Arial" w:eastAsia="Calibri" w:hAnsi="Arial" w:cs="Arial"/>
          <w:bCs/>
          <w:color w:val="000000"/>
          <w:sz w:val="22"/>
          <w:szCs w:val="22"/>
          <w:lang w:val="es-ES_tradnl" w:eastAsia="en-US"/>
        </w:rPr>
        <w:t xml:space="preserve"> o interventor, según el caso,</w:t>
      </w:r>
      <w:r w:rsidR="00472E6B" w:rsidRPr="00DD5F33">
        <w:rPr>
          <w:rFonts w:ascii="Arial" w:eastAsia="Calibri" w:hAnsi="Arial" w:cs="Arial"/>
          <w:bCs/>
          <w:color w:val="000000"/>
          <w:sz w:val="22"/>
          <w:szCs w:val="22"/>
          <w:lang w:val="es-ES_tradnl" w:eastAsia="en-US"/>
        </w:rPr>
        <w:t xml:space="preserve"> debe constatar, entonces, durante la ejecución del contrato</w:t>
      </w:r>
      <w:r w:rsidR="00DF6ED5" w:rsidRPr="00DD5F33">
        <w:rPr>
          <w:rFonts w:ascii="Arial" w:eastAsia="Calibri" w:hAnsi="Arial" w:cs="Arial"/>
          <w:bCs/>
          <w:color w:val="000000"/>
          <w:sz w:val="22"/>
          <w:szCs w:val="22"/>
          <w:lang w:val="es-ES_tradnl" w:eastAsia="en-US"/>
        </w:rPr>
        <w:t>,</w:t>
      </w:r>
      <w:r w:rsidR="00472E6B" w:rsidRPr="00DD5F33">
        <w:rPr>
          <w:rFonts w:ascii="Arial" w:eastAsia="Calibri" w:hAnsi="Arial" w:cs="Arial"/>
          <w:bCs/>
          <w:color w:val="000000"/>
          <w:sz w:val="22"/>
          <w:szCs w:val="22"/>
          <w:lang w:val="es-ES_tradnl" w:eastAsia="en-US"/>
        </w:rPr>
        <w:t xml:space="preserve"> que </w:t>
      </w:r>
      <w:r w:rsidR="004768D3" w:rsidRPr="00DD5F33">
        <w:rPr>
          <w:rFonts w:ascii="Arial" w:eastAsia="Calibri" w:hAnsi="Arial" w:cs="Arial"/>
          <w:bCs/>
          <w:color w:val="000000"/>
          <w:sz w:val="22"/>
          <w:szCs w:val="22"/>
          <w:lang w:val="es-ES_tradnl" w:eastAsia="en-US"/>
        </w:rPr>
        <w:t>la provisión de los bienes o servicios</w:t>
      </w:r>
      <w:r w:rsidR="00DF6ED5" w:rsidRPr="00DD5F33">
        <w:rPr>
          <w:rFonts w:ascii="Arial" w:eastAsia="Calibri" w:hAnsi="Arial" w:cs="Arial"/>
          <w:bCs/>
          <w:color w:val="000000"/>
          <w:sz w:val="22"/>
          <w:szCs w:val="22"/>
          <w:lang w:val="es-ES_tradnl" w:eastAsia="en-US"/>
        </w:rPr>
        <w:t>,</w:t>
      </w:r>
      <w:r w:rsidR="004768D3" w:rsidRPr="00DD5F33">
        <w:rPr>
          <w:rFonts w:ascii="Arial" w:eastAsia="Calibri" w:hAnsi="Arial" w:cs="Arial"/>
          <w:bCs/>
          <w:color w:val="000000"/>
          <w:sz w:val="22"/>
          <w:szCs w:val="22"/>
          <w:lang w:val="es-ES_tradnl" w:eastAsia="en-US"/>
        </w:rPr>
        <w:t xml:space="preserve"> en el porcentaje indicado por la entidad estatal</w:t>
      </w:r>
      <w:r w:rsidR="00DF6ED5" w:rsidRPr="00DD5F33">
        <w:rPr>
          <w:rFonts w:ascii="Arial" w:eastAsia="Calibri" w:hAnsi="Arial" w:cs="Arial"/>
          <w:bCs/>
          <w:color w:val="000000"/>
          <w:sz w:val="22"/>
          <w:szCs w:val="22"/>
          <w:lang w:val="es-ES_tradnl" w:eastAsia="en-US"/>
        </w:rPr>
        <w:t>,</w:t>
      </w:r>
      <w:r w:rsidR="004768D3" w:rsidRPr="00DD5F33">
        <w:rPr>
          <w:rFonts w:ascii="Arial" w:eastAsia="Calibri" w:hAnsi="Arial" w:cs="Arial"/>
          <w:bCs/>
          <w:color w:val="000000"/>
          <w:sz w:val="22"/>
          <w:szCs w:val="22"/>
          <w:lang w:val="es-ES_tradnl" w:eastAsia="en-US"/>
        </w:rPr>
        <w:t xml:space="preserve"> se realice por parte de los sujetos de especial protección constitucional, independientemente de la naturaleza del contrato suscrito entre ellos y el contratista</w:t>
      </w:r>
      <w:r w:rsidR="00370044" w:rsidRPr="00DD5F33">
        <w:rPr>
          <w:rFonts w:ascii="Arial" w:eastAsia="Calibri" w:hAnsi="Arial" w:cs="Arial"/>
          <w:bCs/>
          <w:color w:val="000000"/>
          <w:sz w:val="22"/>
          <w:szCs w:val="22"/>
          <w:lang w:val="es-ES_tradnl" w:eastAsia="en-US"/>
        </w:rPr>
        <w:t>.</w:t>
      </w:r>
    </w:p>
    <w:p w14:paraId="3C6BE090" w14:textId="611E0C37" w:rsidR="00FF2C8B" w:rsidRPr="00DD5F33" w:rsidRDefault="00FF2C8B" w:rsidP="00FF2C8B">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Ahora bien, la provisión de los bienes o servicios se debe realizar directamente por </w:t>
      </w:r>
      <w:r w:rsidR="004B28BB" w:rsidRPr="00DD5F33">
        <w:rPr>
          <w:rFonts w:ascii="Arial" w:eastAsia="Calibri" w:hAnsi="Arial" w:cs="Arial"/>
          <w:bCs/>
          <w:color w:val="000000"/>
          <w:sz w:val="22"/>
          <w:szCs w:val="22"/>
          <w:lang w:val="es-ES_tradnl" w:eastAsia="en-US"/>
        </w:rPr>
        <w:t>la</w:t>
      </w:r>
      <w:r w:rsidRPr="00DD5F33">
        <w:rPr>
          <w:rFonts w:ascii="Arial" w:eastAsia="Calibri" w:hAnsi="Arial" w:cs="Arial"/>
          <w:bCs/>
          <w:color w:val="000000"/>
          <w:sz w:val="22"/>
          <w:szCs w:val="22"/>
          <w:lang w:val="es-ES_tradnl" w:eastAsia="en-US"/>
        </w:rPr>
        <w:t xml:space="preserve"> población en pobreza extrema, desplazados por la violencia, personas en proceso de reintegración o reincorporación y sujetos de especial protección constitucional. Por tanto, esta Agencia no considera procedente interpretar que se satisface la exigencia del porcentaje de provisión de bienes o servicios</w:t>
      </w:r>
      <w:r w:rsidR="004B28BB" w:rsidRPr="00DD5F33">
        <w:rPr>
          <w:rFonts w:ascii="Arial" w:eastAsia="Calibri" w:hAnsi="Arial" w:cs="Arial"/>
          <w:bCs/>
          <w:color w:val="000000"/>
          <w:sz w:val="22"/>
          <w:szCs w:val="22"/>
          <w:lang w:val="es-ES_tradnl" w:eastAsia="en-US"/>
        </w:rPr>
        <w:t>,</w:t>
      </w:r>
      <w:r w:rsidR="005B11B0" w:rsidRPr="00DD5F33">
        <w:rPr>
          <w:rFonts w:ascii="Arial" w:eastAsia="Calibri" w:hAnsi="Arial" w:cs="Arial"/>
          <w:bCs/>
          <w:color w:val="000000"/>
          <w:sz w:val="22"/>
          <w:szCs w:val="22"/>
          <w:lang w:val="es-ES_tradnl" w:eastAsia="en-US"/>
        </w:rPr>
        <w:t xml:space="preserve"> por contratar con un particular que</w:t>
      </w:r>
      <w:r w:rsidR="004B28BB" w:rsidRPr="00DD5F33">
        <w:rPr>
          <w:rFonts w:ascii="Arial" w:eastAsia="Calibri" w:hAnsi="Arial" w:cs="Arial"/>
          <w:bCs/>
          <w:color w:val="000000"/>
          <w:sz w:val="22"/>
          <w:szCs w:val="22"/>
          <w:lang w:val="es-ES_tradnl" w:eastAsia="en-US"/>
        </w:rPr>
        <w:t>,</w:t>
      </w:r>
      <w:r w:rsidR="005B11B0" w:rsidRPr="00DD5F33">
        <w:rPr>
          <w:rFonts w:ascii="Arial" w:eastAsia="Calibri" w:hAnsi="Arial" w:cs="Arial"/>
          <w:bCs/>
          <w:color w:val="000000"/>
          <w:sz w:val="22"/>
          <w:szCs w:val="22"/>
          <w:lang w:val="es-ES_tradnl" w:eastAsia="en-US"/>
        </w:rPr>
        <w:t xml:space="preserve"> a su vez</w:t>
      </w:r>
      <w:r w:rsidR="004B28BB" w:rsidRPr="00DD5F33">
        <w:rPr>
          <w:rFonts w:ascii="Arial" w:eastAsia="Calibri" w:hAnsi="Arial" w:cs="Arial"/>
          <w:bCs/>
          <w:color w:val="000000"/>
          <w:sz w:val="22"/>
          <w:szCs w:val="22"/>
          <w:lang w:val="es-ES_tradnl" w:eastAsia="en-US"/>
        </w:rPr>
        <w:t>,</w:t>
      </w:r>
      <w:r w:rsidR="005B11B0" w:rsidRPr="00DD5F33">
        <w:rPr>
          <w:rFonts w:ascii="Arial" w:eastAsia="Calibri" w:hAnsi="Arial" w:cs="Arial"/>
          <w:bCs/>
          <w:color w:val="000000"/>
          <w:sz w:val="22"/>
          <w:szCs w:val="22"/>
          <w:lang w:val="es-ES_tradnl" w:eastAsia="en-US"/>
        </w:rPr>
        <w:t xml:space="preserve"> </w:t>
      </w:r>
      <w:r w:rsidR="004B28BB" w:rsidRPr="00DD5F33">
        <w:rPr>
          <w:rFonts w:ascii="Arial" w:eastAsia="Calibri" w:hAnsi="Arial" w:cs="Arial"/>
          <w:bCs/>
          <w:color w:val="000000"/>
          <w:sz w:val="22"/>
          <w:szCs w:val="22"/>
          <w:lang w:val="es-ES_tradnl" w:eastAsia="en-US"/>
        </w:rPr>
        <w:t>adquirirá los bienes o servicios</w:t>
      </w:r>
      <w:r w:rsidR="005B11B0" w:rsidRPr="00DD5F33">
        <w:rPr>
          <w:rFonts w:ascii="Arial" w:eastAsia="Calibri" w:hAnsi="Arial" w:cs="Arial"/>
          <w:bCs/>
          <w:color w:val="000000"/>
          <w:sz w:val="22"/>
          <w:szCs w:val="22"/>
          <w:lang w:val="es-ES_tradnl" w:eastAsia="en-US"/>
        </w:rPr>
        <w:t xml:space="preserve"> de parte </w:t>
      </w:r>
      <w:r w:rsidR="00624606" w:rsidRPr="00DD5F33">
        <w:rPr>
          <w:rFonts w:ascii="Arial" w:eastAsia="Calibri" w:hAnsi="Arial" w:cs="Arial"/>
          <w:bCs/>
          <w:color w:val="000000"/>
          <w:sz w:val="22"/>
          <w:szCs w:val="22"/>
          <w:lang w:val="es-ES_tradnl" w:eastAsia="en-US"/>
        </w:rPr>
        <w:t xml:space="preserve">de </w:t>
      </w:r>
      <w:r w:rsidR="005B11B0" w:rsidRPr="00DD5F33">
        <w:rPr>
          <w:rFonts w:ascii="Arial" w:eastAsia="Calibri" w:hAnsi="Arial" w:cs="Arial"/>
          <w:bCs/>
          <w:color w:val="000000"/>
          <w:sz w:val="22"/>
          <w:szCs w:val="22"/>
          <w:lang w:val="es-ES_tradnl" w:eastAsia="en-US"/>
        </w:rPr>
        <w:t>los grupos poblacionales enunciados en el artículo 2.2.1.2.4.2.16. En armonía con el artículo 34 de la Ley 2069 de 2020, el espíritu de la norma es</w:t>
      </w:r>
      <w:r w:rsidR="00B86783" w:rsidRPr="00DD5F33">
        <w:rPr>
          <w:rFonts w:ascii="Arial" w:eastAsia="Calibri" w:hAnsi="Arial" w:cs="Arial"/>
          <w:bCs/>
          <w:color w:val="000000"/>
          <w:sz w:val="22"/>
          <w:szCs w:val="22"/>
          <w:lang w:val="es-ES_tradnl" w:eastAsia="en-US"/>
        </w:rPr>
        <w:t xml:space="preserve"> promover el desarrollo para las personas</w:t>
      </w:r>
      <w:r w:rsidR="0040284C" w:rsidRPr="00DD5F33">
        <w:rPr>
          <w:rFonts w:ascii="Arial" w:eastAsia="Calibri" w:hAnsi="Arial" w:cs="Arial"/>
          <w:bCs/>
          <w:color w:val="000000"/>
          <w:sz w:val="22"/>
          <w:szCs w:val="22"/>
          <w:lang w:val="es-ES_tradnl" w:eastAsia="en-US"/>
        </w:rPr>
        <w:t xml:space="preserve"> que </w:t>
      </w:r>
      <w:r w:rsidR="00DF6ADB" w:rsidRPr="00DD5F33">
        <w:rPr>
          <w:rFonts w:ascii="Arial" w:eastAsia="Calibri" w:hAnsi="Arial" w:cs="Arial"/>
          <w:bCs/>
          <w:color w:val="000000"/>
          <w:sz w:val="22"/>
          <w:szCs w:val="22"/>
          <w:lang w:val="es-ES_tradnl" w:eastAsia="en-US"/>
        </w:rPr>
        <w:t>necesiten</w:t>
      </w:r>
      <w:r w:rsidR="0040284C" w:rsidRPr="00DD5F33">
        <w:rPr>
          <w:rFonts w:ascii="Arial" w:eastAsia="Calibri" w:hAnsi="Arial" w:cs="Arial"/>
          <w:bCs/>
          <w:color w:val="000000"/>
          <w:sz w:val="22"/>
          <w:szCs w:val="22"/>
          <w:lang w:val="es-ES_tradnl" w:eastAsia="en-US"/>
        </w:rPr>
        <w:t xml:space="preserve"> estas acciones de fomento por parte del Estado; finalidad que se desnaturalizaría si se entendiera que esto </w:t>
      </w:r>
      <w:r w:rsidR="00DF6ADB" w:rsidRPr="00DD5F33">
        <w:rPr>
          <w:rFonts w:ascii="Arial" w:eastAsia="Calibri" w:hAnsi="Arial" w:cs="Arial"/>
          <w:bCs/>
          <w:color w:val="000000"/>
          <w:sz w:val="22"/>
          <w:szCs w:val="22"/>
          <w:lang w:val="es-ES_tradnl" w:eastAsia="en-US"/>
        </w:rPr>
        <w:t>puede ser</w:t>
      </w:r>
      <w:r w:rsidR="0040284C" w:rsidRPr="00DD5F33">
        <w:rPr>
          <w:rFonts w:ascii="Arial" w:eastAsia="Calibri" w:hAnsi="Arial" w:cs="Arial"/>
          <w:bCs/>
          <w:color w:val="000000"/>
          <w:sz w:val="22"/>
          <w:szCs w:val="22"/>
          <w:lang w:val="es-ES_tradnl" w:eastAsia="en-US"/>
        </w:rPr>
        <w:t xml:space="preserve"> fuente de ganancia económica para sujetos que no caben en los grupos poblacionales beneficiados con esta medida</w:t>
      </w:r>
      <w:r w:rsidR="00D051C5" w:rsidRPr="00DD5F33">
        <w:rPr>
          <w:rFonts w:ascii="Arial" w:eastAsia="Calibri" w:hAnsi="Arial" w:cs="Arial"/>
          <w:bCs/>
          <w:color w:val="000000"/>
          <w:sz w:val="22"/>
          <w:szCs w:val="22"/>
          <w:lang w:val="es-ES_tradnl" w:eastAsia="en-US"/>
        </w:rPr>
        <w:t>, encareciendo con la intermediación el coste de los bienes o servicios requeridos para cumplir con el objeto contractual.</w:t>
      </w:r>
    </w:p>
    <w:p w14:paraId="34473805" w14:textId="77777777" w:rsidR="00B02A68" w:rsidRPr="00DD5F33" w:rsidRDefault="00B02A68" w:rsidP="00EF799B">
      <w:pPr>
        <w:ind w:right="709"/>
        <w:jc w:val="both"/>
        <w:rPr>
          <w:rFonts w:ascii="Arial" w:hAnsi="Arial" w:cs="Arial"/>
          <w:color w:val="000000" w:themeColor="text1"/>
          <w:sz w:val="21"/>
          <w:szCs w:val="21"/>
          <w:lang w:val="es-ES_tradnl"/>
        </w:rPr>
      </w:pPr>
    </w:p>
    <w:p w14:paraId="2B3CDA6E" w14:textId="18FF9579" w:rsidR="00B02A68" w:rsidRPr="00DD5F33" w:rsidRDefault="00EF799B"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“ARTÍCULO 3. Adición de los artículos 2.2.1.2.4.2.14, 2.2.1.2.4.2.15, 2.2.1.2.4.2.16, 2.2.1.2.4.2.17 y 2.2.1.2.4.2. 18 a la Subsección 2 de la Sección 4 del Capítulo 2 del Título 1 de la Parte 2 del Libro 2 del Decreto 1082 de 2015. Adiciónense los artículos 2.2.1.2.4.2.14, 2.2.1.2.4.2.15, 2.2.1.2.4.2.16, 2.2.1.2.4.2.17 y 2.2.1.2.4.2.18 a la Subsección 2 de la Sección 4 del Capítulo 2 del Título 1 de la Parte 2 del Libro 2 del Decreto 1082 de 2015, los cuales quedarán así.</w:t>
      </w:r>
    </w:p>
    <w:p w14:paraId="589473C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22B17AC"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ARTÍCULO 2.2.1.2.4.2.18. 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5A381506"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48B647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Tiempo de experiencia.</w:t>
      </w:r>
    </w:p>
    <w:p w14:paraId="629A088A"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4A4671C5"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lastRenderedPageBreak/>
        <w:t xml:space="preserve">»2. Número de contratos para la acreditación de la experiencia. </w:t>
      </w:r>
    </w:p>
    <w:p w14:paraId="0B877207"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62E39C0"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»3. Índices de capacidad financiera.</w:t>
      </w:r>
    </w:p>
    <w:p w14:paraId="166A7855"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0D9718D8"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»4. Índices de capacidad organizacional.</w:t>
      </w:r>
    </w:p>
    <w:p w14:paraId="78A0C047"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49FD4B45"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»5. Valor de la garantía de seriedad de la oferta.</w:t>
      </w:r>
    </w:p>
    <w:p w14:paraId="153D6A10"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01AB30A"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4B536E8F"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AC53B64"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5B84443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C38F5F9"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»PARÁGRAFO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30413A0F"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15D1ACE"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»PARÁGRAFO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7BDA240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AA42C0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»PARÁGRAFO 3. Lo previsto en esta norma aplica sin perjuicio de lo dispuesto en los Acuerdos Comerciales suscritos por el Estado colombiano, pero no rige en las convocatorias limitadas que se realicen conforme a los artículos 2.2.1.2.4.2.2 y 2.2.1.2.4.2.3 de este Decreto."</w:t>
      </w:r>
    </w:p>
    <w:p w14:paraId="0739F784"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5D936E1"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»Bajo este artículo se consulta:</w:t>
      </w:r>
    </w:p>
    <w:p w14:paraId="1FDDB652" w14:textId="77777777" w:rsidR="00CB143B" w:rsidRPr="00DD5F33" w:rsidRDefault="00CB143B" w:rsidP="00B02A68">
      <w:pPr>
        <w:ind w:left="709" w:right="709"/>
        <w:jc w:val="both"/>
        <w:rPr>
          <w:rFonts w:ascii="Arial" w:hAnsi="Arial" w:cs="Arial"/>
          <w:color w:val="000000" w:themeColor="text1"/>
          <w:sz w:val="21"/>
          <w:szCs w:val="21"/>
          <w:lang w:val="es-ES_tradnl"/>
        </w:rPr>
      </w:pPr>
    </w:p>
    <w:p w14:paraId="091B2ADC" w14:textId="2737B9C0"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Deben seguirse aplicando los demás requisitos establecidos en el artículo 2.2.1.2.4.2.2 “Convocatorias limitadas a Mipyme” del Decreto 1082 de 2015, en lo que refiere al plazo de existencia de la Mipyme, el monto de la cuantía del proceso que es susceptible de limitar a Mipyme, el origen nacional de la Mipyme y el plazo para recibir las manifestaciones para limitar el proceso o, nos abstenemos de aplicarlos hasta tanto no sea expedida una nueva reglamentación en la materia que fije los montos y las demás condiciones para limitar convocatorias públicas a la participación de Mipymes?</w:t>
      </w:r>
    </w:p>
    <w:p w14:paraId="7247FA95" w14:textId="71910E1F" w:rsidR="00B02A68" w:rsidRPr="00DD5F33" w:rsidRDefault="00B02A68" w:rsidP="00B02A68">
      <w:pPr>
        <w:ind w:left="709" w:right="709"/>
        <w:jc w:val="both"/>
        <w:rPr>
          <w:rFonts w:ascii="Arial" w:hAnsi="Arial" w:cs="Arial"/>
          <w:color w:val="000000" w:themeColor="text1"/>
          <w:sz w:val="21"/>
          <w:szCs w:val="21"/>
          <w:lang w:val="es-ES_tradnl"/>
        </w:rPr>
      </w:pPr>
    </w:p>
    <w:p w14:paraId="01309203" w14:textId="5F1DC579" w:rsidR="00B22D56" w:rsidRPr="00DD5F33" w:rsidRDefault="009D6E3A" w:rsidP="00CD7B98">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Se deben diferenciar dos </w:t>
      </w:r>
      <w:r w:rsidR="00FB7D76" w:rsidRPr="00DD5F33">
        <w:rPr>
          <w:rFonts w:ascii="Arial" w:eastAsia="Calibri" w:hAnsi="Arial" w:cs="Arial"/>
          <w:bCs/>
          <w:color w:val="000000"/>
          <w:sz w:val="22"/>
          <w:szCs w:val="22"/>
          <w:lang w:val="es-ES_tradnl" w:eastAsia="en-US"/>
        </w:rPr>
        <w:t>circunstancias: i) una es la limitación de una convocatoria a mipymes</w:t>
      </w:r>
      <w:r w:rsidR="00274E6C" w:rsidRPr="00DD5F33">
        <w:rPr>
          <w:rFonts w:ascii="Arial" w:eastAsia="Calibri" w:hAnsi="Arial" w:cs="Arial"/>
          <w:bCs/>
          <w:color w:val="000000"/>
          <w:sz w:val="22"/>
          <w:szCs w:val="22"/>
          <w:lang w:val="es-ES_tradnl" w:eastAsia="en-US"/>
        </w:rPr>
        <w:t xml:space="preserve"> –</w:t>
      </w:r>
      <w:r w:rsidR="0057272E" w:rsidRPr="00DD5F33">
        <w:rPr>
          <w:rFonts w:ascii="Arial" w:eastAsia="Calibri" w:hAnsi="Arial" w:cs="Arial"/>
          <w:bCs/>
          <w:color w:val="000000"/>
          <w:sz w:val="22"/>
          <w:szCs w:val="22"/>
          <w:lang w:val="es-ES_tradnl" w:eastAsia="en-US"/>
        </w:rPr>
        <w:t xml:space="preserve">regulada en los artículos </w:t>
      </w:r>
      <w:r w:rsidR="00626FCA" w:rsidRPr="00DD5F33">
        <w:rPr>
          <w:rFonts w:ascii="Arial" w:eastAsia="Calibri" w:hAnsi="Arial" w:cs="Arial"/>
          <w:bCs/>
          <w:color w:val="000000"/>
          <w:sz w:val="22"/>
          <w:szCs w:val="22"/>
          <w:lang w:val="es-ES_tradnl" w:eastAsia="en-US"/>
        </w:rPr>
        <w:t xml:space="preserve">2.2.1.2.4.2.2. al </w:t>
      </w:r>
      <w:r w:rsidR="0071014F" w:rsidRPr="00DD5F33">
        <w:rPr>
          <w:rFonts w:ascii="Arial" w:eastAsia="Calibri" w:hAnsi="Arial" w:cs="Arial"/>
          <w:bCs/>
          <w:color w:val="000000"/>
          <w:sz w:val="22"/>
          <w:szCs w:val="22"/>
          <w:lang w:val="es-ES_tradnl" w:eastAsia="en-US"/>
        </w:rPr>
        <w:t xml:space="preserve">2.2.1.2.4.2.4. del Decreto 1082 de 2015, modificados </w:t>
      </w:r>
      <w:r w:rsidR="00397A8F" w:rsidRPr="00DD5F33">
        <w:rPr>
          <w:rFonts w:ascii="Arial" w:eastAsia="Calibri" w:hAnsi="Arial" w:cs="Arial"/>
          <w:bCs/>
          <w:color w:val="000000"/>
          <w:sz w:val="22"/>
          <w:szCs w:val="22"/>
          <w:lang w:val="es-ES_tradnl" w:eastAsia="en-US"/>
        </w:rPr>
        <w:t>por el artículo 5 del Decreto 1860 de 2021</w:t>
      </w:r>
      <w:r w:rsidR="00274E6C" w:rsidRPr="00DD5F33">
        <w:rPr>
          <w:rFonts w:ascii="Arial" w:eastAsia="Calibri" w:hAnsi="Arial" w:cs="Arial"/>
          <w:bCs/>
          <w:color w:val="000000"/>
          <w:sz w:val="22"/>
          <w:szCs w:val="22"/>
          <w:lang w:val="es-ES_tradnl" w:eastAsia="en-US"/>
        </w:rPr>
        <w:t>–</w:t>
      </w:r>
      <w:r w:rsidR="00397A8F" w:rsidRPr="00DD5F33">
        <w:rPr>
          <w:rFonts w:ascii="Arial" w:eastAsia="Calibri" w:hAnsi="Arial" w:cs="Arial"/>
          <w:bCs/>
          <w:color w:val="000000"/>
          <w:sz w:val="22"/>
          <w:szCs w:val="22"/>
          <w:lang w:val="es-ES_tradnl" w:eastAsia="en-US"/>
        </w:rPr>
        <w:t xml:space="preserve"> y ii) otra es</w:t>
      </w:r>
      <w:r w:rsidR="005A14F1" w:rsidRPr="00DD5F33">
        <w:rPr>
          <w:rFonts w:ascii="Arial" w:eastAsia="Calibri" w:hAnsi="Arial" w:cs="Arial"/>
          <w:bCs/>
          <w:color w:val="000000"/>
          <w:sz w:val="22"/>
          <w:szCs w:val="22"/>
          <w:lang w:val="es-ES_tradnl" w:eastAsia="en-US"/>
        </w:rPr>
        <w:t xml:space="preserve"> el establecimiento de criterios </w:t>
      </w:r>
      <w:r w:rsidR="00353BBC" w:rsidRPr="00DD5F33">
        <w:rPr>
          <w:rFonts w:ascii="Arial" w:eastAsia="Calibri" w:hAnsi="Arial" w:cs="Arial"/>
          <w:bCs/>
          <w:color w:val="000000"/>
          <w:sz w:val="22"/>
          <w:szCs w:val="22"/>
          <w:lang w:val="es-ES_tradnl" w:eastAsia="en-US"/>
        </w:rPr>
        <w:t xml:space="preserve">diferenciales </w:t>
      </w:r>
      <w:r w:rsidR="005A14F1" w:rsidRPr="00DD5F33">
        <w:rPr>
          <w:rFonts w:ascii="Arial" w:eastAsia="Calibri" w:hAnsi="Arial" w:cs="Arial"/>
          <w:bCs/>
          <w:color w:val="000000"/>
          <w:sz w:val="22"/>
          <w:szCs w:val="22"/>
          <w:lang w:val="es-ES_tradnl" w:eastAsia="en-US"/>
        </w:rPr>
        <w:t>para mipymes en el sistema de compras públicas</w:t>
      </w:r>
      <w:r w:rsidR="00DE3920" w:rsidRPr="00DD5F33">
        <w:rPr>
          <w:rFonts w:ascii="Arial" w:eastAsia="Calibri" w:hAnsi="Arial" w:cs="Arial"/>
          <w:bCs/>
          <w:color w:val="000000"/>
          <w:sz w:val="22"/>
          <w:szCs w:val="22"/>
          <w:lang w:val="es-ES_tradnl" w:eastAsia="en-US"/>
        </w:rPr>
        <w:t xml:space="preserve"> </w:t>
      </w:r>
      <w:r w:rsidR="00274E6C" w:rsidRPr="00DD5F33">
        <w:rPr>
          <w:rFonts w:ascii="Arial" w:eastAsia="Calibri" w:hAnsi="Arial" w:cs="Arial"/>
          <w:bCs/>
          <w:color w:val="000000"/>
          <w:sz w:val="22"/>
          <w:szCs w:val="22"/>
          <w:lang w:val="es-ES_tradnl" w:eastAsia="en-US"/>
        </w:rPr>
        <w:t>–</w:t>
      </w:r>
      <w:r w:rsidR="00DE3920" w:rsidRPr="00DD5F33">
        <w:rPr>
          <w:rFonts w:ascii="Arial" w:eastAsia="Calibri" w:hAnsi="Arial" w:cs="Arial"/>
          <w:bCs/>
          <w:color w:val="000000"/>
          <w:sz w:val="22"/>
          <w:szCs w:val="22"/>
          <w:lang w:val="es-ES_tradnl" w:eastAsia="en-US"/>
        </w:rPr>
        <w:t>regid</w:t>
      </w:r>
      <w:r w:rsidR="00274E6C" w:rsidRPr="00DD5F33">
        <w:rPr>
          <w:rFonts w:ascii="Arial" w:eastAsia="Calibri" w:hAnsi="Arial" w:cs="Arial"/>
          <w:bCs/>
          <w:color w:val="000000"/>
          <w:sz w:val="22"/>
          <w:szCs w:val="22"/>
          <w:lang w:val="es-ES_tradnl" w:eastAsia="en-US"/>
        </w:rPr>
        <w:t>o</w:t>
      </w:r>
      <w:r w:rsidR="00DE3920" w:rsidRPr="00DD5F33">
        <w:rPr>
          <w:rFonts w:ascii="Arial" w:eastAsia="Calibri" w:hAnsi="Arial" w:cs="Arial"/>
          <w:bCs/>
          <w:color w:val="000000"/>
          <w:sz w:val="22"/>
          <w:szCs w:val="22"/>
          <w:lang w:val="es-ES_tradnl" w:eastAsia="en-US"/>
        </w:rPr>
        <w:t xml:space="preserve"> por </w:t>
      </w:r>
      <w:r w:rsidR="007F42AF" w:rsidRPr="00DD5F33">
        <w:rPr>
          <w:rFonts w:ascii="Arial" w:eastAsia="Calibri" w:hAnsi="Arial" w:cs="Arial"/>
          <w:bCs/>
          <w:color w:val="000000"/>
          <w:sz w:val="22"/>
          <w:szCs w:val="22"/>
          <w:lang w:val="es-ES_tradnl" w:eastAsia="en-US"/>
        </w:rPr>
        <w:t>el</w:t>
      </w:r>
      <w:r w:rsidR="00DE3920" w:rsidRPr="00DD5F33">
        <w:rPr>
          <w:rFonts w:ascii="Arial" w:eastAsia="Calibri" w:hAnsi="Arial" w:cs="Arial"/>
          <w:bCs/>
          <w:color w:val="000000"/>
          <w:sz w:val="22"/>
          <w:szCs w:val="22"/>
          <w:lang w:val="es-ES_tradnl" w:eastAsia="en-US"/>
        </w:rPr>
        <w:t xml:space="preserve"> artículo</w:t>
      </w:r>
      <w:r w:rsidR="00CD7B98" w:rsidRPr="00DD5F33">
        <w:rPr>
          <w:rFonts w:ascii="Arial" w:eastAsia="Calibri" w:hAnsi="Arial" w:cs="Arial"/>
          <w:bCs/>
          <w:color w:val="000000"/>
          <w:sz w:val="22"/>
          <w:szCs w:val="22"/>
          <w:lang w:val="es-ES_tradnl" w:eastAsia="en-US"/>
        </w:rPr>
        <w:t xml:space="preserve"> 2.2.1.2.4.2.18.</w:t>
      </w:r>
      <w:r w:rsidR="003476A0" w:rsidRPr="00DD5F33">
        <w:rPr>
          <w:rFonts w:ascii="Arial" w:eastAsia="Calibri" w:hAnsi="Arial" w:cs="Arial"/>
          <w:bCs/>
          <w:color w:val="000000"/>
          <w:sz w:val="22"/>
          <w:szCs w:val="22"/>
          <w:lang w:val="es-ES_tradnl" w:eastAsia="en-US"/>
        </w:rPr>
        <w:t>, adicionado por el artículo 3 del Decreto 1860 de 2021</w:t>
      </w:r>
      <w:r w:rsidR="00274E6C" w:rsidRPr="00DD5F33">
        <w:rPr>
          <w:rFonts w:ascii="Arial" w:eastAsia="Calibri" w:hAnsi="Arial" w:cs="Arial"/>
          <w:bCs/>
          <w:color w:val="000000"/>
          <w:sz w:val="22"/>
          <w:szCs w:val="22"/>
          <w:lang w:val="es-ES_tradnl" w:eastAsia="en-US"/>
        </w:rPr>
        <w:t>–</w:t>
      </w:r>
      <w:r w:rsidR="003476A0" w:rsidRPr="00DD5F33">
        <w:rPr>
          <w:rFonts w:ascii="Arial" w:eastAsia="Calibri" w:hAnsi="Arial" w:cs="Arial"/>
          <w:bCs/>
          <w:color w:val="000000"/>
          <w:sz w:val="22"/>
          <w:szCs w:val="22"/>
          <w:lang w:val="es-ES_tradnl" w:eastAsia="en-US"/>
        </w:rPr>
        <w:t>. Tanto es así que el</w:t>
      </w:r>
      <w:r w:rsidR="00866866" w:rsidRPr="00DD5F33">
        <w:rPr>
          <w:rFonts w:ascii="Arial" w:eastAsia="Calibri" w:hAnsi="Arial" w:cs="Arial"/>
          <w:bCs/>
          <w:color w:val="000000"/>
          <w:sz w:val="22"/>
          <w:szCs w:val="22"/>
          <w:lang w:val="es-ES_tradnl" w:eastAsia="en-US"/>
        </w:rPr>
        <w:t xml:space="preserve"> parágrafo 3 del artículo 2.2.1.2.4.2.18. establece que</w:t>
      </w:r>
      <w:r w:rsidR="006A2F6D" w:rsidRPr="00DD5F33">
        <w:rPr>
          <w:rFonts w:ascii="Arial" w:eastAsia="Calibri" w:hAnsi="Arial" w:cs="Arial"/>
          <w:bCs/>
          <w:color w:val="000000"/>
          <w:sz w:val="22"/>
          <w:szCs w:val="22"/>
          <w:lang w:val="es-ES_tradnl" w:eastAsia="en-US"/>
        </w:rPr>
        <w:t xml:space="preserve"> «Lo previsto en esta norma […] no rige en las convocatorias limitadas que se realicen conforme a los artículos 2.2.1.2.4.2.2 y 2.2.1.2.4.2.3 de este Decreto».</w:t>
      </w:r>
    </w:p>
    <w:p w14:paraId="4170CAE0" w14:textId="674246C6" w:rsidR="00854041" w:rsidRPr="00DD5F33" w:rsidRDefault="00B22D56" w:rsidP="00EA1610">
      <w:pPr>
        <w:spacing w:before="120" w:line="276" w:lineRule="auto"/>
        <w:ind w:firstLine="709"/>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Pero</w:t>
      </w:r>
      <w:r w:rsidR="002872F5" w:rsidRPr="00DD5F33">
        <w:rPr>
          <w:rFonts w:ascii="Arial" w:eastAsia="Calibri" w:hAnsi="Arial" w:cs="Arial"/>
          <w:bCs/>
          <w:color w:val="000000"/>
          <w:sz w:val="22"/>
          <w:szCs w:val="22"/>
          <w:lang w:val="es-ES_tradnl" w:eastAsia="en-US"/>
        </w:rPr>
        <w:t xml:space="preserve"> </w:t>
      </w:r>
      <w:r w:rsidR="009E6051" w:rsidRPr="00DD5F33">
        <w:rPr>
          <w:rFonts w:ascii="Arial" w:eastAsia="Calibri" w:hAnsi="Arial" w:cs="Arial"/>
          <w:bCs/>
          <w:color w:val="000000"/>
          <w:sz w:val="22"/>
          <w:szCs w:val="22"/>
          <w:lang w:val="es-ES_tradnl" w:eastAsia="en-US"/>
        </w:rPr>
        <w:t>lo anterior</w:t>
      </w:r>
      <w:r w:rsidRPr="00DD5F33">
        <w:rPr>
          <w:rFonts w:ascii="Arial" w:eastAsia="Calibri" w:hAnsi="Arial" w:cs="Arial"/>
          <w:bCs/>
          <w:color w:val="000000"/>
          <w:sz w:val="22"/>
          <w:szCs w:val="22"/>
          <w:lang w:val="es-ES_tradnl" w:eastAsia="en-US"/>
        </w:rPr>
        <w:t xml:space="preserve"> no significa que las entidades estatales no deban aplicar los criterios diferenciales</w:t>
      </w:r>
      <w:r w:rsidR="00B96863" w:rsidRPr="00DD5F33">
        <w:rPr>
          <w:rFonts w:ascii="Arial" w:eastAsia="Calibri" w:hAnsi="Arial" w:cs="Arial"/>
          <w:bCs/>
          <w:color w:val="000000"/>
          <w:sz w:val="22"/>
          <w:szCs w:val="22"/>
          <w:lang w:val="es-ES_tradnl" w:eastAsia="en-US"/>
        </w:rPr>
        <w:t xml:space="preserve"> para promover y facilitar la participación en los procedimientos de selección competitivos de las </w:t>
      </w:r>
      <w:r w:rsidR="002872F5" w:rsidRPr="00DD5F33">
        <w:rPr>
          <w:rFonts w:ascii="Arial" w:eastAsia="Calibri" w:hAnsi="Arial" w:cs="Arial"/>
          <w:bCs/>
          <w:color w:val="000000"/>
          <w:sz w:val="22"/>
          <w:szCs w:val="22"/>
          <w:lang w:val="es-ES_tradnl" w:eastAsia="en-US"/>
        </w:rPr>
        <w:t>m</w:t>
      </w:r>
      <w:r w:rsidR="00B96863" w:rsidRPr="00DD5F33">
        <w:rPr>
          <w:rFonts w:ascii="Arial" w:eastAsia="Calibri" w:hAnsi="Arial" w:cs="Arial"/>
          <w:bCs/>
          <w:color w:val="000000"/>
          <w:sz w:val="22"/>
          <w:szCs w:val="22"/>
          <w:lang w:val="es-ES_tradnl" w:eastAsia="en-US"/>
        </w:rPr>
        <w:t>ipyme</w:t>
      </w:r>
      <w:r w:rsidR="002872F5" w:rsidRPr="00DD5F33">
        <w:rPr>
          <w:rFonts w:ascii="Arial" w:eastAsia="Calibri" w:hAnsi="Arial" w:cs="Arial"/>
          <w:bCs/>
          <w:color w:val="000000"/>
          <w:sz w:val="22"/>
          <w:szCs w:val="22"/>
          <w:lang w:val="es-ES_tradnl" w:eastAsia="en-US"/>
        </w:rPr>
        <w:t>s</w:t>
      </w:r>
      <w:r w:rsidR="00B96863" w:rsidRPr="00DD5F33">
        <w:rPr>
          <w:rFonts w:ascii="Arial" w:eastAsia="Calibri" w:hAnsi="Arial" w:cs="Arial"/>
          <w:bCs/>
          <w:color w:val="000000"/>
          <w:sz w:val="22"/>
          <w:szCs w:val="22"/>
          <w:lang w:val="es-ES_tradnl" w:eastAsia="en-US"/>
        </w:rPr>
        <w:t xml:space="preserve"> domiciliadas en Colombia</w:t>
      </w:r>
      <w:r w:rsidR="006F60F8" w:rsidRPr="00DD5F33">
        <w:rPr>
          <w:rFonts w:ascii="Arial" w:eastAsia="Calibri" w:hAnsi="Arial" w:cs="Arial"/>
          <w:bCs/>
          <w:color w:val="000000"/>
          <w:sz w:val="22"/>
          <w:szCs w:val="22"/>
          <w:lang w:val="es-ES_tradnl" w:eastAsia="en-US"/>
        </w:rPr>
        <w:t>,</w:t>
      </w:r>
      <w:r w:rsidR="00B57B3D" w:rsidRPr="00DD5F33">
        <w:rPr>
          <w:rFonts w:ascii="Arial" w:eastAsia="Calibri" w:hAnsi="Arial" w:cs="Arial"/>
          <w:bCs/>
          <w:color w:val="000000"/>
          <w:sz w:val="22"/>
          <w:szCs w:val="22"/>
          <w:lang w:val="es-ES_tradnl" w:eastAsia="en-US"/>
        </w:rPr>
        <w:t xml:space="preserve"> o que deban esperar una reglamentación de los requisitos, pues el artículo 2.2.1.2.4.2.18. no supedita su eficacia a un desarrollo reglamentario posterior</w:t>
      </w:r>
      <w:r w:rsidR="006F60F8" w:rsidRPr="00DD5F33">
        <w:rPr>
          <w:rFonts w:ascii="Arial" w:eastAsia="Calibri" w:hAnsi="Arial" w:cs="Arial"/>
          <w:bCs/>
          <w:color w:val="000000"/>
          <w:sz w:val="22"/>
          <w:szCs w:val="22"/>
          <w:lang w:val="es-ES_tradnl" w:eastAsia="en-US"/>
        </w:rPr>
        <w:t xml:space="preserve"> y además se remite expresamente a las normas que deben tenerse en cuenta</w:t>
      </w:r>
      <w:r w:rsidR="00B96863" w:rsidRPr="00DD5F33">
        <w:rPr>
          <w:rFonts w:ascii="Arial" w:eastAsia="Calibri" w:hAnsi="Arial" w:cs="Arial"/>
          <w:bCs/>
          <w:color w:val="000000"/>
          <w:sz w:val="22"/>
          <w:szCs w:val="22"/>
          <w:lang w:val="es-ES_tradnl" w:eastAsia="en-US"/>
        </w:rPr>
        <w:t>.</w:t>
      </w:r>
      <w:r w:rsidR="002872F5" w:rsidRPr="00DD5F33">
        <w:rPr>
          <w:rFonts w:ascii="Arial" w:eastAsia="Calibri" w:hAnsi="Arial" w:cs="Arial"/>
          <w:bCs/>
          <w:color w:val="000000"/>
          <w:sz w:val="22"/>
          <w:szCs w:val="22"/>
          <w:lang w:val="es-ES_tradnl" w:eastAsia="en-US"/>
        </w:rPr>
        <w:t xml:space="preserve"> </w:t>
      </w:r>
      <w:r w:rsidR="009E6051" w:rsidRPr="00DD5F33">
        <w:rPr>
          <w:rFonts w:ascii="Arial" w:eastAsia="Calibri" w:hAnsi="Arial" w:cs="Arial"/>
          <w:bCs/>
          <w:color w:val="000000"/>
          <w:sz w:val="22"/>
          <w:szCs w:val="22"/>
          <w:lang w:val="es-ES_tradnl" w:eastAsia="en-US"/>
        </w:rPr>
        <w:t>Por tanto, e</w:t>
      </w:r>
      <w:r w:rsidR="000B5789" w:rsidRPr="00DD5F33">
        <w:rPr>
          <w:rFonts w:ascii="Arial" w:eastAsia="Calibri" w:hAnsi="Arial" w:cs="Arial"/>
          <w:bCs/>
          <w:color w:val="000000"/>
          <w:sz w:val="22"/>
          <w:szCs w:val="22"/>
          <w:lang w:val="es-ES_tradnl" w:eastAsia="en-US"/>
        </w:rPr>
        <w:t xml:space="preserve">stos criterios diferenciales </w:t>
      </w:r>
      <w:r w:rsidR="002D6E57" w:rsidRPr="00DD5F33">
        <w:rPr>
          <w:rFonts w:ascii="Arial" w:eastAsia="Calibri" w:hAnsi="Arial" w:cs="Arial"/>
          <w:bCs/>
          <w:color w:val="000000"/>
          <w:sz w:val="22"/>
          <w:szCs w:val="22"/>
          <w:lang w:val="es-ES_tradnl" w:eastAsia="en-US"/>
        </w:rPr>
        <w:t>han de</w:t>
      </w:r>
      <w:r w:rsidR="000B5789" w:rsidRPr="00DD5F33">
        <w:rPr>
          <w:rFonts w:ascii="Arial" w:eastAsia="Calibri" w:hAnsi="Arial" w:cs="Arial"/>
          <w:bCs/>
          <w:color w:val="000000"/>
          <w:sz w:val="22"/>
          <w:szCs w:val="22"/>
          <w:lang w:val="es-ES_tradnl" w:eastAsia="en-US"/>
        </w:rPr>
        <w:t xml:space="preserve"> establecerse</w:t>
      </w:r>
      <w:r w:rsidR="005A64C2" w:rsidRPr="00DD5F33">
        <w:rPr>
          <w:rFonts w:ascii="Arial" w:eastAsia="Calibri" w:hAnsi="Arial" w:cs="Arial"/>
          <w:bCs/>
          <w:color w:val="000000"/>
          <w:sz w:val="22"/>
          <w:szCs w:val="22"/>
          <w:lang w:val="es-ES_tradnl" w:eastAsia="en-US"/>
        </w:rPr>
        <w:t xml:space="preserve">, de conformidad con </w:t>
      </w:r>
      <w:r w:rsidR="000B5789" w:rsidRPr="00DD5F33">
        <w:rPr>
          <w:rFonts w:ascii="Arial" w:eastAsia="Calibri" w:hAnsi="Arial" w:cs="Arial"/>
          <w:bCs/>
          <w:color w:val="000000"/>
          <w:sz w:val="22"/>
          <w:szCs w:val="22"/>
          <w:lang w:val="es-ES_tradnl" w:eastAsia="en-US"/>
        </w:rPr>
        <w:t>mencionado artículo 2.2.1.2.4.2.18.</w:t>
      </w:r>
      <w:r w:rsidR="002D6E57" w:rsidRPr="00DD5F33">
        <w:rPr>
          <w:rFonts w:ascii="Arial" w:eastAsia="Calibri" w:hAnsi="Arial" w:cs="Arial"/>
          <w:bCs/>
          <w:color w:val="000000"/>
          <w:sz w:val="22"/>
          <w:szCs w:val="22"/>
          <w:lang w:val="es-ES_tradnl" w:eastAsia="en-US"/>
        </w:rPr>
        <w:t xml:space="preserve">, </w:t>
      </w:r>
      <w:r w:rsidR="006F60F8" w:rsidRPr="00DD5F33">
        <w:rPr>
          <w:rFonts w:ascii="Arial" w:eastAsia="Calibri" w:hAnsi="Arial" w:cs="Arial"/>
          <w:bCs/>
          <w:color w:val="000000"/>
          <w:sz w:val="22"/>
          <w:szCs w:val="22"/>
          <w:lang w:val="es-ES_tradnl" w:eastAsia="en-US"/>
        </w:rPr>
        <w:t xml:space="preserve">el </w:t>
      </w:r>
      <w:r w:rsidR="005A64C2" w:rsidRPr="00DD5F33">
        <w:rPr>
          <w:rFonts w:ascii="Arial" w:eastAsia="Calibri" w:hAnsi="Arial" w:cs="Arial"/>
          <w:bCs/>
          <w:color w:val="000000"/>
          <w:sz w:val="22"/>
          <w:szCs w:val="22"/>
          <w:lang w:val="es-ES_tradnl" w:eastAsia="en-US"/>
        </w:rPr>
        <w:t>artículo 12, numeral 1, de la Ley 590 de 2000</w:t>
      </w:r>
      <w:r w:rsidR="00EF7E7F" w:rsidRPr="00DD5F33">
        <w:rPr>
          <w:rFonts w:ascii="Arial" w:eastAsia="Calibri" w:hAnsi="Arial" w:cs="Arial"/>
          <w:bCs/>
          <w:color w:val="000000"/>
          <w:sz w:val="22"/>
          <w:szCs w:val="22"/>
          <w:lang w:val="es-ES_tradnl" w:eastAsia="en-US"/>
        </w:rPr>
        <w:t xml:space="preserve"> y el artículo 2.2.1.13.2.2 del Decreto 1074 de 2015, Único Reglamentario del Sector Comercio, Industria y Turismo, o la norma que lo modifique, derogue o sustituya</w:t>
      </w:r>
      <w:r w:rsidR="00263B49" w:rsidRPr="00DD5F33">
        <w:rPr>
          <w:rStyle w:val="Refdenotaalpie"/>
          <w:rFonts w:ascii="Arial" w:eastAsia="Calibri" w:hAnsi="Arial" w:cs="Arial"/>
          <w:bCs/>
          <w:color w:val="000000"/>
          <w:sz w:val="22"/>
          <w:szCs w:val="22"/>
          <w:lang w:val="es-ES_tradnl" w:eastAsia="en-US"/>
        </w:rPr>
        <w:footnoteReference w:id="54"/>
      </w:r>
      <w:r w:rsidR="00EF7E7F" w:rsidRPr="00DD5F33">
        <w:rPr>
          <w:rFonts w:ascii="Arial" w:eastAsia="Calibri" w:hAnsi="Arial" w:cs="Arial"/>
          <w:bCs/>
          <w:color w:val="000000"/>
          <w:sz w:val="22"/>
          <w:szCs w:val="22"/>
          <w:lang w:val="es-ES_tradnl" w:eastAsia="en-US"/>
        </w:rPr>
        <w:t>.</w:t>
      </w:r>
    </w:p>
    <w:p w14:paraId="64D7AF66" w14:textId="77777777" w:rsidR="00854041" w:rsidRPr="00DD5F33" w:rsidRDefault="00854041" w:rsidP="00B02A68">
      <w:pPr>
        <w:ind w:left="709" w:right="709"/>
        <w:jc w:val="both"/>
        <w:rPr>
          <w:rFonts w:ascii="Arial" w:hAnsi="Arial" w:cs="Arial"/>
          <w:color w:val="000000" w:themeColor="text1"/>
          <w:sz w:val="21"/>
          <w:szCs w:val="21"/>
          <w:lang w:val="es-ES_tradnl"/>
        </w:rPr>
      </w:pPr>
    </w:p>
    <w:p w14:paraId="4E651CF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De acuerdo con el artículo 8 del Decreto 1860 de 2021, este aplicará para los procedimientos de selección cuya invitación, aviso de convocatoria o documento equivalente se publique a partir del 24 de marzo de 2022. ¿Las entidades estatales, no podemos adoptar convocatorias limitadas a Mipymes?</w:t>
      </w:r>
    </w:p>
    <w:p w14:paraId="18150CDE" w14:textId="31EC694E" w:rsidR="00B02A68" w:rsidRPr="00DD5F33" w:rsidRDefault="00B02A68" w:rsidP="00B02A68">
      <w:pPr>
        <w:ind w:left="709" w:right="709"/>
        <w:jc w:val="both"/>
        <w:rPr>
          <w:rFonts w:ascii="Arial" w:hAnsi="Arial" w:cs="Arial"/>
          <w:color w:val="000000" w:themeColor="text1"/>
          <w:sz w:val="21"/>
          <w:szCs w:val="21"/>
          <w:lang w:val="es-ES_tradnl"/>
        </w:rPr>
      </w:pPr>
    </w:p>
    <w:p w14:paraId="7C19E0FB" w14:textId="313FE0EB" w:rsidR="009660A2" w:rsidRPr="00DD5F33" w:rsidRDefault="009660A2" w:rsidP="009660A2">
      <w:pPr>
        <w:spacing w:line="276" w:lineRule="auto"/>
        <w:jc w:val="both"/>
        <w:rPr>
          <w:rFonts w:ascii="Arial" w:eastAsia="Calibri" w:hAnsi="Arial" w:cs="Arial"/>
          <w:sz w:val="22"/>
          <w:szCs w:val="22"/>
          <w:lang w:val="es-ES_tradnl"/>
        </w:rPr>
      </w:pPr>
      <w:r w:rsidRPr="00DD5F33">
        <w:rPr>
          <w:rFonts w:ascii="Arial" w:eastAsia="Calibri" w:hAnsi="Arial" w:cs="Arial"/>
          <w:color w:val="000000"/>
          <w:sz w:val="22"/>
          <w:szCs w:val="22"/>
          <w:lang w:val="es-ES_tradnl" w:eastAsia="en-US"/>
        </w:rPr>
        <w:t xml:space="preserve">Tal como lo indicó esta Agencia en oportunidades anteriores –mencionadas en las consideraciones del presente concepto– el </w:t>
      </w:r>
      <w:r w:rsidRPr="00DD5F33">
        <w:rPr>
          <w:rFonts w:ascii="Arial" w:eastAsia="Calibri" w:hAnsi="Arial" w:cs="Arial"/>
          <w:sz w:val="22"/>
          <w:szCs w:val="22"/>
          <w:lang w:val="es-ES_tradnl"/>
        </w:rPr>
        <w:t xml:space="preserve">artículo 34 de la Ley 2069 de 2020 modificó el artículo 12 de la Ley 1150 de 2007, por lo cual los artículos </w:t>
      </w:r>
      <w:r w:rsidRPr="00DD5F33">
        <w:rPr>
          <w:rFonts w:ascii="Arial" w:eastAsia="Calibri" w:hAnsi="Arial" w:cs="Arial"/>
          <w:bCs/>
          <w:color w:val="000000"/>
          <w:sz w:val="22"/>
          <w:szCs w:val="22"/>
          <w:lang w:val="es-ES_tradnl" w:eastAsia="en-US"/>
        </w:rPr>
        <w:t>2.2.1.2.4.2.2. al 2.2.1.2.4.2.4. del Decreto 1082 de 2015</w:t>
      </w:r>
      <w:r w:rsidRPr="00DD5F33">
        <w:rPr>
          <w:rFonts w:ascii="Arial" w:eastAsia="Calibri" w:hAnsi="Arial" w:cs="Arial"/>
          <w:sz w:val="22"/>
          <w:szCs w:val="22"/>
          <w:lang w:val="es-ES_tradnl"/>
        </w:rPr>
        <w:t>, que regían las convocatorias limitadas a mipymes</w:t>
      </w:r>
      <w:r w:rsidR="003B342D" w:rsidRPr="00DD5F33">
        <w:rPr>
          <w:rFonts w:ascii="Arial" w:eastAsia="Calibri" w:hAnsi="Arial" w:cs="Arial"/>
          <w:sz w:val="22"/>
          <w:szCs w:val="22"/>
          <w:lang w:val="es-ES_tradnl"/>
        </w:rPr>
        <w:t xml:space="preserve">, </w:t>
      </w:r>
      <w:r w:rsidR="00AA4FD9" w:rsidRPr="00DD5F33">
        <w:rPr>
          <w:rFonts w:ascii="Arial" w:eastAsia="Calibri" w:hAnsi="Arial" w:cs="Arial"/>
          <w:sz w:val="22"/>
          <w:szCs w:val="22"/>
          <w:lang w:val="es-ES_tradnl"/>
        </w:rPr>
        <w:t xml:space="preserve">en su momento, </w:t>
      </w:r>
      <w:r w:rsidRPr="00DD5F33">
        <w:rPr>
          <w:rFonts w:ascii="Arial" w:eastAsia="Calibri" w:hAnsi="Arial" w:cs="Arial"/>
          <w:sz w:val="22"/>
          <w:szCs w:val="22"/>
          <w:lang w:val="es-ES_tradnl"/>
        </w:rPr>
        <w:t>perdi</w:t>
      </w:r>
      <w:r w:rsidR="003B342D" w:rsidRPr="00DD5F33">
        <w:rPr>
          <w:rFonts w:ascii="Arial" w:eastAsia="Calibri" w:hAnsi="Arial" w:cs="Arial"/>
          <w:sz w:val="22"/>
          <w:szCs w:val="22"/>
          <w:lang w:val="es-ES_tradnl"/>
        </w:rPr>
        <w:t>eron</w:t>
      </w:r>
      <w:r w:rsidRPr="00DD5F33">
        <w:rPr>
          <w:rFonts w:ascii="Arial" w:eastAsia="Calibri" w:hAnsi="Arial" w:cs="Arial"/>
          <w:sz w:val="22"/>
          <w:szCs w:val="22"/>
          <w:lang w:val="es-ES_tradnl"/>
        </w:rPr>
        <w:t xml:space="preserve">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29F94A65" w14:textId="4B4593BC" w:rsidR="00AE511B" w:rsidRPr="00DD5F33" w:rsidRDefault="009660A2" w:rsidP="00A86694">
      <w:pPr>
        <w:spacing w:before="120"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w:t>
      </w:r>
      <w:r w:rsidR="009B66C4" w:rsidRPr="00DD5F33">
        <w:rPr>
          <w:rFonts w:ascii="Arial" w:eastAsia="Calibri" w:hAnsi="Arial" w:cs="Arial"/>
          <w:sz w:val="22"/>
          <w:szCs w:val="22"/>
          <w:lang w:val="es-ES_tradnl"/>
        </w:rPr>
        <w:t>Ahora bien, e</w:t>
      </w:r>
      <w:r w:rsidRPr="00DD5F33">
        <w:rPr>
          <w:rFonts w:ascii="Arial" w:eastAsia="Calibri" w:hAnsi="Arial" w:cs="Arial"/>
          <w:sz w:val="22"/>
          <w:szCs w:val="22"/>
          <w:lang w:val="es-ES_tradnl"/>
        </w:rPr>
        <w:t>sta modificación entró a regir a partir del 24 de marzo de 2022, pues el artículo 8 de la nueva norma reglamentaria sometió la vigencia de los cambios al transcurso del per</w:t>
      </w:r>
      <w:r w:rsidR="003B342D" w:rsidRPr="00DD5F33">
        <w:rPr>
          <w:rFonts w:ascii="Arial" w:eastAsia="Calibri" w:hAnsi="Arial" w:cs="Arial"/>
          <w:sz w:val="22"/>
          <w:szCs w:val="22"/>
          <w:lang w:val="es-ES_tradnl"/>
        </w:rPr>
        <w:t>í</w:t>
      </w:r>
      <w:r w:rsidRPr="00DD5F33">
        <w:rPr>
          <w:rFonts w:ascii="Arial" w:eastAsia="Calibri" w:hAnsi="Arial" w:cs="Arial"/>
          <w:sz w:val="22"/>
          <w:szCs w:val="22"/>
          <w:lang w:val="es-ES_tradnl"/>
        </w:rPr>
        <w:t xml:space="preserve">odo de 3 meses siguientes a la expedición del </w:t>
      </w:r>
      <w:r w:rsidR="00B27722" w:rsidRPr="00DD5F33">
        <w:rPr>
          <w:rFonts w:ascii="Arial" w:eastAsia="Calibri" w:hAnsi="Arial" w:cs="Arial"/>
          <w:sz w:val="22"/>
          <w:szCs w:val="22"/>
          <w:lang w:val="es-ES_tradnl"/>
        </w:rPr>
        <w:t>D</w:t>
      </w:r>
      <w:r w:rsidRPr="00DD5F33">
        <w:rPr>
          <w:rFonts w:ascii="Arial" w:eastAsia="Calibri" w:hAnsi="Arial" w:cs="Arial"/>
          <w:sz w:val="22"/>
          <w:szCs w:val="22"/>
          <w:lang w:val="es-ES_tradnl"/>
        </w:rPr>
        <w:t>ecreto.</w:t>
      </w:r>
      <w:r w:rsidR="00105C63" w:rsidRPr="00DD5F33">
        <w:rPr>
          <w:rFonts w:ascii="Arial" w:eastAsia="Calibri" w:hAnsi="Arial" w:cs="Arial"/>
          <w:sz w:val="22"/>
          <w:szCs w:val="22"/>
          <w:lang w:val="es-ES_tradnl"/>
        </w:rPr>
        <w:t xml:space="preserve"> Por lo tanto, desde la fecha indicada anteriormente las entidades</w:t>
      </w:r>
      <w:r w:rsidR="00FE6A5D" w:rsidRPr="00DD5F33">
        <w:rPr>
          <w:rFonts w:ascii="Arial" w:eastAsia="Calibri" w:hAnsi="Arial" w:cs="Arial"/>
          <w:sz w:val="22"/>
          <w:szCs w:val="22"/>
          <w:lang w:val="es-ES_tradnl"/>
        </w:rPr>
        <w:t xml:space="preserve"> estatales deben aplicar</w:t>
      </w:r>
      <w:r w:rsidR="005B7B2D" w:rsidRPr="00DD5F33">
        <w:rPr>
          <w:rFonts w:ascii="Arial" w:eastAsia="Calibri" w:hAnsi="Arial" w:cs="Arial"/>
          <w:sz w:val="22"/>
          <w:szCs w:val="22"/>
          <w:lang w:val="es-ES_tradnl"/>
        </w:rPr>
        <w:t xml:space="preserve"> los nuevos artículos </w:t>
      </w:r>
      <w:r w:rsidR="005B7B2D" w:rsidRPr="00DD5F33">
        <w:rPr>
          <w:rFonts w:ascii="Arial" w:eastAsia="Calibri" w:hAnsi="Arial" w:cs="Arial"/>
          <w:bCs/>
          <w:color w:val="000000"/>
          <w:sz w:val="22"/>
          <w:szCs w:val="22"/>
          <w:lang w:val="es-ES_tradnl" w:eastAsia="en-US"/>
        </w:rPr>
        <w:t xml:space="preserve">2.2.1.2.4.2.2. al 2.2.1.2.4.2.4. del Decreto 1082 de 2015, </w:t>
      </w:r>
      <w:r w:rsidR="005B7B2D" w:rsidRPr="00DD5F33">
        <w:rPr>
          <w:rFonts w:ascii="Arial" w:eastAsia="Calibri" w:hAnsi="Arial" w:cs="Arial"/>
          <w:bCs/>
          <w:color w:val="000000"/>
          <w:sz w:val="22"/>
          <w:szCs w:val="22"/>
          <w:lang w:val="es-ES_tradnl" w:eastAsia="en-US"/>
        </w:rPr>
        <w:lastRenderedPageBreak/>
        <w:t xml:space="preserve">modificados por el artículo 5 del Decreto 1820 de 2021, </w:t>
      </w:r>
      <w:r w:rsidR="00A86694" w:rsidRPr="00DD5F33">
        <w:rPr>
          <w:rFonts w:ascii="Arial" w:eastAsia="Calibri" w:hAnsi="Arial" w:cs="Arial"/>
          <w:bCs/>
          <w:color w:val="000000"/>
          <w:sz w:val="22"/>
          <w:szCs w:val="22"/>
          <w:lang w:val="es-ES_tradnl" w:eastAsia="en-US"/>
        </w:rPr>
        <w:t xml:space="preserve">para </w:t>
      </w:r>
      <w:r w:rsidR="005B7B2D" w:rsidRPr="00DD5F33">
        <w:rPr>
          <w:rFonts w:ascii="Arial" w:eastAsia="Calibri" w:hAnsi="Arial" w:cs="Arial"/>
          <w:bCs/>
          <w:color w:val="000000"/>
          <w:sz w:val="22"/>
          <w:szCs w:val="22"/>
          <w:lang w:val="es-ES_tradnl" w:eastAsia="en-US"/>
        </w:rPr>
        <w:t>realizar</w:t>
      </w:r>
      <w:r w:rsidR="00A86694" w:rsidRPr="00DD5F33">
        <w:rPr>
          <w:rFonts w:ascii="Arial" w:eastAsia="Calibri" w:hAnsi="Arial" w:cs="Arial"/>
          <w:bCs/>
          <w:color w:val="000000"/>
          <w:sz w:val="22"/>
          <w:szCs w:val="22"/>
          <w:lang w:val="es-ES_tradnl" w:eastAsia="en-US"/>
        </w:rPr>
        <w:t xml:space="preserve"> las convocatorias limitadas a mipymes, s</w:t>
      </w:r>
      <w:r w:rsidR="00AA4FD9" w:rsidRPr="00DD5F33">
        <w:rPr>
          <w:rFonts w:ascii="Arial" w:eastAsia="Calibri" w:hAnsi="Arial" w:cs="Arial"/>
          <w:bCs/>
          <w:color w:val="000000"/>
          <w:sz w:val="22"/>
          <w:szCs w:val="22"/>
          <w:lang w:val="es-ES_tradnl" w:eastAsia="en-US"/>
        </w:rPr>
        <w:t>i</w:t>
      </w:r>
      <w:r w:rsidR="00A86694" w:rsidRPr="00DD5F33">
        <w:rPr>
          <w:rFonts w:ascii="Arial" w:eastAsia="Calibri" w:hAnsi="Arial" w:cs="Arial"/>
          <w:bCs/>
          <w:color w:val="000000"/>
          <w:sz w:val="22"/>
          <w:szCs w:val="22"/>
          <w:lang w:val="es-ES_tradnl" w:eastAsia="en-US"/>
        </w:rPr>
        <w:t xml:space="preserve"> se presentan los requisitos establecidos en las normas que ya se encuentran vigentes.</w:t>
      </w:r>
    </w:p>
    <w:p w14:paraId="5590AAE7" w14:textId="77777777" w:rsidR="00AE511B" w:rsidRPr="00DD5F33" w:rsidRDefault="00AE511B" w:rsidP="00B02A68">
      <w:pPr>
        <w:ind w:left="709" w:right="709"/>
        <w:jc w:val="both"/>
        <w:rPr>
          <w:rFonts w:ascii="Arial" w:hAnsi="Arial" w:cs="Arial"/>
          <w:color w:val="000000" w:themeColor="text1"/>
          <w:sz w:val="21"/>
          <w:szCs w:val="21"/>
          <w:lang w:val="es-ES_tradnl"/>
        </w:rPr>
      </w:pPr>
    </w:p>
    <w:p w14:paraId="7A9B7204" w14:textId="438A9A98" w:rsidR="00B02A68" w:rsidRPr="00DD5F33" w:rsidRDefault="002F0852"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3.</w:t>
      </w:r>
      <w:r w:rsidRPr="00DD5F33">
        <w:rPr>
          <w:rFonts w:ascii="Arial" w:hAnsi="Arial" w:cs="Arial"/>
          <w:color w:val="000000" w:themeColor="text1"/>
          <w:sz w:val="21"/>
          <w:szCs w:val="21"/>
          <w:lang w:val="es-ES_tradnl"/>
        </w:rPr>
        <w:t xml:space="preserve"> </w:t>
      </w:r>
      <w:r w:rsidR="00B02A68" w:rsidRPr="00DD5F33">
        <w:rPr>
          <w:rFonts w:ascii="Arial" w:hAnsi="Arial" w:cs="Arial"/>
          <w:color w:val="000000" w:themeColor="text1"/>
          <w:sz w:val="21"/>
          <w:szCs w:val="21"/>
          <w:lang w:val="es-ES_tradnl"/>
        </w:rPr>
        <w:t>Teniendo en cuenta que en los demás procesos de contratación la manifestación de limitar a Mypimes se encuentra entre la fase intermedia de prepliegos y los pliegos definitivos, la solicitud de limitar a Mypimes para la mínima cuantía debe hacerse antes de la publicación de la invitación pública o por adenda, ¿en este sentido se utilizaría para la mínima también el aviso? Y la plataforma en mínima no tiene esa posibilidad de limitación a Mypimes</w:t>
      </w: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w:t>
      </w:r>
    </w:p>
    <w:p w14:paraId="38720DB2" w14:textId="68C65F2C" w:rsidR="00B02A68" w:rsidRPr="00DD5F33" w:rsidRDefault="00B02A68" w:rsidP="00B02A68">
      <w:pPr>
        <w:ind w:left="709" w:right="709"/>
        <w:jc w:val="both"/>
        <w:rPr>
          <w:rFonts w:ascii="Arial" w:hAnsi="Arial" w:cs="Arial"/>
          <w:color w:val="000000" w:themeColor="text1"/>
          <w:sz w:val="21"/>
          <w:szCs w:val="21"/>
          <w:lang w:val="es-ES_tradnl"/>
        </w:rPr>
      </w:pPr>
    </w:p>
    <w:p w14:paraId="59A87AC0" w14:textId="56A487E0" w:rsidR="00242248" w:rsidRPr="00DD5F33" w:rsidRDefault="00BF29FF" w:rsidP="00242248">
      <w:pPr>
        <w:spacing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Según se explicó en las consideraciones de este concepto, actualmente el procedimiento de mínima cuantía se encuentra reglamentado por el artículo </w:t>
      </w:r>
      <w:r w:rsidR="00742595" w:rsidRPr="00DD5F33">
        <w:rPr>
          <w:rFonts w:ascii="Arial" w:eastAsia="Calibri" w:hAnsi="Arial" w:cs="Arial"/>
          <w:sz w:val="22"/>
          <w:szCs w:val="22"/>
          <w:lang w:val="es-ES_tradnl"/>
        </w:rPr>
        <w:t xml:space="preserve">2.2.1.2.1.5.2. del Decreto 1082 de 2015, modificado por el artículo 2 del Decreto 1860 de 2021. El numeral </w:t>
      </w:r>
      <w:r w:rsidR="00BA4CEC" w:rsidRPr="00DD5F33">
        <w:rPr>
          <w:rFonts w:ascii="Arial" w:eastAsia="Calibri" w:hAnsi="Arial" w:cs="Arial"/>
          <w:sz w:val="22"/>
          <w:szCs w:val="22"/>
          <w:lang w:val="es-ES_tradnl"/>
        </w:rPr>
        <w:t>3 del artículo</w:t>
      </w:r>
      <w:r w:rsidR="00242248" w:rsidRPr="00DD5F33">
        <w:rPr>
          <w:rFonts w:ascii="Arial" w:eastAsia="Calibri" w:hAnsi="Arial" w:cs="Arial"/>
          <w:sz w:val="22"/>
          <w:szCs w:val="22"/>
          <w:lang w:val="es-ES_tradnl"/>
        </w:rPr>
        <w:t xml:space="preserve">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 colombianas».</w:t>
      </w:r>
      <w:r w:rsidR="002C11C1" w:rsidRPr="00DD5F33">
        <w:rPr>
          <w:rFonts w:ascii="Arial" w:eastAsia="Calibri" w:hAnsi="Arial" w:cs="Arial"/>
          <w:sz w:val="22"/>
          <w:szCs w:val="22"/>
          <w:lang w:val="es-ES_tradnl"/>
        </w:rPr>
        <w:t xml:space="preserve"> Adicionalmente, el numeral 4 dispone que en el cronograma se debe señalar </w:t>
      </w:r>
      <w:r w:rsidR="00020231" w:rsidRPr="00DD5F33">
        <w:rPr>
          <w:rFonts w:ascii="Arial" w:eastAsia="Calibri" w:hAnsi="Arial" w:cs="Arial"/>
          <w:sz w:val="22"/>
          <w:szCs w:val="22"/>
          <w:lang w:val="es-ES_tradnl"/>
        </w:rPr>
        <w:t>«</w:t>
      </w:r>
      <w:r w:rsidR="002C11C1" w:rsidRPr="00DD5F33">
        <w:rPr>
          <w:rFonts w:ascii="Arial" w:eastAsia="Calibri" w:hAnsi="Arial" w:cs="Arial"/>
          <w:sz w:val="22"/>
          <w:szCs w:val="22"/>
          <w:lang w:val="es-ES_tradnl"/>
        </w:rPr>
        <w:t>El momento en que publicará un aviso en el SECOP precisando si el proceso efectivamente se limitó a Mipyme o si podrá participar cualquier otro interesado</w:t>
      </w:r>
      <w:r w:rsidR="00020231" w:rsidRPr="00DD5F33">
        <w:rPr>
          <w:rFonts w:ascii="Arial" w:eastAsia="Calibri" w:hAnsi="Arial" w:cs="Arial"/>
          <w:sz w:val="22"/>
          <w:szCs w:val="22"/>
          <w:lang w:val="es-ES_tradnl"/>
        </w:rPr>
        <w:t>».</w:t>
      </w:r>
      <w:r w:rsidR="007B2086" w:rsidRPr="00DD5F33">
        <w:rPr>
          <w:rFonts w:ascii="Arial" w:eastAsia="Calibri" w:hAnsi="Arial" w:cs="Arial"/>
          <w:sz w:val="22"/>
          <w:szCs w:val="22"/>
          <w:lang w:val="es-ES_tradnl"/>
        </w:rPr>
        <w:t xml:space="preserve"> Por otra parte, también es importante tener en cuenta el parágrafo del artículo </w:t>
      </w:r>
      <w:r w:rsidR="00321C61" w:rsidRPr="00DD5F33">
        <w:rPr>
          <w:rFonts w:ascii="Arial" w:eastAsia="Calibri" w:hAnsi="Arial" w:cs="Arial"/>
          <w:sz w:val="22"/>
          <w:szCs w:val="22"/>
          <w:lang w:val="es-ES_tradnl"/>
        </w:rPr>
        <w:t xml:space="preserve">2.2.1.2.1.5.2., a cuyo tenor: </w:t>
      </w:r>
    </w:p>
    <w:p w14:paraId="00FD8F8B" w14:textId="1A7881F1" w:rsidR="0068408B" w:rsidRPr="00DD5F33" w:rsidRDefault="0068408B" w:rsidP="00242248">
      <w:pPr>
        <w:spacing w:line="276" w:lineRule="auto"/>
        <w:jc w:val="both"/>
        <w:rPr>
          <w:rFonts w:ascii="Arial" w:eastAsia="Calibri" w:hAnsi="Arial" w:cs="Arial"/>
          <w:sz w:val="22"/>
          <w:szCs w:val="22"/>
          <w:lang w:val="es-ES_tradnl"/>
        </w:rPr>
      </w:pPr>
    </w:p>
    <w:p w14:paraId="1C1DC81B" w14:textId="7C1725D1" w:rsidR="0068408B" w:rsidRPr="00DD5F33" w:rsidRDefault="0068408B" w:rsidP="0068408B">
      <w:pPr>
        <w:ind w:left="709" w:right="709"/>
        <w:jc w:val="both"/>
        <w:rPr>
          <w:rFonts w:ascii="Arial" w:eastAsia="Calibri" w:hAnsi="Arial" w:cs="Arial"/>
          <w:sz w:val="21"/>
          <w:szCs w:val="21"/>
        </w:rPr>
      </w:pPr>
      <w:r w:rsidRPr="00DD5F33">
        <w:rPr>
          <w:rFonts w:ascii="Arial" w:eastAsia="Calibri" w:hAnsi="Arial" w:cs="Arial"/>
          <w:sz w:val="21"/>
          <w:szCs w:val="21"/>
        </w:rPr>
        <w:t>De conformidad con el parágrafo 1 del artículo 30 y el artículo 34 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indicará si en el proceso aplican las limitaciones territoriales de que trata el artículo 2.2.1.2.4.2.3 o si podrá participar cualquier Mipyme nacional.</w:t>
      </w:r>
    </w:p>
    <w:p w14:paraId="6E64631F" w14:textId="2F79ED2B" w:rsidR="00160B86" w:rsidRPr="00DD5F33" w:rsidRDefault="00160B86" w:rsidP="00160B86">
      <w:pPr>
        <w:spacing w:line="276" w:lineRule="auto"/>
        <w:jc w:val="both"/>
        <w:rPr>
          <w:rFonts w:ascii="Arial" w:eastAsia="Calibri" w:hAnsi="Arial" w:cs="Arial"/>
          <w:sz w:val="22"/>
          <w:szCs w:val="22"/>
        </w:rPr>
      </w:pPr>
    </w:p>
    <w:p w14:paraId="3D2326DF" w14:textId="621EEAB3" w:rsidR="00A5694A" w:rsidRPr="00DD5F33" w:rsidRDefault="00A5694A" w:rsidP="00A5694A">
      <w:pPr>
        <w:spacing w:line="276" w:lineRule="auto"/>
        <w:jc w:val="both"/>
        <w:rPr>
          <w:rFonts w:ascii="Arial" w:eastAsia="Calibri" w:hAnsi="Arial" w:cs="Arial"/>
          <w:sz w:val="22"/>
          <w:szCs w:val="22"/>
          <w:lang w:val="es-ES_tradnl"/>
        </w:rPr>
      </w:pPr>
      <w:r w:rsidRPr="00DD5F33">
        <w:rPr>
          <w:rFonts w:ascii="Arial" w:eastAsia="Calibri" w:hAnsi="Arial" w:cs="Arial"/>
          <w:sz w:val="22"/>
          <w:szCs w:val="22"/>
          <w:lang w:val="es-ES_tradnl"/>
        </w:rPr>
        <w:t>Puede concluirse, entonces, que</w:t>
      </w:r>
      <w:r w:rsidR="00F517E5" w:rsidRPr="00DD5F33">
        <w:rPr>
          <w:rFonts w:ascii="Arial" w:eastAsia="Calibri" w:hAnsi="Arial" w:cs="Arial"/>
          <w:sz w:val="22"/>
          <w:szCs w:val="22"/>
          <w:lang w:val="es-ES_tradnl"/>
        </w:rPr>
        <w:t>,</w:t>
      </w:r>
      <w:r w:rsidRPr="00DD5F33">
        <w:rPr>
          <w:rFonts w:ascii="Arial" w:eastAsia="Calibri" w:hAnsi="Arial" w:cs="Arial"/>
          <w:sz w:val="22"/>
          <w:szCs w:val="22"/>
          <w:lang w:val="es-ES_tradnl"/>
        </w:rPr>
        <w:t xml:space="preserve"> en el procedimiento de mínima cuantía</w:t>
      </w:r>
      <w:r w:rsidR="00E83C97" w:rsidRPr="00DD5F33">
        <w:rPr>
          <w:rFonts w:ascii="Arial" w:eastAsia="Calibri" w:hAnsi="Arial" w:cs="Arial"/>
          <w:sz w:val="22"/>
          <w:szCs w:val="22"/>
          <w:lang w:val="es-ES_tradnl"/>
        </w:rPr>
        <w:t>, la limitación</w:t>
      </w:r>
      <w:r w:rsidR="005F619F" w:rsidRPr="00DD5F33">
        <w:rPr>
          <w:rFonts w:ascii="Arial" w:eastAsia="Calibri" w:hAnsi="Arial" w:cs="Arial"/>
          <w:sz w:val="22"/>
          <w:szCs w:val="22"/>
          <w:lang w:val="es-ES_tradnl"/>
        </w:rPr>
        <w:t xml:space="preserve"> de la convocatoria a mipymes se debe hacer mediante la publicación de un aviso en el SECOP</w:t>
      </w:r>
      <w:r w:rsidR="005C71CB" w:rsidRPr="00DD5F33">
        <w:rPr>
          <w:rFonts w:ascii="Arial" w:eastAsia="Calibri" w:hAnsi="Arial" w:cs="Arial"/>
          <w:sz w:val="22"/>
          <w:szCs w:val="22"/>
          <w:lang w:val="es-ES_tradnl"/>
        </w:rPr>
        <w:t>, luego de analizadas las solicitudes presentadas dentro del término de publicación de la invitación previsto en el numeral 3 del artículo</w:t>
      </w:r>
      <w:r w:rsidR="00994433" w:rsidRPr="00DD5F33">
        <w:rPr>
          <w:rFonts w:ascii="Arial" w:eastAsia="Calibri" w:hAnsi="Arial" w:cs="Arial"/>
          <w:sz w:val="22"/>
          <w:szCs w:val="22"/>
          <w:lang w:val="es-ES_tradnl"/>
        </w:rPr>
        <w:t xml:space="preserve"> 2.2.1.2.1.5.2. del Decreto 1082 de 2015, modificado por el artículo 2 del Decreto 1860 de 2021.</w:t>
      </w:r>
      <w:r w:rsidR="005C71CB" w:rsidRPr="00DD5F33">
        <w:rPr>
          <w:rFonts w:ascii="Arial" w:eastAsia="Calibri" w:hAnsi="Arial" w:cs="Arial"/>
          <w:sz w:val="22"/>
          <w:szCs w:val="22"/>
          <w:lang w:val="es-ES_tradnl"/>
        </w:rPr>
        <w:t xml:space="preserve"> </w:t>
      </w:r>
      <w:r w:rsidR="00613766" w:rsidRPr="00DD5F33">
        <w:rPr>
          <w:rFonts w:ascii="Arial" w:eastAsia="Calibri" w:hAnsi="Arial" w:cs="Arial"/>
          <w:sz w:val="22"/>
          <w:szCs w:val="22"/>
          <w:lang w:val="es-ES_tradnl"/>
        </w:rPr>
        <w:t xml:space="preserve"> </w:t>
      </w:r>
    </w:p>
    <w:p w14:paraId="1D3DFECB" w14:textId="77777777" w:rsidR="00160B86" w:rsidRPr="00DD5F33" w:rsidRDefault="00160B86" w:rsidP="00B02A68">
      <w:pPr>
        <w:ind w:left="709" w:right="709"/>
        <w:jc w:val="both"/>
        <w:rPr>
          <w:rFonts w:ascii="Arial" w:hAnsi="Arial" w:cs="Arial"/>
          <w:color w:val="000000" w:themeColor="text1"/>
          <w:sz w:val="21"/>
          <w:szCs w:val="21"/>
          <w:lang w:val="es-ES_tradnl"/>
        </w:rPr>
      </w:pPr>
    </w:p>
    <w:p w14:paraId="0A844474" w14:textId="3BBEB7EE" w:rsidR="00B02A68" w:rsidRPr="00DD5F33" w:rsidRDefault="00340771"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 xml:space="preserve">“(...) ARTÍCULO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w:t>
      </w:r>
      <w:r w:rsidR="00B02A68" w:rsidRPr="00DD5F33">
        <w:rPr>
          <w:rFonts w:ascii="Arial" w:hAnsi="Arial" w:cs="Arial"/>
          <w:color w:val="000000" w:themeColor="text1"/>
          <w:sz w:val="21"/>
          <w:szCs w:val="21"/>
          <w:lang w:val="es-ES_tradnl"/>
        </w:rPr>
        <w:lastRenderedPageBreak/>
        <w:t>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0F42C10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0EF2F2F2"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Tiempo de experiencia.</w:t>
      </w:r>
    </w:p>
    <w:p w14:paraId="195EEE8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9F0945E"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»2. Número de contratos para la acreditación de la experiencia. </w:t>
      </w:r>
    </w:p>
    <w:p w14:paraId="4D78BB4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2BB4960A"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»3. Índices de capacidad financiera.</w:t>
      </w:r>
    </w:p>
    <w:p w14:paraId="49ECC6EA"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1B97CB36"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»4. Índices de capacidad organizacional.</w:t>
      </w:r>
    </w:p>
    <w:p w14:paraId="295BA60B"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BFDBC2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»5. Valor de la garantía de seriedad de la oferta.</w:t>
      </w:r>
    </w:p>
    <w:p w14:paraId="1027FAF0"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8D289B3"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6FF980ED"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1D3E953"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49AAFE47"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FE9BD90"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051A1A01"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5643FED"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»PARÁGRAFO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01F53D58"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383F0F11"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»PARÁGRAFO 2. Los incentivos contractuales para las empresas y emprendimientos de mujeres no excluyen la aplicación de los criterios diferenciales para Mipyme en el sistema de compras públicas (...)”</w:t>
      </w:r>
    </w:p>
    <w:p w14:paraId="6631DE8F"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22340D8F"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41F8F938"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077DC41F"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En el Estudio del sector de cada proceso, el análisis de la oferta (que es el estudio de ¿Quien vende? o quien presta el servicio que la entidad requiere?) se debe discriminar dentro del listado de posibles empresas proveedoras en el mercado, cuales pertenecen a mujeres? cuales en su composición accionaria cuentan con más del 50% de acciones en cabeza de mujeres? en cuales por lo menos el personal directivo el 50% son mujeres? Lo anterior teniendo en cuenta que la determinación de los requisitos diferenciales y puntajes adicionales son el resultado del análisis de la oferta del análisis del sector.</w:t>
      </w:r>
    </w:p>
    <w:p w14:paraId="7ED98684"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A0A6B10" w14:textId="1DD7D5B8"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»De ser afirmativa la anterior pregunta, las entidades ¿dónde podríamos obtener esta información tan detallada? ¿Existen bases de datos con esta información? ¿Existen estadísticas al respecto?</w:t>
      </w:r>
    </w:p>
    <w:p w14:paraId="7C2EC643" w14:textId="2978F10D" w:rsidR="008B6B42" w:rsidRPr="00DD5F33" w:rsidRDefault="008B6B42" w:rsidP="00B02A68">
      <w:pPr>
        <w:ind w:left="709" w:right="709"/>
        <w:jc w:val="both"/>
        <w:rPr>
          <w:rFonts w:ascii="Arial" w:hAnsi="Arial" w:cs="Arial"/>
          <w:color w:val="000000" w:themeColor="text1"/>
          <w:sz w:val="21"/>
          <w:szCs w:val="21"/>
          <w:lang w:val="es-ES_tradnl"/>
        </w:rPr>
      </w:pPr>
    </w:p>
    <w:p w14:paraId="1FC44B2E" w14:textId="4B72C018" w:rsidR="008B6B42" w:rsidRPr="00DD5F33" w:rsidRDefault="00BA6573"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8B6B42" w:rsidRPr="00DD5F33">
        <w:rPr>
          <w:rFonts w:ascii="Arial" w:hAnsi="Arial" w:cs="Arial"/>
          <w:color w:val="000000" w:themeColor="text1"/>
          <w:sz w:val="21"/>
          <w:szCs w:val="21"/>
          <w:lang w:val="es-ES_tradnl"/>
        </w:rPr>
        <w:t>[…]</w:t>
      </w:r>
    </w:p>
    <w:p w14:paraId="7D230C13" w14:textId="449338A0" w:rsidR="008B6B42" w:rsidRPr="00DD5F33" w:rsidRDefault="008B6B42" w:rsidP="00B02A68">
      <w:pPr>
        <w:ind w:left="709" w:right="709"/>
        <w:jc w:val="both"/>
        <w:rPr>
          <w:rFonts w:ascii="Arial" w:hAnsi="Arial" w:cs="Arial"/>
          <w:color w:val="000000" w:themeColor="text1"/>
          <w:sz w:val="21"/>
          <w:szCs w:val="21"/>
          <w:lang w:val="es-ES_tradnl"/>
        </w:rPr>
      </w:pPr>
    </w:p>
    <w:p w14:paraId="40B65EAD" w14:textId="7704A0CC" w:rsidR="008B6B42" w:rsidRPr="00DD5F33" w:rsidRDefault="008B6B42" w:rsidP="008B6B42">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»5. ¿Cuáles son las fuentes de consulta que se recomiendan para poder sustentar los criterios diferenciales que propone la norma?</w:t>
      </w:r>
      <w:r w:rsidR="00F10DFE" w:rsidRPr="00DD5F33">
        <w:rPr>
          <w:rFonts w:ascii="Arial" w:hAnsi="Arial" w:cs="Arial"/>
          <w:color w:val="000000" w:themeColor="text1"/>
          <w:sz w:val="21"/>
          <w:szCs w:val="21"/>
          <w:lang w:val="es-ES_tradnl"/>
        </w:rPr>
        <w:t>»</w:t>
      </w:r>
    </w:p>
    <w:p w14:paraId="7CBA416A" w14:textId="1ECBBFFA" w:rsidR="00B02A68" w:rsidRPr="00DD5F33" w:rsidRDefault="00B02A68" w:rsidP="008B6B42">
      <w:pPr>
        <w:ind w:right="709"/>
        <w:jc w:val="both"/>
        <w:rPr>
          <w:rFonts w:ascii="Arial" w:hAnsi="Arial" w:cs="Arial"/>
          <w:color w:val="000000" w:themeColor="text1"/>
          <w:sz w:val="21"/>
          <w:szCs w:val="21"/>
          <w:lang w:val="es-ES_tradnl"/>
        </w:rPr>
      </w:pPr>
    </w:p>
    <w:p w14:paraId="67E95095" w14:textId="28C532C5" w:rsidR="005971AC" w:rsidRPr="00DD5F33" w:rsidRDefault="00A65A1C" w:rsidP="00487B34">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w:t>
      </w:r>
      <w:r w:rsidR="002A7938" w:rsidRPr="00DD5F33">
        <w:rPr>
          <w:rFonts w:ascii="Arial" w:eastAsia="Calibri" w:hAnsi="Arial" w:cs="Arial"/>
          <w:bCs/>
          <w:color w:val="000000"/>
          <w:sz w:val="22"/>
          <w:szCs w:val="22"/>
          <w:lang w:val="es-ES_tradnl" w:eastAsia="en-US"/>
        </w:rPr>
        <w:t xml:space="preserve">l </w:t>
      </w:r>
      <w:r w:rsidR="00AD409A" w:rsidRPr="00DD5F33">
        <w:rPr>
          <w:rFonts w:ascii="Arial" w:eastAsia="Calibri" w:hAnsi="Arial" w:cs="Arial"/>
          <w:bCs/>
          <w:color w:val="000000"/>
          <w:sz w:val="22"/>
          <w:szCs w:val="22"/>
          <w:lang w:val="es-ES_tradnl" w:eastAsia="en-US"/>
        </w:rPr>
        <w:t>cuarto</w:t>
      </w:r>
      <w:r w:rsidR="002A7938" w:rsidRPr="00DD5F33">
        <w:rPr>
          <w:rFonts w:ascii="Arial" w:eastAsia="Calibri" w:hAnsi="Arial" w:cs="Arial"/>
          <w:bCs/>
          <w:color w:val="000000"/>
          <w:sz w:val="22"/>
          <w:szCs w:val="22"/>
          <w:lang w:val="es-ES_tradnl" w:eastAsia="en-US"/>
        </w:rPr>
        <w:t xml:space="preserve"> inciso</w:t>
      </w:r>
      <w:r w:rsidR="00AD409A" w:rsidRPr="00DD5F33">
        <w:rPr>
          <w:rFonts w:ascii="Arial" w:eastAsia="Calibri" w:hAnsi="Arial" w:cs="Arial"/>
          <w:bCs/>
          <w:color w:val="000000"/>
          <w:sz w:val="22"/>
          <w:szCs w:val="22"/>
          <w:lang w:val="es-ES_tradnl" w:eastAsia="en-US"/>
        </w:rPr>
        <w:t xml:space="preserve"> del artículo</w:t>
      </w:r>
      <w:r w:rsidR="007F55F7" w:rsidRPr="00DD5F33">
        <w:rPr>
          <w:rFonts w:ascii="Arial" w:eastAsia="Calibri" w:hAnsi="Arial" w:cs="Arial"/>
          <w:bCs/>
          <w:color w:val="000000"/>
          <w:sz w:val="22"/>
          <w:szCs w:val="22"/>
          <w:lang w:val="es-ES_tradnl" w:eastAsia="en-US"/>
        </w:rPr>
        <w:t xml:space="preserve"> 2.2.1.2.4.2.15. del Decreto 1082 de 2015, adicionado por el artículo 3 del Decreto 1860 de 2021, establece que </w:t>
      </w:r>
      <w:r w:rsidR="00AD409A" w:rsidRPr="00DD5F33">
        <w:rPr>
          <w:rFonts w:ascii="Arial" w:eastAsia="Calibri" w:hAnsi="Arial" w:cs="Arial"/>
          <w:bCs/>
          <w:color w:val="000000"/>
          <w:sz w:val="22"/>
          <w:szCs w:val="22"/>
          <w:lang w:val="es-ES_tradnl" w:eastAsia="en-US"/>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r w:rsidR="00ED0AED"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Por lo tanto, </w:t>
      </w:r>
      <w:r w:rsidR="00E52C38" w:rsidRPr="00DD5F33">
        <w:rPr>
          <w:rFonts w:ascii="Arial" w:eastAsia="Calibri" w:hAnsi="Arial" w:cs="Arial"/>
          <w:bCs/>
          <w:color w:val="000000"/>
          <w:sz w:val="22"/>
          <w:szCs w:val="22"/>
          <w:lang w:val="es-ES_tradnl" w:eastAsia="en-US"/>
        </w:rPr>
        <w:t xml:space="preserve">es recomendable que </w:t>
      </w:r>
      <w:r w:rsidRPr="00DD5F33">
        <w:rPr>
          <w:rFonts w:ascii="Arial" w:eastAsia="Calibri" w:hAnsi="Arial" w:cs="Arial"/>
          <w:bCs/>
          <w:color w:val="000000"/>
          <w:sz w:val="22"/>
          <w:szCs w:val="22"/>
          <w:lang w:val="es-ES_tradnl" w:eastAsia="en-US"/>
        </w:rPr>
        <w:t xml:space="preserve">variables como las que usted menciona </w:t>
      </w:r>
      <w:r w:rsidR="00E52C38" w:rsidRPr="00DD5F33">
        <w:rPr>
          <w:rFonts w:ascii="Arial" w:eastAsia="Calibri" w:hAnsi="Arial" w:cs="Arial"/>
          <w:bCs/>
          <w:color w:val="000000"/>
          <w:sz w:val="22"/>
          <w:szCs w:val="22"/>
          <w:lang w:val="es-ES_tradnl" w:eastAsia="en-US"/>
        </w:rPr>
        <w:t>sean</w:t>
      </w:r>
      <w:r w:rsidRPr="00DD5F33">
        <w:rPr>
          <w:rFonts w:ascii="Arial" w:eastAsia="Calibri" w:hAnsi="Arial" w:cs="Arial"/>
          <w:bCs/>
          <w:color w:val="000000"/>
          <w:sz w:val="22"/>
          <w:szCs w:val="22"/>
          <w:lang w:val="es-ES_tradnl" w:eastAsia="en-US"/>
        </w:rPr>
        <w:t xml:space="preserve"> consideradas en los estudios del sector</w:t>
      </w:r>
      <w:r w:rsidR="00E52C38" w:rsidRPr="00DD5F33">
        <w:rPr>
          <w:rFonts w:ascii="Arial" w:eastAsia="Calibri" w:hAnsi="Arial" w:cs="Arial"/>
          <w:bCs/>
          <w:color w:val="000000"/>
          <w:sz w:val="22"/>
          <w:szCs w:val="22"/>
          <w:lang w:val="es-ES_tradnl" w:eastAsia="en-US"/>
        </w:rPr>
        <w:t>, para poder determinar los requisitos diferenciales y l</w:t>
      </w:r>
      <w:r w:rsidR="00682EC1" w:rsidRPr="00DD5F33">
        <w:rPr>
          <w:rFonts w:ascii="Arial" w:eastAsia="Calibri" w:hAnsi="Arial" w:cs="Arial"/>
          <w:bCs/>
          <w:color w:val="000000"/>
          <w:sz w:val="22"/>
          <w:szCs w:val="22"/>
          <w:lang w:val="es-ES_tradnl" w:eastAsia="en-US"/>
        </w:rPr>
        <w:t xml:space="preserve">os puntajes </w:t>
      </w:r>
      <w:r w:rsidR="00E52C38" w:rsidRPr="00DD5F33">
        <w:rPr>
          <w:rFonts w:ascii="Arial" w:eastAsia="Calibri" w:hAnsi="Arial" w:cs="Arial"/>
          <w:bCs/>
          <w:color w:val="000000"/>
          <w:sz w:val="22"/>
          <w:szCs w:val="22"/>
          <w:lang w:val="es-ES_tradnl" w:eastAsia="en-US"/>
        </w:rPr>
        <w:t xml:space="preserve">adicionales, sin desconocer que la realización del análisis de oportunidad y conveniencia es una </w:t>
      </w:r>
      <w:r w:rsidR="00682EC1" w:rsidRPr="00DD5F33">
        <w:rPr>
          <w:rFonts w:ascii="Arial" w:eastAsia="Calibri" w:hAnsi="Arial" w:cs="Arial"/>
          <w:bCs/>
          <w:color w:val="000000"/>
          <w:sz w:val="22"/>
          <w:szCs w:val="22"/>
          <w:lang w:val="es-ES_tradnl" w:eastAsia="en-US"/>
        </w:rPr>
        <w:t>actividad a cargo de las entidades estatales y que la Agencia Nacional de Contratación Pública, como órgano recto</w:t>
      </w:r>
      <w:r w:rsidR="00267736" w:rsidRPr="00DD5F33">
        <w:rPr>
          <w:rFonts w:ascii="Arial" w:eastAsia="Calibri" w:hAnsi="Arial" w:cs="Arial"/>
          <w:bCs/>
          <w:color w:val="000000"/>
          <w:sz w:val="22"/>
          <w:szCs w:val="22"/>
          <w:lang w:val="es-ES_tradnl" w:eastAsia="en-US"/>
        </w:rPr>
        <w:t>r</w:t>
      </w:r>
      <w:r w:rsidR="00682EC1" w:rsidRPr="00DD5F33">
        <w:rPr>
          <w:rFonts w:ascii="Arial" w:eastAsia="Calibri" w:hAnsi="Arial" w:cs="Arial"/>
          <w:bCs/>
          <w:color w:val="000000"/>
          <w:sz w:val="22"/>
          <w:szCs w:val="22"/>
          <w:lang w:val="es-ES_tradnl" w:eastAsia="en-US"/>
        </w:rPr>
        <w:t xml:space="preserve"> del sistema de compras y contratación pública, solo brinda algunas pautas al respecto.</w:t>
      </w:r>
      <w:r w:rsidR="00E52C38" w:rsidRPr="00DD5F33">
        <w:rPr>
          <w:rFonts w:ascii="Arial" w:eastAsia="Calibri" w:hAnsi="Arial" w:cs="Arial"/>
          <w:bCs/>
          <w:color w:val="000000"/>
          <w:sz w:val="22"/>
          <w:szCs w:val="22"/>
          <w:lang w:val="es-ES_tradnl" w:eastAsia="en-US"/>
        </w:rPr>
        <w:t xml:space="preserve"> </w:t>
      </w:r>
    </w:p>
    <w:p w14:paraId="7FE1F6CC" w14:textId="3E8A9B46" w:rsidR="00C362D4" w:rsidRPr="00DD5F33" w:rsidRDefault="00A65A1C" w:rsidP="005971AC">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efecto, s</w:t>
      </w:r>
      <w:r w:rsidR="00ED0AED" w:rsidRPr="00DD5F33">
        <w:rPr>
          <w:rFonts w:ascii="Arial" w:eastAsia="Calibri" w:hAnsi="Arial" w:cs="Arial"/>
          <w:bCs/>
          <w:color w:val="000000"/>
          <w:sz w:val="22"/>
          <w:szCs w:val="22"/>
          <w:lang w:val="es-ES_tradnl" w:eastAsia="en-US"/>
        </w:rPr>
        <w:t>egún</w:t>
      </w:r>
      <w:r w:rsidR="00C362D4" w:rsidRPr="00DD5F33">
        <w:rPr>
          <w:rFonts w:ascii="Arial" w:eastAsia="Calibri" w:hAnsi="Arial" w:cs="Arial"/>
          <w:bCs/>
          <w:color w:val="000000"/>
          <w:sz w:val="22"/>
          <w:szCs w:val="22"/>
          <w:lang w:val="es-ES_tradnl" w:eastAsia="en-US"/>
        </w:rPr>
        <w:t xml:space="preserve"> lo indicó Colombia Compra Eficiente en la Guía para la Elaboración de Estudios del Sector, </w:t>
      </w:r>
      <w:r w:rsidR="00ED0AED" w:rsidRPr="00DD5F33">
        <w:rPr>
          <w:rFonts w:ascii="Arial" w:eastAsia="Calibri" w:hAnsi="Arial" w:cs="Arial"/>
          <w:bCs/>
          <w:color w:val="000000"/>
          <w:sz w:val="22"/>
          <w:szCs w:val="22"/>
          <w:lang w:val="es-ES_tradnl" w:eastAsia="en-US"/>
        </w:rPr>
        <w:t xml:space="preserve">en esta actividad las entidades estatales deben realizar un estudio de la oferta, </w:t>
      </w:r>
      <w:r w:rsidR="001D6FC3" w:rsidRPr="00DD5F33">
        <w:rPr>
          <w:rFonts w:ascii="Arial" w:eastAsia="Calibri" w:hAnsi="Arial" w:cs="Arial"/>
          <w:bCs/>
          <w:color w:val="000000"/>
          <w:sz w:val="22"/>
          <w:szCs w:val="22"/>
          <w:lang w:val="es-ES_tradnl" w:eastAsia="en-US"/>
        </w:rPr>
        <w:t xml:space="preserve">que responda, entre otras, las siguientes preguntas: i) «Quién vende», </w:t>
      </w:r>
      <w:r w:rsidR="00087C52" w:rsidRPr="00DD5F33">
        <w:rPr>
          <w:rFonts w:ascii="Arial" w:eastAsia="Calibri" w:hAnsi="Arial" w:cs="Arial"/>
          <w:bCs/>
          <w:color w:val="000000"/>
          <w:sz w:val="22"/>
          <w:szCs w:val="22"/>
          <w:lang w:val="es-ES_tradnl" w:eastAsia="en-US"/>
        </w:rPr>
        <w:t xml:space="preserve">y </w:t>
      </w:r>
      <w:r w:rsidR="001D6FC3" w:rsidRPr="00DD5F33">
        <w:rPr>
          <w:rFonts w:ascii="Arial" w:eastAsia="Calibri" w:hAnsi="Arial" w:cs="Arial"/>
          <w:bCs/>
          <w:color w:val="000000"/>
          <w:sz w:val="22"/>
          <w:szCs w:val="22"/>
          <w:lang w:val="es-ES_tradnl" w:eastAsia="en-US"/>
        </w:rPr>
        <w:t xml:space="preserve">ii) </w:t>
      </w:r>
      <w:r w:rsidR="004B52D4" w:rsidRPr="00DD5F33">
        <w:rPr>
          <w:rFonts w:ascii="Arial" w:eastAsia="Calibri" w:hAnsi="Arial" w:cs="Arial"/>
          <w:bCs/>
          <w:color w:val="000000"/>
          <w:sz w:val="22"/>
          <w:szCs w:val="22"/>
          <w:lang w:val="es-ES_tradnl" w:eastAsia="en-US"/>
        </w:rPr>
        <w:t>«¿Cuál es la dinámica de producción, distribución y entrega de bienes, obras o servicios?»</w:t>
      </w:r>
      <w:r w:rsidR="00B274B3" w:rsidRPr="00DD5F33">
        <w:rPr>
          <w:rFonts w:ascii="Arial" w:eastAsia="Calibri" w:hAnsi="Arial" w:cs="Arial"/>
          <w:bCs/>
          <w:color w:val="000000"/>
          <w:sz w:val="22"/>
          <w:szCs w:val="22"/>
          <w:lang w:val="es-ES_tradnl" w:eastAsia="en-US"/>
        </w:rPr>
        <w:t xml:space="preserve"> –teniendo en cuenta elementos como la</w:t>
      </w:r>
      <w:r w:rsidR="005174CE" w:rsidRPr="00DD5F33">
        <w:rPr>
          <w:rFonts w:ascii="Arial" w:eastAsia="Calibri" w:hAnsi="Arial" w:cs="Arial"/>
          <w:bCs/>
          <w:color w:val="000000"/>
          <w:sz w:val="22"/>
          <w:szCs w:val="22"/>
          <w:lang w:val="es-ES_tradnl" w:eastAsia="en-US"/>
        </w:rPr>
        <w:t xml:space="preserve"> producción, la</w:t>
      </w:r>
      <w:r w:rsidR="00B274B3" w:rsidRPr="00DD5F33">
        <w:rPr>
          <w:rFonts w:ascii="Arial" w:eastAsia="Calibri" w:hAnsi="Arial" w:cs="Arial"/>
          <w:bCs/>
          <w:color w:val="000000"/>
          <w:sz w:val="22"/>
          <w:szCs w:val="22"/>
          <w:lang w:val="es-ES_tradnl" w:eastAsia="en-US"/>
        </w:rPr>
        <w:t xml:space="preserve"> distribución</w:t>
      </w:r>
      <w:r w:rsidR="005174CE" w:rsidRPr="00DD5F33">
        <w:rPr>
          <w:rFonts w:ascii="Arial" w:eastAsia="Calibri" w:hAnsi="Arial" w:cs="Arial"/>
          <w:bCs/>
          <w:color w:val="000000"/>
          <w:sz w:val="22"/>
          <w:szCs w:val="22"/>
          <w:lang w:val="es-ES_tradnl" w:eastAsia="en-US"/>
        </w:rPr>
        <w:t xml:space="preserve"> y</w:t>
      </w:r>
      <w:r w:rsidR="0045074A" w:rsidRPr="00DD5F33">
        <w:rPr>
          <w:rFonts w:ascii="Arial" w:eastAsia="Calibri" w:hAnsi="Arial" w:cs="Arial"/>
          <w:bCs/>
          <w:color w:val="000000"/>
          <w:sz w:val="22"/>
          <w:szCs w:val="22"/>
          <w:lang w:val="es-ES_tradnl" w:eastAsia="en-US"/>
        </w:rPr>
        <w:t xml:space="preserve"> </w:t>
      </w:r>
      <w:r w:rsidR="005174CE" w:rsidRPr="00DD5F33">
        <w:rPr>
          <w:rFonts w:ascii="Arial" w:eastAsia="Calibri" w:hAnsi="Arial" w:cs="Arial"/>
          <w:bCs/>
          <w:color w:val="000000"/>
          <w:sz w:val="22"/>
          <w:szCs w:val="22"/>
          <w:lang w:val="es-ES_tradnl" w:eastAsia="en-US"/>
        </w:rPr>
        <w:t>el inventario–.</w:t>
      </w:r>
      <w:r w:rsidR="0045074A" w:rsidRPr="00DD5F33">
        <w:rPr>
          <w:rFonts w:ascii="Arial" w:eastAsia="Calibri" w:hAnsi="Arial" w:cs="Arial"/>
          <w:bCs/>
          <w:color w:val="000000"/>
          <w:sz w:val="22"/>
          <w:szCs w:val="22"/>
          <w:lang w:val="es-ES_tradnl" w:eastAsia="en-US"/>
        </w:rPr>
        <w:t xml:space="preserve"> En relación con la primera pregunta, la Guía</w:t>
      </w:r>
      <w:r w:rsidR="00487B34" w:rsidRPr="00DD5F33">
        <w:rPr>
          <w:rFonts w:ascii="Arial" w:eastAsia="Calibri" w:hAnsi="Arial" w:cs="Arial"/>
          <w:bCs/>
          <w:color w:val="000000"/>
          <w:sz w:val="22"/>
          <w:szCs w:val="22"/>
          <w:lang w:val="es-ES_tradnl" w:eastAsia="en-US"/>
        </w:rPr>
        <w:t>, señala que «Para identificar los posibles proveedores es recomendable utilizar bases de datos e información del Sistema de Información y Reporte Empresarial –SIREM–4; las bases de datos de las Cámaras de Comercio y de los gremios; y cualquier otro sistema de información empresarial o sectorial disponible en el mercado. Estas bases de datos permiten conocer la información financiera del sector y de algunos de sus miembros</w:t>
      </w:r>
      <w:r w:rsidR="005971AC" w:rsidRPr="00DD5F33">
        <w:rPr>
          <w:rFonts w:ascii="Arial" w:eastAsia="Calibri" w:hAnsi="Arial" w:cs="Arial"/>
          <w:bCs/>
          <w:color w:val="000000"/>
          <w:sz w:val="22"/>
          <w:szCs w:val="22"/>
          <w:lang w:val="es-ES_tradnl" w:eastAsia="en-US"/>
        </w:rPr>
        <w:t xml:space="preserve"> </w:t>
      </w:r>
      <w:r w:rsidR="00487B34" w:rsidRPr="00DD5F33">
        <w:rPr>
          <w:rFonts w:ascii="Arial" w:eastAsia="Calibri" w:hAnsi="Arial" w:cs="Arial"/>
          <w:bCs/>
          <w:color w:val="000000"/>
          <w:sz w:val="22"/>
          <w:szCs w:val="22"/>
          <w:lang w:val="es-ES_tradnl" w:eastAsia="en-US"/>
        </w:rPr>
        <w:t>en particular, para que la Entidad Estatal pueda</w:t>
      </w:r>
      <w:r w:rsidR="005971AC" w:rsidRPr="00DD5F33">
        <w:rPr>
          <w:rFonts w:ascii="Arial" w:eastAsia="Calibri" w:hAnsi="Arial" w:cs="Arial"/>
          <w:bCs/>
          <w:color w:val="000000"/>
          <w:sz w:val="22"/>
          <w:szCs w:val="22"/>
          <w:lang w:val="es-ES_tradnl" w:eastAsia="en-US"/>
        </w:rPr>
        <w:t xml:space="preserve"> </w:t>
      </w:r>
      <w:r w:rsidR="00487B34" w:rsidRPr="00DD5F33">
        <w:rPr>
          <w:rFonts w:ascii="Arial" w:eastAsia="Calibri" w:hAnsi="Arial" w:cs="Arial"/>
          <w:bCs/>
          <w:color w:val="000000"/>
          <w:sz w:val="22"/>
          <w:szCs w:val="22"/>
          <w:lang w:val="es-ES_tradnl" w:eastAsia="en-US"/>
        </w:rPr>
        <w:lastRenderedPageBreak/>
        <w:t>establecer los requisitos habilitantes y demás condiciones</w:t>
      </w:r>
      <w:r w:rsidR="005971AC" w:rsidRPr="00DD5F33">
        <w:rPr>
          <w:rFonts w:ascii="Arial" w:eastAsia="Calibri" w:hAnsi="Arial" w:cs="Arial"/>
          <w:bCs/>
          <w:color w:val="000000"/>
          <w:sz w:val="22"/>
          <w:szCs w:val="22"/>
          <w:lang w:val="es-ES_tradnl" w:eastAsia="en-US"/>
        </w:rPr>
        <w:t xml:space="preserve"> </w:t>
      </w:r>
      <w:r w:rsidR="00487B34" w:rsidRPr="00DD5F33">
        <w:rPr>
          <w:rFonts w:ascii="Arial" w:eastAsia="Calibri" w:hAnsi="Arial" w:cs="Arial"/>
          <w:bCs/>
          <w:color w:val="000000"/>
          <w:sz w:val="22"/>
          <w:szCs w:val="22"/>
          <w:lang w:val="es-ES_tradnl" w:eastAsia="en-US"/>
        </w:rPr>
        <w:t>del Proceso de Contratación, teniendo en cuenta las condiciones generales del sector</w:t>
      </w:r>
      <w:r w:rsidR="001F7758" w:rsidRPr="00DD5F33">
        <w:rPr>
          <w:rFonts w:ascii="Arial" w:eastAsia="Calibri" w:hAnsi="Arial" w:cs="Arial"/>
          <w:bCs/>
          <w:color w:val="000000"/>
          <w:sz w:val="22"/>
          <w:szCs w:val="22"/>
          <w:lang w:val="es-ES_tradnl" w:eastAsia="en-US"/>
        </w:rPr>
        <w:t>»</w:t>
      </w:r>
      <w:r w:rsidR="00C362D4" w:rsidRPr="00DD5F33">
        <w:rPr>
          <w:rStyle w:val="Refdenotaalpie"/>
          <w:rFonts w:ascii="Arial" w:eastAsia="Calibri" w:hAnsi="Arial" w:cs="Arial"/>
          <w:bCs/>
          <w:color w:val="000000"/>
          <w:sz w:val="22"/>
          <w:szCs w:val="22"/>
          <w:lang w:val="es-ES_tradnl" w:eastAsia="en-US"/>
        </w:rPr>
        <w:footnoteReference w:id="55"/>
      </w:r>
      <w:r w:rsidR="00C362D4" w:rsidRPr="00DD5F33">
        <w:rPr>
          <w:rFonts w:ascii="Arial" w:eastAsia="Calibri" w:hAnsi="Arial" w:cs="Arial"/>
          <w:bCs/>
          <w:color w:val="000000"/>
          <w:sz w:val="22"/>
          <w:szCs w:val="22"/>
          <w:lang w:val="es-ES_tradnl" w:eastAsia="en-US"/>
        </w:rPr>
        <w:t>.</w:t>
      </w:r>
    </w:p>
    <w:p w14:paraId="788351FD" w14:textId="77777777" w:rsidR="00C362D4" w:rsidRPr="00DD5F33" w:rsidRDefault="00C362D4" w:rsidP="00C362D4">
      <w:pPr>
        <w:spacing w:line="276" w:lineRule="auto"/>
        <w:jc w:val="both"/>
        <w:rPr>
          <w:rFonts w:ascii="Arial" w:eastAsia="Calibri" w:hAnsi="Arial" w:cs="Arial"/>
          <w:sz w:val="22"/>
          <w:szCs w:val="22"/>
          <w:lang w:val="es-ES_tradnl"/>
        </w:rPr>
      </w:pPr>
    </w:p>
    <w:p w14:paraId="106C8269" w14:textId="3940D4E7" w:rsidR="00B02A68" w:rsidRPr="00DD5F33" w:rsidRDefault="001077CB"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2. ¿Qué garantiza que a través de la ejecución del contrato se mantengan los porcentajes de participación de las mujeres para el emprendimiento y empresas de mujeres, una vez este sea celebrado?</w:t>
      </w:r>
      <w:r w:rsidRPr="00DD5F33">
        <w:rPr>
          <w:rFonts w:ascii="Arial" w:hAnsi="Arial" w:cs="Arial"/>
          <w:color w:val="000000" w:themeColor="text1"/>
          <w:sz w:val="21"/>
          <w:szCs w:val="21"/>
          <w:lang w:val="es-ES_tradnl"/>
        </w:rPr>
        <w:t>»</w:t>
      </w:r>
    </w:p>
    <w:p w14:paraId="2DD3B636" w14:textId="7C47B764" w:rsidR="00B02A68" w:rsidRPr="00DD5F33" w:rsidRDefault="00B02A68" w:rsidP="00B02A68">
      <w:pPr>
        <w:ind w:left="709" w:right="709"/>
        <w:jc w:val="both"/>
        <w:rPr>
          <w:rFonts w:ascii="Arial" w:hAnsi="Arial" w:cs="Arial"/>
          <w:color w:val="000000" w:themeColor="text1"/>
          <w:sz w:val="21"/>
          <w:szCs w:val="21"/>
          <w:lang w:val="es-ES_tradnl"/>
        </w:rPr>
      </w:pPr>
    </w:p>
    <w:p w14:paraId="0D1F69D2" w14:textId="262DA70C" w:rsidR="00971C2C" w:rsidRPr="00DD5F33" w:rsidRDefault="00971C2C" w:rsidP="00DD5F33">
      <w:pPr>
        <w:spacing w:before="120" w:line="276" w:lineRule="auto"/>
        <w:jc w:val="both"/>
        <w:rPr>
          <w:rFonts w:ascii="Arial" w:eastAsia="Calibri" w:hAnsi="Arial" w:cs="Arial"/>
          <w:color w:val="000000"/>
          <w:sz w:val="22"/>
          <w:szCs w:val="22"/>
          <w:lang w:val="es-ES_tradnl" w:eastAsia="en-US"/>
        </w:rPr>
      </w:pPr>
      <w:r w:rsidRPr="00DD5F33">
        <w:rPr>
          <w:rFonts w:ascii="Arial" w:hAnsi="Arial" w:cs="Arial"/>
          <w:color w:val="000000" w:themeColor="text1"/>
          <w:sz w:val="22"/>
          <w:szCs w:val="22"/>
          <w:lang w:val="es-ES_tradnl"/>
        </w:rPr>
        <w:t xml:space="preserve">Es importe mencionar que a través de los documentos solicitados en el </w:t>
      </w:r>
      <w:r w:rsidRPr="00DD5F33">
        <w:rPr>
          <w:rFonts w:ascii="Arial" w:eastAsia="Calibri" w:hAnsi="Arial" w:cs="Arial"/>
          <w:bCs/>
          <w:color w:val="000000"/>
          <w:sz w:val="22"/>
          <w:szCs w:val="22"/>
          <w:lang w:val="es-ES_tradnl" w:eastAsia="en-US"/>
        </w:rPr>
        <w:t xml:space="preserve">artículo 2.2.1.2.4.2.15 del Decreto 1082 de 2015 –adicionado por el artículo 3 del Decreto 1860 de 2021– la Administración verifica </w:t>
      </w:r>
      <w:r w:rsidRPr="00DD5F33">
        <w:rPr>
          <w:rFonts w:ascii="Arial" w:eastAsia="Calibri" w:hAnsi="Arial" w:cs="Arial"/>
          <w:bCs/>
          <w:i/>
          <w:iCs/>
          <w:color w:val="000000"/>
          <w:sz w:val="22"/>
          <w:szCs w:val="22"/>
          <w:lang w:val="es-ES_tradnl" w:eastAsia="en-US"/>
        </w:rPr>
        <w:t>ex ante</w:t>
      </w:r>
      <w:r w:rsidRPr="00DD5F33">
        <w:rPr>
          <w:rFonts w:ascii="Arial" w:eastAsia="Calibri" w:hAnsi="Arial" w:cs="Arial"/>
          <w:bCs/>
          <w:color w:val="000000"/>
          <w:sz w:val="22"/>
          <w:szCs w:val="22"/>
          <w:lang w:val="es-ES_tradnl" w:eastAsia="en-US"/>
        </w:rPr>
        <w:t xml:space="preserve"> que el proponente que pretenda beneficiarse de los factores diferenciales tenga la calidad de empresa y emprendimiento de mujeres. En este sentido, no inciden en el cumplimiento de las obligaciones circunstancias como, por ejemplo, el cambio en la participación accionaria o en la planta de empleados del nivel directivo durante la ejecución del contrato. Esto en la medida que, para beneficiarse del incentivo durante el proceso de selección, el interesado tuvo que demostrar alguna de los supuestos previstos en los numerales del artículo citado durante </w:t>
      </w:r>
      <w:r w:rsidRPr="00DD5F33">
        <w:rPr>
          <w:rFonts w:ascii="Arial" w:eastAsia="Calibri" w:hAnsi="Arial" w:cs="Arial"/>
          <w:bCs/>
          <w:color w:val="000000"/>
          <w:sz w:val="22"/>
          <w:szCs w:val="22"/>
          <w:lang w:eastAsia="en-US"/>
        </w:rPr>
        <w:t xml:space="preserve">el último año anterior a la fecha de cierre. De esta manera, a diferencia de lo previsto en el artículo </w:t>
      </w:r>
      <w:r w:rsidRPr="00DD5F33">
        <w:rPr>
          <w:rFonts w:ascii="Arial" w:eastAsia="Calibri" w:hAnsi="Arial" w:cs="Arial"/>
          <w:color w:val="000000"/>
          <w:sz w:val="22"/>
          <w:szCs w:val="22"/>
          <w:lang w:eastAsia="en-US"/>
        </w:rPr>
        <w:t xml:space="preserve">2.2.1.2.4.2.7 del Decreto 1082 de 2015 para las personas en situación de discapacidad, el incentivo para empresas y emprendimientos de mujeres no contempla ningún mecanismo de seguimiento </w:t>
      </w:r>
      <w:r w:rsidRPr="00DD5F33">
        <w:rPr>
          <w:rFonts w:ascii="Arial" w:eastAsia="Calibri" w:hAnsi="Arial" w:cs="Arial"/>
          <w:i/>
          <w:iCs/>
          <w:color w:val="000000"/>
          <w:sz w:val="22"/>
          <w:szCs w:val="22"/>
          <w:lang w:eastAsia="en-US"/>
        </w:rPr>
        <w:t>ex post</w:t>
      </w:r>
      <w:r w:rsidRPr="00DD5F33">
        <w:rPr>
          <w:rFonts w:ascii="Arial" w:eastAsia="Calibri" w:hAnsi="Arial" w:cs="Arial"/>
          <w:color w:val="000000"/>
          <w:sz w:val="22"/>
          <w:szCs w:val="22"/>
          <w:lang w:eastAsia="en-US"/>
        </w:rPr>
        <w:t xml:space="preserve">, lo cual es acorde con la discrecionalidad de que goza el Gobierno Nacional en el ejercicio de la potestad reglamentaria.  </w:t>
      </w:r>
    </w:p>
    <w:p w14:paraId="66536E89" w14:textId="77777777" w:rsidR="001077CB" w:rsidRPr="00DD5F33" w:rsidRDefault="001077CB" w:rsidP="00527A23">
      <w:pPr>
        <w:ind w:right="709"/>
        <w:jc w:val="both"/>
        <w:rPr>
          <w:rFonts w:ascii="Arial" w:hAnsi="Arial" w:cs="Arial"/>
          <w:color w:val="000000" w:themeColor="text1"/>
          <w:sz w:val="21"/>
          <w:szCs w:val="21"/>
          <w:lang w:val="es-ES_tradnl"/>
        </w:rPr>
      </w:pPr>
    </w:p>
    <w:p w14:paraId="2E01F4B5" w14:textId="33D0550E" w:rsidR="00B02A68" w:rsidRPr="00DD5F33" w:rsidRDefault="00E73012"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3. Respecto a los incentivos contractuales para los emprendimientos y empresas de mujeres, ¿bastará con la certificación emitida bajo gravedad de juramento, sin que se deba demostrar la participación de estas, según el certificado de existencia y representación –tratándose de personas jurídicas– o del documento de constitución del proponente plural?</w:t>
      </w:r>
      <w:r w:rsidRPr="00DD5F33">
        <w:rPr>
          <w:rFonts w:ascii="Arial" w:hAnsi="Arial" w:cs="Arial"/>
          <w:color w:val="000000" w:themeColor="text1"/>
          <w:sz w:val="21"/>
          <w:szCs w:val="21"/>
          <w:lang w:val="es-ES_tradnl"/>
        </w:rPr>
        <w:t>»</w:t>
      </w:r>
    </w:p>
    <w:p w14:paraId="5A5BC29E" w14:textId="088E57F4" w:rsidR="00A952CC" w:rsidRPr="00DD5F33" w:rsidRDefault="00A952CC" w:rsidP="00B02A68">
      <w:pPr>
        <w:ind w:left="709" w:right="709"/>
        <w:jc w:val="both"/>
        <w:rPr>
          <w:rFonts w:ascii="Arial" w:hAnsi="Arial" w:cs="Arial"/>
          <w:color w:val="000000" w:themeColor="text1"/>
          <w:sz w:val="21"/>
          <w:szCs w:val="21"/>
          <w:lang w:val="es-ES_tradnl"/>
        </w:rPr>
      </w:pPr>
    </w:p>
    <w:p w14:paraId="57D0D407" w14:textId="14F7B095" w:rsidR="00A952CC" w:rsidRPr="00DD5F33" w:rsidRDefault="00A952CC"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 xml:space="preserve">[…] </w:t>
      </w:r>
    </w:p>
    <w:p w14:paraId="7D3E0B15" w14:textId="77777777" w:rsidR="00A952CC" w:rsidRPr="00DD5F33" w:rsidRDefault="00A952CC" w:rsidP="00B02A68">
      <w:pPr>
        <w:ind w:left="709" w:right="709"/>
        <w:jc w:val="both"/>
        <w:rPr>
          <w:rFonts w:ascii="Arial" w:hAnsi="Arial" w:cs="Arial"/>
          <w:color w:val="000000" w:themeColor="text1"/>
          <w:sz w:val="21"/>
          <w:szCs w:val="21"/>
          <w:lang w:val="es-ES_tradnl"/>
        </w:rPr>
      </w:pPr>
    </w:p>
    <w:p w14:paraId="26042864" w14:textId="503C255B" w:rsidR="00A952CC" w:rsidRPr="00DD5F33" w:rsidRDefault="00A952CC" w:rsidP="00A952CC">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»9. Teniendo en cuenta, el “ARTÍCULO 2.2.1.2.4.2.14. Definición de emprendimientos y empresas de mujeres. 3. Cuando la persona natural sea una mujer y haya ejercido actividades comerciales a través de un establecimiento de comercio durante al menos el último año anterior a la fecha de cierre del proceso de selección. Esta circunstancia se acreditará mediante la copia de cédula de ciudadanía, la cédula de extranjería o el pasaporte, así como la copia del registro mercantil”. En caso de desempate y aplicando los criterios de desempate, ¿no tendría una desventaja sustancial?»</w:t>
      </w:r>
    </w:p>
    <w:p w14:paraId="50AD5E36" w14:textId="77777777" w:rsidR="00A952CC" w:rsidRPr="00DD5F33" w:rsidRDefault="00A952CC" w:rsidP="00B02A68">
      <w:pPr>
        <w:ind w:left="709" w:right="709"/>
        <w:jc w:val="both"/>
        <w:rPr>
          <w:rFonts w:ascii="Arial" w:hAnsi="Arial" w:cs="Arial"/>
          <w:color w:val="000000" w:themeColor="text1"/>
          <w:sz w:val="21"/>
          <w:szCs w:val="21"/>
          <w:lang w:val="es-ES_tradnl"/>
        </w:rPr>
      </w:pPr>
    </w:p>
    <w:p w14:paraId="0BBC0147" w14:textId="26EADDA8" w:rsidR="00DD0FC1" w:rsidRPr="00DD5F33" w:rsidRDefault="009050AC" w:rsidP="009050AC">
      <w:pPr>
        <w:spacing w:line="276" w:lineRule="auto"/>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lastRenderedPageBreak/>
        <w:t xml:space="preserve">El artículo </w:t>
      </w:r>
      <w:r w:rsidR="00423CB4" w:rsidRPr="00DD5F33">
        <w:rPr>
          <w:rFonts w:ascii="Arial" w:eastAsia="Calibri" w:hAnsi="Arial" w:cs="Arial"/>
          <w:bCs/>
          <w:color w:val="000000"/>
          <w:sz w:val="22"/>
          <w:szCs w:val="22"/>
          <w:lang w:val="es-ES_tradnl" w:eastAsia="en-US"/>
        </w:rPr>
        <w:t>2.2.1.2.4.2.14. del Decreto 1082 de 2015, adicionado por el artículo 3 del Decreto 1860 de 2021 establece los documentos que acreditan</w:t>
      </w:r>
      <w:r w:rsidR="00B35A9C" w:rsidRPr="00DD5F33">
        <w:rPr>
          <w:rFonts w:ascii="Arial" w:eastAsia="Calibri" w:hAnsi="Arial" w:cs="Arial"/>
          <w:bCs/>
          <w:color w:val="000000"/>
          <w:sz w:val="22"/>
          <w:szCs w:val="22"/>
          <w:lang w:val="es-ES_tradnl" w:eastAsia="en-US"/>
        </w:rPr>
        <w:t xml:space="preserve"> cada una de</w:t>
      </w:r>
      <w:r w:rsidR="00423CB4" w:rsidRPr="00DD5F33">
        <w:rPr>
          <w:rFonts w:ascii="Arial" w:eastAsia="Calibri" w:hAnsi="Arial" w:cs="Arial"/>
          <w:bCs/>
          <w:color w:val="000000"/>
          <w:sz w:val="22"/>
          <w:szCs w:val="22"/>
          <w:lang w:val="es-ES_tradnl" w:eastAsia="en-US"/>
        </w:rPr>
        <w:t xml:space="preserve"> </w:t>
      </w:r>
      <w:r w:rsidR="00CA5A97" w:rsidRPr="00DD5F33">
        <w:rPr>
          <w:rFonts w:ascii="Arial" w:eastAsia="Calibri" w:hAnsi="Arial" w:cs="Arial"/>
          <w:bCs/>
          <w:color w:val="000000"/>
          <w:sz w:val="22"/>
          <w:szCs w:val="22"/>
          <w:lang w:val="es-ES_tradnl" w:eastAsia="en-US"/>
        </w:rPr>
        <w:t xml:space="preserve">las circunstancias por las cuales se puede demostrar que </w:t>
      </w:r>
      <w:r w:rsidR="007B4617" w:rsidRPr="00DD5F33">
        <w:rPr>
          <w:rFonts w:ascii="Arial" w:eastAsia="Calibri" w:hAnsi="Arial" w:cs="Arial"/>
          <w:bCs/>
          <w:color w:val="000000"/>
          <w:sz w:val="22"/>
          <w:szCs w:val="22"/>
          <w:lang w:val="es-ES_tradnl" w:eastAsia="en-US"/>
        </w:rPr>
        <w:t>alguien</w:t>
      </w:r>
      <w:r w:rsidR="00CA5A97" w:rsidRPr="00DD5F33">
        <w:rPr>
          <w:rFonts w:ascii="Arial" w:eastAsia="Calibri" w:hAnsi="Arial" w:cs="Arial"/>
          <w:bCs/>
          <w:color w:val="000000"/>
          <w:sz w:val="22"/>
          <w:szCs w:val="22"/>
          <w:lang w:val="es-ES_tradnl" w:eastAsia="en-US"/>
        </w:rPr>
        <w:t xml:space="preserve"> tiene la calidad de emprendimiento y empresa de mujeres</w:t>
      </w:r>
      <w:r w:rsidR="00B35A9C" w:rsidRPr="00DD5F33">
        <w:rPr>
          <w:rFonts w:ascii="Arial" w:eastAsia="Calibri" w:hAnsi="Arial" w:cs="Arial"/>
          <w:bCs/>
          <w:color w:val="000000"/>
          <w:sz w:val="22"/>
          <w:szCs w:val="22"/>
          <w:lang w:val="es-ES_tradnl" w:eastAsia="en-US"/>
        </w:rPr>
        <w:t>.</w:t>
      </w:r>
      <w:r w:rsidR="00D850BB" w:rsidRPr="00DD5F33">
        <w:rPr>
          <w:rFonts w:ascii="Arial" w:eastAsia="Calibri" w:hAnsi="Arial" w:cs="Arial"/>
          <w:bCs/>
          <w:color w:val="000000"/>
          <w:sz w:val="22"/>
          <w:szCs w:val="22"/>
          <w:lang w:val="es-ES_tradnl" w:eastAsia="en-US"/>
        </w:rPr>
        <w:t xml:space="preserve"> </w:t>
      </w:r>
      <w:r w:rsidR="004B1323" w:rsidRPr="00DD5F33">
        <w:rPr>
          <w:rFonts w:ascii="Arial" w:eastAsia="Calibri" w:hAnsi="Arial" w:cs="Arial"/>
          <w:bCs/>
          <w:color w:val="000000"/>
          <w:sz w:val="22"/>
          <w:szCs w:val="22"/>
          <w:lang w:val="es-ES_tradnl" w:eastAsia="en-US"/>
        </w:rPr>
        <w:t>Los documentos a los que se refiere la norma son</w:t>
      </w:r>
      <w:r w:rsidR="007B4617" w:rsidRPr="00DD5F33">
        <w:rPr>
          <w:rFonts w:ascii="Arial" w:eastAsia="Calibri" w:hAnsi="Arial" w:cs="Arial"/>
          <w:bCs/>
          <w:color w:val="000000"/>
          <w:sz w:val="22"/>
          <w:szCs w:val="22"/>
          <w:lang w:val="es-ES_tradnl" w:eastAsia="en-US"/>
        </w:rPr>
        <w:t>, por regla general,</w:t>
      </w:r>
      <w:r w:rsidR="004B1323" w:rsidRPr="00DD5F33">
        <w:rPr>
          <w:rFonts w:ascii="Arial" w:eastAsia="Calibri" w:hAnsi="Arial" w:cs="Arial"/>
          <w:bCs/>
          <w:color w:val="000000"/>
          <w:sz w:val="22"/>
          <w:szCs w:val="22"/>
          <w:lang w:val="es-ES_tradnl" w:eastAsia="en-US"/>
        </w:rPr>
        <w:t xml:space="preserve"> </w:t>
      </w:r>
      <w:r w:rsidR="004B1323" w:rsidRPr="00DD5F33">
        <w:rPr>
          <w:rFonts w:ascii="Arial" w:eastAsia="Calibri" w:hAnsi="Arial" w:cs="Arial"/>
          <w:bCs/>
          <w:i/>
          <w:iCs/>
          <w:color w:val="000000"/>
          <w:sz w:val="22"/>
          <w:szCs w:val="22"/>
          <w:lang w:val="es-ES_tradnl" w:eastAsia="en-US"/>
        </w:rPr>
        <w:t>certificaciones</w:t>
      </w:r>
      <w:r w:rsidR="004B1323" w:rsidRPr="00DD5F33">
        <w:rPr>
          <w:rFonts w:ascii="Arial" w:eastAsia="Calibri" w:hAnsi="Arial" w:cs="Arial"/>
          <w:bCs/>
          <w:color w:val="000000"/>
          <w:sz w:val="22"/>
          <w:szCs w:val="22"/>
          <w:lang w:val="es-ES_tradnl" w:eastAsia="en-US"/>
        </w:rPr>
        <w:t xml:space="preserve"> emitidas </w:t>
      </w:r>
      <w:r w:rsidR="004B1323" w:rsidRPr="00DD5F33">
        <w:rPr>
          <w:rFonts w:ascii="Arial" w:eastAsia="Calibri" w:hAnsi="Arial" w:cs="Arial"/>
          <w:bCs/>
          <w:i/>
          <w:iCs/>
          <w:color w:val="000000"/>
          <w:sz w:val="22"/>
          <w:szCs w:val="22"/>
          <w:lang w:val="es-ES_tradnl" w:eastAsia="en-US"/>
        </w:rPr>
        <w:t>bajo la gravedad del juramento</w:t>
      </w:r>
      <w:r w:rsidR="001D4C83" w:rsidRPr="00DD5F33">
        <w:rPr>
          <w:rFonts w:ascii="Arial" w:eastAsia="Calibri" w:hAnsi="Arial" w:cs="Arial"/>
          <w:bCs/>
          <w:color w:val="000000"/>
          <w:sz w:val="22"/>
          <w:szCs w:val="22"/>
          <w:lang w:val="es-ES_tradnl" w:eastAsia="en-US"/>
        </w:rPr>
        <w:t xml:space="preserve">. En el supuesto del numeral 2, la certificación debe </w:t>
      </w:r>
      <w:r w:rsidR="00C0015F" w:rsidRPr="00DD5F33">
        <w:rPr>
          <w:rFonts w:ascii="Arial" w:eastAsia="Calibri" w:hAnsi="Arial" w:cs="Arial"/>
          <w:bCs/>
          <w:color w:val="000000"/>
          <w:sz w:val="22"/>
          <w:szCs w:val="22"/>
          <w:lang w:val="es-ES_tradnl" w:eastAsia="en-US"/>
        </w:rPr>
        <w:t>incluir,</w:t>
      </w:r>
      <w:r w:rsidR="001D4C83" w:rsidRPr="00DD5F33">
        <w:rPr>
          <w:rFonts w:ascii="Arial" w:eastAsia="Calibri" w:hAnsi="Arial" w:cs="Arial"/>
          <w:bCs/>
          <w:color w:val="000000"/>
          <w:sz w:val="22"/>
          <w:szCs w:val="22"/>
          <w:lang w:val="es-ES_tradnl" w:eastAsia="en-US"/>
        </w:rPr>
        <w:t xml:space="preserve"> como soporte anexo</w:t>
      </w:r>
      <w:r w:rsidR="00C0015F" w:rsidRPr="00DD5F33">
        <w:rPr>
          <w:rFonts w:ascii="Arial" w:eastAsia="Calibri" w:hAnsi="Arial" w:cs="Arial"/>
          <w:bCs/>
          <w:color w:val="000000"/>
          <w:sz w:val="22"/>
          <w:szCs w:val="22"/>
          <w:lang w:val="es-ES_tradnl" w:eastAsia="en-US"/>
        </w:rPr>
        <w:t>,</w:t>
      </w:r>
      <w:r w:rsidR="001D4C83" w:rsidRPr="00DD5F33">
        <w:rPr>
          <w:rFonts w:ascii="Arial" w:eastAsia="Calibri" w:hAnsi="Arial" w:cs="Arial"/>
          <w:bCs/>
          <w:color w:val="000000"/>
          <w:sz w:val="22"/>
          <w:szCs w:val="22"/>
          <w:lang w:val="es-ES_tradnl" w:eastAsia="en-US"/>
        </w:rPr>
        <w:t xml:space="preserve"> la «[…] copia de los respectivos documentos de identidad, copia de los contratos de trabajo o certificación laboral con las funciones, así como el certificado de aportes a seguridad social del último año en el que se demuestren los pagos realizados por el empleador».</w:t>
      </w:r>
      <w:r w:rsidR="00D850BB" w:rsidRPr="00DD5F33">
        <w:rPr>
          <w:rFonts w:ascii="Arial" w:eastAsia="Calibri" w:hAnsi="Arial" w:cs="Arial"/>
          <w:bCs/>
          <w:color w:val="000000"/>
          <w:sz w:val="22"/>
          <w:szCs w:val="22"/>
          <w:lang w:val="es-ES_tradnl" w:eastAsia="en-US"/>
        </w:rPr>
        <w:t xml:space="preserve"> Por su parte, en el evento </w:t>
      </w:r>
      <w:r w:rsidR="004B1323" w:rsidRPr="00DD5F33">
        <w:rPr>
          <w:rFonts w:ascii="Arial" w:eastAsia="Calibri" w:hAnsi="Arial" w:cs="Arial"/>
          <w:bCs/>
          <w:color w:val="000000"/>
          <w:sz w:val="22"/>
          <w:szCs w:val="22"/>
          <w:lang w:val="es-ES_tradnl" w:eastAsia="en-US"/>
        </w:rPr>
        <w:t xml:space="preserve">previsto en el numeral 3, la calidad indicada </w:t>
      </w:r>
      <w:r w:rsidR="007319F6" w:rsidRPr="00DD5F33">
        <w:rPr>
          <w:rFonts w:ascii="Arial" w:eastAsia="Calibri" w:hAnsi="Arial" w:cs="Arial"/>
          <w:bCs/>
          <w:color w:val="000000"/>
          <w:sz w:val="22"/>
          <w:szCs w:val="22"/>
          <w:lang w:val="es-ES_tradnl" w:eastAsia="en-US"/>
        </w:rPr>
        <w:t xml:space="preserve">se debe acreditar </w:t>
      </w:r>
      <w:r w:rsidR="004B1323" w:rsidRPr="00DD5F33">
        <w:rPr>
          <w:rFonts w:ascii="Arial" w:eastAsia="Calibri" w:hAnsi="Arial" w:cs="Arial"/>
          <w:bCs/>
          <w:color w:val="000000"/>
          <w:sz w:val="22"/>
          <w:szCs w:val="22"/>
          <w:lang w:val="es-ES_tradnl" w:eastAsia="en-US"/>
        </w:rPr>
        <w:t>mediante «copia de cédula de ciudadanía, la cédula de extranjería o el pasaporte, así como la copia del registro mercantil».</w:t>
      </w:r>
      <w:r w:rsidR="007319F6" w:rsidRPr="00DD5F33">
        <w:rPr>
          <w:rFonts w:ascii="Arial" w:eastAsia="Calibri" w:hAnsi="Arial" w:cs="Arial"/>
          <w:bCs/>
          <w:color w:val="000000"/>
          <w:sz w:val="22"/>
          <w:szCs w:val="22"/>
          <w:lang w:val="es-ES_tradnl" w:eastAsia="en-US"/>
        </w:rPr>
        <w:t xml:space="preserve"> </w:t>
      </w:r>
      <w:r w:rsidR="0049250D" w:rsidRPr="00DD5F33">
        <w:rPr>
          <w:rFonts w:ascii="Arial" w:eastAsia="Calibri" w:hAnsi="Arial" w:cs="Arial"/>
          <w:bCs/>
          <w:color w:val="000000"/>
          <w:sz w:val="22"/>
          <w:szCs w:val="22"/>
          <w:lang w:val="es-ES_tradnl" w:eastAsia="en-US"/>
        </w:rPr>
        <w:t>Igualmente, es importante considerar que el parágrafo 1 del artículo</w:t>
      </w:r>
      <w:r w:rsidR="00BD651F" w:rsidRPr="00DD5F33">
        <w:rPr>
          <w:rFonts w:ascii="Arial" w:eastAsia="Calibri" w:hAnsi="Arial" w:cs="Arial"/>
          <w:bCs/>
          <w:color w:val="000000"/>
          <w:sz w:val="22"/>
          <w:szCs w:val="22"/>
          <w:lang w:val="es-ES_tradnl" w:eastAsia="en-US"/>
        </w:rPr>
        <w:t xml:space="preserve"> </w:t>
      </w:r>
      <w:r w:rsidR="00BD651F" w:rsidRPr="00DD5F33">
        <w:rPr>
          <w:rFonts w:ascii="Arial" w:eastAsia="Calibri" w:hAnsi="Arial" w:cs="Arial"/>
          <w:color w:val="000000"/>
          <w:sz w:val="22"/>
          <w:szCs w:val="22"/>
          <w:lang w:eastAsia="en-US"/>
        </w:rPr>
        <w:t>2.2.1.2.4.2.15.</w:t>
      </w:r>
      <w:r w:rsidR="00BD651F" w:rsidRPr="00DD5F33">
        <w:rPr>
          <w:rFonts w:ascii="Arial" w:eastAsia="Calibri" w:hAnsi="Arial" w:cs="Arial"/>
          <w:bCs/>
          <w:color w:val="000000"/>
          <w:sz w:val="22"/>
          <w:szCs w:val="22"/>
          <w:lang w:eastAsia="en-US"/>
        </w:rPr>
        <w:t xml:space="preserve"> </w:t>
      </w:r>
      <w:r w:rsidR="0049250D" w:rsidRPr="00DD5F33">
        <w:rPr>
          <w:rFonts w:ascii="Arial" w:eastAsia="Calibri" w:hAnsi="Arial" w:cs="Arial"/>
          <w:bCs/>
          <w:color w:val="000000"/>
          <w:sz w:val="22"/>
          <w:szCs w:val="22"/>
          <w:lang w:val="es-ES_tradnl" w:eastAsia="en-US"/>
        </w:rPr>
        <w:t>dice que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r w:rsidR="00475D37" w:rsidRPr="00DD5F33">
        <w:rPr>
          <w:rFonts w:ascii="Arial" w:eastAsia="Calibri" w:hAnsi="Arial" w:cs="Arial"/>
          <w:bCs/>
          <w:color w:val="000000"/>
          <w:sz w:val="22"/>
          <w:szCs w:val="22"/>
          <w:lang w:val="es-ES_tradnl" w:eastAsia="en-US"/>
        </w:rPr>
        <w:t xml:space="preserve">, para lo cual será necesario </w:t>
      </w:r>
      <w:r w:rsidR="00B73202" w:rsidRPr="00DD5F33">
        <w:rPr>
          <w:rFonts w:ascii="Arial" w:eastAsia="Calibri" w:hAnsi="Arial" w:cs="Arial"/>
          <w:bCs/>
          <w:color w:val="000000"/>
          <w:sz w:val="22"/>
          <w:szCs w:val="22"/>
          <w:lang w:val="es-ES_tradnl" w:eastAsia="en-US"/>
        </w:rPr>
        <w:t>aportar, entonces,</w:t>
      </w:r>
      <w:r w:rsidR="00475D37" w:rsidRPr="00DD5F33">
        <w:rPr>
          <w:rFonts w:ascii="Arial" w:eastAsia="Calibri" w:hAnsi="Arial" w:cs="Arial"/>
          <w:bCs/>
          <w:color w:val="000000"/>
          <w:sz w:val="22"/>
          <w:szCs w:val="22"/>
          <w:lang w:val="es-ES_tradnl" w:eastAsia="en-US"/>
        </w:rPr>
        <w:t xml:space="preserve"> el documento de constitución del consorcio o la unión temporal.</w:t>
      </w:r>
    </w:p>
    <w:p w14:paraId="7F9EB55B" w14:textId="2C6EDEFB" w:rsidR="009050AC" w:rsidRPr="00DD5F33" w:rsidRDefault="007319F6" w:rsidP="00DD0FC1">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tanto, teniendo en cuenta </w:t>
      </w:r>
      <w:r w:rsidR="00C841DE" w:rsidRPr="00DD5F33">
        <w:rPr>
          <w:rFonts w:ascii="Arial" w:eastAsia="Calibri" w:hAnsi="Arial" w:cs="Arial"/>
          <w:bCs/>
          <w:color w:val="000000"/>
          <w:sz w:val="22"/>
          <w:szCs w:val="22"/>
          <w:lang w:val="es-ES_tradnl" w:eastAsia="en-US"/>
        </w:rPr>
        <w:t xml:space="preserve">i) </w:t>
      </w:r>
      <w:r w:rsidR="000B3D40" w:rsidRPr="00DD5F33">
        <w:rPr>
          <w:rFonts w:ascii="Arial" w:eastAsia="Calibri" w:hAnsi="Arial" w:cs="Arial"/>
          <w:bCs/>
          <w:color w:val="000000"/>
          <w:sz w:val="22"/>
          <w:szCs w:val="22"/>
          <w:lang w:val="es-ES_tradnl" w:eastAsia="en-US"/>
        </w:rPr>
        <w:t xml:space="preserve">que </w:t>
      </w:r>
      <w:r w:rsidRPr="00DD5F33">
        <w:rPr>
          <w:rFonts w:ascii="Arial" w:eastAsia="Calibri" w:hAnsi="Arial" w:cs="Arial"/>
          <w:bCs/>
          <w:color w:val="000000"/>
          <w:sz w:val="22"/>
          <w:szCs w:val="22"/>
          <w:lang w:val="es-ES_tradnl" w:eastAsia="en-US"/>
        </w:rPr>
        <w:t xml:space="preserve">el reglamento define los documentos que demuestran las circunstancias reguladas en </w:t>
      </w:r>
      <w:r w:rsidR="00BD651F" w:rsidRPr="00DD5F33">
        <w:rPr>
          <w:rFonts w:ascii="Arial" w:eastAsia="Calibri" w:hAnsi="Arial" w:cs="Arial"/>
          <w:bCs/>
          <w:color w:val="000000"/>
          <w:sz w:val="22"/>
          <w:szCs w:val="22"/>
          <w:lang w:val="es-ES_tradnl" w:eastAsia="en-US"/>
        </w:rPr>
        <w:t>los</w:t>
      </w:r>
      <w:r w:rsidRPr="00DD5F33">
        <w:rPr>
          <w:rFonts w:ascii="Arial" w:eastAsia="Calibri" w:hAnsi="Arial" w:cs="Arial"/>
          <w:bCs/>
          <w:color w:val="000000"/>
          <w:sz w:val="22"/>
          <w:szCs w:val="22"/>
          <w:lang w:val="es-ES_tradnl" w:eastAsia="en-US"/>
        </w:rPr>
        <w:t xml:space="preserve"> artículo</w:t>
      </w:r>
      <w:r w:rsidR="00BD651F" w:rsidRPr="00DD5F33">
        <w:rPr>
          <w:rFonts w:ascii="Arial" w:eastAsia="Calibri" w:hAnsi="Arial" w:cs="Arial"/>
          <w:bCs/>
          <w:color w:val="000000"/>
          <w:sz w:val="22"/>
          <w:szCs w:val="22"/>
          <w:lang w:val="es-ES_tradnl" w:eastAsia="en-US"/>
        </w:rPr>
        <w:t>s</w:t>
      </w:r>
      <w:r w:rsidRPr="00DD5F33">
        <w:rPr>
          <w:rFonts w:ascii="Arial" w:eastAsia="Calibri" w:hAnsi="Arial" w:cs="Arial"/>
          <w:bCs/>
          <w:color w:val="000000"/>
          <w:sz w:val="22"/>
          <w:szCs w:val="22"/>
          <w:lang w:val="es-ES_tradnl" w:eastAsia="en-US"/>
        </w:rPr>
        <w:t xml:space="preserve"> 2.2.1.2.4.2.14.</w:t>
      </w:r>
      <w:r w:rsidR="00BD651F" w:rsidRPr="00DD5F33">
        <w:rPr>
          <w:rFonts w:ascii="Arial" w:eastAsia="Calibri" w:hAnsi="Arial" w:cs="Arial"/>
          <w:bCs/>
          <w:color w:val="000000"/>
          <w:sz w:val="22"/>
          <w:szCs w:val="22"/>
          <w:lang w:val="es-ES_tradnl" w:eastAsia="en-US"/>
        </w:rPr>
        <w:t xml:space="preserve"> y </w:t>
      </w:r>
      <w:r w:rsidR="00BD651F" w:rsidRPr="00DD5F33">
        <w:rPr>
          <w:rFonts w:ascii="Arial" w:eastAsia="Calibri" w:hAnsi="Arial" w:cs="Arial"/>
          <w:color w:val="000000"/>
          <w:sz w:val="22"/>
          <w:szCs w:val="22"/>
          <w:lang w:eastAsia="en-US"/>
        </w:rPr>
        <w:t>2.2.1.2.4.2.15.</w:t>
      </w:r>
      <w:r w:rsidR="00771EE8" w:rsidRPr="00DD5F33">
        <w:rPr>
          <w:rFonts w:ascii="Arial" w:eastAsia="Calibri" w:hAnsi="Arial" w:cs="Arial"/>
          <w:bCs/>
          <w:color w:val="000000"/>
          <w:sz w:val="22"/>
          <w:szCs w:val="22"/>
          <w:lang w:val="es-ES_tradnl" w:eastAsia="en-US"/>
        </w:rPr>
        <w:t>,</w:t>
      </w:r>
      <w:r w:rsidR="006C698D" w:rsidRPr="00DD5F33">
        <w:rPr>
          <w:rFonts w:ascii="Arial" w:eastAsia="Calibri" w:hAnsi="Arial" w:cs="Arial"/>
          <w:bCs/>
          <w:color w:val="000000"/>
          <w:sz w:val="22"/>
          <w:szCs w:val="22"/>
          <w:lang w:val="es-ES_tradnl" w:eastAsia="en-US"/>
        </w:rPr>
        <w:t xml:space="preserve"> </w:t>
      </w:r>
      <w:r w:rsidR="00C841DE" w:rsidRPr="00DD5F33">
        <w:rPr>
          <w:rFonts w:ascii="Arial" w:eastAsia="Calibri" w:hAnsi="Arial" w:cs="Arial"/>
          <w:bCs/>
          <w:color w:val="000000"/>
          <w:sz w:val="22"/>
          <w:szCs w:val="22"/>
          <w:lang w:val="es-ES_tradnl" w:eastAsia="en-US"/>
        </w:rPr>
        <w:t xml:space="preserve">ii) </w:t>
      </w:r>
      <w:r w:rsidR="000B3D40" w:rsidRPr="00DD5F33">
        <w:rPr>
          <w:rFonts w:ascii="Arial" w:eastAsia="Calibri" w:hAnsi="Arial" w:cs="Arial"/>
          <w:bCs/>
          <w:color w:val="000000"/>
          <w:sz w:val="22"/>
          <w:szCs w:val="22"/>
          <w:lang w:val="es-ES_tradnl" w:eastAsia="en-US"/>
        </w:rPr>
        <w:t xml:space="preserve">que </w:t>
      </w:r>
      <w:r w:rsidR="006C698D" w:rsidRPr="00DD5F33">
        <w:rPr>
          <w:rFonts w:ascii="Arial" w:eastAsia="Calibri" w:hAnsi="Arial" w:cs="Arial"/>
          <w:bCs/>
          <w:color w:val="000000"/>
          <w:sz w:val="22"/>
          <w:szCs w:val="22"/>
          <w:lang w:val="es-ES_tradnl" w:eastAsia="en-US"/>
        </w:rPr>
        <w:t>la</w:t>
      </w:r>
      <w:r w:rsidR="00C841DE" w:rsidRPr="00DD5F33">
        <w:rPr>
          <w:rFonts w:ascii="Arial" w:eastAsia="Calibri" w:hAnsi="Arial" w:cs="Arial"/>
          <w:bCs/>
          <w:color w:val="000000"/>
          <w:sz w:val="22"/>
          <w:szCs w:val="22"/>
          <w:lang w:val="es-ES_tradnl" w:eastAsia="en-US"/>
        </w:rPr>
        <w:t>s entidades estatales deben</w:t>
      </w:r>
      <w:r w:rsidR="006C698D" w:rsidRPr="00DD5F33">
        <w:rPr>
          <w:rFonts w:ascii="Arial" w:eastAsia="Calibri" w:hAnsi="Arial" w:cs="Arial"/>
          <w:bCs/>
          <w:color w:val="000000"/>
          <w:sz w:val="22"/>
          <w:szCs w:val="22"/>
          <w:lang w:val="es-ES_tradnl" w:eastAsia="en-US"/>
        </w:rPr>
        <w:t xml:space="preserve"> </w:t>
      </w:r>
      <w:r w:rsidR="00C841DE" w:rsidRPr="00DD5F33">
        <w:rPr>
          <w:rFonts w:ascii="Arial" w:eastAsia="Calibri" w:hAnsi="Arial" w:cs="Arial"/>
          <w:bCs/>
          <w:color w:val="000000"/>
          <w:sz w:val="22"/>
          <w:szCs w:val="22"/>
          <w:lang w:val="es-ES_tradnl" w:eastAsia="en-US"/>
        </w:rPr>
        <w:t>presumir</w:t>
      </w:r>
      <w:r w:rsidR="006C698D" w:rsidRPr="00DD5F33">
        <w:rPr>
          <w:rFonts w:ascii="Arial" w:eastAsia="Calibri" w:hAnsi="Arial" w:cs="Arial"/>
          <w:bCs/>
          <w:color w:val="000000"/>
          <w:sz w:val="22"/>
          <w:szCs w:val="22"/>
          <w:lang w:val="es-ES_tradnl" w:eastAsia="en-US"/>
        </w:rPr>
        <w:t xml:space="preserve"> </w:t>
      </w:r>
      <w:r w:rsidR="00C841DE" w:rsidRPr="00DD5F33">
        <w:rPr>
          <w:rFonts w:ascii="Arial" w:eastAsia="Calibri" w:hAnsi="Arial" w:cs="Arial"/>
          <w:bCs/>
          <w:color w:val="000000"/>
          <w:sz w:val="22"/>
          <w:szCs w:val="22"/>
          <w:lang w:val="es-ES_tradnl" w:eastAsia="en-US"/>
        </w:rPr>
        <w:t>la</w:t>
      </w:r>
      <w:r w:rsidR="006C698D" w:rsidRPr="00DD5F33">
        <w:rPr>
          <w:rFonts w:ascii="Arial" w:eastAsia="Calibri" w:hAnsi="Arial" w:cs="Arial"/>
          <w:bCs/>
          <w:color w:val="000000"/>
          <w:sz w:val="22"/>
          <w:szCs w:val="22"/>
          <w:lang w:val="es-ES_tradnl" w:eastAsia="en-US"/>
        </w:rPr>
        <w:t xml:space="preserve"> buena fe</w:t>
      </w:r>
      <w:r w:rsidR="00C841DE" w:rsidRPr="00DD5F33">
        <w:rPr>
          <w:rFonts w:ascii="Arial" w:eastAsia="Calibri" w:hAnsi="Arial" w:cs="Arial"/>
          <w:bCs/>
          <w:color w:val="000000"/>
          <w:sz w:val="22"/>
          <w:szCs w:val="22"/>
          <w:lang w:val="es-ES_tradnl" w:eastAsia="en-US"/>
        </w:rPr>
        <w:t>,</w:t>
      </w:r>
      <w:r w:rsidR="0008347C" w:rsidRPr="00DD5F33">
        <w:rPr>
          <w:rFonts w:ascii="Arial" w:eastAsia="Calibri" w:hAnsi="Arial" w:cs="Arial"/>
          <w:bCs/>
          <w:color w:val="000000"/>
          <w:sz w:val="22"/>
          <w:szCs w:val="22"/>
          <w:lang w:val="es-ES_tradnl" w:eastAsia="en-US"/>
        </w:rPr>
        <w:t xml:space="preserve"> </w:t>
      </w:r>
      <w:r w:rsidR="00C841DE" w:rsidRPr="00DD5F33">
        <w:rPr>
          <w:rFonts w:ascii="Arial" w:eastAsia="Calibri" w:hAnsi="Arial" w:cs="Arial"/>
          <w:bCs/>
          <w:color w:val="000000"/>
          <w:sz w:val="22"/>
          <w:szCs w:val="22"/>
          <w:lang w:val="es-ES_tradnl" w:eastAsia="en-US"/>
        </w:rPr>
        <w:t>como lo ordena</w:t>
      </w:r>
      <w:r w:rsidR="006C698D" w:rsidRPr="00DD5F33">
        <w:rPr>
          <w:rFonts w:ascii="Arial" w:eastAsia="Calibri" w:hAnsi="Arial" w:cs="Arial"/>
          <w:bCs/>
          <w:color w:val="000000"/>
          <w:sz w:val="22"/>
          <w:szCs w:val="22"/>
          <w:lang w:val="es-ES_tradnl" w:eastAsia="en-US"/>
        </w:rPr>
        <w:t xml:space="preserve"> el artículo 83 de la Constitución Política</w:t>
      </w:r>
      <w:r w:rsidRPr="00DD5F33">
        <w:rPr>
          <w:rFonts w:ascii="Arial" w:eastAsia="Calibri" w:hAnsi="Arial" w:cs="Arial"/>
          <w:bCs/>
          <w:color w:val="000000"/>
          <w:sz w:val="22"/>
          <w:szCs w:val="22"/>
          <w:lang w:val="es-ES_tradnl" w:eastAsia="en-US"/>
        </w:rPr>
        <w:t>,</w:t>
      </w:r>
      <w:r w:rsidR="00C841DE" w:rsidRPr="00DD5F33">
        <w:rPr>
          <w:rFonts w:ascii="Arial" w:eastAsia="Calibri" w:hAnsi="Arial" w:cs="Arial"/>
          <w:bCs/>
          <w:color w:val="000000"/>
          <w:sz w:val="22"/>
          <w:szCs w:val="22"/>
          <w:lang w:val="es-ES_tradnl" w:eastAsia="en-US"/>
        </w:rPr>
        <w:t xml:space="preserve"> y q</w:t>
      </w:r>
      <w:r w:rsidR="00771EE8" w:rsidRPr="00DD5F33">
        <w:rPr>
          <w:rFonts w:ascii="Arial" w:eastAsia="Calibri" w:hAnsi="Arial" w:cs="Arial"/>
          <w:bCs/>
          <w:color w:val="000000"/>
          <w:sz w:val="22"/>
          <w:szCs w:val="22"/>
          <w:lang w:val="es-ES_tradnl" w:eastAsia="en-US"/>
        </w:rPr>
        <w:t>ue iii) los numerales 1 y 2 del artículo 25 de la Ley 80 de 1993 prohíben implementar trámites o requisitos que las normas</w:t>
      </w:r>
      <w:r w:rsidR="007149EE" w:rsidRPr="00DD5F33">
        <w:rPr>
          <w:rFonts w:ascii="Arial" w:eastAsia="Calibri" w:hAnsi="Arial" w:cs="Arial"/>
          <w:bCs/>
          <w:color w:val="000000"/>
          <w:sz w:val="22"/>
          <w:szCs w:val="22"/>
          <w:lang w:val="es-ES_tradnl" w:eastAsia="en-US"/>
        </w:rPr>
        <w:t xml:space="preserve"> no incluyen, como garantía del principio de economía, </w:t>
      </w:r>
      <w:r w:rsidRPr="00DD5F33">
        <w:rPr>
          <w:rFonts w:ascii="Arial" w:eastAsia="Calibri" w:hAnsi="Arial" w:cs="Arial"/>
          <w:bCs/>
          <w:color w:val="000000"/>
          <w:sz w:val="22"/>
          <w:szCs w:val="22"/>
          <w:lang w:val="es-ES_tradnl" w:eastAsia="en-US"/>
        </w:rPr>
        <w:t>las entidades deben abstenerse de solicitar documentos adicionales</w:t>
      </w:r>
      <w:r w:rsidR="00DD0FC1" w:rsidRPr="00DD5F33">
        <w:rPr>
          <w:rFonts w:ascii="Arial" w:eastAsia="Calibri" w:hAnsi="Arial" w:cs="Arial"/>
          <w:bCs/>
          <w:color w:val="000000"/>
          <w:sz w:val="22"/>
          <w:szCs w:val="22"/>
          <w:lang w:val="es-ES_tradnl" w:eastAsia="en-US"/>
        </w:rPr>
        <w:t xml:space="preserve"> a los señalados en el artículo 2.2.1.2.4.2.14.</w:t>
      </w:r>
      <w:r w:rsidR="00876F10" w:rsidRPr="00DD5F33">
        <w:rPr>
          <w:rFonts w:ascii="Arial" w:eastAsia="Calibri" w:hAnsi="Arial" w:cs="Arial"/>
          <w:bCs/>
          <w:color w:val="000000"/>
          <w:sz w:val="22"/>
          <w:szCs w:val="22"/>
          <w:lang w:val="es-ES_tradnl" w:eastAsia="en-US"/>
        </w:rPr>
        <w:t xml:space="preserve"> Lo anterior se indica, </w:t>
      </w:r>
      <w:r w:rsidR="00DD0FC1" w:rsidRPr="00DD5F33">
        <w:rPr>
          <w:rFonts w:ascii="Arial" w:eastAsia="Calibri" w:hAnsi="Arial" w:cs="Arial"/>
          <w:bCs/>
          <w:color w:val="000000"/>
          <w:sz w:val="22"/>
          <w:szCs w:val="22"/>
          <w:lang w:val="es-ES_tradnl" w:eastAsia="en-US"/>
        </w:rPr>
        <w:t xml:space="preserve">sin perjuicio del deber de </w:t>
      </w:r>
      <w:r w:rsidR="00876F10" w:rsidRPr="00DD5F33">
        <w:rPr>
          <w:rFonts w:ascii="Arial" w:eastAsia="Calibri" w:hAnsi="Arial" w:cs="Arial"/>
          <w:bCs/>
          <w:color w:val="000000"/>
          <w:sz w:val="22"/>
          <w:szCs w:val="22"/>
          <w:lang w:val="es-ES_tradnl" w:eastAsia="en-US"/>
        </w:rPr>
        <w:t xml:space="preserve">verificación, ante las inconsistencias </w:t>
      </w:r>
      <w:r w:rsidR="00992FC9" w:rsidRPr="00DD5F33">
        <w:rPr>
          <w:rFonts w:ascii="Arial" w:eastAsia="Calibri" w:hAnsi="Arial" w:cs="Arial"/>
          <w:bCs/>
          <w:color w:val="000000"/>
          <w:sz w:val="22"/>
          <w:szCs w:val="22"/>
          <w:lang w:val="es-ES_tradnl" w:eastAsia="en-US"/>
        </w:rPr>
        <w:t>evidenciadas,</w:t>
      </w:r>
      <w:r w:rsidR="00DD0FC1" w:rsidRPr="00DD5F33">
        <w:rPr>
          <w:rFonts w:ascii="Arial" w:eastAsia="Calibri" w:hAnsi="Arial" w:cs="Arial"/>
          <w:bCs/>
          <w:color w:val="000000"/>
          <w:sz w:val="22"/>
          <w:szCs w:val="22"/>
          <w:lang w:val="es-ES_tradnl" w:eastAsia="en-US"/>
        </w:rPr>
        <w:t xml:space="preserve"> o</w:t>
      </w:r>
      <w:r w:rsidR="00876F10" w:rsidRPr="00DD5F33">
        <w:rPr>
          <w:rFonts w:ascii="Arial" w:eastAsia="Calibri" w:hAnsi="Arial" w:cs="Arial"/>
          <w:bCs/>
          <w:color w:val="000000"/>
          <w:sz w:val="22"/>
          <w:szCs w:val="22"/>
          <w:lang w:val="es-ES_tradnl" w:eastAsia="en-US"/>
        </w:rPr>
        <w:t xml:space="preserve"> de </w:t>
      </w:r>
      <w:r w:rsidR="00DD0FC1" w:rsidRPr="00DD5F33">
        <w:rPr>
          <w:rFonts w:ascii="Arial" w:eastAsia="Calibri" w:hAnsi="Arial" w:cs="Arial"/>
          <w:bCs/>
          <w:color w:val="000000"/>
          <w:sz w:val="22"/>
          <w:szCs w:val="22"/>
          <w:lang w:val="es-ES_tradnl" w:eastAsia="en-US"/>
        </w:rPr>
        <w:t xml:space="preserve">denuncia de la </w:t>
      </w:r>
      <w:r w:rsidR="00992FC9" w:rsidRPr="00DD5F33">
        <w:rPr>
          <w:rFonts w:ascii="Arial" w:eastAsia="Calibri" w:hAnsi="Arial" w:cs="Arial"/>
          <w:bCs/>
          <w:color w:val="000000"/>
          <w:sz w:val="22"/>
          <w:szCs w:val="22"/>
          <w:lang w:val="es-ES_tradnl" w:eastAsia="en-US"/>
        </w:rPr>
        <w:t xml:space="preserve">posible </w:t>
      </w:r>
      <w:r w:rsidR="00DD0FC1" w:rsidRPr="00DD5F33">
        <w:rPr>
          <w:rFonts w:ascii="Arial" w:eastAsia="Calibri" w:hAnsi="Arial" w:cs="Arial"/>
          <w:bCs/>
          <w:color w:val="000000"/>
          <w:sz w:val="22"/>
          <w:szCs w:val="22"/>
          <w:lang w:val="es-ES_tradnl" w:eastAsia="en-US"/>
        </w:rPr>
        <w:t>falsedad de los documentos</w:t>
      </w:r>
      <w:r w:rsidR="0015358C" w:rsidRPr="00DD5F33">
        <w:rPr>
          <w:rFonts w:ascii="Arial" w:eastAsia="Calibri" w:hAnsi="Arial" w:cs="Arial"/>
          <w:bCs/>
          <w:color w:val="000000"/>
          <w:sz w:val="22"/>
          <w:szCs w:val="22"/>
          <w:lang w:val="es-ES_tradnl" w:eastAsia="en-US"/>
        </w:rPr>
        <w:t xml:space="preserve"> advertida </w:t>
      </w:r>
      <w:r w:rsidR="00DD0FC1" w:rsidRPr="00DD5F33">
        <w:rPr>
          <w:rFonts w:ascii="Arial" w:eastAsia="Calibri" w:hAnsi="Arial" w:cs="Arial"/>
          <w:bCs/>
          <w:color w:val="000000"/>
          <w:sz w:val="22"/>
          <w:szCs w:val="22"/>
          <w:lang w:val="es-ES_tradnl" w:eastAsia="en-US"/>
        </w:rPr>
        <w:t>durante el procedimiento contractual.</w:t>
      </w:r>
    </w:p>
    <w:p w14:paraId="346D0173" w14:textId="4C52FB80" w:rsidR="00A952CC" w:rsidRPr="00DD5F33" w:rsidRDefault="00A952CC" w:rsidP="00DD0FC1">
      <w:pPr>
        <w:spacing w:before="120" w:line="276" w:lineRule="auto"/>
        <w:ind w:firstLine="709"/>
        <w:jc w:val="both"/>
        <w:rPr>
          <w:rFonts w:ascii="Arial" w:eastAsia="Calibri" w:hAnsi="Arial" w:cs="Arial"/>
          <w:bCs/>
          <w:color w:val="000000"/>
          <w:sz w:val="22"/>
          <w:szCs w:val="22"/>
          <w:lang w:val="es-ES" w:eastAsia="en-US"/>
        </w:rPr>
      </w:pPr>
      <w:r w:rsidRPr="00DD5F33">
        <w:rPr>
          <w:rFonts w:ascii="Arial" w:eastAsia="Calibri" w:hAnsi="Arial" w:cs="Arial"/>
          <w:bCs/>
          <w:color w:val="000000"/>
          <w:sz w:val="22"/>
          <w:szCs w:val="22"/>
          <w:lang w:val="es-ES_tradnl" w:eastAsia="en-US"/>
        </w:rPr>
        <w:t xml:space="preserve">Finalmente, la Agencia no </w:t>
      </w:r>
      <w:r w:rsidR="00B44731" w:rsidRPr="00DD5F33">
        <w:rPr>
          <w:rFonts w:ascii="Arial" w:eastAsia="Calibri" w:hAnsi="Arial" w:cs="Arial"/>
          <w:bCs/>
          <w:color w:val="000000"/>
          <w:sz w:val="22"/>
          <w:szCs w:val="22"/>
          <w:lang w:val="es-ES_tradnl" w:eastAsia="en-US"/>
        </w:rPr>
        <w:t>considera que entender como empresa o emprendimiento de mujer a la persona natural que «sea una mujer y haya ejercido actividades comerciales a través de un establecimiento de comercio durante al menos el último año anterior a la fecha de cierre del proceso de selección»</w:t>
      </w:r>
      <w:r w:rsidR="00C63491" w:rsidRPr="00DD5F33">
        <w:rPr>
          <w:rFonts w:ascii="Arial" w:eastAsia="Calibri" w:hAnsi="Arial" w:cs="Arial"/>
          <w:bCs/>
          <w:color w:val="000000"/>
          <w:sz w:val="22"/>
          <w:szCs w:val="22"/>
          <w:lang w:val="es-ES_tradnl" w:eastAsia="en-US"/>
        </w:rPr>
        <w:t xml:space="preserve"> –según lo prevé el numeral 3 del </w:t>
      </w:r>
      <w:r w:rsidR="0030333C" w:rsidRPr="00DD5F33">
        <w:rPr>
          <w:rFonts w:ascii="Arial" w:eastAsia="Calibri" w:hAnsi="Arial" w:cs="Arial"/>
          <w:bCs/>
          <w:color w:val="000000"/>
          <w:sz w:val="22"/>
          <w:szCs w:val="22"/>
          <w:lang w:val="es-ES_tradnl" w:eastAsia="en-US"/>
        </w:rPr>
        <w:t>artículo 2.2.1.2.4.2.14.–</w:t>
      </w:r>
      <w:r w:rsidRPr="00DD5F33">
        <w:rPr>
          <w:rFonts w:ascii="Arial" w:eastAsia="Calibri" w:hAnsi="Arial" w:cs="Arial"/>
          <w:bCs/>
          <w:color w:val="000000"/>
          <w:sz w:val="22"/>
          <w:szCs w:val="22"/>
          <w:lang w:val="es-ES_tradnl" w:eastAsia="en-US"/>
        </w:rPr>
        <w:t xml:space="preserve"> </w:t>
      </w:r>
      <w:r w:rsidR="009737C7" w:rsidRPr="00DD5F33">
        <w:rPr>
          <w:rFonts w:ascii="Arial" w:eastAsia="Calibri" w:hAnsi="Arial" w:cs="Arial"/>
          <w:bCs/>
          <w:color w:val="000000"/>
          <w:sz w:val="22"/>
          <w:szCs w:val="22"/>
          <w:lang w:val="es-ES_tradnl" w:eastAsia="en-US"/>
        </w:rPr>
        <w:t xml:space="preserve">sea una ventaja injustificada. Por el contrario, esta condición desarrolla </w:t>
      </w:r>
      <w:r w:rsidR="005C0627" w:rsidRPr="00DD5F33">
        <w:rPr>
          <w:rFonts w:ascii="Arial" w:eastAsia="Calibri" w:hAnsi="Arial" w:cs="Arial"/>
          <w:bCs/>
          <w:color w:val="000000"/>
          <w:sz w:val="22"/>
          <w:szCs w:val="22"/>
          <w:lang w:val="es-ES_tradnl" w:eastAsia="en-US"/>
        </w:rPr>
        <w:t xml:space="preserve">el artículo 32 de la Ley 2069 de 2020. Además, el Gobierno Nacional goza de libertad de configuración reglamentaria en la materia, pues el parágrafo 1 del referido artículo </w:t>
      </w:r>
      <w:r w:rsidR="00777897" w:rsidRPr="00DD5F33">
        <w:rPr>
          <w:rFonts w:ascii="Arial" w:eastAsia="Calibri" w:hAnsi="Arial" w:cs="Arial"/>
          <w:bCs/>
          <w:color w:val="000000"/>
          <w:sz w:val="22"/>
          <w:szCs w:val="22"/>
          <w:lang w:val="es-ES_tradnl" w:eastAsia="en-US"/>
        </w:rPr>
        <w:t xml:space="preserve">establece que «La definición de emprendimientos y empresas de mujeres se reglamentará por el gobierno nacional». Sería, en cambio, discriminatorio, entender que una mujer </w:t>
      </w:r>
      <w:r w:rsidR="00601F72" w:rsidRPr="00DD5F33">
        <w:rPr>
          <w:rFonts w:ascii="Arial" w:eastAsia="Calibri" w:hAnsi="Arial" w:cs="Arial"/>
          <w:bCs/>
          <w:color w:val="000000"/>
          <w:sz w:val="22"/>
          <w:szCs w:val="22"/>
          <w:lang w:val="es-ES_tradnl" w:eastAsia="en-US"/>
        </w:rPr>
        <w:t>–</w:t>
      </w:r>
      <w:r w:rsidR="00777897" w:rsidRPr="00DD5F33">
        <w:rPr>
          <w:rFonts w:ascii="Arial" w:eastAsia="Calibri" w:hAnsi="Arial" w:cs="Arial"/>
          <w:bCs/>
          <w:color w:val="000000"/>
          <w:sz w:val="22"/>
          <w:szCs w:val="22"/>
          <w:lang w:val="es-ES_tradnl" w:eastAsia="en-US"/>
        </w:rPr>
        <w:t>persona natural</w:t>
      </w:r>
      <w:r w:rsidR="00601F72" w:rsidRPr="00DD5F33">
        <w:rPr>
          <w:rFonts w:ascii="Arial" w:eastAsia="Calibri" w:hAnsi="Arial" w:cs="Arial"/>
          <w:bCs/>
          <w:color w:val="000000"/>
          <w:sz w:val="22"/>
          <w:szCs w:val="22"/>
          <w:lang w:val="es-ES_tradnl" w:eastAsia="en-US"/>
        </w:rPr>
        <w:t>–</w:t>
      </w:r>
      <w:r w:rsidR="00777897" w:rsidRPr="00DD5F33">
        <w:rPr>
          <w:rFonts w:ascii="Arial" w:eastAsia="Calibri" w:hAnsi="Arial" w:cs="Arial"/>
          <w:bCs/>
          <w:color w:val="000000"/>
          <w:sz w:val="22"/>
          <w:szCs w:val="22"/>
          <w:lang w:val="es-ES_tradnl" w:eastAsia="en-US"/>
        </w:rPr>
        <w:t xml:space="preserve"> no puede considerarse empresa </w:t>
      </w:r>
      <w:r w:rsidR="005F20D8" w:rsidRPr="00DD5F33">
        <w:rPr>
          <w:rFonts w:ascii="Arial" w:eastAsia="Calibri" w:hAnsi="Arial" w:cs="Arial"/>
          <w:bCs/>
          <w:color w:val="000000"/>
          <w:sz w:val="22"/>
          <w:szCs w:val="22"/>
          <w:lang w:val="es-ES_tradnl" w:eastAsia="en-US"/>
        </w:rPr>
        <w:t xml:space="preserve">o emprendimiento de mujer, </w:t>
      </w:r>
      <w:r w:rsidR="00601F72" w:rsidRPr="00DD5F33">
        <w:rPr>
          <w:rFonts w:ascii="Arial" w:eastAsia="Calibri" w:hAnsi="Arial" w:cs="Arial"/>
          <w:bCs/>
          <w:color w:val="000000"/>
          <w:sz w:val="22"/>
          <w:szCs w:val="22"/>
          <w:lang w:val="es-ES_tradnl" w:eastAsia="en-US"/>
        </w:rPr>
        <w:t>cuando realiza</w:t>
      </w:r>
      <w:r w:rsidR="005E3E52" w:rsidRPr="00DD5F33">
        <w:rPr>
          <w:rFonts w:ascii="Arial" w:eastAsia="Calibri" w:hAnsi="Arial" w:cs="Arial"/>
          <w:bCs/>
          <w:color w:val="000000"/>
          <w:sz w:val="22"/>
          <w:szCs w:val="22"/>
          <w:lang w:val="es-ES_tradnl" w:eastAsia="en-US"/>
        </w:rPr>
        <w:t xml:space="preserve"> actividades mercantiles a través de </w:t>
      </w:r>
      <w:r w:rsidR="005F20D8" w:rsidRPr="00DD5F33">
        <w:rPr>
          <w:rFonts w:ascii="Arial" w:eastAsia="Calibri" w:hAnsi="Arial" w:cs="Arial"/>
          <w:bCs/>
          <w:color w:val="000000"/>
          <w:sz w:val="22"/>
          <w:szCs w:val="22"/>
          <w:lang w:val="es-ES_tradnl" w:eastAsia="en-US"/>
        </w:rPr>
        <w:t>un establecimiento de comercio</w:t>
      </w:r>
      <w:r w:rsidR="00601F72" w:rsidRPr="00DD5F33">
        <w:rPr>
          <w:rFonts w:ascii="Arial" w:eastAsia="Calibri" w:hAnsi="Arial" w:cs="Arial"/>
          <w:bCs/>
          <w:color w:val="000000"/>
          <w:sz w:val="22"/>
          <w:szCs w:val="22"/>
          <w:lang w:val="es-ES_tradnl" w:eastAsia="en-US"/>
        </w:rPr>
        <w:t>, a pesar de no tener una persona jurídica conformada.</w:t>
      </w:r>
    </w:p>
    <w:p w14:paraId="5C568E52" w14:textId="77777777" w:rsidR="009050AC" w:rsidRPr="00DD5F33" w:rsidRDefault="009050AC" w:rsidP="00B02A68">
      <w:pPr>
        <w:ind w:left="709" w:right="709"/>
        <w:jc w:val="both"/>
        <w:rPr>
          <w:rFonts w:ascii="Arial" w:hAnsi="Arial" w:cs="Arial"/>
          <w:color w:val="000000" w:themeColor="text1"/>
          <w:sz w:val="21"/>
          <w:szCs w:val="21"/>
        </w:rPr>
      </w:pPr>
    </w:p>
    <w:p w14:paraId="03F565C6" w14:textId="7359522E" w:rsidR="00B02A68" w:rsidRPr="00DD5F33" w:rsidRDefault="00BE0A2B"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4. Respecto del criterio de desempate “2. Preferir la propuesta de la mujer cabeza de familia” ¿Quién será el adjudicatario si dos o más empresas logran acreditar este requisito? ¿se elegirá a la empresa que más mujeres cabeza de familia o víctimas de violencia intrafamiliar logre acreditar frente a las demás?</w:t>
      </w:r>
      <w:r w:rsidRPr="00DD5F33">
        <w:rPr>
          <w:rFonts w:ascii="Arial" w:hAnsi="Arial" w:cs="Arial"/>
          <w:color w:val="000000" w:themeColor="text1"/>
          <w:sz w:val="21"/>
          <w:szCs w:val="21"/>
          <w:lang w:val="es-ES_tradnl"/>
        </w:rPr>
        <w:t>»</w:t>
      </w:r>
    </w:p>
    <w:p w14:paraId="4A6B5BDE" w14:textId="77777777" w:rsidR="00D26F0B" w:rsidRPr="00DD5F33" w:rsidRDefault="00D26F0B" w:rsidP="00D26F0B">
      <w:pPr>
        <w:spacing w:line="276" w:lineRule="auto"/>
        <w:jc w:val="both"/>
        <w:rPr>
          <w:rFonts w:ascii="Arial" w:eastAsia="Calibri" w:hAnsi="Arial" w:cs="Arial"/>
          <w:bCs/>
          <w:color w:val="000000"/>
          <w:sz w:val="22"/>
          <w:szCs w:val="22"/>
          <w:lang w:val="es-ES_tradnl" w:eastAsia="en-US"/>
        </w:rPr>
      </w:pPr>
    </w:p>
    <w:p w14:paraId="280521F9" w14:textId="60E8B240" w:rsidR="00D26F0B" w:rsidRPr="00DD5F33" w:rsidRDefault="00D26F0B" w:rsidP="00D26F0B">
      <w:pPr>
        <w:spacing w:line="276" w:lineRule="auto"/>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 xml:space="preserve">El artículo 35 de la Ley 2069 de 2020 establece que los factores de desempate </w:t>
      </w:r>
      <w:r w:rsidR="00D94382" w:rsidRPr="00DD5F33">
        <w:rPr>
          <w:rFonts w:ascii="Arial" w:eastAsia="Calibri" w:hAnsi="Arial" w:cs="Arial"/>
          <w:bCs/>
          <w:color w:val="000000"/>
          <w:sz w:val="22"/>
          <w:szCs w:val="22"/>
          <w:lang w:val="es-ES_tradnl" w:eastAsia="en-US"/>
        </w:rPr>
        <w:t>que consagra</w:t>
      </w:r>
      <w:r w:rsidR="003A1244" w:rsidRPr="00DD5F33">
        <w:rPr>
          <w:rFonts w:ascii="Arial" w:eastAsia="Calibri" w:hAnsi="Arial" w:cs="Arial"/>
          <w:bCs/>
          <w:color w:val="000000"/>
          <w:sz w:val="22"/>
          <w:szCs w:val="22"/>
          <w:lang w:val="es-ES_tradnl" w:eastAsia="en-US"/>
        </w:rPr>
        <w:t xml:space="preserve"> deberán utilizarse «de forma sucesiva y excluyente para seleccionar al oferente favorecido, respetando en todo caso los compromisos internacionales vigentes».</w:t>
      </w:r>
      <w:r w:rsidR="00DA4351" w:rsidRPr="00DD5F33">
        <w:rPr>
          <w:rFonts w:ascii="Arial" w:eastAsia="Calibri" w:hAnsi="Arial" w:cs="Arial"/>
          <w:bCs/>
          <w:color w:val="000000"/>
          <w:sz w:val="22"/>
          <w:szCs w:val="22"/>
          <w:lang w:val="es-ES_tradnl" w:eastAsia="en-US"/>
        </w:rPr>
        <w:t xml:space="preserve"> El carácter sucesivo y excluyente que</w:t>
      </w:r>
      <w:r w:rsidR="00E85743" w:rsidRPr="00DD5F33">
        <w:rPr>
          <w:rFonts w:ascii="Arial" w:eastAsia="Calibri" w:hAnsi="Arial" w:cs="Arial"/>
          <w:bCs/>
          <w:color w:val="000000"/>
          <w:sz w:val="22"/>
          <w:szCs w:val="22"/>
          <w:lang w:val="es-ES_tradnl" w:eastAsia="en-US"/>
        </w:rPr>
        <w:t xml:space="preserve"> debe regir la aplicación de los factores de desempate también se encuentra previsto en el primer inciso del artículo </w:t>
      </w:r>
      <w:r w:rsidR="00AB13D2" w:rsidRPr="00DD5F33">
        <w:rPr>
          <w:rFonts w:ascii="Arial" w:eastAsia="Calibri" w:hAnsi="Arial" w:cs="Arial"/>
          <w:bCs/>
          <w:color w:val="000000"/>
          <w:sz w:val="22"/>
          <w:szCs w:val="22"/>
          <w:lang w:val="es-ES_tradnl" w:eastAsia="en-US"/>
        </w:rPr>
        <w:t xml:space="preserve">2.2.1.2.4.2.17. del Decreto 1082 de 2015, </w:t>
      </w:r>
      <w:r w:rsidR="00981036" w:rsidRPr="00DD5F33">
        <w:rPr>
          <w:rFonts w:ascii="Arial" w:eastAsia="Calibri" w:hAnsi="Arial" w:cs="Arial"/>
          <w:bCs/>
          <w:color w:val="000000"/>
          <w:sz w:val="22"/>
          <w:szCs w:val="22"/>
          <w:lang w:val="es-ES_tradnl" w:eastAsia="en-US"/>
        </w:rPr>
        <w:t xml:space="preserve">adicionado por el artículo 3 del Decreto 1860 de 2021. Por tanto, para resolver qué sucede si en dos proponentes concurre el mismo factor de desempate, debe </w:t>
      </w:r>
      <w:r w:rsidR="00F94011" w:rsidRPr="00DD5F33">
        <w:rPr>
          <w:rFonts w:ascii="Arial" w:eastAsia="Calibri" w:hAnsi="Arial" w:cs="Arial"/>
          <w:bCs/>
          <w:color w:val="000000"/>
          <w:sz w:val="22"/>
          <w:szCs w:val="22"/>
          <w:lang w:val="es-ES_tradnl" w:eastAsia="en-US"/>
        </w:rPr>
        <w:t>aclararse el alcance de la expresión «de forma sucesiva y excluyente». El</w:t>
      </w:r>
      <w:r w:rsidR="00F61F64" w:rsidRPr="00DD5F33">
        <w:rPr>
          <w:rFonts w:ascii="Arial" w:eastAsia="Calibri" w:hAnsi="Arial" w:cs="Arial"/>
          <w:bCs/>
          <w:color w:val="000000"/>
          <w:sz w:val="22"/>
          <w:szCs w:val="22"/>
          <w:lang w:val="es-ES_tradnl" w:eastAsia="en-US"/>
        </w:rPr>
        <w:t xml:space="preserve"> Consejo de Estado se pronunció sobre este tema</w:t>
      </w:r>
      <w:r w:rsidR="000E62AF" w:rsidRPr="00DD5F33">
        <w:rPr>
          <w:rFonts w:ascii="Arial" w:eastAsia="Calibri" w:hAnsi="Arial" w:cs="Arial"/>
          <w:bCs/>
          <w:color w:val="000000"/>
          <w:sz w:val="22"/>
          <w:szCs w:val="22"/>
          <w:lang w:val="es-ES_tradnl" w:eastAsia="en-US"/>
        </w:rPr>
        <w:t xml:space="preserve"> en la Sentencia del 23 de mayo de 2012, que, si bien se expidió en vigencia de otra normativa, puede considerarse como precedente judicial, porque el supuesto jurídico es similar. En efecto, según el alto tribunal:</w:t>
      </w:r>
    </w:p>
    <w:p w14:paraId="65A4875D" w14:textId="73E9EE52" w:rsidR="00DA4351" w:rsidRPr="00DD5F33" w:rsidRDefault="00DA4351" w:rsidP="00D26F0B">
      <w:pPr>
        <w:spacing w:line="276" w:lineRule="auto"/>
        <w:jc w:val="both"/>
        <w:rPr>
          <w:rFonts w:ascii="Arial" w:eastAsia="Calibri" w:hAnsi="Arial" w:cs="Arial"/>
          <w:bCs/>
          <w:color w:val="000000" w:themeColor="text1"/>
          <w:sz w:val="22"/>
          <w:szCs w:val="22"/>
          <w:lang w:val="es-ES_tradnl" w:eastAsia="en-US"/>
        </w:rPr>
      </w:pPr>
    </w:p>
    <w:p w14:paraId="49CFF0F2" w14:textId="64FEE869" w:rsidR="00DA4351" w:rsidRPr="00DD5F33" w:rsidRDefault="000E62AF"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r w:rsidRPr="00DD5F33">
        <w:rPr>
          <w:rFonts w:ascii="Arial" w:hAnsi="Arial" w:cs="Arial"/>
          <w:color w:val="000000" w:themeColor="text1"/>
          <w:sz w:val="21"/>
          <w:szCs w:val="21"/>
          <w:shd w:val="clear" w:color="auto" w:fill="FFFFFF"/>
        </w:rPr>
        <w:t>[…]</w:t>
      </w:r>
      <w:r w:rsidR="00DA4351" w:rsidRPr="00DD5F33">
        <w:rPr>
          <w:rFonts w:ascii="Arial" w:hAnsi="Arial" w:cs="Arial"/>
          <w:color w:val="000000" w:themeColor="text1"/>
          <w:sz w:val="21"/>
          <w:szCs w:val="21"/>
          <w:shd w:val="clear" w:color="auto" w:fill="FFFFFF"/>
        </w:rPr>
        <w:t>, a diferencia de lo sugerido por el actor, para determinar si la disposición contenida en el numeral 3º del artículo 2 del Decreto 2473 de 2010 es contraria al derecho a la igualdad es necesario entrar en el estudio de toda la disposición, pues detenerse sólo en el aparte demandado</w:t>
      </w:r>
      <w:r w:rsidR="00BA4DD0" w:rsidRPr="00DD5F33">
        <w:rPr>
          <w:rFonts w:ascii="Arial" w:hAnsi="Arial" w:cs="Arial"/>
          <w:color w:val="000000" w:themeColor="text1"/>
          <w:sz w:val="21"/>
          <w:szCs w:val="21"/>
          <w:shd w:val="clear" w:color="auto" w:fill="FFFFFF"/>
        </w:rPr>
        <w:t xml:space="preserve"> </w:t>
      </w:r>
      <w:r w:rsidR="00DA4351" w:rsidRPr="00DD5F33">
        <w:rPr>
          <w:rFonts w:ascii="Arial" w:hAnsi="Arial" w:cs="Arial"/>
          <w:color w:val="000000" w:themeColor="text1"/>
          <w:sz w:val="21"/>
          <w:szCs w:val="21"/>
          <w:shd w:val="clear" w:color="auto" w:fill="FFFFFF"/>
        </w:rPr>
        <w:t>conduciría a una lectura descontextualizada de la norma reglamentaria, máxime cuando de lo que se ocupa es de delimitar factores o criterios de desempate. El precepto en cuestión señala:</w:t>
      </w:r>
    </w:p>
    <w:p w14:paraId="1474FDC2" w14:textId="77777777" w:rsidR="000E62AF" w:rsidRPr="00DD5F33" w:rsidRDefault="000E62AF"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495B5672" w14:textId="2226E8A0" w:rsidR="00DA4351" w:rsidRPr="00DD5F33" w:rsidRDefault="00DA4351"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color w:val="000000" w:themeColor="text1"/>
          <w:sz w:val="21"/>
          <w:szCs w:val="21"/>
          <w:shd w:val="clear" w:color="auto" w:fill="FFFFFF"/>
        </w:rPr>
        <w:t>"</w:t>
      </w:r>
      <w:r w:rsidRPr="00DD5F33">
        <w:rPr>
          <w:rFonts w:ascii="Arial" w:hAnsi="Arial" w:cs="Arial"/>
          <w:b/>
          <w:bCs/>
          <w:i/>
          <w:iCs/>
          <w:color w:val="000000" w:themeColor="text1"/>
          <w:sz w:val="21"/>
          <w:szCs w:val="21"/>
          <w:shd w:val="clear" w:color="auto" w:fill="FFFFFF"/>
        </w:rPr>
        <w:t>FACTORES DE DESEMPATE.</w:t>
      </w:r>
      <w:r w:rsidRPr="00DD5F33">
        <w:rPr>
          <w:rFonts w:ascii="Arial" w:hAnsi="Arial" w:cs="Arial"/>
          <w:i/>
          <w:iCs/>
          <w:color w:val="000000" w:themeColor="text1"/>
          <w:sz w:val="21"/>
          <w:szCs w:val="21"/>
          <w:shd w:val="clear" w:color="auto" w:fill="FFFFFF"/>
        </w:rPr>
        <w:t> Salvo lo previsto para la adquisición de bienes y servicios de características técnicas uniformes y de común utilización en el Decreto 2474 de 2008, o de las normas que lo modifiquen, subroguen o deroguen, y de conformidad con el artículo 21 de la Ley 80 de 1993, el artículo 12 de la Ley 590 de 2000 modificado por el artículo 9 de la Ley 905 de 2004, los artículos 1 y 2 de la Ley 816 de 2003 y el artículo 5 de la Ley 1150 de 2007, en los pliegos de condiciones las Entidades Estatales sometidas al Estatuto General de Contratación de la Administración Pública determinarán los criterios de desempate de conformidad con las siguientes reglas sucesivas y excluyentes:</w:t>
      </w:r>
    </w:p>
    <w:p w14:paraId="49B70BDB" w14:textId="77777777" w:rsidR="00BA4DD0" w:rsidRPr="00DD5F33" w:rsidRDefault="00BA4DD0"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501027C8" w14:textId="77777777" w:rsidR="00DA4351" w:rsidRPr="00DD5F33" w:rsidRDefault="00DA4351" w:rsidP="000E62AF">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w:t>
      </w:r>
      <w:r w:rsidRPr="00DD5F33">
        <w:rPr>
          <w:rFonts w:ascii="Arial" w:hAnsi="Arial" w:cs="Arial"/>
          <w:i/>
          <w:iCs/>
          <w:color w:val="000000" w:themeColor="text1"/>
          <w:sz w:val="21"/>
          <w:szCs w:val="21"/>
        </w:rPr>
        <w:t>1. En caso de que se presente igualdad en el puntaje total de las ofertas evaluadas, se aplicarán los criterios de desempate previstos en los pliegos de condiciones, mediante la priorización de los factores de escogencia y calificación que hayan sido utilizados en el proceso de selección, de conformidad con el artículo 5 de la Ley 1150 de 2007. Si después de aplicar esta regla persiste el empate, se entenderá que las ofertas se encuentran en igualdad de condiciones.</w:t>
      </w:r>
    </w:p>
    <w:p w14:paraId="16D311BB" w14:textId="0E4EA036" w:rsidR="00DA4351" w:rsidRPr="00DD5F33" w:rsidRDefault="00DA4351"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"2. En caso de igualdad de condiciones, se preferirá la oferta de bienes o servicios nacionales frente a la oferta de bienes o servicios extranjeros.</w:t>
      </w:r>
    </w:p>
    <w:p w14:paraId="7964EE50" w14:textId="77777777" w:rsidR="00BA4DD0" w:rsidRPr="00DD5F33" w:rsidRDefault="00BA4DD0"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3A5BDFE4" w14:textId="301763D5" w:rsidR="00DA4351" w:rsidRPr="00DD5F33" w:rsidRDefault="00DA4351"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lastRenderedPageBreak/>
        <w:t>"3. Si se presenta empate o éste persiste y entre los empatados se encuentren Mipymes, se preferirá a la Mipyme nacional, sea proponente singular, o consorcio, unión temporal o promesa de sociedad futura, conformada únicamente por Mipymes nacionales.</w:t>
      </w:r>
    </w:p>
    <w:p w14:paraId="0C5DA418" w14:textId="77777777" w:rsidR="00BA4DD0" w:rsidRPr="00DD5F33" w:rsidRDefault="00BA4DD0"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71A90711" w14:textId="7F6CEBA8" w:rsidR="00DA4351" w:rsidRPr="00DD5F33" w:rsidRDefault="00DA4351"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"4. Si no hay lugar a la hipótesis prevista en el numeral anterior y entre los empatados se encuentran consorcios, uniones temporales o promesas de sociedad futura en los que tenga participación al menos una Mipyme, éste se preferirá.</w:t>
      </w:r>
    </w:p>
    <w:p w14:paraId="10997C0D" w14:textId="77777777" w:rsidR="00BA4DD0" w:rsidRPr="00DD5F33" w:rsidRDefault="00BA4DD0"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7C80FDD3" w14:textId="6B38C77A" w:rsidR="00DA4351" w:rsidRPr="00DD5F33" w:rsidRDefault="00DA4351"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r w:rsidRPr="00DD5F33">
        <w:rPr>
          <w:rFonts w:ascii="Arial" w:hAnsi="Arial" w:cs="Arial"/>
          <w:i/>
          <w:iCs/>
          <w:color w:val="000000" w:themeColor="text1"/>
          <w:sz w:val="21"/>
          <w:szCs w:val="21"/>
          <w:shd w:val="clear" w:color="auto" w:fill="FFFFFF"/>
        </w:rPr>
        <w:t>"5. Si el empate se mantiene, se procederá como dispongan los pliegos, pudiendo utilizar métodos aleatorios"</w:t>
      </w:r>
    </w:p>
    <w:p w14:paraId="7C497B78" w14:textId="77777777" w:rsidR="00BA4DD0" w:rsidRPr="00DD5F33" w:rsidRDefault="00BA4DD0" w:rsidP="000E62AF">
      <w:pPr>
        <w:pStyle w:val="NormalWeb"/>
        <w:spacing w:before="0" w:beforeAutospacing="0" w:after="0" w:afterAutospacing="0"/>
        <w:ind w:left="709" w:right="709"/>
        <w:jc w:val="both"/>
        <w:rPr>
          <w:rFonts w:ascii="Arial" w:hAnsi="Arial" w:cs="Arial"/>
          <w:i/>
          <w:iCs/>
          <w:color w:val="000000" w:themeColor="text1"/>
          <w:sz w:val="21"/>
          <w:szCs w:val="21"/>
          <w:shd w:val="clear" w:color="auto" w:fill="FFFFFF"/>
        </w:rPr>
      </w:pPr>
    </w:p>
    <w:p w14:paraId="7B968228" w14:textId="2A129704" w:rsidR="00DA4351" w:rsidRPr="00DD5F33" w:rsidRDefault="00DA4351" w:rsidP="000E62AF">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La disposición acusada contiene un criterio de desempate, lo cual conlleva indefectiblemente a que dos o más individuos se encuentran dentro del proceso selectivo exactamente en el mismo supuesto fáctico exigido por la ley; circunstancia que viabiliza la determinación de criterios para establecer a quién corresponde el derecho reconocido. Por tanto, la posibilidad de que sea el reglamento el que fije una solución, se encuentra supeditada a la necesidad de no cambiar lo dispuesto por el legislador; en el caso que nos ocupa, se puede generar duda respecto a quién corresponde la adjudicación de un contrato si dos o más propuestas obtienen el mismo puntaje. Por esta razón, el inciso primero del artículo transcrito difiere a las entidades públicas la determinación en los pliegos de condiciones de los aspectos que se tendrán en cuenta para desigualar, para lo cual deben atender las reglas que el reglamento establece de manera sucesiva y excluyente.</w:t>
      </w:r>
    </w:p>
    <w:p w14:paraId="26384800" w14:textId="77777777" w:rsidR="00BA4DD0" w:rsidRPr="00DD5F33" w:rsidRDefault="00BA4DD0" w:rsidP="000E62AF">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580C3822" w14:textId="07FFD11E" w:rsidR="00DA4351" w:rsidRPr="00DD5F33" w:rsidRDefault="00DA4351" w:rsidP="000E62AF">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DD5F33">
        <w:rPr>
          <w:rFonts w:ascii="Arial" w:hAnsi="Arial" w:cs="Arial"/>
          <w:color w:val="000000" w:themeColor="text1"/>
          <w:sz w:val="21"/>
          <w:szCs w:val="21"/>
        </w:rPr>
        <w:t>El diccionario de la real academia de la lengua señala que debe entenderse por sucesivo "</w:t>
      </w:r>
      <w:r w:rsidRPr="00DD5F33">
        <w:rPr>
          <w:rFonts w:ascii="Arial" w:hAnsi="Arial" w:cs="Arial"/>
          <w:i/>
          <w:iCs/>
          <w:color w:val="000000" w:themeColor="text1"/>
          <w:sz w:val="21"/>
          <w:szCs w:val="21"/>
        </w:rPr>
        <w:t>una cosa que sucede o se sigue a otra"</w:t>
      </w:r>
      <w:r w:rsidRPr="00DD5F33">
        <w:rPr>
          <w:rFonts w:ascii="Arial" w:hAnsi="Arial" w:cs="Arial"/>
          <w:color w:val="000000" w:themeColor="text1"/>
          <w:sz w:val="21"/>
          <w:szCs w:val="21"/>
        </w:rPr>
        <w:t> o aquello que se dice del "</w:t>
      </w:r>
      <w:r w:rsidRPr="00DD5F33">
        <w:rPr>
          <w:rFonts w:ascii="Arial" w:hAnsi="Arial" w:cs="Arial"/>
          <w:i/>
          <w:iCs/>
          <w:color w:val="000000" w:themeColor="text1"/>
          <w:sz w:val="21"/>
          <w:szCs w:val="21"/>
        </w:rPr>
        <w:t>tiempo que ha de seguir al momento en que se está". </w:t>
      </w:r>
      <w:r w:rsidRPr="00DD5F33">
        <w:rPr>
          <w:rFonts w:ascii="Arial" w:hAnsi="Arial" w:cs="Arial"/>
          <w:color w:val="000000" w:themeColor="text1"/>
          <w:sz w:val="21"/>
          <w:szCs w:val="21"/>
        </w:rPr>
        <w:t>A su vez, define excluyente como el </w:t>
      </w:r>
      <w:r w:rsidRPr="00DD5F33">
        <w:rPr>
          <w:rFonts w:ascii="Arial" w:hAnsi="Arial" w:cs="Arial"/>
          <w:i/>
          <w:iCs/>
          <w:color w:val="000000" w:themeColor="text1"/>
          <w:sz w:val="21"/>
          <w:szCs w:val="21"/>
        </w:rPr>
        <w:t>"dejar por fuera o rechazar algo." </w:t>
      </w:r>
      <w:r w:rsidRPr="00DD5F33">
        <w:rPr>
          <w:rFonts w:ascii="Arial" w:hAnsi="Arial" w:cs="Arial"/>
          <w:color w:val="000000" w:themeColor="text1"/>
          <w:sz w:val="21"/>
          <w:szCs w:val="21"/>
        </w:rPr>
        <w:t>Por consiguiente, los criterios delimitados en el artículo 2º del decreto 2473 de 2010 no pueden aplicarse por parte de las Entidades Estatales de manera discrecional, aleatoria o caprichosa, ya que sólo pueden hacer uso de los mismos en el estricto orden en que fueron establecidos, de forma tal que la preferencia por la Mipymes es procedente cuando luego de analizados otros supuestos no se ha podido generar el desempate entre las propuestas presentadas.</w:t>
      </w:r>
    </w:p>
    <w:p w14:paraId="1BB1A5F3" w14:textId="77777777" w:rsidR="00BA4DD0" w:rsidRPr="00DD5F33" w:rsidRDefault="00BA4DD0" w:rsidP="000E62AF">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7D25713" w14:textId="09380A09" w:rsidR="00DA4351" w:rsidRPr="00DD5F33" w:rsidRDefault="00DA4351"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r w:rsidRPr="00DD5F33">
        <w:rPr>
          <w:rFonts w:ascii="Arial" w:hAnsi="Arial" w:cs="Arial"/>
          <w:color w:val="000000" w:themeColor="text1"/>
          <w:sz w:val="21"/>
          <w:szCs w:val="21"/>
          <w:shd w:val="clear" w:color="auto" w:fill="FFFFFF"/>
        </w:rPr>
        <w:t>En efecto, en caso de igualdad en el puntaje total de las ofertas evaluadas se debe acudir en primer lugar a los criterios de desempate fijados en los pliegos de condiciones, a través de la priorización de los factores de escogencia y calificación que se hayan utilizado en el proceso de selección. Si luego de aplicar esta regla aún los proponentes ocupan la misma posición se debe escoger a la oferta de bienes y servicios nacionales sobre la oferta de bienes y servicios extranjeros. Sin embargo, si aún persiste el empate, y entre los empatados se encuentra una Mipyme nacional, la entidad debe preferirla con independencia de que sea proponente singular, consorcio o unión temporal conformada únicamente por Mipymes nacionales.</w:t>
      </w:r>
    </w:p>
    <w:p w14:paraId="45E5BBEF" w14:textId="77777777" w:rsidR="00BA4DD0" w:rsidRPr="00DD5F33" w:rsidRDefault="00BA4DD0"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p>
    <w:p w14:paraId="0B63753B" w14:textId="599C484E" w:rsidR="00DA4351" w:rsidRPr="00DD5F33" w:rsidRDefault="00DA4351" w:rsidP="000E62AF">
      <w:pPr>
        <w:pStyle w:val="NormalWeb"/>
        <w:spacing w:before="0" w:beforeAutospacing="0" w:after="0" w:afterAutospacing="0"/>
        <w:ind w:left="709" w:right="709"/>
        <w:jc w:val="both"/>
        <w:rPr>
          <w:rFonts w:ascii="Arial" w:hAnsi="Arial" w:cs="Arial"/>
          <w:color w:val="000000" w:themeColor="text1"/>
          <w:sz w:val="21"/>
          <w:szCs w:val="21"/>
          <w:shd w:val="clear" w:color="auto" w:fill="FFFFFF"/>
        </w:rPr>
      </w:pPr>
      <w:bookmarkStart w:id="26" w:name="en_lo_sucesivo_1"/>
      <w:bookmarkEnd w:id="26"/>
      <w:r w:rsidRPr="00DD5F33">
        <w:rPr>
          <w:rFonts w:ascii="Arial" w:hAnsi="Arial" w:cs="Arial"/>
          <w:color w:val="000000" w:themeColor="text1"/>
          <w:sz w:val="21"/>
          <w:szCs w:val="21"/>
          <w:shd w:val="clear" w:color="auto" w:fill="FFFFFF"/>
        </w:rPr>
        <w:t>No es difícil entonces que la Sala concluya, que no existe una contradicción entre la norma demandada y el artículo 13 de la Constitución, toda vez que es diáfano que el reglamento no se aparta del supuesto traído por la ley para determinar cuál es la primera propuesta y por ende quien tiene el derecho a ser el adjudicatario del contrato; el legislador es claro al disponer que las entidades deben determinar en los pliegos de condiciones las reglas para que en caso de empate determinar con quien se debe celebrar el contrato, sin desconocer dos criterios de prelación: la preferencia por las ofertas nacionales y la necesidad de viabilizar el desarrollo de las Mipymes. El dispensar un trato no discriminatorio a todas aquellas personas que participen en un procedimiento de carácter selectivo es otra manifestación más del principio de igualdad, porque éste no sólo se materializa en la toma de decisiones sustentadas en exclusivos criterios de objetividad sino también de fijar </w:t>
      </w:r>
      <w:r w:rsidRPr="00DD5F33">
        <w:rPr>
          <w:rFonts w:ascii="Arial" w:hAnsi="Arial" w:cs="Arial"/>
          <w:i/>
          <w:iCs/>
          <w:color w:val="000000" w:themeColor="text1"/>
          <w:sz w:val="21"/>
          <w:szCs w:val="21"/>
          <w:shd w:val="clear" w:color="auto" w:fill="FFFFFF"/>
        </w:rPr>
        <w:t>ab initio </w:t>
      </w:r>
      <w:r w:rsidRPr="00DD5F33">
        <w:rPr>
          <w:rFonts w:ascii="Arial" w:hAnsi="Arial" w:cs="Arial"/>
          <w:color w:val="000000" w:themeColor="text1"/>
          <w:sz w:val="21"/>
          <w:szCs w:val="21"/>
          <w:shd w:val="clear" w:color="auto" w:fill="FFFFFF"/>
        </w:rPr>
        <w:t>requisitos y condiciones nítidas e inescrutables que permitan, en caso de que varias ofertas obtengan la misma calificación, decidir a cual de ellas se debe escoger</w:t>
      </w:r>
      <w:r w:rsidR="006E5EEB" w:rsidRPr="00DD5F33">
        <w:rPr>
          <w:rStyle w:val="Refdenotaalpie"/>
          <w:rFonts w:ascii="Arial" w:hAnsi="Arial" w:cs="Arial"/>
          <w:color w:val="000000" w:themeColor="text1"/>
          <w:sz w:val="21"/>
          <w:szCs w:val="21"/>
          <w:shd w:val="clear" w:color="auto" w:fill="FFFFFF"/>
        </w:rPr>
        <w:footnoteReference w:id="56"/>
      </w:r>
      <w:r w:rsidRPr="00DD5F33">
        <w:rPr>
          <w:rFonts w:ascii="Arial" w:hAnsi="Arial" w:cs="Arial"/>
          <w:color w:val="000000" w:themeColor="text1"/>
          <w:sz w:val="21"/>
          <w:szCs w:val="21"/>
          <w:shd w:val="clear" w:color="auto" w:fill="FFFFFF"/>
        </w:rPr>
        <w:t>.</w:t>
      </w:r>
    </w:p>
    <w:p w14:paraId="1B18B4AB" w14:textId="4B7B15D9" w:rsidR="008B6B42" w:rsidRPr="00DD5F33" w:rsidRDefault="008B6B42" w:rsidP="009E642B">
      <w:pPr>
        <w:ind w:right="709"/>
        <w:jc w:val="both"/>
        <w:rPr>
          <w:rFonts w:ascii="Arial" w:hAnsi="Arial" w:cs="Arial"/>
          <w:color w:val="000000" w:themeColor="text1"/>
          <w:sz w:val="21"/>
          <w:szCs w:val="21"/>
          <w:lang w:val="es-ES_tradnl"/>
        </w:rPr>
      </w:pPr>
    </w:p>
    <w:p w14:paraId="020B0E8F" w14:textId="78DF8475" w:rsidR="00C71437" w:rsidRPr="00DD5F33" w:rsidRDefault="008314AD" w:rsidP="00C71437">
      <w:pPr>
        <w:spacing w:line="276" w:lineRule="auto"/>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 xml:space="preserve">Esta Agencia acoge la interpretación del Consejo de Estado de la expresión «de forma sucesiva y excluyente», como </w:t>
      </w:r>
      <w:r w:rsidR="006E5EEB" w:rsidRPr="00DD5F33">
        <w:rPr>
          <w:rFonts w:ascii="Arial" w:eastAsia="Calibri" w:hAnsi="Arial" w:cs="Arial"/>
          <w:bCs/>
          <w:color w:val="000000"/>
          <w:sz w:val="22"/>
          <w:szCs w:val="22"/>
          <w:lang w:val="es-ES_tradnl" w:eastAsia="en-US"/>
        </w:rPr>
        <w:t>«"una cosa que sucede o se sigue a otra" o aquello que se dice del "tiempo que ha de seguir al momento en que se está"»</w:t>
      </w:r>
      <w:r w:rsidR="00E224EA" w:rsidRPr="00DD5F33">
        <w:rPr>
          <w:rStyle w:val="Refdenotaalpie"/>
          <w:rFonts w:ascii="Arial" w:eastAsia="Calibri" w:hAnsi="Arial" w:cs="Arial"/>
          <w:bCs/>
          <w:color w:val="000000"/>
          <w:sz w:val="22"/>
          <w:szCs w:val="22"/>
          <w:lang w:val="es-ES_tradnl" w:eastAsia="en-US"/>
        </w:rPr>
        <w:footnoteReference w:id="57"/>
      </w:r>
      <w:r w:rsidR="006E5EEB" w:rsidRPr="00DD5F33">
        <w:rPr>
          <w:rFonts w:ascii="Arial" w:eastAsia="Calibri" w:hAnsi="Arial" w:cs="Arial"/>
          <w:bCs/>
          <w:color w:val="000000"/>
          <w:sz w:val="22"/>
          <w:szCs w:val="22"/>
          <w:lang w:val="es-ES_tradnl" w:eastAsia="en-US"/>
        </w:rPr>
        <w:t>. En consecuencia, si dos proponentes se encuentran en el mismo supuesto fáctico de un factor de desempate, la entidad estatal debe continuar con el siguiente factor</w:t>
      </w:r>
      <w:r w:rsidR="00FD528C" w:rsidRPr="00DD5F33">
        <w:rPr>
          <w:rFonts w:ascii="Arial" w:eastAsia="Calibri" w:hAnsi="Arial" w:cs="Arial"/>
          <w:bCs/>
          <w:color w:val="000000"/>
          <w:sz w:val="22"/>
          <w:szCs w:val="22"/>
          <w:lang w:val="es-ES_tradnl" w:eastAsia="en-US"/>
        </w:rPr>
        <w:t xml:space="preserve"> – de los consagrados en el artículo 35 de la Ley 2069 de 2020 y reglamentados por el artículo 2.2.1.2.4.2.17. del Decreto 1082 de 2015, adicionado por el artículo 3 del Decreto 1860 de 2021– </w:t>
      </w:r>
      <w:r w:rsidR="006E5EEB" w:rsidRPr="00DD5F33">
        <w:rPr>
          <w:rFonts w:ascii="Arial" w:eastAsia="Calibri" w:hAnsi="Arial" w:cs="Arial"/>
          <w:bCs/>
          <w:color w:val="000000"/>
          <w:sz w:val="22"/>
          <w:szCs w:val="22"/>
          <w:lang w:val="es-ES_tradnl" w:eastAsia="en-US"/>
        </w:rPr>
        <w:t>y así sucesivamente</w:t>
      </w:r>
      <w:r w:rsidR="00FD528C" w:rsidRPr="00DD5F33">
        <w:rPr>
          <w:rFonts w:ascii="Arial" w:eastAsia="Calibri" w:hAnsi="Arial" w:cs="Arial"/>
          <w:bCs/>
          <w:color w:val="000000"/>
          <w:sz w:val="22"/>
          <w:szCs w:val="22"/>
          <w:lang w:val="es-ES_tradnl" w:eastAsia="en-US"/>
        </w:rPr>
        <w:t>, en caso de mantenerse el empate</w:t>
      </w:r>
      <w:r w:rsidR="006E5EEB" w:rsidRPr="00DD5F33">
        <w:rPr>
          <w:rFonts w:ascii="Arial" w:eastAsia="Calibri" w:hAnsi="Arial" w:cs="Arial"/>
          <w:bCs/>
          <w:color w:val="000000"/>
          <w:sz w:val="22"/>
          <w:szCs w:val="22"/>
          <w:lang w:val="es-ES_tradnl" w:eastAsia="en-US"/>
        </w:rPr>
        <w:t>.</w:t>
      </w:r>
    </w:p>
    <w:p w14:paraId="4C01F46E" w14:textId="77777777" w:rsidR="00C71437" w:rsidRPr="00DD5F33" w:rsidRDefault="00C71437" w:rsidP="009E642B">
      <w:pPr>
        <w:ind w:right="709"/>
        <w:jc w:val="both"/>
        <w:rPr>
          <w:rFonts w:ascii="Arial" w:hAnsi="Arial" w:cs="Arial"/>
          <w:color w:val="000000" w:themeColor="text1"/>
          <w:sz w:val="21"/>
          <w:szCs w:val="21"/>
          <w:lang w:val="es-ES_tradnl"/>
        </w:rPr>
      </w:pPr>
    </w:p>
    <w:p w14:paraId="76746345" w14:textId="00BF2A9C"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»6. ¿Cuál sería la justificación para poder aplicar el criterio diferencial referente al valor de la garantía de seriedad de la oferta en un proceso de selección?</w:t>
      </w:r>
    </w:p>
    <w:p w14:paraId="40D2588C" w14:textId="609BBD56" w:rsidR="004A03FC" w:rsidRPr="00DD5F33" w:rsidRDefault="004A03FC" w:rsidP="00B02A68">
      <w:pPr>
        <w:ind w:left="709" w:right="709"/>
        <w:jc w:val="both"/>
        <w:rPr>
          <w:rFonts w:ascii="Arial" w:hAnsi="Arial" w:cs="Arial"/>
          <w:color w:val="000000" w:themeColor="text1"/>
          <w:sz w:val="21"/>
          <w:szCs w:val="21"/>
          <w:lang w:val="es-ES_tradnl"/>
        </w:rPr>
      </w:pPr>
    </w:p>
    <w:p w14:paraId="222A6D0C" w14:textId="48D30E5B" w:rsidR="004A03FC" w:rsidRPr="00DD5F33" w:rsidRDefault="004A03FC" w:rsidP="004A03FC">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»7. ¿Cómo medir el riesgo de siniestralidad en las garantías de seriedad de la oferta entre empresas de emprendimiento de mujeres y Mipymes frente a las otras empresas que no ostentan este criterio?»</w:t>
      </w:r>
    </w:p>
    <w:p w14:paraId="6A113B3C" w14:textId="7F3CE761" w:rsidR="00B02A68" w:rsidRPr="00DD5F33" w:rsidRDefault="00B02A68" w:rsidP="004A03FC">
      <w:pPr>
        <w:ind w:right="709"/>
        <w:jc w:val="both"/>
        <w:rPr>
          <w:rFonts w:ascii="Arial" w:hAnsi="Arial" w:cs="Arial"/>
          <w:color w:val="000000" w:themeColor="text1"/>
          <w:sz w:val="21"/>
          <w:szCs w:val="21"/>
          <w:lang w:val="es-ES_tradnl"/>
        </w:rPr>
      </w:pPr>
    </w:p>
    <w:p w14:paraId="533C937C" w14:textId="0F769DC6" w:rsidR="004A03FC" w:rsidRPr="00DD5F33" w:rsidRDefault="00EC6FAE" w:rsidP="00EC6FAE">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El artículo 2.2.1.2.4.2.15. del Decreto 1082 de 2015, adicionado por el artículo 3 del Decreto 1860 de 2021</w:t>
      </w:r>
      <w:r w:rsidR="001141A6" w:rsidRPr="00DD5F33">
        <w:rPr>
          <w:rFonts w:ascii="Arial" w:eastAsia="Calibri" w:hAnsi="Arial" w:cs="Arial"/>
          <w:bCs/>
          <w:color w:val="000000"/>
          <w:sz w:val="22"/>
          <w:szCs w:val="22"/>
          <w:lang w:val="es-ES_tradnl" w:eastAsia="en-US"/>
        </w:rPr>
        <w:t>,</w:t>
      </w:r>
      <w:r w:rsidR="00CB7399" w:rsidRPr="00DD5F33">
        <w:rPr>
          <w:rFonts w:ascii="Arial" w:eastAsia="Calibri" w:hAnsi="Arial" w:cs="Arial"/>
          <w:bCs/>
          <w:color w:val="000000"/>
          <w:sz w:val="22"/>
          <w:szCs w:val="22"/>
          <w:lang w:val="es-ES_tradnl" w:eastAsia="en-US"/>
        </w:rPr>
        <w:t xml:space="preserve"> </w:t>
      </w:r>
      <w:r w:rsidR="006F6E67" w:rsidRPr="00DD5F33">
        <w:rPr>
          <w:rFonts w:ascii="Arial" w:eastAsia="Calibri" w:hAnsi="Arial" w:cs="Arial"/>
          <w:bCs/>
          <w:color w:val="000000"/>
          <w:sz w:val="22"/>
          <w:szCs w:val="22"/>
          <w:lang w:val="es-ES_tradnl" w:eastAsia="en-US"/>
        </w:rPr>
        <w:t xml:space="preserve">establece que uno de los aspectos </w:t>
      </w:r>
      <w:r w:rsidR="008B559F" w:rsidRPr="00DD5F33">
        <w:rPr>
          <w:rFonts w:ascii="Arial" w:eastAsia="Calibri" w:hAnsi="Arial" w:cs="Arial"/>
          <w:bCs/>
          <w:color w:val="000000"/>
          <w:sz w:val="22"/>
          <w:szCs w:val="22"/>
          <w:lang w:val="es-ES_tradnl" w:eastAsia="en-US"/>
        </w:rPr>
        <w:t>relacionados con los requisitos habilitantes diferenciales</w:t>
      </w:r>
      <w:r w:rsidR="00A52FD9" w:rsidRPr="00DD5F33">
        <w:rPr>
          <w:rFonts w:ascii="Arial" w:eastAsia="Calibri" w:hAnsi="Arial" w:cs="Arial"/>
          <w:bCs/>
          <w:color w:val="000000"/>
          <w:sz w:val="22"/>
          <w:szCs w:val="22"/>
          <w:lang w:val="es-ES_tradnl" w:eastAsia="en-US"/>
        </w:rPr>
        <w:t xml:space="preserve"> a favor de las empresas y emprendimientos de mujeres</w:t>
      </w:r>
      <w:r w:rsidR="003D1775" w:rsidRPr="00DD5F33">
        <w:rPr>
          <w:rFonts w:ascii="Arial" w:eastAsia="Calibri" w:hAnsi="Arial" w:cs="Arial"/>
          <w:bCs/>
          <w:color w:val="000000"/>
          <w:sz w:val="22"/>
          <w:szCs w:val="22"/>
          <w:lang w:val="es-ES_tradnl" w:eastAsia="en-US"/>
        </w:rPr>
        <w:t xml:space="preserve"> –</w:t>
      </w:r>
      <w:r w:rsidR="008B559F" w:rsidRPr="00DD5F33">
        <w:rPr>
          <w:rFonts w:ascii="Arial" w:eastAsia="Calibri" w:hAnsi="Arial" w:cs="Arial"/>
          <w:bCs/>
          <w:color w:val="000000"/>
          <w:sz w:val="22"/>
          <w:szCs w:val="22"/>
          <w:lang w:val="es-ES_tradnl" w:eastAsia="en-US"/>
        </w:rPr>
        <w:t>que los documentos del proceso</w:t>
      </w:r>
      <w:r w:rsidR="00B831FF" w:rsidRPr="00DD5F33">
        <w:rPr>
          <w:rFonts w:ascii="Arial" w:eastAsia="Calibri" w:hAnsi="Arial" w:cs="Arial"/>
          <w:bCs/>
          <w:color w:val="000000"/>
          <w:sz w:val="22"/>
          <w:szCs w:val="22"/>
          <w:lang w:val="es-ES_tradnl" w:eastAsia="en-US"/>
        </w:rPr>
        <w:t xml:space="preserve"> deben incorporar</w:t>
      </w:r>
      <w:r w:rsidR="003D1775" w:rsidRPr="00DD5F33">
        <w:rPr>
          <w:rFonts w:ascii="Arial" w:eastAsia="Calibri" w:hAnsi="Arial" w:cs="Arial"/>
          <w:bCs/>
          <w:color w:val="000000"/>
          <w:sz w:val="22"/>
          <w:szCs w:val="22"/>
          <w:lang w:val="es-ES_tradnl" w:eastAsia="en-US"/>
        </w:rPr>
        <w:t>–</w:t>
      </w:r>
      <w:r w:rsidR="00B831FF" w:rsidRPr="00DD5F33">
        <w:rPr>
          <w:rFonts w:ascii="Arial" w:eastAsia="Calibri" w:hAnsi="Arial" w:cs="Arial"/>
          <w:bCs/>
          <w:color w:val="000000"/>
          <w:sz w:val="22"/>
          <w:szCs w:val="22"/>
          <w:lang w:val="es-ES_tradnl" w:eastAsia="en-US"/>
        </w:rPr>
        <w:t xml:space="preserve"> es el relativo al «Valor de la garantía de seriedad de la oferta». </w:t>
      </w:r>
      <w:r w:rsidR="004977E5" w:rsidRPr="00DD5F33">
        <w:rPr>
          <w:rFonts w:ascii="Arial" w:eastAsia="Calibri" w:hAnsi="Arial" w:cs="Arial"/>
          <w:bCs/>
          <w:color w:val="000000"/>
          <w:sz w:val="22"/>
          <w:szCs w:val="22"/>
          <w:lang w:val="es-ES_tradnl" w:eastAsia="en-US"/>
        </w:rPr>
        <w:t xml:space="preserve">La justificación de emplear este aspecto debe ser determinada por las entidades estatales en los estudios previos. Esto se deduce a partir de lo siguiente: </w:t>
      </w:r>
    </w:p>
    <w:p w14:paraId="3F9C95BC" w14:textId="5B4DB9A1" w:rsidR="00BC15C8" w:rsidRPr="00DD5F33" w:rsidRDefault="004977E5" w:rsidP="00BC15C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 xml:space="preserve">i) </w:t>
      </w:r>
      <w:r w:rsidR="004D7CEC" w:rsidRPr="00DD5F33">
        <w:rPr>
          <w:rFonts w:ascii="Arial" w:eastAsia="Calibri" w:hAnsi="Arial" w:cs="Arial"/>
          <w:bCs/>
          <w:color w:val="000000"/>
          <w:sz w:val="22"/>
          <w:szCs w:val="22"/>
          <w:lang w:val="es-ES_tradnl" w:eastAsia="en-US"/>
        </w:rPr>
        <w:t>E</w:t>
      </w:r>
      <w:r w:rsidR="000B5343" w:rsidRPr="00DD5F33">
        <w:rPr>
          <w:rFonts w:ascii="Arial" w:eastAsia="Calibri" w:hAnsi="Arial" w:cs="Arial"/>
          <w:bCs/>
          <w:color w:val="000000"/>
          <w:sz w:val="22"/>
          <w:szCs w:val="22"/>
          <w:lang w:val="es-ES_tradnl" w:eastAsia="en-US"/>
        </w:rPr>
        <w:t xml:space="preserve">l primer inciso del artículo 2.2.1.2.4.2.15. establece que </w:t>
      </w:r>
      <w:r w:rsidR="00764F2E" w:rsidRPr="00DD5F33">
        <w:rPr>
          <w:rFonts w:ascii="Arial" w:eastAsia="Calibri" w:hAnsi="Arial" w:cs="Arial"/>
          <w:bCs/>
          <w:color w:val="000000"/>
          <w:sz w:val="22"/>
          <w:szCs w:val="22"/>
          <w:lang w:val="es-ES_tradnl" w:eastAsia="en-US"/>
        </w:rPr>
        <w:t xml:space="preserve">«los Documentos del Proceso deberán incorporar requisitos habilitantes diferenciales relacionados con alguno o algunos» de los cinco aspectos que la norma enlista a continuación. Eso significa que el valor de la garantía de seriedad de la oferta podría </w:t>
      </w:r>
      <w:r w:rsidR="00662004" w:rsidRPr="00DD5F33">
        <w:rPr>
          <w:rFonts w:ascii="Arial" w:eastAsia="Calibri" w:hAnsi="Arial" w:cs="Arial"/>
          <w:bCs/>
          <w:color w:val="000000"/>
          <w:sz w:val="22"/>
          <w:szCs w:val="22"/>
          <w:lang w:val="es-ES_tradnl" w:eastAsia="en-US"/>
        </w:rPr>
        <w:t>emplearse</w:t>
      </w:r>
      <w:r w:rsidR="00764F2E" w:rsidRPr="00DD5F33">
        <w:rPr>
          <w:rFonts w:ascii="Arial" w:eastAsia="Calibri" w:hAnsi="Arial" w:cs="Arial"/>
          <w:bCs/>
          <w:color w:val="000000"/>
          <w:sz w:val="22"/>
          <w:szCs w:val="22"/>
          <w:lang w:val="es-ES_tradnl" w:eastAsia="en-US"/>
        </w:rPr>
        <w:t xml:space="preserve"> o no para definir los criterios diferenciales</w:t>
      </w:r>
      <w:r w:rsidR="00961BD7" w:rsidRPr="00DD5F33">
        <w:rPr>
          <w:rFonts w:ascii="Arial" w:eastAsia="Calibri" w:hAnsi="Arial" w:cs="Arial"/>
          <w:bCs/>
          <w:color w:val="000000"/>
          <w:sz w:val="22"/>
          <w:szCs w:val="22"/>
          <w:lang w:val="es-ES_tradnl" w:eastAsia="en-US"/>
        </w:rPr>
        <w:t>, lo cual dependerá del análisis de oportunidad y conveniencia efectuado por la Administración</w:t>
      </w:r>
      <w:r w:rsidR="00764F2E" w:rsidRPr="00DD5F33">
        <w:rPr>
          <w:rFonts w:ascii="Arial" w:eastAsia="Calibri" w:hAnsi="Arial" w:cs="Arial"/>
          <w:bCs/>
          <w:color w:val="000000"/>
          <w:sz w:val="22"/>
          <w:szCs w:val="22"/>
          <w:lang w:val="es-ES_tradnl" w:eastAsia="en-US"/>
        </w:rPr>
        <w:t xml:space="preserve">. </w:t>
      </w:r>
    </w:p>
    <w:p w14:paraId="2E757724" w14:textId="77777777" w:rsidR="00BC15C8" w:rsidRPr="00DD5F33" w:rsidRDefault="00764F2E" w:rsidP="00BC15C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ii) El</w:t>
      </w:r>
      <w:r w:rsidR="00284EB7" w:rsidRPr="00DD5F33">
        <w:rPr>
          <w:rFonts w:ascii="Arial" w:eastAsia="Calibri" w:hAnsi="Arial" w:cs="Arial"/>
          <w:bCs/>
          <w:color w:val="000000"/>
          <w:sz w:val="22"/>
          <w:szCs w:val="22"/>
          <w:lang w:val="es-ES_tradnl" w:eastAsia="en-US"/>
        </w:rPr>
        <w:t xml:space="preserve"> segundo inciso del artículo en comento, a su vez, indica que «Los requisitos mencionados deberán fijarse respetando las condiciones habilitantes requeridas para el cumplimiento adecuado del contrato, teniendo en cuenta el alcance de las obligaciones».</w:t>
      </w:r>
      <w:r w:rsidR="00A71E8C" w:rsidRPr="00DD5F33">
        <w:rPr>
          <w:rFonts w:ascii="Arial" w:eastAsia="Calibri" w:hAnsi="Arial" w:cs="Arial"/>
          <w:bCs/>
          <w:color w:val="000000"/>
          <w:sz w:val="22"/>
          <w:szCs w:val="22"/>
          <w:lang w:val="es-ES_tradnl" w:eastAsia="en-US"/>
        </w:rPr>
        <w:t xml:space="preserve"> Por tanto, las entidades estatales, en la planeación del procedimiento contractual, deben</w:t>
      </w:r>
      <w:r w:rsidR="003F560A" w:rsidRPr="00DD5F33">
        <w:rPr>
          <w:rFonts w:ascii="Arial" w:eastAsia="Calibri" w:hAnsi="Arial" w:cs="Arial"/>
          <w:bCs/>
          <w:color w:val="000000"/>
          <w:sz w:val="22"/>
          <w:szCs w:val="22"/>
          <w:lang w:val="es-ES_tradnl" w:eastAsia="en-US"/>
        </w:rPr>
        <w:t xml:space="preserve"> definir la idoneidad de los criterios diferenciales</w:t>
      </w:r>
      <w:r w:rsidR="00A57606" w:rsidRPr="00DD5F33">
        <w:rPr>
          <w:rFonts w:ascii="Arial" w:eastAsia="Calibri" w:hAnsi="Arial" w:cs="Arial"/>
          <w:bCs/>
          <w:color w:val="000000"/>
          <w:sz w:val="22"/>
          <w:szCs w:val="22"/>
          <w:lang w:val="es-ES_tradnl" w:eastAsia="en-US"/>
        </w:rPr>
        <w:t xml:space="preserve"> –entre estos, el del valor de la garantía de seriedad de la oferta–</w:t>
      </w:r>
      <w:r w:rsidR="003F560A" w:rsidRPr="00DD5F33">
        <w:rPr>
          <w:rFonts w:ascii="Arial" w:eastAsia="Calibri" w:hAnsi="Arial" w:cs="Arial"/>
          <w:bCs/>
          <w:color w:val="000000"/>
          <w:sz w:val="22"/>
          <w:szCs w:val="22"/>
          <w:lang w:val="es-ES_tradnl" w:eastAsia="en-US"/>
        </w:rPr>
        <w:t xml:space="preserve">, </w:t>
      </w:r>
      <w:r w:rsidR="002A6B66" w:rsidRPr="00DD5F33">
        <w:rPr>
          <w:rFonts w:ascii="Arial" w:eastAsia="Calibri" w:hAnsi="Arial" w:cs="Arial"/>
          <w:bCs/>
          <w:color w:val="000000"/>
          <w:sz w:val="22"/>
          <w:szCs w:val="22"/>
          <w:lang w:val="es-ES_tradnl" w:eastAsia="en-US"/>
        </w:rPr>
        <w:t>según el alcance de las obligaciones que emanarán del contrato.</w:t>
      </w:r>
      <w:r w:rsidR="00541F69" w:rsidRPr="00DD5F33">
        <w:rPr>
          <w:rFonts w:ascii="Arial" w:eastAsia="Calibri" w:hAnsi="Arial" w:cs="Arial"/>
          <w:bCs/>
          <w:color w:val="000000"/>
          <w:sz w:val="22"/>
          <w:szCs w:val="22"/>
          <w:lang w:val="es-ES_tradnl" w:eastAsia="en-US"/>
        </w:rPr>
        <w:t xml:space="preserve"> </w:t>
      </w:r>
    </w:p>
    <w:p w14:paraId="5B5B989C" w14:textId="77777777" w:rsidR="00BC15C8" w:rsidRPr="00DD5F33" w:rsidRDefault="00541F69" w:rsidP="00BC15C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iii) Lo anterior lo ratifica el cuarto inciso del artículo bajo análisis, según el cual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5E8570D8" w14:textId="6B3D9C84" w:rsidR="00EC6FAE" w:rsidRPr="00DD5F33" w:rsidRDefault="0039038D" w:rsidP="00BC15C8">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iv) Como parte de los estudios previos, en el análisis de los riesgos, la entidad estatal debe hacer una tipificación, estimación y asignación de los riesgos del contrato, para </w:t>
      </w:r>
      <w:r w:rsidR="0092024E" w:rsidRPr="00DD5F33">
        <w:rPr>
          <w:rFonts w:ascii="Arial" w:eastAsia="Calibri" w:hAnsi="Arial" w:cs="Arial"/>
          <w:bCs/>
          <w:color w:val="000000"/>
          <w:sz w:val="22"/>
          <w:szCs w:val="22"/>
          <w:lang w:val="es-ES_tradnl" w:eastAsia="en-US"/>
        </w:rPr>
        <w:t>determinar</w:t>
      </w:r>
      <w:r w:rsidRPr="00DD5F33">
        <w:rPr>
          <w:rFonts w:ascii="Arial" w:eastAsia="Calibri" w:hAnsi="Arial" w:cs="Arial"/>
          <w:bCs/>
          <w:color w:val="000000"/>
          <w:sz w:val="22"/>
          <w:szCs w:val="22"/>
          <w:lang w:val="es-ES_tradnl" w:eastAsia="en-US"/>
        </w:rPr>
        <w:t xml:space="preserve"> la conveniencia de establecer un factor habilitante diferencial </w:t>
      </w:r>
      <w:r w:rsidR="00BC15C8" w:rsidRPr="00DD5F33">
        <w:rPr>
          <w:rFonts w:ascii="Arial" w:eastAsia="Calibri" w:hAnsi="Arial" w:cs="Arial"/>
          <w:bCs/>
          <w:color w:val="000000"/>
          <w:sz w:val="22"/>
          <w:szCs w:val="22"/>
          <w:lang w:val="es-ES_tradnl" w:eastAsia="en-US"/>
        </w:rPr>
        <w:t xml:space="preserve">para la garantía de seriedad de la oferta a favor de los emprendimientos y empresas de mujeres. La Agencia Nacional de Contratación Pública – Colombia Compra Eficiente </w:t>
      </w:r>
      <w:r w:rsidR="00CE02A6" w:rsidRPr="00DD5F33">
        <w:rPr>
          <w:rFonts w:ascii="Arial" w:eastAsia="Calibri" w:hAnsi="Arial" w:cs="Arial"/>
          <w:bCs/>
          <w:color w:val="000000"/>
          <w:sz w:val="22"/>
          <w:szCs w:val="22"/>
          <w:lang w:val="es-ES_tradnl" w:eastAsia="en-US"/>
        </w:rPr>
        <w:t xml:space="preserve">puso a disposición de los partícipes del Sistema de Compras y Contratación Pública el </w:t>
      </w:r>
      <w:r w:rsidR="00DB5FD9" w:rsidRPr="00DD5F33">
        <w:rPr>
          <w:rFonts w:ascii="Arial" w:eastAsia="Calibri" w:hAnsi="Arial" w:cs="Arial"/>
          <w:bCs/>
          <w:color w:val="000000"/>
          <w:sz w:val="22"/>
          <w:szCs w:val="22"/>
          <w:lang w:val="es-ES_tradnl" w:eastAsia="en-US"/>
        </w:rPr>
        <w:t>Manual para la Identificación y Cobertura del Riesgo en los Procesos de Contratación</w:t>
      </w:r>
      <w:r w:rsidR="008F46E0" w:rsidRPr="00DD5F33">
        <w:rPr>
          <w:rStyle w:val="Refdenotaalpie"/>
          <w:rFonts w:ascii="Arial" w:eastAsia="Calibri" w:hAnsi="Arial" w:cs="Arial"/>
          <w:bCs/>
          <w:color w:val="000000"/>
          <w:sz w:val="22"/>
          <w:szCs w:val="22"/>
          <w:lang w:val="es-ES_tradnl" w:eastAsia="en-US"/>
        </w:rPr>
        <w:footnoteReference w:id="58"/>
      </w:r>
      <w:r w:rsidR="00A32DA4" w:rsidRPr="00DD5F33">
        <w:rPr>
          <w:rFonts w:ascii="Arial" w:eastAsia="Calibri" w:hAnsi="Arial" w:cs="Arial"/>
          <w:bCs/>
          <w:color w:val="000000"/>
          <w:sz w:val="22"/>
          <w:szCs w:val="22"/>
          <w:lang w:val="es-ES_tradnl" w:eastAsia="en-US"/>
        </w:rPr>
        <w:t xml:space="preserve">. Este documento recomienda una metodología que puede orientar </w:t>
      </w:r>
      <w:r w:rsidR="00DF6223" w:rsidRPr="00DD5F33">
        <w:rPr>
          <w:rFonts w:ascii="Arial" w:eastAsia="Calibri" w:hAnsi="Arial" w:cs="Arial"/>
          <w:bCs/>
          <w:color w:val="000000"/>
          <w:sz w:val="22"/>
          <w:szCs w:val="22"/>
          <w:lang w:val="es-ES_tradnl" w:eastAsia="en-US"/>
        </w:rPr>
        <w:t>dicha actividad, a cargo de las entidades estatales; por lo cual la invitamos a consultarlo.</w:t>
      </w:r>
      <w:r w:rsidR="00BC15C8" w:rsidRPr="00DD5F33">
        <w:rPr>
          <w:rFonts w:ascii="Arial" w:eastAsia="Calibri" w:hAnsi="Arial" w:cs="Arial"/>
          <w:bCs/>
          <w:color w:val="000000"/>
          <w:sz w:val="22"/>
          <w:szCs w:val="22"/>
          <w:lang w:val="es-ES_tradnl" w:eastAsia="en-US"/>
        </w:rPr>
        <w:t xml:space="preserve"> </w:t>
      </w:r>
      <w:r w:rsidR="00764F2E" w:rsidRPr="00DD5F33">
        <w:rPr>
          <w:rFonts w:ascii="Arial" w:eastAsia="Calibri" w:hAnsi="Arial" w:cs="Arial"/>
          <w:bCs/>
          <w:color w:val="000000"/>
          <w:sz w:val="22"/>
          <w:szCs w:val="22"/>
          <w:lang w:val="es-ES_tradnl" w:eastAsia="en-US"/>
        </w:rPr>
        <w:t xml:space="preserve">  </w:t>
      </w:r>
      <w:r w:rsidR="000B5343" w:rsidRPr="00DD5F33">
        <w:rPr>
          <w:rFonts w:ascii="Arial" w:eastAsia="Calibri" w:hAnsi="Arial" w:cs="Arial"/>
          <w:bCs/>
          <w:color w:val="000000"/>
          <w:sz w:val="22"/>
          <w:szCs w:val="22"/>
          <w:lang w:val="es-ES_tradnl" w:eastAsia="en-US"/>
        </w:rPr>
        <w:t xml:space="preserve">  </w:t>
      </w:r>
      <w:r w:rsidR="004977E5" w:rsidRPr="00DD5F33">
        <w:rPr>
          <w:rFonts w:ascii="Arial" w:eastAsia="Calibri" w:hAnsi="Arial" w:cs="Arial"/>
          <w:bCs/>
          <w:color w:val="000000"/>
          <w:sz w:val="22"/>
          <w:szCs w:val="22"/>
          <w:lang w:val="es-ES_tradnl" w:eastAsia="en-US"/>
        </w:rPr>
        <w:t xml:space="preserve"> </w:t>
      </w:r>
    </w:p>
    <w:p w14:paraId="38D4C1B1" w14:textId="77777777" w:rsidR="00B02A68" w:rsidRPr="00DD5F33" w:rsidRDefault="00B02A68" w:rsidP="004A03FC">
      <w:pPr>
        <w:ind w:right="709"/>
        <w:jc w:val="both"/>
        <w:rPr>
          <w:rFonts w:ascii="Arial" w:hAnsi="Arial" w:cs="Arial"/>
          <w:color w:val="000000" w:themeColor="text1"/>
          <w:sz w:val="21"/>
          <w:szCs w:val="21"/>
          <w:lang w:val="es-ES_tradnl"/>
        </w:rPr>
      </w:pPr>
    </w:p>
    <w:p w14:paraId="55178156" w14:textId="771A528D" w:rsidR="00B02A68" w:rsidRPr="00DD5F33" w:rsidRDefault="000D6FAA"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8. De conformidad con lo descrito en el artículo 2.2.1.2.4.2.15., el cual expresa: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¿Si tengo un Acuerdo comercial vigente, no puedo aplicar los criterios diferenciales? Sin perjuicio de los “Acuerdos comerciales” ¿incluye el caso de proveedores provenientes de estados con los cuales son existe un acuerdo comercial, pero el Estado a certificado reciprocidad?</w:t>
      </w:r>
      <w:r w:rsidR="00BB2C39" w:rsidRPr="00DD5F33">
        <w:rPr>
          <w:rFonts w:ascii="Arial" w:hAnsi="Arial" w:cs="Arial"/>
          <w:color w:val="000000" w:themeColor="text1"/>
          <w:sz w:val="21"/>
          <w:szCs w:val="21"/>
          <w:lang w:val="es-ES_tradnl"/>
        </w:rPr>
        <w:t>»</w:t>
      </w:r>
      <w:r w:rsidR="00ED2BBB" w:rsidRPr="00DD5F33">
        <w:rPr>
          <w:rFonts w:ascii="Arial" w:hAnsi="Arial" w:cs="Arial"/>
          <w:color w:val="000000" w:themeColor="text1"/>
          <w:sz w:val="21"/>
          <w:szCs w:val="21"/>
          <w:lang w:val="es-ES_tradnl"/>
        </w:rPr>
        <w:t xml:space="preserve"> (sic)</w:t>
      </w:r>
    </w:p>
    <w:p w14:paraId="01C99883" w14:textId="191A3F1D" w:rsidR="00B02A68" w:rsidRPr="00DD5F33" w:rsidRDefault="00B02A68" w:rsidP="00B02A68">
      <w:pPr>
        <w:ind w:left="709" w:right="709"/>
        <w:jc w:val="both"/>
        <w:rPr>
          <w:rFonts w:ascii="Arial" w:hAnsi="Arial" w:cs="Arial"/>
          <w:color w:val="000000" w:themeColor="text1"/>
          <w:sz w:val="21"/>
          <w:szCs w:val="21"/>
          <w:lang w:val="es-ES_tradnl"/>
        </w:rPr>
      </w:pPr>
    </w:p>
    <w:p w14:paraId="71F6504E" w14:textId="795C92BF" w:rsidR="0028130C" w:rsidRPr="00DD5F33" w:rsidRDefault="00712CBB" w:rsidP="0028130C">
      <w:pPr>
        <w:spacing w:line="276" w:lineRule="auto"/>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lastRenderedPageBreak/>
        <w:t>Lo que indica el artículo 2.2.1.2.4.2.15.</w:t>
      </w:r>
      <w:r w:rsidR="00936B04" w:rsidRPr="00DD5F33">
        <w:rPr>
          <w:rFonts w:ascii="Arial" w:eastAsia="Calibri" w:hAnsi="Arial" w:cs="Arial"/>
          <w:bCs/>
          <w:color w:val="000000"/>
          <w:sz w:val="22"/>
          <w:szCs w:val="22"/>
          <w:lang w:val="es-ES_tradnl" w:eastAsia="en-US"/>
        </w:rPr>
        <w:t xml:space="preserve">, cuando establece que </w:t>
      </w:r>
      <w:r w:rsidR="0028130C" w:rsidRPr="00DD5F33">
        <w:rPr>
          <w:rFonts w:ascii="Arial" w:eastAsia="Calibri" w:hAnsi="Arial" w:cs="Arial"/>
          <w:bCs/>
          <w:color w:val="000000"/>
          <w:sz w:val="22"/>
          <w:szCs w:val="22"/>
          <w:lang w:val="es-ES_tradnl" w:eastAsia="en-US"/>
        </w:rPr>
        <w:t xml:space="preserve">«Las Entidades incluirán estos requisitos diferenciales y puntajes adicionales de acuerdo con los resultados del análisis del sector, desde la perspectiva del estudio de la oferta de las obras, bienes o servicios que requiere, </w:t>
      </w:r>
      <w:r w:rsidR="0028130C" w:rsidRPr="00DD5F33">
        <w:rPr>
          <w:rFonts w:ascii="Arial" w:eastAsia="Calibri" w:hAnsi="Arial" w:cs="Arial"/>
          <w:bCs/>
          <w:i/>
          <w:iCs/>
          <w:color w:val="000000"/>
          <w:sz w:val="22"/>
          <w:szCs w:val="22"/>
          <w:lang w:val="es-ES_tradnl" w:eastAsia="en-US"/>
        </w:rPr>
        <w:t>sin perjuicio de los compromisos adquiridos por Colombia en los Acuerdos Comerciales vigentes</w:t>
      </w:r>
      <w:r w:rsidR="0028130C" w:rsidRPr="00DD5F33">
        <w:rPr>
          <w:rFonts w:ascii="Arial" w:eastAsia="Calibri" w:hAnsi="Arial" w:cs="Arial"/>
          <w:bCs/>
          <w:color w:val="000000"/>
          <w:sz w:val="22"/>
          <w:szCs w:val="22"/>
          <w:lang w:val="es-ES_tradnl" w:eastAsia="en-US"/>
        </w:rPr>
        <w:t>»</w:t>
      </w:r>
      <w:r w:rsidR="00587645" w:rsidRPr="00DD5F33">
        <w:rPr>
          <w:rFonts w:ascii="Arial" w:eastAsia="Calibri" w:hAnsi="Arial" w:cs="Arial"/>
          <w:bCs/>
          <w:color w:val="000000"/>
          <w:sz w:val="22"/>
          <w:szCs w:val="22"/>
          <w:lang w:val="es-ES_tradnl" w:eastAsia="en-US"/>
        </w:rPr>
        <w:t xml:space="preserve"> (</w:t>
      </w:r>
      <w:r w:rsidR="002942D8" w:rsidRPr="00DD5F33">
        <w:rPr>
          <w:rFonts w:ascii="Arial" w:eastAsia="Calibri" w:hAnsi="Arial" w:cs="Arial"/>
          <w:bCs/>
          <w:color w:val="000000"/>
          <w:sz w:val="22"/>
          <w:szCs w:val="22"/>
          <w:lang w:val="es-ES_tradnl" w:eastAsia="en-US"/>
        </w:rPr>
        <w:t>énfasis fuera de texto)</w:t>
      </w:r>
      <w:r w:rsidR="00820094" w:rsidRPr="00DD5F33">
        <w:rPr>
          <w:rFonts w:ascii="Arial" w:eastAsia="Calibri" w:hAnsi="Arial" w:cs="Arial"/>
          <w:bCs/>
          <w:color w:val="000000"/>
          <w:sz w:val="22"/>
          <w:szCs w:val="22"/>
          <w:lang w:val="es-ES_tradnl" w:eastAsia="en-US"/>
        </w:rPr>
        <w:t>,</w:t>
      </w:r>
      <w:r w:rsidR="002942D8" w:rsidRPr="00DD5F33">
        <w:rPr>
          <w:rFonts w:ascii="Arial" w:eastAsia="Calibri" w:hAnsi="Arial" w:cs="Arial"/>
          <w:bCs/>
          <w:color w:val="000000"/>
          <w:sz w:val="22"/>
          <w:szCs w:val="22"/>
          <w:lang w:val="es-ES_tradnl" w:eastAsia="en-US"/>
        </w:rPr>
        <w:t xml:space="preserve"> es que</w:t>
      </w:r>
      <w:r w:rsidR="00820094" w:rsidRPr="00DD5F33">
        <w:rPr>
          <w:rFonts w:ascii="Arial" w:eastAsia="Calibri" w:hAnsi="Arial" w:cs="Arial"/>
          <w:bCs/>
          <w:color w:val="000000"/>
          <w:sz w:val="22"/>
          <w:szCs w:val="22"/>
          <w:lang w:val="es-ES_tradnl" w:eastAsia="en-US"/>
        </w:rPr>
        <w:t>,</w:t>
      </w:r>
      <w:r w:rsidR="002942D8" w:rsidRPr="00DD5F33">
        <w:rPr>
          <w:rFonts w:ascii="Arial" w:eastAsia="Calibri" w:hAnsi="Arial" w:cs="Arial"/>
          <w:bCs/>
          <w:color w:val="000000"/>
          <w:sz w:val="22"/>
          <w:szCs w:val="22"/>
          <w:lang w:val="es-ES_tradnl" w:eastAsia="en-US"/>
        </w:rPr>
        <w:t xml:space="preserve"> en caso de existir acuerdos comerciales vigentes que rijan el procedimiento contractual, la entidad estatal</w:t>
      </w:r>
      <w:r w:rsidR="002C55FF" w:rsidRPr="00DD5F33">
        <w:rPr>
          <w:rFonts w:ascii="Arial" w:eastAsia="Calibri" w:hAnsi="Arial" w:cs="Arial"/>
          <w:bCs/>
          <w:color w:val="000000"/>
          <w:sz w:val="22"/>
          <w:szCs w:val="22"/>
          <w:lang w:val="es-ES_tradnl" w:eastAsia="en-US"/>
        </w:rPr>
        <w:t xml:space="preserve"> debe aplicar, de manera prevalente, las estipulaciones del tratado</w:t>
      </w:r>
      <w:r w:rsidR="00AC455E" w:rsidRPr="00DD5F33">
        <w:rPr>
          <w:rFonts w:ascii="Arial" w:eastAsia="Calibri" w:hAnsi="Arial" w:cs="Arial"/>
          <w:bCs/>
          <w:color w:val="000000"/>
          <w:sz w:val="22"/>
          <w:szCs w:val="22"/>
          <w:lang w:val="es-ES_tradnl" w:eastAsia="en-US"/>
        </w:rPr>
        <w:t xml:space="preserve">, en virtud del principio </w:t>
      </w:r>
      <w:r w:rsidR="00AC455E" w:rsidRPr="00DD5F33">
        <w:rPr>
          <w:rFonts w:ascii="Arial" w:eastAsia="Calibri" w:hAnsi="Arial" w:cs="Arial"/>
          <w:bCs/>
          <w:i/>
          <w:iCs/>
          <w:color w:val="000000"/>
          <w:sz w:val="22"/>
          <w:szCs w:val="22"/>
          <w:lang w:val="es-ES_tradnl" w:eastAsia="en-US"/>
        </w:rPr>
        <w:t>pacta sunt servanda</w:t>
      </w:r>
      <w:r w:rsidR="00AC455E" w:rsidRPr="00DD5F33">
        <w:rPr>
          <w:rFonts w:ascii="Arial" w:eastAsia="Calibri" w:hAnsi="Arial" w:cs="Arial"/>
          <w:bCs/>
          <w:color w:val="000000"/>
          <w:sz w:val="22"/>
          <w:szCs w:val="22"/>
          <w:lang w:val="es-ES_tradnl" w:eastAsia="en-US"/>
        </w:rPr>
        <w:t xml:space="preserve">. </w:t>
      </w:r>
      <w:r w:rsidR="00AF2D7A" w:rsidRPr="00DD5F33">
        <w:rPr>
          <w:rFonts w:ascii="Arial" w:eastAsia="Calibri" w:hAnsi="Arial" w:cs="Arial"/>
          <w:bCs/>
          <w:color w:val="000000"/>
          <w:sz w:val="22"/>
          <w:szCs w:val="22"/>
          <w:lang w:val="es-ES_tradnl" w:eastAsia="en-US"/>
        </w:rPr>
        <w:t xml:space="preserve">Así lo dispone el artículo </w:t>
      </w:r>
      <w:r w:rsidR="00B26F6F" w:rsidRPr="00DD5F33">
        <w:rPr>
          <w:rFonts w:ascii="Arial" w:eastAsia="Calibri" w:hAnsi="Arial" w:cs="Arial"/>
          <w:bCs/>
          <w:color w:val="000000"/>
          <w:sz w:val="22"/>
          <w:szCs w:val="22"/>
          <w:lang w:val="es-ES_tradnl" w:eastAsia="en-US"/>
        </w:rPr>
        <w:t xml:space="preserve">2.2.1.2.4.1.1., al </w:t>
      </w:r>
      <w:r w:rsidR="00820094" w:rsidRPr="00DD5F33">
        <w:rPr>
          <w:rFonts w:ascii="Arial" w:eastAsia="Calibri" w:hAnsi="Arial" w:cs="Arial"/>
          <w:bCs/>
          <w:color w:val="000000"/>
          <w:sz w:val="22"/>
          <w:szCs w:val="22"/>
          <w:lang w:val="es-ES_tradnl" w:eastAsia="en-US"/>
        </w:rPr>
        <w:t>señalar</w:t>
      </w:r>
      <w:r w:rsidR="00B26F6F" w:rsidRPr="00DD5F33">
        <w:rPr>
          <w:rFonts w:ascii="Arial" w:eastAsia="Calibri" w:hAnsi="Arial" w:cs="Arial"/>
          <w:bCs/>
          <w:color w:val="000000"/>
          <w:sz w:val="22"/>
          <w:szCs w:val="22"/>
          <w:lang w:val="es-ES_tradnl" w:eastAsia="en-US"/>
        </w:rPr>
        <w:t xml:space="preserve"> que «Las Entidades Estatales deben adelantar los Procesos de Contratación de acuerdo con lo previsto en los Acuerdos Comerciales, cuando estos les sean aplicables».​</w:t>
      </w:r>
      <w:r w:rsidR="00820094" w:rsidRPr="00DD5F33">
        <w:rPr>
          <w:rFonts w:ascii="Arial" w:eastAsia="Calibri" w:hAnsi="Arial" w:cs="Arial"/>
          <w:bCs/>
          <w:color w:val="000000"/>
          <w:sz w:val="22"/>
          <w:szCs w:val="22"/>
          <w:lang w:val="es-ES_tradnl" w:eastAsia="en-US"/>
        </w:rPr>
        <w:t xml:space="preserve"> El artículo 2.2.1.2.4.2.15. se refiere, literalmente, a los </w:t>
      </w:r>
      <w:r w:rsidR="00820094" w:rsidRPr="00DD5F33">
        <w:rPr>
          <w:rFonts w:ascii="Arial" w:eastAsia="Calibri" w:hAnsi="Arial" w:cs="Arial"/>
          <w:bCs/>
          <w:i/>
          <w:iCs/>
          <w:color w:val="000000"/>
          <w:sz w:val="22"/>
          <w:szCs w:val="22"/>
          <w:lang w:val="es-ES_tradnl" w:eastAsia="en-US"/>
        </w:rPr>
        <w:t>acuerdos comerciales vigentes</w:t>
      </w:r>
      <w:r w:rsidR="00820094" w:rsidRPr="00DD5F33">
        <w:rPr>
          <w:rFonts w:ascii="Arial" w:eastAsia="Calibri" w:hAnsi="Arial" w:cs="Arial"/>
          <w:bCs/>
          <w:color w:val="000000"/>
          <w:sz w:val="22"/>
          <w:szCs w:val="22"/>
          <w:lang w:val="es-ES_tradnl" w:eastAsia="en-US"/>
        </w:rPr>
        <w:t xml:space="preserve">. </w:t>
      </w:r>
      <w:r w:rsidR="009010DF" w:rsidRPr="00DD5F33">
        <w:rPr>
          <w:rFonts w:ascii="Arial" w:eastAsia="Calibri" w:hAnsi="Arial" w:cs="Arial"/>
          <w:bCs/>
          <w:color w:val="000000"/>
          <w:sz w:val="22"/>
          <w:szCs w:val="22"/>
          <w:lang w:val="es-ES_tradnl" w:eastAsia="en-US"/>
        </w:rPr>
        <w:t>En consecuencia se trata de un tema distinto al del trato nacional</w:t>
      </w:r>
      <w:r w:rsidR="003175CE" w:rsidRPr="00DD5F33">
        <w:rPr>
          <w:rFonts w:ascii="Arial" w:eastAsia="Calibri" w:hAnsi="Arial" w:cs="Arial"/>
          <w:bCs/>
          <w:color w:val="000000"/>
          <w:sz w:val="22"/>
          <w:szCs w:val="22"/>
          <w:lang w:val="es-ES_tradnl" w:eastAsia="en-US"/>
        </w:rPr>
        <w:t xml:space="preserve"> para el otorgamiento del puntaje para la promoción de la industria nacional</w:t>
      </w:r>
      <w:r w:rsidR="003E0FB3" w:rsidRPr="00DD5F33">
        <w:rPr>
          <w:rFonts w:ascii="Arial" w:eastAsia="Calibri" w:hAnsi="Arial" w:cs="Arial"/>
          <w:bCs/>
          <w:color w:val="000000"/>
          <w:sz w:val="22"/>
          <w:szCs w:val="22"/>
          <w:lang w:val="es-ES_tradnl" w:eastAsia="en-US"/>
        </w:rPr>
        <w:t xml:space="preserve">, regulado en la Ley </w:t>
      </w:r>
      <w:r w:rsidR="0008260D" w:rsidRPr="00DD5F33">
        <w:rPr>
          <w:rFonts w:ascii="Arial" w:eastAsia="Calibri" w:hAnsi="Arial" w:cs="Arial"/>
          <w:bCs/>
          <w:color w:val="000000"/>
          <w:sz w:val="22"/>
          <w:szCs w:val="22"/>
          <w:lang w:val="es-ES_tradnl" w:eastAsia="en-US"/>
        </w:rPr>
        <w:t>816 de 2003</w:t>
      </w:r>
      <w:r w:rsidR="00055EEE" w:rsidRPr="00DD5F33">
        <w:rPr>
          <w:rFonts w:ascii="Arial" w:eastAsia="Calibri" w:hAnsi="Arial" w:cs="Arial"/>
          <w:bCs/>
          <w:color w:val="000000"/>
          <w:sz w:val="22"/>
          <w:szCs w:val="22"/>
          <w:lang w:val="es-ES_tradnl" w:eastAsia="en-US"/>
        </w:rPr>
        <w:t>, el Decreto 680 de 2021 y demás disposiciones complementarias</w:t>
      </w:r>
      <w:r w:rsidR="00DA6918" w:rsidRPr="00DD5F33">
        <w:rPr>
          <w:rFonts w:ascii="Arial" w:eastAsia="Calibri" w:hAnsi="Arial" w:cs="Arial"/>
          <w:bCs/>
          <w:color w:val="000000"/>
          <w:sz w:val="22"/>
          <w:szCs w:val="22"/>
          <w:lang w:val="es-ES_tradnl" w:eastAsia="en-US"/>
        </w:rPr>
        <w:t>, ante la existencia de certificados de trato nacional por reciprocidad.</w:t>
      </w:r>
    </w:p>
    <w:p w14:paraId="66C458A9" w14:textId="77777777" w:rsidR="00B02A68" w:rsidRPr="00DD5F33" w:rsidRDefault="00B02A68" w:rsidP="002277A8">
      <w:pPr>
        <w:ind w:right="709"/>
        <w:jc w:val="both"/>
        <w:rPr>
          <w:rFonts w:ascii="Arial" w:hAnsi="Arial" w:cs="Arial"/>
          <w:color w:val="000000" w:themeColor="text1"/>
          <w:sz w:val="21"/>
          <w:szCs w:val="21"/>
          <w:lang w:val="es-ES_tradnl"/>
        </w:rPr>
      </w:pPr>
    </w:p>
    <w:p w14:paraId="158A28C2"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»“ARTÍCULO 4. Adición de un parágrafo al artículo 2.2.1.2.3.1.9. de la Subsección 1 de la Sección 3 del Capítulo 2 del Título 1 de la Parte 2 del Libro 2 del Decreto 1082 de 2015. Adiciónese un parágrafo al artículo 2.2.1.2.3.1.9 de la Subsección 1 de la Sección 3 del Capítulo 2 del Título 1 de la Parte 2 del Libro 2 del Decreto 1082 de 2015, el cual quedará así: "PARÁGRAFO. Colombia Compra Eficiente podrá definir un valor de suficiencia diferencial para la garantía de seriedad de las ofertas presentadas por los emprendimientos y las empresas de mujeres, y las Mipyme en los Acuerdos Marco de Precio.”</w:t>
      </w:r>
    </w:p>
    <w:p w14:paraId="704A5A63"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6F7A85D8" w14:textId="518B8D03"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»Al respecto se consulta:</w:t>
      </w:r>
    </w:p>
    <w:p w14:paraId="71AD82B4" w14:textId="77777777" w:rsidR="000154E8" w:rsidRPr="00DD5F33" w:rsidRDefault="000154E8" w:rsidP="00B02A68">
      <w:pPr>
        <w:ind w:left="709" w:right="709"/>
        <w:jc w:val="both"/>
        <w:rPr>
          <w:rFonts w:ascii="Arial" w:hAnsi="Arial" w:cs="Arial"/>
          <w:color w:val="000000" w:themeColor="text1"/>
          <w:sz w:val="21"/>
          <w:szCs w:val="21"/>
          <w:lang w:val="es-ES_tradnl"/>
        </w:rPr>
      </w:pPr>
    </w:p>
    <w:p w14:paraId="4A6D8F4D"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De conformidad con los criterios diferenciales para emprendimientos y empresas de mujeres y para MIPYMES, se establece la posibilidad de incorporar requisitos habilitantes diferenciales, entre ellos, en el aspecto del valor de la garantía de seriedad de la oferta. Por ende, conforme lo dispuesto en el Articulo 2.2.1.2.3.1.9., del Decreto 1082 de 2015 a efectos prácticos. ¿cómo sería posible establecer este diferencial de acuerdo con los valores y porcentajes para la suficiencia de esta garantía?</w:t>
      </w:r>
    </w:p>
    <w:p w14:paraId="681F6319"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1729A607"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Respecto de lo dispuesto en el artículo 2.2.1.2.4.2.15. del Decreto 1082, modificado, específicamente el tema del numeral 5 (Valor de la garantía de seriedad de la oferta), dicha modificación quiere decir que, en adelante, se deberá solicitar el piso establecido en el artículo 2.2.1.2.3.1.9. de la misma norma, que como mínimo exige una suficiencia de la garantía de seriedad de la oferta en 10% del presupuesto oficial, para las empresas y emprendimientos de mujeres, y un incremento en dicho porcentaje para los demás. Lo anterior, porque se acostumbra a exigir el 10% del valor del presupuesto oficial como garantía de seriedad de la oferta, y esto eleva los costos de presentación de propuesta de los oferentes.</w:t>
      </w:r>
    </w:p>
    <w:p w14:paraId="33D31C42" w14:textId="190162B1" w:rsidR="00B02A68" w:rsidRPr="00DD5F33" w:rsidRDefault="00B02A68" w:rsidP="00B02A68">
      <w:pPr>
        <w:ind w:left="709" w:right="709"/>
        <w:jc w:val="both"/>
        <w:rPr>
          <w:rFonts w:ascii="Arial" w:hAnsi="Arial" w:cs="Arial"/>
          <w:color w:val="000000" w:themeColor="text1"/>
          <w:sz w:val="21"/>
          <w:szCs w:val="21"/>
          <w:lang w:val="es-ES_tradnl"/>
        </w:rPr>
      </w:pPr>
    </w:p>
    <w:p w14:paraId="6D6F78CC" w14:textId="77777777" w:rsidR="00C83B74" w:rsidRPr="00DD5F33" w:rsidRDefault="002F73F7" w:rsidP="001F08FE">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Aunque el artículo </w:t>
      </w:r>
      <w:r w:rsidR="00227A2B" w:rsidRPr="00DD5F33">
        <w:rPr>
          <w:rFonts w:ascii="Arial" w:eastAsia="Calibri" w:hAnsi="Arial" w:cs="Arial"/>
          <w:bCs/>
          <w:color w:val="000000"/>
          <w:sz w:val="22"/>
          <w:szCs w:val="22"/>
          <w:lang w:val="es-ES_tradnl" w:eastAsia="en-US"/>
        </w:rPr>
        <w:t xml:space="preserve">2.2.1.2.3.1.9. del Decreto 1082 de 2015 regula la suficiencia de la garantía de seriedad de la oferta, indicando en el primer inciso que </w:t>
      </w:r>
      <w:r w:rsidR="008F75C8" w:rsidRPr="00DD5F33">
        <w:rPr>
          <w:rFonts w:ascii="Arial" w:eastAsia="Calibri" w:hAnsi="Arial" w:cs="Arial"/>
          <w:bCs/>
          <w:color w:val="000000"/>
          <w:sz w:val="22"/>
          <w:szCs w:val="22"/>
          <w:lang w:val="es-ES_tradnl" w:eastAsia="en-US"/>
        </w:rPr>
        <w:t xml:space="preserve">«su valor debe ser de por lo menos el diez por ciento (10%) del valor de la oferta», el artículo </w:t>
      </w:r>
      <w:r w:rsidR="006853B5" w:rsidRPr="00DD5F33">
        <w:rPr>
          <w:rFonts w:ascii="Arial" w:eastAsia="Calibri" w:hAnsi="Arial" w:cs="Arial"/>
          <w:bCs/>
          <w:color w:val="000000"/>
          <w:sz w:val="22"/>
          <w:szCs w:val="22"/>
          <w:lang w:val="es-ES_tradnl" w:eastAsia="en-US"/>
        </w:rPr>
        <w:t xml:space="preserve">4 del Decreto 1860 de 2021 adicionó un parágrafo a </w:t>
      </w:r>
      <w:r w:rsidR="00A65C09" w:rsidRPr="00DD5F33">
        <w:rPr>
          <w:rFonts w:ascii="Arial" w:eastAsia="Calibri" w:hAnsi="Arial" w:cs="Arial"/>
          <w:bCs/>
          <w:color w:val="000000"/>
          <w:sz w:val="22"/>
          <w:szCs w:val="22"/>
          <w:lang w:val="es-ES_tradnl" w:eastAsia="en-US"/>
        </w:rPr>
        <w:t>aquella disposición</w:t>
      </w:r>
      <w:r w:rsidR="006853B5" w:rsidRPr="00DD5F33">
        <w:rPr>
          <w:rFonts w:ascii="Arial" w:eastAsia="Calibri" w:hAnsi="Arial" w:cs="Arial"/>
          <w:bCs/>
          <w:color w:val="000000"/>
          <w:sz w:val="22"/>
          <w:szCs w:val="22"/>
          <w:lang w:val="es-ES_tradnl" w:eastAsia="en-US"/>
        </w:rPr>
        <w:t>, que establece que «</w:t>
      </w:r>
      <w:r w:rsidR="00E6502E" w:rsidRPr="00DD5F33">
        <w:rPr>
          <w:rFonts w:ascii="Arial" w:eastAsia="Calibri" w:hAnsi="Arial" w:cs="Arial"/>
          <w:bCs/>
          <w:color w:val="000000"/>
          <w:sz w:val="22"/>
          <w:szCs w:val="22"/>
          <w:lang w:val="es-ES_tradnl" w:eastAsia="en-US"/>
        </w:rPr>
        <w:t xml:space="preserve">Colombia Compra Eficiente podrá definir un valor de suficiencia diferencial para la garantía de seriedad de las ofertas presentadas por los emprendimientos y las empresas de mujeres, y las Mipyme en los Acuerdos Marco de Precio». </w:t>
      </w:r>
    </w:p>
    <w:p w14:paraId="3A743FAF" w14:textId="58F1AD42" w:rsidR="00F20801" w:rsidRPr="00DD5F33" w:rsidRDefault="00C83B74" w:rsidP="00C83B74">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Lo anterior q</w:t>
      </w:r>
      <w:r w:rsidR="00E6502E" w:rsidRPr="00DD5F33">
        <w:rPr>
          <w:rFonts w:ascii="Arial" w:eastAsia="Calibri" w:hAnsi="Arial" w:cs="Arial"/>
          <w:bCs/>
          <w:color w:val="000000"/>
          <w:sz w:val="22"/>
          <w:szCs w:val="22"/>
          <w:lang w:val="es-ES_tradnl" w:eastAsia="en-US"/>
        </w:rPr>
        <w:t xml:space="preserve">uiere decir que el </w:t>
      </w:r>
      <w:r w:rsidR="008A511F" w:rsidRPr="00DD5F33">
        <w:rPr>
          <w:rFonts w:ascii="Arial" w:eastAsia="Calibri" w:hAnsi="Arial" w:cs="Arial"/>
          <w:bCs/>
          <w:color w:val="000000"/>
          <w:sz w:val="22"/>
          <w:szCs w:val="22"/>
          <w:lang w:val="es-ES_tradnl" w:eastAsia="en-US"/>
        </w:rPr>
        <w:t>reglamento concedió competencia a Colombia Compra Eficiente para definir un valor de suficiencia diferencial, que no necesariamente deberá coincidir con</w:t>
      </w:r>
      <w:r w:rsidR="00C36895" w:rsidRPr="00DD5F33">
        <w:rPr>
          <w:rFonts w:ascii="Arial" w:eastAsia="Calibri" w:hAnsi="Arial" w:cs="Arial"/>
          <w:bCs/>
          <w:color w:val="000000"/>
          <w:sz w:val="22"/>
          <w:szCs w:val="22"/>
          <w:lang w:val="es-ES_tradnl" w:eastAsia="en-US"/>
        </w:rPr>
        <w:t xml:space="preserve"> el valor mínimo del diez por ciento (10%), indicado en el inciso primero del artículo 2.2.1.2.3.1.9. del Decreto 1082 de 2015,</w:t>
      </w:r>
      <w:r w:rsidR="00F20801" w:rsidRPr="00DD5F33">
        <w:rPr>
          <w:rFonts w:ascii="Arial" w:eastAsia="Calibri" w:hAnsi="Arial" w:cs="Arial"/>
          <w:bCs/>
          <w:color w:val="000000"/>
          <w:sz w:val="22"/>
          <w:szCs w:val="22"/>
          <w:lang w:val="es-ES_tradnl" w:eastAsia="en-US"/>
        </w:rPr>
        <w:t xml:space="preserve"> en relación con las ofertas presentadas por los emprendimientos y las empresas de mujeres, y las Mipyme en los Acuerdos Marco de Precio.</w:t>
      </w:r>
      <w:r w:rsidR="006826B1" w:rsidRPr="00DD5F33">
        <w:rPr>
          <w:rFonts w:ascii="Arial" w:eastAsia="Calibri" w:hAnsi="Arial" w:cs="Arial"/>
          <w:bCs/>
          <w:color w:val="000000"/>
          <w:sz w:val="22"/>
          <w:szCs w:val="22"/>
          <w:lang w:val="es-ES_tradnl" w:eastAsia="en-US"/>
        </w:rPr>
        <w:t xml:space="preserve"> Este será un análisis que realizará la Agencia, en cumplimiento de la </w:t>
      </w:r>
      <w:r w:rsidR="00180F2A" w:rsidRPr="00DD5F33">
        <w:rPr>
          <w:rFonts w:ascii="Arial" w:eastAsia="Calibri" w:hAnsi="Arial" w:cs="Arial"/>
          <w:bCs/>
          <w:color w:val="000000"/>
          <w:sz w:val="22"/>
          <w:szCs w:val="22"/>
          <w:lang w:val="es-ES_tradnl" w:eastAsia="en-US"/>
        </w:rPr>
        <w:t>facultad señalada en el artículo 4 del Decreto 1860 de 2021, a partir del estudio de oportunidad y conveniencia correspondiente.</w:t>
      </w:r>
    </w:p>
    <w:p w14:paraId="6533D08D" w14:textId="77777777" w:rsidR="001F08FE" w:rsidRPr="00DD5F33" w:rsidRDefault="001F08FE" w:rsidP="00B02A68">
      <w:pPr>
        <w:ind w:left="709" w:right="709"/>
        <w:jc w:val="both"/>
        <w:rPr>
          <w:rFonts w:ascii="Arial" w:hAnsi="Arial" w:cs="Arial"/>
          <w:color w:val="000000" w:themeColor="text1"/>
          <w:sz w:val="21"/>
          <w:szCs w:val="21"/>
          <w:lang w:val="es-ES_tradnl"/>
        </w:rPr>
      </w:pPr>
    </w:p>
    <w:p w14:paraId="44EFCEEB"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»FRENTE A LOS CRITERIOS DE DESEMPATE</w:t>
      </w:r>
    </w:p>
    <w:p w14:paraId="3EE1D707"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7902F038" w14:textId="7777777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»1. Si en el término de verificación la Entidad encuentra un documento que debe ser subsanado, pero este también sirve para el criterio de puntuación y desempate en el proceso de selección, ¿puedo solicitar que se subsané? Por favor explicar la respuesta desde el componente jurídico entendiendo que los documentos objeto de puntuación no deben ser subsanados.</w:t>
      </w:r>
    </w:p>
    <w:p w14:paraId="00C69BE5" w14:textId="77777777" w:rsidR="00B02A68" w:rsidRPr="00DD5F33" w:rsidRDefault="00B02A68" w:rsidP="00B02A68">
      <w:pPr>
        <w:ind w:left="709" w:right="709"/>
        <w:jc w:val="both"/>
        <w:rPr>
          <w:rFonts w:ascii="Arial" w:hAnsi="Arial" w:cs="Arial"/>
          <w:color w:val="000000" w:themeColor="text1"/>
          <w:sz w:val="21"/>
          <w:szCs w:val="21"/>
          <w:lang w:val="es-ES_tradnl"/>
        </w:rPr>
      </w:pPr>
    </w:p>
    <w:p w14:paraId="5E5743EE" w14:textId="00D97437" w:rsidR="00B02A68" w:rsidRPr="00DD5F33" w:rsidRDefault="00B02A68"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»2. ¿Los documentos que son objeto de verificación para el desempate y que no fueron solicitados en el plazo de subsanación, pueden solicitarse después de la publicación del informe de evaluación?</w:t>
      </w:r>
      <w:r w:rsidR="00B4750B" w:rsidRPr="00DD5F33">
        <w:rPr>
          <w:rFonts w:ascii="Arial" w:hAnsi="Arial" w:cs="Arial"/>
          <w:color w:val="000000" w:themeColor="text1"/>
          <w:sz w:val="21"/>
          <w:szCs w:val="21"/>
          <w:lang w:val="es-ES_tradnl"/>
        </w:rPr>
        <w:t>»</w:t>
      </w:r>
    </w:p>
    <w:p w14:paraId="54D5F3F4" w14:textId="4BC69EDF" w:rsidR="00B02A68" w:rsidRPr="00DD5F33" w:rsidRDefault="00B02A68" w:rsidP="00B02A68">
      <w:pPr>
        <w:ind w:left="709" w:right="709"/>
        <w:jc w:val="both"/>
        <w:rPr>
          <w:rFonts w:ascii="Arial" w:hAnsi="Arial" w:cs="Arial"/>
          <w:color w:val="000000" w:themeColor="text1"/>
          <w:sz w:val="21"/>
          <w:szCs w:val="21"/>
          <w:lang w:val="es-ES_tradnl"/>
        </w:rPr>
      </w:pPr>
    </w:p>
    <w:p w14:paraId="1DCF5F56" w14:textId="77777777" w:rsidR="00077D90" w:rsidRPr="00DD5F33" w:rsidRDefault="00675A4C" w:rsidP="00B4750B">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Como lo ha indicado esta Agencia en </w:t>
      </w:r>
      <w:r w:rsidR="00B21E5A" w:rsidRPr="00DD5F33">
        <w:rPr>
          <w:rFonts w:ascii="Arial" w:eastAsia="Calibri" w:hAnsi="Arial" w:cs="Arial"/>
          <w:bCs/>
          <w:color w:val="000000"/>
          <w:sz w:val="22"/>
          <w:szCs w:val="22"/>
          <w:lang w:val="es-ES_tradnl" w:eastAsia="en-US"/>
        </w:rPr>
        <w:t>los</w:t>
      </w:r>
      <w:r w:rsidRPr="00DD5F33">
        <w:rPr>
          <w:rFonts w:ascii="Arial" w:eastAsia="Calibri" w:hAnsi="Arial" w:cs="Arial"/>
          <w:bCs/>
          <w:color w:val="000000"/>
          <w:sz w:val="22"/>
          <w:szCs w:val="22"/>
          <w:lang w:val="es-ES_tradnl" w:eastAsia="en-US"/>
        </w:rPr>
        <w:t xml:space="preserve"> documentos tipo</w:t>
      </w:r>
      <w:r w:rsidR="004E06FC" w:rsidRPr="00DD5F33">
        <w:rPr>
          <w:rStyle w:val="Refdenotaalpie"/>
          <w:rFonts w:ascii="Arial" w:eastAsia="Calibri" w:hAnsi="Arial" w:cs="Arial"/>
          <w:bCs/>
          <w:color w:val="000000"/>
          <w:sz w:val="22"/>
          <w:szCs w:val="22"/>
          <w:lang w:val="es-ES_tradnl" w:eastAsia="en-US"/>
        </w:rPr>
        <w:footnoteReference w:id="59"/>
      </w:r>
      <w:r w:rsidRPr="00DD5F33">
        <w:rPr>
          <w:rFonts w:ascii="Arial" w:eastAsia="Calibri" w:hAnsi="Arial" w:cs="Arial"/>
          <w:bCs/>
          <w:color w:val="000000"/>
          <w:sz w:val="22"/>
          <w:szCs w:val="22"/>
          <w:lang w:val="es-ES_tradnl" w:eastAsia="en-US"/>
        </w:rPr>
        <w:t xml:space="preserve">, </w:t>
      </w:r>
      <w:r w:rsidR="00B21E5A" w:rsidRPr="00DD5F33">
        <w:rPr>
          <w:rFonts w:ascii="Arial" w:eastAsia="Calibri" w:hAnsi="Arial" w:cs="Arial"/>
          <w:bCs/>
          <w:color w:val="000000"/>
          <w:sz w:val="22"/>
          <w:szCs w:val="22"/>
          <w:lang w:val="es-ES_tradnl" w:eastAsia="en-US"/>
        </w:rPr>
        <w:t>«Todos aquellos requisitos de la oferta que afecten la asignación de puntaje</w:t>
      </w:r>
      <w:r w:rsidR="00B21E5A" w:rsidRPr="00DD5F33">
        <w:rPr>
          <w:rFonts w:ascii="Arial" w:eastAsia="Calibri" w:hAnsi="Arial" w:cs="Arial"/>
          <w:bCs/>
          <w:i/>
          <w:iCs/>
          <w:color w:val="000000"/>
          <w:sz w:val="22"/>
          <w:szCs w:val="22"/>
          <w:lang w:val="es-ES_tradnl" w:eastAsia="en-US"/>
        </w:rPr>
        <w:t>, incluyendo los necesarios para acreditar requisitos de desempate</w:t>
      </w:r>
      <w:r w:rsidR="00B21E5A" w:rsidRPr="00DD5F33">
        <w:rPr>
          <w:rFonts w:ascii="Arial" w:eastAsia="Calibri" w:hAnsi="Arial" w:cs="Arial"/>
          <w:bCs/>
          <w:color w:val="000000"/>
          <w:sz w:val="22"/>
          <w:szCs w:val="22"/>
          <w:lang w:val="es-ES_tradnl" w:eastAsia="en-US"/>
        </w:rPr>
        <w:t>, no son subsanables, por lo que los mismos deben ser aportados por los proponentes desde la presentación de la oferta. No obstante, pueden ser aclarados o ser objeto de explicación» (énfasis fuera de texto).</w:t>
      </w:r>
      <w:r w:rsidR="000F6C78" w:rsidRPr="00DD5F33">
        <w:rPr>
          <w:rFonts w:ascii="Arial" w:eastAsia="Calibri" w:hAnsi="Arial" w:cs="Arial"/>
          <w:bCs/>
          <w:color w:val="000000"/>
          <w:sz w:val="22"/>
          <w:szCs w:val="22"/>
          <w:lang w:val="es-ES_tradnl" w:eastAsia="en-US"/>
        </w:rPr>
        <w:t xml:space="preserve"> </w:t>
      </w:r>
    </w:p>
    <w:p w14:paraId="0A819B38" w14:textId="77777777" w:rsidR="00077D90" w:rsidRPr="00DD5F33" w:rsidRDefault="000F6C78" w:rsidP="00077D90">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Esta interpretación guarda consonancia con el parágrafo 1</w:t>
      </w:r>
      <w:r w:rsidR="00680F3E"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del artículo </w:t>
      </w:r>
      <w:r w:rsidR="00680F3E" w:rsidRPr="00DD5F33">
        <w:rPr>
          <w:rFonts w:ascii="Arial" w:eastAsia="Calibri" w:hAnsi="Arial" w:cs="Arial"/>
          <w:bCs/>
          <w:color w:val="000000"/>
          <w:sz w:val="22"/>
          <w:szCs w:val="22"/>
          <w:lang w:val="es-ES_tradnl" w:eastAsia="en-US"/>
        </w:rPr>
        <w:t xml:space="preserve">5 de la Ley 1150 de 2007, modificado por el artículo 5 de la Ley 1882 de 2018, que indica que «[…], todos aquellos requisitos de la propuesta </w:t>
      </w:r>
      <w:r w:rsidR="00680F3E" w:rsidRPr="00DD5F33">
        <w:rPr>
          <w:rFonts w:ascii="Arial" w:eastAsia="Calibri" w:hAnsi="Arial" w:cs="Arial"/>
          <w:bCs/>
          <w:i/>
          <w:iCs/>
          <w:color w:val="000000"/>
          <w:sz w:val="22"/>
          <w:szCs w:val="22"/>
          <w:lang w:val="es-ES_tradnl" w:eastAsia="en-US"/>
        </w:rPr>
        <w:t>que no afecten la asignación de puntaje</w:t>
      </w:r>
      <w:r w:rsidR="00680F3E" w:rsidRPr="00DD5F33">
        <w:rPr>
          <w:rFonts w:ascii="Arial" w:eastAsia="Calibri" w:hAnsi="Arial" w:cs="Arial"/>
          <w:bCs/>
          <w:color w:val="000000"/>
          <w:sz w:val="22"/>
          <w:szCs w:val="22"/>
          <w:lang w:val="es-ES_tradnl" w:eastAsia="en-US"/>
        </w:rPr>
        <w:t xml:space="preserve">, deberán ser solicitados por las entidades estatales y deberán ser entregados por los proponentes </w:t>
      </w:r>
      <w:r w:rsidR="00680F3E" w:rsidRPr="00DD5F33">
        <w:rPr>
          <w:rFonts w:ascii="Arial" w:eastAsia="Calibri" w:hAnsi="Arial" w:cs="Arial"/>
          <w:bCs/>
          <w:color w:val="000000"/>
          <w:sz w:val="22"/>
          <w:szCs w:val="22"/>
          <w:lang w:val="es-ES_tradnl" w:eastAsia="en-US"/>
        </w:rPr>
        <w:lastRenderedPageBreak/>
        <w:t xml:space="preserve">hasta el término de traslado del informe de evaluación que corresponda a cada modalidad de selección, salvo lo dispuesto para el proceso de Mínima cuantía y para el proceso de selección a través del sistema de subasta» (énfasis fuera de texto). </w:t>
      </w:r>
    </w:p>
    <w:p w14:paraId="17948B88" w14:textId="5BCA40F1" w:rsidR="00083139" w:rsidRPr="00DD5F33" w:rsidRDefault="00680F3E" w:rsidP="00083139">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De allí se desprende que los documentos que deba presentar el oferente para acreditar las circunstancias que otorgan puntaje no son subsanables</w:t>
      </w:r>
      <w:r w:rsidR="00A0006F" w:rsidRPr="00DD5F33">
        <w:rPr>
          <w:rFonts w:ascii="Arial" w:eastAsia="Calibri" w:hAnsi="Arial" w:cs="Arial"/>
          <w:bCs/>
          <w:color w:val="000000"/>
          <w:sz w:val="22"/>
          <w:szCs w:val="22"/>
          <w:lang w:val="es-ES_tradnl" w:eastAsia="en-US"/>
        </w:rPr>
        <w:t>. Esto</w:t>
      </w:r>
      <w:r w:rsidRPr="00DD5F33">
        <w:rPr>
          <w:rFonts w:ascii="Arial" w:eastAsia="Calibri" w:hAnsi="Arial" w:cs="Arial"/>
          <w:bCs/>
          <w:color w:val="000000"/>
          <w:sz w:val="22"/>
          <w:szCs w:val="22"/>
          <w:lang w:val="es-ES_tradnl" w:eastAsia="en-US"/>
        </w:rPr>
        <w:t xml:space="preserve"> ocurre, precisamente, con los </w:t>
      </w:r>
      <w:r w:rsidR="00A0006F" w:rsidRPr="00DD5F33">
        <w:rPr>
          <w:rFonts w:ascii="Arial" w:eastAsia="Calibri" w:hAnsi="Arial" w:cs="Arial"/>
          <w:bCs/>
          <w:color w:val="000000"/>
          <w:sz w:val="22"/>
          <w:szCs w:val="22"/>
          <w:lang w:val="es-ES_tradnl" w:eastAsia="en-US"/>
        </w:rPr>
        <w:t xml:space="preserve">documentos que </w:t>
      </w:r>
      <w:r w:rsidR="00C314E9" w:rsidRPr="00DD5F33">
        <w:rPr>
          <w:rFonts w:ascii="Arial" w:eastAsia="Calibri" w:hAnsi="Arial" w:cs="Arial"/>
          <w:bCs/>
          <w:color w:val="000000"/>
          <w:sz w:val="22"/>
          <w:szCs w:val="22"/>
          <w:lang w:val="es-ES_tradnl" w:eastAsia="en-US"/>
        </w:rPr>
        <w:t>han de aportarse</w:t>
      </w:r>
      <w:r w:rsidR="00A0006F" w:rsidRPr="00DD5F33">
        <w:rPr>
          <w:rFonts w:ascii="Arial" w:eastAsia="Calibri" w:hAnsi="Arial" w:cs="Arial"/>
          <w:bCs/>
          <w:color w:val="000000"/>
          <w:sz w:val="22"/>
          <w:szCs w:val="22"/>
          <w:lang w:val="es-ES_tradnl" w:eastAsia="en-US"/>
        </w:rPr>
        <w:t xml:space="preserve"> para demostrar que el proponente se encuentra en los supuestos regulados en el artículo 35 de la Ley 2069 de 2020, reglamentado por el artículo </w:t>
      </w:r>
      <w:r w:rsidR="00C41FE0" w:rsidRPr="00DD5F33">
        <w:rPr>
          <w:rFonts w:ascii="Arial" w:eastAsia="Calibri" w:hAnsi="Arial" w:cs="Arial"/>
          <w:bCs/>
          <w:color w:val="000000"/>
          <w:sz w:val="22"/>
          <w:szCs w:val="22"/>
          <w:lang w:val="es-ES_tradnl" w:eastAsia="en-US"/>
        </w:rPr>
        <w:t xml:space="preserve">2.2.1.2.4.2.17. del Decreto 1082 de 2015 –adicionado por el artículo 3 del Decreto 1860 de 2021–, para </w:t>
      </w:r>
      <w:r w:rsidR="00077D90" w:rsidRPr="00DD5F33">
        <w:rPr>
          <w:rFonts w:ascii="Arial" w:eastAsia="Calibri" w:hAnsi="Arial" w:cs="Arial"/>
          <w:bCs/>
          <w:color w:val="000000"/>
          <w:sz w:val="22"/>
          <w:szCs w:val="22"/>
          <w:lang w:val="es-ES_tradnl" w:eastAsia="en-US"/>
        </w:rPr>
        <w:t>ser beneficiario de los factores de desempate, pues estos inciden sobre la calificación.</w:t>
      </w:r>
      <w:r w:rsidR="00A0006F" w:rsidRPr="00DD5F33">
        <w:rPr>
          <w:rFonts w:ascii="Arial" w:eastAsia="Calibri" w:hAnsi="Arial" w:cs="Arial"/>
          <w:bCs/>
          <w:color w:val="000000"/>
          <w:sz w:val="22"/>
          <w:szCs w:val="22"/>
          <w:lang w:val="es-ES_tradnl" w:eastAsia="en-US"/>
        </w:rPr>
        <w:t xml:space="preserve"> </w:t>
      </w:r>
    </w:p>
    <w:p w14:paraId="792A54E9" w14:textId="17C278F4" w:rsidR="00083139" w:rsidRPr="00DD5F33" w:rsidRDefault="00083139" w:rsidP="00083139">
      <w:pPr>
        <w:spacing w:before="120" w:line="276" w:lineRule="auto"/>
        <w:ind w:firstLine="709"/>
        <w:jc w:val="both"/>
        <w:rPr>
          <w:rFonts w:ascii="Arial" w:eastAsia="Calibri" w:hAnsi="Arial" w:cs="Arial"/>
          <w:bCs/>
          <w:color w:val="000000"/>
          <w:sz w:val="22"/>
          <w:szCs w:val="22"/>
          <w:lang w:eastAsia="en-US"/>
        </w:rPr>
      </w:pPr>
      <w:r w:rsidRPr="00DD5F33">
        <w:rPr>
          <w:rFonts w:ascii="Arial" w:eastAsia="Calibri" w:hAnsi="Arial" w:cs="Arial"/>
          <w:bCs/>
          <w:color w:val="000000"/>
          <w:sz w:val="22"/>
          <w:szCs w:val="22"/>
          <w:lang w:val="es-ES_tradnl" w:eastAsia="en-US"/>
        </w:rPr>
        <w:t>A partir de lo anterior, puede decirse que si un documento sirve para acreditar un requisito habilitante y también para demostrar alguna de</w:t>
      </w:r>
      <w:r w:rsidR="006343F1" w:rsidRPr="00DD5F33">
        <w:rPr>
          <w:rFonts w:ascii="Arial" w:eastAsia="Calibri" w:hAnsi="Arial" w:cs="Arial"/>
          <w:bCs/>
          <w:color w:val="000000"/>
          <w:sz w:val="22"/>
          <w:szCs w:val="22"/>
          <w:lang w:val="es-ES_tradnl" w:eastAsia="en-US"/>
        </w:rPr>
        <w:t xml:space="preserve"> los supuestos que permiten la aplicación de los factores de desempate, debe permitirse su subsanación frente al requisito habilitante, más no frente a los factores de desempate. Así también lo ha interpretado esta Agencia en los documentos tipo</w:t>
      </w:r>
      <w:r w:rsidR="00FE3A4F" w:rsidRPr="00DD5F33">
        <w:rPr>
          <w:rFonts w:ascii="Arial" w:eastAsia="Calibri" w:hAnsi="Arial" w:cs="Arial"/>
          <w:bCs/>
          <w:color w:val="000000"/>
          <w:sz w:val="22"/>
          <w:szCs w:val="22"/>
          <w:lang w:val="es-ES_tradnl" w:eastAsia="en-US"/>
        </w:rPr>
        <w:t xml:space="preserve">. Por ejemplo, en lo que respecta a </w:t>
      </w:r>
      <w:r w:rsidR="006332EC" w:rsidRPr="00DD5F33">
        <w:rPr>
          <w:rFonts w:ascii="Arial" w:eastAsia="Calibri" w:hAnsi="Arial" w:cs="Arial"/>
          <w:bCs/>
          <w:color w:val="000000"/>
          <w:sz w:val="22"/>
          <w:szCs w:val="22"/>
          <w:lang w:val="es-ES_tradnl" w:eastAsia="en-US"/>
        </w:rPr>
        <w:t>la acreditación</w:t>
      </w:r>
      <w:r w:rsidR="00284C62" w:rsidRPr="00DD5F33">
        <w:rPr>
          <w:rFonts w:ascii="Arial" w:eastAsia="Calibri" w:hAnsi="Arial" w:cs="Arial"/>
          <w:bCs/>
          <w:color w:val="000000"/>
          <w:sz w:val="22"/>
          <w:szCs w:val="22"/>
          <w:lang w:val="es-ES_tradnl" w:eastAsia="en-US"/>
        </w:rPr>
        <w:t xml:space="preserve"> del puntaje por servicios nacionales o con trato nacional, ha indicado: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r w:rsidR="0074651B" w:rsidRPr="00DD5F33">
        <w:rPr>
          <w:rStyle w:val="Refdenotaalpie"/>
          <w:rFonts w:ascii="Arial" w:eastAsia="Calibri" w:hAnsi="Arial" w:cs="Arial"/>
          <w:bCs/>
          <w:color w:val="000000"/>
          <w:sz w:val="22"/>
          <w:szCs w:val="22"/>
          <w:lang w:val="es-ES_tradnl" w:eastAsia="en-US"/>
        </w:rPr>
        <w:footnoteReference w:id="60"/>
      </w:r>
      <w:r w:rsidR="00284C62" w:rsidRPr="00DD5F33">
        <w:rPr>
          <w:rFonts w:ascii="Arial" w:eastAsia="Calibri" w:hAnsi="Arial" w:cs="Arial"/>
          <w:bCs/>
          <w:color w:val="000000"/>
          <w:sz w:val="22"/>
          <w:szCs w:val="22"/>
          <w:lang w:val="es-ES_tradnl" w:eastAsia="en-US"/>
        </w:rPr>
        <w:t>.</w:t>
      </w:r>
    </w:p>
    <w:p w14:paraId="1DC9A86B" w14:textId="77777777" w:rsidR="00B4750B" w:rsidRPr="00DD5F33" w:rsidRDefault="00B4750B" w:rsidP="00B02A68">
      <w:pPr>
        <w:ind w:left="709" w:right="709"/>
        <w:jc w:val="both"/>
        <w:rPr>
          <w:rFonts w:ascii="Arial" w:hAnsi="Arial" w:cs="Arial"/>
          <w:color w:val="000000" w:themeColor="text1"/>
          <w:sz w:val="21"/>
          <w:szCs w:val="21"/>
          <w:lang w:val="es-ES_tradnl"/>
        </w:rPr>
      </w:pPr>
    </w:p>
    <w:p w14:paraId="2EFCAB90" w14:textId="1DBD4F56" w:rsidR="00B02A68" w:rsidRPr="00DD5F33" w:rsidRDefault="00123AE0" w:rsidP="00B02A68">
      <w:pPr>
        <w:ind w:left="709" w:right="709"/>
        <w:jc w:val="both"/>
        <w:rPr>
          <w:rFonts w:ascii="Arial" w:hAnsi="Arial" w:cs="Arial"/>
          <w:color w:val="000000" w:themeColor="text1"/>
          <w:sz w:val="21"/>
          <w:szCs w:val="21"/>
          <w:lang w:val="es-ES_tradnl"/>
        </w:rPr>
      </w:pPr>
      <w:r w:rsidRPr="00DD5F33">
        <w:rPr>
          <w:rFonts w:ascii="Arial" w:hAnsi="Arial" w:cs="Arial"/>
          <w:color w:val="000000" w:themeColor="text1"/>
          <w:sz w:val="21"/>
          <w:szCs w:val="21"/>
          <w:lang w:val="es-ES_tradnl"/>
        </w:rPr>
        <w:t>«</w:t>
      </w:r>
      <w:r w:rsidR="00B02A68" w:rsidRPr="00DD5F33">
        <w:rPr>
          <w:rFonts w:ascii="Arial" w:hAnsi="Arial" w:cs="Arial"/>
          <w:color w:val="000000" w:themeColor="text1"/>
          <w:sz w:val="21"/>
          <w:szCs w:val="21"/>
          <w:lang w:val="es-ES_tradnl"/>
        </w:rPr>
        <w:t>3. Si bien el decreto propone que los criterios diferenciales, en materia de emprendimientos y empresas de mujeres Mipymes, se establezcan desde el estudio del sector, consideramos que dichos criterios deben ser resultado de que el proceso efectivamente quede limitado a Mipymes por cuanto desde el análisis del sector no se puede establecer si las empresas son con participación de más del 50% de mujeres o sus cargos directivos son de mujeres, igual sucede con las Mipymes y el amplio espectro empresarial sin identificar su tamaño».</w:t>
      </w:r>
    </w:p>
    <w:p w14:paraId="0D658D6F" w14:textId="77777777" w:rsidR="00057270" w:rsidRPr="00DD5F33" w:rsidRDefault="00057270" w:rsidP="00057270">
      <w:pPr>
        <w:spacing w:line="276" w:lineRule="auto"/>
        <w:jc w:val="both"/>
        <w:rPr>
          <w:rFonts w:ascii="Arial" w:eastAsia="Calibri" w:hAnsi="Arial" w:cs="Arial"/>
          <w:bCs/>
          <w:color w:val="000000"/>
          <w:sz w:val="22"/>
          <w:szCs w:val="22"/>
          <w:lang w:val="es-ES_tradnl" w:eastAsia="en-US"/>
        </w:rPr>
      </w:pPr>
    </w:p>
    <w:p w14:paraId="1B969C8C" w14:textId="103307AD" w:rsidR="003462AB" w:rsidRPr="00DD5F33" w:rsidRDefault="00057270" w:rsidP="00057270">
      <w:pPr>
        <w:spacing w:line="276" w:lineRule="auto"/>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Como se </w:t>
      </w:r>
      <w:r w:rsidR="00123AE0" w:rsidRPr="00DD5F33">
        <w:rPr>
          <w:rFonts w:ascii="Arial" w:eastAsia="Calibri" w:hAnsi="Arial" w:cs="Arial"/>
          <w:bCs/>
          <w:color w:val="000000"/>
          <w:sz w:val="22"/>
          <w:szCs w:val="22"/>
          <w:lang w:val="es-ES_tradnl" w:eastAsia="en-US"/>
        </w:rPr>
        <w:t>dijo</w:t>
      </w:r>
      <w:r w:rsidRPr="00DD5F33">
        <w:rPr>
          <w:rFonts w:ascii="Arial" w:eastAsia="Calibri" w:hAnsi="Arial" w:cs="Arial"/>
          <w:bCs/>
          <w:color w:val="000000"/>
          <w:sz w:val="22"/>
          <w:szCs w:val="22"/>
          <w:lang w:val="es-ES_tradnl" w:eastAsia="en-US"/>
        </w:rPr>
        <w:t xml:space="preserve"> en una respuesta anterior, se deben diferenciar </w:t>
      </w:r>
      <w:r w:rsidR="00253AAF" w:rsidRPr="00DD5F33">
        <w:rPr>
          <w:rFonts w:ascii="Arial" w:eastAsia="Calibri" w:hAnsi="Arial" w:cs="Arial"/>
          <w:bCs/>
          <w:color w:val="000000"/>
          <w:sz w:val="22"/>
          <w:szCs w:val="22"/>
          <w:lang w:val="es-ES_tradnl" w:eastAsia="en-US"/>
        </w:rPr>
        <w:t>varias</w:t>
      </w:r>
      <w:r w:rsidRPr="00DD5F33">
        <w:rPr>
          <w:rFonts w:ascii="Arial" w:eastAsia="Calibri" w:hAnsi="Arial" w:cs="Arial"/>
          <w:bCs/>
          <w:color w:val="000000"/>
          <w:sz w:val="22"/>
          <w:szCs w:val="22"/>
          <w:lang w:val="es-ES_tradnl" w:eastAsia="en-US"/>
        </w:rPr>
        <w:t xml:space="preserve"> circunstancias: i)</w:t>
      </w:r>
      <w:r w:rsidR="00253AAF"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la limitación de una convocatoria a mipymes –regulada en los artículos 2.2.1.2.4.2.2. al 2.2.1.2.4.2.4. del Decreto 1082 de 2015, modificados por el artículo 5 del Decreto 1860 de 2021–</w:t>
      </w:r>
      <w:r w:rsidR="00253AAF"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ii) el establecimiento de criterios para mipymes en el sistema de compras públicas –regido por el artículo 2.2.1.2.4.2.18., adicionado por el artículo 3 del Decreto 1860 de 2021–</w:t>
      </w:r>
      <w:r w:rsidR="00253AAF" w:rsidRPr="00DD5F33">
        <w:rPr>
          <w:rFonts w:ascii="Arial" w:eastAsia="Calibri" w:hAnsi="Arial" w:cs="Arial"/>
          <w:bCs/>
          <w:color w:val="000000"/>
          <w:sz w:val="22"/>
          <w:szCs w:val="22"/>
          <w:lang w:val="es-ES_tradnl" w:eastAsia="en-US"/>
        </w:rPr>
        <w:t>, y iii)</w:t>
      </w:r>
      <w:r w:rsidR="00C860DB" w:rsidRPr="00DD5F33">
        <w:rPr>
          <w:rFonts w:ascii="Arial" w:eastAsia="Calibri" w:hAnsi="Arial" w:cs="Arial"/>
          <w:bCs/>
          <w:color w:val="000000"/>
          <w:sz w:val="22"/>
          <w:szCs w:val="22"/>
          <w:lang w:val="es-ES_tradnl" w:eastAsia="en-US"/>
        </w:rPr>
        <w:t xml:space="preserve"> la fijación de criterios diferenciales para emprendimientos y empresas de mujeres en el sistema de compras públicas.</w:t>
      </w:r>
      <w:r w:rsidR="00A02C9B" w:rsidRPr="00DD5F33">
        <w:rPr>
          <w:rFonts w:ascii="Arial" w:eastAsia="Calibri" w:hAnsi="Arial" w:cs="Arial"/>
          <w:bCs/>
          <w:color w:val="000000"/>
          <w:sz w:val="22"/>
          <w:szCs w:val="22"/>
          <w:lang w:val="es-ES_tradnl" w:eastAsia="en-US"/>
        </w:rPr>
        <w:t xml:space="preserve">, regulada en el artículo 2.2.1.2.4.2.15. del Decreto 1082 de 2015, adicionado por el </w:t>
      </w:r>
      <w:r w:rsidR="008377E8" w:rsidRPr="00DD5F33">
        <w:rPr>
          <w:rFonts w:ascii="Arial" w:eastAsia="Calibri" w:hAnsi="Arial" w:cs="Arial"/>
          <w:bCs/>
          <w:color w:val="000000"/>
          <w:sz w:val="22"/>
          <w:szCs w:val="22"/>
          <w:lang w:val="es-ES_tradnl" w:eastAsia="en-US"/>
        </w:rPr>
        <w:t xml:space="preserve">artículo 3 del Decreto 1860 de 2021. </w:t>
      </w:r>
    </w:p>
    <w:p w14:paraId="59C59DC7" w14:textId="4467C9DD" w:rsidR="003462AB" w:rsidRPr="00DD5F33" w:rsidRDefault="00CF7D8A" w:rsidP="003462AB">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La limitación de las convocatorias a mipymes</w:t>
      </w:r>
      <w:r w:rsidR="009D421F" w:rsidRPr="00DD5F33">
        <w:rPr>
          <w:rFonts w:ascii="Arial" w:eastAsia="Calibri" w:hAnsi="Arial" w:cs="Arial"/>
          <w:bCs/>
          <w:color w:val="000000"/>
          <w:sz w:val="22"/>
          <w:szCs w:val="22"/>
          <w:lang w:val="es-ES_tradnl" w:eastAsia="en-US"/>
        </w:rPr>
        <w:t>, indicada en el literal i) de esta respuesta,</w:t>
      </w:r>
      <w:r w:rsidR="002F479A" w:rsidRPr="00DD5F33">
        <w:rPr>
          <w:rFonts w:ascii="Arial" w:eastAsia="Calibri" w:hAnsi="Arial" w:cs="Arial"/>
          <w:bCs/>
          <w:color w:val="000000"/>
          <w:sz w:val="22"/>
          <w:szCs w:val="22"/>
          <w:lang w:val="es-ES_tradnl" w:eastAsia="en-US"/>
        </w:rPr>
        <w:t xml:space="preserve"> procede si se dan los requisitos establecidos en los artículos</w:t>
      </w:r>
      <w:r w:rsidR="00BB45F7" w:rsidRPr="00DD5F33">
        <w:rPr>
          <w:rFonts w:ascii="Arial" w:eastAsia="Calibri" w:hAnsi="Arial" w:cs="Arial"/>
          <w:bCs/>
          <w:color w:val="000000"/>
          <w:sz w:val="22"/>
          <w:szCs w:val="22"/>
          <w:lang w:val="es-ES_tradnl" w:eastAsia="en-US"/>
        </w:rPr>
        <w:t xml:space="preserve"> 2.2.1.2.4.2.2. al 2.2.1.2.4.2.4. del Decreto 1082 de 2015</w:t>
      </w:r>
      <w:r w:rsidR="00152FC2" w:rsidRPr="00DD5F33">
        <w:rPr>
          <w:rFonts w:ascii="Arial" w:eastAsia="Calibri" w:hAnsi="Arial" w:cs="Arial"/>
          <w:bCs/>
          <w:color w:val="000000"/>
          <w:sz w:val="22"/>
          <w:szCs w:val="22"/>
          <w:lang w:val="es-ES_tradnl" w:eastAsia="en-US"/>
        </w:rPr>
        <w:t xml:space="preserve"> –según el caso–</w:t>
      </w:r>
      <w:r w:rsidR="00BB45F7" w:rsidRPr="00DD5F33">
        <w:rPr>
          <w:rFonts w:ascii="Arial" w:eastAsia="Calibri" w:hAnsi="Arial" w:cs="Arial"/>
          <w:bCs/>
          <w:color w:val="000000"/>
          <w:sz w:val="22"/>
          <w:szCs w:val="22"/>
          <w:lang w:val="es-ES_tradnl" w:eastAsia="en-US"/>
        </w:rPr>
        <w:t xml:space="preserve">, modificados por el artículo 5 del Decreto 1860 de 2021, uno de los cuales es la recepción </w:t>
      </w:r>
      <w:r w:rsidR="003462AB" w:rsidRPr="00DD5F33">
        <w:rPr>
          <w:rFonts w:ascii="Arial" w:eastAsia="Calibri" w:hAnsi="Arial" w:cs="Arial"/>
          <w:bCs/>
          <w:color w:val="000000"/>
          <w:sz w:val="22"/>
          <w:szCs w:val="22"/>
          <w:lang w:val="es-ES_tradnl" w:eastAsia="en-US"/>
        </w:rPr>
        <w:t>de «solicitudes de por lo menos dos (2) Mipyme colombianas para limitar la convocatoria a Mipyme colombianas».</w:t>
      </w:r>
    </w:p>
    <w:p w14:paraId="194CC31F" w14:textId="7FF5BFAA" w:rsidR="00057270" w:rsidRPr="00DD5F33" w:rsidRDefault="00EA5EBD" w:rsidP="003462AB">
      <w:pPr>
        <w:spacing w:before="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Por su parte, l</w:t>
      </w:r>
      <w:r w:rsidR="00577EEB" w:rsidRPr="00DD5F33">
        <w:rPr>
          <w:rFonts w:ascii="Arial" w:eastAsia="Calibri" w:hAnsi="Arial" w:cs="Arial"/>
          <w:bCs/>
          <w:color w:val="000000"/>
          <w:sz w:val="22"/>
          <w:szCs w:val="22"/>
          <w:lang w:val="es-ES_tradnl" w:eastAsia="en-US"/>
        </w:rPr>
        <w:t xml:space="preserve">os </w:t>
      </w:r>
      <w:r w:rsidR="00ED74B2" w:rsidRPr="00DD5F33">
        <w:rPr>
          <w:rFonts w:ascii="Arial" w:eastAsia="Calibri" w:hAnsi="Arial" w:cs="Arial"/>
          <w:bCs/>
          <w:color w:val="000000"/>
          <w:sz w:val="22"/>
          <w:szCs w:val="22"/>
          <w:lang w:val="es-ES_tradnl" w:eastAsia="en-US"/>
        </w:rPr>
        <w:t xml:space="preserve">requisitos diferenciales y puntajes adicionales, a los que aluden los literales ii) y iii) </w:t>
      </w:r>
      <w:r w:rsidR="00E82EC6" w:rsidRPr="00DD5F33">
        <w:rPr>
          <w:rFonts w:ascii="Arial" w:eastAsia="Calibri" w:hAnsi="Arial" w:cs="Arial"/>
          <w:bCs/>
          <w:color w:val="000000"/>
          <w:sz w:val="22"/>
          <w:szCs w:val="22"/>
          <w:lang w:val="es-ES_tradnl" w:eastAsia="en-US"/>
        </w:rPr>
        <w:t>señalados</w:t>
      </w:r>
      <w:r w:rsidR="00ED74B2" w:rsidRPr="00DD5F33">
        <w:rPr>
          <w:rFonts w:ascii="Arial" w:eastAsia="Calibri" w:hAnsi="Arial" w:cs="Arial"/>
          <w:bCs/>
          <w:color w:val="000000"/>
          <w:sz w:val="22"/>
          <w:szCs w:val="22"/>
          <w:lang w:val="es-ES_tradnl" w:eastAsia="en-US"/>
        </w:rPr>
        <w:t xml:space="preserve"> </w:t>
      </w:r>
      <w:r w:rsidR="00E82EC6" w:rsidRPr="00DD5F33">
        <w:rPr>
          <w:rFonts w:ascii="Arial" w:eastAsia="Calibri" w:hAnsi="Arial" w:cs="Arial"/>
          <w:bCs/>
          <w:color w:val="000000"/>
          <w:sz w:val="22"/>
          <w:szCs w:val="22"/>
          <w:lang w:val="es-ES_tradnl" w:eastAsia="en-US"/>
        </w:rPr>
        <w:t>en esta respuesta,</w:t>
      </w:r>
      <w:r w:rsidR="00ED74B2" w:rsidRPr="00DD5F33">
        <w:rPr>
          <w:rFonts w:ascii="Arial" w:eastAsia="Calibri" w:hAnsi="Arial" w:cs="Arial"/>
          <w:bCs/>
          <w:color w:val="000000"/>
          <w:sz w:val="22"/>
          <w:szCs w:val="22"/>
          <w:lang w:val="es-ES_tradnl" w:eastAsia="en-US"/>
        </w:rPr>
        <w:t xml:space="preserve"> deben </w:t>
      </w:r>
      <w:r w:rsidR="008B5F43" w:rsidRPr="00DD5F33">
        <w:rPr>
          <w:rFonts w:ascii="Arial" w:eastAsia="Calibri" w:hAnsi="Arial" w:cs="Arial"/>
          <w:bCs/>
          <w:color w:val="000000"/>
          <w:sz w:val="22"/>
          <w:szCs w:val="22"/>
          <w:lang w:val="es-ES_tradnl" w:eastAsia="en-US"/>
        </w:rPr>
        <w:t xml:space="preserve">incluirse de acuerdo con los resultados del análisis del sector, es decir en la fase de </w:t>
      </w:r>
      <w:r w:rsidR="00E82EC6" w:rsidRPr="00DD5F33">
        <w:rPr>
          <w:rFonts w:ascii="Arial" w:eastAsia="Calibri" w:hAnsi="Arial" w:cs="Arial"/>
          <w:bCs/>
          <w:color w:val="000000"/>
          <w:sz w:val="22"/>
          <w:szCs w:val="22"/>
          <w:lang w:val="es-ES_tradnl" w:eastAsia="en-US"/>
        </w:rPr>
        <w:t>planeación</w:t>
      </w:r>
      <w:r w:rsidR="008B5F43" w:rsidRPr="00DD5F33">
        <w:rPr>
          <w:rFonts w:ascii="Arial" w:eastAsia="Calibri" w:hAnsi="Arial" w:cs="Arial"/>
          <w:bCs/>
          <w:color w:val="000000"/>
          <w:sz w:val="22"/>
          <w:szCs w:val="22"/>
          <w:lang w:val="es-ES_tradnl" w:eastAsia="en-US"/>
        </w:rPr>
        <w:t>.</w:t>
      </w:r>
      <w:r w:rsidR="00E82EC6" w:rsidRPr="00DD5F33">
        <w:rPr>
          <w:rFonts w:ascii="Arial" w:eastAsia="Calibri" w:hAnsi="Arial" w:cs="Arial"/>
          <w:bCs/>
          <w:color w:val="000000"/>
          <w:sz w:val="22"/>
          <w:szCs w:val="22"/>
          <w:lang w:val="es-ES_tradnl" w:eastAsia="en-US"/>
        </w:rPr>
        <w:t xml:space="preserve"> </w:t>
      </w:r>
      <w:r w:rsidR="00E57515" w:rsidRPr="00DD5F33">
        <w:rPr>
          <w:rFonts w:ascii="Arial" w:eastAsia="Calibri" w:hAnsi="Arial" w:cs="Arial"/>
          <w:bCs/>
          <w:color w:val="000000"/>
          <w:sz w:val="22"/>
          <w:szCs w:val="22"/>
          <w:lang w:val="es-ES_tradnl" w:eastAsia="en-US"/>
        </w:rPr>
        <w:t xml:space="preserve">Sin </w:t>
      </w:r>
      <w:r w:rsidR="006E37F2" w:rsidRPr="00DD5F33">
        <w:rPr>
          <w:rFonts w:ascii="Arial" w:eastAsia="Calibri" w:hAnsi="Arial" w:cs="Arial"/>
          <w:bCs/>
          <w:color w:val="000000"/>
          <w:sz w:val="22"/>
          <w:szCs w:val="22"/>
          <w:lang w:val="es-ES_tradnl" w:eastAsia="en-US"/>
        </w:rPr>
        <w:t>perjuicio de ello</w:t>
      </w:r>
      <w:r w:rsidR="00E57515" w:rsidRPr="00DD5F33">
        <w:rPr>
          <w:rFonts w:ascii="Arial" w:eastAsia="Calibri" w:hAnsi="Arial" w:cs="Arial"/>
          <w:bCs/>
          <w:color w:val="000000"/>
          <w:sz w:val="22"/>
          <w:szCs w:val="22"/>
          <w:lang w:val="es-ES_tradnl" w:eastAsia="en-US"/>
        </w:rPr>
        <w:t>, e</w:t>
      </w:r>
      <w:r w:rsidR="00286C21" w:rsidRPr="00DD5F33">
        <w:rPr>
          <w:rFonts w:ascii="Arial" w:eastAsia="Calibri" w:hAnsi="Arial" w:cs="Arial"/>
          <w:bCs/>
          <w:color w:val="000000"/>
          <w:sz w:val="22"/>
          <w:szCs w:val="22"/>
          <w:lang w:val="es-ES_tradnl" w:eastAsia="en-US"/>
        </w:rPr>
        <w:t>n el proceso de selección se deberá</w:t>
      </w:r>
      <w:r w:rsidR="004623D1" w:rsidRPr="00DD5F33">
        <w:rPr>
          <w:rFonts w:ascii="Arial" w:eastAsia="Calibri" w:hAnsi="Arial" w:cs="Arial"/>
          <w:bCs/>
          <w:color w:val="000000"/>
          <w:sz w:val="22"/>
          <w:szCs w:val="22"/>
          <w:lang w:val="es-ES_tradnl" w:eastAsia="en-US"/>
        </w:rPr>
        <w:t>n</w:t>
      </w:r>
      <w:r w:rsidR="00286C21" w:rsidRPr="00DD5F33">
        <w:rPr>
          <w:rFonts w:ascii="Arial" w:eastAsia="Calibri" w:hAnsi="Arial" w:cs="Arial"/>
          <w:bCs/>
          <w:color w:val="000000"/>
          <w:sz w:val="22"/>
          <w:szCs w:val="22"/>
          <w:lang w:val="es-ES_tradnl" w:eastAsia="en-US"/>
        </w:rPr>
        <w:t xml:space="preserve"> tener en cuenta las definiciones </w:t>
      </w:r>
      <w:r w:rsidR="004623D1" w:rsidRPr="00DD5F33">
        <w:rPr>
          <w:rFonts w:ascii="Arial" w:eastAsia="Calibri" w:hAnsi="Arial" w:cs="Arial"/>
          <w:bCs/>
          <w:color w:val="000000"/>
          <w:sz w:val="22"/>
          <w:szCs w:val="22"/>
          <w:lang w:val="es-ES_tradnl" w:eastAsia="en-US"/>
        </w:rPr>
        <w:t>2.2.1.2.4.2.14. del Decreto 1082 de 2015</w:t>
      </w:r>
      <w:r w:rsidR="008A517B" w:rsidRPr="00DD5F33">
        <w:rPr>
          <w:rFonts w:ascii="Arial" w:eastAsia="Calibri" w:hAnsi="Arial" w:cs="Arial"/>
          <w:bCs/>
          <w:color w:val="000000"/>
          <w:sz w:val="22"/>
          <w:szCs w:val="22"/>
          <w:lang w:val="es-ES_tradnl" w:eastAsia="en-US"/>
        </w:rPr>
        <w:t>, adicionado por el artículo 3 del Decreto 1860 de 2021</w:t>
      </w:r>
      <w:r w:rsidR="006E37F2" w:rsidRPr="00DD5F33">
        <w:rPr>
          <w:rFonts w:ascii="Arial" w:eastAsia="Calibri" w:hAnsi="Arial" w:cs="Arial"/>
          <w:bCs/>
          <w:color w:val="000000"/>
          <w:sz w:val="22"/>
          <w:szCs w:val="22"/>
          <w:lang w:val="es-ES_tradnl" w:eastAsia="en-US"/>
        </w:rPr>
        <w:t xml:space="preserve"> –</w:t>
      </w:r>
      <w:r w:rsidR="00166B27" w:rsidRPr="00DD5F33">
        <w:rPr>
          <w:rFonts w:ascii="Arial" w:eastAsia="Calibri" w:hAnsi="Arial" w:cs="Arial"/>
          <w:bCs/>
          <w:color w:val="000000"/>
          <w:sz w:val="22"/>
          <w:szCs w:val="22"/>
          <w:lang w:val="es-ES_tradnl" w:eastAsia="en-US"/>
        </w:rPr>
        <w:t>entre las cuales</w:t>
      </w:r>
      <w:r w:rsidR="006E37F2" w:rsidRPr="00DD5F33">
        <w:rPr>
          <w:rFonts w:ascii="Arial" w:eastAsia="Calibri" w:hAnsi="Arial" w:cs="Arial"/>
          <w:bCs/>
          <w:color w:val="000000"/>
          <w:sz w:val="22"/>
          <w:szCs w:val="22"/>
          <w:lang w:val="es-ES_tradnl" w:eastAsia="en-US"/>
        </w:rPr>
        <w:t>, como se indicó en este concepto</w:t>
      </w:r>
      <w:r w:rsidR="00BE6B24" w:rsidRPr="00DD5F33">
        <w:rPr>
          <w:rFonts w:ascii="Arial" w:eastAsia="Calibri" w:hAnsi="Arial" w:cs="Arial"/>
          <w:bCs/>
          <w:color w:val="000000"/>
          <w:sz w:val="22"/>
          <w:szCs w:val="22"/>
          <w:lang w:val="es-ES_tradnl" w:eastAsia="en-US"/>
        </w:rPr>
        <w:t>,</w:t>
      </w:r>
      <w:r w:rsidR="00166B27" w:rsidRPr="00DD5F33">
        <w:rPr>
          <w:rFonts w:ascii="Arial" w:eastAsia="Calibri" w:hAnsi="Arial" w:cs="Arial"/>
          <w:bCs/>
          <w:color w:val="000000"/>
          <w:sz w:val="22"/>
          <w:szCs w:val="22"/>
          <w:lang w:val="es-ES_tradnl" w:eastAsia="en-US"/>
        </w:rPr>
        <w:t xml:space="preserve"> se utiliza el estándar del 50%</w:t>
      </w:r>
      <w:r w:rsidR="006E37F2" w:rsidRPr="00DD5F33">
        <w:rPr>
          <w:rFonts w:ascii="Arial" w:eastAsia="Calibri" w:hAnsi="Arial" w:cs="Arial"/>
          <w:bCs/>
          <w:color w:val="000000"/>
          <w:sz w:val="22"/>
          <w:szCs w:val="22"/>
          <w:lang w:val="es-ES_tradnl" w:eastAsia="en-US"/>
        </w:rPr>
        <w:t xml:space="preserve"> al que usted alude</w:t>
      </w:r>
      <w:r w:rsidR="00166B27" w:rsidRPr="00DD5F33">
        <w:rPr>
          <w:rFonts w:ascii="Arial" w:eastAsia="Calibri" w:hAnsi="Arial" w:cs="Arial"/>
          <w:bCs/>
          <w:color w:val="000000"/>
          <w:sz w:val="22"/>
          <w:szCs w:val="22"/>
          <w:lang w:val="es-ES_tradnl" w:eastAsia="en-US"/>
        </w:rPr>
        <w:t xml:space="preserve"> para ciert</w:t>
      </w:r>
      <w:r w:rsidR="00E57515" w:rsidRPr="00DD5F33">
        <w:rPr>
          <w:rFonts w:ascii="Arial" w:eastAsia="Calibri" w:hAnsi="Arial" w:cs="Arial"/>
          <w:bCs/>
          <w:color w:val="000000"/>
          <w:sz w:val="22"/>
          <w:szCs w:val="22"/>
          <w:lang w:val="es-ES_tradnl" w:eastAsia="en-US"/>
        </w:rPr>
        <w:t>os tipos de emprendimientos o empresas de mujeres</w:t>
      </w:r>
      <w:r w:rsidR="006E37F2" w:rsidRPr="00DD5F33">
        <w:rPr>
          <w:rFonts w:ascii="Arial" w:eastAsia="Calibri" w:hAnsi="Arial" w:cs="Arial"/>
          <w:bCs/>
          <w:color w:val="000000"/>
          <w:sz w:val="22"/>
          <w:szCs w:val="22"/>
          <w:lang w:val="es-ES_tradnl" w:eastAsia="en-US"/>
        </w:rPr>
        <w:t>–</w:t>
      </w:r>
      <w:r w:rsidR="00E57515" w:rsidRPr="00DD5F33">
        <w:rPr>
          <w:rFonts w:ascii="Arial" w:eastAsia="Calibri" w:hAnsi="Arial" w:cs="Arial"/>
          <w:bCs/>
          <w:color w:val="000000"/>
          <w:sz w:val="22"/>
          <w:szCs w:val="22"/>
          <w:lang w:val="es-ES_tradnl" w:eastAsia="en-US"/>
        </w:rPr>
        <w:t>. Esto para determinar si quien presenta su oferta</w:t>
      </w:r>
      <w:r w:rsidR="00182FC4" w:rsidRPr="00DD5F33">
        <w:rPr>
          <w:rFonts w:ascii="Arial" w:eastAsia="Calibri" w:hAnsi="Arial" w:cs="Arial"/>
          <w:bCs/>
          <w:color w:val="000000"/>
          <w:sz w:val="22"/>
          <w:szCs w:val="22"/>
          <w:lang w:val="es-ES_tradnl" w:eastAsia="en-US"/>
        </w:rPr>
        <w:t xml:space="preserve"> cumple o no con esta calidad.</w:t>
      </w:r>
    </w:p>
    <w:p w14:paraId="5A3547D5" w14:textId="3D20AEFC" w:rsidR="003B07F6" w:rsidRPr="00DD5F33" w:rsidRDefault="00DB24BE" w:rsidP="00AD2AF9">
      <w:pPr>
        <w:spacing w:before="120" w:line="276" w:lineRule="auto"/>
        <w:jc w:val="both"/>
        <w:rPr>
          <w:rFonts w:ascii="Arial" w:hAnsi="Arial" w:cs="Arial"/>
          <w:color w:val="000000" w:themeColor="text1"/>
          <w:sz w:val="22"/>
          <w:szCs w:val="22"/>
          <w:lang w:val="es-ES_tradnl"/>
        </w:rPr>
      </w:pPr>
      <w:r w:rsidRPr="00DD5F33">
        <w:rPr>
          <w:rFonts w:ascii="Arial" w:hAnsi="Arial" w:cs="Arial"/>
          <w:color w:val="000000" w:themeColor="text1"/>
          <w:sz w:val="22"/>
          <w:szCs w:val="22"/>
          <w:lang w:val="es-ES_tradnl"/>
        </w:rPr>
        <w:t xml:space="preserve"> </w:t>
      </w:r>
      <w:r w:rsidR="001176F2" w:rsidRPr="00DD5F33">
        <w:rPr>
          <w:rFonts w:ascii="Arial" w:hAnsi="Arial" w:cs="Arial"/>
          <w:bCs/>
          <w:sz w:val="22"/>
          <w:szCs w:val="22"/>
          <w:lang w:val="es-ES_tradnl" w:eastAsia="es-CO"/>
        </w:rPr>
        <w:t xml:space="preserve"> </w:t>
      </w:r>
    </w:p>
    <w:p w14:paraId="0A7BABD1" w14:textId="06071ECD" w:rsidR="000A0DF7" w:rsidRPr="00DD5F33" w:rsidRDefault="000A0DF7" w:rsidP="00BD6A55">
      <w:pPr>
        <w:spacing w:after="120" w:line="276" w:lineRule="auto"/>
        <w:jc w:val="both"/>
        <w:rPr>
          <w:rFonts w:ascii="Arial" w:hAnsi="Arial" w:cs="Arial"/>
          <w:color w:val="000000"/>
          <w:sz w:val="22"/>
          <w:szCs w:val="22"/>
          <w:bdr w:val="none" w:sz="0" w:space="0" w:color="auto" w:frame="1"/>
          <w:lang w:val="es-ES_tradnl"/>
        </w:rPr>
      </w:pPr>
      <w:r w:rsidRPr="00DD5F3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DD5F33"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DD5F33"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5F33">
        <w:rPr>
          <w:rFonts w:ascii="Arial" w:hAnsi="Arial" w:cs="Arial"/>
          <w:color w:val="000000" w:themeColor="text1"/>
          <w:sz w:val="22"/>
          <w:szCs w:val="22"/>
          <w:lang w:val="es-ES_tradnl"/>
        </w:rPr>
        <w:t>Atentamente,</w:t>
      </w:r>
    </w:p>
    <w:p w14:paraId="63C9E481" w14:textId="77777777" w:rsidR="004A33AD" w:rsidRPr="00DD5F33"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DD5F33"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3D068FC0" w:rsidR="00A542A7" w:rsidRPr="00DD5F33" w:rsidRDefault="00636D1C" w:rsidP="00636D1C">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3FC598F5" wp14:editId="1A89D18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92E98C2" w14:textId="77777777" w:rsidR="00A542A7" w:rsidRPr="00DD5F33"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2A7" w:rsidRPr="00DD5F33" w14:paraId="758CE8A0" w14:textId="77777777" w:rsidTr="008928C2">
        <w:trPr>
          <w:trHeight w:val="315"/>
        </w:trPr>
        <w:tc>
          <w:tcPr>
            <w:tcW w:w="812" w:type="dxa"/>
            <w:vAlign w:val="center"/>
            <w:hideMark/>
          </w:tcPr>
          <w:p w14:paraId="7BA706A4"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Cristian Andrés Díaz Díez</w:t>
            </w:r>
          </w:p>
          <w:p w14:paraId="6A6310EB"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Contratista de la Subdirección de Gestión Contractual</w:t>
            </w:r>
          </w:p>
        </w:tc>
      </w:tr>
      <w:tr w:rsidR="00A542A7" w:rsidRPr="00DD5F33" w14:paraId="172E9935" w14:textId="77777777" w:rsidTr="008928C2">
        <w:trPr>
          <w:trHeight w:val="330"/>
        </w:trPr>
        <w:tc>
          <w:tcPr>
            <w:tcW w:w="812" w:type="dxa"/>
            <w:vAlign w:val="center"/>
            <w:hideMark/>
          </w:tcPr>
          <w:p w14:paraId="39C5397D"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3B3185"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Juan David Montoya Penagos</w:t>
            </w:r>
          </w:p>
          <w:p w14:paraId="1FE7B59A"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Gestor T1-15 de la Subdirección de Gestión Contractual</w:t>
            </w:r>
          </w:p>
        </w:tc>
      </w:tr>
      <w:tr w:rsidR="00A542A7" w:rsidRPr="005D75C1" w14:paraId="76747564" w14:textId="77777777" w:rsidTr="008928C2">
        <w:trPr>
          <w:trHeight w:val="300"/>
        </w:trPr>
        <w:tc>
          <w:tcPr>
            <w:tcW w:w="812" w:type="dxa"/>
            <w:vAlign w:val="center"/>
            <w:hideMark/>
          </w:tcPr>
          <w:p w14:paraId="71B84BEF"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DD5F33"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Jorge Augusto Tirado Navarro</w:t>
            </w:r>
          </w:p>
          <w:p w14:paraId="08747335" w14:textId="77777777" w:rsidR="00A542A7" w:rsidRPr="005D75C1" w:rsidRDefault="00A542A7" w:rsidP="008928C2">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Subdirector de Gestión Contractual ANCP – CCE</w:t>
            </w:r>
          </w:p>
        </w:tc>
      </w:tr>
    </w:tbl>
    <w:p w14:paraId="6CC885EC" w14:textId="77777777" w:rsidR="00A542A7" w:rsidRPr="005D75C1" w:rsidRDefault="00A542A7" w:rsidP="00A542A7">
      <w:pPr>
        <w:rPr>
          <w:rFonts w:ascii="Arial" w:hAnsi="Arial" w:cs="Arial"/>
          <w:color w:val="000000" w:themeColor="text1"/>
          <w:lang w:val="es-ES_tradnl"/>
        </w:rPr>
      </w:pPr>
    </w:p>
    <w:p w14:paraId="60A4FBE6" w14:textId="77777777" w:rsidR="004A33AD" w:rsidRPr="005D75C1" w:rsidRDefault="004A33AD" w:rsidP="004A33AD">
      <w:pPr>
        <w:jc w:val="both"/>
        <w:rPr>
          <w:rFonts w:ascii="Arial" w:hAnsi="Arial" w:cs="Arial"/>
          <w:lang w:val="es-ES_tradnl"/>
        </w:rPr>
      </w:pPr>
    </w:p>
    <w:p w14:paraId="35B56F46" w14:textId="77777777" w:rsidR="00746E08" w:rsidRPr="005D75C1"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5D75C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8183" w14:textId="77777777" w:rsidR="003539D2" w:rsidRDefault="003539D2">
      <w:r>
        <w:separator/>
      </w:r>
    </w:p>
  </w:endnote>
  <w:endnote w:type="continuationSeparator" w:id="0">
    <w:p w14:paraId="290F014B" w14:textId="77777777" w:rsidR="003539D2" w:rsidRDefault="003539D2">
      <w:r>
        <w:continuationSeparator/>
      </w:r>
    </w:p>
  </w:endnote>
  <w:endnote w:type="continuationNotice" w:id="1">
    <w:p w14:paraId="149CEEBB" w14:textId="77777777" w:rsidR="003539D2" w:rsidRDefault="0035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CB50" w14:textId="77777777" w:rsidR="003539D2" w:rsidRDefault="003539D2">
      <w:r>
        <w:separator/>
      </w:r>
    </w:p>
  </w:footnote>
  <w:footnote w:type="continuationSeparator" w:id="0">
    <w:p w14:paraId="7D668EB5" w14:textId="77777777" w:rsidR="003539D2" w:rsidRDefault="003539D2">
      <w:r>
        <w:continuationSeparator/>
      </w:r>
    </w:p>
  </w:footnote>
  <w:footnote w:type="continuationNotice" w:id="1">
    <w:p w14:paraId="0830D26B" w14:textId="77777777" w:rsidR="003539D2" w:rsidRDefault="003539D2"/>
  </w:footnote>
  <w:footnote w:id="2">
    <w:p w14:paraId="449D04DB" w14:textId="5D721BC9" w:rsidR="002E7AB7" w:rsidRPr="00DD5F33" w:rsidRDefault="002E7AB7"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Los cuales usted puede consultar en el siguiente enlace: </w:t>
      </w:r>
      <w:r w:rsidR="008A12C9" w:rsidRPr="00DD5F33">
        <w:rPr>
          <w:rFonts w:ascii="Arial" w:hAnsi="Arial" w:cs="Arial"/>
          <w:sz w:val="19"/>
          <w:szCs w:val="19"/>
        </w:rPr>
        <w:t>https://relatoria.colombiacompra.gov.co/busqueda/conceptos</w:t>
      </w:r>
    </w:p>
  </w:footnote>
  <w:footnote w:id="3">
    <w:p w14:paraId="3A8C7C44" w14:textId="77777777" w:rsidR="00990CE4" w:rsidRPr="00DD5F33" w:rsidRDefault="00990CE4" w:rsidP="00F360E8">
      <w:pPr>
        <w:pStyle w:val="Textonotapie"/>
        <w:ind w:firstLine="709"/>
        <w:jc w:val="both"/>
        <w:rPr>
          <w:rFonts w:ascii="Arial" w:hAnsi="Arial" w:cs="Arial"/>
          <w:sz w:val="19"/>
          <w:szCs w:val="19"/>
        </w:rPr>
      </w:pPr>
    </w:p>
    <w:p w14:paraId="1673223D" w14:textId="430BE63D" w:rsidR="009B3BCD" w:rsidRPr="00DD5F33" w:rsidRDefault="009B3BCD"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59F54950" w14:textId="77777777" w:rsidR="009B3BCD" w:rsidRPr="00DD5F33" w:rsidRDefault="009B3BCD" w:rsidP="00F360E8">
      <w:pPr>
        <w:pStyle w:val="Textonotapie"/>
        <w:ind w:firstLine="709"/>
        <w:jc w:val="both"/>
        <w:rPr>
          <w:rFonts w:ascii="Arial" w:hAnsi="Arial" w:cs="Arial"/>
          <w:sz w:val="19"/>
          <w:szCs w:val="19"/>
        </w:rPr>
      </w:pPr>
      <w:r w:rsidRPr="00DD5F33">
        <w:rPr>
          <w:rFonts w:ascii="Arial" w:hAnsi="Arial" w:cs="Arial"/>
          <w:sz w:val="19"/>
          <w:szCs w:val="19"/>
        </w:rPr>
        <w:t>»Dicho marco delineará un enfoque regionalizado de acuerdo a las realidades socioeconómicos de cada región».</w:t>
      </w:r>
    </w:p>
    <w:p w14:paraId="320A6305" w14:textId="77777777" w:rsidR="009B3BCD" w:rsidRPr="00DD5F33" w:rsidRDefault="009B3BCD" w:rsidP="00F360E8">
      <w:pPr>
        <w:pStyle w:val="Textonotapie"/>
        <w:ind w:firstLine="709"/>
        <w:jc w:val="both"/>
        <w:rPr>
          <w:rFonts w:ascii="Arial" w:hAnsi="Arial" w:cs="Arial"/>
          <w:sz w:val="19"/>
          <w:szCs w:val="19"/>
          <w:lang w:val="es-ES"/>
        </w:rPr>
      </w:pPr>
    </w:p>
  </w:footnote>
  <w:footnote w:id="4">
    <w:p w14:paraId="5385924E" w14:textId="77777777" w:rsidR="009B3BCD" w:rsidRPr="00DD5F33" w:rsidRDefault="009B3BCD" w:rsidP="00F360E8">
      <w:pPr>
        <w:pStyle w:val="Textonotapie"/>
        <w:ind w:firstLine="709"/>
        <w:jc w:val="both"/>
        <w:rPr>
          <w:rFonts w:ascii="Arial" w:hAnsi="Arial" w:cs="Arial"/>
          <w:bCs/>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bCs/>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DD5F33">
        <w:rPr>
          <w:rFonts w:ascii="Arial" w:hAnsi="Arial" w:cs="Arial"/>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DD5F33">
          <w:rPr>
            <w:rStyle w:val="Hipervnculo"/>
            <w:rFonts w:ascii="Arial" w:hAnsi="Arial" w:cs="Arial"/>
            <w:sz w:val="19"/>
            <w:szCs w:val="19"/>
          </w:rPr>
          <w:t>https://colaboracion.dnp.gov.co/CDT/Conpes/Econ%C3%B3micos/3956.pdf</w:t>
        </w:r>
      </w:hyperlink>
      <w:r w:rsidRPr="00DD5F33">
        <w:rPr>
          <w:rFonts w:ascii="Arial" w:hAnsi="Arial" w:cs="Arial"/>
          <w:sz w:val="19"/>
          <w:szCs w:val="19"/>
        </w:rPr>
        <w:t xml:space="preserve">).  </w:t>
      </w:r>
    </w:p>
    <w:p w14:paraId="464A8BDC" w14:textId="77777777" w:rsidR="009B3BCD" w:rsidRPr="00DD5F33" w:rsidRDefault="009B3BCD" w:rsidP="00F360E8">
      <w:pPr>
        <w:pStyle w:val="Textonotapie"/>
        <w:ind w:firstLine="709"/>
        <w:jc w:val="both"/>
        <w:rPr>
          <w:rFonts w:ascii="Arial" w:hAnsi="Arial" w:cs="Arial"/>
          <w:sz w:val="19"/>
          <w:szCs w:val="19"/>
          <w:lang w:val="es-ES"/>
        </w:rPr>
      </w:pPr>
    </w:p>
  </w:footnote>
  <w:footnote w:id="5">
    <w:p w14:paraId="34E44260" w14:textId="77777777" w:rsidR="009B3BCD" w:rsidRPr="00DD5F33" w:rsidRDefault="009B3BCD"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bookmarkStart w:id="4" w:name="_Hlk63862868"/>
      <w:r w:rsidRPr="00DD5F33">
        <w:rPr>
          <w:rFonts w:ascii="Arial" w:hAnsi="Arial" w:cs="Arial"/>
          <w:sz w:val="19"/>
          <w:szCs w:val="19"/>
        </w:rPr>
        <w:t xml:space="preserve">CONGRESO DE LA REPÚBLICA. Gaceta No. 670 del 11 de agosto de 2020. Exposición de motivos del Proyecto de Ley No. 122 de 2020 Cámara. p. 13. </w:t>
      </w:r>
    </w:p>
    <w:bookmarkEnd w:id="4"/>
  </w:footnote>
  <w:footnote w:id="6">
    <w:p w14:paraId="33D33358" w14:textId="77777777" w:rsidR="009B3BCD" w:rsidRPr="00DD5F33" w:rsidRDefault="009B3BCD"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i/>
          <w:iCs/>
          <w:sz w:val="19"/>
          <w:szCs w:val="19"/>
        </w:rPr>
        <w:t>Ibidem</w:t>
      </w:r>
      <w:r w:rsidRPr="00DD5F33">
        <w:rPr>
          <w:rFonts w:ascii="Arial" w:hAnsi="Arial" w:cs="Arial"/>
          <w:sz w:val="19"/>
          <w:szCs w:val="19"/>
        </w:rPr>
        <w:t>. p. 18.</w:t>
      </w:r>
    </w:p>
    <w:p w14:paraId="486581F9" w14:textId="77777777" w:rsidR="009B3BCD" w:rsidRPr="00DD5F33" w:rsidRDefault="009B3BCD" w:rsidP="00F360E8">
      <w:pPr>
        <w:pStyle w:val="Textonotapie"/>
        <w:ind w:firstLine="709"/>
        <w:jc w:val="both"/>
        <w:rPr>
          <w:rFonts w:ascii="Arial" w:hAnsi="Arial" w:cs="Arial"/>
          <w:sz w:val="19"/>
          <w:szCs w:val="19"/>
          <w:lang w:val="es-ES"/>
        </w:rPr>
      </w:pPr>
    </w:p>
  </w:footnote>
  <w:footnote w:id="7">
    <w:p w14:paraId="68E74DF2" w14:textId="77777777" w:rsidR="00045E8A" w:rsidRPr="00DD5F33" w:rsidRDefault="00045E8A" w:rsidP="00045E8A">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8">
    <w:p w14:paraId="0CA6266B" w14:textId="77777777" w:rsidR="00045E8A" w:rsidRPr="00DD5F33" w:rsidRDefault="00045E8A" w:rsidP="00045E8A">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DD5F33">
        <w:rPr>
          <w:rFonts w:ascii="Arial" w:hAnsi="Arial" w:cs="Arial"/>
          <w:i/>
          <w:iCs/>
          <w:sz w:val="19"/>
          <w:szCs w:val="19"/>
        </w:rPr>
        <w:t>La única consecuencia normativa del término establecido por el legislador es la de imponerle al Presidente de la República el deber de reglamentar la ley dentro de dicho plazo</w:t>
      </w:r>
      <w:r w:rsidRPr="00DD5F33">
        <w:rPr>
          <w:rFonts w:ascii="Arial" w:hAnsi="Arial" w:cs="Arial"/>
          <w:sz w:val="19"/>
          <w:szCs w:val="19"/>
        </w:rPr>
        <w:t xml:space="preserve">» (CORTE CONSTITUCIONAL. Sentencia C-805 de 2001. M.P. Rodrigo Escobar Gil. Corchetes y énfasis fuera de texto).  </w:t>
      </w:r>
    </w:p>
    <w:p w14:paraId="5D1C80C1" w14:textId="77777777" w:rsidR="00045E8A" w:rsidRPr="00DD5F33" w:rsidRDefault="00045E8A" w:rsidP="00045E8A">
      <w:pPr>
        <w:pStyle w:val="Textonotapie"/>
        <w:ind w:firstLine="709"/>
        <w:jc w:val="both"/>
        <w:rPr>
          <w:rFonts w:ascii="Arial" w:hAnsi="Arial" w:cs="Arial"/>
          <w:sz w:val="19"/>
          <w:szCs w:val="19"/>
          <w:lang w:val="es-ES"/>
        </w:rPr>
      </w:pPr>
    </w:p>
  </w:footnote>
  <w:footnote w:id="9">
    <w:p w14:paraId="29845A8F" w14:textId="77777777" w:rsidR="00045E8A" w:rsidRPr="00DD5F33" w:rsidRDefault="00045E8A" w:rsidP="00045E8A">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GUASTINI, Riccardo. Interpretar y argumentar. Madrid: Centro de Estudios Políticos y Constitucionales, 2014. p. 145. El autor también propone los siguientes ejemplos de </w:t>
      </w:r>
      <w:r w:rsidRPr="00DD5F33">
        <w:rPr>
          <w:rFonts w:ascii="Arial" w:hAnsi="Arial" w:cs="Arial"/>
          <w:i/>
          <w:iCs/>
          <w:sz w:val="19"/>
          <w:szCs w:val="19"/>
        </w:rPr>
        <w:t>lagunas técnicas</w:t>
      </w:r>
      <w:r w:rsidRPr="00DD5F33">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DD5F33">
        <w:rPr>
          <w:rFonts w:ascii="Arial" w:hAnsi="Arial" w:cs="Arial"/>
          <w:i/>
          <w:iCs/>
          <w:sz w:val="19"/>
          <w:szCs w:val="19"/>
        </w:rPr>
        <w:t>Ibidem</w:t>
      </w:r>
      <w:r w:rsidRPr="00DD5F33">
        <w:rPr>
          <w:rFonts w:ascii="Arial" w:hAnsi="Arial" w:cs="Arial"/>
          <w:sz w:val="19"/>
          <w:szCs w:val="19"/>
        </w:rPr>
        <w:t xml:space="preserve">).  </w:t>
      </w:r>
    </w:p>
    <w:p w14:paraId="5592EFBF" w14:textId="77777777" w:rsidR="00045E8A" w:rsidRPr="00DD5F33" w:rsidRDefault="00045E8A" w:rsidP="00045E8A">
      <w:pPr>
        <w:pStyle w:val="Textonotapie"/>
        <w:ind w:firstLine="709"/>
        <w:jc w:val="both"/>
        <w:rPr>
          <w:rFonts w:ascii="Arial" w:hAnsi="Arial" w:cs="Arial"/>
          <w:sz w:val="19"/>
          <w:szCs w:val="19"/>
        </w:rPr>
      </w:pPr>
    </w:p>
  </w:footnote>
  <w:footnote w:id="10">
    <w:p w14:paraId="01045D63" w14:textId="77777777" w:rsidR="00045E8A" w:rsidRPr="00DD5F33" w:rsidRDefault="00045E8A" w:rsidP="00045E8A">
      <w:pPr>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DD5F33">
          <w:rPr>
            <w:rStyle w:val="Hipervnculo"/>
            <w:rFonts w:ascii="Arial" w:hAnsi="Arial" w:cs="Arial"/>
            <w:sz w:val="19"/>
            <w:szCs w:val="19"/>
          </w:rPr>
          <w:t>https://www.beltranpardo.com/wp-content/uploads/2021/02/CorteConstitucional_Inexequibilidadpar%C3%A1grafo2Art6L2014.pdf</w:t>
        </w:r>
      </w:hyperlink>
      <w:r w:rsidRPr="00DD5F33">
        <w:rPr>
          <w:rFonts w:ascii="Arial" w:hAnsi="Arial" w:cs="Arial"/>
          <w:sz w:val="19"/>
          <w:szCs w:val="19"/>
        </w:rPr>
        <w:t xml:space="preserve">).  </w:t>
      </w:r>
    </w:p>
    <w:p w14:paraId="1F7F6121" w14:textId="77777777" w:rsidR="00045E8A" w:rsidRPr="00DD5F33" w:rsidRDefault="00045E8A" w:rsidP="00045E8A">
      <w:pPr>
        <w:pStyle w:val="Textonotapie"/>
        <w:ind w:firstLine="709"/>
        <w:jc w:val="both"/>
        <w:rPr>
          <w:rFonts w:ascii="Arial" w:hAnsi="Arial" w:cs="Arial"/>
          <w:sz w:val="19"/>
          <w:szCs w:val="19"/>
          <w:lang w:val="es-ES"/>
        </w:rPr>
      </w:pPr>
    </w:p>
  </w:footnote>
  <w:footnote w:id="11">
    <w:p w14:paraId="74BDF15F" w14:textId="77777777" w:rsidR="00045E8A" w:rsidRPr="00DD5F33" w:rsidRDefault="00045E8A" w:rsidP="00045E8A">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Cfr. CORTE CONSTITUCIONAL. Sentencia C-619 del 14 de junio de 2001. M.P. Marco Gerardo Monroy Cabra. </w:t>
      </w:r>
    </w:p>
  </w:footnote>
  <w:footnote w:id="12">
    <w:p w14:paraId="35E1D2AB" w14:textId="77777777" w:rsidR="00045E8A" w:rsidRPr="00DD5F33" w:rsidRDefault="00045E8A" w:rsidP="00045E8A">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CONSEJO DE ESTADO. Sección Tercera. Auto de 1 de abril de 2009. Exp. 36476. M.P. Ruth Stella Correa Palacio.  </w:t>
      </w:r>
    </w:p>
    <w:p w14:paraId="335BC3D0" w14:textId="77777777" w:rsidR="00045E8A" w:rsidRPr="00DD5F33" w:rsidRDefault="00045E8A" w:rsidP="00045E8A">
      <w:pPr>
        <w:pStyle w:val="Textonotapie"/>
        <w:ind w:firstLine="709"/>
        <w:jc w:val="both"/>
        <w:rPr>
          <w:rFonts w:ascii="Arial" w:hAnsi="Arial" w:cs="Arial"/>
          <w:sz w:val="19"/>
          <w:szCs w:val="19"/>
        </w:rPr>
      </w:pPr>
    </w:p>
  </w:footnote>
  <w:footnote w:id="13">
    <w:p w14:paraId="6273C64C" w14:textId="77777777" w:rsidR="00045E8A" w:rsidRPr="00DD5F33" w:rsidRDefault="00045E8A" w:rsidP="00045E8A">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CONGRESO DE LA REPÚBLICA. Gaceta No. 670 del 11 de agosto de 2020. Exposición de motivos del Proyecto de Ley No. 122 de 2020 Cámara. pp. 3-4.</w:t>
      </w:r>
    </w:p>
    <w:p w14:paraId="0E8B333F" w14:textId="77777777" w:rsidR="00045E8A" w:rsidRPr="00DD5F33" w:rsidRDefault="00045E8A" w:rsidP="00045E8A">
      <w:pPr>
        <w:pStyle w:val="Textonotapie"/>
        <w:ind w:firstLine="709"/>
        <w:jc w:val="both"/>
        <w:rPr>
          <w:rFonts w:ascii="Arial" w:hAnsi="Arial" w:cs="Arial"/>
          <w:sz w:val="19"/>
          <w:szCs w:val="19"/>
          <w:lang w:val="es-ES"/>
        </w:rPr>
      </w:pPr>
    </w:p>
  </w:footnote>
  <w:footnote w:id="14">
    <w:p w14:paraId="0D399F01" w14:textId="77777777" w:rsidR="00045E8A" w:rsidRPr="00DD5F33" w:rsidRDefault="00045E8A" w:rsidP="00045E8A">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MARÍN CORTÉS, Fabián Gonzalo. El reglamento, como fuente del derecho administrativo. En: las fuentes del derecho administrativo. Texto inédito. p. 203.</w:t>
      </w:r>
    </w:p>
    <w:p w14:paraId="769595CB" w14:textId="77777777" w:rsidR="00045E8A" w:rsidRPr="00DD5F33" w:rsidRDefault="00045E8A" w:rsidP="00045E8A">
      <w:pPr>
        <w:pStyle w:val="Textonotapie"/>
        <w:ind w:firstLine="709"/>
        <w:jc w:val="both"/>
        <w:rPr>
          <w:rFonts w:ascii="Arial" w:hAnsi="Arial" w:cs="Arial"/>
          <w:sz w:val="19"/>
          <w:szCs w:val="19"/>
          <w:lang w:val="es-ES"/>
        </w:rPr>
      </w:pPr>
    </w:p>
  </w:footnote>
  <w:footnote w:id="15">
    <w:p w14:paraId="63A081EF" w14:textId="77777777" w:rsidR="00045E8A" w:rsidRPr="00DD5F33" w:rsidRDefault="00045E8A" w:rsidP="00045E8A">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i/>
          <w:iCs/>
          <w:sz w:val="19"/>
          <w:szCs w:val="19"/>
        </w:rPr>
        <w:t>Ibidem</w:t>
      </w:r>
      <w:r w:rsidRPr="00DD5F33">
        <w:rPr>
          <w:rFonts w:ascii="Arial" w:hAnsi="Arial" w:cs="Arial"/>
          <w:sz w:val="19"/>
          <w:szCs w:val="19"/>
        </w:rPr>
        <w:t>.</w:t>
      </w:r>
    </w:p>
  </w:footnote>
  <w:footnote w:id="16">
    <w:p w14:paraId="00568408" w14:textId="77777777" w:rsidR="00045A95" w:rsidRPr="00DD5F33" w:rsidRDefault="00045A95"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En concreto, se hace referencia a los Conceptos </w:t>
      </w:r>
      <w:r w:rsidRPr="00DD5F33">
        <w:rPr>
          <w:rFonts w:ascii="Arial" w:eastAsia="Calibri" w:hAnsi="Arial" w:cs="Arial"/>
          <w:bCs/>
          <w:color w:val="000000"/>
          <w:sz w:val="19"/>
          <w:szCs w:val="19"/>
          <w:lang w:val="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y C-673 del 4 de enero de 2022.</w:t>
      </w:r>
    </w:p>
  </w:footnote>
  <w:footnote w:id="17">
    <w:p w14:paraId="1213DD28"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footnote>
  <w:footnote w:id="18">
    <w:p w14:paraId="1F180E7E"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78F0BA23"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»a) Se publicará una invitación, por un término no inferior a un día hábil, en la cual se señalará el objeto a contratar, el presupuesto destinado para tal fin, así como las condiciones técnicas exigidas;</w:t>
      </w:r>
    </w:p>
    <w:p w14:paraId="4621D63D"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»b) El término previsto en la invitación para presentar la oferta no podrá ser inferior a un día hábil;</w:t>
      </w:r>
    </w:p>
    <w:p w14:paraId="1B24B003"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»c) La entidad seleccionará, mediante comunicación de aceptación de la oferta, la propuesta con el menor precio, siempre y cuando cumpla con las condiciones exigidas;</w:t>
      </w:r>
    </w:p>
    <w:p w14:paraId="6981325D" w14:textId="77777777" w:rsidR="00045A95" w:rsidRPr="00DD5F33" w:rsidRDefault="00045A95" w:rsidP="00F360E8">
      <w:pPr>
        <w:pStyle w:val="Textonotapie"/>
        <w:ind w:firstLine="709"/>
        <w:jc w:val="both"/>
        <w:rPr>
          <w:rFonts w:ascii="Arial" w:hAnsi="Arial" w:cs="Arial"/>
          <w:color w:val="000000"/>
          <w:sz w:val="19"/>
          <w:szCs w:val="19"/>
          <w:lang w:val="es-ES"/>
        </w:rPr>
      </w:pPr>
      <w:r w:rsidRPr="00DD5F33">
        <w:rPr>
          <w:rFonts w:ascii="Arial" w:hAnsi="Arial" w:cs="Arial"/>
          <w:color w:val="000000"/>
          <w:sz w:val="19"/>
          <w:szCs w:val="19"/>
        </w:rPr>
        <w:t>»d) La comunicación de aceptación junto con la oferta constituye para todos los efectos el contrato celebrado, con base en lo cual se efectuará el respectivo registro presupuestal».</w:t>
      </w:r>
    </w:p>
  </w:footnote>
  <w:footnote w:id="19">
    <w:p w14:paraId="1C75FA5F" w14:textId="77777777" w:rsidR="00045A95" w:rsidRPr="00DD5F33" w:rsidRDefault="00045A95" w:rsidP="00F360E8">
      <w:pPr>
        <w:pStyle w:val="Textonotapie"/>
        <w:ind w:firstLine="709"/>
        <w:jc w:val="both"/>
        <w:rPr>
          <w:rFonts w:ascii="Arial" w:hAnsi="Arial" w:cs="Arial"/>
          <w:color w:val="000000"/>
          <w:sz w:val="19"/>
          <w:szCs w:val="19"/>
          <w:lang w:val="es-ES"/>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BENAVIDES, José Luis. La potestad reglamentaria en la contratación pública. En: Contratos públicos: Estudios. Bogotá: Universidad Externado de Colombia, 2014. p. 174.</w:t>
      </w:r>
    </w:p>
  </w:footnote>
  <w:footnote w:id="20">
    <w:p w14:paraId="7512C728"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Esta norma dispone que los actos administrativos no pueden ejecutarse «Cuando desaparezcan sus fundamentos de hecho o de derecho».</w:t>
      </w:r>
    </w:p>
  </w:footnote>
  <w:footnote w:id="21">
    <w:p w14:paraId="6C6F2FA8"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En los demás incisos, ambas normas tienen una redacción similar cuando prescriben que: «De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0084300E"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6A342B7A"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E74CF78" w14:textId="77777777" w:rsidR="00045A95" w:rsidRPr="00DD5F33" w:rsidRDefault="00045A95" w:rsidP="00F360E8">
      <w:pPr>
        <w:pStyle w:val="Textonotapie"/>
        <w:ind w:firstLine="709"/>
        <w:jc w:val="both"/>
        <w:rPr>
          <w:rFonts w:ascii="Arial" w:hAnsi="Arial" w:cs="Arial"/>
          <w:color w:val="000000"/>
          <w:sz w:val="19"/>
          <w:szCs w:val="19"/>
        </w:rPr>
      </w:pPr>
      <w:r w:rsidRPr="00DD5F33">
        <w:rPr>
          <w:rFonts w:ascii="Arial" w:hAnsi="Arial" w:cs="Arial"/>
          <w:color w:val="000000"/>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footnote>
  <w:footnote w:id="22">
    <w:p w14:paraId="12482655"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3">
    <w:p w14:paraId="74F3488B" w14:textId="77777777" w:rsidR="00045A95" w:rsidRPr="00DD5F33" w:rsidRDefault="00045A95" w:rsidP="00F360E8">
      <w:pPr>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El artículo 5 de la Ley 57 de 1887 dispone que «Cuando haya incompatibilidad entre una disposición constitucional y una legal, preferirá aquélla. </w:t>
      </w:r>
    </w:p>
    <w:p w14:paraId="3432E925" w14:textId="77777777" w:rsidR="00045A95" w:rsidRPr="00DD5F33" w:rsidRDefault="00045A95" w:rsidP="00F360E8">
      <w:pPr>
        <w:ind w:firstLine="709"/>
        <w:jc w:val="both"/>
        <w:rPr>
          <w:rFonts w:ascii="Arial" w:hAnsi="Arial" w:cs="Arial"/>
          <w:color w:val="000000"/>
          <w:sz w:val="19"/>
          <w:szCs w:val="19"/>
        </w:rPr>
      </w:pPr>
      <w:r w:rsidRPr="00DD5F33">
        <w:rPr>
          <w:rFonts w:ascii="Arial" w:hAnsi="Arial" w:cs="Arial"/>
          <w:color w:val="000000"/>
          <w:sz w:val="19"/>
          <w:szCs w:val="19"/>
        </w:rPr>
        <w:t xml:space="preserve">»Si en los Códigos que se adoptan se hallaren algunas disposiciones incompatibles entre sí, se observarán en su aplicación las reglas siguientes: </w:t>
      </w:r>
    </w:p>
    <w:p w14:paraId="2026F29B" w14:textId="77777777" w:rsidR="00045A95" w:rsidRPr="00DD5F33" w:rsidRDefault="00045A95" w:rsidP="00F360E8">
      <w:pPr>
        <w:ind w:firstLine="709"/>
        <w:jc w:val="both"/>
        <w:rPr>
          <w:rFonts w:ascii="Arial" w:hAnsi="Arial" w:cs="Arial"/>
          <w:color w:val="000000"/>
          <w:sz w:val="19"/>
          <w:szCs w:val="19"/>
        </w:rPr>
      </w:pPr>
      <w:r w:rsidRPr="00DD5F33">
        <w:rPr>
          <w:rFonts w:ascii="Arial" w:hAnsi="Arial" w:cs="Arial"/>
          <w:color w:val="000000"/>
          <w:sz w:val="19"/>
          <w:szCs w:val="19"/>
        </w:rPr>
        <w:t xml:space="preserve">»1ª La disposición relativa a un asunto especial prefiere a la que tenga carácter general; </w:t>
      </w:r>
    </w:p>
    <w:p w14:paraId="1135E6B3" w14:textId="77777777" w:rsidR="00045A95" w:rsidRPr="00DD5F33" w:rsidRDefault="00045A95" w:rsidP="00F360E8">
      <w:pPr>
        <w:ind w:firstLine="709"/>
        <w:jc w:val="both"/>
        <w:rPr>
          <w:rFonts w:ascii="Arial" w:hAnsi="Arial" w:cs="Arial"/>
          <w:color w:val="000000"/>
          <w:sz w:val="19"/>
          <w:szCs w:val="19"/>
        </w:rPr>
      </w:pPr>
      <w:r w:rsidRPr="00DD5F33">
        <w:rPr>
          <w:rFonts w:ascii="Arial" w:hAnsi="Arial" w:cs="Arial"/>
          <w:color w:val="000000"/>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footnote>
  <w:footnote w:id="24">
    <w:p w14:paraId="5BE011F4"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Cfr. GUASTINI, Riccardo. Interpretar y argumentar. Madrid: Centro de Estudios Constitucionales, 2014. p. 134.</w:t>
      </w:r>
    </w:p>
  </w:footnote>
  <w:footnote w:id="25">
    <w:p w14:paraId="3E1DAEEF"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DÍEZ-PICAZO, Luis María. La derogación de las leyes. Madrid: Editorial Civitas, 1990. p. 363. En el mismo sentido, la doctrina explica que «En los casos en que las reglas se superponen parcialmente, </w:t>
      </w:r>
      <w:r w:rsidRPr="00DD5F33">
        <w:rPr>
          <w:rFonts w:ascii="Arial" w:hAnsi="Arial" w:cs="Arial"/>
          <w:i/>
          <w:iCs/>
          <w:color w:val="000000"/>
          <w:sz w:val="19"/>
          <w:szCs w:val="19"/>
        </w:rPr>
        <w:t>lex posterior</w:t>
      </w:r>
      <w:r w:rsidRPr="00DD5F33">
        <w:rPr>
          <w:rFonts w:ascii="Arial" w:hAnsi="Arial" w:cs="Arial"/>
          <w:color w:val="000000"/>
          <w:sz w:val="19"/>
          <w:szCs w:val="19"/>
        </w:rPr>
        <w:t xml:space="preserve"> da apoyo, por cierto, la presunción de que la regla mas reciente se encontrará en una situación de preferencia respecto de la anterior, pero ello no es incondicionalmente así. </w:t>
      </w:r>
      <w:r w:rsidRPr="00DD5F33">
        <w:rPr>
          <w:rFonts w:ascii="Arial" w:hAnsi="Arial" w:cs="Arial"/>
          <w:i/>
          <w:iCs/>
          <w:color w:val="000000"/>
          <w:sz w:val="19"/>
          <w:szCs w:val="19"/>
        </w:rPr>
        <w:t>Lex posterior</w:t>
      </w:r>
      <w:r w:rsidRPr="00DD5F33">
        <w:rPr>
          <w:rFonts w:ascii="Arial" w:hAnsi="Arial" w:cs="Arial"/>
          <w:color w:val="000000"/>
          <w:sz w:val="19"/>
          <w:szCs w:val="19"/>
        </w:rPr>
        <w:t xml:space="preserve"> solo se aplica en la medida en que, en términos subjetivos, el legislador “tuvo la intención” de reemplazar la ley anterior […]» (Cfr. ROSS, Alf. Sobre el derecho y la justicia. Quinta edición. Buenos Aires: EUDEBA, 1994, p. 127). </w:t>
      </w:r>
    </w:p>
  </w:footnote>
  <w:footnote w:id="26">
    <w:p w14:paraId="13CCD2E1" w14:textId="77777777" w:rsidR="00045A95" w:rsidRPr="00DD5F33" w:rsidRDefault="00045A95" w:rsidP="00F360E8">
      <w:pPr>
        <w:pStyle w:val="Textonotapie"/>
        <w:ind w:firstLine="709"/>
        <w:jc w:val="both"/>
        <w:rPr>
          <w:rFonts w:ascii="Arial" w:hAnsi="Arial" w:cs="Arial"/>
          <w:color w:val="000000"/>
          <w:sz w:val="19"/>
          <w:szCs w:val="19"/>
        </w:rPr>
      </w:pPr>
      <w:r w:rsidRPr="00DD5F33">
        <w:rPr>
          <w:rStyle w:val="Refdenotaalpie"/>
          <w:rFonts w:ascii="Arial" w:hAnsi="Arial" w:cs="Arial"/>
          <w:color w:val="000000"/>
          <w:sz w:val="19"/>
          <w:szCs w:val="19"/>
        </w:rPr>
        <w:footnoteRef/>
      </w:r>
      <w:r w:rsidRPr="00DD5F33">
        <w:rPr>
          <w:rFonts w:ascii="Arial" w:hAnsi="Arial" w:cs="Arial"/>
          <w:color w:val="000000"/>
          <w:sz w:val="19"/>
          <w:szCs w:val="19"/>
        </w:rPr>
        <w:t xml:space="preserve"> </w:t>
      </w:r>
      <w:r w:rsidRPr="00DD5F33">
        <w:rPr>
          <w:rFonts w:ascii="Arial" w:hAnsi="Arial" w:cs="Arial"/>
          <w:i/>
          <w:iCs/>
          <w:color w:val="000000"/>
          <w:sz w:val="19"/>
          <w:szCs w:val="19"/>
        </w:rPr>
        <w:t>Ibidem</w:t>
      </w:r>
      <w:r w:rsidRPr="00DD5F33">
        <w:rPr>
          <w:rFonts w:ascii="Arial" w:hAnsi="Arial" w:cs="Arial"/>
          <w:color w:val="000000"/>
          <w:sz w:val="19"/>
          <w:szCs w:val="19"/>
        </w:rPr>
        <w:t>. p. 18.</w:t>
      </w:r>
    </w:p>
  </w:footnote>
  <w:footnote w:id="27">
    <w:p w14:paraId="33C2C33A" w14:textId="77777777" w:rsidR="00045A95" w:rsidRPr="00DD5F33" w:rsidRDefault="00045A95"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28">
    <w:p w14:paraId="05C0B93F"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El artículo </w:t>
      </w:r>
      <w:r w:rsidRPr="00DD5F33">
        <w:rPr>
          <w:rFonts w:ascii="Arial" w:eastAsia="Calibri" w:hAnsi="Arial" w:cs="Arial"/>
          <w:bCs/>
          <w:color w:val="000000"/>
          <w:sz w:val="19"/>
          <w:szCs w:val="19"/>
          <w:lang w:val="es-ES_tradnl"/>
        </w:rPr>
        <w:t>2.2.1.13.2.2 del Decreto 1074 de 2015 establece: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D8F5E62"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»1. Para el sector manufacturero:</w:t>
      </w:r>
    </w:p>
    <w:p w14:paraId="1024ADCC"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Microempresa. Aquella cuyos ingresos por actividades ordinarias anuales sean inferiores o iguales a veintitrés mil quinientos sesenta y tres Unidades de Valor Tributario (23.563 UVT).</w:t>
      </w:r>
    </w:p>
    <w:p w14:paraId="6A2C1691"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386AA001"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6D890C58"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»2. Para el sector servicios:</w:t>
      </w:r>
    </w:p>
    <w:p w14:paraId="3DAB7ED6"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»Microempresa. Aquella cuyos ingresos por actividades ordinarias anuales sean inferiores o iguales a treinta y dos mil novecientos ochenta y ocho Unidades de Valor Tributario (32.988 UVT).</w:t>
      </w:r>
    </w:p>
    <w:p w14:paraId="772D9CC0"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2BE356C1"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4B83FE42"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»3. Para el sector de comercio:</w:t>
      </w:r>
    </w:p>
    <w:p w14:paraId="21BE0325"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»Microempresa. Aquella cuyos ingresos por actividades ordinarias anuales sean inferiores o iguales a cuarenta y cuatro mil setecientos sesenta y nueve Unidades de Valor Tributario (44.769 UVT).</w:t>
      </w:r>
    </w:p>
    <w:p w14:paraId="118B5BC4"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A4C1FF5"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4572C4DB"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»PARÁGRAFO 1. Se considera gran empresa aquella que tiene ingresos por actividades ordinarias anuales mayores al rango superior de las medianas empresas, en cada uno de los sectores económicos descritos anteriormente.</w:t>
      </w:r>
    </w:p>
    <w:p w14:paraId="5EF6F101"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»PARÁGRAFO 2. Para aquella empresa cuya actividad principal no corresponda exclusivamente a uno de los anteriores sectores, los rangos a aplicar serán aquellos previstos para el sector manufacturero.</w:t>
      </w:r>
    </w:p>
    <w:p w14:paraId="42889F56" w14:textId="77777777" w:rsidR="00C8540F" w:rsidRPr="00DD5F33" w:rsidRDefault="00C8540F"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»PARÁGRAFO 3. Cuando los ingresos de la empresa provengan de más de uno de los sectores contemplados en el presente Capítulo, se considerará la actividad del sector económico cuyos ingresos hayan sido más altos.</w:t>
      </w:r>
    </w:p>
    <w:p w14:paraId="0E557645" w14:textId="77777777" w:rsidR="00C8540F" w:rsidRPr="00DD5F33" w:rsidRDefault="00C8540F" w:rsidP="00C8540F">
      <w:pPr>
        <w:pStyle w:val="Textonotapie"/>
        <w:ind w:firstLine="709"/>
        <w:jc w:val="both"/>
        <w:rPr>
          <w:rFonts w:ascii="Arial" w:hAnsi="Arial" w:cs="Arial"/>
          <w:sz w:val="19"/>
          <w:szCs w:val="19"/>
          <w:lang w:val="es-CO"/>
        </w:rPr>
      </w:pPr>
      <w:r w:rsidRPr="00DD5F33">
        <w:rPr>
          <w:rFonts w:ascii="Arial" w:eastAsia="Calibri" w:hAnsi="Arial" w:cs="Arial"/>
          <w:bCs/>
          <w:color w:val="000000"/>
          <w:sz w:val="19"/>
          <w:szCs w:val="19"/>
          <w:lang w:val="es-ES_tradnl"/>
        </w:rPr>
        <w:t>»PARÁGRAFO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CllU Revisión 4».</w:t>
      </w:r>
    </w:p>
  </w:footnote>
  <w:footnote w:id="29">
    <w:p w14:paraId="585172B2" w14:textId="77777777" w:rsidR="00FA17EA" w:rsidRPr="00DD5F33" w:rsidRDefault="00FA17EA" w:rsidP="00F360E8">
      <w:pPr>
        <w:pStyle w:val="Textonotapie"/>
        <w:ind w:firstLine="709"/>
        <w:jc w:val="both"/>
        <w:rPr>
          <w:rFonts w:ascii="Arial" w:hAnsi="Arial" w:cs="Arial"/>
          <w:color w:val="000000"/>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w:t>
      </w:r>
      <w:r w:rsidRPr="00DD5F33">
        <w:rPr>
          <w:rFonts w:ascii="Arial" w:hAnsi="Arial" w:cs="Arial"/>
          <w:color w:val="000000"/>
          <w:sz w:val="19"/>
          <w:szCs w:val="19"/>
        </w:rPr>
        <w:t>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la misma».</w:t>
      </w:r>
    </w:p>
    <w:p w14:paraId="47AA05B5" w14:textId="77777777" w:rsidR="00FA17EA" w:rsidRPr="00DD5F33" w:rsidRDefault="00FA17EA" w:rsidP="00F360E8">
      <w:pPr>
        <w:pStyle w:val="Textonotapie"/>
        <w:ind w:firstLine="709"/>
        <w:jc w:val="both"/>
        <w:rPr>
          <w:rFonts w:ascii="Arial" w:hAnsi="Arial" w:cs="Arial"/>
          <w:sz w:val="19"/>
          <w:szCs w:val="19"/>
        </w:rPr>
      </w:pPr>
    </w:p>
  </w:footnote>
  <w:footnote w:id="30">
    <w:p w14:paraId="60A9D1EF" w14:textId="77777777" w:rsidR="00FA17EA" w:rsidRPr="00DD5F33" w:rsidRDefault="00FA17EA" w:rsidP="00F360E8">
      <w:pPr>
        <w:pStyle w:val="NormalWeb"/>
        <w:spacing w:before="0" w:beforeAutospacing="0" w:after="0" w:afterAutospacing="0"/>
        <w:ind w:firstLine="709"/>
        <w:jc w:val="both"/>
        <w:rPr>
          <w:rFonts w:ascii="Arial" w:hAnsi="Arial" w:cs="Arial"/>
          <w:color w:val="000000"/>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Código Civil Colombiano «</w:t>
      </w:r>
      <w:r w:rsidRPr="00DD5F33">
        <w:rPr>
          <w:rFonts w:ascii="Arial" w:hAnsi="Arial" w:cs="Arial"/>
          <w:color w:val="000000"/>
          <w:sz w:val="19"/>
          <w:szCs w:val="19"/>
        </w:rPr>
        <w:t>Artículo 27. Cuando el sentido de la ley sea claro, no se desatenderá su tenor literal a pretexto de consultar su espíritu. </w:t>
      </w:r>
    </w:p>
    <w:p w14:paraId="6DE7AE37" w14:textId="77777777" w:rsidR="00FA17EA" w:rsidRPr="00DD5F33" w:rsidRDefault="00FA17EA" w:rsidP="00F360E8">
      <w:pPr>
        <w:ind w:firstLine="709"/>
        <w:jc w:val="both"/>
        <w:rPr>
          <w:rFonts w:ascii="Arial" w:hAnsi="Arial" w:cs="Arial"/>
          <w:color w:val="000000"/>
          <w:sz w:val="19"/>
          <w:szCs w:val="19"/>
          <w:lang w:eastAsia="es-CO"/>
        </w:rPr>
      </w:pPr>
      <w:r w:rsidRPr="00DD5F33">
        <w:rPr>
          <w:rFonts w:ascii="Arial" w:hAnsi="Arial" w:cs="Arial"/>
          <w:color w:val="000000"/>
          <w:sz w:val="19"/>
          <w:szCs w:val="19"/>
          <w:lang w:eastAsia="es-CO"/>
        </w:rPr>
        <w:t>  </w:t>
      </w:r>
      <w:r w:rsidRPr="00DD5F33">
        <w:rPr>
          <w:rFonts w:ascii="Arial" w:hAnsi="Arial" w:cs="Arial"/>
          <w:color w:val="000000"/>
          <w:sz w:val="19"/>
          <w:szCs w:val="19"/>
          <w:lang w:eastAsia="es-CO"/>
        </w:rPr>
        <w:tab/>
        <w:t>»Pero bien se puede, para interpretar una expresión </w:t>
      </w:r>
      <w:r w:rsidRPr="00DD5F33">
        <w:rPr>
          <w:rFonts w:ascii="Arial" w:hAnsi="Arial" w:cs="Arial"/>
          <w:i/>
          <w:iCs/>
          <w:color w:val="000000"/>
          <w:sz w:val="19"/>
          <w:szCs w:val="19"/>
          <w:lang w:eastAsia="es-CO"/>
        </w:rPr>
        <w:t>oscura</w:t>
      </w:r>
      <w:r w:rsidRPr="00DD5F33">
        <w:rPr>
          <w:rFonts w:ascii="Arial" w:hAnsi="Arial" w:cs="Arial"/>
          <w:color w:val="000000"/>
          <w:sz w:val="19"/>
          <w:szCs w:val="19"/>
          <w:lang w:eastAsia="es-CO"/>
        </w:rPr>
        <w:t> de la ley, recurrir a su intención o espíritu, claramente manifestados en ella misma o en la historia fidedigna de su establecimiento». </w:t>
      </w:r>
    </w:p>
    <w:p w14:paraId="6C135F80" w14:textId="77777777" w:rsidR="00FA17EA" w:rsidRPr="00DD5F33" w:rsidRDefault="00FA17EA" w:rsidP="00F360E8">
      <w:pPr>
        <w:pStyle w:val="Textonotapie"/>
        <w:ind w:firstLine="709"/>
        <w:jc w:val="both"/>
        <w:rPr>
          <w:rFonts w:ascii="Arial" w:hAnsi="Arial" w:cs="Arial"/>
          <w:sz w:val="19"/>
          <w:szCs w:val="19"/>
        </w:rPr>
      </w:pPr>
    </w:p>
  </w:footnote>
  <w:footnote w:id="31">
    <w:p w14:paraId="3E43A484" w14:textId="77777777" w:rsidR="00FA17EA" w:rsidRPr="00DD5F33" w:rsidRDefault="00FA17EA"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440B2EE6"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»1. Tiempo de experiencia. </w:t>
      </w:r>
    </w:p>
    <w:p w14:paraId="7C130A50"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»2. Número de contratos para la acreditación de la experiencia. </w:t>
      </w:r>
    </w:p>
    <w:p w14:paraId="017F9A53"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»3. Índices de capacidad financiera. </w:t>
      </w:r>
    </w:p>
    <w:p w14:paraId="17500DFD"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»4. Índices de capacidad organizacional. </w:t>
      </w:r>
    </w:p>
    <w:p w14:paraId="75356059"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»5. Valor de la garantía de seriedad de la oferta. </w:t>
      </w:r>
    </w:p>
    <w:p w14:paraId="1BBE3FF1"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CA7B752"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930BC85"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5DBD44B5"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4101C07A" w14:textId="77777777" w:rsidR="00FA17EA" w:rsidRPr="00DD5F33" w:rsidRDefault="00FA17EA" w:rsidP="00F360E8">
      <w:pPr>
        <w:pStyle w:val="Textonotapie"/>
        <w:ind w:firstLine="709"/>
        <w:jc w:val="both"/>
        <w:rPr>
          <w:rFonts w:ascii="Arial" w:hAnsi="Arial" w:cs="Arial"/>
          <w:sz w:val="19"/>
          <w:szCs w:val="19"/>
        </w:rPr>
      </w:pPr>
      <w:r w:rsidRPr="00DD5F33">
        <w:rPr>
          <w:rFonts w:ascii="Arial" w:hAnsi="Arial" w:cs="Arial"/>
          <w:sz w:val="19"/>
          <w:szCs w:val="19"/>
        </w:rPr>
        <w:t xml:space="preserve">»Parágrafo 2. Los incentivos contractuales para las empresas y emprendimientos de mujeres no excluyen la aplicación de los criterios diferenciales para Mipyme en el sistema de compras públicas».  </w:t>
      </w:r>
    </w:p>
  </w:footnote>
  <w:footnote w:id="32">
    <w:p w14:paraId="5B23E05E" w14:textId="77777777" w:rsidR="00F66777" w:rsidRPr="00DD5F33" w:rsidRDefault="00F66777" w:rsidP="00F66777">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En:</w:t>
      </w:r>
    </w:p>
    <w:p w14:paraId="0A6361E6" w14:textId="77777777" w:rsidR="00F66777" w:rsidRPr="00DD5F33" w:rsidRDefault="00F66777" w:rsidP="00F66777">
      <w:pPr>
        <w:pStyle w:val="Textonotapie"/>
        <w:ind w:firstLine="709"/>
        <w:jc w:val="both"/>
        <w:rPr>
          <w:rFonts w:ascii="Arial" w:hAnsi="Arial" w:cs="Arial"/>
          <w:sz w:val="19"/>
          <w:szCs w:val="19"/>
          <w:lang w:val="es-ES"/>
        </w:rPr>
      </w:pPr>
      <w:r w:rsidRPr="00DD5F33">
        <w:rPr>
          <w:rFonts w:ascii="Arial" w:hAnsi="Arial" w:cs="Arial"/>
          <w:sz w:val="19"/>
          <w:szCs w:val="19"/>
          <w:lang w:val="es-ES"/>
        </w:rPr>
        <w:t xml:space="preserve"> https://colombiacompra.gov.co/sites/cce_public/files/cce_documents/cce_guia_elaboracion_estudios.pdf</w:t>
      </w:r>
    </w:p>
  </w:footnote>
  <w:footnote w:id="33">
    <w:p w14:paraId="42A7DA14" w14:textId="77777777" w:rsidR="00CB7399" w:rsidRPr="00DD5F33" w:rsidRDefault="00CB7399" w:rsidP="00CB7399">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Disponible en:</w:t>
      </w:r>
    </w:p>
    <w:p w14:paraId="3C66160B" w14:textId="77777777" w:rsidR="00CB7399" w:rsidRPr="00DD5F33" w:rsidRDefault="00CB7399" w:rsidP="00CB7399">
      <w:pPr>
        <w:pStyle w:val="Textonotapie"/>
        <w:ind w:firstLine="709"/>
        <w:jc w:val="both"/>
        <w:rPr>
          <w:rFonts w:ascii="Arial" w:hAnsi="Arial" w:cs="Arial"/>
          <w:sz w:val="19"/>
          <w:szCs w:val="19"/>
          <w:lang w:val="es-ES"/>
        </w:rPr>
      </w:pPr>
      <w:r w:rsidRPr="00DD5F33">
        <w:rPr>
          <w:rFonts w:ascii="Arial" w:hAnsi="Arial" w:cs="Arial"/>
          <w:sz w:val="19"/>
          <w:szCs w:val="19"/>
          <w:lang w:val="es-ES"/>
        </w:rPr>
        <w:t>https://colombiacompra.gov.co/sites/cce_public/files/cce_documents/cce_manual_cobertura_riesgo.pdf</w:t>
      </w:r>
    </w:p>
  </w:footnote>
  <w:footnote w:id="34">
    <w:p w14:paraId="65A878C0" w14:textId="77777777" w:rsidR="00D66556" w:rsidRPr="00DD5F33" w:rsidRDefault="00D66556" w:rsidP="00F360E8">
      <w:pPr>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En efecto, el artículo 34 de la Ley 2069 de 2020 establece: «</w:t>
      </w:r>
      <w:r w:rsidRPr="00DD5F33">
        <w:rPr>
          <w:rFonts w:ascii="Arial" w:hAnsi="Arial" w:cs="Arial"/>
          <w:sz w:val="19"/>
          <w:szCs w:val="19"/>
        </w:rPr>
        <w:t xml:space="preserve">Modifíquese el artículo 12 de la Ley 1150 de 2007, el cual quedará así: </w:t>
      </w:r>
    </w:p>
    <w:p w14:paraId="0B2D436E"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rPr>
        <w:t>»</w:t>
      </w:r>
      <w:r w:rsidRPr="00DD5F33">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62809918"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7A7E0827"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500BC996"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F415E6C"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39D05AC2"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9369255" w14:textId="77777777" w:rsidR="00D66556" w:rsidRPr="00DD5F33" w:rsidRDefault="00D66556" w:rsidP="00F360E8">
      <w:pPr>
        <w:ind w:firstLine="709"/>
        <w:jc w:val="both"/>
        <w:rPr>
          <w:rFonts w:ascii="Arial" w:eastAsia="Calibri" w:hAnsi="Arial" w:cs="Arial"/>
          <w:color w:val="000000" w:themeColor="text1"/>
          <w:sz w:val="19"/>
          <w:szCs w:val="19"/>
          <w:lang w:val="es-ES_tradnl"/>
        </w:rPr>
      </w:pPr>
      <w:r w:rsidRPr="00DD5F33">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0D986FCB" w14:textId="77777777" w:rsidR="00D66556" w:rsidRPr="00DD5F33" w:rsidRDefault="00D66556" w:rsidP="00F360E8">
      <w:pPr>
        <w:pStyle w:val="Textonotapie"/>
        <w:ind w:firstLine="709"/>
        <w:jc w:val="both"/>
        <w:rPr>
          <w:rFonts w:ascii="Arial" w:hAnsi="Arial" w:cs="Arial"/>
          <w:sz w:val="19"/>
          <w:szCs w:val="19"/>
          <w:lang w:val="es-ES_tradnl"/>
        </w:rPr>
      </w:pPr>
    </w:p>
  </w:footnote>
  <w:footnote w:id="35">
    <w:p w14:paraId="2C0578F8" w14:textId="77777777" w:rsidR="00D66556" w:rsidRPr="00DD5F33" w:rsidRDefault="00D66556" w:rsidP="00F360E8">
      <w:pPr>
        <w:ind w:firstLine="709"/>
        <w:jc w:val="both"/>
        <w:rPr>
          <w:rFonts w:ascii="Arial" w:eastAsiaTheme="minorHAnsi" w:hAnsi="Arial" w:cs="Arial"/>
          <w:sz w:val="19"/>
          <w:szCs w:val="19"/>
          <w:lang w:val="es-ES" w:eastAsia="en-U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Corte Constitucional. Sentencia C-502 de 2012. Magistrada Ponente: </w:t>
      </w:r>
      <w:r w:rsidRPr="00DD5F33">
        <w:rPr>
          <w:rFonts w:ascii="Arial" w:eastAsiaTheme="minorHAnsi" w:hAnsi="Arial" w:cs="Arial"/>
          <w:sz w:val="19"/>
          <w:szCs w:val="19"/>
          <w:lang w:val="es-ES" w:eastAsia="en-US"/>
        </w:rPr>
        <w:t>Adriana María Guillén Arango.</w:t>
      </w:r>
    </w:p>
    <w:p w14:paraId="68FE7ABD" w14:textId="77777777" w:rsidR="00D66556" w:rsidRPr="00DD5F33" w:rsidRDefault="00D66556" w:rsidP="00F360E8">
      <w:pPr>
        <w:pStyle w:val="Textonotapie"/>
        <w:ind w:firstLine="709"/>
        <w:jc w:val="both"/>
        <w:rPr>
          <w:rFonts w:ascii="Arial" w:hAnsi="Arial" w:cs="Arial"/>
          <w:sz w:val="19"/>
          <w:szCs w:val="19"/>
          <w:lang w:val="es-ES"/>
        </w:rPr>
      </w:pPr>
      <w:r w:rsidRPr="00DD5F33">
        <w:rPr>
          <w:rFonts w:ascii="Arial" w:hAnsi="Arial" w:cs="Arial"/>
          <w:sz w:val="19"/>
          <w:szCs w:val="19"/>
          <w:lang w:val="es-ES"/>
        </w:rPr>
        <w:t xml:space="preserve"> </w:t>
      </w:r>
    </w:p>
  </w:footnote>
  <w:footnote w:id="36">
    <w:p w14:paraId="05B78ACB" w14:textId="77777777" w:rsidR="00D66556" w:rsidRPr="00DD5F33" w:rsidRDefault="00D66556" w:rsidP="00F360E8">
      <w:pPr>
        <w:pStyle w:val="Textonotapie"/>
        <w:ind w:firstLine="709"/>
        <w:jc w:val="both"/>
        <w:rPr>
          <w:rFonts w:ascii="Arial" w:hAnsi="Arial" w:cs="Arial"/>
          <w:sz w:val="19"/>
          <w:szCs w:val="19"/>
          <w:lang w:val="es-CO"/>
        </w:rPr>
      </w:pPr>
      <w:r w:rsidRPr="00DD5F33">
        <w:rPr>
          <w:rStyle w:val="Refdenotaalpie"/>
          <w:rFonts w:ascii="Arial" w:hAnsi="Arial" w:cs="Arial"/>
          <w:sz w:val="19"/>
          <w:szCs w:val="19"/>
        </w:rPr>
        <w:footnoteRef/>
      </w:r>
      <w:r w:rsidRPr="00DD5F33">
        <w:rPr>
          <w:rFonts w:ascii="Arial" w:hAnsi="Arial" w:cs="Arial"/>
          <w:sz w:val="19"/>
          <w:szCs w:val="19"/>
        </w:rPr>
        <w:t xml:space="preserve"> Dicho artículo indica que «</w:t>
      </w:r>
      <w:r w:rsidRPr="00DD5F33">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DD5F33">
        <w:rPr>
          <w:rFonts w:ascii="Arial" w:hAnsi="Arial" w:cs="Arial"/>
          <w:sz w:val="19"/>
          <w:szCs w:val="19"/>
        </w:rPr>
        <w:t xml:space="preserve"> </w:t>
      </w:r>
    </w:p>
  </w:footnote>
  <w:footnote w:id="37">
    <w:p w14:paraId="6D5430F6" w14:textId="77777777" w:rsidR="00D66556" w:rsidRPr="00DD5F33" w:rsidRDefault="00D66556"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Agencia Nacional de Contratación Pública – Colombia Compra Eficiente. Concepto C-045 del 17 de marzo de 2020. Radicado de salida No. 2202013000001974.</w:t>
      </w:r>
    </w:p>
  </w:footnote>
  <w:footnote w:id="38">
    <w:p w14:paraId="51E73571" w14:textId="77777777" w:rsidR="00D66556" w:rsidRPr="00DD5F33" w:rsidRDefault="00D66556" w:rsidP="00F360E8">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2DFA156E" w14:textId="77777777" w:rsidR="00D66556" w:rsidRPr="00DD5F33" w:rsidRDefault="00D66556" w:rsidP="00F360E8">
      <w:pPr>
        <w:pStyle w:val="Textonotapie"/>
        <w:ind w:firstLine="709"/>
        <w:jc w:val="both"/>
        <w:rPr>
          <w:rFonts w:ascii="Arial" w:hAnsi="Arial" w:cs="Arial"/>
          <w:sz w:val="19"/>
          <w:szCs w:val="19"/>
        </w:rPr>
      </w:pPr>
      <w:r w:rsidRPr="00DD5F33">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6E14ED95" w14:textId="77777777" w:rsidR="00D66556" w:rsidRPr="00DD5F33" w:rsidRDefault="00D66556" w:rsidP="00F360E8">
      <w:pPr>
        <w:pStyle w:val="Textonotapie"/>
        <w:ind w:firstLine="709"/>
        <w:jc w:val="both"/>
        <w:rPr>
          <w:rFonts w:ascii="Arial" w:hAnsi="Arial" w:cs="Arial"/>
          <w:sz w:val="19"/>
          <w:szCs w:val="19"/>
        </w:rPr>
      </w:pPr>
      <w:r w:rsidRPr="00DD5F33">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3EB580D" w14:textId="77777777" w:rsidR="00D66556" w:rsidRPr="00DD5F33" w:rsidRDefault="00D66556" w:rsidP="00F360E8">
      <w:pPr>
        <w:pStyle w:val="Textonotapie"/>
        <w:ind w:firstLine="709"/>
        <w:jc w:val="both"/>
        <w:rPr>
          <w:rFonts w:ascii="Arial" w:hAnsi="Arial" w:cs="Arial"/>
          <w:sz w:val="19"/>
          <w:szCs w:val="19"/>
        </w:rPr>
      </w:pPr>
      <w:r w:rsidRPr="00DD5F33">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669DCC5A" w14:textId="77777777" w:rsidR="00D66556" w:rsidRPr="00DD5F33" w:rsidRDefault="00D66556" w:rsidP="00F360E8">
      <w:pPr>
        <w:pStyle w:val="Textonotapie"/>
        <w:ind w:firstLine="709"/>
        <w:jc w:val="both"/>
        <w:rPr>
          <w:rFonts w:ascii="Arial" w:hAnsi="Arial" w:cs="Arial"/>
          <w:sz w:val="19"/>
          <w:szCs w:val="19"/>
        </w:rPr>
      </w:pPr>
      <w:r w:rsidRPr="00DD5F33">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 w:id="39">
    <w:p w14:paraId="39690F4A" w14:textId="77777777" w:rsidR="00AE6CFD" w:rsidRPr="00DD5F33" w:rsidRDefault="00AE6CFD" w:rsidP="00AE6CFD">
      <w:pPr>
        <w:pStyle w:val="Textonotapie"/>
        <w:ind w:firstLine="709"/>
        <w:jc w:val="both"/>
        <w:rPr>
          <w:rFonts w:ascii="Arial" w:hAnsi="Arial" w:cs="Arial"/>
          <w:sz w:val="19"/>
          <w:szCs w:val="19"/>
          <w:lang w:val="es-CO"/>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La RAE define el verbo «proveer», entre otras acepciones, como «Suministrar o facilitar lo necesario o conveniente para un fin». En: https://dle.rae.es/proveer?m=form</w:t>
      </w:r>
    </w:p>
  </w:footnote>
  <w:footnote w:id="40">
    <w:p w14:paraId="67D083C9" w14:textId="77777777" w:rsidR="004A3C96" w:rsidRPr="00DD5F33" w:rsidRDefault="004A3C96" w:rsidP="00F360E8">
      <w:pPr>
        <w:ind w:firstLine="709"/>
        <w:jc w:val="both"/>
        <w:rPr>
          <w:rFonts w:ascii="Arial" w:hAnsi="Arial" w:cs="Arial"/>
          <w:sz w:val="19"/>
          <w:szCs w:val="19"/>
        </w:rPr>
      </w:pPr>
    </w:p>
    <w:p w14:paraId="4A534DED" w14:textId="17E92F83" w:rsidR="009B3BCD" w:rsidRPr="00DD5F33" w:rsidRDefault="009B3BCD" w:rsidP="00F360E8">
      <w:pPr>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78E147B9"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»1. Preferir la oferta de bienes o servicios nacionales frente a la oferta de bienes o servicios extranjeros.</w:t>
      </w:r>
    </w:p>
    <w:p w14:paraId="7589811C"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72B0795"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8CEB513"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D055A7D"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»5. Preferir la propuesta presentada por el oferente que acredite, en las condiciones establecidas en la ley, que por lo menos diez por ciento (10%) de su nómina pertenece a población indígena, negra, afrocolombiana, raizal, palanquera, Rrom o gitanas.</w:t>
      </w:r>
    </w:p>
    <w:p w14:paraId="516D5D47"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6BA04DF9"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7FDC39D9"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»8. Preferir la oferta presentada por una Mipyme o cooperativas o asociaciones mutuales; o un proponente plural constituido por Mipymes, cooperativas o asociaciones mutuales.</w:t>
      </w:r>
    </w:p>
    <w:p w14:paraId="3EA4255B"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»9. Preferir la oferta presentada por el proponente plural constituido por micro y/o pequeñas empresas, cooperativas o asociaciones mutuales.</w:t>
      </w:r>
    </w:p>
    <w:p w14:paraId="3A39E0B6"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596E78FD"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»11. Preferir las empresas reconocidas y establecidas como Sociedad de Beneficio e Interés Colectivo o Sociedad BIC, del segmento MIPYMES.</w:t>
      </w:r>
    </w:p>
    <w:p w14:paraId="7E2457B3"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»12. Utilizar un método aleatorio para seleccionar el oferente, método que deberá haber sido previsto previamente en los Documentos del Proceso.</w:t>
      </w:r>
    </w:p>
    <w:p w14:paraId="53456D68"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29830088"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21B81B67" w14:textId="77777777" w:rsidR="009B3BCD" w:rsidRPr="00DD5F33" w:rsidRDefault="009B3BCD" w:rsidP="00F360E8">
      <w:pPr>
        <w:ind w:firstLine="709"/>
        <w:jc w:val="both"/>
        <w:rPr>
          <w:rFonts w:ascii="Arial" w:hAnsi="Arial" w:cs="Arial"/>
          <w:sz w:val="19"/>
          <w:szCs w:val="19"/>
        </w:rPr>
      </w:pPr>
      <w:r w:rsidRPr="00DD5F33">
        <w:rPr>
          <w:rFonts w:ascii="Arial" w:hAnsi="Arial" w:cs="Arial"/>
          <w:sz w:val="19"/>
          <w:szCs w:val="19"/>
        </w:rPr>
        <w:t>»Parágrafo 3°. El Gobierno Nacional podrá reglamentar la aplicación de factores de desempate en casos en que concurran dos o más de los factores aquí previstos».</w:t>
      </w:r>
    </w:p>
  </w:footnote>
  <w:footnote w:id="41">
    <w:p w14:paraId="18365631" w14:textId="77777777" w:rsidR="003B6721" w:rsidRPr="00DD5F33" w:rsidRDefault="003B6721" w:rsidP="003B6721">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Consejo de Estado. Sala de lo Contencioso Administrativo. Sentencia del 23 de mayo de 2012. Consejero Ponente: Enrique Gil Botero. Expediente: 40743.</w:t>
      </w:r>
    </w:p>
    <w:p w14:paraId="77955D0E" w14:textId="77777777" w:rsidR="003B6721" w:rsidRPr="00DD5F33" w:rsidRDefault="003B6721" w:rsidP="003B6721">
      <w:pPr>
        <w:pStyle w:val="Textonotapie"/>
        <w:ind w:firstLine="709"/>
        <w:jc w:val="both"/>
        <w:rPr>
          <w:rFonts w:ascii="Arial" w:hAnsi="Arial" w:cs="Arial"/>
          <w:sz w:val="19"/>
          <w:szCs w:val="19"/>
          <w:lang w:val="es-ES"/>
        </w:rPr>
      </w:pPr>
    </w:p>
  </w:footnote>
  <w:footnote w:id="42">
    <w:p w14:paraId="381FD853" w14:textId="77777777" w:rsidR="003B6721" w:rsidRPr="00DD5F33" w:rsidRDefault="003B6721" w:rsidP="003B6721">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Ibíd.</w:t>
      </w:r>
    </w:p>
  </w:footnote>
  <w:footnote w:id="43">
    <w:p w14:paraId="48E09327" w14:textId="77777777" w:rsidR="00A37F66" w:rsidRPr="00DD5F33" w:rsidRDefault="00A37F66"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Disponible en: https://www.urosario.edu.co/jurisprudencia/catedra-viva-intercultural/Documentos/CONVENIO-OIT-169.pdf</w:t>
      </w:r>
    </w:p>
  </w:footnote>
  <w:footnote w:id="44">
    <w:p w14:paraId="6A7A12B6" w14:textId="77777777" w:rsidR="00A37F66" w:rsidRPr="00DD5F33" w:rsidRDefault="00A37F66" w:rsidP="00F360E8">
      <w:pPr>
        <w:pStyle w:val="Textonotapie"/>
        <w:ind w:firstLine="709"/>
        <w:jc w:val="both"/>
        <w:rPr>
          <w:rFonts w:ascii="Arial" w:hAnsi="Arial" w:cs="Arial"/>
          <w:sz w:val="19"/>
          <w:szCs w:val="19"/>
        </w:rPr>
      </w:pPr>
    </w:p>
    <w:p w14:paraId="682CBE42" w14:textId="77777777" w:rsidR="00A37F66" w:rsidRPr="00DD5F33" w:rsidRDefault="00A37F66"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45">
    <w:p w14:paraId="178BEAA2" w14:textId="77777777" w:rsidR="00A37F66" w:rsidRPr="00DD5F33" w:rsidRDefault="00A37F66" w:rsidP="00F360E8">
      <w:pPr>
        <w:pStyle w:val="Textonotapie"/>
        <w:ind w:firstLine="709"/>
        <w:jc w:val="both"/>
        <w:rPr>
          <w:rFonts w:ascii="Arial" w:hAnsi="Arial" w:cs="Arial"/>
          <w:sz w:val="19"/>
          <w:szCs w:val="19"/>
          <w:lang w:val="es-CO"/>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46">
    <w:p w14:paraId="6DB4F79B" w14:textId="77777777" w:rsidR="00A37F66" w:rsidRPr="00DD5F33" w:rsidRDefault="00A37F66" w:rsidP="00F360E8">
      <w:pPr>
        <w:pStyle w:val="Textonotapie"/>
        <w:ind w:firstLine="709"/>
        <w:jc w:val="both"/>
        <w:rPr>
          <w:rFonts w:ascii="Arial" w:hAnsi="Arial" w:cs="Arial"/>
          <w:sz w:val="19"/>
          <w:szCs w:val="19"/>
        </w:rPr>
      </w:pPr>
    </w:p>
    <w:p w14:paraId="528BDC56" w14:textId="77777777" w:rsidR="00A37F66" w:rsidRPr="00DD5F33" w:rsidRDefault="00A37F66"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Ibíd.</w:t>
      </w:r>
    </w:p>
  </w:footnote>
  <w:footnote w:id="47">
    <w:p w14:paraId="5A909FCA" w14:textId="77777777" w:rsidR="00A37F66" w:rsidRPr="00DD5F33" w:rsidRDefault="00A37F66" w:rsidP="00F360E8">
      <w:pPr>
        <w:pStyle w:val="Textonotapie"/>
        <w:ind w:firstLine="709"/>
        <w:jc w:val="both"/>
        <w:rPr>
          <w:rFonts w:ascii="Arial" w:hAnsi="Arial" w:cs="Arial"/>
          <w:sz w:val="19"/>
          <w:szCs w:val="19"/>
        </w:rPr>
      </w:pPr>
    </w:p>
    <w:p w14:paraId="794EEC55" w14:textId="77777777" w:rsidR="00A37F66" w:rsidRPr="00DD5F33" w:rsidRDefault="00A37F66" w:rsidP="00F360E8">
      <w:pPr>
        <w:pStyle w:val="Textonotapie"/>
        <w:ind w:firstLine="709"/>
        <w:jc w:val="both"/>
        <w:rPr>
          <w:rFonts w:ascii="Arial" w:hAnsi="Arial" w:cs="Arial"/>
          <w:sz w:val="19"/>
          <w:szCs w:val="19"/>
          <w:lang w:val="es-CO"/>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footnote>
  <w:footnote w:id="48">
    <w:p w14:paraId="63CD84EB" w14:textId="77777777" w:rsidR="00A37F66" w:rsidRPr="00DD5F33" w:rsidRDefault="00A37F66"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En: http://www.reincorporacion.gov.co/es/agencia</w:t>
      </w:r>
    </w:p>
  </w:footnote>
  <w:footnote w:id="49">
    <w:p w14:paraId="193B804E" w14:textId="77777777" w:rsidR="007519B0" w:rsidRPr="00DD5F33" w:rsidRDefault="007519B0" w:rsidP="007519B0">
      <w:pPr>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Cfr. Corte Constitucional. Sentencias C-748 de 2011 (M.P. Jorge Ignacio Pretelt Chaljub) y C-274 de 2013 (M.P. </w:t>
      </w:r>
      <w:r w:rsidRPr="00DD5F33">
        <w:rPr>
          <w:rFonts w:ascii="Arial" w:eastAsiaTheme="minorHAnsi" w:hAnsi="Arial" w:cs="Arial"/>
          <w:sz w:val="19"/>
          <w:szCs w:val="19"/>
          <w:lang w:val="es-ES" w:eastAsia="en-US"/>
        </w:rPr>
        <w:t>María Victoria Calle Correa).</w:t>
      </w:r>
    </w:p>
    <w:p w14:paraId="1AB5EE3B" w14:textId="77777777" w:rsidR="007519B0" w:rsidRPr="00DD5F33" w:rsidRDefault="007519B0" w:rsidP="007519B0">
      <w:pPr>
        <w:pStyle w:val="Textonotapie"/>
        <w:ind w:firstLine="709"/>
        <w:jc w:val="both"/>
        <w:rPr>
          <w:rFonts w:ascii="Arial" w:hAnsi="Arial" w:cs="Arial"/>
          <w:sz w:val="19"/>
          <w:szCs w:val="19"/>
          <w:lang w:val="es-ES"/>
        </w:rPr>
      </w:pPr>
    </w:p>
  </w:footnote>
  <w:footnote w:id="50">
    <w:p w14:paraId="59C42D11" w14:textId="77777777" w:rsidR="00797467" w:rsidRPr="00DD5F33" w:rsidRDefault="00797467" w:rsidP="00797467">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Cfr. el numeral 1.6 de los documentos tipo de licitación de obra pública de infraestructura de transporte, versión 3, vigentes. En: https://www.colombiacompra.gov.co/content/03-documentos-tipo-para-licitacion-de-obra-publica-de-infraestructura-de-transporte-version</w:t>
      </w:r>
    </w:p>
  </w:footnote>
  <w:footnote w:id="51">
    <w:p w14:paraId="5601D03F" w14:textId="436175AD" w:rsidR="00797467" w:rsidRPr="00DD5F33" w:rsidRDefault="00797467" w:rsidP="00797467">
      <w:pPr>
        <w:pStyle w:val="Textonotapie"/>
        <w:ind w:firstLine="709"/>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Ibíd., numeral 4.3.1.1.</w:t>
      </w:r>
    </w:p>
    <w:p w14:paraId="0CEC3DCD" w14:textId="77777777" w:rsidR="003C2A4D" w:rsidRPr="00DD5F33" w:rsidRDefault="003C2A4D" w:rsidP="00797467">
      <w:pPr>
        <w:pStyle w:val="Textonotapie"/>
        <w:ind w:firstLine="709"/>
        <w:rPr>
          <w:rFonts w:ascii="Arial" w:hAnsi="Arial" w:cs="Arial"/>
          <w:sz w:val="19"/>
          <w:szCs w:val="19"/>
          <w:lang w:val="es-ES"/>
        </w:rPr>
      </w:pPr>
    </w:p>
  </w:footnote>
  <w:footnote w:id="52">
    <w:p w14:paraId="6F5698F3" w14:textId="3E019DB1" w:rsidR="006D6E5E" w:rsidRPr="00DD5F33" w:rsidRDefault="00971F1F" w:rsidP="00F360E8">
      <w:pPr>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Cfr. </w:t>
      </w:r>
      <w:r w:rsidR="004064E8" w:rsidRPr="00DD5F33">
        <w:rPr>
          <w:rFonts w:ascii="Arial" w:hAnsi="Arial" w:cs="Arial"/>
          <w:sz w:val="19"/>
          <w:szCs w:val="19"/>
          <w:lang w:val="es-ES"/>
        </w:rPr>
        <w:t xml:space="preserve">Corte Constitucional. </w:t>
      </w:r>
      <w:r w:rsidRPr="00DD5F33">
        <w:rPr>
          <w:rFonts w:ascii="Arial" w:hAnsi="Arial" w:cs="Arial"/>
          <w:sz w:val="19"/>
          <w:szCs w:val="19"/>
          <w:lang w:val="es-ES"/>
        </w:rPr>
        <w:t xml:space="preserve">Sentencias </w:t>
      </w:r>
      <w:r w:rsidR="00FE2163" w:rsidRPr="00DD5F33">
        <w:rPr>
          <w:rFonts w:ascii="Arial" w:hAnsi="Arial" w:cs="Arial"/>
          <w:sz w:val="19"/>
          <w:szCs w:val="19"/>
          <w:lang w:val="es-ES"/>
        </w:rPr>
        <w:t>C-</w:t>
      </w:r>
      <w:r w:rsidR="003F74EB" w:rsidRPr="00DD5F33">
        <w:rPr>
          <w:rFonts w:ascii="Arial" w:hAnsi="Arial" w:cs="Arial"/>
          <w:sz w:val="19"/>
          <w:szCs w:val="19"/>
          <w:lang w:val="es-ES"/>
        </w:rPr>
        <w:t xml:space="preserve">748 de 2011 </w:t>
      </w:r>
      <w:r w:rsidR="004064E8" w:rsidRPr="00DD5F33">
        <w:rPr>
          <w:rFonts w:ascii="Arial" w:hAnsi="Arial" w:cs="Arial"/>
          <w:sz w:val="19"/>
          <w:szCs w:val="19"/>
          <w:lang w:val="es-ES"/>
        </w:rPr>
        <w:t>(</w:t>
      </w:r>
      <w:r w:rsidR="00BD2636" w:rsidRPr="00DD5F33">
        <w:rPr>
          <w:rFonts w:ascii="Arial" w:hAnsi="Arial" w:cs="Arial"/>
          <w:sz w:val="19"/>
          <w:szCs w:val="19"/>
          <w:lang w:val="es-ES"/>
        </w:rPr>
        <w:t xml:space="preserve">M.P. </w:t>
      </w:r>
      <w:r w:rsidR="004064E8" w:rsidRPr="00DD5F33">
        <w:rPr>
          <w:rFonts w:ascii="Arial" w:hAnsi="Arial" w:cs="Arial"/>
          <w:sz w:val="19"/>
          <w:szCs w:val="19"/>
          <w:lang w:val="es-ES"/>
        </w:rPr>
        <w:t>Jorge Ignacio Pretelt Chaljub</w:t>
      </w:r>
      <w:r w:rsidR="003F74EB" w:rsidRPr="00DD5F33">
        <w:rPr>
          <w:rFonts w:ascii="Arial" w:hAnsi="Arial" w:cs="Arial"/>
          <w:sz w:val="19"/>
          <w:szCs w:val="19"/>
          <w:lang w:val="es-ES"/>
        </w:rPr>
        <w:t xml:space="preserve">) y </w:t>
      </w:r>
      <w:r w:rsidRPr="00DD5F33">
        <w:rPr>
          <w:rFonts w:ascii="Arial" w:hAnsi="Arial" w:cs="Arial"/>
          <w:sz w:val="19"/>
          <w:szCs w:val="19"/>
          <w:lang w:val="es-ES"/>
        </w:rPr>
        <w:t>C-</w:t>
      </w:r>
      <w:r w:rsidR="00F0318F" w:rsidRPr="00DD5F33">
        <w:rPr>
          <w:rFonts w:ascii="Arial" w:hAnsi="Arial" w:cs="Arial"/>
          <w:sz w:val="19"/>
          <w:szCs w:val="19"/>
          <w:lang w:val="es-ES"/>
        </w:rPr>
        <w:t xml:space="preserve">274 de 2013 (M.P. </w:t>
      </w:r>
      <w:r w:rsidR="004064E8" w:rsidRPr="00DD5F33">
        <w:rPr>
          <w:rFonts w:ascii="Arial" w:eastAsiaTheme="minorHAnsi" w:hAnsi="Arial" w:cs="Arial"/>
          <w:sz w:val="19"/>
          <w:szCs w:val="19"/>
          <w:lang w:val="es-ES" w:eastAsia="en-US"/>
        </w:rPr>
        <w:t>María Victoria Calle Correa</w:t>
      </w:r>
      <w:r w:rsidR="006D6E5E" w:rsidRPr="00DD5F33">
        <w:rPr>
          <w:rFonts w:ascii="Arial" w:eastAsiaTheme="minorHAnsi" w:hAnsi="Arial" w:cs="Arial"/>
          <w:sz w:val="19"/>
          <w:szCs w:val="19"/>
          <w:lang w:val="es-ES" w:eastAsia="en-US"/>
        </w:rPr>
        <w:t>)</w:t>
      </w:r>
      <w:r w:rsidR="003F74EB" w:rsidRPr="00DD5F33">
        <w:rPr>
          <w:rFonts w:ascii="Arial" w:eastAsiaTheme="minorHAnsi" w:hAnsi="Arial" w:cs="Arial"/>
          <w:sz w:val="19"/>
          <w:szCs w:val="19"/>
          <w:lang w:val="es-ES" w:eastAsia="en-US"/>
        </w:rPr>
        <w:t>.</w:t>
      </w:r>
    </w:p>
    <w:p w14:paraId="3F7DDD9A" w14:textId="6836870E" w:rsidR="00971F1F" w:rsidRPr="00DD5F33" w:rsidRDefault="00971F1F" w:rsidP="00F360E8">
      <w:pPr>
        <w:pStyle w:val="Textonotapie"/>
        <w:ind w:firstLine="709"/>
        <w:jc w:val="both"/>
        <w:rPr>
          <w:rFonts w:ascii="Arial" w:hAnsi="Arial" w:cs="Arial"/>
          <w:sz w:val="19"/>
          <w:szCs w:val="19"/>
          <w:lang w:val="es-ES"/>
        </w:rPr>
      </w:pPr>
    </w:p>
  </w:footnote>
  <w:footnote w:id="53">
    <w:p w14:paraId="64321A88" w14:textId="1ACF901B" w:rsidR="006B6ECF" w:rsidRPr="00DD5F33" w:rsidRDefault="006B6ECF" w:rsidP="00F360E8">
      <w:pPr>
        <w:pStyle w:val="Textonotapie"/>
        <w:ind w:firstLine="709"/>
        <w:jc w:val="both"/>
        <w:rPr>
          <w:rFonts w:ascii="Arial" w:hAnsi="Arial" w:cs="Arial"/>
          <w:sz w:val="19"/>
          <w:szCs w:val="19"/>
          <w:lang w:val="es-CO"/>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La RAE define el verbo «proveer», entre otras acepciones, como «Suministrar o facilitar lo necesario o conveniente para un fin». En: </w:t>
      </w:r>
      <w:r w:rsidR="001C75EF" w:rsidRPr="00DD5F33">
        <w:rPr>
          <w:rFonts w:ascii="Arial" w:hAnsi="Arial" w:cs="Arial"/>
          <w:sz w:val="19"/>
          <w:szCs w:val="19"/>
          <w:lang w:val="es-ES"/>
        </w:rPr>
        <w:t>https://dle.rae.es/proveer?m=form</w:t>
      </w:r>
    </w:p>
  </w:footnote>
  <w:footnote w:id="54">
    <w:p w14:paraId="295C89B6" w14:textId="038BEA14" w:rsidR="001939C1" w:rsidRPr="00DD5F33" w:rsidRDefault="00263B49" w:rsidP="00F360E8">
      <w:pPr>
        <w:pStyle w:val="Textonotapie"/>
        <w:ind w:firstLine="709"/>
        <w:jc w:val="both"/>
        <w:rPr>
          <w:rFonts w:ascii="Arial" w:eastAsia="Calibri" w:hAnsi="Arial" w:cs="Arial"/>
          <w:bCs/>
          <w:color w:val="000000"/>
          <w:sz w:val="19"/>
          <w:szCs w:val="19"/>
          <w:lang w:val="es-ES_tradnl"/>
        </w:rPr>
      </w:pPr>
      <w:r w:rsidRPr="00DD5F33">
        <w:rPr>
          <w:rStyle w:val="Refdenotaalpie"/>
          <w:rFonts w:ascii="Arial" w:hAnsi="Arial" w:cs="Arial"/>
          <w:sz w:val="19"/>
          <w:szCs w:val="19"/>
        </w:rPr>
        <w:footnoteRef/>
      </w:r>
      <w:r w:rsidRPr="00DD5F33">
        <w:rPr>
          <w:rFonts w:ascii="Arial" w:hAnsi="Arial" w:cs="Arial"/>
          <w:sz w:val="19"/>
          <w:szCs w:val="19"/>
        </w:rPr>
        <w:t xml:space="preserve"> </w:t>
      </w:r>
      <w:r w:rsidR="008A2535" w:rsidRPr="00DD5F33">
        <w:rPr>
          <w:rFonts w:ascii="Arial" w:hAnsi="Arial" w:cs="Arial"/>
          <w:sz w:val="19"/>
          <w:szCs w:val="19"/>
          <w:lang w:val="es-ES"/>
        </w:rPr>
        <w:t xml:space="preserve">El artículo </w:t>
      </w:r>
      <w:r w:rsidR="008A2535" w:rsidRPr="00DD5F33">
        <w:rPr>
          <w:rFonts w:ascii="Arial" w:eastAsia="Calibri" w:hAnsi="Arial" w:cs="Arial"/>
          <w:bCs/>
          <w:color w:val="000000"/>
          <w:sz w:val="19"/>
          <w:szCs w:val="19"/>
          <w:lang w:val="es-ES_tradnl"/>
        </w:rPr>
        <w:t xml:space="preserve">2.2.1.13.2.2 del Decreto 1074 de 2015 establece: </w:t>
      </w:r>
      <w:r w:rsidR="001939C1" w:rsidRPr="00DD5F33">
        <w:rPr>
          <w:rFonts w:ascii="Arial" w:eastAsia="Calibri" w:hAnsi="Arial" w:cs="Arial"/>
          <w:bCs/>
          <w:color w:val="000000"/>
          <w:sz w:val="19"/>
          <w:szCs w:val="19"/>
          <w:lang w:val="es-ES_tradnl"/>
        </w:rPr>
        <w:t>«Rangos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6F425BA3" w14:textId="7AA9B24C"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1. Para el sector manufacturero:</w:t>
      </w:r>
    </w:p>
    <w:p w14:paraId="43E99E15" w14:textId="2671D426" w:rsidR="001939C1" w:rsidRPr="00DD5F33" w:rsidRDefault="001939C1"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Microempresa. Aquella cuyos ingresos por actividades ordinarias anuales sean inferiores o iguales a veintitrés mil quinientos sesenta y tres Unidades de Valor Tributario (23.563 UVT).</w:t>
      </w:r>
    </w:p>
    <w:p w14:paraId="7E5158F6" w14:textId="770A7A30"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4482AF34" w14:textId="67FE6C56"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87B765B" w14:textId="268F0479"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2. Para el sector servicios:</w:t>
      </w:r>
    </w:p>
    <w:p w14:paraId="0BDC5460" w14:textId="57AB58A4"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Microempresa. Aquella cuyos ingresos por actividades ordinarias anuales sean inferiores o iguales a treinta y dos mil novecientos ochenta y ocho Unidades de Valor Tributario (32.988 UVT).</w:t>
      </w:r>
    </w:p>
    <w:p w14:paraId="20E94CD7" w14:textId="63747EBE"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7208DDF9" w14:textId="072F1FD6"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6A1B6958" w14:textId="35E4FBEE"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3. Para el sector de comercio:</w:t>
      </w:r>
    </w:p>
    <w:p w14:paraId="394B6FF6" w14:textId="2CA1B33A"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Microempresa. Aquella cuyos ingresos por actividades ordinarias anuales sean inferiores o iguales a cuarenta y cuatro mil setecientos sesenta y nueve Unidades de Valor Tributario (44.769 UVT).</w:t>
      </w:r>
    </w:p>
    <w:p w14:paraId="57FD6D25" w14:textId="526582C6"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307F6794" w14:textId="1B56C371"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21460C2C" w14:textId="6A9493E6"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PARÁGRAFO 1. Se considera gran empresa aquella que tiene ingresos por actividades ordinarias anuales mayores al rango superior de las medianas empresas, en cada uno de los sectores económicos descritos anteriormente.</w:t>
      </w:r>
    </w:p>
    <w:p w14:paraId="191B4BAC" w14:textId="60FAD431"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PARÁGRAFO 2. Para aquella empresa cuya actividad principal no corresponda exclusivamente a uno de los anteriores sectores, los rangos a aplicar serán aquellos previstos para el sector manufacturero.</w:t>
      </w:r>
    </w:p>
    <w:p w14:paraId="007B60B5" w14:textId="11AB3C63" w:rsidR="001939C1" w:rsidRPr="00DD5F33" w:rsidRDefault="00D94C7F" w:rsidP="00F360E8">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PARÁGRAFO 3. Cuando los ingresos de la empresa provengan de más de uno de los sectores contemplados en el presente Capítulo, se considerará la actividad del sector económico cuyos ingresos hayan sido más altos.</w:t>
      </w:r>
    </w:p>
    <w:p w14:paraId="74A21A94" w14:textId="71385A9C" w:rsidR="00263B49" w:rsidRPr="00DD5F33" w:rsidRDefault="00D94C7F" w:rsidP="00F360E8">
      <w:pPr>
        <w:pStyle w:val="Textonotapie"/>
        <w:ind w:firstLine="709"/>
        <w:jc w:val="both"/>
        <w:rPr>
          <w:rFonts w:ascii="Arial" w:hAnsi="Arial" w:cs="Arial"/>
          <w:sz w:val="19"/>
          <w:szCs w:val="19"/>
          <w:lang w:val="es-CO"/>
        </w:rPr>
      </w:pPr>
      <w:r w:rsidRPr="00DD5F33">
        <w:rPr>
          <w:rFonts w:ascii="Arial" w:eastAsia="Calibri" w:hAnsi="Arial" w:cs="Arial"/>
          <w:bCs/>
          <w:color w:val="000000"/>
          <w:sz w:val="19"/>
          <w:szCs w:val="19"/>
          <w:lang w:val="es-ES_tradnl"/>
        </w:rPr>
        <w:t>»</w:t>
      </w:r>
      <w:r w:rsidR="001939C1" w:rsidRPr="00DD5F33">
        <w:rPr>
          <w:rFonts w:ascii="Arial" w:eastAsia="Calibri" w:hAnsi="Arial" w:cs="Arial"/>
          <w:bCs/>
          <w:color w:val="000000"/>
          <w:sz w:val="19"/>
          <w:szCs w:val="19"/>
          <w:lang w:val="es-ES_tradnl"/>
        </w:rPr>
        <w:t>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CllU Revisión 4</w:t>
      </w:r>
      <w:r w:rsidRPr="00DD5F33">
        <w:rPr>
          <w:rFonts w:ascii="Arial" w:eastAsia="Calibri" w:hAnsi="Arial" w:cs="Arial"/>
          <w:bCs/>
          <w:color w:val="000000"/>
          <w:sz w:val="19"/>
          <w:szCs w:val="19"/>
          <w:lang w:val="es-ES_tradnl"/>
        </w:rPr>
        <w:t>».</w:t>
      </w:r>
    </w:p>
  </w:footnote>
  <w:footnote w:id="55">
    <w:p w14:paraId="350031A3" w14:textId="77777777" w:rsidR="00C362D4" w:rsidRPr="00DD5F33" w:rsidRDefault="00C362D4"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En:</w:t>
      </w:r>
    </w:p>
    <w:p w14:paraId="637D1148" w14:textId="77777777" w:rsidR="00C362D4" w:rsidRPr="00DD5F33" w:rsidRDefault="00C362D4" w:rsidP="00F360E8">
      <w:pPr>
        <w:pStyle w:val="Textonotapie"/>
        <w:ind w:firstLine="709"/>
        <w:jc w:val="both"/>
        <w:rPr>
          <w:rFonts w:ascii="Arial" w:hAnsi="Arial" w:cs="Arial"/>
          <w:sz w:val="19"/>
          <w:szCs w:val="19"/>
          <w:lang w:val="es-ES"/>
        </w:rPr>
      </w:pPr>
      <w:r w:rsidRPr="00DD5F33">
        <w:rPr>
          <w:rFonts w:ascii="Arial" w:hAnsi="Arial" w:cs="Arial"/>
          <w:sz w:val="19"/>
          <w:szCs w:val="19"/>
          <w:lang w:val="es-ES"/>
        </w:rPr>
        <w:t xml:space="preserve"> https://colombiacompra.gov.co/sites/cce_public/files/cce_documents/cce_guia_elaboracion_estudios.pdf</w:t>
      </w:r>
    </w:p>
  </w:footnote>
  <w:footnote w:id="56">
    <w:p w14:paraId="5B8EC86D" w14:textId="0EF5E2C4" w:rsidR="006E5EEB" w:rsidRPr="00DD5F33" w:rsidRDefault="006E5EEB"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00AE7B2A" w:rsidRPr="00DD5F33">
        <w:rPr>
          <w:rFonts w:ascii="Arial" w:hAnsi="Arial" w:cs="Arial"/>
          <w:sz w:val="19"/>
          <w:szCs w:val="19"/>
          <w:lang w:val="es-ES"/>
        </w:rPr>
        <w:t xml:space="preserve">Consejo de Estado. Sala de lo Contencioso Administrativo. Sentencia del 23 de mayo de 2012. Consejero Ponente: Enrique Gil Botero. Expediente: </w:t>
      </w:r>
      <w:r w:rsidR="00B05DC5" w:rsidRPr="00DD5F33">
        <w:rPr>
          <w:rFonts w:ascii="Arial" w:hAnsi="Arial" w:cs="Arial"/>
          <w:sz w:val="19"/>
          <w:szCs w:val="19"/>
          <w:lang w:val="es-ES"/>
        </w:rPr>
        <w:t>40743.</w:t>
      </w:r>
    </w:p>
    <w:p w14:paraId="0A092437" w14:textId="77777777" w:rsidR="00E224EA" w:rsidRPr="00DD5F33" w:rsidRDefault="00E224EA" w:rsidP="00F360E8">
      <w:pPr>
        <w:pStyle w:val="Textonotapie"/>
        <w:ind w:firstLine="709"/>
        <w:jc w:val="both"/>
        <w:rPr>
          <w:rFonts w:ascii="Arial" w:hAnsi="Arial" w:cs="Arial"/>
          <w:sz w:val="19"/>
          <w:szCs w:val="19"/>
          <w:lang w:val="es-ES"/>
        </w:rPr>
      </w:pPr>
    </w:p>
  </w:footnote>
  <w:footnote w:id="57">
    <w:p w14:paraId="303EAE3E" w14:textId="2AD5E229" w:rsidR="00E224EA" w:rsidRPr="00DD5F33" w:rsidRDefault="00E224EA"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Ibíd.</w:t>
      </w:r>
    </w:p>
  </w:footnote>
  <w:footnote w:id="58">
    <w:p w14:paraId="542B0CF9" w14:textId="77777777" w:rsidR="008F46E0" w:rsidRPr="00DD5F33" w:rsidRDefault="008F46E0"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Disponible en:</w:t>
      </w:r>
    </w:p>
    <w:p w14:paraId="550656B7" w14:textId="54681FED" w:rsidR="008F46E0" w:rsidRPr="00DD5F33" w:rsidRDefault="008F46E0" w:rsidP="00F360E8">
      <w:pPr>
        <w:pStyle w:val="Textonotapie"/>
        <w:ind w:firstLine="709"/>
        <w:jc w:val="both"/>
        <w:rPr>
          <w:rFonts w:ascii="Arial" w:hAnsi="Arial" w:cs="Arial"/>
          <w:sz w:val="19"/>
          <w:szCs w:val="19"/>
          <w:lang w:val="es-ES"/>
        </w:rPr>
      </w:pPr>
      <w:r w:rsidRPr="00DD5F33">
        <w:rPr>
          <w:rFonts w:ascii="Arial" w:hAnsi="Arial" w:cs="Arial"/>
          <w:sz w:val="19"/>
          <w:szCs w:val="19"/>
          <w:lang w:val="es-ES"/>
        </w:rPr>
        <w:t>https://colombiacompra.gov.co/sites/cce_public/files/cce_documents/cce_manual_cobertura_riesgo.pdf</w:t>
      </w:r>
    </w:p>
  </w:footnote>
  <w:footnote w:id="59">
    <w:p w14:paraId="52D95DF5" w14:textId="5E3AA250" w:rsidR="004E06FC" w:rsidRPr="00DD5F33" w:rsidRDefault="004E06FC" w:rsidP="00F360E8">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Cfr. </w:t>
      </w:r>
      <w:r w:rsidR="005D608D" w:rsidRPr="00DD5F33">
        <w:rPr>
          <w:rFonts w:ascii="Arial" w:hAnsi="Arial" w:cs="Arial"/>
          <w:sz w:val="19"/>
          <w:szCs w:val="19"/>
          <w:lang w:val="es-ES"/>
        </w:rPr>
        <w:t>e</w:t>
      </w:r>
      <w:r w:rsidRPr="00DD5F33">
        <w:rPr>
          <w:rFonts w:ascii="Arial" w:hAnsi="Arial" w:cs="Arial"/>
          <w:sz w:val="19"/>
          <w:szCs w:val="19"/>
          <w:lang w:val="es-ES"/>
        </w:rPr>
        <w:t>l numeral 1.6 de los documentos tipo de licitación de obra pública de infraestructura de transporte, versión 3, vigentes.</w:t>
      </w:r>
      <w:r w:rsidR="005D608D" w:rsidRPr="00DD5F33">
        <w:rPr>
          <w:rFonts w:ascii="Arial" w:hAnsi="Arial" w:cs="Arial"/>
          <w:sz w:val="19"/>
          <w:szCs w:val="19"/>
          <w:lang w:val="es-ES"/>
        </w:rPr>
        <w:t xml:space="preserve"> En: https://www.colombiacompra.gov.co/content/03-documentos-tipo-para-licitacion-de-obra-publica-de-infraestructura-de-transporte-version</w:t>
      </w:r>
    </w:p>
  </w:footnote>
  <w:footnote w:id="60">
    <w:p w14:paraId="1AA6F751" w14:textId="49B221ED" w:rsidR="0074651B" w:rsidRPr="00F360E8" w:rsidRDefault="0074651B" w:rsidP="00F360E8">
      <w:pPr>
        <w:pStyle w:val="Textonotapie"/>
        <w:ind w:firstLine="709"/>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Ibíd., numeral</w:t>
      </w:r>
      <w:r w:rsidR="00F360E8" w:rsidRPr="00DD5F33">
        <w:rPr>
          <w:rFonts w:ascii="Arial" w:hAnsi="Arial" w:cs="Arial"/>
          <w:sz w:val="19"/>
          <w:szCs w:val="19"/>
          <w:lang w:val="es-ES"/>
        </w:rPr>
        <w:t xml:space="preserve"> 4.3.1.1.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21153728">
    <w:abstractNumId w:val="9"/>
  </w:num>
  <w:num w:numId="2" w16cid:durableId="1034190846">
    <w:abstractNumId w:val="7"/>
  </w:num>
  <w:num w:numId="3" w16cid:durableId="1950702286">
    <w:abstractNumId w:val="12"/>
  </w:num>
  <w:num w:numId="4" w16cid:durableId="1303341033">
    <w:abstractNumId w:val="16"/>
  </w:num>
  <w:num w:numId="5" w16cid:durableId="985934957">
    <w:abstractNumId w:val="20"/>
  </w:num>
  <w:num w:numId="6" w16cid:durableId="24761715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8208348">
    <w:abstractNumId w:val="18"/>
  </w:num>
  <w:num w:numId="8" w16cid:durableId="1313563246">
    <w:abstractNumId w:val="0"/>
  </w:num>
  <w:num w:numId="9" w16cid:durableId="276377081">
    <w:abstractNumId w:val="3"/>
  </w:num>
  <w:num w:numId="10" w16cid:durableId="441220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342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9227">
    <w:abstractNumId w:val="8"/>
  </w:num>
  <w:num w:numId="13" w16cid:durableId="1475878700">
    <w:abstractNumId w:val="11"/>
  </w:num>
  <w:num w:numId="14" w16cid:durableId="1902515571">
    <w:abstractNumId w:val="6"/>
  </w:num>
  <w:num w:numId="15" w16cid:durableId="14197383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992558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3963874">
    <w:abstractNumId w:val="22"/>
  </w:num>
  <w:num w:numId="18" w16cid:durableId="1928414600">
    <w:abstractNumId w:val="13"/>
  </w:num>
  <w:num w:numId="19" w16cid:durableId="1477985949">
    <w:abstractNumId w:val="2"/>
  </w:num>
  <w:num w:numId="20" w16cid:durableId="807479510">
    <w:abstractNumId w:val="23"/>
  </w:num>
  <w:num w:numId="21" w16cid:durableId="68890712">
    <w:abstractNumId w:val="14"/>
  </w:num>
  <w:num w:numId="22" w16cid:durableId="170609550">
    <w:abstractNumId w:val="5"/>
  </w:num>
  <w:num w:numId="23" w16cid:durableId="678044617">
    <w:abstractNumId w:val="4"/>
  </w:num>
  <w:num w:numId="24" w16cid:durableId="800657216">
    <w:abstractNumId w:val="21"/>
  </w:num>
  <w:num w:numId="25" w16cid:durableId="527109916">
    <w:abstractNumId w:val="17"/>
  </w:num>
  <w:num w:numId="26" w16cid:durableId="1476604625">
    <w:abstractNumId w:val="24"/>
  </w:num>
  <w:num w:numId="27" w16cid:durableId="1878351884">
    <w:abstractNumId w:val="15"/>
  </w:num>
  <w:num w:numId="28" w16cid:durableId="1438331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6A7"/>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7BD"/>
    <w:rsid w:val="000059D3"/>
    <w:rsid w:val="00005B6D"/>
    <w:rsid w:val="0000600A"/>
    <w:rsid w:val="00006081"/>
    <w:rsid w:val="000069F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5BE"/>
    <w:rsid w:val="00014624"/>
    <w:rsid w:val="00014CA7"/>
    <w:rsid w:val="000154E8"/>
    <w:rsid w:val="00015B44"/>
    <w:rsid w:val="00015D13"/>
    <w:rsid w:val="00016081"/>
    <w:rsid w:val="000165AC"/>
    <w:rsid w:val="00016651"/>
    <w:rsid w:val="00016739"/>
    <w:rsid w:val="000168A1"/>
    <w:rsid w:val="000171A2"/>
    <w:rsid w:val="00017B65"/>
    <w:rsid w:val="00020158"/>
    <w:rsid w:val="00020231"/>
    <w:rsid w:val="000207E0"/>
    <w:rsid w:val="000209E2"/>
    <w:rsid w:val="00020F8F"/>
    <w:rsid w:val="00021464"/>
    <w:rsid w:val="0002147E"/>
    <w:rsid w:val="000215A6"/>
    <w:rsid w:val="00021748"/>
    <w:rsid w:val="00021A95"/>
    <w:rsid w:val="00022223"/>
    <w:rsid w:val="0002256F"/>
    <w:rsid w:val="00023DAE"/>
    <w:rsid w:val="0002427B"/>
    <w:rsid w:val="0002465F"/>
    <w:rsid w:val="00024896"/>
    <w:rsid w:val="00025483"/>
    <w:rsid w:val="00025600"/>
    <w:rsid w:val="00025D0A"/>
    <w:rsid w:val="00025E0C"/>
    <w:rsid w:val="000263A5"/>
    <w:rsid w:val="000263F0"/>
    <w:rsid w:val="000263FE"/>
    <w:rsid w:val="00026407"/>
    <w:rsid w:val="00026608"/>
    <w:rsid w:val="00026A88"/>
    <w:rsid w:val="00027787"/>
    <w:rsid w:val="000278D2"/>
    <w:rsid w:val="0003000C"/>
    <w:rsid w:val="00030FF6"/>
    <w:rsid w:val="00031158"/>
    <w:rsid w:val="00031364"/>
    <w:rsid w:val="000315E1"/>
    <w:rsid w:val="000319F3"/>
    <w:rsid w:val="0003236E"/>
    <w:rsid w:val="00033281"/>
    <w:rsid w:val="0003339A"/>
    <w:rsid w:val="0003370C"/>
    <w:rsid w:val="00033D07"/>
    <w:rsid w:val="000341F2"/>
    <w:rsid w:val="00035046"/>
    <w:rsid w:val="000351F2"/>
    <w:rsid w:val="00036D53"/>
    <w:rsid w:val="00036E03"/>
    <w:rsid w:val="00036EC8"/>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592"/>
    <w:rsid w:val="000449D4"/>
    <w:rsid w:val="00045668"/>
    <w:rsid w:val="00045A95"/>
    <w:rsid w:val="00045E8A"/>
    <w:rsid w:val="000463B5"/>
    <w:rsid w:val="00046717"/>
    <w:rsid w:val="00046A63"/>
    <w:rsid w:val="00046C09"/>
    <w:rsid w:val="0004716A"/>
    <w:rsid w:val="00047385"/>
    <w:rsid w:val="000473E8"/>
    <w:rsid w:val="000504DE"/>
    <w:rsid w:val="00051074"/>
    <w:rsid w:val="00051A08"/>
    <w:rsid w:val="000526F0"/>
    <w:rsid w:val="0005273D"/>
    <w:rsid w:val="00052844"/>
    <w:rsid w:val="00052B79"/>
    <w:rsid w:val="00052EA0"/>
    <w:rsid w:val="00053680"/>
    <w:rsid w:val="000536A7"/>
    <w:rsid w:val="000536E3"/>
    <w:rsid w:val="00053896"/>
    <w:rsid w:val="000540ED"/>
    <w:rsid w:val="0005474D"/>
    <w:rsid w:val="00055CB9"/>
    <w:rsid w:val="00055EEE"/>
    <w:rsid w:val="00056F66"/>
    <w:rsid w:val="0005702F"/>
    <w:rsid w:val="00057270"/>
    <w:rsid w:val="00061010"/>
    <w:rsid w:val="0006120E"/>
    <w:rsid w:val="00061D06"/>
    <w:rsid w:val="00062407"/>
    <w:rsid w:val="00062CDD"/>
    <w:rsid w:val="000635D9"/>
    <w:rsid w:val="00063C5F"/>
    <w:rsid w:val="00063F7D"/>
    <w:rsid w:val="00063FB0"/>
    <w:rsid w:val="000640AF"/>
    <w:rsid w:val="000642C1"/>
    <w:rsid w:val="00064940"/>
    <w:rsid w:val="00064CAE"/>
    <w:rsid w:val="00064DB7"/>
    <w:rsid w:val="00064FA7"/>
    <w:rsid w:val="00065195"/>
    <w:rsid w:val="0006536C"/>
    <w:rsid w:val="00066813"/>
    <w:rsid w:val="00066D62"/>
    <w:rsid w:val="0006764C"/>
    <w:rsid w:val="00067A2D"/>
    <w:rsid w:val="00070325"/>
    <w:rsid w:val="00070AF1"/>
    <w:rsid w:val="000714DE"/>
    <w:rsid w:val="0007194E"/>
    <w:rsid w:val="0007254F"/>
    <w:rsid w:val="00072CEB"/>
    <w:rsid w:val="00073C30"/>
    <w:rsid w:val="00073F80"/>
    <w:rsid w:val="00074305"/>
    <w:rsid w:val="000744A0"/>
    <w:rsid w:val="000744D0"/>
    <w:rsid w:val="00074B2A"/>
    <w:rsid w:val="00074EEE"/>
    <w:rsid w:val="000753D5"/>
    <w:rsid w:val="00075B3E"/>
    <w:rsid w:val="00076456"/>
    <w:rsid w:val="000764F1"/>
    <w:rsid w:val="0007779B"/>
    <w:rsid w:val="000777E7"/>
    <w:rsid w:val="0007790A"/>
    <w:rsid w:val="00077D90"/>
    <w:rsid w:val="00077F6A"/>
    <w:rsid w:val="0008017B"/>
    <w:rsid w:val="000808C5"/>
    <w:rsid w:val="00080ACD"/>
    <w:rsid w:val="000811ED"/>
    <w:rsid w:val="000817D0"/>
    <w:rsid w:val="00081D62"/>
    <w:rsid w:val="0008260D"/>
    <w:rsid w:val="00082B74"/>
    <w:rsid w:val="00083099"/>
    <w:rsid w:val="00083139"/>
    <w:rsid w:val="00083452"/>
    <w:rsid w:val="0008347C"/>
    <w:rsid w:val="00083EDC"/>
    <w:rsid w:val="000842B0"/>
    <w:rsid w:val="000842BE"/>
    <w:rsid w:val="000844E7"/>
    <w:rsid w:val="00084B97"/>
    <w:rsid w:val="0008510E"/>
    <w:rsid w:val="000856DE"/>
    <w:rsid w:val="00085F17"/>
    <w:rsid w:val="00085FB0"/>
    <w:rsid w:val="00085FB3"/>
    <w:rsid w:val="0008686B"/>
    <w:rsid w:val="00086B2A"/>
    <w:rsid w:val="00086ED2"/>
    <w:rsid w:val="00087C52"/>
    <w:rsid w:val="00087D59"/>
    <w:rsid w:val="000911B6"/>
    <w:rsid w:val="000914D6"/>
    <w:rsid w:val="00091569"/>
    <w:rsid w:val="00091C9A"/>
    <w:rsid w:val="0009217E"/>
    <w:rsid w:val="00092A2C"/>
    <w:rsid w:val="00092CDB"/>
    <w:rsid w:val="00092DCA"/>
    <w:rsid w:val="000935DA"/>
    <w:rsid w:val="00093630"/>
    <w:rsid w:val="00093B65"/>
    <w:rsid w:val="00094121"/>
    <w:rsid w:val="000942EB"/>
    <w:rsid w:val="000948E0"/>
    <w:rsid w:val="00095813"/>
    <w:rsid w:val="00095849"/>
    <w:rsid w:val="00095B70"/>
    <w:rsid w:val="0009617E"/>
    <w:rsid w:val="0009628D"/>
    <w:rsid w:val="0009670F"/>
    <w:rsid w:val="00097342"/>
    <w:rsid w:val="000979CF"/>
    <w:rsid w:val="000A03C8"/>
    <w:rsid w:val="000A0419"/>
    <w:rsid w:val="000A05F2"/>
    <w:rsid w:val="000A06C4"/>
    <w:rsid w:val="000A0861"/>
    <w:rsid w:val="000A0DF7"/>
    <w:rsid w:val="000A0ED1"/>
    <w:rsid w:val="000A1179"/>
    <w:rsid w:val="000A12DB"/>
    <w:rsid w:val="000A17C8"/>
    <w:rsid w:val="000A1B74"/>
    <w:rsid w:val="000A20D7"/>
    <w:rsid w:val="000A2128"/>
    <w:rsid w:val="000A236C"/>
    <w:rsid w:val="000A2B06"/>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15C5"/>
    <w:rsid w:val="000B1FB1"/>
    <w:rsid w:val="000B244D"/>
    <w:rsid w:val="000B2B86"/>
    <w:rsid w:val="000B3051"/>
    <w:rsid w:val="000B354D"/>
    <w:rsid w:val="000B3D40"/>
    <w:rsid w:val="000B3F59"/>
    <w:rsid w:val="000B419B"/>
    <w:rsid w:val="000B4D46"/>
    <w:rsid w:val="000B5343"/>
    <w:rsid w:val="000B53C4"/>
    <w:rsid w:val="000B5781"/>
    <w:rsid w:val="000B5789"/>
    <w:rsid w:val="000B5CB1"/>
    <w:rsid w:val="000B633F"/>
    <w:rsid w:val="000B6D08"/>
    <w:rsid w:val="000B7ED3"/>
    <w:rsid w:val="000C0185"/>
    <w:rsid w:val="000C01D5"/>
    <w:rsid w:val="000C063D"/>
    <w:rsid w:val="000C0F81"/>
    <w:rsid w:val="000C128D"/>
    <w:rsid w:val="000C179F"/>
    <w:rsid w:val="000C17A3"/>
    <w:rsid w:val="000C1D4B"/>
    <w:rsid w:val="000C2DC4"/>
    <w:rsid w:val="000C3260"/>
    <w:rsid w:val="000C3B77"/>
    <w:rsid w:val="000C3D82"/>
    <w:rsid w:val="000C3F6D"/>
    <w:rsid w:val="000C4A40"/>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0F62"/>
    <w:rsid w:val="000D127B"/>
    <w:rsid w:val="000D1CEB"/>
    <w:rsid w:val="000D2563"/>
    <w:rsid w:val="000D25BF"/>
    <w:rsid w:val="000D2FCC"/>
    <w:rsid w:val="000D3282"/>
    <w:rsid w:val="000D3FDC"/>
    <w:rsid w:val="000D490B"/>
    <w:rsid w:val="000D4E38"/>
    <w:rsid w:val="000D4F79"/>
    <w:rsid w:val="000D50DB"/>
    <w:rsid w:val="000D53F2"/>
    <w:rsid w:val="000D6288"/>
    <w:rsid w:val="000D6FAA"/>
    <w:rsid w:val="000D719E"/>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2AF"/>
    <w:rsid w:val="000E6BE1"/>
    <w:rsid w:val="000E7A6C"/>
    <w:rsid w:val="000E7E0B"/>
    <w:rsid w:val="000E7E48"/>
    <w:rsid w:val="000F0136"/>
    <w:rsid w:val="000F0772"/>
    <w:rsid w:val="000F078A"/>
    <w:rsid w:val="000F122D"/>
    <w:rsid w:val="000F1450"/>
    <w:rsid w:val="000F14E8"/>
    <w:rsid w:val="000F1BBD"/>
    <w:rsid w:val="000F290F"/>
    <w:rsid w:val="000F3061"/>
    <w:rsid w:val="000F394D"/>
    <w:rsid w:val="000F4403"/>
    <w:rsid w:val="000F459A"/>
    <w:rsid w:val="000F4702"/>
    <w:rsid w:val="000F480B"/>
    <w:rsid w:val="000F4DFC"/>
    <w:rsid w:val="000F4E17"/>
    <w:rsid w:val="000F6578"/>
    <w:rsid w:val="000F6C78"/>
    <w:rsid w:val="000F701F"/>
    <w:rsid w:val="000F7E8F"/>
    <w:rsid w:val="000F7FBB"/>
    <w:rsid w:val="001000FB"/>
    <w:rsid w:val="00100314"/>
    <w:rsid w:val="00100A9E"/>
    <w:rsid w:val="00100F6A"/>
    <w:rsid w:val="00101850"/>
    <w:rsid w:val="001024C5"/>
    <w:rsid w:val="00102605"/>
    <w:rsid w:val="00102686"/>
    <w:rsid w:val="00102745"/>
    <w:rsid w:val="00102D06"/>
    <w:rsid w:val="00103795"/>
    <w:rsid w:val="00103915"/>
    <w:rsid w:val="00103CD5"/>
    <w:rsid w:val="00103EA0"/>
    <w:rsid w:val="00104F1C"/>
    <w:rsid w:val="00104FD0"/>
    <w:rsid w:val="001051E5"/>
    <w:rsid w:val="00105A74"/>
    <w:rsid w:val="00105ACB"/>
    <w:rsid w:val="00105AEF"/>
    <w:rsid w:val="00105C63"/>
    <w:rsid w:val="00106259"/>
    <w:rsid w:val="001068EB"/>
    <w:rsid w:val="00106D84"/>
    <w:rsid w:val="0010741E"/>
    <w:rsid w:val="001077CB"/>
    <w:rsid w:val="001078CE"/>
    <w:rsid w:val="0011044C"/>
    <w:rsid w:val="00110AA1"/>
    <w:rsid w:val="00110F61"/>
    <w:rsid w:val="001111BD"/>
    <w:rsid w:val="00111325"/>
    <w:rsid w:val="0011165A"/>
    <w:rsid w:val="001116C6"/>
    <w:rsid w:val="00111B2B"/>
    <w:rsid w:val="00111BC5"/>
    <w:rsid w:val="00112774"/>
    <w:rsid w:val="00112B2E"/>
    <w:rsid w:val="00113003"/>
    <w:rsid w:val="00113062"/>
    <w:rsid w:val="00113705"/>
    <w:rsid w:val="00113975"/>
    <w:rsid w:val="00113CFC"/>
    <w:rsid w:val="00113FEA"/>
    <w:rsid w:val="001141A6"/>
    <w:rsid w:val="00114A22"/>
    <w:rsid w:val="00114E9D"/>
    <w:rsid w:val="00114ED2"/>
    <w:rsid w:val="0011507B"/>
    <w:rsid w:val="0011527B"/>
    <w:rsid w:val="0011627A"/>
    <w:rsid w:val="001162D6"/>
    <w:rsid w:val="00116328"/>
    <w:rsid w:val="00116334"/>
    <w:rsid w:val="001163CF"/>
    <w:rsid w:val="00117276"/>
    <w:rsid w:val="001174C9"/>
    <w:rsid w:val="00117646"/>
    <w:rsid w:val="0011764D"/>
    <w:rsid w:val="001176F2"/>
    <w:rsid w:val="00117716"/>
    <w:rsid w:val="00117AB4"/>
    <w:rsid w:val="00117E69"/>
    <w:rsid w:val="001204D2"/>
    <w:rsid w:val="00120A45"/>
    <w:rsid w:val="00120BEF"/>
    <w:rsid w:val="00120E10"/>
    <w:rsid w:val="00120EF7"/>
    <w:rsid w:val="00121103"/>
    <w:rsid w:val="0012180F"/>
    <w:rsid w:val="00121BAB"/>
    <w:rsid w:val="00121E3C"/>
    <w:rsid w:val="0012203E"/>
    <w:rsid w:val="00122B23"/>
    <w:rsid w:val="00122B7E"/>
    <w:rsid w:val="0012340B"/>
    <w:rsid w:val="00123AE0"/>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841"/>
    <w:rsid w:val="00140A4F"/>
    <w:rsid w:val="001413AB"/>
    <w:rsid w:val="00141DBF"/>
    <w:rsid w:val="001429DA"/>
    <w:rsid w:val="00142E3A"/>
    <w:rsid w:val="00142EFD"/>
    <w:rsid w:val="00142F55"/>
    <w:rsid w:val="0014363C"/>
    <w:rsid w:val="00144335"/>
    <w:rsid w:val="0014502F"/>
    <w:rsid w:val="00145282"/>
    <w:rsid w:val="001453B0"/>
    <w:rsid w:val="001454D9"/>
    <w:rsid w:val="00145D8E"/>
    <w:rsid w:val="00146046"/>
    <w:rsid w:val="00146083"/>
    <w:rsid w:val="001462F7"/>
    <w:rsid w:val="001467CA"/>
    <w:rsid w:val="00147F35"/>
    <w:rsid w:val="00150005"/>
    <w:rsid w:val="00150015"/>
    <w:rsid w:val="00150BE7"/>
    <w:rsid w:val="0015145A"/>
    <w:rsid w:val="001518D7"/>
    <w:rsid w:val="00151AEB"/>
    <w:rsid w:val="00151B99"/>
    <w:rsid w:val="001521B2"/>
    <w:rsid w:val="001522B7"/>
    <w:rsid w:val="0015237F"/>
    <w:rsid w:val="00152EDD"/>
    <w:rsid w:val="00152FC2"/>
    <w:rsid w:val="00153491"/>
    <w:rsid w:val="0015358C"/>
    <w:rsid w:val="0015361C"/>
    <w:rsid w:val="0015372F"/>
    <w:rsid w:val="00153BFB"/>
    <w:rsid w:val="0015407E"/>
    <w:rsid w:val="0015448E"/>
    <w:rsid w:val="00154A6F"/>
    <w:rsid w:val="001552BD"/>
    <w:rsid w:val="00155D08"/>
    <w:rsid w:val="001560D3"/>
    <w:rsid w:val="00156BE5"/>
    <w:rsid w:val="00156F04"/>
    <w:rsid w:val="00157232"/>
    <w:rsid w:val="00157A58"/>
    <w:rsid w:val="00160401"/>
    <w:rsid w:val="00160A60"/>
    <w:rsid w:val="00160B86"/>
    <w:rsid w:val="00160D18"/>
    <w:rsid w:val="00160D4E"/>
    <w:rsid w:val="00160DF9"/>
    <w:rsid w:val="00161DDA"/>
    <w:rsid w:val="00161E62"/>
    <w:rsid w:val="00161F1C"/>
    <w:rsid w:val="0016200B"/>
    <w:rsid w:val="00162013"/>
    <w:rsid w:val="001625C8"/>
    <w:rsid w:val="00163102"/>
    <w:rsid w:val="00163D7A"/>
    <w:rsid w:val="00164281"/>
    <w:rsid w:val="00164ACE"/>
    <w:rsid w:val="00165703"/>
    <w:rsid w:val="00166191"/>
    <w:rsid w:val="001662D8"/>
    <w:rsid w:val="0016685F"/>
    <w:rsid w:val="00166B27"/>
    <w:rsid w:val="0016712F"/>
    <w:rsid w:val="00167503"/>
    <w:rsid w:val="001676A9"/>
    <w:rsid w:val="00167A15"/>
    <w:rsid w:val="00167A50"/>
    <w:rsid w:val="00167DF5"/>
    <w:rsid w:val="00170001"/>
    <w:rsid w:val="001704CE"/>
    <w:rsid w:val="00172198"/>
    <w:rsid w:val="00172612"/>
    <w:rsid w:val="00172817"/>
    <w:rsid w:val="001734E3"/>
    <w:rsid w:val="001742BF"/>
    <w:rsid w:val="00175567"/>
    <w:rsid w:val="00175E49"/>
    <w:rsid w:val="0017649F"/>
    <w:rsid w:val="0017655D"/>
    <w:rsid w:val="00176872"/>
    <w:rsid w:val="00177B7C"/>
    <w:rsid w:val="001805C1"/>
    <w:rsid w:val="00180833"/>
    <w:rsid w:val="00180A2E"/>
    <w:rsid w:val="00180F2A"/>
    <w:rsid w:val="001813AF"/>
    <w:rsid w:val="001829CD"/>
    <w:rsid w:val="00182F01"/>
    <w:rsid w:val="00182FC4"/>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D39"/>
    <w:rsid w:val="00191E63"/>
    <w:rsid w:val="001923E3"/>
    <w:rsid w:val="00192531"/>
    <w:rsid w:val="00192D68"/>
    <w:rsid w:val="00192DF7"/>
    <w:rsid w:val="0019324F"/>
    <w:rsid w:val="0019388B"/>
    <w:rsid w:val="001939C1"/>
    <w:rsid w:val="00193B9A"/>
    <w:rsid w:val="001940ED"/>
    <w:rsid w:val="001946AE"/>
    <w:rsid w:val="001946D5"/>
    <w:rsid w:val="00194E8C"/>
    <w:rsid w:val="001962EC"/>
    <w:rsid w:val="001963DD"/>
    <w:rsid w:val="001965DB"/>
    <w:rsid w:val="00196975"/>
    <w:rsid w:val="00196D01"/>
    <w:rsid w:val="00196D1B"/>
    <w:rsid w:val="00196DC9"/>
    <w:rsid w:val="00196E95"/>
    <w:rsid w:val="001A005D"/>
    <w:rsid w:val="001A0236"/>
    <w:rsid w:val="001A0AF8"/>
    <w:rsid w:val="001A18D5"/>
    <w:rsid w:val="001A1A38"/>
    <w:rsid w:val="001A1B20"/>
    <w:rsid w:val="001A1BE0"/>
    <w:rsid w:val="001A1D4A"/>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2C35"/>
    <w:rsid w:val="001B3154"/>
    <w:rsid w:val="001B3465"/>
    <w:rsid w:val="001B3706"/>
    <w:rsid w:val="001B3C8A"/>
    <w:rsid w:val="001B449C"/>
    <w:rsid w:val="001B4AA2"/>
    <w:rsid w:val="001B4ADE"/>
    <w:rsid w:val="001B4D3A"/>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4A20"/>
    <w:rsid w:val="001C5072"/>
    <w:rsid w:val="001C55F2"/>
    <w:rsid w:val="001C5B2A"/>
    <w:rsid w:val="001C600B"/>
    <w:rsid w:val="001C6306"/>
    <w:rsid w:val="001C65AA"/>
    <w:rsid w:val="001C661B"/>
    <w:rsid w:val="001C6898"/>
    <w:rsid w:val="001C6DD8"/>
    <w:rsid w:val="001C702D"/>
    <w:rsid w:val="001C75EF"/>
    <w:rsid w:val="001C7C7B"/>
    <w:rsid w:val="001D068D"/>
    <w:rsid w:val="001D12D1"/>
    <w:rsid w:val="001D15DF"/>
    <w:rsid w:val="001D2973"/>
    <w:rsid w:val="001D2B74"/>
    <w:rsid w:val="001D30F3"/>
    <w:rsid w:val="001D31A0"/>
    <w:rsid w:val="001D338E"/>
    <w:rsid w:val="001D426C"/>
    <w:rsid w:val="001D4C83"/>
    <w:rsid w:val="001D56E9"/>
    <w:rsid w:val="001D58B9"/>
    <w:rsid w:val="001D5C5C"/>
    <w:rsid w:val="001D5EE1"/>
    <w:rsid w:val="001D6FC3"/>
    <w:rsid w:val="001D70EF"/>
    <w:rsid w:val="001D796A"/>
    <w:rsid w:val="001D7A84"/>
    <w:rsid w:val="001D7C79"/>
    <w:rsid w:val="001E003B"/>
    <w:rsid w:val="001E027B"/>
    <w:rsid w:val="001E04D8"/>
    <w:rsid w:val="001E056E"/>
    <w:rsid w:val="001E0837"/>
    <w:rsid w:val="001E1CC4"/>
    <w:rsid w:val="001E1D38"/>
    <w:rsid w:val="001E2880"/>
    <w:rsid w:val="001E28A0"/>
    <w:rsid w:val="001E35FA"/>
    <w:rsid w:val="001E4258"/>
    <w:rsid w:val="001E4963"/>
    <w:rsid w:val="001E5AEF"/>
    <w:rsid w:val="001E5D6A"/>
    <w:rsid w:val="001E6644"/>
    <w:rsid w:val="001E6A94"/>
    <w:rsid w:val="001E70FB"/>
    <w:rsid w:val="001E780A"/>
    <w:rsid w:val="001F08FE"/>
    <w:rsid w:val="001F0FA0"/>
    <w:rsid w:val="001F1349"/>
    <w:rsid w:val="001F1863"/>
    <w:rsid w:val="001F232B"/>
    <w:rsid w:val="001F2356"/>
    <w:rsid w:val="001F2A68"/>
    <w:rsid w:val="001F3BF5"/>
    <w:rsid w:val="001F3F86"/>
    <w:rsid w:val="001F4773"/>
    <w:rsid w:val="001F4E6F"/>
    <w:rsid w:val="001F5008"/>
    <w:rsid w:val="001F51A9"/>
    <w:rsid w:val="001F56AA"/>
    <w:rsid w:val="001F58AA"/>
    <w:rsid w:val="001F5A4E"/>
    <w:rsid w:val="001F5EF6"/>
    <w:rsid w:val="001F657F"/>
    <w:rsid w:val="001F6F17"/>
    <w:rsid w:val="001F6FB6"/>
    <w:rsid w:val="001F72BB"/>
    <w:rsid w:val="001F7758"/>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26F"/>
    <w:rsid w:val="002053EF"/>
    <w:rsid w:val="002058D4"/>
    <w:rsid w:val="00205D9F"/>
    <w:rsid w:val="0020632A"/>
    <w:rsid w:val="0020697F"/>
    <w:rsid w:val="0020795A"/>
    <w:rsid w:val="00210D5C"/>
    <w:rsid w:val="002110EB"/>
    <w:rsid w:val="00211338"/>
    <w:rsid w:val="00211388"/>
    <w:rsid w:val="0021148C"/>
    <w:rsid w:val="00211694"/>
    <w:rsid w:val="0021201A"/>
    <w:rsid w:val="00212D27"/>
    <w:rsid w:val="00212E0C"/>
    <w:rsid w:val="002131BC"/>
    <w:rsid w:val="002138FE"/>
    <w:rsid w:val="00213A1F"/>
    <w:rsid w:val="00213C63"/>
    <w:rsid w:val="00213EC5"/>
    <w:rsid w:val="00214502"/>
    <w:rsid w:val="00214741"/>
    <w:rsid w:val="0021522D"/>
    <w:rsid w:val="0021539A"/>
    <w:rsid w:val="00215618"/>
    <w:rsid w:val="00215852"/>
    <w:rsid w:val="00215853"/>
    <w:rsid w:val="00215B8E"/>
    <w:rsid w:val="00216264"/>
    <w:rsid w:val="00217499"/>
    <w:rsid w:val="002176B6"/>
    <w:rsid w:val="0021792D"/>
    <w:rsid w:val="00217DB8"/>
    <w:rsid w:val="002202CE"/>
    <w:rsid w:val="0022032A"/>
    <w:rsid w:val="00220ADF"/>
    <w:rsid w:val="00220B2D"/>
    <w:rsid w:val="002216C0"/>
    <w:rsid w:val="0022194E"/>
    <w:rsid w:val="002219C9"/>
    <w:rsid w:val="002220B1"/>
    <w:rsid w:val="002221CE"/>
    <w:rsid w:val="00222BE8"/>
    <w:rsid w:val="00222FBF"/>
    <w:rsid w:val="00223102"/>
    <w:rsid w:val="002232CB"/>
    <w:rsid w:val="00224022"/>
    <w:rsid w:val="00224A66"/>
    <w:rsid w:val="00226055"/>
    <w:rsid w:val="0022613F"/>
    <w:rsid w:val="00226236"/>
    <w:rsid w:val="002270C9"/>
    <w:rsid w:val="002277A8"/>
    <w:rsid w:val="00227A2B"/>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37D62"/>
    <w:rsid w:val="0024019A"/>
    <w:rsid w:val="00240B18"/>
    <w:rsid w:val="00241146"/>
    <w:rsid w:val="0024120F"/>
    <w:rsid w:val="0024131D"/>
    <w:rsid w:val="002415B8"/>
    <w:rsid w:val="00241ED1"/>
    <w:rsid w:val="00242248"/>
    <w:rsid w:val="00242D62"/>
    <w:rsid w:val="002430BF"/>
    <w:rsid w:val="002430D0"/>
    <w:rsid w:val="002431D7"/>
    <w:rsid w:val="002436E9"/>
    <w:rsid w:val="00243C4B"/>
    <w:rsid w:val="00243F31"/>
    <w:rsid w:val="00244058"/>
    <w:rsid w:val="00244440"/>
    <w:rsid w:val="00245718"/>
    <w:rsid w:val="00245DD8"/>
    <w:rsid w:val="00245E07"/>
    <w:rsid w:val="00246912"/>
    <w:rsid w:val="00246BFB"/>
    <w:rsid w:val="00247610"/>
    <w:rsid w:val="00247712"/>
    <w:rsid w:val="00247949"/>
    <w:rsid w:val="00250EC6"/>
    <w:rsid w:val="002515C7"/>
    <w:rsid w:val="00251866"/>
    <w:rsid w:val="00251A9F"/>
    <w:rsid w:val="00251D8D"/>
    <w:rsid w:val="00252492"/>
    <w:rsid w:val="00252B35"/>
    <w:rsid w:val="0025316D"/>
    <w:rsid w:val="00253A02"/>
    <w:rsid w:val="00253A8F"/>
    <w:rsid w:val="00253AAF"/>
    <w:rsid w:val="00253B81"/>
    <w:rsid w:val="002547CB"/>
    <w:rsid w:val="002554DE"/>
    <w:rsid w:val="00255575"/>
    <w:rsid w:val="00255E11"/>
    <w:rsid w:val="00256835"/>
    <w:rsid w:val="002569F0"/>
    <w:rsid w:val="00256E1A"/>
    <w:rsid w:val="00256ECF"/>
    <w:rsid w:val="00257730"/>
    <w:rsid w:val="00257999"/>
    <w:rsid w:val="002604AA"/>
    <w:rsid w:val="0026129B"/>
    <w:rsid w:val="002613F0"/>
    <w:rsid w:val="00261560"/>
    <w:rsid w:val="0026157A"/>
    <w:rsid w:val="00261715"/>
    <w:rsid w:val="00261CF9"/>
    <w:rsid w:val="00261EC0"/>
    <w:rsid w:val="0026231B"/>
    <w:rsid w:val="00262EA6"/>
    <w:rsid w:val="00263101"/>
    <w:rsid w:val="002631D1"/>
    <w:rsid w:val="00263201"/>
    <w:rsid w:val="00263224"/>
    <w:rsid w:val="002634CA"/>
    <w:rsid w:val="00263A37"/>
    <w:rsid w:val="00263A8A"/>
    <w:rsid w:val="00263B49"/>
    <w:rsid w:val="00264676"/>
    <w:rsid w:val="0026478A"/>
    <w:rsid w:val="0026480D"/>
    <w:rsid w:val="00264A13"/>
    <w:rsid w:val="00264E8D"/>
    <w:rsid w:val="002653A6"/>
    <w:rsid w:val="00265A92"/>
    <w:rsid w:val="00265F9D"/>
    <w:rsid w:val="00265FD3"/>
    <w:rsid w:val="002661F1"/>
    <w:rsid w:val="00266209"/>
    <w:rsid w:val="00266DB6"/>
    <w:rsid w:val="00267736"/>
    <w:rsid w:val="002710FA"/>
    <w:rsid w:val="002711A4"/>
    <w:rsid w:val="00271F13"/>
    <w:rsid w:val="0027278E"/>
    <w:rsid w:val="00272CC8"/>
    <w:rsid w:val="00273C26"/>
    <w:rsid w:val="0027482E"/>
    <w:rsid w:val="00274DB5"/>
    <w:rsid w:val="00274E6C"/>
    <w:rsid w:val="00275BB1"/>
    <w:rsid w:val="00277933"/>
    <w:rsid w:val="00277F8D"/>
    <w:rsid w:val="00277FA7"/>
    <w:rsid w:val="00280046"/>
    <w:rsid w:val="00280B4F"/>
    <w:rsid w:val="00280F3D"/>
    <w:rsid w:val="0028106A"/>
    <w:rsid w:val="0028130C"/>
    <w:rsid w:val="00281A2B"/>
    <w:rsid w:val="00281EB4"/>
    <w:rsid w:val="0028308E"/>
    <w:rsid w:val="002834E9"/>
    <w:rsid w:val="00283975"/>
    <w:rsid w:val="00283A52"/>
    <w:rsid w:val="00283C5E"/>
    <w:rsid w:val="00283E26"/>
    <w:rsid w:val="0028428F"/>
    <w:rsid w:val="00284C62"/>
    <w:rsid w:val="00284CFC"/>
    <w:rsid w:val="00284EB7"/>
    <w:rsid w:val="00285832"/>
    <w:rsid w:val="00285969"/>
    <w:rsid w:val="00285D4C"/>
    <w:rsid w:val="00285D8C"/>
    <w:rsid w:val="0028663B"/>
    <w:rsid w:val="00286C21"/>
    <w:rsid w:val="00286CEC"/>
    <w:rsid w:val="002870F9"/>
    <w:rsid w:val="002871A9"/>
    <w:rsid w:val="002872F5"/>
    <w:rsid w:val="00287505"/>
    <w:rsid w:val="0029043A"/>
    <w:rsid w:val="00290781"/>
    <w:rsid w:val="00290922"/>
    <w:rsid w:val="00290D27"/>
    <w:rsid w:val="00290DD0"/>
    <w:rsid w:val="002910A6"/>
    <w:rsid w:val="00291717"/>
    <w:rsid w:val="00291784"/>
    <w:rsid w:val="002920DF"/>
    <w:rsid w:val="0029273C"/>
    <w:rsid w:val="002929BB"/>
    <w:rsid w:val="00292E33"/>
    <w:rsid w:val="00292FF2"/>
    <w:rsid w:val="002942D8"/>
    <w:rsid w:val="00294368"/>
    <w:rsid w:val="00294B78"/>
    <w:rsid w:val="00295416"/>
    <w:rsid w:val="00295885"/>
    <w:rsid w:val="00295949"/>
    <w:rsid w:val="00295CAA"/>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24E"/>
    <w:rsid w:val="002A6AFB"/>
    <w:rsid w:val="002A6B66"/>
    <w:rsid w:val="002A733D"/>
    <w:rsid w:val="002A774A"/>
    <w:rsid w:val="002A78F3"/>
    <w:rsid w:val="002A7938"/>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11C1"/>
    <w:rsid w:val="002C1AEE"/>
    <w:rsid w:val="002C24B4"/>
    <w:rsid w:val="002C26CF"/>
    <w:rsid w:val="002C28A6"/>
    <w:rsid w:val="002C2B3A"/>
    <w:rsid w:val="002C2B87"/>
    <w:rsid w:val="002C37FA"/>
    <w:rsid w:val="002C3CF4"/>
    <w:rsid w:val="002C441A"/>
    <w:rsid w:val="002C475A"/>
    <w:rsid w:val="002C4A73"/>
    <w:rsid w:val="002C4B84"/>
    <w:rsid w:val="002C4C0C"/>
    <w:rsid w:val="002C4C48"/>
    <w:rsid w:val="002C5016"/>
    <w:rsid w:val="002C5068"/>
    <w:rsid w:val="002C55FF"/>
    <w:rsid w:val="002C5C2F"/>
    <w:rsid w:val="002C5C87"/>
    <w:rsid w:val="002C5D0F"/>
    <w:rsid w:val="002C60B9"/>
    <w:rsid w:val="002C6292"/>
    <w:rsid w:val="002C62B0"/>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6E57"/>
    <w:rsid w:val="002D7D88"/>
    <w:rsid w:val="002E03E8"/>
    <w:rsid w:val="002E0557"/>
    <w:rsid w:val="002E055C"/>
    <w:rsid w:val="002E063F"/>
    <w:rsid w:val="002E1050"/>
    <w:rsid w:val="002E107C"/>
    <w:rsid w:val="002E107E"/>
    <w:rsid w:val="002E1459"/>
    <w:rsid w:val="002E17B9"/>
    <w:rsid w:val="002E18E5"/>
    <w:rsid w:val="002E1953"/>
    <w:rsid w:val="002E1F40"/>
    <w:rsid w:val="002E2515"/>
    <w:rsid w:val="002E273B"/>
    <w:rsid w:val="002E2CB5"/>
    <w:rsid w:val="002E2D7D"/>
    <w:rsid w:val="002E32D0"/>
    <w:rsid w:val="002E3D76"/>
    <w:rsid w:val="002E40A1"/>
    <w:rsid w:val="002E48EC"/>
    <w:rsid w:val="002E4B44"/>
    <w:rsid w:val="002E4ECB"/>
    <w:rsid w:val="002E4F23"/>
    <w:rsid w:val="002E53C7"/>
    <w:rsid w:val="002E57B7"/>
    <w:rsid w:val="002E5999"/>
    <w:rsid w:val="002E5E8E"/>
    <w:rsid w:val="002E635A"/>
    <w:rsid w:val="002E657C"/>
    <w:rsid w:val="002E6D68"/>
    <w:rsid w:val="002E7847"/>
    <w:rsid w:val="002E7AB7"/>
    <w:rsid w:val="002F0073"/>
    <w:rsid w:val="002F0852"/>
    <w:rsid w:val="002F0E20"/>
    <w:rsid w:val="002F167F"/>
    <w:rsid w:val="002F1790"/>
    <w:rsid w:val="002F1C67"/>
    <w:rsid w:val="002F240B"/>
    <w:rsid w:val="002F26B7"/>
    <w:rsid w:val="002F2F50"/>
    <w:rsid w:val="002F33EC"/>
    <w:rsid w:val="002F34E3"/>
    <w:rsid w:val="002F3601"/>
    <w:rsid w:val="002F37F2"/>
    <w:rsid w:val="002F45F6"/>
    <w:rsid w:val="002F479A"/>
    <w:rsid w:val="002F5A6F"/>
    <w:rsid w:val="002F6411"/>
    <w:rsid w:val="002F692F"/>
    <w:rsid w:val="002F71C9"/>
    <w:rsid w:val="002F73F7"/>
    <w:rsid w:val="002F7B66"/>
    <w:rsid w:val="00300CB4"/>
    <w:rsid w:val="00300E24"/>
    <w:rsid w:val="00301409"/>
    <w:rsid w:val="00302ED6"/>
    <w:rsid w:val="003031F6"/>
    <w:rsid w:val="0030333C"/>
    <w:rsid w:val="003033BA"/>
    <w:rsid w:val="00303926"/>
    <w:rsid w:val="00303974"/>
    <w:rsid w:val="00303C19"/>
    <w:rsid w:val="00304200"/>
    <w:rsid w:val="003043A3"/>
    <w:rsid w:val="003049BE"/>
    <w:rsid w:val="00304BD4"/>
    <w:rsid w:val="0030500A"/>
    <w:rsid w:val="003052EB"/>
    <w:rsid w:val="00305FCB"/>
    <w:rsid w:val="003060BC"/>
    <w:rsid w:val="003063C3"/>
    <w:rsid w:val="00306435"/>
    <w:rsid w:val="00306616"/>
    <w:rsid w:val="003069DC"/>
    <w:rsid w:val="00306B44"/>
    <w:rsid w:val="00306D4D"/>
    <w:rsid w:val="00307C44"/>
    <w:rsid w:val="00310066"/>
    <w:rsid w:val="003100AF"/>
    <w:rsid w:val="00310196"/>
    <w:rsid w:val="0031088E"/>
    <w:rsid w:val="00310D01"/>
    <w:rsid w:val="00310E95"/>
    <w:rsid w:val="00311376"/>
    <w:rsid w:val="00311929"/>
    <w:rsid w:val="00311A1F"/>
    <w:rsid w:val="00311B47"/>
    <w:rsid w:val="00311D52"/>
    <w:rsid w:val="00312015"/>
    <w:rsid w:val="00312190"/>
    <w:rsid w:val="003123CC"/>
    <w:rsid w:val="003125E0"/>
    <w:rsid w:val="0031271D"/>
    <w:rsid w:val="00312AFA"/>
    <w:rsid w:val="003132BB"/>
    <w:rsid w:val="00313337"/>
    <w:rsid w:val="00313447"/>
    <w:rsid w:val="00313748"/>
    <w:rsid w:val="00313EA3"/>
    <w:rsid w:val="0031535E"/>
    <w:rsid w:val="00315365"/>
    <w:rsid w:val="00315457"/>
    <w:rsid w:val="00315C55"/>
    <w:rsid w:val="003161A4"/>
    <w:rsid w:val="00316955"/>
    <w:rsid w:val="0031720A"/>
    <w:rsid w:val="0031749B"/>
    <w:rsid w:val="003174E5"/>
    <w:rsid w:val="003175CE"/>
    <w:rsid w:val="00317C9D"/>
    <w:rsid w:val="00317CD2"/>
    <w:rsid w:val="00317D99"/>
    <w:rsid w:val="0032078D"/>
    <w:rsid w:val="0032086F"/>
    <w:rsid w:val="00320ADF"/>
    <w:rsid w:val="0032137B"/>
    <w:rsid w:val="00321BD6"/>
    <w:rsid w:val="00321C61"/>
    <w:rsid w:val="00321FA3"/>
    <w:rsid w:val="003227D3"/>
    <w:rsid w:val="0032284F"/>
    <w:rsid w:val="00322937"/>
    <w:rsid w:val="00322BA1"/>
    <w:rsid w:val="003232D1"/>
    <w:rsid w:val="00323881"/>
    <w:rsid w:val="00324093"/>
    <w:rsid w:val="0032456A"/>
    <w:rsid w:val="003247ED"/>
    <w:rsid w:val="003251A8"/>
    <w:rsid w:val="003254B1"/>
    <w:rsid w:val="003257E1"/>
    <w:rsid w:val="0032586E"/>
    <w:rsid w:val="00325D98"/>
    <w:rsid w:val="0032682A"/>
    <w:rsid w:val="00326DAB"/>
    <w:rsid w:val="00327781"/>
    <w:rsid w:val="00327898"/>
    <w:rsid w:val="00327A5C"/>
    <w:rsid w:val="0033080A"/>
    <w:rsid w:val="0033092C"/>
    <w:rsid w:val="00330E4A"/>
    <w:rsid w:val="0033112A"/>
    <w:rsid w:val="0033122A"/>
    <w:rsid w:val="003315AC"/>
    <w:rsid w:val="00331646"/>
    <w:rsid w:val="00331932"/>
    <w:rsid w:val="00332382"/>
    <w:rsid w:val="00332453"/>
    <w:rsid w:val="0033251B"/>
    <w:rsid w:val="00332F8C"/>
    <w:rsid w:val="00333A88"/>
    <w:rsid w:val="00333BC9"/>
    <w:rsid w:val="00334CE9"/>
    <w:rsid w:val="00335B06"/>
    <w:rsid w:val="00335B15"/>
    <w:rsid w:val="00335B21"/>
    <w:rsid w:val="00335D3F"/>
    <w:rsid w:val="00336104"/>
    <w:rsid w:val="0033660B"/>
    <w:rsid w:val="00336729"/>
    <w:rsid w:val="00336FCA"/>
    <w:rsid w:val="0033726D"/>
    <w:rsid w:val="0033746A"/>
    <w:rsid w:val="00337CA8"/>
    <w:rsid w:val="00340771"/>
    <w:rsid w:val="00340D3F"/>
    <w:rsid w:val="0034174B"/>
    <w:rsid w:val="0034177C"/>
    <w:rsid w:val="00341EBD"/>
    <w:rsid w:val="0034204E"/>
    <w:rsid w:val="003420E9"/>
    <w:rsid w:val="00342345"/>
    <w:rsid w:val="00342C27"/>
    <w:rsid w:val="00342F14"/>
    <w:rsid w:val="00343080"/>
    <w:rsid w:val="003430C8"/>
    <w:rsid w:val="003432C8"/>
    <w:rsid w:val="00343418"/>
    <w:rsid w:val="003434B3"/>
    <w:rsid w:val="00343536"/>
    <w:rsid w:val="00343EFB"/>
    <w:rsid w:val="00344026"/>
    <w:rsid w:val="0034437F"/>
    <w:rsid w:val="00344760"/>
    <w:rsid w:val="003454E8"/>
    <w:rsid w:val="00345574"/>
    <w:rsid w:val="003462AB"/>
    <w:rsid w:val="0034680A"/>
    <w:rsid w:val="00346C62"/>
    <w:rsid w:val="00347202"/>
    <w:rsid w:val="003474A1"/>
    <w:rsid w:val="003476A0"/>
    <w:rsid w:val="0034777C"/>
    <w:rsid w:val="0034778E"/>
    <w:rsid w:val="00347A5A"/>
    <w:rsid w:val="003501E2"/>
    <w:rsid w:val="0035166C"/>
    <w:rsid w:val="00351E10"/>
    <w:rsid w:val="00352091"/>
    <w:rsid w:val="003533F4"/>
    <w:rsid w:val="003536F6"/>
    <w:rsid w:val="003539D2"/>
    <w:rsid w:val="00353BBC"/>
    <w:rsid w:val="00353DD5"/>
    <w:rsid w:val="00354002"/>
    <w:rsid w:val="00354964"/>
    <w:rsid w:val="00354CAC"/>
    <w:rsid w:val="00355131"/>
    <w:rsid w:val="0035585E"/>
    <w:rsid w:val="00355C52"/>
    <w:rsid w:val="00355F74"/>
    <w:rsid w:val="003560DB"/>
    <w:rsid w:val="003564C4"/>
    <w:rsid w:val="003564DB"/>
    <w:rsid w:val="00356F87"/>
    <w:rsid w:val="00360CE8"/>
    <w:rsid w:val="00360CF3"/>
    <w:rsid w:val="003612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70044"/>
    <w:rsid w:val="003704A3"/>
    <w:rsid w:val="003706F2"/>
    <w:rsid w:val="00370A81"/>
    <w:rsid w:val="0037115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529"/>
    <w:rsid w:val="00382BAD"/>
    <w:rsid w:val="0038333E"/>
    <w:rsid w:val="003835FD"/>
    <w:rsid w:val="00383632"/>
    <w:rsid w:val="0038492B"/>
    <w:rsid w:val="00384DF1"/>
    <w:rsid w:val="00384FF3"/>
    <w:rsid w:val="0038512F"/>
    <w:rsid w:val="00386456"/>
    <w:rsid w:val="003865A9"/>
    <w:rsid w:val="00387BD8"/>
    <w:rsid w:val="0039038D"/>
    <w:rsid w:val="00390811"/>
    <w:rsid w:val="0039092B"/>
    <w:rsid w:val="00390C01"/>
    <w:rsid w:val="00390C57"/>
    <w:rsid w:val="00390EB1"/>
    <w:rsid w:val="00390F32"/>
    <w:rsid w:val="0039135E"/>
    <w:rsid w:val="00391EBF"/>
    <w:rsid w:val="00392A0C"/>
    <w:rsid w:val="0039319C"/>
    <w:rsid w:val="00393498"/>
    <w:rsid w:val="00393577"/>
    <w:rsid w:val="00393C2B"/>
    <w:rsid w:val="00393CAE"/>
    <w:rsid w:val="00394178"/>
    <w:rsid w:val="003945F4"/>
    <w:rsid w:val="0039471F"/>
    <w:rsid w:val="00394A67"/>
    <w:rsid w:val="00394EB5"/>
    <w:rsid w:val="0039514F"/>
    <w:rsid w:val="003953B4"/>
    <w:rsid w:val="00395E67"/>
    <w:rsid w:val="0039615F"/>
    <w:rsid w:val="003966A0"/>
    <w:rsid w:val="00396A29"/>
    <w:rsid w:val="00397007"/>
    <w:rsid w:val="00397A8F"/>
    <w:rsid w:val="00397FF0"/>
    <w:rsid w:val="003A0878"/>
    <w:rsid w:val="003A1244"/>
    <w:rsid w:val="003A1561"/>
    <w:rsid w:val="003A1D25"/>
    <w:rsid w:val="003A2111"/>
    <w:rsid w:val="003A22A2"/>
    <w:rsid w:val="003A236C"/>
    <w:rsid w:val="003A2447"/>
    <w:rsid w:val="003A2AA1"/>
    <w:rsid w:val="003A31A5"/>
    <w:rsid w:val="003A329A"/>
    <w:rsid w:val="003A3501"/>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06E2"/>
    <w:rsid w:val="003B07F6"/>
    <w:rsid w:val="003B1AF1"/>
    <w:rsid w:val="003B1DAF"/>
    <w:rsid w:val="003B1E57"/>
    <w:rsid w:val="003B27C9"/>
    <w:rsid w:val="003B2DFA"/>
    <w:rsid w:val="003B2E90"/>
    <w:rsid w:val="003B2EF3"/>
    <w:rsid w:val="003B342D"/>
    <w:rsid w:val="003B34B5"/>
    <w:rsid w:val="003B45AD"/>
    <w:rsid w:val="003B4A4D"/>
    <w:rsid w:val="003B534F"/>
    <w:rsid w:val="003B5391"/>
    <w:rsid w:val="003B58CE"/>
    <w:rsid w:val="003B65D7"/>
    <w:rsid w:val="003B65E0"/>
    <w:rsid w:val="003B6721"/>
    <w:rsid w:val="003B6BD4"/>
    <w:rsid w:val="003B6F4D"/>
    <w:rsid w:val="003B6FE7"/>
    <w:rsid w:val="003B7ED6"/>
    <w:rsid w:val="003B7F37"/>
    <w:rsid w:val="003B7F87"/>
    <w:rsid w:val="003C0012"/>
    <w:rsid w:val="003C06ED"/>
    <w:rsid w:val="003C087C"/>
    <w:rsid w:val="003C095A"/>
    <w:rsid w:val="003C0D1F"/>
    <w:rsid w:val="003C116A"/>
    <w:rsid w:val="003C13CD"/>
    <w:rsid w:val="003C1AF4"/>
    <w:rsid w:val="003C1C9C"/>
    <w:rsid w:val="003C1CB8"/>
    <w:rsid w:val="003C22DA"/>
    <w:rsid w:val="003C2550"/>
    <w:rsid w:val="003C287F"/>
    <w:rsid w:val="003C2A4D"/>
    <w:rsid w:val="003C31A1"/>
    <w:rsid w:val="003C3339"/>
    <w:rsid w:val="003C375A"/>
    <w:rsid w:val="003C3B85"/>
    <w:rsid w:val="003C3F06"/>
    <w:rsid w:val="003C4D9F"/>
    <w:rsid w:val="003C5247"/>
    <w:rsid w:val="003C55EC"/>
    <w:rsid w:val="003C622C"/>
    <w:rsid w:val="003C6505"/>
    <w:rsid w:val="003C73C7"/>
    <w:rsid w:val="003C7CFB"/>
    <w:rsid w:val="003D050B"/>
    <w:rsid w:val="003D0670"/>
    <w:rsid w:val="003D0750"/>
    <w:rsid w:val="003D0B98"/>
    <w:rsid w:val="003D0C38"/>
    <w:rsid w:val="003D0C3C"/>
    <w:rsid w:val="003D0DE5"/>
    <w:rsid w:val="003D0F46"/>
    <w:rsid w:val="003D1351"/>
    <w:rsid w:val="003D1775"/>
    <w:rsid w:val="003D21C1"/>
    <w:rsid w:val="003D2FDB"/>
    <w:rsid w:val="003D3632"/>
    <w:rsid w:val="003D3B15"/>
    <w:rsid w:val="003D3B2E"/>
    <w:rsid w:val="003D4101"/>
    <w:rsid w:val="003D484D"/>
    <w:rsid w:val="003D49CB"/>
    <w:rsid w:val="003D6823"/>
    <w:rsid w:val="003D6B8F"/>
    <w:rsid w:val="003D6F7A"/>
    <w:rsid w:val="003D7566"/>
    <w:rsid w:val="003D7FB3"/>
    <w:rsid w:val="003E006D"/>
    <w:rsid w:val="003E0224"/>
    <w:rsid w:val="003E067E"/>
    <w:rsid w:val="003E09BB"/>
    <w:rsid w:val="003E0FB3"/>
    <w:rsid w:val="003E159D"/>
    <w:rsid w:val="003E20EA"/>
    <w:rsid w:val="003E210C"/>
    <w:rsid w:val="003E2F55"/>
    <w:rsid w:val="003E2FA3"/>
    <w:rsid w:val="003E3239"/>
    <w:rsid w:val="003E34DB"/>
    <w:rsid w:val="003E3833"/>
    <w:rsid w:val="003E3AF9"/>
    <w:rsid w:val="003E44BB"/>
    <w:rsid w:val="003E4A70"/>
    <w:rsid w:val="003E4C48"/>
    <w:rsid w:val="003E4CD9"/>
    <w:rsid w:val="003E52C2"/>
    <w:rsid w:val="003E54B3"/>
    <w:rsid w:val="003E5780"/>
    <w:rsid w:val="003E5B9F"/>
    <w:rsid w:val="003E6072"/>
    <w:rsid w:val="003E64E0"/>
    <w:rsid w:val="003E67DE"/>
    <w:rsid w:val="003E6AB6"/>
    <w:rsid w:val="003E6E0B"/>
    <w:rsid w:val="003E71CD"/>
    <w:rsid w:val="003E72F0"/>
    <w:rsid w:val="003E78DA"/>
    <w:rsid w:val="003E7A8B"/>
    <w:rsid w:val="003F060E"/>
    <w:rsid w:val="003F0F73"/>
    <w:rsid w:val="003F0F7F"/>
    <w:rsid w:val="003F115C"/>
    <w:rsid w:val="003F155A"/>
    <w:rsid w:val="003F2B26"/>
    <w:rsid w:val="003F300D"/>
    <w:rsid w:val="003F31C0"/>
    <w:rsid w:val="003F391F"/>
    <w:rsid w:val="003F4599"/>
    <w:rsid w:val="003F45E1"/>
    <w:rsid w:val="003F4F6C"/>
    <w:rsid w:val="003F559E"/>
    <w:rsid w:val="003F560A"/>
    <w:rsid w:val="003F57BC"/>
    <w:rsid w:val="003F6181"/>
    <w:rsid w:val="003F662E"/>
    <w:rsid w:val="003F6BFC"/>
    <w:rsid w:val="003F7343"/>
    <w:rsid w:val="003F74EB"/>
    <w:rsid w:val="00400002"/>
    <w:rsid w:val="00400054"/>
    <w:rsid w:val="004004EA"/>
    <w:rsid w:val="00400C41"/>
    <w:rsid w:val="004010C2"/>
    <w:rsid w:val="004016A3"/>
    <w:rsid w:val="00401B31"/>
    <w:rsid w:val="00401EEA"/>
    <w:rsid w:val="0040202B"/>
    <w:rsid w:val="00402502"/>
    <w:rsid w:val="0040284C"/>
    <w:rsid w:val="00402DE1"/>
    <w:rsid w:val="00402EEB"/>
    <w:rsid w:val="004037C2"/>
    <w:rsid w:val="00404041"/>
    <w:rsid w:val="004047DF"/>
    <w:rsid w:val="00404B43"/>
    <w:rsid w:val="00404C61"/>
    <w:rsid w:val="00405184"/>
    <w:rsid w:val="00405487"/>
    <w:rsid w:val="00405B8A"/>
    <w:rsid w:val="0040602B"/>
    <w:rsid w:val="00406359"/>
    <w:rsid w:val="004064E8"/>
    <w:rsid w:val="00406599"/>
    <w:rsid w:val="00406DF5"/>
    <w:rsid w:val="00406F35"/>
    <w:rsid w:val="0040798E"/>
    <w:rsid w:val="00407A7A"/>
    <w:rsid w:val="00407ABC"/>
    <w:rsid w:val="00407F1E"/>
    <w:rsid w:val="00407F98"/>
    <w:rsid w:val="004101CA"/>
    <w:rsid w:val="00410A88"/>
    <w:rsid w:val="00411317"/>
    <w:rsid w:val="00411692"/>
    <w:rsid w:val="00411A9E"/>
    <w:rsid w:val="004122CD"/>
    <w:rsid w:val="0041259F"/>
    <w:rsid w:val="00412B4D"/>
    <w:rsid w:val="00412C51"/>
    <w:rsid w:val="00413262"/>
    <w:rsid w:val="0041329C"/>
    <w:rsid w:val="00413920"/>
    <w:rsid w:val="004139F4"/>
    <w:rsid w:val="00413FFA"/>
    <w:rsid w:val="00414229"/>
    <w:rsid w:val="00414246"/>
    <w:rsid w:val="00414D9A"/>
    <w:rsid w:val="00415194"/>
    <w:rsid w:val="00415379"/>
    <w:rsid w:val="00415816"/>
    <w:rsid w:val="00415B88"/>
    <w:rsid w:val="00415D32"/>
    <w:rsid w:val="004160A2"/>
    <w:rsid w:val="004170D7"/>
    <w:rsid w:val="004177A6"/>
    <w:rsid w:val="00417C23"/>
    <w:rsid w:val="00417E46"/>
    <w:rsid w:val="00417EFD"/>
    <w:rsid w:val="004200EE"/>
    <w:rsid w:val="004209D2"/>
    <w:rsid w:val="00420D6E"/>
    <w:rsid w:val="00420DFA"/>
    <w:rsid w:val="00420ECA"/>
    <w:rsid w:val="0042158C"/>
    <w:rsid w:val="00421BD2"/>
    <w:rsid w:val="00421E00"/>
    <w:rsid w:val="00421F51"/>
    <w:rsid w:val="00421FCB"/>
    <w:rsid w:val="004224A4"/>
    <w:rsid w:val="00422DCA"/>
    <w:rsid w:val="00423BAB"/>
    <w:rsid w:val="00423CB4"/>
    <w:rsid w:val="00423F9F"/>
    <w:rsid w:val="00425845"/>
    <w:rsid w:val="00425C43"/>
    <w:rsid w:val="00425D70"/>
    <w:rsid w:val="00425DD1"/>
    <w:rsid w:val="00426058"/>
    <w:rsid w:val="004266A1"/>
    <w:rsid w:val="004273FA"/>
    <w:rsid w:val="004275A7"/>
    <w:rsid w:val="00430186"/>
    <w:rsid w:val="004303D2"/>
    <w:rsid w:val="00430682"/>
    <w:rsid w:val="00431017"/>
    <w:rsid w:val="00431599"/>
    <w:rsid w:val="00431C0B"/>
    <w:rsid w:val="0043269A"/>
    <w:rsid w:val="00432A23"/>
    <w:rsid w:val="00432B3C"/>
    <w:rsid w:val="00432C6D"/>
    <w:rsid w:val="004333C2"/>
    <w:rsid w:val="00434787"/>
    <w:rsid w:val="0043488C"/>
    <w:rsid w:val="00434C13"/>
    <w:rsid w:val="00435703"/>
    <w:rsid w:val="00435BD5"/>
    <w:rsid w:val="00436156"/>
    <w:rsid w:val="00436323"/>
    <w:rsid w:val="0043676B"/>
    <w:rsid w:val="0043683F"/>
    <w:rsid w:val="00436F40"/>
    <w:rsid w:val="004370FA"/>
    <w:rsid w:val="00437D55"/>
    <w:rsid w:val="00440096"/>
    <w:rsid w:val="004403DD"/>
    <w:rsid w:val="004405CD"/>
    <w:rsid w:val="00440CF3"/>
    <w:rsid w:val="00440DB0"/>
    <w:rsid w:val="00440DD6"/>
    <w:rsid w:val="00440DDC"/>
    <w:rsid w:val="00440FAD"/>
    <w:rsid w:val="00441291"/>
    <w:rsid w:val="00441E04"/>
    <w:rsid w:val="004420AB"/>
    <w:rsid w:val="004422D6"/>
    <w:rsid w:val="004427AC"/>
    <w:rsid w:val="00442823"/>
    <w:rsid w:val="00442C7D"/>
    <w:rsid w:val="00442D4D"/>
    <w:rsid w:val="004435DF"/>
    <w:rsid w:val="0044374D"/>
    <w:rsid w:val="00443B55"/>
    <w:rsid w:val="00443D27"/>
    <w:rsid w:val="0044414B"/>
    <w:rsid w:val="004445EB"/>
    <w:rsid w:val="0044478A"/>
    <w:rsid w:val="00444D02"/>
    <w:rsid w:val="0044500B"/>
    <w:rsid w:val="00446037"/>
    <w:rsid w:val="0044642F"/>
    <w:rsid w:val="004473C9"/>
    <w:rsid w:val="004476D6"/>
    <w:rsid w:val="0044772C"/>
    <w:rsid w:val="00447D53"/>
    <w:rsid w:val="0045074A"/>
    <w:rsid w:val="00450846"/>
    <w:rsid w:val="00451A52"/>
    <w:rsid w:val="0045271D"/>
    <w:rsid w:val="00452755"/>
    <w:rsid w:val="00452803"/>
    <w:rsid w:val="004529A6"/>
    <w:rsid w:val="004529C6"/>
    <w:rsid w:val="00452C53"/>
    <w:rsid w:val="00452EAD"/>
    <w:rsid w:val="004533A8"/>
    <w:rsid w:val="004533D1"/>
    <w:rsid w:val="004534D1"/>
    <w:rsid w:val="00454390"/>
    <w:rsid w:val="00454548"/>
    <w:rsid w:val="00454717"/>
    <w:rsid w:val="00454F20"/>
    <w:rsid w:val="00454FC6"/>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57FCD"/>
    <w:rsid w:val="00460915"/>
    <w:rsid w:val="00460946"/>
    <w:rsid w:val="004614A9"/>
    <w:rsid w:val="00461E97"/>
    <w:rsid w:val="004623D1"/>
    <w:rsid w:val="0046268F"/>
    <w:rsid w:val="0046284F"/>
    <w:rsid w:val="00462B10"/>
    <w:rsid w:val="00462C04"/>
    <w:rsid w:val="0046320A"/>
    <w:rsid w:val="004632E2"/>
    <w:rsid w:val="004636EE"/>
    <w:rsid w:val="004638E2"/>
    <w:rsid w:val="00464030"/>
    <w:rsid w:val="004647F8"/>
    <w:rsid w:val="004647FB"/>
    <w:rsid w:val="00465347"/>
    <w:rsid w:val="00465677"/>
    <w:rsid w:val="00465745"/>
    <w:rsid w:val="00466616"/>
    <w:rsid w:val="00466A0C"/>
    <w:rsid w:val="00466A53"/>
    <w:rsid w:val="004673A8"/>
    <w:rsid w:val="0046753A"/>
    <w:rsid w:val="00467CA9"/>
    <w:rsid w:val="00467D4E"/>
    <w:rsid w:val="0047098A"/>
    <w:rsid w:val="00470A6A"/>
    <w:rsid w:val="00470D73"/>
    <w:rsid w:val="00470D92"/>
    <w:rsid w:val="004711D0"/>
    <w:rsid w:val="0047188F"/>
    <w:rsid w:val="00471DF7"/>
    <w:rsid w:val="00471FD5"/>
    <w:rsid w:val="00472450"/>
    <w:rsid w:val="00472E6B"/>
    <w:rsid w:val="004734CF"/>
    <w:rsid w:val="004737EA"/>
    <w:rsid w:val="00473BD9"/>
    <w:rsid w:val="00474665"/>
    <w:rsid w:val="00475A10"/>
    <w:rsid w:val="00475C5A"/>
    <w:rsid w:val="00475C78"/>
    <w:rsid w:val="00475C9C"/>
    <w:rsid w:val="00475D37"/>
    <w:rsid w:val="0047676B"/>
    <w:rsid w:val="004768D3"/>
    <w:rsid w:val="00476E01"/>
    <w:rsid w:val="00477031"/>
    <w:rsid w:val="0047736D"/>
    <w:rsid w:val="0047773C"/>
    <w:rsid w:val="00477C5F"/>
    <w:rsid w:val="00477D59"/>
    <w:rsid w:val="00477F7E"/>
    <w:rsid w:val="00480050"/>
    <w:rsid w:val="004800E5"/>
    <w:rsid w:val="0048011C"/>
    <w:rsid w:val="00480770"/>
    <w:rsid w:val="004808DE"/>
    <w:rsid w:val="004812A7"/>
    <w:rsid w:val="00481AC4"/>
    <w:rsid w:val="00481DC1"/>
    <w:rsid w:val="00482117"/>
    <w:rsid w:val="00482507"/>
    <w:rsid w:val="0048268A"/>
    <w:rsid w:val="00482E12"/>
    <w:rsid w:val="004835CA"/>
    <w:rsid w:val="004836F8"/>
    <w:rsid w:val="004836FE"/>
    <w:rsid w:val="00484C97"/>
    <w:rsid w:val="00484F0F"/>
    <w:rsid w:val="00484F40"/>
    <w:rsid w:val="004850A3"/>
    <w:rsid w:val="004853CD"/>
    <w:rsid w:val="0048540C"/>
    <w:rsid w:val="00485D18"/>
    <w:rsid w:val="004861B4"/>
    <w:rsid w:val="0048638B"/>
    <w:rsid w:val="00486BD0"/>
    <w:rsid w:val="00486D00"/>
    <w:rsid w:val="00487263"/>
    <w:rsid w:val="0048734F"/>
    <w:rsid w:val="004877B4"/>
    <w:rsid w:val="0048785D"/>
    <w:rsid w:val="00487B34"/>
    <w:rsid w:val="0049015B"/>
    <w:rsid w:val="0049029D"/>
    <w:rsid w:val="0049030C"/>
    <w:rsid w:val="004903C0"/>
    <w:rsid w:val="004907FA"/>
    <w:rsid w:val="0049114B"/>
    <w:rsid w:val="004912A8"/>
    <w:rsid w:val="00491577"/>
    <w:rsid w:val="0049196A"/>
    <w:rsid w:val="0049196E"/>
    <w:rsid w:val="00491B54"/>
    <w:rsid w:val="0049241A"/>
    <w:rsid w:val="0049250D"/>
    <w:rsid w:val="00492C1F"/>
    <w:rsid w:val="00492E4C"/>
    <w:rsid w:val="00493664"/>
    <w:rsid w:val="004936A9"/>
    <w:rsid w:val="004938E1"/>
    <w:rsid w:val="004939C1"/>
    <w:rsid w:val="00493E04"/>
    <w:rsid w:val="004940E3"/>
    <w:rsid w:val="00494269"/>
    <w:rsid w:val="0049530F"/>
    <w:rsid w:val="00495E35"/>
    <w:rsid w:val="00496664"/>
    <w:rsid w:val="00496786"/>
    <w:rsid w:val="0049695B"/>
    <w:rsid w:val="00496D8F"/>
    <w:rsid w:val="00497463"/>
    <w:rsid w:val="004977E5"/>
    <w:rsid w:val="004A0381"/>
    <w:rsid w:val="004A03FC"/>
    <w:rsid w:val="004A054C"/>
    <w:rsid w:val="004A08D1"/>
    <w:rsid w:val="004A12F3"/>
    <w:rsid w:val="004A16C1"/>
    <w:rsid w:val="004A1CE2"/>
    <w:rsid w:val="004A1DF9"/>
    <w:rsid w:val="004A24BC"/>
    <w:rsid w:val="004A2A99"/>
    <w:rsid w:val="004A33AD"/>
    <w:rsid w:val="004A34D2"/>
    <w:rsid w:val="004A3A10"/>
    <w:rsid w:val="004A3C96"/>
    <w:rsid w:val="004A4301"/>
    <w:rsid w:val="004A4D70"/>
    <w:rsid w:val="004A4D93"/>
    <w:rsid w:val="004A58EE"/>
    <w:rsid w:val="004A59B7"/>
    <w:rsid w:val="004A5C13"/>
    <w:rsid w:val="004A6051"/>
    <w:rsid w:val="004A623B"/>
    <w:rsid w:val="004A6334"/>
    <w:rsid w:val="004A65AC"/>
    <w:rsid w:val="004A6A04"/>
    <w:rsid w:val="004A6A52"/>
    <w:rsid w:val="004B02CF"/>
    <w:rsid w:val="004B0A44"/>
    <w:rsid w:val="004B0F0B"/>
    <w:rsid w:val="004B0F13"/>
    <w:rsid w:val="004B1323"/>
    <w:rsid w:val="004B1A5A"/>
    <w:rsid w:val="004B2197"/>
    <w:rsid w:val="004B28BB"/>
    <w:rsid w:val="004B298A"/>
    <w:rsid w:val="004B2B14"/>
    <w:rsid w:val="004B3751"/>
    <w:rsid w:val="004B4BCC"/>
    <w:rsid w:val="004B50CB"/>
    <w:rsid w:val="004B52D4"/>
    <w:rsid w:val="004B578D"/>
    <w:rsid w:val="004B5835"/>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4AB0"/>
    <w:rsid w:val="004C4AE5"/>
    <w:rsid w:val="004C4D4D"/>
    <w:rsid w:val="004C5212"/>
    <w:rsid w:val="004C580A"/>
    <w:rsid w:val="004C5EF0"/>
    <w:rsid w:val="004C64C9"/>
    <w:rsid w:val="004C6862"/>
    <w:rsid w:val="004C7226"/>
    <w:rsid w:val="004C74C9"/>
    <w:rsid w:val="004C7915"/>
    <w:rsid w:val="004C7D70"/>
    <w:rsid w:val="004D02F9"/>
    <w:rsid w:val="004D03FE"/>
    <w:rsid w:val="004D0446"/>
    <w:rsid w:val="004D052E"/>
    <w:rsid w:val="004D06A3"/>
    <w:rsid w:val="004D0F95"/>
    <w:rsid w:val="004D106A"/>
    <w:rsid w:val="004D12DC"/>
    <w:rsid w:val="004D1C7E"/>
    <w:rsid w:val="004D245A"/>
    <w:rsid w:val="004D2AD8"/>
    <w:rsid w:val="004D2F4A"/>
    <w:rsid w:val="004D3106"/>
    <w:rsid w:val="004D31EE"/>
    <w:rsid w:val="004D36AF"/>
    <w:rsid w:val="004D3BD1"/>
    <w:rsid w:val="004D40E3"/>
    <w:rsid w:val="004D4A03"/>
    <w:rsid w:val="004D4BA1"/>
    <w:rsid w:val="004D4EC1"/>
    <w:rsid w:val="004D53A6"/>
    <w:rsid w:val="004D584D"/>
    <w:rsid w:val="004D5A7E"/>
    <w:rsid w:val="004D5ED1"/>
    <w:rsid w:val="004D6120"/>
    <w:rsid w:val="004D636B"/>
    <w:rsid w:val="004D6826"/>
    <w:rsid w:val="004D6E7F"/>
    <w:rsid w:val="004D768D"/>
    <w:rsid w:val="004D7CEC"/>
    <w:rsid w:val="004E023F"/>
    <w:rsid w:val="004E0546"/>
    <w:rsid w:val="004E06FC"/>
    <w:rsid w:val="004E0742"/>
    <w:rsid w:val="004E0C64"/>
    <w:rsid w:val="004E0EBC"/>
    <w:rsid w:val="004E0F6B"/>
    <w:rsid w:val="004E1545"/>
    <w:rsid w:val="004E1F1C"/>
    <w:rsid w:val="004E24CE"/>
    <w:rsid w:val="004E2716"/>
    <w:rsid w:val="004E2A35"/>
    <w:rsid w:val="004E3924"/>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0FAF"/>
    <w:rsid w:val="004F163F"/>
    <w:rsid w:val="004F18A0"/>
    <w:rsid w:val="004F1A08"/>
    <w:rsid w:val="004F2B64"/>
    <w:rsid w:val="004F2D2A"/>
    <w:rsid w:val="004F31B8"/>
    <w:rsid w:val="004F375E"/>
    <w:rsid w:val="004F3764"/>
    <w:rsid w:val="004F386A"/>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214"/>
    <w:rsid w:val="004F7AC9"/>
    <w:rsid w:val="0050062F"/>
    <w:rsid w:val="00500E74"/>
    <w:rsid w:val="0050160F"/>
    <w:rsid w:val="0050275F"/>
    <w:rsid w:val="0050284E"/>
    <w:rsid w:val="0050306F"/>
    <w:rsid w:val="005044C9"/>
    <w:rsid w:val="005047A0"/>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1D9"/>
    <w:rsid w:val="0051334F"/>
    <w:rsid w:val="00513399"/>
    <w:rsid w:val="00513AF2"/>
    <w:rsid w:val="00514575"/>
    <w:rsid w:val="00514745"/>
    <w:rsid w:val="00514C03"/>
    <w:rsid w:val="00514D67"/>
    <w:rsid w:val="0051522A"/>
    <w:rsid w:val="00515515"/>
    <w:rsid w:val="00515EA6"/>
    <w:rsid w:val="0051635C"/>
    <w:rsid w:val="00516C5B"/>
    <w:rsid w:val="005174CE"/>
    <w:rsid w:val="00517612"/>
    <w:rsid w:val="0051782E"/>
    <w:rsid w:val="00517CFB"/>
    <w:rsid w:val="00517F85"/>
    <w:rsid w:val="00520235"/>
    <w:rsid w:val="00520899"/>
    <w:rsid w:val="00520922"/>
    <w:rsid w:val="005209FC"/>
    <w:rsid w:val="005212D7"/>
    <w:rsid w:val="00521A30"/>
    <w:rsid w:val="00521A4A"/>
    <w:rsid w:val="005224E5"/>
    <w:rsid w:val="00523496"/>
    <w:rsid w:val="00523903"/>
    <w:rsid w:val="005239B6"/>
    <w:rsid w:val="00523C45"/>
    <w:rsid w:val="00523D35"/>
    <w:rsid w:val="0052413E"/>
    <w:rsid w:val="00524165"/>
    <w:rsid w:val="005246E7"/>
    <w:rsid w:val="00524B08"/>
    <w:rsid w:val="00524C38"/>
    <w:rsid w:val="00524FD2"/>
    <w:rsid w:val="00525621"/>
    <w:rsid w:val="00526431"/>
    <w:rsid w:val="00527064"/>
    <w:rsid w:val="00527532"/>
    <w:rsid w:val="00527703"/>
    <w:rsid w:val="00527A2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255"/>
    <w:rsid w:val="00533568"/>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37EA2"/>
    <w:rsid w:val="00540AF0"/>
    <w:rsid w:val="00540C4C"/>
    <w:rsid w:val="00541469"/>
    <w:rsid w:val="00541571"/>
    <w:rsid w:val="00541B1F"/>
    <w:rsid w:val="00541F69"/>
    <w:rsid w:val="005420C0"/>
    <w:rsid w:val="0054275A"/>
    <w:rsid w:val="005428B8"/>
    <w:rsid w:val="00542BD7"/>
    <w:rsid w:val="00543084"/>
    <w:rsid w:val="00543584"/>
    <w:rsid w:val="00543A9E"/>
    <w:rsid w:val="0054413A"/>
    <w:rsid w:val="00544288"/>
    <w:rsid w:val="005446BB"/>
    <w:rsid w:val="005448C8"/>
    <w:rsid w:val="00544DA5"/>
    <w:rsid w:val="00544F43"/>
    <w:rsid w:val="00544F86"/>
    <w:rsid w:val="00545E30"/>
    <w:rsid w:val="00545EA3"/>
    <w:rsid w:val="005465E8"/>
    <w:rsid w:val="00546C9B"/>
    <w:rsid w:val="00547167"/>
    <w:rsid w:val="0054745E"/>
    <w:rsid w:val="005476A5"/>
    <w:rsid w:val="00547BF6"/>
    <w:rsid w:val="00547FB3"/>
    <w:rsid w:val="00550E50"/>
    <w:rsid w:val="00551098"/>
    <w:rsid w:val="00551598"/>
    <w:rsid w:val="0055162B"/>
    <w:rsid w:val="00551BFF"/>
    <w:rsid w:val="00551D68"/>
    <w:rsid w:val="00551DFF"/>
    <w:rsid w:val="0055256B"/>
    <w:rsid w:val="005525C9"/>
    <w:rsid w:val="00552B3E"/>
    <w:rsid w:val="00552FB2"/>
    <w:rsid w:val="00553ACB"/>
    <w:rsid w:val="005546AD"/>
    <w:rsid w:val="00554D57"/>
    <w:rsid w:val="00555142"/>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646"/>
    <w:rsid w:val="00564704"/>
    <w:rsid w:val="00564712"/>
    <w:rsid w:val="005657A8"/>
    <w:rsid w:val="00565952"/>
    <w:rsid w:val="00566866"/>
    <w:rsid w:val="005670A5"/>
    <w:rsid w:val="00567285"/>
    <w:rsid w:val="00567723"/>
    <w:rsid w:val="0056772D"/>
    <w:rsid w:val="00567AB8"/>
    <w:rsid w:val="00570A26"/>
    <w:rsid w:val="00570CFD"/>
    <w:rsid w:val="00571872"/>
    <w:rsid w:val="00572076"/>
    <w:rsid w:val="0057221F"/>
    <w:rsid w:val="00572539"/>
    <w:rsid w:val="0057272E"/>
    <w:rsid w:val="00572835"/>
    <w:rsid w:val="00572996"/>
    <w:rsid w:val="00572E46"/>
    <w:rsid w:val="00573355"/>
    <w:rsid w:val="0057337D"/>
    <w:rsid w:val="00573450"/>
    <w:rsid w:val="00573504"/>
    <w:rsid w:val="00573907"/>
    <w:rsid w:val="00573BA3"/>
    <w:rsid w:val="00573C8C"/>
    <w:rsid w:val="005745F3"/>
    <w:rsid w:val="00574708"/>
    <w:rsid w:val="00574D81"/>
    <w:rsid w:val="005756AA"/>
    <w:rsid w:val="0057696F"/>
    <w:rsid w:val="00576C37"/>
    <w:rsid w:val="00576E5C"/>
    <w:rsid w:val="00577458"/>
    <w:rsid w:val="005774FE"/>
    <w:rsid w:val="00577880"/>
    <w:rsid w:val="00577A2D"/>
    <w:rsid w:val="00577EEB"/>
    <w:rsid w:val="0058040C"/>
    <w:rsid w:val="00580937"/>
    <w:rsid w:val="00580D6D"/>
    <w:rsid w:val="00580ED1"/>
    <w:rsid w:val="005812E4"/>
    <w:rsid w:val="005813DE"/>
    <w:rsid w:val="00581768"/>
    <w:rsid w:val="00581796"/>
    <w:rsid w:val="005819C8"/>
    <w:rsid w:val="00581B45"/>
    <w:rsid w:val="0058239C"/>
    <w:rsid w:val="00582480"/>
    <w:rsid w:val="00582805"/>
    <w:rsid w:val="0058290E"/>
    <w:rsid w:val="00582CAB"/>
    <w:rsid w:val="00582D08"/>
    <w:rsid w:val="00582FA6"/>
    <w:rsid w:val="005834A1"/>
    <w:rsid w:val="0058375E"/>
    <w:rsid w:val="005840B1"/>
    <w:rsid w:val="00584233"/>
    <w:rsid w:val="005842D0"/>
    <w:rsid w:val="005845FB"/>
    <w:rsid w:val="00585128"/>
    <w:rsid w:val="005855AE"/>
    <w:rsid w:val="00585829"/>
    <w:rsid w:val="00585C52"/>
    <w:rsid w:val="00585CA8"/>
    <w:rsid w:val="00586412"/>
    <w:rsid w:val="005864B9"/>
    <w:rsid w:val="005866C4"/>
    <w:rsid w:val="00587645"/>
    <w:rsid w:val="005908C9"/>
    <w:rsid w:val="00590F1A"/>
    <w:rsid w:val="00591C03"/>
    <w:rsid w:val="00591D9E"/>
    <w:rsid w:val="00591E2A"/>
    <w:rsid w:val="0059206B"/>
    <w:rsid w:val="005923C4"/>
    <w:rsid w:val="00592CF1"/>
    <w:rsid w:val="00593C7A"/>
    <w:rsid w:val="00593EA2"/>
    <w:rsid w:val="00593F75"/>
    <w:rsid w:val="005940A0"/>
    <w:rsid w:val="0059429A"/>
    <w:rsid w:val="005943D4"/>
    <w:rsid w:val="00594462"/>
    <w:rsid w:val="005949E5"/>
    <w:rsid w:val="00594CBE"/>
    <w:rsid w:val="00594DE2"/>
    <w:rsid w:val="005950CB"/>
    <w:rsid w:val="005966FB"/>
    <w:rsid w:val="00596AF7"/>
    <w:rsid w:val="00596CCE"/>
    <w:rsid w:val="005971AC"/>
    <w:rsid w:val="00597B2F"/>
    <w:rsid w:val="005A0E70"/>
    <w:rsid w:val="005A11F8"/>
    <w:rsid w:val="005A13FE"/>
    <w:rsid w:val="005A14F1"/>
    <w:rsid w:val="005A1976"/>
    <w:rsid w:val="005A2120"/>
    <w:rsid w:val="005A2501"/>
    <w:rsid w:val="005A2A10"/>
    <w:rsid w:val="005A2C80"/>
    <w:rsid w:val="005A3066"/>
    <w:rsid w:val="005A3B35"/>
    <w:rsid w:val="005A3C4B"/>
    <w:rsid w:val="005A3C85"/>
    <w:rsid w:val="005A3E5A"/>
    <w:rsid w:val="005A4399"/>
    <w:rsid w:val="005A43F3"/>
    <w:rsid w:val="005A496F"/>
    <w:rsid w:val="005A4A56"/>
    <w:rsid w:val="005A5608"/>
    <w:rsid w:val="005A5A3D"/>
    <w:rsid w:val="005A6035"/>
    <w:rsid w:val="005A64C2"/>
    <w:rsid w:val="005A6B75"/>
    <w:rsid w:val="005A6E00"/>
    <w:rsid w:val="005A70A9"/>
    <w:rsid w:val="005A718A"/>
    <w:rsid w:val="005A7209"/>
    <w:rsid w:val="005A7752"/>
    <w:rsid w:val="005A7885"/>
    <w:rsid w:val="005A7BC7"/>
    <w:rsid w:val="005B11B0"/>
    <w:rsid w:val="005B12B2"/>
    <w:rsid w:val="005B143B"/>
    <w:rsid w:val="005B150B"/>
    <w:rsid w:val="005B19BD"/>
    <w:rsid w:val="005B1E45"/>
    <w:rsid w:val="005B1F85"/>
    <w:rsid w:val="005B21C4"/>
    <w:rsid w:val="005B2A28"/>
    <w:rsid w:val="005B2E9F"/>
    <w:rsid w:val="005B3621"/>
    <w:rsid w:val="005B4948"/>
    <w:rsid w:val="005B501D"/>
    <w:rsid w:val="005B54CC"/>
    <w:rsid w:val="005B568B"/>
    <w:rsid w:val="005B74AD"/>
    <w:rsid w:val="005B7551"/>
    <w:rsid w:val="005B7B2D"/>
    <w:rsid w:val="005B7E96"/>
    <w:rsid w:val="005C0429"/>
    <w:rsid w:val="005C0627"/>
    <w:rsid w:val="005C084F"/>
    <w:rsid w:val="005C0EE9"/>
    <w:rsid w:val="005C12DB"/>
    <w:rsid w:val="005C16A8"/>
    <w:rsid w:val="005C1716"/>
    <w:rsid w:val="005C1954"/>
    <w:rsid w:val="005C1C0B"/>
    <w:rsid w:val="005C2011"/>
    <w:rsid w:val="005C2A47"/>
    <w:rsid w:val="005C3DCB"/>
    <w:rsid w:val="005C3EA3"/>
    <w:rsid w:val="005C4161"/>
    <w:rsid w:val="005C44DE"/>
    <w:rsid w:val="005C4E6D"/>
    <w:rsid w:val="005C5011"/>
    <w:rsid w:val="005C5241"/>
    <w:rsid w:val="005C529E"/>
    <w:rsid w:val="005C57BA"/>
    <w:rsid w:val="005C5B1C"/>
    <w:rsid w:val="005C5C52"/>
    <w:rsid w:val="005C5D3D"/>
    <w:rsid w:val="005C5F05"/>
    <w:rsid w:val="005C6186"/>
    <w:rsid w:val="005C71CB"/>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57"/>
    <w:rsid w:val="005D466F"/>
    <w:rsid w:val="005D49F0"/>
    <w:rsid w:val="005D51F7"/>
    <w:rsid w:val="005D51FA"/>
    <w:rsid w:val="005D53E8"/>
    <w:rsid w:val="005D577C"/>
    <w:rsid w:val="005D5A9D"/>
    <w:rsid w:val="005D608D"/>
    <w:rsid w:val="005D6651"/>
    <w:rsid w:val="005D691D"/>
    <w:rsid w:val="005D6A72"/>
    <w:rsid w:val="005D6EAC"/>
    <w:rsid w:val="005D6F38"/>
    <w:rsid w:val="005D7176"/>
    <w:rsid w:val="005D72A9"/>
    <w:rsid w:val="005D72AD"/>
    <w:rsid w:val="005D7516"/>
    <w:rsid w:val="005D75C1"/>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83B"/>
    <w:rsid w:val="005E3A24"/>
    <w:rsid w:val="005E3E52"/>
    <w:rsid w:val="005E5AAC"/>
    <w:rsid w:val="005E6E1D"/>
    <w:rsid w:val="005F1044"/>
    <w:rsid w:val="005F1712"/>
    <w:rsid w:val="005F1E4E"/>
    <w:rsid w:val="005F20D8"/>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19F"/>
    <w:rsid w:val="005F6CE2"/>
    <w:rsid w:val="005F6F24"/>
    <w:rsid w:val="005F72E9"/>
    <w:rsid w:val="005F765D"/>
    <w:rsid w:val="005F76AE"/>
    <w:rsid w:val="005F7797"/>
    <w:rsid w:val="005F780B"/>
    <w:rsid w:val="005F7A29"/>
    <w:rsid w:val="00600473"/>
    <w:rsid w:val="0060139A"/>
    <w:rsid w:val="006013C9"/>
    <w:rsid w:val="00601689"/>
    <w:rsid w:val="00601F72"/>
    <w:rsid w:val="0060218C"/>
    <w:rsid w:val="00602B45"/>
    <w:rsid w:val="00603499"/>
    <w:rsid w:val="006035F5"/>
    <w:rsid w:val="00603CC2"/>
    <w:rsid w:val="00604537"/>
    <w:rsid w:val="006047D1"/>
    <w:rsid w:val="00604A55"/>
    <w:rsid w:val="00604D4E"/>
    <w:rsid w:val="00604E3E"/>
    <w:rsid w:val="00605AC3"/>
    <w:rsid w:val="00606908"/>
    <w:rsid w:val="00606B13"/>
    <w:rsid w:val="0060724E"/>
    <w:rsid w:val="00607996"/>
    <w:rsid w:val="00607A37"/>
    <w:rsid w:val="00607E0A"/>
    <w:rsid w:val="00607E9F"/>
    <w:rsid w:val="0061085E"/>
    <w:rsid w:val="00611142"/>
    <w:rsid w:val="00611398"/>
    <w:rsid w:val="00612322"/>
    <w:rsid w:val="006123C0"/>
    <w:rsid w:val="00612550"/>
    <w:rsid w:val="00612570"/>
    <w:rsid w:val="00612DF1"/>
    <w:rsid w:val="006130D4"/>
    <w:rsid w:val="00613191"/>
    <w:rsid w:val="006133F9"/>
    <w:rsid w:val="006134B3"/>
    <w:rsid w:val="00613766"/>
    <w:rsid w:val="00613DE1"/>
    <w:rsid w:val="0061401F"/>
    <w:rsid w:val="00614166"/>
    <w:rsid w:val="00614771"/>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1E42"/>
    <w:rsid w:val="00622470"/>
    <w:rsid w:val="00622725"/>
    <w:rsid w:val="00622F49"/>
    <w:rsid w:val="00622FC3"/>
    <w:rsid w:val="006231AA"/>
    <w:rsid w:val="00623482"/>
    <w:rsid w:val="00623AC2"/>
    <w:rsid w:val="00623EBC"/>
    <w:rsid w:val="00624034"/>
    <w:rsid w:val="006244CF"/>
    <w:rsid w:val="00624606"/>
    <w:rsid w:val="006266D7"/>
    <w:rsid w:val="0062698D"/>
    <w:rsid w:val="00626D42"/>
    <w:rsid w:val="00626EE3"/>
    <w:rsid w:val="00626FCA"/>
    <w:rsid w:val="006274AD"/>
    <w:rsid w:val="00627519"/>
    <w:rsid w:val="00627532"/>
    <w:rsid w:val="00627652"/>
    <w:rsid w:val="00627669"/>
    <w:rsid w:val="006302AA"/>
    <w:rsid w:val="006310C3"/>
    <w:rsid w:val="0063143E"/>
    <w:rsid w:val="0063161E"/>
    <w:rsid w:val="00631BB5"/>
    <w:rsid w:val="00631DD0"/>
    <w:rsid w:val="006323D3"/>
    <w:rsid w:val="006332EC"/>
    <w:rsid w:val="006334D8"/>
    <w:rsid w:val="00633DBF"/>
    <w:rsid w:val="00634122"/>
    <w:rsid w:val="00634261"/>
    <w:rsid w:val="006343F1"/>
    <w:rsid w:val="0063502A"/>
    <w:rsid w:val="00635D25"/>
    <w:rsid w:val="00635E00"/>
    <w:rsid w:val="00635E32"/>
    <w:rsid w:val="006360FC"/>
    <w:rsid w:val="006364DB"/>
    <w:rsid w:val="006365DE"/>
    <w:rsid w:val="00636BE4"/>
    <w:rsid w:val="00636D1C"/>
    <w:rsid w:val="00636F88"/>
    <w:rsid w:val="0063732C"/>
    <w:rsid w:val="00637802"/>
    <w:rsid w:val="00637836"/>
    <w:rsid w:val="00637C26"/>
    <w:rsid w:val="00637F44"/>
    <w:rsid w:val="00641078"/>
    <w:rsid w:val="00641242"/>
    <w:rsid w:val="00642A32"/>
    <w:rsid w:val="006433D5"/>
    <w:rsid w:val="00643412"/>
    <w:rsid w:val="00643416"/>
    <w:rsid w:val="00643796"/>
    <w:rsid w:val="006445C1"/>
    <w:rsid w:val="00644BD9"/>
    <w:rsid w:val="00645099"/>
    <w:rsid w:val="00645693"/>
    <w:rsid w:val="00645CEB"/>
    <w:rsid w:val="00645E6E"/>
    <w:rsid w:val="00646B20"/>
    <w:rsid w:val="00646D0F"/>
    <w:rsid w:val="00646F39"/>
    <w:rsid w:val="00647A36"/>
    <w:rsid w:val="00647DCC"/>
    <w:rsid w:val="00647EFA"/>
    <w:rsid w:val="00647F14"/>
    <w:rsid w:val="00650027"/>
    <w:rsid w:val="006505BE"/>
    <w:rsid w:val="00651B35"/>
    <w:rsid w:val="00651B9C"/>
    <w:rsid w:val="00651C47"/>
    <w:rsid w:val="00652C71"/>
    <w:rsid w:val="00652E70"/>
    <w:rsid w:val="0065339A"/>
    <w:rsid w:val="00653469"/>
    <w:rsid w:val="006540D6"/>
    <w:rsid w:val="00654971"/>
    <w:rsid w:val="00654A38"/>
    <w:rsid w:val="00655301"/>
    <w:rsid w:val="00655371"/>
    <w:rsid w:val="0065548D"/>
    <w:rsid w:val="00655507"/>
    <w:rsid w:val="00655D10"/>
    <w:rsid w:val="00656C4B"/>
    <w:rsid w:val="006573EA"/>
    <w:rsid w:val="0065791C"/>
    <w:rsid w:val="00660342"/>
    <w:rsid w:val="0066073F"/>
    <w:rsid w:val="00661029"/>
    <w:rsid w:val="0066135A"/>
    <w:rsid w:val="00661A38"/>
    <w:rsid w:val="00662004"/>
    <w:rsid w:val="0066272D"/>
    <w:rsid w:val="00662E58"/>
    <w:rsid w:val="00662F39"/>
    <w:rsid w:val="006635A0"/>
    <w:rsid w:val="00664351"/>
    <w:rsid w:val="00664FA8"/>
    <w:rsid w:val="00665968"/>
    <w:rsid w:val="00665BF7"/>
    <w:rsid w:val="00665DF9"/>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0F76"/>
    <w:rsid w:val="0067105C"/>
    <w:rsid w:val="00671B38"/>
    <w:rsid w:val="006727FE"/>
    <w:rsid w:val="00672E80"/>
    <w:rsid w:val="0067333F"/>
    <w:rsid w:val="006739E4"/>
    <w:rsid w:val="00673AE1"/>
    <w:rsid w:val="00673ECF"/>
    <w:rsid w:val="0067426B"/>
    <w:rsid w:val="0067454E"/>
    <w:rsid w:val="006749F5"/>
    <w:rsid w:val="00674A1B"/>
    <w:rsid w:val="00674F1C"/>
    <w:rsid w:val="0067519F"/>
    <w:rsid w:val="006754F8"/>
    <w:rsid w:val="00675A4C"/>
    <w:rsid w:val="00676127"/>
    <w:rsid w:val="00676866"/>
    <w:rsid w:val="00676AED"/>
    <w:rsid w:val="00677CAD"/>
    <w:rsid w:val="00677E9C"/>
    <w:rsid w:val="00677F26"/>
    <w:rsid w:val="00677F75"/>
    <w:rsid w:val="00677F92"/>
    <w:rsid w:val="006800EE"/>
    <w:rsid w:val="00680297"/>
    <w:rsid w:val="006802A7"/>
    <w:rsid w:val="00680F3E"/>
    <w:rsid w:val="006811C9"/>
    <w:rsid w:val="006812CE"/>
    <w:rsid w:val="00681FD5"/>
    <w:rsid w:val="006826B1"/>
    <w:rsid w:val="006826C1"/>
    <w:rsid w:val="00682C89"/>
    <w:rsid w:val="00682EC1"/>
    <w:rsid w:val="006832B8"/>
    <w:rsid w:val="006837B2"/>
    <w:rsid w:val="00683800"/>
    <w:rsid w:val="0068408B"/>
    <w:rsid w:val="00684462"/>
    <w:rsid w:val="006846D7"/>
    <w:rsid w:val="006847B7"/>
    <w:rsid w:val="0068482E"/>
    <w:rsid w:val="00684C8A"/>
    <w:rsid w:val="00684CF5"/>
    <w:rsid w:val="006853B5"/>
    <w:rsid w:val="0068553E"/>
    <w:rsid w:val="00685DD1"/>
    <w:rsid w:val="00685E7B"/>
    <w:rsid w:val="00686447"/>
    <w:rsid w:val="00686551"/>
    <w:rsid w:val="006866B4"/>
    <w:rsid w:val="00686CAB"/>
    <w:rsid w:val="00686E4D"/>
    <w:rsid w:val="0068717F"/>
    <w:rsid w:val="0068730C"/>
    <w:rsid w:val="00687504"/>
    <w:rsid w:val="006877A1"/>
    <w:rsid w:val="00687A14"/>
    <w:rsid w:val="00687A8C"/>
    <w:rsid w:val="00690839"/>
    <w:rsid w:val="006908DB"/>
    <w:rsid w:val="00690DE9"/>
    <w:rsid w:val="00691DE9"/>
    <w:rsid w:val="00691EAA"/>
    <w:rsid w:val="00692172"/>
    <w:rsid w:val="00692245"/>
    <w:rsid w:val="00692FFA"/>
    <w:rsid w:val="00693772"/>
    <w:rsid w:val="00693984"/>
    <w:rsid w:val="00693B77"/>
    <w:rsid w:val="00694160"/>
    <w:rsid w:val="0069529C"/>
    <w:rsid w:val="006959A5"/>
    <w:rsid w:val="00695C0C"/>
    <w:rsid w:val="0069613A"/>
    <w:rsid w:val="00696736"/>
    <w:rsid w:val="00696A05"/>
    <w:rsid w:val="00697584"/>
    <w:rsid w:val="00697665"/>
    <w:rsid w:val="006979BF"/>
    <w:rsid w:val="00697C9A"/>
    <w:rsid w:val="00697E68"/>
    <w:rsid w:val="00697FC1"/>
    <w:rsid w:val="006A0274"/>
    <w:rsid w:val="006A0FDD"/>
    <w:rsid w:val="006A103E"/>
    <w:rsid w:val="006A20F3"/>
    <w:rsid w:val="006A21BC"/>
    <w:rsid w:val="006A27BC"/>
    <w:rsid w:val="006A2A43"/>
    <w:rsid w:val="006A2BEE"/>
    <w:rsid w:val="006A2BF1"/>
    <w:rsid w:val="006A2F6D"/>
    <w:rsid w:val="006A2F9A"/>
    <w:rsid w:val="006A34E4"/>
    <w:rsid w:val="006A39CC"/>
    <w:rsid w:val="006A3A5A"/>
    <w:rsid w:val="006A44CF"/>
    <w:rsid w:val="006A457D"/>
    <w:rsid w:val="006A4C06"/>
    <w:rsid w:val="006A55EE"/>
    <w:rsid w:val="006A575B"/>
    <w:rsid w:val="006A57FA"/>
    <w:rsid w:val="006A59DE"/>
    <w:rsid w:val="006A5A3C"/>
    <w:rsid w:val="006A64C6"/>
    <w:rsid w:val="006A6655"/>
    <w:rsid w:val="006A6B6B"/>
    <w:rsid w:val="006A6BF9"/>
    <w:rsid w:val="006A7CB5"/>
    <w:rsid w:val="006A7FD0"/>
    <w:rsid w:val="006B0051"/>
    <w:rsid w:val="006B00E4"/>
    <w:rsid w:val="006B025C"/>
    <w:rsid w:val="006B08ED"/>
    <w:rsid w:val="006B0BFD"/>
    <w:rsid w:val="006B1686"/>
    <w:rsid w:val="006B2534"/>
    <w:rsid w:val="006B2A05"/>
    <w:rsid w:val="006B2CB2"/>
    <w:rsid w:val="006B347D"/>
    <w:rsid w:val="006B3E19"/>
    <w:rsid w:val="006B4488"/>
    <w:rsid w:val="006B49FC"/>
    <w:rsid w:val="006B50C4"/>
    <w:rsid w:val="006B53AE"/>
    <w:rsid w:val="006B58B4"/>
    <w:rsid w:val="006B67AC"/>
    <w:rsid w:val="006B69BC"/>
    <w:rsid w:val="006B6ECF"/>
    <w:rsid w:val="006B6EE4"/>
    <w:rsid w:val="006B786A"/>
    <w:rsid w:val="006B7E4E"/>
    <w:rsid w:val="006C003A"/>
    <w:rsid w:val="006C0860"/>
    <w:rsid w:val="006C107C"/>
    <w:rsid w:val="006C1BA5"/>
    <w:rsid w:val="006C1C01"/>
    <w:rsid w:val="006C2454"/>
    <w:rsid w:val="006C2518"/>
    <w:rsid w:val="006C2551"/>
    <w:rsid w:val="006C37CA"/>
    <w:rsid w:val="006C3886"/>
    <w:rsid w:val="006C40D2"/>
    <w:rsid w:val="006C4273"/>
    <w:rsid w:val="006C4BBD"/>
    <w:rsid w:val="006C50FA"/>
    <w:rsid w:val="006C5B15"/>
    <w:rsid w:val="006C5D32"/>
    <w:rsid w:val="006C5DCB"/>
    <w:rsid w:val="006C6475"/>
    <w:rsid w:val="006C698D"/>
    <w:rsid w:val="006C6C54"/>
    <w:rsid w:val="006C70C4"/>
    <w:rsid w:val="006C71AD"/>
    <w:rsid w:val="006C741F"/>
    <w:rsid w:val="006D04DA"/>
    <w:rsid w:val="006D080E"/>
    <w:rsid w:val="006D10F6"/>
    <w:rsid w:val="006D1544"/>
    <w:rsid w:val="006D1688"/>
    <w:rsid w:val="006D1DD3"/>
    <w:rsid w:val="006D1FF3"/>
    <w:rsid w:val="006D2410"/>
    <w:rsid w:val="006D265A"/>
    <w:rsid w:val="006D2C65"/>
    <w:rsid w:val="006D2D0E"/>
    <w:rsid w:val="006D32C6"/>
    <w:rsid w:val="006D3491"/>
    <w:rsid w:val="006D360E"/>
    <w:rsid w:val="006D3697"/>
    <w:rsid w:val="006D39D2"/>
    <w:rsid w:val="006D3F2A"/>
    <w:rsid w:val="006D41A9"/>
    <w:rsid w:val="006D4370"/>
    <w:rsid w:val="006D46A3"/>
    <w:rsid w:val="006D5DAB"/>
    <w:rsid w:val="006D62E0"/>
    <w:rsid w:val="006D658F"/>
    <w:rsid w:val="006D6A12"/>
    <w:rsid w:val="006D6E5E"/>
    <w:rsid w:val="006D6F4D"/>
    <w:rsid w:val="006D712D"/>
    <w:rsid w:val="006D741C"/>
    <w:rsid w:val="006D7687"/>
    <w:rsid w:val="006D784A"/>
    <w:rsid w:val="006D7CF3"/>
    <w:rsid w:val="006D7D1F"/>
    <w:rsid w:val="006D7D8A"/>
    <w:rsid w:val="006E0572"/>
    <w:rsid w:val="006E05D8"/>
    <w:rsid w:val="006E08EE"/>
    <w:rsid w:val="006E1217"/>
    <w:rsid w:val="006E155A"/>
    <w:rsid w:val="006E2C34"/>
    <w:rsid w:val="006E2F7F"/>
    <w:rsid w:val="006E359B"/>
    <w:rsid w:val="006E37F2"/>
    <w:rsid w:val="006E39D1"/>
    <w:rsid w:val="006E3B05"/>
    <w:rsid w:val="006E437F"/>
    <w:rsid w:val="006E4D5B"/>
    <w:rsid w:val="006E5EEB"/>
    <w:rsid w:val="006E602F"/>
    <w:rsid w:val="006E6720"/>
    <w:rsid w:val="006E68AE"/>
    <w:rsid w:val="006E7275"/>
    <w:rsid w:val="006E77B8"/>
    <w:rsid w:val="006F08AD"/>
    <w:rsid w:val="006F08B2"/>
    <w:rsid w:val="006F13BA"/>
    <w:rsid w:val="006F15CC"/>
    <w:rsid w:val="006F15F6"/>
    <w:rsid w:val="006F273C"/>
    <w:rsid w:val="006F2BA2"/>
    <w:rsid w:val="006F2E84"/>
    <w:rsid w:val="006F36EA"/>
    <w:rsid w:val="006F3C27"/>
    <w:rsid w:val="006F4147"/>
    <w:rsid w:val="006F4315"/>
    <w:rsid w:val="006F4CB0"/>
    <w:rsid w:val="006F4E65"/>
    <w:rsid w:val="006F4F78"/>
    <w:rsid w:val="006F547E"/>
    <w:rsid w:val="006F59C7"/>
    <w:rsid w:val="006F5CCF"/>
    <w:rsid w:val="006F60F8"/>
    <w:rsid w:val="006F6E67"/>
    <w:rsid w:val="006F6F04"/>
    <w:rsid w:val="006F71F5"/>
    <w:rsid w:val="006F7924"/>
    <w:rsid w:val="00700610"/>
    <w:rsid w:val="00700B9C"/>
    <w:rsid w:val="007011B6"/>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4F"/>
    <w:rsid w:val="007101B7"/>
    <w:rsid w:val="00710668"/>
    <w:rsid w:val="007110F4"/>
    <w:rsid w:val="007112B1"/>
    <w:rsid w:val="0071130F"/>
    <w:rsid w:val="00711612"/>
    <w:rsid w:val="007119F3"/>
    <w:rsid w:val="00711CF1"/>
    <w:rsid w:val="00712714"/>
    <w:rsid w:val="007129AB"/>
    <w:rsid w:val="00712B63"/>
    <w:rsid w:val="00712CBB"/>
    <w:rsid w:val="00713526"/>
    <w:rsid w:val="007136E4"/>
    <w:rsid w:val="00713FC5"/>
    <w:rsid w:val="007149EE"/>
    <w:rsid w:val="00714DCA"/>
    <w:rsid w:val="00714F38"/>
    <w:rsid w:val="007159F5"/>
    <w:rsid w:val="00715BBF"/>
    <w:rsid w:val="00715C29"/>
    <w:rsid w:val="00715CBD"/>
    <w:rsid w:val="00715EAA"/>
    <w:rsid w:val="00716963"/>
    <w:rsid w:val="00716CAD"/>
    <w:rsid w:val="00716F01"/>
    <w:rsid w:val="00716F18"/>
    <w:rsid w:val="00717347"/>
    <w:rsid w:val="00717363"/>
    <w:rsid w:val="00717786"/>
    <w:rsid w:val="00717ACB"/>
    <w:rsid w:val="00720AB3"/>
    <w:rsid w:val="0072118A"/>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2B8"/>
    <w:rsid w:val="00726603"/>
    <w:rsid w:val="00727B1D"/>
    <w:rsid w:val="00727DDC"/>
    <w:rsid w:val="00730CD6"/>
    <w:rsid w:val="00730F74"/>
    <w:rsid w:val="0073114B"/>
    <w:rsid w:val="0073196D"/>
    <w:rsid w:val="007319F6"/>
    <w:rsid w:val="007319FA"/>
    <w:rsid w:val="00731FD7"/>
    <w:rsid w:val="00732151"/>
    <w:rsid w:val="0073223D"/>
    <w:rsid w:val="00732415"/>
    <w:rsid w:val="00732FAE"/>
    <w:rsid w:val="007333AF"/>
    <w:rsid w:val="007338C5"/>
    <w:rsid w:val="00734106"/>
    <w:rsid w:val="00734952"/>
    <w:rsid w:val="00734990"/>
    <w:rsid w:val="00734FF5"/>
    <w:rsid w:val="00735B78"/>
    <w:rsid w:val="00735CF5"/>
    <w:rsid w:val="00735DA7"/>
    <w:rsid w:val="007368B4"/>
    <w:rsid w:val="007370F9"/>
    <w:rsid w:val="007378E0"/>
    <w:rsid w:val="00737D92"/>
    <w:rsid w:val="00740529"/>
    <w:rsid w:val="00740876"/>
    <w:rsid w:val="00741358"/>
    <w:rsid w:val="00741626"/>
    <w:rsid w:val="00742332"/>
    <w:rsid w:val="00742595"/>
    <w:rsid w:val="00742886"/>
    <w:rsid w:val="00742DD2"/>
    <w:rsid w:val="00742F60"/>
    <w:rsid w:val="00743095"/>
    <w:rsid w:val="007437C6"/>
    <w:rsid w:val="007440CB"/>
    <w:rsid w:val="007441A2"/>
    <w:rsid w:val="00744E80"/>
    <w:rsid w:val="00745035"/>
    <w:rsid w:val="0074531C"/>
    <w:rsid w:val="00745547"/>
    <w:rsid w:val="00745548"/>
    <w:rsid w:val="007459D0"/>
    <w:rsid w:val="00745A1E"/>
    <w:rsid w:val="00745F81"/>
    <w:rsid w:val="0074608B"/>
    <w:rsid w:val="0074623A"/>
    <w:rsid w:val="00746420"/>
    <w:rsid w:val="0074651B"/>
    <w:rsid w:val="00746A60"/>
    <w:rsid w:val="00746E04"/>
    <w:rsid w:val="00746E08"/>
    <w:rsid w:val="00746E3D"/>
    <w:rsid w:val="007473B9"/>
    <w:rsid w:val="007473D5"/>
    <w:rsid w:val="0074740B"/>
    <w:rsid w:val="00747C96"/>
    <w:rsid w:val="00750075"/>
    <w:rsid w:val="007502EC"/>
    <w:rsid w:val="00750382"/>
    <w:rsid w:val="0075094E"/>
    <w:rsid w:val="00750FA8"/>
    <w:rsid w:val="00750FB5"/>
    <w:rsid w:val="007519B0"/>
    <w:rsid w:val="007520F0"/>
    <w:rsid w:val="007522E8"/>
    <w:rsid w:val="00753BAC"/>
    <w:rsid w:val="00753E9B"/>
    <w:rsid w:val="00754A0B"/>
    <w:rsid w:val="007552DB"/>
    <w:rsid w:val="00755920"/>
    <w:rsid w:val="00755B08"/>
    <w:rsid w:val="00755DD0"/>
    <w:rsid w:val="007563D0"/>
    <w:rsid w:val="0075647A"/>
    <w:rsid w:val="0075653F"/>
    <w:rsid w:val="0075666A"/>
    <w:rsid w:val="00756A2F"/>
    <w:rsid w:val="007573E1"/>
    <w:rsid w:val="0075749E"/>
    <w:rsid w:val="00757722"/>
    <w:rsid w:val="00757B2D"/>
    <w:rsid w:val="00757BAD"/>
    <w:rsid w:val="00757D62"/>
    <w:rsid w:val="00760021"/>
    <w:rsid w:val="00760429"/>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742"/>
    <w:rsid w:val="00763805"/>
    <w:rsid w:val="00763E0E"/>
    <w:rsid w:val="0076445F"/>
    <w:rsid w:val="00764EC5"/>
    <w:rsid w:val="00764F2E"/>
    <w:rsid w:val="00765BCA"/>
    <w:rsid w:val="00766A4A"/>
    <w:rsid w:val="00766ECC"/>
    <w:rsid w:val="007672F3"/>
    <w:rsid w:val="007677B5"/>
    <w:rsid w:val="007678B1"/>
    <w:rsid w:val="00767AF9"/>
    <w:rsid w:val="00767F6E"/>
    <w:rsid w:val="00770093"/>
    <w:rsid w:val="007703DB"/>
    <w:rsid w:val="00770632"/>
    <w:rsid w:val="00770690"/>
    <w:rsid w:val="007708A8"/>
    <w:rsid w:val="00771EE8"/>
    <w:rsid w:val="00772100"/>
    <w:rsid w:val="00772275"/>
    <w:rsid w:val="00772752"/>
    <w:rsid w:val="007731FA"/>
    <w:rsid w:val="007734E4"/>
    <w:rsid w:val="0077380D"/>
    <w:rsid w:val="00773BC8"/>
    <w:rsid w:val="00773EA9"/>
    <w:rsid w:val="0077466F"/>
    <w:rsid w:val="007752B7"/>
    <w:rsid w:val="007759A8"/>
    <w:rsid w:val="00775C27"/>
    <w:rsid w:val="00775D98"/>
    <w:rsid w:val="00776DBF"/>
    <w:rsid w:val="00776FE5"/>
    <w:rsid w:val="00777101"/>
    <w:rsid w:val="007774E7"/>
    <w:rsid w:val="0077768C"/>
    <w:rsid w:val="00777696"/>
    <w:rsid w:val="00777897"/>
    <w:rsid w:val="00777FF4"/>
    <w:rsid w:val="0078022F"/>
    <w:rsid w:val="00780251"/>
    <w:rsid w:val="007804FE"/>
    <w:rsid w:val="00780F32"/>
    <w:rsid w:val="00781004"/>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23D"/>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908"/>
    <w:rsid w:val="00796DC8"/>
    <w:rsid w:val="00796E80"/>
    <w:rsid w:val="0079744F"/>
    <w:rsid w:val="00797467"/>
    <w:rsid w:val="007979AD"/>
    <w:rsid w:val="00797A9C"/>
    <w:rsid w:val="007A00FA"/>
    <w:rsid w:val="007A02DD"/>
    <w:rsid w:val="007A0EAB"/>
    <w:rsid w:val="007A2341"/>
    <w:rsid w:val="007A2754"/>
    <w:rsid w:val="007A2932"/>
    <w:rsid w:val="007A38A1"/>
    <w:rsid w:val="007A3BBE"/>
    <w:rsid w:val="007A464E"/>
    <w:rsid w:val="007A4766"/>
    <w:rsid w:val="007A4947"/>
    <w:rsid w:val="007A5747"/>
    <w:rsid w:val="007A5947"/>
    <w:rsid w:val="007A595F"/>
    <w:rsid w:val="007A5C22"/>
    <w:rsid w:val="007A5DB3"/>
    <w:rsid w:val="007A6526"/>
    <w:rsid w:val="007A717B"/>
    <w:rsid w:val="007B0313"/>
    <w:rsid w:val="007B0854"/>
    <w:rsid w:val="007B0E48"/>
    <w:rsid w:val="007B1D1B"/>
    <w:rsid w:val="007B2086"/>
    <w:rsid w:val="007B303E"/>
    <w:rsid w:val="007B32C0"/>
    <w:rsid w:val="007B32F7"/>
    <w:rsid w:val="007B334C"/>
    <w:rsid w:val="007B3659"/>
    <w:rsid w:val="007B38B5"/>
    <w:rsid w:val="007B3BF3"/>
    <w:rsid w:val="007B431B"/>
    <w:rsid w:val="007B4558"/>
    <w:rsid w:val="007B4617"/>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598"/>
    <w:rsid w:val="007C1672"/>
    <w:rsid w:val="007C29A0"/>
    <w:rsid w:val="007C2EA7"/>
    <w:rsid w:val="007C2F60"/>
    <w:rsid w:val="007C312A"/>
    <w:rsid w:val="007C3209"/>
    <w:rsid w:val="007C338A"/>
    <w:rsid w:val="007C34A9"/>
    <w:rsid w:val="007C3570"/>
    <w:rsid w:val="007C3DD4"/>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94A"/>
    <w:rsid w:val="007D5DE8"/>
    <w:rsid w:val="007D6E16"/>
    <w:rsid w:val="007D6FE9"/>
    <w:rsid w:val="007D7CFC"/>
    <w:rsid w:val="007E0812"/>
    <w:rsid w:val="007E18DF"/>
    <w:rsid w:val="007E22B2"/>
    <w:rsid w:val="007E2C36"/>
    <w:rsid w:val="007E3309"/>
    <w:rsid w:val="007E350D"/>
    <w:rsid w:val="007E3ACA"/>
    <w:rsid w:val="007E4D7B"/>
    <w:rsid w:val="007E4EC4"/>
    <w:rsid w:val="007E564D"/>
    <w:rsid w:val="007E5C4A"/>
    <w:rsid w:val="007E5D18"/>
    <w:rsid w:val="007E64D4"/>
    <w:rsid w:val="007E66E9"/>
    <w:rsid w:val="007E69F2"/>
    <w:rsid w:val="007E7432"/>
    <w:rsid w:val="007E74BF"/>
    <w:rsid w:val="007F063B"/>
    <w:rsid w:val="007F14D3"/>
    <w:rsid w:val="007F160A"/>
    <w:rsid w:val="007F1D9D"/>
    <w:rsid w:val="007F1E28"/>
    <w:rsid w:val="007F1F63"/>
    <w:rsid w:val="007F22A0"/>
    <w:rsid w:val="007F2903"/>
    <w:rsid w:val="007F2F90"/>
    <w:rsid w:val="007F3320"/>
    <w:rsid w:val="007F382B"/>
    <w:rsid w:val="007F3AC1"/>
    <w:rsid w:val="007F42AF"/>
    <w:rsid w:val="007F4976"/>
    <w:rsid w:val="007F4BB8"/>
    <w:rsid w:val="007F52AF"/>
    <w:rsid w:val="007F55F7"/>
    <w:rsid w:val="007F561C"/>
    <w:rsid w:val="007F5A56"/>
    <w:rsid w:val="007F616E"/>
    <w:rsid w:val="007F6B46"/>
    <w:rsid w:val="007F72CB"/>
    <w:rsid w:val="007F736A"/>
    <w:rsid w:val="007F7635"/>
    <w:rsid w:val="007F785F"/>
    <w:rsid w:val="007F7961"/>
    <w:rsid w:val="007F7AF6"/>
    <w:rsid w:val="007F7B36"/>
    <w:rsid w:val="007F7CC8"/>
    <w:rsid w:val="007F7E36"/>
    <w:rsid w:val="007F7F8E"/>
    <w:rsid w:val="00800295"/>
    <w:rsid w:val="00800B4D"/>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8E3"/>
    <w:rsid w:val="00814C2C"/>
    <w:rsid w:val="0081513E"/>
    <w:rsid w:val="008154AF"/>
    <w:rsid w:val="00815DA5"/>
    <w:rsid w:val="00816221"/>
    <w:rsid w:val="00817063"/>
    <w:rsid w:val="00817500"/>
    <w:rsid w:val="0081766B"/>
    <w:rsid w:val="00817D03"/>
    <w:rsid w:val="00820094"/>
    <w:rsid w:val="00820579"/>
    <w:rsid w:val="00820705"/>
    <w:rsid w:val="00820BA7"/>
    <w:rsid w:val="00820CBF"/>
    <w:rsid w:val="00820DBC"/>
    <w:rsid w:val="00820FA8"/>
    <w:rsid w:val="008212FD"/>
    <w:rsid w:val="00821489"/>
    <w:rsid w:val="008217B7"/>
    <w:rsid w:val="00822123"/>
    <w:rsid w:val="0082239B"/>
    <w:rsid w:val="008227CD"/>
    <w:rsid w:val="0082292E"/>
    <w:rsid w:val="00822D06"/>
    <w:rsid w:val="00822EC4"/>
    <w:rsid w:val="00823452"/>
    <w:rsid w:val="0082348D"/>
    <w:rsid w:val="008235ED"/>
    <w:rsid w:val="00823624"/>
    <w:rsid w:val="008236BE"/>
    <w:rsid w:val="008241CE"/>
    <w:rsid w:val="00825136"/>
    <w:rsid w:val="008251BA"/>
    <w:rsid w:val="00825240"/>
    <w:rsid w:val="00825625"/>
    <w:rsid w:val="00825B43"/>
    <w:rsid w:val="00826094"/>
    <w:rsid w:val="00826F71"/>
    <w:rsid w:val="00827CC0"/>
    <w:rsid w:val="00831026"/>
    <w:rsid w:val="0083119B"/>
    <w:rsid w:val="008314AD"/>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7E8"/>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07"/>
    <w:rsid w:val="008444F0"/>
    <w:rsid w:val="00844CC1"/>
    <w:rsid w:val="00844D4F"/>
    <w:rsid w:val="00845AE3"/>
    <w:rsid w:val="008466A0"/>
    <w:rsid w:val="00847535"/>
    <w:rsid w:val="00847B6D"/>
    <w:rsid w:val="00850172"/>
    <w:rsid w:val="0085092D"/>
    <w:rsid w:val="00850C6C"/>
    <w:rsid w:val="00850C79"/>
    <w:rsid w:val="00850D82"/>
    <w:rsid w:val="00850F79"/>
    <w:rsid w:val="0085100B"/>
    <w:rsid w:val="0085296E"/>
    <w:rsid w:val="00852C43"/>
    <w:rsid w:val="0085304C"/>
    <w:rsid w:val="008536BB"/>
    <w:rsid w:val="00853A3C"/>
    <w:rsid w:val="00854041"/>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47C9"/>
    <w:rsid w:val="008650BE"/>
    <w:rsid w:val="008659CD"/>
    <w:rsid w:val="0086633B"/>
    <w:rsid w:val="00866495"/>
    <w:rsid w:val="008667E0"/>
    <w:rsid w:val="00866866"/>
    <w:rsid w:val="00866881"/>
    <w:rsid w:val="00866931"/>
    <w:rsid w:val="00866AAA"/>
    <w:rsid w:val="00866ADC"/>
    <w:rsid w:val="00867512"/>
    <w:rsid w:val="008678A3"/>
    <w:rsid w:val="00867C13"/>
    <w:rsid w:val="00867C1D"/>
    <w:rsid w:val="0087033C"/>
    <w:rsid w:val="00870A84"/>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65D"/>
    <w:rsid w:val="00876815"/>
    <w:rsid w:val="00876C0C"/>
    <w:rsid w:val="00876F10"/>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B9E"/>
    <w:rsid w:val="00887C79"/>
    <w:rsid w:val="00887C8A"/>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C1"/>
    <w:rsid w:val="008A07D5"/>
    <w:rsid w:val="008A12C9"/>
    <w:rsid w:val="008A187A"/>
    <w:rsid w:val="008A1FB7"/>
    <w:rsid w:val="008A229A"/>
    <w:rsid w:val="008A2535"/>
    <w:rsid w:val="008A2A23"/>
    <w:rsid w:val="008A2AF5"/>
    <w:rsid w:val="008A2B5A"/>
    <w:rsid w:val="008A34D3"/>
    <w:rsid w:val="008A3F9D"/>
    <w:rsid w:val="008A4799"/>
    <w:rsid w:val="008A4AFC"/>
    <w:rsid w:val="008A511F"/>
    <w:rsid w:val="008A517B"/>
    <w:rsid w:val="008A5474"/>
    <w:rsid w:val="008A5C9A"/>
    <w:rsid w:val="008A6005"/>
    <w:rsid w:val="008A614F"/>
    <w:rsid w:val="008A6273"/>
    <w:rsid w:val="008A6A55"/>
    <w:rsid w:val="008A6DF0"/>
    <w:rsid w:val="008A6F6E"/>
    <w:rsid w:val="008A720F"/>
    <w:rsid w:val="008A7888"/>
    <w:rsid w:val="008A796E"/>
    <w:rsid w:val="008B0862"/>
    <w:rsid w:val="008B088C"/>
    <w:rsid w:val="008B1475"/>
    <w:rsid w:val="008B1BF5"/>
    <w:rsid w:val="008B20E2"/>
    <w:rsid w:val="008B2332"/>
    <w:rsid w:val="008B263F"/>
    <w:rsid w:val="008B3045"/>
    <w:rsid w:val="008B3544"/>
    <w:rsid w:val="008B47A6"/>
    <w:rsid w:val="008B559F"/>
    <w:rsid w:val="008B5E48"/>
    <w:rsid w:val="008B5F43"/>
    <w:rsid w:val="008B672C"/>
    <w:rsid w:val="008B6B42"/>
    <w:rsid w:val="008B6B8E"/>
    <w:rsid w:val="008B7234"/>
    <w:rsid w:val="008C00B0"/>
    <w:rsid w:val="008C065F"/>
    <w:rsid w:val="008C0743"/>
    <w:rsid w:val="008C0B4C"/>
    <w:rsid w:val="008C0E3D"/>
    <w:rsid w:val="008C11F0"/>
    <w:rsid w:val="008C1DBA"/>
    <w:rsid w:val="008C24E7"/>
    <w:rsid w:val="008C2500"/>
    <w:rsid w:val="008C2CAC"/>
    <w:rsid w:val="008C2D70"/>
    <w:rsid w:val="008C3C57"/>
    <w:rsid w:val="008C3E2A"/>
    <w:rsid w:val="008C45A3"/>
    <w:rsid w:val="008C45BD"/>
    <w:rsid w:val="008C4B19"/>
    <w:rsid w:val="008C62D4"/>
    <w:rsid w:val="008C6B89"/>
    <w:rsid w:val="008D15DB"/>
    <w:rsid w:val="008D18AA"/>
    <w:rsid w:val="008D18E2"/>
    <w:rsid w:val="008D1A2A"/>
    <w:rsid w:val="008D1ADE"/>
    <w:rsid w:val="008D27C5"/>
    <w:rsid w:val="008D2A01"/>
    <w:rsid w:val="008D32B6"/>
    <w:rsid w:val="008D35D9"/>
    <w:rsid w:val="008D3B79"/>
    <w:rsid w:val="008D3B85"/>
    <w:rsid w:val="008D417D"/>
    <w:rsid w:val="008D462D"/>
    <w:rsid w:val="008D4645"/>
    <w:rsid w:val="008D510F"/>
    <w:rsid w:val="008D560B"/>
    <w:rsid w:val="008D5EC6"/>
    <w:rsid w:val="008D6084"/>
    <w:rsid w:val="008D63B5"/>
    <w:rsid w:val="008D64AC"/>
    <w:rsid w:val="008D66CA"/>
    <w:rsid w:val="008D69B1"/>
    <w:rsid w:val="008D7338"/>
    <w:rsid w:val="008D785E"/>
    <w:rsid w:val="008D7EE4"/>
    <w:rsid w:val="008E0012"/>
    <w:rsid w:val="008E0952"/>
    <w:rsid w:val="008E09FE"/>
    <w:rsid w:val="008E0DF7"/>
    <w:rsid w:val="008E0FAD"/>
    <w:rsid w:val="008E1177"/>
    <w:rsid w:val="008E11E4"/>
    <w:rsid w:val="008E1252"/>
    <w:rsid w:val="008E1347"/>
    <w:rsid w:val="008E16E0"/>
    <w:rsid w:val="008E1C15"/>
    <w:rsid w:val="008E1C9A"/>
    <w:rsid w:val="008E2134"/>
    <w:rsid w:val="008E2709"/>
    <w:rsid w:val="008E28BD"/>
    <w:rsid w:val="008E30C4"/>
    <w:rsid w:val="008E30D0"/>
    <w:rsid w:val="008E331C"/>
    <w:rsid w:val="008E38B4"/>
    <w:rsid w:val="008E3BA4"/>
    <w:rsid w:val="008E44AB"/>
    <w:rsid w:val="008E4F5E"/>
    <w:rsid w:val="008E4FB1"/>
    <w:rsid w:val="008E5179"/>
    <w:rsid w:val="008E57FE"/>
    <w:rsid w:val="008E6598"/>
    <w:rsid w:val="008E7214"/>
    <w:rsid w:val="008E7884"/>
    <w:rsid w:val="008E7D6E"/>
    <w:rsid w:val="008F1056"/>
    <w:rsid w:val="008F2977"/>
    <w:rsid w:val="008F2E8D"/>
    <w:rsid w:val="008F361D"/>
    <w:rsid w:val="008F387B"/>
    <w:rsid w:val="008F3DD9"/>
    <w:rsid w:val="008F42F1"/>
    <w:rsid w:val="008F46E0"/>
    <w:rsid w:val="008F4814"/>
    <w:rsid w:val="008F4A67"/>
    <w:rsid w:val="008F4DA6"/>
    <w:rsid w:val="008F538E"/>
    <w:rsid w:val="008F5A20"/>
    <w:rsid w:val="008F5ABA"/>
    <w:rsid w:val="008F67B9"/>
    <w:rsid w:val="008F71AB"/>
    <w:rsid w:val="008F75C8"/>
    <w:rsid w:val="008F7905"/>
    <w:rsid w:val="008F7989"/>
    <w:rsid w:val="00900890"/>
    <w:rsid w:val="0090103E"/>
    <w:rsid w:val="009010DF"/>
    <w:rsid w:val="00901369"/>
    <w:rsid w:val="0090156E"/>
    <w:rsid w:val="00901F1D"/>
    <w:rsid w:val="009020B3"/>
    <w:rsid w:val="009028E8"/>
    <w:rsid w:val="00902E5C"/>
    <w:rsid w:val="00902F36"/>
    <w:rsid w:val="0090363E"/>
    <w:rsid w:val="00903C2E"/>
    <w:rsid w:val="009046E5"/>
    <w:rsid w:val="009047C5"/>
    <w:rsid w:val="00904DFE"/>
    <w:rsid w:val="009050AC"/>
    <w:rsid w:val="0090648C"/>
    <w:rsid w:val="0090675B"/>
    <w:rsid w:val="009067E3"/>
    <w:rsid w:val="00906ECE"/>
    <w:rsid w:val="0090700A"/>
    <w:rsid w:val="00910683"/>
    <w:rsid w:val="00910764"/>
    <w:rsid w:val="00910D31"/>
    <w:rsid w:val="00910E00"/>
    <w:rsid w:val="009116CE"/>
    <w:rsid w:val="00911714"/>
    <w:rsid w:val="00911774"/>
    <w:rsid w:val="00911D04"/>
    <w:rsid w:val="00911EFF"/>
    <w:rsid w:val="009126F0"/>
    <w:rsid w:val="00912DEF"/>
    <w:rsid w:val="009136D4"/>
    <w:rsid w:val="00913A90"/>
    <w:rsid w:val="00914B9A"/>
    <w:rsid w:val="00914C3F"/>
    <w:rsid w:val="00914F33"/>
    <w:rsid w:val="00915FCE"/>
    <w:rsid w:val="00916AFE"/>
    <w:rsid w:val="00916FC8"/>
    <w:rsid w:val="009170D3"/>
    <w:rsid w:val="00917258"/>
    <w:rsid w:val="0091759C"/>
    <w:rsid w:val="00920026"/>
    <w:rsid w:val="0092024E"/>
    <w:rsid w:val="009203E2"/>
    <w:rsid w:val="00920F61"/>
    <w:rsid w:val="00921304"/>
    <w:rsid w:val="00921395"/>
    <w:rsid w:val="00921805"/>
    <w:rsid w:val="00921E63"/>
    <w:rsid w:val="0092316D"/>
    <w:rsid w:val="009232B9"/>
    <w:rsid w:val="009232E0"/>
    <w:rsid w:val="00923396"/>
    <w:rsid w:val="009239E6"/>
    <w:rsid w:val="00923B36"/>
    <w:rsid w:val="00923F56"/>
    <w:rsid w:val="00923F84"/>
    <w:rsid w:val="00924E7A"/>
    <w:rsid w:val="00925346"/>
    <w:rsid w:val="00925743"/>
    <w:rsid w:val="0092579F"/>
    <w:rsid w:val="00925F4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0F"/>
    <w:rsid w:val="00933FCB"/>
    <w:rsid w:val="00934CEC"/>
    <w:rsid w:val="00934E69"/>
    <w:rsid w:val="00935E70"/>
    <w:rsid w:val="0093609A"/>
    <w:rsid w:val="00936882"/>
    <w:rsid w:val="00936B04"/>
    <w:rsid w:val="00936E1A"/>
    <w:rsid w:val="00937401"/>
    <w:rsid w:val="009376FB"/>
    <w:rsid w:val="00937D6B"/>
    <w:rsid w:val="00937F1B"/>
    <w:rsid w:val="00940477"/>
    <w:rsid w:val="00940876"/>
    <w:rsid w:val="00940A53"/>
    <w:rsid w:val="00940C0B"/>
    <w:rsid w:val="00940F3C"/>
    <w:rsid w:val="009410E0"/>
    <w:rsid w:val="00941FA9"/>
    <w:rsid w:val="00942089"/>
    <w:rsid w:val="00943214"/>
    <w:rsid w:val="00943BA6"/>
    <w:rsid w:val="00943D84"/>
    <w:rsid w:val="009444B4"/>
    <w:rsid w:val="00944644"/>
    <w:rsid w:val="00945623"/>
    <w:rsid w:val="00945C62"/>
    <w:rsid w:val="00945D98"/>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6C7D"/>
    <w:rsid w:val="0095780A"/>
    <w:rsid w:val="009578C3"/>
    <w:rsid w:val="009579E4"/>
    <w:rsid w:val="00957AA4"/>
    <w:rsid w:val="00957ACB"/>
    <w:rsid w:val="00957EAC"/>
    <w:rsid w:val="00957F27"/>
    <w:rsid w:val="00960156"/>
    <w:rsid w:val="00960BDB"/>
    <w:rsid w:val="0096105C"/>
    <w:rsid w:val="0096147D"/>
    <w:rsid w:val="0096158E"/>
    <w:rsid w:val="00961BD7"/>
    <w:rsid w:val="00961D53"/>
    <w:rsid w:val="00961E5F"/>
    <w:rsid w:val="009625C6"/>
    <w:rsid w:val="00962980"/>
    <w:rsid w:val="009629B5"/>
    <w:rsid w:val="00962A50"/>
    <w:rsid w:val="00963347"/>
    <w:rsid w:val="0096409A"/>
    <w:rsid w:val="00964138"/>
    <w:rsid w:val="009648D6"/>
    <w:rsid w:val="00964A0B"/>
    <w:rsid w:val="00964B3F"/>
    <w:rsid w:val="00964C98"/>
    <w:rsid w:val="009660A2"/>
    <w:rsid w:val="00967100"/>
    <w:rsid w:val="009672D8"/>
    <w:rsid w:val="00970BD2"/>
    <w:rsid w:val="00971441"/>
    <w:rsid w:val="009715D4"/>
    <w:rsid w:val="0097179A"/>
    <w:rsid w:val="00971C2C"/>
    <w:rsid w:val="00971F1F"/>
    <w:rsid w:val="00972105"/>
    <w:rsid w:val="00972490"/>
    <w:rsid w:val="009732A4"/>
    <w:rsid w:val="009737C7"/>
    <w:rsid w:val="009739CC"/>
    <w:rsid w:val="00973B4A"/>
    <w:rsid w:val="00973C05"/>
    <w:rsid w:val="009741FF"/>
    <w:rsid w:val="0097494E"/>
    <w:rsid w:val="00974999"/>
    <w:rsid w:val="00974B58"/>
    <w:rsid w:val="00975445"/>
    <w:rsid w:val="009761ED"/>
    <w:rsid w:val="009762F0"/>
    <w:rsid w:val="0097764C"/>
    <w:rsid w:val="0098022F"/>
    <w:rsid w:val="009808BE"/>
    <w:rsid w:val="00980BDB"/>
    <w:rsid w:val="00980EAB"/>
    <w:rsid w:val="00980F26"/>
    <w:rsid w:val="00981036"/>
    <w:rsid w:val="00981042"/>
    <w:rsid w:val="009810DE"/>
    <w:rsid w:val="00981B91"/>
    <w:rsid w:val="00981DFC"/>
    <w:rsid w:val="009822D7"/>
    <w:rsid w:val="009827E6"/>
    <w:rsid w:val="00982F84"/>
    <w:rsid w:val="00983875"/>
    <w:rsid w:val="00983A33"/>
    <w:rsid w:val="0098427D"/>
    <w:rsid w:val="0098433F"/>
    <w:rsid w:val="00984567"/>
    <w:rsid w:val="00984AF1"/>
    <w:rsid w:val="00984E90"/>
    <w:rsid w:val="00985102"/>
    <w:rsid w:val="00985386"/>
    <w:rsid w:val="009854BC"/>
    <w:rsid w:val="00985D08"/>
    <w:rsid w:val="0098606C"/>
    <w:rsid w:val="009865D5"/>
    <w:rsid w:val="0098667E"/>
    <w:rsid w:val="00986B2A"/>
    <w:rsid w:val="00986DF4"/>
    <w:rsid w:val="00986E96"/>
    <w:rsid w:val="00987426"/>
    <w:rsid w:val="009876F2"/>
    <w:rsid w:val="00987872"/>
    <w:rsid w:val="00987B3A"/>
    <w:rsid w:val="00987C77"/>
    <w:rsid w:val="00987FED"/>
    <w:rsid w:val="00990345"/>
    <w:rsid w:val="00990701"/>
    <w:rsid w:val="00990779"/>
    <w:rsid w:val="009909C6"/>
    <w:rsid w:val="00990CE4"/>
    <w:rsid w:val="00990E2B"/>
    <w:rsid w:val="0099119C"/>
    <w:rsid w:val="0099137A"/>
    <w:rsid w:val="009917A5"/>
    <w:rsid w:val="00992043"/>
    <w:rsid w:val="0099211C"/>
    <w:rsid w:val="00992BCA"/>
    <w:rsid w:val="00992DF9"/>
    <w:rsid w:val="00992FC9"/>
    <w:rsid w:val="0099349E"/>
    <w:rsid w:val="00993B78"/>
    <w:rsid w:val="00993DBE"/>
    <w:rsid w:val="00994433"/>
    <w:rsid w:val="00995119"/>
    <w:rsid w:val="0099531F"/>
    <w:rsid w:val="009953AD"/>
    <w:rsid w:val="0099583D"/>
    <w:rsid w:val="00996020"/>
    <w:rsid w:val="0099638A"/>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16E"/>
    <w:rsid w:val="009B0E0F"/>
    <w:rsid w:val="009B1DA0"/>
    <w:rsid w:val="009B209C"/>
    <w:rsid w:val="009B2374"/>
    <w:rsid w:val="009B2514"/>
    <w:rsid w:val="009B2E29"/>
    <w:rsid w:val="009B3163"/>
    <w:rsid w:val="009B3BCD"/>
    <w:rsid w:val="009B3F81"/>
    <w:rsid w:val="009B422F"/>
    <w:rsid w:val="009B46BC"/>
    <w:rsid w:val="009B4D1A"/>
    <w:rsid w:val="009B4D85"/>
    <w:rsid w:val="009B502F"/>
    <w:rsid w:val="009B558B"/>
    <w:rsid w:val="009B5BA1"/>
    <w:rsid w:val="009B5F29"/>
    <w:rsid w:val="009B61D7"/>
    <w:rsid w:val="009B66C4"/>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EDC"/>
    <w:rsid w:val="009C3FEE"/>
    <w:rsid w:val="009C4384"/>
    <w:rsid w:val="009C4987"/>
    <w:rsid w:val="009C4FDE"/>
    <w:rsid w:val="009C523F"/>
    <w:rsid w:val="009C5647"/>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81A"/>
    <w:rsid w:val="009D1A14"/>
    <w:rsid w:val="009D1E2A"/>
    <w:rsid w:val="009D1FA0"/>
    <w:rsid w:val="009D23A4"/>
    <w:rsid w:val="009D2562"/>
    <w:rsid w:val="009D2BDF"/>
    <w:rsid w:val="009D328F"/>
    <w:rsid w:val="009D3736"/>
    <w:rsid w:val="009D3EC2"/>
    <w:rsid w:val="009D421F"/>
    <w:rsid w:val="009D4529"/>
    <w:rsid w:val="009D5CFD"/>
    <w:rsid w:val="009D604F"/>
    <w:rsid w:val="009D61BB"/>
    <w:rsid w:val="009D6410"/>
    <w:rsid w:val="009D65B8"/>
    <w:rsid w:val="009D6856"/>
    <w:rsid w:val="009D68BB"/>
    <w:rsid w:val="009D6E3A"/>
    <w:rsid w:val="009D7056"/>
    <w:rsid w:val="009D70C2"/>
    <w:rsid w:val="009D75A0"/>
    <w:rsid w:val="009D7ADB"/>
    <w:rsid w:val="009D7B33"/>
    <w:rsid w:val="009E06C3"/>
    <w:rsid w:val="009E0703"/>
    <w:rsid w:val="009E1035"/>
    <w:rsid w:val="009E133A"/>
    <w:rsid w:val="009E16DA"/>
    <w:rsid w:val="009E1CD4"/>
    <w:rsid w:val="009E2391"/>
    <w:rsid w:val="009E34A5"/>
    <w:rsid w:val="009E35FE"/>
    <w:rsid w:val="009E41A0"/>
    <w:rsid w:val="009E453C"/>
    <w:rsid w:val="009E476A"/>
    <w:rsid w:val="009E4E05"/>
    <w:rsid w:val="009E56FF"/>
    <w:rsid w:val="009E5CB1"/>
    <w:rsid w:val="009E5E56"/>
    <w:rsid w:val="009E6051"/>
    <w:rsid w:val="009E61EA"/>
    <w:rsid w:val="009E642B"/>
    <w:rsid w:val="009E6990"/>
    <w:rsid w:val="009E6FEE"/>
    <w:rsid w:val="009F00B9"/>
    <w:rsid w:val="009F060F"/>
    <w:rsid w:val="009F0781"/>
    <w:rsid w:val="009F0850"/>
    <w:rsid w:val="009F1BDF"/>
    <w:rsid w:val="009F1EAE"/>
    <w:rsid w:val="009F20A6"/>
    <w:rsid w:val="009F311F"/>
    <w:rsid w:val="009F369D"/>
    <w:rsid w:val="009F36FE"/>
    <w:rsid w:val="009F3ED7"/>
    <w:rsid w:val="009F4990"/>
    <w:rsid w:val="009F4F25"/>
    <w:rsid w:val="009F54F9"/>
    <w:rsid w:val="009F59C2"/>
    <w:rsid w:val="009F6FED"/>
    <w:rsid w:val="009F7263"/>
    <w:rsid w:val="009F76EA"/>
    <w:rsid w:val="009F78EB"/>
    <w:rsid w:val="009F7F32"/>
    <w:rsid w:val="009F7FEB"/>
    <w:rsid w:val="00A0006F"/>
    <w:rsid w:val="00A003D5"/>
    <w:rsid w:val="00A010FD"/>
    <w:rsid w:val="00A0111D"/>
    <w:rsid w:val="00A0144E"/>
    <w:rsid w:val="00A014B5"/>
    <w:rsid w:val="00A01535"/>
    <w:rsid w:val="00A01852"/>
    <w:rsid w:val="00A0188B"/>
    <w:rsid w:val="00A01E73"/>
    <w:rsid w:val="00A023E7"/>
    <w:rsid w:val="00A02685"/>
    <w:rsid w:val="00A02B88"/>
    <w:rsid w:val="00A02BB5"/>
    <w:rsid w:val="00A02C9B"/>
    <w:rsid w:val="00A02E50"/>
    <w:rsid w:val="00A03160"/>
    <w:rsid w:val="00A036AC"/>
    <w:rsid w:val="00A0374D"/>
    <w:rsid w:val="00A0385E"/>
    <w:rsid w:val="00A03C54"/>
    <w:rsid w:val="00A03DE5"/>
    <w:rsid w:val="00A04194"/>
    <w:rsid w:val="00A041BC"/>
    <w:rsid w:val="00A0447F"/>
    <w:rsid w:val="00A046D2"/>
    <w:rsid w:val="00A04A54"/>
    <w:rsid w:val="00A0523A"/>
    <w:rsid w:val="00A05587"/>
    <w:rsid w:val="00A05732"/>
    <w:rsid w:val="00A05B4B"/>
    <w:rsid w:val="00A05FED"/>
    <w:rsid w:val="00A066C3"/>
    <w:rsid w:val="00A06754"/>
    <w:rsid w:val="00A069E0"/>
    <w:rsid w:val="00A06E4A"/>
    <w:rsid w:val="00A06EE8"/>
    <w:rsid w:val="00A070E9"/>
    <w:rsid w:val="00A07799"/>
    <w:rsid w:val="00A078FB"/>
    <w:rsid w:val="00A1036D"/>
    <w:rsid w:val="00A1069F"/>
    <w:rsid w:val="00A10ACA"/>
    <w:rsid w:val="00A10D08"/>
    <w:rsid w:val="00A11E78"/>
    <w:rsid w:val="00A120A7"/>
    <w:rsid w:val="00A12355"/>
    <w:rsid w:val="00A125D9"/>
    <w:rsid w:val="00A127D2"/>
    <w:rsid w:val="00A12DED"/>
    <w:rsid w:val="00A1382C"/>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0DC7"/>
    <w:rsid w:val="00A213DD"/>
    <w:rsid w:val="00A21454"/>
    <w:rsid w:val="00A216CE"/>
    <w:rsid w:val="00A22025"/>
    <w:rsid w:val="00A22498"/>
    <w:rsid w:val="00A22571"/>
    <w:rsid w:val="00A22644"/>
    <w:rsid w:val="00A2298D"/>
    <w:rsid w:val="00A22B72"/>
    <w:rsid w:val="00A23387"/>
    <w:rsid w:val="00A24409"/>
    <w:rsid w:val="00A24560"/>
    <w:rsid w:val="00A25B0F"/>
    <w:rsid w:val="00A25BBB"/>
    <w:rsid w:val="00A26019"/>
    <w:rsid w:val="00A26363"/>
    <w:rsid w:val="00A27207"/>
    <w:rsid w:val="00A2727F"/>
    <w:rsid w:val="00A27FB6"/>
    <w:rsid w:val="00A30121"/>
    <w:rsid w:val="00A30368"/>
    <w:rsid w:val="00A3043A"/>
    <w:rsid w:val="00A30E02"/>
    <w:rsid w:val="00A30F6A"/>
    <w:rsid w:val="00A3157B"/>
    <w:rsid w:val="00A31C3E"/>
    <w:rsid w:val="00A32D73"/>
    <w:rsid w:val="00A32DA4"/>
    <w:rsid w:val="00A33EBA"/>
    <w:rsid w:val="00A342DF"/>
    <w:rsid w:val="00A3430A"/>
    <w:rsid w:val="00A34538"/>
    <w:rsid w:val="00A34677"/>
    <w:rsid w:val="00A3540F"/>
    <w:rsid w:val="00A35587"/>
    <w:rsid w:val="00A3559E"/>
    <w:rsid w:val="00A35630"/>
    <w:rsid w:val="00A35692"/>
    <w:rsid w:val="00A35914"/>
    <w:rsid w:val="00A35E2B"/>
    <w:rsid w:val="00A36189"/>
    <w:rsid w:val="00A37E73"/>
    <w:rsid w:val="00A37F66"/>
    <w:rsid w:val="00A37FB6"/>
    <w:rsid w:val="00A40310"/>
    <w:rsid w:val="00A40457"/>
    <w:rsid w:val="00A40781"/>
    <w:rsid w:val="00A409E2"/>
    <w:rsid w:val="00A40F08"/>
    <w:rsid w:val="00A4104A"/>
    <w:rsid w:val="00A41081"/>
    <w:rsid w:val="00A411CA"/>
    <w:rsid w:val="00A42080"/>
    <w:rsid w:val="00A42096"/>
    <w:rsid w:val="00A421A4"/>
    <w:rsid w:val="00A426F3"/>
    <w:rsid w:val="00A4271D"/>
    <w:rsid w:val="00A42FDF"/>
    <w:rsid w:val="00A430A9"/>
    <w:rsid w:val="00A431FE"/>
    <w:rsid w:val="00A4324A"/>
    <w:rsid w:val="00A439E5"/>
    <w:rsid w:val="00A43C3E"/>
    <w:rsid w:val="00A43F2F"/>
    <w:rsid w:val="00A44087"/>
    <w:rsid w:val="00A4470B"/>
    <w:rsid w:val="00A4495C"/>
    <w:rsid w:val="00A4497A"/>
    <w:rsid w:val="00A44BE8"/>
    <w:rsid w:val="00A44C96"/>
    <w:rsid w:val="00A44CDD"/>
    <w:rsid w:val="00A44F54"/>
    <w:rsid w:val="00A45EA7"/>
    <w:rsid w:val="00A45EC5"/>
    <w:rsid w:val="00A45F9B"/>
    <w:rsid w:val="00A46574"/>
    <w:rsid w:val="00A470E1"/>
    <w:rsid w:val="00A500B1"/>
    <w:rsid w:val="00A52478"/>
    <w:rsid w:val="00A52A53"/>
    <w:rsid w:val="00A52C69"/>
    <w:rsid w:val="00A52EE5"/>
    <w:rsid w:val="00A52FD9"/>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94A"/>
    <w:rsid w:val="00A56DE7"/>
    <w:rsid w:val="00A57606"/>
    <w:rsid w:val="00A57EB2"/>
    <w:rsid w:val="00A60065"/>
    <w:rsid w:val="00A60077"/>
    <w:rsid w:val="00A6009E"/>
    <w:rsid w:val="00A60265"/>
    <w:rsid w:val="00A60B1F"/>
    <w:rsid w:val="00A60BF3"/>
    <w:rsid w:val="00A6155D"/>
    <w:rsid w:val="00A61C60"/>
    <w:rsid w:val="00A6202C"/>
    <w:rsid w:val="00A62335"/>
    <w:rsid w:val="00A62442"/>
    <w:rsid w:val="00A62589"/>
    <w:rsid w:val="00A6276A"/>
    <w:rsid w:val="00A62AD0"/>
    <w:rsid w:val="00A62AE4"/>
    <w:rsid w:val="00A62C3A"/>
    <w:rsid w:val="00A62DB2"/>
    <w:rsid w:val="00A62FD9"/>
    <w:rsid w:val="00A6319C"/>
    <w:rsid w:val="00A6326A"/>
    <w:rsid w:val="00A63812"/>
    <w:rsid w:val="00A63DF7"/>
    <w:rsid w:val="00A644CC"/>
    <w:rsid w:val="00A6454D"/>
    <w:rsid w:val="00A64CA9"/>
    <w:rsid w:val="00A64F18"/>
    <w:rsid w:val="00A64F2F"/>
    <w:rsid w:val="00A6570D"/>
    <w:rsid w:val="00A65A1C"/>
    <w:rsid w:val="00A65C09"/>
    <w:rsid w:val="00A65EDE"/>
    <w:rsid w:val="00A6611E"/>
    <w:rsid w:val="00A668BA"/>
    <w:rsid w:val="00A66FA7"/>
    <w:rsid w:val="00A67E16"/>
    <w:rsid w:val="00A67EB1"/>
    <w:rsid w:val="00A67F7F"/>
    <w:rsid w:val="00A70229"/>
    <w:rsid w:val="00A703CC"/>
    <w:rsid w:val="00A70C5C"/>
    <w:rsid w:val="00A710A2"/>
    <w:rsid w:val="00A71E8C"/>
    <w:rsid w:val="00A71EA7"/>
    <w:rsid w:val="00A71F57"/>
    <w:rsid w:val="00A726DD"/>
    <w:rsid w:val="00A72D67"/>
    <w:rsid w:val="00A730AD"/>
    <w:rsid w:val="00A73741"/>
    <w:rsid w:val="00A73855"/>
    <w:rsid w:val="00A73D64"/>
    <w:rsid w:val="00A74216"/>
    <w:rsid w:val="00A744B4"/>
    <w:rsid w:val="00A74609"/>
    <w:rsid w:val="00A74CF3"/>
    <w:rsid w:val="00A751E3"/>
    <w:rsid w:val="00A75504"/>
    <w:rsid w:val="00A7559A"/>
    <w:rsid w:val="00A75FD7"/>
    <w:rsid w:val="00A76357"/>
    <w:rsid w:val="00A763CD"/>
    <w:rsid w:val="00A77168"/>
    <w:rsid w:val="00A7723B"/>
    <w:rsid w:val="00A77879"/>
    <w:rsid w:val="00A7793C"/>
    <w:rsid w:val="00A77D21"/>
    <w:rsid w:val="00A77FDE"/>
    <w:rsid w:val="00A80085"/>
    <w:rsid w:val="00A8043B"/>
    <w:rsid w:val="00A804ED"/>
    <w:rsid w:val="00A80703"/>
    <w:rsid w:val="00A80DA0"/>
    <w:rsid w:val="00A81323"/>
    <w:rsid w:val="00A81E43"/>
    <w:rsid w:val="00A820CB"/>
    <w:rsid w:val="00A82342"/>
    <w:rsid w:val="00A82454"/>
    <w:rsid w:val="00A83BEF"/>
    <w:rsid w:val="00A84443"/>
    <w:rsid w:val="00A8487F"/>
    <w:rsid w:val="00A849A3"/>
    <w:rsid w:val="00A84A0E"/>
    <w:rsid w:val="00A86694"/>
    <w:rsid w:val="00A86E0B"/>
    <w:rsid w:val="00A90F12"/>
    <w:rsid w:val="00A913C7"/>
    <w:rsid w:val="00A91514"/>
    <w:rsid w:val="00A91689"/>
    <w:rsid w:val="00A91DAA"/>
    <w:rsid w:val="00A93101"/>
    <w:rsid w:val="00A9366B"/>
    <w:rsid w:val="00A9413E"/>
    <w:rsid w:val="00A94281"/>
    <w:rsid w:val="00A94293"/>
    <w:rsid w:val="00A9496E"/>
    <w:rsid w:val="00A949F0"/>
    <w:rsid w:val="00A94BDE"/>
    <w:rsid w:val="00A94CD7"/>
    <w:rsid w:val="00A94FCA"/>
    <w:rsid w:val="00A95011"/>
    <w:rsid w:val="00A952CC"/>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2264"/>
    <w:rsid w:val="00AA30E6"/>
    <w:rsid w:val="00AA3D7B"/>
    <w:rsid w:val="00AA42A0"/>
    <w:rsid w:val="00AA442B"/>
    <w:rsid w:val="00AA46A4"/>
    <w:rsid w:val="00AA4FD9"/>
    <w:rsid w:val="00AA5779"/>
    <w:rsid w:val="00AA58A1"/>
    <w:rsid w:val="00AA61C7"/>
    <w:rsid w:val="00AA669D"/>
    <w:rsid w:val="00AA66ED"/>
    <w:rsid w:val="00AA6B59"/>
    <w:rsid w:val="00AA6BE1"/>
    <w:rsid w:val="00AA7416"/>
    <w:rsid w:val="00AA7A60"/>
    <w:rsid w:val="00AA7B42"/>
    <w:rsid w:val="00AB041C"/>
    <w:rsid w:val="00AB0553"/>
    <w:rsid w:val="00AB13D2"/>
    <w:rsid w:val="00AB14E8"/>
    <w:rsid w:val="00AB1B1D"/>
    <w:rsid w:val="00AB1B32"/>
    <w:rsid w:val="00AB2216"/>
    <w:rsid w:val="00AB2B0B"/>
    <w:rsid w:val="00AB312F"/>
    <w:rsid w:val="00AB358D"/>
    <w:rsid w:val="00AB37A1"/>
    <w:rsid w:val="00AB3BAD"/>
    <w:rsid w:val="00AB3CFD"/>
    <w:rsid w:val="00AB410C"/>
    <w:rsid w:val="00AB4244"/>
    <w:rsid w:val="00AB43A8"/>
    <w:rsid w:val="00AB49BC"/>
    <w:rsid w:val="00AB4DEE"/>
    <w:rsid w:val="00AB4E32"/>
    <w:rsid w:val="00AB5649"/>
    <w:rsid w:val="00AB5C19"/>
    <w:rsid w:val="00AB61AD"/>
    <w:rsid w:val="00AB6534"/>
    <w:rsid w:val="00AB724B"/>
    <w:rsid w:val="00AB726C"/>
    <w:rsid w:val="00AB72B4"/>
    <w:rsid w:val="00AB74D6"/>
    <w:rsid w:val="00AB7A86"/>
    <w:rsid w:val="00AB7B86"/>
    <w:rsid w:val="00AC02AA"/>
    <w:rsid w:val="00AC0537"/>
    <w:rsid w:val="00AC0A84"/>
    <w:rsid w:val="00AC1508"/>
    <w:rsid w:val="00AC2A0B"/>
    <w:rsid w:val="00AC2BEE"/>
    <w:rsid w:val="00AC2E53"/>
    <w:rsid w:val="00AC3C26"/>
    <w:rsid w:val="00AC3EBE"/>
    <w:rsid w:val="00AC42E6"/>
    <w:rsid w:val="00AC455E"/>
    <w:rsid w:val="00AC484F"/>
    <w:rsid w:val="00AC4B20"/>
    <w:rsid w:val="00AC56F2"/>
    <w:rsid w:val="00AC6F34"/>
    <w:rsid w:val="00AC71C3"/>
    <w:rsid w:val="00AC7AC6"/>
    <w:rsid w:val="00AD09F7"/>
    <w:rsid w:val="00AD0A8C"/>
    <w:rsid w:val="00AD11B2"/>
    <w:rsid w:val="00AD1EFA"/>
    <w:rsid w:val="00AD2072"/>
    <w:rsid w:val="00AD2AF9"/>
    <w:rsid w:val="00AD2DBD"/>
    <w:rsid w:val="00AD2FBF"/>
    <w:rsid w:val="00AD31F5"/>
    <w:rsid w:val="00AD33AC"/>
    <w:rsid w:val="00AD340E"/>
    <w:rsid w:val="00AD409A"/>
    <w:rsid w:val="00AD455D"/>
    <w:rsid w:val="00AD463C"/>
    <w:rsid w:val="00AD4BAE"/>
    <w:rsid w:val="00AD4F60"/>
    <w:rsid w:val="00AD5044"/>
    <w:rsid w:val="00AD5114"/>
    <w:rsid w:val="00AD6236"/>
    <w:rsid w:val="00AD69D5"/>
    <w:rsid w:val="00AD6CF7"/>
    <w:rsid w:val="00AD7619"/>
    <w:rsid w:val="00AD7770"/>
    <w:rsid w:val="00AD79FB"/>
    <w:rsid w:val="00AD7B14"/>
    <w:rsid w:val="00AD7BE4"/>
    <w:rsid w:val="00AE04B0"/>
    <w:rsid w:val="00AE1772"/>
    <w:rsid w:val="00AE1990"/>
    <w:rsid w:val="00AE249C"/>
    <w:rsid w:val="00AE25C0"/>
    <w:rsid w:val="00AE25E8"/>
    <w:rsid w:val="00AE2AD4"/>
    <w:rsid w:val="00AE2CA7"/>
    <w:rsid w:val="00AE2F1D"/>
    <w:rsid w:val="00AE4C81"/>
    <w:rsid w:val="00AE511B"/>
    <w:rsid w:val="00AE534E"/>
    <w:rsid w:val="00AE586F"/>
    <w:rsid w:val="00AE6582"/>
    <w:rsid w:val="00AE6CFD"/>
    <w:rsid w:val="00AE6DC5"/>
    <w:rsid w:val="00AE6E4D"/>
    <w:rsid w:val="00AE7686"/>
    <w:rsid w:val="00AE799A"/>
    <w:rsid w:val="00AE7B2A"/>
    <w:rsid w:val="00AE7C09"/>
    <w:rsid w:val="00AF041E"/>
    <w:rsid w:val="00AF052E"/>
    <w:rsid w:val="00AF09A9"/>
    <w:rsid w:val="00AF0E81"/>
    <w:rsid w:val="00AF117A"/>
    <w:rsid w:val="00AF15A7"/>
    <w:rsid w:val="00AF16CA"/>
    <w:rsid w:val="00AF1748"/>
    <w:rsid w:val="00AF186E"/>
    <w:rsid w:val="00AF19DF"/>
    <w:rsid w:val="00AF1D41"/>
    <w:rsid w:val="00AF2143"/>
    <w:rsid w:val="00AF26CF"/>
    <w:rsid w:val="00AF2CC5"/>
    <w:rsid w:val="00AF2D7A"/>
    <w:rsid w:val="00AF313F"/>
    <w:rsid w:val="00AF344D"/>
    <w:rsid w:val="00AF39B3"/>
    <w:rsid w:val="00AF4169"/>
    <w:rsid w:val="00AF4402"/>
    <w:rsid w:val="00AF4639"/>
    <w:rsid w:val="00AF4E92"/>
    <w:rsid w:val="00AF554B"/>
    <w:rsid w:val="00AF5C9B"/>
    <w:rsid w:val="00AF5CED"/>
    <w:rsid w:val="00AF5D53"/>
    <w:rsid w:val="00AF5E2D"/>
    <w:rsid w:val="00AF644B"/>
    <w:rsid w:val="00AF69EB"/>
    <w:rsid w:val="00AF6CA6"/>
    <w:rsid w:val="00AF6EB6"/>
    <w:rsid w:val="00AF7796"/>
    <w:rsid w:val="00AF7C20"/>
    <w:rsid w:val="00AF7EA2"/>
    <w:rsid w:val="00B011A7"/>
    <w:rsid w:val="00B011A9"/>
    <w:rsid w:val="00B01BAF"/>
    <w:rsid w:val="00B02407"/>
    <w:rsid w:val="00B024ED"/>
    <w:rsid w:val="00B026B8"/>
    <w:rsid w:val="00B02A68"/>
    <w:rsid w:val="00B02B49"/>
    <w:rsid w:val="00B02EB3"/>
    <w:rsid w:val="00B02FCB"/>
    <w:rsid w:val="00B03178"/>
    <w:rsid w:val="00B032C0"/>
    <w:rsid w:val="00B033F8"/>
    <w:rsid w:val="00B03965"/>
    <w:rsid w:val="00B03C1E"/>
    <w:rsid w:val="00B03FE5"/>
    <w:rsid w:val="00B04259"/>
    <w:rsid w:val="00B043FA"/>
    <w:rsid w:val="00B04400"/>
    <w:rsid w:val="00B04835"/>
    <w:rsid w:val="00B053A0"/>
    <w:rsid w:val="00B05A55"/>
    <w:rsid w:val="00B05DC5"/>
    <w:rsid w:val="00B05DE1"/>
    <w:rsid w:val="00B06037"/>
    <w:rsid w:val="00B06595"/>
    <w:rsid w:val="00B0687E"/>
    <w:rsid w:val="00B06C81"/>
    <w:rsid w:val="00B07439"/>
    <w:rsid w:val="00B10109"/>
    <w:rsid w:val="00B1029D"/>
    <w:rsid w:val="00B10776"/>
    <w:rsid w:val="00B1085E"/>
    <w:rsid w:val="00B10FD1"/>
    <w:rsid w:val="00B1125B"/>
    <w:rsid w:val="00B1158E"/>
    <w:rsid w:val="00B11E1D"/>
    <w:rsid w:val="00B11F65"/>
    <w:rsid w:val="00B1219D"/>
    <w:rsid w:val="00B12735"/>
    <w:rsid w:val="00B12DAC"/>
    <w:rsid w:val="00B12F44"/>
    <w:rsid w:val="00B13C48"/>
    <w:rsid w:val="00B13E35"/>
    <w:rsid w:val="00B13EC0"/>
    <w:rsid w:val="00B14102"/>
    <w:rsid w:val="00B14D32"/>
    <w:rsid w:val="00B1557C"/>
    <w:rsid w:val="00B155DC"/>
    <w:rsid w:val="00B15766"/>
    <w:rsid w:val="00B15E4A"/>
    <w:rsid w:val="00B1666A"/>
    <w:rsid w:val="00B1686D"/>
    <w:rsid w:val="00B16B4F"/>
    <w:rsid w:val="00B16B58"/>
    <w:rsid w:val="00B16BF7"/>
    <w:rsid w:val="00B17129"/>
    <w:rsid w:val="00B1741D"/>
    <w:rsid w:val="00B17447"/>
    <w:rsid w:val="00B1771D"/>
    <w:rsid w:val="00B17B91"/>
    <w:rsid w:val="00B20209"/>
    <w:rsid w:val="00B203C9"/>
    <w:rsid w:val="00B20609"/>
    <w:rsid w:val="00B2088D"/>
    <w:rsid w:val="00B208FF"/>
    <w:rsid w:val="00B20943"/>
    <w:rsid w:val="00B21E5A"/>
    <w:rsid w:val="00B22D56"/>
    <w:rsid w:val="00B22E22"/>
    <w:rsid w:val="00B22F5F"/>
    <w:rsid w:val="00B231D9"/>
    <w:rsid w:val="00B23813"/>
    <w:rsid w:val="00B23D42"/>
    <w:rsid w:val="00B23FD9"/>
    <w:rsid w:val="00B24342"/>
    <w:rsid w:val="00B243CA"/>
    <w:rsid w:val="00B24591"/>
    <w:rsid w:val="00B245D5"/>
    <w:rsid w:val="00B245EF"/>
    <w:rsid w:val="00B2464D"/>
    <w:rsid w:val="00B24C36"/>
    <w:rsid w:val="00B24DE5"/>
    <w:rsid w:val="00B24F94"/>
    <w:rsid w:val="00B25126"/>
    <w:rsid w:val="00B25A52"/>
    <w:rsid w:val="00B25FC3"/>
    <w:rsid w:val="00B263B3"/>
    <w:rsid w:val="00B26F6F"/>
    <w:rsid w:val="00B274B3"/>
    <w:rsid w:val="00B27722"/>
    <w:rsid w:val="00B27875"/>
    <w:rsid w:val="00B27979"/>
    <w:rsid w:val="00B30001"/>
    <w:rsid w:val="00B3008D"/>
    <w:rsid w:val="00B3050F"/>
    <w:rsid w:val="00B30E11"/>
    <w:rsid w:val="00B30EAE"/>
    <w:rsid w:val="00B30EEB"/>
    <w:rsid w:val="00B31423"/>
    <w:rsid w:val="00B323E0"/>
    <w:rsid w:val="00B329CE"/>
    <w:rsid w:val="00B32DC0"/>
    <w:rsid w:val="00B3346C"/>
    <w:rsid w:val="00B335E4"/>
    <w:rsid w:val="00B33C23"/>
    <w:rsid w:val="00B345B4"/>
    <w:rsid w:val="00B34688"/>
    <w:rsid w:val="00B348B1"/>
    <w:rsid w:val="00B34A28"/>
    <w:rsid w:val="00B34BE2"/>
    <w:rsid w:val="00B34DF5"/>
    <w:rsid w:val="00B34E51"/>
    <w:rsid w:val="00B35046"/>
    <w:rsid w:val="00B35A9C"/>
    <w:rsid w:val="00B35B6A"/>
    <w:rsid w:val="00B35FDE"/>
    <w:rsid w:val="00B3608B"/>
    <w:rsid w:val="00B36114"/>
    <w:rsid w:val="00B36D2B"/>
    <w:rsid w:val="00B37171"/>
    <w:rsid w:val="00B37657"/>
    <w:rsid w:val="00B37AFD"/>
    <w:rsid w:val="00B37B07"/>
    <w:rsid w:val="00B4046F"/>
    <w:rsid w:val="00B406B3"/>
    <w:rsid w:val="00B40A36"/>
    <w:rsid w:val="00B40F3D"/>
    <w:rsid w:val="00B41D39"/>
    <w:rsid w:val="00B41EC3"/>
    <w:rsid w:val="00B422C0"/>
    <w:rsid w:val="00B4231D"/>
    <w:rsid w:val="00B426CA"/>
    <w:rsid w:val="00B426E1"/>
    <w:rsid w:val="00B42854"/>
    <w:rsid w:val="00B4387A"/>
    <w:rsid w:val="00B440D5"/>
    <w:rsid w:val="00B44731"/>
    <w:rsid w:val="00B44746"/>
    <w:rsid w:val="00B44854"/>
    <w:rsid w:val="00B44BA5"/>
    <w:rsid w:val="00B458D0"/>
    <w:rsid w:val="00B45921"/>
    <w:rsid w:val="00B46093"/>
    <w:rsid w:val="00B46915"/>
    <w:rsid w:val="00B46A84"/>
    <w:rsid w:val="00B471FE"/>
    <w:rsid w:val="00B4750B"/>
    <w:rsid w:val="00B4792C"/>
    <w:rsid w:val="00B504D4"/>
    <w:rsid w:val="00B50CAE"/>
    <w:rsid w:val="00B512AD"/>
    <w:rsid w:val="00B5196C"/>
    <w:rsid w:val="00B51D2C"/>
    <w:rsid w:val="00B51D8B"/>
    <w:rsid w:val="00B525CB"/>
    <w:rsid w:val="00B52697"/>
    <w:rsid w:val="00B537EA"/>
    <w:rsid w:val="00B53A99"/>
    <w:rsid w:val="00B54D8F"/>
    <w:rsid w:val="00B55857"/>
    <w:rsid w:val="00B55C69"/>
    <w:rsid w:val="00B56851"/>
    <w:rsid w:val="00B569D4"/>
    <w:rsid w:val="00B56BA8"/>
    <w:rsid w:val="00B56D6E"/>
    <w:rsid w:val="00B572F7"/>
    <w:rsid w:val="00B57B3D"/>
    <w:rsid w:val="00B57B9D"/>
    <w:rsid w:val="00B57DAF"/>
    <w:rsid w:val="00B60094"/>
    <w:rsid w:val="00B6022C"/>
    <w:rsid w:val="00B60360"/>
    <w:rsid w:val="00B614F8"/>
    <w:rsid w:val="00B61994"/>
    <w:rsid w:val="00B61FD4"/>
    <w:rsid w:val="00B62880"/>
    <w:rsid w:val="00B63872"/>
    <w:rsid w:val="00B63CB2"/>
    <w:rsid w:val="00B64246"/>
    <w:rsid w:val="00B64863"/>
    <w:rsid w:val="00B64EDB"/>
    <w:rsid w:val="00B65010"/>
    <w:rsid w:val="00B65938"/>
    <w:rsid w:val="00B65C8A"/>
    <w:rsid w:val="00B65CE2"/>
    <w:rsid w:val="00B660AD"/>
    <w:rsid w:val="00B66109"/>
    <w:rsid w:val="00B66349"/>
    <w:rsid w:val="00B663F4"/>
    <w:rsid w:val="00B66CB4"/>
    <w:rsid w:val="00B6754A"/>
    <w:rsid w:val="00B67903"/>
    <w:rsid w:val="00B67FBF"/>
    <w:rsid w:val="00B70832"/>
    <w:rsid w:val="00B71376"/>
    <w:rsid w:val="00B71617"/>
    <w:rsid w:val="00B716D7"/>
    <w:rsid w:val="00B72110"/>
    <w:rsid w:val="00B724AE"/>
    <w:rsid w:val="00B72777"/>
    <w:rsid w:val="00B72B91"/>
    <w:rsid w:val="00B73019"/>
    <w:rsid w:val="00B7315F"/>
    <w:rsid w:val="00B73202"/>
    <w:rsid w:val="00B7323A"/>
    <w:rsid w:val="00B73525"/>
    <w:rsid w:val="00B7353B"/>
    <w:rsid w:val="00B737FB"/>
    <w:rsid w:val="00B73A3E"/>
    <w:rsid w:val="00B73E5D"/>
    <w:rsid w:val="00B73EF3"/>
    <w:rsid w:val="00B7423D"/>
    <w:rsid w:val="00B74D05"/>
    <w:rsid w:val="00B757ED"/>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1FF"/>
    <w:rsid w:val="00B839F0"/>
    <w:rsid w:val="00B84769"/>
    <w:rsid w:val="00B848D0"/>
    <w:rsid w:val="00B851E4"/>
    <w:rsid w:val="00B854CE"/>
    <w:rsid w:val="00B855D7"/>
    <w:rsid w:val="00B85681"/>
    <w:rsid w:val="00B857EB"/>
    <w:rsid w:val="00B86162"/>
    <w:rsid w:val="00B866A4"/>
    <w:rsid w:val="00B86783"/>
    <w:rsid w:val="00B86877"/>
    <w:rsid w:val="00B8695D"/>
    <w:rsid w:val="00B86E66"/>
    <w:rsid w:val="00B873BA"/>
    <w:rsid w:val="00B8746F"/>
    <w:rsid w:val="00B8760D"/>
    <w:rsid w:val="00B87706"/>
    <w:rsid w:val="00B879F2"/>
    <w:rsid w:val="00B87F13"/>
    <w:rsid w:val="00B90A49"/>
    <w:rsid w:val="00B90A73"/>
    <w:rsid w:val="00B90B1C"/>
    <w:rsid w:val="00B90CC5"/>
    <w:rsid w:val="00B90E0D"/>
    <w:rsid w:val="00B91B8E"/>
    <w:rsid w:val="00B91DFA"/>
    <w:rsid w:val="00B91EF1"/>
    <w:rsid w:val="00B92531"/>
    <w:rsid w:val="00B92618"/>
    <w:rsid w:val="00B92751"/>
    <w:rsid w:val="00B92B69"/>
    <w:rsid w:val="00B92CC6"/>
    <w:rsid w:val="00B934F5"/>
    <w:rsid w:val="00B935C9"/>
    <w:rsid w:val="00B93E3D"/>
    <w:rsid w:val="00B945E3"/>
    <w:rsid w:val="00B95464"/>
    <w:rsid w:val="00B9586C"/>
    <w:rsid w:val="00B95C30"/>
    <w:rsid w:val="00B95E3D"/>
    <w:rsid w:val="00B95F81"/>
    <w:rsid w:val="00B96863"/>
    <w:rsid w:val="00B9691F"/>
    <w:rsid w:val="00B96EEC"/>
    <w:rsid w:val="00B97392"/>
    <w:rsid w:val="00B97669"/>
    <w:rsid w:val="00B976C7"/>
    <w:rsid w:val="00BA0B40"/>
    <w:rsid w:val="00BA0C54"/>
    <w:rsid w:val="00BA0E5F"/>
    <w:rsid w:val="00BA1382"/>
    <w:rsid w:val="00BA15E3"/>
    <w:rsid w:val="00BA1A8C"/>
    <w:rsid w:val="00BA1DFD"/>
    <w:rsid w:val="00BA20D8"/>
    <w:rsid w:val="00BA2140"/>
    <w:rsid w:val="00BA22FC"/>
    <w:rsid w:val="00BA290F"/>
    <w:rsid w:val="00BA2C2A"/>
    <w:rsid w:val="00BA2F30"/>
    <w:rsid w:val="00BA3982"/>
    <w:rsid w:val="00BA3BF9"/>
    <w:rsid w:val="00BA3F04"/>
    <w:rsid w:val="00BA4771"/>
    <w:rsid w:val="00BA4CEC"/>
    <w:rsid w:val="00BA4DD0"/>
    <w:rsid w:val="00BA5027"/>
    <w:rsid w:val="00BA59F2"/>
    <w:rsid w:val="00BA6573"/>
    <w:rsid w:val="00BA665B"/>
    <w:rsid w:val="00BA6B43"/>
    <w:rsid w:val="00BA6FE8"/>
    <w:rsid w:val="00BA732D"/>
    <w:rsid w:val="00BA7370"/>
    <w:rsid w:val="00BA7455"/>
    <w:rsid w:val="00BA778B"/>
    <w:rsid w:val="00BA7E10"/>
    <w:rsid w:val="00BB06A1"/>
    <w:rsid w:val="00BB0888"/>
    <w:rsid w:val="00BB0DF1"/>
    <w:rsid w:val="00BB0E81"/>
    <w:rsid w:val="00BB0E9B"/>
    <w:rsid w:val="00BB19CD"/>
    <w:rsid w:val="00BB2841"/>
    <w:rsid w:val="00BB2C39"/>
    <w:rsid w:val="00BB300F"/>
    <w:rsid w:val="00BB32C9"/>
    <w:rsid w:val="00BB35C5"/>
    <w:rsid w:val="00BB45F7"/>
    <w:rsid w:val="00BB4C8E"/>
    <w:rsid w:val="00BB57ED"/>
    <w:rsid w:val="00BB65C3"/>
    <w:rsid w:val="00BB662E"/>
    <w:rsid w:val="00BB67A9"/>
    <w:rsid w:val="00BB6C01"/>
    <w:rsid w:val="00BB7198"/>
    <w:rsid w:val="00BB7942"/>
    <w:rsid w:val="00BB7A1E"/>
    <w:rsid w:val="00BB7CD1"/>
    <w:rsid w:val="00BC095D"/>
    <w:rsid w:val="00BC0F33"/>
    <w:rsid w:val="00BC14A7"/>
    <w:rsid w:val="00BC15C8"/>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056"/>
    <w:rsid w:val="00BC73A7"/>
    <w:rsid w:val="00BC7BC1"/>
    <w:rsid w:val="00BD0140"/>
    <w:rsid w:val="00BD02CC"/>
    <w:rsid w:val="00BD088E"/>
    <w:rsid w:val="00BD0F18"/>
    <w:rsid w:val="00BD194C"/>
    <w:rsid w:val="00BD2063"/>
    <w:rsid w:val="00BD2636"/>
    <w:rsid w:val="00BD33D9"/>
    <w:rsid w:val="00BD38C5"/>
    <w:rsid w:val="00BD3DEA"/>
    <w:rsid w:val="00BD3E97"/>
    <w:rsid w:val="00BD40E4"/>
    <w:rsid w:val="00BD4385"/>
    <w:rsid w:val="00BD4550"/>
    <w:rsid w:val="00BD52FE"/>
    <w:rsid w:val="00BD5790"/>
    <w:rsid w:val="00BD5FD5"/>
    <w:rsid w:val="00BD62CF"/>
    <w:rsid w:val="00BD651F"/>
    <w:rsid w:val="00BD67B2"/>
    <w:rsid w:val="00BD68E2"/>
    <w:rsid w:val="00BD6A55"/>
    <w:rsid w:val="00BD6C11"/>
    <w:rsid w:val="00BD7624"/>
    <w:rsid w:val="00BD76E5"/>
    <w:rsid w:val="00BD78FE"/>
    <w:rsid w:val="00BD7D10"/>
    <w:rsid w:val="00BD7D8A"/>
    <w:rsid w:val="00BE0149"/>
    <w:rsid w:val="00BE0767"/>
    <w:rsid w:val="00BE0A2B"/>
    <w:rsid w:val="00BE12D7"/>
    <w:rsid w:val="00BE1372"/>
    <w:rsid w:val="00BE1775"/>
    <w:rsid w:val="00BE18DA"/>
    <w:rsid w:val="00BE1C37"/>
    <w:rsid w:val="00BE26C0"/>
    <w:rsid w:val="00BE3090"/>
    <w:rsid w:val="00BE3442"/>
    <w:rsid w:val="00BE37CD"/>
    <w:rsid w:val="00BE3FF2"/>
    <w:rsid w:val="00BE47B2"/>
    <w:rsid w:val="00BE488E"/>
    <w:rsid w:val="00BE48C7"/>
    <w:rsid w:val="00BE48F2"/>
    <w:rsid w:val="00BE4C4F"/>
    <w:rsid w:val="00BE4F66"/>
    <w:rsid w:val="00BE5238"/>
    <w:rsid w:val="00BE56EE"/>
    <w:rsid w:val="00BE6074"/>
    <w:rsid w:val="00BE6B24"/>
    <w:rsid w:val="00BE6FF2"/>
    <w:rsid w:val="00BE7257"/>
    <w:rsid w:val="00BE7611"/>
    <w:rsid w:val="00BF020D"/>
    <w:rsid w:val="00BF0609"/>
    <w:rsid w:val="00BF0A80"/>
    <w:rsid w:val="00BF0E64"/>
    <w:rsid w:val="00BF0EE8"/>
    <w:rsid w:val="00BF1DD2"/>
    <w:rsid w:val="00BF23A3"/>
    <w:rsid w:val="00BF2480"/>
    <w:rsid w:val="00BF29FF"/>
    <w:rsid w:val="00BF2A7E"/>
    <w:rsid w:val="00BF3331"/>
    <w:rsid w:val="00BF3A45"/>
    <w:rsid w:val="00BF436F"/>
    <w:rsid w:val="00BF5C05"/>
    <w:rsid w:val="00BF6FC6"/>
    <w:rsid w:val="00BF7C52"/>
    <w:rsid w:val="00BF7F99"/>
    <w:rsid w:val="00C0015F"/>
    <w:rsid w:val="00C00713"/>
    <w:rsid w:val="00C009A0"/>
    <w:rsid w:val="00C01912"/>
    <w:rsid w:val="00C01F74"/>
    <w:rsid w:val="00C02558"/>
    <w:rsid w:val="00C0285F"/>
    <w:rsid w:val="00C02F35"/>
    <w:rsid w:val="00C03305"/>
    <w:rsid w:val="00C03515"/>
    <w:rsid w:val="00C03738"/>
    <w:rsid w:val="00C037A6"/>
    <w:rsid w:val="00C0427E"/>
    <w:rsid w:val="00C043F5"/>
    <w:rsid w:val="00C044E3"/>
    <w:rsid w:val="00C04607"/>
    <w:rsid w:val="00C04BDB"/>
    <w:rsid w:val="00C0500C"/>
    <w:rsid w:val="00C052C6"/>
    <w:rsid w:val="00C055AB"/>
    <w:rsid w:val="00C05A61"/>
    <w:rsid w:val="00C05FEE"/>
    <w:rsid w:val="00C06CCF"/>
    <w:rsid w:val="00C06F3F"/>
    <w:rsid w:val="00C0794D"/>
    <w:rsid w:val="00C10688"/>
    <w:rsid w:val="00C10D37"/>
    <w:rsid w:val="00C10E78"/>
    <w:rsid w:val="00C114A0"/>
    <w:rsid w:val="00C1159D"/>
    <w:rsid w:val="00C1233E"/>
    <w:rsid w:val="00C123F6"/>
    <w:rsid w:val="00C12475"/>
    <w:rsid w:val="00C12FB3"/>
    <w:rsid w:val="00C138BC"/>
    <w:rsid w:val="00C13BFD"/>
    <w:rsid w:val="00C13D85"/>
    <w:rsid w:val="00C13F99"/>
    <w:rsid w:val="00C14639"/>
    <w:rsid w:val="00C14E82"/>
    <w:rsid w:val="00C14FF6"/>
    <w:rsid w:val="00C15A85"/>
    <w:rsid w:val="00C15CC3"/>
    <w:rsid w:val="00C1637C"/>
    <w:rsid w:val="00C1641B"/>
    <w:rsid w:val="00C165FC"/>
    <w:rsid w:val="00C16731"/>
    <w:rsid w:val="00C1684D"/>
    <w:rsid w:val="00C17109"/>
    <w:rsid w:val="00C17492"/>
    <w:rsid w:val="00C176D5"/>
    <w:rsid w:val="00C17D24"/>
    <w:rsid w:val="00C17DF9"/>
    <w:rsid w:val="00C20539"/>
    <w:rsid w:val="00C2082C"/>
    <w:rsid w:val="00C20EB0"/>
    <w:rsid w:val="00C21004"/>
    <w:rsid w:val="00C21005"/>
    <w:rsid w:val="00C2143A"/>
    <w:rsid w:val="00C220B6"/>
    <w:rsid w:val="00C22CF5"/>
    <w:rsid w:val="00C22D7C"/>
    <w:rsid w:val="00C22DDE"/>
    <w:rsid w:val="00C2338B"/>
    <w:rsid w:val="00C233CE"/>
    <w:rsid w:val="00C2344D"/>
    <w:rsid w:val="00C23639"/>
    <w:rsid w:val="00C237DD"/>
    <w:rsid w:val="00C238F4"/>
    <w:rsid w:val="00C23A99"/>
    <w:rsid w:val="00C23A9E"/>
    <w:rsid w:val="00C245EE"/>
    <w:rsid w:val="00C24AE1"/>
    <w:rsid w:val="00C24B8D"/>
    <w:rsid w:val="00C24BD7"/>
    <w:rsid w:val="00C25813"/>
    <w:rsid w:val="00C26861"/>
    <w:rsid w:val="00C27143"/>
    <w:rsid w:val="00C272CE"/>
    <w:rsid w:val="00C27490"/>
    <w:rsid w:val="00C27D37"/>
    <w:rsid w:val="00C30945"/>
    <w:rsid w:val="00C309E8"/>
    <w:rsid w:val="00C314E9"/>
    <w:rsid w:val="00C31EEA"/>
    <w:rsid w:val="00C32017"/>
    <w:rsid w:val="00C32571"/>
    <w:rsid w:val="00C325CD"/>
    <w:rsid w:val="00C32815"/>
    <w:rsid w:val="00C3322E"/>
    <w:rsid w:val="00C332AD"/>
    <w:rsid w:val="00C333B4"/>
    <w:rsid w:val="00C337F5"/>
    <w:rsid w:val="00C33B90"/>
    <w:rsid w:val="00C34161"/>
    <w:rsid w:val="00C34B5F"/>
    <w:rsid w:val="00C358D4"/>
    <w:rsid w:val="00C35AAA"/>
    <w:rsid w:val="00C362D4"/>
    <w:rsid w:val="00C365C6"/>
    <w:rsid w:val="00C366F4"/>
    <w:rsid w:val="00C36785"/>
    <w:rsid w:val="00C36895"/>
    <w:rsid w:val="00C36D17"/>
    <w:rsid w:val="00C3711C"/>
    <w:rsid w:val="00C37256"/>
    <w:rsid w:val="00C37A7B"/>
    <w:rsid w:val="00C37AF2"/>
    <w:rsid w:val="00C37FFE"/>
    <w:rsid w:val="00C40B50"/>
    <w:rsid w:val="00C41348"/>
    <w:rsid w:val="00C419E3"/>
    <w:rsid w:val="00C419F4"/>
    <w:rsid w:val="00C41E6A"/>
    <w:rsid w:val="00C41FE0"/>
    <w:rsid w:val="00C42093"/>
    <w:rsid w:val="00C42247"/>
    <w:rsid w:val="00C439BE"/>
    <w:rsid w:val="00C4494B"/>
    <w:rsid w:val="00C4539B"/>
    <w:rsid w:val="00C45466"/>
    <w:rsid w:val="00C454EB"/>
    <w:rsid w:val="00C455C1"/>
    <w:rsid w:val="00C45620"/>
    <w:rsid w:val="00C4581D"/>
    <w:rsid w:val="00C45FE3"/>
    <w:rsid w:val="00C46269"/>
    <w:rsid w:val="00C47472"/>
    <w:rsid w:val="00C500F0"/>
    <w:rsid w:val="00C504A7"/>
    <w:rsid w:val="00C506C9"/>
    <w:rsid w:val="00C50A16"/>
    <w:rsid w:val="00C51C9A"/>
    <w:rsid w:val="00C51FAA"/>
    <w:rsid w:val="00C5222E"/>
    <w:rsid w:val="00C52C68"/>
    <w:rsid w:val="00C52D98"/>
    <w:rsid w:val="00C52DA1"/>
    <w:rsid w:val="00C53D24"/>
    <w:rsid w:val="00C54640"/>
    <w:rsid w:val="00C547A6"/>
    <w:rsid w:val="00C547EB"/>
    <w:rsid w:val="00C54A3A"/>
    <w:rsid w:val="00C55B52"/>
    <w:rsid w:val="00C55C32"/>
    <w:rsid w:val="00C56976"/>
    <w:rsid w:val="00C56A67"/>
    <w:rsid w:val="00C56CC2"/>
    <w:rsid w:val="00C57498"/>
    <w:rsid w:val="00C5763C"/>
    <w:rsid w:val="00C5780C"/>
    <w:rsid w:val="00C5796B"/>
    <w:rsid w:val="00C602BF"/>
    <w:rsid w:val="00C612C4"/>
    <w:rsid w:val="00C619A1"/>
    <w:rsid w:val="00C61B46"/>
    <w:rsid w:val="00C61D71"/>
    <w:rsid w:val="00C62027"/>
    <w:rsid w:val="00C621FC"/>
    <w:rsid w:val="00C62370"/>
    <w:rsid w:val="00C62BBB"/>
    <w:rsid w:val="00C6305F"/>
    <w:rsid w:val="00C6325B"/>
    <w:rsid w:val="00C63491"/>
    <w:rsid w:val="00C63E99"/>
    <w:rsid w:val="00C64183"/>
    <w:rsid w:val="00C649B8"/>
    <w:rsid w:val="00C64A64"/>
    <w:rsid w:val="00C64C39"/>
    <w:rsid w:val="00C65151"/>
    <w:rsid w:val="00C657F4"/>
    <w:rsid w:val="00C6598D"/>
    <w:rsid w:val="00C660FE"/>
    <w:rsid w:val="00C66119"/>
    <w:rsid w:val="00C66292"/>
    <w:rsid w:val="00C672A3"/>
    <w:rsid w:val="00C672F1"/>
    <w:rsid w:val="00C673D0"/>
    <w:rsid w:val="00C6742E"/>
    <w:rsid w:val="00C67B0B"/>
    <w:rsid w:val="00C67D3B"/>
    <w:rsid w:val="00C67FDE"/>
    <w:rsid w:val="00C70012"/>
    <w:rsid w:val="00C708D6"/>
    <w:rsid w:val="00C71437"/>
    <w:rsid w:val="00C71C91"/>
    <w:rsid w:val="00C71E2A"/>
    <w:rsid w:val="00C733BA"/>
    <w:rsid w:val="00C741A4"/>
    <w:rsid w:val="00C754A1"/>
    <w:rsid w:val="00C760DC"/>
    <w:rsid w:val="00C761FC"/>
    <w:rsid w:val="00C761FF"/>
    <w:rsid w:val="00C762D5"/>
    <w:rsid w:val="00C767D6"/>
    <w:rsid w:val="00C76931"/>
    <w:rsid w:val="00C76972"/>
    <w:rsid w:val="00C77FAB"/>
    <w:rsid w:val="00C802F2"/>
    <w:rsid w:val="00C8082B"/>
    <w:rsid w:val="00C812CE"/>
    <w:rsid w:val="00C815E1"/>
    <w:rsid w:val="00C81A88"/>
    <w:rsid w:val="00C81D46"/>
    <w:rsid w:val="00C82298"/>
    <w:rsid w:val="00C82A80"/>
    <w:rsid w:val="00C833B4"/>
    <w:rsid w:val="00C838B0"/>
    <w:rsid w:val="00C83B74"/>
    <w:rsid w:val="00C83D95"/>
    <w:rsid w:val="00C841DE"/>
    <w:rsid w:val="00C84284"/>
    <w:rsid w:val="00C84B35"/>
    <w:rsid w:val="00C84E33"/>
    <w:rsid w:val="00C8540F"/>
    <w:rsid w:val="00C85F28"/>
    <w:rsid w:val="00C85FFC"/>
    <w:rsid w:val="00C860DB"/>
    <w:rsid w:val="00C861FC"/>
    <w:rsid w:val="00C86C87"/>
    <w:rsid w:val="00C86C93"/>
    <w:rsid w:val="00C87F29"/>
    <w:rsid w:val="00C9005E"/>
    <w:rsid w:val="00C90111"/>
    <w:rsid w:val="00C9038E"/>
    <w:rsid w:val="00C9077B"/>
    <w:rsid w:val="00C90CA9"/>
    <w:rsid w:val="00C90F88"/>
    <w:rsid w:val="00C911A3"/>
    <w:rsid w:val="00C915F2"/>
    <w:rsid w:val="00C917B1"/>
    <w:rsid w:val="00C9193C"/>
    <w:rsid w:val="00C91AB6"/>
    <w:rsid w:val="00C91B77"/>
    <w:rsid w:val="00C920E2"/>
    <w:rsid w:val="00C920FD"/>
    <w:rsid w:val="00C924EF"/>
    <w:rsid w:val="00C926E0"/>
    <w:rsid w:val="00C93765"/>
    <w:rsid w:val="00C93877"/>
    <w:rsid w:val="00C93D8C"/>
    <w:rsid w:val="00C93E07"/>
    <w:rsid w:val="00C946CC"/>
    <w:rsid w:val="00C94D4E"/>
    <w:rsid w:val="00C959BD"/>
    <w:rsid w:val="00C95D65"/>
    <w:rsid w:val="00C95DFE"/>
    <w:rsid w:val="00C95F44"/>
    <w:rsid w:val="00C96D1B"/>
    <w:rsid w:val="00C96D2A"/>
    <w:rsid w:val="00C97106"/>
    <w:rsid w:val="00C978D4"/>
    <w:rsid w:val="00C979B3"/>
    <w:rsid w:val="00CA0031"/>
    <w:rsid w:val="00CA00DE"/>
    <w:rsid w:val="00CA0413"/>
    <w:rsid w:val="00CA043A"/>
    <w:rsid w:val="00CA0CBA"/>
    <w:rsid w:val="00CA0E51"/>
    <w:rsid w:val="00CA0E81"/>
    <w:rsid w:val="00CA13AA"/>
    <w:rsid w:val="00CA1691"/>
    <w:rsid w:val="00CA1D65"/>
    <w:rsid w:val="00CA25D0"/>
    <w:rsid w:val="00CA2738"/>
    <w:rsid w:val="00CA2798"/>
    <w:rsid w:val="00CA2D2E"/>
    <w:rsid w:val="00CA2D98"/>
    <w:rsid w:val="00CA4120"/>
    <w:rsid w:val="00CA41E7"/>
    <w:rsid w:val="00CA4A99"/>
    <w:rsid w:val="00CA5520"/>
    <w:rsid w:val="00CA5812"/>
    <w:rsid w:val="00CA5A97"/>
    <w:rsid w:val="00CA5BD4"/>
    <w:rsid w:val="00CA5C14"/>
    <w:rsid w:val="00CA5D46"/>
    <w:rsid w:val="00CA6ABB"/>
    <w:rsid w:val="00CA6DBF"/>
    <w:rsid w:val="00CA76FC"/>
    <w:rsid w:val="00CA781A"/>
    <w:rsid w:val="00CA7E7B"/>
    <w:rsid w:val="00CB0236"/>
    <w:rsid w:val="00CB143B"/>
    <w:rsid w:val="00CB1969"/>
    <w:rsid w:val="00CB19E3"/>
    <w:rsid w:val="00CB1B20"/>
    <w:rsid w:val="00CB1F3A"/>
    <w:rsid w:val="00CB2AE8"/>
    <w:rsid w:val="00CB2C3A"/>
    <w:rsid w:val="00CB2D38"/>
    <w:rsid w:val="00CB3448"/>
    <w:rsid w:val="00CB375A"/>
    <w:rsid w:val="00CB39CD"/>
    <w:rsid w:val="00CB4137"/>
    <w:rsid w:val="00CB4378"/>
    <w:rsid w:val="00CB44BD"/>
    <w:rsid w:val="00CB52D0"/>
    <w:rsid w:val="00CB5578"/>
    <w:rsid w:val="00CB5671"/>
    <w:rsid w:val="00CB591C"/>
    <w:rsid w:val="00CB5943"/>
    <w:rsid w:val="00CB61B3"/>
    <w:rsid w:val="00CB6F83"/>
    <w:rsid w:val="00CB72AE"/>
    <w:rsid w:val="00CB7399"/>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877"/>
    <w:rsid w:val="00CC390A"/>
    <w:rsid w:val="00CC3D38"/>
    <w:rsid w:val="00CC40C3"/>
    <w:rsid w:val="00CC4C95"/>
    <w:rsid w:val="00CC4E5D"/>
    <w:rsid w:val="00CC50AE"/>
    <w:rsid w:val="00CC5FFE"/>
    <w:rsid w:val="00CC61B7"/>
    <w:rsid w:val="00CC61CA"/>
    <w:rsid w:val="00CC69EC"/>
    <w:rsid w:val="00CC71D3"/>
    <w:rsid w:val="00CC724B"/>
    <w:rsid w:val="00CC7414"/>
    <w:rsid w:val="00CC743D"/>
    <w:rsid w:val="00CC78D7"/>
    <w:rsid w:val="00CC7A62"/>
    <w:rsid w:val="00CD0392"/>
    <w:rsid w:val="00CD050A"/>
    <w:rsid w:val="00CD1017"/>
    <w:rsid w:val="00CD136D"/>
    <w:rsid w:val="00CD205D"/>
    <w:rsid w:val="00CD2A22"/>
    <w:rsid w:val="00CD2B50"/>
    <w:rsid w:val="00CD3172"/>
    <w:rsid w:val="00CD3E1C"/>
    <w:rsid w:val="00CD405C"/>
    <w:rsid w:val="00CD4506"/>
    <w:rsid w:val="00CD520B"/>
    <w:rsid w:val="00CD523D"/>
    <w:rsid w:val="00CD54B8"/>
    <w:rsid w:val="00CD592E"/>
    <w:rsid w:val="00CD5982"/>
    <w:rsid w:val="00CD5A1A"/>
    <w:rsid w:val="00CD5FE8"/>
    <w:rsid w:val="00CD7B98"/>
    <w:rsid w:val="00CD7EFA"/>
    <w:rsid w:val="00CE020E"/>
    <w:rsid w:val="00CE02A6"/>
    <w:rsid w:val="00CE0566"/>
    <w:rsid w:val="00CE0B60"/>
    <w:rsid w:val="00CE1520"/>
    <w:rsid w:val="00CE1CD4"/>
    <w:rsid w:val="00CE2761"/>
    <w:rsid w:val="00CE28FC"/>
    <w:rsid w:val="00CE2C18"/>
    <w:rsid w:val="00CE314E"/>
    <w:rsid w:val="00CE38BF"/>
    <w:rsid w:val="00CE39BA"/>
    <w:rsid w:val="00CE3D5C"/>
    <w:rsid w:val="00CE3E09"/>
    <w:rsid w:val="00CE3E14"/>
    <w:rsid w:val="00CE4176"/>
    <w:rsid w:val="00CE41C5"/>
    <w:rsid w:val="00CE44C7"/>
    <w:rsid w:val="00CE53B7"/>
    <w:rsid w:val="00CE53CC"/>
    <w:rsid w:val="00CE65A7"/>
    <w:rsid w:val="00CE68FE"/>
    <w:rsid w:val="00CE697B"/>
    <w:rsid w:val="00CE69CC"/>
    <w:rsid w:val="00CE6A78"/>
    <w:rsid w:val="00CE6C7D"/>
    <w:rsid w:val="00CE6EC4"/>
    <w:rsid w:val="00CE7F26"/>
    <w:rsid w:val="00CF041E"/>
    <w:rsid w:val="00CF0A8D"/>
    <w:rsid w:val="00CF1226"/>
    <w:rsid w:val="00CF12D4"/>
    <w:rsid w:val="00CF1ABB"/>
    <w:rsid w:val="00CF1BCA"/>
    <w:rsid w:val="00CF1E1D"/>
    <w:rsid w:val="00CF24FE"/>
    <w:rsid w:val="00CF287F"/>
    <w:rsid w:val="00CF2F00"/>
    <w:rsid w:val="00CF3064"/>
    <w:rsid w:val="00CF35D0"/>
    <w:rsid w:val="00CF3B57"/>
    <w:rsid w:val="00CF3DD5"/>
    <w:rsid w:val="00CF3FF9"/>
    <w:rsid w:val="00CF413E"/>
    <w:rsid w:val="00CF481B"/>
    <w:rsid w:val="00CF4AF7"/>
    <w:rsid w:val="00CF4D20"/>
    <w:rsid w:val="00CF4D64"/>
    <w:rsid w:val="00CF5838"/>
    <w:rsid w:val="00CF63C4"/>
    <w:rsid w:val="00CF673F"/>
    <w:rsid w:val="00CF73F8"/>
    <w:rsid w:val="00CF7550"/>
    <w:rsid w:val="00CF7928"/>
    <w:rsid w:val="00CF7CA2"/>
    <w:rsid w:val="00CF7D8A"/>
    <w:rsid w:val="00D00911"/>
    <w:rsid w:val="00D00A8E"/>
    <w:rsid w:val="00D00B6A"/>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90E"/>
    <w:rsid w:val="00D04B9F"/>
    <w:rsid w:val="00D04FFB"/>
    <w:rsid w:val="00D051C5"/>
    <w:rsid w:val="00D055FE"/>
    <w:rsid w:val="00D058E9"/>
    <w:rsid w:val="00D0612A"/>
    <w:rsid w:val="00D06601"/>
    <w:rsid w:val="00D06E6B"/>
    <w:rsid w:val="00D06F14"/>
    <w:rsid w:val="00D072DE"/>
    <w:rsid w:val="00D07315"/>
    <w:rsid w:val="00D07FA1"/>
    <w:rsid w:val="00D1060D"/>
    <w:rsid w:val="00D10E7C"/>
    <w:rsid w:val="00D11182"/>
    <w:rsid w:val="00D1137B"/>
    <w:rsid w:val="00D11807"/>
    <w:rsid w:val="00D119AA"/>
    <w:rsid w:val="00D11DB3"/>
    <w:rsid w:val="00D12D82"/>
    <w:rsid w:val="00D12F77"/>
    <w:rsid w:val="00D1306E"/>
    <w:rsid w:val="00D1328C"/>
    <w:rsid w:val="00D134CD"/>
    <w:rsid w:val="00D14B5F"/>
    <w:rsid w:val="00D14E13"/>
    <w:rsid w:val="00D14F23"/>
    <w:rsid w:val="00D14FFE"/>
    <w:rsid w:val="00D15CC9"/>
    <w:rsid w:val="00D160F6"/>
    <w:rsid w:val="00D16740"/>
    <w:rsid w:val="00D16A8B"/>
    <w:rsid w:val="00D16E39"/>
    <w:rsid w:val="00D172A4"/>
    <w:rsid w:val="00D1771A"/>
    <w:rsid w:val="00D17951"/>
    <w:rsid w:val="00D17A6C"/>
    <w:rsid w:val="00D17AD8"/>
    <w:rsid w:val="00D207C8"/>
    <w:rsid w:val="00D2098B"/>
    <w:rsid w:val="00D2104A"/>
    <w:rsid w:val="00D21BB5"/>
    <w:rsid w:val="00D21FFC"/>
    <w:rsid w:val="00D2205F"/>
    <w:rsid w:val="00D223B6"/>
    <w:rsid w:val="00D223E8"/>
    <w:rsid w:val="00D224E1"/>
    <w:rsid w:val="00D22DC8"/>
    <w:rsid w:val="00D22F78"/>
    <w:rsid w:val="00D233A6"/>
    <w:rsid w:val="00D23D40"/>
    <w:rsid w:val="00D2477B"/>
    <w:rsid w:val="00D2522A"/>
    <w:rsid w:val="00D2531C"/>
    <w:rsid w:val="00D2553E"/>
    <w:rsid w:val="00D255B7"/>
    <w:rsid w:val="00D25B7E"/>
    <w:rsid w:val="00D25E64"/>
    <w:rsid w:val="00D26F0B"/>
    <w:rsid w:val="00D26FFB"/>
    <w:rsid w:val="00D27266"/>
    <w:rsid w:val="00D2742F"/>
    <w:rsid w:val="00D2754F"/>
    <w:rsid w:val="00D2777A"/>
    <w:rsid w:val="00D277C5"/>
    <w:rsid w:val="00D279D9"/>
    <w:rsid w:val="00D300E3"/>
    <w:rsid w:val="00D3011D"/>
    <w:rsid w:val="00D305EC"/>
    <w:rsid w:val="00D312DC"/>
    <w:rsid w:val="00D31B84"/>
    <w:rsid w:val="00D31C6A"/>
    <w:rsid w:val="00D31EDF"/>
    <w:rsid w:val="00D31FF9"/>
    <w:rsid w:val="00D32149"/>
    <w:rsid w:val="00D32256"/>
    <w:rsid w:val="00D32A27"/>
    <w:rsid w:val="00D32ABC"/>
    <w:rsid w:val="00D32E70"/>
    <w:rsid w:val="00D338F9"/>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3452"/>
    <w:rsid w:val="00D4498E"/>
    <w:rsid w:val="00D4515F"/>
    <w:rsid w:val="00D451E8"/>
    <w:rsid w:val="00D46185"/>
    <w:rsid w:val="00D4641D"/>
    <w:rsid w:val="00D466C9"/>
    <w:rsid w:val="00D46FAA"/>
    <w:rsid w:val="00D47275"/>
    <w:rsid w:val="00D47449"/>
    <w:rsid w:val="00D47AA6"/>
    <w:rsid w:val="00D50689"/>
    <w:rsid w:val="00D51064"/>
    <w:rsid w:val="00D511DC"/>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40"/>
    <w:rsid w:val="00D57E9C"/>
    <w:rsid w:val="00D60327"/>
    <w:rsid w:val="00D61384"/>
    <w:rsid w:val="00D61526"/>
    <w:rsid w:val="00D61556"/>
    <w:rsid w:val="00D61F81"/>
    <w:rsid w:val="00D6271A"/>
    <w:rsid w:val="00D6276C"/>
    <w:rsid w:val="00D62BE6"/>
    <w:rsid w:val="00D62BFC"/>
    <w:rsid w:val="00D63286"/>
    <w:rsid w:val="00D63766"/>
    <w:rsid w:val="00D63912"/>
    <w:rsid w:val="00D63923"/>
    <w:rsid w:val="00D63A42"/>
    <w:rsid w:val="00D6451B"/>
    <w:rsid w:val="00D64A76"/>
    <w:rsid w:val="00D64B57"/>
    <w:rsid w:val="00D651A1"/>
    <w:rsid w:val="00D6528F"/>
    <w:rsid w:val="00D65DEA"/>
    <w:rsid w:val="00D66556"/>
    <w:rsid w:val="00D66579"/>
    <w:rsid w:val="00D66A0A"/>
    <w:rsid w:val="00D676D3"/>
    <w:rsid w:val="00D67B06"/>
    <w:rsid w:val="00D67BC7"/>
    <w:rsid w:val="00D701F1"/>
    <w:rsid w:val="00D705D3"/>
    <w:rsid w:val="00D7096C"/>
    <w:rsid w:val="00D709C2"/>
    <w:rsid w:val="00D70E00"/>
    <w:rsid w:val="00D70F7C"/>
    <w:rsid w:val="00D7145B"/>
    <w:rsid w:val="00D715AC"/>
    <w:rsid w:val="00D71851"/>
    <w:rsid w:val="00D718CF"/>
    <w:rsid w:val="00D728F5"/>
    <w:rsid w:val="00D72E9D"/>
    <w:rsid w:val="00D73249"/>
    <w:rsid w:val="00D73419"/>
    <w:rsid w:val="00D73CA9"/>
    <w:rsid w:val="00D7422E"/>
    <w:rsid w:val="00D751B7"/>
    <w:rsid w:val="00D7524B"/>
    <w:rsid w:val="00D75396"/>
    <w:rsid w:val="00D759C0"/>
    <w:rsid w:val="00D75E99"/>
    <w:rsid w:val="00D765CE"/>
    <w:rsid w:val="00D766C7"/>
    <w:rsid w:val="00D7692B"/>
    <w:rsid w:val="00D7734F"/>
    <w:rsid w:val="00D77E42"/>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329"/>
    <w:rsid w:val="00D8342C"/>
    <w:rsid w:val="00D83B40"/>
    <w:rsid w:val="00D850BB"/>
    <w:rsid w:val="00D85494"/>
    <w:rsid w:val="00D8582C"/>
    <w:rsid w:val="00D85D61"/>
    <w:rsid w:val="00D8616D"/>
    <w:rsid w:val="00D86757"/>
    <w:rsid w:val="00D8711B"/>
    <w:rsid w:val="00D87384"/>
    <w:rsid w:val="00D90650"/>
    <w:rsid w:val="00D90683"/>
    <w:rsid w:val="00D90B2A"/>
    <w:rsid w:val="00D91483"/>
    <w:rsid w:val="00D915C8"/>
    <w:rsid w:val="00D91F06"/>
    <w:rsid w:val="00D9284B"/>
    <w:rsid w:val="00D92C14"/>
    <w:rsid w:val="00D9310B"/>
    <w:rsid w:val="00D931F3"/>
    <w:rsid w:val="00D9326A"/>
    <w:rsid w:val="00D93726"/>
    <w:rsid w:val="00D937D4"/>
    <w:rsid w:val="00D93F3E"/>
    <w:rsid w:val="00D9405B"/>
    <w:rsid w:val="00D94382"/>
    <w:rsid w:val="00D94942"/>
    <w:rsid w:val="00D94C7F"/>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351"/>
    <w:rsid w:val="00DA4842"/>
    <w:rsid w:val="00DA4D91"/>
    <w:rsid w:val="00DA5989"/>
    <w:rsid w:val="00DA5AB1"/>
    <w:rsid w:val="00DA5F9D"/>
    <w:rsid w:val="00DA5FFB"/>
    <w:rsid w:val="00DA6918"/>
    <w:rsid w:val="00DA69B2"/>
    <w:rsid w:val="00DA7462"/>
    <w:rsid w:val="00DA7AD0"/>
    <w:rsid w:val="00DA7FAB"/>
    <w:rsid w:val="00DB02D7"/>
    <w:rsid w:val="00DB03CC"/>
    <w:rsid w:val="00DB12D4"/>
    <w:rsid w:val="00DB14F0"/>
    <w:rsid w:val="00DB1745"/>
    <w:rsid w:val="00DB19BB"/>
    <w:rsid w:val="00DB1AFF"/>
    <w:rsid w:val="00DB219A"/>
    <w:rsid w:val="00DB239C"/>
    <w:rsid w:val="00DB23BE"/>
    <w:rsid w:val="00DB24BE"/>
    <w:rsid w:val="00DB3165"/>
    <w:rsid w:val="00DB37F3"/>
    <w:rsid w:val="00DB4292"/>
    <w:rsid w:val="00DB5023"/>
    <w:rsid w:val="00DB5FD9"/>
    <w:rsid w:val="00DB66A7"/>
    <w:rsid w:val="00DB6B8D"/>
    <w:rsid w:val="00DB6E46"/>
    <w:rsid w:val="00DB7117"/>
    <w:rsid w:val="00DB726E"/>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C9C"/>
    <w:rsid w:val="00DC6D70"/>
    <w:rsid w:val="00DC6F33"/>
    <w:rsid w:val="00DC7349"/>
    <w:rsid w:val="00DD0D6A"/>
    <w:rsid w:val="00DD0FC1"/>
    <w:rsid w:val="00DD14D8"/>
    <w:rsid w:val="00DD1599"/>
    <w:rsid w:val="00DD1B03"/>
    <w:rsid w:val="00DD1C4A"/>
    <w:rsid w:val="00DD1E43"/>
    <w:rsid w:val="00DD20A7"/>
    <w:rsid w:val="00DD2688"/>
    <w:rsid w:val="00DD2A62"/>
    <w:rsid w:val="00DD2F2F"/>
    <w:rsid w:val="00DD2F7A"/>
    <w:rsid w:val="00DD3885"/>
    <w:rsid w:val="00DD3D76"/>
    <w:rsid w:val="00DD416A"/>
    <w:rsid w:val="00DD44D1"/>
    <w:rsid w:val="00DD4EE3"/>
    <w:rsid w:val="00DD4F78"/>
    <w:rsid w:val="00DD51C3"/>
    <w:rsid w:val="00DD5808"/>
    <w:rsid w:val="00DD5946"/>
    <w:rsid w:val="00DD5B04"/>
    <w:rsid w:val="00DD5DAE"/>
    <w:rsid w:val="00DD5EC6"/>
    <w:rsid w:val="00DD5F33"/>
    <w:rsid w:val="00DD605F"/>
    <w:rsid w:val="00DD7260"/>
    <w:rsid w:val="00DD72A0"/>
    <w:rsid w:val="00DD735D"/>
    <w:rsid w:val="00DE0159"/>
    <w:rsid w:val="00DE064A"/>
    <w:rsid w:val="00DE082D"/>
    <w:rsid w:val="00DE0FA5"/>
    <w:rsid w:val="00DE0FEE"/>
    <w:rsid w:val="00DE1410"/>
    <w:rsid w:val="00DE1786"/>
    <w:rsid w:val="00DE2038"/>
    <w:rsid w:val="00DE20C6"/>
    <w:rsid w:val="00DE2926"/>
    <w:rsid w:val="00DE3119"/>
    <w:rsid w:val="00DE3920"/>
    <w:rsid w:val="00DE3FF0"/>
    <w:rsid w:val="00DE4105"/>
    <w:rsid w:val="00DE41C4"/>
    <w:rsid w:val="00DE4853"/>
    <w:rsid w:val="00DE5189"/>
    <w:rsid w:val="00DE5B5A"/>
    <w:rsid w:val="00DE64DE"/>
    <w:rsid w:val="00DE7108"/>
    <w:rsid w:val="00DE71E3"/>
    <w:rsid w:val="00DE7779"/>
    <w:rsid w:val="00DE78D1"/>
    <w:rsid w:val="00DE78FF"/>
    <w:rsid w:val="00DF0263"/>
    <w:rsid w:val="00DF04F1"/>
    <w:rsid w:val="00DF0EB4"/>
    <w:rsid w:val="00DF158B"/>
    <w:rsid w:val="00DF193C"/>
    <w:rsid w:val="00DF1BE8"/>
    <w:rsid w:val="00DF1E36"/>
    <w:rsid w:val="00DF236B"/>
    <w:rsid w:val="00DF2A91"/>
    <w:rsid w:val="00DF32A4"/>
    <w:rsid w:val="00DF3889"/>
    <w:rsid w:val="00DF3CC9"/>
    <w:rsid w:val="00DF4076"/>
    <w:rsid w:val="00DF4451"/>
    <w:rsid w:val="00DF49FF"/>
    <w:rsid w:val="00DF4A0E"/>
    <w:rsid w:val="00DF4FFB"/>
    <w:rsid w:val="00DF5236"/>
    <w:rsid w:val="00DF6051"/>
    <w:rsid w:val="00DF6223"/>
    <w:rsid w:val="00DF651F"/>
    <w:rsid w:val="00DF670E"/>
    <w:rsid w:val="00DF6ADB"/>
    <w:rsid w:val="00DF6ED5"/>
    <w:rsid w:val="00DF6F43"/>
    <w:rsid w:val="00DF7420"/>
    <w:rsid w:val="00DF752F"/>
    <w:rsid w:val="00DF76A2"/>
    <w:rsid w:val="00E00585"/>
    <w:rsid w:val="00E00A74"/>
    <w:rsid w:val="00E00B7A"/>
    <w:rsid w:val="00E01FDD"/>
    <w:rsid w:val="00E02186"/>
    <w:rsid w:val="00E026BB"/>
    <w:rsid w:val="00E027C5"/>
    <w:rsid w:val="00E02B52"/>
    <w:rsid w:val="00E03124"/>
    <w:rsid w:val="00E031C3"/>
    <w:rsid w:val="00E03951"/>
    <w:rsid w:val="00E03D02"/>
    <w:rsid w:val="00E03DB8"/>
    <w:rsid w:val="00E03F17"/>
    <w:rsid w:val="00E03F20"/>
    <w:rsid w:val="00E0420C"/>
    <w:rsid w:val="00E04EDD"/>
    <w:rsid w:val="00E05905"/>
    <w:rsid w:val="00E05E70"/>
    <w:rsid w:val="00E064BC"/>
    <w:rsid w:val="00E06975"/>
    <w:rsid w:val="00E06EA3"/>
    <w:rsid w:val="00E07225"/>
    <w:rsid w:val="00E076B4"/>
    <w:rsid w:val="00E07B55"/>
    <w:rsid w:val="00E10579"/>
    <w:rsid w:val="00E109DD"/>
    <w:rsid w:val="00E10CC7"/>
    <w:rsid w:val="00E11229"/>
    <w:rsid w:val="00E114CA"/>
    <w:rsid w:val="00E11FE2"/>
    <w:rsid w:val="00E1397F"/>
    <w:rsid w:val="00E13AB8"/>
    <w:rsid w:val="00E1482E"/>
    <w:rsid w:val="00E16382"/>
    <w:rsid w:val="00E1665E"/>
    <w:rsid w:val="00E1699C"/>
    <w:rsid w:val="00E16E75"/>
    <w:rsid w:val="00E1746D"/>
    <w:rsid w:val="00E2012A"/>
    <w:rsid w:val="00E205A2"/>
    <w:rsid w:val="00E20B11"/>
    <w:rsid w:val="00E20BA4"/>
    <w:rsid w:val="00E224EA"/>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643"/>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111"/>
    <w:rsid w:val="00E4640D"/>
    <w:rsid w:val="00E46928"/>
    <w:rsid w:val="00E469D6"/>
    <w:rsid w:val="00E46BBC"/>
    <w:rsid w:val="00E4759C"/>
    <w:rsid w:val="00E47F58"/>
    <w:rsid w:val="00E50A7B"/>
    <w:rsid w:val="00E50B0B"/>
    <w:rsid w:val="00E50E1F"/>
    <w:rsid w:val="00E510FE"/>
    <w:rsid w:val="00E516C0"/>
    <w:rsid w:val="00E516C7"/>
    <w:rsid w:val="00E51A83"/>
    <w:rsid w:val="00E51E25"/>
    <w:rsid w:val="00E5205B"/>
    <w:rsid w:val="00E521AE"/>
    <w:rsid w:val="00E529A3"/>
    <w:rsid w:val="00E52C38"/>
    <w:rsid w:val="00E52CB8"/>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15"/>
    <w:rsid w:val="00E5756C"/>
    <w:rsid w:val="00E57811"/>
    <w:rsid w:val="00E57A3D"/>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655"/>
    <w:rsid w:val="00E63DCE"/>
    <w:rsid w:val="00E6453E"/>
    <w:rsid w:val="00E64700"/>
    <w:rsid w:val="00E64BD8"/>
    <w:rsid w:val="00E65020"/>
    <w:rsid w:val="00E6502E"/>
    <w:rsid w:val="00E65074"/>
    <w:rsid w:val="00E65E70"/>
    <w:rsid w:val="00E66087"/>
    <w:rsid w:val="00E6655E"/>
    <w:rsid w:val="00E66D79"/>
    <w:rsid w:val="00E66FF9"/>
    <w:rsid w:val="00E6706F"/>
    <w:rsid w:val="00E67155"/>
    <w:rsid w:val="00E67856"/>
    <w:rsid w:val="00E679C8"/>
    <w:rsid w:val="00E70314"/>
    <w:rsid w:val="00E7036D"/>
    <w:rsid w:val="00E709EC"/>
    <w:rsid w:val="00E7194C"/>
    <w:rsid w:val="00E724E7"/>
    <w:rsid w:val="00E72775"/>
    <w:rsid w:val="00E7289D"/>
    <w:rsid w:val="00E72B41"/>
    <w:rsid w:val="00E72EFE"/>
    <w:rsid w:val="00E73012"/>
    <w:rsid w:val="00E7347B"/>
    <w:rsid w:val="00E73792"/>
    <w:rsid w:val="00E73D03"/>
    <w:rsid w:val="00E74040"/>
    <w:rsid w:val="00E7471C"/>
    <w:rsid w:val="00E7498A"/>
    <w:rsid w:val="00E7514E"/>
    <w:rsid w:val="00E75B57"/>
    <w:rsid w:val="00E75CB1"/>
    <w:rsid w:val="00E76537"/>
    <w:rsid w:val="00E77784"/>
    <w:rsid w:val="00E77AF5"/>
    <w:rsid w:val="00E82027"/>
    <w:rsid w:val="00E823F9"/>
    <w:rsid w:val="00E82C1F"/>
    <w:rsid w:val="00E82EC6"/>
    <w:rsid w:val="00E83647"/>
    <w:rsid w:val="00E83671"/>
    <w:rsid w:val="00E83C97"/>
    <w:rsid w:val="00E840EE"/>
    <w:rsid w:val="00E84A71"/>
    <w:rsid w:val="00E84DC3"/>
    <w:rsid w:val="00E85743"/>
    <w:rsid w:val="00E85786"/>
    <w:rsid w:val="00E86556"/>
    <w:rsid w:val="00E86BD3"/>
    <w:rsid w:val="00E86D35"/>
    <w:rsid w:val="00E86DC2"/>
    <w:rsid w:val="00E86E32"/>
    <w:rsid w:val="00E86F2E"/>
    <w:rsid w:val="00E86FC5"/>
    <w:rsid w:val="00E8732E"/>
    <w:rsid w:val="00E87A3E"/>
    <w:rsid w:val="00E9011F"/>
    <w:rsid w:val="00E906EB"/>
    <w:rsid w:val="00E90A66"/>
    <w:rsid w:val="00E919FB"/>
    <w:rsid w:val="00E91BF6"/>
    <w:rsid w:val="00E9241E"/>
    <w:rsid w:val="00E92460"/>
    <w:rsid w:val="00E925D7"/>
    <w:rsid w:val="00E92E62"/>
    <w:rsid w:val="00E93804"/>
    <w:rsid w:val="00E9429D"/>
    <w:rsid w:val="00E94626"/>
    <w:rsid w:val="00E95434"/>
    <w:rsid w:val="00E9583E"/>
    <w:rsid w:val="00E96467"/>
    <w:rsid w:val="00E965BC"/>
    <w:rsid w:val="00E966DA"/>
    <w:rsid w:val="00E96948"/>
    <w:rsid w:val="00E9737B"/>
    <w:rsid w:val="00E9744A"/>
    <w:rsid w:val="00E97A3F"/>
    <w:rsid w:val="00E97F0A"/>
    <w:rsid w:val="00EA0100"/>
    <w:rsid w:val="00EA0BCE"/>
    <w:rsid w:val="00EA1610"/>
    <w:rsid w:val="00EA2744"/>
    <w:rsid w:val="00EA37B9"/>
    <w:rsid w:val="00EA39F7"/>
    <w:rsid w:val="00EA3DC2"/>
    <w:rsid w:val="00EA3F20"/>
    <w:rsid w:val="00EA434E"/>
    <w:rsid w:val="00EA4757"/>
    <w:rsid w:val="00EA560B"/>
    <w:rsid w:val="00EA5669"/>
    <w:rsid w:val="00EA5CC6"/>
    <w:rsid w:val="00EA5EBD"/>
    <w:rsid w:val="00EA63EF"/>
    <w:rsid w:val="00EA75FD"/>
    <w:rsid w:val="00EB0A89"/>
    <w:rsid w:val="00EB0C53"/>
    <w:rsid w:val="00EB1573"/>
    <w:rsid w:val="00EB184F"/>
    <w:rsid w:val="00EB1910"/>
    <w:rsid w:val="00EB291E"/>
    <w:rsid w:val="00EB2D83"/>
    <w:rsid w:val="00EB2E97"/>
    <w:rsid w:val="00EB3108"/>
    <w:rsid w:val="00EB3416"/>
    <w:rsid w:val="00EB3A93"/>
    <w:rsid w:val="00EB3B54"/>
    <w:rsid w:val="00EB4AE1"/>
    <w:rsid w:val="00EB52F4"/>
    <w:rsid w:val="00EB5694"/>
    <w:rsid w:val="00EB5779"/>
    <w:rsid w:val="00EB5D2F"/>
    <w:rsid w:val="00EB67F1"/>
    <w:rsid w:val="00EB6C66"/>
    <w:rsid w:val="00EB72CD"/>
    <w:rsid w:val="00EB749A"/>
    <w:rsid w:val="00EB76B6"/>
    <w:rsid w:val="00EB7D8A"/>
    <w:rsid w:val="00EC05E2"/>
    <w:rsid w:val="00EC08AC"/>
    <w:rsid w:val="00EC0C67"/>
    <w:rsid w:val="00EC0E84"/>
    <w:rsid w:val="00EC16E2"/>
    <w:rsid w:val="00EC182D"/>
    <w:rsid w:val="00EC1CE7"/>
    <w:rsid w:val="00EC2510"/>
    <w:rsid w:val="00EC26F1"/>
    <w:rsid w:val="00EC3373"/>
    <w:rsid w:val="00EC3C94"/>
    <w:rsid w:val="00EC44DF"/>
    <w:rsid w:val="00EC4FB9"/>
    <w:rsid w:val="00EC5393"/>
    <w:rsid w:val="00EC5741"/>
    <w:rsid w:val="00EC5C4B"/>
    <w:rsid w:val="00EC5DA3"/>
    <w:rsid w:val="00EC6014"/>
    <w:rsid w:val="00EC6B3E"/>
    <w:rsid w:val="00EC6E7E"/>
    <w:rsid w:val="00EC6FAE"/>
    <w:rsid w:val="00EC73DE"/>
    <w:rsid w:val="00EC7637"/>
    <w:rsid w:val="00EC7CF2"/>
    <w:rsid w:val="00ED046C"/>
    <w:rsid w:val="00ED053A"/>
    <w:rsid w:val="00ED0AED"/>
    <w:rsid w:val="00ED0C3D"/>
    <w:rsid w:val="00ED1161"/>
    <w:rsid w:val="00ED19B4"/>
    <w:rsid w:val="00ED1F03"/>
    <w:rsid w:val="00ED2BBB"/>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5FE1"/>
    <w:rsid w:val="00ED623F"/>
    <w:rsid w:val="00ED63A5"/>
    <w:rsid w:val="00ED66FE"/>
    <w:rsid w:val="00ED69BA"/>
    <w:rsid w:val="00ED6D1A"/>
    <w:rsid w:val="00ED72E9"/>
    <w:rsid w:val="00ED732E"/>
    <w:rsid w:val="00ED74B2"/>
    <w:rsid w:val="00ED77F0"/>
    <w:rsid w:val="00ED7C60"/>
    <w:rsid w:val="00ED7FBC"/>
    <w:rsid w:val="00EE0253"/>
    <w:rsid w:val="00EE0297"/>
    <w:rsid w:val="00EE1258"/>
    <w:rsid w:val="00EE13DA"/>
    <w:rsid w:val="00EE1668"/>
    <w:rsid w:val="00EE1EDB"/>
    <w:rsid w:val="00EE2295"/>
    <w:rsid w:val="00EE24E2"/>
    <w:rsid w:val="00EE366D"/>
    <w:rsid w:val="00EE3BB0"/>
    <w:rsid w:val="00EE4AC9"/>
    <w:rsid w:val="00EE4CDF"/>
    <w:rsid w:val="00EE5454"/>
    <w:rsid w:val="00EE5636"/>
    <w:rsid w:val="00EE59B5"/>
    <w:rsid w:val="00EE5FB7"/>
    <w:rsid w:val="00EE6256"/>
    <w:rsid w:val="00EE6783"/>
    <w:rsid w:val="00EE7B54"/>
    <w:rsid w:val="00EE7C47"/>
    <w:rsid w:val="00EE7C88"/>
    <w:rsid w:val="00EE7C8B"/>
    <w:rsid w:val="00EF0209"/>
    <w:rsid w:val="00EF0508"/>
    <w:rsid w:val="00EF0EA4"/>
    <w:rsid w:val="00EF185A"/>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8AB"/>
    <w:rsid w:val="00EF799B"/>
    <w:rsid w:val="00EF7BF4"/>
    <w:rsid w:val="00EF7E7F"/>
    <w:rsid w:val="00F0030F"/>
    <w:rsid w:val="00F0057D"/>
    <w:rsid w:val="00F00674"/>
    <w:rsid w:val="00F0100F"/>
    <w:rsid w:val="00F01657"/>
    <w:rsid w:val="00F01E67"/>
    <w:rsid w:val="00F02744"/>
    <w:rsid w:val="00F02926"/>
    <w:rsid w:val="00F02BFD"/>
    <w:rsid w:val="00F02D25"/>
    <w:rsid w:val="00F0318F"/>
    <w:rsid w:val="00F03C3D"/>
    <w:rsid w:val="00F041DE"/>
    <w:rsid w:val="00F0435D"/>
    <w:rsid w:val="00F04580"/>
    <w:rsid w:val="00F04ECA"/>
    <w:rsid w:val="00F04F8B"/>
    <w:rsid w:val="00F067BC"/>
    <w:rsid w:val="00F06E19"/>
    <w:rsid w:val="00F06F84"/>
    <w:rsid w:val="00F07286"/>
    <w:rsid w:val="00F07542"/>
    <w:rsid w:val="00F07585"/>
    <w:rsid w:val="00F076E7"/>
    <w:rsid w:val="00F07AA1"/>
    <w:rsid w:val="00F105AE"/>
    <w:rsid w:val="00F10618"/>
    <w:rsid w:val="00F10DFE"/>
    <w:rsid w:val="00F1108B"/>
    <w:rsid w:val="00F114FA"/>
    <w:rsid w:val="00F11768"/>
    <w:rsid w:val="00F11951"/>
    <w:rsid w:val="00F11F2F"/>
    <w:rsid w:val="00F12262"/>
    <w:rsid w:val="00F12564"/>
    <w:rsid w:val="00F12AF8"/>
    <w:rsid w:val="00F12C52"/>
    <w:rsid w:val="00F13E62"/>
    <w:rsid w:val="00F148B7"/>
    <w:rsid w:val="00F14D67"/>
    <w:rsid w:val="00F14EA9"/>
    <w:rsid w:val="00F15505"/>
    <w:rsid w:val="00F15BFF"/>
    <w:rsid w:val="00F16B79"/>
    <w:rsid w:val="00F16E4F"/>
    <w:rsid w:val="00F17244"/>
    <w:rsid w:val="00F17D82"/>
    <w:rsid w:val="00F17F38"/>
    <w:rsid w:val="00F204CC"/>
    <w:rsid w:val="00F20736"/>
    <w:rsid w:val="00F20801"/>
    <w:rsid w:val="00F213A0"/>
    <w:rsid w:val="00F21D54"/>
    <w:rsid w:val="00F21EF4"/>
    <w:rsid w:val="00F22216"/>
    <w:rsid w:val="00F223B3"/>
    <w:rsid w:val="00F23113"/>
    <w:rsid w:val="00F2319C"/>
    <w:rsid w:val="00F23255"/>
    <w:rsid w:val="00F23393"/>
    <w:rsid w:val="00F23759"/>
    <w:rsid w:val="00F238B4"/>
    <w:rsid w:val="00F24644"/>
    <w:rsid w:val="00F25215"/>
    <w:rsid w:val="00F25947"/>
    <w:rsid w:val="00F262D6"/>
    <w:rsid w:val="00F26F33"/>
    <w:rsid w:val="00F26FD1"/>
    <w:rsid w:val="00F2748A"/>
    <w:rsid w:val="00F300A8"/>
    <w:rsid w:val="00F302C6"/>
    <w:rsid w:val="00F30400"/>
    <w:rsid w:val="00F3079E"/>
    <w:rsid w:val="00F31D44"/>
    <w:rsid w:val="00F32EF2"/>
    <w:rsid w:val="00F331E1"/>
    <w:rsid w:val="00F3379D"/>
    <w:rsid w:val="00F33968"/>
    <w:rsid w:val="00F3399B"/>
    <w:rsid w:val="00F33F4B"/>
    <w:rsid w:val="00F346ED"/>
    <w:rsid w:val="00F34945"/>
    <w:rsid w:val="00F34CF0"/>
    <w:rsid w:val="00F34E1E"/>
    <w:rsid w:val="00F34F5B"/>
    <w:rsid w:val="00F3570C"/>
    <w:rsid w:val="00F360E8"/>
    <w:rsid w:val="00F363A4"/>
    <w:rsid w:val="00F366C0"/>
    <w:rsid w:val="00F36765"/>
    <w:rsid w:val="00F368FF"/>
    <w:rsid w:val="00F37026"/>
    <w:rsid w:val="00F37068"/>
    <w:rsid w:val="00F37108"/>
    <w:rsid w:val="00F37385"/>
    <w:rsid w:val="00F375D8"/>
    <w:rsid w:val="00F37962"/>
    <w:rsid w:val="00F37F3F"/>
    <w:rsid w:val="00F4050C"/>
    <w:rsid w:val="00F40992"/>
    <w:rsid w:val="00F40F72"/>
    <w:rsid w:val="00F40FD8"/>
    <w:rsid w:val="00F41596"/>
    <w:rsid w:val="00F41D8B"/>
    <w:rsid w:val="00F42121"/>
    <w:rsid w:val="00F42388"/>
    <w:rsid w:val="00F424B3"/>
    <w:rsid w:val="00F428B1"/>
    <w:rsid w:val="00F428B4"/>
    <w:rsid w:val="00F433F7"/>
    <w:rsid w:val="00F4345D"/>
    <w:rsid w:val="00F4387B"/>
    <w:rsid w:val="00F448EE"/>
    <w:rsid w:val="00F44F44"/>
    <w:rsid w:val="00F451D4"/>
    <w:rsid w:val="00F45612"/>
    <w:rsid w:val="00F45921"/>
    <w:rsid w:val="00F45B91"/>
    <w:rsid w:val="00F4613E"/>
    <w:rsid w:val="00F46639"/>
    <w:rsid w:val="00F46DBB"/>
    <w:rsid w:val="00F4753C"/>
    <w:rsid w:val="00F476FD"/>
    <w:rsid w:val="00F50183"/>
    <w:rsid w:val="00F50D92"/>
    <w:rsid w:val="00F51765"/>
    <w:rsid w:val="00F517E5"/>
    <w:rsid w:val="00F51A51"/>
    <w:rsid w:val="00F51BC6"/>
    <w:rsid w:val="00F51CB4"/>
    <w:rsid w:val="00F52324"/>
    <w:rsid w:val="00F52833"/>
    <w:rsid w:val="00F52950"/>
    <w:rsid w:val="00F52C9D"/>
    <w:rsid w:val="00F5302C"/>
    <w:rsid w:val="00F533F1"/>
    <w:rsid w:val="00F539F6"/>
    <w:rsid w:val="00F53D10"/>
    <w:rsid w:val="00F55679"/>
    <w:rsid w:val="00F561E3"/>
    <w:rsid w:val="00F565E6"/>
    <w:rsid w:val="00F56772"/>
    <w:rsid w:val="00F56AFA"/>
    <w:rsid w:val="00F56C39"/>
    <w:rsid w:val="00F575E2"/>
    <w:rsid w:val="00F579FF"/>
    <w:rsid w:val="00F600E0"/>
    <w:rsid w:val="00F605EC"/>
    <w:rsid w:val="00F60742"/>
    <w:rsid w:val="00F60F60"/>
    <w:rsid w:val="00F612CE"/>
    <w:rsid w:val="00F6133C"/>
    <w:rsid w:val="00F61F64"/>
    <w:rsid w:val="00F62049"/>
    <w:rsid w:val="00F624A7"/>
    <w:rsid w:val="00F62AB6"/>
    <w:rsid w:val="00F6478E"/>
    <w:rsid w:val="00F65A3C"/>
    <w:rsid w:val="00F65BA3"/>
    <w:rsid w:val="00F66039"/>
    <w:rsid w:val="00F66282"/>
    <w:rsid w:val="00F6639E"/>
    <w:rsid w:val="00F664EF"/>
    <w:rsid w:val="00F66777"/>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269"/>
    <w:rsid w:val="00F807F6"/>
    <w:rsid w:val="00F80C81"/>
    <w:rsid w:val="00F81265"/>
    <w:rsid w:val="00F815AC"/>
    <w:rsid w:val="00F8187D"/>
    <w:rsid w:val="00F81AA6"/>
    <w:rsid w:val="00F834DD"/>
    <w:rsid w:val="00F83B33"/>
    <w:rsid w:val="00F83CAE"/>
    <w:rsid w:val="00F840BF"/>
    <w:rsid w:val="00F841F7"/>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6FA"/>
    <w:rsid w:val="00F927E8"/>
    <w:rsid w:val="00F9289C"/>
    <w:rsid w:val="00F93D5B"/>
    <w:rsid w:val="00F93DBC"/>
    <w:rsid w:val="00F93E41"/>
    <w:rsid w:val="00F93FB6"/>
    <w:rsid w:val="00F94011"/>
    <w:rsid w:val="00F94644"/>
    <w:rsid w:val="00F952E4"/>
    <w:rsid w:val="00F9537B"/>
    <w:rsid w:val="00F963FC"/>
    <w:rsid w:val="00F965CA"/>
    <w:rsid w:val="00F97107"/>
    <w:rsid w:val="00F97141"/>
    <w:rsid w:val="00F97CF1"/>
    <w:rsid w:val="00FA015F"/>
    <w:rsid w:val="00FA0160"/>
    <w:rsid w:val="00FA0993"/>
    <w:rsid w:val="00FA0FAC"/>
    <w:rsid w:val="00FA10F7"/>
    <w:rsid w:val="00FA17EA"/>
    <w:rsid w:val="00FA1DA2"/>
    <w:rsid w:val="00FA2589"/>
    <w:rsid w:val="00FA3414"/>
    <w:rsid w:val="00FA347A"/>
    <w:rsid w:val="00FA3CDE"/>
    <w:rsid w:val="00FA3EDB"/>
    <w:rsid w:val="00FA49B7"/>
    <w:rsid w:val="00FA4DFD"/>
    <w:rsid w:val="00FA5043"/>
    <w:rsid w:val="00FA62B4"/>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295"/>
    <w:rsid w:val="00FB35E3"/>
    <w:rsid w:val="00FB4105"/>
    <w:rsid w:val="00FB4893"/>
    <w:rsid w:val="00FB4C98"/>
    <w:rsid w:val="00FB4CE3"/>
    <w:rsid w:val="00FB534D"/>
    <w:rsid w:val="00FB583C"/>
    <w:rsid w:val="00FB61EE"/>
    <w:rsid w:val="00FB630E"/>
    <w:rsid w:val="00FB6738"/>
    <w:rsid w:val="00FB67AD"/>
    <w:rsid w:val="00FB691B"/>
    <w:rsid w:val="00FB6B66"/>
    <w:rsid w:val="00FB6BE6"/>
    <w:rsid w:val="00FB731C"/>
    <w:rsid w:val="00FB7628"/>
    <w:rsid w:val="00FB77C9"/>
    <w:rsid w:val="00FB7D76"/>
    <w:rsid w:val="00FC05A0"/>
    <w:rsid w:val="00FC07E7"/>
    <w:rsid w:val="00FC0811"/>
    <w:rsid w:val="00FC1196"/>
    <w:rsid w:val="00FC13D1"/>
    <w:rsid w:val="00FC15EB"/>
    <w:rsid w:val="00FC162C"/>
    <w:rsid w:val="00FC18DC"/>
    <w:rsid w:val="00FC2477"/>
    <w:rsid w:val="00FC28B0"/>
    <w:rsid w:val="00FC2AC4"/>
    <w:rsid w:val="00FC2CAC"/>
    <w:rsid w:val="00FC2F73"/>
    <w:rsid w:val="00FC30FA"/>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C3E"/>
    <w:rsid w:val="00FC7DAC"/>
    <w:rsid w:val="00FC7F00"/>
    <w:rsid w:val="00FD005D"/>
    <w:rsid w:val="00FD023A"/>
    <w:rsid w:val="00FD04AE"/>
    <w:rsid w:val="00FD0CCF"/>
    <w:rsid w:val="00FD0DFA"/>
    <w:rsid w:val="00FD128D"/>
    <w:rsid w:val="00FD1606"/>
    <w:rsid w:val="00FD1890"/>
    <w:rsid w:val="00FD1994"/>
    <w:rsid w:val="00FD29F3"/>
    <w:rsid w:val="00FD3097"/>
    <w:rsid w:val="00FD31DC"/>
    <w:rsid w:val="00FD3508"/>
    <w:rsid w:val="00FD393C"/>
    <w:rsid w:val="00FD3AFF"/>
    <w:rsid w:val="00FD4343"/>
    <w:rsid w:val="00FD43BB"/>
    <w:rsid w:val="00FD48CD"/>
    <w:rsid w:val="00FD4AF3"/>
    <w:rsid w:val="00FD528C"/>
    <w:rsid w:val="00FD798D"/>
    <w:rsid w:val="00FE0FDA"/>
    <w:rsid w:val="00FE141E"/>
    <w:rsid w:val="00FE144E"/>
    <w:rsid w:val="00FE1768"/>
    <w:rsid w:val="00FE2163"/>
    <w:rsid w:val="00FE24F4"/>
    <w:rsid w:val="00FE2560"/>
    <w:rsid w:val="00FE2F4F"/>
    <w:rsid w:val="00FE3016"/>
    <w:rsid w:val="00FE35D0"/>
    <w:rsid w:val="00FE3730"/>
    <w:rsid w:val="00FE3A4F"/>
    <w:rsid w:val="00FE40EA"/>
    <w:rsid w:val="00FE42ED"/>
    <w:rsid w:val="00FE4E06"/>
    <w:rsid w:val="00FE55A7"/>
    <w:rsid w:val="00FE571C"/>
    <w:rsid w:val="00FE5C5A"/>
    <w:rsid w:val="00FE6432"/>
    <w:rsid w:val="00FE6A5D"/>
    <w:rsid w:val="00FE6D66"/>
    <w:rsid w:val="00FE72A0"/>
    <w:rsid w:val="00FE765C"/>
    <w:rsid w:val="00FE76F9"/>
    <w:rsid w:val="00FE784E"/>
    <w:rsid w:val="00FF0050"/>
    <w:rsid w:val="00FF045F"/>
    <w:rsid w:val="00FF0B21"/>
    <w:rsid w:val="00FF13D4"/>
    <w:rsid w:val="00FF1F26"/>
    <w:rsid w:val="00FF2053"/>
    <w:rsid w:val="00FF2C8B"/>
    <w:rsid w:val="00FF399E"/>
    <w:rsid w:val="00FF3B37"/>
    <w:rsid w:val="00FF3CC7"/>
    <w:rsid w:val="00FF3D6F"/>
    <w:rsid w:val="00FF480D"/>
    <w:rsid w:val="00FF4810"/>
    <w:rsid w:val="00FF4BD8"/>
    <w:rsid w:val="00FF4D11"/>
    <w:rsid w:val="00FF5214"/>
    <w:rsid w:val="00FF53DC"/>
    <w:rsid w:val="00FF54F1"/>
    <w:rsid w:val="00FF57FC"/>
    <w:rsid w:val="00FF596E"/>
    <w:rsid w:val="00FF5B59"/>
    <w:rsid w:val="00FF5BFD"/>
    <w:rsid w:val="00FF5DBF"/>
    <w:rsid w:val="00FF6095"/>
    <w:rsid w:val="00FF62FE"/>
    <w:rsid w:val="00FF6553"/>
    <w:rsid w:val="00FF6788"/>
    <w:rsid w:val="00FF7A39"/>
    <w:rsid w:val="00FF7A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0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192746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90">
      <w:bodyDiv w:val="1"/>
      <w:marLeft w:val="0"/>
      <w:marRight w:val="0"/>
      <w:marTop w:val="0"/>
      <w:marBottom w:val="0"/>
      <w:divBdr>
        <w:top w:val="none" w:sz="0" w:space="0" w:color="auto"/>
        <w:left w:val="none" w:sz="0" w:space="0" w:color="auto"/>
        <w:bottom w:val="none" w:sz="0" w:space="0" w:color="auto"/>
        <w:right w:val="none" w:sz="0" w:space="0" w:color="auto"/>
      </w:divBdr>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76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839210">
      <w:bodyDiv w:val="1"/>
      <w:marLeft w:val="0"/>
      <w:marRight w:val="0"/>
      <w:marTop w:val="0"/>
      <w:marBottom w:val="0"/>
      <w:divBdr>
        <w:top w:val="none" w:sz="0" w:space="0" w:color="auto"/>
        <w:left w:val="none" w:sz="0" w:space="0" w:color="auto"/>
        <w:bottom w:val="none" w:sz="0" w:space="0" w:color="auto"/>
        <w:right w:val="none" w:sz="0" w:space="0" w:color="auto"/>
      </w:divBdr>
    </w:div>
    <w:div w:id="7655772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527464">
      <w:bodyDiv w:val="1"/>
      <w:marLeft w:val="0"/>
      <w:marRight w:val="0"/>
      <w:marTop w:val="0"/>
      <w:marBottom w:val="0"/>
      <w:divBdr>
        <w:top w:val="none" w:sz="0" w:space="0" w:color="auto"/>
        <w:left w:val="none" w:sz="0" w:space="0" w:color="auto"/>
        <w:bottom w:val="none" w:sz="0" w:space="0" w:color="auto"/>
        <w:right w:val="none" w:sz="0" w:space="0" w:color="auto"/>
      </w:divBdr>
    </w:div>
    <w:div w:id="101000020">
      <w:bodyDiv w:val="1"/>
      <w:marLeft w:val="0"/>
      <w:marRight w:val="0"/>
      <w:marTop w:val="0"/>
      <w:marBottom w:val="0"/>
      <w:divBdr>
        <w:top w:val="none" w:sz="0" w:space="0" w:color="auto"/>
        <w:left w:val="none" w:sz="0" w:space="0" w:color="auto"/>
        <w:bottom w:val="none" w:sz="0" w:space="0" w:color="auto"/>
        <w:right w:val="none" w:sz="0" w:space="0" w:color="auto"/>
      </w:divBdr>
      <w:divsChild>
        <w:div w:id="955869365">
          <w:marLeft w:val="0"/>
          <w:marRight w:val="0"/>
          <w:marTop w:val="0"/>
          <w:marBottom w:val="0"/>
          <w:divBdr>
            <w:top w:val="none" w:sz="0" w:space="0" w:color="auto"/>
            <w:left w:val="none" w:sz="0" w:space="0" w:color="auto"/>
            <w:bottom w:val="none" w:sz="0" w:space="0" w:color="auto"/>
            <w:right w:val="none" w:sz="0" w:space="0" w:color="auto"/>
          </w:divBdr>
          <w:divsChild>
            <w:div w:id="665330568">
              <w:marLeft w:val="0"/>
              <w:marRight w:val="0"/>
              <w:marTop w:val="0"/>
              <w:marBottom w:val="0"/>
              <w:divBdr>
                <w:top w:val="none" w:sz="0" w:space="0" w:color="auto"/>
                <w:left w:val="none" w:sz="0" w:space="0" w:color="auto"/>
                <w:bottom w:val="none" w:sz="0" w:space="0" w:color="auto"/>
                <w:right w:val="none" w:sz="0" w:space="0" w:color="auto"/>
              </w:divBdr>
              <w:divsChild>
                <w:div w:id="1999069472">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9726">
      <w:bodyDiv w:val="1"/>
      <w:marLeft w:val="0"/>
      <w:marRight w:val="0"/>
      <w:marTop w:val="0"/>
      <w:marBottom w:val="0"/>
      <w:divBdr>
        <w:top w:val="none" w:sz="0" w:space="0" w:color="auto"/>
        <w:left w:val="none" w:sz="0" w:space="0" w:color="auto"/>
        <w:bottom w:val="none" w:sz="0" w:space="0" w:color="auto"/>
        <w:right w:val="none" w:sz="0" w:space="0" w:color="auto"/>
      </w:divBdr>
    </w:div>
    <w:div w:id="117603263">
      <w:bodyDiv w:val="1"/>
      <w:marLeft w:val="0"/>
      <w:marRight w:val="0"/>
      <w:marTop w:val="0"/>
      <w:marBottom w:val="0"/>
      <w:divBdr>
        <w:top w:val="none" w:sz="0" w:space="0" w:color="auto"/>
        <w:left w:val="none" w:sz="0" w:space="0" w:color="auto"/>
        <w:bottom w:val="none" w:sz="0" w:space="0" w:color="auto"/>
        <w:right w:val="none" w:sz="0" w:space="0" w:color="auto"/>
      </w:divBdr>
    </w:div>
    <w:div w:id="11923264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87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43473144">
      <w:bodyDiv w:val="1"/>
      <w:marLeft w:val="0"/>
      <w:marRight w:val="0"/>
      <w:marTop w:val="0"/>
      <w:marBottom w:val="0"/>
      <w:divBdr>
        <w:top w:val="none" w:sz="0" w:space="0" w:color="auto"/>
        <w:left w:val="none" w:sz="0" w:space="0" w:color="auto"/>
        <w:bottom w:val="none" w:sz="0" w:space="0" w:color="auto"/>
        <w:right w:val="none" w:sz="0" w:space="0" w:color="auto"/>
      </w:divBdr>
    </w:div>
    <w:div w:id="146366278">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471195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77306708">
      <w:bodyDiv w:val="1"/>
      <w:marLeft w:val="0"/>
      <w:marRight w:val="0"/>
      <w:marTop w:val="0"/>
      <w:marBottom w:val="0"/>
      <w:divBdr>
        <w:top w:val="none" w:sz="0" w:space="0" w:color="auto"/>
        <w:left w:val="none" w:sz="0" w:space="0" w:color="auto"/>
        <w:bottom w:val="none" w:sz="0" w:space="0" w:color="auto"/>
        <w:right w:val="none" w:sz="0" w:space="0" w:color="auto"/>
      </w:divBdr>
    </w:div>
    <w:div w:id="181746846">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199902163">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4295434">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713">
      <w:bodyDiv w:val="1"/>
      <w:marLeft w:val="0"/>
      <w:marRight w:val="0"/>
      <w:marTop w:val="0"/>
      <w:marBottom w:val="0"/>
      <w:divBdr>
        <w:top w:val="none" w:sz="0" w:space="0" w:color="auto"/>
        <w:left w:val="none" w:sz="0" w:space="0" w:color="auto"/>
        <w:bottom w:val="none" w:sz="0" w:space="0" w:color="auto"/>
        <w:right w:val="none" w:sz="0" w:space="0" w:color="auto"/>
      </w:divBdr>
      <w:divsChild>
        <w:div w:id="1287389645">
          <w:marLeft w:val="0"/>
          <w:marRight w:val="0"/>
          <w:marTop w:val="0"/>
          <w:marBottom w:val="0"/>
          <w:divBdr>
            <w:top w:val="none" w:sz="0" w:space="0" w:color="auto"/>
            <w:left w:val="none" w:sz="0" w:space="0" w:color="auto"/>
            <w:bottom w:val="none" w:sz="0" w:space="0" w:color="auto"/>
            <w:right w:val="none" w:sz="0" w:space="0" w:color="auto"/>
          </w:divBdr>
          <w:divsChild>
            <w:div w:id="1523713160">
              <w:marLeft w:val="0"/>
              <w:marRight w:val="0"/>
              <w:marTop w:val="0"/>
              <w:marBottom w:val="0"/>
              <w:divBdr>
                <w:top w:val="none" w:sz="0" w:space="0" w:color="auto"/>
                <w:left w:val="none" w:sz="0" w:space="0" w:color="auto"/>
                <w:bottom w:val="none" w:sz="0" w:space="0" w:color="auto"/>
                <w:right w:val="none" w:sz="0" w:space="0" w:color="auto"/>
              </w:divBdr>
              <w:divsChild>
                <w:div w:id="1560248264">
                  <w:marLeft w:val="0"/>
                  <w:marRight w:val="0"/>
                  <w:marTop w:val="0"/>
                  <w:marBottom w:val="0"/>
                  <w:divBdr>
                    <w:top w:val="none" w:sz="0" w:space="0" w:color="auto"/>
                    <w:left w:val="none" w:sz="0" w:space="0" w:color="auto"/>
                    <w:bottom w:val="none" w:sz="0" w:space="0" w:color="auto"/>
                    <w:right w:val="none" w:sz="0" w:space="0" w:color="auto"/>
                  </w:divBdr>
                  <w:divsChild>
                    <w:div w:id="139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62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009203">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469818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213970">
      <w:bodyDiv w:val="1"/>
      <w:marLeft w:val="0"/>
      <w:marRight w:val="0"/>
      <w:marTop w:val="0"/>
      <w:marBottom w:val="0"/>
      <w:divBdr>
        <w:top w:val="none" w:sz="0" w:space="0" w:color="auto"/>
        <w:left w:val="none" w:sz="0" w:space="0" w:color="auto"/>
        <w:bottom w:val="none" w:sz="0" w:space="0" w:color="auto"/>
        <w:right w:val="none" w:sz="0" w:space="0" w:color="auto"/>
      </w:divBdr>
      <w:divsChild>
        <w:div w:id="1411003973">
          <w:marLeft w:val="0"/>
          <w:marRight w:val="0"/>
          <w:marTop w:val="0"/>
          <w:marBottom w:val="0"/>
          <w:divBdr>
            <w:top w:val="none" w:sz="0" w:space="0" w:color="auto"/>
            <w:left w:val="none" w:sz="0" w:space="0" w:color="auto"/>
            <w:bottom w:val="none" w:sz="0" w:space="0" w:color="auto"/>
            <w:right w:val="none" w:sz="0" w:space="0" w:color="auto"/>
          </w:divBdr>
          <w:divsChild>
            <w:div w:id="1977569114">
              <w:marLeft w:val="0"/>
              <w:marRight w:val="0"/>
              <w:marTop w:val="0"/>
              <w:marBottom w:val="0"/>
              <w:divBdr>
                <w:top w:val="none" w:sz="0" w:space="0" w:color="auto"/>
                <w:left w:val="none" w:sz="0" w:space="0" w:color="auto"/>
                <w:bottom w:val="none" w:sz="0" w:space="0" w:color="auto"/>
                <w:right w:val="none" w:sz="0" w:space="0" w:color="auto"/>
              </w:divBdr>
              <w:divsChild>
                <w:div w:id="582497867">
                  <w:marLeft w:val="0"/>
                  <w:marRight w:val="0"/>
                  <w:marTop w:val="0"/>
                  <w:marBottom w:val="0"/>
                  <w:divBdr>
                    <w:top w:val="none" w:sz="0" w:space="0" w:color="auto"/>
                    <w:left w:val="none" w:sz="0" w:space="0" w:color="auto"/>
                    <w:bottom w:val="none" w:sz="0" w:space="0" w:color="auto"/>
                    <w:right w:val="none" w:sz="0" w:space="0" w:color="auto"/>
                  </w:divBdr>
                  <w:divsChild>
                    <w:div w:id="1962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114764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7121767">
      <w:bodyDiv w:val="1"/>
      <w:marLeft w:val="0"/>
      <w:marRight w:val="0"/>
      <w:marTop w:val="0"/>
      <w:marBottom w:val="0"/>
      <w:divBdr>
        <w:top w:val="none" w:sz="0" w:space="0" w:color="auto"/>
        <w:left w:val="none" w:sz="0" w:space="0" w:color="auto"/>
        <w:bottom w:val="none" w:sz="0" w:space="0" w:color="auto"/>
        <w:right w:val="none" w:sz="0" w:space="0" w:color="auto"/>
      </w:divBdr>
    </w:div>
    <w:div w:id="372388601">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06939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6879186">
      <w:bodyDiv w:val="1"/>
      <w:marLeft w:val="0"/>
      <w:marRight w:val="0"/>
      <w:marTop w:val="0"/>
      <w:marBottom w:val="0"/>
      <w:divBdr>
        <w:top w:val="none" w:sz="0" w:space="0" w:color="auto"/>
        <w:left w:val="none" w:sz="0" w:space="0" w:color="auto"/>
        <w:bottom w:val="none" w:sz="0" w:space="0" w:color="auto"/>
        <w:right w:val="none" w:sz="0" w:space="0" w:color="auto"/>
      </w:divBdr>
      <w:divsChild>
        <w:div w:id="693189310">
          <w:marLeft w:val="0"/>
          <w:marRight w:val="0"/>
          <w:marTop w:val="0"/>
          <w:marBottom w:val="0"/>
          <w:divBdr>
            <w:top w:val="none" w:sz="0" w:space="0" w:color="auto"/>
            <w:left w:val="none" w:sz="0" w:space="0" w:color="auto"/>
            <w:bottom w:val="none" w:sz="0" w:space="0" w:color="auto"/>
            <w:right w:val="none" w:sz="0" w:space="0" w:color="auto"/>
          </w:divBdr>
          <w:divsChild>
            <w:div w:id="375592956">
              <w:marLeft w:val="0"/>
              <w:marRight w:val="0"/>
              <w:marTop w:val="0"/>
              <w:marBottom w:val="0"/>
              <w:divBdr>
                <w:top w:val="none" w:sz="0" w:space="0" w:color="auto"/>
                <w:left w:val="none" w:sz="0" w:space="0" w:color="auto"/>
                <w:bottom w:val="none" w:sz="0" w:space="0" w:color="auto"/>
                <w:right w:val="none" w:sz="0" w:space="0" w:color="auto"/>
              </w:divBdr>
              <w:divsChild>
                <w:div w:id="58288069">
                  <w:marLeft w:val="0"/>
                  <w:marRight w:val="0"/>
                  <w:marTop w:val="0"/>
                  <w:marBottom w:val="0"/>
                  <w:divBdr>
                    <w:top w:val="none" w:sz="0" w:space="0" w:color="auto"/>
                    <w:left w:val="none" w:sz="0" w:space="0" w:color="auto"/>
                    <w:bottom w:val="none" w:sz="0" w:space="0" w:color="auto"/>
                    <w:right w:val="none" w:sz="0" w:space="0" w:color="auto"/>
                  </w:divBdr>
                  <w:divsChild>
                    <w:div w:id="446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37333884">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317522">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64591888">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210664">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89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278024">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262262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70">
          <w:marLeft w:val="0"/>
          <w:marRight w:val="0"/>
          <w:marTop w:val="0"/>
          <w:marBottom w:val="0"/>
          <w:divBdr>
            <w:top w:val="none" w:sz="0" w:space="0" w:color="auto"/>
            <w:left w:val="none" w:sz="0" w:space="0" w:color="auto"/>
            <w:bottom w:val="none" w:sz="0" w:space="0" w:color="auto"/>
            <w:right w:val="none" w:sz="0" w:space="0" w:color="auto"/>
          </w:divBdr>
          <w:divsChild>
            <w:div w:id="1250309890">
              <w:marLeft w:val="0"/>
              <w:marRight w:val="0"/>
              <w:marTop w:val="0"/>
              <w:marBottom w:val="0"/>
              <w:divBdr>
                <w:top w:val="none" w:sz="0" w:space="0" w:color="auto"/>
                <w:left w:val="none" w:sz="0" w:space="0" w:color="auto"/>
                <w:bottom w:val="none" w:sz="0" w:space="0" w:color="auto"/>
                <w:right w:val="none" w:sz="0" w:space="0" w:color="auto"/>
              </w:divBdr>
              <w:divsChild>
                <w:div w:id="843515816">
                  <w:marLeft w:val="0"/>
                  <w:marRight w:val="0"/>
                  <w:marTop w:val="0"/>
                  <w:marBottom w:val="0"/>
                  <w:divBdr>
                    <w:top w:val="none" w:sz="0" w:space="0" w:color="auto"/>
                    <w:left w:val="none" w:sz="0" w:space="0" w:color="auto"/>
                    <w:bottom w:val="none" w:sz="0" w:space="0" w:color="auto"/>
                    <w:right w:val="none" w:sz="0" w:space="0" w:color="auto"/>
                  </w:divBdr>
                  <w:divsChild>
                    <w:div w:id="440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4999144">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76979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99125">
      <w:bodyDiv w:val="1"/>
      <w:marLeft w:val="0"/>
      <w:marRight w:val="0"/>
      <w:marTop w:val="0"/>
      <w:marBottom w:val="0"/>
      <w:divBdr>
        <w:top w:val="none" w:sz="0" w:space="0" w:color="auto"/>
        <w:left w:val="none" w:sz="0" w:space="0" w:color="auto"/>
        <w:bottom w:val="none" w:sz="0" w:space="0" w:color="auto"/>
        <w:right w:val="none" w:sz="0" w:space="0" w:color="auto"/>
      </w:divBdr>
      <w:divsChild>
        <w:div w:id="660427669">
          <w:marLeft w:val="0"/>
          <w:marRight w:val="0"/>
          <w:marTop w:val="0"/>
          <w:marBottom w:val="0"/>
          <w:divBdr>
            <w:top w:val="none" w:sz="0" w:space="0" w:color="auto"/>
            <w:left w:val="none" w:sz="0" w:space="0" w:color="auto"/>
            <w:bottom w:val="none" w:sz="0" w:space="0" w:color="auto"/>
            <w:right w:val="none" w:sz="0" w:space="0" w:color="auto"/>
          </w:divBdr>
          <w:divsChild>
            <w:div w:id="1656108607">
              <w:marLeft w:val="0"/>
              <w:marRight w:val="0"/>
              <w:marTop w:val="0"/>
              <w:marBottom w:val="0"/>
              <w:divBdr>
                <w:top w:val="none" w:sz="0" w:space="0" w:color="auto"/>
                <w:left w:val="none" w:sz="0" w:space="0" w:color="auto"/>
                <w:bottom w:val="none" w:sz="0" w:space="0" w:color="auto"/>
                <w:right w:val="none" w:sz="0" w:space="0" w:color="auto"/>
              </w:divBdr>
              <w:divsChild>
                <w:div w:id="611936683">
                  <w:marLeft w:val="0"/>
                  <w:marRight w:val="0"/>
                  <w:marTop w:val="0"/>
                  <w:marBottom w:val="0"/>
                  <w:divBdr>
                    <w:top w:val="none" w:sz="0" w:space="0" w:color="auto"/>
                    <w:left w:val="none" w:sz="0" w:space="0" w:color="auto"/>
                    <w:bottom w:val="none" w:sz="0" w:space="0" w:color="auto"/>
                    <w:right w:val="none" w:sz="0" w:space="0" w:color="auto"/>
                  </w:divBdr>
                  <w:divsChild>
                    <w:div w:id="923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2073">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990464">
      <w:bodyDiv w:val="1"/>
      <w:marLeft w:val="0"/>
      <w:marRight w:val="0"/>
      <w:marTop w:val="0"/>
      <w:marBottom w:val="0"/>
      <w:divBdr>
        <w:top w:val="none" w:sz="0" w:space="0" w:color="auto"/>
        <w:left w:val="none" w:sz="0" w:space="0" w:color="auto"/>
        <w:bottom w:val="none" w:sz="0" w:space="0" w:color="auto"/>
        <w:right w:val="none" w:sz="0" w:space="0" w:color="auto"/>
      </w:divBdr>
    </w:div>
    <w:div w:id="705376428">
      <w:bodyDiv w:val="1"/>
      <w:marLeft w:val="0"/>
      <w:marRight w:val="0"/>
      <w:marTop w:val="0"/>
      <w:marBottom w:val="0"/>
      <w:divBdr>
        <w:top w:val="none" w:sz="0" w:space="0" w:color="auto"/>
        <w:left w:val="none" w:sz="0" w:space="0" w:color="auto"/>
        <w:bottom w:val="none" w:sz="0" w:space="0" w:color="auto"/>
        <w:right w:val="none" w:sz="0" w:space="0" w:color="auto"/>
      </w:divBdr>
    </w:div>
    <w:div w:id="706680212">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6827353">
      <w:bodyDiv w:val="1"/>
      <w:marLeft w:val="0"/>
      <w:marRight w:val="0"/>
      <w:marTop w:val="0"/>
      <w:marBottom w:val="0"/>
      <w:divBdr>
        <w:top w:val="none" w:sz="0" w:space="0" w:color="auto"/>
        <w:left w:val="none" w:sz="0" w:space="0" w:color="auto"/>
        <w:bottom w:val="none" w:sz="0" w:space="0" w:color="auto"/>
        <w:right w:val="none" w:sz="0" w:space="0" w:color="auto"/>
      </w:divBdr>
    </w:div>
    <w:div w:id="73787156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12475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27207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7513">
      <w:bodyDiv w:val="1"/>
      <w:marLeft w:val="0"/>
      <w:marRight w:val="0"/>
      <w:marTop w:val="0"/>
      <w:marBottom w:val="0"/>
      <w:divBdr>
        <w:top w:val="none" w:sz="0" w:space="0" w:color="auto"/>
        <w:left w:val="none" w:sz="0" w:space="0" w:color="auto"/>
        <w:bottom w:val="none" w:sz="0" w:space="0" w:color="auto"/>
        <w:right w:val="none" w:sz="0" w:space="0" w:color="auto"/>
      </w:divBdr>
    </w:div>
    <w:div w:id="845173425">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421530">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5137826">
      <w:bodyDiv w:val="1"/>
      <w:marLeft w:val="0"/>
      <w:marRight w:val="0"/>
      <w:marTop w:val="0"/>
      <w:marBottom w:val="0"/>
      <w:divBdr>
        <w:top w:val="none" w:sz="0" w:space="0" w:color="auto"/>
        <w:left w:val="none" w:sz="0" w:space="0" w:color="auto"/>
        <w:bottom w:val="none" w:sz="0" w:space="0" w:color="auto"/>
        <w:right w:val="none" w:sz="0" w:space="0" w:color="auto"/>
      </w:divBdr>
    </w:div>
    <w:div w:id="886524702">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125639">
      <w:bodyDiv w:val="1"/>
      <w:marLeft w:val="0"/>
      <w:marRight w:val="0"/>
      <w:marTop w:val="0"/>
      <w:marBottom w:val="0"/>
      <w:divBdr>
        <w:top w:val="none" w:sz="0" w:space="0" w:color="auto"/>
        <w:left w:val="none" w:sz="0" w:space="0" w:color="auto"/>
        <w:bottom w:val="none" w:sz="0" w:space="0" w:color="auto"/>
        <w:right w:val="none" w:sz="0" w:space="0" w:color="auto"/>
      </w:divBdr>
    </w:div>
    <w:div w:id="968898270">
      <w:bodyDiv w:val="1"/>
      <w:marLeft w:val="0"/>
      <w:marRight w:val="0"/>
      <w:marTop w:val="0"/>
      <w:marBottom w:val="0"/>
      <w:divBdr>
        <w:top w:val="none" w:sz="0" w:space="0" w:color="auto"/>
        <w:left w:val="none" w:sz="0" w:space="0" w:color="auto"/>
        <w:bottom w:val="none" w:sz="0" w:space="0" w:color="auto"/>
        <w:right w:val="none" w:sz="0" w:space="0" w:color="auto"/>
      </w:divBdr>
      <w:divsChild>
        <w:div w:id="337080379">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304314403">
                  <w:marLeft w:val="0"/>
                  <w:marRight w:val="0"/>
                  <w:marTop w:val="0"/>
                  <w:marBottom w:val="0"/>
                  <w:divBdr>
                    <w:top w:val="none" w:sz="0" w:space="0" w:color="auto"/>
                    <w:left w:val="none" w:sz="0" w:space="0" w:color="auto"/>
                    <w:bottom w:val="none" w:sz="0" w:space="0" w:color="auto"/>
                    <w:right w:val="none" w:sz="0" w:space="0" w:color="auto"/>
                  </w:divBdr>
                  <w:divsChild>
                    <w:div w:id="66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644477">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614463">
      <w:bodyDiv w:val="1"/>
      <w:marLeft w:val="0"/>
      <w:marRight w:val="0"/>
      <w:marTop w:val="0"/>
      <w:marBottom w:val="0"/>
      <w:divBdr>
        <w:top w:val="none" w:sz="0" w:space="0" w:color="auto"/>
        <w:left w:val="none" w:sz="0" w:space="0" w:color="auto"/>
        <w:bottom w:val="none" w:sz="0" w:space="0" w:color="auto"/>
        <w:right w:val="none" w:sz="0" w:space="0" w:color="auto"/>
      </w:divBdr>
      <w:divsChild>
        <w:div w:id="92484123">
          <w:marLeft w:val="0"/>
          <w:marRight w:val="0"/>
          <w:marTop w:val="0"/>
          <w:marBottom w:val="0"/>
          <w:divBdr>
            <w:top w:val="none" w:sz="0" w:space="0" w:color="auto"/>
            <w:left w:val="none" w:sz="0" w:space="0" w:color="auto"/>
            <w:bottom w:val="none" w:sz="0" w:space="0" w:color="auto"/>
            <w:right w:val="none" w:sz="0" w:space="0" w:color="auto"/>
          </w:divBdr>
          <w:divsChild>
            <w:div w:id="1853446794">
              <w:marLeft w:val="0"/>
              <w:marRight w:val="0"/>
              <w:marTop w:val="0"/>
              <w:marBottom w:val="0"/>
              <w:divBdr>
                <w:top w:val="none" w:sz="0" w:space="0" w:color="auto"/>
                <w:left w:val="none" w:sz="0" w:space="0" w:color="auto"/>
                <w:bottom w:val="none" w:sz="0" w:space="0" w:color="auto"/>
                <w:right w:val="none" w:sz="0" w:space="0" w:color="auto"/>
              </w:divBdr>
              <w:divsChild>
                <w:div w:id="1903059431">
                  <w:marLeft w:val="0"/>
                  <w:marRight w:val="0"/>
                  <w:marTop w:val="0"/>
                  <w:marBottom w:val="0"/>
                  <w:divBdr>
                    <w:top w:val="none" w:sz="0" w:space="0" w:color="auto"/>
                    <w:left w:val="none" w:sz="0" w:space="0" w:color="auto"/>
                    <w:bottom w:val="none" w:sz="0" w:space="0" w:color="auto"/>
                    <w:right w:val="none" w:sz="0" w:space="0" w:color="auto"/>
                  </w:divBdr>
                  <w:divsChild>
                    <w:div w:id="125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2557467">
      <w:bodyDiv w:val="1"/>
      <w:marLeft w:val="0"/>
      <w:marRight w:val="0"/>
      <w:marTop w:val="0"/>
      <w:marBottom w:val="0"/>
      <w:divBdr>
        <w:top w:val="none" w:sz="0" w:space="0" w:color="auto"/>
        <w:left w:val="none" w:sz="0" w:space="0" w:color="auto"/>
        <w:bottom w:val="none" w:sz="0" w:space="0" w:color="auto"/>
        <w:right w:val="none" w:sz="0" w:space="0" w:color="auto"/>
      </w:divBdr>
    </w:div>
    <w:div w:id="1063605715">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4010394">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20147497">
      <w:bodyDiv w:val="1"/>
      <w:marLeft w:val="0"/>
      <w:marRight w:val="0"/>
      <w:marTop w:val="0"/>
      <w:marBottom w:val="0"/>
      <w:divBdr>
        <w:top w:val="none" w:sz="0" w:space="0" w:color="auto"/>
        <w:left w:val="none" w:sz="0" w:space="0" w:color="auto"/>
        <w:bottom w:val="none" w:sz="0" w:space="0" w:color="auto"/>
        <w:right w:val="none" w:sz="0" w:space="0" w:color="auto"/>
      </w:divBdr>
    </w:div>
    <w:div w:id="1121613371">
      <w:bodyDiv w:val="1"/>
      <w:marLeft w:val="0"/>
      <w:marRight w:val="0"/>
      <w:marTop w:val="0"/>
      <w:marBottom w:val="0"/>
      <w:divBdr>
        <w:top w:val="none" w:sz="0" w:space="0" w:color="auto"/>
        <w:left w:val="none" w:sz="0" w:space="0" w:color="auto"/>
        <w:bottom w:val="none" w:sz="0" w:space="0" w:color="auto"/>
        <w:right w:val="none" w:sz="0" w:space="0" w:color="auto"/>
      </w:divBdr>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26967237">
      <w:bodyDiv w:val="1"/>
      <w:marLeft w:val="0"/>
      <w:marRight w:val="0"/>
      <w:marTop w:val="0"/>
      <w:marBottom w:val="0"/>
      <w:divBdr>
        <w:top w:val="none" w:sz="0" w:space="0" w:color="auto"/>
        <w:left w:val="none" w:sz="0" w:space="0" w:color="auto"/>
        <w:bottom w:val="none" w:sz="0" w:space="0" w:color="auto"/>
        <w:right w:val="none" w:sz="0" w:space="0" w:color="auto"/>
      </w:divBdr>
      <w:divsChild>
        <w:div w:id="1799493842">
          <w:marLeft w:val="0"/>
          <w:marRight w:val="0"/>
          <w:marTop w:val="0"/>
          <w:marBottom w:val="0"/>
          <w:divBdr>
            <w:top w:val="none" w:sz="0" w:space="0" w:color="auto"/>
            <w:left w:val="none" w:sz="0" w:space="0" w:color="auto"/>
            <w:bottom w:val="none" w:sz="0" w:space="0" w:color="auto"/>
            <w:right w:val="none" w:sz="0" w:space="0" w:color="auto"/>
          </w:divBdr>
          <w:divsChild>
            <w:div w:id="337079680">
              <w:marLeft w:val="0"/>
              <w:marRight w:val="0"/>
              <w:marTop w:val="0"/>
              <w:marBottom w:val="0"/>
              <w:divBdr>
                <w:top w:val="none" w:sz="0" w:space="0" w:color="auto"/>
                <w:left w:val="none" w:sz="0" w:space="0" w:color="auto"/>
                <w:bottom w:val="none" w:sz="0" w:space="0" w:color="auto"/>
                <w:right w:val="none" w:sz="0" w:space="0" w:color="auto"/>
              </w:divBdr>
              <w:divsChild>
                <w:div w:id="794296561">
                  <w:marLeft w:val="0"/>
                  <w:marRight w:val="0"/>
                  <w:marTop w:val="0"/>
                  <w:marBottom w:val="0"/>
                  <w:divBdr>
                    <w:top w:val="none" w:sz="0" w:space="0" w:color="auto"/>
                    <w:left w:val="none" w:sz="0" w:space="0" w:color="auto"/>
                    <w:bottom w:val="none" w:sz="0" w:space="0" w:color="auto"/>
                    <w:right w:val="none" w:sz="0" w:space="0" w:color="auto"/>
                  </w:divBdr>
                  <w:divsChild>
                    <w:div w:id="1251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44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400780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356932">
      <w:bodyDiv w:val="1"/>
      <w:marLeft w:val="0"/>
      <w:marRight w:val="0"/>
      <w:marTop w:val="0"/>
      <w:marBottom w:val="0"/>
      <w:divBdr>
        <w:top w:val="none" w:sz="0" w:space="0" w:color="auto"/>
        <w:left w:val="none" w:sz="0" w:space="0" w:color="auto"/>
        <w:bottom w:val="none" w:sz="0" w:space="0" w:color="auto"/>
        <w:right w:val="none" w:sz="0" w:space="0" w:color="auto"/>
      </w:divBdr>
    </w:div>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67">
          <w:marLeft w:val="0"/>
          <w:marRight w:val="0"/>
          <w:marTop w:val="0"/>
          <w:marBottom w:val="0"/>
          <w:divBdr>
            <w:top w:val="none" w:sz="0" w:space="0" w:color="auto"/>
            <w:left w:val="none" w:sz="0" w:space="0" w:color="auto"/>
            <w:bottom w:val="none" w:sz="0" w:space="0" w:color="auto"/>
            <w:right w:val="none" w:sz="0" w:space="0" w:color="auto"/>
          </w:divBdr>
          <w:divsChild>
            <w:div w:id="378865178">
              <w:marLeft w:val="0"/>
              <w:marRight w:val="0"/>
              <w:marTop w:val="0"/>
              <w:marBottom w:val="0"/>
              <w:divBdr>
                <w:top w:val="none" w:sz="0" w:space="0" w:color="auto"/>
                <w:left w:val="none" w:sz="0" w:space="0" w:color="auto"/>
                <w:bottom w:val="none" w:sz="0" w:space="0" w:color="auto"/>
                <w:right w:val="none" w:sz="0" w:space="0" w:color="auto"/>
              </w:divBdr>
              <w:divsChild>
                <w:div w:id="30300640">
                  <w:marLeft w:val="0"/>
                  <w:marRight w:val="0"/>
                  <w:marTop w:val="0"/>
                  <w:marBottom w:val="0"/>
                  <w:divBdr>
                    <w:top w:val="none" w:sz="0" w:space="0" w:color="auto"/>
                    <w:left w:val="none" w:sz="0" w:space="0" w:color="auto"/>
                    <w:bottom w:val="none" w:sz="0" w:space="0" w:color="auto"/>
                    <w:right w:val="none" w:sz="0" w:space="0" w:color="auto"/>
                  </w:divBdr>
                  <w:divsChild>
                    <w:div w:id="1202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7315">
      <w:bodyDiv w:val="1"/>
      <w:marLeft w:val="0"/>
      <w:marRight w:val="0"/>
      <w:marTop w:val="0"/>
      <w:marBottom w:val="0"/>
      <w:divBdr>
        <w:top w:val="none" w:sz="0" w:space="0" w:color="auto"/>
        <w:left w:val="none" w:sz="0" w:space="0" w:color="auto"/>
        <w:bottom w:val="none" w:sz="0" w:space="0" w:color="auto"/>
        <w:right w:val="none" w:sz="0" w:space="0" w:color="auto"/>
      </w:divBdr>
    </w:div>
    <w:div w:id="116759817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604032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06799393">
      <w:bodyDiv w:val="1"/>
      <w:marLeft w:val="0"/>
      <w:marRight w:val="0"/>
      <w:marTop w:val="0"/>
      <w:marBottom w:val="0"/>
      <w:divBdr>
        <w:top w:val="none" w:sz="0" w:space="0" w:color="auto"/>
        <w:left w:val="none" w:sz="0" w:space="0" w:color="auto"/>
        <w:bottom w:val="none" w:sz="0" w:space="0" w:color="auto"/>
        <w:right w:val="none" w:sz="0" w:space="0" w:color="auto"/>
      </w:divBdr>
      <w:divsChild>
        <w:div w:id="1401171663">
          <w:marLeft w:val="0"/>
          <w:marRight w:val="0"/>
          <w:marTop w:val="0"/>
          <w:marBottom w:val="0"/>
          <w:divBdr>
            <w:top w:val="none" w:sz="0" w:space="0" w:color="auto"/>
            <w:left w:val="none" w:sz="0" w:space="0" w:color="auto"/>
            <w:bottom w:val="none" w:sz="0" w:space="0" w:color="auto"/>
            <w:right w:val="none" w:sz="0" w:space="0" w:color="auto"/>
          </w:divBdr>
          <w:divsChild>
            <w:div w:id="2008434932">
              <w:marLeft w:val="0"/>
              <w:marRight w:val="0"/>
              <w:marTop w:val="0"/>
              <w:marBottom w:val="0"/>
              <w:divBdr>
                <w:top w:val="none" w:sz="0" w:space="0" w:color="auto"/>
                <w:left w:val="none" w:sz="0" w:space="0" w:color="auto"/>
                <w:bottom w:val="none" w:sz="0" w:space="0" w:color="auto"/>
                <w:right w:val="none" w:sz="0" w:space="0" w:color="auto"/>
              </w:divBdr>
              <w:divsChild>
                <w:div w:id="220213628">
                  <w:marLeft w:val="0"/>
                  <w:marRight w:val="0"/>
                  <w:marTop w:val="0"/>
                  <w:marBottom w:val="0"/>
                  <w:divBdr>
                    <w:top w:val="none" w:sz="0" w:space="0" w:color="auto"/>
                    <w:left w:val="none" w:sz="0" w:space="0" w:color="auto"/>
                    <w:bottom w:val="none" w:sz="0" w:space="0" w:color="auto"/>
                    <w:right w:val="none" w:sz="0" w:space="0" w:color="auto"/>
                  </w:divBdr>
                  <w:divsChild>
                    <w:div w:id="1742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28">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767123">
      <w:bodyDiv w:val="1"/>
      <w:marLeft w:val="0"/>
      <w:marRight w:val="0"/>
      <w:marTop w:val="0"/>
      <w:marBottom w:val="0"/>
      <w:divBdr>
        <w:top w:val="none" w:sz="0" w:space="0" w:color="auto"/>
        <w:left w:val="none" w:sz="0" w:space="0" w:color="auto"/>
        <w:bottom w:val="none" w:sz="0" w:space="0" w:color="auto"/>
        <w:right w:val="none" w:sz="0" w:space="0" w:color="auto"/>
      </w:divBdr>
    </w:div>
    <w:div w:id="1235816180">
      <w:bodyDiv w:val="1"/>
      <w:marLeft w:val="0"/>
      <w:marRight w:val="0"/>
      <w:marTop w:val="0"/>
      <w:marBottom w:val="0"/>
      <w:divBdr>
        <w:top w:val="none" w:sz="0" w:space="0" w:color="auto"/>
        <w:left w:val="none" w:sz="0" w:space="0" w:color="auto"/>
        <w:bottom w:val="none" w:sz="0" w:space="0" w:color="auto"/>
        <w:right w:val="none" w:sz="0" w:space="0" w:color="auto"/>
      </w:divBdr>
    </w:div>
    <w:div w:id="1241208689">
      <w:bodyDiv w:val="1"/>
      <w:marLeft w:val="0"/>
      <w:marRight w:val="0"/>
      <w:marTop w:val="0"/>
      <w:marBottom w:val="0"/>
      <w:divBdr>
        <w:top w:val="none" w:sz="0" w:space="0" w:color="auto"/>
        <w:left w:val="none" w:sz="0" w:space="0" w:color="auto"/>
        <w:bottom w:val="none" w:sz="0" w:space="0" w:color="auto"/>
        <w:right w:val="none" w:sz="0" w:space="0" w:color="auto"/>
      </w:divBdr>
    </w:div>
    <w:div w:id="1266696291">
      <w:bodyDiv w:val="1"/>
      <w:marLeft w:val="0"/>
      <w:marRight w:val="0"/>
      <w:marTop w:val="0"/>
      <w:marBottom w:val="0"/>
      <w:divBdr>
        <w:top w:val="none" w:sz="0" w:space="0" w:color="auto"/>
        <w:left w:val="none" w:sz="0" w:space="0" w:color="auto"/>
        <w:bottom w:val="none" w:sz="0" w:space="0" w:color="auto"/>
        <w:right w:val="none" w:sz="0" w:space="0" w:color="auto"/>
      </w:divBdr>
    </w:div>
    <w:div w:id="1275404329">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8127692">
      <w:bodyDiv w:val="1"/>
      <w:marLeft w:val="0"/>
      <w:marRight w:val="0"/>
      <w:marTop w:val="0"/>
      <w:marBottom w:val="0"/>
      <w:divBdr>
        <w:top w:val="none" w:sz="0" w:space="0" w:color="auto"/>
        <w:left w:val="none" w:sz="0" w:space="0" w:color="auto"/>
        <w:bottom w:val="none" w:sz="0" w:space="0" w:color="auto"/>
        <w:right w:val="none" w:sz="0" w:space="0" w:color="auto"/>
      </w:divBdr>
    </w:div>
    <w:div w:id="1289319761">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590257">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425649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6882401">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15469">
      <w:bodyDiv w:val="1"/>
      <w:marLeft w:val="0"/>
      <w:marRight w:val="0"/>
      <w:marTop w:val="0"/>
      <w:marBottom w:val="0"/>
      <w:divBdr>
        <w:top w:val="none" w:sz="0" w:space="0" w:color="auto"/>
        <w:left w:val="none" w:sz="0" w:space="0" w:color="auto"/>
        <w:bottom w:val="none" w:sz="0" w:space="0" w:color="auto"/>
        <w:right w:val="none" w:sz="0" w:space="0" w:color="auto"/>
      </w:divBdr>
    </w:div>
    <w:div w:id="135518383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379">
      <w:bodyDiv w:val="1"/>
      <w:marLeft w:val="0"/>
      <w:marRight w:val="0"/>
      <w:marTop w:val="0"/>
      <w:marBottom w:val="0"/>
      <w:divBdr>
        <w:top w:val="none" w:sz="0" w:space="0" w:color="auto"/>
        <w:left w:val="none" w:sz="0" w:space="0" w:color="auto"/>
        <w:bottom w:val="none" w:sz="0" w:space="0" w:color="auto"/>
        <w:right w:val="none" w:sz="0" w:space="0" w:color="auto"/>
      </w:divBdr>
    </w:div>
    <w:div w:id="1373119408">
      <w:bodyDiv w:val="1"/>
      <w:marLeft w:val="0"/>
      <w:marRight w:val="0"/>
      <w:marTop w:val="0"/>
      <w:marBottom w:val="0"/>
      <w:divBdr>
        <w:top w:val="none" w:sz="0" w:space="0" w:color="auto"/>
        <w:left w:val="none" w:sz="0" w:space="0" w:color="auto"/>
        <w:bottom w:val="none" w:sz="0" w:space="0" w:color="auto"/>
        <w:right w:val="none" w:sz="0" w:space="0" w:color="auto"/>
      </w:divBdr>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8528395">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2606332">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9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027748">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87234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0074920">
      <w:bodyDiv w:val="1"/>
      <w:marLeft w:val="0"/>
      <w:marRight w:val="0"/>
      <w:marTop w:val="0"/>
      <w:marBottom w:val="0"/>
      <w:divBdr>
        <w:top w:val="none" w:sz="0" w:space="0" w:color="auto"/>
        <w:left w:val="none" w:sz="0" w:space="0" w:color="auto"/>
        <w:bottom w:val="none" w:sz="0" w:space="0" w:color="auto"/>
        <w:right w:val="none" w:sz="0" w:space="0" w:color="auto"/>
      </w:divBdr>
      <w:divsChild>
        <w:div w:id="657613826">
          <w:marLeft w:val="0"/>
          <w:marRight w:val="0"/>
          <w:marTop w:val="0"/>
          <w:marBottom w:val="0"/>
          <w:divBdr>
            <w:top w:val="none" w:sz="0" w:space="0" w:color="auto"/>
            <w:left w:val="none" w:sz="0" w:space="0" w:color="auto"/>
            <w:bottom w:val="none" w:sz="0" w:space="0" w:color="auto"/>
            <w:right w:val="none" w:sz="0" w:space="0" w:color="auto"/>
          </w:divBdr>
          <w:divsChild>
            <w:div w:id="473302484">
              <w:marLeft w:val="0"/>
              <w:marRight w:val="0"/>
              <w:marTop w:val="0"/>
              <w:marBottom w:val="0"/>
              <w:divBdr>
                <w:top w:val="none" w:sz="0" w:space="0" w:color="auto"/>
                <w:left w:val="none" w:sz="0" w:space="0" w:color="auto"/>
                <w:bottom w:val="none" w:sz="0" w:space="0" w:color="auto"/>
                <w:right w:val="none" w:sz="0" w:space="0" w:color="auto"/>
              </w:divBdr>
              <w:divsChild>
                <w:div w:id="1723283904">
                  <w:marLeft w:val="0"/>
                  <w:marRight w:val="0"/>
                  <w:marTop w:val="0"/>
                  <w:marBottom w:val="0"/>
                  <w:divBdr>
                    <w:top w:val="none" w:sz="0" w:space="0" w:color="auto"/>
                    <w:left w:val="none" w:sz="0" w:space="0" w:color="auto"/>
                    <w:bottom w:val="none" w:sz="0" w:space="0" w:color="auto"/>
                    <w:right w:val="none" w:sz="0" w:space="0" w:color="auto"/>
                  </w:divBdr>
                  <w:divsChild>
                    <w:div w:id="20965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6217">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424550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172">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3">
          <w:marLeft w:val="0"/>
          <w:marRight w:val="0"/>
          <w:marTop w:val="0"/>
          <w:marBottom w:val="0"/>
          <w:divBdr>
            <w:top w:val="none" w:sz="0" w:space="0" w:color="auto"/>
            <w:left w:val="none" w:sz="0" w:space="0" w:color="auto"/>
            <w:bottom w:val="none" w:sz="0" w:space="0" w:color="auto"/>
            <w:right w:val="none" w:sz="0" w:space="0" w:color="auto"/>
          </w:divBdr>
          <w:divsChild>
            <w:div w:id="574440866">
              <w:marLeft w:val="0"/>
              <w:marRight w:val="0"/>
              <w:marTop w:val="0"/>
              <w:marBottom w:val="0"/>
              <w:divBdr>
                <w:top w:val="none" w:sz="0" w:space="0" w:color="auto"/>
                <w:left w:val="none" w:sz="0" w:space="0" w:color="auto"/>
                <w:bottom w:val="none" w:sz="0" w:space="0" w:color="auto"/>
                <w:right w:val="none" w:sz="0" w:space="0" w:color="auto"/>
              </w:divBdr>
              <w:divsChild>
                <w:div w:id="1554779278">
                  <w:marLeft w:val="0"/>
                  <w:marRight w:val="0"/>
                  <w:marTop w:val="0"/>
                  <w:marBottom w:val="0"/>
                  <w:divBdr>
                    <w:top w:val="none" w:sz="0" w:space="0" w:color="auto"/>
                    <w:left w:val="none" w:sz="0" w:space="0" w:color="auto"/>
                    <w:bottom w:val="none" w:sz="0" w:space="0" w:color="auto"/>
                    <w:right w:val="none" w:sz="0" w:space="0" w:color="auto"/>
                  </w:divBdr>
                  <w:divsChild>
                    <w:div w:id="930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04994571">
      <w:bodyDiv w:val="1"/>
      <w:marLeft w:val="0"/>
      <w:marRight w:val="0"/>
      <w:marTop w:val="0"/>
      <w:marBottom w:val="0"/>
      <w:divBdr>
        <w:top w:val="none" w:sz="0" w:space="0" w:color="auto"/>
        <w:left w:val="none" w:sz="0" w:space="0" w:color="auto"/>
        <w:bottom w:val="none" w:sz="0" w:space="0" w:color="auto"/>
        <w:right w:val="none" w:sz="0" w:space="0" w:color="auto"/>
      </w:divBdr>
      <w:divsChild>
        <w:div w:id="1680890505">
          <w:marLeft w:val="0"/>
          <w:marRight w:val="0"/>
          <w:marTop w:val="0"/>
          <w:marBottom w:val="0"/>
          <w:divBdr>
            <w:top w:val="none" w:sz="0" w:space="0" w:color="auto"/>
            <w:left w:val="none" w:sz="0" w:space="0" w:color="auto"/>
            <w:bottom w:val="none" w:sz="0" w:space="0" w:color="auto"/>
            <w:right w:val="none" w:sz="0" w:space="0" w:color="auto"/>
          </w:divBdr>
        </w:div>
        <w:div w:id="1611820662">
          <w:marLeft w:val="0"/>
          <w:marRight w:val="0"/>
          <w:marTop w:val="0"/>
          <w:marBottom w:val="0"/>
          <w:divBdr>
            <w:top w:val="none" w:sz="0" w:space="0" w:color="auto"/>
            <w:left w:val="none" w:sz="0" w:space="0" w:color="auto"/>
            <w:bottom w:val="none" w:sz="0" w:space="0" w:color="auto"/>
            <w:right w:val="none" w:sz="0" w:space="0" w:color="auto"/>
          </w:divBdr>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2436435">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211194">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43271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673763">
      <w:bodyDiv w:val="1"/>
      <w:marLeft w:val="0"/>
      <w:marRight w:val="0"/>
      <w:marTop w:val="0"/>
      <w:marBottom w:val="0"/>
      <w:divBdr>
        <w:top w:val="none" w:sz="0" w:space="0" w:color="auto"/>
        <w:left w:val="none" w:sz="0" w:space="0" w:color="auto"/>
        <w:bottom w:val="none" w:sz="0" w:space="0" w:color="auto"/>
        <w:right w:val="none" w:sz="0" w:space="0" w:color="auto"/>
      </w:divBdr>
      <w:divsChild>
        <w:div w:id="926842691">
          <w:marLeft w:val="0"/>
          <w:marRight w:val="0"/>
          <w:marTop w:val="0"/>
          <w:marBottom w:val="0"/>
          <w:divBdr>
            <w:top w:val="none" w:sz="0" w:space="0" w:color="auto"/>
            <w:left w:val="none" w:sz="0" w:space="0" w:color="auto"/>
            <w:bottom w:val="none" w:sz="0" w:space="0" w:color="auto"/>
            <w:right w:val="none" w:sz="0" w:space="0" w:color="auto"/>
          </w:divBdr>
          <w:divsChild>
            <w:div w:id="767892457">
              <w:marLeft w:val="0"/>
              <w:marRight w:val="0"/>
              <w:marTop w:val="0"/>
              <w:marBottom w:val="0"/>
              <w:divBdr>
                <w:top w:val="none" w:sz="0" w:space="0" w:color="auto"/>
                <w:left w:val="none" w:sz="0" w:space="0" w:color="auto"/>
                <w:bottom w:val="none" w:sz="0" w:space="0" w:color="auto"/>
                <w:right w:val="none" w:sz="0" w:space="0" w:color="auto"/>
              </w:divBdr>
              <w:divsChild>
                <w:div w:id="97800122">
                  <w:marLeft w:val="0"/>
                  <w:marRight w:val="0"/>
                  <w:marTop w:val="0"/>
                  <w:marBottom w:val="0"/>
                  <w:divBdr>
                    <w:top w:val="none" w:sz="0" w:space="0" w:color="auto"/>
                    <w:left w:val="none" w:sz="0" w:space="0" w:color="auto"/>
                    <w:bottom w:val="none" w:sz="0" w:space="0" w:color="auto"/>
                    <w:right w:val="none" w:sz="0" w:space="0" w:color="auto"/>
                  </w:divBdr>
                  <w:divsChild>
                    <w:div w:id="411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829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41">
      <w:bodyDiv w:val="1"/>
      <w:marLeft w:val="0"/>
      <w:marRight w:val="0"/>
      <w:marTop w:val="0"/>
      <w:marBottom w:val="0"/>
      <w:divBdr>
        <w:top w:val="none" w:sz="0" w:space="0" w:color="auto"/>
        <w:left w:val="none" w:sz="0" w:space="0" w:color="auto"/>
        <w:bottom w:val="none" w:sz="0" w:space="0" w:color="auto"/>
        <w:right w:val="none" w:sz="0" w:space="0" w:color="auto"/>
      </w:divBdr>
    </w:div>
    <w:div w:id="171141533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946454">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041663">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3797551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976">
      <w:bodyDiv w:val="1"/>
      <w:marLeft w:val="0"/>
      <w:marRight w:val="0"/>
      <w:marTop w:val="0"/>
      <w:marBottom w:val="0"/>
      <w:divBdr>
        <w:top w:val="none" w:sz="0" w:space="0" w:color="auto"/>
        <w:left w:val="none" w:sz="0" w:space="0" w:color="auto"/>
        <w:bottom w:val="none" w:sz="0" w:space="0" w:color="auto"/>
        <w:right w:val="none" w:sz="0" w:space="0" w:color="auto"/>
      </w:divBdr>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592745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839">
      <w:bodyDiv w:val="1"/>
      <w:marLeft w:val="0"/>
      <w:marRight w:val="0"/>
      <w:marTop w:val="0"/>
      <w:marBottom w:val="0"/>
      <w:divBdr>
        <w:top w:val="none" w:sz="0" w:space="0" w:color="auto"/>
        <w:left w:val="none" w:sz="0" w:space="0" w:color="auto"/>
        <w:bottom w:val="none" w:sz="0" w:space="0" w:color="auto"/>
        <w:right w:val="none" w:sz="0" w:space="0" w:color="auto"/>
      </w:divBdr>
    </w:div>
    <w:div w:id="1839998538">
      <w:bodyDiv w:val="1"/>
      <w:marLeft w:val="0"/>
      <w:marRight w:val="0"/>
      <w:marTop w:val="0"/>
      <w:marBottom w:val="0"/>
      <w:divBdr>
        <w:top w:val="none" w:sz="0" w:space="0" w:color="auto"/>
        <w:left w:val="none" w:sz="0" w:space="0" w:color="auto"/>
        <w:bottom w:val="none" w:sz="0" w:space="0" w:color="auto"/>
        <w:right w:val="none" w:sz="0" w:space="0" w:color="auto"/>
      </w:divBdr>
    </w:div>
    <w:div w:id="1840656689">
      <w:bodyDiv w:val="1"/>
      <w:marLeft w:val="0"/>
      <w:marRight w:val="0"/>
      <w:marTop w:val="0"/>
      <w:marBottom w:val="0"/>
      <w:divBdr>
        <w:top w:val="none" w:sz="0" w:space="0" w:color="auto"/>
        <w:left w:val="none" w:sz="0" w:space="0" w:color="auto"/>
        <w:bottom w:val="none" w:sz="0" w:space="0" w:color="auto"/>
        <w:right w:val="none" w:sz="0" w:space="0" w:color="auto"/>
      </w:divBdr>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1919580">
      <w:bodyDiv w:val="1"/>
      <w:marLeft w:val="0"/>
      <w:marRight w:val="0"/>
      <w:marTop w:val="0"/>
      <w:marBottom w:val="0"/>
      <w:divBdr>
        <w:top w:val="none" w:sz="0" w:space="0" w:color="auto"/>
        <w:left w:val="none" w:sz="0" w:space="0" w:color="auto"/>
        <w:bottom w:val="none" w:sz="0" w:space="0" w:color="auto"/>
        <w:right w:val="none" w:sz="0" w:space="0" w:color="auto"/>
      </w:divBdr>
    </w:div>
    <w:div w:id="184269907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569514">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4974769">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602168">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604190">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5533217">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317743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966244">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8611946">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713425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7154">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
    <w:div w:id="1963656370">
      <w:bodyDiv w:val="1"/>
      <w:marLeft w:val="0"/>
      <w:marRight w:val="0"/>
      <w:marTop w:val="0"/>
      <w:marBottom w:val="0"/>
      <w:divBdr>
        <w:top w:val="none" w:sz="0" w:space="0" w:color="auto"/>
        <w:left w:val="none" w:sz="0" w:space="0" w:color="auto"/>
        <w:bottom w:val="none" w:sz="0" w:space="0" w:color="auto"/>
        <w:right w:val="none" w:sz="0" w:space="0" w:color="auto"/>
      </w:divBdr>
    </w:div>
    <w:div w:id="1971668427">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970972">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601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13">
          <w:marLeft w:val="0"/>
          <w:marRight w:val="0"/>
          <w:marTop w:val="0"/>
          <w:marBottom w:val="0"/>
          <w:divBdr>
            <w:top w:val="none" w:sz="0" w:space="0" w:color="auto"/>
            <w:left w:val="none" w:sz="0" w:space="0" w:color="auto"/>
            <w:bottom w:val="none" w:sz="0" w:space="0" w:color="auto"/>
            <w:right w:val="none" w:sz="0" w:space="0" w:color="auto"/>
          </w:divBdr>
          <w:divsChild>
            <w:div w:id="809177058">
              <w:marLeft w:val="0"/>
              <w:marRight w:val="0"/>
              <w:marTop w:val="0"/>
              <w:marBottom w:val="0"/>
              <w:divBdr>
                <w:top w:val="none" w:sz="0" w:space="0" w:color="auto"/>
                <w:left w:val="none" w:sz="0" w:space="0" w:color="auto"/>
                <w:bottom w:val="none" w:sz="0" w:space="0" w:color="auto"/>
                <w:right w:val="none" w:sz="0" w:space="0" w:color="auto"/>
              </w:divBdr>
              <w:divsChild>
                <w:div w:id="1647661830">
                  <w:marLeft w:val="0"/>
                  <w:marRight w:val="0"/>
                  <w:marTop w:val="0"/>
                  <w:marBottom w:val="0"/>
                  <w:divBdr>
                    <w:top w:val="none" w:sz="0" w:space="0" w:color="auto"/>
                    <w:left w:val="none" w:sz="0" w:space="0" w:color="auto"/>
                    <w:bottom w:val="none" w:sz="0" w:space="0" w:color="auto"/>
                    <w:right w:val="none" w:sz="0" w:space="0" w:color="auto"/>
                  </w:divBdr>
                  <w:divsChild>
                    <w:div w:id="1736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02">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69717838">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10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7919846">
      <w:bodyDiv w:val="1"/>
      <w:marLeft w:val="0"/>
      <w:marRight w:val="0"/>
      <w:marTop w:val="0"/>
      <w:marBottom w:val="0"/>
      <w:divBdr>
        <w:top w:val="none" w:sz="0" w:space="0" w:color="auto"/>
        <w:left w:val="none" w:sz="0" w:space="0" w:color="auto"/>
        <w:bottom w:val="none" w:sz="0" w:space="0" w:color="auto"/>
        <w:right w:val="none" w:sz="0" w:space="0" w:color="auto"/>
      </w:divBdr>
    </w:div>
    <w:div w:id="2118017437">
      <w:bodyDiv w:val="1"/>
      <w:marLeft w:val="0"/>
      <w:marRight w:val="0"/>
      <w:marTop w:val="0"/>
      <w:marBottom w:val="0"/>
      <w:divBdr>
        <w:top w:val="none" w:sz="0" w:space="0" w:color="auto"/>
        <w:left w:val="none" w:sz="0" w:space="0" w:color="auto"/>
        <w:bottom w:val="none" w:sz="0" w:space="0" w:color="auto"/>
        <w:right w:val="none" w:sz="0" w:space="0" w:color="auto"/>
      </w:divBdr>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105</Pages>
  <Words>44431</Words>
  <Characters>244373</Characters>
  <Application>Microsoft Office Word</Application>
  <DocSecurity>0</DocSecurity>
  <Lines>2036</Lines>
  <Paragraphs>576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2022-05-24T16:43:00Z</dcterms:created>
  <dcterms:modified xsi:type="dcterms:W3CDTF">2022-05-24T16:43:00Z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