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DF23" w14:textId="77777777" w:rsidR="00F06958" w:rsidRPr="00F06958" w:rsidRDefault="00F06958" w:rsidP="00F06958">
      <w:pPr>
        <w:tabs>
          <w:tab w:val="left" w:pos="426"/>
        </w:tabs>
        <w:spacing w:after="0" w:line="240" w:lineRule="auto"/>
        <w:jc w:val="both"/>
        <w:rPr>
          <w:rFonts w:ascii="Arial" w:eastAsia="Calibri" w:hAnsi="Arial" w:cs="Arial"/>
          <w:b/>
          <w:bCs/>
          <w:lang w:val="es-MX"/>
        </w:rPr>
      </w:pPr>
      <w:bookmarkStart w:id="0" w:name="_Hlk77152637"/>
      <w:bookmarkStart w:id="1" w:name="_Hlk77157066"/>
      <w:bookmarkStart w:id="2" w:name="_Hlk78821436"/>
      <w:r w:rsidRPr="00F06958">
        <w:rPr>
          <w:rFonts w:ascii="Arial" w:eastAsia="Calibri" w:hAnsi="Arial" w:cs="Arial"/>
          <w:b/>
          <w:bCs/>
          <w:lang w:val="es-MX"/>
        </w:rPr>
        <w:t>LEY DE GARANTÍAS ELECTORALES ‒</w:t>
      </w:r>
      <w:bookmarkEnd w:id="0"/>
      <w:r w:rsidRPr="00F06958">
        <w:rPr>
          <w:rFonts w:ascii="Arial" w:eastAsia="Calibri" w:hAnsi="Arial" w:cs="Arial"/>
          <w:b/>
          <w:bCs/>
          <w:lang w:val="es-MX"/>
        </w:rPr>
        <w:t xml:space="preserve"> Tipos de restricciones </w:t>
      </w:r>
      <w:bookmarkStart w:id="3" w:name="_Hlk77157034"/>
      <w:r w:rsidRPr="00F06958">
        <w:rPr>
          <w:rFonts w:ascii="Arial" w:eastAsia="Calibri" w:hAnsi="Arial" w:cs="Arial"/>
          <w:b/>
          <w:bCs/>
          <w:lang w:val="es-MX"/>
        </w:rPr>
        <w:t xml:space="preserve">‒ </w:t>
      </w:r>
      <w:bookmarkStart w:id="4" w:name="_Hlk77153098"/>
      <w:bookmarkEnd w:id="3"/>
      <w:r w:rsidRPr="00F06958">
        <w:rPr>
          <w:rFonts w:ascii="Arial" w:eastAsia="Calibri" w:hAnsi="Arial" w:cs="Arial"/>
          <w:b/>
          <w:bCs/>
          <w:lang w:val="es-MX"/>
        </w:rPr>
        <w:t xml:space="preserve">Ámbito temporal </w:t>
      </w:r>
      <w:bookmarkEnd w:id="4"/>
    </w:p>
    <w:p w14:paraId="115E3110" w14:textId="77777777" w:rsidR="00F06958" w:rsidRPr="00F06958" w:rsidRDefault="00F06958" w:rsidP="00F06958">
      <w:pPr>
        <w:tabs>
          <w:tab w:val="left" w:pos="426"/>
        </w:tabs>
        <w:spacing w:after="0" w:line="240" w:lineRule="auto"/>
        <w:jc w:val="both"/>
        <w:rPr>
          <w:rFonts w:ascii="Arial" w:eastAsia="Calibri" w:hAnsi="Arial" w:cs="Arial"/>
          <w:b/>
          <w:bCs/>
          <w:sz w:val="20"/>
          <w:szCs w:val="20"/>
          <w:lang w:val="es-MX"/>
        </w:rPr>
      </w:pPr>
    </w:p>
    <w:bookmarkEnd w:id="1"/>
    <w:p w14:paraId="658CEEAE" w14:textId="46D73BA3" w:rsidR="00F06958" w:rsidRPr="00F06958" w:rsidRDefault="00F06958" w:rsidP="00F06958">
      <w:pPr>
        <w:tabs>
          <w:tab w:val="left" w:pos="426"/>
        </w:tabs>
        <w:spacing w:after="0" w:line="240" w:lineRule="auto"/>
        <w:jc w:val="both"/>
        <w:rPr>
          <w:rFonts w:ascii="Arial" w:eastAsia="Calibri" w:hAnsi="Arial" w:cs="Arial"/>
          <w:noProof/>
          <w:sz w:val="20"/>
          <w:szCs w:val="20"/>
          <w:lang w:val="es-ES_tradnl"/>
        </w:rPr>
      </w:pPr>
      <w:r w:rsidRPr="00F06958">
        <w:rPr>
          <w:rFonts w:ascii="Arial" w:eastAsia="Calibri" w:hAnsi="Arial" w:cs="Arial"/>
          <w:noProof/>
          <w:sz w:val="20"/>
          <w:szCs w:val="20"/>
          <w:lang w:val="es-ES_tradnl"/>
        </w:rPr>
        <w:t xml:space="preserve">[…] </w:t>
      </w:r>
      <w:r w:rsidR="004878C0" w:rsidRPr="004878C0">
        <w:rPr>
          <w:rFonts w:ascii="Arial" w:eastAsia="Calibri" w:hAnsi="Arial" w:cs="Arial"/>
          <w:noProof/>
          <w:sz w:val="20"/>
          <w:szCs w:val="20"/>
          <w:lang w:val="es-ES_tradnl"/>
        </w:rPr>
        <w:t>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6AAD6811" w14:textId="77777777" w:rsidR="00F06958" w:rsidRPr="00F06958" w:rsidRDefault="00F06958" w:rsidP="00F06958">
      <w:pPr>
        <w:tabs>
          <w:tab w:val="left" w:pos="426"/>
        </w:tabs>
        <w:spacing w:after="0" w:line="240" w:lineRule="auto"/>
        <w:jc w:val="both"/>
        <w:rPr>
          <w:rFonts w:ascii="Arial" w:eastAsia="Calibri" w:hAnsi="Arial" w:cs="Arial"/>
          <w:noProof/>
          <w:sz w:val="20"/>
          <w:szCs w:val="20"/>
          <w:lang w:val="es-ES_tradnl"/>
        </w:rPr>
      </w:pPr>
    </w:p>
    <w:p w14:paraId="197E52BB" w14:textId="77777777" w:rsidR="00F06958" w:rsidRPr="00F06958" w:rsidRDefault="00F06958" w:rsidP="00F06958">
      <w:pPr>
        <w:tabs>
          <w:tab w:val="left" w:pos="426"/>
        </w:tabs>
        <w:spacing w:after="0" w:line="240" w:lineRule="auto"/>
        <w:jc w:val="both"/>
        <w:rPr>
          <w:rFonts w:ascii="Arial" w:eastAsia="Calibri" w:hAnsi="Arial" w:cs="Arial"/>
          <w:b/>
          <w:bCs/>
          <w:lang w:val="es-MX"/>
        </w:rPr>
      </w:pPr>
      <w:bookmarkStart w:id="5" w:name="_Hlk77165666"/>
      <w:r w:rsidRPr="00F06958">
        <w:rPr>
          <w:rFonts w:ascii="Arial" w:eastAsia="Calibri" w:hAnsi="Arial" w:cs="Arial"/>
          <w:b/>
          <w:bCs/>
          <w:lang w:val="es-MX"/>
        </w:rPr>
        <w:t xml:space="preserve">LEY DE GARANTÍAS ELECTORALES ─ Prohibición ‒ </w:t>
      </w:r>
      <w:bookmarkEnd w:id="5"/>
      <w:r w:rsidRPr="00F06958">
        <w:rPr>
          <w:rFonts w:ascii="Arial" w:eastAsia="Calibri" w:hAnsi="Arial" w:cs="Arial"/>
          <w:b/>
          <w:bCs/>
          <w:lang w:val="es-MX"/>
        </w:rPr>
        <w:t xml:space="preserve">Contratación directa ‒ Alcance – </w:t>
      </w:r>
      <w:r w:rsidRPr="00F06958">
        <w:rPr>
          <w:rFonts w:ascii="Arial" w:eastAsia="Times New Roman" w:hAnsi="Arial" w:cs="Arial"/>
          <w:b/>
          <w:bCs/>
          <w:lang w:eastAsia="es-CO"/>
        </w:rPr>
        <w:t>Excepciones</w:t>
      </w:r>
      <w:r w:rsidRPr="00F06958">
        <w:rPr>
          <w:rFonts w:ascii="Arial" w:eastAsia="Calibri" w:hAnsi="Arial" w:cs="Arial"/>
          <w:b/>
          <w:bCs/>
          <w:lang w:val="es-MX"/>
        </w:rPr>
        <w:t xml:space="preserve"> </w:t>
      </w:r>
    </w:p>
    <w:p w14:paraId="1E38A1C2" w14:textId="77777777" w:rsidR="00F06958" w:rsidRPr="00F06958" w:rsidRDefault="00F06958" w:rsidP="00F06958">
      <w:pPr>
        <w:tabs>
          <w:tab w:val="left" w:pos="426"/>
        </w:tabs>
        <w:spacing w:after="0" w:line="240" w:lineRule="auto"/>
        <w:jc w:val="both"/>
        <w:rPr>
          <w:rFonts w:ascii="Arial" w:eastAsia="Calibri" w:hAnsi="Arial" w:cs="Arial"/>
          <w:noProof/>
          <w:sz w:val="20"/>
          <w:szCs w:val="20"/>
          <w:lang w:val="es-MX"/>
        </w:rPr>
      </w:pPr>
    </w:p>
    <w:p w14:paraId="7DA25070" w14:textId="681F71B4" w:rsidR="00F06958" w:rsidRPr="00F06958" w:rsidRDefault="00F06958" w:rsidP="00F06958">
      <w:pPr>
        <w:tabs>
          <w:tab w:val="left" w:pos="426"/>
        </w:tabs>
        <w:spacing w:after="0" w:line="240" w:lineRule="auto"/>
        <w:jc w:val="both"/>
        <w:rPr>
          <w:rFonts w:ascii="Arial" w:eastAsia="Times New Roman" w:hAnsi="Arial" w:cs="Arial"/>
          <w:sz w:val="20"/>
          <w:szCs w:val="20"/>
          <w:lang w:val="es-MX" w:eastAsia="es-ES"/>
        </w:rPr>
      </w:pPr>
      <w:r w:rsidRPr="00F06958">
        <w:rPr>
          <w:rFonts w:ascii="Arial" w:eastAsia="Calibri" w:hAnsi="Arial" w:cs="Arial"/>
          <w:noProof/>
          <w:sz w:val="20"/>
          <w:szCs w:val="20"/>
          <w:lang w:val="es-MX"/>
        </w:rPr>
        <w:t xml:space="preserve">[…] </w:t>
      </w:r>
      <w:r w:rsidR="00501F88" w:rsidRPr="00501F88">
        <w:rPr>
          <w:rFonts w:ascii="Arial" w:eastAsia="Calibri" w:hAnsi="Arial" w:cs="Arial"/>
          <w:noProof/>
          <w:sz w:val="20"/>
          <w:szCs w:val="20"/>
          <w:lang w:val="es-MX"/>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  y sistematizó las causales de contratación directa.</w:t>
      </w:r>
    </w:p>
    <w:p w14:paraId="56F4C508" w14:textId="7A62F06B" w:rsidR="00F06958" w:rsidRPr="00F06958" w:rsidRDefault="00AF206D" w:rsidP="00F06958">
      <w:pPr>
        <w:shd w:val="clear" w:color="auto" w:fill="FFFFFF"/>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w:t>
      </w:r>
    </w:p>
    <w:p w14:paraId="0737B6ED" w14:textId="537DAD83" w:rsidR="00F06958" w:rsidRPr="00F06958" w:rsidRDefault="00F06958" w:rsidP="00F06958">
      <w:pPr>
        <w:tabs>
          <w:tab w:val="left" w:pos="426"/>
        </w:tabs>
        <w:spacing w:after="0" w:line="240" w:lineRule="auto"/>
        <w:jc w:val="both"/>
        <w:rPr>
          <w:rFonts w:ascii="Arial" w:eastAsia="Calibri" w:hAnsi="Arial" w:cs="Arial"/>
          <w:sz w:val="20"/>
          <w:szCs w:val="20"/>
          <w:lang w:val="es-MX"/>
        </w:rPr>
      </w:pPr>
      <w:r w:rsidRPr="00F06958">
        <w:rPr>
          <w:rFonts w:ascii="Arial" w:eastAsia="Times New Roman" w:hAnsi="Arial" w:cs="Arial"/>
          <w:sz w:val="20"/>
          <w:szCs w:val="20"/>
          <w:lang w:eastAsia="x-none"/>
        </w:rPr>
        <w:t xml:space="preserve">[…] </w:t>
      </w:r>
      <w:r w:rsidR="00AF206D" w:rsidRPr="00AF206D">
        <w:rPr>
          <w:rFonts w:ascii="Arial" w:eastAsia="Times New Roman" w:hAnsi="Arial" w:cs="Arial"/>
          <w:sz w:val="20"/>
          <w:szCs w:val="20"/>
          <w:lang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00AF206D" w:rsidRPr="00AF206D">
        <w:rPr>
          <w:rFonts w:ascii="Arial" w:eastAsia="Times New Roman" w:hAnsi="Arial" w:cs="Arial"/>
          <w:sz w:val="20"/>
          <w:szCs w:val="20"/>
          <w:lang w:eastAsia="x-none"/>
        </w:rPr>
        <w:t>ii</w:t>
      </w:r>
      <w:proofErr w:type="spellEnd"/>
      <w:r w:rsidR="00AF206D" w:rsidRPr="00AF206D">
        <w:rPr>
          <w:rFonts w:ascii="Arial" w:eastAsia="Times New Roman" w:hAnsi="Arial" w:cs="Arial"/>
          <w:sz w:val="20"/>
          <w:szCs w:val="20"/>
          <w:lang w:eastAsia="x-none"/>
        </w:rPr>
        <w:t xml:space="preserve">) los contratos de crédito público; </w:t>
      </w:r>
      <w:proofErr w:type="spellStart"/>
      <w:r w:rsidR="00AF206D" w:rsidRPr="00AF206D">
        <w:rPr>
          <w:rFonts w:ascii="Arial" w:eastAsia="Times New Roman" w:hAnsi="Arial" w:cs="Arial"/>
          <w:sz w:val="20"/>
          <w:szCs w:val="20"/>
          <w:lang w:eastAsia="x-none"/>
        </w:rPr>
        <w:t>iii</w:t>
      </w:r>
      <w:proofErr w:type="spellEnd"/>
      <w:r w:rsidR="00AF206D" w:rsidRPr="00AF206D">
        <w:rPr>
          <w:rFonts w:ascii="Arial" w:eastAsia="Times New Roman" w:hAnsi="Arial" w:cs="Arial"/>
          <w:sz w:val="20"/>
          <w:szCs w:val="20"/>
          <w:lang w:eastAsia="x-none"/>
        </w:rPr>
        <w:t xml:space="preserve">) los requeridos para cubrir las emergencias educativas, sanitarias y desastres; </w:t>
      </w:r>
      <w:proofErr w:type="spellStart"/>
      <w:r w:rsidR="00AF206D" w:rsidRPr="00AF206D">
        <w:rPr>
          <w:rFonts w:ascii="Arial" w:eastAsia="Times New Roman" w:hAnsi="Arial" w:cs="Arial"/>
          <w:sz w:val="20"/>
          <w:szCs w:val="20"/>
          <w:lang w:eastAsia="x-none"/>
        </w:rPr>
        <w:t>iv</w:t>
      </w:r>
      <w:proofErr w:type="spellEnd"/>
      <w:r w:rsidR="00AF206D" w:rsidRPr="00AF206D">
        <w:rPr>
          <w:rFonts w:ascii="Arial" w:eastAsia="Times New Roman" w:hAnsi="Arial" w:cs="Arial"/>
          <w:sz w:val="20"/>
          <w:szCs w:val="20"/>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F714E9A" w14:textId="77777777" w:rsidR="00F06958" w:rsidRPr="00F06958" w:rsidRDefault="00F06958" w:rsidP="00F06958">
      <w:pPr>
        <w:tabs>
          <w:tab w:val="left" w:pos="426"/>
        </w:tabs>
        <w:spacing w:after="0" w:line="240" w:lineRule="auto"/>
        <w:jc w:val="both"/>
        <w:rPr>
          <w:rFonts w:ascii="Arial" w:eastAsia="Calibri" w:hAnsi="Arial" w:cs="Arial"/>
          <w:noProof/>
          <w:sz w:val="20"/>
          <w:szCs w:val="20"/>
        </w:rPr>
      </w:pPr>
    </w:p>
    <w:p w14:paraId="38E1661A" w14:textId="77777777" w:rsidR="00F06958" w:rsidRPr="00F06958" w:rsidRDefault="00F06958" w:rsidP="00F06958">
      <w:pPr>
        <w:spacing w:after="0" w:line="240" w:lineRule="auto"/>
        <w:jc w:val="both"/>
        <w:rPr>
          <w:rFonts w:ascii="Arial" w:eastAsia="Times New Roman" w:hAnsi="Arial" w:cs="Arial"/>
          <w:b/>
          <w:lang w:val="es-ES" w:eastAsia="es-CO"/>
        </w:rPr>
      </w:pPr>
      <w:r w:rsidRPr="00F06958">
        <w:rPr>
          <w:rFonts w:ascii="Arial" w:eastAsia="Times New Roman" w:hAnsi="Arial" w:cs="Arial"/>
          <w:b/>
          <w:bCs/>
          <w:lang w:eastAsia="es-CO"/>
        </w:rPr>
        <w:t xml:space="preserve">LEY DE GARANTÍAS ELECTORALES </w:t>
      </w:r>
      <w:bookmarkStart w:id="6" w:name="_Hlk77166669"/>
      <w:r w:rsidRPr="00F06958">
        <w:rPr>
          <w:rFonts w:ascii="Arial" w:eastAsia="Times New Roman" w:hAnsi="Arial" w:cs="Arial"/>
          <w:b/>
          <w:bCs/>
          <w:lang w:eastAsia="es-CO"/>
        </w:rPr>
        <w:t>‒</w:t>
      </w:r>
      <w:bookmarkEnd w:id="6"/>
      <w:r w:rsidRPr="00F06958">
        <w:rPr>
          <w:rFonts w:ascii="Arial" w:eastAsia="Times New Roman" w:hAnsi="Arial" w:cs="Arial"/>
          <w:b/>
          <w:bCs/>
          <w:lang w:eastAsia="es-CO"/>
        </w:rPr>
        <w:t xml:space="preserve"> </w:t>
      </w:r>
      <w:r w:rsidRPr="00F06958">
        <w:rPr>
          <w:rFonts w:ascii="Arial" w:eastAsia="Times New Roman" w:hAnsi="Arial" w:cs="Arial"/>
          <w:b/>
          <w:lang w:val="es-ES" w:eastAsia="es-CO"/>
        </w:rPr>
        <w:t xml:space="preserve">Prohibición del artículo 33 </w:t>
      </w:r>
      <w:r w:rsidRPr="00F06958">
        <w:rPr>
          <w:rFonts w:ascii="Arial" w:eastAsia="Times New Roman" w:hAnsi="Arial" w:cs="Arial"/>
          <w:b/>
          <w:bCs/>
          <w:lang w:eastAsia="es-CO"/>
        </w:rPr>
        <w:t>‒ Destinatarios</w:t>
      </w:r>
    </w:p>
    <w:p w14:paraId="3A16CC89" w14:textId="77777777" w:rsidR="00F06958" w:rsidRPr="00F06958" w:rsidRDefault="00F06958" w:rsidP="00F06958">
      <w:pPr>
        <w:tabs>
          <w:tab w:val="left" w:pos="426"/>
        </w:tabs>
        <w:spacing w:after="0" w:line="240" w:lineRule="auto"/>
        <w:jc w:val="both"/>
        <w:rPr>
          <w:rFonts w:ascii="Arial" w:eastAsia="Calibri" w:hAnsi="Arial" w:cs="Arial"/>
          <w:noProof/>
          <w:sz w:val="20"/>
          <w:szCs w:val="20"/>
          <w:lang w:val="es-ES"/>
        </w:rPr>
      </w:pPr>
    </w:p>
    <w:p w14:paraId="17B17C7D" w14:textId="2874012A" w:rsidR="00F06958" w:rsidRPr="00F06958" w:rsidRDefault="00AF206D" w:rsidP="00F06958">
      <w:pPr>
        <w:tabs>
          <w:tab w:val="left" w:pos="426"/>
        </w:tabs>
        <w:spacing w:after="0" w:line="240" w:lineRule="auto"/>
        <w:jc w:val="both"/>
        <w:rPr>
          <w:rFonts w:ascii="Arial" w:eastAsia="Calibri" w:hAnsi="Arial" w:cs="Arial"/>
          <w:noProof/>
          <w:sz w:val="20"/>
          <w:szCs w:val="20"/>
        </w:rPr>
      </w:pPr>
      <w:r w:rsidRPr="00AF206D">
        <w:rPr>
          <w:rFonts w:ascii="Arial" w:eastAsia="Calibri" w:hAnsi="Arial" w:cs="Arial"/>
          <w:noProof/>
          <w:sz w:val="20"/>
          <w:szCs w:val="20"/>
        </w:rPr>
        <w:t xml:space="preserve">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w:t>
      </w:r>
      <w:r w:rsidRPr="00AF206D">
        <w:rPr>
          <w:rFonts w:ascii="Arial" w:eastAsia="Calibri" w:hAnsi="Arial" w:cs="Arial"/>
          <w:noProof/>
          <w:sz w:val="20"/>
          <w:szCs w:val="20"/>
        </w:rPr>
        <w:lastRenderedPageBreak/>
        <w:t>e incluso si las entidades estatales tienen régimen especial de contratación y están exceptuadas del ámbito de aplicación del Estatuto General de Contratación de la Administración Pública.</w:t>
      </w:r>
      <w:r w:rsidR="00F06958" w:rsidRPr="00F06958">
        <w:rPr>
          <w:rFonts w:ascii="Arial" w:eastAsia="Calibri" w:hAnsi="Arial" w:cs="Arial"/>
          <w:noProof/>
          <w:sz w:val="20"/>
          <w:szCs w:val="20"/>
        </w:rPr>
        <w:t xml:space="preserve"> […]</w:t>
      </w:r>
    </w:p>
    <w:bookmarkEnd w:id="2"/>
    <w:p w14:paraId="5F304EB7" w14:textId="77777777" w:rsidR="00F06958" w:rsidRPr="00F06958" w:rsidRDefault="00F06958" w:rsidP="00F06958">
      <w:pPr>
        <w:tabs>
          <w:tab w:val="left" w:pos="426"/>
        </w:tabs>
        <w:spacing w:after="0" w:line="240" w:lineRule="auto"/>
        <w:jc w:val="both"/>
        <w:rPr>
          <w:rFonts w:ascii="Arial" w:eastAsia="Times New Roman" w:hAnsi="Arial" w:cs="Arial"/>
          <w:sz w:val="18"/>
          <w:szCs w:val="18"/>
          <w:lang w:val="es-MX" w:eastAsia="es-CO"/>
        </w:rPr>
      </w:pPr>
    </w:p>
    <w:p w14:paraId="5B48ACBA" w14:textId="03FD3220" w:rsidR="00F06958" w:rsidRPr="00F06958" w:rsidRDefault="00957EF9" w:rsidP="00415D72">
      <w:pPr>
        <w:spacing w:after="120" w:line="240" w:lineRule="auto"/>
        <w:contextualSpacing/>
        <w:jc w:val="both"/>
        <w:rPr>
          <w:rFonts w:ascii="Arial" w:eastAsia="Calibri" w:hAnsi="Arial" w:cs="Arial"/>
          <w:sz w:val="20"/>
          <w:szCs w:val="20"/>
          <w:lang w:val="es-MX"/>
        </w:rPr>
      </w:pPr>
      <w:r w:rsidRPr="00957EF9">
        <w:rPr>
          <w:rFonts w:ascii="Arial" w:eastAsia="Calibri" w:hAnsi="Arial" w:cs="Arial"/>
          <w:sz w:val="20"/>
          <w:szCs w:val="20"/>
          <w:lang w:val="es-MX"/>
        </w:rPr>
        <w:t xml:space="preserve">[…] </w:t>
      </w:r>
      <w:r w:rsidR="00F93BBE" w:rsidRPr="00F93BBE">
        <w:rPr>
          <w:rFonts w:ascii="Arial" w:eastAsia="Calibri" w:hAnsi="Arial" w:cs="Arial"/>
          <w:sz w:val="20"/>
          <w:szCs w:val="20"/>
          <w:lang w:val="es-MX"/>
        </w:rPr>
        <w:t>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0E174B24" w14:textId="77777777" w:rsidR="00F06958" w:rsidRPr="00F06958" w:rsidRDefault="00F06958" w:rsidP="00F06958">
      <w:pPr>
        <w:spacing w:after="200" w:line="276" w:lineRule="auto"/>
        <w:jc w:val="both"/>
        <w:rPr>
          <w:rFonts w:ascii="Arial" w:eastAsia="Calibri" w:hAnsi="Arial" w:cs="Arial"/>
          <w:b/>
          <w:bCs/>
          <w:lang w:val="es-MX"/>
        </w:rPr>
      </w:pPr>
      <w:r w:rsidRPr="00F06958">
        <w:rPr>
          <w:rFonts w:ascii="Arial" w:eastAsia="Calibri" w:hAnsi="Arial" w:cs="Arial"/>
          <w:b/>
          <w:bCs/>
          <w:lang w:val="es-MX"/>
        </w:rPr>
        <w:br w:type="page"/>
      </w:r>
    </w:p>
    <w:p w14:paraId="3398216E" w14:textId="6AA60186" w:rsidR="00F06958" w:rsidRPr="007843A9" w:rsidRDefault="00F06958" w:rsidP="007843A9">
      <w:pPr>
        <w:spacing w:after="0" w:line="276" w:lineRule="auto"/>
        <w:jc w:val="right"/>
        <w:rPr>
          <w:rFonts w:ascii="Arial" w:eastAsia="Calibri" w:hAnsi="Arial" w:cs="Arial"/>
          <w:b/>
          <w:bCs/>
          <w:sz w:val="16"/>
          <w:szCs w:val="16"/>
        </w:rPr>
      </w:pPr>
      <w:bookmarkStart w:id="7" w:name="_Hlk29890381"/>
      <w:bookmarkEnd w:id="7"/>
      <w:r w:rsidRPr="00F06958">
        <w:rPr>
          <w:rFonts w:ascii="Arial" w:eastAsia="Times New Roman" w:hAnsi="Arial" w:cs="Arial"/>
          <w:b/>
          <w:bCs/>
          <w:sz w:val="16"/>
          <w:szCs w:val="16"/>
          <w:lang w:eastAsia="es-ES"/>
        </w:rPr>
        <w:lastRenderedPageBreak/>
        <w:t>CCE-DES-FM-17</w:t>
      </w:r>
    </w:p>
    <w:p w14:paraId="6E474E27" w14:textId="77777777" w:rsidR="00F06958" w:rsidRPr="00F06958" w:rsidRDefault="00F06958" w:rsidP="00F06958">
      <w:pPr>
        <w:tabs>
          <w:tab w:val="left" w:pos="3374"/>
        </w:tabs>
        <w:spacing w:after="0" w:line="240" w:lineRule="auto"/>
        <w:jc w:val="right"/>
        <w:rPr>
          <w:rFonts w:ascii="Arial" w:eastAsia="Calibri" w:hAnsi="Arial" w:cs="Arial"/>
          <w:lang w:val="es-MX"/>
        </w:rPr>
      </w:pPr>
    </w:p>
    <w:p w14:paraId="408E1C2A" w14:textId="77777777" w:rsidR="00F06958" w:rsidRPr="00F06958" w:rsidRDefault="00F06958" w:rsidP="00F06958">
      <w:pPr>
        <w:spacing w:after="0" w:line="240" w:lineRule="auto"/>
        <w:jc w:val="both"/>
        <w:rPr>
          <w:rFonts w:ascii="Arial" w:eastAsia="Calibri" w:hAnsi="Arial" w:cs="Arial"/>
          <w:lang w:val="es-MX"/>
        </w:rPr>
      </w:pPr>
    </w:p>
    <w:p w14:paraId="26DB439D" w14:textId="6ECAAC3C" w:rsidR="00F06958" w:rsidRPr="00F06958" w:rsidRDefault="007843A9" w:rsidP="007843A9">
      <w:pPr>
        <w:spacing w:after="0" w:line="240" w:lineRule="auto"/>
        <w:jc w:val="right"/>
        <w:rPr>
          <w:rFonts w:ascii="Arial" w:eastAsia="Calibri" w:hAnsi="Arial" w:cs="Arial"/>
          <w:noProof/>
          <w:lang w:val="es-ES_tradnl"/>
        </w:rPr>
      </w:pPr>
      <w:r>
        <w:rPr>
          <w:rFonts w:ascii="Arial" w:eastAsia="Calibri" w:hAnsi="Arial" w:cs="Arial"/>
          <w:noProof/>
          <w:lang w:val="es-ES_tradnl"/>
        </w:rPr>
        <w:drawing>
          <wp:inline distT="0" distB="0" distL="0" distR="0" wp14:anchorId="703E75F3" wp14:editId="4E34E98F">
            <wp:extent cx="2625320" cy="703211"/>
            <wp:effectExtent l="0" t="0" r="3810" b="1905"/>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645566" cy="708634"/>
                    </a:xfrm>
                    <a:prstGeom prst="rect">
                      <a:avLst/>
                    </a:prstGeom>
                  </pic:spPr>
                </pic:pic>
              </a:graphicData>
            </a:graphic>
          </wp:inline>
        </w:drawing>
      </w:r>
    </w:p>
    <w:p w14:paraId="44BD9508" w14:textId="77777777" w:rsidR="00F06958" w:rsidRPr="00F06958" w:rsidRDefault="00F06958" w:rsidP="00F06958">
      <w:pPr>
        <w:spacing w:after="0" w:line="240" w:lineRule="auto"/>
        <w:jc w:val="right"/>
        <w:rPr>
          <w:rFonts w:ascii="Arial" w:eastAsia="Calibri" w:hAnsi="Arial" w:cs="Arial"/>
        </w:rPr>
      </w:pPr>
    </w:p>
    <w:p w14:paraId="380B3A2F" w14:textId="19F41F2D" w:rsidR="00F06958" w:rsidRPr="00F06958" w:rsidRDefault="00F06958" w:rsidP="00F06958">
      <w:pPr>
        <w:spacing w:after="0" w:line="240" w:lineRule="auto"/>
        <w:jc w:val="both"/>
        <w:rPr>
          <w:rFonts w:ascii="Arial" w:eastAsia="Calibri" w:hAnsi="Arial" w:cs="Arial"/>
        </w:rPr>
      </w:pPr>
      <w:bookmarkStart w:id="8" w:name="_Hlk96417464"/>
      <w:r w:rsidRPr="00F06958">
        <w:rPr>
          <w:rFonts w:ascii="Arial" w:eastAsia="Calibri" w:hAnsi="Arial" w:cs="Arial"/>
        </w:rPr>
        <w:t>Señor</w:t>
      </w:r>
      <w:r>
        <w:rPr>
          <w:rFonts w:ascii="Arial" w:eastAsia="Calibri" w:hAnsi="Arial" w:cs="Arial"/>
        </w:rPr>
        <w:t>a</w:t>
      </w:r>
    </w:p>
    <w:p w14:paraId="21C3F498" w14:textId="4D7B7EEB" w:rsidR="00F06958" w:rsidRPr="00F06958" w:rsidRDefault="00F06958" w:rsidP="00F06958">
      <w:pPr>
        <w:spacing w:after="0" w:line="240" w:lineRule="auto"/>
        <w:jc w:val="both"/>
        <w:rPr>
          <w:rFonts w:ascii="Arial" w:eastAsia="Calibri" w:hAnsi="Arial" w:cs="Arial"/>
          <w:b/>
        </w:rPr>
      </w:pPr>
      <w:r>
        <w:rPr>
          <w:rFonts w:ascii="Arial" w:eastAsia="Calibri" w:hAnsi="Arial" w:cs="Arial"/>
          <w:b/>
        </w:rPr>
        <w:t>Martha Rojas Cárdenas</w:t>
      </w:r>
    </w:p>
    <w:p w14:paraId="758B24B0" w14:textId="4CDAB092" w:rsidR="00F06958" w:rsidRPr="00F06958" w:rsidRDefault="00F06958" w:rsidP="00F06958">
      <w:pPr>
        <w:spacing w:after="0" w:line="240" w:lineRule="auto"/>
        <w:jc w:val="both"/>
        <w:rPr>
          <w:rFonts w:ascii="Arial" w:eastAsia="Calibri" w:hAnsi="Arial" w:cs="Arial"/>
        </w:rPr>
      </w:pPr>
      <w:r>
        <w:rPr>
          <w:rFonts w:ascii="Arial" w:eastAsia="Calibri" w:hAnsi="Arial" w:cs="Arial"/>
        </w:rPr>
        <w:t>Ciudad</w:t>
      </w:r>
    </w:p>
    <w:p w14:paraId="760B59FD" w14:textId="77777777" w:rsidR="00F06958" w:rsidRPr="00F06958" w:rsidRDefault="00F06958" w:rsidP="00F06958">
      <w:pPr>
        <w:spacing w:after="0" w:line="240" w:lineRule="auto"/>
        <w:jc w:val="both"/>
        <w:rPr>
          <w:rFonts w:ascii="Arial" w:eastAsia="Calibri" w:hAnsi="Arial" w:cs="Arial"/>
        </w:rPr>
      </w:pPr>
    </w:p>
    <w:p w14:paraId="2C882809" w14:textId="77777777" w:rsidR="00F06958" w:rsidRPr="00F06958" w:rsidRDefault="00F06958" w:rsidP="00F06958">
      <w:pPr>
        <w:spacing w:after="0" w:line="240" w:lineRule="auto"/>
        <w:jc w:val="both"/>
        <w:rPr>
          <w:rFonts w:ascii="Arial" w:eastAsia="Calibri" w:hAnsi="Arial" w:cs="Arial"/>
        </w:rPr>
      </w:pPr>
    </w:p>
    <w:p w14:paraId="7E74B51C" w14:textId="4A7C2A87" w:rsidR="00F06958" w:rsidRPr="00F06958" w:rsidRDefault="00F06958" w:rsidP="00F06958">
      <w:pPr>
        <w:spacing w:after="0" w:line="240" w:lineRule="auto"/>
        <w:jc w:val="both"/>
        <w:rPr>
          <w:rFonts w:ascii="Arial" w:eastAsia="Calibri" w:hAnsi="Arial" w:cs="Arial"/>
        </w:rPr>
      </w:pPr>
      <w:r w:rsidRPr="00F06958">
        <w:rPr>
          <w:rFonts w:ascii="Arial" w:eastAsia="Calibri" w:hAnsi="Arial" w:cs="Arial"/>
        </w:rPr>
        <w:t xml:space="preserve">                                            </w:t>
      </w:r>
      <w:r w:rsidRPr="00F06958">
        <w:rPr>
          <w:rFonts w:ascii="Arial" w:eastAsia="Calibri" w:hAnsi="Arial" w:cs="Arial"/>
          <w:b/>
        </w:rPr>
        <w:t xml:space="preserve">Concepto C – </w:t>
      </w:r>
      <w:r w:rsidR="00F4207E">
        <w:rPr>
          <w:rFonts w:ascii="Arial" w:eastAsia="Calibri" w:hAnsi="Arial" w:cs="Arial"/>
          <w:b/>
        </w:rPr>
        <w:t>268</w:t>
      </w:r>
      <w:r w:rsidRPr="00F06958">
        <w:rPr>
          <w:rFonts w:ascii="Arial" w:eastAsia="Calibri" w:hAnsi="Arial" w:cs="Arial"/>
          <w:b/>
        </w:rPr>
        <w:t xml:space="preserve"> de 2022</w:t>
      </w:r>
      <w:r w:rsidRPr="00F06958">
        <w:rPr>
          <w:rFonts w:ascii="Arial" w:eastAsia="Calibri" w:hAnsi="Arial" w:cs="Arial"/>
        </w:rPr>
        <w:t xml:space="preserve"> </w:t>
      </w:r>
    </w:p>
    <w:p w14:paraId="5E54FD30" w14:textId="77777777" w:rsidR="00F06958" w:rsidRPr="00F06958" w:rsidRDefault="00F06958" w:rsidP="00F06958">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06958" w:rsidRPr="00F06958" w14:paraId="5887358F" w14:textId="77777777" w:rsidTr="00B66771">
        <w:trPr>
          <w:trHeight w:val="485"/>
        </w:trPr>
        <w:tc>
          <w:tcPr>
            <w:tcW w:w="2689" w:type="dxa"/>
            <w:hideMark/>
          </w:tcPr>
          <w:p w14:paraId="7D820AC0" w14:textId="77777777" w:rsidR="00F06958" w:rsidRPr="00F06958" w:rsidRDefault="00F06958" w:rsidP="00F06958">
            <w:pPr>
              <w:contextualSpacing/>
              <w:rPr>
                <w:rFonts w:ascii="Arial" w:eastAsia="Calibri" w:hAnsi="Arial" w:cs="Arial"/>
                <w:noProof/>
                <w:lang w:val="es-ES_tradnl"/>
              </w:rPr>
            </w:pPr>
            <w:r w:rsidRPr="00F06958">
              <w:rPr>
                <w:rFonts w:ascii="Arial" w:eastAsia="Calibri" w:hAnsi="Arial" w:cs="Arial"/>
                <w:b/>
                <w:noProof/>
                <w:lang w:val="es-ES_tradnl"/>
              </w:rPr>
              <w:t>Temas:</w:t>
            </w:r>
            <w:r w:rsidRPr="00F06958">
              <w:rPr>
                <w:rFonts w:ascii="Arial" w:eastAsia="Calibri" w:hAnsi="Arial" w:cs="Arial"/>
                <w:noProof/>
                <w:lang w:val="es-ES_tradnl"/>
              </w:rPr>
              <w:t xml:space="preserve">        </w:t>
            </w:r>
          </w:p>
        </w:tc>
        <w:tc>
          <w:tcPr>
            <w:tcW w:w="6237" w:type="dxa"/>
            <w:hideMark/>
          </w:tcPr>
          <w:p w14:paraId="00E372AC" w14:textId="6DA6A2F3" w:rsidR="00F06958" w:rsidRPr="00F06958" w:rsidRDefault="00F06958" w:rsidP="00F06958">
            <w:pPr>
              <w:spacing w:after="120"/>
              <w:ind w:right="703"/>
              <w:jc w:val="both"/>
              <w:rPr>
                <w:rFonts w:ascii="Arial" w:eastAsia="Calibri" w:hAnsi="Arial" w:cs="Arial"/>
                <w:bCs/>
                <w:lang w:val="es-MX"/>
              </w:rPr>
            </w:pPr>
            <w:r w:rsidRPr="00F06958">
              <w:rPr>
                <w:rFonts w:ascii="Arial" w:eastAsia="Calibri" w:hAnsi="Arial" w:cs="Arial"/>
                <w:bCs/>
                <w:lang w:val="es-MX"/>
              </w:rPr>
              <w:t xml:space="preserve">LEY DE GARANTÍAS ELECTORALES ‒ Tipos de restricciones ‒ Ámbito temporal / LEY DE GARANTÍAS ELECTORALES ─ Prohibición ‒ Contratación directa ‒ Alcance – Excepciones / LEY DE GARANTÍAS ELECTORALES ‒ Prohibición del artículo 33 ‒ Destinatarios </w:t>
            </w:r>
          </w:p>
          <w:p w14:paraId="30B2DAF8" w14:textId="77777777" w:rsidR="00F06958" w:rsidRPr="00F06958" w:rsidRDefault="00F06958" w:rsidP="00F06958">
            <w:pPr>
              <w:spacing w:after="120"/>
              <w:rPr>
                <w:rFonts w:ascii="Arial" w:eastAsia="Calibri" w:hAnsi="Arial" w:cs="Arial"/>
                <w:bCs/>
                <w:lang w:val="es-MX"/>
              </w:rPr>
            </w:pPr>
          </w:p>
        </w:tc>
      </w:tr>
      <w:tr w:rsidR="00F06958" w:rsidRPr="00F06958" w14:paraId="69AD5E67" w14:textId="77777777" w:rsidTr="00B66771">
        <w:tc>
          <w:tcPr>
            <w:tcW w:w="2689" w:type="dxa"/>
          </w:tcPr>
          <w:p w14:paraId="561E8FA5" w14:textId="77777777" w:rsidR="00F06958" w:rsidRPr="00F06958" w:rsidRDefault="00F06958" w:rsidP="00F06958">
            <w:pPr>
              <w:contextualSpacing/>
              <w:rPr>
                <w:rFonts w:ascii="Arial" w:eastAsia="Calibri" w:hAnsi="Arial" w:cs="Arial"/>
                <w:b/>
                <w:noProof/>
                <w:lang w:val="es-ES_tradnl"/>
              </w:rPr>
            </w:pPr>
            <w:r w:rsidRPr="00F06958">
              <w:rPr>
                <w:rFonts w:ascii="Arial" w:eastAsia="Calibri" w:hAnsi="Arial" w:cs="Arial"/>
                <w:b/>
                <w:noProof/>
                <w:lang w:val="es-ES_tradnl"/>
              </w:rPr>
              <w:t>Radicación:</w:t>
            </w:r>
            <w:r w:rsidRPr="00F06958">
              <w:rPr>
                <w:rFonts w:ascii="Arial" w:eastAsia="Calibri" w:hAnsi="Arial" w:cs="Arial"/>
                <w:noProof/>
                <w:lang w:val="es-ES_tradnl"/>
              </w:rPr>
              <w:t xml:space="preserve">                              </w:t>
            </w:r>
          </w:p>
        </w:tc>
        <w:tc>
          <w:tcPr>
            <w:tcW w:w="6237" w:type="dxa"/>
          </w:tcPr>
          <w:p w14:paraId="6D798342" w14:textId="0C877F63" w:rsidR="00F06958" w:rsidRPr="00F06958" w:rsidRDefault="00F06958" w:rsidP="00F06958">
            <w:pPr>
              <w:contextualSpacing/>
              <w:jc w:val="both"/>
              <w:rPr>
                <w:rFonts w:ascii="Arial" w:eastAsia="Calibri" w:hAnsi="Arial" w:cs="Arial"/>
                <w:noProof/>
                <w:lang w:val="es-ES_tradnl"/>
              </w:rPr>
            </w:pPr>
            <w:r w:rsidRPr="00F06958">
              <w:rPr>
                <w:rFonts w:ascii="Arial" w:eastAsia="Calibri" w:hAnsi="Arial" w:cs="Arial"/>
                <w:noProof/>
                <w:lang w:val="es-ES_tradnl"/>
              </w:rPr>
              <w:t>Respuesta a consulta P20220323002895</w:t>
            </w:r>
          </w:p>
        </w:tc>
      </w:tr>
    </w:tbl>
    <w:p w14:paraId="3B0B971F" w14:textId="77777777" w:rsidR="00F06958" w:rsidRPr="00F06958" w:rsidRDefault="00F06958" w:rsidP="00F06958">
      <w:pPr>
        <w:spacing w:after="0" w:line="240" w:lineRule="auto"/>
        <w:jc w:val="both"/>
        <w:rPr>
          <w:rFonts w:ascii="Arial" w:eastAsia="Calibri" w:hAnsi="Arial" w:cs="Arial"/>
        </w:rPr>
      </w:pPr>
    </w:p>
    <w:p w14:paraId="46B143D9" w14:textId="77777777" w:rsidR="00F06958" w:rsidRPr="00F06958" w:rsidRDefault="00F06958" w:rsidP="00F06958">
      <w:pPr>
        <w:spacing w:after="0" w:line="240" w:lineRule="auto"/>
        <w:jc w:val="both"/>
        <w:rPr>
          <w:rFonts w:ascii="Arial" w:eastAsia="Calibri" w:hAnsi="Arial" w:cs="Arial"/>
        </w:rPr>
      </w:pPr>
    </w:p>
    <w:p w14:paraId="1984AF88" w14:textId="0DF40EC4" w:rsidR="00F06958" w:rsidRPr="00F06958" w:rsidRDefault="00F06958" w:rsidP="00F06958">
      <w:pPr>
        <w:spacing w:after="0" w:line="276" w:lineRule="auto"/>
        <w:jc w:val="both"/>
        <w:rPr>
          <w:rFonts w:ascii="Arial" w:eastAsia="Calibri" w:hAnsi="Arial" w:cs="Arial"/>
        </w:rPr>
      </w:pPr>
      <w:r w:rsidRPr="00F06958">
        <w:rPr>
          <w:rFonts w:ascii="Arial" w:eastAsia="Calibri" w:hAnsi="Arial" w:cs="Arial"/>
        </w:rPr>
        <w:t>Estimad</w:t>
      </w:r>
      <w:r>
        <w:rPr>
          <w:rFonts w:ascii="Arial" w:eastAsia="Calibri" w:hAnsi="Arial" w:cs="Arial"/>
        </w:rPr>
        <w:t>a señora Rojas Cárdenas</w:t>
      </w:r>
      <w:r w:rsidRPr="00F06958">
        <w:rPr>
          <w:rFonts w:ascii="Arial" w:eastAsia="Calibri" w:hAnsi="Arial" w:cs="Arial"/>
        </w:rPr>
        <w:t>:</w:t>
      </w:r>
    </w:p>
    <w:p w14:paraId="124EA3C4" w14:textId="77777777" w:rsidR="00F06958" w:rsidRPr="00F06958" w:rsidRDefault="00F06958" w:rsidP="00F06958">
      <w:pPr>
        <w:spacing w:after="0" w:line="276" w:lineRule="auto"/>
        <w:ind w:firstLine="709"/>
        <w:jc w:val="both"/>
        <w:rPr>
          <w:rFonts w:ascii="Arial" w:eastAsia="Calibri" w:hAnsi="Arial" w:cs="Arial"/>
        </w:rPr>
      </w:pPr>
    </w:p>
    <w:p w14:paraId="6DED41E2" w14:textId="1291F1AC" w:rsidR="00F06958" w:rsidRPr="00F06958" w:rsidRDefault="00F06958" w:rsidP="005B74B1">
      <w:pPr>
        <w:tabs>
          <w:tab w:val="left" w:pos="8080"/>
        </w:tabs>
        <w:spacing w:after="0" w:line="276" w:lineRule="auto"/>
        <w:jc w:val="both"/>
        <w:rPr>
          <w:rFonts w:ascii="Arial" w:eastAsia="Calibri" w:hAnsi="Arial" w:cs="Arial"/>
        </w:rPr>
      </w:pPr>
      <w:r w:rsidRPr="00F06958">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w:t>
      </w:r>
      <w:r w:rsidR="00734534">
        <w:rPr>
          <w:rFonts w:ascii="Arial" w:eastAsia="Calibri" w:hAnsi="Arial" w:cs="Arial"/>
        </w:rPr>
        <w:t xml:space="preserve">su consulta del </w:t>
      </w:r>
      <w:r w:rsidRPr="00F06958">
        <w:rPr>
          <w:rFonts w:ascii="Arial" w:eastAsia="Calibri" w:hAnsi="Arial" w:cs="Arial"/>
        </w:rPr>
        <w:t>2</w:t>
      </w:r>
      <w:r>
        <w:rPr>
          <w:rFonts w:ascii="Arial" w:eastAsia="Calibri" w:hAnsi="Arial" w:cs="Arial"/>
        </w:rPr>
        <w:t>3</w:t>
      </w:r>
      <w:r w:rsidRPr="00F06958">
        <w:rPr>
          <w:rFonts w:ascii="Arial" w:eastAsia="Calibri" w:hAnsi="Arial" w:cs="Arial"/>
        </w:rPr>
        <w:t xml:space="preserve"> de </w:t>
      </w:r>
      <w:r>
        <w:rPr>
          <w:rFonts w:ascii="Arial" w:eastAsia="Calibri" w:hAnsi="Arial" w:cs="Arial"/>
        </w:rPr>
        <w:t>marzo</w:t>
      </w:r>
      <w:r w:rsidRPr="00F06958">
        <w:rPr>
          <w:rFonts w:ascii="Arial" w:eastAsia="Calibri" w:hAnsi="Arial" w:cs="Arial"/>
        </w:rPr>
        <w:t xml:space="preserve"> de 2022. Esta consulta fue </w:t>
      </w:r>
      <w:r>
        <w:rPr>
          <w:rFonts w:ascii="Arial" w:eastAsia="Calibri" w:hAnsi="Arial" w:cs="Arial"/>
        </w:rPr>
        <w:t xml:space="preserve">remitida por la Contraloría General de la República, </w:t>
      </w:r>
      <w:r w:rsidRPr="00F06958">
        <w:rPr>
          <w:rFonts w:ascii="Arial" w:eastAsia="Calibri" w:hAnsi="Arial" w:cs="Arial"/>
        </w:rPr>
        <w:t xml:space="preserve">mediante oficio con radicado No. </w:t>
      </w:r>
      <w:r>
        <w:rPr>
          <w:rFonts w:ascii="Arial" w:eastAsia="Calibri" w:hAnsi="Arial" w:cs="Arial"/>
        </w:rPr>
        <w:t xml:space="preserve">2022EE0047200 </w:t>
      </w:r>
      <w:r w:rsidRPr="00F06958">
        <w:rPr>
          <w:rFonts w:ascii="Arial" w:eastAsia="Calibri" w:hAnsi="Arial" w:cs="Arial"/>
        </w:rPr>
        <w:t xml:space="preserve">de la misma fecha. </w:t>
      </w:r>
    </w:p>
    <w:p w14:paraId="42057755" w14:textId="77777777" w:rsidR="00F06958" w:rsidRPr="00F06958" w:rsidRDefault="00F06958" w:rsidP="00F06958">
      <w:pPr>
        <w:spacing w:after="0" w:line="276" w:lineRule="auto"/>
        <w:jc w:val="both"/>
        <w:rPr>
          <w:rFonts w:ascii="Arial" w:eastAsia="Calibri" w:hAnsi="Arial" w:cs="Arial"/>
        </w:rPr>
      </w:pPr>
    </w:p>
    <w:p w14:paraId="66BFD803" w14:textId="77777777" w:rsidR="00F06958" w:rsidRPr="00F06958" w:rsidRDefault="00F06958" w:rsidP="00F06958">
      <w:pPr>
        <w:tabs>
          <w:tab w:val="left" w:pos="284"/>
        </w:tabs>
        <w:spacing w:after="0" w:line="276" w:lineRule="auto"/>
        <w:jc w:val="both"/>
        <w:rPr>
          <w:rFonts w:ascii="Arial" w:eastAsia="Calibri" w:hAnsi="Arial" w:cs="Arial"/>
          <w:b/>
        </w:rPr>
      </w:pPr>
      <w:r w:rsidRPr="00F06958">
        <w:rPr>
          <w:rFonts w:ascii="Arial" w:eastAsia="Calibri" w:hAnsi="Arial" w:cs="Arial"/>
          <w:b/>
        </w:rPr>
        <w:t xml:space="preserve">1. Problema planteado </w:t>
      </w:r>
    </w:p>
    <w:p w14:paraId="68CEC6A6" w14:textId="77777777" w:rsidR="00F06958" w:rsidRPr="00F06958" w:rsidRDefault="00F06958" w:rsidP="00F06958">
      <w:pPr>
        <w:tabs>
          <w:tab w:val="left" w:pos="284"/>
        </w:tabs>
        <w:spacing w:after="0" w:line="276" w:lineRule="auto"/>
        <w:ind w:firstLine="709"/>
        <w:contextualSpacing/>
        <w:jc w:val="both"/>
        <w:rPr>
          <w:rFonts w:ascii="Arial" w:eastAsia="Calibri" w:hAnsi="Arial" w:cs="Arial"/>
          <w:b/>
        </w:rPr>
      </w:pPr>
    </w:p>
    <w:p w14:paraId="5FA7CD28" w14:textId="25D9B816" w:rsidR="00F06958" w:rsidRPr="00F06958" w:rsidRDefault="00426CB3" w:rsidP="00F06958">
      <w:pPr>
        <w:spacing w:after="0" w:line="276" w:lineRule="auto"/>
        <w:jc w:val="both"/>
        <w:rPr>
          <w:rFonts w:ascii="Arial" w:eastAsia="Times New Roman" w:hAnsi="Arial" w:cs="Arial"/>
          <w:szCs w:val="24"/>
          <w:lang w:eastAsia="es-CO"/>
        </w:rPr>
      </w:pPr>
      <w:bookmarkStart w:id="9" w:name="_Hlk58917991"/>
      <w:bookmarkStart w:id="10" w:name="_Hlk56103000"/>
      <w:r>
        <w:rPr>
          <w:rFonts w:ascii="Arial" w:eastAsia="Times New Roman" w:hAnsi="Arial" w:cs="Arial"/>
          <w:szCs w:val="24"/>
          <w:lang w:eastAsia="es-CO"/>
        </w:rPr>
        <w:t>U</w:t>
      </w:r>
      <w:r w:rsidR="00F06958" w:rsidRPr="00F06958">
        <w:rPr>
          <w:rFonts w:ascii="Arial" w:eastAsia="Times New Roman" w:hAnsi="Arial" w:cs="Arial"/>
          <w:szCs w:val="24"/>
          <w:lang w:eastAsia="es-CO"/>
        </w:rPr>
        <w:t>sted realiza las siguientes preguntas:</w:t>
      </w:r>
    </w:p>
    <w:p w14:paraId="4376653A" w14:textId="77777777" w:rsidR="00F06958" w:rsidRPr="00F06958" w:rsidRDefault="00F06958" w:rsidP="00F06958">
      <w:pPr>
        <w:spacing w:after="0" w:line="276" w:lineRule="auto"/>
        <w:jc w:val="both"/>
        <w:rPr>
          <w:rFonts w:ascii="Arial" w:eastAsia="Times New Roman" w:hAnsi="Arial" w:cs="Arial"/>
          <w:szCs w:val="24"/>
          <w:lang w:eastAsia="es-CO"/>
        </w:rPr>
      </w:pPr>
    </w:p>
    <w:p w14:paraId="301638EA" w14:textId="3AD09AAC" w:rsidR="00F06958" w:rsidRPr="00F06958" w:rsidRDefault="00537C63" w:rsidP="00F06958">
      <w:pPr>
        <w:spacing w:after="0" w:line="240" w:lineRule="auto"/>
        <w:ind w:left="709" w:right="709"/>
        <w:jc w:val="both"/>
        <w:rPr>
          <w:rFonts w:ascii="Arial" w:eastAsia="Times New Roman" w:hAnsi="Arial" w:cs="Arial"/>
          <w:sz w:val="21"/>
          <w:szCs w:val="21"/>
          <w:lang w:eastAsia="es-CO"/>
        </w:rPr>
      </w:pPr>
      <w:r>
        <w:rPr>
          <w:rFonts w:ascii="Arial" w:eastAsia="Times New Roman" w:hAnsi="Arial" w:cs="Arial"/>
          <w:sz w:val="21"/>
          <w:szCs w:val="21"/>
          <w:lang w:eastAsia="es-CO"/>
        </w:rPr>
        <w:t>«</w:t>
      </w:r>
      <w:r w:rsidR="00F06958" w:rsidRPr="00F06958">
        <w:rPr>
          <w:rFonts w:ascii="Arial" w:eastAsia="Times New Roman" w:hAnsi="Arial" w:cs="Arial"/>
          <w:sz w:val="21"/>
          <w:szCs w:val="21"/>
          <w:lang w:eastAsia="es-CO"/>
        </w:rPr>
        <w:t>i)</w:t>
      </w:r>
      <w:r w:rsidR="00426CB3">
        <w:rPr>
          <w:rFonts w:ascii="Arial" w:eastAsia="Times New Roman" w:hAnsi="Arial" w:cs="Arial"/>
          <w:sz w:val="21"/>
          <w:szCs w:val="21"/>
          <w:lang w:eastAsia="es-CO"/>
        </w:rPr>
        <w:t xml:space="preserve"> </w:t>
      </w:r>
      <w:r w:rsidR="00426CB3" w:rsidRPr="00426CB3">
        <w:rPr>
          <w:rFonts w:ascii="Arial" w:eastAsia="Times New Roman" w:hAnsi="Arial" w:cs="Arial"/>
          <w:sz w:val="21"/>
          <w:szCs w:val="21"/>
          <w:lang w:eastAsia="es-CO"/>
        </w:rPr>
        <w:t>¿La ley de garantías prohíbe efectuar la modalidad de contratación directa en las entidades del Estado con régimen privado?</w:t>
      </w:r>
      <w:r w:rsidR="00426CB3">
        <w:rPr>
          <w:rFonts w:ascii="Arial" w:eastAsia="Times New Roman" w:hAnsi="Arial" w:cs="Arial"/>
          <w:sz w:val="21"/>
          <w:szCs w:val="21"/>
          <w:lang w:eastAsia="es-CO"/>
        </w:rPr>
        <w:t>»</w:t>
      </w:r>
    </w:p>
    <w:p w14:paraId="5F92307D" w14:textId="77777777" w:rsidR="00F06958" w:rsidRPr="00F06958" w:rsidRDefault="00F06958" w:rsidP="00F06958">
      <w:pPr>
        <w:spacing w:after="0" w:line="240" w:lineRule="auto"/>
        <w:ind w:left="709" w:right="709"/>
        <w:jc w:val="both"/>
        <w:rPr>
          <w:rFonts w:ascii="Arial" w:eastAsia="Times New Roman" w:hAnsi="Arial" w:cs="Arial"/>
          <w:sz w:val="21"/>
          <w:szCs w:val="21"/>
          <w:lang w:eastAsia="es-CO"/>
        </w:rPr>
      </w:pPr>
    </w:p>
    <w:p w14:paraId="065B1031" w14:textId="6FCA88E1" w:rsidR="00F06958" w:rsidRDefault="00F06958" w:rsidP="00F06958">
      <w:pPr>
        <w:spacing w:after="0" w:line="240" w:lineRule="auto"/>
        <w:ind w:left="709" w:right="709"/>
        <w:jc w:val="both"/>
        <w:rPr>
          <w:rFonts w:ascii="Arial" w:eastAsia="Times New Roman" w:hAnsi="Arial" w:cs="Arial"/>
          <w:sz w:val="21"/>
          <w:szCs w:val="21"/>
          <w:lang w:eastAsia="es-CO"/>
        </w:rPr>
      </w:pPr>
      <w:proofErr w:type="spellStart"/>
      <w:r w:rsidRPr="00F06958">
        <w:rPr>
          <w:rFonts w:ascii="Arial" w:eastAsia="Times New Roman" w:hAnsi="Arial" w:cs="Arial"/>
          <w:sz w:val="21"/>
          <w:szCs w:val="21"/>
          <w:lang w:eastAsia="es-CO"/>
        </w:rPr>
        <w:t>ii</w:t>
      </w:r>
      <w:proofErr w:type="spellEnd"/>
      <w:r w:rsidRPr="00F06958">
        <w:rPr>
          <w:rFonts w:ascii="Arial" w:eastAsia="Times New Roman" w:hAnsi="Arial" w:cs="Arial"/>
          <w:sz w:val="21"/>
          <w:szCs w:val="21"/>
          <w:lang w:eastAsia="es-CO"/>
        </w:rPr>
        <w:t>)</w:t>
      </w:r>
      <w:r w:rsidR="00426CB3">
        <w:rPr>
          <w:rFonts w:ascii="Arial" w:eastAsia="Times New Roman" w:hAnsi="Arial" w:cs="Arial"/>
          <w:sz w:val="21"/>
          <w:szCs w:val="21"/>
          <w:lang w:eastAsia="es-CO"/>
        </w:rPr>
        <w:t xml:space="preserve"> </w:t>
      </w:r>
      <w:r w:rsidR="00426CB3" w:rsidRPr="00426CB3">
        <w:rPr>
          <w:rFonts w:ascii="Arial" w:eastAsia="Times New Roman" w:hAnsi="Arial" w:cs="Arial"/>
          <w:sz w:val="21"/>
          <w:szCs w:val="21"/>
          <w:lang w:eastAsia="es-CO"/>
        </w:rPr>
        <w:t xml:space="preserve">¿La prohibición contempla las modalidades dónde </w:t>
      </w:r>
      <w:r w:rsidR="00DE576A">
        <w:rPr>
          <w:rFonts w:ascii="Arial" w:eastAsia="Times New Roman" w:hAnsi="Arial" w:cs="Arial"/>
          <w:sz w:val="21"/>
          <w:szCs w:val="21"/>
          <w:lang w:eastAsia="es-CO"/>
        </w:rPr>
        <w:t xml:space="preserve">[sic] </w:t>
      </w:r>
      <w:r w:rsidR="00426CB3" w:rsidRPr="00426CB3">
        <w:rPr>
          <w:rFonts w:ascii="Arial" w:eastAsia="Times New Roman" w:hAnsi="Arial" w:cs="Arial"/>
          <w:sz w:val="21"/>
          <w:szCs w:val="21"/>
          <w:lang w:eastAsia="es-CO"/>
        </w:rPr>
        <w:t>no exista competencia entre los proponentes, incluso las que utilizan medios electrónicos dónde</w:t>
      </w:r>
      <w:r w:rsidR="00DE576A">
        <w:rPr>
          <w:rFonts w:ascii="Arial" w:eastAsia="Times New Roman" w:hAnsi="Arial" w:cs="Arial"/>
          <w:sz w:val="21"/>
          <w:szCs w:val="21"/>
          <w:lang w:eastAsia="es-CO"/>
        </w:rPr>
        <w:t xml:space="preserve"> [sic]</w:t>
      </w:r>
      <w:r w:rsidR="00426CB3" w:rsidRPr="00426CB3">
        <w:rPr>
          <w:rFonts w:ascii="Arial" w:eastAsia="Times New Roman" w:hAnsi="Arial" w:cs="Arial"/>
          <w:sz w:val="21"/>
          <w:szCs w:val="21"/>
          <w:lang w:eastAsia="es-CO"/>
        </w:rPr>
        <w:t xml:space="preserve"> se adquiere directamente del fabricante?</w:t>
      </w:r>
      <w:r w:rsidR="00426CB3">
        <w:rPr>
          <w:rFonts w:ascii="Arial" w:eastAsia="Times New Roman" w:hAnsi="Arial" w:cs="Arial"/>
          <w:sz w:val="21"/>
          <w:szCs w:val="21"/>
          <w:lang w:eastAsia="es-CO"/>
        </w:rPr>
        <w:t>»</w:t>
      </w:r>
    </w:p>
    <w:p w14:paraId="6B6B39B5" w14:textId="0B91C440" w:rsidR="00DE576A" w:rsidRDefault="00DE576A" w:rsidP="00F06958">
      <w:pPr>
        <w:spacing w:after="0" w:line="240" w:lineRule="auto"/>
        <w:ind w:left="709" w:right="709"/>
        <w:jc w:val="both"/>
        <w:rPr>
          <w:rFonts w:ascii="Arial" w:eastAsia="Times New Roman" w:hAnsi="Arial" w:cs="Arial"/>
          <w:sz w:val="21"/>
          <w:szCs w:val="21"/>
          <w:lang w:eastAsia="es-CO"/>
        </w:rPr>
      </w:pPr>
    </w:p>
    <w:p w14:paraId="72228983" w14:textId="47F21C1E" w:rsidR="00DE576A" w:rsidRPr="00F06958" w:rsidRDefault="00DE576A" w:rsidP="00F06958">
      <w:pPr>
        <w:spacing w:after="0" w:line="240" w:lineRule="auto"/>
        <w:ind w:left="709" w:right="709"/>
        <w:jc w:val="both"/>
        <w:rPr>
          <w:rFonts w:ascii="Arial" w:eastAsia="Times New Roman" w:hAnsi="Arial" w:cs="Arial"/>
          <w:sz w:val="21"/>
          <w:szCs w:val="21"/>
          <w:lang w:eastAsia="es-CO"/>
        </w:rPr>
      </w:pPr>
      <w:proofErr w:type="spellStart"/>
      <w:r>
        <w:rPr>
          <w:rFonts w:ascii="Arial" w:eastAsia="Times New Roman" w:hAnsi="Arial" w:cs="Arial"/>
          <w:sz w:val="21"/>
          <w:szCs w:val="21"/>
          <w:lang w:eastAsia="es-CO"/>
        </w:rPr>
        <w:t>iii</w:t>
      </w:r>
      <w:proofErr w:type="spellEnd"/>
      <w:r>
        <w:rPr>
          <w:rFonts w:ascii="Arial" w:eastAsia="Times New Roman" w:hAnsi="Arial" w:cs="Arial"/>
          <w:sz w:val="21"/>
          <w:szCs w:val="21"/>
          <w:lang w:eastAsia="es-CO"/>
        </w:rPr>
        <w:t xml:space="preserve">) </w:t>
      </w:r>
      <w:r w:rsidRPr="00DE576A">
        <w:rPr>
          <w:rFonts w:ascii="Arial" w:eastAsia="Times New Roman" w:hAnsi="Arial" w:cs="Arial"/>
          <w:sz w:val="21"/>
          <w:szCs w:val="21"/>
          <w:lang w:eastAsia="es-CO"/>
        </w:rPr>
        <w:t>¿Es posible realizar contratación directa cuando se demuestre que resulta más económico realizarlo de esta manera, que mediante un procedimiento competitivo?</w:t>
      </w:r>
      <w:r w:rsidR="003D2E3F">
        <w:rPr>
          <w:rFonts w:ascii="Arial" w:eastAsia="Times New Roman" w:hAnsi="Arial" w:cs="Arial"/>
          <w:sz w:val="21"/>
          <w:szCs w:val="21"/>
          <w:lang w:eastAsia="es-CO"/>
        </w:rPr>
        <w:t>»</w:t>
      </w:r>
      <w:r w:rsidR="00537C63">
        <w:rPr>
          <w:rFonts w:ascii="Arial" w:eastAsia="Times New Roman" w:hAnsi="Arial" w:cs="Arial"/>
          <w:sz w:val="21"/>
          <w:szCs w:val="21"/>
          <w:lang w:eastAsia="es-CO"/>
        </w:rPr>
        <w:t>.</w:t>
      </w:r>
    </w:p>
    <w:p w14:paraId="6E88E70A" w14:textId="77777777" w:rsidR="00F06958" w:rsidRPr="00F06958" w:rsidRDefault="00F06958" w:rsidP="00F06958">
      <w:pPr>
        <w:tabs>
          <w:tab w:val="left" w:pos="426"/>
        </w:tabs>
        <w:spacing w:after="0" w:line="276" w:lineRule="auto"/>
        <w:jc w:val="both"/>
        <w:rPr>
          <w:rFonts w:ascii="Arial" w:eastAsia="Calibri" w:hAnsi="Arial" w:cs="Arial"/>
        </w:rPr>
      </w:pPr>
    </w:p>
    <w:bookmarkEnd w:id="9"/>
    <w:bookmarkEnd w:id="10"/>
    <w:p w14:paraId="1514502A" w14:textId="77777777" w:rsidR="00F06958" w:rsidRPr="00F06958" w:rsidRDefault="00F06958" w:rsidP="00F06958">
      <w:pPr>
        <w:tabs>
          <w:tab w:val="left" w:pos="284"/>
        </w:tabs>
        <w:spacing w:after="0" w:line="276" w:lineRule="auto"/>
        <w:jc w:val="both"/>
        <w:rPr>
          <w:rFonts w:ascii="Arial" w:eastAsia="Calibri" w:hAnsi="Arial" w:cs="Arial"/>
          <w:b/>
        </w:rPr>
      </w:pPr>
      <w:r w:rsidRPr="00F06958">
        <w:rPr>
          <w:rFonts w:ascii="Arial" w:eastAsia="Calibri" w:hAnsi="Arial" w:cs="Arial"/>
          <w:b/>
        </w:rPr>
        <w:t>2. Consideraciones</w:t>
      </w:r>
    </w:p>
    <w:p w14:paraId="47541387" w14:textId="77777777" w:rsidR="00F06958" w:rsidRPr="00F06958" w:rsidRDefault="00F06958" w:rsidP="00F06958">
      <w:pPr>
        <w:tabs>
          <w:tab w:val="left" w:pos="426"/>
        </w:tabs>
        <w:spacing w:after="0" w:line="240" w:lineRule="auto"/>
        <w:ind w:firstLine="709"/>
        <w:jc w:val="both"/>
        <w:rPr>
          <w:rFonts w:ascii="Arial" w:eastAsia="Calibri" w:hAnsi="Arial" w:cs="Arial"/>
          <w:bCs/>
        </w:rPr>
      </w:pPr>
    </w:p>
    <w:p w14:paraId="2B9AB1AC" w14:textId="67183B6C" w:rsidR="00F06958" w:rsidRPr="00F06958" w:rsidRDefault="00F06958" w:rsidP="00DE576A">
      <w:pPr>
        <w:spacing w:after="0" w:line="276" w:lineRule="auto"/>
        <w:jc w:val="both"/>
        <w:rPr>
          <w:rFonts w:ascii="Arial" w:eastAsia="Calibri" w:hAnsi="Arial" w:cs="Arial"/>
          <w:bCs/>
          <w:lang w:val="es-MX"/>
        </w:rPr>
      </w:pPr>
      <w:bookmarkStart w:id="11" w:name="_Hlk96420693"/>
      <w:r w:rsidRPr="00F06958">
        <w:rPr>
          <w:rFonts w:ascii="Arial" w:eastAsia="Calibri" w:hAnsi="Arial" w:cs="Arial"/>
          <w:bCs/>
        </w:rPr>
        <w:t>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C-715 del 21 de enero de 2022, C-718 del 24 de enero de 2022, C-726 del 24 de enero de 2022, C-002 del 15 de febrero de 2022</w:t>
      </w:r>
      <w:r w:rsidR="00F4207E">
        <w:rPr>
          <w:rFonts w:ascii="Arial" w:eastAsia="Calibri" w:hAnsi="Arial" w:cs="Arial"/>
          <w:bCs/>
        </w:rPr>
        <w:t xml:space="preserve">, </w:t>
      </w:r>
      <w:r w:rsidRPr="00F06958">
        <w:rPr>
          <w:rFonts w:ascii="Arial" w:eastAsia="Calibri" w:hAnsi="Arial" w:cs="Arial"/>
          <w:bCs/>
        </w:rPr>
        <w:t>C-116 del 18 de febrero de 2022</w:t>
      </w:r>
      <w:r w:rsidR="00F4207E">
        <w:rPr>
          <w:rFonts w:ascii="Arial" w:eastAsia="Calibri" w:hAnsi="Arial" w:cs="Arial"/>
          <w:bCs/>
        </w:rPr>
        <w:t xml:space="preserve"> y C-163 del 29 de marzo de 2022</w:t>
      </w:r>
      <w:r w:rsidRPr="00F06958">
        <w:rPr>
          <w:rFonts w:ascii="Arial" w:eastAsia="Calibri" w:hAnsi="Arial" w:cs="Arial"/>
          <w:bCs/>
        </w:rPr>
        <w:t>. La tesis desarrollada en estos conceptos se reitera y complementa a continuación:</w:t>
      </w:r>
    </w:p>
    <w:bookmarkEnd w:id="11"/>
    <w:p w14:paraId="689ECCF4" w14:textId="77777777" w:rsidR="00F06958" w:rsidRPr="00F06958" w:rsidRDefault="00F06958" w:rsidP="00F06958">
      <w:pPr>
        <w:tabs>
          <w:tab w:val="left" w:pos="426"/>
        </w:tabs>
        <w:spacing w:after="0" w:line="276" w:lineRule="auto"/>
        <w:ind w:firstLine="709"/>
        <w:jc w:val="both"/>
        <w:rPr>
          <w:rFonts w:ascii="Arial" w:eastAsia="Calibri" w:hAnsi="Arial" w:cs="Arial"/>
          <w:b/>
          <w:bCs/>
        </w:rPr>
      </w:pPr>
    </w:p>
    <w:p w14:paraId="2F2992B2" w14:textId="77777777" w:rsidR="00F06958" w:rsidRPr="00F06958" w:rsidRDefault="00F06958" w:rsidP="00F06958">
      <w:pPr>
        <w:tabs>
          <w:tab w:val="left" w:pos="426"/>
        </w:tabs>
        <w:spacing w:after="0" w:line="276" w:lineRule="auto"/>
        <w:jc w:val="both"/>
        <w:rPr>
          <w:rFonts w:ascii="Arial" w:eastAsia="Calibri" w:hAnsi="Arial" w:cs="Arial"/>
          <w:b/>
          <w:bCs/>
        </w:rPr>
      </w:pPr>
      <w:r w:rsidRPr="00F06958">
        <w:rPr>
          <w:rFonts w:ascii="Arial" w:eastAsia="Calibri" w:hAnsi="Arial" w:cs="Arial"/>
          <w:b/>
          <w:bCs/>
        </w:rPr>
        <w:t>2.1. Definición y finalidad de la Ley de Garantías Electorales: alcance de las restricciones</w:t>
      </w:r>
    </w:p>
    <w:p w14:paraId="68ED7946" w14:textId="77777777" w:rsidR="00F06958" w:rsidRPr="00F06958" w:rsidRDefault="00F06958" w:rsidP="00F06958">
      <w:pPr>
        <w:tabs>
          <w:tab w:val="left" w:pos="426"/>
        </w:tabs>
        <w:spacing w:after="0" w:line="276" w:lineRule="auto"/>
        <w:ind w:firstLine="709"/>
        <w:jc w:val="both"/>
        <w:rPr>
          <w:rFonts w:ascii="Arial" w:eastAsia="Calibri" w:hAnsi="Arial" w:cs="Arial"/>
          <w:bCs/>
        </w:rPr>
      </w:pPr>
    </w:p>
    <w:p w14:paraId="79525E9F" w14:textId="77777777" w:rsidR="00F06958" w:rsidRPr="00F06958" w:rsidRDefault="00F06958" w:rsidP="00F06958">
      <w:pPr>
        <w:tabs>
          <w:tab w:val="left" w:pos="426"/>
        </w:tabs>
        <w:spacing w:after="120" w:line="276" w:lineRule="auto"/>
        <w:jc w:val="both"/>
        <w:rPr>
          <w:rFonts w:ascii="Arial" w:eastAsia="Times New Roman" w:hAnsi="Arial" w:cs="Arial"/>
          <w:bCs/>
          <w:lang w:eastAsia="es-CO"/>
        </w:rPr>
      </w:pPr>
      <w:r w:rsidRPr="00F06958">
        <w:rPr>
          <w:rFonts w:ascii="Arial" w:eastAsia="Calibri" w:hAnsi="Arial" w:cs="Arial"/>
          <w:bCs/>
        </w:rPr>
        <w:t>El ordenamiento jurídico colombiano contempla previsiones claras para evitar la obtención de beneficios personales en asuntos propios de la administración pública</w:t>
      </w:r>
      <w:r w:rsidRPr="00F06958">
        <w:rPr>
          <w:rFonts w:ascii="Arial" w:eastAsia="Calibri" w:hAnsi="Arial" w:cs="Arial"/>
          <w:bCs/>
          <w:i/>
          <w:iCs/>
        </w:rPr>
        <w:t xml:space="preserve">. </w:t>
      </w:r>
      <w:r w:rsidRPr="00F06958">
        <w:rPr>
          <w:rFonts w:ascii="Arial" w:eastAsia="Calibri" w:hAnsi="Arial" w:cs="Arial"/>
          <w:bCs/>
        </w:rPr>
        <w:t xml:space="preserve">Por ejemplo, el artículo 127 de la Constitución Política establece una prohibición </w:t>
      </w:r>
      <w:r w:rsidRPr="00F06958">
        <w:rPr>
          <w:rFonts w:ascii="Arial" w:eastAsia="Calibri" w:hAnsi="Arial" w:cs="Arial"/>
          <w:bCs/>
        </w:rPr>
        <w:lastRenderedPageBreak/>
        <w:t>contractual a los servidores públicos y en cuanto a aspectos políticos establece restricciones a ciertos empleados del Estado, incluso en época no electoral</w:t>
      </w:r>
      <w:r w:rsidRPr="00F06958">
        <w:rPr>
          <w:rFonts w:ascii="Arial" w:eastAsia="Calibri" w:hAnsi="Arial" w:cs="Arial"/>
          <w:bCs/>
          <w:vertAlign w:val="superscript"/>
        </w:rPr>
        <w:footnoteReference w:id="1"/>
      </w:r>
      <w:r w:rsidRPr="00F06958">
        <w:rPr>
          <w:rFonts w:ascii="Arial" w:eastAsia="Calibri" w:hAnsi="Arial" w:cs="Arial"/>
          <w:bCs/>
        </w:rPr>
        <w:t xml:space="preserve">. </w:t>
      </w:r>
    </w:p>
    <w:p w14:paraId="6805050D" w14:textId="77777777" w:rsidR="00F06958" w:rsidRPr="00F06958" w:rsidRDefault="00F06958" w:rsidP="00F06958">
      <w:pPr>
        <w:tabs>
          <w:tab w:val="left" w:pos="426"/>
        </w:tabs>
        <w:spacing w:after="0" w:line="276" w:lineRule="auto"/>
        <w:ind w:firstLine="709"/>
        <w:jc w:val="both"/>
        <w:rPr>
          <w:rFonts w:ascii="Arial" w:eastAsia="Times New Roman" w:hAnsi="Arial" w:cs="Arial"/>
          <w:bCs/>
          <w:lang w:val="es-MX" w:eastAsia="es-CO"/>
        </w:rPr>
      </w:pPr>
      <w:r w:rsidRPr="00F06958">
        <w:rPr>
          <w:rFonts w:ascii="Arial" w:eastAsia="Times New Roman" w:hAnsi="Arial" w:cs="Arial"/>
          <w:bCs/>
          <w:lang w:eastAsia="es-CO"/>
        </w:rPr>
        <w:t>En el mismo sentido</w:t>
      </w:r>
      <w:r w:rsidRPr="00F06958">
        <w:rPr>
          <w:rFonts w:ascii="Arial" w:eastAsia="Times New Roman" w:hAnsi="Arial" w:cs="Arial"/>
          <w:bCs/>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F06958">
        <w:rPr>
          <w:rFonts w:ascii="Arial" w:eastAsia="Times New Roman" w:hAnsi="Arial" w:cs="Arial"/>
          <w:bCs/>
          <w:vertAlign w:val="superscript"/>
          <w:lang w:val="es-MX" w:eastAsia="es-CO"/>
        </w:rPr>
        <w:footnoteReference w:id="2"/>
      </w:r>
      <w:r w:rsidRPr="00F06958">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F06958">
        <w:rPr>
          <w:rFonts w:ascii="Arial" w:eastAsia="Calibri" w:hAnsi="Arial" w:cs="Arial"/>
          <w:noProof/>
          <w:lang w:val="es-ES_tradnl"/>
        </w:rPr>
        <w:t xml:space="preserve"> </w:t>
      </w:r>
      <w:r w:rsidRPr="00F06958">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239FB757" w14:textId="77777777" w:rsidR="00F06958" w:rsidRPr="00F06958" w:rsidRDefault="00F06958" w:rsidP="00F06958">
      <w:pPr>
        <w:spacing w:after="0" w:line="276" w:lineRule="auto"/>
        <w:ind w:right="709"/>
        <w:jc w:val="both"/>
        <w:rPr>
          <w:rFonts w:ascii="Arial" w:eastAsia="Times New Roman" w:hAnsi="Arial" w:cs="Arial"/>
          <w:sz w:val="21"/>
          <w:szCs w:val="21"/>
          <w:lang w:val="es-ES" w:eastAsia="es-CO"/>
        </w:rPr>
      </w:pPr>
    </w:p>
    <w:p w14:paraId="4149427F" w14:textId="77777777" w:rsidR="00F06958" w:rsidRPr="00F06958" w:rsidRDefault="00F06958" w:rsidP="00F06958">
      <w:pPr>
        <w:spacing w:after="0" w:line="240" w:lineRule="auto"/>
        <w:ind w:left="709" w:right="709"/>
        <w:jc w:val="both"/>
        <w:rPr>
          <w:rFonts w:ascii="Arial" w:eastAsia="Times New Roman" w:hAnsi="Arial" w:cs="Arial"/>
          <w:bCs/>
          <w:sz w:val="21"/>
          <w:szCs w:val="21"/>
          <w:lang w:val="es-MX" w:eastAsia="es-CO"/>
        </w:rPr>
      </w:pPr>
      <w:r w:rsidRPr="00F06958">
        <w:rPr>
          <w:rFonts w:ascii="Arial" w:eastAsia="Times New Roman" w:hAnsi="Arial" w:cs="Arial"/>
          <w:sz w:val="21"/>
          <w:szCs w:val="21"/>
          <w:lang w:val="es-ES" w:eastAsia="es-CO"/>
        </w:rPr>
        <w:t xml:space="preserve">[…] </w:t>
      </w:r>
      <w:r w:rsidRPr="00F06958">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3288DD53" w14:textId="77777777" w:rsidR="00F06958" w:rsidRPr="00F06958" w:rsidRDefault="00F06958" w:rsidP="00F06958">
      <w:pPr>
        <w:spacing w:after="120" w:line="240" w:lineRule="auto"/>
        <w:ind w:left="709" w:right="709"/>
        <w:jc w:val="both"/>
        <w:rPr>
          <w:rFonts w:ascii="Arial" w:eastAsia="Times New Roman" w:hAnsi="Arial" w:cs="Arial"/>
          <w:bCs/>
          <w:sz w:val="21"/>
          <w:szCs w:val="21"/>
          <w:lang w:val="es-MX" w:eastAsia="es-CO"/>
        </w:rPr>
      </w:pPr>
      <w:r w:rsidRPr="00F06958">
        <w:rPr>
          <w:rFonts w:ascii="Arial" w:eastAsia="Times New Roman" w:hAnsi="Arial" w:cs="Arial"/>
          <w:bCs/>
          <w:sz w:val="21"/>
          <w:szCs w:val="21"/>
          <w:lang w:val="es-MX" w:eastAsia="es-CO"/>
        </w:rPr>
        <w:t xml:space="preserve">[…] </w:t>
      </w:r>
    </w:p>
    <w:p w14:paraId="479F952A" w14:textId="77777777" w:rsidR="00F06958" w:rsidRPr="00F06958" w:rsidRDefault="00F06958" w:rsidP="00F06958">
      <w:pPr>
        <w:spacing w:after="0" w:line="240" w:lineRule="auto"/>
        <w:ind w:left="709" w:right="709"/>
        <w:jc w:val="both"/>
        <w:rPr>
          <w:rFonts w:ascii="Arial" w:eastAsia="Times New Roman" w:hAnsi="Arial" w:cs="Arial"/>
          <w:bCs/>
          <w:sz w:val="21"/>
          <w:szCs w:val="21"/>
          <w:lang w:val="es-MX" w:eastAsia="es-CO"/>
        </w:rPr>
      </w:pPr>
      <w:r w:rsidRPr="00F06958">
        <w:rPr>
          <w:rFonts w:ascii="Arial" w:eastAsia="Times New Roman"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F06958">
        <w:rPr>
          <w:rFonts w:ascii="Arial" w:eastAsia="Calibri" w:hAnsi="Arial" w:cs="Arial"/>
          <w:sz w:val="20"/>
          <w:szCs w:val="20"/>
          <w:vertAlign w:val="superscript"/>
          <w:lang w:val="es-MX"/>
        </w:rPr>
        <w:footnoteReference w:id="3"/>
      </w:r>
    </w:p>
    <w:p w14:paraId="502A4832" w14:textId="77777777" w:rsidR="00F06958" w:rsidRPr="00F06958" w:rsidRDefault="00F06958" w:rsidP="00F06958">
      <w:pPr>
        <w:spacing w:after="0" w:line="276" w:lineRule="auto"/>
        <w:ind w:left="709" w:right="709"/>
        <w:jc w:val="both"/>
        <w:rPr>
          <w:rFonts w:ascii="Arial" w:eastAsia="Times New Roman" w:hAnsi="Arial" w:cs="Arial"/>
          <w:bCs/>
          <w:sz w:val="21"/>
          <w:szCs w:val="21"/>
          <w:lang w:val="es-MX" w:eastAsia="es-CO"/>
        </w:rPr>
      </w:pPr>
    </w:p>
    <w:p w14:paraId="01207B23" w14:textId="77777777" w:rsidR="00F06958" w:rsidRPr="00F06958" w:rsidRDefault="00F06958" w:rsidP="00F06958">
      <w:pPr>
        <w:spacing w:after="0" w:line="276" w:lineRule="auto"/>
        <w:ind w:firstLine="709"/>
        <w:jc w:val="both"/>
        <w:rPr>
          <w:rFonts w:ascii="Arial" w:eastAsia="Times New Roman" w:hAnsi="Arial" w:cs="Arial"/>
          <w:bCs/>
          <w:lang w:val="es-MX" w:eastAsia="es-CO"/>
        </w:rPr>
      </w:pPr>
      <w:bookmarkStart w:id="12" w:name="_Hlk78818186"/>
      <w:r w:rsidRPr="00F06958">
        <w:rPr>
          <w:rFonts w:ascii="Arial" w:eastAsia="Times New Roman"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2"/>
      <w:r w:rsidRPr="00F06958">
        <w:rPr>
          <w:rFonts w:ascii="Arial" w:eastAsia="Times New Roman" w:hAnsi="Arial" w:cs="Arial"/>
          <w:bCs/>
          <w:lang w:val="es-MX" w:eastAsia="es-CO"/>
        </w:rPr>
        <w:t xml:space="preserve">Por </w:t>
      </w:r>
      <w:r w:rsidRPr="00F06958">
        <w:rPr>
          <w:rFonts w:ascii="Arial" w:eastAsia="Times New Roman" w:hAnsi="Arial" w:cs="Arial"/>
          <w:bCs/>
          <w:lang w:val="es-MX" w:eastAsia="es-CO"/>
        </w:rPr>
        <w:lastRenderedPageBreak/>
        <w:t>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5620A071" w14:textId="77777777" w:rsidR="00F06958" w:rsidRPr="00F06958" w:rsidRDefault="00F06958" w:rsidP="00F06958">
      <w:pPr>
        <w:spacing w:after="0" w:line="276" w:lineRule="auto"/>
        <w:ind w:firstLine="709"/>
        <w:jc w:val="both"/>
        <w:rPr>
          <w:rFonts w:ascii="Arial" w:eastAsia="Times New Roman" w:hAnsi="Arial" w:cs="Arial"/>
          <w:bCs/>
          <w:lang w:val="es-MX" w:eastAsia="es-CO"/>
        </w:rPr>
      </w:pPr>
    </w:p>
    <w:p w14:paraId="3CB7E7C4" w14:textId="77777777" w:rsidR="00F06958" w:rsidRPr="00F06958" w:rsidRDefault="00F06958" w:rsidP="00F06958">
      <w:pPr>
        <w:spacing w:after="120" w:line="240" w:lineRule="auto"/>
        <w:ind w:left="709" w:right="709"/>
        <w:jc w:val="both"/>
        <w:rPr>
          <w:rFonts w:ascii="Arial" w:eastAsia="Times New Roman" w:hAnsi="Arial" w:cs="Arial"/>
          <w:bCs/>
          <w:sz w:val="21"/>
          <w:szCs w:val="21"/>
          <w:lang w:val="es-MX" w:eastAsia="es-CO"/>
        </w:rPr>
      </w:pPr>
      <w:r w:rsidRPr="00F06958">
        <w:rPr>
          <w:rFonts w:ascii="Arial" w:eastAsia="Times New Roman"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64331E7" w14:textId="77777777" w:rsidR="00F06958" w:rsidRPr="00F06958" w:rsidRDefault="00F06958" w:rsidP="00F06958">
      <w:pPr>
        <w:spacing w:after="0" w:line="240" w:lineRule="auto"/>
        <w:ind w:left="709" w:right="709"/>
        <w:jc w:val="both"/>
        <w:rPr>
          <w:rFonts w:ascii="Arial" w:eastAsia="Times New Roman" w:hAnsi="Arial" w:cs="Arial"/>
          <w:bCs/>
          <w:sz w:val="21"/>
          <w:szCs w:val="21"/>
          <w:lang w:val="es-MX" w:eastAsia="es-CO"/>
        </w:rPr>
      </w:pPr>
      <w:r w:rsidRPr="00F06958">
        <w:rPr>
          <w:rFonts w:ascii="Arial" w:eastAsia="Times New Roman" w:hAnsi="Arial" w:cs="Arial"/>
          <w:bCs/>
          <w:sz w:val="21"/>
          <w:szCs w:val="21"/>
          <w:lang w:val="es-MX" w:eastAsia="es-CO"/>
        </w:rPr>
        <w:t>La jurisprudencia de la Corte Constitucional</w:t>
      </w:r>
      <w:r w:rsidRPr="00F06958">
        <w:rPr>
          <w:rFonts w:ascii="Arial" w:eastAsia="Times New Roman" w:hAnsi="Arial" w:cs="Arial"/>
          <w:bCs/>
          <w:sz w:val="21"/>
          <w:szCs w:val="21"/>
          <w:vertAlign w:val="superscript"/>
          <w:lang w:val="es-MX" w:eastAsia="es-CO"/>
        </w:rPr>
        <w:footnoteReference w:id="4"/>
      </w:r>
      <w:r w:rsidRPr="00F06958">
        <w:rPr>
          <w:rFonts w:ascii="Arial" w:eastAsia="Times New Roman" w:hAnsi="Arial" w:cs="Arial"/>
          <w:bCs/>
          <w:sz w:val="21"/>
          <w:szCs w:val="21"/>
          <w:lang w:val="es-MX" w:eastAsia="es-CO"/>
        </w:rPr>
        <w:t> y del Consejo de Estado</w:t>
      </w:r>
      <w:r w:rsidRPr="00F06958">
        <w:rPr>
          <w:rFonts w:ascii="Arial" w:eastAsia="Times New Roman" w:hAnsi="Arial" w:cs="Arial"/>
          <w:bCs/>
          <w:sz w:val="21"/>
          <w:szCs w:val="21"/>
          <w:vertAlign w:val="superscript"/>
          <w:lang w:val="es-MX" w:eastAsia="es-CO"/>
        </w:rPr>
        <w:footnoteReference w:id="5"/>
      </w:r>
      <w:r w:rsidRPr="00F06958">
        <w:rPr>
          <w:rFonts w:ascii="Arial" w:eastAsia="Times New Roman"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F06958">
        <w:rPr>
          <w:rFonts w:ascii="Arial" w:eastAsia="Times New Roman" w:hAnsi="Arial" w:cs="Arial"/>
          <w:bCs/>
          <w:vertAlign w:val="superscript"/>
          <w:lang w:val="es-MX" w:eastAsia="es-CO"/>
        </w:rPr>
        <w:footnoteReference w:id="6"/>
      </w:r>
      <w:r w:rsidRPr="00F06958">
        <w:rPr>
          <w:rFonts w:ascii="Arial" w:eastAsia="Times New Roman" w:hAnsi="Arial" w:cs="Arial"/>
          <w:bCs/>
          <w:sz w:val="21"/>
          <w:szCs w:val="21"/>
          <w:lang w:val="es-MX" w:eastAsia="es-CO"/>
        </w:rPr>
        <w:t>.</w:t>
      </w:r>
    </w:p>
    <w:p w14:paraId="0ADE53BF" w14:textId="77777777" w:rsidR="00F06958" w:rsidRPr="00F06958" w:rsidRDefault="00F06958" w:rsidP="00F06958">
      <w:pPr>
        <w:spacing w:after="0" w:line="276" w:lineRule="auto"/>
        <w:ind w:right="709"/>
        <w:jc w:val="both"/>
        <w:rPr>
          <w:rFonts w:ascii="Arial" w:eastAsia="Times New Roman" w:hAnsi="Arial" w:cs="Arial"/>
          <w:bCs/>
          <w:sz w:val="21"/>
          <w:szCs w:val="21"/>
          <w:lang w:val="es-MX" w:eastAsia="es-CO"/>
        </w:rPr>
      </w:pPr>
    </w:p>
    <w:p w14:paraId="0E3F7E5D" w14:textId="77777777" w:rsidR="00F06958" w:rsidRPr="00F06958" w:rsidRDefault="00F06958" w:rsidP="00F06958">
      <w:pPr>
        <w:spacing w:after="120" w:line="276" w:lineRule="auto"/>
        <w:jc w:val="both"/>
        <w:rPr>
          <w:rFonts w:ascii="Arial" w:eastAsia="Arial" w:hAnsi="Arial" w:cs="Arial"/>
          <w:lang w:val="es-ES" w:eastAsia="es-ES" w:bidi="es-ES"/>
        </w:rPr>
      </w:pPr>
      <w:r w:rsidRPr="00F06958">
        <w:rPr>
          <w:rFonts w:ascii="Arial" w:eastAsia="Times New Roman" w:hAnsi="Arial" w:cs="Arial"/>
          <w:bCs/>
          <w:lang w:val="es-MX" w:eastAsia="es-CO"/>
        </w:rPr>
        <w:tab/>
        <w:t>De</w:t>
      </w:r>
      <w:r w:rsidRPr="00F06958">
        <w:rPr>
          <w:rFonts w:ascii="Arial" w:eastAsia="Arial" w:hAnsi="Arial" w:cs="Arial"/>
          <w:lang w:val="es-ES" w:eastAsia="es-ES" w:bidi="es-ES"/>
        </w:rPr>
        <w:t xml:space="preserve"> conformidad con lo anterior, </w:t>
      </w:r>
      <w:bookmarkStart w:id="13" w:name="_Hlk77236098"/>
      <w:r w:rsidRPr="00F06958">
        <w:rPr>
          <w:rFonts w:ascii="Arial" w:eastAsia="Arial" w:hAnsi="Arial" w:cs="Arial"/>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3"/>
    </w:p>
    <w:p w14:paraId="34DF5D33" w14:textId="77777777" w:rsidR="00F06958" w:rsidRPr="00F06958" w:rsidRDefault="00F06958" w:rsidP="00F06958">
      <w:pPr>
        <w:spacing w:after="120" w:line="276" w:lineRule="auto"/>
        <w:ind w:firstLine="708"/>
        <w:jc w:val="both"/>
        <w:rPr>
          <w:rFonts w:ascii="Arial" w:eastAsia="Calibri" w:hAnsi="Arial" w:cs="Arial"/>
        </w:rPr>
      </w:pPr>
      <w:r w:rsidRPr="00F06958">
        <w:rPr>
          <w:rFonts w:ascii="Arial" w:eastAsia="Calibri" w:hAnsi="Arial" w:cs="Arial"/>
        </w:rPr>
        <w:lastRenderedPageBreak/>
        <w:t xml:space="preserve">Por un lado, el artículo 33 de la Ley 996 de 2005 prohíbe </w:t>
      </w:r>
      <w:r w:rsidRPr="00F06958">
        <w:rPr>
          <w:rFonts w:ascii="Arial" w:eastAsia="Calibri" w:hAnsi="Arial" w:cs="Arial"/>
          <w:bCs/>
        </w:rPr>
        <w:t xml:space="preserve">«[…] </w:t>
      </w:r>
      <w:r w:rsidRPr="00F06958">
        <w:rPr>
          <w:rFonts w:ascii="Arial" w:eastAsia="Calibri" w:hAnsi="Arial" w:cs="Arial"/>
        </w:rPr>
        <w:t>la contratación directa por parte de todos los entes del Estado</w:t>
      </w:r>
      <w:r w:rsidRPr="00F06958">
        <w:rPr>
          <w:rFonts w:ascii="Arial" w:eastAsia="Calibri" w:hAnsi="Arial" w:cs="Arial"/>
          <w:bCs/>
        </w:rPr>
        <w:t>»</w:t>
      </w:r>
      <w:r w:rsidRPr="00F06958">
        <w:rPr>
          <w:rFonts w:ascii="Arial" w:eastAsia="Calibri" w:hAnsi="Arial" w:cs="Arial"/>
        </w:rPr>
        <w:t xml:space="preserve"> durante los cuatro (4) meses anteriores a las elecciones presidenciales, salvo </w:t>
      </w:r>
      <w:r w:rsidRPr="00F06958">
        <w:rPr>
          <w:rFonts w:ascii="Arial" w:eastAsia="Calibri" w:hAnsi="Arial" w:cs="Arial"/>
          <w:bCs/>
        </w:rPr>
        <w:t xml:space="preserve">«[…] </w:t>
      </w:r>
      <w:r w:rsidRPr="00F06958">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F06958">
        <w:rPr>
          <w:rFonts w:ascii="Arial" w:eastAsia="Calibri" w:hAnsi="Arial" w:cs="Arial"/>
          <w:bCs/>
        </w:rPr>
        <w:t>»</w:t>
      </w:r>
      <w:r w:rsidRPr="00F06958">
        <w:rPr>
          <w:rFonts w:ascii="Arial" w:eastAsia="Calibri" w:hAnsi="Arial" w:cs="Arial"/>
          <w:bCs/>
          <w:vertAlign w:val="superscript"/>
        </w:rPr>
        <w:footnoteReference w:id="7"/>
      </w:r>
      <w:r w:rsidRPr="00F06958">
        <w:rPr>
          <w:rFonts w:ascii="Arial" w:eastAsia="Calibri" w:hAnsi="Arial" w:cs="Arial"/>
        </w:rPr>
        <w:t>.</w:t>
      </w:r>
    </w:p>
    <w:p w14:paraId="780735D4" w14:textId="77777777" w:rsidR="00F06958" w:rsidRPr="00F06958" w:rsidRDefault="00F06958" w:rsidP="00F06958">
      <w:pPr>
        <w:widowControl w:val="0"/>
        <w:autoSpaceDE w:val="0"/>
        <w:autoSpaceDN w:val="0"/>
        <w:spacing w:after="0" w:line="276" w:lineRule="auto"/>
        <w:ind w:right="113" w:firstLine="708"/>
        <w:jc w:val="both"/>
        <w:rPr>
          <w:rFonts w:ascii="Arial" w:eastAsia="Arial" w:hAnsi="Arial" w:cs="Arial"/>
          <w:lang w:val="es-ES" w:eastAsia="es-ES" w:bidi="es-ES"/>
        </w:rPr>
      </w:pPr>
      <w:r w:rsidRPr="00F06958">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F06958">
        <w:rPr>
          <w:rFonts w:ascii="Arial" w:eastAsia="Calibri" w:hAnsi="Arial" w:cs="Arial"/>
          <w:bCs/>
        </w:rPr>
        <w:t xml:space="preserve">«[…] </w:t>
      </w:r>
      <w:r w:rsidRPr="00F06958">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06958">
        <w:rPr>
          <w:rFonts w:ascii="Arial" w:eastAsia="Calibri" w:hAnsi="Arial" w:cs="Arial"/>
          <w:bCs/>
          <w:sz w:val="19"/>
          <w:szCs w:val="19"/>
        </w:rPr>
        <w:t>»</w:t>
      </w:r>
      <w:r w:rsidRPr="00F06958">
        <w:rPr>
          <w:rFonts w:ascii="Arial" w:eastAsia="Calibri" w:hAnsi="Arial" w:cs="Arial"/>
          <w:bCs/>
          <w:sz w:val="19"/>
          <w:szCs w:val="19"/>
          <w:vertAlign w:val="superscript"/>
        </w:rPr>
        <w:footnoteReference w:id="8"/>
      </w:r>
      <w:r w:rsidRPr="00F06958">
        <w:rPr>
          <w:rFonts w:ascii="Arial" w:eastAsia="Calibri" w:hAnsi="Arial" w:cs="Arial"/>
          <w:lang w:val="es-MX"/>
        </w:rPr>
        <w:t>.</w:t>
      </w:r>
      <w:r w:rsidRPr="00F06958">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47A91115" w14:textId="77777777" w:rsidR="00F06958" w:rsidRPr="00F06958" w:rsidRDefault="00F06958" w:rsidP="00F06958">
      <w:pPr>
        <w:widowControl w:val="0"/>
        <w:autoSpaceDE w:val="0"/>
        <w:autoSpaceDN w:val="0"/>
        <w:spacing w:after="0" w:line="276" w:lineRule="auto"/>
        <w:ind w:left="805" w:right="812"/>
        <w:jc w:val="both"/>
        <w:rPr>
          <w:rFonts w:ascii="Arial" w:eastAsia="Arial" w:hAnsi="Arial" w:cs="Arial"/>
          <w:lang w:val="es-ES" w:eastAsia="es-ES" w:bidi="es-ES"/>
        </w:rPr>
      </w:pPr>
    </w:p>
    <w:p w14:paraId="3C013144" w14:textId="77777777" w:rsidR="00F06958" w:rsidRPr="00F06958" w:rsidRDefault="00F06958" w:rsidP="00F06958">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F06958">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6" w:name="_Hlk76109421"/>
      <w:r w:rsidRPr="00F06958">
        <w:rPr>
          <w:rFonts w:ascii="Arial" w:eastAsia="Arial" w:hAnsi="Arial" w:cs="Arial"/>
          <w:sz w:val="21"/>
          <w:szCs w:val="21"/>
          <w:lang w:val="es-ES" w:eastAsia="es-ES" w:bidi="es-ES"/>
        </w:rPr>
        <w:t>se integran parcialmente</w:t>
      </w:r>
      <w:bookmarkEnd w:id="16"/>
      <w:r w:rsidRPr="00F06958">
        <w:rPr>
          <w:rFonts w:ascii="Arial" w:eastAsia="Arial" w:hAnsi="Arial" w:cs="Arial"/>
          <w:sz w:val="21"/>
          <w:szCs w:val="21"/>
          <w:lang w:val="es-ES" w:eastAsia="es-ES" w:bidi="es-ES"/>
        </w:rPr>
        <w:t xml:space="preserve">, lo que </w:t>
      </w:r>
      <w:r w:rsidRPr="00F06958">
        <w:rPr>
          <w:rFonts w:ascii="Arial" w:eastAsia="Arial" w:hAnsi="Arial" w:cs="Arial"/>
          <w:sz w:val="21"/>
          <w:szCs w:val="21"/>
          <w:lang w:val="es-ES" w:eastAsia="es-ES" w:bidi="es-ES"/>
        </w:rPr>
        <w:lastRenderedPageBreak/>
        <w:t xml:space="preserve">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F06958">
        <w:rPr>
          <w:rFonts w:ascii="Arial" w:eastAsia="Arial" w:hAnsi="Arial" w:cs="Arial"/>
          <w:bCs/>
          <w:sz w:val="21"/>
          <w:szCs w:val="21"/>
          <w:lang w:val="es-ES" w:eastAsia="es-ES" w:bidi="es-ES"/>
        </w:rPr>
        <w:t xml:space="preserve">En cambio, para elecciones en general, excluyendo las correspondientes a </w:t>
      </w:r>
      <w:proofErr w:type="gramStart"/>
      <w:r w:rsidRPr="00F06958">
        <w:rPr>
          <w:rFonts w:ascii="Arial" w:eastAsia="Arial" w:hAnsi="Arial" w:cs="Arial"/>
          <w:bCs/>
          <w:sz w:val="21"/>
          <w:szCs w:val="21"/>
          <w:lang w:val="es-ES" w:eastAsia="es-ES" w:bidi="es-ES"/>
        </w:rPr>
        <w:t>Presidente</w:t>
      </w:r>
      <w:proofErr w:type="gramEnd"/>
      <w:r w:rsidRPr="00F06958">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F06958">
        <w:rPr>
          <w:rFonts w:ascii="Arial" w:eastAsia="Arial" w:hAnsi="Arial" w:cs="Arial"/>
          <w:sz w:val="21"/>
          <w:szCs w:val="21"/>
          <w:lang w:val="es-ES" w:eastAsia="es-ES" w:bidi="es-ES"/>
        </w:rPr>
        <w:t>.</w:t>
      </w:r>
      <w:r w:rsidRPr="00F06958">
        <w:rPr>
          <w:rFonts w:ascii="Arial" w:eastAsia="Arial" w:hAnsi="Arial" w:cs="Arial"/>
          <w:sz w:val="21"/>
          <w:szCs w:val="21"/>
          <w:vertAlign w:val="superscript"/>
          <w:lang w:val="es-ES" w:eastAsia="es-ES" w:bidi="es-ES"/>
        </w:rPr>
        <w:footnoteReference w:id="9"/>
      </w:r>
    </w:p>
    <w:p w14:paraId="14CBC0FE" w14:textId="77777777" w:rsidR="00F06958" w:rsidRPr="00F06958" w:rsidRDefault="00F06958" w:rsidP="00F06958">
      <w:pPr>
        <w:widowControl w:val="0"/>
        <w:autoSpaceDE w:val="0"/>
        <w:autoSpaceDN w:val="0"/>
        <w:spacing w:before="8" w:after="0" w:line="276" w:lineRule="auto"/>
        <w:rPr>
          <w:rFonts w:ascii="Arial" w:eastAsia="Arial" w:hAnsi="Arial" w:cs="Arial"/>
          <w:lang w:val="es-ES" w:eastAsia="es-ES" w:bidi="es-ES"/>
        </w:rPr>
      </w:pPr>
    </w:p>
    <w:p w14:paraId="67B78818" w14:textId="77777777" w:rsidR="00F06958" w:rsidRPr="00F06958" w:rsidRDefault="00F06958" w:rsidP="00F06958">
      <w:pPr>
        <w:spacing w:after="120" w:line="276" w:lineRule="auto"/>
        <w:ind w:firstLine="709"/>
        <w:jc w:val="both"/>
        <w:rPr>
          <w:rFonts w:ascii="Arial" w:eastAsia="Arial" w:hAnsi="Arial" w:cs="Arial"/>
          <w:lang w:val="es-ES" w:eastAsia="es-ES" w:bidi="es-ES"/>
        </w:rPr>
      </w:pPr>
      <w:r w:rsidRPr="00F06958">
        <w:rPr>
          <w:rFonts w:ascii="Arial" w:eastAsia="Arial" w:hAnsi="Arial" w:cs="Arial"/>
          <w:lang w:val="es-ES" w:eastAsia="es-ES" w:bidi="es-ES"/>
        </w:rPr>
        <w:t>De conformidad con lo anterior</w:t>
      </w:r>
      <w:bookmarkStart w:id="17" w:name="_Hlk99438241"/>
      <w:r w:rsidRPr="00F06958">
        <w:rPr>
          <w:rFonts w:ascii="Arial" w:eastAsia="Arial" w:hAnsi="Arial" w:cs="Arial"/>
          <w:lang w:val="es-ES" w:eastAsia="es-ES" w:bidi="es-ES"/>
        </w:rPr>
        <w:t xml:space="preserve">, </w:t>
      </w:r>
      <w:bookmarkStart w:id="18" w:name="_Hlk77236420"/>
      <w:bookmarkStart w:id="19" w:name="_Hlk78818435"/>
      <w:bookmarkStart w:id="20" w:name="_Hlk75780333"/>
      <w:r w:rsidRPr="00F06958">
        <w:rPr>
          <w:rFonts w:ascii="Arial" w:eastAsia="Arial" w:hAnsi="Arial" w:cs="Arial"/>
          <w:lang w:val="es-ES" w:eastAsia="es-ES" w:bidi="es-ES"/>
        </w:rPr>
        <w:t xml:space="preserve">la Ley 996 de 2005 establece dos (2) tipos de restricciones en materia de contratación, las cuales coinciden parcialmente. </w:t>
      </w:r>
      <w:r w:rsidRPr="00F06958">
        <w:rPr>
          <w:rFonts w:ascii="Arial" w:eastAsia="Arial" w:hAnsi="Arial" w:cs="Arial"/>
          <w:i/>
          <w:iCs/>
          <w:lang w:val="es-ES" w:eastAsia="es-ES" w:bidi="es-ES"/>
        </w:rPr>
        <w:t>En primer lugar</w:t>
      </w:r>
      <w:r w:rsidRPr="00F06958">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F06958">
        <w:rPr>
          <w:rFonts w:ascii="Arial" w:eastAsia="Arial" w:hAnsi="Arial" w:cs="Arial"/>
          <w:i/>
          <w:iCs/>
          <w:lang w:val="es-ES" w:eastAsia="es-ES" w:bidi="es-ES"/>
        </w:rPr>
        <w:t>En segundo lugar</w:t>
      </w:r>
      <w:r w:rsidRPr="00F06958">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8"/>
    </w:p>
    <w:bookmarkEnd w:id="17"/>
    <w:bookmarkEnd w:id="19"/>
    <w:p w14:paraId="06ECE6ED" w14:textId="77777777" w:rsidR="00F06958" w:rsidRPr="00F06958" w:rsidRDefault="00F06958" w:rsidP="00F06958">
      <w:pPr>
        <w:spacing w:after="120" w:line="276" w:lineRule="auto"/>
        <w:ind w:firstLine="709"/>
        <w:jc w:val="both"/>
        <w:rPr>
          <w:rFonts w:ascii="Arial" w:eastAsia="Arial" w:hAnsi="Arial" w:cs="Arial"/>
          <w:lang w:val="es-ES" w:eastAsia="es-ES" w:bidi="es-ES"/>
        </w:rPr>
      </w:pPr>
      <w:r w:rsidRPr="00F06958">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F06958">
        <w:rPr>
          <w:rFonts w:ascii="Arial" w:eastAsia="Arial" w:hAnsi="Arial" w:cs="Arial"/>
          <w:lang w:val="es-ES" w:eastAsia="es-ES" w:bidi="es-ES"/>
        </w:rPr>
        <w:t>Presidente</w:t>
      </w:r>
      <w:proofErr w:type="gramEnd"/>
      <w:r w:rsidRPr="00F06958">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F06958">
        <w:rPr>
          <w:rFonts w:ascii="Arial" w:eastAsia="Arial" w:hAnsi="Arial" w:cs="Arial"/>
          <w:lang w:val="es-ES" w:eastAsia="es-ES" w:bidi="es-ES"/>
        </w:rPr>
        <w:t>Presidente</w:t>
      </w:r>
      <w:proofErr w:type="gramEnd"/>
      <w:r w:rsidRPr="00F06958">
        <w:rPr>
          <w:rFonts w:ascii="Arial" w:eastAsia="Arial" w:hAnsi="Arial" w:cs="Arial"/>
          <w:lang w:val="es-ES" w:eastAsia="es-ES" w:bidi="es-ES"/>
        </w:rPr>
        <w:t xml:space="preserve"> de la República, las autoridades allí mencionadas sólo deben aplicar las restricciones contenidas en el parágrafo del artículo 38.</w:t>
      </w:r>
    </w:p>
    <w:bookmarkEnd w:id="20"/>
    <w:p w14:paraId="4963BC48" w14:textId="6AE4F1A9" w:rsidR="00F06958" w:rsidRPr="00F06958" w:rsidRDefault="00F06958" w:rsidP="0042362A">
      <w:pPr>
        <w:spacing w:after="0" w:line="276" w:lineRule="auto"/>
        <w:ind w:firstLine="708"/>
        <w:jc w:val="both"/>
        <w:rPr>
          <w:rFonts w:ascii="Arial" w:eastAsia="Arial" w:hAnsi="Arial" w:cs="Arial"/>
          <w:lang w:val="es-ES" w:eastAsia="es-ES" w:bidi="es-ES"/>
        </w:rPr>
      </w:pPr>
      <w:r w:rsidRPr="00F06958">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F06958">
        <w:rPr>
          <w:rFonts w:ascii="Arial" w:eastAsia="Arial" w:hAnsi="Arial" w:cs="Arial"/>
          <w:lang w:val="es-ES" w:eastAsia="es-ES" w:bidi="es-ES"/>
        </w:rPr>
        <w:t>Presidente</w:t>
      </w:r>
      <w:proofErr w:type="gramEnd"/>
      <w:r w:rsidRPr="00F06958">
        <w:rPr>
          <w:rFonts w:ascii="Arial" w:eastAsia="Arial" w:hAnsi="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w:t>
      </w:r>
      <w:r w:rsidRPr="00F06958">
        <w:rPr>
          <w:rFonts w:ascii="Arial" w:eastAsia="Arial" w:hAnsi="Arial" w:cs="Arial"/>
          <w:lang w:val="es-ES" w:eastAsia="es-ES" w:bidi="es-ES"/>
        </w:rPr>
        <w:lastRenderedPageBreak/>
        <w:t xml:space="preserve">haya ejercido por un tiempo inferior a tres (3) meses durante el respectivo cuatrienio, en forma continua o discontinua, conforme al artículo 197 de la Constitución Política.  </w:t>
      </w:r>
    </w:p>
    <w:p w14:paraId="123AFA1D" w14:textId="77777777" w:rsidR="00F06958" w:rsidRPr="00F06958" w:rsidRDefault="00F06958" w:rsidP="00F06958">
      <w:pPr>
        <w:spacing w:after="0" w:line="276" w:lineRule="auto"/>
        <w:jc w:val="both"/>
        <w:rPr>
          <w:rFonts w:ascii="Arial" w:eastAsia="Times New Roman" w:hAnsi="Arial" w:cs="Arial"/>
          <w:bCs/>
          <w:lang w:val="es-ES" w:eastAsia="es-CO"/>
        </w:rPr>
      </w:pPr>
    </w:p>
    <w:p w14:paraId="7B99E9D9" w14:textId="77777777" w:rsidR="00F06958" w:rsidRPr="00F06958" w:rsidRDefault="00F06958" w:rsidP="00F06958">
      <w:pPr>
        <w:spacing w:after="0" w:line="276" w:lineRule="auto"/>
        <w:jc w:val="both"/>
        <w:rPr>
          <w:rFonts w:ascii="Arial" w:eastAsia="Times New Roman" w:hAnsi="Arial" w:cs="Arial"/>
          <w:b/>
          <w:lang w:val="es-ES" w:eastAsia="es-CO"/>
        </w:rPr>
      </w:pPr>
      <w:r w:rsidRPr="00F06958">
        <w:rPr>
          <w:rFonts w:ascii="Arial" w:eastAsia="Times New Roman" w:hAnsi="Arial" w:cs="Arial"/>
          <w:b/>
          <w:lang w:val="es-ES" w:eastAsia="es-CO"/>
        </w:rPr>
        <w:t xml:space="preserve">2.2. </w:t>
      </w:r>
      <w:r w:rsidRPr="00F06958">
        <w:rPr>
          <w:rFonts w:ascii="Arial" w:eastAsia="Times New Roman" w:hAnsi="Arial" w:cs="Arial"/>
          <w:b/>
          <w:bCs/>
          <w:lang w:val="es-MX" w:eastAsia="es-CO"/>
        </w:rPr>
        <w:t xml:space="preserve">Restricciones en elecciones presidenciales </w:t>
      </w:r>
    </w:p>
    <w:p w14:paraId="5AAD1654" w14:textId="77777777" w:rsidR="00F06958" w:rsidRPr="00F06958" w:rsidRDefault="00F06958" w:rsidP="00F06958">
      <w:pPr>
        <w:spacing w:after="0" w:line="276" w:lineRule="auto"/>
        <w:jc w:val="both"/>
        <w:rPr>
          <w:rFonts w:ascii="Arial" w:eastAsia="Times New Roman" w:hAnsi="Arial" w:cs="Arial"/>
          <w:bCs/>
          <w:lang w:val="es-MX" w:eastAsia="x-none"/>
        </w:rPr>
      </w:pPr>
    </w:p>
    <w:p w14:paraId="3D3E6EF4" w14:textId="77777777" w:rsidR="00F06958" w:rsidRPr="00F06958" w:rsidRDefault="00F06958" w:rsidP="00F06958">
      <w:pPr>
        <w:spacing w:after="0" w:line="276" w:lineRule="auto"/>
        <w:jc w:val="both"/>
        <w:rPr>
          <w:rFonts w:ascii="Arial" w:eastAsia="Times New Roman" w:hAnsi="Arial" w:cs="Arial"/>
          <w:bCs/>
          <w:lang w:val="es-MX" w:eastAsia="es-CO"/>
        </w:rPr>
      </w:pPr>
      <w:r w:rsidRPr="00F06958">
        <w:rPr>
          <w:rFonts w:ascii="Arial" w:eastAsia="Times New Roman" w:hAnsi="Arial" w:cs="Arial"/>
          <w:bCs/>
          <w:lang w:val="es-MX" w:eastAsia="x-none"/>
        </w:rPr>
        <w:t xml:space="preserve">El ámbito material de la prohibición contenida </w:t>
      </w:r>
      <w:bookmarkStart w:id="21" w:name="_Hlk75628761"/>
      <w:r w:rsidRPr="00F06958">
        <w:rPr>
          <w:rFonts w:ascii="Arial" w:eastAsia="Times New Roman" w:hAnsi="Arial" w:cs="Arial"/>
          <w:bCs/>
          <w:lang w:val="es-MX" w:eastAsia="x-none"/>
        </w:rPr>
        <w:t xml:space="preserve">en el artículo 33 de la ley 996 de 2005 </w:t>
      </w:r>
      <w:bookmarkEnd w:id="21"/>
      <w:r w:rsidRPr="00F06958">
        <w:rPr>
          <w:rFonts w:ascii="Arial" w:eastAsia="Times New Roman" w:hAnsi="Arial" w:cs="Arial"/>
          <w:bCs/>
          <w:lang w:val="es-MX" w:eastAsia="x-none"/>
        </w:rPr>
        <w:t xml:space="preserve">está delimitado por la expresión </w:t>
      </w:r>
      <w:r w:rsidRPr="00F06958">
        <w:rPr>
          <w:rFonts w:ascii="Arial" w:eastAsia="Calibri" w:hAnsi="Arial" w:cs="Arial"/>
          <w:bCs/>
          <w:sz w:val="20"/>
          <w:szCs w:val="20"/>
          <w:lang w:val="es-MX"/>
        </w:rPr>
        <w:t>«</w:t>
      </w:r>
      <w:r w:rsidRPr="00F06958">
        <w:rPr>
          <w:rFonts w:ascii="Arial" w:eastAsia="Times New Roman" w:hAnsi="Arial" w:cs="Arial"/>
          <w:bCs/>
          <w:lang w:val="es-MX" w:eastAsia="x-none"/>
        </w:rPr>
        <w:t>queda prohibida la contratación directa</w:t>
      </w:r>
      <w:r w:rsidRPr="00F06958">
        <w:rPr>
          <w:rFonts w:ascii="Arial" w:eastAsia="Calibri" w:hAnsi="Arial" w:cs="Arial"/>
          <w:sz w:val="20"/>
          <w:szCs w:val="20"/>
          <w:lang w:val="es-MX"/>
        </w:rPr>
        <w:t>»</w:t>
      </w:r>
      <w:r w:rsidRPr="00F06958">
        <w:rPr>
          <w:rFonts w:ascii="Arial" w:eastAsia="Times New Roman" w:hAnsi="Arial" w:cs="Arial"/>
          <w:bCs/>
          <w:lang w:val="es-MX" w:eastAsia="x-none"/>
        </w:rPr>
        <w:t>.</w:t>
      </w:r>
      <w:r w:rsidRPr="00F06958">
        <w:rPr>
          <w:rFonts w:ascii="Arial" w:eastAsia="Times New Roman" w:hAnsi="Arial" w:cs="Arial"/>
          <w:lang w:val="es-MX" w:eastAsia="es-CO"/>
        </w:rPr>
        <w:t xml:space="preserve"> A propósito de </w:t>
      </w:r>
      <w:r w:rsidRPr="00F06958">
        <w:rPr>
          <w:rFonts w:ascii="Arial" w:eastAsia="Times New Roman" w:hAnsi="Arial" w:cs="Arial"/>
          <w:lang w:eastAsia="es-CO"/>
        </w:rPr>
        <w:t>esta restricción de la Ley de Garantías Electorales, la Sala de Consulta y Servicio Civil del Consejo de Estado ha considerado que:</w:t>
      </w:r>
    </w:p>
    <w:p w14:paraId="1F3369B3" w14:textId="77777777" w:rsidR="00F06958" w:rsidRPr="00F06958" w:rsidRDefault="00F06958" w:rsidP="00F06958">
      <w:pPr>
        <w:spacing w:after="0" w:line="276" w:lineRule="auto"/>
        <w:ind w:left="708" w:right="709"/>
        <w:jc w:val="both"/>
        <w:rPr>
          <w:rFonts w:ascii="Arial" w:eastAsia="Calibri" w:hAnsi="Arial" w:cs="Arial"/>
          <w:sz w:val="21"/>
          <w:szCs w:val="21"/>
          <w:lang w:val="es-MX"/>
        </w:rPr>
      </w:pPr>
    </w:p>
    <w:p w14:paraId="126AB074" w14:textId="77777777" w:rsidR="00F06958" w:rsidRPr="00F06958" w:rsidRDefault="00F06958" w:rsidP="00F06958">
      <w:pPr>
        <w:spacing w:after="120" w:line="240" w:lineRule="auto"/>
        <w:ind w:left="709" w:right="709"/>
        <w:jc w:val="both"/>
        <w:rPr>
          <w:rFonts w:ascii="Arial" w:eastAsia="Calibri" w:hAnsi="Arial" w:cs="Arial"/>
          <w:sz w:val="21"/>
          <w:szCs w:val="21"/>
          <w:lang w:val="es-MX"/>
        </w:rPr>
      </w:pPr>
      <w:r w:rsidRPr="00F06958">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F06958">
        <w:rPr>
          <w:rFonts w:ascii="Arial" w:eastAsia="Times New Roman" w:hAnsi="Arial" w:cs="Arial"/>
          <w:vertAlign w:val="superscript"/>
          <w:lang w:eastAsia="es-CO"/>
        </w:rPr>
        <w:footnoteReference w:id="10"/>
      </w:r>
      <w:r w:rsidRPr="00F06958">
        <w:rPr>
          <w:rFonts w:ascii="Arial" w:eastAsia="Calibri" w:hAnsi="Arial" w:cs="Arial"/>
          <w:sz w:val="21"/>
          <w:szCs w:val="21"/>
          <w:lang w:val="es-MX"/>
        </w:rPr>
        <w:t>.</w:t>
      </w:r>
    </w:p>
    <w:p w14:paraId="21FFFD00" w14:textId="77777777" w:rsidR="00F06958" w:rsidRPr="00F06958" w:rsidRDefault="00F06958" w:rsidP="00F06958">
      <w:pPr>
        <w:spacing w:after="0" w:line="240" w:lineRule="auto"/>
        <w:ind w:left="708" w:right="709"/>
        <w:jc w:val="both"/>
        <w:rPr>
          <w:rFonts w:ascii="Arial" w:eastAsia="Calibri" w:hAnsi="Arial" w:cs="Arial"/>
          <w:sz w:val="21"/>
          <w:szCs w:val="21"/>
          <w:lang w:val="es-MX"/>
        </w:rPr>
      </w:pPr>
      <w:r w:rsidRPr="00F06958">
        <w:rPr>
          <w:rFonts w:ascii="Arial" w:eastAsia="Calibri" w:hAnsi="Arial" w:cs="Arial"/>
          <w:sz w:val="21"/>
          <w:szCs w:val="21"/>
          <w:lang w:val="es-MX"/>
        </w:rPr>
        <w:t xml:space="preserve">Esta Sala ha entendido que para los efectos de la ley de garantías, y dada su finalidad, el enunciado ´contratación directa´ es sinónimo </w:t>
      </w:r>
      <w:bookmarkStart w:id="24" w:name="_Hlk75741738"/>
      <w:r w:rsidRPr="00F06958">
        <w:rPr>
          <w:rFonts w:ascii="Arial" w:eastAsia="Calibri" w:hAnsi="Arial" w:cs="Arial"/>
          <w:sz w:val="21"/>
          <w:szCs w:val="21"/>
          <w:lang w:val="es-MX"/>
        </w:rPr>
        <w:t xml:space="preserve">de cualquier sistema que no implique convocatoria pública y posibilidad de pluralidad de oferentes, </w:t>
      </w:r>
      <w:bookmarkEnd w:id="24"/>
      <w:r w:rsidRPr="00F06958">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F06958">
        <w:rPr>
          <w:rFonts w:ascii="Arial" w:eastAsia="Times New Roman" w:hAnsi="Arial" w:cs="Arial"/>
          <w:sz w:val="21"/>
          <w:szCs w:val="21"/>
          <w:vertAlign w:val="superscript"/>
          <w:lang w:val="es-MX"/>
        </w:rPr>
        <w:footnoteReference w:id="11"/>
      </w:r>
      <w:r w:rsidRPr="00F06958">
        <w:rPr>
          <w:rFonts w:ascii="Arial" w:eastAsia="Times New Roman" w:hAnsi="Arial" w:cs="Arial"/>
          <w:sz w:val="21"/>
          <w:szCs w:val="21"/>
          <w:vertAlign w:val="superscript"/>
          <w:lang w:val="es-MX"/>
        </w:rPr>
        <w:t>.</w:t>
      </w:r>
      <w:r w:rsidRPr="00F06958">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F06958">
        <w:rPr>
          <w:rFonts w:ascii="Arial" w:eastAsia="Times New Roman" w:hAnsi="Arial" w:cs="Arial"/>
          <w:vertAlign w:val="superscript"/>
          <w:lang w:eastAsia="es-CO"/>
        </w:rPr>
        <w:footnoteReference w:id="12"/>
      </w:r>
      <w:r w:rsidRPr="00F06958">
        <w:rPr>
          <w:rFonts w:ascii="Arial" w:eastAsia="Calibri" w:hAnsi="Arial" w:cs="Arial"/>
          <w:sz w:val="21"/>
          <w:szCs w:val="21"/>
          <w:lang w:val="es-MX"/>
        </w:rPr>
        <w:t xml:space="preserve"> .</w:t>
      </w:r>
    </w:p>
    <w:p w14:paraId="7499BEF1" w14:textId="77777777" w:rsidR="00F06958" w:rsidRPr="00F06958" w:rsidRDefault="00F06958" w:rsidP="00F06958">
      <w:pPr>
        <w:shd w:val="clear" w:color="auto" w:fill="FFFFFF"/>
        <w:spacing w:after="0" w:line="276" w:lineRule="auto"/>
        <w:ind w:firstLine="709"/>
        <w:jc w:val="both"/>
        <w:rPr>
          <w:rFonts w:ascii="Arial" w:eastAsia="Times New Roman" w:hAnsi="Arial" w:cs="Arial"/>
          <w:lang w:eastAsia="x-none"/>
        </w:rPr>
      </w:pPr>
    </w:p>
    <w:p w14:paraId="493F0A81" w14:textId="77777777" w:rsidR="00F06958" w:rsidRPr="00F06958" w:rsidRDefault="00F06958" w:rsidP="00F06958">
      <w:pPr>
        <w:spacing w:after="120" w:line="276" w:lineRule="auto"/>
        <w:ind w:firstLine="708"/>
        <w:jc w:val="both"/>
        <w:rPr>
          <w:rFonts w:ascii="Arial" w:eastAsia="Times New Roman" w:hAnsi="Arial" w:cs="Arial"/>
          <w:bCs/>
          <w:lang w:eastAsia="x-none"/>
        </w:rPr>
      </w:pPr>
      <w:bookmarkStart w:id="26" w:name="_Hlk94521748"/>
      <w:r w:rsidRPr="00F06958">
        <w:rPr>
          <w:rFonts w:ascii="Arial" w:eastAsia="Times New Roman" w:hAnsi="Arial" w:cs="Arial"/>
          <w:lang w:eastAsia="x-none"/>
        </w:rPr>
        <w:t xml:space="preserve">De conformidad con el citado concepto, </w:t>
      </w:r>
      <w:bookmarkStart w:id="27" w:name="_Hlk78818702"/>
      <w:r w:rsidRPr="00F06958">
        <w:rPr>
          <w:rFonts w:ascii="Arial" w:eastAsia="Times New Roman" w:hAnsi="Arial" w:cs="Arial"/>
          <w:lang w:eastAsia="x-none"/>
        </w:rPr>
        <w:t xml:space="preserve">la prohibición del artículo 33 de la Ley de Garantías Electorales se refiere a </w:t>
      </w:r>
      <w:bookmarkStart w:id="28" w:name="_Hlk74294635"/>
      <w:r w:rsidRPr="00F06958">
        <w:rPr>
          <w:rFonts w:ascii="Arial" w:eastAsia="Times New Roman" w:hAnsi="Arial" w:cs="Arial"/>
          <w:sz w:val="19"/>
          <w:szCs w:val="19"/>
          <w:lang w:eastAsia="en-GB"/>
        </w:rPr>
        <w:t>«</w:t>
      </w:r>
      <w:bookmarkEnd w:id="28"/>
      <w:r w:rsidRPr="00F06958">
        <w:rPr>
          <w:rFonts w:ascii="Arial" w:eastAsia="Times New Roman" w:hAnsi="Arial" w:cs="Arial"/>
          <w:lang w:eastAsia="x-none"/>
        </w:rPr>
        <w:t>cualquier sistema que no implique convocatoria pública y posibilidad de pluralidad de oferentes</w:t>
      </w:r>
      <w:bookmarkStart w:id="29" w:name="_Hlk74404754"/>
      <w:r w:rsidRPr="00F06958">
        <w:rPr>
          <w:rFonts w:ascii="Arial" w:eastAsia="Times New Roman" w:hAnsi="Arial" w:cs="Arial"/>
          <w:lang w:eastAsia="en-GB"/>
        </w:rPr>
        <w:t>»</w:t>
      </w:r>
      <w:bookmarkEnd w:id="29"/>
      <w:r w:rsidRPr="00F06958">
        <w:rPr>
          <w:rFonts w:ascii="Arial" w:eastAsia="Times New Roman" w:hAnsi="Arial"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6"/>
      <w:bookmarkEnd w:id="27"/>
      <w:r w:rsidRPr="00F06958">
        <w:rPr>
          <w:rFonts w:ascii="Arial" w:eastAsia="Times New Roman" w:hAnsi="Arial" w:cs="Arial"/>
          <w:lang w:eastAsia="x-none"/>
        </w:rPr>
        <w:t xml:space="preserve">Esta posición es congruente con la expedición de la Ley 1150 de 2007 </w:t>
      </w:r>
      <w:r w:rsidRPr="00F06958">
        <w:rPr>
          <w:rFonts w:ascii="Arial" w:eastAsia="Times New Roman" w:hAnsi="Arial" w:cs="Arial"/>
          <w:lang w:eastAsia="x-none"/>
        </w:rPr>
        <w:lastRenderedPageBreak/>
        <w:t>que, entre otras reformas, introdujo la selección abreviada, rediseñó el concurso de méritos</w:t>
      </w:r>
      <w:r w:rsidRPr="00F06958">
        <w:rPr>
          <w:rFonts w:ascii="Arial" w:eastAsia="Times New Roman" w:hAnsi="Arial" w:cs="Arial"/>
          <w:vertAlign w:val="superscript"/>
          <w:lang w:val="en-GB" w:eastAsia="x-none"/>
        </w:rPr>
        <w:footnoteReference w:id="13"/>
      </w:r>
      <w:r w:rsidRPr="00F06958">
        <w:rPr>
          <w:rFonts w:ascii="Arial" w:eastAsia="Times New Roman" w:hAnsi="Arial" w:cs="Arial"/>
          <w:lang w:eastAsia="x-none"/>
        </w:rPr>
        <w:t xml:space="preserve"> y sistematizó las causales de contratación directa</w:t>
      </w:r>
      <w:r w:rsidRPr="00F06958">
        <w:rPr>
          <w:rFonts w:ascii="Arial" w:eastAsia="Times New Roman" w:hAnsi="Arial" w:cs="Arial"/>
          <w:vertAlign w:val="superscript"/>
          <w:lang w:val="en-GB" w:eastAsia="x-none"/>
        </w:rPr>
        <w:footnoteReference w:id="14"/>
      </w:r>
      <w:r w:rsidRPr="00F06958">
        <w:rPr>
          <w:rFonts w:ascii="Arial" w:eastAsia="Times New Roman" w:hAnsi="Arial" w:cs="Arial"/>
          <w:lang w:eastAsia="x-none"/>
        </w:rPr>
        <w:t xml:space="preserve">. </w:t>
      </w:r>
    </w:p>
    <w:p w14:paraId="1282C085" w14:textId="77777777" w:rsidR="00F06958" w:rsidRPr="00F06958" w:rsidRDefault="00F06958" w:rsidP="00F06958">
      <w:pPr>
        <w:spacing w:after="120" w:line="276" w:lineRule="auto"/>
        <w:ind w:firstLine="708"/>
        <w:jc w:val="both"/>
        <w:rPr>
          <w:rFonts w:ascii="Arial" w:eastAsia="Times New Roman" w:hAnsi="Arial" w:cs="Arial"/>
          <w:lang w:val="es-MX" w:eastAsia="x-none"/>
        </w:rPr>
      </w:pPr>
      <w:r w:rsidRPr="00F06958">
        <w:rPr>
          <w:rFonts w:ascii="Arial" w:eastAsia="Times New Roman" w:hAnsi="Arial" w:cs="Arial"/>
          <w:lang w:eastAsia="x-none"/>
        </w:rPr>
        <w:t xml:space="preserve">De esta forma, se ha depurado la noción de </w:t>
      </w:r>
      <w:r w:rsidRPr="00F06958">
        <w:rPr>
          <w:rFonts w:ascii="Arial" w:eastAsia="Times New Roman" w:hAnsi="Arial" w:cs="Arial"/>
          <w:sz w:val="19"/>
          <w:szCs w:val="19"/>
          <w:lang w:eastAsia="en-GB"/>
        </w:rPr>
        <w:t>«</w:t>
      </w:r>
      <w:r w:rsidRPr="00F06958">
        <w:rPr>
          <w:rFonts w:ascii="Arial" w:eastAsia="Times New Roman" w:hAnsi="Arial" w:cs="Arial"/>
          <w:lang w:eastAsia="x-none"/>
        </w:rPr>
        <w:t>contratación directa</w:t>
      </w:r>
      <w:r w:rsidRPr="00F06958">
        <w:rPr>
          <w:rFonts w:ascii="Arial" w:eastAsia="Times New Roman" w:hAnsi="Arial" w:cs="Arial"/>
          <w:lang w:eastAsia="en-GB"/>
        </w:rPr>
        <w:t>»</w:t>
      </w:r>
      <w:r w:rsidRPr="00F06958">
        <w:rPr>
          <w:rFonts w:ascii="Arial" w:eastAsia="Times New Roman"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F06958">
        <w:rPr>
          <w:rFonts w:ascii="Arial" w:eastAsia="Times New Roman" w:hAnsi="Arial" w:cs="Arial"/>
          <w:vertAlign w:val="superscript"/>
          <w:lang w:val="en-GB" w:eastAsia="x-none"/>
        </w:rPr>
        <w:footnoteReference w:id="15"/>
      </w:r>
      <w:r w:rsidRPr="00F06958">
        <w:rPr>
          <w:rFonts w:ascii="Arial" w:eastAsia="Times New Roman" w:hAnsi="Arial" w:cs="Arial"/>
          <w:lang w:eastAsia="x-none"/>
        </w:rPr>
        <w:t>, han establecido sistemas de contratación que implican convocatoria pública y participación de varios oferentes</w:t>
      </w:r>
      <w:r w:rsidRPr="00F06958">
        <w:rPr>
          <w:rFonts w:ascii="Arial" w:eastAsia="Times New Roman" w:hAnsi="Arial" w:cs="Arial"/>
          <w:lang w:eastAsia="en-GB"/>
        </w:rPr>
        <w:t>»</w:t>
      </w:r>
      <w:r w:rsidRPr="00F06958">
        <w:rPr>
          <w:rFonts w:ascii="Arial" w:eastAsia="Times New Roman" w:hAnsi="Arial" w:cs="Arial"/>
          <w:lang w:eastAsia="x-none"/>
        </w:rPr>
        <w:t xml:space="preserve">. </w:t>
      </w:r>
    </w:p>
    <w:p w14:paraId="3D2076FF" w14:textId="77777777" w:rsidR="00F06958" w:rsidRPr="00F06958" w:rsidRDefault="00F06958" w:rsidP="00F06958">
      <w:pPr>
        <w:spacing w:after="120" w:line="276" w:lineRule="auto"/>
        <w:ind w:firstLine="708"/>
        <w:jc w:val="both"/>
        <w:rPr>
          <w:rFonts w:ascii="Arial" w:eastAsia="Times New Roman" w:hAnsi="Arial" w:cs="Arial"/>
          <w:bCs/>
          <w:lang w:val="es-MX" w:eastAsia="es-CO"/>
        </w:rPr>
      </w:pPr>
      <w:r w:rsidRPr="00F06958">
        <w:rPr>
          <w:rFonts w:ascii="Arial" w:eastAsia="Times New Roman" w:hAnsi="Arial" w:cs="Arial"/>
          <w:bCs/>
          <w:lang w:val="es-MX" w:eastAsia="x-none"/>
        </w:rPr>
        <w:t>E</w:t>
      </w:r>
      <w:r w:rsidRPr="00F06958">
        <w:rPr>
          <w:rFonts w:ascii="Arial" w:eastAsia="Times New Roman" w:hAnsi="Arial" w:cs="Arial"/>
          <w:lang w:eastAsia="x-none"/>
        </w:rPr>
        <w:t xml:space="preserve">n efecto, vale la pena mencionar que, </w:t>
      </w:r>
      <w:bookmarkStart w:id="31" w:name="_Hlk75636073"/>
      <w:r w:rsidRPr="00F06958">
        <w:rPr>
          <w:rFonts w:ascii="Arial" w:eastAsia="Times New Roman" w:hAnsi="Arial"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1"/>
      <w:r w:rsidRPr="00F06958">
        <w:rPr>
          <w:rFonts w:ascii="Arial" w:eastAsia="Times New Roman" w:hAnsi="Arial" w:cs="Arial"/>
          <w:vertAlign w:val="superscript"/>
          <w:lang w:eastAsia="x-none"/>
        </w:rPr>
        <w:footnoteReference w:id="16"/>
      </w:r>
      <w:r w:rsidRPr="00F06958">
        <w:rPr>
          <w:rFonts w:ascii="Arial" w:eastAsia="Times New Roman" w:hAnsi="Arial" w:cs="Arial"/>
          <w:lang w:eastAsia="x-none"/>
        </w:rPr>
        <w:t xml:space="preserve">. </w:t>
      </w:r>
    </w:p>
    <w:p w14:paraId="2181F5D2" w14:textId="77777777" w:rsidR="00F06958" w:rsidRPr="00F06958" w:rsidRDefault="00F06958" w:rsidP="00F06958">
      <w:pPr>
        <w:spacing w:after="120" w:line="276" w:lineRule="auto"/>
        <w:ind w:firstLine="708"/>
        <w:jc w:val="both"/>
        <w:rPr>
          <w:rFonts w:ascii="Arial" w:eastAsia="Times New Roman" w:hAnsi="Arial" w:cs="Arial"/>
          <w:bCs/>
          <w:lang w:val="es-MX" w:eastAsia="es-CO"/>
        </w:rPr>
      </w:pPr>
      <w:r w:rsidRPr="00F06958">
        <w:rPr>
          <w:rFonts w:ascii="Arial" w:eastAsia="Times New Roman" w:hAnsi="Arial" w:cs="Arial"/>
          <w:bCs/>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1C04352" w14:textId="77777777" w:rsidR="00F06958" w:rsidRPr="00F06958" w:rsidRDefault="00F06958" w:rsidP="00F06958">
      <w:pPr>
        <w:spacing w:after="120" w:line="276" w:lineRule="auto"/>
        <w:ind w:firstLine="708"/>
        <w:jc w:val="both"/>
        <w:rPr>
          <w:rFonts w:ascii="Arial" w:eastAsia="Times New Roman" w:hAnsi="Arial" w:cs="Arial"/>
          <w:bCs/>
          <w:lang w:val="es-MX" w:eastAsia="x-none"/>
        </w:rPr>
      </w:pPr>
      <w:bookmarkStart w:id="32" w:name="_Hlk78818796"/>
      <w:r w:rsidRPr="00F06958">
        <w:rPr>
          <w:rFonts w:ascii="Arial" w:eastAsia="Times New Roman" w:hAnsi="Arial" w:cs="Arial"/>
          <w:bCs/>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w:t>
      </w:r>
      <w:r w:rsidRPr="00F06958">
        <w:rPr>
          <w:rFonts w:ascii="Arial" w:eastAsia="Times New Roman" w:hAnsi="Arial" w:cs="Arial"/>
          <w:bCs/>
          <w:lang w:val="es-MX" w:eastAsia="x-none"/>
        </w:rPr>
        <w:lastRenderedPageBreak/>
        <w:t>pública en alguna de sus etapas, ni permita la participación de una pluralidad de oferentes</w:t>
      </w:r>
      <w:r w:rsidRPr="00F06958">
        <w:rPr>
          <w:rFonts w:ascii="Arial" w:eastAsia="Times New Roman" w:hAnsi="Arial" w:cs="Arial"/>
          <w:vertAlign w:val="superscript"/>
          <w:lang w:eastAsia="x-none"/>
        </w:rPr>
        <w:footnoteReference w:id="17"/>
      </w:r>
      <w:r w:rsidRPr="00F06958">
        <w:rPr>
          <w:rFonts w:ascii="Arial" w:eastAsia="Times New Roman" w:hAnsi="Arial" w:cs="Arial"/>
          <w:bCs/>
          <w:lang w:val="es-MX" w:eastAsia="x-none"/>
        </w:rPr>
        <w:t>.</w:t>
      </w:r>
      <w:r w:rsidRPr="00F06958">
        <w:rPr>
          <w:rFonts w:ascii="Arial" w:eastAsia="Times New Roman" w:hAnsi="Arial" w:cs="Arial"/>
          <w:vertAlign w:val="superscript"/>
          <w:lang w:eastAsia="x-none"/>
        </w:rPr>
        <w:t xml:space="preserve"> </w:t>
      </w:r>
    </w:p>
    <w:bookmarkEnd w:id="32"/>
    <w:p w14:paraId="17E365F3" w14:textId="77777777" w:rsidR="00F06958" w:rsidRPr="00F06958" w:rsidRDefault="00F06958" w:rsidP="00F06958">
      <w:pPr>
        <w:spacing w:after="120" w:line="276" w:lineRule="auto"/>
        <w:ind w:firstLine="708"/>
        <w:jc w:val="both"/>
        <w:rPr>
          <w:rFonts w:ascii="Arial" w:eastAsia="Times New Roman" w:hAnsi="Arial" w:cs="Arial"/>
          <w:lang w:eastAsia="x-none"/>
        </w:rPr>
      </w:pPr>
      <w:r w:rsidRPr="00F06958">
        <w:rPr>
          <w:rFonts w:ascii="Arial" w:eastAsia="Times New Roman"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F06958">
        <w:rPr>
          <w:rFonts w:ascii="Arial" w:eastAsia="Times New Roman" w:hAnsi="Arial" w:cs="Arial"/>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09CAE7DC" w14:textId="77777777" w:rsidR="00F06958" w:rsidRPr="00F06958" w:rsidRDefault="00F06958" w:rsidP="00F06958">
      <w:pPr>
        <w:spacing w:after="120" w:line="276" w:lineRule="auto"/>
        <w:ind w:firstLine="708"/>
        <w:jc w:val="both"/>
        <w:rPr>
          <w:rFonts w:ascii="Arial" w:eastAsia="Times New Roman" w:hAnsi="Arial" w:cs="Arial"/>
          <w:bCs/>
          <w:lang w:val="es-MX" w:eastAsia="x-none"/>
        </w:rPr>
      </w:pPr>
      <w:bookmarkStart w:id="33" w:name="_Hlk77237094"/>
      <w:r w:rsidRPr="00F06958">
        <w:rPr>
          <w:rFonts w:ascii="Arial" w:eastAsia="Times New Roman" w:hAnsi="Arial" w:cs="Arial"/>
          <w:bCs/>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3"/>
    </w:p>
    <w:p w14:paraId="482D8876" w14:textId="77777777" w:rsidR="00F06958" w:rsidRPr="00F06958" w:rsidRDefault="00F06958" w:rsidP="00F06958">
      <w:pPr>
        <w:spacing w:after="120" w:line="276" w:lineRule="auto"/>
        <w:ind w:firstLine="708"/>
        <w:jc w:val="both"/>
        <w:rPr>
          <w:rFonts w:ascii="Arial" w:eastAsia="Times New Roman" w:hAnsi="Arial" w:cs="Arial"/>
          <w:bCs/>
          <w:lang w:val="es-MX" w:eastAsia="es-CO"/>
        </w:rPr>
      </w:pPr>
      <w:r w:rsidRPr="00F06958">
        <w:rPr>
          <w:rFonts w:ascii="Arial" w:eastAsia="Times New Roman" w:hAnsi="Arial" w:cs="Arial"/>
          <w:bCs/>
          <w:lang w:val="es-MX"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F06958">
        <w:rPr>
          <w:rFonts w:ascii="Arial" w:eastAsia="Times New Roman" w:hAnsi="Arial" w:cs="Arial"/>
          <w:bCs/>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5D8F0C9" w14:textId="0651C10B" w:rsidR="00F06958" w:rsidRPr="00F06958" w:rsidRDefault="00F06958" w:rsidP="00F06958">
      <w:pPr>
        <w:spacing w:after="0" w:line="276" w:lineRule="auto"/>
        <w:ind w:firstLine="708"/>
        <w:jc w:val="both"/>
        <w:rPr>
          <w:rFonts w:ascii="Arial" w:eastAsia="Times New Roman" w:hAnsi="Arial" w:cs="Arial"/>
          <w:bCs/>
          <w:lang w:val="es-MX" w:eastAsia="x-none"/>
        </w:rPr>
      </w:pPr>
      <w:r w:rsidRPr="00F06958">
        <w:rPr>
          <w:rFonts w:ascii="Arial" w:eastAsia="Times New Roman" w:hAnsi="Arial" w:cs="Arial"/>
          <w:bCs/>
          <w:lang w:val="es-MX" w:eastAsia="x-none"/>
        </w:rPr>
        <w:t>En esta labor es importante tener en cuenta, como lo anotó la Corte Constitucional, en Sentencia C-1153 de noviembre 11 de 2005</w:t>
      </w:r>
      <w:r w:rsidR="003D2E3F">
        <w:rPr>
          <w:rFonts w:ascii="Arial" w:eastAsia="Times New Roman" w:hAnsi="Arial" w:cs="Arial"/>
          <w:bCs/>
          <w:lang w:val="es-MX" w:eastAsia="x-none"/>
        </w:rPr>
        <w:t>,</w:t>
      </w:r>
      <w:r w:rsidRPr="00F06958">
        <w:rPr>
          <w:rFonts w:ascii="Arial" w:eastAsia="Times New Roman" w:hAnsi="Arial" w:cs="Arial"/>
          <w:bCs/>
          <w:lang w:val="es-MX" w:eastAsia="x-none"/>
        </w:rPr>
        <w:t xml:space="preserve"> </w:t>
      </w:r>
      <w:bookmarkStart w:id="34" w:name="_Hlk74309042"/>
      <w:r w:rsidRPr="00F06958">
        <w:rPr>
          <w:rFonts w:ascii="Arial" w:eastAsia="Times New Roman" w:hAnsi="Arial" w:cs="Arial"/>
          <w:bCs/>
          <w:lang w:val="es-MX" w:eastAsia="x-none"/>
        </w:rPr>
        <w:t>que «</w:t>
      </w:r>
      <w:bookmarkEnd w:id="34"/>
      <w:r w:rsidRPr="00F06958">
        <w:rPr>
          <w:rFonts w:ascii="Arial" w:eastAsia="Times New Roman" w:hAnsi="Arial" w:cs="Arial"/>
          <w:bCs/>
          <w:lang w:val="es-MX" w:eastAsia="x-none"/>
        </w:rPr>
        <w:t xml:space="preserve">si bien la limitación garantiza la igualdad de condiciones, también es necesario que tal limitación que pretende la igualdad </w:t>
      </w:r>
      <w:bookmarkStart w:id="35" w:name="_Hlk75768308"/>
      <w:r w:rsidRPr="00F06958">
        <w:rPr>
          <w:rFonts w:ascii="Arial" w:eastAsia="Times New Roman" w:hAnsi="Arial" w:cs="Arial"/>
          <w:bCs/>
          <w:lang w:val="es-MX" w:eastAsia="x-none"/>
        </w:rPr>
        <w:t>no termine yendo en detrimento de intereses públicos, cuya garantía está en cabeza del ejecutivo, como son los inmersos en las excepciones para la prohibición de contratación</w:t>
      </w:r>
      <w:bookmarkStart w:id="36" w:name="_Hlk74309060"/>
      <w:r w:rsidRPr="00F06958">
        <w:rPr>
          <w:rFonts w:ascii="Arial" w:eastAsia="Times New Roman" w:hAnsi="Arial" w:cs="Arial"/>
          <w:bCs/>
          <w:lang w:val="es-MX" w:eastAsia="x-none"/>
        </w:rPr>
        <w:t>»</w:t>
      </w:r>
      <w:bookmarkEnd w:id="36"/>
      <w:r w:rsidRPr="00F06958">
        <w:rPr>
          <w:rFonts w:ascii="Arial" w:eastAsia="Calibri" w:hAnsi="Arial" w:cs="Arial"/>
          <w:vertAlign w:val="superscript"/>
          <w:lang w:val="es-MX"/>
        </w:rPr>
        <w:footnoteReference w:id="18"/>
      </w:r>
      <w:r w:rsidRPr="00F06958">
        <w:rPr>
          <w:rFonts w:ascii="Arial" w:eastAsia="Times New Roman" w:hAnsi="Arial" w:cs="Arial"/>
          <w:bCs/>
          <w:lang w:val="es-MX" w:eastAsia="x-none"/>
        </w:rPr>
        <w:t xml:space="preserve">. De ahí que la Corte haya hecho particular énfasis en que las excepciones a la restricción protegen diversos tipos de </w:t>
      </w:r>
      <w:r w:rsidRPr="00F06958">
        <w:rPr>
          <w:rFonts w:ascii="Arial" w:eastAsia="Times New Roman" w:hAnsi="Arial" w:cs="Arial"/>
          <w:bCs/>
          <w:lang w:val="es-MX" w:eastAsia="x-none"/>
        </w:rPr>
        <w:lastRenderedPageBreak/>
        <w:t>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7" w:name="_Hlk75783800"/>
      <w:bookmarkEnd w:id="35"/>
    </w:p>
    <w:p w14:paraId="3E9A014C" w14:textId="77777777" w:rsidR="00F06958" w:rsidRPr="00F06958" w:rsidRDefault="00F06958" w:rsidP="00F06958">
      <w:pPr>
        <w:spacing w:after="0" w:line="276" w:lineRule="auto"/>
        <w:ind w:firstLine="708"/>
        <w:jc w:val="both"/>
        <w:rPr>
          <w:rFonts w:ascii="Arial" w:eastAsia="Times New Roman" w:hAnsi="Arial" w:cs="Arial"/>
          <w:bCs/>
          <w:lang w:val="es-MX" w:eastAsia="x-none"/>
        </w:rPr>
      </w:pPr>
    </w:p>
    <w:p w14:paraId="353095E1" w14:textId="77777777" w:rsidR="00F06958" w:rsidRPr="00F06958" w:rsidRDefault="00F06958" w:rsidP="00F06958">
      <w:pPr>
        <w:spacing w:after="0" w:line="276" w:lineRule="auto"/>
        <w:jc w:val="both"/>
        <w:rPr>
          <w:rFonts w:ascii="Arial" w:eastAsia="Times New Roman" w:hAnsi="Arial" w:cs="Arial"/>
          <w:b/>
          <w:lang w:val="es-MX" w:eastAsia="x-none"/>
        </w:rPr>
      </w:pPr>
      <w:r w:rsidRPr="00F06958">
        <w:rPr>
          <w:rFonts w:ascii="Arial" w:eastAsia="Times New Roman" w:hAnsi="Arial" w:cs="Arial"/>
          <w:b/>
          <w:lang w:val="es-MX" w:eastAsia="x-none"/>
        </w:rPr>
        <w:t>2.3.  Destinatarios de la restricción del artículo 33 de la Ley 996 de 2005</w:t>
      </w:r>
    </w:p>
    <w:p w14:paraId="23F2A757" w14:textId="77777777" w:rsidR="00F06958" w:rsidRPr="00F06958" w:rsidRDefault="00F06958" w:rsidP="00F06958">
      <w:pPr>
        <w:spacing w:after="0" w:line="276" w:lineRule="auto"/>
        <w:jc w:val="both"/>
        <w:rPr>
          <w:rFonts w:ascii="Arial" w:eastAsia="Times New Roman" w:hAnsi="Arial" w:cs="Arial"/>
          <w:bCs/>
          <w:lang w:val="es-MX" w:eastAsia="x-none"/>
        </w:rPr>
      </w:pPr>
    </w:p>
    <w:p w14:paraId="2F0A7CD6" w14:textId="77777777" w:rsidR="00F06958" w:rsidRPr="00F06958" w:rsidRDefault="00F06958" w:rsidP="00F06958">
      <w:pPr>
        <w:spacing w:after="0" w:line="276" w:lineRule="auto"/>
        <w:jc w:val="both"/>
        <w:rPr>
          <w:rFonts w:ascii="Arial" w:eastAsia="Times New Roman" w:hAnsi="Arial" w:cs="Arial"/>
          <w:bCs/>
          <w:lang w:val="es-MX" w:eastAsia="x-none"/>
        </w:rPr>
      </w:pPr>
      <w:bookmarkStart w:id="38" w:name="_Hlk99438356"/>
      <w:r w:rsidRPr="00F06958">
        <w:rPr>
          <w:rFonts w:ascii="Arial" w:eastAsia="Times New Roman" w:hAnsi="Arial" w:cs="Arial"/>
          <w:bCs/>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F06958">
        <w:rPr>
          <w:rFonts w:ascii="Calibri" w:eastAsia="Calibri" w:hAnsi="Calibri" w:cs="Times New Roman"/>
          <w:sz w:val="24"/>
          <w:lang w:val="es-MX"/>
        </w:rPr>
        <w:t xml:space="preserve"> </w:t>
      </w:r>
      <w:r w:rsidRPr="00F06958">
        <w:rPr>
          <w:rFonts w:ascii="Arial" w:eastAsia="Times New Roman" w:hAnsi="Arial" w:cs="Arial"/>
          <w:bCs/>
          <w:lang w:val="es-MX" w:eastAsia="x-none"/>
        </w:rPr>
        <w:t xml:space="preserve">En efecto, tal como lo ha sostenido el Consejo de Estado, el vocablo </w:t>
      </w:r>
      <w:bookmarkStart w:id="39" w:name="_Hlk75632581"/>
      <w:r w:rsidRPr="00F06958">
        <w:rPr>
          <w:rFonts w:ascii="Arial" w:eastAsia="Times New Roman" w:hAnsi="Arial" w:cs="Arial"/>
          <w:bCs/>
          <w:lang w:val="es-MX" w:eastAsia="x-none"/>
        </w:rPr>
        <w:t>«</w:t>
      </w:r>
      <w:bookmarkEnd w:id="39"/>
      <w:r w:rsidRPr="00F06958">
        <w:rPr>
          <w:rFonts w:ascii="Arial" w:eastAsia="Times New Roman" w:hAnsi="Arial" w:cs="Arial"/>
          <w:bCs/>
          <w:lang w:val="es-MX" w:eastAsia="x-none"/>
        </w:rPr>
        <w:t>todos» utilizado por el legislador comprende</w:t>
      </w:r>
      <w:r w:rsidRPr="00F06958">
        <w:rPr>
          <w:rFonts w:ascii="Calibri" w:eastAsia="Calibri" w:hAnsi="Calibri" w:cs="Times New Roman"/>
          <w:sz w:val="24"/>
          <w:lang w:val="es-MX"/>
        </w:rPr>
        <w:t xml:space="preserve"> </w:t>
      </w:r>
      <w:r w:rsidRPr="00F06958">
        <w:rPr>
          <w:rFonts w:ascii="Arial" w:eastAsia="Times New Roman" w:hAnsi="Arial" w:cs="Arial"/>
          <w:bCs/>
          <w:lang w:val="es-MX" w:eastAsia="x-none"/>
        </w:rPr>
        <w:t>a la totalidad de los entes del Estado, sin distinción del régimen jurídico, forma de organización o naturaleza, su pertenencia a una u otra rama del poder público o su autonomía</w:t>
      </w:r>
      <w:bookmarkEnd w:id="37"/>
      <w:r w:rsidRPr="00F06958">
        <w:rPr>
          <w:rFonts w:ascii="Arial" w:eastAsia="Times New Roman" w:hAnsi="Arial" w:cs="Arial"/>
          <w:bCs/>
          <w:lang w:val="es-MX" w:eastAsia="x-none"/>
        </w:rPr>
        <w:t xml:space="preserve">, e incluso si las entidades estatales tienen régimen especial de contratación y están exceptuadas del ámbito de aplicación del Estatuto General de Contratación de la Administración Pública. </w:t>
      </w:r>
      <w:bookmarkEnd w:id="38"/>
      <w:r w:rsidRPr="00F06958">
        <w:rPr>
          <w:rFonts w:ascii="Arial" w:eastAsia="Times New Roman" w:hAnsi="Arial" w:cs="Arial"/>
          <w:bCs/>
          <w:lang w:val="es-MX" w:eastAsia="x-none"/>
        </w:rPr>
        <w:t xml:space="preserve">El Consejo de Estado, en Concepto con radicado 1727 de fecha 20 de febrero de 2006, consideró que: </w:t>
      </w:r>
    </w:p>
    <w:p w14:paraId="4063FB7A" w14:textId="77777777" w:rsidR="00F06958" w:rsidRPr="00F06958" w:rsidRDefault="00F06958" w:rsidP="00F06958">
      <w:pPr>
        <w:spacing w:after="0" w:line="276" w:lineRule="auto"/>
        <w:ind w:firstLine="708"/>
        <w:jc w:val="both"/>
        <w:rPr>
          <w:rFonts w:ascii="Arial" w:eastAsia="Times New Roman" w:hAnsi="Arial" w:cs="Arial"/>
          <w:bCs/>
          <w:lang w:val="es-MX" w:eastAsia="x-none"/>
        </w:rPr>
      </w:pPr>
    </w:p>
    <w:p w14:paraId="56B35A13" w14:textId="77777777" w:rsidR="00F06958" w:rsidRPr="00F06958" w:rsidRDefault="00F06958" w:rsidP="00F06958">
      <w:pPr>
        <w:spacing w:after="0" w:line="240" w:lineRule="auto"/>
        <w:ind w:left="708" w:right="709"/>
        <w:jc w:val="both"/>
        <w:rPr>
          <w:rFonts w:ascii="Arial" w:eastAsia="Times New Roman" w:hAnsi="Arial" w:cs="Arial"/>
          <w:bCs/>
          <w:sz w:val="21"/>
          <w:szCs w:val="21"/>
          <w:lang w:val="es-MX" w:eastAsia="es-CO"/>
        </w:rPr>
      </w:pPr>
      <w:r w:rsidRPr="00F06958">
        <w:rPr>
          <w:rFonts w:ascii="Arial" w:eastAsia="Times New Roman" w:hAnsi="Arial" w:cs="Arial"/>
          <w:bCs/>
          <w:sz w:val="21"/>
          <w:szCs w:val="21"/>
          <w:lang w:val="es-MX" w:eastAsia="x-none"/>
        </w:rPr>
        <w:t xml:space="preserve">El artículo 33 de la ley 996 de 2005, </w:t>
      </w:r>
      <w:bookmarkStart w:id="40" w:name="_Hlk75787147"/>
      <w:r w:rsidRPr="00F06958">
        <w:rPr>
          <w:rFonts w:ascii="Arial" w:eastAsia="Times New Roman" w:hAnsi="Arial" w:cs="Arial"/>
          <w:bCs/>
          <w:sz w:val="21"/>
          <w:szCs w:val="21"/>
          <w:lang w:val="es-MX" w:eastAsia="x-none"/>
        </w:rPr>
        <w:t xml:space="preserve">efectivamente se aplica </w:t>
      </w:r>
      <w:bookmarkStart w:id="41" w:name="_Hlk76074089"/>
      <w:r w:rsidRPr="00F06958">
        <w:rPr>
          <w:rFonts w:ascii="Arial" w:eastAsia="Times New Roman" w:hAnsi="Arial" w:cs="Arial"/>
          <w:bCs/>
          <w:sz w:val="21"/>
          <w:szCs w:val="21"/>
          <w:lang w:val="es-MX" w:eastAsia="x-none"/>
        </w:rPr>
        <w:t>incluso a las entidades estatales con régimen especial de contratación y que están exceptuadas del ámbito de aplicación del Estatuto General de Contratación de la Administración Pública</w:t>
      </w:r>
      <w:bookmarkEnd w:id="41"/>
      <w:r w:rsidRPr="00F06958">
        <w:rPr>
          <w:rFonts w:ascii="Arial" w:eastAsia="Times New Roman" w:hAnsi="Arial" w:cs="Arial"/>
          <w:bCs/>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F06958">
        <w:rPr>
          <w:rFonts w:ascii="Arial" w:eastAsia="Times New Roman" w:hAnsi="Arial" w:cs="Arial"/>
          <w:bCs/>
          <w:sz w:val="21"/>
          <w:szCs w:val="21"/>
          <w:vertAlign w:val="superscript"/>
          <w:lang w:val="es-MX" w:eastAsia="x-none"/>
        </w:rPr>
        <w:footnoteReference w:id="19"/>
      </w:r>
      <w:r w:rsidRPr="00F06958">
        <w:rPr>
          <w:rFonts w:ascii="Arial" w:eastAsia="Times New Roman" w:hAnsi="Arial" w:cs="Arial"/>
          <w:bCs/>
          <w:sz w:val="21"/>
          <w:szCs w:val="21"/>
          <w:lang w:val="es-MX" w:eastAsia="x-none"/>
        </w:rPr>
        <w:t>.</w:t>
      </w:r>
      <w:r w:rsidRPr="00F06958">
        <w:rPr>
          <w:rFonts w:ascii="Arial" w:eastAsia="Times New Roman" w:hAnsi="Arial" w:cs="Arial"/>
          <w:bCs/>
          <w:sz w:val="21"/>
          <w:szCs w:val="21"/>
          <w:lang w:val="es-MX" w:eastAsia="es-CO"/>
        </w:rPr>
        <w:t xml:space="preserve"> </w:t>
      </w:r>
    </w:p>
    <w:p w14:paraId="3993742D" w14:textId="77777777" w:rsidR="00F06958" w:rsidRPr="00F06958" w:rsidRDefault="00F06958" w:rsidP="00F06958">
      <w:pPr>
        <w:spacing w:after="0" w:line="276" w:lineRule="auto"/>
        <w:ind w:firstLine="708"/>
        <w:jc w:val="both"/>
        <w:rPr>
          <w:rFonts w:ascii="Arial" w:eastAsia="Times New Roman" w:hAnsi="Arial" w:cs="Arial"/>
          <w:bCs/>
          <w:lang w:val="es-MX" w:eastAsia="es-CO"/>
        </w:rPr>
      </w:pPr>
    </w:p>
    <w:p w14:paraId="68DCC40D" w14:textId="77777777" w:rsidR="00F06958" w:rsidRPr="00F06958" w:rsidRDefault="00F06958" w:rsidP="00F06958">
      <w:pPr>
        <w:spacing w:after="0" w:line="276" w:lineRule="auto"/>
        <w:ind w:firstLine="708"/>
        <w:jc w:val="both"/>
        <w:rPr>
          <w:rFonts w:ascii="Arial" w:eastAsia="Calibri" w:hAnsi="Arial" w:cs="Arial"/>
          <w:lang w:val="es-MX"/>
        </w:rPr>
      </w:pPr>
      <w:r w:rsidRPr="00F06958">
        <w:rPr>
          <w:rFonts w:ascii="Arial" w:eastAsia="Times New Roman" w:hAnsi="Arial" w:cs="Arial"/>
          <w:bCs/>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2" w:name="_Hlk75635823"/>
      <w:r w:rsidRPr="00F06958">
        <w:rPr>
          <w:rFonts w:ascii="Arial" w:eastAsia="Times New Roman" w:hAnsi="Arial" w:cs="Arial"/>
          <w:bCs/>
          <w:lang w:val="es-MX" w:eastAsia="x-none"/>
        </w:rPr>
        <w:t>»</w:t>
      </w:r>
      <w:bookmarkStart w:id="43" w:name="_Hlk75758868"/>
      <w:bookmarkStart w:id="44" w:name="_Hlk75741220"/>
      <w:bookmarkEnd w:id="42"/>
      <w:r w:rsidRPr="00F06958">
        <w:rPr>
          <w:rFonts w:ascii="Arial" w:eastAsia="Calibri" w:hAnsi="Arial" w:cs="Arial"/>
          <w:sz w:val="24"/>
          <w:vertAlign w:val="superscript"/>
          <w:lang w:val="es-MX"/>
        </w:rPr>
        <w:footnoteReference w:id="20"/>
      </w:r>
      <w:bookmarkEnd w:id="43"/>
      <w:bookmarkEnd w:id="44"/>
      <w:r w:rsidRPr="00F06958">
        <w:rPr>
          <w:rFonts w:ascii="Arial" w:eastAsia="Times New Roman" w:hAnsi="Arial" w:cs="Arial"/>
          <w:bCs/>
          <w:lang w:val="es-MX" w:eastAsia="x-none"/>
        </w:rPr>
        <w:t>.</w:t>
      </w:r>
      <w:r w:rsidRPr="00F06958">
        <w:rPr>
          <w:rFonts w:ascii="Arial" w:eastAsia="Calibri" w:hAnsi="Arial" w:cs="Arial"/>
          <w:lang w:val="es-MX"/>
        </w:rPr>
        <w:t xml:space="preserve"> Sin embargo, debe precisarse el siguiente aspecto que distinguió la Sala de Consulta y Servicio Civil:</w:t>
      </w:r>
    </w:p>
    <w:p w14:paraId="785A2187" w14:textId="77777777" w:rsidR="00F06958" w:rsidRPr="00F06958" w:rsidRDefault="00F06958" w:rsidP="00F06958">
      <w:pPr>
        <w:spacing w:after="0" w:line="276" w:lineRule="auto"/>
        <w:jc w:val="both"/>
        <w:rPr>
          <w:rFonts w:ascii="Arial" w:eastAsia="Calibri" w:hAnsi="Arial" w:cs="Arial"/>
          <w:lang w:val="es-MX"/>
        </w:rPr>
      </w:pPr>
    </w:p>
    <w:p w14:paraId="34C52D15" w14:textId="77777777" w:rsidR="00F06958" w:rsidRPr="00F06958" w:rsidRDefault="00F06958" w:rsidP="00F06958">
      <w:pPr>
        <w:spacing w:after="0" w:line="240" w:lineRule="auto"/>
        <w:ind w:left="708" w:right="709"/>
        <w:jc w:val="both"/>
        <w:rPr>
          <w:rFonts w:ascii="Arial" w:eastAsia="Calibri" w:hAnsi="Arial" w:cs="Arial"/>
          <w:sz w:val="21"/>
          <w:szCs w:val="21"/>
          <w:lang w:val="es-MX"/>
        </w:rPr>
      </w:pPr>
      <w:bookmarkStart w:id="46" w:name="_Hlk75811446"/>
      <w:r w:rsidRPr="00F06958">
        <w:rPr>
          <w:rFonts w:ascii="Arial" w:eastAsia="Calibri"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6"/>
      <w:r w:rsidRPr="00F06958">
        <w:rPr>
          <w:rFonts w:ascii="Arial" w:eastAsia="Calibri" w:hAnsi="Arial" w:cs="Arial"/>
          <w:sz w:val="24"/>
          <w:vertAlign w:val="superscript"/>
          <w:lang w:val="es-MX"/>
        </w:rPr>
        <w:footnoteReference w:id="21"/>
      </w:r>
      <w:r w:rsidRPr="00F06958">
        <w:rPr>
          <w:rFonts w:ascii="Arial" w:eastAsia="Times New Roman" w:hAnsi="Arial" w:cs="Arial"/>
          <w:bCs/>
          <w:lang w:val="es-MX" w:eastAsia="x-none"/>
        </w:rPr>
        <w:t>.</w:t>
      </w:r>
    </w:p>
    <w:p w14:paraId="0B5F4DFB" w14:textId="77777777" w:rsidR="00F06958" w:rsidRPr="00F06958" w:rsidRDefault="00F06958" w:rsidP="00F06958">
      <w:pPr>
        <w:spacing w:after="0" w:line="276" w:lineRule="auto"/>
        <w:jc w:val="both"/>
        <w:rPr>
          <w:rFonts w:ascii="Arial" w:eastAsia="Calibri" w:hAnsi="Arial" w:cs="Arial"/>
          <w:lang w:val="es-MX"/>
        </w:rPr>
      </w:pPr>
    </w:p>
    <w:p w14:paraId="623F575F" w14:textId="77777777" w:rsidR="00F06958" w:rsidRPr="00F06958" w:rsidRDefault="00F06958" w:rsidP="00F06958">
      <w:pPr>
        <w:spacing w:after="120" w:line="276" w:lineRule="auto"/>
        <w:ind w:firstLine="709"/>
        <w:jc w:val="both"/>
        <w:rPr>
          <w:rFonts w:ascii="Arial" w:eastAsia="Times New Roman" w:hAnsi="Arial" w:cs="Arial"/>
          <w:bCs/>
          <w:lang w:val="es-MX" w:eastAsia="x-none"/>
        </w:rPr>
      </w:pPr>
      <w:r w:rsidRPr="00F06958">
        <w:rPr>
          <w:rFonts w:ascii="Arial" w:eastAsia="Calibri" w:hAnsi="Arial" w:cs="Arial"/>
          <w:lang w:val="es-MX"/>
        </w:rPr>
        <w:t>Aplicando este razonamiento,</w:t>
      </w:r>
      <w:bookmarkStart w:id="47" w:name="_Hlk75811096"/>
      <w:r w:rsidRPr="00F06958">
        <w:rPr>
          <w:rFonts w:ascii="Arial" w:eastAsia="Calibri" w:hAnsi="Arial" w:cs="Arial"/>
          <w:lang w:val="es-MX"/>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7"/>
      <w:r w:rsidRPr="00F06958">
        <w:rPr>
          <w:rFonts w:ascii="Arial" w:eastAsia="Calibri" w:hAnsi="Arial" w:cs="Arial"/>
          <w:lang w:val="es-MX"/>
        </w:rPr>
        <w:t>»</w:t>
      </w:r>
      <w:r w:rsidRPr="00F06958">
        <w:rPr>
          <w:rFonts w:ascii="Arial" w:eastAsia="Calibri" w:hAnsi="Arial" w:cs="Arial"/>
          <w:sz w:val="24"/>
          <w:vertAlign w:val="superscript"/>
          <w:lang w:val="es-MX"/>
        </w:rPr>
        <w:t xml:space="preserve"> </w:t>
      </w:r>
      <w:r w:rsidRPr="00F06958">
        <w:rPr>
          <w:rFonts w:ascii="Arial" w:eastAsia="Calibri" w:hAnsi="Arial" w:cs="Arial"/>
          <w:vertAlign w:val="superscript"/>
          <w:lang w:val="es-MX"/>
        </w:rPr>
        <w:footnoteReference w:id="22"/>
      </w:r>
      <w:r w:rsidRPr="00F06958">
        <w:rPr>
          <w:rFonts w:ascii="Arial" w:eastAsia="Calibri" w:hAnsi="Arial" w:cs="Arial"/>
          <w:lang w:val="es-MX"/>
        </w:rPr>
        <w:t>.</w:t>
      </w:r>
    </w:p>
    <w:p w14:paraId="3307B267" w14:textId="77777777" w:rsidR="00F06958" w:rsidRPr="00F06958" w:rsidRDefault="00F06958" w:rsidP="00F06958">
      <w:pPr>
        <w:spacing w:after="0" w:line="276" w:lineRule="auto"/>
        <w:ind w:firstLine="708"/>
        <w:jc w:val="both"/>
        <w:rPr>
          <w:rFonts w:ascii="Arial" w:eastAsia="Times New Roman" w:hAnsi="Arial" w:cs="Arial"/>
          <w:bCs/>
          <w:lang w:val="es-MX" w:eastAsia="x-none"/>
        </w:rPr>
      </w:pPr>
      <w:bookmarkStart w:id="48" w:name="_Hlk77237229"/>
      <w:bookmarkEnd w:id="40"/>
      <w:r w:rsidRPr="00F06958">
        <w:rPr>
          <w:rFonts w:ascii="Arial" w:eastAsia="Calibri" w:hAnsi="Arial" w:cs="Arial"/>
          <w:lang w:val="es-MX"/>
        </w:rPr>
        <w:t>Por lo tanto, la restricción prevista en la Ley 996 de 200</w:t>
      </w:r>
      <w:bookmarkStart w:id="49" w:name="_Hlk75741539"/>
      <w:r w:rsidRPr="00F06958">
        <w:rPr>
          <w:rFonts w:ascii="Arial" w:eastAsia="Calibri" w:hAnsi="Arial" w:cs="Arial"/>
          <w:lang w:val="es-MX"/>
        </w:rPr>
        <w:t xml:space="preserve">5, </w:t>
      </w:r>
      <w:r w:rsidRPr="00F06958">
        <w:rPr>
          <w:rFonts w:ascii="Arial" w:eastAsia="Times New Roman" w:hAnsi="Arial" w:cs="Arial"/>
          <w:bCs/>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48"/>
    <w:bookmarkEnd w:id="49"/>
    <w:p w14:paraId="4953D98E" w14:textId="77777777" w:rsidR="00F06958" w:rsidRPr="00F06958" w:rsidRDefault="00F06958" w:rsidP="00F06958">
      <w:pPr>
        <w:spacing w:after="0" w:line="276" w:lineRule="auto"/>
        <w:jc w:val="both"/>
        <w:rPr>
          <w:rFonts w:ascii="Times New Roman" w:eastAsia="Times New Roman" w:hAnsi="Times New Roman" w:cs="Times New Roman"/>
          <w:sz w:val="24"/>
          <w:szCs w:val="24"/>
          <w:lang w:eastAsia="es-ES_tradnl"/>
        </w:rPr>
      </w:pPr>
    </w:p>
    <w:p w14:paraId="5EAAEFFC" w14:textId="77777777" w:rsidR="00F06958" w:rsidRPr="00F06958" w:rsidRDefault="00F06958" w:rsidP="00F06958">
      <w:pPr>
        <w:spacing w:after="0" w:line="276" w:lineRule="auto"/>
        <w:jc w:val="both"/>
        <w:rPr>
          <w:rFonts w:ascii="Arial" w:eastAsia="Calibri" w:hAnsi="Arial" w:cs="Arial"/>
          <w:b/>
        </w:rPr>
      </w:pPr>
    </w:p>
    <w:p w14:paraId="5EC5703C" w14:textId="77777777" w:rsidR="00F06958" w:rsidRPr="00F06958" w:rsidRDefault="00F06958" w:rsidP="00F06958">
      <w:pPr>
        <w:spacing w:after="0" w:line="276" w:lineRule="auto"/>
        <w:jc w:val="both"/>
        <w:rPr>
          <w:rFonts w:ascii="Arial" w:eastAsia="Times New Roman" w:hAnsi="Arial" w:cs="Arial"/>
          <w:color w:val="1A1A1A"/>
          <w:szCs w:val="24"/>
          <w:lang w:eastAsia="es-ES_tradnl"/>
        </w:rPr>
      </w:pPr>
      <w:r w:rsidRPr="00F06958">
        <w:rPr>
          <w:rFonts w:ascii="Arial" w:eastAsia="Calibri" w:hAnsi="Arial" w:cs="Arial"/>
          <w:b/>
        </w:rPr>
        <w:t>3. Respuesta</w:t>
      </w:r>
    </w:p>
    <w:p w14:paraId="576F97E5" w14:textId="77777777" w:rsidR="00F06958" w:rsidRPr="00F06958" w:rsidRDefault="00F06958" w:rsidP="00F06958">
      <w:pPr>
        <w:spacing w:after="0" w:line="276" w:lineRule="auto"/>
        <w:jc w:val="both"/>
        <w:rPr>
          <w:rFonts w:ascii="Arial" w:eastAsia="Calibri" w:hAnsi="Arial" w:cs="Arial"/>
          <w:bCs/>
        </w:rPr>
      </w:pPr>
    </w:p>
    <w:p w14:paraId="222AF7DC" w14:textId="77777777" w:rsidR="00D233E5" w:rsidRPr="00F06958" w:rsidRDefault="00D233E5" w:rsidP="00D233E5">
      <w:pPr>
        <w:spacing w:after="0" w:line="240" w:lineRule="auto"/>
        <w:ind w:left="709" w:right="709"/>
        <w:jc w:val="both"/>
        <w:rPr>
          <w:rFonts w:ascii="Arial" w:eastAsia="Times New Roman" w:hAnsi="Arial" w:cs="Arial"/>
          <w:sz w:val="21"/>
          <w:szCs w:val="21"/>
          <w:lang w:eastAsia="es-CO"/>
        </w:rPr>
      </w:pPr>
      <w:bookmarkStart w:id="50" w:name="_Hlk57650395"/>
      <w:r w:rsidRPr="00F06958">
        <w:rPr>
          <w:rFonts w:ascii="Arial" w:eastAsia="Times New Roman" w:hAnsi="Arial" w:cs="Arial"/>
          <w:sz w:val="21"/>
          <w:szCs w:val="21"/>
          <w:lang w:eastAsia="es-CO"/>
        </w:rPr>
        <w:t>i)</w:t>
      </w:r>
      <w:r>
        <w:rPr>
          <w:rFonts w:ascii="Arial" w:eastAsia="Times New Roman" w:hAnsi="Arial" w:cs="Arial"/>
          <w:sz w:val="21"/>
          <w:szCs w:val="21"/>
          <w:lang w:eastAsia="es-CO"/>
        </w:rPr>
        <w:t xml:space="preserve"> «</w:t>
      </w:r>
      <w:r w:rsidRPr="00426CB3">
        <w:rPr>
          <w:rFonts w:ascii="Arial" w:eastAsia="Times New Roman" w:hAnsi="Arial" w:cs="Arial"/>
          <w:sz w:val="21"/>
          <w:szCs w:val="21"/>
          <w:lang w:eastAsia="es-CO"/>
        </w:rPr>
        <w:t>¿La ley de garantías prohíbe efectuar la modalidad de contratación directa en las entidades del Estado con régimen privado?</w:t>
      </w:r>
      <w:r>
        <w:rPr>
          <w:rFonts w:ascii="Arial" w:eastAsia="Times New Roman" w:hAnsi="Arial" w:cs="Arial"/>
          <w:sz w:val="21"/>
          <w:szCs w:val="21"/>
          <w:lang w:eastAsia="es-CO"/>
        </w:rPr>
        <w:t>»</w:t>
      </w:r>
    </w:p>
    <w:p w14:paraId="65736F03" w14:textId="77777777" w:rsidR="00D233E5" w:rsidRPr="00F06958" w:rsidRDefault="00D233E5" w:rsidP="00D233E5">
      <w:pPr>
        <w:spacing w:after="0" w:line="240" w:lineRule="auto"/>
        <w:ind w:left="709" w:right="709"/>
        <w:jc w:val="both"/>
        <w:rPr>
          <w:rFonts w:ascii="Arial" w:eastAsia="Times New Roman" w:hAnsi="Arial" w:cs="Arial"/>
          <w:sz w:val="21"/>
          <w:szCs w:val="21"/>
          <w:lang w:eastAsia="es-CO"/>
        </w:rPr>
      </w:pPr>
    </w:p>
    <w:p w14:paraId="1876B9DB" w14:textId="77777777" w:rsidR="00D233E5" w:rsidRDefault="00D233E5" w:rsidP="00D233E5">
      <w:pPr>
        <w:spacing w:after="0" w:line="240" w:lineRule="auto"/>
        <w:ind w:left="709" w:right="709"/>
        <w:jc w:val="both"/>
        <w:rPr>
          <w:rFonts w:ascii="Arial" w:eastAsia="Times New Roman" w:hAnsi="Arial" w:cs="Arial"/>
          <w:sz w:val="21"/>
          <w:szCs w:val="21"/>
          <w:lang w:eastAsia="es-CO"/>
        </w:rPr>
      </w:pPr>
      <w:proofErr w:type="spellStart"/>
      <w:r w:rsidRPr="00F06958">
        <w:rPr>
          <w:rFonts w:ascii="Arial" w:eastAsia="Times New Roman" w:hAnsi="Arial" w:cs="Arial"/>
          <w:sz w:val="21"/>
          <w:szCs w:val="21"/>
          <w:lang w:eastAsia="es-CO"/>
        </w:rPr>
        <w:t>ii</w:t>
      </w:r>
      <w:proofErr w:type="spellEnd"/>
      <w:r w:rsidRPr="00F06958">
        <w:rPr>
          <w:rFonts w:ascii="Arial" w:eastAsia="Times New Roman" w:hAnsi="Arial" w:cs="Arial"/>
          <w:sz w:val="21"/>
          <w:szCs w:val="21"/>
          <w:lang w:eastAsia="es-CO"/>
        </w:rPr>
        <w:t>)</w:t>
      </w:r>
      <w:r>
        <w:rPr>
          <w:rFonts w:ascii="Arial" w:eastAsia="Times New Roman" w:hAnsi="Arial" w:cs="Arial"/>
          <w:sz w:val="21"/>
          <w:szCs w:val="21"/>
          <w:lang w:eastAsia="es-CO"/>
        </w:rPr>
        <w:t xml:space="preserve"> «</w:t>
      </w:r>
      <w:r w:rsidRPr="00426CB3">
        <w:rPr>
          <w:rFonts w:ascii="Arial" w:eastAsia="Times New Roman" w:hAnsi="Arial" w:cs="Arial"/>
          <w:sz w:val="21"/>
          <w:szCs w:val="21"/>
          <w:lang w:eastAsia="es-CO"/>
        </w:rPr>
        <w:t xml:space="preserve">¿La prohibición contempla las modalidades dónde </w:t>
      </w:r>
      <w:r>
        <w:rPr>
          <w:rFonts w:ascii="Arial" w:eastAsia="Times New Roman" w:hAnsi="Arial" w:cs="Arial"/>
          <w:sz w:val="21"/>
          <w:szCs w:val="21"/>
          <w:lang w:eastAsia="es-CO"/>
        </w:rPr>
        <w:t xml:space="preserve">[sic] </w:t>
      </w:r>
      <w:r w:rsidRPr="00426CB3">
        <w:rPr>
          <w:rFonts w:ascii="Arial" w:eastAsia="Times New Roman" w:hAnsi="Arial" w:cs="Arial"/>
          <w:sz w:val="21"/>
          <w:szCs w:val="21"/>
          <w:lang w:eastAsia="es-CO"/>
        </w:rPr>
        <w:t>no exista competencia entre los proponentes, incluso las que utilizan medios electrónicos dónde</w:t>
      </w:r>
      <w:r>
        <w:rPr>
          <w:rFonts w:ascii="Arial" w:eastAsia="Times New Roman" w:hAnsi="Arial" w:cs="Arial"/>
          <w:sz w:val="21"/>
          <w:szCs w:val="21"/>
          <w:lang w:eastAsia="es-CO"/>
        </w:rPr>
        <w:t xml:space="preserve"> [sic]</w:t>
      </w:r>
      <w:r w:rsidRPr="00426CB3">
        <w:rPr>
          <w:rFonts w:ascii="Arial" w:eastAsia="Times New Roman" w:hAnsi="Arial" w:cs="Arial"/>
          <w:sz w:val="21"/>
          <w:szCs w:val="21"/>
          <w:lang w:eastAsia="es-CO"/>
        </w:rPr>
        <w:t xml:space="preserve"> se adquiere directamente del fabricante?</w:t>
      </w:r>
      <w:r>
        <w:rPr>
          <w:rFonts w:ascii="Arial" w:eastAsia="Times New Roman" w:hAnsi="Arial" w:cs="Arial"/>
          <w:sz w:val="21"/>
          <w:szCs w:val="21"/>
          <w:lang w:eastAsia="es-CO"/>
        </w:rPr>
        <w:t>»</w:t>
      </w:r>
    </w:p>
    <w:p w14:paraId="1DC4D263" w14:textId="77777777" w:rsidR="00D233E5" w:rsidRDefault="00D233E5" w:rsidP="00D233E5">
      <w:pPr>
        <w:spacing w:after="0" w:line="240" w:lineRule="auto"/>
        <w:ind w:left="709" w:right="709"/>
        <w:jc w:val="both"/>
        <w:rPr>
          <w:rFonts w:ascii="Arial" w:eastAsia="Times New Roman" w:hAnsi="Arial" w:cs="Arial"/>
          <w:sz w:val="21"/>
          <w:szCs w:val="21"/>
          <w:lang w:eastAsia="es-CO"/>
        </w:rPr>
      </w:pPr>
    </w:p>
    <w:p w14:paraId="685B35EF" w14:textId="6BBEB167" w:rsidR="00F06958" w:rsidRPr="00F06958" w:rsidRDefault="00D233E5" w:rsidP="00D233E5">
      <w:pPr>
        <w:spacing w:after="0" w:line="240" w:lineRule="auto"/>
        <w:ind w:left="709" w:right="709"/>
        <w:jc w:val="both"/>
        <w:rPr>
          <w:rFonts w:ascii="Arial" w:eastAsia="Times New Roman" w:hAnsi="Arial" w:cs="Arial"/>
          <w:sz w:val="21"/>
          <w:szCs w:val="21"/>
          <w:lang w:eastAsia="es-CO"/>
        </w:rPr>
      </w:pPr>
      <w:proofErr w:type="spellStart"/>
      <w:r>
        <w:rPr>
          <w:rFonts w:ascii="Arial" w:eastAsia="Times New Roman" w:hAnsi="Arial" w:cs="Arial"/>
          <w:sz w:val="21"/>
          <w:szCs w:val="21"/>
          <w:lang w:eastAsia="es-CO"/>
        </w:rPr>
        <w:t>iii</w:t>
      </w:r>
      <w:proofErr w:type="spellEnd"/>
      <w:r>
        <w:rPr>
          <w:rFonts w:ascii="Arial" w:eastAsia="Times New Roman" w:hAnsi="Arial" w:cs="Arial"/>
          <w:sz w:val="21"/>
          <w:szCs w:val="21"/>
          <w:lang w:eastAsia="es-CO"/>
        </w:rPr>
        <w:t>) «</w:t>
      </w:r>
      <w:r w:rsidRPr="00DE576A">
        <w:rPr>
          <w:rFonts w:ascii="Arial" w:eastAsia="Times New Roman" w:hAnsi="Arial" w:cs="Arial"/>
          <w:sz w:val="21"/>
          <w:szCs w:val="21"/>
          <w:lang w:eastAsia="es-CO"/>
        </w:rPr>
        <w:t>¿Es posible realizar contratación directa cuando se demuestre que resulta más económico realizarlo de esta manera, que mediante un procedimiento competitivo?</w:t>
      </w:r>
      <w:r>
        <w:rPr>
          <w:rFonts w:ascii="Arial" w:eastAsia="Times New Roman" w:hAnsi="Arial" w:cs="Arial"/>
          <w:sz w:val="21"/>
          <w:szCs w:val="21"/>
          <w:lang w:eastAsia="es-CO"/>
        </w:rPr>
        <w:t>»</w:t>
      </w:r>
    </w:p>
    <w:p w14:paraId="0E30EE97" w14:textId="77777777" w:rsidR="00F06958" w:rsidRPr="00F06958" w:rsidRDefault="00F06958" w:rsidP="00F06958">
      <w:pPr>
        <w:spacing w:after="0" w:line="276" w:lineRule="auto"/>
        <w:ind w:right="709"/>
        <w:jc w:val="both"/>
        <w:rPr>
          <w:rFonts w:ascii="Arial" w:eastAsia="Times New Roman" w:hAnsi="Arial" w:cs="Arial"/>
          <w:lang w:eastAsia="es-ES_tradnl"/>
        </w:rPr>
      </w:pPr>
    </w:p>
    <w:p w14:paraId="10B4C4CE" w14:textId="4810A06C" w:rsidR="004213B5" w:rsidRDefault="004213B5" w:rsidP="004213B5">
      <w:pPr>
        <w:spacing w:after="120" w:line="276" w:lineRule="auto"/>
        <w:jc w:val="both"/>
        <w:rPr>
          <w:rFonts w:ascii="Arial" w:hAnsi="Arial" w:cs="Arial"/>
          <w:bCs/>
          <w:lang w:eastAsia="x-none"/>
        </w:rPr>
      </w:pPr>
      <w:r w:rsidRPr="000005C3">
        <w:rPr>
          <w:rFonts w:ascii="Arial" w:eastAsia="Calibri" w:hAnsi="Arial" w:cs="Arial"/>
          <w:bCs/>
          <w:color w:val="000000" w:themeColor="text1"/>
          <w:lang w:val="es-ES"/>
        </w:rPr>
        <w:t xml:space="preserve">Con base en las consideraciones expuestas es posible afirmar que, </w:t>
      </w:r>
      <w:r w:rsidRPr="000005C3">
        <w:rPr>
          <w:rFonts w:ascii="Arial" w:hAnsi="Arial" w:cs="Arial"/>
        </w:rPr>
        <w:t xml:space="preserve">la restricción a la contratación directa prevista en el artículo 33 de la Ley 996 de 2005 </w:t>
      </w:r>
      <w:r w:rsidRPr="000005C3">
        <w:rPr>
          <w:rFonts w:ascii="Arial" w:hAnsi="Arial" w:cs="Arial"/>
          <w:bCs/>
          <w:lang w:eastAsia="x-none"/>
        </w:rPr>
        <w:t xml:space="preserve">cobija a «todos los entes del Estado», expresión que contempla a los diferentes organismos o entidades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p>
    <w:p w14:paraId="01EEC0C5" w14:textId="77777777" w:rsidR="004213B5" w:rsidRPr="00483E6E" w:rsidRDefault="004213B5" w:rsidP="004213B5">
      <w:pPr>
        <w:spacing w:after="120" w:line="276" w:lineRule="auto"/>
        <w:ind w:firstLine="708"/>
        <w:jc w:val="both"/>
        <w:rPr>
          <w:rFonts w:ascii="Arial" w:hAnsi="Arial" w:cs="Arial"/>
          <w:bCs/>
          <w:lang w:eastAsia="x-none"/>
        </w:rPr>
      </w:pPr>
      <w:r>
        <w:rPr>
          <w:rFonts w:ascii="Arial" w:hAnsi="Arial" w:cs="Arial"/>
          <w:bCs/>
          <w:lang w:eastAsia="x-none"/>
        </w:rPr>
        <w:t>D</w:t>
      </w:r>
      <w:r w:rsidRPr="007804D5">
        <w:rPr>
          <w:rFonts w:ascii="Arial" w:hAnsi="Arial" w:cs="Arial"/>
          <w:bCs/>
          <w:lang w:eastAsia="x-none"/>
        </w:rPr>
        <w:t>icha restricción prohíbe la contratación directa por parte de «todos los entes del Estado», durante los cuatro (4) meses anteriores a la elección presidencial y hasta la realización de la elección en la segunda vuelta, en caso de que se presente. Esto implica que, la celebración de contratos o convenios interadministrativos, cuya selección se adelante a través de contratación directa, está prohibida durante el período de aplicación de esta restricción.</w:t>
      </w:r>
    </w:p>
    <w:p w14:paraId="0ACA3917" w14:textId="17DE1FAF" w:rsidR="00F06958" w:rsidRDefault="00F06958" w:rsidP="00F06958">
      <w:pPr>
        <w:spacing w:after="120" w:line="276" w:lineRule="auto"/>
        <w:ind w:firstLine="708"/>
        <w:jc w:val="both"/>
        <w:rPr>
          <w:rFonts w:ascii="Arial" w:eastAsia="Times New Roman" w:hAnsi="Arial" w:cs="Arial"/>
          <w:bCs/>
          <w:lang w:val="es-MX" w:eastAsia="es-CO"/>
        </w:rPr>
      </w:pPr>
      <w:r w:rsidRPr="00F06958">
        <w:rPr>
          <w:rFonts w:ascii="Arial" w:eastAsia="Calibri" w:hAnsi="Arial" w:cs="Arial"/>
          <w:bCs/>
          <w:color w:val="000000"/>
          <w:lang w:val="es-ES_tradnl"/>
        </w:rPr>
        <w:t xml:space="preserve">Sin perjuicio de lo anterior, el inciso segundo de dicha disposición establece algunas excepciones a esta prohibición, en los siguientes términos: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r w:rsidRPr="00F06958">
        <w:rPr>
          <w:rFonts w:ascii="Arial" w:eastAsia="Times New Roman" w:hAnsi="Arial" w:cs="Arial"/>
          <w:bCs/>
          <w:lang w:val="es-MX" w:eastAsia="es-CO"/>
        </w:rPr>
        <w:t>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FE026E8" w14:textId="16D33582" w:rsidR="00E7386C" w:rsidRDefault="00E7386C" w:rsidP="00F06958">
      <w:pPr>
        <w:spacing w:after="120" w:line="276" w:lineRule="auto"/>
        <w:ind w:firstLine="709"/>
        <w:jc w:val="both"/>
        <w:rPr>
          <w:rFonts w:ascii="Arial" w:eastAsia="Calibri" w:hAnsi="Arial" w:cs="Arial"/>
          <w:bCs/>
          <w:color w:val="000000"/>
        </w:rPr>
      </w:pPr>
      <w:r>
        <w:rPr>
          <w:rFonts w:ascii="Arial" w:eastAsia="Calibri" w:hAnsi="Arial" w:cs="Arial"/>
          <w:bCs/>
          <w:color w:val="000000"/>
        </w:rPr>
        <w:lastRenderedPageBreak/>
        <w:t>Conforme a lo anterior, las entidades esta</w:t>
      </w:r>
      <w:r w:rsidR="001F013D">
        <w:rPr>
          <w:rFonts w:ascii="Arial" w:eastAsia="Calibri" w:hAnsi="Arial" w:cs="Arial"/>
          <w:bCs/>
          <w:color w:val="000000"/>
        </w:rPr>
        <w:t xml:space="preserve">tales sometidas a regímenes de contratación de derecho privado </w:t>
      </w:r>
      <w:r w:rsidR="004F3901">
        <w:rPr>
          <w:rFonts w:ascii="Arial" w:eastAsia="Calibri" w:hAnsi="Arial" w:cs="Arial"/>
          <w:bCs/>
          <w:color w:val="000000"/>
        </w:rPr>
        <w:t>también se encuentran cobijadas por la restricción a la contratación directa establecida en el artículo 33 de la Ley 996 de 2005</w:t>
      </w:r>
      <w:r w:rsidR="00E400C9">
        <w:rPr>
          <w:rFonts w:ascii="Arial" w:eastAsia="Calibri" w:hAnsi="Arial" w:cs="Arial"/>
          <w:bCs/>
          <w:color w:val="000000"/>
        </w:rPr>
        <w:t xml:space="preserve">. En atención a esto, durante la vigencia de la referida prohibición deben abstenerse de celebrar procesos contractuales </w:t>
      </w:r>
      <w:r w:rsidR="00CA6585">
        <w:rPr>
          <w:rFonts w:ascii="Arial" w:eastAsia="Calibri" w:hAnsi="Arial" w:cs="Arial"/>
          <w:bCs/>
          <w:color w:val="000000"/>
        </w:rPr>
        <w:t>que encajen dentro de la noción de contratación directa aquí explicada, esto es, que excluyan la pluralidad de oferentes</w:t>
      </w:r>
      <w:r w:rsidR="006A7CC2">
        <w:rPr>
          <w:rFonts w:ascii="Arial" w:eastAsia="Calibri" w:hAnsi="Arial" w:cs="Arial"/>
          <w:bCs/>
          <w:color w:val="000000"/>
        </w:rPr>
        <w:t>, sin perjuicio de las mencionadas excepciones</w:t>
      </w:r>
      <w:r w:rsidR="00A01FC0">
        <w:rPr>
          <w:rFonts w:ascii="Arial" w:eastAsia="Calibri" w:hAnsi="Arial" w:cs="Arial"/>
          <w:bCs/>
          <w:color w:val="000000"/>
        </w:rPr>
        <w:t>.</w:t>
      </w:r>
    </w:p>
    <w:p w14:paraId="10100E71" w14:textId="77777777" w:rsidR="00A01FC0" w:rsidRDefault="00A01FC0" w:rsidP="00F06958">
      <w:pPr>
        <w:spacing w:after="0" w:line="276" w:lineRule="auto"/>
        <w:jc w:val="both"/>
        <w:rPr>
          <w:rFonts w:ascii="Arial" w:eastAsia="Calibri" w:hAnsi="Arial" w:cs="Arial"/>
        </w:rPr>
      </w:pPr>
    </w:p>
    <w:p w14:paraId="758F71DE" w14:textId="471F1FB4" w:rsidR="00F06958" w:rsidRPr="00F06958" w:rsidRDefault="00F06958" w:rsidP="00F06958">
      <w:pPr>
        <w:spacing w:after="0" w:line="276" w:lineRule="auto"/>
        <w:jc w:val="both"/>
        <w:rPr>
          <w:rFonts w:ascii="Times New Roman" w:eastAsia="Times New Roman" w:hAnsi="Times New Roman" w:cs="Times New Roman"/>
          <w:sz w:val="24"/>
          <w:szCs w:val="24"/>
          <w:lang w:eastAsia="es-ES_tradnl"/>
        </w:rPr>
      </w:pPr>
      <w:r w:rsidRPr="00F06958">
        <w:rPr>
          <w:rFonts w:ascii="Arial" w:eastAsia="Calibri" w:hAnsi="Arial" w:cs="Arial"/>
        </w:rPr>
        <w:t>Este concepto tiene el alcance previsto en el artículo 28 del Código de Procedimiento Administrativo y de lo Contencioso Administrativo.</w:t>
      </w:r>
    </w:p>
    <w:p w14:paraId="1B10505B" w14:textId="77777777" w:rsidR="00F06958" w:rsidRPr="00F06958" w:rsidRDefault="00F06958" w:rsidP="00F06958">
      <w:pPr>
        <w:spacing w:after="0" w:line="276" w:lineRule="auto"/>
        <w:jc w:val="both"/>
        <w:rPr>
          <w:rFonts w:ascii="Times New Roman" w:eastAsia="Times New Roman" w:hAnsi="Times New Roman" w:cs="Times New Roman"/>
          <w:sz w:val="24"/>
          <w:szCs w:val="24"/>
          <w:lang w:eastAsia="es-ES_tradnl"/>
        </w:rPr>
      </w:pPr>
    </w:p>
    <w:p w14:paraId="5BE76C87" w14:textId="77777777" w:rsidR="00F06958" w:rsidRPr="00F06958" w:rsidRDefault="00F06958" w:rsidP="00F06958">
      <w:pPr>
        <w:spacing w:after="200" w:line="276" w:lineRule="auto"/>
        <w:jc w:val="both"/>
        <w:rPr>
          <w:rFonts w:ascii="Arial" w:eastAsia="Times New Roman" w:hAnsi="Arial" w:cs="Arial"/>
          <w:lang w:eastAsia="es-CO"/>
        </w:rPr>
      </w:pPr>
      <w:r w:rsidRPr="00F06958">
        <w:rPr>
          <w:rFonts w:ascii="Arial" w:eastAsia="Times New Roman" w:hAnsi="Arial" w:cs="Arial"/>
          <w:lang w:eastAsia="es-CO"/>
        </w:rPr>
        <w:t>Atentamente,</w:t>
      </w:r>
    </w:p>
    <w:p w14:paraId="583B5D18" w14:textId="0A07D268" w:rsidR="00F06958" w:rsidRPr="00F06958" w:rsidRDefault="00F835AF" w:rsidP="00F06958">
      <w:pPr>
        <w:spacing w:after="200" w:line="276" w:lineRule="auto"/>
        <w:jc w:val="center"/>
        <w:rPr>
          <w:rFonts w:ascii="Arial" w:eastAsia="Times New Roman" w:hAnsi="Arial" w:cs="Arial"/>
          <w:color w:val="000000"/>
          <w:sz w:val="18"/>
          <w:szCs w:val="20"/>
          <w:lang w:val="es-MX" w:eastAsia="es-CO"/>
        </w:rPr>
      </w:pPr>
      <w:r>
        <w:rPr>
          <w:rFonts w:ascii="Arial" w:hAnsi="Arial" w:cs="Arial"/>
          <w:noProof/>
          <w:color w:val="000000" w:themeColor="text1"/>
          <w:lang w:val="es-ES_tradnl"/>
        </w:rPr>
        <w:drawing>
          <wp:inline distT="0" distB="0" distL="0" distR="0" wp14:anchorId="691FA40A" wp14:editId="7DE4FFAD">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F06958" w:rsidRPr="00F06958" w14:paraId="7BF56659" w14:textId="77777777" w:rsidTr="00F06958">
        <w:trPr>
          <w:trHeight w:val="315"/>
        </w:trPr>
        <w:tc>
          <w:tcPr>
            <w:tcW w:w="812" w:type="dxa"/>
            <w:vAlign w:val="center"/>
            <w:hideMark/>
          </w:tcPr>
          <w:p w14:paraId="786F4AB1" w14:textId="77777777" w:rsidR="00F06958" w:rsidRPr="00F06958" w:rsidRDefault="00F06958" w:rsidP="00F06958">
            <w:pPr>
              <w:rPr>
                <w:rFonts w:ascii="Arial" w:eastAsia="Times New Roman" w:hAnsi="Arial" w:cs="Arial"/>
                <w:color w:val="000000"/>
                <w:sz w:val="16"/>
                <w:szCs w:val="16"/>
                <w:lang w:eastAsia="es-ES"/>
              </w:rPr>
            </w:pPr>
            <w:r w:rsidRPr="00F06958">
              <w:rPr>
                <w:rFonts w:ascii="Arial" w:eastAsia="Times New Roman" w:hAnsi="Arial" w:cs="Arial"/>
                <w:color w:val="000000"/>
                <w:sz w:val="16"/>
                <w:szCs w:val="16"/>
                <w:lang w:eastAsia="es-ES"/>
              </w:rPr>
              <w:t>Elaboró:</w:t>
            </w:r>
          </w:p>
        </w:tc>
        <w:tc>
          <w:tcPr>
            <w:tcW w:w="4291" w:type="dxa"/>
            <w:tcBorders>
              <w:top w:val="nil"/>
              <w:left w:val="nil"/>
              <w:bottom w:val="dotted" w:sz="4" w:space="0" w:color="7F7F7F"/>
              <w:right w:val="nil"/>
            </w:tcBorders>
            <w:vAlign w:val="center"/>
            <w:hideMark/>
          </w:tcPr>
          <w:p w14:paraId="3C5D073D" w14:textId="77777777" w:rsidR="00FA6E6F" w:rsidRPr="00DA3080" w:rsidRDefault="00FA6E6F" w:rsidP="00FA6E6F">
            <w:pPr>
              <w:rPr>
                <w:rFonts w:ascii="Arial" w:hAnsi="Arial" w:cs="Arial"/>
                <w:sz w:val="16"/>
                <w:szCs w:val="16"/>
                <w:lang w:eastAsia="es-ES"/>
              </w:rPr>
            </w:pPr>
            <w:r>
              <w:rPr>
                <w:rFonts w:ascii="Arial" w:hAnsi="Arial" w:cs="Arial"/>
                <w:sz w:val="16"/>
                <w:szCs w:val="16"/>
                <w:lang w:eastAsia="es-ES"/>
              </w:rPr>
              <w:t xml:space="preserve">Kevin </w:t>
            </w:r>
            <w:proofErr w:type="spellStart"/>
            <w:r>
              <w:rPr>
                <w:rFonts w:ascii="Arial" w:hAnsi="Arial" w:cs="Arial"/>
                <w:sz w:val="16"/>
                <w:szCs w:val="16"/>
                <w:lang w:eastAsia="es-ES"/>
              </w:rPr>
              <w:t>Arlid</w:t>
            </w:r>
            <w:proofErr w:type="spellEnd"/>
            <w:r>
              <w:rPr>
                <w:rFonts w:ascii="Arial" w:hAnsi="Arial" w:cs="Arial"/>
                <w:sz w:val="16"/>
                <w:szCs w:val="16"/>
                <w:lang w:eastAsia="es-ES"/>
              </w:rPr>
              <w:t xml:space="preserve"> Herrera Santa</w:t>
            </w:r>
          </w:p>
          <w:p w14:paraId="42637111" w14:textId="76DBFE29" w:rsidR="00F06958" w:rsidRPr="00F06958" w:rsidRDefault="00FA6E6F" w:rsidP="00F06958">
            <w:pPr>
              <w:rPr>
                <w:rFonts w:ascii="Arial" w:eastAsia="Times New Roman" w:hAnsi="Arial" w:cs="Arial"/>
                <w:color w:val="000000"/>
                <w:sz w:val="16"/>
                <w:szCs w:val="16"/>
                <w:lang w:eastAsia="es-ES"/>
              </w:rPr>
            </w:pPr>
            <w:r>
              <w:rPr>
                <w:rFonts w:ascii="Arial" w:hAnsi="Arial" w:cs="Arial"/>
                <w:sz w:val="16"/>
                <w:szCs w:val="16"/>
                <w:lang w:eastAsia="es-ES"/>
              </w:rPr>
              <w:t xml:space="preserve">Analista T2-04 </w:t>
            </w:r>
            <w:r w:rsidRPr="00DA3080">
              <w:rPr>
                <w:rFonts w:ascii="Arial" w:hAnsi="Arial" w:cs="Arial"/>
                <w:sz w:val="16"/>
                <w:szCs w:val="16"/>
                <w:lang w:eastAsia="es-ES"/>
              </w:rPr>
              <w:t>de la Subdirección de Gestión Contractual</w:t>
            </w:r>
            <w:r w:rsidRPr="00F06958" w:rsidDel="004628B9">
              <w:rPr>
                <w:rFonts w:ascii="Arial" w:eastAsia="Times New Roman" w:hAnsi="Arial" w:cs="Arial"/>
                <w:color w:val="000000"/>
                <w:sz w:val="16"/>
                <w:szCs w:val="16"/>
                <w:lang w:eastAsia="es-ES"/>
              </w:rPr>
              <w:t xml:space="preserve"> </w:t>
            </w:r>
          </w:p>
        </w:tc>
      </w:tr>
      <w:tr w:rsidR="00F06958" w:rsidRPr="00F06958" w14:paraId="65960D7E" w14:textId="77777777" w:rsidTr="00F06958">
        <w:trPr>
          <w:trHeight w:val="330"/>
        </w:trPr>
        <w:tc>
          <w:tcPr>
            <w:tcW w:w="812" w:type="dxa"/>
            <w:vAlign w:val="center"/>
            <w:hideMark/>
          </w:tcPr>
          <w:p w14:paraId="106467FC" w14:textId="77777777" w:rsidR="00F06958" w:rsidRPr="00F06958" w:rsidRDefault="00F06958" w:rsidP="00F06958">
            <w:pPr>
              <w:rPr>
                <w:rFonts w:ascii="Arial" w:eastAsia="Times New Roman" w:hAnsi="Arial" w:cs="Arial"/>
                <w:color w:val="000000"/>
                <w:sz w:val="16"/>
                <w:szCs w:val="16"/>
                <w:lang w:eastAsia="es-ES"/>
              </w:rPr>
            </w:pPr>
            <w:r w:rsidRPr="00F06958">
              <w:rPr>
                <w:rFonts w:ascii="Arial" w:eastAsia="Times New Roman" w:hAnsi="Arial" w:cs="Arial"/>
                <w:color w:val="000000"/>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76F5E790" w14:textId="77777777" w:rsidR="00F06958" w:rsidRPr="00F06958" w:rsidRDefault="00F06958" w:rsidP="00F06958">
            <w:pPr>
              <w:rPr>
                <w:rFonts w:ascii="Arial" w:eastAsia="Times New Roman" w:hAnsi="Arial" w:cs="Arial"/>
                <w:color w:val="000000"/>
                <w:sz w:val="16"/>
                <w:szCs w:val="16"/>
                <w:lang w:eastAsia="es-ES"/>
              </w:rPr>
            </w:pPr>
            <w:r w:rsidRPr="00F06958">
              <w:rPr>
                <w:rFonts w:ascii="Arial" w:eastAsia="Times New Roman" w:hAnsi="Arial" w:cs="Arial"/>
                <w:color w:val="000000"/>
                <w:sz w:val="16"/>
                <w:szCs w:val="16"/>
                <w:lang w:eastAsia="es-ES"/>
              </w:rPr>
              <w:t>Alejandro Sarmiento Cantillo</w:t>
            </w:r>
          </w:p>
          <w:p w14:paraId="52C18848" w14:textId="77777777" w:rsidR="00F06958" w:rsidRPr="00F06958" w:rsidRDefault="00F06958" w:rsidP="00F06958">
            <w:pPr>
              <w:rPr>
                <w:rFonts w:ascii="Arial" w:eastAsia="Times New Roman" w:hAnsi="Arial" w:cs="Arial"/>
                <w:color w:val="000000"/>
                <w:sz w:val="16"/>
                <w:szCs w:val="16"/>
                <w:lang w:eastAsia="es-ES"/>
              </w:rPr>
            </w:pPr>
            <w:r w:rsidRPr="00F06958">
              <w:rPr>
                <w:rFonts w:ascii="Arial" w:eastAsia="Times New Roman" w:hAnsi="Arial" w:cs="Arial"/>
                <w:color w:val="000000"/>
                <w:sz w:val="16"/>
                <w:szCs w:val="16"/>
                <w:lang w:eastAsia="es-ES"/>
              </w:rPr>
              <w:t>Gestor T1-15 de la Subdirección de Gestión Contractual</w:t>
            </w:r>
          </w:p>
        </w:tc>
      </w:tr>
      <w:tr w:rsidR="00F06958" w:rsidRPr="00F06958" w14:paraId="5A988643" w14:textId="77777777" w:rsidTr="00F06958">
        <w:trPr>
          <w:trHeight w:val="300"/>
        </w:trPr>
        <w:tc>
          <w:tcPr>
            <w:tcW w:w="812" w:type="dxa"/>
            <w:vAlign w:val="center"/>
            <w:hideMark/>
          </w:tcPr>
          <w:p w14:paraId="489084B9" w14:textId="77777777" w:rsidR="00F06958" w:rsidRPr="00F06958" w:rsidRDefault="00F06958" w:rsidP="00F06958">
            <w:pPr>
              <w:rPr>
                <w:rFonts w:ascii="Arial" w:eastAsia="Times New Roman" w:hAnsi="Arial" w:cs="Arial"/>
                <w:color w:val="000000"/>
                <w:sz w:val="16"/>
                <w:szCs w:val="16"/>
                <w:lang w:eastAsia="es-ES"/>
              </w:rPr>
            </w:pPr>
            <w:r w:rsidRPr="00F06958">
              <w:rPr>
                <w:rFonts w:ascii="Arial" w:eastAsia="Times New Roman" w:hAnsi="Arial" w:cs="Arial"/>
                <w:color w:val="000000"/>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6B4080E6" w14:textId="77777777" w:rsidR="00F06958" w:rsidRPr="00F06958" w:rsidRDefault="00F06958" w:rsidP="00F06958">
            <w:pPr>
              <w:rPr>
                <w:rFonts w:ascii="Arial" w:eastAsia="Times New Roman" w:hAnsi="Arial" w:cs="Arial"/>
                <w:color w:val="000000"/>
                <w:sz w:val="16"/>
                <w:szCs w:val="16"/>
                <w:lang w:eastAsia="es-ES"/>
              </w:rPr>
            </w:pPr>
            <w:r w:rsidRPr="00F06958">
              <w:rPr>
                <w:rFonts w:ascii="Arial" w:eastAsia="Times New Roman" w:hAnsi="Arial" w:cs="Arial"/>
                <w:color w:val="000000"/>
                <w:sz w:val="16"/>
                <w:szCs w:val="16"/>
                <w:lang w:eastAsia="es-ES"/>
              </w:rPr>
              <w:t>Jorge Augusto Tirado Navarro</w:t>
            </w:r>
          </w:p>
          <w:p w14:paraId="249DF3A3" w14:textId="77777777" w:rsidR="00F06958" w:rsidRPr="00F06958" w:rsidRDefault="00F06958" w:rsidP="00F06958">
            <w:pPr>
              <w:rPr>
                <w:rFonts w:ascii="Arial" w:eastAsia="Times New Roman" w:hAnsi="Arial" w:cs="Arial"/>
                <w:color w:val="000000"/>
                <w:sz w:val="16"/>
                <w:szCs w:val="16"/>
                <w:lang w:eastAsia="es-ES"/>
              </w:rPr>
            </w:pPr>
            <w:r w:rsidRPr="00F06958">
              <w:rPr>
                <w:rFonts w:ascii="Arial" w:eastAsia="Times New Roman" w:hAnsi="Arial" w:cs="Arial"/>
                <w:color w:val="000000"/>
                <w:sz w:val="16"/>
                <w:szCs w:val="16"/>
                <w:lang w:eastAsia="es-ES"/>
              </w:rPr>
              <w:t>Subdirector de Gestión Contractual ANCP – CCE</w:t>
            </w:r>
          </w:p>
        </w:tc>
      </w:tr>
      <w:bookmarkEnd w:id="8"/>
      <w:bookmarkEnd w:id="50"/>
    </w:tbl>
    <w:p w14:paraId="28638E36" w14:textId="77777777" w:rsidR="00F06958" w:rsidRPr="00F06958" w:rsidRDefault="00F06958" w:rsidP="00F06958">
      <w:pPr>
        <w:spacing w:after="120" w:line="276" w:lineRule="auto"/>
        <w:contextualSpacing/>
        <w:jc w:val="both"/>
        <w:rPr>
          <w:rFonts w:ascii="Arial" w:eastAsia="Calibri" w:hAnsi="Arial" w:cs="Arial"/>
          <w:b/>
          <w:bCs/>
          <w:sz w:val="20"/>
          <w:szCs w:val="20"/>
          <w:lang w:val="es-MX"/>
        </w:rPr>
      </w:pPr>
    </w:p>
    <w:p w14:paraId="21D64FB0" w14:textId="77777777" w:rsidR="00F06958" w:rsidRDefault="00F06958"/>
    <w:sectPr w:rsidR="00F06958" w:rsidSect="003D603B">
      <w:headerReference w:type="default" r:id="rId11"/>
      <w:footerReference w:type="default" r:id="rId12"/>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1901" w14:textId="77777777" w:rsidR="00C616DD" w:rsidRDefault="00C616DD" w:rsidP="00F06958">
      <w:pPr>
        <w:spacing w:after="0" w:line="240" w:lineRule="auto"/>
      </w:pPr>
      <w:r>
        <w:separator/>
      </w:r>
    </w:p>
  </w:endnote>
  <w:endnote w:type="continuationSeparator" w:id="0">
    <w:p w14:paraId="59718B37" w14:textId="77777777" w:rsidR="00C616DD" w:rsidRDefault="00C616DD" w:rsidP="00F0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BEFA" w14:textId="77777777" w:rsidR="00412132" w:rsidRDefault="00B8248F" w:rsidP="00B6444C">
    <w:pPr>
      <w:pStyle w:val="Sinespaciado"/>
      <w:rPr>
        <w:rFonts w:ascii="Arial" w:hAnsi="Arial" w:cs="Arial"/>
        <w:sz w:val="18"/>
        <w:szCs w:val="18"/>
      </w:rPr>
    </w:pPr>
  </w:p>
  <w:p w14:paraId="0856625A" w14:textId="77777777" w:rsidR="00412132" w:rsidRDefault="00B8248F" w:rsidP="00B6444C">
    <w:pPr>
      <w:pStyle w:val="Sinespaciado"/>
      <w:rPr>
        <w:rFonts w:ascii="Arial" w:hAnsi="Arial" w:cs="Arial"/>
        <w:sz w:val="18"/>
        <w:szCs w:val="18"/>
      </w:rPr>
    </w:pPr>
  </w:p>
  <w:p w14:paraId="7507CEE3" w14:textId="77777777" w:rsidR="00412132" w:rsidRPr="00F06958" w:rsidRDefault="00E521C0" w:rsidP="005A79FE">
    <w:pPr>
      <w:pStyle w:val="Piedepgina"/>
      <w:jc w:val="right"/>
      <w:rPr>
        <w:rFonts w:ascii="Arial" w:hAnsi="Arial" w:cs="Arial"/>
        <w:color w:val="7F7F7F"/>
        <w:sz w:val="16"/>
        <w:szCs w:val="16"/>
      </w:rPr>
    </w:pPr>
    <w:r w:rsidRPr="00F06958">
      <w:rPr>
        <w:rFonts w:ascii="Arial" w:hAnsi="Arial" w:cs="Arial"/>
        <w:bCs/>
        <w:color w:val="7F7F7F"/>
        <w:sz w:val="16"/>
        <w:szCs w:val="16"/>
      </w:rPr>
      <w:t xml:space="preserve">Página </w:t>
    </w:r>
    <w:r w:rsidRPr="00F06958">
      <w:rPr>
        <w:rFonts w:ascii="Arial" w:hAnsi="Arial" w:cs="Arial"/>
        <w:b/>
        <w:bCs/>
        <w:color w:val="7F7F7F"/>
        <w:sz w:val="16"/>
        <w:szCs w:val="16"/>
      </w:rPr>
      <w:fldChar w:fldCharType="begin"/>
    </w:r>
    <w:r w:rsidRPr="00F06958">
      <w:rPr>
        <w:rFonts w:ascii="Arial" w:hAnsi="Arial" w:cs="Arial"/>
        <w:b/>
        <w:bCs/>
        <w:color w:val="7F7F7F"/>
        <w:sz w:val="16"/>
        <w:szCs w:val="16"/>
      </w:rPr>
      <w:instrText>PAGE  \* Arabic  \* MERGEFORMAT</w:instrText>
    </w:r>
    <w:r w:rsidRPr="00F06958">
      <w:rPr>
        <w:rFonts w:ascii="Arial" w:hAnsi="Arial" w:cs="Arial"/>
        <w:b/>
        <w:bCs/>
        <w:color w:val="7F7F7F"/>
        <w:sz w:val="16"/>
        <w:szCs w:val="16"/>
      </w:rPr>
      <w:fldChar w:fldCharType="separate"/>
    </w:r>
    <w:r w:rsidRPr="00F06958">
      <w:rPr>
        <w:rFonts w:ascii="Arial" w:hAnsi="Arial" w:cs="Arial"/>
        <w:b/>
        <w:bCs/>
        <w:noProof/>
        <w:color w:val="7F7F7F"/>
        <w:sz w:val="16"/>
        <w:szCs w:val="16"/>
      </w:rPr>
      <w:t>17</w:t>
    </w:r>
    <w:r w:rsidRPr="00F06958">
      <w:rPr>
        <w:rFonts w:ascii="Arial" w:hAnsi="Arial" w:cs="Arial"/>
        <w:b/>
        <w:bCs/>
        <w:color w:val="7F7F7F"/>
        <w:sz w:val="16"/>
        <w:szCs w:val="16"/>
      </w:rPr>
      <w:fldChar w:fldCharType="end"/>
    </w:r>
    <w:r w:rsidRPr="00F06958">
      <w:rPr>
        <w:rFonts w:ascii="Arial" w:hAnsi="Arial" w:cs="Arial"/>
        <w:color w:val="7F7F7F"/>
        <w:sz w:val="16"/>
        <w:szCs w:val="16"/>
      </w:rPr>
      <w:t xml:space="preserve"> de </w:t>
    </w:r>
    <w:r w:rsidRPr="00F06958">
      <w:rPr>
        <w:rFonts w:ascii="Arial" w:hAnsi="Arial" w:cs="Arial"/>
        <w:b/>
        <w:bCs/>
        <w:color w:val="7F7F7F"/>
        <w:sz w:val="16"/>
        <w:szCs w:val="16"/>
      </w:rPr>
      <w:fldChar w:fldCharType="begin"/>
    </w:r>
    <w:r w:rsidRPr="00F06958">
      <w:rPr>
        <w:rFonts w:ascii="Arial" w:hAnsi="Arial" w:cs="Arial"/>
        <w:b/>
        <w:bCs/>
        <w:color w:val="7F7F7F"/>
        <w:sz w:val="16"/>
        <w:szCs w:val="16"/>
      </w:rPr>
      <w:instrText>NUMPAGES  \* Arabic  \* MERGEFORMAT</w:instrText>
    </w:r>
    <w:r w:rsidRPr="00F06958">
      <w:rPr>
        <w:rFonts w:ascii="Arial" w:hAnsi="Arial" w:cs="Arial"/>
        <w:b/>
        <w:bCs/>
        <w:color w:val="7F7F7F"/>
        <w:sz w:val="16"/>
        <w:szCs w:val="16"/>
      </w:rPr>
      <w:fldChar w:fldCharType="separate"/>
    </w:r>
    <w:r w:rsidRPr="00F06958">
      <w:rPr>
        <w:rFonts w:ascii="Arial" w:hAnsi="Arial" w:cs="Arial"/>
        <w:b/>
        <w:bCs/>
        <w:noProof/>
        <w:color w:val="7F7F7F"/>
        <w:sz w:val="16"/>
        <w:szCs w:val="16"/>
      </w:rPr>
      <w:t>17</w:t>
    </w:r>
    <w:r w:rsidRPr="00F06958">
      <w:rPr>
        <w:rFonts w:ascii="Arial" w:hAnsi="Arial" w:cs="Arial"/>
        <w:b/>
        <w:bCs/>
        <w:color w:val="7F7F7F"/>
        <w:sz w:val="16"/>
        <w:szCs w:val="16"/>
      </w:rPr>
      <w:fldChar w:fldCharType="end"/>
    </w:r>
  </w:p>
  <w:p w14:paraId="4798E382" w14:textId="77777777" w:rsidR="00412132" w:rsidRDefault="00E521C0" w:rsidP="007B0854">
    <w:pPr>
      <w:pStyle w:val="Piedepgina"/>
      <w:jc w:val="center"/>
      <w:rPr>
        <w:lang w:val="es-ES"/>
      </w:rPr>
    </w:pPr>
    <w:r>
      <w:rPr>
        <w:noProof/>
        <w:lang w:eastAsia="es-CO"/>
      </w:rPr>
      <w:drawing>
        <wp:inline distT="0" distB="0" distL="0" distR="0" wp14:anchorId="3E392814" wp14:editId="31C35784">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4F5CD49B" w14:textId="77777777" w:rsidR="00412132" w:rsidRDefault="00B8248F" w:rsidP="007B0854">
    <w:pPr>
      <w:pStyle w:val="Piedepgina"/>
      <w:jc w:val="center"/>
      <w:rPr>
        <w:lang w:val="es-ES"/>
      </w:rPr>
    </w:pPr>
  </w:p>
  <w:p w14:paraId="37552B1B" w14:textId="77777777" w:rsidR="00412132" w:rsidRPr="007B0854" w:rsidRDefault="00B8248F"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5049" w14:textId="77777777" w:rsidR="00C616DD" w:rsidRDefault="00C616DD" w:rsidP="00F06958">
      <w:pPr>
        <w:spacing w:after="0" w:line="240" w:lineRule="auto"/>
      </w:pPr>
      <w:r>
        <w:separator/>
      </w:r>
    </w:p>
  </w:footnote>
  <w:footnote w:type="continuationSeparator" w:id="0">
    <w:p w14:paraId="65903E25" w14:textId="77777777" w:rsidR="00C616DD" w:rsidRDefault="00C616DD" w:rsidP="00F06958">
      <w:pPr>
        <w:spacing w:after="0" w:line="240" w:lineRule="auto"/>
      </w:pPr>
      <w:r>
        <w:continuationSeparator/>
      </w:r>
    </w:p>
  </w:footnote>
  <w:footnote w:id="1">
    <w:p w14:paraId="76E291B1" w14:textId="77777777" w:rsidR="00F06958" w:rsidRPr="00750C77" w:rsidRDefault="00F06958" w:rsidP="00DE576A">
      <w:pPr>
        <w:pStyle w:val="Textonotapie"/>
        <w:ind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CFC378C" w14:textId="77777777" w:rsidR="00F06958" w:rsidRPr="00750C77" w:rsidRDefault="00F06958" w:rsidP="00DE576A">
      <w:pPr>
        <w:pStyle w:val="Textonotapie"/>
        <w:ind w:firstLine="709"/>
        <w:jc w:val="both"/>
        <w:rPr>
          <w:rFonts w:ascii="Arial" w:hAnsi="Arial" w:cs="Arial"/>
          <w:sz w:val="18"/>
          <w:szCs w:val="18"/>
        </w:rPr>
      </w:pPr>
      <w:r w:rsidRPr="00750C77">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2">
    <w:p w14:paraId="22EBE6A1" w14:textId="77777777" w:rsidR="00F06958" w:rsidRDefault="00F06958" w:rsidP="00DE576A">
      <w:pPr>
        <w:pStyle w:val="Textonotapie"/>
        <w:ind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Gaceta del Congreso de la República No. 71 del 2005.</w:t>
      </w:r>
    </w:p>
    <w:p w14:paraId="4EFB7033" w14:textId="77777777" w:rsidR="00F06958" w:rsidRPr="00750C77" w:rsidRDefault="00F06958" w:rsidP="00DE576A">
      <w:pPr>
        <w:pStyle w:val="Textonotapie"/>
        <w:ind w:firstLine="709"/>
        <w:jc w:val="both"/>
        <w:rPr>
          <w:rFonts w:ascii="Arial" w:hAnsi="Arial" w:cs="Arial"/>
          <w:sz w:val="18"/>
          <w:szCs w:val="18"/>
        </w:rPr>
      </w:pPr>
    </w:p>
  </w:footnote>
  <w:footnote w:id="3">
    <w:p w14:paraId="1F0C39D5" w14:textId="77777777" w:rsidR="00F06958" w:rsidRPr="00750C77" w:rsidRDefault="00F06958" w:rsidP="00DE576A">
      <w:pPr>
        <w:pStyle w:val="Textonotapie"/>
        <w:ind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Corte Constitucional, Sentencia C- 1153 de 2005, M.P. Marco Gerardo Monroy Cabra.</w:t>
      </w:r>
    </w:p>
  </w:footnote>
  <w:footnote w:id="4">
    <w:p w14:paraId="33136A09" w14:textId="77777777" w:rsidR="00F06958" w:rsidRPr="00750C77" w:rsidRDefault="00F06958" w:rsidP="00DE576A">
      <w:pPr>
        <w:pStyle w:val="Textonotapie"/>
        <w:ind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0AD7A3F4" w14:textId="77777777" w:rsidR="00F06958" w:rsidRPr="00750C77" w:rsidRDefault="00F06958" w:rsidP="00DE576A">
      <w:pPr>
        <w:pStyle w:val="Textonotapie"/>
        <w:ind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0DB98276" w14:textId="77777777" w:rsidR="00F06958" w:rsidRPr="00750C77" w:rsidRDefault="00F06958" w:rsidP="00DE576A">
      <w:pPr>
        <w:pStyle w:val="Textonotapie"/>
        <w:ind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Consulta y Servicio Civil de fecha 24 de julio de 2013, radicado 2166, Consejero Ponente: Álvaro Namén Vargas.  </w:t>
      </w:r>
    </w:p>
  </w:footnote>
  <w:footnote w:id="7">
    <w:p w14:paraId="20CEB2E6" w14:textId="77777777" w:rsidR="00F06958" w:rsidRPr="00750C77" w:rsidRDefault="00F06958" w:rsidP="00DE576A">
      <w:pPr>
        <w:spacing w:after="0" w:line="240" w:lineRule="auto"/>
        <w:ind w:firstLine="709"/>
        <w:jc w:val="both"/>
        <w:rPr>
          <w:rFonts w:ascii="Arial" w:eastAsia="Times New Roman"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w:t>
      </w:r>
      <w:bookmarkStart w:id="14" w:name="33"/>
      <w:r w:rsidRPr="00750C77">
        <w:rPr>
          <w:rFonts w:ascii="Arial" w:eastAsia="Calibri" w:hAnsi="Arial" w:cs="Arial"/>
          <w:bCs/>
          <w:color w:val="000000"/>
          <w:sz w:val="18"/>
          <w:szCs w:val="18"/>
        </w:rPr>
        <w:t>«</w:t>
      </w:r>
      <w:r w:rsidRPr="00750C77">
        <w:rPr>
          <w:rFonts w:ascii="Arial" w:eastAsia="Times New Roman" w:hAnsi="Arial" w:cs="Arial"/>
          <w:sz w:val="18"/>
          <w:szCs w:val="18"/>
        </w:rPr>
        <w:t>Artículo 33. Restricciones a la contratación pública.</w:t>
      </w:r>
      <w:bookmarkEnd w:id="14"/>
      <w:r w:rsidRPr="00750C77">
        <w:rPr>
          <w:rFonts w:ascii="Arial" w:eastAsia="Times New Roman"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34B1E6B7" w14:textId="77777777" w:rsidR="00F06958" w:rsidRPr="00750C77" w:rsidRDefault="00F06958" w:rsidP="00DE576A">
      <w:pPr>
        <w:spacing w:after="0" w:line="240" w:lineRule="auto"/>
        <w:ind w:firstLine="709"/>
        <w:jc w:val="both"/>
        <w:rPr>
          <w:rFonts w:ascii="Arial" w:eastAsia="Times New Roman" w:hAnsi="Arial" w:cs="Arial"/>
          <w:sz w:val="18"/>
          <w:szCs w:val="18"/>
        </w:rPr>
      </w:pPr>
      <w:r w:rsidRPr="00750C77">
        <w:rPr>
          <w:rFonts w:ascii="Arial" w:eastAsia="Calibri" w:hAnsi="Arial" w:cs="Arial"/>
          <w:bCs/>
          <w:color w:val="000000"/>
          <w:sz w:val="18"/>
          <w:szCs w:val="18"/>
        </w:rPr>
        <w:t>»</w:t>
      </w:r>
      <w:r w:rsidRPr="00750C77">
        <w:rPr>
          <w:rFonts w:ascii="Arial" w:eastAsia="Times New Roman"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750C77">
        <w:rPr>
          <w:rFonts w:ascii="Arial" w:eastAsia="Calibri" w:hAnsi="Arial" w:cs="Arial"/>
          <w:bCs/>
          <w:color w:val="000000"/>
          <w:sz w:val="18"/>
          <w:szCs w:val="18"/>
        </w:rPr>
        <w:t>»</w:t>
      </w:r>
      <w:r w:rsidRPr="00750C77">
        <w:rPr>
          <w:rFonts w:ascii="Arial" w:eastAsia="Times New Roman" w:hAnsi="Arial" w:cs="Arial"/>
          <w:sz w:val="18"/>
          <w:szCs w:val="18"/>
        </w:rPr>
        <w:t>.</w:t>
      </w:r>
    </w:p>
  </w:footnote>
  <w:footnote w:id="8">
    <w:p w14:paraId="27ECC70F" w14:textId="77777777" w:rsidR="00F06958" w:rsidRPr="00750C77" w:rsidRDefault="00F06958" w:rsidP="00DE576A">
      <w:pPr>
        <w:pStyle w:val="NormalWeb"/>
        <w:spacing w:after="0" w:line="240" w:lineRule="auto"/>
        <w:ind w:firstLine="709"/>
        <w:jc w:val="both"/>
        <w:rPr>
          <w:rFonts w:ascii="Arial" w:hAnsi="Arial" w:cs="Arial"/>
          <w:sz w:val="18"/>
          <w:szCs w:val="18"/>
          <w:lang w:val="es-MX"/>
        </w:rPr>
      </w:pPr>
      <w:r w:rsidRPr="00750C77">
        <w:rPr>
          <w:rStyle w:val="Refdenotaalpie"/>
          <w:rFonts w:ascii="Arial" w:hAnsi="Arial" w:cs="Arial"/>
          <w:sz w:val="18"/>
          <w:szCs w:val="18"/>
        </w:rPr>
        <w:footnoteRef/>
      </w:r>
      <w:r w:rsidRPr="00750C77">
        <w:rPr>
          <w:rFonts w:ascii="Arial" w:hAnsi="Arial" w:cs="Arial"/>
          <w:sz w:val="18"/>
          <w:szCs w:val="18"/>
        </w:rPr>
        <w:t xml:space="preserve"> </w:t>
      </w:r>
      <w:bookmarkStart w:id="15" w:name="38"/>
      <w:r w:rsidRPr="00750C77">
        <w:rPr>
          <w:rFonts w:ascii="Arial" w:eastAsia="Calibri" w:hAnsi="Arial" w:cs="Arial"/>
          <w:bCs/>
          <w:color w:val="000000"/>
          <w:sz w:val="18"/>
          <w:szCs w:val="18"/>
        </w:rPr>
        <w:t>«</w:t>
      </w:r>
      <w:r w:rsidRPr="00750C77">
        <w:rPr>
          <w:rFonts w:ascii="Arial" w:hAnsi="Arial" w:cs="Arial"/>
          <w:sz w:val="18"/>
          <w:szCs w:val="18"/>
          <w:lang w:val="es-MX"/>
        </w:rPr>
        <w:t>Artículo 38. Prohibiciones para los servidores públicos. A los empleados del Estado les está prohibido:</w:t>
      </w:r>
      <w:bookmarkEnd w:id="15"/>
    </w:p>
    <w:p w14:paraId="419D565A" w14:textId="77777777" w:rsidR="00F06958" w:rsidRPr="00750C77" w:rsidRDefault="00F06958" w:rsidP="00DE576A">
      <w:pPr>
        <w:pStyle w:val="NormalWeb"/>
        <w:spacing w:after="0" w:line="240" w:lineRule="auto"/>
        <w:ind w:firstLine="709"/>
        <w:jc w:val="both"/>
        <w:rPr>
          <w:rFonts w:ascii="Arial" w:hAnsi="Arial" w:cs="Arial"/>
          <w:sz w:val="18"/>
          <w:szCs w:val="18"/>
          <w:lang w:val="es-MX"/>
        </w:rPr>
      </w:pPr>
      <w:r w:rsidRPr="00750C77">
        <w:rPr>
          <w:rFonts w:ascii="Arial" w:eastAsia="Calibri" w:hAnsi="Arial" w:cs="Arial"/>
          <w:bCs/>
          <w:color w:val="000000"/>
          <w:sz w:val="18"/>
          <w:szCs w:val="18"/>
        </w:rPr>
        <w:t>»</w:t>
      </w:r>
      <w:r w:rsidRPr="00750C77">
        <w:rPr>
          <w:rFonts w:ascii="Arial" w:hAnsi="Arial" w:cs="Arial"/>
          <w:sz w:val="18"/>
          <w:szCs w:val="18"/>
          <w:lang w:val="es-MX"/>
        </w:rPr>
        <w:t xml:space="preserve"> […]</w:t>
      </w:r>
    </w:p>
    <w:p w14:paraId="4C06949C" w14:textId="77777777" w:rsidR="00F06958" w:rsidRPr="00750C77" w:rsidRDefault="00F06958" w:rsidP="00DE576A">
      <w:pPr>
        <w:pStyle w:val="NormalWeb"/>
        <w:spacing w:after="0" w:line="240" w:lineRule="auto"/>
        <w:ind w:firstLine="709"/>
        <w:jc w:val="both"/>
        <w:rPr>
          <w:rFonts w:ascii="Arial" w:hAnsi="Arial" w:cs="Arial"/>
          <w:sz w:val="18"/>
          <w:szCs w:val="18"/>
          <w:lang w:val="es-MX"/>
        </w:rPr>
      </w:pPr>
      <w:r w:rsidRPr="00750C77">
        <w:rPr>
          <w:rFonts w:ascii="Arial" w:eastAsia="Calibri" w:hAnsi="Arial" w:cs="Arial"/>
          <w:bCs/>
          <w:color w:val="000000"/>
          <w:sz w:val="18"/>
          <w:szCs w:val="18"/>
        </w:rPr>
        <w:t>»</w:t>
      </w:r>
      <w:r w:rsidRPr="00750C77">
        <w:rPr>
          <w:rStyle w:val="baj"/>
          <w:rFonts w:ascii="Arial" w:hAnsi="Arial" w:cs="Arial"/>
          <w:sz w:val="18"/>
          <w:szCs w:val="18"/>
          <w:lang w:val="es-MX"/>
        </w:rPr>
        <w:t xml:space="preserve"> Parágrafo.</w:t>
      </w:r>
      <w:r w:rsidRPr="00750C77">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750C77">
        <w:rPr>
          <w:rFonts w:ascii="Arial" w:eastAsia="Calibri" w:hAnsi="Arial" w:cs="Arial"/>
          <w:bCs/>
          <w:color w:val="000000"/>
          <w:sz w:val="18"/>
          <w:szCs w:val="18"/>
        </w:rPr>
        <w:t>»</w:t>
      </w:r>
      <w:r w:rsidRPr="00750C77">
        <w:rPr>
          <w:rFonts w:ascii="Arial" w:hAnsi="Arial" w:cs="Arial"/>
          <w:sz w:val="18"/>
          <w:szCs w:val="18"/>
          <w:lang w:val="es-MX"/>
        </w:rPr>
        <w:t>.</w:t>
      </w:r>
    </w:p>
  </w:footnote>
  <w:footnote w:id="9">
    <w:p w14:paraId="337FFD50" w14:textId="77777777" w:rsidR="00F06958" w:rsidRPr="00750C77" w:rsidRDefault="00F06958" w:rsidP="00DE576A">
      <w:pPr>
        <w:spacing w:after="0" w:line="240" w:lineRule="auto"/>
        <w:ind w:left="100" w:right="244" w:firstLine="709"/>
        <w:jc w:val="both"/>
        <w:rPr>
          <w:rFonts w:ascii="Arial" w:hAnsi="Arial" w:cs="Arial"/>
          <w:sz w:val="18"/>
          <w:szCs w:val="18"/>
          <w:lang w:val="es-ES"/>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0">
    <w:p w14:paraId="5025BB55" w14:textId="77777777" w:rsidR="00F06958" w:rsidRDefault="00F06958" w:rsidP="00DE576A">
      <w:pPr>
        <w:pStyle w:val="Textonotapie"/>
        <w:ind w:right="51"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w:t>
      </w:r>
      <w:bookmarkStart w:id="22" w:name="_Hlk74272731"/>
      <w:r w:rsidRPr="00750C77">
        <w:rPr>
          <w:rFonts w:ascii="Arial" w:hAnsi="Arial" w:cs="Arial"/>
          <w:sz w:val="18"/>
          <w:szCs w:val="18"/>
        </w:rPr>
        <w:t>«</w:t>
      </w:r>
      <w:bookmarkEnd w:id="22"/>
      <w:r w:rsidRPr="00750C77">
        <w:rPr>
          <w:rFonts w:ascii="Arial" w:hAnsi="Arial" w:cs="Arial"/>
          <w:sz w:val="18"/>
          <w:szCs w:val="18"/>
          <w:lang w:val="es-ES"/>
        </w:rPr>
        <w:t xml:space="preserve">[25] </w:t>
      </w:r>
      <w:r w:rsidRPr="00750C77">
        <w:rPr>
          <w:rFonts w:ascii="Arial" w:hAnsi="Arial" w:cs="Arial"/>
          <w:sz w:val="18"/>
          <w:szCs w:val="18"/>
        </w:rPr>
        <w:t>Cfr. Consejo de Estado. Sección Tercera. Sentencia de 3 de diciembre de 2007. Radicados: 24.715, 25.206, 25.409, 24.524, 27.834, 25.410, 26.105, 28.244, 31.447 -acumulados-</w:t>
      </w:r>
      <w:bookmarkStart w:id="23" w:name="_Hlk74271358"/>
      <w:r w:rsidRPr="00750C77">
        <w:rPr>
          <w:rFonts w:ascii="Arial" w:hAnsi="Arial" w:cs="Arial"/>
          <w:sz w:val="18"/>
          <w:szCs w:val="18"/>
        </w:rPr>
        <w:t>»</w:t>
      </w:r>
      <w:bookmarkEnd w:id="23"/>
      <w:r w:rsidRPr="00750C77">
        <w:rPr>
          <w:rFonts w:ascii="Arial" w:hAnsi="Arial" w:cs="Arial"/>
          <w:sz w:val="18"/>
          <w:szCs w:val="18"/>
        </w:rPr>
        <w:t>.</w:t>
      </w:r>
    </w:p>
    <w:p w14:paraId="52907A7A" w14:textId="77777777" w:rsidR="00F06958" w:rsidRPr="00750C77" w:rsidRDefault="00F06958" w:rsidP="00DE576A">
      <w:pPr>
        <w:pStyle w:val="Textonotapie"/>
        <w:ind w:right="51" w:firstLine="709"/>
        <w:jc w:val="both"/>
        <w:rPr>
          <w:rFonts w:ascii="Arial" w:hAnsi="Arial" w:cs="Arial"/>
          <w:sz w:val="18"/>
          <w:szCs w:val="18"/>
        </w:rPr>
      </w:pPr>
    </w:p>
  </w:footnote>
  <w:footnote w:id="11">
    <w:p w14:paraId="0BB788EB" w14:textId="77777777" w:rsidR="00F06958" w:rsidRPr="00750C77" w:rsidRDefault="00F06958" w:rsidP="00DE576A">
      <w:pPr>
        <w:pStyle w:val="Textonotapie"/>
        <w:ind w:right="51"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w:t>
      </w:r>
      <w:bookmarkStart w:id="25" w:name="_Hlk74294506"/>
      <w:r w:rsidRPr="00750C77">
        <w:rPr>
          <w:rFonts w:ascii="Arial" w:hAnsi="Arial" w:cs="Arial"/>
          <w:sz w:val="18"/>
          <w:szCs w:val="18"/>
        </w:rPr>
        <w:t>«</w:t>
      </w:r>
      <w:r w:rsidRPr="00750C77">
        <w:rPr>
          <w:rFonts w:ascii="Arial" w:hAnsi="Arial" w:cs="Arial"/>
          <w:sz w:val="18"/>
          <w:szCs w:val="18"/>
          <w:lang w:val="es-ES"/>
        </w:rPr>
        <w:t xml:space="preserve">[26] </w:t>
      </w:r>
      <w:bookmarkEnd w:id="25"/>
      <w:r w:rsidRPr="00750C77">
        <w:rPr>
          <w:rFonts w:ascii="Arial" w:hAnsi="Arial" w:cs="Arial"/>
          <w:sz w:val="18"/>
          <w:szCs w:val="18"/>
        </w:rPr>
        <w:t>Al respecto ver el concepto 1712 de 2 de febrero de 2006. Consejo de Estado Sala de Consulta y Servicio Civil».</w:t>
      </w:r>
    </w:p>
  </w:footnote>
  <w:footnote w:id="12">
    <w:p w14:paraId="1B0C56BF" w14:textId="77777777" w:rsidR="00F06958" w:rsidRPr="00750C77" w:rsidRDefault="00F06958" w:rsidP="00DE576A">
      <w:pPr>
        <w:pStyle w:val="Textonotapie"/>
        <w:ind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footnote>
  <w:footnote w:id="13">
    <w:p w14:paraId="436899C7" w14:textId="77777777" w:rsidR="00F06958" w:rsidRPr="00750C77" w:rsidRDefault="00F06958" w:rsidP="00DE576A">
      <w:pPr>
        <w:pStyle w:val="Textonotapie"/>
        <w:ind w:firstLine="709"/>
        <w:jc w:val="both"/>
        <w:rPr>
          <w:rFonts w:ascii="Arial" w:hAnsi="Arial" w:cs="Arial"/>
          <w:sz w:val="18"/>
          <w:szCs w:val="18"/>
          <w:lang w:val="es-ES"/>
        </w:rPr>
      </w:pPr>
      <w:r w:rsidRPr="00750C77">
        <w:rPr>
          <w:rStyle w:val="Refdenotaalpie"/>
          <w:rFonts w:ascii="Arial" w:hAnsi="Arial" w:cs="Arial"/>
          <w:sz w:val="18"/>
          <w:szCs w:val="18"/>
        </w:rPr>
        <w:footnoteRef/>
      </w:r>
      <w:r w:rsidRPr="00750C77">
        <w:rPr>
          <w:rFonts w:ascii="Arial" w:hAnsi="Arial" w:cs="Arial"/>
          <w:sz w:val="18"/>
          <w:szCs w:val="18"/>
        </w:rPr>
        <w:t xml:space="preserve"> </w:t>
      </w:r>
      <w:r w:rsidRPr="00750C77">
        <w:rPr>
          <w:rFonts w:ascii="Arial" w:hAnsi="Arial" w:cs="Arial"/>
          <w:sz w:val="18"/>
          <w:szCs w:val="18"/>
          <w:lang w:val="es-ES"/>
        </w:rPr>
        <w:t xml:space="preserve">Artículo 2. </w:t>
      </w:r>
    </w:p>
  </w:footnote>
  <w:footnote w:id="14">
    <w:p w14:paraId="1EE05092" w14:textId="77777777" w:rsidR="00F06958" w:rsidRDefault="00F06958" w:rsidP="00DE576A">
      <w:pPr>
        <w:pStyle w:val="Textonotapie"/>
        <w:jc w:val="both"/>
        <w:rPr>
          <w:rFonts w:ascii="Arial" w:hAnsi="Arial" w:cs="Arial"/>
          <w:sz w:val="18"/>
          <w:szCs w:val="18"/>
        </w:rPr>
      </w:pPr>
    </w:p>
    <w:p w14:paraId="1E7FAC62" w14:textId="77777777" w:rsidR="00F06958" w:rsidRPr="00750C77" w:rsidRDefault="00F06958" w:rsidP="00DE576A">
      <w:pPr>
        <w:pStyle w:val="Textonotapie"/>
        <w:ind w:firstLine="709"/>
        <w:jc w:val="both"/>
        <w:rPr>
          <w:rFonts w:ascii="Arial" w:hAnsi="Arial" w:cs="Arial"/>
          <w:sz w:val="18"/>
          <w:szCs w:val="18"/>
          <w:lang w:val="es-ES"/>
        </w:rPr>
      </w:pPr>
      <w:r w:rsidRPr="00750C77">
        <w:rPr>
          <w:rStyle w:val="Refdenotaalpie"/>
          <w:rFonts w:ascii="Arial" w:hAnsi="Arial" w:cs="Arial"/>
          <w:sz w:val="18"/>
          <w:szCs w:val="18"/>
        </w:rPr>
        <w:footnoteRef/>
      </w:r>
      <w:r w:rsidRPr="00750C77">
        <w:rPr>
          <w:rFonts w:ascii="Arial" w:hAnsi="Arial" w:cs="Arial"/>
          <w:sz w:val="18"/>
          <w:szCs w:val="18"/>
        </w:rPr>
        <w:t xml:space="preserve"> </w:t>
      </w:r>
      <w:r w:rsidRPr="00750C77">
        <w:rPr>
          <w:rFonts w:ascii="Arial" w:hAnsi="Arial" w:cs="Arial"/>
          <w:i/>
          <w:sz w:val="18"/>
          <w:szCs w:val="18"/>
          <w:lang w:val="es-ES"/>
        </w:rPr>
        <w:t>Ídem</w:t>
      </w:r>
      <w:r w:rsidRPr="00750C77">
        <w:rPr>
          <w:rFonts w:ascii="Arial" w:hAnsi="Arial" w:cs="Arial"/>
          <w:sz w:val="18"/>
          <w:szCs w:val="18"/>
          <w:lang w:val="es-ES"/>
        </w:rPr>
        <w:t>.</w:t>
      </w:r>
    </w:p>
  </w:footnote>
  <w:footnote w:id="15">
    <w:p w14:paraId="2305000C" w14:textId="77777777" w:rsidR="00F06958" w:rsidRDefault="00F06958" w:rsidP="00DE576A">
      <w:pPr>
        <w:pStyle w:val="Textonotapie"/>
        <w:jc w:val="both"/>
        <w:rPr>
          <w:rFonts w:ascii="Arial" w:hAnsi="Arial" w:cs="Arial"/>
          <w:sz w:val="18"/>
          <w:szCs w:val="18"/>
        </w:rPr>
      </w:pPr>
    </w:p>
    <w:p w14:paraId="11DF9B0A" w14:textId="77777777" w:rsidR="00F06958" w:rsidRPr="00750C77" w:rsidRDefault="00F06958" w:rsidP="00DE576A">
      <w:pPr>
        <w:pStyle w:val="Textonotapie"/>
        <w:ind w:firstLine="709"/>
        <w:jc w:val="both"/>
        <w:rPr>
          <w:rFonts w:ascii="Arial" w:hAnsi="Arial" w:cs="Arial"/>
          <w:sz w:val="18"/>
          <w:szCs w:val="18"/>
          <w:lang w:val="es-ES"/>
        </w:rPr>
      </w:pPr>
      <w:r w:rsidRPr="00750C77">
        <w:rPr>
          <w:rStyle w:val="Refdenotaalpie"/>
          <w:rFonts w:ascii="Arial" w:hAnsi="Arial" w:cs="Arial"/>
          <w:sz w:val="18"/>
          <w:szCs w:val="18"/>
        </w:rPr>
        <w:footnoteRef/>
      </w:r>
      <w:r w:rsidRPr="00750C77">
        <w:rPr>
          <w:rStyle w:val="Refdenotaalpie"/>
          <w:rFonts w:ascii="Arial" w:hAnsi="Arial" w:cs="Arial"/>
          <w:sz w:val="18"/>
          <w:szCs w:val="18"/>
        </w:rPr>
        <w:t xml:space="preserve"> </w:t>
      </w:r>
      <w:bookmarkStart w:id="30" w:name="_Hlk74297130"/>
      <w:r w:rsidRPr="00750C77">
        <w:rPr>
          <w:rFonts w:ascii="Arial" w:hAnsi="Arial" w:cs="Arial"/>
          <w:sz w:val="18"/>
          <w:szCs w:val="18"/>
          <w:lang w:val="es-ES"/>
        </w:rPr>
        <w:t>«</w:t>
      </w:r>
      <w:bookmarkEnd w:id="30"/>
      <w:r w:rsidRPr="00750C77">
        <w:rPr>
          <w:rFonts w:ascii="Arial" w:hAnsi="Arial" w:cs="Arial"/>
          <w:sz w:val="18"/>
          <w:szCs w:val="18"/>
          <w:lang w:val="es-ES"/>
        </w:rPr>
        <w:t xml:space="preserve">[…] A este respecto, cabe recordar que el artículo 860 del Código de Comercio regula la licitación en el derecho privado». </w:t>
      </w:r>
    </w:p>
  </w:footnote>
  <w:footnote w:id="16">
    <w:p w14:paraId="4A4B7778" w14:textId="77777777" w:rsidR="00F06958" w:rsidRPr="00750C77" w:rsidRDefault="00F06958" w:rsidP="00DE576A">
      <w:pPr>
        <w:shd w:val="clear" w:color="auto" w:fill="FFFFFF"/>
        <w:spacing w:after="0" w:line="240" w:lineRule="auto"/>
        <w:ind w:firstLine="709"/>
        <w:jc w:val="both"/>
        <w:rPr>
          <w:rFonts w:ascii="Arial" w:hAnsi="Arial" w:cs="Arial"/>
          <w:sz w:val="18"/>
          <w:szCs w:val="18"/>
          <w:lang w:val="es-ES"/>
        </w:rPr>
      </w:pPr>
      <w:r w:rsidRPr="00750C77">
        <w:rPr>
          <w:rStyle w:val="Refdenotaalpie"/>
          <w:rFonts w:ascii="Arial" w:hAnsi="Arial" w:cs="Arial"/>
          <w:sz w:val="18"/>
          <w:szCs w:val="18"/>
        </w:rPr>
        <w:footnoteRef/>
      </w:r>
      <w:r w:rsidRPr="00750C77">
        <w:rPr>
          <w:rStyle w:val="Refdenotaalpie"/>
          <w:rFonts w:ascii="Arial" w:hAnsi="Arial" w:cs="Arial"/>
          <w:sz w:val="18"/>
          <w:szCs w:val="18"/>
        </w:rPr>
        <w:t xml:space="preserve"> </w:t>
      </w:r>
      <w:r w:rsidRPr="00750C77">
        <w:rPr>
          <w:rFonts w:ascii="Arial" w:hAnsi="Arial" w:cs="Arial"/>
          <w:sz w:val="18"/>
          <w:szCs w:val="18"/>
          <w:lang w:val="es-ES"/>
        </w:rPr>
        <w:t>Consejo de Estado. Sala de Consulta y Servicio Civil, Concepto de 8 de mayo de 2018. Radicación Número: 11001-03-06-000-2018-00095-00(2382). Consejero Ponente: Álvaro Namén Vargas.</w:t>
      </w:r>
    </w:p>
  </w:footnote>
  <w:footnote w:id="17">
    <w:p w14:paraId="4C331035" w14:textId="77777777" w:rsidR="00F06958" w:rsidRPr="00750C77" w:rsidRDefault="00F06958" w:rsidP="00DE576A">
      <w:pPr>
        <w:pStyle w:val="Textonotapie"/>
        <w:ind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Consulta y Servicio Civil. Concepto del 08 de mayo de 2018. Exp. 2.382. C.P. Álvaro Namén Vargas.</w:t>
      </w:r>
    </w:p>
  </w:footnote>
  <w:footnote w:id="18">
    <w:p w14:paraId="5E01A462" w14:textId="77777777" w:rsidR="00F06958" w:rsidRPr="00750C77" w:rsidRDefault="00F06958" w:rsidP="00DE576A">
      <w:pPr>
        <w:pStyle w:val="Textonotapie"/>
        <w:ind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000C295C" w14:textId="77777777" w:rsidR="00F06958" w:rsidRPr="00750C77" w:rsidRDefault="00F06958" w:rsidP="00DE576A">
      <w:pPr>
        <w:spacing w:after="0" w:line="240" w:lineRule="auto"/>
        <w:ind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6D9B5528" w14:textId="77777777" w:rsidR="00F06958" w:rsidRPr="00750C77" w:rsidRDefault="00F06958" w:rsidP="00DE576A">
      <w:pPr>
        <w:pStyle w:val="Textonotapie"/>
        <w:ind w:right="51"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w:t>
      </w:r>
      <w:bookmarkStart w:id="45" w:name="_Hlk75633115"/>
      <w:r w:rsidRPr="00750C77">
        <w:rPr>
          <w:rFonts w:ascii="Arial" w:hAnsi="Arial" w:cs="Arial"/>
          <w:sz w:val="18"/>
          <w:szCs w:val="18"/>
        </w:rPr>
        <w:t xml:space="preserve">Consejo de Estado. Sala de Consulta y Servicio Civil. Concepto </w:t>
      </w:r>
      <w:bookmarkEnd w:id="45"/>
      <w:r w:rsidRPr="00750C77">
        <w:rPr>
          <w:rFonts w:ascii="Arial" w:hAnsi="Arial" w:cs="Arial"/>
          <w:sz w:val="18"/>
          <w:szCs w:val="18"/>
        </w:rPr>
        <w:t>de 6 de abril de 2006. Radicación Número: 11001-03-06-000-2006-00038-00(1738). Consejero Ponente: Enrique José Arboleda Perdomo:</w:t>
      </w:r>
      <w:r w:rsidRPr="00750C77">
        <w:rPr>
          <w:rFonts w:ascii="Arial" w:eastAsia="Times New Roman" w:hAnsi="Arial" w:cs="Arial"/>
          <w:bCs/>
          <w:sz w:val="18"/>
          <w:szCs w:val="18"/>
          <w:lang w:eastAsia="x-none"/>
        </w:rPr>
        <w:t xml:space="preserve"> «</w:t>
      </w:r>
      <w:r w:rsidRPr="00750C77">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750C77">
        <w:rPr>
          <w:rFonts w:ascii="Arial" w:eastAsia="Times New Roman" w:hAnsi="Arial" w:cs="Arial"/>
          <w:bCs/>
          <w:sz w:val="18"/>
          <w:szCs w:val="18"/>
          <w:lang w:eastAsia="x-none"/>
        </w:rPr>
        <w:t>».</w:t>
      </w:r>
    </w:p>
  </w:footnote>
  <w:footnote w:id="21">
    <w:p w14:paraId="7B1EDC36" w14:textId="77777777" w:rsidR="00F06958" w:rsidRPr="00750C77" w:rsidRDefault="00F06958" w:rsidP="00DE576A">
      <w:pPr>
        <w:pStyle w:val="Textonotapie"/>
        <w:ind w:right="51"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p>
  </w:footnote>
  <w:footnote w:id="22">
    <w:p w14:paraId="69F2F4D5" w14:textId="77777777" w:rsidR="00F06958" w:rsidRPr="00750C77" w:rsidRDefault="00F06958" w:rsidP="00DE576A">
      <w:pPr>
        <w:pStyle w:val="Textonotapie"/>
        <w:ind w:right="51" w:firstLine="709"/>
        <w:jc w:val="both"/>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Consulta y Servicio Civil,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2BC4" w14:textId="2CCCD38F" w:rsidR="00412132" w:rsidRDefault="00E521C0">
    <w:pPr>
      <w:pStyle w:val="Encabezado"/>
    </w:pPr>
    <w:r>
      <w:rPr>
        <w:noProof/>
        <w:lang w:eastAsia="es-CO"/>
      </w:rPr>
      <w:drawing>
        <wp:anchor distT="0" distB="0" distL="114300" distR="114300" simplePos="0" relativeHeight="251659264" behindDoc="1" locked="0" layoutInCell="1" allowOverlap="1" wp14:anchorId="5869370C" wp14:editId="5771A7A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E2F32A" w14:textId="77777777" w:rsidR="00FE0395" w:rsidRDefault="00B8248F" w:rsidP="00FE0395">
    <w:pPr>
      <w:pStyle w:val="Encabezado"/>
    </w:pPr>
  </w:p>
  <w:p w14:paraId="1F9780EE" w14:textId="5A607F7E" w:rsidR="00412132" w:rsidRDefault="00B8248F">
    <w:pPr>
      <w:pStyle w:val="Encabezado"/>
    </w:pPr>
  </w:p>
  <w:p w14:paraId="4307DA1E" w14:textId="77777777" w:rsidR="00DE576A" w:rsidRDefault="00DE57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58"/>
    <w:rsid w:val="000D0960"/>
    <w:rsid w:val="0014059A"/>
    <w:rsid w:val="001F013D"/>
    <w:rsid w:val="00215DB2"/>
    <w:rsid w:val="003D2E3F"/>
    <w:rsid w:val="00415D72"/>
    <w:rsid w:val="004213B5"/>
    <w:rsid w:val="0042362A"/>
    <w:rsid w:val="00426CB3"/>
    <w:rsid w:val="004628B9"/>
    <w:rsid w:val="004878C0"/>
    <w:rsid w:val="004F3901"/>
    <w:rsid w:val="00501F88"/>
    <w:rsid w:val="00537C63"/>
    <w:rsid w:val="005B74B1"/>
    <w:rsid w:val="006A7CC2"/>
    <w:rsid w:val="00734534"/>
    <w:rsid w:val="007843A9"/>
    <w:rsid w:val="007D5B43"/>
    <w:rsid w:val="00957EF9"/>
    <w:rsid w:val="00A01FC0"/>
    <w:rsid w:val="00AF206D"/>
    <w:rsid w:val="00B8248F"/>
    <w:rsid w:val="00C36265"/>
    <w:rsid w:val="00C616DD"/>
    <w:rsid w:val="00CA6585"/>
    <w:rsid w:val="00D233E5"/>
    <w:rsid w:val="00D911F4"/>
    <w:rsid w:val="00DC3185"/>
    <w:rsid w:val="00DD7731"/>
    <w:rsid w:val="00DE576A"/>
    <w:rsid w:val="00E400C9"/>
    <w:rsid w:val="00E521C0"/>
    <w:rsid w:val="00E7386C"/>
    <w:rsid w:val="00E955EC"/>
    <w:rsid w:val="00E9704D"/>
    <w:rsid w:val="00F06958"/>
    <w:rsid w:val="00F4207E"/>
    <w:rsid w:val="00F5407E"/>
    <w:rsid w:val="00F835AF"/>
    <w:rsid w:val="00F93BBE"/>
    <w:rsid w:val="00FA6E6F"/>
    <w:rsid w:val="00FE6A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08D6"/>
  <w15:chartTrackingRefBased/>
  <w15:docId w15:val="{A52C5E27-B049-4350-9B54-5BCBE0D2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069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6958"/>
  </w:style>
  <w:style w:type="paragraph" w:styleId="Encabezado">
    <w:name w:val="header"/>
    <w:basedOn w:val="Normal"/>
    <w:link w:val="EncabezadoCar"/>
    <w:uiPriority w:val="99"/>
    <w:unhideWhenUsed/>
    <w:rsid w:val="00F069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6958"/>
  </w:style>
  <w:style w:type="paragraph" w:styleId="NormalWeb">
    <w:name w:val="Normal (Web)"/>
    <w:basedOn w:val="Normal"/>
    <w:uiPriority w:val="99"/>
    <w:semiHidden/>
    <w:unhideWhenUsed/>
    <w:rsid w:val="00F06958"/>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F069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6958"/>
    <w:rPr>
      <w:sz w:val="20"/>
      <w:szCs w:val="20"/>
    </w:rPr>
  </w:style>
  <w:style w:type="table" w:styleId="Tablaconcuadrcula">
    <w:name w:val="Table Grid"/>
    <w:basedOn w:val="Tablanormal"/>
    <w:uiPriority w:val="39"/>
    <w:rsid w:val="00F0695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06958"/>
    <w:pPr>
      <w:spacing w:after="0" w:line="240" w:lineRule="auto"/>
      <w:jc w:val="both"/>
    </w:pPr>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F06958"/>
    <w:rPr>
      <w:vertAlign w:val="superscript"/>
    </w:rPr>
  </w:style>
  <w:style w:type="paragraph" w:customStyle="1" w:styleId="Appelnotedebasde">
    <w:name w:val="Appel note de bas de..."/>
    <w:basedOn w:val="Normal"/>
    <w:link w:val="Refdenotaalpie"/>
    <w:uiPriority w:val="99"/>
    <w:rsid w:val="00F06958"/>
    <w:pPr>
      <w:spacing w:line="240" w:lineRule="exact"/>
      <w:jc w:val="both"/>
    </w:pPr>
    <w:rPr>
      <w:vertAlign w:val="superscript"/>
    </w:rPr>
  </w:style>
  <w:style w:type="table" w:customStyle="1" w:styleId="Tablaconcuadrcula1">
    <w:name w:val="Tabla con cuadrícula1"/>
    <w:basedOn w:val="Tablanormal"/>
    <w:next w:val="Tablaconcuadrcula"/>
    <w:uiPriority w:val="39"/>
    <w:rsid w:val="00F0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06958"/>
  </w:style>
  <w:style w:type="paragraph" w:styleId="Prrafodelista">
    <w:name w:val="List Paragraph"/>
    <w:basedOn w:val="Normal"/>
    <w:uiPriority w:val="34"/>
    <w:qFormat/>
    <w:rsid w:val="00426CB3"/>
    <w:pPr>
      <w:ind w:left="720"/>
      <w:contextualSpacing/>
    </w:pPr>
  </w:style>
  <w:style w:type="character" w:styleId="Refdecomentario">
    <w:name w:val="annotation reference"/>
    <w:basedOn w:val="Fuentedeprrafopredeter"/>
    <w:uiPriority w:val="99"/>
    <w:semiHidden/>
    <w:unhideWhenUsed/>
    <w:rsid w:val="0014059A"/>
    <w:rPr>
      <w:sz w:val="16"/>
      <w:szCs w:val="16"/>
    </w:rPr>
  </w:style>
  <w:style w:type="paragraph" w:styleId="Textocomentario">
    <w:name w:val="annotation text"/>
    <w:basedOn w:val="Normal"/>
    <w:link w:val="TextocomentarioCar"/>
    <w:uiPriority w:val="99"/>
    <w:unhideWhenUsed/>
    <w:rsid w:val="0014059A"/>
    <w:pPr>
      <w:spacing w:line="240" w:lineRule="auto"/>
    </w:pPr>
    <w:rPr>
      <w:sz w:val="20"/>
      <w:szCs w:val="20"/>
    </w:rPr>
  </w:style>
  <w:style w:type="character" w:customStyle="1" w:styleId="TextocomentarioCar">
    <w:name w:val="Texto comentario Car"/>
    <w:basedOn w:val="Fuentedeprrafopredeter"/>
    <w:link w:val="Textocomentario"/>
    <w:uiPriority w:val="99"/>
    <w:rsid w:val="0014059A"/>
    <w:rPr>
      <w:sz w:val="20"/>
      <w:szCs w:val="20"/>
    </w:rPr>
  </w:style>
  <w:style w:type="paragraph" w:styleId="Asuntodelcomentario">
    <w:name w:val="annotation subject"/>
    <w:basedOn w:val="Textocomentario"/>
    <w:next w:val="Textocomentario"/>
    <w:link w:val="AsuntodelcomentarioCar"/>
    <w:uiPriority w:val="99"/>
    <w:semiHidden/>
    <w:unhideWhenUsed/>
    <w:rsid w:val="0014059A"/>
    <w:rPr>
      <w:b/>
      <w:bCs/>
    </w:rPr>
  </w:style>
  <w:style w:type="character" w:customStyle="1" w:styleId="AsuntodelcomentarioCar">
    <w:name w:val="Asunto del comentario Car"/>
    <w:basedOn w:val="TextocomentarioCar"/>
    <w:link w:val="Asuntodelcomentario"/>
    <w:uiPriority w:val="99"/>
    <w:semiHidden/>
    <w:rsid w:val="0014059A"/>
    <w:rPr>
      <w:b/>
      <w:bCs/>
      <w:sz w:val="20"/>
      <w:szCs w:val="20"/>
    </w:rPr>
  </w:style>
  <w:style w:type="paragraph" w:styleId="Revisin">
    <w:name w:val="Revision"/>
    <w:hidden/>
    <w:uiPriority w:val="99"/>
    <w:semiHidden/>
    <w:rsid w:val="005B7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55FDF-CC74-4F55-9B6A-232E922E85E2}">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2C31C5C7-6CC0-4E41-B2CF-E9F7E3BA0360}">
  <ds:schemaRefs>
    <ds:schemaRef ds:uri="http://schemas.microsoft.com/sharepoint/v3/contenttype/forms"/>
  </ds:schemaRefs>
</ds:datastoreItem>
</file>

<file path=customXml/itemProps3.xml><?xml version="1.0" encoding="utf-8"?>
<ds:datastoreItem xmlns:ds="http://schemas.openxmlformats.org/officeDocument/2006/customXml" ds:itemID="{6DDF7DF6-121E-4667-AABC-82BF59F8F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5278</Words>
  <Characters>29032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MARIA CLAUDIA DE LA OSSA BOBADILLA</cp:lastModifiedBy>
  <cp:revision>2</cp:revision>
  <dcterms:created xsi:type="dcterms:W3CDTF">2022-06-22T15:23:00Z</dcterms:created>
  <dcterms:modified xsi:type="dcterms:W3CDTF">2022-06-22T15:23:00Z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