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B2D4" w14:textId="745B2FA3" w:rsidR="00D43747" w:rsidRDefault="003F7B85" w:rsidP="003F7B85">
      <w:pPr>
        <w:pStyle w:val="paragraph"/>
        <w:spacing w:before="0" w:beforeAutospacing="0" w:after="0" w:afterAutospacing="0"/>
        <w:jc w:val="both"/>
        <w:textAlignment w:val="baseline"/>
        <w:rPr>
          <w:rStyle w:val="normaltextrun"/>
          <w:rFonts w:ascii="Arial" w:hAnsi="Arial" w:cs="Arial"/>
          <w:b/>
          <w:bCs/>
          <w:color w:val="000000"/>
          <w:sz w:val="22"/>
          <w:szCs w:val="22"/>
        </w:rPr>
      </w:pPr>
      <w:r w:rsidRPr="00DA3080">
        <w:rPr>
          <w:rStyle w:val="normaltextrun"/>
          <w:rFonts w:ascii="Arial" w:hAnsi="Arial" w:cs="Arial"/>
          <w:b/>
          <w:bCs/>
          <w:color w:val="000000"/>
          <w:sz w:val="22"/>
          <w:szCs w:val="22"/>
          <w:lang w:val="es-ES"/>
        </w:rPr>
        <w:t>MÍNIMA CUANTÍA</w:t>
      </w:r>
      <w:r w:rsidRPr="00DA3080">
        <w:rPr>
          <w:rStyle w:val="normaltextrun"/>
          <w:rFonts w:ascii="Arial" w:hAnsi="Arial" w:cs="Arial"/>
          <w:b/>
          <w:bCs/>
          <w:color w:val="000000"/>
          <w:sz w:val="22"/>
          <w:szCs w:val="22"/>
        </w:rPr>
        <w:t> –</w:t>
      </w:r>
      <w:r w:rsidR="00D43747">
        <w:rPr>
          <w:rStyle w:val="normaltextrun"/>
          <w:rFonts w:ascii="Arial" w:hAnsi="Arial" w:cs="Arial"/>
          <w:b/>
          <w:bCs/>
          <w:color w:val="000000"/>
          <w:sz w:val="22"/>
          <w:szCs w:val="22"/>
        </w:rPr>
        <w:t xml:space="preserve"> Generalidades</w:t>
      </w:r>
      <w:r w:rsidR="00BC5D91">
        <w:rPr>
          <w:rStyle w:val="normaltextrun"/>
          <w:rFonts w:ascii="Arial" w:hAnsi="Arial" w:cs="Arial"/>
          <w:b/>
          <w:bCs/>
          <w:color w:val="000000"/>
          <w:sz w:val="22"/>
          <w:szCs w:val="22"/>
        </w:rPr>
        <w:t xml:space="preserve"> – Ley 1150 de 2007</w:t>
      </w:r>
    </w:p>
    <w:p w14:paraId="7E237215" w14:textId="77777777" w:rsidR="00D43747" w:rsidRDefault="00D43747" w:rsidP="003F7B85">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16B22522" w14:textId="4CE45221" w:rsidR="00D43747" w:rsidRPr="00D43747" w:rsidRDefault="009C029F" w:rsidP="003F7B85">
      <w:pPr>
        <w:pStyle w:val="paragraph"/>
        <w:spacing w:before="0" w:beforeAutospacing="0" w:after="0" w:afterAutospacing="0"/>
        <w:jc w:val="both"/>
        <w:textAlignment w:val="baseline"/>
        <w:rPr>
          <w:rStyle w:val="normaltextrun"/>
          <w:rFonts w:ascii="Arial" w:hAnsi="Arial" w:cs="Arial"/>
          <w:color w:val="000000"/>
          <w:sz w:val="20"/>
          <w:szCs w:val="20"/>
        </w:rPr>
      </w:pPr>
      <w:r w:rsidRPr="009C029F">
        <w:rPr>
          <w:rStyle w:val="normaltextrun"/>
          <w:rFonts w:ascii="Arial" w:hAnsi="Arial" w:cs="Arial"/>
          <w:color w:val="000000"/>
          <w:sz w:val="20"/>
          <w:szCs w:val="20"/>
        </w:rPr>
        <w:t>La mínima cuantía es una modalidad de selección en virtud de la cual la entidad estatal realiza una convocatoria pública para recibir ofertas de bienes, obras o servicios cuyo valor no excede el diez por ciento –10%– de la menor cuantía. Fue creada por el artículo 94 de la Ley 1474 de 2011 –que adicionó el numeral 5º al artículo 2 de la Ley 1150 de 2007–, estableciendo que el factor determinante para adelantar tal procedimiento es la cuantía–calculada como presupuesto oficial a partir del estudio del sector–, independientemente de su objeto.</w:t>
      </w:r>
    </w:p>
    <w:p w14:paraId="09D261B7" w14:textId="77777777" w:rsidR="00D43747" w:rsidRDefault="00D43747" w:rsidP="003F7B85">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14D8B262" w14:textId="2C057831" w:rsidR="003F7B85" w:rsidRPr="00DA3080" w:rsidRDefault="00D43747"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MÍNIMA CUANTÍA </w:t>
      </w:r>
      <w:r w:rsidR="00BC5D91">
        <w:rPr>
          <w:rStyle w:val="normaltextrun"/>
          <w:rFonts w:ascii="Arial" w:hAnsi="Arial" w:cs="Arial"/>
          <w:b/>
          <w:bCs/>
          <w:color w:val="000000"/>
          <w:sz w:val="22"/>
          <w:szCs w:val="22"/>
        </w:rPr>
        <w:t xml:space="preserve">– </w:t>
      </w:r>
      <w:r w:rsidR="003F7B85" w:rsidRPr="00DA3080">
        <w:rPr>
          <w:rStyle w:val="normaltextrun"/>
          <w:rFonts w:ascii="Arial" w:hAnsi="Arial" w:cs="Arial"/>
          <w:b/>
          <w:bCs/>
          <w:color w:val="000000"/>
          <w:sz w:val="22"/>
          <w:szCs w:val="22"/>
        </w:rPr>
        <w:t>Normas reglamentarias – Decreto 1082 de 2015 –</w:t>
      </w:r>
      <w:r w:rsidR="00BC5D91">
        <w:rPr>
          <w:rStyle w:val="normaltextrun"/>
          <w:rFonts w:ascii="Arial" w:hAnsi="Arial" w:cs="Arial"/>
          <w:b/>
          <w:bCs/>
          <w:color w:val="000000"/>
          <w:sz w:val="22"/>
          <w:szCs w:val="22"/>
        </w:rPr>
        <w:t xml:space="preserve"> Decreto 1860 de 2021 –</w:t>
      </w:r>
      <w:r w:rsidR="003F0360" w:rsidRPr="00DA3080">
        <w:rPr>
          <w:rStyle w:val="normaltextrun"/>
          <w:rFonts w:ascii="Arial" w:hAnsi="Arial" w:cs="Arial"/>
          <w:b/>
          <w:bCs/>
          <w:color w:val="000000"/>
          <w:sz w:val="22"/>
          <w:szCs w:val="22"/>
        </w:rPr>
        <w:t xml:space="preserve"> </w:t>
      </w:r>
      <w:r w:rsidR="003F7B85" w:rsidRPr="00DA3080">
        <w:rPr>
          <w:rStyle w:val="normaltextrun"/>
          <w:rFonts w:ascii="Arial" w:hAnsi="Arial" w:cs="Arial"/>
          <w:b/>
          <w:bCs/>
          <w:color w:val="000000"/>
          <w:sz w:val="22"/>
          <w:szCs w:val="22"/>
        </w:rPr>
        <w:t>Vigencia</w:t>
      </w:r>
      <w:r w:rsidR="003F7B85" w:rsidRPr="00DA3080">
        <w:rPr>
          <w:rStyle w:val="eop"/>
          <w:rFonts w:ascii="Arial" w:hAnsi="Arial" w:cs="Arial"/>
          <w:color w:val="000000"/>
          <w:sz w:val="22"/>
          <w:szCs w:val="22"/>
        </w:rPr>
        <w:t> </w:t>
      </w:r>
    </w:p>
    <w:p w14:paraId="584004E9" w14:textId="77777777"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eop"/>
          <w:rFonts w:ascii="Arial" w:hAnsi="Arial" w:cs="Arial"/>
          <w:color w:val="000000"/>
          <w:sz w:val="22"/>
          <w:szCs w:val="22"/>
        </w:rPr>
        <w:t> </w:t>
      </w:r>
    </w:p>
    <w:p w14:paraId="7A7D87BD" w14:textId="77777777" w:rsidR="00A31DF9" w:rsidRPr="00A31DF9" w:rsidRDefault="00425AF4" w:rsidP="00A31DF9">
      <w:pPr>
        <w:tabs>
          <w:tab w:val="left" w:pos="709"/>
        </w:tabs>
        <w:spacing w:after="0" w:line="240" w:lineRule="auto"/>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003E394E">
        <w:rPr>
          <w:rFonts w:ascii="Arial" w:eastAsia="Calibri" w:hAnsi="Arial" w:cs="Arial"/>
          <w:color w:val="000000" w:themeColor="text1"/>
          <w:sz w:val="20"/>
          <w:szCs w:val="20"/>
          <w:lang w:val="es-ES_tradnl"/>
        </w:rPr>
        <w:t xml:space="preserve">] </w:t>
      </w:r>
      <w:r w:rsidR="00A31DF9" w:rsidRPr="00A31DF9">
        <w:rPr>
          <w:rFonts w:ascii="Arial" w:eastAsia="Calibri" w:hAnsi="Arial" w:cs="Arial"/>
          <w:color w:val="000000" w:themeColor="text1"/>
          <w:sz w:val="20"/>
          <w:szCs w:val="20"/>
          <w:lang w:val="es-ES_tradnl"/>
        </w:rPr>
        <w:t>hace unos meses se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 el procedimiento de mínima cuantía. De esta manera,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5FD32FB5" w14:textId="77777777" w:rsidR="00A31DF9" w:rsidRDefault="00A31DF9" w:rsidP="00A31DF9">
      <w:pPr>
        <w:tabs>
          <w:tab w:val="left" w:pos="709"/>
        </w:tabs>
        <w:spacing w:after="0" w:line="240" w:lineRule="auto"/>
        <w:rPr>
          <w:rFonts w:ascii="Arial" w:eastAsia="Calibri" w:hAnsi="Arial" w:cs="Arial"/>
          <w:color w:val="000000" w:themeColor="text1"/>
          <w:sz w:val="20"/>
          <w:szCs w:val="20"/>
          <w:lang w:val="es-ES_tradnl"/>
        </w:rPr>
      </w:pPr>
    </w:p>
    <w:p w14:paraId="48B4C66E" w14:textId="43DA2A6A" w:rsidR="003E394E" w:rsidRDefault="00A31DF9" w:rsidP="00A31DF9">
      <w:pPr>
        <w:tabs>
          <w:tab w:val="left" w:pos="709"/>
        </w:tabs>
        <w:spacing w:after="0" w:line="240" w:lineRule="auto"/>
        <w:rPr>
          <w:rFonts w:ascii="Arial" w:eastAsia="Calibri" w:hAnsi="Arial" w:cs="Arial"/>
          <w:color w:val="000000" w:themeColor="text1"/>
          <w:sz w:val="20"/>
          <w:szCs w:val="20"/>
          <w:lang w:val="es-ES_tradnl"/>
        </w:rPr>
      </w:pPr>
      <w:r w:rsidRPr="00A31DF9">
        <w:rPr>
          <w:rFonts w:ascii="Arial" w:eastAsia="Calibri" w:hAnsi="Arial" w:cs="Arial"/>
          <w:color w:val="000000" w:themeColor="text1"/>
          <w:sz w:val="20"/>
          <w:szCs w:val="20"/>
          <w:lang w:val="es-ES_tradnl"/>
        </w:rPr>
        <w:t>Teniendo en cuenta lo anterior, la nueva Subsección 5 a que se hizo referencia contiene los siguientes artículos: i) 2.2.1.2.1.5.1. que se ocupa de desarrollar el contenido de los estudios previos para la contratación de mínima cuantía. ii) 2.2.1.2.1.5.2.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 iii) 2.2.1.2.1.5.3. que regula un procedimiento especial para las adquisiciones en grandes almacenes cuando se trate de mínima cuantía. iv) 2.2.1.2.1.5.4. el cual establece la posibilidad de que la Agencia Nacional de Contratación Pública – Colombia Compra Eficiente cree y establezca las reglas para la utilización de Instrumentos de agregación de demanda en la Tienda Virtual del Estado Colombiano para adquisiciones hasta el monto de la mínima cuantía con Mipyme y con grandes almacenes. Y v) 2.2.1.2.1.5.5. el cual establece que la entidad estatal es libre de exigir o no garantías en el proceso de selección de mínima cuantía y en la adquisición de «grandes almacenes».</w:t>
      </w:r>
    </w:p>
    <w:p w14:paraId="13EE13E6" w14:textId="183A78CF" w:rsidR="003E394E" w:rsidRDefault="003E394E" w:rsidP="00425AF4">
      <w:pPr>
        <w:tabs>
          <w:tab w:val="left" w:pos="709"/>
        </w:tabs>
        <w:spacing w:after="120" w:line="240" w:lineRule="auto"/>
        <w:rPr>
          <w:rFonts w:ascii="Arial" w:eastAsia="Calibri" w:hAnsi="Arial" w:cs="Arial"/>
          <w:color w:val="000000" w:themeColor="text1"/>
          <w:sz w:val="20"/>
          <w:szCs w:val="20"/>
          <w:lang w:val="es-ES_tradnl"/>
        </w:rPr>
      </w:pPr>
    </w:p>
    <w:p w14:paraId="3B4CD379" w14:textId="34BA2F6D" w:rsidR="00F936A4" w:rsidRDefault="005004BF" w:rsidP="00F936A4">
      <w:pPr>
        <w:tabs>
          <w:tab w:val="left" w:pos="709"/>
        </w:tabs>
        <w:spacing w:after="0" w:line="240" w:lineRule="auto"/>
        <w:rPr>
          <w:rFonts w:ascii="Arial" w:eastAsia="Calibri" w:hAnsi="Arial" w:cs="Arial"/>
          <w:b/>
          <w:bCs/>
          <w:color w:val="000000" w:themeColor="text1"/>
          <w:sz w:val="22"/>
          <w:lang w:val="es-ES_tradnl"/>
        </w:rPr>
      </w:pPr>
      <w:r w:rsidRPr="00E947EA">
        <w:rPr>
          <w:rFonts w:ascii="Arial" w:eastAsia="Calibri" w:hAnsi="Arial" w:cs="Arial"/>
          <w:b/>
          <w:bCs/>
          <w:color w:val="000000" w:themeColor="text1"/>
          <w:sz w:val="22"/>
          <w:lang w:val="es-ES_tradnl"/>
        </w:rPr>
        <w:t>DÍAS HÁBILES – Concepto – Cómputo de términos</w:t>
      </w:r>
    </w:p>
    <w:p w14:paraId="42D2BD44" w14:textId="77777777" w:rsidR="00F936A4" w:rsidRDefault="00F936A4" w:rsidP="00F936A4">
      <w:pPr>
        <w:tabs>
          <w:tab w:val="left" w:pos="709"/>
        </w:tabs>
        <w:spacing w:after="0" w:line="240" w:lineRule="auto"/>
        <w:rPr>
          <w:rFonts w:ascii="Arial" w:eastAsia="Calibri" w:hAnsi="Arial" w:cs="Arial"/>
          <w:b/>
          <w:bCs/>
          <w:color w:val="000000" w:themeColor="text1"/>
          <w:sz w:val="22"/>
          <w:lang w:val="es-ES_tradnl"/>
        </w:rPr>
      </w:pPr>
    </w:p>
    <w:p w14:paraId="7351DB4D" w14:textId="778FF7F4" w:rsidR="00A31DF9" w:rsidRPr="00A31DF9" w:rsidRDefault="00F936A4" w:rsidP="00A31DF9">
      <w:pPr>
        <w:tabs>
          <w:tab w:val="left" w:pos="709"/>
        </w:tabs>
        <w:spacing w:after="0" w:line="240" w:lineRule="auto"/>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00A31DF9">
        <w:rPr>
          <w:rFonts w:ascii="Arial" w:eastAsia="Calibri" w:hAnsi="Arial" w:cs="Arial"/>
          <w:color w:val="000000" w:themeColor="text1"/>
          <w:sz w:val="20"/>
          <w:szCs w:val="20"/>
          <w:lang w:val="es-ES_tradnl"/>
        </w:rPr>
        <w:t xml:space="preserve"> </w:t>
      </w:r>
      <w:r w:rsidR="00A31DF9" w:rsidRPr="00A31DF9">
        <w:rPr>
          <w:rFonts w:ascii="Arial" w:eastAsia="Calibri" w:hAnsi="Arial" w:cs="Arial"/>
          <w:color w:val="000000" w:themeColor="text1"/>
          <w:sz w:val="20"/>
          <w:szCs w:val="20"/>
          <w:lang w:val="es-ES_tradnl"/>
        </w:rPr>
        <w:t xml:space="preserve">los días hábiles se determinan según la entidad, ya que «cada entidad pública establece la jornada laboral, a través de su reglamento interno, dando certeza sobre los días que atienden al público, e indirectamente definiendo qué día es hábil en determinada institución» ,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w:t>
      </w:r>
      <w:r w:rsidR="00A31DF9" w:rsidRPr="00A31DF9">
        <w:rPr>
          <w:rFonts w:ascii="Arial" w:eastAsia="Calibri" w:hAnsi="Arial" w:cs="Arial"/>
          <w:color w:val="000000" w:themeColor="text1"/>
          <w:sz w:val="20"/>
          <w:szCs w:val="20"/>
          <w:lang w:val="es-ES_tradnl"/>
        </w:rPr>
        <w:lastRenderedPageBreak/>
        <w:t xml:space="preserve">urbano en estos dos días y descansan un día de la semana ―usualmente el miércoles―» , ejemplo donde los días laborables o hábiles son todos los de la semana, con excepción del miércoles. </w:t>
      </w:r>
    </w:p>
    <w:p w14:paraId="0A2BAF73" w14:textId="77777777" w:rsidR="00A31DF9" w:rsidRDefault="00A31DF9" w:rsidP="00A31DF9">
      <w:pPr>
        <w:tabs>
          <w:tab w:val="left" w:pos="709"/>
        </w:tabs>
        <w:spacing w:after="0" w:line="240" w:lineRule="auto"/>
        <w:rPr>
          <w:rFonts w:ascii="Arial" w:eastAsia="Calibri" w:hAnsi="Arial" w:cs="Arial"/>
          <w:color w:val="000000" w:themeColor="text1"/>
          <w:sz w:val="20"/>
          <w:szCs w:val="20"/>
          <w:lang w:val="es-ES_tradnl"/>
        </w:rPr>
      </w:pPr>
    </w:p>
    <w:p w14:paraId="3CA0CFD0" w14:textId="6927C11E" w:rsidR="00F936A4" w:rsidRDefault="00A31DF9" w:rsidP="00F936A4">
      <w:pPr>
        <w:tabs>
          <w:tab w:val="left" w:pos="709"/>
        </w:tabs>
        <w:spacing w:after="0" w:line="240" w:lineRule="auto"/>
        <w:rPr>
          <w:rFonts w:ascii="Arial" w:eastAsia="Calibri" w:hAnsi="Arial" w:cs="Arial"/>
          <w:color w:val="000000" w:themeColor="text1"/>
          <w:sz w:val="20"/>
          <w:szCs w:val="20"/>
          <w:lang w:val="es-ES_tradnl"/>
        </w:rPr>
      </w:pPr>
      <w:r w:rsidRPr="00A31DF9">
        <w:rPr>
          <w:rFonts w:ascii="Arial" w:eastAsia="Calibri" w:hAnsi="Arial" w:cs="Arial"/>
          <w:color w:val="000000" w:themeColor="text1"/>
          <w:sz w:val="20"/>
          <w:szCs w:val="20"/>
          <w:lang w:val="es-ES_tradnl"/>
        </w:rPr>
        <w:t>Esto implica, respecto del término para publicar la invitación y para la presentación de ofertas en procedimientos de mínima cuantía, así como para el cómputo de los demás términos en días hábiles propios de estos procesos de selección, que deberá transcurrir dentro de los días definidos por cada entidad estatal como laborables en su correspondiente reglamento o manual de funciones.</w:t>
      </w:r>
    </w:p>
    <w:p w14:paraId="348E0021" w14:textId="46A7C2C3" w:rsidR="00F936A4" w:rsidRPr="00F936A4" w:rsidRDefault="00F936A4" w:rsidP="00F936A4">
      <w:pPr>
        <w:tabs>
          <w:tab w:val="left" w:pos="709"/>
        </w:tabs>
        <w:spacing w:after="0" w:line="240" w:lineRule="auto"/>
        <w:rPr>
          <w:rFonts w:ascii="Arial" w:eastAsia="Calibri" w:hAnsi="Arial" w:cs="Arial"/>
          <w:color w:val="000000" w:themeColor="text1"/>
          <w:sz w:val="22"/>
          <w:lang w:val="es-ES_tradnl"/>
        </w:rPr>
      </w:pPr>
    </w:p>
    <w:p w14:paraId="4C84EF41" w14:textId="77777777" w:rsidR="00813380" w:rsidRDefault="00F936A4" w:rsidP="00813380">
      <w:pPr>
        <w:tabs>
          <w:tab w:val="left" w:pos="709"/>
        </w:tabs>
        <w:spacing w:after="0" w:line="240" w:lineRule="auto"/>
        <w:rPr>
          <w:rFonts w:ascii="Arial" w:eastAsia="Calibri" w:hAnsi="Arial" w:cs="Arial"/>
          <w:b/>
          <w:bCs/>
          <w:color w:val="000000" w:themeColor="text1"/>
          <w:sz w:val="22"/>
          <w:lang w:val="es-ES_tradnl"/>
        </w:rPr>
      </w:pPr>
      <w:r w:rsidRPr="00F936A4">
        <w:rPr>
          <w:rFonts w:ascii="Arial" w:eastAsia="Calibri" w:hAnsi="Arial" w:cs="Arial"/>
          <w:b/>
          <w:bCs/>
          <w:color w:val="000000" w:themeColor="text1"/>
          <w:sz w:val="22"/>
          <w:lang w:val="es-ES_tradnl"/>
        </w:rPr>
        <w:t>DÍAS HÁBILES – Cómputo – Regla interpretativa – Mínima cuantía</w:t>
      </w:r>
    </w:p>
    <w:p w14:paraId="54D7E999" w14:textId="77777777" w:rsidR="00813380" w:rsidRDefault="00813380" w:rsidP="00813380">
      <w:pPr>
        <w:tabs>
          <w:tab w:val="left" w:pos="709"/>
        </w:tabs>
        <w:spacing w:after="0" w:line="240" w:lineRule="auto"/>
        <w:rPr>
          <w:rFonts w:ascii="Arial" w:eastAsia="Calibri" w:hAnsi="Arial" w:cs="Arial"/>
          <w:b/>
          <w:bCs/>
          <w:color w:val="000000" w:themeColor="text1"/>
          <w:sz w:val="22"/>
          <w:lang w:val="es-ES_tradnl"/>
        </w:rPr>
      </w:pPr>
    </w:p>
    <w:p w14:paraId="3CB359C0" w14:textId="77777777" w:rsidR="002317F4" w:rsidRPr="002317F4" w:rsidRDefault="004D2EB6" w:rsidP="002317F4">
      <w:pPr>
        <w:tabs>
          <w:tab w:val="left" w:pos="709"/>
        </w:tabs>
        <w:spacing w:after="0" w:line="240" w:lineRule="auto"/>
        <w:rPr>
          <w:rFonts w:ascii="Arial" w:eastAsia="Calibri" w:hAnsi="Arial" w:cs="Arial"/>
          <w:color w:val="000000" w:themeColor="text1"/>
          <w:sz w:val="20"/>
          <w:szCs w:val="20"/>
          <w:lang w:val="es-ES_tradnl"/>
        </w:rPr>
      </w:pPr>
      <w:r w:rsidRPr="00813380">
        <w:rPr>
          <w:rFonts w:ascii="Arial" w:eastAsia="Calibri" w:hAnsi="Arial" w:cs="Arial"/>
          <w:color w:val="000000" w:themeColor="text1"/>
          <w:sz w:val="20"/>
          <w:szCs w:val="20"/>
          <w:lang w:val="es-ES_tradnl"/>
        </w:rPr>
        <w:t xml:space="preserve">[…] </w:t>
      </w:r>
      <w:r w:rsidR="002317F4" w:rsidRPr="002317F4">
        <w:rPr>
          <w:rFonts w:ascii="Arial" w:eastAsia="Calibri" w:hAnsi="Arial" w:cs="Arial"/>
          <w:color w:val="000000" w:themeColor="text1"/>
          <w:sz w:val="20"/>
          <w:szCs w:val="20"/>
          <w:lang w:val="es-ES_tradnl"/>
        </w:rPr>
        <w:t xml:space="preserve">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1D3DC6B8" w14:textId="77777777" w:rsidR="002317F4" w:rsidRDefault="002317F4" w:rsidP="002317F4">
      <w:pPr>
        <w:tabs>
          <w:tab w:val="left" w:pos="709"/>
        </w:tabs>
        <w:spacing w:after="0" w:line="240" w:lineRule="auto"/>
        <w:rPr>
          <w:rFonts w:ascii="Arial" w:eastAsia="Calibri" w:hAnsi="Arial" w:cs="Arial"/>
          <w:color w:val="000000" w:themeColor="text1"/>
          <w:sz w:val="20"/>
          <w:szCs w:val="20"/>
          <w:lang w:val="es-ES_tradnl"/>
        </w:rPr>
      </w:pPr>
    </w:p>
    <w:p w14:paraId="566CC7F4" w14:textId="6987E3DF" w:rsidR="002317F4" w:rsidRPr="00813380" w:rsidRDefault="002317F4" w:rsidP="002317F4">
      <w:pPr>
        <w:tabs>
          <w:tab w:val="left" w:pos="709"/>
        </w:tabs>
        <w:spacing w:after="0" w:line="240" w:lineRule="auto"/>
        <w:rPr>
          <w:rFonts w:ascii="Arial" w:eastAsia="Calibri" w:hAnsi="Arial" w:cs="Arial"/>
          <w:color w:val="000000" w:themeColor="text1"/>
          <w:sz w:val="20"/>
          <w:szCs w:val="20"/>
          <w:lang w:val="es-ES_tradnl"/>
        </w:rPr>
      </w:pPr>
      <w:r w:rsidRPr="002317F4">
        <w:rPr>
          <w:rFonts w:ascii="Arial" w:eastAsia="Calibri" w:hAnsi="Arial" w:cs="Arial"/>
          <w:color w:val="000000" w:themeColor="text1"/>
          <w:sz w:val="20"/>
          <w:szCs w:val="20"/>
          <w:lang w:val="es-ES_tradnl"/>
        </w:rPr>
        <w:t>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unívoca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p w14:paraId="39C7734E" w14:textId="6383CF00" w:rsidR="00F936A4" w:rsidRPr="00813380" w:rsidRDefault="00F936A4" w:rsidP="00813380">
      <w:pPr>
        <w:tabs>
          <w:tab w:val="left" w:pos="709"/>
        </w:tabs>
        <w:spacing w:after="0" w:line="240" w:lineRule="auto"/>
        <w:rPr>
          <w:rFonts w:ascii="Arial" w:eastAsia="Calibri" w:hAnsi="Arial" w:cs="Arial"/>
          <w:color w:val="000000" w:themeColor="text1"/>
          <w:sz w:val="20"/>
          <w:szCs w:val="20"/>
          <w:lang w:val="es-ES_tradnl"/>
        </w:rPr>
      </w:pPr>
    </w:p>
    <w:p w14:paraId="6F62B30D" w14:textId="387BF67B" w:rsidR="00F936A4" w:rsidRPr="00813380" w:rsidRDefault="00F936A4" w:rsidP="00F936A4">
      <w:pPr>
        <w:tabs>
          <w:tab w:val="left" w:pos="709"/>
        </w:tabs>
        <w:spacing w:after="120" w:line="240" w:lineRule="auto"/>
        <w:rPr>
          <w:rFonts w:ascii="Arial" w:eastAsia="Calibri" w:hAnsi="Arial" w:cs="Arial"/>
          <w:color w:val="000000" w:themeColor="text1"/>
          <w:sz w:val="18"/>
          <w:szCs w:val="18"/>
          <w:lang w:val="es-ES_tradnl"/>
        </w:rPr>
      </w:pPr>
    </w:p>
    <w:p w14:paraId="06AB90CC" w14:textId="7EDE99DA" w:rsidR="00F936A4" w:rsidRDefault="00F936A4" w:rsidP="00F936A4">
      <w:pPr>
        <w:tabs>
          <w:tab w:val="left" w:pos="709"/>
        </w:tabs>
        <w:spacing w:after="120" w:line="240" w:lineRule="auto"/>
        <w:rPr>
          <w:rFonts w:ascii="Arial" w:eastAsia="Calibri" w:hAnsi="Arial" w:cs="Arial"/>
          <w:color w:val="000000" w:themeColor="text1"/>
          <w:sz w:val="20"/>
          <w:szCs w:val="20"/>
          <w:lang w:val="es-ES_tradnl"/>
        </w:rPr>
      </w:pPr>
    </w:p>
    <w:p w14:paraId="3CC145CB" w14:textId="77777777" w:rsidR="00F936A4" w:rsidRPr="00F936A4" w:rsidRDefault="00F936A4" w:rsidP="00F936A4">
      <w:pPr>
        <w:tabs>
          <w:tab w:val="left" w:pos="709"/>
        </w:tabs>
        <w:spacing w:after="120" w:line="240" w:lineRule="auto"/>
        <w:rPr>
          <w:rFonts w:ascii="Arial" w:eastAsia="Calibri" w:hAnsi="Arial" w:cs="Arial"/>
          <w:color w:val="000000" w:themeColor="text1"/>
          <w:sz w:val="20"/>
          <w:szCs w:val="20"/>
          <w:lang w:val="es-ES_tradnl"/>
        </w:rPr>
      </w:pPr>
    </w:p>
    <w:p w14:paraId="3D5331EF" w14:textId="782527EB" w:rsidR="001E47F9" w:rsidRDefault="00F936A4" w:rsidP="009142E0">
      <w:pPr>
        <w:tabs>
          <w:tab w:val="left" w:pos="709"/>
        </w:tabs>
        <w:spacing w:after="120" w:line="240" w:lineRule="auto"/>
        <w:rPr>
          <w:rFonts w:ascii="Arial" w:eastAsia="Calibri" w:hAnsi="Arial" w:cs="Arial"/>
          <w:color w:val="000000" w:themeColor="text1"/>
          <w:sz w:val="20"/>
          <w:szCs w:val="20"/>
          <w:lang w:val="es-ES_tradnl"/>
        </w:rPr>
      </w:pPr>
      <w:r w:rsidRPr="00F936A4">
        <w:rPr>
          <w:rFonts w:ascii="Arial" w:eastAsia="Calibri" w:hAnsi="Arial" w:cs="Arial"/>
          <w:color w:val="000000" w:themeColor="text1"/>
          <w:sz w:val="20"/>
          <w:szCs w:val="20"/>
          <w:lang w:val="es-ES_tradnl"/>
        </w:rPr>
        <w:tab/>
      </w:r>
    </w:p>
    <w:p w14:paraId="447965F2" w14:textId="0048CD42" w:rsidR="009142E0" w:rsidRDefault="009142E0" w:rsidP="009142E0">
      <w:pPr>
        <w:tabs>
          <w:tab w:val="left" w:pos="709"/>
        </w:tabs>
        <w:spacing w:after="120" w:line="240" w:lineRule="auto"/>
        <w:rPr>
          <w:rFonts w:ascii="Arial" w:eastAsia="Calibri" w:hAnsi="Arial" w:cs="Arial"/>
          <w:color w:val="000000" w:themeColor="text1"/>
          <w:sz w:val="20"/>
          <w:szCs w:val="20"/>
          <w:lang w:val="es-ES_tradnl"/>
        </w:rPr>
      </w:pPr>
    </w:p>
    <w:p w14:paraId="03F71660" w14:textId="39221999" w:rsidR="009142E0" w:rsidRDefault="009142E0" w:rsidP="009142E0">
      <w:pPr>
        <w:tabs>
          <w:tab w:val="left" w:pos="709"/>
        </w:tabs>
        <w:spacing w:after="120" w:line="240" w:lineRule="auto"/>
        <w:rPr>
          <w:rFonts w:ascii="Arial" w:eastAsia="Calibri" w:hAnsi="Arial" w:cs="Arial"/>
          <w:color w:val="000000" w:themeColor="text1"/>
          <w:sz w:val="20"/>
          <w:szCs w:val="20"/>
          <w:lang w:val="es-ES_tradnl"/>
        </w:rPr>
      </w:pPr>
    </w:p>
    <w:p w14:paraId="6C3CD7AF" w14:textId="752B4B1C" w:rsidR="009142E0" w:rsidRDefault="009142E0" w:rsidP="009142E0">
      <w:pPr>
        <w:tabs>
          <w:tab w:val="left" w:pos="709"/>
        </w:tabs>
        <w:spacing w:after="120" w:line="240" w:lineRule="auto"/>
        <w:rPr>
          <w:rFonts w:ascii="Arial" w:eastAsia="Calibri" w:hAnsi="Arial" w:cs="Arial"/>
          <w:color w:val="000000" w:themeColor="text1"/>
          <w:sz w:val="20"/>
          <w:szCs w:val="20"/>
          <w:lang w:val="es-ES_tradnl"/>
        </w:rPr>
      </w:pPr>
    </w:p>
    <w:p w14:paraId="18ED58CD" w14:textId="64746C0A" w:rsidR="009142E0" w:rsidRDefault="009142E0" w:rsidP="009142E0">
      <w:pPr>
        <w:tabs>
          <w:tab w:val="left" w:pos="709"/>
        </w:tabs>
        <w:spacing w:after="120" w:line="240" w:lineRule="auto"/>
        <w:rPr>
          <w:rFonts w:ascii="Arial" w:eastAsia="Calibri" w:hAnsi="Arial" w:cs="Arial"/>
          <w:color w:val="000000" w:themeColor="text1"/>
          <w:sz w:val="20"/>
          <w:szCs w:val="20"/>
          <w:lang w:val="es-ES_tradnl"/>
        </w:rPr>
      </w:pPr>
    </w:p>
    <w:p w14:paraId="6161A4FB" w14:textId="7A0319DB" w:rsidR="009142E0" w:rsidRDefault="009142E0" w:rsidP="009142E0">
      <w:pPr>
        <w:tabs>
          <w:tab w:val="left" w:pos="709"/>
        </w:tabs>
        <w:spacing w:after="120" w:line="240" w:lineRule="auto"/>
        <w:rPr>
          <w:rFonts w:ascii="Arial" w:eastAsia="Calibri" w:hAnsi="Arial" w:cs="Arial"/>
          <w:color w:val="000000" w:themeColor="text1"/>
          <w:sz w:val="20"/>
          <w:szCs w:val="20"/>
          <w:lang w:val="es-ES_tradnl"/>
        </w:rPr>
      </w:pPr>
    </w:p>
    <w:p w14:paraId="6403DD3E" w14:textId="034B88F1" w:rsidR="009142E0" w:rsidRDefault="009142E0" w:rsidP="009142E0">
      <w:pPr>
        <w:tabs>
          <w:tab w:val="left" w:pos="709"/>
        </w:tabs>
        <w:spacing w:after="120" w:line="240" w:lineRule="auto"/>
        <w:rPr>
          <w:rFonts w:ascii="Arial" w:eastAsia="Calibri" w:hAnsi="Arial" w:cs="Arial"/>
          <w:color w:val="000000" w:themeColor="text1"/>
          <w:sz w:val="20"/>
          <w:szCs w:val="20"/>
          <w:lang w:val="es-ES_tradnl"/>
        </w:rPr>
      </w:pPr>
    </w:p>
    <w:p w14:paraId="03D12ADE" w14:textId="0A664BAA" w:rsidR="009142E0" w:rsidRDefault="009142E0" w:rsidP="009142E0">
      <w:pPr>
        <w:tabs>
          <w:tab w:val="left" w:pos="709"/>
        </w:tabs>
        <w:spacing w:after="120" w:line="240" w:lineRule="auto"/>
        <w:rPr>
          <w:rFonts w:ascii="Arial" w:eastAsia="Calibri" w:hAnsi="Arial" w:cs="Arial"/>
          <w:color w:val="000000" w:themeColor="text1"/>
          <w:sz w:val="20"/>
          <w:szCs w:val="20"/>
          <w:lang w:val="es-ES_tradnl"/>
        </w:rPr>
      </w:pPr>
    </w:p>
    <w:p w14:paraId="11716808" w14:textId="46B0B6BA" w:rsidR="009142E0" w:rsidRDefault="009142E0" w:rsidP="009142E0">
      <w:pPr>
        <w:tabs>
          <w:tab w:val="left" w:pos="709"/>
        </w:tabs>
        <w:spacing w:after="120" w:line="240" w:lineRule="auto"/>
        <w:rPr>
          <w:rFonts w:ascii="Arial" w:eastAsia="Calibri" w:hAnsi="Arial" w:cs="Arial"/>
          <w:color w:val="000000" w:themeColor="text1"/>
          <w:sz w:val="20"/>
          <w:szCs w:val="20"/>
          <w:lang w:val="es-ES_tradnl"/>
        </w:rPr>
      </w:pPr>
    </w:p>
    <w:p w14:paraId="045EDCE2" w14:textId="464C7F60" w:rsidR="009142E0" w:rsidRDefault="009142E0" w:rsidP="009142E0">
      <w:pPr>
        <w:tabs>
          <w:tab w:val="left" w:pos="709"/>
        </w:tabs>
        <w:spacing w:after="120" w:line="240" w:lineRule="auto"/>
        <w:rPr>
          <w:rFonts w:ascii="Arial" w:eastAsia="Calibri" w:hAnsi="Arial" w:cs="Arial"/>
          <w:color w:val="000000" w:themeColor="text1"/>
          <w:sz w:val="20"/>
          <w:szCs w:val="20"/>
          <w:lang w:val="es-ES_tradnl"/>
        </w:rPr>
      </w:pPr>
    </w:p>
    <w:p w14:paraId="7FBF6555" w14:textId="6C9F5773" w:rsidR="009142E0" w:rsidRDefault="009142E0" w:rsidP="009142E0">
      <w:pPr>
        <w:tabs>
          <w:tab w:val="left" w:pos="709"/>
        </w:tabs>
        <w:spacing w:after="120" w:line="240" w:lineRule="auto"/>
        <w:rPr>
          <w:rFonts w:ascii="Arial" w:eastAsia="Calibri" w:hAnsi="Arial" w:cs="Arial"/>
          <w:color w:val="000000" w:themeColor="text1"/>
          <w:sz w:val="20"/>
          <w:szCs w:val="20"/>
          <w:lang w:val="es-ES_tradnl"/>
        </w:rPr>
      </w:pPr>
    </w:p>
    <w:p w14:paraId="37EAD46F" w14:textId="77777777" w:rsidR="009142E0" w:rsidRPr="00DA3080" w:rsidRDefault="009142E0" w:rsidP="009142E0">
      <w:pPr>
        <w:tabs>
          <w:tab w:val="left" w:pos="709"/>
        </w:tabs>
        <w:spacing w:after="120" w:line="240" w:lineRule="auto"/>
        <w:rPr>
          <w:rFonts w:ascii="Arial" w:hAnsi="Arial" w:cs="Arial"/>
          <w:sz w:val="20"/>
          <w:szCs w:val="20"/>
          <w:lang w:val="es-CO"/>
        </w:rPr>
      </w:pPr>
    </w:p>
    <w:p w14:paraId="40F80B04" w14:textId="17196397" w:rsidR="00253927" w:rsidRPr="00DA3080" w:rsidRDefault="00253927" w:rsidP="0077354A">
      <w:pPr>
        <w:spacing w:after="0" w:line="240" w:lineRule="auto"/>
        <w:jc w:val="right"/>
        <w:rPr>
          <w:rFonts w:ascii="Arial" w:eastAsia="Calibri" w:hAnsi="Arial" w:cs="Arial"/>
          <w:sz w:val="22"/>
          <w:lang w:val="es-CO"/>
        </w:rPr>
      </w:pPr>
    </w:p>
    <w:p w14:paraId="76132F07" w14:textId="77777777" w:rsidR="00361C33" w:rsidRDefault="00361C33">
      <w:pPr>
        <w:spacing w:after="0" w:line="240" w:lineRule="auto"/>
        <w:rPr>
          <w:rFonts w:ascii="Arial" w:eastAsia="Calibri" w:hAnsi="Arial" w:cs="Arial"/>
          <w:sz w:val="22"/>
          <w:lang w:val="es-CO"/>
        </w:rPr>
      </w:pPr>
    </w:p>
    <w:p w14:paraId="3E84F72F" w14:textId="77777777" w:rsidR="002317F4" w:rsidRDefault="002317F4">
      <w:pPr>
        <w:spacing w:after="0" w:line="240" w:lineRule="auto"/>
        <w:rPr>
          <w:rFonts w:ascii="Arial" w:eastAsia="Calibri" w:hAnsi="Arial" w:cs="Arial"/>
          <w:sz w:val="22"/>
          <w:lang w:val="es-CO"/>
        </w:rPr>
      </w:pPr>
    </w:p>
    <w:p w14:paraId="6FA95E2D" w14:textId="075D4203" w:rsidR="002317F4" w:rsidRDefault="00402BAA" w:rsidP="00402BAA">
      <w:pPr>
        <w:spacing w:after="0" w:line="240" w:lineRule="auto"/>
        <w:jc w:val="right"/>
        <w:rPr>
          <w:rFonts w:ascii="Arial" w:eastAsia="Calibri" w:hAnsi="Arial" w:cs="Arial"/>
          <w:sz w:val="22"/>
          <w:lang w:val="es-CO"/>
        </w:rPr>
      </w:pPr>
      <w:r>
        <w:rPr>
          <w:rFonts w:ascii="Arial" w:eastAsia="Calibri" w:hAnsi="Arial" w:cs="Arial"/>
          <w:noProof/>
          <w:sz w:val="22"/>
          <w:lang w:val="es-CO"/>
        </w:rPr>
        <w:drawing>
          <wp:inline distT="0" distB="0" distL="0" distR="0" wp14:anchorId="1FBA24C4" wp14:editId="077A1512">
            <wp:extent cx="2817628" cy="763915"/>
            <wp:effectExtent l="0" t="0" r="1905"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34601" cy="768517"/>
                    </a:xfrm>
                    <a:prstGeom prst="rect">
                      <a:avLst/>
                    </a:prstGeom>
                  </pic:spPr>
                </pic:pic>
              </a:graphicData>
            </a:graphic>
          </wp:inline>
        </w:drawing>
      </w:r>
    </w:p>
    <w:p w14:paraId="367E5702" w14:textId="77777777" w:rsidR="002317F4" w:rsidRDefault="002317F4">
      <w:pPr>
        <w:spacing w:after="0" w:line="240" w:lineRule="auto"/>
        <w:rPr>
          <w:rFonts w:ascii="Arial" w:eastAsia="Calibri" w:hAnsi="Arial" w:cs="Arial"/>
          <w:sz w:val="22"/>
          <w:lang w:val="es-CO"/>
        </w:rPr>
      </w:pPr>
    </w:p>
    <w:p w14:paraId="6C3AB20D" w14:textId="77777777" w:rsidR="00402BAA" w:rsidRDefault="00402BAA">
      <w:pPr>
        <w:spacing w:after="0" w:line="240" w:lineRule="auto"/>
        <w:rPr>
          <w:rFonts w:ascii="Arial" w:eastAsia="Calibri" w:hAnsi="Arial" w:cs="Arial"/>
          <w:sz w:val="22"/>
          <w:lang w:val="es-CO"/>
        </w:rPr>
      </w:pPr>
    </w:p>
    <w:p w14:paraId="6E8F3780" w14:textId="77777777" w:rsidR="00402BAA" w:rsidRDefault="00402BAA">
      <w:pPr>
        <w:spacing w:after="0" w:line="240" w:lineRule="auto"/>
        <w:rPr>
          <w:rFonts w:ascii="Arial" w:eastAsia="Calibri" w:hAnsi="Arial" w:cs="Arial"/>
          <w:sz w:val="22"/>
          <w:lang w:val="es-CO"/>
        </w:rPr>
      </w:pPr>
    </w:p>
    <w:p w14:paraId="62205C71" w14:textId="5767A2E4" w:rsidR="00D45D43" w:rsidRPr="00DA3080" w:rsidRDefault="0045634A">
      <w:pPr>
        <w:spacing w:after="0" w:line="240" w:lineRule="auto"/>
        <w:rPr>
          <w:rFonts w:ascii="Arial" w:eastAsia="Calibri" w:hAnsi="Arial" w:cs="Arial"/>
          <w:sz w:val="22"/>
          <w:lang w:val="es-CO"/>
        </w:rPr>
      </w:pPr>
      <w:r>
        <w:rPr>
          <w:rFonts w:ascii="Arial" w:eastAsia="Calibri" w:hAnsi="Arial" w:cs="Arial"/>
          <w:sz w:val="22"/>
          <w:lang w:val="es-CO"/>
        </w:rPr>
        <w:t>M</w:t>
      </w:r>
      <w:r w:rsidR="00D45D43" w:rsidRPr="00DA3080">
        <w:rPr>
          <w:rFonts w:ascii="Arial" w:eastAsia="Calibri" w:hAnsi="Arial" w:cs="Arial"/>
          <w:sz w:val="22"/>
          <w:lang w:val="es-CO"/>
        </w:rPr>
        <w:t>Señor</w:t>
      </w:r>
    </w:p>
    <w:p w14:paraId="28CC415F" w14:textId="675BAA5C" w:rsidR="00347E32" w:rsidRPr="00DA3080" w:rsidRDefault="002C6CCC">
      <w:pPr>
        <w:spacing w:after="0" w:line="240" w:lineRule="auto"/>
        <w:rPr>
          <w:rFonts w:ascii="Arial" w:eastAsia="Calibri" w:hAnsi="Arial" w:cs="Arial"/>
          <w:b/>
          <w:sz w:val="22"/>
          <w:lang w:val="es-CO"/>
        </w:rPr>
      </w:pPr>
      <w:r>
        <w:rPr>
          <w:rFonts w:ascii="Arial" w:eastAsia="Calibri" w:hAnsi="Arial" w:cs="Arial"/>
          <w:b/>
          <w:sz w:val="22"/>
          <w:lang w:val="es-CO"/>
        </w:rPr>
        <w:t>Peticionario</w:t>
      </w:r>
      <w:r w:rsidR="000500A3">
        <w:rPr>
          <w:rFonts w:ascii="Arial" w:eastAsia="Calibri" w:hAnsi="Arial" w:cs="Arial"/>
          <w:b/>
          <w:sz w:val="22"/>
          <w:lang w:val="es-CO"/>
        </w:rPr>
        <w:t xml:space="preserve"> anónimo</w:t>
      </w:r>
    </w:p>
    <w:p w14:paraId="5FE0EF95" w14:textId="6498217E" w:rsidR="005F5BE7" w:rsidRPr="00DA3080" w:rsidRDefault="000500A3">
      <w:pPr>
        <w:tabs>
          <w:tab w:val="left" w:pos="3374"/>
        </w:tabs>
        <w:spacing w:after="0" w:line="240" w:lineRule="auto"/>
        <w:rPr>
          <w:rFonts w:ascii="Arial" w:eastAsia="Calibri" w:hAnsi="Arial" w:cs="Arial"/>
          <w:noProof/>
          <w:sz w:val="22"/>
          <w:lang w:val="es-ES_tradnl"/>
        </w:rPr>
      </w:pPr>
      <w:r>
        <w:rPr>
          <w:rFonts w:ascii="Arial" w:hAnsi="Arial" w:cs="Arial"/>
          <w:sz w:val="22"/>
          <w:lang w:val="es-ES_tradnl"/>
        </w:rPr>
        <w:t>Ciudad</w:t>
      </w:r>
    </w:p>
    <w:p w14:paraId="506DAD6F" w14:textId="55AF5153" w:rsidR="000C6406" w:rsidRPr="00DA3080" w:rsidRDefault="000C6406">
      <w:pPr>
        <w:spacing w:after="0" w:line="240" w:lineRule="auto"/>
        <w:rPr>
          <w:rFonts w:ascii="Arial" w:eastAsia="Calibri" w:hAnsi="Arial" w:cs="Arial"/>
          <w:sz w:val="22"/>
          <w:lang w:val="es-CO"/>
        </w:rPr>
      </w:pPr>
    </w:p>
    <w:p w14:paraId="41CFAE86" w14:textId="77777777" w:rsidR="00D03D28" w:rsidRPr="00DA3080" w:rsidRDefault="00D03D28">
      <w:pPr>
        <w:spacing w:after="0" w:line="240" w:lineRule="auto"/>
        <w:rPr>
          <w:rFonts w:ascii="Arial" w:eastAsia="Calibri" w:hAnsi="Arial" w:cs="Arial"/>
          <w:sz w:val="22"/>
          <w:lang w:val="es-CO"/>
        </w:rPr>
      </w:pPr>
    </w:p>
    <w:p w14:paraId="425712DB" w14:textId="3057181F" w:rsidR="00D45D43" w:rsidRPr="00DA3080" w:rsidRDefault="00CD5FA3" w:rsidP="009E2F5B">
      <w:pPr>
        <w:spacing w:after="0" w:line="240" w:lineRule="auto"/>
        <w:rPr>
          <w:rFonts w:ascii="Arial" w:hAnsi="Arial" w:cs="Arial"/>
          <w:sz w:val="22"/>
          <w:lang w:val="es-CO"/>
        </w:rPr>
      </w:pPr>
      <w:r>
        <w:rPr>
          <w:rFonts w:ascii="Arial" w:eastAsia="Calibri" w:hAnsi="Arial" w:cs="Arial"/>
          <w:b/>
          <w:sz w:val="22"/>
          <w:lang w:val="es-CO"/>
        </w:rPr>
        <w:t xml:space="preserve">                                       </w:t>
      </w:r>
      <w:r w:rsidR="00D45D43" w:rsidRPr="00DA3080">
        <w:rPr>
          <w:rFonts w:ascii="Arial" w:eastAsia="Calibri" w:hAnsi="Arial" w:cs="Arial"/>
          <w:b/>
          <w:sz w:val="22"/>
          <w:lang w:val="es-CO"/>
        </w:rPr>
        <w:t>Concepto C</w:t>
      </w:r>
      <w:r w:rsidR="007B23EC" w:rsidRPr="00DA3080">
        <w:rPr>
          <w:rFonts w:ascii="Arial" w:eastAsia="Calibri" w:hAnsi="Arial" w:cs="Arial"/>
          <w:b/>
          <w:sz w:val="22"/>
          <w:lang w:val="es-CO"/>
        </w:rPr>
        <w:t xml:space="preserve"> – </w:t>
      </w:r>
      <w:r w:rsidR="00AF2C32">
        <w:rPr>
          <w:rFonts w:ascii="Arial" w:eastAsia="Calibri" w:hAnsi="Arial" w:cs="Arial"/>
          <w:b/>
          <w:sz w:val="22"/>
          <w:lang w:val="es-CO"/>
        </w:rPr>
        <w:t>271</w:t>
      </w:r>
      <w:r w:rsidR="00447B3C" w:rsidRPr="00DA3080">
        <w:rPr>
          <w:rFonts w:ascii="Arial" w:eastAsia="Calibri" w:hAnsi="Arial" w:cs="Arial"/>
          <w:b/>
          <w:sz w:val="22"/>
          <w:lang w:val="es-CO"/>
        </w:rPr>
        <w:t xml:space="preserve"> de 2022</w:t>
      </w:r>
    </w:p>
    <w:p w14:paraId="0FD04F51" w14:textId="77777777" w:rsidR="00D45D43" w:rsidRPr="00DA3080" w:rsidRDefault="00D45D43">
      <w:pPr>
        <w:spacing w:after="0" w:line="240" w:lineRule="auto"/>
        <w:rPr>
          <w:rFonts w:ascii="Arial" w:eastAsia="Calibri" w:hAnsi="Arial" w:cs="Arial"/>
          <w:bCs/>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D45D43" w:rsidRPr="007D4656" w14:paraId="2F506374" w14:textId="77777777" w:rsidTr="00D03D28">
        <w:trPr>
          <w:trHeight w:val="1038"/>
        </w:trPr>
        <w:tc>
          <w:tcPr>
            <w:tcW w:w="2410" w:type="dxa"/>
            <w:hideMark/>
          </w:tcPr>
          <w:p w14:paraId="457F7D77" w14:textId="70F68E3C" w:rsidR="00D45D43" w:rsidRPr="00DA3080" w:rsidRDefault="00D45D43" w:rsidP="00D03D28">
            <w:pPr>
              <w:spacing w:line="240" w:lineRule="auto"/>
              <w:contextualSpacing/>
              <w:rPr>
                <w:rFonts w:ascii="Arial" w:eastAsia="Calibri" w:hAnsi="Arial" w:cs="Arial"/>
                <w:noProof/>
                <w:lang w:val="es-ES_tradnl"/>
              </w:rPr>
            </w:pPr>
            <w:r w:rsidRPr="00DA3080">
              <w:rPr>
                <w:rFonts w:ascii="Arial" w:eastAsia="Calibri" w:hAnsi="Arial" w:cs="Arial"/>
                <w:b/>
                <w:noProof/>
                <w:lang w:val="es-ES_tradnl"/>
              </w:rPr>
              <w:t>Temas:</w:t>
            </w:r>
            <w:r w:rsidR="00DD34C7" w:rsidRPr="00DA3080">
              <w:rPr>
                <w:rFonts w:ascii="Arial" w:eastAsia="Calibri" w:hAnsi="Arial" w:cs="Arial"/>
                <w:noProof/>
                <w:lang w:val="es-ES_tradnl"/>
              </w:rPr>
              <w:t xml:space="preserve"> </w:t>
            </w:r>
          </w:p>
        </w:tc>
        <w:tc>
          <w:tcPr>
            <w:tcW w:w="6516" w:type="dxa"/>
            <w:hideMark/>
          </w:tcPr>
          <w:p w14:paraId="04A6CBA1" w14:textId="2E084A8E" w:rsidR="00DF1D02" w:rsidRPr="007D4656" w:rsidRDefault="00781D8E" w:rsidP="00D03D28">
            <w:pPr>
              <w:tabs>
                <w:tab w:val="left" w:pos="3374"/>
              </w:tabs>
              <w:spacing w:after="120" w:line="240" w:lineRule="auto"/>
              <w:rPr>
                <w:rFonts w:ascii="Arial" w:hAnsi="Arial" w:cs="Arial"/>
                <w:highlight w:val="yellow"/>
              </w:rPr>
            </w:pPr>
            <w:r w:rsidRPr="00781D8E">
              <w:rPr>
                <w:rStyle w:val="normaltextrun"/>
                <w:rFonts w:ascii="Arial" w:hAnsi="Arial" w:cs="Arial"/>
                <w:color w:val="000000"/>
                <w:shd w:val="clear" w:color="auto" w:fill="FFFFFF"/>
              </w:rPr>
              <w:t>MÍNIMA CUANTÍA – Generalidades – Ley 1150 de 2007</w:t>
            </w:r>
            <w:r>
              <w:rPr>
                <w:rStyle w:val="normaltextrun"/>
                <w:rFonts w:ascii="Arial" w:hAnsi="Arial" w:cs="Arial"/>
                <w:color w:val="000000"/>
                <w:shd w:val="clear" w:color="auto" w:fill="FFFFFF"/>
              </w:rPr>
              <w:t xml:space="preserve"> / </w:t>
            </w:r>
            <w:r w:rsidRPr="00781D8E">
              <w:rPr>
                <w:rStyle w:val="normaltextrun"/>
                <w:rFonts w:ascii="Arial" w:hAnsi="Arial" w:cs="Arial"/>
                <w:color w:val="000000"/>
                <w:shd w:val="clear" w:color="auto" w:fill="FFFFFF"/>
              </w:rPr>
              <w:t>MÍNIMA CUANTÍA – Normas reglamentarias – Decreto 1082 de 2015 – Decreto 1860 de 2021 – Vigencia</w:t>
            </w:r>
            <w:r>
              <w:rPr>
                <w:rStyle w:val="normaltextrun"/>
                <w:rFonts w:ascii="Arial" w:hAnsi="Arial" w:cs="Arial"/>
                <w:color w:val="000000"/>
                <w:shd w:val="clear" w:color="auto" w:fill="FFFFFF"/>
              </w:rPr>
              <w:t xml:space="preserve"> / </w:t>
            </w:r>
            <w:r w:rsidR="00842B5D" w:rsidRPr="00842B5D">
              <w:rPr>
                <w:rStyle w:val="normaltextrun"/>
                <w:rFonts w:ascii="Arial" w:hAnsi="Arial" w:cs="Arial"/>
                <w:color w:val="000000"/>
                <w:shd w:val="clear" w:color="auto" w:fill="FFFFFF"/>
              </w:rPr>
              <w:t>DÍAS HÁBILES – Concepto – Cómputo de términos / DÍAS HÁBILES – Cómputo – Regla interpretativa – Mínima cuantía</w:t>
            </w:r>
          </w:p>
          <w:p w14:paraId="7477B464" w14:textId="77777777" w:rsidR="00D45D43" w:rsidRPr="007D4656" w:rsidRDefault="00D45D43">
            <w:pPr>
              <w:spacing w:after="0" w:line="240" w:lineRule="auto"/>
              <w:contextualSpacing/>
              <w:rPr>
                <w:rFonts w:ascii="Arial" w:eastAsia="Calibri" w:hAnsi="Arial" w:cs="Arial"/>
                <w:bCs/>
                <w:highlight w:val="yellow"/>
              </w:rPr>
            </w:pPr>
          </w:p>
        </w:tc>
      </w:tr>
      <w:tr w:rsidR="00D45D43" w:rsidRPr="00DA3080" w14:paraId="5B6E69F2" w14:textId="77777777" w:rsidTr="00D03D28">
        <w:trPr>
          <w:trHeight w:val="198"/>
        </w:trPr>
        <w:tc>
          <w:tcPr>
            <w:tcW w:w="2410" w:type="dxa"/>
          </w:tcPr>
          <w:p w14:paraId="3A042E2F" w14:textId="4F5F5186" w:rsidR="00D45D43" w:rsidRPr="00DA3080" w:rsidRDefault="00D45D43" w:rsidP="00D03D28">
            <w:pPr>
              <w:spacing w:after="0" w:line="240" w:lineRule="auto"/>
              <w:rPr>
                <w:rFonts w:ascii="Arial" w:eastAsia="Calibri" w:hAnsi="Arial" w:cs="Arial"/>
                <w:b/>
                <w:noProof/>
                <w:lang w:val="es-ES_tradnl"/>
              </w:rPr>
            </w:pPr>
            <w:r w:rsidRPr="00DA3080">
              <w:rPr>
                <w:rFonts w:ascii="Arial" w:eastAsia="Calibri" w:hAnsi="Arial" w:cs="Arial"/>
                <w:b/>
                <w:noProof/>
                <w:lang w:val="es-ES_tradnl"/>
              </w:rPr>
              <w:t>Radicación:</w:t>
            </w:r>
            <w:r w:rsidR="00470509" w:rsidRPr="00DA3080">
              <w:rPr>
                <w:rFonts w:ascii="Arial" w:eastAsia="Calibri" w:hAnsi="Arial" w:cs="Arial"/>
                <w:noProof/>
                <w:lang w:val="es-ES_tradnl"/>
              </w:rPr>
              <w:t xml:space="preserve"> </w:t>
            </w:r>
          </w:p>
        </w:tc>
        <w:tc>
          <w:tcPr>
            <w:tcW w:w="6516" w:type="dxa"/>
          </w:tcPr>
          <w:p w14:paraId="4D6CA122" w14:textId="2D7DEB73" w:rsidR="00D45D43" w:rsidRPr="00DA3080" w:rsidRDefault="00D45D43">
            <w:pPr>
              <w:spacing w:after="0" w:line="240" w:lineRule="auto"/>
              <w:ind w:right="136"/>
              <w:contextualSpacing/>
              <w:rPr>
                <w:rFonts w:ascii="Arial" w:eastAsia="Calibri" w:hAnsi="Arial" w:cs="Arial"/>
                <w:noProof/>
                <w:lang w:val="es-ES_tradnl"/>
              </w:rPr>
            </w:pPr>
            <w:r w:rsidRPr="00DA3080">
              <w:rPr>
                <w:rFonts w:ascii="Arial" w:eastAsia="Calibri" w:hAnsi="Arial" w:cs="Arial"/>
                <w:noProof/>
                <w:lang w:val="es-ES_tradnl"/>
              </w:rPr>
              <w:t>Respuesta a consulta</w:t>
            </w:r>
            <w:r w:rsidR="00AF2C32">
              <w:rPr>
                <w:rFonts w:ascii="Arial" w:eastAsia="Calibri" w:hAnsi="Arial" w:cs="Arial"/>
                <w:noProof/>
                <w:lang w:val="es-ES_tradnl"/>
              </w:rPr>
              <w:t xml:space="preserve"> </w:t>
            </w:r>
            <w:r w:rsidR="00AF2C32" w:rsidRPr="00AF2C32">
              <w:rPr>
                <w:rFonts w:ascii="Arial" w:eastAsia="Calibri" w:hAnsi="Arial" w:cs="Arial"/>
                <w:noProof/>
                <w:lang w:val="es-ES_tradnl"/>
              </w:rPr>
              <w:t>P20220318002713</w:t>
            </w:r>
          </w:p>
        </w:tc>
      </w:tr>
    </w:tbl>
    <w:p w14:paraId="35E34587" w14:textId="77777777" w:rsidR="00D45D43" w:rsidRPr="00DA3080" w:rsidRDefault="00D45D43">
      <w:pPr>
        <w:spacing w:after="0" w:line="240" w:lineRule="auto"/>
        <w:rPr>
          <w:rFonts w:ascii="Arial" w:eastAsia="Calibri" w:hAnsi="Arial" w:cs="Arial"/>
          <w:sz w:val="22"/>
          <w:lang w:val="es-CO"/>
        </w:rPr>
      </w:pPr>
    </w:p>
    <w:p w14:paraId="6AEF12FF" w14:textId="77777777" w:rsidR="00D45D43" w:rsidRPr="00DA3080" w:rsidRDefault="00D45D43">
      <w:pPr>
        <w:spacing w:after="0" w:line="240" w:lineRule="auto"/>
        <w:rPr>
          <w:rFonts w:ascii="Arial" w:eastAsia="Calibri" w:hAnsi="Arial" w:cs="Arial"/>
          <w:sz w:val="22"/>
          <w:lang w:val="es-CO"/>
        </w:rPr>
      </w:pPr>
    </w:p>
    <w:p w14:paraId="70B8C15C" w14:textId="7B4769AE" w:rsidR="00D45D43" w:rsidRPr="00DA3080" w:rsidRDefault="00D45D43" w:rsidP="00001D47">
      <w:pPr>
        <w:spacing w:after="0"/>
        <w:rPr>
          <w:rFonts w:ascii="Arial" w:eastAsia="Calibri" w:hAnsi="Arial" w:cs="Arial"/>
          <w:sz w:val="22"/>
          <w:lang w:val="es-CO"/>
        </w:rPr>
      </w:pPr>
      <w:r w:rsidRPr="00DA3080">
        <w:rPr>
          <w:rFonts w:ascii="Arial" w:eastAsia="Calibri" w:hAnsi="Arial" w:cs="Arial"/>
          <w:sz w:val="22"/>
          <w:lang w:val="es-CO"/>
        </w:rPr>
        <w:t>Estimad</w:t>
      </w:r>
      <w:r w:rsidR="00DD34C7" w:rsidRPr="00DA3080">
        <w:rPr>
          <w:rFonts w:ascii="Arial" w:eastAsia="Calibri" w:hAnsi="Arial" w:cs="Arial"/>
          <w:sz w:val="22"/>
          <w:lang w:val="es-CO"/>
        </w:rPr>
        <w:t>o</w:t>
      </w:r>
      <w:r w:rsidR="00D65077">
        <w:rPr>
          <w:rFonts w:ascii="Arial" w:eastAsia="Calibri" w:hAnsi="Arial" w:cs="Arial"/>
          <w:sz w:val="22"/>
          <w:lang w:val="es-CO"/>
        </w:rPr>
        <w:t xml:space="preserve"> </w:t>
      </w:r>
      <w:r w:rsidR="002C6CCC">
        <w:rPr>
          <w:rFonts w:ascii="Arial" w:eastAsia="Calibri" w:hAnsi="Arial" w:cs="Arial"/>
          <w:sz w:val="22"/>
          <w:lang w:val="es-CO"/>
        </w:rPr>
        <w:t>peticionario</w:t>
      </w:r>
      <w:r w:rsidRPr="00DA3080">
        <w:rPr>
          <w:rFonts w:ascii="Arial" w:eastAsia="Calibri" w:hAnsi="Arial" w:cs="Arial"/>
          <w:sz w:val="22"/>
          <w:lang w:val="es-CO"/>
        </w:rPr>
        <w:t>:</w:t>
      </w:r>
    </w:p>
    <w:p w14:paraId="7ADEE905" w14:textId="77777777" w:rsidR="00D45D43" w:rsidRPr="00DA3080" w:rsidRDefault="00D45D43" w:rsidP="00001D47">
      <w:pPr>
        <w:spacing w:after="0"/>
        <w:ind w:firstLine="709"/>
        <w:rPr>
          <w:rFonts w:ascii="Arial" w:eastAsia="Calibri" w:hAnsi="Arial" w:cs="Arial"/>
          <w:sz w:val="22"/>
          <w:lang w:val="es-CO"/>
        </w:rPr>
      </w:pPr>
    </w:p>
    <w:p w14:paraId="594BDCF2" w14:textId="32D60EB7" w:rsidR="00D45D43" w:rsidRPr="00DA3080" w:rsidRDefault="009047DF" w:rsidP="00001D47">
      <w:pPr>
        <w:spacing w:after="0"/>
        <w:rPr>
          <w:rFonts w:ascii="Arial" w:eastAsia="Calibri" w:hAnsi="Arial" w:cs="Arial"/>
          <w:color w:val="000000" w:themeColor="text1"/>
          <w:sz w:val="22"/>
          <w:lang w:val="es-CO"/>
        </w:rPr>
      </w:pPr>
      <w:r w:rsidRPr="00DA3080">
        <w:rPr>
          <w:rFonts w:ascii="Arial" w:eastAsia="Calibri" w:hAnsi="Arial" w:cs="Arial"/>
          <w:color w:val="000000" w:themeColor="text1"/>
          <w:sz w:val="22"/>
          <w:lang w:val="es-CO"/>
        </w:rPr>
        <w:t xml:space="preserve">En ejercicio de la competencia otorgada por el numeral 8 del artículo 11 y el numeral 5 del artículo 3 del Decreto Ley 4170 de 2011, </w:t>
      </w:r>
      <w:r w:rsidRPr="00DA3080">
        <w:rPr>
          <w:rFonts w:ascii="Arial MT" w:eastAsia="Arial MT" w:hAnsi="Arial MT" w:cs="Arial MT"/>
          <w:sz w:val="22"/>
          <w:lang w:val="es-ES"/>
        </w:rPr>
        <w:t>y</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dentro</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de</w:t>
      </w:r>
      <w:r w:rsidRPr="00DA3080">
        <w:rPr>
          <w:rFonts w:ascii="Arial MT" w:eastAsia="Arial MT" w:hAnsi="Arial MT" w:cs="Arial MT"/>
          <w:spacing w:val="-8"/>
          <w:sz w:val="22"/>
          <w:lang w:val="es-ES"/>
        </w:rPr>
        <w:t xml:space="preserve"> </w:t>
      </w:r>
      <w:r w:rsidRPr="00DA3080">
        <w:rPr>
          <w:rFonts w:ascii="Arial MT" w:eastAsia="Arial MT" w:hAnsi="Arial MT" w:cs="Arial MT"/>
          <w:sz w:val="22"/>
          <w:lang w:val="es-ES"/>
        </w:rPr>
        <w:t>los</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términos</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establecidos</w:t>
      </w:r>
      <w:r w:rsidRPr="00DA3080">
        <w:rPr>
          <w:rFonts w:ascii="Arial MT" w:eastAsia="Arial MT" w:hAnsi="Arial MT" w:cs="Arial MT"/>
          <w:spacing w:val="-8"/>
          <w:sz w:val="22"/>
          <w:lang w:val="es-ES"/>
        </w:rPr>
        <w:t xml:space="preserve"> </w:t>
      </w:r>
      <w:r w:rsidRPr="00DA3080">
        <w:rPr>
          <w:rFonts w:ascii="Arial MT" w:eastAsia="Arial MT" w:hAnsi="Arial MT" w:cs="Arial MT"/>
          <w:sz w:val="22"/>
          <w:lang w:val="es-ES"/>
        </w:rPr>
        <w:t>en</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el artículo</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14</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de</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la</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Ley</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1437</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de</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2011,</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modificados</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por</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el</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artículo</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5</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del</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Decreto</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 xml:space="preserve">Legislativo 491 del 28 de marzo de 2020, </w:t>
      </w:r>
      <w:r w:rsidRPr="00DA3080">
        <w:rPr>
          <w:rFonts w:ascii="Arial" w:eastAsia="Calibri" w:hAnsi="Arial" w:cs="Arial"/>
          <w:color w:val="000000" w:themeColor="text1"/>
          <w:sz w:val="22"/>
          <w:lang w:val="es-CO"/>
        </w:rPr>
        <w:t xml:space="preserve">la Agencia Nacional de Contratación Pública – Colombia Compra Eficiente responde la consulta realizada el </w:t>
      </w:r>
      <w:r w:rsidR="0031693E">
        <w:rPr>
          <w:rFonts w:ascii="Arial" w:eastAsia="Calibri" w:hAnsi="Arial" w:cs="Arial"/>
          <w:color w:val="000000" w:themeColor="text1"/>
          <w:sz w:val="22"/>
          <w:lang w:val="es-CO"/>
        </w:rPr>
        <w:t xml:space="preserve">17 </w:t>
      </w:r>
      <w:r w:rsidRPr="00DA3080">
        <w:rPr>
          <w:rFonts w:ascii="Arial" w:eastAsia="Calibri" w:hAnsi="Arial" w:cs="Arial"/>
          <w:color w:val="000000" w:themeColor="text1"/>
          <w:sz w:val="22"/>
          <w:lang w:val="es-CO"/>
        </w:rPr>
        <w:t xml:space="preserve">de </w:t>
      </w:r>
      <w:r w:rsidR="0031693E">
        <w:rPr>
          <w:rFonts w:ascii="Arial" w:eastAsia="Calibri" w:hAnsi="Arial" w:cs="Arial"/>
          <w:color w:val="000000" w:themeColor="text1"/>
          <w:sz w:val="22"/>
          <w:lang w:val="es-CO"/>
        </w:rPr>
        <w:t xml:space="preserve">marzo </w:t>
      </w:r>
      <w:r w:rsidRPr="00DA3080">
        <w:rPr>
          <w:rFonts w:ascii="Arial" w:eastAsia="Calibri" w:hAnsi="Arial" w:cs="Arial"/>
          <w:color w:val="000000" w:themeColor="text1"/>
          <w:sz w:val="22"/>
          <w:lang w:val="es-CO"/>
        </w:rPr>
        <w:t>de 2022.</w:t>
      </w:r>
    </w:p>
    <w:p w14:paraId="28A1367B" w14:textId="77777777" w:rsidR="009047DF" w:rsidRPr="00DA3080" w:rsidRDefault="009047DF" w:rsidP="00001D47">
      <w:pPr>
        <w:spacing w:after="0"/>
        <w:rPr>
          <w:rFonts w:ascii="Arial" w:eastAsia="Calibri" w:hAnsi="Arial" w:cs="Arial"/>
          <w:sz w:val="22"/>
          <w:lang w:val="es-CO"/>
        </w:rPr>
      </w:pPr>
    </w:p>
    <w:p w14:paraId="7AE4AC66" w14:textId="0A4DD470" w:rsidR="005F5BE7" w:rsidRPr="00DA3080" w:rsidRDefault="00F80890" w:rsidP="0082500C">
      <w:pPr>
        <w:tabs>
          <w:tab w:val="left" w:pos="284"/>
        </w:tabs>
        <w:spacing w:after="0"/>
        <w:rPr>
          <w:rFonts w:ascii="Arial" w:eastAsia="Calibri" w:hAnsi="Arial" w:cs="Arial"/>
          <w:b/>
          <w:sz w:val="22"/>
          <w:lang w:val="es-CO"/>
        </w:rPr>
      </w:pPr>
      <w:r w:rsidRPr="00DA3080">
        <w:rPr>
          <w:rFonts w:ascii="Arial" w:eastAsia="Calibri" w:hAnsi="Arial" w:cs="Arial"/>
          <w:b/>
          <w:sz w:val="22"/>
          <w:lang w:val="es-CO"/>
        </w:rPr>
        <w:t xml:space="preserve">1. </w:t>
      </w:r>
      <w:r w:rsidR="00D45D43" w:rsidRPr="00DA3080">
        <w:rPr>
          <w:rFonts w:ascii="Arial" w:eastAsia="Calibri" w:hAnsi="Arial" w:cs="Arial"/>
          <w:b/>
          <w:sz w:val="22"/>
          <w:lang w:val="es-CO"/>
        </w:rPr>
        <w:t>Problema planteado</w:t>
      </w:r>
      <w:bookmarkStart w:id="0" w:name="_Hlk78213421"/>
      <w:bookmarkStart w:id="1" w:name="_Hlk78192084"/>
      <w:bookmarkStart w:id="2" w:name="_Hlk58917991"/>
      <w:bookmarkStart w:id="3" w:name="_Hlk56103000"/>
    </w:p>
    <w:bookmarkEnd w:id="0"/>
    <w:bookmarkEnd w:id="1"/>
    <w:p w14:paraId="26E400F7" w14:textId="40A8EF1B" w:rsidR="005A0E7F" w:rsidRDefault="000A6DC7" w:rsidP="00DD34C7">
      <w:pPr>
        <w:pStyle w:val="NormalWeb"/>
        <w:spacing w:after="0"/>
        <w:rPr>
          <w:rFonts w:ascii="Arial" w:hAnsi="Arial" w:cs="Arial"/>
          <w:sz w:val="22"/>
        </w:rPr>
      </w:pPr>
      <w:r>
        <w:rPr>
          <w:rFonts w:ascii="Arial" w:hAnsi="Arial" w:cs="Arial"/>
          <w:sz w:val="22"/>
        </w:rPr>
        <w:t>En relación con el artículo 2 del Decreto 1860 de 2021</w:t>
      </w:r>
      <w:r w:rsidR="005A0E7F">
        <w:rPr>
          <w:rFonts w:ascii="Arial" w:hAnsi="Arial" w:cs="Arial"/>
          <w:sz w:val="22"/>
        </w:rPr>
        <w:t>,</w:t>
      </w:r>
      <w:r w:rsidR="006A59D0">
        <w:rPr>
          <w:rFonts w:ascii="Arial" w:hAnsi="Arial" w:cs="Arial"/>
          <w:sz w:val="22"/>
        </w:rPr>
        <w:t xml:space="preserve"> el cual</w:t>
      </w:r>
      <w:r w:rsidR="005A0E7F">
        <w:rPr>
          <w:rFonts w:ascii="Arial" w:hAnsi="Arial" w:cs="Arial"/>
          <w:sz w:val="22"/>
        </w:rPr>
        <w:t xml:space="preserve"> modifica la </w:t>
      </w:r>
      <w:r w:rsidR="00745CDF">
        <w:rPr>
          <w:rFonts w:ascii="Arial" w:hAnsi="Arial" w:cs="Arial"/>
          <w:sz w:val="22"/>
        </w:rPr>
        <w:t>Subsección 5 de la S</w:t>
      </w:r>
      <w:r w:rsidR="005A0E7F" w:rsidRPr="005A0E7F">
        <w:rPr>
          <w:rFonts w:ascii="Arial" w:hAnsi="Arial" w:cs="Arial"/>
          <w:sz w:val="22"/>
        </w:rPr>
        <w:t>ección 1 del Capítulo 2 del Título 1 de la Parte 2 del Libro 2 del Decreto 1082 de 2015</w:t>
      </w:r>
      <w:r w:rsidR="00745CDF">
        <w:rPr>
          <w:rFonts w:ascii="Arial" w:hAnsi="Arial" w:cs="Arial"/>
          <w:sz w:val="22"/>
        </w:rPr>
        <w:t xml:space="preserve"> sobe el procedimiento de selección de mínima cuantía, usted realiza las siguientes preguntas: </w:t>
      </w:r>
      <w:r w:rsidR="006A59D0" w:rsidRPr="006A59D0">
        <w:rPr>
          <w:rFonts w:ascii="Arial" w:hAnsi="Arial" w:cs="Arial"/>
          <w:sz w:val="22"/>
        </w:rPr>
        <w:t xml:space="preserve">i) </w:t>
      </w:r>
      <w:r w:rsidR="006A59D0">
        <w:rPr>
          <w:rFonts w:ascii="Arial" w:hAnsi="Arial" w:cs="Arial"/>
          <w:sz w:val="22"/>
        </w:rPr>
        <w:t>«</w:t>
      </w:r>
      <w:r w:rsidR="006A59D0" w:rsidRPr="006A59D0">
        <w:rPr>
          <w:rFonts w:ascii="Arial" w:hAnsi="Arial" w:cs="Arial"/>
          <w:sz w:val="22"/>
        </w:rPr>
        <w:t>¿cuál</w:t>
      </w:r>
      <w:r w:rsidR="00D36228">
        <w:rPr>
          <w:rFonts w:ascii="Arial" w:hAnsi="Arial" w:cs="Arial"/>
          <w:sz w:val="22"/>
        </w:rPr>
        <w:t xml:space="preserve"> </w:t>
      </w:r>
      <w:r w:rsidR="006A59D0" w:rsidRPr="006A59D0">
        <w:rPr>
          <w:rFonts w:ascii="Arial" w:hAnsi="Arial" w:cs="Arial"/>
          <w:sz w:val="22"/>
        </w:rPr>
        <w:t>es el término</w:t>
      </w:r>
      <w:r w:rsidR="009D060E">
        <w:rPr>
          <w:rFonts w:ascii="Arial" w:hAnsi="Arial" w:cs="Arial"/>
          <w:sz w:val="22"/>
        </w:rPr>
        <w:t xml:space="preserve"> </w:t>
      </w:r>
      <w:r w:rsidR="006A59D0" w:rsidRPr="006A59D0">
        <w:rPr>
          <w:rFonts w:ascii="Arial" w:hAnsi="Arial" w:cs="Arial"/>
          <w:sz w:val="22"/>
        </w:rPr>
        <w:t>de tiempo</w:t>
      </w:r>
      <w:r w:rsidR="009D060E">
        <w:rPr>
          <w:rFonts w:ascii="Arial" w:hAnsi="Arial" w:cs="Arial"/>
          <w:sz w:val="22"/>
        </w:rPr>
        <w:t xml:space="preserve"> </w:t>
      </w:r>
      <w:r w:rsidR="006A59D0" w:rsidRPr="006A59D0">
        <w:rPr>
          <w:rFonts w:ascii="Arial" w:hAnsi="Arial" w:cs="Arial"/>
          <w:sz w:val="22"/>
        </w:rPr>
        <w:t>correspondiente a un día</w:t>
      </w:r>
      <w:r w:rsidR="009D060E">
        <w:rPr>
          <w:rFonts w:ascii="Arial" w:hAnsi="Arial" w:cs="Arial"/>
          <w:sz w:val="22"/>
        </w:rPr>
        <w:t xml:space="preserve"> </w:t>
      </w:r>
      <w:r w:rsidR="006A59D0" w:rsidRPr="006A59D0">
        <w:rPr>
          <w:rFonts w:ascii="Arial" w:hAnsi="Arial" w:cs="Arial"/>
          <w:sz w:val="22"/>
        </w:rPr>
        <w:t>hábil?</w:t>
      </w:r>
      <w:r w:rsidR="009D060E">
        <w:rPr>
          <w:rFonts w:ascii="Arial" w:hAnsi="Arial" w:cs="Arial"/>
          <w:sz w:val="22"/>
        </w:rPr>
        <w:t>», y ii)</w:t>
      </w:r>
      <w:r w:rsidR="006A59D0" w:rsidRPr="006A59D0">
        <w:rPr>
          <w:rFonts w:ascii="Arial" w:hAnsi="Arial" w:cs="Arial"/>
          <w:sz w:val="22"/>
        </w:rPr>
        <w:t xml:space="preserve"> </w:t>
      </w:r>
      <w:r w:rsidR="00D36228">
        <w:rPr>
          <w:rFonts w:ascii="Arial" w:hAnsi="Arial" w:cs="Arial"/>
          <w:sz w:val="22"/>
        </w:rPr>
        <w:t>«</w:t>
      </w:r>
      <w:r w:rsidR="006A59D0" w:rsidRPr="006A59D0">
        <w:rPr>
          <w:rFonts w:ascii="Arial" w:hAnsi="Arial" w:cs="Arial"/>
          <w:sz w:val="22"/>
        </w:rPr>
        <w:t>¿</w:t>
      </w:r>
      <w:r w:rsidR="00D36228">
        <w:rPr>
          <w:rFonts w:ascii="Arial" w:hAnsi="Arial" w:cs="Arial"/>
          <w:sz w:val="22"/>
        </w:rPr>
        <w:t>[c]</w:t>
      </w:r>
      <w:r w:rsidR="006A59D0" w:rsidRPr="006A59D0">
        <w:rPr>
          <w:rFonts w:ascii="Arial" w:hAnsi="Arial" w:cs="Arial"/>
          <w:sz w:val="22"/>
        </w:rPr>
        <w:t>ómo debe contabilizarse, este término procesal?</w:t>
      </w:r>
      <w:r w:rsidR="00D36228">
        <w:rPr>
          <w:rFonts w:ascii="Arial" w:hAnsi="Arial" w:cs="Arial"/>
          <w:sz w:val="22"/>
        </w:rPr>
        <w:t>»</w:t>
      </w:r>
      <w:r w:rsidR="00AF7080">
        <w:rPr>
          <w:rFonts w:ascii="Arial" w:hAnsi="Arial" w:cs="Arial"/>
          <w:sz w:val="22"/>
        </w:rPr>
        <w:t>.</w:t>
      </w:r>
    </w:p>
    <w:bookmarkEnd w:id="2"/>
    <w:bookmarkEnd w:id="3"/>
    <w:p w14:paraId="416ED36B" w14:textId="1E408457" w:rsidR="00D45D43" w:rsidRPr="00DA3080" w:rsidRDefault="0029475E" w:rsidP="0082500C">
      <w:pPr>
        <w:pStyle w:val="NormalWeb"/>
        <w:spacing w:before="0" w:beforeAutospacing="0" w:after="0" w:afterAutospacing="0"/>
        <w:rPr>
          <w:rFonts w:ascii="Arial" w:eastAsia="Calibri" w:hAnsi="Arial" w:cs="Arial"/>
          <w:b/>
          <w:sz w:val="22"/>
        </w:rPr>
      </w:pPr>
      <w:r w:rsidRPr="00DA3080">
        <w:rPr>
          <w:rFonts w:ascii="Arial" w:eastAsia="Calibri" w:hAnsi="Arial" w:cs="Arial"/>
          <w:b/>
          <w:sz w:val="22"/>
        </w:rPr>
        <w:t xml:space="preserve">2. </w:t>
      </w:r>
      <w:r w:rsidR="00D45D43" w:rsidRPr="00DA3080">
        <w:rPr>
          <w:rFonts w:ascii="Arial" w:eastAsia="Calibri" w:hAnsi="Arial" w:cs="Arial"/>
          <w:b/>
          <w:sz w:val="22"/>
        </w:rPr>
        <w:t>Consideraciones</w:t>
      </w:r>
    </w:p>
    <w:p w14:paraId="2C21C11E" w14:textId="77777777" w:rsidR="005E3465" w:rsidRPr="00DA3080" w:rsidRDefault="005E3465" w:rsidP="0082500C">
      <w:pPr>
        <w:pStyle w:val="NormalWeb"/>
        <w:spacing w:before="0" w:beforeAutospacing="0" w:after="0" w:afterAutospacing="0"/>
        <w:rPr>
          <w:rFonts w:ascii="Arial" w:eastAsia="Calibri" w:hAnsi="Arial" w:cs="Arial"/>
          <w:b/>
          <w:sz w:val="22"/>
        </w:rPr>
      </w:pPr>
    </w:p>
    <w:p w14:paraId="2E9170E9" w14:textId="35F35A9D" w:rsidR="00D14890" w:rsidRPr="00DA3080" w:rsidRDefault="00D14890" w:rsidP="003350BE">
      <w:pPr>
        <w:tabs>
          <w:tab w:val="left" w:pos="426"/>
        </w:tabs>
        <w:spacing w:after="0"/>
        <w:rPr>
          <w:rFonts w:ascii="Arial" w:eastAsia="Calibri" w:hAnsi="Arial" w:cs="Arial"/>
          <w:bCs/>
          <w:color w:val="000000" w:themeColor="text1"/>
          <w:sz w:val="22"/>
          <w:lang w:val="es-ES_tradnl"/>
        </w:rPr>
      </w:pPr>
      <w:bookmarkStart w:id="4" w:name="_Hlk79772899"/>
      <w:r w:rsidRPr="00DA3080">
        <w:rPr>
          <w:rFonts w:ascii="Arial" w:eastAsia="Calibri" w:hAnsi="Arial" w:cs="Arial"/>
          <w:bCs/>
          <w:color w:val="000000" w:themeColor="text1"/>
          <w:sz w:val="22"/>
          <w:lang w:val="es-ES_tradnl"/>
        </w:rPr>
        <w:lastRenderedPageBreak/>
        <w:t>La Agencia Nacional de Contratación Pública – Colombia Compra Eficient</w:t>
      </w:r>
      <w:r w:rsidR="00C8173E">
        <w:rPr>
          <w:rFonts w:ascii="Arial" w:eastAsia="Calibri" w:hAnsi="Arial" w:cs="Arial"/>
          <w:bCs/>
          <w:color w:val="000000" w:themeColor="text1"/>
          <w:sz w:val="22"/>
          <w:lang w:val="es-ES_tradnl"/>
        </w:rPr>
        <w:t>e, en los c</w:t>
      </w:r>
      <w:r w:rsidR="00B61DFA" w:rsidRPr="00B61DFA">
        <w:rPr>
          <w:rFonts w:ascii="Arial" w:eastAsia="Calibri" w:hAnsi="Arial" w:cs="Arial"/>
          <w:bCs/>
          <w:color w:val="000000" w:themeColor="text1"/>
          <w:sz w:val="22"/>
          <w:lang w:val="es-ES_tradnl"/>
        </w:rPr>
        <w:t xml:space="preserve">onceptos con radicado No. 2201913000006236 de 26 de agosto de 2019, </w:t>
      </w:r>
      <w:r w:rsidR="00C8173E">
        <w:rPr>
          <w:rFonts w:ascii="Arial" w:eastAsia="Calibri" w:hAnsi="Arial" w:cs="Arial"/>
          <w:bCs/>
          <w:color w:val="000000" w:themeColor="text1"/>
          <w:sz w:val="22"/>
          <w:lang w:val="es-ES_tradnl"/>
        </w:rPr>
        <w:t>C–</w:t>
      </w:r>
      <w:r w:rsidR="00B61DFA" w:rsidRPr="00B61DFA">
        <w:rPr>
          <w:rFonts w:ascii="Arial" w:eastAsia="Calibri" w:hAnsi="Arial" w:cs="Arial"/>
          <w:bCs/>
          <w:color w:val="000000" w:themeColor="text1"/>
          <w:sz w:val="22"/>
          <w:lang w:val="es-ES_tradnl"/>
        </w:rPr>
        <w:t>108 del 3 de marzo de 2020, C–121 del 3 de marzo de 2020, C–122 del 25 de marzo de 2020 y C–160 del 3 de abril de 2020</w:t>
      </w:r>
      <w:r w:rsidR="002C7CBF">
        <w:rPr>
          <w:rFonts w:ascii="Arial" w:eastAsia="Calibri" w:hAnsi="Arial" w:cs="Arial"/>
          <w:bCs/>
          <w:color w:val="000000" w:themeColor="text1"/>
          <w:sz w:val="22"/>
          <w:lang w:val="es-ES_tradnl"/>
        </w:rPr>
        <w:t xml:space="preserve">, </w:t>
      </w:r>
      <w:r w:rsidR="00B61DFA" w:rsidRPr="00B61DFA">
        <w:rPr>
          <w:rFonts w:ascii="Arial" w:eastAsia="Calibri" w:hAnsi="Arial" w:cs="Arial"/>
          <w:bCs/>
          <w:color w:val="000000" w:themeColor="text1"/>
          <w:sz w:val="22"/>
          <w:lang w:val="es-ES_tradnl"/>
        </w:rPr>
        <w:t>C-465 del 27 de julio de 2020</w:t>
      </w:r>
      <w:r w:rsidR="002C7CBF">
        <w:rPr>
          <w:rFonts w:ascii="Arial" w:eastAsia="Calibri" w:hAnsi="Arial" w:cs="Arial"/>
          <w:bCs/>
          <w:color w:val="000000" w:themeColor="text1"/>
          <w:sz w:val="22"/>
          <w:lang w:val="es-ES_tradnl"/>
        </w:rPr>
        <w:t>, C-557 del 21 de agosto de 2020</w:t>
      </w:r>
      <w:r w:rsidR="00555FA1">
        <w:rPr>
          <w:rFonts w:ascii="Arial" w:eastAsia="Calibri" w:hAnsi="Arial" w:cs="Arial"/>
          <w:bCs/>
          <w:color w:val="000000" w:themeColor="text1"/>
          <w:sz w:val="22"/>
          <w:lang w:val="es-ES_tradnl"/>
        </w:rPr>
        <w:t xml:space="preserve"> y C-734 del </w:t>
      </w:r>
      <w:r w:rsidR="00DE2E8E">
        <w:rPr>
          <w:rFonts w:ascii="Arial" w:eastAsia="Calibri" w:hAnsi="Arial" w:cs="Arial"/>
          <w:bCs/>
          <w:color w:val="000000" w:themeColor="text1"/>
          <w:sz w:val="22"/>
          <w:lang w:val="es-ES_tradnl"/>
        </w:rPr>
        <w:t>16 de diciembre de 2020</w:t>
      </w:r>
      <w:r w:rsidR="00B61DFA" w:rsidRPr="00B61DFA">
        <w:rPr>
          <w:rFonts w:ascii="Arial" w:eastAsia="Calibri" w:hAnsi="Arial" w:cs="Arial"/>
          <w:bCs/>
          <w:color w:val="000000" w:themeColor="text1"/>
          <w:sz w:val="22"/>
          <w:lang w:val="es-ES_tradnl"/>
        </w:rPr>
        <w:t xml:space="preserve">, estudió particularidades de la modalidad de selección de mínima cuantía, refiriéndose a cuestiones como la contabilización de los términos y la </w:t>
      </w:r>
      <w:r w:rsidR="00605B21">
        <w:rPr>
          <w:rFonts w:ascii="Arial" w:eastAsia="Calibri" w:hAnsi="Arial" w:cs="Arial"/>
          <w:bCs/>
          <w:color w:val="000000" w:themeColor="text1"/>
          <w:sz w:val="22"/>
          <w:lang w:val="es-ES_tradnl"/>
        </w:rPr>
        <w:t>expedición de</w:t>
      </w:r>
      <w:r w:rsidR="00B61DFA" w:rsidRPr="00B61DFA">
        <w:rPr>
          <w:rFonts w:ascii="Arial" w:eastAsia="Calibri" w:hAnsi="Arial" w:cs="Arial"/>
          <w:bCs/>
          <w:color w:val="000000" w:themeColor="text1"/>
          <w:sz w:val="22"/>
          <w:lang w:val="es-ES_tradnl"/>
        </w:rPr>
        <w:t xml:space="preserve"> adendas</w:t>
      </w:r>
      <w:r w:rsidR="00DE2E8E">
        <w:rPr>
          <w:rFonts w:ascii="Arial" w:eastAsia="Calibri" w:hAnsi="Arial" w:cs="Arial"/>
          <w:bCs/>
          <w:color w:val="000000" w:themeColor="text1"/>
          <w:sz w:val="22"/>
          <w:lang w:val="es-ES_tradnl"/>
        </w:rPr>
        <w:t xml:space="preserve">. Igualmente, en los conceptos </w:t>
      </w:r>
      <w:r w:rsidR="00584D10">
        <w:rPr>
          <w:rFonts w:ascii="Arial" w:eastAsia="Calibri" w:hAnsi="Arial" w:cs="Arial"/>
          <w:bCs/>
          <w:color w:val="000000" w:themeColor="text1"/>
          <w:sz w:val="22"/>
          <w:lang w:val="es-ES_tradnl"/>
        </w:rPr>
        <w:t xml:space="preserve">C-761 de 2022, </w:t>
      </w:r>
      <w:r w:rsidR="00727D2C">
        <w:rPr>
          <w:rFonts w:ascii="Arial" w:eastAsia="Calibri" w:hAnsi="Arial" w:cs="Arial"/>
          <w:bCs/>
          <w:color w:val="000000" w:themeColor="text1"/>
          <w:sz w:val="22"/>
          <w:lang w:val="es-ES_tradnl"/>
        </w:rPr>
        <w:t xml:space="preserve">C-007 del 16 de febrero de 2022, </w:t>
      </w:r>
      <w:r w:rsidR="00584D10">
        <w:rPr>
          <w:rFonts w:ascii="Arial" w:eastAsia="Calibri" w:hAnsi="Arial" w:cs="Arial"/>
          <w:bCs/>
          <w:color w:val="000000" w:themeColor="text1"/>
          <w:sz w:val="22"/>
          <w:lang w:val="es-ES_tradnl"/>
        </w:rPr>
        <w:t>C-</w:t>
      </w:r>
      <w:r w:rsidR="00087D95">
        <w:rPr>
          <w:rFonts w:ascii="Arial" w:eastAsia="Calibri" w:hAnsi="Arial" w:cs="Arial"/>
          <w:bCs/>
          <w:color w:val="000000" w:themeColor="text1"/>
          <w:sz w:val="22"/>
          <w:lang w:val="es-ES_tradnl"/>
        </w:rPr>
        <w:t>001 del 17 de febrero de 2022</w:t>
      </w:r>
      <w:r w:rsidR="009415D8">
        <w:rPr>
          <w:rFonts w:ascii="Arial" w:eastAsia="Calibri" w:hAnsi="Arial" w:cs="Arial"/>
          <w:bCs/>
          <w:color w:val="000000" w:themeColor="text1"/>
          <w:sz w:val="22"/>
          <w:lang w:val="es-ES_tradnl"/>
        </w:rPr>
        <w:t xml:space="preserve"> y</w:t>
      </w:r>
      <w:r w:rsidR="00087D95">
        <w:rPr>
          <w:rFonts w:ascii="Arial" w:eastAsia="Calibri" w:hAnsi="Arial" w:cs="Arial"/>
          <w:bCs/>
          <w:color w:val="000000" w:themeColor="text1"/>
          <w:sz w:val="22"/>
          <w:lang w:val="es-ES_tradnl"/>
        </w:rPr>
        <w:t xml:space="preserve"> C-</w:t>
      </w:r>
      <w:r w:rsidR="00721891">
        <w:rPr>
          <w:rFonts w:ascii="Arial" w:eastAsia="Calibri" w:hAnsi="Arial" w:cs="Arial"/>
          <w:bCs/>
          <w:color w:val="000000" w:themeColor="text1"/>
          <w:sz w:val="22"/>
          <w:lang w:val="es-ES_tradnl"/>
        </w:rPr>
        <w:t xml:space="preserve">031 del 1 de marzo de 2022, </w:t>
      </w:r>
      <w:r w:rsidR="009241E2">
        <w:rPr>
          <w:rFonts w:ascii="Arial" w:eastAsia="Calibri" w:hAnsi="Arial" w:cs="Arial"/>
          <w:bCs/>
          <w:color w:val="000000" w:themeColor="text1"/>
          <w:sz w:val="22"/>
          <w:lang w:val="es-ES_tradnl"/>
        </w:rPr>
        <w:t xml:space="preserve">se analizó el alcance </w:t>
      </w:r>
      <w:r w:rsidR="00571C79">
        <w:rPr>
          <w:rFonts w:ascii="Arial" w:eastAsia="Calibri" w:hAnsi="Arial" w:cs="Arial"/>
          <w:bCs/>
          <w:color w:val="000000" w:themeColor="text1"/>
          <w:sz w:val="22"/>
          <w:lang w:val="es-ES_tradnl"/>
        </w:rPr>
        <w:t xml:space="preserve">y la vigencia del Decreto 1860 de 2021, en lo que respecta al procedimiento de selección de mínima cuantía. </w:t>
      </w:r>
      <w:r w:rsidR="0086622D">
        <w:rPr>
          <w:rFonts w:ascii="Arial" w:eastAsia="Calibri" w:hAnsi="Arial" w:cs="Arial"/>
          <w:bCs/>
          <w:color w:val="000000" w:themeColor="text1"/>
          <w:sz w:val="22"/>
          <w:lang w:val="es-ES_tradnl"/>
        </w:rPr>
        <w:t xml:space="preserve">Las tesis desarrolladas en estos conceptos se reiteran a continuación y se complementan en lo pertinente. </w:t>
      </w:r>
    </w:p>
    <w:p w14:paraId="3D4C4671" w14:textId="77777777" w:rsidR="00043EF1" w:rsidRPr="00DA3080" w:rsidRDefault="00043EF1" w:rsidP="008E1C63">
      <w:pPr>
        <w:tabs>
          <w:tab w:val="left" w:pos="709"/>
        </w:tabs>
        <w:spacing w:after="0"/>
        <w:rPr>
          <w:rFonts w:ascii="Arial" w:eastAsia="Calibri" w:hAnsi="Arial" w:cs="Arial"/>
          <w:color w:val="000000" w:themeColor="text1"/>
          <w:sz w:val="22"/>
          <w:lang w:val="es-ES_tradnl"/>
        </w:rPr>
      </w:pPr>
    </w:p>
    <w:p w14:paraId="5BB55741" w14:textId="25C9A1CC" w:rsidR="00B02214" w:rsidRPr="00DA3080" w:rsidRDefault="00043EF1" w:rsidP="008E1C63">
      <w:pPr>
        <w:tabs>
          <w:tab w:val="left" w:pos="709"/>
        </w:tabs>
        <w:spacing w:after="0"/>
        <w:rPr>
          <w:rFonts w:ascii="Arial" w:eastAsia="Calibri" w:hAnsi="Arial" w:cs="Arial"/>
          <w:b/>
          <w:bCs/>
          <w:color w:val="000000" w:themeColor="text1"/>
          <w:sz w:val="22"/>
          <w:lang w:val="es-ES_tradnl"/>
        </w:rPr>
      </w:pPr>
      <w:r w:rsidRPr="00DA3080">
        <w:rPr>
          <w:rFonts w:ascii="Arial" w:eastAsia="Calibri" w:hAnsi="Arial" w:cs="Arial"/>
          <w:b/>
          <w:bCs/>
          <w:color w:val="000000" w:themeColor="text1"/>
          <w:sz w:val="22"/>
          <w:lang w:val="es-ES_tradnl"/>
        </w:rPr>
        <w:t>2.</w:t>
      </w:r>
      <w:r w:rsidR="00DC6451">
        <w:rPr>
          <w:rFonts w:ascii="Arial" w:eastAsia="Calibri" w:hAnsi="Arial" w:cs="Arial"/>
          <w:b/>
          <w:bCs/>
          <w:color w:val="000000" w:themeColor="text1"/>
          <w:sz w:val="22"/>
          <w:lang w:val="es-ES_tradnl"/>
        </w:rPr>
        <w:t>1</w:t>
      </w:r>
      <w:r w:rsidRPr="00DA3080">
        <w:rPr>
          <w:rFonts w:ascii="Arial" w:eastAsia="Calibri" w:hAnsi="Arial" w:cs="Arial"/>
          <w:b/>
          <w:bCs/>
          <w:color w:val="000000" w:themeColor="text1"/>
          <w:sz w:val="22"/>
          <w:lang w:val="es-ES_tradnl"/>
        </w:rPr>
        <w:t xml:space="preserve">. </w:t>
      </w:r>
      <w:bookmarkStart w:id="5" w:name="_Hlk94169601"/>
      <w:r w:rsidRPr="00DA3080">
        <w:rPr>
          <w:rFonts w:ascii="Arial" w:eastAsia="Calibri" w:hAnsi="Arial" w:cs="Arial"/>
          <w:b/>
          <w:bCs/>
          <w:color w:val="000000" w:themeColor="text1"/>
          <w:sz w:val="22"/>
          <w:lang w:val="es-ES_tradnl"/>
        </w:rPr>
        <w:t xml:space="preserve">Régimen aplicable a los procesos de mínima cuantía, cuya invitación se publique </w:t>
      </w:r>
      <w:r w:rsidR="006C054F" w:rsidRPr="00DA3080">
        <w:rPr>
          <w:rFonts w:ascii="Arial" w:eastAsia="Calibri" w:hAnsi="Arial" w:cs="Arial"/>
          <w:b/>
          <w:bCs/>
          <w:color w:val="000000" w:themeColor="text1"/>
          <w:sz w:val="22"/>
          <w:lang w:val="es-ES_tradnl"/>
        </w:rPr>
        <w:t>a partir</w:t>
      </w:r>
      <w:r w:rsidRPr="00DA3080">
        <w:rPr>
          <w:rFonts w:ascii="Arial" w:eastAsia="Calibri" w:hAnsi="Arial" w:cs="Arial"/>
          <w:b/>
          <w:bCs/>
          <w:color w:val="000000" w:themeColor="text1"/>
          <w:sz w:val="22"/>
          <w:lang w:val="es-ES_tradnl"/>
        </w:rPr>
        <w:t xml:space="preserve"> del 24 de marzo de 2022</w:t>
      </w:r>
      <w:bookmarkEnd w:id="5"/>
    </w:p>
    <w:p w14:paraId="12656AA5" w14:textId="686CF8BF" w:rsidR="00043EF1" w:rsidRPr="00DA3080" w:rsidRDefault="00043EF1" w:rsidP="008E1C63">
      <w:pPr>
        <w:tabs>
          <w:tab w:val="left" w:pos="709"/>
        </w:tabs>
        <w:spacing w:after="0"/>
        <w:rPr>
          <w:rFonts w:ascii="Arial" w:eastAsia="Calibri" w:hAnsi="Arial" w:cs="Arial"/>
          <w:b/>
          <w:bCs/>
          <w:color w:val="000000" w:themeColor="text1"/>
          <w:sz w:val="22"/>
          <w:lang w:val="es-ES_tradnl"/>
        </w:rPr>
      </w:pPr>
    </w:p>
    <w:p w14:paraId="45E60622" w14:textId="16C348A8" w:rsidR="00CD12E2" w:rsidRPr="0022320F" w:rsidRDefault="00CD12E2" w:rsidP="00CD12E2">
      <w:pPr>
        <w:spacing w:after="120"/>
        <w:rPr>
          <w:rFonts w:ascii="Arial" w:eastAsia="Calibri" w:hAnsi="Arial" w:cs="Arial"/>
          <w:sz w:val="22"/>
          <w:lang w:val="es-ES_tradnl"/>
        </w:rPr>
      </w:pPr>
      <w:bookmarkStart w:id="6" w:name="_Hlk100131579"/>
      <w:r w:rsidRPr="0022320F">
        <w:rPr>
          <w:rFonts w:ascii="Arial" w:eastAsia="Calibri" w:hAnsi="Arial" w:cs="Arial"/>
          <w:sz w:val="22"/>
          <w:lang w:val="es-ES_tradnl"/>
        </w:rPr>
        <w:t>La mínima cuantía es una modalidad de selección en virtud de la cual la entidad estatal realiza una convocatoria pública para recibir ofertas de bienes</w:t>
      </w:r>
      <w:r w:rsidR="00532C0E">
        <w:rPr>
          <w:rFonts w:ascii="Arial" w:eastAsia="Calibri" w:hAnsi="Arial" w:cs="Arial"/>
          <w:sz w:val="22"/>
          <w:lang w:val="es-ES_tradnl"/>
        </w:rPr>
        <w:t>, obras</w:t>
      </w:r>
      <w:r w:rsidRPr="0022320F">
        <w:rPr>
          <w:rFonts w:ascii="Arial" w:eastAsia="Calibri" w:hAnsi="Arial" w:cs="Arial"/>
          <w:sz w:val="22"/>
          <w:lang w:val="es-ES_tradnl"/>
        </w:rPr>
        <w:t xml:space="preserve"> o servicios cuyo valor no excede el diez por ciento </w:t>
      </w:r>
      <w:r>
        <w:rPr>
          <w:rFonts w:ascii="Arial" w:eastAsia="Calibri" w:hAnsi="Arial" w:cs="Arial"/>
          <w:sz w:val="22"/>
          <w:lang w:val="es-ES_tradnl"/>
        </w:rPr>
        <w:t>–</w:t>
      </w:r>
      <w:r w:rsidRPr="0022320F">
        <w:rPr>
          <w:rFonts w:ascii="Arial" w:eastAsia="Calibri" w:hAnsi="Arial" w:cs="Arial"/>
          <w:sz w:val="22"/>
          <w:lang w:val="es-ES_tradnl"/>
        </w:rPr>
        <w:t>10%</w:t>
      </w:r>
      <w:r>
        <w:rPr>
          <w:rFonts w:ascii="Arial" w:eastAsia="Calibri" w:hAnsi="Arial" w:cs="Arial"/>
          <w:sz w:val="22"/>
          <w:lang w:val="es-ES_tradnl"/>
        </w:rPr>
        <w:t>–</w:t>
      </w:r>
      <w:r w:rsidRPr="0022320F">
        <w:rPr>
          <w:rFonts w:ascii="Arial" w:eastAsia="Calibri" w:hAnsi="Arial" w:cs="Arial"/>
          <w:sz w:val="22"/>
          <w:lang w:val="es-ES_tradnl"/>
        </w:rPr>
        <w:t xml:space="preserve"> de la menor cuantía. Fue creada por el artículo 94 de la Ley 1474 de 2011 –que adicionó el numeral 5º al artículo 2 de la Ley 1150 de 2007–</w:t>
      </w:r>
      <w:r w:rsidRPr="0022320F">
        <w:rPr>
          <w:rStyle w:val="Refdenotaalpie"/>
          <w:rFonts w:ascii="Arial" w:eastAsia="Calibri" w:hAnsi="Arial" w:cs="Arial"/>
          <w:sz w:val="22"/>
          <w:lang w:val="es-ES_tradnl"/>
        </w:rPr>
        <w:footnoteReference w:id="1"/>
      </w:r>
      <w:r w:rsidRPr="0022320F">
        <w:rPr>
          <w:rFonts w:ascii="Arial" w:eastAsia="Calibri" w:hAnsi="Arial" w:cs="Arial"/>
          <w:sz w:val="22"/>
          <w:lang w:val="es-ES_tradnl"/>
        </w:rPr>
        <w:t>, estableciendo que el factor determinante para adelantar tal procedimiento es la cuantía–calculada como presupuesto oficial a partir del estudio del sector–, independientemente de su objeto</w:t>
      </w:r>
      <w:r w:rsidRPr="0022320F">
        <w:rPr>
          <w:rStyle w:val="Refdenotaalpie"/>
          <w:rFonts w:ascii="Arial" w:eastAsia="Calibri" w:hAnsi="Arial" w:cs="Arial"/>
          <w:sz w:val="22"/>
          <w:lang w:val="es-ES_tradnl"/>
        </w:rPr>
        <w:footnoteReference w:id="2"/>
      </w:r>
      <w:r w:rsidRPr="0022320F">
        <w:rPr>
          <w:rFonts w:ascii="Arial" w:eastAsia="Calibri" w:hAnsi="Arial" w:cs="Arial"/>
          <w:sz w:val="22"/>
          <w:lang w:val="es-ES_tradnl"/>
        </w:rPr>
        <w:t xml:space="preserve">. </w:t>
      </w:r>
    </w:p>
    <w:bookmarkEnd w:id="6"/>
    <w:p w14:paraId="2FA7A9C8" w14:textId="31CF815C" w:rsidR="00C75DC7" w:rsidRDefault="00CD12E2" w:rsidP="00532C0E">
      <w:pPr>
        <w:tabs>
          <w:tab w:val="left" w:pos="709"/>
        </w:tabs>
        <w:spacing w:after="120"/>
        <w:ind w:firstLine="709"/>
        <w:rPr>
          <w:rFonts w:ascii="Arial" w:eastAsia="Calibri" w:hAnsi="Arial" w:cs="Arial"/>
          <w:sz w:val="22"/>
          <w:lang w:val="es-ES_tradnl"/>
        </w:rPr>
      </w:pPr>
      <w:r w:rsidRPr="0022320F">
        <w:rPr>
          <w:rFonts w:ascii="Arial" w:eastAsia="Calibri" w:hAnsi="Arial" w:cs="Arial"/>
          <w:sz w:val="22"/>
          <w:lang w:val="es-ES_tradnl"/>
        </w:rPr>
        <w:lastRenderedPageBreak/>
        <w:t>Dicho de otro modo, la mínima cuantía es un procedimiento de selección «especial»</w:t>
      </w:r>
      <w:r w:rsidRPr="0022320F">
        <w:rPr>
          <w:rStyle w:val="Refdenotaalpie"/>
          <w:rFonts w:ascii="Arial" w:eastAsia="Calibri" w:hAnsi="Arial" w:cs="Arial"/>
          <w:sz w:val="22"/>
          <w:lang w:val="es-ES_tradnl"/>
        </w:rPr>
        <w:footnoteReference w:id="3"/>
      </w:r>
      <w:r w:rsidRPr="0022320F">
        <w:rPr>
          <w:rFonts w:ascii="Arial" w:eastAsia="Calibri" w:hAnsi="Arial" w:cs="Arial"/>
          <w:sz w:val="22"/>
          <w:lang w:val="es-ES_tradnl"/>
        </w:rPr>
        <w:t>, porque es una excepción a la regla general constituida por la licitación pública</w:t>
      </w:r>
      <w:r w:rsidR="00532C0E">
        <w:rPr>
          <w:rFonts w:ascii="Arial" w:eastAsia="Calibri" w:hAnsi="Arial" w:cs="Arial"/>
          <w:sz w:val="22"/>
          <w:lang w:val="es-ES_tradnl"/>
        </w:rPr>
        <w:t xml:space="preserve">. </w:t>
      </w:r>
      <w:r w:rsidR="00532C0E" w:rsidRPr="00532C0E">
        <w:rPr>
          <w:rFonts w:ascii="Arial" w:eastAsia="Calibri" w:hAnsi="Arial" w:cs="Arial"/>
          <w:sz w:val="22"/>
          <w:lang w:val="es-ES_tradnl"/>
        </w:rPr>
        <w:t>Aunque ambas modalidades implican un llamado general a presentar ofertas, efectuado por la entidad estatal interesada en contratar, la mínima cuantía es distinta de la licitación en otros aspectos, como su conducencia y su procedimiento: lo primero, porque solo procede por razón de una cuantía específica</w:t>
      </w:r>
      <w:r w:rsidR="00532C0E" w:rsidRPr="00532C0E">
        <w:rPr>
          <w:rFonts w:ascii="Arial" w:eastAsia="Calibri" w:hAnsi="Arial" w:cs="Arial"/>
          <w:sz w:val="22"/>
          <w:vertAlign w:val="superscript"/>
          <w:lang w:val="es-ES_tradnl"/>
        </w:rPr>
        <w:footnoteReference w:id="4"/>
      </w:r>
      <w:r w:rsidR="00532C0E" w:rsidRPr="00532C0E">
        <w:rPr>
          <w:rFonts w:ascii="Arial" w:eastAsia="Calibri" w:hAnsi="Arial" w:cs="Arial"/>
          <w:sz w:val="22"/>
          <w:lang w:val="es-ES_tradnl"/>
        </w:rPr>
        <w:t>, y lo segundo, porque sus requisitos, etapas y términos son especiales</w:t>
      </w:r>
      <w:r w:rsidRPr="0022320F">
        <w:rPr>
          <w:rFonts w:ascii="Arial" w:eastAsia="Calibri" w:hAnsi="Arial" w:cs="Arial"/>
          <w:sz w:val="22"/>
          <w:lang w:val="es-ES_tradnl"/>
        </w:rPr>
        <w:t>.</w:t>
      </w:r>
    </w:p>
    <w:p w14:paraId="5C1BFDDA" w14:textId="70E105A9" w:rsidR="00841426" w:rsidRDefault="000C4F15" w:rsidP="00C75DC7">
      <w:pPr>
        <w:tabs>
          <w:tab w:val="left" w:pos="709"/>
        </w:tabs>
        <w:spacing w:after="120"/>
        <w:ind w:firstLine="709"/>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Por su parte, el 31 de diciembre de 2020 fue expedida </w:t>
      </w:r>
      <w:r w:rsidR="00B00F37">
        <w:rPr>
          <w:rFonts w:ascii="Arial" w:eastAsia="Calibri" w:hAnsi="Arial" w:cs="Arial"/>
          <w:color w:val="000000" w:themeColor="text1"/>
          <w:sz w:val="22"/>
          <w:lang w:val="es-ES_tradnl"/>
        </w:rPr>
        <w:t xml:space="preserve">la Ley 2069 de 2020 –conocida como Ley de </w:t>
      </w:r>
      <w:r w:rsidR="00DF7CD5">
        <w:rPr>
          <w:rFonts w:ascii="Arial" w:eastAsia="Calibri" w:hAnsi="Arial" w:cs="Arial"/>
          <w:color w:val="000000" w:themeColor="text1"/>
          <w:sz w:val="22"/>
          <w:lang w:val="es-ES_tradnl"/>
        </w:rPr>
        <w:t>Emprendimiento</w:t>
      </w:r>
      <w:r w:rsidR="00B00F37">
        <w:rPr>
          <w:rFonts w:ascii="Arial" w:eastAsia="Calibri" w:hAnsi="Arial" w:cs="Arial"/>
          <w:color w:val="000000" w:themeColor="text1"/>
          <w:sz w:val="22"/>
          <w:lang w:val="es-ES_tradnl"/>
        </w:rPr>
        <w:t>–</w:t>
      </w:r>
      <w:r w:rsidR="00422F87">
        <w:rPr>
          <w:rFonts w:ascii="Arial" w:eastAsia="Calibri" w:hAnsi="Arial" w:cs="Arial"/>
          <w:color w:val="000000" w:themeColor="text1"/>
          <w:sz w:val="22"/>
          <w:lang w:val="es-ES_tradnl"/>
        </w:rPr>
        <w:t>, cuyo artículo 30 modificó e</w:t>
      </w:r>
      <w:r w:rsidR="00841426" w:rsidRPr="00841426">
        <w:rPr>
          <w:rFonts w:ascii="Arial" w:eastAsia="Calibri" w:hAnsi="Arial" w:cs="Arial"/>
          <w:color w:val="000000" w:themeColor="text1"/>
          <w:sz w:val="22"/>
          <w:lang w:val="es-ES_tradnl"/>
        </w:rPr>
        <w:t>l numeral 5 del artículo 2 de la Ley 1150 de 2007, el cual regula la mínima cuantía.</w:t>
      </w:r>
      <w:r w:rsidR="00DF7CD5">
        <w:rPr>
          <w:rFonts w:ascii="Arial" w:eastAsia="Calibri" w:hAnsi="Arial" w:cs="Arial"/>
          <w:color w:val="000000" w:themeColor="text1"/>
          <w:sz w:val="22"/>
          <w:lang w:val="es-ES_tradnl"/>
        </w:rPr>
        <w:t xml:space="preserve"> Esta norma </w:t>
      </w:r>
      <w:r w:rsidR="00532C0E">
        <w:rPr>
          <w:rFonts w:ascii="Arial" w:eastAsia="Calibri" w:hAnsi="Arial" w:cs="Arial"/>
          <w:color w:val="000000" w:themeColor="text1"/>
          <w:sz w:val="22"/>
          <w:lang w:val="es-ES_tradnl"/>
        </w:rPr>
        <w:t xml:space="preserve">dispuso </w:t>
      </w:r>
      <w:r w:rsidR="00606157">
        <w:rPr>
          <w:rFonts w:ascii="Arial" w:eastAsia="Calibri" w:hAnsi="Arial" w:cs="Arial"/>
          <w:color w:val="000000" w:themeColor="text1"/>
          <w:sz w:val="22"/>
          <w:lang w:val="es-ES_tradnl"/>
        </w:rPr>
        <w:t>aspectos del</w:t>
      </w:r>
      <w:r w:rsidR="00532C0E">
        <w:rPr>
          <w:rFonts w:ascii="Arial" w:eastAsia="Calibri" w:hAnsi="Arial" w:cs="Arial"/>
          <w:color w:val="000000" w:themeColor="text1"/>
          <w:sz w:val="22"/>
          <w:lang w:val="es-ES_tradnl"/>
        </w:rPr>
        <w:t xml:space="preserve"> procedimiento</w:t>
      </w:r>
      <w:r w:rsidR="00606157">
        <w:rPr>
          <w:rFonts w:ascii="Arial" w:eastAsia="Calibri" w:hAnsi="Arial" w:cs="Arial"/>
          <w:color w:val="000000" w:themeColor="text1"/>
          <w:sz w:val="22"/>
          <w:lang w:val="es-ES_tradnl"/>
        </w:rPr>
        <w:t xml:space="preserve"> como: </w:t>
      </w:r>
      <w:r w:rsidR="00606157" w:rsidRPr="00DA3080">
        <w:rPr>
          <w:rFonts w:ascii="Arial" w:eastAsia="Calibri" w:hAnsi="Arial" w:cs="Arial"/>
          <w:bCs/>
          <w:color w:val="000000" w:themeColor="text1"/>
          <w:sz w:val="22"/>
          <w:lang w:val="es-ES_tradnl"/>
        </w:rPr>
        <w:t>i) el término mínimo para publicar la invitación, ii) el plazo mínimo de recepción de las ofertas, iii) el factor de evaluación que define la selección del proponente y iv) el perfeccionamiento del contrato</w:t>
      </w:r>
      <w:r w:rsidR="00606157">
        <w:rPr>
          <w:rFonts w:ascii="Arial" w:eastAsia="Calibri" w:hAnsi="Arial" w:cs="Arial"/>
          <w:bCs/>
          <w:color w:val="000000" w:themeColor="text1"/>
          <w:sz w:val="22"/>
          <w:lang w:val="es-ES_tradnl"/>
        </w:rPr>
        <w:t>.</w:t>
      </w:r>
    </w:p>
    <w:p w14:paraId="378FB352" w14:textId="249D54E2" w:rsidR="00043EF1" w:rsidRPr="00C75DC7" w:rsidRDefault="00532C0E" w:rsidP="00C75DC7">
      <w:pPr>
        <w:tabs>
          <w:tab w:val="left" w:pos="709"/>
        </w:tabs>
        <w:spacing w:after="120"/>
        <w:ind w:firstLine="709"/>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Adicionalmente</w:t>
      </w:r>
      <w:r w:rsidR="00606157">
        <w:rPr>
          <w:rFonts w:ascii="Arial" w:eastAsia="Calibri" w:hAnsi="Arial" w:cs="Arial"/>
          <w:color w:val="000000" w:themeColor="text1"/>
          <w:sz w:val="22"/>
          <w:lang w:val="es-ES_tradnl"/>
        </w:rPr>
        <w:t>, h</w:t>
      </w:r>
      <w:r w:rsidR="002F2477">
        <w:rPr>
          <w:rFonts w:ascii="Arial" w:eastAsia="Calibri" w:hAnsi="Arial" w:cs="Arial"/>
          <w:color w:val="000000" w:themeColor="text1"/>
          <w:sz w:val="22"/>
          <w:lang w:val="es-ES_tradnl"/>
        </w:rPr>
        <w:t xml:space="preserve">ace </w:t>
      </w:r>
      <w:r w:rsidR="007708AF">
        <w:rPr>
          <w:rFonts w:ascii="Arial" w:eastAsia="Calibri" w:hAnsi="Arial" w:cs="Arial"/>
          <w:color w:val="000000" w:themeColor="text1"/>
          <w:sz w:val="22"/>
          <w:lang w:val="es-ES_tradnl"/>
        </w:rPr>
        <w:t>unos meses</w:t>
      </w:r>
      <w:r w:rsidR="00043EF1" w:rsidRPr="00DA3080">
        <w:rPr>
          <w:rFonts w:ascii="Arial" w:eastAsia="Calibri" w:hAnsi="Arial" w:cs="Arial"/>
          <w:color w:val="000000" w:themeColor="text1"/>
          <w:sz w:val="22"/>
          <w:lang w:val="es-ES_tradnl"/>
        </w:rPr>
        <w:t xml:space="preserve"> se expidió el Decreto 1860 </w:t>
      </w:r>
      <w:r w:rsidR="0068071A" w:rsidRPr="00DA3080">
        <w:rPr>
          <w:rFonts w:ascii="Arial" w:eastAsia="Calibri" w:hAnsi="Arial" w:cs="Arial"/>
          <w:color w:val="000000" w:themeColor="text1"/>
          <w:sz w:val="22"/>
          <w:lang w:val="es-ES_tradnl"/>
        </w:rPr>
        <w:t>del 24 de diciembre de 2021</w:t>
      </w:r>
      <w:r>
        <w:rPr>
          <w:rFonts w:ascii="Arial" w:eastAsia="Calibri" w:hAnsi="Arial" w:cs="Arial"/>
          <w:color w:val="000000" w:themeColor="text1"/>
          <w:sz w:val="22"/>
          <w:lang w:val="es-ES_tradnl"/>
        </w:rPr>
        <w:t>,</w:t>
      </w:r>
      <w:r w:rsidR="0068071A" w:rsidRPr="00DA3080">
        <w:rPr>
          <w:rFonts w:ascii="Arial" w:eastAsia="Calibri" w:hAnsi="Arial" w:cs="Arial"/>
          <w:color w:val="000000" w:themeColor="text1"/>
          <w:sz w:val="22"/>
          <w:lang w:val="es-ES_tradnl"/>
        </w:rPr>
        <w:t xml:space="preserve"> </w:t>
      </w:r>
      <w:r w:rsidR="0068071A" w:rsidRPr="00DA3080">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P</w:t>
      </w:r>
      <w:r w:rsidR="0068071A" w:rsidRPr="00DA3080">
        <w:rPr>
          <w:rFonts w:ascii="Arial" w:eastAsia="Calibri" w:hAnsi="Arial" w:cs="Arial"/>
          <w:bCs/>
          <w:color w:val="000000" w:themeColor="text1"/>
          <w:sz w:val="22"/>
          <w:lang w:val="es-ES_tradnl"/>
        </w:rPr>
        <w:t xml:space="preserve">or el cual se modifica y adiciona el Decreto 1082 de 2015, Único Reglamentario del Sector Administrativo de Planeación Nacional, con el fin </w:t>
      </w:r>
      <w:r w:rsidR="00C4185F" w:rsidRPr="00DA3080">
        <w:rPr>
          <w:rFonts w:ascii="Arial" w:eastAsia="Calibri" w:hAnsi="Arial" w:cs="Arial"/>
          <w:bCs/>
          <w:color w:val="000000" w:themeColor="text1"/>
          <w:sz w:val="22"/>
          <w:lang w:val="es-ES_tradnl"/>
        </w:rPr>
        <w:t xml:space="preserve">de </w:t>
      </w:r>
      <w:r w:rsidR="0068071A" w:rsidRPr="00DA3080">
        <w:rPr>
          <w:rFonts w:ascii="Arial" w:eastAsia="Calibri" w:hAnsi="Arial" w:cs="Arial"/>
          <w:bCs/>
          <w:color w:val="000000" w:themeColor="text1"/>
          <w:sz w:val="22"/>
          <w:lang w:val="es-ES_tradnl"/>
        </w:rPr>
        <w:t xml:space="preserve">reglamentar los artículos 30, 31, 32, 34 </w:t>
      </w:r>
      <w:r w:rsidR="00F62474">
        <w:rPr>
          <w:rFonts w:ascii="Arial" w:eastAsia="Calibri" w:hAnsi="Arial" w:cs="Arial"/>
          <w:bCs/>
          <w:color w:val="000000" w:themeColor="text1"/>
          <w:sz w:val="22"/>
          <w:lang w:val="es-ES_tradnl"/>
        </w:rPr>
        <w:t>y</w:t>
      </w:r>
      <w:r w:rsidR="0068071A" w:rsidRPr="00DA3080">
        <w:rPr>
          <w:rFonts w:ascii="Arial" w:eastAsia="Calibri" w:hAnsi="Arial" w:cs="Arial"/>
          <w:bCs/>
          <w:color w:val="000000" w:themeColor="text1"/>
          <w:sz w:val="22"/>
          <w:lang w:val="es-ES_tradnl"/>
        </w:rPr>
        <w:t xml:space="preserve"> 35 de la Ley 2069 de 2020, en lo relativo al sistema de compras públicas y se dictan otras disposiciones»</w:t>
      </w:r>
      <w:r w:rsidR="005C26A7" w:rsidRPr="00DA3080">
        <w:rPr>
          <w:rFonts w:ascii="Arial" w:eastAsia="Calibri" w:hAnsi="Arial" w:cs="Arial"/>
          <w:bCs/>
          <w:color w:val="000000" w:themeColor="text1"/>
          <w:sz w:val="22"/>
          <w:lang w:val="es-ES_tradnl"/>
        </w:rPr>
        <w:t>. Entre los aspectos reglamentados por el decreto indicado se encuentra el procedimiento de mínima cuantía. De esta manera, el artículo 2</w:t>
      </w:r>
      <w:r w:rsidR="00F36F46" w:rsidRPr="00DA3080">
        <w:rPr>
          <w:rFonts w:ascii="Arial" w:eastAsia="Calibri" w:hAnsi="Arial" w:cs="Arial"/>
          <w:bCs/>
          <w:color w:val="000000" w:themeColor="text1"/>
          <w:sz w:val="22"/>
          <w:lang w:val="es-ES_tradnl"/>
        </w:rPr>
        <w:t xml:space="preserve"> modifica la Subsección 5 de la Sección 1 del Capítulo 2 del Título</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1</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de</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la</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Parte</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2</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del</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Libro</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2</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del</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lastRenderedPageBreak/>
        <w:t>Decreto</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1082</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de</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 xml:space="preserve">2015, que se titula mínima cuantía, </w:t>
      </w:r>
      <w:r w:rsidR="00E84D21" w:rsidRPr="00DA3080">
        <w:rPr>
          <w:rFonts w:ascii="Arial" w:eastAsia="Calibri" w:hAnsi="Arial" w:cs="Arial"/>
          <w:bCs/>
          <w:color w:val="000000" w:themeColor="text1"/>
          <w:sz w:val="22"/>
          <w:lang w:val="es-ES_tradnl"/>
        </w:rPr>
        <w:t xml:space="preserve">por lo que </w:t>
      </w:r>
      <w:r w:rsidR="00F36F46" w:rsidRPr="00DA3080">
        <w:rPr>
          <w:rFonts w:ascii="Arial" w:eastAsia="Calibri" w:hAnsi="Arial" w:cs="Arial"/>
          <w:bCs/>
          <w:color w:val="000000" w:themeColor="text1"/>
          <w:sz w:val="22"/>
          <w:lang w:val="es-ES_tradnl"/>
        </w:rPr>
        <w:t>reglamenta esta modalidad de selección con fundamento en lo establecido en el artículo 30 de la Ley 2069 de 2020.</w:t>
      </w:r>
    </w:p>
    <w:p w14:paraId="67488ABE" w14:textId="01040E11" w:rsidR="00F36F46" w:rsidRPr="00DA3080" w:rsidRDefault="00F36F46" w:rsidP="0013758A">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Teniendo en cuenta l</w:t>
      </w:r>
      <w:r w:rsidR="00D46A61" w:rsidRPr="00DA3080">
        <w:rPr>
          <w:rFonts w:ascii="Arial" w:eastAsia="Calibri" w:hAnsi="Arial" w:cs="Arial"/>
          <w:bCs/>
          <w:color w:val="000000" w:themeColor="text1"/>
          <w:sz w:val="22"/>
          <w:lang w:val="es-ES_tradnl"/>
        </w:rPr>
        <w:t>o</w:t>
      </w:r>
      <w:r w:rsidRPr="00DA3080">
        <w:rPr>
          <w:rFonts w:ascii="Arial" w:eastAsia="Calibri" w:hAnsi="Arial" w:cs="Arial"/>
          <w:bCs/>
          <w:color w:val="000000" w:themeColor="text1"/>
          <w:sz w:val="22"/>
          <w:lang w:val="es-ES_tradnl"/>
        </w:rPr>
        <w:t xml:space="preserve"> anterior, la </w:t>
      </w:r>
      <w:r w:rsidR="00E84D21" w:rsidRPr="00DA3080">
        <w:rPr>
          <w:rFonts w:ascii="Arial" w:eastAsia="Calibri" w:hAnsi="Arial" w:cs="Arial"/>
          <w:bCs/>
          <w:color w:val="000000" w:themeColor="text1"/>
          <w:sz w:val="22"/>
          <w:lang w:val="es-ES_tradnl"/>
        </w:rPr>
        <w:t xml:space="preserve">nueva </w:t>
      </w:r>
      <w:r w:rsidRPr="00DA3080">
        <w:rPr>
          <w:rFonts w:ascii="Arial" w:eastAsia="Calibri" w:hAnsi="Arial" w:cs="Arial"/>
          <w:bCs/>
          <w:color w:val="000000" w:themeColor="text1"/>
          <w:sz w:val="22"/>
          <w:lang w:val="es-ES_tradnl"/>
        </w:rPr>
        <w:t>Subsección 5 a que se hizo referencia contiene los siguientes artículos: i) 2.2.1.2.1.5.1. que se ocupa de desarrollar el contenido de los estudios previos para la contratación de mínima cuantía</w:t>
      </w:r>
      <w:r w:rsidR="0013758A" w:rsidRPr="00DA3080">
        <w:rPr>
          <w:rFonts w:ascii="Arial" w:eastAsia="Calibri" w:hAnsi="Arial" w:cs="Arial"/>
          <w:bCs/>
          <w:color w:val="000000" w:themeColor="text1"/>
          <w:sz w:val="22"/>
          <w:lang w:val="es-ES_tradnl"/>
        </w:rPr>
        <w:t>.</w:t>
      </w:r>
      <w:r w:rsidRPr="00DA3080">
        <w:rPr>
          <w:rFonts w:ascii="Arial" w:eastAsia="Calibri" w:hAnsi="Arial" w:cs="Arial"/>
          <w:bCs/>
          <w:color w:val="000000" w:themeColor="text1"/>
          <w:sz w:val="22"/>
          <w:lang w:val="es-ES_tradnl"/>
        </w:rPr>
        <w:t xml:space="preserve"> ii) 2.2.1.2.1.5.2. que contiene e</w:t>
      </w:r>
      <w:r w:rsidR="00E84D21" w:rsidRPr="00DA3080">
        <w:rPr>
          <w:rFonts w:ascii="Arial" w:eastAsia="Calibri" w:hAnsi="Arial" w:cs="Arial"/>
          <w:bCs/>
          <w:color w:val="000000" w:themeColor="text1"/>
          <w:sz w:val="22"/>
          <w:lang w:val="es-ES_tradnl"/>
        </w:rPr>
        <w:t>l</w:t>
      </w:r>
      <w:r w:rsidRPr="00DA3080">
        <w:rPr>
          <w:rFonts w:ascii="Arial" w:eastAsia="Calibri" w:hAnsi="Arial" w:cs="Arial"/>
          <w:bCs/>
          <w:color w:val="000000" w:themeColor="text1"/>
          <w:sz w:val="22"/>
          <w:lang w:val="es-ES_tradnl"/>
        </w:rPr>
        <w:t xml:space="preserve"> procedimiento general de la mínima cuantía</w:t>
      </w:r>
      <w:r w:rsidR="00E84D21" w:rsidRPr="00DA3080">
        <w:rPr>
          <w:rFonts w:ascii="Arial" w:eastAsia="Calibri" w:hAnsi="Arial" w:cs="Arial"/>
          <w:bCs/>
          <w:color w:val="000000" w:themeColor="text1"/>
          <w:sz w:val="22"/>
          <w:lang w:val="es-ES_tradnl"/>
        </w:rPr>
        <w:t>,</w:t>
      </w:r>
      <w:r w:rsidRPr="00DA3080">
        <w:rPr>
          <w:rFonts w:ascii="Arial" w:eastAsia="Calibri" w:hAnsi="Arial" w:cs="Arial"/>
          <w:bCs/>
          <w:color w:val="000000" w:themeColor="text1"/>
          <w:sz w:val="22"/>
          <w:lang w:val="es-ES_tradnl"/>
        </w:rPr>
        <w:t xml:space="preserve"> señalando el contenido mínimo de la «invitación» y</w:t>
      </w:r>
      <w:r w:rsidR="004034F8" w:rsidRPr="00DA3080">
        <w:rPr>
          <w:rFonts w:ascii="Arial" w:eastAsia="Calibri" w:hAnsi="Arial" w:cs="Arial"/>
          <w:bCs/>
          <w:color w:val="000000" w:themeColor="text1"/>
          <w:sz w:val="22"/>
          <w:lang w:val="es-ES_tradnl"/>
        </w:rPr>
        <w:t xml:space="preserve"> las</w:t>
      </w:r>
      <w:r w:rsidRPr="00DA3080">
        <w:rPr>
          <w:rFonts w:ascii="Arial" w:eastAsia="Calibri" w:hAnsi="Arial" w:cs="Arial"/>
          <w:bCs/>
          <w:color w:val="000000" w:themeColor="text1"/>
          <w:sz w:val="22"/>
          <w:lang w:val="es-ES_tradnl"/>
        </w:rPr>
        <w:t xml:space="preserve"> distintas etapas y reglas que estructuran esta modalidad de selección</w:t>
      </w:r>
      <w:r w:rsidR="004034F8" w:rsidRPr="00DA3080">
        <w:rPr>
          <w:rFonts w:ascii="Arial" w:eastAsia="Calibri" w:hAnsi="Arial" w:cs="Arial"/>
          <w:bCs/>
          <w:color w:val="000000" w:themeColor="text1"/>
          <w:sz w:val="22"/>
          <w:lang w:val="es-ES_tradnl"/>
        </w:rPr>
        <w:t>, incluyendo la forma en que procederán las convocatorias limitadas a mipymes, de acuerdo con el mandato del parágrafo 1 del artículo 30 de la Ley 2069 de 2020</w:t>
      </w:r>
      <w:r w:rsidR="004034F8" w:rsidRPr="00DA3080">
        <w:rPr>
          <w:rStyle w:val="Refdenotaalpie"/>
          <w:rFonts w:ascii="Arial" w:eastAsia="Calibri" w:hAnsi="Arial" w:cs="Arial"/>
          <w:bCs/>
          <w:color w:val="000000" w:themeColor="text1"/>
          <w:sz w:val="22"/>
          <w:lang w:val="es-ES_tradnl"/>
        </w:rPr>
        <w:footnoteReference w:id="5"/>
      </w:r>
      <w:r w:rsidR="0013758A" w:rsidRPr="00DA3080">
        <w:rPr>
          <w:rFonts w:ascii="Arial" w:eastAsia="Calibri" w:hAnsi="Arial" w:cs="Arial"/>
          <w:bCs/>
          <w:color w:val="000000" w:themeColor="text1"/>
          <w:sz w:val="22"/>
          <w:lang w:val="es-ES_tradnl"/>
        </w:rPr>
        <w:t>.</w:t>
      </w:r>
      <w:r w:rsidR="004034F8" w:rsidRPr="00DA3080">
        <w:rPr>
          <w:rFonts w:ascii="Arial" w:eastAsia="Calibri" w:hAnsi="Arial" w:cs="Arial"/>
          <w:bCs/>
          <w:color w:val="000000" w:themeColor="text1"/>
          <w:sz w:val="22"/>
          <w:lang w:val="es-ES_tradnl"/>
        </w:rPr>
        <w:t xml:space="preserve"> iii) 2.2.1.2.1.5.3. que regula un procedimiento especial para las adquisiciones</w:t>
      </w:r>
      <w:r w:rsidR="0013758A" w:rsidRPr="00DA3080">
        <w:rPr>
          <w:rFonts w:ascii="Arial" w:eastAsia="Calibri" w:hAnsi="Arial" w:cs="Arial"/>
          <w:bCs/>
          <w:color w:val="000000" w:themeColor="text1"/>
          <w:sz w:val="22"/>
          <w:lang w:val="es-ES_tradnl"/>
        </w:rPr>
        <w:t xml:space="preserve"> </w:t>
      </w:r>
      <w:r w:rsidR="004034F8" w:rsidRPr="00DA3080">
        <w:rPr>
          <w:rFonts w:ascii="Arial" w:eastAsia="Calibri" w:hAnsi="Arial" w:cs="Arial"/>
          <w:bCs/>
          <w:color w:val="000000" w:themeColor="text1"/>
          <w:sz w:val="22"/>
          <w:lang w:val="es-ES_tradnl"/>
        </w:rPr>
        <w:t>en</w:t>
      </w:r>
      <w:r w:rsidR="0013758A" w:rsidRPr="00DA3080">
        <w:rPr>
          <w:rFonts w:ascii="Arial" w:eastAsia="Calibri" w:hAnsi="Arial" w:cs="Arial"/>
          <w:bCs/>
          <w:color w:val="000000" w:themeColor="text1"/>
          <w:sz w:val="22"/>
          <w:lang w:val="es-ES_tradnl"/>
        </w:rPr>
        <w:t xml:space="preserve"> </w:t>
      </w:r>
      <w:r w:rsidR="004034F8" w:rsidRPr="00DA3080">
        <w:rPr>
          <w:rFonts w:ascii="Arial" w:eastAsia="Calibri" w:hAnsi="Arial" w:cs="Arial"/>
          <w:bCs/>
          <w:color w:val="000000" w:themeColor="text1"/>
          <w:sz w:val="22"/>
          <w:lang w:val="es-ES_tradnl"/>
        </w:rPr>
        <w:t>grandes</w:t>
      </w:r>
      <w:r w:rsidR="0013758A" w:rsidRPr="00DA3080">
        <w:rPr>
          <w:rFonts w:ascii="Arial" w:eastAsia="Calibri" w:hAnsi="Arial" w:cs="Arial"/>
          <w:bCs/>
          <w:color w:val="000000" w:themeColor="text1"/>
          <w:sz w:val="22"/>
          <w:lang w:val="es-ES_tradnl"/>
        </w:rPr>
        <w:t xml:space="preserve"> </w:t>
      </w:r>
      <w:r w:rsidR="004034F8" w:rsidRPr="00DA3080">
        <w:rPr>
          <w:rFonts w:ascii="Arial" w:eastAsia="Calibri" w:hAnsi="Arial" w:cs="Arial"/>
          <w:bCs/>
          <w:color w:val="000000" w:themeColor="text1"/>
          <w:sz w:val="22"/>
          <w:lang w:val="es-ES_tradnl"/>
        </w:rPr>
        <w:t>almacenes</w:t>
      </w:r>
      <w:r w:rsidR="0013758A" w:rsidRPr="00DA3080">
        <w:rPr>
          <w:rFonts w:ascii="Arial" w:eastAsia="Calibri" w:hAnsi="Arial" w:cs="Arial"/>
          <w:bCs/>
          <w:color w:val="000000" w:themeColor="text1"/>
          <w:sz w:val="22"/>
          <w:lang w:val="es-ES_tradnl"/>
        </w:rPr>
        <w:t xml:space="preserve"> </w:t>
      </w:r>
      <w:r w:rsidR="004034F8" w:rsidRPr="00DA3080">
        <w:rPr>
          <w:rFonts w:ascii="Arial" w:eastAsia="Calibri" w:hAnsi="Arial" w:cs="Arial"/>
          <w:bCs/>
          <w:color w:val="000000" w:themeColor="text1"/>
          <w:sz w:val="22"/>
          <w:lang w:val="es-ES_tradnl"/>
        </w:rPr>
        <w:t>cuando</w:t>
      </w:r>
      <w:r w:rsidR="0013758A" w:rsidRPr="00DA3080">
        <w:rPr>
          <w:rFonts w:ascii="Arial" w:eastAsia="Calibri" w:hAnsi="Arial" w:cs="Arial"/>
          <w:bCs/>
          <w:color w:val="000000" w:themeColor="text1"/>
          <w:sz w:val="22"/>
          <w:lang w:val="es-ES_tradnl"/>
        </w:rPr>
        <w:t xml:space="preserve"> </w:t>
      </w:r>
      <w:r w:rsidR="004034F8" w:rsidRPr="00DA3080">
        <w:rPr>
          <w:rFonts w:ascii="Arial" w:eastAsia="Calibri" w:hAnsi="Arial" w:cs="Arial"/>
          <w:bCs/>
          <w:color w:val="000000" w:themeColor="text1"/>
          <w:sz w:val="22"/>
          <w:lang w:val="es-ES_tradnl"/>
        </w:rPr>
        <w:t>se trate de mínima cuantía</w:t>
      </w:r>
      <w:r w:rsidR="0013758A" w:rsidRPr="00DA3080">
        <w:rPr>
          <w:rFonts w:ascii="Arial" w:eastAsia="Calibri" w:hAnsi="Arial" w:cs="Arial"/>
          <w:bCs/>
          <w:color w:val="000000" w:themeColor="text1"/>
          <w:sz w:val="22"/>
          <w:lang w:val="es-ES_tradnl"/>
        </w:rPr>
        <w:t>.</w:t>
      </w:r>
      <w:r w:rsidR="004034F8" w:rsidRPr="00DA3080">
        <w:rPr>
          <w:rFonts w:ascii="Arial" w:eastAsia="Calibri" w:hAnsi="Arial" w:cs="Arial"/>
          <w:bCs/>
          <w:color w:val="000000" w:themeColor="text1"/>
          <w:sz w:val="22"/>
          <w:lang w:val="es-ES_tradnl"/>
        </w:rPr>
        <w:t xml:space="preserve"> iv) 2.2.1.2.1.5.4. el cual establece la posibilidad de</w:t>
      </w:r>
      <w:r w:rsidR="00C63A66">
        <w:rPr>
          <w:rFonts w:ascii="Arial" w:eastAsia="Calibri" w:hAnsi="Arial" w:cs="Arial"/>
          <w:bCs/>
          <w:color w:val="000000" w:themeColor="text1"/>
          <w:sz w:val="22"/>
          <w:lang w:val="es-ES_tradnl"/>
        </w:rPr>
        <w:t xml:space="preserve"> que</w:t>
      </w:r>
      <w:r w:rsidR="004034F8" w:rsidRPr="00DA3080">
        <w:rPr>
          <w:rFonts w:ascii="Arial" w:eastAsia="Calibri" w:hAnsi="Arial" w:cs="Arial"/>
          <w:bCs/>
          <w:color w:val="000000" w:themeColor="text1"/>
          <w:sz w:val="22"/>
          <w:lang w:val="es-ES_tradnl"/>
        </w:rPr>
        <w:t xml:space="preserve"> la Agencia Nacional de Contratación Pública – Colombia Compra Eficiente </w:t>
      </w:r>
      <w:r w:rsidR="0013758A" w:rsidRPr="00DA3080">
        <w:rPr>
          <w:rFonts w:ascii="Arial" w:eastAsia="Calibri" w:hAnsi="Arial" w:cs="Arial"/>
          <w:bCs/>
          <w:color w:val="000000" w:themeColor="text1"/>
          <w:sz w:val="22"/>
          <w:lang w:val="es-ES_tradnl"/>
        </w:rPr>
        <w:t>cree y establezca las reglas para la utilización de Instrumentos de agregación de demanda en la Tienda Virtual del Estado Colombiano para adquisiciones hasta el monto de la mínima cuantía con Mipyme y con grandes almacenes. Y v) 2.2.1.2.1.5.5. el cual establece que la entidad estatal es libre de exigir o no garantías en el proceso de selección de mínima cuantía y en la adquisición de «grandes almacenes».</w:t>
      </w:r>
    </w:p>
    <w:p w14:paraId="6ACC2F38" w14:textId="01B358BA" w:rsidR="0013758A" w:rsidRPr="00DA3080" w:rsidRDefault="0013758A" w:rsidP="0013758A">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 xml:space="preserve">De esta manera, el artículo 2 del Decreto 1860 de 2021, que modifica los artículos </w:t>
      </w:r>
      <w:r w:rsidR="00D96EC3" w:rsidRPr="00DA3080">
        <w:rPr>
          <w:rFonts w:ascii="Arial" w:eastAsia="Calibri" w:hAnsi="Arial" w:cs="Arial"/>
          <w:bCs/>
          <w:color w:val="000000" w:themeColor="text1"/>
          <w:sz w:val="22"/>
          <w:lang w:val="es-ES_tradnl"/>
        </w:rPr>
        <w:t xml:space="preserve">del Decreto 1082 de 2015 </w:t>
      </w:r>
      <w:r w:rsidRPr="00DA3080">
        <w:rPr>
          <w:rFonts w:ascii="Arial" w:eastAsia="Calibri" w:hAnsi="Arial" w:cs="Arial"/>
          <w:bCs/>
          <w:color w:val="000000" w:themeColor="text1"/>
          <w:sz w:val="22"/>
          <w:lang w:val="es-ES_tradnl"/>
        </w:rPr>
        <w:t>expuestos en el párrafo anterior, constituye la reglamentación del artículo 30 de la Ley 2069 de 2020, al desarrollar las reglas aplicables a esta modalidad de selección. En este sentido,</w:t>
      </w:r>
      <w:r w:rsidR="00455B90" w:rsidRPr="00DA3080">
        <w:rPr>
          <w:rFonts w:ascii="Arial" w:eastAsia="Calibri" w:hAnsi="Arial" w:cs="Arial"/>
          <w:bCs/>
          <w:color w:val="000000" w:themeColor="text1"/>
          <w:sz w:val="22"/>
          <w:lang w:val="es-ES_tradnl"/>
        </w:rPr>
        <w:t xml:space="preserve"> el reglamento citado, que modifica el Decreto 1082 de 2015</w:t>
      </w:r>
      <w:r w:rsidR="00D96EC3" w:rsidRPr="00DA3080">
        <w:rPr>
          <w:rFonts w:ascii="Arial" w:eastAsia="Calibri" w:hAnsi="Arial" w:cs="Arial"/>
          <w:bCs/>
          <w:color w:val="000000" w:themeColor="text1"/>
          <w:sz w:val="22"/>
          <w:lang w:val="es-ES_tradnl"/>
        </w:rPr>
        <w:t>,</w:t>
      </w:r>
      <w:r w:rsidR="00455B90" w:rsidRPr="00DA3080">
        <w:rPr>
          <w:rFonts w:ascii="Arial" w:eastAsia="Calibri" w:hAnsi="Arial" w:cs="Arial"/>
          <w:bCs/>
          <w:color w:val="000000" w:themeColor="text1"/>
          <w:sz w:val="22"/>
          <w:lang w:val="es-ES_tradnl"/>
        </w:rPr>
        <w:t xml:space="preserve"> constituye la nueva regulación de la modalidad de mínima cuantía.</w:t>
      </w:r>
    </w:p>
    <w:p w14:paraId="01E8DE1A" w14:textId="54DB1A65" w:rsidR="006D5ABB" w:rsidRDefault="00455B90" w:rsidP="006D5ABB">
      <w:pPr>
        <w:tabs>
          <w:tab w:val="left" w:pos="709"/>
        </w:tabs>
        <w:spacing w:after="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r>
      <w:r w:rsidR="002C164C">
        <w:rPr>
          <w:rFonts w:ascii="Arial" w:eastAsia="Calibri" w:hAnsi="Arial" w:cs="Arial"/>
          <w:color w:val="000000" w:themeColor="text1"/>
          <w:sz w:val="22"/>
          <w:lang w:val="es-ES_tradnl"/>
        </w:rPr>
        <w:t>E</w:t>
      </w:r>
      <w:r w:rsidR="005A2430">
        <w:rPr>
          <w:rFonts w:ascii="Arial" w:eastAsia="Calibri" w:hAnsi="Arial" w:cs="Arial"/>
          <w:color w:val="000000" w:themeColor="text1"/>
          <w:sz w:val="22"/>
          <w:lang w:val="es-ES_tradnl"/>
        </w:rPr>
        <w:t xml:space="preserve">s importante señalar que </w:t>
      </w:r>
      <w:r w:rsidRPr="00DA3080">
        <w:rPr>
          <w:rFonts w:ascii="Arial" w:eastAsia="Calibri" w:hAnsi="Arial" w:cs="Arial"/>
          <w:color w:val="000000" w:themeColor="text1"/>
          <w:sz w:val="22"/>
          <w:lang w:val="es-ES_tradnl"/>
        </w:rPr>
        <w:t xml:space="preserve">el artículo 8 del Decreto 1860 del 24 de diciembre de 2021 estableció un </w:t>
      </w:r>
      <w:r w:rsidR="0039323C" w:rsidRPr="00DA3080">
        <w:rPr>
          <w:rFonts w:ascii="Arial" w:eastAsia="Calibri" w:hAnsi="Arial" w:cs="Arial"/>
          <w:color w:val="000000" w:themeColor="text1"/>
          <w:sz w:val="22"/>
          <w:lang w:val="es-ES_tradnl"/>
        </w:rPr>
        <w:t>término</w:t>
      </w:r>
      <w:r w:rsidRPr="00DA3080">
        <w:rPr>
          <w:rFonts w:ascii="Arial" w:eastAsia="Calibri" w:hAnsi="Arial" w:cs="Arial"/>
          <w:color w:val="000000" w:themeColor="text1"/>
          <w:sz w:val="22"/>
          <w:lang w:val="es-ES_tradnl"/>
        </w:rPr>
        <w:t xml:space="preserve"> para la entrada en vigencia de sus disposiciones, al señalar que «aplicarán</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a</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los</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procedimientos</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de</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selección</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cuya</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invitación,</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aviso</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de convocatoria o documento equivalente se publique a los tres (3)</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meses contados a partir de su</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expedición»</w:t>
      </w:r>
      <w:r w:rsidRPr="00DA3080">
        <w:rPr>
          <w:rStyle w:val="Refdenotaalpie"/>
          <w:rFonts w:ascii="Arial" w:eastAsia="Calibri" w:hAnsi="Arial" w:cs="Arial"/>
          <w:color w:val="000000" w:themeColor="text1"/>
          <w:sz w:val="22"/>
          <w:lang w:val="es-ES_tradnl"/>
        </w:rPr>
        <w:footnoteReference w:id="6"/>
      </w:r>
      <w:r w:rsidRPr="00DA3080">
        <w:rPr>
          <w:rFonts w:ascii="Arial" w:eastAsia="Calibri" w:hAnsi="Arial" w:cs="Arial"/>
          <w:color w:val="000000" w:themeColor="text1"/>
          <w:sz w:val="22"/>
          <w:lang w:val="es-ES_tradnl"/>
        </w:rPr>
        <w:t xml:space="preserve">. </w:t>
      </w:r>
      <w:r w:rsidR="00EF7B7F" w:rsidRPr="00DA3080">
        <w:rPr>
          <w:rFonts w:ascii="Arial" w:eastAsia="Calibri" w:hAnsi="Arial" w:cs="Arial"/>
          <w:color w:val="000000" w:themeColor="text1"/>
          <w:sz w:val="22"/>
          <w:lang w:val="es-ES_tradnl"/>
        </w:rPr>
        <w:t>Debido a lo anterior</w:t>
      </w:r>
      <w:r w:rsidRPr="00DA3080">
        <w:rPr>
          <w:rFonts w:ascii="Arial" w:eastAsia="Calibri" w:hAnsi="Arial" w:cs="Arial"/>
          <w:color w:val="000000" w:themeColor="text1"/>
          <w:sz w:val="22"/>
          <w:lang w:val="es-ES_tradnl"/>
        </w:rPr>
        <w:t xml:space="preserve">, </w:t>
      </w:r>
      <w:r w:rsidR="0086542F" w:rsidRPr="00DA3080">
        <w:rPr>
          <w:rFonts w:ascii="Arial" w:eastAsia="Calibri" w:hAnsi="Arial" w:cs="Arial"/>
          <w:color w:val="000000" w:themeColor="text1"/>
          <w:sz w:val="22"/>
          <w:lang w:val="es-ES_tradnl"/>
        </w:rPr>
        <w:t xml:space="preserve">para las </w:t>
      </w:r>
      <w:r w:rsidR="0086542F" w:rsidRPr="00DA3080">
        <w:rPr>
          <w:rFonts w:ascii="Arial" w:eastAsia="Calibri" w:hAnsi="Arial" w:cs="Arial"/>
          <w:i/>
          <w:iCs/>
          <w:color w:val="000000" w:themeColor="text1"/>
          <w:sz w:val="22"/>
          <w:lang w:val="es-ES_tradnl"/>
        </w:rPr>
        <w:t>invitaciones</w:t>
      </w:r>
      <w:r w:rsidR="0086542F" w:rsidRPr="00DA3080">
        <w:rPr>
          <w:rFonts w:ascii="Arial" w:eastAsia="Calibri" w:hAnsi="Arial" w:cs="Arial"/>
          <w:color w:val="000000" w:themeColor="text1"/>
          <w:sz w:val="22"/>
          <w:lang w:val="es-ES_tradnl"/>
        </w:rPr>
        <w:t xml:space="preserve"> que se publiquen a partir del 24 de marzo de 2022, la regulación aplicable a la modalidad de mínima cuantía será la </w:t>
      </w:r>
      <w:r w:rsidR="0086542F" w:rsidRPr="00DA3080">
        <w:rPr>
          <w:rFonts w:ascii="Arial" w:eastAsia="Calibri" w:hAnsi="Arial" w:cs="Arial"/>
          <w:color w:val="000000" w:themeColor="text1"/>
          <w:sz w:val="22"/>
          <w:lang w:val="es-ES_tradnl"/>
        </w:rPr>
        <w:lastRenderedPageBreak/>
        <w:t>establecida en el artículo 30 de la Ley 2069 de 2020 y el artículo 2 del Decreto 1860 de 2021</w:t>
      </w:r>
      <w:r w:rsidR="00DE2931" w:rsidRPr="00DA3080">
        <w:rPr>
          <w:rFonts w:ascii="Arial" w:eastAsia="Calibri" w:hAnsi="Arial" w:cs="Arial"/>
          <w:color w:val="000000" w:themeColor="text1"/>
          <w:sz w:val="22"/>
          <w:lang w:val="es-ES_tradnl"/>
        </w:rPr>
        <w:t>,</w:t>
      </w:r>
      <w:r w:rsidR="0086542F" w:rsidRPr="00DA3080">
        <w:rPr>
          <w:rFonts w:ascii="Arial" w:eastAsia="Calibri" w:hAnsi="Arial" w:cs="Arial"/>
          <w:color w:val="000000" w:themeColor="text1"/>
          <w:sz w:val="22"/>
          <w:lang w:val="es-ES_tradnl"/>
        </w:rPr>
        <w:t xml:space="preserve"> que modificó los artículos 2.2.1.2.1.5.1. a 2.2.1.2.1.5.5. del Decreto 1082 de 2015.</w:t>
      </w:r>
      <w:r w:rsidR="00EF7B7F" w:rsidRPr="00DA3080">
        <w:rPr>
          <w:rFonts w:ascii="Arial" w:eastAsia="Calibri" w:hAnsi="Arial" w:cs="Arial"/>
          <w:color w:val="000000" w:themeColor="text1"/>
          <w:sz w:val="22"/>
          <w:lang w:val="es-ES_tradnl"/>
        </w:rPr>
        <w:t xml:space="preserve"> </w:t>
      </w:r>
    </w:p>
    <w:p w14:paraId="2156B9FD" w14:textId="1729DDC7" w:rsidR="00721CE1" w:rsidRDefault="00721CE1" w:rsidP="006D5ABB">
      <w:pPr>
        <w:tabs>
          <w:tab w:val="left" w:pos="709"/>
        </w:tabs>
        <w:spacing w:after="0"/>
        <w:rPr>
          <w:rFonts w:ascii="Arial" w:eastAsia="Calibri" w:hAnsi="Arial" w:cs="Arial"/>
          <w:color w:val="000000" w:themeColor="text1"/>
          <w:sz w:val="22"/>
          <w:lang w:val="es-ES_tradnl"/>
        </w:rPr>
      </w:pPr>
    </w:p>
    <w:p w14:paraId="7A8B1BAD" w14:textId="77777777" w:rsidR="00721CE1" w:rsidRPr="00721CE1" w:rsidRDefault="00721CE1" w:rsidP="00721CE1">
      <w:pPr>
        <w:tabs>
          <w:tab w:val="left" w:pos="0"/>
        </w:tabs>
        <w:spacing w:after="120"/>
        <w:contextualSpacing/>
        <w:rPr>
          <w:rFonts w:ascii="Arial" w:eastAsia="Calibri" w:hAnsi="Arial" w:cs="Arial"/>
          <w:b/>
          <w:sz w:val="22"/>
          <w:lang w:val="es-ES"/>
        </w:rPr>
      </w:pPr>
      <w:r w:rsidRPr="00721CE1">
        <w:rPr>
          <w:rFonts w:ascii="Arial" w:eastAsia="Calibri" w:hAnsi="Arial" w:cs="Arial"/>
          <w:b/>
          <w:sz w:val="22"/>
          <w:lang w:val="es-ES"/>
        </w:rPr>
        <w:t>2.2. Cómputo de los términos de publicidad de la invitación, presentación de ofertas y posibilidad de realizar adendas en los procesos de mínima cuantía</w:t>
      </w:r>
    </w:p>
    <w:p w14:paraId="45B1B77B" w14:textId="77777777" w:rsidR="00721CE1" w:rsidRPr="00721CE1" w:rsidRDefault="00721CE1" w:rsidP="00721CE1">
      <w:pPr>
        <w:tabs>
          <w:tab w:val="left" w:pos="0"/>
        </w:tabs>
        <w:spacing w:after="0"/>
        <w:rPr>
          <w:rFonts w:ascii="Arial" w:eastAsia="Calibri" w:hAnsi="Arial" w:cs="Arial"/>
          <w:bCs/>
          <w:sz w:val="22"/>
          <w:lang w:val="es-ES"/>
        </w:rPr>
      </w:pPr>
    </w:p>
    <w:p w14:paraId="4DD8B86F" w14:textId="13EC43F0" w:rsidR="00721CE1" w:rsidRPr="00721CE1" w:rsidRDefault="00721CE1" w:rsidP="00721CE1">
      <w:pPr>
        <w:tabs>
          <w:tab w:val="left" w:pos="0"/>
        </w:tabs>
        <w:spacing w:after="120"/>
        <w:rPr>
          <w:rFonts w:ascii="Arial" w:eastAsia="Calibri" w:hAnsi="Arial" w:cs="Arial"/>
          <w:bCs/>
          <w:sz w:val="22"/>
          <w:lang w:val="es-ES"/>
        </w:rPr>
      </w:pPr>
      <w:r w:rsidRPr="00721CE1">
        <w:rPr>
          <w:rFonts w:ascii="Arial" w:eastAsia="Calibri" w:hAnsi="Arial" w:cs="Arial"/>
          <w:bCs/>
          <w:sz w:val="22"/>
          <w:lang w:val="es-ES"/>
        </w:rPr>
        <w:t>El numeral 5 del artículo 2 de la Ley 1150 de 2007, adicionado por el artículo el artículo 94 de la Ley 1474 de 2011</w:t>
      </w:r>
      <w:r w:rsidR="00CC23A5">
        <w:rPr>
          <w:rFonts w:ascii="Arial" w:eastAsia="Calibri" w:hAnsi="Arial" w:cs="Arial"/>
          <w:bCs/>
          <w:sz w:val="22"/>
          <w:lang w:val="es-ES"/>
        </w:rPr>
        <w:t xml:space="preserve"> y modificado por </w:t>
      </w:r>
      <w:r w:rsidR="00621E6F">
        <w:rPr>
          <w:rFonts w:ascii="Arial" w:eastAsia="Calibri" w:hAnsi="Arial" w:cs="Arial"/>
          <w:bCs/>
          <w:sz w:val="22"/>
          <w:lang w:val="es-ES"/>
        </w:rPr>
        <w:t>el artículo 30 de la Ley 2069 de 2020</w:t>
      </w:r>
      <w:r w:rsidRPr="00721CE1">
        <w:rPr>
          <w:rFonts w:ascii="Arial" w:eastAsia="Calibri" w:hAnsi="Arial" w:cs="Arial"/>
          <w:bCs/>
          <w:sz w:val="22"/>
          <w:lang w:val="es-ES"/>
        </w:rPr>
        <w:t>, al regular esta modalidad de selección, establece, en el literal a), que la invitación a participar en procedimientos de selección de mínima cuantía debe publicarse por un término no inferior a un día hábil. Seguidamente, el literal b) establece que el término previsto en la invitación para presentar ofertas no podrá ser inferior a un (1) día hábil</w:t>
      </w:r>
      <w:r w:rsidRPr="00721CE1">
        <w:rPr>
          <w:rFonts w:ascii="Arial" w:eastAsia="Calibri" w:hAnsi="Arial" w:cs="Arial"/>
          <w:bCs/>
          <w:sz w:val="22"/>
          <w:vertAlign w:val="superscript"/>
          <w:lang w:val="es-ES"/>
        </w:rPr>
        <w:footnoteReference w:id="7"/>
      </w:r>
      <w:r w:rsidRPr="00721CE1">
        <w:rPr>
          <w:rFonts w:ascii="Arial" w:eastAsia="Calibri" w:hAnsi="Arial" w:cs="Arial"/>
          <w:bCs/>
          <w:sz w:val="22"/>
          <w:lang w:val="es-ES"/>
        </w:rPr>
        <w:t xml:space="preserve">. </w:t>
      </w:r>
    </w:p>
    <w:p w14:paraId="0E28507F" w14:textId="1E7D27E5" w:rsidR="00721CE1" w:rsidRPr="00721CE1" w:rsidRDefault="00721CE1" w:rsidP="00721CE1">
      <w:pPr>
        <w:tabs>
          <w:tab w:val="left" w:pos="0"/>
        </w:tabs>
        <w:spacing w:after="120"/>
        <w:rPr>
          <w:rFonts w:ascii="Arial" w:eastAsia="Calibri" w:hAnsi="Arial" w:cs="Arial"/>
          <w:bCs/>
          <w:sz w:val="22"/>
          <w:lang w:val="es-ES"/>
        </w:rPr>
      </w:pPr>
      <w:r w:rsidRPr="00721CE1">
        <w:rPr>
          <w:rFonts w:ascii="Arial" w:eastAsia="Calibri" w:hAnsi="Arial" w:cs="Arial"/>
          <w:bCs/>
          <w:sz w:val="22"/>
          <w:lang w:val="es-ES"/>
        </w:rPr>
        <w:tab/>
        <w:t>Por su parte, el artículo 2.2.1.2.1.5.2 del Decreto 1082 de 2015</w:t>
      </w:r>
      <w:r w:rsidR="00EB0374">
        <w:rPr>
          <w:rFonts w:ascii="Arial" w:eastAsia="Calibri" w:hAnsi="Arial" w:cs="Arial"/>
          <w:bCs/>
          <w:sz w:val="22"/>
          <w:lang w:val="es-ES"/>
        </w:rPr>
        <w:t xml:space="preserve"> –modificado por </w:t>
      </w:r>
      <w:r w:rsidR="00756DA0">
        <w:rPr>
          <w:rFonts w:ascii="Arial" w:eastAsia="Calibri" w:hAnsi="Arial" w:cs="Arial"/>
          <w:bCs/>
          <w:sz w:val="22"/>
          <w:lang w:val="es-ES"/>
        </w:rPr>
        <w:t>el Decreto 1860 de 2021–</w:t>
      </w:r>
      <w:r w:rsidR="00470017">
        <w:rPr>
          <w:rStyle w:val="Refdenotaalpie"/>
          <w:rFonts w:ascii="Arial" w:eastAsia="Calibri" w:hAnsi="Arial" w:cs="Arial"/>
          <w:bCs/>
          <w:sz w:val="22"/>
          <w:lang w:val="es-ES"/>
        </w:rPr>
        <w:footnoteReference w:id="8"/>
      </w:r>
      <w:r w:rsidRPr="00721CE1">
        <w:rPr>
          <w:rFonts w:ascii="Arial" w:eastAsia="Calibri" w:hAnsi="Arial" w:cs="Arial"/>
          <w:bCs/>
          <w:sz w:val="22"/>
          <w:lang w:val="es-ES"/>
        </w:rPr>
        <w:t>, al reglamentar el procedimiento de esta modalidad de escogencia, establece, en el numeral 3, que «</w:t>
      </w:r>
      <w:r w:rsidR="00EB0374">
        <w:rPr>
          <w:rFonts w:ascii="Arial" w:eastAsia="Calibri" w:hAnsi="Arial" w:cs="Arial"/>
          <w:bCs/>
          <w:sz w:val="22"/>
          <w:lang w:val="es-ES"/>
        </w:rPr>
        <w:t>[l]</w:t>
      </w:r>
      <w:r w:rsidR="00EB0374" w:rsidRPr="00EB0374">
        <w:rPr>
          <w:rFonts w:ascii="Arial" w:eastAsia="Calibri" w:hAnsi="Arial" w:cs="Arial"/>
          <w:bCs/>
          <w:sz w:val="22"/>
          <w:lang w:val="es-ES"/>
        </w:rPr>
        <w:t>a invitación se publicará por un término no inferior a un (1) día hábil</w:t>
      </w:r>
      <w:r w:rsidRPr="00721CE1">
        <w:rPr>
          <w:rFonts w:ascii="Arial" w:eastAsia="Calibri" w:hAnsi="Arial" w:cs="Arial"/>
          <w:bCs/>
          <w:sz w:val="22"/>
          <w:lang w:val="es-ES"/>
        </w:rPr>
        <w:t>l»</w:t>
      </w:r>
      <w:r w:rsidRPr="00721CE1">
        <w:rPr>
          <w:rFonts w:ascii="Arial" w:eastAsia="Calibri" w:hAnsi="Arial" w:cs="Arial"/>
          <w:bCs/>
          <w:sz w:val="22"/>
          <w:vertAlign w:val="superscript"/>
          <w:lang w:val="es-ES"/>
        </w:rPr>
        <w:footnoteReference w:id="9"/>
      </w:r>
      <w:r w:rsidRPr="00721CE1">
        <w:rPr>
          <w:rFonts w:ascii="Arial" w:eastAsia="Calibri" w:hAnsi="Arial" w:cs="Arial"/>
          <w:bCs/>
          <w:sz w:val="22"/>
          <w:lang w:val="es-ES"/>
        </w:rPr>
        <w:t>.</w:t>
      </w:r>
    </w:p>
    <w:p w14:paraId="3BA4C744" w14:textId="66B8E8E0" w:rsidR="00721CE1" w:rsidRPr="00721CE1" w:rsidRDefault="00721CE1" w:rsidP="00721CE1">
      <w:pPr>
        <w:tabs>
          <w:tab w:val="left" w:pos="0"/>
        </w:tabs>
        <w:spacing w:after="120"/>
        <w:rPr>
          <w:rFonts w:ascii="Arial" w:eastAsia="Calibri" w:hAnsi="Arial" w:cs="Arial"/>
          <w:bCs/>
          <w:sz w:val="22"/>
          <w:lang w:val="es-ES"/>
        </w:rPr>
      </w:pPr>
      <w:r w:rsidRPr="00721CE1">
        <w:rPr>
          <w:rFonts w:ascii="Arial" w:eastAsia="Calibri" w:hAnsi="Arial" w:cs="Arial"/>
          <w:bCs/>
          <w:sz w:val="22"/>
          <w:lang w:val="es-ES"/>
        </w:rPr>
        <w:lastRenderedPageBreak/>
        <w:tab/>
        <w:t>En principio, el artículo 2, numeral 5, literales a) y b), de la Ley 1150 de 2007, al regularlos en literales distintos parece diferenciar el término de publicación de la «invitación para ofertar», del plazo previsto para «presentar ofertas»</w:t>
      </w:r>
      <w:r w:rsidR="00C96B73">
        <w:rPr>
          <w:rFonts w:ascii="Arial" w:eastAsia="Calibri" w:hAnsi="Arial" w:cs="Arial"/>
          <w:bCs/>
          <w:sz w:val="22"/>
          <w:lang w:val="es-ES"/>
        </w:rPr>
        <w:t>.</w:t>
      </w:r>
      <w:r w:rsidRPr="00721CE1">
        <w:rPr>
          <w:rFonts w:ascii="Arial" w:eastAsia="Calibri" w:hAnsi="Arial" w:cs="Arial"/>
          <w:bCs/>
          <w:sz w:val="22"/>
          <w:lang w:val="es-ES"/>
        </w:rPr>
        <w:t xml:space="preserve"> </w:t>
      </w:r>
      <w:r w:rsidR="00C96B73">
        <w:rPr>
          <w:rFonts w:ascii="Arial" w:eastAsia="Calibri" w:hAnsi="Arial" w:cs="Arial"/>
          <w:bCs/>
          <w:sz w:val="22"/>
          <w:lang w:val="es-ES"/>
        </w:rPr>
        <w:t>S</w:t>
      </w:r>
      <w:r w:rsidRPr="00721CE1">
        <w:rPr>
          <w:rFonts w:ascii="Arial" w:eastAsia="Calibri" w:hAnsi="Arial" w:cs="Arial"/>
          <w:bCs/>
          <w:sz w:val="22"/>
          <w:lang w:val="es-ES"/>
        </w:rPr>
        <w:t>in embargo,</w:t>
      </w:r>
      <w:r w:rsidR="00C96B73">
        <w:rPr>
          <w:rFonts w:ascii="Arial" w:eastAsia="Calibri" w:hAnsi="Arial" w:cs="Arial"/>
          <w:bCs/>
          <w:sz w:val="22"/>
          <w:lang w:val="es-ES"/>
        </w:rPr>
        <w:t xml:space="preserve"> ello</w:t>
      </w:r>
      <w:r w:rsidRPr="00721CE1">
        <w:rPr>
          <w:rFonts w:ascii="Arial" w:eastAsia="Calibri" w:hAnsi="Arial" w:cs="Arial"/>
          <w:bCs/>
          <w:sz w:val="22"/>
          <w:lang w:val="es-ES"/>
        </w:rPr>
        <w:t xml:space="preserve"> no quiere decir que no puedan coincidir, en la medida en que la finalidad de tal regulación es evitar que en </w:t>
      </w:r>
      <w:r w:rsidRPr="00721CE1">
        <w:rPr>
          <w:rFonts w:ascii="Arial" w:eastAsia="Calibri" w:hAnsi="Arial" w:cs="Arial"/>
          <w:bCs/>
          <w:sz w:val="22"/>
          <w:lang w:val="es-ES"/>
        </w:rPr>
        <w:lastRenderedPageBreak/>
        <w:t xml:space="preserve">la invitación a ofertar se prevea un plazo para presentar ofertas inferior al término durante el cual se mantiene publicada la invitación. </w:t>
      </w:r>
    </w:p>
    <w:p w14:paraId="33D171B8" w14:textId="77777777" w:rsidR="003C4EED" w:rsidRPr="003C4EED" w:rsidRDefault="00721CE1" w:rsidP="009E2F5B">
      <w:pPr>
        <w:pStyle w:val="paragraph"/>
        <w:spacing w:before="0" w:beforeAutospacing="0" w:after="0" w:afterAutospacing="0" w:line="276" w:lineRule="auto"/>
        <w:ind w:firstLine="705"/>
        <w:jc w:val="both"/>
        <w:textAlignment w:val="baseline"/>
        <w:rPr>
          <w:rFonts w:ascii="Segoe UI" w:hAnsi="Segoe UI" w:cs="Segoe UI"/>
          <w:sz w:val="18"/>
          <w:szCs w:val="18"/>
        </w:rPr>
      </w:pPr>
      <w:r w:rsidRPr="00721CE1">
        <w:rPr>
          <w:rFonts w:ascii="Arial" w:eastAsia="Calibri" w:hAnsi="Arial" w:cs="Arial"/>
          <w:bCs/>
          <w:sz w:val="22"/>
          <w:lang w:val="es-ES"/>
        </w:rPr>
        <w:tab/>
        <w:t>En ese orden, el término para presentar ofertas deberá contarse a partir de la publicación de la invitación, el cual, conforme lo determinan las normas señaladas, no podrá ser inferior a un (1) día hábil.</w:t>
      </w:r>
      <w:r w:rsidR="003C4EED">
        <w:rPr>
          <w:rFonts w:ascii="Arial" w:eastAsia="Calibri" w:hAnsi="Arial" w:cs="Arial"/>
          <w:bCs/>
          <w:sz w:val="22"/>
          <w:lang w:val="es-ES"/>
        </w:rPr>
        <w:t xml:space="preserve"> </w:t>
      </w:r>
      <w:r w:rsidR="003C4EED" w:rsidRPr="003C4EED">
        <w:rPr>
          <w:rFonts w:ascii="Arial" w:hAnsi="Arial" w:cs="Arial"/>
          <w:sz w:val="22"/>
          <w:szCs w:val="22"/>
          <w:lang w:val="es-ES"/>
        </w:rPr>
        <w:t>Así lo interpretó esta Agencia, en el «Manual de la Modalidad de Selección de Mínima Cuantía»:</w:t>
      </w:r>
      <w:r w:rsidR="003C4EED" w:rsidRPr="003C4EED">
        <w:rPr>
          <w:rFonts w:ascii="Arial" w:hAnsi="Arial" w:cs="Arial"/>
          <w:sz w:val="22"/>
          <w:szCs w:val="22"/>
        </w:rPr>
        <w:t> </w:t>
      </w:r>
    </w:p>
    <w:p w14:paraId="05047A5C" w14:textId="77777777" w:rsidR="003C4EED" w:rsidRPr="003C4EED" w:rsidRDefault="003C4EED" w:rsidP="009E2F5B">
      <w:pPr>
        <w:spacing w:after="0"/>
        <w:ind w:firstLine="705"/>
        <w:textAlignment w:val="baseline"/>
        <w:rPr>
          <w:rFonts w:ascii="Segoe UI" w:eastAsia="Times New Roman" w:hAnsi="Segoe UI" w:cs="Segoe UI"/>
          <w:sz w:val="18"/>
          <w:szCs w:val="18"/>
          <w:lang w:val="es-CO" w:eastAsia="es-CO"/>
        </w:rPr>
      </w:pPr>
      <w:r w:rsidRPr="003C4EED">
        <w:rPr>
          <w:rFonts w:ascii="Arial" w:eastAsia="Times New Roman" w:hAnsi="Arial" w:cs="Arial"/>
          <w:sz w:val="22"/>
          <w:lang w:val="es-CO" w:eastAsia="es-CO"/>
        </w:rPr>
        <w:t> </w:t>
      </w:r>
    </w:p>
    <w:p w14:paraId="78B6E961" w14:textId="77777777" w:rsidR="003C4EED" w:rsidRDefault="003C4EED" w:rsidP="003C4EED">
      <w:pPr>
        <w:spacing w:after="0" w:line="240" w:lineRule="auto"/>
        <w:ind w:left="705" w:right="705"/>
        <w:textAlignment w:val="baseline"/>
        <w:rPr>
          <w:rFonts w:ascii="Segoe UI" w:eastAsia="Times New Roman" w:hAnsi="Segoe UI" w:cs="Segoe UI"/>
          <w:sz w:val="18"/>
          <w:szCs w:val="18"/>
          <w:lang w:val="es-CO" w:eastAsia="es-CO"/>
        </w:rPr>
      </w:pPr>
      <w:r w:rsidRPr="003C4EED">
        <w:rPr>
          <w:rFonts w:ascii="Arial" w:eastAsia="Times New Roman" w:hAnsi="Arial" w:cs="Arial"/>
          <w:sz w:val="21"/>
          <w:szCs w:val="21"/>
          <w:lang w:eastAsia="es-CO"/>
        </w:rPr>
        <w:t>Los términos del Proceso de Contratación de Mínima Cuantía son más cortos que los establecidos para las demás modalidades de selección. El término para presentar ofertas es de por lo menos un día hábil contado a partir de la publicación de la invitación y naturalmente la invitación debe estar publicada por lo menos durante un día hábil</w:t>
      </w:r>
      <w:r w:rsidRPr="003C4EED">
        <w:rPr>
          <w:rFonts w:ascii="Arial" w:eastAsia="Times New Roman" w:hAnsi="Arial" w:cs="Arial"/>
          <w:sz w:val="16"/>
          <w:szCs w:val="16"/>
          <w:vertAlign w:val="superscript"/>
          <w:lang w:eastAsia="es-CO"/>
        </w:rPr>
        <w:t>3</w:t>
      </w:r>
      <w:r w:rsidRPr="003C4EED">
        <w:rPr>
          <w:rFonts w:ascii="Arial" w:eastAsia="Times New Roman" w:hAnsi="Arial" w:cs="Arial"/>
          <w:sz w:val="21"/>
          <w:szCs w:val="21"/>
          <w:lang w:eastAsia="es-CO"/>
        </w:rPr>
        <w:t>. </w:t>
      </w:r>
      <w:r w:rsidRPr="003C4EED">
        <w:rPr>
          <w:rFonts w:ascii="Arial" w:eastAsia="Times New Roman" w:hAnsi="Arial" w:cs="Arial"/>
          <w:sz w:val="21"/>
          <w:szCs w:val="21"/>
          <w:lang w:val="es-CO" w:eastAsia="es-CO"/>
        </w:rPr>
        <w:t> </w:t>
      </w:r>
    </w:p>
    <w:p w14:paraId="1979E979" w14:textId="6731B342" w:rsidR="00721CE1" w:rsidRPr="009E2F5B" w:rsidRDefault="00721CE1" w:rsidP="009E2F5B">
      <w:pPr>
        <w:spacing w:after="0"/>
        <w:ind w:left="705" w:right="705"/>
        <w:textAlignment w:val="baseline"/>
        <w:rPr>
          <w:rFonts w:ascii="Segoe UI" w:eastAsia="Times New Roman" w:hAnsi="Segoe UI" w:cs="Segoe UI"/>
          <w:sz w:val="18"/>
          <w:szCs w:val="18"/>
          <w:lang w:val="es-CO" w:eastAsia="es-CO"/>
        </w:rPr>
      </w:pPr>
      <w:r w:rsidRPr="00721CE1">
        <w:rPr>
          <w:rFonts w:ascii="Arial" w:eastAsia="Calibri" w:hAnsi="Arial" w:cs="Arial"/>
          <w:bCs/>
          <w:sz w:val="22"/>
          <w:lang w:val="es-ES"/>
        </w:rPr>
        <w:t xml:space="preserve"> </w:t>
      </w:r>
    </w:p>
    <w:p w14:paraId="74FE98C7" w14:textId="77777777" w:rsidR="00721CE1" w:rsidRPr="00721CE1" w:rsidRDefault="00721CE1" w:rsidP="009E2F5B">
      <w:pPr>
        <w:tabs>
          <w:tab w:val="left" w:pos="0"/>
        </w:tabs>
        <w:spacing w:after="120"/>
        <w:rPr>
          <w:rFonts w:ascii="Arial" w:eastAsia="Calibri" w:hAnsi="Arial" w:cs="Arial"/>
          <w:bCs/>
          <w:sz w:val="22"/>
          <w:lang w:val="es-ES"/>
        </w:rPr>
      </w:pPr>
      <w:r w:rsidRPr="00721CE1">
        <w:rPr>
          <w:rFonts w:ascii="Arial" w:eastAsia="Calibri" w:hAnsi="Arial" w:cs="Arial"/>
          <w:bCs/>
          <w:sz w:val="22"/>
          <w:lang w:val="es-ES"/>
        </w:rPr>
        <w:tab/>
        <w:t>Conviene insistir en que el día hábil al que se refiere la ley es un tiempo mínimo, porque las entidades tienen la facultad de estructurar procesos con plazos mayores para presentar ofertas, al no establecerse en la ley un tiempo máximo, lo cual resulta recomendable para la concurrencia de oferentes, sin perjuicio de la finalidad de esta modalidad de selección, que propende por la provisión pronta y ágil de los bienes de las entidades estatales.</w:t>
      </w:r>
    </w:p>
    <w:p w14:paraId="6637F19E" w14:textId="22AE869E" w:rsidR="00721CE1" w:rsidRPr="00721CE1" w:rsidRDefault="00721CE1" w:rsidP="003C4EED">
      <w:pPr>
        <w:tabs>
          <w:tab w:val="left" w:pos="0"/>
        </w:tabs>
        <w:spacing w:before="120" w:after="120"/>
        <w:rPr>
          <w:rFonts w:ascii="Arial" w:eastAsia="Calibri" w:hAnsi="Arial" w:cs="Arial"/>
          <w:bCs/>
          <w:sz w:val="22"/>
          <w:lang w:val="es-ES"/>
        </w:rPr>
      </w:pPr>
      <w:r w:rsidRPr="00721CE1">
        <w:rPr>
          <w:rFonts w:ascii="Arial" w:eastAsia="Calibri" w:hAnsi="Arial" w:cs="Arial"/>
          <w:bCs/>
          <w:sz w:val="22"/>
          <w:lang w:val="es-ES"/>
        </w:rPr>
        <w:tab/>
        <w:t xml:space="preserve">  </w:t>
      </w:r>
      <w:r w:rsidR="003C4EED" w:rsidRPr="003C4EED">
        <w:rPr>
          <w:rFonts w:ascii="Arial" w:eastAsia="Calibri" w:hAnsi="Arial" w:cs="Arial"/>
          <w:bCs/>
          <w:sz w:val="22"/>
        </w:rPr>
        <w:t>Debe reconocerse que no existe una acepción unívoca de día hábil, pues no existe certidumbre de cuáles son los días de la semana que pueden entenderse como hábiles, y ello en principio posibilita que las entidades regulen de manera disímil los términos de la modalidad de selección que aquí se trata</w:t>
      </w:r>
      <w:r w:rsidRPr="00721CE1">
        <w:rPr>
          <w:rFonts w:ascii="Arial" w:eastAsia="Calibri" w:hAnsi="Arial" w:cs="Arial"/>
          <w:bCs/>
          <w:sz w:val="22"/>
          <w:lang w:val="es-ES"/>
        </w:rPr>
        <w:t xml:space="preserve">. </w:t>
      </w:r>
    </w:p>
    <w:p w14:paraId="0B3D26D3" w14:textId="6F718CD1" w:rsidR="00721CE1" w:rsidRPr="00721CE1" w:rsidRDefault="00721CE1" w:rsidP="00721CE1">
      <w:pPr>
        <w:tabs>
          <w:tab w:val="left" w:pos="0"/>
        </w:tabs>
        <w:spacing w:before="120" w:after="120"/>
        <w:rPr>
          <w:rFonts w:ascii="Arial" w:eastAsia="Calibri" w:hAnsi="Arial" w:cs="Arial"/>
          <w:bCs/>
          <w:sz w:val="22"/>
          <w:lang w:val="es-ES"/>
        </w:rPr>
      </w:pPr>
      <w:r w:rsidRPr="00721CE1">
        <w:rPr>
          <w:rFonts w:ascii="Arial" w:eastAsia="Calibri" w:hAnsi="Arial" w:cs="Arial"/>
          <w:bCs/>
          <w:sz w:val="22"/>
          <w:lang w:val="es-ES"/>
        </w:rPr>
        <w:tab/>
        <w:t>La ausencia de definición legal de día hábil autoriza acudir al sentido natural y obvio de la palabra hábil, encontrándonos las siguientes acepciones «1. adj. Capaz de realizar con éxito una tarea manual. 2. adj. Dotado del talento para actuar adecuadamente o lograr su objetivo. 3. adj. Propio de una persona hábil. 4. adj. Apto o adecuado para algo. 5. adj. Dicho de un período de tiempo: Establecido como válido o computable para realizar una actividad, especialmente administrativa o judicial»</w:t>
      </w:r>
      <w:r w:rsidRPr="00721CE1">
        <w:rPr>
          <w:rFonts w:ascii="Arial" w:eastAsia="Calibri" w:hAnsi="Arial" w:cs="Arial"/>
          <w:bCs/>
          <w:sz w:val="22"/>
          <w:vertAlign w:val="superscript"/>
          <w:lang w:val="es-ES"/>
        </w:rPr>
        <w:footnoteReference w:id="10"/>
      </w:r>
      <w:r w:rsidRPr="00721CE1">
        <w:rPr>
          <w:rFonts w:ascii="Arial" w:eastAsia="Calibri" w:hAnsi="Arial" w:cs="Arial"/>
          <w:bCs/>
          <w:sz w:val="22"/>
          <w:lang w:val="es-ES"/>
        </w:rPr>
        <w:t>. La última acepción se ajusta al entendimiento normativo</w:t>
      </w:r>
      <w:r w:rsidR="00416875">
        <w:rPr>
          <w:rFonts w:ascii="Arial" w:eastAsia="Calibri" w:hAnsi="Arial" w:cs="Arial"/>
          <w:bCs/>
          <w:sz w:val="22"/>
          <w:lang w:val="es-ES"/>
        </w:rPr>
        <w:t>.</w:t>
      </w:r>
      <w:r w:rsidRPr="00721CE1">
        <w:rPr>
          <w:rFonts w:ascii="Arial" w:eastAsia="Calibri" w:hAnsi="Arial" w:cs="Arial"/>
          <w:bCs/>
          <w:sz w:val="22"/>
          <w:lang w:val="es-ES"/>
        </w:rPr>
        <w:t xml:space="preserve"> </w:t>
      </w:r>
      <w:r w:rsidR="00416875">
        <w:rPr>
          <w:rFonts w:ascii="Arial" w:eastAsia="Calibri" w:hAnsi="Arial" w:cs="Arial"/>
          <w:bCs/>
          <w:sz w:val="22"/>
          <w:lang w:val="es-ES"/>
        </w:rPr>
        <w:t>S</w:t>
      </w:r>
      <w:r w:rsidRPr="00721CE1">
        <w:rPr>
          <w:rFonts w:ascii="Arial" w:eastAsia="Calibri" w:hAnsi="Arial" w:cs="Arial"/>
          <w:bCs/>
          <w:sz w:val="22"/>
          <w:lang w:val="es-ES"/>
        </w:rPr>
        <w:t>in embargo, no es suficiente para absolver lo que se indaga, en la medida en que corresponde al ordenamiento jurídico establecer cuáles son los días válidos para realizar las actuaciones.</w:t>
      </w:r>
      <w:r w:rsidRPr="00721CE1">
        <w:rPr>
          <w:rFonts w:ascii="Arial" w:eastAsia="Calibri" w:hAnsi="Arial" w:cs="Arial"/>
          <w:bCs/>
          <w:sz w:val="22"/>
          <w:lang w:val="es-ES"/>
        </w:rPr>
        <w:tab/>
      </w:r>
    </w:p>
    <w:p w14:paraId="440719C2" w14:textId="77777777" w:rsidR="00721CE1" w:rsidRPr="00721CE1" w:rsidRDefault="00721CE1" w:rsidP="00721CE1">
      <w:pPr>
        <w:tabs>
          <w:tab w:val="left" w:pos="0"/>
        </w:tabs>
        <w:spacing w:before="120" w:after="0"/>
        <w:rPr>
          <w:rFonts w:ascii="Arial" w:eastAsia="Calibri" w:hAnsi="Arial" w:cs="Arial"/>
          <w:bCs/>
          <w:sz w:val="22"/>
          <w:lang w:val="es-ES"/>
        </w:rPr>
      </w:pPr>
      <w:r w:rsidRPr="00721CE1">
        <w:rPr>
          <w:rFonts w:ascii="Arial" w:eastAsia="Calibri" w:hAnsi="Arial" w:cs="Arial"/>
          <w:bCs/>
          <w:sz w:val="22"/>
          <w:lang w:val="es-ES"/>
        </w:rPr>
        <w:tab/>
        <w:t>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disponen que:</w:t>
      </w:r>
    </w:p>
    <w:p w14:paraId="5F740EA7" w14:textId="77777777" w:rsidR="00721CE1" w:rsidRPr="00721CE1" w:rsidRDefault="00721CE1" w:rsidP="00721CE1">
      <w:pPr>
        <w:tabs>
          <w:tab w:val="left" w:pos="0"/>
        </w:tabs>
        <w:spacing w:after="0"/>
        <w:rPr>
          <w:rFonts w:ascii="Arial" w:eastAsia="Calibri" w:hAnsi="Arial" w:cs="Arial"/>
          <w:bCs/>
          <w:sz w:val="22"/>
          <w:lang w:val="es-ES"/>
        </w:rPr>
      </w:pPr>
    </w:p>
    <w:p w14:paraId="0262FB15" w14:textId="77777777" w:rsidR="00721CE1" w:rsidRPr="00721CE1" w:rsidRDefault="00721CE1" w:rsidP="00721CE1">
      <w:pPr>
        <w:tabs>
          <w:tab w:val="left" w:pos="0"/>
        </w:tabs>
        <w:spacing w:after="0" w:line="240" w:lineRule="auto"/>
        <w:ind w:left="709" w:right="709"/>
        <w:rPr>
          <w:rFonts w:ascii="Arial" w:eastAsia="Batang" w:hAnsi="Arial" w:cs="Arial"/>
          <w:sz w:val="21"/>
          <w:szCs w:val="21"/>
        </w:rPr>
      </w:pPr>
      <w:r w:rsidRPr="00721CE1">
        <w:rPr>
          <w:rFonts w:ascii="Arial" w:eastAsia="Batang" w:hAnsi="Arial" w:cs="Arial"/>
          <w:sz w:val="21"/>
          <w:szCs w:val="21"/>
        </w:rPr>
        <w:lastRenderedPageBreak/>
        <w:t>Artículo 59.</w:t>
      </w:r>
      <w:r w:rsidRPr="00721CE1">
        <w:rPr>
          <w:rFonts w:ascii="Arial" w:eastAsia="Batang" w:hAnsi="Arial" w:cs="Arial"/>
          <w:b/>
          <w:sz w:val="21"/>
          <w:szCs w:val="21"/>
        </w:rPr>
        <w:t> </w:t>
      </w:r>
      <w:r w:rsidRPr="00721CE1">
        <w:rPr>
          <w:rFonts w:ascii="Arial" w:eastAsia="Batang" w:hAnsi="Arial" w:cs="Arial"/>
          <w:sz w:val="21"/>
          <w:szCs w:val="21"/>
        </w:rPr>
        <w:t>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2A470303" w14:textId="77777777" w:rsidR="00721CE1" w:rsidRPr="00721CE1" w:rsidRDefault="00721CE1" w:rsidP="00721CE1">
      <w:pPr>
        <w:tabs>
          <w:tab w:val="left" w:pos="0"/>
        </w:tabs>
        <w:spacing w:after="120" w:line="240" w:lineRule="auto"/>
        <w:ind w:left="709" w:right="709"/>
        <w:rPr>
          <w:rFonts w:ascii="Arial" w:eastAsia="Batang" w:hAnsi="Arial" w:cs="Arial"/>
          <w:sz w:val="21"/>
          <w:szCs w:val="21"/>
        </w:rPr>
      </w:pPr>
      <w:r w:rsidRPr="00721CE1">
        <w:rPr>
          <w:rFonts w:ascii="Arial" w:eastAsia="Batang" w:hAnsi="Arial" w:cs="Arial"/>
          <w:sz w:val="21"/>
          <w:szCs w:val="21"/>
        </w:rPr>
        <w:t>[…]</w:t>
      </w:r>
    </w:p>
    <w:p w14:paraId="014B4E48" w14:textId="77777777" w:rsidR="00721CE1" w:rsidRPr="00721CE1" w:rsidRDefault="00721CE1" w:rsidP="00721CE1">
      <w:pPr>
        <w:tabs>
          <w:tab w:val="left" w:pos="0"/>
        </w:tabs>
        <w:spacing w:after="0" w:line="240" w:lineRule="auto"/>
        <w:ind w:left="709" w:right="709"/>
        <w:rPr>
          <w:rFonts w:ascii="Arial" w:eastAsia="Batang" w:hAnsi="Arial" w:cs="Arial"/>
          <w:sz w:val="21"/>
          <w:szCs w:val="21"/>
        </w:rPr>
      </w:pPr>
      <w:r w:rsidRPr="00721CE1">
        <w:rPr>
          <w:rFonts w:ascii="Arial" w:eastAsia="Batang" w:hAnsi="Arial" w:cs="Arial"/>
          <w:bCs/>
          <w:sz w:val="21"/>
          <w:szCs w:val="21"/>
        </w:rPr>
        <w:t>Artículo 62.</w:t>
      </w:r>
      <w:r w:rsidRPr="00721CE1">
        <w:rPr>
          <w:rFonts w:ascii="Arial" w:eastAsia="Batang" w:hAnsi="Arial" w:cs="Arial"/>
          <w:sz w:val="21"/>
          <w:szCs w:val="21"/>
        </w:rPr>
        <w:t>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p w14:paraId="4106CF83" w14:textId="77777777" w:rsidR="00721CE1" w:rsidRPr="00721CE1" w:rsidRDefault="00721CE1" w:rsidP="00721CE1">
      <w:pPr>
        <w:tabs>
          <w:tab w:val="left" w:pos="0"/>
        </w:tabs>
        <w:spacing w:after="0"/>
        <w:rPr>
          <w:rFonts w:ascii="Arial" w:eastAsia="Calibri" w:hAnsi="Arial" w:cs="Arial"/>
          <w:bCs/>
          <w:sz w:val="22"/>
          <w:lang w:val="es-ES"/>
        </w:rPr>
      </w:pPr>
    </w:p>
    <w:p w14:paraId="3D53A6A3" w14:textId="77777777" w:rsidR="00721CE1" w:rsidRPr="00721CE1" w:rsidRDefault="00721CE1" w:rsidP="00721CE1">
      <w:pPr>
        <w:tabs>
          <w:tab w:val="left" w:pos="0"/>
        </w:tabs>
        <w:spacing w:after="120"/>
        <w:rPr>
          <w:rFonts w:ascii="Arial" w:eastAsia="Calibri" w:hAnsi="Arial" w:cs="Arial"/>
          <w:bCs/>
          <w:sz w:val="22"/>
          <w:lang w:val="es-ES"/>
        </w:rPr>
      </w:pPr>
      <w:r w:rsidRPr="00721CE1">
        <w:rPr>
          <w:rFonts w:ascii="Arial" w:eastAsia="Calibri" w:hAnsi="Arial" w:cs="Arial"/>
          <w:bCs/>
          <w:sz w:val="22"/>
          <w:lang w:val="es-ES"/>
        </w:rPr>
        <w:tab/>
        <w:t xml:space="preserve">El artículo 59 establece que los plazos a los que se haga mención en la ley terminan a la medianoche, y que por </w:t>
      </w:r>
      <w:r w:rsidRPr="00721CE1">
        <w:rPr>
          <w:rFonts w:ascii="Arial" w:eastAsia="Calibri" w:hAnsi="Arial" w:cs="Arial"/>
          <w:bCs/>
          <w:i/>
          <w:iCs/>
          <w:sz w:val="22"/>
          <w:lang w:val="es-ES"/>
        </w:rPr>
        <w:t xml:space="preserve">día </w:t>
      </w:r>
      <w:r w:rsidRPr="00721CE1">
        <w:rPr>
          <w:rFonts w:ascii="Arial" w:eastAsia="Calibri" w:hAnsi="Arial" w:cs="Arial"/>
          <w:bCs/>
          <w:sz w:val="22"/>
          <w:lang w:val="es-ES"/>
        </w:rPr>
        <w:t>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 a la que antes se hacía referencia, indica que por hábiles se entiende los días laborables</w:t>
      </w:r>
      <w:r w:rsidRPr="00721CE1">
        <w:rPr>
          <w:rFonts w:ascii="Arial" w:eastAsia="Calibri" w:hAnsi="Arial" w:cs="Arial"/>
          <w:bCs/>
          <w:sz w:val="22"/>
          <w:vertAlign w:val="superscript"/>
          <w:lang w:val="es-ES"/>
        </w:rPr>
        <w:footnoteReference w:id="11"/>
      </w:r>
      <w:r w:rsidRPr="00721CE1">
        <w:rPr>
          <w:rFonts w:ascii="Arial" w:eastAsia="Calibri" w:hAnsi="Arial" w:cs="Arial"/>
          <w:bCs/>
          <w:sz w:val="22"/>
          <w:lang w:val="es-ES"/>
        </w:rPr>
        <w:t>.</w:t>
      </w:r>
    </w:p>
    <w:p w14:paraId="4D2C9C8C" w14:textId="77777777" w:rsidR="00721CE1" w:rsidRPr="00721CE1" w:rsidRDefault="00721CE1" w:rsidP="00721CE1">
      <w:pPr>
        <w:tabs>
          <w:tab w:val="left" w:pos="0"/>
        </w:tabs>
        <w:spacing w:after="0"/>
        <w:rPr>
          <w:rFonts w:ascii="Arial" w:eastAsia="Calibri" w:hAnsi="Arial" w:cs="Arial"/>
          <w:bCs/>
          <w:sz w:val="22"/>
          <w:lang w:val="es-ES"/>
        </w:rPr>
      </w:pPr>
      <w:r w:rsidRPr="00721CE1">
        <w:rPr>
          <w:rFonts w:ascii="Arial" w:eastAsia="Calibri" w:hAnsi="Arial" w:cs="Arial"/>
          <w:bCs/>
          <w:sz w:val="22"/>
          <w:lang w:val="es-ES"/>
        </w:rPr>
        <w:tab/>
        <w:t>En esto coincide la jurisprudencia de vieja data del Consejo de Estado, que al interpretar el contenido del artículo 62 de la Ley 4 de 1913 ha relacionado los días hábiles con conceptos como el de «Despacho Público» y «días laborables forzosos», que implican que el entendimiento normativo de los días hábiles está relacionado con el espacio de tiempo durante el cual las entidades públicas desarrollan sus funciones administrativas y están abiertas para la atención al público. Así, por ejemplo, en la sentencia del 12 de abril de 1978 explicó lo siguiente:</w:t>
      </w:r>
    </w:p>
    <w:p w14:paraId="437E7ED3" w14:textId="77777777" w:rsidR="00721CE1" w:rsidRPr="00721CE1" w:rsidRDefault="00721CE1" w:rsidP="00721CE1">
      <w:pPr>
        <w:tabs>
          <w:tab w:val="left" w:pos="0"/>
        </w:tabs>
        <w:spacing w:after="0" w:line="240" w:lineRule="auto"/>
        <w:ind w:left="709" w:right="709"/>
        <w:rPr>
          <w:rFonts w:ascii="Arial" w:eastAsia="Batang" w:hAnsi="Arial" w:cs="Arial"/>
          <w:sz w:val="21"/>
          <w:szCs w:val="21"/>
          <w:lang w:val="es-ES"/>
        </w:rPr>
      </w:pPr>
    </w:p>
    <w:p w14:paraId="66D447EE" w14:textId="77777777" w:rsidR="00721CE1" w:rsidRPr="00721CE1" w:rsidRDefault="00721CE1" w:rsidP="00721CE1">
      <w:pPr>
        <w:tabs>
          <w:tab w:val="left" w:pos="0"/>
        </w:tabs>
        <w:spacing w:after="0" w:line="240" w:lineRule="auto"/>
        <w:ind w:left="709" w:right="709"/>
        <w:rPr>
          <w:rFonts w:ascii="Arial" w:eastAsia="Calibri" w:hAnsi="Arial" w:cs="Arial"/>
          <w:bCs/>
          <w:sz w:val="21"/>
          <w:szCs w:val="21"/>
          <w:lang w:val="es-ES"/>
        </w:rPr>
      </w:pPr>
      <w:r w:rsidRPr="00721CE1">
        <w:rPr>
          <w:rFonts w:ascii="Arial" w:eastAsia="Batang" w:hAnsi="Arial" w:cs="Arial"/>
          <w:sz w:val="21"/>
          <w:szCs w:val="21"/>
        </w:rPr>
        <w:t xml:space="preserve">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con consecuencias legales. Es «Despacho Público» el mantenimiento de la oficina abierta al público para ejecutar los actos y despachar los asuntos que corresponden a las funciones del empleo en los términos señalados en la Ley. Por lo tanto hay despacho cuando se tiene facultad para laborar, despachar los asuntos y ejecutar los actos propios de sus atribuciones; así no se haya empleado esa facultad. Entonces, las sesiones de la Asamblea en sábados, </w:t>
      </w:r>
      <w:r w:rsidRPr="00721CE1">
        <w:rPr>
          <w:rFonts w:ascii="Arial" w:eastAsia="Batang" w:hAnsi="Arial" w:cs="Arial"/>
          <w:sz w:val="21"/>
          <w:szCs w:val="21"/>
        </w:rPr>
        <w:lastRenderedPageBreak/>
        <w:t>domingos y lunes, tienen la virtud y fuerza suficientes para producir o causar todos los efectos, aunque las sesiones no se hayan realizado efectivamente</w:t>
      </w:r>
      <w:r w:rsidRPr="00721CE1">
        <w:rPr>
          <w:rFonts w:ascii="Arial" w:eastAsia="Batang" w:hAnsi="Arial" w:cs="Arial"/>
          <w:sz w:val="21"/>
          <w:szCs w:val="21"/>
          <w:vertAlign w:val="superscript"/>
        </w:rPr>
        <w:footnoteReference w:id="12"/>
      </w:r>
      <w:r w:rsidRPr="00721CE1">
        <w:rPr>
          <w:rFonts w:ascii="Arial" w:eastAsia="Batang" w:hAnsi="Arial" w:cs="Arial"/>
          <w:sz w:val="21"/>
          <w:szCs w:val="21"/>
        </w:rPr>
        <w:t>.</w:t>
      </w:r>
    </w:p>
    <w:p w14:paraId="78D86926" w14:textId="77777777" w:rsidR="00721CE1" w:rsidRPr="00721CE1" w:rsidRDefault="00721CE1" w:rsidP="00721CE1">
      <w:pPr>
        <w:tabs>
          <w:tab w:val="left" w:pos="0"/>
        </w:tabs>
        <w:spacing w:after="0"/>
        <w:rPr>
          <w:rFonts w:ascii="Arial" w:eastAsia="Calibri" w:hAnsi="Arial" w:cs="Arial"/>
          <w:bCs/>
          <w:sz w:val="22"/>
          <w:lang w:val="es-ES"/>
        </w:rPr>
      </w:pPr>
    </w:p>
    <w:p w14:paraId="2146C207" w14:textId="77777777" w:rsidR="00721CE1" w:rsidRPr="00721CE1" w:rsidRDefault="00721CE1" w:rsidP="00721CE1">
      <w:pPr>
        <w:tabs>
          <w:tab w:val="left" w:pos="0"/>
        </w:tabs>
        <w:spacing w:after="0"/>
        <w:rPr>
          <w:rFonts w:ascii="Arial" w:eastAsia="Calibri" w:hAnsi="Arial" w:cs="Arial"/>
          <w:bCs/>
          <w:sz w:val="22"/>
          <w:lang w:val="es-ES"/>
        </w:rPr>
      </w:pPr>
      <w:r w:rsidRPr="00721CE1">
        <w:rPr>
          <w:rFonts w:ascii="Arial" w:eastAsia="Calibri" w:hAnsi="Arial" w:cs="Arial"/>
          <w:bCs/>
          <w:sz w:val="22"/>
          <w:lang w:val="es-ES"/>
        </w:rPr>
        <w:tab/>
        <w:t>Posteriormente, en el auto del 26 de febrero de 1983, manifestó que el cómputo de los días hábiles de los que trata la norma debe hacerse con relación a los «días laborables forzosos», introduciendo un criterio para determinar lo que se entiende por día hábil en los siguientes términos:</w:t>
      </w:r>
    </w:p>
    <w:p w14:paraId="328E5DB0" w14:textId="77777777" w:rsidR="00721CE1" w:rsidRPr="00721CE1" w:rsidRDefault="00721CE1" w:rsidP="00721CE1">
      <w:pPr>
        <w:spacing w:after="0" w:line="240" w:lineRule="auto"/>
        <w:rPr>
          <w:rFonts w:ascii="Arial" w:eastAsia="Times New Roman" w:hAnsi="Arial" w:cs="Arial"/>
          <w:sz w:val="21"/>
          <w:szCs w:val="21"/>
          <w:lang w:val="es-ES" w:eastAsia="es-CO"/>
        </w:rPr>
      </w:pPr>
    </w:p>
    <w:p w14:paraId="1AACE5EF" w14:textId="77777777" w:rsidR="00721CE1" w:rsidRPr="00721CE1" w:rsidRDefault="00721CE1" w:rsidP="00721CE1">
      <w:pPr>
        <w:spacing w:after="120" w:line="240" w:lineRule="auto"/>
        <w:ind w:left="709" w:right="709"/>
        <w:rPr>
          <w:rFonts w:ascii="Arial" w:eastAsia="Times New Roman" w:hAnsi="Arial" w:cs="Arial"/>
          <w:sz w:val="21"/>
          <w:szCs w:val="21"/>
          <w:lang w:val="es-CO" w:eastAsia="es-CO"/>
        </w:rPr>
      </w:pPr>
      <w:r w:rsidRPr="00721CE1">
        <w:rPr>
          <w:rFonts w:ascii="Arial" w:eastAsia="Times New Roman" w:hAnsi="Arial" w:cs="Arial"/>
          <w:sz w:val="21"/>
          <w:szCs w:val="21"/>
          <w:lang w:val="es-CO" w:eastAsia="es-CO"/>
        </w:rPr>
        <w:t>[E]l cómputo de días hábiles de que trata el artículo 62 de la Ley 4.ª de 1913 debe realizarse con base en los días laborables forzosos, teniendo por tales todos los del año, excluidos los señalados por la ley como de descanso remunerado.</w:t>
      </w:r>
    </w:p>
    <w:p w14:paraId="75FDAFC1" w14:textId="77777777" w:rsidR="00721CE1" w:rsidRPr="00721CE1" w:rsidRDefault="00721CE1" w:rsidP="00721CE1">
      <w:pPr>
        <w:spacing w:after="0" w:line="240" w:lineRule="auto"/>
        <w:ind w:left="709" w:right="709"/>
        <w:rPr>
          <w:rFonts w:ascii="Arial" w:eastAsia="Times New Roman" w:hAnsi="Arial" w:cs="Arial"/>
          <w:sz w:val="21"/>
          <w:szCs w:val="21"/>
          <w:lang w:val="es-CO" w:eastAsia="es-CO"/>
        </w:rPr>
      </w:pPr>
      <w:r w:rsidRPr="00721CE1">
        <w:rPr>
          <w:rFonts w:ascii="Arial" w:eastAsia="Times New Roman" w:hAnsi="Arial" w:cs="Arial"/>
          <w:sz w:val="21"/>
          <w:szCs w:val="21"/>
          <w:lang w:val="es-CO" w:eastAsia="es-CO"/>
        </w:rPr>
        <w:t>Así, el criterio que determina el carácter de hábil de los días, para el cómputo de los términos legales, es el de su laborabilidad [sic]. Ello 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1.° de la Ley 51 de 1983 y los señalados como vacancia para la rama jurisdiccional, el Ministerio Público y las direcciones de instrucción criminal. Cabe anotar que para algunas oficinas no son hábiles los sábados, en cuanto no funcionan en esos días por trasladarse la respectiva jornada, en extensión de la ordinaria, a los demás de la semana</w:t>
      </w:r>
      <w:r w:rsidRPr="00721CE1">
        <w:rPr>
          <w:rFonts w:ascii="Arial" w:eastAsia="Times New Roman" w:hAnsi="Arial" w:cs="Arial"/>
          <w:sz w:val="21"/>
          <w:szCs w:val="21"/>
          <w:vertAlign w:val="superscript"/>
          <w:lang w:val="es-CO" w:eastAsia="es-CO"/>
        </w:rPr>
        <w:footnoteReference w:id="13"/>
      </w:r>
      <w:r w:rsidRPr="00721CE1">
        <w:rPr>
          <w:rFonts w:ascii="Arial" w:eastAsia="Times New Roman" w:hAnsi="Arial" w:cs="Arial"/>
          <w:sz w:val="21"/>
          <w:szCs w:val="21"/>
          <w:lang w:val="es-CO" w:eastAsia="es-CO"/>
        </w:rPr>
        <w:t>.</w:t>
      </w:r>
    </w:p>
    <w:p w14:paraId="204C6638" w14:textId="77777777" w:rsidR="00721CE1" w:rsidRPr="00721CE1" w:rsidRDefault="00721CE1" w:rsidP="00721CE1">
      <w:pPr>
        <w:tabs>
          <w:tab w:val="left" w:pos="0"/>
        </w:tabs>
        <w:spacing w:after="0"/>
        <w:rPr>
          <w:rFonts w:ascii="Arial" w:eastAsia="Calibri" w:hAnsi="Arial" w:cs="Arial"/>
          <w:bCs/>
          <w:sz w:val="22"/>
          <w:lang w:val="es-ES"/>
        </w:rPr>
      </w:pPr>
      <w:r w:rsidRPr="00721CE1">
        <w:rPr>
          <w:rFonts w:ascii="Arial" w:eastAsia="Calibri" w:hAnsi="Arial" w:cs="Arial"/>
          <w:bCs/>
          <w:sz w:val="22"/>
          <w:lang w:val="es-ES"/>
        </w:rPr>
        <w:t xml:space="preserve"> </w:t>
      </w:r>
    </w:p>
    <w:p w14:paraId="2DFA236C" w14:textId="7234115A" w:rsidR="00721CE1" w:rsidRPr="00721CE1" w:rsidRDefault="00721CE1" w:rsidP="00721CE1">
      <w:pPr>
        <w:tabs>
          <w:tab w:val="left" w:pos="0"/>
        </w:tabs>
        <w:spacing w:after="120"/>
        <w:rPr>
          <w:rFonts w:ascii="Arial" w:eastAsia="Calibri" w:hAnsi="Arial" w:cs="Arial"/>
          <w:bCs/>
          <w:sz w:val="22"/>
          <w:lang w:val="es-ES"/>
        </w:rPr>
      </w:pPr>
      <w:r w:rsidRPr="00721CE1">
        <w:rPr>
          <w:rFonts w:ascii="Arial" w:eastAsia="Calibri" w:hAnsi="Arial" w:cs="Arial"/>
          <w:bCs/>
          <w:sz w:val="22"/>
          <w:lang w:val="es-ES"/>
        </w:rPr>
        <w:tab/>
      </w:r>
      <w:bookmarkStart w:id="7" w:name="_Hlk100070990"/>
      <w:r w:rsidR="003D141B">
        <w:rPr>
          <w:rFonts w:ascii="Arial" w:eastAsia="Calibri" w:hAnsi="Arial" w:cs="Arial"/>
          <w:bCs/>
          <w:sz w:val="22"/>
          <w:lang w:val="es-ES"/>
        </w:rPr>
        <w:t>De esta manera</w:t>
      </w:r>
      <w:r w:rsidRPr="00721CE1">
        <w:rPr>
          <w:rFonts w:ascii="Arial" w:eastAsia="Calibri" w:hAnsi="Arial" w:cs="Arial"/>
          <w:bCs/>
          <w:sz w:val="22"/>
          <w:lang w:val="es-ES"/>
        </w:rPr>
        <w:t>, 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Pr="00721CE1">
        <w:rPr>
          <w:rFonts w:ascii="Arial" w:eastAsia="Calibri" w:hAnsi="Arial" w:cs="Arial"/>
          <w:bCs/>
          <w:sz w:val="22"/>
          <w:vertAlign w:val="superscript"/>
          <w:lang w:val="es-ES"/>
        </w:rPr>
        <w:footnoteReference w:id="14"/>
      </w:r>
      <w:r w:rsidRPr="00721CE1">
        <w:rPr>
          <w:rFonts w:ascii="Arial" w:eastAsia="Calibri" w:hAnsi="Arial" w:cs="Arial"/>
          <w:bCs/>
          <w:sz w:val="22"/>
          <w:lang w:val="es-ES"/>
        </w:rPr>
        <w:t xml:space="preserve">,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w:t>
      </w:r>
      <w:r w:rsidRPr="00721CE1">
        <w:rPr>
          <w:rFonts w:ascii="Arial" w:eastAsia="Calibri" w:hAnsi="Arial" w:cs="Arial"/>
          <w:bCs/>
          <w:sz w:val="22"/>
          <w:lang w:val="es-ES"/>
        </w:rPr>
        <w:lastRenderedPageBreak/>
        <w:t>―usualmente el miércoles―»</w:t>
      </w:r>
      <w:r w:rsidRPr="00721CE1">
        <w:rPr>
          <w:rFonts w:ascii="Arial" w:eastAsia="Calibri" w:hAnsi="Arial" w:cs="Arial"/>
          <w:bCs/>
          <w:sz w:val="22"/>
          <w:vertAlign w:val="superscript"/>
          <w:lang w:val="es-ES"/>
        </w:rPr>
        <w:footnoteReference w:id="15"/>
      </w:r>
      <w:r w:rsidRPr="00721CE1">
        <w:rPr>
          <w:rFonts w:ascii="Arial" w:eastAsia="Calibri" w:hAnsi="Arial" w:cs="Arial"/>
          <w:bCs/>
          <w:sz w:val="22"/>
          <w:lang w:val="es-ES"/>
        </w:rPr>
        <w:t xml:space="preserve">, ejemplo donde los días laborables o hábiles son todos los de la semana, con excepción del miércoles. </w:t>
      </w:r>
    </w:p>
    <w:p w14:paraId="702DBF19" w14:textId="528AAB65" w:rsidR="00721CE1" w:rsidRPr="00721CE1" w:rsidRDefault="00721CE1" w:rsidP="00721CE1">
      <w:pPr>
        <w:tabs>
          <w:tab w:val="left" w:pos="0"/>
        </w:tabs>
        <w:spacing w:before="120" w:after="0"/>
        <w:rPr>
          <w:rFonts w:ascii="Arial" w:eastAsia="Calibri" w:hAnsi="Arial" w:cs="Arial"/>
          <w:bCs/>
          <w:sz w:val="22"/>
          <w:lang w:val="es-ES"/>
        </w:rPr>
      </w:pPr>
      <w:r w:rsidRPr="00721CE1">
        <w:rPr>
          <w:rFonts w:ascii="Arial" w:eastAsia="Calibri" w:hAnsi="Arial" w:cs="Arial"/>
          <w:bCs/>
          <w:sz w:val="22"/>
          <w:lang w:val="es-ES"/>
        </w:rPr>
        <w:tab/>
      </w:r>
      <w:r w:rsidR="003D141B">
        <w:rPr>
          <w:rFonts w:ascii="Arial" w:eastAsia="Calibri" w:hAnsi="Arial" w:cs="Arial"/>
          <w:bCs/>
          <w:sz w:val="22"/>
          <w:lang w:val="es-ES"/>
        </w:rPr>
        <w:t>Esto</w:t>
      </w:r>
      <w:r w:rsidRPr="00721CE1">
        <w:rPr>
          <w:rFonts w:ascii="Arial" w:eastAsia="Calibri" w:hAnsi="Arial" w:cs="Arial"/>
          <w:bCs/>
          <w:sz w:val="22"/>
          <w:lang w:val="es-ES"/>
        </w:rPr>
        <w:t xml:space="preserve"> implica, respecto del término para publicar la invitación y para la presentación de ofertas en procedimientos de mínima cuantía, </w:t>
      </w:r>
      <w:r w:rsidR="00D05481">
        <w:rPr>
          <w:rFonts w:ascii="Arial" w:eastAsia="Calibri" w:hAnsi="Arial" w:cs="Arial"/>
          <w:bCs/>
          <w:sz w:val="22"/>
          <w:lang w:val="es-ES"/>
        </w:rPr>
        <w:t>así como para el cómputo de los demás términos en días hábiles propios de estos procesos de</w:t>
      </w:r>
      <w:r w:rsidR="006931E4">
        <w:rPr>
          <w:rFonts w:ascii="Arial" w:eastAsia="Calibri" w:hAnsi="Arial" w:cs="Arial"/>
          <w:bCs/>
          <w:sz w:val="22"/>
          <w:lang w:val="es-ES"/>
        </w:rPr>
        <w:t xml:space="preserve"> selección, </w:t>
      </w:r>
      <w:r w:rsidRPr="00721CE1">
        <w:rPr>
          <w:rFonts w:ascii="Arial" w:eastAsia="Calibri" w:hAnsi="Arial" w:cs="Arial"/>
          <w:bCs/>
          <w:sz w:val="22"/>
          <w:lang w:val="es-ES"/>
        </w:rPr>
        <w:t xml:space="preserve">que deberá transcurrir dentro de los días definidos por cada entidad estatal como laborables en su correspondiente reglamento o manual de funciones. </w:t>
      </w:r>
    </w:p>
    <w:bookmarkEnd w:id="7"/>
    <w:p w14:paraId="26090C42" w14:textId="2CDE2BB7" w:rsidR="00721CE1" w:rsidRPr="00721CE1" w:rsidRDefault="00721CE1" w:rsidP="00721CE1">
      <w:pPr>
        <w:tabs>
          <w:tab w:val="left" w:pos="0"/>
        </w:tabs>
        <w:spacing w:before="120" w:after="0"/>
        <w:rPr>
          <w:rFonts w:ascii="Arial" w:eastAsia="Calibri" w:hAnsi="Arial" w:cs="Arial"/>
          <w:bCs/>
          <w:sz w:val="22"/>
          <w:lang w:val="es-ES"/>
        </w:rPr>
      </w:pPr>
      <w:r w:rsidRPr="00721CE1">
        <w:rPr>
          <w:rFonts w:ascii="Arial" w:eastAsia="Calibri" w:hAnsi="Arial" w:cs="Arial"/>
          <w:bCs/>
          <w:sz w:val="22"/>
          <w:lang w:val="es-ES"/>
        </w:rPr>
        <w:tab/>
      </w:r>
      <w:r w:rsidR="003D141B">
        <w:rPr>
          <w:rFonts w:ascii="Arial" w:eastAsia="Calibri" w:hAnsi="Arial" w:cs="Arial"/>
          <w:bCs/>
          <w:sz w:val="22"/>
          <w:lang w:val="es-ES"/>
        </w:rPr>
        <w:t>L</w:t>
      </w:r>
      <w:r w:rsidR="003D141B" w:rsidRPr="00721CE1">
        <w:rPr>
          <w:rFonts w:ascii="Arial" w:eastAsia="Calibri" w:hAnsi="Arial" w:cs="Arial"/>
          <w:bCs/>
          <w:sz w:val="22"/>
          <w:lang w:val="es-ES"/>
        </w:rPr>
        <w:t>o</w:t>
      </w:r>
      <w:r w:rsidR="003D141B">
        <w:rPr>
          <w:rFonts w:ascii="Arial" w:eastAsia="Calibri" w:hAnsi="Arial" w:cs="Arial"/>
          <w:bCs/>
          <w:sz w:val="22"/>
          <w:lang w:val="es-ES"/>
        </w:rPr>
        <w:t xml:space="preserve"> anterior</w:t>
      </w:r>
      <w:r w:rsidR="003D141B" w:rsidRPr="00721CE1">
        <w:rPr>
          <w:rFonts w:ascii="Arial" w:eastAsia="Calibri" w:hAnsi="Arial" w:cs="Arial"/>
          <w:bCs/>
          <w:sz w:val="22"/>
          <w:lang w:val="es-ES"/>
        </w:rPr>
        <w:t xml:space="preserve"> </w:t>
      </w:r>
      <w:r w:rsidRPr="00721CE1">
        <w:rPr>
          <w:rFonts w:ascii="Arial" w:eastAsia="Calibri" w:hAnsi="Arial" w:cs="Arial"/>
          <w:bCs/>
          <w:sz w:val="22"/>
          <w:lang w:val="es-ES"/>
        </w:rPr>
        <w:t xml:space="preserve">supone varias posibilidades para fijar y realizar el cómputo de dichos términos, con especial importancia cuando se fijan por el mínimo legal de un día hábil, por lo que resultan posibles las siguientes interpretaciones: i) que el plazo está comprendido por un espacio de veinticuatro (24) horas consecutivas, cuyos extremos están ubicados dentro de las horas laborables de la entidad, de tal manera que una entidad con un horario de atención entre las 8:00 y 17:00 horas, podrá fijar un término para recibir ofertas entre las 15:00 horas de un día y las 15:00 horas del siguiente; ii)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publicar la invitación y recibir ofertas únicamente durante dicho lapso; o iii) que el término de un día hábil está constituido por las veinticuatro horas que conforman uno de los días laborables definidos por la entidad, empezando a las 00:00 horas y terminando a las 23:59 de dicho día. </w:t>
      </w:r>
    </w:p>
    <w:p w14:paraId="4DB4D2D2" w14:textId="77777777" w:rsidR="00416875" w:rsidRDefault="00721CE1" w:rsidP="00721CE1">
      <w:pPr>
        <w:tabs>
          <w:tab w:val="left" w:pos="0"/>
        </w:tabs>
        <w:spacing w:before="120" w:after="120"/>
        <w:rPr>
          <w:rFonts w:ascii="Arial" w:eastAsia="Calibri" w:hAnsi="Arial" w:cs="Arial"/>
          <w:bCs/>
          <w:sz w:val="22"/>
          <w:lang w:val="es-ES"/>
        </w:rPr>
      </w:pPr>
      <w:r w:rsidRPr="00721CE1">
        <w:rPr>
          <w:rFonts w:ascii="Arial" w:eastAsia="Calibri" w:hAnsi="Arial" w:cs="Arial"/>
          <w:bCs/>
          <w:sz w:val="22"/>
          <w:lang w:val="es-ES"/>
        </w:rPr>
        <w:tab/>
        <w:t xml:space="preserve">La primera interpretación supone que se tomen horas de la jornada laboral de un día y se complementen con otras del día siguiente, para completar un total de veinticuatro. No obstante, esta forma de entender el plazo para presentar ofertas no es coherente con lo establecido en la ley, que al establecer que el término deberá ser de mínimo un día hábil da a entender que la presentación de ofertas debe tener lugar durante un único día hábil determinado, y no durante veinticuatro horas fraccionadas en dos días.  </w:t>
      </w:r>
    </w:p>
    <w:p w14:paraId="4DECA135" w14:textId="15996FF2" w:rsidR="00721CE1" w:rsidRPr="00721CE1" w:rsidRDefault="00416875" w:rsidP="00721CE1">
      <w:pPr>
        <w:tabs>
          <w:tab w:val="left" w:pos="0"/>
        </w:tabs>
        <w:spacing w:before="120" w:after="120"/>
        <w:rPr>
          <w:rFonts w:ascii="Arial" w:eastAsia="Calibri" w:hAnsi="Arial" w:cs="Arial"/>
          <w:bCs/>
          <w:sz w:val="22"/>
          <w:lang w:val="es-ES"/>
        </w:rPr>
      </w:pPr>
      <w:r>
        <w:rPr>
          <w:rStyle w:val="normaltextrun"/>
          <w:rFonts w:ascii="Arial" w:hAnsi="Arial" w:cs="Arial"/>
          <w:color w:val="000000"/>
          <w:sz w:val="22"/>
          <w:shd w:val="clear" w:color="auto" w:fill="FFFFFF"/>
          <w:lang w:val="es-ES"/>
        </w:rPr>
        <w:tab/>
        <w:t>La Agencia Nacional de Contratación Pública – Colombia Compra Eficiente, en el «Manual de la Modalidad de Selección de Mínima Cuantía», recomienda que «</w:t>
      </w:r>
      <w:r>
        <w:rPr>
          <w:rStyle w:val="normaltextrun"/>
          <w:rFonts w:ascii="Arial" w:hAnsi="Arial" w:cs="Arial"/>
          <w:color w:val="000000"/>
          <w:sz w:val="22"/>
          <w:shd w:val="clear" w:color="auto" w:fill="FFFFFF"/>
        </w:rPr>
        <w:t>la publicación de los Documentos del Proceso se haga a primera hora del día hábil en el cual se adelanta la actuación respectiva para ser consistente con la extensión de los términos previstos para esta modalidad de selección». En ese sentido, esta Agencia estima que las entidades, para cumplir el plazo mínimo de un día hábil, necesariamente deben fijar los extremos de este dentro un mismo día solar laborable. </w:t>
      </w:r>
      <w:r>
        <w:rPr>
          <w:rStyle w:val="eop"/>
          <w:rFonts w:ascii="Arial" w:hAnsi="Arial" w:cs="Arial"/>
          <w:color w:val="000000"/>
          <w:sz w:val="22"/>
          <w:shd w:val="clear" w:color="auto" w:fill="FFFFFF"/>
        </w:rPr>
        <w:t> </w:t>
      </w:r>
      <w:r w:rsidR="00721CE1" w:rsidRPr="00721CE1">
        <w:rPr>
          <w:rFonts w:ascii="Arial" w:eastAsia="Batang" w:hAnsi="Arial" w:cs="Arial"/>
          <w:sz w:val="22"/>
        </w:rPr>
        <w:t xml:space="preserve"> </w:t>
      </w:r>
    </w:p>
    <w:p w14:paraId="09F13D4F" w14:textId="77777777" w:rsidR="00721CE1" w:rsidRPr="00721CE1" w:rsidRDefault="00721CE1" w:rsidP="00721CE1">
      <w:pPr>
        <w:tabs>
          <w:tab w:val="left" w:pos="0"/>
        </w:tabs>
        <w:spacing w:after="120"/>
        <w:rPr>
          <w:rFonts w:ascii="Arial" w:eastAsia="Calibri" w:hAnsi="Arial" w:cs="Arial"/>
          <w:bCs/>
          <w:sz w:val="22"/>
          <w:lang w:val="es-ES"/>
        </w:rPr>
      </w:pPr>
      <w:r w:rsidRPr="00721CE1">
        <w:rPr>
          <w:rFonts w:ascii="Arial" w:eastAsia="Batang" w:hAnsi="Arial" w:cs="Arial"/>
          <w:sz w:val="22"/>
        </w:rPr>
        <w:lastRenderedPageBreak/>
        <w:tab/>
        <w:t xml:space="preserve">Conforme a lo anterior, la segunda interpretación resulta la más razonable, porque es la adecuada a las circunstancias prácticas propias de la presentación de ofertas, particularmente en el caso de las entidades que publican sus procesos de selección en la plataforma SECOP I, y recibiendo ofertas en medio físico, lo cual implica que durante la vigencia del término para la presentación de ofertas haya una persona disponible en las instalaciones de la entidad  para recibir las ofertas y haga la correspondiente radicación, lo cual solo resulta posible en las horas laborables.  </w:t>
      </w:r>
      <w:r w:rsidRPr="00721CE1">
        <w:rPr>
          <w:rFonts w:ascii="Arial" w:eastAsia="Calibri" w:hAnsi="Arial" w:cs="Arial"/>
          <w:bCs/>
          <w:sz w:val="22"/>
          <w:lang w:val="es-ES"/>
        </w:rPr>
        <w:t>A esto se suma el hecho de que las entidades no suelen tener horarios de atención al público de veinticuatro horas diarias, comoquiera que solo están obligadas a garantizar la atención durante cuarenta horas semanales</w:t>
      </w:r>
      <w:r w:rsidRPr="00721CE1">
        <w:rPr>
          <w:rFonts w:ascii="Arial" w:eastAsia="Calibri" w:hAnsi="Arial" w:cs="Arial"/>
          <w:bCs/>
          <w:sz w:val="22"/>
          <w:vertAlign w:val="superscript"/>
          <w:lang w:val="es-ES"/>
        </w:rPr>
        <w:footnoteReference w:id="16"/>
      </w:r>
      <w:r w:rsidRPr="00721CE1">
        <w:rPr>
          <w:rFonts w:ascii="Arial" w:eastAsia="Calibri" w:hAnsi="Arial" w:cs="Arial"/>
          <w:bCs/>
          <w:sz w:val="22"/>
          <w:lang w:val="es-ES"/>
        </w:rPr>
        <w:t>.</w:t>
      </w:r>
    </w:p>
    <w:p w14:paraId="06C9A504" w14:textId="77777777" w:rsidR="00721CE1" w:rsidRPr="00721CE1" w:rsidRDefault="00721CE1" w:rsidP="00721CE1">
      <w:pPr>
        <w:tabs>
          <w:tab w:val="left" w:pos="0"/>
        </w:tabs>
        <w:spacing w:after="120"/>
        <w:rPr>
          <w:rFonts w:ascii="Arial" w:eastAsia="Calibri" w:hAnsi="Arial" w:cs="Arial"/>
          <w:bCs/>
          <w:sz w:val="22"/>
          <w:lang w:val="es-ES"/>
        </w:rPr>
      </w:pPr>
      <w:r w:rsidRPr="00721CE1">
        <w:rPr>
          <w:rFonts w:ascii="Arial" w:eastAsia="Calibri" w:hAnsi="Arial" w:cs="Arial"/>
          <w:bCs/>
          <w:sz w:val="22"/>
          <w:lang w:val="es-ES"/>
        </w:rPr>
        <w:tab/>
        <w:t>Sin embargo, en los procesos de mínima cuantía adelantados a través de SECOP II, la Agencia Nacional de Contratación Pública – Colombia Compra Eficiente considera que, conforme a la tercera interpretación señalada, es necesario que las entidades extiendan el plazo para presentar  ofertas hasta las 23:59 horas del día previsto para ello, por existir una herramienta tecnológica para presentar y recibirlas, que permite que se prescinda de la presencia física del personal para la recibirlas y radicarlas por fuera de la jornada laboral.</w:t>
      </w:r>
    </w:p>
    <w:p w14:paraId="00CC4F77" w14:textId="77777777" w:rsidR="00721CE1" w:rsidRPr="00721CE1" w:rsidRDefault="00721CE1" w:rsidP="00721CE1">
      <w:pPr>
        <w:tabs>
          <w:tab w:val="left" w:pos="0"/>
        </w:tabs>
        <w:spacing w:after="120"/>
        <w:rPr>
          <w:rFonts w:ascii="Arial" w:eastAsia="Calibri" w:hAnsi="Arial" w:cs="Arial"/>
          <w:bCs/>
          <w:sz w:val="22"/>
          <w:lang w:val="es-ES"/>
        </w:rPr>
      </w:pPr>
      <w:r w:rsidRPr="00721CE1">
        <w:rPr>
          <w:rFonts w:ascii="Arial" w:eastAsia="Calibri" w:hAnsi="Arial" w:cs="Arial"/>
          <w:bCs/>
          <w:sz w:val="22"/>
          <w:lang w:val="es-ES"/>
        </w:rPr>
        <w:tab/>
        <w:t xml:space="preserve">En ese sentido, 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5EFD80D9" w14:textId="77777777" w:rsidR="00410EB2" w:rsidRDefault="00721CE1" w:rsidP="00721CE1">
      <w:pPr>
        <w:tabs>
          <w:tab w:val="left" w:pos="0"/>
        </w:tabs>
        <w:spacing w:after="120"/>
        <w:rPr>
          <w:rFonts w:ascii="Arial" w:eastAsia="Calibri" w:hAnsi="Arial" w:cs="Arial"/>
          <w:bCs/>
          <w:sz w:val="22"/>
          <w:lang w:val="es-ES"/>
        </w:rPr>
      </w:pPr>
      <w:r w:rsidRPr="00721CE1">
        <w:rPr>
          <w:rFonts w:ascii="Arial" w:eastAsia="Calibri" w:hAnsi="Arial" w:cs="Arial"/>
          <w:bCs/>
          <w:sz w:val="22"/>
          <w:lang w:val="es-ES"/>
        </w:rPr>
        <w:tab/>
        <w:t>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w:t>
      </w:r>
      <w:r w:rsidR="00F24965">
        <w:rPr>
          <w:rFonts w:ascii="Arial" w:eastAsia="Calibri" w:hAnsi="Arial" w:cs="Arial"/>
          <w:bCs/>
          <w:sz w:val="22"/>
          <w:lang w:val="es-ES"/>
        </w:rPr>
        <w:t>í</w:t>
      </w:r>
      <w:r w:rsidRPr="00721CE1">
        <w:rPr>
          <w:rFonts w:ascii="Arial" w:eastAsia="Calibri" w:hAnsi="Arial" w:cs="Arial"/>
          <w:bCs/>
          <w:sz w:val="22"/>
          <w:lang w:val="es-ES"/>
        </w:rPr>
        <w:t>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p w14:paraId="66D8AD28" w14:textId="73E14EF3" w:rsidR="00721CE1" w:rsidRPr="00721CE1" w:rsidRDefault="00721CE1" w:rsidP="00721CE1">
      <w:pPr>
        <w:tabs>
          <w:tab w:val="left" w:pos="0"/>
        </w:tabs>
        <w:spacing w:after="120"/>
        <w:rPr>
          <w:rFonts w:ascii="Arial" w:eastAsia="Calibri" w:hAnsi="Arial" w:cs="Arial"/>
          <w:bCs/>
          <w:sz w:val="22"/>
          <w:lang w:val="es-ES"/>
        </w:rPr>
      </w:pPr>
      <w:r w:rsidRPr="00721CE1">
        <w:rPr>
          <w:rFonts w:ascii="Arial" w:eastAsia="Calibri" w:hAnsi="Arial" w:cs="Arial"/>
          <w:bCs/>
          <w:sz w:val="22"/>
          <w:lang w:val="es-ES"/>
        </w:rPr>
        <w:tab/>
        <w:t>De conformidad con los mandatos derivados del principio de transparencia, consagrado en el artículo 24 de la Ley 80 de 1993, y lo dispuesto en el artículo 2.2.1.1.2.1.3 del Decreto 1082 de 2015</w:t>
      </w:r>
      <w:r w:rsidRPr="00721CE1">
        <w:rPr>
          <w:rFonts w:ascii="Arial" w:eastAsia="Calibri" w:hAnsi="Arial" w:cs="Arial"/>
          <w:bCs/>
          <w:sz w:val="22"/>
          <w:vertAlign w:val="superscript"/>
          <w:lang w:val="es-ES"/>
        </w:rPr>
        <w:footnoteReference w:id="17"/>
      </w:r>
      <w:r w:rsidRPr="00721CE1">
        <w:rPr>
          <w:rFonts w:ascii="Arial" w:eastAsia="Calibri" w:hAnsi="Arial" w:cs="Arial"/>
          <w:bCs/>
          <w:sz w:val="22"/>
          <w:lang w:val="es-ES"/>
        </w:rPr>
        <w:t>, en el pliego de condiciones deben definirse «las reglas aplicables a la presentación de las ofertas, su evaluación y a la adjudicación del contrato», así como el cronograma del proceso de selección, lo cual también es aplicable a la invitación en los procesos de mínima cuantía</w:t>
      </w:r>
      <w:r w:rsidR="00960C06">
        <w:rPr>
          <w:rFonts w:ascii="Arial" w:eastAsia="Calibri" w:hAnsi="Arial" w:cs="Arial"/>
          <w:bCs/>
          <w:sz w:val="22"/>
          <w:lang w:val="es-ES"/>
        </w:rPr>
        <w:t>. Esto</w:t>
      </w:r>
      <w:r w:rsidRPr="00721CE1">
        <w:rPr>
          <w:rFonts w:ascii="Arial" w:eastAsia="Calibri" w:hAnsi="Arial" w:cs="Arial"/>
          <w:bCs/>
          <w:sz w:val="22"/>
          <w:lang w:val="es-ES"/>
        </w:rPr>
        <w:t xml:space="preserve"> implica que para dar aplicación a la anterior regla las entidades deberán establecer, en la respectiva invitación, el lapso durante el cual recibirán ofertas, definiendo expresamente la hora hasta la cual recibirán las ofertas, de tal manera que este pueda ser conocido con anticipación por los interesados en participar.    </w:t>
      </w:r>
    </w:p>
    <w:p w14:paraId="2177BC2A" w14:textId="77777777" w:rsidR="00721CE1" w:rsidRPr="00721CE1" w:rsidRDefault="00721CE1" w:rsidP="00721CE1">
      <w:pPr>
        <w:spacing w:after="0"/>
        <w:rPr>
          <w:rFonts w:ascii="Arial" w:eastAsia="Batang" w:hAnsi="Arial" w:cs="Arial"/>
          <w:sz w:val="22"/>
        </w:rPr>
      </w:pPr>
      <w:r w:rsidRPr="00721CE1">
        <w:rPr>
          <w:rFonts w:ascii="Arial" w:eastAsia="Calibri" w:hAnsi="Arial" w:cs="Arial"/>
          <w:sz w:val="22"/>
        </w:rPr>
        <w:tab/>
        <w:t xml:space="preserve">De otra parte, </w:t>
      </w:r>
      <w:r w:rsidRPr="00721CE1">
        <w:rPr>
          <w:rFonts w:ascii="Arial" w:eastAsia="Batang" w:hAnsi="Arial" w:cs="Arial"/>
          <w:sz w:val="22"/>
        </w:rPr>
        <w:t>sobre la posibilidad de realizar adendas a la invitación en procesos de mínima cuantía, esta Agencia se pronunció en el concepto de radicado No. 2201913000006236 de 26 de agosto de 2019. En esa ocasión se explicó que el artículo 2.2.1.1.2.2.1 del Decreto 1082 de 2015</w:t>
      </w:r>
      <w:r w:rsidRPr="00721CE1">
        <w:rPr>
          <w:rFonts w:ascii="Arial" w:eastAsia="Batang" w:hAnsi="Arial" w:cs="Arial"/>
          <w:sz w:val="22"/>
          <w:vertAlign w:val="superscript"/>
        </w:rPr>
        <w:footnoteReference w:id="18"/>
      </w:r>
      <w:r w:rsidRPr="00721CE1">
        <w:rPr>
          <w:rFonts w:ascii="Arial" w:eastAsia="Batang" w:hAnsi="Arial" w:cs="Arial"/>
          <w:sz w:val="22"/>
        </w:rPr>
        <w:t xml:space="preserve">, que regula la posibilidad de realizar adendas a los pliegos de condiciones, es aplicable a todas las modalidades de selección, incluso respecto de la invitación en la modalidad de mínima cuantía.  </w:t>
      </w:r>
    </w:p>
    <w:p w14:paraId="097A4890" w14:textId="14BA9E69" w:rsidR="00721CE1" w:rsidRPr="00721CE1" w:rsidRDefault="00721CE1" w:rsidP="004B3B7D">
      <w:pPr>
        <w:spacing w:before="120" w:after="120"/>
        <w:ind w:firstLine="709"/>
        <w:rPr>
          <w:rFonts w:ascii="Arial" w:eastAsia="Batang" w:hAnsi="Arial" w:cs="Arial"/>
          <w:sz w:val="22"/>
        </w:rPr>
      </w:pPr>
      <w:r w:rsidRPr="00721CE1">
        <w:rPr>
          <w:rFonts w:ascii="Arial" w:eastAsia="Batang" w:hAnsi="Arial" w:cs="Arial"/>
          <w:sz w:val="22"/>
        </w:rPr>
        <w:t>Sin embargo, esta norma establece que las adendas se podrán expedir a más tardar el día hábil anterior al vencimiento del plazo para presentar ofertas, lo cual debe ser respetado incluso en los procesos de mínima cuantía en los que se exija un único día para la presentación de ofertas, publicación de la invitación y presentación de observaciones. Lo anterior quiere decir que, de conformidad con la norma, se deben expedir y publicar adendas a más tardar el día hábil anterior, es decir que en ningún caso puede transcurrir menos de un día hábil entre la publicación de la adenda y el momento en que los proponentes están obligados a presentar propuestas.</w:t>
      </w:r>
      <w:r w:rsidR="009C64CA">
        <w:rPr>
          <w:rFonts w:ascii="Arial" w:eastAsia="Batang" w:hAnsi="Arial" w:cs="Arial"/>
          <w:sz w:val="22"/>
        </w:rPr>
        <w:t xml:space="preserve"> </w:t>
      </w:r>
      <w:r w:rsidR="004B3B7D">
        <w:rPr>
          <w:rFonts w:ascii="Arial" w:eastAsia="Batang" w:hAnsi="Arial" w:cs="Arial"/>
          <w:sz w:val="22"/>
        </w:rPr>
        <w:t xml:space="preserve">Así también lo expresa el numeral 4 del artículo </w:t>
      </w:r>
      <w:r w:rsidR="004B3B7D" w:rsidRPr="004B3B7D">
        <w:rPr>
          <w:rFonts w:ascii="Arial" w:eastAsia="Batang" w:hAnsi="Arial" w:cs="Arial"/>
          <w:sz w:val="22"/>
        </w:rPr>
        <w:t>2.2.1.2.1.5.2</w:t>
      </w:r>
      <w:r w:rsidR="004B3B7D">
        <w:rPr>
          <w:rFonts w:ascii="Arial" w:eastAsia="Batang" w:hAnsi="Arial" w:cs="Arial"/>
          <w:sz w:val="22"/>
        </w:rPr>
        <w:t xml:space="preserve"> al disponer que, para efectos de la mínima cuantía, la entidad dispondrá «</w:t>
      </w:r>
      <w:r w:rsidR="004B3B7D" w:rsidRPr="004B3B7D">
        <w:rPr>
          <w:rFonts w:ascii="Arial" w:eastAsia="Batang" w:hAnsi="Arial" w:cs="Arial"/>
          <w:sz w:val="22"/>
        </w:rPr>
        <w:t>El término hasta el cual podrá expedir adendas para modificar la invitación, el cual, en todo caso, tendrá como límite un día hábil antes a la fecha y hora prevista para la presentación de ofertas</w:t>
      </w:r>
      <w:r w:rsidR="004B3B7D">
        <w:rPr>
          <w:rFonts w:ascii="Arial" w:eastAsia="Batang" w:hAnsi="Arial" w:cs="Arial"/>
          <w:sz w:val="22"/>
        </w:rPr>
        <w:t xml:space="preserve">». </w:t>
      </w:r>
    </w:p>
    <w:p w14:paraId="333E83B8" w14:textId="20AB9252" w:rsidR="00721CE1" w:rsidRPr="00721CE1" w:rsidRDefault="00721CE1" w:rsidP="00721CE1">
      <w:pPr>
        <w:widowControl w:val="0"/>
        <w:autoSpaceDE w:val="0"/>
        <w:autoSpaceDN w:val="0"/>
        <w:spacing w:after="120"/>
        <w:ind w:right="102" w:firstLine="709"/>
        <w:rPr>
          <w:rFonts w:ascii="Arial" w:eastAsia="Arial" w:hAnsi="Arial" w:cs="Arial"/>
          <w:sz w:val="22"/>
          <w:lang w:val="es-ES" w:eastAsia="es-ES" w:bidi="es-ES"/>
        </w:rPr>
      </w:pPr>
      <w:r w:rsidRPr="00721CE1">
        <w:rPr>
          <w:rFonts w:ascii="Arial" w:eastAsia="Arial" w:hAnsi="Arial" w:cs="Arial"/>
          <w:sz w:val="22"/>
          <w:lang w:val="es-ES" w:eastAsia="es-ES" w:bidi="es-ES"/>
        </w:rPr>
        <w:t xml:space="preserve">Para cumplir con esto, es decir, para garantizar los términos mínimos establecidos, las entidades estatales en la fijación del cronograma de su proceso de contratación podrán, de conformidad con el objeto contractual, su alcance y complejidad, establecer plazos más amplios a las establecidos como plazo mínimo en el artículo 2 de la Ley 1150 de 2007 y en el </w:t>
      </w:r>
      <w:r w:rsidR="00C37E34">
        <w:rPr>
          <w:rFonts w:ascii="Arial" w:eastAsia="Arial" w:hAnsi="Arial" w:cs="Arial"/>
          <w:sz w:val="22"/>
          <w:lang w:val="es-ES" w:eastAsia="es-ES" w:bidi="es-ES"/>
        </w:rPr>
        <w:t xml:space="preserve">numeral 4 del </w:t>
      </w:r>
      <w:r w:rsidRPr="00721CE1">
        <w:rPr>
          <w:rFonts w:ascii="Arial" w:eastAsia="Arial" w:hAnsi="Arial" w:cs="Arial"/>
          <w:sz w:val="22"/>
          <w:lang w:val="es-ES" w:eastAsia="es-ES" w:bidi="es-ES"/>
        </w:rPr>
        <w:t>artículo 2.2.1.2.1.5.2 del Decreto 1082 de 2015.</w:t>
      </w:r>
    </w:p>
    <w:p w14:paraId="005007A8" w14:textId="3BF4A6D1" w:rsidR="00721CE1" w:rsidRPr="00721CE1" w:rsidRDefault="00721CE1" w:rsidP="00721CE1">
      <w:pPr>
        <w:widowControl w:val="0"/>
        <w:autoSpaceDE w:val="0"/>
        <w:autoSpaceDN w:val="0"/>
        <w:spacing w:after="120"/>
        <w:ind w:right="108" w:firstLine="709"/>
        <w:rPr>
          <w:rFonts w:ascii="Arial" w:eastAsia="Arial" w:hAnsi="Arial" w:cs="Arial"/>
          <w:sz w:val="22"/>
          <w:lang w:val="es-ES" w:eastAsia="es-ES" w:bidi="es-ES"/>
        </w:rPr>
      </w:pPr>
      <w:r w:rsidRPr="00721CE1">
        <w:rPr>
          <w:rFonts w:ascii="Arial" w:eastAsia="Arial" w:hAnsi="Arial" w:cs="Arial"/>
          <w:sz w:val="22"/>
          <w:lang w:val="es-ES" w:eastAsia="es-ES" w:bidi="es-ES"/>
        </w:rPr>
        <w:t xml:space="preserve">Finalmente, </w:t>
      </w:r>
      <w:bookmarkStart w:id="8" w:name="_Hlk48839256"/>
      <w:r w:rsidRPr="00721CE1">
        <w:rPr>
          <w:rFonts w:ascii="Arial" w:eastAsia="Arial" w:hAnsi="Arial" w:cs="Arial"/>
          <w:sz w:val="22"/>
          <w:lang w:val="es-ES" w:eastAsia="es-ES" w:bidi="es-ES"/>
        </w:rPr>
        <w:t xml:space="preserve">en caso de que el cronograma disponga que entre la publicación de la  invitación y el  vencimiento del término para presentar ofertas, no haya más de un día hábil, no será posible expedir adendas al proceso de contratación, pues los términos contemplados en la invitación pública no podrían satisfacer lo dispuesto por el artículo 2.2.1.1.2.2.1 </w:t>
      </w:r>
      <w:r w:rsidR="004B3B7D">
        <w:rPr>
          <w:rFonts w:ascii="Arial" w:eastAsia="Arial" w:hAnsi="Arial" w:cs="Arial"/>
          <w:sz w:val="22"/>
          <w:lang w:val="es-ES" w:eastAsia="es-ES" w:bidi="es-ES"/>
        </w:rPr>
        <w:t xml:space="preserve">y </w:t>
      </w:r>
      <w:r w:rsidR="004B3B7D">
        <w:rPr>
          <w:rFonts w:ascii="Arial" w:eastAsia="Batang" w:hAnsi="Arial" w:cs="Arial"/>
          <w:sz w:val="22"/>
        </w:rPr>
        <w:t xml:space="preserve">el numeral 4 del artículo </w:t>
      </w:r>
      <w:r w:rsidR="004B3B7D" w:rsidRPr="004B3B7D">
        <w:rPr>
          <w:rFonts w:ascii="Arial" w:eastAsia="Batang" w:hAnsi="Arial" w:cs="Arial"/>
          <w:sz w:val="22"/>
        </w:rPr>
        <w:t>2.2.1.2.1.5.2</w:t>
      </w:r>
      <w:r w:rsidR="00F20CA5">
        <w:rPr>
          <w:rFonts w:ascii="Arial" w:eastAsia="Batang" w:hAnsi="Arial" w:cs="Arial"/>
          <w:sz w:val="22"/>
        </w:rPr>
        <w:t xml:space="preserve"> </w:t>
      </w:r>
      <w:r w:rsidR="00F20CA5" w:rsidRPr="00721CE1">
        <w:rPr>
          <w:rFonts w:ascii="Arial" w:eastAsia="Arial" w:hAnsi="Arial" w:cs="Arial"/>
          <w:sz w:val="22"/>
          <w:lang w:val="es-ES" w:eastAsia="es-ES" w:bidi="es-ES"/>
        </w:rPr>
        <w:t>del Decreto 1082 de 2015</w:t>
      </w:r>
      <w:r w:rsidR="00F20CA5">
        <w:rPr>
          <w:rFonts w:ascii="Arial" w:eastAsia="Arial" w:hAnsi="Arial" w:cs="Arial"/>
          <w:sz w:val="22"/>
          <w:lang w:val="es-ES" w:eastAsia="es-ES" w:bidi="es-ES"/>
        </w:rPr>
        <w:t>.</w:t>
      </w:r>
      <w:r w:rsidR="004B3B7D">
        <w:rPr>
          <w:rFonts w:ascii="Arial" w:eastAsia="Arial" w:hAnsi="Arial" w:cs="Arial"/>
          <w:sz w:val="22"/>
          <w:lang w:val="es-ES" w:eastAsia="es-ES" w:bidi="es-ES"/>
        </w:rPr>
        <w:t xml:space="preserve"> P</w:t>
      </w:r>
      <w:r w:rsidRPr="00721CE1">
        <w:rPr>
          <w:rFonts w:ascii="Arial" w:eastAsia="Arial" w:hAnsi="Arial" w:cs="Arial"/>
          <w:sz w:val="22"/>
          <w:lang w:val="es-ES" w:eastAsia="es-ES" w:bidi="es-ES"/>
        </w:rPr>
        <w:t>or ende una adenda realizada en dichas condiciones contrariaría directamente una disposición</w:t>
      </w:r>
      <w:r w:rsidRPr="00721CE1">
        <w:rPr>
          <w:rFonts w:ascii="Arial" w:eastAsia="Arial" w:hAnsi="Arial" w:cs="Arial"/>
          <w:spacing w:val="-21"/>
          <w:sz w:val="22"/>
          <w:lang w:val="es-ES" w:eastAsia="es-ES" w:bidi="es-ES"/>
        </w:rPr>
        <w:t xml:space="preserve"> </w:t>
      </w:r>
      <w:r w:rsidRPr="00721CE1">
        <w:rPr>
          <w:rFonts w:ascii="Arial" w:eastAsia="Arial" w:hAnsi="Arial" w:cs="Arial"/>
          <w:sz w:val="22"/>
          <w:lang w:val="es-ES" w:eastAsia="es-ES" w:bidi="es-ES"/>
        </w:rPr>
        <w:t>legal.</w:t>
      </w:r>
      <w:bookmarkEnd w:id="8"/>
    </w:p>
    <w:p w14:paraId="19427B65" w14:textId="7FA2AD56" w:rsidR="00721CE1" w:rsidRPr="00721CE1" w:rsidRDefault="00721CE1" w:rsidP="00721CE1">
      <w:pPr>
        <w:widowControl w:val="0"/>
        <w:autoSpaceDE w:val="0"/>
        <w:autoSpaceDN w:val="0"/>
        <w:spacing w:before="1" w:after="0"/>
        <w:rPr>
          <w:rFonts w:ascii="Arial" w:eastAsia="Arial" w:hAnsi="Arial" w:cs="Arial"/>
          <w:sz w:val="22"/>
          <w:lang w:val="es-ES" w:eastAsia="es-ES" w:bidi="es-ES"/>
        </w:rPr>
      </w:pPr>
      <w:r w:rsidRPr="00721CE1">
        <w:rPr>
          <w:rFonts w:ascii="Arial" w:eastAsia="Arial" w:hAnsi="Arial" w:cs="Arial"/>
          <w:sz w:val="22"/>
          <w:lang w:val="es-ES" w:eastAsia="es-ES" w:bidi="es-ES"/>
        </w:rPr>
        <w:tab/>
        <w:t xml:space="preserve">En ese sentido, para que sea posible la expedición de adendas en un proceso de mínima cuantía, se requiere que entre la publicación de la invitación y el vencimiento del plazo para presentar ofertas medie </w:t>
      </w:r>
      <w:r w:rsidR="00183BD1" w:rsidRPr="00721CE1">
        <w:rPr>
          <w:rFonts w:ascii="Arial" w:eastAsia="Arial" w:hAnsi="Arial" w:cs="Arial"/>
          <w:sz w:val="22"/>
          <w:lang w:val="es-ES" w:eastAsia="es-ES" w:bidi="es-ES"/>
        </w:rPr>
        <w:t>más</w:t>
      </w:r>
      <w:r w:rsidRPr="00721CE1">
        <w:rPr>
          <w:rFonts w:ascii="Arial" w:eastAsia="Arial" w:hAnsi="Arial" w:cs="Arial"/>
          <w:sz w:val="22"/>
          <w:lang w:val="es-ES" w:eastAsia="es-ES" w:bidi="es-ES"/>
        </w:rPr>
        <w:t xml:space="preserve"> de un día hábil, de tal manera que puedan cumplirse los presupuestos establecidos en el </w:t>
      </w:r>
      <w:r w:rsidRPr="00721CE1">
        <w:rPr>
          <w:rFonts w:ascii="Arial" w:eastAsia="Arial" w:hAnsi="Arial" w:cs="Arial"/>
          <w:sz w:val="22"/>
          <w:lang w:eastAsia="es-ES" w:bidi="es-ES"/>
        </w:rPr>
        <w:t>artículo 2.2.1.1.2.2.1</w:t>
      </w:r>
      <w:r w:rsidR="00F20CA5">
        <w:rPr>
          <w:rFonts w:ascii="Arial" w:eastAsia="Arial" w:hAnsi="Arial" w:cs="Arial"/>
          <w:sz w:val="22"/>
          <w:lang w:eastAsia="es-ES" w:bidi="es-ES"/>
        </w:rPr>
        <w:t xml:space="preserve"> y en </w:t>
      </w:r>
      <w:r w:rsidR="00F20CA5">
        <w:rPr>
          <w:rFonts w:ascii="Arial" w:eastAsia="Batang" w:hAnsi="Arial" w:cs="Arial"/>
          <w:sz w:val="22"/>
        </w:rPr>
        <w:t xml:space="preserve">el numeral 4 del artículo </w:t>
      </w:r>
      <w:r w:rsidR="00F20CA5" w:rsidRPr="004B3B7D">
        <w:rPr>
          <w:rFonts w:ascii="Arial" w:eastAsia="Batang" w:hAnsi="Arial" w:cs="Arial"/>
          <w:sz w:val="22"/>
        </w:rPr>
        <w:t>2.2.1.2.1.5.2</w:t>
      </w:r>
      <w:r w:rsidRPr="00721CE1">
        <w:rPr>
          <w:rFonts w:ascii="Arial" w:eastAsia="Arial" w:hAnsi="Arial" w:cs="Arial"/>
          <w:sz w:val="22"/>
          <w:lang w:eastAsia="es-ES" w:bidi="es-ES"/>
        </w:rPr>
        <w:t xml:space="preserve"> del Decreto 1082 de 2015 para su expedición.</w:t>
      </w:r>
    </w:p>
    <w:p w14:paraId="41520090" w14:textId="710BDED0" w:rsidR="00535880" w:rsidRPr="00DA3080" w:rsidRDefault="00535880" w:rsidP="000D33B9">
      <w:pPr>
        <w:tabs>
          <w:tab w:val="left" w:pos="709"/>
        </w:tabs>
        <w:spacing w:after="0"/>
        <w:rPr>
          <w:rFonts w:ascii="Arial" w:eastAsia="Calibri" w:hAnsi="Arial" w:cs="Arial"/>
          <w:color w:val="000000" w:themeColor="text1"/>
          <w:sz w:val="22"/>
        </w:rPr>
      </w:pPr>
    </w:p>
    <w:p w14:paraId="2AE0A9F9" w14:textId="6D9E1390" w:rsidR="007C3749" w:rsidRPr="00DA3080" w:rsidRDefault="004421F5" w:rsidP="00FE4F4B">
      <w:pPr>
        <w:tabs>
          <w:tab w:val="left" w:pos="284"/>
          <w:tab w:val="left" w:pos="7938"/>
        </w:tabs>
        <w:spacing w:after="0"/>
        <w:rPr>
          <w:rFonts w:ascii="Arial" w:eastAsia="Calibri" w:hAnsi="Arial" w:cs="Arial"/>
          <w:b/>
          <w:sz w:val="22"/>
          <w:lang w:val="es-CO"/>
        </w:rPr>
      </w:pPr>
      <w:bookmarkStart w:id="9" w:name="_Hlk57650395"/>
      <w:bookmarkEnd w:id="4"/>
      <w:r w:rsidRPr="00DA3080">
        <w:rPr>
          <w:rFonts w:ascii="Arial" w:eastAsia="Calibri" w:hAnsi="Arial" w:cs="Arial"/>
          <w:b/>
          <w:sz w:val="22"/>
          <w:lang w:val="es-CO"/>
        </w:rPr>
        <w:t>3. Respuesta</w:t>
      </w:r>
    </w:p>
    <w:p w14:paraId="58D27431" w14:textId="1CC070EB" w:rsidR="00B672E6" w:rsidRPr="00DA3080" w:rsidRDefault="00B672E6" w:rsidP="00B672E6">
      <w:pPr>
        <w:spacing w:after="0"/>
        <w:rPr>
          <w:rFonts w:ascii="ArialMT" w:eastAsia="Times New Roman" w:hAnsi="ArialMT" w:cs="Times New Roman"/>
          <w:sz w:val="21"/>
          <w:szCs w:val="21"/>
          <w:lang w:val="es-CO" w:eastAsia="es-ES_tradnl"/>
        </w:rPr>
      </w:pPr>
    </w:p>
    <w:p w14:paraId="6743877E" w14:textId="105DD411" w:rsidR="00BE1C53" w:rsidRPr="00DA3080" w:rsidRDefault="00C37E34" w:rsidP="00C37E34">
      <w:pPr>
        <w:spacing w:after="0" w:line="240" w:lineRule="auto"/>
        <w:ind w:left="709" w:right="709"/>
        <w:rPr>
          <w:rFonts w:ascii="Arial" w:eastAsia="Times New Roman" w:hAnsi="Arial" w:cs="Arial"/>
          <w:sz w:val="21"/>
          <w:szCs w:val="21"/>
          <w:lang w:val="es-CO" w:eastAsia="es-CO"/>
        </w:rPr>
      </w:pPr>
      <w:r w:rsidRPr="00C37E34">
        <w:rPr>
          <w:rFonts w:ascii="Arial" w:hAnsi="Arial" w:cs="Arial"/>
          <w:sz w:val="21"/>
          <w:szCs w:val="21"/>
          <w:lang w:eastAsia="es-ES_tradnl"/>
        </w:rPr>
        <w:t>En relación con el artículo 2 del Decreto 1860 de 2021, el cual modifica la Subsección 5 de la Sección 1 del Capítulo 2 del Título 1 de la Parte 2 del Libro 2 del Decreto 1082 de 2015 sobe el procedimiento de selección de mínima cuantía: i) «¿cuál es el término de tiempo correspondiente a un día hábil?», y ii) «¿[c]ómo debe contabilizarse, este término procesal?»</w:t>
      </w:r>
      <w:r>
        <w:rPr>
          <w:rFonts w:ascii="Arial" w:hAnsi="Arial" w:cs="Arial"/>
          <w:sz w:val="21"/>
          <w:szCs w:val="21"/>
          <w:lang w:eastAsia="es-ES_tradnl"/>
        </w:rPr>
        <w:t>.</w:t>
      </w:r>
    </w:p>
    <w:p w14:paraId="53D3E525" w14:textId="77777777" w:rsidR="008851D0" w:rsidRDefault="008851D0" w:rsidP="00672665">
      <w:pPr>
        <w:tabs>
          <w:tab w:val="left" w:pos="709"/>
        </w:tabs>
        <w:spacing w:after="120"/>
        <w:rPr>
          <w:rFonts w:ascii="Arial" w:eastAsia="Calibri" w:hAnsi="Arial" w:cs="Arial"/>
          <w:color w:val="000000" w:themeColor="text1"/>
          <w:sz w:val="22"/>
          <w:lang w:val="es-ES_tradnl"/>
        </w:rPr>
      </w:pPr>
    </w:p>
    <w:p w14:paraId="59BE4E9E" w14:textId="77777777" w:rsidR="00C37E34" w:rsidRPr="00721CE1" w:rsidRDefault="000F2381" w:rsidP="00C37E34">
      <w:pPr>
        <w:tabs>
          <w:tab w:val="left" w:pos="0"/>
        </w:tabs>
        <w:spacing w:after="120"/>
        <w:rPr>
          <w:rFonts w:ascii="Arial" w:eastAsia="Calibri" w:hAnsi="Arial" w:cs="Arial"/>
          <w:bCs/>
          <w:sz w:val="22"/>
          <w:lang w:val="es-ES"/>
        </w:rPr>
      </w:pPr>
      <w:r>
        <w:rPr>
          <w:rFonts w:ascii="Arial" w:eastAsia="Calibri" w:hAnsi="Arial" w:cs="Arial"/>
          <w:bCs/>
          <w:sz w:val="22"/>
          <w:lang w:val="es-ES"/>
        </w:rPr>
        <w:t>De conformidad con las consideraciones realizadas en este concepto</w:t>
      </w:r>
      <w:r w:rsidR="008851D0" w:rsidRPr="008851D0">
        <w:rPr>
          <w:rFonts w:ascii="Arial" w:eastAsia="Calibri" w:hAnsi="Arial" w:cs="Arial"/>
          <w:bCs/>
          <w:sz w:val="22"/>
          <w:lang w:val="es-ES"/>
        </w:rPr>
        <w:t>,</w:t>
      </w:r>
      <w:r w:rsidR="00284BC6">
        <w:rPr>
          <w:rFonts w:ascii="Arial" w:eastAsia="Calibri" w:hAnsi="Arial" w:cs="Arial"/>
          <w:bCs/>
          <w:sz w:val="22"/>
          <w:lang w:val="es-ES"/>
        </w:rPr>
        <w:t xml:space="preserve"> </w:t>
      </w:r>
      <w:r w:rsidR="00C37E34" w:rsidRPr="00721CE1">
        <w:rPr>
          <w:rFonts w:ascii="Arial" w:eastAsia="Calibri" w:hAnsi="Arial" w:cs="Arial"/>
          <w:bCs/>
          <w:sz w:val="22"/>
          <w:lang w:val="es-ES"/>
        </w:rPr>
        <w:t>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00C37E34" w:rsidRPr="00721CE1">
        <w:rPr>
          <w:rFonts w:ascii="Arial" w:eastAsia="Calibri" w:hAnsi="Arial" w:cs="Arial"/>
          <w:bCs/>
          <w:sz w:val="22"/>
          <w:vertAlign w:val="superscript"/>
          <w:lang w:val="es-ES"/>
        </w:rPr>
        <w:footnoteReference w:id="19"/>
      </w:r>
      <w:r w:rsidR="00C37E34" w:rsidRPr="00721CE1">
        <w:rPr>
          <w:rFonts w:ascii="Arial" w:eastAsia="Calibri" w:hAnsi="Arial" w:cs="Arial"/>
          <w:bCs/>
          <w:sz w:val="22"/>
          <w:lang w:val="es-ES"/>
        </w:rPr>
        <w:t>,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00C37E34" w:rsidRPr="00721CE1">
        <w:rPr>
          <w:rFonts w:ascii="Arial" w:eastAsia="Calibri" w:hAnsi="Arial" w:cs="Arial"/>
          <w:bCs/>
          <w:sz w:val="22"/>
          <w:vertAlign w:val="superscript"/>
          <w:lang w:val="es-ES"/>
        </w:rPr>
        <w:footnoteReference w:id="20"/>
      </w:r>
      <w:r w:rsidR="00C37E34" w:rsidRPr="00721CE1">
        <w:rPr>
          <w:rFonts w:ascii="Arial" w:eastAsia="Calibri" w:hAnsi="Arial" w:cs="Arial"/>
          <w:bCs/>
          <w:sz w:val="22"/>
          <w:lang w:val="es-ES"/>
        </w:rPr>
        <w:t xml:space="preserve">, ejemplo donde los días laborables o hábiles son todos los de la semana, con excepción del miércoles. </w:t>
      </w:r>
    </w:p>
    <w:p w14:paraId="74DADA63" w14:textId="7A9D4C7D" w:rsidR="00C37E34" w:rsidRPr="00721CE1" w:rsidRDefault="00C37E34" w:rsidP="00C37E34">
      <w:pPr>
        <w:tabs>
          <w:tab w:val="left" w:pos="0"/>
        </w:tabs>
        <w:spacing w:before="120" w:after="120"/>
        <w:rPr>
          <w:rFonts w:ascii="Arial" w:eastAsia="Calibri" w:hAnsi="Arial" w:cs="Arial"/>
          <w:bCs/>
          <w:sz w:val="22"/>
          <w:lang w:val="es-ES"/>
        </w:rPr>
      </w:pPr>
      <w:r w:rsidRPr="00721CE1">
        <w:rPr>
          <w:rFonts w:ascii="Arial" w:eastAsia="Calibri" w:hAnsi="Arial" w:cs="Arial"/>
          <w:bCs/>
          <w:sz w:val="22"/>
          <w:lang w:val="es-ES"/>
        </w:rPr>
        <w:tab/>
      </w:r>
      <w:r>
        <w:rPr>
          <w:rFonts w:ascii="Arial" w:eastAsia="Calibri" w:hAnsi="Arial" w:cs="Arial"/>
          <w:bCs/>
          <w:sz w:val="22"/>
          <w:lang w:val="es-ES"/>
        </w:rPr>
        <w:t>Esto</w:t>
      </w:r>
      <w:r w:rsidRPr="00721CE1">
        <w:rPr>
          <w:rFonts w:ascii="Arial" w:eastAsia="Calibri" w:hAnsi="Arial" w:cs="Arial"/>
          <w:bCs/>
          <w:sz w:val="22"/>
          <w:lang w:val="es-ES"/>
        </w:rPr>
        <w:t xml:space="preserve"> implica, respecto del término para publicar la invitación y para la presentación de ofertas en procedimientos de mínima cuantía, </w:t>
      </w:r>
      <w:r>
        <w:rPr>
          <w:rFonts w:ascii="Arial" w:eastAsia="Calibri" w:hAnsi="Arial" w:cs="Arial"/>
          <w:bCs/>
          <w:sz w:val="22"/>
          <w:lang w:val="es-ES"/>
        </w:rPr>
        <w:t xml:space="preserve">así como para el cómputo de los demás términos en días hábiles propios de estos procesos de selección, </w:t>
      </w:r>
      <w:r w:rsidRPr="00721CE1">
        <w:rPr>
          <w:rFonts w:ascii="Arial" w:eastAsia="Calibri" w:hAnsi="Arial" w:cs="Arial"/>
          <w:bCs/>
          <w:sz w:val="22"/>
          <w:lang w:val="es-ES"/>
        </w:rPr>
        <w:t xml:space="preserve">que deberá transcurrir dentro de los días definidos por cada entidad estatal como laborables en su correspondiente reglamento o manual de funciones. </w:t>
      </w:r>
    </w:p>
    <w:p w14:paraId="1319A73D" w14:textId="77777777" w:rsidR="00C37E34" w:rsidRPr="00721CE1" w:rsidRDefault="00C37E34" w:rsidP="00C37E34">
      <w:pPr>
        <w:tabs>
          <w:tab w:val="left" w:pos="0"/>
        </w:tabs>
        <w:spacing w:after="120"/>
        <w:rPr>
          <w:rFonts w:ascii="Arial" w:eastAsia="Calibri" w:hAnsi="Arial" w:cs="Arial"/>
          <w:bCs/>
          <w:sz w:val="22"/>
          <w:lang w:val="es-ES"/>
        </w:rPr>
      </w:pPr>
      <w:r>
        <w:rPr>
          <w:rFonts w:ascii="Arial" w:eastAsia="Calibri" w:hAnsi="Arial" w:cs="Arial"/>
          <w:bCs/>
          <w:sz w:val="22"/>
          <w:lang w:val="es-ES"/>
        </w:rPr>
        <w:tab/>
      </w:r>
      <w:r w:rsidR="004A51BF" w:rsidRPr="00721CE1">
        <w:rPr>
          <w:rFonts w:ascii="Arial" w:eastAsia="Calibri" w:hAnsi="Arial" w:cs="Arial"/>
          <w:bCs/>
          <w:sz w:val="22"/>
          <w:lang w:val="es-ES"/>
        </w:rPr>
        <w:t xml:space="preserve">En ese sentido, </w:t>
      </w:r>
      <w:r w:rsidR="00DC6947">
        <w:rPr>
          <w:rFonts w:ascii="Arial" w:eastAsia="Calibri" w:hAnsi="Arial" w:cs="Arial"/>
          <w:bCs/>
          <w:sz w:val="22"/>
          <w:lang w:val="es-ES"/>
        </w:rPr>
        <w:t xml:space="preserve">en criterio de esta Agencia, </w:t>
      </w:r>
      <w:r w:rsidRPr="00721CE1">
        <w:rPr>
          <w:rFonts w:ascii="Arial" w:eastAsia="Calibri" w:hAnsi="Arial" w:cs="Arial"/>
          <w:bCs/>
          <w:sz w:val="22"/>
          <w:lang w:val="es-ES"/>
        </w:rPr>
        <w:t xml:space="preserve">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5A318C27" w14:textId="77777777" w:rsidR="00C37E34" w:rsidRDefault="00C37E34" w:rsidP="00C37E34">
      <w:pPr>
        <w:tabs>
          <w:tab w:val="left" w:pos="0"/>
        </w:tabs>
        <w:spacing w:after="120"/>
        <w:rPr>
          <w:rFonts w:ascii="Arial" w:eastAsia="Calibri" w:hAnsi="Arial" w:cs="Arial"/>
          <w:bCs/>
          <w:sz w:val="22"/>
          <w:lang w:val="es-ES"/>
        </w:rPr>
      </w:pPr>
      <w:r w:rsidRPr="00721CE1">
        <w:rPr>
          <w:rFonts w:ascii="Arial" w:eastAsia="Calibri" w:hAnsi="Arial" w:cs="Arial"/>
          <w:bCs/>
          <w:sz w:val="22"/>
          <w:lang w:val="es-ES"/>
        </w:rPr>
        <w:tab/>
        <w:t>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w:t>
      </w:r>
      <w:r>
        <w:rPr>
          <w:rFonts w:ascii="Arial" w:eastAsia="Calibri" w:hAnsi="Arial" w:cs="Arial"/>
          <w:bCs/>
          <w:sz w:val="22"/>
          <w:lang w:val="es-ES"/>
        </w:rPr>
        <w:t>í</w:t>
      </w:r>
      <w:r w:rsidRPr="00721CE1">
        <w:rPr>
          <w:rFonts w:ascii="Arial" w:eastAsia="Calibri" w:hAnsi="Arial" w:cs="Arial"/>
          <w:bCs/>
          <w:sz w:val="22"/>
          <w:lang w:val="es-ES"/>
        </w:rPr>
        <w:t>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p w14:paraId="12B45280" w14:textId="33EBFDDD" w:rsidR="00447400" w:rsidRPr="00721CE1" w:rsidRDefault="00F87BD1" w:rsidP="00447400">
      <w:pPr>
        <w:widowControl w:val="0"/>
        <w:autoSpaceDE w:val="0"/>
        <w:autoSpaceDN w:val="0"/>
        <w:spacing w:after="120"/>
        <w:ind w:right="108" w:firstLine="709"/>
        <w:rPr>
          <w:rFonts w:ascii="Arial" w:eastAsia="Arial" w:hAnsi="Arial" w:cs="Arial"/>
          <w:sz w:val="22"/>
          <w:lang w:val="es-ES" w:eastAsia="es-ES" w:bidi="es-ES"/>
        </w:rPr>
      </w:pPr>
      <w:r>
        <w:rPr>
          <w:rFonts w:ascii="Arial" w:eastAsia="Calibri" w:hAnsi="Arial" w:cs="Arial"/>
          <w:bCs/>
          <w:sz w:val="22"/>
          <w:lang w:val="es-ES"/>
        </w:rPr>
        <w:t>Finalmente</w:t>
      </w:r>
      <w:r w:rsidR="00510D16">
        <w:rPr>
          <w:rFonts w:ascii="Arial" w:eastAsia="Calibri" w:hAnsi="Arial" w:cs="Arial"/>
          <w:bCs/>
          <w:sz w:val="22"/>
          <w:lang w:val="es-ES"/>
        </w:rPr>
        <w:t xml:space="preserve">, </w:t>
      </w:r>
      <w:r w:rsidR="00447400" w:rsidRPr="00721CE1">
        <w:rPr>
          <w:rFonts w:ascii="Arial" w:eastAsia="Arial" w:hAnsi="Arial" w:cs="Arial"/>
          <w:sz w:val="22"/>
          <w:lang w:val="es-ES" w:eastAsia="es-ES" w:bidi="es-ES"/>
        </w:rPr>
        <w:t xml:space="preserve">en caso de que el cronograma disponga que entre la publicación de la  invitación y el  vencimiento del término para presentar ofertas, no haya más de un día hábil, no será posible expedir adendas al proceso de contratación, pues los términos contemplados en la invitación pública no podrían satisfacer lo dispuesto por el artículo 2.2.1.1.2.2.1 </w:t>
      </w:r>
      <w:r w:rsidR="00447400">
        <w:rPr>
          <w:rFonts w:ascii="Arial" w:eastAsia="Arial" w:hAnsi="Arial" w:cs="Arial"/>
          <w:sz w:val="22"/>
          <w:lang w:val="es-ES" w:eastAsia="es-ES" w:bidi="es-ES"/>
        </w:rPr>
        <w:t xml:space="preserve">y </w:t>
      </w:r>
      <w:r w:rsidR="00447400">
        <w:rPr>
          <w:rFonts w:ascii="Arial" w:eastAsia="Batang" w:hAnsi="Arial" w:cs="Arial"/>
          <w:sz w:val="22"/>
        </w:rPr>
        <w:t xml:space="preserve">el numeral 4 del artículo </w:t>
      </w:r>
      <w:r w:rsidR="00447400" w:rsidRPr="004B3B7D">
        <w:rPr>
          <w:rFonts w:ascii="Arial" w:eastAsia="Batang" w:hAnsi="Arial" w:cs="Arial"/>
          <w:sz w:val="22"/>
        </w:rPr>
        <w:t>2.2.1.2.1.5.2</w:t>
      </w:r>
      <w:r w:rsidR="00447400">
        <w:rPr>
          <w:rFonts w:ascii="Arial" w:eastAsia="Batang" w:hAnsi="Arial" w:cs="Arial"/>
          <w:sz w:val="22"/>
        </w:rPr>
        <w:t xml:space="preserve"> </w:t>
      </w:r>
      <w:r w:rsidR="00447400" w:rsidRPr="00721CE1">
        <w:rPr>
          <w:rFonts w:ascii="Arial" w:eastAsia="Arial" w:hAnsi="Arial" w:cs="Arial"/>
          <w:sz w:val="22"/>
          <w:lang w:val="es-ES" w:eastAsia="es-ES" w:bidi="es-ES"/>
        </w:rPr>
        <w:t>del Decreto 1082 de 2015</w:t>
      </w:r>
      <w:r w:rsidR="00447400">
        <w:rPr>
          <w:rFonts w:ascii="Arial" w:eastAsia="Arial" w:hAnsi="Arial" w:cs="Arial"/>
          <w:sz w:val="22"/>
          <w:lang w:val="es-ES" w:eastAsia="es-ES" w:bidi="es-ES"/>
        </w:rPr>
        <w:t>. P</w:t>
      </w:r>
      <w:r w:rsidR="00447400" w:rsidRPr="00721CE1">
        <w:rPr>
          <w:rFonts w:ascii="Arial" w:eastAsia="Arial" w:hAnsi="Arial" w:cs="Arial"/>
          <w:sz w:val="22"/>
          <w:lang w:val="es-ES" w:eastAsia="es-ES" w:bidi="es-ES"/>
        </w:rPr>
        <w:t>or ende una adenda realizada en dichas condiciones contrariaría directamente una disposición</w:t>
      </w:r>
      <w:r w:rsidR="00447400" w:rsidRPr="00721CE1">
        <w:rPr>
          <w:rFonts w:ascii="Arial" w:eastAsia="Arial" w:hAnsi="Arial" w:cs="Arial"/>
          <w:spacing w:val="-21"/>
          <w:sz w:val="22"/>
          <w:lang w:val="es-ES" w:eastAsia="es-ES" w:bidi="es-ES"/>
        </w:rPr>
        <w:t xml:space="preserve"> </w:t>
      </w:r>
      <w:r w:rsidR="00447400" w:rsidRPr="00721CE1">
        <w:rPr>
          <w:rFonts w:ascii="Arial" w:eastAsia="Arial" w:hAnsi="Arial" w:cs="Arial"/>
          <w:sz w:val="22"/>
          <w:lang w:val="es-ES" w:eastAsia="es-ES" w:bidi="es-ES"/>
        </w:rPr>
        <w:t>legal.</w:t>
      </w:r>
    </w:p>
    <w:p w14:paraId="5410AF75" w14:textId="2ACDA17D" w:rsidR="002B088C" w:rsidRPr="008143A5" w:rsidRDefault="00447400" w:rsidP="00447400">
      <w:pPr>
        <w:widowControl w:val="0"/>
        <w:autoSpaceDE w:val="0"/>
        <w:autoSpaceDN w:val="0"/>
        <w:spacing w:before="1" w:after="0"/>
        <w:rPr>
          <w:rFonts w:ascii="Arial" w:eastAsia="Arial" w:hAnsi="Arial" w:cs="Arial"/>
          <w:sz w:val="22"/>
          <w:lang w:val="es-ES" w:eastAsia="es-ES" w:bidi="es-ES"/>
        </w:rPr>
      </w:pPr>
      <w:r w:rsidRPr="00721CE1">
        <w:rPr>
          <w:rFonts w:ascii="Arial" w:eastAsia="Arial" w:hAnsi="Arial" w:cs="Arial"/>
          <w:sz w:val="22"/>
          <w:lang w:val="es-ES" w:eastAsia="es-ES" w:bidi="es-ES"/>
        </w:rPr>
        <w:tab/>
        <w:t xml:space="preserve">En ese sentido, para que sea posible la expedición de adendas en un proceso de mínima cuantía, se requiere que entre la publicación de la invitación y el vencimiento del plazo para presentar ofertas medie más de un día hábil, de tal manera que puedan cumplirse los presupuestos establecidos en el </w:t>
      </w:r>
      <w:r w:rsidRPr="00721CE1">
        <w:rPr>
          <w:rFonts w:ascii="Arial" w:eastAsia="Arial" w:hAnsi="Arial" w:cs="Arial"/>
          <w:sz w:val="22"/>
          <w:lang w:eastAsia="es-ES" w:bidi="es-ES"/>
        </w:rPr>
        <w:t>artículo 2.2.1.1.2.2.1</w:t>
      </w:r>
      <w:r>
        <w:rPr>
          <w:rFonts w:ascii="Arial" w:eastAsia="Arial" w:hAnsi="Arial" w:cs="Arial"/>
          <w:sz w:val="22"/>
          <w:lang w:eastAsia="es-ES" w:bidi="es-ES"/>
        </w:rPr>
        <w:t xml:space="preserve"> y en </w:t>
      </w:r>
      <w:r>
        <w:rPr>
          <w:rFonts w:ascii="Arial" w:eastAsia="Batang" w:hAnsi="Arial" w:cs="Arial"/>
          <w:sz w:val="22"/>
        </w:rPr>
        <w:t xml:space="preserve">el numeral 4 del artículo </w:t>
      </w:r>
      <w:r w:rsidRPr="004B3B7D">
        <w:rPr>
          <w:rFonts w:ascii="Arial" w:eastAsia="Batang" w:hAnsi="Arial" w:cs="Arial"/>
          <w:sz w:val="22"/>
        </w:rPr>
        <w:t>2.2.1.2.1.5.2</w:t>
      </w:r>
      <w:r w:rsidRPr="00721CE1">
        <w:rPr>
          <w:rFonts w:ascii="Arial" w:eastAsia="Arial" w:hAnsi="Arial" w:cs="Arial"/>
          <w:sz w:val="22"/>
          <w:lang w:eastAsia="es-ES" w:bidi="es-ES"/>
        </w:rPr>
        <w:t xml:space="preserve"> del Decreto 1082 de 2015 para su expedición</w:t>
      </w:r>
      <w:r w:rsidR="00510D16" w:rsidRPr="00721CE1">
        <w:rPr>
          <w:rFonts w:ascii="Arial" w:eastAsia="Batang" w:hAnsi="Arial" w:cs="Arial"/>
          <w:sz w:val="22"/>
        </w:rPr>
        <w:t>.</w:t>
      </w:r>
      <w:r w:rsidR="00510D16">
        <w:rPr>
          <w:rFonts w:ascii="Arial" w:eastAsia="Batang" w:hAnsi="Arial" w:cs="Arial"/>
          <w:sz w:val="22"/>
        </w:rPr>
        <w:t xml:space="preserve"> </w:t>
      </w:r>
    </w:p>
    <w:p w14:paraId="302C14BC" w14:textId="77777777" w:rsidR="00B672E6" w:rsidRPr="00DA3080" w:rsidRDefault="00B672E6" w:rsidP="00BF0F70">
      <w:pPr>
        <w:pStyle w:val="NormalWeb"/>
        <w:spacing w:before="0" w:beforeAutospacing="0" w:after="120" w:afterAutospacing="0"/>
        <w:ind w:right="567"/>
        <w:rPr>
          <w:rFonts w:ascii="ArialMT" w:hAnsi="ArialMT"/>
          <w:sz w:val="21"/>
          <w:szCs w:val="21"/>
          <w:lang w:eastAsia="es-ES_tradnl"/>
        </w:rPr>
      </w:pPr>
    </w:p>
    <w:p w14:paraId="2222029F" w14:textId="4EDED5CD" w:rsidR="00D45D43" w:rsidRPr="00DA3080" w:rsidRDefault="00D45D43" w:rsidP="00001D47">
      <w:pPr>
        <w:spacing w:after="0"/>
        <w:rPr>
          <w:rFonts w:ascii="Arial" w:eastAsia="Calibri" w:hAnsi="Arial" w:cs="Arial"/>
          <w:sz w:val="22"/>
          <w:lang w:val="es-CO"/>
        </w:rPr>
      </w:pPr>
      <w:r w:rsidRPr="00DA3080">
        <w:rPr>
          <w:rFonts w:ascii="Arial" w:eastAsia="Calibri" w:hAnsi="Arial" w:cs="Arial"/>
          <w:sz w:val="22"/>
          <w:lang w:val="es-CO"/>
        </w:rPr>
        <w:t>Este concepto tiene el alcance previsto en el artículo 28 del Código de Procedimiento Administrativo y de lo Contencioso Administrativo.</w:t>
      </w:r>
    </w:p>
    <w:p w14:paraId="0DCB5B04" w14:textId="77777777" w:rsidR="00D45D43" w:rsidRPr="00DA3080" w:rsidRDefault="00D45D43" w:rsidP="00001D47">
      <w:pPr>
        <w:spacing w:after="0"/>
        <w:jc w:val="left"/>
        <w:rPr>
          <w:rFonts w:ascii="Arial" w:eastAsia="Times New Roman" w:hAnsi="Arial" w:cs="Arial"/>
          <w:sz w:val="22"/>
          <w:lang w:val="es-CO" w:eastAsia="es-CO"/>
        </w:rPr>
      </w:pPr>
    </w:p>
    <w:p w14:paraId="4D6F6658" w14:textId="77777777" w:rsidR="00D45D43" w:rsidRPr="00DA3080" w:rsidRDefault="00D45D43" w:rsidP="00001D47">
      <w:pPr>
        <w:spacing w:after="0"/>
        <w:jc w:val="left"/>
        <w:rPr>
          <w:rFonts w:ascii="Arial" w:eastAsia="Times New Roman" w:hAnsi="Arial" w:cs="Arial"/>
          <w:sz w:val="22"/>
          <w:lang w:val="es-CO" w:eastAsia="es-CO"/>
        </w:rPr>
      </w:pPr>
      <w:r w:rsidRPr="00DA3080">
        <w:rPr>
          <w:rFonts w:ascii="Arial" w:eastAsia="Times New Roman" w:hAnsi="Arial" w:cs="Arial"/>
          <w:sz w:val="22"/>
          <w:lang w:val="es-CO" w:eastAsia="es-CO"/>
        </w:rPr>
        <w:t>Atentamente,</w:t>
      </w:r>
    </w:p>
    <w:p w14:paraId="45B61928" w14:textId="77777777" w:rsidR="00D45D43" w:rsidRPr="00DA3080" w:rsidRDefault="00D45D43" w:rsidP="00001D47">
      <w:pPr>
        <w:spacing w:after="0"/>
        <w:jc w:val="left"/>
        <w:rPr>
          <w:rFonts w:ascii="Arial" w:eastAsia="Times New Roman" w:hAnsi="Arial" w:cs="Arial"/>
          <w:sz w:val="22"/>
          <w:lang w:val="es-CO" w:eastAsia="es-CO"/>
        </w:rPr>
      </w:pPr>
    </w:p>
    <w:p w14:paraId="10C58370" w14:textId="29261A0D" w:rsidR="00D45D43" w:rsidRPr="00DA3080" w:rsidRDefault="006147C1" w:rsidP="00001D47">
      <w:pPr>
        <w:spacing w:after="0"/>
        <w:jc w:val="center"/>
        <w:rPr>
          <w:rFonts w:ascii="Arial" w:eastAsia="Times New Roman" w:hAnsi="Arial" w:cs="Arial"/>
          <w:sz w:val="18"/>
          <w:szCs w:val="20"/>
          <w:lang w:val="es-CO" w:eastAsia="es-CO"/>
        </w:rPr>
      </w:pPr>
      <w:r>
        <w:rPr>
          <w:rFonts w:ascii="Arial" w:hAnsi="Arial" w:cs="Arial"/>
          <w:noProof/>
          <w:color w:val="000000" w:themeColor="text1"/>
          <w:lang w:val="es-ES_tradnl"/>
        </w:rPr>
        <w:drawing>
          <wp:inline distT="0" distB="0" distL="0" distR="0" wp14:anchorId="35C22756" wp14:editId="746BD413">
            <wp:extent cx="2514600" cy="11144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45D43" w:rsidRPr="00DA3080" w14:paraId="1F740260" w14:textId="77777777" w:rsidTr="00296985">
        <w:trPr>
          <w:trHeight w:val="315"/>
        </w:trPr>
        <w:tc>
          <w:tcPr>
            <w:tcW w:w="488" w:type="dxa"/>
            <w:vAlign w:val="center"/>
            <w:hideMark/>
          </w:tcPr>
          <w:p w14:paraId="04500E5F" w14:textId="77777777" w:rsidR="00D45D43" w:rsidRPr="00DA3080" w:rsidRDefault="00D45D43" w:rsidP="00BF0F70">
            <w:pPr>
              <w:spacing w:after="0" w:line="240" w:lineRule="auto"/>
              <w:rPr>
                <w:rFonts w:ascii="Arial" w:hAnsi="Arial" w:cs="Arial"/>
                <w:sz w:val="16"/>
                <w:szCs w:val="16"/>
                <w:lang w:val="es-CO" w:eastAsia="es-ES"/>
              </w:rPr>
            </w:pPr>
            <w:r w:rsidRPr="00DA3080">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E440C36" w14:textId="77777777" w:rsidR="00D45D43" w:rsidRPr="00DA3080" w:rsidRDefault="00D45D43" w:rsidP="00BF0F70">
            <w:pPr>
              <w:spacing w:after="0" w:line="240" w:lineRule="auto"/>
              <w:rPr>
                <w:rFonts w:ascii="Arial" w:hAnsi="Arial" w:cs="Arial"/>
                <w:sz w:val="16"/>
                <w:szCs w:val="16"/>
                <w:lang w:val="es-CO" w:eastAsia="es-ES"/>
              </w:rPr>
            </w:pPr>
          </w:p>
          <w:p w14:paraId="6F78D63C" w14:textId="420FC4F0" w:rsidR="00894305" w:rsidRPr="00DA3080" w:rsidRDefault="0068025E" w:rsidP="00894305">
            <w:pPr>
              <w:spacing w:after="0" w:line="240" w:lineRule="auto"/>
              <w:rPr>
                <w:rFonts w:ascii="Arial" w:hAnsi="Arial" w:cs="Arial"/>
                <w:sz w:val="16"/>
                <w:szCs w:val="16"/>
                <w:lang w:val="es-CO" w:eastAsia="es-ES"/>
              </w:rPr>
            </w:pPr>
            <w:r>
              <w:rPr>
                <w:rFonts w:ascii="Arial" w:hAnsi="Arial" w:cs="Arial"/>
                <w:sz w:val="16"/>
                <w:szCs w:val="16"/>
                <w:lang w:val="es-CO" w:eastAsia="es-ES"/>
              </w:rPr>
              <w:t>Kevin Arlid Herrera Santa</w:t>
            </w:r>
          </w:p>
          <w:p w14:paraId="6B405E71" w14:textId="2EFD1AD7" w:rsidR="00D45D43" w:rsidRPr="00DA3080" w:rsidRDefault="00916A99" w:rsidP="00894305">
            <w:pPr>
              <w:spacing w:after="0" w:line="240" w:lineRule="auto"/>
              <w:rPr>
                <w:rFonts w:ascii="Arial" w:hAnsi="Arial" w:cs="Arial"/>
                <w:sz w:val="16"/>
                <w:szCs w:val="16"/>
                <w:lang w:val="es-CO" w:eastAsia="es-ES"/>
              </w:rPr>
            </w:pPr>
            <w:r>
              <w:rPr>
                <w:rFonts w:ascii="Arial" w:hAnsi="Arial" w:cs="Arial"/>
                <w:sz w:val="16"/>
                <w:szCs w:val="16"/>
                <w:lang w:val="es-CO" w:eastAsia="es-ES"/>
              </w:rPr>
              <w:t>Analista T2-04</w:t>
            </w:r>
            <w:r w:rsidR="00894305" w:rsidRPr="00CB24B4">
              <w:rPr>
                <w:rFonts w:ascii="Arial" w:hAnsi="Arial" w:cs="Arial"/>
                <w:sz w:val="16"/>
                <w:szCs w:val="16"/>
                <w:lang w:val="es-CO" w:eastAsia="es-ES"/>
              </w:rPr>
              <w:t xml:space="preserve"> </w:t>
            </w:r>
            <w:r w:rsidR="00894305" w:rsidRPr="00DA3080">
              <w:rPr>
                <w:rFonts w:ascii="Arial" w:hAnsi="Arial" w:cs="Arial"/>
                <w:sz w:val="16"/>
                <w:szCs w:val="16"/>
                <w:lang w:val="es-CO" w:eastAsia="es-ES"/>
              </w:rPr>
              <w:t>de la Subdirección de Gestión Contractual</w:t>
            </w:r>
          </w:p>
        </w:tc>
      </w:tr>
      <w:tr w:rsidR="00D45D43" w:rsidRPr="00DA3080" w14:paraId="603F1EFA" w14:textId="77777777" w:rsidTr="00296985">
        <w:trPr>
          <w:trHeight w:val="330"/>
        </w:trPr>
        <w:tc>
          <w:tcPr>
            <w:tcW w:w="488" w:type="dxa"/>
            <w:vAlign w:val="center"/>
            <w:hideMark/>
          </w:tcPr>
          <w:p w14:paraId="408BD0F3" w14:textId="77777777" w:rsidR="00D45D43" w:rsidRPr="00DA3080" w:rsidRDefault="00D45D43" w:rsidP="00BF0F70">
            <w:pPr>
              <w:spacing w:after="0" w:line="240" w:lineRule="auto"/>
              <w:rPr>
                <w:rFonts w:ascii="Arial" w:hAnsi="Arial" w:cs="Arial"/>
                <w:sz w:val="16"/>
                <w:szCs w:val="16"/>
                <w:lang w:val="es-CO" w:eastAsia="es-ES"/>
              </w:rPr>
            </w:pPr>
            <w:r w:rsidRPr="00DA3080">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DE651B" w14:textId="25AE1B4E" w:rsidR="00894305" w:rsidRPr="00DA3080" w:rsidRDefault="00894305" w:rsidP="00894305">
            <w:pPr>
              <w:spacing w:after="0"/>
              <w:rPr>
                <w:rFonts w:ascii="Arial" w:hAnsi="Arial" w:cs="Arial"/>
                <w:sz w:val="16"/>
                <w:szCs w:val="16"/>
                <w:lang w:val="es-CO" w:eastAsia="es-ES"/>
              </w:rPr>
            </w:pPr>
            <w:r w:rsidRPr="00DA3080">
              <w:rPr>
                <w:rFonts w:ascii="Arial" w:hAnsi="Arial" w:cs="Arial"/>
                <w:sz w:val="16"/>
                <w:szCs w:val="16"/>
                <w:lang w:val="es-CO" w:eastAsia="es-ES"/>
              </w:rPr>
              <w:t>J</w:t>
            </w:r>
            <w:r w:rsidR="00916A99">
              <w:rPr>
                <w:rFonts w:ascii="Arial" w:hAnsi="Arial" w:cs="Arial"/>
                <w:sz w:val="16"/>
                <w:szCs w:val="16"/>
                <w:lang w:val="es-CO" w:eastAsia="es-ES"/>
              </w:rPr>
              <w:t>uan David Montoya Penagos</w:t>
            </w:r>
          </w:p>
          <w:p w14:paraId="63C6E4A9" w14:textId="644CBC8B" w:rsidR="009D19F6" w:rsidRPr="00DA3080" w:rsidRDefault="00916A99" w:rsidP="00894305">
            <w:pPr>
              <w:spacing w:after="0" w:line="240" w:lineRule="auto"/>
              <w:rPr>
                <w:rFonts w:ascii="Arial" w:hAnsi="Arial" w:cs="Arial"/>
                <w:sz w:val="14"/>
                <w:szCs w:val="14"/>
                <w:lang w:eastAsia="es-ES"/>
              </w:rPr>
            </w:pPr>
            <w:r>
              <w:rPr>
                <w:rFonts w:ascii="Arial" w:hAnsi="Arial" w:cs="Arial"/>
                <w:sz w:val="16"/>
                <w:szCs w:val="16"/>
                <w:lang w:val="es-CO" w:eastAsia="es-ES"/>
              </w:rPr>
              <w:t>Gestor T1-15</w:t>
            </w:r>
            <w:r w:rsidR="00894305" w:rsidRPr="00DA3080">
              <w:rPr>
                <w:rFonts w:ascii="Arial" w:hAnsi="Arial" w:cs="Arial"/>
                <w:sz w:val="16"/>
                <w:szCs w:val="16"/>
                <w:lang w:val="es-CO" w:eastAsia="es-ES"/>
              </w:rPr>
              <w:t xml:space="preserve"> de</w:t>
            </w:r>
            <w:r w:rsidR="00C47BDD">
              <w:rPr>
                <w:rFonts w:ascii="Arial" w:hAnsi="Arial" w:cs="Arial"/>
                <w:sz w:val="16"/>
                <w:szCs w:val="16"/>
                <w:lang w:val="es-CO" w:eastAsia="es-ES"/>
              </w:rPr>
              <w:t xml:space="preserve"> la Subdirección</w:t>
            </w:r>
            <w:r w:rsidR="00894305" w:rsidRPr="00DA3080">
              <w:rPr>
                <w:rFonts w:ascii="Arial" w:hAnsi="Arial" w:cs="Arial"/>
                <w:sz w:val="16"/>
                <w:szCs w:val="16"/>
                <w:lang w:val="es-CO" w:eastAsia="es-ES"/>
              </w:rPr>
              <w:t xml:space="preserve"> Gestión Contractual</w:t>
            </w:r>
          </w:p>
        </w:tc>
      </w:tr>
      <w:tr w:rsidR="00D45D43" w:rsidRPr="00776DC6" w14:paraId="3A3731EA" w14:textId="77777777" w:rsidTr="00296985">
        <w:trPr>
          <w:trHeight w:val="300"/>
        </w:trPr>
        <w:tc>
          <w:tcPr>
            <w:tcW w:w="488" w:type="dxa"/>
            <w:vAlign w:val="center"/>
            <w:hideMark/>
          </w:tcPr>
          <w:p w14:paraId="70945920" w14:textId="77777777" w:rsidR="00D45D43" w:rsidRPr="00DA3080" w:rsidRDefault="00D45D43" w:rsidP="00BF0F70">
            <w:pPr>
              <w:spacing w:after="0" w:line="240" w:lineRule="auto"/>
              <w:rPr>
                <w:rFonts w:ascii="Arial" w:hAnsi="Arial" w:cs="Arial"/>
                <w:sz w:val="16"/>
                <w:szCs w:val="16"/>
                <w:lang w:val="es-CO" w:eastAsia="es-ES"/>
              </w:rPr>
            </w:pPr>
            <w:r w:rsidRPr="00DA3080">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C5F1EA" w14:textId="77777777" w:rsidR="003F267E" w:rsidRPr="00DA3080" w:rsidRDefault="003F267E" w:rsidP="003F267E">
            <w:pPr>
              <w:spacing w:after="0"/>
              <w:rPr>
                <w:rFonts w:ascii="Arial" w:hAnsi="Arial" w:cs="Arial"/>
                <w:sz w:val="16"/>
                <w:szCs w:val="16"/>
                <w:lang w:val="es-CO" w:eastAsia="es-ES"/>
              </w:rPr>
            </w:pPr>
            <w:r w:rsidRPr="00DA3080">
              <w:rPr>
                <w:rFonts w:ascii="Arial" w:hAnsi="Arial" w:cs="Arial"/>
                <w:sz w:val="16"/>
                <w:szCs w:val="16"/>
                <w:lang w:val="es-CO" w:eastAsia="es-ES"/>
              </w:rPr>
              <w:t>Jorge Augusto Tirado Navarro</w:t>
            </w:r>
          </w:p>
          <w:p w14:paraId="622B826B" w14:textId="6EDE79A5" w:rsidR="00D45D43" w:rsidRPr="00776DC6" w:rsidRDefault="003F267E" w:rsidP="003F267E">
            <w:pPr>
              <w:spacing w:after="0" w:line="240" w:lineRule="auto"/>
              <w:rPr>
                <w:rFonts w:ascii="Arial" w:hAnsi="Arial" w:cs="Arial"/>
                <w:sz w:val="16"/>
                <w:szCs w:val="16"/>
                <w:lang w:val="es-CO" w:eastAsia="es-ES"/>
              </w:rPr>
            </w:pPr>
            <w:r w:rsidRPr="00DA3080">
              <w:rPr>
                <w:rFonts w:ascii="Arial" w:hAnsi="Arial" w:cs="Arial"/>
                <w:sz w:val="16"/>
                <w:szCs w:val="16"/>
                <w:lang w:val="es-CO" w:eastAsia="es-ES"/>
              </w:rPr>
              <w:t>Subdirector de Gestión Contractual ANCP – CCE</w:t>
            </w:r>
          </w:p>
        </w:tc>
      </w:tr>
      <w:bookmarkEnd w:id="9"/>
    </w:tbl>
    <w:p w14:paraId="5F0DA489" w14:textId="6B213F57" w:rsidR="00C14ADB" w:rsidRPr="003121C9" w:rsidRDefault="00C14ADB" w:rsidP="002C4226">
      <w:pPr>
        <w:spacing w:after="0"/>
        <w:rPr>
          <w:rFonts w:ascii="Arial" w:eastAsia="Times New Roman" w:hAnsi="Arial" w:cs="Arial"/>
          <w:sz w:val="22"/>
          <w:lang w:val="es-CO" w:eastAsia="es-CO"/>
        </w:rPr>
      </w:pPr>
    </w:p>
    <w:sectPr w:rsidR="00C14ADB" w:rsidRPr="003121C9"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9EB5" w14:textId="77777777" w:rsidR="009C0400" w:rsidRDefault="009C0400" w:rsidP="00D45D43">
      <w:pPr>
        <w:spacing w:after="0" w:line="240" w:lineRule="auto"/>
      </w:pPr>
      <w:r>
        <w:separator/>
      </w:r>
    </w:p>
  </w:endnote>
  <w:endnote w:type="continuationSeparator" w:id="0">
    <w:p w14:paraId="1FFDACF7" w14:textId="77777777" w:rsidR="009C0400" w:rsidRDefault="009C0400" w:rsidP="00D4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42AB" w14:textId="77777777" w:rsidR="00412132" w:rsidRPr="005A79FE" w:rsidRDefault="00367C5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19605E15" w14:textId="77777777" w:rsidR="00412132" w:rsidRDefault="00367C52" w:rsidP="007B0854">
    <w:pPr>
      <w:pStyle w:val="Piedepgina"/>
      <w:jc w:val="center"/>
      <w:rPr>
        <w:lang w:val="es-ES"/>
      </w:rPr>
    </w:pPr>
    <w:r>
      <w:rPr>
        <w:noProof/>
        <w:lang w:val="es-CO" w:eastAsia="es-CO"/>
      </w:rPr>
      <w:drawing>
        <wp:inline distT="0" distB="0" distL="0" distR="0" wp14:anchorId="2669E843" wp14:editId="480006B7">
          <wp:extent cx="4241994" cy="595165"/>
          <wp:effectExtent l="0" t="0" r="6350" b="0"/>
          <wp:docPr id="1833779586" name="Imagen 183377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1061BCE" w14:textId="77777777" w:rsidR="00412132" w:rsidRDefault="00F3311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3CD4" w14:textId="77777777" w:rsidR="009C0400" w:rsidRDefault="009C0400" w:rsidP="00D45D43">
      <w:pPr>
        <w:spacing w:after="0" w:line="240" w:lineRule="auto"/>
      </w:pPr>
      <w:r>
        <w:separator/>
      </w:r>
    </w:p>
  </w:footnote>
  <w:footnote w:type="continuationSeparator" w:id="0">
    <w:p w14:paraId="40107F4C" w14:textId="77777777" w:rsidR="009C0400" w:rsidRDefault="009C0400" w:rsidP="00D45D43">
      <w:pPr>
        <w:spacing w:after="0" w:line="240" w:lineRule="auto"/>
      </w:pPr>
      <w:r>
        <w:continuationSeparator/>
      </w:r>
    </w:p>
  </w:footnote>
  <w:footnote w:id="1">
    <w:p w14:paraId="51755D77" w14:textId="40131742" w:rsidR="00CD12E2" w:rsidRPr="000257EA" w:rsidRDefault="00CD12E2" w:rsidP="00F936A4">
      <w:pPr>
        <w:pStyle w:val="Textonotapie"/>
        <w:spacing w:after="0" w:line="240" w:lineRule="auto"/>
        <w:ind w:firstLine="709"/>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w:t>
      </w:r>
      <w:r w:rsidR="00D71296">
        <w:rPr>
          <w:rFonts w:ascii="Arial" w:hAnsi="Arial" w:cs="Arial"/>
          <w:color w:val="000000" w:themeColor="text1"/>
          <w:sz w:val="19"/>
          <w:szCs w:val="19"/>
          <w:lang w:val="es-ES_tradnl"/>
        </w:rPr>
        <w:t xml:space="preserve">La regla vigente sobre la contratación de mínima cuantía contenida en el numeral 5 del artículo 2 de la Ley 1150 de 2007, es la siguiente: «5. </w:t>
      </w:r>
      <w:r w:rsidR="00CA5B71">
        <w:rPr>
          <w:rFonts w:ascii="Arial" w:hAnsi="Arial" w:cs="Arial"/>
          <w:color w:val="000000" w:themeColor="text1"/>
          <w:sz w:val="19"/>
          <w:szCs w:val="19"/>
          <w:lang w:val="es-ES_tradnl"/>
        </w:rPr>
        <w:t xml:space="preserve">Contratación mínima cuantía. </w:t>
      </w:r>
      <w:r w:rsidRPr="000257EA">
        <w:rPr>
          <w:rFonts w:ascii="Arial" w:hAnsi="Arial" w:cs="Arial"/>
          <w:color w:val="000000" w:themeColor="text1"/>
          <w:sz w:val="19"/>
          <w:szCs w:val="19"/>
          <w:lang w:val="es-ES_tradnl"/>
        </w:rPr>
        <w:t>La contratación cuyo valor no excede del 10 por ciento de la menor cuantía de la entidad independientemente de su objeto, se efectuará de conformidad con las siguientes reglas:</w:t>
      </w:r>
    </w:p>
    <w:p w14:paraId="1E8F8C3A" w14:textId="77777777" w:rsidR="00CD12E2" w:rsidRPr="000257EA" w:rsidRDefault="00CD12E2" w:rsidP="00F936A4">
      <w:pPr>
        <w:pStyle w:val="Textonotapie"/>
        <w:spacing w:after="0" w:line="240" w:lineRule="auto"/>
        <w:ind w:firstLine="709"/>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»a) Se publicará una invitación, por un término no inferior a un día hábil, en la cual se señalará el objeto a contratar, el presupuesto destinado para tal fin, así como las condiciones técnicas exigidas;</w:t>
      </w:r>
    </w:p>
    <w:p w14:paraId="0403596D" w14:textId="77777777" w:rsidR="00CD12E2" w:rsidRPr="000257EA" w:rsidRDefault="00CD12E2" w:rsidP="00F936A4">
      <w:pPr>
        <w:pStyle w:val="Textonotapie"/>
        <w:spacing w:after="0" w:line="240" w:lineRule="auto"/>
        <w:ind w:firstLine="709"/>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»b) El término previsto en la invitación para presentar la oferta no podrá ser inferior a un día hábil;</w:t>
      </w:r>
    </w:p>
    <w:p w14:paraId="0F8A6199" w14:textId="77777777" w:rsidR="00CD12E2" w:rsidRPr="000257EA" w:rsidRDefault="00CD12E2" w:rsidP="00F936A4">
      <w:pPr>
        <w:pStyle w:val="Textonotapie"/>
        <w:spacing w:after="0" w:line="240" w:lineRule="auto"/>
        <w:ind w:firstLine="709"/>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»c) La entidad seleccionará, mediante comunicación de aceptación de la oferta, la propuesta con el menor precio, siempre y cuando cumpla con las condiciones exigidas;</w:t>
      </w:r>
    </w:p>
    <w:p w14:paraId="4ACEEA7F" w14:textId="77777777" w:rsidR="00CD12E2" w:rsidRPr="000257EA" w:rsidRDefault="00CD12E2" w:rsidP="00F936A4">
      <w:pPr>
        <w:pStyle w:val="Textonotapie"/>
        <w:spacing w:after="0" w:line="240" w:lineRule="auto"/>
        <w:ind w:firstLine="709"/>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»d) La comunicación de aceptación junto con la oferta constituyen para todos los efectos el contrato celebrado, con base en lo cual se efectuará el respectivo registro presupuestal.</w:t>
      </w:r>
    </w:p>
    <w:p w14:paraId="09B36EA9" w14:textId="5F535C6F" w:rsidR="007B54CE" w:rsidRPr="007B54CE" w:rsidRDefault="00CD12E2" w:rsidP="00F936A4">
      <w:pPr>
        <w:pStyle w:val="Textonotapie"/>
        <w:spacing w:after="0" w:line="240" w:lineRule="auto"/>
        <w:ind w:firstLine="709"/>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w:t>
      </w:r>
      <w:r w:rsidR="00CA5B71">
        <w:t>Parágrafo</w:t>
      </w:r>
      <w:r w:rsidR="007B54CE" w:rsidRPr="007B54CE">
        <w:rPr>
          <w:rFonts w:ascii="Arial" w:hAnsi="Arial" w:cs="Arial"/>
          <w:color w:val="000000" w:themeColor="text1"/>
          <w:sz w:val="19"/>
          <w:szCs w:val="19"/>
          <w:lang w:val="es-ES_tradnl"/>
        </w:rPr>
        <w:t xml:space="preserve"> 1o. Las particularidades del procedimiento aquí previsto, así como la posibilidad que tengan las entidades de realizar estas adquisiciones a Mlpymes o establecimientos que correspondan a la definición de "gran almacén" señalada por la Superintendencia de Industria y Comercio, se determinarán en el reglamento que para el efecto expida el Gobierno Nacional.</w:t>
      </w:r>
    </w:p>
    <w:p w14:paraId="478C4BA1" w14:textId="307BB58B" w:rsidR="00CD12E2" w:rsidRPr="000257EA" w:rsidRDefault="007B54CE" w:rsidP="00F936A4">
      <w:pPr>
        <w:pStyle w:val="Textonotapie"/>
        <w:spacing w:after="0" w:line="240" w:lineRule="auto"/>
        <w:ind w:firstLine="709"/>
        <w:rPr>
          <w:rFonts w:ascii="Arial" w:hAnsi="Arial" w:cs="Arial"/>
          <w:color w:val="000000" w:themeColor="text1"/>
          <w:sz w:val="19"/>
          <w:szCs w:val="19"/>
          <w:lang w:val="es-ES_tradnl"/>
        </w:rPr>
      </w:pPr>
      <w:r>
        <w:rPr>
          <w:rFonts w:ascii="Arial" w:hAnsi="Arial" w:cs="Arial"/>
          <w:color w:val="000000" w:themeColor="text1"/>
          <w:sz w:val="19"/>
          <w:szCs w:val="19"/>
          <w:lang w:val="es-ES_tradnl"/>
        </w:rPr>
        <w:t>»</w:t>
      </w:r>
      <w:r w:rsidRPr="007B54CE">
        <w:rPr>
          <w:rFonts w:ascii="Arial" w:hAnsi="Arial" w:cs="Arial"/>
          <w:color w:val="000000" w:themeColor="text1"/>
          <w:sz w:val="19"/>
          <w:szCs w:val="19"/>
          <w:lang w:val="es-ES_tradnl"/>
        </w:rPr>
        <w:t>P</w:t>
      </w:r>
      <w:r w:rsidR="00EA7CC1">
        <w:rPr>
          <w:rFonts w:ascii="Arial" w:hAnsi="Arial" w:cs="Arial"/>
          <w:color w:val="000000" w:themeColor="text1"/>
          <w:sz w:val="19"/>
          <w:szCs w:val="19"/>
          <w:lang w:val="es-ES_tradnl"/>
        </w:rPr>
        <w:t>arágrafo</w:t>
      </w:r>
      <w:r w:rsidRPr="007B54CE">
        <w:rPr>
          <w:rFonts w:ascii="Arial" w:hAnsi="Arial" w:cs="Arial"/>
          <w:color w:val="000000" w:themeColor="text1"/>
          <w:sz w:val="19"/>
          <w:szCs w:val="19"/>
          <w:lang w:val="es-ES_tradnl"/>
        </w:rPr>
        <w:t xml:space="preserve"> 2o. La contratación a que se refiere el presente artículo se realizará exclusivamente con las reglas en él contempladas y en su reglamentación. En particular no se aplicará lo previsto en la Ley 816 de 2003</w:t>
      </w:r>
      <w:r>
        <w:rPr>
          <w:rFonts w:ascii="Arial" w:hAnsi="Arial" w:cs="Arial"/>
          <w:color w:val="000000" w:themeColor="text1"/>
          <w:sz w:val="19"/>
          <w:szCs w:val="19"/>
          <w:lang w:val="es-ES_tradnl"/>
        </w:rPr>
        <w:t>»</w:t>
      </w:r>
      <w:r w:rsidRPr="007B54CE">
        <w:rPr>
          <w:rFonts w:ascii="Arial" w:hAnsi="Arial" w:cs="Arial"/>
          <w:color w:val="000000" w:themeColor="text1"/>
          <w:sz w:val="19"/>
          <w:szCs w:val="19"/>
          <w:lang w:val="es-ES_tradnl"/>
        </w:rPr>
        <w:t>.</w:t>
      </w:r>
    </w:p>
  </w:footnote>
  <w:footnote w:id="2">
    <w:p w14:paraId="27BA5941" w14:textId="51D23FBB" w:rsidR="00CD12E2" w:rsidRPr="000257EA" w:rsidRDefault="00CD12E2" w:rsidP="00243E89">
      <w:pPr>
        <w:pStyle w:val="Textonotapie"/>
        <w:spacing w:after="0"/>
        <w:ind w:firstLine="709"/>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Esto lo ratifica el artículo 2.2.1.2.1.5.2. del Decreto 1082 de 2015.</w:t>
      </w:r>
    </w:p>
  </w:footnote>
  <w:footnote w:id="3">
    <w:p w14:paraId="74BCDE1C" w14:textId="09313B5B" w:rsidR="00CD12E2" w:rsidRPr="000257EA" w:rsidRDefault="00CD12E2" w:rsidP="00F936A4">
      <w:pPr>
        <w:pStyle w:val="Textonotapie"/>
        <w:spacing w:line="240" w:lineRule="auto"/>
        <w:ind w:firstLine="709"/>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DÁVILA VINUEZA, Luis Guillermo. Régimen jurídico de la contra</w:t>
      </w:r>
      <w:r w:rsidR="00243E89">
        <w:rPr>
          <w:rFonts w:ascii="Arial" w:hAnsi="Arial" w:cs="Arial"/>
          <w:color w:val="000000" w:themeColor="text1"/>
          <w:sz w:val="19"/>
          <w:szCs w:val="19"/>
          <w:lang w:val="es-ES_tradnl"/>
        </w:rPr>
        <w:t>t</w:t>
      </w:r>
      <w:r w:rsidRPr="000257EA">
        <w:rPr>
          <w:rFonts w:ascii="Arial" w:hAnsi="Arial" w:cs="Arial"/>
          <w:color w:val="000000" w:themeColor="text1"/>
          <w:sz w:val="19"/>
          <w:szCs w:val="19"/>
          <w:lang w:val="es-ES_tradnl"/>
        </w:rPr>
        <w:t>ación estatal. 3ª ed. Bogotá: Legis, 2016. p. 463.</w:t>
      </w:r>
    </w:p>
  </w:footnote>
  <w:footnote w:id="4">
    <w:p w14:paraId="2E171A47" w14:textId="77777777" w:rsidR="00532C0E" w:rsidRPr="007B2626" w:rsidRDefault="00532C0E" w:rsidP="009E2F5B">
      <w:pPr>
        <w:pStyle w:val="Textonotapie"/>
        <w:spacing w:after="0"/>
        <w:ind w:firstLine="709"/>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4757F494" w14:textId="77777777" w:rsidR="00532C0E" w:rsidRPr="007B2626" w:rsidRDefault="00532C0E" w:rsidP="009E2F5B">
      <w:pPr>
        <w:pStyle w:val="Textonotapie"/>
        <w:spacing w:after="0"/>
        <w:ind w:firstLine="709"/>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»Para las entidades que tengan un presupuesto anual superior o igual a 1.200.000 salarios mínimos legales mensuales, la menor cuantía será hasta 1.000 salarios mínimos legales mensuales.</w:t>
      </w:r>
    </w:p>
    <w:p w14:paraId="144EA2FE" w14:textId="77777777" w:rsidR="00532C0E" w:rsidRPr="007B2626" w:rsidRDefault="00532C0E" w:rsidP="009E2F5B">
      <w:pPr>
        <w:pStyle w:val="Textonotapie"/>
        <w:spacing w:after="0"/>
        <w:ind w:firstLine="709"/>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850.000 salarios mínimos legales mensuales e inferiores a 1.200.000 salarios mínimos legales mensuales, la menor cuantía será hasta 850 salarios mínimos legales mensuales.</w:t>
      </w:r>
    </w:p>
    <w:p w14:paraId="27CF99DB" w14:textId="77777777" w:rsidR="00532C0E" w:rsidRPr="007B2626" w:rsidRDefault="00532C0E" w:rsidP="009E2F5B">
      <w:pPr>
        <w:pStyle w:val="Textonotapie"/>
        <w:spacing w:after="0"/>
        <w:ind w:firstLine="709"/>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400.000 salarios mínimos legales mensuales e inferior a 850.000 salarios mínimos legales mensuales, la menor cuantía será hasta 650 salarios mínimos legales mensuales.</w:t>
      </w:r>
    </w:p>
    <w:p w14:paraId="624E2725" w14:textId="77777777" w:rsidR="00532C0E" w:rsidRPr="007B2626" w:rsidRDefault="00532C0E" w:rsidP="009E2F5B">
      <w:pPr>
        <w:pStyle w:val="Textonotapie"/>
        <w:spacing w:after="0"/>
        <w:ind w:firstLine="709"/>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120.000 salarios mínimos legales mensuales e inferior a 400.000 salarios mínimos legales mensuales, la menor cuantía será hasta 450 salarios mínimos legales mensuales.</w:t>
      </w:r>
    </w:p>
    <w:p w14:paraId="2A3905CF" w14:textId="26355116" w:rsidR="00532C0E" w:rsidRPr="007B2626" w:rsidRDefault="00532C0E" w:rsidP="009E2F5B">
      <w:pPr>
        <w:pStyle w:val="Textonotapie"/>
        <w:spacing w:after="0"/>
        <w:ind w:firstLine="709"/>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inferior a 120.000 salarios mínimos legales mensuales, la menor cuantía será hasta 280 salarios mínimos legales mensuales».</w:t>
      </w:r>
    </w:p>
  </w:footnote>
  <w:footnote w:id="5">
    <w:p w14:paraId="6B17C904" w14:textId="315E2AAD" w:rsidR="004034F8" w:rsidRPr="00DA3080" w:rsidRDefault="004034F8" w:rsidP="009C16D7">
      <w:pPr>
        <w:pStyle w:val="Textonotapie"/>
        <w:spacing w:after="0" w:line="240" w:lineRule="auto"/>
        <w:ind w:firstLine="708"/>
        <w:rPr>
          <w:rFonts w:ascii="Arial" w:hAnsi="Arial" w:cs="Arial"/>
          <w:sz w:val="19"/>
          <w:szCs w:val="19"/>
        </w:rPr>
      </w:pPr>
      <w:r w:rsidRPr="00DA3080">
        <w:rPr>
          <w:rStyle w:val="Refdenotaalpie"/>
          <w:rFonts w:ascii="Arial" w:hAnsi="Arial" w:cs="Arial"/>
          <w:sz w:val="19"/>
          <w:szCs w:val="19"/>
        </w:rPr>
        <w:footnoteRef/>
      </w:r>
      <w:r w:rsidRPr="00DA3080">
        <w:rPr>
          <w:rFonts w:ascii="Arial" w:hAnsi="Arial" w:cs="Arial"/>
          <w:sz w:val="19"/>
          <w:szCs w:val="19"/>
        </w:rPr>
        <w:t xml:space="preserve"> PARÁGRAFO 1o.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w:t>
      </w:r>
    </w:p>
  </w:footnote>
  <w:footnote w:id="6">
    <w:p w14:paraId="5E6A4592" w14:textId="1935ADF9" w:rsidR="00455B90" w:rsidRPr="00DA3080" w:rsidRDefault="00455B90" w:rsidP="009C16D7">
      <w:pPr>
        <w:pStyle w:val="Textonotapie"/>
        <w:spacing w:after="0" w:line="240" w:lineRule="auto"/>
        <w:ind w:firstLine="708"/>
        <w:rPr>
          <w:rFonts w:ascii="Arial" w:hAnsi="Arial" w:cs="Arial"/>
          <w:sz w:val="19"/>
          <w:szCs w:val="19"/>
        </w:rPr>
      </w:pPr>
      <w:r w:rsidRPr="00DA3080">
        <w:rPr>
          <w:rStyle w:val="Refdenotaalpie"/>
          <w:rFonts w:ascii="Arial" w:hAnsi="Arial" w:cs="Arial"/>
          <w:sz w:val="19"/>
          <w:szCs w:val="19"/>
        </w:rPr>
        <w:footnoteRef/>
      </w:r>
      <w:r w:rsidRPr="00DA3080">
        <w:rPr>
          <w:rFonts w:ascii="Arial" w:hAnsi="Arial" w:cs="Arial"/>
          <w:sz w:val="19"/>
          <w:szCs w:val="19"/>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p>
  </w:footnote>
  <w:footnote w:id="7">
    <w:p w14:paraId="53B6E8B1" w14:textId="77777777" w:rsidR="004120E6" w:rsidRDefault="00721CE1" w:rsidP="009C16D7">
      <w:pPr>
        <w:pStyle w:val="Textonotapie"/>
        <w:spacing w:after="0" w:line="240" w:lineRule="auto"/>
        <w:ind w:firstLine="708"/>
        <w:rPr>
          <w:rFonts w:ascii="Arial" w:hAnsi="Arial" w:cs="Arial"/>
          <w:color w:val="000000"/>
          <w:sz w:val="19"/>
          <w:szCs w:val="19"/>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Ley 1150 de 2007: «Artículo 2 […] </w:t>
      </w:r>
    </w:p>
    <w:p w14:paraId="2684907C" w14:textId="7E3B14AF" w:rsidR="00721CE1" w:rsidRPr="00721CE1" w:rsidRDefault="004120E6" w:rsidP="009C16D7">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000B7A55">
        <w:rPr>
          <w:rFonts w:ascii="Arial" w:hAnsi="Arial" w:cs="Arial"/>
          <w:color w:val="000000"/>
          <w:sz w:val="19"/>
          <w:szCs w:val="19"/>
        </w:rPr>
        <w:t>5</w:t>
      </w:r>
      <w:r w:rsidR="000B7A55" w:rsidRPr="00721CE1">
        <w:rPr>
          <w:rFonts w:ascii="Arial" w:hAnsi="Arial" w:cs="Arial"/>
          <w:color w:val="000000"/>
          <w:sz w:val="19"/>
          <w:szCs w:val="19"/>
        </w:rPr>
        <w:t>. Contratación</w:t>
      </w:r>
      <w:r w:rsidR="00721CE1" w:rsidRPr="00721CE1">
        <w:rPr>
          <w:rFonts w:ascii="Arial" w:hAnsi="Arial" w:cs="Arial"/>
          <w:color w:val="000000"/>
          <w:sz w:val="19"/>
          <w:szCs w:val="19"/>
        </w:rPr>
        <w:t xml:space="preserve"> mínima Cuantía. La contratación cuyo valor no excede del 10 por ciento de la menor cuantía de la entidad independientemente de su objeto, se efectuará de conformidad con las siguientes reglas:  </w:t>
      </w:r>
    </w:p>
    <w:p w14:paraId="15D4DAC5" w14:textId="7C5CF6C1" w:rsidR="004761A8" w:rsidRPr="004761A8" w:rsidRDefault="00721CE1" w:rsidP="004761A8">
      <w:pPr>
        <w:pStyle w:val="Textonotapie"/>
        <w:spacing w:after="0" w:line="240" w:lineRule="auto"/>
        <w:ind w:firstLine="708"/>
        <w:rPr>
          <w:rFonts w:ascii="Arial" w:hAnsi="Arial" w:cs="Arial"/>
          <w:color w:val="000000"/>
          <w:sz w:val="19"/>
          <w:szCs w:val="19"/>
        </w:rPr>
      </w:pPr>
      <w:r w:rsidRPr="00721CE1">
        <w:rPr>
          <w:rFonts w:ascii="Arial" w:hAnsi="Arial" w:cs="Arial"/>
          <w:color w:val="000000"/>
          <w:sz w:val="19"/>
          <w:szCs w:val="19"/>
        </w:rPr>
        <w:t>»</w:t>
      </w:r>
      <w:r w:rsidR="004761A8" w:rsidRPr="004761A8">
        <w:rPr>
          <w:rFonts w:ascii="Arial" w:hAnsi="Arial" w:cs="Arial"/>
          <w:color w:val="000000"/>
          <w:sz w:val="19"/>
          <w:szCs w:val="19"/>
        </w:rPr>
        <w:t>a) Se publicará una invitación, por un término no inferior a un día hábil, en la cual se señalará el objeto a contratar, el presupuesto destinado para tal fin, así como las condiciones técnicas exigidas;</w:t>
      </w:r>
    </w:p>
    <w:p w14:paraId="2CF21669" w14:textId="5A27CA62" w:rsidR="004761A8" w:rsidRPr="004761A8" w:rsidRDefault="004761A8" w:rsidP="00CE63A2">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Pr="004761A8">
        <w:rPr>
          <w:rFonts w:ascii="Arial" w:hAnsi="Arial" w:cs="Arial"/>
          <w:color w:val="000000"/>
          <w:sz w:val="19"/>
          <w:szCs w:val="19"/>
        </w:rPr>
        <w:t>b) El término previsto en la invitación para presentar la oferta no podrá ser inferior a un día hábil;</w:t>
      </w:r>
    </w:p>
    <w:p w14:paraId="1FB68B39" w14:textId="111B0FFC" w:rsidR="004761A8" w:rsidRPr="004761A8" w:rsidRDefault="00CE63A2" w:rsidP="00CE63A2">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004761A8" w:rsidRPr="004761A8">
        <w:rPr>
          <w:rFonts w:ascii="Arial" w:hAnsi="Arial" w:cs="Arial"/>
          <w:color w:val="000000"/>
          <w:sz w:val="19"/>
          <w:szCs w:val="19"/>
        </w:rPr>
        <w:t>c) La entidad seleccionará, mediante comunicación de aceptación de la oferta, la propuesta con el menor precio, siempre y cuando cumpla con las condiciones exigidas;</w:t>
      </w:r>
    </w:p>
    <w:p w14:paraId="7B86A7FF" w14:textId="4DA16CAA" w:rsidR="004761A8" w:rsidRPr="004761A8" w:rsidRDefault="00CE63A2" w:rsidP="00CE63A2">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004761A8" w:rsidRPr="004761A8">
        <w:rPr>
          <w:rFonts w:ascii="Arial" w:hAnsi="Arial" w:cs="Arial"/>
          <w:color w:val="000000"/>
          <w:sz w:val="19"/>
          <w:szCs w:val="19"/>
        </w:rPr>
        <w:t>d) La comunicación de aceptación junto con la oferta constituye para todos los efectos el contrato celebrado, con base en lo cual se efectuará el respectivo registro presupuestal.</w:t>
      </w:r>
    </w:p>
    <w:p w14:paraId="176DB43B" w14:textId="26CC6FA3" w:rsidR="004761A8" w:rsidRPr="004761A8" w:rsidRDefault="00CE63A2" w:rsidP="00CE63A2">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004761A8" w:rsidRPr="004761A8">
        <w:rPr>
          <w:rFonts w:ascii="Arial" w:hAnsi="Arial" w:cs="Arial"/>
          <w:color w:val="000000"/>
          <w:sz w:val="19"/>
          <w:szCs w:val="19"/>
        </w:rPr>
        <w:t>PARÁGRAFO 1o. Las particularidades del procedimiento aquí previsto, así como la posibilidad que tengan las entidades de realizar estas adquisiciones a Mlpymes o establecimientos que correspondan a la definición de "gran almacén" señalada por la Superintendencia de Industria y Comercio, se determinarán en el reglamento que para el efecto expida el Gobierno Nacional.</w:t>
      </w:r>
    </w:p>
    <w:p w14:paraId="63CF03CA" w14:textId="72CA1121" w:rsidR="00721CE1" w:rsidRDefault="00CE63A2" w:rsidP="00CE63A2">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004761A8" w:rsidRPr="004761A8">
        <w:rPr>
          <w:rFonts w:ascii="Arial" w:hAnsi="Arial" w:cs="Arial"/>
          <w:color w:val="000000"/>
          <w:sz w:val="19"/>
          <w:szCs w:val="19"/>
        </w:rPr>
        <w:t>PARÁGRAFO 2o. La contratación a que se refiere el presente artículo se realizará exclusivamente con las reglas en él contempladas y en su reglamentación. En particular no se aplicará lo previsto en la Ley 816 de 2003</w:t>
      </w:r>
      <w:r>
        <w:rPr>
          <w:rFonts w:ascii="Arial" w:hAnsi="Arial" w:cs="Arial"/>
          <w:color w:val="000000"/>
          <w:sz w:val="19"/>
          <w:szCs w:val="19"/>
        </w:rPr>
        <w:t>»</w:t>
      </w:r>
      <w:r w:rsidR="004761A8" w:rsidRPr="004761A8">
        <w:rPr>
          <w:rFonts w:ascii="Arial" w:hAnsi="Arial" w:cs="Arial"/>
          <w:color w:val="000000"/>
          <w:sz w:val="19"/>
          <w:szCs w:val="19"/>
        </w:rPr>
        <w:t>.</w:t>
      </w:r>
    </w:p>
    <w:p w14:paraId="4D00111B" w14:textId="77777777" w:rsidR="00560641" w:rsidRPr="00721CE1" w:rsidRDefault="00560641" w:rsidP="00CE63A2">
      <w:pPr>
        <w:pStyle w:val="Textonotapie"/>
        <w:spacing w:after="0" w:line="240" w:lineRule="auto"/>
        <w:ind w:firstLine="708"/>
        <w:rPr>
          <w:rFonts w:ascii="Arial" w:hAnsi="Arial" w:cs="Arial"/>
          <w:color w:val="000000"/>
          <w:sz w:val="19"/>
          <w:szCs w:val="19"/>
          <w:lang w:val="es-CO"/>
        </w:rPr>
      </w:pPr>
    </w:p>
  </w:footnote>
  <w:footnote w:id="8">
    <w:p w14:paraId="42703104" w14:textId="7B5B24F3" w:rsidR="00470017" w:rsidRPr="00E934C2" w:rsidRDefault="00470017" w:rsidP="00CF7DAC">
      <w:pPr>
        <w:pStyle w:val="Textonotapie"/>
        <w:spacing w:after="0" w:line="240" w:lineRule="auto"/>
        <w:ind w:firstLine="709"/>
        <w:rPr>
          <w:rFonts w:ascii="Arial" w:hAnsi="Arial" w:cs="Arial"/>
          <w:sz w:val="19"/>
          <w:szCs w:val="19"/>
        </w:rPr>
      </w:pPr>
      <w:r w:rsidRPr="00E934C2">
        <w:rPr>
          <w:rStyle w:val="Refdenotaalpie"/>
          <w:rFonts w:ascii="Arial" w:hAnsi="Arial" w:cs="Arial"/>
          <w:sz w:val="19"/>
          <w:szCs w:val="19"/>
        </w:rPr>
        <w:footnoteRef/>
      </w:r>
      <w:r w:rsidRPr="00E934C2">
        <w:rPr>
          <w:rFonts w:ascii="Arial" w:hAnsi="Arial" w:cs="Arial"/>
          <w:sz w:val="19"/>
          <w:szCs w:val="19"/>
        </w:rPr>
        <w:t xml:space="preserve"> El artículo 2 del Decreto 1860 de 2021 </w:t>
      </w:r>
      <w:r w:rsidR="0085730B" w:rsidRPr="00E934C2">
        <w:rPr>
          <w:rFonts w:ascii="Arial" w:hAnsi="Arial" w:cs="Arial"/>
          <w:sz w:val="19"/>
          <w:szCs w:val="19"/>
        </w:rPr>
        <w:t xml:space="preserve">modifica la Subsección 5 de la Sección 1 del Capítulo </w:t>
      </w:r>
      <w:r w:rsidR="00511526" w:rsidRPr="00E934C2">
        <w:rPr>
          <w:rFonts w:ascii="Arial" w:hAnsi="Arial" w:cs="Arial"/>
          <w:sz w:val="19"/>
          <w:szCs w:val="19"/>
        </w:rPr>
        <w:t xml:space="preserve">2 del Título 1 de la Parte 2 del Libro 2 del Decreto 1082 de </w:t>
      </w:r>
      <w:r w:rsidR="00E934C2" w:rsidRPr="00E934C2">
        <w:rPr>
          <w:rFonts w:ascii="Arial" w:hAnsi="Arial" w:cs="Arial"/>
          <w:sz w:val="19"/>
          <w:szCs w:val="19"/>
        </w:rPr>
        <w:t xml:space="preserve">2015, relativo al procedimiento de selección de mínima cuantía. </w:t>
      </w:r>
    </w:p>
  </w:footnote>
  <w:footnote w:id="9">
    <w:p w14:paraId="17D1468F" w14:textId="77777777" w:rsidR="00721CE1" w:rsidRPr="00721CE1" w:rsidRDefault="00721CE1" w:rsidP="00CF7DAC">
      <w:pPr>
        <w:pStyle w:val="Textonotapie"/>
        <w:spacing w:after="0" w:line="240" w:lineRule="auto"/>
        <w:rPr>
          <w:rFonts w:ascii="Arial" w:hAnsi="Arial" w:cs="Arial"/>
          <w:color w:val="000000"/>
          <w:sz w:val="19"/>
          <w:szCs w:val="19"/>
        </w:rPr>
      </w:pPr>
    </w:p>
    <w:p w14:paraId="1DF116D2" w14:textId="646E4538" w:rsidR="00CF7DAC" w:rsidRPr="00CF7DAC" w:rsidRDefault="00721CE1" w:rsidP="00CF7DAC">
      <w:pPr>
        <w:pStyle w:val="Textonotapie"/>
        <w:spacing w:after="0" w:line="240" w:lineRule="auto"/>
        <w:ind w:firstLine="709"/>
        <w:rPr>
          <w:rFonts w:ascii="Arial" w:hAnsi="Arial" w:cs="Arial"/>
          <w:color w:val="000000"/>
          <w:sz w:val="19"/>
          <w:szCs w:val="19"/>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Decreto 1082 de 2015: «Artículo 2.2.1.2.1.5.2. P</w:t>
      </w:r>
      <w:r w:rsidR="00CF7DAC" w:rsidRPr="00CF7DAC">
        <w:rPr>
          <w:rFonts w:ascii="Arial" w:hAnsi="Arial" w:cs="Arial"/>
          <w:color w:val="000000"/>
          <w:sz w:val="19"/>
          <w:szCs w:val="19"/>
        </w:rPr>
        <w:t xml:space="preserve">rocedimiento para la contratación de mínima cuantía. Las siguientes reglas son aplicables a la contratación cuyo valor no excede del diez por ciento (10%) de la menor cuantía de la Entidad Estatal, independientemente de su objeto:  </w:t>
      </w:r>
    </w:p>
    <w:p w14:paraId="2E3CA42A" w14:textId="6939C1EC" w:rsidR="00CF7DAC" w:rsidRPr="00CF7DAC" w:rsidRDefault="00CF7DAC" w:rsidP="00CF7DAC">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Pr="00CF7DAC">
        <w:rPr>
          <w:rFonts w:ascii="Arial" w:hAnsi="Arial" w:cs="Arial"/>
          <w:color w:val="000000"/>
          <w:sz w:val="19"/>
          <w:szCs w:val="19"/>
        </w:rPr>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el cumplimiento de las condiciones técnicas exigidas, incluyendo las obligaciones de las partes del futuro contrato.</w:t>
      </w:r>
    </w:p>
    <w:p w14:paraId="19E4772E" w14:textId="653336BC" w:rsidR="00CF7DAC" w:rsidRPr="00CF7DAC" w:rsidRDefault="00CF7DAC" w:rsidP="00CF7DAC">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Pr="00CF7DAC">
        <w:rPr>
          <w:rFonts w:ascii="Arial" w:hAnsi="Arial" w:cs="Arial"/>
          <w:color w:val="000000"/>
          <w:sz w:val="19"/>
          <w:szCs w:val="19"/>
        </w:rPr>
        <w:t>2. La Entidad Estatal podrá exigir una capacidad financiera mínima cuando no hace el pago contra entrega a satisfacción de los bienes, obras o servicios. Si la Entidad Estatal exige capacidad financiera debe indicar cómo hará la verificación correspondiente en la invitación.</w:t>
      </w:r>
    </w:p>
    <w:p w14:paraId="55E47407" w14:textId="78C7BFEE" w:rsidR="00CF7DAC" w:rsidRPr="00CF7DAC" w:rsidRDefault="00CF7DAC" w:rsidP="00CF7DAC">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Pr="00CF7DAC">
        <w:rPr>
          <w:rFonts w:ascii="Arial" w:hAnsi="Arial" w:cs="Arial"/>
          <w:color w:val="000000"/>
          <w:sz w:val="19"/>
          <w:szCs w:val="19"/>
        </w:rPr>
        <w:t>3. La invitación se publicará por un término no inferior a un (1) día hábil para que los interesados se informen de su contenido y formulen observaciones o comentarios, los cuales serán contestados por la Entidad Estatal antes del inicio del plazo para presentar ofertas. De conformidad con el parágrafo del presente artículo, dentro del mismo término para formular observaciones se podrán presentar las solicitudes para limitar la convocatoria a Mipyme colombianas.</w:t>
      </w:r>
    </w:p>
    <w:p w14:paraId="465DA88F" w14:textId="221B1469" w:rsidR="00CF7DAC" w:rsidRPr="00CF7DAC" w:rsidRDefault="00CF7DAC" w:rsidP="00CF7DAC">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Pr="00CF7DAC">
        <w:rPr>
          <w:rFonts w:ascii="Arial" w:hAnsi="Arial" w:cs="Arial"/>
          <w:color w:val="000000"/>
          <w:sz w:val="19"/>
          <w:szCs w:val="19"/>
        </w:rPr>
        <w:t>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ii)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iii) El momento en que publicará un aviso en el SECOP precisando si el proceso efectivamente se limitó a Mipyme o si podrá participar cualquier otro interesado. iv) Finalmente, se dispondrá un término adicional dentro del cual los proponentes podrán presentar sus ofertas, el cual será de mínimo un (1) día hábil luego de publicado el aviso en que se informe si el proceso se limita o no a Mipyme.</w:t>
      </w:r>
    </w:p>
    <w:p w14:paraId="7DBA7517" w14:textId="7599EC0F" w:rsidR="00CF7DAC" w:rsidRPr="00CF7DAC" w:rsidRDefault="00CF7DAC" w:rsidP="00CF7DAC">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Pr="00CF7DAC">
        <w:rPr>
          <w:rFonts w:ascii="Arial" w:hAnsi="Arial" w:cs="Arial"/>
          <w:color w:val="000000"/>
          <w:sz w:val="19"/>
          <w:szCs w:val="19"/>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5 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08A9BB5E" w14:textId="2D01E3E7" w:rsidR="00CF7DAC" w:rsidRPr="00CF7DAC" w:rsidRDefault="00CF7DAC" w:rsidP="00CF7DAC">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Pr="00CF7DAC">
        <w:rPr>
          <w:rFonts w:ascii="Arial" w:hAnsi="Arial" w:cs="Arial"/>
          <w:color w:val="000000"/>
          <w:sz w:val="19"/>
          <w:szCs w:val="19"/>
        </w:rPr>
        <w:t xml:space="preserve">6. La Entidad Estatal debe publicar el informe de evaluación durante mínimo un (1) día hábil, para que durante este término los oferentes presenten las observaciones que deberán ser respondidas por la Entidad Estatal antes de realizar la aceptación de la oferta seleccionada. </w:t>
      </w:r>
    </w:p>
    <w:p w14:paraId="7063E599" w14:textId="3C90D07D" w:rsidR="00CF7DAC" w:rsidRPr="00CF7DAC" w:rsidRDefault="00CF7DAC" w:rsidP="00CF7DAC">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Pr="00CF7DAC">
        <w:rPr>
          <w:rFonts w:ascii="Arial" w:hAnsi="Arial" w:cs="Arial"/>
          <w:color w:val="000000"/>
          <w:sz w:val="19"/>
          <w:szCs w:val="19"/>
        </w:rPr>
        <w:t>7. La Entidad Estatal debe aceptar la oferta de menor precio, siempre que cumpla con las condiciones establecidas en la invitación a participar en procesos de mínima cuantía. En la aceptación de la oferta, la Entidad Estatal debe informar al contratista el nombre del supervisor o interventor del contrato.</w:t>
      </w:r>
    </w:p>
    <w:p w14:paraId="28DBF13A" w14:textId="1A9B0E66" w:rsidR="00CF7DAC" w:rsidRPr="00CF7DAC" w:rsidRDefault="00CF7DAC" w:rsidP="00CF7DAC">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Pr="00CF7DAC">
        <w:rPr>
          <w:rFonts w:ascii="Arial" w:hAnsi="Arial" w:cs="Arial"/>
          <w:color w:val="000000"/>
          <w:sz w:val="19"/>
          <w:szCs w:val="19"/>
        </w:rPr>
        <w:t>8. En caso de empate, la Entidad Estatal aplicará los criterios de que trata el artículo 35 de la Ley 2069 de 2020, conforme a los medios de acreditación del artículo 2.2.1.2.4.2.17. del presente Decreto o las normas que los modifiquen, adicionen o sustituyan.</w:t>
      </w:r>
    </w:p>
    <w:p w14:paraId="34C3E5C9" w14:textId="4984215E" w:rsidR="00CF7DAC" w:rsidRPr="00CF7DAC" w:rsidRDefault="00CF7DAC" w:rsidP="00CF7DAC">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Pr="00CF7DAC">
        <w:rPr>
          <w:rFonts w:ascii="Arial" w:hAnsi="Arial" w:cs="Arial"/>
          <w:color w:val="000000"/>
          <w:sz w:val="19"/>
          <w:szCs w:val="19"/>
        </w:rPr>
        <w:t>9. La oferta y su aceptación constituyen el contrato estatal.</w:t>
      </w:r>
    </w:p>
    <w:p w14:paraId="5A531780" w14:textId="20CA7D72" w:rsidR="00CF7DAC" w:rsidRPr="00CF7DAC" w:rsidRDefault="00CF7DAC" w:rsidP="00CF7DAC">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000B5F0E">
        <w:rPr>
          <w:rFonts w:ascii="Arial" w:hAnsi="Arial" w:cs="Arial"/>
          <w:color w:val="000000"/>
          <w:sz w:val="19"/>
          <w:szCs w:val="19"/>
        </w:rPr>
        <w:t>[…]».</w:t>
      </w:r>
    </w:p>
    <w:p w14:paraId="528C9E2F" w14:textId="40B96E47" w:rsidR="00CF7DAC" w:rsidRPr="00721CE1" w:rsidRDefault="00CF7DAC" w:rsidP="00CF7DAC">
      <w:pPr>
        <w:pStyle w:val="Textonotapie"/>
        <w:spacing w:after="0" w:line="240" w:lineRule="auto"/>
        <w:ind w:firstLine="708"/>
        <w:rPr>
          <w:rFonts w:ascii="Arial" w:hAnsi="Arial" w:cs="Arial"/>
          <w:color w:val="000000"/>
          <w:sz w:val="19"/>
          <w:szCs w:val="19"/>
          <w:lang w:val="es-CO"/>
        </w:rPr>
      </w:pPr>
    </w:p>
    <w:p w14:paraId="58442354" w14:textId="71004B8F" w:rsidR="00721CE1" w:rsidRPr="00721CE1" w:rsidRDefault="00721CE1" w:rsidP="009C16D7">
      <w:pPr>
        <w:pStyle w:val="Textonotapie"/>
        <w:spacing w:after="0" w:line="240" w:lineRule="auto"/>
        <w:ind w:firstLine="708"/>
        <w:rPr>
          <w:rFonts w:ascii="Arial" w:hAnsi="Arial" w:cs="Arial"/>
          <w:color w:val="000000"/>
          <w:sz w:val="19"/>
          <w:szCs w:val="19"/>
          <w:lang w:val="es-CO"/>
        </w:rPr>
      </w:pPr>
    </w:p>
  </w:footnote>
  <w:footnote w:id="10">
    <w:p w14:paraId="1BD48B05" w14:textId="77777777" w:rsidR="00721CE1" w:rsidRPr="00721CE1" w:rsidRDefault="00721CE1" w:rsidP="009C16D7">
      <w:pPr>
        <w:pStyle w:val="Textonotapie"/>
        <w:spacing w:after="0" w:line="240" w:lineRule="auto"/>
        <w:ind w:firstLine="708"/>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w:t>
      </w:r>
      <w:r w:rsidRPr="00721CE1">
        <w:rPr>
          <w:rFonts w:ascii="Arial" w:hAnsi="Arial" w:cs="Arial"/>
          <w:color w:val="000000"/>
          <w:sz w:val="19"/>
          <w:szCs w:val="19"/>
          <w:lang w:val="es-CO"/>
        </w:rPr>
        <w:t xml:space="preserve">Real Academia Española de la Lengua. Diccionario de la Lengua Española. Edición Tricentenario. Disponible en: </w:t>
      </w:r>
      <w:hyperlink r:id="rId1" w:history="1">
        <w:r w:rsidRPr="00721CE1">
          <w:rPr>
            <w:rStyle w:val="Hipervnculo"/>
            <w:rFonts w:ascii="Arial" w:hAnsi="Arial" w:cs="Arial"/>
            <w:color w:val="000000"/>
            <w:sz w:val="19"/>
            <w:szCs w:val="19"/>
          </w:rPr>
          <w:t>https://dle.rae.es/h%C3%A1bil</w:t>
        </w:r>
      </w:hyperlink>
      <w:r w:rsidRPr="00721CE1">
        <w:rPr>
          <w:rFonts w:ascii="Arial" w:hAnsi="Arial" w:cs="Arial"/>
          <w:color w:val="000000"/>
          <w:sz w:val="19"/>
          <w:szCs w:val="19"/>
          <w:lang w:val="es-CO"/>
        </w:rPr>
        <w:t xml:space="preserve"> </w:t>
      </w:r>
    </w:p>
  </w:footnote>
  <w:footnote w:id="11">
    <w:p w14:paraId="43E5F4D7" w14:textId="77777777" w:rsidR="00721CE1" w:rsidRPr="00721CE1" w:rsidRDefault="00721CE1" w:rsidP="009C16D7">
      <w:pPr>
        <w:pStyle w:val="Textonotapie"/>
        <w:spacing w:after="0" w:line="240" w:lineRule="auto"/>
        <w:ind w:firstLine="708"/>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MARÍN CORTÉS, Fabián G. Derecho de petición y procedimiento administrativo. 1</w:t>
      </w:r>
      <w:r w:rsidRPr="00721CE1">
        <w:rPr>
          <w:rFonts w:ascii="Arial" w:hAnsi="Arial" w:cs="Arial"/>
          <w:color w:val="000000"/>
          <w:sz w:val="19"/>
          <w:szCs w:val="19"/>
          <w:u w:val="single"/>
          <w:vertAlign w:val="superscript"/>
        </w:rPr>
        <w:t>a</w:t>
      </w:r>
      <w:r w:rsidRPr="00721CE1">
        <w:rPr>
          <w:rFonts w:ascii="Arial" w:hAnsi="Arial" w:cs="Arial"/>
          <w:color w:val="000000"/>
          <w:sz w:val="19"/>
          <w:szCs w:val="19"/>
        </w:rPr>
        <w:t xml:space="preserve"> ed. Medellín: Librería Jurídica Sánchez R Ltda y Centro de Estudios de Derecho Administrativo, 2017. p. 417. </w:t>
      </w:r>
    </w:p>
  </w:footnote>
  <w:footnote w:id="12">
    <w:p w14:paraId="67EEB485" w14:textId="77777777" w:rsidR="00721CE1" w:rsidRPr="00721CE1" w:rsidRDefault="00721CE1" w:rsidP="009C16D7">
      <w:pPr>
        <w:pStyle w:val="Textonotapie"/>
        <w:spacing w:after="0" w:line="240" w:lineRule="auto"/>
        <w:ind w:firstLine="708"/>
        <w:rPr>
          <w:rFonts w:ascii="Arial" w:hAnsi="Arial" w:cs="Arial"/>
          <w:color w:val="000000"/>
          <w:sz w:val="19"/>
          <w:szCs w:val="19"/>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w:t>
      </w:r>
      <w:r w:rsidRPr="00721CE1">
        <w:rPr>
          <w:rFonts w:ascii="Arial" w:hAnsi="Arial" w:cs="Arial"/>
          <w:color w:val="000000"/>
          <w:sz w:val="19"/>
          <w:szCs w:val="19"/>
          <w:lang w:val="es-CO"/>
        </w:rPr>
        <w:t xml:space="preserve">Consejo de Estado. </w:t>
      </w:r>
      <w:r w:rsidRPr="00721CE1">
        <w:rPr>
          <w:rFonts w:ascii="Arial" w:hAnsi="Arial" w:cs="Arial"/>
          <w:color w:val="000000"/>
          <w:sz w:val="19"/>
          <w:szCs w:val="19"/>
        </w:rPr>
        <w:t>Sala Plena de lo Contencioso Administrativo. Sentencia del 12 de abril de 1978. C.P. Carlos Portocarrero Mutis. Exp. 355.</w:t>
      </w:r>
    </w:p>
    <w:p w14:paraId="4B90390B" w14:textId="77777777" w:rsidR="00721CE1" w:rsidRPr="00721CE1" w:rsidRDefault="00721CE1" w:rsidP="009C16D7">
      <w:pPr>
        <w:pStyle w:val="Textonotapie"/>
        <w:spacing w:after="0" w:line="240" w:lineRule="auto"/>
        <w:ind w:firstLine="708"/>
        <w:rPr>
          <w:rFonts w:ascii="Arial" w:hAnsi="Arial" w:cs="Arial"/>
          <w:color w:val="000000"/>
          <w:sz w:val="19"/>
          <w:szCs w:val="19"/>
          <w:lang w:val="es-CO"/>
        </w:rPr>
      </w:pPr>
    </w:p>
  </w:footnote>
  <w:footnote w:id="13">
    <w:p w14:paraId="76E935F5" w14:textId="77777777" w:rsidR="00721CE1" w:rsidRPr="00721CE1" w:rsidRDefault="00721CE1" w:rsidP="009C16D7">
      <w:pPr>
        <w:pStyle w:val="Textonotapie"/>
        <w:spacing w:after="0" w:line="240" w:lineRule="auto"/>
        <w:ind w:firstLine="708"/>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Consejo de Estado. Sección Cuarta. Auto del 26 de febrero de 1983.</w:t>
      </w:r>
    </w:p>
  </w:footnote>
  <w:footnote w:id="14">
    <w:p w14:paraId="6BC7E579" w14:textId="77777777" w:rsidR="00721CE1" w:rsidRPr="00721CE1" w:rsidRDefault="00721CE1" w:rsidP="009C16D7">
      <w:pPr>
        <w:pStyle w:val="Textonotapie"/>
        <w:spacing w:after="0" w:line="240" w:lineRule="auto"/>
        <w:ind w:firstLine="708"/>
        <w:rPr>
          <w:rFonts w:ascii="Arial" w:hAnsi="Arial" w:cs="Arial"/>
          <w:color w:val="000000"/>
          <w:sz w:val="19"/>
          <w:szCs w:val="19"/>
        </w:rPr>
      </w:pPr>
    </w:p>
    <w:p w14:paraId="6EBB3B54" w14:textId="77777777" w:rsidR="00721CE1" w:rsidRPr="00721CE1" w:rsidRDefault="00721CE1" w:rsidP="009C16D7">
      <w:pPr>
        <w:pStyle w:val="Textonotapie"/>
        <w:spacing w:after="0" w:line="240" w:lineRule="auto"/>
        <w:ind w:firstLine="708"/>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MARÍN CORTÉS, Fabián G. Derecho de petición y procedimiento administrativo. 1</w:t>
      </w:r>
      <w:r w:rsidRPr="00721CE1">
        <w:rPr>
          <w:rFonts w:ascii="Arial" w:hAnsi="Arial" w:cs="Arial"/>
          <w:color w:val="000000"/>
          <w:sz w:val="19"/>
          <w:szCs w:val="19"/>
          <w:u w:val="single"/>
          <w:vertAlign w:val="superscript"/>
        </w:rPr>
        <w:t>a</w:t>
      </w:r>
      <w:r w:rsidRPr="00721CE1">
        <w:rPr>
          <w:rFonts w:ascii="Arial" w:hAnsi="Arial" w:cs="Arial"/>
          <w:color w:val="000000"/>
          <w:sz w:val="19"/>
          <w:szCs w:val="19"/>
        </w:rPr>
        <w:t xml:space="preserve"> ed. Medellín: Librería Jurídica Sánchez R Ltda y Centro de Estudios de Derecho Administrativo, 2017. p. 417.  </w:t>
      </w:r>
    </w:p>
  </w:footnote>
  <w:footnote w:id="15">
    <w:p w14:paraId="1FE006C5" w14:textId="77777777" w:rsidR="00721CE1" w:rsidRPr="00721CE1" w:rsidRDefault="00721CE1" w:rsidP="009C16D7">
      <w:pPr>
        <w:pStyle w:val="Textonotapie"/>
        <w:spacing w:after="0" w:line="240" w:lineRule="auto"/>
        <w:ind w:firstLine="708"/>
        <w:rPr>
          <w:rFonts w:ascii="Arial" w:hAnsi="Arial" w:cs="Arial"/>
          <w:color w:val="000000"/>
          <w:sz w:val="19"/>
          <w:szCs w:val="19"/>
        </w:rPr>
      </w:pPr>
    </w:p>
    <w:p w14:paraId="707073C7" w14:textId="77777777" w:rsidR="00721CE1" w:rsidRPr="00721CE1" w:rsidRDefault="00721CE1" w:rsidP="009C16D7">
      <w:pPr>
        <w:pStyle w:val="Textonotapie"/>
        <w:spacing w:after="0" w:line="240" w:lineRule="auto"/>
        <w:ind w:firstLine="708"/>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w:t>
      </w:r>
      <w:r w:rsidRPr="00721CE1">
        <w:rPr>
          <w:rFonts w:ascii="Arial" w:hAnsi="Arial" w:cs="Arial"/>
          <w:i/>
          <w:iCs/>
          <w:color w:val="000000"/>
          <w:sz w:val="19"/>
          <w:szCs w:val="19"/>
        </w:rPr>
        <w:t>Ibídem.</w:t>
      </w:r>
      <w:r w:rsidRPr="00721CE1">
        <w:rPr>
          <w:rFonts w:ascii="Arial" w:hAnsi="Arial" w:cs="Arial"/>
          <w:color w:val="000000"/>
          <w:sz w:val="19"/>
          <w:szCs w:val="19"/>
        </w:rPr>
        <w:t xml:space="preserve"> </w:t>
      </w:r>
    </w:p>
  </w:footnote>
  <w:footnote w:id="16">
    <w:p w14:paraId="25168CAF" w14:textId="77777777" w:rsidR="00721CE1" w:rsidRPr="00721CE1" w:rsidRDefault="00721CE1" w:rsidP="009C16D7">
      <w:pPr>
        <w:pStyle w:val="Textonotapie"/>
        <w:spacing w:after="0" w:line="240" w:lineRule="auto"/>
        <w:ind w:firstLine="708"/>
        <w:rPr>
          <w:rFonts w:ascii="Arial" w:hAnsi="Arial" w:cs="Arial"/>
          <w:color w:val="000000"/>
          <w:sz w:val="19"/>
          <w:szCs w:val="19"/>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Ley 1437 de 2011: «Artículo 7°. Deberes de las autoridades en la atención al público. Las autoridades tendrán, frente a las personas que ante ellas acudan y en relación con los asuntos que tramiten, los siguientes deberes: </w:t>
      </w:r>
    </w:p>
    <w:p w14:paraId="6D1FE4EC" w14:textId="77777777" w:rsidR="00721CE1" w:rsidRPr="00721CE1" w:rsidRDefault="00721CE1" w:rsidP="009C16D7">
      <w:pPr>
        <w:pStyle w:val="Textonotapie"/>
        <w:spacing w:after="0" w:line="240" w:lineRule="auto"/>
        <w:rPr>
          <w:rFonts w:ascii="Arial" w:hAnsi="Arial" w:cs="Arial"/>
          <w:color w:val="000000"/>
          <w:sz w:val="19"/>
          <w:szCs w:val="19"/>
        </w:rPr>
      </w:pPr>
      <w:r w:rsidRPr="00721CE1">
        <w:rPr>
          <w:rFonts w:ascii="Arial" w:hAnsi="Arial" w:cs="Arial"/>
          <w:color w:val="000000"/>
          <w:sz w:val="19"/>
          <w:szCs w:val="19"/>
        </w:rPr>
        <w:t xml:space="preserve">  </w:t>
      </w:r>
      <w:r w:rsidRPr="00721CE1">
        <w:rPr>
          <w:rFonts w:ascii="Arial" w:hAnsi="Arial" w:cs="Arial"/>
          <w:color w:val="000000"/>
          <w:sz w:val="19"/>
          <w:szCs w:val="19"/>
        </w:rPr>
        <w:tab/>
        <w:t>[…]</w:t>
      </w:r>
    </w:p>
    <w:p w14:paraId="7B9E1948" w14:textId="77777777" w:rsidR="00721CE1" w:rsidRPr="00721CE1" w:rsidRDefault="00721CE1" w:rsidP="009C16D7">
      <w:pPr>
        <w:pStyle w:val="Textonotapie"/>
        <w:spacing w:after="0" w:line="240" w:lineRule="auto"/>
        <w:ind w:firstLine="708"/>
        <w:rPr>
          <w:rFonts w:ascii="Arial" w:hAnsi="Arial" w:cs="Arial"/>
          <w:color w:val="000000"/>
          <w:sz w:val="19"/>
          <w:szCs w:val="19"/>
          <w:lang w:val="es-CO"/>
        </w:rPr>
      </w:pPr>
      <w:r w:rsidRPr="00721CE1">
        <w:rPr>
          <w:rFonts w:ascii="Arial" w:hAnsi="Arial" w:cs="Arial"/>
          <w:color w:val="000000"/>
          <w:sz w:val="19"/>
          <w:szCs w:val="19"/>
        </w:rPr>
        <w:t>»2. Garantizar atención personal al público, como mínimo durante cuarenta (40) horas a la semana, las cuales se distribuirán en horarios que satisfagan las necesidades del servicio […]».</w:t>
      </w:r>
    </w:p>
  </w:footnote>
  <w:footnote w:id="17">
    <w:p w14:paraId="7B3CE08E" w14:textId="77777777" w:rsidR="00721CE1" w:rsidRPr="00721CE1" w:rsidRDefault="00721CE1" w:rsidP="009C16D7">
      <w:pPr>
        <w:pStyle w:val="Textonotapie"/>
        <w:spacing w:after="0" w:line="240" w:lineRule="auto"/>
        <w:ind w:firstLine="708"/>
        <w:rPr>
          <w:rFonts w:ascii="Arial" w:hAnsi="Arial" w:cs="Arial"/>
          <w:color w:val="000000"/>
          <w:sz w:val="19"/>
          <w:szCs w:val="19"/>
        </w:rPr>
      </w:pPr>
    </w:p>
    <w:p w14:paraId="697F9C19" w14:textId="77777777" w:rsidR="00721CE1" w:rsidRPr="00721CE1" w:rsidRDefault="00721CE1" w:rsidP="009C16D7">
      <w:pPr>
        <w:pStyle w:val="Textonotapie"/>
        <w:spacing w:after="0" w:line="240" w:lineRule="auto"/>
        <w:ind w:firstLine="708"/>
        <w:rPr>
          <w:rFonts w:ascii="Arial" w:hAnsi="Arial" w:cs="Arial"/>
          <w:color w:val="000000"/>
          <w:sz w:val="19"/>
          <w:szCs w:val="19"/>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«Artículo 2.2.1.1.2.1.3. Pliegos de condiciones. Los pliegos de condiciones deben contener por lo menos la siguiente información: </w:t>
      </w:r>
    </w:p>
    <w:p w14:paraId="5F94564E" w14:textId="1D7F4512" w:rsidR="00721CE1" w:rsidRPr="00721CE1" w:rsidRDefault="004A2B4D" w:rsidP="009C16D7">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00721CE1" w:rsidRPr="00721CE1">
        <w:rPr>
          <w:rFonts w:ascii="Arial" w:hAnsi="Arial" w:cs="Arial"/>
          <w:color w:val="000000"/>
          <w:sz w:val="19"/>
          <w:szCs w:val="19"/>
        </w:rPr>
        <w:t>[…]</w:t>
      </w:r>
    </w:p>
    <w:p w14:paraId="58BFC567" w14:textId="5C2AD99F" w:rsidR="00721CE1" w:rsidRPr="00721CE1" w:rsidRDefault="004A2B4D" w:rsidP="009C16D7">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00721CE1" w:rsidRPr="00721CE1">
        <w:rPr>
          <w:rFonts w:ascii="Arial" w:hAnsi="Arial" w:cs="Arial"/>
          <w:color w:val="000000"/>
          <w:sz w:val="19"/>
          <w:szCs w:val="19"/>
        </w:rPr>
        <w:t xml:space="preserve">5. Las reglas aplicables a la presentación de las ofertas, su evaluación y a la adjudicación del contrato. </w:t>
      </w:r>
    </w:p>
    <w:p w14:paraId="5004DCCE" w14:textId="43F51906" w:rsidR="00721CE1" w:rsidRPr="00721CE1" w:rsidRDefault="004A2B4D" w:rsidP="009C16D7">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00721CE1" w:rsidRPr="00721CE1">
        <w:rPr>
          <w:rFonts w:ascii="Arial" w:hAnsi="Arial" w:cs="Arial"/>
          <w:color w:val="000000"/>
          <w:sz w:val="19"/>
          <w:szCs w:val="19"/>
        </w:rPr>
        <w:t>[…]</w:t>
      </w:r>
    </w:p>
    <w:p w14:paraId="6597A340" w14:textId="5AFFF60A" w:rsidR="00721CE1" w:rsidRPr="00721CE1" w:rsidRDefault="004A2B4D" w:rsidP="009C16D7">
      <w:pPr>
        <w:pStyle w:val="Textonotapie"/>
        <w:spacing w:after="0" w:line="240" w:lineRule="auto"/>
        <w:ind w:firstLine="708"/>
        <w:rPr>
          <w:rFonts w:ascii="Arial" w:hAnsi="Arial" w:cs="Arial"/>
          <w:color w:val="000000"/>
          <w:sz w:val="19"/>
          <w:szCs w:val="19"/>
        </w:rPr>
      </w:pPr>
      <w:r>
        <w:rPr>
          <w:rFonts w:ascii="Arial" w:hAnsi="Arial" w:cs="Arial"/>
          <w:color w:val="000000"/>
          <w:sz w:val="19"/>
          <w:szCs w:val="19"/>
        </w:rPr>
        <w:t>»</w:t>
      </w:r>
      <w:r w:rsidR="00721CE1" w:rsidRPr="00721CE1">
        <w:rPr>
          <w:rFonts w:ascii="Arial" w:hAnsi="Arial" w:cs="Arial"/>
          <w:color w:val="000000"/>
          <w:sz w:val="19"/>
          <w:szCs w:val="19"/>
        </w:rPr>
        <w:t>14. El Cronograma».</w:t>
      </w:r>
    </w:p>
    <w:p w14:paraId="055EB4FB" w14:textId="77777777" w:rsidR="00721CE1" w:rsidRPr="00721CE1" w:rsidRDefault="00721CE1" w:rsidP="009C16D7">
      <w:pPr>
        <w:pStyle w:val="Textonotapie"/>
        <w:spacing w:after="0" w:line="240" w:lineRule="auto"/>
        <w:ind w:firstLine="708"/>
        <w:rPr>
          <w:rFonts w:ascii="Arial" w:hAnsi="Arial" w:cs="Arial"/>
          <w:color w:val="000000"/>
          <w:sz w:val="19"/>
          <w:szCs w:val="19"/>
          <w:lang w:val="es-CO"/>
        </w:rPr>
      </w:pPr>
    </w:p>
  </w:footnote>
  <w:footnote w:id="18">
    <w:p w14:paraId="1D51B5C9" w14:textId="77777777" w:rsidR="00721CE1" w:rsidRPr="000257EA" w:rsidRDefault="00721CE1" w:rsidP="009C16D7">
      <w:pPr>
        <w:pStyle w:val="Textonotapie"/>
        <w:spacing w:after="0" w:line="240" w:lineRule="auto"/>
        <w:ind w:firstLine="708"/>
        <w:rPr>
          <w:rFonts w:ascii="Arial" w:hAnsi="Arial" w:cs="Arial"/>
          <w:sz w:val="19"/>
          <w:szCs w:val="19"/>
        </w:rPr>
      </w:pPr>
      <w:r w:rsidRPr="000257EA">
        <w:rPr>
          <w:rStyle w:val="Refdenotaalpie"/>
          <w:rFonts w:ascii="Arial" w:hAnsi="Arial" w:cs="Arial"/>
          <w:sz w:val="19"/>
          <w:szCs w:val="19"/>
        </w:rPr>
        <w:footnoteRef/>
      </w:r>
      <w:r w:rsidRPr="000257EA">
        <w:rPr>
          <w:rFonts w:ascii="Arial" w:hAnsi="Arial" w:cs="Arial"/>
          <w:sz w:val="19"/>
          <w:szCs w:val="19"/>
        </w:rPr>
        <w:t xml:space="preserve"> Decreto 1082 de 2015 «Artículo 2.2.1.1.2.2.1. Modificación de los pliegos de condiciones. La Entidad Estatal puede modificar los pliegos de condiciones a través de Adendas expedidas antes del vencimiento del plazo para presentar ofertas. </w:t>
      </w:r>
    </w:p>
    <w:p w14:paraId="62B7A720" w14:textId="77777777" w:rsidR="00721CE1" w:rsidRPr="000257EA" w:rsidRDefault="00721CE1" w:rsidP="009C16D7">
      <w:pPr>
        <w:pStyle w:val="Textonotapie"/>
        <w:spacing w:after="0" w:line="240" w:lineRule="auto"/>
        <w:ind w:firstLine="708"/>
        <w:rPr>
          <w:rFonts w:ascii="Arial" w:hAnsi="Arial" w:cs="Arial"/>
          <w:sz w:val="19"/>
          <w:szCs w:val="19"/>
        </w:rPr>
      </w:pPr>
      <w:r w:rsidRPr="000257EA">
        <w:rPr>
          <w:rFonts w:ascii="Arial" w:hAnsi="Arial" w:cs="Arial"/>
          <w:sz w:val="19"/>
          <w:szCs w:val="19"/>
        </w:rPr>
        <w:t xml:space="preserve">»La Entidad Estatal puede expedir Adendas para modificar el Cronograma una vez vencido el término para la presentación de las ofertas y antes de la adjudicación del contrato. </w:t>
      </w:r>
    </w:p>
    <w:p w14:paraId="3A935EED" w14:textId="77777777" w:rsidR="00721CE1" w:rsidRPr="000257EA" w:rsidRDefault="00721CE1" w:rsidP="009C16D7">
      <w:pPr>
        <w:pStyle w:val="Textonotapie"/>
        <w:spacing w:after="0" w:line="240" w:lineRule="auto"/>
        <w:ind w:firstLine="708"/>
        <w:rPr>
          <w:rFonts w:ascii="Arial" w:hAnsi="Arial" w:cs="Arial"/>
          <w:sz w:val="19"/>
          <w:szCs w:val="19"/>
          <w:lang w:val="es-CO"/>
        </w:rPr>
      </w:pPr>
      <w:r w:rsidRPr="000257EA">
        <w:rPr>
          <w:rFonts w:ascii="Arial" w:hAnsi="Arial" w:cs="Arial"/>
          <w:sz w:val="19"/>
          <w:szCs w:val="19"/>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p>
  </w:footnote>
  <w:footnote w:id="19">
    <w:p w14:paraId="0E1192ED" w14:textId="77777777" w:rsidR="00C37E34" w:rsidRPr="00721CE1" w:rsidRDefault="00C37E34" w:rsidP="00C37E34">
      <w:pPr>
        <w:pStyle w:val="Textonotapie"/>
        <w:spacing w:after="0" w:line="240" w:lineRule="auto"/>
        <w:ind w:firstLine="708"/>
        <w:rPr>
          <w:rFonts w:ascii="Arial" w:hAnsi="Arial" w:cs="Arial"/>
          <w:color w:val="000000"/>
          <w:sz w:val="19"/>
          <w:szCs w:val="19"/>
        </w:rPr>
      </w:pPr>
    </w:p>
    <w:p w14:paraId="533E4E16" w14:textId="77777777" w:rsidR="00C37E34" w:rsidRPr="00721CE1" w:rsidRDefault="00C37E34" w:rsidP="00C37E34">
      <w:pPr>
        <w:pStyle w:val="Textonotapie"/>
        <w:spacing w:after="0" w:line="240" w:lineRule="auto"/>
        <w:ind w:firstLine="708"/>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MARÍN CORTÉS, Fabián G. Derecho de petición y procedimiento administrativo. 1</w:t>
      </w:r>
      <w:r w:rsidRPr="00721CE1">
        <w:rPr>
          <w:rFonts w:ascii="Arial" w:hAnsi="Arial" w:cs="Arial"/>
          <w:color w:val="000000"/>
          <w:sz w:val="19"/>
          <w:szCs w:val="19"/>
          <w:u w:val="single"/>
          <w:vertAlign w:val="superscript"/>
        </w:rPr>
        <w:t>a</w:t>
      </w:r>
      <w:r w:rsidRPr="00721CE1">
        <w:rPr>
          <w:rFonts w:ascii="Arial" w:hAnsi="Arial" w:cs="Arial"/>
          <w:color w:val="000000"/>
          <w:sz w:val="19"/>
          <w:szCs w:val="19"/>
        </w:rPr>
        <w:t xml:space="preserve"> ed. Medellín: Librería Jurídica Sánchez R Ltda y Centro de Estudios de Derecho Administrativo, 2017. p. 417.  </w:t>
      </w:r>
    </w:p>
  </w:footnote>
  <w:footnote w:id="20">
    <w:p w14:paraId="1846807B" w14:textId="77777777" w:rsidR="00C37E34" w:rsidRPr="00721CE1" w:rsidRDefault="00C37E34" w:rsidP="00C37E34">
      <w:pPr>
        <w:pStyle w:val="Textonotapie"/>
        <w:spacing w:after="0" w:line="240" w:lineRule="auto"/>
        <w:ind w:firstLine="708"/>
        <w:rPr>
          <w:rFonts w:ascii="Arial" w:hAnsi="Arial" w:cs="Arial"/>
          <w:color w:val="000000"/>
          <w:sz w:val="19"/>
          <w:szCs w:val="19"/>
        </w:rPr>
      </w:pPr>
    </w:p>
    <w:p w14:paraId="63BBA408" w14:textId="77777777" w:rsidR="00C37E34" w:rsidRPr="00721CE1" w:rsidRDefault="00C37E34" w:rsidP="00C37E34">
      <w:pPr>
        <w:pStyle w:val="Textonotapie"/>
        <w:spacing w:after="0" w:line="240" w:lineRule="auto"/>
        <w:ind w:firstLine="708"/>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w:t>
      </w:r>
      <w:r w:rsidRPr="00721CE1">
        <w:rPr>
          <w:rFonts w:ascii="Arial" w:hAnsi="Arial" w:cs="Arial"/>
          <w:i/>
          <w:iCs/>
          <w:color w:val="000000"/>
          <w:sz w:val="19"/>
          <w:szCs w:val="19"/>
        </w:rPr>
        <w:t>Ibídem.</w:t>
      </w:r>
      <w:r w:rsidRPr="00721CE1">
        <w:rPr>
          <w:rFonts w:ascii="Arial" w:hAnsi="Arial" w:cs="Arial"/>
          <w:color w:val="000000"/>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A9E8" w14:textId="77777777" w:rsidR="00412132" w:rsidRDefault="00367C52">
    <w:pPr>
      <w:pStyle w:val="Encabezado"/>
    </w:pPr>
    <w:r>
      <w:rPr>
        <w:noProof/>
        <w:lang w:val="es-CO" w:eastAsia="es-CO"/>
      </w:rPr>
      <w:drawing>
        <wp:anchor distT="0" distB="0" distL="114300" distR="114300" simplePos="0" relativeHeight="251659264" behindDoc="1" locked="0" layoutInCell="1" allowOverlap="1" wp14:anchorId="635FBE0F" wp14:editId="6B0B2A7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3377958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A4E6DF" w14:textId="77777777" w:rsidR="00FE0395" w:rsidRDefault="00F3311A" w:rsidP="00FE0395">
    <w:pPr>
      <w:pStyle w:val="Encabezado"/>
      <w:spacing w:after="0"/>
    </w:pPr>
  </w:p>
  <w:p w14:paraId="6A39F5AE" w14:textId="77777777" w:rsidR="00412132" w:rsidRDefault="00F331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1" w15:restartNumberingAfterBreak="0">
    <w:nsid w:val="56BC2763"/>
    <w:multiLevelType w:val="hybridMultilevel"/>
    <w:tmpl w:val="17B03972"/>
    <w:lvl w:ilvl="0" w:tplc="AAB0AF5C">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D47B2C"/>
    <w:multiLevelType w:val="hybridMultilevel"/>
    <w:tmpl w:val="C3C28908"/>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6DBC24E2"/>
    <w:multiLevelType w:val="hybridMultilevel"/>
    <w:tmpl w:val="57EC4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1583503">
    <w:abstractNumId w:val="0"/>
  </w:num>
  <w:num w:numId="2" w16cid:durableId="533664145">
    <w:abstractNumId w:val="2"/>
  </w:num>
  <w:num w:numId="3" w16cid:durableId="2105221731">
    <w:abstractNumId w:val="3"/>
  </w:num>
  <w:num w:numId="4" w16cid:durableId="66054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43"/>
    <w:rsid w:val="00000106"/>
    <w:rsid w:val="00001152"/>
    <w:rsid w:val="00001D47"/>
    <w:rsid w:val="000069C4"/>
    <w:rsid w:val="0000769C"/>
    <w:rsid w:val="0000777A"/>
    <w:rsid w:val="00020DEE"/>
    <w:rsid w:val="00022F3F"/>
    <w:rsid w:val="00043818"/>
    <w:rsid w:val="00043A83"/>
    <w:rsid w:val="00043EF1"/>
    <w:rsid w:val="00044DA2"/>
    <w:rsid w:val="00046079"/>
    <w:rsid w:val="000500A3"/>
    <w:rsid w:val="00050F5E"/>
    <w:rsid w:val="0005159E"/>
    <w:rsid w:val="0005235E"/>
    <w:rsid w:val="00053C54"/>
    <w:rsid w:val="00056B63"/>
    <w:rsid w:val="00056E3C"/>
    <w:rsid w:val="000605B1"/>
    <w:rsid w:val="00061F84"/>
    <w:rsid w:val="0006334E"/>
    <w:rsid w:val="0006713C"/>
    <w:rsid w:val="0007079B"/>
    <w:rsid w:val="00072101"/>
    <w:rsid w:val="00073B16"/>
    <w:rsid w:val="000740E8"/>
    <w:rsid w:val="000752BE"/>
    <w:rsid w:val="0008190F"/>
    <w:rsid w:val="000825CB"/>
    <w:rsid w:val="00082FD6"/>
    <w:rsid w:val="00084A80"/>
    <w:rsid w:val="00087D95"/>
    <w:rsid w:val="000942FE"/>
    <w:rsid w:val="0009437D"/>
    <w:rsid w:val="000955F5"/>
    <w:rsid w:val="000A0A23"/>
    <w:rsid w:val="000A3267"/>
    <w:rsid w:val="000A6DC7"/>
    <w:rsid w:val="000B19F3"/>
    <w:rsid w:val="000B529D"/>
    <w:rsid w:val="000B5DFC"/>
    <w:rsid w:val="000B5F0E"/>
    <w:rsid w:val="000B66C7"/>
    <w:rsid w:val="000B7A55"/>
    <w:rsid w:val="000C4F15"/>
    <w:rsid w:val="000C6406"/>
    <w:rsid w:val="000C7182"/>
    <w:rsid w:val="000D03EB"/>
    <w:rsid w:val="000D33B9"/>
    <w:rsid w:val="000D3D99"/>
    <w:rsid w:val="000D7279"/>
    <w:rsid w:val="000E556B"/>
    <w:rsid w:val="000E5820"/>
    <w:rsid w:val="000F0F68"/>
    <w:rsid w:val="000F2381"/>
    <w:rsid w:val="000F34E7"/>
    <w:rsid w:val="000F43EB"/>
    <w:rsid w:val="000F6579"/>
    <w:rsid w:val="00100927"/>
    <w:rsid w:val="00106D02"/>
    <w:rsid w:val="00111523"/>
    <w:rsid w:val="00112375"/>
    <w:rsid w:val="00112866"/>
    <w:rsid w:val="001148F9"/>
    <w:rsid w:val="00115A90"/>
    <w:rsid w:val="00117662"/>
    <w:rsid w:val="00120434"/>
    <w:rsid w:val="00120B88"/>
    <w:rsid w:val="00125910"/>
    <w:rsid w:val="001261F5"/>
    <w:rsid w:val="00126EAB"/>
    <w:rsid w:val="001320B2"/>
    <w:rsid w:val="00136512"/>
    <w:rsid w:val="0013758A"/>
    <w:rsid w:val="00137FD5"/>
    <w:rsid w:val="0014071B"/>
    <w:rsid w:val="001415A7"/>
    <w:rsid w:val="00142A56"/>
    <w:rsid w:val="00144243"/>
    <w:rsid w:val="00144CFB"/>
    <w:rsid w:val="0014516B"/>
    <w:rsid w:val="001547C6"/>
    <w:rsid w:val="001563E7"/>
    <w:rsid w:val="0016327F"/>
    <w:rsid w:val="00164CF3"/>
    <w:rsid w:val="001652E2"/>
    <w:rsid w:val="001661F8"/>
    <w:rsid w:val="00170D28"/>
    <w:rsid w:val="0017144B"/>
    <w:rsid w:val="00172A79"/>
    <w:rsid w:val="0018051D"/>
    <w:rsid w:val="00182640"/>
    <w:rsid w:val="00183BD1"/>
    <w:rsid w:val="0018455A"/>
    <w:rsid w:val="00184783"/>
    <w:rsid w:val="0018539D"/>
    <w:rsid w:val="00190FE6"/>
    <w:rsid w:val="001947D5"/>
    <w:rsid w:val="001A1340"/>
    <w:rsid w:val="001B01F3"/>
    <w:rsid w:val="001B51C3"/>
    <w:rsid w:val="001C20AE"/>
    <w:rsid w:val="001C3078"/>
    <w:rsid w:val="001C3288"/>
    <w:rsid w:val="001C3986"/>
    <w:rsid w:val="001C6516"/>
    <w:rsid w:val="001C6BFC"/>
    <w:rsid w:val="001C74D8"/>
    <w:rsid w:val="001D07C5"/>
    <w:rsid w:val="001D2072"/>
    <w:rsid w:val="001D5E31"/>
    <w:rsid w:val="001D73D2"/>
    <w:rsid w:val="001E47F9"/>
    <w:rsid w:val="001E6F30"/>
    <w:rsid w:val="001E75C2"/>
    <w:rsid w:val="001F1C90"/>
    <w:rsid w:val="001F21A5"/>
    <w:rsid w:val="001F27C8"/>
    <w:rsid w:val="00206031"/>
    <w:rsid w:val="00211ADE"/>
    <w:rsid w:val="00214628"/>
    <w:rsid w:val="002210B9"/>
    <w:rsid w:val="002228D3"/>
    <w:rsid w:val="00223B9C"/>
    <w:rsid w:val="002317F4"/>
    <w:rsid w:val="00234466"/>
    <w:rsid w:val="00237BD3"/>
    <w:rsid w:val="00241E8E"/>
    <w:rsid w:val="00243E89"/>
    <w:rsid w:val="00252671"/>
    <w:rsid w:val="00252ED9"/>
    <w:rsid w:val="00253927"/>
    <w:rsid w:val="002579DA"/>
    <w:rsid w:val="00264455"/>
    <w:rsid w:val="00265070"/>
    <w:rsid w:val="00276B99"/>
    <w:rsid w:val="00277DCE"/>
    <w:rsid w:val="002848B2"/>
    <w:rsid w:val="00284BC6"/>
    <w:rsid w:val="0028591C"/>
    <w:rsid w:val="00285F6C"/>
    <w:rsid w:val="00286362"/>
    <w:rsid w:val="00286968"/>
    <w:rsid w:val="002902CF"/>
    <w:rsid w:val="00292ACB"/>
    <w:rsid w:val="0029475E"/>
    <w:rsid w:val="00297D7E"/>
    <w:rsid w:val="002A389C"/>
    <w:rsid w:val="002B088C"/>
    <w:rsid w:val="002B0E17"/>
    <w:rsid w:val="002B163B"/>
    <w:rsid w:val="002B50EE"/>
    <w:rsid w:val="002B53CC"/>
    <w:rsid w:val="002C164C"/>
    <w:rsid w:val="002C3ABC"/>
    <w:rsid w:val="002C4226"/>
    <w:rsid w:val="002C4841"/>
    <w:rsid w:val="002C4CB7"/>
    <w:rsid w:val="002C653B"/>
    <w:rsid w:val="002C6CCC"/>
    <w:rsid w:val="002C7CBF"/>
    <w:rsid w:val="002D00B0"/>
    <w:rsid w:val="002D0601"/>
    <w:rsid w:val="002D1482"/>
    <w:rsid w:val="002D1C3A"/>
    <w:rsid w:val="002E049A"/>
    <w:rsid w:val="002E1739"/>
    <w:rsid w:val="002E2F17"/>
    <w:rsid w:val="002E2FE2"/>
    <w:rsid w:val="002E40D4"/>
    <w:rsid w:val="002E4608"/>
    <w:rsid w:val="002E5730"/>
    <w:rsid w:val="002F02C5"/>
    <w:rsid w:val="002F1531"/>
    <w:rsid w:val="002F2477"/>
    <w:rsid w:val="00300487"/>
    <w:rsid w:val="003057FF"/>
    <w:rsid w:val="003121C9"/>
    <w:rsid w:val="0031265E"/>
    <w:rsid w:val="00314E58"/>
    <w:rsid w:val="003157DC"/>
    <w:rsid w:val="0031693E"/>
    <w:rsid w:val="00316A0E"/>
    <w:rsid w:val="00324A93"/>
    <w:rsid w:val="00330E29"/>
    <w:rsid w:val="00332296"/>
    <w:rsid w:val="00333356"/>
    <w:rsid w:val="00333616"/>
    <w:rsid w:val="003350BE"/>
    <w:rsid w:val="00335655"/>
    <w:rsid w:val="00335989"/>
    <w:rsid w:val="003417F9"/>
    <w:rsid w:val="00342095"/>
    <w:rsid w:val="00342484"/>
    <w:rsid w:val="00345276"/>
    <w:rsid w:val="00347E32"/>
    <w:rsid w:val="00350D9B"/>
    <w:rsid w:val="003517EC"/>
    <w:rsid w:val="0035216D"/>
    <w:rsid w:val="003567A2"/>
    <w:rsid w:val="0035727E"/>
    <w:rsid w:val="0035778A"/>
    <w:rsid w:val="0036076B"/>
    <w:rsid w:val="003615B5"/>
    <w:rsid w:val="00361C33"/>
    <w:rsid w:val="00365B44"/>
    <w:rsid w:val="00367C52"/>
    <w:rsid w:val="00371922"/>
    <w:rsid w:val="00372D85"/>
    <w:rsid w:val="00373355"/>
    <w:rsid w:val="0037705A"/>
    <w:rsid w:val="0038098C"/>
    <w:rsid w:val="00381066"/>
    <w:rsid w:val="00381823"/>
    <w:rsid w:val="00381B55"/>
    <w:rsid w:val="00383D7D"/>
    <w:rsid w:val="00387A85"/>
    <w:rsid w:val="0039323C"/>
    <w:rsid w:val="003965B7"/>
    <w:rsid w:val="0039684E"/>
    <w:rsid w:val="00396E90"/>
    <w:rsid w:val="003A5FCB"/>
    <w:rsid w:val="003A7557"/>
    <w:rsid w:val="003A78ED"/>
    <w:rsid w:val="003A7E75"/>
    <w:rsid w:val="003B3CE7"/>
    <w:rsid w:val="003B67A4"/>
    <w:rsid w:val="003C4638"/>
    <w:rsid w:val="003C4EED"/>
    <w:rsid w:val="003C665A"/>
    <w:rsid w:val="003C7C98"/>
    <w:rsid w:val="003D141B"/>
    <w:rsid w:val="003D2622"/>
    <w:rsid w:val="003D502C"/>
    <w:rsid w:val="003D6A9A"/>
    <w:rsid w:val="003E394E"/>
    <w:rsid w:val="003E3F6C"/>
    <w:rsid w:val="003E46BF"/>
    <w:rsid w:val="003F0360"/>
    <w:rsid w:val="003F1F9B"/>
    <w:rsid w:val="003F267E"/>
    <w:rsid w:val="003F3764"/>
    <w:rsid w:val="003F5075"/>
    <w:rsid w:val="003F7B85"/>
    <w:rsid w:val="003F7D27"/>
    <w:rsid w:val="004002A8"/>
    <w:rsid w:val="00402BAA"/>
    <w:rsid w:val="004034F8"/>
    <w:rsid w:val="00404092"/>
    <w:rsid w:val="00407706"/>
    <w:rsid w:val="00410EB2"/>
    <w:rsid w:val="00411C70"/>
    <w:rsid w:val="004120E6"/>
    <w:rsid w:val="0041299F"/>
    <w:rsid w:val="0041408F"/>
    <w:rsid w:val="004155BC"/>
    <w:rsid w:val="0041577E"/>
    <w:rsid w:val="00415C3C"/>
    <w:rsid w:val="00416875"/>
    <w:rsid w:val="004179D7"/>
    <w:rsid w:val="00421FCA"/>
    <w:rsid w:val="00422C66"/>
    <w:rsid w:val="00422F87"/>
    <w:rsid w:val="004233D9"/>
    <w:rsid w:val="00425AF4"/>
    <w:rsid w:val="00427C16"/>
    <w:rsid w:val="00430256"/>
    <w:rsid w:val="00431C6F"/>
    <w:rsid w:val="004322B6"/>
    <w:rsid w:val="00432867"/>
    <w:rsid w:val="004339C1"/>
    <w:rsid w:val="00434BB4"/>
    <w:rsid w:val="00434DB0"/>
    <w:rsid w:val="00436FDD"/>
    <w:rsid w:val="004421F5"/>
    <w:rsid w:val="00446B7A"/>
    <w:rsid w:val="00447400"/>
    <w:rsid w:val="00447B3C"/>
    <w:rsid w:val="0045086D"/>
    <w:rsid w:val="00450D17"/>
    <w:rsid w:val="00455B90"/>
    <w:rsid w:val="0045634A"/>
    <w:rsid w:val="00456909"/>
    <w:rsid w:val="004579B5"/>
    <w:rsid w:val="00463BCC"/>
    <w:rsid w:val="00466C99"/>
    <w:rsid w:val="00470017"/>
    <w:rsid w:val="00470509"/>
    <w:rsid w:val="00474EF4"/>
    <w:rsid w:val="004761A8"/>
    <w:rsid w:val="0048222A"/>
    <w:rsid w:val="00482715"/>
    <w:rsid w:val="00483B7E"/>
    <w:rsid w:val="00485D5A"/>
    <w:rsid w:val="00490E33"/>
    <w:rsid w:val="0049749B"/>
    <w:rsid w:val="004A00C6"/>
    <w:rsid w:val="004A1545"/>
    <w:rsid w:val="004A2B4D"/>
    <w:rsid w:val="004A474B"/>
    <w:rsid w:val="004A51BF"/>
    <w:rsid w:val="004A7C05"/>
    <w:rsid w:val="004B0934"/>
    <w:rsid w:val="004B3B7D"/>
    <w:rsid w:val="004C1FDC"/>
    <w:rsid w:val="004C43D5"/>
    <w:rsid w:val="004C68E6"/>
    <w:rsid w:val="004D137D"/>
    <w:rsid w:val="004D27F7"/>
    <w:rsid w:val="004D2EB6"/>
    <w:rsid w:val="004D402A"/>
    <w:rsid w:val="004D5343"/>
    <w:rsid w:val="004D7EB6"/>
    <w:rsid w:val="004E0658"/>
    <w:rsid w:val="004E11A1"/>
    <w:rsid w:val="004E1273"/>
    <w:rsid w:val="004F1527"/>
    <w:rsid w:val="004F202C"/>
    <w:rsid w:val="004F776C"/>
    <w:rsid w:val="005004BF"/>
    <w:rsid w:val="0050115F"/>
    <w:rsid w:val="00510D16"/>
    <w:rsid w:val="00511526"/>
    <w:rsid w:val="00511C12"/>
    <w:rsid w:val="00520F82"/>
    <w:rsid w:val="00521CB5"/>
    <w:rsid w:val="005232B1"/>
    <w:rsid w:val="005242A5"/>
    <w:rsid w:val="005259AF"/>
    <w:rsid w:val="00527407"/>
    <w:rsid w:val="00527AAE"/>
    <w:rsid w:val="0053097C"/>
    <w:rsid w:val="00530CD6"/>
    <w:rsid w:val="00532C0E"/>
    <w:rsid w:val="005334FB"/>
    <w:rsid w:val="00535880"/>
    <w:rsid w:val="005455DA"/>
    <w:rsid w:val="005462D4"/>
    <w:rsid w:val="00547346"/>
    <w:rsid w:val="00550E53"/>
    <w:rsid w:val="00551886"/>
    <w:rsid w:val="00551FF8"/>
    <w:rsid w:val="005521C9"/>
    <w:rsid w:val="00552FD3"/>
    <w:rsid w:val="00554754"/>
    <w:rsid w:val="0055513E"/>
    <w:rsid w:val="00555FA1"/>
    <w:rsid w:val="00560641"/>
    <w:rsid w:val="00562B1E"/>
    <w:rsid w:val="00563946"/>
    <w:rsid w:val="00564722"/>
    <w:rsid w:val="0056751F"/>
    <w:rsid w:val="00567D5C"/>
    <w:rsid w:val="00567DB6"/>
    <w:rsid w:val="00571C79"/>
    <w:rsid w:val="0057406A"/>
    <w:rsid w:val="00576925"/>
    <w:rsid w:val="00581DDC"/>
    <w:rsid w:val="00582F26"/>
    <w:rsid w:val="005839B5"/>
    <w:rsid w:val="00584D10"/>
    <w:rsid w:val="005856C5"/>
    <w:rsid w:val="00592F86"/>
    <w:rsid w:val="00593504"/>
    <w:rsid w:val="00594602"/>
    <w:rsid w:val="005A0E7F"/>
    <w:rsid w:val="005A2430"/>
    <w:rsid w:val="005A72EB"/>
    <w:rsid w:val="005B286C"/>
    <w:rsid w:val="005B61A8"/>
    <w:rsid w:val="005B7B96"/>
    <w:rsid w:val="005C1A83"/>
    <w:rsid w:val="005C26A7"/>
    <w:rsid w:val="005C48BE"/>
    <w:rsid w:val="005C6A21"/>
    <w:rsid w:val="005C73DC"/>
    <w:rsid w:val="005D0331"/>
    <w:rsid w:val="005D455A"/>
    <w:rsid w:val="005D7794"/>
    <w:rsid w:val="005E2DF4"/>
    <w:rsid w:val="005E3465"/>
    <w:rsid w:val="005E35AB"/>
    <w:rsid w:val="005E69F5"/>
    <w:rsid w:val="005E7A82"/>
    <w:rsid w:val="005F375E"/>
    <w:rsid w:val="005F5709"/>
    <w:rsid w:val="005F5BE7"/>
    <w:rsid w:val="005F7C5D"/>
    <w:rsid w:val="005F7DDC"/>
    <w:rsid w:val="00600647"/>
    <w:rsid w:val="006014CD"/>
    <w:rsid w:val="006054DA"/>
    <w:rsid w:val="00605B21"/>
    <w:rsid w:val="00606157"/>
    <w:rsid w:val="006147C1"/>
    <w:rsid w:val="00617B6F"/>
    <w:rsid w:val="006200E0"/>
    <w:rsid w:val="00621AFC"/>
    <w:rsid w:val="00621E6F"/>
    <w:rsid w:val="00622D3B"/>
    <w:rsid w:val="00625C3E"/>
    <w:rsid w:val="006308D1"/>
    <w:rsid w:val="00630A18"/>
    <w:rsid w:val="00633E24"/>
    <w:rsid w:val="00635118"/>
    <w:rsid w:val="0064598D"/>
    <w:rsid w:val="00647607"/>
    <w:rsid w:val="00647B08"/>
    <w:rsid w:val="00662FCA"/>
    <w:rsid w:val="0066300B"/>
    <w:rsid w:val="0066467C"/>
    <w:rsid w:val="006651C3"/>
    <w:rsid w:val="00666D15"/>
    <w:rsid w:val="00672665"/>
    <w:rsid w:val="006745A0"/>
    <w:rsid w:val="00675729"/>
    <w:rsid w:val="0068025E"/>
    <w:rsid w:val="006802F9"/>
    <w:rsid w:val="0068071A"/>
    <w:rsid w:val="00682170"/>
    <w:rsid w:val="006826BE"/>
    <w:rsid w:val="00683235"/>
    <w:rsid w:val="00683714"/>
    <w:rsid w:val="0068608B"/>
    <w:rsid w:val="00686B16"/>
    <w:rsid w:val="00686CDE"/>
    <w:rsid w:val="006874C7"/>
    <w:rsid w:val="00691346"/>
    <w:rsid w:val="0069144A"/>
    <w:rsid w:val="00691659"/>
    <w:rsid w:val="006931E4"/>
    <w:rsid w:val="0069491A"/>
    <w:rsid w:val="006973FF"/>
    <w:rsid w:val="00697707"/>
    <w:rsid w:val="006A4249"/>
    <w:rsid w:val="006A42F1"/>
    <w:rsid w:val="006A4522"/>
    <w:rsid w:val="006A5049"/>
    <w:rsid w:val="006A59D0"/>
    <w:rsid w:val="006A5F68"/>
    <w:rsid w:val="006B1871"/>
    <w:rsid w:val="006B42C6"/>
    <w:rsid w:val="006C054F"/>
    <w:rsid w:val="006C2238"/>
    <w:rsid w:val="006D19D9"/>
    <w:rsid w:val="006D204C"/>
    <w:rsid w:val="006D2F0B"/>
    <w:rsid w:val="006D5ABB"/>
    <w:rsid w:val="006D7173"/>
    <w:rsid w:val="006E1DD2"/>
    <w:rsid w:val="006E705D"/>
    <w:rsid w:val="006F39CA"/>
    <w:rsid w:val="00704D80"/>
    <w:rsid w:val="00707BDC"/>
    <w:rsid w:val="00711306"/>
    <w:rsid w:val="00712A56"/>
    <w:rsid w:val="00713F06"/>
    <w:rsid w:val="00720418"/>
    <w:rsid w:val="00720697"/>
    <w:rsid w:val="00720907"/>
    <w:rsid w:val="00720AEE"/>
    <w:rsid w:val="00721891"/>
    <w:rsid w:val="00721CE1"/>
    <w:rsid w:val="00722501"/>
    <w:rsid w:val="00725051"/>
    <w:rsid w:val="00727D2C"/>
    <w:rsid w:val="00730134"/>
    <w:rsid w:val="007321BB"/>
    <w:rsid w:val="007335D8"/>
    <w:rsid w:val="00741A41"/>
    <w:rsid w:val="007437FE"/>
    <w:rsid w:val="00745CDF"/>
    <w:rsid w:val="0074681A"/>
    <w:rsid w:val="00747A24"/>
    <w:rsid w:val="007506DE"/>
    <w:rsid w:val="00751407"/>
    <w:rsid w:val="00752DAC"/>
    <w:rsid w:val="00753F56"/>
    <w:rsid w:val="007553C8"/>
    <w:rsid w:val="00756DA0"/>
    <w:rsid w:val="00757332"/>
    <w:rsid w:val="00757BFE"/>
    <w:rsid w:val="00757F7C"/>
    <w:rsid w:val="007619DA"/>
    <w:rsid w:val="00762E86"/>
    <w:rsid w:val="00765C29"/>
    <w:rsid w:val="007708AF"/>
    <w:rsid w:val="0077354A"/>
    <w:rsid w:val="00774291"/>
    <w:rsid w:val="007745D8"/>
    <w:rsid w:val="00776DC6"/>
    <w:rsid w:val="00781D8E"/>
    <w:rsid w:val="007821B1"/>
    <w:rsid w:val="007849CA"/>
    <w:rsid w:val="007854C3"/>
    <w:rsid w:val="00786573"/>
    <w:rsid w:val="007907E3"/>
    <w:rsid w:val="00794A71"/>
    <w:rsid w:val="007A1425"/>
    <w:rsid w:val="007A1B65"/>
    <w:rsid w:val="007A21DF"/>
    <w:rsid w:val="007B23EC"/>
    <w:rsid w:val="007B29E2"/>
    <w:rsid w:val="007B54CE"/>
    <w:rsid w:val="007C05D3"/>
    <w:rsid w:val="007C3749"/>
    <w:rsid w:val="007C43AE"/>
    <w:rsid w:val="007C4A45"/>
    <w:rsid w:val="007D2EDD"/>
    <w:rsid w:val="007D335D"/>
    <w:rsid w:val="007D39EE"/>
    <w:rsid w:val="007D4656"/>
    <w:rsid w:val="007E7B2E"/>
    <w:rsid w:val="007F4915"/>
    <w:rsid w:val="007F7E36"/>
    <w:rsid w:val="0080474D"/>
    <w:rsid w:val="008058FC"/>
    <w:rsid w:val="0080633C"/>
    <w:rsid w:val="00813380"/>
    <w:rsid w:val="008143A5"/>
    <w:rsid w:val="0081513F"/>
    <w:rsid w:val="008162EB"/>
    <w:rsid w:val="008163F9"/>
    <w:rsid w:val="00824CF1"/>
    <w:rsid w:val="0082500C"/>
    <w:rsid w:val="00825437"/>
    <w:rsid w:val="00825B5C"/>
    <w:rsid w:val="00826682"/>
    <w:rsid w:val="0082718E"/>
    <w:rsid w:val="00831238"/>
    <w:rsid w:val="00837415"/>
    <w:rsid w:val="00841426"/>
    <w:rsid w:val="0084203B"/>
    <w:rsid w:val="00842B5D"/>
    <w:rsid w:val="008440E5"/>
    <w:rsid w:val="0084589F"/>
    <w:rsid w:val="008514D9"/>
    <w:rsid w:val="008522FB"/>
    <w:rsid w:val="00854406"/>
    <w:rsid w:val="0085730B"/>
    <w:rsid w:val="0086542F"/>
    <w:rsid w:val="0086622D"/>
    <w:rsid w:val="00867CD4"/>
    <w:rsid w:val="00870248"/>
    <w:rsid w:val="008714CE"/>
    <w:rsid w:val="00871843"/>
    <w:rsid w:val="008725E6"/>
    <w:rsid w:val="00872F3C"/>
    <w:rsid w:val="008749B5"/>
    <w:rsid w:val="00876A95"/>
    <w:rsid w:val="00876A9A"/>
    <w:rsid w:val="00882F40"/>
    <w:rsid w:val="008850F7"/>
    <w:rsid w:val="008851D0"/>
    <w:rsid w:val="00885679"/>
    <w:rsid w:val="0089012F"/>
    <w:rsid w:val="00890CFA"/>
    <w:rsid w:val="00894305"/>
    <w:rsid w:val="00896BB1"/>
    <w:rsid w:val="00896F3D"/>
    <w:rsid w:val="008A170A"/>
    <w:rsid w:val="008A17E7"/>
    <w:rsid w:val="008A63F9"/>
    <w:rsid w:val="008B2A8B"/>
    <w:rsid w:val="008C5B27"/>
    <w:rsid w:val="008D0729"/>
    <w:rsid w:val="008D2010"/>
    <w:rsid w:val="008D3A8D"/>
    <w:rsid w:val="008D6D21"/>
    <w:rsid w:val="008E0F13"/>
    <w:rsid w:val="008E12E6"/>
    <w:rsid w:val="008E1C63"/>
    <w:rsid w:val="008E6A34"/>
    <w:rsid w:val="008F102D"/>
    <w:rsid w:val="008F3ED2"/>
    <w:rsid w:val="008F5FD3"/>
    <w:rsid w:val="008F749D"/>
    <w:rsid w:val="009005C1"/>
    <w:rsid w:val="00902026"/>
    <w:rsid w:val="00903EB8"/>
    <w:rsid w:val="009047DF"/>
    <w:rsid w:val="00905D16"/>
    <w:rsid w:val="009066A1"/>
    <w:rsid w:val="0090736B"/>
    <w:rsid w:val="00911064"/>
    <w:rsid w:val="00912E12"/>
    <w:rsid w:val="00912FF8"/>
    <w:rsid w:val="009142E0"/>
    <w:rsid w:val="00916A99"/>
    <w:rsid w:val="009235B3"/>
    <w:rsid w:val="00923D1E"/>
    <w:rsid w:val="009241E2"/>
    <w:rsid w:val="00931128"/>
    <w:rsid w:val="00931E42"/>
    <w:rsid w:val="00933E9F"/>
    <w:rsid w:val="009346F3"/>
    <w:rsid w:val="009415D8"/>
    <w:rsid w:val="00947768"/>
    <w:rsid w:val="00947B81"/>
    <w:rsid w:val="0095217A"/>
    <w:rsid w:val="00957994"/>
    <w:rsid w:val="00960C06"/>
    <w:rsid w:val="009614B7"/>
    <w:rsid w:val="00961AF7"/>
    <w:rsid w:val="009643F1"/>
    <w:rsid w:val="009663BF"/>
    <w:rsid w:val="00972F82"/>
    <w:rsid w:val="009756A2"/>
    <w:rsid w:val="00976F6C"/>
    <w:rsid w:val="009802EE"/>
    <w:rsid w:val="00981FB1"/>
    <w:rsid w:val="0098345F"/>
    <w:rsid w:val="00986D22"/>
    <w:rsid w:val="009879A3"/>
    <w:rsid w:val="0099041F"/>
    <w:rsid w:val="0099060E"/>
    <w:rsid w:val="009942E8"/>
    <w:rsid w:val="009A00B3"/>
    <w:rsid w:val="009A228D"/>
    <w:rsid w:val="009A565A"/>
    <w:rsid w:val="009B4249"/>
    <w:rsid w:val="009B4453"/>
    <w:rsid w:val="009B5F36"/>
    <w:rsid w:val="009B6F4F"/>
    <w:rsid w:val="009C029F"/>
    <w:rsid w:val="009C02F1"/>
    <w:rsid w:val="009C0400"/>
    <w:rsid w:val="009C16D7"/>
    <w:rsid w:val="009C1A87"/>
    <w:rsid w:val="009C319C"/>
    <w:rsid w:val="009C4A25"/>
    <w:rsid w:val="009C64CA"/>
    <w:rsid w:val="009C69F8"/>
    <w:rsid w:val="009D060E"/>
    <w:rsid w:val="009D19F6"/>
    <w:rsid w:val="009D1C99"/>
    <w:rsid w:val="009D2748"/>
    <w:rsid w:val="009D416F"/>
    <w:rsid w:val="009D5F81"/>
    <w:rsid w:val="009D6E25"/>
    <w:rsid w:val="009E2A24"/>
    <w:rsid w:val="009E2F5B"/>
    <w:rsid w:val="009E5F14"/>
    <w:rsid w:val="009F748C"/>
    <w:rsid w:val="00A06AD8"/>
    <w:rsid w:val="00A07454"/>
    <w:rsid w:val="00A1255A"/>
    <w:rsid w:val="00A1283E"/>
    <w:rsid w:val="00A15C19"/>
    <w:rsid w:val="00A17023"/>
    <w:rsid w:val="00A17AF3"/>
    <w:rsid w:val="00A2381D"/>
    <w:rsid w:val="00A2394C"/>
    <w:rsid w:val="00A27B09"/>
    <w:rsid w:val="00A31DF9"/>
    <w:rsid w:val="00A3664B"/>
    <w:rsid w:val="00A41D39"/>
    <w:rsid w:val="00A43389"/>
    <w:rsid w:val="00A433E1"/>
    <w:rsid w:val="00A439FD"/>
    <w:rsid w:val="00A44F9B"/>
    <w:rsid w:val="00A47A72"/>
    <w:rsid w:val="00A544F0"/>
    <w:rsid w:val="00A549F6"/>
    <w:rsid w:val="00A55B08"/>
    <w:rsid w:val="00A67603"/>
    <w:rsid w:val="00A7357C"/>
    <w:rsid w:val="00A747EA"/>
    <w:rsid w:val="00A854F3"/>
    <w:rsid w:val="00A85B55"/>
    <w:rsid w:val="00AA3585"/>
    <w:rsid w:val="00AA779C"/>
    <w:rsid w:val="00AB03C4"/>
    <w:rsid w:val="00AB22C5"/>
    <w:rsid w:val="00AB254F"/>
    <w:rsid w:val="00AB28FC"/>
    <w:rsid w:val="00AB51B1"/>
    <w:rsid w:val="00AB5A7A"/>
    <w:rsid w:val="00AB7AA8"/>
    <w:rsid w:val="00AC4068"/>
    <w:rsid w:val="00AC438C"/>
    <w:rsid w:val="00AC5A6B"/>
    <w:rsid w:val="00AC61AB"/>
    <w:rsid w:val="00AD1600"/>
    <w:rsid w:val="00AD4D54"/>
    <w:rsid w:val="00AD4FCE"/>
    <w:rsid w:val="00AD7AE6"/>
    <w:rsid w:val="00AE51FD"/>
    <w:rsid w:val="00AE61A5"/>
    <w:rsid w:val="00AF2C32"/>
    <w:rsid w:val="00AF7080"/>
    <w:rsid w:val="00B00532"/>
    <w:rsid w:val="00B00F37"/>
    <w:rsid w:val="00B02214"/>
    <w:rsid w:val="00B11830"/>
    <w:rsid w:val="00B12424"/>
    <w:rsid w:val="00B12598"/>
    <w:rsid w:val="00B12980"/>
    <w:rsid w:val="00B1389F"/>
    <w:rsid w:val="00B14A09"/>
    <w:rsid w:val="00B15845"/>
    <w:rsid w:val="00B171C5"/>
    <w:rsid w:val="00B21491"/>
    <w:rsid w:val="00B21E43"/>
    <w:rsid w:val="00B22291"/>
    <w:rsid w:val="00B27BB9"/>
    <w:rsid w:val="00B32100"/>
    <w:rsid w:val="00B408BE"/>
    <w:rsid w:val="00B429FC"/>
    <w:rsid w:val="00B430D3"/>
    <w:rsid w:val="00B46111"/>
    <w:rsid w:val="00B478DC"/>
    <w:rsid w:val="00B61DFA"/>
    <w:rsid w:val="00B63FD3"/>
    <w:rsid w:val="00B64F61"/>
    <w:rsid w:val="00B672E6"/>
    <w:rsid w:val="00B67549"/>
    <w:rsid w:val="00B85AB1"/>
    <w:rsid w:val="00B86149"/>
    <w:rsid w:val="00B928AD"/>
    <w:rsid w:val="00B92C66"/>
    <w:rsid w:val="00B940D8"/>
    <w:rsid w:val="00BA12AF"/>
    <w:rsid w:val="00BA39A8"/>
    <w:rsid w:val="00BA413D"/>
    <w:rsid w:val="00BA6364"/>
    <w:rsid w:val="00BA6E69"/>
    <w:rsid w:val="00BB0CD4"/>
    <w:rsid w:val="00BB31D5"/>
    <w:rsid w:val="00BB5B21"/>
    <w:rsid w:val="00BB5D1A"/>
    <w:rsid w:val="00BB7F60"/>
    <w:rsid w:val="00BC4F98"/>
    <w:rsid w:val="00BC58B3"/>
    <w:rsid w:val="00BC5D91"/>
    <w:rsid w:val="00BC6406"/>
    <w:rsid w:val="00BD0D6B"/>
    <w:rsid w:val="00BD3971"/>
    <w:rsid w:val="00BD3DEC"/>
    <w:rsid w:val="00BD4A17"/>
    <w:rsid w:val="00BD622A"/>
    <w:rsid w:val="00BE1C53"/>
    <w:rsid w:val="00BE2409"/>
    <w:rsid w:val="00BE2F5F"/>
    <w:rsid w:val="00BE319B"/>
    <w:rsid w:val="00BE34E9"/>
    <w:rsid w:val="00BE5307"/>
    <w:rsid w:val="00BE5B41"/>
    <w:rsid w:val="00BF0F70"/>
    <w:rsid w:val="00BF2A86"/>
    <w:rsid w:val="00BF3FDA"/>
    <w:rsid w:val="00BF5AD2"/>
    <w:rsid w:val="00BF6B40"/>
    <w:rsid w:val="00BF6E40"/>
    <w:rsid w:val="00C019FC"/>
    <w:rsid w:val="00C029E4"/>
    <w:rsid w:val="00C02E4D"/>
    <w:rsid w:val="00C03089"/>
    <w:rsid w:val="00C06E62"/>
    <w:rsid w:val="00C0738A"/>
    <w:rsid w:val="00C07BD1"/>
    <w:rsid w:val="00C13E6B"/>
    <w:rsid w:val="00C14ADB"/>
    <w:rsid w:val="00C225AB"/>
    <w:rsid w:val="00C2278A"/>
    <w:rsid w:val="00C23EF3"/>
    <w:rsid w:val="00C2467B"/>
    <w:rsid w:val="00C25104"/>
    <w:rsid w:val="00C3484F"/>
    <w:rsid w:val="00C353A0"/>
    <w:rsid w:val="00C37E34"/>
    <w:rsid w:val="00C4185F"/>
    <w:rsid w:val="00C44A0D"/>
    <w:rsid w:val="00C45787"/>
    <w:rsid w:val="00C46366"/>
    <w:rsid w:val="00C4787A"/>
    <w:rsid w:val="00C47BDD"/>
    <w:rsid w:val="00C52881"/>
    <w:rsid w:val="00C57B2F"/>
    <w:rsid w:val="00C6043F"/>
    <w:rsid w:val="00C63A66"/>
    <w:rsid w:val="00C74666"/>
    <w:rsid w:val="00C75DC7"/>
    <w:rsid w:val="00C76837"/>
    <w:rsid w:val="00C8173E"/>
    <w:rsid w:val="00C831D1"/>
    <w:rsid w:val="00C83647"/>
    <w:rsid w:val="00C83823"/>
    <w:rsid w:val="00C84B2D"/>
    <w:rsid w:val="00C85328"/>
    <w:rsid w:val="00C92590"/>
    <w:rsid w:val="00C93472"/>
    <w:rsid w:val="00C94CEB"/>
    <w:rsid w:val="00C94FA0"/>
    <w:rsid w:val="00C96B73"/>
    <w:rsid w:val="00CA06EB"/>
    <w:rsid w:val="00CA441D"/>
    <w:rsid w:val="00CA5B71"/>
    <w:rsid w:val="00CB05FA"/>
    <w:rsid w:val="00CB24B4"/>
    <w:rsid w:val="00CB6E6A"/>
    <w:rsid w:val="00CC02F6"/>
    <w:rsid w:val="00CC146F"/>
    <w:rsid w:val="00CC1630"/>
    <w:rsid w:val="00CC23A5"/>
    <w:rsid w:val="00CC3E2D"/>
    <w:rsid w:val="00CC46DB"/>
    <w:rsid w:val="00CC7311"/>
    <w:rsid w:val="00CC7C7D"/>
    <w:rsid w:val="00CC7F27"/>
    <w:rsid w:val="00CD12E2"/>
    <w:rsid w:val="00CD1E69"/>
    <w:rsid w:val="00CD20F2"/>
    <w:rsid w:val="00CD3B54"/>
    <w:rsid w:val="00CD5FA3"/>
    <w:rsid w:val="00CE1E80"/>
    <w:rsid w:val="00CE1F7A"/>
    <w:rsid w:val="00CE32E1"/>
    <w:rsid w:val="00CE3C7F"/>
    <w:rsid w:val="00CE4AF8"/>
    <w:rsid w:val="00CE63A1"/>
    <w:rsid w:val="00CE63A2"/>
    <w:rsid w:val="00CF2F5B"/>
    <w:rsid w:val="00CF70C8"/>
    <w:rsid w:val="00CF7DAC"/>
    <w:rsid w:val="00D029D8"/>
    <w:rsid w:val="00D03D28"/>
    <w:rsid w:val="00D04BB1"/>
    <w:rsid w:val="00D05481"/>
    <w:rsid w:val="00D05B78"/>
    <w:rsid w:val="00D0611C"/>
    <w:rsid w:val="00D07974"/>
    <w:rsid w:val="00D12633"/>
    <w:rsid w:val="00D14890"/>
    <w:rsid w:val="00D14B2B"/>
    <w:rsid w:val="00D15E32"/>
    <w:rsid w:val="00D16A79"/>
    <w:rsid w:val="00D1744A"/>
    <w:rsid w:val="00D213E0"/>
    <w:rsid w:val="00D24D69"/>
    <w:rsid w:val="00D3007C"/>
    <w:rsid w:val="00D32DAB"/>
    <w:rsid w:val="00D36228"/>
    <w:rsid w:val="00D40579"/>
    <w:rsid w:val="00D43747"/>
    <w:rsid w:val="00D456A2"/>
    <w:rsid w:val="00D45D43"/>
    <w:rsid w:val="00D46A61"/>
    <w:rsid w:val="00D57425"/>
    <w:rsid w:val="00D6024D"/>
    <w:rsid w:val="00D65077"/>
    <w:rsid w:val="00D66E08"/>
    <w:rsid w:val="00D678D1"/>
    <w:rsid w:val="00D70F38"/>
    <w:rsid w:val="00D71296"/>
    <w:rsid w:val="00D741AE"/>
    <w:rsid w:val="00D83A1E"/>
    <w:rsid w:val="00D8401B"/>
    <w:rsid w:val="00D847FE"/>
    <w:rsid w:val="00D854F5"/>
    <w:rsid w:val="00D909A0"/>
    <w:rsid w:val="00D9345F"/>
    <w:rsid w:val="00D93898"/>
    <w:rsid w:val="00D93B8D"/>
    <w:rsid w:val="00D96DCB"/>
    <w:rsid w:val="00D96EC3"/>
    <w:rsid w:val="00D9783B"/>
    <w:rsid w:val="00DA3080"/>
    <w:rsid w:val="00DA492D"/>
    <w:rsid w:val="00DB035D"/>
    <w:rsid w:val="00DB04F8"/>
    <w:rsid w:val="00DB7DB1"/>
    <w:rsid w:val="00DC6451"/>
    <w:rsid w:val="00DC6947"/>
    <w:rsid w:val="00DC7418"/>
    <w:rsid w:val="00DD13CF"/>
    <w:rsid w:val="00DD13D9"/>
    <w:rsid w:val="00DD34C7"/>
    <w:rsid w:val="00DD3D37"/>
    <w:rsid w:val="00DD541E"/>
    <w:rsid w:val="00DD6470"/>
    <w:rsid w:val="00DD7EBE"/>
    <w:rsid w:val="00DE2496"/>
    <w:rsid w:val="00DE2931"/>
    <w:rsid w:val="00DE2E8E"/>
    <w:rsid w:val="00DE3E1D"/>
    <w:rsid w:val="00DE4D02"/>
    <w:rsid w:val="00DE4E91"/>
    <w:rsid w:val="00DE58F7"/>
    <w:rsid w:val="00DF1D02"/>
    <w:rsid w:val="00DF29C1"/>
    <w:rsid w:val="00DF45D8"/>
    <w:rsid w:val="00DF55AA"/>
    <w:rsid w:val="00DF5C33"/>
    <w:rsid w:val="00DF742F"/>
    <w:rsid w:val="00DF74DF"/>
    <w:rsid w:val="00DF7CD5"/>
    <w:rsid w:val="00E0159C"/>
    <w:rsid w:val="00E023FC"/>
    <w:rsid w:val="00E047BF"/>
    <w:rsid w:val="00E04B8F"/>
    <w:rsid w:val="00E22843"/>
    <w:rsid w:val="00E23478"/>
    <w:rsid w:val="00E26B85"/>
    <w:rsid w:val="00E33A70"/>
    <w:rsid w:val="00E35C0F"/>
    <w:rsid w:val="00E36503"/>
    <w:rsid w:val="00E3650F"/>
    <w:rsid w:val="00E368A5"/>
    <w:rsid w:val="00E36BAC"/>
    <w:rsid w:val="00E40B67"/>
    <w:rsid w:val="00E45086"/>
    <w:rsid w:val="00E45D92"/>
    <w:rsid w:val="00E5130A"/>
    <w:rsid w:val="00E521D4"/>
    <w:rsid w:val="00E53482"/>
    <w:rsid w:val="00E60A27"/>
    <w:rsid w:val="00E622A6"/>
    <w:rsid w:val="00E62FA2"/>
    <w:rsid w:val="00E64A80"/>
    <w:rsid w:val="00E66C4D"/>
    <w:rsid w:val="00E70782"/>
    <w:rsid w:val="00E7531A"/>
    <w:rsid w:val="00E80E25"/>
    <w:rsid w:val="00E83218"/>
    <w:rsid w:val="00E83E82"/>
    <w:rsid w:val="00E840EC"/>
    <w:rsid w:val="00E84D21"/>
    <w:rsid w:val="00E878FA"/>
    <w:rsid w:val="00E9008F"/>
    <w:rsid w:val="00E934C2"/>
    <w:rsid w:val="00E947EA"/>
    <w:rsid w:val="00E96E99"/>
    <w:rsid w:val="00EA263E"/>
    <w:rsid w:val="00EA2BD3"/>
    <w:rsid w:val="00EA7CC1"/>
    <w:rsid w:val="00EB0374"/>
    <w:rsid w:val="00EB07E8"/>
    <w:rsid w:val="00EB0A3B"/>
    <w:rsid w:val="00EB1312"/>
    <w:rsid w:val="00EB20C9"/>
    <w:rsid w:val="00EB373C"/>
    <w:rsid w:val="00EB451D"/>
    <w:rsid w:val="00EB54BB"/>
    <w:rsid w:val="00EB58B9"/>
    <w:rsid w:val="00EB7E35"/>
    <w:rsid w:val="00EC38CD"/>
    <w:rsid w:val="00EC4788"/>
    <w:rsid w:val="00EC47F8"/>
    <w:rsid w:val="00EC604F"/>
    <w:rsid w:val="00EC7CBE"/>
    <w:rsid w:val="00ED08E5"/>
    <w:rsid w:val="00ED20FF"/>
    <w:rsid w:val="00ED5A1B"/>
    <w:rsid w:val="00EE1E5C"/>
    <w:rsid w:val="00EE583F"/>
    <w:rsid w:val="00EE6006"/>
    <w:rsid w:val="00EF0EC3"/>
    <w:rsid w:val="00EF3447"/>
    <w:rsid w:val="00EF7B7F"/>
    <w:rsid w:val="00F002AE"/>
    <w:rsid w:val="00F013FE"/>
    <w:rsid w:val="00F0401A"/>
    <w:rsid w:val="00F06874"/>
    <w:rsid w:val="00F110C3"/>
    <w:rsid w:val="00F13F9E"/>
    <w:rsid w:val="00F17A0F"/>
    <w:rsid w:val="00F20CA5"/>
    <w:rsid w:val="00F20E14"/>
    <w:rsid w:val="00F234AD"/>
    <w:rsid w:val="00F24965"/>
    <w:rsid w:val="00F24BFC"/>
    <w:rsid w:val="00F31D08"/>
    <w:rsid w:val="00F3311A"/>
    <w:rsid w:val="00F36F46"/>
    <w:rsid w:val="00F36F7D"/>
    <w:rsid w:val="00F40183"/>
    <w:rsid w:val="00F4104B"/>
    <w:rsid w:val="00F46DC3"/>
    <w:rsid w:val="00F54B9A"/>
    <w:rsid w:val="00F54D63"/>
    <w:rsid w:val="00F611D3"/>
    <w:rsid w:val="00F61BBF"/>
    <w:rsid w:val="00F62474"/>
    <w:rsid w:val="00F708C0"/>
    <w:rsid w:val="00F75BD9"/>
    <w:rsid w:val="00F75FFC"/>
    <w:rsid w:val="00F80890"/>
    <w:rsid w:val="00F81877"/>
    <w:rsid w:val="00F824DD"/>
    <w:rsid w:val="00F87BD1"/>
    <w:rsid w:val="00F936A4"/>
    <w:rsid w:val="00F949C3"/>
    <w:rsid w:val="00FA1604"/>
    <w:rsid w:val="00FA2713"/>
    <w:rsid w:val="00FA4239"/>
    <w:rsid w:val="00FA5EB5"/>
    <w:rsid w:val="00FB12C8"/>
    <w:rsid w:val="00FB5BB4"/>
    <w:rsid w:val="00FC36A1"/>
    <w:rsid w:val="00FC5E0C"/>
    <w:rsid w:val="00FC652D"/>
    <w:rsid w:val="00FD1AE8"/>
    <w:rsid w:val="00FD1DFE"/>
    <w:rsid w:val="00FD3921"/>
    <w:rsid w:val="00FD440D"/>
    <w:rsid w:val="00FD5530"/>
    <w:rsid w:val="00FD5C58"/>
    <w:rsid w:val="00FD6BFD"/>
    <w:rsid w:val="00FD6E50"/>
    <w:rsid w:val="00FE03F5"/>
    <w:rsid w:val="00FE26E0"/>
    <w:rsid w:val="00FE4F4B"/>
    <w:rsid w:val="00FE5670"/>
    <w:rsid w:val="00FF4F53"/>
    <w:rsid w:val="00FF584B"/>
    <w:rsid w:val="00FF718C"/>
    <w:rsid w:val="00FF750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25F42"/>
  <w15:chartTrackingRefBased/>
  <w15:docId w15:val="{D91078B7-35F4-7D41-890A-84269CF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D0"/>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5D4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D45D43"/>
    <w:rPr>
      <w:sz w:val="20"/>
      <w:szCs w:val="20"/>
    </w:rPr>
  </w:style>
  <w:style w:type="character" w:customStyle="1" w:styleId="TextonotapieCar1">
    <w:name w:val="Texto nota pie Car1"/>
    <w:basedOn w:val="Fuentedeprrafopredeter"/>
    <w:uiPriority w:val="99"/>
    <w:semiHidden/>
    <w:rsid w:val="00D45D43"/>
    <w:rPr>
      <w:sz w:val="20"/>
      <w:szCs w:val="20"/>
      <w:lang w:val="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D45D43"/>
    <w:rPr>
      <w:vertAlign w:val="superscript"/>
    </w:rPr>
  </w:style>
  <w:style w:type="paragraph" w:customStyle="1" w:styleId="Appelnotedebasde">
    <w:name w:val="Appel note de bas de..."/>
    <w:basedOn w:val="Normal"/>
    <w:link w:val="Refdenotaalpie"/>
    <w:uiPriority w:val="99"/>
    <w:rsid w:val="00D45D43"/>
    <w:pPr>
      <w:spacing w:after="160" w:line="240" w:lineRule="exact"/>
    </w:pPr>
    <w:rPr>
      <w:vertAlign w:val="superscript"/>
      <w:lang w:val="es-CO"/>
    </w:rPr>
  </w:style>
  <w:style w:type="paragraph" w:styleId="Piedepgina">
    <w:name w:val="footer"/>
    <w:basedOn w:val="Normal"/>
    <w:link w:val="PiedepginaCar"/>
    <w:uiPriority w:val="99"/>
    <w:unhideWhenUsed/>
    <w:rsid w:val="00D45D43"/>
    <w:pPr>
      <w:tabs>
        <w:tab w:val="center" w:pos="4419"/>
        <w:tab w:val="right" w:pos="8838"/>
      </w:tabs>
    </w:pPr>
  </w:style>
  <w:style w:type="character" w:customStyle="1" w:styleId="PiedepginaCar">
    <w:name w:val="Pie de página Car"/>
    <w:basedOn w:val="Fuentedeprrafopredeter"/>
    <w:link w:val="Piedepgina"/>
    <w:uiPriority w:val="99"/>
    <w:rsid w:val="00D45D43"/>
    <w:rPr>
      <w:szCs w:val="22"/>
      <w:lang w:val="es-MX"/>
    </w:rPr>
  </w:style>
  <w:style w:type="paragraph" w:styleId="Encabezado">
    <w:name w:val="header"/>
    <w:basedOn w:val="Normal"/>
    <w:link w:val="EncabezadoCar"/>
    <w:uiPriority w:val="99"/>
    <w:unhideWhenUsed/>
    <w:rsid w:val="00D45D43"/>
    <w:pPr>
      <w:tabs>
        <w:tab w:val="center" w:pos="4252"/>
        <w:tab w:val="right" w:pos="8504"/>
      </w:tabs>
    </w:pPr>
  </w:style>
  <w:style w:type="character" w:customStyle="1" w:styleId="EncabezadoCar">
    <w:name w:val="Encabezado Car"/>
    <w:basedOn w:val="Fuentedeprrafopredeter"/>
    <w:link w:val="Encabezado"/>
    <w:uiPriority w:val="99"/>
    <w:rsid w:val="00D45D43"/>
    <w:rPr>
      <w:szCs w:val="22"/>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45D43"/>
    <w:pPr>
      <w:ind w:left="720"/>
      <w:contextualSpacing/>
    </w:pPr>
  </w:style>
  <w:style w:type="paragraph" w:styleId="NormalWeb">
    <w:name w:val="Normal (Web)"/>
    <w:basedOn w:val="Normal"/>
    <w:link w:val="NormalWebCar"/>
    <w:uiPriority w:val="99"/>
    <w:unhideWhenUsed/>
    <w:rsid w:val="00D45D4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D45D43"/>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45D43"/>
    <w:rPr>
      <w:szCs w:val="22"/>
      <w:lang w:val="es-MX"/>
    </w:rPr>
  </w:style>
  <w:style w:type="character" w:customStyle="1" w:styleId="NormalWebCar">
    <w:name w:val="Normal (Web) Car"/>
    <w:link w:val="NormalWeb"/>
    <w:uiPriority w:val="99"/>
    <w:locked/>
    <w:rsid w:val="00D45D43"/>
    <w:rPr>
      <w:rFonts w:ascii="Times New Roman" w:eastAsia="Times New Roman" w:hAnsi="Times New Roman" w:cs="Times New Roman"/>
      <w:lang w:eastAsia="es-CO"/>
    </w:rPr>
  </w:style>
  <w:style w:type="paragraph" w:styleId="Textoindependiente">
    <w:name w:val="Body Text"/>
    <w:basedOn w:val="Normal"/>
    <w:link w:val="TextoindependienteCar"/>
    <w:uiPriority w:val="1"/>
    <w:qFormat/>
    <w:rsid w:val="00D45D43"/>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45D43"/>
    <w:rPr>
      <w:rFonts w:ascii="Arial" w:eastAsia="Arial" w:hAnsi="Arial" w:cs="Arial"/>
      <w:sz w:val="22"/>
      <w:szCs w:val="22"/>
      <w:lang w:val="es-ES" w:eastAsia="es-ES" w:bidi="es-ES"/>
    </w:rPr>
  </w:style>
  <w:style w:type="table" w:customStyle="1" w:styleId="Tablaconcuadrcula1">
    <w:name w:val="Tabla con cuadrícula1"/>
    <w:basedOn w:val="Tablanormal"/>
    <w:next w:val="Tablaconcuadrcula"/>
    <w:uiPriority w:val="3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D43"/>
    <w:pPr>
      <w:autoSpaceDE w:val="0"/>
      <w:autoSpaceDN w:val="0"/>
      <w:adjustRightInd w:val="0"/>
    </w:pPr>
    <w:rPr>
      <w:rFonts w:ascii="Arial" w:hAnsi="Arial" w:cs="Arial"/>
      <w:color w:val="000000"/>
      <w:lang w:val="es-ES"/>
    </w:rPr>
  </w:style>
  <w:style w:type="table" w:customStyle="1" w:styleId="Tablaconcuadrcula21">
    <w:name w:val="Tabla con cuadrícula21"/>
    <w:basedOn w:val="Tablanormal"/>
    <w:next w:val="Tablaconcuadrcula"/>
    <w:uiPriority w:val="5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4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75729"/>
    <w:rPr>
      <w:sz w:val="16"/>
      <w:szCs w:val="16"/>
    </w:rPr>
  </w:style>
  <w:style w:type="paragraph" w:styleId="Textocomentario">
    <w:name w:val="annotation text"/>
    <w:basedOn w:val="Normal"/>
    <w:link w:val="TextocomentarioCar"/>
    <w:uiPriority w:val="99"/>
    <w:unhideWhenUsed/>
    <w:rsid w:val="00675729"/>
    <w:pPr>
      <w:spacing w:line="240" w:lineRule="auto"/>
    </w:pPr>
    <w:rPr>
      <w:sz w:val="20"/>
      <w:szCs w:val="20"/>
    </w:rPr>
  </w:style>
  <w:style w:type="character" w:customStyle="1" w:styleId="TextocomentarioCar">
    <w:name w:val="Texto comentario Car"/>
    <w:basedOn w:val="Fuentedeprrafopredeter"/>
    <w:link w:val="Textocomentario"/>
    <w:uiPriority w:val="99"/>
    <w:rsid w:val="0067572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75729"/>
    <w:rPr>
      <w:b/>
      <w:bCs/>
    </w:rPr>
  </w:style>
  <w:style w:type="character" w:customStyle="1" w:styleId="AsuntodelcomentarioCar">
    <w:name w:val="Asunto del comentario Car"/>
    <w:basedOn w:val="TextocomentarioCar"/>
    <w:link w:val="Asuntodelcomentario"/>
    <w:uiPriority w:val="99"/>
    <w:semiHidden/>
    <w:rsid w:val="00675729"/>
    <w:rPr>
      <w:b/>
      <w:bCs/>
      <w:sz w:val="20"/>
      <w:szCs w:val="20"/>
      <w:lang w:val="es-MX"/>
    </w:rPr>
  </w:style>
  <w:style w:type="paragraph" w:styleId="Revisin">
    <w:name w:val="Revision"/>
    <w:hidden/>
    <w:uiPriority w:val="99"/>
    <w:semiHidden/>
    <w:rsid w:val="000B66C7"/>
    <w:rPr>
      <w:szCs w:val="22"/>
      <w:lang w:val="es-MX"/>
    </w:rPr>
  </w:style>
  <w:style w:type="character" w:customStyle="1" w:styleId="apple-converted-space">
    <w:name w:val="apple-converted-space"/>
    <w:basedOn w:val="Fuentedeprrafopredeter"/>
    <w:rsid w:val="000B66C7"/>
  </w:style>
  <w:style w:type="character" w:customStyle="1" w:styleId="baj">
    <w:name w:val="b_aj"/>
    <w:basedOn w:val="Fuentedeprrafopredeter"/>
    <w:rsid w:val="00E23478"/>
  </w:style>
  <w:style w:type="character" w:styleId="nfasis">
    <w:name w:val="Emphasis"/>
    <w:basedOn w:val="Fuentedeprrafopredeter"/>
    <w:uiPriority w:val="20"/>
    <w:qFormat/>
    <w:rsid w:val="007849CA"/>
    <w:rPr>
      <w:i/>
      <w:iCs/>
    </w:rPr>
  </w:style>
  <w:style w:type="character" w:styleId="Hipervnculo">
    <w:name w:val="Hyperlink"/>
    <w:basedOn w:val="Fuentedeprrafopredeter"/>
    <w:uiPriority w:val="99"/>
    <w:unhideWhenUsed/>
    <w:rsid w:val="00332296"/>
    <w:rPr>
      <w:color w:val="0563C1" w:themeColor="hyperlink"/>
      <w:u w:val="single"/>
    </w:rPr>
  </w:style>
  <w:style w:type="character" w:styleId="Textoennegrita">
    <w:name w:val="Strong"/>
    <w:basedOn w:val="Fuentedeprrafopredeter"/>
    <w:uiPriority w:val="22"/>
    <w:qFormat/>
    <w:rsid w:val="00332296"/>
    <w:rPr>
      <w:b/>
      <w:bCs/>
    </w:rPr>
  </w:style>
  <w:style w:type="paragraph" w:customStyle="1" w:styleId="paragraph">
    <w:name w:val="paragraph"/>
    <w:basedOn w:val="Normal"/>
    <w:rsid w:val="00BE1C53"/>
    <w:pPr>
      <w:spacing w:before="100" w:beforeAutospacing="1" w:after="100" w:afterAutospacing="1" w:line="240" w:lineRule="auto"/>
      <w:jc w:val="left"/>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BE1C53"/>
  </w:style>
  <w:style w:type="character" w:customStyle="1" w:styleId="eop">
    <w:name w:val="eop"/>
    <w:basedOn w:val="Fuentedeprrafopredeter"/>
    <w:rsid w:val="00BE1C53"/>
  </w:style>
  <w:style w:type="character" w:styleId="Mencinsinresolver">
    <w:name w:val="Unresolved Mention"/>
    <w:basedOn w:val="Fuentedeprrafopredeter"/>
    <w:uiPriority w:val="99"/>
    <w:semiHidden/>
    <w:unhideWhenUsed/>
    <w:rsid w:val="00084A80"/>
    <w:rPr>
      <w:color w:val="605E5C"/>
      <w:shd w:val="clear" w:color="auto" w:fill="E1DFDD"/>
    </w:rPr>
  </w:style>
  <w:style w:type="character" w:customStyle="1" w:styleId="superscript">
    <w:name w:val="superscript"/>
    <w:basedOn w:val="Fuentedeprrafopredeter"/>
    <w:rsid w:val="003C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672">
      <w:bodyDiv w:val="1"/>
      <w:marLeft w:val="0"/>
      <w:marRight w:val="0"/>
      <w:marTop w:val="0"/>
      <w:marBottom w:val="0"/>
      <w:divBdr>
        <w:top w:val="none" w:sz="0" w:space="0" w:color="auto"/>
        <w:left w:val="none" w:sz="0" w:space="0" w:color="auto"/>
        <w:bottom w:val="none" w:sz="0" w:space="0" w:color="auto"/>
        <w:right w:val="none" w:sz="0" w:space="0" w:color="auto"/>
      </w:divBdr>
    </w:div>
    <w:div w:id="104349137">
      <w:bodyDiv w:val="1"/>
      <w:marLeft w:val="0"/>
      <w:marRight w:val="0"/>
      <w:marTop w:val="0"/>
      <w:marBottom w:val="0"/>
      <w:divBdr>
        <w:top w:val="none" w:sz="0" w:space="0" w:color="auto"/>
        <w:left w:val="none" w:sz="0" w:space="0" w:color="auto"/>
        <w:bottom w:val="none" w:sz="0" w:space="0" w:color="auto"/>
        <w:right w:val="none" w:sz="0" w:space="0" w:color="auto"/>
      </w:divBdr>
      <w:divsChild>
        <w:div w:id="591670662">
          <w:marLeft w:val="0"/>
          <w:marRight w:val="0"/>
          <w:marTop w:val="0"/>
          <w:marBottom w:val="0"/>
          <w:divBdr>
            <w:top w:val="none" w:sz="0" w:space="0" w:color="auto"/>
            <w:left w:val="none" w:sz="0" w:space="0" w:color="auto"/>
            <w:bottom w:val="none" w:sz="0" w:space="0" w:color="auto"/>
            <w:right w:val="none" w:sz="0" w:space="0" w:color="auto"/>
          </w:divBdr>
          <w:divsChild>
            <w:div w:id="2109809407">
              <w:marLeft w:val="0"/>
              <w:marRight w:val="0"/>
              <w:marTop w:val="0"/>
              <w:marBottom w:val="0"/>
              <w:divBdr>
                <w:top w:val="none" w:sz="0" w:space="0" w:color="auto"/>
                <w:left w:val="none" w:sz="0" w:space="0" w:color="auto"/>
                <w:bottom w:val="none" w:sz="0" w:space="0" w:color="auto"/>
                <w:right w:val="none" w:sz="0" w:space="0" w:color="auto"/>
              </w:divBdr>
              <w:divsChild>
                <w:div w:id="1389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1788">
      <w:bodyDiv w:val="1"/>
      <w:marLeft w:val="0"/>
      <w:marRight w:val="0"/>
      <w:marTop w:val="0"/>
      <w:marBottom w:val="0"/>
      <w:divBdr>
        <w:top w:val="none" w:sz="0" w:space="0" w:color="auto"/>
        <w:left w:val="none" w:sz="0" w:space="0" w:color="auto"/>
        <w:bottom w:val="none" w:sz="0" w:space="0" w:color="auto"/>
        <w:right w:val="none" w:sz="0" w:space="0" w:color="auto"/>
      </w:divBdr>
      <w:divsChild>
        <w:div w:id="1785688368">
          <w:marLeft w:val="0"/>
          <w:marRight w:val="0"/>
          <w:marTop w:val="0"/>
          <w:marBottom w:val="0"/>
          <w:divBdr>
            <w:top w:val="none" w:sz="0" w:space="0" w:color="auto"/>
            <w:left w:val="none" w:sz="0" w:space="0" w:color="auto"/>
            <w:bottom w:val="none" w:sz="0" w:space="0" w:color="auto"/>
            <w:right w:val="none" w:sz="0" w:space="0" w:color="auto"/>
          </w:divBdr>
        </w:div>
        <w:div w:id="1584951616">
          <w:marLeft w:val="0"/>
          <w:marRight w:val="0"/>
          <w:marTop w:val="0"/>
          <w:marBottom w:val="0"/>
          <w:divBdr>
            <w:top w:val="none" w:sz="0" w:space="0" w:color="auto"/>
            <w:left w:val="none" w:sz="0" w:space="0" w:color="auto"/>
            <w:bottom w:val="none" w:sz="0" w:space="0" w:color="auto"/>
            <w:right w:val="none" w:sz="0" w:space="0" w:color="auto"/>
          </w:divBdr>
        </w:div>
        <w:div w:id="1449620084">
          <w:marLeft w:val="0"/>
          <w:marRight w:val="0"/>
          <w:marTop w:val="0"/>
          <w:marBottom w:val="0"/>
          <w:divBdr>
            <w:top w:val="none" w:sz="0" w:space="0" w:color="auto"/>
            <w:left w:val="none" w:sz="0" w:space="0" w:color="auto"/>
            <w:bottom w:val="none" w:sz="0" w:space="0" w:color="auto"/>
            <w:right w:val="none" w:sz="0" w:space="0" w:color="auto"/>
          </w:divBdr>
        </w:div>
        <w:div w:id="1932809771">
          <w:marLeft w:val="0"/>
          <w:marRight w:val="0"/>
          <w:marTop w:val="0"/>
          <w:marBottom w:val="0"/>
          <w:divBdr>
            <w:top w:val="none" w:sz="0" w:space="0" w:color="auto"/>
            <w:left w:val="none" w:sz="0" w:space="0" w:color="auto"/>
            <w:bottom w:val="none" w:sz="0" w:space="0" w:color="auto"/>
            <w:right w:val="none" w:sz="0" w:space="0" w:color="auto"/>
          </w:divBdr>
        </w:div>
        <w:div w:id="1219319837">
          <w:marLeft w:val="0"/>
          <w:marRight w:val="0"/>
          <w:marTop w:val="0"/>
          <w:marBottom w:val="0"/>
          <w:divBdr>
            <w:top w:val="none" w:sz="0" w:space="0" w:color="auto"/>
            <w:left w:val="none" w:sz="0" w:space="0" w:color="auto"/>
            <w:bottom w:val="none" w:sz="0" w:space="0" w:color="auto"/>
            <w:right w:val="none" w:sz="0" w:space="0" w:color="auto"/>
          </w:divBdr>
        </w:div>
        <w:div w:id="1667978196">
          <w:marLeft w:val="0"/>
          <w:marRight w:val="0"/>
          <w:marTop w:val="0"/>
          <w:marBottom w:val="0"/>
          <w:divBdr>
            <w:top w:val="none" w:sz="0" w:space="0" w:color="auto"/>
            <w:left w:val="none" w:sz="0" w:space="0" w:color="auto"/>
            <w:bottom w:val="none" w:sz="0" w:space="0" w:color="auto"/>
            <w:right w:val="none" w:sz="0" w:space="0" w:color="auto"/>
          </w:divBdr>
        </w:div>
        <w:div w:id="27687961">
          <w:marLeft w:val="0"/>
          <w:marRight w:val="0"/>
          <w:marTop w:val="0"/>
          <w:marBottom w:val="0"/>
          <w:divBdr>
            <w:top w:val="none" w:sz="0" w:space="0" w:color="auto"/>
            <w:left w:val="none" w:sz="0" w:space="0" w:color="auto"/>
            <w:bottom w:val="none" w:sz="0" w:space="0" w:color="auto"/>
            <w:right w:val="none" w:sz="0" w:space="0" w:color="auto"/>
          </w:divBdr>
        </w:div>
        <w:div w:id="2009669312">
          <w:marLeft w:val="0"/>
          <w:marRight w:val="0"/>
          <w:marTop w:val="0"/>
          <w:marBottom w:val="0"/>
          <w:divBdr>
            <w:top w:val="none" w:sz="0" w:space="0" w:color="auto"/>
            <w:left w:val="none" w:sz="0" w:space="0" w:color="auto"/>
            <w:bottom w:val="none" w:sz="0" w:space="0" w:color="auto"/>
            <w:right w:val="none" w:sz="0" w:space="0" w:color="auto"/>
          </w:divBdr>
        </w:div>
        <w:div w:id="711734120">
          <w:marLeft w:val="0"/>
          <w:marRight w:val="0"/>
          <w:marTop w:val="0"/>
          <w:marBottom w:val="0"/>
          <w:divBdr>
            <w:top w:val="none" w:sz="0" w:space="0" w:color="auto"/>
            <w:left w:val="none" w:sz="0" w:space="0" w:color="auto"/>
            <w:bottom w:val="none" w:sz="0" w:space="0" w:color="auto"/>
            <w:right w:val="none" w:sz="0" w:space="0" w:color="auto"/>
          </w:divBdr>
        </w:div>
        <w:div w:id="1071003515">
          <w:marLeft w:val="0"/>
          <w:marRight w:val="0"/>
          <w:marTop w:val="0"/>
          <w:marBottom w:val="0"/>
          <w:divBdr>
            <w:top w:val="none" w:sz="0" w:space="0" w:color="auto"/>
            <w:left w:val="none" w:sz="0" w:space="0" w:color="auto"/>
            <w:bottom w:val="none" w:sz="0" w:space="0" w:color="auto"/>
            <w:right w:val="none" w:sz="0" w:space="0" w:color="auto"/>
          </w:divBdr>
        </w:div>
        <w:div w:id="87703002">
          <w:marLeft w:val="0"/>
          <w:marRight w:val="0"/>
          <w:marTop w:val="0"/>
          <w:marBottom w:val="0"/>
          <w:divBdr>
            <w:top w:val="none" w:sz="0" w:space="0" w:color="auto"/>
            <w:left w:val="none" w:sz="0" w:space="0" w:color="auto"/>
            <w:bottom w:val="none" w:sz="0" w:space="0" w:color="auto"/>
            <w:right w:val="none" w:sz="0" w:space="0" w:color="auto"/>
          </w:divBdr>
        </w:div>
        <w:div w:id="1972439572">
          <w:marLeft w:val="0"/>
          <w:marRight w:val="0"/>
          <w:marTop w:val="0"/>
          <w:marBottom w:val="0"/>
          <w:divBdr>
            <w:top w:val="none" w:sz="0" w:space="0" w:color="auto"/>
            <w:left w:val="none" w:sz="0" w:space="0" w:color="auto"/>
            <w:bottom w:val="none" w:sz="0" w:space="0" w:color="auto"/>
            <w:right w:val="none" w:sz="0" w:space="0" w:color="auto"/>
          </w:divBdr>
        </w:div>
        <w:div w:id="942493126">
          <w:marLeft w:val="0"/>
          <w:marRight w:val="0"/>
          <w:marTop w:val="0"/>
          <w:marBottom w:val="0"/>
          <w:divBdr>
            <w:top w:val="none" w:sz="0" w:space="0" w:color="auto"/>
            <w:left w:val="none" w:sz="0" w:space="0" w:color="auto"/>
            <w:bottom w:val="none" w:sz="0" w:space="0" w:color="auto"/>
            <w:right w:val="none" w:sz="0" w:space="0" w:color="auto"/>
          </w:divBdr>
        </w:div>
        <w:div w:id="1003433412">
          <w:marLeft w:val="0"/>
          <w:marRight w:val="0"/>
          <w:marTop w:val="0"/>
          <w:marBottom w:val="0"/>
          <w:divBdr>
            <w:top w:val="none" w:sz="0" w:space="0" w:color="auto"/>
            <w:left w:val="none" w:sz="0" w:space="0" w:color="auto"/>
            <w:bottom w:val="none" w:sz="0" w:space="0" w:color="auto"/>
            <w:right w:val="none" w:sz="0" w:space="0" w:color="auto"/>
          </w:divBdr>
        </w:div>
        <w:div w:id="1623876375">
          <w:marLeft w:val="0"/>
          <w:marRight w:val="0"/>
          <w:marTop w:val="0"/>
          <w:marBottom w:val="0"/>
          <w:divBdr>
            <w:top w:val="none" w:sz="0" w:space="0" w:color="auto"/>
            <w:left w:val="none" w:sz="0" w:space="0" w:color="auto"/>
            <w:bottom w:val="none" w:sz="0" w:space="0" w:color="auto"/>
            <w:right w:val="none" w:sz="0" w:space="0" w:color="auto"/>
          </w:divBdr>
        </w:div>
        <w:div w:id="60953952">
          <w:marLeft w:val="0"/>
          <w:marRight w:val="0"/>
          <w:marTop w:val="0"/>
          <w:marBottom w:val="0"/>
          <w:divBdr>
            <w:top w:val="none" w:sz="0" w:space="0" w:color="auto"/>
            <w:left w:val="none" w:sz="0" w:space="0" w:color="auto"/>
            <w:bottom w:val="none" w:sz="0" w:space="0" w:color="auto"/>
            <w:right w:val="none" w:sz="0" w:space="0" w:color="auto"/>
          </w:divBdr>
        </w:div>
        <w:div w:id="86972506">
          <w:marLeft w:val="0"/>
          <w:marRight w:val="0"/>
          <w:marTop w:val="0"/>
          <w:marBottom w:val="0"/>
          <w:divBdr>
            <w:top w:val="none" w:sz="0" w:space="0" w:color="auto"/>
            <w:left w:val="none" w:sz="0" w:space="0" w:color="auto"/>
            <w:bottom w:val="none" w:sz="0" w:space="0" w:color="auto"/>
            <w:right w:val="none" w:sz="0" w:space="0" w:color="auto"/>
          </w:divBdr>
        </w:div>
        <w:div w:id="969242762">
          <w:marLeft w:val="0"/>
          <w:marRight w:val="0"/>
          <w:marTop w:val="0"/>
          <w:marBottom w:val="0"/>
          <w:divBdr>
            <w:top w:val="none" w:sz="0" w:space="0" w:color="auto"/>
            <w:left w:val="none" w:sz="0" w:space="0" w:color="auto"/>
            <w:bottom w:val="none" w:sz="0" w:space="0" w:color="auto"/>
            <w:right w:val="none" w:sz="0" w:space="0" w:color="auto"/>
          </w:divBdr>
        </w:div>
        <w:div w:id="1785729728">
          <w:marLeft w:val="0"/>
          <w:marRight w:val="0"/>
          <w:marTop w:val="0"/>
          <w:marBottom w:val="0"/>
          <w:divBdr>
            <w:top w:val="none" w:sz="0" w:space="0" w:color="auto"/>
            <w:left w:val="none" w:sz="0" w:space="0" w:color="auto"/>
            <w:bottom w:val="none" w:sz="0" w:space="0" w:color="auto"/>
            <w:right w:val="none" w:sz="0" w:space="0" w:color="auto"/>
          </w:divBdr>
        </w:div>
        <w:div w:id="1280262445">
          <w:marLeft w:val="0"/>
          <w:marRight w:val="0"/>
          <w:marTop w:val="0"/>
          <w:marBottom w:val="0"/>
          <w:divBdr>
            <w:top w:val="none" w:sz="0" w:space="0" w:color="auto"/>
            <w:left w:val="none" w:sz="0" w:space="0" w:color="auto"/>
            <w:bottom w:val="none" w:sz="0" w:space="0" w:color="auto"/>
            <w:right w:val="none" w:sz="0" w:space="0" w:color="auto"/>
          </w:divBdr>
        </w:div>
        <w:div w:id="2014411531">
          <w:marLeft w:val="0"/>
          <w:marRight w:val="0"/>
          <w:marTop w:val="0"/>
          <w:marBottom w:val="0"/>
          <w:divBdr>
            <w:top w:val="none" w:sz="0" w:space="0" w:color="auto"/>
            <w:left w:val="none" w:sz="0" w:space="0" w:color="auto"/>
            <w:bottom w:val="none" w:sz="0" w:space="0" w:color="auto"/>
            <w:right w:val="none" w:sz="0" w:space="0" w:color="auto"/>
          </w:divBdr>
        </w:div>
        <w:div w:id="2070687829">
          <w:marLeft w:val="0"/>
          <w:marRight w:val="0"/>
          <w:marTop w:val="0"/>
          <w:marBottom w:val="0"/>
          <w:divBdr>
            <w:top w:val="none" w:sz="0" w:space="0" w:color="auto"/>
            <w:left w:val="none" w:sz="0" w:space="0" w:color="auto"/>
            <w:bottom w:val="none" w:sz="0" w:space="0" w:color="auto"/>
            <w:right w:val="none" w:sz="0" w:space="0" w:color="auto"/>
          </w:divBdr>
        </w:div>
        <w:div w:id="1231310609">
          <w:marLeft w:val="0"/>
          <w:marRight w:val="0"/>
          <w:marTop w:val="0"/>
          <w:marBottom w:val="0"/>
          <w:divBdr>
            <w:top w:val="none" w:sz="0" w:space="0" w:color="auto"/>
            <w:left w:val="none" w:sz="0" w:space="0" w:color="auto"/>
            <w:bottom w:val="none" w:sz="0" w:space="0" w:color="auto"/>
            <w:right w:val="none" w:sz="0" w:space="0" w:color="auto"/>
          </w:divBdr>
        </w:div>
        <w:div w:id="1391536869">
          <w:marLeft w:val="0"/>
          <w:marRight w:val="0"/>
          <w:marTop w:val="0"/>
          <w:marBottom w:val="0"/>
          <w:divBdr>
            <w:top w:val="none" w:sz="0" w:space="0" w:color="auto"/>
            <w:left w:val="none" w:sz="0" w:space="0" w:color="auto"/>
            <w:bottom w:val="none" w:sz="0" w:space="0" w:color="auto"/>
            <w:right w:val="none" w:sz="0" w:space="0" w:color="auto"/>
          </w:divBdr>
        </w:div>
        <w:div w:id="474185138">
          <w:marLeft w:val="0"/>
          <w:marRight w:val="0"/>
          <w:marTop w:val="0"/>
          <w:marBottom w:val="0"/>
          <w:divBdr>
            <w:top w:val="none" w:sz="0" w:space="0" w:color="auto"/>
            <w:left w:val="none" w:sz="0" w:space="0" w:color="auto"/>
            <w:bottom w:val="none" w:sz="0" w:space="0" w:color="auto"/>
            <w:right w:val="none" w:sz="0" w:space="0" w:color="auto"/>
          </w:divBdr>
        </w:div>
        <w:div w:id="1380976637">
          <w:marLeft w:val="0"/>
          <w:marRight w:val="0"/>
          <w:marTop w:val="0"/>
          <w:marBottom w:val="0"/>
          <w:divBdr>
            <w:top w:val="none" w:sz="0" w:space="0" w:color="auto"/>
            <w:left w:val="none" w:sz="0" w:space="0" w:color="auto"/>
            <w:bottom w:val="none" w:sz="0" w:space="0" w:color="auto"/>
            <w:right w:val="none" w:sz="0" w:space="0" w:color="auto"/>
          </w:divBdr>
        </w:div>
      </w:divsChild>
    </w:div>
    <w:div w:id="191185074">
      <w:bodyDiv w:val="1"/>
      <w:marLeft w:val="0"/>
      <w:marRight w:val="0"/>
      <w:marTop w:val="0"/>
      <w:marBottom w:val="0"/>
      <w:divBdr>
        <w:top w:val="none" w:sz="0" w:space="0" w:color="auto"/>
        <w:left w:val="none" w:sz="0" w:space="0" w:color="auto"/>
        <w:bottom w:val="none" w:sz="0" w:space="0" w:color="auto"/>
        <w:right w:val="none" w:sz="0" w:space="0" w:color="auto"/>
      </w:divBdr>
      <w:divsChild>
        <w:div w:id="599142097">
          <w:marLeft w:val="0"/>
          <w:marRight w:val="0"/>
          <w:marTop w:val="0"/>
          <w:marBottom w:val="0"/>
          <w:divBdr>
            <w:top w:val="none" w:sz="0" w:space="0" w:color="auto"/>
            <w:left w:val="none" w:sz="0" w:space="0" w:color="auto"/>
            <w:bottom w:val="none" w:sz="0" w:space="0" w:color="auto"/>
            <w:right w:val="none" w:sz="0" w:space="0" w:color="auto"/>
          </w:divBdr>
          <w:divsChild>
            <w:div w:id="1430857898">
              <w:marLeft w:val="0"/>
              <w:marRight w:val="0"/>
              <w:marTop w:val="0"/>
              <w:marBottom w:val="0"/>
              <w:divBdr>
                <w:top w:val="none" w:sz="0" w:space="0" w:color="auto"/>
                <w:left w:val="none" w:sz="0" w:space="0" w:color="auto"/>
                <w:bottom w:val="none" w:sz="0" w:space="0" w:color="auto"/>
                <w:right w:val="none" w:sz="0" w:space="0" w:color="auto"/>
              </w:divBdr>
              <w:divsChild>
                <w:div w:id="10415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777">
      <w:bodyDiv w:val="1"/>
      <w:marLeft w:val="0"/>
      <w:marRight w:val="0"/>
      <w:marTop w:val="0"/>
      <w:marBottom w:val="0"/>
      <w:divBdr>
        <w:top w:val="none" w:sz="0" w:space="0" w:color="auto"/>
        <w:left w:val="none" w:sz="0" w:space="0" w:color="auto"/>
        <w:bottom w:val="none" w:sz="0" w:space="0" w:color="auto"/>
        <w:right w:val="none" w:sz="0" w:space="0" w:color="auto"/>
      </w:divBdr>
      <w:divsChild>
        <w:div w:id="491986679">
          <w:marLeft w:val="0"/>
          <w:marRight w:val="0"/>
          <w:marTop w:val="0"/>
          <w:marBottom w:val="0"/>
          <w:divBdr>
            <w:top w:val="none" w:sz="0" w:space="0" w:color="auto"/>
            <w:left w:val="none" w:sz="0" w:space="0" w:color="auto"/>
            <w:bottom w:val="none" w:sz="0" w:space="0" w:color="auto"/>
            <w:right w:val="none" w:sz="0" w:space="0" w:color="auto"/>
          </w:divBdr>
          <w:divsChild>
            <w:div w:id="410664515">
              <w:marLeft w:val="0"/>
              <w:marRight w:val="0"/>
              <w:marTop w:val="0"/>
              <w:marBottom w:val="0"/>
              <w:divBdr>
                <w:top w:val="none" w:sz="0" w:space="0" w:color="auto"/>
                <w:left w:val="none" w:sz="0" w:space="0" w:color="auto"/>
                <w:bottom w:val="none" w:sz="0" w:space="0" w:color="auto"/>
                <w:right w:val="none" w:sz="0" w:space="0" w:color="auto"/>
              </w:divBdr>
              <w:divsChild>
                <w:div w:id="12054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6031">
      <w:bodyDiv w:val="1"/>
      <w:marLeft w:val="0"/>
      <w:marRight w:val="0"/>
      <w:marTop w:val="0"/>
      <w:marBottom w:val="0"/>
      <w:divBdr>
        <w:top w:val="none" w:sz="0" w:space="0" w:color="auto"/>
        <w:left w:val="none" w:sz="0" w:space="0" w:color="auto"/>
        <w:bottom w:val="none" w:sz="0" w:space="0" w:color="auto"/>
        <w:right w:val="none" w:sz="0" w:space="0" w:color="auto"/>
      </w:divBdr>
      <w:divsChild>
        <w:div w:id="1073426639">
          <w:marLeft w:val="0"/>
          <w:marRight w:val="0"/>
          <w:marTop w:val="0"/>
          <w:marBottom w:val="0"/>
          <w:divBdr>
            <w:top w:val="none" w:sz="0" w:space="0" w:color="auto"/>
            <w:left w:val="none" w:sz="0" w:space="0" w:color="auto"/>
            <w:bottom w:val="none" w:sz="0" w:space="0" w:color="auto"/>
            <w:right w:val="none" w:sz="0" w:space="0" w:color="auto"/>
          </w:divBdr>
          <w:divsChild>
            <w:div w:id="2028217608">
              <w:marLeft w:val="0"/>
              <w:marRight w:val="0"/>
              <w:marTop w:val="0"/>
              <w:marBottom w:val="0"/>
              <w:divBdr>
                <w:top w:val="none" w:sz="0" w:space="0" w:color="auto"/>
                <w:left w:val="none" w:sz="0" w:space="0" w:color="auto"/>
                <w:bottom w:val="none" w:sz="0" w:space="0" w:color="auto"/>
                <w:right w:val="none" w:sz="0" w:space="0" w:color="auto"/>
              </w:divBdr>
              <w:divsChild>
                <w:div w:id="14915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52237">
      <w:bodyDiv w:val="1"/>
      <w:marLeft w:val="0"/>
      <w:marRight w:val="0"/>
      <w:marTop w:val="0"/>
      <w:marBottom w:val="0"/>
      <w:divBdr>
        <w:top w:val="none" w:sz="0" w:space="0" w:color="auto"/>
        <w:left w:val="none" w:sz="0" w:space="0" w:color="auto"/>
        <w:bottom w:val="none" w:sz="0" w:space="0" w:color="auto"/>
        <w:right w:val="none" w:sz="0" w:space="0" w:color="auto"/>
      </w:divBdr>
    </w:div>
    <w:div w:id="298926016">
      <w:bodyDiv w:val="1"/>
      <w:marLeft w:val="0"/>
      <w:marRight w:val="0"/>
      <w:marTop w:val="0"/>
      <w:marBottom w:val="0"/>
      <w:divBdr>
        <w:top w:val="none" w:sz="0" w:space="0" w:color="auto"/>
        <w:left w:val="none" w:sz="0" w:space="0" w:color="auto"/>
        <w:bottom w:val="none" w:sz="0" w:space="0" w:color="auto"/>
        <w:right w:val="none" w:sz="0" w:space="0" w:color="auto"/>
      </w:divBdr>
    </w:div>
    <w:div w:id="399524156">
      <w:bodyDiv w:val="1"/>
      <w:marLeft w:val="0"/>
      <w:marRight w:val="0"/>
      <w:marTop w:val="0"/>
      <w:marBottom w:val="0"/>
      <w:divBdr>
        <w:top w:val="none" w:sz="0" w:space="0" w:color="auto"/>
        <w:left w:val="none" w:sz="0" w:space="0" w:color="auto"/>
        <w:bottom w:val="none" w:sz="0" w:space="0" w:color="auto"/>
        <w:right w:val="none" w:sz="0" w:space="0" w:color="auto"/>
      </w:divBdr>
    </w:div>
    <w:div w:id="418404841">
      <w:bodyDiv w:val="1"/>
      <w:marLeft w:val="0"/>
      <w:marRight w:val="0"/>
      <w:marTop w:val="0"/>
      <w:marBottom w:val="0"/>
      <w:divBdr>
        <w:top w:val="none" w:sz="0" w:space="0" w:color="auto"/>
        <w:left w:val="none" w:sz="0" w:space="0" w:color="auto"/>
        <w:bottom w:val="none" w:sz="0" w:space="0" w:color="auto"/>
        <w:right w:val="none" w:sz="0" w:space="0" w:color="auto"/>
      </w:divBdr>
    </w:div>
    <w:div w:id="452793827">
      <w:bodyDiv w:val="1"/>
      <w:marLeft w:val="0"/>
      <w:marRight w:val="0"/>
      <w:marTop w:val="0"/>
      <w:marBottom w:val="0"/>
      <w:divBdr>
        <w:top w:val="none" w:sz="0" w:space="0" w:color="auto"/>
        <w:left w:val="none" w:sz="0" w:space="0" w:color="auto"/>
        <w:bottom w:val="none" w:sz="0" w:space="0" w:color="auto"/>
        <w:right w:val="none" w:sz="0" w:space="0" w:color="auto"/>
      </w:divBdr>
    </w:div>
    <w:div w:id="551769502">
      <w:bodyDiv w:val="1"/>
      <w:marLeft w:val="0"/>
      <w:marRight w:val="0"/>
      <w:marTop w:val="0"/>
      <w:marBottom w:val="0"/>
      <w:divBdr>
        <w:top w:val="none" w:sz="0" w:space="0" w:color="auto"/>
        <w:left w:val="none" w:sz="0" w:space="0" w:color="auto"/>
        <w:bottom w:val="none" w:sz="0" w:space="0" w:color="auto"/>
        <w:right w:val="none" w:sz="0" w:space="0" w:color="auto"/>
      </w:divBdr>
    </w:div>
    <w:div w:id="770050356">
      <w:bodyDiv w:val="1"/>
      <w:marLeft w:val="0"/>
      <w:marRight w:val="0"/>
      <w:marTop w:val="0"/>
      <w:marBottom w:val="0"/>
      <w:divBdr>
        <w:top w:val="none" w:sz="0" w:space="0" w:color="auto"/>
        <w:left w:val="none" w:sz="0" w:space="0" w:color="auto"/>
        <w:bottom w:val="none" w:sz="0" w:space="0" w:color="auto"/>
        <w:right w:val="none" w:sz="0" w:space="0" w:color="auto"/>
      </w:divBdr>
      <w:divsChild>
        <w:div w:id="29302283">
          <w:marLeft w:val="0"/>
          <w:marRight w:val="0"/>
          <w:marTop w:val="0"/>
          <w:marBottom w:val="0"/>
          <w:divBdr>
            <w:top w:val="none" w:sz="0" w:space="0" w:color="auto"/>
            <w:left w:val="none" w:sz="0" w:space="0" w:color="auto"/>
            <w:bottom w:val="none" w:sz="0" w:space="0" w:color="auto"/>
            <w:right w:val="none" w:sz="0" w:space="0" w:color="auto"/>
          </w:divBdr>
          <w:divsChild>
            <w:div w:id="2031566832">
              <w:marLeft w:val="0"/>
              <w:marRight w:val="0"/>
              <w:marTop w:val="0"/>
              <w:marBottom w:val="0"/>
              <w:divBdr>
                <w:top w:val="none" w:sz="0" w:space="0" w:color="auto"/>
                <w:left w:val="none" w:sz="0" w:space="0" w:color="auto"/>
                <w:bottom w:val="none" w:sz="0" w:space="0" w:color="auto"/>
                <w:right w:val="none" w:sz="0" w:space="0" w:color="auto"/>
              </w:divBdr>
              <w:divsChild>
                <w:div w:id="10638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7624">
      <w:bodyDiv w:val="1"/>
      <w:marLeft w:val="0"/>
      <w:marRight w:val="0"/>
      <w:marTop w:val="0"/>
      <w:marBottom w:val="0"/>
      <w:divBdr>
        <w:top w:val="none" w:sz="0" w:space="0" w:color="auto"/>
        <w:left w:val="none" w:sz="0" w:space="0" w:color="auto"/>
        <w:bottom w:val="none" w:sz="0" w:space="0" w:color="auto"/>
        <w:right w:val="none" w:sz="0" w:space="0" w:color="auto"/>
      </w:divBdr>
    </w:div>
    <w:div w:id="855074851">
      <w:bodyDiv w:val="1"/>
      <w:marLeft w:val="0"/>
      <w:marRight w:val="0"/>
      <w:marTop w:val="0"/>
      <w:marBottom w:val="0"/>
      <w:divBdr>
        <w:top w:val="none" w:sz="0" w:space="0" w:color="auto"/>
        <w:left w:val="none" w:sz="0" w:space="0" w:color="auto"/>
        <w:bottom w:val="none" w:sz="0" w:space="0" w:color="auto"/>
        <w:right w:val="none" w:sz="0" w:space="0" w:color="auto"/>
      </w:divBdr>
    </w:div>
    <w:div w:id="1297643982">
      <w:bodyDiv w:val="1"/>
      <w:marLeft w:val="0"/>
      <w:marRight w:val="0"/>
      <w:marTop w:val="0"/>
      <w:marBottom w:val="0"/>
      <w:divBdr>
        <w:top w:val="none" w:sz="0" w:space="0" w:color="auto"/>
        <w:left w:val="none" w:sz="0" w:space="0" w:color="auto"/>
        <w:bottom w:val="none" w:sz="0" w:space="0" w:color="auto"/>
        <w:right w:val="none" w:sz="0" w:space="0" w:color="auto"/>
      </w:divBdr>
    </w:div>
    <w:div w:id="1473667715">
      <w:bodyDiv w:val="1"/>
      <w:marLeft w:val="0"/>
      <w:marRight w:val="0"/>
      <w:marTop w:val="0"/>
      <w:marBottom w:val="0"/>
      <w:divBdr>
        <w:top w:val="none" w:sz="0" w:space="0" w:color="auto"/>
        <w:left w:val="none" w:sz="0" w:space="0" w:color="auto"/>
        <w:bottom w:val="none" w:sz="0" w:space="0" w:color="auto"/>
        <w:right w:val="none" w:sz="0" w:space="0" w:color="auto"/>
      </w:divBdr>
    </w:div>
    <w:div w:id="1566602613">
      <w:bodyDiv w:val="1"/>
      <w:marLeft w:val="0"/>
      <w:marRight w:val="0"/>
      <w:marTop w:val="0"/>
      <w:marBottom w:val="0"/>
      <w:divBdr>
        <w:top w:val="none" w:sz="0" w:space="0" w:color="auto"/>
        <w:left w:val="none" w:sz="0" w:space="0" w:color="auto"/>
        <w:bottom w:val="none" w:sz="0" w:space="0" w:color="auto"/>
        <w:right w:val="none" w:sz="0" w:space="0" w:color="auto"/>
      </w:divBdr>
      <w:divsChild>
        <w:div w:id="798307354">
          <w:marLeft w:val="0"/>
          <w:marRight w:val="0"/>
          <w:marTop w:val="0"/>
          <w:marBottom w:val="0"/>
          <w:divBdr>
            <w:top w:val="none" w:sz="0" w:space="0" w:color="auto"/>
            <w:left w:val="none" w:sz="0" w:space="0" w:color="auto"/>
            <w:bottom w:val="none" w:sz="0" w:space="0" w:color="auto"/>
            <w:right w:val="none" w:sz="0" w:space="0" w:color="auto"/>
          </w:divBdr>
          <w:divsChild>
            <w:div w:id="945424519">
              <w:marLeft w:val="0"/>
              <w:marRight w:val="0"/>
              <w:marTop w:val="0"/>
              <w:marBottom w:val="0"/>
              <w:divBdr>
                <w:top w:val="none" w:sz="0" w:space="0" w:color="auto"/>
                <w:left w:val="none" w:sz="0" w:space="0" w:color="auto"/>
                <w:bottom w:val="none" w:sz="0" w:space="0" w:color="auto"/>
                <w:right w:val="none" w:sz="0" w:space="0" w:color="auto"/>
              </w:divBdr>
              <w:divsChild>
                <w:div w:id="10333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12473">
      <w:bodyDiv w:val="1"/>
      <w:marLeft w:val="0"/>
      <w:marRight w:val="0"/>
      <w:marTop w:val="0"/>
      <w:marBottom w:val="0"/>
      <w:divBdr>
        <w:top w:val="none" w:sz="0" w:space="0" w:color="auto"/>
        <w:left w:val="none" w:sz="0" w:space="0" w:color="auto"/>
        <w:bottom w:val="none" w:sz="0" w:space="0" w:color="auto"/>
        <w:right w:val="none" w:sz="0" w:space="0" w:color="auto"/>
      </w:divBdr>
    </w:div>
    <w:div w:id="1615281901">
      <w:bodyDiv w:val="1"/>
      <w:marLeft w:val="0"/>
      <w:marRight w:val="0"/>
      <w:marTop w:val="0"/>
      <w:marBottom w:val="0"/>
      <w:divBdr>
        <w:top w:val="none" w:sz="0" w:space="0" w:color="auto"/>
        <w:left w:val="none" w:sz="0" w:space="0" w:color="auto"/>
        <w:bottom w:val="none" w:sz="0" w:space="0" w:color="auto"/>
        <w:right w:val="none" w:sz="0" w:space="0" w:color="auto"/>
      </w:divBdr>
      <w:divsChild>
        <w:div w:id="3243830">
          <w:marLeft w:val="0"/>
          <w:marRight w:val="0"/>
          <w:marTop w:val="0"/>
          <w:marBottom w:val="0"/>
          <w:divBdr>
            <w:top w:val="none" w:sz="0" w:space="0" w:color="auto"/>
            <w:left w:val="none" w:sz="0" w:space="0" w:color="auto"/>
            <w:bottom w:val="none" w:sz="0" w:space="0" w:color="auto"/>
            <w:right w:val="none" w:sz="0" w:space="0" w:color="auto"/>
          </w:divBdr>
          <w:divsChild>
            <w:div w:id="1584878951">
              <w:marLeft w:val="0"/>
              <w:marRight w:val="0"/>
              <w:marTop w:val="0"/>
              <w:marBottom w:val="0"/>
              <w:divBdr>
                <w:top w:val="none" w:sz="0" w:space="0" w:color="auto"/>
                <w:left w:val="none" w:sz="0" w:space="0" w:color="auto"/>
                <w:bottom w:val="none" w:sz="0" w:space="0" w:color="auto"/>
                <w:right w:val="none" w:sz="0" w:space="0" w:color="auto"/>
              </w:divBdr>
              <w:divsChild>
                <w:div w:id="15114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927">
      <w:bodyDiv w:val="1"/>
      <w:marLeft w:val="0"/>
      <w:marRight w:val="0"/>
      <w:marTop w:val="0"/>
      <w:marBottom w:val="0"/>
      <w:divBdr>
        <w:top w:val="none" w:sz="0" w:space="0" w:color="auto"/>
        <w:left w:val="none" w:sz="0" w:space="0" w:color="auto"/>
        <w:bottom w:val="none" w:sz="0" w:space="0" w:color="auto"/>
        <w:right w:val="none" w:sz="0" w:space="0" w:color="auto"/>
      </w:divBdr>
    </w:div>
    <w:div w:id="1674645434">
      <w:bodyDiv w:val="1"/>
      <w:marLeft w:val="0"/>
      <w:marRight w:val="0"/>
      <w:marTop w:val="0"/>
      <w:marBottom w:val="0"/>
      <w:divBdr>
        <w:top w:val="none" w:sz="0" w:space="0" w:color="auto"/>
        <w:left w:val="none" w:sz="0" w:space="0" w:color="auto"/>
        <w:bottom w:val="none" w:sz="0" w:space="0" w:color="auto"/>
        <w:right w:val="none" w:sz="0" w:space="0" w:color="auto"/>
      </w:divBdr>
      <w:divsChild>
        <w:div w:id="670333152">
          <w:marLeft w:val="0"/>
          <w:marRight w:val="0"/>
          <w:marTop w:val="0"/>
          <w:marBottom w:val="0"/>
          <w:divBdr>
            <w:top w:val="none" w:sz="0" w:space="0" w:color="auto"/>
            <w:left w:val="none" w:sz="0" w:space="0" w:color="auto"/>
            <w:bottom w:val="none" w:sz="0" w:space="0" w:color="auto"/>
            <w:right w:val="none" w:sz="0" w:space="0" w:color="auto"/>
          </w:divBdr>
          <w:divsChild>
            <w:div w:id="1936473720">
              <w:marLeft w:val="0"/>
              <w:marRight w:val="0"/>
              <w:marTop w:val="0"/>
              <w:marBottom w:val="0"/>
              <w:divBdr>
                <w:top w:val="none" w:sz="0" w:space="0" w:color="auto"/>
                <w:left w:val="none" w:sz="0" w:space="0" w:color="auto"/>
                <w:bottom w:val="none" w:sz="0" w:space="0" w:color="auto"/>
                <w:right w:val="none" w:sz="0" w:space="0" w:color="auto"/>
              </w:divBdr>
              <w:divsChild>
                <w:div w:id="15599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5045">
      <w:bodyDiv w:val="1"/>
      <w:marLeft w:val="0"/>
      <w:marRight w:val="0"/>
      <w:marTop w:val="0"/>
      <w:marBottom w:val="0"/>
      <w:divBdr>
        <w:top w:val="none" w:sz="0" w:space="0" w:color="auto"/>
        <w:left w:val="none" w:sz="0" w:space="0" w:color="auto"/>
        <w:bottom w:val="none" w:sz="0" w:space="0" w:color="auto"/>
        <w:right w:val="none" w:sz="0" w:space="0" w:color="auto"/>
      </w:divBdr>
    </w:div>
    <w:div w:id="1710914169">
      <w:bodyDiv w:val="1"/>
      <w:marLeft w:val="0"/>
      <w:marRight w:val="0"/>
      <w:marTop w:val="0"/>
      <w:marBottom w:val="0"/>
      <w:divBdr>
        <w:top w:val="none" w:sz="0" w:space="0" w:color="auto"/>
        <w:left w:val="none" w:sz="0" w:space="0" w:color="auto"/>
        <w:bottom w:val="none" w:sz="0" w:space="0" w:color="auto"/>
        <w:right w:val="none" w:sz="0" w:space="0" w:color="auto"/>
      </w:divBdr>
      <w:divsChild>
        <w:div w:id="946279859">
          <w:marLeft w:val="0"/>
          <w:marRight w:val="0"/>
          <w:marTop w:val="0"/>
          <w:marBottom w:val="0"/>
          <w:divBdr>
            <w:top w:val="none" w:sz="0" w:space="0" w:color="auto"/>
            <w:left w:val="none" w:sz="0" w:space="0" w:color="auto"/>
            <w:bottom w:val="none" w:sz="0" w:space="0" w:color="auto"/>
            <w:right w:val="none" w:sz="0" w:space="0" w:color="auto"/>
          </w:divBdr>
        </w:div>
        <w:div w:id="2007786488">
          <w:marLeft w:val="0"/>
          <w:marRight w:val="0"/>
          <w:marTop w:val="0"/>
          <w:marBottom w:val="0"/>
          <w:divBdr>
            <w:top w:val="none" w:sz="0" w:space="0" w:color="auto"/>
            <w:left w:val="none" w:sz="0" w:space="0" w:color="auto"/>
            <w:bottom w:val="none" w:sz="0" w:space="0" w:color="auto"/>
            <w:right w:val="none" w:sz="0" w:space="0" w:color="auto"/>
          </w:divBdr>
        </w:div>
        <w:div w:id="1210415982">
          <w:marLeft w:val="0"/>
          <w:marRight w:val="0"/>
          <w:marTop w:val="0"/>
          <w:marBottom w:val="0"/>
          <w:divBdr>
            <w:top w:val="none" w:sz="0" w:space="0" w:color="auto"/>
            <w:left w:val="none" w:sz="0" w:space="0" w:color="auto"/>
            <w:bottom w:val="none" w:sz="0" w:space="0" w:color="auto"/>
            <w:right w:val="none" w:sz="0" w:space="0" w:color="auto"/>
          </w:divBdr>
        </w:div>
      </w:divsChild>
    </w:div>
    <w:div w:id="1756245801">
      <w:bodyDiv w:val="1"/>
      <w:marLeft w:val="0"/>
      <w:marRight w:val="0"/>
      <w:marTop w:val="0"/>
      <w:marBottom w:val="0"/>
      <w:divBdr>
        <w:top w:val="none" w:sz="0" w:space="0" w:color="auto"/>
        <w:left w:val="none" w:sz="0" w:space="0" w:color="auto"/>
        <w:bottom w:val="none" w:sz="0" w:space="0" w:color="auto"/>
        <w:right w:val="none" w:sz="0" w:space="0" w:color="auto"/>
      </w:divBdr>
      <w:divsChild>
        <w:div w:id="518588516">
          <w:marLeft w:val="0"/>
          <w:marRight w:val="0"/>
          <w:marTop w:val="0"/>
          <w:marBottom w:val="0"/>
          <w:divBdr>
            <w:top w:val="none" w:sz="0" w:space="0" w:color="auto"/>
            <w:left w:val="none" w:sz="0" w:space="0" w:color="auto"/>
            <w:bottom w:val="none" w:sz="0" w:space="0" w:color="auto"/>
            <w:right w:val="none" w:sz="0" w:space="0" w:color="auto"/>
          </w:divBdr>
        </w:div>
        <w:div w:id="1687757044">
          <w:marLeft w:val="0"/>
          <w:marRight w:val="0"/>
          <w:marTop w:val="0"/>
          <w:marBottom w:val="0"/>
          <w:divBdr>
            <w:top w:val="none" w:sz="0" w:space="0" w:color="auto"/>
            <w:left w:val="none" w:sz="0" w:space="0" w:color="auto"/>
            <w:bottom w:val="none" w:sz="0" w:space="0" w:color="auto"/>
            <w:right w:val="none" w:sz="0" w:space="0" w:color="auto"/>
          </w:divBdr>
        </w:div>
        <w:div w:id="1406880693">
          <w:marLeft w:val="0"/>
          <w:marRight w:val="0"/>
          <w:marTop w:val="0"/>
          <w:marBottom w:val="0"/>
          <w:divBdr>
            <w:top w:val="none" w:sz="0" w:space="0" w:color="auto"/>
            <w:left w:val="none" w:sz="0" w:space="0" w:color="auto"/>
            <w:bottom w:val="none" w:sz="0" w:space="0" w:color="auto"/>
            <w:right w:val="none" w:sz="0" w:space="0" w:color="auto"/>
          </w:divBdr>
        </w:div>
        <w:div w:id="1888224423">
          <w:marLeft w:val="0"/>
          <w:marRight w:val="0"/>
          <w:marTop w:val="0"/>
          <w:marBottom w:val="0"/>
          <w:divBdr>
            <w:top w:val="none" w:sz="0" w:space="0" w:color="auto"/>
            <w:left w:val="none" w:sz="0" w:space="0" w:color="auto"/>
            <w:bottom w:val="none" w:sz="0" w:space="0" w:color="auto"/>
            <w:right w:val="none" w:sz="0" w:space="0" w:color="auto"/>
          </w:divBdr>
        </w:div>
        <w:div w:id="1964116197">
          <w:marLeft w:val="0"/>
          <w:marRight w:val="0"/>
          <w:marTop w:val="0"/>
          <w:marBottom w:val="0"/>
          <w:divBdr>
            <w:top w:val="none" w:sz="0" w:space="0" w:color="auto"/>
            <w:left w:val="none" w:sz="0" w:space="0" w:color="auto"/>
            <w:bottom w:val="none" w:sz="0" w:space="0" w:color="auto"/>
            <w:right w:val="none" w:sz="0" w:space="0" w:color="auto"/>
          </w:divBdr>
        </w:div>
        <w:div w:id="1000542155">
          <w:marLeft w:val="0"/>
          <w:marRight w:val="0"/>
          <w:marTop w:val="0"/>
          <w:marBottom w:val="0"/>
          <w:divBdr>
            <w:top w:val="none" w:sz="0" w:space="0" w:color="auto"/>
            <w:left w:val="none" w:sz="0" w:space="0" w:color="auto"/>
            <w:bottom w:val="none" w:sz="0" w:space="0" w:color="auto"/>
            <w:right w:val="none" w:sz="0" w:space="0" w:color="auto"/>
          </w:divBdr>
        </w:div>
      </w:divsChild>
    </w:div>
    <w:div w:id="1763188218">
      <w:bodyDiv w:val="1"/>
      <w:marLeft w:val="0"/>
      <w:marRight w:val="0"/>
      <w:marTop w:val="0"/>
      <w:marBottom w:val="0"/>
      <w:divBdr>
        <w:top w:val="none" w:sz="0" w:space="0" w:color="auto"/>
        <w:left w:val="none" w:sz="0" w:space="0" w:color="auto"/>
        <w:bottom w:val="none" w:sz="0" w:space="0" w:color="auto"/>
        <w:right w:val="none" w:sz="0" w:space="0" w:color="auto"/>
      </w:divBdr>
    </w:div>
    <w:div w:id="1974288461">
      <w:bodyDiv w:val="1"/>
      <w:marLeft w:val="0"/>
      <w:marRight w:val="0"/>
      <w:marTop w:val="0"/>
      <w:marBottom w:val="0"/>
      <w:divBdr>
        <w:top w:val="none" w:sz="0" w:space="0" w:color="auto"/>
        <w:left w:val="none" w:sz="0" w:space="0" w:color="auto"/>
        <w:bottom w:val="none" w:sz="0" w:space="0" w:color="auto"/>
        <w:right w:val="none" w:sz="0" w:space="0" w:color="auto"/>
      </w:divBdr>
      <w:divsChild>
        <w:div w:id="1081565477">
          <w:marLeft w:val="0"/>
          <w:marRight w:val="0"/>
          <w:marTop w:val="0"/>
          <w:marBottom w:val="0"/>
          <w:divBdr>
            <w:top w:val="none" w:sz="0" w:space="0" w:color="auto"/>
            <w:left w:val="none" w:sz="0" w:space="0" w:color="auto"/>
            <w:bottom w:val="none" w:sz="0" w:space="0" w:color="auto"/>
            <w:right w:val="none" w:sz="0" w:space="0" w:color="auto"/>
          </w:divBdr>
          <w:divsChild>
            <w:div w:id="1117526183">
              <w:marLeft w:val="0"/>
              <w:marRight w:val="0"/>
              <w:marTop w:val="0"/>
              <w:marBottom w:val="0"/>
              <w:divBdr>
                <w:top w:val="none" w:sz="0" w:space="0" w:color="auto"/>
                <w:left w:val="none" w:sz="0" w:space="0" w:color="auto"/>
                <w:bottom w:val="none" w:sz="0" w:space="0" w:color="auto"/>
                <w:right w:val="none" w:sz="0" w:space="0" w:color="auto"/>
              </w:divBdr>
              <w:divsChild>
                <w:div w:id="20437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3428">
      <w:bodyDiv w:val="1"/>
      <w:marLeft w:val="0"/>
      <w:marRight w:val="0"/>
      <w:marTop w:val="0"/>
      <w:marBottom w:val="0"/>
      <w:divBdr>
        <w:top w:val="none" w:sz="0" w:space="0" w:color="auto"/>
        <w:left w:val="none" w:sz="0" w:space="0" w:color="auto"/>
        <w:bottom w:val="none" w:sz="0" w:space="0" w:color="auto"/>
        <w:right w:val="none" w:sz="0" w:space="0" w:color="auto"/>
      </w:divBdr>
      <w:divsChild>
        <w:div w:id="149056216">
          <w:marLeft w:val="0"/>
          <w:marRight w:val="0"/>
          <w:marTop w:val="0"/>
          <w:marBottom w:val="0"/>
          <w:divBdr>
            <w:top w:val="none" w:sz="0" w:space="0" w:color="auto"/>
            <w:left w:val="none" w:sz="0" w:space="0" w:color="auto"/>
            <w:bottom w:val="none" w:sz="0" w:space="0" w:color="auto"/>
            <w:right w:val="none" w:sz="0" w:space="0" w:color="auto"/>
          </w:divBdr>
          <w:divsChild>
            <w:div w:id="2009482322">
              <w:marLeft w:val="0"/>
              <w:marRight w:val="0"/>
              <w:marTop w:val="0"/>
              <w:marBottom w:val="0"/>
              <w:divBdr>
                <w:top w:val="none" w:sz="0" w:space="0" w:color="auto"/>
                <w:left w:val="none" w:sz="0" w:space="0" w:color="auto"/>
                <w:bottom w:val="none" w:sz="0" w:space="0" w:color="auto"/>
                <w:right w:val="none" w:sz="0" w:space="0" w:color="auto"/>
              </w:divBdr>
              <w:divsChild>
                <w:div w:id="21022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057">
      <w:bodyDiv w:val="1"/>
      <w:marLeft w:val="0"/>
      <w:marRight w:val="0"/>
      <w:marTop w:val="0"/>
      <w:marBottom w:val="0"/>
      <w:divBdr>
        <w:top w:val="none" w:sz="0" w:space="0" w:color="auto"/>
        <w:left w:val="none" w:sz="0" w:space="0" w:color="auto"/>
        <w:bottom w:val="none" w:sz="0" w:space="0" w:color="auto"/>
        <w:right w:val="none" w:sz="0" w:space="0" w:color="auto"/>
      </w:divBdr>
    </w:div>
    <w:div w:id="2127309701">
      <w:bodyDiv w:val="1"/>
      <w:marLeft w:val="0"/>
      <w:marRight w:val="0"/>
      <w:marTop w:val="0"/>
      <w:marBottom w:val="0"/>
      <w:divBdr>
        <w:top w:val="none" w:sz="0" w:space="0" w:color="auto"/>
        <w:left w:val="none" w:sz="0" w:space="0" w:color="auto"/>
        <w:bottom w:val="none" w:sz="0" w:space="0" w:color="auto"/>
        <w:right w:val="none" w:sz="0" w:space="0" w:color="auto"/>
      </w:divBdr>
    </w:div>
    <w:div w:id="2142265913">
      <w:bodyDiv w:val="1"/>
      <w:marLeft w:val="0"/>
      <w:marRight w:val="0"/>
      <w:marTop w:val="0"/>
      <w:marBottom w:val="0"/>
      <w:divBdr>
        <w:top w:val="none" w:sz="0" w:space="0" w:color="auto"/>
        <w:left w:val="none" w:sz="0" w:space="0" w:color="auto"/>
        <w:bottom w:val="none" w:sz="0" w:space="0" w:color="auto"/>
        <w:right w:val="none" w:sz="0" w:space="0" w:color="auto"/>
      </w:divBdr>
      <w:divsChild>
        <w:div w:id="1202282846">
          <w:marLeft w:val="0"/>
          <w:marRight w:val="0"/>
          <w:marTop w:val="0"/>
          <w:marBottom w:val="0"/>
          <w:divBdr>
            <w:top w:val="none" w:sz="0" w:space="0" w:color="auto"/>
            <w:left w:val="none" w:sz="0" w:space="0" w:color="auto"/>
            <w:bottom w:val="none" w:sz="0" w:space="0" w:color="auto"/>
            <w:right w:val="none" w:sz="0" w:space="0" w:color="auto"/>
          </w:divBdr>
          <w:divsChild>
            <w:div w:id="1681082985">
              <w:marLeft w:val="0"/>
              <w:marRight w:val="0"/>
              <w:marTop w:val="0"/>
              <w:marBottom w:val="0"/>
              <w:divBdr>
                <w:top w:val="none" w:sz="0" w:space="0" w:color="auto"/>
                <w:left w:val="none" w:sz="0" w:space="0" w:color="auto"/>
                <w:bottom w:val="none" w:sz="0" w:space="0" w:color="auto"/>
                <w:right w:val="none" w:sz="0" w:space="0" w:color="auto"/>
              </w:divBdr>
              <w:divsChild>
                <w:div w:id="887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h%C3%A1b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41DA-88E7-43E4-AFD3-C1DD695844DF}">
  <ds:schemaRefs>
    <ds:schemaRef ds:uri="http://schemas.microsoft.com/sharepoint/v3/contenttype/forms"/>
  </ds:schemaRefs>
</ds:datastoreItem>
</file>

<file path=customXml/itemProps2.xml><?xml version="1.0" encoding="utf-8"?>
<ds:datastoreItem xmlns:ds="http://schemas.openxmlformats.org/officeDocument/2006/customXml" ds:itemID="{0107F2A8-4B3F-40E9-BCF1-A6E336AD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8AC34-CFEE-46DE-90E4-003561DEDB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596D384E-B399-4884-B6EC-E67404D3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5494</Words>
  <Characters>30222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Carolina Montes Bustos</dc:creator>
  <cp:keywords/>
  <dc:description/>
  <cp:lastModifiedBy>MARIA CLAUDIA DE LA OSSA BOBADILLA</cp:lastModifiedBy>
  <cp:revision>2</cp:revision>
  <dcterms:created xsi:type="dcterms:W3CDTF">2022-06-22T15:24:00Z</dcterms:created>
  <dcterms:modified xsi:type="dcterms:W3CDTF">2022-06-22T15:24:00Z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