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864E72"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864E72">
        <w:rPr>
          <w:rFonts w:ascii="Arial" w:hAnsi="Arial" w:cs="Arial"/>
          <w:bCs/>
          <w:color w:val="000000" w:themeColor="text1"/>
          <w:sz w:val="16"/>
          <w:szCs w:val="16"/>
          <w:lang w:val="es-ES_tradnl" w:eastAsia="es-ES"/>
        </w:rPr>
        <w:t>CCE-DES-FM-17</w:t>
      </w:r>
      <w:bookmarkEnd w:id="0"/>
      <w:bookmarkEnd w:id="1"/>
    </w:p>
    <w:p w14:paraId="153DCCCC" w14:textId="77777777" w:rsidR="00DB5767" w:rsidRPr="00864E72" w:rsidRDefault="00DB5767" w:rsidP="00C978D4">
      <w:pPr>
        <w:jc w:val="both"/>
        <w:rPr>
          <w:rFonts w:ascii="Arial" w:hAnsi="Arial" w:cs="Arial"/>
          <w:noProof/>
          <w:color w:val="000000" w:themeColor="text1"/>
          <w:sz w:val="22"/>
          <w:lang w:val="es-ES_tradnl"/>
        </w:rPr>
      </w:pPr>
    </w:p>
    <w:p w14:paraId="064D80D9" w14:textId="77777777" w:rsidR="002412BC" w:rsidRPr="00864E72" w:rsidRDefault="002412BC" w:rsidP="00631DCA">
      <w:pPr>
        <w:jc w:val="both"/>
        <w:rPr>
          <w:rFonts w:ascii="Arial" w:eastAsia="Calibri" w:hAnsi="Arial" w:cs="Arial"/>
          <w:b/>
          <w:color w:val="000000" w:themeColor="text1"/>
          <w:sz w:val="22"/>
          <w:lang w:val="es-ES_tradnl"/>
        </w:rPr>
      </w:pPr>
    </w:p>
    <w:p w14:paraId="0D56F052" w14:textId="77777777" w:rsidR="00063265" w:rsidRPr="00864E72" w:rsidRDefault="00063265" w:rsidP="00063265">
      <w:pPr>
        <w:jc w:val="both"/>
        <w:rPr>
          <w:rFonts w:ascii="Arial" w:eastAsia="Calibri" w:hAnsi="Arial" w:cs="Arial"/>
          <w:b/>
          <w:color w:val="000000" w:themeColor="text1"/>
          <w:sz w:val="22"/>
          <w:lang w:val="es-ES_tradnl"/>
        </w:rPr>
      </w:pPr>
      <w:r w:rsidRPr="00864E72">
        <w:rPr>
          <w:rFonts w:ascii="Arial" w:eastAsia="Calibri" w:hAnsi="Arial" w:cs="Arial"/>
          <w:b/>
          <w:color w:val="000000" w:themeColor="text1"/>
          <w:sz w:val="22"/>
          <w:lang w:val="es-ES_tradnl"/>
        </w:rPr>
        <w:t>DOCUMENTOS TIPO – Fundamento normativo – Ley 2022 de 2020</w:t>
      </w:r>
    </w:p>
    <w:p w14:paraId="5B4E29D1" w14:textId="77777777" w:rsidR="00063265" w:rsidRPr="00864E72" w:rsidRDefault="00063265" w:rsidP="00063265">
      <w:pPr>
        <w:jc w:val="both"/>
        <w:rPr>
          <w:rFonts w:ascii="Arial" w:eastAsia="Calibri" w:hAnsi="Arial" w:cs="Arial"/>
          <w:b/>
          <w:color w:val="000000" w:themeColor="text1"/>
          <w:sz w:val="22"/>
          <w:lang w:val="es-ES_tradnl"/>
        </w:rPr>
      </w:pPr>
    </w:p>
    <w:p w14:paraId="60A72153" w14:textId="77777777" w:rsidR="00063265" w:rsidRPr="00864E72" w:rsidRDefault="00063265" w:rsidP="00063265">
      <w:pPr>
        <w:jc w:val="both"/>
        <w:rPr>
          <w:rFonts w:ascii="Arial" w:eastAsia="Calibri" w:hAnsi="Arial" w:cs="Arial"/>
          <w:color w:val="000000" w:themeColor="text1"/>
          <w:sz w:val="20"/>
          <w:szCs w:val="20"/>
          <w:lang w:val="es-ES_tradnl"/>
        </w:rPr>
      </w:pPr>
      <w:r w:rsidRPr="00864E72">
        <w:rPr>
          <w:rFonts w:ascii="Arial" w:eastAsia="Calibri" w:hAnsi="Arial" w:cs="Arial"/>
          <w:color w:val="000000" w:themeColor="text1"/>
          <w:sz w:val="20"/>
          <w:szCs w:val="20"/>
          <w:lang w:val="es-ES_tradnl"/>
        </w:rPr>
        <w:t xml:space="preserve">[…], debe tenerse en cuenta que la Ley 2022 de 2020 fue sancionada por el </w:t>
      </w:r>
      <w:proofErr w:type="gramStart"/>
      <w:r w:rsidRPr="00864E72">
        <w:rPr>
          <w:rFonts w:ascii="Arial" w:eastAsia="Calibri" w:hAnsi="Arial" w:cs="Arial"/>
          <w:color w:val="000000" w:themeColor="text1"/>
          <w:sz w:val="20"/>
          <w:szCs w:val="20"/>
          <w:lang w:val="es-ES_tradnl"/>
        </w:rPr>
        <w:t>Presidente</w:t>
      </w:r>
      <w:proofErr w:type="gramEnd"/>
      <w:r w:rsidRPr="00864E72">
        <w:rPr>
          <w:rFonts w:ascii="Arial" w:eastAsia="Calibri" w:hAnsi="Arial" w:cs="Arial"/>
          <w:color w:val="000000" w:themeColor="text1"/>
          <w:sz w:val="20"/>
          <w:szCs w:val="20"/>
          <w:lang w:val="es-ES_tradnl"/>
        </w:rPr>
        <w:t xml:space="preserve"> de la República el 22 de julio, por lo que su expedición es reciente. En este sentido, con la finalidad de realizar un desarrollo armónico y ajustado a la ley que otorga esta competencia, la Agencia Nacional de Contratación Pública expidió la Resolución 160 de 2020 «Por la cual se adopta el procedimiento para implementar los documentos tipo y se define el sistema para su revisión». Asimismo, con fundamento en dicha Ley, se profirió la Resolución 240 de 2020, «Por la cual se actualizan los Documentos Tipo para los procesos de selección de licitación de obra pública de infraestructura de transporte y se deroga la Resolución 0045 de 2020». De igual manera, se expidió la Resolución 241 de 2020, «Por la cual se actualizan los Documentos Tipo para los procesos de selección abreviada de menor cuantía de obra pública de infraestructura de transporte y se deroga la Resolución 0044 de 2020». Adicionalmente, </w:t>
      </w:r>
      <w:proofErr w:type="gramStart"/>
      <w:r w:rsidRPr="00864E72">
        <w:rPr>
          <w:rFonts w:ascii="Arial" w:eastAsia="Calibri" w:hAnsi="Arial" w:cs="Arial"/>
          <w:color w:val="000000" w:themeColor="text1"/>
          <w:sz w:val="20"/>
          <w:szCs w:val="20"/>
          <w:lang w:val="es-ES_tradnl"/>
        </w:rPr>
        <w:t>entró en vigencia</w:t>
      </w:r>
      <w:proofErr w:type="gramEnd"/>
      <w:r w:rsidRPr="00864E72">
        <w:rPr>
          <w:rFonts w:ascii="Arial" w:eastAsia="Calibri" w:hAnsi="Arial" w:cs="Arial"/>
          <w:color w:val="000000" w:themeColor="text1"/>
          <w:sz w:val="20"/>
          <w:szCs w:val="20"/>
          <w:lang w:val="es-ES_tradnl"/>
        </w:rPr>
        <w:t xml:space="preserve">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06B6444C" w14:textId="77777777" w:rsidR="00063265" w:rsidRPr="00864E72" w:rsidRDefault="00063265" w:rsidP="00063265">
      <w:pPr>
        <w:jc w:val="both"/>
        <w:rPr>
          <w:rFonts w:ascii="Arial" w:eastAsia="Calibri" w:hAnsi="Arial" w:cs="Arial"/>
          <w:color w:val="000000" w:themeColor="text1"/>
          <w:sz w:val="20"/>
          <w:szCs w:val="20"/>
          <w:lang w:val="es-ES_tradnl"/>
        </w:rPr>
      </w:pPr>
    </w:p>
    <w:p w14:paraId="1966D49B" w14:textId="77777777" w:rsidR="00063265" w:rsidRPr="00864E72" w:rsidRDefault="00063265" w:rsidP="00063265">
      <w:pPr>
        <w:jc w:val="both"/>
        <w:rPr>
          <w:rFonts w:ascii="Arial" w:eastAsia="Calibri" w:hAnsi="Arial" w:cs="Arial"/>
          <w:color w:val="000000" w:themeColor="text1"/>
          <w:sz w:val="20"/>
          <w:szCs w:val="20"/>
          <w:lang w:val="es-ES_tradnl"/>
        </w:rPr>
      </w:pPr>
      <w:r w:rsidRPr="00864E72">
        <w:rPr>
          <w:rFonts w:ascii="Arial" w:eastAsia="Calibri" w:hAnsi="Arial" w:cs="Arial"/>
          <w:b/>
          <w:color w:val="000000" w:themeColor="text1"/>
          <w:sz w:val="22"/>
          <w:lang w:val="es-ES_tradnl"/>
        </w:rPr>
        <w:t>DOCUMENTOS TIPO – Ámbito de aplicación</w:t>
      </w:r>
    </w:p>
    <w:p w14:paraId="18F6EC3E" w14:textId="77777777" w:rsidR="00063265" w:rsidRPr="00864E72" w:rsidRDefault="00063265" w:rsidP="00063265">
      <w:pPr>
        <w:jc w:val="both"/>
        <w:rPr>
          <w:rFonts w:ascii="Arial" w:eastAsia="Calibri" w:hAnsi="Arial" w:cs="Arial"/>
          <w:color w:val="000000" w:themeColor="text1"/>
          <w:sz w:val="20"/>
          <w:szCs w:val="20"/>
          <w:lang w:val="es-ES_tradnl"/>
        </w:rPr>
      </w:pPr>
    </w:p>
    <w:p w14:paraId="53D1C743" w14:textId="77777777" w:rsidR="00063265" w:rsidRPr="00864E72" w:rsidRDefault="00063265" w:rsidP="00063265">
      <w:pPr>
        <w:jc w:val="both"/>
        <w:rPr>
          <w:rFonts w:ascii="Arial" w:eastAsia="Calibri" w:hAnsi="Arial" w:cs="Arial"/>
          <w:color w:val="000000" w:themeColor="text1"/>
          <w:sz w:val="20"/>
          <w:szCs w:val="20"/>
          <w:lang w:val="es-ES_tradnl"/>
        </w:rPr>
      </w:pPr>
      <w:r w:rsidRPr="00864E72">
        <w:rPr>
          <w:rFonts w:ascii="Arial" w:eastAsia="Calibri" w:hAnsi="Arial" w:cs="Arial"/>
          <w:color w:val="000000" w:themeColor="text1"/>
          <w:sz w:val="20"/>
          <w:szCs w:val="20"/>
          <w:lang w:val="es-ES_tradnl"/>
        </w:rPr>
        <w:t>En cuanto al ámbito de aplicación de estos documentos, es preciso explicar que cada una de estas resoluciones están relacionadas con un sector, un objeto contractual y una modalidad de selección en específico. Esto de tal manera que las entidades estatales regidas por el Estatuto General de Contratación de la Administración Pública, al momento de adelantar un proceso de contratación asociado a uno de los sectores para los que se han implementado documentos tipo, deben consultar el contenido de los respectivos documentos tipo para determinar si la modalidad de escogencia y el objeto a contratar son o no subsumibles dentro de lo dispuesto en el documento tipo. De ser esto así, la entidad estará obligada a adelantar el proceso de contratación aplicando los documentos tipo del caso.</w:t>
      </w:r>
    </w:p>
    <w:p w14:paraId="31D62CC8" w14:textId="77777777" w:rsidR="00063265" w:rsidRPr="00864E72" w:rsidRDefault="00063265" w:rsidP="00063265">
      <w:pPr>
        <w:jc w:val="both"/>
        <w:rPr>
          <w:rFonts w:ascii="Arial" w:eastAsia="Calibri" w:hAnsi="Arial" w:cs="Arial"/>
          <w:color w:val="000000" w:themeColor="text1"/>
          <w:sz w:val="20"/>
          <w:szCs w:val="20"/>
          <w:lang w:val="es-ES_tradnl"/>
        </w:rPr>
      </w:pPr>
    </w:p>
    <w:p w14:paraId="0080CD87" w14:textId="77777777" w:rsidR="00063265" w:rsidRPr="00864E72" w:rsidRDefault="00063265" w:rsidP="00063265">
      <w:pPr>
        <w:jc w:val="both"/>
        <w:rPr>
          <w:rFonts w:ascii="Arial" w:eastAsia="Calibri" w:hAnsi="Arial" w:cs="Arial"/>
          <w:b/>
          <w:color w:val="000000" w:themeColor="text1"/>
          <w:sz w:val="22"/>
          <w:lang w:val="es-ES_tradnl"/>
        </w:rPr>
      </w:pPr>
      <w:r w:rsidRPr="00864E72">
        <w:rPr>
          <w:rFonts w:ascii="Arial" w:eastAsia="Calibri" w:hAnsi="Arial" w:cs="Arial"/>
          <w:b/>
          <w:color w:val="000000" w:themeColor="text1"/>
          <w:sz w:val="22"/>
          <w:lang w:val="es-ES_tradnl"/>
        </w:rPr>
        <w:t>LEY 2195 DE 2022 – Artículo 56 – Personas jurídicas de derecho privado – Documentos tipo – Estatuto General de Contratación de la Administración Pública</w:t>
      </w:r>
    </w:p>
    <w:p w14:paraId="6859517D" w14:textId="77777777" w:rsidR="00063265" w:rsidRPr="00864E72" w:rsidRDefault="00063265" w:rsidP="00063265">
      <w:pPr>
        <w:jc w:val="both"/>
        <w:rPr>
          <w:rFonts w:ascii="Arial" w:eastAsia="Calibri" w:hAnsi="Arial" w:cs="Arial"/>
          <w:b/>
          <w:color w:val="000000" w:themeColor="text1"/>
          <w:sz w:val="22"/>
          <w:lang w:val="es-ES_tradnl"/>
        </w:rPr>
      </w:pPr>
    </w:p>
    <w:p w14:paraId="45981103" w14:textId="77777777" w:rsidR="00063265" w:rsidRPr="00864E72" w:rsidRDefault="00063265" w:rsidP="00063265">
      <w:pPr>
        <w:jc w:val="both"/>
        <w:rPr>
          <w:rFonts w:ascii="Arial" w:eastAsia="Calibri" w:hAnsi="Arial" w:cs="Arial"/>
          <w:bCs/>
          <w:color w:val="000000" w:themeColor="text1"/>
          <w:sz w:val="20"/>
          <w:szCs w:val="22"/>
          <w:lang w:val="es-ES_tradnl"/>
        </w:rPr>
      </w:pPr>
      <w:r w:rsidRPr="00864E72">
        <w:rPr>
          <w:rFonts w:ascii="Arial" w:eastAsia="Calibri" w:hAnsi="Arial" w:cs="Arial"/>
          <w:bCs/>
          <w:color w:val="000000" w:themeColor="text1"/>
          <w:sz w:val="20"/>
          <w:szCs w:val="22"/>
          <w:lang w:val="es-ES_tradnl"/>
        </w:rPr>
        <w:t xml:space="preserve">De conformidad con los dos primeros incisos del artículo 56 de la Ley 2195 de 2022, las entidades estatales de régimen especial o exceptuado, los patrimonios autónomos, las personas naturales y jurídicas de derecho privado, que en el marco de compromisos contractuales derivados de contratos o convenios de cualquier índole con entidades sometidas al Estatuto General de Contratación de la Administración Pública, deban contratar objetos cobijados por el ámbito de los documentos tipo, están obligadas a contratarlos aplicando los mencionados documentos. En virtud de dicha disposición, tales entidades, además, deberán adelantar el Proceso de Contratación y celebrar el contrato conforme al Estatuto General de Contratación de la Administración Pública.  </w:t>
      </w:r>
    </w:p>
    <w:p w14:paraId="75D174E8" w14:textId="77777777" w:rsidR="00063265" w:rsidRPr="00864E72" w:rsidRDefault="00063265" w:rsidP="00063265">
      <w:pPr>
        <w:spacing w:line="276" w:lineRule="auto"/>
        <w:jc w:val="both"/>
        <w:rPr>
          <w:rFonts w:ascii="Arial" w:hAnsi="Arial" w:cs="Arial"/>
          <w:noProof/>
          <w:color w:val="000000" w:themeColor="text1"/>
          <w:sz w:val="22"/>
          <w:lang w:val="es-ES_tradnl"/>
        </w:rPr>
      </w:pPr>
    </w:p>
    <w:p w14:paraId="7F7ED9CB" w14:textId="77777777" w:rsidR="00063265" w:rsidRPr="00864E72" w:rsidRDefault="00063265" w:rsidP="00063265">
      <w:pPr>
        <w:spacing w:line="276" w:lineRule="auto"/>
        <w:jc w:val="both"/>
        <w:rPr>
          <w:rFonts w:ascii="Arial" w:hAnsi="Arial" w:cs="Arial"/>
          <w:noProof/>
          <w:color w:val="000000" w:themeColor="text1"/>
          <w:sz w:val="22"/>
          <w:lang w:val="es-ES_tradnl"/>
        </w:rPr>
      </w:pPr>
    </w:p>
    <w:p w14:paraId="40764824" w14:textId="77777777" w:rsidR="00063265" w:rsidRPr="00864E72" w:rsidRDefault="00063265" w:rsidP="00063265">
      <w:pPr>
        <w:tabs>
          <w:tab w:val="left" w:pos="0"/>
        </w:tabs>
        <w:spacing w:after="120" w:line="276" w:lineRule="auto"/>
        <w:jc w:val="both"/>
        <w:rPr>
          <w:rFonts w:ascii="Arial" w:eastAsia="Calibri" w:hAnsi="Arial" w:cs="Arial"/>
          <w:bCs/>
          <w:color w:val="000000" w:themeColor="text1"/>
          <w:sz w:val="22"/>
          <w:lang w:val="es-ES_tradnl"/>
        </w:rPr>
      </w:pPr>
      <w:r w:rsidRPr="00864E72">
        <w:rPr>
          <w:rFonts w:ascii="Arial" w:eastAsia="Calibri" w:hAnsi="Arial" w:cs="Arial"/>
          <w:b/>
          <w:color w:val="000000" w:themeColor="text1"/>
          <w:sz w:val="22"/>
          <w:lang w:val="es-ES_tradnl"/>
        </w:rPr>
        <w:lastRenderedPageBreak/>
        <w:t xml:space="preserve">LEY 2195 DE 2022 – Artículo 56 – Parágrafo – Excepciones </w:t>
      </w:r>
    </w:p>
    <w:p w14:paraId="14BA6F9D" w14:textId="77777777" w:rsidR="00063265" w:rsidRPr="00864E72" w:rsidRDefault="00063265" w:rsidP="00063265">
      <w:pPr>
        <w:tabs>
          <w:tab w:val="left" w:pos="0"/>
        </w:tabs>
        <w:spacing w:after="120"/>
        <w:jc w:val="both"/>
        <w:rPr>
          <w:rFonts w:ascii="Arial" w:eastAsia="Calibri" w:hAnsi="Arial" w:cs="Arial"/>
          <w:bCs/>
          <w:color w:val="000000" w:themeColor="text1"/>
          <w:sz w:val="20"/>
          <w:szCs w:val="22"/>
          <w:lang w:val="es-ES_tradnl"/>
        </w:rPr>
      </w:pPr>
      <w:r w:rsidRPr="00864E72">
        <w:rPr>
          <w:rFonts w:ascii="Arial" w:eastAsia="Calibri" w:hAnsi="Arial" w:cs="Arial"/>
          <w:bCs/>
          <w:color w:val="000000" w:themeColor="text1"/>
          <w:sz w:val="20"/>
          <w:szCs w:val="22"/>
          <w:lang w:val="es-ES_tradnl"/>
        </w:rPr>
        <w:t xml:space="preserve">De conformidad con los dos primeros incisos del artículo 56 de la Ley 2195 de 2022, las entidades estatales de régimen especial o exceptuado, los patrimonios autónomos, las personas naturales y jurídicas de derecho privado, que en el marco de compromisos contractuales derivados de contratos o convenios de cualquier índole con entidades sometidas al Estatuto General de Contratación de la Administración Pública, deban contratar objetos cobijados por el ámbito de los documentos tipo, están obligadas a contratarlos aplicando los mencionados documentos. En virtud de dicha disposición, tales entidades, además, deberán adelantar el Proceso de Contratación y celebrar el contrato conforme al Estatuto General de Contratación de la Administración Pública.  No obstante, de conformidad con lo establecido en el parágrafo de dicha norma, las instituciones de educación superior públicas, las empresas sociales del Estado, las sociedades de economía mixta y las empresas industriales y comerciales del Estado, están exceptuadas de la aplicación de los documentos tipo y del Estatuto General de Contratación de la Administración Pública, en la contratación relacionada con su giro ordinario, independientemente de que deban contratar objetos cobijados por documentos tipo. En este contexto, en el marco del parágrafo del artículo 56, se determine algo distinto, el giro ordinario es un concepto jurídico indeterminado, que, de conformidad con la jurisprudencia contencioso-administrativa y el derecho societario, comprende todas aquellas actividades asociadas a la gestión habitual de una sociedad comercial, una empresa o una entidad pública, que guarden consonancia con su objeto social. Esto por supuesto a menos que, el </w:t>
      </w:r>
      <w:proofErr w:type="gramStart"/>
      <w:r w:rsidRPr="00864E72">
        <w:rPr>
          <w:rFonts w:ascii="Arial" w:eastAsia="Calibri" w:hAnsi="Arial" w:cs="Arial"/>
          <w:bCs/>
          <w:color w:val="000000" w:themeColor="text1"/>
          <w:sz w:val="20"/>
          <w:szCs w:val="22"/>
          <w:lang w:val="es-ES_tradnl"/>
        </w:rPr>
        <w:t>Presidente</w:t>
      </w:r>
      <w:proofErr w:type="gramEnd"/>
      <w:r w:rsidRPr="00864E72">
        <w:rPr>
          <w:rFonts w:ascii="Arial" w:eastAsia="Calibri" w:hAnsi="Arial" w:cs="Arial"/>
          <w:bCs/>
          <w:color w:val="000000" w:themeColor="text1"/>
          <w:sz w:val="20"/>
          <w:szCs w:val="22"/>
          <w:lang w:val="es-ES_tradnl"/>
        </w:rPr>
        <w:t xml:space="preserve"> de la República, en ejercicio de la potestad reglamentaria atribuida por el artículo 189.11 de la Constitución Política, le asigne un significado concreto para efectos de la implementación del artículo 56 de la Ley 2195 de 2022.</w:t>
      </w:r>
    </w:p>
    <w:p w14:paraId="4F58880A" w14:textId="77777777" w:rsidR="00063265" w:rsidRPr="00864E72" w:rsidRDefault="00063265" w:rsidP="00063265">
      <w:pPr>
        <w:spacing w:line="276" w:lineRule="auto"/>
        <w:jc w:val="both"/>
        <w:rPr>
          <w:rFonts w:ascii="Arial" w:hAnsi="Arial" w:cs="Arial"/>
          <w:noProof/>
          <w:color w:val="000000" w:themeColor="text1"/>
          <w:sz w:val="22"/>
          <w:lang w:val="es-ES_tradnl"/>
        </w:rPr>
      </w:pPr>
    </w:p>
    <w:p w14:paraId="1267D5B5" w14:textId="77777777" w:rsidR="00063265" w:rsidRPr="00864E72" w:rsidRDefault="00063265" w:rsidP="00063265">
      <w:pPr>
        <w:tabs>
          <w:tab w:val="left" w:pos="0"/>
        </w:tabs>
        <w:spacing w:line="276" w:lineRule="auto"/>
        <w:jc w:val="both"/>
        <w:rPr>
          <w:rFonts w:ascii="Arial" w:eastAsia="Calibri" w:hAnsi="Arial" w:cs="Arial"/>
          <w:bCs/>
          <w:color w:val="000000" w:themeColor="text1"/>
          <w:sz w:val="22"/>
          <w:lang w:val="es-ES_tradnl"/>
        </w:rPr>
      </w:pPr>
      <w:r w:rsidRPr="00864E72">
        <w:rPr>
          <w:rFonts w:ascii="Arial" w:eastAsia="Calibri" w:hAnsi="Arial" w:cs="Arial"/>
          <w:b/>
          <w:color w:val="000000" w:themeColor="text1"/>
          <w:sz w:val="22"/>
          <w:lang w:val="es-ES_tradnl"/>
        </w:rPr>
        <w:t xml:space="preserve">LEY 2195 DE 2022 – Artículo 56 – Parágrafo – Giro ordinario – No es igual al objeto social </w:t>
      </w:r>
    </w:p>
    <w:p w14:paraId="347E2DB6" w14:textId="77777777" w:rsidR="00063265" w:rsidRPr="00864E72" w:rsidRDefault="00063265" w:rsidP="00063265">
      <w:pPr>
        <w:jc w:val="both"/>
        <w:rPr>
          <w:rFonts w:ascii="Arial" w:hAnsi="Arial" w:cs="Arial"/>
          <w:noProof/>
          <w:color w:val="000000" w:themeColor="text1"/>
          <w:sz w:val="22"/>
          <w:lang w:val="es-ES_tradnl"/>
        </w:rPr>
      </w:pPr>
    </w:p>
    <w:p w14:paraId="67AC785B" w14:textId="77777777" w:rsidR="00063265" w:rsidRPr="00864E72" w:rsidRDefault="00063265" w:rsidP="00063265">
      <w:pPr>
        <w:jc w:val="both"/>
        <w:rPr>
          <w:rFonts w:ascii="Arial" w:hAnsi="Arial" w:cs="Arial"/>
          <w:noProof/>
          <w:color w:val="000000" w:themeColor="text1"/>
          <w:sz w:val="20"/>
          <w:szCs w:val="20"/>
          <w:lang w:val="es-ES_tradnl"/>
        </w:rPr>
      </w:pPr>
      <w:r w:rsidRPr="00864E72">
        <w:rPr>
          <w:rFonts w:ascii="Arial" w:hAnsi="Arial" w:cs="Arial"/>
          <w:noProof/>
          <w:color w:val="000000" w:themeColor="text1"/>
          <w:sz w:val="20"/>
          <w:szCs w:val="20"/>
          <w:lang w:val="es-ES_tradnl"/>
        </w:rPr>
        <w:t xml:space="preserve">De acuerdo con estas consideraciones, no existe una plena equivalencia entre las actividades que hacen parte del desarrollo del objeto social y las que comprende el giro ordinario, ya que como precisa la Superintendencia de Sociedades, entre lo que designan estas categorías existe una relación de género a especie. En ese sentido, de acuerdo con este criterio, las actividades que hacen parte del giro ordinario no son solo aquellas que están efectivamente comprendidas dentro del objeto social, sino que, además, se extiende a todas aquellas conexas que se desarrollan en la gestión usual de los asuntos de la sociedad. Esto significa que las actividades que hacen parte del giro ordinario son todas aquellas que hacen parte del objeto social, así como todas aquellas conexas al mismo, siguiendo lo señalado por la jurisprudencia del Consejo de Estado.    </w:t>
      </w:r>
    </w:p>
    <w:p w14:paraId="5E9221B5" w14:textId="77777777" w:rsidR="00063265" w:rsidRPr="00864E72" w:rsidRDefault="00063265" w:rsidP="00063265">
      <w:pPr>
        <w:jc w:val="both"/>
        <w:rPr>
          <w:rFonts w:ascii="Arial" w:hAnsi="Arial" w:cs="Arial"/>
          <w:noProof/>
          <w:color w:val="000000" w:themeColor="text1"/>
          <w:sz w:val="20"/>
          <w:szCs w:val="20"/>
          <w:lang w:val="es-ES_tradnl"/>
        </w:rPr>
      </w:pPr>
    </w:p>
    <w:p w14:paraId="2724171D" w14:textId="77777777" w:rsidR="00063265" w:rsidRPr="00864E72" w:rsidRDefault="00063265" w:rsidP="00063265">
      <w:pPr>
        <w:jc w:val="both"/>
        <w:rPr>
          <w:rFonts w:ascii="Arial" w:hAnsi="Arial" w:cs="Arial"/>
          <w:noProof/>
          <w:color w:val="000000" w:themeColor="text1"/>
          <w:sz w:val="20"/>
          <w:szCs w:val="20"/>
          <w:lang w:val="es-ES_tradnl"/>
        </w:rPr>
      </w:pPr>
      <w:r w:rsidRPr="00864E72">
        <w:rPr>
          <w:rFonts w:ascii="Arial" w:hAnsi="Arial" w:cs="Arial"/>
          <w:noProof/>
          <w:color w:val="000000" w:themeColor="text1"/>
          <w:sz w:val="20"/>
          <w:szCs w:val="20"/>
          <w:lang w:val="es-ES_tradnl"/>
        </w:rPr>
        <w:t xml:space="preserve">En relación con la aplicación de lo dispuesto en el parágrafo del artículo 56 de la Ley 2195 de 2022, conviene aclarar que, a juicio de esta Agencia, a menos que el Presidente de la República en ejercicio de la potestad reglamentaria atribuida por el artículo 189.11 de la Constitución Política, disponga algo diferente, la expresión giro ordinario en dicha norma se usa para designar a la contratación directamente relacionada con los asuntos de la gestión habitual u ordinaria de los tipos de entidades mencionadas en el parágrafo. No obstante, la determinación de las actividades que comprenden el giro ordinario es un asunto que debe establecerse en cada caso concreto por parte de las entidades estatales –analizando lo establecido en sus actos de creación y verificando los negocios habituales u ordinarios que desarrollan–, pues el parágrafo del artículo 56 ejusdem se limita a enunciar algunos tipos de entidades estatales, las cuales no solo difieren en su naturaleza jurídica, sino también en las actividades que llevan a cabo. Esto impide que la Agencia Nacional de Contratación Pública, en sede consultiva, pueda determinar, con un criterio universal y absoluto, qué actividades específicas hacen parte del giro ordinario de los negocios de dichas entidades y cuáles escapan de este, pues, </w:t>
      </w:r>
      <w:r w:rsidRPr="00864E72">
        <w:rPr>
          <w:rFonts w:ascii="Arial" w:hAnsi="Arial" w:cs="Arial"/>
          <w:noProof/>
          <w:color w:val="000000" w:themeColor="text1"/>
          <w:sz w:val="20"/>
          <w:szCs w:val="20"/>
          <w:lang w:val="es-ES_tradnl"/>
        </w:rPr>
        <w:lastRenderedPageBreak/>
        <w:t>como se indicó, al explicar la naturaleza de los conceptos jurídicos indeterminados, la concreción del alcance de la expresión giro ordinario debe hacerse en el caso concreto, empleando un criterio de interpretación restrictiva. Ello en la medida en que el parágrafo del artículo 56 consagra una excepción a una regla general. Además, cada una de las entidades estatales señaladas en dicho parágrafo se encuentra circunscrita, hermenéuticamente –para acotar aquel concepto–, a lo que establezcan sus normas estatutarias –actos de creación y demás reglamentos–, así como a la realidad de los negocios que hacen parte de su dinámica habitual.</w:t>
      </w:r>
    </w:p>
    <w:p w14:paraId="2E977EC4" w14:textId="77777777" w:rsidR="00063265" w:rsidRPr="00864E72" w:rsidRDefault="00063265" w:rsidP="00063265">
      <w:pPr>
        <w:jc w:val="both"/>
        <w:rPr>
          <w:rFonts w:ascii="Arial" w:hAnsi="Arial" w:cs="Arial"/>
          <w:noProof/>
          <w:color w:val="000000" w:themeColor="text1"/>
          <w:sz w:val="22"/>
          <w:lang w:val="es-ES_tradnl"/>
        </w:rPr>
      </w:pPr>
    </w:p>
    <w:p w14:paraId="04E6E6C5" w14:textId="77777777" w:rsidR="00063265" w:rsidRPr="00864E72" w:rsidRDefault="00063265" w:rsidP="00063265">
      <w:pPr>
        <w:spacing w:line="276" w:lineRule="auto"/>
        <w:jc w:val="both"/>
        <w:rPr>
          <w:rFonts w:ascii="Arial" w:eastAsia="Calibri" w:hAnsi="Arial" w:cs="Arial"/>
          <w:b/>
          <w:color w:val="000000" w:themeColor="text1"/>
          <w:sz w:val="22"/>
          <w:lang w:val="es-ES_tradnl"/>
        </w:rPr>
      </w:pPr>
      <w:r w:rsidRPr="00864E72">
        <w:rPr>
          <w:rFonts w:ascii="Arial" w:eastAsia="Calibri" w:hAnsi="Arial" w:cs="Arial"/>
          <w:b/>
          <w:color w:val="000000" w:themeColor="text1"/>
          <w:sz w:val="22"/>
          <w:lang w:val="es-ES_tradnl"/>
        </w:rPr>
        <w:t xml:space="preserve">LEY 2195 DE 2022 – Artículo 56 – Parágrafo – Interpretación restrictiva </w:t>
      </w:r>
    </w:p>
    <w:p w14:paraId="292FC492" w14:textId="77777777" w:rsidR="00063265" w:rsidRPr="00864E72" w:rsidRDefault="00063265" w:rsidP="00063265">
      <w:pPr>
        <w:spacing w:line="276" w:lineRule="auto"/>
        <w:jc w:val="both"/>
        <w:rPr>
          <w:rFonts w:ascii="Arial" w:hAnsi="Arial" w:cs="Arial"/>
          <w:noProof/>
          <w:color w:val="000000" w:themeColor="text1"/>
          <w:sz w:val="22"/>
          <w:lang w:val="es-ES_tradnl"/>
        </w:rPr>
      </w:pPr>
    </w:p>
    <w:p w14:paraId="2894E6F0" w14:textId="147621D8" w:rsidR="00063265" w:rsidRPr="00864E72" w:rsidRDefault="00063265" w:rsidP="00063265">
      <w:pPr>
        <w:jc w:val="both"/>
        <w:rPr>
          <w:rFonts w:ascii="Arial" w:hAnsi="Arial" w:cs="Arial"/>
          <w:noProof/>
          <w:color w:val="000000" w:themeColor="text1"/>
          <w:sz w:val="20"/>
          <w:szCs w:val="22"/>
          <w:lang w:val="es-ES_tradnl"/>
        </w:rPr>
      </w:pPr>
      <w:r w:rsidRPr="00864E72">
        <w:rPr>
          <w:rFonts w:ascii="Arial" w:hAnsi="Arial" w:cs="Arial"/>
          <w:noProof/>
          <w:color w:val="000000" w:themeColor="text1"/>
          <w:sz w:val="20"/>
          <w:szCs w:val="22"/>
          <w:lang w:val="es-ES_tradnl"/>
        </w:rPr>
        <w:t>Esta interpretación, a juicio de la Agencia, se desprende de la literalidad del texto de la norma en comento, sino que además está en armonía con la voluntad del órgano legislativo. Al respecto se estima que, si bien es cierto que entre los propósitos del artículo está la extensión de los documentos tipo a entidades exceptuadas –a través de las cuales se podría estar eludiendo la aplicación de documentos tipo –, no es menos cierto que el Legislador, en materia de contratación estatal, goza de un amplio margen de configuración normativa, de conformidad con lo dispuesto en el inciso final del artículo 150 de la Constitución Política . En ese sentido, en virtud de esta potestad de configuración normativa, resulta perfectamente válido que se establezca una regla general y unas excepciones, como se hace, por ejemplo, en el artículo 56 de la Ley 2195 de 2022, en el que se consagra un mandato general en los primeros dos incisos, y una excepción en el parágrafo, para lo que enuncian unos tipos de entidades que se excluyen de la regla general, únicamente respecto de la contratación de su giro ordinario. A esto se suma el hecho de que el parágrafo bajo estudio es una norma restrictiva, por lo que, en virtud de dicho carácter, amerita una interpretación apegada a lo que literalmente se desprende del texto. Como lo ha establecido el Consejo de Estado, «[…] de conformidad con la jurisprudencia uniforme y reiterada de esta Corporación, la aplicación de las normas que contemplan […] prohibiciones o limitaciones, deben responder a una interpretación restrictiva que no permite su extensión, por vía de la figura de la analogía, a supuestos no contemplados por el ordenamiento».</w:t>
      </w:r>
    </w:p>
    <w:p w14:paraId="736C4D1E" w14:textId="77777777" w:rsidR="00063265" w:rsidRPr="00864E72" w:rsidRDefault="00063265" w:rsidP="00063265">
      <w:pPr>
        <w:jc w:val="both"/>
        <w:rPr>
          <w:rFonts w:ascii="Arial" w:hAnsi="Arial" w:cs="Arial"/>
          <w:noProof/>
          <w:color w:val="000000" w:themeColor="text1"/>
          <w:sz w:val="20"/>
          <w:szCs w:val="22"/>
          <w:lang w:val="es-ES_tradnl"/>
        </w:rPr>
      </w:pPr>
    </w:p>
    <w:p w14:paraId="1CD76020" w14:textId="5DE77B68" w:rsidR="00063265" w:rsidRPr="00864E72" w:rsidRDefault="00063265" w:rsidP="00063265">
      <w:pPr>
        <w:jc w:val="both"/>
        <w:rPr>
          <w:rFonts w:ascii="Arial" w:hAnsi="Arial" w:cs="Arial"/>
          <w:noProof/>
          <w:color w:val="000000" w:themeColor="text1"/>
          <w:sz w:val="22"/>
          <w:lang w:val="es-ES_tradnl"/>
        </w:rPr>
      </w:pPr>
      <w:r w:rsidRPr="00864E72">
        <w:rPr>
          <w:rFonts w:ascii="Arial" w:hAnsi="Arial" w:cs="Arial"/>
          <w:noProof/>
          <w:color w:val="000000" w:themeColor="text1"/>
          <w:sz w:val="20"/>
          <w:szCs w:val="22"/>
          <w:lang w:val="es-ES_tradnl"/>
        </w:rPr>
        <w:t>De acuerdo con esta interpretación restrictiva</w:t>
      </w:r>
      <w:r w:rsidR="00F40DC8" w:rsidRPr="00864E72">
        <w:rPr>
          <w:rFonts w:ascii="Arial" w:hAnsi="Arial" w:cs="Arial"/>
          <w:noProof/>
          <w:color w:val="000000" w:themeColor="text1"/>
          <w:sz w:val="20"/>
          <w:szCs w:val="22"/>
          <w:lang w:val="es-ES_tradnl"/>
        </w:rPr>
        <w:t>,</w:t>
      </w:r>
      <w:r w:rsidRPr="00864E72">
        <w:rPr>
          <w:rFonts w:ascii="Arial" w:hAnsi="Arial" w:cs="Arial"/>
          <w:noProof/>
          <w:color w:val="000000" w:themeColor="text1"/>
          <w:sz w:val="20"/>
          <w:szCs w:val="22"/>
          <w:lang w:val="es-ES_tradnl"/>
        </w:rPr>
        <w:t xml:space="preserve"> el parágrafo del artículo 56 de la Ley 2195 de 2022 es claro al excluir a las instituciones de educación superior públicas, las empresas sociales del Estado, las sociedades de economía mixta y las empresas industriales y comerciales del Estado, de la aplicación de los documentos tipo y del EGCAP, únicamente en la contratación asociada a su giro ordinario, derivada del cumplimiento de contratos y/o convenios con entidades sometidas al EGCAP. Por ello, no es posible sostener una interpretación teleológica  que pretenda una aplicación extensiva de los documentos tipo por parte de las entidades estatales que menciona el parágrafo, pues  ello además implicaría contrariar aquel mandato interpretativo según el cual «cuando el sentido de la ley sea claro, no se desatenderá su tenor literal a pretexto de consultar su espíritu» , al igual que la regla según la cual «Lo favorable u odioso de una disposición no se tomará en cuenta para ampliar o restringir su interpretación». </w:t>
      </w:r>
    </w:p>
    <w:p w14:paraId="26A59100" w14:textId="77777777" w:rsidR="00D913F5" w:rsidRPr="00864E72" w:rsidRDefault="00D913F5" w:rsidP="00B95C30">
      <w:pPr>
        <w:spacing w:line="276" w:lineRule="auto"/>
        <w:jc w:val="both"/>
        <w:rPr>
          <w:rFonts w:ascii="Arial" w:hAnsi="Arial" w:cs="Arial"/>
          <w:noProof/>
          <w:color w:val="000000" w:themeColor="text1"/>
          <w:sz w:val="22"/>
          <w:lang w:val="es-ES_tradnl"/>
        </w:rPr>
      </w:pPr>
    </w:p>
    <w:p w14:paraId="24A7FC60" w14:textId="77777777" w:rsidR="002412BC" w:rsidRPr="00864E72" w:rsidRDefault="002412BC" w:rsidP="00B95C30">
      <w:pPr>
        <w:spacing w:line="276" w:lineRule="auto"/>
        <w:jc w:val="both"/>
        <w:rPr>
          <w:rFonts w:ascii="Arial" w:hAnsi="Arial" w:cs="Arial"/>
          <w:noProof/>
          <w:color w:val="000000" w:themeColor="text1"/>
          <w:sz w:val="22"/>
          <w:lang w:val="es-ES_tradnl"/>
        </w:rPr>
      </w:pPr>
    </w:p>
    <w:p w14:paraId="4EC67316" w14:textId="77777777" w:rsidR="002412BC" w:rsidRPr="00864E72" w:rsidRDefault="002412BC" w:rsidP="00B95C30">
      <w:pPr>
        <w:spacing w:line="276" w:lineRule="auto"/>
        <w:jc w:val="both"/>
        <w:rPr>
          <w:rFonts w:ascii="Arial" w:hAnsi="Arial" w:cs="Arial"/>
          <w:noProof/>
          <w:color w:val="000000" w:themeColor="text1"/>
          <w:sz w:val="22"/>
          <w:lang w:val="es-ES_tradnl"/>
        </w:rPr>
      </w:pPr>
    </w:p>
    <w:p w14:paraId="7DB2CAE5" w14:textId="77777777" w:rsidR="002412BC" w:rsidRPr="00864E72" w:rsidRDefault="002412BC" w:rsidP="00B95C30">
      <w:pPr>
        <w:spacing w:line="276" w:lineRule="auto"/>
        <w:jc w:val="both"/>
        <w:rPr>
          <w:rFonts w:ascii="Arial" w:hAnsi="Arial" w:cs="Arial"/>
          <w:noProof/>
          <w:color w:val="000000" w:themeColor="text1"/>
          <w:sz w:val="22"/>
          <w:lang w:val="es-ES_tradnl"/>
        </w:rPr>
      </w:pPr>
    </w:p>
    <w:p w14:paraId="66C107DA" w14:textId="77777777" w:rsidR="002412BC" w:rsidRPr="00864E72" w:rsidRDefault="002412BC" w:rsidP="00B95C30">
      <w:pPr>
        <w:spacing w:line="276" w:lineRule="auto"/>
        <w:jc w:val="both"/>
        <w:rPr>
          <w:rFonts w:ascii="Arial" w:hAnsi="Arial" w:cs="Arial"/>
          <w:noProof/>
          <w:color w:val="000000" w:themeColor="text1"/>
          <w:sz w:val="22"/>
          <w:lang w:val="es-ES_tradnl"/>
        </w:rPr>
      </w:pPr>
    </w:p>
    <w:p w14:paraId="27D4FB00" w14:textId="77777777" w:rsidR="002412BC" w:rsidRPr="00864E72" w:rsidRDefault="002412BC" w:rsidP="00B95C30">
      <w:pPr>
        <w:spacing w:line="276" w:lineRule="auto"/>
        <w:jc w:val="both"/>
        <w:rPr>
          <w:rFonts w:ascii="Arial" w:hAnsi="Arial" w:cs="Arial"/>
          <w:noProof/>
          <w:color w:val="000000" w:themeColor="text1"/>
          <w:sz w:val="22"/>
          <w:lang w:val="es-ES_tradnl"/>
        </w:rPr>
      </w:pPr>
    </w:p>
    <w:p w14:paraId="1C73F5DD" w14:textId="77777777" w:rsidR="002412BC" w:rsidRPr="00864E72" w:rsidRDefault="002412BC" w:rsidP="00B95C30">
      <w:pPr>
        <w:spacing w:line="276" w:lineRule="auto"/>
        <w:jc w:val="both"/>
        <w:rPr>
          <w:rFonts w:ascii="Arial" w:hAnsi="Arial" w:cs="Arial"/>
          <w:noProof/>
          <w:color w:val="000000" w:themeColor="text1"/>
          <w:sz w:val="22"/>
          <w:lang w:val="es-ES_tradnl"/>
        </w:rPr>
      </w:pPr>
    </w:p>
    <w:p w14:paraId="180EEC0D" w14:textId="77777777" w:rsidR="00063265" w:rsidRPr="00864E72" w:rsidRDefault="00063265" w:rsidP="00B95C30">
      <w:pPr>
        <w:jc w:val="both"/>
        <w:rPr>
          <w:rFonts w:ascii="Arial" w:hAnsi="Arial" w:cs="Arial"/>
          <w:noProof/>
          <w:color w:val="000000" w:themeColor="text1"/>
          <w:sz w:val="22"/>
          <w:lang w:val="es-ES_tradnl"/>
        </w:rPr>
      </w:pPr>
      <w:bookmarkStart w:id="2" w:name="_Hlk94281581"/>
    </w:p>
    <w:p w14:paraId="73F93BB3" w14:textId="77777777" w:rsidR="008C1493" w:rsidRPr="00864E72" w:rsidRDefault="008C1493" w:rsidP="00813F5C">
      <w:pPr>
        <w:spacing w:line="276" w:lineRule="auto"/>
        <w:jc w:val="both"/>
        <w:rPr>
          <w:rFonts w:ascii="Arial" w:hAnsi="Arial" w:cs="Arial"/>
          <w:noProof/>
          <w:color w:val="000000" w:themeColor="text1"/>
          <w:sz w:val="22"/>
          <w:lang w:val="es-ES_tradnl"/>
        </w:rPr>
      </w:pPr>
    </w:p>
    <w:p w14:paraId="359B16C5" w14:textId="77777777" w:rsidR="008C1493" w:rsidRPr="00864E72" w:rsidRDefault="008C1493" w:rsidP="00813F5C">
      <w:pPr>
        <w:spacing w:line="276" w:lineRule="auto"/>
        <w:jc w:val="both"/>
        <w:rPr>
          <w:rFonts w:ascii="Arial" w:hAnsi="Arial" w:cs="Arial"/>
          <w:noProof/>
          <w:color w:val="000000" w:themeColor="text1"/>
          <w:sz w:val="22"/>
          <w:lang w:val="es-ES_tradnl"/>
        </w:rPr>
      </w:pPr>
    </w:p>
    <w:p w14:paraId="71EF77D6" w14:textId="2123D5E0" w:rsidR="00813F5C" w:rsidRPr="00864E72" w:rsidRDefault="00813F5C" w:rsidP="00813F5C">
      <w:pPr>
        <w:spacing w:line="276" w:lineRule="auto"/>
        <w:jc w:val="both"/>
        <w:rPr>
          <w:rFonts w:ascii="Arial" w:hAnsi="Arial" w:cs="Arial"/>
          <w:b/>
          <w:color w:val="000000" w:themeColor="text1"/>
          <w:sz w:val="22"/>
          <w:lang w:val="es-ES_tradnl"/>
        </w:rPr>
      </w:pPr>
      <w:r w:rsidRPr="00864E72">
        <w:rPr>
          <w:rFonts w:ascii="Arial" w:hAnsi="Arial" w:cs="Arial"/>
          <w:noProof/>
          <w:color w:val="000000" w:themeColor="text1"/>
          <w:sz w:val="22"/>
          <w:lang w:val="es-ES_tradnl"/>
        </w:rPr>
        <w:t xml:space="preserve">Bogotá D.C., </w:t>
      </w:r>
      <w:r w:rsidR="003705EF">
        <w:rPr>
          <w:rFonts w:ascii="Arial" w:hAnsi="Arial" w:cs="Arial"/>
          <w:b/>
          <w:color w:val="000000" w:themeColor="text1"/>
          <w:sz w:val="22"/>
          <w:lang w:val="es-ES_tradnl"/>
        </w:rPr>
        <w:t>27/05/2022 16:50:</w:t>
      </w:r>
      <w:r w:rsidR="003C5FF0">
        <w:rPr>
          <w:rFonts w:ascii="Arial" w:hAnsi="Arial" w:cs="Arial"/>
          <w:b/>
          <w:color w:val="000000" w:themeColor="text1"/>
          <w:sz w:val="22"/>
          <w:lang w:val="es-ES_tradnl"/>
        </w:rPr>
        <w:t>54</w:t>
      </w:r>
    </w:p>
    <w:p w14:paraId="0AD551BE" w14:textId="77777777" w:rsidR="00813F5C" w:rsidRPr="00864E72" w:rsidRDefault="00813F5C" w:rsidP="00813F5C">
      <w:pPr>
        <w:spacing w:line="276" w:lineRule="auto"/>
        <w:jc w:val="both"/>
        <w:rPr>
          <w:rFonts w:ascii="Arial" w:eastAsia="Calibri" w:hAnsi="Arial" w:cs="Arial"/>
          <w:noProof/>
          <w:color w:val="000000" w:themeColor="text1"/>
          <w:sz w:val="22"/>
          <w:szCs w:val="22"/>
          <w:lang w:val="es-ES_tradnl"/>
        </w:rPr>
      </w:pPr>
    </w:p>
    <w:p w14:paraId="08C4BF85" w14:textId="56130B49" w:rsidR="003705EF" w:rsidRDefault="003705EF" w:rsidP="003705EF">
      <w:pPr>
        <w:jc w:val="right"/>
      </w:pPr>
      <w:r>
        <w:fldChar w:fldCharType="begin"/>
      </w:r>
      <w:r>
        <w:instrText xml:space="preserve"> INCLUDEPICTURE "/var/folders/z2/mpmwzz0s3w31yr1_fh2qtrr80000gn/T/com.microsoft.Word/WebArchiveCopyPasteTempFiles/page1image21889024" \* MERGEFORMATINET </w:instrText>
      </w:r>
      <w:r>
        <w:fldChar w:fldCharType="separate"/>
      </w:r>
      <w:r>
        <w:rPr>
          <w:noProof/>
        </w:rPr>
        <w:drawing>
          <wp:inline distT="0" distB="0" distL="0" distR="0" wp14:anchorId="2C31ACF3" wp14:editId="1FFD5E30">
            <wp:extent cx="2400300" cy="612140"/>
            <wp:effectExtent l="0" t="0" r="0" b="0"/>
            <wp:docPr id="1" name="Imagen 1" descr="page1image21889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18890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612140"/>
                    </a:xfrm>
                    <a:prstGeom prst="rect">
                      <a:avLst/>
                    </a:prstGeom>
                    <a:noFill/>
                    <a:ln>
                      <a:noFill/>
                    </a:ln>
                  </pic:spPr>
                </pic:pic>
              </a:graphicData>
            </a:graphic>
          </wp:inline>
        </w:drawing>
      </w:r>
      <w:r>
        <w:fldChar w:fldCharType="end"/>
      </w:r>
    </w:p>
    <w:p w14:paraId="0547F9C2" w14:textId="37AC1D35" w:rsidR="00813F5C" w:rsidRPr="00864E72" w:rsidRDefault="00813F5C" w:rsidP="00813F5C">
      <w:pPr>
        <w:jc w:val="both"/>
        <w:rPr>
          <w:rFonts w:ascii="Arial" w:hAnsi="Arial" w:cs="Arial"/>
          <w:bCs/>
          <w:color w:val="000000" w:themeColor="text1"/>
          <w:sz w:val="22"/>
          <w:lang w:val="es-ES_tradnl"/>
        </w:rPr>
      </w:pPr>
    </w:p>
    <w:p w14:paraId="60E95A03" w14:textId="77777777" w:rsidR="008C1493" w:rsidRPr="00864E72" w:rsidRDefault="008C1493" w:rsidP="00813F5C">
      <w:pPr>
        <w:jc w:val="both"/>
        <w:rPr>
          <w:rFonts w:ascii="Arial" w:hAnsi="Arial" w:cs="Arial"/>
          <w:bCs/>
          <w:color w:val="000000" w:themeColor="text1"/>
          <w:sz w:val="22"/>
          <w:lang w:val="es-ES_tradnl"/>
        </w:rPr>
      </w:pPr>
    </w:p>
    <w:p w14:paraId="35454332" w14:textId="56A09FC1" w:rsidR="00813F5C" w:rsidRPr="00864E72" w:rsidRDefault="005C398B" w:rsidP="00813F5C">
      <w:pPr>
        <w:rPr>
          <w:rFonts w:ascii="Arial" w:eastAsia="Calibri" w:hAnsi="Arial" w:cs="Arial"/>
          <w:color w:val="000000" w:themeColor="text1"/>
          <w:sz w:val="22"/>
          <w:lang w:val="es-ES_tradnl"/>
        </w:rPr>
      </w:pPr>
      <w:r w:rsidRPr="00864E72">
        <w:rPr>
          <w:rFonts w:ascii="Arial" w:eastAsia="Calibri" w:hAnsi="Arial" w:cs="Arial"/>
          <w:color w:val="000000" w:themeColor="text1"/>
          <w:sz w:val="22"/>
          <w:lang w:val="es-ES_tradnl"/>
        </w:rPr>
        <w:t>Señora</w:t>
      </w:r>
    </w:p>
    <w:p w14:paraId="3D2FA616" w14:textId="42798C5F" w:rsidR="00813F5C" w:rsidRPr="00864E72" w:rsidRDefault="005C398B" w:rsidP="00813F5C">
      <w:pPr>
        <w:rPr>
          <w:rFonts w:ascii="Arial" w:eastAsia="Calibri" w:hAnsi="Arial" w:cs="Arial"/>
          <w:b/>
          <w:color w:val="000000" w:themeColor="text1"/>
          <w:sz w:val="22"/>
          <w:lang w:val="es-ES_tradnl"/>
        </w:rPr>
      </w:pPr>
      <w:r w:rsidRPr="00864E72">
        <w:rPr>
          <w:rFonts w:ascii="Arial" w:eastAsia="Calibri" w:hAnsi="Arial" w:cs="Arial"/>
          <w:b/>
          <w:color w:val="000000" w:themeColor="text1"/>
          <w:sz w:val="22"/>
          <w:lang w:val="es-ES_tradnl"/>
        </w:rPr>
        <w:t>Ana Carolina Palacios Ibarra</w:t>
      </w:r>
    </w:p>
    <w:p w14:paraId="0A2E267E" w14:textId="2A8722DD" w:rsidR="00813F5C" w:rsidRPr="00864E72" w:rsidRDefault="00B2574F" w:rsidP="00813F5C">
      <w:pPr>
        <w:rPr>
          <w:rFonts w:ascii="Arial" w:eastAsia="Calibri" w:hAnsi="Arial" w:cs="Arial"/>
          <w:color w:val="000000" w:themeColor="text1"/>
          <w:sz w:val="22"/>
          <w:lang w:val="es-ES_tradnl"/>
        </w:rPr>
      </w:pPr>
      <w:r w:rsidRPr="00864E72">
        <w:rPr>
          <w:rFonts w:ascii="Arial" w:eastAsia="Calibri" w:hAnsi="Arial" w:cs="Arial"/>
          <w:color w:val="000000" w:themeColor="text1"/>
          <w:sz w:val="22"/>
          <w:lang w:val="es-ES_tradnl"/>
        </w:rPr>
        <w:t>Madrid</w:t>
      </w:r>
      <w:r w:rsidR="00813F5C" w:rsidRPr="00864E72">
        <w:rPr>
          <w:rFonts w:ascii="Arial" w:eastAsia="Calibri" w:hAnsi="Arial" w:cs="Arial"/>
          <w:color w:val="000000" w:themeColor="text1"/>
          <w:sz w:val="22"/>
          <w:lang w:val="es-ES_tradnl"/>
        </w:rPr>
        <w:t xml:space="preserve">, </w:t>
      </w:r>
      <w:r w:rsidRPr="00864E72">
        <w:rPr>
          <w:rFonts w:ascii="Arial" w:eastAsia="Calibri" w:hAnsi="Arial" w:cs="Arial"/>
          <w:color w:val="000000" w:themeColor="text1"/>
          <w:sz w:val="22"/>
          <w:lang w:val="es-ES_tradnl"/>
        </w:rPr>
        <w:t>Cundinamarca</w:t>
      </w:r>
    </w:p>
    <w:p w14:paraId="1D513ECC" w14:textId="0961A74F" w:rsidR="00EF5EA2" w:rsidRPr="00864E72" w:rsidRDefault="00EF5EA2" w:rsidP="00813F5C">
      <w:pPr>
        <w:rPr>
          <w:rFonts w:ascii="Arial" w:eastAsia="Calibri" w:hAnsi="Arial" w:cs="Arial"/>
          <w:color w:val="000000" w:themeColor="text1"/>
          <w:sz w:val="22"/>
          <w:lang w:val="es-ES_tradnl"/>
        </w:rPr>
      </w:pPr>
    </w:p>
    <w:p w14:paraId="025C4417" w14:textId="77777777" w:rsidR="00EF5EA2" w:rsidRPr="00864E72" w:rsidRDefault="00EF5EA2" w:rsidP="00813F5C">
      <w:pPr>
        <w:rPr>
          <w:rFonts w:ascii="Arial" w:eastAsia="Calibri" w:hAnsi="Arial" w:cs="Arial"/>
          <w:color w:val="000000" w:themeColor="text1"/>
          <w:sz w:val="22"/>
          <w:lang w:val="es-ES_tradnl"/>
        </w:rPr>
      </w:pPr>
    </w:p>
    <w:p w14:paraId="12E66182" w14:textId="322F36EA" w:rsidR="00B95C30" w:rsidRPr="00864E72" w:rsidRDefault="008C1493" w:rsidP="0028580B">
      <w:pPr>
        <w:rPr>
          <w:rFonts w:ascii="Arial" w:eastAsia="Calibri" w:hAnsi="Arial" w:cs="Arial"/>
          <w:b/>
          <w:bCs/>
          <w:color w:val="000000" w:themeColor="text1"/>
          <w:sz w:val="22"/>
          <w:lang w:val="es-ES_tradnl"/>
        </w:rPr>
      </w:pPr>
      <w:r w:rsidRPr="00864E72">
        <w:rPr>
          <w:rFonts w:ascii="Arial" w:eastAsia="Calibri" w:hAnsi="Arial" w:cs="Arial"/>
          <w:b/>
          <w:bCs/>
          <w:color w:val="000000" w:themeColor="text1"/>
          <w:sz w:val="22"/>
          <w:lang w:val="es-ES_tradnl"/>
        </w:rPr>
        <w:t xml:space="preserve">                                            </w:t>
      </w:r>
      <w:r w:rsidR="00B95C30" w:rsidRPr="00864E72">
        <w:rPr>
          <w:rFonts w:ascii="Arial" w:eastAsia="Calibri" w:hAnsi="Arial" w:cs="Arial"/>
          <w:b/>
          <w:bCs/>
          <w:color w:val="000000" w:themeColor="text1"/>
          <w:sz w:val="22"/>
          <w:lang w:val="es-ES_tradnl"/>
        </w:rPr>
        <w:t>Concepto C</w:t>
      </w:r>
      <w:r w:rsidR="00EF5EA2" w:rsidRPr="00864E72">
        <w:rPr>
          <w:rFonts w:ascii="Arial" w:eastAsia="Calibri" w:hAnsi="Arial" w:cs="Arial"/>
          <w:b/>
          <w:bCs/>
          <w:color w:val="000000" w:themeColor="text1"/>
          <w:sz w:val="22"/>
          <w:lang w:val="es-ES_tradnl"/>
        </w:rPr>
        <w:t xml:space="preserve"> – </w:t>
      </w:r>
      <w:r w:rsidR="0034277A" w:rsidRPr="00864E72">
        <w:rPr>
          <w:rFonts w:ascii="Arial" w:eastAsia="Calibri" w:hAnsi="Arial" w:cs="Arial"/>
          <w:b/>
          <w:bCs/>
          <w:color w:val="000000" w:themeColor="text1"/>
          <w:sz w:val="22"/>
          <w:lang w:val="es-ES_tradnl"/>
        </w:rPr>
        <w:t>341</w:t>
      </w:r>
      <w:r w:rsidR="00B95C30" w:rsidRPr="00864E72">
        <w:rPr>
          <w:rFonts w:ascii="Arial" w:eastAsia="Calibri" w:hAnsi="Arial" w:cs="Arial"/>
          <w:b/>
          <w:bCs/>
          <w:color w:val="000000" w:themeColor="text1"/>
          <w:sz w:val="22"/>
          <w:lang w:val="es-ES_tradnl"/>
        </w:rPr>
        <w:t xml:space="preserve"> de 202</w:t>
      </w:r>
      <w:r w:rsidR="00131DA9" w:rsidRPr="00864E72">
        <w:rPr>
          <w:rFonts w:ascii="Arial" w:eastAsia="Calibri" w:hAnsi="Arial" w:cs="Arial"/>
          <w:b/>
          <w:bCs/>
          <w:color w:val="000000" w:themeColor="text1"/>
          <w:sz w:val="22"/>
          <w:lang w:val="es-ES_tradnl"/>
        </w:rPr>
        <w:t>2</w:t>
      </w:r>
    </w:p>
    <w:p w14:paraId="1BD594F9" w14:textId="77777777" w:rsidR="00B95C30" w:rsidRPr="00864E72"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37DB9" w:rsidRPr="00864E72" w14:paraId="19DFC051" w14:textId="77777777" w:rsidTr="008F4163">
        <w:tc>
          <w:tcPr>
            <w:tcW w:w="2689" w:type="dxa"/>
          </w:tcPr>
          <w:p w14:paraId="6BC0D1AC" w14:textId="77777777" w:rsidR="00B95C30" w:rsidRPr="00864E72" w:rsidRDefault="00B95C30" w:rsidP="008F4163">
            <w:pPr>
              <w:jc w:val="both"/>
              <w:rPr>
                <w:rFonts w:ascii="Arial" w:eastAsia="Calibri" w:hAnsi="Arial" w:cs="Arial"/>
                <w:color w:val="000000" w:themeColor="text1"/>
                <w:sz w:val="22"/>
                <w:lang w:val="es-ES_tradnl"/>
              </w:rPr>
            </w:pPr>
            <w:r w:rsidRPr="00864E72">
              <w:rPr>
                <w:rFonts w:ascii="Arial" w:eastAsia="Calibri" w:hAnsi="Arial" w:cs="Arial"/>
                <w:b/>
                <w:color w:val="000000" w:themeColor="text1"/>
                <w:sz w:val="22"/>
                <w:lang w:val="es-ES_tradnl"/>
              </w:rPr>
              <w:t>Temas:</w:t>
            </w:r>
            <w:r w:rsidRPr="00864E72">
              <w:rPr>
                <w:rFonts w:ascii="Arial" w:eastAsia="Calibri" w:hAnsi="Arial" w:cs="Arial"/>
                <w:color w:val="000000" w:themeColor="text1"/>
                <w:sz w:val="22"/>
                <w:lang w:val="es-ES_tradnl"/>
              </w:rPr>
              <w:t xml:space="preserve">                                      </w:t>
            </w:r>
          </w:p>
        </w:tc>
        <w:tc>
          <w:tcPr>
            <w:tcW w:w="6237" w:type="dxa"/>
          </w:tcPr>
          <w:p w14:paraId="5F389CAF" w14:textId="4D03CB3B" w:rsidR="00B95C30" w:rsidRPr="00864E72" w:rsidRDefault="005E13A8" w:rsidP="008F4163">
            <w:pPr>
              <w:jc w:val="both"/>
              <w:rPr>
                <w:rFonts w:ascii="Arial" w:eastAsia="Calibri" w:hAnsi="Arial" w:cs="Arial"/>
                <w:color w:val="000000" w:themeColor="text1"/>
                <w:sz w:val="22"/>
                <w:lang w:val="es-ES_tradnl"/>
              </w:rPr>
            </w:pPr>
            <w:r w:rsidRPr="00864E72">
              <w:rPr>
                <w:rFonts w:ascii="Arial" w:eastAsia="Calibri" w:hAnsi="Arial" w:cs="Arial"/>
                <w:bCs/>
                <w:color w:val="000000" w:themeColor="text1"/>
                <w:sz w:val="22"/>
                <w:lang w:val="es-ES_tradnl"/>
              </w:rPr>
              <w:t>DOCUMENTOS TIPO – Fundamento normativo – Ley 2022 de 2020</w:t>
            </w:r>
            <w:r w:rsidR="00B95C30" w:rsidRPr="00864E72">
              <w:rPr>
                <w:rFonts w:ascii="Arial" w:eastAsia="Calibri" w:hAnsi="Arial" w:cs="Arial"/>
                <w:bCs/>
                <w:color w:val="000000" w:themeColor="text1"/>
                <w:sz w:val="22"/>
                <w:lang w:val="es-ES_tradnl"/>
              </w:rPr>
              <w:t>/</w:t>
            </w:r>
            <w:r w:rsidR="00B23535" w:rsidRPr="00864E72">
              <w:rPr>
                <w:rFonts w:ascii="Arial" w:eastAsia="Calibri" w:hAnsi="Arial" w:cs="Arial"/>
                <w:bCs/>
                <w:color w:val="000000" w:themeColor="text1"/>
                <w:sz w:val="22"/>
                <w:lang w:val="es-ES_tradnl"/>
              </w:rPr>
              <w:t xml:space="preserve"> </w:t>
            </w:r>
            <w:r w:rsidRPr="00864E72">
              <w:rPr>
                <w:rFonts w:ascii="Arial" w:eastAsia="Calibri" w:hAnsi="Arial" w:cs="Arial"/>
                <w:bCs/>
                <w:color w:val="000000" w:themeColor="text1"/>
                <w:sz w:val="22"/>
                <w:lang w:val="es-ES_tradnl"/>
              </w:rPr>
              <w:t xml:space="preserve">DOCUMENTOS TIPO – Ámbito de aplicación – Inalterabilidad </w:t>
            </w:r>
            <w:r w:rsidR="00FD6145" w:rsidRPr="00864E72">
              <w:rPr>
                <w:rFonts w:ascii="Arial" w:eastAsia="Calibri" w:hAnsi="Arial" w:cs="Arial"/>
                <w:bCs/>
                <w:color w:val="000000" w:themeColor="text1"/>
                <w:sz w:val="22"/>
                <w:lang w:val="es-ES_tradnl"/>
              </w:rPr>
              <w:t xml:space="preserve">/ </w:t>
            </w:r>
            <w:r w:rsidRPr="00864E72">
              <w:rPr>
                <w:rFonts w:ascii="Arial" w:eastAsia="Calibri" w:hAnsi="Arial" w:cs="Arial"/>
                <w:bCs/>
                <w:color w:val="000000" w:themeColor="text1"/>
                <w:sz w:val="22"/>
                <w:lang w:val="es-ES_tradnl"/>
              </w:rPr>
              <w:t>LEY 2195 DE 2022 – Artículo 56 – Aplicación de Documentos tipo - contratos o convenios interadministrativos - entidades sometidas al Estatuto General de Contratación de la Administración Pública – entidades de régimen especial</w:t>
            </w:r>
            <w:r w:rsidR="00FD6145" w:rsidRPr="00864E72">
              <w:rPr>
                <w:rFonts w:ascii="Arial" w:eastAsia="Calibri" w:hAnsi="Arial" w:cs="Arial"/>
                <w:bCs/>
                <w:color w:val="000000" w:themeColor="text1"/>
                <w:sz w:val="22"/>
                <w:lang w:val="es-ES_tradnl"/>
              </w:rPr>
              <w:t xml:space="preserve"> / LEY 2195 DE 2022 – Artículo 56 – Parágrafo – Excepciones – Giro ordinario</w:t>
            </w:r>
          </w:p>
        </w:tc>
      </w:tr>
      <w:tr w:rsidR="00437DB9" w:rsidRPr="00864E72" w14:paraId="27CD52AB" w14:textId="77777777" w:rsidTr="008F4163">
        <w:tc>
          <w:tcPr>
            <w:tcW w:w="2689" w:type="dxa"/>
          </w:tcPr>
          <w:p w14:paraId="37E195A1" w14:textId="1BA218D5" w:rsidR="00B95C30" w:rsidRPr="00864E72" w:rsidRDefault="00B95C30" w:rsidP="008F4163">
            <w:pPr>
              <w:spacing w:before="120"/>
              <w:jc w:val="both"/>
              <w:rPr>
                <w:rFonts w:ascii="Arial" w:eastAsia="Calibri" w:hAnsi="Arial" w:cs="Arial"/>
                <w:b/>
                <w:color w:val="000000" w:themeColor="text1"/>
                <w:sz w:val="22"/>
                <w:lang w:val="es-ES_tradnl"/>
              </w:rPr>
            </w:pPr>
            <w:r w:rsidRPr="00864E72">
              <w:rPr>
                <w:rFonts w:ascii="Arial" w:eastAsia="Calibri" w:hAnsi="Arial" w:cs="Arial"/>
                <w:b/>
                <w:color w:val="000000" w:themeColor="text1"/>
                <w:sz w:val="22"/>
                <w:lang w:val="es-ES_tradnl"/>
              </w:rPr>
              <w:t>Radicación:</w:t>
            </w:r>
            <w:r w:rsidRPr="00864E72">
              <w:rPr>
                <w:rFonts w:ascii="Arial" w:eastAsia="Calibri" w:hAnsi="Arial" w:cs="Arial"/>
                <w:color w:val="000000" w:themeColor="text1"/>
                <w:sz w:val="22"/>
                <w:lang w:val="es-ES_tradnl"/>
              </w:rPr>
              <w:t xml:space="preserve">                              </w:t>
            </w:r>
          </w:p>
        </w:tc>
        <w:tc>
          <w:tcPr>
            <w:tcW w:w="6237" w:type="dxa"/>
          </w:tcPr>
          <w:p w14:paraId="09088B1B" w14:textId="17A1CDC7" w:rsidR="00B95C30" w:rsidRPr="00864E72" w:rsidRDefault="00B95C30" w:rsidP="00EF5EA2">
            <w:pPr>
              <w:spacing w:before="120"/>
              <w:jc w:val="both"/>
              <w:rPr>
                <w:rFonts w:ascii="Arial" w:eastAsia="Calibri" w:hAnsi="Arial" w:cs="Arial"/>
                <w:color w:val="000000" w:themeColor="text1"/>
                <w:sz w:val="22"/>
                <w:lang w:val="es-ES_tradnl"/>
              </w:rPr>
            </w:pPr>
            <w:r w:rsidRPr="00864E72">
              <w:rPr>
                <w:rFonts w:ascii="Arial" w:eastAsia="Calibri" w:hAnsi="Arial" w:cs="Arial"/>
                <w:color w:val="000000" w:themeColor="text1"/>
                <w:sz w:val="22"/>
                <w:lang w:val="es-ES_tradnl"/>
              </w:rPr>
              <w:t xml:space="preserve">Respuesta a consulta # </w:t>
            </w:r>
            <w:r w:rsidR="00341961" w:rsidRPr="00864E72">
              <w:rPr>
                <w:rFonts w:ascii="Arial" w:eastAsia="Calibri" w:hAnsi="Arial" w:cs="Arial"/>
                <w:color w:val="000000" w:themeColor="text1"/>
                <w:sz w:val="22"/>
                <w:lang w:val="es-ES_tradnl"/>
              </w:rPr>
              <w:t>P20220413003721</w:t>
            </w:r>
          </w:p>
        </w:tc>
      </w:tr>
    </w:tbl>
    <w:p w14:paraId="4E8373DF" w14:textId="77777777" w:rsidR="00EF5EA2" w:rsidRPr="00864E72" w:rsidRDefault="00EF5EA2" w:rsidP="003C3339">
      <w:pPr>
        <w:jc w:val="both"/>
        <w:rPr>
          <w:rFonts w:ascii="Arial" w:eastAsia="Calibri" w:hAnsi="Arial" w:cs="Arial"/>
          <w:color w:val="000000" w:themeColor="text1"/>
          <w:sz w:val="22"/>
          <w:lang w:val="es-ES_tradnl"/>
        </w:rPr>
      </w:pPr>
    </w:p>
    <w:p w14:paraId="6063B5FA" w14:textId="77777777" w:rsidR="00EF5EA2" w:rsidRPr="00864E72" w:rsidRDefault="00EF5EA2" w:rsidP="003C3339">
      <w:pPr>
        <w:jc w:val="both"/>
        <w:rPr>
          <w:rFonts w:ascii="Arial" w:eastAsia="Calibri" w:hAnsi="Arial" w:cs="Arial"/>
          <w:color w:val="000000" w:themeColor="text1"/>
          <w:sz w:val="22"/>
          <w:lang w:val="es-ES_tradnl"/>
        </w:rPr>
      </w:pPr>
    </w:p>
    <w:p w14:paraId="1CF4AEA0" w14:textId="7D311E48" w:rsidR="003C3339" w:rsidRPr="00864E72" w:rsidRDefault="003C3339" w:rsidP="003C3339">
      <w:pPr>
        <w:jc w:val="both"/>
        <w:rPr>
          <w:rFonts w:ascii="Arial" w:eastAsia="Calibri" w:hAnsi="Arial" w:cs="Arial"/>
          <w:color w:val="000000" w:themeColor="text1"/>
          <w:sz w:val="22"/>
          <w:lang w:val="es-ES_tradnl"/>
        </w:rPr>
      </w:pPr>
      <w:r w:rsidRPr="00864E72">
        <w:rPr>
          <w:rFonts w:ascii="Arial" w:eastAsia="Calibri" w:hAnsi="Arial" w:cs="Arial"/>
          <w:color w:val="000000" w:themeColor="text1"/>
          <w:sz w:val="22"/>
          <w:lang w:val="es-ES_tradnl"/>
        </w:rPr>
        <w:t>Estim</w:t>
      </w:r>
      <w:r w:rsidR="00D0127C" w:rsidRPr="00864E72">
        <w:rPr>
          <w:rFonts w:ascii="Arial" w:eastAsia="Calibri" w:hAnsi="Arial" w:cs="Arial"/>
          <w:color w:val="000000" w:themeColor="text1"/>
          <w:sz w:val="22"/>
          <w:lang w:val="es-ES_tradnl"/>
        </w:rPr>
        <w:t>ad</w:t>
      </w:r>
      <w:r w:rsidR="008F385A" w:rsidRPr="00864E72">
        <w:rPr>
          <w:rFonts w:ascii="Arial" w:eastAsia="Calibri" w:hAnsi="Arial" w:cs="Arial"/>
          <w:color w:val="000000" w:themeColor="text1"/>
          <w:sz w:val="22"/>
          <w:lang w:val="es-ES_tradnl"/>
        </w:rPr>
        <w:t>a</w:t>
      </w:r>
      <w:r w:rsidR="00D0127C" w:rsidRPr="00864E72">
        <w:rPr>
          <w:rFonts w:ascii="Arial" w:eastAsia="Calibri" w:hAnsi="Arial" w:cs="Arial"/>
          <w:color w:val="000000" w:themeColor="text1"/>
          <w:sz w:val="22"/>
          <w:lang w:val="es-ES_tradnl"/>
        </w:rPr>
        <w:t xml:space="preserve"> señor</w:t>
      </w:r>
      <w:r w:rsidR="008F385A" w:rsidRPr="00864E72">
        <w:rPr>
          <w:rFonts w:ascii="Arial" w:eastAsia="Calibri" w:hAnsi="Arial" w:cs="Arial"/>
          <w:color w:val="000000" w:themeColor="text1"/>
          <w:sz w:val="22"/>
          <w:lang w:val="es-ES_tradnl"/>
        </w:rPr>
        <w:t>a Palacios</w:t>
      </w:r>
      <w:r w:rsidRPr="00864E72">
        <w:rPr>
          <w:rFonts w:ascii="Arial" w:eastAsia="Calibri" w:hAnsi="Arial" w:cs="Arial"/>
          <w:color w:val="000000" w:themeColor="text1"/>
          <w:sz w:val="22"/>
          <w:lang w:val="es-ES_tradnl"/>
        </w:rPr>
        <w:t>:</w:t>
      </w:r>
    </w:p>
    <w:p w14:paraId="1EAE5543" w14:textId="77777777" w:rsidR="00DD5B04" w:rsidRPr="00864E72" w:rsidRDefault="00DD5B04" w:rsidP="00DF76A2">
      <w:pPr>
        <w:jc w:val="both"/>
        <w:rPr>
          <w:rFonts w:ascii="Arial" w:eastAsia="Calibri" w:hAnsi="Arial" w:cs="Arial"/>
          <w:color w:val="000000" w:themeColor="text1"/>
          <w:sz w:val="22"/>
          <w:lang w:val="es-ES_tradnl"/>
        </w:rPr>
      </w:pPr>
    </w:p>
    <w:p w14:paraId="2109B2D3" w14:textId="1751B47A" w:rsidR="00DD5B04" w:rsidRPr="00864E72" w:rsidRDefault="00DD5B04" w:rsidP="00DF76A2">
      <w:pPr>
        <w:spacing w:line="276" w:lineRule="auto"/>
        <w:jc w:val="both"/>
        <w:rPr>
          <w:rFonts w:ascii="Arial" w:eastAsia="Calibri" w:hAnsi="Arial" w:cs="Arial"/>
          <w:color w:val="000000" w:themeColor="text1"/>
          <w:sz w:val="22"/>
          <w:lang w:val="es-ES_tradnl"/>
        </w:rPr>
      </w:pPr>
      <w:r w:rsidRPr="00864E72">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864E72">
        <w:rPr>
          <w:rFonts w:ascii="Arial" w:eastAsia="Calibri" w:hAnsi="Arial" w:cs="Arial"/>
          <w:color w:val="000000" w:themeColor="text1"/>
          <w:sz w:val="22"/>
          <w:lang w:val="es-ES_tradnl"/>
        </w:rPr>
        <w:t xml:space="preserve"> </w:t>
      </w:r>
      <w:r w:rsidRPr="00864E72">
        <w:rPr>
          <w:rFonts w:ascii="Arial" w:eastAsia="Calibri" w:hAnsi="Arial" w:cs="Arial"/>
          <w:color w:val="000000" w:themeColor="text1"/>
          <w:sz w:val="22"/>
          <w:lang w:val="es-ES_tradnl"/>
        </w:rPr>
        <w:t xml:space="preserve">responde su consulta del </w:t>
      </w:r>
      <w:r w:rsidR="009C6E99" w:rsidRPr="00864E72">
        <w:rPr>
          <w:rFonts w:ascii="Arial" w:eastAsia="Calibri" w:hAnsi="Arial" w:cs="Arial"/>
          <w:color w:val="000000" w:themeColor="text1"/>
          <w:sz w:val="22"/>
          <w:lang w:val="es-ES_tradnl"/>
        </w:rPr>
        <w:t>13</w:t>
      </w:r>
      <w:r w:rsidR="00FD4AF3" w:rsidRPr="00864E72">
        <w:rPr>
          <w:rFonts w:ascii="Arial" w:eastAsia="Calibri" w:hAnsi="Arial" w:cs="Arial"/>
          <w:color w:val="000000" w:themeColor="text1"/>
          <w:sz w:val="22"/>
          <w:lang w:val="es-ES_tradnl"/>
        </w:rPr>
        <w:t xml:space="preserve"> de </w:t>
      </w:r>
      <w:r w:rsidR="009C6E99" w:rsidRPr="00864E72">
        <w:rPr>
          <w:rFonts w:ascii="Arial" w:eastAsia="Calibri" w:hAnsi="Arial" w:cs="Arial"/>
          <w:color w:val="000000" w:themeColor="text1"/>
          <w:sz w:val="22"/>
          <w:lang w:val="es-ES_tradnl"/>
        </w:rPr>
        <w:t>abril</w:t>
      </w:r>
      <w:r w:rsidRPr="00864E72">
        <w:rPr>
          <w:rFonts w:ascii="Arial" w:eastAsia="Calibri" w:hAnsi="Arial" w:cs="Arial"/>
          <w:color w:val="000000" w:themeColor="text1"/>
          <w:sz w:val="22"/>
          <w:lang w:val="es-ES_tradnl"/>
        </w:rPr>
        <w:t xml:space="preserve"> del</w:t>
      </w:r>
      <w:r w:rsidR="007E74BF" w:rsidRPr="00864E72">
        <w:rPr>
          <w:rFonts w:ascii="Arial" w:eastAsia="Calibri" w:hAnsi="Arial" w:cs="Arial"/>
          <w:color w:val="000000" w:themeColor="text1"/>
          <w:sz w:val="22"/>
          <w:lang w:val="es-ES_tradnl"/>
        </w:rPr>
        <w:t xml:space="preserve"> </w:t>
      </w:r>
      <w:r w:rsidRPr="00864E72">
        <w:rPr>
          <w:rFonts w:ascii="Arial" w:eastAsia="Calibri" w:hAnsi="Arial" w:cs="Arial"/>
          <w:color w:val="000000" w:themeColor="text1"/>
          <w:sz w:val="22"/>
          <w:lang w:val="es-ES_tradnl"/>
        </w:rPr>
        <w:t>202</w:t>
      </w:r>
      <w:r w:rsidR="005C345A" w:rsidRPr="00864E72">
        <w:rPr>
          <w:rFonts w:ascii="Arial" w:eastAsia="Calibri" w:hAnsi="Arial" w:cs="Arial"/>
          <w:color w:val="000000" w:themeColor="text1"/>
          <w:sz w:val="22"/>
          <w:lang w:val="es-ES_tradnl"/>
        </w:rPr>
        <w:t>2</w:t>
      </w:r>
      <w:r w:rsidR="008C3C57" w:rsidRPr="00864E72">
        <w:rPr>
          <w:rFonts w:ascii="Arial" w:eastAsia="Calibri" w:hAnsi="Arial" w:cs="Arial"/>
          <w:color w:val="000000" w:themeColor="text1"/>
          <w:sz w:val="22"/>
          <w:lang w:val="es-ES_tradnl"/>
        </w:rPr>
        <w:t>.</w:t>
      </w:r>
    </w:p>
    <w:p w14:paraId="0C1E0712" w14:textId="77777777" w:rsidR="00DD5B04" w:rsidRPr="00864E72"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864E72"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864E72">
        <w:rPr>
          <w:rFonts w:ascii="Arial" w:eastAsia="Calibri" w:hAnsi="Arial" w:cs="Arial"/>
          <w:b/>
          <w:color w:val="000000" w:themeColor="text1"/>
          <w:sz w:val="22"/>
          <w:lang w:val="es-ES_tradnl"/>
        </w:rPr>
        <w:t xml:space="preserve">Problema planteado </w:t>
      </w:r>
    </w:p>
    <w:p w14:paraId="224B43D3" w14:textId="77777777" w:rsidR="00DD5B04" w:rsidRPr="00864E72"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B453246" w14:textId="6DEC324D" w:rsidR="00B13399" w:rsidRPr="00864E72" w:rsidRDefault="00F33FB4" w:rsidP="0099583D">
      <w:pPr>
        <w:spacing w:line="276" w:lineRule="auto"/>
        <w:jc w:val="both"/>
        <w:rPr>
          <w:rFonts w:ascii="Arial" w:hAnsi="Arial" w:cs="Arial"/>
          <w:color w:val="000000" w:themeColor="text1"/>
          <w:sz w:val="22"/>
          <w:lang w:val="es-ES_tradnl"/>
        </w:rPr>
      </w:pPr>
      <w:r w:rsidRPr="00864E72">
        <w:rPr>
          <w:rFonts w:ascii="Arial" w:hAnsi="Arial" w:cs="Arial"/>
          <w:color w:val="000000" w:themeColor="text1"/>
          <w:sz w:val="22"/>
          <w:lang w:val="es-ES_tradnl"/>
        </w:rPr>
        <w:t>Respecto a</w:t>
      </w:r>
      <w:r w:rsidR="00966B9B" w:rsidRPr="00864E72">
        <w:rPr>
          <w:rFonts w:ascii="Arial" w:hAnsi="Arial" w:cs="Arial"/>
          <w:color w:val="000000" w:themeColor="text1"/>
          <w:sz w:val="22"/>
          <w:lang w:val="es-ES_tradnl"/>
        </w:rPr>
        <w:t>l</w:t>
      </w:r>
      <w:r w:rsidR="00142237" w:rsidRPr="00864E72">
        <w:rPr>
          <w:rFonts w:ascii="Arial" w:hAnsi="Arial" w:cs="Arial"/>
          <w:color w:val="000000" w:themeColor="text1"/>
          <w:sz w:val="22"/>
          <w:lang w:val="es-ES_tradnl"/>
        </w:rPr>
        <w:t xml:space="preserve"> </w:t>
      </w:r>
      <w:r w:rsidR="00B13399" w:rsidRPr="00864E72">
        <w:rPr>
          <w:rFonts w:ascii="Arial" w:hAnsi="Arial" w:cs="Arial"/>
          <w:color w:val="000000" w:themeColor="text1"/>
          <w:sz w:val="22"/>
          <w:lang w:val="es-ES_tradnl"/>
        </w:rPr>
        <w:t xml:space="preserve">alcance del artículo </w:t>
      </w:r>
      <w:r w:rsidR="00142237" w:rsidRPr="00864E72">
        <w:rPr>
          <w:rFonts w:ascii="Arial" w:hAnsi="Arial" w:cs="Arial"/>
          <w:color w:val="000000" w:themeColor="text1"/>
          <w:sz w:val="22"/>
          <w:lang w:val="es-ES_tradnl"/>
        </w:rPr>
        <w:t>56 de la Ley 2195 de 2022</w:t>
      </w:r>
      <w:r w:rsidR="001827A1" w:rsidRPr="00864E72">
        <w:rPr>
          <w:rFonts w:ascii="Arial" w:hAnsi="Arial" w:cs="Arial"/>
          <w:color w:val="000000" w:themeColor="text1"/>
          <w:sz w:val="22"/>
          <w:lang w:val="es-ES_tradnl"/>
        </w:rPr>
        <w:t xml:space="preserve"> y su aplicación a la </w:t>
      </w:r>
      <w:r w:rsidR="003927CF" w:rsidRPr="00864E72">
        <w:rPr>
          <w:rFonts w:ascii="Arial" w:hAnsi="Arial" w:cs="Arial"/>
          <w:color w:val="000000" w:themeColor="text1"/>
          <w:sz w:val="22"/>
          <w:lang w:val="es-ES_tradnl"/>
        </w:rPr>
        <w:t xml:space="preserve">Empresa Municipal de Acueducto, </w:t>
      </w:r>
      <w:r w:rsidR="002F550C" w:rsidRPr="00864E72">
        <w:rPr>
          <w:rFonts w:ascii="Arial" w:hAnsi="Arial" w:cs="Arial"/>
          <w:color w:val="000000" w:themeColor="text1"/>
          <w:sz w:val="22"/>
          <w:lang w:val="es-ES_tradnl"/>
        </w:rPr>
        <w:t>Alcantarillado</w:t>
      </w:r>
      <w:r w:rsidR="003927CF" w:rsidRPr="00864E72">
        <w:rPr>
          <w:rFonts w:ascii="Arial" w:hAnsi="Arial" w:cs="Arial"/>
          <w:color w:val="000000" w:themeColor="text1"/>
          <w:sz w:val="22"/>
          <w:lang w:val="es-ES_tradnl"/>
        </w:rPr>
        <w:t xml:space="preserve"> y Aseo de Madrid –EAAAM ESP–, cuya naturaleza, según afirma, es la de una empresa industrial y comercial del Estado</w:t>
      </w:r>
      <w:r w:rsidRPr="00864E72">
        <w:rPr>
          <w:rFonts w:ascii="Arial" w:hAnsi="Arial" w:cs="Arial"/>
          <w:color w:val="000000" w:themeColor="text1"/>
          <w:sz w:val="22"/>
          <w:lang w:val="es-ES_tradnl"/>
        </w:rPr>
        <w:t xml:space="preserve">, </w:t>
      </w:r>
      <w:r w:rsidR="00C62EAA" w:rsidRPr="00864E72">
        <w:rPr>
          <w:rFonts w:ascii="Arial" w:hAnsi="Arial" w:cs="Arial"/>
          <w:color w:val="000000" w:themeColor="text1"/>
          <w:sz w:val="22"/>
          <w:lang w:val="es-ES_tradnl"/>
        </w:rPr>
        <w:t>usted realiza la</w:t>
      </w:r>
      <w:r w:rsidR="00C7572D" w:rsidRPr="00864E72">
        <w:rPr>
          <w:rFonts w:ascii="Arial" w:hAnsi="Arial" w:cs="Arial"/>
          <w:color w:val="000000" w:themeColor="text1"/>
          <w:sz w:val="22"/>
          <w:lang w:val="es-ES_tradnl"/>
        </w:rPr>
        <w:t>s</w:t>
      </w:r>
      <w:r w:rsidR="00C62EAA" w:rsidRPr="00864E72">
        <w:rPr>
          <w:rFonts w:ascii="Arial" w:hAnsi="Arial" w:cs="Arial"/>
          <w:color w:val="000000" w:themeColor="text1"/>
          <w:sz w:val="22"/>
          <w:lang w:val="es-ES_tradnl"/>
        </w:rPr>
        <w:t xml:space="preserve"> siguiente</w:t>
      </w:r>
      <w:r w:rsidR="00C7572D" w:rsidRPr="00864E72">
        <w:rPr>
          <w:rFonts w:ascii="Arial" w:hAnsi="Arial" w:cs="Arial"/>
          <w:color w:val="000000" w:themeColor="text1"/>
          <w:sz w:val="22"/>
          <w:lang w:val="es-ES_tradnl"/>
        </w:rPr>
        <w:t>s</w:t>
      </w:r>
      <w:r w:rsidR="00C62EAA" w:rsidRPr="00864E72">
        <w:rPr>
          <w:rFonts w:ascii="Arial" w:hAnsi="Arial" w:cs="Arial"/>
          <w:color w:val="000000" w:themeColor="text1"/>
          <w:sz w:val="22"/>
          <w:lang w:val="es-ES_tradnl"/>
        </w:rPr>
        <w:t xml:space="preserve"> pregunta</w:t>
      </w:r>
      <w:r w:rsidR="00C7572D" w:rsidRPr="00864E72">
        <w:rPr>
          <w:rFonts w:ascii="Arial" w:hAnsi="Arial" w:cs="Arial"/>
          <w:color w:val="000000" w:themeColor="text1"/>
          <w:sz w:val="22"/>
          <w:lang w:val="es-ES_tradnl"/>
        </w:rPr>
        <w:t>s</w:t>
      </w:r>
      <w:r w:rsidR="00966B9B" w:rsidRPr="00864E72">
        <w:rPr>
          <w:rFonts w:ascii="Arial" w:hAnsi="Arial" w:cs="Arial"/>
          <w:color w:val="000000" w:themeColor="text1"/>
          <w:sz w:val="22"/>
          <w:lang w:val="es-ES_tradnl"/>
        </w:rPr>
        <w:t>:</w:t>
      </w:r>
    </w:p>
    <w:p w14:paraId="0B593FD4" w14:textId="77777777" w:rsidR="00966B9B" w:rsidRPr="00864E72" w:rsidRDefault="00966B9B" w:rsidP="00966B9B">
      <w:pPr>
        <w:ind w:left="709" w:right="709"/>
        <w:jc w:val="both"/>
        <w:rPr>
          <w:rFonts w:ascii="Arial" w:hAnsi="Arial" w:cs="Arial"/>
          <w:color w:val="000000" w:themeColor="text1"/>
          <w:sz w:val="21"/>
          <w:szCs w:val="21"/>
          <w:lang w:val="es-ES_tradnl"/>
        </w:rPr>
      </w:pPr>
    </w:p>
    <w:p w14:paraId="4447D92D" w14:textId="7ABFB448" w:rsidR="007B2FE7" w:rsidRPr="00864E72" w:rsidRDefault="001C79A4" w:rsidP="007B2FE7">
      <w:pPr>
        <w:ind w:left="709" w:right="709"/>
        <w:jc w:val="both"/>
        <w:rPr>
          <w:rFonts w:ascii="Arial" w:hAnsi="Arial" w:cs="Arial"/>
          <w:color w:val="000000" w:themeColor="text1"/>
          <w:sz w:val="21"/>
          <w:szCs w:val="21"/>
          <w:lang w:val="es-ES_tradnl"/>
        </w:rPr>
      </w:pPr>
      <w:r w:rsidRPr="00864E72">
        <w:rPr>
          <w:rFonts w:ascii="Arial" w:hAnsi="Arial" w:cs="Arial"/>
          <w:color w:val="000000" w:themeColor="text1"/>
          <w:sz w:val="21"/>
          <w:szCs w:val="21"/>
          <w:lang w:val="es-ES_tradnl"/>
        </w:rPr>
        <w:t>«</w:t>
      </w:r>
      <w:r w:rsidR="007B2FE7" w:rsidRPr="00864E72">
        <w:rPr>
          <w:rFonts w:ascii="Arial" w:hAnsi="Arial" w:cs="Arial"/>
          <w:color w:val="000000" w:themeColor="text1"/>
          <w:sz w:val="21"/>
          <w:szCs w:val="21"/>
          <w:lang w:val="es-ES_tradnl"/>
        </w:rPr>
        <w:t xml:space="preserve">I </w:t>
      </w:r>
      <w:r w:rsidR="00806BFE" w:rsidRPr="00864E72">
        <w:rPr>
          <w:rFonts w:ascii="Arial" w:hAnsi="Arial" w:cs="Arial"/>
          <w:color w:val="000000" w:themeColor="text1"/>
          <w:sz w:val="21"/>
          <w:szCs w:val="21"/>
          <w:lang w:val="es-ES_tradnl"/>
        </w:rPr>
        <w:t xml:space="preserve">¿La EAAAM ESP </w:t>
      </w:r>
      <w:proofErr w:type="gramStart"/>
      <w:r w:rsidR="00806BFE" w:rsidRPr="00864E72">
        <w:rPr>
          <w:rFonts w:ascii="Arial" w:hAnsi="Arial" w:cs="Arial"/>
          <w:color w:val="000000" w:themeColor="text1"/>
          <w:sz w:val="21"/>
          <w:szCs w:val="21"/>
          <w:lang w:val="es-ES_tradnl"/>
        </w:rPr>
        <w:t>se enmarca dentro de</w:t>
      </w:r>
      <w:proofErr w:type="gramEnd"/>
      <w:r w:rsidR="00806BFE" w:rsidRPr="00864E72">
        <w:rPr>
          <w:rFonts w:ascii="Arial" w:hAnsi="Arial" w:cs="Arial"/>
          <w:color w:val="000000" w:themeColor="text1"/>
          <w:sz w:val="21"/>
          <w:szCs w:val="21"/>
          <w:lang w:val="es-ES_tradnl"/>
        </w:rPr>
        <w:t xml:space="preserve"> las excepciones mencionadas en el parágrafo del artículo 56 de la Ley 2195 de 2022, en lo que corresponde a la </w:t>
      </w:r>
      <w:r w:rsidR="00806BFE" w:rsidRPr="00864E72">
        <w:rPr>
          <w:rFonts w:ascii="Arial" w:hAnsi="Arial" w:cs="Arial"/>
          <w:color w:val="000000" w:themeColor="text1"/>
          <w:sz w:val="21"/>
          <w:szCs w:val="21"/>
          <w:lang w:val="es-ES_tradnl"/>
        </w:rPr>
        <w:lastRenderedPageBreak/>
        <w:t>contratación del giro ordinario de sus negocios, o está obligada a aplicar los documentos tipo?</w:t>
      </w:r>
    </w:p>
    <w:p w14:paraId="6AD61FC9" w14:textId="77777777" w:rsidR="007B2FE7" w:rsidRPr="00864E72" w:rsidRDefault="007B2FE7" w:rsidP="007B2FE7">
      <w:pPr>
        <w:ind w:left="709" w:right="709"/>
        <w:jc w:val="both"/>
        <w:rPr>
          <w:rFonts w:ascii="Arial" w:hAnsi="Arial" w:cs="Arial"/>
          <w:color w:val="000000" w:themeColor="text1"/>
          <w:sz w:val="21"/>
          <w:szCs w:val="21"/>
          <w:lang w:val="es-ES_tradnl"/>
        </w:rPr>
      </w:pPr>
    </w:p>
    <w:p w14:paraId="19FB95D8" w14:textId="1907124E" w:rsidR="006D7F1E" w:rsidRPr="00864E72" w:rsidRDefault="00AC01AE" w:rsidP="007B2FE7">
      <w:pPr>
        <w:ind w:left="709" w:right="709"/>
        <w:jc w:val="both"/>
        <w:rPr>
          <w:rFonts w:ascii="Arial" w:hAnsi="Arial" w:cs="Arial"/>
          <w:color w:val="000000" w:themeColor="text1"/>
          <w:sz w:val="21"/>
          <w:szCs w:val="21"/>
        </w:rPr>
      </w:pPr>
      <w:r w:rsidRPr="00864E72">
        <w:rPr>
          <w:rFonts w:ascii="Arial" w:hAnsi="Arial" w:cs="Arial"/>
          <w:color w:val="000000" w:themeColor="text1"/>
          <w:sz w:val="21"/>
          <w:szCs w:val="21"/>
          <w:lang w:val="es-ES_tradnl"/>
        </w:rPr>
        <w:t>»</w:t>
      </w:r>
      <w:r w:rsidR="007B2FE7" w:rsidRPr="00864E72">
        <w:rPr>
          <w:rFonts w:ascii="Arial" w:hAnsi="Arial" w:cs="Arial"/>
          <w:color w:val="000000" w:themeColor="text1"/>
          <w:sz w:val="21"/>
          <w:szCs w:val="21"/>
          <w:lang w:val="es-ES_tradnl"/>
        </w:rPr>
        <w:t>II.</w:t>
      </w:r>
      <w:r w:rsidRPr="00864E72">
        <w:rPr>
          <w:rFonts w:ascii="Arial" w:hAnsi="Arial" w:cs="Arial"/>
          <w:color w:val="000000" w:themeColor="text1"/>
          <w:sz w:val="21"/>
          <w:szCs w:val="21"/>
          <w:lang w:val="es-ES_tradnl"/>
        </w:rPr>
        <w:t xml:space="preserve"> </w:t>
      </w:r>
      <w:r w:rsidR="006D7F1E" w:rsidRPr="00864E72">
        <w:rPr>
          <w:rFonts w:ascii="Arial" w:hAnsi="Arial" w:cs="Arial"/>
          <w:color w:val="000000" w:themeColor="text1"/>
          <w:sz w:val="21"/>
          <w:szCs w:val="21"/>
        </w:rPr>
        <w:t>De</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acuerdo</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con</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lo</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anterior,</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w:t>
      </w:r>
      <w:proofErr w:type="spellStart"/>
      <w:r w:rsidR="006D7F1E" w:rsidRPr="00864E72">
        <w:rPr>
          <w:rFonts w:ascii="Arial" w:hAnsi="Arial" w:cs="Arial"/>
          <w:color w:val="000000" w:themeColor="text1"/>
          <w:sz w:val="21"/>
          <w:szCs w:val="21"/>
        </w:rPr>
        <w:t>Cómo</w:t>
      </w:r>
      <w:proofErr w:type="spellEnd"/>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debemos</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aplicar</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la</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norma</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en</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cita?</w:t>
      </w:r>
      <w:r w:rsidR="007B2FE7" w:rsidRPr="00864E72">
        <w:rPr>
          <w:rFonts w:ascii="Arial" w:hAnsi="Arial" w:cs="Arial"/>
          <w:color w:val="000000" w:themeColor="text1"/>
          <w:sz w:val="21"/>
          <w:szCs w:val="21"/>
        </w:rPr>
        <w:t xml:space="preserve"> a</w:t>
      </w:r>
      <w:r w:rsidR="006D7F1E" w:rsidRPr="00864E72">
        <w:rPr>
          <w:rFonts w:ascii="Arial" w:hAnsi="Arial" w:cs="Arial"/>
          <w:color w:val="000000" w:themeColor="text1"/>
          <w:sz w:val="21"/>
          <w:szCs w:val="21"/>
        </w:rPr>
        <w:t>l</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tratarse de un concepto ambiguo,</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 xml:space="preserve">solicitamos la </w:t>
      </w:r>
      <w:r w:rsidR="007B2FE7" w:rsidRPr="00864E72">
        <w:rPr>
          <w:rFonts w:ascii="Arial" w:hAnsi="Arial" w:cs="Arial"/>
          <w:color w:val="000000" w:themeColor="text1"/>
          <w:sz w:val="21"/>
          <w:szCs w:val="21"/>
        </w:rPr>
        <w:t>colaboración</w:t>
      </w:r>
      <w:r w:rsidR="006D7F1E" w:rsidRPr="00864E72">
        <w:rPr>
          <w:rFonts w:ascii="Arial" w:hAnsi="Arial" w:cs="Arial"/>
          <w:color w:val="000000" w:themeColor="text1"/>
          <w:sz w:val="21"/>
          <w:szCs w:val="21"/>
        </w:rPr>
        <w:t xml:space="preserve"> de Colombia Compra Eficiente.</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Adicionalmente,</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nos indique de acuerdo con las funciones de las</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Empresas</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Industriales</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y</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Comerciales</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del</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Estado</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prestadoras</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de</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servicios</w:t>
      </w:r>
      <w:r w:rsidR="007B2FE7" w:rsidRPr="00864E72">
        <w:rPr>
          <w:rFonts w:ascii="Arial" w:hAnsi="Arial" w:cs="Arial"/>
          <w:color w:val="000000" w:themeColor="text1"/>
          <w:sz w:val="21"/>
          <w:szCs w:val="21"/>
        </w:rPr>
        <w:t xml:space="preserve"> públicos</w:t>
      </w:r>
      <w:r w:rsidR="006D7F1E" w:rsidRPr="00864E72">
        <w:rPr>
          <w:rFonts w:ascii="Arial" w:hAnsi="Arial" w:cs="Arial"/>
          <w:color w:val="000000" w:themeColor="text1"/>
          <w:sz w:val="21"/>
          <w:szCs w:val="21"/>
        </w:rPr>
        <w:t xml:space="preserve"> qué</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significa</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giro</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ordinario,</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pues</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no</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es</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claro;</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lo</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anterior</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con</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el</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fin</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de</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hacer</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 xml:space="preserve">una </w:t>
      </w:r>
      <w:r w:rsidR="007B2FE7" w:rsidRPr="00864E72">
        <w:rPr>
          <w:rFonts w:ascii="Arial" w:hAnsi="Arial" w:cs="Arial"/>
          <w:color w:val="000000" w:themeColor="text1"/>
          <w:sz w:val="21"/>
          <w:szCs w:val="21"/>
        </w:rPr>
        <w:t xml:space="preserve">correcta interpretación </w:t>
      </w:r>
      <w:r w:rsidR="006D7F1E" w:rsidRPr="00864E72">
        <w:rPr>
          <w:rFonts w:ascii="Arial" w:hAnsi="Arial" w:cs="Arial"/>
          <w:color w:val="000000" w:themeColor="text1"/>
          <w:sz w:val="21"/>
          <w:szCs w:val="21"/>
        </w:rPr>
        <w:t>de</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la</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norma.</w:t>
      </w:r>
    </w:p>
    <w:p w14:paraId="3F55F4DB" w14:textId="77777777" w:rsidR="00C7572D" w:rsidRPr="00864E72" w:rsidRDefault="00C7572D" w:rsidP="007B2FE7">
      <w:pPr>
        <w:ind w:left="709" w:right="709"/>
        <w:jc w:val="both"/>
        <w:rPr>
          <w:rFonts w:ascii="Arial" w:hAnsi="Arial" w:cs="Arial"/>
          <w:color w:val="000000" w:themeColor="text1"/>
          <w:sz w:val="21"/>
          <w:szCs w:val="21"/>
          <w:lang w:val="es-ES_tradnl"/>
        </w:rPr>
      </w:pPr>
    </w:p>
    <w:p w14:paraId="63B03F15" w14:textId="1934894D" w:rsidR="006D7F1E" w:rsidRPr="00864E72" w:rsidRDefault="00AC01AE" w:rsidP="006D7F1E">
      <w:pPr>
        <w:ind w:left="709" w:right="709"/>
        <w:jc w:val="both"/>
        <w:rPr>
          <w:rFonts w:ascii="Arial" w:hAnsi="Arial" w:cs="Arial"/>
          <w:color w:val="000000" w:themeColor="text1"/>
          <w:sz w:val="21"/>
          <w:szCs w:val="21"/>
        </w:rPr>
      </w:pPr>
      <w:r w:rsidRPr="00864E72">
        <w:rPr>
          <w:rFonts w:ascii="Arial" w:hAnsi="Arial" w:cs="Arial"/>
          <w:color w:val="000000" w:themeColor="text1"/>
          <w:sz w:val="21"/>
          <w:szCs w:val="21"/>
          <w:lang w:val="es-ES_tradnl"/>
        </w:rPr>
        <w:t>»</w:t>
      </w:r>
      <w:r w:rsidR="007B2FE7" w:rsidRPr="00864E72">
        <w:rPr>
          <w:rFonts w:ascii="Arial" w:hAnsi="Arial" w:cs="Arial"/>
          <w:color w:val="000000" w:themeColor="text1"/>
          <w:sz w:val="21"/>
          <w:szCs w:val="21"/>
          <w:lang w:val="es-ES_tradnl"/>
        </w:rPr>
        <w:t xml:space="preserve">III. </w:t>
      </w:r>
      <w:r w:rsidR="006D7F1E" w:rsidRPr="00864E72">
        <w:rPr>
          <w:rFonts w:ascii="Arial" w:hAnsi="Arial" w:cs="Arial"/>
          <w:color w:val="000000" w:themeColor="text1"/>
          <w:sz w:val="21"/>
          <w:szCs w:val="21"/>
        </w:rPr>
        <w:t>¿Las</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acciones</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que</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adelanten</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las</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Empresas</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Industriales</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y</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Comerciales</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del</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 xml:space="preserve">Estado </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prestadoras</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de</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servicios</w:t>
      </w:r>
      <w:r w:rsidR="007B2FE7" w:rsidRPr="00864E72">
        <w:rPr>
          <w:rFonts w:ascii="Arial" w:hAnsi="Arial" w:cs="Arial"/>
          <w:color w:val="000000" w:themeColor="text1"/>
          <w:sz w:val="21"/>
          <w:szCs w:val="21"/>
        </w:rPr>
        <w:t xml:space="preserve"> </w:t>
      </w:r>
      <w:r w:rsidR="009B4ACF" w:rsidRPr="00864E72">
        <w:rPr>
          <w:rFonts w:ascii="Arial" w:hAnsi="Arial" w:cs="Arial"/>
          <w:color w:val="000000" w:themeColor="text1"/>
          <w:sz w:val="21"/>
          <w:szCs w:val="21"/>
        </w:rPr>
        <w:t>públicos</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del</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orden</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municipal,</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en</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el</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marco</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de</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convenios</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interadministrativos</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suscritos</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con</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una</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entidad</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que</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aplica</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el</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Estatuto</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General</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 xml:space="preserve">de </w:t>
      </w:r>
      <w:r w:rsidR="007B2FE7" w:rsidRPr="00864E72">
        <w:rPr>
          <w:rFonts w:ascii="Arial" w:hAnsi="Arial" w:cs="Arial"/>
          <w:color w:val="000000" w:themeColor="text1"/>
          <w:sz w:val="21"/>
          <w:szCs w:val="21"/>
        </w:rPr>
        <w:t xml:space="preserve"> </w:t>
      </w:r>
      <w:r w:rsidR="009B4ACF" w:rsidRPr="00864E72">
        <w:rPr>
          <w:rFonts w:ascii="Arial" w:hAnsi="Arial" w:cs="Arial"/>
          <w:color w:val="000000" w:themeColor="text1"/>
          <w:sz w:val="21"/>
          <w:szCs w:val="21"/>
        </w:rPr>
        <w:t>Contratación</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de</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la</w:t>
      </w:r>
      <w:r w:rsidR="007B2FE7" w:rsidRPr="00864E72">
        <w:rPr>
          <w:rFonts w:ascii="Arial" w:hAnsi="Arial" w:cs="Arial"/>
          <w:color w:val="000000" w:themeColor="text1"/>
          <w:sz w:val="21"/>
          <w:szCs w:val="21"/>
        </w:rPr>
        <w:t xml:space="preserve"> </w:t>
      </w:r>
      <w:r w:rsidR="009B4ACF" w:rsidRPr="00864E72">
        <w:rPr>
          <w:rFonts w:ascii="Arial" w:hAnsi="Arial" w:cs="Arial"/>
          <w:color w:val="000000" w:themeColor="text1"/>
          <w:sz w:val="21"/>
          <w:szCs w:val="21"/>
        </w:rPr>
        <w:t>Administración</w:t>
      </w:r>
      <w:r w:rsidR="007B2FE7" w:rsidRPr="00864E72">
        <w:rPr>
          <w:rFonts w:ascii="Arial" w:hAnsi="Arial" w:cs="Arial"/>
          <w:color w:val="000000" w:themeColor="text1"/>
          <w:sz w:val="21"/>
          <w:szCs w:val="21"/>
        </w:rPr>
        <w:t xml:space="preserve"> </w:t>
      </w:r>
      <w:r w:rsidR="009B4ACF" w:rsidRPr="00864E72">
        <w:rPr>
          <w:rFonts w:ascii="Arial" w:hAnsi="Arial" w:cs="Arial"/>
          <w:color w:val="000000" w:themeColor="text1"/>
          <w:sz w:val="21"/>
          <w:szCs w:val="21"/>
        </w:rPr>
        <w:t>Pública</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(relacionadas</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con</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“ejecutar</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 xml:space="preserve">proyectos </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de</w:t>
      </w:r>
      <w:r w:rsidR="007B2FE7" w:rsidRPr="00864E72">
        <w:rPr>
          <w:rFonts w:ascii="Arial" w:hAnsi="Arial" w:cs="Arial"/>
          <w:color w:val="000000" w:themeColor="text1"/>
          <w:sz w:val="21"/>
          <w:szCs w:val="21"/>
        </w:rPr>
        <w:t xml:space="preserve"> </w:t>
      </w:r>
      <w:r w:rsidR="009B4ACF" w:rsidRPr="00864E72">
        <w:rPr>
          <w:rFonts w:ascii="Arial" w:hAnsi="Arial" w:cs="Arial"/>
          <w:color w:val="000000" w:themeColor="text1"/>
          <w:sz w:val="21"/>
          <w:szCs w:val="21"/>
        </w:rPr>
        <w:t>optimización</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de</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redes</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de</w:t>
      </w:r>
      <w:r w:rsidR="007B2FE7" w:rsidRPr="00864E72">
        <w:rPr>
          <w:rFonts w:ascii="Arial" w:hAnsi="Arial" w:cs="Arial"/>
          <w:color w:val="000000" w:themeColor="text1"/>
          <w:sz w:val="21"/>
          <w:szCs w:val="21"/>
        </w:rPr>
        <w:t xml:space="preserve"> alcantarillado </w:t>
      </w:r>
      <w:r w:rsidR="006D7F1E" w:rsidRPr="00864E72">
        <w:rPr>
          <w:rFonts w:ascii="Arial" w:hAnsi="Arial" w:cs="Arial"/>
          <w:color w:val="000000" w:themeColor="text1"/>
          <w:sz w:val="21"/>
          <w:szCs w:val="21"/>
        </w:rPr>
        <w:t>de</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aguas</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residuales</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y</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combinadas urbanos)</w:t>
      </w:r>
      <w:r w:rsidR="007B2FE7" w:rsidRPr="00864E72">
        <w:rPr>
          <w:rFonts w:ascii="Arial" w:hAnsi="Arial" w:cs="Arial"/>
          <w:color w:val="000000" w:themeColor="text1"/>
          <w:sz w:val="21"/>
          <w:szCs w:val="21"/>
        </w:rPr>
        <w:t xml:space="preserve"> </w:t>
      </w:r>
      <w:r w:rsidR="009B4ACF" w:rsidRPr="00864E72">
        <w:rPr>
          <w:rFonts w:ascii="Arial" w:hAnsi="Arial" w:cs="Arial"/>
          <w:color w:val="000000" w:themeColor="text1"/>
          <w:sz w:val="21"/>
          <w:szCs w:val="21"/>
        </w:rPr>
        <w:t>tendría</w:t>
      </w:r>
      <w:r w:rsidR="006D7F1E" w:rsidRPr="00864E72">
        <w:rPr>
          <w:rFonts w:ascii="Arial" w:hAnsi="Arial" w:cs="Arial"/>
          <w:color w:val="000000" w:themeColor="text1"/>
          <w:sz w:val="21"/>
          <w:szCs w:val="21"/>
        </w:rPr>
        <w:t xml:space="preserve"> </w:t>
      </w:r>
      <w:r w:rsidR="009B4ACF" w:rsidRPr="00864E72">
        <w:rPr>
          <w:rFonts w:ascii="Arial" w:hAnsi="Arial" w:cs="Arial"/>
          <w:color w:val="000000" w:themeColor="text1"/>
          <w:sz w:val="21"/>
          <w:szCs w:val="21"/>
        </w:rPr>
        <w:t>relación</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directa conexa</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con</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el</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objeto</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y</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funciones</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en</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este</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caso de</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la</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Empresa</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Municipal</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de</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Acueducto,</w:t>
      </w:r>
      <w:r w:rsidR="007B2FE7" w:rsidRPr="00864E72">
        <w:rPr>
          <w:rFonts w:ascii="Arial" w:hAnsi="Arial" w:cs="Arial"/>
          <w:color w:val="000000" w:themeColor="text1"/>
          <w:sz w:val="21"/>
          <w:szCs w:val="21"/>
        </w:rPr>
        <w:t xml:space="preserve"> </w:t>
      </w:r>
      <w:r w:rsidR="009B4ACF" w:rsidRPr="00864E72">
        <w:rPr>
          <w:rFonts w:ascii="Arial" w:hAnsi="Arial" w:cs="Arial"/>
          <w:color w:val="000000" w:themeColor="text1"/>
          <w:sz w:val="21"/>
          <w:szCs w:val="21"/>
        </w:rPr>
        <w:t>Alcantarillado</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y</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Aseo</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de</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Madrid</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ESP?;</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de ser</w:t>
      </w:r>
      <w:r w:rsidR="007B2FE7" w:rsidRPr="00864E72">
        <w:rPr>
          <w:rFonts w:ascii="Arial" w:hAnsi="Arial" w:cs="Arial"/>
          <w:color w:val="000000" w:themeColor="text1"/>
          <w:sz w:val="21"/>
          <w:szCs w:val="21"/>
        </w:rPr>
        <w:t xml:space="preserve"> </w:t>
      </w:r>
      <w:r w:rsidR="009B4ACF" w:rsidRPr="00864E72">
        <w:rPr>
          <w:rFonts w:ascii="Arial" w:hAnsi="Arial" w:cs="Arial"/>
          <w:color w:val="000000" w:themeColor="text1"/>
          <w:sz w:val="21"/>
          <w:szCs w:val="21"/>
        </w:rPr>
        <w:t xml:space="preserve">así </w:t>
      </w:r>
      <w:r w:rsidR="006D7F1E" w:rsidRPr="00864E72">
        <w:rPr>
          <w:rFonts w:ascii="Arial" w:hAnsi="Arial" w:cs="Arial"/>
          <w:color w:val="000000" w:themeColor="text1"/>
          <w:sz w:val="21"/>
          <w:szCs w:val="21"/>
        </w:rPr>
        <w:t>bajo</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este</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contexto,</w:t>
      </w:r>
      <w:r w:rsidR="007B2FE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el</w:t>
      </w:r>
      <w:r w:rsidR="002D3DF7" w:rsidRPr="00864E72">
        <w:rPr>
          <w:rFonts w:ascii="Arial" w:hAnsi="Arial" w:cs="Arial"/>
          <w:color w:val="000000" w:themeColor="text1"/>
          <w:sz w:val="21"/>
          <w:szCs w:val="21"/>
        </w:rPr>
        <w:t xml:space="preserve">lo </w:t>
      </w:r>
      <w:r w:rsidR="006D7F1E" w:rsidRPr="00864E72">
        <w:rPr>
          <w:rFonts w:ascii="Arial" w:hAnsi="Arial" w:cs="Arial"/>
          <w:color w:val="000000" w:themeColor="text1"/>
          <w:sz w:val="21"/>
          <w:szCs w:val="21"/>
        </w:rPr>
        <w:t>nos</w:t>
      </w:r>
      <w:r w:rsidR="002D3DF7" w:rsidRPr="00864E72">
        <w:rPr>
          <w:rFonts w:ascii="Arial" w:hAnsi="Arial" w:cs="Arial"/>
          <w:color w:val="000000" w:themeColor="text1"/>
          <w:sz w:val="21"/>
          <w:szCs w:val="21"/>
        </w:rPr>
        <w:t xml:space="preserve"> </w:t>
      </w:r>
      <w:r w:rsidR="009B4ACF" w:rsidRPr="00864E72">
        <w:rPr>
          <w:rFonts w:ascii="Arial" w:hAnsi="Arial" w:cs="Arial"/>
          <w:color w:val="000000" w:themeColor="text1"/>
          <w:sz w:val="21"/>
          <w:szCs w:val="21"/>
        </w:rPr>
        <w:t>habilitaría</w:t>
      </w:r>
      <w:r w:rsidR="002D3DF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para</w:t>
      </w:r>
      <w:r w:rsidR="002D3DF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hacer</w:t>
      </w:r>
      <w:r w:rsidR="002D3DF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uso</w:t>
      </w:r>
      <w:r w:rsidR="002D3DF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de</w:t>
      </w:r>
      <w:r w:rsidR="002D3DF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la</w:t>
      </w:r>
      <w:r w:rsidR="002D3DF7" w:rsidRPr="00864E72">
        <w:rPr>
          <w:rFonts w:ascii="Arial" w:hAnsi="Arial" w:cs="Arial"/>
          <w:color w:val="000000" w:themeColor="text1"/>
          <w:sz w:val="21"/>
          <w:szCs w:val="21"/>
        </w:rPr>
        <w:t xml:space="preserve"> </w:t>
      </w:r>
      <w:r w:rsidR="009B4ACF" w:rsidRPr="00864E72">
        <w:rPr>
          <w:rFonts w:ascii="Arial" w:hAnsi="Arial" w:cs="Arial"/>
          <w:color w:val="000000" w:themeColor="text1"/>
          <w:sz w:val="21"/>
          <w:szCs w:val="21"/>
        </w:rPr>
        <w:t>excepción</w:t>
      </w:r>
      <w:r w:rsidR="006D7F1E" w:rsidRPr="00864E72">
        <w:rPr>
          <w:rFonts w:ascii="Arial" w:hAnsi="Arial" w:cs="Arial"/>
          <w:color w:val="000000" w:themeColor="text1"/>
          <w:sz w:val="21"/>
          <w:szCs w:val="21"/>
        </w:rPr>
        <w:t xml:space="preserve"> </w:t>
      </w:r>
      <w:r w:rsidR="002D3DF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contemplada</w:t>
      </w:r>
      <w:r w:rsidR="002D3DF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en</w:t>
      </w:r>
      <w:r w:rsidR="002D3DF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el</w:t>
      </w:r>
      <w:r w:rsidR="002D3DF7" w:rsidRPr="00864E72">
        <w:rPr>
          <w:rFonts w:ascii="Arial" w:hAnsi="Arial" w:cs="Arial"/>
          <w:color w:val="000000" w:themeColor="text1"/>
          <w:sz w:val="21"/>
          <w:szCs w:val="21"/>
        </w:rPr>
        <w:t xml:space="preserve"> </w:t>
      </w:r>
      <w:r w:rsidR="009B4ACF" w:rsidRPr="00864E72">
        <w:rPr>
          <w:rFonts w:ascii="Arial" w:hAnsi="Arial" w:cs="Arial"/>
          <w:color w:val="000000" w:themeColor="text1"/>
          <w:sz w:val="21"/>
          <w:szCs w:val="21"/>
        </w:rPr>
        <w:t>parágrafo</w:t>
      </w:r>
      <w:r w:rsidR="002D3DF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del</w:t>
      </w:r>
      <w:r w:rsidR="002D3DF7" w:rsidRPr="00864E72">
        <w:rPr>
          <w:rFonts w:ascii="Arial" w:hAnsi="Arial" w:cs="Arial"/>
          <w:color w:val="000000" w:themeColor="text1"/>
          <w:sz w:val="21"/>
          <w:szCs w:val="21"/>
        </w:rPr>
        <w:t xml:space="preserve"> </w:t>
      </w:r>
      <w:r w:rsidR="009B4ACF" w:rsidRPr="00864E72">
        <w:rPr>
          <w:rFonts w:ascii="Arial" w:hAnsi="Arial" w:cs="Arial"/>
          <w:color w:val="000000" w:themeColor="text1"/>
          <w:sz w:val="21"/>
          <w:szCs w:val="21"/>
        </w:rPr>
        <w:t>artículo</w:t>
      </w:r>
      <w:r w:rsidR="002D3DF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56</w:t>
      </w:r>
      <w:r w:rsidR="002D3DF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de</w:t>
      </w:r>
      <w:r w:rsidR="002D3DF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la</w:t>
      </w:r>
      <w:r w:rsidR="002D3DF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Ley</w:t>
      </w:r>
      <w:r w:rsidR="002D3DF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2195</w:t>
      </w:r>
      <w:r w:rsidR="002D3DF7"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de2022?</w:t>
      </w:r>
    </w:p>
    <w:p w14:paraId="45068B3F" w14:textId="77777777" w:rsidR="009B4ACF" w:rsidRPr="00864E72" w:rsidRDefault="009B4ACF" w:rsidP="006D7F1E">
      <w:pPr>
        <w:ind w:left="709" w:right="709"/>
        <w:jc w:val="both"/>
        <w:rPr>
          <w:rFonts w:ascii="Arial" w:hAnsi="Arial" w:cs="Arial"/>
          <w:color w:val="000000" w:themeColor="text1"/>
          <w:sz w:val="21"/>
          <w:szCs w:val="21"/>
        </w:rPr>
      </w:pPr>
    </w:p>
    <w:p w14:paraId="459B5994" w14:textId="56283790" w:rsidR="006D7F1E" w:rsidRPr="00864E72" w:rsidRDefault="00AC01AE" w:rsidP="006D7F1E">
      <w:pPr>
        <w:ind w:left="709" w:right="709"/>
        <w:jc w:val="both"/>
        <w:rPr>
          <w:rFonts w:ascii="Arial" w:hAnsi="Arial" w:cs="Arial"/>
          <w:color w:val="000000" w:themeColor="text1"/>
          <w:sz w:val="21"/>
          <w:szCs w:val="21"/>
        </w:rPr>
      </w:pPr>
      <w:r w:rsidRPr="00864E72">
        <w:rPr>
          <w:rFonts w:ascii="Arial" w:hAnsi="Arial" w:cs="Arial"/>
          <w:color w:val="000000" w:themeColor="text1"/>
          <w:sz w:val="21"/>
          <w:szCs w:val="21"/>
        </w:rPr>
        <w:t>»</w:t>
      </w:r>
      <w:r w:rsidR="006D7F1E" w:rsidRPr="00864E72">
        <w:rPr>
          <w:rFonts w:ascii="Arial" w:hAnsi="Arial" w:cs="Arial"/>
          <w:color w:val="000000" w:themeColor="text1"/>
          <w:sz w:val="21"/>
          <w:szCs w:val="21"/>
        </w:rPr>
        <w:t>IV.</w:t>
      </w:r>
      <w:r w:rsidR="009B4ACF"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¿Las</w:t>
      </w:r>
      <w:r w:rsidR="009B4ACF"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Empresas</w:t>
      </w:r>
      <w:r w:rsidR="009B4ACF"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industriales</w:t>
      </w:r>
      <w:r w:rsidR="009B4ACF"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y</w:t>
      </w:r>
      <w:r w:rsidR="009B4ACF"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comerciales</w:t>
      </w:r>
      <w:r w:rsidR="009B4ACF"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del</w:t>
      </w:r>
      <w:r w:rsidR="009B4ACF"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estado</w:t>
      </w:r>
      <w:r w:rsidR="009B4ACF"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prestadoras</w:t>
      </w:r>
      <w:r w:rsidR="009B4ACF"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de</w:t>
      </w:r>
      <w:r w:rsidR="009B4ACF"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servicios</w:t>
      </w:r>
      <w:r w:rsidR="009B4ACF" w:rsidRPr="00864E72">
        <w:rPr>
          <w:rFonts w:ascii="Arial" w:hAnsi="Arial" w:cs="Arial"/>
          <w:color w:val="000000" w:themeColor="text1"/>
          <w:sz w:val="21"/>
          <w:szCs w:val="21"/>
        </w:rPr>
        <w:t xml:space="preserve"> </w:t>
      </w:r>
      <w:r w:rsidRPr="00864E72">
        <w:rPr>
          <w:rFonts w:ascii="Arial" w:hAnsi="Arial" w:cs="Arial"/>
          <w:color w:val="000000" w:themeColor="text1"/>
          <w:sz w:val="21"/>
          <w:szCs w:val="21"/>
        </w:rPr>
        <w:t>públicos</w:t>
      </w:r>
      <w:r w:rsidR="009B4ACF"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del</w:t>
      </w:r>
      <w:r w:rsidR="009B4ACF"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orden</w:t>
      </w:r>
      <w:r w:rsidR="009B4ACF"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municipal</w:t>
      </w:r>
      <w:r w:rsidR="009B4ACF"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cuyo</w:t>
      </w:r>
      <w:r w:rsidR="009B4ACF" w:rsidRPr="00864E72">
        <w:rPr>
          <w:rFonts w:ascii="Arial" w:hAnsi="Arial" w:cs="Arial"/>
          <w:color w:val="000000" w:themeColor="text1"/>
          <w:sz w:val="21"/>
          <w:szCs w:val="21"/>
        </w:rPr>
        <w:t xml:space="preserve"> </w:t>
      </w:r>
      <w:r w:rsidRPr="00864E72">
        <w:rPr>
          <w:rFonts w:ascii="Arial" w:hAnsi="Arial" w:cs="Arial"/>
          <w:color w:val="000000" w:themeColor="text1"/>
          <w:sz w:val="21"/>
          <w:szCs w:val="21"/>
        </w:rPr>
        <w:t>régimen</w:t>
      </w:r>
      <w:r w:rsidR="009B4ACF"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de</w:t>
      </w:r>
      <w:r w:rsidR="009B4ACF" w:rsidRPr="00864E72">
        <w:rPr>
          <w:rFonts w:ascii="Arial" w:hAnsi="Arial" w:cs="Arial"/>
          <w:color w:val="000000" w:themeColor="text1"/>
          <w:sz w:val="21"/>
          <w:szCs w:val="21"/>
        </w:rPr>
        <w:t xml:space="preserve"> </w:t>
      </w:r>
      <w:r w:rsidRPr="00864E72">
        <w:rPr>
          <w:rFonts w:ascii="Arial" w:hAnsi="Arial" w:cs="Arial"/>
          <w:color w:val="000000" w:themeColor="text1"/>
          <w:sz w:val="21"/>
          <w:szCs w:val="21"/>
        </w:rPr>
        <w:t>contratación</w:t>
      </w:r>
      <w:r w:rsidR="009B4ACF"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es</w:t>
      </w:r>
      <w:r w:rsidR="009B4ACF"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el</w:t>
      </w:r>
      <w:r w:rsidR="009B4ACF"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derecho</w:t>
      </w:r>
      <w:r w:rsidR="009B4ACF"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 xml:space="preserve">privado, </w:t>
      </w:r>
      <w:r w:rsidRPr="00864E72">
        <w:rPr>
          <w:rFonts w:ascii="Arial" w:hAnsi="Arial" w:cs="Arial"/>
          <w:color w:val="000000" w:themeColor="text1"/>
          <w:sz w:val="21"/>
          <w:szCs w:val="21"/>
        </w:rPr>
        <w:t>están</w:t>
      </w:r>
      <w:r w:rsidR="006D7F1E" w:rsidRPr="00864E72">
        <w:rPr>
          <w:rFonts w:ascii="Arial" w:hAnsi="Arial" w:cs="Arial"/>
          <w:color w:val="000000" w:themeColor="text1"/>
          <w:sz w:val="21"/>
          <w:szCs w:val="21"/>
        </w:rPr>
        <w:t xml:space="preserve"> obligadas a aplicar los documentos tipo de </w:t>
      </w:r>
      <w:r w:rsidRPr="00864E72">
        <w:rPr>
          <w:rFonts w:ascii="Arial" w:hAnsi="Arial" w:cs="Arial"/>
          <w:color w:val="000000" w:themeColor="text1"/>
          <w:sz w:val="21"/>
          <w:szCs w:val="21"/>
        </w:rPr>
        <w:t>licitación</w:t>
      </w:r>
      <w:r w:rsidR="006D7F1E" w:rsidRPr="00864E72">
        <w:rPr>
          <w:rFonts w:ascii="Arial" w:hAnsi="Arial" w:cs="Arial"/>
          <w:color w:val="000000" w:themeColor="text1"/>
          <w:sz w:val="21"/>
          <w:szCs w:val="21"/>
        </w:rPr>
        <w:t xml:space="preserve">, relacionados con obras de infraestructura de servicios </w:t>
      </w:r>
      <w:r w:rsidR="009B4ACF" w:rsidRPr="00864E72">
        <w:rPr>
          <w:rFonts w:ascii="Arial" w:hAnsi="Arial" w:cs="Arial"/>
          <w:color w:val="000000" w:themeColor="text1"/>
          <w:sz w:val="21"/>
          <w:szCs w:val="21"/>
        </w:rPr>
        <w:t>públicos</w:t>
      </w:r>
      <w:r w:rsidR="006D7F1E" w:rsidRPr="00864E72">
        <w:rPr>
          <w:rFonts w:ascii="Arial" w:hAnsi="Arial" w:cs="Arial"/>
          <w:color w:val="000000" w:themeColor="text1"/>
          <w:sz w:val="21"/>
          <w:szCs w:val="21"/>
        </w:rPr>
        <w:t xml:space="preserve"> (respecto a infraestructura de </w:t>
      </w:r>
      <w:r w:rsidRPr="00864E72">
        <w:rPr>
          <w:rFonts w:ascii="Arial" w:hAnsi="Arial" w:cs="Arial"/>
          <w:color w:val="000000" w:themeColor="text1"/>
          <w:sz w:val="21"/>
          <w:szCs w:val="21"/>
        </w:rPr>
        <w:t>prestación</w:t>
      </w:r>
      <w:r w:rsidR="009B4ACF"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de</w:t>
      </w:r>
      <w:r w:rsidR="009B4ACF"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servicios</w:t>
      </w:r>
      <w:r w:rsidR="009B4ACF"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de</w:t>
      </w:r>
      <w:r w:rsidR="009B4ACF"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acueducto</w:t>
      </w:r>
      <w:r w:rsidR="009B4ACF" w:rsidRPr="00864E72">
        <w:rPr>
          <w:rFonts w:ascii="Arial" w:hAnsi="Arial" w:cs="Arial"/>
          <w:color w:val="000000" w:themeColor="text1"/>
          <w:sz w:val="21"/>
          <w:szCs w:val="21"/>
        </w:rPr>
        <w:t xml:space="preserve"> </w:t>
      </w:r>
      <w:r w:rsidR="006D7F1E" w:rsidRPr="00864E72">
        <w:rPr>
          <w:rFonts w:ascii="Arial" w:hAnsi="Arial" w:cs="Arial"/>
          <w:color w:val="000000" w:themeColor="text1"/>
          <w:sz w:val="21"/>
          <w:szCs w:val="21"/>
        </w:rPr>
        <w:t>y</w:t>
      </w:r>
      <w:r w:rsidR="009B4ACF" w:rsidRPr="00864E72">
        <w:rPr>
          <w:rFonts w:ascii="Arial" w:hAnsi="Arial" w:cs="Arial"/>
          <w:color w:val="000000" w:themeColor="text1"/>
          <w:sz w:val="21"/>
          <w:szCs w:val="21"/>
        </w:rPr>
        <w:t xml:space="preserve"> </w:t>
      </w:r>
      <w:r w:rsidRPr="00864E72">
        <w:rPr>
          <w:rFonts w:ascii="Arial" w:hAnsi="Arial" w:cs="Arial"/>
          <w:color w:val="000000" w:themeColor="text1"/>
          <w:sz w:val="21"/>
          <w:szCs w:val="21"/>
        </w:rPr>
        <w:t>alcantarillado</w:t>
      </w:r>
      <w:r w:rsidR="006D7F1E" w:rsidRPr="00864E72">
        <w:rPr>
          <w:rFonts w:ascii="Arial" w:hAnsi="Arial" w:cs="Arial"/>
          <w:color w:val="000000" w:themeColor="text1"/>
          <w:sz w:val="21"/>
          <w:szCs w:val="21"/>
        </w:rPr>
        <w:t>)?</w:t>
      </w:r>
      <w:r w:rsidRPr="00864E72">
        <w:rPr>
          <w:rFonts w:ascii="Arial" w:hAnsi="Arial" w:cs="Arial"/>
          <w:color w:val="000000" w:themeColor="text1"/>
          <w:sz w:val="21"/>
          <w:szCs w:val="21"/>
        </w:rPr>
        <w:t>»</w:t>
      </w:r>
    </w:p>
    <w:p w14:paraId="32F2E58F" w14:textId="77777777" w:rsidR="00806BFE" w:rsidRPr="00864E72" w:rsidRDefault="00806BFE" w:rsidP="00E31679">
      <w:pPr>
        <w:ind w:left="709" w:right="709"/>
        <w:jc w:val="both"/>
        <w:rPr>
          <w:rFonts w:ascii="Arial" w:hAnsi="Arial" w:cs="Arial"/>
          <w:color w:val="000000" w:themeColor="text1"/>
          <w:sz w:val="21"/>
          <w:szCs w:val="21"/>
          <w:lang w:val="es-ES_tradnl"/>
        </w:rPr>
      </w:pPr>
    </w:p>
    <w:p w14:paraId="124D2DCA" w14:textId="77777777" w:rsidR="00DD5B04" w:rsidRPr="00864E72"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864E72">
        <w:rPr>
          <w:rFonts w:ascii="Arial" w:eastAsia="Calibri" w:hAnsi="Arial" w:cs="Arial"/>
          <w:b/>
          <w:color w:val="000000" w:themeColor="text1"/>
          <w:sz w:val="22"/>
          <w:lang w:val="es-ES_tradnl"/>
        </w:rPr>
        <w:t>Consideraciones</w:t>
      </w:r>
    </w:p>
    <w:p w14:paraId="595BC7FA" w14:textId="77777777" w:rsidR="005A5F39" w:rsidRPr="00864E72" w:rsidRDefault="005A5F39" w:rsidP="005A5F39">
      <w:pPr>
        <w:spacing w:line="276" w:lineRule="auto"/>
        <w:jc w:val="both"/>
        <w:rPr>
          <w:rFonts w:ascii="Arial" w:eastAsia="Calibri" w:hAnsi="Arial" w:cs="Arial"/>
          <w:color w:val="000000" w:themeColor="text1"/>
          <w:sz w:val="22"/>
          <w:szCs w:val="22"/>
          <w:lang w:val="es-ES_tradnl"/>
        </w:rPr>
      </w:pPr>
    </w:p>
    <w:p w14:paraId="4CC36ED8" w14:textId="1CA199DD" w:rsidR="005A5F39" w:rsidRPr="00864E72" w:rsidRDefault="005A5F39" w:rsidP="0028580B">
      <w:pPr>
        <w:spacing w:after="120" w:line="276" w:lineRule="auto"/>
        <w:jc w:val="both"/>
        <w:rPr>
          <w:rFonts w:ascii="Arial" w:eastAsia="Calibri" w:hAnsi="Arial" w:cs="Arial"/>
          <w:color w:val="000000" w:themeColor="text1"/>
          <w:sz w:val="22"/>
          <w:szCs w:val="22"/>
          <w:lang w:val="es-ES_tradnl"/>
        </w:rPr>
      </w:pPr>
      <w:r w:rsidRPr="00864E72">
        <w:rPr>
          <w:rFonts w:ascii="Arial" w:eastAsia="Calibri" w:hAnsi="Arial" w:cs="Arial"/>
          <w:color w:val="000000" w:themeColor="text1"/>
          <w:sz w:val="22"/>
          <w:szCs w:val="22"/>
          <w:lang w:val="es-ES_tradnl"/>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00BF6F61" w:rsidRPr="00864E72">
        <w:rPr>
          <w:rFonts w:ascii="Arial" w:eastAsia="Calibri" w:hAnsi="Arial" w:cs="Arial"/>
          <w:color w:val="000000" w:themeColor="text1"/>
          <w:sz w:val="22"/>
          <w:szCs w:val="22"/>
          <w:lang w:val="es-ES_tradnl"/>
        </w:rPr>
        <w:t xml:space="preserve"> </w:t>
      </w:r>
      <w:r w:rsidRPr="00864E72">
        <w:rPr>
          <w:rFonts w:ascii="Arial" w:eastAsia="Calibri" w:hAnsi="Arial" w:cs="Arial"/>
          <w:color w:val="000000" w:themeColor="text1"/>
          <w:sz w:val="22"/>
          <w:szCs w:val="22"/>
          <w:lang w:val="es-ES_tradnl"/>
        </w:rPr>
        <w:t xml:space="preserve">Es necesario tener en cuenta que esta entidad solo tiene competencia para responder solicitudes sobre la aplicación de normas de carácter general en materia de compras y contratación pública. En ese sentido, resolver casos </w:t>
      </w:r>
      <w:r w:rsidR="00BF6F61" w:rsidRPr="00864E72">
        <w:rPr>
          <w:rFonts w:ascii="Arial" w:eastAsia="Calibri" w:hAnsi="Arial" w:cs="Arial"/>
          <w:color w:val="000000" w:themeColor="text1"/>
          <w:sz w:val="22"/>
          <w:szCs w:val="22"/>
          <w:lang w:val="es-ES_tradnl"/>
        </w:rPr>
        <w:t xml:space="preserve">concretos </w:t>
      </w:r>
      <w:r w:rsidRPr="00864E72">
        <w:rPr>
          <w:rFonts w:ascii="Arial" w:eastAsia="Calibri" w:hAnsi="Arial" w:cs="Arial"/>
          <w:color w:val="000000" w:themeColor="text1"/>
          <w:sz w:val="22"/>
          <w:szCs w:val="22"/>
          <w:lang w:val="es-ES_tradnl"/>
        </w:rPr>
        <w:t>desborda las atribuciones asignadas por el legislador extraordinario, que no concibió a Colombia Compra Eficiente como una autoridad para solucionar problemas jurídicos particulares de todos los partícipes de la contratación estatal.</w:t>
      </w:r>
    </w:p>
    <w:p w14:paraId="7D050D2E" w14:textId="008A0789" w:rsidR="00435703" w:rsidRPr="00864E72" w:rsidRDefault="005A5F39" w:rsidP="007B51C4">
      <w:pPr>
        <w:spacing w:after="120" w:line="276" w:lineRule="auto"/>
        <w:ind w:firstLine="709"/>
        <w:jc w:val="both"/>
        <w:rPr>
          <w:rFonts w:ascii="Arial" w:eastAsia="Calibri" w:hAnsi="Arial" w:cs="Arial"/>
          <w:color w:val="000000" w:themeColor="text1"/>
          <w:sz w:val="22"/>
          <w:szCs w:val="22"/>
          <w:lang w:val="es-ES_tradnl"/>
        </w:rPr>
      </w:pPr>
      <w:r w:rsidRPr="00864E72">
        <w:rPr>
          <w:rFonts w:ascii="Arial" w:eastAsia="Calibri" w:hAnsi="Arial" w:cs="Arial"/>
          <w:color w:val="000000" w:themeColor="text1"/>
          <w:sz w:val="22"/>
          <w:szCs w:val="22"/>
          <w:lang w:val="es-ES_tradnl"/>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Esto en la </w:t>
      </w:r>
      <w:r w:rsidRPr="00864E72">
        <w:rPr>
          <w:rFonts w:ascii="Arial" w:eastAsia="Calibri" w:hAnsi="Arial" w:cs="Arial"/>
          <w:color w:val="000000" w:themeColor="text1"/>
          <w:sz w:val="22"/>
          <w:szCs w:val="22"/>
          <w:lang w:val="es-ES_tradnl"/>
        </w:rPr>
        <w:lastRenderedPageBreak/>
        <w:t xml:space="preserve">medida en </w:t>
      </w:r>
      <w:r w:rsidR="005A2DBE" w:rsidRPr="00864E72">
        <w:rPr>
          <w:rFonts w:ascii="Arial" w:eastAsia="Calibri" w:hAnsi="Arial" w:cs="Arial"/>
          <w:color w:val="000000" w:themeColor="text1"/>
          <w:sz w:val="22"/>
          <w:szCs w:val="22"/>
          <w:lang w:val="es-ES_tradnl"/>
        </w:rPr>
        <w:t>que,</w:t>
      </w:r>
      <w:r w:rsidRPr="00864E72">
        <w:rPr>
          <w:rFonts w:ascii="Arial" w:eastAsia="Calibri" w:hAnsi="Arial" w:cs="Arial"/>
          <w:color w:val="000000" w:themeColor="text1"/>
          <w:sz w:val="22"/>
          <w:szCs w:val="22"/>
          <w:lang w:val="es-ES_tradnl"/>
        </w:rPr>
        <w:t xml:space="preserv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que adelanta el procedimiento de selección y, en caso de conflicto, a las autoridades judiciales, fiscales y disciplinarias.</w:t>
      </w:r>
      <w:r w:rsidR="003C62BA" w:rsidRPr="00864E72">
        <w:rPr>
          <w:rFonts w:ascii="Arial" w:eastAsia="Calibri" w:hAnsi="Arial" w:cs="Arial"/>
          <w:color w:val="000000" w:themeColor="text1"/>
          <w:sz w:val="22"/>
          <w:szCs w:val="22"/>
          <w:lang w:val="es-ES_tradnl"/>
        </w:rPr>
        <w:t xml:space="preserve"> </w:t>
      </w:r>
    </w:p>
    <w:p w14:paraId="5F1C4FD5" w14:textId="4DF229BA" w:rsidR="007B51C4" w:rsidRPr="00864E72" w:rsidRDefault="004D0548" w:rsidP="0028580B">
      <w:pPr>
        <w:spacing w:before="120" w:after="120" w:line="276" w:lineRule="auto"/>
        <w:ind w:firstLine="709"/>
        <w:jc w:val="both"/>
        <w:rPr>
          <w:rFonts w:ascii="Arial" w:eastAsia="Calibri" w:hAnsi="Arial" w:cs="Arial"/>
          <w:color w:val="000000"/>
          <w:sz w:val="22"/>
          <w:szCs w:val="22"/>
          <w:lang w:eastAsia="en-US"/>
        </w:rPr>
      </w:pPr>
      <w:r w:rsidRPr="00864E72">
        <w:rPr>
          <w:rFonts w:ascii="Arial" w:eastAsia="Calibri" w:hAnsi="Arial" w:cs="Arial"/>
          <w:bCs/>
          <w:color w:val="000000"/>
          <w:sz w:val="22"/>
          <w:lang w:eastAsia="es-CO"/>
        </w:rPr>
        <w:t xml:space="preserve">Bajo estas consideraciones, corresponde a cada entidad pública, en ejercicio de su competencia y previa valoración de los elementos fácticos y jurídicos, </w:t>
      </w:r>
      <w:r w:rsidR="000435D0" w:rsidRPr="00864E72">
        <w:rPr>
          <w:rFonts w:ascii="Arial" w:eastAsia="Calibri" w:hAnsi="Arial" w:cs="Arial"/>
          <w:bCs/>
          <w:color w:val="000000"/>
          <w:sz w:val="22"/>
          <w:lang w:eastAsia="es-CO"/>
        </w:rPr>
        <w:t>determinar la forma de adelantar un procedimiento de selección en específico</w:t>
      </w:r>
      <w:r w:rsidRPr="00864E72">
        <w:rPr>
          <w:rFonts w:ascii="Arial" w:eastAsia="Calibri" w:hAnsi="Arial" w:cs="Arial"/>
          <w:bCs/>
          <w:color w:val="000000"/>
          <w:sz w:val="22"/>
          <w:lang w:eastAsia="es-CO"/>
        </w:rPr>
        <w:t>.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p>
    <w:p w14:paraId="5686019D" w14:textId="36180A5D" w:rsidR="0066609C" w:rsidRPr="00864E72" w:rsidRDefault="005A5F39" w:rsidP="005A5F39">
      <w:pPr>
        <w:spacing w:line="276" w:lineRule="auto"/>
        <w:ind w:firstLine="708"/>
        <w:jc w:val="both"/>
        <w:rPr>
          <w:rFonts w:ascii="Arial" w:eastAsia="Calibri" w:hAnsi="Arial" w:cs="Arial"/>
          <w:color w:val="000000" w:themeColor="text1"/>
          <w:sz w:val="22"/>
          <w:szCs w:val="22"/>
          <w:lang w:val="es-ES_tradnl"/>
        </w:rPr>
      </w:pPr>
      <w:r w:rsidRPr="00864E72">
        <w:rPr>
          <w:rFonts w:ascii="Arial" w:eastAsia="Calibri" w:hAnsi="Arial" w:cs="Arial"/>
          <w:color w:val="000000" w:themeColor="text1"/>
          <w:sz w:val="22"/>
          <w:szCs w:val="22"/>
          <w:lang w:val="es-ES_tradnl"/>
        </w:rPr>
        <w:t xml:space="preserve">Sin perjuicio de lo anterior, </w:t>
      </w:r>
      <w:r w:rsidR="005264A0" w:rsidRPr="00864E72">
        <w:rPr>
          <w:rFonts w:ascii="Arial" w:eastAsia="Calibri" w:hAnsi="Arial" w:cs="Arial"/>
          <w:color w:val="000000" w:themeColor="text1"/>
          <w:sz w:val="22"/>
          <w:lang w:val="es-ES"/>
        </w:rPr>
        <w:t>la Subdirección</w:t>
      </w:r>
      <w:r w:rsidR="005264A0" w:rsidRPr="00864E72">
        <w:rPr>
          <w:rFonts w:ascii="Arial" w:eastAsia="Calibri" w:hAnsi="Arial" w:cs="Arial"/>
          <w:color w:val="000000" w:themeColor="text1"/>
          <w:sz w:val="22"/>
          <w:szCs w:val="22"/>
          <w:lang w:val="es-ES_tradnl"/>
        </w:rPr>
        <w:t xml:space="preserve"> </w:t>
      </w:r>
      <w:r w:rsidR="00461D5F" w:rsidRPr="00864E72">
        <w:rPr>
          <w:rFonts w:ascii="Arial" w:eastAsia="Calibri" w:hAnsi="Arial" w:cs="Arial"/>
          <w:color w:val="000000" w:themeColor="text1"/>
          <w:sz w:val="22"/>
          <w:szCs w:val="22"/>
          <w:lang w:val="es-ES_tradnl"/>
        </w:rPr>
        <w:t>responder</w:t>
      </w:r>
      <w:r w:rsidR="005264A0" w:rsidRPr="00864E72">
        <w:rPr>
          <w:rFonts w:ascii="Arial" w:eastAsia="Calibri" w:hAnsi="Arial" w:cs="Arial"/>
          <w:color w:val="000000" w:themeColor="text1"/>
          <w:sz w:val="22"/>
          <w:szCs w:val="22"/>
          <w:lang w:val="es-ES_tradnl"/>
        </w:rPr>
        <w:t>á</w:t>
      </w:r>
      <w:r w:rsidR="00461D5F" w:rsidRPr="00864E72">
        <w:rPr>
          <w:rFonts w:ascii="Arial" w:eastAsia="Calibri" w:hAnsi="Arial" w:cs="Arial"/>
          <w:color w:val="000000" w:themeColor="text1"/>
          <w:sz w:val="22"/>
          <w:szCs w:val="22"/>
          <w:lang w:val="es-ES_tradnl"/>
        </w:rPr>
        <w:t xml:space="preserve"> </w:t>
      </w:r>
      <w:r w:rsidR="005264A0" w:rsidRPr="00864E72">
        <w:rPr>
          <w:rFonts w:ascii="Arial" w:eastAsia="Calibri" w:hAnsi="Arial" w:cs="Arial"/>
          <w:color w:val="000000" w:themeColor="text1"/>
          <w:sz w:val="22"/>
          <w:szCs w:val="22"/>
          <w:lang w:val="es-ES_tradnl"/>
        </w:rPr>
        <w:t>su</w:t>
      </w:r>
      <w:r w:rsidR="00461D5F" w:rsidRPr="00864E72">
        <w:rPr>
          <w:rFonts w:ascii="Arial" w:eastAsia="Calibri" w:hAnsi="Arial" w:cs="Arial"/>
          <w:color w:val="000000" w:themeColor="text1"/>
          <w:sz w:val="22"/>
          <w:szCs w:val="22"/>
          <w:lang w:val="es-ES_tradnl"/>
        </w:rPr>
        <w:t xml:space="preserve"> consulta</w:t>
      </w:r>
      <w:r w:rsidR="005264A0" w:rsidRPr="00864E72">
        <w:rPr>
          <w:rFonts w:ascii="Arial" w:eastAsia="Calibri" w:hAnsi="Arial" w:cs="Arial"/>
          <w:color w:val="000000" w:themeColor="text1"/>
          <w:sz w:val="22"/>
          <w:szCs w:val="22"/>
          <w:lang w:val="es-ES_tradnl"/>
        </w:rPr>
        <w:t xml:space="preserve"> dentro de los límites de su competencia</w:t>
      </w:r>
      <w:r w:rsidR="00E23C72" w:rsidRPr="00864E72">
        <w:rPr>
          <w:rFonts w:ascii="Arial" w:eastAsia="Calibri" w:hAnsi="Arial" w:cs="Arial"/>
          <w:color w:val="000000" w:themeColor="text1"/>
          <w:sz w:val="22"/>
          <w:szCs w:val="22"/>
          <w:lang w:val="es-ES_tradnl"/>
        </w:rPr>
        <w:t xml:space="preserve">, en un sentido </w:t>
      </w:r>
      <w:r w:rsidR="00E23C72" w:rsidRPr="00864E72">
        <w:rPr>
          <w:rFonts w:ascii="Arial" w:eastAsia="Calibri" w:hAnsi="Arial" w:cs="Arial"/>
          <w:i/>
          <w:iCs/>
          <w:color w:val="000000" w:themeColor="text1"/>
          <w:sz w:val="22"/>
          <w:szCs w:val="22"/>
          <w:lang w:val="es-ES_tradnl"/>
        </w:rPr>
        <w:t>general</w:t>
      </w:r>
      <w:r w:rsidR="00E23C72" w:rsidRPr="00864E72">
        <w:rPr>
          <w:rFonts w:ascii="Arial" w:eastAsia="Calibri" w:hAnsi="Arial" w:cs="Arial"/>
          <w:color w:val="000000" w:themeColor="text1"/>
          <w:sz w:val="22"/>
          <w:szCs w:val="22"/>
          <w:lang w:val="es-ES_tradnl"/>
        </w:rPr>
        <w:t xml:space="preserve"> y </w:t>
      </w:r>
      <w:r w:rsidR="00E23C72" w:rsidRPr="00864E72">
        <w:rPr>
          <w:rFonts w:ascii="Arial" w:eastAsia="Calibri" w:hAnsi="Arial" w:cs="Arial"/>
          <w:i/>
          <w:iCs/>
          <w:color w:val="000000" w:themeColor="text1"/>
          <w:sz w:val="22"/>
          <w:szCs w:val="22"/>
          <w:lang w:val="es-ES_tradnl"/>
        </w:rPr>
        <w:t>abstracto</w:t>
      </w:r>
      <w:r w:rsidR="00461D5F" w:rsidRPr="00864E72">
        <w:rPr>
          <w:rFonts w:ascii="Arial" w:eastAsia="Calibri" w:hAnsi="Arial" w:cs="Arial"/>
          <w:color w:val="000000" w:themeColor="text1"/>
          <w:sz w:val="22"/>
          <w:szCs w:val="22"/>
          <w:lang w:val="es-ES_tradnl"/>
        </w:rPr>
        <w:t xml:space="preserve">, </w:t>
      </w:r>
      <w:r w:rsidR="005264A0" w:rsidRPr="00864E72">
        <w:rPr>
          <w:rFonts w:ascii="Arial" w:eastAsia="Calibri" w:hAnsi="Arial" w:cs="Arial"/>
          <w:color w:val="000000" w:themeColor="text1"/>
          <w:sz w:val="22"/>
          <w:szCs w:val="22"/>
          <w:lang w:val="es-ES_tradnl"/>
        </w:rPr>
        <w:t>previo análisis de</w:t>
      </w:r>
      <w:r w:rsidR="00271230" w:rsidRPr="00864E72">
        <w:rPr>
          <w:rFonts w:ascii="Arial" w:eastAsia="Calibri" w:hAnsi="Arial" w:cs="Arial"/>
          <w:color w:val="000000" w:themeColor="text1"/>
          <w:sz w:val="22"/>
          <w:szCs w:val="22"/>
          <w:lang w:val="es-ES_tradnl"/>
        </w:rPr>
        <w:t xml:space="preserve"> los</w:t>
      </w:r>
      <w:r w:rsidR="00822EC4" w:rsidRPr="00864E72">
        <w:rPr>
          <w:rFonts w:ascii="Arial" w:eastAsia="Calibri" w:hAnsi="Arial" w:cs="Arial"/>
          <w:color w:val="000000" w:themeColor="text1"/>
          <w:sz w:val="22"/>
          <w:szCs w:val="22"/>
          <w:lang w:val="es-ES_tradnl"/>
        </w:rPr>
        <w:t xml:space="preserve"> siguientes temas:</w:t>
      </w:r>
      <w:r w:rsidR="00A87894" w:rsidRPr="00864E72">
        <w:rPr>
          <w:rFonts w:ascii="Arial" w:eastAsia="Calibri" w:hAnsi="Arial" w:cs="Arial"/>
          <w:color w:val="000000" w:themeColor="text1"/>
          <w:sz w:val="22"/>
          <w:szCs w:val="22"/>
          <w:lang w:val="es-ES_tradnl"/>
        </w:rPr>
        <w:t xml:space="preserve"> </w:t>
      </w:r>
      <w:r w:rsidR="00190396" w:rsidRPr="00864E72">
        <w:rPr>
          <w:rFonts w:ascii="Arial" w:eastAsia="Calibri" w:hAnsi="Arial" w:cs="Arial"/>
          <w:color w:val="000000" w:themeColor="text1"/>
          <w:sz w:val="22"/>
          <w:szCs w:val="22"/>
          <w:lang w:val="es-ES_tradnl"/>
        </w:rPr>
        <w:t xml:space="preserve">i) </w:t>
      </w:r>
      <w:r w:rsidR="00C05F04" w:rsidRPr="00864E72">
        <w:rPr>
          <w:rFonts w:ascii="Arial" w:eastAsia="Calibri" w:hAnsi="Arial" w:cs="Arial"/>
          <w:color w:val="000000" w:themeColor="text1"/>
          <w:sz w:val="22"/>
          <w:szCs w:val="22"/>
          <w:lang w:val="es-ES_tradnl"/>
        </w:rPr>
        <w:t>f</w:t>
      </w:r>
      <w:r w:rsidR="00E70779" w:rsidRPr="00864E72">
        <w:rPr>
          <w:rFonts w:ascii="Arial" w:eastAsia="Calibri" w:hAnsi="Arial" w:cs="Arial"/>
          <w:color w:val="000000" w:themeColor="text1"/>
          <w:sz w:val="22"/>
          <w:szCs w:val="22"/>
          <w:lang w:val="es-ES_tradnl"/>
        </w:rPr>
        <w:t>undamento normativo y ámbito de aplicación de los documentos tipo</w:t>
      </w:r>
      <w:r w:rsidR="00190396" w:rsidRPr="00864E72">
        <w:rPr>
          <w:rFonts w:ascii="Arial" w:eastAsia="Calibri" w:hAnsi="Arial" w:cs="Arial"/>
          <w:color w:val="000000" w:themeColor="text1"/>
          <w:sz w:val="22"/>
          <w:szCs w:val="22"/>
          <w:lang w:val="es-ES_tradnl"/>
        </w:rPr>
        <w:t xml:space="preserve">, </w:t>
      </w:r>
      <w:r w:rsidR="00E70779" w:rsidRPr="00864E72">
        <w:rPr>
          <w:rFonts w:ascii="Arial" w:eastAsia="Calibri" w:hAnsi="Arial" w:cs="Arial"/>
          <w:color w:val="000000" w:themeColor="text1"/>
          <w:sz w:val="22"/>
          <w:szCs w:val="22"/>
          <w:lang w:val="es-ES_tradnl"/>
        </w:rPr>
        <w:t xml:space="preserve">y </w:t>
      </w:r>
      <w:r w:rsidR="00190396" w:rsidRPr="00864E72">
        <w:rPr>
          <w:rFonts w:ascii="Arial" w:eastAsia="Calibri" w:hAnsi="Arial" w:cs="Arial"/>
          <w:color w:val="000000" w:themeColor="text1"/>
          <w:sz w:val="22"/>
          <w:szCs w:val="22"/>
          <w:lang w:val="es-ES_tradnl"/>
        </w:rPr>
        <w:t>ii)</w:t>
      </w:r>
      <w:r w:rsidR="00442AFD" w:rsidRPr="00864E72">
        <w:rPr>
          <w:rFonts w:ascii="Arial" w:eastAsia="Calibri" w:hAnsi="Arial" w:cs="Arial"/>
          <w:color w:val="000000" w:themeColor="text1"/>
          <w:sz w:val="22"/>
          <w:szCs w:val="22"/>
          <w:lang w:val="es-ES_tradnl"/>
        </w:rPr>
        <w:t xml:space="preserve"> </w:t>
      </w:r>
      <w:r w:rsidR="001E6A63" w:rsidRPr="00864E72">
        <w:rPr>
          <w:rFonts w:ascii="Arial" w:eastAsia="Calibri" w:hAnsi="Arial" w:cs="Arial"/>
          <w:color w:val="000000" w:themeColor="text1"/>
          <w:sz w:val="22"/>
          <w:szCs w:val="22"/>
          <w:lang w:val="es-ES_tradnl"/>
        </w:rPr>
        <w:t>alcance del artículo 56 de la Ley 2195 de 2022 frente a la implementación obligatoria del Estatuto General de Contratación de la Administración Pública y de los documentos tipo en la contratación de las entidades estatales exceptuadas y particulares</w:t>
      </w:r>
      <w:r w:rsidR="00CC74E7" w:rsidRPr="00864E72">
        <w:rPr>
          <w:rFonts w:ascii="Arial" w:eastAsia="Calibri" w:hAnsi="Arial" w:cs="Arial"/>
          <w:color w:val="000000" w:themeColor="text1"/>
          <w:sz w:val="22"/>
          <w:szCs w:val="22"/>
          <w:lang w:val="es-ES_tradnl"/>
        </w:rPr>
        <w:t>.</w:t>
      </w:r>
      <w:r w:rsidR="00E70779" w:rsidRPr="00864E72">
        <w:rPr>
          <w:rFonts w:ascii="Arial" w:eastAsia="Calibri" w:hAnsi="Arial" w:cs="Arial"/>
          <w:color w:val="000000" w:themeColor="text1"/>
          <w:sz w:val="22"/>
          <w:szCs w:val="22"/>
          <w:lang w:val="es-ES_tradnl"/>
        </w:rPr>
        <w:t xml:space="preserve">  </w:t>
      </w:r>
    </w:p>
    <w:p w14:paraId="2D197EB9" w14:textId="3A03FD09" w:rsidR="00B67CED" w:rsidRPr="00864E72" w:rsidRDefault="007B6975" w:rsidP="00EB5EB7">
      <w:pPr>
        <w:spacing w:before="120" w:line="276" w:lineRule="auto"/>
        <w:ind w:firstLine="709"/>
        <w:jc w:val="both"/>
        <w:rPr>
          <w:rFonts w:ascii="Arial" w:eastAsia="Calibri" w:hAnsi="Arial" w:cs="Arial"/>
          <w:noProof/>
          <w:color w:val="000000" w:themeColor="text1"/>
          <w:sz w:val="22"/>
          <w:lang w:val="es-ES_tradnl"/>
        </w:rPr>
      </w:pPr>
      <w:r w:rsidRPr="00864E72">
        <w:rPr>
          <w:rFonts w:ascii="Arial" w:hAnsi="Arial" w:cs="Arial"/>
          <w:noProof/>
          <w:color w:val="000000" w:themeColor="text1"/>
          <w:sz w:val="22"/>
          <w:lang w:val="es-ES_tradnl"/>
        </w:rPr>
        <w:t xml:space="preserve">La Agencia Nacional de Contratación Pública – Colombia Compra Eficiente </w:t>
      </w:r>
      <w:r w:rsidR="00A4213F" w:rsidRPr="00864E72">
        <w:rPr>
          <w:rFonts w:ascii="Arial" w:hAnsi="Arial" w:cs="Arial"/>
          <w:noProof/>
          <w:color w:val="000000" w:themeColor="text1"/>
          <w:sz w:val="22"/>
          <w:lang w:val="es-ES_tradnl"/>
        </w:rPr>
        <w:t>se</w:t>
      </w:r>
      <w:r w:rsidR="00065C70" w:rsidRPr="00864E72">
        <w:rPr>
          <w:rFonts w:ascii="Arial" w:hAnsi="Arial" w:cs="Arial"/>
          <w:noProof/>
          <w:color w:val="000000" w:themeColor="text1"/>
          <w:sz w:val="22"/>
          <w:lang w:val="es-ES_tradnl"/>
        </w:rPr>
        <w:t xml:space="preserve"> ha pronunciado</w:t>
      </w:r>
      <w:r w:rsidR="00A4213F" w:rsidRPr="00864E72">
        <w:rPr>
          <w:rFonts w:ascii="Arial" w:hAnsi="Arial" w:cs="Arial"/>
          <w:noProof/>
          <w:color w:val="000000" w:themeColor="text1"/>
          <w:sz w:val="22"/>
          <w:lang w:val="es-ES_tradnl"/>
        </w:rPr>
        <w:t xml:space="preserve"> sobre</w:t>
      </w:r>
      <w:r w:rsidR="00065C70" w:rsidRPr="00864E72">
        <w:rPr>
          <w:rFonts w:ascii="Arial" w:hAnsi="Arial" w:cs="Arial"/>
          <w:noProof/>
          <w:color w:val="000000" w:themeColor="text1"/>
          <w:sz w:val="22"/>
          <w:lang w:val="es-ES_tradnl"/>
        </w:rPr>
        <w:t xml:space="preserve"> el ámbito de aplicación de</w:t>
      </w:r>
      <w:r w:rsidR="00A4213F" w:rsidRPr="00864E72">
        <w:rPr>
          <w:rFonts w:ascii="Arial" w:hAnsi="Arial" w:cs="Arial"/>
          <w:noProof/>
          <w:color w:val="000000" w:themeColor="text1"/>
          <w:sz w:val="22"/>
          <w:lang w:val="es-ES_tradnl"/>
        </w:rPr>
        <w:t xml:space="preserve"> </w:t>
      </w:r>
      <w:r w:rsidR="00430F7D" w:rsidRPr="00864E72">
        <w:rPr>
          <w:rFonts w:ascii="Arial" w:eastAsia="Arial" w:hAnsi="Arial" w:cs="Arial"/>
          <w:color w:val="000000" w:themeColor="text1"/>
          <w:sz w:val="22"/>
          <w:lang w:val="es-ES_tradnl"/>
        </w:rPr>
        <w:t>los</w:t>
      </w:r>
      <w:r w:rsidR="00B67CED" w:rsidRPr="00864E72">
        <w:rPr>
          <w:rFonts w:ascii="Arial" w:eastAsia="Arial" w:hAnsi="Arial" w:cs="Arial"/>
          <w:color w:val="000000" w:themeColor="text1"/>
          <w:sz w:val="22"/>
          <w:lang w:val="es-ES_tradnl"/>
        </w:rPr>
        <w:t xml:space="preserve"> </w:t>
      </w:r>
      <w:r w:rsidR="00065C70" w:rsidRPr="00864E72">
        <w:rPr>
          <w:rFonts w:ascii="Arial" w:eastAsia="Arial" w:hAnsi="Arial" w:cs="Arial"/>
          <w:color w:val="000000" w:themeColor="text1"/>
          <w:sz w:val="22"/>
          <w:lang w:val="es-ES_tradnl"/>
        </w:rPr>
        <w:t>documentos tipo</w:t>
      </w:r>
      <w:r w:rsidR="00B67CED" w:rsidRPr="00864E72">
        <w:rPr>
          <w:rFonts w:ascii="Arial" w:eastAsia="Arial" w:hAnsi="Arial" w:cs="Arial"/>
          <w:color w:val="000000" w:themeColor="text1"/>
          <w:sz w:val="22"/>
          <w:lang w:val="es-ES_tradnl"/>
        </w:rPr>
        <w:t xml:space="preserve"> </w:t>
      </w:r>
      <w:r w:rsidR="00E01519" w:rsidRPr="00864E72">
        <w:rPr>
          <w:rFonts w:ascii="Arial" w:eastAsia="Arial" w:hAnsi="Arial" w:cs="Arial"/>
          <w:color w:val="000000" w:themeColor="text1"/>
          <w:sz w:val="22"/>
          <w:lang w:val="es-ES_tradnl"/>
        </w:rPr>
        <w:t>en la contratación estatal</w:t>
      </w:r>
      <w:r w:rsidR="00B67CED" w:rsidRPr="00864E72">
        <w:rPr>
          <w:rFonts w:ascii="Arial" w:eastAsia="Arial" w:hAnsi="Arial" w:cs="Arial"/>
          <w:color w:val="000000" w:themeColor="text1"/>
          <w:sz w:val="22"/>
          <w:lang w:val="es-ES_tradnl"/>
        </w:rPr>
        <w:t>,</w:t>
      </w:r>
      <w:r w:rsidR="00885E06" w:rsidRPr="00864E72">
        <w:rPr>
          <w:rFonts w:ascii="Arial" w:eastAsia="Arial" w:hAnsi="Arial" w:cs="Arial"/>
          <w:color w:val="000000" w:themeColor="text1"/>
          <w:sz w:val="22"/>
          <w:lang w:val="es-ES_tradnl"/>
        </w:rPr>
        <w:t xml:space="preserve"> </w:t>
      </w:r>
      <w:r w:rsidR="00B67CED" w:rsidRPr="00864E72">
        <w:rPr>
          <w:rFonts w:ascii="Arial" w:eastAsia="Arial" w:hAnsi="Arial" w:cs="Arial"/>
          <w:color w:val="000000" w:themeColor="text1"/>
          <w:sz w:val="22"/>
          <w:lang w:val="es-ES_tradnl"/>
        </w:rPr>
        <w:t>entre otros, en los siguientes conceptos: 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w:t>
      </w:r>
      <w:r w:rsidR="00E01519" w:rsidRPr="00864E72">
        <w:rPr>
          <w:rFonts w:ascii="Arial" w:eastAsia="Arial" w:hAnsi="Arial" w:cs="Arial"/>
          <w:color w:val="000000" w:themeColor="text1"/>
          <w:sz w:val="22"/>
          <w:lang w:val="es-ES_tradnl"/>
        </w:rPr>
        <w:t xml:space="preserve">, </w:t>
      </w:r>
      <w:r w:rsidR="00B67CED" w:rsidRPr="00864E72">
        <w:rPr>
          <w:rFonts w:ascii="Arial" w:eastAsia="Arial" w:hAnsi="Arial" w:cs="Arial"/>
          <w:color w:val="000000" w:themeColor="text1"/>
          <w:sz w:val="22"/>
          <w:lang w:val="es-ES_tradnl"/>
        </w:rPr>
        <w:t>C-570 del 27 de agosto de 2020</w:t>
      </w:r>
      <w:r w:rsidR="00D944AC" w:rsidRPr="00864E72">
        <w:rPr>
          <w:rFonts w:ascii="Arial" w:eastAsia="Arial" w:hAnsi="Arial" w:cs="Arial"/>
          <w:color w:val="000000" w:themeColor="text1"/>
          <w:sz w:val="22"/>
          <w:lang w:val="es-ES_tradnl"/>
        </w:rPr>
        <w:t>, C</w:t>
      </w:r>
      <w:r w:rsidR="00C638CD" w:rsidRPr="00864E72">
        <w:rPr>
          <w:rFonts w:ascii="Arial" w:eastAsia="Arial" w:hAnsi="Arial" w:cs="Arial"/>
          <w:color w:val="000000" w:themeColor="text1"/>
          <w:sz w:val="22"/>
          <w:lang w:val="es-ES_tradnl"/>
        </w:rPr>
        <w:t>-713 del 2 de diciembre de 2020</w:t>
      </w:r>
      <w:r w:rsidR="00D07DE9" w:rsidRPr="00864E72">
        <w:rPr>
          <w:rFonts w:ascii="Arial" w:eastAsia="Arial" w:hAnsi="Arial" w:cs="Arial"/>
          <w:color w:val="000000" w:themeColor="text1"/>
          <w:sz w:val="22"/>
          <w:lang w:val="es-ES_tradnl"/>
        </w:rPr>
        <w:t xml:space="preserve"> y </w:t>
      </w:r>
      <w:r w:rsidR="00C638CD" w:rsidRPr="00864E72">
        <w:rPr>
          <w:rFonts w:ascii="Arial" w:eastAsia="Arial" w:hAnsi="Arial" w:cs="Arial"/>
          <w:color w:val="000000" w:themeColor="text1"/>
          <w:sz w:val="22"/>
          <w:lang w:val="es-ES_tradnl"/>
        </w:rPr>
        <w:t>C-</w:t>
      </w:r>
      <w:r w:rsidR="0059455B" w:rsidRPr="00864E72">
        <w:rPr>
          <w:rFonts w:ascii="Arial" w:eastAsia="Arial" w:hAnsi="Arial" w:cs="Arial"/>
          <w:color w:val="000000" w:themeColor="text1"/>
          <w:sz w:val="22"/>
          <w:lang w:val="es-ES_tradnl"/>
        </w:rPr>
        <w:t>744 del 22 de diciembre de 2020</w:t>
      </w:r>
      <w:r w:rsidR="00B67CED" w:rsidRPr="00864E72">
        <w:rPr>
          <w:rFonts w:ascii="Arial" w:eastAsia="Arial" w:hAnsi="Arial" w:cs="Arial"/>
          <w:color w:val="000000" w:themeColor="text1"/>
          <w:sz w:val="22"/>
          <w:lang w:val="es-ES_tradnl"/>
        </w:rPr>
        <w:t>.</w:t>
      </w:r>
      <w:r w:rsidR="005A2DBE" w:rsidRPr="00864E72">
        <w:rPr>
          <w:rFonts w:ascii="Arial" w:eastAsia="Arial" w:hAnsi="Arial" w:cs="Arial"/>
          <w:color w:val="000000" w:themeColor="text1"/>
          <w:sz w:val="22"/>
          <w:lang w:val="es-ES_tradnl"/>
        </w:rPr>
        <w:t xml:space="preserve"> Sobre la aplicación del artículo 56 de a Ley 2195 de 2022 se pronunció en </w:t>
      </w:r>
      <w:r w:rsidR="001E6A63" w:rsidRPr="00864E72">
        <w:rPr>
          <w:rFonts w:ascii="Arial" w:eastAsia="Arial" w:hAnsi="Arial" w:cs="Arial"/>
          <w:color w:val="000000" w:themeColor="text1"/>
          <w:sz w:val="22"/>
          <w:lang w:val="es-ES_tradnl"/>
        </w:rPr>
        <w:t>los</w:t>
      </w:r>
      <w:r w:rsidR="005A2DBE" w:rsidRPr="00864E72">
        <w:rPr>
          <w:rFonts w:ascii="Arial" w:eastAsia="Arial" w:hAnsi="Arial" w:cs="Arial"/>
          <w:color w:val="000000" w:themeColor="text1"/>
          <w:sz w:val="22"/>
          <w:lang w:val="es-ES_tradnl"/>
        </w:rPr>
        <w:t xml:space="preserve"> concepto</w:t>
      </w:r>
      <w:r w:rsidR="001E6A63" w:rsidRPr="00864E72">
        <w:rPr>
          <w:rFonts w:ascii="Arial" w:eastAsia="Arial" w:hAnsi="Arial" w:cs="Arial"/>
          <w:color w:val="000000" w:themeColor="text1"/>
          <w:sz w:val="22"/>
          <w:lang w:val="es-ES_tradnl"/>
        </w:rPr>
        <w:t>s</w:t>
      </w:r>
      <w:r w:rsidR="005A2DBE" w:rsidRPr="00864E72">
        <w:rPr>
          <w:rFonts w:ascii="Arial" w:eastAsia="Arial" w:hAnsi="Arial" w:cs="Arial"/>
          <w:color w:val="000000" w:themeColor="text1"/>
          <w:sz w:val="22"/>
          <w:lang w:val="es-ES_tradnl"/>
        </w:rPr>
        <w:t xml:space="preserve"> </w:t>
      </w:r>
      <w:r w:rsidR="0069501E" w:rsidRPr="00864E72">
        <w:rPr>
          <w:rFonts w:ascii="Arial" w:eastAsia="Calibri" w:hAnsi="Arial" w:cs="Arial"/>
          <w:color w:val="000000" w:themeColor="text1"/>
          <w:sz w:val="22"/>
          <w:lang w:val="es-ES"/>
        </w:rPr>
        <w:t>C-066 del 28 de enero de 2022, C-033 del 4 de marzo de 2022, C-049 del 07 de marzo de 2022, C-059 de 08 de marzo de 2022, C-065 del 9 de marzo de 2022, C-090 del 16 de marzo de 2022, C-087 del 17 de marzo de 2022, C-083 del 18 de marzo de 2022 y C-160 del 05 de abril de 2022</w:t>
      </w:r>
      <w:r w:rsidR="002E7C15" w:rsidRPr="00864E72">
        <w:rPr>
          <w:rStyle w:val="Refdenotaalpie"/>
          <w:rFonts w:ascii="Arial" w:eastAsia="Arial" w:hAnsi="Arial" w:cs="Arial"/>
          <w:color w:val="000000" w:themeColor="text1"/>
          <w:sz w:val="22"/>
          <w:lang w:val="es-ES_tradnl"/>
        </w:rPr>
        <w:footnoteReference w:id="2"/>
      </w:r>
      <w:r w:rsidR="005A2DBE" w:rsidRPr="00864E72">
        <w:rPr>
          <w:rFonts w:ascii="Arial" w:eastAsia="Arial" w:hAnsi="Arial" w:cs="Arial"/>
          <w:color w:val="000000" w:themeColor="text1"/>
          <w:sz w:val="22"/>
          <w:lang w:val="es-ES_tradnl"/>
        </w:rPr>
        <w:t>.</w:t>
      </w:r>
      <w:r w:rsidR="009C5905" w:rsidRPr="00864E72">
        <w:rPr>
          <w:rFonts w:ascii="Arial" w:eastAsia="Arial" w:hAnsi="Arial" w:cs="Arial"/>
          <w:color w:val="000000" w:themeColor="text1"/>
          <w:sz w:val="22"/>
          <w:lang w:val="es-ES_tradnl"/>
        </w:rPr>
        <w:t xml:space="preserve"> </w:t>
      </w:r>
      <w:r w:rsidR="00B67CED" w:rsidRPr="00864E72">
        <w:rPr>
          <w:rFonts w:ascii="Arial" w:eastAsia="Arial" w:hAnsi="Arial" w:cs="Arial"/>
          <w:color w:val="000000" w:themeColor="text1"/>
          <w:sz w:val="22"/>
          <w:lang w:val="es-ES_tradnl"/>
        </w:rPr>
        <w:t>Las ideas expuestas en dichas oportunidades se reitera</w:t>
      </w:r>
      <w:r w:rsidR="005A2DBE" w:rsidRPr="00864E72">
        <w:rPr>
          <w:rFonts w:ascii="Arial" w:eastAsia="Arial" w:hAnsi="Arial" w:cs="Arial"/>
          <w:color w:val="000000" w:themeColor="text1"/>
          <w:sz w:val="22"/>
          <w:lang w:val="es-ES_tradnl"/>
        </w:rPr>
        <w:t>n</w:t>
      </w:r>
      <w:r w:rsidR="00B67CED" w:rsidRPr="00864E72">
        <w:rPr>
          <w:rFonts w:ascii="Arial" w:eastAsia="Arial" w:hAnsi="Arial" w:cs="Arial"/>
          <w:color w:val="000000" w:themeColor="text1"/>
          <w:sz w:val="22"/>
          <w:lang w:val="es-ES_tradnl"/>
        </w:rPr>
        <w:t xml:space="preserve"> y se complementa</w:t>
      </w:r>
      <w:r w:rsidR="00E70779" w:rsidRPr="00864E72">
        <w:rPr>
          <w:rFonts w:ascii="Arial" w:eastAsia="Arial" w:hAnsi="Arial" w:cs="Arial"/>
          <w:color w:val="000000" w:themeColor="text1"/>
          <w:sz w:val="22"/>
          <w:lang w:val="es-ES_tradnl"/>
        </w:rPr>
        <w:t>n a continuación</w:t>
      </w:r>
      <w:r w:rsidR="009560DA" w:rsidRPr="00864E72">
        <w:rPr>
          <w:rFonts w:ascii="Arial" w:eastAsia="Arial" w:hAnsi="Arial" w:cs="Arial"/>
          <w:color w:val="000000" w:themeColor="text1"/>
          <w:sz w:val="22"/>
          <w:lang w:val="es-ES_tradnl"/>
        </w:rPr>
        <w:t>:</w:t>
      </w:r>
      <w:r w:rsidR="00B67CED" w:rsidRPr="00864E72">
        <w:rPr>
          <w:rFonts w:ascii="Arial" w:eastAsia="Arial" w:hAnsi="Arial" w:cs="Arial"/>
          <w:color w:val="000000" w:themeColor="text1"/>
          <w:sz w:val="22"/>
          <w:lang w:val="es-ES_tradnl"/>
        </w:rPr>
        <w:t xml:space="preserve">    </w:t>
      </w:r>
    </w:p>
    <w:p w14:paraId="69FC8F3F" w14:textId="77777777" w:rsidR="00217D17" w:rsidRPr="00864E72" w:rsidRDefault="00217D17" w:rsidP="00B67CED">
      <w:pPr>
        <w:spacing w:line="276" w:lineRule="auto"/>
        <w:jc w:val="both"/>
        <w:rPr>
          <w:rFonts w:ascii="Arial" w:eastAsia="Arial" w:hAnsi="Arial" w:cs="Arial"/>
          <w:b/>
          <w:bCs/>
          <w:color w:val="000000" w:themeColor="text1"/>
          <w:sz w:val="22"/>
          <w:lang w:val="es-ES_tradnl"/>
        </w:rPr>
      </w:pPr>
    </w:p>
    <w:p w14:paraId="386098CC" w14:textId="16E7766C" w:rsidR="00B67CED" w:rsidRPr="00864E72" w:rsidRDefault="00B67CED" w:rsidP="00B67CED">
      <w:pPr>
        <w:spacing w:line="276" w:lineRule="auto"/>
        <w:jc w:val="both"/>
        <w:rPr>
          <w:rFonts w:ascii="Arial" w:eastAsia="Arial" w:hAnsi="Arial" w:cs="Arial"/>
          <w:b/>
          <w:bCs/>
          <w:color w:val="000000" w:themeColor="text1"/>
          <w:sz w:val="22"/>
          <w:lang w:val="es-ES_tradnl"/>
        </w:rPr>
      </w:pPr>
      <w:r w:rsidRPr="00864E72">
        <w:rPr>
          <w:rFonts w:ascii="Arial" w:eastAsia="Arial" w:hAnsi="Arial" w:cs="Arial"/>
          <w:b/>
          <w:bCs/>
          <w:color w:val="000000" w:themeColor="text1"/>
          <w:sz w:val="22"/>
          <w:lang w:val="es-ES_tradnl"/>
        </w:rPr>
        <w:t>2.</w:t>
      </w:r>
      <w:r w:rsidR="00D94E5D" w:rsidRPr="00864E72">
        <w:rPr>
          <w:rFonts w:ascii="Arial" w:eastAsia="Arial" w:hAnsi="Arial" w:cs="Arial"/>
          <w:b/>
          <w:bCs/>
          <w:color w:val="000000" w:themeColor="text1"/>
          <w:sz w:val="22"/>
          <w:lang w:val="es-ES_tradnl"/>
        </w:rPr>
        <w:t>1</w:t>
      </w:r>
      <w:r w:rsidRPr="00864E72">
        <w:rPr>
          <w:rFonts w:ascii="Arial" w:eastAsia="Arial" w:hAnsi="Arial" w:cs="Arial"/>
          <w:b/>
          <w:bCs/>
          <w:color w:val="000000" w:themeColor="text1"/>
          <w:sz w:val="22"/>
          <w:lang w:val="es-ES_tradnl"/>
        </w:rPr>
        <w:t xml:space="preserve">. </w:t>
      </w:r>
      <w:r w:rsidR="00B04B71" w:rsidRPr="00864E72">
        <w:rPr>
          <w:rFonts w:ascii="Arial" w:eastAsia="Arial" w:hAnsi="Arial" w:cs="Arial"/>
          <w:b/>
          <w:bCs/>
          <w:color w:val="000000" w:themeColor="text1"/>
          <w:sz w:val="22"/>
          <w:lang w:val="es-ES_tradnl"/>
        </w:rPr>
        <w:t xml:space="preserve">Fundamento normativo </w:t>
      </w:r>
      <w:r w:rsidR="00E70779" w:rsidRPr="00864E72">
        <w:rPr>
          <w:rFonts w:ascii="Arial" w:eastAsia="Arial" w:hAnsi="Arial" w:cs="Arial"/>
          <w:b/>
          <w:bCs/>
          <w:color w:val="000000" w:themeColor="text1"/>
          <w:sz w:val="22"/>
          <w:lang w:val="es-ES_tradnl"/>
        </w:rPr>
        <w:t xml:space="preserve">y ámbito de aplicación </w:t>
      </w:r>
      <w:r w:rsidR="00B04B71" w:rsidRPr="00864E72">
        <w:rPr>
          <w:rFonts w:ascii="Arial" w:eastAsia="Arial" w:hAnsi="Arial" w:cs="Arial"/>
          <w:b/>
          <w:bCs/>
          <w:color w:val="000000" w:themeColor="text1"/>
          <w:sz w:val="22"/>
          <w:lang w:val="es-ES_tradnl"/>
        </w:rPr>
        <w:t xml:space="preserve">de los </w:t>
      </w:r>
      <w:r w:rsidR="00A409BC" w:rsidRPr="00864E72">
        <w:rPr>
          <w:rFonts w:ascii="Arial" w:eastAsia="Arial" w:hAnsi="Arial" w:cs="Arial"/>
          <w:b/>
          <w:bCs/>
          <w:color w:val="000000" w:themeColor="text1"/>
          <w:sz w:val="22"/>
          <w:lang w:val="es-ES_tradnl"/>
        </w:rPr>
        <w:t>documentos tipo</w:t>
      </w:r>
      <w:r w:rsidR="00B04B71" w:rsidRPr="00864E72">
        <w:rPr>
          <w:rFonts w:ascii="Arial" w:eastAsia="Arial" w:hAnsi="Arial" w:cs="Arial"/>
          <w:b/>
          <w:bCs/>
          <w:color w:val="000000" w:themeColor="text1"/>
          <w:sz w:val="22"/>
          <w:lang w:val="es-ES_tradnl"/>
        </w:rPr>
        <w:t xml:space="preserve"> </w:t>
      </w:r>
    </w:p>
    <w:p w14:paraId="56AA6DC3" w14:textId="77777777" w:rsidR="00217D17" w:rsidRPr="00864E72" w:rsidRDefault="00217D17" w:rsidP="00217D17">
      <w:pPr>
        <w:jc w:val="both"/>
        <w:rPr>
          <w:rFonts w:ascii="Arial" w:eastAsia="Arial" w:hAnsi="Arial" w:cs="Arial"/>
          <w:b/>
          <w:bCs/>
          <w:color w:val="000000" w:themeColor="text1"/>
          <w:sz w:val="22"/>
          <w:lang w:val="es-ES_tradnl"/>
        </w:rPr>
      </w:pPr>
    </w:p>
    <w:p w14:paraId="7539792D" w14:textId="77777777" w:rsidR="001E6A63" w:rsidRPr="00864E72" w:rsidRDefault="001E6A63" w:rsidP="001E6A63">
      <w:pPr>
        <w:spacing w:after="120" w:line="276" w:lineRule="auto"/>
        <w:jc w:val="both"/>
        <w:rPr>
          <w:rFonts w:ascii="Arial" w:eastAsia="Calibri" w:hAnsi="Arial" w:cs="Arial"/>
          <w:color w:val="000000" w:themeColor="text1"/>
          <w:sz w:val="22"/>
          <w:lang w:val="es-ES_tradnl"/>
        </w:rPr>
      </w:pPr>
      <w:r w:rsidRPr="00864E72">
        <w:rPr>
          <w:rFonts w:ascii="Arial" w:eastAsia="Calibri" w:hAnsi="Arial" w:cs="Arial"/>
          <w:color w:val="000000" w:themeColor="text1"/>
          <w:sz w:val="22"/>
          <w:lang w:val="es-ES_tradnl"/>
        </w:rPr>
        <w:lastRenderedPageBreak/>
        <w:t>La adopción de los documentos tipo obligatorios en el ordenamiento jurídico colombiano se incluyó por primera vez en el parágrafo 3 del artículo 2 de la Ley 1150 de 2007</w:t>
      </w:r>
      <w:r w:rsidRPr="00864E72">
        <w:rPr>
          <w:rStyle w:val="Refdenotaalpie"/>
          <w:rFonts w:ascii="Arial" w:eastAsia="Calibri" w:hAnsi="Arial" w:cs="Arial"/>
          <w:color w:val="000000" w:themeColor="text1"/>
        </w:rPr>
        <w:footnoteReference w:id="3"/>
      </w:r>
      <w:r w:rsidRPr="00864E72">
        <w:rPr>
          <w:rFonts w:ascii="Arial" w:eastAsia="Calibri" w:hAnsi="Arial" w:cs="Arial"/>
          <w:color w:val="000000" w:themeColor="text1"/>
          <w:sz w:val="22"/>
          <w:lang w:val="es-ES_tradnl"/>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38EAA4A4" w14:textId="77777777" w:rsidR="001E6A63" w:rsidRPr="00864E72" w:rsidRDefault="001E6A63" w:rsidP="001E6A63">
      <w:pPr>
        <w:spacing w:line="276" w:lineRule="auto"/>
        <w:ind w:firstLine="708"/>
        <w:jc w:val="both"/>
        <w:rPr>
          <w:rFonts w:ascii="Arial" w:eastAsia="Calibri" w:hAnsi="Arial" w:cs="Arial"/>
          <w:color w:val="000000" w:themeColor="text1"/>
          <w:sz w:val="22"/>
          <w:lang w:val="es-ES_tradnl"/>
        </w:rPr>
      </w:pPr>
      <w:r w:rsidRPr="00864E72">
        <w:rPr>
          <w:rFonts w:ascii="Arial" w:eastAsia="Calibri" w:hAnsi="Arial" w:cs="Arial"/>
          <w:color w:val="000000" w:themeColor="text1"/>
          <w:sz w:val="22"/>
          <w:lang w:val="es-ES_tradnl"/>
        </w:rPr>
        <w:t xml:space="preserve">Debido a lo anterior, el artículo 4 de la Ley 1882 de 2018 es el antecedente más relevante respecto a los documentos tipo. A partir de esta norma se determinó la obligatoriedad para todas las entidades sometidas al Estatuto General de Contratación de la Administración Pública de aplicar los documentos tipo adoptados por el Gobierno Nacional. Debe señalarse que en virtud de la Ley 1882 de 2018 se expidieron varios documentos tipo para el sector de infraestructura de transporte y, por tanto, es importante explicar el proceso previsto en dicho cuerpo normativo. </w:t>
      </w:r>
    </w:p>
    <w:p w14:paraId="1CBAF3A2" w14:textId="77777777" w:rsidR="001E6A63" w:rsidRPr="00864E72" w:rsidRDefault="001E6A63" w:rsidP="001E6A63">
      <w:pPr>
        <w:spacing w:before="120" w:after="120" w:line="276" w:lineRule="auto"/>
        <w:ind w:firstLine="708"/>
        <w:jc w:val="both"/>
        <w:rPr>
          <w:rFonts w:ascii="Arial" w:eastAsia="Calibri" w:hAnsi="Arial" w:cs="Arial"/>
          <w:color w:val="000000" w:themeColor="text1"/>
          <w:sz w:val="22"/>
          <w:lang w:val="es-ES_tradnl"/>
        </w:rPr>
      </w:pPr>
      <w:r w:rsidRPr="00864E72">
        <w:rPr>
          <w:rFonts w:ascii="Arial" w:eastAsia="Calibri" w:hAnsi="Arial" w:cs="Arial"/>
          <w:color w:val="000000" w:themeColor="text1"/>
          <w:sz w:val="22"/>
          <w:lang w:val="es-ES_tradnl"/>
        </w:rPr>
        <w:t>El artículo 4 de la Ley 1882 de 2018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Contratación que adelantaran</w:t>
      </w:r>
      <w:r w:rsidRPr="00864E72">
        <w:rPr>
          <w:rStyle w:val="Refdenotaalpie"/>
          <w:rFonts w:ascii="Arial" w:eastAsia="Calibri" w:hAnsi="Arial" w:cs="Arial"/>
          <w:color w:val="000000" w:themeColor="text1"/>
        </w:rPr>
        <w:footnoteReference w:id="4"/>
      </w:r>
      <w:r w:rsidRPr="00864E72">
        <w:rPr>
          <w:rFonts w:ascii="Arial" w:eastAsia="Calibri" w:hAnsi="Arial" w:cs="Arial"/>
          <w:color w:val="000000" w:themeColor="text1"/>
          <w:sz w:val="22"/>
          <w:lang w:val="es-ES_tradnl"/>
        </w:rPr>
        <w:t>.</w:t>
      </w:r>
    </w:p>
    <w:p w14:paraId="4B214F57" w14:textId="77777777" w:rsidR="001E6A63" w:rsidRPr="00864E72" w:rsidRDefault="001E6A63" w:rsidP="001E6A63">
      <w:pPr>
        <w:spacing w:before="120" w:after="120" w:line="276" w:lineRule="auto"/>
        <w:jc w:val="both"/>
        <w:rPr>
          <w:rFonts w:ascii="Arial" w:eastAsia="Calibri" w:hAnsi="Arial" w:cs="Arial"/>
          <w:color w:val="000000" w:themeColor="text1"/>
          <w:sz w:val="22"/>
          <w:lang w:val="es-ES_tradnl"/>
        </w:rPr>
      </w:pPr>
      <w:r w:rsidRPr="00864E72">
        <w:rPr>
          <w:rFonts w:ascii="Arial" w:eastAsia="Calibri" w:hAnsi="Arial" w:cs="Arial"/>
          <w:color w:val="000000" w:themeColor="text1"/>
          <w:sz w:val="22"/>
          <w:lang w:val="es-ES_tradnl"/>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Para la adopción de </w:t>
      </w:r>
      <w:r w:rsidRPr="00864E72">
        <w:rPr>
          <w:rFonts w:ascii="Arial" w:eastAsia="Calibri" w:hAnsi="Arial" w:cs="Arial"/>
          <w:color w:val="000000" w:themeColor="text1"/>
          <w:sz w:val="22"/>
          <w:lang w:val="es-ES_tradnl"/>
        </w:rPr>
        <w:lastRenderedPageBreak/>
        <w:t xml:space="preserve">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57ED8D01" w14:textId="77777777" w:rsidR="001E6A63" w:rsidRPr="00864E72" w:rsidRDefault="001E6A63" w:rsidP="001E6A63">
      <w:pPr>
        <w:spacing w:before="120" w:after="120" w:line="276" w:lineRule="auto"/>
        <w:jc w:val="both"/>
        <w:rPr>
          <w:rFonts w:ascii="Arial" w:eastAsia="Calibri" w:hAnsi="Arial" w:cs="Arial"/>
          <w:color w:val="000000" w:themeColor="text1"/>
          <w:sz w:val="22"/>
          <w:lang w:val="es-ES_tradnl"/>
        </w:rPr>
      </w:pPr>
      <w:r w:rsidRPr="00864E72">
        <w:rPr>
          <w:rFonts w:ascii="Arial" w:eastAsia="Calibri" w:hAnsi="Arial" w:cs="Arial"/>
          <w:color w:val="000000" w:themeColor="text1"/>
          <w:sz w:val="22"/>
          <w:lang w:val="es-ES_tradnl"/>
        </w:rPr>
        <w:tab/>
        <w:t xml:space="preserve">De la norma descrita se concluía lo siguiente: i) la adopción de los documentos tipo estaba en cabeza del Gobierno Nacional. ii) Estos debían relacionarse con procesos de obra públicas, interventoría para las obras públicas, interventoría para consultoría de estudios y diseños y, finalmente, consultoría en ingeniería para obras. iii) Eran de obligatorio cumplimiento por parte de todas las entidades sometidas al Estatuto General de Contratación de la Administración Pública. iv)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Por último, vi) los documentos tipo serían adoptados por categorías de acuerdo con la cuantía de la contratación. </w:t>
      </w:r>
    </w:p>
    <w:p w14:paraId="4F473561" w14:textId="77777777" w:rsidR="001E6A63" w:rsidRPr="00864E72" w:rsidRDefault="001E6A63" w:rsidP="001E6A63">
      <w:pPr>
        <w:spacing w:before="120" w:after="120" w:line="276" w:lineRule="auto"/>
        <w:jc w:val="both"/>
        <w:rPr>
          <w:rFonts w:ascii="Arial" w:eastAsia="Calibri" w:hAnsi="Arial" w:cs="Arial"/>
          <w:color w:val="000000" w:themeColor="text1"/>
          <w:sz w:val="22"/>
          <w:lang w:val="es-ES_tradnl"/>
        </w:rPr>
      </w:pPr>
      <w:r w:rsidRPr="00864E72">
        <w:rPr>
          <w:rFonts w:ascii="Arial" w:eastAsia="Calibri" w:hAnsi="Arial" w:cs="Arial"/>
          <w:color w:val="000000" w:themeColor="text1"/>
          <w:sz w:val="22"/>
          <w:lang w:val="es-ES_tradnl"/>
        </w:rPr>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3" w:name="_Hlk48665985"/>
      <w:r w:rsidRPr="00864E72">
        <w:rPr>
          <w:rFonts w:ascii="Arial" w:eastAsia="Calibri" w:hAnsi="Arial" w:cs="Arial"/>
          <w:color w:val="000000" w:themeColor="text1"/>
          <w:sz w:val="22"/>
          <w:lang w:val="es-ES_tradnl"/>
        </w:rPr>
        <w:t>y los criterios de escogencia, elementos propios del procedimiento de selección del contratista, materia en la que existe reserva de ley y que no se encuentra atribuida a la regulación de las entidades territoriales</w:t>
      </w:r>
      <w:bookmarkEnd w:id="3"/>
      <w:r w:rsidRPr="00864E72">
        <w:rPr>
          <w:rFonts w:ascii="Arial" w:eastAsia="Calibri" w:hAnsi="Arial" w:cs="Arial"/>
          <w:color w:val="000000" w:themeColor="text1"/>
          <w:sz w:val="22"/>
          <w:lang w:val="es-ES_tradnl"/>
        </w:rPr>
        <w:t>. De igual manera, se establece que esta autonomía se garantiza con la identificación autónoma de sus necesidades y la configuración de los elementos del contrato</w:t>
      </w:r>
      <w:r w:rsidRPr="00864E72">
        <w:rPr>
          <w:rStyle w:val="Refdenotaalpie"/>
          <w:rFonts w:ascii="Arial" w:eastAsia="Calibri" w:hAnsi="Arial" w:cs="Arial"/>
          <w:color w:val="000000" w:themeColor="text1"/>
        </w:rPr>
        <w:footnoteReference w:id="5"/>
      </w:r>
      <w:r w:rsidRPr="00864E72">
        <w:rPr>
          <w:rFonts w:ascii="Arial" w:eastAsia="Calibri" w:hAnsi="Arial" w:cs="Arial"/>
          <w:color w:val="000000" w:themeColor="text1"/>
          <w:sz w:val="22"/>
          <w:lang w:val="es-ES_tradnl"/>
        </w:rPr>
        <w:t>.</w:t>
      </w:r>
    </w:p>
    <w:p w14:paraId="79D7B828" w14:textId="77777777" w:rsidR="001E6A63" w:rsidRPr="00864E72" w:rsidRDefault="001E6A63" w:rsidP="001E6A63">
      <w:pPr>
        <w:spacing w:before="120" w:after="120" w:line="276" w:lineRule="auto"/>
        <w:jc w:val="both"/>
        <w:rPr>
          <w:rFonts w:ascii="Arial" w:eastAsia="Calibri" w:hAnsi="Arial" w:cs="Arial"/>
          <w:color w:val="000000" w:themeColor="text1"/>
          <w:sz w:val="22"/>
          <w:lang w:val="es-ES_tradnl"/>
        </w:rPr>
      </w:pPr>
      <w:r w:rsidRPr="00864E72">
        <w:rPr>
          <w:rFonts w:ascii="Arial" w:eastAsia="Calibri" w:hAnsi="Arial" w:cs="Arial"/>
          <w:color w:val="000000" w:themeColor="text1"/>
          <w:sz w:val="22"/>
          <w:lang w:val="es-ES_tradnl"/>
        </w:rPr>
        <w:tab/>
        <w:t xml:space="preserve">De este modo, los documentos tipo no afectan la autonomía de las entidades territoriales. Lo anterior, debido a que la definición de los requisitos habilitantes y de aspectos técnicos de la escogencia del contratista en los Procesos de Contratación, son aspectos en los que el legislador tiene amplia libertad de configuración normativa y, por tanto, puede atribuir dicha regulación al Gobierno Nacional. Ahora, dicha autonomía se materializa cuando las entidades territoriales deciden iniciar una convocatoria para satisfacer sus necesidades para la adquisición de un bien, obra o servicio, y además se </w:t>
      </w:r>
      <w:r w:rsidRPr="00864E72">
        <w:rPr>
          <w:rFonts w:ascii="Arial" w:eastAsia="Calibri" w:hAnsi="Arial" w:cs="Arial"/>
          <w:color w:val="000000" w:themeColor="text1"/>
          <w:sz w:val="22"/>
          <w:lang w:val="es-ES_tradnl"/>
        </w:rPr>
        <w:lastRenderedPageBreak/>
        <w:t>incluyen en la minuta del contrato las condiciones particulares del negocio jurídico a celebrar.</w:t>
      </w:r>
    </w:p>
    <w:p w14:paraId="63C0C247" w14:textId="77777777" w:rsidR="001E6A63" w:rsidRPr="00864E72" w:rsidRDefault="001E6A63" w:rsidP="001E6A63">
      <w:pPr>
        <w:spacing w:before="120" w:after="120" w:line="276" w:lineRule="auto"/>
        <w:jc w:val="both"/>
        <w:rPr>
          <w:rFonts w:ascii="Arial" w:eastAsia="Calibri" w:hAnsi="Arial" w:cs="Arial"/>
          <w:color w:val="000000" w:themeColor="text1"/>
          <w:sz w:val="22"/>
          <w:szCs w:val="22"/>
          <w:lang w:val="es-ES_tradnl" w:eastAsia="en-US"/>
        </w:rPr>
      </w:pPr>
      <w:r w:rsidRPr="00864E72">
        <w:rPr>
          <w:rFonts w:ascii="Arial" w:eastAsia="Calibri" w:hAnsi="Arial" w:cs="Arial"/>
          <w:color w:val="000000" w:themeColor="text1"/>
          <w:sz w:val="22"/>
          <w:szCs w:val="22"/>
          <w:lang w:val="es-ES_tradnl"/>
        </w:rPr>
        <w:tab/>
      </w:r>
      <w:r w:rsidRPr="00864E72">
        <w:rPr>
          <w:rFonts w:ascii="Arial" w:eastAsia="Calibri" w:hAnsi="Arial" w:cs="Arial"/>
          <w:color w:val="000000" w:themeColor="text1"/>
          <w:sz w:val="22"/>
          <w:szCs w:val="22"/>
          <w:lang w:val="es-ES_tradnl" w:eastAsia="en-US"/>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de documentos tipo mediante el Decreto 342 de 2019, relacionado con los documentos tipo para los procesos de selección de licitación de obra pública de infraestructura de transporte. Luego se expidió el Decreto 2096 de 2019, que permitió el desarrollo de los documentos tipo para los pliegos de condiciones de los procesos de obras públicas de infraestructura de transporte que se adelantaran por la modalidad de selección abreviada de menor cuantía. </w:t>
      </w:r>
    </w:p>
    <w:p w14:paraId="74E9FF6C" w14:textId="77777777" w:rsidR="001E6A63" w:rsidRPr="00864E72" w:rsidRDefault="001E6A63" w:rsidP="001E6A63">
      <w:pPr>
        <w:spacing w:before="120" w:after="120" w:line="276" w:lineRule="auto"/>
        <w:ind w:firstLine="708"/>
        <w:jc w:val="both"/>
        <w:rPr>
          <w:rFonts w:ascii="Arial" w:eastAsia="Calibri" w:hAnsi="Arial" w:cs="Arial"/>
          <w:color w:val="000000" w:themeColor="text1"/>
          <w:sz w:val="22"/>
          <w:szCs w:val="22"/>
          <w:lang w:val="es-ES_tradnl"/>
        </w:rPr>
      </w:pPr>
      <w:r w:rsidRPr="00864E72">
        <w:rPr>
          <w:rFonts w:ascii="Arial" w:eastAsia="Calibri" w:hAnsi="Arial" w:cs="Arial"/>
          <w:color w:val="000000" w:themeColor="text1"/>
          <w:sz w:val="22"/>
          <w:szCs w:val="22"/>
          <w:lang w:val="es-ES_tradnl" w:eastAsia="en-US"/>
        </w:rPr>
        <w:t>Finalmente, se profirió el Decreto 594 de 2020, frente a los documentos tipo para los contratos de obra pública</w:t>
      </w:r>
      <w:r w:rsidRPr="00864E72" w:rsidDel="00A434AB">
        <w:rPr>
          <w:rFonts w:ascii="Arial" w:eastAsia="Calibri" w:hAnsi="Arial" w:cs="Arial"/>
          <w:color w:val="000000" w:themeColor="text1"/>
          <w:sz w:val="22"/>
          <w:szCs w:val="22"/>
          <w:lang w:val="es-ES_tradnl" w:eastAsia="en-US"/>
        </w:rPr>
        <w:t xml:space="preserve"> </w:t>
      </w:r>
      <w:r w:rsidRPr="00864E72">
        <w:rPr>
          <w:rFonts w:ascii="Arial" w:eastAsia="Calibri" w:hAnsi="Arial" w:cs="Arial"/>
          <w:color w:val="000000" w:themeColor="text1"/>
          <w:sz w:val="22"/>
          <w:szCs w:val="22"/>
          <w:lang w:val="es-ES_tradnl" w:eastAsia="en-US"/>
        </w:rPr>
        <w:t xml:space="preserve">de infraestructura de transporte que se surtieran por la modalidad de mínima cuantía. Estos documentos fueron implementados y desarrollados por la Agencia Nacional de Contratación Pública </w:t>
      </w:r>
      <w:bookmarkStart w:id="4" w:name="_Hlk37841850"/>
      <w:r w:rsidRPr="00864E72">
        <w:rPr>
          <w:rFonts w:ascii="Arial" w:eastAsia="Calibri" w:hAnsi="Arial" w:cs="Arial"/>
          <w:color w:val="000000" w:themeColor="text1"/>
          <w:sz w:val="22"/>
          <w:szCs w:val="22"/>
          <w:lang w:val="es-ES_tradnl" w:eastAsia="en-US"/>
        </w:rPr>
        <w:t xml:space="preserve">– Colombia Compra Eficiente, </w:t>
      </w:r>
      <w:bookmarkEnd w:id="4"/>
      <w:r w:rsidRPr="00864E72">
        <w:rPr>
          <w:rFonts w:ascii="Arial" w:eastAsia="Calibri" w:hAnsi="Arial" w:cs="Arial"/>
          <w:color w:val="000000" w:themeColor="text1"/>
          <w:sz w:val="22"/>
          <w:szCs w:val="22"/>
          <w:lang w:val="es-ES_tradnl" w:eastAsia="en-US"/>
        </w:rPr>
        <w:t>por medio de la Resolución 1798 de 2019 –derogada por la Resolución 045 de 2020–, la Resolución 044 de 2020 y la Resolución 094 de 2020.</w:t>
      </w:r>
    </w:p>
    <w:p w14:paraId="4FF8C613" w14:textId="77777777" w:rsidR="001E6A63" w:rsidRPr="00864E72" w:rsidRDefault="001E6A63" w:rsidP="001E6A63">
      <w:pPr>
        <w:pStyle w:val="Normal11pt"/>
        <w:spacing w:before="120" w:line="276" w:lineRule="auto"/>
        <w:ind w:left="0" w:firstLine="709"/>
        <w:rPr>
          <w:rFonts w:eastAsia="Calibri"/>
          <w:color w:val="000000" w:themeColor="text1"/>
        </w:rPr>
      </w:pPr>
      <w:r w:rsidRPr="00864E72">
        <w:rPr>
          <w:rFonts w:eastAsia="Calibri"/>
          <w:color w:val="000000" w:themeColor="text1"/>
        </w:rPr>
        <w:t>Con posterioridad a la adopción de los anteriores documentos tipo, se expidió la Ley 2022 de 2020, norma que modificó el parágrafo 7 del artículo 2 de la Ley 1150 de 2007, que había sido adicionado por la Ley 1882 de 2018</w:t>
      </w:r>
      <w:r w:rsidRPr="00864E72">
        <w:rPr>
          <w:rStyle w:val="Refdenotaalpie"/>
          <w:rFonts w:eastAsia="Calibri"/>
          <w:color w:val="000000" w:themeColor="text1"/>
        </w:rPr>
        <w:footnoteReference w:id="6"/>
      </w:r>
      <w:r w:rsidRPr="00864E72">
        <w:rPr>
          <w:rFonts w:eastAsia="Calibri"/>
          <w:color w:val="000000" w:themeColor="text1"/>
        </w:rPr>
        <w:t xml:space="preserve">. Con esta modificación, si bien se </w:t>
      </w:r>
      <w:r w:rsidRPr="00864E72">
        <w:rPr>
          <w:rFonts w:eastAsia="Calibri"/>
          <w:color w:val="000000" w:themeColor="text1"/>
        </w:rPr>
        <w:lastRenderedPageBreak/>
        <w:t xml:space="preserve">mantuvo el mandato de aplicación obligatoria de los documentos tipo por parte de las entidades sometidas al Estatuto General de Contratación de la Administración Pública, se atribuyó, específicamente, a la </w:t>
      </w:r>
      <w:r w:rsidRPr="00864E72">
        <w:rPr>
          <w:rFonts w:eastAsia="Calibri"/>
          <w:color w:val="000000" w:themeColor="text1"/>
          <w:lang w:eastAsia="en-US"/>
        </w:rPr>
        <w:t xml:space="preserve">Agencia Nacional de Contratación Pública – Colombia Compra Eficiente la competencia para su adopción. </w:t>
      </w:r>
      <w:r w:rsidRPr="00864E72">
        <w:rPr>
          <w:rFonts w:eastAsia="Calibri"/>
          <w:color w:val="000000" w:themeColor="text1"/>
        </w:rPr>
        <w:t xml:space="preserve">En este marco, con la finalidad de realizar un desarrollo armónico y ajustado a la ley que otorgó esta competencia, esta Agencia emitió la Resolución 160 de 2020 «Por la cual se adopta el procedimiento para implementar los documentos tipo y se define el sistema para su revisión». Asimismo, con fundamento en dicha Ley, se profirió la Resolución 240 de 2020, «Por la cual se actualizan los Documentos Tipo para los procesos de selección de licitación de obra pública de infraestructura de transporte y se deroga la Resolución 0045 de 2020». </w:t>
      </w:r>
    </w:p>
    <w:p w14:paraId="15D399DA" w14:textId="77777777" w:rsidR="001E6A63" w:rsidRPr="00864E72" w:rsidRDefault="001E6A63" w:rsidP="001E6A63">
      <w:pPr>
        <w:pStyle w:val="Normal11pt"/>
        <w:spacing w:before="120" w:line="276" w:lineRule="auto"/>
        <w:ind w:left="0" w:firstLine="709"/>
        <w:rPr>
          <w:rFonts w:eastAsia="Calibri"/>
          <w:color w:val="000000" w:themeColor="text1"/>
        </w:rPr>
      </w:pPr>
      <w:r w:rsidRPr="00864E72">
        <w:rPr>
          <w:rFonts w:eastAsia="Calibri"/>
          <w:color w:val="000000" w:themeColor="text1"/>
        </w:rPr>
        <w:t xml:space="preserve">De igual manera, se expidió la Resolución 241 de 2020, «Por la cual se actualizan los Documentos Tipo para los procesos de selección abreviada de menor cuantía de obra pública de infraestructura de transporte y se deroga la Resolución 0044 de 2020». Adicionalmente, </w:t>
      </w:r>
      <w:proofErr w:type="gramStart"/>
      <w:r w:rsidRPr="00864E72">
        <w:rPr>
          <w:rFonts w:eastAsia="Calibri"/>
          <w:color w:val="000000" w:themeColor="text1"/>
        </w:rPr>
        <w:t>entró en vigencia</w:t>
      </w:r>
      <w:proofErr w:type="gramEnd"/>
      <w:r w:rsidRPr="00864E72">
        <w:rPr>
          <w:rFonts w:eastAsia="Calibri"/>
          <w:color w:val="000000" w:themeColor="text1"/>
        </w:rPr>
        <w:t xml:space="preserve">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71C1F697" w14:textId="77777777" w:rsidR="001E6A63" w:rsidRPr="00864E72" w:rsidRDefault="001E6A63" w:rsidP="001E6A63">
      <w:pPr>
        <w:pStyle w:val="Normal11pt"/>
        <w:spacing w:before="120" w:line="276" w:lineRule="auto"/>
        <w:ind w:left="0" w:firstLine="709"/>
        <w:rPr>
          <w:color w:val="000000" w:themeColor="text1"/>
        </w:rPr>
      </w:pPr>
      <w:r w:rsidRPr="00864E72">
        <w:rPr>
          <w:rFonts w:eastAsia="Calibri"/>
          <w:color w:val="000000" w:themeColor="text1"/>
        </w:rPr>
        <w:t xml:space="preserve">A los actos administrativos mencionados se suman: i) la Resolución 193 de 2021, </w:t>
      </w:r>
      <w:r w:rsidRPr="00864E72">
        <w:rPr>
          <w:color w:val="000000" w:themeColor="text1"/>
        </w:rPr>
        <w:t>«Por la cual se adoptan los documentos tipo para los procesos de selección de concurso de méritos, para contratar la consultoría de estudios de ingeniería de infraestructura de transporte»,</w:t>
      </w:r>
      <w:r w:rsidRPr="00864E72">
        <w:rPr>
          <w:rFonts w:eastAsia="Calibri"/>
          <w:color w:val="000000" w:themeColor="text1"/>
        </w:rPr>
        <w:t xml:space="preserve"> ii) la Resolución 219 de 2020,</w:t>
      </w:r>
      <w:r w:rsidRPr="00864E72">
        <w:rPr>
          <w:color w:val="000000" w:themeColor="text1"/>
        </w:rPr>
        <w:t xml:space="preserve"> «Por la cual se adoptan los documentos tipo para los procesos de licitación de obra pública de infraestructura social», iii) la Resolución 220 de 2021, «Por la cual se adoptan los documentos tipo complementarios para los procesos de licitación de obra pública de infraestructura social relacionados con el sector educativo», iv) la Resolución 392 de 2021, «Por la cual se adoptan los documentos tipo complementarios para los procesos de licitación de obra pública de infraestructura social relacionados con el sector salud», y v) la Resolución 454 de 2021, «Por la cual se adoptan los documentos tipo complementarios para los procesos de licitación de obra pública de infraestructura social relacionados con el sector cultura, recreación y deporte». </w:t>
      </w:r>
    </w:p>
    <w:p w14:paraId="391DFA1D" w14:textId="77777777" w:rsidR="001E6A63" w:rsidRPr="00864E72" w:rsidRDefault="001E6A63" w:rsidP="001E6A63">
      <w:pPr>
        <w:pStyle w:val="Normal11pt"/>
        <w:spacing w:before="120" w:after="120" w:line="276" w:lineRule="auto"/>
        <w:ind w:left="0" w:firstLine="709"/>
        <w:rPr>
          <w:color w:val="000000" w:themeColor="text1"/>
        </w:rPr>
      </w:pPr>
      <w:r w:rsidRPr="00864E72">
        <w:rPr>
          <w:color w:val="000000" w:themeColor="text1"/>
        </w:rPr>
        <w:lastRenderedPageBreak/>
        <w:t xml:space="preserve">En cuanto al ámbito de aplicación de estos documentos, es preciso explicar que cada una de estas resoluciones está relacionada con un sector, un objeto contractual y una modalidad de selección específica. Esto de tal manera que las entidades estatales regidas por el Estatuto General de Contratación de la Administración Pública, al momento de adelantar un proceso de contratación asociado a uno de los sectores para los que se han implementado documentos tipo, deben consultar el contenido de los respectivos documentos tipo, para determinar si la modalidad de escogencia y el objeto a contratar son o no subsumibles dentro de lo dispuesto en aquellos. De ser esto así, la entidad estará obligada a adelantar el proceso de contratación aplicando los documentos tipo del caso. </w:t>
      </w:r>
    </w:p>
    <w:p w14:paraId="4E10FCBB" w14:textId="77777777" w:rsidR="001E6A63" w:rsidRPr="00864E72" w:rsidRDefault="001E6A63" w:rsidP="001E6A63">
      <w:pPr>
        <w:spacing w:line="276" w:lineRule="auto"/>
        <w:ind w:firstLine="708"/>
        <w:jc w:val="both"/>
        <w:rPr>
          <w:rFonts w:ascii="Arial" w:hAnsi="Arial" w:cs="Arial"/>
          <w:color w:val="000000" w:themeColor="text1"/>
          <w:sz w:val="22"/>
          <w:shd w:val="clear" w:color="auto" w:fill="FFFFFF"/>
          <w:lang w:val="es-ES_tradnl"/>
        </w:rPr>
      </w:pPr>
      <w:r w:rsidRPr="00864E72">
        <w:rPr>
          <w:rFonts w:ascii="Arial" w:hAnsi="Arial" w:cs="Arial"/>
          <w:color w:val="000000" w:themeColor="text1"/>
          <w:sz w:val="22"/>
          <w:shd w:val="clear" w:color="auto" w:fill="FFFFFF"/>
          <w:lang w:val="es-ES_tradnl"/>
        </w:rPr>
        <w:t xml:space="preserve">Es importante advertir que todas las resoluciones mediante las que se han adoptado documentos tipo consagran la regla de la inalterabilidad. Esta prohibición consiste en que las entidades estatales no pueden incluir o modificar en los </w:t>
      </w:r>
      <w:r w:rsidRPr="00864E72">
        <w:rPr>
          <w:rFonts w:ascii="Arial" w:hAnsi="Arial" w:cs="Arial"/>
          <w:i/>
          <w:iCs/>
          <w:color w:val="000000" w:themeColor="text1"/>
          <w:sz w:val="22"/>
          <w:shd w:val="clear" w:color="auto" w:fill="FFFFFF"/>
          <w:lang w:val="es-ES_tradnl"/>
        </w:rPr>
        <w:t>Documentos del Proceso</w:t>
      </w:r>
      <w:r w:rsidRPr="00864E72">
        <w:rPr>
          <w:rFonts w:ascii="Arial" w:hAnsi="Arial" w:cs="Arial"/>
          <w:color w:val="000000" w:themeColor="text1"/>
          <w:sz w:val="22"/>
          <w:shd w:val="clear" w:color="auto" w:fill="FFFFFF"/>
          <w:lang w:val="es-ES_tradnl"/>
        </w:rPr>
        <w:t xml:space="preserve"> los requisitos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7CBC75BC" w14:textId="77777777" w:rsidR="001E6A63" w:rsidRPr="00864E72" w:rsidRDefault="001E6A63" w:rsidP="001E6A63">
      <w:pPr>
        <w:pStyle w:val="Normal11pt"/>
        <w:spacing w:before="120" w:line="276" w:lineRule="auto"/>
        <w:ind w:left="0" w:firstLine="709"/>
        <w:rPr>
          <w:rFonts w:eastAsia="Calibri"/>
          <w:color w:val="000000" w:themeColor="text1"/>
          <w:lang w:eastAsia="en-US"/>
        </w:rPr>
      </w:pPr>
      <w:r w:rsidRPr="00864E72">
        <w:rPr>
          <w:rFonts w:eastAsia="Calibri"/>
          <w:color w:val="000000" w:themeColor="text1"/>
        </w:rPr>
        <w:t>Por último, cabe aclarar que la Agencia Nacional de Contratación Pública sigue avanzando en nuevos documentos tipo. Sin embargo, debe tenerse en cuenta que estos exigen un minucioso desarrollo en el cual se consideran las observaciones de las entidades técnicas y especializadas con la finalidad de adoptar documentos tipo que contengan las mejores prácticas contractuales que procuren el adecuado desarrollo de los principios que rigen la contratación pública.</w:t>
      </w:r>
    </w:p>
    <w:p w14:paraId="77C3C996" w14:textId="77777777" w:rsidR="00B67CED" w:rsidRPr="00864E72" w:rsidRDefault="00B67CED" w:rsidP="009753C3">
      <w:pPr>
        <w:tabs>
          <w:tab w:val="left" w:pos="0"/>
        </w:tabs>
        <w:spacing w:line="276" w:lineRule="auto"/>
        <w:jc w:val="both"/>
        <w:rPr>
          <w:rFonts w:ascii="Arial" w:eastAsia="Calibri" w:hAnsi="Arial" w:cs="Arial"/>
          <w:b/>
          <w:color w:val="000000" w:themeColor="text1"/>
          <w:sz w:val="22"/>
          <w:lang w:val="es-ES_tradnl"/>
        </w:rPr>
      </w:pPr>
    </w:p>
    <w:p w14:paraId="738A1821" w14:textId="24C6AB3A" w:rsidR="00387440" w:rsidRPr="00864E72" w:rsidRDefault="00387440" w:rsidP="009753C3">
      <w:pPr>
        <w:tabs>
          <w:tab w:val="left" w:pos="0"/>
        </w:tabs>
        <w:spacing w:line="276" w:lineRule="auto"/>
        <w:jc w:val="both"/>
        <w:rPr>
          <w:rFonts w:ascii="Arial" w:eastAsia="Calibri" w:hAnsi="Arial" w:cs="Arial"/>
          <w:b/>
          <w:color w:val="000000" w:themeColor="text1"/>
          <w:sz w:val="22"/>
          <w:lang w:val="es-ES_tradnl"/>
        </w:rPr>
      </w:pPr>
      <w:r w:rsidRPr="00864E72">
        <w:rPr>
          <w:rFonts w:ascii="Arial" w:eastAsia="Calibri" w:hAnsi="Arial" w:cs="Arial"/>
          <w:b/>
          <w:color w:val="000000" w:themeColor="text1"/>
          <w:sz w:val="22"/>
          <w:lang w:val="es-ES_tradnl"/>
        </w:rPr>
        <w:t xml:space="preserve">2.2. </w:t>
      </w:r>
      <w:r w:rsidR="001E6A63" w:rsidRPr="00864E72">
        <w:rPr>
          <w:rFonts w:ascii="Arial" w:eastAsia="Calibri" w:hAnsi="Arial" w:cs="Arial"/>
          <w:b/>
          <w:color w:val="000000" w:themeColor="text1"/>
          <w:sz w:val="22"/>
          <w:lang w:val="es-ES_tradnl"/>
        </w:rPr>
        <w:t>Análisis del artículo 56 de la Ley 2195 de 2022. Aplicación obligatoria del Estatuto General de Contratación de la Administración Pública y de los documentos tipo en la contratación de las entidades estatales exceptuadas y de los particulares</w:t>
      </w:r>
    </w:p>
    <w:p w14:paraId="74A38F62" w14:textId="77777777" w:rsidR="001E6A63" w:rsidRPr="00864E72" w:rsidRDefault="001E6A63" w:rsidP="009753C3">
      <w:pPr>
        <w:tabs>
          <w:tab w:val="left" w:pos="0"/>
        </w:tabs>
        <w:spacing w:line="276" w:lineRule="auto"/>
        <w:jc w:val="both"/>
        <w:rPr>
          <w:rFonts w:ascii="Arial" w:eastAsia="Calibri" w:hAnsi="Arial" w:cs="Arial"/>
          <w:b/>
          <w:color w:val="000000" w:themeColor="text1"/>
          <w:sz w:val="22"/>
          <w:lang w:val="es-ES_tradnl"/>
        </w:rPr>
      </w:pPr>
    </w:p>
    <w:p w14:paraId="7DBA78C9" w14:textId="77777777" w:rsidR="00BB3CBE" w:rsidRPr="00864E72" w:rsidRDefault="00BB3CBE" w:rsidP="00BB3CBE">
      <w:pPr>
        <w:tabs>
          <w:tab w:val="left" w:pos="0"/>
        </w:tabs>
        <w:spacing w:after="120" w:line="276" w:lineRule="auto"/>
        <w:jc w:val="both"/>
        <w:rPr>
          <w:rFonts w:ascii="Arial" w:eastAsia="Calibri" w:hAnsi="Arial" w:cs="Arial"/>
          <w:bCs/>
          <w:color w:val="000000" w:themeColor="text1"/>
          <w:sz w:val="22"/>
          <w:lang w:val="es-ES_tradnl"/>
        </w:rPr>
      </w:pPr>
      <w:r w:rsidRPr="00864E72">
        <w:rPr>
          <w:rFonts w:ascii="Arial" w:eastAsia="Calibri" w:hAnsi="Arial" w:cs="Arial"/>
          <w:bCs/>
          <w:color w:val="000000" w:themeColor="text1"/>
          <w:sz w:val="22"/>
          <w:lang w:val="es-ES_tradnl"/>
        </w:rPr>
        <w:t xml:space="preserve">Conforme se explicó en el acápite anterior, en virtud de la Ley 2022 de 2020, los documentos tipo expedidos por la Agencia Nacional de Contratación Pública son de aplicación obligatoria para las entidades estatales sometidas al Estatuto General de Contratación de la Administración Pública. En ese sentido, el contenido normativo de la Ley 2022 de 2020, y en su momento también la Ley 1882 de 2018 excluían del ámbito de aplicación de los documentos tipo la contratación de entidades estatales de régimen exceptuado, por lo general, sujetas al derecho privado. </w:t>
      </w:r>
    </w:p>
    <w:p w14:paraId="75B8A60F" w14:textId="77777777" w:rsidR="00BB3CBE" w:rsidRPr="00864E72" w:rsidRDefault="00BB3CBE" w:rsidP="00BB3CBE">
      <w:pPr>
        <w:tabs>
          <w:tab w:val="left" w:pos="0"/>
        </w:tabs>
        <w:spacing w:after="120" w:line="276" w:lineRule="auto"/>
        <w:jc w:val="both"/>
        <w:rPr>
          <w:rFonts w:ascii="Arial" w:eastAsia="Calibri" w:hAnsi="Arial" w:cs="Arial"/>
          <w:bCs/>
          <w:color w:val="000000" w:themeColor="text1"/>
          <w:sz w:val="22"/>
          <w:lang w:val="es-ES_tradnl"/>
        </w:rPr>
      </w:pPr>
      <w:r w:rsidRPr="00864E72">
        <w:rPr>
          <w:rFonts w:ascii="Arial" w:eastAsia="Calibri" w:hAnsi="Arial" w:cs="Arial"/>
          <w:b/>
          <w:color w:val="000000" w:themeColor="text1"/>
          <w:sz w:val="22"/>
          <w:lang w:val="es-ES_tradnl"/>
        </w:rPr>
        <w:tab/>
      </w:r>
      <w:r w:rsidRPr="00864E72">
        <w:rPr>
          <w:rFonts w:ascii="Arial" w:eastAsia="Calibri" w:hAnsi="Arial" w:cs="Arial"/>
          <w:bCs/>
          <w:color w:val="000000" w:themeColor="text1"/>
          <w:sz w:val="22"/>
          <w:lang w:val="es-ES_tradnl"/>
        </w:rPr>
        <w:t xml:space="preserve">No obstante, este panorama ha variado con la reciente expedición de la Ley 2195 de 2022, «Por medio de la cual se adoptan medidas en materia de transparencia, </w:t>
      </w:r>
      <w:r w:rsidRPr="00864E72">
        <w:rPr>
          <w:rFonts w:ascii="Arial" w:eastAsia="Calibri" w:hAnsi="Arial" w:cs="Arial"/>
          <w:bCs/>
          <w:color w:val="000000" w:themeColor="text1"/>
          <w:sz w:val="22"/>
          <w:lang w:val="es-ES_tradnl"/>
        </w:rPr>
        <w:lastRenderedPageBreak/>
        <w:t xml:space="preserve">prevención y lucha contra la corrupción y se dictan otras disposiciones». De conformidad con su artículo 1, esta norma tiene por objeto la adopción de diferentes medidas tendientes a prevenir los actos de corrupción, reforzar la articulación de las entidades del Estado y a recuperar los daños ocasionados por la corrupción, promoviendo la cultura de la legalidad e integridad. </w:t>
      </w:r>
    </w:p>
    <w:p w14:paraId="47C79525" w14:textId="77777777" w:rsidR="00BB3CBE" w:rsidRPr="00864E72" w:rsidRDefault="00BB3CBE" w:rsidP="00BB3CBE">
      <w:pPr>
        <w:tabs>
          <w:tab w:val="left" w:pos="0"/>
        </w:tabs>
        <w:spacing w:line="276" w:lineRule="auto"/>
        <w:jc w:val="both"/>
        <w:rPr>
          <w:rFonts w:ascii="Arial" w:eastAsia="Calibri" w:hAnsi="Arial" w:cs="Arial"/>
          <w:bCs/>
          <w:color w:val="000000" w:themeColor="text1"/>
          <w:sz w:val="22"/>
          <w:lang w:val="es-ES_tradnl"/>
        </w:rPr>
      </w:pPr>
      <w:r w:rsidRPr="00864E72">
        <w:rPr>
          <w:rFonts w:ascii="Arial" w:eastAsia="Calibri" w:hAnsi="Arial" w:cs="Arial"/>
          <w:bCs/>
          <w:color w:val="000000" w:themeColor="text1"/>
          <w:sz w:val="22"/>
          <w:lang w:val="es-ES_tradnl"/>
        </w:rPr>
        <w:tab/>
        <w:t>Entre las medidas adoptadas por la Ley mencionada se destaca el artículo 56, norma sobre la que versa la presente consulta. Esta disposición se refiere de manera expresa a los documentos tipo y a su aplicabilidad a sujetos diferentes de las entidades estatales sometidas al Estatuto General de Contratación de la Administración Pública. El tenor literal de este precepto prescribe lo siguiente:</w:t>
      </w:r>
    </w:p>
    <w:p w14:paraId="4EB1847B" w14:textId="77777777" w:rsidR="00BB3CBE" w:rsidRPr="00864E72" w:rsidRDefault="00BB3CBE" w:rsidP="00BB3CBE">
      <w:pPr>
        <w:tabs>
          <w:tab w:val="left" w:pos="0"/>
        </w:tabs>
        <w:spacing w:line="276" w:lineRule="auto"/>
        <w:jc w:val="both"/>
        <w:rPr>
          <w:rFonts w:ascii="Arial" w:eastAsia="Calibri" w:hAnsi="Arial" w:cs="Arial"/>
          <w:bCs/>
          <w:color w:val="000000" w:themeColor="text1"/>
          <w:sz w:val="22"/>
          <w:lang w:val="es-ES_tradnl"/>
        </w:rPr>
      </w:pPr>
    </w:p>
    <w:p w14:paraId="0B344CEF" w14:textId="77777777" w:rsidR="00BB3CBE" w:rsidRPr="00864E72" w:rsidRDefault="00BB3CBE" w:rsidP="00BB3CBE">
      <w:pPr>
        <w:tabs>
          <w:tab w:val="left" w:pos="0"/>
        </w:tabs>
        <w:ind w:left="709" w:right="709"/>
        <w:jc w:val="both"/>
        <w:rPr>
          <w:rFonts w:ascii="Arial" w:hAnsi="Arial" w:cs="Arial"/>
          <w:color w:val="000000" w:themeColor="text1"/>
          <w:sz w:val="21"/>
          <w:szCs w:val="21"/>
          <w:lang w:val="es-ES_tradnl"/>
        </w:rPr>
      </w:pPr>
      <w:r w:rsidRPr="00864E72">
        <w:rPr>
          <w:rFonts w:ascii="Arial" w:hAnsi="Arial" w:cs="Arial"/>
          <w:color w:val="000000" w:themeColor="text1"/>
          <w:sz w:val="21"/>
          <w:szCs w:val="21"/>
          <w:lang w:val="es-ES_tradnl"/>
        </w:rPr>
        <w:t xml:space="preserve">Artículo 56. Aplicación de los documentos tipo a entidades de régimen especial. 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 </w:t>
      </w:r>
    </w:p>
    <w:p w14:paraId="70783607" w14:textId="77777777" w:rsidR="00BB3CBE" w:rsidRPr="00864E72" w:rsidRDefault="00BB3CBE" w:rsidP="00BB3CBE">
      <w:pPr>
        <w:tabs>
          <w:tab w:val="left" w:pos="0"/>
        </w:tabs>
        <w:ind w:left="709" w:right="709"/>
        <w:jc w:val="both"/>
        <w:rPr>
          <w:rFonts w:ascii="Arial" w:hAnsi="Arial" w:cs="Arial"/>
          <w:color w:val="000000" w:themeColor="text1"/>
          <w:sz w:val="21"/>
          <w:szCs w:val="21"/>
          <w:lang w:val="es-ES_tradnl"/>
        </w:rPr>
      </w:pPr>
    </w:p>
    <w:p w14:paraId="4EBD9624" w14:textId="77777777" w:rsidR="00BB3CBE" w:rsidRPr="00864E72" w:rsidRDefault="00BB3CBE" w:rsidP="00BB3CBE">
      <w:pPr>
        <w:tabs>
          <w:tab w:val="left" w:pos="0"/>
        </w:tabs>
        <w:ind w:left="709" w:right="709"/>
        <w:jc w:val="both"/>
        <w:rPr>
          <w:rFonts w:ascii="Arial" w:hAnsi="Arial" w:cs="Arial"/>
          <w:color w:val="000000" w:themeColor="text1"/>
          <w:sz w:val="21"/>
          <w:szCs w:val="21"/>
          <w:lang w:val="es-ES_tradnl"/>
        </w:rPr>
      </w:pPr>
      <w:r w:rsidRPr="00864E72">
        <w:rPr>
          <w:rFonts w:ascii="Arial" w:hAnsi="Arial" w:cs="Arial"/>
          <w:color w:val="000000" w:themeColor="text1"/>
          <w:sz w:val="21"/>
          <w:szCs w:val="21"/>
          <w:lang w:val="es-ES_tradnl"/>
        </w:rPr>
        <w:t xml:space="preserve">Los procedimientos de selección y los contratos que realicen en desarrollo de los anteriores negocios jurídicos, donde apliquen los documentos tipo se regirán por el Estatuto General de Contratación de la Administración Pública. </w:t>
      </w:r>
    </w:p>
    <w:p w14:paraId="5A35B69F" w14:textId="77777777" w:rsidR="00BB3CBE" w:rsidRPr="00864E72" w:rsidRDefault="00BB3CBE" w:rsidP="00BB3CBE">
      <w:pPr>
        <w:tabs>
          <w:tab w:val="left" w:pos="0"/>
        </w:tabs>
        <w:ind w:left="709" w:right="709"/>
        <w:jc w:val="both"/>
        <w:rPr>
          <w:rFonts w:ascii="Arial" w:hAnsi="Arial" w:cs="Arial"/>
          <w:color w:val="000000" w:themeColor="text1"/>
          <w:sz w:val="21"/>
          <w:szCs w:val="21"/>
          <w:lang w:val="es-ES_tradnl"/>
        </w:rPr>
      </w:pPr>
    </w:p>
    <w:p w14:paraId="59ABDFE8" w14:textId="4D084DAB" w:rsidR="00BB3CBE" w:rsidRPr="00864E72" w:rsidRDefault="00BB3CBE" w:rsidP="00BB3CBE">
      <w:pPr>
        <w:tabs>
          <w:tab w:val="left" w:pos="0"/>
        </w:tabs>
        <w:ind w:left="709" w:right="709"/>
        <w:jc w:val="both"/>
        <w:rPr>
          <w:rFonts w:ascii="Arial" w:eastAsia="Calibri" w:hAnsi="Arial" w:cs="Arial"/>
          <w:bCs/>
          <w:color w:val="000000" w:themeColor="text1"/>
          <w:sz w:val="21"/>
          <w:szCs w:val="21"/>
          <w:lang w:val="es-ES_tradnl"/>
        </w:rPr>
      </w:pPr>
      <w:r w:rsidRPr="00864E72">
        <w:rPr>
          <w:rFonts w:ascii="Arial" w:hAnsi="Arial" w:cs="Arial"/>
          <w:color w:val="000000" w:themeColor="text1"/>
          <w:sz w:val="21"/>
          <w:szCs w:val="21"/>
          <w:lang w:val="es-ES_tradnl"/>
        </w:rPr>
        <w:t xml:space="preserve">Parágrafo. Se exceptúan del presente artículo las Instituciones de Educación Superior públicas, las empresas sociales del Estado, las sociedades de economía mixta y las empresas industriales y comerciales del Estado, únicamente en cuanto a la contratación de su giro ordinario. En estos casos, en los manuales de contratación de estas entidades, se fomentará como buena práctica la aplicación de los pliegos tipo. </w:t>
      </w:r>
    </w:p>
    <w:p w14:paraId="31B9A192" w14:textId="77777777" w:rsidR="00BB3CBE" w:rsidRPr="00864E72" w:rsidRDefault="00BB3CBE" w:rsidP="00BB3CBE">
      <w:pPr>
        <w:tabs>
          <w:tab w:val="left" w:pos="0"/>
        </w:tabs>
        <w:spacing w:line="276" w:lineRule="auto"/>
        <w:jc w:val="both"/>
        <w:rPr>
          <w:rFonts w:ascii="Arial" w:eastAsia="Calibri" w:hAnsi="Arial" w:cs="Arial"/>
          <w:bCs/>
          <w:color w:val="000000" w:themeColor="text1"/>
          <w:sz w:val="22"/>
          <w:lang w:val="es-ES_tradnl"/>
        </w:rPr>
      </w:pPr>
    </w:p>
    <w:p w14:paraId="39783329" w14:textId="77777777" w:rsidR="00BB3CBE" w:rsidRPr="00864E72" w:rsidRDefault="00BB3CBE" w:rsidP="00BB3CBE">
      <w:pPr>
        <w:tabs>
          <w:tab w:val="left" w:pos="0"/>
        </w:tabs>
        <w:spacing w:line="276" w:lineRule="auto"/>
        <w:jc w:val="both"/>
        <w:rPr>
          <w:rFonts w:ascii="Arial" w:eastAsia="Calibri" w:hAnsi="Arial" w:cs="Arial"/>
          <w:bCs/>
          <w:color w:val="000000" w:themeColor="text1"/>
          <w:sz w:val="22"/>
          <w:lang w:val="es-ES_tradnl"/>
        </w:rPr>
      </w:pPr>
      <w:r w:rsidRPr="00864E72">
        <w:rPr>
          <w:rFonts w:ascii="Arial" w:eastAsia="Calibri" w:hAnsi="Arial" w:cs="Arial"/>
          <w:bCs/>
          <w:color w:val="000000" w:themeColor="text1"/>
          <w:sz w:val="22"/>
          <w:lang w:val="es-ES_tradnl"/>
        </w:rPr>
        <w:tab/>
        <w:t xml:space="preserve">Las implicaciones de lo establecido en esta norma son variadas y se presentan en múltiples ámbitos de la actividad contractual de las entidades estatales, que como consecuencia de la entrada en vigor de la disposición en cita, ven alterado su régimen jurídico. Es por esto por lo que una interpretación adecuada de esta disposición, orientada a establecer con precisión el alcance de sus efectos, exige detenerse sobre ciertos aspectos que, a juicio de esta Agencia, resulta indispensable analizar para la comprensión de la norma materia de consulta, los cuales se desarrollan a continuación.     </w:t>
      </w:r>
    </w:p>
    <w:p w14:paraId="534F6C8F" w14:textId="77777777" w:rsidR="00BB3CBE" w:rsidRPr="00864E72" w:rsidRDefault="00BB3CBE" w:rsidP="00BB3CBE">
      <w:pPr>
        <w:tabs>
          <w:tab w:val="left" w:pos="0"/>
        </w:tabs>
        <w:spacing w:line="276" w:lineRule="auto"/>
        <w:jc w:val="both"/>
        <w:rPr>
          <w:rFonts w:ascii="Arial" w:eastAsia="Calibri" w:hAnsi="Arial" w:cs="Arial"/>
          <w:b/>
          <w:color w:val="000000" w:themeColor="text1"/>
          <w:sz w:val="22"/>
          <w:lang w:val="es-ES_tradnl"/>
        </w:rPr>
      </w:pPr>
    </w:p>
    <w:p w14:paraId="29047A6D" w14:textId="15DC47CA" w:rsidR="00BB3CBE" w:rsidRPr="00864E72" w:rsidRDefault="00BB3CBE" w:rsidP="002B1478">
      <w:pPr>
        <w:tabs>
          <w:tab w:val="left" w:pos="426"/>
        </w:tabs>
        <w:spacing w:line="276" w:lineRule="auto"/>
        <w:jc w:val="both"/>
        <w:rPr>
          <w:rFonts w:ascii="Arial" w:eastAsia="Calibri" w:hAnsi="Arial" w:cs="Arial"/>
          <w:b/>
          <w:color w:val="000000" w:themeColor="text1"/>
          <w:sz w:val="22"/>
          <w:lang w:val="es-ES_tradnl"/>
        </w:rPr>
      </w:pPr>
      <w:r w:rsidRPr="00864E72">
        <w:rPr>
          <w:rFonts w:ascii="Arial" w:eastAsia="Calibri" w:hAnsi="Arial" w:cs="Arial"/>
          <w:b/>
          <w:i/>
          <w:iCs/>
          <w:color w:val="000000" w:themeColor="text1"/>
          <w:sz w:val="22"/>
          <w:lang w:val="es-ES_tradnl"/>
        </w:rPr>
        <w:t xml:space="preserve">2.2.1. </w:t>
      </w:r>
      <w:r w:rsidRPr="00864E72">
        <w:rPr>
          <w:rFonts w:ascii="Arial" w:eastAsia="Calibri" w:hAnsi="Arial" w:cs="Arial"/>
          <w:b/>
          <w:color w:val="000000" w:themeColor="text1"/>
          <w:sz w:val="22"/>
          <w:lang w:val="es-ES_tradnl"/>
        </w:rPr>
        <w:t>Ámbito de aplicación y finalidad de la norma</w:t>
      </w:r>
    </w:p>
    <w:p w14:paraId="3EBAD3F8" w14:textId="77777777" w:rsidR="002B1478" w:rsidRPr="00864E72" w:rsidRDefault="002B1478" w:rsidP="0028580B">
      <w:pPr>
        <w:tabs>
          <w:tab w:val="left" w:pos="426"/>
        </w:tabs>
        <w:spacing w:line="276" w:lineRule="auto"/>
        <w:jc w:val="both"/>
        <w:rPr>
          <w:rFonts w:ascii="Arial" w:eastAsia="Calibri" w:hAnsi="Arial" w:cs="Arial"/>
          <w:bCs/>
          <w:i/>
          <w:iCs/>
          <w:color w:val="000000" w:themeColor="text1"/>
          <w:sz w:val="22"/>
          <w:lang w:val="es-ES_tradnl"/>
        </w:rPr>
      </w:pPr>
    </w:p>
    <w:p w14:paraId="2BD95E39" w14:textId="69826D91" w:rsidR="00BB3CBE" w:rsidRPr="00864E72" w:rsidRDefault="00BB3CBE" w:rsidP="00BB3CBE">
      <w:pPr>
        <w:tabs>
          <w:tab w:val="left" w:pos="0"/>
        </w:tabs>
        <w:spacing w:after="120" w:line="276" w:lineRule="auto"/>
        <w:jc w:val="both"/>
        <w:rPr>
          <w:rFonts w:ascii="Arial" w:eastAsia="Calibri" w:hAnsi="Arial" w:cs="Arial"/>
          <w:bCs/>
          <w:color w:val="000000" w:themeColor="text1"/>
          <w:sz w:val="22"/>
          <w:lang w:val="es-ES_tradnl"/>
        </w:rPr>
      </w:pPr>
      <w:r w:rsidRPr="00864E72">
        <w:rPr>
          <w:rFonts w:ascii="Arial" w:eastAsia="Calibri" w:hAnsi="Arial" w:cs="Arial"/>
          <w:bCs/>
          <w:color w:val="000000" w:themeColor="text1"/>
          <w:sz w:val="22"/>
          <w:lang w:val="es-ES_tradnl"/>
        </w:rPr>
        <w:lastRenderedPageBreak/>
        <w:t>Como se desprende de la parte inicial de la norma citada, esta se refiere a la adquisición de bienes, obras o servicios por parte de entidades estatales sometidas al EGCAP, que celebren contratos, convenios interadministrativos o de cualquier otra índole con entidades estatales exceptuadas</w:t>
      </w:r>
      <w:r w:rsidR="0009759E" w:rsidRPr="00864E72">
        <w:rPr>
          <w:rFonts w:ascii="Arial" w:eastAsia="Calibri" w:hAnsi="Arial" w:cs="Arial"/>
          <w:bCs/>
          <w:color w:val="000000" w:themeColor="text1"/>
          <w:sz w:val="22"/>
          <w:lang w:val="es-ES_tradnl"/>
        </w:rPr>
        <w:t xml:space="preserve"> </w:t>
      </w:r>
      <w:r w:rsidR="0009759E" w:rsidRPr="00864E72">
        <w:rPr>
          <w:rFonts w:ascii="Arial" w:hAnsi="Arial" w:cs="Arial"/>
          <w:color w:val="000000" w:themeColor="text1"/>
          <w:sz w:val="22"/>
          <w:szCs w:val="22"/>
          <w:shd w:val="clear" w:color="auto" w:fill="FFFFFF"/>
          <w:lang w:val="es-ES_tradnl"/>
        </w:rPr>
        <w:t>–entre las cuales se encuentran las empresas prestadores de servicios públicos domiciliarios, según los artículos 31 y 32 de la Ley 142 de 1994</w:t>
      </w:r>
      <w:r w:rsidR="0009759E" w:rsidRPr="00864E72">
        <w:rPr>
          <w:rStyle w:val="Refdenotaalpie"/>
          <w:rFonts w:ascii="Arial" w:hAnsi="Arial" w:cs="Arial"/>
          <w:color w:val="000000" w:themeColor="text1"/>
          <w:sz w:val="22"/>
          <w:szCs w:val="22"/>
          <w:shd w:val="clear" w:color="auto" w:fill="FFFFFF"/>
          <w:lang w:val="es-ES_tradnl"/>
        </w:rPr>
        <w:footnoteReference w:id="7"/>
      </w:r>
      <w:r w:rsidR="0009759E" w:rsidRPr="00864E72">
        <w:rPr>
          <w:rFonts w:ascii="Arial" w:hAnsi="Arial" w:cs="Arial"/>
          <w:color w:val="000000" w:themeColor="text1"/>
          <w:sz w:val="22"/>
          <w:szCs w:val="22"/>
          <w:shd w:val="clear" w:color="auto" w:fill="FFFFFF"/>
          <w:lang w:val="es-ES_tradnl"/>
        </w:rPr>
        <w:t>–</w:t>
      </w:r>
      <w:r w:rsidRPr="00864E72">
        <w:rPr>
          <w:rFonts w:ascii="Arial" w:eastAsia="Calibri" w:hAnsi="Arial" w:cs="Arial"/>
          <w:bCs/>
          <w:color w:val="000000" w:themeColor="text1"/>
          <w:sz w:val="22"/>
          <w:lang w:val="es-ES_tradnl"/>
        </w:rPr>
        <w:t xml:space="preserve">, patrimonios autónomos, personas naturales o jurídicas de derecho privado. En ese sentido, este primer inciso formula un mandato dirigido a las entidades sometidas al EGCAP, para que, en la adquisición de bienes, obras o servicios, apliquen los documentos tipo expedidos por esta Agencia, cuando celebren contratos o convenios interadministrativos o de cualquier otra índole, con otra entidad estatal, o con patrimonios autónomos o con personas naturales o jurídicas, cuyo régimen de contratación sea especial o de derecho privado.  </w:t>
      </w:r>
    </w:p>
    <w:p w14:paraId="4D007424" w14:textId="77777777" w:rsidR="00BB3CBE" w:rsidRPr="00864E72" w:rsidRDefault="00BB3CBE" w:rsidP="00BB3CBE">
      <w:pPr>
        <w:tabs>
          <w:tab w:val="left" w:pos="0"/>
        </w:tabs>
        <w:spacing w:after="120" w:line="276" w:lineRule="auto"/>
        <w:jc w:val="both"/>
        <w:rPr>
          <w:rFonts w:ascii="Arial" w:eastAsia="Calibri" w:hAnsi="Arial" w:cs="Arial"/>
          <w:bCs/>
          <w:color w:val="000000" w:themeColor="text1"/>
          <w:sz w:val="22"/>
          <w:lang w:val="es-ES_tradnl"/>
        </w:rPr>
      </w:pPr>
      <w:r w:rsidRPr="00864E72">
        <w:rPr>
          <w:rFonts w:ascii="Arial" w:eastAsia="Calibri" w:hAnsi="Arial" w:cs="Arial"/>
          <w:bCs/>
          <w:color w:val="000000" w:themeColor="text1"/>
          <w:sz w:val="22"/>
          <w:lang w:val="es-ES_tradnl"/>
        </w:rPr>
        <w:tab/>
        <w:t xml:space="preserve">De acuerdo con esto, el artículo 56 de la Ley 2195 de 2022 es una norma que complementa al parágrafo 7 del artículo 2 de la Ley 1150 de 2007, modificado por la Ley 2022 de 2020, que establece el mandato de aplicación obligatoria de los documentos tipo para las entidades sometidas al EGCAP. Si bien el texto de la Ley 2022 de 2020 establece con claridad la regla de aplicación obligatoria de los documentos tipo en los Procesos de </w:t>
      </w:r>
      <w:r w:rsidRPr="00864E72">
        <w:rPr>
          <w:rFonts w:ascii="Arial" w:eastAsia="Calibri" w:hAnsi="Arial" w:cs="Arial"/>
          <w:bCs/>
          <w:color w:val="000000" w:themeColor="text1"/>
          <w:sz w:val="22"/>
          <w:lang w:val="es-ES_tradnl"/>
        </w:rPr>
        <w:lastRenderedPageBreak/>
        <w:t xml:space="preserve">Contratación adelantados por las entidades estatales regidas por el EGCAP, lo cierto es que sus efectos no eran los mismos en los procesos de selección adelantados por entidades exceptuadas o con regímenes especiales.  </w:t>
      </w:r>
    </w:p>
    <w:p w14:paraId="25747534" w14:textId="308EECF6" w:rsidR="00BB3CBE" w:rsidRPr="00864E72" w:rsidRDefault="00BB3CBE" w:rsidP="00BB3CBE">
      <w:pPr>
        <w:tabs>
          <w:tab w:val="left" w:pos="0"/>
        </w:tabs>
        <w:spacing w:after="120" w:line="276" w:lineRule="auto"/>
        <w:jc w:val="both"/>
        <w:rPr>
          <w:rFonts w:ascii="Arial" w:eastAsia="Calibri" w:hAnsi="Arial" w:cs="Arial"/>
          <w:bCs/>
          <w:color w:val="000000" w:themeColor="text1"/>
          <w:sz w:val="22"/>
          <w:lang w:val="es-ES_tradnl"/>
        </w:rPr>
      </w:pPr>
      <w:r w:rsidRPr="00864E72">
        <w:rPr>
          <w:rFonts w:ascii="Arial" w:eastAsia="Calibri" w:hAnsi="Arial" w:cs="Arial"/>
          <w:bCs/>
          <w:color w:val="000000" w:themeColor="text1"/>
          <w:sz w:val="22"/>
          <w:lang w:val="es-ES_tradnl"/>
        </w:rPr>
        <w:tab/>
        <w:t xml:space="preserve">Antes de la expedición del artículo 56 </w:t>
      </w:r>
      <w:r w:rsidRPr="00864E72">
        <w:rPr>
          <w:rFonts w:ascii="Arial" w:eastAsia="Calibri" w:hAnsi="Arial" w:cs="Arial"/>
          <w:bCs/>
          <w:i/>
          <w:iCs/>
          <w:color w:val="000000" w:themeColor="text1"/>
          <w:sz w:val="22"/>
          <w:lang w:val="es-ES_tradnl"/>
        </w:rPr>
        <w:t>ibídem</w:t>
      </w:r>
      <w:r w:rsidR="00576A54" w:rsidRPr="00864E72">
        <w:rPr>
          <w:rFonts w:ascii="Arial" w:eastAsia="Calibri" w:hAnsi="Arial" w:cs="Arial"/>
          <w:bCs/>
          <w:color w:val="000000" w:themeColor="text1"/>
          <w:sz w:val="22"/>
          <w:lang w:val="es-ES_tradnl"/>
        </w:rPr>
        <w:t>,</w:t>
      </w:r>
      <w:r w:rsidRPr="00864E72">
        <w:rPr>
          <w:rFonts w:ascii="Arial" w:eastAsia="Calibri" w:hAnsi="Arial" w:cs="Arial"/>
          <w:bCs/>
          <w:color w:val="000000" w:themeColor="text1"/>
          <w:sz w:val="22"/>
          <w:lang w:val="es-ES_tradnl"/>
        </w:rPr>
        <w:t xml:space="preserve"> la Ley 2022 de 2020 ya había establecido el mandato de aplicación obligatoria de los documentos tipo, atribuyendo a esta Agencia la competencia para expedirlos. Dicha Ley restringe su aplicación en los Procesos de </w:t>
      </w:r>
      <w:r w:rsidR="00BC7307" w:rsidRPr="00864E72">
        <w:rPr>
          <w:rFonts w:ascii="Arial" w:eastAsia="Calibri" w:hAnsi="Arial" w:cs="Arial"/>
          <w:bCs/>
          <w:color w:val="000000" w:themeColor="text1"/>
          <w:sz w:val="22"/>
          <w:lang w:val="es-ES_tradnl"/>
        </w:rPr>
        <w:t>Contratación</w:t>
      </w:r>
      <w:r w:rsidRPr="00864E72">
        <w:rPr>
          <w:rFonts w:ascii="Arial" w:eastAsia="Calibri" w:hAnsi="Arial" w:cs="Arial"/>
          <w:bCs/>
          <w:color w:val="000000" w:themeColor="text1"/>
          <w:sz w:val="22"/>
          <w:lang w:val="es-ES_tradnl"/>
        </w:rPr>
        <w:t xml:space="preserve"> a través de los que una entidad estatal regida por el EGCAP debe adquirir una obra o servicio, por supuesto siempre que el objeto a contratar, al igual que la modalidad que se requiere emplear, estén cobijados por algún documento tipo vigente. Por el contrario, la aplicación de documentos tipo por parte de entidades con regímenes especiales o de derecho privado era un asunto que escapaba del ámbito de aplicación de lo establecido por la Ley 2022 de 2022, incluso tratándose de obras o servicios para cuya contratación hubieren documentos tipo vigentes, comoquiera que la aplicación de estos solo era procedente cuando el régimen de la entidad contratante </w:t>
      </w:r>
      <w:r w:rsidR="00D93F21" w:rsidRPr="00864E72">
        <w:rPr>
          <w:rFonts w:ascii="Arial" w:eastAsia="Calibri" w:hAnsi="Arial" w:cs="Arial"/>
          <w:bCs/>
          <w:color w:val="000000" w:themeColor="text1"/>
          <w:sz w:val="22"/>
          <w:lang w:val="es-ES_tradnl"/>
        </w:rPr>
        <w:t>fuera</w:t>
      </w:r>
      <w:r w:rsidRPr="00864E72">
        <w:rPr>
          <w:rFonts w:ascii="Arial" w:eastAsia="Calibri" w:hAnsi="Arial" w:cs="Arial"/>
          <w:bCs/>
          <w:color w:val="000000" w:themeColor="text1"/>
          <w:sz w:val="22"/>
          <w:lang w:val="es-ES_tradnl"/>
        </w:rPr>
        <w:t xml:space="preserve"> el EGCAP, toda vez que el parágrafo 7 del artículo 2 de la Ley 1150 de 2007 solo se refiere a la obligación de aplicar los documentos tipo en los Procesos de Contratación que adelanten las entidades sometidas al EGCAP. </w:t>
      </w:r>
    </w:p>
    <w:p w14:paraId="7FC1037C" w14:textId="77777777" w:rsidR="00BB3CBE" w:rsidRPr="00864E72" w:rsidRDefault="00BB3CBE" w:rsidP="00BB3CBE">
      <w:pPr>
        <w:tabs>
          <w:tab w:val="left" w:pos="0"/>
        </w:tabs>
        <w:spacing w:after="120" w:line="276" w:lineRule="auto"/>
        <w:jc w:val="both"/>
        <w:rPr>
          <w:rFonts w:ascii="Arial" w:eastAsia="Calibri" w:hAnsi="Arial" w:cs="Arial"/>
          <w:bCs/>
          <w:color w:val="000000" w:themeColor="text1"/>
          <w:sz w:val="22"/>
          <w:lang w:val="es-ES_tradnl"/>
        </w:rPr>
      </w:pPr>
      <w:r w:rsidRPr="00864E72">
        <w:rPr>
          <w:rFonts w:ascii="Arial" w:eastAsia="Calibri" w:hAnsi="Arial" w:cs="Arial"/>
          <w:bCs/>
          <w:color w:val="000000" w:themeColor="text1"/>
          <w:sz w:val="22"/>
          <w:lang w:val="es-ES_tradnl"/>
        </w:rPr>
        <w:tab/>
        <w:t>Por tanto, la norma, por el hecho de estar dirigida únicamente a las entidades sometidas a la Ley 80 de 1993 y la Ley 1150 de 2007, solo permitía que los documentos tipo tuvieran que aplicarse de manera obligatoria cuando este era el régimen general de la contratación de la entidad que adelantaba el Proceso de Contratación. En estos términos, si bien la Ley 2022 de 2020 no limitó la aplicabilidad de los documentos tipo expedidos por esta Agencia a una modalidad en específico, sí estableció que su implementación debía hacerse en el marco del EGCAP.</w:t>
      </w:r>
    </w:p>
    <w:p w14:paraId="2AAFA3B6" w14:textId="77777777" w:rsidR="00BB3CBE" w:rsidRPr="00864E72" w:rsidRDefault="00BB3CBE" w:rsidP="00BB3CBE">
      <w:pPr>
        <w:tabs>
          <w:tab w:val="left" w:pos="0"/>
        </w:tabs>
        <w:spacing w:after="120" w:line="276" w:lineRule="auto"/>
        <w:jc w:val="both"/>
        <w:rPr>
          <w:rFonts w:ascii="Arial" w:eastAsia="Calibri" w:hAnsi="Arial" w:cs="Arial"/>
          <w:bCs/>
          <w:color w:val="000000" w:themeColor="text1"/>
          <w:sz w:val="22"/>
          <w:lang w:val="es-ES_tradnl"/>
        </w:rPr>
      </w:pPr>
      <w:r w:rsidRPr="00864E72">
        <w:rPr>
          <w:rFonts w:ascii="Arial" w:eastAsia="Calibri" w:hAnsi="Arial" w:cs="Arial"/>
          <w:bCs/>
          <w:color w:val="000000" w:themeColor="text1"/>
          <w:sz w:val="22"/>
          <w:lang w:val="es-ES_tradnl"/>
        </w:rPr>
        <w:tab/>
        <w:t xml:space="preserve">En este escenario, el primer inciso del artículo 56 de la Ley 2195 de 2022 surge como una disposición complementaria de la Ley 2022 de 2020, en la medida en que, según se desprende de su texto, de una parte, la norma busca extender la aplicación obligatoria de los documentos tipo a la celebración de contratos o convenios interadministrativos entre entidades regidas por EGCAP y otros sujetos cuyo régimen de contratación prevalente es el derecho privado. Esto de tal forma que cuando una entidad estatal regida por el EGCAP celebre contratos o convenios con otra i) entidad estatal de régimen especial o con ii) patrimonios autónomos o iii) con personas naturales o jurídicas de derecho privado, tenga que hacerlo aplicando documentos tipo. Los efectos del primer inciso del artículo 56 se proyectarían entonces a los contratos o convenios que se deban celebrar con estos sujetos, cuyos objetos comprendan la adquisición de bienes, obras o servicios, que, al tenor de lo dispuesto en el apartado normativo bajo examen, deberán celebrarse mediante documentos tipo.      </w:t>
      </w:r>
    </w:p>
    <w:p w14:paraId="2F2833BE" w14:textId="77777777" w:rsidR="00BB3CBE" w:rsidRPr="00864E72" w:rsidRDefault="00BB3CBE" w:rsidP="00BB3CBE">
      <w:pPr>
        <w:tabs>
          <w:tab w:val="left" w:pos="0"/>
        </w:tabs>
        <w:spacing w:after="120" w:line="276" w:lineRule="auto"/>
        <w:jc w:val="both"/>
        <w:rPr>
          <w:rFonts w:ascii="Arial" w:eastAsia="Calibri" w:hAnsi="Arial" w:cs="Arial"/>
          <w:bCs/>
          <w:color w:val="000000" w:themeColor="text1"/>
          <w:sz w:val="22"/>
          <w:lang w:val="es-ES_tradnl"/>
        </w:rPr>
      </w:pPr>
      <w:r w:rsidRPr="00864E72">
        <w:rPr>
          <w:rFonts w:ascii="Arial" w:eastAsia="Calibri" w:hAnsi="Arial" w:cs="Arial"/>
          <w:bCs/>
          <w:color w:val="000000" w:themeColor="text1"/>
          <w:sz w:val="22"/>
          <w:lang w:val="es-ES_tradnl"/>
        </w:rPr>
        <w:lastRenderedPageBreak/>
        <w:tab/>
        <w:t xml:space="preserve">Sin perjuicio de lo anterior, solo es posible comprender los efectos de lo dispuesto en el artículo 56 de la Ley 2195 de 2020 cuando se interpretan en conjunto todos sus componentes. Esto comoquiera que, a lo anterior se le suman las implicaciones de lo ordenado por el segundo inciso de la norma, en referencia a los procedimientos de selección y contratos que deban celebrarse en desarrollo de los negocios a los que se refiere el primer inciso, en los que, además de la aplicación de los documentos tipo, se dispone la aplicación del EGCAP. </w:t>
      </w:r>
    </w:p>
    <w:p w14:paraId="3455C376" w14:textId="250D03BA" w:rsidR="00BB3CBE" w:rsidRPr="00864E72" w:rsidRDefault="00BB3CBE" w:rsidP="00BB3CBE">
      <w:pPr>
        <w:tabs>
          <w:tab w:val="left" w:pos="0"/>
        </w:tabs>
        <w:spacing w:after="120" w:line="276" w:lineRule="auto"/>
        <w:jc w:val="both"/>
        <w:rPr>
          <w:rFonts w:ascii="Arial" w:eastAsia="Calibri" w:hAnsi="Arial" w:cs="Arial"/>
          <w:bCs/>
          <w:color w:val="000000" w:themeColor="text1"/>
          <w:sz w:val="22"/>
          <w:lang w:val="es-ES_tradnl"/>
        </w:rPr>
      </w:pPr>
      <w:r w:rsidRPr="00864E72">
        <w:rPr>
          <w:rFonts w:ascii="Arial" w:eastAsia="Calibri" w:hAnsi="Arial" w:cs="Arial"/>
          <w:bCs/>
          <w:color w:val="000000" w:themeColor="text1"/>
          <w:sz w:val="22"/>
          <w:lang w:val="es-ES_tradnl"/>
        </w:rPr>
        <w:tab/>
        <w:t xml:space="preserve">De acuerdo con esto, el cambio normativo que supone el artículo en comento no se agota con el mandato de aplicación obligatoria de los documentos tipo en los convenios o contratos que celebren las entidades estatales regidas por el EGCAP con otras entidades de régimen especial, patrimonios autónomos, personas naturales o jurídicas de derecho privado, pues, según se desprende del segundo inciso de la norma, esta además ordena la aplicación del EGCAP a los Procesos de Contratación que se adelanten y a los contratos que se celebren con ocasión de los contratos o convenios a los que se refiere el primer inciso. Esto significa que, ya sea una entidad estatal de régimen especial, un patrimonio autónomo o una persona natural o jurídica de derecho privado, en virtud de lo dispuesto en los incisos primero y segundo del artículo 56 </w:t>
      </w:r>
      <w:proofErr w:type="spellStart"/>
      <w:r w:rsidRPr="00864E72">
        <w:rPr>
          <w:rFonts w:ascii="Arial" w:eastAsia="Calibri" w:hAnsi="Arial" w:cs="Arial"/>
          <w:bCs/>
          <w:i/>
          <w:iCs/>
          <w:color w:val="000000" w:themeColor="text1"/>
          <w:sz w:val="22"/>
          <w:lang w:val="es-ES_tradnl"/>
        </w:rPr>
        <w:t>ejusdem</w:t>
      </w:r>
      <w:proofErr w:type="spellEnd"/>
      <w:r w:rsidRPr="00864E72">
        <w:rPr>
          <w:rFonts w:ascii="Arial" w:eastAsia="Calibri" w:hAnsi="Arial" w:cs="Arial"/>
          <w:bCs/>
          <w:i/>
          <w:iCs/>
          <w:color w:val="000000" w:themeColor="text1"/>
          <w:sz w:val="22"/>
          <w:lang w:val="es-ES_tradnl"/>
        </w:rPr>
        <w:t xml:space="preserve">, </w:t>
      </w:r>
      <w:r w:rsidRPr="00864E72">
        <w:rPr>
          <w:rFonts w:ascii="Arial" w:eastAsia="Calibri" w:hAnsi="Arial" w:cs="Arial"/>
          <w:bCs/>
          <w:color w:val="000000" w:themeColor="text1"/>
          <w:sz w:val="22"/>
          <w:lang w:val="es-ES_tradnl"/>
        </w:rPr>
        <w:t>si,</w:t>
      </w:r>
      <w:r w:rsidRPr="00864E72">
        <w:rPr>
          <w:rFonts w:ascii="Arial" w:eastAsia="Calibri" w:hAnsi="Arial" w:cs="Arial"/>
          <w:bCs/>
          <w:i/>
          <w:iCs/>
          <w:color w:val="000000" w:themeColor="text1"/>
          <w:sz w:val="22"/>
          <w:lang w:val="es-ES_tradnl"/>
        </w:rPr>
        <w:t xml:space="preserve"> </w:t>
      </w:r>
      <w:r w:rsidRPr="00864E72">
        <w:rPr>
          <w:rFonts w:ascii="Arial" w:eastAsia="Calibri" w:hAnsi="Arial" w:cs="Arial"/>
          <w:bCs/>
          <w:color w:val="000000" w:themeColor="text1"/>
          <w:sz w:val="22"/>
          <w:lang w:val="es-ES_tradnl"/>
        </w:rPr>
        <w:t xml:space="preserve">en efecto, deben subcontratar bienes, obras o servicios, en cumplimiento de un contrato o convenio con una entidad estatal sometida a la Ley 80 de 1993, deberá adelantar el procedimiento de selección, así como celebrar el respectivo contrato, implementando los documentos tipo  y aplicando las disposiciones del EGCAP. </w:t>
      </w:r>
    </w:p>
    <w:p w14:paraId="59384BA0" w14:textId="77777777" w:rsidR="00BB3CBE" w:rsidRPr="00864E72" w:rsidRDefault="00BB3CBE" w:rsidP="00BB3CBE">
      <w:pPr>
        <w:tabs>
          <w:tab w:val="left" w:pos="0"/>
        </w:tabs>
        <w:spacing w:after="120" w:line="276" w:lineRule="auto"/>
        <w:jc w:val="both"/>
        <w:rPr>
          <w:rFonts w:ascii="Arial" w:eastAsia="Calibri" w:hAnsi="Arial" w:cs="Arial"/>
          <w:bCs/>
          <w:color w:val="000000" w:themeColor="text1"/>
          <w:sz w:val="22"/>
          <w:lang w:val="es-ES_tradnl"/>
        </w:rPr>
      </w:pPr>
      <w:r w:rsidRPr="00864E72">
        <w:rPr>
          <w:rFonts w:ascii="Arial" w:eastAsia="Calibri" w:hAnsi="Arial" w:cs="Arial"/>
          <w:bCs/>
          <w:color w:val="000000" w:themeColor="text1"/>
          <w:sz w:val="22"/>
          <w:lang w:val="es-ES_tradnl"/>
        </w:rPr>
        <w:tab/>
        <w:t xml:space="preserve">Esta, además, es la interpretación que se desprende de la justificación del proyecto normativo que se convirtió en la Ley 2195 de 2022, en la que, respecto de los contratos ejecutados por entidades de derecho privado, se refirió a la «[..] obligatoriedad de aplicar los documentos tipo, aun si son ejecutados con entidades de régimen especial», como uno de los propósitos de la Ley.  Conforme se indica en la justificación jurídica del proyecto ley, este: </w:t>
      </w:r>
    </w:p>
    <w:p w14:paraId="5FBA1715" w14:textId="77777777" w:rsidR="00BB3CBE" w:rsidRPr="00864E72" w:rsidRDefault="00BB3CBE" w:rsidP="004E547C">
      <w:pPr>
        <w:tabs>
          <w:tab w:val="left" w:pos="0"/>
        </w:tabs>
        <w:ind w:left="709" w:right="709"/>
        <w:jc w:val="both"/>
        <w:rPr>
          <w:rFonts w:ascii="Arial" w:eastAsia="Calibri" w:hAnsi="Arial" w:cs="Arial"/>
          <w:bCs/>
          <w:color w:val="000000" w:themeColor="text1"/>
          <w:sz w:val="21"/>
          <w:szCs w:val="21"/>
          <w:lang w:val="es-ES_tradnl"/>
        </w:rPr>
      </w:pPr>
      <w:r w:rsidRPr="00864E72">
        <w:rPr>
          <w:rFonts w:ascii="Arial" w:eastAsia="Calibri" w:hAnsi="Arial" w:cs="Arial"/>
          <w:bCs/>
          <w:color w:val="000000" w:themeColor="text1"/>
          <w:sz w:val="21"/>
          <w:szCs w:val="21"/>
          <w:lang w:val="es-ES_tradnl"/>
        </w:rPr>
        <w:t>«[…] determina la aplicación de documentos tipo, en los términos del parágrafo 7 del artículo 2 de la Ley 1150 de 2007 o las normas que lo modifiquen o sustituyan, en los eventos en que entidades públicas sometidas al Estatuto General de Contratación de la Administración Pública celebren contratos o convenios interadministrativos o de cualquier otra índole con otras entidades estatales, patrimonios autónomos o personas naturales o jurídicas de derecho privado. Así mismo, se determina que los procedimientos de selección y los contratos realizados en dichos negocios jurídicos deben regirse por las normas de contratación pública»</w:t>
      </w:r>
      <w:r w:rsidRPr="00864E72">
        <w:rPr>
          <w:rStyle w:val="Refdenotaalpie"/>
          <w:rFonts w:ascii="Arial" w:eastAsia="Calibri" w:hAnsi="Arial" w:cs="Arial"/>
          <w:color w:val="000000" w:themeColor="text1"/>
          <w:sz w:val="21"/>
          <w:szCs w:val="21"/>
        </w:rPr>
        <w:footnoteReference w:id="8"/>
      </w:r>
      <w:r w:rsidRPr="00864E72">
        <w:rPr>
          <w:rFonts w:ascii="Arial" w:eastAsia="Calibri" w:hAnsi="Arial" w:cs="Arial"/>
          <w:bCs/>
          <w:color w:val="000000" w:themeColor="text1"/>
          <w:sz w:val="21"/>
          <w:szCs w:val="21"/>
          <w:lang w:val="es-ES_tradnl"/>
        </w:rPr>
        <w:t xml:space="preserve">. </w:t>
      </w:r>
    </w:p>
    <w:p w14:paraId="0114784B" w14:textId="77777777" w:rsidR="00BB3CBE" w:rsidRPr="00864E72" w:rsidRDefault="00BB3CBE" w:rsidP="004E547C">
      <w:pPr>
        <w:tabs>
          <w:tab w:val="left" w:pos="0"/>
        </w:tabs>
        <w:spacing w:line="276" w:lineRule="auto"/>
        <w:jc w:val="both"/>
        <w:rPr>
          <w:rFonts w:ascii="Arial" w:eastAsia="Calibri" w:hAnsi="Arial" w:cs="Arial"/>
          <w:bCs/>
          <w:color w:val="000000" w:themeColor="text1"/>
          <w:sz w:val="22"/>
          <w:lang w:val="es-ES_tradnl"/>
        </w:rPr>
      </w:pPr>
      <w:r w:rsidRPr="00864E72">
        <w:rPr>
          <w:rFonts w:ascii="Arial" w:eastAsia="Calibri" w:hAnsi="Arial" w:cs="Arial"/>
          <w:bCs/>
          <w:color w:val="000000" w:themeColor="text1"/>
          <w:sz w:val="22"/>
          <w:lang w:val="es-ES_tradnl"/>
        </w:rPr>
        <w:tab/>
        <w:t xml:space="preserve"> </w:t>
      </w:r>
    </w:p>
    <w:p w14:paraId="09578BCC" w14:textId="381C0324" w:rsidR="00BB3CBE" w:rsidRPr="00864E72" w:rsidRDefault="00BB3CBE" w:rsidP="004E547C">
      <w:pPr>
        <w:tabs>
          <w:tab w:val="left" w:pos="0"/>
        </w:tabs>
        <w:spacing w:line="276" w:lineRule="auto"/>
        <w:jc w:val="both"/>
        <w:rPr>
          <w:rFonts w:ascii="Arial" w:eastAsia="Calibri" w:hAnsi="Arial" w:cs="Arial"/>
          <w:bCs/>
          <w:color w:val="000000" w:themeColor="text1"/>
          <w:sz w:val="22"/>
          <w:lang w:val="es-ES_tradnl"/>
        </w:rPr>
      </w:pPr>
      <w:r w:rsidRPr="00864E72">
        <w:rPr>
          <w:rFonts w:ascii="Arial" w:eastAsia="Calibri" w:hAnsi="Arial" w:cs="Arial"/>
          <w:bCs/>
          <w:color w:val="000000" w:themeColor="text1"/>
          <w:sz w:val="22"/>
          <w:lang w:val="es-ES_tradnl"/>
        </w:rPr>
        <w:lastRenderedPageBreak/>
        <w:tab/>
        <w:t xml:space="preserve">De lo anterior se desprende que el propósito del legislador con la expedición de la norma objeto de consulta, tal como se ha explicado, es que las entidades estatales que tienen como régimen </w:t>
      </w:r>
      <w:r w:rsidR="00D93F21" w:rsidRPr="00864E72">
        <w:rPr>
          <w:rFonts w:ascii="Arial" w:eastAsia="Calibri" w:hAnsi="Arial" w:cs="Arial"/>
          <w:bCs/>
          <w:color w:val="000000" w:themeColor="text1"/>
          <w:sz w:val="22"/>
          <w:lang w:val="es-ES_tradnl"/>
        </w:rPr>
        <w:t>contractual</w:t>
      </w:r>
      <w:r w:rsidRPr="00864E72">
        <w:rPr>
          <w:rFonts w:ascii="Arial" w:eastAsia="Calibri" w:hAnsi="Arial" w:cs="Arial"/>
          <w:bCs/>
          <w:color w:val="000000" w:themeColor="text1"/>
          <w:sz w:val="22"/>
          <w:lang w:val="es-ES_tradnl"/>
        </w:rPr>
        <w:t xml:space="preserve"> el EGCAP no puedan eludir su aplicación, ni la de los documentos tipo que resulten obligatorios, celebrando convenios o contratos con entidades exceptuadas o particulares sometidos al derecho privado, para que sean estos últimos quienes, en el marco de sus regímenes especiales o de derecho privado, realicen la subcontratación de los bienes, obras o servicios que demanda la entidad estatal, en una suerte de tercerización de la contratación. Lo anterior teniendo en cuenta que, a la luz de lo dispuesto en el artículo 56 de la Ley 2195 de 2022, tales entidades exceptuadas, patrimonios autónomos o particulares, que han suscrito convenios o contratos de cualquier índole con entidades sometidas al EGCAP, estarán obligadas a aplicar dicho estatuto para la subcontratación derivada de obras, bienes, obras o servicios, siempre que exista documento tipo en el sector en el que se adelanta la contratación.  </w:t>
      </w:r>
    </w:p>
    <w:p w14:paraId="0644AF90" w14:textId="77777777" w:rsidR="004E547C" w:rsidRPr="00864E72" w:rsidRDefault="004E547C" w:rsidP="0028580B">
      <w:pPr>
        <w:tabs>
          <w:tab w:val="left" w:pos="0"/>
        </w:tabs>
        <w:spacing w:line="276" w:lineRule="auto"/>
        <w:jc w:val="both"/>
        <w:rPr>
          <w:rFonts w:ascii="Arial" w:eastAsia="Calibri" w:hAnsi="Arial" w:cs="Arial"/>
          <w:b/>
          <w:i/>
          <w:iCs/>
          <w:color w:val="000000" w:themeColor="text1"/>
          <w:sz w:val="22"/>
          <w:lang w:val="es-ES_tradnl"/>
        </w:rPr>
      </w:pPr>
    </w:p>
    <w:p w14:paraId="75EC8DDB" w14:textId="09C5D9E4" w:rsidR="00C13361" w:rsidRPr="00864E72" w:rsidRDefault="00C13361" w:rsidP="0028580B">
      <w:pPr>
        <w:tabs>
          <w:tab w:val="left" w:pos="0"/>
        </w:tabs>
        <w:spacing w:line="276" w:lineRule="auto"/>
        <w:jc w:val="both"/>
        <w:rPr>
          <w:rFonts w:ascii="Arial" w:eastAsia="Calibri" w:hAnsi="Arial" w:cs="Arial"/>
          <w:bCs/>
          <w:color w:val="000000" w:themeColor="text1"/>
          <w:sz w:val="22"/>
          <w:lang w:val="es-ES_tradnl"/>
        </w:rPr>
      </w:pPr>
      <w:r w:rsidRPr="00864E72">
        <w:rPr>
          <w:rFonts w:ascii="Arial" w:eastAsia="Calibri" w:hAnsi="Arial" w:cs="Arial"/>
          <w:b/>
          <w:i/>
          <w:iCs/>
          <w:color w:val="000000" w:themeColor="text1"/>
          <w:sz w:val="22"/>
          <w:lang w:val="es-ES_tradnl"/>
        </w:rPr>
        <w:t>2.2.2.</w:t>
      </w:r>
      <w:r w:rsidRPr="00864E72">
        <w:rPr>
          <w:rFonts w:ascii="Arial" w:eastAsia="Calibri" w:hAnsi="Arial" w:cs="Arial"/>
          <w:bCs/>
          <w:color w:val="000000" w:themeColor="text1"/>
          <w:sz w:val="22"/>
          <w:lang w:val="es-ES_tradnl"/>
        </w:rPr>
        <w:t xml:space="preserve"> </w:t>
      </w:r>
      <w:r w:rsidRPr="00864E72">
        <w:rPr>
          <w:rFonts w:ascii="Arial" w:eastAsia="Calibri" w:hAnsi="Arial" w:cs="Arial"/>
          <w:b/>
          <w:color w:val="000000" w:themeColor="text1"/>
          <w:sz w:val="22"/>
          <w:lang w:val="es-ES_tradnl"/>
        </w:rPr>
        <w:t>Aplicación prevalente del Estatuto General de Contratación de la Administración Pública por parte entidades exceptuadas. Aparente tensión con el literal c) del artículo 2, numeral 4, de la Ley 1150 de 2007</w:t>
      </w:r>
    </w:p>
    <w:p w14:paraId="0F0B10AF" w14:textId="77777777" w:rsidR="00C13361" w:rsidRPr="00864E72" w:rsidRDefault="00C13361" w:rsidP="00C13361">
      <w:pPr>
        <w:tabs>
          <w:tab w:val="left" w:pos="0"/>
        </w:tabs>
        <w:spacing w:line="276" w:lineRule="auto"/>
        <w:jc w:val="both"/>
        <w:rPr>
          <w:rFonts w:ascii="Arial" w:eastAsia="Calibri" w:hAnsi="Arial" w:cs="Arial"/>
          <w:bCs/>
          <w:color w:val="000000" w:themeColor="text1"/>
          <w:sz w:val="22"/>
          <w:lang w:val="es-ES_tradnl"/>
        </w:rPr>
      </w:pPr>
    </w:p>
    <w:p w14:paraId="368BC272" w14:textId="77777777" w:rsidR="00C13361" w:rsidRPr="00864E72" w:rsidRDefault="00C13361" w:rsidP="00C13361">
      <w:pPr>
        <w:tabs>
          <w:tab w:val="left" w:pos="0"/>
        </w:tabs>
        <w:spacing w:after="120" w:line="276" w:lineRule="auto"/>
        <w:jc w:val="both"/>
        <w:rPr>
          <w:rFonts w:ascii="Arial" w:eastAsia="Calibri" w:hAnsi="Arial" w:cs="Arial"/>
          <w:bCs/>
          <w:color w:val="000000" w:themeColor="text1"/>
          <w:sz w:val="22"/>
          <w:lang w:val="es-ES_tradnl"/>
        </w:rPr>
      </w:pPr>
      <w:r w:rsidRPr="00864E72">
        <w:rPr>
          <w:rFonts w:ascii="Arial" w:eastAsia="Calibri" w:hAnsi="Arial" w:cs="Arial"/>
          <w:bCs/>
          <w:color w:val="000000" w:themeColor="text1"/>
          <w:sz w:val="22"/>
          <w:lang w:val="es-ES_tradnl"/>
        </w:rPr>
        <w:t>En este punto es necesario analizar los efectos del artículo 56 de la Ley 2195 de 2022, respecto de lo dispuesto en el artículo 2, numeral 4, de la Ley 1150 de 2007, particularmente, de lo establecido en el tercer inciso del literal c)</w:t>
      </w:r>
      <w:r w:rsidRPr="00864E72">
        <w:rPr>
          <w:rStyle w:val="Refdenotaalpie"/>
          <w:rFonts w:ascii="Arial" w:eastAsia="Calibri" w:hAnsi="Arial" w:cs="Arial"/>
          <w:color w:val="000000" w:themeColor="text1"/>
        </w:rPr>
        <w:footnoteReference w:id="9"/>
      </w:r>
      <w:r w:rsidRPr="00864E72">
        <w:rPr>
          <w:rFonts w:ascii="Arial" w:eastAsia="Calibri" w:hAnsi="Arial" w:cs="Arial"/>
          <w:bCs/>
          <w:color w:val="000000" w:themeColor="text1"/>
          <w:sz w:val="22"/>
          <w:lang w:val="es-ES_tradnl"/>
        </w:rPr>
        <w:t xml:space="preserve">. Lo anterior por cuanto </w:t>
      </w:r>
      <w:r w:rsidRPr="00864E72">
        <w:rPr>
          <w:rFonts w:ascii="Arial" w:eastAsia="Calibri" w:hAnsi="Arial" w:cs="Arial"/>
          <w:bCs/>
          <w:color w:val="000000" w:themeColor="text1"/>
          <w:sz w:val="22"/>
          <w:lang w:val="es-ES_tradnl"/>
        </w:rPr>
        <w:lastRenderedPageBreak/>
        <w:t xml:space="preserve">esta norma, al establecer como causal de contratación directa la celebración de convenios o contratos interadministrativos regulaba la normativa aplicable a estos cuando el régimen prevalente de la entidad encargada de la ejecución no fuera el de la Ley 80 de 1993, casos en los que la norma imponía la aplicación de esta normativa, a menos que la entidad ejecutora desarrollara su actividad en competencia con el sector privado, o cuando la ejecución del contrato tuviere relación directa con el desarrollo de su actividad, evento en los que se imponía el derecho privado. En ese sentido, en este último evento el tercer inciso del literal c) del artículo 2-4 de la Ley 1150 de 2007, daba pie a la aplicación de normas de derecho privado, lo que evidencia una aparente tensión entre este y el artículo 56 de la Ley 2195 de 2022, en lo que se refiere al régimen aplicable en estas situaciones, comoquiera que en estos eventos, al tenor de lo dispuesto en esta última norma, deben aplicarse el EGCAP y los documentos tipo. </w:t>
      </w:r>
    </w:p>
    <w:p w14:paraId="2AAF6416" w14:textId="77777777" w:rsidR="00C13361" w:rsidRPr="00864E72" w:rsidRDefault="00C13361" w:rsidP="00C13361">
      <w:pPr>
        <w:tabs>
          <w:tab w:val="left" w:pos="0"/>
        </w:tabs>
        <w:spacing w:after="120" w:line="276" w:lineRule="auto"/>
        <w:jc w:val="both"/>
        <w:rPr>
          <w:rFonts w:ascii="Arial" w:eastAsia="Calibri" w:hAnsi="Arial" w:cs="Arial"/>
          <w:bCs/>
          <w:color w:val="000000" w:themeColor="text1"/>
          <w:sz w:val="22"/>
          <w:lang w:val="es-ES_tradnl"/>
        </w:rPr>
      </w:pPr>
      <w:r w:rsidRPr="00864E72">
        <w:rPr>
          <w:rFonts w:ascii="Arial" w:eastAsia="Calibri" w:hAnsi="Arial" w:cs="Arial"/>
          <w:bCs/>
          <w:color w:val="000000" w:themeColor="text1"/>
          <w:sz w:val="22"/>
          <w:lang w:val="es-ES_tradnl"/>
        </w:rPr>
        <w:tab/>
        <w:t xml:space="preserve">Esto supone una aparente antinomia entre el literal c) del artículo 2, numeral 4, de la Ley 1150 de 2007 y el artículo 56 de la Ley 2195 de 2022, en la medida en que para un mismo supuesto de hecho –la celebración de un convenio interadministrativo entre una entidad sometida al EGCAP y otra exceptuada, en la que la última es la ejecutora y desarrolla su actividad en competencia con el sector privado–, se establecen diferentes consecuencias jurídicas, ya que mientras que la primera norma dispone la aplicación del derecho privado, la última impone la aplicación de documentos tipo y del EGCAP. Esta aparente contradicción, necesariamente debe ser resuelta en favor del artículo 56 de la Ley 2195 de 2022, cuya aplicación debe ser privilegiada, al ser esta la norma expedida más recientemente. </w:t>
      </w:r>
    </w:p>
    <w:p w14:paraId="259F5D36" w14:textId="77777777" w:rsidR="00C13361" w:rsidRPr="00864E72" w:rsidRDefault="00C13361" w:rsidP="00C13361">
      <w:pPr>
        <w:tabs>
          <w:tab w:val="left" w:pos="0"/>
        </w:tabs>
        <w:spacing w:after="120" w:line="276" w:lineRule="auto"/>
        <w:jc w:val="both"/>
        <w:rPr>
          <w:rFonts w:ascii="Arial" w:eastAsia="Calibri" w:hAnsi="Arial" w:cs="Arial"/>
          <w:bCs/>
          <w:color w:val="000000" w:themeColor="text1"/>
          <w:sz w:val="22"/>
          <w:lang w:val="es-ES_tradnl"/>
        </w:rPr>
      </w:pPr>
      <w:r w:rsidRPr="00864E72">
        <w:rPr>
          <w:rFonts w:ascii="Arial" w:eastAsia="Calibri" w:hAnsi="Arial" w:cs="Arial"/>
          <w:bCs/>
          <w:color w:val="000000" w:themeColor="text1"/>
          <w:sz w:val="22"/>
          <w:lang w:val="es-ES_tradnl"/>
        </w:rPr>
        <w:tab/>
        <w:t>En efecto, tratándose de disposiciones de igual jerarquía normativa</w:t>
      </w:r>
      <w:r w:rsidRPr="00864E72">
        <w:rPr>
          <w:rStyle w:val="Refdenotaalpie"/>
          <w:rFonts w:ascii="Arial" w:eastAsia="Calibri" w:hAnsi="Arial" w:cs="Arial"/>
          <w:color w:val="000000" w:themeColor="text1"/>
        </w:rPr>
        <w:footnoteReference w:id="10"/>
      </w:r>
      <w:r w:rsidRPr="00864E72">
        <w:rPr>
          <w:rFonts w:ascii="Arial" w:eastAsia="Calibri" w:hAnsi="Arial" w:cs="Arial"/>
          <w:bCs/>
          <w:color w:val="000000" w:themeColor="text1"/>
          <w:sz w:val="22"/>
          <w:lang w:val="es-ES_tradnl"/>
        </w:rPr>
        <w:t xml:space="preserve">–ambas son leyes ordinarias–, que coinciden en su ámbito de aplicación, debe colegirse que, en lo que respecta al régimen aplicable a los contratos con entidades exceptuadas ejecutoras de contratos o convenios interadministrativos, que desarrollen su actividad en competencia con el sector privado, el artículo 56 de la Ley 2195 de 2022 supuso una modificación tácita del artículo 2, numeral 4, literal c), de la Ley 1150 de 2007. De acuerdo con lo expuesto, los </w:t>
      </w:r>
      <w:r w:rsidRPr="00864E72">
        <w:rPr>
          <w:rFonts w:ascii="Arial" w:eastAsia="Calibri" w:hAnsi="Arial" w:cs="Arial"/>
          <w:bCs/>
          <w:color w:val="000000" w:themeColor="text1"/>
          <w:sz w:val="22"/>
          <w:lang w:val="es-ES_tradnl"/>
        </w:rPr>
        <w:lastRenderedPageBreak/>
        <w:t xml:space="preserve">efectos de esta modificación no solo se proyectan a la celebración propiamente dicha del contrato o convenio entre la entidad sometida y la exceptuada, sino que se extienden a todos los contratos y procedimientos de selección que adelanten estos últimos en desarrollo de la relación primigenia, en los que deberán aplicarse el EGCAP y los documentos tipo vigentes. </w:t>
      </w:r>
    </w:p>
    <w:p w14:paraId="6DC7A373" w14:textId="77777777" w:rsidR="00C13361" w:rsidRPr="00864E72" w:rsidRDefault="00C13361" w:rsidP="00C13361">
      <w:pPr>
        <w:tabs>
          <w:tab w:val="left" w:pos="0"/>
        </w:tabs>
        <w:spacing w:after="120" w:line="276" w:lineRule="auto"/>
        <w:jc w:val="both"/>
        <w:rPr>
          <w:rFonts w:ascii="Arial" w:eastAsia="Calibri" w:hAnsi="Arial" w:cs="Arial"/>
          <w:bCs/>
          <w:color w:val="000000" w:themeColor="text1"/>
          <w:sz w:val="22"/>
          <w:lang w:val="es-ES_tradnl"/>
        </w:rPr>
      </w:pPr>
      <w:r w:rsidRPr="00864E72">
        <w:rPr>
          <w:rFonts w:ascii="Arial" w:eastAsia="Calibri" w:hAnsi="Arial" w:cs="Arial"/>
          <w:bCs/>
          <w:color w:val="000000" w:themeColor="text1"/>
          <w:sz w:val="22"/>
          <w:lang w:val="es-ES_tradnl"/>
        </w:rPr>
        <w:tab/>
        <w:t xml:space="preserve">En tales términos, de lo analizado hasta aquí es posible concluir que un efecto importante de la norma bajo estudio es la ampliación del ámbito de aplicación de los documentos tipo, al hacerlos obligatorios para unos sujetos que, en principio, de acuerdo con la Ley 2022 de 2020, no estarían sometidos a esos documentos. Para complementar esta medida, la disposición además hace extensiva la aplicación del EGCAP a esto sujetos que, en virtud de su naturaleza jurídica, tienen, como regla general, un régimen de contratación diferente, tales como las entidades exceptuadas, los patrimonios autónomos y las personas naturales y jurídicas de derecho privado, a los que expresamente hace alusión el artículo 56.  De esta forma, independientemente de que el inciso tercero del literal c) del artículo 2, numeral 4, de la Ley 1150 de 2007 parezca indicar que se debe aplicar el derecho privado, por ser este el régimen que por regla general aplica la entidad ejecutora, tratándose de objetos cobijados por documentos tipo, los mismos deberán ser contratados aplicando tales pliegos tipo y las disposiciones del EGCAP.  </w:t>
      </w:r>
    </w:p>
    <w:p w14:paraId="1ED673E2" w14:textId="5CC3D52C" w:rsidR="00C13361" w:rsidRPr="00864E72" w:rsidRDefault="00C13361" w:rsidP="00C13361">
      <w:pPr>
        <w:tabs>
          <w:tab w:val="left" w:pos="0"/>
        </w:tabs>
        <w:spacing w:after="120" w:line="276" w:lineRule="auto"/>
        <w:jc w:val="both"/>
        <w:rPr>
          <w:rFonts w:ascii="Arial" w:eastAsia="Calibri" w:hAnsi="Arial" w:cs="Arial"/>
          <w:bCs/>
          <w:color w:val="000000" w:themeColor="text1"/>
          <w:sz w:val="22"/>
          <w:lang w:val="es-ES_tradnl"/>
        </w:rPr>
      </w:pPr>
      <w:r w:rsidRPr="00864E72">
        <w:rPr>
          <w:rFonts w:ascii="Arial" w:eastAsia="Calibri" w:hAnsi="Arial" w:cs="Arial"/>
          <w:bCs/>
          <w:color w:val="000000" w:themeColor="text1"/>
          <w:sz w:val="22"/>
          <w:lang w:val="es-ES_tradnl"/>
        </w:rPr>
        <w:tab/>
        <w:t xml:space="preserve">En este punto conviene precisar que, de conformidad con el artículo 56, el hecho de que una entidad exceptuada, un patrimonio autónomo, una persona natural o una persona jurídica, tenga suscrito un contrato o convenio con una entidad sometida al EGCAP, no significa que mute su régimen jurídico de manera permanente. Al respecto, de una lectura conjunta de los incisos primero y segundo se desprende que estos introducen el mandato de aplicación obligatoria del EGCAP por parte de los mencionados sujetos de régimen de derecho privado solo en lo referido a la subcontratación de bienes, obras y servicios relacionados con un contrato o convenio suscrito con una entidad sometida al EGCAP, siempre que exista documento </w:t>
      </w:r>
      <w:r w:rsidR="00D93F21" w:rsidRPr="00864E72">
        <w:rPr>
          <w:rFonts w:ascii="Arial" w:eastAsia="Calibri" w:hAnsi="Arial" w:cs="Arial"/>
          <w:bCs/>
          <w:color w:val="000000" w:themeColor="text1"/>
          <w:sz w:val="22"/>
          <w:lang w:val="es-ES_tradnl"/>
        </w:rPr>
        <w:t>aplicable al objeto contractual</w:t>
      </w:r>
      <w:r w:rsidRPr="00864E72">
        <w:rPr>
          <w:rFonts w:ascii="Arial" w:eastAsia="Calibri" w:hAnsi="Arial" w:cs="Arial"/>
          <w:bCs/>
          <w:color w:val="000000" w:themeColor="text1"/>
          <w:sz w:val="22"/>
          <w:lang w:val="es-ES_tradnl"/>
        </w:rPr>
        <w:t xml:space="preserve"> que se planea </w:t>
      </w:r>
      <w:r w:rsidR="00D93F21" w:rsidRPr="00864E72">
        <w:rPr>
          <w:rFonts w:ascii="Arial" w:eastAsia="Calibri" w:hAnsi="Arial" w:cs="Arial"/>
          <w:bCs/>
          <w:color w:val="000000" w:themeColor="text1"/>
          <w:sz w:val="22"/>
          <w:lang w:val="es-ES_tradnl"/>
        </w:rPr>
        <w:t>contratar</w:t>
      </w:r>
      <w:r w:rsidRPr="00864E72">
        <w:rPr>
          <w:rFonts w:ascii="Arial" w:eastAsia="Calibri" w:hAnsi="Arial" w:cs="Arial"/>
          <w:bCs/>
          <w:color w:val="000000" w:themeColor="text1"/>
          <w:sz w:val="22"/>
          <w:lang w:val="es-ES_tradnl"/>
        </w:rPr>
        <w:t xml:space="preserve">. Esto significa que los contratos no relacionados con los compromisos adquiridos con la entidad sometida al EGCAP no tendrían que aplicar el régimen contractual público ni los documentos tipo, salvo que quieran hacerlo como una buena práctica de contratación. </w:t>
      </w:r>
    </w:p>
    <w:p w14:paraId="09B43493" w14:textId="34E36EAA" w:rsidR="00163BBD" w:rsidRPr="00864E72" w:rsidRDefault="00C13361" w:rsidP="00047591">
      <w:pPr>
        <w:tabs>
          <w:tab w:val="left" w:pos="0"/>
        </w:tabs>
        <w:spacing w:line="276" w:lineRule="auto"/>
        <w:jc w:val="both"/>
        <w:rPr>
          <w:rFonts w:ascii="Arial" w:eastAsia="Calibri" w:hAnsi="Arial" w:cs="Arial"/>
          <w:bCs/>
          <w:color w:val="000000" w:themeColor="text1"/>
          <w:sz w:val="22"/>
          <w:lang w:val="es-ES_tradnl"/>
        </w:rPr>
      </w:pPr>
      <w:r w:rsidRPr="00864E72">
        <w:rPr>
          <w:rFonts w:ascii="Arial" w:eastAsia="Calibri" w:hAnsi="Arial" w:cs="Arial"/>
          <w:bCs/>
          <w:color w:val="000000" w:themeColor="text1"/>
          <w:sz w:val="22"/>
          <w:lang w:val="es-ES_tradnl"/>
        </w:rPr>
        <w:tab/>
        <w:t>De acuerdo con esto, respecto de la aplicación del EGCAP por parte de entidades exceptuadas y particulares, es necesario recalcar que, conforme se interpreta de la redacción de la norma, esta solo es obligatoria en los casos en los que el objeto contractual derivado que se pretende contratar esté cobijado y sometido a algún documento tipo. Esto significa que la aplicación del EGCAP solo será forzosa cuando existe un documento tipo que contempla bienes, obras y servicios dentro de las que se subsume la actividad a contratar por parte de la entidad de régimen especial, patrimonio autónomo o particular. Por ejemplo, si en cumplimiento de un convenio con una entidad sometida al EGCAP, un</w:t>
      </w:r>
      <w:r w:rsidR="00D93F21" w:rsidRPr="00864E72">
        <w:rPr>
          <w:rFonts w:ascii="Arial" w:eastAsia="Calibri" w:hAnsi="Arial" w:cs="Arial"/>
          <w:bCs/>
          <w:color w:val="000000" w:themeColor="text1"/>
          <w:sz w:val="22"/>
          <w:lang w:val="es-ES_tradnl"/>
        </w:rPr>
        <w:t>a</w:t>
      </w:r>
      <w:r w:rsidRPr="00864E72">
        <w:rPr>
          <w:rFonts w:ascii="Arial" w:eastAsia="Calibri" w:hAnsi="Arial" w:cs="Arial"/>
          <w:bCs/>
          <w:color w:val="000000" w:themeColor="text1"/>
          <w:sz w:val="22"/>
          <w:lang w:val="es-ES_tradnl"/>
        </w:rPr>
        <w:t xml:space="preserve"> </w:t>
      </w:r>
      <w:r w:rsidR="00D93F21" w:rsidRPr="00864E72">
        <w:rPr>
          <w:rFonts w:ascii="Arial" w:eastAsia="Calibri" w:hAnsi="Arial" w:cs="Arial"/>
          <w:bCs/>
          <w:color w:val="000000" w:themeColor="text1"/>
          <w:sz w:val="22"/>
          <w:lang w:val="es-ES_tradnl"/>
        </w:rPr>
        <w:t>entidad exceptuada</w:t>
      </w:r>
      <w:r w:rsidRPr="00864E72">
        <w:rPr>
          <w:rFonts w:ascii="Arial" w:eastAsia="Calibri" w:hAnsi="Arial" w:cs="Arial"/>
          <w:bCs/>
          <w:color w:val="000000" w:themeColor="text1"/>
          <w:sz w:val="22"/>
          <w:lang w:val="es-ES_tradnl"/>
        </w:rPr>
        <w:t xml:space="preserve"> debe contratar el desarrollo de un software o la compra de unos buses, </w:t>
      </w:r>
      <w:r w:rsidRPr="00864E72">
        <w:rPr>
          <w:rFonts w:ascii="Arial" w:eastAsia="Calibri" w:hAnsi="Arial" w:cs="Arial"/>
          <w:bCs/>
          <w:color w:val="000000" w:themeColor="text1"/>
          <w:sz w:val="22"/>
          <w:lang w:val="es-ES_tradnl"/>
        </w:rPr>
        <w:lastRenderedPageBreak/>
        <w:t>no estará obligado a seguirse por el EGCAP, al no ser estos objetos cobijados por los documentos tipo vigentes, mientras que si lo que requiere es el mantenimiento o la rehabilitación de una vía secundaría, por el contrario sí estará sometido al EGCAP, al estar tales actividades incluidas dentro de los documentos tipo de infraestructura de transporte. Esto por supuesto puede cambiar si la Agencia, en el futuro, adopta más documentos tipo que incluyan los objetos mencionados.</w:t>
      </w:r>
      <w:r w:rsidR="00297A13" w:rsidRPr="00864E72">
        <w:rPr>
          <w:rFonts w:ascii="Arial" w:eastAsia="Calibri" w:hAnsi="Arial" w:cs="Arial"/>
          <w:bCs/>
          <w:color w:val="000000" w:themeColor="text1"/>
          <w:sz w:val="22"/>
          <w:lang w:val="es-ES_tradnl"/>
        </w:rPr>
        <w:t xml:space="preserve"> </w:t>
      </w:r>
    </w:p>
    <w:p w14:paraId="6FACCC00" w14:textId="4D9B6DC4" w:rsidR="00624655" w:rsidRPr="00864E72" w:rsidRDefault="00624655" w:rsidP="00624655">
      <w:pPr>
        <w:tabs>
          <w:tab w:val="left" w:pos="0"/>
        </w:tabs>
        <w:spacing w:before="120" w:line="276" w:lineRule="auto"/>
        <w:ind w:firstLine="709"/>
        <w:jc w:val="both"/>
        <w:rPr>
          <w:rFonts w:ascii="Arial" w:eastAsia="Calibri" w:hAnsi="Arial" w:cs="Arial"/>
          <w:bCs/>
          <w:color w:val="000000" w:themeColor="text1"/>
          <w:sz w:val="22"/>
          <w:lang w:val="es-ES_tradnl"/>
        </w:rPr>
      </w:pPr>
      <w:r w:rsidRPr="00864E72">
        <w:rPr>
          <w:rFonts w:ascii="Arial" w:eastAsia="Calibri" w:hAnsi="Arial" w:cs="Arial"/>
          <w:bCs/>
          <w:color w:val="000000" w:themeColor="text1"/>
          <w:sz w:val="22"/>
          <w:lang w:val="es-ES_tradnl"/>
        </w:rPr>
        <w:t>En relación con las empresas</w:t>
      </w:r>
      <w:r w:rsidR="00E77AFB" w:rsidRPr="00864E72">
        <w:rPr>
          <w:rFonts w:ascii="Arial" w:eastAsia="Calibri" w:hAnsi="Arial" w:cs="Arial"/>
          <w:bCs/>
          <w:color w:val="000000" w:themeColor="text1"/>
          <w:sz w:val="22"/>
          <w:lang w:val="es-ES_tradnl"/>
        </w:rPr>
        <w:t xml:space="preserve"> </w:t>
      </w:r>
      <w:r w:rsidRPr="00864E72">
        <w:rPr>
          <w:rFonts w:ascii="Arial" w:eastAsia="Calibri" w:hAnsi="Arial" w:cs="Arial"/>
          <w:bCs/>
          <w:color w:val="000000" w:themeColor="text1"/>
          <w:sz w:val="22"/>
          <w:lang w:val="es-ES_tradnl"/>
        </w:rPr>
        <w:t>prestadoras de servicios públicos domiciliarios, conviene señalar, acorde con l</w:t>
      </w:r>
      <w:r w:rsidR="00802F35" w:rsidRPr="00864E72">
        <w:rPr>
          <w:rFonts w:ascii="Arial" w:eastAsia="Calibri" w:hAnsi="Arial" w:cs="Arial"/>
          <w:bCs/>
          <w:color w:val="000000" w:themeColor="text1"/>
          <w:sz w:val="22"/>
          <w:lang w:val="es-ES_tradnl"/>
        </w:rPr>
        <w:t>o expresado por la Corte Constitucional en la</w:t>
      </w:r>
      <w:r w:rsidRPr="00864E72">
        <w:rPr>
          <w:rFonts w:ascii="Arial" w:eastAsia="Calibri" w:hAnsi="Arial" w:cs="Arial"/>
          <w:bCs/>
          <w:color w:val="000000" w:themeColor="text1"/>
          <w:sz w:val="22"/>
          <w:lang w:val="es-ES_tradnl"/>
        </w:rPr>
        <w:t xml:space="preserve"> Sentencia C-</w:t>
      </w:r>
      <w:r w:rsidR="00F700A8" w:rsidRPr="00864E72">
        <w:rPr>
          <w:rFonts w:ascii="Arial" w:eastAsia="Calibri" w:hAnsi="Arial" w:cs="Arial"/>
          <w:bCs/>
          <w:color w:val="000000" w:themeColor="text1"/>
          <w:sz w:val="22"/>
          <w:lang w:val="es-ES_tradnl"/>
        </w:rPr>
        <w:t>736 de 2007</w:t>
      </w:r>
      <w:r w:rsidR="005F2608" w:rsidRPr="00864E72">
        <w:rPr>
          <w:rStyle w:val="Refdenotaalpie"/>
          <w:rFonts w:ascii="Arial" w:eastAsia="Calibri" w:hAnsi="Arial" w:cs="Arial"/>
          <w:bCs/>
          <w:color w:val="000000" w:themeColor="text1"/>
          <w:sz w:val="22"/>
          <w:lang w:val="es-ES_tradnl"/>
        </w:rPr>
        <w:footnoteReference w:id="11"/>
      </w:r>
      <w:r w:rsidR="00F700A8" w:rsidRPr="00864E72">
        <w:rPr>
          <w:rFonts w:ascii="Arial" w:eastAsia="Calibri" w:hAnsi="Arial" w:cs="Arial"/>
          <w:bCs/>
          <w:color w:val="000000" w:themeColor="text1"/>
          <w:sz w:val="22"/>
          <w:lang w:val="es-ES_tradnl"/>
        </w:rPr>
        <w:t xml:space="preserve">, </w:t>
      </w:r>
      <w:r w:rsidR="00802F35" w:rsidRPr="00864E72">
        <w:rPr>
          <w:rFonts w:ascii="Arial" w:eastAsia="Calibri" w:hAnsi="Arial" w:cs="Arial"/>
          <w:bCs/>
          <w:color w:val="000000" w:themeColor="text1"/>
          <w:sz w:val="22"/>
          <w:lang w:val="es-ES_tradnl"/>
        </w:rPr>
        <w:t>que aquellas</w:t>
      </w:r>
      <w:r w:rsidR="00F700A8" w:rsidRPr="00864E72">
        <w:rPr>
          <w:rFonts w:ascii="Arial" w:eastAsia="Calibri" w:hAnsi="Arial" w:cs="Arial"/>
          <w:bCs/>
          <w:color w:val="000000" w:themeColor="text1"/>
          <w:sz w:val="22"/>
          <w:lang w:val="es-ES_tradnl"/>
        </w:rPr>
        <w:t xml:space="preserve"> </w:t>
      </w:r>
      <w:r w:rsidR="00814BE8" w:rsidRPr="00864E72">
        <w:rPr>
          <w:rFonts w:ascii="Arial" w:eastAsia="Calibri" w:hAnsi="Arial" w:cs="Arial"/>
          <w:bCs/>
          <w:color w:val="000000" w:themeColor="text1"/>
          <w:sz w:val="22"/>
          <w:lang w:val="es-ES_tradnl"/>
        </w:rPr>
        <w:t xml:space="preserve">son entidades descentralizadas por servicios, independientemente </w:t>
      </w:r>
      <w:r w:rsidR="007E553D" w:rsidRPr="00864E72">
        <w:rPr>
          <w:rFonts w:ascii="Arial" w:eastAsia="Calibri" w:hAnsi="Arial" w:cs="Arial"/>
          <w:bCs/>
          <w:color w:val="000000" w:themeColor="text1"/>
          <w:sz w:val="22"/>
          <w:lang w:val="es-ES_tradnl"/>
        </w:rPr>
        <w:t>de la naturaleza y porcentaje de su capital</w:t>
      </w:r>
      <w:r w:rsidR="00566383" w:rsidRPr="00864E72">
        <w:rPr>
          <w:rFonts w:ascii="Arial" w:eastAsia="Calibri" w:hAnsi="Arial" w:cs="Arial"/>
          <w:bCs/>
          <w:color w:val="000000" w:themeColor="text1"/>
          <w:sz w:val="22"/>
          <w:lang w:val="es-ES_tradnl"/>
        </w:rPr>
        <w:t xml:space="preserve">. En otras palabras, aunque el artículo </w:t>
      </w:r>
      <w:r w:rsidR="00BE6841" w:rsidRPr="00864E72">
        <w:rPr>
          <w:rFonts w:ascii="Arial" w:eastAsia="Calibri" w:hAnsi="Arial" w:cs="Arial"/>
          <w:bCs/>
          <w:color w:val="000000" w:themeColor="text1"/>
          <w:sz w:val="22"/>
          <w:lang w:val="es-ES_tradnl"/>
        </w:rPr>
        <w:t xml:space="preserve">14 de la Ley 142 de 1994 establece que las empresas prestadoras de servicios públicos domiciliarios pueden ser </w:t>
      </w:r>
      <w:r w:rsidR="00BE6841" w:rsidRPr="00864E72">
        <w:rPr>
          <w:rFonts w:ascii="Arial" w:eastAsia="Calibri" w:hAnsi="Arial" w:cs="Arial"/>
          <w:bCs/>
          <w:i/>
          <w:iCs/>
          <w:color w:val="000000" w:themeColor="text1"/>
          <w:sz w:val="22"/>
          <w:lang w:val="es-ES_tradnl"/>
        </w:rPr>
        <w:t>oficiales</w:t>
      </w:r>
      <w:r w:rsidR="00BE6841" w:rsidRPr="00864E72">
        <w:rPr>
          <w:rFonts w:ascii="Arial" w:eastAsia="Calibri" w:hAnsi="Arial" w:cs="Arial"/>
          <w:bCs/>
          <w:color w:val="000000" w:themeColor="text1"/>
          <w:sz w:val="22"/>
          <w:lang w:val="es-ES_tradnl"/>
        </w:rPr>
        <w:t xml:space="preserve">, </w:t>
      </w:r>
      <w:r w:rsidR="00BE6841" w:rsidRPr="00864E72">
        <w:rPr>
          <w:rFonts w:ascii="Arial" w:eastAsia="Calibri" w:hAnsi="Arial" w:cs="Arial"/>
          <w:bCs/>
          <w:i/>
          <w:iCs/>
          <w:color w:val="000000" w:themeColor="text1"/>
          <w:sz w:val="22"/>
          <w:lang w:val="es-ES_tradnl"/>
        </w:rPr>
        <w:t>mixtas</w:t>
      </w:r>
      <w:r w:rsidR="00BE6841" w:rsidRPr="00864E72">
        <w:rPr>
          <w:rFonts w:ascii="Arial" w:eastAsia="Calibri" w:hAnsi="Arial" w:cs="Arial"/>
          <w:bCs/>
          <w:color w:val="000000" w:themeColor="text1"/>
          <w:sz w:val="22"/>
          <w:lang w:val="es-ES_tradnl"/>
        </w:rPr>
        <w:t xml:space="preserve"> o </w:t>
      </w:r>
      <w:r w:rsidR="00BE6841" w:rsidRPr="00864E72">
        <w:rPr>
          <w:rFonts w:ascii="Arial" w:eastAsia="Calibri" w:hAnsi="Arial" w:cs="Arial"/>
          <w:bCs/>
          <w:i/>
          <w:iCs/>
          <w:color w:val="000000" w:themeColor="text1"/>
          <w:sz w:val="22"/>
          <w:lang w:val="es-ES_tradnl"/>
        </w:rPr>
        <w:t>privadas</w:t>
      </w:r>
      <w:r w:rsidR="00BE6841" w:rsidRPr="00864E72">
        <w:rPr>
          <w:rStyle w:val="Refdenotaalpie"/>
          <w:rFonts w:ascii="Arial" w:eastAsia="Calibri" w:hAnsi="Arial" w:cs="Arial"/>
          <w:bCs/>
          <w:color w:val="000000" w:themeColor="text1"/>
          <w:sz w:val="22"/>
          <w:lang w:val="es-ES_tradnl"/>
        </w:rPr>
        <w:footnoteReference w:id="12"/>
      </w:r>
      <w:r w:rsidR="00970917" w:rsidRPr="00864E72">
        <w:rPr>
          <w:rFonts w:ascii="Arial" w:eastAsia="Calibri" w:hAnsi="Arial" w:cs="Arial"/>
          <w:bCs/>
          <w:color w:val="000000" w:themeColor="text1"/>
          <w:sz w:val="22"/>
          <w:lang w:val="es-ES_tradnl"/>
        </w:rPr>
        <w:t xml:space="preserve">, estas tres especies ingresan </w:t>
      </w:r>
      <w:r w:rsidR="00A14CA7" w:rsidRPr="00864E72">
        <w:rPr>
          <w:rFonts w:ascii="Arial" w:eastAsia="Calibri" w:hAnsi="Arial" w:cs="Arial"/>
          <w:bCs/>
          <w:color w:val="000000" w:themeColor="text1"/>
          <w:sz w:val="22"/>
          <w:lang w:val="es-ES_tradnl"/>
        </w:rPr>
        <w:t>en</w:t>
      </w:r>
      <w:r w:rsidR="00970917" w:rsidRPr="00864E72">
        <w:rPr>
          <w:rFonts w:ascii="Arial" w:eastAsia="Calibri" w:hAnsi="Arial" w:cs="Arial"/>
          <w:bCs/>
          <w:color w:val="000000" w:themeColor="text1"/>
          <w:sz w:val="22"/>
          <w:lang w:val="es-ES_tradnl"/>
        </w:rPr>
        <w:t xml:space="preserve"> la categoría de</w:t>
      </w:r>
      <w:r w:rsidR="00974267" w:rsidRPr="00864E72">
        <w:rPr>
          <w:rFonts w:ascii="Arial" w:eastAsia="Calibri" w:hAnsi="Arial" w:cs="Arial"/>
          <w:bCs/>
          <w:color w:val="000000" w:themeColor="text1"/>
          <w:sz w:val="22"/>
          <w:lang w:val="es-ES_tradnl"/>
        </w:rPr>
        <w:t xml:space="preserve"> las</w:t>
      </w:r>
      <w:r w:rsidR="00970917" w:rsidRPr="00864E72">
        <w:rPr>
          <w:rFonts w:ascii="Arial" w:eastAsia="Calibri" w:hAnsi="Arial" w:cs="Arial"/>
          <w:bCs/>
          <w:color w:val="000000" w:themeColor="text1"/>
          <w:sz w:val="22"/>
          <w:lang w:val="es-ES_tradnl"/>
        </w:rPr>
        <w:t xml:space="preserve"> </w:t>
      </w:r>
      <w:r w:rsidR="00970917" w:rsidRPr="00864E72">
        <w:rPr>
          <w:rFonts w:ascii="Arial" w:eastAsia="Calibri" w:hAnsi="Arial" w:cs="Arial"/>
          <w:bCs/>
          <w:i/>
          <w:iCs/>
          <w:color w:val="000000" w:themeColor="text1"/>
          <w:sz w:val="22"/>
          <w:lang w:val="es-ES_tradnl"/>
        </w:rPr>
        <w:t>entidades descentralizadas por servicios</w:t>
      </w:r>
      <w:r w:rsidR="00970917" w:rsidRPr="00864E72">
        <w:rPr>
          <w:rFonts w:ascii="Arial" w:eastAsia="Calibri" w:hAnsi="Arial" w:cs="Arial"/>
          <w:bCs/>
          <w:color w:val="000000" w:themeColor="text1"/>
          <w:sz w:val="22"/>
          <w:lang w:val="es-ES_tradnl"/>
        </w:rPr>
        <w:t>.</w:t>
      </w:r>
      <w:r w:rsidR="00D2237F" w:rsidRPr="00864E72">
        <w:rPr>
          <w:rFonts w:ascii="Arial" w:eastAsia="Calibri" w:hAnsi="Arial" w:cs="Arial"/>
          <w:bCs/>
          <w:color w:val="000000" w:themeColor="text1"/>
          <w:sz w:val="22"/>
          <w:lang w:val="es-ES_tradnl"/>
        </w:rPr>
        <w:t xml:space="preserve"> Adicionalmente, debe recordarse que en dicha Sentencia</w:t>
      </w:r>
      <w:r w:rsidR="00EE44F5" w:rsidRPr="00864E72">
        <w:rPr>
          <w:rFonts w:ascii="Arial" w:eastAsia="Calibri" w:hAnsi="Arial" w:cs="Arial"/>
          <w:bCs/>
          <w:color w:val="000000" w:themeColor="text1"/>
          <w:sz w:val="22"/>
          <w:lang w:val="es-ES_tradnl"/>
        </w:rPr>
        <w:t xml:space="preserve"> </w:t>
      </w:r>
      <w:r w:rsidR="00D2237F" w:rsidRPr="00864E72">
        <w:rPr>
          <w:rFonts w:ascii="Arial" w:eastAsia="Calibri" w:hAnsi="Arial" w:cs="Arial"/>
          <w:bCs/>
          <w:color w:val="000000" w:themeColor="text1"/>
          <w:sz w:val="22"/>
          <w:lang w:val="es-ES_tradnl"/>
        </w:rPr>
        <w:t>el alto tribunal</w:t>
      </w:r>
      <w:r w:rsidR="00EE44F5" w:rsidRPr="00864E72">
        <w:rPr>
          <w:rFonts w:ascii="Arial" w:eastAsia="Calibri" w:hAnsi="Arial" w:cs="Arial"/>
          <w:bCs/>
          <w:color w:val="000000" w:themeColor="text1"/>
          <w:sz w:val="22"/>
          <w:lang w:val="es-ES_tradnl"/>
        </w:rPr>
        <w:t xml:space="preserve"> afirmó que las empresas prestadoras de servicios públicos </w:t>
      </w:r>
      <w:r w:rsidR="006D53CF" w:rsidRPr="00864E72">
        <w:rPr>
          <w:rFonts w:ascii="Arial" w:eastAsia="Calibri" w:hAnsi="Arial" w:cs="Arial"/>
          <w:bCs/>
          <w:color w:val="000000" w:themeColor="text1"/>
          <w:sz w:val="22"/>
          <w:lang w:val="es-ES_tradnl"/>
        </w:rPr>
        <w:t xml:space="preserve">domiciliarios </w:t>
      </w:r>
      <w:r w:rsidR="00782D75" w:rsidRPr="00864E72">
        <w:rPr>
          <w:rFonts w:ascii="Arial" w:eastAsia="Calibri" w:hAnsi="Arial" w:cs="Arial"/>
          <w:bCs/>
          <w:i/>
          <w:iCs/>
          <w:color w:val="000000" w:themeColor="text1"/>
          <w:sz w:val="22"/>
          <w:lang w:val="es-ES_tradnl"/>
        </w:rPr>
        <w:t>mixtas y privadas</w:t>
      </w:r>
      <w:r w:rsidR="006D53CF" w:rsidRPr="00864E72">
        <w:rPr>
          <w:rFonts w:ascii="Arial" w:eastAsia="Calibri" w:hAnsi="Arial" w:cs="Arial"/>
          <w:bCs/>
          <w:color w:val="000000" w:themeColor="text1"/>
          <w:sz w:val="22"/>
          <w:lang w:val="es-ES_tradnl"/>
        </w:rPr>
        <w:t xml:space="preserve"> </w:t>
      </w:r>
      <w:r w:rsidR="00782D75" w:rsidRPr="00864E72">
        <w:rPr>
          <w:rFonts w:ascii="Arial" w:eastAsia="Calibri" w:hAnsi="Arial" w:cs="Arial"/>
          <w:bCs/>
          <w:color w:val="000000" w:themeColor="text1"/>
          <w:sz w:val="22"/>
          <w:lang w:val="es-ES_tradnl"/>
        </w:rPr>
        <w:t>son</w:t>
      </w:r>
      <w:r w:rsidR="003C6E5A" w:rsidRPr="00864E72">
        <w:rPr>
          <w:rFonts w:ascii="Arial" w:eastAsia="Calibri" w:hAnsi="Arial" w:cs="Arial"/>
          <w:bCs/>
          <w:color w:val="000000" w:themeColor="text1"/>
          <w:sz w:val="22"/>
          <w:lang w:val="es-ES_tradnl"/>
        </w:rPr>
        <w:t xml:space="preserve"> tipos</w:t>
      </w:r>
      <w:r w:rsidR="006D53CF" w:rsidRPr="00864E72">
        <w:rPr>
          <w:rFonts w:ascii="Arial" w:eastAsia="Calibri" w:hAnsi="Arial" w:cs="Arial"/>
          <w:bCs/>
          <w:color w:val="000000" w:themeColor="text1"/>
          <w:sz w:val="22"/>
          <w:lang w:val="es-ES_tradnl"/>
        </w:rPr>
        <w:t xml:space="preserve"> </w:t>
      </w:r>
      <w:r w:rsidR="00827C39" w:rsidRPr="00864E72">
        <w:rPr>
          <w:rFonts w:ascii="Arial" w:eastAsia="Calibri" w:hAnsi="Arial" w:cs="Arial"/>
          <w:bCs/>
          <w:i/>
          <w:iCs/>
          <w:color w:val="000000" w:themeColor="text1"/>
          <w:sz w:val="22"/>
          <w:lang w:val="es-ES_tradnl"/>
        </w:rPr>
        <w:t>especial</w:t>
      </w:r>
      <w:r w:rsidR="003C6E5A" w:rsidRPr="00864E72">
        <w:rPr>
          <w:rFonts w:ascii="Arial" w:eastAsia="Calibri" w:hAnsi="Arial" w:cs="Arial"/>
          <w:bCs/>
          <w:i/>
          <w:iCs/>
          <w:color w:val="000000" w:themeColor="text1"/>
          <w:sz w:val="22"/>
          <w:lang w:val="es-ES_tradnl"/>
        </w:rPr>
        <w:t>es</w:t>
      </w:r>
      <w:r w:rsidR="006D53CF" w:rsidRPr="00864E72">
        <w:rPr>
          <w:rFonts w:ascii="Arial" w:eastAsia="Calibri" w:hAnsi="Arial" w:cs="Arial"/>
          <w:bCs/>
          <w:color w:val="000000" w:themeColor="text1"/>
          <w:sz w:val="22"/>
          <w:lang w:val="es-ES_tradnl"/>
        </w:rPr>
        <w:t xml:space="preserve"> de entidad</w:t>
      </w:r>
      <w:r w:rsidR="003C6E5A" w:rsidRPr="00864E72">
        <w:rPr>
          <w:rFonts w:ascii="Arial" w:eastAsia="Calibri" w:hAnsi="Arial" w:cs="Arial"/>
          <w:bCs/>
          <w:color w:val="000000" w:themeColor="text1"/>
          <w:sz w:val="22"/>
          <w:lang w:val="es-ES_tradnl"/>
        </w:rPr>
        <w:t>es</w:t>
      </w:r>
      <w:r w:rsidR="006D53CF" w:rsidRPr="00864E72">
        <w:rPr>
          <w:rFonts w:ascii="Arial" w:eastAsia="Calibri" w:hAnsi="Arial" w:cs="Arial"/>
          <w:bCs/>
          <w:color w:val="000000" w:themeColor="text1"/>
          <w:sz w:val="22"/>
          <w:lang w:val="es-ES_tradnl"/>
        </w:rPr>
        <w:t xml:space="preserve"> descentralizada</w:t>
      </w:r>
      <w:r w:rsidR="003C6E5A" w:rsidRPr="00864E72">
        <w:rPr>
          <w:rFonts w:ascii="Arial" w:eastAsia="Calibri" w:hAnsi="Arial" w:cs="Arial"/>
          <w:bCs/>
          <w:color w:val="000000" w:themeColor="text1"/>
          <w:sz w:val="22"/>
          <w:lang w:val="es-ES_tradnl"/>
        </w:rPr>
        <w:t>s</w:t>
      </w:r>
      <w:r w:rsidR="006D53CF" w:rsidRPr="00864E72">
        <w:rPr>
          <w:rFonts w:ascii="Arial" w:eastAsia="Calibri" w:hAnsi="Arial" w:cs="Arial"/>
          <w:bCs/>
          <w:color w:val="000000" w:themeColor="text1"/>
          <w:sz w:val="22"/>
          <w:lang w:val="es-ES_tradnl"/>
        </w:rPr>
        <w:t xml:space="preserve"> por servicios que, por tanto, no puede</w:t>
      </w:r>
      <w:r w:rsidR="00B21755" w:rsidRPr="00864E72">
        <w:rPr>
          <w:rFonts w:ascii="Arial" w:eastAsia="Calibri" w:hAnsi="Arial" w:cs="Arial"/>
          <w:bCs/>
          <w:color w:val="000000" w:themeColor="text1"/>
          <w:sz w:val="22"/>
          <w:lang w:val="es-ES_tradnl"/>
        </w:rPr>
        <w:t>n</w:t>
      </w:r>
      <w:r w:rsidR="006D53CF" w:rsidRPr="00864E72">
        <w:rPr>
          <w:rFonts w:ascii="Arial" w:eastAsia="Calibri" w:hAnsi="Arial" w:cs="Arial"/>
          <w:bCs/>
          <w:color w:val="000000" w:themeColor="text1"/>
          <w:sz w:val="22"/>
          <w:lang w:val="es-ES_tradnl"/>
        </w:rPr>
        <w:t xml:space="preserve"> encasillarse</w:t>
      </w:r>
      <w:r w:rsidR="00B65126" w:rsidRPr="00864E72">
        <w:rPr>
          <w:rFonts w:ascii="Arial" w:eastAsia="Calibri" w:hAnsi="Arial" w:cs="Arial"/>
          <w:bCs/>
          <w:color w:val="000000" w:themeColor="text1"/>
          <w:sz w:val="22"/>
          <w:lang w:val="es-ES_tradnl"/>
        </w:rPr>
        <w:t xml:space="preserve"> en</w:t>
      </w:r>
      <w:r w:rsidR="006D53CF" w:rsidRPr="00864E72">
        <w:rPr>
          <w:rFonts w:ascii="Arial" w:eastAsia="Calibri" w:hAnsi="Arial" w:cs="Arial"/>
          <w:bCs/>
          <w:color w:val="000000" w:themeColor="text1"/>
          <w:sz w:val="22"/>
          <w:lang w:val="es-ES_tradnl"/>
        </w:rPr>
        <w:t xml:space="preserve"> las otras especies de entidades descentralizadas por servicios enlistadas en el artículo 38 de la Ley 489 de 1998, es decir, que no cabe </w:t>
      </w:r>
      <w:r w:rsidR="00BC5434" w:rsidRPr="00864E72">
        <w:rPr>
          <w:rFonts w:ascii="Arial" w:eastAsia="Calibri" w:hAnsi="Arial" w:cs="Arial"/>
          <w:bCs/>
          <w:color w:val="000000" w:themeColor="text1"/>
          <w:sz w:val="22"/>
          <w:lang w:val="es-ES_tradnl"/>
        </w:rPr>
        <w:t xml:space="preserve">considerarlas, verbigracia, dentro de las </w:t>
      </w:r>
      <w:r w:rsidR="003C6E5A" w:rsidRPr="00864E72">
        <w:rPr>
          <w:rFonts w:ascii="Arial" w:eastAsia="Calibri" w:hAnsi="Arial" w:cs="Arial"/>
          <w:bCs/>
          <w:color w:val="000000" w:themeColor="text1"/>
          <w:sz w:val="22"/>
          <w:lang w:val="es-ES_tradnl"/>
        </w:rPr>
        <w:t>sociedades públicas</w:t>
      </w:r>
      <w:r w:rsidR="00BC5434" w:rsidRPr="00864E72">
        <w:rPr>
          <w:rFonts w:ascii="Arial" w:eastAsia="Calibri" w:hAnsi="Arial" w:cs="Arial"/>
          <w:bCs/>
          <w:color w:val="000000" w:themeColor="text1"/>
          <w:sz w:val="22"/>
          <w:lang w:val="es-ES_tradnl"/>
        </w:rPr>
        <w:t>, ni en las sociedades de economía mixta.</w:t>
      </w:r>
      <w:r w:rsidR="00B65126" w:rsidRPr="00864E72">
        <w:rPr>
          <w:rFonts w:ascii="Arial" w:eastAsia="Calibri" w:hAnsi="Arial" w:cs="Arial"/>
          <w:bCs/>
          <w:color w:val="000000" w:themeColor="text1"/>
          <w:sz w:val="22"/>
          <w:lang w:val="es-ES_tradnl"/>
        </w:rPr>
        <w:t xml:space="preserve"> </w:t>
      </w:r>
      <w:r w:rsidR="0079199A" w:rsidRPr="00864E72">
        <w:rPr>
          <w:rFonts w:ascii="Arial" w:eastAsia="Calibri" w:hAnsi="Arial" w:cs="Arial"/>
          <w:bCs/>
          <w:color w:val="000000" w:themeColor="text1"/>
          <w:sz w:val="22"/>
          <w:lang w:val="es-ES_tradnl"/>
        </w:rPr>
        <w:t>En efecto:</w:t>
      </w:r>
    </w:p>
    <w:p w14:paraId="4C508D10" w14:textId="77777777" w:rsidR="0079199A" w:rsidRPr="00864E72" w:rsidRDefault="0079199A" w:rsidP="0079199A">
      <w:pPr>
        <w:tabs>
          <w:tab w:val="left" w:pos="0"/>
        </w:tabs>
        <w:ind w:left="709" w:right="709"/>
        <w:jc w:val="both"/>
        <w:rPr>
          <w:rFonts w:ascii="Arial" w:eastAsia="Calibri" w:hAnsi="Arial" w:cs="Arial"/>
          <w:bCs/>
          <w:color w:val="000000" w:themeColor="text1"/>
          <w:sz w:val="21"/>
          <w:szCs w:val="21"/>
          <w:lang w:val="es-ES_tradnl"/>
        </w:rPr>
      </w:pPr>
    </w:p>
    <w:p w14:paraId="0C7DF7FB" w14:textId="141931FF" w:rsidR="002C7056" w:rsidRPr="00864E72" w:rsidRDefault="0079199A" w:rsidP="003C6E5A">
      <w:pPr>
        <w:tabs>
          <w:tab w:val="left" w:pos="0"/>
        </w:tabs>
        <w:ind w:left="709" w:right="709"/>
        <w:jc w:val="both"/>
        <w:rPr>
          <w:rFonts w:ascii="Arial" w:eastAsia="Calibri" w:hAnsi="Arial" w:cs="Arial"/>
          <w:bCs/>
          <w:i/>
          <w:iCs/>
          <w:color w:val="000000" w:themeColor="text1"/>
          <w:sz w:val="21"/>
          <w:szCs w:val="21"/>
          <w:lang w:val="es-ES_tradnl"/>
        </w:rPr>
      </w:pPr>
      <w:r w:rsidRPr="00864E72">
        <w:rPr>
          <w:rFonts w:ascii="Arial" w:eastAsia="Calibri" w:hAnsi="Arial" w:cs="Arial"/>
          <w:bCs/>
          <w:color w:val="000000" w:themeColor="text1"/>
          <w:sz w:val="21"/>
          <w:szCs w:val="21"/>
          <w:lang w:val="es-ES_tradnl"/>
        </w:rPr>
        <w:t xml:space="preserve">[…] la Corte entiende que el constituyente quiso definir que las personas o entidades que asuman la prestación de los servicios públicos tendrán no sólo un régimen jurídico especial, </w:t>
      </w:r>
      <w:r w:rsidRPr="00864E72">
        <w:rPr>
          <w:rFonts w:ascii="Arial" w:eastAsia="Calibri" w:hAnsi="Arial" w:cs="Arial"/>
          <w:bCs/>
          <w:i/>
          <w:iCs/>
          <w:color w:val="000000" w:themeColor="text1"/>
          <w:sz w:val="21"/>
          <w:szCs w:val="21"/>
          <w:lang w:val="es-ES_tradnl"/>
        </w:rPr>
        <w:t>sino también una naturaleza jurídica especial</w:t>
      </w:r>
      <w:r w:rsidRPr="00864E72">
        <w:rPr>
          <w:rFonts w:ascii="Arial" w:eastAsia="Calibri" w:hAnsi="Arial" w:cs="Arial"/>
          <w:bCs/>
          <w:color w:val="000000" w:themeColor="text1"/>
          <w:sz w:val="21"/>
          <w:szCs w:val="21"/>
          <w:lang w:val="es-ES_tradnl"/>
        </w:rPr>
        <w:t xml:space="preserve">; esta particular naturaleza y reglamentación jurídica encuentra su fundamento en la necesidad de hacer realidad la finalidad social que es definida por la misma Carta como objetivo de la adecuada prestación de los servicios públicos. De lo anterior se desprende que cuando el Estado asume directamente o participa con los particulares en dicho cometido, las entidades que surgen para esos efectos también se revisten de ese carácter especial y quedan sujetas a la reglamentación jurídica particularmente diseñada para la prestación adecuada de los servicios públicos. Otro tanto sucede cuando los particulares asumen la prestación de servicios públicos. </w:t>
      </w:r>
      <w:r w:rsidRPr="00864E72">
        <w:rPr>
          <w:rFonts w:ascii="Arial" w:eastAsia="Calibri" w:hAnsi="Arial" w:cs="Arial"/>
          <w:bCs/>
          <w:i/>
          <w:iCs/>
          <w:color w:val="000000" w:themeColor="text1"/>
          <w:sz w:val="21"/>
          <w:szCs w:val="21"/>
          <w:lang w:val="es-ES_tradnl"/>
        </w:rPr>
        <w:t xml:space="preserve">Así las cosas, las sociedades públicas, privadas </w:t>
      </w:r>
      <w:r w:rsidRPr="00864E72">
        <w:rPr>
          <w:rFonts w:ascii="Arial" w:eastAsia="Calibri" w:hAnsi="Arial" w:cs="Arial"/>
          <w:bCs/>
          <w:i/>
          <w:iCs/>
          <w:color w:val="000000" w:themeColor="text1"/>
          <w:sz w:val="21"/>
          <w:szCs w:val="21"/>
          <w:lang w:val="es-ES_tradnl"/>
        </w:rPr>
        <w:lastRenderedPageBreak/>
        <w:t>o mixtas cuyo objeto social sea la prestación de los servicios en comento, antes que sociedades de economía mixta, sociedades entre entidades públicas o sociedades de carácter privado, vienen a ser entidades de naturaleza especial, para responder así a este interés constitucional de someter esta actividad de interés social a un régimen jurídico también especial</w:t>
      </w:r>
    </w:p>
    <w:p w14:paraId="21905AAB" w14:textId="77777777" w:rsidR="00B640B0" w:rsidRPr="00864E72" w:rsidRDefault="00B640B0" w:rsidP="003C6E5A">
      <w:pPr>
        <w:tabs>
          <w:tab w:val="left" w:pos="0"/>
        </w:tabs>
        <w:ind w:left="709" w:right="709"/>
        <w:jc w:val="both"/>
        <w:rPr>
          <w:rFonts w:ascii="Arial" w:eastAsia="Calibri" w:hAnsi="Arial" w:cs="Arial"/>
          <w:bCs/>
          <w:color w:val="000000" w:themeColor="text1"/>
          <w:sz w:val="21"/>
          <w:szCs w:val="21"/>
          <w:lang w:val="es-ES_tradnl"/>
        </w:rPr>
      </w:pPr>
    </w:p>
    <w:p w14:paraId="3A530CE9" w14:textId="5FE64FCD" w:rsidR="00B640B0" w:rsidRPr="00864E72" w:rsidRDefault="00B640B0" w:rsidP="003C6E5A">
      <w:pPr>
        <w:tabs>
          <w:tab w:val="left" w:pos="0"/>
        </w:tabs>
        <w:ind w:left="709" w:right="709"/>
        <w:jc w:val="both"/>
        <w:rPr>
          <w:rFonts w:ascii="Arial" w:eastAsia="Calibri" w:hAnsi="Arial" w:cs="Arial"/>
          <w:bCs/>
          <w:color w:val="000000" w:themeColor="text1"/>
          <w:sz w:val="21"/>
          <w:szCs w:val="21"/>
          <w:lang w:val="es-ES_tradnl"/>
        </w:rPr>
      </w:pPr>
      <w:r w:rsidRPr="00864E72">
        <w:rPr>
          <w:rFonts w:ascii="Arial" w:eastAsia="Calibri" w:hAnsi="Arial" w:cs="Arial"/>
          <w:bCs/>
          <w:color w:val="000000" w:themeColor="text1"/>
          <w:sz w:val="21"/>
          <w:szCs w:val="21"/>
          <w:lang w:val="es-ES_tradnl"/>
        </w:rPr>
        <w:t>[…]</w:t>
      </w:r>
    </w:p>
    <w:p w14:paraId="2F93ECC1" w14:textId="2CB6123C" w:rsidR="0079199A" w:rsidRPr="00864E72" w:rsidRDefault="00B640B0" w:rsidP="003C6E5A">
      <w:pPr>
        <w:tabs>
          <w:tab w:val="left" w:pos="0"/>
        </w:tabs>
        <w:ind w:left="709" w:right="709"/>
        <w:jc w:val="both"/>
        <w:rPr>
          <w:rFonts w:ascii="Arial" w:eastAsia="Calibri" w:hAnsi="Arial" w:cs="Arial"/>
          <w:bCs/>
          <w:color w:val="000000" w:themeColor="text1"/>
          <w:sz w:val="21"/>
          <w:szCs w:val="21"/>
          <w:lang w:val="es-ES_tradnl"/>
        </w:rPr>
      </w:pPr>
      <w:r w:rsidRPr="00864E72">
        <w:rPr>
          <w:rFonts w:ascii="Arial" w:eastAsia="Calibri" w:hAnsi="Arial" w:cs="Arial"/>
          <w:bCs/>
          <w:color w:val="000000" w:themeColor="text1"/>
          <w:sz w:val="21"/>
          <w:szCs w:val="21"/>
          <w:lang w:val="es-ES_tradnl"/>
        </w:rPr>
        <w:t>[…] después de haber estudiado los conceptos de sociedad de economía mixta y de empresa de servicios públicos, la Corte estima que la naturaleza y el régimen jurídico especial de la prestación de los servicios públicos dispuesto por el constituyente en el artículo 365 de la Carta impiden considerar que las empresas de servicios públicos constituidas bajo la forma de sociedades por acciones, en las cuales concurran en cualquier proporción el capital público y el privado, sean “sociedades de economía mixta”. A juicio de la Corporación, y por lo dicho anteriormente, se trata de entidades de tipología especial expresamente definida por el legislador en desarrollo de las normas superiores antes mencionadas, que señalan las particularidades de esta actividad</w:t>
      </w:r>
      <w:r w:rsidR="00683A61" w:rsidRPr="00864E72">
        <w:rPr>
          <w:rStyle w:val="Refdenotaalpie"/>
          <w:rFonts w:ascii="Arial" w:eastAsia="Calibri" w:hAnsi="Arial" w:cs="Arial"/>
          <w:bCs/>
          <w:color w:val="000000" w:themeColor="text1"/>
          <w:sz w:val="21"/>
          <w:szCs w:val="21"/>
          <w:lang w:val="es-ES_tradnl"/>
        </w:rPr>
        <w:footnoteReference w:id="13"/>
      </w:r>
      <w:r w:rsidR="00683A61" w:rsidRPr="00864E72">
        <w:rPr>
          <w:rFonts w:ascii="Arial" w:eastAsia="Calibri" w:hAnsi="Arial" w:cs="Arial"/>
          <w:bCs/>
          <w:color w:val="000000" w:themeColor="text1"/>
          <w:sz w:val="21"/>
          <w:szCs w:val="21"/>
          <w:lang w:val="es-ES_tradnl"/>
        </w:rPr>
        <w:t xml:space="preserve"> (énfasis fuera de texto)</w:t>
      </w:r>
      <w:r w:rsidR="0079199A" w:rsidRPr="00864E72">
        <w:rPr>
          <w:rFonts w:ascii="Arial" w:eastAsia="Calibri" w:hAnsi="Arial" w:cs="Arial"/>
          <w:bCs/>
          <w:color w:val="000000" w:themeColor="text1"/>
          <w:sz w:val="21"/>
          <w:szCs w:val="21"/>
          <w:lang w:val="es-ES_tradnl"/>
        </w:rPr>
        <w:t>.</w:t>
      </w:r>
    </w:p>
    <w:p w14:paraId="3CC45B55" w14:textId="77777777" w:rsidR="003C6E5A" w:rsidRPr="00864E72" w:rsidRDefault="003C6E5A" w:rsidP="003C6E5A">
      <w:pPr>
        <w:tabs>
          <w:tab w:val="left" w:pos="0"/>
        </w:tabs>
        <w:spacing w:line="276" w:lineRule="auto"/>
        <w:ind w:firstLine="709"/>
        <w:jc w:val="both"/>
        <w:rPr>
          <w:rFonts w:ascii="Arial" w:eastAsia="Calibri" w:hAnsi="Arial" w:cs="Arial"/>
          <w:bCs/>
          <w:color w:val="000000" w:themeColor="text1"/>
          <w:sz w:val="22"/>
          <w:lang w:val="es-ES_tradnl"/>
        </w:rPr>
      </w:pPr>
    </w:p>
    <w:p w14:paraId="217176FE" w14:textId="1B3DE25D" w:rsidR="00A342FB" w:rsidRPr="00864E72" w:rsidRDefault="00796FBA" w:rsidP="000D5E98">
      <w:pPr>
        <w:spacing w:line="276" w:lineRule="auto"/>
        <w:ind w:firstLine="709"/>
        <w:jc w:val="both"/>
        <w:rPr>
          <w:rFonts w:ascii="Arial" w:eastAsia="Calibri" w:hAnsi="Arial" w:cs="Arial"/>
          <w:bCs/>
          <w:color w:val="000000" w:themeColor="text1"/>
          <w:sz w:val="22"/>
          <w:lang w:val="es-ES_tradnl"/>
        </w:rPr>
      </w:pPr>
      <w:r w:rsidRPr="00864E72">
        <w:rPr>
          <w:rFonts w:ascii="Arial" w:eastAsia="Calibri" w:hAnsi="Arial" w:cs="Arial"/>
          <w:bCs/>
          <w:color w:val="000000" w:themeColor="text1"/>
          <w:sz w:val="22"/>
          <w:lang w:val="es-ES_tradnl"/>
        </w:rPr>
        <w:t>Sin perjuicio de lo anterior</w:t>
      </w:r>
      <w:r w:rsidR="00F66E9B" w:rsidRPr="00864E72">
        <w:rPr>
          <w:rFonts w:ascii="Arial" w:eastAsia="Calibri" w:hAnsi="Arial" w:cs="Arial"/>
          <w:bCs/>
          <w:color w:val="000000" w:themeColor="text1"/>
          <w:sz w:val="22"/>
          <w:lang w:val="es-ES_tradnl"/>
        </w:rPr>
        <w:t xml:space="preserve">, </w:t>
      </w:r>
      <w:r w:rsidR="003C6E5A" w:rsidRPr="00864E72">
        <w:rPr>
          <w:rFonts w:ascii="Arial" w:eastAsia="Calibri" w:hAnsi="Arial" w:cs="Arial"/>
          <w:bCs/>
          <w:color w:val="000000" w:themeColor="text1"/>
          <w:sz w:val="22"/>
          <w:lang w:val="es-ES_tradnl"/>
        </w:rPr>
        <w:t xml:space="preserve">el artículo 17 de la Ley 142 de 1994 </w:t>
      </w:r>
      <w:r w:rsidR="00F66E9B" w:rsidRPr="00864E72">
        <w:rPr>
          <w:rFonts w:ascii="Arial" w:eastAsia="Calibri" w:hAnsi="Arial" w:cs="Arial"/>
          <w:bCs/>
          <w:color w:val="000000" w:themeColor="text1"/>
          <w:sz w:val="22"/>
          <w:lang w:val="es-ES_tradnl"/>
        </w:rPr>
        <w:t>establece</w:t>
      </w:r>
      <w:r w:rsidR="003C6E5A" w:rsidRPr="00864E72">
        <w:rPr>
          <w:rFonts w:ascii="Arial" w:eastAsia="Calibri" w:hAnsi="Arial" w:cs="Arial"/>
          <w:bCs/>
          <w:color w:val="000000" w:themeColor="text1"/>
          <w:sz w:val="22"/>
          <w:lang w:val="es-ES_tradnl"/>
        </w:rPr>
        <w:t xml:space="preserve"> que «Las entidades descentralizadas de cualquier orden territorial o nacional, cuyos propietarios no deseen que su capital esté representado en acciones, </w:t>
      </w:r>
      <w:r w:rsidR="003C6E5A" w:rsidRPr="00864E72">
        <w:rPr>
          <w:rFonts w:ascii="Arial" w:eastAsia="Calibri" w:hAnsi="Arial" w:cs="Arial"/>
          <w:bCs/>
          <w:i/>
          <w:iCs/>
          <w:color w:val="000000" w:themeColor="text1"/>
          <w:sz w:val="22"/>
          <w:lang w:val="es-ES_tradnl"/>
        </w:rPr>
        <w:t>deberán adoptar la forma de empresa industrial y comercial del estado</w:t>
      </w:r>
      <w:r w:rsidR="003C6E5A" w:rsidRPr="00864E72">
        <w:rPr>
          <w:rFonts w:ascii="Arial" w:eastAsia="Calibri" w:hAnsi="Arial" w:cs="Arial"/>
          <w:bCs/>
          <w:color w:val="000000" w:themeColor="text1"/>
          <w:sz w:val="22"/>
          <w:lang w:val="es-ES_tradnl"/>
        </w:rPr>
        <w:t>» (cursiva fuera de texto).</w:t>
      </w:r>
      <w:r w:rsidR="00F66E9B" w:rsidRPr="00864E72">
        <w:rPr>
          <w:rFonts w:ascii="Arial" w:eastAsia="Calibri" w:hAnsi="Arial" w:cs="Arial"/>
          <w:bCs/>
          <w:color w:val="000000" w:themeColor="text1"/>
          <w:sz w:val="22"/>
          <w:lang w:val="es-ES_tradnl"/>
        </w:rPr>
        <w:t xml:space="preserve"> </w:t>
      </w:r>
      <w:r w:rsidR="0019004B" w:rsidRPr="00864E72">
        <w:rPr>
          <w:rFonts w:ascii="Arial" w:eastAsia="Calibri" w:hAnsi="Arial" w:cs="Arial"/>
          <w:bCs/>
          <w:color w:val="000000" w:themeColor="text1"/>
          <w:sz w:val="22"/>
          <w:lang w:val="es-ES_tradnl"/>
        </w:rPr>
        <w:t xml:space="preserve">Es decir que en </w:t>
      </w:r>
      <w:r w:rsidR="00CE3B1A" w:rsidRPr="00864E72">
        <w:rPr>
          <w:rFonts w:ascii="Arial" w:eastAsia="Calibri" w:hAnsi="Arial" w:cs="Arial"/>
          <w:bCs/>
          <w:color w:val="000000" w:themeColor="text1"/>
          <w:sz w:val="22"/>
          <w:lang w:val="es-ES_tradnl"/>
        </w:rPr>
        <w:t>tal evento</w:t>
      </w:r>
      <w:r w:rsidR="0019004B" w:rsidRPr="00864E72">
        <w:rPr>
          <w:rFonts w:ascii="Arial" w:eastAsia="Calibri" w:hAnsi="Arial" w:cs="Arial"/>
          <w:bCs/>
          <w:color w:val="000000" w:themeColor="text1"/>
          <w:sz w:val="22"/>
          <w:lang w:val="es-ES_tradnl"/>
        </w:rPr>
        <w:t xml:space="preserve"> esa es la </w:t>
      </w:r>
      <w:r w:rsidR="0019004B" w:rsidRPr="00864E72">
        <w:rPr>
          <w:rFonts w:ascii="Arial" w:eastAsia="Calibri" w:hAnsi="Arial" w:cs="Arial"/>
          <w:bCs/>
          <w:i/>
          <w:iCs/>
          <w:color w:val="000000" w:themeColor="text1"/>
          <w:sz w:val="22"/>
          <w:lang w:val="es-ES_tradnl"/>
        </w:rPr>
        <w:t>naturaleza</w:t>
      </w:r>
      <w:r w:rsidR="0019004B" w:rsidRPr="00864E72">
        <w:rPr>
          <w:rFonts w:ascii="Arial" w:eastAsia="Calibri" w:hAnsi="Arial" w:cs="Arial"/>
          <w:bCs/>
          <w:color w:val="000000" w:themeColor="text1"/>
          <w:sz w:val="22"/>
          <w:lang w:val="es-ES_tradnl"/>
        </w:rPr>
        <w:t xml:space="preserve"> de la empresa de servicios públicos domiciliarios. Así lo reconoció la Corte Constitucional en un apartado del fallo que se viene comentando, al decir que «[…], el artículo 17 de la Ley en cita define así </w:t>
      </w:r>
      <w:r w:rsidR="0019004B" w:rsidRPr="00864E72">
        <w:rPr>
          <w:rFonts w:ascii="Arial" w:eastAsia="Calibri" w:hAnsi="Arial" w:cs="Arial"/>
          <w:bCs/>
          <w:i/>
          <w:iCs/>
          <w:color w:val="000000" w:themeColor="text1"/>
          <w:sz w:val="22"/>
          <w:lang w:val="es-ES_tradnl"/>
        </w:rPr>
        <w:t>la naturaleza jurídica</w:t>
      </w:r>
      <w:r w:rsidR="0019004B" w:rsidRPr="00864E72">
        <w:rPr>
          <w:rFonts w:ascii="Arial" w:eastAsia="Calibri" w:hAnsi="Arial" w:cs="Arial"/>
          <w:bCs/>
          <w:color w:val="000000" w:themeColor="text1"/>
          <w:sz w:val="22"/>
          <w:lang w:val="es-ES_tradnl"/>
        </w:rPr>
        <w:t xml:space="preserve"> de las empresas de servicios públicos» (énfasis fuera de texto).</w:t>
      </w:r>
      <w:r w:rsidR="00FC1A47" w:rsidRPr="00864E72">
        <w:rPr>
          <w:rFonts w:ascii="Arial" w:eastAsia="Calibri" w:hAnsi="Arial" w:cs="Arial"/>
          <w:bCs/>
          <w:color w:val="000000" w:themeColor="text1"/>
          <w:sz w:val="22"/>
          <w:lang w:val="es-ES_tradnl"/>
        </w:rPr>
        <w:t xml:space="preserve"> El Consejo de Estado también ha considerado</w:t>
      </w:r>
      <w:r w:rsidR="0098430B" w:rsidRPr="00864E72">
        <w:rPr>
          <w:rFonts w:ascii="Arial" w:eastAsia="Calibri" w:hAnsi="Arial" w:cs="Arial"/>
          <w:bCs/>
          <w:color w:val="000000" w:themeColor="text1"/>
          <w:sz w:val="22"/>
          <w:lang w:val="es-ES_tradnl"/>
        </w:rPr>
        <w:t>, interpretando el mismo artículo,</w:t>
      </w:r>
      <w:r w:rsidR="00FC1A47" w:rsidRPr="00864E72">
        <w:rPr>
          <w:rFonts w:ascii="Arial" w:eastAsia="Calibri" w:hAnsi="Arial" w:cs="Arial"/>
          <w:bCs/>
          <w:color w:val="000000" w:themeColor="text1"/>
          <w:sz w:val="22"/>
          <w:lang w:val="es-ES_tradnl"/>
        </w:rPr>
        <w:t xml:space="preserve"> que las empresas de servicios públicos domiciliarios </w:t>
      </w:r>
      <w:r w:rsidR="0098430B" w:rsidRPr="00864E72">
        <w:rPr>
          <w:rFonts w:ascii="Arial" w:eastAsia="Calibri" w:hAnsi="Arial" w:cs="Arial"/>
          <w:bCs/>
          <w:color w:val="000000" w:themeColor="text1"/>
          <w:sz w:val="22"/>
          <w:lang w:val="es-ES_tradnl"/>
        </w:rPr>
        <w:t xml:space="preserve">pueden tener la </w:t>
      </w:r>
      <w:r w:rsidR="0098430B" w:rsidRPr="00864E72">
        <w:rPr>
          <w:rFonts w:ascii="Arial" w:eastAsia="Calibri" w:hAnsi="Arial" w:cs="Arial"/>
          <w:bCs/>
          <w:i/>
          <w:iCs/>
          <w:color w:val="000000" w:themeColor="text1"/>
          <w:sz w:val="22"/>
          <w:lang w:val="es-ES_tradnl"/>
        </w:rPr>
        <w:t>forma</w:t>
      </w:r>
      <w:r w:rsidR="0098430B" w:rsidRPr="00864E72">
        <w:rPr>
          <w:rFonts w:ascii="Arial" w:eastAsia="Calibri" w:hAnsi="Arial" w:cs="Arial"/>
          <w:bCs/>
          <w:color w:val="000000" w:themeColor="text1"/>
          <w:sz w:val="22"/>
          <w:lang w:val="es-ES_tradnl"/>
        </w:rPr>
        <w:t xml:space="preserve"> de empresas industriales y comerciales del Estado</w:t>
      </w:r>
      <w:r w:rsidR="00B37C9F" w:rsidRPr="00864E72">
        <w:rPr>
          <w:rFonts w:ascii="Arial" w:eastAsia="Calibri" w:hAnsi="Arial" w:cs="Arial"/>
          <w:bCs/>
          <w:color w:val="000000" w:themeColor="text1"/>
          <w:sz w:val="22"/>
          <w:lang w:val="es-ES_tradnl"/>
        </w:rPr>
        <w:t xml:space="preserve"> o de sociedades por acciones</w:t>
      </w:r>
      <w:r w:rsidR="0098430B" w:rsidRPr="00864E72">
        <w:rPr>
          <w:rFonts w:ascii="Arial" w:eastAsia="Calibri" w:hAnsi="Arial" w:cs="Arial"/>
          <w:bCs/>
          <w:color w:val="000000" w:themeColor="text1"/>
          <w:sz w:val="22"/>
          <w:lang w:val="es-ES_tradnl"/>
        </w:rPr>
        <w:t>. Lo dijo, por ejemplo, para otorgarles</w:t>
      </w:r>
      <w:r w:rsidR="004C4DC7" w:rsidRPr="00864E72">
        <w:rPr>
          <w:rFonts w:ascii="Arial" w:eastAsia="Calibri" w:hAnsi="Arial" w:cs="Arial"/>
          <w:bCs/>
          <w:color w:val="000000" w:themeColor="text1"/>
          <w:sz w:val="22"/>
          <w:lang w:val="es-ES_tradnl"/>
        </w:rPr>
        <w:t xml:space="preserve"> a las empresas industriales y comerciales del Estado que prestaran servicios públicos domiciliarios</w:t>
      </w:r>
      <w:r w:rsidR="0098430B" w:rsidRPr="00864E72">
        <w:rPr>
          <w:rFonts w:ascii="Arial" w:eastAsia="Calibri" w:hAnsi="Arial" w:cs="Arial"/>
          <w:bCs/>
          <w:color w:val="000000" w:themeColor="text1"/>
          <w:sz w:val="22"/>
          <w:lang w:val="es-ES_tradnl"/>
        </w:rPr>
        <w:t xml:space="preserve"> el carácter de entidades públicas e indicar que, por tanto, eran sujetos pasivos de la contribución especial prevista en el artículo </w:t>
      </w:r>
      <w:r w:rsidR="00DB5416" w:rsidRPr="00864E72">
        <w:rPr>
          <w:rFonts w:ascii="Arial" w:eastAsia="Calibri" w:hAnsi="Arial" w:cs="Arial"/>
          <w:bCs/>
          <w:color w:val="000000" w:themeColor="text1"/>
          <w:sz w:val="22"/>
          <w:lang w:val="es-ES_tradnl"/>
        </w:rPr>
        <w:t>6 de la Ley 1106 de 2006.</w:t>
      </w:r>
      <w:r w:rsidR="000D5E98" w:rsidRPr="00864E72">
        <w:rPr>
          <w:rFonts w:ascii="Arial" w:eastAsia="Calibri" w:hAnsi="Arial" w:cs="Arial"/>
          <w:bCs/>
          <w:color w:val="000000" w:themeColor="text1"/>
          <w:sz w:val="22"/>
          <w:lang w:val="es-ES_tradnl"/>
        </w:rPr>
        <w:t xml:space="preserve"> En tal sentido,</w:t>
      </w:r>
      <w:r w:rsidR="00A342FB" w:rsidRPr="00864E72">
        <w:rPr>
          <w:rFonts w:ascii="Arial" w:eastAsia="Calibri" w:hAnsi="Arial" w:cs="Arial"/>
          <w:bCs/>
          <w:color w:val="000000" w:themeColor="text1"/>
          <w:sz w:val="22"/>
          <w:lang w:val="es-ES_tradnl"/>
        </w:rPr>
        <w:t xml:space="preserve"> dicha corporación judicial indicó: </w:t>
      </w:r>
    </w:p>
    <w:p w14:paraId="1A889D55" w14:textId="77777777" w:rsidR="00A342FB" w:rsidRPr="00864E72" w:rsidRDefault="00A342FB" w:rsidP="000D5E98">
      <w:pPr>
        <w:spacing w:line="276" w:lineRule="auto"/>
        <w:ind w:firstLine="709"/>
        <w:jc w:val="both"/>
        <w:rPr>
          <w:rFonts w:ascii="Arial" w:eastAsia="Calibri" w:hAnsi="Arial" w:cs="Arial"/>
          <w:bCs/>
          <w:color w:val="000000" w:themeColor="text1"/>
          <w:sz w:val="22"/>
          <w:lang w:val="es-ES_tradnl"/>
        </w:rPr>
      </w:pPr>
    </w:p>
    <w:p w14:paraId="65C4EB38" w14:textId="2C27FE61" w:rsidR="00A342FB" w:rsidRPr="00864E72" w:rsidRDefault="00A342FB" w:rsidP="00A342FB">
      <w:pPr>
        <w:tabs>
          <w:tab w:val="left" w:pos="0"/>
        </w:tabs>
        <w:ind w:left="709" w:right="709"/>
        <w:jc w:val="both"/>
        <w:rPr>
          <w:rFonts w:ascii="Arial" w:eastAsia="Calibri" w:hAnsi="Arial" w:cs="Arial"/>
          <w:bCs/>
          <w:color w:val="000000" w:themeColor="text1"/>
          <w:sz w:val="21"/>
          <w:szCs w:val="21"/>
          <w:lang w:val="es-ES_tradnl"/>
        </w:rPr>
      </w:pPr>
      <w:r w:rsidRPr="00864E72">
        <w:rPr>
          <w:rFonts w:ascii="Arial" w:eastAsia="Calibri" w:hAnsi="Arial" w:cs="Arial"/>
          <w:bCs/>
          <w:color w:val="000000" w:themeColor="text1"/>
          <w:sz w:val="21"/>
          <w:szCs w:val="21"/>
          <w:lang w:val="es-ES_tradnl"/>
        </w:rPr>
        <w:t>La Sala precisa que el acto acusado resolvió la consulta referida a una empresa de servicios públicos domiciliarios de naturaleza pública, toda vez que como se puso de presente se constituyó como empresa Industrial y Comercial del Estado, organismo que al tenor del artículo 38 de la Ley 489 de 1998, hace parte del sector descentralizado por servicios de la rama ejecutiva del poder público.</w:t>
      </w:r>
    </w:p>
    <w:p w14:paraId="4E80AE0B" w14:textId="77777777" w:rsidR="00A342FB" w:rsidRPr="00864E72" w:rsidRDefault="00A342FB" w:rsidP="00A342FB">
      <w:pPr>
        <w:tabs>
          <w:tab w:val="left" w:pos="0"/>
        </w:tabs>
        <w:ind w:left="709" w:right="709"/>
        <w:jc w:val="both"/>
        <w:rPr>
          <w:rFonts w:ascii="Arial" w:eastAsia="Calibri" w:hAnsi="Arial" w:cs="Arial"/>
          <w:bCs/>
          <w:color w:val="000000" w:themeColor="text1"/>
          <w:sz w:val="21"/>
          <w:szCs w:val="21"/>
          <w:lang w:val="es-ES_tradnl"/>
        </w:rPr>
      </w:pPr>
    </w:p>
    <w:p w14:paraId="3F285584" w14:textId="3CA512F9" w:rsidR="000175BD" w:rsidRPr="00864E72" w:rsidRDefault="00A342FB" w:rsidP="00A342FB">
      <w:pPr>
        <w:tabs>
          <w:tab w:val="left" w:pos="0"/>
        </w:tabs>
        <w:ind w:left="709" w:right="709"/>
        <w:jc w:val="both"/>
        <w:rPr>
          <w:rFonts w:ascii="Arial" w:eastAsia="Calibri" w:hAnsi="Arial" w:cs="Arial"/>
          <w:bCs/>
          <w:color w:val="000000" w:themeColor="text1"/>
          <w:sz w:val="21"/>
          <w:szCs w:val="21"/>
          <w:lang w:val="es-ES_tradnl"/>
        </w:rPr>
      </w:pPr>
      <w:r w:rsidRPr="00864E72">
        <w:rPr>
          <w:rFonts w:ascii="Arial" w:eastAsia="Calibri" w:hAnsi="Arial" w:cs="Arial"/>
          <w:bCs/>
          <w:color w:val="000000" w:themeColor="text1"/>
          <w:sz w:val="21"/>
          <w:szCs w:val="21"/>
          <w:lang w:val="es-ES_tradnl"/>
        </w:rPr>
        <w:t xml:space="preserve">Ahora, el artículo 19 ibídem enuncia como régimen jurídico de las empresas en mención, las reglas, entre otras, sobre la denominación, duración, aportes, </w:t>
      </w:r>
      <w:r w:rsidRPr="00864E72">
        <w:rPr>
          <w:rFonts w:ascii="Arial" w:eastAsia="Calibri" w:hAnsi="Arial" w:cs="Arial"/>
          <w:bCs/>
          <w:color w:val="000000" w:themeColor="text1"/>
          <w:sz w:val="21"/>
          <w:szCs w:val="21"/>
          <w:lang w:val="es-ES_tradnl"/>
        </w:rPr>
        <w:lastRenderedPageBreak/>
        <w:t>mecanismos de constitución, registro, emisión, colocación de acciones, causales de disolución.</w:t>
      </w:r>
      <w:r w:rsidR="0098430B" w:rsidRPr="00864E72">
        <w:rPr>
          <w:rFonts w:ascii="Arial" w:eastAsia="Calibri" w:hAnsi="Arial" w:cs="Arial"/>
          <w:bCs/>
          <w:color w:val="000000" w:themeColor="text1"/>
          <w:sz w:val="21"/>
          <w:szCs w:val="21"/>
          <w:lang w:val="es-ES_tradnl"/>
        </w:rPr>
        <w:t xml:space="preserve"> </w:t>
      </w:r>
    </w:p>
    <w:p w14:paraId="6BDBEAB5" w14:textId="77777777" w:rsidR="001B2C57" w:rsidRPr="00864E72" w:rsidRDefault="001B2C57" w:rsidP="001B2C57">
      <w:pPr>
        <w:tabs>
          <w:tab w:val="left" w:pos="0"/>
        </w:tabs>
        <w:ind w:left="709" w:right="709"/>
        <w:jc w:val="both"/>
        <w:rPr>
          <w:rFonts w:ascii="Arial" w:eastAsia="Calibri" w:hAnsi="Arial" w:cs="Arial"/>
          <w:bCs/>
          <w:color w:val="000000" w:themeColor="text1"/>
          <w:sz w:val="21"/>
          <w:szCs w:val="21"/>
          <w:lang w:val="es-ES_tradnl"/>
        </w:rPr>
      </w:pPr>
      <w:r w:rsidRPr="00864E72">
        <w:rPr>
          <w:rFonts w:ascii="Arial" w:eastAsia="Calibri" w:hAnsi="Arial" w:cs="Arial"/>
          <w:bCs/>
          <w:color w:val="000000" w:themeColor="text1"/>
          <w:sz w:val="21"/>
          <w:szCs w:val="21"/>
          <w:lang w:val="es-ES_tradnl"/>
        </w:rPr>
        <w:t>[…]</w:t>
      </w:r>
    </w:p>
    <w:p w14:paraId="19FFE745" w14:textId="6EC81477" w:rsidR="001B2C57" w:rsidRPr="00864E72" w:rsidRDefault="001B2C57" w:rsidP="001B2C57">
      <w:pPr>
        <w:tabs>
          <w:tab w:val="left" w:pos="0"/>
        </w:tabs>
        <w:ind w:left="709" w:right="709"/>
        <w:jc w:val="both"/>
        <w:rPr>
          <w:rFonts w:ascii="Arial" w:eastAsia="Calibri" w:hAnsi="Arial" w:cs="Arial"/>
          <w:bCs/>
          <w:color w:val="000000" w:themeColor="text1"/>
          <w:sz w:val="21"/>
          <w:szCs w:val="21"/>
          <w:lang w:val="es-ES_tradnl"/>
        </w:rPr>
      </w:pPr>
      <w:r w:rsidRPr="00864E72">
        <w:rPr>
          <w:rFonts w:ascii="Arial" w:eastAsia="Calibri" w:hAnsi="Arial" w:cs="Arial"/>
          <w:bCs/>
          <w:color w:val="000000" w:themeColor="text1"/>
          <w:sz w:val="21"/>
          <w:szCs w:val="21"/>
          <w:lang w:val="es-ES_tradnl"/>
        </w:rPr>
        <w:t>La Corte Constitucional en la sentencia C-318 de 1998 aludió al elemento subjetivo para determinar el contrato de obra pública a que se refiere la contribución en cuestión. Así pues, adquiere relevancia en este punto la naturaleza de cada entidad, por lo cual si se considera que determinado ente es estatal (empresa industrial y comercial del Estado), y celebra un contrato de obra está en el supuesto de la descripción del hecho gravado que contempla el artículo 6º de la Ley 1106 de 2006</w:t>
      </w:r>
      <w:r w:rsidRPr="00864E72">
        <w:rPr>
          <w:rStyle w:val="Refdenotaalpie"/>
          <w:rFonts w:ascii="Arial" w:eastAsia="Calibri" w:hAnsi="Arial" w:cs="Arial"/>
          <w:bCs/>
          <w:color w:val="000000" w:themeColor="text1"/>
          <w:sz w:val="21"/>
          <w:szCs w:val="21"/>
          <w:lang w:val="es-ES_tradnl"/>
        </w:rPr>
        <w:footnoteReference w:id="14"/>
      </w:r>
      <w:r w:rsidRPr="00864E72">
        <w:rPr>
          <w:rFonts w:ascii="Arial" w:eastAsia="Calibri" w:hAnsi="Arial" w:cs="Arial"/>
          <w:bCs/>
          <w:color w:val="000000" w:themeColor="text1"/>
          <w:sz w:val="21"/>
          <w:szCs w:val="21"/>
          <w:lang w:val="es-ES_tradnl"/>
        </w:rPr>
        <w:t>.</w:t>
      </w:r>
    </w:p>
    <w:p w14:paraId="23D5BA84" w14:textId="77777777" w:rsidR="001B2C57" w:rsidRPr="00864E72" w:rsidRDefault="001B2C57" w:rsidP="001B2C57">
      <w:pPr>
        <w:tabs>
          <w:tab w:val="left" w:pos="0"/>
        </w:tabs>
        <w:ind w:right="709"/>
        <w:jc w:val="both"/>
        <w:rPr>
          <w:rFonts w:ascii="Arial" w:eastAsia="Calibri" w:hAnsi="Arial" w:cs="Arial"/>
          <w:bCs/>
          <w:color w:val="000000" w:themeColor="text1"/>
          <w:sz w:val="21"/>
          <w:szCs w:val="21"/>
          <w:lang w:val="es-ES_tradnl"/>
        </w:rPr>
      </w:pPr>
    </w:p>
    <w:p w14:paraId="37BCD7A8" w14:textId="6B38B99E" w:rsidR="00A853AA" w:rsidRPr="00864E72" w:rsidRDefault="00A853AA" w:rsidP="00625F3F">
      <w:pPr>
        <w:spacing w:line="276" w:lineRule="auto"/>
        <w:ind w:firstLine="709"/>
        <w:jc w:val="both"/>
        <w:rPr>
          <w:rFonts w:ascii="Arial" w:eastAsia="Calibri" w:hAnsi="Arial" w:cs="Arial"/>
          <w:bCs/>
          <w:color w:val="000000" w:themeColor="text1"/>
          <w:sz w:val="22"/>
          <w:szCs w:val="22"/>
          <w:lang w:val="es-ES_tradnl"/>
        </w:rPr>
      </w:pPr>
      <w:r w:rsidRPr="00864E72">
        <w:rPr>
          <w:rFonts w:ascii="Arial" w:eastAsia="Calibri" w:hAnsi="Arial" w:cs="Arial"/>
          <w:bCs/>
          <w:color w:val="000000" w:themeColor="text1"/>
          <w:sz w:val="22"/>
          <w:szCs w:val="22"/>
          <w:lang w:val="es-ES_tradnl"/>
        </w:rPr>
        <w:t xml:space="preserve">En otras palabras, </w:t>
      </w:r>
      <w:r w:rsidR="002D57B2" w:rsidRPr="00864E72">
        <w:rPr>
          <w:rFonts w:ascii="Arial" w:eastAsia="Calibri" w:hAnsi="Arial" w:cs="Arial"/>
          <w:bCs/>
          <w:color w:val="000000" w:themeColor="text1"/>
          <w:sz w:val="22"/>
          <w:szCs w:val="22"/>
          <w:lang w:val="es-ES_tradnl"/>
        </w:rPr>
        <w:t>con fundamento en</w:t>
      </w:r>
      <w:r w:rsidRPr="00864E72">
        <w:rPr>
          <w:rFonts w:ascii="Arial" w:eastAsia="Calibri" w:hAnsi="Arial" w:cs="Arial"/>
          <w:bCs/>
          <w:color w:val="000000" w:themeColor="text1"/>
          <w:sz w:val="22"/>
          <w:szCs w:val="22"/>
          <w:lang w:val="es-ES_tradnl"/>
        </w:rPr>
        <w:t xml:space="preserve"> la jurisprudencia</w:t>
      </w:r>
      <w:r w:rsidR="002D57B2" w:rsidRPr="00864E72">
        <w:rPr>
          <w:rFonts w:ascii="Arial" w:eastAsia="Calibri" w:hAnsi="Arial" w:cs="Arial"/>
          <w:bCs/>
          <w:color w:val="000000" w:themeColor="text1"/>
          <w:sz w:val="22"/>
          <w:szCs w:val="22"/>
          <w:lang w:val="es-ES_tradnl"/>
        </w:rPr>
        <w:t xml:space="preserve"> se concluyó </w:t>
      </w:r>
      <w:r w:rsidRPr="00864E72">
        <w:rPr>
          <w:rFonts w:ascii="Arial" w:eastAsia="Calibri" w:hAnsi="Arial" w:cs="Arial"/>
          <w:bCs/>
          <w:color w:val="000000" w:themeColor="text1"/>
          <w:sz w:val="22"/>
          <w:szCs w:val="22"/>
          <w:lang w:val="es-ES_tradnl"/>
        </w:rPr>
        <w:t>que a las empresas prestadoras de servicios públicos domiciliarios, que, según el artículo 17 de la Ley 142 de 1994, se conformaran como empresas industriales y comerciales del Estado se les tenía en cuenta esta naturaleza</w:t>
      </w:r>
      <w:r w:rsidR="002D57B2" w:rsidRPr="00864E72">
        <w:rPr>
          <w:rFonts w:ascii="Arial" w:eastAsia="Calibri" w:hAnsi="Arial" w:cs="Arial"/>
          <w:bCs/>
          <w:color w:val="000000" w:themeColor="text1"/>
          <w:sz w:val="22"/>
          <w:szCs w:val="22"/>
          <w:lang w:val="es-ES_tradnl"/>
        </w:rPr>
        <w:t xml:space="preserve"> jurídica</w:t>
      </w:r>
      <w:r w:rsidRPr="00864E72">
        <w:rPr>
          <w:rFonts w:ascii="Arial" w:eastAsia="Calibri" w:hAnsi="Arial" w:cs="Arial"/>
          <w:bCs/>
          <w:color w:val="000000" w:themeColor="text1"/>
          <w:sz w:val="22"/>
          <w:szCs w:val="22"/>
          <w:lang w:val="es-ES_tradnl"/>
        </w:rPr>
        <w:t xml:space="preserve"> –la de empresas industriales y comerciales del Estado–, para hacerlas destinatarias de la contribución especial.</w:t>
      </w:r>
      <w:r w:rsidR="002D57B2" w:rsidRPr="00864E72">
        <w:rPr>
          <w:rFonts w:ascii="Arial" w:eastAsia="Calibri" w:hAnsi="Arial" w:cs="Arial"/>
          <w:bCs/>
          <w:color w:val="000000" w:themeColor="text1"/>
          <w:sz w:val="22"/>
          <w:szCs w:val="22"/>
          <w:lang w:val="es-ES_tradnl"/>
        </w:rPr>
        <w:t xml:space="preserve"> </w:t>
      </w:r>
      <w:r w:rsidR="006F120D" w:rsidRPr="00864E72">
        <w:rPr>
          <w:rFonts w:ascii="Arial" w:eastAsia="Calibri" w:hAnsi="Arial" w:cs="Arial"/>
          <w:bCs/>
          <w:color w:val="000000" w:themeColor="text1"/>
          <w:sz w:val="22"/>
          <w:szCs w:val="22"/>
          <w:lang w:val="es-ES_tradnl"/>
        </w:rPr>
        <w:t xml:space="preserve">También en un reciente concepto la Superintendencia de Servicios Públicos Domiciliarios recordó </w:t>
      </w:r>
      <w:r w:rsidR="00013A6A" w:rsidRPr="00864E72">
        <w:rPr>
          <w:rFonts w:ascii="Arial" w:eastAsia="Calibri" w:hAnsi="Arial" w:cs="Arial"/>
          <w:bCs/>
          <w:color w:val="000000" w:themeColor="text1"/>
          <w:sz w:val="22"/>
          <w:szCs w:val="22"/>
          <w:lang w:val="es-ES_tradnl"/>
        </w:rPr>
        <w:t xml:space="preserve">que el legislador permitió que las empresas de servicios públicos domiciliarios adoptaran la forma de empresas industriales y comerciales del Estado, pero que el plazo para que esto se diera ya venció. En palabras de este organismo, </w:t>
      </w:r>
      <w:r w:rsidR="00625F3F" w:rsidRPr="00864E72">
        <w:rPr>
          <w:rFonts w:ascii="Arial" w:eastAsia="Calibri" w:hAnsi="Arial" w:cs="Arial"/>
          <w:bCs/>
          <w:color w:val="000000" w:themeColor="text1"/>
          <w:sz w:val="22"/>
          <w:szCs w:val="22"/>
          <w:lang w:val="es-ES_tradnl"/>
        </w:rPr>
        <w:t>«Los plazos legales para efectuar la transformación a que alude el parágrafo del artículo 17 de la Ley 142 de 1994, de las entidades descentralizadas en Empresas Industriales y Comerciales del Estado, venció el 3 de enero de 1998, por lo que, a partir de tal fecha, aquéllas que no lo hicieron, debieron constituirse como sociedades por acciones; mientras que el término de transformación para la Nación y a las entidades territoriales (departamentos, municipios, distritos), que prestaban directamente los servicios públicos domiciliarios, de acuerdo con el artículo 182 referido, venció el 11 de enero de 1996»</w:t>
      </w:r>
      <w:r w:rsidR="002D57B2" w:rsidRPr="00864E72">
        <w:rPr>
          <w:rStyle w:val="Refdenotaalpie"/>
          <w:rFonts w:ascii="Arial" w:eastAsia="Calibri" w:hAnsi="Arial" w:cs="Arial"/>
          <w:bCs/>
          <w:color w:val="000000" w:themeColor="text1"/>
          <w:sz w:val="22"/>
          <w:szCs w:val="22"/>
          <w:lang w:val="es-ES_tradnl"/>
        </w:rPr>
        <w:footnoteReference w:id="15"/>
      </w:r>
      <w:r w:rsidR="00625F3F" w:rsidRPr="00864E72">
        <w:rPr>
          <w:rFonts w:ascii="Arial" w:eastAsia="Calibri" w:hAnsi="Arial" w:cs="Arial"/>
          <w:bCs/>
          <w:color w:val="000000" w:themeColor="text1"/>
          <w:sz w:val="22"/>
          <w:szCs w:val="22"/>
          <w:lang w:val="es-ES_tradnl"/>
        </w:rPr>
        <w:t>.</w:t>
      </w:r>
    </w:p>
    <w:p w14:paraId="4FF3EDFC" w14:textId="512F6DCA" w:rsidR="00C13361" w:rsidRPr="00864E72" w:rsidRDefault="00D91CCA" w:rsidP="0014163E">
      <w:pPr>
        <w:spacing w:before="120" w:line="276" w:lineRule="auto"/>
        <w:ind w:firstLine="709"/>
        <w:jc w:val="both"/>
        <w:rPr>
          <w:rFonts w:ascii="Arial" w:eastAsia="Calibri" w:hAnsi="Arial" w:cs="Arial"/>
          <w:bCs/>
          <w:color w:val="000000" w:themeColor="text1"/>
          <w:sz w:val="22"/>
          <w:lang w:val="es-ES_tradnl"/>
        </w:rPr>
      </w:pPr>
      <w:r w:rsidRPr="00864E72">
        <w:rPr>
          <w:rFonts w:ascii="Arial" w:eastAsia="Calibri" w:hAnsi="Arial" w:cs="Arial"/>
          <w:bCs/>
          <w:color w:val="000000" w:themeColor="text1"/>
          <w:sz w:val="22"/>
          <w:lang w:val="es-ES_tradnl"/>
        </w:rPr>
        <w:t xml:space="preserve">En este orden de ideas, </w:t>
      </w:r>
      <w:r w:rsidR="000B0EED" w:rsidRPr="00864E72">
        <w:rPr>
          <w:rFonts w:ascii="Arial" w:eastAsia="Calibri" w:hAnsi="Arial" w:cs="Arial"/>
          <w:bCs/>
          <w:color w:val="000000" w:themeColor="text1"/>
          <w:sz w:val="22"/>
          <w:lang w:val="es-ES_tradnl"/>
        </w:rPr>
        <w:t>las excepciones consagradas en el parágrafo del artículo</w:t>
      </w:r>
      <w:r w:rsidR="00340688" w:rsidRPr="00864E72">
        <w:rPr>
          <w:rFonts w:ascii="Arial" w:eastAsia="Calibri" w:hAnsi="Arial" w:cs="Arial"/>
          <w:bCs/>
          <w:color w:val="000000" w:themeColor="text1"/>
          <w:sz w:val="22"/>
          <w:lang w:val="es-ES_tradnl"/>
        </w:rPr>
        <w:t xml:space="preserve"> 56 de la Ley 2195 de 2022 solo se aplican </w:t>
      </w:r>
      <w:r w:rsidR="00C541B2" w:rsidRPr="00864E72">
        <w:rPr>
          <w:rFonts w:ascii="Arial" w:eastAsia="Calibri" w:hAnsi="Arial" w:cs="Arial"/>
          <w:bCs/>
          <w:color w:val="000000" w:themeColor="text1"/>
          <w:sz w:val="22"/>
          <w:lang w:val="es-ES_tradnl"/>
        </w:rPr>
        <w:t>a los órganos del Estado cuya naturaleza</w:t>
      </w:r>
      <w:r w:rsidR="00E05AE9" w:rsidRPr="00864E72">
        <w:rPr>
          <w:rFonts w:ascii="Arial" w:eastAsia="Calibri" w:hAnsi="Arial" w:cs="Arial"/>
          <w:bCs/>
          <w:color w:val="000000" w:themeColor="text1"/>
          <w:sz w:val="22"/>
          <w:lang w:val="es-ES_tradnl"/>
        </w:rPr>
        <w:t xml:space="preserve"> jurídica</w:t>
      </w:r>
      <w:r w:rsidR="00C541B2" w:rsidRPr="00864E72">
        <w:rPr>
          <w:rFonts w:ascii="Arial" w:eastAsia="Calibri" w:hAnsi="Arial" w:cs="Arial"/>
          <w:bCs/>
          <w:color w:val="000000" w:themeColor="text1"/>
          <w:sz w:val="22"/>
          <w:lang w:val="es-ES_tradnl"/>
        </w:rPr>
        <w:t xml:space="preserve"> coincida con la de las entidades allí indicadas de manera </w:t>
      </w:r>
      <w:r w:rsidR="00C541B2" w:rsidRPr="00864E72">
        <w:rPr>
          <w:rFonts w:ascii="Arial" w:eastAsia="Calibri" w:hAnsi="Arial" w:cs="Arial"/>
          <w:bCs/>
          <w:i/>
          <w:iCs/>
          <w:color w:val="000000" w:themeColor="text1"/>
          <w:sz w:val="22"/>
          <w:lang w:val="es-ES_tradnl"/>
        </w:rPr>
        <w:t>taxativa</w:t>
      </w:r>
      <w:r w:rsidR="00C541B2" w:rsidRPr="00864E72">
        <w:rPr>
          <w:rFonts w:ascii="Arial" w:eastAsia="Calibri" w:hAnsi="Arial" w:cs="Arial"/>
          <w:bCs/>
          <w:color w:val="000000" w:themeColor="text1"/>
          <w:sz w:val="22"/>
          <w:lang w:val="es-ES_tradnl"/>
        </w:rPr>
        <w:t xml:space="preserve">, esto es, </w:t>
      </w:r>
      <w:r w:rsidR="0013353A" w:rsidRPr="00864E72">
        <w:rPr>
          <w:rFonts w:ascii="Arial" w:eastAsia="Calibri" w:hAnsi="Arial" w:cs="Arial"/>
          <w:bCs/>
          <w:color w:val="000000" w:themeColor="text1"/>
          <w:sz w:val="22"/>
          <w:lang w:val="es-ES_tradnl"/>
        </w:rPr>
        <w:t>a «</w:t>
      </w:r>
      <w:r w:rsidR="0013353A" w:rsidRPr="00864E72">
        <w:rPr>
          <w:rFonts w:ascii="Arial" w:hAnsi="Arial" w:cs="Arial"/>
          <w:color w:val="000000" w:themeColor="text1"/>
        </w:rPr>
        <w:t xml:space="preserve">[…] </w:t>
      </w:r>
      <w:r w:rsidR="0013353A" w:rsidRPr="00864E72">
        <w:rPr>
          <w:rFonts w:ascii="Arial" w:eastAsia="Calibri" w:hAnsi="Arial" w:cs="Arial"/>
          <w:bCs/>
          <w:color w:val="000000" w:themeColor="text1"/>
          <w:sz w:val="22"/>
          <w:lang w:val="es-ES_tradnl"/>
        </w:rPr>
        <w:t>las Instituciones de Educación Superior públicas, las empresas sociales del Estado, las sociedades de economía mixta y las empresas industriales y comerciales del Estado, únicamente en cuanto a la contratación de su giro ordinario».</w:t>
      </w:r>
      <w:r w:rsidR="00BE338E" w:rsidRPr="00864E72">
        <w:rPr>
          <w:rFonts w:ascii="Arial" w:eastAsia="Calibri" w:hAnsi="Arial" w:cs="Arial"/>
          <w:bCs/>
          <w:color w:val="000000" w:themeColor="text1"/>
          <w:sz w:val="22"/>
          <w:lang w:val="es-ES_tradnl"/>
        </w:rPr>
        <w:t xml:space="preserve"> Por consiguiente, cada entidad estatal deberá analizar su naturaleza jurídica y hacer una interpretación restrictiva de este parágrafo, pues las excepciones deben </w:t>
      </w:r>
      <w:r w:rsidR="00437DB9" w:rsidRPr="00864E72">
        <w:rPr>
          <w:rFonts w:ascii="Arial" w:eastAsia="Calibri" w:hAnsi="Arial" w:cs="Arial"/>
          <w:bCs/>
          <w:color w:val="000000" w:themeColor="text1"/>
          <w:sz w:val="22"/>
          <w:lang w:val="es-ES_tradnl"/>
        </w:rPr>
        <w:t>leerse de manera</w:t>
      </w:r>
      <w:r w:rsidR="00BE338E" w:rsidRPr="00864E72">
        <w:rPr>
          <w:rFonts w:ascii="Arial" w:eastAsia="Calibri" w:hAnsi="Arial" w:cs="Arial"/>
          <w:bCs/>
          <w:color w:val="000000" w:themeColor="text1"/>
          <w:sz w:val="22"/>
          <w:lang w:val="es-ES_tradnl"/>
        </w:rPr>
        <w:t xml:space="preserve"> acorde con </w:t>
      </w:r>
      <w:r w:rsidR="003B0DCB" w:rsidRPr="00864E72">
        <w:rPr>
          <w:rFonts w:ascii="Arial" w:eastAsia="Calibri" w:hAnsi="Arial" w:cs="Arial"/>
          <w:bCs/>
          <w:color w:val="000000" w:themeColor="text1"/>
          <w:sz w:val="22"/>
          <w:lang w:val="es-ES_tradnl"/>
        </w:rPr>
        <w:t>dicho</w:t>
      </w:r>
      <w:r w:rsidR="00BE338E" w:rsidRPr="00864E72">
        <w:rPr>
          <w:rFonts w:ascii="Arial" w:eastAsia="Calibri" w:hAnsi="Arial" w:cs="Arial"/>
          <w:bCs/>
          <w:color w:val="000000" w:themeColor="text1"/>
          <w:sz w:val="22"/>
          <w:lang w:val="es-ES_tradnl"/>
        </w:rPr>
        <w:t xml:space="preserve"> parámetro hermenéutico. Tratándose de empresas prestadoras de servicios públicos domiciliarios,</w:t>
      </w:r>
      <w:r w:rsidR="009C39AA" w:rsidRPr="00864E72">
        <w:rPr>
          <w:rFonts w:ascii="Arial" w:eastAsia="Calibri" w:hAnsi="Arial" w:cs="Arial"/>
          <w:bCs/>
          <w:color w:val="000000" w:themeColor="text1"/>
          <w:sz w:val="22"/>
          <w:lang w:val="es-ES_tradnl"/>
        </w:rPr>
        <w:t xml:space="preserve"> </w:t>
      </w:r>
      <w:r w:rsidR="003B0DCB" w:rsidRPr="00864E72">
        <w:rPr>
          <w:rFonts w:ascii="Arial" w:eastAsia="Calibri" w:hAnsi="Arial" w:cs="Arial"/>
          <w:bCs/>
          <w:color w:val="000000" w:themeColor="text1"/>
          <w:sz w:val="22"/>
          <w:lang w:val="es-ES_tradnl"/>
        </w:rPr>
        <w:t xml:space="preserve">no sobra indicar que </w:t>
      </w:r>
      <w:r w:rsidR="009C39AA" w:rsidRPr="00864E72">
        <w:rPr>
          <w:rFonts w:ascii="Arial" w:eastAsia="Calibri" w:hAnsi="Arial" w:cs="Arial"/>
          <w:bCs/>
          <w:color w:val="000000" w:themeColor="text1"/>
          <w:sz w:val="22"/>
          <w:lang w:val="es-ES_tradnl"/>
        </w:rPr>
        <w:t>la autoridad competente para resolver</w:t>
      </w:r>
      <w:r w:rsidR="003B0DCB" w:rsidRPr="00864E72">
        <w:rPr>
          <w:rFonts w:ascii="Arial" w:eastAsia="Calibri" w:hAnsi="Arial" w:cs="Arial"/>
          <w:bCs/>
          <w:color w:val="000000" w:themeColor="text1"/>
          <w:sz w:val="22"/>
          <w:lang w:val="es-ES_tradnl"/>
        </w:rPr>
        <w:t xml:space="preserve"> las consultas </w:t>
      </w:r>
      <w:r w:rsidR="003B0DCB" w:rsidRPr="00864E72">
        <w:rPr>
          <w:rFonts w:ascii="Arial" w:eastAsia="Calibri" w:hAnsi="Arial" w:cs="Arial"/>
          <w:bCs/>
          <w:color w:val="000000" w:themeColor="text1"/>
          <w:sz w:val="22"/>
          <w:lang w:val="es-ES_tradnl"/>
        </w:rPr>
        <w:lastRenderedPageBreak/>
        <w:t xml:space="preserve">relacionadas con aspectos asociados a su naturaleza </w:t>
      </w:r>
      <w:r w:rsidR="00525CA6" w:rsidRPr="00864E72">
        <w:rPr>
          <w:rFonts w:ascii="Arial" w:eastAsia="Calibri" w:hAnsi="Arial" w:cs="Arial"/>
          <w:bCs/>
          <w:color w:val="000000" w:themeColor="text1"/>
          <w:sz w:val="22"/>
          <w:lang w:val="es-ES_tradnl"/>
        </w:rPr>
        <w:t>jurídica</w:t>
      </w:r>
      <w:r w:rsidR="009C39AA" w:rsidRPr="00864E72">
        <w:rPr>
          <w:rFonts w:ascii="Arial" w:eastAsia="Calibri" w:hAnsi="Arial" w:cs="Arial"/>
          <w:bCs/>
          <w:color w:val="000000" w:themeColor="text1"/>
          <w:sz w:val="22"/>
          <w:lang w:val="es-ES_tradnl"/>
        </w:rPr>
        <w:t xml:space="preserve"> es la Superintendencia de Servicios Públicos Domiciliarios, de conformidad con el artículo 11, numeral 2, del Decreto </w:t>
      </w:r>
      <w:r w:rsidR="000175BD" w:rsidRPr="00864E72">
        <w:rPr>
          <w:rFonts w:ascii="Arial" w:eastAsia="Calibri" w:hAnsi="Arial" w:cs="Arial"/>
          <w:bCs/>
          <w:color w:val="000000" w:themeColor="text1"/>
          <w:sz w:val="22"/>
          <w:lang w:val="es-ES_tradnl"/>
        </w:rPr>
        <w:t xml:space="preserve">1369 de 2020, según el cual dicha entidad debe «Absolver las consultas jurídicas externas relativas al régimen de los servicios públicos domiciliarios». </w:t>
      </w:r>
    </w:p>
    <w:p w14:paraId="37F6DC30" w14:textId="77777777" w:rsidR="0014163E" w:rsidRPr="00864E72" w:rsidRDefault="0014163E" w:rsidP="00C13361">
      <w:pPr>
        <w:tabs>
          <w:tab w:val="left" w:pos="0"/>
        </w:tabs>
        <w:spacing w:line="276" w:lineRule="auto"/>
        <w:jc w:val="both"/>
        <w:rPr>
          <w:rFonts w:ascii="Arial" w:eastAsia="Calibri" w:hAnsi="Arial" w:cs="Arial"/>
          <w:b/>
          <w:i/>
          <w:iCs/>
          <w:color w:val="000000" w:themeColor="text1"/>
          <w:sz w:val="22"/>
          <w:lang w:val="es-ES_tradnl"/>
        </w:rPr>
      </w:pPr>
    </w:p>
    <w:p w14:paraId="516BB95E" w14:textId="3D030580" w:rsidR="00C13361" w:rsidRPr="00864E72" w:rsidRDefault="00C13361" w:rsidP="00C13361">
      <w:pPr>
        <w:tabs>
          <w:tab w:val="left" w:pos="0"/>
        </w:tabs>
        <w:spacing w:line="276" w:lineRule="auto"/>
        <w:jc w:val="both"/>
        <w:rPr>
          <w:rFonts w:ascii="Arial" w:eastAsia="Calibri" w:hAnsi="Arial" w:cs="Arial"/>
          <w:b/>
          <w:color w:val="000000" w:themeColor="text1"/>
          <w:sz w:val="22"/>
          <w:lang w:val="es-ES_tradnl"/>
        </w:rPr>
      </w:pPr>
      <w:r w:rsidRPr="00864E72">
        <w:rPr>
          <w:rFonts w:ascii="Arial" w:eastAsia="Calibri" w:hAnsi="Arial" w:cs="Arial"/>
          <w:b/>
          <w:i/>
          <w:iCs/>
          <w:color w:val="000000" w:themeColor="text1"/>
          <w:sz w:val="22"/>
          <w:lang w:val="es-ES_tradnl"/>
        </w:rPr>
        <w:t>2.2.3.</w:t>
      </w:r>
      <w:r w:rsidRPr="00864E72">
        <w:rPr>
          <w:rFonts w:ascii="Arial" w:eastAsia="Calibri" w:hAnsi="Arial" w:cs="Arial"/>
          <w:b/>
          <w:color w:val="000000" w:themeColor="text1"/>
          <w:sz w:val="22"/>
          <w:lang w:val="es-ES_tradnl"/>
        </w:rPr>
        <w:t xml:space="preserve"> La noción de </w:t>
      </w:r>
      <w:r w:rsidRPr="00864E72">
        <w:rPr>
          <w:rFonts w:ascii="Arial" w:eastAsia="Calibri" w:hAnsi="Arial" w:cs="Arial"/>
          <w:b/>
          <w:i/>
          <w:iCs/>
          <w:color w:val="000000" w:themeColor="text1"/>
          <w:sz w:val="22"/>
          <w:lang w:val="es-ES_tradnl"/>
        </w:rPr>
        <w:t xml:space="preserve">giro ordinario </w:t>
      </w:r>
      <w:r w:rsidRPr="00864E72">
        <w:rPr>
          <w:rFonts w:ascii="Arial" w:eastAsia="Calibri" w:hAnsi="Arial" w:cs="Arial"/>
          <w:b/>
          <w:color w:val="000000" w:themeColor="text1"/>
          <w:sz w:val="22"/>
          <w:lang w:val="es-ES_tradnl"/>
        </w:rPr>
        <w:t>y su relevancia para la aplicación del artículo 56 de la Ley 2195 de 2022</w:t>
      </w:r>
    </w:p>
    <w:p w14:paraId="2CB319C0" w14:textId="77777777" w:rsidR="00C13361" w:rsidRPr="00864E72" w:rsidRDefault="00C13361" w:rsidP="00C13361">
      <w:pPr>
        <w:tabs>
          <w:tab w:val="left" w:pos="0"/>
        </w:tabs>
        <w:spacing w:line="276" w:lineRule="auto"/>
        <w:jc w:val="both"/>
        <w:rPr>
          <w:rFonts w:ascii="Arial" w:eastAsia="Calibri" w:hAnsi="Arial" w:cs="Arial"/>
          <w:b/>
          <w:color w:val="000000" w:themeColor="text1"/>
          <w:sz w:val="22"/>
          <w:lang w:val="es-ES_tradnl"/>
        </w:rPr>
      </w:pPr>
    </w:p>
    <w:p w14:paraId="08B2E0EE" w14:textId="056FABC0" w:rsidR="00C13361" w:rsidRPr="00864E72" w:rsidRDefault="00C13361" w:rsidP="00B615EB">
      <w:pPr>
        <w:tabs>
          <w:tab w:val="left" w:pos="0"/>
        </w:tabs>
        <w:spacing w:after="120" w:line="276" w:lineRule="auto"/>
        <w:jc w:val="both"/>
        <w:rPr>
          <w:rFonts w:ascii="Arial" w:eastAsia="Calibri" w:hAnsi="Arial" w:cs="Arial"/>
          <w:bCs/>
          <w:color w:val="000000" w:themeColor="text1"/>
          <w:sz w:val="22"/>
          <w:lang w:val="es-ES_tradnl"/>
        </w:rPr>
      </w:pPr>
      <w:r w:rsidRPr="00864E72">
        <w:rPr>
          <w:rFonts w:ascii="Arial" w:eastAsia="Calibri" w:hAnsi="Arial" w:cs="Arial"/>
          <w:bCs/>
          <w:color w:val="000000" w:themeColor="text1"/>
          <w:sz w:val="22"/>
          <w:lang w:val="es-ES_tradnl"/>
        </w:rPr>
        <w:t xml:space="preserve">Para responder la consulta, es necesario precisar el alcance de lo dispuesto en los dos primeros incisos del artículo 56 a luz de lo establecido en su parágrafo, el cual excluye de la aplicación de los primeros incisos del artículo 56, a cierto tipo de entidades, en lo relacionado con la contratación de su </w:t>
      </w:r>
      <w:r w:rsidRPr="00864E72">
        <w:rPr>
          <w:rFonts w:ascii="Arial" w:eastAsia="Calibri" w:hAnsi="Arial" w:cs="Arial"/>
          <w:bCs/>
          <w:i/>
          <w:iCs/>
          <w:color w:val="000000" w:themeColor="text1"/>
          <w:sz w:val="22"/>
          <w:lang w:val="es-ES_tradnl"/>
        </w:rPr>
        <w:t>giro ordinario</w:t>
      </w:r>
      <w:r w:rsidRPr="00864E72">
        <w:rPr>
          <w:rFonts w:ascii="Arial" w:eastAsia="Calibri" w:hAnsi="Arial" w:cs="Arial"/>
          <w:bCs/>
          <w:color w:val="000000" w:themeColor="text1"/>
          <w:sz w:val="22"/>
          <w:lang w:val="es-ES_tradnl"/>
        </w:rPr>
        <w:t xml:space="preserve">. Conforme se desprende del texto del referido parágrafo, se exceptúa de lo señalado en los dos primeros incisos a: (i) las instituciones de educación superior públicas, (ii) las empresas sociales del Estado, (iii) las sociedades de economía mixta y (iv) las empresas industriales y comerciales del Estado, únicamente, en la contratación relacionada con el </w:t>
      </w:r>
      <w:r w:rsidRPr="00864E72">
        <w:rPr>
          <w:rFonts w:ascii="Arial" w:eastAsia="Calibri" w:hAnsi="Arial" w:cs="Arial"/>
          <w:bCs/>
          <w:i/>
          <w:iCs/>
          <w:color w:val="000000" w:themeColor="text1"/>
          <w:sz w:val="22"/>
          <w:lang w:val="es-ES_tradnl"/>
        </w:rPr>
        <w:t>giro ordinario.</w:t>
      </w:r>
      <w:r w:rsidRPr="00864E72">
        <w:rPr>
          <w:rFonts w:ascii="Arial" w:eastAsia="Calibri" w:hAnsi="Arial" w:cs="Arial"/>
          <w:bCs/>
          <w:color w:val="000000" w:themeColor="text1"/>
          <w:sz w:val="22"/>
          <w:lang w:val="es-ES_tradnl"/>
        </w:rPr>
        <w:t xml:space="preserve"> Esto significa que en la contratación asociada a su </w:t>
      </w:r>
      <w:r w:rsidRPr="00864E72">
        <w:rPr>
          <w:rFonts w:ascii="Arial" w:eastAsia="Calibri" w:hAnsi="Arial" w:cs="Arial"/>
          <w:bCs/>
          <w:i/>
          <w:iCs/>
          <w:color w:val="000000" w:themeColor="text1"/>
          <w:sz w:val="22"/>
          <w:lang w:val="es-ES_tradnl"/>
        </w:rPr>
        <w:t xml:space="preserve">giro ordinario, </w:t>
      </w:r>
      <w:r w:rsidRPr="00864E72">
        <w:rPr>
          <w:rFonts w:ascii="Arial" w:eastAsia="Calibri" w:hAnsi="Arial" w:cs="Arial"/>
          <w:bCs/>
          <w:color w:val="000000" w:themeColor="text1"/>
          <w:sz w:val="22"/>
          <w:lang w:val="es-ES_tradnl"/>
        </w:rPr>
        <w:t xml:space="preserve">estos tipos de entidades no tendrían que aplicar, de manera obligatoria, los documentos tipo, ni tampoco el EGCAP. En este caso la norma se limita a fomentar la implementación de documentos tipo a modo de buena práctica contractual, en los casos en los que se estime conveniente. </w:t>
      </w:r>
    </w:p>
    <w:p w14:paraId="52CB05F8" w14:textId="6F657A30" w:rsidR="00F82F4C" w:rsidRPr="00864E72" w:rsidRDefault="00766BCB" w:rsidP="00F82F4C">
      <w:pPr>
        <w:tabs>
          <w:tab w:val="left" w:pos="0"/>
        </w:tabs>
        <w:spacing w:after="120" w:line="276" w:lineRule="auto"/>
        <w:jc w:val="both"/>
        <w:rPr>
          <w:rFonts w:ascii="Arial" w:eastAsia="Arial" w:hAnsi="Arial" w:cs="Arial"/>
          <w:color w:val="000000" w:themeColor="text1"/>
          <w:sz w:val="22"/>
          <w:lang w:val="es-ES_tradnl"/>
        </w:rPr>
      </w:pPr>
      <w:r w:rsidRPr="00864E72">
        <w:rPr>
          <w:rFonts w:ascii="Arial" w:eastAsia="Calibri" w:hAnsi="Arial" w:cs="Arial"/>
          <w:bCs/>
          <w:color w:val="000000" w:themeColor="text1"/>
          <w:sz w:val="22"/>
          <w:lang w:val="es-ES_tradnl"/>
        </w:rPr>
        <w:tab/>
      </w:r>
      <w:r w:rsidR="00F82F4C" w:rsidRPr="00864E72">
        <w:rPr>
          <w:rFonts w:ascii="Arial" w:eastAsia="Calibri" w:hAnsi="Arial" w:cs="Arial"/>
          <w:bCs/>
          <w:color w:val="000000" w:themeColor="text1"/>
          <w:sz w:val="22"/>
          <w:lang w:val="es-ES_tradnl"/>
        </w:rPr>
        <w:t xml:space="preserve">Ahora, es importante tener en cuenta que cuando la norma se refiere a la contratación del </w:t>
      </w:r>
      <w:r w:rsidR="00F82F4C" w:rsidRPr="00864E72">
        <w:rPr>
          <w:rFonts w:ascii="Arial" w:eastAsia="Calibri" w:hAnsi="Arial" w:cs="Arial"/>
          <w:bCs/>
          <w:i/>
          <w:iCs/>
          <w:color w:val="000000" w:themeColor="text1"/>
          <w:sz w:val="22"/>
          <w:lang w:val="es-ES_tradnl"/>
        </w:rPr>
        <w:t>giro ordinario</w:t>
      </w:r>
      <w:r w:rsidR="00F82F4C" w:rsidRPr="00864E72">
        <w:rPr>
          <w:rFonts w:ascii="Arial" w:eastAsia="Calibri" w:hAnsi="Arial" w:cs="Arial"/>
          <w:bCs/>
          <w:color w:val="000000" w:themeColor="text1"/>
          <w:sz w:val="22"/>
          <w:lang w:val="es-ES_tradnl"/>
        </w:rPr>
        <w:t>, emplea un concepto jurídico indeterminado</w:t>
      </w:r>
      <w:r w:rsidR="00F82F4C" w:rsidRPr="00864E72">
        <w:rPr>
          <w:rStyle w:val="Refdenotaalpie"/>
          <w:rFonts w:ascii="Arial" w:eastAsia="Calibri" w:hAnsi="Arial" w:cs="Arial"/>
          <w:color w:val="000000" w:themeColor="text1"/>
        </w:rPr>
        <w:footnoteReference w:id="16"/>
      </w:r>
      <w:r w:rsidR="00F82F4C" w:rsidRPr="00864E72">
        <w:rPr>
          <w:rFonts w:ascii="Arial" w:eastAsia="Calibri" w:hAnsi="Arial" w:cs="Arial"/>
          <w:bCs/>
          <w:color w:val="000000" w:themeColor="text1"/>
          <w:sz w:val="22"/>
          <w:lang w:val="es-ES_tradnl"/>
        </w:rPr>
        <w:t xml:space="preserve">. </w:t>
      </w:r>
      <w:r w:rsidR="00F82F4C" w:rsidRPr="00864E72">
        <w:rPr>
          <w:rFonts w:ascii="Arial" w:eastAsia="Arial" w:hAnsi="Arial" w:cs="Arial"/>
          <w:color w:val="000000" w:themeColor="text1"/>
          <w:sz w:val="22"/>
          <w:lang w:val="es-ES_tradnl"/>
        </w:rPr>
        <w:t xml:space="preserve">Un concepto adquiere esta denominación en el Derecho cuando se trata de un enunciado que goza de vaguedad y que debe materializarse en cada caso, atendiendo a las técnicas de la interpretación jurídica. De igual forma, se trata de un concepto para cuya concreción las entidades estatales gozan de cierto </w:t>
      </w:r>
      <w:r w:rsidR="00BE475E" w:rsidRPr="00864E72">
        <w:rPr>
          <w:rFonts w:ascii="Arial" w:eastAsia="Arial" w:hAnsi="Arial" w:cs="Arial"/>
          <w:color w:val="000000" w:themeColor="text1"/>
          <w:sz w:val="22"/>
          <w:lang w:val="es-ES_tradnl"/>
        </w:rPr>
        <w:t>margen de apreciación</w:t>
      </w:r>
      <w:r w:rsidR="00F82F4C" w:rsidRPr="00864E72">
        <w:rPr>
          <w:rFonts w:ascii="Arial" w:eastAsia="Arial" w:hAnsi="Arial" w:cs="Arial"/>
          <w:color w:val="000000" w:themeColor="text1"/>
          <w:sz w:val="22"/>
          <w:lang w:val="es-ES_tradnl"/>
        </w:rPr>
        <w:t xml:space="preserve"> en su aplicación, pero deben respetar los límites previstos en las normas de orden público. Por ejemplo, no podrán considerar que cualquier contrato que celebren hace parte del giro ordinario de sus negocios. </w:t>
      </w:r>
    </w:p>
    <w:p w14:paraId="51B0E724" w14:textId="77777777" w:rsidR="00F82F4C" w:rsidRPr="00864E72" w:rsidRDefault="00F82F4C" w:rsidP="00F82F4C">
      <w:pPr>
        <w:tabs>
          <w:tab w:val="left" w:pos="0"/>
        </w:tabs>
        <w:spacing w:line="276" w:lineRule="auto"/>
        <w:ind w:firstLine="709"/>
        <w:jc w:val="both"/>
        <w:rPr>
          <w:rFonts w:ascii="Arial" w:eastAsia="Calibri" w:hAnsi="Arial" w:cs="Arial"/>
          <w:bCs/>
          <w:color w:val="000000" w:themeColor="text1"/>
          <w:sz w:val="22"/>
          <w:lang w:val="es-ES_tradnl"/>
        </w:rPr>
      </w:pPr>
      <w:r w:rsidRPr="00864E72">
        <w:rPr>
          <w:rFonts w:ascii="Arial" w:eastAsia="Arial" w:hAnsi="Arial" w:cs="Arial"/>
          <w:color w:val="000000" w:themeColor="text1"/>
          <w:sz w:val="22"/>
          <w:lang w:val="es-ES_tradnl"/>
        </w:rPr>
        <w:t>La Corte Constitucional</w:t>
      </w:r>
      <w:r w:rsidRPr="00864E72">
        <w:rPr>
          <w:rStyle w:val="Refdenotaalpie"/>
          <w:rFonts w:ascii="Arial" w:eastAsia="Arial" w:hAnsi="Arial" w:cs="Arial"/>
          <w:color w:val="000000" w:themeColor="text1"/>
        </w:rPr>
        <w:footnoteReference w:id="17"/>
      </w:r>
      <w:r w:rsidRPr="00864E72">
        <w:rPr>
          <w:rFonts w:ascii="Arial" w:eastAsia="Arial" w:hAnsi="Arial" w:cs="Arial"/>
          <w:color w:val="000000" w:themeColor="text1"/>
          <w:sz w:val="22"/>
          <w:lang w:val="es-ES_tradnl"/>
        </w:rPr>
        <w:t xml:space="preserve"> también ha reconocido que el Congreso de la República, dentro de su libertad de configuración legislativa, puede emplear este tipo de conceptos, </w:t>
      </w:r>
      <w:r w:rsidRPr="00864E72">
        <w:rPr>
          <w:rFonts w:ascii="Arial" w:eastAsia="Arial" w:hAnsi="Arial" w:cs="Arial"/>
          <w:color w:val="000000" w:themeColor="text1"/>
          <w:sz w:val="22"/>
          <w:lang w:val="es-ES_tradnl"/>
        </w:rPr>
        <w:lastRenderedPageBreak/>
        <w:t>que se caracterizan por tener un cierto halo de incertidumbre en su interpretación, quedando referida su determinación concreta a la actividad de los operadores jurídicos.</w:t>
      </w:r>
    </w:p>
    <w:p w14:paraId="0AA02713" w14:textId="5207C196" w:rsidR="00F82F4C" w:rsidRPr="00864E72" w:rsidRDefault="00F82F4C" w:rsidP="00F82F4C">
      <w:pPr>
        <w:tabs>
          <w:tab w:val="left" w:pos="0"/>
        </w:tabs>
        <w:spacing w:before="120" w:line="276" w:lineRule="auto"/>
        <w:ind w:firstLine="709"/>
        <w:jc w:val="both"/>
        <w:rPr>
          <w:rFonts w:ascii="Arial" w:eastAsia="Calibri" w:hAnsi="Arial" w:cs="Arial"/>
          <w:bCs/>
          <w:color w:val="000000" w:themeColor="text1"/>
          <w:sz w:val="22"/>
          <w:lang w:val="es-ES_tradnl"/>
        </w:rPr>
      </w:pPr>
      <w:r w:rsidRPr="00864E72">
        <w:rPr>
          <w:rFonts w:ascii="Arial" w:eastAsia="Calibri" w:hAnsi="Arial" w:cs="Arial"/>
          <w:bCs/>
          <w:color w:val="000000" w:themeColor="text1"/>
          <w:sz w:val="22"/>
          <w:lang w:val="es-ES_tradnl"/>
        </w:rPr>
        <w:t xml:space="preserve">Aunque, como se indicó, la expresión giro ordinario de los negocios es un concepto jurídico indeterminado, el Consejo de Estado ha tenido la oportunidad de pronunciarse en distintas ocasiones sobre su alcance, estableciendo algunos criterios de interpretación.  En su momento, en relación con el alcance de la expresión </w:t>
      </w:r>
      <w:r w:rsidRPr="00864E72">
        <w:rPr>
          <w:rFonts w:ascii="Arial" w:eastAsia="Calibri" w:hAnsi="Arial" w:cs="Arial"/>
          <w:bCs/>
          <w:i/>
          <w:iCs/>
          <w:color w:val="000000" w:themeColor="text1"/>
          <w:sz w:val="22"/>
          <w:lang w:val="es-ES_tradnl"/>
        </w:rPr>
        <w:t xml:space="preserve">giro ordinario </w:t>
      </w:r>
      <w:r w:rsidRPr="00864E72">
        <w:rPr>
          <w:rFonts w:ascii="Arial" w:eastAsia="Calibri" w:hAnsi="Arial" w:cs="Arial"/>
          <w:bCs/>
          <w:color w:val="000000" w:themeColor="text1"/>
          <w:sz w:val="22"/>
          <w:lang w:val="es-ES_tradnl"/>
        </w:rPr>
        <w:t>incluida en la redacción original del parágrafo 1 del artículo 32 de la Ley 80 de 1993</w:t>
      </w:r>
      <w:r w:rsidRPr="00864E72">
        <w:rPr>
          <w:rStyle w:val="Refdenotaalpie"/>
          <w:rFonts w:ascii="Arial" w:eastAsia="Calibri" w:hAnsi="Arial" w:cs="Arial"/>
          <w:color w:val="000000" w:themeColor="text1"/>
        </w:rPr>
        <w:footnoteReference w:id="18"/>
      </w:r>
      <w:r w:rsidRPr="00864E72">
        <w:rPr>
          <w:rFonts w:ascii="Arial" w:eastAsia="Calibri" w:hAnsi="Arial" w:cs="Arial"/>
          <w:bCs/>
          <w:color w:val="000000" w:themeColor="text1"/>
          <w:sz w:val="22"/>
          <w:lang w:val="es-ES_tradnl"/>
        </w:rPr>
        <w:t xml:space="preserve">, la Sección Tercera manifestó lo siguiente: </w:t>
      </w:r>
    </w:p>
    <w:p w14:paraId="0E9A7D06" w14:textId="77777777" w:rsidR="00F82F4C" w:rsidRPr="00864E72" w:rsidRDefault="00F82F4C" w:rsidP="0028580B">
      <w:pPr>
        <w:tabs>
          <w:tab w:val="left" w:pos="0"/>
        </w:tabs>
        <w:spacing w:line="276" w:lineRule="auto"/>
        <w:ind w:firstLine="709"/>
        <w:jc w:val="both"/>
        <w:rPr>
          <w:rFonts w:ascii="Arial" w:eastAsia="Calibri" w:hAnsi="Arial" w:cs="Arial"/>
          <w:bCs/>
          <w:color w:val="000000" w:themeColor="text1"/>
          <w:sz w:val="22"/>
          <w:lang w:val="es-ES_tradnl"/>
        </w:rPr>
      </w:pPr>
    </w:p>
    <w:p w14:paraId="72693E9F" w14:textId="77777777" w:rsidR="00F82F4C" w:rsidRPr="00864E72" w:rsidRDefault="00F82F4C" w:rsidP="00F82F4C">
      <w:pPr>
        <w:ind w:left="709" w:right="709"/>
        <w:jc w:val="both"/>
        <w:rPr>
          <w:rFonts w:ascii="Arial" w:hAnsi="Arial" w:cs="Arial"/>
          <w:color w:val="000000" w:themeColor="text1"/>
          <w:sz w:val="21"/>
          <w:szCs w:val="21"/>
          <w:lang w:val="es-ES_tradnl" w:eastAsia="es-CO"/>
        </w:rPr>
      </w:pPr>
      <w:r w:rsidRPr="00864E72">
        <w:rPr>
          <w:rFonts w:ascii="Arial" w:hAnsi="Arial" w:cs="Arial"/>
          <w:color w:val="000000" w:themeColor="text1"/>
          <w:sz w:val="21"/>
          <w:szCs w:val="21"/>
          <w:lang w:val="es-ES_tradnl"/>
        </w:rPr>
        <w:t>«[E]l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en el objeto de la sociedad. Siendo así las cosas, resulta que el concepto “giro ordinario de las actividades” […], hace relación tanto a las actividades o negocios realizados en cumplimiento del objeto social o de las funciones principales, expresamente definidas por la Ley, como también a todo aquello que es conexo con ellas y que se realiza para desarrollar la función principal, estableciéndose entre estos una relación de medio a fin, estrecha y complementaria»</w:t>
      </w:r>
      <w:r w:rsidRPr="00864E72">
        <w:rPr>
          <w:rStyle w:val="Refdenotaalpie"/>
          <w:rFonts w:ascii="Arial" w:hAnsi="Arial" w:cs="Arial"/>
          <w:color w:val="000000" w:themeColor="text1"/>
        </w:rPr>
        <w:footnoteReference w:id="19"/>
      </w:r>
    </w:p>
    <w:p w14:paraId="4A946175" w14:textId="77777777" w:rsidR="00F82F4C" w:rsidRPr="00864E72" w:rsidRDefault="00F82F4C" w:rsidP="00F82F4C">
      <w:pPr>
        <w:tabs>
          <w:tab w:val="left" w:pos="0"/>
        </w:tabs>
        <w:spacing w:line="276" w:lineRule="auto"/>
        <w:jc w:val="both"/>
        <w:rPr>
          <w:rFonts w:ascii="Arial" w:eastAsia="Calibri" w:hAnsi="Arial" w:cs="Arial"/>
          <w:bCs/>
          <w:i/>
          <w:iCs/>
          <w:color w:val="000000" w:themeColor="text1"/>
          <w:sz w:val="22"/>
          <w:lang w:val="es-ES_tradnl"/>
        </w:rPr>
      </w:pPr>
    </w:p>
    <w:p w14:paraId="396B9D8C" w14:textId="113D2F64" w:rsidR="00F82F4C" w:rsidRPr="00864E72" w:rsidRDefault="00F82F4C" w:rsidP="00853AB6">
      <w:pPr>
        <w:tabs>
          <w:tab w:val="left" w:pos="0"/>
        </w:tabs>
        <w:spacing w:line="276" w:lineRule="auto"/>
        <w:jc w:val="both"/>
        <w:rPr>
          <w:rFonts w:ascii="Arial" w:eastAsia="Calibri" w:hAnsi="Arial" w:cs="Arial"/>
          <w:bCs/>
          <w:color w:val="000000" w:themeColor="text1"/>
          <w:sz w:val="22"/>
          <w:szCs w:val="22"/>
          <w:lang w:val="es-ES_tradnl"/>
        </w:rPr>
      </w:pPr>
      <w:r w:rsidRPr="00864E72">
        <w:rPr>
          <w:rFonts w:ascii="Arial" w:eastAsia="Calibri" w:hAnsi="Arial" w:cs="Arial"/>
          <w:bCs/>
          <w:color w:val="000000" w:themeColor="text1"/>
          <w:sz w:val="22"/>
          <w:szCs w:val="22"/>
          <w:lang w:val="es-ES_tradnl"/>
        </w:rPr>
        <w:tab/>
        <w:t xml:space="preserve">En el mismo sentido se pronunció recientemente el Alto Tribunal de lo Contencioso Administrativo, reiterando las anteriores consideraciones, al expresar que: </w:t>
      </w:r>
    </w:p>
    <w:p w14:paraId="734FD349" w14:textId="77777777" w:rsidR="00853AB6" w:rsidRPr="00864E72" w:rsidRDefault="00853AB6" w:rsidP="0028580B">
      <w:pPr>
        <w:tabs>
          <w:tab w:val="left" w:pos="0"/>
        </w:tabs>
        <w:spacing w:line="276" w:lineRule="auto"/>
        <w:jc w:val="both"/>
        <w:rPr>
          <w:rFonts w:ascii="Arial" w:eastAsia="Calibri" w:hAnsi="Arial" w:cs="Arial"/>
          <w:bCs/>
          <w:color w:val="000000" w:themeColor="text1"/>
          <w:sz w:val="22"/>
          <w:szCs w:val="22"/>
          <w:lang w:val="es-ES_tradnl"/>
        </w:rPr>
      </w:pPr>
    </w:p>
    <w:p w14:paraId="7087C7BE" w14:textId="77777777" w:rsidR="00F82F4C" w:rsidRPr="00864E72" w:rsidRDefault="00F82F4C" w:rsidP="00F82F4C">
      <w:pPr>
        <w:tabs>
          <w:tab w:val="left" w:pos="0"/>
        </w:tabs>
        <w:ind w:left="709" w:right="709"/>
        <w:jc w:val="both"/>
        <w:rPr>
          <w:rFonts w:ascii="Arial" w:eastAsia="Calibri" w:hAnsi="Arial" w:cs="Arial"/>
          <w:bCs/>
          <w:color w:val="000000" w:themeColor="text1"/>
          <w:sz w:val="21"/>
          <w:szCs w:val="21"/>
          <w:lang w:val="es-ES_tradnl"/>
        </w:rPr>
      </w:pPr>
      <w:r w:rsidRPr="00864E72">
        <w:rPr>
          <w:rFonts w:ascii="Arial" w:eastAsia="Calibri" w:hAnsi="Arial" w:cs="Arial"/>
          <w:bCs/>
          <w:color w:val="000000" w:themeColor="text1"/>
          <w:sz w:val="21"/>
          <w:szCs w:val="21"/>
          <w:lang w:val="es-ES_tradnl"/>
        </w:rPr>
        <w:t xml:space="preserve"> «[E]l elemento central para la determinación de este concepto jurídico, remite al objeto social –cuando se trata de empresas públicas o privadas constituidas bajo alguno de los tipos societarios definidos en la ley– pero también se refiere, mutatis mutandis, al objeto y funciones expresamente definidas en los actos de creación de entidades públicas que, por su naturaleza, se orientan al desarrollo de actividades industriales y comerciales. De forma que, el giro ordinario de los negocios se explica a partir del objeto social o, también, de las funciones expresamente fijadas por ley, según se trate de una persona jurídica pública o privada, pues ambas categorías, para estos efectos, resultan equivalentes.</w:t>
      </w:r>
    </w:p>
    <w:p w14:paraId="2406B398" w14:textId="77777777" w:rsidR="00F82F4C" w:rsidRPr="00864E72" w:rsidRDefault="00F82F4C" w:rsidP="00F82F4C">
      <w:pPr>
        <w:tabs>
          <w:tab w:val="left" w:pos="0"/>
        </w:tabs>
        <w:ind w:left="709" w:right="709"/>
        <w:jc w:val="both"/>
        <w:rPr>
          <w:rFonts w:ascii="Arial" w:eastAsia="Calibri" w:hAnsi="Arial" w:cs="Arial"/>
          <w:bCs/>
          <w:color w:val="000000" w:themeColor="text1"/>
          <w:sz w:val="21"/>
          <w:szCs w:val="21"/>
          <w:lang w:val="es-ES_tradnl"/>
        </w:rPr>
      </w:pPr>
    </w:p>
    <w:p w14:paraId="30249387" w14:textId="77777777" w:rsidR="00F82F4C" w:rsidRPr="00864E72" w:rsidRDefault="00F82F4C" w:rsidP="00F82F4C">
      <w:pPr>
        <w:tabs>
          <w:tab w:val="left" w:pos="0"/>
        </w:tabs>
        <w:ind w:left="709" w:right="709"/>
        <w:jc w:val="both"/>
        <w:rPr>
          <w:rFonts w:ascii="Arial" w:eastAsia="Calibri" w:hAnsi="Arial" w:cs="Arial"/>
          <w:bCs/>
          <w:color w:val="000000" w:themeColor="text1"/>
          <w:sz w:val="21"/>
          <w:szCs w:val="21"/>
          <w:lang w:val="es-ES_tradnl"/>
        </w:rPr>
      </w:pPr>
      <w:r w:rsidRPr="00864E72">
        <w:rPr>
          <w:rFonts w:ascii="Arial" w:eastAsia="Calibri" w:hAnsi="Arial" w:cs="Arial"/>
          <w:bCs/>
          <w:color w:val="000000" w:themeColor="text1"/>
          <w:sz w:val="21"/>
          <w:szCs w:val="21"/>
          <w:lang w:val="es-ES_tradnl"/>
        </w:rPr>
        <w:t xml:space="preserve">Así las cosas, es razonable que el concepto de “giro ordinario de los negocios” sea compatible, de cara al sub lite, con el objeto y funciones de las empresas industriales y comerciales del estado –EICE– de carácter financiero, como lo es </w:t>
      </w:r>
      <w:proofErr w:type="spellStart"/>
      <w:r w:rsidRPr="00864E72">
        <w:rPr>
          <w:rFonts w:ascii="Arial" w:eastAsia="Calibri" w:hAnsi="Arial" w:cs="Arial"/>
          <w:bCs/>
          <w:color w:val="000000" w:themeColor="text1"/>
          <w:sz w:val="21"/>
          <w:szCs w:val="21"/>
          <w:lang w:val="es-ES_tradnl"/>
        </w:rPr>
        <w:t>Fonade</w:t>
      </w:r>
      <w:proofErr w:type="spellEnd"/>
      <w:r w:rsidRPr="00864E72">
        <w:rPr>
          <w:rFonts w:ascii="Arial" w:eastAsia="Calibri" w:hAnsi="Arial" w:cs="Arial"/>
          <w:bCs/>
          <w:color w:val="000000" w:themeColor="text1"/>
          <w:sz w:val="21"/>
          <w:szCs w:val="21"/>
          <w:lang w:val="es-ES_tradnl"/>
        </w:rPr>
        <w:t xml:space="preserve">, dado que para el desarrollo de su ejercicio comercial ha sido autorizada para actuar en términos equivalentes a los particulares, de manera que al incursionar en el mercado como un partícipe más, el desarrollo de su gestión está atada al giro ordinario de tales negocios, en los mismos términos en los que se desarrolla el objeto social de las empresas privadas.   </w:t>
      </w:r>
    </w:p>
    <w:p w14:paraId="063C7C8F" w14:textId="77777777" w:rsidR="00F82F4C" w:rsidRPr="00864E72" w:rsidRDefault="00F82F4C" w:rsidP="00F82F4C">
      <w:pPr>
        <w:tabs>
          <w:tab w:val="left" w:pos="0"/>
        </w:tabs>
        <w:ind w:left="709" w:right="709"/>
        <w:jc w:val="both"/>
        <w:rPr>
          <w:rFonts w:ascii="Arial" w:eastAsia="Calibri" w:hAnsi="Arial" w:cs="Arial"/>
          <w:bCs/>
          <w:color w:val="000000" w:themeColor="text1"/>
          <w:sz w:val="21"/>
          <w:szCs w:val="21"/>
          <w:lang w:val="es-ES_tradnl"/>
        </w:rPr>
      </w:pPr>
    </w:p>
    <w:p w14:paraId="59833D9C" w14:textId="77777777" w:rsidR="00F82F4C" w:rsidRPr="00864E72" w:rsidRDefault="00F82F4C" w:rsidP="00F82F4C">
      <w:pPr>
        <w:tabs>
          <w:tab w:val="left" w:pos="0"/>
        </w:tabs>
        <w:ind w:left="709" w:right="709"/>
        <w:jc w:val="both"/>
        <w:rPr>
          <w:rFonts w:ascii="Arial" w:eastAsia="Calibri" w:hAnsi="Arial" w:cs="Arial"/>
          <w:bCs/>
          <w:color w:val="000000" w:themeColor="text1"/>
          <w:sz w:val="21"/>
          <w:szCs w:val="21"/>
          <w:lang w:val="es-ES_tradnl"/>
        </w:rPr>
      </w:pPr>
      <w:r w:rsidRPr="00864E72">
        <w:rPr>
          <w:rFonts w:ascii="Arial" w:eastAsia="Calibri" w:hAnsi="Arial" w:cs="Arial"/>
          <w:bCs/>
          <w:color w:val="000000" w:themeColor="text1"/>
          <w:sz w:val="21"/>
          <w:szCs w:val="21"/>
          <w:lang w:val="es-ES_tradnl"/>
        </w:rPr>
        <w:t>7.8. De otra parte, y frente a las actividades conexas o complementarias al objeto social, existe plena compatibilidad respecto de los actos y contratos que puede desarrollar una EICE bajo el giro ordinario de sus negocios pues, al tenor de lo normado en el artículo 86 de la Ley 489 de 1998, dispuso el legislador que además de las actividades y funciones previstas en la ley, en las normas de creación y en sus estatutos internos, la empresas industriales y comerciales del estado están facultadas para “desarrollar y ejecutar todos aquellos que sean necesarios para el cumplimiento del objeto asignado”, previsión que ratifica la aplicación equivalente del giro ordinario de los negocios a las EICE, en sus dos categorías de actuación –objeto principal y actividades conexas»</w:t>
      </w:r>
      <w:r w:rsidRPr="00864E72">
        <w:rPr>
          <w:rStyle w:val="Refdenotaalpie"/>
          <w:rFonts w:ascii="Arial" w:eastAsia="Calibri" w:hAnsi="Arial" w:cs="Arial"/>
          <w:color w:val="000000" w:themeColor="text1"/>
        </w:rPr>
        <w:footnoteReference w:id="20"/>
      </w:r>
      <w:r w:rsidRPr="00864E72">
        <w:rPr>
          <w:rFonts w:ascii="Arial" w:eastAsia="Calibri" w:hAnsi="Arial" w:cs="Arial"/>
          <w:bCs/>
          <w:color w:val="000000" w:themeColor="text1"/>
          <w:sz w:val="21"/>
          <w:szCs w:val="21"/>
          <w:lang w:val="es-ES_tradnl"/>
        </w:rPr>
        <w:t xml:space="preserve">. </w:t>
      </w:r>
    </w:p>
    <w:p w14:paraId="1ADF6456" w14:textId="77777777" w:rsidR="00F82F4C" w:rsidRPr="00864E72" w:rsidRDefault="00F82F4C" w:rsidP="00F82F4C">
      <w:pPr>
        <w:tabs>
          <w:tab w:val="left" w:pos="0"/>
        </w:tabs>
        <w:spacing w:line="276" w:lineRule="auto"/>
        <w:jc w:val="both"/>
        <w:rPr>
          <w:rFonts w:ascii="Arial" w:eastAsia="Calibri" w:hAnsi="Arial" w:cs="Arial"/>
          <w:bCs/>
          <w:color w:val="000000" w:themeColor="text1"/>
          <w:sz w:val="22"/>
          <w:lang w:val="es-ES_tradnl"/>
        </w:rPr>
      </w:pPr>
      <w:r w:rsidRPr="00864E72">
        <w:rPr>
          <w:rFonts w:ascii="Arial" w:eastAsia="Calibri" w:hAnsi="Arial" w:cs="Arial"/>
          <w:bCs/>
          <w:color w:val="000000" w:themeColor="text1"/>
          <w:sz w:val="22"/>
          <w:lang w:val="es-ES_tradnl"/>
        </w:rPr>
        <w:tab/>
      </w:r>
    </w:p>
    <w:p w14:paraId="6F8D68AF" w14:textId="77777777" w:rsidR="00F82F4C" w:rsidRPr="00864E72" w:rsidRDefault="00F82F4C" w:rsidP="00F82F4C">
      <w:pPr>
        <w:tabs>
          <w:tab w:val="left" w:pos="0"/>
        </w:tabs>
        <w:spacing w:after="120" w:line="276" w:lineRule="auto"/>
        <w:jc w:val="both"/>
        <w:rPr>
          <w:rFonts w:ascii="Arial" w:eastAsia="Calibri" w:hAnsi="Arial" w:cs="Arial"/>
          <w:bCs/>
          <w:color w:val="000000" w:themeColor="text1"/>
          <w:sz w:val="22"/>
          <w:szCs w:val="22"/>
          <w:lang w:val="es-ES_tradnl"/>
        </w:rPr>
      </w:pPr>
      <w:r w:rsidRPr="00864E72">
        <w:rPr>
          <w:rFonts w:ascii="Arial" w:eastAsia="Calibri" w:hAnsi="Arial" w:cs="Arial"/>
          <w:bCs/>
          <w:color w:val="000000" w:themeColor="text1"/>
          <w:sz w:val="22"/>
          <w:szCs w:val="22"/>
          <w:lang w:val="es-ES_tradnl"/>
        </w:rPr>
        <w:tab/>
        <w:t xml:space="preserve">Conforme con lo expresado en estas providencias, el </w:t>
      </w:r>
      <w:r w:rsidRPr="00864E72">
        <w:rPr>
          <w:rFonts w:ascii="Arial" w:eastAsia="Calibri" w:hAnsi="Arial" w:cs="Arial"/>
          <w:bCs/>
          <w:i/>
          <w:iCs/>
          <w:color w:val="000000" w:themeColor="text1"/>
          <w:sz w:val="22"/>
          <w:szCs w:val="22"/>
          <w:lang w:val="es-ES_tradnl"/>
        </w:rPr>
        <w:t xml:space="preserve">giro ordinario </w:t>
      </w:r>
      <w:r w:rsidRPr="00864E72">
        <w:rPr>
          <w:rFonts w:ascii="Arial" w:eastAsia="Calibri" w:hAnsi="Arial" w:cs="Arial"/>
          <w:bCs/>
          <w:color w:val="000000" w:themeColor="text1"/>
          <w:sz w:val="22"/>
          <w:szCs w:val="22"/>
          <w:lang w:val="es-ES_tradnl"/>
        </w:rPr>
        <w:t>involucra los asuntos que integran el desarrollo del objeto social de una sociedad comercial, una empresa o entidad pública, lo cual comprende tanto unas actividades directamente relacionadas con dicho objeto social, así como otros actos conexos al mismo. Esta interpretación, en principio, es coherente con la regulación de la capacidad de las sociedades comerciales establecida en el Código de Comercio, cuyo artículo 99 dispone que «[</w:t>
      </w:r>
      <w:r w:rsidRPr="00864E72">
        <w:rPr>
          <w:rFonts w:ascii="Arial" w:hAnsi="Arial" w:cs="Arial"/>
          <w:color w:val="000000" w:themeColor="text1"/>
          <w:sz w:val="22"/>
          <w:szCs w:val="22"/>
          <w:lang w:val="es-ES_tradnl"/>
        </w:rPr>
        <w:t>S]e</w:t>
      </w:r>
      <w:r w:rsidRPr="00864E72">
        <w:rPr>
          <w:rFonts w:ascii="Arial" w:eastAsia="Calibri" w:hAnsi="Arial" w:cs="Arial"/>
          <w:bCs/>
          <w:color w:val="000000" w:themeColor="text1"/>
          <w:sz w:val="22"/>
          <w:szCs w:val="22"/>
          <w:lang w:val="es-ES_tradnl"/>
        </w:rPr>
        <w:t xml:space="preserve"> entenderán incluidos en el objeto social los actos directamente relacionados con el mismo y los que tengan como finalidad ejercer los derechos o cumplir las obligaciones, legal o convencionalmente derivados de la existencia y actividad de la sociedad»</w:t>
      </w:r>
      <w:r w:rsidRPr="00864E72">
        <w:rPr>
          <w:rStyle w:val="Refdenotaalpie"/>
          <w:rFonts w:ascii="Arial" w:eastAsia="Calibri" w:hAnsi="Arial" w:cs="Arial"/>
          <w:color w:val="000000" w:themeColor="text1"/>
        </w:rPr>
        <w:footnoteReference w:id="21"/>
      </w:r>
      <w:r w:rsidRPr="00864E72">
        <w:rPr>
          <w:rFonts w:ascii="Arial" w:eastAsia="Calibri" w:hAnsi="Arial" w:cs="Arial"/>
          <w:bCs/>
          <w:color w:val="000000" w:themeColor="text1"/>
          <w:sz w:val="22"/>
          <w:szCs w:val="22"/>
          <w:lang w:val="es-ES_tradnl"/>
        </w:rPr>
        <w:t xml:space="preserve">. </w:t>
      </w:r>
    </w:p>
    <w:p w14:paraId="1EF5E1A2" w14:textId="77777777" w:rsidR="00F82F4C" w:rsidRPr="00864E72" w:rsidRDefault="00F82F4C" w:rsidP="00F82F4C">
      <w:pPr>
        <w:tabs>
          <w:tab w:val="left" w:pos="0"/>
        </w:tabs>
        <w:spacing w:line="276" w:lineRule="auto"/>
        <w:jc w:val="both"/>
        <w:rPr>
          <w:rFonts w:ascii="Arial" w:eastAsia="Calibri" w:hAnsi="Arial" w:cs="Arial"/>
          <w:bCs/>
          <w:color w:val="000000" w:themeColor="text1"/>
          <w:sz w:val="22"/>
          <w:szCs w:val="22"/>
          <w:lang w:val="es-ES_tradnl"/>
        </w:rPr>
      </w:pPr>
      <w:r w:rsidRPr="00864E72">
        <w:rPr>
          <w:rFonts w:ascii="Arial" w:eastAsia="Calibri" w:hAnsi="Arial" w:cs="Arial"/>
          <w:bCs/>
          <w:color w:val="000000" w:themeColor="text1"/>
          <w:sz w:val="22"/>
          <w:szCs w:val="22"/>
          <w:lang w:val="es-ES_tradnl"/>
        </w:rPr>
        <w:lastRenderedPageBreak/>
        <w:tab/>
        <w:t xml:space="preserve">De otra parte, la doctrina societaria también se ha encargado de definir el </w:t>
      </w:r>
      <w:r w:rsidRPr="00864E72">
        <w:rPr>
          <w:rFonts w:ascii="Arial" w:eastAsia="Calibri" w:hAnsi="Arial" w:cs="Arial"/>
          <w:bCs/>
          <w:i/>
          <w:iCs/>
          <w:color w:val="000000" w:themeColor="text1"/>
          <w:sz w:val="22"/>
          <w:szCs w:val="22"/>
          <w:lang w:val="es-ES_tradnl"/>
        </w:rPr>
        <w:t>objeto social</w:t>
      </w:r>
      <w:r w:rsidRPr="00864E72">
        <w:rPr>
          <w:rFonts w:ascii="Arial" w:eastAsia="Calibri" w:hAnsi="Arial" w:cs="Arial"/>
          <w:bCs/>
          <w:color w:val="000000" w:themeColor="text1"/>
          <w:sz w:val="22"/>
          <w:szCs w:val="22"/>
          <w:lang w:val="es-ES_tradnl"/>
        </w:rPr>
        <w:t xml:space="preserve">, así como su relación con el concepto de </w:t>
      </w:r>
      <w:r w:rsidRPr="00864E72">
        <w:rPr>
          <w:rFonts w:ascii="Arial" w:eastAsia="Calibri" w:hAnsi="Arial" w:cs="Arial"/>
          <w:bCs/>
          <w:i/>
          <w:iCs/>
          <w:color w:val="000000" w:themeColor="text1"/>
          <w:sz w:val="22"/>
          <w:szCs w:val="22"/>
          <w:lang w:val="es-ES_tradnl"/>
        </w:rPr>
        <w:t>giro ordinario</w:t>
      </w:r>
      <w:r w:rsidRPr="00864E72">
        <w:rPr>
          <w:rFonts w:ascii="Arial" w:eastAsia="Calibri" w:hAnsi="Arial" w:cs="Arial"/>
          <w:bCs/>
          <w:color w:val="000000" w:themeColor="text1"/>
          <w:sz w:val="22"/>
          <w:szCs w:val="22"/>
          <w:lang w:val="es-ES_tradnl"/>
        </w:rPr>
        <w:t>. Al respecto, la Superintendencia de Sociedades, citando doctrina autorizada en la materia, ha señalado:</w:t>
      </w:r>
    </w:p>
    <w:p w14:paraId="59DDD898" w14:textId="77777777" w:rsidR="00F82F4C" w:rsidRPr="00864E72" w:rsidRDefault="00F82F4C" w:rsidP="00F82F4C">
      <w:pPr>
        <w:tabs>
          <w:tab w:val="left" w:pos="0"/>
        </w:tabs>
        <w:spacing w:line="276" w:lineRule="auto"/>
        <w:jc w:val="both"/>
        <w:rPr>
          <w:rFonts w:ascii="Arial" w:eastAsia="Calibri" w:hAnsi="Arial" w:cs="Arial"/>
          <w:bCs/>
          <w:color w:val="000000" w:themeColor="text1"/>
          <w:sz w:val="22"/>
          <w:szCs w:val="22"/>
          <w:lang w:val="es-ES_tradnl"/>
        </w:rPr>
      </w:pPr>
    </w:p>
    <w:p w14:paraId="2ECB29C5" w14:textId="77777777" w:rsidR="00F82F4C" w:rsidRPr="00864E72" w:rsidRDefault="00F82F4C" w:rsidP="00F82F4C">
      <w:pPr>
        <w:tabs>
          <w:tab w:val="left" w:pos="0"/>
        </w:tabs>
        <w:spacing w:after="120"/>
        <w:ind w:left="709" w:right="709"/>
        <w:jc w:val="both"/>
        <w:rPr>
          <w:rFonts w:ascii="Arial" w:hAnsi="Arial" w:cs="Arial"/>
          <w:color w:val="000000" w:themeColor="text1"/>
          <w:sz w:val="21"/>
          <w:szCs w:val="21"/>
          <w:lang w:val="es-ES_tradnl"/>
        </w:rPr>
      </w:pPr>
      <w:r w:rsidRPr="00864E72">
        <w:rPr>
          <w:rFonts w:ascii="Arial" w:hAnsi="Arial" w:cs="Arial"/>
          <w:color w:val="000000" w:themeColor="text1"/>
          <w:sz w:val="21"/>
          <w:szCs w:val="21"/>
          <w:lang w:val="es-ES_tradnl"/>
        </w:rPr>
        <w:t>Si bien el llamado giro ordinario de los negocios se encuentra determinado por las actividades que constituyen el objeto social, resultan oportunas algunas precisiones conceptuales en torno al empleo constante en la práctica mercantil de la referida expresión "giro ordinario de los negocios". Partiendo de las anteriores consideraciones en cuanto al tema del objeto social, se concluye que éste alude a las actividades que desarrolla o se propone realizar el ente social, al paso que solamente quedan cobijadas por "giro ordinario" aquellas actividades que en forma habitual u ordinaria, ejecuta la sociedad.</w:t>
      </w:r>
    </w:p>
    <w:p w14:paraId="430E2948" w14:textId="77777777" w:rsidR="00F82F4C" w:rsidRPr="00864E72" w:rsidRDefault="00F82F4C" w:rsidP="00F82F4C">
      <w:pPr>
        <w:tabs>
          <w:tab w:val="left" w:pos="0"/>
        </w:tabs>
        <w:ind w:left="709" w:right="709"/>
        <w:jc w:val="both"/>
        <w:rPr>
          <w:rFonts w:ascii="Arial" w:eastAsia="Calibri" w:hAnsi="Arial" w:cs="Arial"/>
          <w:bCs/>
          <w:color w:val="000000" w:themeColor="text1"/>
          <w:sz w:val="21"/>
          <w:szCs w:val="21"/>
          <w:lang w:val="es-ES_tradnl"/>
        </w:rPr>
      </w:pPr>
      <w:r w:rsidRPr="00864E72">
        <w:rPr>
          <w:rFonts w:ascii="Arial" w:hAnsi="Arial" w:cs="Arial"/>
          <w:color w:val="000000" w:themeColor="text1"/>
          <w:sz w:val="21"/>
          <w:szCs w:val="21"/>
          <w:lang w:val="es-ES_tradnl"/>
        </w:rPr>
        <w:t>Advierte el profesor GAVIRIA GUTIÉRREZ (Lecciones de Derecho Comercial, Biblioteca Jurídica DIKE, Medellín, 1987, Pág. 251) que "el objeto social tiene un significado de mayor amplitud que el giro ordinario, pues aquel comprende cuanto acto sea necesario o conveniente para realizar el fin social propuesto, ya sea de simple gestión ordinaria, como la compra de materias primas y la venta de productos elaborados, ya de gestión extraordinaria, como un traslado de las instalaciones industriales, un despido masivo, un cambio de marcas y demás signos distintivos", de lo cual puede deducirse una relación de género a especie entre ambos conceptos, siendo el giro ordinario una especie que se enmarca al interior del genérico objeto social»</w:t>
      </w:r>
      <w:r w:rsidRPr="00864E72">
        <w:rPr>
          <w:rStyle w:val="Refdenotaalpie"/>
          <w:rFonts w:ascii="Arial" w:hAnsi="Arial" w:cs="Arial"/>
          <w:color w:val="000000" w:themeColor="text1"/>
        </w:rPr>
        <w:footnoteReference w:id="22"/>
      </w:r>
      <w:r w:rsidRPr="00864E72">
        <w:rPr>
          <w:rFonts w:ascii="Arial" w:hAnsi="Arial" w:cs="Arial"/>
          <w:color w:val="000000" w:themeColor="text1"/>
          <w:sz w:val="21"/>
          <w:szCs w:val="21"/>
          <w:lang w:val="es-ES_tradnl"/>
        </w:rPr>
        <w:t>.</w:t>
      </w:r>
    </w:p>
    <w:p w14:paraId="11528A46" w14:textId="77777777" w:rsidR="00F82F4C" w:rsidRPr="00864E72" w:rsidRDefault="00F82F4C" w:rsidP="00F82F4C">
      <w:pPr>
        <w:tabs>
          <w:tab w:val="left" w:pos="0"/>
        </w:tabs>
        <w:spacing w:line="276" w:lineRule="auto"/>
        <w:jc w:val="both"/>
        <w:rPr>
          <w:rFonts w:ascii="Arial" w:eastAsia="Calibri" w:hAnsi="Arial" w:cs="Arial"/>
          <w:bCs/>
          <w:color w:val="000000" w:themeColor="text1"/>
          <w:sz w:val="22"/>
          <w:lang w:val="es-ES_tradnl"/>
        </w:rPr>
      </w:pPr>
    </w:p>
    <w:p w14:paraId="268F4E1D" w14:textId="4BF1D16C" w:rsidR="00F82F4C" w:rsidRPr="00864E72" w:rsidRDefault="00F82F4C" w:rsidP="00F82F4C">
      <w:pPr>
        <w:tabs>
          <w:tab w:val="left" w:pos="0"/>
        </w:tabs>
        <w:spacing w:after="120" w:line="276" w:lineRule="auto"/>
        <w:jc w:val="both"/>
        <w:rPr>
          <w:rFonts w:ascii="Arial" w:eastAsia="Calibri" w:hAnsi="Arial" w:cs="Arial"/>
          <w:bCs/>
          <w:color w:val="000000" w:themeColor="text1"/>
          <w:sz w:val="22"/>
          <w:lang w:val="es-ES_tradnl"/>
        </w:rPr>
      </w:pPr>
      <w:r w:rsidRPr="00864E72">
        <w:rPr>
          <w:rFonts w:ascii="Arial" w:eastAsia="Calibri" w:hAnsi="Arial" w:cs="Arial"/>
          <w:bCs/>
          <w:color w:val="000000" w:themeColor="text1"/>
          <w:sz w:val="22"/>
          <w:lang w:val="es-ES_tradnl"/>
        </w:rPr>
        <w:tab/>
        <w:t xml:space="preserve">De acuerdo con estas consideraciones, no existe una plena equivalencia entre las </w:t>
      </w:r>
      <w:bookmarkStart w:id="5" w:name="_Hlk95322109"/>
      <w:r w:rsidRPr="00864E72">
        <w:rPr>
          <w:rFonts w:ascii="Arial" w:eastAsia="Calibri" w:hAnsi="Arial" w:cs="Arial"/>
          <w:bCs/>
          <w:color w:val="000000" w:themeColor="text1"/>
          <w:sz w:val="22"/>
          <w:lang w:val="es-ES_tradnl"/>
        </w:rPr>
        <w:t xml:space="preserve">actividades que hacen parte del desarrollo del </w:t>
      </w:r>
      <w:r w:rsidRPr="00864E72">
        <w:rPr>
          <w:rFonts w:ascii="Arial" w:eastAsia="Calibri" w:hAnsi="Arial" w:cs="Arial"/>
          <w:bCs/>
          <w:i/>
          <w:iCs/>
          <w:color w:val="000000" w:themeColor="text1"/>
          <w:sz w:val="22"/>
          <w:lang w:val="es-ES_tradnl"/>
        </w:rPr>
        <w:t>objeto social</w:t>
      </w:r>
      <w:r w:rsidRPr="00864E72">
        <w:rPr>
          <w:rFonts w:ascii="Arial" w:eastAsia="Calibri" w:hAnsi="Arial" w:cs="Arial"/>
          <w:bCs/>
          <w:color w:val="000000" w:themeColor="text1"/>
          <w:sz w:val="22"/>
          <w:lang w:val="es-ES_tradnl"/>
        </w:rPr>
        <w:t xml:space="preserve"> y las que comprende el </w:t>
      </w:r>
      <w:r w:rsidRPr="00864E72">
        <w:rPr>
          <w:rFonts w:ascii="Arial" w:eastAsia="Calibri" w:hAnsi="Arial" w:cs="Arial"/>
          <w:bCs/>
          <w:i/>
          <w:iCs/>
          <w:color w:val="000000" w:themeColor="text1"/>
          <w:sz w:val="22"/>
          <w:lang w:val="es-ES_tradnl"/>
        </w:rPr>
        <w:t>giro ordinario</w:t>
      </w:r>
      <w:r w:rsidRPr="00864E72">
        <w:rPr>
          <w:rFonts w:ascii="Arial" w:eastAsia="Calibri" w:hAnsi="Arial" w:cs="Arial"/>
          <w:bCs/>
          <w:color w:val="000000" w:themeColor="text1"/>
          <w:sz w:val="22"/>
          <w:lang w:val="es-ES_tradnl"/>
        </w:rPr>
        <w:t xml:space="preserve">, ya que como precisa la Superintendencia de Sociedades, entre lo que designan estas categorías existe una relación de género a especie. </w:t>
      </w:r>
      <w:r w:rsidR="00B8308B" w:rsidRPr="00864E72">
        <w:rPr>
          <w:rStyle w:val="normaltextrun"/>
          <w:rFonts w:ascii="Arial" w:hAnsi="Arial" w:cs="Arial"/>
          <w:color w:val="000000"/>
          <w:sz w:val="22"/>
          <w:szCs w:val="22"/>
          <w:shd w:val="clear" w:color="auto" w:fill="FFFFFF"/>
          <w:lang w:val="es-ES"/>
        </w:rPr>
        <w:t xml:space="preserve">En ese sentido, de acuerdo con este criterio, las actividades que hacen parte del </w:t>
      </w:r>
      <w:r w:rsidR="00B8308B" w:rsidRPr="00864E72">
        <w:rPr>
          <w:rStyle w:val="normaltextrun"/>
          <w:rFonts w:ascii="Arial" w:hAnsi="Arial" w:cs="Arial"/>
          <w:i/>
          <w:iCs/>
          <w:color w:val="000000"/>
          <w:sz w:val="22"/>
          <w:szCs w:val="22"/>
          <w:shd w:val="clear" w:color="auto" w:fill="FFFFFF"/>
          <w:lang w:val="es-ES"/>
        </w:rPr>
        <w:t xml:space="preserve">giro ordinario </w:t>
      </w:r>
      <w:r w:rsidR="00B8308B" w:rsidRPr="00864E72">
        <w:rPr>
          <w:rStyle w:val="normaltextrun"/>
          <w:rFonts w:ascii="Arial" w:hAnsi="Arial" w:cs="Arial"/>
          <w:color w:val="000000"/>
          <w:sz w:val="22"/>
          <w:szCs w:val="22"/>
          <w:shd w:val="clear" w:color="auto" w:fill="FFFFFF"/>
          <w:lang w:val="es-ES"/>
        </w:rPr>
        <w:t xml:space="preserve">no son solo aquellas que están efectivamente comprendidas dentro del objeto social, sino que, además, se extiende a todas aquellas conexas que se desarrollan en la gestión usual de los asuntos de la sociedad. Esto significa que las actividades que hacen parte del </w:t>
      </w:r>
      <w:r w:rsidR="00B8308B" w:rsidRPr="00864E72">
        <w:rPr>
          <w:rStyle w:val="normaltextrun"/>
          <w:rFonts w:ascii="Arial" w:hAnsi="Arial" w:cs="Arial"/>
          <w:i/>
          <w:iCs/>
          <w:color w:val="000000"/>
          <w:sz w:val="22"/>
          <w:szCs w:val="22"/>
          <w:shd w:val="clear" w:color="auto" w:fill="FFFFFF"/>
          <w:lang w:val="es-ES"/>
        </w:rPr>
        <w:t>giro ordinario</w:t>
      </w:r>
      <w:r w:rsidR="00B8308B" w:rsidRPr="00864E72">
        <w:rPr>
          <w:rStyle w:val="normaltextrun"/>
          <w:rFonts w:ascii="Arial" w:hAnsi="Arial" w:cs="Arial"/>
          <w:color w:val="000000"/>
          <w:sz w:val="22"/>
          <w:szCs w:val="22"/>
          <w:shd w:val="clear" w:color="auto" w:fill="FFFFFF"/>
        </w:rPr>
        <w:t xml:space="preserve"> son todas aquellas que hacen parte del objeto social, así como todas aquellas conexas al mismo, siguiendo lo señalado por la jurisprudencia del Consejo de Estado.   </w:t>
      </w:r>
    </w:p>
    <w:p w14:paraId="62B4683A" w14:textId="225E1092" w:rsidR="00F82F4C" w:rsidRPr="00864E72" w:rsidRDefault="00F82F4C" w:rsidP="00F82F4C">
      <w:pPr>
        <w:tabs>
          <w:tab w:val="left" w:pos="0"/>
        </w:tabs>
        <w:spacing w:after="120" w:line="276" w:lineRule="auto"/>
        <w:jc w:val="both"/>
        <w:rPr>
          <w:rFonts w:ascii="Arial" w:eastAsia="Calibri" w:hAnsi="Arial" w:cs="Arial"/>
          <w:bCs/>
          <w:color w:val="000000" w:themeColor="text1"/>
          <w:sz w:val="22"/>
          <w:lang w:val="es-ES_tradnl"/>
        </w:rPr>
      </w:pPr>
      <w:r w:rsidRPr="00864E72">
        <w:rPr>
          <w:rFonts w:ascii="Arial" w:eastAsia="Calibri" w:hAnsi="Arial" w:cs="Arial"/>
          <w:bCs/>
          <w:color w:val="000000" w:themeColor="text1"/>
          <w:sz w:val="22"/>
          <w:lang w:val="es-ES_tradnl"/>
        </w:rPr>
        <w:tab/>
        <w:t xml:space="preserve">En relación con la aplicación de lo dispuesto en el parágrafo del artículo 56 de la Ley 2195 de 2022, conviene aclarar que, a juicio de esta Agencia, a menos que el Presidente de la República en ejercicio de la potestad reglamentaria atribuida por el artículo 189.11 de la Constitución Política, disponga algo diferente, la expresión </w:t>
      </w:r>
      <w:r w:rsidRPr="00864E72">
        <w:rPr>
          <w:rFonts w:ascii="Arial" w:eastAsia="Calibri" w:hAnsi="Arial" w:cs="Arial"/>
          <w:bCs/>
          <w:i/>
          <w:iCs/>
          <w:color w:val="000000" w:themeColor="text1"/>
          <w:sz w:val="22"/>
          <w:lang w:val="es-ES_tradnl"/>
        </w:rPr>
        <w:t xml:space="preserve">giro ordinario </w:t>
      </w:r>
      <w:r w:rsidRPr="00864E72">
        <w:rPr>
          <w:rFonts w:ascii="Arial" w:eastAsia="Calibri" w:hAnsi="Arial" w:cs="Arial"/>
          <w:bCs/>
          <w:color w:val="000000" w:themeColor="text1"/>
          <w:sz w:val="22"/>
          <w:lang w:val="es-ES_tradnl"/>
        </w:rPr>
        <w:t xml:space="preserve">en dicha norma </w:t>
      </w:r>
      <w:r w:rsidRPr="00864E72">
        <w:rPr>
          <w:rFonts w:ascii="Arial" w:eastAsia="Calibri" w:hAnsi="Arial" w:cs="Arial"/>
          <w:bCs/>
          <w:color w:val="000000" w:themeColor="text1"/>
          <w:sz w:val="22"/>
          <w:lang w:val="es-ES_tradnl"/>
        </w:rPr>
        <w:lastRenderedPageBreak/>
        <w:t xml:space="preserve">se usa para designar a la contratación directamente relacionada con los asuntos de la gestión habitual u ordinaria de los tipos de entidades mencionadas en el parágrafo. No obstante, la determinación de las actividades que comprenden el </w:t>
      </w:r>
      <w:r w:rsidRPr="00864E72">
        <w:rPr>
          <w:rFonts w:ascii="Arial" w:eastAsia="Calibri" w:hAnsi="Arial" w:cs="Arial"/>
          <w:bCs/>
          <w:i/>
          <w:iCs/>
          <w:color w:val="000000" w:themeColor="text1"/>
          <w:sz w:val="22"/>
          <w:lang w:val="es-ES_tradnl"/>
        </w:rPr>
        <w:t>giro ordinario</w:t>
      </w:r>
      <w:r w:rsidRPr="00864E72">
        <w:rPr>
          <w:rFonts w:ascii="Arial" w:eastAsia="Calibri" w:hAnsi="Arial" w:cs="Arial"/>
          <w:bCs/>
          <w:color w:val="000000" w:themeColor="text1"/>
          <w:sz w:val="22"/>
          <w:lang w:val="es-ES_tradnl"/>
        </w:rPr>
        <w:t xml:space="preserve"> es un asunto que debe establecerse en cada caso concreto por parte de las entidades estatales –analizando lo establecido en sus actos de creación y verificando los negocios habituales u ordinarios que desarrollan–, pues el parágrafo del artículo 56 </w:t>
      </w:r>
      <w:proofErr w:type="spellStart"/>
      <w:r w:rsidRPr="00864E72">
        <w:rPr>
          <w:rFonts w:ascii="Arial" w:eastAsia="Calibri" w:hAnsi="Arial" w:cs="Arial"/>
          <w:bCs/>
          <w:i/>
          <w:iCs/>
          <w:color w:val="000000" w:themeColor="text1"/>
          <w:sz w:val="22"/>
          <w:lang w:val="es-ES_tradnl"/>
        </w:rPr>
        <w:t>ejusdem</w:t>
      </w:r>
      <w:proofErr w:type="spellEnd"/>
      <w:r w:rsidRPr="00864E72">
        <w:rPr>
          <w:rFonts w:ascii="Arial" w:eastAsia="Calibri" w:hAnsi="Arial" w:cs="Arial"/>
          <w:bCs/>
          <w:color w:val="000000" w:themeColor="text1"/>
          <w:sz w:val="22"/>
          <w:lang w:val="es-ES_tradnl"/>
        </w:rPr>
        <w:t xml:space="preserve"> se limita a enunciar algunos tipos de entidades estatales, las cuales no solo difieren en su naturaleza jurídica, sino también en las actividades que </w:t>
      </w:r>
      <w:r w:rsidR="00BE475E" w:rsidRPr="00864E72">
        <w:rPr>
          <w:rFonts w:ascii="Arial" w:eastAsia="Calibri" w:hAnsi="Arial" w:cs="Arial"/>
          <w:bCs/>
          <w:color w:val="000000" w:themeColor="text1"/>
          <w:sz w:val="22"/>
          <w:lang w:val="es-ES_tradnl"/>
        </w:rPr>
        <w:t>realizan</w:t>
      </w:r>
      <w:r w:rsidRPr="00864E72">
        <w:rPr>
          <w:rFonts w:ascii="Arial" w:eastAsia="Calibri" w:hAnsi="Arial" w:cs="Arial"/>
          <w:bCs/>
          <w:color w:val="000000" w:themeColor="text1"/>
          <w:sz w:val="22"/>
          <w:lang w:val="es-ES_tradnl"/>
        </w:rPr>
        <w:t xml:space="preserve">. </w:t>
      </w:r>
    </w:p>
    <w:p w14:paraId="3E0F7407" w14:textId="77777777" w:rsidR="00F82F4C" w:rsidRPr="00864E72" w:rsidRDefault="00F82F4C" w:rsidP="00F82F4C">
      <w:pPr>
        <w:tabs>
          <w:tab w:val="left" w:pos="0"/>
        </w:tabs>
        <w:spacing w:after="120" w:line="276" w:lineRule="auto"/>
        <w:ind w:firstLine="709"/>
        <w:jc w:val="both"/>
        <w:rPr>
          <w:rFonts w:ascii="Arial" w:eastAsia="Calibri" w:hAnsi="Arial" w:cs="Arial"/>
          <w:bCs/>
          <w:color w:val="000000" w:themeColor="text1"/>
          <w:sz w:val="22"/>
          <w:lang w:val="es-ES_tradnl"/>
        </w:rPr>
      </w:pPr>
      <w:r w:rsidRPr="00864E72">
        <w:rPr>
          <w:rFonts w:ascii="Arial" w:eastAsia="Calibri" w:hAnsi="Arial" w:cs="Arial"/>
          <w:bCs/>
          <w:color w:val="000000" w:themeColor="text1"/>
          <w:sz w:val="22"/>
          <w:lang w:val="es-ES_tradnl"/>
        </w:rPr>
        <w:t xml:space="preserve">Esto impide que la Agencia Nacional de Contratación Pública, en sede consultiva, pueda determinar, con un criterio universal y absoluto, qué actividades específicas hacen parte del giro ordinario de los negocios de dichas entidades y cuáles escapan de este, pues, como se indicó, al explicar la naturaleza de los conceptos jurídicos indeterminados, la concreción del alcance de la expresión </w:t>
      </w:r>
      <w:r w:rsidRPr="00864E72">
        <w:rPr>
          <w:rFonts w:ascii="Arial" w:eastAsia="Calibri" w:hAnsi="Arial" w:cs="Arial"/>
          <w:bCs/>
          <w:i/>
          <w:iCs/>
          <w:color w:val="000000" w:themeColor="text1"/>
          <w:sz w:val="22"/>
          <w:lang w:val="es-ES_tradnl"/>
        </w:rPr>
        <w:t>giro ordinario</w:t>
      </w:r>
      <w:r w:rsidRPr="00864E72">
        <w:rPr>
          <w:rFonts w:ascii="Arial" w:eastAsia="Calibri" w:hAnsi="Arial" w:cs="Arial"/>
          <w:bCs/>
          <w:color w:val="000000" w:themeColor="text1"/>
          <w:sz w:val="22"/>
          <w:lang w:val="es-ES_tradnl"/>
        </w:rPr>
        <w:t xml:space="preserve"> debe hacerse en el caso concreto, empleando un criterio de interpretación restrictiva. Ello en la medida en que el parágrafo del artículo 56 consagra una excepción a una regla general. Además, cada una de las entidades estatales señaladas en dicho parágrafo se encuentra circunscrita, hermenéuticamente –para acotar aquel concepto–, a lo que establezcan sus normas estatutarias –actos de creación y demás reglamentos–, así como a la realidad de los negocios que hacen parte de su dinámica habitual.</w:t>
      </w:r>
    </w:p>
    <w:bookmarkEnd w:id="5"/>
    <w:p w14:paraId="71E30D27" w14:textId="49C73DAB" w:rsidR="00F82F4C" w:rsidRPr="00864E72" w:rsidRDefault="00F82F4C" w:rsidP="00F82F4C">
      <w:pPr>
        <w:tabs>
          <w:tab w:val="left" w:pos="0"/>
        </w:tabs>
        <w:spacing w:after="120" w:line="276" w:lineRule="auto"/>
        <w:jc w:val="both"/>
        <w:rPr>
          <w:rFonts w:ascii="Arial" w:eastAsia="Calibri" w:hAnsi="Arial" w:cs="Arial"/>
          <w:bCs/>
          <w:color w:val="000000" w:themeColor="text1"/>
          <w:sz w:val="22"/>
          <w:lang w:val="es-ES_tradnl"/>
        </w:rPr>
      </w:pPr>
      <w:r w:rsidRPr="00864E72">
        <w:rPr>
          <w:rFonts w:ascii="Arial" w:eastAsia="Calibri" w:hAnsi="Arial" w:cs="Arial"/>
          <w:bCs/>
          <w:color w:val="000000" w:themeColor="text1"/>
          <w:sz w:val="22"/>
          <w:lang w:val="es-ES_tradnl"/>
        </w:rPr>
        <w:tab/>
        <w:t xml:space="preserve">En tales términos, lo dispuesto en el parágrafo del artículo 56 implica que las instituciones de educación superior públicas, las empresas sociales del Estado, las sociedades de economía mixta y las empresas industriales y comerciales del Estado, no tendrán que implementar </w:t>
      </w:r>
      <w:r w:rsidR="00BE475E" w:rsidRPr="00864E72">
        <w:rPr>
          <w:rFonts w:ascii="Arial" w:eastAsia="Calibri" w:hAnsi="Arial" w:cs="Arial"/>
          <w:bCs/>
          <w:color w:val="000000" w:themeColor="text1"/>
          <w:sz w:val="22"/>
          <w:lang w:val="es-ES_tradnl"/>
        </w:rPr>
        <w:t xml:space="preserve">los </w:t>
      </w:r>
      <w:r w:rsidRPr="00864E72">
        <w:rPr>
          <w:rFonts w:ascii="Arial" w:eastAsia="Calibri" w:hAnsi="Arial" w:cs="Arial"/>
          <w:bCs/>
          <w:color w:val="000000" w:themeColor="text1"/>
          <w:sz w:val="22"/>
          <w:lang w:val="es-ES_tradnl"/>
        </w:rPr>
        <w:t xml:space="preserve">documentos tipo únicamente para la contratación relacionada con el </w:t>
      </w:r>
      <w:r w:rsidRPr="00864E72">
        <w:rPr>
          <w:rFonts w:ascii="Arial" w:eastAsia="Calibri" w:hAnsi="Arial" w:cs="Arial"/>
          <w:bCs/>
          <w:i/>
          <w:iCs/>
          <w:color w:val="000000" w:themeColor="text1"/>
          <w:sz w:val="22"/>
          <w:lang w:val="es-ES_tradnl"/>
        </w:rPr>
        <w:t xml:space="preserve">giro ordinario </w:t>
      </w:r>
      <w:r w:rsidRPr="00864E72">
        <w:rPr>
          <w:rFonts w:ascii="Arial" w:eastAsia="Calibri" w:hAnsi="Arial" w:cs="Arial"/>
          <w:bCs/>
          <w:color w:val="000000" w:themeColor="text1"/>
          <w:sz w:val="22"/>
          <w:lang w:val="es-ES_tradnl"/>
        </w:rPr>
        <w:t xml:space="preserve">de sus asuntos, salvo que los manuales internos de contratación de estas entidades dispongan la obligación de tener en cuenta los documentos tipo como una buena práctica contractual. De acuerdo con este entendimiento, estas entidades, en virtud de su enunciación en este parágrafo, quedan, en principio, exceptuadas de los documentos tipo, incluso para la contratación de obras o servicios cubiertos por documentos tipo, en el marco del cumplimiento de contratos o convenios con entidades sometidas al EGCAP y de los negocios jurídicos que se deriven de ellos, exclusivamente en lo que se refiere a </w:t>
      </w:r>
      <w:r w:rsidRPr="00864E72">
        <w:rPr>
          <w:rFonts w:ascii="Arial" w:eastAsia="Calibri" w:hAnsi="Arial" w:cs="Arial"/>
          <w:bCs/>
          <w:i/>
          <w:iCs/>
          <w:color w:val="000000" w:themeColor="text1"/>
          <w:sz w:val="22"/>
          <w:lang w:val="es-ES_tradnl"/>
        </w:rPr>
        <w:t>su giro ordinario</w:t>
      </w:r>
      <w:r w:rsidRPr="00864E72">
        <w:rPr>
          <w:rFonts w:ascii="Arial" w:eastAsia="Calibri" w:hAnsi="Arial" w:cs="Arial"/>
          <w:bCs/>
          <w:color w:val="000000" w:themeColor="text1"/>
          <w:sz w:val="22"/>
          <w:lang w:val="es-ES_tradnl"/>
        </w:rPr>
        <w:t xml:space="preserve">, entendido este conforme a los criterios jurisprudenciales y doctrinarios aquí explicados. En otras palabras, ninguna entidad cuya naturaleza jurídica coincida con las mencionadas en el parágrafo del artículo 56, tendrá que someterse de manera obligatoria a los documentos tipo o el EGCAP para la contratación de obras o servicios asociadas a su </w:t>
      </w:r>
      <w:r w:rsidRPr="00864E72">
        <w:rPr>
          <w:rFonts w:ascii="Arial" w:eastAsia="Calibri" w:hAnsi="Arial" w:cs="Arial"/>
          <w:bCs/>
          <w:i/>
          <w:iCs/>
          <w:color w:val="000000" w:themeColor="text1"/>
          <w:sz w:val="22"/>
          <w:lang w:val="es-ES_tradnl"/>
        </w:rPr>
        <w:t>giro ordinario</w:t>
      </w:r>
      <w:r w:rsidRPr="00864E72">
        <w:rPr>
          <w:rFonts w:ascii="Arial" w:eastAsia="Calibri" w:hAnsi="Arial" w:cs="Arial"/>
          <w:bCs/>
          <w:color w:val="000000" w:themeColor="text1"/>
          <w:sz w:val="22"/>
          <w:lang w:val="es-ES_tradnl"/>
        </w:rPr>
        <w:t xml:space="preserve">, a menos que su manual de contratación establezca lo contrario. De hacerlo, primará el principio de inderogabilidad singular del reglamento, que obliga a aplicarlo en las actuaciones concretas.  </w:t>
      </w:r>
    </w:p>
    <w:p w14:paraId="7775F124" w14:textId="77777777" w:rsidR="00851BC5" w:rsidRPr="00864E72" w:rsidRDefault="00F82F4C" w:rsidP="00F82F4C">
      <w:pPr>
        <w:tabs>
          <w:tab w:val="left" w:pos="0"/>
        </w:tabs>
        <w:spacing w:after="120" w:line="276" w:lineRule="auto"/>
        <w:jc w:val="both"/>
        <w:rPr>
          <w:rFonts w:ascii="Arial" w:eastAsia="Calibri" w:hAnsi="Arial" w:cs="Arial"/>
          <w:bCs/>
          <w:color w:val="000000" w:themeColor="text1"/>
          <w:sz w:val="22"/>
          <w:lang w:val="es-ES_tradnl"/>
        </w:rPr>
      </w:pPr>
      <w:r w:rsidRPr="00864E72">
        <w:rPr>
          <w:rFonts w:ascii="Arial" w:eastAsia="Calibri" w:hAnsi="Arial" w:cs="Arial"/>
          <w:bCs/>
          <w:color w:val="000000" w:themeColor="text1"/>
          <w:sz w:val="22"/>
          <w:lang w:val="es-ES_tradnl"/>
        </w:rPr>
        <w:tab/>
        <w:t xml:space="preserve">Esta interpretación, a juicio de la Agencia, se desprende de la literalidad del texto de la norma en comento, sino que además está en armonía con la voluntad del órgano </w:t>
      </w:r>
      <w:r w:rsidRPr="00864E72">
        <w:rPr>
          <w:rFonts w:ascii="Arial" w:eastAsia="Calibri" w:hAnsi="Arial" w:cs="Arial"/>
          <w:bCs/>
          <w:color w:val="000000" w:themeColor="text1"/>
          <w:sz w:val="22"/>
          <w:lang w:val="es-ES_tradnl"/>
        </w:rPr>
        <w:lastRenderedPageBreak/>
        <w:t>legislativo. Al respecto se estima que, si bien es cierto que entre los propósitos del artículo está la extensión de los documentos tipo a entidades exceptuadas –a través de las cuales se podría estar eludiendo la aplicación de documentos tipo</w:t>
      </w:r>
      <w:r w:rsidRPr="00864E72">
        <w:rPr>
          <w:rStyle w:val="Refdenotaalpie"/>
          <w:rFonts w:ascii="Arial" w:eastAsia="Calibri" w:hAnsi="Arial" w:cs="Arial"/>
          <w:color w:val="000000" w:themeColor="text1"/>
        </w:rPr>
        <w:footnoteReference w:id="23"/>
      </w:r>
      <w:r w:rsidRPr="00864E72">
        <w:rPr>
          <w:rFonts w:ascii="Arial" w:eastAsia="Calibri" w:hAnsi="Arial" w:cs="Arial"/>
          <w:bCs/>
          <w:color w:val="000000" w:themeColor="text1"/>
          <w:sz w:val="22"/>
          <w:lang w:val="es-ES_tradnl"/>
        </w:rPr>
        <w:t>–, no es</w:t>
      </w:r>
      <w:r w:rsidR="00851BC5" w:rsidRPr="00864E72">
        <w:rPr>
          <w:rFonts w:ascii="Arial" w:eastAsia="Calibri" w:hAnsi="Arial" w:cs="Arial"/>
          <w:bCs/>
          <w:color w:val="000000" w:themeColor="text1"/>
          <w:sz w:val="22"/>
          <w:lang w:val="es-ES_tradnl"/>
        </w:rPr>
        <w:t xml:space="preserve"> menos cierto que el Legislador, en materia de contratación estatal, goza de un amplio margen de configuración normativa, de conformidad con lo dispuesto en el inciso final del artículo 150 de la Constitución Política</w:t>
      </w:r>
      <w:r w:rsidR="00851BC5" w:rsidRPr="00864E72">
        <w:rPr>
          <w:rStyle w:val="Refdenotaalpie"/>
          <w:rFonts w:ascii="Arial" w:eastAsia="Calibri" w:hAnsi="Arial" w:cs="Arial"/>
          <w:color w:val="000000" w:themeColor="text1"/>
        </w:rPr>
        <w:footnoteReference w:id="24"/>
      </w:r>
      <w:r w:rsidR="00851BC5" w:rsidRPr="00864E72">
        <w:rPr>
          <w:rFonts w:ascii="Arial" w:eastAsia="Calibri" w:hAnsi="Arial" w:cs="Arial"/>
          <w:bCs/>
          <w:color w:val="000000" w:themeColor="text1"/>
          <w:sz w:val="22"/>
          <w:lang w:val="es-ES_tradnl"/>
        </w:rPr>
        <w:t xml:space="preserve">. En ese sentido, en virtud de esta potestad de configuración normativa, resulta perfectamente válido que se establezca una regla general y unas excepciones, como se hace, por ejemplo, en el artículo 56 de la Ley 2195 de 2022, en el que se consagra un mandato general en los primeros dos incisos, y una excepción en el parágrafo, para lo que enuncian unos tipos de entidades que se excluyen de la regla general, únicamente respecto de la contratación de su </w:t>
      </w:r>
      <w:r w:rsidR="00851BC5" w:rsidRPr="00864E72">
        <w:rPr>
          <w:rFonts w:ascii="Arial" w:eastAsia="Calibri" w:hAnsi="Arial" w:cs="Arial"/>
          <w:bCs/>
          <w:i/>
          <w:iCs/>
          <w:color w:val="000000" w:themeColor="text1"/>
          <w:sz w:val="22"/>
          <w:lang w:val="es-ES_tradnl"/>
        </w:rPr>
        <w:t>giro ordinario.</w:t>
      </w:r>
      <w:r w:rsidR="00851BC5" w:rsidRPr="00864E72">
        <w:rPr>
          <w:rFonts w:ascii="Arial" w:eastAsia="Calibri" w:hAnsi="Arial" w:cs="Arial"/>
          <w:bCs/>
          <w:color w:val="000000" w:themeColor="text1"/>
          <w:sz w:val="22"/>
          <w:lang w:val="es-ES_tradnl"/>
        </w:rPr>
        <w:t xml:space="preserve"> A esto se suma el hecho de que el parágrafo bajo estudio es una norma restrictiva, por lo que, en virtud de dicho carácter, amerita una interpretación apegada a lo que literalmente se desprende del </w:t>
      </w:r>
      <w:r w:rsidR="00851BC5" w:rsidRPr="00864E72">
        <w:rPr>
          <w:rFonts w:ascii="Arial" w:eastAsia="Calibri" w:hAnsi="Arial" w:cs="Arial"/>
          <w:bCs/>
          <w:color w:val="000000" w:themeColor="text1"/>
          <w:sz w:val="22"/>
          <w:lang w:val="es-ES_tradnl"/>
        </w:rPr>
        <w:lastRenderedPageBreak/>
        <w:t>texto. Como lo ha establecido el Consejo de Estado, «[…] de conformidad con la jurisprudencia uniforme y reiterada de esta Corporación, la aplicación de las normas que contemplan […] prohibiciones o limitaciones, deben responder a una interpretación restrictiva que no permite su extensión, por vía de la figura de la analogía, a supuestos no contemplados por el ordenamiento»</w:t>
      </w:r>
      <w:r w:rsidR="00851BC5" w:rsidRPr="00864E72">
        <w:rPr>
          <w:rStyle w:val="Refdenotaalpie"/>
          <w:rFonts w:ascii="Arial" w:eastAsia="Calibri" w:hAnsi="Arial" w:cs="Arial"/>
          <w:color w:val="000000" w:themeColor="text1"/>
        </w:rPr>
        <w:footnoteReference w:id="25"/>
      </w:r>
      <w:r w:rsidR="00851BC5" w:rsidRPr="00864E72">
        <w:rPr>
          <w:rFonts w:ascii="Arial" w:eastAsia="Calibri" w:hAnsi="Arial" w:cs="Arial"/>
          <w:bCs/>
          <w:color w:val="000000" w:themeColor="text1"/>
          <w:sz w:val="22"/>
          <w:lang w:val="es-ES_tradnl"/>
        </w:rPr>
        <w:t>.</w:t>
      </w:r>
    </w:p>
    <w:p w14:paraId="626763CB" w14:textId="7705311B" w:rsidR="00D41E2C" w:rsidRPr="00864E72" w:rsidRDefault="00851BC5" w:rsidP="00851BC5">
      <w:pPr>
        <w:tabs>
          <w:tab w:val="left" w:pos="0"/>
        </w:tabs>
        <w:spacing w:before="120" w:after="120" w:line="276" w:lineRule="auto"/>
        <w:ind w:firstLine="709"/>
        <w:jc w:val="both"/>
        <w:rPr>
          <w:rFonts w:ascii="Arial" w:hAnsi="Arial" w:cs="Arial"/>
          <w:color w:val="000000" w:themeColor="text1"/>
          <w:sz w:val="22"/>
          <w:szCs w:val="22"/>
        </w:rPr>
      </w:pPr>
      <w:r w:rsidRPr="00864E72">
        <w:rPr>
          <w:rFonts w:ascii="Arial" w:eastAsia="Calibri" w:hAnsi="Arial" w:cs="Arial"/>
          <w:bCs/>
          <w:color w:val="000000" w:themeColor="text1"/>
          <w:sz w:val="22"/>
          <w:szCs w:val="22"/>
          <w:lang w:val="es-ES_tradnl"/>
        </w:rPr>
        <w:t>De acuerdo con esta interpretación restrictiva</w:t>
      </w:r>
      <w:r w:rsidRPr="00864E72">
        <w:rPr>
          <w:rStyle w:val="Refdenotaalpie"/>
          <w:rFonts w:ascii="Arial" w:eastAsia="Calibri" w:hAnsi="Arial" w:cs="Arial"/>
          <w:color w:val="000000" w:themeColor="text1"/>
        </w:rPr>
        <w:footnoteReference w:id="26"/>
      </w:r>
      <w:r w:rsidR="00BE475E" w:rsidRPr="00864E72">
        <w:rPr>
          <w:rFonts w:ascii="Arial" w:eastAsia="Calibri" w:hAnsi="Arial" w:cs="Arial"/>
          <w:bCs/>
          <w:color w:val="000000" w:themeColor="text1"/>
          <w:sz w:val="22"/>
          <w:szCs w:val="22"/>
          <w:lang w:val="es-ES_tradnl"/>
        </w:rPr>
        <w:t>,</w:t>
      </w:r>
      <w:r w:rsidRPr="00864E72">
        <w:rPr>
          <w:rFonts w:ascii="Arial" w:eastAsia="Calibri" w:hAnsi="Arial" w:cs="Arial"/>
          <w:bCs/>
          <w:color w:val="000000" w:themeColor="text1"/>
          <w:sz w:val="22"/>
          <w:szCs w:val="22"/>
          <w:lang w:val="es-ES_tradnl"/>
        </w:rPr>
        <w:t xml:space="preserve"> el parágrafo del artículo 56 de la Ley 2195 de 2022 es claro al excluir a las instituciones de educación superior públicas, las empresas sociales del Estado, las sociedades de economía mixta y las empresas industriales y comerciales del Estado, de la aplicación de los documentos tipo y del EGCAP, únicamente en la contratación asociada a su </w:t>
      </w:r>
      <w:r w:rsidRPr="00864E72">
        <w:rPr>
          <w:rFonts w:ascii="Arial" w:eastAsia="Calibri" w:hAnsi="Arial" w:cs="Arial"/>
          <w:bCs/>
          <w:i/>
          <w:iCs/>
          <w:color w:val="000000" w:themeColor="text1"/>
          <w:sz w:val="22"/>
          <w:szCs w:val="22"/>
          <w:lang w:val="es-ES_tradnl"/>
        </w:rPr>
        <w:t xml:space="preserve">giro ordinario, </w:t>
      </w:r>
      <w:r w:rsidRPr="00864E72">
        <w:rPr>
          <w:rFonts w:ascii="Arial" w:eastAsia="Calibri" w:hAnsi="Arial" w:cs="Arial"/>
          <w:bCs/>
          <w:color w:val="000000" w:themeColor="text1"/>
          <w:sz w:val="22"/>
          <w:szCs w:val="22"/>
          <w:lang w:val="es-ES_tradnl"/>
        </w:rPr>
        <w:t>derivada del cumplimiento de contratos y/o convenios con entidades sometidas al EGCAP. Por ello, no es posible sostener una interpretación teleológica que pretenda una aplicación extensiva de los documentos tipo por parte de las entidades estatales que menciona el parágrafo, pues  ello además implicaría contrariar aquel mandato interpretativo según el cual «cuando el sentido de la ley sea claro, no se desatenderá su tenor literal a pretexto de consultar su espíritu»</w:t>
      </w:r>
      <w:r w:rsidRPr="00864E72">
        <w:rPr>
          <w:rStyle w:val="Refdenotaalpie"/>
          <w:rFonts w:ascii="Arial" w:hAnsi="Arial" w:cs="Arial"/>
          <w:color w:val="000000" w:themeColor="text1"/>
        </w:rPr>
        <w:footnoteReference w:id="27"/>
      </w:r>
      <w:r w:rsidRPr="00864E72">
        <w:rPr>
          <w:rFonts w:ascii="Arial" w:eastAsia="Calibri" w:hAnsi="Arial" w:cs="Arial"/>
          <w:bCs/>
          <w:color w:val="000000" w:themeColor="text1"/>
          <w:sz w:val="22"/>
          <w:szCs w:val="22"/>
          <w:lang w:val="es-ES_tradnl"/>
        </w:rPr>
        <w:t>, al igual que la regla según la cual «</w:t>
      </w:r>
      <w:r w:rsidRPr="00864E72">
        <w:rPr>
          <w:rFonts w:ascii="Arial" w:hAnsi="Arial" w:cs="Arial"/>
          <w:color w:val="000000" w:themeColor="text1"/>
          <w:sz w:val="22"/>
          <w:szCs w:val="22"/>
        </w:rPr>
        <w:t>Lo favorable u odioso de una disposición no se tomará en cuenta para ampliar o restringir su interpretación»</w:t>
      </w:r>
      <w:r w:rsidRPr="00864E72">
        <w:rPr>
          <w:rStyle w:val="Refdenotaalpie"/>
          <w:rFonts w:ascii="Arial" w:hAnsi="Arial" w:cs="Arial"/>
          <w:color w:val="000000" w:themeColor="text1"/>
        </w:rPr>
        <w:footnoteReference w:id="28"/>
      </w:r>
      <w:r w:rsidRPr="00864E72">
        <w:rPr>
          <w:rFonts w:ascii="Arial" w:hAnsi="Arial" w:cs="Arial"/>
          <w:color w:val="000000" w:themeColor="text1"/>
          <w:sz w:val="22"/>
          <w:szCs w:val="22"/>
        </w:rPr>
        <w:t xml:space="preserve">. </w:t>
      </w:r>
      <w:r w:rsidR="00FE6728" w:rsidRPr="00864E72">
        <w:rPr>
          <w:rFonts w:ascii="Arial" w:eastAsia="Calibri" w:hAnsi="Arial" w:cs="Arial"/>
          <w:bCs/>
          <w:color w:val="000000" w:themeColor="text1"/>
          <w:sz w:val="22"/>
          <w:lang w:val="es-ES_tradnl"/>
        </w:rPr>
        <w:t xml:space="preserve"> </w:t>
      </w:r>
      <w:r w:rsidR="00B615EB" w:rsidRPr="00864E72">
        <w:rPr>
          <w:rFonts w:ascii="Arial" w:eastAsia="Calibri" w:hAnsi="Arial" w:cs="Arial"/>
          <w:bCs/>
          <w:color w:val="000000" w:themeColor="text1"/>
          <w:sz w:val="22"/>
          <w:lang w:val="es-ES_tradnl"/>
        </w:rPr>
        <w:t xml:space="preserve"> </w:t>
      </w:r>
    </w:p>
    <w:p w14:paraId="218BED2E" w14:textId="365149F7" w:rsidR="00F00720" w:rsidRPr="00864E72" w:rsidRDefault="00851BC5" w:rsidP="0028580B">
      <w:pPr>
        <w:tabs>
          <w:tab w:val="left" w:pos="0"/>
        </w:tabs>
        <w:spacing w:before="120" w:line="276" w:lineRule="auto"/>
        <w:ind w:firstLine="709"/>
        <w:jc w:val="both"/>
        <w:rPr>
          <w:rFonts w:ascii="Arial" w:eastAsia="Calibri" w:hAnsi="Arial" w:cs="Arial"/>
          <w:bCs/>
          <w:color w:val="000000" w:themeColor="text1"/>
          <w:sz w:val="22"/>
          <w:lang w:val="es-ES_tradnl"/>
        </w:rPr>
      </w:pPr>
      <w:r w:rsidRPr="00864E72">
        <w:rPr>
          <w:rFonts w:ascii="Arial" w:eastAsia="Calibri" w:hAnsi="Arial" w:cs="Arial"/>
          <w:bCs/>
          <w:color w:val="000000" w:themeColor="text1"/>
          <w:sz w:val="22"/>
          <w:lang w:val="es-ES_tradnl"/>
        </w:rPr>
        <w:t xml:space="preserve">En conclusión, a juicio de esta Agencia lo dispuesto en el parágrafo del artículo 56 de la Ley 2195 de 2022, es una manifestación de la voluntad del Legislador de relevar a las </w:t>
      </w:r>
      <w:r w:rsidRPr="00864E72">
        <w:rPr>
          <w:rFonts w:ascii="Arial" w:eastAsia="Calibri" w:hAnsi="Arial" w:cs="Arial"/>
          <w:bCs/>
          <w:color w:val="000000" w:themeColor="text1"/>
          <w:sz w:val="22"/>
          <w:szCs w:val="22"/>
          <w:lang w:val="es-ES_tradnl"/>
        </w:rPr>
        <w:t xml:space="preserve">instituciones de educación superior públicas, las empresas sociales del Estado, las sociedades de economía mixta y las empresas industriales y comerciales del Estado, de la implementación de documentos tipo y de la aplicación del EGCAP, únicamente en lo que tiene que ver con su </w:t>
      </w:r>
      <w:r w:rsidRPr="00864E72">
        <w:rPr>
          <w:rFonts w:ascii="Arial" w:eastAsia="Calibri" w:hAnsi="Arial" w:cs="Arial"/>
          <w:bCs/>
          <w:i/>
          <w:iCs/>
          <w:color w:val="000000" w:themeColor="text1"/>
          <w:sz w:val="22"/>
          <w:szCs w:val="22"/>
          <w:lang w:val="es-ES_tradnl"/>
        </w:rPr>
        <w:t>giro ordinario</w:t>
      </w:r>
      <w:r w:rsidRPr="00864E72">
        <w:rPr>
          <w:rFonts w:ascii="Arial" w:eastAsia="Calibri" w:hAnsi="Arial" w:cs="Arial"/>
          <w:bCs/>
          <w:color w:val="000000" w:themeColor="text1"/>
          <w:sz w:val="22"/>
          <w:szCs w:val="22"/>
          <w:lang w:val="es-ES_tradnl"/>
        </w:rPr>
        <w:t xml:space="preserve">. Esto significa que tales entidades, </w:t>
      </w:r>
      <w:r w:rsidRPr="00864E72">
        <w:rPr>
          <w:rFonts w:ascii="Arial" w:eastAsia="Calibri" w:hAnsi="Arial" w:cs="Arial"/>
          <w:bCs/>
          <w:color w:val="000000" w:themeColor="text1"/>
          <w:sz w:val="22"/>
          <w:lang w:val="es-ES_tradnl"/>
        </w:rPr>
        <w:t xml:space="preserve">cuando en desarrollo de un contrato o un convenio con una entidad sometida al EGCAP, requieran contratar un objeto cobijado por algún documento tipo, que no esté comprendido dentro de su </w:t>
      </w:r>
      <w:r w:rsidRPr="00864E72">
        <w:rPr>
          <w:rFonts w:ascii="Arial" w:eastAsia="Calibri" w:hAnsi="Arial" w:cs="Arial"/>
          <w:bCs/>
          <w:i/>
          <w:iCs/>
          <w:color w:val="000000" w:themeColor="text1"/>
          <w:sz w:val="22"/>
          <w:lang w:val="es-ES_tradnl"/>
        </w:rPr>
        <w:t>giro ordinario,</w:t>
      </w:r>
      <w:r w:rsidRPr="00864E72">
        <w:rPr>
          <w:rFonts w:ascii="Arial" w:eastAsia="Calibri" w:hAnsi="Arial" w:cs="Arial"/>
          <w:bCs/>
          <w:color w:val="000000" w:themeColor="text1"/>
          <w:sz w:val="22"/>
          <w:lang w:val="es-ES_tradnl"/>
        </w:rPr>
        <w:t xml:space="preserve"> deberán regirse por lo establecido en los dos incisos del referido artículo. Esta </w:t>
      </w:r>
      <w:r w:rsidRPr="00864E72">
        <w:rPr>
          <w:rFonts w:ascii="Arial" w:eastAsia="Calibri" w:hAnsi="Arial" w:cs="Arial"/>
          <w:bCs/>
          <w:color w:val="000000" w:themeColor="text1"/>
          <w:sz w:val="22"/>
          <w:lang w:val="es-ES_tradnl"/>
        </w:rPr>
        <w:lastRenderedPageBreak/>
        <w:t xml:space="preserve">interpretación encuentra sustento en el principio del efecto útil del artículo 56 de la Ley 2195 de 2022, pues refleja el alcance que el Legislador quiso darle a la norma en comento.  </w:t>
      </w:r>
      <w:r w:rsidR="00283B0C" w:rsidRPr="00864E72">
        <w:rPr>
          <w:rFonts w:ascii="Arial" w:eastAsia="Calibri" w:hAnsi="Arial" w:cs="Arial"/>
          <w:bCs/>
          <w:color w:val="000000" w:themeColor="text1"/>
          <w:sz w:val="22"/>
          <w:lang w:val="es-ES_tradnl"/>
        </w:rPr>
        <w:t xml:space="preserve"> </w:t>
      </w:r>
      <w:r w:rsidR="00D41E2C" w:rsidRPr="00864E72">
        <w:rPr>
          <w:rFonts w:ascii="Arial" w:eastAsia="Calibri" w:hAnsi="Arial" w:cs="Arial"/>
          <w:bCs/>
          <w:color w:val="000000" w:themeColor="text1"/>
          <w:sz w:val="22"/>
          <w:lang w:val="es-ES_tradnl"/>
        </w:rPr>
        <w:t xml:space="preserve">  </w:t>
      </w:r>
    </w:p>
    <w:p w14:paraId="4BF1C6D3" w14:textId="77777777" w:rsidR="00073990" w:rsidRPr="00864E72" w:rsidRDefault="00073990" w:rsidP="00510DE9">
      <w:pPr>
        <w:tabs>
          <w:tab w:val="left" w:pos="0"/>
        </w:tabs>
        <w:jc w:val="both"/>
        <w:rPr>
          <w:rFonts w:ascii="Arial" w:eastAsia="Calibri" w:hAnsi="Arial" w:cs="Arial"/>
          <w:b/>
          <w:color w:val="000000" w:themeColor="text1"/>
          <w:sz w:val="22"/>
          <w:lang w:val="es-ES_tradnl"/>
        </w:rPr>
      </w:pPr>
    </w:p>
    <w:p w14:paraId="37CA9805" w14:textId="7B3C1B57" w:rsidR="00DD5B04" w:rsidRPr="00864E72" w:rsidRDefault="004177A6" w:rsidP="00510DE9">
      <w:pPr>
        <w:tabs>
          <w:tab w:val="left" w:pos="0"/>
        </w:tabs>
        <w:jc w:val="both"/>
        <w:rPr>
          <w:rFonts w:ascii="Arial" w:eastAsia="Calibri" w:hAnsi="Arial" w:cs="Arial"/>
          <w:b/>
          <w:color w:val="000000" w:themeColor="text1"/>
          <w:sz w:val="22"/>
          <w:lang w:val="es-ES_tradnl"/>
        </w:rPr>
      </w:pPr>
      <w:r w:rsidRPr="00864E72">
        <w:rPr>
          <w:rFonts w:ascii="Arial" w:eastAsia="Calibri" w:hAnsi="Arial" w:cs="Arial"/>
          <w:b/>
          <w:color w:val="000000" w:themeColor="text1"/>
          <w:sz w:val="22"/>
          <w:lang w:val="es-ES_tradnl"/>
        </w:rPr>
        <w:t>3</w:t>
      </w:r>
      <w:r w:rsidR="00B011A9" w:rsidRPr="00864E72">
        <w:rPr>
          <w:rFonts w:ascii="Arial" w:eastAsia="Calibri" w:hAnsi="Arial" w:cs="Arial"/>
          <w:b/>
          <w:color w:val="000000" w:themeColor="text1"/>
          <w:sz w:val="22"/>
          <w:lang w:val="es-ES_tradnl"/>
        </w:rPr>
        <w:t xml:space="preserve">. </w:t>
      </w:r>
      <w:r w:rsidR="00DD5B04" w:rsidRPr="00864E72">
        <w:rPr>
          <w:rFonts w:ascii="Arial" w:eastAsia="Calibri" w:hAnsi="Arial" w:cs="Arial"/>
          <w:b/>
          <w:color w:val="000000" w:themeColor="text1"/>
          <w:sz w:val="22"/>
          <w:lang w:val="es-ES_tradnl"/>
        </w:rPr>
        <w:t>Respuesta</w:t>
      </w:r>
    </w:p>
    <w:p w14:paraId="0B74D5B8" w14:textId="7F0A7F13" w:rsidR="00C4581D" w:rsidRPr="00864E72" w:rsidRDefault="00C4581D" w:rsidP="00510DE9">
      <w:pPr>
        <w:tabs>
          <w:tab w:val="left" w:pos="0"/>
        </w:tabs>
        <w:jc w:val="both"/>
        <w:rPr>
          <w:rFonts w:ascii="Arial" w:eastAsia="Calibri" w:hAnsi="Arial" w:cs="Arial"/>
          <w:color w:val="000000" w:themeColor="text1"/>
          <w:sz w:val="22"/>
          <w:lang w:val="es-ES_tradnl"/>
        </w:rPr>
      </w:pPr>
    </w:p>
    <w:p w14:paraId="11202694" w14:textId="77777777" w:rsidR="006F4276" w:rsidRPr="00864E72" w:rsidRDefault="006F4276" w:rsidP="006F4276">
      <w:pPr>
        <w:ind w:left="709" w:right="709"/>
        <w:jc w:val="both"/>
        <w:rPr>
          <w:rFonts w:ascii="Arial" w:hAnsi="Arial" w:cs="Arial"/>
          <w:color w:val="000000" w:themeColor="text1"/>
          <w:sz w:val="21"/>
          <w:szCs w:val="21"/>
          <w:lang w:val="es-ES_tradnl"/>
        </w:rPr>
      </w:pPr>
      <w:r w:rsidRPr="00864E72">
        <w:rPr>
          <w:rFonts w:ascii="Arial" w:hAnsi="Arial" w:cs="Arial"/>
          <w:color w:val="000000" w:themeColor="text1"/>
          <w:sz w:val="21"/>
          <w:szCs w:val="21"/>
          <w:lang w:val="es-ES_tradnl"/>
        </w:rPr>
        <w:t xml:space="preserve">«I ¿La EAAAM ESP </w:t>
      </w:r>
      <w:proofErr w:type="gramStart"/>
      <w:r w:rsidRPr="00864E72">
        <w:rPr>
          <w:rFonts w:ascii="Arial" w:hAnsi="Arial" w:cs="Arial"/>
          <w:color w:val="000000" w:themeColor="text1"/>
          <w:sz w:val="21"/>
          <w:szCs w:val="21"/>
          <w:lang w:val="es-ES_tradnl"/>
        </w:rPr>
        <w:t>se enmarca dentro de</w:t>
      </w:r>
      <w:proofErr w:type="gramEnd"/>
      <w:r w:rsidRPr="00864E72">
        <w:rPr>
          <w:rFonts w:ascii="Arial" w:hAnsi="Arial" w:cs="Arial"/>
          <w:color w:val="000000" w:themeColor="text1"/>
          <w:sz w:val="21"/>
          <w:szCs w:val="21"/>
          <w:lang w:val="es-ES_tradnl"/>
        </w:rPr>
        <w:t xml:space="preserve"> las excepciones mencionadas en el parágrafo del artículo 56 de la Ley 2195 de 2022, en lo que corresponde a la contratación del giro ordinario de sus negocios, o está obligada a aplicar los documentos tipo?</w:t>
      </w:r>
    </w:p>
    <w:p w14:paraId="1974C6EC" w14:textId="77777777" w:rsidR="006F4276" w:rsidRPr="00864E72" w:rsidRDefault="006F4276" w:rsidP="006F4276">
      <w:pPr>
        <w:ind w:left="709" w:right="709"/>
        <w:jc w:val="both"/>
        <w:rPr>
          <w:rFonts w:ascii="Arial" w:hAnsi="Arial" w:cs="Arial"/>
          <w:color w:val="000000" w:themeColor="text1"/>
          <w:sz w:val="21"/>
          <w:szCs w:val="21"/>
          <w:lang w:val="es-ES_tradnl"/>
        </w:rPr>
      </w:pPr>
    </w:p>
    <w:p w14:paraId="30000654" w14:textId="77777777" w:rsidR="006F4276" w:rsidRPr="00864E72" w:rsidRDefault="006F4276" w:rsidP="006F4276">
      <w:pPr>
        <w:ind w:left="709" w:right="709"/>
        <w:jc w:val="both"/>
        <w:rPr>
          <w:rFonts w:ascii="Arial" w:hAnsi="Arial" w:cs="Arial"/>
          <w:color w:val="000000" w:themeColor="text1"/>
          <w:sz w:val="21"/>
          <w:szCs w:val="21"/>
          <w:lang w:val="es-ES_tradnl"/>
        </w:rPr>
      </w:pPr>
      <w:r w:rsidRPr="00864E72">
        <w:rPr>
          <w:rFonts w:ascii="Arial" w:hAnsi="Arial" w:cs="Arial"/>
          <w:color w:val="000000" w:themeColor="text1"/>
          <w:sz w:val="21"/>
          <w:szCs w:val="21"/>
          <w:lang w:val="es-ES_tradnl"/>
        </w:rPr>
        <w:t xml:space="preserve">»II. </w:t>
      </w:r>
      <w:r w:rsidRPr="00864E72">
        <w:rPr>
          <w:rFonts w:ascii="Arial" w:hAnsi="Arial" w:cs="Arial"/>
          <w:color w:val="000000" w:themeColor="text1"/>
          <w:sz w:val="21"/>
          <w:szCs w:val="21"/>
        </w:rPr>
        <w:t>De acuerdo con lo anterior, ¿</w:t>
      </w:r>
      <w:proofErr w:type="spellStart"/>
      <w:r w:rsidRPr="00864E72">
        <w:rPr>
          <w:rFonts w:ascii="Arial" w:hAnsi="Arial" w:cs="Arial"/>
          <w:color w:val="000000" w:themeColor="text1"/>
          <w:sz w:val="21"/>
          <w:szCs w:val="21"/>
        </w:rPr>
        <w:t>Cómo</w:t>
      </w:r>
      <w:proofErr w:type="spellEnd"/>
      <w:r w:rsidRPr="00864E72">
        <w:rPr>
          <w:rFonts w:ascii="Arial" w:hAnsi="Arial" w:cs="Arial"/>
          <w:color w:val="000000" w:themeColor="text1"/>
          <w:sz w:val="21"/>
          <w:szCs w:val="21"/>
        </w:rPr>
        <w:t xml:space="preserve"> debemos aplicar la norma en cita? al tratarse de un concepto ambiguo, solicitamos la colaboración de Colombia Compra Eficiente. Adicionalmente, nos indique de acuerdo con las funciones de las Empresas Industriales y Comerciales del Estado prestadoras de servicios públicos qué significa giro ordinario, pues no es claro; lo anterior con el fin de hacer una correcta interpretación de la norma.</w:t>
      </w:r>
    </w:p>
    <w:p w14:paraId="58DB765B" w14:textId="77777777" w:rsidR="00444D00" w:rsidRPr="00864E72" w:rsidRDefault="00444D00" w:rsidP="006F4276">
      <w:pPr>
        <w:ind w:left="709" w:right="709"/>
        <w:jc w:val="both"/>
        <w:rPr>
          <w:rFonts w:ascii="Arial" w:hAnsi="Arial" w:cs="Arial"/>
          <w:color w:val="000000" w:themeColor="text1"/>
          <w:sz w:val="21"/>
          <w:szCs w:val="21"/>
          <w:lang w:val="es-ES_tradnl"/>
        </w:rPr>
      </w:pPr>
    </w:p>
    <w:p w14:paraId="0BFFA002" w14:textId="28D0445D" w:rsidR="006F4276" w:rsidRPr="00864E72" w:rsidRDefault="006F4276" w:rsidP="006F4276">
      <w:pPr>
        <w:ind w:left="709" w:right="709"/>
        <w:jc w:val="both"/>
        <w:rPr>
          <w:rFonts w:ascii="Arial" w:hAnsi="Arial" w:cs="Arial"/>
          <w:color w:val="000000" w:themeColor="text1"/>
          <w:sz w:val="21"/>
          <w:szCs w:val="21"/>
        </w:rPr>
      </w:pPr>
      <w:r w:rsidRPr="00864E72">
        <w:rPr>
          <w:rFonts w:ascii="Arial" w:hAnsi="Arial" w:cs="Arial"/>
          <w:color w:val="000000" w:themeColor="text1"/>
          <w:sz w:val="21"/>
          <w:szCs w:val="21"/>
          <w:lang w:val="es-ES_tradnl"/>
        </w:rPr>
        <w:t xml:space="preserve">»III. </w:t>
      </w:r>
      <w:r w:rsidRPr="00864E72">
        <w:rPr>
          <w:rFonts w:ascii="Arial" w:hAnsi="Arial" w:cs="Arial"/>
          <w:color w:val="000000" w:themeColor="text1"/>
          <w:sz w:val="21"/>
          <w:szCs w:val="21"/>
        </w:rPr>
        <w:t>¿Las acciones que adelanten las Empresas Industriales y Comerciales del Estado  prestadoras de servicios públicos del orden municipal, en el marco de convenios interadministrativos suscritos con una entidad que aplica el Estatuto General de  Contratación de la Administración Pública (relacionadas con “ejecutar proyectos  de optimización de redes de alcantarillado de aguas residuales y combinadas urbanos) tendría relación directa conexa con el objeto y funciones en este caso de la Empresa Municipal de Acueducto, Alcantarillado y Aseo de Madrid ESP?; de ser así bajo este contexto, ello nos habilitaría para hacer uso de la excepción  contemplada en el parágrafo del artículo 56 de la Ley 2195 de2022?</w:t>
      </w:r>
    </w:p>
    <w:p w14:paraId="68AA17E2" w14:textId="77777777" w:rsidR="006F4276" w:rsidRPr="00864E72" w:rsidRDefault="006F4276" w:rsidP="006F4276">
      <w:pPr>
        <w:ind w:left="709" w:right="709"/>
        <w:jc w:val="both"/>
        <w:rPr>
          <w:rFonts w:ascii="Arial" w:hAnsi="Arial" w:cs="Arial"/>
          <w:color w:val="000000" w:themeColor="text1"/>
          <w:sz w:val="21"/>
          <w:szCs w:val="21"/>
        </w:rPr>
      </w:pPr>
    </w:p>
    <w:p w14:paraId="60632AEA" w14:textId="77777777" w:rsidR="006F4276" w:rsidRPr="00864E72" w:rsidRDefault="006F4276" w:rsidP="006F4276">
      <w:pPr>
        <w:ind w:left="709" w:right="709"/>
        <w:jc w:val="both"/>
        <w:rPr>
          <w:rFonts w:ascii="Arial" w:hAnsi="Arial" w:cs="Arial"/>
          <w:color w:val="000000" w:themeColor="text1"/>
          <w:sz w:val="21"/>
          <w:szCs w:val="21"/>
        </w:rPr>
      </w:pPr>
      <w:r w:rsidRPr="00864E72">
        <w:rPr>
          <w:rFonts w:ascii="Arial" w:hAnsi="Arial" w:cs="Arial"/>
          <w:color w:val="000000" w:themeColor="text1"/>
          <w:sz w:val="21"/>
          <w:szCs w:val="21"/>
        </w:rPr>
        <w:t>»IV. ¿Las Empresas industriales y comerciales del estado prestadoras de servicios públicos del orden municipal cuyo régimen de contratación es el derecho privado, están obligadas a aplicar los documentos tipo de licitación, relacionados con obras de infraestructura de servicios públicos (respecto a infraestructura de prestación de servicios de acueducto y alcantarillado)?»</w:t>
      </w:r>
    </w:p>
    <w:p w14:paraId="62DDBC1C" w14:textId="77777777" w:rsidR="00CC3C22" w:rsidRPr="00864E72" w:rsidRDefault="00CC3C22" w:rsidP="00770566">
      <w:pPr>
        <w:ind w:left="709" w:right="709"/>
        <w:jc w:val="both"/>
        <w:rPr>
          <w:rFonts w:ascii="Arial" w:hAnsi="Arial" w:cs="Arial"/>
          <w:color w:val="000000" w:themeColor="text1"/>
          <w:sz w:val="21"/>
          <w:szCs w:val="21"/>
        </w:rPr>
      </w:pPr>
    </w:p>
    <w:p w14:paraId="24324F6F" w14:textId="0E563C35" w:rsidR="00363678" w:rsidRPr="00864E72" w:rsidRDefault="00363678" w:rsidP="0028580B">
      <w:pPr>
        <w:spacing w:line="276" w:lineRule="auto"/>
        <w:jc w:val="both"/>
        <w:rPr>
          <w:rFonts w:ascii="Arial" w:hAnsi="Arial" w:cs="Arial"/>
          <w:color w:val="000000" w:themeColor="text1"/>
          <w:sz w:val="22"/>
          <w:szCs w:val="22"/>
          <w:shd w:val="clear" w:color="auto" w:fill="FFFFFF"/>
          <w:lang w:val="es-ES_tradnl"/>
        </w:rPr>
      </w:pPr>
      <w:bookmarkStart w:id="6" w:name="_Hlk96331557"/>
      <w:r w:rsidRPr="00864E72">
        <w:rPr>
          <w:rFonts w:ascii="Arial" w:hAnsi="Arial" w:cs="Arial"/>
          <w:color w:val="000000" w:themeColor="text1"/>
          <w:sz w:val="22"/>
          <w:szCs w:val="22"/>
          <w:shd w:val="clear" w:color="auto" w:fill="FFFFFF"/>
          <w:lang w:val="es-ES_tradnl"/>
        </w:rPr>
        <w:t xml:space="preserve">De conformidad con lo expuesto, en virtud de lo establecido en el parágrafo 7 del artículo 2 de la Ley 1150 de 2007, modificado por el artículo 1 de la Ley 2022 de 2020, las entidades estatales regidas por el Estatuto General de Contratación de la Administración Pública están obligadas a aplicar los documentos tipo en los procedimientos y contratos que adelanten en aplicación de dicha normativa. Adicionalmente, en atención a lo dispuesto en los dos primeros incisos del artículo 56 de la Ley 2195 de 2022, cuando estas entidades suscriban convenios o contratos de cualquier índole con entidades estatales de régimen especial o exceptuado, patrimonios autónomos, personas naturales o jurídicas de derecho privado, también deberán aplicar documentos tipo, y en general, las disposiciones del Estatuto General de Contratación de la Administración Pública.  </w:t>
      </w:r>
    </w:p>
    <w:p w14:paraId="668B911A" w14:textId="52EF1BDF" w:rsidR="00363678" w:rsidRPr="00864E72" w:rsidRDefault="00363678" w:rsidP="0028580B">
      <w:pPr>
        <w:spacing w:before="120" w:after="120" w:line="276" w:lineRule="auto"/>
        <w:ind w:firstLine="708"/>
        <w:jc w:val="both"/>
        <w:rPr>
          <w:rFonts w:ascii="Arial" w:hAnsi="Arial" w:cs="Arial"/>
          <w:sz w:val="22"/>
          <w:szCs w:val="22"/>
          <w:shd w:val="clear" w:color="auto" w:fill="FFFFFF"/>
          <w:lang w:val="es-ES_tradnl"/>
        </w:rPr>
      </w:pPr>
      <w:r w:rsidRPr="00864E72">
        <w:rPr>
          <w:rFonts w:ascii="Arial" w:hAnsi="Arial" w:cs="Arial"/>
          <w:color w:val="000000" w:themeColor="text1"/>
          <w:sz w:val="22"/>
          <w:szCs w:val="22"/>
          <w:shd w:val="clear" w:color="auto" w:fill="FFFFFF"/>
          <w:lang w:val="es-ES_tradnl"/>
        </w:rPr>
        <w:lastRenderedPageBreak/>
        <w:t xml:space="preserve">La obligación de aplicar documentos tipo, y en general, </w:t>
      </w:r>
      <w:proofErr w:type="gramStart"/>
      <w:r w:rsidRPr="00864E72">
        <w:rPr>
          <w:rFonts w:ascii="Arial" w:hAnsi="Arial" w:cs="Arial"/>
          <w:color w:val="000000" w:themeColor="text1"/>
          <w:sz w:val="22"/>
          <w:szCs w:val="22"/>
          <w:shd w:val="clear" w:color="auto" w:fill="FFFFFF"/>
          <w:lang w:val="es-ES_tradnl"/>
        </w:rPr>
        <w:t>las disposiciones del Estatuto General de Contratación de la Administración Pública se extiende no solamente</w:t>
      </w:r>
      <w:proofErr w:type="gramEnd"/>
      <w:r w:rsidRPr="00864E72">
        <w:rPr>
          <w:rFonts w:ascii="Arial" w:hAnsi="Arial" w:cs="Arial"/>
          <w:color w:val="000000" w:themeColor="text1"/>
          <w:sz w:val="22"/>
          <w:szCs w:val="22"/>
          <w:shd w:val="clear" w:color="auto" w:fill="FFFFFF"/>
          <w:lang w:val="es-ES_tradnl"/>
        </w:rPr>
        <w:t xml:space="preserve"> a la celebración del contrato o convenio propiamente dicho, sino también a los compromisos contractuales derivados, según lo expresamente consagrado en el segundo inciso del artículo 56 de la ley citada. Esto implica que, si una entidad exceptuada, un patrimonio autónomo o una persona natural o jurídica de derecho privado, en cumplimiento de un compromiso asumido en el contrato celebrado con una entidad sometida al Estatuto General, debe contratar una obra o servicio cobijado por algún documento tipo, </w:t>
      </w:r>
      <w:r w:rsidRPr="00864E72">
        <w:rPr>
          <w:rFonts w:ascii="Arial" w:hAnsi="Arial" w:cs="Arial"/>
          <w:color w:val="000000" w:themeColor="text1"/>
          <w:sz w:val="22"/>
          <w:szCs w:val="22"/>
          <w:lang w:val="es-ES_tradnl"/>
        </w:rPr>
        <w:t>estará obligada a</w:t>
      </w:r>
      <w:r w:rsidRPr="00864E72">
        <w:rPr>
          <w:rFonts w:ascii="Arial" w:hAnsi="Arial" w:cs="Arial"/>
          <w:color w:val="000000" w:themeColor="text1"/>
          <w:sz w:val="22"/>
          <w:szCs w:val="22"/>
          <w:shd w:val="clear" w:color="auto" w:fill="FFFFFF"/>
          <w:lang w:val="es-ES_tradnl"/>
        </w:rPr>
        <w:t xml:space="preserve"> hacerlo aplicando los mencionados documentos tipo, además de adelantar el proceso de contratación y celebrar el contrato conforme al Estatuto General de Contratación de la Administración Pública.  </w:t>
      </w:r>
      <w:r w:rsidRPr="00864E72">
        <w:rPr>
          <w:rFonts w:ascii="Arial" w:hAnsi="Arial" w:cs="Arial"/>
          <w:sz w:val="22"/>
          <w:szCs w:val="22"/>
          <w:shd w:val="clear" w:color="auto" w:fill="FFFFFF"/>
          <w:lang w:val="es-ES_tradnl"/>
        </w:rPr>
        <w:t xml:space="preserve">No obstante, se encuentran exceptuadas del ámbito de aplicación de la norma </w:t>
      </w:r>
      <w:r w:rsidRPr="00864E72">
        <w:rPr>
          <w:rFonts w:ascii="Arial" w:hAnsi="Arial" w:cs="Arial"/>
          <w:sz w:val="22"/>
          <w:szCs w:val="22"/>
          <w:shd w:val="clear" w:color="auto" w:fill="FFFFFF"/>
        </w:rPr>
        <w:t>las Instituciones de Educación Superior públicas, las empresas sociales del Estado, las sociedades de economía mixta y las empresas industriales y comerciales del Estado, únicamente en cuanto a la contratación de su giro ordinario</w:t>
      </w:r>
      <w:r w:rsidRPr="00864E72">
        <w:rPr>
          <w:rFonts w:ascii="Arial" w:hAnsi="Arial" w:cs="Arial"/>
          <w:sz w:val="22"/>
          <w:szCs w:val="22"/>
          <w:shd w:val="clear" w:color="auto" w:fill="FFFFFF"/>
          <w:lang w:val="es-ES_tradnl"/>
        </w:rPr>
        <w:t>.</w:t>
      </w:r>
    </w:p>
    <w:p w14:paraId="134A8B9B" w14:textId="77777777" w:rsidR="00363678" w:rsidRPr="00864E72" w:rsidRDefault="00363678" w:rsidP="0028580B">
      <w:pPr>
        <w:spacing w:before="120" w:line="276" w:lineRule="auto"/>
        <w:ind w:firstLine="708"/>
        <w:jc w:val="both"/>
        <w:rPr>
          <w:rFonts w:ascii="Arial" w:eastAsia="Calibri" w:hAnsi="Arial" w:cs="Arial"/>
          <w:bCs/>
          <w:color w:val="000000" w:themeColor="text1"/>
          <w:sz w:val="22"/>
          <w:lang w:val="es-ES_tradnl"/>
        </w:rPr>
      </w:pPr>
      <w:r w:rsidRPr="00864E72">
        <w:rPr>
          <w:rFonts w:ascii="Arial" w:hAnsi="Arial" w:cs="Arial"/>
          <w:color w:val="000000" w:themeColor="text1"/>
          <w:sz w:val="22"/>
          <w:szCs w:val="22"/>
          <w:shd w:val="clear" w:color="auto" w:fill="FFFFFF"/>
          <w:lang w:val="es-ES_tradnl"/>
        </w:rPr>
        <w:t xml:space="preserve">Bajo los lineamientos descritos, cada entidad pública debe hacer un ejercicio de subsunción a efectos de determinar si la noma en cita resulta aplicable, dada su naturaleza jurídica. En todo caso, es de precisar que en el caso de las empresas prestadoras de servicios públicos domiciliarios, la entidad competente para absolver </w:t>
      </w:r>
      <w:r w:rsidRPr="00864E72">
        <w:rPr>
          <w:rFonts w:ascii="Arial" w:eastAsia="Calibri" w:hAnsi="Arial" w:cs="Arial"/>
          <w:bCs/>
          <w:color w:val="000000" w:themeColor="text1"/>
          <w:sz w:val="22"/>
          <w:lang w:val="es-ES_tradnl"/>
        </w:rPr>
        <w:t xml:space="preserve">las consultas relacionadas con su naturaleza jurídica es la Superintendencia de Servicios Públicos Domiciliarios, de conformidad con el artículo 11, numeral 2, del Decreto 1369 de 2020, según el cual dicha entidad debe «Absolver las consultas jurídicas externas relativas al régimen de los servicios públicos domiciliarios». </w:t>
      </w:r>
    </w:p>
    <w:bookmarkEnd w:id="6"/>
    <w:p w14:paraId="648CBB1C" w14:textId="3F051038" w:rsidR="00DC158A" w:rsidRPr="00864E72" w:rsidRDefault="00DC158A" w:rsidP="001B3CC4">
      <w:pPr>
        <w:spacing w:before="120" w:line="276" w:lineRule="auto"/>
        <w:jc w:val="both"/>
        <w:rPr>
          <w:rFonts w:ascii="Arial" w:hAnsi="Arial" w:cs="Arial"/>
          <w:color w:val="000000" w:themeColor="text1"/>
          <w:sz w:val="22"/>
          <w:szCs w:val="22"/>
          <w:shd w:val="clear" w:color="auto" w:fill="FFFFFF"/>
          <w:lang w:val="es-ES_tradnl"/>
        </w:rPr>
      </w:pPr>
    </w:p>
    <w:p w14:paraId="7B2C921D" w14:textId="37DC1C97" w:rsidR="00DD5B04" w:rsidRPr="00864E72" w:rsidRDefault="00DD5B04" w:rsidP="00DF76A2">
      <w:pPr>
        <w:spacing w:line="276" w:lineRule="auto"/>
        <w:jc w:val="both"/>
        <w:rPr>
          <w:rFonts w:ascii="Arial" w:hAnsi="Arial" w:cs="Arial"/>
          <w:color w:val="000000" w:themeColor="text1"/>
          <w:sz w:val="22"/>
          <w:lang w:val="es-ES_tradnl"/>
        </w:rPr>
      </w:pPr>
      <w:r w:rsidRPr="00864E72">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864E72"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41885BA1" w:rsidR="00DD5B04" w:rsidRPr="00864E72"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864E72">
        <w:rPr>
          <w:rFonts w:ascii="Arial" w:hAnsi="Arial" w:cs="Arial"/>
          <w:color w:val="000000" w:themeColor="text1"/>
          <w:sz w:val="22"/>
          <w:szCs w:val="22"/>
          <w:lang w:val="es-ES_tradnl"/>
        </w:rPr>
        <w:t>Atentamente,</w:t>
      </w:r>
    </w:p>
    <w:p w14:paraId="0DF5D8CC" w14:textId="77777777" w:rsidR="00EF6582" w:rsidRPr="00864E72" w:rsidRDefault="00EF6582" w:rsidP="00EF658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2B8AAFCD" w14:textId="578D34C6" w:rsidR="00EF6582" w:rsidRPr="00864E72" w:rsidRDefault="001D5EED" w:rsidP="001D5EED">
      <w:pPr>
        <w:pStyle w:val="NormalWeb"/>
        <w:spacing w:before="0" w:beforeAutospacing="0" w:after="0" w:afterAutospacing="0" w:line="276" w:lineRule="auto"/>
        <w:jc w:val="center"/>
        <w:rPr>
          <w:rFonts w:ascii="Arial" w:hAnsi="Arial" w:cs="Arial"/>
          <w:color w:val="000000" w:themeColor="text1"/>
          <w:lang w:val="es-ES_tradnl"/>
        </w:rPr>
      </w:pPr>
      <w:r>
        <w:rPr>
          <w:noProof/>
        </w:rPr>
        <w:drawing>
          <wp:inline distT="0" distB="0" distL="0" distR="0" wp14:anchorId="5F2E7F6C" wp14:editId="15DB36DE">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02871B55" w14:textId="77777777" w:rsidR="00EF6582" w:rsidRPr="00864E72" w:rsidRDefault="00EF6582" w:rsidP="00EF6582">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37DB9" w:rsidRPr="00864E72" w14:paraId="53BA6770" w14:textId="77777777" w:rsidTr="003505DC">
        <w:trPr>
          <w:trHeight w:val="315"/>
        </w:trPr>
        <w:tc>
          <w:tcPr>
            <w:tcW w:w="812" w:type="dxa"/>
            <w:vAlign w:val="center"/>
            <w:hideMark/>
          </w:tcPr>
          <w:p w14:paraId="143038FD" w14:textId="77777777" w:rsidR="00EF6582" w:rsidRPr="00864E72" w:rsidRDefault="00EF6582" w:rsidP="003505DC">
            <w:pPr>
              <w:jc w:val="both"/>
              <w:rPr>
                <w:rFonts w:ascii="Arial" w:hAnsi="Arial" w:cs="Arial"/>
                <w:color w:val="000000" w:themeColor="text1"/>
                <w:sz w:val="16"/>
                <w:szCs w:val="16"/>
                <w:lang w:val="es-ES_tradnl" w:eastAsia="es-ES"/>
              </w:rPr>
            </w:pPr>
            <w:r w:rsidRPr="00864E72">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190702BA" w14:textId="77777777" w:rsidR="00EF6582" w:rsidRPr="00864E72" w:rsidRDefault="00EF6582" w:rsidP="003505DC">
            <w:pPr>
              <w:jc w:val="both"/>
              <w:rPr>
                <w:rFonts w:ascii="Arial" w:hAnsi="Arial" w:cs="Arial"/>
                <w:color w:val="000000" w:themeColor="text1"/>
                <w:sz w:val="16"/>
                <w:szCs w:val="16"/>
                <w:lang w:val="es-ES_tradnl" w:eastAsia="es-ES"/>
              </w:rPr>
            </w:pPr>
            <w:r w:rsidRPr="00864E72">
              <w:rPr>
                <w:rFonts w:ascii="Arial" w:hAnsi="Arial" w:cs="Arial"/>
                <w:color w:val="000000" w:themeColor="text1"/>
                <w:sz w:val="16"/>
                <w:szCs w:val="16"/>
                <w:lang w:val="es-ES_tradnl" w:eastAsia="es-ES"/>
              </w:rPr>
              <w:t>Cristian Andrés Díaz Díez</w:t>
            </w:r>
          </w:p>
          <w:p w14:paraId="3D00689F" w14:textId="77777777" w:rsidR="00EF6582" w:rsidRPr="00864E72" w:rsidRDefault="00EF6582" w:rsidP="003505DC">
            <w:pPr>
              <w:jc w:val="both"/>
              <w:rPr>
                <w:rFonts w:ascii="Arial" w:hAnsi="Arial" w:cs="Arial"/>
                <w:color w:val="000000" w:themeColor="text1"/>
                <w:sz w:val="16"/>
                <w:szCs w:val="16"/>
                <w:lang w:val="es-ES_tradnl" w:eastAsia="es-ES"/>
              </w:rPr>
            </w:pPr>
            <w:r w:rsidRPr="00864E72">
              <w:rPr>
                <w:rFonts w:ascii="Arial" w:hAnsi="Arial" w:cs="Arial"/>
                <w:color w:val="000000" w:themeColor="text1"/>
                <w:sz w:val="16"/>
                <w:szCs w:val="16"/>
                <w:lang w:val="es-ES_tradnl" w:eastAsia="es-ES"/>
              </w:rPr>
              <w:t>Contratista de la Subdirección de Gestión Contractual</w:t>
            </w:r>
          </w:p>
        </w:tc>
      </w:tr>
      <w:tr w:rsidR="00437DB9" w:rsidRPr="00864E72" w14:paraId="0C6046B0" w14:textId="77777777" w:rsidTr="003505DC">
        <w:trPr>
          <w:trHeight w:val="330"/>
        </w:trPr>
        <w:tc>
          <w:tcPr>
            <w:tcW w:w="812" w:type="dxa"/>
            <w:vAlign w:val="center"/>
            <w:hideMark/>
          </w:tcPr>
          <w:p w14:paraId="311F1F10" w14:textId="77777777" w:rsidR="00EF6582" w:rsidRPr="00864E72" w:rsidRDefault="00EF6582" w:rsidP="003505DC">
            <w:pPr>
              <w:jc w:val="both"/>
              <w:rPr>
                <w:rFonts w:ascii="Arial" w:hAnsi="Arial" w:cs="Arial"/>
                <w:color w:val="000000" w:themeColor="text1"/>
                <w:sz w:val="16"/>
                <w:szCs w:val="16"/>
                <w:lang w:val="es-ES_tradnl" w:eastAsia="es-ES"/>
              </w:rPr>
            </w:pPr>
            <w:r w:rsidRPr="00864E72">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1F76775" w14:textId="77777777" w:rsidR="00EF6582" w:rsidRPr="00864E72" w:rsidRDefault="00EF6582" w:rsidP="003505DC">
            <w:pPr>
              <w:jc w:val="both"/>
              <w:rPr>
                <w:rFonts w:ascii="Arial" w:hAnsi="Arial" w:cs="Arial"/>
                <w:color w:val="000000" w:themeColor="text1"/>
                <w:sz w:val="16"/>
                <w:szCs w:val="16"/>
                <w:lang w:val="es-ES_tradnl" w:eastAsia="es-ES"/>
              </w:rPr>
            </w:pPr>
            <w:r w:rsidRPr="00864E72">
              <w:rPr>
                <w:rFonts w:ascii="Arial" w:hAnsi="Arial" w:cs="Arial"/>
                <w:color w:val="000000" w:themeColor="text1"/>
                <w:sz w:val="16"/>
                <w:szCs w:val="16"/>
                <w:lang w:val="es-ES_tradnl" w:eastAsia="es-ES"/>
              </w:rPr>
              <w:t>Juan David Montoya Penagos</w:t>
            </w:r>
          </w:p>
          <w:p w14:paraId="5B48A149" w14:textId="77777777" w:rsidR="00EF6582" w:rsidRPr="00864E72" w:rsidRDefault="00EF6582" w:rsidP="003505DC">
            <w:pPr>
              <w:jc w:val="both"/>
              <w:rPr>
                <w:rFonts w:ascii="Arial" w:hAnsi="Arial" w:cs="Arial"/>
                <w:color w:val="000000" w:themeColor="text1"/>
                <w:sz w:val="16"/>
                <w:szCs w:val="16"/>
                <w:lang w:val="es-ES_tradnl" w:eastAsia="es-ES"/>
              </w:rPr>
            </w:pPr>
            <w:r w:rsidRPr="00864E72">
              <w:rPr>
                <w:rFonts w:ascii="Arial" w:hAnsi="Arial" w:cs="Arial"/>
                <w:color w:val="000000" w:themeColor="text1"/>
                <w:sz w:val="16"/>
                <w:szCs w:val="16"/>
                <w:lang w:eastAsia="es-ES"/>
              </w:rPr>
              <w:t>Gestor T1-15 de la Subdirección de Gestión Contractual</w:t>
            </w:r>
          </w:p>
        </w:tc>
      </w:tr>
      <w:tr w:rsidR="00EF6582" w:rsidRPr="00437DB9" w14:paraId="757D027C" w14:textId="77777777" w:rsidTr="003505DC">
        <w:trPr>
          <w:trHeight w:val="300"/>
        </w:trPr>
        <w:tc>
          <w:tcPr>
            <w:tcW w:w="812" w:type="dxa"/>
            <w:vAlign w:val="center"/>
            <w:hideMark/>
          </w:tcPr>
          <w:p w14:paraId="64848741" w14:textId="77777777" w:rsidR="00EF6582" w:rsidRPr="00864E72" w:rsidRDefault="00EF6582" w:rsidP="003505DC">
            <w:pPr>
              <w:jc w:val="both"/>
              <w:rPr>
                <w:rFonts w:ascii="Arial" w:hAnsi="Arial" w:cs="Arial"/>
                <w:color w:val="000000" w:themeColor="text1"/>
                <w:sz w:val="16"/>
                <w:szCs w:val="16"/>
                <w:lang w:val="es-ES_tradnl" w:eastAsia="es-ES"/>
              </w:rPr>
            </w:pPr>
            <w:r w:rsidRPr="00864E72">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5C718" w14:textId="77777777" w:rsidR="00EF6582" w:rsidRPr="00864E72" w:rsidRDefault="00EF6582" w:rsidP="003505DC">
            <w:pPr>
              <w:jc w:val="both"/>
              <w:rPr>
                <w:rFonts w:ascii="Arial" w:hAnsi="Arial" w:cs="Arial"/>
                <w:color w:val="000000" w:themeColor="text1"/>
                <w:sz w:val="16"/>
                <w:szCs w:val="16"/>
                <w:lang w:val="es-ES_tradnl" w:eastAsia="es-ES"/>
              </w:rPr>
            </w:pPr>
            <w:r w:rsidRPr="00864E72">
              <w:rPr>
                <w:rFonts w:ascii="Arial" w:hAnsi="Arial" w:cs="Arial"/>
                <w:color w:val="000000" w:themeColor="text1"/>
                <w:sz w:val="16"/>
                <w:szCs w:val="16"/>
                <w:lang w:val="es-ES_tradnl" w:eastAsia="es-ES"/>
              </w:rPr>
              <w:t>Jorge Augusto Tirado Navarro</w:t>
            </w:r>
          </w:p>
          <w:p w14:paraId="4EF3AE92" w14:textId="77777777" w:rsidR="00EF6582" w:rsidRPr="00437DB9" w:rsidRDefault="00EF6582" w:rsidP="003505DC">
            <w:pPr>
              <w:jc w:val="both"/>
              <w:rPr>
                <w:rFonts w:ascii="Arial" w:hAnsi="Arial" w:cs="Arial"/>
                <w:color w:val="000000" w:themeColor="text1"/>
                <w:sz w:val="16"/>
                <w:szCs w:val="16"/>
                <w:lang w:val="es-ES_tradnl" w:eastAsia="es-ES"/>
              </w:rPr>
            </w:pPr>
            <w:r w:rsidRPr="00864E72">
              <w:rPr>
                <w:rFonts w:ascii="Arial" w:hAnsi="Arial" w:cs="Arial"/>
                <w:color w:val="000000" w:themeColor="text1"/>
                <w:sz w:val="16"/>
                <w:szCs w:val="16"/>
                <w:lang w:val="es-ES_tradnl" w:eastAsia="es-ES"/>
              </w:rPr>
              <w:t>Subdirector de Gestión Contractual ANCP – CCE</w:t>
            </w:r>
          </w:p>
        </w:tc>
      </w:tr>
      <w:bookmarkEnd w:id="2"/>
    </w:tbl>
    <w:p w14:paraId="35B56F46" w14:textId="3555DC0D" w:rsidR="00746E08" w:rsidRPr="00437DB9" w:rsidRDefault="00746E08" w:rsidP="00EF6582">
      <w:pPr>
        <w:rPr>
          <w:rFonts w:ascii="Arial" w:hAnsi="Arial" w:cs="Arial"/>
          <w:color w:val="000000" w:themeColor="text1"/>
          <w:lang w:val="es-ES_tradnl"/>
        </w:rPr>
      </w:pPr>
    </w:p>
    <w:sectPr w:rsidR="00746E08" w:rsidRPr="00437DB9"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58379" w14:textId="77777777" w:rsidR="00E43ED1" w:rsidRDefault="00E43ED1">
      <w:r>
        <w:separator/>
      </w:r>
    </w:p>
  </w:endnote>
  <w:endnote w:type="continuationSeparator" w:id="0">
    <w:p w14:paraId="66DCA06B" w14:textId="77777777" w:rsidR="00E43ED1" w:rsidRDefault="00E43ED1">
      <w:r>
        <w:continuationSeparator/>
      </w:r>
    </w:p>
  </w:endnote>
  <w:endnote w:type="continuationNotice" w:id="1">
    <w:p w14:paraId="472C4804" w14:textId="77777777" w:rsidR="00E43ED1" w:rsidRDefault="00E43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50A1ADDB" w:rsidP="00322937">
    <w:pPr>
      <w:pStyle w:val="Piedepgina"/>
      <w:jc w:val="center"/>
      <w:rPr>
        <w:lang w:val="es-ES"/>
      </w:rPr>
    </w:pPr>
    <w:r>
      <w:rPr>
        <w:noProof/>
      </w:rPr>
      <w:drawing>
        <wp:inline distT="0" distB="0" distL="0" distR="0" wp14:anchorId="608B196D" wp14:editId="4AF2E7E9">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FC7EB" w14:textId="77777777" w:rsidR="00E43ED1" w:rsidRDefault="00E43ED1">
      <w:r>
        <w:separator/>
      </w:r>
    </w:p>
  </w:footnote>
  <w:footnote w:type="continuationSeparator" w:id="0">
    <w:p w14:paraId="70AFDDF8" w14:textId="77777777" w:rsidR="00E43ED1" w:rsidRDefault="00E43ED1">
      <w:r>
        <w:continuationSeparator/>
      </w:r>
    </w:p>
  </w:footnote>
  <w:footnote w:type="continuationNotice" w:id="1">
    <w:p w14:paraId="1E1C26C7" w14:textId="77777777" w:rsidR="00E43ED1" w:rsidRDefault="00E43ED1"/>
  </w:footnote>
  <w:footnote w:id="2">
    <w:p w14:paraId="6A81D44B" w14:textId="455358ED" w:rsidR="002E7C15" w:rsidRPr="00B85F4D" w:rsidRDefault="002E7C15" w:rsidP="00513437">
      <w:pPr>
        <w:pStyle w:val="Textonotapie"/>
        <w:ind w:firstLine="709"/>
        <w:jc w:val="both"/>
        <w:rPr>
          <w:rFonts w:ascii="Arial" w:hAnsi="Arial" w:cs="Arial"/>
          <w:color w:val="000000" w:themeColor="text1"/>
          <w:sz w:val="19"/>
          <w:szCs w:val="19"/>
        </w:rPr>
      </w:pPr>
      <w:r w:rsidRPr="00B85F4D">
        <w:rPr>
          <w:rStyle w:val="Refdenotaalpie"/>
          <w:rFonts w:ascii="Arial" w:hAnsi="Arial" w:cs="Arial"/>
          <w:color w:val="000000" w:themeColor="text1"/>
          <w:sz w:val="19"/>
          <w:szCs w:val="19"/>
        </w:rPr>
        <w:footnoteRef/>
      </w:r>
      <w:r w:rsidRPr="00B85F4D">
        <w:rPr>
          <w:rFonts w:ascii="Arial" w:hAnsi="Arial" w:cs="Arial"/>
          <w:color w:val="000000" w:themeColor="text1"/>
          <w:sz w:val="19"/>
          <w:szCs w:val="19"/>
        </w:rPr>
        <w:t xml:space="preserve"> Los conceptos indicados pueden consultarse en el siguiente enlace: https://relatoria.colombiacompra.gov.co/busqueda/conceptos.</w:t>
      </w:r>
    </w:p>
  </w:footnote>
  <w:footnote w:id="3">
    <w:p w14:paraId="64FDAB66" w14:textId="77777777" w:rsidR="001E6A63" w:rsidRPr="00B85F4D" w:rsidRDefault="001E6A63" w:rsidP="00513437">
      <w:pPr>
        <w:pStyle w:val="Textonotapie"/>
        <w:ind w:firstLine="709"/>
        <w:jc w:val="both"/>
        <w:rPr>
          <w:rFonts w:ascii="Arial" w:hAnsi="Arial" w:cs="Arial"/>
          <w:color w:val="000000" w:themeColor="text1"/>
          <w:sz w:val="19"/>
          <w:szCs w:val="19"/>
          <w:lang w:val="es-CO"/>
        </w:rPr>
      </w:pPr>
      <w:r w:rsidRPr="00B85F4D">
        <w:rPr>
          <w:rStyle w:val="Refdenotaalpie"/>
          <w:rFonts w:ascii="Arial" w:hAnsi="Arial" w:cs="Arial"/>
          <w:color w:val="000000" w:themeColor="text1"/>
          <w:sz w:val="19"/>
          <w:szCs w:val="19"/>
        </w:rPr>
        <w:footnoteRef/>
      </w:r>
      <w:r w:rsidRPr="00B85F4D">
        <w:rPr>
          <w:rFonts w:ascii="Arial" w:hAnsi="Arial" w:cs="Arial"/>
          <w:color w:val="000000" w:themeColor="text1"/>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4">
    <w:p w14:paraId="72A55CDD" w14:textId="77777777" w:rsidR="001E6A63" w:rsidRPr="00B85F4D" w:rsidRDefault="001E6A63" w:rsidP="00513437">
      <w:pPr>
        <w:pStyle w:val="Textonotapie"/>
        <w:ind w:firstLine="709"/>
        <w:jc w:val="both"/>
        <w:rPr>
          <w:rFonts w:ascii="Arial" w:hAnsi="Arial" w:cs="Arial"/>
          <w:color w:val="000000" w:themeColor="text1"/>
          <w:sz w:val="19"/>
          <w:szCs w:val="19"/>
        </w:rPr>
      </w:pPr>
      <w:r w:rsidRPr="00B85F4D">
        <w:rPr>
          <w:rStyle w:val="Refdenotaalpie"/>
          <w:rFonts w:ascii="Arial" w:hAnsi="Arial" w:cs="Arial"/>
          <w:color w:val="000000" w:themeColor="text1"/>
          <w:sz w:val="19"/>
          <w:szCs w:val="19"/>
        </w:rPr>
        <w:footnoteRef/>
      </w:r>
      <w:r w:rsidRPr="00B85F4D">
        <w:rPr>
          <w:rFonts w:ascii="Arial" w:hAnsi="Arial" w:cs="Arial"/>
          <w:color w:val="000000" w:themeColor="text1"/>
          <w:sz w:val="19"/>
          <w:szCs w:val="19"/>
        </w:rPr>
        <w:t xml:space="preserve"> </w:t>
      </w:r>
      <w:r w:rsidRPr="00B85F4D">
        <w:rPr>
          <w:rFonts w:ascii="Arial" w:hAnsi="Arial" w:cs="Arial"/>
          <w:color w:val="000000" w:themeColor="text1"/>
          <w:sz w:val="19"/>
          <w:szCs w:val="19"/>
          <w:lang w:val="es-CO"/>
        </w:rPr>
        <w:t xml:space="preserve">Ley 1882 de 2018: «Artículo 4. </w:t>
      </w:r>
      <w:r w:rsidRPr="00B85F4D">
        <w:rPr>
          <w:rFonts w:ascii="Arial" w:hAnsi="Arial" w:cs="Arial"/>
          <w:color w:val="000000" w:themeColor="text1"/>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4CE8914E" w14:textId="77777777" w:rsidR="001E6A63" w:rsidRPr="00B85F4D" w:rsidRDefault="001E6A63" w:rsidP="00513437">
      <w:pPr>
        <w:pStyle w:val="Textonotapie"/>
        <w:ind w:firstLine="709"/>
        <w:jc w:val="both"/>
        <w:rPr>
          <w:rFonts w:ascii="Arial" w:hAnsi="Arial" w:cs="Arial"/>
          <w:color w:val="000000" w:themeColor="text1"/>
          <w:sz w:val="19"/>
          <w:szCs w:val="19"/>
          <w:lang w:val="es-CO"/>
        </w:rPr>
      </w:pPr>
      <w:r w:rsidRPr="00B85F4D">
        <w:rPr>
          <w:rFonts w:ascii="Arial" w:hAnsi="Arial" w:cs="Arial"/>
          <w:color w:val="000000" w:themeColor="text1"/>
          <w:sz w:val="19"/>
          <w:szCs w:val="19"/>
          <w:lang w:val="es-CO"/>
        </w:rPr>
        <w:t>»La facultad de adoptar documentos tipo la tendrá el Gobierno nacional, cuando lo considere necesario, en relación con otros contratos o procesos de selección.</w:t>
      </w:r>
    </w:p>
    <w:p w14:paraId="111B4377" w14:textId="77777777" w:rsidR="001E6A63" w:rsidRPr="00B85F4D" w:rsidRDefault="001E6A63" w:rsidP="00513437">
      <w:pPr>
        <w:pStyle w:val="Textonotapie"/>
        <w:ind w:firstLine="709"/>
        <w:jc w:val="both"/>
        <w:rPr>
          <w:rFonts w:ascii="Arial" w:hAnsi="Arial" w:cs="Arial"/>
          <w:color w:val="000000" w:themeColor="text1"/>
          <w:sz w:val="19"/>
          <w:szCs w:val="19"/>
          <w:lang w:val="es-CO"/>
        </w:rPr>
      </w:pPr>
      <w:r w:rsidRPr="00B85F4D">
        <w:rPr>
          <w:rFonts w:ascii="Arial" w:hAnsi="Arial" w:cs="Arial"/>
          <w:color w:val="000000" w:themeColor="text1"/>
          <w:sz w:val="19"/>
          <w:szCs w:val="19"/>
          <w:lang w:val="es-CO"/>
        </w:rPr>
        <w:t>»Los pliegos tipo se adoptarán por categorías de acuerdo con la cuantía de la contratación, según la reglamentación que expida el Gobierno nacional».</w:t>
      </w:r>
    </w:p>
  </w:footnote>
  <w:footnote w:id="5">
    <w:p w14:paraId="5DF7F5CF" w14:textId="77777777" w:rsidR="001E6A63" w:rsidRPr="00B85F4D" w:rsidRDefault="001E6A63" w:rsidP="00513437">
      <w:pPr>
        <w:pStyle w:val="Textonotapie"/>
        <w:ind w:firstLine="709"/>
        <w:jc w:val="both"/>
        <w:rPr>
          <w:rFonts w:ascii="Arial" w:hAnsi="Arial" w:cs="Arial"/>
          <w:color w:val="000000" w:themeColor="text1"/>
          <w:sz w:val="19"/>
          <w:szCs w:val="19"/>
        </w:rPr>
      </w:pPr>
      <w:r w:rsidRPr="00B85F4D">
        <w:rPr>
          <w:rStyle w:val="Refdenotaalpie"/>
          <w:rFonts w:ascii="Arial" w:hAnsi="Arial" w:cs="Arial"/>
          <w:color w:val="000000" w:themeColor="text1"/>
          <w:sz w:val="19"/>
          <w:szCs w:val="19"/>
        </w:rPr>
        <w:footnoteRef/>
      </w:r>
      <w:r w:rsidRPr="00B85F4D">
        <w:rPr>
          <w:rFonts w:ascii="Arial" w:hAnsi="Arial" w:cs="Arial"/>
          <w:color w:val="000000" w:themeColor="text1"/>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0C9DEE47" w14:textId="77777777" w:rsidR="001E6A63" w:rsidRPr="00B85F4D" w:rsidRDefault="001E6A63" w:rsidP="00513437">
      <w:pPr>
        <w:pStyle w:val="Textonotapie"/>
        <w:ind w:firstLine="709"/>
        <w:jc w:val="both"/>
        <w:rPr>
          <w:rFonts w:ascii="Arial" w:hAnsi="Arial" w:cs="Arial"/>
          <w:color w:val="000000" w:themeColor="text1"/>
          <w:sz w:val="19"/>
          <w:szCs w:val="19"/>
        </w:rPr>
      </w:pPr>
    </w:p>
  </w:footnote>
  <w:footnote w:id="6">
    <w:p w14:paraId="21CAD8BC" w14:textId="77777777" w:rsidR="001E6A63" w:rsidRPr="00B85F4D" w:rsidRDefault="001E6A63" w:rsidP="00513437">
      <w:pPr>
        <w:pStyle w:val="NormalWeb"/>
        <w:spacing w:before="0" w:beforeAutospacing="0" w:after="0" w:afterAutospacing="0"/>
        <w:ind w:firstLine="709"/>
        <w:jc w:val="both"/>
        <w:rPr>
          <w:rFonts w:ascii="Arial" w:hAnsi="Arial" w:cs="Arial"/>
          <w:color w:val="000000" w:themeColor="text1"/>
          <w:sz w:val="19"/>
          <w:szCs w:val="19"/>
        </w:rPr>
      </w:pPr>
      <w:r w:rsidRPr="00B85F4D">
        <w:rPr>
          <w:rStyle w:val="Refdenotaalpie"/>
          <w:rFonts w:ascii="Arial" w:hAnsi="Arial" w:cs="Arial"/>
          <w:color w:val="000000" w:themeColor="text1"/>
          <w:sz w:val="19"/>
          <w:szCs w:val="19"/>
        </w:rPr>
        <w:footnoteRef/>
      </w:r>
      <w:r w:rsidRPr="00B85F4D">
        <w:rPr>
          <w:rFonts w:ascii="Arial" w:hAnsi="Arial" w:cs="Arial"/>
          <w:color w:val="000000" w:themeColor="text1"/>
          <w:sz w:val="19"/>
          <w:szCs w:val="19"/>
        </w:rPr>
        <w:t xml:space="preserve"> Ley 2022 de 2020: «</w:t>
      </w:r>
      <w:r w:rsidRPr="00B85F4D">
        <w:rPr>
          <w:rStyle w:val="Textoennegrita"/>
          <w:rFonts w:ascii="Arial" w:hAnsi="Arial" w:cs="Arial"/>
          <w:b w:val="0"/>
          <w:bCs w:val="0"/>
          <w:color w:val="000000" w:themeColor="text1"/>
          <w:sz w:val="19"/>
          <w:szCs w:val="19"/>
        </w:rPr>
        <w:t>Artículo 1º.</w:t>
      </w:r>
      <w:r w:rsidRPr="00B85F4D">
        <w:rPr>
          <w:rFonts w:ascii="Arial" w:hAnsi="Arial" w:cs="Arial"/>
          <w:color w:val="000000" w:themeColor="text1"/>
          <w:sz w:val="19"/>
          <w:szCs w:val="19"/>
        </w:rPr>
        <w:t> Modifíquese el artículo 4º de la Ley 1882 de 2018, el cual quedará así: </w:t>
      </w:r>
    </w:p>
    <w:p w14:paraId="7DE96DF3" w14:textId="77777777" w:rsidR="001E6A63" w:rsidRPr="00B85F4D" w:rsidRDefault="001E6A63" w:rsidP="00513437">
      <w:pPr>
        <w:pStyle w:val="NormalWeb"/>
        <w:spacing w:before="0" w:beforeAutospacing="0" w:after="0" w:afterAutospacing="0"/>
        <w:ind w:firstLine="709"/>
        <w:jc w:val="both"/>
        <w:rPr>
          <w:rFonts w:ascii="Arial" w:hAnsi="Arial" w:cs="Arial"/>
          <w:color w:val="000000" w:themeColor="text1"/>
          <w:sz w:val="19"/>
          <w:szCs w:val="19"/>
        </w:rPr>
      </w:pPr>
      <w:r w:rsidRPr="00B85F4D">
        <w:rPr>
          <w:rStyle w:val="Textoennegrita"/>
          <w:rFonts w:ascii="Arial" w:hAnsi="Arial" w:cs="Arial"/>
          <w:b w:val="0"/>
          <w:bCs w:val="0"/>
          <w:color w:val="000000" w:themeColor="text1"/>
          <w:sz w:val="19"/>
          <w:szCs w:val="19"/>
        </w:rPr>
        <w:t>»Artículo 4º.</w:t>
      </w:r>
      <w:r w:rsidRPr="00B85F4D">
        <w:rPr>
          <w:rFonts w:ascii="Arial" w:hAnsi="Arial" w:cs="Arial"/>
          <w:color w:val="000000" w:themeColor="text1"/>
          <w:sz w:val="19"/>
          <w:szCs w:val="19"/>
        </w:rPr>
        <w:t> Adiciónese el siguiente parágrafo al artículo 2º de la Ley 1150 de 2007. </w:t>
      </w:r>
    </w:p>
    <w:p w14:paraId="7F2BF251" w14:textId="77777777" w:rsidR="001E6A63" w:rsidRPr="00B85F4D" w:rsidRDefault="001E6A63" w:rsidP="00513437">
      <w:pPr>
        <w:pStyle w:val="NormalWeb"/>
        <w:spacing w:before="0" w:beforeAutospacing="0" w:after="0" w:afterAutospacing="0"/>
        <w:ind w:firstLine="709"/>
        <w:jc w:val="both"/>
        <w:rPr>
          <w:rFonts w:ascii="Arial" w:hAnsi="Arial" w:cs="Arial"/>
          <w:color w:val="000000" w:themeColor="text1"/>
          <w:sz w:val="19"/>
          <w:szCs w:val="19"/>
        </w:rPr>
      </w:pPr>
      <w:r w:rsidRPr="00B85F4D">
        <w:rPr>
          <w:rStyle w:val="Textoennegrita"/>
          <w:rFonts w:ascii="Arial" w:hAnsi="Arial" w:cs="Arial"/>
          <w:b w:val="0"/>
          <w:bCs w:val="0"/>
          <w:color w:val="000000" w:themeColor="text1"/>
          <w:sz w:val="19"/>
          <w:szCs w:val="19"/>
        </w:rPr>
        <w:t>»Parágrafo 7º.</w:t>
      </w:r>
      <w:r w:rsidRPr="00B85F4D">
        <w:rPr>
          <w:rFonts w:ascii="Arial" w:hAnsi="Arial" w:cs="Arial"/>
          <w:color w:val="000000" w:themeColor="text1"/>
          <w:sz w:val="19"/>
          <w:szCs w:val="19"/>
        </w:rPr>
        <w:t>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53FC151F" w14:textId="77777777" w:rsidR="001E6A63" w:rsidRPr="00B85F4D" w:rsidRDefault="001E6A63" w:rsidP="00513437">
      <w:pPr>
        <w:pStyle w:val="NormalWeb"/>
        <w:spacing w:before="0" w:beforeAutospacing="0" w:after="0" w:afterAutospacing="0"/>
        <w:ind w:firstLine="709"/>
        <w:jc w:val="both"/>
        <w:rPr>
          <w:rFonts w:ascii="Arial" w:hAnsi="Arial" w:cs="Arial"/>
          <w:color w:val="000000" w:themeColor="text1"/>
          <w:sz w:val="19"/>
          <w:szCs w:val="19"/>
        </w:rPr>
      </w:pPr>
      <w:r w:rsidRPr="00B85F4D">
        <w:rPr>
          <w:rFonts w:ascii="Arial" w:hAnsi="Arial" w:cs="Arial"/>
          <w:color w:val="000000" w:themeColor="text1"/>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08C31E4E" w14:textId="77777777" w:rsidR="001E6A63" w:rsidRPr="00B85F4D" w:rsidRDefault="001E6A63" w:rsidP="00513437">
      <w:pPr>
        <w:pStyle w:val="NormalWeb"/>
        <w:spacing w:before="0" w:beforeAutospacing="0" w:after="0" w:afterAutospacing="0"/>
        <w:ind w:firstLine="709"/>
        <w:jc w:val="both"/>
        <w:rPr>
          <w:rFonts w:ascii="Arial" w:hAnsi="Arial" w:cs="Arial"/>
          <w:color w:val="000000" w:themeColor="text1"/>
          <w:sz w:val="19"/>
          <w:szCs w:val="19"/>
        </w:rPr>
      </w:pPr>
      <w:r w:rsidRPr="00B85F4D">
        <w:rPr>
          <w:rFonts w:ascii="Arial" w:hAnsi="Arial" w:cs="Arial"/>
          <w:color w:val="000000" w:themeColor="text1"/>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406E5A39" w14:textId="77777777" w:rsidR="001E6A63" w:rsidRPr="00B85F4D" w:rsidRDefault="001E6A63" w:rsidP="00513437">
      <w:pPr>
        <w:pStyle w:val="NormalWeb"/>
        <w:spacing w:before="0" w:beforeAutospacing="0" w:after="0" w:afterAutospacing="0"/>
        <w:ind w:firstLine="709"/>
        <w:jc w:val="both"/>
        <w:rPr>
          <w:rFonts w:ascii="Arial" w:hAnsi="Arial" w:cs="Arial"/>
          <w:color w:val="000000" w:themeColor="text1"/>
          <w:sz w:val="19"/>
          <w:szCs w:val="19"/>
        </w:rPr>
      </w:pPr>
      <w:r w:rsidRPr="00B85F4D">
        <w:rPr>
          <w:rFonts w:ascii="Arial" w:hAnsi="Arial" w:cs="Arial"/>
          <w:color w:val="000000" w:themeColor="text1"/>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648805E9" w14:textId="77777777" w:rsidR="001E6A63" w:rsidRPr="00B85F4D" w:rsidRDefault="001E6A63" w:rsidP="00513437">
      <w:pPr>
        <w:pStyle w:val="NormalWeb"/>
        <w:spacing w:before="0" w:beforeAutospacing="0" w:after="0" w:afterAutospacing="0"/>
        <w:ind w:firstLine="709"/>
        <w:jc w:val="both"/>
        <w:rPr>
          <w:rFonts w:ascii="Arial" w:hAnsi="Arial" w:cs="Arial"/>
          <w:color w:val="000000" w:themeColor="text1"/>
          <w:sz w:val="19"/>
          <w:szCs w:val="19"/>
        </w:rPr>
      </w:pPr>
      <w:r w:rsidRPr="00B85F4D">
        <w:rPr>
          <w:rFonts w:ascii="Arial" w:hAnsi="Arial" w:cs="Arial"/>
          <w:color w:val="000000" w:themeColor="text1"/>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7">
    <w:p w14:paraId="240ACD69" w14:textId="59FD68BB" w:rsidR="00BF41FF" w:rsidRPr="00B85F4D" w:rsidRDefault="0009759E" w:rsidP="00513437">
      <w:pPr>
        <w:pStyle w:val="Textonotapie"/>
        <w:ind w:firstLine="709"/>
        <w:jc w:val="both"/>
        <w:rPr>
          <w:rFonts w:ascii="Arial" w:hAnsi="Arial" w:cs="Arial"/>
          <w:color w:val="000000" w:themeColor="text1"/>
          <w:sz w:val="19"/>
          <w:szCs w:val="19"/>
          <w:lang w:val="es-ES"/>
        </w:rPr>
      </w:pPr>
      <w:r w:rsidRPr="00B85F4D">
        <w:rPr>
          <w:rStyle w:val="Refdenotaalpie"/>
          <w:rFonts w:ascii="Arial" w:hAnsi="Arial" w:cs="Arial"/>
          <w:color w:val="000000" w:themeColor="text1"/>
          <w:sz w:val="19"/>
          <w:szCs w:val="19"/>
        </w:rPr>
        <w:footnoteRef/>
      </w:r>
      <w:r w:rsidRPr="00B85F4D">
        <w:rPr>
          <w:rFonts w:ascii="Arial" w:hAnsi="Arial" w:cs="Arial"/>
          <w:color w:val="000000" w:themeColor="text1"/>
          <w:sz w:val="19"/>
          <w:szCs w:val="19"/>
        </w:rPr>
        <w:t xml:space="preserve"> </w:t>
      </w:r>
      <w:r w:rsidR="00BF41FF" w:rsidRPr="00B85F4D">
        <w:rPr>
          <w:rFonts w:ascii="Arial" w:hAnsi="Arial" w:cs="Arial"/>
          <w:color w:val="000000" w:themeColor="text1"/>
          <w:sz w:val="19"/>
          <w:szCs w:val="19"/>
          <w:lang w:val="es-ES"/>
        </w:rPr>
        <w:t xml:space="preserve">En lo pertinente, dichos artículos establecen: </w:t>
      </w:r>
      <w:r w:rsidR="00D03823" w:rsidRPr="00B85F4D">
        <w:rPr>
          <w:rFonts w:ascii="Arial" w:hAnsi="Arial" w:cs="Arial"/>
          <w:color w:val="000000" w:themeColor="text1"/>
          <w:sz w:val="19"/>
          <w:szCs w:val="19"/>
          <w:lang w:val="es-ES"/>
        </w:rPr>
        <w:t xml:space="preserve">«Artículo </w:t>
      </w:r>
      <w:r w:rsidR="00BF41FF" w:rsidRPr="00B85F4D">
        <w:rPr>
          <w:rFonts w:ascii="Arial" w:hAnsi="Arial" w:cs="Arial"/>
          <w:color w:val="000000" w:themeColor="text1"/>
          <w:sz w:val="19"/>
          <w:szCs w:val="19"/>
          <w:lang w:val="es-ES"/>
        </w:rPr>
        <w:t xml:space="preserve">31. </w:t>
      </w:r>
      <w:r w:rsidR="00D03823" w:rsidRPr="00B85F4D">
        <w:rPr>
          <w:rFonts w:ascii="Arial" w:hAnsi="Arial" w:cs="Arial"/>
          <w:color w:val="000000" w:themeColor="text1"/>
          <w:sz w:val="19"/>
          <w:szCs w:val="19"/>
          <w:lang w:val="es-ES"/>
        </w:rPr>
        <w:t>Régimen de la Contratación</w:t>
      </w:r>
      <w:r w:rsidR="00BF41FF" w:rsidRPr="00B85F4D">
        <w:rPr>
          <w:rFonts w:ascii="Arial" w:hAnsi="Arial" w:cs="Arial"/>
          <w:color w:val="000000" w:themeColor="text1"/>
          <w:sz w:val="19"/>
          <w:szCs w:val="19"/>
          <w:lang w:val="es-ES"/>
        </w:rPr>
        <w:t>. &lt;Artículo modificado por el artículo 3 de la Ley 689 de 2001. El nuevo texto es el siguiente:&gt; Los contratos que celebren las entidades estatales que prestan los servicios públicos a los que se refiere esta ley no estarán sujetos a las disposiciones del Estatuto General de Contratación de la Administración Pública, salvo en lo que la presente ley disponga otra cosa.</w:t>
      </w:r>
    </w:p>
    <w:p w14:paraId="680B7C3C" w14:textId="01DF5229" w:rsidR="00BF41FF" w:rsidRPr="00B85F4D" w:rsidRDefault="00D03823" w:rsidP="00513437">
      <w:pPr>
        <w:pStyle w:val="Textonotapie"/>
        <w:ind w:firstLine="709"/>
        <w:jc w:val="both"/>
        <w:rPr>
          <w:rFonts w:ascii="Arial" w:hAnsi="Arial" w:cs="Arial"/>
          <w:color w:val="000000" w:themeColor="text1"/>
          <w:sz w:val="19"/>
          <w:szCs w:val="19"/>
          <w:lang w:val="es-ES"/>
        </w:rPr>
      </w:pPr>
      <w:r w:rsidRPr="00B85F4D">
        <w:rPr>
          <w:rFonts w:ascii="Arial" w:hAnsi="Arial" w:cs="Arial"/>
          <w:color w:val="000000" w:themeColor="text1"/>
          <w:sz w:val="19"/>
          <w:szCs w:val="19"/>
          <w:lang w:val="es-ES"/>
        </w:rPr>
        <w:t>»</w:t>
      </w:r>
      <w:r w:rsidR="00BF41FF" w:rsidRPr="00B85F4D">
        <w:rPr>
          <w:rFonts w:ascii="Arial" w:hAnsi="Arial" w:cs="Arial"/>
          <w:color w:val="000000" w:themeColor="text1"/>
          <w:sz w:val="19"/>
          <w:szCs w:val="19"/>
          <w:lang w:val="es-ES"/>
        </w:rPr>
        <w:t>Las Comisiones de Regulación podrán hacer obligatoria la inclusión, en ciertos tipos de contratos de cualquier empresa de servicios públicos, de cláusulas exorbitantes y podrán facultar, previa consulta expresa por parte de las empresas de servicios públicos domiciliarios, que se incluyan en los demás. Cuando la inclusión sea forzosa, todo lo relativo a tales cláusulas se regirá, en cuanto sea pertinente, por lo dispuesto en la Ley 80 de 1993, y los actos y contratos en los que se utilicen esas cláusulas y/o se ejerciten esas facultades estarán sujetos al control de la jurisdicción contencioso administrativa. Las Comisiones de Regulación contarán con quince (15) días para responder las solicitudes elevadas por las empresas de servicios públicos domiciliarios sobre la inclusión de las cláusulas excepcionales en los respectivos contratos, transcurrido este término operará el silencio administrativo positivo.</w:t>
      </w:r>
    </w:p>
    <w:p w14:paraId="1D842D4A" w14:textId="2A1FB702" w:rsidR="00FA7A52" w:rsidRPr="00B85F4D" w:rsidRDefault="00D03823" w:rsidP="00513437">
      <w:pPr>
        <w:pStyle w:val="Textonotapie"/>
        <w:ind w:firstLine="709"/>
        <w:jc w:val="both"/>
        <w:rPr>
          <w:rFonts w:ascii="Arial" w:hAnsi="Arial" w:cs="Arial"/>
          <w:color w:val="000000" w:themeColor="text1"/>
          <w:sz w:val="19"/>
          <w:szCs w:val="19"/>
          <w:lang w:val="es-ES"/>
        </w:rPr>
      </w:pPr>
      <w:r w:rsidRPr="00B85F4D">
        <w:rPr>
          <w:rFonts w:ascii="Arial" w:hAnsi="Arial" w:cs="Arial"/>
          <w:color w:val="000000" w:themeColor="text1"/>
          <w:sz w:val="19"/>
          <w:szCs w:val="19"/>
          <w:lang w:val="es-ES"/>
        </w:rPr>
        <w:t>»Parágrafo</w:t>
      </w:r>
      <w:r w:rsidR="00BF41FF" w:rsidRPr="00B85F4D">
        <w:rPr>
          <w:rFonts w:ascii="Arial" w:hAnsi="Arial" w:cs="Arial"/>
          <w:color w:val="000000" w:themeColor="text1"/>
          <w:sz w:val="19"/>
          <w:szCs w:val="19"/>
          <w:lang w:val="es-ES"/>
        </w:rPr>
        <w:t>. Los contratos que celebren los entes territoriales con las empresas de servicios públicos con el objeto de que estas últimas asuman la prestación de uno o de varios servicios públicos domiciliarios, o para que sustituyan en la prestación a otra que entre en causal de disolución o liquidación, se regirán para todos sus efectos por el Estatuto General de Contratación de la Administración Pública, en todo caso la selección siempre deberá realizarse previa licitación pública, de conformidad con la Ley 80 de 1993.</w:t>
      </w:r>
    </w:p>
    <w:p w14:paraId="183F06BF" w14:textId="7ECBE10A" w:rsidR="00FA7A52" w:rsidRPr="00B85F4D" w:rsidRDefault="00D03823" w:rsidP="00513437">
      <w:pPr>
        <w:pStyle w:val="Textonotapie"/>
        <w:ind w:firstLine="709"/>
        <w:jc w:val="both"/>
        <w:rPr>
          <w:rFonts w:ascii="Arial" w:hAnsi="Arial" w:cs="Arial"/>
          <w:color w:val="000000" w:themeColor="text1"/>
          <w:sz w:val="19"/>
          <w:szCs w:val="19"/>
          <w:lang w:val="es-CO"/>
        </w:rPr>
      </w:pPr>
      <w:r w:rsidRPr="00B85F4D">
        <w:rPr>
          <w:rFonts w:ascii="Arial" w:hAnsi="Arial" w:cs="Arial"/>
          <w:color w:val="000000" w:themeColor="text1"/>
          <w:sz w:val="19"/>
          <w:szCs w:val="19"/>
          <w:lang w:val="es-CO"/>
        </w:rPr>
        <w:t>»Artículo</w:t>
      </w:r>
      <w:r w:rsidR="00FA7A52" w:rsidRPr="00B85F4D">
        <w:rPr>
          <w:rFonts w:ascii="Arial" w:hAnsi="Arial" w:cs="Arial"/>
          <w:color w:val="000000" w:themeColor="text1"/>
          <w:sz w:val="19"/>
          <w:szCs w:val="19"/>
          <w:lang w:val="es-CO"/>
        </w:rPr>
        <w:t xml:space="preserve"> 32. </w:t>
      </w:r>
      <w:r w:rsidRPr="00B85F4D">
        <w:rPr>
          <w:rFonts w:ascii="Arial" w:hAnsi="Arial" w:cs="Arial"/>
          <w:color w:val="000000" w:themeColor="text1"/>
          <w:sz w:val="19"/>
          <w:szCs w:val="19"/>
          <w:lang w:val="es-CO"/>
        </w:rPr>
        <w:t>Régimen de derecho privado para los actos de las empresas</w:t>
      </w:r>
      <w:r w:rsidR="00FA7A52" w:rsidRPr="00B85F4D">
        <w:rPr>
          <w:rFonts w:ascii="Arial" w:hAnsi="Arial" w:cs="Arial"/>
          <w:color w:val="000000" w:themeColor="text1"/>
          <w:sz w:val="19"/>
          <w:szCs w:val="19"/>
          <w:lang w:val="es-CO"/>
        </w:rPr>
        <w:t>. Salvo en cuanto la Constitución Política o esta Ley dispongan expresamente lo contrario, la constitución, y los actos de todas las empresas de servicios públicos, así como los requeridos para la administración y el ejercicio de los derechos de todas las personas que sean socias de ellas, en lo no dispuesto en esta Ley, se regirán exclusivamente por las reglas del derecho privado.</w:t>
      </w:r>
    </w:p>
    <w:p w14:paraId="3A5A73B4" w14:textId="2F92A7C9" w:rsidR="00FA7A52" w:rsidRPr="00B85F4D" w:rsidRDefault="000C61FD" w:rsidP="00513437">
      <w:pPr>
        <w:pStyle w:val="Textonotapie"/>
        <w:ind w:firstLine="709"/>
        <w:jc w:val="both"/>
        <w:rPr>
          <w:rFonts w:ascii="Arial" w:hAnsi="Arial" w:cs="Arial"/>
          <w:color w:val="000000" w:themeColor="text1"/>
          <w:sz w:val="19"/>
          <w:szCs w:val="19"/>
          <w:lang w:val="es-CO"/>
        </w:rPr>
      </w:pPr>
      <w:r w:rsidRPr="00B85F4D">
        <w:rPr>
          <w:rFonts w:ascii="Arial" w:hAnsi="Arial" w:cs="Arial"/>
          <w:color w:val="000000" w:themeColor="text1"/>
          <w:sz w:val="19"/>
          <w:szCs w:val="19"/>
          <w:lang w:val="es-CO"/>
        </w:rPr>
        <w:t>»</w:t>
      </w:r>
      <w:r w:rsidR="00FA7A52" w:rsidRPr="00B85F4D">
        <w:rPr>
          <w:rFonts w:ascii="Arial" w:hAnsi="Arial" w:cs="Arial"/>
          <w:color w:val="000000" w:themeColor="text1"/>
          <w:sz w:val="19"/>
          <w:szCs w:val="19"/>
          <w:lang w:val="es-CO"/>
        </w:rPr>
        <w:t>La regla precedente se aplicará, inclusive, a las sociedades en las que las entidades públicas sean parte, sin atender al porcentaje que sus aportes representen dentro del capital social, ni a la naturaleza del acto o del derecho que se ejerce.</w:t>
      </w:r>
    </w:p>
    <w:p w14:paraId="5344C95B" w14:textId="0EE27073" w:rsidR="00FA7A52" w:rsidRPr="00B85F4D" w:rsidRDefault="000C61FD" w:rsidP="00513437">
      <w:pPr>
        <w:pStyle w:val="Textonotapie"/>
        <w:ind w:firstLine="709"/>
        <w:jc w:val="both"/>
        <w:rPr>
          <w:rFonts w:ascii="Arial" w:hAnsi="Arial" w:cs="Arial"/>
          <w:color w:val="000000" w:themeColor="text1"/>
          <w:sz w:val="19"/>
          <w:szCs w:val="19"/>
          <w:lang w:val="es-CO"/>
        </w:rPr>
      </w:pPr>
      <w:r w:rsidRPr="00B85F4D">
        <w:rPr>
          <w:rFonts w:ascii="Arial" w:hAnsi="Arial" w:cs="Arial"/>
          <w:color w:val="000000" w:themeColor="text1"/>
          <w:sz w:val="19"/>
          <w:szCs w:val="19"/>
          <w:lang w:val="es-CO"/>
        </w:rPr>
        <w:t>»</w:t>
      </w:r>
      <w:r w:rsidR="00D03823" w:rsidRPr="00B85F4D">
        <w:rPr>
          <w:rFonts w:ascii="Arial" w:hAnsi="Arial" w:cs="Arial"/>
          <w:color w:val="000000" w:themeColor="text1"/>
          <w:sz w:val="19"/>
          <w:szCs w:val="19"/>
          <w:lang w:val="es-CO"/>
        </w:rPr>
        <w:t>[…]</w:t>
      </w:r>
      <w:r w:rsidRPr="00B85F4D">
        <w:rPr>
          <w:rFonts w:ascii="Arial" w:hAnsi="Arial" w:cs="Arial"/>
          <w:color w:val="000000" w:themeColor="text1"/>
          <w:sz w:val="19"/>
          <w:szCs w:val="19"/>
          <w:lang w:val="es-CO"/>
        </w:rPr>
        <w:t>»</w:t>
      </w:r>
    </w:p>
  </w:footnote>
  <w:footnote w:id="8">
    <w:p w14:paraId="7E9ACD93" w14:textId="77777777" w:rsidR="00BB3CBE" w:rsidRPr="00B85F4D" w:rsidRDefault="00BB3CBE" w:rsidP="00513437">
      <w:pPr>
        <w:pStyle w:val="Textonotapie"/>
        <w:ind w:firstLine="709"/>
        <w:jc w:val="both"/>
        <w:rPr>
          <w:rFonts w:ascii="Arial" w:hAnsi="Arial" w:cs="Arial"/>
          <w:color w:val="000000" w:themeColor="text1"/>
          <w:sz w:val="19"/>
          <w:szCs w:val="19"/>
        </w:rPr>
      </w:pPr>
      <w:r w:rsidRPr="00B85F4D">
        <w:rPr>
          <w:rStyle w:val="Refdenotaalpie"/>
          <w:rFonts w:ascii="Arial" w:hAnsi="Arial" w:cs="Arial"/>
          <w:color w:val="000000" w:themeColor="text1"/>
          <w:sz w:val="19"/>
          <w:szCs w:val="19"/>
        </w:rPr>
        <w:footnoteRef/>
      </w:r>
      <w:r w:rsidRPr="00B85F4D">
        <w:rPr>
          <w:rFonts w:ascii="Arial" w:hAnsi="Arial" w:cs="Arial"/>
          <w:color w:val="000000" w:themeColor="text1"/>
          <w:sz w:val="19"/>
          <w:szCs w:val="19"/>
        </w:rPr>
        <w:t xml:space="preserve"> ». CONGRESO DE LA REPÚBLICA. Gaceta Nº 1677 del 23 de noviembre de 2021. Justificación jurídica del Proyecto de Ley No. 226 de 2021 Cámara. p. 15.</w:t>
      </w:r>
      <w:r w:rsidRPr="00B85F4D">
        <w:rPr>
          <w:rFonts w:ascii="Arial" w:hAnsi="Arial" w:cs="Arial"/>
          <w:color w:val="000000" w:themeColor="text1"/>
          <w:sz w:val="19"/>
          <w:szCs w:val="19"/>
        </w:rPr>
        <w:cr/>
      </w:r>
    </w:p>
  </w:footnote>
  <w:footnote w:id="9">
    <w:p w14:paraId="3AACF982" w14:textId="77777777" w:rsidR="00C13361" w:rsidRPr="00B85F4D" w:rsidRDefault="00C13361" w:rsidP="00513437">
      <w:pPr>
        <w:pStyle w:val="NormalWeb"/>
        <w:spacing w:before="0" w:beforeAutospacing="0" w:after="0" w:afterAutospacing="0"/>
        <w:ind w:firstLine="709"/>
        <w:jc w:val="both"/>
        <w:rPr>
          <w:rFonts w:ascii="Arial" w:hAnsi="Arial" w:cs="Arial"/>
          <w:color w:val="000000" w:themeColor="text1"/>
          <w:sz w:val="19"/>
          <w:szCs w:val="19"/>
        </w:rPr>
      </w:pPr>
      <w:r w:rsidRPr="00B85F4D">
        <w:rPr>
          <w:rStyle w:val="Refdenotaalpie"/>
          <w:rFonts w:ascii="Arial" w:hAnsi="Arial" w:cs="Arial"/>
          <w:color w:val="000000" w:themeColor="text1"/>
          <w:sz w:val="19"/>
          <w:szCs w:val="19"/>
        </w:rPr>
        <w:footnoteRef/>
      </w:r>
      <w:r w:rsidRPr="00B85F4D">
        <w:rPr>
          <w:rFonts w:ascii="Arial" w:hAnsi="Arial" w:cs="Arial"/>
          <w:color w:val="000000" w:themeColor="text1"/>
          <w:sz w:val="19"/>
          <w:szCs w:val="19"/>
        </w:rPr>
        <w:t xml:space="preserve"> «</w:t>
      </w:r>
      <w:r w:rsidRPr="00B85F4D">
        <w:rPr>
          <w:rStyle w:val="Textoennegrita"/>
          <w:rFonts w:ascii="Arial" w:hAnsi="Arial" w:cs="Arial"/>
          <w:b w:val="0"/>
          <w:bCs w:val="0"/>
          <w:color w:val="000000" w:themeColor="text1"/>
          <w:sz w:val="19"/>
          <w:szCs w:val="19"/>
        </w:rPr>
        <w:t>Artículo 2°.</w:t>
      </w:r>
      <w:r w:rsidRPr="00B85F4D">
        <w:rPr>
          <w:rStyle w:val="nfasis"/>
          <w:rFonts w:ascii="Arial" w:hAnsi="Arial" w:cs="Arial"/>
          <w:i w:val="0"/>
          <w:iCs w:val="0"/>
          <w:color w:val="000000" w:themeColor="text1"/>
          <w:sz w:val="19"/>
          <w:szCs w:val="19"/>
        </w:rPr>
        <w:t>De las modalidades de selección</w:t>
      </w:r>
      <w:r w:rsidRPr="00B85F4D">
        <w:rPr>
          <w:rStyle w:val="nfasis"/>
          <w:rFonts w:ascii="Arial" w:hAnsi="Arial" w:cs="Arial"/>
          <w:b/>
          <w:bCs/>
          <w:color w:val="000000" w:themeColor="text1"/>
          <w:sz w:val="19"/>
          <w:szCs w:val="19"/>
        </w:rPr>
        <w:t>. </w:t>
      </w:r>
      <w:r w:rsidRPr="00B85F4D">
        <w:rPr>
          <w:rFonts w:ascii="Arial" w:hAnsi="Arial" w:cs="Arial"/>
          <w:color w:val="000000" w:themeColor="text1"/>
          <w:sz w:val="19"/>
          <w:szCs w:val="19"/>
        </w:rPr>
        <w:t xml:space="preserve">La escogencia del contratista se efectuará con arreglo a las modalidades de selección de licitación pública, selección abreviada, concurso de méritos y contratación directa, con base en las siguientes reglas:  </w:t>
      </w:r>
    </w:p>
    <w:p w14:paraId="18ECBED4" w14:textId="77777777" w:rsidR="00C13361" w:rsidRPr="00B85F4D" w:rsidRDefault="00C13361" w:rsidP="00513437">
      <w:pPr>
        <w:pStyle w:val="NormalWeb"/>
        <w:spacing w:before="0" w:beforeAutospacing="0" w:after="0" w:afterAutospacing="0"/>
        <w:ind w:firstLine="709"/>
        <w:jc w:val="both"/>
        <w:rPr>
          <w:rFonts w:ascii="Arial" w:hAnsi="Arial" w:cs="Arial"/>
          <w:color w:val="000000" w:themeColor="text1"/>
          <w:sz w:val="19"/>
          <w:szCs w:val="19"/>
        </w:rPr>
      </w:pPr>
      <w:r w:rsidRPr="00B85F4D">
        <w:rPr>
          <w:rFonts w:ascii="Arial" w:hAnsi="Arial" w:cs="Arial"/>
          <w:color w:val="000000" w:themeColor="text1"/>
          <w:sz w:val="19"/>
          <w:szCs w:val="19"/>
        </w:rPr>
        <w:t>[…]</w:t>
      </w:r>
    </w:p>
    <w:p w14:paraId="4D61933F" w14:textId="77777777" w:rsidR="00C13361" w:rsidRPr="00B85F4D" w:rsidRDefault="00C13361" w:rsidP="00513437">
      <w:pPr>
        <w:pStyle w:val="NormalWeb"/>
        <w:spacing w:before="0" w:beforeAutospacing="0" w:after="0" w:afterAutospacing="0"/>
        <w:ind w:firstLine="709"/>
        <w:jc w:val="both"/>
        <w:rPr>
          <w:rFonts w:ascii="Arial" w:hAnsi="Arial" w:cs="Arial"/>
          <w:color w:val="000000" w:themeColor="text1"/>
          <w:sz w:val="19"/>
          <w:szCs w:val="19"/>
        </w:rPr>
      </w:pPr>
      <w:r w:rsidRPr="00B85F4D">
        <w:rPr>
          <w:rFonts w:ascii="Arial" w:hAnsi="Arial" w:cs="Arial"/>
          <w:color w:val="000000" w:themeColor="text1"/>
          <w:sz w:val="19"/>
          <w:szCs w:val="19"/>
        </w:rPr>
        <w:t>»4. Contratación directa</w:t>
      </w:r>
      <w:r w:rsidRPr="00B85F4D">
        <w:rPr>
          <w:rFonts w:ascii="Arial" w:hAnsi="Arial" w:cs="Arial"/>
          <w:b/>
          <w:bCs/>
          <w:color w:val="000000" w:themeColor="text1"/>
          <w:sz w:val="19"/>
          <w:szCs w:val="19"/>
        </w:rPr>
        <w:t>. </w:t>
      </w:r>
      <w:r w:rsidRPr="00B85F4D">
        <w:rPr>
          <w:rFonts w:ascii="Arial" w:hAnsi="Arial" w:cs="Arial"/>
          <w:color w:val="000000" w:themeColor="text1"/>
          <w:sz w:val="19"/>
          <w:szCs w:val="19"/>
        </w:rPr>
        <w:t>La modalidad de selección de contratación directa, solamente procederá en los siguientes casos: </w:t>
      </w:r>
    </w:p>
    <w:p w14:paraId="335AB5A0" w14:textId="77777777" w:rsidR="00C13361" w:rsidRPr="00B85F4D" w:rsidRDefault="00C13361" w:rsidP="00513437">
      <w:pPr>
        <w:ind w:firstLine="709"/>
        <w:jc w:val="both"/>
        <w:rPr>
          <w:rFonts w:ascii="Arial" w:hAnsi="Arial" w:cs="Arial"/>
          <w:color w:val="000000" w:themeColor="text1"/>
          <w:sz w:val="19"/>
          <w:szCs w:val="19"/>
          <w:lang w:eastAsia="es-CO"/>
        </w:rPr>
      </w:pPr>
      <w:r w:rsidRPr="00B85F4D">
        <w:rPr>
          <w:rFonts w:ascii="Arial" w:hAnsi="Arial" w:cs="Arial"/>
          <w:color w:val="000000" w:themeColor="text1"/>
          <w:sz w:val="19"/>
          <w:szCs w:val="19"/>
          <w:lang w:eastAsia="es-CO"/>
        </w:rPr>
        <w:t>  […]  </w:t>
      </w:r>
    </w:p>
    <w:p w14:paraId="39F67785" w14:textId="77777777" w:rsidR="00C13361" w:rsidRPr="00B85F4D" w:rsidRDefault="00C13361" w:rsidP="00513437">
      <w:pPr>
        <w:ind w:firstLine="709"/>
        <w:jc w:val="both"/>
        <w:rPr>
          <w:rFonts w:ascii="Arial" w:hAnsi="Arial" w:cs="Arial"/>
          <w:color w:val="000000" w:themeColor="text1"/>
          <w:sz w:val="19"/>
          <w:szCs w:val="19"/>
          <w:lang w:eastAsia="es-CO"/>
        </w:rPr>
      </w:pPr>
      <w:r w:rsidRPr="00B85F4D">
        <w:rPr>
          <w:rFonts w:ascii="Arial" w:hAnsi="Arial" w:cs="Arial"/>
          <w:color w:val="000000" w:themeColor="text1"/>
          <w:sz w:val="19"/>
          <w:szCs w:val="19"/>
          <w:lang w:eastAsia="es-CO"/>
        </w:rPr>
        <w:t>»c) Contratos interadministrativos, siempre que las obligaciones derivadas del mismo tengan relación directa con el objeto de la entidad ejecutora señalado en la ley o en sus reglamentos.  </w:t>
      </w:r>
    </w:p>
    <w:p w14:paraId="3F53EC3A" w14:textId="77777777" w:rsidR="00C13361" w:rsidRPr="00B85F4D" w:rsidRDefault="00C13361" w:rsidP="00513437">
      <w:pPr>
        <w:ind w:firstLine="709"/>
        <w:jc w:val="both"/>
        <w:rPr>
          <w:rFonts w:ascii="Arial" w:hAnsi="Arial" w:cs="Arial"/>
          <w:color w:val="000000" w:themeColor="text1"/>
          <w:sz w:val="19"/>
          <w:szCs w:val="19"/>
          <w:lang w:eastAsia="es-CO"/>
        </w:rPr>
      </w:pPr>
      <w:r w:rsidRPr="00B85F4D">
        <w:rPr>
          <w:rFonts w:ascii="Arial" w:hAnsi="Arial" w:cs="Arial"/>
          <w:color w:val="000000" w:themeColor="text1"/>
          <w:sz w:val="19"/>
          <w:szCs w:val="19"/>
          <w:lang w:eastAsia="es-CO"/>
        </w:rPr>
        <w:t>  </w:t>
      </w:r>
      <w:r w:rsidRPr="00B85F4D">
        <w:rPr>
          <w:rFonts w:ascii="Arial" w:hAnsi="Arial" w:cs="Arial"/>
          <w:color w:val="000000" w:themeColor="text1"/>
          <w:sz w:val="19"/>
          <w:szCs w:val="19"/>
          <w:lang w:eastAsia="es-CO"/>
        </w:rPr>
        <w:tab/>
        <w:t>»Se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  </w:t>
      </w:r>
    </w:p>
    <w:p w14:paraId="119A4EC8" w14:textId="77777777" w:rsidR="00C13361" w:rsidRPr="00B85F4D" w:rsidRDefault="00C13361" w:rsidP="00513437">
      <w:pPr>
        <w:ind w:firstLine="709"/>
        <w:jc w:val="both"/>
        <w:rPr>
          <w:rFonts w:ascii="Arial" w:hAnsi="Arial" w:cs="Arial"/>
          <w:color w:val="000000" w:themeColor="text1"/>
          <w:sz w:val="19"/>
          <w:szCs w:val="19"/>
          <w:lang w:eastAsia="es-CO"/>
        </w:rPr>
      </w:pPr>
      <w:r w:rsidRPr="00B85F4D">
        <w:rPr>
          <w:rFonts w:ascii="Arial" w:hAnsi="Arial" w:cs="Arial"/>
          <w:color w:val="000000" w:themeColor="text1"/>
          <w:sz w:val="19"/>
          <w:szCs w:val="19"/>
          <w:lang w:eastAsia="es-CO"/>
        </w:rPr>
        <w:t>  </w:t>
      </w:r>
      <w:r w:rsidRPr="00B85F4D">
        <w:rPr>
          <w:rFonts w:ascii="Arial" w:hAnsi="Arial" w:cs="Arial"/>
          <w:color w:val="000000" w:themeColor="text1"/>
          <w:sz w:val="19"/>
          <w:szCs w:val="19"/>
          <w:lang w:eastAsia="es-CO"/>
        </w:rPr>
        <w:tab/>
        <w:t>»En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p w14:paraId="67CCFCBC" w14:textId="77777777" w:rsidR="00C13361" w:rsidRPr="00B85F4D" w:rsidRDefault="00C13361" w:rsidP="00513437">
      <w:pPr>
        <w:ind w:firstLine="709"/>
        <w:jc w:val="both"/>
        <w:rPr>
          <w:rFonts w:ascii="Arial" w:hAnsi="Arial" w:cs="Arial"/>
          <w:color w:val="000000" w:themeColor="text1"/>
          <w:sz w:val="19"/>
          <w:szCs w:val="19"/>
          <w:lang w:eastAsia="es-CO"/>
        </w:rPr>
      </w:pPr>
      <w:r w:rsidRPr="00B85F4D">
        <w:rPr>
          <w:rFonts w:ascii="Arial" w:hAnsi="Arial" w:cs="Arial"/>
          <w:color w:val="000000" w:themeColor="text1"/>
          <w:sz w:val="19"/>
          <w:szCs w:val="19"/>
          <w:lang w:eastAsia="es-CO"/>
        </w:rPr>
        <w:t>  </w:t>
      </w:r>
      <w:r w:rsidRPr="00B85F4D">
        <w:rPr>
          <w:rFonts w:ascii="Arial" w:hAnsi="Arial" w:cs="Arial"/>
          <w:color w:val="000000" w:themeColor="text1"/>
          <w:sz w:val="19"/>
          <w:szCs w:val="19"/>
          <w:lang w:eastAsia="es-CO"/>
        </w:rPr>
        <w:tab/>
        <w:t>»En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 </w:t>
      </w:r>
    </w:p>
    <w:p w14:paraId="3E08AD56" w14:textId="77777777" w:rsidR="00C13361" w:rsidRPr="00B85F4D" w:rsidRDefault="00C13361" w:rsidP="00513437">
      <w:pPr>
        <w:ind w:firstLine="709"/>
        <w:jc w:val="both"/>
        <w:rPr>
          <w:rFonts w:ascii="Arial" w:hAnsi="Arial" w:cs="Arial"/>
          <w:color w:val="000000" w:themeColor="text1"/>
          <w:sz w:val="19"/>
          <w:szCs w:val="19"/>
        </w:rPr>
      </w:pPr>
      <w:r w:rsidRPr="00B85F4D">
        <w:rPr>
          <w:rFonts w:ascii="Arial" w:hAnsi="Arial" w:cs="Arial"/>
          <w:color w:val="000000" w:themeColor="text1"/>
          <w:sz w:val="19"/>
          <w:szCs w:val="19"/>
          <w:lang w:eastAsia="es-CO"/>
        </w:rPr>
        <w:t>  </w:t>
      </w:r>
      <w:r w:rsidRPr="00B85F4D">
        <w:rPr>
          <w:rFonts w:ascii="Arial" w:hAnsi="Arial" w:cs="Arial"/>
          <w:color w:val="000000" w:themeColor="text1"/>
          <w:sz w:val="19"/>
          <w:szCs w:val="19"/>
          <w:lang w:eastAsia="es-CO"/>
        </w:rPr>
        <w:tab/>
        <w:t>»Estarán exceptuados de la figura del contrato interadministrativo, los contratos de seguro de las entidades estatales[…]». </w:t>
      </w:r>
      <w:r w:rsidRPr="00B85F4D">
        <w:rPr>
          <w:rFonts w:ascii="Arial" w:hAnsi="Arial" w:cs="Arial"/>
          <w:color w:val="000000" w:themeColor="text1"/>
          <w:sz w:val="19"/>
          <w:szCs w:val="19"/>
        </w:rPr>
        <w:t xml:space="preserve"> </w:t>
      </w:r>
    </w:p>
  </w:footnote>
  <w:footnote w:id="10">
    <w:p w14:paraId="6DEE8B70" w14:textId="77777777" w:rsidR="00C13361" w:rsidRPr="00B85F4D" w:rsidRDefault="00C13361" w:rsidP="00513437">
      <w:pPr>
        <w:pStyle w:val="Textonotapie"/>
        <w:ind w:firstLine="709"/>
        <w:jc w:val="both"/>
        <w:rPr>
          <w:rFonts w:ascii="Arial" w:hAnsi="Arial" w:cs="Arial"/>
          <w:color w:val="000000" w:themeColor="text1"/>
          <w:sz w:val="19"/>
          <w:szCs w:val="19"/>
          <w:lang w:val="es-CO"/>
        </w:rPr>
      </w:pPr>
      <w:r w:rsidRPr="00B85F4D">
        <w:rPr>
          <w:rStyle w:val="Refdenotaalpie"/>
          <w:rFonts w:ascii="Arial" w:hAnsi="Arial" w:cs="Arial"/>
          <w:color w:val="000000" w:themeColor="text1"/>
          <w:sz w:val="19"/>
          <w:szCs w:val="19"/>
        </w:rPr>
        <w:footnoteRef/>
      </w:r>
      <w:r w:rsidRPr="00B85F4D">
        <w:rPr>
          <w:rFonts w:ascii="Arial" w:hAnsi="Arial" w:cs="Arial"/>
          <w:color w:val="000000" w:themeColor="text1"/>
          <w:sz w:val="19"/>
          <w:szCs w:val="19"/>
        </w:rPr>
        <w:t xml:space="preserve"> Este es uno de los casos típicos de antinomias que ha identificado la doctrina, que al respecto ha señalado: «Segundo caso: antinomias entre normas provenientes de dos fuentes distintas, pero del mismo tipo (por ejemplo, dos leyes estatales ordinarias) Ahora bien, dos fuentes del mismo tipo por lo general habrán sido promulgadas o emanadas en momentos distintos. En estos casos, la antinomia se resuelve dando la preferencia a la norma más reciente en el tiempo. La norma sucesiva debe ser aplicada, la anterior debe considerarse abrogada, ya no en vigencia […] Este modo de razonar constituye aplicación del principio cronológico: la norma sucesiva abroga la precedente («</w:t>
      </w:r>
      <w:r w:rsidRPr="00B85F4D">
        <w:rPr>
          <w:rFonts w:ascii="Arial" w:hAnsi="Arial" w:cs="Arial"/>
          <w:i/>
          <w:iCs/>
          <w:color w:val="000000" w:themeColor="text1"/>
          <w:sz w:val="19"/>
          <w:szCs w:val="19"/>
        </w:rPr>
        <w:t>lex posterior derogat legi priori</w:t>
      </w:r>
      <w:r w:rsidRPr="00B85F4D">
        <w:rPr>
          <w:rFonts w:ascii="Arial" w:hAnsi="Arial" w:cs="Arial"/>
          <w:color w:val="000000" w:themeColor="text1"/>
          <w:sz w:val="19"/>
          <w:szCs w:val="19"/>
        </w:rPr>
        <w:t xml:space="preserve">»)». GUASTINI, Ricardo. La interpretación de los documentos normativos. Trad. Cesar E. Moreno Primera Edición, Centro Iberoamericano de Investigaciones Jurídicas y Sociales: Derecho Global Editores, México, 2018. pp. 423 </w:t>
      </w:r>
    </w:p>
  </w:footnote>
  <w:footnote w:id="11">
    <w:p w14:paraId="66AB489A" w14:textId="31681755" w:rsidR="005F2608" w:rsidRPr="00B85F4D" w:rsidRDefault="005F2608" w:rsidP="00513437">
      <w:pPr>
        <w:pStyle w:val="Textonotapie"/>
        <w:ind w:firstLine="709"/>
        <w:jc w:val="both"/>
        <w:rPr>
          <w:rFonts w:ascii="Arial" w:hAnsi="Arial" w:cs="Arial"/>
          <w:color w:val="000000" w:themeColor="text1"/>
          <w:sz w:val="19"/>
          <w:szCs w:val="19"/>
          <w:lang w:val="es-ES"/>
        </w:rPr>
      </w:pPr>
      <w:r w:rsidRPr="00B85F4D">
        <w:rPr>
          <w:rStyle w:val="Refdenotaalpie"/>
          <w:rFonts w:ascii="Arial" w:hAnsi="Arial" w:cs="Arial"/>
          <w:color w:val="000000" w:themeColor="text1"/>
          <w:sz w:val="19"/>
          <w:szCs w:val="19"/>
        </w:rPr>
        <w:footnoteRef/>
      </w:r>
      <w:r w:rsidRPr="00B85F4D">
        <w:rPr>
          <w:rFonts w:ascii="Arial" w:hAnsi="Arial" w:cs="Arial"/>
          <w:color w:val="000000" w:themeColor="text1"/>
          <w:sz w:val="19"/>
          <w:szCs w:val="19"/>
        </w:rPr>
        <w:t xml:space="preserve"> </w:t>
      </w:r>
      <w:r w:rsidR="00F433E6" w:rsidRPr="00B85F4D">
        <w:rPr>
          <w:rFonts w:ascii="Arial" w:hAnsi="Arial" w:cs="Arial"/>
          <w:color w:val="000000" w:themeColor="text1"/>
          <w:sz w:val="19"/>
          <w:szCs w:val="19"/>
          <w:lang w:val="es-ES"/>
        </w:rPr>
        <w:t>Magistrado Ponente: Marco Gerardo Monroy Cabra.</w:t>
      </w:r>
    </w:p>
    <w:p w14:paraId="0153E4FC" w14:textId="77777777" w:rsidR="00F433E6" w:rsidRPr="00B85F4D" w:rsidRDefault="00F433E6" w:rsidP="00513437">
      <w:pPr>
        <w:pStyle w:val="Textonotapie"/>
        <w:ind w:firstLine="709"/>
        <w:jc w:val="both"/>
        <w:rPr>
          <w:rFonts w:ascii="Arial" w:hAnsi="Arial" w:cs="Arial"/>
          <w:color w:val="000000" w:themeColor="text1"/>
          <w:sz w:val="19"/>
          <w:szCs w:val="19"/>
          <w:lang w:val="es-ES"/>
        </w:rPr>
      </w:pPr>
    </w:p>
  </w:footnote>
  <w:footnote w:id="12">
    <w:p w14:paraId="31193C4B" w14:textId="643B4DC5" w:rsidR="008478D9" w:rsidRPr="00B85F4D" w:rsidRDefault="00BE6841" w:rsidP="00513437">
      <w:pPr>
        <w:pStyle w:val="Textonotapie"/>
        <w:ind w:firstLine="709"/>
        <w:jc w:val="both"/>
        <w:rPr>
          <w:rFonts w:ascii="Arial" w:hAnsi="Arial" w:cs="Arial"/>
          <w:color w:val="000000" w:themeColor="text1"/>
          <w:sz w:val="19"/>
          <w:szCs w:val="19"/>
        </w:rPr>
      </w:pPr>
      <w:r w:rsidRPr="00B85F4D">
        <w:rPr>
          <w:rStyle w:val="Refdenotaalpie"/>
          <w:rFonts w:ascii="Arial" w:hAnsi="Arial" w:cs="Arial"/>
          <w:color w:val="000000" w:themeColor="text1"/>
          <w:sz w:val="19"/>
          <w:szCs w:val="19"/>
        </w:rPr>
        <w:footnoteRef/>
      </w:r>
      <w:r w:rsidRPr="00B85F4D">
        <w:rPr>
          <w:rFonts w:ascii="Arial" w:hAnsi="Arial" w:cs="Arial"/>
          <w:color w:val="000000" w:themeColor="text1"/>
          <w:sz w:val="19"/>
          <w:szCs w:val="19"/>
        </w:rPr>
        <w:t xml:space="preserve"> </w:t>
      </w:r>
      <w:r w:rsidR="008478D9" w:rsidRPr="00B85F4D">
        <w:rPr>
          <w:rFonts w:ascii="Arial" w:hAnsi="Arial" w:cs="Arial"/>
          <w:color w:val="000000" w:themeColor="text1"/>
          <w:sz w:val="19"/>
          <w:szCs w:val="19"/>
        </w:rPr>
        <w:t xml:space="preserve">En lo pertinente, dicho artículo señala: </w:t>
      </w:r>
    </w:p>
    <w:p w14:paraId="4DB5D1A7" w14:textId="7F851F93" w:rsidR="008478D9" w:rsidRPr="00B85F4D" w:rsidRDefault="008478D9" w:rsidP="00513437">
      <w:pPr>
        <w:pStyle w:val="Textonotapie"/>
        <w:ind w:firstLine="709"/>
        <w:jc w:val="both"/>
        <w:rPr>
          <w:rFonts w:ascii="Arial" w:hAnsi="Arial" w:cs="Arial"/>
          <w:color w:val="000000" w:themeColor="text1"/>
          <w:sz w:val="19"/>
          <w:szCs w:val="19"/>
          <w:lang w:val="es-ES"/>
        </w:rPr>
      </w:pPr>
      <w:r w:rsidRPr="00B85F4D">
        <w:rPr>
          <w:rFonts w:ascii="Arial" w:hAnsi="Arial" w:cs="Arial"/>
          <w:color w:val="000000" w:themeColor="text1"/>
          <w:sz w:val="19"/>
          <w:szCs w:val="19"/>
          <w:lang w:val="es-ES"/>
        </w:rPr>
        <w:t>«[…]</w:t>
      </w:r>
    </w:p>
    <w:p w14:paraId="7DD1ABDA" w14:textId="5338C856" w:rsidR="008478D9" w:rsidRPr="00B85F4D" w:rsidRDefault="008478D9" w:rsidP="00513437">
      <w:pPr>
        <w:pStyle w:val="Textonotapie"/>
        <w:ind w:firstLine="709"/>
        <w:jc w:val="both"/>
        <w:rPr>
          <w:rFonts w:ascii="Arial" w:hAnsi="Arial" w:cs="Arial"/>
          <w:color w:val="000000" w:themeColor="text1"/>
          <w:sz w:val="19"/>
          <w:szCs w:val="19"/>
          <w:lang w:val="es-ES"/>
        </w:rPr>
      </w:pPr>
      <w:r w:rsidRPr="00B85F4D">
        <w:rPr>
          <w:rFonts w:ascii="Arial" w:hAnsi="Arial" w:cs="Arial"/>
          <w:color w:val="000000" w:themeColor="text1"/>
          <w:sz w:val="19"/>
          <w:szCs w:val="19"/>
          <w:lang w:val="es-ES"/>
        </w:rPr>
        <w:t>»14.5. EMPRESA DE SERVICIOS PÚBLICOS OFICIAL. Es aquella en cuyo capital la Nación, las entidades territoriales, o las entidades descentralizadas de aquella o estas tienen el 100% de los aportes.</w:t>
      </w:r>
    </w:p>
    <w:p w14:paraId="6FBAB2DE" w14:textId="77777777" w:rsidR="008478D9" w:rsidRPr="00B85F4D" w:rsidRDefault="008478D9" w:rsidP="00513437">
      <w:pPr>
        <w:pStyle w:val="Textonotapie"/>
        <w:ind w:firstLine="709"/>
        <w:jc w:val="both"/>
        <w:rPr>
          <w:rFonts w:ascii="Arial" w:hAnsi="Arial" w:cs="Arial"/>
          <w:color w:val="000000" w:themeColor="text1"/>
          <w:sz w:val="19"/>
          <w:szCs w:val="19"/>
          <w:lang w:val="es-ES"/>
        </w:rPr>
      </w:pPr>
      <w:r w:rsidRPr="00B85F4D">
        <w:rPr>
          <w:rFonts w:ascii="Arial" w:hAnsi="Arial" w:cs="Arial"/>
          <w:color w:val="000000" w:themeColor="text1"/>
          <w:sz w:val="19"/>
          <w:szCs w:val="19"/>
          <w:lang w:val="es-ES"/>
        </w:rPr>
        <w:t>14.6. EMPRESA DE SERVICIOS PÚBLICOS MIXTA. Es aquella en cuyo capital la Nación, las entidades territoriales, o las entidades descentralizadas de aquella o éstas tienen aportes iguales o superiores al 50%.</w:t>
      </w:r>
    </w:p>
    <w:p w14:paraId="4356F63A" w14:textId="30592E5C" w:rsidR="00BE6841" w:rsidRPr="00B85F4D" w:rsidRDefault="008478D9" w:rsidP="00513437">
      <w:pPr>
        <w:pStyle w:val="Textonotapie"/>
        <w:ind w:firstLine="709"/>
        <w:jc w:val="both"/>
        <w:rPr>
          <w:rFonts w:ascii="Arial" w:hAnsi="Arial" w:cs="Arial"/>
          <w:color w:val="000000" w:themeColor="text1"/>
          <w:sz w:val="19"/>
          <w:szCs w:val="19"/>
          <w:lang w:val="es-ES"/>
        </w:rPr>
      </w:pPr>
      <w:r w:rsidRPr="00B85F4D">
        <w:rPr>
          <w:rFonts w:ascii="Arial" w:hAnsi="Arial" w:cs="Arial"/>
          <w:color w:val="000000" w:themeColor="text1"/>
          <w:sz w:val="19"/>
          <w:szCs w:val="19"/>
          <w:lang w:val="es-ES"/>
        </w:rPr>
        <w:t>14.7. EMPRESA DE SERVICIOS PÚBLICOS PRIVADA. Es aquella cuyo capital pertenece mayoritariamente a particulares, o a entidades surgidas de convenios internacionales que deseen someterse íntegramente para estos efectos a las reglas a las que se someten los particulares».</w:t>
      </w:r>
    </w:p>
  </w:footnote>
  <w:footnote w:id="13">
    <w:p w14:paraId="6F20CBC0" w14:textId="357B7A7E" w:rsidR="00683A61" w:rsidRPr="00B85F4D" w:rsidRDefault="00683A61" w:rsidP="00513437">
      <w:pPr>
        <w:pStyle w:val="Textonotapie"/>
        <w:ind w:firstLine="709"/>
        <w:jc w:val="both"/>
        <w:rPr>
          <w:rFonts w:ascii="Arial" w:hAnsi="Arial" w:cs="Arial"/>
          <w:color w:val="000000" w:themeColor="text1"/>
          <w:sz w:val="19"/>
          <w:szCs w:val="19"/>
          <w:lang w:val="es-ES"/>
        </w:rPr>
      </w:pPr>
      <w:r w:rsidRPr="00B85F4D">
        <w:rPr>
          <w:rStyle w:val="Refdenotaalpie"/>
          <w:rFonts w:ascii="Arial" w:hAnsi="Arial" w:cs="Arial"/>
          <w:color w:val="000000" w:themeColor="text1"/>
          <w:sz w:val="19"/>
          <w:szCs w:val="19"/>
        </w:rPr>
        <w:footnoteRef/>
      </w:r>
      <w:r w:rsidRPr="00B85F4D">
        <w:rPr>
          <w:rFonts w:ascii="Arial" w:hAnsi="Arial" w:cs="Arial"/>
          <w:color w:val="000000" w:themeColor="text1"/>
          <w:sz w:val="19"/>
          <w:szCs w:val="19"/>
        </w:rPr>
        <w:t xml:space="preserve"> Sentencia C-736 de 2007.</w:t>
      </w:r>
    </w:p>
  </w:footnote>
  <w:footnote w:id="14">
    <w:p w14:paraId="0CC61D08" w14:textId="1469EB5E" w:rsidR="001B2C57" w:rsidRPr="00B85F4D" w:rsidRDefault="001B2C57" w:rsidP="00513437">
      <w:pPr>
        <w:pStyle w:val="Textonotapie"/>
        <w:ind w:firstLine="709"/>
        <w:jc w:val="both"/>
        <w:rPr>
          <w:rFonts w:ascii="Arial" w:hAnsi="Arial" w:cs="Arial"/>
          <w:color w:val="000000" w:themeColor="text1"/>
          <w:sz w:val="19"/>
          <w:szCs w:val="19"/>
        </w:rPr>
      </w:pPr>
      <w:r w:rsidRPr="00B85F4D">
        <w:rPr>
          <w:rStyle w:val="Refdenotaalpie"/>
          <w:rFonts w:ascii="Arial" w:hAnsi="Arial" w:cs="Arial"/>
          <w:color w:val="000000" w:themeColor="text1"/>
          <w:sz w:val="19"/>
          <w:szCs w:val="19"/>
        </w:rPr>
        <w:footnoteRef/>
      </w:r>
      <w:r w:rsidRPr="00B85F4D">
        <w:rPr>
          <w:rFonts w:ascii="Arial" w:hAnsi="Arial" w:cs="Arial"/>
          <w:color w:val="000000" w:themeColor="text1"/>
          <w:sz w:val="19"/>
          <w:szCs w:val="19"/>
        </w:rPr>
        <w:t xml:space="preserve"> </w:t>
      </w:r>
      <w:r w:rsidR="00FA7D92" w:rsidRPr="00B85F4D">
        <w:rPr>
          <w:rFonts w:ascii="Arial" w:hAnsi="Arial" w:cs="Arial"/>
          <w:color w:val="000000" w:themeColor="text1"/>
          <w:sz w:val="19"/>
          <w:szCs w:val="19"/>
        </w:rPr>
        <w:t xml:space="preserve">Consejo de Estado. Seccion Cuarta. Sentencia del 1 de 2012. Consejero ponente: </w:t>
      </w:r>
      <w:r w:rsidR="00D7708E" w:rsidRPr="00B85F4D">
        <w:rPr>
          <w:rFonts w:ascii="Arial" w:hAnsi="Arial" w:cs="Arial"/>
          <w:color w:val="000000" w:themeColor="text1"/>
          <w:sz w:val="19"/>
          <w:szCs w:val="19"/>
        </w:rPr>
        <w:t>William Giraldo Giraldo</w:t>
      </w:r>
      <w:r w:rsidR="00FA7D92" w:rsidRPr="00B85F4D">
        <w:rPr>
          <w:rFonts w:ascii="Arial" w:hAnsi="Arial" w:cs="Arial"/>
          <w:color w:val="000000" w:themeColor="text1"/>
          <w:sz w:val="19"/>
          <w:szCs w:val="19"/>
        </w:rPr>
        <w:t xml:space="preserve">. Expediente 17907. </w:t>
      </w:r>
    </w:p>
    <w:p w14:paraId="3E772507" w14:textId="77777777" w:rsidR="0014163E" w:rsidRPr="00B85F4D" w:rsidRDefault="0014163E" w:rsidP="00513437">
      <w:pPr>
        <w:pStyle w:val="Textonotapie"/>
        <w:ind w:firstLine="709"/>
        <w:jc w:val="both"/>
        <w:rPr>
          <w:rFonts w:ascii="Arial" w:hAnsi="Arial" w:cs="Arial"/>
          <w:color w:val="000000" w:themeColor="text1"/>
          <w:sz w:val="19"/>
          <w:szCs w:val="19"/>
        </w:rPr>
      </w:pPr>
    </w:p>
  </w:footnote>
  <w:footnote w:id="15">
    <w:p w14:paraId="7A35D064" w14:textId="26D3DA57" w:rsidR="002D57B2" w:rsidRPr="00B85F4D" w:rsidRDefault="002D57B2" w:rsidP="00513437">
      <w:pPr>
        <w:pStyle w:val="Textonotapie"/>
        <w:ind w:firstLine="709"/>
        <w:jc w:val="both"/>
        <w:rPr>
          <w:rFonts w:ascii="Arial" w:hAnsi="Arial" w:cs="Arial"/>
          <w:color w:val="000000" w:themeColor="text1"/>
          <w:sz w:val="19"/>
          <w:szCs w:val="19"/>
          <w:lang w:val="es-ES"/>
        </w:rPr>
      </w:pPr>
      <w:r w:rsidRPr="00B85F4D">
        <w:rPr>
          <w:rStyle w:val="Refdenotaalpie"/>
          <w:rFonts w:ascii="Arial" w:hAnsi="Arial" w:cs="Arial"/>
          <w:color w:val="000000" w:themeColor="text1"/>
          <w:sz w:val="19"/>
          <w:szCs w:val="19"/>
        </w:rPr>
        <w:footnoteRef/>
      </w:r>
      <w:r w:rsidRPr="00B85F4D">
        <w:rPr>
          <w:rFonts w:ascii="Arial" w:hAnsi="Arial" w:cs="Arial"/>
          <w:color w:val="000000" w:themeColor="text1"/>
          <w:sz w:val="19"/>
          <w:szCs w:val="19"/>
        </w:rPr>
        <w:t xml:space="preserve"> </w:t>
      </w:r>
      <w:r w:rsidR="00513437" w:rsidRPr="00B85F4D">
        <w:rPr>
          <w:rFonts w:ascii="Arial" w:hAnsi="Arial" w:cs="Arial"/>
          <w:color w:val="000000" w:themeColor="text1"/>
          <w:sz w:val="19"/>
          <w:szCs w:val="19"/>
        </w:rPr>
        <w:t xml:space="preserve">Superitendencia de Servicios Públicos Domiciliarios. </w:t>
      </w:r>
      <w:r w:rsidR="00513437" w:rsidRPr="00B85F4D">
        <w:rPr>
          <w:rFonts w:ascii="Arial" w:hAnsi="Arial" w:cs="Arial"/>
          <w:color w:val="000000" w:themeColor="text1"/>
          <w:sz w:val="19"/>
          <w:szCs w:val="19"/>
          <w:lang w:val="es-ES"/>
        </w:rPr>
        <w:t>Concepto C-766 de 2021.</w:t>
      </w:r>
    </w:p>
  </w:footnote>
  <w:footnote w:id="16">
    <w:p w14:paraId="6B693D8A" w14:textId="77777777" w:rsidR="00F82F4C" w:rsidRPr="00B85F4D" w:rsidRDefault="00F82F4C" w:rsidP="00513437">
      <w:pPr>
        <w:pStyle w:val="Textonotapie"/>
        <w:ind w:firstLine="709"/>
        <w:jc w:val="both"/>
        <w:rPr>
          <w:rFonts w:ascii="Arial" w:hAnsi="Arial" w:cs="Arial"/>
          <w:color w:val="000000" w:themeColor="text1"/>
          <w:sz w:val="19"/>
          <w:szCs w:val="19"/>
        </w:rPr>
      </w:pPr>
      <w:r w:rsidRPr="00B85F4D">
        <w:rPr>
          <w:rStyle w:val="Refdenotaalpie"/>
          <w:rFonts w:ascii="Arial" w:hAnsi="Arial" w:cs="Arial"/>
          <w:color w:val="000000" w:themeColor="text1"/>
          <w:sz w:val="19"/>
          <w:szCs w:val="19"/>
        </w:rPr>
        <w:footnoteRef/>
      </w:r>
      <w:r w:rsidRPr="00B85F4D">
        <w:rPr>
          <w:rFonts w:ascii="Arial" w:hAnsi="Arial" w:cs="Arial"/>
          <w:color w:val="000000" w:themeColor="text1"/>
          <w:sz w:val="19"/>
          <w:szCs w:val="19"/>
        </w:rPr>
        <w:t xml:space="preserve"> </w:t>
      </w:r>
      <w:r w:rsidRPr="00B85F4D">
        <w:rPr>
          <w:rFonts w:ascii="Arial" w:hAnsi="Arial" w:cs="Arial"/>
          <w:color w:val="000000" w:themeColor="text1"/>
          <w:sz w:val="19"/>
          <w:szCs w:val="19"/>
          <w:lang w:val="es-ES"/>
        </w:rPr>
        <w:t xml:space="preserve">Según García de Enterría, «Estos concepto jurídicos indeterminados, o que se contienen en lo que también se llaman las normas flexibles, son consustanciales a toda la técnica jurídica y no constituyen una particularidad del Derecho público […], son conceptos jurídicos indeterminados, en el sentido de que la medida concreta para la aplicación de los mismos en un caso particular no nos la resuelve o determina con exactitud la propia Ley que los ha creado y de cuya aplicación se trata» (GARCÍA DE ENTERRÍA, Eduardo. La lucha contra las inmunidades del poder en el derecho administrativo. 3ª ed. Madrid: </w:t>
      </w:r>
      <w:r w:rsidRPr="00B85F4D">
        <w:rPr>
          <w:rFonts w:ascii="Arial" w:hAnsi="Arial" w:cs="Arial"/>
          <w:color w:val="000000" w:themeColor="text1"/>
          <w:sz w:val="19"/>
          <w:szCs w:val="19"/>
          <w:lang w:val="es-ES"/>
        </w:rPr>
        <w:t>Civitas, 1983. pp. 33-34).</w:t>
      </w:r>
    </w:p>
  </w:footnote>
  <w:footnote w:id="17">
    <w:p w14:paraId="3F6ABD7C" w14:textId="77777777" w:rsidR="00F82F4C" w:rsidRPr="00B85F4D" w:rsidRDefault="00F82F4C" w:rsidP="00513437">
      <w:pPr>
        <w:pStyle w:val="Textonotapie"/>
        <w:ind w:firstLine="709"/>
        <w:jc w:val="both"/>
        <w:rPr>
          <w:rFonts w:ascii="Arial" w:hAnsi="Arial" w:cs="Arial"/>
          <w:color w:val="000000" w:themeColor="text1"/>
          <w:sz w:val="19"/>
          <w:szCs w:val="19"/>
        </w:rPr>
      </w:pPr>
      <w:r w:rsidRPr="00B85F4D">
        <w:rPr>
          <w:rStyle w:val="Refdenotaalpie"/>
          <w:rFonts w:ascii="Arial" w:hAnsi="Arial" w:cs="Arial"/>
          <w:color w:val="000000" w:themeColor="text1"/>
          <w:sz w:val="19"/>
          <w:szCs w:val="19"/>
        </w:rPr>
        <w:footnoteRef/>
      </w:r>
      <w:r w:rsidRPr="00B85F4D">
        <w:rPr>
          <w:rFonts w:ascii="Arial" w:hAnsi="Arial" w:cs="Arial"/>
          <w:color w:val="000000" w:themeColor="text1"/>
          <w:sz w:val="19"/>
          <w:szCs w:val="19"/>
        </w:rPr>
        <w:t xml:space="preserve"> Sentencia C-382 de 2019, M.P. Alejandro Linares Cantillo.</w:t>
      </w:r>
    </w:p>
  </w:footnote>
  <w:footnote w:id="18">
    <w:p w14:paraId="7CF41CAE" w14:textId="77777777" w:rsidR="00F82F4C" w:rsidRPr="00B85F4D" w:rsidRDefault="00F82F4C" w:rsidP="00513437">
      <w:pPr>
        <w:pStyle w:val="Textonotapie"/>
        <w:ind w:firstLine="709"/>
        <w:jc w:val="both"/>
        <w:rPr>
          <w:rFonts w:ascii="Arial" w:hAnsi="Arial" w:cs="Arial"/>
          <w:color w:val="000000" w:themeColor="text1"/>
          <w:sz w:val="19"/>
          <w:szCs w:val="19"/>
        </w:rPr>
      </w:pPr>
      <w:r w:rsidRPr="00B85F4D">
        <w:rPr>
          <w:rStyle w:val="Refdenotaalpie"/>
          <w:rFonts w:ascii="Arial" w:hAnsi="Arial" w:cs="Arial"/>
          <w:color w:val="000000" w:themeColor="text1"/>
          <w:sz w:val="19"/>
          <w:szCs w:val="19"/>
        </w:rPr>
        <w:footnoteRef/>
      </w:r>
      <w:r w:rsidRPr="00B85F4D">
        <w:rPr>
          <w:rFonts w:ascii="Arial" w:hAnsi="Arial" w:cs="Arial"/>
          <w:color w:val="000000" w:themeColor="text1"/>
          <w:sz w:val="19"/>
          <w:szCs w:val="19"/>
        </w:rPr>
        <w:t xml:space="preserve"> La redacción original del parágrafo primero del artículo 32 de la Ley 80 de 1993, incluía la expresión </w:t>
      </w:r>
      <w:r w:rsidRPr="00B85F4D">
        <w:rPr>
          <w:rFonts w:ascii="Arial" w:hAnsi="Arial" w:cs="Arial"/>
          <w:i/>
          <w:iCs/>
          <w:color w:val="000000" w:themeColor="text1"/>
          <w:sz w:val="19"/>
          <w:szCs w:val="19"/>
        </w:rPr>
        <w:t>giro ordinario</w:t>
      </w:r>
      <w:r w:rsidRPr="00B85F4D">
        <w:rPr>
          <w:rFonts w:ascii="Arial" w:hAnsi="Arial" w:cs="Arial"/>
          <w:color w:val="000000" w:themeColor="text1"/>
          <w:sz w:val="19"/>
          <w:szCs w:val="19"/>
        </w:rPr>
        <w:t xml:space="preserve">, la cual servía de elemento calificante para la determinación del régimen aplicable a los contratos de los establecimientos de crédito público, las compañías de seguros y las demás entidades financieras públicas. Dicho parágrafo establecía «Sin perjuicio de lo dispuesto en esta ley sobre fiducia y encargo fiduciario, los contratos que celebren los establecimientos de crédito, las compañías de seguros y las demás entidades financieras de carácter estatal, que correspondan </w:t>
      </w:r>
      <w:r w:rsidRPr="00B85F4D">
        <w:rPr>
          <w:rFonts w:ascii="Arial" w:hAnsi="Arial" w:cs="Arial"/>
          <w:i/>
          <w:iCs/>
          <w:color w:val="000000" w:themeColor="text1"/>
          <w:sz w:val="19"/>
          <w:szCs w:val="19"/>
        </w:rPr>
        <w:t>al giro ordinario de las actividades propias de su objeto social,</w:t>
      </w:r>
      <w:r w:rsidRPr="00B85F4D">
        <w:rPr>
          <w:rFonts w:ascii="Arial" w:hAnsi="Arial" w:cs="Arial"/>
          <w:color w:val="000000" w:themeColor="text1"/>
          <w:sz w:val="19"/>
          <w:szCs w:val="19"/>
        </w:rPr>
        <w:t xml:space="preserve"> no estarán sujetos a las disposiciones del presente estatuto y se regirán por las disposiciones legales y reglamentarias aplicables a dichas actividades» [Énfasis fuera de texto].</w:t>
      </w:r>
    </w:p>
    <w:p w14:paraId="3BFD28DC" w14:textId="77777777" w:rsidR="00F82F4C" w:rsidRPr="00B85F4D" w:rsidRDefault="00F82F4C" w:rsidP="00513437">
      <w:pPr>
        <w:pStyle w:val="Textonotapie"/>
        <w:ind w:firstLine="709"/>
        <w:jc w:val="both"/>
        <w:rPr>
          <w:rFonts w:ascii="Arial" w:hAnsi="Arial" w:cs="Arial"/>
          <w:color w:val="000000" w:themeColor="text1"/>
          <w:sz w:val="19"/>
          <w:szCs w:val="19"/>
        </w:rPr>
      </w:pPr>
    </w:p>
  </w:footnote>
  <w:footnote w:id="19">
    <w:p w14:paraId="6674F286" w14:textId="77777777" w:rsidR="00F82F4C" w:rsidRPr="00B85F4D" w:rsidRDefault="00F82F4C" w:rsidP="00513437">
      <w:pPr>
        <w:pStyle w:val="Textonotapie"/>
        <w:ind w:firstLine="709"/>
        <w:jc w:val="both"/>
        <w:rPr>
          <w:rFonts w:ascii="Arial" w:hAnsi="Arial" w:cs="Arial"/>
          <w:color w:val="000000" w:themeColor="text1"/>
          <w:sz w:val="19"/>
          <w:szCs w:val="19"/>
        </w:rPr>
      </w:pPr>
      <w:r w:rsidRPr="00B85F4D">
        <w:rPr>
          <w:rStyle w:val="Refdenotaalpie"/>
          <w:rFonts w:ascii="Arial" w:hAnsi="Arial" w:cs="Arial"/>
          <w:color w:val="000000" w:themeColor="text1"/>
          <w:sz w:val="19"/>
          <w:szCs w:val="19"/>
        </w:rPr>
        <w:footnoteRef/>
      </w:r>
      <w:r w:rsidRPr="00B85F4D">
        <w:rPr>
          <w:rFonts w:ascii="Arial" w:hAnsi="Arial" w:cs="Arial"/>
          <w:color w:val="000000" w:themeColor="text1"/>
          <w:sz w:val="19"/>
          <w:szCs w:val="19"/>
        </w:rPr>
        <w:t xml:space="preserve"> Consejo de Estado. Sección Tercera. Subsección B. Sentencia del 12 de octubre de 2011. Exp. No. 20070. C.P. Danilo Rojas Betancourt.</w:t>
      </w:r>
    </w:p>
    <w:p w14:paraId="2F88F764" w14:textId="77777777" w:rsidR="00F82F4C" w:rsidRPr="00B85F4D" w:rsidRDefault="00F82F4C" w:rsidP="00513437">
      <w:pPr>
        <w:pStyle w:val="Textonotapie"/>
        <w:ind w:firstLine="709"/>
        <w:jc w:val="both"/>
        <w:rPr>
          <w:rFonts w:ascii="Arial" w:hAnsi="Arial" w:cs="Arial"/>
          <w:color w:val="000000" w:themeColor="text1"/>
          <w:sz w:val="19"/>
          <w:szCs w:val="19"/>
          <w:lang w:val="es-ES"/>
        </w:rPr>
      </w:pPr>
    </w:p>
  </w:footnote>
  <w:footnote w:id="20">
    <w:p w14:paraId="348782B5" w14:textId="77777777" w:rsidR="00F82F4C" w:rsidRPr="00B85F4D" w:rsidRDefault="00F82F4C" w:rsidP="00513437">
      <w:pPr>
        <w:ind w:firstLine="709"/>
        <w:jc w:val="both"/>
        <w:rPr>
          <w:rFonts w:ascii="Arial" w:hAnsi="Arial" w:cs="Arial"/>
          <w:color w:val="000000" w:themeColor="text1"/>
          <w:sz w:val="19"/>
          <w:szCs w:val="19"/>
        </w:rPr>
      </w:pPr>
      <w:r w:rsidRPr="00B85F4D">
        <w:rPr>
          <w:rStyle w:val="Refdenotaalpie"/>
          <w:rFonts w:ascii="Arial" w:hAnsi="Arial" w:cs="Arial"/>
          <w:color w:val="000000" w:themeColor="text1"/>
          <w:sz w:val="19"/>
          <w:szCs w:val="19"/>
        </w:rPr>
        <w:footnoteRef/>
      </w:r>
      <w:r w:rsidRPr="00B85F4D">
        <w:rPr>
          <w:rFonts w:ascii="Arial" w:hAnsi="Arial" w:cs="Arial"/>
          <w:color w:val="000000" w:themeColor="text1"/>
          <w:sz w:val="19"/>
          <w:szCs w:val="19"/>
        </w:rPr>
        <w:t xml:space="preserve"> Consejo de Estado. Sección Tercera. Subsección A. Sentencia del 3 de marzo de 2021. </w:t>
      </w:r>
      <w:r w:rsidRPr="00B85F4D">
        <w:rPr>
          <w:rFonts w:ascii="Arial" w:hAnsi="Arial" w:cs="Arial"/>
          <w:color w:val="000000" w:themeColor="text1"/>
          <w:sz w:val="19"/>
          <w:szCs w:val="19"/>
        </w:rPr>
        <w:t>Exp. No. 51373. C.P. José Roberto Sáchica Méndez.</w:t>
      </w:r>
    </w:p>
    <w:p w14:paraId="4DAE2941" w14:textId="77777777" w:rsidR="00F82F4C" w:rsidRPr="00B85F4D" w:rsidRDefault="00F82F4C" w:rsidP="00513437">
      <w:pPr>
        <w:ind w:firstLine="709"/>
        <w:jc w:val="both"/>
        <w:rPr>
          <w:rFonts w:ascii="Arial" w:hAnsi="Arial" w:cs="Arial"/>
          <w:color w:val="000000" w:themeColor="text1"/>
          <w:sz w:val="19"/>
          <w:szCs w:val="19"/>
        </w:rPr>
      </w:pPr>
      <w:r w:rsidRPr="00B85F4D">
        <w:rPr>
          <w:rFonts w:ascii="Arial" w:hAnsi="Arial" w:cs="Arial"/>
          <w:color w:val="000000" w:themeColor="text1"/>
          <w:sz w:val="19"/>
          <w:szCs w:val="19"/>
        </w:rPr>
        <w:t xml:space="preserve"> </w:t>
      </w:r>
    </w:p>
  </w:footnote>
  <w:footnote w:id="21">
    <w:p w14:paraId="790D5BD8" w14:textId="77777777" w:rsidR="00F82F4C" w:rsidRPr="00B85F4D" w:rsidRDefault="00F82F4C" w:rsidP="00513437">
      <w:pPr>
        <w:pStyle w:val="Textonotapie"/>
        <w:ind w:firstLine="709"/>
        <w:jc w:val="both"/>
        <w:rPr>
          <w:rFonts w:ascii="Arial" w:hAnsi="Arial" w:cs="Arial"/>
          <w:color w:val="000000" w:themeColor="text1"/>
          <w:sz w:val="19"/>
          <w:szCs w:val="19"/>
        </w:rPr>
      </w:pPr>
      <w:r w:rsidRPr="00B85F4D">
        <w:rPr>
          <w:rStyle w:val="Refdenotaalpie"/>
          <w:rFonts w:ascii="Arial" w:hAnsi="Arial" w:cs="Arial"/>
          <w:color w:val="000000" w:themeColor="text1"/>
          <w:sz w:val="19"/>
          <w:szCs w:val="19"/>
        </w:rPr>
        <w:footnoteRef/>
      </w:r>
      <w:r w:rsidRPr="00B85F4D">
        <w:rPr>
          <w:rFonts w:ascii="Arial" w:hAnsi="Arial" w:cs="Arial"/>
          <w:color w:val="000000" w:themeColor="text1"/>
          <w:sz w:val="19"/>
          <w:szCs w:val="19"/>
        </w:rPr>
        <w:t xml:space="preserve"> El Consejo de Estado ha precisado que: «Según esta norma, 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del objeto de la sociedad. Tal es el caso de la contratación de la publicidad para promocionar la empresa o sus productos, o la contratación de profesionales para que realicen una consultoría o asesoría relacionada con las actividades de la empresa, etc.</w:t>
      </w:r>
    </w:p>
    <w:p w14:paraId="108976E4" w14:textId="77777777" w:rsidR="00F82F4C" w:rsidRPr="00B85F4D" w:rsidRDefault="00F82F4C" w:rsidP="00513437">
      <w:pPr>
        <w:pStyle w:val="Textonotapie"/>
        <w:ind w:firstLine="709"/>
        <w:jc w:val="both"/>
        <w:rPr>
          <w:rFonts w:ascii="Arial" w:hAnsi="Arial" w:cs="Arial"/>
          <w:color w:val="000000" w:themeColor="text1"/>
          <w:sz w:val="19"/>
          <w:szCs w:val="19"/>
        </w:rPr>
      </w:pPr>
      <w:r w:rsidRPr="00B85F4D">
        <w:rPr>
          <w:rFonts w:ascii="Arial" w:hAnsi="Arial" w:cs="Arial"/>
          <w:color w:val="000000" w:themeColor="text1"/>
          <w:sz w:val="19"/>
          <w:szCs w:val="19"/>
        </w:rPr>
        <w:t>»En estos casos, mal podría decirse que la sociedad no puede realizar este tipo de actos necesarios para el buen desempeño de sus actividades comerciales. Lo propio cabe decir de las entidades financieras. De manera que la norma comercial citada es perfectamente trasladable al campo financiero».  Consejo de Estado. Sección Tercera. Sentencia del 6 de julio de 2005. Exp. No. 11575. C.P. Alier E. Hernández Enríquez.</w:t>
      </w:r>
    </w:p>
  </w:footnote>
  <w:footnote w:id="22">
    <w:p w14:paraId="04A2C167" w14:textId="77777777" w:rsidR="00F82F4C" w:rsidRPr="00B85F4D" w:rsidRDefault="00F82F4C" w:rsidP="00513437">
      <w:pPr>
        <w:pStyle w:val="Textonotapie"/>
        <w:ind w:firstLine="709"/>
        <w:jc w:val="both"/>
        <w:rPr>
          <w:rFonts w:ascii="Arial" w:hAnsi="Arial" w:cs="Arial"/>
          <w:color w:val="000000" w:themeColor="text1"/>
          <w:sz w:val="19"/>
          <w:szCs w:val="19"/>
        </w:rPr>
      </w:pPr>
    </w:p>
    <w:p w14:paraId="72E24536" w14:textId="77777777" w:rsidR="00F82F4C" w:rsidRPr="00B85F4D" w:rsidRDefault="00F82F4C" w:rsidP="00513437">
      <w:pPr>
        <w:pStyle w:val="Textonotapie"/>
        <w:ind w:firstLine="709"/>
        <w:jc w:val="both"/>
        <w:rPr>
          <w:rFonts w:ascii="Arial" w:hAnsi="Arial" w:cs="Arial"/>
          <w:color w:val="000000" w:themeColor="text1"/>
          <w:sz w:val="19"/>
          <w:szCs w:val="19"/>
        </w:rPr>
      </w:pPr>
      <w:r w:rsidRPr="00B85F4D">
        <w:rPr>
          <w:rStyle w:val="Refdenotaalpie"/>
          <w:rFonts w:ascii="Arial" w:hAnsi="Arial" w:cs="Arial"/>
          <w:color w:val="000000" w:themeColor="text1"/>
          <w:sz w:val="19"/>
          <w:szCs w:val="19"/>
        </w:rPr>
        <w:footnoteRef/>
      </w:r>
      <w:r w:rsidRPr="00B85F4D">
        <w:rPr>
          <w:rFonts w:ascii="Arial" w:hAnsi="Arial" w:cs="Arial"/>
          <w:color w:val="000000" w:themeColor="text1"/>
          <w:sz w:val="19"/>
          <w:szCs w:val="19"/>
        </w:rPr>
        <w:t xml:space="preserve"> Superintendencia de Sociedades. Oficio 220-014111 del 18 de febrero de 2015. Consultado el 9 de febrero de 2022 en: </w:t>
      </w:r>
      <w:hyperlink r:id="rId1" w:history="1">
        <w:r w:rsidRPr="00B85F4D">
          <w:rPr>
            <w:rStyle w:val="Hipervnculo"/>
            <w:rFonts w:ascii="Arial" w:hAnsi="Arial" w:cs="Arial"/>
            <w:color w:val="000000" w:themeColor="text1"/>
            <w:sz w:val="19"/>
            <w:szCs w:val="19"/>
            <w:u w:val="none"/>
          </w:rPr>
          <w:t>https://www.supersociedades.gov.co/nuestra_entidad/normatividad/normatividad_conceptos_juridicos/OFICIO_220-014111_DE_2015.pdf</w:t>
        </w:r>
      </w:hyperlink>
    </w:p>
  </w:footnote>
  <w:footnote w:id="23">
    <w:p w14:paraId="6D861CAE" w14:textId="77777777" w:rsidR="00F82F4C" w:rsidRPr="00B85F4D" w:rsidRDefault="00F82F4C" w:rsidP="00513437">
      <w:pPr>
        <w:pStyle w:val="Textonotapie"/>
        <w:ind w:firstLine="709"/>
        <w:jc w:val="both"/>
        <w:rPr>
          <w:rFonts w:ascii="Arial" w:hAnsi="Arial" w:cs="Arial"/>
          <w:color w:val="000000" w:themeColor="text1"/>
          <w:sz w:val="19"/>
          <w:szCs w:val="19"/>
        </w:rPr>
      </w:pPr>
      <w:r w:rsidRPr="00B85F4D">
        <w:rPr>
          <w:rStyle w:val="Refdenotaalpie"/>
          <w:rFonts w:ascii="Arial" w:hAnsi="Arial" w:cs="Arial"/>
          <w:color w:val="000000" w:themeColor="text1"/>
          <w:sz w:val="19"/>
          <w:szCs w:val="19"/>
        </w:rPr>
        <w:footnoteRef/>
      </w:r>
      <w:r w:rsidRPr="00B85F4D">
        <w:rPr>
          <w:rFonts w:ascii="Arial" w:hAnsi="Arial" w:cs="Arial"/>
          <w:color w:val="000000" w:themeColor="text1"/>
          <w:sz w:val="19"/>
          <w:szCs w:val="19"/>
        </w:rPr>
        <w:t xml:space="preserve"> En efecto, en audiencia Pública del 18 de marzo de 2021, esta Agencia llamó la atención sobre la necesidad  de incluir en el Proyecto de Ley  «[…] algunas disposiciones [..] relacionadas por ejemplo con impedir que las entidades sometidas al estatuto de contratación celebren contratos jurídicos de derecho privado, con lo que se prevé evitar escapar del ámbito del estatuto de contratación pública, asimismo fortalecer que en los convenios deben emplearse documentos tipos; extender la aplicación del estatuto de contratación algunos objetos en los cuales tienen un régimen especial y a patrimonios autónomos, así como empresas de servicios públicos». CONGRESO DE LA REPÚBLICA. Gaceta Nº 1677 del 23 de noviembre de 2021. Justificación jurídica del Proyecto de Ley No. 226 de 2021 Cámara. p. 15.</w:t>
      </w:r>
      <w:r w:rsidRPr="00B85F4D">
        <w:rPr>
          <w:rFonts w:ascii="Arial" w:hAnsi="Arial" w:cs="Arial"/>
          <w:color w:val="000000" w:themeColor="text1"/>
          <w:sz w:val="19"/>
          <w:szCs w:val="19"/>
        </w:rPr>
        <w:cr/>
      </w:r>
    </w:p>
  </w:footnote>
  <w:footnote w:id="24">
    <w:p w14:paraId="3D5ECA00" w14:textId="77777777" w:rsidR="00851BC5" w:rsidRPr="00B85F4D" w:rsidRDefault="00851BC5" w:rsidP="00513437">
      <w:pPr>
        <w:pStyle w:val="Textonotapie"/>
        <w:ind w:firstLine="709"/>
        <w:jc w:val="both"/>
        <w:rPr>
          <w:rFonts w:ascii="Arial" w:hAnsi="Arial" w:cs="Arial"/>
          <w:color w:val="000000" w:themeColor="text1"/>
          <w:sz w:val="19"/>
          <w:szCs w:val="19"/>
        </w:rPr>
      </w:pPr>
      <w:r w:rsidRPr="00B85F4D">
        <w:rPr>
          <w:rStyle w:val="Refdenotaalpie"/>
          <w:rFonts w:ascii="Arial" w:hAnsi="Arial" w:cs="Arial"/>
          <w:color w:val="000000" w:themeColor="text1"/>
          <w:sz w:val="19"/>
          <w:szCs w:val="19"/>
        </w:rPr>
        <w:footnoteRef/>
      </w:r>
      <w:r w:rsidRPr="00B85F4D">
        <w:rPr>
          <w:rFonts w:ascii="Arial" w:hAnsi="Arial" w:cs="Arial"/>
          <w:color w:val="000000" w:themeColor="text1"/>
          <w:sz w:val="19"/>
          <w:szCs w:val="19"/>
        </w:rPr>
        <w:t xml:space="preserve"> Al respecto ha señalado la Corte Constitucional: «En relación con el ámbito de configuración del legislador en materia contractual la jurisprudencia constitucional ha señalado los siguientes criterios:</w:t>
      </w:r>
    </w:p>
    <w:p w14:paraId="787834A5" w14:textId="77777777" w:rsidR="00851BC5" w:rsidRPr="00B85F4D" w:rsidRDefault="00851BC5" w:rsidP="00513437">
      <w:pPr>
        <w:pStyle w:val="Textonotapie"/>
        <w:ind w:firstLine="709"/>
        <w:jc w:val="both"/>
        <w:rPr>
          <w:rFonts w:ascii="Arial" w:hAnsi="Arial" w:cs="Arial"/>
          <w:color w:val="000000" w:themeColor="text1"/>
          <w:sz w:val="19"/>
          <w:szCs w:val="19"/>
        </w:rPr>
      </w:pPr>
      <w:r w:rsidRPr="00B85F4D">
        <w:rPr>
          <w:rFonts w:ascii="Arial" w:hAnsi="Arial" w:cs="Arial"/>
          <w:color w:val="000000" w:themeColor="text1"/>
          <w:sz w:val="19"/>
          <w:szCs w:val="19"/>
        </w:rPr>
        <w:t>(i) De la Constitución no es posible inferir la obligación para el legislador de incorporar en un solo cuerpo normativo toda la legislación existente en materia contractual, pues si ésta hubiera sido la voluntad del constituyente, en el artículo 150 Fundamental se habría autorizado al Congreso de la República para expedir un estatuto único de contratación para el Estado y no un estatuto general como prevé la disposición constitucional.[27]</w:t>
      </w:r>
    </w:p>
    <w:p w14:paraId="36888532" w14:textId="77777777" w:rsidR="00851BC5" w:rsidRPr="00B85F4D" w:rsidRDefault="00851BC5" w:rsidP="00513437">
      <w:pPr>
        <w:pStyle w:val="Textonotapie"/>
        <w:ind w:firstLine="709"/>
        <w:jc w:val="both"/>
        <w:rPr>
          <w:rFonts w:ascii="Arial" w:hAnsi="Arial" w:cs="Arial"/>
          <w:color w:val="000000" w:themeColor="text1"/>
          <w:sz w:val="19"/>
          <w:szCs w:val="19"/>
        </w:rPr>
      </w:pPr>
      <w:r w:rsidRPr="00B85F4D">
        <w:rPr>
          <w:rFonts w:ascii="Arial" w:hAnsi="Arial" w:cs="Arial"/>
          <w:color w:val="000000" w:themeColor="text1"/>
          <w:sz w:val="19"/>
          <w:szCs w:val="19"/>
        </w:rPr>
        <w:t>(ii) El mandato otorgado al Congreso de la República, en el artículo 150 de la Carta, para que dicte un estatuto general de contratación de la administración pública y en especial de la administración nacional, implica el reconocimiento de una amplia libertad de configuración del legislador para diseñar un régimen legal cuya finalidad sea la de propender por el logro de los objetivos constitucionales del Estado Social de Derecho, toda vez que el cumplimiento de estas metas requiere del aprovisionamiento de bienes y servicios por parte de los órganos públicos mediante la contratación. En este orden de ideas, es innegable el carácter instrumental que ostenta el contrato estatal, puesto que no es un fin en sí mismo sino un medio para la consecución de los altos objetivos del Estado.[28]</w:t>
      </w:r>
    </w:p>
    <w:p w14:paraId="2E6A8E54" w14:textId="77777777" w:rsidR="00851BC5" w:rsidRPr="00B85F4D" w:rsidRDefault="00851BC5" w:rsidP="00513437">
      <w:pPr>
        <w:pStyle w:val="Textonotapie"/>
        <w:ind w:firstLine="709"/>
        <w:jc w:val="both"/>
        <w:rPr>
          <w:rFonts w:ascii="Arial" w:hAnsi="Arial" w:cs="Arial"/>
          <w:color w:val="000000" w:themeColor="text1"/>
          <w:sz w:val="19"/>
          <w:szCs w:val="19"/>
        </w:rPr>
      </w:pPr>
      <w:r w:rsidRPr="00B85F4D">
        <w:rPr>
          <w:rFonts w:ascii="Arial" w:hAnsi="Arial" w:cs="Arial"/>
          <w:color w:val="000000" w:themeColor="text1"/>
          <w:sz w:val="19"/>
          <w:szCs w:val="19"/>
        </w:rPr>
        <w:t>(iii) En virtud de la potestad de configuración que se comenta el Congreso tiene libertad para regular los aspectos más significativos de la contratación pública como son los referentes a las cláusulas excepcionales, la clasificación de los contratos estatales, los deberes y derechos de las partes contratantes, la competencia y capacidad para contratar, principios fundamentales, nulidades, control de la gestión contractual, responsabilidad contractual, liquidación de los contratos y solución de las controversias contractuales, entre otros, todo dentro de los límites de razonabilidad y proporcionalidad y con arreglo a los parámetros constitucionales». Sentencia C-713 del 7 de octubre de 2009. M.P. María Victoria Calle Correa.</w:t>
      </w:r>
    </w:p>
    <w:p w14:paraId="48E30B13" w14:textId="77777777" w:rsidR="00851BC5" w:rsidRPr="00B85F4D" w:rsidRDefault="00851BC5" w:rsidP="00513437">
      <w:pPr>
        <w:pStyle w:val="Textonotapie"/>
        <w:ind w:firstLine="709"/>
        <w:jc w:val="both"/>
        <w:rPr>
          <w:rFonts w:ascii="Arial" w:hAnsi="Arial" w:cs="Arial"/>
          <w:color w:val="000000" w:themeColor="text1"/>
          <w:sz w:val="19"/>
          <w:szCs w:val="19"/>
        </w:rPr>
      </w:pPr>
      <w:r w:rsidRPr="00B85F4D">
        <w:rPr>
          <w:rFonts w:ascii="Arial" w:hAnsi="Arial" w:cs="Arial"/>
          <w:color w:val="000000" w:themeColor="text1"/>
          <w:sz w:val="19"/>
          <w:szCs w:val="19"/>
        </w:rPr>
        <w:t xml:space="preserve"> </w:t>
      </w:r>
    </w:p>
  </w:footnote>
  <w:footnote w:id="25">
    <w:p w14:paraId="492CBA95" w14:textId="77777777" w:rsidR="00851BC5" w:rsidRPr="00B85F4D" w:rsidRDefault="00851BC5" w:rsidP="00513437">
      <w:pPr>
        <w:pStyle w:val="Textonotapie"/>
        <w:ind w:firstLine="709"/>
        <w:jc w:val="both"/>
        <w:rPr>
          <w:rFonts w:ascii="Arial" w:hAnsi="Arial" w:cs="Arial"/>
          <w:color w:val="000000" w:themeColor="text1"/>
          <w:sz w:val="19"/>
          <w:szCs w:val="19"/>
        </w:rPr>
      </w:pPr>
      <w:r w:rsidRPr="00B85F4D">
        <w:rPr>
          <w:rStyle w:val="Refdenotaalpie"/>
          <w:rFonts w:ascii="Arial" w:hAnsi="Arial" w:cs="Arial"/>
          <w:color w:val="000000" w:themeColor="text1"/>
          <w:sz w:val="19"/>
          <w:szCs w:val="19"/>
        </w:rPr>
        <w:footnoteRef/>
      </w:r>
      <w:r w:rsidRPr="00B85F4D">
        <w:rPr>
          <w:rFonts w:ascii="Arial" w:hAnsi="Arial" w:cs="Arial"/>
          <w:color w:val="000000" w:themeColor="text1"/>
          <w:sz w:val="19"/>
          <w:szCs w:val="19"/>
        </w:rPr>
        <w:t xml:space="preserve"> Consejo de Estado. Sección Tercera. Subsección A. Sentencia del 24 de junio de 2015. Exp. 40.635. Consejero Ponente: Hernán Andrade Rincón (E).</w:t>
      </w:r>
    </w:p>
    <w:p w14:paraId="53FEC86F" w14:textId="77777777" w:rsidR="00851BC5" w:rsidRPr="00B85F4D" w:rsidRDefault="00851BC5" w:rsidP="00513437">
      <w:pPr>
        <w:pStyle w:val="Textonotapie"/>
        <w:ind w:firstLine="709"/>
        <w:jc w:val="both"/>
        <w:rPr>
          <w:rFonts w:ascii="Arial" w:hAnsi="Arial" w:cs="Arial"/>
          <w:color w:val="000000" w:themeColor="text1"/>
          <w:sz w:val="19"/>
          <w:szCs w:val="19"/>
          <w:lang w:val="es-ES"/>
        </w:rPr>
      </w:pPr>
    </w:p>
  </w:footnote>
  <w:footnote w:id="26">
    <w:p w14:paraId="77CA1B73" w14:textId="77777777" w:rsidR="00851BC5" w:rsidRPr="00B85F4D" w:rsidRDefault="00851BC5" w:rsidP="00513437">
      <w:pPr>
        <w:pStyle w:val="Textonotapie"/>
        <w:ind w:firstLine="709"/>
        <w:jc w:val="both"/>
        <w:rPr>
          <w:rFonts w:ascii="Arial" w:hAnsi="Arial" w:cs="Arial"/>
          <w:color w:val="000000" w:themeColor="text1"/>
          <w:sz w:val="19"/>
          <w:szCs w:val="19"/>
          <w:lang w:val="es-ES"/>
        </w:rPr>
      </w:pPr>
      <w:r w:rsidRPr="00B85F4D">
        <w:rPr>
          <w:rStyle w:val="Refdenotaalpie"/>
          <w:rFonts w:ascii="Arial" w:hAnsi="Arial" w:cs="Arial"/>
          <w:color w:val="000000" w:themeColor="text1"/>
          <w:sz w:val="19"/>
          <w:szCs w:val="19"/>
        </w:rPr>
        <w:footnoteRef/>
      </w:r>
      <w:r w:rsidRPr="00B85F4D">
        <w:rPr>
          <w:rFonts w:ascii="Arial" w:hAnsi="Arial" w:cs="Arial"/>
          <w:color w:val="000000" w:themeColor="text1"/>
          <w:sz w:val="19"/>
          <w:szCs w:val="19"/>
        </w:rPr>
        <w:t xml:space="preserve"> </w:t>
      </w:r>
      <w:r w:rsidRPr="00B85F4D">
        <w:rPr>
          <w:rFonts w:ascii="Arial" w:hAnsi="Arial" w:cs="Arial"/>
          <w:color w:val="000000" w:themeColor="text1"/>
          <w:sz w:val="19"/>
          <w:szCs w:val="19"/>
          <w:lang w:val="es-ES"/>
        </w:rPr>
        <w:t xml:space="preserve">Consejo de Estado. Sala de Consulta y Servicio Civil. Concepto del 30 de abril de 2015. Expediente: 2251. Consejero Ponente: Álvaro </w:t>
      </w:r>
      <w:r w:rsidRPr="00B85F4D">
        <w:rPr>
          <w:rFonts w:ascii="Arial" w:hAnsi="Arial" w:cs="Arial"/>
          <w:color w:val="000000" w:themeColor="text1"/>
          <w:sz w:val="19"/>
          <w:szCs w:val="19"/>
          <w:lang w:val="es-ES"/>
        </w:rPr>
        <w:t>Namén Vargas.</w:t>
      </w:r>
    </w:p>
    <w:p w14:paraId="1F8BFE78" w14:textId="77777777" w:rsidR="00851BC5" w:rsidRPr="00B85F4D" w:rsidRDefault="00851BC5" w:rsidP="00513437">
      <w:pPr>
        <w:pStyle w:val="Textonotapie"/>
        <w:ind w:firstLine="709"/>
        <w:jc w:val="both"/>
        <w:rPr>
          <w:rFonts w:ascii="Arial" w:hAnsi="Arial" w:cs="Arial"/>
          <w:color w:val="000000" w:themeColor="text1"/>
          <w:sz w:val="19"/>
          <w:szCs w:val="19"/>
          <w:lang w:val="es-ES"/>
        </w:rPr>
      </w:pPr>
    </w:p>
  </w:footnote>
  <w:footnote w:id="27">
    <w:p w14:paraId="58AE0674" w14:textId="77777777" w:rsidR="00851BC5" w:rsidRPr="00B85F4D" w:rsidRDefault="00851BC5" w:rsidP="00513437">
      <w:pPr>
        <w:pStyle w:val="Textonotapie"/>
        <w:ind w:firstLine="709"/>
        <w:jc w:val="both"/>
        <w:rPr>
          <w:rFonts w:ascii="Arial" w:hAnsi="Arial" w:cs="Arial"/>
          <w:color w:val="000000" w:themeColor="text1"/>
          <w:sz w:val="19"/>
          <w:szCs w:val="19"/>
        </w:rPr>
      </w:pPr>
      <w:r w:rsidRPr="00B85F4D">
        <w:rPr>
          <w:rStyle w:val="Refdenotaalpie"/>
          <w:rFonts w:ascii="Arial" w:hAnsi="Arial" w:cs="Arial"/>
          <w:color w:val="000000" w:themeColor="text1"/>
          <w:sz w:val="19"/>
          <w:szCs w:val="19"/>
        </w:rPr>
        <w:footnoteRef/>
      </w:r>
      <w:r w:rsidRPr="00B85F4D">
        <w:rPr>
          <w:rFonts w:ascii="Arial" w:hAnsi="Arial" w:cs="Arial"/>
          <w:color w:val="000000" w:themeColor="text1"/>
          <w:sz w:val="19"/>
          <w:szCs w:val="19"/>
        </w:rPr>
        <w:t xml:space="preserve"> Código Civil: «Artículo 27. Interpretación Gramatical. Cuando el sentido de la ley sea claro, no se desatenderá su tenor literal a pretexto de consultar su espíritu.</w:t>
      </w:r>
    </w:p>
    <w:p w14:paraId="273A6736" w14:textId="77777777" w:rsidR="00851BC5" w:rsidRPr="00B85F4D" w:rsidRDefault="00851BC5" w:rsidP="00513437">
      <w:pPr>
        <w:pStyle w:val="Textonotapie"/>
        <w:ind w:firstLine="709"/>
        <w:jc w:val="both"/>
        <w:rPr>
          <w:rFonts w:ascii="Arial" w:hAnsi="Arial" w:cs="Arial"/>
          <w:color w:val="000000" w:themeColor="text1"/>
          <w:sz w:val="19"/>
          <w:szCs w:val="19"/>
        </w:rPr>
      </w:pPr>
      <w:r w:rsidRPr="00B85F4D">
        <w:rPr>
          <w:rFonts w:ascii="Arial" w:hAnsi="Arial" w:cs="Arial"/>
          <w:color w:val="000000" w:themeColor="text1"/>
          <w:sz w:val="19"/>
          <w:szCs w:val="19"/>
        </w:rPr>
        <w:t>»Pero bien se puede, para interpretar una expresión oscura de la ley, recurrir a su intención o espíritu, claramente manifestados en ella misma o en la historia fidedigna de su establecimiento».</w:t>
      </w:r>
    </w:p>
  </w:footnote>
  <w:footnote w:id="28">
    <w:p w14:paraId="069638A5" w14:textId="77777777" w:rsidR="00851BC5" w:rsidRPr="00B85F4D" w:rsidRDefault="00851BC5" w:rsidP="00513437">
      <w:pPr>
        <w:pStyle w:val="Textonotapie"/>
        <w:ind w:firstLine="709"/>
        <w:jc w:val="both"/>
        <w:rPr>
          <w:rFonts w:ascii="Arial" w:hAnsi="Arial" w:cs="Arial"/>
          <w:color w:val="000000" w:themeColor="text1"/>
          <w:sz w:val="19"/>
          <w:szCs w:val="19"/>
        </w:rPr>
      </w:pPr>
    </w:p>
    <w:p w14:paraId="4C07C3FE" w14:textId="77777777" w:rsidR="00851BC5" w:rsidRPr="00E56940" w:rsidRDefault="00851BC5" w:rsidP="00513437">
      <w:pPr>
        <w:ind w:firstLine="709"/>
        <w:jc w:val="both"/>
        <w:rPr>
          <w:rFonts w:ascii="Arial" w:eastAsiaTheme="minorHAnsi" w:hAnsi="Arial" w:cs="Arial"/>
          <w:color w:val="000000" w:themeColor="text1"/>
          <w:sz w:val="19"/>
          <w:szCs w:val="19"/>
          <w:lang w:val="es-MX" w:eastAsia="en-US"/>
        </w:rPr>
      </w:pPr>
      <w:r w:rsidRPr="00B85F4D">
        <w:rPr>
          <w:rStyle w:val="Refdenotaalpie"/>
          <w:rFonts w:ascii="Arial" w:hAnsi="Arial" w:cs="Arial"/>
          <w:color w:val="000000" w:themeColor="text1"/>
          <w:sz w:val="19"/>
          <w:szCs w:val="19"/>
        </w:rPr>
        <w:footnoteRef/>
      </w:r>
      <w:r w:rsidRPr="00B85F4D">
        <w:rPr>
          <w:rFonts w:ascii="Arial" w:hAnsi="Arial" w:cs="Arial"/>
          <w:color w:val="000000" w:themeColor="text1"/>
          <w:sz w:val="19"/>
          <w:szCs w:val="19"/>
        </w:rPr>
        <w:t xml:space="preserve"> Código Civil: «</w:t>
      </w:r>
      <w:r w:rsidRPr="00B85F4D">
        <w:rPr>
          <w:rFonts w:ascii="Arial" w:eastAsiaTheme="minorHAnsi" w:hAnsi="Arial" w:cs="Arial"/>
          <w:color w:val="000000" w:themeColor="text1"/>
          <w:sz w:val="19"/>
          <w:szCs w:val="19"/>
          <w:lang w:val="es-MX" w:eastAsia="en-US"/>
        </w:rPr>
        <w:t>Artículo 31. Interpretación sobre la extensión de una ley. Lo favorable u odioso de una disposición no se tomará en cuenta para ampliar o restringir su interpretación. La extensión que deba darse a toda ley se determinará por su genuino sentido, y según las reglas de interpretación precedentes».</w:t>
      </w:r>
    </w:p>
    <w:p w14:paraId="60F6CE00" w14:textId="77777777" w:rsidR="00851BC5" w:rsidRPr="00E56940" w:rsidRDefault="00851BC5" w:rsidP="00513437">
      <w:pPr>
        <w:pStyle w:val="Textonotapie"/>
        <w:ind w:firstLine="709"/>
        <w:jc w:val="both"/>
        <w:rPr>
          <w:rFonts w:ascii="Arial" w:hAnsi="Arial" w:cs="Arial"/>
          <w:color w:val="000000" w:themeColor="text1"/>
          <w:sz w:val="19"/>
          <w:szCs w:val="19"/>
          <w:lang w:val="es-CO"/>
        </w:rPr>
      </w:pPr>
      <w:r w:rsidRPr="00E56940">
        <w:rPr>
          <w:rFonts w:ascii="Arial" w:hAnsi="Arial" w:cs="Arial"/>
          <w:color w:val="000000" w:themeColor="text1"/>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4A7952"/>
    <w:multiLevelType w:val="hybridMultilevel"/>
    <w:tmpl w:val="961E87CC"/>
    <w:lvl w:ilvl="0" w:tplc="F4E0C29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hybridMultilevel"/>
    <w:tmpl w:val="576C41F8"/>
    <w:lvl w:ilvl="0" w:tplc="0366C46E">
      <w:start w:val="1"/>
      <w:numFmt w:val="bullet"/>
      <w:lvlText w:val=""/>
      <w:lvlJc w:val="left"/>
      <w:pPr>
        <w:tabs>
          <w:tab w:val="num" w:pos="720"/>
        </w:tabs>
        <w:ind w:left="720" w:hanging="360"/>
      </w:pPr>
      <w:rPr>
        <w:rFonts w:ascii="Symbol" w:hAnsi="Symbol" w:hint="default"/>
        <w:sz w:val="20"/>
      </w:rPr>
    </w:lvl>
    <w:lvl w:ilvl="1" w:tplc="2C98091E" w:tentative="1">
      <w:start w:val="1"/>
      <w:numFmt w:val="bullet"/>
      <w:lvlText w:val="o"/>
      <w:lvlJc w:val="left"/>
      <w:pPr>
        <w:tabs>
          <w:tab w:val="num" w:pos="1440"/>
        </w:tabs>
        <w:ind w:left="1440" w:hanging="360"/>
      </w:pPr>
      <w:rPr>
        <w:rFonts w:ascii="Courier New" w:hAnsi="Courier New" w:hint="default"/>
        <w:sz w:val="20"/>
      </w:rPr>
    </w:lvl>
    <w:lvl w:ilvl="2" w:tplc="41DAB0D8" w:tentative="1">
      <w:start w:val="1"/>
      <w:numFmt w:val="bullet"/>
      <w:lvlText w:val=""/>
      <w:lvlJc w:val="left"/>
      <w:pPr>
        <w:tabs>
          <w:tab w:val="num" w:pos="2160"/>
        </w:tabs>
        <w:ind w:left="2160" w:hanging="360"/>
      </w:pPr>
      <w:rPr>
        <w:rFonts w:ascii="Wingdings" w:hAnsi="Wingdings" w:hint="default"/>
        <w:sz w:val="20"/>
      </w:rPr>
    </w:lvl>
    <w:lvl w:ilvl="3" w:tplc="E436A00A" w:tentative="1">
      <w:start w:val="1"/>
      <w:numFmt w:val="bullet"/>
      <w:lvlText w:val=""/>
      <w:lvlJc w:val="left"/>
      <w:pPr>
        <w:tabs>
          <w:tab w:val="num" w:pos="2880"/>
        </w:tabs>
        <w:ind w:left="2880" w:hanging="360"/>
      </w:pPr>
      <w:rPr>
        <w:rFonts w:ascii="Wingdings" w:hAnsi="Wingdings" w:hint="default"/>
        <w:sz w:val="20"/>
      </w:rPr>
    </w:lvl>
    <w:lvl w:ilvl="4" w:tplc="069046CC" w:tentative="1">
      <w:start w:val="1"/>
      <w:numFmt w:val="bullet"/>
      <w:lvlText w:val=""/>
      <w:lvlJc w:val="left"/>
      <w:pPr>
        <w:tabs>
          <w:tab w:val="num" w:pos="3600"/>
        </w:tabs>
        <w:ind w:left="3600" w:hanging="360"/>
      </w:pPr>
      <w:rPr>
        <w:rFonts w:ascii="Wingdings" w:hAnsi="Wingdings" w:hint="default"/>
        <w:sz w:val="20"/>
      </w:rPr>
    </w:lvl>
    <w:lvl w:ilvl="5" w:tplc="53460E2A" w:tentative="1">
      <w:start w:val="1"/>
      <w:numFmt w:val="bullet"/>
      <w:lvlText w:val=""/>
      <w:lvlJc w:val="left"/>
      <w:pPr>
        <w:tabs>
          <w:tab w:val="num" w:pos="4320"/>
        </w:tabs>
        <w:ind w:left="4320" w:hanging="360"/>
      </w:pPr>
      <w:rPr>
        <w:rFonts w:ascii="Wingdings" w:hAnsi="Wingdings" w:hint="default"/>
        <w:sz w:val="20"/>
      </w:rPr>
    </w:lvl>
    <w:lvl w:ilvl="6" w:tplc="C48257F2" w:tentative="1">
      <w:start w:val="1"/>
      <w:numFmt w:val="bullet"/>
      <w:lvlText w:val=""/>
      <w:lvlJc w:val="left"/>
      <w:pPr>
        <w:tabs>
          <w:tab w:val="num" w:pos="5040"/>
        </w:tabs>
        <w:ind w:left="5040" w:hanging="360"/>
      </w:pPr>
      <w:rPr>
        <w:rFonts w:ascii="Wingdings" w:hAnsi="Wingdings" w:hint="default"/>
        <w:sz w:val="20"/>
      </w:rPr>
    </w:lvl>
    <w:lvl w:ilvl="7" w:tplc="6BE4A60C" w:tentative="1">
      <w:start w:val="1"/>
      <w:numFmt w:val="bullet"/>
      <w:lvlText w:val=""/>
      <w:lvlJc w:val="left"/>
      <w:pPr>
        <w:tabs>
          <w:tab w:val="num" w:pos="5760"/>
        </w:tabs>
        <w:ind w:left="5760" w:hanging="360"/>
      </w:pPr>
      <w:rPr>
        <w:rFonts w:ascii="Wingdings" w:hAnsi="Wingdings" w:hint="default"/>
        <w:sz w:val="20"/>
      </w:rPr>
    </w:lvl>
    <w:lvl w:ilvl="8" w:tplc="CCF2D582"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918855605">
    <w:abstractNumId w:val="10"/>
  </w:num>
  <w:num w:numId="2" w16cid:durableId="769423882">
    <w:abstractNumId w:val="8"/>
  </w:num>
  <w:num w:numId="3" w16cid:durableId="720642149">
    <w:abstractNumId w:val="13"/>
  </w:num>
  <w:num w:numId="4" w16cid:durableId="884105109">
    <w:abstractNumId w:val="17"/>
  </w:num>
  <w:num w:numId="5" w16cid:durableId="761218868">
    <w:abstractNumId w:val="22"/>
  </w:num>
  <w:num w:numId="6" w16cid:durableId="58982418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6483795">
    <w:abstractNumId w:val="19"/>
  </w:num>
  <w:num w:numId="8" w16cid:durableId="117573536">
    <w:abstractNumId w:val="0"/>
  </w:num>
  <w:num w:numId="9" w16cid:durableId="747730952">
    <w:abstractNumId w:val="3"/>
  </w:num>
  <w:num w:numId="10" w16cid:durableId="10178036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49794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233373">
    <w:abstractNumId w:val="9"/>
  </w:num>
  <w:num w:numId="13" w16cid:durableId="577860864">
    <w:abstractNumId w:val="12"/>
  </w:num>
  <w:num w:numId="14" w16cid:durableId="1299412444">
    <w:abstractNumId w:val="7"/>
  </w:num>
  <w:num w:numId="15" w16cid:durableId="81417734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696809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11613563">
    <w:abstractNumId w:val="24"/>
  </w:num>
  <w:num w:numId="18" w16cid:durableId="2026470837">
    <w:abstractNumId w:val="14"/>
  </w:num>
  <w:num w:numId="19" w16cid:durableId="664671778">
    <w:abstractNumId w:val="2"/>
  </w:num>
  <w:num w:numId="20" w16cid:durableId="677124299">
    <w:abstractNumId w:val="25"/>
  </w:num>
  <w:num w:numId="21" w16cid:durableId="697851509">
    <w:abstractNumId w:val="15"/>
  </w:num>
  <w:num w:numId="22" w16cid:durableId="101075780">
    <w:abstractNumId w:val="6"/>
  </w:num>
  <w:num w:numId="23" w16cid:durableId="1425030125">
    <w:abstractNumId w:val="4"/>
  </w:num>
  <w:num w:numId="24" w16cid:durableId="885095737">
    <w:abstractNumId w:val="23"/>
  </w:num>
  <w:num w:numId="25" w16cid:durableId="1878465791">
    <w:abstractNumId w:val="18"/>
  </w:num>
  <w:num w:numId="26" w16cid:durableId="658727632">
    <w:abstractNumId w:val="21"/>
  </w:num>
  <w:num w:numId="27" w16cid:durableId="1985045719">
    <w:abstractNumId w:val="5"/>
  </w:num>
  <w:num w:numId="28" w16cid:durableId="7382844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2B9"/>
    <w:rsid w:val="0000162E"/>
    <w:rsid w:val="00001A1C"/>
    <w:rsid w:val="00001FFD"/>
    <w:rsid w:val="00002027"/>
    <w:rsid w:val="000020FE"/>
    <w:rsid w:val="00002173"/>
    <w:rsid w:val="000031A8"/>
    <w:rsid w:val="00003C5C"/>
    <w:rsid w:val="00003D39"/>
    <w:rsid w:val="000040D7"/>
    <w:rsid w:val="00004556"/>
    <w:rsid w:val="000047A2"/>
    <w:rsid w:val="00004C66"/>
    <w:rsid w:val="000051AF"/>
    <w:rsid w:val="000059D3"/>
    <w:rsid w:val="00005B6D"/>
    <w:rsid w:val="0000600A"/>
    <w:rsid w:val="00006081"/>
    <w:rsid w:val="0000619E"/>
    <w:rsid w:val="00007750"/>
    <w:rsid w:val="000077FD"/>
    <w:rsid w:val="00007E37"/>
    <w:rsid w:val="00010C40"/>
    <w:rsid w:val="000112B4"/>
    <w:rsid w:val="00011DCC"/>
    <w:rsid w:val="00012532"/>
    <w:rsid w:val="00012B45"/>
    <w:rsid w:val="00012B9E"/>
    <w:rsid w:val="00012F37"/>
    <w:rsid w:val="00012FBA"/>
    <w:rsid w:val="00013A6A"/>
    <w:rsid w:val="00013C6B"/>
    <w:rsid w:val="0001406B"/>
    <w:rsid w:val="000143F8"/>
    <w:rsid w:val="00014624"/>
    <w:rsid w:val="00014C49"/>
    <w:rsid w:val="00015B44"/>
    <w:rsid w:val="00016081"/>
    <w:rsid w:val="000165AC"/>
    <w:rsid w:val="00016651"/>
    <w:rsid w:val="000171A2"/>
    <w:rsid w:val="000175BD"/>
    <w:rsid w:val="000177FD"/>
    <w:rsid w:val="00017A97"/>
    <w:rsid w:val="00017B65"/>
    <w:rsid w:val="00017FDA"/>
    <w:rsid w:val="00020158"/>
    <w:rsid w:val="000207E0"/>
    <w:rsid w:val="000209E2"/>
    <w:rsid w:val="00020F8F"/>
    <w:rsid w:val="00021A95"/>
    <w:rsid w:val="0002256F"/>
    <w:rsid w:val="00023DAE"/>
    <w:rsid w:val="00024896"/>
    <w:rsid w:val="000255FA"/>
    <w:rsid w:val="000256F7"/>
    <w:rsid w:val="00025D0A"/>
    <w:rsid w:val="000263F0"/>
    <w:rsid w:val="00026407"/>
    <w:rsid w:val="00026608"/>
    <w:rsid w:val="00027787"/>
    <w:rsid w:val="000278D2"/>
    <w:rsid w:val="00030DFB"/>
    <w:rsid w:val="00031262"/>
    <w:rsid w:val="00031364"/>
    <w:rsid w:val="000315E1"/>
    <w:rsid w:val="0003236E"/>
    <w:rsid w:val="0003339A"/>
    <w:rsid w:val="000341F2"/>
    <w:rsid w:val="00035046"/>
    <w:rsid w:val="000351F2"/>
    <w:rsid w:val="000363FF"/>
    <w:rsid w:val="00036618"/>
    <w:rsid w:val="00036E03"/>
    <w:rsid w:val="00037526"/>
    <w:rsid w:val="000402D3"/>
    <w:rsid w:val="000406DB"/>
    <w:rsid w:val="0004094D"/>
    <w:rsid w:val="00041029"/>
    <w:rsid w:val="00041357"/>
    <w:rsid w:val="0004149B"/>
    <w:rsid w:val="00041FC6"/>
    <w:rsid w:val="00042961"/>
    <w:rsid w:val="00042C25"/>
    <w:rsid w:val="00042D03"/>
    <w:rsid w:val="00043086"/>
    <w:rsid w:val="000430A0"/>
    <w:rsid w:val="00043439"/>
    <w:rsid w:val="000435D0"/>
    <w:rsid w:val="0004379E"/>
    <w:rsid w:val="000437CE"/>
    <w:rsid w:val="00043D3B"/>
    <w:rsid w:val="0004418C"/>
    <w:rsid w:val="00044204"/>
    <w:rsid w:val="0004477A"/>
    <w:rsid w:val="000449D4"/>
    <w:rsid w:val="0004600D"/>
    <w:rsid w:val="000463B5"/>
    <w:rsid w:val="00046717"/>
    <w:rsid w:val="00046A63"/>
    <w:rsid w:val="00046C09"/>
    <w:rsid w:val="0004716A"/>
    <w:rsid w:val="00047385"/>
    <w:rsid w:val="000473E8"/>
    <w:rsid w:val="00047591"/>
    <w:rsid w:val="00047F3F"/>
    <w:rsid w:val="000504DE"/>
    <w:rsid w:val="00051074"/>
    <w:rsid w:val="00051186"/>
    <w:rsid w:val="000526F0"/>
    <w:rsid w:val="0005273D"/>
    <w:rsid w:val="00052B79"/>
    <w:rsid w:val="00052D73"/>
    <w:rsid w:val="00052E4B"/>
    <w:rsid w:val="00052EA0"/>
    <w:rsid w:val="000536A7"/>
    <w:rsid w:val="000536E3"/>
    <w:rsid w:val="00053896"/>
    <w:rsid w:val="00053A00"/>
    <w:rsid w:val="0005474D"/>
    <w:rsid w:val="0005564E"/>
    <w:rsid w:val="00055CB9"/>
    <w:rsid w:val="00056F66"/>
    <w:rsid w:val="0005702F"/>
    <w:rsid w:val="000601EA"/>
    <w:rsid w:val="00061010"/>
    <w:rsid w:val="00061D06"/>
    <w:rsid w:val="000625D1"/>
    <w:rsid w:val="00062CDD"/>
    <w:rsid w:val="00062DB3"/>
    <w:rsid w:val="00063265"/>
    <w:rsid w:val="00063472"/>
    <w:rsid w:val="000635FA"/>
    <w:rsid w:val="000640AF"/>
    <w:rsid w:val="000648E1"/>
    <w:rsid w:val="00064940"/>
    <w:rsid w:val="00064CAE"/>
    <w:rsid w:val="00064DB7"/>
    <w:rsid w:val="00064FA7"/>
    <w:rsid w:val="00065195"/>
    <w:rsid w:val="0006536C"/>
    <w:rsid w:val="00065C70"/>
    <w:rsid w:val="0006626E"/>
    <w:rsid w:val="00070A44"/>
    <w:rsid w:val="00070AF1"/>
    <w:rsid w:val="000714DE"/>
    <w:rsid w:val="0007254F"/>
    <w:rsid w:val="0007357C"/>
    <w:rsid w:val="00073990"/>
    <w:rsid w:val="00073C30"/>
    <w:rsid w:val="00073F55"/>
    <w:rsid w:val="00074305"/>
    <w:rsid w:val="000744D0"/>
    <w:rsid w:val="00074B2A"/>
    <w:rsid w:val="00074EEE"/>
    <w:rsid w:val="00075010"/>
    <w:rsid w:val="000753D5"/>
    <w:rsid w:val="00075A5D"/>
    <w:rsid w:val="00075B3E"/>
    <w:rsid w:val="00076456"/>
    <w:rsid w:val="00076F36"/>
    <w:rsid w:val="0007773F"/>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0"/>
    <w:rsid w:val="00085FB3"/>
    <w:rsid w:val="0008686B"/>
    <w:rsid w:val="00086B2A"/>
    <w:rsid w:val="00086ED2"/>
    <w:rsid w:val="00087A64"/>
    <w:rsid w:val="000907CA"/>
    <w:rsid w:val="000914D6"/>
    <w:rsid w:val="00091569"/>
    <w:rsid w:val="00092023"/>
    <w:rsid w:val="00092B71"/>
    <w:rsid w:val="00092CDB"/>
    <w:rsid w:val="00092DCA"/>
    <w:rsid w:val="000942EB"/>
    <w:rsid w:val="00094F22"/>
    <w:rsid w:val="00095B70"/>
    <w:rsid w:val="0009617E"/>
    <w:rsid w:val="0009628D"/>
    <w:rsid w:val="0009670F"/>
    <w:rsid w:val="000972FA"/>
    <w:rsid w:val="0009759E"/>
    <w:rsid w:val="000979CF"/>
    <w:rsid w:val="000A03C8"/>
    <w:rsid w:val="000A05F2"/>
    <w:rsid w:val="000A06C4"/>
    <w:rsid w:val="000A0861"/>
    <w:rsid w:val="000A0EC4"/>
    <w:rsid w:val="000A0ED1"/>
    <w:rsid w:val="000A12DB"/>
    <w:rsid w:val="000A17C8"/>
    <w:rsid w:val="000A1B74"/>
    <w:rsid w:val="000A20D7"/>
    <w:rsid w:val="000A2128"/>
    <w:rsid w:val="000A362F"/>
    <w:rsid w:val="000A38F9"/>
    <w:rsid w:val="000A3B49"/>
    <w:rsid w:val="000A46FE"/>
    <w:rsid w:val="000A47E6"/>
    <w:rsid w:val="000A52C0"/>
    <w:rsid w:val="000A5AAF"/>
    <w:rsid w:val="000A5F97"/>
    <w:rsid w:val="000A648E"/>
    <w:rsid w:val="000A7268"/>
    <w:rsid w:val="000A73BB"/>
    <w:rsid w:val="000A73E8"/>
    <w:rsid w:val="000A7EF4"/>
    <w:rsid w:val="000B0A15"/>
    <w:rsid w:val="000B0EED"/>
    <w:rsid w:val="000B103F"/>
    <w:rsid w:val="000B1437"/>
    <w:rsid w:val="000B1470"/>
    <w:rsid w:val="000B244D"/>
    <w:rsid w:val="000B2B86"/>
    <w:rsid w:val="000B3051"/>
    <w:rsid w:val="000B404C"/>
    <w:rsid w:val="000B419B"/>
    <w:rsid w:val="000B5781"/>
    <w:rsid w:val="000B5CB1"/>
    <w:rsid w:val="000B7377"/>
    <w:rsid w:val="000B75F4"/>
    <w:rsid w:val="000C0185"/>
    <w:rsid w:val="000C0D2D"/>
    <w:rsid w:val="000C0F81"/>
    <w:rsid w:val="000C128D"/>
    <w:rsid w:val="000C17A3"/>
    <w:rsid w:val="000C1D4B"/>
    <w:rsid w:val="000C2DC4"/>
    <w:rsid w:val="000C3216"/>
    <w:rsid w:val="000C3260"/>
    <w:rsid w:val="000C3B77"/>
    <w:rsid w:val="000C3F6D"/>
    <w:rsid w:val="000C401B"/>
    <w:rsid w:val="000C4F49"/>
    <w:rsid w:val="000C5861"/>
    <w:rsid w:val="000C5BDE"/>
    <w:rsid w:val="000C61FD"/>
    <w:rsid w:val="000C639D"/>
    <w:rsid w:val="000C6C31"/>
    <w:rsid w:val="000C6DBC"/>
    <w:rsid w:val="000C6F79"/>
    <w:rsid w:val="000C734E"/>
    <w:rsid w:val="000C7476"/>
    <w:rsid w:val="000C7480"/>
    <w:rsid w:val="000C7711"/>
    <w:rsid w:val="000C7AA2"/>
    <w:rsid w:val="000D00A5"/>
    <w:rsid w:val="000D0462"/>
    <w:rsid w:val="000D053D"/>
    <w:rsid w:val="000D06EB"/>
    <w:rsid w:val="000D0ED2"/>
    <w:rsid w:val="000D17E1"/>
    <w:rsid w:val="000D1CEB"/>
    <w:rsid w:val="000D2563"/>
    <w:rsid w:val="000D25BF"/>
    <w:rsid w:val="000D2FE4"/>
    <w:rsid w:val="000D3FDC"/>
    <w:rsid w:val="000D490B"/>
    <w:rsid w:val="000D4E38"/>
    <w:rsid w:val="000D50DB"/>
    <w:rsid w:val="000D553C"/>
    <w:rsid w:val="000D5E98"/>
    <w:rsid w:val="000D6288"/>
    <w:rsid w:val="000D7002"/>
    <w:rsid w:val="000D728B"/>
    <w:rsid w:val="000D7541"/>
    <w:rsid w:val="000D75E1"/>
    <w:rsid w:val="000E22CF"/>
    <w:rsid w:val="000E2977"/>
    <w:rsid w:val="000E2CC0"/>
    <w:rsid w:val="000E30AC"/>
    <w:rsid w:val="000E38DB"/>
    <w:rsid w:val="000E3B46"/>
    <w:rsid w:val="000E3E11"/>
    <w:rsid w:val="000E4596"/>
    <w:rsid w:val="000E4B94"/>
    <w:rsid w:val="000E4D50"/>
    <w:rsid w:val="000E5041"/>
    <w:rsid w:val="000E5768"/>
    <w:rsid w:val="000E5843"/>
    <w:rsid w:val="000E6139"/>
    <w:rsid w:val="000E63B7"/>
    <w:rsid w:val="000E653C"/>
    <w:rsid w:val="000E6BE1"/>
    <w:rsid w:val="000E7E0B"/>
    <w:rsid w:val="000F0136"/>
    <w:rsid w:val="000F078A"/>
    <w:rsid w:val="000F08E2"/>
    <w:rsid w:val="000F122D"/>
    <w:rsid w:val="000F1450"/>
    <w:rsid w:val="000F14E8"/>
    <w:rsid w:val="000F1BBD"/>
    <w:rsid w:val="000F25BC"/>
    <w:rsid w:val="000F290F"/>
    <w:rsid w:val="000F4403"/>
    <w:rsid w:val="000F480B"/>
    <w:rsid w:val="000F4E17"/>
    <w:rsid w:val="000F5209"/>
    <w:rsid w:val="000F5615"/>
    <w:rsid w:val="000F62BE"/>
    <w:rsid w:val="000F6578"/>
    <w:rsid w:val="000F6F92"/>
    <w:rsid w:val="000F7E8F"/>
    <w:rsid w:val="000F7FBB"/>
    <w:rsid w:val="001000FB"/>
    <w:rsid w:val="00100A9E"/>
    <w:rsid w:val="00100F6A"/>
    <w:rsid w:val="001012D5"/>
    <w:rsid w:val="00102605"/>
    <w:rsid w:val="00102686"/>
    <w:rsid w:val="00102745"/>
    <w:rsid w:val="00102DB9"/>
    <w:rsid w:val="00103345"/>
    <w:rsid w:val="00103795"/>
    <w:rsid w:val="00103915"/>
    <w:rsid w:val="001039AA"/>
    <w:rsid w:val="00103EA0"/>
    <w:rsid w:val="00104149"/>
    <w:rsid w:val="00104F1C"/>
    <w:rsid w:val="001051E5"/>
    <w:rsid w:val="00105A74"/>
    <w:rsid w:val="00105ACB"/>
    <w:rsid w:val="00105AEF"/>
    <w:rsid w:val="00105E5E"/>
    <w:rsid w:val="00106259"/>
    <w:rsid w:val="001068EB"/>
    <w:rsid w:val="00106CD1"/>
    <w:rsid w:val="00106F65"/>
    <w:rsid w:val="001078CE"/>
    <w:rsid w:val="001103BC"/>
    <w:rsid w:val="00110F61"/>
    <w:rsid w:val="001111BD"/>
    <w:rsid w:val="00111426"/>
    <w:rsid w:val="0011165A"/>
    <w:rsid w:val="00111B2B"/>
    <w:rsid w:val="00112774"/>
    <w:rsid w:val="00112B2E"/>
    <w:rsid w:val="00113003"/>
    <w:rsid w:val="00113062"/>
    <w:rsid w:val="001131FF"/>
    <w:rsid w:val="00113705"/>
    <w:rsid w:val="00113975"/>
    <w:rsid w:val="00113CFC"/>
    <w:rsid w:val="00113F6C"/>
    <w:rsid w:val="00113FEA"/>
    <w:rsid w:val="001149D1"/>
    <w:rsid w:val="00114A22"/>
    <w:rsid w:val="00114E9D"/>
    <w:rsid w:val="0011507B"/>
    <w:rsid w:val="00116328"/>
    <w:rsid w:val="001163CF"/>
    <w:rsid w:val="001166C5"/>
    <w:rsid w:val="001174C9"/>
    <w:rsid w:val="00117CF9"/>
    <w:rsid w:val="00117E69"/>
    <w:rsid w:val="00120CCE"/>
    <w:rsid w:val="00121103"/>
    <w:rsid w:val="00121BAB"/>
    <w:rsid w:val="00121E3C"/>
    <w:rsid w:val="00122B23"/>
    <w:rsid w:val="00122B7E"/>
    <w:rsid w:val="00123E27"/>
    <w:rsid w:val="00123FB5"/>
    <w:rsid w:val="0012400F"/>
    <w:rsid w:val="001249DC"/>
    <w:rsid w:val="0012572D"/>
    <w:rsid w:val="00125BED"/>
    <w:rsid w:val="00125C59"/>
    <w:rsid w:val="00125D4F"/>
    <w:rsid w:val="001269B8"/>
    <w:rsid w:val="00127004"/>
    <w:rsid w:val="00127AF2"/>
    <w:rsid w:val="00127EDC"/>
    <w:rsid w:val="00127F42"/>
    <w:rsid w:val="00127F6D"/>
    <w:rsid w:val="00130355"/>
    <w:rsid w:val="00130365"/>
    <w:rsid w:val="001304E5"/>
    <w:rsid w:val="00131B5A"/>
    <w:rsid w:val="00131DA9"/>
    <w:rsid w:val="001320BE"/>
    <w:rsid w:val="00132C30"/>
    <w:rsid w:val="00132EFD"/>
    <w:rsid w:val="0013353A"/>
    <w:rsid w:val="00133AED"/>
    <w:rsid w:val="00134BCD"/>
    <w:rsid w:val="00134E09"/>
    <w:rsid w:val="001350AB"/>
    <w:rsid w:val="001353E2"/>
    <w:rsid w:val="00135DB9"/>
    <w:rsid w:val="00135E5D"/>
    <w:rsid w:val="0013695C"/>
    <w:rsid w:val="00136BF7"/>
    <w:rsid w:val="00136C78"/>
    <w:rsid w:val="001378B9"/>
    <w:rsid w:val="00137FFA"/>
    <w:rsid w:val="00140109"/>
    <w:rsid w:val="0014029B"/>
    <w:rsid w:val="00140464"/>
    <w:rsid w:val="00140A4F"/>
    <w:rsid w:val="001413AB"/>
    <w:rsid w:val="0014163E"/>
    <w:rsid w:val="00141AE6"/>
    <w:rsid w:val="00141BF7"/>
    <w:rsid w:val="00141DBF"/>
    <w:rsid w:val="00142237"/>
    <w:rsid w:val="00142EFD"/>
    <w:rsid w:val="00143330"/>
    <w:rsid w:val="00144335"/>
    <w:rsid w:val="0014502F"/>
    <w:rsid w:val="00145282"/>
    <w:rsid w:val="001453B0"/>
    <w:rsid w:val="001454D9"/>
    <w:rsid w:val="00145D8E"/>
    <w:rsid w:val="00146083"/>
    <w:rsid w:val="001462F7"/>
    <w:rsid w:val="001471AB"/>
    <w:rsid w:val="00147F35"/>
    <w:rsid w:val="00150005"/>
    <w:rsid w:val="0015162F"/>
    <w:rsid w:val="00151AEB"/>
    <w:rsid w:val="00151B99"/>
    <w:rsid w:val="00151DF3"/>
    <w:rsid w:val="00151E79"/>
    <w:rsid w:val="001521B2"/>
    <w:rsid w:val="00152EDD"/>
    <w:rsid w:val="00153491"/>
    <w:rsid w:val="0015361C"/>
    <w:rsid w:val="0015372F"/>
    <w:rsid w:val="00153BFB"/>
    <w:rsid w:val="0015407E"/>
    <w:rsid w:val="0015415A"/>
    <w:rsid w:val="0015430A"/>
    <w:rsid w:val="0015448E"/>
    <w:rsid w:val="00154A6F"/>
    <w:rsid w:val="00155D08"/>
    <w:rsid w:val="001561F3"/>
    <w:rsid w:val="0015623B"/>
    <w:rsid w:val="00156BE5"/>
    <w:rsid w:val="00157232"/>
    <w:rsid w:val="00160401"/>
    <w:rsid w:val="00160D4E"/>
    <w:rsid w:val="00161303"/>
    <w:rsid w:val="00161DDA"/>
    <w:rsid w:val="00161E62"/>
    <w:rsid w:val="00161F1C"/>
    <w:rsid w:val="0016200B"/>
    <w:rsid w:val="0016204B"/>
    <w:rsid w:val="00162AFD"/>
    <w:rsid w:val="00163BBD"/>
    <w:rsid w:val="00163D7A"/>
    <w:rsid w:val="00164281"/>
    <w:rsid w:val="00165703"/>
    <w:rsid w:val="00166204"/>
    <w:rsid w:val="00166726"/>
    <w:rsid w:val="0016685F"/>
    <w:rsid w:val="0016712F"/>
    <w:rsid w:val="00167503"/>
    <w:rsid w:val="001676A9"/>
    <w:rsid w:val="00167A15"/>
    <w:rsid w:val="00167A50"/>
    <w:rsid w:val="00167D1A"/>
    <w:rsid w:val="00167DF5"/>
    <w:rsid w:val="00170001"/>
    <w:rsid w:val="00172198"/>
    <w:rsid w:val="00172612"/>
    <w:rsid w:val="00172817"/>
    <w:rsid w:val="001734E3"/>
    <w:rsid w:val="001736A7"/>
    <w:rsid w:val="001742BF"/>
    <w:rsid w:val="001742E1"/>
    <w:rsid w:val="00175E49"/>
    <w:rsid w:val="0017649F"/>
    <w:rsid w:val="0017655B"/>
    <w:rsid w:val="001805C1"/>
    <w:rsid w:val="00180826"/>
    <w:rsid w:val="00180A2E"/>
    <w:rsid w:val="001813AF"/>
    <w:rsid w:val="001827A1"/>
    <w:rsid w:val="001829CD"/>
    <w:rsid w:val="00182A1D"/>
    <w:rsid w:val="00182F01"/>
    <w:rsid w:val="00183874"/>
    <w:rsid w:val="00184219"/>
    <w:rsid w:val="00184F27"/>
    <w:rsid w:val="0018519B"/>
    <w:rsid w:val="00185966"/>
    <w:rsid w:val="00185A2D"/>
    <w:rsid w:val="00185AFE"/>
    <w:rsid w:val="00185E78"/>
    <w:rsid w:val="00186A4F"/>
    <w:rsid w:val="00187177"/>
    <w:rsid w:val="00187250"/>
    <w:rsid w:val="00187ABD"/>
    <w:rsid w:val="0019004B"/>
    <w:rsid w:val="00190396"/>
    <w:rsid w:val="001904E3"/>
    <w:rsid w:val="0019087A"/>
    <w:rsid w:val="00190CCC"/>
    <w:rsid w:val="00190E13"/>
    <w:rsid w:val="00191C5A"/>
    <w:rsid w:val="00191CEB"/>
    <w:rsid w:val="00191E63"/>
    <w:rsid w:val="00192019"/>
    <w:rsid w:val="0019257F"/>
    <w:rsid w:val="00192D68"/>
    <w:rsid w:val="0019388B"/>
    <w:rsid w:val="00193ADE"/>
    <w:rsid w:val="00193B9A"/>
    <w:rsid w:val="001940ED"/>
    <w:rsid w:val="0019425D"/>
    <w:rsid w:val="001946AE"/>
    <w:rsid w:val="001946D5"/>
    <w:rsid w:val="00194E8C"/>
    <w:rsid w:val="001962EC"/>
    <w:rsid w:val="001963DD"/>
    <w:rsid w:val="001965DB"/>
    <w:rsid w:val="00196D01"/>
    <w:rsid w:val="00196DC9"/>
    <w:rsid w:val="00196E95"/>
    <w:rsid w:val="00197758"/>
    <w:rsid w:val="00197891"/>
    <w:rsid w:val="001A0236"/>
    <w:rsid w:val="001A0915"/>
    <w:rsid w:val="001A0AF8"/>
    <w:rsid w:val="001A1490"/>
    <w:rsid w:val="001A18D5"/>
    <w:rsid w:val="001A1A38"/>
    <w:rsid w:val="001A1BE0"/>
    <w:rsid w:val="001A1D4A"/>
    <w:rsid w:val="001A1EB7"/>
    <w:rsid w:val="001A2993"/>
    <w:rsid w:val="001A3011"/>
    <w:rsid w:val="001A33F1"/>
    <w:rsid w:val="001A3FC8"/>
    <w:rsid w:val="001A4A9B"/>
    <w:rsid w:val="001A4DAF"/>
    <w:rsid w:val="001A4EBB"/>
    <w:rsid w:val="001A54CD"/>
    <w:rsid w:val="001A5D74"/>
    <w:rsid w:val="001A66DF"/>
    <w:rsid w:val="001A67D0"/>
    <w:rsid w:val="001A6863"/>
    <w:rsid w:val="001A7591"/>
    <w:rsid w:val="001A75B1"/>
    <w:rsid w:val="001A7B06"/>
    <w:rsid w:val="001B0366"/>
    <w:rsid w:val="001B0444"/>
    <w:rsid w:val="001B07D9"/>
    <w:rsid w:val="001B096B"/>
    <w:rsid w:val="001B0F9F"/>
    <w:rsid w:val="001B123C"/>
    <w:rsid w:val="001B1A0D"/>
    <w:rsid w:val="001B1BF1"/>
    <w:rsid w:val="001B1E12"/>
    <w:rsid w:val="001B2083"/>
    <w:rsid w:val="001B2456"/>
    <w:rsid w:val="001B2C14"/>
    <w:rsid w:val="001B2C57"/>
    <w:rsid w:val="001B2D7F"/>
    <w:rsid w:val="001B376C"/>
    <w:rsid w:val="001B3CC4"/>
    <w:rsid w:val="001B449C"/>
    <w:rsid w:val="001B4AA2"/>
    <w:rsid w:val="001B4ADE"/>
    <w:rsid w:val="001B5530"/>
    <w:rsid w:val="001B5EF8"/>
    <w:rsid w:val="001B6C54"/>
    <w:rsid w:val="001B71E8"/>
    <w:rsid w:val="001B787E"/>
    <w:rsid w:val="001C07C6"/>
    <w:rsid w:val="001C120D"/>
    <w:rsid w:val="001C19CD"/>
    <w:rsid w:val="001C22D5"/>
    <w:rsid w:val="001C2515"/>
    <w:rsid w:val="001C26FB"/>
    <w:rsid w:val="001C33C1"/>
    <w:rsid w:val="001C34AF"/>
    <w:rsid w:val="001C3E30"/>
    <w:rsid w:val="001C3E5C"/>
    <w:rsid w:val="001C5072"/>
    <w:rsid w:val="001C5B2A"/>
    <w:rsid w:val="001C600B"/>
    <w:rsid w:val="001C64F9"/>
    <w:rsid w:val="001C6898"/>
    <w:rsid w:val="001C6DD8"/>
    <w:rsid w:val="001C76FA"/>
    <w:rsid w:val="001C79A4"/>
    <w:rsid w:val="001C7C7B"/>
    <w:rsid w:val="001D03BB"/>
    <w:rsid w:val="001D068D"/>
    <w:rsid w:val="001D1194"/>
    <w:rsid w:val="001D12D1"/>
    <w:rsid w:val="001D15DF"/>
    <w:rsid w:val="001D23D4"/>
    <w:rsid w:val="001D2EEE"/>
    <w:rsid w:val="001D30F3"/>
    <w:rsid w:val="001D31A0"/>
    <w:rsid w:val="001D338E"/>
    <w:rsid w:val="001D51DD"/>
    <w:rsid w:val="001D56E9"/>
    <w:rsid w:val="001D5E55"/>
    <w:rsid w:val="001D5EED"/>
    <w:rsid w:val="001D639C"/>
    <w:rsid w:val="001D7616"/>
    <w:rsid w:val="001D76F3"/>
    <w:rsid w:val="001D776A"/>
    <w:rsid w:val="001D796A"/>
    <w:rsid w:val="001D7A84"/>
    <w:rsid w:val="001D7BF1"/>
    <w:rsid w:val="001D7C79"/>
    <w:rsid w:val="001E003B"/>
    <w:rsid w:val="001E0877"/>
    <w:rsid w:val="001E1362"/>
    <w:rsid w:val="001E192A"/>
    <w:rsid w:val="001E1A88"/>
    <w:rsid w:val="001E1CC4"/>
    <w:rsid w:val="001E1D38"/>
    <w:rsid w:val="001E28A0"/>
    <w:rsid w:val="001E2A95"/>
    <w:rsid w:val="001E2D23"/>
    <w:rsid w:val="001E3E26"/>
    <w:rsid w:val="001E3FFE"/>
    <w:rsid w:val="001E4258"/>
    <w:rsid w:val="001E5140"/>
    <w:rsid w:val="001E51C2"/>
    <w:rsid w:val="001E5D6A"/>
    <w:rsid w:val="001E6A63"/>
    <w:rsid w:val="001E6A94"/>
    <w:rsid w:val="001E70FB"/>
    <w:rsid w:val="001E780A"/>
    <w:rsid w:val="001E78BB"/>
    <w:rsid w:val="001E79AE"/>
    <w:rsid w:val="001F0D15"/>
    <w:rsid w:val="001F0FA0"/>
    <w:rsid w:val="001F1194"/>
    <w:rsid w:val="001F1349"/>
    <w:rsid w:val="001F1863"/>
    <w:rsid w:val="001F2356"/>
    <w:rsid w:val="001F2A68"/>
    <w:rsid w:val="001F3157"/>
    <w:rsid w:val="001F3A05"/>
    <w:rsid w:val="001F4773"/>
    <w:rsid w:val="001F5008"/>
    <w:rsid w:val="001F56AA"/>
    <w:rsid w:val="001F58AA"/>
    <w:rsid w:val="001F5A4E"/>
    <w:rsid w:val="001F5CBC"/>
    <w:rsid w:val="001F5EF6"/>
    <w:rsid w:val="001F657F"/>
    <w:rsid w:val="001F6FB6"/>
    <w:rsid w:val="001F72BB"/>
    <w:rsid w:val="001F7978"/>
    <w:rsid w:val="001F7A0E"/>
    <w:rsid w:val="001F7A4B"/>
    <w:rsid w:val="0020022E"/>
    <w:rsid w:val="0020054E"/>
    <w:rsid w:val="00201508"/>
    <w:rsid w:val="00201AC4"/>
    <w:rsid w:val="00201BD7"/>
    <w:rsid w:val="00201F1E"/>
    <w:rsid w:val="00202761"/>
    <w:rsid w:val="0020299B"/>
    <w:rsid w:val="00202E44"/>
    <w:rsid w:val="002037AA"/>
    <w:rsid w:val="00203FE3"/>
    <w:rsid w:val="002042D8"/>
    <w:rsid w:val="00204379"/>
    <w:rsid w:val="00204515"/>
    <w:rsid w:val="00204BF5"/>
    <w:rsid w:val="00204E6B"/>
    <w:rsid w:val="002053EF"/>
    <w:rsid w:val="002058D4"/>
    <w:rsid w:val="00206172"/>
    <w:rsid w:val="0020632A"/>
    <w:rsid w:val="0020697F"/>
    <w:rsid w:val="0020726E"/>
    <w:rsid w:val="002110EB"/>
    <w:rsid w:val="00211338"/>
    <w:rsid w:val="00211388"/>
    <w:rsid w:val="0021148C"/>
    <w:rsid w:val="00211694"/>
    <w:rsid w:val="00211F2E"/>
    <w:rsid w:val="0021201A"/>
    <w:rsid w:val="00212545"/>
    <w:rsid w:val="002138FE"/>
    <w:rsid w:val="00213A1F"/>
    <w:rsid w:val="00213C63"/>
    <w:rsid w:val="00214502"/>
    <w:rsid w:val="002145E7"/>
    <w:rsid w:val="00214741"/>
    <w:rsid w:val="00214938"/>
    <w:rsid w:val="0021539A"/>
    <w:rsid w:val="00215852"/>
    <w:rsid w:val="00215B01"/>
    <w:rsid w:val="00215B8E"/>
    <w:rsid w:val="00216264"/>
    <w:rsid w:val="002169A0"/>
    <w:rsid w:val="002176B6"/>
    <w:rsid w:val="0021792D"/>
    <w:rsid w:val="00217D17"/>
    <w:rsid w:val="00217DB8"/>
    <w:rsid w:val="002202CE"/>
    <w:rsid w:val="0022032A"/>
    <w:rsid w:val="0022194E"/>
    <w:rsid w:val="00221CEF"/>
    <w:rsid w:val="002220B1"/>
    <w:rsid w:val="002221CE"/>
    <w:rsid w:val="00222BE8"/>
    <w:rsid w:val="00222DC1"/>
    <w:rsid w:val="00222DFB"/>
    <w:rsid w:val="00223102"/>
    <w:rsid w:val="002232CB"/>
    <w:rsid w:val="00224022"/>
    <w:rsid w:val="00226055"/>
    <w:rsid w:val="0022609C"/>
    <w:rsid w:val="0022613F"/>
    <w:rsid w:val="0022614F"/>
    <w:rsid w:val="00226236"/>
    <w:rsid w:val="002270C9"/>
    <w:rsid w:val="00227236"/>
    <w:rsid w:val="00227A8B"/>
    <w:rsid w:val="0023074D"/>
    <w:rsid w:val="0023146B"/>
    <w:rsid w:val="002315A0"/>
    <w:rsid w:val="00231748"/>
    <w:rsid w:val="00231EC7"/>
    <w:rsid w:val="00232E15"/>
    <w:rsid w:val="00233079"/>
    <w:rsid w:val="00233718"/>
    <w:rsid w:val="0023382C"/>
    <w:rsid w:val="00233977"/>
    <w:rsid w:val="00233C58"/>
    <w:rsid w:val="00233C71"/>
    <w:rsid w:val="002345B6"/>
    <w:rsid w:val="002347A6"/>
    <w:rsid w:val="00234B84"/>
    <w:rsid w:val="002355B1"/>
    <w:rsid w:val="00236016"/>
    <w:rsid w:val="00236963"/>
    <w:rsid w:val="00237065"/>
    <w:rsid w:val="00237589"/>
    <w:rsid w:val="0023758D"/>
    <w:rsid w:val="002375A7"/>
    <w:rsid w:val="00237EFF"/>
    <w:rsid w:val="00240171"/>
    <w:rsid w:val="0024019A"/>
    <w:rsid w:val="00240EC1"/>
    <w:rsid w:val="0024120F"/>
    <w:rsid w:val="0024125D"/>
    <w:rsid w:val="002412BC"/>
    <w:rsid w:val="0024131D"/>
    <w:rsid w:val="002415B8"/>
    <w:rsid w:val="00242D5F"/>
    <w:rsid w:val="00242D62"/>
    <w:rsid w:val="002430D0"/>
    <w:rsid w:val="002431D7"/>
    <w:rsid w:val="00243A65"/>
    <w:rsid w:val="00244058"/>
    <w:rsid w:val="00244861"/>
    <w:rsid w:val="002453E7"/>
    <w:rsid w:val="00245718"/>
    <w:rsid w:val="00245E07"/>
    <w:rsid w:val="002467F2"/>
    <w:rsid w:val="00246CEC"/>
    <w:rsid w:val="00247712"/>
    <w:rsid w:val="00250A9E"/>
    <w:rsid w:val="00250EC6"/>
    <w:rsid w:val="002515C7"/>
    <w:rsid w:val="00251866"/>
    <w:rsid w:val="00251A9F"/>
    <w:rsid w:val="00252492"/>
    <w:rsid w:val="00252B35"/>
    <w:rsid w:val="00253070"/>
    <w:rsid w:val="0025316D"/>
    <w:rsid w:val="00253784"/>
    <w:rsid w:val="00253A02"/>
    <w:rsid w:val="00253B81"/>
    <w:rsid w:val="002541AE"/>
    <w:rsid w:val="00254AE9"/>
    <w:rsid w:val="002554DE"/>
    <w:rsid w:val="00255575"/>
    <w:rsid w:val="00255E11"/>
    <w:rsid w:val="00256835"/>
    <w:rsid w:val="002569F0"/>
    <w:rsid w:val="00256C01"/>
    <w:rsid w:val="00256E1A"/>
    <w:rsid w:val="00256ECF"/>
    <w:rsid w:val="00257730"/>
    <w:rsid w:val="00257999"/>
    <w:rsid w:val="00257CDA"/>
    <w:rsid w:val="002604AA"/>
    <w:rsid w:val="0026129B"/>
    <w:rsid w:val="00261560"/>
    <w:rsid w:val="00261715"/>
    <w:rsid w:val="00261CF9"/>
    <w:rsid w:val="00261EC0"/>
    <w:rsid w:val="0026231B"/>
    <w:rsid w:val="00263101"/>
    <w:rsid w:val="002631D1"/>
    <w:rsid w:val="00263201"/>
    <w:rsid w:val="00263A37"/>
    <w:rsid w:val="00264266"/>
    <w:rsid w:val="002642E0"/>
    <w:rsid w:val="0026471F"/>
    <w:rsid w:val="0026480D"/>
    <w:rsid w:val="002653A6"/>
    <w:rsid w:val="00265BEF"/>
    <w:rsid w:val="00265C13"/>
    <w:rsid w:val="00265F47"/>
    <w:rsid w:val="002661F1"/>
    <w:rsid w:val="00266811"/>
    <w:rsid w:val="00266DB6"/>
    <w:rsid w:val="00267C66"/>
    <w:rsid w:val="00271168"/>
    <w:rsid w:val="002711A4"/>
    <w:rsid w:val="00271230"/>
    <w:rsid w:val="00271F13"/>
    <w:rsid w:val="00272945"/>
    <w:rsid w:val="00273768"/>
    <w:rsid w:val="0027482E"/>
    <w:rsid w:val="00274DB5"/>
    <w:rsid w:val="00275BB1"/>
    <w:rsid w:val="002763F4"/>
    <w:rsid w:val="00276B5A"/>
    <w:rsid w:val="00276E44"/>
    <w:rsid w:val="00277378"/>
    <w:rsid w:val="0027770B"/>
    <w:rsid w:val="00277933"/>
    <w:rsid w:val="00277F8D"/>
    <w:rsid w:val="00277FA7"/>
    <w:rsid w:val="00280046"/>
    <w:rsid w:val="00280B4F"/>
    <w:rsid w:val="00280F3D"/>
    <w:rsid w:val="0028106A"/>
    <w:rsid w:val="002816AF"/>
    <w:rsid w:val="00281EB4"/>
    <w:rsid w:val="00282E03"/>
    <w:rsid w:val="0028308E"/>
    <w:rsid w:val="002831D6"/>
    <w:rsid w:val="002834E9"/>
    <w:rsid w:val="00283A52"/>
    <w:rsid w:val="00283B0C"/>
    <w:rsid w:val="00283C5E"/>
    <w:rsid w:val="00283E26"/>
    <w:rsid w:val="0028428F"/>
    <w:rsid w:val="00284A32"/>
    <w:rsid w:val="00284CFC"/>
    <w:rsid w:val="0028580B"/>
    <w:rsid w:val="00285832"/>
    <w:rsid w:val="002858C9"/>
    <w:rsid w:val="00285969"/>
    <w:rsid w:val="00285D8E"/>
    <w:rsid w:val="00285E14"/>
    <w:rsid w:val="0028663B"/>
    <w:rsid w:val="00286CEC"/>
    <w:rsid w:val="002870F9"/>
    <w:rsid w:val="002871A9"/>
    <w:rsid w:val="00287505"/>
    <w:rsid w:val="00287BDB"/>
    <w:rsid w:val="00290781"/>
    <w:rsid w:val="00291784"/>
    <w:rsid w:val="00291D4A"/>
    <w:rsid w:val="00291F69"/>
    <w:rsid w:val="002920DF"/>
    <w:rsid w:val="002925F5"/>
    <w:rsid w:val="002928A3"/>
    <w:rsid w:val="002929BB"/>
    <w:rsid w:val="00293DA0"/>
    <w:rsid w:val="00294368"/>
    <w:rsid w:val="00294B78"/>
    <w:rsid w:val="0029501B"/>
    <w:rsid w:val="00295416"/>
    <w:rsid w:val="00295949"/>
    <w:rsid w:val="00295D7C"/>
    <w:rsid w:val="0029624A"/>
    <w:rsid w:val="00296922"/>
    <w:rsid w:val="00296DF4"/>
    <w:rsid w:val="00297098"/>
    <w:rsid w:val="00297A13"/>
    <w:rsid w:val="002A05D4"/>
    <w:rsid w:val="002A06DB"/>
    <w:rsid w:val="002A09FF"/>
    <w:rsid w:val="002A0E60"/>
    <w:rsid w:val="002A15CF"/>
    <w:rsid w:val="002A1A58"/>
    <w:rsid w:val="002A1B02"/>
    <w:rsid w:val="002A1C53"/>
    <w:rsid w:val="002A244B"/>
    <w:rsid w:val="002A28FC"/>
    <w:rsid w:val="002A2B44"/>
    <w:rsid w:val="002A2EA5"/>
    <w:rsid w:val="002A3D94"/>
    <w:rsid w:val="002A4736"/>
    <w:rsid w:val="002A4B1C"/>
    <w:rsid w:val="002A55FE"/>
    <w:rsid w:val="002A6AFB"/>
    <w:rsid w:val="002A733D"/>
    <w:rsid w:val="002A774A"/>
    <w:rsid w:val="002A78F3"/>
    <w:rsid w:val="002A7D84"/>
    <w:rsid w:val="002A7E5C"/>
    <w:rsid w:val="002A7EC2"/>
    <w:rsid w:val="002A7F6D"/>
    <w:rsid w:val="002B0D83"/>
    <w:rsid w:val="002B107B"/>
    <w:rsid w:val="002B1342"/>
    <w:rsid w:val="002B1478"/>
    <w:rsid w:val="002B1F83"/>
    <w:rsid w:val="002B27C8"/>
    <w:rsid w:val="002B2A7F"/>
    <w:rsid w:val="002B330B"/>
    <w:rsid w:val="002B39BE"/>
    <w:rsid w:val="002B3CCA"/>
    <w:rsid w:val="002B438C"/>
    <w:rsid w:val="002B48DB"/>
    <w:rsid w:val="002B4B34"/>
    <w:rsid w:val="002B541A"/>
    <w:rsid w:val="002B5DC8"/>
    <w:rsid w:val="002B5EAB"/>
    <w:rsid w:val="002B5F2E"/>
    <w:rsid w:val="002B6407"/>
    <w:rsid w:val="002B6416"/>
    <w:rsid w:val="002B6459"/>
    <w:rsid w:val="002B6F22"/>
    <w:rsid w:val="002B7014"/>
    <w:rsid w:val="002B73B0"/>
    <w:rsid w:val="002B73C7"/>
    <w:rsid w:val="002B7A54"/>
    <w:rsid w:val="002B7C6A"/>
    <w:rsid w:val="002C24B4"/>
    <w:rsid w:val="002C29EA"/>
    <w:rsid w:val="002C2B3A"/>
    <w:rsid w:val="002C2B87"/>
    <w:rsid w:val="002C3CF4"/>
    <w:rsid w:val="002C441A"/>
    <w:rsid w:val="002C4A73"/>
    <w:rsid w:val="002C4B84"/>
    <w:rsid w:val="002C4C0C"/>
    <w:rsid w:val="002C4C24"/>
    <w:rsid w:val="002C5009"/>
    <w:rsid w:val="002C5016"/>
    <w:rsid w:val="002C5C2F"/>
    <w:rsid w:val="002C5D0F"/>
    <w:rsid w:val="002C60B9"/>
    <w:rsid w:val="002C6F77"/>
    <w:rsid w:val="002C6FB8"/>
    <w:rsid w:val="002C704D"/>
    <w:rsid w:val="002C7056"/>
    <w:rsid w:val="002C74F4"/>
    <w:rsid w:val="002C789B"/>
    <w:rsid w:val="002D0845"/>
    <w:rsid w:val="002D0933"/>
    <w:rsid w:val="002D1555"/>
    <w:rsid w:val="002D19BB"/>
    <w:rsid w:val="002D1A9B"/>
    <w:rsid w:val="002D1D79"/>
    <w:rsid w:val="002D20F8"/>
    <w:rsid w:val="002D22BD"/>
    <w:rsid w:val="002D22C5"/>
    <w:rsid w:val="002D2CA7"/>
    <w:rsid w:val="002D302A"/>
    <w:rsid w:val="002D36C6"/>
    <w:rsid w:val="002D37C1"/>
    <w:rsid w:val="002D3DF7"/>
    <w:rsid w:val="002D444B"/>
    <w:rsid w:val="002D46B4"/>
    <w:rsid w:val="002D49C2"/>
    <w:rsid w:val="002D4A45"/>
    <w:rsid w:val="002D4B42"/>
    <w:rsid w:val="002D4B43"/>
    <w:rsid w:val="002D57B2"/>
    <w:rsid w:val="002D5A1B"/>
    <w:rsid w:val="002D6558"/>
    <w:rsid w:val="002D65BC"/>
    <w:rsid w:val="002D6A88"/>
    <w:rsid w:val="002D6C30"/>
    <w:rsid w:val="002D7FEE"/>
    <w:rsid w:val="002E055C"/>
    <w:rsid w:val="002E1050"/>
    <w:rsid w:val="002E107E"/>
    <w:rsid w:val="002E18E5"/>
    <w:rsid w:val="002E1953"/>
    <w:rsid w:val="002E2C3F"/>
    <w:rsid w:val="002E2CB5"/>
    <w:rsid w:val="002E2CDE"/>
    <w:rsid w:val="002E2D7D"/>
    <w:rsid w:val="002E32D0"/>
    <w:rsid w:val="002E3580"/>
    <w:rsid w:val="002E3913"/>
    <w:rsid w:val="002E3D76"/>
    <w:rsid w:val="002E40A1"/>
    <w:rsid w:val="002E48EC"/>
    <w:rsid w:val="002E4B44"/>
    <w:rsid w:val="002E4ECB"/>
    <w:rsid w:val="002E4F23"/>
    <w:rsid w:val="002E52E9"/>
    <w:rsid w:val="002E635A"/>
    <w:rsid w:val="002E6D68"/>
    <w:rsid w:val="002E6E2B"/>
    <w:rsid w:val="002E7340"/>
    <w:rsid w:val="002E7847"/>
    <w:rsid w:val="002E79FB"/>
    <w:rsid w:val="002E7C15"/>
    <w:rsid w:val="002F0073"/>
    <w:rsid w:val="002F0183"/>
    <w:rsid w:val="002F1C67"/>
    <w:rsid w:val="002F1CA3"/>
    <w:rsid w:val="002F240B"/>
    <w:rsid w:val="002F2EA9"/>
    <w:rsid w:val="002F2F50"/>
    <w:rsid w:val="002F33EC"/>
    <w:rsid w:val="002F34E3"/>
    <w:rsid w:val="002F3601"/>
    <w:rsid w:val="002F40E2"/>
    <w:rsid w:val="002F45F6"/>
    <w:rsid w:val="002F550C"/>
    <w:rsid w:val="002F5A6F"/>
    <w:rsid w:val="002F692F"/>
    <w:rsid w:val="002F7031"/>
    <w:rsid w:val="002F7961"/>
    <w:rsid w:val="002F7B66"/>
    <w:rsid w:val="003007B6"/>
    <w:rsid w:val="00300A52"/>
    <w:rsid w:val="00300CB4"/>
    <w:rsid w:val="00300E24"/>
    <w:rsid w:val="0030248C"/>
    <w:rsid w:val="003024A4"/>
    <w:rsid w:val="0030257B"/>
    <w:rsid w:val="00303105"/>
    <w:rsid w:val="003033BA"/>
    <w:rsid w:val="00303C19"/>
    <w:rsid w:val="00303DFA"/>
    <w:rsid w:val="0030415A"/>
    <w:rsid w:val="003043A3"/>
    <w:rsid w:val="0030462D"/>
    <w:rsid w:val="003047E3"/>
    <w:rsid w:val="00304BD4"/>
    <w:rsid w:val="0030500A"/>
    <w:rsid w:val="003052EB"/>
    <w:rsid w:val="00305AF1"/>
    <w:rsid w:val="00305FCB"/>
    <w:rsid w:val="003063C3"/>
    <w:rsid w:val="003069DC"/>
    <w:rsid w:val="00306B44"/>
    <w:rsid w:val="00307C44"/>
    <w:rsid w:val="0031088E"/>
    <w:rsid w:val="00310D01"/>
    <w:rsid w:val="00311376"/>
    <w:rsid w:val="00311A1F"/>
    <w:rsid w:val="00311B47"/>
    <w:rsid w:val="00311D52"/>
    <w:rsid w:val="00311F06"/>
    <w:rsid w:val="00312190"/>
    <w:rsid w:val="003125E0"/>
    <w:rsid w:val="0031271D"/>
    <w:rsid w:val="00312B50"/>
    <w:rsid w:val="00312BC7"/>
    <w:rsid w:val="003132BB"/>
    <w:rsid w:val="00313337"/>
    <w:rsid w:val="00313447"/>
    <w:rsid w:val="00313748"/>
    <w:rsid w:val="00313E4B"/>
    <w:rsid w:val="00313EA3"/>
    <w:rsid w:val="003151FE"/>
    <w:rsid w:val="00315365"/>
    <w:rsid w:val="00315457"/>
    <w:rsid w:val="003161A4"/>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2CE5"/>
    <w:rsid w:val="00323881"/>
    <w:rsid w:val="00324885"/>
    <w:rsid w:val="00324EAD"/>
    <w:rsid w:val="003251A8"/>
    <w:rsid w:val="003254B1"/>
    <w:rsid w:val="00325AD9"/>
    <w:rsid w:val="00325D98"/>
    <w:rsid w:val="0032682A"/>
    <w:rsid w:val="00327A5C"/>
    <w:rsid w:val="0033033C"/>
    <w:rsid w:val="00330846"/>
    <w:rsid w:val="00330864"/>
    <w:rsid w:val="0033092C"/>
    <w:rsid w:val="00330EEF"/>
    <w:rsid w:val="0033122A"/>
    <w:rsid w:val="003315AC"/>
    <w:rsid w:val="00331932"/>
    <w:rsid w:val="00331F74"/>
    <w:rsid w:val="00332382"/>
    <w:rsid w:val="00332453"/>
    <w:rsid w:val="0033251B"/>
    <w:rsid w:val="00333A88"/>
    <w:rsid w:val="00335B15"/>
    <w:rsid w:val="00335B21"/>
    <w:rsid w:val="00335D3F"/>
    <w:rsid w:val="00336104"/>
    <w:rsid w:val="003364E6"/>
    <w:rsid w:val="00336729"/>
    <w:rsid w:val="00336CD9"/>
    <w:rsid w:val="0033726D"/>
    <w:rsid w:val="00337CA8"/>
    <w:rsid w:val="00340688"/>
    <w:rsid w:val="00340978"/>
    <w:rsid w:val="00340D3F"/>
    <w:rsid w:val="0034174B"/>
    <w:rsid w:val="0034177C"/>
    <w:rsid w:val="00341961"/>
    <w:rsid w:val="003420E9"/>
    <w:rsid w:val="00342345"/>
    <w:rsid w:val="0034277A"/>
    <w:rsid w:val="00342C27"/>
    <w:rsid w:val="00342D7A"/>
    <w:rsid w:val="003430C8"/>
    <w:rsid w:val="003432C8"/>
    <w:rsid w:val="003434B3"/>
    <w:rsid w:val="00343536"/>
    <w:rsid w:val="00343EFB"/>
    <w:rsid w:val="00344760"/>
    <w:rsid w:val="003454E8"/>
    <w:rsid w:val="00345574"/>
    <w:rsid w:val="003461AC"/>
    <w:rsid w:val="0034680A"/>
    <w:rsid w:val="00346C62"/>
    <w:rsid w:val="00347202"/>
    <w:rsid w:val="0034778E"/>
    <w:rsid w:val="00347A5A"/>
    <w:rsid w:val="003501E2"/>
    <w:rsid w:val="00351591"/>
    <w:rsid w:val="00351E01"/>
    <w:rsid w:val="00351E10"/>
    <w:rsid w:val="00352583"/>
    <w:rsid w:val="003533F4"/>
    <w:rsid w:val="003536F6"/>
    <w:rsid w:val="003538C2"/>
    <w:rsid w:val="00353C59"/>
    <w:rsid w:val="00353DA6"/>
    <w:rsid w:val="00353DD5"/>
    <w:rsid w:val="00355131"/>
    <w:rsid w:val="003555F9"/>
    <w:rsid w:val="00355F74"/>
    <w:rsid w:val="003560DB"/>
    <w:rsid w:val="003564DB"/>
    <w:rsid w:val="00356F87"/>
    <w:rsid w:val="00357E83"/>
    <w:rsid w:val="00360CF3"/>
    <w:rsid w:val="0036148E"/>
    <w:rsid w:val="003616AB"/>
    <w:rsid w:val="0036194D"/>
    <w:rsid w:val="00361A59"/>
    <w:rsid w:val="0036281C"/>
    <w:rsid w:val="00363348"/>
    <w:rsid w:val="00363678"/>
    <w:rsid w:val="00363857"/>
    <w:rsid w:val="00363D59"/>
    <w:rsid w:val="003640F7"/>
    <w:rsid w:val="00365026"/>
    <w:rsid w:val="0036594A"/>
    <w:rsid w:val="00365D3A"/>
    <w:rsid w:val="003664FF"/>
    <w:rsid w:val="00366BD2"/>
    <w:rsid w:val="003670B8"/>
    <w:rsid w:val="00370084"/>
    <w:rsid w:val="003704A3"/>
    <w:rsid w:val="003705EF"/>
    <w:rsid w:val="003706F2"/>
    <w:rsid w:val="0037091B"/>
    <w:rsid w:val="0037124F"/>
    <w:rsid w:val="003722F0"/>
    <w:rsid w:val="00372AED"/>
    <w:rsid w:val="00373827"/>
    <w:rsid w:val="00373C7B"/>
    <w:rsid w:val="0037401C"/>
    <w:rsid w:val="0037507B"/>
    <w:rsid w:val="00375575"/>
    <w:rsid w:val="00375A41"/>
    <w:rsid w:val="00375C7C"/>
    <w:rsid w:val="00377027"/>
    <w:rsid w:val="00377135"/>
    <w:rsid w:val="00380272"/>
    <w:rsid w:val="003805B0"/>
    <w:rsid w:val="003805DB"/>
    <w:rsid w:val="0038152A"/>
    <w:rsid w:val="00382BAD"/>
    <w:rsid w:val="00383579"/>
    <w:rsid w:val="003835FD"/>
    <w:rsid w:val="00384DF1"/>
    <w:rsid w:val="00384FF3"/>
    <w:rsid w:val="00385FD2"/>
    <w:rsid w:val="00386456"/>
    <w:rsid w:val="003865A9"/>
    <w:rsid w:val="00387440"/>
    <w:rsid w:val="0038775B"/>
    <w:rsid w:val="0039092B"/>
    <w:rsid w:val="00390BD9"/>
    <w:rsid w:val="00390F32"/>
    <w:rsid w:val="003911A5"/>
    <w:rsid w:val="00391285"/>
    <w:rsid w:val="0039135E"/>
    <w:rsid w:val="003924A4"/>
    <w:rsid w:val="003927CF"/>
    <w:rsid w:val="0039285D"/>
    <w:rsid w:val="0039319C"/>
    <w:rsid w:val="00393577"/>
    <w:rsid w:val="00393CAE"/>
    <w:rsid w:val="003945F4"/>
    <w:rsid w:val="00394EB5"/>
    <w:rsid w:val="003953B4"/>
    <w:rsid w:val="0039615F"/>
    <w:rsid w:val="003966A0"/>
    <w:rsid w:val="00396A29"/>
    <w:rsid w:val="00397FF0"/>
    <w:rsid w:val="003A0854"/>
    <w:rsid w:val="003A0878"/>
    <w:rsid w:val="003A1561"/>
    <w:rsid w:val="003A1D25"/>
    <w:rsid w:val="003A22A2"/>
    <w:rsid w:val="003A2447"/>
    <w:rsid w:val="003A2AA1"/>
    <w:rsid w:val="003A31A5"/>
    <w:rsid w:val="003A329A"/>
    <w:rsid w:val="003A3603"/>
    <w:rsid w:val="003A3851"/>
    <w:rsid w:val="003A39DD"/>
    <w:rsid w:val="003A3C13"/>
    <w:rsid w:val="003A40DB"/>
    <w:rsid w:val="003A4199"/>
    <w:rsid w:val="003A41C5"/>
    <w:rsid w:val="003A4841"/>
    <w:rsid w:val="003A4A8E"/>
    <w:rsid w:val="003A51A8"/>
    <w:rsid w:val="003A563C"/>
    <w:rsid w:val="003A581E"/>
    <w:rsid w:val="003A6160"/>
    <w:rsid w:val="003A65A5"/>
    <w:rsid w:val="003A6836"/>
    <w:rsid w:val="003A6B63"/>
    <w:rsid w:val="003A72F5"/>
    <w:rsid w:val="003A78E5"/>
    <w:rsid w:val="003B00A0"/>
    <w:rsid w:val="003B0341"/>
    <w:rsid w:val="003B0DCB"/>
    <w:rsid w:val="003B10A7"/>
    <w:rsid w:val="003B10C7"/>
    <w:rsid w:val="003B1961"/>
    <w:rsid w:val="003B1E57"/>
    <w:rsid w:val="003B2B06"/>
    <w:rsid w:val="003B2EF3"/>
    <w:rsid w:val="003B319F"/>
    <w:rsid w:val="003B4C61"/>
    <w:rsid w:val="003B534F"/>
    <w:rsid w:val="003B5391"/>
    <w:rsid w:val="003B570B"/>
    <w:rsid w:val="003B58CE"/>
    <w:rsid w:val="003B65D7"/>
    <w:rsid w:val="003B65E0"/>
    <w:rsid w:val="003B6BD4"/>
    <w:rsid w:val="003B6F4D"/>
    <w:rsid w:val="003B6FE7"/>
    <w:rsid w:val="003C0491"/>
    <w:rsid w:val="003C0C0F"/>
    <w:rsid w:val="003C0D1F"/>
    <w:rsid w:val="003C116A"/>
    <w:rsid w:val="003C1AF4"/>
    <w:rsid w:val="003C1CB8"/>
    <w:rsid w:val="003C22DA"/>
    <w:rsid w:val="003C2550"/>
    <w:rsid w:val="003C287F"/>
    <w:rsid w:val="003C3339"/>
    <w:rsid w:val="003C375A"/>
    <w:rsid w:val="003C3857"/>
    <w:rsid w:val="003C4317"/>
    <w:rsid w:val="003C4D9F"/>
    <w:rsid w:val="003C5247"/>
    <w:rsid w:val="003C5E8A"/>
    <w:rsid w:val="003C5FF0"/>
    <w:rsid w:val="003C622C"/>
    <w:rsid w:val="003C62BA"/>
    <w:rsid w:val="003C6505"/>
    <w:rsid w:val="003C6E5A"/>
    <w:rsid w:val="003C73C7"/>
    <w:rsid w:val="003C7CFB"/>
    <w:rsid w:val="003D020F"/>
    <w:rsid w:val="003D050B"/>
    <w:rsid w:val="003D0B98"/>
    <w:rsid w:val="003D0C3C"/>
    <w:rsid w:val="003D0DE5"/>
    <w:rsid w:val="003D1351"/>
    <w:rsid w:val="003D1795"/>
    <w:rsid w:val="003D21C1"/>
    <w:rsid w:val="003D23FE"/>
    <w:rsid w:val="003D321B"/>
    <w:rsid w:val="003D3B15"/>
    <w:rsid w:val="003D3B2E"/>
    <w:rsid w:val="003D4101"/>
    <w:rsid w:val="003D484D"/>
    <w:rsid w:val="003D49CB"/>
    <w:rsid w:val="003D6B8F"/>
    <w:rsid w:val="003D7566"/>
    <w:rsid w:val="003E002E"/>
    <w:rsid w:val="003E0224"/>
    <w:rsid w:val="003E09BB"/>
    <w:rsid w:val="003E159D"/>
    <w:rsid w:val="003E1FB6"/>
    <w:rsid w:val="003E20EA"/>
    <w:rsid w:val="003E210C"/>
    <w:rsid w:val="003E2F55"/>
    <w:rsid w:val="003E34DB"/>
    <w:rsid w:val="003E3833"/>
    <w:rsid w:val="003E3AF9"/>
    <w:rsid w:val="003E4A70"/>
    <w:rsid w:val="003E4C48"/>
    <w:rsid w:val="003E4CD9"/>
    <w:rsid w:val="003E52C2"/>
    <w:rsid w:val="003E54B3"/>
    <w:rsid w:val="003E5780"/>
    <w:rsid w:val="003E5B9F"/>
    <w:rsid w:val="003E6072"/>
    <w:rsid w:val="003E60D6"/>
    <w:rsid w:val="003E67FE"/>
    <w:rsid w:val="003E6AB6"/>
    <w:rsid w:val="003E6E0B"/>
    <w:rsid w:val="003E71CD"/>
    <w:rsid w:val="003E78DA"/>
    <w:rsid w:val="003E7A8B"/>
    <w:rsid w:val="003F060E"/>
    <w:rsid w:val="003F0F7F"/>
    <w:rsid w:val="003F115C"/>
    <w:rsid w:val="003F153A"/>
    <w:rsid w:val="003F252F"/>
    <w:rsid w:val="003F300D"/>
    <w:rsid w:val="003F391F"/>
    <w:rsid w:val="003F3D8A"/>
    <w:rsid w:val="003F4599"/>
    <w:rsid w:val="003F45E1"/>
    <w:rsid w:val="003F4F6C"/>
    <w:rsid w:val="003F559E"/>
    <w:rsid w:val="003F6181"/>
    <w:rsid w:val="003F6BFC"/>
    <w:rsid w:val="003F6EAE"/>
    <w:rsid w:val="003F7343"/>
    <w:rsid w:val="003F7400"/>
    <w:rsid w:val="00400002"/>
    <w:rsid w:val="00400054"/>
    <w:rsid w:val="00400149"/>
    <w:rsid w:val="004016A3"/>
    <w:rsid w:val="00401B31"/>
    <w:rsid w:val="0040202B"/>
    <w:rsid w:val="00402664"/>
    <w:rsid w:val="00402B7F"/>
    <w:rsid w:val="00402DE1"/>
    <w:rsid w:val="00402EEB"/>
    <w:rsid w:val="004037C2"/>
    <w:rsid w:val="00404041"/>
    <w:rsid w:val="004040D4"/>
    <w:rsid w:val="00404AA8"/>
    <w:rsid w:val="00404B43"/>
    <w:rsid w:val="00404C61"/>
    <w:rsid w:val="00405487"/>
    <w:rsid w:val="00405B8A"/>
    <w:rsid w:val="00405E87"/>
    <w:rsid w:val="00406000"/>
    <w:rsid w:val="0040602B"/>
    <w:rsid w:val="0040606C"/>
    <w:rsid w:val="004060DC"/>
    <w:rsid w:val="00406DF5"/>
    <w:rsid w:val="00406F35"/>
    <w:rsid w:val="004077D0"/>
    <w:rsid w:val="00407A7A"/>
    <w:rsid w:val="00407ABC"/>
    <w:rsid w:val="00407F1E"/>
    <w:rsid w:val="00410A88"/>
    <w:rsid w:val="00410CC8"/>
    <w:rsid w:val="00411317"/>
    <w:rsid w:val="00411692"/>
    <w:rsid w:val="00411A9E"/>
    <w:rsid w:val="0041259F"/>
    <w:rsid w:val="00412B1B"/>
    <w:rsid w:val="00412B4D"/>
    <w:rsid w:val="00412C51"/>
    <w:rsid w:val="00412E19"/>
    <w:rsid w:val="00413262"/>
    <w:rsid w:val="0041329C"/>
    <w:rsid w:val="004139F4"/>
    <w:rsid w:val="00413FFA"/>
    <w:rsid w:val="00414246"/>
    <w:rsid w:val="00414452"/>
    <w:rsid w:val="004146FF"/>
    <w:rsid w:val="00414D9A"/>
    <w:rsid w:val="00415194"/>
    <w:rsid w:val="00415816"/>
    <w:rsid w:val="00415B88"/>
    <w:rsid w:val="00415D32"/>
    <w:rsid w:val="004160A2"/>
    <w:rsid w:val="0041674B"/>
    <w:rsid w:val="004170D7"/>
    <w:rsid w:val="004177A6"/>
    <w:rsid w:val="00417AC7"/>
    <w:rsid w:val="00417C23"/>
    <w:rsid w:val="00417EFD"/>
    <w:rsid w:val="004200EE"/>
    <w:rsid w:val="00420786"/>
    <w:rsid w:val="004209D2"/>
    <w:rsid w:val="00420D6E"/>
    <w:rsid w:val="0042158C"/>
    <w:rsid w:val="00421617"/>
    <w:rsid w:val="00421BD2"/>
    <w:rsid w:val="00421E00"/>
    <w:rsid w:val="00421FCB"/>
    <w:rsid w:val="00422117"/>
    <w:rsid w:val="00422DCA"/>
    <w:rsid w:val="00423D04"/>
    <w:rsid w:val="00423F9F"/>
    <w:rsid w:val="00424602"/>
    <w:rsid w:val="00425C43"/>
    <w:rsid w:val="00426D0E"/>
    <w:rsid w:val="004273FA"/>
    <w:rsid w:val="004275A7"/>
    <w:rsid w:val="00430186"/>
    <w:rsid w:val="00430F17"/>
    <w:rsid w:val="00430F7D"/>
    <w:rsid w:val="0043129E"/>
    <w:rsid w:val="00431F83"/>
    <w:rsid w:val="0043260C"/>
    <w:rsid w:val="0043269A"/>
    <w:rsid w:val="00432C9E"/>
    <w:rsid w:val="00432D09"/>
    <w:rsid w:val="004333C2"/>
    <w:rsid w:val="00434787"/>
    <w:rsid w:val="00434C13"/>
    <w:rsid w:val="00434D8B"/>
    <w:rsid w:val="00435703"/>
    <w:rsid w:val="00435BD5"/>
    <w:rsid w:val="004362E5"/>
    <w:rsid w:val="00436323"/>
    <w:rsid w:val="0043683F"/>
    <w:rsid w:val="00436B4C"/>
    <w:rsid w:val="00436F40"/>
    <w:rsid w:val="004370FA"/>
    <w:rsid w:val="00437DB9"/>
    <w:rsid w:val="00440096"/>
    <w:rsid w:val="004403DD"/>
    <w:rsid w:val="00440CF3"/>
    <w:rsid w:val="00440DB0"/>
    <w:rsid w:val="00440DDC"/>
    <w:rsid w:val="00440FAD"/>
    <w:rsid w:val="00441291"/>
    <w:rsid w:val="00441C68"/>
    <w:rsid w:val="00441E04"/>
    <w:rsid w:val="004420AB"/>
    <w:rsid w:val="004422D6"/>
    <w:rsid w:val="004427AC"/>
    <w:rsid w:val="00442AFD"/>
    <w:rsid w:val="00442C7D"/>
    <w:rsid w:val="00442D13"/>
    <w:rsid w:val="00442D4D"/>
    <w:rsid w:val="0044374D"/>
    <w:rsid w:val="00443B55"/>
    <w:rsid w:val="00443D27"/>
    <w:rsid w:val="00444D00"/>
    <w:rsid w:val="0044500B"/>
    <w:rsid w:val="00446037"/>
    <w:rsid w:val="00446270"/>
    <w:rsid w:val="004462FD"/>
    <w:rsid w:val="0044642F"/>
    <w:rsid w:val="0044772C"/>
    <w:rsid w:val="00447CAC"/>
    <w:rsid w:val="004503A3"/>
    <w:rsid w:val="00450846"/>
    <w:rsid w:val="00450A6B"/>
    <w:rsid w:val="00451A52"/>
    <w:rsid w:val="0045271D"/>
    <w:rsid w:val="00452755"/>
    <w:rsid w:val="00452803"/>
    <w:rsid w:val="004529C6"/>
    <w:rsid w:val="00452EAD"/>
    <w:rsid w:val="004533D1"/>
    <w:rsid w:val="004534D1"/>
    <w:rsid w:val="00453F88"/>
    <w:rsid w:val="00454548"/>
    <w:rsid w:val="00454717"/>
    <w:rsid w:val="00454C38"/>
    <w:rsid w:val="00454DF8"/>
    <w:rsid w:val="00455004"/>
    <w:rsid w:val="00455047"/>
    <w:rsid w:val="00455354"/>
    <w:rsid w:val="0045558D"/>
    <w:rsid w:val="00455BD3"/>
    <w:rsid w:val="004563A7"/>
    <w:rsid w:val="004567DA"/>
    <w:rsid w:val="00456970"/>
    <w:rsid w:val="00456BB1"/>
    <w:rsid w:val="00456CD4"/>
    <w:rsid w:val="00456DDB"/>
    <w:rsid w:val="00456E61"/>
    <w:rsid w:val="00456EF0"/>
    <w:rsid w:val="00457031"/>
    <w:rsid w:val="0046002B"/>
    <w:rsid w:val="004602C9"/>
    <w:rsid w:val="00460915"/>
    <w:rsid w:val="00460946"/>
    <w:rsid w:val="004614A9"/>
    <w:rsid w:val="00461841"/>
    <w:rsid w:val="00461D5F"/>
    <w:rsid w:val="00461E97"/>
    <w:rsid w:val="0046268F"/>
    <w:rsid w:val="0046284F"/>
    <w:rsid w:val="00462B10"/>
    <w:rsid w:val="00462C04"/>
    <w:rsid w:val="0046320A"/>
    <w:rsid w:val="0046324C"/>
    <w:rsid w:val="004636CC"/>
    <w:rsid w:val="004638E2"/>
    <w:rsid w:val="00464030"/>
    <w:rsid w:val="004647F8"/>
    <w:rsid w:val="004647FB"/>
    <w:rsid w:val="00465347"/>
    <w:rsid w:val="00465677"/>
    <w:rsid w:val="00466616"/>
    <w:rsid w:val="00466A0C"/>
    <w:rsid w:val="00466A53"/>
    <w:rsid w:val="00470A6A"/>
    <w:rsid w:val="00470D73"/>
    <w:rsid w:val="00470D92"/>
    <w:rsid w:val="00471DF7"/>
    <w:rsid w:val="004734CF"/>
    <w:rsid w:val="0047586C"/>
    <w:rsid w:val="00475C5A"/>
    <w:rsid w:val="00475C9C"/>
    <w:rsid w:val="0047676B"/>
    <w:rsid w:val="0047773C"/>
    <w:rsid w:val="00477C5F"/>
    <w:rsid w:val="00480050"/>
    <w:rsid w:val="0048011C"/>
    <w:rsid w:val="004808DE"/>
    <w:rsid w:val="00481AC4"/>
    <w:rsid w:val="00481DC1"/>
    <w:rsid w:val="00482507"/>
    <w:rsid w:val="0048268A"/>
    <w:rsid w:val="004835CA"/>
    <w:rsid w:val="004836F8"/>
    <w:rsid w:val="004836FE"/>
    <w:rsid w:val="00484A39"/>
    <w:rsid w:val="00484F0F"/>
    <w:rsid w:val="00484F40"/>
    <w:rsid w:val="0048540C"/>
    <w:rsid w:val="00485BE6"/>
    <w:rsid w:val="00485EE3"/>
    <w:rsid w:val="004861B4"/>
    <w:rsid w:val="00486226"/>
    <w:rsid w:val="00486BD0"/>
    <w:rsid w:val="00486D00"/>
    <w:rsid w:val="00486FF7"/>
    <w:rsid w:val="00487263"/>
    <w:rsid w:val="0048727E"/>
    <w:rsid w:val="0048734F"/>
    <w:rsid w:val="004874E6"/>
    <w:rsid w:val="00487EC1"/>
    <w:rsid w:val="0049029D"/>
    <w:rsid w:val="0049030C"/>
    <w:rsid w:val="004903C0"/>
    <w:rsid w:val="00490F15"/>
    <w:rsid w:val="0049114B"/>
    <w:rsid w:val="004912A8"/>
    <w:rsid w:val="00491577"/>
    <w:rsid w:val="004918E1"/>
    <w:rsid w:val="0049196A"/>
    <w:rsid w:val="0049196E"/>
    <w:rsid w:val="0049241A"/>
    <w:rsid w:val="00492C1F"/>
    <w:rsid w:val="00492E4C"/>
    <w:rsid w:val="00493664"/>
    <w:rsid w:val="004938FD"/>
    <w:rsid w:val="00493E04"/>
    <w:rsid w:val="004940E3"/>
    <w:rsid w:val="0049530F"/>
    <w:rsid w:val="00496664"/>
    <w:rsid w:val="00496703"/>
    <w:rsid w:val="00496786"/>
    <w:rsid w:val="0049695B"/>
    <w:rsid w:val="00496D8F"/>
    <w:rsid w:val="00497463"/>
    <w:rsid w:val="0049764A"/>
    <w:rsid w:val="004A054C"/>
    <w:rsid w:val="004A08D1"/>
    <w:rsid w:val="004A156E"/>
    <w:rsid w:val="004A16C1"/>
    <w:rsid w:val="004A1BA5"/>
    <w:rsid w:val="004A1CE2"/>
    <w:rsid w:val="004A34D2"/>
    <w:rsid w:val="004A4301"/>
    <w:rsid w:val="004A4D93"/>
    <w:rsid w:val="004A58EE"/>
    <w:rsid w:val="004A59B7"/>
    <w:rsid w:val="004A6051"/>
    <w:rsid w:val="004A623B"/>
    <w:rsid w:val="004A6A04"/>
    <w:rsid w:val="004A6A52"/>
    <w:rsid w:val="004A70C4"/>
    <w:rsid w:val="004B0A44"/>
    <w:rsid w:val="004B0F0B"/>
    <w:rsid w:val="004B2197"/>
    <w:rsid w:val="004B298A"/>
    <w:rsid w:val="004B2BB8"/>
    <w:rsid w:val="004B3996"/>
    <w:rsid w:val="004B4402"/>
    <w:rsid w:val="004B4C8E"/>
    <w:rsid w:val="004B4E37"/>
    <w:rsid w:val="004B50CB"/>
    <w:rsid w:val="004B578D"/>
    <w:rsid w:val="004B5BE7"/>
    <w:rsid w:val="004B5E2D"/>
    <w:rsid w:val="004B65BE"/>
    <w:rsid w:val="004B666E"/>
    <w:rsid w:val="004B6C07"/>
    <w:rsid w:val="004B74D3"/>
    <w:rsid w:val="004B755E"/>
    <w:rsid w:val="004B788E"/>
    <w:rsid w:val="004B7E5D"/>
    <w:rsid w:val="004C0E8C"/>
    <w:rsid w:val="004C22F7"/>
    <w:rsid w:val="004C2B27"/>
    <w:rsid w:val="004C3929"/>
    <w:rsid w:val="004C4DC7"/>
    <w:rsid w:val="004C5212"/>
    <w:rsid w:val="004C5EF0"/>
    <w:rsid w:val="004C64C9"/>
    <w:rsid w:val="004C7226"/>
    <w:rsid w:val="004C74C9"/>
    <w:rsid w:val="004C76A0"/>
    <w:rsid w:val="004C7915"/>
    <w:rsid w:val="004C7D70"/>
    <w:rsid w:val="004D02F9"/>
    <w:rsid w:val="004D03FE"/>
    <w:rsid w:val="004D0446"/>
    <w:rsid w:val="004D0548"/>
    <w:rsid w:val="004D06A3"/>
    <w:rsid w:val="004D0F95"/>
    <w:rsid w:val="004D106A"/>
    <w:rsid w:val="004D1C7E"/>
    <w:rsid w:val="004D245A"/>
    <w:rsid w:val="004D261E"/>
    <w:rsid w:val="004D31EE"/>
    <w:rsid w:val="004D36AF"/>
    <w:rsid w:val="004D3BD1"/>
    <w:rsid w:val="004D4BA1"/>
    <w:rsid w:val="004D584D"/>
    <w:rsid w:val="004D5A7E"/>
    <w:rsid w:val="004D6120"/>
    <w:rsid w:val="004D67BA"/>
    <w:rsid w:val="004D6826"/>
    <w:rsid w:val="004D6F69"/>
    <w:rsid w:val="004E023F"/>
    <w:rsid w:val="004E0546"/>
    <w:rsid w:val="004E0742"/>
    <w:rsid w:val="004E0C64"/>
    <w:rsid w:val="004E0F6B"/>
    <w:rsid w:val="004E1545"/>
    <w:rsid w:val="004E1F1C"/>
    <w:rsid w:val="004E26F8"/>
    <w:rsid w:val="004E2A22"/>
    <w:rsid w:val="004E2A35"/>
    <w:rsid w:val="004E2CCF"/>
    <w:rsid w:val="004E34CF"/>
    <w:rsid w:val="004E3B71"/>
    <w:rsid w:val="004E3BD6"/>
    <w:rsid w:val="004E3CDC"/>
    <w:rsid w:val="004E40CE"/>
    <w:rsid w:val="004E547C"/>
    <w:rsid w:val="004E5736"/>
    <w:rsid w:val="004E5A3C"/>
    <w:rsid w:val="004E5B36"/>
    <w:rsid w:val="004E5D5D"/>
    <w:rsid w:val="004E6045"/>
    <w:rsid w:val="004E6F43"/>
    <w:rsid w:val="004E7200"/>
    <w:rsid w:val="004E7564"/>
    <w:rsid w:val="004E787E"/>
    <w:rsid w:val="004E7AA1"/>
    <w:rsid w:val="004E7D7C"/>
    <w:rsid w:val="004F0805"/>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62F"/>
    <w:rsid w:val="00500E74"/>
    <w:rsid w:val="0050160F"/>
    <w:rsid w:val="0050284E"/>
    <w:rsid w:val="0050306F"/>
    <w:rsid w:val="00503EA9"/>
    <w:rsid w:val="00503FC1"/>
    <w:rsid w:val="005052B0"/>
    <w:rsid w:val="00505DCB"/>
    <w:rsid w:val="00506800"/>
    <w:rsid w:val="005068FF"/>
    <w:rsid w:val="005075CA"/>
    <w:rsid w:val="00507B06"/>
    <w:rsid w:val="00507B52"/>
    <w:rsid w:val="00507BF1"/>
    <w:rsid w:val="0051074C"/>
    <w:rsid w:val="00510DE9"/>
    <w:rsid w:val="005111E2"/>
    <w:rsid w:val="00511231"/>
    <w:rsid w:val="005115A2"/>
    <w:rsid w:val="00511A31"/>
    <w:rsid w:val="00512653"/>
    <w:rsid w:val="00512B88"/>
    <w:rsid w:val="00512C4F"/>
    <w:rsid w:val="00513042"/>
    <w:rsid w:val="0051334F"/>
    <w:rsid w:val="00513399"/>
    <w:rsid w:val="00513437"/>
    <w:rsid w:val="00513AF2"/>
    <w:rsid w:val="00514575"/>
    <w:rsid w:val="00514C03"/>
    <w:rsid w:val="00514D67"/>
    <w:rsid w:val="00514DDF"/>
    <w:rsid w:val="0051522A"/>
    <w:rsid w:val="00515515"/>
    <w:rsid w:val="0051635C"/>
    <w:rsid w:val="00516C5B"/>
    <w:rsid w:val="00517612"/>
    <w:rsid w:val="00517CFB"/>
    <w:rsid w:val="00517F85"/>
    <w:rsid w:val="00520235"/>
    <w:rsid w:val="005202BF"/>
    <w:rsid w:val="005204C8"/>
    <w:rsid w:val="00520899"/>
    <w:rsid w:val="00520922"/>
    <w:rsid w:val="005209FC"/>
    <w:rsid w:val="00520C09"/>
    <w:rsid w:val="00521A30"/>
    <w:rsid w:val="00521D7C"/>
    <w:rsid w:val="00521F5F"/>
    <w:rsid w:val="005224E5"/>
    <w:rsid w:val="005226EE"/>
    <w:rsid w:val="00523903"/>
    <w:rsid w:val="005239B6"/>
    <w:rsid w:val="00523C45"/>
    <w:rsid w:val="00523F41"/>
    <w:rsid w:val="00524165"/>
    <w:rsid w:val="00524215"/>
    <w:rsid w:val="0052466D"/>
    <w:rsid w:val="005246E7"/>
    <w:rsid w:val="00524B08"/>
    <w:rsid w:val="00524C38"/>
    <w:rsid w:val="00524FD2"/>
    <w:rsid w:val="00525621"/>
    <w:rsid w:val="00525CA6"/>
    <w:rsid w:val="00526431"/>
    <w:rsid w:val="0052647A"/>
    <w:rsid w:val="005264A0"/>
    <w:rsid w:val="00527532"/>
    <w:rsid w:val="00527BFD"/>
    <w:rsid w:val="00527DEB"/>
    <w:rsid w:val="00527E57"/>
    <w:rsid w:val="00527F2C"/>
    <w:rsid w:val="00530405"/>
    <w:rsid w:val="00530522"/>
    <w:rsid w:val="005305E5"/>
    <w:rsid w:val="0053086F"/>
    <w:rsid w:val="00530CBA"/>
    <w:rsid w:val="00530F38"/>
    <w:rsid w:val="00531F26"/>
    <w:rsid w:val="0053277C"/>
    <w:rsid w:val="005327C0"/>
    <w:rsid w:val="0053289E"/>
    <w:rsid w:val="00533101"/>
    <w:rsid w:val="00533CA9"/>
    <w:rsid w:val="005346AD"/>
    <w:rsid w:val="00534CC0"/>
    <w:rsid w:val="00534EFB"/>
    <w:rsid w:val="00534F60"/>
    <w:rsid w:val="005357F1"/>
    <w:rsid w:val="00535D15"/>
    <w:rsid w:val="00536053"/>
    <w:rsid w:val="005369E6"/>
    <w:rsid w:val="005371AC"/>
    <w:rsid w:val="00537672"/>
    <w:rsid w:val="005376B5"/>
    <w:rsid w:val="0053772F"/>
    <w:rsid w:val="00537A70"/>
    <w:rsid w:val="00537B64"/>
    <w:rsid w:val="00537B77"/>
    <w:rsid w:val="0054033D"/>
    <w:rsid w:val="00540C4C"/>
    <w:rsid w:val="00541469"/>
    <w:rsid w:val="00541571"/>
    <w:rsid w:val="0054182C"/>
    <w:rsid w:val="00541B1F"/>
    <w:rsid w:val="0054275A"/>
    <w:rsid w:val="005428B8"/>
    <w:rsid w:val="005428BE"/>
    <w:rsid w:val="00542BD7"/>
    <w:rsid w:val="00542C47"/>
    <w:rsid w:val="00543084"/>
    <w:rsid w:val="00543584"/>
    <w:rsid w:val="00543A9E"/>
    <w:rsid w:val="0054413A"/>
    <w:rsid w:val="00544288"/>
    <w:rsid w:val="005446BB"/>
    <w:rsid w:val="00544D65"/>
    <w:rsid w:val="00544DA5"/>
    <w:rsid w:val="00544F43"/>
    <w:rsid w:val="0054511F"/>
    <w:rsid w:val="00545E30"/>
    <w:rsid w:val="00545EA3"/>
    <w:rsid w:val="00546C9B"/>
    <w:rsid w:val="00547BF6"/>
    <w:rsid w:val="00547FB3"/>
    <w:rsid w:val="00550955"/>
    <w:rsid w:val="005509F0"/>
    <w:rsid w:val="00551098"/>
    <w:rsid w:val="00551598"/>
    <w:rsid w:val="0055162B"/>
    <w:rsid w:val="00551A56"/>
    <w:rsid w:val="00551BFF"/>
    <w:rsid w:val="00551D68"/>
    <w:rsid w:val="00551DFF"/>
    <w:rsid w:val="005525C9"/>
    <w:rsid w:val="00552B3E"/>
    <w:rsid w:val="0055426D"/>
    <w:rsid w:val="00554D57"/>
    <w:rsid w:val="005551AA"/>
    <w:rsid w:val="005564CA"/>
    <w:rsid w:val="005568BD"/>
    <w:rsid w:val="005568EA"/>
    <w:rsid w:val="00556941"/>
    <w:rsid w:val="00557140"/>
    <w:rsid w:val="0055715A"/>
    <w:rsid w:val="0055729E"/>
    <w:rsid w:val="00557984"/>
    <w:rsid w:val="00557A3F"/>
    <w:rsid w:val="005601BE"/>
    <w:rsid w:val="005608B4"/>
    <w:rsid w:val="00560C87"/>
    <w:rsid w:val="00560F51"/>
    <w:rsid w:val="00561249"/>
    <w:rsid w:val="0056182B"/>
    <w:rsid w:val="00561A25"/>
    <w:rsid w:val="00561A88"/>
    <w:rsid w:val="00561AF3"/>
    <w:rsid w:val="00561E0B"/>
    <w:rsid w:val="00562141"/>
    <w:rsid w:val="005626DE"/>
    <w:rsid w:val="00562D86"/>
    <w:rsid w:val="005640CA"/>
    <w:rsid w:val="00564704"/>
    <w:rsid w:val="00564712"/>
    <w:rsid w:val="00564FC1"/>
    <w:rsid w:val="005657A8"/>
    <w:rsid w:val="00565952"/>
    <w:rsid w:val="00566383"/>
    <w:rsid w:val="00566866"/>
    <w:rsid w:val="00566CDE"/>
    <w:rsid w:val="005670A5"/>
    <w:rsid w:val="00567285"/>
    <w:rsid w:val="00567723"/>
    <w:rsid w:val="0056772D"/>
    <w:rsid w:val="005678F5"/>
    <w:rsid w:val="00567AB8"/>
    <w:rsid w:val="00570A26"/>
    <w:rsid w:val="00570CFD"/>
    <w:rsid w:val="00571872"/>
    <w:rsid w:val="00571877"/>
    <w:rsid w:val="0057221F"/>
    <w:rsid w:val="00572421"/>
    <w:rsid w:val="00572539"/>
    <w:rsid w:val="00573355"/>
    <w:rsid w:val="0057337D"/>
    <w:rsid w:val="00573504"/>
    <w:rsid w:val="00573BA3"/>
    <w:rsid w:val="00574708"/>
    <w:rsid w:val="00574D81"/>
    <w:rsid w:val="005756AA"/>
    <w:rsid w:val="00576409"/>
    <w:rsid w:val="0057696F"/>
    <w:rsid w:val="00576A54"/>
    <w:rsid w:val="005774FE"/>
    <w:rsid w:val="0058040C"/>
    <w:rsid w:val="00580D6D"/>
    <w:rsid w:val="00580E34"/>
    <w:rsid w:val="00580FD8"/>
    <w:rsid w:val="005813DE"/>
    <w:rsid w:val="00581612"/>
    <w:rsid w:val="00581796"/>
    <w:rsid w:val="00581B45"/>
    <w:rsid w:val="00582480"/>
    <w:rsid w:val="00582805"/>
    <w:rsid w:val="0058290E"/>
    <w:rsid w:val="00582CAB"/>
    <w:rsid w:val="00582FA6"/>
    <w:rsid w:val="005836D5"/>
    <w:rsid w:val="0058375E"/>
    <w:rsid w:val="00584233"/>
    <w:rsid w:val="005842D0"/>
    <w:rsid w:val="005845FB"/>
    <w:rsid w:val="005855AE"/>
    <w:rsid w:val="00585829"/>
    <w:rsid w:val="00585CA8"/>
    <w:rsid w:val="00585DC0"/>
    <w:rsid w:val="00586412"/>
    <w:rsid w:val="005864B9"/>
    <w:rsid w:val="005866C4"/>
    <w:rsid w:val="00590A17"/>
    <w:rsid w:val="00590F1A"/>
    <w:rsid w:val="00591070"/>
    <w:rsid w:val="00591C03"/>
    <w:rsid w:val="00591E2A"/>
    <w:rsid w:val="005923C4"/>
    <w:rsid w:val="00592B6F"/>
    <w:rsid w:val="00593EA2"/>
    <w:rsid w:val="00593F75"/>
    <w:rsid w:val="005940A0"/>
    <w:rsid w:val="0059429A"/>
    <w:rsid w:val="0059455B"/>
    <w:rsid w:val="00594CBE"/>
    <w:rsid w:val="0059508E"/>
    <w:rsid w:val="005950AD"/>
    <w:rsid w:val="00595B12"/>
    <w:rsid w:val="00596AF7"/>
    <w:rsid w:val="00596CCE"/>
    <w:rsid w:val="00596E37"/>
    <w:rsid w:val="005A094C"/>
    <w:rsid w:val="005A1976"/>
    <w:rsid w:val="005A2120"/>
    <w:rsid w:val="005A2501"/>
    <w:rsid w:val="005A2C80"/>
    <w:rsid w:val="005A2DBE"/>
    <w:rsid w:val="005A3066"/>
    <w:rsid w:val="005A38E2"/>
    <w:rsid w:val="005A3B35"/>
    <w:rsid w:val="005A3C4B"/>
    <w:rsid w:val="005A3E5A"/>
    <w:rsid w:val="005A41CB"/>
    <w:rsid w:val="005A43F3"/>
    <w:rsid w:val="005A496F"/>
    <w:rsid w:val="005A4A56"/>
    <w:rsid w:val="005A4DC2"/>
    <w:rsid w:val="005A5608"/>
    <w:rsid w:val="005A5A3D"/>
    <w:rsid w:val="005A5F39"/>
    <w:rsid w:val="005A6035"/>
    <w:rsid w:val="005A6295"/>
    <w:rsid w:val="005A6B75"/>
    <w:rsid w:val="005A6E00"/>
    <w:rsid w:val="005A718A"/>
    <w:rsid w:val="005A7418"/>
    <w:rsid w:val="005A7885"/>
    <w:rsid w:val="005B12B2"/>
    <w:rsid w:val="005B143B"/>
    <w:rsid w:val="005B19BD"/>
    <w:rsid w:val="005B1E45"/>
    <w:rsid w:val="005B21C4"/>
    <w:rsid w:val="005B2A28"/>
    <w:rsid w:val="005B35AB"/>
    <w:rsid w:val="005B3621"/>
    <w:rsid w:val="005B3EBE"/>
    <w:rsid w:val="005B4948"/>
    <w:rsid w:val="005B4FF1"/>
    <w:rsid w:val="005B501D"/>
    <w:rsid w:val="005B54CC"/>
    <w:rsid w:val="005B6D72"/>
    <w:rsid w:val="005B71BB"/>
    <w:rsid w:val="005B74AD"/>
    <w:rsid w:val="005B7E96"/>
    <w:rsid w:val="005C0429"/>
    <w:rsid w:val="005C084F"/>
    <w:rsid w:val="005C0EE9"/>
    <w:rsid w:val="005C1265"/>
    <w:rsid w:val="005C16A8"/>
    <w:rsid w:val="005C1716"/>
    <w:rsid w:val="005C1954"/>
    <w:rsid w:val="005C1C0B"/>
    <w:rsid w:val="005C2011"/>
    <w:rsid w:val="005C345A"/>
    <w:rsid w:val="005C398B"/>
    <w:rsid w:val="005C3EA3"/>
    <w:rsid w:val="005C44DE"/>
    <w:rsid w:val="005C5011"/>
    <w:rsid w:val="005C5241"/>
    <w:rsid w:val="005C529E"/>
    <w:rsid w:val="005C57BA"/>
    <w:rsid w:val="005C5C52"/>
    <w:rsid w:val="005C5D3D"/>
    <w:rsid w:val="005C5F05"/>
    <w:rsid w:val="005C5FFF"/>
    <w:rsid w:val="005C6186"/>
    <w:rsid w:val="005C7E45"/>
    <w:rsid w:val="005C7F3E"/>
    <w:rsid w:val="005D06D3"/>
    <w:rsid w:val="005D0C3B"/>
    <w:rsid w:val="005D1051"/>
    <w:rsid w:val="005D1606"/>
    <w:rsid w:val="005D2044"/>
    <w:rsid w:val="005D209E"/>
    <w:rsid w:val="005D2917"/>
    <w:rsid w:val="005D2EB2"/>
    <w:rsid w:val="005D2F48"/>
    <w:rsid w:val="005D3B32"/>
    <w:rsid w:val="005D41CD"/>
    <w:rsid w:val="005D464B"/>
    <w:rsid w:val="005D466F"/>
    <w:rsid w:val="005D46CE"/>
    <w:rsid w:val="005D49F0"/>
    <w:rsid w:val="005D4E64"/>
    <w:rsid w:val="005D51F7"/>
    <w:rsid w:val="005D51FA"/>
    <w:rsid w:val="005D53E8"/>
    <w:rsid w:val="005D57C7"/>
    <w:rsid w:val="005D5A9D"/>
    <w:rsid w:val="005D5D15"/>
    <w:rsid w:val="005D6651"/>
    <w:rsid w:val="005D691D"/>
    <w:rsid w:val="005D6A72"/>
    <w:rsid w:val="005D6F38"/>
    <w:rsid w:val="005D77F2"/>
    <w:rsid w:val="005D791B"/>
    <w:rsid w:val="005D7CF2"/>
    <w:rsid w:val="005D7F92"/>
    <w:rsid w:val="005E062C"/>
    <w:rsid w:val="005E0D7B"/>
    <w:rsid w:val="005E13A8"/>
    <w:rsid w:val="005E1595"/>
    <w:rsid w:val="005E1895"/>
    <w:rsid w:val="005E1F1D"/>
    <w:rsid w:val="005E20FE"/>
    <w:rsid w:val="005E2423"/>
    <w:rsid w:val="005E273D"/>
    <w:rsid w:val="005E29AC"/>
    <w:rsid w:val="005E3278"/>
    <w:rsid w:val="005E363B"/>
    <w:rsid w:val="005E3736"/>
    <w:rsid w:val="005E3B29"/>
    <w:rsid w:val="005E4B72"/>
    <w:rsid w:val="005E52C9"/>
    <w:rsid w:val="005E6398"/>
    <w:rsid w:val="005E681E"/>
    <w:rsid w:val="005F2608"/>
    <w:rsid w:val="005F2D8B"/>
    <w:rsid w:val="005F305B"/>
    <w:rsid w:val="005F3361"/>
    <w:rsid w:val="005F3B47"/>
    <w:rsid w:val="005F3C4B"/>
    <w:rsid w:val="005F4481"/>
    <w:rsid w:val="005F47AC"/>
    <w:rsid w:val="005F49AF"/>
    <w:rsid w:val="005F4A50"/>
    <w:rsid w:val="005F4A58"/>
    <w:rsid w:val="005F54DF"/>
    <w:rsid w:val="005F5888"/>
    <w:rsid w:val="005F5984"/>
    <w:rsid w:val="005F5EAB"/>
    <w:rsid w:val="005F6CE2"/>
    <w:rsid w:val="005F6EC8"/>
    <w:rsid w:val="005F6F24"/>
    <w:rsid w:val="005F72E9"/>
    <w:rsid w:val="005F76A9"/>
    <w:rsid w:val="005F780B"/>
    <w:rsid w:val="00600473"/>
    <w:rsid w:val="00601162"/>
    <w:rsid w:val="0060139A"/>
    <w:rsid w:val="006013C9"/>
    <w:rsid w:val="00602931"/>
    <w:rsid w:val="00602B45"/>
    <w:rsid w:val="006030B7"/>
    <w:rsid w:val="00603499"/>
    <w:rsid w:val="006035F5"/>
    <w:rsid w:val="00603CC2"/>
    <w:rsid w:val="006047D1"/>
    <w:rsid w:val="006048A4"/>
    <w:rsid w:val="00604A55"/>
    <w:rsid w:val="00604D4E"/>
    <w:rsid w:val="00604E3E"/>
    <w:rsid w:val="00605AC3"/>
    <w:rsid w:val="00606908"/>
    <w:rsid w:val="006075FF"/>
    <w:rsid w:val="00607996"/>
    <w:rsid w:val="00607A37"/>
    <w:rsid w:val="00607E9F"/>
    <w:rsid w:val="0061085E"/>
    <w:rsid w:val="00611398"/>
    <w:rsid w:val="006113B4"/>
    <w:rsid w:val="0061186D"/>
    <w:rsid w:val="00612083"/>
    <w:rsid w:val="00612322"/>
    <w:rsid w:val="006123C0"/>
    <w:rsid w:val="00613191"/>
    <w:rsid w:val="006133F9"/>
    <w:rsid w:val="006134B3"/>
    <w:rsid w:val="00613DE1"/>
    <w:rsid w:val="0061401F"/>
    <w:rsid w:val="00614166"/>
    <w:rsid w:val="00614176"/>
    <w:rsid w:val="00614817"/>
    <w:rsid w:val="006149CC"/>
    <w:rsid w:val="006157A9"/>
    <w:rsid w:val="0061591D"/>
    <w:rsid w:val="00615ED0"/>
    <w:rsid w:val="0061604C"/>
    <w:rsid w:val="00616C2B"/>
    <w:rsid w:val="00616D7F"/>
    <w:rsid w:val="006178D1"/>
    <w:rsid w:val="00620719"/>
    <w:rsid w:val="006212C9"/>
    <w:rsid w:val="00621D0C"/>
    <w:rsid w:val="00621E89"/>
    <w:rsid w:val="00621F22"/>
    <w:rsid w:val="00622229"/>
    <w:rsid w:val="00622470"/>
    <w:rsid w:val="00622725"/>
    <w:rsid w:val="00622B63"/>
    <w:rsid w:val="00622E4B"/>
    <w:rsid w:val="006231AA"/>
    <w:rsid w:val="00623482"/>
    <w:rsid w:val="00623AC2"/>
    <w:rsid w:val="00623EBC"/>
    <w:rsid w:val="00624655"/>
    <w:rsid w:val="00624A8E"/>
    <w:rsid w:val="00625642"/>
    <w:rsid w:val="00625DF2"/>
    <w:rsid w:val="00625F3F"/>
    <w:rsid w:val="006266D7"/>
    <w:rsid w:val="0062691F"/>
    <w:rsid w:val="00626D42"/>
    <w:rsid w:val="00626EE3"/>
    <w:rsid w:val="006274AD"/>
    <w:rsid w:val="00627519"/>
    <w:rsid w:val="00627532"/>
    <w:rsid w:val="006302AA"/>
    <w:rsid w:val="006310C3"/>
    <w:rsid w:val="0063161E"/>
    <w:rsid w:val="00631BB5"/>
    <w:rsid w:val="00631DCA"/>
    <w:rsid w:val="00631DD0"/>
    <w:rsid w:val="00633170"/>
    <w:rsid w:val="00633B54"/>
    <w:rsid w:val="00633DBF"/>
    <w:rsid w:val="00634122"/>
    <w:rsid w:val="0063444B"/>
    <w:rsid w:val="00635B99"/>
    <w:rsid w:val="00635E32"/>
    <w:rsid w:val="006360FC"/>
    <w:rsid w:val="006361C9"/>
    <w:rsid w:val="006365DE"/>
    <w:rsid w:val="00636BE4"/>
    <w:rsid w:val="00636F88"/>
    <w:rsid w:val="0063732C"/>
    <w:rsid w:val="00637802"/>
    <w:rsid w:val="00637836"/>
    <w:rsid w:val="00637C26"/>
    <w:rsid w:val="00637F44"/>
    <w:rsid w:val="00640A06"/>
    <w:rsid w:val="00640E88"/>
    <w:rsid w:val="00641078"/>
    <w:rsid w:val="00641242"/>
    <w:rsid w:val="00641778"/>
    <w:rsid w:val="00642126"/>
    <w:rsid w:val="006421B6"/>
    <w:rsid w:val="00642A32"/>
    <w:rsid w:val="00642F7C"/>
    <w:rsid w:val="006433D5"/>
    <w:rsid w:val="00643412"/>
    <w:rsid w:val="00645B84"/>
    <w:rsid w:val="00645CEB"/>
    <w:rsid w:val="00645E63"/>
    <w:rsid w:val="00646B20"/>
    <w:rsid w:val="00646D0F"/>
    <w:rsid w:val="00647821"/>
    <w:rsid w:val="00647A36"/>
    <w:rsid w:val="00647DCC"/>
    <w:rsid w:val="00647EFA"/>
    <w:rsid w:val="00647F14"/>
    <w:rsid w:val="00650027"/>
    <w:rsid w:val="00650E89"/>
    <w:rsid w:val="00651B9C"/>
    <w:rsid w:val="00651C47"/>
    <w:rsid w:val="00652E70"/>
    <w:rsid w:val="0065339A"/>
    <w:rsid w:val="00653469"/>
    <w:rsid w:val="00653D1B"/>
    <w:rsid w:val="0065443A"/>
    <w:rsid w:val="00654A38"/>
    <w:rsid w:val="00655301"/>
    <w:rsid w:val="00655371"/>
    <w:rsid w:val="00655507"/>
    <w:rsid w:val="006564A5"/>
    <w:rsid w:val="00656C4B"/>
    <w:rsid w:val="006572A7"/>
    <w:rsid w:val="006573EA"/>
    <w:rsid w:val="006577C9"/>
    <w:rsid w:val="00660510"/>
    <w:rsid w:val="006606A4"/>
    <w:rsid w:val="00661029"/>
    <w:rsid w:val="006610C3"/>
    <w:rsid w:val="00661118"/>
    <w:rsid w:val="0066135A"/>
    <w:rsid w:val="00661A38"/>
    <w:rsid w:val="0066272D"/>
    <w:rsid w:val="00662E58"/>
    <w:rsid w:val="00662F39"/>
    <w:rsid w:val="006634B2"/>
    <w:rsid w:val="006635A0"/>
    <w:rsid w:val="00663855"/>
    <w:rsid w:val="00663D26"/>
    <w:rsid w:val="00664351"/>
    <w:rsid w:val="0066453F"/>
    <w:rsid w:val="00664C22"/>
    <w:rsid w:val="00665968"/>
    <w:rsid w:val="00665BF7"/>
    <w:rsid w:val="0066609C"/>
    <w:rsid w:val="006660F0"/>
    <w:rsid w:val="00666178"/>
    <w:rsid w:val="0066639E"/>
    <w:rsid w:val="00666473"/>
    <w:rsid w:val="006666B4"/>
    <w:rsid w:val="00666B49"/>
    <w:rsid w:val="00666C72"/>
    <w:rsid w:val="00666E6C"/>
    <w:rsid w:val="0066707F"/>
    <w:rsid w:val="00667ED8"/>
    <w:rsid w:val="0067064C"/>
    <w:rsid w:val="00670B0F"/>
    <w:rsid w:val="00670B20"/>
    <w:rsid w:val="00670E12"/>
    <w:rsid w:val="00670F27"/>
    <w:rsid w:val="00671C52"/>
    <w:rsid w:val="00672E80"/>
    <w:rsid w:val="0067333F"/>
    <w:rsid w:val="006739E4"/>
    <w:rsid w:val="00673ECF"/>
    <w:rsid w:val="0067426B"/>
    <w:rsid w:val="00674A1B"/>
    <w:rsid w:val="00674D08"/>
    <w:rsid w:val="00674F1C"/>
    <w:rsid w:val="006754F8"/>
    <w:rsid w:val="00675B0D"/>
    <w:rsid w:val="00676127"/>
    <w:rsid w:val="00676AED"/>
    <w:rsid w:val="00677212"/>
    <w:rsid w:val="006778E7"/>
    <w:rsid w:val="00677F26"/>
    <w:rsid w:val="006800EE"/>
    <w:rsid w:val="006802A7"/>
    <w:rsid w:val="0068059E"/>
    <w:rsid w:val="006807E3"/>
    <w:rsid w:val="00680A86"/>
    <w:rsid w:val="006811C9"/>
    <w:rsid w:val="006812CE"/>
    <w:rsid w:val="00681FC3"/>
    <w:rsid w:val="006826C1"/>
    <w:rsid w:val="00682C89"/>
    <w:rsid w:val="006832B8"/>
    <w:rsid w:val="006837B2"/>
    <w:rsid w:val="00683800"/>
    <w:rsid w:val="00683A61"/>
    <w:rsid w:val="00683CA9"/>
    <w:rsid w:val="00684462"/>
    <w:rsid w:val="00684C0D"/>
    <w:rsid w:val="00684C8A"/>
    <w:rsid w:val="00684CF5"/>
    <w:rsid w:val="0068541F"/>
    <w:rsid w:val="0068553E"/>
    <w:rsid w:val="00685A9D"/>
    <w:rsid w:val="00685D37"/>
    <w:rsid w:val="00685E7B"/>
    <w:rsid w:val="00686551"/>
    <w:rsid w:val="00686CAB"/>
    <w:rsid w:val="0068717F"/>
    <w:rsid w:val="006871CC"/>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984"/>
    <w:rsid w:val="00693B77"/>
    <w:rsid w:val="00694160"/>
    <w:rsid w:val="00694E8B"/>
    <w:rsid w:val="0069501E"/>
    <w:rsid w:val="006959A5"/>
    <w:rsid w:val="00695C0C"/>
    <w:rsid w:val="00696736"/>
    <w:rsid w:val="00696A05"/>
    <w:rsid w:val="006971C0"/>
    <w:rsid w:val="00697665"/>
    <w:rsid w:val="00697C9A"/>
    <w:rsid w:val="00697E68"/>
    <w:rsid w:val="00697FC1"/>
    <w:rsid w:val="006A0274"/>
    <w:rsid w:val="006A1F43"/>
    <w:rsid w:val="006A27BC"/>
    <w:rsid w:val="006A2A43"/>
    <w:rsid w:val="006A2BF1"/>
    <w:rsid w:val="006A2F9A"/>
    <w:rsid w:val="006A34E4"/>
    <w:rsid w:val="006A3A5A"/>
    <w:rsid w:val="006A44CF"/>
    <w:rsid w:val="006A457D"/>
    <w:rsid w:val="006A4C06"/>
    <w:rsid w:val="006A55EE"/>
    <w:rsid w:val="006A575B"/>
    <w:rsid w:val="006A59DE"/>
    <w:rsid w:val="006A64C6"/>
    <w:rsid w:val="006A6655"/>
    <w:rsid w:val="006A6BF9"/>
    <w:rsid w:val="006A7AB8"/>
    <w:rsid w:val="006A7B43"/>
    <w:rsid w:val="006A7CB5"/>
    <w:rsid w:val="006A7FD0"/>
    <w:rsid w:val="006B025C"/>
    <w:rsid w:val="006B08ED"/>
    <w:rsid w:val="006B0B66"/>
    <w:rsid w:val="006B2170"/>
    <w:rsid w:val="006B2534"/>
    <w:rsid w:val="006B2CB2"/>
    <w:rsid w:val="006B347D"/>
    <w:rsid w:val="006B3505"/>
    <w:rsid w:val="006B3E19"/>
    <w:rsid w:val="006B4488"/>
    <w:rsid w:val="006B4D5D"/>
    <w:rsid w:val="006B4F56"/>
    <w:rsid w:val="006B50C4"/>
    <w:rsid w:val="006B53AE"/>
    <w:rsid w:val="006B58B4"/>
    <w:rsid w:val="006B67AC"/>
    <w:rsid w:val="006B786A"/>
    <w:rsid w:val="006B7E4E"/>
    <w:rsid w:val="006C003A"/>
    <w:rsid w:val="006C0D2C"/>
    <w:rsid w:val="006C1008"/>
    <w:rsid w:val="006C107C"/>
    <w:rsid w:val="006C189C"/>
    <w:rsid w:val="006C2454"/>
    <w:rsid w:val="006C2551"/>
    <w:rsid w:val="006C37CA"/>
    <w:rsid w:val="006C40D2"/>
    <w:rsid w:val="006C4B85"/>
    <w:rsid w:val="006C4BBD"/>
    <w:rsid w:val="006C551E"/>
    <w:rsid w:val="006C58C1"/>
    <w:rsid w:val="006C5B15"/>
    <w:rsid w:val="006C5D32"/>
    <w:rsid w:val="006C5DCB"/>
    <w:rsid w:val="006C6475"/>
    <w:rsid w:val="006C70C4"/>
    <w:rsid w:val="006C741F"/>
    <w:rsid w:val="006D04DA"/>
    <w:rsid w:val="006D10F6"/>
    <w:rsid w:val="006D1544"/>
    <w:rsid w:val="006D1688"/>
    <w:rsid w:val="006D1BE1"/>
    <w:rsid w:val="006D1DD3"/>
    <w:rsid w:val="006D1FF3"/>
    <w:rsid w:val="006D22F8"/>
    <w:rsid w:val="006D2C65"/>
    <w:rsid w:val="006D32C6"/>
    <w:rsid w:val="006D360E"/>
    <w:rsid w:val="006D3697"/>
    <w:rsid w:val="006D39D2"/>
    <w:rsid w:val="006D3A94"/>
    <w:rsid w:val="006D3F2A"/>
    <w:rsid w:val="006D4370"/>
    <w:rsid w:val="006D46A3"/>
    <w:rsid w:val="006D4FF2"/>
    <w:rsid w:val="006D53CF"/>
    <w:rsid w:val="006D55E6"/>
    <w:rsid w:val="006D5DCB"/>
    <w:rsid w:val="006D62E0"/>
    <w:rsid w:val="006D658F"/>
    <w:rsid w:val="006D66B2"/>
    <w:rsid w:val="006D6784"/>
    <w:rsid w:val="006D6A12"/>
    <w:rsid w:val="006D712D"/>
    <w:rsid w:val="006D7687"/>
    <w:rsid w:val="006D7D1F"/>
    <w:rsid w:val="006D7D8A"/>
    <w:rsid w:val="006D7F1E"/>
    <w:rsid w:val="006E046C"/>
    <w:rsid w:val="006E0572"/>
    <w:rsid w:val="006E05D8"/>
    <w:rsid w:val="006E08EE"/>
    <w:rsid w:val="006E0F32"/>
    <w:rsid w:val="006E155A"/>
    <w:rsid w:val="006E1689"/>
    <w:rsid w:val="006E16DF"/>
    <w:rsid w:val="006E2C34"/>
    <w:rsid w:val="006E359B"/>
    <w:rsid w:val="006E39D1"/>
    <w:rsid w:val="006E3A8B"/>
    <w:rsid w:val="006E3B05"/>
    <w:rsid w:val="006E437F"/>
    <w:rsid w:val="006E4D5B"/>
    <w:rsid w:val="006E597D"/>
    <w:rsid w:val="006E602F"/>
    <w:rsid w:val="006E6642"/>
    <w:rsid w:val="006E6720"/>
    <w:rsid w:val="006E7275"/>
    <w:rsid w:val="006E77B8"/>
    <w:rsid w:val="006E7AAF"/>
    <w:rsid w:val="006F06B8"/>
    <w:rsid w:val="006F0F74"/>
    <w:rsid w:val="006F120D"/>
    <w:rsid w:val="006F13BA"/>
    <w:rsid w:val="006F15CC"/>
    <w:rsid w:val="006F15F6"/>
    <w:rsid w:val="006F2183"/>
    <w:rsid w:val="006F36EA"/>
    <w:rsid w:val="006F4147"/>
    <w:rsid w:val="006F4276"/>
    <w:rsid w:val="006F4315"/>
    <w:rsid w:val="006F4CB0"/>
    <w:rsid w:val="006F4F78"/>
    <w:rsid w:val="006F50E0"/>
    <w:rsid w:val="006F547E"/>
    <w:rsid w:val="006F5CCF"/>
    <w:rsid w:val="006F6F04"/>
    <w:rsid w:val="006F71F5"/>
    <w:rsid w:val="007000A6"/>
    <w:rsid w:val="00700610"/>
    <w:rsid w:val="0070138A"/>
    <w:rsid w:val="0070157E"/>
    <w:rsid w:val="0070167A"/>
    <w:rsid w:val="00701D0B"/>
    <w:rsid w:val="00702F88"/>
    <w:rsid w:val="007030D4"/>
    <w:rsid w:val="00703279"/>
    <w:rsid w:val="00703B61"/>
    <w:rsid w:val="00703E11"/>
    <w:rsid w:val="00704102"/>
    <w:rsid w:val="0070437C"/>
    <w:rsid w:val="0070461C"/>
    <w:rsid w:val="00704EF5"/>
    <w:rsid w:val="00705631"/>
    <w:rsid w:val="00705818"/>
    <w:rsid w:val="00705F62"/>
    <w:rsid w:val="00706BC6"/>
    <w:rsid w:val="007075EC"/>
    <w:rsid w:val="0070773F"/>
    <w:rsid w:val="00707A2E"/>
    <w:rsid w:val="00707ED3"/>
    <w:rsid w:val="007101B7"/>
    <w:rsid w:val="00710668"/>
    <w:rsid w:val="00711019"/>
    <w:rsid w:val="007110F4"/>
    <w:rsid w:val="007112B1"/>
    <w:rsid w:val="0071130F"/>
    <w:rsid w:val="00711C25"/>
    <w:rsid w:val="00712714"/>
    <w:rsid w:val="007129AB"/>
    <w:rsid w:val="00712B63"/>
    <w:rsid w:val="00713526"/>
    <w:rsid w:val="00713FC5"/>
    <w:rsid w:val="00714DCA"/>
    <w:rsid w:val="00715BBF"/>
    <w:rsid w:val="00715C29"/>
    <w:rsid w:val="00715CBD"/>
    <w:rsid w:val="00715EAA"/>
    <w:rsid w:val="00716119"/>
    <w:rsid w:val="007161B9"/>
    <w:rsid w:val="007162E1"/>
    <w:rsid w:val="00716497"/>
    <w:rsid w:val="00716630"/>
    <w:rsid w:val="00716CAD"/>
    <w:rsid w:val="00716F18"/>
    <w:rsid w:val="00717363"/>
    <w:rsid w:val="00717786"/>
    <w:rsid w:val="00717ACB"/>
    <w:rsid w:val="00720DAF"/>
    <w:rsid w:val="0072138B"/>
    <w:rsid w:val="00721BFF"/>
    <w:rsid w:val="0072220F"/>
    <w:rsid w:val="0072251D"/>
    <w:rsid w:val="00723475"/>
    <w:rsid w:val="007236C4"/>
    <w:rsid w:val="00723905"/>
    <w:rsid w:val="00724635"/>
    <w:rsid w:val="00724F21"/>
    <w:rsid w:val="00724FBB"/>
    <w:rsid w:val="00725134"/>
    <w:rsid w:val="0072554B"/>
    <w:rsid w:val="0072571F"/>
    <w:rsid w:val="007257F3"/>
    <w:rsid w:val="00725AFD"/>
    <w:rsid w:val="00725CB7"/>
    <w:rsid w:val="00725D0B"/>
    <w:rsid w:val="00726603"/>
    <w:rsid w:val="007266AC"/>
    <w:rsid w:val="00727B1D"/>
    <w:rsid w:val="00727DDC"/>
    <w:rsid w:val="007304C4"/>
    <w:rsid w:val="00730CD6"/>
    <w:rsid w:val="00730F74"/>
    <w:rsid w:val="0073114B"/>
    <w:rsid w:val="00732151"/>
    <w:rsid w:val="00732EBC"/>
    <w:rsid w:val="0073416F"/>
    <w:rsid w:val="00734952"/>
    <w:rsid w:val="00734990"/>
    <w:rsid w:val="00734FF5"/>
    <w:rsid w:val="00735287"/>
    <w:rsid w:val="00735B78"/>
    <w:rsid w:val="00735DA7"/>
    <w:rsid w:val="00736700"/>
    <w:rsid w:val="007368B4"/>
    <w:rsid w:val="007378E0"/>
    <w:rsid w:val="0074040E"/>
    <w:rsid w:val="00740529"/>
    <w:rsid w:val="00740876"/>
    <w:rsid w:val="00741358"/>
    <w:rsid w:val="00741626"/>
    <w:rsid w:val="00742332"/>
    <w:rsid w:val="00742886"/>
    <w:rsid w:val="00742DD2"/>
    <w:rsid w:val="007437C6"/>
    <w:rsid w:val="00743CFF"/>
    <w:rsid w:val="007441A2"/>
    <w:rsid w:val="00744E80"/>
    <w:rsid w:val="00745035"/>
    <w:rsid w:val="0074531C"/>
    <w:rsid w:val="00745547"/>
    <w:rsid w:val="007459D0"/>
    <w:rsid w:val="0074623A"/>
    <w:rsid w:val="00746420"/>
    <w:rsid w:val="00746A60"/>
    <w:rsid w:val="00746E04"/>
    <w:rsid w:val="00746E08"/>
    <w:rsid w:val="00746E3D"/>
    <w:rsid w:val="007473B9"/>
    <w:rsid w:val="00747570"/>
    <w:rsid w:val="00747C96"/>
    <w:rsid w:val="00747EC7"/>
    <w:rsid w:val="00750075"/>
    <w:rsid w:val="007502EC"/>
    <w:rsid w:val="00750382"/>
    <w:rsid w:val="0075094E"/>
    <w:rsid w:val="00750FA8"/>
    <w:rsid w:val="00750FB5"/>
    <w:rsid w:val="00751571"/>
    <w:rsid w:val="00751AE6"/>
    <w:rsid w:val="007520F0"/>
    <w:rsid w:val="007522E8"/>
    <w:rsid w:val="007529DB"/>
    <w:rsid w:val="007534AD"/>
    <w:rsid w:val="007534C3"/>
    <w:rsid w:val="007535E9"/>
    <w:rsid w:val="00753A21"/>
    <w:rsid w:val="00753BAC"/>
    <w:rsid w:val="0075463B"/>
    <w:rsid w:val="00754A0B"/>
    <w:rsid w:val="00754D46"/>
    <w:rsid w:val="00755229"/>
    <w:rsid w:val="007552DB"/>
    <w:rsid w:val="0075549F"/>
    <w:rsid w:val="00755B08"/>
    <w:rsid w:val="00755DD0"/>
    <w:rsid w:val="0075647A"/>
    <w:rsid w:val="00756A2F"/>
    <w:rsid w:val="00757152"/>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6BCB"/>
    <w:rsid w:val="00766D49"/>
    <w:rsid w:val="00766ECC"/>
    <w:rsid w:val="007672F3"/>
    <w:rsid w:val="007677B5"/>
    <w:rsid w:val="007678B1"/>
    <w:rsid w:val="00770566"/>
    <w:rsid w:val="007708A8"/>
    <w:rsid w:val="00770F8B"/>
    <w:rsid w:val="00771358"/>
    <w:rsid w:val="00771E30"/>
    <w:rsid w:val="00772100"/>
    <w:rsid w:val="00772275"/>
    <w:rsid w:val="00772D59"/>
    <w:rsid w:val="007734E4"/>
    <w:rsid w:val="0077380D"/>
    <w:rsid w:val="00773BC8"/>
    <w:rsid w:val="00774549"/>
    <w:rsid w:val="0077466F"/>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22E"/>
    <w:rsid w:val="00781939"/>
    <w:rsid w:val="00781D29"/>
    <w:rsid w:val="007825EF"/>
    <w:rsid w:val="0078286B"/>
    <w:rsid w:val="00782D2C"/>
    <w:rsid w:val="00782D75"/>
    <w:rsid w:val="00782FC2"/>
    <w:rsid w:val="007832D1"/>
    <w:rsid w:val="0078347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99A"/>
    <w:rsid w:val="00791C32"/>
    <w:rsid w:val="00791FF0"/>
    <w:rsid w:val="00792369"/>
    <w:rsid w:val="007923D0"/>
    <w:rsid w:val="007930D3"/>
    <w:rsid w:val="0079381F"/>
    <w:rsid w:val="00793A57"/>
    <w:rsid w:val="00793B2E"/>
    <w:rsid w:val="007948F5"/>
    <w:rsid w:val="00794AFB"/>
    <w:rsid w:val="00794DD2"/>
    <w:rsid w:val="00795647"/>
    <w:rsid w:val="007963F6"/>
    <w:rsid w:val="00796DC8"/>
    <w:rsid w:val="00796E80"/>
    <w:rsid w:val="00796FBA"/>
    <w:rsid w:val="0079744F"/>
    <w:rsid w:val="0079776F"/>
    <w:rsid w:val="007979AD"/>
    <w:rsid w:val="00797A9C"/>
    <w:rsid w:val="007A0518"/>
    <w:rsid w:val="007A0EAB"/>
    <w:rsid w:val="007A2341"/>
    <w:rsid w:val="007A238D"/>
    <w:rsid w:val="007A2754"/>
    <w:rsid w:val="007A38A1"/>
    <w:rsid w:val="007A3BBE"/>
    <w:rsid w:val="007A4766"/>
    <w:rsid w:val="007A5947"/>
    <w:rsid w:val="007A717B"/>
    <w:rsid w:val="007A7714"/>
    <w:rsid w:val="007B013C"/>
    <w:rsid w:val="007B0313"/>
    <w:rsid w:val="007B06BD"/>
    <w:rsid w:val="007B0854"/>
    <w:rsid w:val="007B0E48"/>
    <w:rsid w:val="007B1D1B"/>
    <w:rsid w:val="007B21AA"/>
    <w:rsid w:val="007B2504"/>
    <w:rsid w:val="007B2549"/>
    <w:rsid w:val="007B2FE7"/>
    <w:rsid w:val="007B303E"/>
    <w:rsid w:val="007B32C0"/>
    <w:rsid w:val="007B32F7"/>
    <w:rsid w:val="007B35F4"/>
    <w:rsid w:val="007B3659"/>
    <w:rsid w:val="007B38B5"/>
    <w:rsid w:val="007B3BF3"/>
    <w:rsid w:val="007B431B"/>
    <w:rsid w:val="007B4558"/>
    <w:rsid w:val="007B4632"/>
    <w:rsid w:val="007B46A2"/>
    <w:rsid w:val="007B4828"/>
    <w:rsid w:val="007B4B2D"/>
    <w:rsid w:val="007B4D4A"/>
    <w:rsid w:val="007B4F7D"/>
    <w:rsid w:val="007B51C4"/>
    <w:rsid w:val="007B5428"/>
    <w:rsid w:val="007B59B7"/>
    <w:rsid w:val="007B6975"/>
    <w:rsid w:val="007B6C64"/>
    <w:rsid w:val="007B6EC8"/>
    <w:rsid w:val="007B6F81"/>
    <w:rsid w:val="007B7D01"/>
    <w:rsid w:val="007B7EA2"/>
    <w:rsid w:val="007C0339"/>
    <w:rsid w:val="007C097D"/>
    <w:rsid w:val="007C0AF2"/>
    <w:rsid w:val="007C1360"/>
    <w:rsid w:val="007C1672"/>
    <w:rsid w:val="007C17AE"/>
    <w:rsid w:val="007C2FFA"/>
    <w:rsid w:val="007C312A"/>
    <w:rsid w:val="007C3538"/>
    <w:rsid w:val="007C3570"/>
    <w:rsid w:val="007C38B1"/>
    <w:rsid w:val="007C3F3B"/>
    <w:rsid w:val="007C4241"/>
    <w:rsid w:val="007C425E"/>
    <w:rsid w:val="007C55FF"/>
    <w:rsid w:val="007C6339"/>
    <w:rsid w:val="007C753F"/>
    <w:rsid w:val="007C75F7"/>
    <w:rsid w:val="007C7B4F"/>
    <w:rsid w:val="007C7C43"/>
    <w:rsid w:val="007C7E15"/>
    <w:rsid w:val="007C7F0D"/>
    <w:rsid w:val="007D06E3"/>
    <w:rsid w:val="007D09E4"/>
    <w:rsid w:val="007D0E9F"/>
    <w:rsid w:val="007D1134"/>
    <w:rsid w:val="007D231B"/>
    <w:rsid w:val="007D23F7"/>
    <w:rsid w:val="007D2566"/>
    <w:rsid w:val="007D2C18"/>
    <w:rsid w:val="007D2D74"/>
    <w:rsid w:val="007D3693"/>
    <w:rsid w:val="007D38E5"/>
    <w:rsid w:val="007D3C6D"/>
    <w:rsid w:val="007D481A"/>
    <w:rsid w:val="007D4B96"/>
    <w:rsid w:val="007D4ED0"/>
    <w:rsid w:val="007D5648"/>
    <w:rsid w:val="007D58C5"/>
    <w:rsid w:val="007D5DE8"/>
    <w:rsid w:val="007D7867"/>
    <w:rsid w:val="007D7CFC"/>
    <w:rsid w:val="007E0812"/>
    <w:rsid w:val="007E0825"/>
    <w:rsid w:val="007E11D2"/>
    <w:rsid w:val="007E1858"/>
    <w:rsid w:val="007E18DF"/>
    <w:rsid w:val="007E214A"/>
    <w:rsid w:val="007E238D"/>
    <w:rsid w:val="007E2C36"/>
    <w:rsid w:val="007E350D"/>
    <w:rsid w:val="007E368B"/>
    <w:rsid w:val="007E3856"/>
    <w:rsid w:val="007E3ACA"/>
    <w:rsid w:val="007E3F4A"/>
    <w:rsid w:val="007E553D"/>
    <w:rsid w:val="007E564D"/>
    <w:rsid w:val="007E5C4A"/>
    <w:rsid w:val="007E5FBE"/>
    <w:rsid w:val="007E64D4"/>
    <w:rsid w:val="007E66E9"/>
    <w:rsid w:val="007E69F2"/>
    <w:rsid w:val="007E6A2A"/>
    <w:rsid w:val="007E7432"/>
    <w:rsid w:val="007E74BF"/>
    <w:rsid w:val="007E7657"/>
    <w:rsid w:val="007E7D2E"/>
    <w:rsid w:val="007F14D3"/>
    <w:rsid w:val="007F1D9D"/>
    <w:rsid w:val="007F1E28"/>
    <w:rsid w:val="007F1F63"/>
    <w:rsid w:val="007F22A0"/>
    <w:rsid w:val="007F2902"/>
    <w:rsid w:val="007F2903"/>
    <w:rsid w:val="007F2F90"/>
    <w:rsid w:val="007F320F"/>
    <w:rsid w:val="007F3320"/>
    <w:rsid w:val="007F3AC1"/>
    <w:rsid w:val="007F428F"/>
    <w:rsid w:val="007F4976"/>
    <w:rsid w:val="007F4B40"/>
    <w:rsid w:val="007F5A56"/>
    <w:rsid w:val="007F5D42"/>
    <w:rsid w:val="007F616E"/>
    <w:rsid w:val="007F661C"/>
    <w:rsid w:val="007F6B46"/>
    <w:rsid w:val="007F6D1E"/>
    <w:rsid w:val="007F72CB"/>
    <w:rsid w:val="007F736A"/>
    <w:rsid w:val="007F7635"/>
    <w:rsid w:val="007F785F"/>
    <w:rsid w:val="007F7961"/>
    <w:rsid w:val="007F7AF6"/>
    <w:rsid w:val="007F7E36"/>
    <w:rsid w:val="008002F2"/>
    <w:rsid w:val="00800E6D"/>
    <w:rsid w:val="0080110A"/>
    <w:rsid w:val="008014D9"/>
    <w:rsid w:val="0080150F"/>
    <w:rsid w:val="0080153A"/>
    <w:rsid w:val="00801A2A"/>
    <w:rsid w:val="00802041"/>
    <w:rsid w:val="008022C9"/>
    <w:rsid w:val="00802605"/>
    <w:rsid w:val="00802D1B"/>
    <w:rsid w:val="00802F35"/>
    <w:rsid w:val="00802F9E"/>
    <w:rsid w:val="00803700"/>
    <w:rsid w:val="008039D5"/>
    <w:rsid w:val="00803D9D"/>
    <w:rsid w:val="00804D61"/>
    <w:rsid w:val="00804FE2"/>
    <w:rsid w:val="008059C6"/>
    <w:rsid w:val="00805AD7"/>
    <w:rsid w:val="00805BD6"/>
    <w:rsid w:val="00805DE3"/>
    <w:rsid w:val="00806BFE"/>
    <w:rsid w:val="00807C35"/>
    <w:rsid w:val="00807F35"/>
    <w:rsid w:val="00807F69"/>
    <w:rsid w:val="008100F7"/>
    <w:rsid w:val="00810206"/>
    <w:rsid w:val="0081022B"/>
    <w:rsid w:val="00811898"/>
    <w:rsid w:val="00811CDC"/>
    <w:rsid w:val="008124D8"/>
    <w:rsid w:val="008134E0"/>
    <w:rsid w:val="00813A76"/>
    <w:rsid w:val="00813A7B"/>
    <w:rsid w:val="00813F04"/>
    <w:rsid w:val="00813F5C"/>
    <w:rsid w:val="00814BE8"/>
    <w:rsid w:val="0081513E"/>
    <w:rsid w:val="00815DA5"/>
    <w:rsid w:val="00816221"/>
    <w:rsid w:val="0081715E"/>
    <w:rsid w:val="0081766B"/>
    <w:rsid w:val="0082042F"/>
    <w:rsid w:val="008205AC"/>
    <w:rsid w:val="00820705"/>
    <w:rsid w:val="00820CBF"/>
    <w:rsid w:val="00820CF5"/>
    <w:rsid w:val="00820FA8"/>
    <w:rsid w:val="008212FD"/>
    <w:rsid w:val="00821489"/>
    <w:rsid w:val="008217B7"/>
    <w:rsid w:val="0082239B"/>
    <w:rsid w:val="0082292E"/>
    <w:rsid w:val="00822D06"/>
    <w:rsid w:val="00822EC4"/>
    <w:rsid w:val="0082348D"/>
    <w:rsid w:val="008236BE"/>
    <w:rsid w:val="008241CE"/>
    <w:rsid w:val="00824FA0"/>
    <w:rsid w:val="00825240"/>
    <w:rsid w:val="00825B43"/>
    <w:rsid w:val="0082640A"/>
    <w:rsid w:val="00826F71"/>
    <w:rsid w:val="008278EF"/>
    <w:rsid w:val="00827C39"/>
    <w:rsid w:val="00827CC0"/>
    <w:rsid w:val="00827CD3"/>
    <w:rsid w:val="008306AB"/>
    <w:rsid w:val="00830DB8"/>
    <w:rsid w:val="00831026"/>
    <w:rsid w:val="0083119B"/>
    <w:rsid w:val="00831BAE"/>
    <w:rsid w:val="00832216"/>
    <w:rsid w:val="00832513"/>
    <w:rsid w:val="00832590"/>
    <w:rsid w:val="00832AD3"/>
    <w:rsid w:val="00832CD0"/>
    <w:rsid w:val="00833430"/>
    <w:rsid w:val="00833ADA"/>
    <w:rsid w:val="00834128"/>
    <w:rsid w:val="0083417F"/>
    <w:rsid w:val="00835143"/>
    <w:rsid w:val="0083569B"/>
    <w:rsid w:val="00835741"/>
    <w:rsid w:val="00836E74"/>
    <w:rsid w:val="00836EAB"/>
    <w:rsid w:val="00836F71"/>
    <w:rsid w:val="00837673"/>
    <w:rsid w:val="008377D7"/>
    <w:rsid w:val="00837937"/>
    <w:rsid w:val="00837D82"/>
    <w:rsid w:val="00840893"/>
    <w:rsid w:val="00840E88"/>
    <w:rsid w:val="0084102C"/>
    <w:rsid w:val="008410B1"/>
    <w:rsid w:val="00841308"/>
    <w:rsid w:val="008423EC"/>
    <w:rsid w:val="008429A6"/>
    <w:rsid w:val="00843615"/>
    <w:rsid w:val="00843698"/>
    <w:rsid w:val="00843A4B"/>
    <w:rsid w:val="00843B57"/>
    <w:rsid w:val="00843B60"/>
    <w:rsid w:val="00843D33"/>
    <w:rsid w:val="008444F0"/>
    <w:rsid w:val="00844D4F"/>
    <w:rsid w:val="00844F38"/>
    <w:rsid w:val="00845AE3"/>
    <w:rsid w:val="00846152"/>
    <w:rsid w:val="008466A0"/>
    <w:rsid w:val="00847535"/>
    <w:rsid w:val="008478D9"/>
    <w:rsid w:val="00847B6D"/>
    <w:rsid w:val="0085092D"/>
    <w:rsid w:val="008509A5"/>
    <w:rsid w:val="00850C79"/>
    <w:rsid w:val="00850D82"/>
    <w:rsid w:val="00850F79"/>
    <w:rsid w:val="0085100B"/>
    <w:rsid w:val="00851BC5"/>
    <w:rsid w:val="0085304C"/>
    <w:rsid w:val="008533E7"/>
    <w:rsid w:val="008536BB"/>
    <w:rsid w:val="00853A3C"/>
    <w:rsid w:val="00853AB6"/>
    <w:rsid w:val="00853EE0"/>
    <w:rsid w:val="0085433A"/>
    <w:rsid w:val="008548CA"/>
    <w:rsid w:val="00854AC3"/>
    <w:rsid w:val="00855D62"/>
    <w:rsid w:val="008563B0"/>
    <w:rsid w:val="008568FE"/>
    <w:rsid w:val="00856C06"/>
    <w:rsid w:val="0085790B"/>
    <w:rsid w:val="008579B9"/>
    <w:rsid w:val="00857C95"/>
    <w:rsid w:val="00857E78"/>
    <w:rsid w:val="00860A1B"/>
    <w:rsid w:val="00860AEF"/>
    <w:rsid w:val="00860B18"/>
    <w:rsid w:val="00860D5E"/>
    <w:rsid w:val="0086122C"/>
    <w:rsid w:val="00861310"/>
    <w:rsid w:val="00861F53"/>
    <w:rsid w:val="0086264E"/>
    <w:rsid w:val="0086289E"/>
    <w:rsid w:val="008629CB"/>
    <w:rsid w:val="00862C72"/>
    <w:rsid w:val="0086394E"/>
    <w:rsid w:val="00863F8A"/>
    <w:rsid w:val="00863FB1"/>
    <w:rsid w:val="00863FE3"/>
    <w:rsid w:val="008640AA"/>
    <w:rsid w:val="008640C4"/>
    <w:rsid w:val="00864241"/>
    <w:rsid w:val="0086465A"/>
    <w:rsid w:val="0086468A"/>
    <w:rsid w:val="00864E72"/>
    <w:rsid w:val="008650BE"/>
    <w:rsid w:val="00865EAF"/>
    <w:rsid w:val="0086633B"/>
    <w:rsid w:val="00866495"/>
    <w:rsid w:val="00866881"/>
    <w:rsid w:val="00866931"/>
    <w:rsid w:val="00867512"/>
    <w:rsid w:val="008678A3"/>
    <w:rsid w:val="00867C13"/>
    <w:rsid w:val="00867C1D"/>
    <w:rsid w:val="00870023"/>
    <w:rsid w:val="0087033C"/>
    <w:rsid w:val="008715ED"/>
    <w:rsid w:val="008717D8"/>
    <w:rsid w:val="00871E3C"/>
    <w:rsid w:val="00872AC6"/>
    <w:rsid w:val="00872F97"/>
    <w:rsid w:val="00874607"/>
    <w:rsid w:val="008747E9"/>
    <w:rsid w:val="00874915"/>
    <w:rsid w:val="00874949"/>
    <w:rsid w:val="00874B89"/>
    <w:rsid w:val="00875403"/>
    <w:rsid w:val="00875434"/>
    <w:rsid w:val="00875C1F"/>
    <w:rsid w:val="00876215"/>
    <w:rsid w:val="0087646C"/>
    <w:rsid w:val="00876815"/>
    <w:rsid w:val="00877932"/>
    <w:rsid w:val="008808C7"/>
    <w:rsid w:val="0088106B"/>
    <w:rsid w:val="0088107D"/>
    <w:rsid w:val="0088187A"/>
    <w:rsid w:val="00881E64"/>
    <w:rsid w:val="00882C44"/>
    <w:rsid w:val="00882E39"/>
    <w:rsid w:val="008846EB"/>
    <w:rsid w:val="008850EB"/>
    <w:rsid w:val="00885228"/>
    <w:rsid w:val="008857E3"/>
    <w:rsid w:val="00885E06"/>
    <w:rsid w:val="00886DF2"/>
    <w:rsid w:val="00886FB9"/>
    <w:rsid w:val="00887057"/>
    <w:rsid w:val="00887080"/>
    <w:rsid w:val="00887C79"/>
    <w:rsid w:val="0089107B"/>
    <w:rsid w:val="008913CC"/>
    <w:rsid w:val="008914AE"/>
    <w:rsid w:val="008918A2"/>
    <w:rsid w:val="008919CF"/>
    <w:rsid w:val="00891F84"/>
    <w:rsid w:val="00891FC3"/>
    <w:rsid w:val="008928EC"/>
    <w:rsid w:val="00892A15"/>
    <w:rsid w:val="00892C44"/>
    <w:rsid w:val="00892E5D"/>
    <w:rsid w:val="0089338A"/>
    <w:rsid w:val="008935CF"/>
    <w:rsid w:val="00893E30"/>
    <w:rsid w:val="0089436B"/>
    <w:rsid w:val="00894436"/>
    <w:rsid w:val="00894BB1"/>
    <w:rsid w:val="008951D0"/>
    <w:rsid w:val="00895442"/>
    <w:rsid w:val="0089582D"/>
    <w:rsid w:val="008959C6"/>
    <w:rsid w:val="0089606D"/>
    <w:rsid w:val="00896129"/>
    <w:rsid w:val="00896316"/>
    <w:rsid w:val="00896F0D"/>
    <w:rsid w:val="0089774F"/>
    <w:rsid w:val="00897772"/>
    <w:rsid w:val="00897875"/>
    <w:rsid w:val="008979F4"/>
    <w:rsid w:val="00897B8F"/>
    <w:rsid w:val="008A00D9"/>
    <w:rsid w:val="008A07D5"/>
    <w:rsid w:val="008A1FB7"/>
    <w:rsid w:val="008A229A"/>
    <w:rsid w:val="008A2A23"/>
    <w:rsid w:val="008A2AF5"/>
    <w:rsid w:val="008A2B5A"/>
    <w:rsid w:val="008A3F9D"/>
    <w:rsid w:val="008A43B0"/>
    <w:rsid w:val="008A5474"/>
    <w:rsid w:val="008A5C9A"/>
    <w:rsid w:val="008A6005"/>
    <w:rsid w:val="008A614F"/>
    <w:rsid w:val="008A64D3"/>
    <w:rsid w:val="008A6A55"/>
    <w:rsid w:val="008A6DF0"/>
    <w:rsid w:val="008A6F6E"/>
    <w:rsid w:val="008A7888"/>
    <w:rsid w:val="008A796E"/>
    <w:rsid w:val="008B0862"/>
    <w:rsid w:val="008B088C"/>
    <w:rsid w:val="008B1BF5"/>
    <w:rsid w:val="008B263F"/>
    <w:rsid w:val="008B272E"/>
    <w:rsid w:val="008B2C7D"/>
    <w:rsid w:val="008B3045"/>
    <w:rsid w:val="008B4472"/>
    <w:rsid w:val="008B47A6"/>
    <w:rsid w:val="008B522C"/>
    <w:rsid w:val="008B5C7C"/>
    <w:rsid w:val="008B63FE"/>
    <w:rsid w:val="008B658D"/>
    <w:rsid w:val="008B672C"/>
    <w:rsid w:val="008B7101"/>
    <w:rsid w:val="008B7108"/>
    <w:rsid w:val="008C047A"/>
    <w:rsid w:val="008C065F"/>
    <w:rsid w:val="008C0743"/>
    <w:rsid w:val="008C0B4C"/>
    <w:rsid w:val="008C0F69"/>
    <w:rsid w:val="008C11F0"/>
    <w:rsid w:val="008C1493"/>
    <w:rsid w:val="008C1DBA"/>
    <w:rsid w:val="008C24E7"/>
    <w:rsid w:val="008C2500"/>
    <w:rsid w:val="008C2918"/>
    <w:rsid w:val="008C2CAC"/>
    <w:rsid w:val="008C3C57"/>
    <w:rsid w:val="008C3E2A"/>
    <w:rsid w:val="008C3EC6"/>
    <w:rsid w:val="008C45BD"/>
    <w:rsid w:val="008C4B19"/>
    <w:rsid w:val="008C5DF9"/>
    <w:rsid w:val="008C62D4"/>
    <w:rsid w:val="008C6B89"/>
    <w:rsid w:val="008C6B97"/>
    <w:rsid w:val="008C6D53"/>
    <w:rsid w:val="008C7892"/>
    <w:rsid w:val="008C7EF7"/>
    <w:rsid w:val="008D0615"/>
    <w:rsid w:val="008D18AA"/>
    <w:rsid w:val="008D1A2A"/>
    <w:rsid w:val="008D1ADE"/>
    <w:rsid w:val="008D35D9"/>
    <w:rsid w:val="008D3B36"/>
    <w:rsid w:val="008D3B85"/>
    <w:rsid w:val="008D462D"/>
    <w:rsid w:val="008D6084"/>
    <w:rsid w:val="008D62C8"/>
    <w:rsid w:val="008D64AC"/>
    <w:rsid w:val="008D66CA"/>
    <w:rsid w:val="008D69B1"/>
    <w:rsid w:val="008D7338"/>
    <w:rsid w:val="008D785E"/>
    <w:rsid w:val="008D7D66"/>
    <w:rsid w:val="008E0012"/>
    <w:rsid w:val="008E08C2"/>
    <w:rsid w:val="008E0DF7"/>
    <w:rsid w:val="008E0FAD"/>
    <w:rsid w:val="008E11E4"/>
    <w:rsid w:val="008E1252"/>
    <w:rsid w:val="008E1347"/>
    <w:rsid w:val="008E16E0"/>
    <w:rsid w:val="008E1C15"/>
    <w:rsid w:val="008E1C9A"/>
    <w:rsid w:val="008E1DF5"/>
    <w:rsid w:val="008E28BD"/>
    <w:rsid w:val="008E2BE6"/>
    <w:rsid w:val="008E2C94"/>
    <w:rsid w:val="008E30C4"/>
    <w:rsid w:val="008E38B4"/>
    <w:rsid w:val="008E3BA4"/>
    <w:rsid w:val="008E44AB"/>
    <w:rsid w:val="008E4CAE"/>
    <w:rsid w:val="008E5179"/>
    <w:rsid w:val="008E57FE"/>
    <w:rsid w:val="008E6420"/>
    <w:rsid w:val="008E6598"/>
    <w:rsid w:val="008E710F"/>
    <w:rsid w:val="008E7214"/>
    <w:rsid w:val="008E7497"/>
    <w:rsid w:val="008E7884"/>
    <w:rsid w:val="008E7D6E"/>
    <w:rsid w:val="008F1056"/>
    <w:rsid w:val="008F23D9"/>
    <w:rsid w:val="008F2E8D"/>
    <w:rsid w:val="008F31FA"/>
    <w:rsid w:val="008F361D"/>
    <w:rsid w:val="008F385A"/>
    <w:rsid w:val="008F387B"/>
    <w:rsid w:val="008F3DD9"/>
    <w:rsid w:val="008F409B"/>
    <w:rsid w:val="008F4163"/>
    <w:rsid w:val="008F4814"/>
    <w:rsid w:val="008F4B18"/>
    <w:rsid w:val="008F4DA6"/>
    <w:rsid w:val="008F538E"/>
    <w:rsid w:val="008F5A20"/>
    <w:rsid w:val="008F5ABA"/>
    <w:rsid w:val="008F6157"/>
    <w:rsid w:val="008F71AB"/>
    <w:rsid w:val="008F7905"/>
    <w:rsid w:val="008F7989"/>
    <w:rsid w:val="00900912"/>
    <w:rsid w:val="00900CD7"/>
    <w:rsid w:val="00901F1D"/>
    <w:rsid w:val="009028E8"/>
    <w:rsid w:val="00902E5C"/>
    <w:rsid w:val="0090363E"/>
    <w:rsid w:val="009046E5"/>
    <w:rsid w:val="00904790"/>
    <w:rsid w:val="009047C5"/>
    <w:rsid w:val="00906FE7"/>
    <w:rsid w:val="00910683"/>
    <w:rsid w:val="00910E00"/>
    <w:rsid w:val="00910E04"/>
    <w:rsid w:val="009116CE"/>
    <w:rsid w:val="00911714"/>
    <w:rsid w:val="00911D04"/>
    <w:rsid w:val="00911EFF"/>
    <w:rsid w:val="0091310F"/>
    <w:rsid w:val="009136D4"/>
    <w:rsid w:val="00914B9A"/>
    <w:rsid w:val="00914C3F"/>
    <w:rsid w:val="00914C93"/>
    <w:rsid w:val="00914F33"/>
    <w:rsid w:val="00915256"/>
    <w:rsid w:val="00915EFE"/>
    <w:rsid w:val="00915FCE"/>
    <w:rsid w:val="00916AFE"/>
    <w:rsid w:val="00916FC8"/>
    <w:rsid w:val="009170D3"/>
    <w:rsid w:val="0091759C"/>
    <w:rsid w:val="00920026"/>
    <w:rsid w:val="009203E2"/>
    <w:rsid w:val="00920BF5"/>
    <w:rsid w:val="00920F61"/>
    <w:rsid w:val="00921304"/>
    <w:rsid w:val="00921395"/>
    <w:rsid w:val="00921805"/>
    <w:rsid w:val="00921E63"/>
    <w:rsid w:val="00923396"/>
    <w:rsid w:val="00923F56"/>
    <w:rsid w:val="00924770"/>
    <w:rsid w:val="00925229"/>
    <w:rsid w:val="00925346"/>
    <w:rsid w:val="00925743"/>
    <w:rsid w:val="0092579F"/>
    <w:rsid w:val="00925D65"/>
    <w:rsid w:val="009272FA"/>
    <w:rsid w:val="00927E8D"/>
    <w:rsid w:val="00927F23"/>
    <w:rsid w:val="00930411"/>
    <w:rsid w:val="009307CD"/>
    <w:rsid w:val="00931213"/>
    <w:rsid w:val="00931364"/>
    <w:rsid w:val="00931365"/>
    <w:rsid w:val="00931451"/>
    <w:rsid w:val="009314FA"/>
    <w:rsid w:val="0093194F"/>
    <w:rsid w:val="00931BF3"/>
    <w:rsid w:val="00931C55"/>
    <w:rsid w:val="009330DF"/>
    <w:rsid w:val="00933333"/>
    <w:rsid w:val="0093349A"/>
    <w:rsid w:val="0093360C"/>
    <w:rsid w:val="009338BA"/>
    <w:rsid w:val="00933915"/>
    <w:rsid w:val="00933EF7"/>
    <w:rsid w:val="00933FCB"/>
    <w:rsid w:val="009346C8"/>
    <w:rsid w:val="00934CEC"/>
    <w:rsid w:val="00934E69"/>
    <w:rsid w:val="00935E70"/>
    <w:rsid w:val="0093609A"/>
    <w:rsid w:val="00937401"/>
    <w:rsid w:val="009376FB"/>
    <w:rsid w:val="00937D6B"/>
    <w:rsid w:val="00940477"/>
    <w:rsid w:val="00940876"/>
    <w:rsid w:val="00940A53"/>
    <w:rsid w:val="00940F3C"/>
    <w:rsid w:val="009410E0"/>
    <w:rsid w:val="00941FA9"/>
    <w:rsid w:val="009439B6"/>
    <w:rsid w:val="009444B4"/>
    <w:rsid w:val="00944644"/>
    <w:rsid w:val="00944968"/>
    <w:rsid w:val="00946A24"/>
    <w:rsid w:val="009470D4"/>
    <w:rsid w:val="00947337"/>
    <w:rsid w:val="00947E6E"/>
    <w:rsid w:val="009500A6"/>
    <w:rsid w:val="00951145"/>
    <w:rsid w:val="009512FA"/>
    <w:rsid w:val="009516A9"/>
    <w:rsid w:val="00951E57"/>
    <w:rsid w:val="00952350"/>
    <w:rsid w:val="00952505"/>
    <w:rsid w:val="00952FBB"/>
    <w:rsid w:val="00953018"/>
    <w:rsid w:val="009533E2"/>
    <w:rsid w:val="00953554"/>
    <w:rsid w:val="0095360B"/>
    <w:rsid w:val="0095385A"/>
    <w:rsid w:val="00954F3A"/>
    <w:rsid w:val="009551B8"/>
    <w:rsid w:val="009560DA"/>
    <w:rsid w:val="0095780A"/>
    <w:rsid w:val="009578C3"/>
    <w:rsid w:val="009579E4"/>
    <w:rsid w:val="00957AA4"/>
    <w:rsid w:val="00957ACB"/>
    <w:rsid w:val="00957F27"/>
    <w:rsid w:val="00960BDB"/>
    <w:rsid w:val="0096105C"/>
    <w:rsid w:val="0096147D"/>
    <w:rsid w:val="0096160D"/>
    <w:rsid w:val="00961D53"/>
    <w:rsid w:val="00961E5F"/>
    <w:rsid w:val="00961EF3"/>
    <w:rsid w:val="009625C6"/>
    <w:rsid w:val="009629B5"/>
    <w:rsid w:val="00962A50"/>
    <w:rsid w:val="00963550"/>
    <w:rsid w:val="00963C19"/>
    <w:rsid w:val="00964138"/>
    <w:rsid w:val="009648D6"/>
    <w:rsid w:val="00964B3F"/>
    <w:rsid w:val="00964C98"/>
    <w:rsid w:val="00966B9B"/>
    <w:rsid w:val="0097077C"/>
    <w:rsid w:val="00970917"/>
    <w:rsid w:val="00971441"/>
    <w:rsid w:val="00971555"/>
    <w:rsid w:val="0097158D"/>
    <w:rsid w:val="009715D4"/>
    <w:rsid w:val="0097179A"/>
    <w:rsid w:val="00971B0A"/>
    <w:rsid w:val="00972AC5"/>
    <w:rsid w:val="009731F4"/>
    <w:rsid w:val="009732A4"/>
    <w:rsid w:val="00973C05"/>
    <w:rsid w:val="00973DC6"/>
    <w:rsid w:val="00974267"/>
    <w:rsid w:val="009744FF"/>
    <w:rsid w:val="0097494E"/>
    <w:rsid w:val="00974999"/>
    <w:rsid w:val="00974B58"/>
    <w:rsid w:val="00974CBD"/>
    <w:rsid w:val="009753C3"/>
    <w:rsid w:val="00975445"/>
    <w:rsid w:val="00975460"/>
    <w:rsid w:val="009761ED"/>
    <w:rsid w:val="0098022F"/>
    <w:rsid w:val="009810DE"/>
    <w:rsid w:val="00981B91"/>
    <w:rsid w:val="009822D7"/>
    <w:rsid w:val="009827E6"/>
    <w:rsid w:val="00982F84"/>
    <w:rsid w:val="009831C3"/>
    <w:rsid w:val="009840C5"/>
    <w:rsid w:val="0098427D"/>
    <w:rsid w:val="0098430B"/>
    <w:rsid w:val="00984567"/>
    <w:rsid w:val="00985102"/>
    <w:rsid w:val="009854BC"/>
    <w:rsid w:val="00985A66"/>
    <w:rsid w:val="0098606C"/>
    <w:rsid w:val="009865D5"/>
    <w:rsid w:val="009876F2"/>
    <w:rsid w:val="00987C77"/>
    <w:rsid w:val="00987EA3"/>
    <w:rsid w:val="00987FED"/>
    <w:rsid w:val="00990345"/>
    <w:rsid w:val="00990701"/>
    <w:rsid w:val="0099119C"/>
    <w:rsid w:val="0099137A"/>
    <w:rsid w:val="0099211C"/>
    <w:rsid w:val="009927C6"/>
    <w:rsid w:val="00993013"/>
    <w:rsid w:val="00993B78"/>
    <w:rsid w:val="00994F3F"/>
    <w:rsid w:val="00995119"/>
    <w:rsid w:val="0099531F"/>
    <w:rsid w:val="009953AD"/>
    <w:rsid w:val="009957D7"/>
    <w:rsid w:val="0099583D"/>
    <w:rsid w:val="00996020"/>
    <w:rsid w:val="0099629E"/>
    <w:rsid w:val="00996992"/>
    <w:rsid w:val="00996E1E"/>
    <w:rsid w:val="00997148"/>
    <w:rsid w:val="00997392"/>
    <w:rsid w:val="0099747C"/>
    <w:rsid w:val="0099771C"/>
    <w:rsid w:val="00997852"/>
    <w:rsid w:val="009A01E4"/>
    <w:rsid w:val="009A0917"/>
    <w:rsid w:val="009A0A33"/>
    <w:rsid w:val="009A1351"/>
    <w:rsid w:val="009A1723"/>
    <w:rsid w:val="009A1E6C"/>
    <w:rsid w:val="009A1EAE"/>
    <w:rsid w:val="009A2041"/>
    <w:rsid w:val="009A2435"/>
    <w:rsid w:val="009A35DC"/>
    <w:rsid w:val="009A38AB"/>
    <w:rsid w:val="009A39EE"/>
    <w:rsid w:val="009A3D47"/>
    <w:rsid w:val="009A4D63"/>
    <w:rsid w:val="009A5356"/>
    <w:rsid w:val="009A5468"/>
    <w:rsid w:val="009A5D99"/>
    <w:rsid w:val="009A608C"/>
    <w:rsid w:val="009A653C"/>
    <w:rsid w:val="009A6FDF"/>
    <w:rsid w:val="009A715F"/>
    <w:rsid w:val="009A76D6"/>
    <w:rsid w:val="009A7CF7"/>
    <w:rsid w:val="009B2374"/>
    <w:rsid w:val="009B2E29"/>
    <w:rsid w:val="009B3140"/>
    <w:rsid w:val="009B3163"/>
    <w:rsid w:val="009B422F"/>
    <w:rsid w:val="009B4620"/>
    <w:rsid w:val="009B46BC"/>
    <w:rsid w:val="009B4ACF"/>
    <w:rsid w:val="009B4D1A"/>
    <w:rsid w:val="009B519D"/>
    <w:rsid w:val="009B543A"/>
    <w:rsid w:val="009B558B"/>
    <w:rsid w:val="009B6BCF"/>
    <w:rsid w:val="009B6D21"/>
    <w:rsid w:val="009B6E85"/>
    <w:rsid w:val="009B78ED"/>
    <w:rsid w:val="009C0E1B"/>
    <w:rsid w:val="009C12AB"/>
    <w:rsid w:val="009C181C"/>
    <w:rsid w:val="009C1A44"/>
    <w:rsid w:val="009C1C7F"/>
    <w:rsid w:val="009C1D29"/>
    <w:rsid w:val="009C1D4C"/>
    <w:rsid w:val="009C1EC7"/>
    <w:rsid w:val="009C2210"/>
    <w:rsid w:val="009C28A2"/>
    <w:rsid w:val="009C2BAE"/>
    <w:rsid w:val="009C2D36"/>
    <w:rsid w:val="009C3239"/>
    <w:rsid w:val="009C3815"/>
    <w:rsid w:val="009C3828"/>
    <w:rsid w:val="009C39AA"/>
    <w:rsid w:val="009C3AD3"/>
    <w:rsid w:val="009C3AF4"/>
    <w:rsid w:val="009C3D2C"/>
    <w:rsid w:val="009C42A2"/>
    <w:rsid w:val="009C4832"/>
    <w:rsid w:val="009C4987"/>
    <w:rsid w:val="009C4FDE"/>
    <w:rsid w:val="009C523F"/>
    <w:rsid w:val="009C52E2"/>
    <w:rsid w:val="009C5905"/>
    <w:rsid w:val="009C59BF"/>
    <w:rsid w:val="009C5E4F"/>
    <w:rsid w:val="009C5F64"/>
    <w:rsid w:val="009C5F82"/>
    <w:rsid w:val="009C60EA"/>
    <w:rsid w:val="009C6716"/>
    <w:rsid w:val="009C6BFC"/>
    <w:rsid w:val="009C6E99"/>
    <w:rsid w:val="009C70F8"/>
    <w:rsid w:val="009C78A3"/>
    <w:rsid w:val="009C7E68"/>
    <w:rsid w:val="009D00D7"/>
    <w:rsid w:val="009D0156"/>
    <w:rsid w:val="009D05DA"/>
    <w:rsid w:val="009D1124"/>
    <w:rsid w:val="009D11F6"/>
    <w:rsid w:val="009D1A14"/>
    <w:rsid w:val="009D1E2A"/>
    <w:rsid w:val="009D1FA0"/>
    <w:rsid w:val="009D2BDF"/>
    <w:rsid w:val="009D3736"/>
    <w:rsid w:val="009D4529"/>
    <w:rsid w:val="009D460F"/>
    <w:rsid w:val="009D604F"/>
    <w:rsid w:val="009D61BB"/>
    <w:rsid w:val="009D6410"/>
    <w:rsid w:val="009D68BB"/>
    <w:rsid w:val="009D6909"/>
    <w:rsid w:val="009D700F"/>
    <w:rsid w:val="009D70C2"/>
    <w:rsid w:val="009D7244"/>
    <w:rsid w:val="009D7ADB"/>
    <w:rsid w:val="009D7B33"/>
    <w:rsid w:val="009D7BF4"/>
    <w:rsid w:val="009E06C3"/>
    <w:rsid w:val="009E0703"/>
    <w:rsid w:val="009E0F52"/>
    <w:rsid w:val="009E1035"/>
    <w:rsid w:val="009E16DA"/>
    <w:rsid w:val="009E1CD4"/>
    <w:rsid w:val="009E2391"/>
    <w:rsid w:val="009E3704"/>
    <w:rsid w:val="009E4685"/>
    <w:rsid w:val="009E476A"/>
    <w:rsid w:val="009E4E05"/>
    <w:rsid w:val="009E5680"/>
    <w:rsid w:val="009E56FF"/>
    <w:rsid w:val="009E5CB1"/>
    <w:rsid w:val="009E5E56"/>
    <w:rsid w:val="009E61EA"/>
    <w:rsid w:val="009E6990"/>
    <w:rsid w:val="009E6FEE"/>
    <w:rsid w:val="009F002C"/>
    <w:rsid w:val="009F00B9"/>
    <w:rsid w:val="009F060F"/>
    <w:rsid w:val="009F0781"/>
    <w:rsid w:val="009F0850"/>
    <w:rsid w:val="009F09FB"/>
    <w:rsid w:val="009F170C"/>
    <w:rsid w:val="009F1BDF"/>
    <w:rsid w:val="009F1EAE"/>
    <w:rsid w:val="009F2495"/>
    <w:rsid w:val="009F2848"/>
    <w:rsid w:val="009F2A9D"/>
    <w:rsid w:val="009F2B4A"/>
    <w:rsid w:val="009F3439"/>
    <w:rsid w:val="009F369D"/>
    <w:rsid w:val="009F36FE"/>
    <w:rsid w:val="009F399F"/>
    <w:rsid w:val="009F4990"/>
    <w:rsid w:val="009F4C1E"/>
    <w:rsid w:val="009F4F25"/>
    <w:rsid w:val="009F59C2"/>
    <w:rsid w:val="009F5BC7"/>
    <w:rsid w:val="009F7263"/>
    <w:rsid w:val="009F76EA"/>
    <w:rsid w:val="009F78EB"/>
    <w:rsid w:val="009F7DB2"/>
    <w:rsid w:val="009F7F32"/>
    <w:rsid w:val="009F7FEB"/>
    <w:rsid w:val="00A003D5"/>
    <w:rsid w:val="00A0056C"/>
    <w:rsid w:val="00A0067C"/>
    <w:rsid w:val="00A00EDF"/>
    <w:rsid w:val="00A00F5E"/>
    <w:rsid w:val="00A0120D"/>
    <w:rsid w:val="00A01852"/>
    <w:rsid w:val="00A0188B"/>
    <w:rsid w:val="00A01C35"/>
    <w:rsid w:val="00A01E73"/>
    <w:rsid w:val="00A023E7"/>
    <w:rsid w:val="00A02B88"/>
    <w:rsid w:val="00A03160"/>
    <w:rsid w:val="00A036AC"/>
    <w:rsid w:val="00A03A1F"/>
    <w:rsid w:val="00A03C54"/>
    <w:rsid w:val="00A03DE5"/>
    <w:rsid w:val="00A041BC"/>
    <w:rsid w:val="00A0446B"/>
    <w:rsid w:val="00A0447F"/>
    <w:rsid w:val="00A046D2"/>
    <w:rsid w:val="00A04844"/>
    <w:rsid w:val="00A04A54"/>
    <w:rsid w:val="00A058B8"/>
    <w:rsid w:val="00A05B4B"/>
    <w:rsid w:val="00A066C3"/>
    <w:rsid w:val="00A06754"/>
    <w:rsid w:val="00A0696E"/>
    <w:rsid w:val="00A069E0"/>
    <w:rsid w:val="00A06E4A"/>
    <w:rsid w:val="00A070E9"/>
    <w:rsid w:val="00A078FB"/>
    <w:rsid w:val="00A1036D"/>
    <w:rsid w:val="00A1069F"/>
    <w:rsid w:val="00A10ACA"/>
    <w:rsid w:val="00A10D08"/>
    <w:rsid w:val="00A113EB"/>
    <w:rsid w:val="00A11E78"/>
    <w:rsid w:val="00A12038"/>
    <w:rsid w:val="00A12355"/>
    <w:rsid w:val="00A1237C"/>
    <w:rsid w:val="00A12574"/>
    <w:rsid w:val="00A125CD"/>
    <w:rsid w:val="00A127D2"/>
    <w:rsid w:val="00A1284E"/>
    <w:rsid w:val="00A12E5E"/>
    <w:rsid w:val="00A13CF5"/>
    <w:rsid w:val="00A143EC"/>
    <w:rsid w:val="00A149E8"/>
    <w:rsid w:val="00A14CA7"/>
    <w:rsid w:val="00A1500F"/>
    <w:rsid w:val="00A15621"/>
    <w:rsid w:val="00A15670"/>
    <w:rsid w:val="00A157A0"/>
    <w:rsid w:val="00A1585B"/>
    <w:rsid w:val="00A15C19"/>
    <w:rsid w:val="00A15FE9"/>
    <w:rsid w:val="00A16809"/>
    <w:rsid w:val="00A17232"/>
    <w:rsid w:val="00A17584"/>
    <w:rsid w:val="00A176BA"/>
    <w:rsid w:val="00A17769"/>
    <w:rsid w:val="00A17EA2"/>
    <w:rsid w:val="00A20264"/>
    <w:rsid w:val="00A20997"/>
    <w:rsid w:val="00A210D4"/>
    <w:rsid w:val="00A213DD"/>
    <w:rsid w:val="00A21454"/>
    <w:rsid w:val="00A216CE"/>
    <w:rsid w:val="00A22025"/>
    <w:rsid w:val="00A22498"/>
    <w:rsid w:val="00A22571"/>
    <w:rsid w:val="00A2298D"/>
    <w:rsid w:val="00A23EAB"/>
    <w:rsid w:val="00A24560"/>
    <w:rsid w:val="00A24C11"/>
    <w:rsid w:val="00A25924"/>
    <w:rsid w:val="00A25B0F"/>
    <w:rsid w:val="00A25BBB"/>
    <w:rsid w:val="00A275AC"/>
    <w:rsid w:val="00A2778A"/>
    <w:rsid w:val="00A27FB6"/>
    <w:rsid w:val="00A30121"/>
    <w:rsid w:val="00A30368"/>
    <w:rsid w:val="00A3043A"/>
    <w:rsid w:val="00A30968"/>
    <w:rsid w:val="00A30E02"/>
    <w:rsid w:val="00A30F6A"/>
    <w:rsid w:val="00A31C3E"/>
    <w:rsid w:val="00A333FF"/>
    <w:rsid w:val="00A342FB"/>
    <w:rsid w:val="00A34538"/>
    <w:rsid w:val="00A34677"/>
    <w:rsid w:val="00A3540F"/>
    <w:rsid w:val="00A35630"/>
    <w:rsid w:val="00A35914"/>
    <w:rsid w:val="00A36189"/>
    <w:rsid w:val="00A37975"/>
    <w:rsid w:val="00A37E73"/>
    <w:rsid w:val="00A37FB6"/>
    <w:rsid w:val="00A409BC"/>
    <w:rsid w:val="00A409E2"/>
    <w:rsid w:val="00A4104A"/>
    <w:rsid w:val="00A41081"/>
    <w:rsid w:val="00A411CA"/>
    <w:rsid w:val="00A42080"/>
    <w:rsid w:val="00A42096"/>
    <w:rsid w:val="00A4213F"/>
    <w:rsid w:val="00A426F3"/>
    <w:rsid w:val="00A42939"/>
    <w:rsid w:val="00A42FDF"/>
    <w:rsid w:val="00A430A9"/>
    <w:rsid w:val="00A431FE"/>
    <w:rsid w:val="00A4383A"/>
    <w:rsid w:val="00A439E5"/>
    <w:rsid w:val="00A4414E"/>
    <w:rsid w:val="00A4497A"/>
    <w:rsid w:val="00A44AB5"/>
    <w:rsid w:val="00A44BE8"/>
    <w:rsid w:val="00A44C96"/>
    <w:rsid w:val="00A44CDD"/>
    <w:rsid w:val="00A44F54"/>
    <w:rsid w:val="00A4566E"/>
    <w:rsid w:val="00A45F9B"/>
    <w:rsid w:val="00A46574"/>
    <w:rsid w:val="00A47849"/>
    <w:rsid w:val="00A500B1"/>
    <w:rsid w:val="00A506E0"/>
    <w:rsid w:val="00A528CC"/>
    <w:rsid w:val="00A52A53"/>
    <w:rsid w:val="00A52EE5"/>
    <w:rsid w:val="00A53037"/>
    <w:rsid w:val="00A532B9"/>
    <w:rsid w:val="00A5351D"/>
    <w:rsid w:val="00A53E79"/>
    <w:rsid w:val="00A54031"/>
    <w:rsid w:val="00A5426D"/>
    <w:rsid w:val="00A54FC2"/>
    <w:rsid w:val="00A55122"/>
    <w:rsid w:val="00A55CEA"/>
    <w:rsid w:val="00A56DE7"/>
    <w:rsid w:val="00A571A3"/>
    <w:rsid w:val="00A57EB2"/>
    <w:rsid w:val="00A6009E"/>
    <w:rsid w:val="00A60265"/>
    <w:rsid w:val="00A60496"/>
    <w:rsid w:val="00A60540"/>
    <w:rsid w:val="00A60B1F"/>
    <w:rsid w:val="00A61C60"/>
    <w:rsid w:val="00A62589"/>
    <w:rsid w:val="00A62AD0"/>
    <w:rsid w:val="00A62C3A"/>
    <w:rsid w:val="00A6319C"/>
    <w:rsid w:val="00A63812"/>
    <w:rsid w:val="00A63DB5"/>
    <w:rsid w:val="00A63DF7"/>
    <w:rsid w:val="00A6454D"/>
    <w:rsid w:val="00A64F2F"/>
    <w:rsid w:val="00A6551D"/>
    <w:rsid w:val="00A6611E"/>
    <w:rsid w:val="00A668BA"/>
    <w:rsid w:val="00A66FA7"/>
    <w:rsid w:val="00A67E16"/>
    <w:rsid w:val="00A67EB1"/>
    <w:rsid w:val="00A703CC"/>
    <w:rsid w:val="00A70C5C"/>
    <w:rsid w:val="00A710A2"/>
    <w:rsid w:val="00A7130D"/>
    <w:rsid w:val="00A71BE1"/>
    <w:rsid w:val="00A71EA7"/>
    <w:rsid w:val="00A72653"/>
    <w:rsid w:val="00A730AD"/>
    <w:rsid w:val="00A73855"/>
    <w:rsid w:val="00A73D64"/>
    <w:rsid w:val="00A74216"/>
    <w:rsid w:val="00A74360"/>
    <w:rsid w:val="00A744B4"/>
    <w:rsid w:val="00A751E3"/>
    <w:rsid w:val="00A7536B"/>
    <w:rsid w:val="00A753B9"/>
    <w:rsid w:val="00A7549A"/>
    <w:rsid w:val="00A75504"/>
    <w:rsid w:val="00A75FD7"/>
    <w:rsid w:val="00A765B4"/>
    <w:rsid w:val="00A7677B"/>
    <w:rsid w:val="00A77168"/>
    <w:rsid w:val="00A7723B"/>
    <w:rsid w:val="00A773C3"/>
    <w:rsid w:val="00A776D0"/>
    <w:rsid w:val="00A7793C"/>
    <w:rsid w:val="00A77A65"/>
    <w:rsid w:val="00A77D21"/>
    <w:rsid w:val="00A77FAF"/>
    <w:rsid w:val="00A80085"/>
    <w:rsid w:val="00A8043B"/>
    <w:rsid w:val="00A80DA0"/>
    <w:rsid w:val="00A81323"/>
    <w:rsid w:val="00A820CB"/>
    <w:rsid w:val="00A82342"/>
    <w:rsid w:val="00A8236F"/>
    <w:rsid w:val="00A83BEF"/>
    <w:rsid w:val="00A84443"/>
    <w:rsid w:val="00A8487F"/>
    <w:rsid w:val="00A849A3"/>
    <w:rsid w:val="00A84A0E"/>
    <w:rsid w:val="00A85171"/>
    <w:rsid w:val="00A853AA"/>
    <w:rsid w:val="00A8575D"/>
    <w:rsid w:val="00A861F4"/>
    <w:rsid w:val="00A86ADE"/>
    <w:rsid w:val="00A86E0B"/>
    <w:rsid w:val="00A87894"/>
    <w:rsid w:val="00A90557"/>
    <w:rsid w:val="00A90F12"/>
    <w:rsid w:val="00A91DAA"/>
    <w:rsid w:val="00A92884"/>
    <w:rsid w:val="00A93101"/>
    <w:rsid w:val="00A93239"/>
    <w:rsid w:val="00A9413E"/>
    <w:rsid w:val="00A94293"/>
    <w:rsid w:val="00A9496E"/>
    <w:rsid w:val="00A949F0"/>
    <w:rsid w:val="00A94BDE"/>
    <w:rsid w:val="00A94FCA"/>
    <w:rsid w:val="00A956C6"/>
    <w:rsid w:val="00A95E4C"/>
    <w:rsid w:val="00A96C60"/>
    <w:rsid w:val="00A9740B"/>
    <w:rsid w:val="00A9766C"/>
    <w:rsid w:val="00A977F8"/>
    <w:rsid w:val="00A979DB"/>
    <w:rsid w:val="00A97C93"/>
    <w:rsid w:val="00AA06C6"/>
    <w:rsid w:val="00AA08E7"/>
    <w:rsid w:val="00AA0A06"/>
    <w:rsid w:val="00AA0AE4"/>
    <w:rsid w:val="00AA1351"/>
    <w:rsid w:val="00AA184C"/>
    <w:rsid w:val="00AA1AF4"/>
    <w:rsid w:val="00AA1C84"/>
    <w:rsid w:val="00AA3D7B"/>
    <w:rsid w:val="00AA42A0"/>
    <w:rsid w:val="00AA442B"/>
    <w:rsid w:val="00AA46A4"/>
    <w:rsid w:val="00AA5338"/>
    <w:rsid w:val="00AA5779"/>
    <w:rsid w:val="00AA58A1"/>
    <w:rsid w:val="00AA5F40"/>
    <w:rsid w:val="00AA61C7"/>
    <w:rsid w:val="00AA669D"/>
    <w:rsid w:val="00AA66ED"/>
    <w:rsid w:val="00AA6B59"/>
    <w:rsid w:val="00AA6BE1"/>
    <w:rsid w:val="00AA7416"/>
    <w:rsid w:val="00AA7A60"/>
    <w:rsid w:val="00AA7B42"/>
    <w:rsid w:val="00AB041C"/>
    <w:rsid w:val="00AB14E8"/>
    <w:rsid w:val="00AB1B1D"/>
    <w:rsid w:val="00AB1CD8"/>
    <w:rsid w:val="00AB2216"/>
    <w:rsid w:val="00AB358D"/>
    <w:rsid w:val="00AB37A1"/>
    <w:rsid w:val="00AB3BAD"/>
    <w:rsid w:val="00AB3CFD"/>
    <w:rsid w:val="00AB40F1"/>
    <w:rsid w:val="00AB49BC"/>
    <w:rsid w:val="00AB4DEE"/>
    <w:rsid w:val="00AB4E32"/>
    <w:rsid w:val="00AB5AC6"/>
    <w:rsid w:val="00AB5C19"/>
    <w:rsid w:val="00AB6406"/>
    <w:rsid w:val="00AB724B"/>
    <w:rsid w:val="00AB726C"/>
    <w:rsid w:val="00AB72B4"/>
    <w:rsid w:val="00AB7A7A"/>
    <w:rsid w:val="00AC01AE"/>
    <w:rsid w:val="00AC02AA"/>
    <w:rsid w:val="00AC0537"/>
    <w:rsid w:val="00AC0A84"/>
    <w:rsid w:val="00AC1508"/>
    <w:rsid w:val="00AC2A0B"/>
    <w:rsid w:val="00AC2BEE"/>
    <w:rsid w:val="00AC2CA8"/>
    <w:rsid w:val="00AC2E53"/>
    <w:rsid w:val="00AC3FD0"/>
    <w:rsid w:val="00AC4462"/>
    <w:rsid w:val="00AC484F"/>
    <w:rsid w:val="00AC4B20"/>
    <w:rsid w:val="00AC55C7"/>
    <w:rsid w:val="00AC56F2"/>
    <w:rsid w:val="00AC5D9D"/>
    <w:rsid w:val="00AC5DB1"/>
    <w:rsid w:val="00AC71C3"/>
    <w:rsid w:val="00AD09F7"/>
    <w:rsid w:val="00AD1B3B"/>
    <w:rsid w:val="00AD1EFA"/>
    <w:rsid w:val="00AD2072"/>
    <w:rsid w:val="00AD23B5"/>
    <w:rsid w:val="00AD2439"/>
    <w:rsid w:val="00AD2DBD"/>
    <w:rsid w:val="00AD2FBF"/>
    <w:rsid w:val="00AD340E"/>
    <w:rsid w:val="00AD455D"/>
    <w:rsid w:val="00AD463C"/>
    <w:rsid w:val="00AD4F60"/>
    <w:rsid w:val="00AD5044"/>
    <w:rsid w:val="00AD5114"/>
    <w:rsid w:val="00AD54D4"/>
    <w:rsid w:val="00AD5EDA"/>
    <w:rsid w:val="00AD6236"/>
    <w:rsid w:val="00AD69C6"/>
    <w:rsid w:val="00AD69D5"/>
    <w:rsid w:val="00AD728E"/>
    <w:rsid w:val="00AD74EE"/>
    <w:rsid w:val="00AD7619"/>
    <w:rsid w:val="00AD7770"/>
    <w:rsid w:val="00AE05F2"/>
    <w:rsid w:val="00AE1772"/>
    <w:rsid w:val="00AE1990"/>
    <w:rsid w:val="00AE25E8"/>
    <w:rsid w:val="00AE2AD4"/>
    <w:rsid w:val="00AE2CA7"/>
    <w:rsid w:val="00AE2E59"/>
    <w:rsid w:val="00AE2F1D"/>
    <w:rsid w:val="00AE4C81"/>
    <w:rsid w:val="00AE4CF8"/>
    <w:rsid w:val="00AE586F"/>
    <w:rsid w:val="00AE6265"/>
    <w:rsid w:val="00AE62FE"/>
    <w:rsid w:val="00AE6582"/>
    <w:rsid w:val="00AE6D6C"/>
    <w:rsid w:val="00AE6DC5"/>
    <w:rsid w:val="00AE74CB"/>
    <w:rsid w:val="00AE7686"/>
    <w:rsid w:val="00AE7817"/>
    <w:rsid w:val="00AE799A"/>
    <w:rsid w:val="00AF07A5"/>
    <w:rsid w:val="00AF0E81"/>
    <w:rsid w:val="00AF117A"/>
    <w:rsid w:val="00AF16CA"/>
    <w:rsid w:val="00AF186E"/>
    <w:rsid w:val="00AF19DF"/>
    <w:rsid w:val="00AF1D41"/>
    <w:rsid w:val="00AF26CF"/>
    <w:rsid w:val="00AF3124"/>
    <w:rsid w:val="00AF344D"/>
    <w:rsid w:val="00AF39B3"/>
    <w:rsid w:val="00AF3C1F"/>
    <w:rsid w:val="00AF4402"/>
    <w:rsid w:val="00AF4639"/>
    <w:rsid w:val="00AF4E92"/>
    <w:rsid w:val="00AF554B"/>
    <w:rsid w:val="00AF5C9B"/>
    <w:rsid w:val="00AF5D53"/>
    <w:rsid w:val="00AF5E2D"/>
    <w:rsid w:val="00AF644B"/>
    <w:rsid w:val="00AF67EE"/>
    <w:rsid w:val="00AF69EB"/>
    <w:rsid w:val="00AF6CA6"/>
    <w:rsid w:val="00AF6EB6"/>
    <w:rsid w:val="00AF7796"/>
    <w:rsid w:val="00B011A9"/>
    <w:rsid w:val="00B01BAF"/>
    <w:rsid w:val="00B024ED"/>
    <w:rsid w:val="00B026B8"/>
    <w:rsid w:val="00B02EB3"/>
    <w:rsid w:val="00B02FCB"/>
    <w:rsid w:val="00B033F8"/>
    <w:rsid w:val="00B03C1E"/>
    <w:rsid w:val="00B04400"/>
    <w:rsid w:val="00B046C2"/>
    <w:rsid w:val="00B04835"/>
    <w:rsid w:val="00B04B71"/>
    <w:rsid w:val="00B05A55"/>
    <w:rsid w:val="00B05C74"/>
    <w:rsid w:val="00B05DE1"/>
    <w:rsid w:val="00B06595"/>
    <w:rsid w:val="00B06862"/>
    <w:rsid w:val="00B10109"/>
    <w:rsid w:val="00B1085E"/>
    <w:rsid w:val="00B10FD1"/>
    <w:rsid w:val="00B112D5"/>
    <w:rsid w:val="00B11378"/>
    <w:rsid w:val="00B120A8"/>
    <w:rsid w:val="00B1219D"/>
    <w:rsid w:val="00B12735"/>
    <w:rsid w:val="00B12F44"/>
    <w:rsid w:val="00B13342"/>
    <w:rsid w:val="00B13399"/>
    <w:rsid w:val="00B13C48"/>
    <w:rsid w:val="00B13E35"/>
    <w:rsid w:val="00B13EC0"/>
    <w:rsid w:val="00B14102"/>
    <w:rsid w:val="00B14D32"/>
    <w:rsid w:val="00B1507C"/>
    <w:rsid w:val="00B1557C"/>
    <w:rsid w:val="00B155DC"/>
    <w:rsid w:val="00B15766"/>
    <w:rsid w:val="00B159AB"/>
    <w:rsid w:val="00B15E4A"/>
    <w:rsid w:val="00B1666A"/>
    <w:rsid w:val="00B167C8"/>
    <w:rsid w:val="00B1686D"/>
    <w:rsid w:val="00B16BF7"/>
    <w:rsid w:val="00B17129"/>
    <w:rsid w:val="00B17168"/>
    <w:rsid w:val="00B1741D"/>
    <w:rsid w:val="00B17447"/>
    <w:rsid w:val="00B1771D"/>
    <w:rsid w:val="00B17B91"/>
    <w:rsid w:val="00B20209"/>
    <w:rsid w:val="00B203C9"/>
    <w:rsid w:val="00B2088D"/>
    <w:rsid w:val="00B208FF"/>
    <w:rsid w:val="00B21271"/>
    <w:rsid w:val="00B21755"/>
    <w:rsid w:val="00B22BD5"/>
    <w:rsid w:val="00B22E22"/>
    <w:rsid w:val="00B22F5F"/>
    <w:rsid w:val="00B23353"/>
    <w:rsid w:val="00B23535"/>
    <w:rsid w:val="00B23813"/>
    <w:rsid w:val="00B23FD9"/>
    <w:rsid w:val="00B24591"/>
    <w:rsid w:val="00B245D5"/>
    <w:rsid w:val="00B245EF"/>
    <w:rsid w:val="00B24C36"/>
    <w:rsid w:val="00B24D9F"/>
    <w:rsid w:val="00B24F94"/>
    <w:rsid w:val="00B25126"/>
    <w:rsid w:val="00B25703"/>
    <w:rsid w:val="00B2574F"/>
    <w:rsid w:val="00B25A52"/>
    <w:rsid w:val="00B25B81"/>
    <w:rsid w:val="00B25FC3"/>
    <w:rsid w:val="00B2692F"/>
    <w:rsid w:val="00B270F8"/>
    <w:rsid w:val="00B27875"/>
    <w:rsid w:val="00B3008D"/>
    <w:rsid w:val="00B30884"/>
    <w:rsid w:val="00B30E11"/>
    <w:rsid w:val="00B30EAE"/>
    <w:rsid w:val="00B30EEB"/>
    <w:rsid w:val="00B311E4"/>
    <w:rsid w:val="00B31423"/>
    <w:rsid w:val="00B317AE"/>
    <w:rsid w:val="00B32373"/>
    <w:rsid w:val="00B323E0"/>
    <w:rsid w:val="00B3283F"/>
    <w:rsid w:val="00B32D31"/>
    <w:rsid w:val="00B32DC0"/>
    <w:rsid w:val="00B3346C"/>
    <w:rsid w:val="00B334D9"/>
    <w:rsid w:val="00B335E4"/>
    <w:rsid w:val="00B33C23"/>
    <w:rsid w:val="00B345B4"/>
    <w:rsid w:val="00B346D9"/>
    <w:rsid w:val="00B348B1"/>
    <w:rsid w:val="00B34A28"/>
    <w:rsid w:val="00B35046"/>
    <w:rsid w:val="00B35B6A"/>
    <w:rsid w:val="00B366FE"/>
    <w:rsid w:val="00B368EC"/>
    <w:rsid w:val="00B36BE9"/>
    <w:rsid w:val="00B36D2B"/>
    <w:rsid w:val="00B37657"/>
    <w:rsid w:val="00B37AFD"/>
    <w:rsid w:val="00B37B07"/>
    <w:rsid w:val="00B37C9F"/>
    <w:rsid w:val="00B4046F"/>
    <w:rsid w:val="00B406B3"/>
    <w:rsid w:val="00B40A36"/>
    <w:rsid w:val="00B41BCA"/>
    <w:rsid w:val="00B41D39"/>
    <w:rsid w:val="00B422C0"/>
    <w:rsid w:val="00B426CA"/>
    <w:rsid w:val="00B426E1"/>
    <w:rsid w:val="00B42F56"/>
    <w:rsid w:val="00B4387A"/>
    <w:rsid w:val="00B43CFB"/>
    <w:rsid w:val="00B44746"/>
    <w:rsid w:val="00B44854"/>
    <w:rsid w:val="00B44BA5"/>
    <w:rsid w:val="00B458D0"/>
    <w:rsid w:val="00B47304"/>
    <w:rsid w:val="00B4792C"/>
    <w:rsid w:val="00B50CAE"/>
    <w:rsid w:val="00B512AD"/>
    <w:rsid w:val="00B5196C"/>
    <w:rsid w:val="00B525CB"/>
    <w:rsid w:val="00B52697"/>
    <w:rsid w:val="00B54215"/>
    <w:rsid w:val="00B54D8F"/>
    <w:rsid w:val="00B55857"/>
    <w:rsid w:val="00B55C69"/>
    <w:rsid w:val="00B5664E"/>
    <w:rsid w:val="00B56851"/>
    <w:rsid w:val="00B56D6E"/>
    <w:rsid w:val="00B572F7"/>
    <w:rsid w:val="00B574C3"/>
    <w:rsid w:val="00B57B9D"/>
    <w:rsid w:val="00B57DAF"/>
    <w:rsid w:val="00B60094"/>
    <w:rsid w:val="00B6022C"/>
    <w:rsid w:val="00B6040C"/>
    <w:rsid w:val="00B614F8"/>
    <w:rsid w:val="00B615EB"/>
    <w:rsid w:val="00B618BD"/>
    <w:rsid w:val="00B61994"/>
    <w:rsid w:val="00B61B18"/>
    <w:rsid w:val="00B61FD4"/>
    <w:rsid w:val="00B6235B"/>
    <w:rsid w:val="00B627C3"/>
    <w:rsid w:val="00B62880"/>
    <w:rsid w:val="00B63872"/>
    <w:rsid w:val="00B63CB2"/>
    <w:rsid w:val="00B640B0"/>
    <w:rsid w:val="00B64246"/>
    <w:rsid w:val="00B64BE9"/>
    <w:rsid w:val="00B64EDB"/>
    <w:rsid w:val="00B65126"/>
    <w:rsid w:val="00B656D1"/>
    <w:rsid w:val="00B65938"/>
    <w:rsid w:val="00B65C8A"/>
    <w:rsid w:val="00B65CE2"/>
    <w:rsid w:val="00B660AD"/>
    <w:rsid w:val="00B66109"/>
    <w:rsid w:val="00B66349"/>
    <w:rsid w:val="00B673E2"/>
    <w:rsid w:val="00B67CED"/>
    <w:rsid w:val="00B67FBF"/>
    <w:rsid w:val="00B70832"/>
    <w:rsid w:val="00B71376"/>
    <w:rsid w:val="00B716D7"/>
    <w:rsid w:val="00B72110"/>
    <w:rsid w:val="00B72353"/>
    <w:rsid w:val="00B72B91"/>
    <w:rsid w:val="00B73019"/>
    <w:rsid w:val="00B7315F"/>
    <w:rsid w:val="00B7323A"/>
    <w:rsid w:val="00B7353B"/>
    <w:rsid w:val="00B737FB"/>
    <w:rsid w:val="00B73E5D"/>
    <w:rsid w:val="00B73EF3"/>
    <w:rsid w:val="00B7423D"/>
    <w:rsid w:val="00B74D05"/>
    <w:rsid w:val="00B74EF8"/>
    <w:rsid w:val="00B75368"/>
    <w:rsid w:val="00B75893"/>
    <w:rsid w:val="00B771F4"/>
    <w:rsid w:val="00B77296"/>
    <w:rsid w:val="00B7762A"/>
    <w:rsid w:val="00B777FA"/>
    <w:rsid w:val="00B77850"/>
    <w:rsid w:val="00B7796B"/>
    <w:rsid w:val="00B80C72"/>
    <w:rsid w:val="00B81693"/>
    <w:rsid w:val="00B816FB"/>
    <w:rsid w:val="00B81964"/>
    <w:rsid w:val="00B81E6F"/>
    <w:rsid w:val="00B82017"/>
    <w:rsid w:val="00B82123"/>
    <w:rsid w:val="00B8225B"/>
    <w:rsid w:val="00B82BB5"/>
    <w:rsid w:val="00B8308B"/>
    <w:rsid w:val="00B83182"/>
    <w:rsid w:val="00B839F0"/>
    <w:rsid w:val="00B851E4"/>
    <w:rsid w:val="00B854CE"/>
    <w:rsid w:val="00B85681"/>
    <w:rsid w:val="00B857EB"/>
    <w:rsid w:val="00B858AD"/>
    <w:rsid w:val="00B85E29"/>
    <w:rsid w:val="00B85F4D"/>
    <w:rsid w:val="00B86162"/>
    <w:rsid w:val="00B8672E"/>
    <w:rsid w:val="00B86877"/>
    <w:rsid w:val="00B8695D"/>
    <w:rsid w:val="00B86E66"/>
    <w:rsid w:val="00B873BA"/>
    <w:rsid w:val="00B8746F"/>
    <w:rsid w:val="00B8760D"/>
    <w:rsid w:val="00B87706"/>
    <w:rsid w:val="00B90A49"/>
    <w:rsid w:val="00B90A73"/>
    <w:rsid w:val="00B911B3"/>
    <w:rsid w:val="00B91B8E"/>
    <w:rsid w:val="00B92531"/>
    <w:rsid w:val="00B92618"/>
    <w:rsid w:val="00B92751"/>
    <w:rsid w:val="00B92B69"/>
    <w:rsid w:val="00B92CC6"/>
    <w:rsid w:val="00B935C9"/>
    <w:rsid w:val="00B93E3D"/>
    <w:rsid w:val="00B9525F"/>
    <w:rsid w:val="00B95464"/>
    <w:rsid w:val="00B95C30"/>
    <w:rsid w:val="00B95E3D"/>
    <w:rsid w:val="00B9691F"/>
    <w:rsid w:val="00B96EEC"/>
    <w:rsid w:val="00B97392"/>
    <w:rsid w:val="00B976C7"/>
    <w:rsid w:val="00B97A73"/>
    <w:rsid w:val="00BA0C54"/>
    <w:rsid w:val="00BA0FE4"/>
    <w:rsid w:val="00BA1382"/>
    <w:rsid w:val="00BA15E3"/>
    <w:rsid w:val="00BA1A8C"/>
    <w:rsid w:val="00BA1B7B"/>
    <w:rsid w:val="00BA20B6"/>
    <w:rsid w:val="00BA20D8"/>
    <w:rsid w:val="00BA22FC"/>
    <w:rsid w:val="00BA2C2A"/>
    <w:rsid w:val="00BA2F30"/>
    <w:rsid w:val="00BA342C"/>
    <w:rsid w:val="00BA3982"/>
    <w:rsid w:val="00BA405F"/>
    <w:rsid w:val="00BA4771"/>
    <w:rsid w:val="00BA482B"/>
    <w:rsid w:val="00BA5027"/>
    <w:rsid w:val="00BA55A1"/>
    <w:rsid w:val="00BA665B"/>
    <w:rsid w:val="00BA6C48"/>
    <w:rsid w:val="00BA6FE8"/>
    <w:rsid w:val="00BA732D"/>
    <w:rsid w:val="00BA7370"/>
    <w:rsid w:val="00BA778B"/>
    <w:rsid w:val="00BB0888"/>
    <w:rsid w:val="00BB0DF1"/>
    <w:rsid w:val="00BB0E9B"/>
    <w:rsid w:val="00BB1A75"/>
    <w:rsid w:val="00BB2841"/>
    <w:rsid w:val="00BB300F"/>
    <w:rsid w:val="00BB32C9"/>
    <w:rsid w:val="00BB35C5"/>
    <w:rsid w:val="00BB39D8"/>
    <w:rsid w:val="00BB3CBE"/>
    <w:rsid w:val="00BB4048"/>
    <w:rsid w:val="00BB4C8E"/>
    <w:rsid w:val="00BB57ED"/>
    <w:rsid w:val="00BB5A2D"/>
    <w:rsid w:val="00BB606C"/>
    <w:rsid w:val="00BB61C2"/>
    <w:rsid w:val="00BB65C3"/>
    <w:rsid w:val="00BB662E"/>
    <w:rsid w:val="00BB67A9"/>
    <w:rsid w:val="00BB6C01"/>
    <w:rsid w:val="00BB7942"/>
    <w:rsid w:val="00BB7CD1"/>
    <w:rsid w:val="00BC0F33"/>
    <w:rsid w:val="00BC14A7"/>
    <w:rsid w:val="00BC17CC"/>
    <w:rsid w:val="00BC209F"/>
    <w:rsid w:val="00BC2647"/>
    <w:rsid w:val="00BC2898"/>
    <w:rsid w:val="00BC2928"/>
    <w:rsid w:val="00BC29BD"/>
    <w:rsid w:val="00BC2A75"/>
    <w:rsid w:val="00BC2BB1"/>
    <w:rsid w:val="00BC34A3"/>
    <w:rsid w:val="00BC3FF9"/>
    <w:rsid w:val="00BC4834"/>
    <w:rsid w:val="00BC4A97"/>
    <w:rsid w:val="00BC4BBC"/>
    <w:rsid w:val="00BC5434"/>
    <w:rsid w:val="00BC5A25"/>
    <w:rsid w:val="00BC5FDD"/>
    <w:rsid w:val="00BC6508"/>
    <w:rsid w:val="00BC68B4"/>
    <w:rsid w:val="00BC7277"/>
    <w:rsid w:val="00BC7307"/>
    <w:rsid w:val="00BC7DC0"/>
    <w:rsid w:val="00BD0140"/>
    <w:rsid w:val="00BD02CC"/>
    <w:rsid w:val="00BD088E"/>
    <w:rsid w:val="00BD0F18"/>
    <w:rsid w:val="00BD12A8"/>
    <w:rsid w:val="00BD182E"/>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2BC3"/>
    <w:rsid w:val="00BE3257"/>
    <w:rsid w:val="00BE338E"/>
    <w:rsid w:val="00BE3442"/>
    <w:rsid w:val="00BE37CD"/>
    <w:rsid w:val="00BE41B1"/>
    <w:rsid w:val="00BE475E"/>
    <w:rsid w:val="00BE47B2"/>
    <w:rsid w:val="00BE48C7"/>
    <w:rsid w:val="00BE4F66"/>
    <w:rsid w:val="00BE4FBF"/>
    <w:rsid w:val="00BE5172"/>
    <w:rsid w:val="00BE5238"/>
    <w:rsid w:val="00BE5742"/>
    <w:rsid w:val="00BE57B3"/>
    <w:rsid w:val="00BE6074"/>
    <w:rsid w:val="00BE6841"/>
    <w:rsid w:val="00BE6D73"/>
    <w:rsid w:val="00BE7257"/>
    <w:rsid w:val="00BE7569"/>
    <w:rsid w:val="00BF020D"/>
    <w:rsid w:val="00BF0532"/>
    <w:rsid w:val="00BF0609"/>
    <w:rsid w:val="00BF0652"/>
    <w:rsid w:val="00BF0EE8"/>
    <w:rsid w:val="00BF10ED"/>
    <w:rsid w:val="00BF1DD2"/>
    <w:rsid w:val="00BF23A3"/>
    <w:rsid w:val="00BF2A7E"/>
    <w:rsid w:val="00BF3331"/>
    <w:rsid w:val="00BF3A45"/>
    <w:rsid w:val="00BF3E98"/>
    <w:rsid w:val="00BF41FF"/>
    <w:rsid w:val="00BF436F"/>
    <w:rsid w:val="00BF4862"/>
    <w:rsid w:val="00BF5899"/>
    <w:rsid w:val="00BF5C05"/>
    <w:rsid w:val="00BF62AB"/>
    <w:rsid w:val="00BF6817"/>
    <w:rsid w:val="00BF6936"/>
    <w:rsid w:val="00BF6F61"/>
    <w:rsid w:val="00BF6FC6"/>
    <w:rsid w:val="00BF7C52"/>
    <w:rsid w:val="00BF7F99"/>
    <w:rsid w:val="00C00713"/>
    <w:rsid w:val="00C009A0"/>
    <w:rsid w:val="00C01F74"/>
    <w:rsid w:val="00C02558"/>
    <w:rsid w:val="00C0285F"/>
    <w:rsid w:val="00C028F5"/>
    <w:rsid w:val="00C02DDA"/>
    <w:rsid w:val="00C02F35"/>
    <w:rsid w:val="00C03305"/>
    <w:rsid w:val="00C03515"/>
    <w:rsid w:val="00C03738"/>
    <w:rsid w:val="00C037A6"/>
    <w:rsid w:val="00C04221"/>
    <w:rsid w:val="00C043F5"/>
    <w:rsid w:val="00C044E3"/>
    <w:rsid w:val="00C04607"/>
    <w:rsid w:val="00C04BDB"/>
    <w:rsid w:val="00C04E66"/>
    <w:rsid w:val="00C052C6"/>
    <w:rsid w:val="00C05A61"/>
    <w:rsid w:val="00C05F04"/>
    <w:rsid w:val="00C05FBA"/>
    <w:rsid w:val="00C05FEE"/>
    <w:rsid w:val="00C060CE"/>
    <w:rsid w:val="00C06CCF"/>
    <w:rsid w:val="00C06F9D"/>
    <w:rsid w:val="00C07376"/>
    <w:rsid w:val="00C0794D"/>
    <w:rsid w:val="00C1082C"/>
    <w:rsid w:val="00C10E78"/>
    <w:rsid w:val="00C1159D"/>
    <w:rsid w:val="00C1233E"/>
    <w:rsid w:val="00C12AEF"/>
    <w:rsid w:val="00C12FB3"/>
    <w:rsid w:val="00C13361"/>
    <w:rsid w:val="00C138BC"/>
    <w:rsid w:val="00C13D85"/>
    <w:rsid w:val="00C14639"/>
    <w:rsid w:val="00C14E82"/>
    <w:rsid w:val="00C14FF6"/>
    <w:rsid w:val="00C15257"/>
    <w:rsid w:val="00C15567"/>
    <w:rsid w:val="00C15A85"/>
    <w:rsid w:val="00C1637C"/>
    <w:rsid w:val="00C1641B"/>
    <w:rsid w:val="00C165FC"/>
    <w:rsid w:val="00C16DCE"/>
    <w:rsid w:val="00C17030"/>
    <w:rsid w:val="00C176D5"/>
    <w:rsid w:val="00C17D24"/>
    <w:rsid w:val="00C2082C"/>
    <w:rsid w:val="00C20EB0"/>
    <w:rsid w:val="00C21004"/>
    <w:rsid w:val="00C21005"/>
    <w:rsid w:val="00C21125"/>
    <w:rsid w:val="00C214C3"/>
    <w:rsid w:val="00C220B6"/>
    <w:rsid w:val="00C22D7C"/>
    <w:rsid w:val="00C22DDE"/>
    <w:rsid w:val="00C2338B"/>
    <w:rsid w:val="00C233CE"/>
    <w:rsid w:val="00C237DD"/>
    <w:rsid w:val="00C238F4"/>
    <w:rsid w:val="00C2393A"/>
    <w:rsid w:val="00C23A99"/>
    <w:rsid w:val="00C245EE"/>
    <w:rsid w:val="00C24AE1"/>
    <w:rsid w:val="00C24B8D"/>
    <w:rsid w:val="00C24BD7"/>
    <w:rsid w:val="00C25813"/>
    <w:rsid w:val="00C26C71"/>
    <w:rsid w:val="00C27143"/>
    <w:rsid w:val="00C27490"/>
    <w:rsid w:val="00C27D37"/>
    <w:rsid w:val="00C309E8"/>
    <w:rsid w:val="00C32017"/>
    <w:rsid w:val="00C32571"/>
    <w:rsid w:val="00C325CD"/>
    <w:rsid w:val="00C3322E"/>
    <w:rsid w:val="00C333B2"/>
    <w:rsid w:val="00C337F5"/>
    <w:rsid w:val="00C3383E"/>
    <w:rsid w:val="00C33B90"/>
    <w:rsid w:val="00C34161"/>
    <w:rsid w:val="00C34B5F"/>
    <w:rsid w:val="00C358D4"/>
    <w:rsid w:val="00C359BD"/>
    <w:rsid w:val="00C365C6"/>
    <w:rsid w:val="00C366F4"/>
    <w:rsid w:val="00C36785"/>
    <w:rsid w:val="00C36C0E"/>
    <w:rsid w:val="00C3711C"/>
    <w:rsid w:val="00C37126"/>
    <w:rsid w:val="00C37256"/>
    <w:rsid w:val="00C37A7B"/>
    <w:rsid w:val="00C37DC1"/>
    <w:rsid w:val="00C37FFE"/>
    <w:rsid w:val="00C40B50"/>
    <w:rsid w:val="00C419E3"/>
    <w:rsid w:val="00C419F4"/>
    <w:rsid w:val="00C41E6A"/>
    <w:rsid w:val="00C42247"/>
    <w:rsid w:val="00C428E7"/>
    <w:rsid w:val="00C438A2"/>
    <w:rsid w:val="00C439BE"/>
    <w:rsid w:val="00C4443B"/>
    <w:rsid w:val="00C4539B"/>
    <w:rsid w:val="00C45466"/>
    <w:rsid w:val="00C455C1"/>
    <w:rsid w:val="00C4581D"/>
    <w:rsid w:val="00C46294"/>
    <w:rsid w:val="00C46599"/>
    <w:rsid w:val="00C47472"/>
    <w:rsid w:val="00C500F0"/>
    <w:rsid w:val="00C504A7"/>
    <w:rsid w:val="00C506C9"/>
    <w:rsid w:val="00C50A16"/>
    <w:rsid w:val="00C51222"/>
    <w:rsid w:val="00C51C9A"/>
    <w:rsid w:val="00C51DE0"/>
    <w:rsid w:val="00C52B23"/>
    <w:rsid w:val="00C52C68"/>
    <w:rsid w:val="00C52D98"/>
    <w:rsid w:val="00C52DA1"/>
    <w:rsid w:val="00C53007"/>
    <w:rsid w:val="00C53D24"/>
    <w:rsid w:val="00C53FD3"/>
    <w:rsid w:val="00C541B2"/>
    <w:rsid w:val="00C54640"/>
    <w:rsid w:val="00C547A6"/>
    <w:rsid w:val="00C54A3A"/>
    <w:rsid w:val="00C55C32"/>
    <w:rsid w:val="00C5603F"/>
    <w:rsid w:val="00C56A67"/>
    <w:rsid w:val="00C56CC2"/>
    <w:rsid w:val="00C56D8D"/>
    <w:rsid w:val="00C57498"/>
    <w:rsid w:val="00C5763C"/>
    <w:rsid w:val="00C5780C"/>
    <w:rsid w:val="00C5796B"/>
    <w:rsid w:val="00C57C64"/>
    <w:rsid w:val="00C57EA0"/>
    <w:rsid w:val="00C612C4"/>
    <w:rsid w:val="00C619A1"/>
    <w:rsid w:val="00C62370"/>
    <w:rsid w:val="00C62883"/>
    <w:rsid w:val="00C62BBB"/>
    <w:rsid w:val="00C62EAA"/>
    <w:rsid w:val="00C6305F"/>
    <w:rsid w:val="00C6325B"/>
    <w:rsid w:val="00C638CD"/>
    <w:rsid w:val="00C63DDD"/>
    <w:rsid w:val="00C63E99"/>
    <w:rsid w:val="00C649B8"/>
    <w:rsid w:val="00C64A64"/>
    <w:rsid w:val="00C65151"/>
    <w:rsid w:val="00C653BE"/>
    <w:rsid w:val="00C657F4"/>
    <w:rsid w:val="00C6598D"/>
    <w:rsid w:val="00C660FE"/>
    <w:rsid w:val="00C66119"/>
    <w:rsid w:val="00C66292"/>
    <w:rsid w:val="00C672A3"/>
    <w:rsid w:val="00C672F1"/>
    <w:rsid w:val="00C673D0"/>
    <w:rsid w:val="00C6742E"/>
    <w:rsid w:val="00C67B0B"/>
    <w:rsid w:val="00C67C0E"/>
    <w:rsid w:val="00C67F7A"/>
    <w:rsid w:val="00C70012"/>
    <w:rsid w:val="00C70622"/>
    <w:rsid w:val="00C70BF6"/>
    <w:rsid w:val="00C71E2A"/>
    <w:rsid w:val="00C71F2C"/>
    <w:rsid w:val="00C72115"/>
    <w:rsid w:val="00C733BA"/>
    <w:rsid w:val="00C73649"/>
    <w:rsid w:val="00C7389D"/>
    <w:rsid w:val="00C74541"/>
    <w:rsid w:val="00C7572D"/>
    <w:rsid w:val="00C760DC"/>
    <w:rsid w:val="00C76D48"/>
    <w:rsid w:val="00C770C5"/>
    <w:rsid w:val="00C8001D"/>
    <w:rsid w:val="00C8082B"/>
    <w:rsid w:val="00C81A88"/>
    <w:rsid w:val="00C81D46"/>
    <w:rsid w:val="00C82298"/>
    <w:rsid w:val="00C82DC7"/>
    <w:rsid w:val="00C8331F"/>
    <w:rsid w:val="00C833B4"/>
    <w:rsid w:val="00C84284"/>
    <w:rsid w:val="00C84954"/>
    <w:rsid w:val="00C84B8C"/>
    <w:rsid w:val="00C84E33"/>
    <w:rsid w:val="00C84FE8"/>
    <w:rsid w:val="00C85682"/>
    <w:rsid w:val="00C85FFC"/>
    <w:rsid w:val="00C861FC"/>
    <w:rsid w:val="00C86C87"/>
    <w:rsid w:val="00C87AE7"/>
    <w:rsid w:val="00C9005E"/>
    <w:rsid w:val="00C90111"/>
    <w:rsid w:val="00C9038E"/>
    <w:rsid w:val="00C9077B"/>
    <w:rsid w:val="00C90CA9"/>
    <w:rsid w:val="00C90F88"/>
    <w:rsid w:val="00C915F2"/>
    <w:rsid w:val="00C917B1"/>
    <w:rsid w:val="00C9193C"/>
    <w:rsid w:val="00C91B77"/>
    <w:rsid w:val="00C91B8E"/>
    <w:rsid w:val="00C920E2"/>
    <w:rsid w:val="00C936BA"/>
    <w:rsid w:val="00C9370F"/>
    <w:rsid w:val="00C93765"/>
    <w:rsid w:val="00C93877"/>
    <w:rsid w:val="00C93D8C"/>
    <w:rsid w:val="00C93E07"/>
    <w:rsid w:val="00C94075"/>
    <w:rsid w:val="00C946CC"/>
    <w:rsid w:val="00C959BD"/>
    <w:rsid w:val="00C95DFE"/>
    <w:rsid w:val="00C95F44"/>
    <w:rsid w:val="00C96389"/>
    <w:rsid w:val="00C96D1B"/>
    <w:rsid w:val="00C97106"/>
    <w:rsid w:val="00C978D4"/>
    <w:rsid w:val="00CA0031"/>
    <w:rsid w:val="00CA0413"/>
    <w:rsid w:val="00CA043A"/>
    <w:rsid w:val="00CA0E51"/>
    <w:rsid w:val="00CA1691"/>
    <w:rsid w:val="00CA41E7"/>
    <w:rsid w:val="00CA4A99"/>
    <w:rsid w:val="00CA5520"/>
    <w:rsid w:val="00CA5812"/>
    <w:rsid w:val="00CA5BD4"/>
    <w:rsid w:val="00CA5C14"/>
    <w:rsid w:val="00CA6410"/>
    <w:rsid w:val="00CA7019"/>
    <w:rsid w:val="00CA76FC"/>
    <w:rsid w:val="00CA7E7B"/>
    <w:rsid w:val="00CB0236"/>
    <w:rsid w:val="00CB0CB1"/>
    <w:rsid w:val="00CB1881"/>
    <w:rsid w:val="00CB1969"/>
    <w:rsid w:val="00CB19E3"/>
    <w:rsid w:val="00CB2C3A"/>
    <w:rsid w:val="00CB2D38"/>
    <w:rsid w:val="00CB2F5E"/>
    <w:rsid w:val="00CB3C9D"/>
    <w:rsid w:val="00CB4137"/>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74"/>
    <w:rsid w:val="00CC21AC"/>
    <w:rsid w:val="00CC232E"/>
    <w:rsid w:val="00CC2514"/>
    <w:rsid w:val="00CC2D34"/>
    <w:rsid w:val="00CC2F69"/>
    <w:rsid w:val="00CC315F"/>
    <w:rsid w:val="00CC3C22"/>
    <w:rsid w:val="00CC3D38"/>
    <w:rsid w:val="00CC40C3"/>
    <w:rsid w:val="00CC414A"/>
    <w:rsid w:val="00CC4CB4"/>
    <w:rsid w:val="00CC4E5D"/>
    <w:rsid w:val="00CC50AE"/>
    <w:rsid w:val="00CC5FFE"/>
    <w:rsid w:val="00CC61B7"/>
    <w:rsid w:val="00CC61CA"/>
    <w:rsid w:val="00CC69EC"/>
    <w:rsid w:val="00CC71D3"/>
    <w:rsid w:val="00CC743D"/>
    <w:rsid w:val="00CC74E7"/>
    <w:rsid w:val="00CD02ED"/>
    <w:rsid w:val="00CD050A"/>
    <w:rsid w:val="00CD0AE0"/>
    <w:rsid w:val="00CD0F92"/>
    <w:rsid w:val="00CD1017"/>
    <w:rsid w:val="00CD205D"/>
    <w:rsid w:val="00CD2A22"/>
    <w:rsid w:val="00CD2B50"/>
    <w:rsid w:val="00CD3172"/>
    <w:rsid w:val="00CD4399"/>
    <w:rsid w:val="00CD4506"/>
    <w:rsid w:val="00CD50E3"/>
    <w:rsid w:val="00CD520B"/>
    <w:rsid w:val="00CD53D4"/>
    <w:rsid w:val="00CD592E"/>
    <w:rsid w:val="00CD5982"/>
    <w:rsid w:val="00CD5A1A"/>
    <w:rsid w:val="00CD5B0A"/>
    <w:rsid w:val="00CD5E1E"/>
    <w:rsid w:val="00CD6C6B"/>
    <w:rsid w:val="00CD7EFA"/>
    <w:rsid w:val="00CE020E"/>
    <w:rsid w:val="00CE0566"/>
    <w:rsid w:val="00CE0B34"/>
    <w:rsid w:val="00CE1CD4"/>
    <w:rsid w:val="00CE2761"/>
    <w:rsid w:val="00CE28FC"/>
    <w:rsid w:val="00CE314E"/>
    <w:rsid w:val="00CE3A85"/>
    <w:rsid w:val="00CE3B1A"/>
    <w:rsid w:val="00CE3D5C"/>
    <w:rsid w:val="00CE3E09"/>
    <w:rsid w:val="00CE3E14"/>
    <w:rsid w:val="00CE44C7"/>
    <w:rsid w:val="00CE4F1F"/>
    <w:rsid w:val="00CE53CC"/>
    <w:rsid w:val="00CE5B7B"/>
    <w:rsid w:val="00CE5F60"/>
    <w:rsid w:val="00CE65A7"/>
    <w:rsid w:val="00CE68FE"/>
    <w:rsid w:val="00CE69CC"/>
    <w:rsid w:val="00CE6EC4"/>
    <w:rsid w:val="00CE7F26"/>
    <w:rsid w:val="00CF089F"/>
    <w:rsid w:val="00CF093F"/>
    <w:rsid w:val="00CF1226"/>
    <w:rsid w:val="00CF1ABB"/>
    <w:rsid w:val="00CF1E1D"/>
    <w:rsid w:val="00CF24FE"/>
    <w:rsid w:val="00CF287F"/>
    <w:rsid w:val="00CF35D0"/>
    <w:rsid w:val="00CF392D"/>
    <w:rsid w:val="00CF3B57"/>
    <w:rsid w:val="00CF3DD5"/>
    <w:rsid w:val="00CF444E"/>
    <w:rsid w:val="00CF4AF7"/>
    <w:rsid w:val="00CF4D20"/>
    <w:rsid w:val="00CF6473"/>
    <w:rsid w:val="00CF73F8"/>
    <w:rsid w:val="00CF7928"/>
    <w:rsid w:val="00CF7CA2"/>
    <w:rsid w:val="00D00911"/>
    <w:rsid w:val="00D00A8E"/>
    <w:rsid w:val="00D00DE0"/>
    <w:rsid w:val="00D00F79"/>
    <w:rsid w:val="00D0127C"/>
    <w:rsid w:val="00D012BF"/>
    <w:rsid w:val="00D01760"/>
    <w:rsid w:val="00D0368E"/>
    <w:rsid w:val="00D03823"/>
    <w:rsid w:val="00D03AC3"/>
    <w:rsid w:val="00D03D2D"/>
    <w:rsid w:val="00D03E7B"/>
    <w:rsid w:val="00D0401A"/>
    <w:rsid w:val="00D043AA"/>
    <w:rsid w:val="00D047E0"/>
    <w:rsid w:val="00D04B9F"/>
    <w:rsid w:val="00D04D43"/>
    <w:rsid w:val="00D04FFB"/>
    <w:rsid w:val="00D055FE"/>
    <w:rsid w:val="00D058E9"/>
    <w:rsid w:val="00D0612A"/>
    <w:rsid w:val="00D06C3E"/>
    <w:rsid w:val="00D07DE9"/>
    <w:rsid w:val="00D1060D"/>
    <w:rsid w:val="00D10D14"/>
    <w:rsid w:val="00D10E7C"/>
    <w:rsid w:val="00D11182"/>
    <w:rsid w:val="00D1137B"/>
    <w:rsid w:val="00D11508"/>
    <w:rsid w:val="00D11807"/>
    <w:rsid w:val="00D11863"/>
    <w:rsid w:val="00D11DB3"/>
    <w:rsid w:val="00D12664"/>
    <w:rsid w:val="00D12D82"/>
    <w:rsid w:val="00D12F77"/>
    <w:rsid w:val="00D1306E"/>
    <w:rsid w:val="00D130B7"/>
    <w:rsid w:val="00D134CD"/>
    <w:rsid w:val="00D14B5F"/>
    <w:rsid w:val="00D14E13"/>
    <w:rsid w:val="00D14F23"/>
    <w:rsid w:val="00D160F6"/>
    <w:rsid w:val="00D16740"/>
    <w:rsid w:val="00D16A8B"/>
    <w:rsid w:val="00D16E39"/>
    <w:rsid w:val="00D171DE"/>
    <w:rsid w:val="00D172A4"/>
    <w:rsid w:val="00D17951"/>
    <w:rsid w:val="00D17AD8"/>
    <w:rsid w:val="00D2104A"/>
    <w:rsid w:val="00D21A58"/>
    <w:rsid w:val="00D21BB5"/>
    <w:rsid w:val="00D21FFC"/>
    <w:rsid w:val="00D222FD"/>
    <w:rsid w:val="00D2237F"/>
    <w:rsid w:val="00D223B6"/>
    <w:rsid w:val="00D223E8"/>
    <w:rsid w:val="00D224E1"/>
    <w:rsid w:val="00D22BFE"/>
    <w:rsid w:val="00D22DC8"/>
    <w:rsid w:val="00D23882"/>
    <w:rsid w:val="00D23FAF"/>
    <w:rsid w:val="00D2477B"/>
    <w:rsid w:val="00D2522A"/>
    <w:rsid w:val="00D2531C"/>
    <w:rsid w:val="00D25428"/>
    <w:rsid w:val="00D2553E"/>
    <w:rsid w:val="00D2587F"/>
    <w:rsid w:val="00D270AC"/>
    <w:rsid w:val="00D2742F"/>
    <w:rsid w:val="00D2754F"/>
    <w:rsid w:val="00D277C5"/>
    <w:rsid w:val="00D279D9"/>
    <w:rsid w:val="00D312DC"/>
    <w:rsid w:val="00D31B84"/>
    <w:rsid w:val="00D31C6A"/>
    <w:rsid w:val="00D31EDF"/>
    <w:rsid w:val="00D31FF9"/>
    <w:rsid w:val="00D3207F"/>
    <w:rsid w:val="00D32149"/>
    <w:rsid w:val="00D32256"/>
    <w:rsid w:val="00D32A27"/>
    <w:rsid w:val="00D32ABC"/>
    <w:rsid w:val="00D33FA4"/>
    <w:rsid w:val="00D349E3"/>
    <w:rsid w:val="00D34B25"/>
    <w:rsid w:val="00D34C7F"/>
    <w:rsid w:val="00D34F4E"/>
    <w:rsid w:val="00D357F3"/>
    <w:rsid w:val="00D35C0E"/>
    <w:rsid w:val="00D36FBF"/>
    <w:rsid w:val="00D373A8"/>
    <w:rsid w:val="00D379A5"/>
    <w:rsid w:val="00D37BB3"/>
    <w:rsid w:val="00D401BE"/>
    <w:rsid w:val="00D4043A"/>
    <w:rsid w:val="00D40DB0"/>
    <w:rsid w:val="00D41093"/>
    <w:rsid w:val="00D41858"/>
    <w:rsid w:val="00D41E2C"/>
    <w:rsid w:val="00D422DB"/>
    <w:rsid w:val="00D42AC2"/>
    <w:rsid w:val="00D43C06"/>
    <w:rsid w:val="00D4498E"/>
    <w:rsid w:val="00D4515F"/>
    <w:rsid w:val="00D451E8"/>
    <w:rsid w:val="00D45A45"/>
    <w:rsid w:val="00D466C9"/>
    <w:rsid w:val="00D46AF9"/>
    <w:rsid w:val="00D47275"/>
    <w:rsid w:val="00D47DE7"/>
    <w:rsid w:val="00D517F6"/>
    <w:rsid w:val="00D51AB7"/>
    <w:rsid w:val="00D51E15"/>
    <w:rsid w:val="00D52B7E"/>
    <w:rsid w:val="00D52E2F"/>
    <w:rsid w:val="00D52F59"/>
    <w:rsid w:val="00D53445"/>
    <w:rsid w:val="00D53A2E"/>
    <w:rsid w:val="00D53E3E"/>
    <w:rsid w:val="00D54620"/>
    <w:rsid w:val="00D54868"/>
    <w:rsid w:val="00D5564C"/>
    <w:rsid w:val="00D55893"/>
    <w:rsid w:val="00D55904"/>
    <w:rsid w:val="00D5614E"/>
    <w:rsid w:val="00D5616F"/>
    <w:rsid w:val="00D564B8"/>
    <w:rsid w:val="00D57940"/>
    <w:rsid w:val="00D60327"/>
    <w:rsid w:val="00D60D6D"/>
    <w:rsid w:val="00D61384"/>
    <w:rsid w:val="00D61526"/>
    <w:rsid w:val="00D61C39"/>
    <w:rsid w:val="00D61F81"/>
    <w:rsid w:val="00D620A6"/>
    <w:rsid w:val="00D623C0"/>
    <w:rsid w:val="00D62BE6"/>
    <w:rsid w:val="00D63359"/>
    <w:rsid w:val="00D63766"/>
    <w:rsid w:val="00D63912"/>
    <w:rsid w:val="00D63923"/>
    <w:rsid w:val="00D6451B"/>
    <w:rsid w:val="00D64B57"/>
    <w:rsid w:val="00D651A1"/>
    <w:rsid w:val="00D651F2"/>
    <w:rsid w:val="00D656F7"/>
    <w:rsid w:val="00D65DEA"/>
    <w:rsid w:val="00D6650F"/>
    <w:rsid w:val="00D66579"/>
    <w:rsid w:val="00D676D3"/>
    <w:rsid w:val="00D67B06"/>
    <w:rsid w:val="00D67BC7"/>
    <w:rsid w:val="00D70058"/>
    <w:rsid w:val="00D701F1"/>
    <w:rsid w:val="00D705D2"/>
    <w:rsid w:val="00D705D3"/>
    <w:rsid w:val="00D70E00"/>
    <w:rsid w:val="00D70F7C"/>
    <w:rsid w:val="00D70FA1"/>
    <w:rsid w:val="00D715AC"/>
    <w:rsid w:val="00D71851"/>
    <w:rsid w:val="00D718CF"/>
    <w:rsid w:val="00D728F5"/>
    <w:rsid w:val="00D72B7E"/>
    <w:rsid w:val="00D72E9D"/>
    <w:rsid w:val="00D73249"/>
    <w:rsid w:val="00D73419"/>
    <w:rsid w:val="00D73881"/>
    <w:rsid w:val="00D73CA9"/>
    <w:rsid w:val="00D746E2"/>
    <w:rsid w:val="00D751B7"/>
    <w:rsid w:val="00D7524B"/>
    <w:rsid w:val="00D75396"/>
    <w:rsid w:val="00D759C0"/>
    <w:rsid w:val="00D75E99"/>
    <w:rsid w:val="00D765CE"/>
    <w:rsid w:val="00D766C7"/>
    <w:rsid w:val="00D7692B"/>
    <w:rsid w:val="00D769E0"/>
    <w:rsid w:val="00D7708E"/>
    <w:rsid w:val="00D7734F"/>
    <w:rsid w:val="00D7791D"/>
    <w:rsid w:val="00D8039E"/>
    <w:rsid w:val="00D8044C"/>
    <w:rsid w:val="00D80565"/>
    <w:rsid w:val="00D805D6"/>
    <w:rsid w:val="00D8075E"/>
    <w:rsid w:val="00D80860"/>
    <w:rsid w:val="00D80B75"/>
    <w:rsid w:val="00D80D4C"/>
    <w:rsid w:val="00D80ED1"/>
    <w:rsid w:val="00D81782"/>
    <w:rsid w:val="00D8184D"/>
    <w:rsid w:val="00D81A7B"/>
    <w:rsid w:val="00D8223C"/>
    <w:rsid w:val="00D82B57"/>
    <w:rsid w:val="00D82CE5"/>
    <w:rsid w:val="00D831E3"/>
    <w:rsid w:val="00D8342C"/>
    <w:rsid w:val="00D83F9F"/>
    <w:rsid w:val="00D84983"/>
    <w:rsid w:val="00D84C00"/>
    <w:rsid w:val="00D85494"/>
    <w:rsid w:val="00D8582C"/>
    <w:rsid w:val="00D85D61"/>
    <w:rsid w:val="00D8616D"/>
    <w:rsid w:val="00D869BF"/>
    <w:rsid w:val="00D8711B"/>
    <w:rsid w:val="00D87384"/>
    <w:rsid w:val="00D87EC5"/>
    <w:rsid w:val="00D9021B"/>
    <w:rsid w:val="00D90683"/>
    <w:rsid w:val="00D90B2A"/>
    <w:rsid w:val="00D913F5"/>
    <w:rsid w:val="00D91483"/>
    <w:rsid w:val="00D914E1"/>
    <w:rsid w:val="00D915C8"/>
    <w:rsid w:val="00D91CCA"/>
    <w:rsid w:val="00D9310B"/>
    <w:rsid w:val="00D931F3"/>
    <w:rsid w:val="00D93235"/>
    <w:rsid w:val="00D93726"/>
    <w:rsid w:val="00D93F21"/>
    <w:rsid w:val="00D93F3E"/>
    <w:rsid w:val="00D9405B"/>
    <w:rsid w:val="00D944AC"/>
    <w:rsid w:val="00D94942"/>
    <w:rsid w:val="00D94E5D"/>
    <w:rsid w:val="00D95145"/>
    <w:rsid w:val="00D9614B"/>
    <w:rsid w:val="00D96594"/>
    <w:rsid w:val="00D967CB"/>
    <w:rsid w:val="00D968D4"/>
    <w:rsid w:val="00D96C40"/>
    <w:rsid w:val="00D96EE0"/>
    <w:rsid w:val="00D9789A"/>
    <w:rsid w:val="00D97BD1"/>
    <w:rsid w:val="00D97E8F"/>
    <w:rsid w:val="00DA00C3"/>
    <w:rsid w:val="00DA01E9"/>
    <w:rsid w:val="00DA0384"/>
    <w:rsid w:val="00DA06B8"/>
    <w:rsid w:val="00DA14A9"/>
    <w:rsid w:val="00DA286D"/>
    <w:rsid w:val="00DA2969"/>
    <w:rsid w:val="00DA29B7"/>
    <w:rsid w:val="00DA2E5F"/>
    <w:rsid w:val="00DA337C"/>
    <w:rsid w:val="00DA4842"/>
    <w:rsid w:val="00DA4C97"/>
    <w:rsid w:val="00DA52BB"/>
    <w:rsid w:val="00DA54BF"/>
    <w:rsid w:val="00DA5989"/>
    <w:rsid w:val="00DA5AB1"/>
    <w:rsid w:val="00DA5F9D"/>
    <w:rsid w:val="00DA69B2"/>
    <w:rsid w:val="00DA7462"/>
    <w:rsid w:val="00DA7AD0"/>
    <w:rsid w:val="00DB02D7"/>
    <w:rsid w:val="00DB03CC"/>
    <w:rsid w:val="00DB03DE"/>
    <w:rsid w:val="00DB12D4"/>
    <w:rsid w:val="00DB1445"/>
    <w:rsid w:val="00DB14F0"/>
    <w:rsid w:val="00DB1745"/>
    <w:rsid w:val="00DB19BB"/>
    <w:rsid w:val="00DB1AFF"/>
    <w:rsid w:val="00DB1B36"/>
    <w:rsid w:val="00DB219A"/>
    <w:rsid w:val="00DB229C"/>
    <w:rsid w:val="00DB24D7"/>
    <w:rsid w:val="00DB3165"/>
    <w:rsid w:val="00DB420F"/>
    <w:rsid w:val="00DB4292"/>
    <w:rsid w:val="00DB4BDD"/>
    <w:rsid w:val="00DB4DB7"/>
    <w:rsid w:val="00DB5023"/>
    <w:rsid w:val="00DB50C4"/>
    <w:rsid w:val="00DB5416"/>
    <w:rsid w:val="00DB5767"/>
    <w:rsid w:val="00DB6E46"/>
    <w:rsid w:val="00DB7117"/>
    <w:rsid w:val="00DB7760"/>
    <w:rsid w:val="00DB7B1F"/>
    <w:rsid w:val="00DB7DD4"/>
    <w:rsid w:val="00DC00B4"/>
    <w:rsid w:val="00DC0195"/>
    <w:rsid w:val="00DC0759"/>
    <w:rsid w:val="00DC0954"/>
    <w:rsid w:val="00DC0DF8"/>
    <w:rsid w:val="00DC158A"/>
    <w:rsid w:val="00DC15BA"/>
    <w:rsid w:val="00DC18CD"/>
    <w:rsid w:val="00DC1A68"/>
    <w:rsid w:val="00DC246C"/>
    <w:rsid w:val="00DC2536"/>
    <w:rsid w:val="00DC30B8"/>
    <w:rsid w:val="00DC478F"/>
    <w:rsid w:val="00DC61AC"/>
    <w:rsid w:val="00DC62E5"/>
    <w:rsid w:val="00DC6D70"/>
    <w:rsid w:val="00DC6F33"/>
    <w:rsid w:val="00DC7349"/>
    <w:rsid w:val="00DC7389"/>
    <w:rsid w:val="00DC7402"/>
    <w:rsid w:val="00DD0EA9"/>
    <w:rsid w:val="00DD14D8"/>
    <w:rsid w:val="00DD1599"/>
    <w:rsid w:val="00DD16F1"/>
    <w:rsid w:val="00DD1B03"/>
    <w:rsid w:val="00DD1E43"/>
    <w:rsid w:val="00DD2A62"/>
    <w:rsid w:val="00DD2F2F"/>
    <w:rsid w:val="00DD2F7A"/>
    <w:rsid w:val="00DD37C4"/>
    <w:rsid w:val="00DD3885"/>
    <w:rsid w:val="00DD5303"/>
    <w:rsid w:val="00DD5808"/>
    <w:rsid w:val="00DD5946"/>
    <w:rsid w:val="00DD5B04"/>
    <w:rsid w:val="00DD5DAE"/>
    <w:rsid w:val="00DD5EC6"/>
    <w:rsid w:val="00DD605F"/>
    <w:rsid w:val="00DD6A79"/>
    <w:rsid w:val="00DD72A0"/>
    <w:rsid w:val="00DD735D"/>
    <w:rsid w:val="00DD7F7D"/>
    <w:rsid w:val="00DE0159"/>
    <w:rsid w:val="00DE064A"/>
    <w:rsid w:val="00DE0686"/>
    <w:rsid w:val="00DE082D"/>
    <w:rsid w:val="00DE1410"/>
    <w:rsid w:val="00DE1840"/>
    <w:rsid w:val="00DE20C6"/>
    <w:rsid w:val="00DE3119"/>
    <w:rsid w:val="00DE322B"/>
    <w:rsid w:val="00DE3C24"/>
    <w:rsid w:val="00DE3FF0"/>
    <w:rsid w:val="00DE4105"/>
    <w:rsid w:val="00DE5189"/>
    <w:rsid w:val="00DE63F8"/>
    <w:rsid w:val="00DE6EB8"/>
    <w:rsid w:val="00DE7108"/>
    <w:rsid w:val="00DE74AC"/>
    <w:rsid w:val="00DE78D1"/>
    <w:rsid w:val="00DE78FF"/>
    <w:rsid w:val="00DF0263"/>
    <w:rsid w:val="00DF0588"/>
    <w:rsid w:val="00DF0EB4"/>
    <w:rsid w:val="00DF158B"/>
    <w:rsid w:val="00DF1733"/>
    <w:rsid w:val="00DF193C"/>
    <w:rsid w:val="00DF1E36"/>
    <w:rsid w:val="00DF236B"/>
    <w:rsid w:val="00DF2A91"/>
    <w:rsid w:val="00DF3889"/>
    <w:rsid w:val="00DF3C0D"/>
    <w:rsid w:val="00DF3CC9"/>
    <w:rsid w:val="00DF4451"/>
    <w:rsid w:val="00DF49FF"/>
    <w:rsid w:val="00DF4FFB"/>
    <w:rsid w:val="00DF5236"/>
    <w:rsid w:val="00DF6232"/>
    <w:rsid w:val="00DF651F"/>
    <w:rsid w:val="00DF6F43"/>
    <w:rsid w:val="00DF6F5C"/>
    <w:rsid w:val="00DF71EA"/>
    <w:rsid w:val="00DF752F"/>
    <w:rsid w:val="00DF76A2"/>
    <w:rsid w:val="00DF786B"/>
    <w:rsid w:val="00E00B7A"/>
    <w:rsid w:val="00E01519"/>
    <w:rsid w:val="00E02186"/>
    <w:rsid w:val="00E025C2"/>
    <w:rsid w:val="00E026BB"/>
    <w:rsid w:val="00E027C5"/>
    <w:rsid w:val="00E03124"/>
    <w:rsid w:val="00E031C3"/>
    <w:rsid w:val="00E03951"/>
    <w:rsid w:val="00E03DB8"/>
    <w:rsid w:val="00E03F17"/>
    <w:rsid w:val="00E0420C"/>
    <w:rsid w:val="00E04EDD"/>
    <w:rsid w:val="00E05AE9"/>
    <w:rsid w:val="00E05B0B"/>
    <w:rsid w:val="00E05E70"/>
    <w:rsid w:val="00E064BC"/>
    <w:rsid w:val="00E07225"/>
    <w:rsid w:val="00E076B4"/>
    <w:rsid w:val="00E07B55"/>
    <w:rsid w:val="00E07C9F"/>
    <w:rsid w:val="00E10579"/>
    <w:rsid w:val="00E109DD"/>
    <w:rsid w:val="00E11229"/>
    <w:rsid w:val="00E114CA"/>
    <w:rsid w:val="00E127D1"/>
    <w:rsid w:val="00E13867"/>
    <w:rsid w:val="00E1397F"/>
    <w:rsid w:val="00E13AB8"/>
    <w:rsid w:val="00E1482E"/>
    <w:rsid w:val="00E152AF"/>
    <w:rsid w:val="00E16382"/>
    <w:rsid w:val="00E1699C"/>
    <w:rsid w:val="00E16E75"/>
    <w:rsid w:val="00E171A8"/>
    <w:rsid w:val="00E1746D"/>
    <w:rsid w:val="00E17FF4"/>
    <w:rsid w:val="00E2012A"/>
    <w:rsid w:val="00E205A2"/>
    <w:rsid w:val="00E20BA4"/>
    <w:rsid w:val="00E210D0"/>
    <w:rsid w:val="00E21887"/>
    <w:rsid w:val="00E21CC0"/>
    <w:rsid w:val="00E23137"/>
    <w:rsid w:val="00E23980"/>
    <w:rsid w:val="00E23C72"/>
    <w:rsid w:val="00E23FDF"/>
    <w:rsid w:val="00E241E9"/>
    <w:rsid w:val="00E254C3"/>
    <w:rsid w:val="00E257C3"/>
    <w:rsid w:val="00E259C8"/>
    <w:rsid w:val="00E25CB3"/>
    <w:rsid w:val="00E25DA4"/>
    <w:rsid w:val="00E26237"/>
    <w:rsid w:val="00E26A4A"/>
    <w:rsid w:val="00E26BE1"/>
    <w:rsid w:val="00E26CB8"/>
    <w:rsid w:val="00E26D16"/>
    <w:rsid w:val="00E26FCF"/>
    <w:rsid w:val="00E27165"/>
    <w:rsid w:val="00E275D9"/>
    <w:rsid w:val="00E2795B"/>
    <w:rsid w:val="00E3044A"/>
    <w:rsid w:val="00E30E49"/>
    <w:rsid w:val="00E315A4"/>
    <w:rsid w:val="00E31679"/>
    <w:rsid w:val="00E31A4A"/>
    <w:rsid w:val="00E31CD4"/>
    <w:rsid w:val="00E3344A"/>
    <w:rsid w:val="00E33B29"/>
    <w:rsid w:val="00E33B62"/>
    <w:rsid w:val="00E3403D"/>
    <w:rsid w:val="00E343FD"/>
    <w:rsid w:val="00E344BD"/>
    <w:rsid w:val="00E3452B"/>
    <w:rsid w:val="00E34E6C"/>
    <w:rsid w:val="00E353E2"/>
    <w:rsid w:val="00E35F21"/>
    <w:rsid w:val="00E36345"/>
    <w:rsid w:val="00E36C86"/>
    <w:rsid w:val="00E36CEB"/>
    <w:rsid w:val="00E37A28"/>
    <w:rsid w:val="00E400C7"/>
    <w:rsid w:val="00E40430"/>
    <w:rsid w:val="00E40690"/>
    <w:rsid w:val="00E40AEB"/>
    <w:rsid w:val="00E40E82"/>
    <w:rsid w:val="00E41141"/>
    <w:rsid w:val="00E4143A"/>
    <w:rsid w:val="00E424C8"/>
    <w:rsid w:val="00E4251D"/>
    <w:rsid w:val="00E43D00"/>
    <w:rsid w:val="00E43ED1"/>
    <w:rsid w:val="00E443B4"/>
    <w:rsid w:val="00E445E4"/>
    <w:rsid w:val="00E44EDE"/>
    <w:rsid w:val="00E457CB"/>
    <w:rsid w:val="00E45D47"/>
    <w:rsid w:val="00E45DE4"/>
    <w:rsid w:val="00E45E63"/>
    <w:rsid w:val="00E45EEE"/>
    <w:rsid w:val="00E46CEF"/>
    <w:rsid w:val="00E4759C"/>
    <w:rsid w:val="00E50A7B"/>
    <w:rsid w:val="00E50B0B"/>
    <w:rsid w:val="00E50B8A"/>
    <w:rsid w:val="00E50C57"/>
    <w:rsid w:val="00E510FE"/>
    <w:rsid w:val="00E514BA"/>
    <w:rsid w:val="00E519B2"/>
    <w:rsid w:val="00E51E25"/>
    <w:rsid w:val="00E51F38"/>
    <w:rsid w:val="00E5205B"/>
    <w:rsid w:val="00E521AE"/>
    <w:rsid w:val="00E529A3"/>
    <w:rsid w:val="00E52C48"/>
    <w:rsid w:val="00E52C56"/>
    <w:rsid w:val="00E52EB3"/>
    <w:rsid w:val="00E53A21"/>
    <w:rsid w:val="00E53BCA"/>
    <w:rsid w:val="00E53DE2"/>
    <w:rsid w:val="00E53F02"/>
    <w:rsid w:val="00E5428D"/>
    <w:rsid w:val="00E54534"/>
    <w:rsid w:val="00E548C3"/>
    <w:rsid w:val="00E54F27"/>
    <w:rsid w:val="00E55FF1"/>
    <w:rsid w:val="00E56090"/>
    <w:rsid w:val="00E56408"/>
    <w:rsid w:val="00E565B9"/>
    <w:rsid w:val="00E56940"/>
    <w:rsid w:val="00E56E7B"/>
    <w:rsid w:val="00E5733B"/>
    <w:rsid w:val="00E5756C"/>
    <w:rsid w:val="00E57811"/>
    <w:rsid w:val="00E5788B"/>
    <w:rsid w:val="00E57FB0"/>
    <w:rsid w:val="00E601BE"/>
    <w:rsid w:val="00E60843"/>
    <w:rsid w:val="00E60A44"/>
    <w:rsid w:val="00E60B5F"/>
    <w:rsid w:val="00E60DC8"/>
    <w:rsid w:val="00E613AE"/>
    <w:rsid w:val="00E61429"/>
    <w:rsid w:val="00E61ABB"/>
    <w:rsid w:val="00E61C2D"/>
    <w:rsid w:val="00E61FD7"/>
    <w:rsid w:val="00E623E6"/>
    <w:rsid w:val="00E62C76"/>
    <w:rsid w:val="00E630A2"/>
    <w:rsid w:val="00E630C0"/>
    <w:rsid w:val="00E63107"/>
    <w:rsid w:val="00E6312C"/>
    <w:rsid w:val="00E634E6"/>
    <w:rsid w:val="00E63B43"/>
    <w:rsid w:val="00E63B74"/>
    <w:rsid w:val="00E63DCE"/>
    <w:rsid w:val="00E64700"/>
    <w:rsid w:val="00E647F4"/>
    <w:rsid w:val="00E65074"/>
    <w:rsid w:val="00E65926"/>
    <w:rsid w:val="00E65E70"/>
    <w:rsid w:val="00E66087"/>
    <w:rsid w:val="00E66D79"/>
    <w:rsid w:val="00E66FF9"/>
    <w:rsid w:val="00E6706F"/>
    <w:rsid w:val="00E673A2"/>
    <w:rsid w:val="00E67856"/>
    <w:rsid w:val="00E679C8"/>
    <w:rsid w:val="00E70314"/>
    <w:rsid w:val="00E70779"/>
    <w:rsid w:val="00E7209B"/>
    <w:rsid w:val="00E724E7"/>
    <w:rsid w:val="00E72B41"/>
    <w:rsid w:val="00E7347B"/>
    <w:rsid w:val="00E73792"/>
    <w:rsid w:val="00E73D03"/>
    <w:rsid w:val="00E73D78"/>
    <w:rsid w:val="00E73E10"/>
    <w:rsid w:val="00E746F7"/>
    <w:rsid w:val="00E7471C"/>
    <w:rsid w:val="00E7498A"/>
    <w:rsid w:val="00E7514E"/>
    <w:rsid w:val="00E76537"/>
    <w:rsid w:val="00E77784"/>
    <w:rsid w:val="00E7781A"/>
    <w:rsid w:val="00E77AF5"/>
    <w:rsid w:val="00E77AFB"/>
    <w:rsid w:val="00E8067B"/>
    <w:rsid w:val="00E820F4"/>
    <w:rsid w:val="00E82263"/>
    <w:rsid w:val="00E823F9"/>
    <w:rsid w:val="00E82C1F"/>
    <w:rsid w:val="00E83671"/>
    <w:rsid w:val="00E840EE"/>
    <w:rsid w:val="00E84314"/>
    <w:rsid w:val="00E84352"/>
    <w:rsid w:val="00E84925"/>
    <w:rsid w:val="00E849CA"/>
    <w:rsid w:val="00E84A71"/>
    <w:rsid w:val="00E8556F"/>
    <w:rsid w:val="00E86556"/>
    <w:rsid w:val="00E86567"/>
    <w:rsid w:val="00E86D35"/>
    <w:rsid w:val="00E86DC2"/>
    <w:rsid w:val="00E86E32"/>
    <w:rsid w:val="00E86F2E"/>
    <w:rsid w:val="00E8732E"/>
    <w:rsid w:val="00E87A0B"/>
    <w:rsid w:val="00E9011F"/>
    <w:rsid w:val="00E903FC"/>
    <w:rsid w:val="00E906EB"/>
    <w:rsid w:val="00E90784"/>
    <w:rsid w:val="00E9168A"/>
    <w:rsid w:val="00E9170E"/>
    <w:rsid w:val="00E919FB"/>
    <w:rsid w:val="00E9241E"/>
    <w:rsid w:val="00E92460"/>
    <w:rsid w:val="00E92E62"/>
    <w:rsid w:val="00E93804"/>
    <w:rsid w:val="00E9429D"/>
    <w:rsid w:val="00E95434"/>
    <w:rsid w:val="00E96467"/>
    <w:rsid w:val="00E966DA"/>
    <w:rsid w:val="00E96948"/>
    <w:rsid w:val="00E97262"/>
    <w:rsid w:val="00E9737B"/>
    <w:rsid w:val="00E97A3F"/>
    <w:rsid w:val="00E97F0A"/>
    <w:rsid w:val="00EA0100"/>
    <w:rsid w:val="00EA041B"/>
    <w:rsid w:val="00EA0BCE"/>
    <w:rsid w:val="00EA17BC"/>
    <w:rsid w:val="00EA2744"/>
    <w:rsid w:val="00EA355B"/>
    <w:rsid w:val="00EA37B9"/>
    <w:rsid w:val="00EA39F7"/>
    <w:rsid w:val="00EA3DC2"/>
    <w:rsid w:val="00EA434E"/>
    <w:rsid w:val="00EA4757"/>
    <w:rsid w:val="00EA560B"/>
    <w:rsid w:val="00EA5669"/>
    <w:rsid w:val="00EA5CC6"/>
    <w:rsid w:val="00EA63EF"/>
    <w:rsid w:val="00EA6719"/>
    <w:rsid w:val="00EA793F"/>
    <w:rsid w:val="00EA7B3D"/>
    <w:rsid w:val="00EA7CBF"/>
    <w:rsid w:val="00EB0A89"/>
    <w:rsid w:val="00EB1573"/>
    <w:rsid w:val="00EB1910"/>
    <w:rsid w:val="00EB2564"/>
    <w:rsid w:val="00EB2D83"/>
    <w:rsid w:val="00EB2E97"/>
    <w:rsid w:val="00EB3416"/>
    <w:rsid w:val="00EB4AE1"/>
    <w:rsid w:val="00EB52F4"/>
    <w:rsid w:val="00EB5694"/>
    <w:rsid w:val="00EB5779"/>
    <w:rsid w:val="00EB5D2F"/>
    <w:rsid w:val="00EB5EB7"/>
    <w:rsid w:val="00EB67F1"/>
    <w:rsid w:val="00EB6ADA"/>
    <w:rsid w:val="00EB72CD"/>
    <w:rsid w:val="00EB749A"/>
    <w:rsid w:val="00EB76B6"/>
    <w:rsid w:val="00EB7D8A"/>
    <w:rsid w:val="00EC04F7"/>
    <w:rsid w:val="00EC05E2"/>
    <w:rsid w:val="00EC0E84"/>
    <w:rsid w:val="00EC16E2"/>
    <w:rsid w:val="00EC1CE7"/>
    <w:rsid w:val="00EC1DAE"/>
    <w:rsid w:val="00EC26F1"/>
    <w:rsid w:val="00EC3C94"/>
    <w:rsid w:val="00EC44DF"/>
    <w:rsid w:val="00EC4525"/>
    <w:rsid w:val="00EC4FB9"/>
    <w:rsid w:val="00EC527C"/>
    <w:rsid w:val="00EC5393"/>
    <w:rsid w:val="00EC5741"/>
    <w:rsid w:val="00EC5DA3"/>
    <w:rsid w:val="00EC6014"/>
    <w:rsid w:val="00EC6565"/>
    <w:rsid w:val="00EC6B3E"/>
    <w:rsid w:val="00EC73DE"/>
    <w:rsid w:val="00EC7637"/>
    <w:rsid w:val="00EC7C07"/>
    <w:rsid w:val="00EC7CF2"/>
    <w:rsid w:val="00ED046C"/>
    <w:rsid w:val="00ED053A"/>
    <w:rsid w:val="00ED0AF0"/>
    <w:rsid w:val="00ED1F03"/>
    <w:rsid w:val="00ED249D"/>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C5A"/>
    <w:rsid w:val="00ED6D1A"/>
    <w:rsid w:val="00ED72E9"/>
    <w:rsid w:val="00ED732E"/>
    <w:rsid w:val="00ED77F0"/>
    <w:rsid w:val="00ED7FBC"/>
    <w:rsid w:val="00EE0253"/>
    <w:rsid w:val="00EE0297"/>
    <w:rsid w:val="00EE1258"/>
    <w:rsid w:val="00EE13DA"/>
    <w:rsid w:val="00EE1668"/>
    <w:rsid w:val="00EE1C10"/>
    <w:rsid w:val="00EE1EDB"/>
    <w:rsid w:val="00EE24E2"/>
    <w:rsid w:val="00EE2D51"/>
    <w:rsid w:val="00EE366D"/>
    <w:rsid w:val="00EE44F5"/>
    <w:rsid w:val="00EE459F"/>
    <w:rsid w:val="00EE5454"/>
    <w:rsid w:val="00EE59B5"/>
    <w:rsid w:val="00EE5FA9"/>
    <w:rsid w:val="00EE5FB7"/>
    <w:rsid w:val="00EE6783"/>
    <w:rsid w:val="00EE678B"/>
    <w:rsid w:val="00EE7B54"/>
    <w:rsid w:val="00EE7C47"/>
    <w:rsid w:val="00EE7C88"/>
    <w:rsid w:val="00EE7C8B"/>
    <w:rsid w:val="00EF0209"/>
    <w:rsid w:val="00EF05F5"/>
    <w:rsid w:val="00EF0A58"/>
    <w:rsid w:val="00EF0EA4"/>
    <w:rsid w:val="00EF1E97"/>
    <w:rsid w:val="00EF2436"/>
    <w:rsid w:val="00EF2547"/>
    <w:rsid w:val="00EF2B2B"/>
    <w:rsid w:val="00EF2E1C"/>
    <w:rsid w:val="00EF2FD6"/>
    <w:rsid w:val="00EF326A"/>
    <w:rsid w:val="00EF338A"/>
    <w:rsid w:val="00EF397D"/>
    <w:rsid w:val="00EF3A16"/>
    <w:rsid w:val="00EF3AE4"/>
    <w:rsid w:val="00EF427A"/>
    <w:rsid w:val="00EF45DF"/>
    <w:rsid w:val="00EF4944"/>
    <w:rsid w:val="00EF4952"/>
    <w:rsid w:val="00EF498F"/>
    <w:rsid w:val="00EF4A42"/>
    <w:rsid w:val="00EF510C"/>
    <w:rsid w:val="00EF55C4"/>
    <w:rsid w:val="00EF57BC"/>
    <w:rsid w:val="00EF5CA8"/>
    <w:rsid w:val="00EF5EA2"/>
    <w:rsid w:val="00EF6582"/>
    <w:rsid w:val="00EF6784"/>
    <w:rsid w:val="00EF688A"/>
    <w:rsid w:val="00EF6A03"/>
    <w:rsid w:val="00EF6DC2"/>
    <w:rsid w:val="00EF7506"/>
    <w:rsid w:val="00EF760B"/>
    <w:rsid w:val="00EF7BF4"/>
    <w:rsid w:val="00F0030F"/>
    <w:rsid w:val="00F00674"/>
    <w:rsid w:val="00F00720"/>
    <w:rsid w:val="00F01657"/>
    <w:rsid w:val="00F01E67"/>
    <w:rsid w:val="00F02744"/>
    <w:rsid w:val="00F02BD9"/>
    <w:rsid w:val="00F02BFD"/>
    <w:rsid w:val="00F02CC2"/>
    <w:rsid w:val="00F02D25"/>
    <w:rsid w:val="00F03C3D"/>
    <w:rsid w:val="00F03E3E"/>
    <w:rsid w:val="00F0435D"/>
    <w:rsid w:val="00F04580"/>
    <w:rsid w:val="00F04ECA"/>
    <w:rsid w:val="00F04F8B"/>
    <w:rsid w:val="00F05E59"/>
    <w:rsid w:val="00F06E19"/>
    <w:rsid w:val="00F06F84"/>
    <w:rsid w:val="00F076E7"/>
    <w:rsid w:val="00F07A86"/>
    <w:rsid w:val="00F07AA1"/>
    <w:rsid w:val="00F07D80"/>
    <w:rsid w:val="00F105AE"/>
    <w:rsid w:val="00F10618"/>
    <w:rsid w:val="00F1108B"/>
    <w:rsid w:val="00F114FA"/>
    <w:rsid w:val="00F11768"/>
    <w:rsid w:val="00F11951"/>
    <w:rsid w:val="00F12262"/>
    <w:rsid w:val="00F12564"/>
    <w:rsid w:val="00F12AF8"/>
    <w:rsid w:val="00F12C52"/>
    <w:rsid w:val="00F13010"/>
    <w:rsid w:val="00F13381"/>
    <w:rsid w:val="00F13828"/>
    <w:rsid w:val="00F13E10"/>
    <w:rsid w:val="00F13E62"/>
    <w:rsid w:val="00F13F51"/>
    <w:rsid w:val="00F148B7"/>
    <w:rsid w:val="00F14EA9"/>
    <w:rsid w:val="00F15242"/>
    <w:rsid w:val="00F15505"/>
    <w:rsid w:val="00F1570E"/>
    <w:rsid w:val="00F15BFF"/>
    <w:rsid w:val="00F16DDE"/>
    <w:rsid w:val="00F16E4F"/>
    <w:rsid w:val="00F17244"/>
    <w:rsid w:val="00F17388"/>
    <w:rsid w:val="00F20742"/>
    <w:rsid w:val="00F20931"/>
    <w:rsid w:val="00F20ECE"/>
    <w:rsid w:val="00F213A0"/>
    <w:rsid w:val="00F21B4B"/>
    <w:rsid w:val="00F21D54"/>
    <w:rsid w:val="00F21EF4"/>
    <w:rsid w:val="00F23113"/>
    <w:rsid w:val="00F23255"/>
    <w:rsid w:val="00F23393"/>
    <w:rsid w:val="00F23759"/>
    <w:rsid w:val="00F24644"/>
    <w:rsid w:val="00F252E7"/>
    <w:rsid w:val="00F258EB"/>
    <w:rsid w:val="00F25947"/>
    <w:rsid w:val="00F262D6"/>
    <w:rsid w:val="00F2674A"/>
    <w:rsid w:val="00F26CCF"/>
    <w:rsid w:val="00F26F33"/>
    <w:rsid w:val="00F273D5"/>
    <w:rsid w:val="00F2748A"/>
    <w:rsid w:val="00F300A8"/>
    <w:rsid w:val="00F302C6"/>
    <w:rsid w:val="00F30400"/>
    <w:rsid w:val="00F3079E"/>
    <w:rsid w:val="00F30FFD"/>
    <w:rsid w:val="00F31289"/>
    <w:rsid w:val="00F332E0"/>
    <w:rsid w:val="00F3399B"/>
    <w:rsid w:val="00F33F4B"/>
    <w:rsid w:val="00F33FB4"/>
    <w:rsid w:val="00F346ED"/>
    <w:rsid w:val="00F34913"/>
    <w:rsid w:val="00F34945"/>
    <w:rsid w:val="00F34E1E"/>
    <w:rsid w:val="00F3570C"/>
    <w:rsid w:val="00F363A4"/>
    <w:rsid w:val="00F36765"/>
    <w:rsid w:val="00F368FF"/>
    <w:rsid w:val="00F37068"/>
    <w:rsid w:val="00F371AF"/>
    <w:rsid w:val="00F3721B"/>
    <w:rsid w:val="00F37F3F"/>
    <w:rsid w:val="00F40992"/>
    <w:rsid w:val="00F40D0F"/>
    <w:rsid w:val="00F40DC8"/>
    <w:rsid w:val="00F40F72"/>
    <w:rsid w:val="00F41457"/>
    <w:rsid w:val="00F41596"/>
    <w:rsid w:val="00F41717"/>
    <w:rsid w:val="00F41D8B"/>
    <w:rsid w:val="00F42121"/>
    <w:rsid w:val="00F424B3"/>
    <w:rsid w:val="00F428B1"/>
    <w:rsid w:val="00F428B4"/>
    <w:rsid w:val="00F433E6"/>
    <w:rsid w:val="00F4345D"/>
    <w:rsid w:val="00F4387B"/>
    <w:rsid w:val="00F45921"/>
    <w:rsid w:val="00F45B91"/>
    <w:rsid w:val="00F46639"/>
    <w:rsid w:val="00F46E5D"/>
    <w:rsid w:val="00F476FD"/>
    <w:rsid w:val="00F50183"/>
    <w:rsid w:val="00F50D92"/>
    <w:rsid w:val="00F51585"/>
    <w:rsid w:val="00F51765"/>
    <w:rsid w:val="00F51A51"/>
    <w:rsid w:val="00F51BC6"/>
    <w:rsid w:val="00F51CB4"/>
    <w:rsid w:val="00F52324"/>
    <w:rsid w:val="00F52950"/>
    <w:rsid w:val="00F52C9D"/>
    <w:rsid w:val="00F533F1"/>
    <w:rsid w:val="00F53ED8"/>
    <w:rsid w:val="00F55185"/>
    <w:rsid w:val="00F554B1"/>
    <w:rsid w:val="00F55679"/>
    <w:rsid w:val="00F561E3"/>
    <w:rsid w:val="00F565E6"/>
    <w:rsid w:val="00F56AFA"/>
    <w:rsid w:val="00F575E2"/>
    <w:rsid w:val="00F579FF"/>
    <w:rsid w:val="00F600E0"/>
    <w:rsid w:val="00F60460"/>
    <w:rsid w:val="00F605EC"/>
    <w:rsid w:val="00F60F60"/>
    <w:rsid w:val="00F61217"/>
    <w:rsid w:val="00F612CE"/>
    <w:rsid w:val="00F6133C"/>
    <w:rsid w:val="00F61405"/>
    <w:rsid w:val="00F62227"/>
    <w:rsid w:val="00F62386"/>
    <w:rsid w:val="00F624A7"/>
    <w:rsid w:val="00F62AB6"/>
    <w:rsid w:val="00F62BDF"/>
    <w:rsid w:val="00F64F40"/>
    <w:rsid w:val="00F65A3C"/>
    <w:rsid w:val="00F66009"/>
    <w:rsid w:val="00F66282"/>
    <w:rsid w:val="00F6639E"/>
    <w:rsid w:val="00F66E9B"/>
    <w:rsid w:val="00F670E9"/>
    <w:rsid w:val="00F67AF1"/>
    <w:rsid w:val="00F67D8B"/>
    <w:rsid w:val="00F700A8"/>
    <w:rsid w:val="00F700AE"/>
    <w:rsid w:val="00F701C5"/>
    <w:rsid w:val="00F7084F"/>
    <w:rsid w:val="00F70961"/>
    <w:rsid w:val="00F70A8F"/>
    <w:rsid w:val="00F70E45"/>
    <w:rsid w:val="00F71263"/>
    <w:rsid w:val="00F71397"/>
    <w:rsid w:val="00F7237C"/>
    <w:rsid w:val="00F72389"/>
    <w:rsid w:val="00F72516"/>
    <w:rsid w:val="00F72FB4"/>
    <w:rsid w:val="00F735E5"/>
    <w:rsid w:val="00F736AF"/>
    <w:rsid w:val="00F73B82"/>
    <w:rsid w:val="00F73E80"/>
    <w:rsid w:val="00F7469C"/>
    <w:rsid w:val="00F7492E"/>
    <w:rsid w:val="00F74945"/>
    <w:rsid w:val="00F749A3"/>
    <w:rsid w:val="00F74AE8"/>
    <w:rsid w:val="00F76C11"/>
    <w:rsid w:val="00F77021"/>
    <w:rsid w:val="00F770AB"/>
    <w:rsid w:val="00F77E61"/>
    <w:rsid w:val="00F80221"/>
    <w:rsid w:val="00F80A0A"/>
    <w:rsid w:val="00F80C81"/>
    <w:rsid w:val="00F815AC"/>
    <w:rsid w:val="00F8232E"/>
    <w:rsid w:val="00F82F05"/>
    <w:rsid w:val="00F82F4C"/>
    <w:rsid w:val="00F838C5"/>
    <w:rsid w:val="00F83B33"/>
    <w:rsid w:val="00F83CAE"/>
    <w:rsid w:val="00F840BF"/>
    <w:rsid w:val="00F8427A"/>
    <w:rsid w:val="00F843DF"/>
    <w:rsid w:val="00F84646"/>
    <w:rsid w:val="00F84899"/>
    <w:rsid w:val="00F85585"/>
    <w:rsid w:val="00F859F0"/>
    <w:rsid w:val="00F85CC1"/>
    <w:rsid w:val="00F86566"/>
    <w:rsid w:val="00F86B5D"/>
    <w:rsid w:val="00F86F01"/>
    <w:rsid w:val="00F87144"/>
    <w:rsid w:val="00F87634"/>
    <w:rsid w:val="00F87C13"/>
    <w:rsid w:val="00F87C5A"/>
    <w:rsid w:val="00F87E29"/>
    <w:rsid w:val="00F87F18"/>
    <w:rsid w:val="00F87F68"/>
    <w:rsid w:val="00F90C4D"/>
    <w:rsid w:val="00F90C56"/>
    <w:rsid w:val="00F9167D"/>
    <w:rsid w:val="00F91CB2"/>
    <w:rsid w:val="00F927E8"/>
    <w:rsid w:val="00F9289C"/>
    <w:rsid w:val="00F92DC8"/>
    <w:rsid w:val="00F92FC1"/>
    <w:rsid w:val="00F932D1"/>
    <w:rsid w:val="00F932E2"/>
    <w:rsid w:val="00F93DBC"/>
    <w:rsid w:val="00F93E41"/>
    <w:rsid w:val="00F93F1B"/>
    <w:rsid w:val="00F94644"/>
    <w:rsid w:val="00F952E4"/>
    <w:rsid w:val="00F9537B"/>
    <w:rsid w:val="00F96079"/>
    <w:rsid w:val="00F963FC"/>
    <w:rsid w:val="00F9752C"/>
    <w:rsid w:val="00F97CF1"/>
    <w:rsid w:val="00FA00A3"/>
    <w:rsid w:val="00FA015F"/>
    <w:rsid w:val="00FA0FAC"/>
    <w:rsid w:val="00FA10F7"/>
    <w:rsid w:val="00FA140C"/>
    <w:rsid w:val="00FA1858"/>
    <w:rsid w:val="00FA1C14"/>
    <w:rsid w:val="00FA1DA2"/>
    <w:rsid w:val="00FA2357"/>
    <w:rsid w:val="00FA289A"/>
    <w:rsid w:val="00FA3414"/>
    <w:rsid w:val="00FA347A"/>
    <w:rsid w:val="00FA3CDE"/>
    <w:rsid w:val="00FA49B7"/>
    <w:rsid w:val="00FA5043"/>
    <w:rsid w:val="00FA60C1"/>
    <w:rsid w:val="00FA65A3"/>
    <w:rsid w:val="00FA6F8B"/>
    <w:rsid w:val="00FA727C"/>
    <w:rsid w:val="00FA7A30"/>
    <w:rsid w:val="00FA7A52"/>
    <w:rsid w:val="00FA7D92"/>
    <w:rsid w:val="00FB033F"/>
    <w:rsid w:val="00FB0880"/>
    <w:rsid w:val="00FB12E3"/>
    <w:rsid w:val="00FB1570"/>
    <w:rsid w:val="00FB193B"/>
    <w:rsid w:val="00FB1B51"/>
    <w:rsid w:val="00FB1FBC"/>
    <w:rsid w:val="00FB27B7"/>
    <w:rsid w:val="00FB282A"/>
    <w:rsid w:val="00FB35E3"/>
    <w:rsid w:val="00FB47FB"/>
    <w:rsid w:val="00FB4C98"/>
    <w:rsid w:val="00FB4CE3"/>
    <w:rsid w:val="00FB4F46"/>
    <w:rsid w:val="00FB583C"/>
    <w:rsid w:val="00FB630E"/>
    <w:rsid w:val="00FB6738"/>
    <w:rsid w:val="00FB691B"/>
    <w:rsid w:val="00FB6BE6"/>
    <w:rsid w:val="00FB6E96"/>
    <w:rsid w:val="00FB703C"/>
    <w:rsid w:val="00FB731C"/>
    <w:rsid w:val="00FB7628"/>
    <w:rsid w:val="00FC05A0"/>
    <w:rsid w:val="00FC0811"/>
    <w:rsid w:val="00FC09B3"/>
    <w:rsid w:val="00FC1196"/>
    <w:rsid w:val="00FC12FD"/>
    <w:rsid w:val="00FC157D"/>
    <w:rsid w:val="00FC15EB"/>
    <w:rsid w:val="00FC162C"/>
    <w:rsid w:val="00FC18DC"/>
    <w:rsid w:val="00FC1A47"/>
    <w:rsid w:val="00FC2477"/>
    <w:rsid w:val="00FC2AC4"/>
    <w:rsid w:val="00FC2F73"/>
    <w:rsid w:val="00FC325F"/>
    <w:rsid w:val="00FC3A9B"/>
    <w:rsid w:val="00FC3AE1"/>
    <w:rsid w:val="00FC3DFC"/>
    <w:rsid w:val="00FC3EF4"/>
    <w:rsid w:val="00FC431B"/>
    <w:rsid w:val="00FC434C"/>
    <w:rsid w:val="00FC472C"/>
    <w:rsid w:val="00FC4FDF"/>
    <w:rsid w:val="00FC5CF4"/>
    <w:rsid w:val="00FC5D64"/>
    <w:rsid w:val="00FC6A39"/>
    <w:rsid w:val="00FC6DB9"/>
    <w:rsid w:val="00FC6EDA"/>
    <w:rsid w:val="00FC76A9"/>
    <w:rsid w:val="00FC79AB"/>
    <w:rsid w:val="00FC7BE7"/>
    <w:rsid w:val="00FC7DAC"/>
    <w:rsid w:val="00FD005D"/>
    <w:rsid w:val="00FD04AE"/>
    <w:rsid w:val="00FD0DFA"/>
    <w:rsid w:val="00FD1890"/>
    <w:rsid w:val="00FD1994"/>
    <w:rsid w:val="00FD3508"/>
    <w:rsid w:val="00FD393C"/>
    <w:rsid w:val="00FD3AFF"/>
    <w:rsid w:val="00FD3C57"/>
    <w:rsid w:val="00FD43BB"/>
    <w:rsid w:val="00FD4AF3"/>
    <w:rsid w:val="00FD6145"/>
    <w:rsid w:val="00FD6DC5"/>
    <w:rsid w:val="00FD72B1"/>
    <w:rsid w:val="00FD798D"/>
    <w:rsid w:val="00FE141E"/>
    <w:rsid w:val="00FE144E"/>
    <w:rsid w:val="00FE1768"/>
    <w:rsid w:val="00FE1DCB"/>
    <w:rsid w:val="00FE1DD5"/>
    <w:rsid w:val="00FE21A6"/>
    <w:rsid w:val="00FE24F4"/>
    <w:rsid w:val="00FE2560"/>
    <w:rsid w:val="00FE2E21"/>
    <w:rsid w:val="00FE35D0"/>
    <w:rsid w:val="00FE42ED"/>
    <w:rsid w:val="00FE43AD"/>
    <w:rsid w:val="00FE4E06"/>
    <w:rsid w:val="00FE55A7"/>
    <w:rsid w:val="00FE5C5A"/>
    <w:rsid w:val="00FE6432"/>
    <w:rsid w:val="00FE6728"/>
    <w:rsid w:val="00FE72A0"/>
    <w:rsid w:val="00FE76EB"/>
    <w:rsid w:val="00FF0050"/>
    <w:rsid w:val="00FF045F"/>
    <w:rsid w:val="00FF1367"/>
    <w:rsid w:val="00FF13D4"/>
    <w:rsid w:val="00FF1481"/>
    <w:rsid w:val="00FF2053"/>
    <w:rsid w:val="00FF3B37"/>
    <w:rsid w:val="00FF3CC7"/>
    <w:rsid w:val="00FF3D6F"/>
    <w:rsid w:val="00FF4BD8"/>
    <w:rsid w:val="00FF4D11"/>
    <w:rsid w:val="00FF5214"/>
    <w:rsid w:val="00FF596E"/>
    <w:rsid w:val="00FF5B59"/>
    <w:rsid w:val="00FF5BFD"/>
    <w:rsid w:val="00FF6095"/>
    <w:rsid w:val="00FF62FE"/>
    <w:rsid w:val="00FF6553"/>
    <w:rsid w:val="00FF70BD"/>
    <w:rsid w:val="00FF7124"/>
    <w:rsid w:val="00FF7A39"/>
    <w:rsid w:val="1B7CC6B8"/>
    <w:rsid w:val="3F97D5A6"/>
    <w:rsid w:val="50A1ADDB"/>
    <w:rsid w:val="759F56B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5EF"/>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Normal11pt">
    <w:name w:val="Normal + 11 pt"/>
    <w:aliases w:val="Negro,Justificado,Izquierda:  -0,95 cm,Derecha:  0,04 cm"/>
    <w:basedOn w:val="Normal"/>
    <w:uiPriority w:val="99"/>
    <w:rsid w:val="00B67CED"/>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B703C"/>
    <w:pPr>
      <w:spacing w:after="0" w:line="240" w:lineRule="auto"/>
    </w:pPr>
    <w:rPr>
      <w:rFonts w:ascii="Times New Roman" w:eastAsia="Times New Roman" w:hAnsi="Times New Roman" w:cs="Times New Roman"/>
      <w:sz w:val="24"/>
      <w:szCs w:val="24"/>
      <w:lang w:eastAsia="es-ES_tradnl"/>
    </w:rPr>
  </w:style>
  <w:style w:type="paragraph" w:styleId="Textoindependiente3">
    <w:name w:val="Body Text 3"/>
    <w:basedOn w:val="Normal"/>
    <w:link w:val="Textoindependiente3Car"/>
    <w:uiPriority w:val="99"/>
    <w:semiHidden/>
    <w:unhideWhenUsed/>
    <w:rsid w:val="0019004B"/>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19004B"/>
    <w:rPr>
      <w:rFonts w:ascii="Times New Roman" w:eastAsia="Times New Roman" w:hAnsi="Times New Roman" w:cs="Times New Roman"/>
      <w:sz w:val="16"/>
      <w:szCs w:val="1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717">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02460894">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0220155">
      <w:bodyDiv w:val="1"/>
      <w:marLeft w:val="0"/>
      <w:marRight w:val="0"/>
      <w:marTop w:val="0"/>
      <w:marBottom w:val="0"/>
      <w:divBdr>
        <w:top w:val="none" w:sz="0" w:space="0" w:color="auto"/>
        <w:left w:val="none" w:sz="0" w:space="0" w:color="auto"/>
        <w:bottom w:val="none" w:sz="0" w:space="0" w:color="auto"/>
        <w:right w:val="none" w:sz="0" w:space="0" w:color="auto"/>
      </w:divBdr>
      <w:divsChild>
        <w:div w:id="528689021">
          <w:marLeft w:val="0"/>
          <w:marRight w:val="0"/>
          <w:marTop w:val="0"/>
          <w:marBottom w:val="0"/>
          <w:divBdr>
            <w:top w:val="none" w:sz="0" w:space="0" w:color="auto"/>
            <w:left w:val="none" w:sz="0" w:space="0" w:color="auto"/>
            <w:bottom w:val="none" w:sz="0" w:space="0" w:color="auto"/>
            <w:right w:val="none" w:sz="0" w:space="0" w:color="auto"/>
          </w:divBdr>
          <w:divsChild>
            <w:div w:id="1856772158">
              <w:marLeft w:val="0"/>
              <w:marRight w:val="0"/>
              <w:marTop w:val="0"/>
              <w:marBottom w:val="0"/>
              <w:divBdr>
                <w:top w:val="none" w:sz="0" w:space="0" w:color="auto"/>
                <w:left w:val="none" w:sz="0" w:space="0" w:color="auto"/>
                <w:bottom w:val="none" w:sz="0" w:space="0" w:color="auto"/>
                <w:right w:val="none" w:sz="0" w:space="0" w:color="auto"/>
              </w:divBdr>
              <w:divsChild>
                <w:div w:id="2143880565">
                  <w:marLeft w:val="0"/>
                  <w:marRight w:val="0"/>
                  <w:marTop w:val="0"/>
                  <w:marBottom w:val="0"/>
                  <w:divBdr>
                    <w:top w:val="none" w:sz="0" w:space="0" w:color="auto"/>
                    <w:left w:val="none" w:sz="0" w:space="0" w:color="auto"/>
                    <w:bottom w:val="none" w:sz="0" w:space="0" w:color="auto"/>
                    <w:right w:val="none" w:sz="0" w:space="0" w:color="auto"/>
                  </w:divBdr>
                  <w:divsChild>
                    <w:div w:id="76935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04560">
      <w:bodyDiv w:val="1"/>
      <w:marLeft w:val="0"/>
      <w:marRight w:val="0"/>
      <w:marTop w:val="0"/>
      <w:marBottom w:val="0"/>
      <w:divBdr>
        <w:top w:val="none" w:sz="0" w:space="0" w:color="auto"/>
        <w:left w:val="none" w:sz="0" w:space="0" w:color="auto"/>
        <w:bottom w:val="none" w:sz="0" w:space="0" w:color="auto"/>
        <w:right w:val="none" w:sz="0" w:space="0" w:color="auto"/>
      </w:divBdr>
      <w:divsChild>
        <w:div w:id="1321693219">
          <w:marLeft w:val="0"/>
          <w:marRight w:val="0"/>
          <w:marTop w:val="0"/>
          <w:marBottom w:val="0"/>
          <w:divBdr>
            <w:top w:val="none" w:sz="0" w:space="0" w:color="auto"/>
            <w:left w:val="none" w:sz="0" w:space="0" w:color="auto"/>
            <w:bottom w:val="none" w:sz="0" w:space="0" w:color="auto"/>
            <w:right w:val="none" w:sz="0" w:space="0" w:color="auto"/>
          </w:divBdr>
          <w:divsChild>
            <w:div w:id="1969896724">
              <w:marLeft w:val="0"/>
              <w:marRight w:val="0"/>
              <w:marTop w:val="0"/>
              <w:marBottom w:val="0"/>
              <w:divBdr>
                <w:top w:val="none" w:sz="0" w:space="0" w:color="auto"/>
                <w:left w:val="none" w:sz="0" w:space="0" w:color="auto"/>
                <w:bottom w:val="none" w:sz="0" w:space="0" w:color="auto"/>
                <w:right w:val="none" w:sz="0" w:space="0" w:color="auto"/>
              </w:divBdr>
              <w:divsChild>
                <w:div w:id="1006638581">
                  <w:marLeft w:val="0"/>
                  <w:marRight w:val="0"/>
                  <w:marTop w:val="0"/>
                  <w:marBottom w:val="0"/>
                  <w:divBdr>
                    <w:top w:val="none" w:sz="0" w:space="0" w:color="auto"/>
                    <w:left w:val="none" w:sz="0" w:space="0" w:color="auto"/>
                    <w:bottom w:val="none" w:sz="0" w:space="0" w:color="auto"/>
                    <w:right w:val="none" w:sz="0" w:space="0" w:color="auto"/>
                  </w:divBdr>
                  <w:divsChild>
                    <w:div w:id="24453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4947702">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302024">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842296">
      <w:bodyDiv w:val="1"/>
      <w:marLeft w:val="0"/>
      <w:marRight w:val="0"/>
      <w:marTop w:val="0"/>
      <w:marBottom w:val="0"/>
      <w:divBdr>
        <w:top w:val="none" w:sz="0" w:space="0" w:color="auto"/>
        <w:left w:val="none" w:sz="0" w:space="0" w:color="auto"/>
        <w:bottom w:val="none" w:sz="0" w:space="0" w:color="auto"/>
        <w:right w:val="none" w:sz="0" w:space="0" w:color="auto"/>
      </w:divBdr>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215359">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1242812">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868576">
      <w:bodyDiv w:val="1"/>
      <w:marLeft w:val="0"/>
      <w:marRight w:val="0"/>
      <w:marTop w:val="0"/>
      <w:marBottom w:val="0"/>
      <w:divBdr>
        <w:top w:val="none" w:sz="0" w:space="0" w:color="auto"/>
        <w:left w:val="none" w:sz="0" w:space="0" w:color="auto"/>
        <w:bottom w:val="none" w:sz="0" w:space="0" w:color="auto"/>
        <w:right w:val="none" w:sz="0" w:space="0" w:color="auto"/>
      </w:divBdr>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808774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3009464">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3484351">
      <w:bodyDiv w:val="1"/>
      <w:marLeft w:val="0"/>
      <w:marRight w:val="0"/>
      <w:marTop w:val="0"/>
      <w:marBottom w:val="0"/>
      <w:divBdr>
        <w:top w:val="none" w:sz="0" w:space="0" w:color="auto"/>
        <w:left w:val="none" w:sz="0" w:space="0" w:color="auto"/>
        <w:bottom w:val="none" w:sz="0" w:space="0" w:color="auto"/>
        <w:right w:val="none" w:sz="0" w:space="0" w:color="auto"/>
      </w:divBdr>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04449">
      <w:bodyDiv w:val="1"/>
      <w:marLeft w:val="0"/>
      <w:marRight w:val="0"/>
      <w:marTop w:val="0"/>
      <w:marBottom w:val="0"/>
      <w:divBdr>
        <w:top w:val="none" w:sz="0" w:space="0" w:color="auto"/>
        <w:left w:val="none" w:sz="0" w:space="0" w:color="auto"/>
        <w:bottom w:val="none" w:sz="0" w:space="0" w:color="auto"/>
        <w:right w:val="none" w:sz="0" w:space="0" w:color="auto"/>
      </w:divBdr>
      <w:divsChild>
        <w:div w:id="657536732">
          <w:marLeft w:val="0"/>
          <w:marRight w:val="0"/>
          <w:marTop w:val="0"/>
          <w:marBottom w:val="0"/>
          <w:divBdr>
            <w:top w:val="none" w:sz="0" w:space="0" w:color="auto"/>
            <w:left w:val="none" w:sz="0" w:space="0" w:color="auto"/>
            <w:bottom w:val="none" w:sz="0" w:space="0" w:color="auto"/>
            <w:right w:val="none" w:sz="0" w:space="0" w:color="auto"/>
          </w:divBdr>
          <w:divsChild>
            <w:div w:id="1142191947">
              <w:marLeft w:val="0"/>
              <w:marRight w:val="0"/>
              <w:marTop w:val="0"/>
              <w:marBottom w:val="0"/>
              <w:divBdr>
                <w:top w:val="none" w:sz="0" w:space="0" w:color="auto"/>
                <w:left w:val="none" w:sz="0" w:space="0" w:color="auto"/>
                <w:bottom w:val="none" w:sz="0" w:space="0" w:color="auto"/>
                <w:right w:val="none" w:sz="0" w:space="0" w:color="auto"/>
              </w:divBdr>
              <w:divsChild>
                <w:div w:id="910889857">
                  <w:marLeft w:val="0"/>
                  <w:marRight w:val="0"/>
                  <w:marTop w:val="0"/>
                  <w:marBottom w:val="0"/>
                  <w:divBdr>
                    <w:top w:val="none" w:sz="0" w:space="0" w:color="auto"/>
                    <w:left w:val="none" w:sz="0" w:space="0" w:color="auto"/>
                    <w:bottom w:val="none" w:sz="0" w:space="0" w:color="auto"/>
                    <w:right w:val="none" w:sz="0" w:space="0" w:color="auto"/>
                  </w:divBdr>
                  <w:divsChild>
                    <w:div w:id="985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0809894">
      <w:bodyDiv w:val="1"/>
      <w:marLeft w:val="0"/>
      <w:marRight w:val="0"/>
      <w:marTop w:val="0"/>
      <w:marBottom w:val="0"/>
      <w:divBdr>
        <w:top w:val="none" w:sz="0" w:space="0" w:color="auto"/>
        <w:left w:val="none" w:sz="0" w:space="0" w:color="auto"/>
        <w:bottom w:val="none" w:sz="0" w:space="0" w:color="auto"/>
        <w:right w:val="none" w:sz="0" w:space="0" w:color="auto"/>
      </w:divBdr>
      <w:divsChild>
        <w:div w:id="975181350">
          <w:marLeft w:val="0"/>
          <w:marRight w:val="0"/>
          <w:marTop w:val="0"/>
          <w:marBottom w:val="0"/>
          <w:divBdr>
            <w:top w:val="none" w:sz="0" w:space="0" w:color="auto"/>
            <w:left w:val="none" w:sz="0" w:space="0" w:color="auto"/>
            <w:bottom w:val="none" w:sz="0" w:space="0" w:color="auto"/>
            <w:right w:val="none" w:sz="0" w:space="0" w:color="auto"/>
          </w:divBdr>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2448930">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0116619">
      <w:bodyDiv w:val="1"/>
      <w:marLeft w:val="0"/>
      <w:marRight w:val="0"/>
      <w:marTop w:val="0"/>
      <w:marBottom w:val="0"/>
      <w:divBdr>
        <w:top w:val="none" w:sz="0" w:space="0" w:color="auto"/>
        <w:left w:val="none" w:sz="0" w:space="0" w:color="auto"/>
        <w:bottom w:val="none" w:sz="0" w:space="0" w:color="auto"/>
        <w:right w:val="none" w:sz="0" w:space="0" w:color="auto"/>
      </w:divBdr>
      <w:divsChild>
        <w:div w:id="1127353483">
          <w:marLeft w:val="0"/>
          <w:marRight w:val="0"/>
          <w:marTop w:val="0"/>
          <w:marBottom w:val="0"/>
          <w:divBdr>
            <w:top w:val="none" w:sz="0" w:space="0" w:color="auto"/>
            <w:left w:val="none" w:sz="0" w:space="0" w:color="auto"/>
            <w:bottom w:val="none" w:sz="0" w:space="0" w:color="auto"/>
            <w:right w:val="none" w:sz="0" w:space="0" w:color="auto"/>
          </w:divBdr>
          <w:divsChild>
            <w:div w:id="1721127380">
              <w:marLeft w:val="0"/>
              <w:marRight w:val="0"/>
              <w:marTop w:val="0"/>
              <w:marBottom w:val="0"/>
              <w:divBdr>
                <w:top w:val="none" w:sz="0" w:space="0" w:color="auto"/>
                <w:left w:val="none" w:sz="0" w:space="0" w:color="auto"/>
                <w:bottom w:val="none" w:sz="0" w:space="0" w:color="auto"/>
                <w:right w:val="none" w:sz="0" w:space="0" w:color="auto"/>
              </w:divBdr>
              <w:divsChild>
                <w:div w:id="11120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30173">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0184555">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26830002">
      <w:bodyDiv w:val="1"/>
      <w:marLeft w:val="0"/>
      <w:marRight w:val="0"/>
      <w:marTop w:val="0"/>
      <w:marBottom w:val="0"/>
      <w:divBdr>
        <w:top w:val="none" w:sz="0" w:space="0" w:color="auto"/>
        <w:left w:val="none" w:sz="0" w:space="0" w:color="auto"/>
        <w:bottom w:val="none" w:sz="0" w:space="0" w:color="auto"/>
        <w:right w:val="none" w:sz="0" w:space="0" w:color="auto"/>
      </w:divBdr>
      <w:divsChild>
        <w:div w:id="1987010098">
          <w:marLeft w:val="0"/>
          <w:marRight w:val="0"/>
          <w:marTop w:val="0"/>
          <w:marBottom w:val="0"/>
          <w:divBdr>
            <w:top w:val="none" w:sz="0" w:space="0" w:color="auto"/>
            <w:left w:val="none" w:sz="0" w:space="0" w:color="auto"/>
            <w:bottom w:val="none" w:sz="0" w:space="0" w:color="auto"/>
            <w:right w:val="none" w:sz="0" w:space="0" w:color="auto"/>
          </w:divBdr>
          <w:divsChild>
            <w:div w:id="1735733371">
              <w:marLeft w:val="0"/>
              <w:marRight w:val="0"/>
              <w:marTop w:val="0"/>
              <w:marBottom w:val="0"/>
              <w:divBdr>
                <w:top w:val="none" w:sz="0" w:space="0" w:color="auto"/>
                <w:left w:val="none" w:sz="0" w:space="0" w:color="auto"/>
                <w:bottom w:val="none" w:sz="0" w:space="0" w:color="auto"/>
                <w:right w:val="none" w:sz="0" w:space="0" w:color="auto"/>
              </w:divBdr>
              <w:divsChild>
                <w:div w:id="1340161344">
                  <w:marLeft w:val="0"/>
                  <w:marRight w:val="0"/>
                  <w:marTop w:val="0"/>
                  <w:marBottom w:val="0"/>
                  <w:divBdr>
                    <w:top w:val="none" w:sz="0" w:space="0" w:color="auto"/>
                    <w:left w:val="none" w:sz="0" w:space="0" w:color="auto"/>
                    <w:bottom w:val="none" w:sz="0" w:space="0" w:color="auto"/>
                    <w:right w:val="none" w:sz="0" w:space="0" w:color="auto"/>
                  </w:divBdr>
                  <w:divsChild>
                    <w:div w:id="13577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462109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74843">
      <w:bodyDiv w:val="1"/>
      <w:marLeft w:val="0"/>
      <w:marRight w:val="0"/>
      <w:marTop w:val="0"/>
      <w:marBottom w:val="0"/>
      <w:divBdr>
        <w:top w:val="none" w:sz="0" w:space="0" w:color="auto"/>
        <w:left w:val="none" w:sz="0" w:space="0" w:color="auto"/>
        <w:bottom w:val="none" w:sz="0" w:space="0" w:color="auto"/>
        <w:right w:val="none" w:sz="0" w:space="0" w:color="auto"/>
      </w:divBdr>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78547236">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09553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09627166">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0203413">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963911">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7502905">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5781306">
      <w:bodyDiv w:val="1"/>
      <w:marLeft w:val="0"/>
      <w:marRight w:val="0"/>
      <w:marTop w:val="0"/>
      <w:marBottom w:val="0"/>
      <w:divBdr>
        <w:top w:val="none" w:sz="0" w:space="0" w:color="auto"/>
        <w:left w:val="none" w:sz="0" w:space="0" w:color="auto"/>
        <w:bottom w:val="none" w:sz="0" w:space="0" w:color="auto"/>
        <w:right w:val="none" w:sz="0" w:space="0" w:color="auto"/>
      </w:divBdr>
      <w:divsChild>
        <w:div w:id="2097171223">
          <w:marLeft w:val="0"/>
          <w:marRight w:val="0"/>
          <w:marTop w:val="0"/>
          <w:marBottom w:val="0"/>
          <w:divBdr>
            <w:top w:val="none" w:sz="0" w:space="0" w:color="auto"/>
            <w:left w:val="none" w:sz="0" w:space="0" w:color="auto"/>
            <w:bottom w:val="none" w:sz="0" w:space="0" w:color="auto"/>
            <w:right w:val="none" w:sz="0" w:space="0" w:color="auto"/>
          </w:divBdr>
          <w:divsChild>
            <w:div w:id="1085880871">
              <w:marLeft w:val="0"/>
              <w:marRight w:val="0"/>
              <w:marTop w:val="0"/>
              <w:marBottom w:val="0"/>
              <w:divBdr>
                <w:top w:val="none" w:sz="0" w:space="0" w:color="auto"/>
                <w:left w:val="none" w:sz="0" w:space="0" w:color="auto"/>
                <w:bottom w:val="none" w:sz="0" w:space="0" w:color="auto"/>
                <w:right w:val="none" w:sz="0" w:space="0" w:color="auto"/>
              </w:divBdr>
              <w:divsChild>
                <w:div w:id="7918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38065">
      <w:bodyDiv w:val="1"/>
      <w:marLeft w:val="0"/>
      <w:marRight w:val="0"/>
      <w:marTop w:val="0"/>
      <w:marBottom w:val="0"/>
      <w:divBdr>
        <w:top w:val="none" w:sz="0" w:space="0" w:color="auto"/>
        <w:left w:val="none" w:sz="0" w:space="0" w:color="auto"/>
        <w:bottom w:val="none" w:sz="0" w:space="0" w:color="auto"/>
        <w:right w:val="none" w:sz="0" w:space="0" w:color="auto"/>
      </w:divBdr>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8175090">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5113286">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27412970">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6753994">
      <w:bodyDiv w:val="1"/>
      <w:marLeft w:val="0"/>
      <w:marRight w:val="0"/>
      <w:marTop w:val="0"/>
      <w:marBottom w:val="0"/>
      <w:divBdr>
        <w:top w:val="none" w:sz="0" w:space="0" w:color="auto"/>
        <w:left w:val="none" w:sz="0" w:space="0" w:color="auto"/>
        <w:bottom w:val="none" w:sz="0" w:space="0" w:color="auto"/>
        <w:right w:val="none" w:sz="0" w:space="0" w:color="auto"/>
      </w:divBdr>
      <w:divsChild>
        <w:div w:id="1906526119">
          <w:marLeft w:val="0"/>
          <w:marRight w:val="0"/>
          <w:marTop w:val="0"/>
          <w:marBottom w:val="0"/>
          <w:divBdr>
            <w:top w:val="none" w:sz="0" w:space="0" w:color="auto"/>
            <w:left w:val="none" w:sz="0" w:space="0" w:color="auto"/>
            <w:bottom w:val="none" w:sz="0" w:space="0" w:color="auto"/>
            <w:right w:val="none" w:sz="0" w:space="0" w:color="auto"/>
          </w:divBdr>
        </w:div>
      </w:divsChild>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0923676">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4416995">
      <w:bodyDiv w:val="1"/>
      <w:marLeft w:val="0"/>
      <w:marRight w:val="0"/>
      <w:marTop w:val="0"/>
      <w:marBottom w:val="0"/>
      <w:divBdr>
        <w:top w:val="none" w:sz="0" w:space="0" w:color="auto"/>
        <w:left w:val="none" w:sz="0" w:space="0" w:color="auto"/>
        <w:bottom w:val="none" w:sz="0" w:space="0" w:color="auto"/>
        <w:right w:val="none" w:sz="0" w:space="0" w:color="auto"/>
      </w:divBdr>
    </w:div>
    <w:div w:id="18842476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71238">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056508">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56320">
      <w:bodyDiv w:val="1"/>
      <w:marLeft w:val="0"/>
      <w:marRight w:val="0"/>
      <w:marTop w:val="0"/>
      <w:marBottom w:val="0"/>
      <w:divBdr>
        <w:top w:val="none" w:sz="0" w:space="0" w:color="auto"/>
        <w:left w:val="none" w:sz="0" w:space="0" w:color="auto"/>
        <w:bottom w:val="none" w:sz="0" w:space="0" w:color="auto"/>
        <w:right w:val="none" w:sz="0" w:space="0" w:color="auto"/>
      </w:divBdr>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0295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3233147">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741930">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supersociedades.gov.co/nuestra_entidad/normatividad/normatividad_conceptos_juridicos/OFICIO_220-014111_DE_20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107369-EA62-40BA-A197-D8F9688BD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2</TotalTime>
  <Pages>31</Pages>
  <Words>11952</Words>
  <Characters>65740</Characters>
  <Application>Microsoft Office Word</Application>
  <DocSecurity>0</DocSecurity>
  <Lines>547</Lines>
  <Paragraphs>155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77537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MARIA CLAUDIA DE LA OSSA BOBADILLA</cp:lastModifiedBy>
  <cp:revision>2</cp:revision>
  <cp:lastPrinted>2021-01-20T13:01:00Z</cp:lastPrinted>
  <dcterms:created xsi:type="dcterms:W3CDTF">2022-07-05T00:04:00Z</dcterms:created>
  <dcterms:modified xsi:type="dcterms:W3CDTF">2022-07-05T00:04:00Z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